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footer2.xml" ContentType="application/vnd.openxmlformats-officedocument.wordprocessingml.footer+xml"/>
  <Override PartName="/word/header6.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29C8C6F" w14:textId="2C9BFE73" w:rsidR="000F2BEE" w:rsidRPr="00DA249F" w:rsidRDefault="785A561B" w:rsidP="00FC1BA2">
      <w:pPr>
        <w:spacing w:before="0" w:after="160" w:line="259" w:lineRule="auto"/>
        <w:rPr>
          <w:b/>
          <w:bCs/>
          <w:sz w:val="36"/>
          <w:szCs w:val="36"/>
          <w:lang w:val="en-GB"/>
        </w:rPr>
      </w:pPr>
      <w:r w:rsidRPr="5575EBFC">
        <w:rPr>
          <w:b/>
          <w:bCs/>
          <w:sz w:val="36"/>
          <w:szCs w:val="36"/>
          <w:lang w:val="en-GB"/>
        </w:rPr>
        <w:t>Chapter 3</w:t>
      </w:r>
      <w:r w:rsidR="20BB14CD" w:rsidRPr="5575EBFC">
        <w:rPr>
          <w:b/>
          <w:bCs/>
          <w:sz w:val="36"/>
          <w:szCs w:val="36"/>
          <w:lang w:val="en-GB"/>
        </w:rPr>
        <w:t>.</w:t>
      </w:r>
      <w:r w:rsidRPr="5575EBFC">
        <w:rPr>
          <w:b/>
          <w:bCs/>
          <w:sz w:val="36"/>
          <w:szCs w:val="36"/>
          <w:lang w:val="en-GB"/>
        </w:rPr>
        <w:t xml:space="preserve"> </w:t>
      </w:r>
      <w:r w:rsidR="653902EA" w:rsidRPr="5575EBFC">
        <w:rPr>
          <w:b/>
          <w:bCs/>
          <w:sz w:val="36"/>
          <w:szCs w:val="36"/>
          <w:lang w:val="en-GB"/>
        </w:rPr>
        <w:t xml:space="preserve">Drivers </w:t>
      </w:r>
      <w:r w:rsidR="3C6D2068" w:rsidRPr="5575EBFC">
        <w:rPr>
          <w:b/>
          <w:bCs/>
          <w:sz w:val="36"/>
          <w:szCs w:val="36"/>
          <w:lang w:val="en-GB"/>
        </w:rPr>
        <w:t>affecting biological invasions</w:t>
      </w:r>
      <w:r w:rsidR="007A5A48" w:rsidRPr="002173B8">
        <w:rPr>
          <w:rStyle w:val="FootnoteReference"/>
          <w:b/>
          <w:bCs/>
          <w:sz w:val="36"/>
          <w:szCs w:val="32"/>
        </w:rPr>
        <w:footnoteReference w:id="2"/>
      </w:r>
    </w:p>
    <w:p w14:paraId="0AC4491B" w14:textId="77777777" w:rsidR="000F2BEE" w:rsidRPr="00287BC7" w:rsidRDefault="000F2BEE" w:rsidP="0090109B">
      <w:pPr>
        <w:rPr>
          <w:lang w:val="en-GB"/>
        </w:rPr>
      </w:pPr>
      <w:bookmarkStart w:id="0" w:name="_GoBack"/>
      <w:bookmarkEnd w:id="0"/>
    </w:p>
    <w:p w14:paraId="27354EED" w14:textId="77777777" w:rsidR="007056B2" w:rsidRPr="00DA249F" w:rsidRDefault="000F2BEE" w:rsidP="0090109B">
      <w:pPr>
        <w:rPr>
          <w:lang w:val="en-GB"/>
        </w:rPr>
      </w:pPr>
      <w:r w:rsidRPr="00DA249F">
        <w:rPr>
          <w:b/>
          <w:bCs/>
          <w:lang w:val="en-GB"/>
        </w:rPr>
        <w:t>Coordinating Lead Authors</w:t>
      </w:r>
      <w:r w:rsidRPr="00DA249F">
        <w:rPr>
          <w:lang w:val="en-GB"/>
        </w:rPr>
        <w:t xml:space="preserve">: </w:t>
      </w:r>
      <w:r w:rsidR="00A6632F" w:rsidRPr="00DA249F">
        <w:rPr>
          <w:lang w:val="en-GB"/>
        </w:rPr>
        <w:t xml:space="preserve">Philip </w:t>
      </w:r>
      <w:r w:rsidR="00B76888">
        <w:rPr>
          <w:lang w:val="en-GB"/>
        </w:rPr>
        <w:t xml:space="preserve">E. </w:t>
      </w:r>
      <w:r w:rsidR="00A6632F" w:rsidRPr="00DA249F">
        <w:rPr>
          <w:lang w:val="en-GB"/>
        </w:rPr>
        <w:t>Hulme (New Zealand), Tohru Ikeda (Japan), Vigdis Vandvik (Norway)</w:t>
      </w:r>
    </w:p>
    <w:p w14:paraId="4321A3D4" w14:textId="56261C34" w:rsidR="00A6632F" w:rsidRPr="00DA249F" w:rsidRDefault="000F2BEE" w:rsidP="418F4C38">
      <w:pPr>
        <w:rPr>
          <w:lang w:val="en-GB"/>
        </w:rPr>
      </w:pPr>
      <w:r w:rsidRPr="418F4C38">
        <w:rPr>
          <w:b/>
          <w:bCs/>
          <w:lang w:val="en-GB"/>
        </w:rPr>
        <w:t>Lead Authors</w:t>
      </w:r>
      <w:r w:rsidRPr="418F4C38">
        <w:rPr>
          <w:lang w:val="en-GB"/>
        </w:rPr>
        <w:t xml:space="preserve">: </w:t>
      </w:r>
      <w:r w:rsidR="00A6632F" w:rsidRPr="418F4C38">
        <w:rPr>
          <w:lang w:val="en-GB"/>
        </w:rPr>
        <w:t xml:space="preserve">Ryan Blanchard (South </w:t>
      </w:r>
      <w:r w:rsidR="00C97FEE" w:rsidRPr="418F4C38">
        <w:rPr>
          <w:lang w:val="en-GB"/>
        </w:rPr>
        <w:t>Africa</w:t>
      </w:r>
      <w:r w:rsidR="00A6632F" w:rsidRPr="418F4C38">
        <w:rPr>
          <w:lang w:val="en-GB"/>
        </w:rPr>
        <w:t xml:space="preserve">), Morelia Camacho-Cervantes (Mexico), </w:t>
      </w:r>
      <w:r w:rsidR="00084671" w:rsidRPr="418F4C38">
        <w:rPr>
          <w:lang w:val="en-GB"/>
        </w:rPr>
        <w:t>Ileana Herrera (</w:t>
      </w:r>
      <w:r w:rsidR="7CD1A8F5" w:rsidRPr="418F4C38">
        <w:rPr>
          <w:lang w:val="en-GB"/>
        </w:rPr>
        <w:t xml:space="preserve">Ecuador, </w:t>
      </w:r>
      <w:r w:rsidR="00084671" w:rsidRPr="418F4C38">
        <w:rPr>
          <w:lang w:val="en-GB"/>
        </w:rPr>
        <w:t xml:space="preserve">Venezuela/Ecuador), </w:t>
      </w:r>
      <w:r w:rsidR="00A6632F" w:rsidRPr="418F4C38">
        <w:rPr>
          <w:lang w:val="en-GB"/>
        </w:rPr>
        <w:t>Asuka Koyama (Japan), Carolina L</w:t>
      </w:r>
      <w:r w:rsidR="00CF3436" w:rsidRPr="418F4C38">
        <w:rPr>
          <w:lang w:val="en-GB"/>
        </w:rPr>
        <w:t>.</w:t>
      </w:r>
      <w:r w:rsidR="00A6632F" w:rsidRPr="418F4C38">
        <w:rPr>
          <w:lang w:val="en-GB"/>
        </w:rPr>
        <w:t xml:space="preserve"> Morales (Argentina), Linus </w:t>
      </w:r>
      <w:r w:rsidR="00CF3436" w:rsidRPr="418F4C38">
        <w:rPr>
          <w:lang w:val="en-GB"/>
        </w:rPr>
        <w:t xml:space="preserve">K. </w:t>
      </w:r>
      <w:r w:rsidR="00A6632F" w:rsidRPr="418F4C38">
        <w:rPr>
          <w:lang w:val="en-GB"/>
        </w:rPr>
        <w:t xml:space="preserve">Munishi (Tanzania), </w:t>
      </w:r>
      <w:r w:rsidR="00CF3436" w:rsidRPr="418F4C38">
        <w:rPr>
          <w:lang w:val="en-GB"/>
        </w:rPr>
        <w:t xml:space="preserve">P. K. T. </w:t>
      </w:r>
      <w:r w:rsidR="00A6632F" w:rsidRPr="418F4C38">
        <w:rPr>
          <w:lang w:val="en-GB"/>
        </w:rPr>
        <w:t xml:space="preserve">Nirmalie </w:t>
      </w:r>
      <w:r w:rsidR="00CF3436" w:rsidRPr="418F4C38">
        <w:rPr>
          <w:lang w:val="en-GB"/>
        </w:rPr>
        <w:t xml:space="preserve">S. </w:t>
      </w:r>
      <w:r w:rsidR="00A6632F" w:rsidRPr="418F4C38">
        <w:rPr>
          <w:lang w:val="en-GB"/>
        </w:rPr>
        <w:t xml:space="preserve">Pallewatta </w:t>
      </w:r>
      <w:r w:rsidR="005473CC" w:rsidRPr="418F4C38">
        <w:rPr>
          <w:lang w:val="en-GB"/>
        </w:rPr>
        <w:t>(</w:t>
      </w:r>
      <w:r w:rsidR="00A6632F" w:rsidRPr="418F4C38">
        <w:rPr>
          <w:lang w:val="en-GB"/>
        </w:rPr>
        <w:t>Sri Lanka</w:t>
      </w:r>
      <w:r w:rsidR="005473CC" w:rsidRPr="418F4C38">
        <w:rPr>
          <w:lang w:val="en-GB"/>
        </w:rPr>
        <w:t>)</w:t>
      </w:r>
      <w:r w:rsidR="00A6632F" w:rsidRPr="418F4C38">
        <w:rPr>
          <w:lang w:val="en-GB"/>
        </w:rPr>
        <w:t xml:space="preserve">, Jan </w:t>
      </w:r>
      <w:r w:rsidR="005473CC" w:rsidRPr="418F4C38">
        <w:rPr>
          <w:lang w:val="en-GB"/>
        </w:rPr>
        <w:t xml:space="preserve">Pergl (Czech Republic), Anthony </w:t>
      </w:r>
      <w:r w:rsidR="00A6632F" w:rsidRPr="418F4C38">
        <w:rPr>
          <w:lang w:val="en-GB"/>
        </w:rPr>
        <w:t>Ricc</w:t>
      </w:r>
      <w:r w:rsidR="005473CC" w:rsidRPr="418F4C38">
        <w:rPr>
          <w:lang w:val="en-GB"/>
        </w:rPr>
        <w:t>iardi (Canada)</w:t>
      </w:r>
    </w:p>
    <w:p w14:paraId="7C96CBA9" w14:textId="77777777" w:rsidR="000F2BEE" w:rsidRPr="00DA249F" w:rsidRDefault="000F2BEE" w:rsidP="0090109B">
      <w:pPr>
        <w:rPr>
          <w:lang w:val="en-GB"/>
        </w:rPr>
      </w:pPr>
      <w:r w:rsidRPr="00DA249F">
        <w:rPr>
          <w:b/>
          <w:lang w:val="en-GB"/>
        </w:rPr>
        <w:t>Fellows</w:t>
      </w:r>
      <w:r w:rsidR="00A6632F" w:rsidRPr="00DA249F">
        <w:rPr>
          <w:lang w:val="en-GB"/>
        </w:rPr>
        <w:t>: Esra Per (Turkey)</w:t>
      </w:r>
      <w:r w:rsidR="00164932" w:rsidRPr="00DA249F">
        <w:rPr>
          <w:rFonts w:eastAsia="游明朝"/>
          <w:lang w:val="en-GB"/>
        </w:rPr>
        <w:t xml:space="preserve">, </w:t>
      </w:r>
      <w:r w:rsidR="00164932" w:rsidRPr="00DA249F">
        <w:rPr>
          <w:lang w:val="en-GB"/>
        </w:rPr>
        <w:t>Rafael O</w:t>
      </w:r>
      <w:r w:rsidR="00CF3436">
        <w:rPr>
          <w:lang w:val="en-GB"/>
        </w:rPr>
        <w:t>.</w:t>
      </w:r>
      <w:r w:rsidR="00164932" w:rsidRPr="00DA249F">
        <w:rPr>
          <w:lang w:val="en-GB"/>
        </w:rPr>
        <w:t xml:space="preserve"> Xavier (Brazil)</w:t>
      </w:r>
    </w:p>
    <w:p w14:paraId="401015D2" w14:textId="0F14D65A" w:rsidR="000F2BEE" w:rsidRPr="00DA249F" w:rsidRDefault="1E221970" w:rsidP="418F4C38">
      <w:pPr>
        <w:rPr>
          <w:lang w:val="en-GB"/>
        </w:rPr>
      </w:pPr>
      <w:r w:rsidRPr="418F4C38">
        <w:rPr>
          <w:b/>
          <w:bCs/>
          <w:lang w:val="en-GB"/>
        </w:rPr>
        <w:t>Contributing Authors</w:t>
      </w:r>
      <w:r w:rsidRPr="418F4C38">
        <w:rPr>
          <w:lang w:val="en-GB"/>
        </w:rPr>
        <w:t xml:space="preserve">: </w:t>
      </w:r>
      <w:r w:rsidR="606520EA" w:rsidRPr="418F4C38">
        <w:rPr>
          <w:lang w:val="en-GB"/>
        </w:rPr>
        <w:t xml:space="preserve">Amy </w:t>
      </w:r>
      <w:r w:rsidR="00CF3436" w:rsidRPr="418F4C38">
        <w:rPr>
          <w:lang w:val="en-GB"/>
        </w:rPr>
        <w:t xml:space="preserve">E. </w:t>
      </w:r>
      <w:r w:rsidR="606520EA" w:rsidRPr="418F4C38">
        <w:rPr>
          <w:lang w:val="en-GB"/>
        </w:rPr>
        <w:t>Eycott (</w:t>
      </w:r>
      <w:r w:rsidR="00537306" w:rsidRPr="418F4C38">
        <w:rPr>
          <w:lang w:val="en-GB"/>
        </w:rPr>
        <w:t>United Kingdom of Great Britain and Northern Ireland/</w:t>
      </w:r>
      <w:r w:rsidR="606520EA" w:rsidRPr="418F4C38">
        <w:rPr>
          <w:lang w:val="en-GB"/>
        </w:rPr>
        <w:t>Norway),</w:t>
      </w:r>
      <w:r w:rsidR="235CB439" w:rsidRPr="418F4C38">
        <w:rPr>
          <w:lang w:val="en-GB"/>
        </w:rPr>
        <w:t xml:space="preserve"> Bella </w:t>
      </w:r>
      <w:r w:rsidR="00CF3436" w:rsidRPr="418F4C38">
        <w:rPr>
          <w:lang w:val="en-GB"/>
        </w:rPr>
        <w:t xml:space="preserve">S. </w:t>
      </w:r>
      <w:r w:rsidR="235CB439" w:rsidRPr="418F4C38">
        <w:rPr>
          <w:lang w:val="en-GB"/>
        </w:rPr>
        <w:t>Galil (Israel),</w:t>
      </w:r>
      <w:r w:rsidR="606520EA" w:rsidRPr="418F4C38">
        <w:rPr>
          <w:lang w:val="en-GB"/>
        </w:rPr>
        <w:t xml:space="preserve"> Sonya </w:t>
      </w:r>
      <w:r w:rsidR="00CF3436" w:rsidRPr="418F4C38">
        <w:rPr>
          <w:lang w:val="en-GB"/>
        </w:rPr>
        <w:t xml:space="preserve">R. </w:t>
      </w:r>
      <w:r w:rsidR="606520EA" w:rsidRPr="418F4C38">
        <w:rPr>
          <w:lang w:val="en-GB"/>
        </w:rPr>
        <w:t>Geange (</w:t>
      </w:r>
      <w:r w:rsidR="00537306" w:rsidRPr="418F4C38">
        <w:rPr>
          <w:lang w:val="en-GB"/>
        </w:rPr>
        <w:t>New Zealand/</w:t>
      </w:r>
      <w:r w:rsidR="606520EA" w:rsidRPr="418F4C38">
        <w:rPr>
          <w:lang w:val="en-GB"/>
        </w:rPr>
        <w:t>Norway)</w:t>
      </w:r>
      <w:r w:rsidR="0E20620A" w:rsidRPr="418F4C38">
        <w:rPr>
          <w:lang w:val="en-GB"/>
        </w:rPr>
        <w:t xml:space="preserve">, </w:t>
      </w:r>
      <w:r w:rsidR="00164932" w:rsidRPr="418F4C38">
        <w:rPr>
          <w:lang w:val="en-GB"/>
        </w:rPr>
        <w:t>Piero Genovesi (Italy</w:t>
      </w:r>
      <w:r w:rsidR="00CF3436" w:rsidRPr="418F4C38">
        <w:rPr>
          <w:lang w:val="en-GB"/>
        </w:rPr>
        <w:t>/</w:t>
      </w:r>
      <w:r w:rsidR="00730A10" w:rsidRPr="418F4C38">
        <w:rPr>
          <w:lang w:val="en-GB"/>
        </w:rPr>
        <w:t>Switzerland</w:t>
      </w:r>
      <w:r w:rsidR="059788C0" w:rsidRPr="418F4C38">
        <w:rPr>
          <w:lang w:val="en-GB"/>
        </w:rPr>
        <w:t>, Italy</w:t>
      </w:r>
      <w:r w:rsidR="00730A10" w:rsidRPr="418F4C38">
        <w:rPr>
          <w:lang w:val="en-GB"/>
        </w:rPr>
        <w:t xml:space="preserve">), </w:t>
      </w:r>
      <w:r w:rsidR="00791C66" w:rsidRPr="418F4C38">
        <w:rPr>
          <w:lang w:val="en-GB"/>
        </w:rPr>
        <w:t>Estefany Goncalves (Venezuela</w:t>
      </w:r>
      <w:r w:rsidR="00CF3436" w:rsidRPr="418F4C38">
        <w:rPr>
          <w:lang w:val="en-GB"/>
        </w:rPr>
        <w:t>, Spain</w:t>
      </w:r>
      <w:r w:rsidR="00791C66" w:rsidRPr="418F4C38">
        <w:rPr>
          <w:lang w:val="en-GB"/>
        </w:rPr>
        <w:t xml:space="preserve">/Chile), </w:t>
      </w:r>
      <w:r w:rsidR="00CF3436" w:rsidRPr="418F4C38">
        <w:rPr>
          <w:lang w:val="en-GB"/>
        </w:rPr>
        <w:t xml:space="preserve">Sylvia Haider (Germany), </w:t>
      </w:r>
      <w:r w:rsidR="3173B6EB" w:rsidRPr="418F4C38">
        <w:rPr>
          <w:lang w:val="en-GB"/>
        </w:rPr>
        <w:t xml:space="preserve">Aud </w:t>
      </w:r>
      <w:r w:rsidR="5313A3FB" w:rsidRPr="418F4C38">
        <w:rPr>
          <w:lang w:val="en-GB"/>
        </w:rPr>
        <w:t xml:space="preserve">H. </w:t>
      </w:r>
      <w:r w:rsidR="3173B6EB" w:rsidRPr="418F4C38">
        <w:rPr>
          <w:lang w:val="en-GB"/>
        </w:rPr>
        <w:t>Halbritter (</w:t>
      </w:r>
      <w:r w:rsidR="00CF3436" w:rsidRPr="418F4C38">
        <w:rPr>
          <w:lang w:val="en-GB"/>
        </w:rPr>
        <w:t xml:space="preserve">Norway, </w:t>
      </w:r>
      <w:r w:rsidR="00537306" w:rsidRPr="418F4C38">
        <w:rPr>
          <w:lang w:val="en-GB"/>
        </w:rPr>
        <w:t>Switzerland/</w:t>
      </w:r>
      <w:r w:rsidR="3173B6EB" w:rsidRPr="418F4C38">
        <w:rPr>
          <w:lang w:val="en-GB"/>
        </w:rPr>
        <w:t xml:space="preserve">Norway), </w:t>
      </w:r>
      <w:r w:rsidR="00CF3436" w:rsidRPr="418F4C38">
        <w:rPr>
          <w:lang w:val="en-GB"/>
        </w:rPr>
        <w:t xml:space="preserve">Agnese Marchini (Italy), </w:t>
      </w:r>
      <w:r w:rsidR="00730A10" w:rsidRPr="418F4C38">
        <w:rPr>
          <w:lang w:val="en-GB"/>
        </w:rPr>
        <w:t xml:space="preserve">Niall Moore (United Kingdom of Great Britain and Northern Ireland), </w:t>
      </w:r>
      <w:r w:rsidR="00CF3436" w:rsidRPr="418F4C38">
        <w:rPr>
          <w:lang w:val="en-GB"/>
        </w:rPr>
        <w:t>Aníbal Pauchard (Chile, Switzerland/Chile)</w:t>
      </w:r>
      <w:r w:rsidR="265642D4" w:rsidRPr="418F4C38">
        <w:rPr>
          <w:lang w:val="en-GB"/>
        </w:rPr>
        <w:t xml:space="preserve">, </w:t>
      </w:r>
      <w:r w:rsidR="438ADFBB" w:rsidRPr="418F4C38">
        <w:rPr>
          <w:lang w:val="en-GB"/>
        </w:rPr>
        <w:t xml:space="preserve">Nahuel Policelli (Argentina), </w:t>
      </w:r>
      <w:r w:rsidR="235CB439" w:rsidRPr="418F4C38">
        <w:rPr>
          <w:lang w:val="en-GB"/>
        </w:rPr>
        <w:t xml:space="preserve">Helen </w:t>
      </w:r>
      <w:r w:rsidR="00CF3436" w:rsidRPr="418F4C38">
        <w:rPr>
          <w:lang w:val="en-GB"/>
        </w:rPr>
        <w:t xml:space="preserve">E. </w:t>
      </w:r>
      <w:r w:rsidR="235CB439" w:rsidRPr="418F4C38">
        <w:rPr>
          <w:lang w:val="en-GB"/>
        </w:rPr>
        <w:t xml:space="preserve">Roy (United Kingdom of Great Britain and Northern Ireland), </w:t>
      </w:r>
      <w:r w:rsidR="438ADFBB" w:rsidRPr="418F4C38">
        <w:rPr>
          <w:lang w:val="en-GB"/>
        </w:rPr>
        <w:t>Takaaki Suzuki (Japan),</w:t>
      </w:r>
      <w:r w:rsidR="00B7733C" w:rsidRPr="418F4C38">
        <w:rPr>
          <w:lang w:val="en-GB"/>
        </w:rPr>
        <w:t xml:space="preserve"> Elena Tricarico (Italy),</w:t>
      </w:r>
      <w:r w:rsidR="438ADFBB" w:rsidRPr="418F4C38">
        <w:rPr>
          <w:lang w:val="en-GB"/>
        </w:rPr>
        <w:t xml:space="preserve"> </w:t>
      </w:r>
      <w:r w:rsidR="0E20620A" w:rsidRPr="418F4C38">
        <w:rPr>
          <w:lang w:val="en-GB"/>
        </w:rPr>
        <w:t>Caiyun Zhao (China)</w:t>
      </w:r>
    </w:p>
    <w:p w14:paraId="4421E3D8" w14:textId="77777777" w:rsidR="00DD7B5F" w:rsidRPr="00DA249F" w:rsidRDefault="1A634937" w:rsidP="0090109B">
      <w:pPr>
        <w:rPr>
          <w:lang w:val="en-GB"/>
        </w:rPr>
      </w:pPr>
      <w:r w:rsidRPr="00DA249F">
        <w:rPr>
          <w:b/>
          <w:bCs/>
          <w:lang w:val="en-GB"/>
        </w:rPr>
        <w:t>Review Editors</w:t>
      </w:r>
      <w:r w:rsidRPr="00DA249F">
        <w:rPr>
          <w:lang w:val="en-GB"/>
        </w:rPr>
        <w:t>:</w:t>
      </w:r>
      <w:r w:rsidR="4EB8F782" w:rsidRPr="00DA249F">
        <w:rPr>
          <w:lang w:val="en-GB"/>
        </w:rPr>
        <w:t xml:space="preserve"> </w:t>
      </w:r>
      <w:r w:rsidR="56C6C9E7" w:rsidRPr="00DA249F">
        <w:rPr>
          <w:lang w:val="en-GB"/>
        </w:rPr>
        <w:t>Franz Essl (Austria), Aveliina Helm (Estonia)</w:t>
      </w:r>
    </w:p>
    <w:p w14:paraId="632EA50A" w14:textId="412E7DC8" w:rsidR="007C4D70" w:rsidRPr="00DA249F" w:rsidRDefault="007C4D70" w:rsidP="007C4D70">
      <w:pPr>
        <w:rPr>
          <w:lang w:val="en-GB"/>
        </w:rPr>
      </w:pPr>
      <w:r w:rsidRPr="00DA249F">
        <w:rPr>
          <w:b/>
          <w:bCs/>
          <w:lang w:val="en-GB"/>
        </w:rPr>
        <w:t>Technical support unit:</w:t>
      </w:r>
      <w:r w:rsidRPr="00DA249F">
        <w:rPr>
          <w:lang w:val="en-GB"/>
        </w:rPr>
        <w:t xml:space="preserve"> Naoki</w:t>
      </w:r>
      <w:r w:rsidR="00F969C5">
        <w:rPr>
          <w:lang w:val="en-GB"/>
        </w:rPr>
        <w:t xml:space="preserve"> Amako</w:t>
      </w:r>
      <w:r w:rsidRPr="00DA249F">
        <w:rPr>
          <w:lang w:val="en-GB"/>
        </w:rPr>
        <w:t>, Ryoko</w:t>
      </w:r>
      <w:r w:rsidR="00F969C5">
        <w:rPr>
          <w:lang w:val="en-GB"/>
        </w:rPr>
        <w:t xml:space="preserve"> Kawakami</w:t>
      </w:r>
      <w:r w:rsidRPr="00DA249F">
        <w:rPr>
          <w:lang w:val="en-GB"/>
        </w:rPr>
        <w:t>, Tanara</w:t>
      </w:r>
      <w:r w:rsidR="00F969C5">
        <w:rPr>
          <w:lang w:val="en-GB"/>
        </w:rPr>
        <w:t xml:space="preserve"> Renard Truong</w:t>
      </w:r>
    </w:p>
    <w:p w14:paraId="0F7E6D18" w14:textId="77777777" w:rsidR="00DD7B5F" w:rsidRPr="00DA249F" w:rsidRDefault="00691D91" w:rsidP="0090109B">
      <w:pPr>
        <w:rPr>
          <w:lang w:val="en-GB"/>
        </w:rPr>
      </w:pPr>
      <w:r w:rsidRPr="00DA249F">
        <w:rPr>
          <w:b/>
          <w:bCs/>
          <w:lang w:val="en-GB"/>
        </w:rPr>
        <w:t>This chapter should be cited as:</w:t>
      </w:r>
    </w:p>
    <w:p w14:paraId="002BD9E2" w14:textId="2A23E676" w:rsidR="0090109B" w:rsidRPr="00DA249F" w:rsidRDefault="46F945E9" w:rsidP="0090109B">
      <w:pPr>
        <w:rPr>
          <w:lang w:val="en-GB"/>
        </w:rPr>
      </w:pPr>
      <w:r w:rsidRPr="5575EBFC">
        <w:rPr>
          <w:lang w:val="en-GB"/>
        </w:rPr>
        <w:t xml:space="preserve">Hulme, P. E., Ikeda, T., Vandvik, V., Blanchard, R., Camacho-Cervantes, M., Herrera, I., Koyama, A., Morales, C. L., Munishi, L. K., Pallewatta, P. K. T. N. S., Per, E., Pergl, J., Ricciardi, A., </w:t>
      </w:r>
      <w:r w:rsidR="6AD7F532" w:rsidRPr="5575EBFC">
        <w:rPr>
          <w:lang w:val="en-GB"/>
        </w:rPr>
        <w:t xml:space="preserve">and </w:t>
      </w:r>
      <w:r w:rsidRPr="5575EBFC">
        <w:rPr>
          <w:lang w:val="en-GB"/>
        </w:rPr>
        <w:t xml:space="preserve">Xavier, R. O. (2023). Chapter 3: </w:t>
      </w:r>
      <w:r w:rsidR="653902EA" w:rsidRPr="5575EBFC">
        <w:rPr>
          <w:lang w:val="en-GB"/>
        </w:rPr>
        <w:t>Drivers</w:t>
      </w:r>
      <w:r w:rsidR="21D8D465" w:rsidRPr="5575EBFC">
        <w:rPr>
          <w:lang w:val="en-GB"/>
        </w:rPr>
        <w:t xml:space="preserve"> </w:t>
      </w:r>
      <w:r w:rsidRPr="5575EBFC">
        <w:rPr>
          <w:lang w:val="en-GB"/>
        </w:rPr>
        <w:t>affecting biological invasions. In: Thematic Assessment Report on Invasive Alien Species and their Control of the Intergovernmental Science-Policy Platform on Biodiversity and Ecosystem Services. Roy, H. E., Pauchard, A., Stoett, P.,</w:t>
      </w:r>
      <w:r w:rsidR="6AD7F532" w:rsidRPr="5575EBFC">
        <w:rPr>
          <w:lang w:val="en-GB"/>
        </w:rPr>
        <w:t xml:space="preserve"> and</w:t>
      </w:r>
      <w:r w:rsidRPr="5575EBFC">
        <w:rPr>
          <w:lang w:val="en-GB"/>
        </w:rPr>
        <w:t xml:space="preserve"> Renard Truong, T. (eds.). IPBES secretariat, Bonn, Germany. </w:t>
      </w:r>
      <w:hyperlink r:id="rId11">
        <w:r w:rsidR="6AD7F532" w:rsidRPr="5575EBFC">
          <w:rPr>
            <w:rStyle w:val="Hyperlink"/>
            <w:rFonts w:cstheme="minorBidi"/>
            <w:lang w:val="en-GB"/>
          </w:rPr>
          <w:t>https://doi.org/10.5281/zenodo.7430727</w:t>
        </w:r>
      </w:hyperlink>
      <w:r w:rsidR="6AD7F532" w:rsidRPr="5575EBFC">
        <w:rPr>
          <w:rFonts w:cstheme="minorBidi"/>
          <w:color w:val="333333"/>
          <w:lang w:val="en-GB"/>
        </w:rPr>
        <w:t xml:space="preserve"> </w:t>
      </w:r>
    </w:p>
    <w:p w14:paraId="2D52745E" w14:textId="013802B7" w:rsidR="00BB328F" w:rsidRDefault="00BB328F" w:rsidP="00A76408">
      <w:pPr>
        <w:rPr>
          <w:lang w:val="en-GB"/>
        </w:rPr>
      </w:pPr>
    </w:p>
    <w:p w14:paraId="5CCCDA41" w14:textId="39DDDD29" w:rsidR="00344818" w:rsidRDefault="00344818" w:rsidP="00A76408">
      <w:pPr>
        <w:rPr>
          <w:lang w:val="en-GB"/>
        </w:rPr>
      </w:pPr>
    </w:p>
    <w:p w14:paraId="0F7A4244" w14:textId="77777777" w:rsidR="00344818" w:rsidRDefault="00344818" w:rsidP="00A76408">
      <w:pPr>
        <w:rPr>
          <w:lang w:val="en-GB"/>
        </w:rPr>
      </w:pPr>
    </w:p>
    <w:p w14:paraId="4F46F5A4" w14:textId="77777777" w:rsidR="00544C5D" w:rsidRDefault="00544C5D" w:rsidP="00A76408">
      <w:pPr>
        <w:rPr>
          <w:lang w:val="en-GB"/>
        </w:rPr>
      </w:pPr>
    </w:p>
    <w:p w14:paraId="704A8558" w14:textId="77777777" w:rsidR="00A76408" w:rsidRPr="00DA249F" w:rsidRDefault="00A76408" w:rsidP="00A76408">
      <w:pPr>
        <w:rPr>
          <w:b/>
          <w:bCs/>
          <w:sz w:val="20"/>
          <w:szCs w:val="20"/>
          <w:lang w:val="en-GB"/>
        </w:rPr>
      </w:pPr>
      <w:r w:rsidRPr="00DA249F">
        <w:rPr>
          <w:b/>
          <w:bCs/>
          <w:sz w:val="20"/>
          <w:szCs w:val="20"/>
          <w:lang w:val="en-GB"/>
        </w:rPr>
        <w:t>Disclaimer on maps</w:t>
      </w:r>
    </w:p>
    <w:p w14:paraId="75EA68F7" w14:textId="79FFE7CE" w:rsidR="000F420B" w:rsidRDefault="00730EF9" w:rsidP="0038364D">
      <w:pPr>
        <w:spacing w:before="0" w:after="0"/>
        <w:rPr>
          <w:i/>
          <w:iCs/>
          <w:sz w:val="20"/>
          <w:szCs w:val="20"/>
          <w:lang w:val="en-GB"/>
        </w:rPr>
      </w:pPr>
      <w:r w:rsidRPr="00DA249F">
        <w:rPr>
          <w:i/>
          <w:iCs/>
          <w:sz w:val="20"/>
          <w:szCs w:val="20"/>
          <w:lang w:val="en-GB"/>
        </w:rPr>
        <w:t xml:space="preserve">The designations employed and the presentation of material on the maps used in the present report do not imply the expression of any opinion whatsoever on the part of the Intergovernmental Science-Policy Platform on Biodiversity and Ecosystem </w:t>
      </w:r>
      <w:r w:rsidR="00F969C5">
        <w:rPr>
          <w:i/>
          <w:iCs/>
          <w:sz w:val="20"/>
          <w:szCs w:val="20"/>
          <w:lang w:val="en-GB"/>
        </w:rPr>
        <w:t>S</w:t>
      </w:r>
      <w:r w:rsidRPr="00DA249F">
        <w:rPr>
          <w:i/>
          <w:iCs/>
          <w:sz w:val="20"/>
          <w:szCs w:val="20"/>
          <w:lang w:val="en-GB"/>
        </w:rPr>
        <w:t xml:space="preserve">ervices concerning the legal status of any country, territory, city or area or of its authorities, or concerning the delimitation of its frontiers or boundaries. These maps have been prepared or used for the sole purpose of facilitating the assessment of the broad biogeographical areas represented therein. </w:t>
      </w:r>
      <w:r w:rsidR="000F420B">
        <w:rPr>
          <w:i/>
          <w:iCs/>
          <w:sz w:val="20"/>
          <w:szCs w:val="20"/>
          <w:lang w:val="en-GB"/>
        </w:rPr>
        <w:br w:type="page"/>
      </w:r>
    </w:p>
    <w:p w14:paraId="3CC9D06E" w14:textId="2CFA201C" w:rsidR="0048423B" w:rsidRPr="00DA249F" w:rsidRDefault="2E7982F3" w:rsidP="5575EBFC">
      <w:pPr>
        <w:spacing w:before="360" w:after="160"/>
        <w:rPr>
          <w:b/>
          <w:bCs/>
          <w:sz w:val="36"/>
          <w:szCs w:val="36"/>
          <w:lang w:val="en-GB"/>
        </w:rPr>
      </w:pPr>
      <w:r w:rsidRPr="5575EBFC">
        <w:rPr>
          <w:b/>
          <w:bCs/>
          <w:sz w:val="36"/>
          <w:szCs w:val="36"/>
          <w:lang w:val="en-GB"/>
        </w:rPr>
        <w:lastRenderedPageBreak/>
        <w:t xml:space="preserve">Chapter 3. </w:t>
      </w:r>
      <w:r w:rsidR="653902EA" w:rsidRPr="5575EBFC">
        <w:rPr>
          <w:b/>
          <w:bCs/>
          <w:sz w:val="36"/>
          <w:szCs w:val="36"/>
          <w:lang w:val="en-GB"/>
        </w:rPr>
        <w:t xml:space="preserve">Drivers </w:t>
      </w:r>
      <w:r w:rsidRPr="5575EBFC">
        <w:rPr>
          <w:b/>
          <w:bCs/>
          <w:sz w:val="36"/>
          <w:szCs w:val="36"/>
          <w:lang w:val="en-GB"/>
        </w:rPr>
        <w:t>affecting biological invasions</w:t>
      </w:r>
    </w:p>
    <w:sdt>
      <w:sdtPr>
        <w:rPr>
          <w:b/>
          <w:bCs/>
          <w:noProof/>
          <w:szCs w:val="24"/>
          <w:lang w:val="en-GB"/>
        </w:rPr>
        <w:id w:val="869256058"/>
        <w:docPartObj>
          <w:docPartGallery w:val="Table of Contents"/>
          <w:docPartUnique/>
        </w:docPartObj>
      </w:sdtPr>
      <w:sdtEndPr/>
      <w:sdtContent>
        <w:p w14:paraId="254DD9D0" w14:textId="77777777" w:rsidR="00E26872" w:rsidRPr="00DA249F" w:rsidRDefault="2C66C42C" w:rsidP="00E26872">
          <w:pPr>
            <w:spacing w:before="0" w:after="0" w:line="360" w:lineRule="auto"/>
            <w:rPr>
              <w:b/>
              <w:bCs/>
              <w:sz w:val="44"/>
              <w:szCs w:val="44"/>
              <w:lang w:val="en-GB"/>
            </w:rPr>
          </w:pPr>
          <w:r w:rsidRPr="5575EBFC">
            <w:rPr>
              <w:b/>
              <w:bCs/>
              <w:sz w:val="36"/>
              <w:szCs w:val="36"/>
              <w:lang w:val="en-GB"/>
            </w:rPr>
            <w:t>C</w:t>
          </w:r>
          <w:r w:rsidR="5FA0BFDD" w:rsidRPr="5575EBFC">
            <w:rPr>
              <w:b/>
              <w:bCs/>
              <w:sz w:val="36"/>
              <w:szCs w:val="36"/>
              <w:lang w:val="en-GB"/>
            </w:rPr>
            <w:t>ontent</w:t>
          </w:r>
          <w:r w:rsidR="16AD35E4" w:rsidRPr="5575EBFC">
            <w:rPr>
              <w:b/>
              <w:bCs/>
              <w:sz w:val="36"/>
              <w:szCs w:val="36"/>
              <w:lang w:val="en-GB"/>
            </w:rPr>
            <w:t>s</w:t>
          </w:r>
        </w:p>
        <w:p w14:paraId="36A9CFD6" w14:textId="4AA94983" w:rsidR="005E0B0F" w:rsidRPr="00FC1BA2" w:rsidRDefault="00C74E6B" w:rsidP="00BC3E6B">
          <w:pPr>
            <w:pStyle w:val="TOC1"/>
            <w:rPr>
              <w:b w:val="0"/>
              <w:bCs w:val="0"/>
              <w:kern w:val="2"/>
              <w:lang w:val="en-US"/>
            </w:rPr>
          </w:pPr>
          <w:r>
            <w:fldChar w:fldCharType="begin"/>
          </w:r>
          <w:r w:rsidR="00033F4D">
            <w:instrText>TOC \o "1-2" \h \z \u</w:instrText>
          </w:r>
          <w:r>
            <w:fldChar w:fldCharType="separate"/>
          </w:r>
          <w:hyperlink w:anchor="_Toc146898454" w:history="1">
            <w:r w:rsidR="005E0B0F" w:rsidRPr="00BC3E6B">
              <w:rPr>
                <w:rStyle w:val="Hyperlink"/>
              </w:rPr>
              <w:t>Executive summary</w:t>
            </w:r>
            <w:r w:rsidR="005E0B0F" w:rsidRPr="005E0B0F">
              <w:rPr>
                <w:webHidden/>
              </w:rPr>
              <w:tab/>
            </w:r>
            <w:r w:rsidR="005E0B0F" w:rsidRPr="00F26E2B">
              <w:rPr>
                <w:webHidden/>
              </w:rPr>
              <w:fldChar w:fldCharType="begin"/>
            </w:r>
            <w:r w:rsidR="005E0B0F" w:rsidRPr="005E0B0F">
              <w:rPr>
                <w:webHidden/>
              </w:rPr>
              <w:instrText xml:space="preserve"> PAGEREF _Toc146898454 \h </w:instrText>
            </w:r>
            <w:r w:rsidR="005E0B0F" w:rsidRPr="00F26E2B">
              <w:rPr>
                <w:webHidden/>
              </w:rPr>
            </w:r>
            <w:r w:rsidR="005E0B0F" w:rsidRPr="00F26E2B">
              <w:rPr>
                <w:webHidden/>
              </w:rPr>
              <w:fldChar w:fldCharType="separate"/>
            </w:r>
            <w:r w:rsidR="00287BC7">
              <w:rPr>
                <w:webHidden/>
              </w:rPr>
              <w:t>1</w:t>
            </w:r>
            <w:r w:rsidR="005E0B0F" w:rsidRPr="00F26E2B">
              <w:rPr>
                <w:webHidden/>
              </w:rPr>
              <w:fldChar w:fldCharType="end"/>
            </w:r>
          </w:hyperlink>
        </w:p>
        <w:p w14:paraId="2B972554" w14:textId="4BBDDF3C" w:rsidR="005E0B0F" w:rsidRPr="00FC1BA2" w:rsidRDefault="005E43B8" w:rsidP="00BC3E6B">
          <w:pPr>
            <w:pStyle w:val="TOC1"/>
            <w:rPr>
              <w:b w:val="0"/>
              <w:bCs w:val="0"/>
              <w:kern w:val="2"/>
              <w:lang w:val="en-US"/>
            </w:rPr>
          </w:pPr>
          <w:hyperlink w:anchor="_Toc146898455" w:history="1">
            <w:r w:rsidR="005E0B0F" w:rsidRPr="00BC3E6B">
              <w:rPr>
                <w:rStyle w:val="Hyperlink"/>
              </w:rPr>
              <w:t>3.1. Introduction</w:t>
            </w:r>
            <w:r w:rsidR="005E0B0F" w:rsidRPr="005E0B0F">
              <w:rPr>
                <w:webHidden/>
              </w:rPr>
              <w:tab/>
            </w:r>
            <w:r w:rsidR="005E0B0F" w:rsidRPr="00F26E2B">
              <w:rPr>
                <w:webHidden/>
              </w:rPr>
              <w:fldChar w:fldCharType="begin"/>
            </w:r>
            <w:r w:rsidR="005E0B0F" w:rsidRPr="005E0B0F">
              <w:rPr>
                <w:webHidden/>
              </w:rPr>
              <w:instrText xml:space="preserve"> PAGEREF _Toc146898455 \h </w:instrText>
            </w:r>
            <w:r w:rsidR="005E0B0F" w:rsidRPr="00F26E2B">
              <w:rPr>
                <w:webHidden/>
              </w:rPr>
            </w:r>
            <w:r w:rsidR="005E0B0F" w:rsidRPr="00F26E2B">
              <w:rPr>
                <w:webHidden/>
              </w:rPr>
              <w:fldChar w:fldCharType="separate"/>
            </w:r>
            <w:r w:rsidR="00287BC7">
              <w:rPr>
                <w:webHidden/>
              </w:rPr>
              <w:t>5</w:t>
            </w:r>
            <w:r w:rsidR="005E0B0F" w:rsidRPr="00F26E2B">
              <w:rPr>
                <w:webHidden/>
              </w:rPr>
              <w:fldChar w:fldCharType="end"/>
            </w:r>
          </w:hyperlink>
        </w:p>
        <w:p w14:paraId="607FC029" w14:textId="36DACF35" w:rsidR="005E0B0F" w:rsidRPr="00FC1BA2" w:rsidRDefault="005E43B8" w:rsidP="00FC1BA2">
          <w:pPr>
            <w:pStyle w:val="TOC2"/>
            <w:tabs>
              <w:tab w:val="right" w:leader="dot" w:pos="9620"/>
            </w:tabs>
            <w:spacing w:before="0"/>
            <w:rPr>
              <w:rFonts w:ascii="Times New Roman" w:hAnsi="Times New Roman" w:cs="Times New Roman"/>
              <w:b w:val="0"/>
              <w:bCs w:val="0"/>
              <w:noProof/>
              <w:kern w:val="2"/>
              <w:sz w:val="24"/>
              <w:szCs w:val="24"/>
              <w:lang w:val="en-US"/>
            </w:rPr>
          </w:pPr>
          <w:hyperlink w:anchor="_Toc146898456" w:history="1">
            <w:r w:rsidR="005E0B0F" w:rsidRPr="00FC1BA2">
              <w:rPr>
                <w:rStyle w:val="Hyperlink"/>
                <w:rFonts w:ascii="Times New Roman" w:hAnsi="Times New Roman" w:cs="Times New Roman"/>
                <w:b w:val="0"/>
                <w:noProof/>
                <w:sz w:val="24"/>
                <w:szCs w:val="24"/>
                <w:lang w:val="en-GB"/>
              </w:rPr>
              <w:t>3.1.1. Setting the scene: increasing global trends in drivers of change in nature</w:t>
            </w:r>
            <w:r w:rsidR="005E0B0F" w:rsidRPr="00FC1BA2">
              <w:rPr>
                <w:rFonts w:ascii="Times New Roman" w:hAnsi="Times New Roman" w:cs="Times New Roman"/>
                <w:b w:val="0"/>
                <w:noProof/>
                <w:webHidden/>
                <w:sz w:val="24"/>
                <w:szCs w:val="24"/>
              </w:rPr>
              <w:tab/>
            </w:r>
            <w:r w:rsidR="005E0B0F" w:rsidRPr="00FC1BA2">
              <w:rPr>
                <w:rFonts w:ascii="Times New Roman" w:hAnsi="Times New Roman" w:cs="Times New Roman"/>
                <w:b w:val="0"/>
                <w:noProof/>
                <w:webHidden/>
                <w:sz w:val="24"/>
                <w:szCs w:val="24"/>
              </w:rPr>
              <w:fldChar w:fldCharType="begin"/>
            </w:r>
            <w:r w:rsidR="005E0B0F" w:rsidRPr="00FC1BA2">
              <w:rPr>
                <w:rFonts w:ascii="Times New Roman" w:hAnsi="Times New Roman" w:cs="Times New Roman"/>
                <w:b w:val="0"/>
                <w:noProof/>
                <w:webHidden/>
                <w:sz w:val="24"/>
                <w:szCs w:val="24"/>
              </w:rPr>
              <w:instrText xml:space="preserve"> PAGEREF _Toc146898456 \h </w:instrText>
            </w:r>
            <w:r w:rsidR="005E0B0F" w:rsidRPr="00FC1BA2">
              <w:rPr>
                <w:rFonts w:ascii="Times New Roman" w:hAnsi="Times New Roman" w:cs="Times New Roman"/>
                <w:b w:val="0"/>
                <w:noProof/>
                <w:webHidden/>
                <w:sz w:val="24"/>
                <w:szCs w:val="24"/>
              </w:rPr>
            </w:r>
            <w:r w:rsidR="005E0B0F" w:rsidRPr="00FC1BA2">
              <w:rPr>
                <w:rFonts w:ascii="Times New Roman" w:hAnsi="Times New Roman" w:cs="Times New Roman"/>
                <w:b w:val="0"/>
                <w:noProof/>
                <w:webHidden/>
                <w:sz w:val="24"/>
                <w:szCs w:val="24"/>
              </w:rPr>
              <w:fldChar w:fldCharType="separate"/>
            </w:r>
            <w:r w:rsidR="00287BC7">
              <w:rPr>
                <w:rFonts w:ascii="Times New Roman" w:hAnsi="Times New Roman" w:cs="Times New Roman"/>
                <w:b w:val="0"/>
                <w:noProof/>
                <w:webHidden/>
                <w:sz w:val="24"/>
                <w:szCs w:val="24"/>
              </w:rPr>
              <w:t>5</w:t>
            </w:r>
            <w:r w:rsidR="005E0B0F" w:rsidRPr="00FC1BA2">
              <w:rPr>
                <w:rFonts w:ascii="Times New Roman" w:hAnsi="Times New Roman" w:cs="Times New Roman"/>
                <w:b w:val="0"/>
                <w:noProof/>
                <w:webHidden/>
                <w:sz w:val="24"/>
                <w:szCs w:val="24"/>
              </w:rPr>
              <w:fldChar w:fldCharType="end"/>
            </w:r>
          </w:hyperlink>
        </w:p>
        <w:p w14:paraId="1FFBCB06" w14:textId="1306EB6C" w:rsidR="005E0B0F" w:rsidRPr="00FC1BA2" w:rsidRDefault="005E43B8" w:rsidP="00FC1BA2">
          <w:pPr>
            <w:pStyle w:val="TOC2"/>
            <w:tabs>
              <w:tab w:val="right" w:leader="dot" w:pos="9620"/>
            </w:tabs>
            <w:spacing w:before="0"/>
            <w:rPr>
              <w:rFonts w:ascii="Times New Roman" w:hAnsi="Times New Roman" w:cs="Times New Roman"/>
              <w:b w:val="0"/>
              <w:bCs w:val="0"/>
              <w:noProof/>
              <w:kern w:val="2"/>
              <w:sz w:val="24"/>
              <w:szCs w:val="24"/>
              <w:lang w:val="en-US"/>
            </w:rPr>
          </w:pPr>
          <w:hyperlink w:anchor="_Toc146898457" w:history="1">
            <w:r w:rsidR="005E0B0F" w:rsidRPr="00FC1BA2">
              <w:rPr>
                <w:rStyle w:val="Hyperlink"/>
                <w:rFonts w:ascii="Times New Roman" w:hAnsi="Times New Roman" w:cs="Times New Roman"/>
                <w:b w:val="0"/>
                <w:noProof/>
                <w:sz w:val="24"/>
                <w:szCs w:val="24"/>
                <w:lang w:val="en-GB"/>
              </w:rPr>
              <w:t>3.1.2. Scope and organization of the chapter with reference to the IPBES conceptual framework</w:t>
            </w:r>
            <w:r w:rsidR="005E0B0F" w:rsidRPr="00FC1BA2">
              <w:rPr>
                <w:rFonts w:ascii="Times New Roman" w:hAnsi="Times New Roman" w:cs="Times New Roman"/>
                <w:b w:val="0"/>
                <w:noProof/>
                <w:webHidden/>
                <w:sz w:val="24"/>
                <w:szCs w:val="24"/>
              </w:rPr>
              <w:tab/>
            </w:r>
            <w:r w:rsidR="005E0B0F" w:rsidRPr="00FC1BA2">
              <w:rPr>
                <w:rFonts w:ascii="Times New Roman" w:hAnsi="Times New Roman" w:cs="Times New Roman"/>
                <w:b w:val="0"/>
                <w:noProof/>
                <w:webHidden/>
                <w:sz w:val="24"/>
                <w:szCs w:val="24"/>
              </w:rPr>
              <w:fldChar w:fldCharType="begin"/>
            </w:r>
            <w:r w:rsidR="005E0B0F" w:rsidRPr="00FC1BA2">
              <w:rPr>
                <w:rFonts w:ascii="Times New Roman" w:hAnsi="Times New Roman" w:cs="Times New Roman"/>
                <w:b w:val="0"/>
                <w:noProof/>
                <w:webHidden/>
                <w:sz w:val="24"/>
                <w:szCs w:val="24"/>
              </w:rPr>
              <w:instrText xml:space="preserve"> PAGEREF _Toc146898457 \h </w:instrText>
            </w:r>
            <w:r w:rsidR="005E0B0F" w:rsidRPr="00FC1BA2">
              <w:rPr>
                <w:rFonts w:ascii="Times New Roman" w:hAnsi="Times New Roman" w:cs="Times New Roman"/>
                <w:b w:val="0"/>
                <w:noProof/>
                <w:webHidden/>
                <w:sz w:val="24"/>
                <w:szCs w:val="24"/>
              </w:rPr>
            </w:r>
            <w:r w:rsidR="005E0B0F" w:rsidRPr="00FC1BA2">
              <w:rPr>
                <w:rFonts w:ascii="Times New Roman" w:hAnsi="Times New Roman" w:cs="Times New Roman"/>
                <w:b w:val="0"/>
                <w:noProof/>
                <w:webHidden/>
                <w:sz w:val="24"/>
                <w:szCs w:val="24"/>
              </w:rPr>
              <w:fldChar w:fldCharType="separate"/>
            </w:r>
            <w:r w:rsidR="00287BC7">
              <w:rPr>
                <w:rFonts w:ascii="Times New Roman" w:hAnsi="Times New Roman" w:cs="Times New Roman"/>
                <w:b w:val="0"/>
                <w:noProof/>
                <w:webHidden/>
                <w:sz w:val="24"/>
                <w:szCs w:val="24"/>
              </w:rPr>
              <w:t>8</w:t>
            </w:r>
            <w:r w:rsidR="005E0B0F" w:rsidRPr="00FC1BA2">
              <w:rPr>
                <w:rFonts w:ascii="Times New Roman" w:hAnsi="Times New Roman" w:cs="Times New Roman"/>
                <w:b w:val="0"/>
                <w:noProof/>
                <w:webHidden/>
                <w:sz w:val="24"/>
                <w:szCs w:val="24"/>
              </w:rPr>
              <w:fldChar w:fldCharType="end"/>
            </w:r>
          </w:hyperlink>
        </w:p>
        <w:p w14:paraId="19A86EC3" w14:textId="21A68EB2" w:rsidR="005E0B0F" w:rsidRPr="00FC1BA2" w:rsidRDefault="005E43B8" w:rsidP="00FC1BA2">
          <w:pPr>
            <w:pStyle w:val="TOC2"/>
            <w:tabs>
              <w:tab w:val="right" w:leader="dot" w:pos="9620"/>
            </w:tabs>
            <w:spacing w:before="0"/>
            <w:rPr>
              <w:rFonts w:ascii="Times New Roman" w:hAnsi="Times New Roman" w:cs="Times New Roman"/>
              <w:b w:val="0"/>
              <w:bCs w:val="0"/>
              <w:noProof/>
              <w:kern w:val="2"/>
              <w:sz w:val="24"/>
              <w:szCs w:val="24"/>
              <w:lang w:val="en-US"/>
            </w:rPr>
          </w:pPr>
          <w:hyperlink w:anchor="_Toc146898458" w:history="1">
            <w:r w:rsidR="005E0B0F" w:rsidRPr="00FC1BA2">
              <w:rPr>
                <w:rStyle w:val="Hyperlink"/>
                <w:rFonts w:ascii="Times New Roman" w:hAnsi="Times New Roman" w:cs="Times New Roman"/>
                <w:b w:val="0"/>
                <w:noProof/>
                <w:sz w:val="24"/>
                <w:szCs w:val="24"/>
                <w:lang w:val="en-GB"/>
              </w:rPr>
              <w:t>3.1.3. Identifying drivers of change in nature of relevance for invasive alien species</w:t>
            </w:r>
            <w:r w:rsidR="005E0B0F" w:rsidRPr="00FC1BA2">
              <w:rPr>
                <w:rFonts w:ascii="Times New Roman" w:hAnsi="Times New Roman" w:cs="Times New Roman"/>
                <w:b w:val="0"/>
                <w:noProof/>
                <w:webHidden/>
                <w:sz w:val="24"/>
                <w:szCs w:val="24"/>
              </w:rPr>
              <w:tab/>
            </w:r>
            <w:r w:rsidR="005E0B0F" w:rsidRPr="00FC1BA2">
              <w:rPr>
                <w:rFonts w:ascii="Times New Roman" w:hAnsi="Times New Roman" w:cs="Times New Roman"/>
                <w:b w:val="0"/>
                <w:noProof/>
                <w:webHidden/>
                <w:sz w:val="24"/>
                <w:szCs w:val="24"/>
              </w:rPr>
              <w:fldChar w:fldCharType="begin"/>
            </w:r>
            <w:r w:rsidR="005E0B0F" w:rsidRPr="00FC1BA2">
              <w:rPr>
                <w:rFonts w:ascii="Times New Roman" w:hAnsi="Times New Roman" w:cs="Times New Roman"/>
                <w:b w:val="0"/>
                <w:noProof/>
                <w:webHidden/>
                <w:sz w:val="24"/>
                <w:szCs w:val="24"/>
              </w:rPr>
              <w:instrText xml:space="preserve"> PAGEREF _Toc146898458 \h </w:instrText>
            </w:r>
            <w:r w:rsidR="005E0B0F" w:rsidRPr="00FC1BA2">
              <w:rPr>
                <w:rFonts w:ascii="Times New Roman" w:hAnsi="Times New Roman" w:cs="Times New Roman"/>
                <w:b w:val="0"/>
                <w:noProof/>
                <w:webHidden/>
                <w:sz w:val="24"/>
                <w:szCs w:val="24"/>
              </w:rPr>
            </w:r>
            <w:r w:rsidR="005E0B0F" w:rsidRPr="00FC1BA2">
              <w:rPr>
                <w:rFonts w:ascii="Times New Roman" w:hAnsi="Times New Roman" w:cs="Times New Roman"/>
                <w:b w:val="0"/>
                <w:noProof/>
                <w:webHidden/>
                <w:sz w:val="24"/>
                <w:szCs w:val="24"/>
              </w:rPr>
              <w:fldChar w:fldCharType="separate"/>
            </w:r>
            <w:r w:rsidR="00287BC7">
              <w:rPr>
                <w:rFonts w:ascii="Times New Roman" w:hAnsi="Times New Roman" w:cs="Times New Roman"/>
                <w:b w:val="0"/>
                <w:noProof/>
                <w:webHidden/>
                <w:sz w:val="24"/>
                <w:szCs w:val="24"/>
              </w:rPr>
              <w:t>11</w:t>
            </w:r>
            <w:r w:rsidR="005E0B0F" w:rsidRPr="00FC1BA2">
              <w:rPr>
                <w:rFonts w:ascii="Times New Roman" w:hAnsi="Times New Roman" w:cs="Times New Roman"/>
                <w:b w:val="0"/>
                <w:noProof/>
                <w:webHidden/>
                <w:sz w:val="24"/>
                <w:szCs w:val="24"/>
              </w:rPr>
              <w:fldChar w:fldCharType="end"/>
            </w:r>
          </w:hyperlink>
        </w:p>
        <w:p w14:paraId="6DADF08D" w14:textId="28942E36" w:rsidR="005E0B0F" w:rsidRPr="00FC1BA2" w:rsidRDefault="005E43B8" w:rsidP="00FC1BA2">
          <w:pPr>
            <w:pStyle w:val="TOC2"/>
            <w:tabs>
              <w:tab w:val="right" w:leader="dot" w:pos="9620"/>
            </w:tabs>
            <w:spacing w:before="0"/>
            <w:rPr>
              <w:rFonts w:ascii="Times New Roman" w:hAnsi="Times New Roman" w:cs="Times New Roman"/>
              <w:b w:val="0"/>
              <w:bCs w:val="0"/>
              <w:noProof/>
              <w:kern w:val="2"/>
              <w:sz w:val="24"/>
              <w:szCs w:val="24"/>
              <w:lang w:val="en-US"/>
            </w:rPr>
          </w:pPr>
          <w:hyperlink w:anchor="_Toc146898459" w:history="1">
            <w:r w:rsidR="005E0B0F" w:rsidRPr="00FC1BA2">
              <w:rPr>
                <w:rStyle w:val="Hyperlink"/>
                <w:rFonts w:ascii="Times New Roman" w:hAnsi="Times New Roman" w:cs="Times New Roman"/>
                <w:b w:val="0"/>
                <w:noProof/>
                <w:sz w:val="24"/>
                <w:szCs w:val="24"/>
                <w:lang w:val="en-GB"/>
              </w:rPr>
              <w:t>3.1.4. Differential role of drivers along the stages of the biological invasion process</w:t>
            </w:r>
            <w:r w:rsidR="005E0B0F" w:rsidRPr="00FC1BA2">
              <w:rPr>
                <w:rFonts w:ascii="Times New Roman" w:hAnsi="Times New Roman" w:cs="Times New Roman"/>
                <w:b w:val="0"/>
                <w:noProof/>
                <w:webHidden/>
                <w:sz w:val="24"/>
                <w:szCs w:val="24"/>
              </w:rPr>
              <w:tab/>
            </w:r>
            <w:r w:rsidR="005E0B0F" w:rsidRPr="00FC1BA2">
              <w:rPr>
                <w:rFonts w:ascii="Times New Roman" w:hAnsi="Times New Roman" w:cs="Times New Roman"/>
                <w:b w:val="0"/>
                <w:noProof/>
                <w:webHidden/>
                <w:sz w:val="24"/>
                <w:szCs w:val="24"/>
              </w:rPr>
              <w:fldChar w:fldCharType="begin"/>
            </w:r>
            <w:r w:rsidR="005E0B0F" w:rsidRPr="00FC1BA2">
              <w:rPr>
                <w:rFonts w:ascii="Times New Roman" w:hAnsi="Times New Roman" w:cs="Times New Roman"/>
                <w:b w:val="0"/>
                <w:noProof/>
                <w:webHidden/>
                <w:sz w:val="24"/>
                <w:szCs w:val="24"/>
              </w:rPr>
              <w:instrText xml:space="preserve"> PAGEREF _Toc146898459 \h </w:instrText>
            </w:r>
            <w:r w:rsidR="005E0B0F" w:rsidRPr="00FC1BA2">
              <w:rPr>
                <w:rFonts w:ascii="Times New Roman" w:hAnsi="Times New Roman" w:cs="Times New Roman"/>
                <w:b w:val="0"/>
                <w:noProof/>
                <w:webHidden/>
                <w:sz w:val="24"/>
                <w:szCs w:val="24"/>
              </w:rPr>
            </w:r>
            <w:r w:rsidR="005E0B0F" w:rsidRPr="00FC1BA2">
              <w:rPr>
                <w:rFonts w:ascii="Times New Roman" w:hAnsi="Times New Roman" w:cs="Times New Roman"/>
                <w:b w:val="0"/>
                <w:noProof/>
                <w:webHidden/>
                <w:sz w:val="24"/>
                <w:szCs w:val="24"/>
              </w:rPr>
              <w:fldChar w:fldCharType="separate"/>
            </w:r>
            <w:r w:rsidR="00287BC7">
              <w:rPr>
                <w:rFonts w:ascii="Times New Roman" w:hAnsi="Times New Roman" w:cs="Times New Roman"/>
                <w:b w:val="0"/>
                <w:noProof/>
                <w:webHidden/>
                <w:sz w:val="24"/>
                <w:szCs w:val="24"/>
              </w:rPr>
              <w:t>15</w:t>
            </w:r>
            <w:r w:rsidR="005E0B0F" w:rsidRPr="00FC1BA2">
              <w:rPr>
                <w:rFonts w:ascii="Times New Roman" w:hAnsi="Times New Roman" w:cs="Times New Roman"/>
                <w:b w:val="0"/>
                <w:noProof/>
                <w:webHidden/>
                <w:sz w:val="24"/>
                <w:szCs w:val="24"/>
              </w:rPr>
              <w:fldChar w:fldCharType="end"/>
            </w:r>
          </w:hyperlink>
        </w:p>
        <w:p w14:paraId="44F23687" w14:textId="21AB86BB" w:rsidR="005E0B0F" w:rsidRPr="00FC1BA2" w:rsidRDefault="005E43B8" w:rsidP="00FC1BA2">
          <w:pPr>
            <w:pStyle w:val="TOC2"/>
            <w:tabs>
              <w:tab w:val="right" w:leader="dot" w:pos="9620"/>
            </w:tabs>
            <w:spacing w:before="0"/>
            <w:rPr>
              <w:rFonts w:ascii="Times New Roman" w:hAnsi="Times New Roman" w:cs="Times New Roman"/>
              <w:b w:val="0"/>
              <w:bCs w:val="0"/>
              <w:noProof/>
              <w:kern w:val="2"/>
              <w:sz w:val="24"/>
              <w:szCs w:val="24"/>
              <w:lang w:val="en-US"/>
            </w:rPr>
          </w:pPr>
          <w:hyperlink w:anchor="_Toc146898460" w:history="1">
            <w:r w:rsidR="005E0B0F" w:rsidRPr="00FC1BA2">
              <w:rPr>
                <w:rStyle w:val="Hyperlink"/>
                <w:rFonts w:ascii="Times New Roman" w:hAnsi="Times New Roman" w:cs="Times New Roman"/>
                <w:b w:val="0"/>
                <w:noProof/>
                <w:sz w:val="24"/>
                <w:szCs w:val="24"/>
                <w:lang w:val="en-GB"/>
              </w:rPr>
              <w:t>3.1.5. Attributing causality and understanding interactions among drivers</w:t>
            </w:r>
            <w:r w:rsidR="005E0B0F" w:rsidRPr="00FC1BA2">
              <w:rPr>
                <w:rFonts w:ascii="Times New Roman" w:hAnsi="Times New Roman" w:cs="Times New Roman"/>
                <w:b w:val="0"/>
                <w:noProof/>
                <w:webHidden/>
                <w:sz w:val="24"/>
                <w:szCs w:val="24"/>
              </w:rPr>
              <w:tab/>
            </w:r>
            <w:r w:rsidR="005E0B0F" w:rsidRPr="00FC1BA2">
              <w:rPr>
                <w:rFonts w:ascii="Times New Roman" w:hAnsi="Times New Roman" w:cs="Times New Roman"/>
                <w:b w:val="0"/>
                <w:noProof/>
                <w:webHidden/>
                <w:sz w:val="24"/>
                <w:szCs w:val="24"/>
              </w:rPr>
              <w:fldChar w:fldCharType="begin"/>
            </w:r>
            <w:r w:rsidR="005E0B0F" w:rsidRPr="00FC1BA2">
              <w:rPr>
                <w:rFonts w:ascii="Times New Roman" w:hAnsi="Times New Roman" w:cs="Times New Roman"/>
                <w:b w:val="0"/>
                <w:noProof/>
                <w:webHidden/>
                <w:sz w:val="24"/>
                <w:szCs w:val="24"/>
              </w:rPr>
              <w:instrText xml:space="preserve"> PAGEREF _Toc146898460 \h </w:instrText>
            </w:r>
            <w:r w:rsidR="005E0B0F" w:rsidRPr="00FC1BA2">
              <w:rPr>
                <w:rFonts w:ascii="Times New Roman" w:hAnsi="Times New Roman" w:cs="Times New Roman"/>
                <w:b w:val="0"/>
                <w:noProof/>
                <w:webHidden/>
                <w:sz w:val="24"/>
                <w:szCs w:val="24"/>
              </w:rPr>
            </w:r>
            <w:r w:rsidR="005E0B0F" w:rsidRPr="00FC1BA2">
              <w:rPr>
                <w:rFonts w:ascii="Times New Roman" w:hAnsi="Times New Roman" w:cs="Times New Roman"/>
                <w:b w:val="0"/>
                <w:noProof/>
                <w:webHidden/>
                <w:sz w:val="24"/>
                <w:szCs w:val="24"/>
              </w:rPr>
              <w:fldChar w:fldCharType="separate"/>
            </w:r>
            <w:r w:rsidR="00287BC7">
              <w:rPr>
                <w:rFonts w:ascii="Times New Roman" w:hAnsi="Times New Roman" w:cs="Times New Roman"/>
                <w:b w:val="0"/>
                <w:noProof/>
                <w:webHidden/>
                <w:sz w:val="24"/>
                <w:szCs w:val="24"/>
              </w:rPr>
              <w:t>16</w:t>
            </w:r>
            <w:r w:rsidR="005E0B0F" w:rsidRPr="00FC1BA2">
              <w:rPr>
                <w:rFonts w:ascii="Times New Roman" w:hAnsi="Times New Roman" w:cs="Times New Roman"/>
                <w:b w:val="0"/>
                <w:noProof/>
                <w:webHidden/>
                <w:sz w:val="24"/>
                <w:szCs w:val="24"/>
              </w:rPr>
              <w:fldChar w:fldCharType="end"/>
            </w:r>
          </w:hyperlink>
        </w:p>
        <w:p w14:paraId="1B22A2B3" w14:textId="11902675" w:rsidR="005E0B0F" w:rsidRPr="00FC1BA2" w:rsidRDefault="005E43B8" w:rsidP="00BC3E6B">
          <w:pPr>
            <w:pStyle w:val="TOC1"/>
            <w:rPr>
              <w:b w:val="0"/>
              <w:bCs w:val="0"/>
              <w:kern w:val="2"/>
              <w:lang w:val="en-US"/>
            </w:rPr>
          </w:pPr>
          <w:hyperlink w:anchor="_Toc146898461" w:history="1">
            <w:r w:rsidR="005E0B0F" w:rsidRPr="00BC3E6B">
              <w:rPr>
                <w:rStyle w:val="Hyperlink"/>
              </w:rPr>
              <w:t>3.2. The role of in</w:t>
            </w:r>
            <w:r w:rsidR="005E0B0F" w:rsidRPr="005E0B0F">
              <w:rPr>
                <w:rStyle w:val="Hyperlink"/>
              </w:rPr>
              <w:t>direct drivers of change in nature on invasive alien species</w:t>
            </w:r>
            <w:r w:rsidR="005E0B0F" w:rsidRPr="005E0B0F">
              <w:rPr>
                <w:webHidden/>
              </w:rPr>
              <w:tab/>
            </w:r>
            <w:r w:rsidR="005E0B0F" w:rsidRPr="00F26E2B">
              <w:rPr>
                <w:webHidden/>
              </w:rPr>
              <w:fldChar w:fldCharType="begin"/>
            </w:r>
            <w:r w:rsidR="005E0B0F" w:rsidRPr="005E0B0F">
              <w:rPr>
                <w:webHidden/>
              </w:rPr>
              <w:instrText xml:space="preserve"> PAGEREF _Toc146898461 \h </w:instrText>
            </w:r>
            <w:r w:rsidR="005E0B0F" w:rsidRPr="00F26E2B">
              <w:rPr>
                <w:webHidden/>
              </w:rPr>
            </w:r>
            <w:r w:rsidR="005E0B0F" w:rsidRPr="00F26E2B">
              <w:rPr>
                <w:webHidden/>
              </w:rPr>
              <w:fldChar w:fldCharType="separate"/>
            </w:r>
            <w:r w:rsidR="00287BC7">
              <w:rPr>
                <w:webHidden/>
              </w:rPr>
              <w:t>18</w:t>
            </w:r>
            <w:r w:rsidR="005E0B0F" w:rsidRPr="00F26E2B">
              <w:rPr>
                <w:webHidden/>
              </w:rPr>
              <w:fldChar w:fldCharType="end"/>
            </w:r>
          </w:hyperlink>
        </w:p>
        <w:p w14:paraId="1AC875B6" w14:textId="00A4C573" w:rsidR="005E0B0F" w:rsidRPr="00FC1BA2" w:rsidRDefault="005E43B8" w:rsidP="00FC1BA2">
          <w:pPr>
            <w:pStyle w:val="TOC2"/>
            <w:tabs>
              <w:tab w:val="right" w:leader="dot" w:pos="9620"/>
            </w:tabs>
            <w:spacing w:before="0"/>
            <w:rPr>
              <w:rFonts w:ascii="Times New Roman" w:hAnsi="Times New Roman" w:cs="Times New Roman"/>
              <w:b w:val="0"/>
              <w:bCs w:val="0"/>
              <w:noProof/>
              <w:kern w:val="2"/>
              <w:sz w:val="24"/>
              <w:szCs w:val="24"/>
              <w:lang w:val="en-US"/>
            </w:rPr>
          </w:pPr>
          <w:hyperlink w:anchor="_Toc146898462" w:history="1">
            <w:r w:rsidR="005E0B0F" w:rsidRPr="00FC1BA2">
              <w:rPr>
                <w:rStyle w:val="Hyperlink"/>
                <w:rFonts w:ascii="Times New Roman" w:hAnsi="Times New Roman" w:cs="Times New Roman"/>
                <w:b w:val="0"/>
                <w:noProof/>
                <w:sz w:val="24"/>
                <w:szCs w:val="24"/>
                <w:lang w:val="en-GB"/>
              </w:rPr>
              <w:t>3.2.1. Sociocultural drivers and social values</w:t>
            </w:r>
            <w:r w:rsidR="005E0B0F" w:rsidRPr="00FC1BA2">
              <w:rPr>
                <w:rFonts w:ascii="Times New Roman" w:hAnsi="Times New Roman" w:cs="Times New Roman"/>
                <w:b w:val="0"/>
                <w:noProof/>
                <w:webHidden/>
                <w:sz w:val="24"/>
                <w:szCs w:val="24"/>
              </w:rPr>
              <w:tab/>
            </w:r>
            <w:r w:rsidR="005E0B0F" w:rsidRPr="00FC1BA2">
              <w:rPr>
                <w:rFonts w:ascii="Times New Roman" w:hAnsi="Times New Roman" w:cs="Times New Roman"/>
                <w:b w:val="0"/>
                <w:noProof/>
                <w:webHidden/>
                <w:sz w:val="24"/>
                <w:szCs w:val="24"/>
              </w:rPr>
              <w:fldChar w:fldCharType="begin"/>
            </w:r>
            <w:r w:rsidR="005E0B0F" w:rsidRPr="00FC1BA2">
              <w:rPr>
                <w:rFonts w:ascii="Times New Roman" w:hAnsi="Times New Roman" w:cs="Times New Roman"/>
                <w:b w:val="0"/>
                <w:noProof/>
                <w:webHidden/>
                <w:sz w:val="24"/>
                <w:szCs w:val="24"/>
              </w:rPr>
              <w:instrText xml:space="preserve"> PAGEREF _Toc146898462 \h </w:instrText>
            </w:r>
            <w:r w:rsidR="005E0B0F" w:rsidRPr="00FC1BA2">
              <w:rPr>
                <w:rFonts w:ascii="Times New Roman" w:hAnsi="Times New Roman" w:cs="Times New Roman"/>
                <w:b w:val="0"/>
                <w:noProof/>
                <w:webHidden/>
                <w:sz w:val="24"/>
                <w:szCs w:val="24"/>
              </w:rPr>
            </w:r>
            <w:r w:rsidR="005E0B0F" w:rsidRPr="00FC1BA2">
              <w:rPr>
                <w:rFonts w:ascii="Times New Roman" w:hAnsi="Times New Roman" w:cs="Times New Roman"/>
                <w:b w:val="0"/>
                <w:noProof/>
                <w:webHidden/>
                <w:sz w:val="24"/>
                <w:szCs w:val="24"/>
              </w:rPr>
              <w:fldChar w:fldCharType="separate"/>
            </w:r>
            <w:r w:rsidR="00287BC7">
              <w:rPr>
                <w:rFonts w:ascii="Times New Roman" w:hAnsi="Times New Roman" w:cs="Times New Roman"/>
                <w:b w:val="0"/>
                <w:noProof/>
                <w:webHidden/>
                <w:sz w:val="24"/>
                <w:szCs w:val="24"/>
              </w:rPr>
              <w:t>18</w:t>
            </w:r>
            <w:r w:rsidR="005E0B0F" w:rsidRPr="00FC1BA2">
              <w:rPr>
                <w:rFonts w:ascii="Times New Roman" w:hAnsi="Times New Roman" w:cs="Times New Roman"/>
                <w:b w:val="0"/>
                <w:noProof/>
                <w:webHidden/>
                <w:sz w:val="24"/>
                <w:szCs w:val="24"/>
              </w:rPr>
              <w:fldChar w:fldCharType="end"/>
            </w:r>
          </w:hyperlink>
        </w:p>
        <w:p w14:paraId="175881F0" w14:textId="05EFE9EE" w:rsidR="005E0B0F" w:rsidRPr="00FC1BA2" w:rsidRDefault="005E43B8" w:rsidP="00FC1BA2">
          <w:pPr>
            <w:pStyle w:val="TOC2"/>
            <w:tabs>
              <w:tab w:val="right" w:leader="dot" w:pos="9620"/>
            </w:tabs>
            <w:spacing w:before="0"/>
            <w:rPr>
              <w:rFonts w:ascii="Times New Roman" w:hAnsi="Times New Roman" w:cs="Times New Roman"/>
              <w:b w:val="0"/>
              <w:bCs w:val="0"/>
              <w:noProof/>
              <w:kern w:val="2"/>
              <w:sz w:val="24"/>
              <w:szCs w:val="24"/>
              <w:lang w:val="en-US"/>
            </w:rPr>
          </w:pPr>
          <w:hyperlink w:anchor="_Toc146898463" w:history="1">
            <w:r w:rsidR="005E0B0F" w:rsidRPr="00FC1BA2">
              <w:rPr>
                <w:rStyle w:val="Hyperlink"/>
                <w:rFonts w:ascii="Times New Roman" w:hAnsi="Times New Roman" w:cs="Times New Roman"/>
                <w:b w:val="0"/>
                <w:noProof/>
                <w:sz w:val="24"/>
                <w:szCs w:val="24"/>
                <w:lang w:val="en-GB"/>
              </w:rPr>
              <w:t>3.2.2. Demographic drivers</w:t>
            </w:r>
            <w:r w:rsidR="005E0B0F" w:rsidRPr="00FC1BA2">
              <w:rPr>
                <w:rFonts w:ascii="Times New Roman" w:hAnsi="Times New Roman" w:cs="Times New Roman"/>
                <w:b w:val="0"/>
                <w:noProof/>
                <w:webHidden/>
                <w:sz w:val="24"/>
                <w:szCs w:val="24"/>
              </w:rPr>
              <w:tab/>
            </w:r>
            <w:r w:rsidR="005E0B0F" w:rsidRPr="00FC1BA2">
              <w:rPr>
                <w:rFonts w:ascii="Times New Roman" w:hAnsi="Times New Roman" w:cs="Times New Roman"/>
                <w:b w:val="0"/>
                <w:noProof/>
                <w:webHidden/>
                <w:sz w:val="24"/>
                <w:szCs w:val="24"/>
              </w:rPr>
              <w:fldChar w:fldCharType="begin"/>
            </w:r>
            <w:r w:rsidR="005E0B0F" w:rsidRPr="00FC1BA2">
              <w:rPr>
                <w:rFonts w:ascii="Times New Roman" w:hAnsi="Times New Roman" w:cs="Times New Roman"/>
                <w:b w:val="0"/>
                <w:noProof/>
                <w:webHidden/>
                <w:sz w:val="24"/>
                <w:szCs w:val="24"/>
              </w:rPr>
              <w:instrText xml:space="preserve"> PAGEREF _Toc146898463 \h </w:instrText>
            </w:r>
            <w:r w:rsidR="005E0B0F" w:rsidRPr="00FC1BA2">
              <w:rPr>
                <w:rFonts w:ascii="Times New Roman" w:hAnsi="Times New Roman" w:cs="Times New Roman"/>
                <w:b w:val="0"/>
                <w:noProof/>
                <w:webHidden/>
                <w:sz w:val="24"/>
                <w:szCs w:val="24"/>
              </w:rPr>
            </w:r>
            <w:r w:rsidR="005E0B0F" w:rsidRPr="00FC1BA2">
              <w:rPr>
                <w:rFonts w:ascii="Times New Roman" w:hAnsi="Times New Roman" w:cs="Times New Roman"/>
                <w:b w:val="0"/>
                <w:noProof/>
                <w:webHidden/>
                <w:sz w:val="24"/>
                <w:szCs w:val="24"/>
              </w:rPr>
              <w:fldChar w:fldCharType="separate"/>
            </w:r>
            <w:r w:rsidR="00287BC7">
              <w:rPr>
                <w:rFonts w:ascii="Times New Roman" w:hAnsi="Times New Roman" w:cs="Times New Roman"/>
                <w:b w:val="0"/>
                <w:noProof/>
                <w:webHidden/>
                <w:sz w:val="24"/>
                <w:szCs w:val="24"/>
              </w:rPr>
              <w:t>21</w:t>
            </w:r>
            <w:r w:rsidR="005E0B0F" w:rsidRPr="00FC1BA2">
              <w:rPr>
                <w:rFonts w:ascii="Times New Roman" w:hAnsi="Times New Roman" w:cs="Times New Roman"/>
                <w:b w:val="0"/>
                <w:noProof/>
                <w:webHidden/>
                <w:sz w:val="24"/>
                <w:szCs w:val="24"/>
              </w:rPr>
              <w:fldChar w:fldCharType="end"/>
            </w:r>
          </w:hyperlink>
        </w:p>
        <w:p w14:paraId="397D9E38" w14:textId="4B57C750" w:rsidR="005E0B0F" w:rsidRPr="00FC1BA2" w:rsidRDefault="005E43B8" w:rsidP="00FC1BA2">
          <w:pPr>
            <w:pStyle w:val="TOC2"/>
            <w:tabs>
              <w:tab w:val="right" w:leader="dot" w:pos="9620"/>
            </w:tabs>
            <w:spacing w:before="0"/>
            <w:rPr>
              <w:rFonts w:ascii="Times New Roman" w:hAnsi="Times New Roman" w:cs="Times New Roman"/>
              <w:b w:val="0"/>
              <w:bCs w:val="0"/>
              <w:noProof/>
              <w:kern w:val="2"/>
              <w:sz w:val="24"/>
              <w:szCs w:val="24"/>
              <w:lang w:val="en-US"/>
            </w:rPr>
          </w:pPr>
          <w:hyperlink w:anchor="_Toc146898464" w:history="1">
            <w:r w:rsidR="005E0B0F" w:rsidRPr="00FC1BA2">
              <w:rPr>
                <w:rStyle w:val="Hyperlink"/>
                <w:rFonts w:ascii="Times New Roman" w:hAnsi="Times New Roman" w:cs="Times New Roman"/>
                <w:b w:val="0"/>
                <w:noProof/>
                <w:sz w:val="24"/>
                <w:szCs w:val="24"/>
                <w:lang w:val="en-GB"/>
              </w:rPr>
              <w:t>3.2.3. Economic drivers</w:t>
            </w:r>
            <w:r w:rsidR="005E0B0F" w:rsidRPr="00FC1BA2">
              <w:rPr>
                <w:rFonts w:ascii="Times New Roman" w:hAnsi="Times New Roman" w:cs="Times New Roman"/>
                <w:b w:val="0"/>
                <w:noProof/>
                <w:webHidden/>
                <w:sz w:val="24"/>
                <w:szCs w:val="24"/>
              </w:rPr>
              <w:tab/>
            </w:r>
            <w:r w:rsidR="005E0B0F" w:rsidRPr="00FC1BA2">
              <w:rPr>
                <w:rFonts w:ascii="Times New Roman" w:hAnsi="Times New Roman" w:cs="Times New Roman"/>
                <w:b w:val="0"/>
                <w:noProof/>
                <w:webHidden/>
                <w:sz w:val="24"/>
                <w:szCs w:val="24"/>
              </w:rPr>
              <w:fldChar w:fldCharType="begin"/>
            </w:r>
            <w:r w:rsidR="005E0B0F" w:rsidRPr="00FC1BA2">
              <w:rPr>
                <w:rFonts w:ascii="Times New Roman" w:hAnsi="Times New Roman" w:cs="Times New Roman"/>
                <w:b w:val="0"/>
                <w:noProof/>
                <w:webHidden/>
                <w:sz w:val="24"/>
                <w:szCs w:val="24"/>
              </w:rPr>
              <w:instrText xml:space="preserve"> PAGEREF _Toc146898464 \h </w:instrText>
            </w:r>
            <w:r w:rsidR="005E0B0F" w:rsidRPr="00FC1BA2">
              <w:rPr>
                <w:rFonts w:ascii="Times New Roman" w:hAnsi="Times New Roman" w:cs="Times New Roman"/>
                <w:b w:val="0"/>
                <w:noProof/>
                <w:webHidden/>
                <w:sz w:val="24"/>
                <w:szCs w:val="24"/>
              </w:rPr>
            </w:r>
            <w:r w:rsidR="005E0B0F" w:rsidRPr="00FC1BA2">
              <w:rPr>
                <w:rFonts w:ascii="Times New Roman" w:hAnsi="Times New Roman" w:cs="Times New Roman"/>
                <w:b w:val="0"/>
                <w:noProof/>
                <w:webHidden/>
                <w:sz w:val="24"/>
                <w:szCs w:val="24"/>
              </w:rPr>
              <w:fldChar w:fldCharType="separate"/>
            </w:r>
            <w:r w:rsidR="00287BC7">
              <w:rPr>
                <w:rFonts w:ascii="Times New Roman" w:hAnsi="Times New Roman" w:cs="Times New Roman"/>
                <w:b w:val="0"/>
                <w:noProof/>
                <w:webHidden/>
                <w:sz w:val="24"/>
                <w:szCs w:val="24"/>
              </w:rPr>
              <w:t>27</w:t>
            </w:r>
            <w:r w:rsidR="005E0B0F" w:rsidRPr="00FC1BA2">
              <w:rPr>
                <w:rFonts w:ascii="Times New Roman" w:hAnsi="Times New Roman" w:cs="Times New Roman"/>
                <w:b w:val="0"/>
                <w:noProof/>
                <w:webHidden/>
                <w:sz w:val="24"/>
                <w:szCs w:val="24"/>
              </w:rPr>
              <w:fldChar w:fldCharType="end"/>
            </w:r>
          </w:hyperlink>
        </w:p>
        <w:p w14:paraId="232B8F81" w14:textId="126D857B" w:rsidR="005E0B0F" w:rsidRPr="00FC1BA2" w:rsidRDefault="005E43B8" w:rsidP="00FC1BA2">
          <w:pPr>
            <w:pStyle w:val="TOC2"/>
            <w:tabs>
              <w:tab w:val="right" w:leader="dot" w:pos="9620"/>
            </w:tabs>
            <w:spacing w:before="0"/>
            <w:rPr>
              <w:rFonts w:ascii="Times New Roman" w:hAnsi="Times New Roman" w:cs="Times New Roman"/>
              <w:b w:val="0"/>
              <w:bCs w:val="0"/>
              <w:noProof/>
              <w:kern w:val="2"/>
              <w:sz w:val="24"/>
              <w:szCs w:val="24"/>
              <w:lang w:val="en-US"/>
            </w:rPr>
          </w:pPr>
          <w:hyperlink w:anchor="_Toc146898465" w:history="1">
            <w:r w:rsidR="005E0B0F" w:rsidRPr="00FC1BA2">
              <w:rPr>
                <w:rStyle w:val="Hyperlink"/>
                <w:rFonts w:ascii="Times New Roman" w:hAnsi="Times New Roman" w:cs="Times New Roman"/>
                <w:b w:val="0"/>
                <w:noProof/>
                <w:sz w:val="24"/>
                <w:szCs w:val="24"/>
                <w:lang w:val="en-GB"/>
              </w:rPr>
              <w:t>3.2.4. Science and technology</w:t>
            </w:r>
            <w:r w:rsidR="005E0B0F" w:rsidRPr="00FC1BA2">
              <w:rPr>
                <w:rFonts w:ascii="Times New Roman" w:hAnsi="Times New Roman" w:cs="Times New Roman"/>
                <w:b w:val="0"/>
                <w:noProof/>
                <w:webHidden/>
                <w:sz w:val="24"/>
                <w:szCs w:val="24"/>
              </w:rPr>
              <w:tab/>
            </w:r>
            <w:r w:rsidR="005E0B0F" w:rsidRPr="00FC1BA2">
              <w:rPr>
                <w:rFonts w:ascii="Times New Roman" w:hAnsi="Times New Roman" w:cs="Times New Roman"/>
                <w:b w:val="0"/>
                <w:noProof/>
                <w:webHidden/>
                <w:sz w:val="24"/>
                <w:szCs w:val="24"/>
              </w:rPr>
              <w:fldChar w:fldCharType="begin"/>
            </w:r>
            <w:r w:rsidR="005E0B0F" w:rsidRPr="00FC1BA2">
              <w:rPr>
                <w:rFonts w:ascii="Times New Roman" w:hAnsi="Times New Roman" w:cs="Times New Roman"/>
                <w:b w:val="0"/>
                <w:noProof/>
                <w:webHidden/>
                <w:sz w:val="24"/>
                <w:szCs w:val="24"/>
              </w:rPr>
              <w:instrText xml:space="preserve"> PAGEREF _Toc146898465 \h </w:instrText>
            </w:r>
            <w:r w:rsidR="005E0B0F" w:rsidRPr="00FC1BA2">
              <w:rPr>
                <w:rFonts w:ascii="Times New Roman" w:hAnsi="Times New Roman" w:cs="Times New Roman"/>
                <w:b w:val="0"/>
                <w:noProof/>
                <w:webHidden/>
                <w:sz w:val="24"/>
                <w:szCs w:val="24"/>
              </w:rPr>
            </w:r>
            <w:r w:rsidR="005E0B0F" w:rsidRPr="00FC1BA2">
              <w:rPr>
                <w:rFonts w:ascii="Times New Roman" w:hAnsi="Times New Roman" w:cs="Times New Roman"/>
                <w:b w:val="0"/>
                <w:noProof/>
                <w:webHidden/>
                <w:sz w:val="24"/>
                <w:szCs w:val="24"/>
              </w:rPr>
              <w:fldChar w:fldCharType="separate"/>
            </w:r>
            <w:r w:rsidR="00287BC7">
              <w:rPr>
                <w:rFonts w:ascii="Times New Roman" w:hAnsi="Times New Roman" w:cs="Times New Roman"/>
                <w:b w:val="0"/>
                <w:noProof/>
                <w:webHidden/>
                <w:sz w:val="24"/>
                <w:szCs w:val="24"/>
              </w:rPr>
              <w:t>35</w:t>
            </w:r>
            <w:r w:rsidR="005E0B0F" w:rsidRPr="00FC1BA2">
              <w:rPr>
                <w:rFonts w:ascii="Times New Roman" w:hAnsi="Times New Roman" w:cs="Times New Roman"/>
                <w:b w:val="0"/>
                <w:noProof/>
                <w:webHidden/>
                <w:sz w:val="24"/>
                <w:szCs w:val="24"/>
              </w:rPr>
              <w:fldChar w:fldCharType="end"/>
            </w:r>
          </w:hyperlink>
        </w:p>
        <w:p w14:paraId="592D1470" w14:textId="2312A3C5" w:rsidR="005E0B0F" w:rsidRPr="00FC1BA2" w:rsidRDefault="005E43B8" w:rsidP="00FC1BA2">
          <w:pPr>
            <w:pStyle w:val="TOC2"/>
            <w:tabs>
              <w:tab w:val="right" w:leader="dot" w:pos="9620"/>
            </w:tabs>
            <w:spacing w:before="0"/>
            <w:rPr>
              <w:rFonts w:ascii="Times New Roman" w:hAnsi="Times New Roman" w:cs="Times New Roman"/>
              <w:b w:val="0"/>
              <w:bCs w:val="0"/>
              <w:noProof/>
              <w:kern w:val="2"/>
              <w:sz w:val="24"/>
              <w:szCs w:val="24"/>
              <w:lang w:val="en-US"/>
            </w:rPr>
          </w:pPr>
          <w:hyperlink w:anchor="_Toc146898466" w:history="1">
            <w:r w:rsidR="005E0B0F" w:rsidRPr="00FC1BA2">
              <w:rPr>
                <w:rStyle w:val="Hyperlink"/>
                <w:rFonts w:ascii="Times New Roman" w:hAnsi="Times New Roman" w:cs="Times New Roman"/>
                <w:b w:val="0"/>
                <w:noProof/>
                <w:sz w:val="24"/>
                <w:szCs w:val="24"/>
                <w:lang w:val="en-GB"/>
              </w:rPr>
              <w:t>3.2.5. Policies, governance</w:t>
            </w:r>
            <w:r w:rsidR="00774819">
              <w:rPr>
                <w:rStyle w:val="Hyperlink"/>
                <w:rFonts w:ascii="Times New Roman" w:hAnsi="Times New Roman" w:cs="Times New Roman"/>
                <w:b w:val="0"/>
                <w:noProof/>
                <w:sz w:val="24"/>
                <w:szCs w:val="24"/>
                <w:lang w:val="en-GB"/>
              </w:rPr>
              <w:t xml:space="preserve"> and</w:t>
            </w:r>
            <w:r w:rsidR="005E0B0F" w:rsidRPr="00FC1BA2">
              <w:rPr>
                <w:rStyle w:val="Hyperlink"/>
                <w:rFonts w:ascii="Times New Roman" w:hAnsi="Times New Roman" w:cs="Times New Roman"/>
                <w:b w:val="0"/>
                <w:noProof/>
                <w:sz w:val="24"/>
                <w:szCs w:val="24"/>
                <w:lang w:val="en-GB"/>
              </w:rPr>
              <w:t xml:space="preserve"> institutions</w:t>
            </w:r>
            <w:r w:rsidR="005E0B0F" w:rsidRPr="00FC1BA2">
              <w:rPr>
                <w:rFonts w:ascii="Times New Roman" w:hAnsi="Times New Roman" w:cs="Times New Roman"/>
                <w:b w:val="0"/>
                <w:noProof/>
                <w:webHidden/>
                <w:sz w:val="24"/>
                <w:szCs w:val="24"/>
              </w:rPr>
              <w:tab/>
            </w:r>
            <w:r w:rsidR="005E0B0F" w:rsidRPr="00FC1BA2">
              <w:rPr>
                <w:rFonts w:ascii="Times New Roman" w:hAnsi="Times New Roman" w:cs="Times New Roman"/>
                <w:b w:val="0"/>
                <w:noProof/>
                <w:webHidden/>
                <w:sz w:val="24"/>
                <w:szCs w:val="24"/>
              </w:rPr>
              <w:fldChar w:fldCharType="begin"/>
            </w:r>
            <w:r w:rsidR="005E0B0F" w:rsidRPr="00FC1BA2">
              <w:rPr>
                <w:rFonts w:ascii="Times New Roman" w:hAnsi="Times New Roman" w:cs="Times New Roman"/>
                <w:b w:val="0"/>
                <w:noProof/>
                <w:webHidden/>
                <w:sz w:val="24"/>
                <w:szCs w:val="24"/>
              </w:rPr>
              <w:instrText xml:space="preserve"> PAGEREF _Toc146898466 \h </w:instrText>
            </w:r>
            <w:r w:rsidR="005E0B0F" w:rsidRPr="00FC1BA2">
              <w:rPr>
                <w:rFonts w:ascii="Times New Roman" w:hAnsi="Times New Roman" w:cs="Times New Roman"/>
                <w:b w:val="0"/>
                <w:noProof/>
                <w:webHidden/>
                <w:sz w:val="24"/>
                <w:szCs w:val="24"/>
              </w:rPr>
            </w:r>
            <w:r w:rsidR="005E0B0F" w:rsidRPr="00FC1BA2">
              <w:rPr>
                <w:rFonts w:ascii="Times New Roman" w:hAnsi="Times New Roman" w:cs="Times New Roman"/>
                <w:b w:val="0"/>
                <w:noProof/>
                <w:webHidden/>
                <w:sz w:val="24"/>
                <w:szCs w:val="24"/>
              </w:rPr>
              <w:fldChar w:fldCharType="separate"/>
            </w:r>
            <w:r w:rsidR="00287BC7">
              <w:rPr>
                <w:rFonts w:ascii="Times New Roman" w:hAnsi="Times New Roman" w:cs="Times New Roman"/>
                <w:b w:val="0"/>
                <w:noProof/>
                <w:webHidden/>
                <w:sz w:val="24"/>
                <w:szCs w:val="24"/>
              </w:rPr>
              <w:t>39</w:t>
            </w:r>
            <w:r w:rsidR="005E0B0F" w:rsidRPr="00FC1BA2">
              <w:rPr>
                <w:rFonts w:ascii="Times New Roman" w:hAnsi="Times New Roman" w:cs="Times New Roman"/>
                <w:b w:val="0"/>
                <w:noProof/>
                <w:webHidden/>
                <w:sz w:val="24"/>
                <w:szCs w:val="24"/>
              </w:rPr>
              <w:fldChar w:fldCharType="end"/>
            </w:r>
          </w:hyperlink>
        </w:p>
        <w:p w14:paraId="3175FEF4" w14:textId="26A1D9EF" w:rsidR="005E0B0F" w:rsidRPr="00FC1BA2" w:rsidRDefault="005E43B8" w:rsidP="00BC3E6B">
          <w:pPr>
            <w:pStyle w:val="TOC1"/>
            <w:rPr>
              <w:b w:val="0"/>
              <w:bCs w:val="0"/>
              <w:kern w:val="2"/>
              <w:lang w:val="en-US"/>
            </w:rPr>
          </w:pPr>
          <w:hyperlink w:anchor="_Toc146898467" w:history="1">
            <w:r w:rsidR="005E0B0F" w:rsidRPr="00BC3E6B">
              <w:rPr>
                <w:rStyle w:val="Hyperlink"/>
              </w:rPr>
              <w:t>3.3. The role of direct drivers of change in nature, natural drivers</w:t>
            </w:r>
            <w:r w:rsidR="00774819">
              <w:rPr>
                <w:rStyle w:val="Hyperlink"/>
              </w:rPr>
              <w:t xml:space="preserve"> and</w:t>
            </w:r>
            <w:r w:rsidR="005E0B0F" w:rsidRPr="00BC3E6B">
              <w:rPr>
                <w:rStyle w:val="Hyperlink"/>
              </w:rPr>
              <w:t xml:space="preserve"> biodiversity loss on invasive alien species</w:t>
            </w:r>
            <w:r w:rsidR="005E0B0F" w:rsidRPr="005E0B0F">
              <w:rPr>
                <w:webHidden/>
              </w:rPr>
              <w:tab/>
            </w:r>
            <w:r w:rsidR="005E0B0F" w:rsidRPr="00F26E2B">
              <w:rPr>
                <w:webHidden/>
              </w:rPr>
              <w:fldChar w:fldCharType="begin"/>
            </w:r>
            <w:r w:rsidR="005E0B0F" w:rsidRPr="005E0B0F">
              <w:rPr>
                <w:webHidden/>
              </w:rPr>
              <w:instrText xml:space="preserve"> PAGEREF _Toc146898467 \h </w:instrText>
            </w:r>
            <w:r w:rsidR="005E0B0F" w:rsidRPr="00F26E2B">
              <w:rPr>
                <w:webHidden/>
              </w:rPr>
            </w:r>
            <w:r w:rsidR="005E0B0F" w:rsidRPr="00F26E2B">
              <w:rPr>
                <w:webHidden/>
              </w:rPr>
              <w:fldChar w:fldCharType="separate"/>
            </w:r>
            <w:r w:rsidR="00287BC7">
              <w:rPr>
                <w:webHidden/>
              </w:rPr>
              <w:t>43</w:t>
            </w:r>
            <w:r w:rsidR="005E0B0F" w:rsidRPr="00F26E2B">
              <w:rPr>
                <w:webHidden/>
              </w:rPr>
              <w:fldChar w:fldCharType="end"/>
            </w:r>
          </w:hyperlink>
        </w:p>
        <w:p w14:paraId="16C2B08F" w14:textId="6AB68844" w:rsidR="005E0B0F" w:rsidRPr="00FC1BA2" w:rsidRDefault="005E43B8" w:rsidP="00FC1BA2">
          <w:pPr>
            <w:pStyle w:val="TOC2"/>
            <w:tabs>
              <w:tab w:val="right" w:leader="dot" w:pos="9620"/>
            </w:tabs>
            <w:spacing w:before="0"/>
            <w:rPr>
              <w:rFonts w:ascii="Times New Roman" w:hAnsi="Times New Roman" w:cs="Times New Roman"/>
              <w:b w:val="0"/>
              <w:bCs w:val="0"/>
              <w:noProof/>
              <w:kern w:val="2"/>
              <w:sz w:val="24"/>
              <w:szCs w:val="24"/>
              <w:lang w:val="en-US"/>
            </w:rPr>
          </w:pPr>
          <w:hyperlink w:anchor="_Toc146898468" w:history="1">
            <w:r w:rsidR="005E0B0F" w:rsidRPr="00FC1BA2">
              <w:rPr>
                <w:rStyle w:val="Hyperlink"/>
                <w:rFonts w:ascii="Times New Roman" w:hAnsi="Times New Roman" w:cs="Times New Roman"/>
                <w:b w:val="0"/>
                <w:noProof/>
                <w:sz w:val="24"/>
                <w:szCs w:val="24"/>
                <w:lang w:val="en-GB"/>
              </w:rPr>
              <w:t>3.3.1. Land- and sea-use change</w:t>
            </w:r>
            <w:r w:rsidR="005E0B0F" w:rsidRPr="00FC1BA2">
              <w:rPr>
                <w:rFonts w:ascii="Times New Roman" w:hAnsi="Times New Roman" w:cs="Times New Roman"/>
                <w:b w:val="0"/>
                <w:noProof/>
                <w:webHidden/>
                <w:sz w:val="24"/>
                <w:szCs w:val="24"/>
              </w:rPr>
              <w:tab/>
            </w:r>
            <w:r w:rsidR="005E0B0F" w:rsidRPr="00FC1BA2">
              <w:rPr>
                <w:rFonts w:ascii="Times New Roman" w:hAnsi="Times New Roman" w:cs="Times New Roman"/>
                <w:b w:val="0"/>
                <w:noProof/>
                <w:webHidden/>
                <w:sz w:val="24"/>
                <w:szCs w:val="24"/>
              </w:rPr>
              <w:fldChar w:fldCharType="begin"/>
            </w:r>
            <w:r w:rsidR="005E0B0F" w:rsidRPr="00FC1BA2">
              <w:rPr>
                <w:rFonts w:ascii="Times New Roman" w:hAnsi="Times New Roman" w:cs="Times New Roman"/>
                <w:b w:val="0"/>
                <w:noProof/>
                <w:webHidden/>
                <w:sz w:val="24"/>
                <w:szCs w:val="24"/>
              </w:rPr>
              <w:instrText xml:space="preserve"> PAGEREF _Toc146898468 \h </w:instrText>
            </w:r>
            <w:r w:rsidR="005E0B0F" w:rsidRPr="00FC1BA2">
              <w:rPr>
                <w:rFonts w:ascii="Times New Roman" w:hAnsi="Times New Roman" w:cs="Times New Roman"/>
                <w:b w:val="0"/>
                <w:noProof/>
                <w:webHidden/>
                <w:sz w:val="24"/>
                <w:szCs w:val="24"/>
              </w:rPr>
            </w:r>
            <w:r w:rsidR="005E0B0F" w:rsidRPr="00FC1BA2">
              <w:rPr>
                <w:rFonts w:ascii="Times New Roman" w:hAnsi="Times New Roman" w:cs="Times New Roman"/>
                <w:b w:val="0"/>
                <w:noProof/>
                <w:webHidden/>
                <w:sz w:val="24"/>
                <w:szCs w:val="24"/>
              </w:rPr>
              <w:fldChar w:fldCharType="separate"/>
            </w:r>
            <w:r w:rsidR="00287BC7">
              <w:rPr>
                <w:rFonts w:ascii="Times New Roman" w:hAnsi="Times New Roman" w:cs="Times New Roman"/>
                <w:b w:val="0"/>
                <w:noProof/>
                <w:webHidden/>
                <w:sz w:val="24"/>
                <w:szCs w:val="24"/>
              </w:rPr>
              <w:t>43</w:t>
            </w:r>
            <w:r w:rsidR="005E0B0F" w:rsidRPr="00FC1BA2">
              <w:rPr>
                <w:rFonts w:ascii="Times New Roman" w:hAnsi="Times New Roman" w:cs="Times New Roman"/>
                <w:b w:val="0"/>
                <w:noProof/>
                <w:webHidden/>
                <w:sz w:val="24"/>
                <w:szCs w:val="24"/>
              </w:rPr>
              <w:fldChar w:fldCharType="end"/>
            </w:r>
          </w:hyperlink>
        </w:p>
        <w:p w14:paraId="45FC103A" w14:textId="63153049" w:rsidR="005E0B0F" w:rsidRPr="00FC1BA2" w:rsidRDefault="005E43B8" w:rsidP="00FC1BA2">
          <w:pPr>
            <w:pStyle w:val="TOC2"/>
            <w:tabs>
              <w:tab w:val="right" w:leader="dot" w:pos="9620"/>
            </w:tabs>
            <w:spacing w:before="0"/>
            <w:rPr>
              <w:rFonts w:ascii="Times New Roman" w:hAnsi="Times New Roman" w:cs="Times New Roman"/>
              <w:b w:val="0"/>
              <w:bCs w:val="0"/>
              <w:noProof/>
              <w:kern w:val="2"/>
              <w:sz w:val="24"/>
              <w:szCs w:val="24"/>
              <w:lang w:val="en-US"/>
            </w:rPr>
          </w:pPr>
          <w:hyperlink w:anchor="_Toc146898469" w:history="1">
            <w:r w:rsidR="005E0B0F" w:rsidRPr="00FC1BA2">
              <w:rPr>
                <w:rStyle w:val="Hyperlink"/>
                <w:rFonts w:ascii="Times New Roman" w:hAnsi="Times New Roman" w:cs="Times New Roman"/>
                <w:b w:val="0"/>
                <w:noProof/>
                <w:sz w:val="24"/>
                <w:szCs w:val="24"/>
                <w:lang w:val="en-GB"/>
              </w:rPr>
              <w:t>3.3.2. Direct exploitation of natural resources</w:t>
            </w:r>
            <w:r w:rsidR="005E0B0F" w:rsidRPr="00FC1BA2">
              <w:rPr>
                <w:rFonts w:ascii="Times New Roman" w:hAnsi="Times New Roman" w:cs="Times New Roman"/>
                <w:b w:val="0"/>
                <w:noProof/>
                <w:webHidden/>
                <w:sz w:val="24"/>
                <w:szCs w:val="24"/>
              </w:rPr>
              <w:tab/>
            </w:r>
            <w:r w:rsidR="005E0B0F" w:rsidRPr="00FC1BA2">
              <w:rPr>
                <w:rFonts w:ascii="Times New Roman" w:hAnsi="Times New Roman" w:cs="Times New Roman"/>
                <w:b w:val="0"/>
                <w:noProof/>
                <w:webHidden/>
                <w:sz w:val="24"/>
                <w:szCs w:val="24"/>
              </w:rPr>
              <w:fldChar w:fldCharType="begin"/>
            </w:r>
            <w:r w:rsidR="005E0B0F" w:rsidRPr="00FC1BA2">
              <w:rPr>
                <w:rFonts w:ascii="Times New Roman" w:hAnsi="Times New Roman" w:cs="Times New Roman"/>
                <w:b w:val="0"/>
                <w:noProof/>
                <w:webHidden/>
                <w:sz w:val="24"/>
                <w:szCs w:val="24"/>
              </w:rPr>
              <w:instrText xml:space="preserve"> PAGEREF _Toc146898469 \h </w:instrText>
            </w:r>
            <w:r w:rsidR="005E0B0F" w:rsidRPr="00FC1BA2">
              <w:rPr>
                <w:rFonts w:ascii="Times New Roman" w:hAnsi="Times New Roman" w:cs="Times New Roman"/>
                <w:b w:val="0"/>
                <w:noProof/>
                <w:webHidden/>
                <w:sz w:val="24"/>
                <w:szCs w:val="24"/>
              </w:rPr>
            </w:r>
            <w:r w:rsidR="005E0B0F" w:rsidRPr="00FC1BA2">
              <w:rPr>
                <w:rFonts w:ascii="Times New Roman" w:hAnsi="Times New Roman" w:cs="Times New Roman"/>
                <w:b w:val="0"/>
                <w:noProof/>
                <w:webHidden/>
                <w:sz w:val="24"/>
                <w:szCs w:val="24"/>
              </w:rPr>
              <w:fldChar w:fldCharType="separate"/>
            </w:r>
            <w:r w:rsidR="00287BC7">
              <w:rPr>
                <w:rFonts w:ascii="Times New Roman" w:hAnsi="Times New Roman" w:cs="Times New Roman"/>
                <w:b w:val="0"/>
                <w:noProof/>
                <w:webHidden/>
                <w:sz w:val="24"/>
                <w:szCs w:val="24"/>
              </w:rPr>
              <w:t>57</w:t>
            </w:r>
            <w:r w:rsidR="005E0B0F" w:rsidRPr="00FC1BA2">
              <w:rPr>
                <w:rFonts w:ascii="Times New Roman" w:hAnsi="Times New Roman" w:cs="Times New Roman"/>
                <w:b w:val="0"/>
                <w:noProof/>
                <w:webHidden/>
                <w:sz w:val="24"/>
                <w:szCs w:val="24"/>
              </w:rPr>
              <w:fldChar w:fldCharType="end"/>
            </w:r>
          </w:hyperlink>
        </w:p>
        <w:p w14:paraId="72075656" w14:textId="3F11FBF3" w:rsidR="005E0B0F" w:rsidRPr="00FC1BA2" w:rsidRDefault="005E43B8" w:rsidP="00FC1BA2">
          <w:pPr>
            <w:pStyle w:val="TOC2"/>
            <w:tabs>
              <w:tab w:val="right" w:leader="dot" w:pos="9620"/>
            </w:tabs>
            <w:spacing w:before="0"/>
            <w:rPr>
              <w:rFonts w:ascii="Times New Roman" w:hAnsi="Times New Roman" w:cs="Times New Roman"/>
              <w:b w:val="0"/>
              <w:bCs w:val="0"/>
              <w:noProof/>
              <w:kern w:val="2"/>
              <w:sz w:val="24"/>
              <w:szCs w:val="24"/>
              <w:lang w:val="en-US"/>
            </w:rPr>
          </w:pPr>
          <w:hyperlink w:anchor="_Toc146898470" w:history="1">
            <w:r w:rsidR="005E0B0F" w:rsidRPr="00FC1BA2">
              <w:rPr>
                <w:rStyle w:val="Hyperlink"/>
                <w:rFonts w:ascii="Times New Roman" w:hAnsi="Times New Roman" w:cs="Times New Roman"/>
                <w:b w:val="0"/>
                <w:noProof/>
                <w:sz w:val="24"/>
                <w:szCs w:val="24"/>
                <w:lang w:val="en-GB"/>
              </w:rPr>
              <w:t>3.3.3. Pollution</w:t>
            </w:r>
            <w:r w:rsidR="005E0B0F" w:rsidRPr="00FC1BA2">
              <w:rPr>
                <w:rFonts w:ascii="Times New Roman" w:hAnsi="Times New Roman" w:cs="Times New Roman"/>
                <w:b w:val="0"/>
                <w:noProof/>
                <w:webHidden/>
                <w:sz w:val="24"/>
                <w:szCs w:val="24"/>
              </w:rPr>
              <w:tab/>
            </w:r>
            <w:r w:rsidR="005E0B0F" w:rsidRPr="00FC1BA2">
              <w:rPr>
                <w:rFonts w:ascii="Times New Roman" w:hAnsi="Times New Roman" w:cs="Times New Roman"/>
                <w:b w:val="0"/>
                <w:noProof/>
                <w:webHidden/>
                <w:sz w:val="24"/>
                <w:szCs w:val="24"/>
              </w:rPr>
              <w:fldChar w:fldCharType="begin"/>
            </w:r>
            <w:r w:rsidR="005E0B0F" w:rsidRPr="00FC1BA2">
              <w:rPr>
                <w:rFonts w:ascii="Times New Roman" w:hAnsi="Times New Roman" w:cs="Times New Roman"/>
                <w:b w:val="0"/>
                <w:noProof/>
                <w:webHidden/>
                <w:sz w:val="24"/>
                <w:szCs w:val="24"/>
              </w:rPr>
              <w:instrText xml:space="preserve"> PAGEREF _Toc146898470 \h </w:instrText>
            </w:r>
            <w:r w:rsidR="005E0B0F" w:rsidRPr="00FC1BA2">
              <w:rPr>
                <w:rFonts w:ascii="Times New Roman" w:hAnsi="Times New Roman" w:cs="Times New Roman"/>
                <w:b w:val="0"/>
                <w:noProof/>
                <w:webHidden/>
                <w:sz w:val="24"/>
                <w:szCs w:val="24"/>
              </w:rPr>
            </w:r>
            <w:r w:rsidR="005E0B0F" w:rsidRPr="00FC1BA2">
              <w:rPr>
                <w:rFonts w:ascii="Times New Roman" w:hAnsi="Times New Roman" w:cs="Times New Roman"/>
                <w:b w:val="0"/>
                <w:noProof/>
                <w:webHidden/>
                <w:sz w:val="24"/>
                <w:szCs w:val="24"/>
              </w:rPr>
              <w:fldChar w:fldCharType="separate"/>
            </w:r>
            <w:r w:rsidR="00287BC7">
              <w:rPr>
                <w:rFonts w:ascii="Times New Roman" w:hAnsi="Times New Roman" w:cs="Times New Roman"/>
                <w:b w:val="0"/>
                <w:noProof/>
                <w:webHidden/>
                <w:sz w:val="24"/>
                <w:szCs w:val="24"/>
              </w:rPr>
              <w:t>62</w:t>
            </w:r>
            <w:r w:rsidR="005E0B0F" w:rsidRPr="00FC1BA2">
              <w:rPr>
                <w:rFonts w:ascii="Times New Roman" w:hAnsi="Times New Roman" w:cs="Times New Roman"/>
                <w:b w:val="0"/>
                <w:noProof/>
                <w:webHidden/>
                <w:sz w:val="24"/>
                <w:szCs w:val="24"/>
              </w:rPr>
              <w:fldChar w:fldCharType="end"/>
            </w:r>
          </w:hyperlink>
        </w:p>
        <w:p w14:paraId="1E881635" w14:textId="5D734C72" w:rsidR="005E0B0F" w:rsidRPr="00FC1BA2" w:rsidRDefault="005E43B8" w:rsidP="00FC1BA2">
          <w:pPr>
            <w:pStyle w:val="TOC2"/>
            <w:tabs>
              <w:tab w:val="right" w:leader="dot" w:pos="9620"/>
            </w:tabs>
            <w:spacing w:before="0"/>
            <w:rPr>
              <w:rFonts w:ascii="Times New Roman" w:hAnsi="Times New Roman" w:cs="Times New Roman"/>
              <w:b w:val="0"/>
              <w:bCs w:val="0"/>
              <w:noProof/>
              <w:kern w:val="2"/>
              <w:sz w:val="24"/>
              <w:szCs w:val="24"/>
              <w:lang w:val="en-US"/>
            </w:rPr>
          </w:pPr>
          <w:hyperlink w:anchor="_Toc146898471" w:history="1">
            <w:r w:rsidR="005E0B0F" w:rsidRPr="00FC1BA2">
              <w:rPr>
                <w:rStyle w:val="Hyperlink"/>
                <w:rFonts w:ascii="Times New Roman" w:hAnsi="Times New Roman" w:cs="Times New Roman"/>
                <w:b w:val="0"/>
                <w:noProof/>
                <w:sz w:val="24"/>
                <w:szCs w:val="24"/>
                <w:lang w:val="en-GB"/>
              </w:rPr>
              <w:t>3.3.4. Climate change</w:t>
            </w:r>
            <w:r w:rsidR="005E0B0F" w:rsidRPr="00FC1BA2">
              <w:rPr>
                <w:rFonts w:ascii="Times New Roman" w:hAnsi="Times New Roman" w:cs="Times New Roman"/>
                <w:b w:val="0"/>
                <w:noProof/>
                <w:webHidden/>
                <w:sz w:val="24"/>
                <w:szCs w:val="24"/>
              </w:rPr>
              <w:tab/>
            </w:r>
            <w:r w:rsidR="005E0B0F" w:rsidRPr="00FC1BA2">
              <w:rPr>
                <w:rFonts w:ascii="Times New Roman" w:hAnsi="Times New Roman" w:cs="Times New Roman"/>
                <w:b w:val="0"/>
                <w:noProof/>
                <w:webHidden/>
                <w:sz w:val="24"/>
                <w:szCs w:val="24"/>
              </w:rPr>
              <w:fldChar w:fldCharType="begin"/>
            </w:r>
            <w:r w:rsidR="005E0B0F" w:rsidRPr="00FC1BA2">
              <w:rPr>
                <w:rFonts w:ascii="Times New Roman" w:hAnsi="Times New Roman" w:cs="Times New Roman"/>
                <w:b w:val="0"/>
                <w:noProof/>
                <w:webHidden/>
                <w:sz w:val="24"/>
                <w:szCs w:val="24"/>
              </w:rPr>
              <w:instrText xml:space="preserve"> PAGEREF _Toc146898471 \h </w:instrText>
            </w:r>
            <w:r w:rsidR="005E0B0F" w:rsidRPr="00FC1BA2">
              <w:rPr>
                <w:rFonts w:ascii="Times New Roman" w:hAnsi="Times New Roman" w:cs="Times New Roman"/>
                <w:b w:val="0"/>
                <w:noProof/>
                <w:webHidden/>
                <w:sz w:val="24"/>
                <w:szCs w:val="24"/>
              </w:rPr>
            </w:r>
            <w:r w:rsidR="005E0B0F" w:rsidRPr="00FC1BA2">
              <w:rPr>
                <w:rFonts w:ascii="Times New Roman" w:hAnsi="Times New Roman" w:cs="Times New Roman"/>
                <w:b w:val="0"/>
                <w:noProof/>
                <w:webHidden/>
                <w:sz w:val="24"/>
                <w:szCs w:val="24"/>
              </w:rPr>
              <w:fldChar w:fldCharType="separate"/>
            </w:r>
            <w:r w:rsidR="00287BC7">
              <w:rPr>
                <w:rFonts w:ascii="Times New Roman" w:hAnsi="Times New Roman" w:cs="Times New Roman"/>
                <w:b w:val="0"/>
                <w:noProof/>
                <w:webHidden/>
                <w:sz w:val="24"/>
                <w:szCs w:val="24"/>
              </w:rPr>
              <w:t>68</w:t>
            </w:r>
            <w:r w:rsidR="005E0B0F" w:rsidRPr="00FC1BA2">
              <w:rPr>
                <w:rFonts w:ascii="Times New Roman" w:hAnsi="Times New Roman" w:cs="Times New Roman"/>
                <w:b w:val="0"/>
                <w:noProof/>
                <w:webHidden/>
                <w:sz w:val="24"/>
                <w:szCs w:val="24"/>
              </w:rPr>
              <w:fldChar w:fldCharType="end"/>
            </w:r>
          </w:hyperlink>
        </w:p>
        <w:p w14:paraId="65C8B78F" w14:textId="1D62DCA0" w:rsidR="005E0B0F" w:rsidRPr="00FC1BA2" w:rsidRDefault="005E43B8" w:rsidP="00FC1BA2">
          <w:pPr>
            <w:pStyle w:val="TOC2"/>
            <w:tabs>
              <w:tab w:val="right" w:leader="dot" w:pos="9620"/>
            </w:tabs>
            <w:spacing w:before="0"/>
            <w:rPr>
              <w:rFonts w:ascii="Times New Roman" w:hAnsi="Times New Roman" w:cs="Times New Roman"/>
              <w:b w:val="0"/>
              <w:bCs w:val="0"/>
              <w:noProof/>
              <w:kern w:val="2"/>
              <w:sz w:val="24"/>
              <w:szCs w:val="24"/>
              <w:lang w:val="en-US"/>
            </w:rPr>
          </w:pPr>
          <w:hyperlink w:anchor="_Toc146898472" w:history="1">
            <w:r w:rsidR="005E0B0F" w:rsidRPr="00FC1BA2">
              <w:rPr>
                <w:rStyle w:val="Hyperlink"/>
                <w:rFonts w:ascii="Times New Roman" w:hAnsi="Times New Roman" w:cs="Times New Roman"/>
                <w:b w:val="0"/>
                <w:noProof/>
                <w:sz w:val="24"/>
                <w:szCs w:val="24"/>
                <w:lang w:val="en-GB"/>
              </w:rPr>
              <w:t>3.3.5. Invasive alien species</w:t>
            </w:r>
            <w:r w:rsidR="005E0B0F" w:rsidRPr="00FC1BA2">
              <w:rPr>
                <w:rFonts w:ascii="Times New Roman" w:hAnsi="Times New Roman" w:cs="Times New Roman"/>
                <w:b w:val="0"/>
                <w:noProof/>
                <w:webHidden/>
                <w:sz w:val="24"/>
                <w:szCs w:val="24"/>
              </w:rPr>
              <w:tab/>
            </w:r>
            <w:r w:rsidR="005E0B0F" w:rsidRPr="00FC1BA2">
              <w:rPr>
                <w:rFonts w:ascii="Times New Roman" w:hAnsi="Times New Roman" w:cs="Times New Roman"/>
                <w:b w:val="0"/>
                <w:noProof/>
                <w:webHidden/>
                <w:sz w:val="24"/>
                <w:szCs w:val="24"/>
              </w:rPr>
              <w:fldChar w:fldCharType="begin"/>
            </w:r>
            <w:r w:rsidR="005E0B0F" w:rsidRPr="00FC1BA2">
              <w:rPr>
                <w:rFonts w:ascii="Times New Roman" w:hAnsi="Times New Roman" w:cs="Times New Roman"/>
                <w:b w:val="0"/>
                <w:noProof/>
                <w:webHidden/>
                <w:sz w:val="24"/>
                <w:szCs w:val="24"/>
              </w:rPr>
              <w:instrText xml:space="preserve"> PAGEREF _Toc146898472 \h </w:instrText>
            </w:r>
            <w:r w:rsidR="005E0B0F" w:rsidRPr="00FC1BA2">
              <w:rPr>
                <w:rFonts w:ascii="Times New Roman" w:hAnsi="Times New Roman" w:cs="Times New Roman"/>
                <w:b w:val="0"/>
                <w:noProof/>
                <w:webHidden/>
                <w:sz w:val="24"/>
                <w:szCs w:val="24"/>
              </w:rPr>
            </w:r>
            <w:r w:rsidR="005E0B0F" w:rsidRPr="00FC1BA2">
              <w:rPr>
                <w:rFonts w:ascii="Times New Roman" w:hAnsi="Times New Roman" w:cs="Times New Roman"/>
                <w:b w:val="0"/>
                <w:noProof/>
                <w:webHidden/>
                <w:sz w:val="24"/>
                <w:szCs w:val="24"/>
              </w:rPr>
              <w:fldChar w:fldCharType="separate"/>
            </w:r>
            <w:r w:rsidR="00287BC7">
              <w:rPr>
                <w:rFonts w:ascii="Times New Roman" w:hAnsi="Times New Roman" w:cs="Times New Roman"/>
                <w:b w:val="0"/>
                <w:noProof/>
                <w:webHidden/>
                <w:sz w:val="24"/>
                <w:szCs w:val="24"/>
              </w:rPr>
              <w:t>76</w:t>
            </w:r>
            <w:r w:rsidR="005E0B0F" w:rsidRPr="00FC1BA2">
              <w:rPr>
                <w:rFonts w:ascii="Times New Roman" w:hAnsi="Times New Roman" w:cs="Times New Roman"/>
                <w:b w:val="0"/>
                <w:noProof/>
                <w:webHidden/>
                <w:sz w:val="24"/>
                <w:szCs w:val="24"/>
              </w:rPr>
              <w:fldChar w:fldCharType="end"/>
            </w:r>
          </w:hyperlink>
        </w:p>
        <w:p w14:paraId="6036CDA7" w14:textId="206E09BC" w:rsidR="005E0B0F" w:rsidRPr="00FC1BA2" w:rsidRDefault="005E43B8" w:rsidP="00BC3E6B">
          <w:pPr>
            <w:pStyle w:val="TOC1"/>
            <w:rPr>
              <w:b w:val="0"/>
              <w:bCs w:val="0"/>
              <w:kern w:val="2"/>
              <w:lang w:val="en-US"/>
            </w:rPr>
          </w:pPr>
          <w:hyperlink w:anchor="_Toc146898473" w:history="1">
            <w:r w:rsidR="005E0B0F" w:rsidRPr="00BC3E6B">
              <w:rPr>
                <w:rStyle w:val="Hyperlink"/>
              </w:rPr>
              <w:t>3.4. Additional direct drivers – natural drivers and biodiversity loss</w:t>
            </w:r>
            <w:r w:rsidR="005E0B0F" w:rsidRPr="005E0B0F">
              <w:rPr>
                <w:webHidden/>
              </w:rPr>
              <w:tab/>
            </w:r>
            <w:r w:rsidR="005E0B0F" w:rsidRPr="00F26E2B">
              <w:rPr>
                <w:webHidden/>
              </w:rPr>
              <w:fldChar w:fldCharType="begin"/>
            </w:r>
            <w:r w:rsidR="005E0B0F" w:rsidRPr="005E0B0F">
              <w:rPr>
                <w:webHidden/>
              </w:rPr>
              <w:instrText xml:space="preserve"> PAGEREF _Toc146898473 \h </w:instrText>
            </w:r>
            <w:r w:rsidR="005E0B0F" w:rsidRPr="00F26E2B">
              <w:rPr>
                <w:webHidden/>
              </w:rPr>
            </w:r>
            <w:r w:rsidR="005E0B0F" w:rsidRPr="00F26E2B">
              <w:rPr>
                <w:webHidden/>
              </w:rPr>
              <w:fldChar w:fldCharType="separate"/>
            </w:r>
            <w:r w:rsidR="00287BC7">
              <w:rPr>
                <w:webHidden/>
              </w:rPr>
              <w:t>82</w:t>
            </w:r>
            <w:r w:rsidR="005E0B0F" w:rsidRPr="00F26E2B">
              <w:rPr>
                <w:webHidden/>
              </w:rPr>
              <w:fldChar w:fldCharType="end"/>
            </w:r>
          </w:hyperlink>
        </w:p>
        <w:p w14:paraId="317C5E4E" w14:textId="765AF840" w:rsidR="005E0B0F" w:rsidRPr="00FC1BA2" w:rsidRDefault="005E43B8" w:rsidP="00FC1BA2">
          <w:pPr>
            <w:pStyle w:val="TOC2"/>
            <w:tabs>
              <w:tab w:val="right" w:leader="dot" w:pos="9620"/>
            </w:tabs>
            <w:spacing w:before="0"/>
            <w:rPr>
              <w:rFonts w:ascii="Times New Roman" w:hAnsi="Times New Roman" w:cs="Times New Roman"/>
              <w:b w:val="0"/>
              <w:bCs w:val="0"/>
              <w:noProof/>
              <w:kern w:val="2"/>
              <w:sz w:val="24"/>
              <w:szCs w:val="24"/>
              <w:lang w:val="en-US"/>
            </w:rPr>
          </w:pPr>
          <w:hyperlink w:anchor="_Toc146898474" w:history="1">
            <w:r w:rsidR="005E0B0F" w:rsidRPr="00FC1BA2">
              <w:rPr>
                <w:rStyle w:val="Hyperlink"/>
                <w:rFonts w:ascii="Times New Roman" w:hAnsi="Times New Roman" w:cs="Times New Roman"/>
                <w:b w:val="0"/>
                <w:noProof/>
                <w:sz w:val="24"/>
                <w:szCs w:val="24"/>
                <w:lang w:val="en-GB"/>
              </w:rPr>
              <w:t>3.4.1. Natural hazards</w:t>
            </w:r>
            <w:r w:rsidR="005E0B0F" w:rsidRPr="00FC1BA2">
              <w:rPr>
                <w:rFonts w:ascii="Times New Roman" w:hAnsi="Times New Roman" w:cs="Times New Roman"/>
                <w:b w:val="0"/>
                <w:noProof/>
                <w:webHidden/>
                <w:sz w:val="24"/>
                <w:szCs w:val="24"/>
              </w:rPr>
              <w:tab/>
            </w:r>
            <w:r w:rsidR="005E0B0F" w:rsidRPr="00FC1BA2">
              <w:rPr>
                <w:rFonts w:ascii="Times New Roman" w:hAnsi="Times New Roman" w:cs="Times New Roman"/>
                <w:b w:val="0"/>
                <w:noProof/>
                <w:webHidden/>
                <w:sz w:val="24"/>
                <w:szCs w:val="24"/>
              </w:rPr>
              <w:fldChar w:fldCharType="begin"/>
            </w:r>
            <w:r w:rsidR="005E0B0F" w:rsidRPr="00FC1BA2">
              <w:rPr>
                <w:rFonts w:ascii="Times New Roman" w:hAnsi="Times New Roman" w:cs="Times New Roman"/>
                <w:b w:val="0"/>
                <w:noProof/>
                <w:webHidden/>
                <w:sz w:val="24"/>
                <w:szCs w:val="24"/>
              </w:rPr>
              <w:instrText xml:space="preserve"> PAGEREF _Toc146898474 \h </w:instrText>
            </w:r>
            <w:r w:rsidR="005E0B0F" w:rsidRPr="00FC1BA2">
              <w:rPr>
                <w:rFonts w:ascii="Times New Roman" w:hAnsi="Times New Roman" w:cs="Times New Roman"/>
                <w:b w:val="0"/>
                <w:noProof/>
                <w:webHidden/>
                <w:sz w:val="24"/>
                <w:szCs w:val="24"/>
              </w:rPr>
            </w:r>
            <w:r w:rsidR="005E0B0F" w:rsidRPr="00FC1BA2">
              <w:rPr>
                <w:rFonts w:ascii="Times New Roman" w:hAnsi="Times New Roman" w:cs="Times New Roman"/>
                <w:b w:val="0"/>
                <w:noProof/>
                <w:webHidden/>
                <w:sz w:val="24"/>
                <w:szCs w:val="24"/>
              </w:rPr>
              <w:fldChar w:fldCharType="separate"/>
            </w:r>
            <w:r w:rsidR="00287BC7">
              <w:rPr>
                <w:rFonts w:ascii="Times New Roman" w:hAnsi="Times New Roman" w:cs="Times New Roman"/>
                <w:b w:val="0"/>
                <w:noProof/>
                <w:webHidden/>
                <w:sz w:val="24"/>
                <w:szCs w:val="24"/>
              </w:rPr>
              <w:t>82</w:t>
            </w:r>
            <w:r w:rsidR="005E0B0F" w:rsidRPr="00FC1BA2">
              <w:rPr>
                <w:rFonts w:ascii="Times New Roman" w:hAnsi="Times New Roman" w:cs="Times New Roman"/>
                <w:b w:val="0"/>
                <w:noProof/>
                <w:webHidden/>
                <w:sz w:val="24"/>
                <w:szCs w:val="24"/>
              </w:rPr>
              <w:fldChar w:fldCharType="end"/>
            </w:r>
          </w:hyperlink>
        </w:p>
        <w:p w14:paraId="0B3A99A0" w14:textId="6AE00B48" w:rsidR="005E0B0F" w:rsidRPr="00FC1BA2" w:rsidRDefault="005E43B8" w:rsidP="00FC1BA2">
          <w:pPr>
            <w:pStyle w:val="TOC2"/>
            <w:tabs>
              <w:tab w:val="right" w:leader="dot" w:pos="9620"/>
            </w:tabs>
            <w:spacing w:before="0"/>
            <w:rPr>
              <w:rFonts w:ascii="Times New Roman" w:hAnsi="Times New Roman" w:cs="Times New Roman"/>
              <w:b w:val="0"/>
              <w:bCs w:val="0"/>
              <w:noProof/>
              <w:kern w:val="2"/>
              <w:sz w:val="24"/>
              <w:szCs w:val="24"/>
              <w:lang w:val="en-US"/>
            </w:rPr>
          </w:pPr>
          <w:hyperlink w:anchor="_Toc146898475" w:history="1">
            <w:r w:rsidR="005E0B0F" w:rsidRPr="00FC1BA2">
              <w:rPr>
                <w:rStyle w:val="Hyperlink"/>
                <w:rFonts w:ascii="Times New Roman" w:hAnsi="Times New Roman" w:cs="Times New Roman"/>
                <w:b w:val="0"/>
                <w:noProof/>
                <w:sz w:val="24"/>
                <w:szCs w:val="24"/>
                <w:lang w:val="en-GB"/>
              </w:rPr>
              <w:t>3.4.2. Biodiversity loss and ecosystem resilience</w:t>
            </w:r>
            <w:r w:rsidR="005E0B0F" w:rsidRPr="00FC1BA2">
              <w:rPr>
                <w:rFonts w:ascii="Times New Roman" w:hAnsi="Times New Roman" w:cs="Times New Roman"/>
                <w:b w:val="0"/>
                <w:noProof/>
                <w:webHidden/>
                <w:sz w:val="24"/>
                <w:szCs w:val="24"/>
              </w:rPr>
              <w:tab/>
            </w:r>
            <w:r w:rsidR="005E0B0F" w:rsidRPr="00FC1BA2">
              <w:rPr>
                <w:rFonts w:ascii="Times New Roman" w:hAnsi="Times New Roman" w:cs="Times New Roman"/>
                <w:b w:val="0"/>
                <w:noProof/>
                <w:webHidden/>
                <w:sz w:val="24"/>
                <w:szCs w:val="24"/>
              </w:rPr>
              <w:fldChar w:fldCharType="begin"/>
            </w:r>
            <w:r w:rsidR="005E0B0F" w:rsidRPr="00FC1BA2">
              <w:rPr>
                <w:rFonts w:ascii="Times New Roman" w:hAnsi="Times New Roman" w:cs="Times New Roman"/>
                <w:b w:val="0"/>
                <w:noProof/>
                <w:webHidden/>
                <w:sz w:val="24"/>
                <w:szCs w:val="24"/>
              </w:rPr>
              <w:instrText xml:space="preserve"> PAGEREF _Toc146898475 \h </w:instrText>
            </w:r>
            <w:r w:rsidR="005E0B0F" w:rsidRPr="00FC1BA2">
              <w:rPr>
                <w:rFonts w:ascii="Times New Roman" w:hAnsi="Times New Roman" w:cs="Times New Roman"/>
                <w:b w:val="0"/>
                <w:noProof/>
                <w:webHidden/>
                <w:sz w:val="24"/>
                <w:szCs w:val="24"/>
              </w:rPr>
            </w:r>
            <w:r w:rsidR="005E0B0F" w:rsidRPr="00FC1BA2">
              <w:rPr>
                <w:rFonts w:ascii="Times New Roman" w:hAnsi="Times New Roman" w:cs="Times New Roman"/>
                <w:b w:val="0"/>
                <w:noProof/>
                <w:webHidden/>
                <w:sz w:val="24"/>
                <w:szCs w:val="24"/>
              </w:rPr>
              <w:fldChar w:fldCharType="separate"/>
            </w:r>
            <w:r w:rsidR="00287BC7">
              <w:rPr>
                <w:rFonts w:ascii="Times New Roman" w:hAnsi="Times New Roman" w:cs="Times New Roman"/>
                <w:b w:val="0"/>
                <w:noProof/>
                <w:webHidden/>
                <w:sz w:val="24"/>
                <w:szCs w:val="24"/>
              </w:rPr>
              <w:t>83</w:t>
            </w:r>
            <w:r w:rsidR="005E0B0F" w:rsidRPr="00FC1BA2">
              <w:rPr>
                <w:rFonts w:ascii="Times New Roman" w:hAnsi="Times New Roman" w:cs="Times New Roman"/>
                <w:b w:val="0"/>
                <w:noProof/>
                <w:webHidden/>
                <w:sz w:val="24"/>
                <w:szCs w:val="24"/>
              </w:rPr>
              <w:fldChar w:fldCharType="end"/>
            </w:r>
          </w:hyperlink>
        </w:p>
        <w:p w14:paraId="622446F2" w14:textId="00BD0BDE" w:rsidR="005E0B0F" w:rsidRPr="00FC1BA2" w:rsidRDefault="005E43B8" w:rsidP="00BC3E6B">
          <w:pPr>
            <w:pStyle w:val="TOC1"/>
            <w:rPr>
              <w:b w:val="0"/>
              <w:bCs w:val="0"/>
              <w:kern w:val="2"/>
              <w:lang w:val="en-US"/>
            </w:rPr>
          </w:pPr>
          <w:hyperlink w:anchor="_Toc146898476" w:history="1">
            <w:r w:rsidR="005E0B0F" w:rsidRPr="00BC3E6B">
              <w:rPr>
                <w:rStyle w:val="Hyperlink"/>
              </w:rPr>
              <w:t>3.5. Multiple, additive or interacting effects of drivers affecting invasive alien species</w:t>
            </w:r>
            <w:r w:rsidR="005E0B0F" w:rsidRPr="005E0B0F">
              <w:rPr>
                <w:webHidden/>
              </w:rPr>
              <w:tab/>
            </w:r>
            <w:r w:rsidR="005E0B0F" w:rsidRPr="00F26E2B">
              <w:rPr>
                <w:webHidden/>
              </w:rPr>
              <w:fldChar w:fldCharType="begin"/>
            </w:r>
            <w:r w:rsidR="005E0B0F" w:rsidRPr="005E0B0F">
              <w:rPr>
                <w:webHidden/>
              </w:rPr>
              <w:instrText xml:space="preserve"> PAGEREF _Toc146898476 \h </w:instrText>
            </w:r>
            <w:r w:rsidR="005E0B0F" w:rsidRPr="00F26E2B">
              <w:rPr>
                <w:webHidden/>
              </w:rPr>
            </w:r>
            <w:r w:rsidR="005E0B0F" w:rsidRPr="00F26E2B">
              <w:rPr>
                <w:webHidden/>
              </w:rPr>
              <w:fldChar w:fldCharType="separate"/>
            </w:r>
            <w:r w:rsidR="00287BC7">
              <w:rPr>
                <w:webHidden/>
              </w:rPr>
              <w:t>86</w:t>
            </w:r>
            <w:r w:rsidR="005E0B0F" w:rsidRPr="00F26E2B">
              <w:rPr>
                <w:webHidden/>
              </w:rPr>
              <w:fldChar w:fldCharType="end"/>
            </w:r>
          </w:hyperlink>
        </w:p>
        <w:p w14:paraId="24C2981E" w14:textId="26C587F3" w:rsidR="005E0B0F" w:rsidRPr="00FC1BA2" w:rsidRDefault="005E43B8" w:rsidP="00FC1BA2">
          <w:pPr>
            <w:pStyle w:val="TOC2"/>
            <w:tabs>
              <w:tab w:val="right" w:leader="dot" w:pos="9620"/>
            </w:tabs>
            <w:spacing w:before="0"/>
            <w:rPr>
              <w:rFonts w:ascii="Times New Roman" w:hAnsi="Times New Roman" w:cs="Times New Roman"/>
              <w:b w:val="0"/>
              <w:bCs w:val="0"/>
              <w:noProof/>
              <w:kern w:val="2"/>
              <w:sz w:val="24"/>
              <w:szCs w:val="24"/>
              <w:lang w:val="en-US"/>
            </w:rPr>
          </w:pPr>
          <w:hyperlink w:anchor="_Toc146898477" w:history="1">
            <w:r w:rsidR="005E0B0F" w:rsidRPr="00FC1BA2">
              <w:rPr>
                <w:rStyle w:val="Hyperlink"/>
                <w:rFonts w:ascii="Times New Roman" w:hAnsi="Times New Roman" w:cs="Times New Roman"/>
                <w:b w:val="0"/>
                <w:noProof/>
                <w:sz w:val="24"/>
                <w:szCs w:val="24"/>
                <w:lang w:val="en-GB"/>
              </w:rPr>
              <w:t>3.5.1. Land-use change and climate change</w:t>
            </w:r>
            <w:r w:rsidR="005E0B0F" w:rsidRPr="00FC1BA2">
              <w:rPr>
                <w:rFonts w:ascii="Times New Roman" w:hAnsi="Times New Roman" w:cs="Times New Roman"/>
                <w:b w:val="0"/>
                <w:noProof/>
                <w:webHidden/>
                <w:sz w:val="24"/>
                <w:szCs w:val="24"/>
              </w:rPr>
              <w:tab/>
            </w:r>
            <w:r w:rsidR="005E0B0F" w:rsidRPr="00FC1BA2">
              <w:rPr>
                <w:rFonts w:ascii="Times New Roman" w:hAnsi="Times New Roman" w:cs="Times New Roman"/>
                <w:b w:val="0"/>
                <w:noProof/>
                <w:webHidden/>
                <w:sz w:val="24"/>
                <w:szCs w:val="24"/>
              </w:rPr>
              <w:fldChar w:fldCharType="begin"/>
            </w:r>
            <w:r w:rsidR="005E0B0F" w:rsidRPr="00FC1BA2">
              <w:rPr>
                <w:rFonts w:ascii="Times New Roman" w:hAnsi="Times New Roman" w:cs="Times New Roman"/>
                <w:b w:val="0"/>
                <w:noProof/>
                <w:webHidden/>
                <w:sz w:val="24"/>
                <w:szCs w:val="24"/>
              </w:rPr>
              <w:instrText xml:space="preserve"> PAGEREF _Toc146898477 \h </w:instrText>
            </w:r>
            <w:r w:rsidR="005E0B0F" w:rsidRPr="00FC1BA2">
              <w:rPr>
                <w:rFonts w:ascii="Times New Roman" w:hAnsi="Times New Roman" w:cs="Times New Roman"/>
                <w:b w:val="0"/>
                <w:noProof/>
                <w:webHidden/>
                <w:sz w:val="24"/>
                <w:szCs w:val="24"/>
              </w:rPr>
            </w:r>
            <w:r w:rsidR="005E0B0F" w:rsidRPr="00FC1BA2">
              <w:rPr>
                <w:rFonts w:ascii="Times New Roman" w:hAnsi="Times New Roman" w:cs="Times New Roman"/>
                <w:b w:val="0"/>
                <w:noProof/>
                <w:webHidden/>
                <w:sz w:val="24"/>
                <w:szCs w:val="24"/>
              </w:rPr>
              <w:fldChar w:fldCharType="separate"/>
            </w:r>
            <w:r w:rsidR="00287BC7">
              <w:rPr>
                <w:rFonts w:ascii="Times New Roman" w:hAnsi="Times New Roman" w:cs="Times New Roman"/>
                <w:b w:val="0"/>
                <w:noProof/>
                <w:webHidden/>
                <w:sz w:val="24"/>
                <w:szCs w:val="24"/>
              </w:rPr>
              <w:t>88</w:t>
            </w:r>
            <w:r w:rsidR="005E0B0F" w:rsidRPr="00FC1BA2">
              <w:rPr>
                <w:rFonts w:ascii="Times New Roman" w:hAnsi="Times New Roman" w:cs="Times New Roman"/>
                <w:b w:val="0"/>
                <w:noProof/>
                <w:webHidden/>
                <w:sz w:val="24"/>
                <w:szCs w:val="24"/>
              </w:rPr>
              <w:fldChar w:fldCharType="end"/>
            </w:r>
          </w:hyperlink>
        </w:p>
        <w:p w14:paraId="58528772" w14:textId="46BAB2A5" w:rsidR="005E0B0F" w:rsidRPr="00FC1BA2" w:rsidRDefault="005E43B8" w:rsidP="00FC1BA2">
          <w:pPr>
            <w:pStyle w:val="TOC2"/>
            <w:tabs>
              <w:tab w:val="right" w:leader="dot" w:pos="9620"/>
            </w:tabs>
            <w:spacing w:before="0"/>
            <w:rPr>
              <w:rFonts w:ascii="Times New Roman" w:hAnsi="Times New Roman" w:cs="Times New Roman"/>
              <w:b w:val="0"/>
              <w:bCs w:val="0"/>
              <w:noProof/>
              <w:kern w:val="2"/>
              <w:sz w:val="24"/>
              <w:szCs w:val="24"/>
              <w:lang w:val="en-US"/>
            </w:rPr>
          </w:pPr>
          <w:hyperlink w:anchor="_Toc146898478" w:history="1">
            <w:r w:rsidR="005E0B0F" w:rsidRPr="00FC1BA2">
              <w:rPr>
                <w:rStyle w:val="Hyperlink"/>
                <w:rFonts w:ascii="Times New Roman" w:hAnsi="Times New Roman" w:cs="Times New Roman"/>
                <w:b w:val="0"/>
                <w:noProof/>
                <w:sz w:val="24"/>
                <w:szCs w:val="24"/>
                <w:lang w:val="en-GB"/>
              </w:rPr>
              <w:t>3.5.2. Land-use change, climate change</w:t>
            </w:r>
            <w:r w:rsidR="00774819">
              <w:rPr>
                <w:rStyle w:val="Hyperlink"/>
                <w:rFonts w:ascii="Times New Roman" w:hAnsi="Times New Roman" w:cs="Times New Roman"/>
                <w:b w:val="0"/>
                <w:noProof/>
                <w:sz w:val="24"/>
                <w:szCs w:val="24"/>
                <w:lang w:val="en-GB"/>
              </w:rPr>
              <w:t xml:space="preserve"> and</w:t>
            </w:r>
            <w:r w:rsidR="005E0B0F" w:rsidRPr="00FC1BA2">
              <w:rPr>
                <w:rStyle w:val="Hyperlink"/>
                <w:rFonts w:ascii="Times New Roman" w:hAnsi="Times New Roman" w:cs="Times New Roman"/>
                <w:b w:val="0"/>
                <w:noProof/>
                <w:sz w:val="24"/>
                <w:szCs w:val="24"/>
                <w:lang w:val="en-GB"/>
              </w:rPr>
              <w:t xml:space="preserve"> nutrient pollution</w:t>
            </w:r>
            <w:r w:rsidR="005E0B0F" w:rsidRPr="00FC1BA2">
              <w:rPr>
                <w:rFonts w:ascii="Times New Roman" w:hAnsi="Times New Roman" w:cs="Times New Roman"/>
                <w:b w:val="0"/>
                <w:noProof/>
                <w:webHidden/>
                <w:sz w:val="24"/>
                <w:szCs w:val="24"/>
              </w:rPr>
              <w:tab/>
            </w:r>
            <w:r w:rsidR="005E0B0F" w:rsidRPr="00FC1BA2">
              <w:rPr>
                <w:rFonts w:ascii="Times New Roman" w:hAnsi="Times New Roman" w:cs="Times New Roman"/>
                <w:b w:val="0"/>
                <w:noProof/>
                <w:webHidden/>
                <w:sz w:val="24"/>
                <w:szCs w:val="24"/>
              </w:rPr>
              <w:fldChar w:fldCharType="begin"/>
            </w:r>
            <w:r w:rsidR="005E0B0F" w:rsidRPr="00FC1BA2">
              <w:rPr>
                <w:rFonts w:ascii="Times New Roman" w:hAnsi="Times New Roman" w:cs="Times New Roman"/>
                <w:b w:val="0"/>
                <w:noProof/>
                <w:webHidden/>
                <w:sz w:val="24"/>
                <w:szCs w:val="24"/>
              </w:rPr>
              <w:instrText xml:space="preserve"> PAGEREF _Toc146898478 \h </w:instrText>
            </w:r>
            <w:r w:rsidR="005E0B0F" w:rsidRPr="00FC1BA2">
              <w:rPr>
                <w:rFonts w:ascii="Times New Roman" w:hAnsi="Times New Roman" w:cs="Times New Roman"/>
                <w:b w:val="0"/>
                <w:noProof/>
                <w:webHidden/>
                <w:sz w:val="24"/>
                <w:szCs w:val="24"/>
              </w:rPr>
            </w:r>
            <w:r w:rsidR="005E0B0F" w:rsidRPr="00FC1BA2">
              <w:rPr>
                <w:rFonts w:ascii="Times New Roman" w:hAnsi="Times New Roman" w:cs="Times New Roman"/>
                <w:b w:val="0"/>
                <w:noProof/>
                <w:webHidden/>
                <w:sz w:val="24"/>
                <w:szCs w:val="24"/>
              </w:rPr>
              <w:fldChar w:fldCharType="separate"/>
            </w:r>
            <w:r w:rsidR="00287BC7">
              <w:rPr>
                <w:rFonts w:ascii="Times New Roman" w:hAnsi="Times New Roman" w:cs="Times New Roman"/>
                <w:b w:val="0"/>
                <w:noProof/>
                <w:webHidden/>
                <w:sz w:val="24"/>
                <w:szCs w:val="24"/>
              </w:rPr>
              <w:t>90</w:t>
            </w:r>
            <w:r w:rsidR="005E0B0F" w:rsidRPr="00FC1BA2">
              <w:rPr>
                <w:rFonts w:ascii="Times New Roman" w:hAnsi="Times New Roman" w:cs="Times New Roman"/>
                <w:b w:val="0"/>
                <w:noProof/>
                <w:webHidden/>
                <w:sz w:val="24"/>
                <w:szCs w:val="24"/>
              </w:rPr>
              <w:fldChar w:fldCharType="end"/>
            </w:r>
          </w:hyperlink>
        </w:p>
        <w:p w14:paraId="7123045E" w14:textId="38274462" w:rsidR="005E0B0F" w:rsidRPr="00FC1BA2" w:rsidRDefault="005E43B8" w:rsidP="00FC1BA2">
          <w:pPr>
            <w:pStyle w:val="TOC2"/>
            <w:tabs>
              <w:tab w:val="right" w:leader="dot" w:pos="9620"/>
            </w:tabs>
            <w:spacing w:before="0"/>
            <w:rPr>
              <w:rFonts w:ascii="Times New Roman" w:hAnsi="Times New Roman" w:cs="Times New Roman"/>
              <w:b w:val="0"/>
              <w:bCs w:val="0"/>
              <w:noProof/>
              <w:kern w:val="2"/>
              <w:sz w:val="24"/>
              <w:szCs w:val="24"/>
              <w:lang w:val="en-US"/>
            </w:rPr>
          </w:pPr>
          <w:hyperlink w:anchor="_Toc146898479" w:history="1">
            <w:r w:rsidR="005E0B0F" w:rsidRPr="00FC1BA2">
              <w:rPr>
                <w:rStyle w:val="Hyperlink"/>
                <w:rFonts w:ascii="Times New Roman" w:hAnsi="Times New Roman" w:cs="Times New Roman"/>
                <w:b w:val="0"/>
                <w:noProof/>
                <w:sz w:val="24"/>
                <w:szCs w:val="24"/>
                <w:lang w:val="en-GB"/>
              </w:rPr>
              <w:t>3.5.3. Trade, urbanization and land-use change</w:t>
            </w:r>
            <w:r w:rsidR="005E0B0F" w:rsidRPr="00FC1BA2">
              <w:rPr>
                <w:rFonts w:ascii="Times New Roman" w:hAnsi="Times New Roman" w:cs="Times New Roman"/>
                <w:b w:val="0"/>
                <w:noProof/>
                <w:webHidden/>
                <w:sz w:val="24"/>
                <w:szCs w:val="24"/>
              </w:rPr>
              <w:tab/>
            </w:r>
            <w:r w:rsidR="005E0B0F" w:rsidRPr="00FC1BA2">
              <w:rPr>
                <w:rFonts w:ascii="Times New Roman" w:hAnsi="Times New Roman" w:cs="Times New Roman"/>
                <w:b w:val="0"/>
                <w:noProof/>
                <w:webHidden/>
                <w:sz w:val="24"/>
                <w:szCs w:val="24"/>
              </w:rPr>
              <w:fldChar w:fldCharType="begin"/>
            </w:r>
            <w:r w:rsidR="005E0B0F" w:rsidRPr="00FC1BA2">
              <w:rPr>
                <w:rFonts w:ascii="Times New Roman" w:hAnsi="Times New Roman" w:cs="Times New Roman"/>
                <w:b w:val="0"/>
                <w:noProof/>
                <w:webHidden/>
                <w:sz w:val="24"/>
                <w:szCs w:val="24"/>
              </w:rPr>
              <w:instrText xml:space="preserve"> PAGEREF _Toc146898479 \h </w:instrText>
            </w:r>
            <w:r w:rsidR="005E0B0F" w:rsidRPr="00FC1BA2">
              <w:rPr>
                <w:rFonts w:ascii="Times New Roman" w:hAnsi="Times New Roman" w:cs="Times New Roman"/>
                <w:b w:val="0"/>
                <w:noProof/>
                <w:webHidden/>
                <w:sz w:val="24"/>
                <w:szCs w:val="24"/>
              </w:rPr>
            </w:r>
            <w:r w:rsidR="005E0B0F" w:rsidRPr="00FC1BA2">
              <w:rPr>
                <w:rFonts w:ascii="Times New Roman" w:hAnsi="Times New Roman" w:cs="Times New Roman"/>
                <w:b w:val="0"/>
                <w:noProof/>
                <w:webHidden/>
                <w:sz w:val="24"/>
                <w:szCs w:val="24"/>
              </w:rPr>
              <w:fldChar w:fldCharType="separate"/>
            </w:r>
            <w:r w:rsidR="00287BC7">
              <w:rPr>
                <w:rFonts w:ascii="Times New Roman" w:hAnsi="Times New Roman" w:cs="Times New Roman"/>
                <w:b w:val="0"/>
                <w:noProof/>
                <w:webHidden/>
                <w:sz w:val="24"/>
                <w:szCs w:val="24"/>
              </w:rPr>
              <w:t>92</w:t>
            </w:r>
            <w:r w:rsidR="005E0B0F" w:rsidRPr="00FC1BA2">
              <w:rPr>
                <w:rFonts w:ascii="Times New Roman" w:hAnsi="Times New Roman" w:cs="Times New Roman"/>
                <w:b w:val="0"/>
                <w:noProof/>
                <w:webHidden/>
                <w:sz w:val="24"/>
                <w:szCs w:val="24"/>
              </w:rPr>
              <w:fldChar w:fldCharType="end"/>
            </w:r>
          </w:hyperlink>
        </w:p>
        <w:p w14:paraId="676B6FD3" w14:textId="59661644" w:rsidR="005E0B0F" w:rsidRPr="00FC1BA2" w:rsidRDefault="005E43B8" w:rsidP="00FC1BA2">
          <w:pPr>
            <w:pStyle w:val="TOC2"/>
            <w:tabs>
              <w:tab w:val="right" w:leader="dot" w:pos="9620"/>
            </w:tabs>
            <w:spacing w:before="0"/>
            <w:rPr>
              <w:rFonts w:ascii="Times New Roman" w:hAnsi="Times New Roman" w:cs="Times New Roman"/>
              <w:b w:val="0"/>
              <w:bCs w:val="0"/>
              <w:noProof/>
              <w:kern w:val="2"/>
              <w:sz w:val="24"/>
              <w:szCs w:val="24"/>
              <w:lang w:val="en-US"/>
            </w:rPr>
          </w:pPr>
          <w:hyperlink w:anchor="_Toc146898480" w:history="1">
            <w:r w:rsidR="005E0B0F" w:rsidRPr="00FC1BA2">
              <w:rPr>
                <w:rStyle w:val="Hyperlink"/>
                <w:rFonts w:ascii="Times New Roman" w:hAnsi="Times New Roman" w:cs="Times New Roman"/>
                <w:b w:val="0"/>
                <w:noProof/>
                <w:sz w:val="24"/>
                <w:szCs w:val="24"/>
                <w:lang w:val="en-GB"/>
              </w:rPr>
              <w:t>3.5.4. Urbanization and pollution</w:t>
            </w:r>
            <w:r w:rsidR="005E0B0F" w:rsidRPr="00FC1BA2">
              <w:rPr>
                <w:rFonts w:ascii="Times New Roman" w:hAnsi="Times New Roman" w:cs="Times New Roman"/>
                <w:b w:val="0"/>
                <w:noProof/>
                <w:webHidden/>
                <w:sz w:val="24"/>
                <w:szCs w:val="24"/>
              </w:rPr>
              <w:tab/>
            </w:r>
            <w:r w:rsidR="005E0B0F" w:rsidRPr="00FC1BA2">
              <w:rPr>
                <w:rFonts w:ascii="Times New Roman" w:hAnsi="Times New Roman" w:cs="Times New Roman"/>
                <w:b w:val="0"/>
                <w:noProof/>
                <w:webHidden/>
                <w:sz w:val="24"/>
                <w:szCs w:val="24"/>
              </w:rPr>
              <w:fldChar w:fldCharType="begin"/>
            </w:r>
            <w:r w:rsidR="005E0B0F" w:rsidRPr="00FC1BA2">
              <w:rPr>
                <w:rFonts w:ascii="Times New Roman" w:hAnsi="Times New Roman" w:cs="Times New Roman"/>
                <w:b w:val="0"/>
                <w:noProof/>
                <w:webHidden/>
                <w:sz w:val="24"/>
                <w:szCs w:val="24"/>
              </w:rPr>
              <w:instrText xml:space="preserve"> PAGEREF _Toc146898480 \h </w:instrText>
            </w:r>
            <w:r w:rsidR="005E0B0F" w:rsidRPr="00FC1BA2">
              <w:rPr>
                <w:rFonts w:ascii="Times New Roman" w:hAnsi="Times New Roman" w:cs="Times New Roman"/>
                <w:b w:val="0"/>
                <w:noProof/>
                <w:webHidden/>
                <w:sz w:val="24"/>
                <w:szCs w:val="24"/>
              </w:rPr>
            </w:r>
            <w:r w:rsidR="005E0B0F" w:rsidRPr="00FC1BA2">
              <w:rPr>
                <w:rFonts w:ascii="Times New Roman" w:hAnsi="Times New Roman" w:cs="Times New Roman"/>
                <w:b w:val="0"/>
                <w:noProof/>
                <w:webHidden/>
                <w:sz w:val="24"/>
                <w:szCs w:val="24"/>
              </w:rPr>
              <w:fldChar w:fldCharType="separate"/>
            </w:r>
            <w:r w:rsidR="00287BC7">
              <w:rPr>
                <w:rFonts w:ascii="Times New Roman" w:hAnsi="Times New Roman" w:cs="Times New Roman"/>
                <w:b w:val="0"/>
                <w:noProof/>
                <w:webHidden/>
                <w:sz w:val="24"/>
                <w:szCs w:val="24"/>
              </w:rPr>
              <w:t>93</w:t>
            </w:r>
            <w:r w:rsidR="005E0B0F" w:rsidRPr="00FC1BA2">
              <w:rPr>
                <w:rFonts w:ascii="Times New Roman" w:hAnsi="Times New Roman" w:cs="Times New Roman"/>
                <w:b w:val="0"/>
                <w:noProof/>
                <w:webHidden/>
                <w:sz w:val="24"/>
                <w:szCs w:val="24"/>
              </w:rPr>
              <w:fldChar w:fldCharType="end"/>
            </w:r>
          </w:hyperlink>
        </w:p>
        <w:p w14:paraId="1FADDE3A" w14:textId="59BA5323" w:rsidR="005E0B0F" w:rsidRPr="00FC1BA2" w:rsidRDefault="005E43B8" w:rsidP="00BC3E6B">
          <w:pPr>
            <w:pStyle w:val="TOC1"/>
            <w:rPr>
              <w:b w:val="0"/>
              <w:bCs w:val="0"/>
              <w:kern w:val="2"/>
              <w:lang w:val="en-US"/>
            </w:rPr>
          </w:pPr>
          <w:hyperlink w:anchor="_Toc146898481" w:history="1">
            <w:r w:rsidR="005E0B0F" w:rsidRPr="00BC3E6B">
              <w:rPr>
                <w:rStyle w:val="Hyperlink"/>
              </w:rPr>
              <w:t>3.6. Synthesis and conclusion</w:t>
            </w:r>
            <w:r w:rsidR="005E0B0F" w:rsidRPr="005E0B0F">
              <w:rPr>
                <w:webHidden/>
              </w:rPr>
              <w:tab/>
            </w:r>
            <w:r w:rsidR="005E0B0F" w:rsidRPr="00F26E2B">
              <w:rPr>
                <w:webHidden/>
              </w:rPr>
              <w:fldChar w:fldCharType="begin"/>
            </w:r>
            <w:r w:rsidR="005E0B0F" w:rsidRPr="005E0B0F">
              <w:rPr>
                <w:webHidden/>
              </w:rPr>
              <w:instrText xml:space="preserve"> PAGEREF _Toc146898481 \h </w:instrText>
            </w:r>
            <w:r w:rsidR="005E0B0F" w:rsidRPr="00F26E2B">
              <w:rPr>
                <w:webHidden/>
              </w:rPr>
            </w:r>
            <w:r w:rsidR="005E0B0F" w:rsidRPr="00F26E2B">
              <w:rPr>
                <w:webHidden/>
              </w:rPr>
              <w:fldChar w:fldCharType="separate"/>
            </w:r>
            <w:r w:rsidR="00287BC7">
              <w:rPr>
                <w:webHidden/>
              </w:rPr>
              <w:t>95</w:t>
            </w:r>
            <w:r w:rsidR="005E0B0F" w:rsidRPr="00F26E2B">
              <w:rPr>
                <w:webHidden/>
              </w:rPr>
              <w:fldChar w:fldCharType="end"/>
            </w:r>
          </w:hyperlink>
        </w:p>
        <w:p w14:paraId="6C33121D" w14:textId="12ED78B2" w:rsidR="005E0B0F" w:rsidRPr="00FC1BA2" w:rsidRDefault="005E43B8" w:rsidP="00FC1BA2">
          <w:pPr>
            <w:pStyle w:val="TOC2"/>
            <w:tabs>
              <w:tab w:val="right" w:leader="dot" w:pos="9620"/>
            </w:tabs>
            <w:spacing w:before="0"/>
            <w:rPr>
              <w:rFonts w:ascii="Times New Roman" w:hAnsi="Times New Roman" w:cs="Times New Roman"/>
              <w:b w:val="0"/>
              <w:bCs w:val="0"/>
              <w:noProof/>
              <w:kern w:val="2"/>
              <w:sz w:val="24"/>
              <w:szCs w:val="24"/>
              <w:lang w:val="en-US"/>
            </w:rPr>
          </w:pPr>
          <w:hyperlink w:anchor="_Toc146898482" w:history="1">
            <w:r w:rsidR="005E0B0F" w:rsidRPr="00FC1BA2">
              <w:rPr>
                <w:rStyle w:val="Hyperlink"/>
                <w:rFonts w:ascii="Times New Roman" w:hAnsi="Times New Roman" w:cs="Times New Roman"/>
                <w:b w:val="0"/>
                <w:noProof/>
                <w:sz w:val="24"/>
                <w:szCs w:val="24"/>
                <w:lang w:val="en-GB"/>
              </w:rPr>
              <w:t>3.6.1. Literature used in this chapter and identification of knowledge gaps</w:t>
            </w:r>
            <w:r w:rsidR="005E0B0F" w:rsidRPr="00FC1BA2">
              <w:rPr>
                <w:rFonts w:ascii="Times New Roman" w:hAnsi="Times New Roman" w:cs="Times New Roman"/>
                <w:b w:val="0"/>
                <w:noProof/>
                <w:webHidden/>
                <w:sz w:val="24"/>
                <w:szCs w:val="24"/>
              </w:rPr>
              <w:tab/>
            </w:r>
            <w:r w:rsidR="005E0B0F" w:rsidRPr="00FC1BA2">
              <w:rPr>
                <w:rFonts w:ascii="Times New Roman" w:hAnsi="Times New Roman" w:cs="Times New Roman"/>
                <w:b w:val="0"/>
                <w:noProof/>
                <w:webHidden/>
                <w:sz w:val="24"/>
                <w:szCs w:val="24"/>
              </w:rPr>
              <w:fldChar w:fldCharType="begin"/>
            </w:r>
            <w:r w:rsidR="005E0B0F" w:rsidRPr="00FC1BA2">
              <w:rPr>
                <w:rFonts w:ascii="Times New Roman" w:hAnsi="Times New Roman" w:cs="Times New Roman"/>
                <w:b w:val="0"/>
                <w:noProof/>
                <w:webHidden/>
                <w:sz w:val="24"/>
                <w:szCs w:val="24"/>
              </w:rPr>
              <w:instrText xml:space="preserve"> PAGEREF _Toc146898482 \h </w:instrText>
            </w:r>
            <w:r w:rsidR="005E0B0F" w:rsidRPr="00FC1BA2">
              <w:rPr>
                <w:rFonts w:ascii="Times New Roman" w:hAnsi="Times New Roman" w:cs="Times New Roman"/>
                <w:b w:val="0"/>
                <w:noProof/>
                <w:webHidden/>
                <w:sz w:val="24"/>
                <w:szCs w:val="24"/>
              </w:rPr>
            </w:r>
            <w:r w:rsidR="005E0B0F" w:rsidRPr="00FC1BA2">
              <w:rPr>
                <w:rFonts w:ascii="Times New Roman" w:hAnsi="Times New Roman" w:cs="Times New Roman"/>
                <w:b w:val="0"/>
                <w:noProof/>
                <w:webHidden/>
                <w:sz w:val="24"/>
                <w:szCs w:val="24"/>
              </w:rPr>
              <w:fldChar w:fldCharType="separate"/>
            </w:r>
            <w:r w:rsidR="00287BC7">
              <w:rPr>
                <w:rFonts w:ascii="Times New Roman" w:hAnsi="Times New Roman" w:cs="Times New Roman"/>
                <w:b w:val="0"/>
                <w:noProof/>
                <w:webHidden/>
                <w:sz w:val="24"/>
                <w:szCs w:val="24"/>
              </w:rPr>
              <w:t>95</w:t>
            </w:r>
            <w:r w:rsidR="005E0B0F" w:rsidRPr="00FC1BA2">
              <w:rPr>
                <w:rFonts w:ascii="Times New Roman" w:hAnsi="Times New Roman" w:cs="Times New Roman"/>
                <w:b w:val="0"/>
                <w:noProof/>
                <w:webHidden/>
                <w:sz w:val="24"/>
                <w:szCs w:val="24"/>
              </w:rPr>
              <w:fldChar w:fldCharType="end"/>
            </w:r>
          </w:hyperlink>
        </w:p>
        <w:p w14:paraId="7E4AC177" w14:textId="093D9123" w:rsidR="005E0B0F" w:rsidRPr="00FC1BA2" w:rsidRDefault="005E43B8" w:rsidP="00FC1BA2">
          <w:pPr>
            <w:pStyle w:val="TOC2"/>
            <w:tabs>
              <w:tab w:val="right" w:leader="dot" w:pos="9620"/>
            </w:tabs>
            <w:spacing w:before="0"/>
            <w:rPr>
              <w:rFonts w:ascii="Times New Roman" w:hAnsi="Times New Roman" w:cs="Times New Roman"/>
              <w:b w:val="0"/>
              <w:bCs w:val="0"/>
              <w:noProof/>
              <w:kern w:val="2"/>
              <w:sz w:val="24"/>
              <w:szCs w:val="24"/>
              <w:lang w:val="en-US"/>
            </w:rPr>
          </w:pPr>
          <w:hyperlink w:anchor="_Toc146898483" w:history="1">
            <w:r w:rsidR="005E0B0F" w:rsidRPr="00FC1BA2">
              <w:rPr>
                <w:rStyle w:val="Hyperlink"/>
                <w:rFonts w:ascii="Times New Roman" w:hAnsi="Times New Roman" w:cs="Times New Roman"/>
                <w:b w:val="0"/>
                <w:noProof/>
                <w:sz w:val="24"/>
                <w:szCs w:val="24"/>
                <w:lang w:val="en-GB"/>
              </w:rPr>
              <w:t>3.6.2. Synthesis</w:t>
            </w:r>
            <w:r w:rsidR="005E0B0F" w:rsidRPr="00FC1BA2">
              <w:rPr>
                <w:rFonts w:ascii="Times New Roman" w:hAnsi="Times New Roman" w:cs="Times New Roman"/>
                <w:b w:val="0"/>
                <w:noProof/>
                <w:webHidden/>
                <w:sz w:val="24"/>
                <w:szCs w:val="24"/>
              </w:rPr>
              <w:tab/>
            </w:r>
            <w:r w:rsidR="005E0B0F" w:rsidRPr="00FC1BA2">
              <w:rPr>
                <w:rFonts w:ascii="Times New Roman" w:hAnsi="Times New Roman" w:cs="Times New Roman"/>
                <w:b w:val="0"/>
                <w:noProof/>
                <w:webHidden/>
                <w:sz w:val="24"/>
                <w:szCs w:val="24"/>
              </w:rPr>
              <w:fldChar w:fldCharType="begin"/>
            </w:r>
            <w:r w:rsidR="005E0B0F" w:rsidRPr="00FC1BA2">
              <w:rPr>
                <w:rFonts w:ascii="Times New Roman" w:hAnsi="Times New Roman" w:cs="Times New Roman"/>
                <w:b w:val="0"/>
                <w:noProof/>
                <w:webHidden/>
                <w:sz w:val="24"/>
                <w:szCs w:val="24"/>
              </w:rPr>
              <w:instrText xml:space="preserve"> PAGEREF _Toc146898483 \h </w:instrText>
            </w:r>
            <w:r w:rsidR="005E0B0F" w:rsidRPr="00FC1BA2">
              <w:rPr>
                <w:rFonts w:ascii="Times New Roman" w:hAnsi="Times New Roman" w:cs="Times New Roman"/>
                <w:b w:val="0"/>
                <w:noProof/>
                <w:webHidden/>
                <w:sz w:val="24"/>
                <w:szCs w:val="24"/>
              </w:rPr>
            </w:r>
            <w:r w:rsidR="005E0B0F" w:rsidRPr="00FC1BA2">
              <w:rPr>
                <w:rFonts w:ascii="Times New Roman" w:hAnsi="Times New Roman" w:cs="Times New Roman"/>
                <w:b w:val="0"/>
                <w:noProof/>
                <w:webHidden/>
                <w:sz w:val="24"/>
                <w:szCs w:val="24"/>
              </w:rPr>
              <w:fldChar w:fldCharType="separate"/>
            </w:r>
            <w:r w:rsidR="00287BC7">
              <w:rPr>
                <w:rFonts w:ascii="Times New Roman" w:hAnsi="Times New Roman" w:cs="Times New Roman"/>
                <w:b w:val="0"/>
                <w:noProof/>
                <w:webHidden/>
                <w:sz w:val="24"/>
                <w:szCs w:val="24"/>
              </w:rPr>
              <w:t>102</w:t>
            </w:r>
            <w:r w:rsidR="005E0B0F" w:rsidRPr="00FC1BA2">
              <w:rPr>
                <w:rFonts w:ascii="Times New Roman" w:hAnsi="Times New Roman" w:cs="Times New Roman"/>
                <w:b w:val="0"/>
                <w:noProof/>
                <w:webHidden/>
                <w:sz w:val="24"/>
                <w:szCs w:val="24"/>
              </w:rPr>
              <w:fldChar w:fldCharType="end"/>
            </w:r>
          </w:hyperlink>
        </w:p>
        <w:p w14:paraId="14ECF7D5" w14:textId="0124F2BE" w:rsidR="005E0B0F" w:rsidRPr="00FC1BA2" w:rsidRDefault="005E43B8" w:rsidP="00FC1BA2">
          <w:pPr>
            <w:pStyle w:val="TOC2"/>
            <w:tabs>
              <w:tab w:val="right" w:leader="dot" w:pos="9620"/>
            </w:tabs>
            <w:spacing w:before="0"/>
            <w:rPr>
              <w:rFonts w:ascii="Times New Roman" w:hAnsi="Times New Roman" w:cs="Times New Roman"/>
              <w:b w:val="0"/>
              <w:bCs w:val="0"/>
              <w:noProof/>
              <w:kern w:val="2"/>
              <w:sz w:val="24"/>
              <w:szCs w:val="24"/>
              <w:lang w:val="en-US"/>
            </w:rPr>
          </w:pPr>
          <w:hyperlink w:anchor="_Toc146898484" w:history="1">
            <w:r w:rsidR="005E0B0F" w:rsidRPr="00FC1BA2">
              <w:rPr>
                <w:rStyle w:val="Hyperlink"/>
                <w:rFonts w:ascii="Times New Roman" w:hAnsi="Times New Roman" w:cs="Times New Roman"/>
                <w:b w:val="0"/>
                <w:noProof/>
                <w:sz w:val="24"/>
                <w:szCs w:val="24"/>
                <w:lang w:val="en-GB"/>
              </w:rPr>
              <w:t>3.6.3. Conclusions</w:t>
            </w:r>
            <w:r w:rsidR="005E0B0F" w:rsidRPr="00FC1BA2">
              <w:rPr>
                <w:rFonts w:ascii="Times New Roman" w:hAnsi="Times New Roman" w:cs="Times New Roman"/>
                <w:b w:val="0"/>
                <w:noProof/>
                <w:webHidden/>
                <w:sz w:val="24"/>
                <w:szCs w:val="24"/>
              </w:rPr>
              <w:tab/>
            </w:r>
            <w:r w:rsidR="005E0B0F" w:rsidRPr="00FC1BA2">
              <w:rPr>
                <w:rFonts w:ascii="Times New Roman" w:hAnsi="Times New Roman" w:cs="Times New Roman"/>
                <w:b w:val="0"/>
                <w:noProof/>
                <w:webHidden/>
                <w:sz w:val="24"/>
                <w:szCs w:val="24"/>
              </w:rPr>
              <w:fldChar w:fldCharType="begin"/>
            </w:r>
            <w:r w:rsidR="005E0B0F" w:rsidRPr="00FC1BA2">
              <w:rPr>
                <w:rFonts w:ascii="Times New Roman" w:hAnsi="Times New Roman" w:cs="Times New Roman"/>
                <w:b w:val="0"/>
                <w:noProof/>
                <w:webHidden/>
                <w:sz w:val="24"/>
                <w:szCs w:val="24"/>
              </w:rPr>
              <w:instrText xml:space="preserve"> PAGEREF _Toc146898484 \h </w:instrText>
            </w:r>
            <w:r w:rsidR="005E0B0F" w:rsidRPr="00FC1BA2">
              <w:rPr>
                <w:rFonts w:ascii="Times New Roman" w:hAnsi="Times New Roman" w:cs="Times New Roman"/>
                <w:b w:val="0"/>
                <w:noProof/>
                <w:webHidden/>
                <w:sz w:val="24"/>
                <w:szCs w:val="24"/>
              </w:rPr>
            </w:r>
            <w:r w:rsidR="005E0B0F" w:rsidRPr="00FC1BA2">
              <w:rPr>
                <w:rFonts w:ascii="Times New Roman" w:hAnsi="Times New Roman" w:cs="Times New Roman"/>
                <w:b w:val="0"/>
                <w:noProof/>
                <w:webHidden/>
                <w:sz w:val="24"/>
                <w:szCs w:val="24"/>
              </w:rPr>
              <w:fldChar w:fldCharType="separate"/>
            </w:r>
            <w:r w:rsidR="00287BC7">
              <w:rPr>
                <w:rFonts w:ascii="Times New Roman" w:hAnsi="Times New Roman" w:cs="Times New Roman"/>
                <w:b w:val="0"/>
                <w:noProof/>
                <w:webHidden/>
                <w:sz w:val="24"/>
                <w:szCs w:val="24"/>
              </w:rPr>
              <w:t>106</w:t>
            </w:r>
            <w:r w:rsidR="005E0B0F" w:rsidRPr="00FC1BA2">
              <w:rPr>
                <w:rFonts w:ascii="Times New Roman" w:hAnsi="Times New Roman" w:cs="Times New Roman"/>
                <w:b w:val="0"/>
                <w:noProof/>
                <w:webHidden/>
                <w:sz w:val="24"/>
                <w:szCs w:val="24"/>
              </w:rPr>
              <w:fldChar w:fldCharType="end"/>
            </w:r>
          </w:hyperlink>
        </w:p>
        <w:p w14:paraId="61EC54C2" w14:textId="4E0CF7E9" w:rsidR="005E0B0F" w:rsidRDefault="005E43B8" w:rsidP="00BC3E6B">
          <w:pPr>
            <w:pStyle w:val="TOC1"/>
            <w:rPr>
              <w:rFonts w:asciiTheme="minorHAnsi" w:hAnsiTheme="minorHAnsi" w:cstheme="minorBidi"/>
              <w:b w:val="0"/>
              <w:bCs w:val="0"/>
              <w:kern w:val="2"/>
              <w:sz w:val="21"/>
              <w:szCs w:val="22"/>
              <w:lang w:val="en-US"/>
            </w:rPr>
          </w:pPr>
          <w:hyperlink w:anchor="_Toc146898485" w:history="1">
            <w:r w:rsidR="005E0B0F" w:rsidRPr="00BC3E6B">
              <w:rPr>
                <w:rStyle w:val="Hyperlink"/>
              </w:rPr>
              <w:t>References</w:t>
            </w:r>
            <w:r w:rsidR="005E0B0F" w:rsidRPr="005E0B0F">
              <w:rPr>
                <w:webHidden/>
              </w:rPr>
              <w:tab/>
            </w:r>
            <w:r w:rsidR="005E0B0F" w:rsidRPr="00F26E2B">
              <w:rPr>
                <w:webHidden/>
              </w:rPr>
              <w:fldChar w:fldCharType="begin"/>
            </w:r>
            <w:r w:rsidR="005E0B0F" w:rsidRPr="005E0B0F">
              <w:rPr>
                <w:webHidden/>
              </w:rPr>
              <w:instrText xml:space="preserve"> PAGEREF _Toc146898485 \h </w:instrText>
            </w:r>
            <w:r w:rsidR="005E0B0F" w:rsidRPr="00F26E2B">
              <w:rPr>
                <w:webHidden/>
              </w:rPr>
            </w:r>
            <w:r w:rsidR="005E0B0F" w:rsidRPr="00F26E2B">
              <w:rPr>
                <w:webHidden/>
              </w:rPr>
              <w:fldChar w:fldCharType="separate"/>
            </w:r>
            <w:r w:rsidR="00287BC7">
              <w:rPr>
                <w:webHidden/>
              </w:rPr>
              <w:t>109</w:t>
            </w:r>
            <w:r w:rsidR="005E0B0F" w:rsidRPr="00F26E2B">
              <w:rPr>
                <w:webHidden/>
              </w:rPr>
              <w:fldChar w:fldCharType="end"/>
            </w:r>
          </w:hyperlink>
        </w:p>
        <w:p w14:paraId="3E52DD55" w14:textId="419F0F98" w:rsidR="008818D8" w:rsidRPr="00FC1BA2" w:rsidRDefault="00C74E6B" w:rsidP="00033F4D">
          <w:pPr>
            <w:pStyle w:val="TOC1"/>
            <w:rPr>
              <w:rStyle w:val="Hyperlink"/>
              <w:rFonts w:asciiTheme="minorHAnsi" w:hAnsiTheme="minorHAnsi" w:cstheme="minorHAnsi"/>
              <w:sz w:val="22"/>
              <w:lang w:val="en-US"/>
            </w:rPr>
          </w:pPr>
          <w:r>
            <w:fldChar w:fldCharType="end"/>
          </w:r>
        </w:p>
      </w:sdtContent>
    </w:sdt>
    <w:p w14:paraId="0C01E57E" w14:textId="77777777" w:rsidR="004F1673" w:rsidRPr="00DA249F" w:rsidRDefault="000A1DAB" w:rsidP="00181DB6">
      <w:pPr>
        <w:spacing w:before="0" w:after="0" w:line="360" w:lineRule="auto"/>
        <w:rPr>
          <w:b/>
          <w:sz w:val="36"/>
          <w:szCs w:val="32"/>
          <w:lang w:val="en-GB"/>
        </w:rPr>
      </w:pPr>
      <w:r w:rsidRPr="00DA249F">
        <w:rPr>
          <w:b/>
          <w:sz w:val="36"/>
          <w:szCs w:val="32"/>
          <w:lang w:val="en-GB"/>
        </w:rPr>
        <w:t>List of f</w:t>
      </w:r>
      <w:r w:rsidR="004F1673" w:rsidRPr="00DA249F">
        <w:rPr>
          <w:b/>
          <w:sz w:val="36"/>
          <w:szCs w:val="32"/>
          <w:lang w:val="en-GB"/>
        </w:rPr>
        <w:t>igures</w:t>
      </w:r>
    </w:p>
    <w:p w14:paraId="3FCDBD8F" w14:textId="30085DC0" w:rsidR="00F26E2B" w:rsidRDefault="00740D7B" w:rsidP="00774819">
      <w:pPr>
        <w:pStyle w:val="TableofFigures"/>
        <w:rPr>
          <w:rFonts w:asciiTheme="minorHAnsi" w:eastAsiaTheme="minorEastAsia" w:hAnsiTheme="minorHAnsi" w:cstheme="minorBidi"/>
          <w:noProof/>
          <w:kern w:val="2"/>
          <w:sz w:val="21"/>
          <w:szCs w:val="22"/>
          <w:lang w:val="en-US" w:eastAsia="ja-JP"/>
        </w:rPr>
      </w:pPr>
      <w:r w:rsidRPr="00864B3E">
        <w:fldChar w:fldCharType="begin"/>
      </w:r>
      <w:r w:rsidRPr="00864B3E">
        <w:instrText xml:space="preserve"> TOC \h \z \c "Figure 3." </w:instrText>
      </w:r>
      <w:r w:rsidRPr="00864B3E">
        <w:fldChar w:fldCharType="separate"/>
      </w:r>
      <w:hyperlink w:anchor="_Toc147500886" w:history="1">
        <w:r w:rsidR="00F26E2B" w:rsidRPr="00FC1BA2">
          <w:rPr>
            <w:rStyle w:val="Hyperlink"/>
            <w:b/>
            <w:noProof/>
            <w:lang w:val="en-GB"/>
          </w:rPr>
          <w:t xml:space="preserve">Figure 3.1. </w:t>
        </w:r>
        <w:r w:rsidR="00F26E2B" w:rsidRPr="00201227">
          <w:rPr>
            <w:rStyle w:val="Hyperlink"/>
            <w:noProof/>
            <w:lang w:val="en-GB"/>
          </w:rPr>
          <w:t>Trends in a selection of drivers and correlates of biological invasions.</w:t>
        </w:r>
        <w:r w:rsidR="00F26E2B">
          <w:rPr>
            <w:noProof/>
            <w:webHidden/>
          </w:rPr>
          <w:tab/>
        </w:r>
        <w:r w:rsidR="00F26E2B">
          <w:rPr>
            <w:noProof/>
            <w:webHidden/>
          </w:rPr>
          <w:fldChar w:fldCharType="begin"/>
        </w:r>
        <w:r w:rsidR="00F26E2B">
          <w:rPr>
            <w:noProof/>
            <w:webHidden/>
          </w:rPr>
          <w:instrText xml:space="preserve"> PAGEREF _Toc147500886 \h </w:instrText>
        </w:r>
        <w:r w:rsidR="00F26E2B">
          <w:rPr>
            <w:noProof/>
            <w:webHidden/>
          </w:rPr>
        </w:r>
        <w:r w:rsidR="00F26E2B">
          <w:rPr>
            <w:noProof/>
            <w:webHidden/>
          </w:rPr>
          <w:fldChar w:fldCharType="separate"/>
        </w:r>
        <w:r w:rsidR="00287BC7">
          <w:rPr>
            <w:noProof/>
            <w:webHidden/>
          </w:rPr>
          <w:t>7</w:t>
        </w:r>
        <w:r w:rsidR="00F26E2B">
          <w:rPr>
            <w:noProof/>
            <w:webHidden/>
          </w:rPr>
          <w:fldChar w:fldCharType="end"/>
        </w:r>
      </w:hyperlink>
    </w:p>
    <w:p w14:paraId="52EDE5EC" w14:textId="6CBA3EAA" w:rsidR="00F26E2B" w:rsidRDefault="00F26E2B" w:rsidP="00774819">
      <w:pPr>
        <w:pStyle w:val="TableofFigures"/>
        <w:rPr>
          <w:rFonts w:asciiTheme="minorHAnsi" w:eastAsiaTheme="minorEastAsia" w:hAnsiTheme="minorHAnsi" w:cstheme="minorBidi"/>
          <w:noProof/>
          <w:kern w:val="2"/>
          <w:sz w:val="21"/>
          <w:szCs w:val="22"/>
          <w:lang w:val="en-US" w:eastAsia="ja-JP"/>
        </w:rPr>
      </w:pPr>
      <w:r w:rsidRPr="00FC1BA2">
        <w:rPr>
          <w:rStyle w:val="Hyperlink"/>
          <w:b/>
          <w:noProof/>
          <w:color w:val="auto"/>
          <w:u w:val="none"/>
          <w:lang w:val="en-GB"/>
        </w:rPr>
        <w:t xml:space="preserve">Figure 3.2. </w:t>
      </w:r>
      <w:r w:rsidRPr="00774819">
        <w:rPr>
          <w:rStyle w:val="Hyperlink"/>
          <w:noProof/>
          <w:color w:val="auto"/>
          <w:u w:val="none"/>
          <w:lang w:val="en-GB"/>
        </w:rPr>
        <w:t>Estimated effects of different factors on established alien species richness across</w:t>
      </w:r>
      <w:r w:rsidRPr="00774819">
        <w:rPr>
          <w:rStyle w:val="Hyperlink"/>
          <w:i/>
          <w:iCs/>
          <w:noProof/>
          <w:color w:val="auto"/>
          <w:u w:val="none"/>
          <w:lang w:val="en-GB"/>
        </w:rPr>
        <w:t xml:space="preserve"> </w:t>
      </w:r>
      <w:r w:rsidRPr="00774819">
        <w:rPr>
          <w:rStyle w:val="Hyperlink"/>
          <w:noProof/>
          <w:color w:val="auto"/>
          <w:u w:val="none"/>
          <w:lang w:val="en-GB"/>
        </w:rPr>
        <w:t>eight taxonomic groups: amphibians, ants, birds, freshwater fishes, mammals, vascular plants, reptiles, spiders (from top to bottom).</w:t>
      </w:r>
      <w:r>
        <w:rPr>
          <w:noProof/>
          <w:webHidden/>
        </w:rPr>
        <w:tab/>
      </w:r>
      <w:r>
        <w:rPr>
          <w:noProof/>
          <w:webHidden/>
        </w:rPr>
        <w:fldChar w:fldCharType="begin"/>
      </w:r>
      <w:r>
        <w:rPr>
          <w:noProof/>
          <w:webHidden/>
        </w:rPr>
        <w:instrText xml:space="preserve"> PAGEREF _Toc147500887 \h </w:instrText>
      </w:r>
      <w:r>
        <w:rPr>
          <w:noProof/>
          <w:webHidden/>
        </w:rPr>
      </w:r>
      <w:r>
        <w:rPr>
          <w:noProof/>
          <w:webHidden/>
        </w:rPr>
        <w:fldChar w:fldCharType="separate"/>
      </w:r>
      <w:r w:rsidR="00287BC7">
        <w:rPr>
          <w:noProof/>
          <w:webHidden/>
        </w:rPr>
        <w:t>8</w:t>
      </w:r>
      <w:r>
        <w:rPr>
          <w:noProof/>
          <w:webHidden/>
        </w:rPr>
        <w:fldChar w:fldCharType="end"/>
      </w:r>
    </w:p>
    <w:p w14:paraId="0B9A79CF" w14:textId="4AD53823" w:rsidR="00F26E2B" w:rsidRDefault="005E43B8" w:rsidP="00774819">
      <w:pPr>
        <w:pStyle w:val="TableofFigures"/>
        <w:rPr>
          <w:rFonts w:asciiTheme="minorHAnsi" w:eastAsiaTheme="minorEastAsia" w:hAnsiTheme="minorHAnsi" w:cstheme="minorBidi"/>
          <w:noProof/>
          <w:kern w:val="2"/>
          <w:sz w:val="21"/>
          <w:szCs w:val="22"/>
          <w:lang w:val="en-US" w:eastAsia="ja-JP"/>
        </w:rPr>
      </w:pPr>
      <w:hyperlink w:anchor="_Toc147500888" w:history="1">
        <w:r w:rsidR="00F26E2B" w:rsidRPr="00FC1BA2">
          <w:rPr>
            <w:rStyle w:val="Hyperlink"/>
            <w:b/>
            <w:noProof/>
            <w:lang w:val="en-GB"/>
          </w:rPr>
          <w:t>Figure 3.3.</w:t>
        </w:r>
        <w:r w:rsidR="00F26E2B" w:rsidRPr="00201227">
          <w:rPr>
            <w:rStyle w:val="Hyperlink"/>
            <w:noProof/>
            <w:lang w:val="en-GB"/>
          </w:rPr>
          <w:t xml:space="preserve"> Schematic illustration of how invasive alien species can be influenced by indirect drivers of change in nature, anthropogenic and natural direct drivers of change in nature and by changes to nature (i.e., loss of biodiversity or ecological resilience).</w:t>
        </w:r>
        <w:r w:rsidR="00F26E2B">
          <w:rPr>
            <w:noProof/>
            <w:webHidden/>
          </w:rPr>
          <w:tab/>
        </w:r>
        <w:r w:rsidR="00F26E2B">
          <w:rPr>
            <w:noProof/>
            <w:webHidden/>
          </w:rPr>
          <w:fldChar w:fldCharType="begin"/>
        </w:r>
        <w:r w:rsidR="00F26E2B">
          <w:rPr>
            <w:noProof/>
            <w:webHidden/>
          </w:rPr>
          <w:instrText xml:space="preserve"> PAGEREF _Toc147500888 \h </w:instrText>
        </w:r>
        <w:r w:rsidR="00F26E2B">
          <w:rPr>
            <w:noProof/>
            <w:webHidden/>
          </w:rPr>
        </w:r>
        <w:r w:rsidR="00F26E2B">
          <w:rPr>
            <w:noProof/>
            <w:webHidden/>
          </w:rPr>
          <w:fldChar w:fldCharType="separate"/>
        </w:r>
        <w:r w:rsidR="00287BC7">
          <w:rPr>
            <w:noProof/>
            <w:webHidden/>
          </w:rPr>
          <w:t>11</w:t>
        </w:r>
        <w:r w:rsidR="00F26E2B">
          <w:rPr>
            <w:noProof/>
            <w:webHidden/>
          </w:rPr>
          <w:fldChar w:fldCharType="end"/>
        </w:r>
      </w:hyperlink>
    </w:p>
    <w:p w14:paraId="403FC354" w14:textId="1298B9AF" w:rsidR="00F26E2B" w:rsidRDefault="005E43B8" w:rsidP="00774819">
      <w:pPr>
        <w:pStyle w:val="TableofFigures"/>
        <w:rPr>
          <w:rFonts w:asciiTheme="minorHAnsi" w:eastAsiaTheme="minorEastAsia" w:hAnsiTheme="minorHAnsi" w:cstheme="minorBidi"/>
          <w:noProof/>
          <w:kern w:val="2"/>
          <w:sz w:val="21"/>
          <w:szCs w:val="22"/>
          <w:lang w:val="en-US" w:eastAsia="ja-JP"/>
        </w:rPr>
      </w:pPr>
      <w:hyperlink w:anchor="_Toc147500889" w:history="1">
        <w:r w:rsidR="00F26E2B" w:rsidRPr="00FC1BA2">
          <w:rPr>
            <w:rStyle w:val="Hyperlink"/>
            <w:b/>
            <w:noProof/>
            <w:lang w:val="en-GB"/>
          </w:rPr>
          <w:t xml:space="preserve">Figure 3.4. </w:t>
        </w:r>
        <w:r w:rsidR="00F26E2B" w:rsidRPr="00201227">
          <w:rPr>
            <w:rStyle w:val="Hyperlink"/>
            <w:noProof/>
            <w:lang w:val="en-GB"/>
          </w:rPr>
          <w:t>Schematic using selected examples of how both indirect and direct drivers of change in nature may facilitate invasive alien species along four stages in the biological invasion process: transport, introduction, establishment and spread.</w:t>
        </w:r>
        <w:r w:rsidR="00F26E2B">
          <w:rPr>
            <w:noProof/>
            <w:webHidden/>
          </w:rPr>
          <w:tab/>
        </w:r>
        <w:r w:rsidR="00F26E2B">
          <w:rPr>
            <w:noProof/>
            <w:webHidden/>
          </w:rPr>
          <w:fldChar w:fldCharType="begin"/>
        </w:r>
        <w:r w:rsidR="00F26E2B">
          <w:rPr>
            <w:noProof/>
            <w:webHidden/>
          </w:rPr>
          <w:instrText xml:space="preserve"> PAGEREF _Toc147500889 \h </w:instrText>
        </w:r>
        <w:r w:rsidR="00F26E2B">
          <w:rPr>
            <w:noProof/>
            <w:webHidden/>
          </w:rPr>
        </w:r>
        <w:r w:rsidR="00F26E2B">
          <w:rPr>
            <w:noProof/>
            <w:webHidden/>
          </w:rPr>
          <w:fldChar w:fldCharType="separate"/>
        </w:r>
        <w:r w:rsidR="00287BC7">
          <w:rPr>
            <w:noProof/>
            <w:webHidden/>
          </w:rPr>
          <w:t>16</w:t>
        </w:r>
        <w:r w:rsidR="00F26E2B">
          <w:rPr>
            <w:noProof/>
            <w:webHidden/>
          </w:rPr>
          <w:fldChar w:fldCharType="end"/>
        </w:r>
      </w:hyperlink>
    </w:p>
    <w:p w14:paraId="69355224" w14:textId="2482747F" w:rsidR="00F26E2B" w:rsidRDefault="005E43B8" w:rsidP="00774819">
      <w:pPr>
        <w:pStyle w:val="TableofFigures"/>
        <w:rPr>
          <w:rFonts w:asciiTheme="minorHAnsi" w:eastAsiaTheme="minorEastAsia" w:hAnsiTheme="minorHAnsi" w:cstheme="minorBidi"/>
          <w:noProof/>
          <w:kern w:val="2"/>
          <w:sz w:val="21"/>
          <w:szCs w:val="22"/>
          <w:lang w:val="en-US" w:eastAsia="ja-JP"/>
        </w:rPr>
      </w:pPr>
      <w:hyperlink w:anchor="_Toc147500890" w:history="1">
        <w:r w:rsidR="00F26E2B" w:rsidRPr="00FC1BA2">
          <w:rPr>
            <w:rStyle w:val="Hyperlink"/>
            <w:b/>
            <w:noProof/>
            <w:lang w:val="en-GB"/>
          </w:rPr>
          <w:t xml:space="preserve">Figure 3.5. </w:t>
        </w:r>
        <w:r w:rsidR="00F26E2B" w:rsidRPr="00201227">
          <w:rPr>
            <w:rStyle w:val="Hyperlink"/>
            <w:noProof/>
            <w:lang w:val="en-GB"/>
          </w:rPr>
          <w:t>Network diagram illustrating the extent of knowledge on indirect (blue circles), direct (green circles) anthropogenic drivers of change in nature and natural drivers (grey circle), and their interactions (lines).</w:t>
        </w:r>
        <w:r w:rsidR="00F26E2B">
          <w:rPr>
            <w:noProof/>
            <w:webHidden/>
          </w:rPr>
          <w:tab/>
        </w:r>
        <w:r w:rsidR="00F26E2B">
          <w:rPr>
            <w:noProof/>
            <w:webHidden/>
          </w:rPr>
          <w:fldChar w:fldCharType="begin"/>
        </w:r>
        <w:r w:rsidR="00F26E2B">
          <w:rPr>
            <w:noProof/>
            <w:webHidden/>
          </w:rPr>
          <w:instrText xml:space="preserve"> PAGEREF _Toc147500890 \h </w:instrText>
        </w:r>
        <w:r w:rsidR="00F26E2B">
          <w:rPr>
            <w:noProof/>
            <w:webHidden/>
          </w:rPr>
        </w:r>
        <w:r w:rsidR="00F26E2B">
          <w:rPr>
            <w:noProof/>
            <w:webHidden/>
          </w:rPr>
          <w:fldChar w:fldCharType="separate"/>
        </w:r>
        <w:r w:rsidR="00287BC7">
          <w:rPr>
            <w:noProof/>
            <w:webHidden/>
          </w:rPr>
          <w:t>17</w:t>
        </w:r>
        <w:r w:rsidR="00F26E2B">
          <w:rPr>
            <w:noProof/>
            <w:webHidden/>
          </w:rPr>
          <w:fldChar w:fldCharType="end"/>
        </w:r>
      </w:hyperlink>
    </w:p>
    <w:p w14:paraId="3D9D2D1C" w14:textId="328C8F8D" w:rsidR="00F26E2B" w:rsidRDefault="005E43B8" w:rsidP="00774819">
      <w:pPr>
        <w:pStyle w:val="TableofFigures"/>
        <w:rPr>
          <w:rFonts w:asciiTheme="minorHAnsi" w:eastAsiaTheme="minorEastAsia" w:hAnsiTheme="minorHAnsi" w:cstheme="minorBidi"/>
          <w:noProof/>
          <w:kern w:val="2"/>
          <w:sz w:val="21"/>
          <w:szCs w:val="22"/>
          <w:lang w:val="en-US" w:eastAsia="ja-JP"/>
        </w:rPr>
      </w:pPr>
      <w:hyperlink w:anchor="_Toc147500891" w:history="1">
        <w:r w:rsidR="00F26E2B" w:rsidRPr="00FC1BA2">
          <w:rPr>
            <w:rStyle w:val="Hyperlink"/>
            <w:b/>
            <w:noProof/>
            <w:lang w:val="en-GB"/>
          </w:rPr>
          <w:t>Figure 3.6.</w:t>
        </w:r>
        <w:r w:rsidR="00F26E2B" w:rsidRPr="00201227">
          <w:rPr>
            <w:rStyle w:val="Hyperlink"/>
            <w:noProof/>
            <w:lang w:val="en-GB"/>
          </w:rPr>
          <w:t xml:space="preserve"> Examples of the role of sociocultural drivers and social values in facilitating invasive alien species across stages of the biological invasion process..</w:t>
        </w:r>
        <w:r w:rsidR="00F26E2B">
          <w:rPr>
            <w:noProof/>
            <w:webHidden/>
          </w:rPr>
          <w:tab/>
        </w:r>
        <w:r w:rsidR="00F26E2B">
          <w:rPr>
            <w:noProof/>
            <w:webHidden/>
          </w:rPr>
          <w:fldChar w:fldCharType="begin"/>
        </w:r>
        <w:r w:rsidR="00F26E2B">
          <w:rPr>
            <w:noProof/>
            <w:webHidden/>
          </w:rPr>
          <w:instrText xml:space="preserve"> PAGEREF _Toc147500891 \h </w:instrText>
        </w:r>
        <w:r w:rsidR="00F26E2B">
          <w:rPr>
            <w:noProof/>
            <w:webHidden/>
          </w:rPr>
        </w:r>
        <w:r w:rsidR="00F26E2B">
          <w:rPr>
            <w:noProof/>
            <w:webHidden/>
          </w:rPr>
          <w:fldChar w:fldCharType="separate"/>
        </w:r>
        <w:r w:rsidR="00287BC7">
          <w:rPr>
            <w:noProof/>
            <w:webHidden/>
          </w:rPr>
          <w:t>18</w:t>
        </w:r>
        <w:r w:rsidR="00F26E2B">
          <w:rPr>
            <w:noProof/>
            <w:webHidden/>
          </w:rPr>
          <w:fldChar w:fldCharType="end"/>
        </w:r>
      </w:hyperlink>
    </w:p>
    <w:p w14:paraId="51D85294" w14:textId="27F7B4BA" w:rsidR="00F26E2B" w:rsidRDefault="005E43B8" w:rsidP="00774819">
      <w:pPr>
        <w:pStyle w:val="TableofFigures"/>
        <w:rPr>
          <w:rFonts w:asciiTheme="minorHAnsi" w:eastAsiaTheme="minorEastAsia" w:hAnsiTheme="minorHAnsi" w:cstheme="minorBidi"/>
          <w:noProof/>
          <w:kern w:val="2"/>
          <w:sz w:val="21"/>
          <w:szCs w:val="22"/>
          <w:lang w:val="en-US" w:eastAsia="ja-JP"/>
        </w:rPr>
      </w:pPr>
      <w:hyperlink w:anchor="_Toc147500892" w:history="1">
        <w:r w:rsidR="00F26E2B" w:rsidRPr="00FC1BA2">
          <w:rPr>
            <w:rStyle w:val="Hyperlink"/>
            <w:b/>
            <w:noProof/>
            <w:lang w:val="en-GB"/>
          </w:rPr>
          <w:t>Figure 3.7.</w:t>
        </w:r>
        <w:r w:rsidR="00F26E2B" w:rsidRPr="00201227">
          <w:rPr>
            <w:rStyle w:val="Hyperlink"/>
            <w:noProof/>
            <w:lang w:val="en-GB"/>
          </w:rPr>
          <w:t xml:space="preserve"> </w:t>
        </w:r>
        <w:r w:rsidR="00F26E2B" w:rsidRPr="00201227">
          <w:rPr>
            <w:rStyle w:val="Hyperlink"/>
            <w:i/>
            <w:iCs/>
            <w:noProof/>
            <w:lang w:val="en-GB"/>
          </w:rPr>
          <w:t>Phasianus colchicus</w:t>
        </w:r>
        <w:r w:rsidR="00F26E2B" w:rsidRPr="00201227">
          <w:rPr>
            <w:rStyle w:val="Hyperlink"/>
            <w:noProof/>
            <w:lang w:val="en-GB"/>
          </w:rPr>
          <w:t xml:space="preserve"> (common pheasant) killed by a recreational shoot.</w:t>
        </w:r>
        <w:r w:rsidR="00F26E2B">
          <w:rPr>
            <w:noProof/>
            <w:webHidden/>
          </w:rPr>
          <w:tab/>
        </w:r>
        <w:r w:rsidR="00F26E2B">
          <w:rPr>
            <w:noProof/>
            <w:webHidden/>
          </w:rPr>
          <w:fldChar w:fldCharType="begin"/>
        </w:r>
        <w:r w:rsidR="00F26E2B">
          <w:rPr>
            <w:noProof/>
            <w:webHidden/>
          </w:rPr>
          <w:instrText xml:space="preserve"> PAGEREF _Toc147500892 \h </w:instrText>
        </w:r>
        <w:r w:rsidR="00F26E2B">
          <w:rPr>
            <w:noProof/>
            <w:webHidden/>
          </w:rPr>
        </w:r>
        <w:r w:rsidR="00F26E2B">
          <w:rPr>
            <w:noProof/>
            <w:webHidden/>
          </w:rPr>
          <w:fldChar w:fldCharType="separate"/>
        </w:r>
        <w:r w:rsidR="00287BC7">
          <w:rPr>
            <w:noProof/>
            <w:webHidden/>
          </w:rPr>
          <w:t>20</w:t>
        </w:r>
        <w:r w:rsidR="00F26E2B">
          <w:rPr>
            <w:noProof/>
            <w:webHidden/>
          </w:rPr>
          <w:fldChar w:fldCharType="end"/>
        </w:r>
      </w:hyperlink>
    </w:p>
    <w:p w14:paraId="72E4D593" w14:textId="11C3D690" w:rsidR="00F26E2B" w:rsidRDefault="005E43B8" w:rsidP="00774819">
      <w:pPr>
        <w:pStyle w:val="TableofFigures"/>
        <w:rPr>
          <w:rFonts w:asciiTheme="minorHAnsi" w:eastAsiaTheme="minorEastAsia" w:hAnsiTheme="minorHAnsi" w:cstheme="minorBidi"/>
          <w:noProof/>
          <w:kern w:val="2"/>
          <w:sz w:val="21"/>
          <w:szCs w:val="22"/>
          <w:lang w:val="en-US" w:eastAsia="ja-JP"/>
        </w:rPr>
      </w:pPr>
      <w:hyperlink w:anchor="_Toc147500893" w:history="1">
        <w:r w:rsidR="00F26E2B" w:rsidRPr="00FC1BA2">
          <w:rPr>
            <w:rStyle w:val="Hyperlink"/>
            <w:b/>
            <w:noProof/>
            <w:lang w:val="en-GB"/>
          </w:rPr>
          <w:t>Figure 3.8.</w:t>
        </w:r>
        <w:r w:rsidR="00F26E2B" w:rsidRPr="00201227">
          <w:rPr>
            <w:rStyle w:val="Hyperlink"/>
            <w:noProof/>
            <w:lang w:val="en-GB"/>
          </w:rPr>
          <w:t xml:space="preserve"> Examples of roles of demographic drivers in facilitating invasive alien species across</w:t>
        </w:r>
        <w:r w:rsidR="00774819">
          <w:rPr>
            <w:rStyle w:val="Hyperlink"/>
            <w:noProof/>
            <w:lang w:val="en-GB"/>
          </w:rPr>
          <w:t xml:space="preserve"> </w:t>
        </w:r>
        <w:r w:rsidR="00F26E2B" w:rsidRPr="00201227">
          <w:rPr>
            <w:rStyle w:val="Hyperlink"/>
            <w:noProof/>
            <w:lang w:val="en-GB"/>
          </w:rPr>
          <w:t>stages of the biological invasion process.</w:t>
        </w:r>
        <w:r w:rsidR="00F26E2B">
          <w:rPr>
            <w:noProof/>
            <w:webHidden/>
          </w:rPr>
          <w:tab/>
        </w:r>
        <w:r w:rsidR="00F26E2B">
          <w:rPr>
            <w:noProof/>
            <w:webHidden/>
          </w:rPr>
          <w:fldChar w:fldCharType="begin"/>
        </w:r>
        <w:r w:rsidR="00F26E2B">
          <w:rPr>
            <w:noProof/>
            <w:webHidden/>
          </w:rPr>
          <w:instrText xml:space="preserve"> PAGEREF _Toc147500893 \h </w:instrText>
        </w:r>
        <w:r w:rsidR="00F26E2B">
          <w:rPr>
            <w:noProof/>
            <w:webHidden/>
          </w:rPr>
        </w:r>
        <w:r w:rsidR="00F26E2B">
          <w:rPr>
            <w:noProof/>
            <w:webHidden/>
          </w:rPr>
          <w:fldChar w:fldCharType="separate"/>
        </w:r>
        <w:r w:rsidR="00287BC7">
          <w:rPr>
            <w:noProof/>
            <w:webHidden/>
          </w:rPr>
          <w:t>21</w:t>
        </w:r>
        <w:r w:rsidR="00F26E2B">
          <w:rPr>
            <w:noProof/>
            <w:webHidden/>
          </w:rPr>
          <w:fldChar w:fldCharType="end"/>
        </w:r>
      </w:hyperlink>
    </w:p>
    <w:p w14:paraId="4FE25220" w14:textId="3D9C770F" w:rsidR="00F26E2B" w:rsidRDefault="005E43B8" w:rsidP="00774819">
      <w:pPr>
        <w:pStyle w:val="TableofFigures"/>
        <w:rPr>
          <w:rFonts w:asciiTheme="minorHAnsi" w:eastAsiaTheme="minorEastAsia" w:hAnsiTheme="minorHAnsi" w:cstheme="minorBidi"/>
          <w:noProof/>
          <w:kern w:val="2"/>
          <w:sz w:val="21"/>
          <w:szCs w:val="22"/>
          <w:lang w:val="en-US" w:eastAsia="ja-JP"/>
        </w:rPr>
      </w:pPr>
      <w:hyperlink w:anchor="_Toc147500894" w:history="1">
        <w:r w:rsidR="00F26E2B" w:rsidRPr="00FC1BA2">
          <w:rPr>
            <w:rStyle w:val="Hyperlink"/>
            <w:b/>
            <w:noProof/>
            <w:lang w:val="en-GB"/>
          </w:rPr>
          <w:t>Figure 3.9.</w:t>
        </w:r>
        <w:r w:rsidR="00F26E2B" w:rsidRPr="00201227">
          <w:rPr>
            <w:rStyle w:val="Hyperlink"/>
            <w:noProof/>
            <w:lang w:val="en-GB"/>
          </w:rPr>
          <w:t xml:space="preserve"> Examples of the role of economic drivers in facilitating invasive alien species across stages of the biological invasion process.</w:t>
        </w:r>
        <w:r w:rsidR="00F26E2B">
          <w:rPr>
            <w:noProof/>
            <w:webHidden/>
          </w:rPr>
          <w:tab/>
        </w:r>
        <w:r w:rsidR="00F26E2B">
          <w:rPr>
            <w:noProof/>
            <w:webHidden/>
          </w:rPr>
          <w:fldChar w:fldCharType="begin"/>
        </w:r>
        <w:r w:rsidR="00F26E2B">
          <w:rPr>
            <w:noProof/>
            <w:webHidden/>
          </w:rPr>
          <w:instrText xml:space="preserve"> PAGEREF _Toc147500894 \h </w:instrText>
        </w:r>
        <w:r w:rsidR="00F26E2B">
          <w:rPr>
            <w:noProof/>
            <w:webHidden/>
          </w:rPr>
        </w:r>
        <w:r w:rsidR="00F26E2B">
          <w:rPr>
            <w:noProof/>
            <w:webHidden/>
          </w:rPr>
          <w:fldChar w:fldCharType="separate"/>
        </w:r>
        <w:r w:rsidR="00287BC7">
          <w:rPr>
            <w:noProof/>
            <w:webHidden/>
          </w:rPr>
          <w:t>28</w:t>
        </w:r>
        <w:r w:rsidR="00F26E2B">
          <w:rPr>
            <w:noProof/>
            <w:webHidden/>
          </w:rPr>
          <w:fldChar w:fldCharType="end"/>
        </w:r>
      </w:hyperlink>
    </w:p>
    <w:p w14:paraId="38757ADB" w14:textId="56D3D106" w:rsidR="00F26E2B" w:rsidRDefault="005E43B8" w:rsidP="00774819">
      <w:pPr>
        <w:pStyle w:val="TableofFigures"/>
        <w:rPr>
          <w:rFonts w:asciiTheme="minorHAnsi" w:eastAsiaTheme="minorEastAsia" w:hAnsiTheme="minorHAnsi" w:cstheme="minorBidi"/>
          <w:noProof/>
          <w:kern w:val="2"/>
          <w:sz w:val="21"/>
          <w:szCs w:val="22"/>
          <w:lang w:val="en-US" w:eastAsia="ja-JP"/>
        </w:rPr>
      </w:pPr>
      <w:hyperlink w:anchor="_Toc147500895" w:history="1">
        <w:r w:rsidR="00F26E2B" w:rsidRPr="00FC1BA2">
          <w:rPr>
            <w:rStyle w:val="Hyperlink"/>
            <w:b/>
            <w:noProof/>
            <w:lang w:val="en-GB"/>
          </w:rPr>
          <w:t>Figure 3.10.</w:t>
        </w:r>
        <w:r w:rsidR="00F26E2B" w:rsidRPr="00201227">
          <w:rPr>
            <w:rStyle w:val="Hyperlink"/>
            <w:noProof/>
            <w:lang w:val="en-GB"/>
          </w:rPr>
          <w:t xml:space="preserve"> Growers can purchase bees in a box that will fly from flower to flower, distributing pollen among the plants.</w:t>
        </w:r>
        <w:r w:rsidR="00F26E2B">
          <w:rPr>
            <w:noProof/>
            <w:webHidden/>
          </w:rPr>
          <w:tab/>
        </w:r>
        <w:r w:rsidR="00F26E2B">
          <w:rPr>
            <w:noProof/>
            <w:webHidden/>
          </w:rPr>
          <w:fldChar w:fldCharType="begin"/>
        </w:r>
        <w:r w:rsidR="00F26E2B">
          <w:rPr>
            <w:noProof/>
            <w:webHidden/>
          </w:rPr>
          <w:instrText xml:space="preserve"> PAGEREF _Toc147500895 \h </w:instrText>
        </w:r>
        <w:r w:rsidR="00F26E2B">
          <w:rPr>
            <w:noProof/>
            <w:webHidden/>
          </w:rPr>
        </w:r>
        <w:r w:rsidR="00F26E2B">
          <w:rPr>
            <w:noProof/>
            <w:webHidden/>
          </w:rPr>
          <w:fldChar w:fldCharType="separate"/>
        </w:r>
        <w:r w:rsidR="00287BC7">
          <w:rPr>
            <w:noProof/>
            <w:webHidden/>
          </w:rPr>
          <w:t>30</w:t>
        </w:r>
        <w:r w:rsidR="00F26E2B">
          <w:rPr>
            <w:noProof/>
            <w:webHidden/>
          </w:rPr>
          <w:fldChar w:fldCharType="end"/>
        </w:r>
      </w:hyperlink>
    </w:p>
    <w:p w14:paraId="0DF6E640" w14:textId="77C657DD" w:rsidR="00F26E2B" w:rsidRDefault="005E43B8" w:rsidP="00774819">
      <w:pPr>
        <w:pStyle w:val="TableofFigures"/>
        <w:rPr>
          <w:rFonts w:asciiTheme="minorHAnsi" w:eastAsiaTheme="minorEastAsia" w:hAnsiTheme="minorHAnsi" w:cstheme="minorBidi"/>
          <w:noProof/>
          <w:kern w:val="2"/>
          <w:sz w:val="21"/>
          <w:szCs w:val="22"/>
          <w:lang w:val="en-US" w:eastAsia="ja-JP"/>
        </w:rPr>
      </w:pPr>
      <w:hyperlink w:anchor="_Toc147500896" w:history="1">
        <w:r w:rsidR="00F26E2B" w:rsidRPr="00FC1BA2">
          <w:rPr>
            <w:rStyle w:val="Hyperlink"/>
            <w:b/>
            <w:noProof/>
            <w:lang w:val="en-GB"/>
          </w:rPr>
          <w:t>Figure 3.11.</w:t>
        </w:r>
        <w:r w:rsidR="00F26E2B" w:rsidRPr="00201227">
          <w:rPr>
            <w:rStyle w:val="Hyperlink"/>
            <w:noProof/>
            <w:lang w:val="en-GB"/>
          </w:rPr>
          <w:t xml:space="preserve"> Research stations in Antarctica increase the risk of biological invasions.</w:t>
        </w:r>
        <w:r w:rsidR="00F26E2B">
          <w:rPr>
            <w:noProof/>
            <w:webHidden/>
          </w:rPr>
          <w:tab/>
        </w:r>
        <w:r w:rsidR="00F26E2B">
          <w:rPr>
            <w:noProof/>
            <w:webHidden/>
          </w:rPr>
          <w:fldChar w:fldCharType="begin"/>
        </w:r>
        <w:r w:rsidR="00F26E2B">
          <w:rPr>
            <w:noProof/>
            <w:webHidden/>
          </w:rPr>
          <w:instrText xml:space="preserve"> PAGEREF _Toc147500896 \h </w:instrText>
        </w:r>
        <w:r w:rsidR="00F26E2B">
          <w:rPr>
            <w:noProof/>
            <w:webHidden/>
          </w:rPr>
        </w:r>
        <w:r w:rsidR="00F26E2B">
          <w:rPr>
            <w:noProof/>
            <w:webHidden/>
          </w:rPr>
          <w:fldChar w:fldCharType="separate"/>
        </w:r>
        <w:r w:rsidR="00287BC7">
          <w:rPr>
            <w:noProof/>
            <w:webHidden/>
          </w:rPr>
          <w:t>33</w:t>
        </w:r>
        <w:r w:rsidR="00F26E2B">
          <w:rPr>
            <w:noProof/>
            <w:webHidden/>
          </w:rPr>
          <w:fldChar w:fldCharType="end"/>
        </w:r>
      </w:hyperlink>
    </w:p>
    <w:p w14:paraId="53EBCBB0" w14:textId="3286A1F9" w:rsidR="00F26E2B" w:rsidRDefault="005E43B8" w:rsidP="00774819">
      <w:pPr>
        <w:pStyle w:val="TableofFigures"/>
        <w:rPr>
          <w:rFonts w:asciiTheme="minorHAnsi" w:eastAsiaTheme="minorEastAsia" w:hAnsiTheme="minorHAnsi" w:cstheme="minorBidi"/>
          <w:noProof/>
          <w:kern w:val="2"/>
          <w:sz w:val="21"/>
          <w:szCs w:val="22"/>
          <w:lang w:val="en-US" w:eastAsia="ja-JP"/>
        </w:rPr>
      </w:pPr>
      <w:hyperlink w:anchor="_Toc147500897" w:history="1">
        <w:r w:rsidR="00F26E2B" w:rsidRPr="00FC1BA2">
          <w:rPr>
            <w:rStyle w:val="Hyperlink"/>
            <w:b/>
            <w:noProof/>
            <w:lang w:val="en-GB"/>
          </w:rPr>
          <w:t xml:space="preserve">Figure 3.12. </w:t>
        </w:r>
        <w:r w:rsidR="00F26E2B" w:rsidRPr="00201227">
          <w:rPr>
            <w:rStyle w:val="Hyperlink"/>
            <w:noProof/>
            <w:lang w:val="en-GB"/>
          </w:rPr>
          <w:t>Examples of the role of science and technology in facilitating invasive alien species across stages of the biological invasion process..</w:t>
        </w:r>
        <w:r w:rsidR="00F26E2B">
          <w:rPr>
            <w:noProof/>
            <w:webHidden/>
          </w:rPr>
          <w:tab/>
        </w:r>
        <w:r w:rsidR="00F26E2B">
          <w:rPr>
            <w:noProof/>
            <w:webHidden/>
          </w:rPr>
          <w:fldChar w:fldCharType="begin"/>
        </w:r>
        <w:r w:rsidR="00F26E2B">
          <w:rPr>
            <w:noProof/>
            <w:webHidden/>
          </w:rPr>
          <w:instrText xml:space="preserve"> PAGEREF _Toc147500897 \h </w:instrText>
        </w:r>
        <w:r w:rsidR="00F26E2B">
          <w:rPr>
            <w:noProof/>
            <w:webHidden/>
          </w:rPr>
        </w:r>
        <w:r w:rsidR="00F26E2B">
          <w:rPr>
            <w:noProof/>
            <w:webHidden/>
          </w:rPr>
          <w:fldChar w:fldCharType="separate"/>
        </w:r>
        <w:r w:rsidR="00287BC7">
          <w:rPr>
            <w:noProof/>
            <w:webHidden/>
          </w:rPr>
          <w:t>35</w:t>
        </w:r>
        <w:r w:rsidR="00F26E2B">
          <w:rPr>
            <w:noProof/>
            <w:webHidden/>
          </w:rPr>
          <w:fldChar w:fldCharType="end"/>
        </w:r>
      </w:hyperlink>
    </w:p>
    <w:p w14:paraId="17F1FFBF" w14:textId="1BCBDB0E" w:rsidR="00F26E2B" w:rsidRDefault="005E43B8" w:rsidP="00774819">
      <w:pPr>
        <w:pStyle w:val="TableofFigures"/>
        <w:rPr>
          <w:rFonts w:asciiTheme="minorHAnsi" w:eastAsiaTheme="minorEastAsia" w:hAnsiTheme="minorHAnsi" w:cstheme="minorBidi"/>
          <w:noProof/>
          <w:kern w:val="2"/>
          <w:sz w:val="21"/>
          <w:szCs w:val="22"/>
          <w:lang w:val="en-US" w:eastAsia="ja-JP"/>
        </w:rPr>
      </w:pPr>
      <w:hyperlink w:anchor="_Toc147500898" w:history="1">
        <w:r w:rsidR="00F26E2B" w:rsidRPr="00FC1BA2">
          <w:rPr>
            <w:rStyle w:val="Hyperlink"/>
            <w:b/>
            <w:noProof/>
            <w:lang w:val="en-GB"/>
          </w:rPr>
          <w:t>Figure 3.13.</w:t>
        </w:r>
        <w:r w:rsidR="00F26E2B" w:rsidRPr="00201227">
          <w:rPr>
            <w:rStyle w:val="Hyperlink"/>
            <w:noProof/>
            <w:lang w:val="en-GB"/>
          </w:rPr>
          <w:t xml:space="preserve"> </w:t>
        </w:r>
        <w:r w:rsidR="00F26E2B" w:rsidRPr="00201227">
          <w:rPr>
            <w:rStyle w:val="Hyperlink"/>
            <w:rFonts w:eastAsia="游明朝"/>
            <w:noProof/>
            <w:lang w:val="en-GB"/>
          </w:rPr>
          <w:t>Botanical gardens facilitate the introduction of invasive alien species.</w:t>
        </w:r>
        <w:r w:rsidR="00F26E2B">
          <w:rPr>
            <w:noProof/>
            <w:webHidden/>
          </w:rPr>
          <w:tab/>
        </w:r>
        <w:r w:rsidR="00F26E2B">
          <w:rPr>
            <w:noProof/>
            <w:webHidden/>
          </w:rPr>
          <w:fldChar w:fldCharType="begin"/>
        </w:r>
        <w:r w:rsidR="00F26E2B">
          <w:rPr>
            <w:noProof/>
            <w:webHidden/>
          </w:rPr>
          <w:instrText xml:space="preserve"> PAGEREF _Toc147500898 \h </w:instrText>
        </w:r>
        <w:r w:rsidR="00F26E2B">
          <w:rPr>
            <w:noProof/>
            <w:webHidden/>
          </w:rPr>
        </w:r>
        <w:r w:rsidR="00F26E2B">
          <w:rPr>
            <w:noProof/>
            <w:webHidden/>
          </w:rPr>
          <w:fldChar w:fldCharType="separate"/>
        </w:r>
        <w:r w:rsidR="00287BC7">
          <w:rPr>
            <w:noProof/>
            <w:webHidden/>
          </w:rPr>
          <w:t>37</w:t>
        </w:r>
        <w:r w:rsidR="00F26E2B">
          <w:rPr>
            <w:noProof/>
            <w:webHidden/>
          </w:rPr>
          <w:fldChar w:fldCharType="end"/>
        </w:r>
      </w:hyperlink>
    </w:p>
    <w:p w14:paraId="39ED0FF0" w14:textId="5BD5E5FB" w:rsidR="00F26E2B" w:rsidRDefault="005E43B8" w:rsidP="00774819">
      <w:pPr>
        <w:pStyle w:val="TableofFigures"/>
        <w:rPr>
          <w:rFonts w:asciiTheme="minorHAnsi" w:eastAsiaTheme="minorEastAsia" w:hAnsiTheme="minorHAnsi" w:cstheme="minorBidi"/>
          <w:noProof/>
          <w:kern w:val="2"/>
          <w:sz w:val="21"/>
          <w:szCs w:val="22"/>
          <w:lang w:val="en-US" w:eastAsia="ja-JP"/>
        </w:rPr>
      </w:pPr>
      <w:hyperlink w:anchor="_Toc147500899" w:history="1">
        <w:r w:rsidR="00F26E2B" w:rsidRPr="00FC1BA2">
          <w:rPr>
            <w:rStyle w:val="Hyperlink"/>
            <w:b/>
            <w:noProof/>
            <w:lang w:val="en-GB"/>
          </w:rPr>
          <w:t>Figure 3.14.</w:t>
        </w:r>
        <w:r w:rsidR="00F26E2B" w:rsidRPr="00201227">
          <w:rPr>
            <w:rStyle w:val="Hyperlink"/>
            <w:noProof/>
            <w:lang w:val="en-GB"/>
          </w:rPr>
          <w:t xml:space="preserve"> Examples of the role of policies, governance and institutions in facilitating invasive alien species across stages of the invasion process.</w:t>
        </w:r>
        <w:r w:rsidR="00F26E2B">
          <w:rPr>
            <w:noProof/>
            <w:webHidden/>
          </w:rPr>
          <w:tab/>
        </w:r>
        <w:r w:rsidR="00F26E2B">
          <w:rPr>
            <w:noProof/>
            <w:webHidden/>
          </w:rPr>
          <w:fldChar w:fldCharType="begin"/>
        </w:r>
        <w:r w:rsidR="00F26E2B">
          <w:rPr>
            <w:noProof/>
            <w:webHidden/>
          </w:rPr>
          <w:instrText xml:space="preserve"> PAGEREF _Toc147500899 \h </w:instrText>
        </w:r>
        <w:r w:rsidR="00F26E2B">
          <w:rPr>
            <w:noProof/>
            <w:webHidden/>
          </w:rPr>
        </w:r>
        <w:r w:rsidR="00F26E2B">
          <w:rPr>
            <w:noProof/>
            <w:webHidden/>
          </w:rPr>
          <w:fldChar w:fldCharType="separate"/>
        </w:r>
        <w:r w:rsidR="00287BC7">
          <w:rPr>
            <w:noProof/>
            <w:webHidden/>
          </w:rPr>
          <w:t>39</w:t>
        </w:r>
        <w:r w:rsidR="00F26E2B">
          <w:rPr>
            <w:noProof/>
            <w:webHidden/>
          </w:rPr>
          <w:fldChar w:fldCharType="end"/>
        </w:r>
      </w:hyperlink>
    </w:p>
    <w:p w14:paraId="568943F3" w14:textId="5D1C9CAC" w:rsidR="00F26E2B" w:rsidRDefault="005E43B8" w:rsidP="00774819">
      <w:pPr>
        <w:pStyle w:val="TableofFigures"/>
        <w:rPr>
          <w:rFonts w:asciiTheme="minorHAnsi" w:eastAsiaTheme="minorEastAsia" w:hAnsiTheme="minorHAnsi" w:cstheme="minorBidi"/>
          <w:noProof/>
          <w:kern w:val="2"/>
          <w:sz w:val="21"/>
          <w:szCs w:val="22"/>
          <w:lang w:val="en-US" w:eastAsia="ja-JP"/>
        </w:rPr>
      </w:pPr>
      <w:hyperlink w:anchor="_Toc147500900" w:history="1">
        <w:r w:rsidR="00F26E2B" w:rsidRPr="00FC1BA2">
          <w:rPr>
            <w:rStyle w:val="Hyperlink"/>
            <w:b/>
            <w:noProof/>
            <w:lang w:val="en-GB"/>
          </w:rPr>
          <w:t xml:space="preserve">Figure 3.15. </w:t>
        </w:r>
        <w:r w:rsidR="00F26E2B" w:rsidRPr="00201227">
          <w:rPr>
            <w:rStyle w:val="Hyperlink"/>
            <w:noProof/>
            <w:lang w:val="en-GB"/>
          </w:rPr>
          <w:t>Examples of the role of land- and sea-use change in facilitating invasive alien species across stages of the biological invasion process..</w:t>
        </w:r>
        <w:r w:rsidR="00F26E2B">
          <w:rPr>
            <w:noProof/>
            <w:webHidden/>
          </w:rPr>
          <w:tab/>
        </w:r>
        <w:r w:rsidR="00F26E2B">
          <w:rPr>
            <w:noProof/>
            <w:webHidden/>
          </w:rPr>
          <w:fldChar w:fldCharType="begin"/>
        </w:r>
        <w:r w:rsidR="00F26E2B">
          <w:rPr>
            <w:noProof/>
            <w:webHidden/>
          </w:rPr>
          <w:instrText xml:space="preserve"> PAGEREF _Toc147500900 \h </w:instrText>
        </w:r>
        <w:r w:rsidR="00F26E2B">
          <w:rPr>
            <w:noProof/>
            <w:webHidden/>
          </w:rPr>
        </w:r>
        <w:r w:rsidR="00F26E2B">
          <w:rPr>
            <w:noProof/>
            <w:webHidden/>
          </w:rPr>
          <w:fldChar w:fldCharType="separate"/>
        </w:r>
        <w:r w:rsidR="00287BC7">
          <w:rPr>
            <w:noProof/>
            <w:webHidden/>
          </w:rPr>
          <w:t>44</w:t>
        </w:r>
        <w:r w:rsidR="00F26E2B">
          <w:rPr>
            <w:noProof/>
            <w:webHidden/>
          </w:rPr>
          <w:fldChar w:fldCharType="end"/>
        </w:r>
      </w:hyperlink>
    </w:p>
    <w:p w14:paraId="6B00B258" w14:textId="56F06ADE" w:rsidR="00F26E2B" w:rsidRDefault="005E43B8" w:rsidP="00774819">
      <w:pPr>
        <w:pStyle w:val="TableofFigures"/>
        <w:rPr>
          <w:rFonts w:asciiTheme="minorHAnsi" w:eastAsiaTheme="minorEastAsia" w:hAnsiTheme="minorHAnsi" w:cstheme="minorBidi"/>
          <w:noProof/>
          <w:kern w:val="2"/>
          <w:sz w:val="21"/>
          <w:szCs w:val="22"/>
          <w:lang w:val="en-US" w:eastAsia="ja-JP"/>
        </w:rPr>
      </w:pPr>
      <w:hyperlink w:anchor="_Toc147500901" w:history="1">
        <w:r w:rsidR="00F26E2B" w:rsidRPr="00FC1BA2">
          <w:rPr>
            <w:rStyle w:val="Hyperlink"/>
            <w:b/>
            <w:noProof/>
            <w:lang w:val="en-GB"/>
          </w:rPr>
          <w:t>Figure 3.16</w:t>
        </w:r>
        <w:r w:rsidR="00F26E2B" w:rsidRPr="00FC1BA2">
          <w:rPr>
            <w:rStyle w:val="Hyperlink"/>
            <w:rFonts w:eastAsia="Calibri"/>
            <w:b/>
            <w:noProof/>
            <w:lang w:val="en-GB"/>
          </w:rPr>
          <w:t xml:space="preserve">. </w:t>
        </w:r>
        <w:r w:rsidR="00F26E2B" w:rsidRPr="00201227">
          <w:rPr>
            <w:rStyle w:val="Hyperlink"/>
            <w:noProof/>
            <w:lang w:val="en-GB"/>
          </w:rPr>
          <w:t>Number of multicellular marine alien species in peri-Mediterranean countries, and their means of introduction, 1959, 1989, 2019.</w:t>
        </w:r>
        <w:r w:rsidR="00F26E2B">
          <w:rPr>
            <w:noProof/>
            <w:webHidden/>
          </w:rPr>
          <w:tab/>
        </w:r>
        <w:r w:rsidR="00F26E2B">
          <w:rPr>
            <w:noProof/>
            <w:webHidden/>
          </w:rPr>
          <w:fldChar w:fldCharType="begin"/>
        </w:r>
        <w:r w:rsidR="00F26E2B">
          <w:rPr>
            <w:noProof/>
            <w:webHidden/>
          </w:rPr>
          <w:instrText xml:space="preserve"> PAGEREF _Toc147500901 \h </w:instrText>
        </w:r>
        <w:r w:rsidR="00F26E2B">
          <w:rPr>
            <w:noProof/>
            <w:webHidden/>
          </w:rPr>
        </w:r>
        <w:r w:rsidR="00F26E2B">
          <w:rPr>
            <w:noProof/>
            <w:webHidden/>
          </w:rPr>
          <w:fldChar w:fldCharType="separate"/>
        </w:r>
        <w:r w:rsidR="00287BC7">
          <w:rPr>
            <w:noProof/>
            <w:webHidden/>
          </w:rPr>
          <w:t>52</w:t>
        </w:r>
        <w:r w:rsidR="00F26E2B">
          <w:rPr>
            <w:noProof/>
            <w:webHidden/>
          </w:rPr>
          <w:fldChar w:fldCharType="end"/>
        </w:r>
      </w:hyperlink>
    </w:p>
    <w:p w14:paraId="14C6B77B" w14:textId="2E2B011D" w:rsidR="00F26E2B" w:rsidRDefault="005E43B8" w:rsidP="00774819">
      <w:pPr>
        <w:pStyle w:val="TableofFigures"/>
        <w:rPr>
          <w:rFonts w:asciiTheme="minorHAnsi" w:eastAsiaTheme="minorEastAsia" w:hAnsiTheme="minorHAnsi" w:cstheme="minorBidi"/>
          <w:noProof/>
          <w:kern w:val="2"/>
          <w:sz w:val="21"/>
          <w:szCs w:val="22"/>
          <w:lang w:val="en-US" w:eastAsia="ja-JP"/>
        </w:rPr>
      </w:pPr>
      <w:hyperlink w:anchor="_Toc147500902" w:history="1">
        <w:r w:rsidR="00F26E2B" w:rsidRPr="00FC1BA2">
          <w:rPr>
            <w:rStyle w:val="Hyperlink"/>
            <w:b/>
            <w:noProof/>
            <w:lang w:val="en-GB"/>
          </w:rPr>
          <w:t xml:space="preserve">Figure 3.17. </w:t>
        </w:r>
        <w:r w:rsidR="00F26E2B" w:rsidRPr="00201227">
          <w:rPr>
            <w:rStyle w:val="Hyperlink"/>
            <w:noProof/>
            <w:lang w:val="en-GB"/>
          </w:rPr>
          <w:t>Examples of the role of direct exploitation of natural resources as a driver facilitating invasive alien species across stages of the biological invasion process.</w:t>
        </w:r>
        <w:r w:rsidR="00F26E2B">
          <w:rPr>
            <w:noProof/>
            <w:webHidden/>
          </w:rPr>
          <w:tab/>
        </w:r>
        <w:r w:rsidR="00F26E2B">
          <w:rPr>
            <w:noProof/>
            <w:webHidden/>
          </w:rPr>
          <w:fldChar w:fldCharType="begin"/>
        </w:r>
        <w:r w:rsidR="00F26E2B">
          <w:rPr>
            <w:noProof/>
            <w:webHidden/>
          </w:rPr>
          <w:instrText xml:space="preserve"> PAGEREF _Toc147500902 \h </w:instrText>
        </w:r>
        <w:r w:rsidR="00F26E2B">
          <w:rPr>
            <w:noProof/>
            <w:webHidden/>
          </w:rPr>
        </w:r>
        <w:r w:rsidR="00F26E2B">
          <w:rPr>
            <w:noProof/>
            <w:webHidden/>
          </w:rPr>
          <w:fldChar w:fldCharType="separate"/>
        </w:r>
        <w:r w:rsidR="00287BC7">
          <w:rPr>
            <w:noProof/>
            <w:webHidden/>
          </w:rPr>
          <w:t>58</w:t>
        </w:r>
        <w:r w:rsidR="00F26E2B">
          <w:rPr>
            <w:noProof/>
            <w:webHidden/>
          </w:rPr>
          <w:fldChar w:fldCharType="end"/>
        </w:r>
      </w:hyperlink>
    </w:p>
    <w:p w14:paraId="2679B789" w14:textId="39338AFC" w:rsidR="00F26E2B" w:rsidRDefault="005E43B8" w:rsidP="00774819">
      <w:pPr>
        <w:pStyle w:val="TableofFigures"/>
        <w:rPr>
          <w:rFonts w:asciiTheme="minorHAnsi" w:eastAsiaTheme="minorEastAsia" w:hAnsiTheme="minorHAnsi" w:cstheme="minorBidi"/>
          <w:noProof/>
          <w:kern w:val="2"/>
          <w:sz w:val="21"/>
          <w:szCs w:val="22"/>
          <w:lang w:val="en-US" w:eastAsia="ja-JP"/>
        </w:rPr>
      </w:pPr>
      <w:hyperlink w:anchor="_Toc147500903" w:history="1">
        <w:r w:rsidR="00F26E2B" w:rsidRPr="00FC1BA2">
          <w:rPr>
            <w:rStyle w:val="Hyperlink"/>
            <w:b/>
            <w:noProof/>
            <w:lang w:val="en-GB"/>
          </w:rPr>
          <w:t>Figure 3.18.</w:t>
        </w:r>
        <w:r w:rsidR="00F26E2B" w:rsidRPr="00201227">
          <w:rPr>
            <w:rStyle w:val="Hyperlink"/>
            <w:noProof/>
            <w:lang w:val="en-GB"/>
          </w:rPr>
          <w:t xml:space="preserve"> Examples of the role of pollution as a driver of change in nature that facilitates invasive alien species across stages of the biological invasion process.</w:t>
        </w:r>
        <w:r w:rsidR="00F26E2B">
          <w:rPr>
            <w:noProof/>
            <w:webHidden/>
          </w:rPr>
          <w:tab/>
        </w:r>
        <w:r w:rsidR="00F26E2B">
          <w:rPr>
            <w:noProof/>
            <w:webHidden/>
          </w:rPr>
          <w:fldChar w:fldCharType="begin"/>
        </w:r>
        <w:r w:rsidR="00F26E2B">
          <w:rPr>
            <w:noProof/>
            <w:webHidden/>
          </w:rPr>
          <w:instrText xml:space="preserve"> PAGEREF _Toc147500903 \h </w:instrText>
        </w:r>
        <w:r w:rsidR="00F26E2B">
          <w:rPr>
            <w:noProof/>
            <w:webHidden/>
          </w:rPr>
        </w:r>
        <w:r w:rsidR="00F26E2B">
          <w:rPr>
            <w:noProof/>
            <w:webHidden/>
          </w:rPr>
          <w:fldChar w:fldCharType="separate"/>
        </w:r>
        <w:r w:rsidR="00287BC7">
          <w:rPr>
            <w:noProof/>
            <w:webHidden/>
          </w:rPr>
          <w:t>62</w:t>
        </w:r>
        <w:r w:rsidR="00F26E2B">
          <w:rPr>
            <w:noProof/>
            <w:webHidden/>
          </w:rPr>
          <w:fldChar w:fldCharType="end"/>
        </w:r>
      </w:hyperlink>
    </w:p>
    <w:p w14:paraId="2682D20C" w14:textId="68D330EA" w:rsidR="00F26E2B" w:rsidRDefault="005E43B8" w:rsidP="00774819">
      <w:pPr>
        <w:pStyle w:val="TableofFigures"/>
        <w:rPr>
          <w:rFonts w:asciiTheme="minorHAnsi" w:eastAsiaTheme="minorEastAsia" w:hAnsiTheme="minorHAnsi" w:cstheme="minorBidi"/>
          <w:noProof/>
          <w:kern w:val="2"/>
          <w:sz w:val="21"/>
          <w:szCs w:val="22"/>
          <w:lang w:val="en-US" w:eastAsia="ja-JP"/>
        </w:rPr>
      </w:pPr>
      <w:hyperlink w:anchor="_Toc147500904" w:history="1">
        <w:r w:rsidR="00F26E2B" w:rsidRPr="00FC1BA2">
          <w:rPr>
            <w:rStyle w:val="Hyperlink"/>
            <w:b/>
            <w:noProof/>
            <w:lang w:val="en-GB"/>
          </w:rPr>
          <w:t>Figure 3.19.</w:t>
        </w:r>
        <w:r w:rsidR="00F26E2B" w:rsidRPr="00201227">
          <w:rPr>
            <w:rStyle w:val="Hyperlink"/>
            <w:noProof/>
            <w:lang w:val="en-GB"/>
          </w:rPr>
          <w:t xml:space="preserve"> Marine debris caused by the 2011 tsunami in Japan.</w:t>
        </w:r>
        <w:r w:rsidR="00F26E2B">
          <w:rPr>
            <w:noProof/>
            <w:webHidden/>
          </w:rPr>
          <w:tab/>
        </w:r>
        <w:r w:rsidR="00F26E2B">
          <w:rPr>
            <w:noProof/>
            <w:webHidden/>
          </w:rPr>
          <w:fldChar w:fldCharType="begin"/>
        </w:r>
        <w:r w:rsidR="00F26E2B">
          <w:rPr>
            <w:noProof/>
            <w:webHidden/>
          </w:rPr>
          <w:instrText xml:space="preserve"> PAGEREF _Toc147500904 \h </w:instrText>
        </w:r>
        <w:r w:rsidR="00F26E2B">
          <w:rPr>
            <w:noProof/>
            <w:webHidden/>
          </w:rPr>
        </w:r>
        <w:r w:rsidR="00F26E2B">
          <w:rPr>
            <w:noProof/>
            <w:webHidden/>
          </w:rPr>
          <w:fldChar w:fldCharType="separate"/>
        </w:r>
        <w:r w:rsidR="00287BC7">
          <w:rPr>
            <w:noProof/>
            <w:webHidden/>
          </w:rPr>
          <w:t>67</w:t>
        </w:r>
        <w:r w:rsidR="00F26E2B">
          <w:rPr>
            <w:noProof/>
            <w:webHidden/>
          </w:rPr>
          <w:fldChar w:fldCharType="end"/>
        </w:r>
      </w:hyperlink>
    </w:p>
    <w:p w14:paraId="03C0D095" w14:textId="25159484" w:rsidR="00F26E2B" w:rsidRDefault="005E43B8" w:rsidP="00774819">
      <w:pPr>
        <w:pStyle w:val="TableofFigures"/>
        <w:rPr>
          <w:rFonts w:asciiTheme="minorHAnsi" w:eastAsiaTheme="minorEastAsia" w:hAnsiTheme="minorHAnsi" w:cstheme="minorBidi"/>
          <w:noProof/>
          <w:kern w:val="2"/>
          <w:sz w:val="21"/>
          <w:szCs w:val="22"/>
          <w:lang w:val="en-US" w:eastAsia="ja-JP"/>
        </w:rPr>
      </w:pPr>
      <w:hyperlink w:anchor="_Toc147500905" w:history="1">
        <w:r w:rsidR="00F26E2B" w:rsidRPr="00FC1BA2">
          <w:rPr>
            <w:rStyle w:val="Hyperlink"/>
            <w:b/>
            <w:noProof/>
            <w:lang w:val="en-GB"/>
          </w:rPr>
          <w:t>Figure 3.20.</w:t>
        </w:r>
        <w:r w:rsidR="00F26E2B" w:rsidRPr="00201227">
          <w:rPr>
            <w:rStyle w:val="Hyperlink"/>
            <w:noProof/>
            <w:lang w:val="en-GB"/>
          </w:rPr>
          <w:t xml:space="preserve"> Examples of the role of c</w:t>
        </w:r>
        <w:r w:rsidR="00F26E2B" w:rsidRPr="00201227">
          <w:rPr>
            <w:rStyle w:val="Hyperlink"/>
            <w:noProof/>
            <w:shd w:val="clear" w:color="auto" w:fill="FFFFFF"/>
            <w:lang w:val="en-GB"/>
          </w:rPr>
          <w:t>limate change as a driver of change facilitating invasive alien species across stages of the biological invasion process.</w:t>
        </w:r>
        <w:r w:rsidR="00F26E2B" w:rsidRPr="00201227">
          <w:rPr>
            <w:rStyle w:val="Hyperlink"/>
            <w:noProof/>
            <w:lang w:val="en-GB"/>
          </w:rPr>
          <w:t>.</w:t>
        </w:r>
        <w:r w:rsidR="00F26E2B">
          <w:rPr>
            <w:noProof/>
            <w:webHidden/>
          </w:rPr>
          <w:tab/>
        </w:r>
        <w:r w:rsidR="00F26E2B">
          <w:rPr>
            <w:noProof/>
            <w:webHidden/>
          </w:rPr>
          <w:fldChar w:fldCharType="begin"/>
        </w:r>
        <w:r w:rsidR="00F26E2B">
          <w:rPr>
            <w:noProof/>
            <w:webHidden/>
          </w:rPr>
          <w:instrText xml:space="preserve"> PAGEREF _Toc147500905 \h </w:instrText>
        </w:r>
        <w:r w:rsidR="00F26E2B">
          <w:rPr>
            <w:noProof/>
            <w:webHidden/>
          </w:rPr>
        </w:r>
        <w:r w:rsidR="00F26E2B">
          <w:rPr>
            <w:noProof/>
            <w:webHidden/>
          </w:rPr>
          <w:fldChar w:fldCharType="separate"/>
        </w:r>
        <w:r w:rsidR="00287BC7">
          <w:rPr>
            <w:noProof/>
            <w:webHidden/>
          </w:rPr>
          <w:t>69</w:t>
        </w:r>
        <w:r w:rsidR="00F26E2B">
          <w:rPr>
            <w:noProof/>
            <w:webHidden/>
          </w:rPr>
          <w:fldChar w:fldCharType="end"/>
        </w:r>
      </w:hyperlink>
    </w:p>
    <w:p w14:paraId="170E9CC7" w14:textId="45017B5A" w:rsidR="00F26E2B" w:rsidRDefault="005E43B8" w:rsidP="00774819">
      <w:pPr>
        <w:pStyle w:val="TableofFigures"/>
        <w:rPr>
          <w:rFonts w:asciiTheme="minorHAnsi" w:eastAsiaTheme="minorEastAsia" w:hAnsiTheme="minorHAnsi" w:cstheme="minorBidi"/>
          <w:noProof/>
          <w:kern w:val="2"/>
          <w:sz w:val="21"/>
          <w:szCs w:val="22"/>
          <w:lang w:val="en-US" w:eastAsia="ja-JP"/>
        </w:rPr>
      </w:pPr>
      <w:hyperlink w:anchor="_Toc147500906" w:history="1">
        <w:r w:rsidR="00F26E2B" w:rsidRPr="00FC1BA2">
          <w:rPr>
            <w:rStyle w:val="Hyperlink"/>
            <w:b/>
            <w:noProof/>
            <w:lang w:val="en-GB"/>
          </w:rPr>
          <w:t>Figure 3.21.</w:t>
        </w:r>
        <w:r w:rsidR="00F26E2B" w:rsidRPr="00201227">
          <w:rPr>
            <w:rStyle w:val="Hyperlink"/>
            <w:noProof/>
            <w:lang w:val="en-GB"/>
          </w:rPr>
          <w:t xml:space="preserve"> Examples of the role of invasive alien species in facilitating additional invasive alien species across stages in the biological invasion</w:t>
        </w:r>
        <w:r w:rsidR="00F26E2B">
          <w:rPr>
            <w:rStyle w:val="Hyperlink"/>
            <w:noProof/>
            <w:lang w:val="en-GB"/>
          </w:rPr>
          <w:t xml:space="preserve"> </w:t>
        </w:r>
        <w:r w:rsidR="00F26E2B" w:rsidRPr="00201227">
          <w:rPr>
            <w:rStyle w:val="Hyperlink"/>
            <w:noProof/>
            <w:lang w:val="en-GB"/>
          </w:rPr>
          <w:t>process..</w:t>
        </w:r>
        <w:r w:rsidR="00F26E2B">
          <w:rPr>
            <w:noProof/>
            <w:webHidden/>
          </w:rPr>
          <w:tab/>
        </w:r>
        <w:r w:rsidR="00F26E2B">
          <w:rPr>
            <w:noProof/>
            <w:webHidden/>
          </w:rPr>
          <w:fldChar w:fldCharType="begin"/>
        </w:r>
        <w:r w:rsidR="00F26E2B">
          <w:rPr>
            <w:noProof/>
            <w:webHidden/>
          </w:rPr>
          <w:instrText xml:space="preserve"> PAGEREF _Toc147500906 \h </w:instrText>
        </w:r>
        <w:r w:rsidR="00F26E2B">
          <w:rPr>
            <w:noProof/>
            <w:webHidden/>
          </w:rPr>
        </w:r>
        <w:r w:rsidR="00F26E2B">
          <w:rPr>
            <w:noProof/>
            <w:webHidden/>
          </w:rPr>
          <w:fldChar w:fldCharType="separate"/>
        </w:r>
        <w:r w:rsidR="00287BC7">
          <w:rPr>
            <w:noProof/>
            <w:webHidden/>
          </w:rPr>
          <w:t>77</w:t>
        </w:r>
        <w:r w:rsidR="00F26E2B">
          <w:rPr>
            <w:noProof/>
            <w:webHidden/>
          </w:rPr>
          <w:fldChar w:fldCharType="end"/>
        </w:r>
      </w:hyperlink>
    </w:p>
    <w:p w14:paraId="26A13E0F" w14:textId="65E27C49" w:rsidR="00F26E2B" w:rsidRDefault="005E43B8" w:rsidP="00774819">
      <w:pPr>
        <w:pStyle w:val="TableofFigures"/>
        <w:rPr>
          <w:rFonts w:asciiTheme="minorHAnsi" w:eastAsiaTheme="minorEastAsia" w:hAnsiTheme="minorHAnsi" w:cstheme="minorBidi"/>
          <w:noProof/>
          <w:kern w:val="2"/>
          <w:sz w:val="21"/>
          <w:szCs w:val="22"/>
          <w:lang w:val="en-US" w:eastAsia="ja-JP"/>
        </w:rPr>
      </w:pPr>
      <w:hyperlink w:anchor="_Toc147500907" w:history="1">
        <w:r w:rsidR="00F26E2B" w:rsidRPr="00FC1BA2">
          <w:rPr>
            <w:rStyle w:val="Hyperlink"/>
            <w:b/>
            <w:noProof/>
            <w:lang w:val="en-GB"/>
          </w:rPr>
          <w:t xml:space="preserve">Figure 3.22. </w:t>
        </w:r>
        <w:r w:rsidR="00F26E2B" w:rsidRPr="00201227">
          <w:rPr>
            <w:rStyle w:val="Hyperlink"/>
            <w:noProof/>
            <w:lang w:val="en-GB"/>
          </w:rPr>
          <w:t>Diagram of the three-way invasional meltdown between invasive alien pine trees, invasive alien ectomycorrhizal fungi</w:t>
        </w:r>
        <w:r w:rsidR="00774819">
          <w:rPr>
            <w:rStyle w:val="Hyperlink"/>
            <w:noProof/>
            <w:lang w:val="en-GB"/>
          </w:rPr>
          <w:t xml:space="preserve"> and</w:t>
        </w:r>
        <w:r w:rsidR="00F26E2B" w:rsidRPr="00201227">
          <w:rPr>
            <w:rStyle w:val="Hyperlink"/>
            <w:noProof/>
            <w:lang w:val="en-GB"/>
          </w:rPr>
          <w:t xml:space="preserve"> invasive alien ungulates..</w:t>
        </w:r>
        <w:r w:rsidR="00F26E2B">
          <w:rPr>
            <w:noProof/>
            <w:webHidden/>
          </w:rPr>
          <w:tab/>
        </w:r>
        <w:r w:rsidR="00F26E2B">
          <w:rPr>
            <w:noProof/>
            <w:webHidden/>
          </w:rPr>
          <w:fldChar w:fldCharType="begin"/>
        </w:r>
        <w:r w:rsidR="00F26E2B">
          <w:rPr>
            <w:noProof/>
            <w:webHidden/>
          </w:rPr>
          <w:instrText xml:space="preserve"> PAGEREF _Toc147500907 \h </w:instrText>
        </w:r>
        <w:r w:rsidR="00F26E2B">
          <w:rPr>
            <w:noProof/>
            <w:webHidden/>
          </w:rPr>
        </w:r>
        <w:r w:rsidR="00F26E2B">
          <w:rPr>
            <w:noProof/>
            <w:webHidden/>
          </w:rPr>
          <w:fldChar w:fldCharType="separate"/>
        </w:r>
        <w:r w:rsidR="00287BC7">
          <w:rPr>
            <w:noProof/>
            <w:webHidden/>
          </w:rPr>
          <w:t>80</w:t>
        </w:r>
        <w:r w:rsidR="00F26E2B">
          <w:rPr>
            <w:noProof/>
            <w:webHidden/>
          </w:rPr>
          <w:fldChar w:fldCharType="end"/>
        </w:r>
      </w:hyperlink>
    </w:p>
    <w:p w14:paraId="12D68F08" w14:textId="37C6234C" w:rsidR="00F26E2B" w:rsidRDefault="005E43B8" w:rsidP="00774819">
      <w:pPr>
        <w:pStyle w:val="TableofFigures"/>
        <w:rPr>
          <w:rFonts w:asciiTheme="minorHAnsi" w:eastAsiaTheme="minorEastAsia" w:hAnsiTheme="minorHAnsi" w:cstheme="minorBidi"/>
          <w:noProof/>
          <w:kern w:val="2"/>
          <w:sz w:val="21"/>
          <w:szCs w:val="22"/>
          <w:lang w:val="en-US" w:eastAsia="ja-JP"/>
        </w:rPr>
      </w:pPr>
      <w:hyperlink w:anchor="_Toc147500908" w:history="1">
        <w:r w:rsidR="00F26E2B" w:rsidRPr="00FC1BA2">
          <w:rPr>
            <w:rStyle w:val="Hyperlink"/>
            <w:b/>
            <w:noProof/>
            <w:lang w:val="en-GB"/>
          </w:rPr>
          <w:t xml:space="preserve">Figure 3.23. </w:t>
        </w:r>
        <w:r w:rsidR="00F26E2B" w:rsidRPr="00201227">
          <w:rPr>
            <w:rStyle w:val="Hyperlink"/>
            <w:noProof/>
            <w:lang w:val="en-GB"/>
          </w:rPr>
          <w:t>Examples of the role of natural hazards in facilitating invasive alien species across stages of the biological invasion process..</w:t>
        </w:r>
        <w:r w:rsidR="00F26E2B">
          <w:rPr>
            <w:noProof/>
            <w:webHidden/>
          </w:rPr>
          <w:tab/>
        </w:r>
        <w:r w:rsidR="00F26E2B">
          <w:rPr>
            <w:noProof/>
            <w:webHidden/>
          </w:rPr>
          <w:fldChar w:fldCharType="begin"/>
        </w:r>
        <w:r w:rsidR="00F26E2B">
          <w:rPr>
            <w:noProof/>
            <w:webHidden/>
          </w:rPr>
          <w:instrText xml:space="preserve"> PAGEREF _Toc147500908 \h </w:instrText>
        </w:r>
        <w:r w:rsidR="00F26E2B">
          <w:rPr>
            <w:noProof/>
            <w:webHidden/>
          </w:rPr>
        </w:r>
        <w:r w:rsidR="00F26E2B">
          <w:rPr>
            <w:noProof/>
            <w:webHidden/>
          </w:rPr>
          <w:fldChar w:fldCharType="separate"/>
        </w:r>
        <w:r w:rsidR="00287BC7">
          <w:rPr>
            <w:noProof/>
            <w:webHidden/>
          </w:rPr>
          <w:t>83</w:t>
        </w:r>
        <w:r w:rsidR="00F26E2B">
          <w:rPr>
            <w:noProof/>
            <w:webHidden/>
          </w:rPr>
          <w:fldChar w:fldCharType="end"/>
        </w:r>
      </w:hyperlink>
    </w:p>
    <w:p w14:paraId="4C39E79E" w14:textId="375D9FC0" w:rsidR="00F26E2B" w:rsidRDefault="005E43B8" w:rsidP="00774819">
      <w:pPr>
        <w:pStyle w:val="TableofFigures"/>
        <w:rPr>
          <w:rFonts w:asciiTheme="minorHAnsi" w:eastAsiaTheme="minorEastAsia" w:hAnsiTheme="minorHAnsi" w:cstheme="minorBidi"/>
          <w:noProof/>
          <w:kern w:val="2"/>
          <w:sz w:val="21"/>
          <w:szCs w:val="22"/>
          <w:lang w:val="en-US" w:eastAsia="ja-JP"/>
        </w:rPr>
      </w:pPr>
      <w:hyperlink w:anchor="_Toc147500909" w:history="1">
        <w:r w:rsidR="00F26E2B" w:rsidRPr="00FC1BA2">
          <w:rPr>
            <w:rStyle w:val="Hyperlink"/>
            <w:b/>
            <w:noProof/>
            <w:lang w:val="en-GB"/>
          </w:rPr>
          <w:t xml:space="preserve">Figure 3.24. </w:t>
        </w:r>
        <w:r w:rsidR="00F26E2B" w:rsidRPr="00201227">
          <w:rPr>
            <w:rStyle w:val="Hyperlink"/>
            <w:noProof/>
            <w:lang w:val="en-GB"/>
          </w:rPr>
          <w:t>Examples of the role of biodiversity loss in facilitating invasive alien species across the stages of the biological invasion process.</w:t>
        </w:r>
        <w:r w:rsidR="00F26E2B">
          <w:rPr>
            <w:noProof/>
            <w:webHidden/>
          </w:rPr>
          <w:tab/>
        </w:r>
        <w:r w:rsidR="00F26E2B">
          <w:rPr>
            <w:noProof/>
            <w:webHidden/>
          </w:rPr>
          <w:fldChar w:fldCharType="begin"/>
        </w:r>
        <w:r w:rsidR="00F26E2B">
          <w:rPr>
            <w:noProof/>
            <w:webHidden/>
          </w:rPr>
          <w:instrText xml:space="preserve"> PAGEREF _Toc147500909 \h </w:instrText>
        </w:r>
        <w:r w:rsidR="00F26E2B">
          <w:rPr>
            <w:noProof/>
            <w:webHidden/>
          </w:rPr>
        </w:r>
        <w:r w:rsidR="00F26E2B">
          <w:rPr>
            <w:noProof/>
            <w:webHidden/>
          </w:rPr>
          <w:fldChar w:fldCharType="separate"/>
        </w:r>
        <w:r w:rsidR="00287BC7">
          <w:rPr>
            <w:noProof/>
            <w:webHidden/>
          </w:rPr>
          <w:t>84</w:t>
        </w:r>
        <w:r w:rsidR="00F26E2B">
          <w:rPr>
            <w:noProof/>
            <w:webHidden/>
          </w:rPr>
          <w:fldChar w:fldCharType="end"/>
        </w:r>
      </w:hyperlink>
    </w:p>
    <w:p w14:paraId="64777DB3" w14:textId="5B90B141" w:rsidR="00F26E2B" w:rsidRDefault="005E43B8" w:rsidP="00774819">
      <w:pPr>
        <w:pStyle w:val="TableofFigures"/>
        <w:rPr>
          <w:rFonts w:asciiTheme="minorHAnsi" w:eastAsiaTheme="minorEastAsia" w:hAnsiTheme="minorHAnsi" w:cstheme="minorBidi"/>
          <w:noProof/>
          <w:kern w:val="2"/>
          <w:sz w:val="21"/>
          <w:szCs w:val="22"/>
          <w:lang w:val="en-US" w:eastAsia="ja-JP"/>
        </w:rPr>
      </w:pPr>
      <w:hyperlink w:anchor="_Toc147500910" w:history="1">
        <w:r w:rsidR="00F26E2B" w:rsidRPr="00FC1BA2">
          <w:rPr>
            <w:rStyle w:val="Hyperlink"/>
            <w:b/>
            <w:noProof/>
            <w:lang w:val="en-GB"/>
          </w:rPr>
          <w:t xml:space="preserve">Figure 3.25. </w:t>
        </w:r>
        <w:r w:rsidR="00F26E2B" w:rsidRPr="00201227">
          <w:rPr>
            <w:rStyle w:val="Hyperlink"/>
            <w:noProof/>
            <w:lang w:val="en-GB"/>
          </w:rPr>
          <w:t>Schematic representation of the links between indirect and direct drivers of change in nature in relation to their potential effect on invasive alien species (see Figure 3.3).</w:t>
        </w:r>
        <w:r w:rsidR="00F26E2B">
          <w:rPr>
            <w:noProof/>
            <w:webHidden/>
          </w:rPr>
          <w:tab/>
        </w:r>
        <w:r w:rsidR="00F26E2B">
          <w:rPr>
            <w:noProof/>
            <w:webHidden/>
          </w:rPr>
          <w:fldChar w:fldCharType="begin"/>
        </w:r>
        <w:r w:rsidR="00F26E2B">
          <w:rPr>
            <w:noProof/>
            <w:webHidden/>
          </w:rPr>
          <w:instrText xml:space="preserve"> PAGEREF _Toc147500910 \h </w:instrText>
        </w:r>
        <w:r w:rsidR="00F26E2B">
          <w:rPr>
            <w:noProof/>
            <w:webHidden/>
          </w:rPr>
        </w:r>
        <w:r w:rsidR="00F26E2B">
          <w:rPr>
            <w:noProof/>
            <w:webHidden/>
          </w:rPr>
          <w:fldChar w:fldCharType="separate"/>
        </w:r>
        <w:r w:rsidR="00287BC7">
          <w:rPr>
            <w:noProof/>
            <w:webHidden/>
          </w:rPr>
          <w:t>86</w:t>
        </w:r>
        <w:r w:rsidR="00F26E2B">
          <w:rPr>
            <w:noProof/>
            <w:webHidden/>
          </w:rPr>
          <w:fldChar w:fldCharType="end"/>
        </w:r>
      </w:hyperlink>
    </w:p>
    <w:p w14:paraId="571E2C0B" w14:textId="15DF26F7" w:rsidR="00F26E2B" w:rsidRDefault="005E43B8" w:rsidP="00774819">
      <w:pPr>
        <w:pStyle w:val="TableofFigures"/>
        <w:rPr>
          <w:rFonts w:asciiTheme="minorHAnsi" w:eastAsiaTheme="minorEastAsia" w:hAnsiTheme="minorHAnsi" w:cstheme="minorBidi"/>
          <w:noProof/>
          <w:kern w:val="2"/>
          <w:sz w:val="21"/>
          <w:szCs w:val="22"/>
          <w:lang w:val="en-US" w:eastAsia="ja-JP"/>
        </w:rPr>
      </w:pPr>
      <w:hyperlink w:anchor="_Toc147500911" w:history="1">
        <w:r w:rsidR="00F26E2B" w:rsidRPr="00FC1BA2">
          <w:rPr>
            <w:rStyle w:val="Hyperlink"/>
            <w:b/>
            <w:noProof/>
            <w:lang w:val="en-GB"/>
          </w:rPr>
          <w:t>Figure 3.26.</w:t>
        </w:r>
        <w:r w:rsidR="00F26E2B" w:rsidRPr="00201227">
          <w:rPr>
            <w:rStyle w:val="Hyperlink"/>
            <w:noProof/>
            <w:lang w:val="en-GB"/>
          </w:rPr>
          <w:t xml:space="preserve"> Monte Baldo hosts an increasing number of invasive alien species.</w:t>
        </w:r>
        <w:r w:rsidR="00F26E2B">
          <w:rPr>
            <w:noProof/>
            <w:webHidden/>
          </w:rPr>
          <w:tab/>
        </w:r>
        <w:r w:rsidR="00F26E2B">
          <w:rPr>
            <w:noProof/>
            <w:webHidden/>
          </w:rPr>
          <w:fldChar w:fldCharType="begin"/>
        </w:r>
        <w:r w:rsidR="00F26E2B">
          <w:rPr>
            <w:noProof/>
            <w:webHidden/>
          </w:rPr>
          <w:instrText xml:space="preserve"> PAGEREF _Toc147500911 \h </w:instrText>
        </w:r>
        <w:r w:rsidR="00F26E2B">
          <w:rPr>
            <w:noProof/>
            <w:webHidden/>
          </w:rPr>
        </w:r>
        <w:r w:rsidR="00F26E2B">
          <w:rPr>
            <w:noProof/>
            <w:webHidden/>
          </w:rPr>
          <w:fldChar w:fldCharType="separate"/>
        </w:r>
        <w:r w:rsidR="00287BC7">
          <w:rPr>
            <w:noProof/>
            <w:webHidden/>
          </w:rPr>
          <w:t>88</w:t>
        </w:r>
        <w:r w:rsidR="00F26E2B">
          <w:rPr>
            <w:noProof/>
            <w:webHidden/>
          </w:rPr>
          <w:fldChar w:fldCharType="end"/>
        </w:r>
      </w:hyperlink>
    </w:p>
    <w:p w14:paraId="3B8C910A" w14:textId="269BE55F" w:rsidR="00F26E2B" w:rsidRDefault="005E43B8" w:rsidP="00774819">
      <w:pPr>
        <w:pStyle w:val="TableofFigures"/>
        <w:rPr>
          <w:rFonts w:asciiTheme="minorHAnsi" w:eastAsiaTheme="minorEastAsia" w:hAnsiTheme="minorHAnsi" w:cstheme="minorBidi"/>
          <w:noProof/>
          <w:kern w:val="2"/>
          <w:sz w:val="21"/>
          <w:szCs w:val="22"/>
          <w:lang w:val="en-US" w:eastAsia="ja-JP"/>
        </w:rPr>
      </w:pPr>
      <w:hyperlink w:anchor="_Toc147500912" w:history="1">
        <w:r w:rsidR="00F26E2B" w:rsidRPr="00FC1BA2">
          <w:rPr>
            <w:rStyle w:val="Hyperlink"/>
            <w:b/>
            <w:noProof/>
            <w:lang w:val="en-GB"/>
          </w:rPr>
          <w:t>Figure 3.27.</w:t>
        </w:r>
        <w:r w:rsidR="00F26E2B" w:rsidRPr="00201227">
          <w:rPr>
            <w:rStyle w:val="Hyperlink"/>
            <w:noProof/>
            <w:lang w:val="en-GB"/>
          </w:rPr>
          <w:t xml:space="preserve"> </w:t>
        </w:r>
        <w:r w:rsidR="00F26E2B" w:rsidRPr="00201227">
          <w:rPr>
            <w:rStyle w:val="Hyperlink"/>
            <w:i/>
            <w:noProof/>
            <w:lang w:val="en-GB"/>
          </w:rPr>
          <w:t>Pontederia crassipes</w:t>
        </w:r>
        <w:r w:rsidR="00F26E2B" w:rsidRPr="00201227">
          <w:rPr>
            <w:rStyle w:val="Hyperlink"/>
            <w:noProof/>
            <w:lang w:val="en-GB"/>
          </w:rPr>
          <w:t xml:space="preserve"> (water hyacinth) in Lake Victoria, Kisumu, Kenya.</w:t>
        </w:r>
        <w:r w:rsidR="00F26E2B">
          <w:rPr>
            <w:noProof/>
            <w:webHidden/>
          </w:rPr>
          <w:tab/>
        </w:r>
        <w:r w:rsidR="00F26E2B">
          <w:rPr>
            <w:noProof/>
            <w:webHidden/>
          </w:rPr>
          <w:fldChar w:fldCharType="begin"/>
        </w:r>
        <w:r w:rsidR="00F26E2B">
          <w:rPr>
            <w:noProof/>
            <w:webHidden/>
          </w:rPr>
          <w:instrText xml:space="preserve"> PAGEREF _Toc147500912 \h </w:instrText>
        </w:r>
        <w:r w:rsidR="00F26E2B">
          <w:rPr>
            <w:noProof/>
            <w:webHidden/>
          </w:rPr>
        </w:r>
        <w:r w:rsidR="00F26E2B">
          <w:rPr>
            <w:noProof/>
            <w:webHidden/>
          </w:rPr>
          <w:fldChar w:fldCharType="separate"/>
        </w:r>
        <w:r w:rsidR="00287BC7">
          <w:rPr>
            <w:noProof/>
            <w:webHidden/>
          </w:rPr>
          <w:t>91</w:t>
        </w:r>
        <w:r w:rsidR="00F26E2B">
          <w:rPr>
            <w:noProof/>
            <w:webHidden/>
          </w:rPr>
          <w:fldChar w:fldCharType="end"/>
        </w:r>
      </w:hyperlink>
    </w:p>
    <w:p w14:paraId="1AA50DD1" w14:textId="38BF06A2" w:rsidR="00F26E2B" w:rsidRDefault="005E43B8" w:rsidP="00774819">
      <w:pPr>
        <w:pStyle w:val="TableofFigures"/>
        <w:rPr>
          <w:rFonts w:asciiTheme="minorHAnsi" w:eastAsiaTheme="minorEastAsia" w:hAnsiTheme="minorHAnsi" w:cstheme="minorBidi"/>
          <w:noProof/>
          <w:kern w:val="2"/>
          <w:sz w:val="21"/>
          <w:szCs w:val="22"/>
          <w:lang w:val="en-US" w:eastAsia="ja-JP"/>
        </w:rPr>
      </w:pPr>
      <w:hyperlink w:anchor="_Toc147500913" w:history="1">
        <w:r w:rsidR="00F26E2B" w:rsidRPr="00FC1BA2">
          <w:rPr>
            <w:rStyle w:val="Hyperlink"/>
            <w:b/>
            <w:noProof/>
            <w:lang w:val="en-GB"/>
          </w:rPr>
          <w:t>Figure 3.28.</w:t>
        </w:r>
        <w:r w:rsidR="00F26E2B" w:rsidRPr="00201227">
          <w:rPr>
            <w:rStyle w:val="Hyperlink"/>
            <w:noProof/>
            <w:lang w:val="en-GB"/>
          </w:rPr>
          <w:t xml:space="preserve"> Schematic illustration of how international merchandise trade interacts with other drivers of change in nature to influence the introduction and spread of invasive alien species.</w:t>
        </w:r>
        <w:r w:rsidR="00F26E2B">
          <w:rPr>
            <w:noProof/>
            <w:webHidden/>
          </w:rPr>
          <w:tab/>
        </w:r>
        <w:r w:rsidR="00F26E2B">
          <w:rPr>
            <w:noProof/>
            <w:webHidden/>
          </w:rPr>
          <w:fldChar w:fldCharType="begin"/>
        </w:r>
        <w:r w:rsidR="00F26E2B">
          <w:rPr>
            <w:noProof/>
            <w:webHidden/>
          </w:rPr>
          <w:instrText xml:space="preserve"> PAGEREF _Toc147500913 \h </w:instrText>
        </w:r>
        <w:r w:rsidR="00F26E2B">
          <w:rPr>
            <w:noProof/>
            <w:webHidden/>
          </w:rPr>
        </w:r>
        <w:r w:rsidR="00F26E2B">
          <w:rPr>
            <w:noProof/>
            <w:webHidden/>
          </w:rPr>
          <w:fldChar w:fldCharType="separate"/>
        </w:r>
        <w:r w:rsidR="00287BC7">
          <w:rPr>
            <w:noProof/>
            <w:webHidden/>
          </w:rPr>
          <w:t>92</w:t>
        </w:r>
        <w:r w:rsidR="00F26E2B">
          <w:rPr>
            <w:noProof/>
            <w:webHidden/>
          </w:rPr>
          <w:fldChar w:fldCharType="end"/>
        </w:r>
      </w:hyperlink>
    </w:p>
    <w:p w14:paraId="490FD4F4" w14:textId="076C4965" w:rsidR="00F26E2B" w:rsidRDefault="005E43B8" w:rsidP="00774819">
      <w:pPr>
        <w:pStyle w:val="TableofFigures"/>
        <w:rPr>
          <w:rFonts w:asciiTheme="minorHAnsi" w:eastAsiaTheme="minorEastAsia" w:hAnsiTheme="minorHAnsi" w:cstheme="minorBidi"/>
          <w:noProof/>
          <w:kern w:val="2"/>
          <w:sz w:val="21"/>
          <w:szCs w:val="22"/>
          <w:lang w:val="en-US" w:eastAsia="ja-JP"/>
        </w:rPr>
      </w:pPr>
      <w:hyperlink w:anchor="_Toc147500914" w:history="1">
        <w:r w:rsidR="00F26E2B" w:rsidRPr="00FC1BA2">
          <w:rPr>
            <w:rStyle w:val="Hyperlink"/>
            <w:b/>
            <w:noProof/>
            <w:lang w:val="en-GB"/>
          </w:rPr>
          <w:t xml:space="preserve">Figure 3.29. </w:t>
        </w:r>
        <w:r w:rsidR="00F26E2B" w:rsidRPr="00201227">
          <w:rPr>
            <w:rStyle w:val="Hyperlink"/>
            <w:noProof/>
            <w:lang w:val="en-GB"/>
          </w:rPr>
          <w:t>Overview of the literature used for this assessment of the drivers of change in nature affecting biological invasions</w:t>
        </w:r>
        <w:r w:rsidR="00F26E2B">
          <w:rPr>
            <w:noProof/>
            <w:webHidden/>
          </w:rPr>
          <w:tab/>
        </w:r>
        <w:r w:rsidR="00F26E2B">
          <w:rPr>
            <w:noProof/>
            <w:webHidden/>
          </w:rPr>
          <w:fldChar w:fldCharType="begin"/>
        </w:r>
        <w:r w:rsidR="00F26E2B">
          <w:rPr>
            <w:noProof/>
            <w:webHidden/>
          </w:rPr>
          <w:instrText xml:space="preserve"> PAGEREF _Toc147500914 \h </w:instrText>
        </w:r>
        <w:r w:rsidR="00F26E2B">
          <w:rPr>
            <w:noProof/>
            <w:webHidden/>
          </w:rPr>
        </w:r>
        <w:r w:rsidR="00F26E2B">
          <w:rPr>
            <w:noProof/>
            <w:webHidden/>
          </w:rPr>
          <w:fldChar w:fldCharType="separate"/>
        </w:r>
        <w:r w:rsidR="00287BC7">
          <w:rPr>
            <w:noProof/>
            <w:webHidden/>
          </w:rPr>
          <w:t>97</w:t>
        </w:r>
        <w:r w:rsidR="00F26E2B">
          <w:rPr>
            <w:noProof/>
            <w:webHidden/>
          </w:rPr>
          <w:fldChar w:fldCharType="end"/>
        </w:r>
      </w:hyperlink>
    </w:p>
    <w:p w14:paraId="7F698029" w14:textId="517FA212" w:rsidR="00F26E2B" w:rsidRDefault="005E43B8" w:rsidP="00774819">
      <w:pPr>
        <w:pStyle w:val="TableofFigures"/>
        <w:rPr>
          <w:rFonts w:asciiTheme="minorHAnsi" w:eastAsiaTheme="minorEastAsia" w:hAnsiTheme="minorHAnsi" w:cstheme="minorBidi"/>
          <w:noProof/>
          <w:kern w:val="2"/>
          <w:sz w:val="21"/>
          <w:szCs w:val="22"/>
          <w:lang w:val="en-US" w:eastAsia="ja-JP"/>
        </w:rPr>
      </w:pPr>
      <w:hyperlink w:anchor="_Toc147500915" w:history="1">
        <w:r w:rsidR="00F26E2B" w:rsidRPr="00FC1BA2">
          <w:rPr>
            <w:rStyle w:val="Hyperlink"/>
            <w:b/>
            <w:noProof/>
            <w:lang w:val="en-GB"/>
          </w:rPr>
          <w:t>Figure 3.30.</w:t>
        </w:r>
        <w:r w:rsidR="00F26E2B" w:rsidRPr="00201227">
          <w:rPr>
            <w:rStyle w:val="Hyperlink"/>
            <w:noProof/>
            <w:lang w:val="en-GB"/>
          </w:rPr>
          <w:t xml:space="preserve"> Overview over the literature used for this assessment of the role of drivers of change in nature in affecting biological invasions across realms, IPBES regions</w:t>
        </w:r>
        <w:r w:rsidR="00774819">
          <w:rPr>
            <w:rStyle w:val="Hyperlink"/>
            <w:noProof/>
            <w:lang w:val="en-GB"/>
          </w:rPr>
          <w:t xml:space="preserve"> and</w:t>
        </w:r>
        <w:r w:rsidR="00F26E2B" w:rsidRPr="00201227">
          <w:rPr>
            <w:rStyle w:val="Hyperlink"/>
            <w:noProof/>
            <w:lang w:val="en-GB"/>
          </w:rPr>
          <w:t xml:space="preserve"> taxa.</w:t>
        </w:r>
        <w:r w:rsidR="00F26E2B">
          <w:rPr>
            <w:noProof/>
            <w:webHidden/>
          </w:rPr>
          <w:tab/>
        </w:r>
        <w:r w:rsidR="00F26E2B">
          <w:rPr>
            <w:noProof/>
            <w:webHidden/>
          </w:rPr>
          <w:fldChar w:fldCharType="begin"/>
        </w:r>
        <w:r w:rsidR="00F26E2B">
          <w:rPr>
            <w:noProof/>
            <w:webHidden/>
          </w:rPr>
          <w:instrText xml:space="preserve"> PAGEREF _Toc147500915 \h </w:instrText>
        </w:r>
        <w:r w:rsidR="00F26E2B">
          <w:rPr>
            <w:noProof/>
            <w:webHidden/>
          </w:rPr>
        </w:r>
        <w:r w:rsidR="00F26E2B">
          <w:rPr>
            <w:noProof/>
            <w:webHidden/>
          </w:rPr>
          <w:fldChar w:fldCharType="separate"/>
        </w:r>
        <w:r w:rsidR="00287BC7">
          <w:rPr>
            <w:noProof/>
            <w:webHidden/>
          </w:rPr>
          <w:t>98</w:t>
        </w:r>
        <w:r w:rsidR="00F26E2B">
          <w:rPr>
            <w:noProof/>
            <w:webHidden/>
          </w:rPr>
          <w:fldChar w:fldCharType="end"/>
        </w:r>
      </w:hyperlink>
    </w:p>
    <w:p w14:paraId="0D6697D7" w14:textId="54E362B4" w:rsidR="00F26E2B" w:rsidRDefault="005E43B8" w:rsidP="00774819">
      <w:pPr>
        <w:pStyle w:val="TableofFigures"/>
        <w:rPr>
          <w:rFonts w:asciiTheme="minorHAnsi" w:eastAsiaTheme="minorEastAsia" w:hAnsiTheme="minorHAnsi" w:cstheme="minorBidi"/>
          <w:noProof/>
          <w:kern w:val="2"/>
          <w:sz w:val="21"/>
          <w:szCs w:val="22"/>
          <w:lang w:val="en-US" w:eastAsia="ja-JP"/>
        </w:rPr>
      </w:pPr>
      <w:hyperlink w:anchor="_Toc147500916" w:history="1">
        <w:r w:rsidR="00F26E2B" w:rsidRPr="00201227">
          <w:rPr>
            <w:rStyle w:val="Hyperlink"/>
            <w:b/>
            <w:bCs/>
            <w:noProof/>
            <w:lang w:val="en-GB"/>
          </w:rPr>
          <w:t xml:space="preserve">Figure 3.31. </w:t>
        </w:r>
        <w:r w:rsidR="00F26E2B" w:rsidRPr="00201227">
          <w:rPr>
            <w:rStyle w:val="Hyperlink"/>
            <w:noProof/>
            <w:lang w:val="en-GB"/>
          </w:rPr>
          <w:t>Overview of the literature used within this chapter and specifically the role of drivers of change in nature in affecting invasive alien species across the biological invasion process.</w:t>
        </w:r>
        <w:r w:rsidR="00F26E2B">
          <w:rPr>
            <w:noProof/>
            <w:webHidden/>
          </w:rPr>
          <w:tab/>
        </w:r>
        <w:r w:rsidR="00F26E2B">
          <w:rPr>
            <w:noProof/>
            <w:webHidden/>
          </w:rPr>
          <w:fldChar w:fldCharType="begin"/>
        </w:r>
        <w:r w:rsidR="00F26E2B">
          <w:rPr>
            <w:noProof/>
            <w:webHidden/>
          </w:rPr>
          <w:instrText xml:space="preserve"> PAGEREF _Toc147500916 \h </w:instrText>
        </w:r>
        <w:r w:rsidR="00F26E2B">
          <w:rPr>
            <w:noProof/>
            <w:webHidden/>
          </w:rPr>
        </w:r>
        <w:r w:rsidR="00F26E2B">
          <w:rPr>
            <w:noProof/>
            <w:webHidden/>
          </w:rPr>
          <w:fldChar w:fldCharType="separate"/>
        </w:r>
        <w:r w:rsidR="00287BC7">
          <w:rPr>
            <w:noProof/>
            <w:webHidden/>
          </w:rPr>
          <w:t>99</w:t>
        </w:r>
        <w:r w:rsidR="00F26E2B">
          <w:rPr>
            <w:noProof/>
            <w:webHidden/>
          </w:rPr>
          <w:fldChar w:fldCharType="end"/>
        </w:r>
      </w:hyperlink>
    </w:p>
    <w:p w14:paraId="33DBB8CC" w14:textId="04CA0D3B" w:rsidR="00F26E2B" w:rsidRDefault="005E43B8" w:rsidP="00774819">
      <w:pPr>
        <w:pStyle w:val="TableofFigures"/>
        <w:rPr>
          <w:rFonts w:asciiTheme="minorHAnsi" w:eastAsiaTheme="minorEastAsia" w:hAnsiTheme="minorHAnsi" w:cstheme="minorBidi"/>
          <w:noProof/>
          <w:kern w:val="2"/>
          <w:sz w:val="21"/>
          <w:szCs w:val="22"/>
          <w:lang w:val="en-US" w:eastAsia="ja-JP"/>
        </w:rPr>
      </w:pPr>
      <w:hyperlink w:anchor="_Toc147500917" w:history="1">
        <w:r w:rsidR="00F26E2B" w:rsidRPr="00FC1BA2">
          <w:rPr>
            <w:rStyle w:val="Hyperlink"/>
            <w:b/>
            <w:noProof/>
            <w:lang w:val="en-GB"/>
          </w:rPr>
          <w:t>Figure 3.32.</w:t>
        </w:r>
        <w:r w:rsidR="00F26E2B" w:rsidRPr="00201227">
          <w:rPr>
            <w:rStyle w:val="Hyperlink"/>
            <w:noProof/>
            <w:lang w:val="en-GB"/>
          </w:rPr>
          <w:t xml:space="preserve"> Representation of drivers (per cent) of the observations for each driver across the papers included in the scenarios and models review noting some papers included multiple observations</w:t>
        </w:r>
        <w:r w:rsidR="00F26E2B">
          <w:rPr>
            <w:noProof/>
            <w:webHidden/>
          </w:rPr>
          <w:tab/>
        </w:r>
        <w:r w:rsidR="00F26E2B">
          <w:rPr>
            <w:noProof/>
            <w:webHidden/>
          </w:rPr>
          <w:fldChar w:fldCharType="begin"/>
        </w:r>
        <w:r w:rsidR="00F26E2B">
          <w:rPr>
            <w:noProof/>
            <w:webHidden/>
          </w:rPr>
          <w:instrText xml:space="preserve"> PAGEREF _Toc147500917 \h </w:instrText>
        </w:r>
        <w:r w:rsidR="00F26E2B">
          <w:rPr>
            <w:noProof/>
            <w:webHidden/>
          </w:rPr>
        </w:r>
        <w:r w:rsidR="00F26E2B">
          <w:rPr>
            <w:noProof/>
            <w:webHidden/>
          </w:rPr>
          <w:fldChar w:fldCharType="separate"/>
        </w:r>
        <w:r w:rsidR="00287BC7">
          <w:rPr>
            <w:noProof/>
            <w:webHidden/>
          </w:rPr>
          <w:t>101</w:t>
        </w:r>
        <w:r w:rsidR="00F26E2B">
          <w:rPr>
            <w:noProof/>
            <w:webHidden/>
          </w:rPr>
          <w:fldChar w:fldCharType="end"/>
        </w:r>
      </w:hyperlink>
    </w:p>
    <w:p w14:paraId="0F4D2B9A" w14:textId="47098451" w:rsidR="00F26E2B" w:rsidRDefault="005E43B8" w:rsidP="00774819">
      <w:pPr>
        <w:pStyle w:val="TableofFigures"/>
        <w:rPr>
          <w:rFonts w:asciiTheme="minorHAnsi" w:eastAsiaTheme="minorEastAsia" w:hAnsiTheme="minorHAnsi" w:cstheme="minorBidi"/>
          <w:noProof/>
          <w:kern w:val="2"/>
          <w:sz w:val="21"/>
          <w:szCs w:val="22"/>
          <w:lang w:val="en-US" w:eastAsia="ja-JP"/>
        </w:rPr>
      </w:pPr>
      <w:hyperlink w:anchor="_Toc147500918" w:history="1">
        <w:r w:rsidR="00F26E2B" w:rsidRPr="00201227">
          <w:rPr>
            <w:rStyle w:val="Hyperlink"/>
            <w:b/>
            <w:bCs/>
            <w:noProof/>
            <w:lang w:val="en-GB"/>
          </w:rPr>
          <w:t xml:space="preserve">Figure 3.33. </w:t>
        </w:r>
        <w:r w:rsidR="00F26E2B" w:rsidRPr="00201227">
          <w:rPr>
            <w:rStyle w:val="Hyperlink"/>
            <w:noProof/>
            <w:lang w:val="en-GB"/>
          </w:rPr>
          <w:t xml:space="preserve">Representation of the role of each driver in the studies included in the literature review on </w:t>
        </w:r>
        <w:r w:rsidR="00F26E2B" w:rsidRPr="00201227">
          <w:rPr>
            <w:rStyle w:val="Hyperlink"/>
            <w:rFonts w:eastAsia="DengXian"/>
            <w:noProof/>
            <w:lang w:val="en-GB"/>
          </w:rPr>
          <w:t>Indigenous Peoples and local communities and invasive alien species</w:t>
        </w:r>
        <w:r w:rsidR="00F26E2B" w:rsidRPr="00201227">
          <w:rPr>
            <w:rStyle w:val="Hyperlink"/>
            <w:noProof/>
            <w:lang w:val="en-GB"/>
          </w:rPr>
          <w:t xml:space="preserve"> (numbers of reported cases across 131 references) in facilitating biological invasions, noting most papers included multiple cases</w:t>
        </w:r>
        <w:r w:rsidR="00F26E2B">
          <w:rPr>
            <w:noProof/>
            <w:webHidden/>
          </w:rPr>
          <w:tab/>
        </w:r>
        <w:r w:rsidR="00F26E2B">
          <w:rPr>
            <w:noProof/>
            <w:webHidden/>
          </w:rPr>
          <w:fldChar w:fldCharType="begin"/>
        </w:r>
        <w:r w:rsidR="00F26E2B">
          <w:rPr>
            <w:noProof/>
            <w:webHidden/>
          </w:rPr>
          <w:instrText xml:space="preserve"> PAGEREF _Toc147500918 \h </w:instrText>
        </w:r>
        <w:r w:rsidR="00F26E2B">
          <w:rPr>
            <w:noProof/>
            <w:webHidden/>
          </w:rPr>
        </w:r>
        <w:r w:rsidR="00F26E2B">
          <w:rPr>
            <w:noProof/>
            <w:webHidden/>
          </w:rPr>
          <w:fldChar w:fldCharType="separate"/>
        </w:r>
        <w:r w:rsidR="00287BC7">
          <w:rPr>
            <w:noProof/>
            <w:webHidden/>
          </w:rPr>
          <w:t>103</w:t>
        </w:r>
        <w:r w:rsidR="00F26E2B">
          <w:rPr>
            <w:noProof/>
            <w:webHidden/>
          </w:rPr>
          <w:fldChar w:fldCharType="end"/>
        </w:r>
      </w:hyperlink>
    </w:p>
    <w:p w14:paraId="1E8E5CFC" w14:textId="6EEDEEAB" w:rsidR="00F26E2B" w:rsidRDefault="005E43B8" w:rsidP="00774819">
      <w:pPr>
        <w:pStyle w:val="TableofFigures"/>
        <w:rPr>
          <w:rFonts w:asciiTheme="minorHAnsi" w:eastAsiaTheme="minorEastAsia" w:hAnsiTheme="minorHAnsi" w:cstheme="minorBidi"/>
          <w:noProof/>
          <w:kern w:val="2"/>
          <w:sz w:val="21"/>
          <w:szCs w:val="22"/>
          <w:lang w:val="en-US" w:eastAsia="ja-JP"/>
        </w:rPr>
      </w:pPr>
      <w:hyperlink w:anchor="_Toc147500919" w:history="1">
        <w:r w:rsidR="00F26E2B" w:rsidRPr="00FC1BA2">
          <w:rPr>
            <w:rStyle w:val="Hyperlink"/>
            <w:b/>
            <w:noProof/>
            <w:lang w:val="en-GB"/>
          </w:rPr>
          <w:t xml:space="preserve">Figure 3.34. </w:t>
        </w:r>
        <w:r w:rsidR="00F26E2B" w:rsidRPr="00201227">
          <w:rPr>
            <w:rStyle w:val="Hyperlink"/>
            <w:noProof/>
            <w:lang w:val="en-GB"/>
          </w:rPr>
          <w:t>Assessment of the relative importance of indirect and direct drivers of change in nature in facilitating invasive alien species across stages of the biological invasion process, by A</w:t>
        </w:r>
        <w:r w:rsidR="00DD22BC">
          <w:rPr>
            <w:rStyle w:val="Hyperlink"/>
            <w:noProof/>
            <w:lang w:val="en-GB"/>
          </w:rPr>
          <w:t>)</w:t>
        </w:r>
        <w:r w:rsidR="00F26E2B" w:rsidRPr="00201227">
          <w:rPr>
            <w:rStyle w:val="Hyperlink"/>
            <w:noProof/>
            <w:lang w:val="en-GB"/>
          </w:rPr>
          <w:t xml:space="preserve"> biome (terrestrial, freshwater, marine) and B</w:t>
        </w:r>
        <w:r w:rsidR="00DD22BC">
          <w:rPr>
            <w:rStyle w:val="Hyperlink"/>
            <w:noProof/>
            <w:lang w:val="en-GB"/>
          </w:rPr>
          <w:t>)</w:t>
        </w:r>
        <w:r w:rsidR="00F26E2B" w:rsidRPr="00201227">
          <w:rPr>
            <w:rStyle w:val="Hyperlink"/>
            <w:noProof/>
            <w:lang w:val="en-GB"/>
          </w:rPr>
          <w:t xml:space="preserve"> taxa (microbes, plants, invertebrates, vertebrates).</w:t>
        </w:r>
        <w:r w:rsidR="00F26E2B">
          <w:rPr>
            <w:noProof/>
            <w:webHidden/>
          </w:rPr>
          <w:tab/>
        </w:r>
        <w:r w:rsidR="00F26E2B">
          <w:rPr>
            <w:noProof/>
            <w:webHidden/>
          </w:rPr>
          <w:fldChar w:fldCharType="begin"/>
        </w:r>
        <w:r w:rsidR="00F26E2B">
          <w:rPr>
            <w:noProof/>
            <w:webHidden/>
          </w:rPr>
          <w:instrText xml:space="preserve"> PAGEREF _Toc147500919 \h </w:instrText>
        </w:r>
        <w:r w:rsidR="00F26E2B">
          <w:rPr>
            <w:noProof/>
            <w:webHidden/>
          </w:rPr>
        </w:r>
        <w:r w:rsidR="00F26E2B">
          <w:rPr>
            <w:noProof/>
            <w:webHidden/>
          </w:rPr>
          <w:fldChar w:fldCharType="separate"/>
        </w:r>
        <w:r w:rsidR="00287BC7">
          <w:rPr>
            <w:noProof/>
            <w:webHidden/>
          </w:rPr>
          <w:t>106</w:t>
        </w:r>
        <w:r w:rsidR="00F26E2B">
          <w:rPr>
            <w:noProof/>
            <w:webHidden/>
          </w:rPr>
          <w:fldChar w:fldCharType="end"/>
        </w:r>
      </w:hyperlink>
    </w:p>
    <w:p w14:paraId="1227161A" w14:textId="77777777" w:rsidR="00740D7B" w:rsidRPr="00DA249F" w:rsidRDefault="00740D7B" w:rsidP="00181DB6">
      <w:pPr>
        <w:spacing w:before="0" w:after="0"/>
        <w:rPr>
          <w:lang w:val="en-GB" w:eastAsia="en-AU"/>
        </w:rPr>
      </w:pPr>
      <w:r w:rsidRPr="00864B3E">
        <w:rPr>
          <w:bCs/>
          <w:lang w:val="en-GB" w:eastAsia="en-AU"/>
        </w:rPr>
        <w:fldChar w:fldCharType="end"/>
      </w:r>
    </w:p>
    <w:p w14:paraId="00879F2B" w14:textId="77777777" w:rsidR="004F1673" w:rsidRPr="00DA249F" w:rsidRDefault="002B5E19" w:rsidP="00181DB6">
      <w:pPr>
        <w:spacing w:before="0" w:after="0" w:line="360" w:lineRule="auto"/>
        <w:rPr>
          <w:b/>
          <w:sz w:val="36"/>
          <w:szCs w:val="32"/>
          <w:lang w:val="en-GB"/>
        </w:rPr>
      </w:pPr>
      <w:r w:rsidRPr="00DA249F">
        <w:rPr>
          <w:b/>
          <w:sz w:val="36"/>
          <w:szCs w:val="32"/>
          <w:lang w:val="en-GB"/>
        </w:rPr>
        <w:t>List of tables</w:t>
      </w:r>
    </w:p>
    <w:p w14:paraId="65F78B95" w14:textId="075040F0" w:rsidR="00DD22BC" w:rsidRDefault="00740D7B">
      <w:pPr>
        <w:pStyle w:val="TableofFigures"/>
        <w:rPr>
          <w:rFonts w:asciiTheme="minorHAnsi" w:eastAsiaTheme="minorEastAsia" w:hAnsiTheme="minorHAnsi" w:cstheme="minorBidi"/>
          <w:noProof/>
          <w:kern w:val="2"/>
          <w:sz w:val="21"/>
          <w:szCs w:val="22"/>
          <w:lang w:val="en-US" w:eastAsia="ja-JP"/>
        </w:rPr>
      </w:pPr>
      <w:r w:rsidRPr="00DA249F">
        <w:rPr>
          <w:rFonts w:eastAsia="Times New Roman"/>
        </w:rPr>
        <w:fldChar w:fldCharType="begin"/>
      </w:r>
      <w:r w:rsidRPr="00DA249F">
        <w:instrText xml:space="preserve"> TOC \h \z \c "Table 3." </w:instrText>
      </w:r>
      <w:r w:rsidRPr="00DA249F">
        <w:rPr>
          <w:rFonts w:eastAsia="Times New Roman"/>
        </w:rPr>
        <w:fldChar w:fldCharType="separate"/>
      </w:r>
      <w:hyperlink w:anchor="_Toc158373438" w:history="1">
        <w:r w:rsidR="00DD22BC" w:rsidRPr="005B430C">
          <w:rPr>
            <w:rStyle w:val="Hyperlink"/>
            <w:noProof/>
            <w:lang w:val="en-GB"/>
          </w:rPr>
          <w:t>Table 3.1. The indirect and direct anthropogenic drivers of change in nature and other factors affecting invasive alien species, as assessed in Chapter 3</w:t>
        </w:r>
        <w:r w:rsidR="00DD22BC">
          <w:rPr>
            <w:noProof/>
            <w:webHidden/>
          </w:rPr>
          <w:tab/>
        </w:r>
        <w:r w:rsidR="00DD22BC">
          <w:rPr>
            <w:noProof/>
            <w:webHidden/>
          </w:rPr>
          <w:fldChar w:fldCharType="begin"/>
        </w:r>
        <w:r w:rsidR="00DD22BC">
          <w:rPr>
            <w:noProof/>
            <w:webHidden/>
          </w:rPr>
          <w:instrText xml:space="preserve"> PAGEREF _Toc158373438 \h </w:instrText>
        </w:r>
        <w:r w:rsidR="00DD22BC">
          <w:rPr>
            <w:noProof/>
            <w:webHidden/>
          </w:rPr>
        </w:r>
        <w:r w:rsidR="00DD22BC">
          <w:rPr>
            <w:noProof/>
            <w:webHidden/>
          </w:rPr>
          <w:fldChar w:fldCharType="separate"/>
        </w:r>
        <w:r w:rsidR="00287BC7">
          <w:rPr>
            <w:noProof/>
            <w:webHidden/>
          </w:rPr>
          <w:t>12</w:t>
        </w:r>
        <w:r w:rsidR="00DD22BC">
          <w:rPr>
            <w:noProof/>
            <w:webHidden/>
          </w:rPr>
          <w:fldChar w:fldCharType="end"/>
        </w:r>
      </w:hyperlink>
    </w:p>
    <w:p w14:paraId="730BC824" w14:textId="77777777" w:rsidR="00474D88" w:rsidRPr="00DA249F" w:rsidRDefault="00740D7B" w:rsidP="00181DB6">
      <w:pPr>
        <w:spacing w:before="0" w:after="0"/>
        <w:rPr>
          <w:lang w:val="en-GB"/>
        </w:rPr>
      </w:pPr>
      <w:r w:rsidRPr="00DA249F">
        <w:rPr>
          <w:lang w:val="en-GB"/>
        </w:rPr>
        <w:fldChar w:fldCharType="end"/>
      </w:r>
    </w:p>
    <w:p w14:paraId="260A1021" w14:textId="77777777" w:rsidR="00474D88" w:rsidRPr="00DA249F" w:rsidRDefault="00AD6E4E" w:rsidP="00181DB6">
      <w:pPr>
        <w:spacing w:before="0" w:after="0" w:line="360" w:lineRule="auto"/>
        <w:rPr>
          <w:b/>
          <w:sz w:val="36"/>
          <w:szCs w:val="32"/>
          <w:lang w:val="en-GB"/>
        </w:rPr>
      </w:pPr>
      <w:r w:rsidRPr="00DA249F">
        <w:rPr>
          <w:b/>
          <w:sz w:val="36"/>
          <w:szCs w:val="32"/>
          <w:lang w:val="en-GB"/>
        </w:rPr>
        <w:t>List of textboxes</w:t>
      </w:r>
    </w:p>
    <w:p w14:paraId="27E315C2" w14:textId="727D6B7D" w:rsidR="00031A42" w:rsidRDefault="00AD6E4E">
      <w:pPr>
        <w:pStyle w:val="TableofFigures"/>
        <w:rPr>
          <w:rFonts w:asciiTheme="minorHAnsi" w:eastAsiaTheme="minorEastAsia" w:hAnsiTheme="minorHAnsi" w:cstheme="minorBidi"/>
          <w:noProof/>
          <w:kern w:val="2"/>
          <w:sz w:val="21"/>
          <w:szCs w:val="22"/>
          <w:lang w:val="en-US" w:eastAsia="ja-JP"/>
        </w:rPr>
      </w:pPr>
      <w:r w:rsidRPr="00DA249F">
        <w:rPr>
          <w:b/>
          <w:bCs/>
        </w:rPr>
        <w:fldChar w:fldCharType="begin"/>
      </w:r>
      <w:r w:rsidRPr="00DA249F">
        <w:rPr>
          <w:b/>
          <w:bCs/>
        </w:rPr>
        <w:instrText xml:space="preserve"> TOC \h \z \c "Box 3." </w:instrText>
      </w:r>
      <w:r w:rsidRPr="00DA249F">
        <w:rPr>
          <w:b/>
          <w:bCs/>
        </w:rPr>
        <w:fldChar w:fldCharType="separate"/>
      </w:r>
      <w:hyperlink w:anchor="_Toc158373485" w:history="1">
        <w:r w:rsidR="00031A42" w:rsidRPr="007D2B9F">
          <w:rPr>
            <w:rStyle w:val="Hyperlink"/>
            <w:noProof/>
            <w:lang w:val="en-GB"/>
          </w:rPr>
          <w:t>Box 3.1. Rationale of the chapter</w:t>
        </w:r>
        <w:r w:rsidR="00031A42">
          <w:rPr>
            <w:noProof/>
            <w:webHidden/>
          </w:rPr>
          <w:tab/>
        </w:r>
        <w:r w:rsidR="00031A42">
          <w:rPr>
            <w:noProof/>
            <w:webHidden/>
          </w:rPr>
          <w:fldChar w:fldCharType="begin"/>
        </w:r>
        <w:r w:rsidR="00031A42">
          <w:rPr>
            <w:noProof/>
            <w:webHidden/>
          </w:rPr>
          <w:instrText xml:space="preserve"> PAGEREF _Toc158373485 \h </w:instrText>
        </w:r>
        <w:r w:rsidR="00031A42">
          <w:rPr>
            <w:noProof/>
            <w:webHidden/>
          </w:rPr>
        </w:r>
        <w:r w:rsidR="00031A42">
          <w:rPr>
            <w:noProof/>
            <w:webHidden/>
          </w:rPr>
          <w:fldChar w:fldCharType="separate"/>
        </w:r>
        <w:r w:rsidR="00287BC7">
          <w:rPr>
            <w:noProof/>
            <w:webHidden/>
          </w:rPr>
          <w:t>5</w:t>
        </w:r>
        <w:r w:rsidR="00031A42">
          <w:rPr>
            <w:noProof/>
            <w:webHidden/>
          </w:rPr>
          <w:fldChar w:fldCharType="end"/>
        </w:r>
      </w:hyperlink>
    </w:p>
    <w:p w14:paraId="4DC68705" w14:textId="795053F5" w:rsidR="00031A42" w:rsidRDefault="005E43B8">
      <w:pPr>
        <w:pStyle w:val="TableofFigures"/>
        <w:rPr>
          <w:rFonts w:asciiTheme="minorHAnsi" w:eastAsiaTheme="minorEastAsia" w:hAnsiTheme="minorHAnsi" w:cstheme="minorBidi"/>
          <w:noProof/>
          <w:kern w:val="2"/>
          <w:sz w:val="21"/>
          <w:szCs w:val="22"/>
          <w:lang w:val="en-US" w:eastAsia="ja-JP"/>
        </w:rPr>
      </w:pPr>
      <w:hyperlink w:anchor="_Toc158373486" w:history="1">
        <w:r w:rsidR="00031A42" w:rsidRPr="007D2B9F">
          <w:rPr>
            <w:rStyle w:val="Hyperlink"/>
            <w:noProof/>
            <w:lang w:val="en-GB"/>
          </w:rPr>
          <w:t>Box 3.2. The role of hunters intentionally spreading game animals</w:t>
        </w:r>
        <w:r w:rsidR="00031A42">
          <w:rPr>
            <w:noProof/>
            <w:webHidden/>
          </w:rPr>
          <w:tab/>
        </w:r>
        <w:r w:rsidR="00031A42">
          <w:rPr>
            <w:noProof/>
            <w:webHidden/>
          </w:rPr>
          <w:fldChar w:fldCharType="begin"/>
        </w:r>
        <w:r w:rsidR="00031A42">
          <w:rPr>
            <w:noProof/>
            <w:webHidden/>
          </w:rPr>
          <w:instrText xml:space="preserve"> PAGEREF _Toc158373486 \h </w:instrText>
        </w:r>
        <w:r w:rsidR="00031A42">
          <w:rPr>
            <w:noProof/>
            <w:webHidden/>
          </w:rPr>
        </w:r>
        <w:r w:rsidR="00031A42">
          <w:rPr>
            <w:noProof/>
            <w:webHidden/>
          </w:rPr>
          <w:fldChar w:fldCharType="separate"/>
        </w:r>
        <w:r w:rsidR="00287BC7">
          <w:rPr>
            <w:noProof/>
            <w:webHidden/>
          </w:rPr>
          <w:t>20</w:t>
        </w:r>
        <w:r w:rsidR="00031A42">
          <w:rPr>
            <w:noProof/>
            <w:webHidden/>
          </w:rPr>
          <w:fldChar w:fldCharType="end"/>
        </w:r>
      </w:hyperlink>
    </w:p>
    <w:p w14:paraId="5436B8F6" w14:textId="591EF822" w:rsidR="00031A42" w:rsidRDefault="005E43B8">
      <w:pPr>
        <w:pStyle w:val="TableofFigures"/>
        <w:rPr>
          <w:rFonts w:asciiTheme="minorHAnsi" w:eastAsiaTheme="minorEastAsia" w:hAnsiTheme="minorHAnsi" w:cstheme="minorBidi"/>
          <w:noProof/>
          <w:kern w:val="2"/>
          <w:sz w:val="21"/>
          <w:szCs w:val="22"/>
          <w:lang w:val="en-US" w:eastAsia="ja-JP"/>
        </w:rPr>
      </w:pPr>
      <w:hyperlink w:anchor="_Toc158373487" w:history="1">
        <w:r w:rsidR="00031A42" w:rsidRPr="007D2B9F">
          <w:rPr>
            <w:rStyle w:val="Hyperlink"/>
            <w:noProof/>
            <w:lang w:val="en-GB"/>
          </w:rPr>
          <w:t>Box 3.3. Trade of bumblebee colonies for crop pollination as a driver that facilitates the introduction of invasive alien species</w:t>
        </w:r>
        <w:r w:rsidR="00031A42">
          <w:rPr>
            <w:noProof/>
            <w:webHidden/>
          </w:rPr>
          <w:tab/>
        </w:r>
        <w:r w:rsidR="00031A42">
          <w:rPr>
            <w:noProof/>
            <w:webHidden/>
          </w:rPr>
          <w:fldChar w:fldCharType="begin"/>
        </w:r>
        <w:r w:rsidR="00031A42">
          <w:rPr>
            <w:noProof/>
            <w:webHidden/>
          </w:rPr>
          <w:instrText xml:space="preserve"> PAGEREF _Toc158373487 \h </w:instrText>
        </w:r>
        <w:r w:rsidR="00031A42">
          <w:rPr>
            <w:noProof/>
            <w:webHidden/>
          </w:rPr>
        </w:r>
        <w:r w:rsidR="00031A42">
          <w:rPr>
            <w:noProof/>
            <w:webHidden/>
          </w:rPr>
          <w:fldChar w:fldCharType="separate"/>
        </w:r>
        <w:r w:rsidR="00287BC7">
          <w:rPr>
            <w:noProof/>
            <w:webHidden/>
          </w:rPr>
          <w:t>30</w:t>
        </w:r>
        <w:r w:rsidR="00031A42">
          <w:rPr>
            <w:noProof/>
            <w:webHidden/>
          </w:rPr>
          <w:fldChar w:fldCharType="end"/>
        </w:r>
      </w:hyperlink>
    </w:p>
    <w:p w14:paraId="52628FA8" w14:textId="7A88D8FA" w:rsidR="00031A42" w:rsidRDefault="005E43B8">
      <w:pPr>
        <w:pStyle w:val="TableofFigures"/>
        <w:rPr>
          <w:rFonts w:asciiTheme="minorHAnsi" w:eastAsiaTheme="minorEastAsia" w:hAnsiTheme="minorHAnsi" w:cstheme="minorBidi"/>
          <w:noProof/>
          <w:kern w:val="2"/>
          <w:sz w:val="21"/>
          <w:szCs w:val="22"/>
          <w:lang w:val="en-US" w:eastAsia="ja-JP"/>
        </w:rPr>
      </w:pPr>
      <w:hyperlink w:anchor="_Toc158373488" w:history="1">
        <w:r w:rsidR="00031A42" w:rsidRPr="007D2B9F">
          <w:rPr>
            <w:rStyle w:val="Hyperlink"/>
            <w:noProof/>
            <w:lang w:val="en-GB"/>
          </w:rPr>
          <w:t>Box 3.4. International tourists and scientists visiting Antarctica</w:t>
        </w:r>
        <w:r w:rsidR="00031A42">
          <w:rPr>
            <w:noProof/>
            <w:webHidden/>
          </w:rPr>
          <w:tab/>
        </w:r>
        <w:r w:rsidR="00031A42">
          <w:rPr>
            <w:noProof/>
            <w:webHidden/>
          </w:rPr>
          <w:fldChar w:fldCharType="begin"/>
        </w:r>
        <w:r w:rsidR="00031A42">
          <w:rPr>
            <w:noProof/>
            <w:webHidden/>
          </w:rPr>
          <w:instrText xml:space="preserve"> PAGEREF _Toc158373488 \h </w:instrText>
        </w:r>
        <w:r w:rsidR="00031A42">
          <w:rPr>
            <w:noProof/>
            <w:webHidden/>
          </w:rPr>
        </w:r>
        <w:r w:rsidR="00031A42">
          <w:rPr>
            <w:noProof/>
            <w:webHidden/>
          </w:rPr>
          <w:fldChar w:fldCharType="separate"/>
        </w:r>
        <w:r w:rsidR="00287BC7">
          <w:rPr>
            <w:noProof/>
            <w:webHidden/>
          </w:rPr>
          <w:t>32</w:t>
        </w:r>
        <w:r w:rsidR="00031A42">
          <w:rPr>
            <w:noProof/>
            <w:webHidden/>
          </w:rPr>
          <w:fldChar w:fldCharType="end"/>
        </w:r>
      </w:hyperlink>
    </w:p>
    <w:p w14:paraId="2A2DF527" w14:textId="5CD1838D" w:rsidR="00031A42" w:rsidRDefault="005E43B8">
      <w:pPr>
        <w:pStyle w:val="TableofFigures"/>
        <w:rPr>
          <w:rFonts w:asciiTheme="minorHAnsi" w:eastAsiaTheme="minorEastAsia" w:hAnsiTheme="minorHAnsi" w:cstheme="minorBidi"/>
          <w:noProof/>
          <w:kern w:val="2"/>
          <w:sz w:val="21"/>
          <w:szCs w:val="22"/>
          <w:lang w:val="en-US" w:eastAsia="ja-JP"/>
        </w:rPr>
      </w:pPr>
      <w:hyperlink w:anchor="_Toc158373489" w:history="1">
        <w:r w:rsidR="00031A42" w:rsidRPr="007D2B9F">
          <w:rPr>
            <w:rStyle w:val="Hyperlink"/>
            <w:noProof/>
            <w:lang w:val="en-GB"/>
          </w:rPr>
          <w:t>Box 3.5. The role of botanic gardens in the introduction of invasive alien plants</w:t>
        </w:r>
        <w:r w:rsidR="00031A42">
          <w:rPr>
            <w:noProof/>
            <w:webHidden/>
          </w:rPr>
          <w:tab/>
        </w:r>
        <w:r w:rsidR="00031A42">
          <w:rPr>
            <w:noProof/>
            <w:webHidden/>
          </w:rPr>
          <w:fldChar w:fldCharType="begin"/>
        </w:r>
        <w:r w:rsidR="00031A42">
          <w:rPr>
            <w:noProof/>
            <w:webHidden/>
          </w:rPr>
          <w:instrText xml:space="preserve"> PAGEREF _Toc158373489 \h </w:instrText>
        </w:r>
        <w:r w:rsidR="00031A42">
          <w:rPr>
            <w:noProof/>
            <w:webHidden/>
          </w:rPr>
        </w:r>
        <w:r w:rsidR="00031A42">
          <w:rPr>
            <w:noProof/>
            <w:webHidden/>
          </w:rPr>
          <w:fldChar w:fldCharType="separate"/>
        </w:r>
        <w:r w:rsidR="00287BC7">
          <w:rPr>
            <w:noProof/>
            <w:webHidden/>
          </w:rPr>
          <w:t>36</w:t>
        </w:r>
        <w:r w:rsidR="00031A42">
          <w:rPr>
            <w:noProof/>
            <w:webHidden/>
          </w:rPr>
          <w:fldChar w:fldCharType="end"/>
        </w:r>
      </w:hyperlink>
    </w:p>
    <w:p w14:paraId="402299D5" w14:textId="4FCB9FDC" w:rsidR="00031A42" w:rsidRDefault="005E43B8">
      <w:pPr>
        <w:pStyle w:val="TableofFigures"/>
        <w:rPr>
          <w:rFonts w:asciiTheme="minorHAnsi" w:eastAsiaTheme="minorEastAsia" w:hAnsiTheme="minorHAnsi" w:cstheme="minorBidi"/>
          <w:noProof/>
          <w:kern w:val="2"/>
          <w:sz w:val="21"/>
          <w:szCs w:val="22"/>
          <w:lang w:val="en-US" w:eastAsia="ja-JP"/>
        </w:rPr>
      </w:pPr>
      <w:hyperlink w:anchor="_Toc158373490" w:history="1">
        <w:r w:rsidR="00031A42" w:rsidRPr="007D2B9F">
          <w:rPr>
            <w:rStyle w:val="Hyperlink"/>
            <w:noProof/>
            <w:lang w:val="en-GB"/>
          </w:rPr>
          <w:t xml:space="preserve">Box 3.6. National and international policies resulting in the introduction and spread of </w:t>
        </w:r>
        <w:r w:rsidR="00031A42" w:rsidRPr="007D2B9F">
          <w:rPr>
            <w:rStyle w:val="Hyperlink"/>
            <w:i/>
            <w:noProof/>
            <w:lang w:val="en-GB"/>
          </w:rPr>
          <w:t>Prosopis juliflora</w:t>
        </w:r>
        <w:r w:rsidR="00031A42" w:rsidRPr="007D2B9F">
          <w:rPr>
            <w:rStyle w:val="Hyperlink"/>
            <w:noProof/>
            <w:lang w:val="en-GB"/>
          </w:rPr>
          <w:t xml:space="preserve"> (mesquite), as reported by Indigenous Peoples and local communities</w:t>
        </w:r>
        <w:r w:rsidR="00031A42">
          <w:rPr>
            <w:noProof/>
            <w:webHidden/>
          </w:rPr>
          <w:tab/>
        </w:r>
        <w:r w:rsidR="00031A42">
          <w:rPr>
            <w:noProof/>
            <w:webHidden/>
          </w:rPr>
          <w:fldChar w:fldCharType="begin"/>
        </w:r>
        <w:r w:rsidR="00031A42">
          <w:rPr>
            <w:noProof/>
            <w:webHidden/>
          </w:rPr>
          <w:instrText xml:space="preserve"> PAGEREF _Toc158373490 \h </w:instrText>
        </w:r>
        <w:r w:rsidR="00031A42">
          <w:rPr>
            <w:noProof/>
            <w:webHidden/>
          </w:rPr>
        </w:r>
        <w:r w:rsidR="00031A42">
          <w:rPr>
            <w:noProof/>
            <w:webHidden/>
          </w:rPr>
          <w:fldChar w:fldCharType="separate"/>
        </w:r>
        <w:r w:rsidR="00287BC7">
          <w:rPr>
            <w:noProof/>
            <w:webHidden/>
          </w:rPr>
          <w:t>42</w:t>
        </w:r>
        <w:r w:rsidR="00031A42">
          <w:rPr>
            <w:noProof/>
            <w:webHidden/>
          </w:rPr>
          <w:fldChar w:fldCharType="end"/>
        </w:r>
      </w:hyperlink>
    </w:p>
    <w:p w14:paraId="0A7450DB" w14:textId="6473CA5F" w:rsidR="00031A42" w:rsidRDefault="005E43B8">
      <w:pPr>
        <w:pStyle w:val="TableofFigures"/>
        <w:rPr>
          <w:rFonts w:asciiTheme="minorHAnsi" w:eastAsiaTheme="minorEastAsia" w:hAnsiTheme="minorHAnsi" w:cstheme="minorBidi"/>
          <w:noProof/>
          <w:kern w:val="2"/>
          <w:sz w:val="21"/>
          <w:szCs w:val="22"/>
          <w:lang w:val="en-US" w:eastAsia="ja-JP"/>
        </w:rPr>
      </w:pPr>
      <w:hyperlink w:anchor="_Toc158373491" w:history="1">
        <w:r w:rsidR="00031A42" w:rsidRPr="007D2B9F">
          <w:rPr>
            <w:rStyle w:val="Hyperlink"/>
            <w:noProof/>
            <w:lang w:val="en-GB"/>
          </w:rPr>
          <w:t>Box 3.7. The Suez Canal and invasive alien species</w:t>
        </w:r>
        <w:r w:rsidR="00031A42">
          <w:rPr>
            <w:noProof/>
            <w:webHidden/>
          </w:rPr>
          <w:tab/>
        </w:r>
        <w:r w:rsidR="00031A42">
          <w:rPr>
            <w:noProof/>
            <w:webHidden/>
          </w:rPr>
          <w:fldChar w:fldCharType="begin"/>
        </w:r>
        <w:r w:rsidR="00031A42">
          <w:rPr>
            <w:noProof/>
            <w:webHidden/>
          </w:rPr>
          <w:instrText xml:space="preserve"> PAGEREF _Toc158373491 \h </w:instrText>
        </w:r>
        <w:r w:rsidR="00031A42">
          <w:rPr>
            <w:noProof/>
            <w:webHidden/>
          </w:rPr>
        </w:r>
        <w:r w:rsidR="00031A42">
          <w:rPr>
            <w:noProof/>
            <w:webHidden/>
          </w:rPr>
          <w:fldChar w:fldCharType="separate"/>
        </w:r>
        <w:r w:rsidR="00287BC7">
          <w:rPr>
            <w:noProof/>
            <w:webHidden/>
          </w:rPr>
          <w:t>51</w:t>
        </w:r>
        <w:r w:rsidR="00031A42">
          <w:rPr>
            <w:noProof/>
            <w:webHidden/>
          </w:rPr>
          <w:fldChar w:fldCharType="end"/>
        </w:r>
      </w:hyperlink>
    </w:p>
    <w:p w14:paraId="2B4E982F" w14:textId="0D6B81E7" w:rsidR="00031A42" w:rsidRDefault="005E43B8">
      <w:pPr>
        <w:pStyle w:val="TableofFigures"/>
        <w:rPr>
          <w:rFonts w:asciiTheme="minorHAnsi" w:eastAsiaTheme="minorEastAsia" w:hAnsiTheme="minorHAnsi" w:cstheme="minorBidi"/>
          <w:noProof/>
          <w:kern w:val="2"/>
          <w:sz w:val="21"/>
          <w:szCs w:val="22"/>
          <w:lang w:val="en-US" w:eastAsia="ja-JP"/>
        </w:rPr>
      </w:pPr>
      <w:hyperlink w:anchor="_Toc158373492" w:history="1">
        <w:r w:rsidR="00031A42" w:rsidRPr="007D2B9F">
          <w:rPr>
            <w:rStyle w:val="Hyperlink"/>
            <w:noProof/>
            <w:lang w:val="en-GB"/>
          </w:rPr>
          <w:t>Box 3.8. The spread of invasive alien species on Japanese tsunami marine debris</w:t>
        </w:r>
        <w:r w:rsidR="00031A42">
          <w:rPr>
            <w:noProof/>
            <w:webHidden/>
          </w:rPr>
          <w:tab/>
        </w:r>
        <w:r w:rsidR="00031A42">
          <w:rPr>
            <w:noProof/>
            <w:webHidden/>
          </w:rPr>
          <w:fldChar w:fldCharType="begin"/>
        </w:r>
        <w:r w:rsidR="00031A42">
          <w:rPr>
            <w:noProof/>
            <w:webHidden/>
          </w:rPr>
          <w:instrText xml:space="preserve"> PAGEREF _Toc158373492 \h </w:instrText>
        </w:r>
        <w:r w:rsidR="00031A42">
          <w:rPr>
            <w:noProof/>
            <w:webHidden/>
          </w:rPr>
        </w:r>
        <w:r w:rsidR="00031A42">
          <w:rPr>
            <w:noProof/>
            <w:webHidden/>
          </w:rPr>
          <w:fldChar w:fldCharType="separate"/>
        </w:r>
        <w:r w:rsidR="00287BC7">
          <w:rPr>
            <w:noProof/>
            <w:webHidden/>
          </w:rPr>
          <w:t>66</w:t>
        </w:r>
        <w:r w:rsidR="00031A42">
          <w:rPr>
            <w:noProof/>
            <w:webHidden/>
          </w:rPr>
          <w:fldChar w:fldCharType="end"/>
        </w:r>
      </w:hyperlink>
    </w:p>
    <w:p w14:paraId="01310684" w14:textId="26373E8A" w:rsidR="00031A42" w:rsidRDefault="005E43B8">
      <w:pPr>
        <w:pStyle w:val="TableofFigures"/>
        <w:rPr>
          <w:rFonts w:asciiTheme="minorHAnsi" w:eastAsiaTheme="minorEastAsia" w:hAnsiTheme="minorHAnsi" w:cstheme="minorBidi"/>
          <w:noProof/>
          <w:kern w:val="2"/>
          <w:sz w:val="21"/>
          <w:szCs w:val="22"/>
          <w:lang w:val="en-US" w:eastAsia="ja-JP"/>
        </w:rPr>
      </w:pPr>
      <w:hyperlink w:anchor="_Toc158373493" w:history="1">
        <w:r w:rsidR="00031A42" w:rsidRPr="007D2B9F">
          <w:rPr>
            <w:rStyle w:val="Hyperlink"/>
            <w:noProof/>
            <w:lang w:val="en-GB"/>
          </w:rPr>
          <w:t>Box 3.9. Assisted colonization</w:t>
        </w:r>
        <w:r w:rsidR="00031A42">
          <w:rPr>
            <w:noProof/>
            <w:webHidden/>
          </w:rPr>
          <w:tab/>
        </w:r>
        <w:r w:rsidR="00031A42">
          <w:rPr>
            <w:noProof/>
            <w:webHidden/>
          </w:rPr>
          <w:fldChar w:fldCharType="begin"/>
        </w:r>
        <w:r w:rsidR="00031A42">
          <w:rPr>
            <w:noProof/>
            <w:webHidden/>
          </w:rPr>
          <w:instrText xml:space="preserve"> PAGEREF _Toc158373493 \h </w:instrText>
        </w:r>
        <w:r w:rsidR="00031A42">
          <w:rPr>
            <w:noProof/>
            <w:webHidden/>
          </w:rPr>
        </w:r>
        <w:r w:rsidR="00031A42">
          <w:rPr>
            <w:noProof/>
            <w:webHidden/>
          </w:rPr>
          <w:fldChar w:fldCharType="separate"/>
        </w:r>
        <w:r w:rsidR="00287BC7">
          <w:rPr>
            <w:noProof/>
            <w:webHidden/>
          </w:rPr>
          <w:t>69</w:t>
        </w:r>
        <w:r w:rsidR="00031A42">
          <w:rPr>
            <w:noProof/>
            <w:webHidden/>
          </w:rPr>
          <w:fldChar w:fldCharType="end"/>
        </w:r>
      </w:hyperlink>
    </w:p>
    <w:p w14:paraId="50D39559" w14:textId="7B1FEBAE" w:rsidR="00031A42" w:rsidRDefault="005E43B8">
      <w:pPr>
        <w:pStyle w:val="TableofFigures"/>
        <w:rPr>
          <w:rFonts w:asciiTheme="minorHAnsi" w:eastAsiaTheme="minorEastAsia" w:hAnsiTheme="minorHAnsi" w:cstheme="minorBidi"/>
          <w:noProof/>
          <w:kern w:val="2"/>
          <w:sz w:val="21"/>
          <w:szCs w:val="22"/>
          <w:lang w:val="en-US" w:eastAsia="ja-JP"/>
        </w:rPr>
      </w:pPr>
      <w:hyperlink w:anchor="_Toc158373494" w:history="1">
        <w:r w:rsidR="00031A42" w:rsidRPr="007D2B9F">
          <w:rPr>
            <w:rStyle w:val="Hyperlink"/>
            <w:noProof/>
            <w:lang w:val="en-GB"/>
          </w:rPr>
          <w:t>Box 3.10. Three-way invasional meltdown: invasive alien ungulates disperse invasive alien fungi that facilitate pine invasions</w:t>
        </w:r>
        <w:r w:rsidR="00031A42">
          <w:rPr>
            <w:noProof/>
            <w:webHidden/>
          </w:rPr>
          <w:tab/>
        </w:r>
        <w:r w:rsidR="00031A42">
          <w:rPr>
            <w:noProof/>
            <w:webHidden/>
          </w:rPr>
          <w:fldChar w:fldCharType="begin"/>
        </w:r>
        <w:r w:rsidR="00031A42">
          <w:rPr>
            <w:noProof/>
            <w:webHidden/>
          </w:rPr>
          <w:instrText xml:space="preserve"> PAGEREF _Toc158373494 \h </w:instrText>
        </w:r>
        <w:r w:rsidR="00031A42">
          <w:rPr>
            <w:noProof/>
            <w:webHidden/>
          </w:rPr>
        </w:r>
        <w:r w:rsidR="00031A42">
          <w:rPr>
            <w:noProof/>
            <w:webHidden/>
          </w:rPr>
          <w:fldChar w:fldCharType="separate"/>
        </w:r>
        <w:r w:rsidR="00287BC7">
          <w:rPr>
            <w:noProof/>
            <w:webHidden/>
          </w:rPr>
          <w:t>79</w:t>
        </w:r>
        <w:r w:rsidR="00031A42">
          <w:rPr>
            <w:noProof/>
            <w:webHidden/>
          </w:rPr>
          <w:fldChar w:fldCharType="end"/>
        </w:r>
      </w:hyperlink>
    </w:p>
    <w:p w14:paraId="6015554B" w14:textId="552DEF95" w:rsidR="00031A42" w:rsidRDefault="005E43B8">
      <w:pPr>
        <w:pStyle w:val="TableofFigures"/>
        <w:rPr>
          <w:rFonts w:asciiTheme="minorHAnsi" w:eastAsiaTheme="minorEastAsia" w:hAnsiTheme="minorHAnsi" w:cstheme="minorBidi"/>
          <w:noProof/>
          <w:kern w:val="2"/>
          <w:sz w:val="21"/>
          <w:szCs w:val="22"/>
          <w:lang w:val="en-US" w:eastAsia="ja-JP"/>
        </w:rPr>
      </w:pPr>
      <w:hyperlink w:anchor="_Toc158373495" w:history="1">
        <w:r w:rsidR="00031A42" w:rsidRPr="007D2B9F">
          <w:rPr>
            <w:rStyle w:val="Hyperlink"/>
            <w:noProof/>
            <w:lang w:val="en-GB"/>
          </w:rPr>
          <w:t>Box 3.11. Multiple interacting drivers trigger plant invasions in mountains</w:t>
        </w:r>
        <w:r w:rsidR="00031A42">
          <w:rPr>
            <w:noProof/>
            <w:webHidden/>
          </w:rPr>
          <w:tab/>
        </w:r>
        <w:r w:rsidR="00031A42">
          <w:rPr>
            <w:noProof/>
            <w:webHidden/>
          </w:rPr>
          <w:fldChar w:fldCharType="begin"/>
        </w:r>
        <w:r w:rsidR="00031A42">
          <w:rPr>
            <w:noProof/>
            <w:webHidden/>
          </w:rPr>
          <w:instrText xml:space="preserve"> PAGEREF _Toc158373495 \h </w:instrText>
        </w:r>
        <w:r w:rsidR="00031A42">
          <w:rPr>
            <w:noProof/>
            <w:webHidden/>
          </w:rPr>
        </w:r>
        <w:r w:rsidR="00031A42">
          <w:rPr>
            <w:noProof/>
            <w:webHidden/>
          </w:rPr>
          <w:fldChar w:fldCharType="separate"/>
        </w:r>
        <w:r w:rsidR="00287BC7">
          <w:rPr>
            <w:noProof/>
            <w:webHidden/>
          </w:rPr>
          <w:t>87</w:t>
        </w:r>
        <w:r w:rsidR="00031A42">
          <w:rPr>
            <w:noProof/>
            <w:webHidden/>
          </w:rPr>
          <w:fldChar w:fldCharType="end"/>
        </w:r>
      </w:hyperlink>
    </w:p>
    <w:p w14:paraId="2D75FB02" w14:textId="4E69B664" w:rsidR="00031A42" w:rsidRDefault="005E43B8">
      <w:pPr>
        <w:pStyle w:val="TableofFigures"/>
        <w:rPr>
          <w:rFonts w:asciiTheme="minorHAnsi" w:eastAsiaTheme="minorEastAsia" w:hAnsiTheme="minorHAnsi" w:cstheme="minorBidi"/>
          <w:noProof/>
          <w:kern w:val="2"/>
          <w:sz w:val="21"/>
          <w:szCs w:val="22"/>
          <w:lang w:val="en-US" w:eastAsia="ja-JP"/>
        </w:rPr>
      </w:pPr>
      <w:hyperlink w:anchor="_Toc158373496" w:history="1">
        <w:r w:rsidR="00031A42" w:rsidRPr="007D2B9F">
          <w:rPr>
            <w:rStyle w:val="Hyperlink"/>
            <w:noProof/>
            <w:lang w:val="en-GB"/>
          </w:rPr>
          <w:t xml:space="preserve">Box 3.12. Land-use change, climate change and nutrient pollution interact to drive the introduction, establishment and spread of </w:t>
        </w:r>
        <w:r w:rsidR="00031A42" w:rsidRPr="007D2B9F">
          <w:rPr>
            <w:rStyle w:val="Hyperlink"/>
            <w:i/>
            <w:iCs/>
            <w:noProof/>
            <w:lang w:val="en-GB"/>
          </w:rPr>
          <w:t xml:space="preserve">Pontederia crassipes </w:t>
        </w:r>
        <w:r w:rsidR="00031A42" w:rsidRPr="007D2B9F">
          <w:rPr>
            <w:rStyle w:val="Hyperlink"/>
            <w:noProof/>
            <w:lang w:val="en-GB"/>
          </w:rPr>
          <w:t>across Africa</w:t>
        </w:r>
        <w:r w:rsidR="00031A42">
          <w:rPr>
            <w:noProof/>
            <w:webHidden/>
          </w:rPr>
          <w:tab/>
        </w:r>
        <w:r w:rsidR="00031A42">
          <w:rPr>
            <w:noProof/>
            <w:webHidden/>
          </w:rPr>
          <w:fldChar w:fldCharType="begin"/>
        </w:r>
        <w:r w:rsidR="00031A42">
          <w:rPr>
            <w:noProof/>
            <w:webHidden/>
          </w:rPr>
          <w:instrText xml:space="preserve"> PAGEREF _Toc158373496 \h </w:instrText>
        </w:r>
        <w:r w:rsidR="00031A42">
          <w:rPr>
            <w:noProof/>
            <w:webHidden/>
          </w:rPr>
        </w:r>
        <w:r w:rsidR="00031A42">
          <w:rPr>
            <w:noProof/>
            <w:webHidden/>
          </w:rPr>
          <w:fldChar w:fldCharType="separate"/>
        </w:r>
        <w:r w:rsidR="00287BC7">
          <w:rPr>
            <w:noProof/>
            <w:webHidden/>
          </w:rPr>
          <w:t>91</w:t>
        </w:r>
        <w:r w:rsidR="00031A42">
          <w:rPr>
            <w:noProof/>
            <w:webHidden/>
          </w:rPr>
          <w:fldChar w:fldCharType="end"/>
        </w:r>
      </w:hyperlink>
    </w:p>
    <w:p w14:paraId="222B509F" w14:textId="7BFE8B0A" w:rsidR="00031A42" w:rsidRDefault="005E43B8">
      <w:pPr>
        <w:pStyle w:val="TableofFigures"/>
        <w:rPr>
          <w:rFonts w:asciiTheme="minorHAnsi" w:eastAsiaTheme="minorEastAsia" w:hAnsiTheme="minorHAnsi" w:cstheme="minorBidi"/>
          <w:noProof/>
          <w:kern w:val="2"/>
          <w:sz w:val="21"/>
          <w:szCs w:val="22"/>
          <w:lang w:val="en-US" w:eastAsia="ja-JP"/>
        </w:rPr>
      </w:pPr>
      <w:hyperlink w:anchor="_Toc158373497" w:history="1">
        <w:r w:rsidR="00031A42" w:rsidRPr="007D2B9F">
          <w:rPr>
            <w:rStyle w:val="Hyperlink"/>
            <w:noProof/>
            <w:lang w:val="en-GB"/>
          </w:rPr>
          <w:t>Box 3.13. Impacts of direct and indirect drivers of change in nature on biological invasions are currently much less understood than other areas of conservation science</w:t>
        </w:r>
        <w:r w:rsidR="00031A42">
          <w:rPr>
            <w:noProof/>
            <w:webHidden/>
          </w:rPr>
          <w:tab/>
        </w:r>
        <w:r w:rsidR="00031A42">
          <w:rPr>
            <w:noProof/>
            <w:webHidden/>
          </w:rPr>
          <w:fldChar w:fldCharType="begin"/>
        </w:r>
        <w:r w:rsidR="00031A42">
          <w:rPr>
            <w:noProof/>
            <w:webHidden/>
          </w:rPr>
          <w:instrText xml:space="preserve"> PAGEREF _Toc158373497 \h </w:instrText>
        </w:r>
        <w:r w:rsidR="00031A42">
          <w:rPr>
            <w:noProof/>
            <w:webHidden/>
          </w:rPr>
        </w:r>
        <w:r w:rsidR="00031A42">
          <w:rPr>
            <w:noProof/>
            <w:webHidden/>
          </w:rPr>
          <w:fldChar w:fldCharType="separate"/>
        </w:r>
        <w:r w:rsidR="00287BC7">
          <w:rPr>
            <w:noProof/>
            <w:webHidden/>
          </w:rPr>
          <w:t>100</w:t>
        </w:r>
        <w:r w:rsidR="00031A42">
          <w:rPr>
            <w:noProof/>
            <w:webHidden/>
          </w:rPr>
          <w:fldChar w:fldCharType="end"/>
        </w:r>
      </w:hyperlink>
    </w:p>
    <w:p w14:paraId="72C0B5E1" w14:textId="135D8290" w:rsidR="00031A42" w:rsidRDefault="005E43B8">
      <w:pPr>
        <w:pStyle w:val="TableofFigures"/>
        <w:rPr>
          <w:rFonts w:asciiTheme="minorHAnsi" w:eastAsiaTheme="minorEastAsia" w:hAnsiTheme="minorHAnsi" w:cstheme="minorBidi"/>
          <w:noProof/>
          <w:kern w:val="2"/>
          <w:sz w:val="21"/>
          <w:szCs w:val="22"/>
          <w:lang w:val="en-US" w:eastAsia="ja-JP"/>
        </w:rPr>
      </w:pPr>
      <w:hyperlink w:anchor="_Toc158373498" w:history="1">
        <w:r w:rsidR="00031A42" w:rsidRPr="007D2B9F">
          <w:rPr>
            <w:rStyle w:val="Hyperlink"/>
            <w:noProof/>
            <w:lang w:val="en-GB"/>
          </w:rPr>
          <w:t>Box 3.14. Representation of drivers in scenarios and models</w:t>
        </w:r>
        <w:r w:rsidR="00031A42">
          <w:rPr>
            <w:noProof/>
            <w:webHidden/>
          </w:rPr>
          <w:tab/>
        </w:r>
        <w:r w:rsidR="00031A42">
          <w:rPr>
            <w:noProof/>
            <w:webHidden/>
          </w:rPr>
          <w:fldChar w:fldCharType="begin"/>
        </w:r>
        <w:r w:rsidR="00031A42">
          <w:rPr>
            <w:noProof/>
            <w:webHidden/>
          </w:rPr>
          <w:instrText xml:space="preserve"> PAGEREF _Toc158373498 \h </w:instrText>
        </w:r>
        <w:r w:rsidR="00031A42">
          <w:rPr>
            <w:noProof/>
            <w:webHidden/>
          </w:rPr>
        </w:r>
        <w:r w:rsidR="00031A42">
          <w:rPr>
            <w:noProof/>
            <w:webHidden/>
          </w:rPr>
          <w:fldChar w:fldCharType="separate"/>
        </w:r>
        <w:r w:rsidR="00287BC7">
          <w:rPr>
            <w:noProof/>
            <w:webHidden/>
          </w:rPr>
          <w:t>101</w:t>
        </w:r>
        <w:r w:rsidR="00031A42">
          <w:rPr>
            <w:noProof/>
            <w:webHidden/>
          </w:rPr>
          <w:fldChar w:fldCharType="end"/>
        </w:r>
      </w:hyperlink>
    </w:p>
    <w:p w14:paraId="660E7BF0" w14:textId="4A42E066" w:rsidR="00031A42" w:rsidRDefault="005E43B8">
      <w:pPr>
        <w:pStyle w:val="TableofFigures"/>
        <w:rPr>
          <w:rFonts w:asciiTheme="minorHAnsi" w:eastAsiaTheme="minorEastAsia" w:hAnsiTheme="minorHAnsi" w:cstheme="minorBidi"/>
          <w:noProof/>
          <w:kern w:val="2"/>
          <w:sz w:val="21"/>
          <w:szCs w:val="22"/>
          <w:lang w:val="en-US" w:eastAsia="ja-JP"/>
        </w:rPr>
      </w:pPr>
      <w:hyperlink w:anchor="_Toc158373499" w:history="1">
        <w:r w:rsidR="00031A42" w:rsidRPr="007D2B9F">
          <w:rPr>
            <w:rStyle w:val="Hyperlink"/>
            <w:noProof/>
            <w:lang w:val="en-GB"/>
          </w:rPr>
          <w:t>Box 3.15. Identification of drivers by Indigenous Peoples and local communities</w:t>
        </w:r>
        <w:r w:rsidR="00031A42">
          <w:rPr>
            <w:noProof/>
            <w:webHidden/>
          </w:rPr>
          <w:tab/>
        </w:r>
        <w:r w:rsidR="00031A42">
          <w:rPr>
            <w:noProof/>
            <w:webHidden/>
          </w:rPr>
          <w:fldChar w:fldCharType="begin"/>
        </w:r>
        <w:r w:rsidR="00031A42">
          <w:rPr>
            <w:noProof/>
            <w:webHidden/>
          </w:rPr>
          <w:instrText xml:space="preserve"> PAGEREF _Toc158373499 \h </w:instrText>
        </w:r>
        <w:r w:rsidR="00031A42">
          <w:rPr>
            <w:noProof/>
            <w:webHidden/>
          </w:rPr>
        </w:r>
        <w:r w:rsidR="00031A42">
          <w:rPr>
            <w:noProof/>
            <w:webHidden/>
          </w:rPr>
          <w:fldChar w:fldCharType="separate"/>
        </w:r>
        <w:r w:rsidR="00287BC7">
          <w:rPr>
            <w:noProof/>
            <w:webHidden/>
          </w:rPr>
          <w:t>102</w:t>
        </w:r>
        <w:r w:rsidR="00031A42">
          <w:rPr>
            <w:noProof/>
            <w:webHidden/>
          </w:rPr>
          <w:fldChar w:fldCharType="end"/>
        </w:r>
      </w:hyperlink>
    </w:p>
    <w:p w14:paraId="22606E7F" w14:textId="77777777" w:rsidR="00CC38FE" w:rsidRPr="00DA249F" w:rsidRDefault="00AD6E4E" w:rsidP="00730EF9">
      <w:pPr>
        <w:spacing w:before="0" w:after="0"/>
        <w:rPr>
          <w:b/>
          <w:bCs/>
          <w:lang w:val="en-GB"/>
        </w:rPr>
      </w:pPr>
      <w:r w:rsidRPr="00DA249F">
        <w:rPr>
          <w:b/>
          <w:bCs/>
          <w:lang w:val="en-GB"/>
        </w:rPr>
        <w:fldChar w:fldCharType="end"/>
      </w:r>
      <w:r w:rsidR="00730EF9" w:rsidRPr="00DA249F">
        <w:rPr>
          <w:b/>
          <w:bCs/>
          <w:lang w:val="en-GB"/>
        </w:rPr>
        <w:t xml:space="preserve"> </w:t>
      </w:r>
    </w:p>
    <w:p w14:paraId="687BB31C" w14:textId="77777777" w:rsidR="00CC38FE" w:rsidRPr="00DA249F" w:rsidRDefault="00CC38FE" w:rsidP="0090109B">
      <w:pPr>
        <w:rPr>
          <w:lang w:val="en-GB"/>
        </w:rPr>
        <w:sectPr w:rsidR="00CC38FE" w:rsidRPr="00DA249F" w:rsidSect="00BD2CA7">
          <w:headerReference w:type="even" r:id="rId12"/>
          <w:headerReference w:type="default" r:id="rId13"/>
          <w:footerReference w:type="even" r:id="rId14"/>
          <w:headerReference w:type="first" r:id="rId15"/>
          <w:pgSz w:w="11906" w:h="16838" w:code="9"/>
          <w:pgMar w:top="1138" w:right="1138" w:bottom="1138" w:left="1138" w:header="288" w:footer="706" w:gutter="0"/>
          <w:cols w:space="708"/>
          <w:docGrid w:linePitch="360"/>
        </w:sectPr>
      </w:pPr>
    </w:p>
    <w:p w14:paraId="6C93231E" w14:textId="77777777" w:rsidR="008C1BF7" w:rsidRPr="00DA249F" w:rsidRDefault="3D04D128" w:rsidP="00370C81">
      <w:pPr>
        <w:pStyle w:val="Heading1"/>
        <w:numPr>
          <w:ilvl w:val="1"/>
          <w:numId w:val="0"/>
        </w:numPr>
        <w:rPr>
          <w:lang w:val="en-GB"/>
        </w:rPr>
      </w:pPr>
      <w:bookmarkStart w:id="1" w:name="_Toc146898454"/>
      <w:r w:rsidRPr="5575EBFC">
        <w:rPr>
          <w:lang w:val="en-GB"/>
        </w:rPr>
        <w:lastRenderedPageBreak/>
        <w:t xml:space="preserve">Executive </w:t>
      </w:r>
      <w:r w:rsidR="5FA0BFDD" w:rsidRPr="5575EBFC">
        <w:rPr>
          <w:lang w:val="en-GB"/>
        </w:rPr>
        <w:t>s</w:t>
      </w:r>
      <w:r w:rsidRPr="5575EBFC">
        <w:rPr>
          <w:lang w:val="en-GB"/>
        </w:rPr>
        <w:t>ummary</w:t>
      </w:r>
      <w:bookmarkEnd w:id="1"/>
    </w:p>
    <w:p w14:paraId="63B72FF4" w14:textId="0840BBEE" w:rsidR="00A8029D" w:rsidRPr="00DA249F" w:rsidRDefault="564F8040" w:rsidP="5575EBFC">
      <w:pPr>
        <w:pStyle w:val="ListParagraph"/>
        <w:numPr>
          <w:ilvl w:val="0"/>
          <w:numId w:val="12"/>
        </w:numPr>
        <w:adjustRightInd w:val="0"/>
        <w:spacing w:line="257" w:lineRule="auto"/>
        <w:rPr>
          <w:rFonts w:asciiTheme="minorHAnsi" w:hAnsiTheme="minorHAnsi" w:cstheme="minorBidi"/>
          <w:lang w:val="en-GB"/>
        </w:rPr>
      </w:pPr>
      <w:r w:rsidRPr="5575EBFC">
        <w:rPr>
          <w:b/>
          <w:bCs/>
          <w:lang w:val="en-GB"/>
        </w:rPr>
        <w:t xml:space="preserve">The IPBES conceptual framework, which classes drivers as either indirect or direct with respect to their impact on </w:t>
      </w:r>
      <w:r w:rsidR="26B8ACFC" w:rsidRPr="5575EBFC">
        <w:rPr>
          <w:b/>
          <w:bCs/>
          <w:lang w:val="en-GB"/>
        </w:rPr>
        <w:t>nature</w:t>
      </w:r>
      <w:r w:rsidRPr="5575EBFC">
        <w:rPr>
          <w:b/>
          <w:bCs/>
          <w:lang w:val="en-GB"/>
        </w:rPr>
        <w:t>, can be adapted to address biological invasions (</w:t>
      </w:r>
      <w:r w:rsidRPr="5575EBFC">
        <w:rPr>
          <w:b/>
          <w:bCs/>
          <w:i/>
          <w:iCs/>
          <w:lang w:val="en-GB"/>
        </w:rPr>
        <w:t>well established</w:t>
      </w:r>
      <w:r w:rsidRPr="5575EBFC">
        <w:rPr>
          <w:b/>
          <w:bCs/>
          <w:lang w:val="en-GB"/>
        </w:rPr>
        <w:t xml:space="preserve">) {3.1.3}. </w:t>
      </w:r>
      <w:r w:rsidR="7D24442A" w:rsidRPr="5575EBFC">
        <w:rPr>
          <w:lang w:val="en-GB"/>
        </w:rPr>
        <w:t xml:space="preserve">The IPBES conceptual framework distinguishes between direct </w:t>
      </w:r>
      <w:r w:rsidR="653902EA" w:rsidRPr="5575EBFC">
        <w:rPr>
          <w:lang w:val="en-GB"/>
        </w:rPr>
        <w:t>drivers of change in nature</w:t>
      </w:r>
      <w:r w:rsidR="7D24442A" w:rsidRPr="5575EBFC">
        <w:rPr>
          <w:lang w:val="en-GB"/>
        </w:rPr>
        <w:t xml:space="preserve">and indirect drivers, which </w:t>
      </w:r>
      <w:r w:rsidR="6563C54F" w:rsidRPr="5575EBFC">
        <w:rPr>
          <w:lang w:val="en-GB"/>
        </w:rPr>
        <w:t>are societ</w:t>
      </w:r>
      <w:r w:rsidR="030602BC" w:rsidRPr="5575EBFC">
        <w:rPr>
          <w:lang w:val="en-GB"/>
        </w:rPr>
        <w:t>a</w:t>
      </w:r>
      <w:r w:rsidR="6563C54F" w:rsidRPr="5575EBFC">
        <w:rPr>
          <w:lang w:val="en-GB"/>
        </w:rPr>
        <w:t xml:space="preserve">l factors that </w:t>
      </w:r>
      <w:r w:rsidR="7D24442A" w:rsidRPr="5575EBFC">
        <w:rPr>
          <w:lang w:val="en-GB"/>
        </w:rPr>
        <w:t xml:space="preserve">act on biodiversity </w:t>
      </w:r>
      <w:r w:rsidR="345D4A99" w:rsidRPr="5575EBFC">
        <w:rPr>
          <w:lang w:val="en-GB"/>
        </w:rPr>
        <w:t xml:space="preserve">and ecosystems </w:t>
      </w:r>
      <w:r w:rsidR="7D24442A" w:rsidRPr="5575EBFC">
        <w:rPr>
          <w:lang w:val="en-GB"/>
        </w:rPr>
        <w:t xml:space="preserve">through </w:t>
      </w:r>
      <w:r w:rsidR="35875DA2" w:rsidRPr="5575EBFC">
        <w:rPr>
          <w:lang w:val="en-GB"/>
        </w:rPr>
        <w:t>influencing</w:t>
      </w:r>
      <w:r w:rsidR="7D24442A" w:rsidRPr="5575EBFC">
        <w:rPr>
          <w:lang w:val="en-GB"/>
        </w:rPr>
        <w:t xml:space="preserve"> </w:t>
      </w:r>
      <w:r w:rsidR="030602BC" w:rsidRPr="5575EBFC">
        <w:rPr>
          <w:lang w:val="en-GB"/>
        </w:rPr>
        <w:t>one or more</w:t>
      </w:r>
      <w:r w:rsidR="6563C54F" w:rsidRPr="5575EBFC">
        <w:rPr>
          <w:lang w:val="en-GB"/>
        </w:rPr>
        <w:t xml:space="preserve"> </w:t>
      </w:r>
      <w:r w:rsidR="7D24442A" w:rsidRPr="5575EBFC">
        <w:rPr>
          <w:lang w:val="en-GB"/>
        </w:rPr>
        <w:t>direct drivers</w:t>
      </w:r>
      <w:r w:rsidR="6563C54F" w:rsidRPr="5575EBFC">
        <w:rPr>
          <w:lang w:val="en-GB"/>
        </w:rPr>
        <w:t xml:space="preserve"> {3.1.3}. </w:t>
      </w:r>
      <w:r w:rsidR="57B59D48" w:rsidRPr="5575EBFC">
        <w:rPr>
          <w:lang w:val="en-GB"/>
        </w:rPr>
        <w:t xml:space="preserve">Biological invasions are </w:t>
      </w:r>
      <w:r w:rsidR="35875DA2" w:rsidRPr="5575EBFC">
        <w:rPr>
          <w:lang w:val="en-GB"/>
        </w:rPr>
        <w:t>facilitated</w:t>
      </w:r>
      <w:r w:rsidR="57B59D48" w:rsidRPr="5575EBFC">
        <w:rPr>
          <w:lang w:val="en-GB"/>
        </w:rPr>
        <w:t xml:space="preserve"> by a broad range of direct drivers</w:t>
      </w:r>
      <w:r w:rsidR="001F191D">
        <w:rPr>
          <w:lang w:val="en-GB"/>
        </w:rPr>
        <w:t xml:space="preserve"> </w:t>
      </w:r>
      <w:r w:rsidR="57B59D48" w:rsidRPr="5575EBFC">
        <w:rPr>
          <w:lang w:val="en-GB"/>
        </w:rPr>
        <w:t xml:space="preserve">{3.3}. </w:t>
      </w:r>
      <w:r w:rsidR="576DFCB4" w:rsidRPr="5575EBFC">
        <w:rPr>
          <w:lang w:val="en-GB"/>
        </w:rPr>
        <w:t>A</w:t>
      </w:r>
      <w:r w:rsidR="6C493B84" w:rsidRPr="5575EBFC">
        <w:rPr>
          <w:lang w:val="en-GB"/>
        </w:rPr>
        <w:t>s i</w:t>
      </w:r>
      <w:r w:rsidRPr="5575EBFC">
        <w:rPr>
          <w:lang w:val="en-GB"/>
        </w:rPr>
        <w:t xml:space="preserve">nvasive alien species </w:t>
      </w:r>
      <w:r w:rsidR="7355D8CB" w:rsidRPr="5575EBFC">
        <w:rPr>
          <w:lang w:val="en-GB"/>
        </w:rPr>
        <w:t xml:space="preserve">are </w:t>
      </w:r>
      <w:r w:rsidRPr="5575EBFC">
        <w:rPr>
          <w:lang w:val="en-GB"/>
        </w:rPr>
        <w:t xml:space="preserve">both intentionally and unintentionally </w:t>
      </w:r>
      <w:r w:rsidR="6D6C497F" w:rsidRPr="5575EBFC">
        <w:rPr>
          <w:lang w:val="en-GB"/>
        </w:rPr>
        <w:t>moved</w:t>
      </w:r>
      <w:r w:rsidRPr="5575EBFC">
        <w:rPr>
          <w:lang w:val="en-GB"/>
        </w:rPr>
        <w:t xml:space="preserve"> by people,</w:t>
      </w:r>
      <w:r w:rsidR="6E5E5A01" w:rsidRPr="5575EBFC">
        <w:rPr>
          <w:lang w:val="en-GB"/>
        </w:rPr>
        <w:t xml:space="preserve"> </w:t>
      </w:r>
      <w:r w:rsidR="576DFCB4" w:rsidRPr="5575EBFC">
        <w:rPr>
          <w:lang w:val="en-GB"/>
        </w:rPr>
        <w:t>some</w:t>
      </w:r>
      <w:r w:rsidRPr="5575EBFC">
        <w:rPr>
          <w:lang w:val="en-GB"/>
        </w:rPr>
        <w:t xml:space="preserve"> indirect drivers of change</w:t>
      </w:r>
      <w:r w:rsidR="06B7FDD5" w:rsidRPr="5575EBFC">
        <w:rPr>
          <w:lang w:val="en-GB"/>
        </w:rPr>
        <w:t xml:space="preserve"> in nature</w:t>
      </w:r>
      <w:r w:rsidRPr="5575EBFC">
        <w:rPr>
          <w:lang w:val="en-GB"/>
        </w:rPr>
        <w:t>, such as trade or t</w:t>
      </w:r>
      <w:r w:rsidR="72039BFB" w:rsidRPr="5575EBFC">
        <w:rPr>
          <w:lang w:val="en-GB"/>
        </w:rPr>
        <w:t xml:space="preserve">ravel, </w:t>
      </w:r>
      <w:r w:rsidR="3099E46B" w:rsidRPr="5575EBFC">
        <w:rPr>
          <w:lang w:val="en-GB"/>
        </w:rPr>
        <w:t xml:space="preserve">can facilitate </w:t>
      </w:r>
      <w:r w:rsidRPr="5575EBFC">
        <w:rPr>
          <w:lang w:val="en-GB"/>
        </w:rPr>
        <w:t>the transport and introduction of invasive alien species to new regions (</w:t>
      </w:r>
      <w:r w:rsidRPr="5575EBFC">
        <w:rPr>
          <w:i/>
          <w:iCs/>
          <w:lang w:val="en-GB"/>
        </w:rPr>
        <w:t>well established</w:t>
      </w:r>
      <w:r w:rsidRPr="5575EBFC">
        <w:rPr>
          <w:lang w:val="en-GB"/>
        </w:rPr>
        <w:t>) {3.2.3.1</w:t>
      </w:r>
      <w:r w:rsidR="6754C9C5" w:rsidRPr="5575EBFC">
        <w:rPr>
          <w:lang w:val="en-GB"/>
        </w:rPr>
        <w:t>, 3.2.3.2, 3.2.3.3,</w:t>
      </w:r>
      <w:r w:rsidRPr="5575EBFC">
        <w:rPr>
          <w:lang w:val="en-GB"/>
        </w:rPr>
        <w:t xml:space="preserve"> 3.2.3.</w:t>
      </w:r>
      <w:r w:rsidR="12E686A0" w:rsidRPr="5575EBFC">
        <w:rPr>
          <w:lang w:val="en-GB"/>
        </w:rPr>
        <w:t>4</w:t>
      </w:r>
      <w:r w:rsidRPr="5575EBFC">
        <w:rPr>
          <w:lang w:val="en-GB"/>
        </w:rPr>
        <w:t xml:space="preserve">}. </w:t>
      </w:r>
      <w:r w:rsidR="7B34373C" w:rsidRPr="5575EBFC">
        <w:rPr>
          <w:lang w:val="en-GB"/>
        </w:rPr>
        <w:t>Since i</w:t>
      </w:r>
      <w:r w:rsidRPr="5575EBFC">
        <w:rPr>
          <w:lang w:val="en-GB"/>
        </w:rPr>
        <w:t>nvasive alien species are part of and interact with nature,</w:t>
      </w:r>
      <w:r w:rsidR="576DFCB4" w:rsidRPr="5575EBFC">
        <w:rPr>
          <w:lang w:val="en-GB"/>
        </w:rPr>
        <w:t xml:space="preserve"> </w:t>
      </w:r>
      <w:r w:rsidRPr="5575EBFC">
        <w:rPr>
          <w:lang w:val="en-GB"/>
        </w:rPr>
        <w:t xml:space="preserve">changes in the biosphere can </w:t>
      </w:r>
      <w:r w:rsidR="5F5E57AF" w:rsidRPr="5575EBFC">
        <w:rPr>
          <w:lang w:val="en-GB"/>
        </w:rPr>
        <w:t>also</w:t>
      </w:r>
      <w:r w:rsidR="576DFCB4" w:rsidRPr="5575EBFC">
        <w:rPr>
          <w:lang w:val="en-GB"/>
        </w:rPr>
        <w:t xml:space="preserve"> </w:t>
      </w:r>
      <w:r w:rsidR="16C5232C" w:rsidRPr="5575EBFC">
        <w:rPr>
          <w:lang w:val="en-GB"/>
        </w:rPr>
        <w:t>facilitate</w:t>
      </w:r>
      <w:r w:rsidRPr="5575EBFC">
        <w:rPr>
          <w:lang w:val="en-GB"/>
        </w:rPr>
        <w:t xml:space="preserve"> biological invasions, for example, biodiversity loss can lead to reduced biotic resistance </w:t>
      </w:r>
      <w:r w:rsidR="07DBEBCD" w:rsidRPr="5575EBFC">
        <w:rPr>
          <w:lang w:val="en-GB"/>
        </w:rPr>
        <w:t xml:space="preserve">of ecosystems </w:t>
      </w:r>
      <w:r w:rsidRPr="5575EBFC">
        <w:rPr>
          <w:lang w:val="en-GB"/>
        </w:rPr>
        <w:t xml:space="preserve">to </w:t>
      </w:r>
      <w:r w:rsidR="5D804F22" w:rsidRPr="5575EBFC">
        <w:rPr>
          <w:lang w:val="en-GB"/>
        </w:rPr>
        <w:t>invasive alien sp</w:t>
      </w:r>
      <w:r w:rsidR="7CFE71A4" w:rsidRPr="5575EBFC">
        <w:rPr>
          <w:lang w:val="en-GB"/>
        </w:rPr>
        <w:t>ecies</w:t>
      </w:r>
      <w:r w:rsidRPr="5575EBFC">
        <w:rPr>
          <w:lang w:val="en-GB"/>
        </w:rPr>
        <w:t>, and invasive alien species can facilitate the establishment and spread of other alien species (</w:t>
      </w:r>
      <w:r w:rsidRPr="5575EBFC">
        <w:rPr>
          <w:i/>
          <w:iCs/>
          <w:lang w:val="en-GB"/>
        </w:rPr>
        <w:t>well established</w:t>
      </w:r>
      <w:r w:rsidRPr="5575EBFC">
        <w:rPr>
          <w:lang w:val="en-GB"/>
        </w:rPr>
        <w:t>) {3.3.5</w:t>
      </w:r>
      <w:r w:rsidR="3F8CE948" w:rsidRPr="5575EBFC">
        <w:rPr>
          <w:lang w:val="en-GB"/>
        </w:rPr>
        <w:t>,</w:t>
      </w:r>
      <w:r w:rsidRPr="5575EBFC">
        <w:rPr>
          <w:lang w:val="en-GB"/>
        </w:rPr>
        <w:t xml:space="preserve"> 3.</w:t>
      </w:r>
      <w:r w:rsidR="3FE3529E" w:rsidRPr="5575EBFC">
        <w:rPr>
          <w:lang w:val="en-GB"/>
        </w:rPr>
        <w:t>4.2</w:t>
      </w:r>
      <w:r w:rsidRPr="5575EBFC">
        <w:rPr>
          <w:lang w:val="en-GB"/>
        </w:rPr>
        <w:t xml:space="preserve">}. </w:t>
      </w:r>
      <w:r w:rsidR="5D3C939E" w:rsidRPr="5575EBFC">
        <w:rPr>
          <w:lang w:val="en-GB"/>
        </w:rPr>
        <w:t xml:space="preserve">Natural drivers, such as tsunamis or hurricanes, are known to facilitate the establishment and </w:t>
      </w:r>
      <w:r w:rsidR="59163028" w:rsidRPr="5575EBFC">
        <w:rPr>
          <w:lang w:val="en-GB"/>
        </w:rPr>
        <w:t xml:space="preserve">further </w:t>
      </w:r>
      <w:r w:rsidR="5D3C939E" w:rsidRPr="5575EBFC">
        <w:rPr>
          <w:lang w:val="en-GB"/>
        </w:rPr>
        <w:t>spread of invasive alien species (</w:t>
      </w:r>
      <w:r w:rsidR="5D3C939E" w:rsidRPr="5575EBFC">
        <w:rPr>
          <w:i/>
          <w:iCs/>
          <w:lang w:val="en-GB"/>
        </w:rPr>
        <w:t>well established</w:t>
      </w:r>
      <w:r w:rsidR="5D3C939E" w:rsidRPr="5575EBFC">
        <w:rPr>
          <w:lang w:val="en-GB"/>
        </w:rPr>
        <w:t xml:space="preserve">) {3.4.1}. </w:t>
      </w:r>
      <w:r w:rsidRPr="5575EBFC">
        <w:rPr>
          <w:lang w:val="en-GB"/>
        </w:rPr>
        <w:t xml:space="preserve">By incorporating aspects </w:t>
      </w:r>
      <w:r w:rsidR="18178102" w:rsidRPr="5575EBFC">
        <w:rPr>
          <w:lang w:val="en-GB"/>
        </w:rPr>
        <w:t xml:space="preserve">specific to </w:t>
      </w:r>
      <w:r w:rsidR="1DA73EF5" w:rsidRPr="5575EBFC">
        <w:rPr>
          <w:lang w:val="en-GB"/>
        </w:rPr>
        <w:t>invasive alien species</w:t>
      </w:r>
      <w:r w:rsidR="474764BF" w:rsidRPr="5575EBFC">
        <w:rPr>
          <w:lang w:val="en-GB"/>
        </w:rPr>
        <w:t xml:space="preserve"> </w:t>
      </w:r>
      <w:r w:rsidRPr="5575EBFC">
        <w:rPr>
          <w:lang w:val="en-GB"/>
        </w:rPr>
        <w:t xml:space="preserve">within the IPBES conceptual framework, this </w:t>
      </w:r>
      <w:r w:rsidR="6E5E5A01" w:rsidRPr="5575EBFC">
        <w:rPr>
          <w:lang w:val="en-GB"/>
        </w:rPr>
        <w:t xml:space="preserve">chapter </w:t>
      </w:r>
      <w:r w:rsidRPr="5575EBFC">
        <w:rPr>
          <w:lang w:val="en-GB"/>
        </w:rPr>
        <w:t>allows a comprehensive assessment of all factors influencing biological invasions</w:t>
      </w:r>
      <w:r w:rsidR="59163028" w:rsidRPr="5575EBFC">
        <w:rPr>
          <w:lang w:val="en-GB"/>
        </w:rPr>
        <w:t xml:space="preserve"> </w:t>
      </w:r>
      <w:r w:rsidR="00D614ED">
        <w:rPr>
          <w:lang w:val="en-GB"/>
        </w:rPr>
        <w:t>(</w:t>
      </w:r>
      <w:r w:rsidR="00E23B69">
        <w:rPr>
          <w:lang w:val="en-GB"/>
        </w:rPr>
        <w:t>Figure</w:t>
      </w:r>
      <w:r w:rsidR="59163028" w:rsidRPr="5575EBFC">
        <w:rPr>
          <w:lang w:val="en-GB"/>
        </w:rPr>
        <w:t xml:space="preserve"> 3.3</w:t>
      </w:r>
      <w:r w:rsidR="00D614ED">
        <w:rPr>
          <w:lang w:val="en-GB"/>
        </w:rPr>
        <w:t>)</w:t>
      </w:r>
      <w:r w:rsidR="59163028" w:rsidRPr="5575EBFC">
        <w:rPr>
          <w:lang w:val="en-GB"/>
        </w:rPr>
        <w:t>.</w:t>
      </w:r>
      <w:r w:rsidRPr="5575EBFC">
        <w:rPr>
          <w:lang w:val="en-GB"/>
        </w:rPr>
        <w:t xml:space="preserve"> </w:t>
      </w:r>
    </w:p>
    <w:p w14:paraId="05B79FCD" w14:textId="4EEBE80B" w:rsidR="00954901" w:rsidRPr="00DA249F" w:rsidRDefault="4AFAC689" w:rsidP="004826A3">
      <w:pPr>
        <w:pStyle w:val="ListParagraph"/>
        <w:numPr>
          <w:ilvl w:val="0"/>
          <w:numId w:val="12"/>
        </w:numPr>
        <w:rPr>
          <w:lang w:val="en-GB"/>
        </w:rPr>
      </w:pPr>
      <w:r w:rsidRPr="5575EBFC">
        <w:rPr>
          <w:b/>
          <w:bCs/>
          <w:lang w:val="en-GB"/>
        </w:rPr>
        <w:t xml:space="preserve">Indirect and direct </w:t>
      </w:r>
      <w:r w:rsidR="653902EA" w:rsidRPr="5575EBFC">
        <w:rPr>
          <w:b/>
          <w:bCs/>
          <w:lang w:val="en-GB"/>
        </w:rPr>
        <w:t xml:space="preserve">drivers of change </w:t>
      </w:r>
      <w:r w:rsidR="06B7FDD5" w:rsidRPr="5575EBFC">
        <w:rPr>
          <w:b/>
          <w:bCs/>
          <w:lang w:val="en-GB"/>
        </w:rPr>
        <w:t>in nature</w:t>
      </w:r>
      <w:r w:rsidRPr="5575EBFC">
        <w:rPr>
          <w:b/>
          <w:bCs/>
          <w:lang w:val="en-GB"/>
        </w:rPr>
        <w:t xml:space="preserve"> play significant but varying roles across </w:t>
      </w:r>
      <w:r w:rsidR="5A1A7611" w:rsidRPr="5575EBFC">
        <w:rPr>
          <w:b/>
          <w:bCs/>
          <w:lang w:val="en-GB"/>
        </w:rPr>
        <w:t>all</w:t>
      </w:r>
      <w:r w:rsidRPr="5575EBFC">
        <w:rPr>
          <w:b/>
          <w:bCs/>
          <w:lang w:val="en-GB"/>
        </w:rPr>
        <w:t xml:space="preserve"> stages of the invasion process (</w:t>
      </w:r>
      <w:r w:rsidRPr="5575EBFC">
        <w:rPr>
          <w:b/>
          <w:bCs/>
          <w:i/>
          <w:iCs/>
          <w:lang w:val="en-GB"/>
        </w:rPr>
        <w:t>well established</w:t>
      </w:r>
      <w:r w:rsidRPr="5575EBFC">
        <w:rPr>
          <w:b/>
          <w:bCs/>
          <w:lang w:val="en-GB"/>
        </w:rPr>
        <w:t>) {</w:t>
      </w:r>
      <w:r w:rsidR="565FAB86" w:rsidRPr="5575EBFC">
        <w:rPr>
          <w:b/>
          <w:bCs/>
          <w:lang w:val="en-GB"/>
        </w:rPr>
        <w:t xml:space="preserve">3.1.4, </w:t>
      </w:r>
      <w:r w:rsidRPr="5575EBFC">
        <w:rPr>
          <w:b/>
          <w:bCs/>
          <w:lang w:val="en-GB"/>
        </w:rPr>
        <w:t>3.2</w:t>
      </w:r>
      <w:r w:rsidR="3F8CE948" w:rsidRPr="5575EBFC">
        <w:rPr>
          <w:b/>
          <w:bCs/>
          <w:lang w:val="en-GB"/>
        </w:rPr>
        <w:t>,</w:t>
      </w:r>
      <w:r w:rsidRPr="5575EBFC">
        <w:rPr>
          <w:b/>
          <w:bCs/>
          <w:lang w:val="en-GB"/>
        </w:rPr>
        <w:t xml:space="preserve"> 3.3, </w:t>
      </w:r>
      <w:r w:rsidR="17BCD233" w:rsidRPr="5575EBFC">
        <w:rPr>
          <w:b/>
          <w:bCs/>
          <w:lang w:val="en-GB"/>
        </w:rPr>
        <w:t>3.6.2</w:t>
      </w:r>
      <w:r w:rsidRPr="5575EBFC">
        <w:rPr>
          <w:b/>
          <w:bCs/>
          <w:lang w:val="en-GB"/>
        </w:rPr>
        <w:t>}. </w:t>
      </w:r>
      <w:r w:rsidRPr="5575EBFC">
        <w:rPr>
          <w:lang w:val="en-GB"/>
        </w:rPr>
        <w:t>Indirect drivers such as sociocultural norms (particularly human values)</w:t>
      </w:r>
      <w:r w:rsidR="4EF881E8" w:rsidRPr="5575EBFC">
        <w:rPr>
          <w:lang w:val="en-GB"/>
        </w:rPr>
        <w:t>,</w:t>
      </w:r>
      <w:r w:rsidRPr="5575EBFC">
        <w:rPr>
          <w:lang w:val="en-GB"/>
        </w:rPr>
        <w:t xml:space="preserve"> demography (human population and migration)</w:t>
      </w:r>
      <w:r w:rsidR="4EF881E8" w:rsidRPr="5575EBFC">
        <w:rPr>
          <w:lang w:val="en-GB"/>
        </w:rPr>
        <w:t>,</w:t>
      </w:r>
      <w:r w:rsidRPr="5575EBFC">
        <w:rPr>
          <w:lang w:val="en-GB"/>
        </w:rPr>
        <w:t xml:space="preserve"> economic aspects (especially trade and travel)</w:t>
      </w:r>
      <w:r w:rsidR="4EF881E8" w:rsidRPr="5575EBFC">
        <w:rPr>
          <w:lang w:val="en-GB"/>
        </w:rPr>
        <w:t>,</w:t>
      </w:r>
      <w:r w:rsidRPr="5575EBFC">
        <w:rPr>
          <w:lang w:val="en-GB"/>
        </w:rPr>
        <w:t xml:space="preserve"> science and technology (including research) and governance (including unintended consequences of policies that inadvertently facilitate biological invasions) tend to play a stronger role in the transport and introduction stages of the invasion process (</w:t>
      </w:r>
      <w:r w:rsidRPr="5575EBFC">
        <w:rPr>
          <w:i/>
          <w:iCs/>
          <w:lang w:val="en-GB"/>
        </w:rPr>
        <w:t>well established</w:t>
      </w:r>
      <w:r w:rsidRPr="5575EBFC">
        <w:rPr>
          <w:lang w:val="en-GB"/>
        </w:rPr>
        <w:t>) {3.2</w:t>
      </w:r>
      <w:r w:rsidR="3F8CE948" w:rsidRPr="5575EBFC">
        <w:rPr>
          <w:lang w:val="en-GB"/>
        </w:rPr>
        <w:t>,</w:t>
      </w:r>
      <w:r w:rsidRPr="5575EBFC">
        <w:rPr>
          <w:lang w:val="en-GB"/>
        </w:rPr>
        <w:t xml:space="preserve"> </w:t>
      </w:r>
      <w:r w:rsidR="137E01F8" w:rsidRPr="5575EBFC">
        <w:rPr>
          <w:lang w:val="en-GB"/>
        </w:rPr>
        <w:t>3.6.2</w:t>
      </w:r>
      <w:r w:rsidRPr="5575EBFC">
        <w:rPr>
          <w:lang w:val="en-GB"/>
        </w:rPr>
        <w:t xml:space="preserve">}. In contrast, the five broad </w:t>
      </w:r>
      <w:r w:rsidR="1D34C04C" w:rsidRPr="5575EBFC">
        <w:rPr>
          <w:lang w:val="en-GB"/>
        </w:rPr>
        <w:t>classes</w:t>
      </w:r>
      <w:r w:rsidRPr="5575EBFC">
        <w:rPr>
          <w:lang w:val="en-GB"/>
        </w:rPr>
        <w:t xml:space="preserve"> of direct drivers examined</w:t>
      </w:r>
      <w:r w:rsidR="6C76FD6A" w:rsidRPr="5575EBFC">
        <w:rPr>
          <w:lang w:val="en-GB"/>
        </w:rPr>
        <w:t xml:space="preserve">, </w:t>
      </w:r>
      <w:r w:rsidRPr="5575EBFC">
        <w:rPr>
          <w:lang w:val="en-GB"/>
        </w:rPr>
        <w:t xml:space="preserve">land- and sea-use changes </w:t>
      </w:r>
      <w:r w:rsidR="6C76FD6A" w:rsidRPr="5575EBFC">
        <w:rPr>
          <w:lang w:val="en-GB"/>
        </w:rPr>
        <w:t>(</w:t>
      </w:r>
      <w:r w:rsidRPr="5575EBFC">
        <w:rPr>
          <w:lang w:val="en-GB"/>
        </w:rPr>
        <w:t>resulting</w:t>
      </w:r>
      <w:r w:rsidR="6C76FD6A" w:rsidRPr="5575EBFC">
        <w:rPr>
          <w:lang w:val="en-GB"/>
        </w:rPr>
        <w:t xml:space="preserve"> from</w:t>
      </w:r>
      <w:r w:rsidRPr="5575EBFC">
        <w:rPr>
          <w:lang w:val="en-GB"/>
        </w:rPr>
        <w:t xml:space="preserve"> agriculture, forestry and aquacultur</w:t>
      </w:r>
      <w:r w:rsidR="12B3A0C2" w:rsidRPr="5575EBFC">
        <w:rPr>
          <w:lang w:val="en-GB"/>
        </w:rPr>
        <w:t>e</w:t>
      </w:r>
      <w:r w:rsidRPr="5575EBFC">
        <w:rPr>
          <w:lang w:val="en-GB"/>
        </w:rPr>
        <w:t>)</w:t>
      </w:r>
      <w:r w:rsidR="3CE2E8FB" w:rsidRPr="5575EBFC">
        <w:rPr>
          <w:lang w:val="en-GB"/>
        </w:rPr>
        <w:t>,</w:t>
      </w:r>
      <w:r w:rsidRPr="5575EBFC">
        <w:rPr>
          <w:lang w:val="en-GB"/>
        </w:rPr>
        <w:t xml:space="preserve"> </w:t>
      </w:r>
      <w:r w:rsidR="0C111A97" w:rsidRPr="5575EBFC">
        <w:rPr>
          <w:rStyle w:val="normaltextrun"/>
          <w:color w:val="000000" w:themeColor="text1"/>
          <w:lang w:val="en-GB"/>
        </w:rPr>
        <w:t>direct exploitation of natural resources</w:t>
      </w:r>
      <w:r w:rsidR="0C111A97" w:rsidRPr="5575EBFC">
        <w:rPr>
          <w:lang w:val="en-GB"/>
        </w:rPr>
        <w:t xml:space="preserve"> </w:t>
      </w:r>
      <w:r w:rsidRPr="5575EBFC">
        <w:rPr>
          <w:lang w:val="en-GB"/>
        </w:rPr>
        <w:t>(mining and species harvest)</w:t>
      </w:r>
      <w:r w:rsidR="3CE2E8FB" w:rsidRPr="5575EBFC">
        <w:rPr>
          <w:lang w:val="en-GB"/>
        </w:rPr>
        <w:t>,</w:t>
      </w:r>
      <w:r w:rsidRPr="5575EBFC">
        <w:rPr>
          <w:lang w:val="en-GB"/>
        </w:rPr>
        <w:t xml:space="preserve"> pollution (eutrophication and marine plastics)</w:t>
      </w:r>
      <w:r w:rsidR="3CE2E8FB" w:rsidRPr="5575EBFC">
        <w:rPr>
          <w:lang w:val="en-GB"/>
        </w:rPr>
        <w:t xml:space="preserve">, </w:t>
      </w:r>
      <w:r w:rsidRPr="5575EBFC">
        <w:rPr>
          <w:lang w:val="en-GB"/>
        </w:rPr>
        <w:t xml:space="preserve">climate change </w:t>
      </w:r>
      <w:r w:rsidR="77CCB96A" w:rsidRPr="5575EBFC">
        <w:rPr>
          <w:lang w:val="en-GB"/>
        </w:rPr>
        <w:t>and</w:t>
      </w:r>
      <w:r w:rsidRPr="5575EBFC">
        <w:rPr>
          <w:lang w:val="en-GB"/>
        </w:rPr>
        <w:t xml:space="preserve"> </w:t>
      </w:r>
      <w:r w:rsidR="4A69846C" w:rsidRPr="5575EBFC">
        <w:rPr>
          <w:lang w:val="en-GB"/>
        </w:rPr>
        <w:t>invasive alien species</w:t>
      </w:r>
      <w:r w:rsidRPr="5575EBFC">
        <w:rPr>
          <w:lang w:val="en-GB"/>
        </w:rPr>
        <w:t xml:space="preserve"> are </w:t>
      </w:r>
      <w:r w:rsidR="77CCB96A" w:rsidRPr="5575EBFC">
        <w:rPr>
          <w:lang w:val="en-GB"/>
        </w:rPr>
        <w:t xml:space="preserve">all </w:t>
      </w:r>
      <w:r w:rsidRPr="5575EBFC">
        <w:rPr>
          <w:lang w:val="en-GB"/>
        </w:rPr>
        <w:t>more influential in the establishment and spread of invasive alien species (</w:t>
      </w:r>
      <w:r w:rsidRPr="5575EBFC">
        <w:rPr>
          <w:i/>
          <w:iCs/>
          <w:lang w:val="en-GB"/>
        </w:rPr>
        <w:t>established but incomplete</w:t>
      </w:r>
      <w:r w:rsidRPr="5575EBFC">
        <w:rPr>
          <w:lang w:val="en-GB"/>
        </w:rPr>
        <w:t>)</w:t>
      </w:r>
      <w:r w:rsidR="2C3A9132" w:rsidRPr="5575EBFC">
        <w:rPr>
          <w:lang w:val="en-GB"/>
        </w:rPr>
        <w:t xml:space="preserve"> </w:t>
      </w:r>
      <w:r w:rsidRPr="5575EBFC">
        <w:rPr>
          <w:lang w:val="en-GB"/>
        </w:rPr>
        <w:t>{3.3</w:t>
      </w:r>
      <w:r w:rsidR="3F8CE948" w:rsidRPr="5575EBFC">
        <w:rPr>
          <w:lang w:val="en-GB"/>
        </w:rPr>
        <w:t>,</w:t>
      </w:r>
      <w:r w:rsidRPr="5575EBFC">
        <w:rPr>
          <w:lang w:val="en-GB"/>
        </w:rPr>
        <w:t xml:space="preserve"> </w:t>
      </w:r>
      <w:r w:rsidR="502425E2" w:rsidRPr="5575EBFC">
        <w:rPr>
          <w:lang w:val="en-GB"/>
        </w:rPr>
        <w:t>3.6.2</w:t>
      </w:r>
      <w:r w:rsidRPr="5575EBFC">
        <w:rPr>
          <w:lang w:val="en-GB"/>
        </w:rPr>
        <w:t xml:space="preserve">}. </w:t>
      </w:r>
    </w:p>
    <w:p w14:paraId="707A2E1F" w14:textId="0CC545EF" w:rsidR="00BF7D60" w:rsidRPr="00DA249F" w:rsidRDefault="6E0B9FFB" w:rsidP="004826A3">
      <w:pPr>
        <w:pStyle w:val="ListParagraph"/>
        <w:numPr>
          <w:ilvl w:val="0"/>
          <w:numId w:val="12"/>
        </w:numPr>
        <w:rPr>
          <w:lang w:val="en-GB"/>
        </w:rPr>
      </w:pPr>
      <w:r w:rsidRPr="728F2DAF">
        <w:rPr>
          <w:b/>
          <w:bCs/>
          <w:lang w:val="en-GB"/>
        </w:rPr>
        <w:t xml:space="preserve">The magnitude of </w:t>
      </w:r>
      <w:r w:rsidR="247C4973" w:rsidRPr="728F2DAF">
        <w:rPr>
          <w:b/>
          <w:bCs/>
          <w:lang w:val="en-GB"/>
        </w:rPr>
        <w:t xml:space="preserve">most </w:t>
      </w:r>
      <w:r w:rsidR="067C1E4A" w:rsidRPr="728F2DAF">
        <w:rPr>
          <w:b/>
          <w:bCs/>
          <w:lang w:val="en-GB"/>
        </w:rPr>
        <w:t>drivers of change</w:t>
      </w:r>
      <w:r w:rsidR="07C75AC4" w:rsidRPr="728F2DAF">
        <w:rPr>
          <w:b/>
          <w:bCs/>
          <w:lang w:val="en-GB"/>
        </w:rPr>
        <w:t xml:space="preserve"> in nature</w:t>
      </w:r>
      <w:r w:rsidRPr="728F2DAF">
        <w:rPr>
          <w:b/>
          <w:bCs/>
          <w:lang w:val="en-GB"/>
        </w:rPr>
        <w:t xml:space="preserve"> have increased </w:t>
      </w:r>
      <w:r w:rsidR="7949946E" w:rsidRPr="728F2DAF">
        <w:rPr>
          <w:b/>
          <w:bCs/>
          <w:lang w:val="en-GB"/>
        </w:rPr>
        <w:t>significantly</w:t>
      </w:r>
      <w:r w:rsidRPr="728F2DAF">
        <w:rPr>
          <w:b/>
          <w:bCs/>
          <w:lang w:val="en-GB"/>
        </w:rPr>
        <w:t xml:space="preserve"> since 1950</w:t>
      </w:r>
      <w:r w:rsidR="49B2CB45" w:rsidRPr="728F2DAF">
        <w:rPr>
          <w:b/>
          <w:bCs/>
          <w:lang w:val="en-GB"/>
        </w:rPr>
        <w:t>,</w:t>
      </w:r>
      <w:r w:rsidR="1173FA36" w:rsidRPr="728F2DAF">
        <w:rPr>
          <w:b/>
          <w:bCs/>
          <w:lang w:val="en-GB"/>
        </w:rPr>
        <w:t xml:space="preserve"> </w:t>
      </w:r>
      <w:r w:rsidR="2199242E" w:rsidRPr="728F2DAF">
        <w:rPr>
          <w:b/>
          <w:bCs/>
          <w:lang w:val="en-GB"/>
        </w:rPr>
        <w:t>contribut</w:t>
      </w:r>
      <w:r w:rsidR="59156E09" w:rsidRPr="728F2DAF">
        <w:rPr>
          <w:b/>
          <w:bCs/>
          <w:lang w:val="en-GB"/>
        </w:rPr>
        <w:t>ing</w:t>
      </w:r>
      <w:r w:rsidR="2199242E" w:rsidRPr="728F2DAF">
        <w:rPr>
          <w:b/>
          <w:bCs/>
          <w:lang w:val="en-GB"/>
        </w:rPr>
        <w:t xml:space="preserve"> to the </w:t>
      </w:r>
      <w:r w:rsidR="00BC3E6B">
        <w:rPr>
          <w:b/>
          <w:bCs/>
          <w:lang w:val="en-GB"/>
        </w:rPr>
        <w:t>increase of invasive alien species</w:t>
      </w:r>
      <w:r w:rsidR="1173FA36" w:rsidRPr="728F2DAF">
        <w:rPr>
          <w:b/>
          <w:bCs/>
          <w:lang w:val="en-GB"/>
        </w:rPr>
        <w:t xml:space="preserve"> globally</w:t>
      </w:r>
      <w:r w:rsidR="3F2B1BC5" w:rsidRPr="728F2DAF">
        <w:rPr>
          <w:b/>
          <w:bCs/>
          <w:lang w:val="en-GB"/>
        </w:rPr>
        <w:t xml:space="preserve"> (</w:t>
      </w:r>
      <w:r w:rsidR="3F2B1BC5" w:rsidRPr="728F2DAF">
        <w:rPr>
          <w:b/>
          <w:bCs/>
          <w:i/>
          <w:iCs/>
          <w:lang w:val="en-GB"/>
        </w:rPr>
        <w:t>well established</w:t>
      </w:r>
      <w:r w:rsidR="3F2B1BC5" w:rsidRPr="728F2DAF">
        <w:rPr>
          <w:b/>
          <w:bCs/>
          <w:lang w:val="en-GB"/>
        </w:rPr>
        <w:t>)</w:t>
      </w:r>
      <w:r w:rsidR="7EDC62DB" w:rsidRPr="728F2DAF">
        <w:rPr>
          <w:b/>
          <w:bCs/>
          <w:lang w:val="en-GB"/>
        </w:rPr>
        <w:t xml:space="preserve"> {3.1.</w:t>
      </w:r>
      <w:r w:rsidR="6A488201" w:rsidRPr="728F2DAF">
        <w:rPr>
          <w:b/>
          <w:bCs/>
          <w:lang w:val="en-GB"/>
        </w:rPr>
        <w:t>1</w:t>
      </w:r>
      <w:r w:rsidR="7EDC62DB" w:rsidRPr="728F2DAF">
        <w:rPr>
          <w:b/>
          <w:bCs/>
          <w:lang w:val="en-GB"/>
        </w:rPr>
        <w:t>}</w:t>
      </w:r>
      <w:r w:rsidR="1173FA36" w:rsidRPr="728F2DAF">
        <w:rPr>
          <w:b/>
          <w:bCs/>
          <w:lang w:val="en-GB"/>
        </w:rPr>
        <w:t>.</w:t>
      </w:r>
      <w:r w:rsidR="2100B884" w:rsidRPr="728F2DAF">
        <w:rPr>
          <w:lang w:val="en-GB"/>
        </w:rPr>
        <w:t xml:space="preserve"> </w:t>
      </w:r>
      <w:r w:rsidR="0DCFE393" w:rsidRPr="728F2DAF">
        <w:rPr>
          <w:lang w:val="en-GB"/>
        </w:rPr>
        <w:t>Recent decades have been characterized by</w:t>
      </w:r>
      <w:r w:rsidR="2100B884" w:rsidRPr="728F2DAF">
        <w:rPr>
          <w:lang w:val="en-GB"/>
        </w:rPr>
        <w:t xml:space="preserve"> increases in global trade and </w:t>
      </w:r>
      <w:r w:rsidR="18515002" w:rsidRPr="728F2DAF">
        <w:rPr>
          <w:lang w:val="en-GB"/>
        </w:rPr>
        <w:t>trave</w:t>
      </w:r>
      <w:r w:rsidR="3F8E435B" w:rsidRPr="728F2DAF">
        <w:rPr>
          <w:lang w:val="en-GB"/>
        </w:rPr>
        <w:t>l</w:t>
      </w:r>
      <w:r w:rsidR="362D8DDF" w:rsidRPr="728F2DAF">
        <w:rPr>
          <w:lang w:val="en-GB"/>
        </w:rPr>
        <w:t xml:space="preserve">, human population </w:t>
      </w:r>
      <w:r w:rsidR="6DD145B4" w:rsidRPr="728F2DAF">
        <w:rPr>
          <w:lang w:val="en-GB"/>
        </w:rPr>
        <w:t>size</w:t>
      </w:r>
      <w:r w:rsidR="362D8DDF" w:rsidRPr="728F2DAF">
        <w:rPr>
          <w:lang w:val="en-GB"/>
        </w:rPr>
        <w:t xml:space="preserve"> and </w:t>
      </w:r>
      <w:r w:rsidR="11888A10" w:rsidRPr="728F2DAF">
        <w:rPr>
          <w:lang w:val="en-GB"/>
        </w:rPr>
        <w:t>urbanization</w:t>
      </w:r>
      <w:r w:rsidR="362D8DDF" w:rsidRPr="728F2DAF">
        <w:rPr>
          <w:lang w:val="en-GB"/>
        </w:rPr>
        <w:t xml:space="preserve">, </w:t>
      </w:r>
      <w:r w:rsidR="48EAE5C2" w:rsidRPr="728F2DAF">
        <w:rPr>
          <w:lang w:val="en-GB"/>
        </w:rPr>
        <w:t xml:space="preserve">land- and sea-use change, habitat </w:t>
      </w:r>
      <w:r w:rsidR="51015762" w:rsidRPr="728F2DAF">
        <w:rPr>
          <w:lang w:val="en-GB"/>
        </w:rPr>
        <w:t xml:space="preserve">and biodiversity loss and </w:t>
      </w:r>
      <w:r w:rsidR="48EAE5C2" w:rsidRPr="728F2DAF">
        <w:rPr>
          <w:lang w:val="en-GB"/>
        </w:rPr>
        <w:t xml:space="preserve">degradation, </w:t>
      </w:r>
      <w:r w:rsidR="6C601ABB" w:rsidRPr="728F2DAF">
        <w:rPr>
          <w:rStyle w:val="normaltextrun"/>
          <w:color w:val="000000" w:themeColor="text1"/>
          <w:lang w:val="en-GB"/>
        </w:rPr>
        <w:t>direct exploitation of natural resources</w:t>
      </w:r>
      <w:r w:rsidR="32750CA0" w:rsidRPr="728F2DAF">
        <w:rPr>
          <w:lang w:val="en-GB"/>
        </w:rPr>
        <w:t xml:space="preserve"> </w:t>
      </w:r>
      <w:r w:rsidR="0BB325DF" w:rsidRPr="728F2DAF">
        <w:rPr>
          <w:lang w:val="en-GB"/>
        </w:rPr>
        <w:t xml:space="preserve">and </w:t>
      </w:r>
      <w:r w:rsidR="32750CA0" w:rsidRPr="728F2DAF">
        <w:rPr>
          <w:lang w:val="en-GB"/>
        </w:rPr>
        <w:t>pollution</w:t>
      </w:r>
      <w:r w:rsidR="0BB325DF" w:rsidRPr="728F2DAF">
        <w:rPr>
          <w:lang w:val="en-GB"/>
        </w:rPr>
        <w:t>,</w:t>
      </w:r>
      <w:r w:rsidR="362D8DDF" w:rsidRPr="728F2DAF">
        <w:rPr>
          <w:lang w:val="en-GB"/>
        </w:rPr>
        <w:t xml:space="preserve"> </w:t>
      </w:r>
      <w:r w:rsidR="6DD145B4" w:rsidRPr="728F2DAF">
        <w:rPr>
          <w:lang w:val="en-GB"/>
        </w:rPr>
        <w:t>and</w:t>
      </w:r>
      <w:r w:rsidR="09FF6C7F" w:rsidRPr="728F2DAF">
        <w:rPr>
          <w:lang w:val="en-GB"/>
        </w:rPr>
        <w:t xml:space="preserve"> global temperatures </w:t>
      </w:r>
      <w:r w:rsidR="6DD145B4" w:rsidRPr="728F2DAF">
        <w:rPr>
          <w:lang w:val="en-GB"/>
        </w:rPr>
        <w:t xml:space="preserve">along with shifts in </w:t>
      </w:r>
      <w:r w:rsidR="09FF6C7F" w:rsidRPr="728F2DAF">
        <w:rPr>
          <w:lang w:val="en-GB"/>
        </w:rPr>
        <w:t>precipitation</w:t>
      </w:r>
      <w:r w:rsidR="7592F1C9" w:rsidRPr="728F2DAF">
        <w:rPr>
          <w:lang w:val="en-GB"/>
        </w:rPr>
        <w:t xml:space="preserve"> </w:t>
      </w:r>
      <w:r w:rsidR="6DD145B4" w:rsidRPr="728F2DAF">
        <w:rPr>
          <w:lang w:val="en-GB"/>
        </w:rPr>
        <w:t>patterns</w:t>
      </w:r>
      <w:r w:rsidR="7592F1C9" w:rsidRPr="728F2DAF">
        <w:rPr>
          <w:lang w:val="en-GB"/>
        </w:rPr>
        <w:t xml:space="preserve"> (</w:t>
      </w:r>
      <w:r w:rsidR="7592F1C9" w:rsidRPr="728F2DAF">
        <w:rPr>
          <w:i/>
          <w:iCs/>
          <w:lang w:val="en-GB"/>
        </w:rPr>
        <w:t>well established</w:t>
      </w:r>
      <w:r w:rsidR="51F187E2" w:rsidRPr="728F2DAF">
        <w:rPr>
          <w:lang w:val="en-GB"/>
        </w:rPr>
        <w:t>) {3.1.</w:t>
      </w:r>
      <w:r w:rsidR="6A488201" w:rsidRPr="728F2DAF">
        <w:rPr>
          <w:lang w:val="en-GB"/>
        </w:rPr>
        <w:t>1</w:t>
      </w:r>
      <w:r w:rsidR="001F191D">
        <w:rPr>
          <w:lang w:val="en-GB"/>
        </w:rPr>
        <w:t>}</w:t>
      </w:r>
      <w:r w:rsidR="325F5999" w:rsidRPr="728F2DAF">
        <w:rPr>
          <w:lang w:val="en-GB"/>
        </w:rPr>
        <w:t xml:space="preserve"> </w:t>
      </w:r>
      <w:r w:rsidR="001F191D">
        <w:rPr>
          <w:lang w:val="en-GB"/>
        </w:rPr>
        <w:t>(</w:t>
      </w:r>
      <w:r w:rsidR="00E23B69">
        <w:rPr>
          <w:lang w:val="en-GB"/>
        </w:rPr>
        <w:t>Figure</w:t>
      </w:r>
      <w:r w:rsidR="325F5999" w:rsidRPr="728F2DAF">
        <w:rPr>
          <w:lang w:val="en-GB"/>
        </w:rPr>
        <w:t xml:space="preserve"> 3.1</w:t>
      </w:r>
      <w:r w:rsidR="001F191D">
        <w:rPr>
          <w:lang w:val="en-GB"/>
        </w:rPr>
        <w:t>)</w:t>
      </w:r>
      <w:r w:rsidR="001F191D" w:rsidRPr="728F2DAF">
        <w:rPr>
          <w:lang w:val="en-GB"/>
        </w:rPr>
        <w:t xml:space="preserve">. </w:t>
      </w:r>
      <w:r w:rsidR="0DCFE393" w:rsidRPr="728F2DAF">
        <w:rPr>
          <w:lang w:val="en-GB"/>
        </w:rPr>
        <w:t>This sustained growth</w:t>
      </w:r>
      <w:r w:rsidR="1EC61C34" w:rsidRPr="728F2DAF">
        <w:rPr>
          <w:lang w:val="en-GB"/>
        </w:rPr>
        <w:t xml:space="preserve"> in</w:t>
      </w:r>
      <w:r w:rsidR="2199242E" w:rsidRPr="728F2DAF">
        <w:rPr>
          <w:lang w:val="en-GB"/>
        </w:rPr>
        <w:t xml:space="preserve"> </w:t>
      </w:r>
      <w:r w:rsidR="6DD145B4" w:rsidRPr="728F2DAF">
        <w:rPr>
          <w:lang w:val="en-GB"/>
        </w:rPr>
        <w:t xml:space="preserve">many </w:t>
      </w:r>
      <w:r w:rsidR="11D9563F" w:rsidRPr="728F2DAF">
        <w:rPr>
          <w:lang w:val="en-GB"/>
        </w:rPr>
        <w:t xml:space="preserve">of the </w:t>
      </w:r>
      <w:r w:rsidR="6DD145B4" w:rsidRPr="728F2DAF">
        <w:rPr>
          <w:lang w:val="en-GB"/>
        </w:rPr>
        <w:t xml:space="preserve">key </w:t>
      </w:r>
      <w:r w:rsidR="1EC61C34" w:rsidRPr="728F2DAF">
        <w:rPr>
          <w:lang w:val="en-GB"/>
        </w:rPr>
        <w:t xml:space="preserve">drivers </w:t>
      </w:r>
      <w:r w:rsidR="6DD145B4" w:rsidRPr="728F2DAF">
        <w:rPr>
          <w:lang w:val="en-GB"/>
        </w:rPr>
        <w:t>affect</w:t>
      </w:r>
      <w:r w:rsidR="11D9563F" w:rsidRPr="728F2DAF">
        <w:rPr>
          <w:lang w:val="en-GB"/>
        </w:rPr>
        <w:t>ing</w:t>
      </w:r>
      <w:r w:rsidR="6DD145B4" w:rsidRPr="728F2DAF">
        <w:rPr>
          <w:lang w:val="en-GB"/>
        </w:rPr>
        <w:t xml:space="preserve"> </w:t>
      </w:r>
      <w:r w:rsidR="17922BD4" w:rsidRPr="728F2DAF">
        <w:rPr>
          <w:lang w:val="en-GB"/>
        </w:rPr>
        <w:t>the transport, introduction, establishment</w:t>
      </w:r>
      <w:r w:rsidR="00BC1CA6">
        <w:rPr>
          <w:lang w:val="en-GB"/>
        </w:rPr>
        <w:t xml:space="preserve"> and</w:t>
      </w:r>
      <w:r w:rsidR="17922BD4" w:rsidRPr="728F2DAF">
        <w:rPr>
          <w:lang w:val="en-GB"/>
        </w:rPr>
        <w:t xml:space="preserve"> spread of invasive alien species </w:t>
      </w:r>
      <w:r w:rsidR="7700CF59" w:rsidRPr="728F2DAF">
        <w:rPr>
          <w:lang w:val="en-GB"/>
        </w:rPr>
        <w:t>underlie</w:t>
      </w:r>
      <w:r w:rsidR="215329E3" w:rsidRPr="728F2DAF">
        <w:rPr>
          <w:lang w:val="en-GB"/>
        </w:rPr>
        <w:t>s</w:t>
      </w:r>
      <w:r w:rsidR="7700CF59" w:rsidRPr="728F2DAF">
        <w:rPr>
          <w:lang w:val="en-GB"/>
        </w:rPr>
        <w:t xml:space="preserve"> </w:t>
      </w:r>
      <w:r w:rsidR="0B85CF82" w:rsidRPr="728F2DAF">
        <w:rPr>
          <w:lang w:val="en-GB"/>
        </w:rPr>
        <w:t xml:space="preserve">recent increases in </w:t>
      </w:r>
      <w:r w:rsidR="5CB1D065" w:rsidRPr="728F2DAF">
        <w:rPr>
          <w:lang w:val="en-GB"/>
        </w:rPr>
        <w:t xml:space="preserve">the </w:t>
      </w:r>
      <w:r w:rsidR="17922BD4" w:rsidRPr="728F2DAF">
        <w:rPr>
          <w:lang w:val="en-GB"/>
        </w:rPr>
        <w:t xml:space="preserve">rates of </w:t>
      </w:r>
      <w:r w:rsidR="78B18DE5" w:rsidRPr="728F2DAF">
        <w:rPr>
          <w:lang w:val="en-GB"/>
        </w:rPr>
        <w:t xml:space="preserve">introduction, establishment and spread of </w:t>
      </w:r>
      <w:r w:rsidR="1D6834E0" w:rsidRPr="728F2DAF">
        <w:rPr>
          <w:lang w:val="en-GB"/>
        </w:rPr>
        <w:t>invasive alien species</w:t>
      </w:r>
      <w:r w:rsidR="36816AD7" w:rsidRPr="728F2DAF">
        <w:rPr>
          <w:lang w:val="en-GB"/>
        </w:rPr>
        <w:t xml:space="preserve"> </w:t>
      </w:r>
      <w:r w:rsidR="0B85CF82" w:rsidRPr="728F2DAF">
        <w:rPr>
          <w:lang w:val="en-GB"/>
        </w:rPr>
        <w:t xml:space="preserve">globally </w:t>
      </w:r>
      <w:r w:rsidR="4A4707E2" w:rsidRPr="728F2DAF">
        <w:rPr>
          <w:lang w:val="en-GB"/>
        </w:rPr>
        <w:t>(</w:t>
      </w:r>
      <w:r w:rsidR="4A4707E2" w:rsidRPr="728F2DAF">
        <w:rPr>
          <w:i/>
          <w:iCs/>
          <w:lang w:val="en-GB"/>
        </w:rPr>
        <w:t>well established</w:t>
      </w:r>
      <w:r w:rsidR="4A4707E2" w:rsidRPr="728F2DAF">
        <w:rPr>
          <w:lang w:val="en-GB"/>
        </w:rPr>
        <w:t>) {</w:t>
      </w:r>
      <w:r w:rsidR="1F5617EB" w:rsidRPr="728F2DAF">
        <w:rPr>
          <w:lang w:val="en-GB"/>
        </w:rPr>
        <w:t>3.2.1</w:t>
      </w:r>
      <w:r w:rsidR="549D91FA" w:rsidRPr="728F2DAF">
        <w:rPr>
          <w:lang w:val="en-GB"/>
        </w:rPr>
        <w:t>,</w:t>
      </w:r>
      <w:r w:rsidR="77AF396F" w:rsidRPr="728F2DAF">
        <w:rPr>
          <w:lang w:val="en-GB"/>
        </w:rPr>
        <w:t xml:space="preserve"> </w:t>
      </w:r>
      <w:r w:rsidR="1F5617EB" w:rsidRPr="728F2DAF">
        <w:rPr>
          <w:lang w:val="en-GB"/>
        </w:rPr>
        <w:t>3.6.2</w:t>
      </w:r>
      <w:r w:rsidR="4A4707E2" w:rsidRPr="728F2DAF">
        <w:rPr>
          <w:lang w:val="en-GB"/>
        </w:rPr>
        <w:t>}.</w:t>
      </w:r>
    </w:p>
    <w:p w14:paraId="1A485360" w14:textId="1430DB17" w:rsidR="00711A89" w:rsidRPr="00DA249F" w:rsidRDefault="4C1EB481">
      <w:pPr>
        <w:pStyle w:val="ListParagraph"/>
        <w:numPr>
          <w:ilvl w:val="0"/>
          <w:numId w:val="12"/>
        </w:numPr>
        <w:rPr>
          <w:rFonts w:eastAsia="DengXian"/>
          <w:szCs w:val="24"/>
          <w:lang w:val="en-GB"/>
        </w:rPr>
      </w:pPr>
      <w:r w:rsidRPr="5575EBFC">
        <w:rPr>
          <w:b/>
          <w:bCs/>
          <w:lang w:val="en-GB"/>
        </w:rPr>
        <w:t>International trade is t</w:t>
      </w:r>
      <w:r w:rsidR="4A05A172" w:rsidRPr="5575EBFC">
        <w:rPr>
          <w:b/>
          <w:bCs/>
          <w:lang w:val="en-GB"/>
        </w:rPr>
        <w:t xml:space="preserve">he most significant driver </w:t>
      </w:r>
      <w:r w:rsidR="5B89B143" w:rsidRPr="5575EBFC">
        <w:rPr>
          <w:b/>
          <w:bCs/>
          <w:lang w:val="en-GB"/>
        </w:rPr>
        <w:t xml:space="preserve">responsible for the transport and </w:t>
      </w:r>
      <w:r w:rsidR="7818DD2A" w:rsidRPr="5575EBFC">
        <w:rPr>
          <w:b/>
          <w:bCs/>
          <w:lang w:val="en-GB"/>
        </w:rPr>
        <w:t>introduction</w:t>
      </w:r>
      <w:r w:rsidR="3F8CE948" w:rsidRPr="5575EBFC">
        <w:rPr>
          <w:b/>
          <w:bCs/>
          <w:lang w:val="en-GB"/>
        </w:rPr>
        <w:t xml:space="preserve"> </w:t>
      </w:r>
      <w:r w:rsidR="7818DD2A" w:rsidRPr="5575EBFC">
        <w:rPr>
          <w:b/>
          <w:bCs/>
          <w:lang w:val="en-GB"/>
        </w:rPr>
        <w:t>of invasive alien species</w:t>
      </w:r>
      <w:r w:rsidR="66932E3D" w:rsidRPr="5575EBFC">
        <w:rPr>
          <w:b/>
          <w:bCs/>
          <w:lang w:val="en-GB"/>
        </w:rPr>
        <w:t xml:space="preserve"> across the globe </w:t>
      </w:r>
      <w:r w:rsidR="5004E884" w:rsidRPr="5575EBFC">
        <w:rPr>
          <w:b/>
          <w:bCs/>
          <w:lang w:val="en-GB"/>
        </w:rPr>
        <w:t>(</w:t>
      </w:r>
      <w:r w:rsidR="5004E884" w:rsidRPr="5575EBFC">
        <w:rPr>
          <w:b/>
          <w:bCs/>
          <w:i/>
          <w:iCs/>
          <w:lang w:val="en-GB"/>
        </w:rPr>
        <w:t>well established</w:t>
      </w:r>
      <w:r w:rsidR="5004E884" w:rsidRPr="5575EBFC">
        <w:rPr>
          <w:b/>
          <w:bCs/>
          <w:lang w:val="en-GB"/>
        </w:rPr>
        <w:t>)</w:t>
      </w:r>
      <w:r w:rsidR="28BAC851" w:rsidRPr="5575EBFC">
        <w:rPr>
          <w:b/>
          <w:bCs/>
          <w:lang w:val="en-GB"/>
        </w:rPr>
        <w:t xml:space="preserve"> {3.2.3.1</w:t>
      </w:r>
      <w:r w:rsidR="3F8CE948" w:rsidRPr="5575EBFC">
        <w:rPr>
          <w:b/>
          <w:bCs/>
          <w:lang w:val="en-GB"/>
        </w:rPr>
        <w:t>,</w:t>
      </w:r>
      <w:r w:rsidR="28BAC851" w:rsidRPr="5575EBFC">
        <w:rPr>
          <w:b/>
          <w:bCs/>
          <w:lang w:val="en-GB"/>
        </w:rPr>
        <w:t xml:space="preserve"> </w:t>
      </w:r>
      <w:r w:rsidR="142C3367" w:rsidRPr="5575EBFC">
        <w:rPr>
          <w:b/>
          <w:bCs/>
          <w:lang w:val="en-GB"/>
        </w:rPr>
        <w:t>3.6.2</w:t>
      </w:r>
      <w:r w:rsidR="28BAC851" w:rsidRPr="5575EBFC">
        <w:rPr>
          <w:b/>
          <w:bCs/>
          <w:lang w:val="en-GB"/>
        </w:rPr>
        <w:t>}</w:t>
      </w:r>
      <w:r w:rsidR="4A05A172" w:rsidRPr="5575EBFC">
        <w:rPr>
          <w:b/>
          <w:bCs/>
          <w:lang w:val="en-GB"/>
        </w:rPr>
        <w:t>.</w:t>
      </w:r>
      <w:r w:rsidR="141433A2" w:rsidRPr="5575EBFC">
        <w:rPr>
          <w:lang w:val="en-GB"/>
        </w:rPr>
        <w:t xml:space="preserve"> </w:t>
      </w:r>
      <w:r w:rsidR="4A05A172" w:rsidRPr="5575EBFC">
        <w:rPr>
          <w:lang w:val="en-GB"/>
        </w:rPr>
        <w:t>International trade</w:t>
      </w:r>
      <w:r w:rsidR="7D8C6D48" w:rsidRPr="5575EBFC">
        <w:rPr>
          <w:lang w:val="en-GB"/>
        </w:rPr>
        <w:t>, primarily maritime transport</w:t>
      </w:r>
      <w:r w:rsidR="3D6F1E07" w:rsidRPr="5575EBFC">
        <w:rPr>
          <w:lang w:val="en-GB"/>
        </w:rPr>
        <w:t xml:space="preserve"> of commodities</w:t>
      </w:r>
      <w:r w:rsidR="7D8C6D48" w:rsidRPr="5575EBFC">
        <w:rPr>
          <w:lang w:val="en-GB"/>
        </w:rPr>
        <w:t>,</w:t>
      </w:r>
      <w:r w:rsidR="4A05A172" w:rsidRPr="5575EBFC">
        <w:rPr>
          <w:lang w:val="en-GB"/>
        </w:rPr>
        <w:t xml:space="preserve"> </w:t>
      </w:r>
      <w:r w:rsidR="0156C7F5" w:rsidRPr="5575EBFC">
        <w:rPr>
          <w:lang w:val="en-GB"/>
        </w:rPr>
        <w:t>has been</w:t>
      </w:r>
      <w:r w:rsidR="4A05A172" w:rsidRPr="5575EBFC">
        <w:rPr>
          <w:lang w:val="en-GB"/>
        </w:rPr>
        <w:t xml:space="preserve"> responsible for the transport </w:t>
      </w:r>
      <w:r w:rsidR="14349446" w:rsidRPr="5575EBFC">
        <w:rPr>
          <w:lang w:val="en-GB"/>
        </w:rPr>
        <w:t xml:space="preserve">and introduction of numerous invasive alien </w:t>
      </w:r>
      <w:r w:rsidR="53D9D01B" w:rsidRPr="5575EBFC">
        <w:rPr>
          <w:lang w:val="en-GB"/>
        </w:rPr>
        <w:t xml:space="preserve">species </w:t>
      </w:r>
      <w:r w:rsidR="14349446" w:rsidRPr="5575EBFC">
        <w:rPr>
          <w:lang w:val="en-GB"/>
        </w:rPr>
        <w:t>in both terrestrial and aquatic biomes</w:t>
      </w:r>
      <w:r w:rsidR="32805E82" w:rsidRPr="5575EBFC">
        <w:rPr>
          <w:lang w:val="en-GB"/>
        </w:rPr>
        <w:t xml:space="preserve"> (</w:t>
      </w:r>
      <w:r w:rsidR="32805E82" w:rsidRPr="5575EBFC">
        <w:rPr>
          <w:i/>
          <w:iCs/>
          <w:lang w:val="en-GB"/>
        </w:rPr>
        <w:t>well established</w:t>
      </w:r>
      <w:r w:rsidR="32805E82" w:rsidRPr="5575EBFC">
        <w:rPr>
          <w:lang w:val="en-GB"/>
        </w:rPr>
        <w:t>)</w:t>
      </w:r>
      <w:r w:rsidR="5200584D" w:rsidRPr="5575EBFC">
        <w:rPr>
          <w:i/>
          <w:iCs/>
          <w:lang w:val="en-GB"/>
        </w:rPr>
        <w:t xml:space="preserve"> </w:t>
      </w:r>
      <w:r w:rsidR="32805E82" w:rsidRPr="5575EBFC">
        <w:rPr>
          <w:lang w:val="en-GB"/>
        </w:rPr>
        <w:t>{3.2.3.1}</w:t>
      </w:r>
      <w:r w:rsidR="14349446" w:rsidRPr="5575EBFC">
        <w:rPr>
          <w:lang w:val="en-GB"/>
        </w:rPr>
        <w:t>.</w:t>
      </w:r>
      <w:r w:rsidR="141433A2" w:rsidRPr="5575EBFC">
        <w:rPr>
          <w:lang w:val="en-GB"/>
        </w:rPr>
        <w:t xml:space="preserve"> </w:t>
      </w:r>
      <w:r w:rsidR="14349446" w:rsidRPr="5575EBFC">
        <w:rPr>
          <w:lang w:val="en-GB"/>
        </w:rPr>
        <w:t xml:space="preserve">Invasive </w:t>
      </w:r>
      <w:r w:rsidRPr="5575EBFC">
        <w:rPr>
          <w:lang w:val="en-GB"/>
        </w:rPr>
        <w:t xml:space="preserve">alien </w:t>
      </w:r>
      <w:r w:rsidR="14349446" w:rsidRPr="5575EBFC">
        <w:rPr>
          <w:lang w:val="en-GB"/>
        </w:rPr>
        <w:t>species can be the commodity traded, suc</w:t>
      </w:r>
      <w:r w:rsidR="008C2E50" w:rsidRPr="5575EBFC">
        <w:rPr>
          <w:lang w:val="en-GB"/>
        </w:rPr>
        <w:t>h</w:t>
      </w:r>
      <w:r w:rsidR="14349446" w:rsidRPr="5575EBFC">
        <w:rPr>
          <w:lang w:val="en-GB"/>
        </w:rPr>
        <w:t xml:space="preserve"> as orname</w:t>
      </w:r>
      <w:r w:rsidR="7024BA91" w:rsidRPr="5575EBFC">
        <w:rPr>
          <w:lang w:val="en-GB"/>
        </w:rPr>
        <w:t>n</w:t>
      </w:r>
      <w:r w:rsidR="14349446" w:rsidRPr="5575EBFC">
        <w:rPr>
          <w:lang w:val="en-GB"/>
        </w:rPr>
        <w:t>tal plants, contamina</w:t>
      </w:r>
      <w:r w:rsidR="07ED88B1" w:rsidRPr="5575EBFC">
        <w:rPr>
          <w:lang w:val="en-GB"/>
        </w:rPr>
        <w:t>n</w:t>
      </w:r>
      <w:r w:rsidR="14349446" w:rsidRPr="5575EBFC">
        <w:rPr>
          <w:lang w:val="en-GB"/>
        </w:rPr>
        <w:t>ts of commodities</w:t>
      </w:r>
      <w:r w:rsidR="6E5E5A01" w:rsidRPr="5575EBFC">
        <w:rPr>
          <w:lang w:val="en-GB"/>
        </w:rPr>
        <w:t>,</w:t>
      </w:r>
      <w:r w:rsidR="14349446" w:rsidRPr="5575EBFC">
        <w:rPr>
          <w:lang w:val="en-GB"/>
        </w:rPr>
        <w:t xml:space="preserve"> such</w:t>
      </w:r>
      <w:r w:rsidR="0050E552" w:rsidRPr="5575EBFC">
        <w:rPr>
          <w:lang w:val="en-GB"/>
        </w:rPr>
        <w:t xml:space="preserve"> as weed seed</w:t>
      </w:r>
      <w:r w:rsidR="6D663A05" w:rsidRPr="5575EBFC">
        <w:rPr>
          <w:lang w:val="en-GB"/>
        </w:rPr>
        <w:t>s</w:t>
      </w:r>
      <w:r w:rsidR="0050E552" w:rsidRPr="5575EBFC">
        <w:rPr>
          <w:lang w:val="en-GB"/>
        </w:rPr>
        <w:t xml:space="preserve"> in grain shipments</w:t>
      </w:r>
      <w:r w:rsidR="09B3C6FD" w:rsidRPr="5575EBFC">
        <w:rPr>
          <w:lang w:val="en-GB"/>
        </w:rPr>
        <w:t>,</w:t>
      </w:r>
      <w:r w:rsidR="0050E552" w:rsidRPr="5575EBFC">
        <w:rPr>
          <w:lang w:val="en-GB"/>
        </w:rPr>
        <w:t xml:space="preserve"> or stowaways on shipping containers or vessels</w:t>
      </w:r>
      <w:r w:rsidR="6E5E5A01" w:rsidRPr="5575EBFC">
        <w:rPr>
          <w:lang w:val="en-GB"/>
        </w:rPr>
        <w:t xml:space="preserve">, such as </w:t>
      </w:r>
      <w:r w:rsidR="06BD11F9" w:rsidRPr="5575EBFC">
        <w:rPr>
          <w:lang w:val="en-GB"/>
        </w:rPr>
        <w:t>biofoulants</w:t>
      </w:r>
      <w:r w:rsidR="5B046220" w:rsidRPr="5575EBFC">
        <w:rPr>
          <w:lang w:val="en-GB"/>
        </w:rPr>
        <w:t xml:space="preserve"> (</w:t>
      </w:r>
      <w:r w:rsidR="5B046220" w:rsidRPr="5575EBFC">
        <w:rPr>
          <w:i/>
          <w:iCs/>
          <w:lang w:val="en-GB"/>
        </w:rPr>
        <w:t>well established</w:t>
      </w:r>
      <w:r w:rsidR="5B046220" w:rsidRPr="5575EBFC">
        <w:rPr>
          <w:lang w:val="en-GB"/>
        </w:rPr>
        <w:t>) {3.2.3}</w:t>
      </w:r>
      <w:r w:rsidR="0050E552" w:rsidRPr="5575EBFC">
        <w:rPr>
          <w:lang w:val="en-GB"/>
        </w:rPr>
        <w:t>.</w:t>
      </w:r>
      <w:r w:rsidR="6F88E1E6" w:rsidRPr="5575EBFC">
        <w:rPr>
          <w:lang w:val="en-GB"/>
        </w:rPr>
        <w:t xml:space="preserve"> </w:t>
      </w:r>
      <w:r w:rsidR="63339B70" w:rsidRPr="5575EBFC">
        <w:rPr>
          <w:lang w:val="en-GB"/>
        </w:rPr>
        <w:lastRenderedPageBreak/>
        <w:t xml:space="preserve">Historically, intentional as well as unintentional introductions through </w:t>
      </w:r>
      <w:r w:rsidR="6F88E1E6" w:rsidRPr="5575EBFC">
        <w:rPr>
          <w:lang w:val="en-GB"/>
        </w:rPr>
        <w:t xml:space="preserve">the </w:t>
      </w:r>
      <w:r w:rsidR="63339B70" w:rsidRPr="5575EBFC">
        <w:rPr>
          <w:lang w:val="en-GB"/>
        </w:rPr>
        <w:t xml:space="preserve">release or escape </w:t>
      </w:r>
      <w:r w:rsidR="6F88E1E6" w:rsidRPr="5575EBFC">
        <w:rPr>
          <w:lang w:val="en-GB"/>
        </w:rPr>
        <w:t xml:space="preserve">of </w:t>
      </w:r>
      <w:r w:rsidR="63339B70" w:rsidRPr="5575EBFC">
        <w:rPr>
          <w:lang w:val="en-GB"/>
        </w:rPr>
        <w:t>plants, animals and microbial organisms from</w:t>
      </w:r>
      <w:r w:rsidR="6F88E1E6" w:rsidRPr="5575EBFC">
        <w:rPr>
          <w:lang w:val="en-GB"/>
        </w:rPr>
        <w:t xml:space="preserve"> </w:t>
      </w:r>
      <w:r w:rsidR="63339B70" w:rsidRPr="5575EBFC">
        <w:rPr>
          <w:lang w:val="en-GB"/>
        </w:rPr>
        <w:t>agriculture, aquaculture, forestry, fisheries and non-commercial uses</w:t>
      </w:r>
      <w:r w:rsidR="7B2993BE" w:rsidRPr="5575EBFC">
        <w:rPr>
          <w:lang w:val="en-GB"/>
        </w:rPr>
        <w:t>,</w:t>
      </w:r>
      <w:r w:rsidR="63339B70" w:rsidRPr="5575EBFC">
        <w:rPr>
          <w:lang w:val="en-GB"/>
        </w:rPr>
        <w:t xml:space="preserve"> have resulted in the establishment and spread of alien</w:t>
      </w:r>
      <w:r w:rsidR="7F0029C8" w:rsidRPr="5575EBFC">
        <w:rPr>
          <w:lang w:val="en-GB"/>
        </w:rPr>
        <w:t xml:space="preserve"> species</w:t>
      </w:r>
      <w:r w:rsidR="63339B70" w:rsidRPr="5575EBFC">
        <w:rPr>
          <w:lang w:val="en-GB"/>
        </w:rPr>
        <w:t xml:space="preserve"> in terrestrial, aquatic and marine ecosystems worldwide (</w:t>
      </w:r>
      <w:r w:rsidR="63339B70" w:rsidRPr="5575EBFC">
        <w:rPr>
          <w:i/>
          <w:iCs/>
          <w:lang w:val="en-GB"/>
        </w:rPr>
        <w:t>well established</w:t>
      </w:r>
      <w:r w:rsidR="63339B70" w:rsidRPr="5575EBFC">
        <w:rPr>
          <w:lang w:val="en-GB"/>
        </w:rPr>
        <w:t>) {3.3.</w:t>
      </w:r>
      <w:r w:rsidR="2748C797" w:rsidRPr="5575EBFC">
        <w:rPr>
          <w:lang w:val="en-GB"/>
        </w:rPr>
        <w:t>1</w:t>
      </w:r>
      <w:r w:rsidR="63339B70" w:rsidRPr="5575EBFC">
        <w:rPr>
          <w:lang w:val="en-GB"/>
        </w:rPr>
        <w:t>.</w:t>
      </w:r>
      <w:r w:rsidR="2748C797" w:rsidRPr="5575EBFC">
        <w:rPr>
          <w:lang w:val="en-GB"/>
        </w:rPr>
        <w:t>1</w:t>
      </w:r>
      <w:r w:rsidR="63339B70" w:rsidRPr="5575EBFC">
        <w:rPr>
          <w:lang w:val="en-GB"/>
        </w:rPr>
        <w:t>}.</w:t>
      </w:r>
      <w:r w:rsidR="75AD62D9" w:rsidRPr="5575EBFC">
        <w:rPr>
          <w:lang w:val="en-GB"/>
        </w:rPr>
        <w:t xml:space="preserve"> </w:t>
      </w:r>
      <w:r w:rsidR="5B51B9F9" w:rsidRPr="5575EBFC">
        <w:rPr>
          <w:lang w:val="en-GB"/>
        </w:rPr>
        <w:t>B</w:t>
      </w:r>
      <w:r w:rsidR="209E7B90" w:rsidRPr="5575EBFC">
        <w:rPr>
          <w:lang w:val="en-GB"/>
        </w:rPr>
        <w:t>iofouling and b</w:t>
      </w:r>
      <w:r w:rsidR="27418C02" w:rsidRPr="5575EBFC">
        <w:rPr>
          <w:lang w:val="en-GB"/>
        </w:rPr>
        <w:t xml:space="preserve">allast water discharges have had a major </w:t>
      </w:r>
      <w:r w:rsidR="16C5232C" w:rsidRPr="5575EBFC">
        <w:rPr>
          <w:lang w:val="en-GB"/>
        </w:rPr>
        <w:t>influence</w:t>
      </w:r>
      <w:r w:rsidR="27418C02" w:rsidRPr="5575EBFC">
        <w:rPr>
          <w:lang w:val="en-GB"/>
        </w:rPr>
        <w:t xml:space="preserve"> on </w:t>
      </w:r>
      <w:r w:rsidR="71786090" w:rsidRPr="5575EBFC">
        <w:rPr>
          <w:lang w:val="en-GB"/>
        </w:rPr>
        <w:t xml:space="preserve">biological </w:t>
      </w:r>
      <w:r w:rsidR="27418C02" w:rsidRPr="5575EBFC">
        <w:rPr>
          <w:lang w:val="en-GB"/>
        </w:rPr>
        <w:t xml:space="preserve">invasions in </w:t>
      </w:r>
      <w:r w:rsidR="5744DEF6" w:rsidRPr="5575EBFC">
        <w:rPr>
          <w:lang w:val="en-GB"/>
        </w:rPr>
        <w:t xml:space="preserve">coastal </w:t>
      </w:r>
      <w:r w:rsidR="27418C02" w:rsidRPr="5575EBFC">
        <w:rPr>
          <w:lang w:val="en-GB"/>
        </w:rPr>
        <w:t>marine ecosystems</w:t>
      </w:r>
      <w:r w:rsidR="4DE38477" w:rsidRPr="5575EBFC">
        <w:rPr>
          <w:lang w:val="en-GB"/>
        </w:rPr>
        <w:t xml:space="preserve"> (</w:t>
      </w:r>
      <w:r w:rsidR="4DE38477" w:rsidRPr="5575EBFC">
        <w:rPr>
          <w:i/>
          <w:iCs/>
          <w:lang w:val="en-GB"/>
        </w:rPr>
        <w:t>well established</w:t>
      </w:r>
      <w:r w:rsidR="4DE38477" w:rsidRPr="5575EBFC">
        <w:rPr>
          <w:lang w:val="en-GB"/>
        </w:rPr>
        <w:t>)</w:t>
      </w:r>
      <w:r w:rsidR="5200584D" w:rsidRPr="5575EBFC">
        <w:rPr>
          <w:lang w:val="en-GB"/>
        </w:rPr>
        <w:t xml:space="preserve"> </w:t>
      </w:r>
      <w:r w:rsidR="4DE38477" w:rsidRPr="5575EBFC">
        <w:rPr>
          <w:lang w:val="en-GB"/>
        </w:rPr>
        <w:t>{3.2.3.1}</w:t>
      </w:r>
      <w:r w:rsidR="27418C02" w:rsidRPr="5575EBFC">
        <w:rPr>
          <w:lang w:val="en-GB"/>
        </w:rPr>
        <w:t>.</w:t>
      </w:r>
      <w:r w:rsidR="7EB087A0" w:rsidRPr="5575EBFC">
        <w:rPr>
          <w:lang w:val="en-GB"/>
        </w:rPr>
        <w:t xml:space="preserve"> International</w:t>
      </w:r>
      <w:r w:rsidR="577F1A67" w:rsidRPr="5575EBFC">
        <w:rPr>
          <w:lang w:val="en-GB"/>
        </w:rPr>
        <w:t xml:space="preserve"> trade also influences other </w:t>
      </w:r>
      <w:r w:rsidR="653902EA" w:rsidRPr="5575EBFC">
        <w:rPr>
          <w:lang w:val="en-GB"/>
        </w:rPr>
        <w:t xml:space="preserve">drivers of change </w:t>
      </w:r>
      <w:r w:rsidR="06B7FDD5" w:rsidRPr="5575EBFC">
        <w:rPr>
          <w:lang w:val="en-GB"/>
        </w:rPr>
        <w:t xml:space="preserve">in nature </w:t>
      </w:r>
      <w:r w:rsidR="5D5AD679" w:rsidRPr="5575EBFC">
        <w:rPr>
          <w:lang w:val="en-GB"/>
        </w:rPr>
        <w:t xml:space="preserve">that facilitate </w:t>
      </w:r>
      <w:r w:rsidR="17B14CC0" w:rsidRPr="5575EBFC">
        <w:rPr>
          <w:lang w:val="en-GB"/>
        </w:rPr>
        <w:t xml:space="preserve">biological </w:t>
      </w:r>
      <w:r w:rsidR="5D5AD679" w:rsidRPr="5575EBFC">
        <w:rPr>
          <w:lang w:val="en-GB"/>
        </w:rPr>
        <w:t>invasions</w:t>
      </w:r>
      <w:r w:rsidR="196ECF12" w:rsidRPr="5575EBFC">
        <w:rPr>
          <w:lang w:val="en-GB"/>
        </w:rPr>
        <w:t xml:space="preserve">, </w:t>
      </w:r>
      <w:r w:rsidR="196ECF12" w:rsidRPr="00FC1BA2">
        <w:rPr>
          <w:lang w:val="en-GB"/>
        </w:rPr>
        <w:t>for</w:t>
      </w:r>
      <w:r w:rsidR="196ECF12" w:rsidRPr="5575EBFC">
        <w:rPr>
          <w:lang w:val="en-GB"/>
        </w:rPr>
        <w:t xml:space="preserve"> example</w:t>
      </w:r>
      <w:r w:rsidR="5D5AD679" w:rsidRPr="5575EBFC">
        <w:rPr>
          <w:lang w:val="en-GB"/>
        </w:rPr>
        <w:t xml:space="preserve"> </w:t>
      </w:r>
      <w:r w:rsidR="577F1A67" w:rsidRPr="5575EBFC">
        <w:rPr>
          <w:lang w:val="en-GB"/>
        </w:rPr>
        <w:t xml:space="preserve">by </w:t>
      </w:r>
      <w:r w:rsidR="1621F25A" w:rsidRPr="5575EBFC">
        <w:rPr>
          <w:lang w:val="en-GB"/>
        </w:rPr>
        <w:t>promoting</w:t>
      </w:r>
      <w:r w:rsidR="577F1A67" w:rsidRPr="5575EBFC">
        <w:rPr>
          <w:lang w:val="en-GB"/>
        </w:rPr>
        <w:t xml:space="preserve"> </w:t>
      </w:r>
      <w:r w:rsidR="63982524" w:rsidRPr="5575EBFC">
        <w:rPr>
          <w:lang w:val="en-GB"/>
        </w:rPr>
        <w:t>urbanization</w:t>
      </w:r>
      <w:r w:rsidR="577F1A67" w:rsidRPr="5575EBFC">
        <w:rPr>
          <w:lang w:val="en-GB"/>
        </w:rPr>
        <w:t xml:space="preserve"> around major trade ports, dr</w:t>
      </w:r>
      <w:r w:rsidR="61141768" w:rsidRPr="5575EBFC">
        <w:rPr>
          <w:lang w:val="en-GB"/>
        </w:rPr>
        <w:t xml:space="preserve">iving </w:t>
      </w:r>
      <w:r w:rsidR="0BCB555D" w:rsidRPr="5575EBFC">
        <w:rPr>
          <w:lang w:val="en-GB"/>
        </w:rPr>
        <w:t>land</w:t>
      </w:r>
      <w:r w:rsidR="5B046220" w:rsidRPr="5575EBFC">
        <w:rPr>
          <w:lang w:val="en-GB"/>
        </w:rPr>
        <w:t>- and sea-</w:t>
      </w:r>
      <w:r w:rsidR="0BCB555D" w:rsidRPr="5575EBFC">
        <w:rPr>
          <w:lang w:val="en-GB"/>
        </w:rPr>
        <w:t>use change</w:t>
      </w:r>
      <w:r w:rsidR="62627A1A" w:rsidRPr="5575EBFC">
        <w:rPr>
          <w:lang w:val="en-GB"/>
        </w:rPr>
        <w:t>s</w:t>
      </w:r>
      <w:r w:rsidR="0BCB555D" w:rsidRPr="5575EBFC">
        <w:rPr>
          <w:lang w:val="en-GB"/>
        </w:rPr>
        <w:t xml:space="preserve"> and </w:t>
      </w:r>
      <w:r w:rsidR="0C111A97" w:rsidRPr="5575EBFC">
        <w:rPr>
          <w:rStyle w:val="normaltextrun"/>
          <w:color w:val="000000" w:themeColor="text1"/>
          <w:lang w:val="en-GB"/>
        </w:rPr>
        <w:t>direct exploitation of natural resources</w:t>
      </w:r>
      <w:r w:rsidR="61141768" w:rsidRPr="5575EBFC">
        <w:rPr>
          <w:lang w:val="en-GB"/>
        </w:rPr>
        <w:t xml:space="preserve"> to meet international market demands</w:t>
      </w:r>
      <w:r w:rsidR="2EC44B2C" w:rsidRPr="5575EBFC">
        <w:rPr>
          <w:lang w:val="en-GB"/>
        </w:rPr>
        <w:t>,</w:t>
      </w:r>
      <w:r w:rsidR="61141768" w:rsidRPr="5575EBFC">
        <w:rPr>
          <w:lang w:val="en-GB"/>
        </w:rPr>
        <w:t xml:space="preserve"> and increas</w:t>
      </w:r>
      <w:r w:rsidR="70FD23F3" w:rsidRPr="5575EBFC">
        <w:rPr>
          <w:lang w:val="en-GB"/>
        </w:rPr>
        <w:t>ing</w:t>
      </w:r>
      <w:r w:rsidR="61141768" w:rsidRPr="5575EBFC">
        <w:rPr>
          <w:lang w:val="en-GB"/>
        </w:rPr>
        <w:t xml:space="preserve"> atmospheric and aquatic pollution</w:t>
      </w:r>
      <w:r w:rsidR="7475B598" w:rsidRPr="5575EBFC">
        <w:rPr>
          <w:lang w:val="en-GB"/>
        </w:rPr>
        <w:t xml:space="preserve"> (</w:t>
      </w:r>
      <w:r w:rsidR="7475B598" w:rsidRPr="5575EBFC">
        <w:rPr>
          <w:i/>
          <w:iCs/>
          <w:lang w:val="en-GB"/>
        </w:rPr>
        <w:t>well</w:t>
      </w:r>
      <w:r w:rsidR="7475B598" w:rsidRPr="5575EBFC">
        <w:rPr>
          <w:lang w:val="en-GB"/>
        </w:rPr>
        <w:t xml:space="preserve"> </w:t>
      </w:r>
      <w:r w:rsidR="7475B598" w:rsidRPr="5575EBFC">
        <w:rPr>
          <w:i/>
          <w:iCs/>
          <w:lang w:val="en-GB"/>
        </w:rPr>
        <w:t>established</w:t>
      </w:r>
      <w:r w:rsidR="7475B598" w:rsidRPr="5575EBFC">
        <w:rPr>
          <w:lang w:val="en-GB"/>
        </w:rPr>
        <w:t>)</w:t>
      </w:r>
      <w:r w:rsidR="5200584D" w:rsidRPr="5575EBFC">
        <w:rPr>
          <w:i/>
          <w:iCs/>
          <w:lang w:val="en-GB"/>
        </w:rPr>
        <w:t xml:space="preserve"> </w:t>
      </w:r>
      <w:r w:rsidR="7475B598" w:rsidRPr="5575EBFC">
        <w:rPr>
          <w:lang w:val="en-GB"/>
        </w:rPr>
        <w:t>{3.2.3.1</w:t>
      </w:r>
      <w:r w:rsidR="3F8CE948" w:rsidRPr="5575EBFC">
        <w:rPr>
          <w:lang w:val="en-GB"/>
        </w:rPr>
        <w:t>,</w:t>
      </w:r>
      <w:r w:rsidR="42F96FAF" w:rsidRPr="5575EBFC">
        <w:rPr>
          <w:lang w:val="en-GB"/>
        </w:rPr>
        <w:t xml:space="preserve"> 3.2.</w:t>
      </w:r>
      <w:r w:rsidR="5F01AA1E" w:rsidRPr="5575EBFC">
        <w:rPr>
          <w:lang w:val="en-GB"/>
        </w:rPr>
        <w:t>2.3</w:t>
      </w:r>
      <w:r w:rsidR="3F8CE948" w:rsidRPr="5575EBFC">
        <w:rPr>
          <w:lang w:val="en-GB"/>
        </w:rPr>
        <w:t>,</w:t>
      </w:r>
      <w:r w:rsidR="42F96FAF" w:rsidRPr="5575EBFC">
        <w:rPr>
          <w:lang w:val="en-GB"/>
        </w:rPr>
        <w:t xml:space="preserve"> 3.3.1</w:t>
      </w:r>
      <w:r w:rsidR="3F8CE948" w:rsidRPr="5575EBFC">
        <w:rPr>
          <w:lang w:val="en-GB"/>
        </w:rPr>
        <w:t>,</w:t>
      </w:r>
      <w:r w:rsidR="42F96FAF" w:rsidRPr="5575EBFC">
        <w:rPr>
          <w:lang w:val="en-GB"/>
        </w:rPr>
        <w:t xml:space="preserve"> 3.3.2</w:t>
      </w:r>
      <w:r w:rsidR="3F8CE948" w:rsidRPr="5575EBFC">
        <w:rPr>
          <w:lang w:val="en-GB"/>
        </w:rPr>
        <w:t>,</w:t>
      </w:r>
      <w:r w:rsidR="42F96FAF" w:rsidRPr="5575EBFC">
        <w:rPr>
          <w:lang w:val="en-GB"/>
        </w:rPr>
        <w:t xml:space="preserve"> 3.3.3</w:t>
      </w:r>
      <w:r w:rsidR="7475B598" w:rsidRPr="5575EBFC">
        <w:rPr>
          <w:lang w:val="en-GB"/>
        </w:rPr>
        <w:t>}</w:t>
      </w:r>
      <w:r w:rsidR="61141768" w:rsidRPr="5575EBFC">
        <w:rPr>
          <w:lang w:val="en-GB"/>
        </w:rPr>
        <w:t>.</w:t>
      </w:r>
      <w:r w:rsidR="141433A2" w:rsidRPr="5575EBFC">
        <w:rPr>
          <w:lang w:val="en-GB"/>
        </w:rPr>
        <w:t xml:space="preserve"> </w:t>
      </w:r>
    </w:p>
    <w:p w14:paraId="63B343F1" w14:textId="5518AE0C" w:rsidR="00711A89" w:rsidRPr="00DA249F" w:rsidRDefault="4C1EB481" w:rsidP="5575EBFC">
      <w:pPr>
        <w:pStyle w:val="ListParagraph"/>
        <w:numPr>
          <w:ilvl w:val="0"/>
          <w:numId w:val="12"/>
        </w:numPr>
        <w:rPr>
          <w:rFonts w:asciiTheme="minorHAnsi" w:hAnsiTheme="minorHAnsi" w:cstheme="minorBidi"/>
          <w:lang w:val="en-GB"/>
        </w:rPr>
      </w:pPr>
      <w:r w:rsidRPr="5575EBFC">
        <w:rPr>
          <w:b/>
          <w:bCs/>
          <w:lang w:val="en-GB"/>
        </w:rPr>
        <w:t>Land-use change</w:t>
      </w:r>
      <w:r w:rsidR="0865DBF6" w:rsidRPr="5575EBFC">
        <w:rPr>
          <w:b/>
          <w:bCs/>
          <w:lang w:val="en-GB"/>
        </w:rPr>
        <w:t>s</w:t>
      </w:r>
      <w:r w:rsidRPr="5575EBFC">
        <w:rPr>
          <w:b/>
          <w:bCs/>
          <w:lang w:val="en-GB"/>
        </w:rPr>
        <w:t xml:space="preserve"> are the </w:t>
      </w:r>
      <w:r w:rsidR="73E00726" w:rsidRPr="5575EBFC">
        <w:rPr>
          <w:b/>
          <w:bCs/>
          <w:lang w:val="en-GB"/>
        </w:rPr>
        <w:t>most significant driver</w:t>
      </w:r>
      <w:r w:rsidRPr="5575EBFC">
        <w:rPr>
          <w:b/>
          <w:bCs/>
          <w:lang w:val="en-GB"/>
        </w:rPr>
        <w:t>s</w:t>
      </w:r>
      <w:r w:rsidR="73E00726" w:rsidRPr="5575EBFC">
        <w:rPr>
          <w:b/>
          <w:bCs/>
          <w:lang w:val="en-GB"/>
        </w:rPr>
        <w:t xml:space="preserve"> accelerat</w:t>
      </w:r>
      <w:r w:rsidR="2615F84E" w:rsidRPr="5575EBFC">
        <w:rPr>
          <w:b/>
          <w:bCs/>
          <w:lang w:val="en-GB"/>
        </w:rPr>
        <w:t>ing</w:t>
      </w:r>
      <w:r w:rsidR="73E00726" w:rsidRPr="5575EBFC">
        <w:rPr>
          <w:b/>
          <w:bCs/>
          <w:lang w:val="en-GB"/>
        </w:rPr>
        <w:t xml:space="preserve"> the establishment and spread of invasive alien species </w:t>
      </w:r>
      <w:r w:rsidR="047C02B8" w:rsidRPr="5575EBFC">
        <w:rPr>
          <w:b/>
          <w:bCs/>
          <w:lang w:val="en-GB"/>
        </w:rPr>
        <w:t>(</w:t>
      </w:r>
      <w:r w:rsidR="047C02B8" w:rsidRPr="5575EBFC">
        <w:rPr>
          <w:b/>
          <w:bCs/>
          <w:i/>
          <w:iCs/>
          <w:lang w:val="en-GB"/>
        </w:rPr>
        <w:t>well established</w:t>
      </w:r>
      <w:r w:rsidR="047C02B8" w:rsidRPr="5575EBFC">
        <w:rPr>
          <w:b/>
          <w:bCs/>
          <w:lang w:val="en-GB"/>
        </w:rPr>
        <w:t>)</w:t>
      </w:r>
      <w:r w:rsidR="04B98A8E" w:rsidRPr="5575EBFC">
        <w:rPr>
          <w:b/>
          <w:bCs/>
          <w:lang w:val="en-GB"/>
        </w:rPr>
        <w:t xml:space="preserve"> {3.3.1</w:t>
      </w:r>
      <w:r w:rsidR="3F8CE948" w:rsidRPr="5575EBFC">
        <w:rPr>
          <w:b/>
          <w:bCs/>
          <w:lang w:val="en-GB"/>
        </w:rPr>
        <w:t>,</w:t>
      </w:r>
      <w:r w:rsidR="04B98A8E" w:rsidRPr="5575EBFC">
        <w:rPr>
          <w:b/>
          <w:bCs/>
          <w:lang w:val="en-GB"/>
        </w:rPr>
        <w:t xml:space="preserve"> </w:t>
      </w:r>
      <w:r w:rsidR="426AED84" w:rsidRPr="5575EBFC">
        <w:rPr>
          <w:b/>
          <w:bCs/>
          <w:lang w:val="en-GB"/>
        </w:rPr>
        <w:t>3.6.2</w:t>
      </w:r>
      <w:r w:rsidR="04B98A8E" w:rsidRPr="5575EBFC">
        <w:rPr>
          <w:b/>
          <w:bCs/>
          <w:lang w:val="en-GB"/>
        </w:rPr>
        <w:t>}</w:t>
      </w:r>
      <w:r w:rsidR="047C02B8" w:rsidRPr="5575EBFC">
        <w:rPr>
          <w:b/>
          <w:bCs/>
          <w:lang w:val="en-GB"/>
        </w:rPr>
        <w:t>.</w:t>
      </w:r>
      <w:r w:rsidR="75AD62D9" w:rsidRPr="5575EBFC">
        <w:rPr>
          <w:lang w:val="en-GB"/>
        </w:rPr>
        <w:t xml:space="preserve"> </w:t>
      </w:r>
      <w:r w:rsidR="43488F79" w:rsidRPr="5575EBFC">
        <w:rPr>
          <w:lang w:val="en-GB"/>
        </w:rPr>
        <w:t>Lan</w:t>
      </w:r>
      <w:r w:rsidR="00854F23" w:rsidRPr="5575EBFC">
        <w:rPr>
          <w:lang w:val="en-GB"/>
        </w:rPr>
        <w:t>d</w:t>
      </w:r>
      <w:r w:rsidR="43488F79" w:rsidRPr="5575EBFC">
        <w:rPr>
          <w:lang w:val="en-GB"/>
        </w:rPr>
        <w:t>-use</w:t>
      </w:r>
      <w:r w:rsidR="088FFB44" w:rsidRPr="5575EBFC">
        <w:rPr>
          <w:lang w:val="en-GB"/>
        </w:rPr>
        <w:t xml:space="preserve"> </w:t>
      </w:r>
      <w:r w:rsidR="047C02B8" w:rsidRPr="5575EBFC">
        <w:rPr>
          <w:lang w:val="en-GB"/>
        </w:rPr>
        <w:t>change</w:t>
      </w:r>
      <w:r w:rsidR="035F92CD" w:rsidRPr="5575EBFC">
        <w:rPr>
          <w:lang w:val="en-GB"/>
        </w:rPr>
        <w:t>s</w:t>
      </w:r>
      <w:r w:rsidR="54DB54C5" w:rsidRPr="5575EBFC">
        <w:rPr>
          <w:lang w:val="en-GB"/>
        </w:rPr>
        <w:t xml:space="preserve"> are major drivers </w:t>
      </w:r>
      <w:r w:rsidR="29BA9E88" w:rsidRPr="5575EBFC">
        <w:rPr>
          <w:lang w:val="en-GB"/>
        </w:rPr>
        <w:t xml:space="preserve">facilitating </w:t>
      </w:r>
      <w:r w:rsidR="6CE36BCF" w:rsidRPr="5575EBFC">
        <w:rPr>
          <w:lang w:val="en-GB"/>
        </w:rPr>
        <w:t xml:space="preserve">invasive alien species </w:t>
      </w:r>
      <w:r w:rsidR="1E66D0C8" w:rsidRPr="5575EBFC">
        <w:rPr>
          <w:lang w:val="en-GB"/>
        </w:rPr>
        <w:t>by</w:t>
      </w:r>
      <w:r w:rsidR="223AB34F" w:rsidRPr="5575EBFC">
        <w:rPr>
          <w:lang w:val="en-GB"/>
        </w:rPr>
        <w:t xml:space="preserve"> </w:t>
      </w:r>
      <w:r w:rsidR="035F92CD" w:rsidRPr="5575EBFC">
        <w:rPr>
          <w:lang w:val="en-GB"/>
        </w:rPr>
        <w:t>provid</w:t>
      </w:r>
      <w:r w:rsidR="1CD0A277" w:rsidRPr="5575EBFC">
        <w:rPr>
          <w:lang w:val="en-GB"/>
        </w:rPr>
        <w:t>ing</w:t>
      </w:r>
      <w:r w:rsidR="035F92CD" w:rsidRPr="5575EBFC">
        <w:rPr>
          <w:lang w:val="en-GB"/>
        </w:rPr>
        <w:t xml:space="preserve"> opportunities for coloni</w:t>
      </w:r>
      <w:r w:rsidR="5A153BF2" w:rsidRPr="5575EBFC">
        <w:rPr>
          <w:lang w:val="en-GB"/>
        </w:rPr>
        <w:t>z</w:t>
      </w:r>
      <w:r w:rsidR="035F92CD" w:rsidRPr="5575EBFC">
        <w:rPr>
          <w:lang w:val="en-GB"/>
        </w:rPr>
        <w:t>ation</w:t>
      </w:r>
      <w:r w:rsidR="22BC33B5" w:rsidRPr="5575EBFC">
        <w:rPr>
          <w:lang w:val="en-GB"/>
        </w:rPr>
        <w:t xml:space="preserve">, </w:t>
      </w:r>
      <w:r w:rsidR="7C94F124" w:rsidRPr="5575EBFC">
        <w:rPr>
          <w:lang w:val="en-GB"/>
        </w:rPr>
        <w:t>establishment</w:t>
      </w:r>
      <w:r w:rsidR="009F7404">
        <w:rPr>
          <w:lang w:val="en-GB"/>
        </w:rPr>
        <w:t xml:space="preserve"> and</w:t>
      </w:r>
      <w:r w:rsidR="7C94F124" w:rsidRPr="5575EBFC">
        <w:rPr>
          <w:lang w:val="en-GB"/>
        </w:rPr>
        <w:t xml:space="preserve"> spread of alien species in both terrestrial and coastal environments</w:t>
      </w:r>
      <w:r w:rsidR="223AB34F" w:rsidRPr="5575EBFC">
        <w:rPr>
          <w:lang w:val="en-GB"/>
        </w:rPr>
        <w:t xml:space="preserve"> </w:t>
      </w:r>
      <w:r w:rsidR="534FD0AC" w:rsidRPr="5575EBFC">
        <w:rPr>
          <w:lang w:val="en-GB"/>
        </w:rPr>
        <w:t>worldwide</w:t>
      </w:r>
      <w:r w:rsidR="7C94F124" w:rsidRPr="5575EBFC">
        <w:rPr>
          <w:lang w:val="en-GB"/>
        </w:rPr>
        <w:t xml:space="preserve"> </w:t>
      </w:r>
      <w:r w:rsidR="290D13E8" w:rsidRPr="5575EBFC">
        <w:rPr>
          <w:lang w:val="en-GB"/>
        </w:rPr>
        <w:t>(</w:t>
      </w:r>
      <w:r w:rsidR="290D13E8" w:rsidRPr="5575EBFC">
        <w:rPr>
          <w:i/>
          <w:iCs/>
          <w:lang w:val="en-GB"/>
        </w:rPr>
        <w:t>well established</w:t>
      </w:r>
      <w:r w:rsidR="12C9E418" w:rsidRPr="5575EBFC">
        <w:rPr>
          <w:lang w:val="en-GB"/>
        </w:rPr>
        <w:t>) {3.3.1}</w:t>
      </w:r>
      <w:r w:rsidR="703C3BF0" w:rsidRPr="5575EBFC">
        <w:rPr>
          <w:lang w:val="en-GB"/>
        </w:rPr>
        <w:t>.</w:t>
      </w:r>
      <w:r w:rsidR="75AD62D9" w:rsidRPr="5575EBFC">
        <w:rPr>
          <w:lang w:val="en-GB"/>
        </w:rPr>
        <w:t xml:space="preserve"> </w:t>
      </w:r>
      <w:r w:rsidR="223AB34F" w:rsidRPr="5575EBFC">
        <w:rPr>
          <w:lang w:val="en-GB"/>
        </w:rPr>
        <w:t>La</w:t>
      </w:r>
      <w:r w:rsidR="66E2163F" w:rsidRPr="5575EBFC">
        <w:rPr>
          <w:lang w:val="en-GB"/>
        </w:rPr>
        <w:t>n</w:t>
      </w:r>
      <w:r w:rsidR="223AB34F" w:rsidRPr="5575EBFC">
        <w:rPr>
          <w:lang w:val="en-GB"/>
        </w:rPr>
        <w:t xml:space="preserve">d-use changes </w:t>
      </w:r>
      <w:r w:rsidR="66E2163F" w:rsidRPr="5575EBFC">
        <w:rPr>
          <w:lang w:val="en-GB"/>
        </w:rPr>
        <w:t>r</w:t>
      </w:r>
      <w:r w:rsidR="574447AB" w:rsidRPr="5575EBFC">
        <w:rPr>
          <w:lang w:val="en-GB"/>
        </w:rPr>
        <w:t xml:space="preserve">elated to </w:t>
      </w:r>
      <w:r w:rsidR="66E2163F" w:rsidRPr="5575EBFC">
        <w:rPr>
          <w:lang w:val="en-GB"/>
        </w:rPr>
        <w:t>food</w:t>
      </w:r>
      <w:r w:rsidR="289FAF94" w:rsidRPr="5575EBFC">
        <w:rPr>
          <w:lang w:val="en-GB"/>
        </w:rPr>
        <w:t>, fodder</w:t>
      </w:r>
      <w:r w:rsidR="009F7404">
        <w:rPr>
          <w:lang w:val="en-GB"/>
        </w:rPr>
        <w:t xml:space="preserve"> and</w:t>
      </w:r>
      <w:r w:rsidR="289FAF94" w:rsidRPr="5575EBFC">
        <w:rPr>
          <w:lang w:val="en-GB"/>
        </w:rPr>
        <w:t xml:space="preserve"> biomass production</w:t>
      </w:r>
      <w:r w:rsidR="574447AB" w:rsidRPr="5575EBFC">
        <w:rPr>
          <w:lang w:val="en-GB"/>
        </w:rPr>
        <w:t xml:space="preserve"> </w:t>
      </w:r>
      <w:r w:rsidR="78A1E805" w:rsidRPr="5575EBFC">
        <w:rPr>
          <w:lang w:val="en-GB"/>
        </w:rPr>
        <w:t>fac</w:t>
      </w:r>
      <w:r w:rsidR="00E77D81">
        <w:rPr>
          <w:lang w:val="en-GB"/>
        </w:rPr>
        <w:t>i</w:t>
      </w:r>
      <w:r w:rsidR="78A1E805" w:rsidRPr="5575EBFC">
        <w:rPr>
          <w:lang w:val="en-GB"/>
        </w:rPr>
        <w:t xml:space="preserve">litate </w:t>
      </w:r>
      <w:r w:rsidR="40C496BA" w:rsidRPr="5575EBFC">
        <w:rPr>
          <w:lang w:val="en-GB"/>
        </w:rPr>
        <w:t xml:space="preserve">the </w:t>
      </w:r>
      <w:r w:rsidR="6E5E5A01" w:rsidRPr="5575EBFC">
        <w:rPr>
          <w:lang w:val="en-GB"/>
        </w:rPr>
        <w:t xml:space="preserve">biological </w:t>
      </w:r>
      <w:r w:rsidR="7AF1BC9B" w:rsidRPr="5575EBFC">
        <w:rPr>
          <w:lang w:val="en-GB"/>
        </w:rPr>
        <w:t>invasion</w:t>
      </w:r>
      <w:r w:rsidR="7236777C" w:rsidRPr="5575EBFC">
        <w:rPr>
          <w:lang w:val="en-GB"/>
        </w:rPr>
        <w:t xml:space="preserve"> process</w:t>
      </w:r>
      <w:r w:rsidR="7AF1BC9B" w:rsidRPr="5575EBFC">
        <w:rPr>
          <w:lang w:val="en-GB"/>
        </w:rPr>
        <w:t xml:space="preserve"> through </w:t>
      </w:r>
      <w:r w:rsidR="289FAF94" w:rsidRPr="5575EBFC">
        <w:rPr>
          <w:lang w:val="en-GB"/>
        </w:rPr>
        <w:t xml:space="preserve">the replacement of native ecosystems </w:t>
      </w:r>
      <w:r w:rsidR="06B3DE26" w:rsidRPr="5575EBFC">
        <w:rPr>
          <w:lang w:val="en-GB"/>
        </w:rPr>
        <w:t xml:space="preserve">by </w:t>
      </w:r>
      <w:r w:rsidR="289FAF94" w:rsidRPr="5575EBFC">
        <w:rPr>
          <w:lang w:val="en-GB"/>
        </w:rPr>
        <w:t>monocultures of introduced crops</w:t>
      </w:r>
      <w:r w:rsidR="7AF1BC9B" w:rsidRPr="5575EBFC">
        <w:rPr>
          <w:lang w:val="en-GB"/>
        </w:rPr>
        <w:t xml:space="preserve"> and </w:t>
      </w:r>
      <w:r w:rsidR="3C06BA19" w:rsidRPr="5575EBFC">
        <w:rPr>
          <w:lang w:val="en-GB"/>
        </w:rPr>
        <w:t xml:space="preserve">livestock </w:t>
      </w:r>
      <w:r w:rsidR="7AF1BC9B" w:rsidRPr="5575EBFC">
        <w:rPr>
          <w:lang w:val="en-GB"/>
        </w:rPr>
        <w:t xml:space="preserve">and through </w:t>
      </w:r>
      <w:r w:rsidR="574447AB" w:rsidRPr="5575EBFC">
        <w:rPr>
          <w:lang w:val="en-GB"/>
        </w:rPr>
        <w:t>intensification and changes in disturbance regimes</w:t>
      </w:r>
      <w:r w:rsidR="48471D78" w:rsidRPr="5575EBFC">
        <w:rPr>
          <w:lang w:val="en-GB"/>
        </w:rPr>
        <w:t xml:space="preserve"> </w:t>
      </w:r>
      <w:r w:rsidR="6D4786E3" w:rsidRPr="5575EBFC">
        <w:rPr>
          <w:lang w:val="en-GB"/>
        </w:rPr>
        <w:t>(</w:t>
      </w:r>
      <w:r w:rsidR="6D4786E3" w:rsidRPr="5575EBFC">
        <w:rPr>
          <w:i/>
          <w:iCs/>
          <w:lang w:val="en-GB"/>
        </w:rPr>
        <w:t>well established</w:t>
      </w:r>
      <w:r w:rsidR="6D4786E3" w:rsidRPr="5575EBFC">
        <w:rPr>
          <w:lang w:val="en-GB"/>
        </w:rPr>
        <w:t xml:space="preserve">) </w:t>
      </w:r>
      <w:r w:rsidR="48471D78" w:rsidRPr="5575EBFC">
        <w:rPr>
          <w:lang w:val="en-GB"/>
        </w:rPr>
        <w:t>{</w:t>
      </w:r>
      <w:r w:rsidR="6771B2D2" w:rsidRPr="5575EBFC">
        <w:rPr>
          <w:lang w:val="en-GB"/>
        </w:rPr>
        <w:t>3.3.1.1, 3.3.1.2, 3.3.1.5, 3.3.1.6</w:t>
      </w:r>
      <w:r w:rsidR="48471D78" w:rsidRPr="5575EBFC">
        <w:rPr>
          <w:lang w:val="en-GB"/>
        </w:rPr>
        <w:t>}</w:t>
      </w:r>
      <w:r w:rsidR="7AF1BC9B" w:rsidRPr="5575EBFC">
        <w:rPr>
          <w:lang w:val="en-GB"/>
        </w:rPr>
        <w:t>. Land-use change</w:t>
      </w:r>
      <w:r w:rsidR="62627A1A" w:rsidRPr="5575EBFC">
        <w:rPr>
          <w:lang w:val="en-GB"/>
        </w:rPr>
        <w:t>s</w:t>
      </w:r>
      <w:r w:rsidR="7AF1BC9B" w:rsidRPr="5575EBFC">
        <w:rPr>
          <w:lang w:val="en-GB"/>
        </w:rPr>
        <w:t xml:space="preserve"> related to industry, </w:t>
      </w:r>
      <w:r w:rsidR="7A888341" w:rsidRPr="5575EBFC">
        <w:rPr>
          <w:lang w:val="en-GB"/>
        </w:rPr>
        <w:t>infrastructure</w:t>
      </w:r>
      <w:r w:rsidR="009F7404">
        <w:rPr>
          <w:lang w:val="en-GB"/>
        </w:rPr>
        <w:t xml:space="preserve"> and</w:t>
      </w:r>
      <w:r w:rsidR="7AF1BC9B" w:rsidRPr="5575EBFC">
        <w:rPr>
          <w:lang w:val="en-GB"/>
        </w:rPr>
        <w:t xml:space="preserve"> urban development </w:t>
      </w:r>
      <w:r w:rsidR="22C5894A" w:rsidRPr="5575EBFC">
        <w:rPr>
          <w:lang w:val="en-GB"/>
        </w:rPr>
        <w:t xml:space="preserve">facilitate biological </w:t>
      </w:r>
      <w:r w:rsidR="6771B2D2" w:rsidRPr="5575EBFC">
        <w:rPr>
          <w:lang w:val="en-GB"/>
        </w:rPr>
        <w:t>invasion</w:t>
      </w:r>
      <w:r w:rsidR="6CBED602" w:rsidRPr="5575EBFC">
        <w:rPr>
          <w:lang w:val="en-GB"/>
        </w:rPr>
        <w:t>s</w:t>
      </w:r>
      <w:r w:rsidR="14D9F172" w:rsidRPr="5575EBFC">
        <w:rPr>
          <w:lang w:val="en-GB"/>
        </w:rPr>
        <w:t xml:space="preserve"> </w:t>
      </w:r>
      <w:r w:rsidR="6771B2D2" w:rsidRPr="5575EBFC">
        <w:rPr>
          <w:lang w:val="en-GB"/>
        </w:rPr>
        <w:t>through</w:t>
      </w:r>
      <w:r w:rsidR="574447AB" w:rsidRPr="5575EBFC">
        <w:rPr>
          <w:lang w:val="en-GB"/>
        </w:rPr>
        <w:t xml:space="preserve"> creation of </w:t>
      </w:r>
      <w:r w:rsidR="0A9AF4FE" w:rsidRPr="5575EBFC">
        <w:rPr>
          <w:lang w:val="en-GB"/>
        </w:rPr>
        <w:t>corridors</w:t>
      </w:r>
      <w:r w:rsidR="009F7404">
        <w:rPr>
          <w:lang w:val="en-GB"/>
        </w:rPr>
        <w:t xml:space="preserve"> and</w:t>
      </w:r>
      <w:r w:rsidR="0A9AF4FE" w:rsidRPr="5575EBFC">
        <w:rPr>
          <w:lang w:val="en-GB"/>
        </w:rPr>
        <w:t xml:space="preserve"> </w:t>
      </w:r>
      <w:r w:rsidR="574447AB" w:rsidRPr="5575EBFC">
        <w:rPr>
          <w:lang w:val="en-GB"/>
        </w:rPr>
        <w:t>artificial surfaces in terrestrial and coastal environments</w:t>
      </w:r>
      <w:r w:rsidR="0A9AF4FE" w:rsidRPr="5575EBFC">
        <w:rPr>
          <w:lang w:val="en-GB"/>
        </w:rPr>
        <w:t xml:space="preserve"> and more generally through landscape degradation</w:t>
      </w:r>
      <w:r w:rsidR="6D4786E3" w:rsidRPr="5575EBFC">
        <w:rPr>
          <w:lang w:val="en-GB"/>
        </w:rPr>
        <w:t xml:space="preserve"> (</w:t>
      </w:r>
      <w:r w:rsidR="6D4786E3" w:rsidRPr="5575EBFC">
        <w:rPr>
          <w:i/>
          <w:iCs/>
          <w:lang w:val="en-GB"/>
        </w:rPr>
        <w:t>well established</w:t>
      </w:r>
      <w:r w:rsidR="6D4786E3" w:rsidRPr="5575EBFC">
        <w:rPr>
          <w:lang w:val="en-GB"/>
        </w:rPr>
        <w:t>)</w:t>
      </w:r>
      <w:r w:rsidR="48471D78" w:rsidRPr="5575EBFC">
        <w:rPr>
          <w:lang w:val="en-GB"/>
        </w:rPr>
        <w:t xml:space="preserve"> {3.3.1</w:t>
      </w:r>
      <w:r w:rsidR="7E2B387D" w:rsidRPr="5575EBFC">
        <w:rPr>
          <w:lang w:val="en-GB"/>
        </w:rPr>
        <w:t>.</w:t>
      </w:r>
      <w:r w:rsidR="0A9AF4FE" w:rsidRPr="5575EBFC">
        <w:rPr>
          <w:lang w:val="en-GB"/>
        </w:rPr>
        <w:t>3</w:t>
      </w:r>
      <w:r w:rsidR="7E2B387D" w:rsidRPr="5575EBFC">
        <w:rPr>
          <w:lang w:val="en-GB"/>
        </w:rPr>
        <w:t>, 3.3.1.</w:t>
      </w:r>
      <w:r w:rsidR="0A9AF4FE" w:rsidRPr="5575EBFC">
        <w:rPr>
          <w:lang w:val="en-GB"/>
        </w:rPr>
        <w:t>4</w:t>
      </w:r>
      <w:r w:rsidR="7E2B387D" w:rsidRPr="5575EBFC">
        <w:rPr>
          <w:lang w:val="en-GB"/>
        </w:rPr>
        <w:t>, 3.3.1.</w:t>
      </w:r>
      <w:r w:rsidR="0A9AF4FE" w:rsidRPr="5575EBFC">
        <w:rPr>
          <w:lang w:val="en-GB"/>
        </w:rPr>
        <w:t>6</w:t>
      </w:r>
      <w:r w:rsidR="48471D78" w:rsidRPr="5575EBFC">
        <w:rPr>
          <w:lang w:val="en-GB"/>
        </w:rPr>
        <w:t>}.</w:t>
      </w:r>
      <w:r w:rsidR="4EEF1F23" w:rsidRPr="5575EBFC">
        <w:rPr>
          <w:lang w:val="en-GB"/>
        </w:rPr>
        <w:t xml:space="preserve"> </w:t>
      </w:r>
      <w:r w:rsidR="3C06BA19" w:rsidRPr="5575EBFC">
        <w:rPr>
          <w:lang w:val="en-GB"/>
        </w:rPr>
        <w:t>Fr</w:t>
      </w:r>
      <w:r w:rsidR="703C3BF0" w:rsidRPr="5575EBFC">
        <w:rPr>
          <w:lang w:val="en-GB"/>
        </w:rPr>
        <w:t xml:space="preserve">agmented </w:t>
      </w:r>
      <w:r w:rsidR="6D4786E3" w:rsidRPr="5575EBFC">
        <w:rPr>
          <w:lang w:val="en-GB"/>
        </w:rPr>
        <w:t xml:space="preserve">and degraded </w:t>
      </w:r>
      <w:r w:rsidR="59FB43AC" w:rsidRPr="5575EBFC">
        <w:rPr>
          <w:lang w:val="en-GB"/>
        </w:rPr>
        <w:t>ecosystems</w:t>
      </w:r>
      <w:r w:rsidR="703C3BF0" w:rsidRPr="5575EBFC">
        <w:rPr>
          <w:lang w:val="en-GB"/>
        </w:rPr>
        <w:t xml:space="preserve"> </w:t>
      </w:r>
      <w:r w:rsidR="42D5F7FA" w:rsidRPr="5575EBFC">
        <w:rPr>
          <w:lang w:val="en-GB"/>
        </w:rPr>
        <w:t>are often</w:t>
      </w:r>
      <w:r w:rsidR="6FB43089" w:rsidRPr="5575EBFC">
        <w:rPr>
          <w:lang w:val="en-GB"/>
        </w:rPr>
        <w:t xml:space="preserve"> vulnerable to</w:t>
      </w:r>
      <w:r w:rsidR="42D5F7FA" w:rsidRPr="5575EBFC">
        <w:rPr>
          <w:lang w:val="en-GB"/>
        </w:rPr>
        <w:t xml:space="preserve"> </w:t>
      </w:r>
      <w:r w:rsidR="293E868A" w:rsidRPr="5575EBFC">
        <w:rPr>
          <w:lang w:val="en-GB"/>
        </w:rPr>
        <w:t>coloni</w:t>
      </w:r>
      <w:r w:rsidR="5A153BF2" w:rsidRPr="5575EBFC">
        <w:rPr>
          <w:lang w:val="en-GB"/>
        </w:rPr>
        <w:t>z</w:t>
      </w:r>
      <w:r w:rsidR="293E868A" w:rsidRPr="5575EBFC">
        <w:rPr>
          <w:lang w:val="en-GB"/>
        </w:rPr>
        <w:t>ation</w:t>
      </w:r>
      <w:r w:rsidR="42AD46A0" w:rsidRPr="5575EBFC">
        <w:rPr>
          <w:lang w:val="en-GB"/>
        </w:rPr>
        <w:t xml:space="preserve"> </w:t>
      </w:r>
      <w:r w:rsidR="6990A20D" w:rsidRPr="5575EBFC">
        <w:rPr>
          <w:lang w:val="en-GB"/>
        </w:rPr>
        <w:t xml:space="preserve">and spread </w:t>
      </w:r>
      <w:r w:rsidR="293E868A" w:rsidRPr="5575EBFC">
        <w:rPr>
          <w:lang w:val="en-GB"/>
        </w:rPr>
        <w:t xml:space="preserve">by </w:t>
      </w:r>
      <w:r w:rsidR="42D5F7FA" w:rsidRPr="5575EBFC">
        <w:rPr>
          <w:lang w:val="en-GB"/>
        </w:rPr>
        <w:t xml:space="preserve">generalist </w:t>
      </w:r>
      <w:r w:rsidR="6E5E5A01" w:rsidRPr="5575EBFC">
        <w:rPr>
          <w:lang w:val="en-GB"/>
        </w:rPr>
        <w:t xml:space="preserve">invasive </w:t>
      </w:r>
      <w:r w:rsidR="42D5F7FA" w:rsidRPr="5575EBFC">
        <w:rPr>
          <w:lang w:val="en-GB"/>
        </w:rPr>
        <w:t xml:space="preserve">alien species </w:t>
      </w:r>
      <w:r w:rsidR="4591D7A3" w:rsidRPr="5575EBFC">
        <w:rPr>
          <w:lang w:val="en-GB"/>
        </w:rPr>
        <w:t>(</w:t>
      </w:r>
      <w:r w:rsidR="4591D7A3" w:rsidRPr="5575EBFC">
        <w:rPr>
          <w:i/>
          <w:iCs/>
          <w:lang w:val="en-GB"/>
        </w:rPr>
        <w:t>well established</w:t>
      </w:r>
      <w:r w:rsidR="4591D7A3" w:rsidRPr="5575EBFC">
        <w:rPr>
          <w:lang w:val="en-GB"/>
        </w:rPr>
        <w:t>) {3.3.1</w:t>
      </w:r>
      <w:r w:rsidR="54AF0F39" w:rsidRPr="5575EBFC">
        <w:rPr>
          <w:lang w:val="en-GB"/>
        </w:rPr>
        <w:t>.2</w:t>
      </w:r>
      <w:r w:rsidR="3F8CE948" w:rsidRPr="5575EBFC">
        <w:rPr>
          <w:lang w:val="en-GB"/>
        </w:rPr>
        <w:t>,</w:t>
      </w:r>
      <w:r w:rsidR="4591D7A3" w:rsidRPr="5575EBFC">
        <w:rPr>
          <w:lang w:val="en-GB"/>
        </w:rPr>
        <w:t xml:space="preserve"> </w:t>
      </w:r>
      <w:r w:rsidR="54AF0F39" w:rsidRPr="5575EBFC">
        <w:rPr>
          <w:lang w:val="en-GB"/>
        </w:rPr>
        <w:t>3.3.1.3</w:t>
      </w:r>
      <w:r w:rsidR="4591D7A3" w:rsidRPr="5575EBFC">
        <w:rPr>
          <w:lang w:val="en-GB"/>
        </w:rPr>
        <w:t>}</w:t>
      </w:r>
      <w:r w:rsidR="4E40F03E" w:rsidRPr="5575EBFC">
        <w:rPr>
          <w:lang w:val="en-GB"/>
        </w:rPr>
        <w:t>.</w:t>
      </w:r>
    </w:p>
    <w:p w14:paraId="6F426BFC" w14:textId="62233A8F" w:rsidR="00CA753D" w:rsidRPr="00DA249F" w:rsidRDefault="77E0C473" w:rsidP="004826A3">
      <w:pPr>
        <w:pStyle w:val="ListParagraph"/>
        <w:numPr>
          <w:ilvl w:val="0"/>
          <w:numId w:val="12"/>
        </w:numPr>
        <w:rPr>
          <w:lang w:val="en-GB"/>
        </w:rPr>
      </w:pPr>
      <w:r w:rsidRPr="5575EBFC">
        <w:rPr>
          <w:b/>
          <w:bCs/>
          <w:lang w:val="en-GB"/>
        </w:rPr>
        <w:t xml:space="preserve">Many of the </w:t>
      </w:r>
      <w:r w:rsidR="5E5C95A4" w:rsidRPr="5575EBFC">
        <w:rPr>
          <w:b/>
          <w:bCs/>
          <w:lang w:val="en-GB"/>
        </w:rPr>
        <w:t>d</w:t>
      </w:r>
      <w:r w:rsidR="0BB1D972" w:rsidRPr="5575EBFC">
        <w:rPr>
          <w:b/>
          <w:bCs/>
          <w:lang w:val="en-GB"/>
        </w:rPr>
        <w:t>rivers</w:t>
      </w:r>
      <w:r w:rsidR="5F58C80D" w:rsidRPr="5575EBFC">
        <w:rPr>
          <w:b/>
          <w:bCs/>
          <w:lang w:val="en-GB"/>
        </w:rPr>
        <w:t xml:space="preserve"> </w:t>
      </w:r>
      <w:r w:rsidRPr="5575EBFC">
        <w:rPr>
          <w:b/>
          <w:bCs/>
          <w:lang w:val="en-GB"/>
        </w:rPr>
        <w:t>known to negative</w:t>
      </w:r>
      <w:r w:rsidR="6116230E" w:rsidRPr="5575EBFC">
        <w:rPr>
          <w:b/>
          <w:bCs/>
          <w:lang w:val="en-GB"/>
        </w:rPr>
        <w:t>ly</w:t>
      </w:r>
      <w:r w:rsidRPr="5575EBFC">
        <w:rPr>
          <w:b/>
          <w:bCs/>
          <w:lang w:val="en-GB"/>
        </w:rPr>
        <w:t xml:space="preserve"> impact </w:t>
      </w:r>
      <w:r w:rsidR="35D9BC5D" w:rsidRPr="5575EBFC">
        <w:rPr>
          <w:b/>
          <w:bCs/>
          <w:lang w:val="en-GB"/>
        </w:rPr>
        <w:t xml:space="preserve">nature </w:t>
      </w:r>
      <w:r w:rsidRPr="5575EBFC">
        <w:rPr>
          <w:b/>
          <w:bCs/>
          <w:lang w:val="en-GB"/>
        </w:rPr>
        <w:t>and nature’s contribution</w:t>
      </w:r>
      <w:r w:rsidR="1D99EC78" w:rsidRPr="5575EBFC">
        <w:rPr>
          <w:b/>
          <w:bCs/>
          <w:lang w:val="en-GB"/>
        </w:rPr>
        <w:t>s</w:t>
      </w:r>
      <w:r w:rsidR="2D7542E2" w:rsidRPr="5575EBFC">
        <w:rPr>
          <w:b/>
          <w:bCs/>
          <w:lang w:val="en-GB"/>
        </w:rPr>
        <w:t xml:space="preserve"> </w:t>
      </w:r>
      <w:r w:rsidRPr="5575EBFC">
        <w:rPr>
          <w:b/>
          <w:bCs/>
          <w:lang w:val="en-GB"/>
        </w:rPr>
        <w:t>to</w:t>
      </w:r>
      <w:r w:rsidR="00AB498A">
        <w:rPr>
          <w:b/>
          <w:bCs/>
          <w:lang w:val="en-GB"/>
        </w:rPr>
        <w:t xml:space="preserve"> </w:t>
      </w:r>
      <w:r w:rsidRPr="5575EBFC">
        <w:rPr>
          <w:b/>
          <w:bCs/>
          <w:lang w:val="en-GB"/>
        </w:rPr>
        <w:t>people</w:t>
      </w:r>
      <w:r w:rsidR="00AB498A">
        <w:rPr>
          <w:b/>
          <w:bCs/>
          <w:lang w:val="en-GB"/>
        </w:rPr>
        <w:t xml:space="preserve"> </w:t>
      </w:r>
      <w:r w:rsidRPr="5575EBFC">
        <w:rPr>
          <w:b/>
          <w:bCs/>
          <w:lang w:val="en-GB"/>
        </w:rPr>
        <w:t xml:space="preserve">also facilitate the introduction and spread of </w:t>
      </w:r>
      <w:r w:rsidR="19CB3DF0" w:rsidRPr="5575EBFC">
        <w:rPr>
          <w:b/>
          <w:bCs/>
          <w:lang w:val="en-GB"/>
        </w:rPr>
        <w:t>invasive alien species</w:t>
      </w:r>
      <w:r w:rsidRPr="5575EBFC">
        <w:rPr>
          <w:b/>
          <w:bCs/>
          <w:lang w:val="en-GB"/>
        </w:rPr>
        <w:t>,</w:t>
      </w:r>
      <w:r w:rsidR="00AB498A">
        <w:rPr>
          <w:b/>
          <w:bCs/>
          <w:lang w:val="en-GB"/>
        </w:rPr>
        <w:t xml:space="preserve"> </w:t>
      </w:r>
      <w:r w:rsidRPr="5575EBFC">
        <w:rPr>
          <w:b/>
          <w:bCs/>
          <w:lang w:val="en-GB"/>
        </w:rPr>
        <w:t>potentially</w:t>
      </w:r>
      <w:r w:rsidR="00AB498A">
        <w:rPr>
          <w:b/>
          <w:bCs/>
          <w:lang w:val="en-GB"/>
        </w:rPr>
        <w:t xml:space="preserve"> </w:t>
      </w:r>
      <w:r w:rsidR="4856D2DD" w:rsidRPr="5575EBFC">
        <w:rPr>
          <w:b/>
          <w:bCs/>
          <w:lang w:val="en-GB"/>
        </w:rPr>
        <w:t xml:space="preserve">causing </w:t>
      </w:r>
      <w:r w:rsidR="07E3671D" w:rsidRPr="5575EBFC">
        <w:rPr>
          <w:b/>
          <w:bCs/>
          <w:lang w:val="en-GB"/>
        </w:rPr>
        <w:t xml:space="preserve">positive </w:t>
      </w:r>
      <w:r w:rsidR="47CB6489" w:rsidRPr="5575EBFC">
        <w:rPr>
          <w:b/>
          <w:bCs/>
          <w:lang w:val="en-GB"/>
        </w:rPr>
        <w:t>feedback loops</w:t>
      </w:r>
      <w:r w:rsidR="00AB498A">
        <w:rPr>
          <w:b/>
          <w:bCs/>
          <w:lang w:val="en-GB"/>
        </w:rPr>
        <w:t xml:space="preserve"> </w:t>
      </w:r>
      <w:r w:rsidRPr="5575EBFC">
        <w:rPr>
          <w:b/>
          <w:bCs/>
          <w:lang w:val="en-GB"/>
        </w:rPr>
        <w:t>(</w:t>
      </w:r>
      <w:r w:rsidRPr="5575EBFC">
        <w:rPr>
          <w:b/>
          <w:bCs/>
          <w:i/>
          <w:iCs/>
          <w:lang w:val="en-GB"/>
        </w:rPr>
        <w:t>established but incomplete</w:t>
      </w:r>
      <w:r w:rsidRPr="5575EBFC">
        <w:rPr>
          <w:b/>
          <w:bCs/>
          <w:lang w:val="en-GB"/>
        </w:rPr>
        <w:t>)</w:t>
      </w:r>
      <w:r w:rsidR="11291B50" w:rsidRPr="5575EBFC">
        <w:rPr>
          <w:b/>
          <w:bCs/>
          <w:lang w:val="en-GB"/>
        </w:rPr>
        <w:t xml:space="preserve"> {3.</w:t>
      </w:r>
      <w:r w:rsidR="4E27769F" w:rsidRPr="5575EBFC">
        <w:rPr>
          <w:b/>
          <w:bCs/>
          <w:lang w:val="en-GB"/>
        </w:rPr>
        <w:t>5</w:t>
      </w:r>
      <w:r w:rsidR="11291B50" w:rsidRPr="5575EBFC">
        <w:rPr>
          <w:b/>
          <w:bCs/>
          <w:lang w:val="en-GB"/>
        </w:rPr>
        <w:t>}</w:t>
      </w:r>
      <w:r w:rsidRPr="5575EBFC">
        <w:rPr>
          <w:b/>
          <w:bCs/>
          <w:lang w:val="en-GB"/>
        </w:rPr>
        <w:t>.</w:t>
      </w:r>
      <w:r w:rsidR="5F58C80D" w:rsidRPr="5575EBFC">
        <w:rPr>
          <w:b/>
          <w:bCs/>
          <w:lang w:val="en-GB"/>
        </w:rPr>
        <w:t xml:space="preserve"> </w:t>
      </w:r>
      <w:r w:rsidRPr="5575EBFC">
        <w:rPr>
          <w:lang w:val="en-GB"/>
        </w:rPr>
        <w:t>Increasing and expanding trade</w:t>
      </w:r>
      <w:r w:rsidR="6DB3E46E" w:rsidRPr="5575EBFC">
        <w:rPr>
          <w:lang w:val="en-GB"/>
        </w:rPr>
        <w:t xml:space="preserve"> and </w:t>
      </w:r>
      <w:r w:rsidRPr="5575EBFC">
        <w:rPr>
          <w:lang w:val="en-GB"/>
        </w:rPr>
        <w:t xml:space="preserve">rapid population </w:t>
      </w:r>
      <w:r w:rsidR="249C4E57" w:rsidRPr="5575EBFC">
        <w:rPr>
          <w:lang w:val="en-GB"/>
        </w:rPr>
        <w:t xml:space="preserve">and economic </w:t>
      </w:r>
      <w:r w:rsidR="6DB3E46E" w:rsidRPr="5575EBFC">
        <w:rPr>
          <w:lang w:val="en-GB"/>
        </w:rPr>
        <w:t xml:space="preserve">growth </w:t>
      </w:r>
      <w:r w:rsidRPr="5575EBFC">
        <w:rPr>
          <w:lang w:val="en-GB"/>
        </w:rPr>
        <w:t xml:space="preserve">are global phenomena </w:t>
      </w:r>
      <w:r w:rsidR="311F49E4" w:rsidRPr="5575EBFC">
        <w:rPr>
          <w:lang w:val="en-GB"/>
        </w:rPr>
        <w:t xml:space="preserve">that </w:t>
      </w:r>
      <w:r w:rsidR="3AC9007C" w:rsidRPr="5575EBFC">
        <w:rPr>
          <w:lang w:val="en-GB"/>
        </w:rPr>
        <w:t>facilitat</w:t>
      </w:r>
      <w:r w:rsidR="311F49E4" w:rsidRPr="5575EBFC">
        <w:rPr>
          <w:lang w:val="en-GB"/>
        </w:rPr>
        <w:t xml:space="preserve">e </w:t>
      </w:r>
      <w:r w:rsidRPr="5575EBFC">
        <w:rPr>
          <w:lang w:val="en-GB"/>
        </w:rPr>
        <w:t xml:space="preserve">the </w:t>
      </w:r>
      <w:r w:rsidR="22481F35" w:rsidRPr="5575EBFC">
        <w:rPr>
          <w:lang w:val="en-GB"/>
        </w:rPr>
        <w:t xml:space="preserve">transport and </w:t>
      </w:r>
      <w:r w:rsidRPr="5575EBFC">
        <w:rPr>
          <w:lang w:val="en-GB"/>
        </w:rPr>
        <w:t xml:space="preserve">introduction of </w:t>
      </w:r>
      <w:r w:rsidR="19CB3DF0" w:rsidRPr="5575EBFC">
        <w:rPr>
          <w:lang w:val="en-GB"/>
        </w:rPr>
        <w:t>invasive alien species</w:t>
      </w:r>
      <w:r w:rsidRPr="5575EBFC">
        <w:rPr>
          <w:lang w:val="en-GB"/>
        </w:rPr>
        <w:t xml:space="preserve"> worldwide</w:t>
      </w:r>
      <w:r w:rsidR="374FB2A8" w:rsidRPr="5575EBFC">
        <w:rPr>
          <w:lang w:val="en-GB"/>
        </w:rPr>
        <w:t xml:space="preserve">, </w:t>
      </w:r>
      <w:r w:rsidR="22481F35" w:rsidRPr="5575EBFC">
        <w:rPr>
          <w:lang w:val="en-GB"/>
        </w:rPr>
        <w:t>while</w:t>
      </w:r>
      <w:r w:rsidR="35FD5DB2" w:rsidRPr="5575EBFC">
        <w:rPr>
          <w:lang w:val="en-GB"/>
        </w:rPr>
        <w:t xml:space="preserve"> </w:t>
      </w:r>
      <w:r w:rsidR="67BAFFB2" w:rsidRPr="5575EBFC">
        <w:rPr>
          <w:lang w:val="en-GB"/>
        </w:rPr>
        <w:t>increasing</w:t>
      </w:r>
      <w:r w:rsidR="5A01E50C" w:rsidRPr="5575EBFC">
        <w:rPr>
          <w:lang w:val="en-GB"/>
        </w:rPr>
        <w:t xml:space="preserve"> </w:t>
      </w:r>
      <w:r w:rsidR="5524982E" w:rsidRPr="5575EBFC">
        <w:rPr>
          <w:lang w:val="en-GB"/>
        </w:rPr>
        <w:t>urbanization</w:t>
      </w:r>
      <w:r w:rsidR="5A1DF4C4" w:rsidRPr="5575EBFC">
        <w:rPr>
          <w:lang w:val="en-GB"/>
        </w:rPr>
        <w:t xml:space="preserve">, </w:t>
      </w:r>
      <w:r w:rsidR="38CEA06B" w:rsidRPr="5575EBFC">
        <w:rPr>
          <w:lang w:val="en-GB"/>
        </w:rPr>
        <w:t>land- and sea</w:t>
      </w:r>
      <w:r w:rsidR="2D6643F6" w:rsidRPr="5575EBFC">
        <w:rPr>
          <w:lang w:val="en-GB"/>
        </w:rPr>
        <w:t>-</w:t>
      </w:r>
      <w:r w:rsidR="38CEA06B" w:rsidRPr="5575EBFC">
        <w:rPr>
          <w:lang w:val="en-GB"/>
        </w:rPr>
        <w:t>use change</w:t>
      </w:r>
      <w:r w:rsidR="4E27769F" w:rsidRPr="5575EBFC">
        <w:rPr>
          <w:lang w:val="en-GB"/>
        </w:rPr>
        <w:t>s</w:t>
      </w:r>
      <w:r w:rsidR="38CEA06B" w:rsidRPr="5575EBFC">
        <w:rPr>
          <w:lang w:val="en-GB"/>
        </w:rPr>
        <w:t>, pollution</w:t>
      </w:r>
      <w:r w:rsidR="3AC9007C" w:rsidRPr="5575EBFC">
        <w:rPr>
          <w:lang w:val="en-GB"/>
        </w:rPr>
        <w:t>,</w:t>
      </w:r>
      <w:r w:rsidR="38CEA06B" w:rsidRPr="5575EBFC">
        <w:rPr>
          <w:lang w:val="en-GB"/>
        </w:rPr>
        <w:t xml:space="preserve"> </w:t>
      </w:r>
      <w:r w:rsidR="3AC9007C" w:rsidRPr="5575EBFC">
        <w:rPr>
          <w:lang w:val="en-GB"/>
        </w:rPr>
        <w:t xml:space="preserve">ecosystem </w:t>
      </w:r>
      <w:r w:rsidRPr="5575EBFC">
        <w:rPr>
          <w:lang w:val="en-GB"/>
        </w:rPr>
        <w:t>degradation</w:t>
      </w:r>
      <w:r w:rsidR="009F7404">
        <w:rPr>
          <w:lang w:val="en-GB"/>
        </w:rPr>
        <w:t xml:space="preserve"> and</w:t>
      </w:r>
      <w:r w:rsidR="1D99EC78" w:rsidRPr="5575EBFC">
        <w:rPr>
          <w:lang w:val="en-GB"/>
        </w:rPr>
        <w:t xml:space="preserve"> biodiversity </w:t>
      </w:r>
      <w:r w:rsidR="772DE5B5" w:rsidRPr="5575EBFC">
        <w:rPr>
          <w:lang w:val="en-GB"/>
        </w:rPr>
        <w:t>loss</w:t>
      </w:r>
      <w:r w:rsidR="2E05C121" w:rsidRPr="5575EBFC">
        <w:rPr>
          <w:lang w:val="en-GB"/>
        </w:rPr>
        <w:t xml:space="preserve"> are</w:t>
      </w:r>
      <w:r w:rsidR="65F268F3" w:rsidRPr="5575EBFC">
        <w:rPr>
          <w:lang w:val="en-GB"/>
        </w:rPr>
        <w:t xml:space="preserve"> </w:t>
      </w:r>
      <w:r w:rsidR="11611A8E" w:rsidRPr="5575EBFC">
        <w:rPr>
          <w:lang w:val="en-GB"/>
        </w:rPr>
        <w:t>changes</w:t>
      </w:r>
      <w:r w:rsidR="33101062" w:rsidRPr="5575EBFC">
        <w:rPr>
          <w:lang w:val="en-GB"/>
        </w:rPr>
        <w:t xml:space="preserve"> </w:t>
      </w:r>
      <w:r w:rsidRPr="5575EBFC">
        <w:rPr>
          <w:lang w:val="en-GB"/>
        </w:rPr>
        <w:t xml:space="preserve">which </w:t>
      </w:r>
      <w:r w:rsidR="6C158780" w:rsidRPr="5575EBFC">
        <w:rPr>
          <w:lang w:val="en-GB"/>
        </w:rPr>
        <w:t xml:space="preserve">again </w:t>
      </w:r>
      <w:r w:rsidR="3AC9007C" w:rsidRPr="5575EBFC">
        <w:rPr>
          <w:lang w:val="en-GB"/>
        </w:rPr>
        <w:t>facilitat</w:t>
      </w:r>
      <w:r w:rsidR="6C158780" w:rsidRPr="5575EBFC">
        <w:rPr>
          <w:lang w:val="en-GB"/>
        </w:rPr>
        <w:t>e</w:t>
      </w:r>
      <w:r w:rsidR="3AC9007C" w:rsidRPr="5575EBFC">
        <w:rPr>
          <w:lang w:val="en-GB"/>
        </w:rPr>
        <w:t xml:space="preserve"> </w:t>
      </w:r>
      <w:r w:rsidR="374FB2A8" w:rsidRPr="5575EBFC">
        <w:rPr>
          <w:lang w:val="en-GB"/>
        </w:rPr>
        <w:t xml:space="preserve">the </w:t>
      </w:r>
      <w:r w:rsidR="47CB6489" w:rsidRPr="5575EBFC">
        <w:rPr>
          <w:lang w:val="en-GB"/>
        </w:rPr>
        <w:t>establishment</w:t>
      </w:r>
      <w:r w:rsidR="23F5873E" w:rsidRPr="5575EBFC">
        <w:rPr>
          <w:lang w:val="en-GB"/>
        </w:rPr>
        <w:t xml:space="preserve"> and spread of invasive alien species</w:t>
      </w:r>
      <w:r w:rsidR="3AC9007C" w:rsidRPr="5575EBFC">
        <w:rPr>
          <w:lang w:val="en-GB"/>
        </w:rPr>
        <w:t xml:space="preserve"> </w:t>
      </w:r>
      <w:r w:rsidRPr="5575EBFC">
        <w:rPr>
          <w:lang w:val="en-GB"/>
        </w:rPr>
        <w:t>(</w:t>
      </w:r>
      <w:r w:rsidRPr="5575EBFC">
        <w:rPr>
          <w:i/>
          <w:iCs/>
          <w:lang w:val="en-GB"/>
        </w:rPr>
        <w:t>established but incomplete</w:t>
      </w:r>
      <w:r w:rsidRPr="5575EBFC">
        <w:rPr>
          <w:lang w:val="en-GB"/>
        </w:rPr>
        <w:t>) {3.2.2</w:t>
      </w:r>
      <w:r w:rsidR="0ED319B2" w:rsidRPr="5575EBFC">
        <w:rPr>
          <w:lang w:val="en-GB"/>
        </w:rPr>
        <w:t>,</w:t>
      </w:r>
      <w:r w:rsidR="5DAA2474" w:rsidRPr="5575EBFC">
        <w:rPr>
          <w:lang w:val="en-GB"/>
        </w:rPr>
        <w:t xml:space="preserve"> </w:t>
      </w:r>
      <w:r w:rsidRPr="5575EBFC">
        <w:rPr>
          <w:lang w:val="en-GB"/>
        </w:rPr>
        <w:t>3.2.3</w:t>
      </w:r>
      <w:r w:rsidR="0ED319B2" w:rsidRPr="5575EBFC">
        <w:rPr>
          <w:lang w:val="en-GB"/>
        </w:rPr>
        <w:t>,</w:t>
      </w:r>
      <w:r w:rsidR="5DAA2474" w:rsidRPr="5575EBFC">
        <w:rPr>
          <w:lang w:val="en-GB"/>
        </w:rPr>
        <w:t xml:space="preserve"> </w:t>
      </w:r>
      <w:r w:rsidRPr="5575EBFC">
        <w:rPr>
          <w:lang w:val="en-GB"/>
        </w:rPr>
        <w:t>3.3.1</w:t>
      </w:r>
      <w:r w:rsidR="0ED319B2" w:rsidRPr="5575EBFC">
        <w:rPr>
          <w:lang w:val="en-GB"/>
        </w:rPr>
        <w:t>,</w:t>
      </w:r>
      <w:r w:rsidR="3C954406" w:rsidRPr="5575EBFC">
        <w:rPr>
          <w:lang w:val="en-GB"/>
        </w:rPr>
        <w:t xml:space="preserve"> </w:t>
      </w:r>
      <w:r w:rsidR="0DEEBED6" w:rsidRPr="5575EBFC">
        <w:rPr>
          <w:lang w:val="en-GB"/>
        </w:rPr>
        <w:t>3.3.3</w:t>
      </w:r>
      <w:r w:rsidR="0ED319B2" w:rsidRPr="5575EBFC">
        <w:rPr>
          <w:lang w:val="en-GB"/>
        </w:rPr>
        <w:t>,</w:t>
      </w:r>
      <w:r w:rsidR="0DEEBED6" w:rsidRPr="5575EBFC">
        <w:rPr>
          <w:lang w:val="en-GB"/>
        </w:rPr>
        <w:t xml:space="preserve"> </w:t>
      </w:r>
      <w:r w:rsidR="065B8FC4" w:rsidRPr="5575EBFC">
        <w:rPr>
          <w:lang w:val="en-GB"/>
        </w:rPr>
        <w:t>3.4.1</w:t>
      </w:r>
      <w:r w:rsidR="0ED319B2" w:rsidRPr="5575EBFC">
        <w:rPr>
          <w:lang w:val="en-GB"/>
        </w:rPr>
        <w:t>,</w:t>
      </w:r>
      <w:r w:rsidR="065B8FC4" w:rsidRPr="5575EBFC">
        <w:rPr>
          <w:lang w:val="en-GB"/>
        </w:rPr>
        <w:t xml:space="preserve"> </w:t>
      </w:r>
      <w:r w:rsidR="3C954406" w:rsidRPr="5575EBFC">
        <w:rPr>
          <w:lang w:val="en-GB"/>
        </w:rPr>
        <w:t>3.4.2</w:t>
      </w:r>
      <w:r w:rsidR="44AEC6E4" w:rsidRPr="5575EBFC">
        <w:rPr>
          <w:lang w:val="en-GB"/>
        </w:rPr>
        <w:t>, 3.5.3</w:t>
      </w:r>
      <w:r w:rsidR="052B9CD2" w:rsidRPr="5575EBFC">
        <w:rPr>
          <w:lang w:val="en-GB"/>
        </w:rPr>
        <w:t>}</w:t>
      </w:r>
      <w:r w:rsidRPr="5575EBFC">
        <w:rPr>
          <w:lang w:val="en-GB"/>
        </w:rPr>
        <w:t>.</w:t>
      </w:r>
      <w:r w:rsidR="3F499320" w:rsidRPr="5575EBFC">
        <w:rPr>
          <w:lang w:val="en-GB"/>
        </w:rPr>
        <w:t xml:space="preserve"> </w:t>
      </w:r>
      <w:r w:rsidR="772DE5B5" w:rsidRPr="5575EBFC">
        <w:rPr>
          <w:lang w:val="en-GB"/>
        </w:rPr>
        <w:t>Such p</w:t>
      </w:r>
      <w:r w:rsidR="7B0EB381" w:rsidRPr="5575EBFC">
        <w:rPr>
          <w:lang w:val="en-GB"/>
        </w:rPr>
        <w:t>ositive f</w:t>
      </w:r>
      <w:r w:rsidRPr="5575EBFC">
        <w:rPr>
          <w:lang w:val="en-GB"/>
        </w:rPr>
        <w:t xml:space="preserve">eedback loops between drivers remain poorly understood but are critical </w:t>
      </w:r>
      <w:r w:rsidR="42442220" w:rsidRPr="5575EBFC">
        <w:rPr>
          <w:lang w:val="en-GB"/>
        </w:rPr>
        <w:t xml:space="preserve">to </w:t>
      </w:r>
      <w:r w:rsidR="7647D160" w:rsidRPr="5575EBFC">
        <w:rPr>
          <w:lang w:val="en-GB"/>
        </w:rPr>
        <w:t xml:space="preserve">understanding and </w:t>
      </w:r>
      <w:r w:rsidRPr="5575EBFC">
        <w:rPr>
          <w:lang w:val="en-GB"/>
        </w:rPr>
        <w:t xml:space="preserve">addressing </w:t>
      </w:r>
      <w:r w:rsidR="0723BA9A" w:rsidRPr="5575EBFC">
        <w:rPr>
          <w:lang w:val="en-GB"/>
        </w:rPr>
        <w:t xml:space="preserve">complex spatial </w:t>
      </w:r>
      <w:r w:rsidR="48D2285C" w:rsidRPr="5575EBFC">
        <w:rPr>
          <w:lang w:val="en-GB"/>
        </w:rPr>
        <w:t xml:space="preserve">patterns </w:t>
      </w:r>
      <w:r w:rsidR="0723BA9A" w:rsidRPr="5575EBFC">
        <w:rPr>
          <w:lang w:val="en-GB"/>
        </w:rPr>
        <w:t xml:space="preserve">and temporal </w:t>
      </w:r>
      <w:r w:rsidR="74AE815A" w:rsidRPr="5575EBFC">
        <w:rPr>
          <w:lang w:val="en-GB"/>
        </w:rPr>
        <w:t>dynamics</w:t>
      </w:r>
      <w:r w:rsidR="0723BA9A" w:rsidRPr="5575EBFC">
        <w:rPr>
          <w:lang w:val="en-GB"/>
        </w:rPr>
        <w:t xml:space="preserve"> in </w:t>
      </w:r>
      <w:r w:rsidRPr="5575EBFC">
        <w:rPr>
          <w:lang w:val="en-GB"/>
        </w:rPr>
        <w:t>biological invasions (</w:t>
      </w:r>
      <w:r w:rsidRPr="5575EBFC">
        <w:rPr>
          <w:i/>
          <w:iCs/>
          <w:lang w:val="en-GB"/>
        </w:rPr>
        <w:t>established but incomplete</w:t>
      </w:r>
      <w:r w:rsidRPr="5575EBFC">
        <w:rPr>
          <w:lang w:val="en-GB"/>
        </w:rPr>
        <w:t>) {</w:t>
      </w:r>
      <w:r w:rsidR="0723BA9A" w:rsidRPr="5575EBFC">
        <w:rPr>
          <w:lang w:val="en-GB"/>
        </w:rPr>
        <w:t>3.1.</w:t>
      </w:r>
      <w:r w:rsidR="44AEC6E4" w:rsidRPr="5575EBFC">
        <w:rPr>
          <w:lang w:val="en-GB"/>
        </w:rPr>
        <w:t>5</w:t>
      </w:r>
      <w:r w:rsidR="02004C1B" w:rsidRPr="5575EBFC">
        <w:rPr>
          <w:lang w:val="en-GB"/>
        </w:rPr>
        <w:t>,</w:t>
      </w:r>
      <w:r w:rsidR="0723BA9A" w:rsidRPr="5575EBFC">
        <w:rPr>
          <w:lang w:val="en-GB"/>
        </w:rPr>
        <w:t xml:space="preserve"> 3.2.1</w:t>
      </w:r>
      <w:r w:rsidR="02004C1B" w:rsidRPr="5575EBFC">
        <w:rPr>
          <w:lang w:val="en-GB"/>
        </w:rPr>
        <w:t>,</w:t>
      </w:r>
      <w:r w:rsidR="0723BA9A" w:rsidRPr="5575EBFC">
        <w:rPr>
          <w:lang w:val="en-GB"/>
        </w:rPr>
        <w:t xml:space="preserve"> 3.2.3.1</w:t>
      </w:r>
      <w:r w:rsidR="02004C1B" w:rsidRPr="5575EBFC">
        <w:rPr>
          <w:lang w:val="en-GB"/>
        </w:rPr>
        <w:t>,</w:t>
      </w:r>
      <w:r w:rsidR="0723BA9A" w:rsidRPr="5575EBFC">
        <w:rPr>
          <w:lang w:val="en-GB"/>
        </w:rPr>
        <w:t xml:space="preserve"> 3.2.3.2</w:t>
      </w:r>
      <w:r w:rsidR="02004C1B" w:rsidRPr="5575EBFC">
        <w:rPr>
          <w:lang w:val="en-GB"/>
        </w:rPr>
        <w:t>,</w:t>
      </w:r>
      <w:r w:rsidR="0723BA9A" w:rsidRPr="5575EBFC">
        <w:rPr>
          <w:lang w:val="en-GB"/>
        </w:rPr>
        <w:t xml:space="preserve"> </w:t>
      </w:r>
      <w:r w:rsidRPr="5575EBFC">
        <w:rPr>
          <w:lang w:val="en-GB"/>
        </w:rPr>
        <w:t>3.3.4</w:t>
      </w:r>
      <w:r w:rsidR="02004C1B" w:rsidRPr="5575EBFC">
        <w:rPr>
          <w:lang w:val="en-GB"/>
        </w:rPr>
        <w:t>,</w:t>
      </w:r>
      <w:r w:rsidR="5DAA2474" w:rsidRPr="5575EBFC">
        <w:rPr>
          <w:lang w:val="en-GB"/>
        </w:rPr>
        <w:t xml:space="preserve"> </w:t>
      </w:r>
      <w:r w:rsidR="052B9CD2" w:rsidRPr="5575EBFC">
        <w:rPr>
          <w:lang w:val="en-GB"/>
        </w:rPr>
        <w:t>3.</w:t>
      </w:r>
      <w:r w:rsidR="04A23833" w:rsidRPr="5575EBFC">
        <w:rPr>
          <w:lang w:val="en-GB"/>
        </w:rPr>
        <w:t>5</w:t>
      </w:r>
      <w:r w:rsidR="02004C1B" w:rsidRPr="5575EBFC">
        <w:rPr>
          <w:lang w:val="en-GB"/>
        </w:rPr>
        <w:t>, 3.6.1</w:t>
      </w:r>
      <w:r w:rsidR="118DFCBC" w:rsidRPr="5575EBFC">
        <w:rPr>
          <w:lang w:val="en-GB"/>
        </w:rPr>
        <w:t>}</w:t>
      </w:r>
      <w:r w:rsidRPr="5575EBFC">
        <w:rPr>
          <w:lang w:val="en-GB"/>
        </w:rPr>
        <w:t>. </w:t>
      </w:r>
    </w:p>
    <w:p w14:paraId="623590EA" w14:textId="658ECA6E" w:rsidR="7E5CFD5F" w:rsidRPr="00DA249F" w:rsidRDefault="45B14323">
      <w:pPr>
        <w:pStyle w:val="ListParagraph"/>
        <w:numPr>
          <w:ilvl w:val="0"/>
          <w:numId w:val="12"/>
        </w:numPr>
        <w:rPr>
          <w:rFonts w:eastAsia="DengXian"/>
          <w:color w:val="000000" w:themeColor="text1"/>
          <w:szCs w:val="24"/>
          <w:lang w:val="en-GB"/>
        </w:rPr>
      </w:pPr>
      <w:r w:rsidRPr="728F2DAF">
        <w:rPr>
          <w:b/>
          <w:bCs/>
          <w:lang w:val="en-GB"/>
        </w:rPr>
        <w:t>Historically</w:t>
      </w:r>
      <w:r w:rsidR="21382245" w:rsidRPr="728F2DAF">
        <w:rPr>
          <w:b/>
          <w:bCs/>
          <w:lang w:val="en-GB"/>
        </w:rPr>
        <w:t xml:space="preserve"> important </w:t>
      </w:r>
      <w:r w:rsidR="067C1E4A" w:rsidRPr="728F2DAF">
        <w:rPr>
          <w:b/>
          <w:bCs/>
          <w:lang w:val="en-GB"/>
        </w:rPr>
        <w:t xml:space="preserve">drivers of change </w:t>
      </w:r>
      <w:r w:rsidR="07C75AC4" w:rsidRPr="728F2DAF">
        <w:rPr>
          <w:b/>
          <w:bCs/>
          <w:lang w:val="en-GB"/>
        </w:rPr>
        <w:t>in nature</w:t>
      </w:r>
      <w:r w:rsidR="21382245" w:rsidRPr="728F2DAF">
        <w:rPr>
          <w:b/>
          <w:bCs/>
          <w:lang w:val="en-GB"/>
        </w:rPr>
        <w:t xml:space="preserve"> such as </w:t>
      </w:r>
      <w:r w:rsidR="0D4A0FFB" w:rsidRPr="728F2DAF">
        <w:rPr>
          <w:b/>
          <w:bCs/>
          <w:lang w:val="en-GB"/>
        </w:rPr>
        <w:t xml:space="preserve">trade, </w:t>
      </w:r>
      <w:r w:rsidR="705D88D7" w:rsidRPr="728F2DAF">
        <w:rPr>
          <w:b/>
          <w:bCs/>
          <w:lang w:val="en-GB"/>
        </w:rPr>
        <w:t xml:space="preserve">land-use change and </w:t>
      </w:r>
      <w:r w:rsidR="6C0802E1" w:rsidRPr="728F2DAF">
        <w:rPr>
          <w:rStyle w:val="normaltextrun"/>
          <w:b/>
          <w:bCs/>
          <w:color w:val="000000" w:themeColor="text1"/>
          <w:lang w:val="en-GB"/>
        </w:rPr>
        <w:t>direct exploitation of natural resources</w:t>
      </w:r>
      <w:r w:rsidR="6C0802E1" w:rsidRPr="728F2DAF">
        <w:rPr>
          <w:b/>
          <w:bCs/>
          <w:lang w:val="en-GB"/>
        </w:rPr>
        <w:t xml:space="preserve"> </w:t>
      </w:r>
      <w:r w:rsidR="21382245" w:rsidRPr="728F2DAF">
        <w:rPr>
          <w:b/>
          <w:bCs/>
          <w:lang w:val="en-GB"/>
        </w:rPr>
        <w:t xml:space="preserve">remain </w:t>
      </w:r>
      <w:r w:rsidR="2E9C2BF8" w:rsidRPr="728F2DAF">
        <w:rPr>
          <w:b/>
          <w:bCs/>
          <w:lang w:val="en-GB"/>
        </w:rPr>
        <w:t>major</w:t>
      </w:r>
      <w:r w:rsidR="705D88D7" w:rsidRPr="728F2DAF">
        <w:rPr>
          <w:b/>
          <w:bCs/>
          <w:lang w:val="en-GB"/>
        </w:rPr>
        <w:t xml:space="preserve"> </w:t>
      </w:r>
      <w:r w:rsidR="3B71C0F9" w:rsidRPr="728F2DAF">
        <w:rPr>
          <w:b/>
          <w:bCs/>
          <w:lang w:val="en-GB"/>
        </w:rPr>
        <w:t>causes</w:t>
      </w:r>
      <w:r w:rsidR="705D88D7" w:rsidRPr="728F2DAF">
        <w:rPr>
          <w:b/>
          <w:bCs/>
          <w:lang w:val="en-GB"/>
        </w:rPr>
        <w:t xml:space="preserve"> of </w:t>
      </w:r>
      <w:r w:rsidR="67E15808" w:rsidRPr="728F2DAF">
        <w:rPr>
          <w:b/>
          <w:bCs/>
          <w:lang w:val="en-GB"/>
        </w:rPr>
        <w:t>invasive alien species</w:t>
      </w:r>
      <w:r w:rsidR="21382245" w:rsidRPr="728F2DAF">
        <w:rPr>
          <w:b/>
          <w:bCs/>
          <w:lang w:val="en-GB"/>
        </w:rPr>
        <w:t xml:space="preserve"> introduction and spread </w:t>
      </w:r>
      <w:r w:rsidR="16CD1B9D" w:rsidRPr="728F2DAF">
        <w:rPr>
          <w:b/>
          <w:bCs/>
          <w:lang w:val="en-GB"/>
        </w:rPr>
        <w:t>but</w:t>
      </w:r>
      <w:r w:rsidR="21382245" w:rsidRPr="728F2DAF">
        <w:rPr>
          <w:b/>
          <w:bCs/>
          <w:lang w:val="en-GB"/>
        </w:rPr>
        <w:t xml:space="preserve"> the role of climate change</w:t>
      </w:r>
      <w:r w:rsidR="0D79DB9D" w:rsidRPr="728F2DAF">
        <w:rPr>
          <w:b/>
          <w:bCs/>
          <w:lang w:val="en-GB"/>
        </w:rPr>
        <w:t xml:space="preserve"> and biodiversity loss</w:t>
      </w:r>
      <w:r w:rsidR="10C9727C" w:rsidRPr="728F2DAF">
        <w:rPr>
          <w:b/>
          <w:bCs/>
          <w:lang w:val="en-GB"/>
        </w:rPr>
        <w:t xml:space="preserve"> </w:t>
      </w:r>
      <w:r w:rsidR="21382245" w:rsidRPr="728F2DAF">
        <w:rPr>
          <w:b/>
          <w:bCs/>
          <w:lang w:val="en-GB"/>
        </w:rPr>
        <w:t xml:space="preserve">will </w:t>
      </w:r>
      <w:r w:rsidR="0A7AEC00" w:rsidRPr="728F2DAF">
        <w:rPr>
          <w:b/>
          <w:bCs/>
          <w:lang w:val="en-GB"/>
        </w:rPr>
        <w:t>increasing</w:t>
      </w:r>
      <w:r w:rsidR="21382245" w:rsidRPr="728F2DAF">
        <w:rPr>
          <w:b/>
          <w:bCs/>
          <w:lang w:val="en-GB"/>
        </w:rPr>
        <w:t xml:space="preserve">ly shape future </w:t>
      </w:r>
      <w:r w:rsidR="3641F473" w:rsidRPr="728F2DAF">
        <w:rPr>
          <w:b/>
          <w:bCs/>
          <w:lang w:val="en-GB"/>
        </w:rPr>
        <w:t xml:space="preserve">global </w:t>
      </w:r>
      <w:r w:rsidR="21382245" w:rsidRPr="728F2DAF">
        <w:rPr>
          <w:b/>
          <w:bCs/>
          <w:lang w:val="en-GB"/>
        </w:rPr>
        <w:t xml:space="preserve">trends in </w:t>
      </w:r>
      <w:r w:rsidR="180D630C" w:rsidRPr="728F2DAF">
        <w:rPr>
          <w:b/>
          <w:bCs/>
          <w:lang w:val="en-GB"/>
        </w:rPr>
        <w:t>invasive alien species</w:t>
      </w:r>
      <w:r w:rsidR="21382245" w:rsidRPr="728F2DAF">
        <w:rPr>
          <w:b/>
          <w:bCs/>
          <w:lang w:val="en-GB"/>
        </w:rPr>
        <w:t>, potentially with a significant temporal lag</w:t>
      </w:r>
      <w:r w:rsidR="00AB498A">
        <w:rPr>
          <w:b/>
          <w:bCs/>
          <w:lang w:val="en-GB"/>
        </w:rPr>
        <w:t xml:space="preserve"> </w:t>
      </w:r>
      <w:r w:rsidR="21382245" w:rsidRPr="728F2DAF">
        <w:rPr>
          <w:b/>
          <w:bCs/>
          <w:lang w:val="en-GB"/>
        </w:rPr>
        <w:t>(</w:t>
      </w:r>
      <w:r w:rsidR="21382245" w:rsidRPr="728F2DAF">
        <w:rPr>
          <w:b/>
          <w:bCs/>
          <w:i/>
          <w:iCs/>
          <w:lang w:val="en-GB"/>
        </w:rPr>
        <w:t>established but incomplete</w:t>
      </w:r>
      <w:r w:rsidR="21382245" w:rsidRPr="728F2DAF">
        <w:rPr>
          <w:b/>
          <w:bCs/>
          <w:lang w:val="en-GB"/>
        </w:rPr>
        <w:t>)</w:t>
      </w:r>
      <w:r w:rsidR="5A592009" w:rsidRPr="728F2DAF">
        <w:rPr>
          <w:b/>
          <w:bCs/>
          <w:lang w:val="en-GB"/>
        </w:rPr>
        <w:t xml:space="preserve"> {</w:t>
      </w:r>
      <w:r w:rsidR="47FA2FFD" w:rsidRPr="728F2DAF">
        <w:rPr>
          <w:b/>
          <w:bCs/>
          <w:lang w:val="en-GB"/>
        </w:rPr>
        <w:t>3.2.3</w:t>
      </w:r>
      <w:r w:rsidR="549D91FA" w:rsidRPr="728F2DAF">
        <w:rPr>
          <w:b/>
          <w:bCs/>
          <w:lang w:val="en-GB"/>
        </w:rPr>
        <w:t>,</w:t>
      </w:r>
      <w:r w:rsidR="749E92E8" w:rsidRPr="728F2DAF">
        <w:rPr>
          <w:b/>
          <w:bCs/>
          <w:lang w:val="en-GB"/>
        </w:rPr>
        <w:t xml:space="preserve"> </w:t>
      </w:r>
      <w:r w:rsidR="5A592009" w:rsidRPr="728F2DAF">
        <w:rPr>
          <w:b/>
          <w:bCs/>
          <w:lang w:val="en-GB"/>
        </w:rPr>
        <w:t>3.3.1</w:t>
      </w:r>
      <w:r w:rsidR="549D91FA" w:rsidRPr="728F2DAF">
        <w:rPr>
          <w:b/>
          <w:bCs/>
          <w:lang w:val="en-GB"/>
        </w:rPr>
        <w:t>,</w:t>
      </w:r>
      <w:r w:rsidR="5A592009" w:rsidRPr="728F2DAF">
        <w:rPr>
          <w:b/>
          <w:bCs/>
          <w:lang w:val="en-GB"/>
        </w:rPr>
        <w:t xml:space="preserve"> 3.3.2</w:t>
      </w:r>
      <w:r w:rsidR="549D91FA" w:rsidRPr="728F2DAF">
        <w:rPr>
          <w:b/>
          <w:bCs/>
          <w:lang w:val="en-GB"/>
        </w:rPr>
        <w:t>,</w:t>
      </w:r>
      <w:r w:rsidR="5A592009" w:rsidRPr="728F2DAF">
        <w:rPr>
          <w:b/>
          <w:bCs/>
          <w:lang w:val="en-GB"/>
        </w:rPr>
        <w:t xml:space="preserve"> 3.3.4</w:t>
      </w:r>
      <w:r w:rsidR="549D91FA" w:rsidRPr="728F2DAF">
        <w:rPr>
          <w:b/>
          <w:bCs/>
          <w:lang w:val="en-GB"/>
        </w:rPr>
        <w:t>,</w:t>
      </w:r>
      <w:r w:rsidR="5A592009" w:rsidRPr="728F2DAF">
        <w:rPr>
          <w:b/>
          <w:bCs/>
          <w:lang w:val="en-GB"/>
        </w:rPr>
        <w:t xml:space="preserve"> </w:t>
      </w:r>
      <w:r w:rsidR="4383250E" w:rsidRPr="728F2DAF">
        <w:rPr>
          <w:b/>
          <w:bCs/>
          <w:lang w:val="en-GB"/>
        </w:rPr>
        <w:t>3.</w:t>
      </w:r>
      <w:r w:rsidR="2F78E0AC" w:rsidRPr="728F2DAF">
        <w:rPr>
          <w:b/>
          <w:bCs/>
          <w:lang w:val="en-GB"/>
        </w:rPr>
        <w:t>4.2</w:t>
      </w:r>
      <w:r w:rsidR="5A592009" w:rsidRPr="728F2DAF">
        <w:rPr>
          <w:b/>
          <w:bCs/>
          <w:lang w:val="en-GB"/>
        </w:rPr>
        <w:t>}</w:t>
      </w:r>
      <w:r w:rsidR="21382245" w:rsidRPr="728F2DAF">
        <w:rPr>
          <w:b/>
          <w:bCs/>
          <w:lang w:val="en-GB"/>
        </w:rPr>
        <w:t>.</w:t>
      </w:r>
      <w:r w:rsidR="7CF330B9" w:rsidRPr="728F2DAF">
        <w:rPr>
          <w:lang w:val="en-GB"/>
        </w:rPr>
        <w:t xml:space="preserve"> </w:t>
      </w:r>
      <w:r w:rsidR="781B4FAB" w:rsidRPr="728F2DAF">
        <w:rPr>
          <w:lang w:val="en-GB"/>
        </w:rPr>
        <w:t>While</w:t>
      </w:r>
      <w:r w:rsidR="62D20BE5" w:rsidRPr="728F2DAF">
        <w:rPr>
          <w:lang w:val="en-GB"/>
        </w:rPr>
        <w:t xml:space="preserve"> </w:t>
      </w:r>
      <w:r w:rsidR="086FAEEF" w:rsidRPr="728F2DAF">
        <w:rPr>
          <w:lang w:val="en-GB"/>
        </w:rPr>
        <w:t>s</w:t>
      </w:r>
      <w:r w:rsidR="28873CF6" w:rsidRPr="728F2DAF">
        <w:rPr>
          <w:lang w:val="en-GB"/>
        </w:rPr>
        <w:t xml:space="preserve">ome </w:t>
      </w:r>
      <w:r w:rsidR="21382245" w:rsidRPr="728F2DAF">
        <w:rPr>
          <w:lang w:val="en-GB"/>
        </w:rPr>
        <w:t xml:space="preserve">countries </w:t>
      </w:r>
      <w:r w:rsidR="086FAEEF" w:rsidRPr="728F2DAF">
        <w:rPr>
          <w:lang w:val="en-GB"/>
        </w:rPr>
        <w:t xml:space="preserve">are </w:t>
      </w:r>
      <w:r w:rsidR="21382245" w:rsidRPr="728F2DAF">
        <w:rPr>
          <w:lang w:val="en-GB"/>
        </w:rPr>
        <w:t>mov</w:t>
      </w:r>
      <w:r w:rsidR="086FAEEF" w:rsidRPr="728F2DAF">
        <w:rPr>
          <w:lang w:val="en-GB"/>
        </w:rPr>
        <w:t>ing</w:t>
      </w:r>
      <w:r w:rsidR="21382245" w:rsidRPr="728F2DAF">
        <w:rPr>
          <w:lang w:val="en-GB"/>
        </w:rPr>
        <w:t xml:space="preserve"> away from </w:t>
      </w:r>
      <w:r w:rsidR="630B850E" w:rsidRPr="728F2DAF">
        <w:rPr>
          <w:lang w:val="en-GB"/>
        </w:rPr>
        <w:t>intentional</w:t>
      </w:r>
      <w:r w:rsidR="21382245" w:rsidRPr="728F2DAF">
        <w:rPr>
          <w:lang w:val="en-GB"/>
        </w:rPr>
        <w:t xml:space="preserve"> introductions of alien species for </w:t>
      </w:r>
      <w:r w:rsidR="2771AAFF" w:rsidRPr="728F2DAF">
        <w:rPr>
          <w:lang w:val="en-GB"/>
        </w:rPr>
        <w:t>uses in</w:t>
      </w:r>
      <w:r w:rsidR="5A4375E2" w:rsidRPr="728F2DAF">
        <w:rPr>
          <w:lang w:val="en-GB"/>
        </w:rPr>
        <w:t xml:space="preserve"> </w:t>
      </w:r>
      <w:r w:rsidR="21382245" w:rsidRPr="728F2DAF">
        <w:rPr>
          <w:lang w:val="en-GB"/>
        </w:rPr>
        <w:t>agriculture</w:t>
      </w:r>
      <w:r w:rsidR="48D1F00C" w:rsidRPr="728F2DAF">
        <w:rPr>
          <w:lang w:val="en-GB"/>
        </w:rPr>
        <w:t>,</w:t>
      </w:r>
      <w:r w:rsidR="5942CA68" w:rsidRPr="728F2DAF">
        <w:rPr>
          <w:lang w:val="en-GB"/>
        </w:rPr>
        <w:t xml:space="preserve"> </w:t>
      </w:r>
      <w:r w:rsidR="1A8BA6D7" w:rsidRPr="728F2DAF">
        <w:rPr>
          <w:lang w:val="en-GB"/>
        </w:rPr>
        <w:t>aquaculture,</w:t>
      </w:r>
      <w:r w:rsidR="5A4375E2" w:rsidRPr="728F2DAF">
        <w:rPr>
          <w:lang w:val="en-GB"/>
        </w:rPr>
        <w:t xml:space="preserve"> </w:t>
      </w:r>
      <w:r w:rsidR="21382245" w:rsidRPr="728F2DAF">
        <w:rPr>
          <w:lang w:val="en-GB"/>
        </w:rPr>
        <w:t>forestry</w:t>
      </w:r>
      <w:r w:rsidR="02934332" w:rsidRPr="728F2DAF">
        <w:rPr>
          <w:lang w:val="en-GB"/>
        </w:rPr>
        <w:t xml:space="preserve">, </w:t>
      </w:r>
      <w:r w:rsidR="66B8F7CB" w:rsidRPr="728F2DAF">
        <w:rPr>
          <w:lang w:val="en-GB"/>
        </w:rPr>
        <w:t xml:space="preserve">horticulture, </w:t>
      </w:r>
      <w:r w:rsidR="02934332" w:rsidRPr="728F2DAF">
        <w:rPr>
          <w:lang w:val="en-GB"/>
        </w:rPr>
        <w:t>fishing, hunting</w:t>
      </w:r>
      <w:r w:rsidR="009F7404">
        <w:rPr>
          <w:lang w:val="en-GB"/>
        </w:rPr>
        <w:t xml:space="preserve"> and</w:t>
      </w:r>
      <w:r w:rsidR="02934332" w:rsidRPr="728F2DAF">
        <w:rPr>
          <w:lang w:val="en-GB"/>
        </w:rPr>
        <w:t xml:space="preserve"> ornamental purposes</w:t>
      </w:r>
      <w:r w:rsidR="086FAEEF" w:rsidRPr="728F2DAF">
        <w:rPr>
          <w:lang w:val="en-GB"/>
        </w:rPr>
        <w:t>,</w:t>
      </w:r>
      <w:r w:rsidR="21382245" w:rsidRPr="728F2DAF">
        <w:rPr>
          <w:lang w:val="en-GB"/>
        </w:rPr>
        <w:t xml:space="preserve"> </w:t>
      </w:r>
      <w:r w:rsidR="28873CF6" w:rsidRPr="728F2DAF">
        <w:rPr>
          <w:lang w:val="en-GB"/>
        </w:rPr>
        <w:t>other</w:t>
      </w:r>
      <w:r w:rsidR="62D20BE5" w:rsidRPr="728F2DAF">
        <w:rPr>
          <w:lang w:val="en-GB"/>
        </w:rPr>
        <w:t xml:space="preserve"> </w:t>
      </w:r>
      <w:r w:rsidR="00E77D81">
        <w:rPr>
          <w:lang w:val="en-GB"/>
        </w:rPr>
        <w:t>countries</w:t>
      </w:r>
      <w:r w:rsidR="00E77D81" w:rsidRPr="728F2DAF">
        <w:rPr>
          <w:lang w:val="en-GB"/>
        </w:rPr>
        <w:t xml:space="preserve"> </w:t>
      </w:r>
      <w:r w:rsidR="63D793FC" w:rsidRPr="728F2DAF">
        <w:rPr>
          <w:lang w:val="en-GB"/>
        </w:rPr>
        <w:t>do not effectively regulate and manage the use of</w:t>
      </w:r>
      <w:r w:rsidR="526FFE69" w:rsidRPr="728F2DAF">
        <w:rPr>
          <w:lang w:val="en-GB"/>
        </w:rPr>
        <w:t xml:space="preserve"> invasive</w:t>
      </w:r>
      <w:r w:rsidR="63D793FC" w:rsidRPr="728F2DAF">
        <w:rPr>
          <w:lang w:val="en-GB"/>
        </w:rPr>
        <w:t xml:space="preserve"> alien species for these purposes</w:t>
      </w:r>
      <w:r w:rsidR="3B696914" w:rsidRPr="728F2DAF">
        <w:rPr>
          <w:lang w:val="en-GB"/>
        </w:rPr>
        <w:t xml:space="preserve">, resulting in sustained or increased rates of introduction and spread in </w:t>
      </w:r>
      <w:r w:rsidR="501AAA2D" w:rsidRPr="728F2DAF">
        <w:rPr>
          <w:lang w:val="en-GB"/>
        </w:rPr>
        <w:t>affected</w:t>
      </w:r>
      <w:r w:rsidR="3B696914" w:rsidRPr="728F2DAF">
        <w:rPr>
          <w:lang w:val="en-GB"/>
        </w:rPr>
        <w:t xml:space="preserve"> regions</w:t>
      </w:r>
      <w:r w:rsidR="62D20BE5" w:rsidRPr="728F2DAF">
        <w:rPr>
          <w:lang w:val="en-GB"/>
        </w:rPr>
        <w:t xml:space="preserve"> </w:t>
      </w:r>
      <w:r w:rsidR="21382245" w:rsidRPr="728F2DAF">
        <w:rPr>
          <w:lang w:val="en-GB"/>
        </w:rPr>
        <w:t>(</w:t>
      </w:r>
      <w:r w:rsidR="4B66782A" w:rsidRPr="728F2DAF">
        <w:rPr>
          <w:i/>
          <w:iCs/>
          <w:lang w:val="en-GB"/>
        </w:rPr>
        <w:t>established but</w:t>
      </w:r>
      <w:r w:rsidR="636A6F1F" w:rsidRPr="728F2DAF">
        <w:rPr>
          <w:i/>
          <w:iCs/>
          <w:lang w:val="en-GB"/>
        </w:rPr>
        <w:t xml:space="preserve"> incomplete</w:t>
      </w:r>
      <w:r w:rsidR="21382245" w:rsidRPr="728F2DAF">
        <w:rPr>
          <w:lang w:val="en-GB"/>
        </w:rPr>
        <w:t>)</w:t>
      </w:r>
      <w:r w:rsidR="404E4A4C" w:rsidRPr="728F2DAF">
        <w:rPr>
          <w:lang w:val="en-GB"/>
        </w:rPr>
        <w:t xml:space="preserve"> {</w:t>
      </w:r>
      <w:r w:rsidR="3D8C550F" w:rsidRPr="728F2DAF">
        <w:rPr>
          <w:lang w:val="en-GB"/>
        </w:rPr>
        <w:t>3.2.5</w:t>
      </w:r>
      <w:r w:rsidR="549D91FA" w:rsidRPr="728F2DAF">
        <w:rPr>
          <w:lang w:val="en-GB"/>
        </w:rPr>
        <w:t>,</w:t>
      </w:r>
      <w:r w:rsidR="3D8C550F" w:rsidRPr="728F2DAF">
        <w:rPr>
          <w:lang w:val="en-GB"/>
        </w:rPr>
        <w:t xml:space="preserve"> </w:t>
      </w:r>
      <w:r w:rsidR="404E4A4C" w:rsidRPr="728F2DAF">
        <w:rPr>
          <w:lang w:val="en-GB"/>
        </w:rPr>
        <w:t>3.</w:t>
      </w:r>
      <w:r w:rsidR="6E990C9C" w:rsidRPr="728F2DAF">
        <w:rPr>
          <w:lang w:val="en-GB"/>
        </w:rPr>
        <w:t>2.3.2</w:t>
      </w:r>
      <w:r w:rsidR="549D91FA" w:rsidRPr="728F2DAF">
        <w:rPr>
          <w:lang w:val="en-GB"/>
        </w:rPr>
        <w:t>,</w:t>
      </w:r>
      <w:r w:rsidR="6E990C9C" w:rsidRPr="728F2DAF">
        <w:rPr>
          <w:lang w:val="en-GB"/>
        </w:rPr>
        <w:t xml:space="preserve"> </w:t>
      </w:r>
      <w:r w:rsidR="404E4A4C" w:rsidRPr="728F2DAF">
        <w:rPr>
          <w:lang w:val="en-GB"/>
        </w:rPr>
        <w:t>3.3.1.1</w:t>
      </w:r>
      <w:r w:rsidR="57CCDE3F" w:rsidRPr="728F2DAF">
        <w:rPr>
          <w:lang w:val="en-GB"/>
        </w:rPr>
        <w:t>}.</w:t>
      </w:r>
      <w:r w:rsidR="21382245" w:rsidRPr="728F2DAF">
        <w:rPr>
          <w:lang w:val="en-GB"/>
        </w:rPr>
        <w:t xml:space="preserve"> The increasing role </w:t>
      </w:r>
      <w:r w:rsidR="44F95D94" w:rsidRPr="728F2DAF">
        <w:rPr>
          <w:lang w:val="en-GB"/>
        </w:rPr>
        <w:t xml:space="preserve">of </w:t>
      </w:r>
      <w:r w:rsidR="21382245" w:rsidRPr="728F2DAF">
        <w:rPr>
          <w:lang w:val="en-GB"/>
        </w:rPr>
        <w:t xml:space="preserve">climate change </w:t>
      </w:r>
      <w:r w:rsidR="17AAB537" w:rsidRPr="728F2DAF">
        <w:rPr>
          <w:lang w:val="en-GB"/>
        </w:rPr>
        <w:t>and biodiversity loss</w:t>
      </w:r>
      <w:r w:rsidR="5A4375E2" w:rsidRPr="728F2DAF">
        <w:rPr>
          <w:lang w:val="en-GB"/>
        </w:rPr>
        <w:t xml:space="preserve"> </w:t>
      </w:r>
      <w:r w:rsidR="21382245" w:rsidRPr="728F2DAF">
        <w:rPr>
          <w:lang w:val="en-GB"/>
        </w:rPr>
        <w:t>in facilitating the</w:t>
      </w:r>
      <w:r w:rsidR="00E77D81">
        <w:rPr>
          <w:lang w:val="en-GB"/>
        </w:rPr>
        <w:t xml:space="preserve"> </w:t>
      </w:r>
      <w:r w:rsidR="21382245" w:rsidRPr="728F2DAF">
        <w:rPr>
          <w:lang w:val="en-GB"/>
        </w:rPr>
        <w:t xml:space="preserve">establishment and spread of </w:t>
      </w:r>
      <w:r w:rsidR="67E15808" w:rsidRPr="728F2DAF">
        <w:rPr>
          <w:lang w:val="en-GB"/>
        </w:rPr>
        <w:t>invasive alien species</w:t>
      </w:r>
      <w:r w:rsidR="21382245" w:rsidRPr="728F2DAF">
        <w:rPr>
          <w:lang w:val="en-GB"/>
        </w:rPr>
        <w:t xml:space="preserve"> is indicative that past patterns of </w:t>
      </w:r>
      <w:r w:rsidR="184ECF28" w:rsidRPr="728F2DAF">
        <w:rPr>
          <w:lang w:val="en-GB"/>
        </w:rPr>
        <w:t>biological invasions</w:t>
      </w:r>
      <w:r w:rsidR="21382245" w:rsidRPr="728F2DAF">
        <w:rPr>
          <w:lang w:val="en-GB"/>
        </w:rPr>
        <w:t xml:space="preserve"> may not be a good guide to future</w:t>
      </w:r>
      <w:r w:rsidR="7287411E" w:rsidRPr="728F2DAF">
        <w:rPr>
          <w:lang w:val="en-GB"/>
        </w:rPr>
        <w:t xml:space="preserve"> patterns</w:t>
      </w:r>
      <w:r w:rsidR="21382245" w:rsidRPr="728F2DAF">
        <w:rPr>
          <w:lang w:val="en-GB"/>
        </w:rPr>
        <w:t> (</w:t>
      </w:r>
      <w:r w:rsidR="11335A55" w:rsidRPr="728F2DAF">
        <w:rPr>
          <w:i/>
          <w:iCs/>
          <w:lang w:val="en-GB"/>
        </w:rPr>
        <w:t>well</w:t>
      </w:r>
      <w:r w:rsidR="11335A55" w:rsidRPr="728F2DAF">
        <w:rPr>
          <w:lang w:val="en-GB"/>
        </w:rPr>
        <w:t xml:space="preserve"> </w:t>
      </w:r>
      <w:r w:rsidR="21382245" w:rsidRPr="728F2DAF">
        <w:rPr>
          <w:i/>
          <w:iCs/>
          <w:lang w:val="en-GB"/>
        </w:rPr>
        <w:t>established</w:t>
      </w:r>
      <w:r w:rsidR="21382245" w:rsidRPr="728F2DAF">
        <w:rPr>
          <w:lang w:val="en-GB"/>
        </w:rPr>
        <w:t>) {3.3.4</w:t>
      </w:r>
      <w:r w:rsidR="084C3C9D" w:rsidRPr="728F2DAF">
        <w:rPr>
          <w:lang w:val="en-GB"/>
        </w:rPr>
        <w:t>, 3.4.2</w:t>
      </w:r>
      <w:r w:rsidR="21382245" w:rsidRPr="728F2DAF">
        <w:rPr>
          <w:lang w:val="en-GB"/>
        </w:rPr>
        <w:t>}.</w:t>
      </w:r>
      <w:r w:rsidR="7CF330B9" w:rsidRPr="728F2DAF">
        <w:rPr>
          <w:lang w:val="en-GB"/>
        </w:rPr>
        <w:t xml:space="preserve"> </w:t>
      </w:r>
      <w:r w:rsidR="57932D9B" w:rsidRPr="728F2DAF">
        <w:rPr>
          <w:rFonts w:eastAsia="Times New Roman"/>
          <w:color w:val="000000" w:themeColor="text1"/>
          <w:lang w:val="en-GB"/>
        </w:rPr>
        <w:t xml:space="preserve">Furthermore, there </w:t>
      </w:r>
      <w:r w:rsidR="4B99E3B7" w:rsidRPr="728F2DAF">
        <w:rPr>
          <w:rFonts w:eastAsia="Times New Roman"/>
          <w:color w:val="000000" w:themeColor="text1"/>
          <w:lang w:val="en-GB"/>
        </w:rPr>
        <w:t>will be</w:t>
      </w:r>
      <w:r w:rsidR="57932D9B" w:rsidRPr="728F2DAF">
        <w:rPr>
          <w:rFonts w:eastAsia="Times New Roman"/>
          <w:color w:val="000000" w:themeColor="text1"/>
          <w:lang w:val="en-GB"/>
        </w:rPr>
        <w:t xml:space="preserve"> </w:t>
      </w:r>
      <w:r w:rsidR="3D142F0C" w:rsidRPr="728F2DAF">
        <w:rPr>
          <w:rFonts w:eastAsia="Times New Roman"/>
          <w:color w:val="000000" w:themeColor="text1"/>
          <w:lang w:val="en-GB"/>
        </w:rPr>
        <w:t xml:space="preserve">a </w:t>
      </w:r>
      <w:r w:rsidR="57932D9B" w:rsidRPr="728F2DAF">
        <w:rPr>
          <w:rFonts w:eastAsia="Times New Roman"/>
          <w:color w:val="000000" w:themeColor="text1"/>
          <w:lang w:val="en-GB"/>
        </w:rPr>
        <w:t xml:space="preserve">vast legacy of future invasions (invasion debt) caused </w:t>
      </w:r>
      <w:r w:rsidR="627968A1" w:rsidRPr="728F2DAF">
        <w:rPr>
          <w:rFonts w:eastAsia="Times New Roman"/>
          <w:color w:val="000000" w:themeColor="text1"/>
          <w:lang w:val="en-GB"/>
        </w:rPr>
        <w:t xml:space="preserve">by significant time </w:t>
      </w:r>
      <w:r w:rsidR="57932D9B" w:rsidRPr="728F2DAF">
        <w:rPr>
          <w:rFonts w:eastAsia="Times New Roman"/>
          <w:color w:val="000000" w:themeColor="text1"/>
          <w:lang w:val="en-GB"/>
        </w:rPr>
        <w:t xml:space="preserve">lags in the </w:t>
      </w:r>
      <w:r w:rsidR="57932D9B" w:rsidRPr="728F2DAF">
        <w:rPr>
          <w:rFonts w:eastAsia="Times New Roman"/>
          <w:color w:val="000000" w:themeColor="text1"/>
          <w:lang w:val="en-GB"/>
        </w:rPr>
        <w:lastRenderedPageBreak/>
        <w:t xml:space="preserve">response of invasive alien species to drivers of </w:t>
      </w:r>
      <w:r w:rsidR="067C1E4A" w:rsidRPr="728F2DAF">
        <w:rPr>
          <w:rFonts w:eastAsia="Times New Roman"/>
          <w:color w:val="000000" w:themeColor="text1"/>
          <w:lang w:val="en-GB"/>
        </w:rPr>
        <w:t>change in nature</w:t>
      </w:r>
      <w:r w:rsidR="0A8EBB5C" w:rsidRPr="728F2DAF">
        <w:rPr>
          <w:rFonts w:eastAsia="Times New Roman"/>
          <w:color w:val="000000" w:themeColor="text1"/>
          <w:lang w:val="en-GB"/>
        </w:rPr>
        <w:t>, and the ongoing i</w:t>
      </w:r>
      <w:r w:rsidR="57932D9B" w:rsidRPr="728F2DAF">
        <w:rPr>
          <w:rFonts w:eastAsia="Times New Roman"/>
          <w:color w:val="000000" w:themeColor="text1"/>
          <w:lang w:val="en-GB"/>
        </w:rPr>
        <w:t xml:space="preserve">ntensification of </w:t>
      </w:r>
      <w:r w:rsidR="518C81F0" w:rsidRPr="728F2DAF">
        <w:rPr>
          <w:rFonts w:eastAsia="Times New Roman"/>
          <w:color w:val="000000" w:themeColor="text1"/>
          <w:lang w:val="en-GB"/>
        </w:rPr>
        <w:t xml:space="preserve">many </w:t>
      </w:r>
      <w:r w:rsidR="57932D9B" w:rsidRPr="728F2DAF">
        <w:rPr>
          <w:rFonts w:eastAsia="Times New Roman"/>
          <w:color w:val="000000" w:themeColor="text1"/>
          <w:lang w:val="en-GB"/>
        </w:rPr>
        <w:t>drivers are responsible for increases in this legacy (</w:t>
      </w:r>
      <w:r w:rsidR="57932D9B" w:rsidRPr="728F2DAF">
        <w:rPr>
          <w:rFonts w:eastAsia="Times New Roman"/>
          <w:i/>
          <w:iCs/>
          <w:color w:val="000000" w:themeColor="text1"/>
          <w:lang w:val="en-GB"/>
        </w:rPr>
        <w:t>established but incomplete</w:t>
      </w:r>
      <w:r w:rsidR="57932D9B" w:rsidRPr="728F2DAF">
        <w:rPr>
          <w:rFonts w:eastAsia="Times New Roman"/>
          <w:color w:val="000000" w:themeColor="text1"/>
          <w:lang w:val="en-GB"/>
        </w:rPr>
        <w:t>) {</w:t>
      </w:r>
      <w:r w:rsidR="7F462B5A" w:rsidRPr="728F2DAF">
        <w:rPr>
          <w:rFonts w:eastAsia="Times New Roman"/>
          <w:color w:val="000000" w:themeColor="text1"/>
          <w:lang w:val="en-GB"/>
        </w:rPr>
        <w:t xml:space="preserve">3.1.1, </w:t>
      </w:r>
      <w:r w:rsidR="57932D9B" w:rsidRPr="728F2DAF">
        <w:rPr>
          <w:rFonts w:eastAsia="Times New Roman"/>
          <w:color w:val="000000" w:themeColor="text1"/>
          <w:lang w:val="en-GB"/>
        </w:rPr>
        <w:t>3.1.5}. </w:t>
      </w:r>
    </w:p>
    <w:p w14:paraId="3C055047" w14:textId="77777777" w:rsidR="0080037E" w:rsidRPr="00DA249F" w:rsidRDefault="71F68C20" w:rsidP="004826A3">
      <w:pPr>
        <w:pStyle w:val="ListParagraph"/>
        <w:numPr>
          <w:ilvl w:val="0"/>
          <w:numId w:val="12"/>
        </w:numPr>
        <w:rPr>
          <w:rFonts w:eastAsia="Times New Roman"/>
          <w:lang w:val="en-GB"/>
        </w:rPr>
      </w:pPr>
      <w:r w:rsidRPr="5575EBFC">
        <w:rPr>
          <w:rFonts w:eastAsia="Times New Roman"/>
          <w:b/>
          <w:bCs/>
          <w:lang w:val="en-GB"/>
        </w:rPr>
        <w:t xml:space="preserve">Despite major inequalities in wealth worldwide, </w:t>
      </w:r>
      <w:r w:rsidR="1C9B2DE2" w:rsidRPr="5575EBFC">
        <w:rPr>
          <w:rFonts w:eastAsia="Times New Roman"/>
          <w:b/>
          <w:bCs/>
          <w:lang w:val="en-GB"/>
        </w:rPr>
        <w:t xml:space="preserve">economic growth facilitates biological invasions </w:t>
      </w:r>
      <w:r w:rsidR="6E5D71AD" w:rsidRPr="5575EBFC">
        <w:rPr>
          <w:rFonts w:eastAsia="Times New Roman"/>
          <w:b/>
          <w:bCs/>
          <w:lang w:val="en-GB"/>
        </w:rPr>
        <w:t>in both developed and developing countries (</w:t>
      </w:r>
      <w:r w:rsidR="6E5D71AD" w:rsidRPr="5575EBFC">
        <w:rPr>
          <w:rFonts w:eastAsia="Times New Roman"/>
          <w:b/>
          <w:bCs/>
          <w:i/>
          <w:iCs/>
          <w:lang w:val="en-GB"/>
        </w:rPr>
        <w:t>established but incomplete</w:t>
      </w:r>
      <w:r w:rsidR="6E5D71AD" w:rsidRPr="5575EBFC">
        <w:rPr>
          <w:rFonts w:eastAsia="Times New Roman"/>
          <w:b/>
          <w:bCs/>
          <w:lang w:val="en-GB"/>
        </w:rPr>
        <w:t>)</w:t>
      </w:r>
      <w:r w:rsidR="7A5A30D8" w:rsidRPr="5575EBFC">
        <w:rPr>
          <w:rFonts w:eastAsia="Times New Roman"/>
          <w:b/>
          <w:bCs/>
          <w:lang w:val="en-GB"/>
        </w:rPr>
        <w:t xml:space="preserve"> </w:t>
      </w:r>
      <w:r w:rsidR="7A5A30D8" w:rsidRPr="5575EBFC">
        <w:rPr>
          <w:b/>
          <w:bCs/>
          <w:lang w:val="en-GB"/>
        </w:rPr>
        <w:t>{3.2.3}</w:t>
      </w:r>
      <w:r w:rsidR="6E5D71AD" w:rsidRPr="5575EBFC">
        <w:rPr>
          <w:rFonts w:eastAsia="Times New Roman"/>
          <w:b/>
          <w:bCs/>
          <w:lang w:val="en-GB"/>
        </w:rPr>
        <w:t>.</w:t>
      </w:r>
      <w:r w:rsidR="75AD62D9" w:rsidRPr="5575EBFC">
        <w:rPr>
          <w:rFonts w:eastAsia="Times New Roman"/>
          <w:lang w:val="en-GB"/>
        </w:rPr>
        <w:t xml:space="preserve"> </w:t>
      </w:r>
      <w:r w:rsidR="45B0601D" w:rsidRPr="5575EBFC">
        <w:rPr>
          <w:rFonts w:eastAsia="Times New Roman"/>
          <w:lang w:val="en-GB"/>
        </w:rPr>
        <w:t xml:space="preserve">Countries with high levels of consumption tend to </w:t>
      </w:r>
      <w:r w:rsidR="6B3B46BA" w:rsidRPr="5575EBFC">
        <w:rPr>
          <w:rFonts w:eastAsia="Times New Roman"/>
          <w:lang w:val="en-GB"/>
        </w:rPr>
        <w:t xml:space="preserve">expedite </w:t>
      </w:r>
      <w:r w:rsidR="45B0601D" w:rsidRPr="5575EBFC">
        <w:rPr>
          <w:rFonts w:eastAsia="Times New Roman"/>
          <w:lang w:val="en-GB"/>
        </w:rPr>
        <w:t>the introduction and establishment of alien species</w:t>
      </w:r>
      <w:r w:rsidR="218FC7FA" w:rsidRPr="5575EBFC">
        <w:rPr>
          <w:rFonts w:eastAsia="Times New Roman"/>
          <w:lang w:val="en-GB"/>
        </w:rPr>
        <w:t>,</w:t>
      </w:r>
      <w:r w:rsidR="45B0601D" w:rsidRPr="5575EBFC">
        <w:rPr>
          <w:rFonts w:eastAsia="Times New Roman"/>
          <w:lang w:val="en-GB"/>
        </w:rPr>
        <w:t xml:space="preserve"> and the cumulative build-up of assets</w:t>
      </w:r>
      <w:r w:rsidR="23797890" w:rsidRPr="5575EBFC">
        <w:rPr>
          <w:rFonts w:eastAsia="Times New Roman"/>
          <w:lang w:val="en-GB"/>
        </w:rPr>
        <w:t>,</w:t>
      </w:r>
      <w:r w:rsidR="45B0601D" w:rsidRPr="5575EBFC">
        <w:rPr>
          <w:rFonts w:eastAsia="Times New Roman"/>
          <w:lang w:val="en-GB"/>
        </w:rPr>
        <w:t xml:space="preserve"> which support greater consumption</w:t>
      </w:r>
      <w:r w:rsidR="6C9CEDAB" w:rsidRPr="5575EBFC">
        <w:rPr>
          <w:rFonts w:eastAsia="Times New Roman"/>
          <w:lang w:val="en-GB"/>
        </w:rPr>
        <w:t>,</w:t>
      </w:r>
      <w:r w:rsidR="45B0601D" w:rsidRPr="5575EBFC">
        <w:rPr>
          <w:rFonts w:eastAsia="Times New Roman"/>
          <w:lang w:val="en-GB"/>
        </w:rPr>
        <w:t xml:space="preserve"> may lead to more immediate increases in numbers of alien species</w:t>
      </w:r>
      <w:r w:rsidR="57B07A75" w:rsidRPr="5575EBFC">
        <w:rPr>
          <w:rFonts w:eastAsia="Times New Roman"/>
          <w:lang w:val="en-GB"/>
        </w:rPr>
        <w:t xml:space="preserve"> (</w:t>
      </w:r>
      <w:r w:rsidR="57B07A75" w:rsidRPr="5575EBFC">
        <w:rPr>
          <w:rFonts w:eastAsia="Times New Roman"/>
          <w:i/>
          <w:iCs/>
          <w:lang w:val="en-GB"/>
        </w:rPr>
        <w:t>established but incomplete</w:t>
      </w:r>
      <w:r w:rsidR="57B07A75" w:rsidRPr="5575EBFC">
        <w:rPr>
          <w:rFonts w:eastAsia="Times New Roman"/>
          <w:lang w:val="en-GB"/>
        </w:rPr>
        <w:t>) {3.2.3.6}</w:t>
      </w:r>
      <w:r w:rsidR="45B0601D" w:rsidRPr="5575EBFC">
        <w:rPr>
          <w:rFonts w:eastAsia="Times New Roman"/>
          <w:lang w:val="en-GB"/>
        </w:rPr>
        <w:t xml:space="preserve">. </w:t>
      </w:r>
      <w:r w:rsidR="45B0601D" w:rsidRPr="5575EBFC">
        <w:rPr>
          <w:rFonts w:eastAsia="DengXian"/>
          <w:lang w:val="en-GB"/>
        </w:rPr>
        <w:t>Poverty and marginalization created by economic inequality within and among countries may indirectly drive the introduction, establishment and spread of invasive alien species</w:t>
      </w:r>
      <w:r w:rsidR="3240991E" w:rsidRPr="5575EBFC">
        <w:rPr>
          <w:rFonts w:eastAsia="DengXian"/>
          <w:lang w:val="en-GB"/>
        </w:rPr>
        <w:t xml:space="preserve"> </w:t>
      </w:r>
      <w:r w:rsidR="384B0A94" w:rsidRPr="5575EBFC">
        <w:rPr>
          <w:rFonts w:eastAsia="DengXian"/>
          <w:lang w:val="en-GB"/>
        </w:rPr>
        <w:t>(</w:t>
      </w:r>
      <w:r w:rsidR="3240991E" w:rsidRPr="5575EBFC">
        <w:rPr>
          <w:rFonts w:eastAsia="DengXian"/>
          <w:i/>
          <w:iCs/>
          <w:lang w:val="en-GB"/>
        </w:rPr>
        <w:t>well established</w:t>
      </w:r>
      <w:r w:rsidR="384B0A94" w:rsidRPr="5575EBFC">
        <w:rPr>
          <w:rFonts w:eastAsia="DengXian"/>
          <w:lang w:val="en-GB"/>
        </w:rPr>
        <w:t xml:space="preserve">) </w:t>
      </w:r>
      <w:r w:rsidR="3240991E" w:rsidRPr="5575EBFC">
        <w:rPr>
          <w:rFonts w:eastAsia="DengXian"/>
          <w:lang w:val="en-GB"/>
        </w:rPr>
        <w:t>{3.2.3.6}</w:t>
      </w:r>
      <w:r w:rsidR="45B0601D" w:rsidRPr="5575EBFC">
        <w:rPr>
          <w:rFonts w:eastAsia="DengXian"/>
          <w:lang w:val="en-GB"/>
        </w:rPr>
        <w:t>.</w:t>
      </w:r>
      <w:r w:rsidR="45B0601D" w:rsidRPr="5575EBFC">
        <w:rPr>
          <w:rFonts w:eastAsia="Times New Roman"/>
          <w:lang w:val="en-GB"/>
        </w:rPr>
        <w:t xml:space="preserve"> For those countries with a lower level of wealth, </w:t>
      </w:r>
      <w:r w:rsidR="4FBBB5CB" w:rsidRPr="5575EBFC">
        <w:rPr>
          <w:rFonts w:eastAsia="Times New Roman"/>
          <w:lang w:val="en-GB"/>
        </w:rPr>
        <w:t>trend</w:t>
      </w:r>
      <w:r w:rsidR="313E6D27" w:rsidRPr="5575EBFC">
        <w:rPr>
          <w:rFonts w:eastAsia="Times New Roman"/>
          <w:lang w:val="en-GB"/>
        </w:rPr>
        <w:t>s</w:t>
      </w:r>
      <w:r w:rsidR="4FBBB5CB" w:rsidRPr="5575EBFC">
        <w:rPr>
          <w:rFonts w:eastAsia="Times New Roman"/>
          <w:lang w:val="en-GB"/>
        </w:rPr>
        <w:t xml:space="preserve"> </w:t>
      </w:r>
      <w:r w:rsidR="560BF8D2" w:rsidRPr="5575EBFC">
        <w:rPr>
          <w:rFonts w:eastAsia="Times New Roman"/>
          <w:lang w:val="en-GB"/>
        </w:rPr>
        <w:t>suggest</w:t>
      </w:r>
      <w:r w:rsidR="45B0601D" w:rsidRPr="5575EBFC">
        <w:rPr>
          <w:rFonts w:eastAsia="Times New Roman"/>
          <w:lang w:val="en-GB"/>
        </w:rPr>
        <w:t xml:space="preserve"> that as economies grow and larger asset base</w:t>
      </w:r>
      <w:r w:rsidR="313E6D27" w:rsidRPr="5575EBFC">
        <w:rPr>
          <w:rFonts w:eastAsia="Times New Roman"/>
          <w:lang w:val="en-GB"/>
        </w:rPr>
        <w:t>s are built</w:t>
      </w:r>
      <w:r w:rsidR="45B0601D" w:rsidRPr="5575EBFC">
        <w:rPr>
          <w:rFonts w:eastAsia="Times New Roman"/>
          <w:lang w:val="en-GB"/>
        </w:rPr>
        <w:t xml:space="preserve">, so the risk of </w:t>
      </w:r>
      <w:r w:rsidR="5F7468C4" w:rsidRPr="5575EBFC">
        <w:rPr>
          <w:rFonts w:eastAsia="Times New Roman"/>
          <w:lang w:val="en-GB"/>
        </w:rPr>
        <w:t xml:space="preserve">invasive </w:t>
      </w:r>
      <w:r w:rsidR="45B0601D" w:rsidRPr="5575EBFC">
        <w:rPr>
          <w:rFonts w:eastAsia="Times New Roman"/>
          <w:lang w:val="en-GB"/>
        </w:rPr>
        <w:t>alien species introductions might increase</w:t>
      </w:r>
      <w:r w:rsidR="545C3F52" w:rsidRPr="5575EBFC">
        <w:rPr>
          <w:rFonts w:eastAsia="Times New Roman"/>
          <w:lang w:val="en-GB"/>
        </w:rPr>
        <w:t xml:space="preserve"> </w:t>
      </w:r>
      <w:r w:rsidR="384B0A94" w:rsidRPr="5575EBFC">
        <w:rPr>
          <w:rFonts w:eastAsia="Times New Roman"/>
          <w:lang w:val="en-GB"/>
        </w:rPr>
        <w:t>(</w:t>
      </w:r>
      <w:r w:rsidR="545C3F52" w:rsidRPr="5575EBFC">
        <w:rPr>
          <w:rFonts w:eastAsia="Times New Roman"/>
          <w:i/>
          <w:iCs/>
          <w:lang w:val="en-GB"/>
        </w:rPr>
        <w:t>established but incomplete</w:t>
      </w:r>
      <w:r w:rsidR="384B0A94" w:rsidRPr="5575EBFC">
        <w:rPr>
          <w:rFonts w:eastAsia="Times New Roman"/>
          <w:lang w:val="en-GB"/>
        </w:rPr>
        <w:t>)</w:t>
      </w:r>
      <w:r w:rsidR="545C3F52" w:rsidRPr="5575EBFC">
        <w:rPr>
          <w:rFonts w:eastAsia="Times New Roman"/>
          <w:lang w:val="en-GB"/>
        </w:rPr>
        <w:t xml:space="preserve"> {3.2.3.6}</w:t>
      </w:r>
      <w:r w:rsidR="45B0601D" w:rsidRPr="5575EBFC">
        <w:rPr>
          <w:rFonts w:eastAsia="Times New Roman"/>
          <w:lang w:val="en-GB"/>
        </w:rPr>
        <w:t xml:space="preserve">. </w:t>
      </w:r>
      <w:r w:rsidR="450CFEC6" w:rsidRPr="5575EBFC">
        <w:rPr>
          <w:rFonts w:eastAsia="Times New Roman"/>
          <w:lang w:val="en-GB"/>
        </w:rPr>
        <w:t>R</w:t>
      </w:r>
      <w:r w:rsidR="45B0601D" w:rsidRPr="5575EBFC">
        <w:rPr>
          <w:rFonts w:eastAsia="Times New Roman"/>
          <w:lang w:val="en-GB"/>
        </w:rPr>
        <w:t>isk</w:t>
      </w:r>
      <w:r w:rsidR="450CFEC6" w:rsidRPr="5575EBFC">
        <w:rPr>
          <w:rFonts w:eastAsia="Times New Roman"/>
          <w:lang w:val="en-GB"/>
        </w:rPr>
        <w:t>s</w:t>
      </w:r>
      <w:r w:rsidR="45B0601D" w:rsidRPr="5575EBFC">
        <w:rPr>
          <w:rFonts w:eastAsia="Times New Roman"/>
          <w:lang w:val="en-GB"/>
        </w:rPr>
        <w:t xml:space="preserve"> may also be exacerbated where the route to economic growth and poverty reduction encourages the development of economic sectors based around </w:t>
      </w:r>
      <w:r w:rsidR="5F7468C4" w:rsidRPr="5575EBFC">
        <w:rPr>
          <w:rFonts w:eastAsia="Times New Roman"/>
          <w:lang w:val="en-GB"/>
        </w:rPr>
        <w:t xml:space="preserve">invasive </w:t>
      </w:r>
      <w:r w:rsidR="45B0601D" w:rsidRPr="5575EBFC">
        <w:rPr>
          <w:rFonts w:eastAsia="Times New Roman"/>
          <w:lang w:val="en-GB"/>
        </w:rPr>
        <w:t>alien species</w:t>
      </w:r>
      <w:r w:rsidR="57B07A75" w:rsidRPr="5575EBFC">
        <w:rPr>
          <w:rFonts w:eastAsia="Times New Roman"/>
          <w:lang w:val="en-GB"/>
        </w:rPr>
        <w:t xml:space="preserve"> (</w:t>
      </w:r>
      <w:r w:rsidR="57B07A75" w:rsidRPr="5575EBFC">
        <w:rPr>
          <w:rFonts w:eastAsia="Times New Roman"/>
          <w:i/>
          <w:iCs/>
          <w:lang w:val="en-GB"/>
        </w:rPr>
        <w:t>established but incomplete</w:t>
      </w:r>
      <w:r w:rsidR="57B07A75" w:rsidRPr="5575EBFC">
        <w:rPr>
          <w:rFonts w:eastAsia="Times New Roman"/>
          <w:lang w:val="en-GB"/>
        </w:rPr>
        <w:t>) {3.2.3.6}</w:t>
      </w:r>
      <w:r w:rsidR="45B0601D" w:rsidRPr="5575EBFC">
        <w:rPr>
          <w:rFonts w:eastAsia="Times New Roman"/>
          <w:lang w:val="en-GB"/>
        </w:rPr>
        <w:t xml:space="preserve">. This appears to be a major issue for </w:t>
      </w:r>
      <w:r w:rsidR="5F7468C4" w:rsidRPr="5575EBFC">
        <w:rPr>
          <w:rFonts w:eastAsia="Times New Roman"/>
          <w:lang w:val="en-GB"/>
        </w:rPr>
        <w:t>I</w:t>
      </w:r>
      <w:r w:rsidR="45B0601D" w:rsidRPr="5575EBFC">
        <w:rPr>
          <w:rFonts w:eastAsia="Times New Roman"/>
          <w:lang w:val="en-GB"/>
        </w:rPr>
        <w:t xml:space="preserve">ndigenous </w:t>
      </w:r>
      <w:r w:rsidR="0CFFB219" w:rsidRPr="5575EBFC">
        <w:rPr>
          <w:rFonts w:eastAsia="Times New Roman"/>
          <w:lang w:val="en-GB"/>
        </w:rPr>
        <w:t xml:space="preserve">Peoples </w:t>
      </w:r>
      <w:r w:rsidR="45B0601D" w:rsidRPr="5575EBFC">
        <w:rPr>
          <w:rFonts w:eastAsia="Times New Roman"/>
          <w:lang w:val="en-GB"/>
        </w:rPr>
        <w:t xml:space="preserve">and local communities who </w:t>
      </w:r>
      <w:r w:rsidR="61819F5F" w:rsidRPr="5575EBFC">
        <w:rPr>
          <w:rFonts w:eastAsia="Times New Roman"/>
          <w:lang w:val="en-GB"/>
        </w:rPr>
        <w:t xml:space="preserve">in some cases </w:t>
      </w:r>
      <w:r w:rsidR="45B0601D" w:rsidRPr="5575EBFC">
        <w:rPr>
          <w:rFonts w:eastAsia="Times New Roman"/>
          <w:lang w:val="en-GB"/>
        </w:rPr>
        <w:t xml:space="preserve">may have few options but to use invasive alien species for food, fibre and </w:t>
      </w:r>
      <w:r w:rsidR="40A707FC" w:rsidRPr="5575EBFC">
        <w:rPr>
          <w:rFonts w:eastAsia="Times New Roman"/>
          <w:lang w:val="en-GB"/>
        </w:rPr>
        <w:t>also</w:t>
      </w:r>
      <w:r w:rsidR="45B0601D" w:rsidRPr="5575EBFC">
        <w:rPr>
          <w:rFonts w:eastAsia="Times New Roman"/>
          <w:lang w:val="en-GB"/>
        </w:rPr>
        <w:t xml:space="preserve"> medicines</w:t>
      </w:r>
      <w:r w:rsidR="57B07A75" w:rsidRPr="5575EBFC">
        <w:rPr>
          <w:rFonts w:eastAsia="Times New Roman"/>
          <w:lang w:val="en-GB"/>
        </w:rPr>
        <w:t xml:space="preserve"> (</w:t>
      </w:r>
      <w:r w:rsidR="57B07A75" w:rsidRPr="5575EBFC">
        <w:rPr>
          <w:rFonts w:eastAsia="Times New Roman"/>
          <w:i/>
          <w:iCs/>
          <w:lang w:val="en-GB"/>
        </w:rPr>
        <w:t>established but incomplete</w:t>
      </w:r>
      <w:r w:rsidR="57B07A75" w:rsidRPr="5575EBFC">
        <w:rPr>
          <w:rFonts w:eastAsia="Times New Roman"/>
          <w:lang w:val="en-GB"/>
        </w:rPr>
        <w:t>) {3.2.3.6}.</w:t>
      </w:r>
    </w:p>
    <w:p w14:paraId="32E58385" w14:textId="2673BDC2" w:rsidR="00BF5089" w:rsidRPr="00DA249F" w:rsidRDefault="73B8EC94" w:rsidP="004826A3">
      <w:pPr>
        <w:pStyle w:val="ListParagraph"/>
        <w:numPr>
          <w:ilvl w:val="0"/>
          <w:numId w:val="12"/>
        </w:numPr>
        <w:rPr>
          <w:lang w:val="en-GB"/>
        </w:rPr>
      </w:pPr>
      <w:r w:rsidRPr="728F2DAF">
        <w:rPr>
          <w:b/>
          <w:bCs/>
          <w:lang w:val="en-GB"/>
        </w:rPr>
        <w:t>Many Indigenous Peoples and local communities have</w:t>
      </w:r>
      <w:r w:rsidR="07C5004C" w:rsidRPr="728F2DAF">
        <w:rPr>
          <w:b/>
          <w:bCs/>
          <w:lang w:val="en-GB"/>
        </w:rPr>
        <w:t xml:space="preserve"> a</w:t>
      </w:r>
      <w:r w:rsidRPr="728F2DAF">
        <w:rPr>
          <w:b/>
          <w:bCs/>
          <w:lang w:val="en-GB"/>
        </w:rPr>
        <w:t xml:space="preserve"> good and holistic understanding of the drivers facilitating invasive alien species on their lands (well established) {3.2</w:t>
      </w:r>
      <w:r w:rsidR="549D91FA" w:rsidRPr="728F2DAF">
        <w:rPr>
          <w:b/>
          <w:bCs/>
          <w:lang w:val="en-GB"/>
        </w:rPr>
        <w:t>,</w:t>
      </w:r>
      <w:r w:rsidRPr="728F2DAF">
        <w:rPr>
          <w:b/>
          <w:bCs/>
          <w:lang w:val="en-GB"/>
        </w:rPr>
        <w:t xml:space="preserve"> 3.3</w:t>
      </w:r>
      <w:r w:rsidR="549D91FA" w:rsidRPr="728F2DAF">
        <w:rPr>
          <w:b/>
          <w:bCs/>
          <w:lang w:val="en-GB"/>
        </w:rPr>
        <w:t>,</w:t>
      </w:r>
      <w:r w:rsidRPr="728F2DAF">
        <w:rPr>
          <w:b/>
          <w:bCs/>
          <w:lang w:val="en-GB"/>
        </w:rPr>
        <w:t xml:space="preserve"> 3.5</w:t>
      </w:r>
      <w:r w:rsidR="00D614ED">
        <w:rPr>
          <w:b/>
          <w:bCs/>
          <w:lang w:val="en-GB"/>
        </w:rPr>
        <w:t>}(</w:t>
      </w:r>
      <w:r w:rsidR="00E23B69">
        <w:rPr>
          <w:b/>
          <w:bCs/>
          <w:lang w:val="en-GB"/>
        </w:rPr>
        <w:t>Box</w:t>
      </w:r>
      <w:r w:rsidRPr="728F2DAF">
        <w:rPr>
          <w:b/>
          <w:bCs/>
          <w:lang w:val="en-GB"/>
        </w:rPr>
        <w:t xml:space="preserve"> 3.6</w:t>
      </w:r>
      <w:r w:rsidR="1AA8B457" w:rsidRPr="728F2DAF">
        <w:rPr>
          <w:b/>
          <w:bCs/>
          <w:lang w:val="en-GB"/>
        </w:rPr>
        <w:t xml:space="preserve">, </w:t>
      </w:r>
      <w:r w:rsidR="00E23B69">
        <w:rPr>
          <w:b/>
          <w:bCs/>
          <w:lang w:val="en-GB"/>
        </w:rPr>
        <w:t>Box</w:t>
      </w:r>
      <w:r w:rsidR="1AA8B457" w:rsidRPr="728F2DAF">
        <w:rPr>
          <w:b/>
          <w:bCs/>
          <w:lang w:val="en-GB"/>
        </w:rPr>
        <w:t xml:space="preserve"> 3.15</w:t>
      </w:r>
      <w:r w:rsidR="00D614ED">
        <w:rPr>
          <w:b/>
          <w:bCs/>
          <w:lang w:val="en-GB"/>
        </w:rPr>
        <w:t>)</w:t>
      </w:r>
      <w:r w:rsidRPr="728F2DAF">
        <w:rPr>
          <w:b/>
          <w:bCs/>
          <w:lang w:val="en-GB"/>
        </w:rPr>
        <w:t>.</w:t>
      </w:r>
      <w:r w:rsidR="1A5FB547" w:rsidRPr="728F2DAF">
        <w:rPr>
          <w:b/>
          <w:bCs/>
          <w:lang w:val="en-GB"/>
        </w:rPr>
        <w:t xml:space="preserve"> </w:t>
      </w:r>
      <w:r w:rsidRPr="728F2DAF">
        <w:rPr>
          <w:lang w:val="en-GB"/>
        </w:rPr>
        <w:t>Indigenous Peoples and local communities point to how policies, governance</w:t>
      </w:r>
      <w:r w:rsidR="009F7404">
        <w:rPr>
          <w:lang w:val="en-GB"/>
        </w:rPr>
        <w:t xml:space="preserve"> and</w:t>
      </w:r>
      <w:r w:rsidRPr="728F2DAF">
        <w:rPr>
          <w:lang w:val="en-GB"/>
        </w:rPr>
        <w:t xml:space="preserve"> institutions aimed at improving livelihoods and the environment may inadvertently cause the introduction of invasive alien species (</w:t>
      </w:r>
      <w:r w:rsidRPr="728F2DAF">
        <w:rPr>
          <w:i/>
          <w:iCs/>
          <w:lang w:val="en-GB"/>
        </w:rPr>
        <w:t>established but incomplete</w:t>
      </w:r>
      <w:r w:rsidRPr="728F2DAF">
        <w:rPr>
          <w:lang w:val="en-GB"/>
        </w:rPr>
        <w:t>) {3.2.5, 3.2.3.6, 3.3.1.13</w:t>
      </w:r>
      <w:r w:rsidR="00D614ED">
        <w:rPr>
          <w:lang w:val="en-GB"/>
        </w:rPr>
        <w:t>}</w:t>
      </w:r>
      <w:r w:rsidRPr="728F2DAF">
        <w:rPr>
          <w:b/>
          <w:bCs/>
          <w:lang w:val="en-GB"/>
        </w:rPr>
        <w:t xml:space="preserve"> </w:t>
      </w:r>
      <w:r w:rsidR="00D614ED">
        <w:rPr>
          <w:b/>
          <w:bCs/>
          <w:lang w:val="en-GB"/>
        </w:rPr>
        <w:t>(</w:t>
      </w:r>
      <w:r w:rsidR="00E23B69">
        <w:rPr>
          <w:lang w:val="en-GB"/>
        </w:rPr>
        <w:t>Box</w:t>
      </w:r>
      <w:r w:rsidR="39EC53BF" w:rsidRPr="728F2DAF">
        <w:rPr>
          <w:lang w:val="en-GB"/>
        </w:rPr>
        <w:t xml:space="preserve"> 3.6</w:t>
      </w:r>
      <w:r w:rsidR="3CE5D020" w:rsidRPr="728F2DAF">
        <w:rPr>
          <w:lang w:val="en-GB"/>
        </w:rPr>
        <w:t xml:space="preserve">, </w:t>
      </w:r>
      <w:r w:rsidR="00E23B69">
        <w:rPr>
          <w:lang w:val="en-GB"/>
        </w:rPr>
        <w:t>Box</w:t>
      </w:r>
      <w:r w:rsidR="39EC53BF" w:rsidRPr="728F2DAF">
        <w:rPr>
          <w:lang w:val="en-GB"/>
        </w:rPr>
        <w:t xml:space="preserve"> </w:t>
      </w:r>
      <w:r w:rsidR="3CE5D020" w:rsidRPr="728F2DAF">
        <w:rPr>
          <w:lang w:val="en-GB"/>
        </w:rPr>
        <w:t>3.15</w:t>
      </w:r>
      <w:r w:rsidR="00D614ED">
        <w:rPr>
          <w:lang w:val="en-GB"/>
        </w:rPr>
        <w:t>)</w:t>
      </w:r>
      <w:r w:rsidR="00D614ED" w:rsidRPr="728F2DAF">
        <w:rPr>
          <w:lang w:val="en-GB"/>
        </w:rPr>
        <w:t xml:space="preserve">. </w:t>
      </w:r>
      <w:r w:rsidRPr="728F2DAF">
        <w:rPr>
          <w:lang w:val="en-GB"/>
        </w:rPr>
        <w:t>For example, they report that promotion of alien species for food, fibr</w:t>
      </w:r>
      <w:r w:rsidR="72DE5C0B" w:rsidRPr="728F2DAF">
        <w:rPr>
          <w:lang w:val="en-GB"/>
        </w:rPr>
        <w:t>e</w:t>
      </w:r>
      <w:r w:rsidRPr="728F2DAF">
        <w:rPr>
          <w:lang w:val="en-GB"/>
        </w:rPr>
        <w:t xml:space="preserve">, income generation, or medicinal purposes may act as a driver </w:t>
      </w:r>
      <w:r w:rsidR="4519C3A2" w:rsidRPr="728F2DAF">
        <w:rPr>
          <w:lang w:val="en-GB"/>
        </w:rPr>
        <w:t xml:space="preserve">facilitating </w:t>
      </w:r>
      <w:r w:rsidRPr="728F2DAF">
        <w:rPr>
          <w:lang w:val="en-GB"/>
        </w:rPr>
        <w:t>biological invasions (</w:t>
      </w:r>
      <w:r w:rsidRPr="728F2DAF">
        <w:rPr>
          <w:i/>
          <w:iCs/>
          <w:lang w:val="en-GB"/>
        </w:rPr>
        <w:t>well</w:t>
      </w:r>
      <w:r w:rsidRPr="728F2DAF">
        <w:rPr>
          <w:lang w:val="en-GB"/>
        </w:rPr>
        <w:t xml:space="preserve"> </w:t>
      </w:r>
      <w:r w:rsidRPr="728F2DAF">
        <w:rPr>
          <w:i/>
          <w:iCs/>
          <w:lang w:val="en-GB"/>
        </w:rPr>
        <w:t>established</w:t>
      </w:r>
      <w:r w:rsidRPr="728F2DAF">
        <w:rPr>
          <w:lang w:val="en-GB"/>
        </w:rPr>
        <w:t>), and such invasions can be especially facilitated in situations where native biodiversity, including species they traditionally depended on for these benefits, have declined (</w:t>
      </w:r>
      <w:r w:rsidRPr="728F2DAF">
        <w:rPr>
          <w:i/>
          <w:iCs/>
          <w:lang w:val="en-GB"/>
        </w:rPr>
        <w:t>established but incomplete</w:t>
      </w:r>
      <w:r w:rsidRPr="728F2DAF">
        <w:rPr>
          <w:lang w:val="en-GB"/>
        </w:rPr>
        <w:t>) {3.2.3.6, 3.2.5}. In some cases, Indigenous Peoples and local communities observe that urban areas or anthropogenic corridors act as sources of further spread of invasive species into their lands (</w:t>
      </w:r>
      <w:r w:rsidRPr="728F2DAF">
        <w:rPr>
          <w:i/>
          <w:iCs/>
          <w:lang w:val="en-GB"/>
        </w:rPr>
        <w:t>established but incomplete</w:t>
      </w:r>
      <w:r w:rsidRPr="728F2DAF">
        <w:rPr>
          <w:lang w:val="en-GB"/>
        </w:rPr>
        <w:t>)</w:t>
      </w:r>
      <w:r w:rsidRPr="728F2DAF">
        <w:rPr>
          <w:i/>
          <w:iCs/>
          <w:lang w:val="en-GB"/>
        </w:rPr>
        <w:t xml:space="preserve"> </w:t>
      </w:r>
      <w:r w:rsidRPr="728F2DAF">
        <w:rPr>
          <w:lang w:val="en-GB"/>
        </w:rPr>
        <w:t>{3.2.2, 3.3.1.7}, and they also recognize land-abandonment, sometimes coupled with natural drivers or climate extremes, as responsible for the spread of alien species (</w:t>
      </w:r>
      <w:r w:rsidRPr="728F2DAF">
        <w:rPr>
          <w:i/>
          <w:iCs/>
          <w:lang w:val="en-GB"/>
        </w:rPr>
        <w:t>established but incomplete</w:t>
      </w:r>
      <w:r w:rsidRPr="728F2DAF">
        <w:rPr>
          <w:lang w:val="en-GB"/>
        </w:rPr>
        <w:t>)</w:t>
      </w:r>
      <w:r w:rsidRPr="728F2DAF">
        <w:rPr>
          <w:i/>
          <w:iCs/>
          <w:lang w:val="en-GB"/>
        </w:rPr>
        <w:t xml:space="preserve"> </w:t>
      </w:r>
      <w:r w:rsidRPr="728F2DAF">
        <w:rPr>
          <w:lang w:val="en-GB"/>
        </w:rPr>
        <w:t>{3.3.1.</w:t>
      </w:r>
      <w:r w:rsidR="3AEB7E75" w:rsidRPr="728F2DAF">
        <w:rPr>
          <w:lang w:val="en-GB"/>
        </w:rPr>
        <w:t>5.1</w:t>
      </w:r>
      <w:r w:rsidRPr="728F2DAF">
        <w:rPr>
          <w:lang w:val="en-GB"/>
        </w:rPr>
        <w:t>}. Indigenous Peoples and local communities are well aware that drivers interact in complex ways to drive biological invasions (</w:t>
      </w:r>
      <w:r w:rsidRPr="728F2DAF">
        <w:rPr>
          <w:i/>
          <w:iCs/>
          <w:lang w:val="en-GB"/>
        </w:rPr>
        <w:t>well established</w:t>
      </w:r>
      <w:r w:rsidRPr="728F2DAF">
        <w:rPr>
          <w:lang w:val="en-GB"/>
        </w:rPr>
        <w:t xml:space="preserve">) </w:t>
      </w:r>
      <w:r w:rsidR="3E0C5A32" w:rsidRPr="728F2DAF">
        <w:rPr>
          <w:lang w:val="en-GB"/>
        </w:rPr>
        <w:t>{</w:t>
      </w:r>
      <w:r w:rsidRPr="728F2DAF">
        <w:rPr>
          <w:lang w:val="en-GB"/>
        </w:rPr>
        <w:t xml:space="preserve">3.5}. Indigenous Peoples and local communities also identify challenges of land tenure and access rights as significant factors limiting the extent to which they can address </w:t>
      </w:r>
      <w:r w:rsidR="13A7D957" w:rsidRPr="728F2DAF">
        <w:rPr>
          <w:lang w:val="en-GB"/>
        </w:rPr>
        <w:t>invasive alien species</w:t>
      </w:r>
      <w:r w:rsidR="473BFCB0" w:rsidRPr="728F2DAF">
        <w:rPr>
          <w:lang w:val="en-GB"/>
        </w:rPr>
        <w:t xml:space="preserve"> </w:t>
      </w:r>
      <w:r w:rsidRPr="728F2DAF">
        <w:rPr>
          <w:lang w:val="en-GB"/>
        </w:rPr>
        <w:t>on their lands (</w:t>
      </w:r>
      <w:r w:rsidRPr="728F2DAF">
        <w:rPr>
          <w:i/>
          <w:iCs/>
          <w:lang w:val="en-GB"/>
        </w:rPr>
        <w:t>established but incomplete</w:t>
      </w:r>
      <w:r w:rsidRPr="728F2DAF">
        <w:rPr>
          <w:lang w:val="en-GB"/>
        </w:rPr>
        <w:t xml:space="preserve">) {3.2.5}. Overall, </w:t>
      </w:r>
      <w:r w:rsidR="0221DA9B" w:rsidRPr="728F2DAF">
        <w:rPr>
          <w:lang w:val="en-GB"/>
        </w:rPr>
        <w:t>Indigenous Peoples and local communities</w:t>
      </w:r>
      <w:r w:rsidRPr="728F2DAF">
        <w:rPr>
          <w:lang w:val="en-GB"/>
        </w:rPr>
        <w:t xml:space="preserve"> </w:t>
      </w:r>
      <w:r w:rsidR="275FFF65" w:rsidRPr="728F2DAF">
        <w:rPr>
          <w:lang w:val="en-GB"/>
        </w:rPr>
        <w:t>broadly align in understanding of</w:t>
      </w:r>
      <w:r w:rsidR="3C46A6C4" w:rsidRPr="728F2DAF">
        <w:rPr>
          <w:lang w:val="en-GB"/>
        </w:rPr>
        <w:t xml:space="preserve"> the relative importance of drivers and</w:t>
      </w:r>
      <w:r w:rsidRPr="728F2DAF">
        <w:rPr>
          <w:lang w:val="en-GB"/>
        </w:rPr>
        <w:t xml:space="preserve"> trends </w:t>
      </w:r>
      <w:r w:rsidR="6DBDB7A7" w:rsidRPr="728F2DAF">
        <w:rPr>
          <w:lang w:val="en-GB"/>
        </w:rPr>
        <w:t xml:space="preserve">in </w:t>
      </w:r>
      <w:r w:rsidR="55CFD7E2" w:rsidRPr="728F2DAF">
        <w:rPr>
          <w:lang w:val="en-GB"/>
        </w:rPr>
        <w:t>invasive alien species</w:t>
      </w:r>
      <w:r w:rsidR="6DBDB7A7" w:rsidRPr="728F2DAF">
        <w:rPr>
          <w:lang w:val="en-GB"/>
        </w:rPr>
        <w:t xml:space="preserve"> </w:t>
      </w:r>
      <w:r w:rsidRPr="728F2DAF">
        <w:rPr>
          <w:lang w:val="en-GB"/>
        </w:rPr>
        <w:t xml:space="preserve">with </w:t>
      </w:r>
      <w:r w:rsidR="7A24EE7F" w:rsidRPr="728F2DAF">
        <w:rPr>
          <w:lang w:val="en-GB"/>
        </w:rPr>
        <w:t xml:space="preserve">reports from </w:t>
      </w:r>
      <w:r w:rsidRPr="728F2DAF">
        <w:rPr>
          <w:lang w:val="en-GB"/>
        </w:rPr>
        <w:t>the scientific literature (</w:t>
      </w:r>
      <w:r w:rsidRPr="728F2DAF">
        <w:rPr>
          <w:i/>
          <w:iCs/>
          <w:lang w:val="en-GB"/>
        </w:rPr>
        <w:t>established but incomplete</w:t>
      </w:r>
      <w:r w:rsidRPr="728F2DAF">
        <w:rPr>
          <w:lang w:val="en-GB"/>
        </w:rPr>
        <w:t xml:space="preserve">) </w:t>
      </w:r>
      <w:r w:rsidR="00D614ED">
        <w:rPr>
          <w:lang w:val="en-GB"/>
        </w:rPr>
        <w:t>(</w:t>
      </w:r>
      <w:r w:rsidR="00E23B69">
        <w:rPr>
          <w:lang w:val="en-GB"/>
        </w:rPr>
        <w:t>Box</w:t>
      </w:r>
      <w:r w:rsidRPr="728F2DAF">
        <w:rPr>
          <w:lang w:val="en-GB"/>
        </w:rPr>
        <w:t xml:space="preserve"> 3.1</w:t>
      </w:r>
      <w:r w:rsidR="3E0C5A32" w:rsidRPr="728F2DAF">
        <w:rPr>
          <w:lang w:val="en-GB"/>
        </w:rPr>
        <w:t>5</w:t>
      </w:r>
      <w:r w:rsidR="00D614ED">
        <w:rPr>
          <w:lang w:val="en-GB"/>
        </w:rPr>
        <w:t>)</w:t>
      </w:r>
      <w:r w:rsidRPr="728F2DAF">
        <w:rPr>
          <w:lang w:val="en-GB"/>
        </w:rPr>
        <w:t xml:space="preserve">. </w:t>
      </w:r>
    </w:p>
    <w:p w14:paraId="29F342FC" w14:textId="2A25AF10" w:rsidR="000D056E" w:rsidRPr="00DA249F" w:rsidRDefault="6606FA89">
      <w:pPr>
        <w:pStyle w:val="ListParagraph"/>
        <w:numPr>
          <w:ilvl w:val="0"/>
          <w:numId w:val="12"/>
        </w:numPr>
        <w:rPr>
          <w:rFonts w:eastAsia="DengXian"/>
          <w:szCs w:val="24"/>
          <w:lang w:val="en-GB"/>
        </w:rPr>
      </w:pPr>
      <w:r w:rsidRPr="5575EBFC">
        <w:rPr>
          <w:b/>
          <w:bCs/>
          <w:lang w:val="en-GB"/>
        </w:rPr>
        <w:t>Few d</w:t>
      </w:r>
      <w:r w:rsidR="683F4823" w:rsidRPr="5575EBFC">
        <w:rPr>
          <w:b/>
          <w:bCs/>
          <w:lang w:val="en-GB"/>
        </w:rPr>
        <w:t>rivers act in isolation</w:t>
      </w:r>
      <w:r w:rsidR="4A15F7D6" w:rsidRPr="5575EBFC">
        <w:rPr>
          <w:b/>
          <w:bCs/>
          <w:lang w:val="en-GB"/>
        </w:rPr>
        <w:t>,</w:t>
      </w:r>
      <w:r w:rsidR="683F4823" w:rsidRPr="5575EBFC">
        <w:rPr>
          <w:b/>
          <w:bCs/>
          <w:lang w:val="en-GB"/>
        </w:rPr>
        <w:t xml:space="preserve"> and interacti</w:t>
      </w:r>
      <w:r w:rsidR="637AE434" w:rsidRPr="5575EBFC">
        <w:rPr>
          <w:b/>
          <w:bCs/>
          <w:lang w:val="en-GB"/>
        </w:rPr>
        <w:t>ve effects</w:t>
      </w:r>
      <w:r w:rsidR="4A15F7D6" w:rsidRPr="5575EBFC">
        <w:rPr>
          <w:b/>
          <w:bCs/>
          <w:lang w:val="en-GB"/>
        </w:rPr>
        <w:t xml:space="preserve"> </w:t>
      </w:r>
      <w:r w:rsidR="683F4823" w:rsidRPr="5575EBFC">
        <w:rPr>
          <w:b/>
          <w:bCs/>
          <w:lang w:val="en-GB"/>
        </w:rPr>
        <w:t>appear to be crucially important</w:t>
      </w:r>
      <w:r w:rsidR="4A15F7D6" w:rsidRPr="5575EBFC">
        <w:rPr>
          <w:b/>
          <w:bCs/>
          <w:lang w:val="en-GB"/>
        </w:rPr>
        <w:t>,</w:t>
      </w:r>
      <w:r w:rsidR="683F4823" w:rsidRPr="5575EBFC">
        <w:rPr>
          <w:b/>
          <w:bCs/>
          <w:lang w:val="en-GB"/>
        </w:rPr>
        <w:t xml:space="preserve"> but few studies have examined the </w:t>
      </w:r>
      <w:r w:rsidR="6A222CB7" w:rsidRPr="5575EBFC">
        <w:rPr>
          <w:b/>
          <w:bCs/>
          <w:lang w:val="en-GB"/>
        </w:rPr>
        <w:t xml:space="preserve">interactive effects </w:t>
      </w:r>
      <w:r w:rsidR="00E77D81">
        <w:rPr>
          <w:b/>
          <w:bCs/>
          <w:lang w:val="en-GB"/>
        </w:rPr>
        <w:t xml:space="preserve">of </w:t>
      </w:r>
      <w:r w:rsidR="5B33DC60" w:rsidRPr="5575EBFC">
        <w:rPr>
          <w:b/>
          <w:bCs/>
          <w:lang w:val="en-GB"/>
        </w:rPr>
        <w:t xml:space="preserve">several </w:t>
      </w:r>
      <w:r w:rsidR="6CB28630" w:rsidRPr="5575EBFC">
        <w:rPr>
          <w:b/>
          <w:bCs/>
          <w:lang w:val="en-GB"/>
        </w:rPr>
        <w:t xml:space="preserve">co-occurring </w:t>
      </w:r>
      <w:r w:rsidR="2E57884D" w:rsidRPr="5575EBFC">
        <w:rPr>
          <w:b/>
          <w:bCs/>
          <w:lang w:val="en-GB"/>
        </w:rPr>
        <w:t>drivers</w:t>
      </w:r>
      <w:r w:rsidR="5673526E" w:rsidRPr="5575EBFC">
        <w:rPr>
          <w:b/>
          <w:bCs/>
          <w:lang w:val="en-GB"/>
        </w:rPr>
        <w:t xml:space="preserve"> in</w:t>
      </w:r>
      <w:r w:rsidR="5B33DC60" w:rsidRPr="5575EBFC">
        <w:rPr>
          <w:b/>
          <w:bCs/>
          <w:lang w:val="en-GB"/>
        </w:rPr>
        <w:t xml:space="preserve"> </w:t>
      </w:r>
      <w:r w:rsidR="6C7F98B1" w:rsidRPr="5575EBFC">
        <w:rPr>
          <w:b/>
          <w:bCs/>
          <w:lang w:val="en-GB"/>
        </w:rPr>
        <w:t xml:space="preserve">facilitating </w:t>
      </w:r>
      <w:r w:rsidR="2D8128E8" w:rsidRPr="5575EBFC">
        <w:rPr>
          <w:b/>
          <w:bCs/>
          <w:lang w:val="en-GB"/>
        </w:rPr>
        <w:t>invasive alien species</w:t>
      </w:r>
      <w:r w:rsidR="69CE188C" w:rsidRPr="5575EBFC">
        <w:rPr>
          <w:b/>
          <w:bCs/>
          <w:lang w:val="en-GB"/>
        </w:rPr>
        <w:t> </w:t>
      </w:r>
      <w:r w:rsidR="683F4823" w:rsidRPr="5575EBFC">
        <w:rPr>
          <w:b/>
          <w:bCs/>
          <w:lang w:val="en-GB"/>
        </w:rPr>
        <w:t>(</w:t>
      </w:r>
      <w:r w:rsidR="683F4823" w:rsidRPr="5575EBFC">
        <w:rPr>
          <w:b/>
          <w:bCs/>
          <w:i/>
          <w:iCs/>
          <w:lang w:val="en-GB"/>
        </w:rPr>
        <w:t>established but incomplete</w:t>
      </w:r>
      <w:r w:rsidR="683F4823" w:rsidRPr="5575EBFC">
        <w:rPr>
          <w:b/>
          <w:bCs/>
          <w:lang w:val="en-GB"/>
        </w:rPr>
        <w:t>)</w:t>
      </w:r>
      <w:r w:rsidR="67C175C0" w:rsidRPr="5575EBFC">
        <w:rPr>
          <w:b/>
          <w:bCs/>
          <w:lang w:val="en-GB"/>
        </w:rPr>
        <w:t xml:space="preserve"> {3.1.</w:t>
      </w:r>
      <w:r w:rsidR="25766DAB" w:rsidRPr="5575EBFC">
        <w:rPr>
          <w:b/>
          <w:bCs/>
          <w:lang w:val="en-GB"/>
        </w:rPr>
        <w:t>5</w:t>
      </w:r>
      <w:r w:rsidR="3F8CE948" w:rsidRPr="5575EBFC">
        <w:rPr>
          <w:b/>
          <w:bCs/>
          <w:lang w:val="en-GB"/>
        </w:rPr>
        <w:t>,</w:t>
      </w:r>
      <w:r w:rsidR="36F22A7E" w:rsidRPr="5575EBFC">
        <w:rPr>
          <w:b/>
          <w:bCs/>
          <w:lang w:val="en-GB"/>
        </w:rPr>
        <w:t xml:space="preserve"> 3.</w:t>
      </w:r>
      <w:r w:rsidR="67C175C0" w:rsidRPr="5575EBFC">
        <w:rPr>
          <w:b/>
          <w:bCs/>
          <w:lang w:val="en-GB"/>
        </w:rPr>
        <w:t>5</w:t>
      </w:r>
      <w:r w:rsidR="3F8CE948" w:rsidRPr="5575EBFC">
        <w:rPr>
          <w:b/>
          <w:bCs/>
          <w:lang w:val="en-GB"/>
        </w:rPr>
        <w:t>,</w:t>
      </w:r>
      <w:r w:rsidR="36F22A7E" w:rsidRPr="5575EBFC">
        <w:rPr>
          <w:b/>
          <w:bCs/>
          <w:lang w:val="en-GB"/>
        </w:rPr>
        <w:t xml:space="preserve"> 3.</w:t>
      </w:r>
      <w:r w:rsidR="25766DAB" w:rsidRPr="5575EBFC">
        <w:rPr>
          <w:b/>
          <w:bCs/>
          <w:lang w:val="en-GB"/>
        </w:rPr>
        <w:t>6.1</w:t>
      </w:r>
      <w:r w:rsidR="3F8CE948" w:rsidRPr="5575EBFC">
        <w:rPr>
          <w:b/>
          <w:bCs/>
          <w:lang w:val="en-GB"/>
        </w:rPr>
        <w:t>,</w:t>
      </w:r>
      <w:r w:rsidR="5C677BDF" w:rsidRPr="5575EBFC">
        <w:rPr>
          <w:b/>
          <w:bCs/>
          <w:lang w:val="en-GB"/>
        </w:rPr>
        <w:t xml:space="preserve"> </w:t>
      </w:r>
      <w:r w:rsidR="1E6E2B78" w:rsidRPr="5575EBFC">
        <w:rPr>
          <w:b/>
          <w:bCs/>
          <w:lang w:val="en-GB"/>
        </w:rPr>
        <w:t>3.6.3</w:t>
      </w:r>
      <w:r w:rsidR="67C175C0" w:rsidRPr="5575EBFC">
        <w:rPr>
          <w:b/>
          <w:bCs/>
          <w:lang w:val="en-GB"/>
        </w:rPr>
        <w:t>}</w:t>
      </w:r>
      <w:r w:rsidR="683F4823" w:rsidRPr="5575EBFC">
        <w:rPr>
          <w:b/>
          <w:bCs/>
          <w:lang w:val="en-GB"/>
        </w:rPr>
        <w:t>.</w:t>
      </w:r>
      <w:r w:rsidR="7A1CF4EA" w:rsidRPr="5575EBFC">
        <w:rPr>
          <w:b/>
          <w:bCs/>
          <w:lang w:val="en-GB"/>
        </w:rPr>
        <w:t xml:space="preserve"> </w:t>
      </w:r>
      <w:r w:rsidR="683F4823" w:rsidRPr="5575EBFC">
        <w:rPr>
          <w:lang w:val="en-GB"/>
        </w:rPr>
        <w:t xml:space="preserve">There are potentially many multiplicative interactions among drivers that are likely to lead to </w:t>
      </w:r>
      <w:r w:rsidR="4A15F7D6" w:rsidRPr="5575EBFC">
        <w:rPr>
          <w:lang w:val="en-GB"/>
        </w:rPr>
        <w:t xml:space="preserve">unprecedented </w:t>
      </w:r>
      <w:r w:rsidR="74B31C70" w:rsidRPr="5575EBFC">
        <w:rPr>
          <w:lang w:val="en-GB"/>
        </w:rPr>
        <w:t>invasion</w:t>
      </w:r>
      <w:r w:rsidR="683F4823" w:rsidRPr="5575EBFC">
        <w:rPr>
          <w:lang w:val="en-GB"/>
        </w:rPr>
        <w:t xml:space="preserve"> scenarios (</w:t>
      </w:r>
      <w:r w:rsidR="683F4823" w:rsidRPr="5575EBFC">
        <w:rPr>
          <w:i/>
          <w:iCs/>
          <w:lang w:val="en-GB"/>
        </w:rPr>
        <w:t>established but incomplete</w:t>
      </w:r>
      <w:r w:rsidR="683F4823" w:rsidRPr="5575EBFC">
        <w:rPr>
          <w:lang w:val="en-GB"/>
        </w:rPr>
        <w:t>) {3.1.</w:t>
      </w:r>
      <w:r w:rsidR="3B3C4003" w:rsidRPr="5575EBFC">
        <w:rPr>
          <w:lang w:val="en-GB"/>
        </w:rPr>
        <w:t>6</w:t>
      </w:r>
      <w:r w:rsidR="3F8CE948" w:rsidRPr="5575EBFC">
        <w:rPr>
          <w:lang w:val="en-GB"/>
        </w:rPr>
        <w:t>,</w:t>
      </w:r>
      <w:r w:rsidR="69CE188C" w:rsidRPr="5575EBFC">
        <w:rPr>
          <w:lang w:val="en-GB"/>
        </w:rPr>
        <w:t xml:space="preserve"> </w:t>
      </w:r>
      <w:r w:rsidR="3A9C2654" w:rsidRPr="5575EBFC">
        <w:rPr>
          <w:lang w:val="en-GB"/>
        </w:rPr>
        <w:t>3.</w:t>
      </w:r>
      <w:r w:rsidR="53E0D22C" w:rsidRPr="5575EBFC">
        <w:rPr>
          <w:lang w:val="en-GB"/>
        </w:rPr>
        <w:t>5</w:t>
      </w:r>
      <w:r w:rsidR="1E6E2B78" w:rsidRPr="5575EBFC">
        <w:rPr>
          <w:lang w:val="en-GB"/>
        </w:rPr>
        <w:t>, 3.6.3</w:t>
      </w:r>
      <w:r w:rsidR="3A9C2654" w:rsidRPr="5575EBFC">
        <w:rPr>
          <w:lang w:val="en-GB"/>
        </w:rPr>
        <w:t>}</w:t>
      </w:r>
      <w:r w:rsidR="683F4823" w:rsidRPr="5575EBFC">
        <w:rPr>
          <w:lang w:val="en-GB"/>
        </w:rPr>
        <w:t>.</w:t>
      </w:r>
      <w:r w:rsidR="7A1CF4EA" w:rsidRPr="5575EBFC">
        <w:rPr>
          <w:lang w:val="en-GB"/>
        </w:rPr>
        <w:t xml:space="preserve"> </w:t>
      </w:r>
      <w:r w:rsidR="2400CD41" w:rsidRPr="5575EBFC">
        <w:rPr>
          <w:lang w:val="en-GB"/>
        </w:rPr>
        <w:t>Yet f</w:t>
      </w:r>
      <w:r w:rsidR="2452564A" w:rsidRPr="5575EBFC">
        <w:rPr>
          <w:lang w:val="en-GB"/>
        </w:rPr>
        <w:t>ewer than 5</w:t>
      </w:r>
      <w:r w:rsidR="17D6C6F4" w:rsidRPr="5575EBFC">
        <w:rPr>
          <w:lang w:val="en-GB"/>
        </w:rPr>
        <w:t xml:space="preserve"> per cent</w:t>
      </w:r>
      <w:r w:rsidR="2452564A" w:rsidRPr="5575EBFC">
        <w:rPr>
          <w:lang w:val="en-GB"/>
        </w:rPr>
        <w:t xml:space="preserve"> of studies examining drivers of biological invasions addressed more than one driver (</w:t>
      </w:r>
      <w:r w:rsidR="2452564A" w:rsidRPr="5575EBFC">
        <w:rPr>
          <w:i/>
          <w:iCs/>
          <w:lang w:val="en-GB"/>
        </w:rPr>
        <w:t>well established</w:t>
      </w:r>
      <w:r w:rsidR="2452564A" w:rsidRPr="5575EBFC">
        <w:rPr>
          <w:lang w:val="en-GB"/>
        </w:rPr>
        <w:t>) {3.1.</w:t>
      </w:r>
      <w:r w:rsidR="3B3C4003" w:rsidRPr="5575EBFC">
        <w:rPr>
          <w:lang w:val="en-GB"/>
        </w:rPr>
        <w:t>6</w:t>
      </w:r>
      <w:r w:rsidR="3F8CE948" w:rsidRPr="5575EBFC">
        <w:rPr>
          <w:lang w:val="en-GB"/>
        </w:rPr>
        <w:t>,</w:t>
      </w:r>
      <w:r w:rsidR="2452564A" w:rsidRPr="5575EBFC">
        <w:rPr>
          <w:lang w:val="en-GB"/>
        </w:rPr>
        <w:t xml:space="preserve"> 3.</w:t>
      </w:r>
      <w:r w:rsidR="3B3C4003" w:rsidRPr="5575EBFC">
        <w:rPr>
          <w:lang w:val="en-GB"/>
        </w:rPr>
        <w:t>6</w:t>
      </w:r>
      <w:r w:rsidR="1E6E2B78" w:rsidRPr="5575EBFC">
        <w:rPr>
          <w:lang w:val="en-GB"/>
        </w:rPr>
        <w:t>.1</w:t>
      </w:r>
      <w:r w:rsidR="2452564A" w:rsidRPr="5575EBFC">
        <w:rPr>
          <w:lang w:val="en-GB"/>
        </w:rPr>
        <w:t xml:space="preserve">}. </w:t>
      </w:r>
      <w:r w:rsidR="6AB60EC7" w:rsidRPr="5575EBFC">
        <w:rPr>
          <w:lang w:val="en-GB"/>
        </w:rPr>
        <w:t>S</w:t>
      </w:r>
      <w:r w:rsidR="683F4823" w:rsidRPr="5575EBFC">
        <w:rPr>
          <w:lang w:val="en-GB"/>
        </w:rPr>
        <w:t>takeholder</w:t>
      </w:r>
      <w:r w:rsidR="6AB60EC7" w:rsidRPr="5575EBFC">
        <w:rPr>
          <w:lang w:val="en-GB"/>
        </w:rPr>
        <w:t xml:space="preserve">s, including </w:t>
      </w:r>
      <w:r w:rsidR="7E030AE4" w:rsidRPr="5575EBFC">
        <w:rPr>
          <w:lang w:val="en-GB"/>
        </w:rPr>
        <w:t>decision</w:t>
      </w:r>
      <w:r w:rsidR="00E77D81">
        <w:rPr>
          <w:lang w:val="en-GB"/>
        </w:rPr>
        <w:t xml:space="preserve"> </w:t>
      </w:r>
      <w:r w:rsidR="7E030AE4" w:rsidRPr="5575EBFC">
        <w:rPr>
          <w:lang w:val="en-GB"/>
        </w:rPr>
        <w:t xml:space="preserve">makers, </w:t>
      </w:r>
      <w:r w:rsidR="683F4823" w:rsidRPr="5575EBFC">
        <w:rPr>
          <w:lang w:val="en-GB"/>
        </w:rPr>
        <w:t xml:space="preserve">are </w:t>
      </w:r>
      <w:r w:rsidR="4A15F7D6" w:rsidRPr="5575EBFC">
        <w:rPr>
          <w:lang w:val="en-GB"/>
        </w:rPr>
        <w:t xml:space="preserve">currently </w:t>
      </w:r>
      <w:r w:rsidR="602D9490" w:rsidRPr="5575EBFC">
        <w:rPr>
          <w:lang w:val="en-GB"/>
        </w:rPr>
        <w:t>inadequat</w:t>
      </w:r>
      <w:r w:rsidR="1A482E4E" w:rsidRPr="5575EBFC">
        <w:rPr>
          <w:lang w:val="en-GB"/>
        </w:rPr>
        <w:t>e</w:t>
      </w:r>
      <w:r w:rsidR="602D9490" w:rsidRPr="5575EBFC">
        <w:rPr>
          <w:lang w:val="en-GB"/>
        </w:rPr>
        <w:t>ly</w:t>
      </w:r>
      <w:r w:rsidR="0AB43C85" w:rsidRPr="5575EBFC">
        <w:rPr>
          <w:lang w:val="en-GB"/>
        </w:rPr>
        <w:t xml:space="preserve"> prepared to</w:t>
      </w:r>
      <w:r w:rsidR="683F4823" w:rsidRPr="5575EBFC">
        <w:rPr>
          <w:lang w:val="en-GB"/>
        </w:rPr>
        <w:t xml:space="preserve"> address and react to </w:t>
      </w:r>
      <w:r w:rsidR="23ED26D0" w:rsidRPr="5575EBFC">
        <w:rPr>
          <w:lang w:val="en-GB"/>
        </w:rPr>
        <w:t xml:space="preserve">unexpected </w:t>
      </w:r>
      <w:r w:rsidR="4C5E179D" w:rsidRPr="5575EBFC">
        <w:rPr>
          <w:lang w:val="en-GB"/>
        </w:rPr>
        <w:t>conseq</w:t>
      </w:r>
      <w:r w:rsidR="2E075FAD" w:rsidRPr="5575EBFC">
        <w:rPr>
          <w:lang w:val="en-GB"/>
        </w:rPr>
        <w:t>u</w:t>
      </w:r>
      <w:r w:rsidR="4C5E179D" w:rsidRPr="5575EBFC">
        <w:rPr>
          <w:lang w:val="en-GB"/>
        </w:rPr>
        <w:t>ences</w:t>
      </w:r>
      <w:r w:rsidR="23ED26D0" w:rsidRPr="5575EBFC">
        <w:rPr>
          <w:lang w:val="en-GB"/>
        </w:rPr>
        <w:t xml:space="preserve"> arising fr</w:t>
      </w:r>
      <w:r w:rsidR="49439DC6" w:rsidRPr="5575EBFC">
        <w:rPr>
          <w:lang w:val="en-GB"/>
        </w:rPr>
        <w:t>o</w:t>
      </w:r>
      <w:r w:rsidR="23ED26D0" w:rsidRPr="5575EBFC">
        <w:rPr>
          <w:lang w:val="en-GB"/>
        </w:rPr>
        <w:t xml:space="preserve">m </w:t>
      </w:r>
      <w:r w:rsidR="49439DC6" w:rsidRPr="5575EBFC">
        <w:rPr>
          <w:lang w:val="en-GB"/>
        </w:rPr>
        <w:t xml:space="preserve">additive or multiplicative effects of several drivers </w:t>
      </w:r>
      <w:r w:rsidR="49439DC6" w:rsidRPr="5575EBFC">
        <w:rPr>
          <w:lang w:val="en-GB"/>
        </w:rPr>
        <w:lastRenderedPageBreak/>
        <w:t>on the transport, introduction, establishment and spread of invasive alien species</w:t>
      </w:r>
      <w:r w:rsidR="683F4823" w:rsidRPr="5575EBFC">
        <w:rPr>
          <w:lang w:val="en-GB"/>
        </w:rPr>
        <w:t> (</w:t>
      </w:r>
      <w:r w:rsidR="683F4823" w:rsidRPr="5575EBFC">
        <w:rPr>
          <w:i/>
          <w:iCs/>
          <w:lang w:val="en-GB"/>
        </w:rPr>
        <w:t>established but incomplete</w:t>
      </w:r>
      <w:r w:rsidR="683F4823" w:rsidRPr="5575EBFC">
        <w:rPr>
          <w:lang w:val="en-GB"/>
        </w:rPr>
        <w:t>) {</w:t>
      </w:r>
      <w:r w:rsidRPr="5575EBFC">
        <w:rPr>
          <w:lang w:val="en-GB"/>
        </w:rPr>
        <w:t>3.</w:t>
      </w:r>
      <w:r w:rsidR="3B3C4003" w:rsidRPr="5575EBFC">
        <w:rPr>
          <w:lang w:val="en-GB"/>
        </w:rPr>
        <w:t>5, 3.</w:t>
      </w:r>
      <w:r w:rsidR="1E6E2B78" w:rsidRPr="5575EBFC">
        <w:rPr>
          <w:lang w:val="en-GB"/>
        </w:rPr>
        <w:t>6.3</w:t>
      </w:r>
      <w:r w:rsidR="683F4823" w:rsidRPr="5575EBFC">
        <w:rPr>
          <w:lang w:val="en-GB"/>
        </w:rPr>
        <w:t>}</w:t>
      </w:r>
      <w:r w:rsidR="796D6E3A" w:rsidRPr="5575EBFC">
        <w:rPr>
          <w:lang w:val="en-GB"/>
        </w:rPr>
        <w:t>.</w:t>
      </w:r>
    </w:p>
    <w:p w14:paraId="745D83D4" w14:textId="5970977C" w:rsidR="005B7E9B" w:rsidRPr="00DA249F" w:rsidRDefault="6C1CF72E" w:rsidP="004826A3">
      <w:pPr>
        <w:pStyle w:val="ListParagraph"/>
        <w:numPr>
          <w:ilvl w:val="0"/>
          <w:numId w:val="12"/>
        </w:numPr>
        <w:rPr>
          <w:lang w:val="en-GB"/>
        </w:rPr>
      </w:pPr>
      <w:r w:rsidRPr="5575EBFC">
        <w:rPr>
          <w:b/>
          <w:bCs/>
          <w:lang w:val="en-GB"/>
        </w:rPr>
        <w:t xml:space="preserve">Knowledge is biased towards </w:t>
      </w:r>
      <w:r w:rsidR="7AF706EF" w:rsidRPr="5575EBFC">
        <w:rPr>
          <w:b/>
          <w:bCs/>
          <w:lang w:val="en-GB"/>
        </w:rPr>
        <w:t xml:space="preserve">only </w:t>
      </w:r>
      <w:r w:rsidRPr="5575EBFC">
        <w:rPr>
          <w:b/>
          <w:bCs/>
          <w:lang w:val="en-GB"/>
        </w:rPr>
        <w:t>a subset of drivers, and</w:t>
      </w:r>
      <w:r w:rsidR="2984CDE4" w:rsidRPr="5575EBFC">
        <w:rPr>
          <w:b/>
          <w:bCs/>
          <w:lang w:val="en-GB"/>
        </w:rPr>
        <w:t xml:space="preserve"> </w:t>
      </w:r>
      <w:r w:rsidRPr="5575EBFC">
        <w:rPr>
          <w:b/>
          <w:bCs/>
          <w:lang w:val="en-GB"/>
        </w:rPr>
        <w:t xml:space="preserve">less is understood regarding how indirect </w:t>
      </w:r>
      <w:r w:rsidR="653902EA" w:rsidRPr="5575EBFC">
        <w:rPr>
          <w:b/>
          <w:bCs/>
          <w:lang w:val="en-GB"/>
        </w:rPr>
        <w:t>drivers of change</w:t>
      </w:r>
      <w:r w:rsidR="775F72A7" w:rsidRPr="5575EBFC">
        <w:rPr>
          <w:b/>
          <w:bCs/>
          <w:lang w:val="en-GB"/>
        </w:rPr>
        <w:t xml:space="preserve"> in nature</w:t>
      </w:r>
      <w:r w:rsidRPr="5575EBFC">
        <w:rPr>
          <w:b/>
          <w:bCs/>
          <w:lang w:val="en-GB"/>
        </w:rPr>
        <w:t xml:space="preserve"> influence </w:t>
      </w:r>
      <w:r w:rsidR="65732B9B" w:rsidRPr="5575EBFC">
        <w:rPr>
          <w:b/>
          <w:bCs/>
          <w:lang w:val="en-GB"/>
        </w:rPr>
        <w:t>biological invasions</w:t>
      </w:r>
      <w:r w:rsidR="4A07C5EC" w:rsidRPr="5575EBFC">
        <w:rPr>
          <w:b/>
          <w:bCs/>
          <w:lang w:val="en-GB"/>
        </w:rPr>
        <w:t xml:space="preserve"> compared to direct drivers</w:t>
      </w:r>
      <w:r w:rsidRPr="5575EBFC">
        <w:rPr>
          <w:b/>
          <w:bCs/>
          <w:lang w:val="en-GB"/>
        </w:rPr>
        <w:t xml:space="preserve"> (</w:t>
      </w:r>
      <w:r w:rsidRPr="5575EBFC">
        <w:rPr>
          <w:b/>
          <w:bCs/>
          <w:i/>
          <w:iCs/>
          <w:lang w:val="en-GB"/>
        </w:rPr>
        <w:t>well established</w:t>
      </w:r>
      <w:r w:rsidR="5200584D" w:rsidRPr="5575EBFC">
        <w:rPr>
          <w:b/>
          <w:bCs/>
          <w:lang w:val="en-GB"/>
        </w:rPr>
        <w:t xml:space="preserve">) </w:t>
      </w:r>
      <w:r w:rsidR="33A77F40" w:rsidRPr="5575EBFC">
        <w:rPr>
          <w:b/>
          <w:bCs/>
          <w:lang w:val="en-GB"/>
        </w:rPr>
        <w:t>{3.</w:t>
      </w:r>
      <w:r w:rsidR="1E6E2B78" w:rsidRPr="5575EBFC">
        <w:rPr>
          <w:b/>
          <w:bCs/>
          <w:lang w:val="en-GB"/>
        </w:rPr>
        <w:t>6.1</w:t>
      </w:r>
      <w:r w:rsidR="33A77F40" w:rsidRPr="5575EBFC">
        <w:rPr>
          <w:b/>
          <w:bCs/>
          <w:lang w:val="en-GB"/>
        </w:rPr>
        <w:t>}</w:t>
      </w:r>
      <w:r w:rsidR="5200584D" w:rsidRPr="5575EBFC">
        <w:rPr>
          <w:b/>
          <w:bCs/>
          <w:lang w:val="en-GB"/>
        </w:rPr>
        <w:t>.</w:t>
      </w:r>
      <w:r w:rsidR="33A77F40" w:rsidRPr="5575EBFC">
        <w:rPr>
          <w:lang w:val="en-GB"/>
        </w:rPr>
        <w:t xml:space="preserve"> </w:t>
      </w:r>
      <w:r w:rsidR="44094D12" w:rsidRPr="5575EBFC">
        <w:rPr>
          <w:lang w:val="en-GB"/>
        </w:rPr>
        <w:t xml:space="preserve">While this chapter </w:t>
      </w:r>
      <w:r w:rsidR="3090610B" w:rsidRPr="5575EBFC">
        <w:rPr>
          <w:lang w:val="en-GB"/>
        </w:rPr>
        <w:t>summarizes the available</w:t>
      </w:r>
      <w:r w:rsidR="44094D12" w:rsidRPr="5575EBFC">
        <w:rPr>
          <w:lang w:val="en-GB"/>
        </w:rPr>
        <w:t xml:space="preserve"> </w:t>
      </w:r>
      <w:r w:rsidR="34DE7121" w:rsidRPr="5575EBFC">
        <w:rPr>
          <w:lang w:val="en-GB"/>
        </w:rPr>
        <w:t>evidence</w:t>
      </w:r>
      <w:r w:rsidR="44094D12" w:rsidRPr="5575EBFC">
        <w:rPr>
          <w:lang w:val="en-GB"/>
        </w:rPr>
        <w:t xml:space="preserve"> of the role of each direct and indirect driver on biological invasions, the </w:t>
      </w:r>
      <w:r w:rsidR="25E356DE" w:rsidRPr="5575EBFC">
        <w:rPr>
          <w:lang w:val="en-GB"/>
        </w:rPr>
        <w:t>underlying</w:t>
      </w:r>
      <w:r w:rsidR="44094D12" w:rsidRPr="5575EBFC">
        <w:rPr>
          <w:lang w:val="en-GB"/>
        </w:rPr>
        <w:t xml:space="preserve"> knowledge</w:t>
      </w:r>
      <w:r w:rsidR="4D0BA0A5" w:rsidRPr="5575EBFC">
        <w:rPr>
          <w:lang w:val="en-GB"/>
        </w:rPr>
        <w:t xml:space="preserve"> base is biased</w:t>
      </w:r>
      <w:r w:rsidR="1E6E2B78" w:rsidRPr="5575EBFC">
        <w:rPr>
          <w:lang w:val="en-GB"/>
        </w:rPr>
        <w:t xml:space="preserve"> (</w:t>
      </w:r>
      <w:r w:rsidR="1E6E2B78" w:rsidRPr="5575EBFC">
        <w:rPr>
          <w:i/>
          <w:iCs/>
          <w:lang w:val="en-GB"/>
        </w:rPr>
        <w:t>well established</w:t>
      </w:r>
      <w:r w:rsidR="1E6E2B78" w:rsidRPr="5575EBFC">
        <w:rPr>
          <w:lang w:val="en-GB"/>
        </w:rPr>
        <w:t>) {3.6.1}</w:t>
      </w:r>
      <w:r w:rsidR="4D0BA0A5" w:rsidRPr="5575EBFC">
        <w:rPr>
          <w:lang w:val="en-GB"/>
        </w:rPr>
        <w:t xml:space="preserve">. </w:t>
      </w:r>
      <w:r w:rsidRPr="5575EBFC">
        <w:rPr>
          <w:lang w:val="en-GB"/>
        </w:rPr>
        <w:t xml:space="preserve">Most of the recent research </w:t>
      </w:r>
      <w:r w:rsidR="3DB4F7EA" w:rsidRPr="5575EBFC">
        <w:rPr>
          <w:lang w:val="en-GB"/>
        </w:rPr>
        <w:t xml:space="preserve">addressing the role of drivers in facilitating </w:t>
      </w:r>
      <w:r w:rsidRPr="5575EBFC">
        <w:rPr>
          <w:lang w:val="en-GB"/>
        </w:rPr>
        <w:t xml:space="preserve">biological invasions has </w:t>
      </w:r>
      <w:r w:rsidR="3DB4F7EA" w:rsidRPr="5575EBFC">
        <w:rPr>
          <w:lang w:val="en-GB"/>
        </w:rPr>
        <w:t>focused on a subset</w:t>
      </w:r>
      <w:r w:rsidRPr="5575EBFC">
        <w:rPr>
          <w:lang w:val="en-GB"/>
        </w:rPr>
        <w:t xml:space="preserve"> </w:t>
      </w:r>
      <w:r w:rsidR="557D2E9C" w:rsidRPr="5575EBFC">
        <w:rPr>
          <w:lang w:val="en-GB"/>
        </w:rPr>
        <w:t xml:space="preserve">of </w:t>
      </w:r>
      <w:r w:rsidRPr="5575EBFC">
        <w:rPr>
          <w:lang w:val="en-GB"/>
        </w:rPr>
        <w:t>drivers</w:t>
      </w:r>
      <w:r w:rsidR="6100D047" w:rsidRPr="5575EBFC">
        <w:rPr>
          <w:lang w:val="en-GB"/>
        </w:rPr>
        <w:t>, especially econo</w:t>
      </w:r>
      <w:r w:rsidR="091E3121" w:rsidRPr="5575EBFC">
        <w:rPr>
          <w:lang w:val="en-GB"/>
        </w:rPr>
        <w:t>mic drivers such as trade and transport,</w:t>
      </w:r>
      <w:r w:rsidR="61FF078D" w:rsidRPr="5575EBFC">
        <w:rPr>
          <w:lang w:val="en-GB"/>
        </w:rPr>
        <w:t xml:space="preserve"> </w:t>
      </w:r>
      <w:r w:rsidRPr="5575EBFC">
        <w:rPr>
          <w:lang w:val="en-GB"/>
        </w:rPr>
        <w:t>climate change</w:t>
      </w:r>
      <w:r w:rsidR="009F7404">
        <w:rPr>
          <w:lang w:val="en-GB"/>
        </w:rPr>
        <w:t xml:space="preserve"> and</w:t>
      </w:r>
      <w:r w:rsidRPr="5575EBFC">
        <w:rPr>
          <w:lang w:val="en-GB"/>
        </w:rPr>
        <w:t xml:space="preserve"> land-use change (</w:t>
      </w:r>
      <w:r w:rsidRPr="5575EBFC">
        <w:rPr>
          <w:i/>
          <w:iCs/>
          <w:lang w:val="en-GB"/>
        </w:rPr>
        <w:t>well established</w:t>
      </w:r>
      <w:r w:rsidR="5200584D" w:rsidRPr="5575EBFC">
        <w:rPr>
          <w:lang w:val="en-GB"/>
        </w:rPr>
        <w:t>) {3.</w:t>
      </w:r>
      <w:r w:rsidR="0EAA81BD" w:rsidRPr="5575EBFC">
        <w:rPr>
          <w:lang w:val="en-GB"/>
        </w:rPr>
        <w:t>6</w:t>
      </w:r>
      <w:r w:rsidR="47FACD76" w:rsidRPr="5575EBFC">
        <w:rPr>
          <w:lang w:val="en-GB"/>
        </w:rPr>
        <w:t>.1</w:t>
      </w:r>
      <w:r w:rsidR="5200584D" w:rsidRPr="5575EBFC">
        <w:rPr>
          <w:lang w:val="en-GB"/>
        </w:rPr>
        <w:t xml:space="preserve">}. The importance of </w:t>
      </w:r>
      <w:r w:rsidRPr="5575EBFC">
        <w:rPr>
          <w:lang w:val="en-GB"/>
        </w:rPr>
        <w:t xml:space="preserve">sociocultural </w:t>
      </w:r>
      <w:r w:rsidR="522C34B7" w:rsidRPr="5575EBFC">
        <w:rPr>
          <w:lang w:val="en-GB"/>
        </w:rPr>
        <w:t>values</w:t>
      </w:r>
      <w:r w:rsidRPr="5575EBFC">
        <w:rPr>
          <w:lang w:val="en-GB"/>
        </w:rPr>
        <w:t xml:space="preserve"> and </w:t>
      </w:r>
      <w:r w:rsidR="1226285D" w:rsidRPr="5575EBFC">
        <w:rPr>
          <w:lang w:val="en-GB"/>
        </w:rPr>
        <w:t>unintended consequences of</w:t>
      </w:r>
      <w:r w:rsidRPr="5575EBFC">
        <w:rPr>
          <w:lang w:val="en-GB"/>
        </w:rPr>
        <w:t xml:space="preserve"> </w:t>
      </w:r>
      <w:r w:rsidR="443E7AE2" w:rsidRPr="5575EBFC">
        <w:rPr>
          <w:lang w:val="en-GB"/>
        </w:rPr>
        <w:t xml:space="preserve">governance, </w:t>
      </w:r>
      <w:r w:rsidRPr="5575EBFC">
        <w:rPr>
          <w:lang w:val="en-GB"/>
        </w:rPr>
        <w:t xml:space="preserve">policy </w:t>
      </w:r>
      <w:r w:rsidR="25C3A18C" w:rsidRPr="5575EBFC">
        <w:rPr>
          <w:lang w:val="en-GB"/>
        </w:rPr>
        <w:t>and insitutions</w:t>
      </w:r>
      <w:r w:rsidRPr="5575EBFC">
        <w:rPr>
          <w:lang w:val="en-GB"/>
        </w:rPr>
        <w:t xml:space="preserve"> in shaping biological invasion remains understudied (</w:t>
      </w:r>
      <w:r w:rsidRPr="5575EBFC">
        <w:rPr>
          <w:i/>
          <w:iCs/>
          <w:lang w:val="en-GB"/>
        </w:rPr>
        <w:t xml:space="preserve">well </w:t>
      </w:r>
      <w:r w:rsidR="4BA41D40" w:rsidRPr="5575EBFC">
        <w:rPr>
          <w:i/>
          <w:iCs/>
          <w:lang w:val="en-GB"/>
        </w:rPr>
        <w:t>established</w:t>
      </w:r>
      <w:r w:rsidRPr="5575EBFC">
        <w:rPr>
          <w:lang w:val="en-GB"/>
        </w:rPr>
        <w:t>) {3.</w:t>
      </w:r>
      <w:r w:rsidR="7F6C1DEF" w:rsidRPr="5575EBFC">
        <w:rPr>
          <w:lang w:val="en-GB"/>
        </w:rPr>
        <w:t>6</w:t>
      </w:r>
      <w:r w:rsidR="47FACD76" w:rsidRPr="5575EBFC">
        <w:rPr>
          <w:lang w:val="en-GB"/>
        </w:rPr>
        <w:t>.1, 3.6.3</w:t>
      </w:r>
      <w:r w:rsidRPr="5575EBFC">
        <w:rPr>
          <w:lang w:val="en-GB"/>
        </w:rPr>
        <w:t>}.</w:t>
      </w:r>
    </w:p>
    <w:p w14:paraId="42974464" w14:textId="2D5A645B" w:rsidR="00BF7D60" w:rsidRPr="00DA249F" w:rsidRDefault="797D2A3E">
      <w:pPr>
        <w:pStyle w:val="ListParagraph"/>
        <w:numPr>
          <w:ilvl w:val="0"/>
          <w:numId w:val="12"/>
        </w:numPr>
        <w:rPr>
          <w:rFonts w:eastAsia="DengXian"/>
          <w:szCs w:val="24"/>
          <w:lang w:val="en-GB"/>
        </w:rPr>
      </w:pPr>
      <w:r w:rsidRPr="728F2DAF">
        <w:rPr>
          <w:b/>
          <w:bCs/>
          <w:lang w:val="en-GB"/>
        </w:rPr>
        <w:t>B</w:t>
      </w:r>
      <w:r w:rsidR="2BD19D76" w:rsidRPr="728F2DAF">
        <w:rPr>
          <w:b/>
          <w:bCs/>
          <w:lang w:val="en-GB"/>
        </w:rPr>
        <w:t xml:space="preserve">iases </w:t>
      </w:r>
      <w:r w:rsidR="6D27B4D1" w:rsidRPr="728F2DAF">
        <w:rPr>
          <w:b/>
          <w:bCs/>
          <w:lang w:val="en-GB"/>
        </w:rPr>
        <w:t xml:space="preserve">in the availability of data on how </w:t>
      </w:r>
      <w:r w:rsidR="067C1E4A" w:rsidRPr="728F2DAF">
        <w:rPr>
          <w:b/>
          <w:bCs/>
          <w:lang w:val="en-GB"/>
        </w:rPr>
        <w:t xml:space="preserve">drivers of change </w:t>
      </w:r>
      <w:r w:rsidR="01D36619" w:rsidRPr="728F2DAF">
        <w:rPr>
          <w:b/>
          <w:bCs/>
          <w:lang w:val="en-GB"/>
        </w:rPr>
        <w:t>in nature</w:t>
      </w:r>
      <w:r w:rsidR="6D27B4D1" w:rsidRPr="728F2DAF">
        <w:rPr>
          <w:b/>
          <w:bCs/>
          <w:lang w:val="en-GB"/>
        </w:rPr>
        <w:t xml:space="preserve"> influence </w:t>
      </w:r>
      <w:r w:rsidR="241F689A" w:rsidRPr="728F2DAF">
        <w:rPr>
          <w:b/>
          <w:bCs/>
          <w:lang w:val="en-GB"/>
        </w:rPr>
        <w:t>biological invasions</w:t>
      </w:r>
      <w:r w:rsidRPr="728F2DAF">
        <w:rPr>
          <w:b/>
          <w:bCs/>
          <w:lang w:val="en-GB"/>
        </w:rPr>
        <w:t xml:space="preserve"> </w:t>
      </w:r>
      <w:r w:rsidR="6D27B4D1" w:rsidRPr="728F2DAF">
        <w:rPr>
          <w:b/>
          <w:bCs/>
          <w:lang w:val="en-GB"/>
        </w:rPr>
        <w:t>highlight</w:t>
      </w:r>
      <w:r w:rsidR="7A846422" w:rsidRPr="728F2DAF">
        <w:rPr>
          <w:b/>
          <w:bCs/>
          <w:lang w:val="en-GB"/>
        </w:rPr>
        <w:t xml:space="preserve"> that causal factors are most poorly understood </w:t>
      </w:r>
      <w:r w:rsidR="1134251F" w:rsidRPr="728F2DAF">
        <w:rPr>
          <w:b/>
          <w:bCs/>
          <w:lang w:val="en-GB"/>
        </w:rPr>
        <w:t xml:space="preserve">for regions </w:t>
      </w:r>
      <w:r w:rsidR="6D27B4D1" w:rsidRPr="728F2DAF">
        <w:rPr>
          <w:b/>
          <w:bCs/>
          <w:lang w:val="en-GB"/>
        </w:rPr>
        <w:t xml:space="preserve">potentially </w:t>
      </w:r>
      <w:r w:rsidR="0A835951" w:rsidRPr="728F2DAF">
        <w:rPr>
          <w:b/>
          <w:bCs/>
          <w:lang w:val="en-GB"/>
        </w:rPr>
        <w:t xml:space="preserve">most </w:t>
      </w:r>
      <w:r w:rsidR="6D27B4D1" w:rsidRPr="728F2DAF">
        <w:rPr>
          <w:b/>
          <w:bCs/>
          <w:lang w:val="en-GB"/>
        </w:rPr>
        <w:t xml:space="preserve">exposed to </w:t>
      </w:r>
      <w:r w:rsidR="1255430D" w:rsidRPr="728F2DAF">
        <w:rPr>
          <w:b/>
          <w:bCs/>
          <w:lang w:val="en-GB"/>
        </w:rPr>
        <w:t>increasing risks from</w:t>
      </w:r>
      <w:r w:rsidR="6D27B4D1" w:rsidRPr="728F2DAF">
        <w:rPr>
          <w:b/>
          <w:bCs/>
          <w:lang w:val="en-GB"/>
        </w:rPr>
        <w:t xml:space="preserve"> invasive alien species (</w:t>
      </w:r>
      <w:r w:rsidR="6D27B4D1" w:rsidRPr="728F2DAF">
        <w:rPr>
          <w:b/>
          <w:bCs/>
          <w:i/>
          <w:iCs/>
          <w:lang w:val="en-GB"/>
        </w:rPr>
        <w:t>well established</w:t>
      </w:r>
      <w:r w:rsidR="6D27B4D1" w:rsidRPr="728F2DAF">
        <w:rPr>
          <w:b/>
          <w:bCs/>
          <w:lang w:val="en-GB"/>
        </w:rPr>
        <w:t>)</w:t>
      </w:r>
      <w:r w:rsidR="65A83380" w:rsidRPr="728F2DAF">
        <w:rPr>
          <w:b/>
          <w:bCs/>
          <w:lang w:val="en-GB"/>
        </w:rPr>
        <w:t xml:space="preserve"> {</w:t>
      </w:r>
      <w:r w:rsidR="2F64F6B0" w:rsidRPr="728F2DAF">
        <w:rPr>
          <w:b/>
          <w:bCs/>
          <w:lang w:val="en-GB"/>
        </w:rPr>
        <w:t>3.6</w:t>
      </w:r>
      <w:r w:rsidR="04BE0A65" w:rsidRPr="728F2DAF">
        <w:rPr>
          <w:b/>
          <w:bCs/>
          <w:lang w:val="en-GB"/>
        </w:rPr>
        <w:t>.1</w:t>
      </w:r>
      <w:r w:rsidR="65A83380" w:rsidRPr="728F2DAF">
        <w:rPr>
          <w:b/>
          <w:bCs/>
          <w:lang w:val="en-GB"/>
        </w:rPr>
        <w:t>}</w:t>
      </w:r>
      <w:r w:rsidR="6D27B4D1" w:rsidRPr="728F2DAF">
        <w:rPr>
          <w:b/>
          <w:bCs/>
          <w:lang w:val="en-GB"/>
        </w:rPr>
        <w:t>.</w:t>
      </w:r>
      <w:r w:rsidR="6D27B4D1" w:rsidRPr="728F2DAF">
        <w:rPr>
          <w:lang w:val="en-GB"/>
        </w:rPr>
        <w:t xml:space="preserve"> </w:t>
      </w:r>
      <w:r w:rsidR="04250442" w:rsidRPr="728F2DAF">
        <w:rPr>
          <w:lang w:val="en-GB"/>
        </w:rPr>
        <w:t xml:space="preserve">This chapter </w:t>
      </w:r>
      <w:r w:rsidR="0BC4783C" w:rsidRPr="728F2DAF">
        <w:rPr>
          <w:lang w:val="en-GB"/>
        </w:rPr>
        <w:t>examines a variety of sources</w:t>
      </w:r>
      <w:r w:rsidR="14B0F28B" w:rsidRPr="728F2DAF">
        <w:rPr>
          <w:lang w:val="en-GB"/>
        </w:rPr>
        <w:t xml:space="preserve">, including </w:t>
      </w:r>
      <w:r w:rsidR="00E77D81">
        <w:rPr>
          <w:lang w:val="en-GB"/>
        </w:rPr>
        <w:t>I</w:t>
      </w:r>
      <w:r w:rsidR="14B0F28B" w:rsidRPr="728F2DAF">
        <w:rPr>
          <w:lang w:val="en-GB"/>
        </w:rPr>
        <w:t xml:space="preserve">ndigenous and local </w:t>
      </w:r>
      <w:r w:rsidR="3761D44C" w:rsidRPr="728F2DAF">
        <w:rPr>
          <w:lang w:val="en-GB"/>
        </w:rPr>
        <w:t>knowledge, and</w:t>
      </w:r>
      <w:r w:rsidR="4EC06C8E" w:rsidRPr="728F2DAF">
        <w:rPr>
          <w:lang w:val="en-GB"/>
        </w:rPr>
        <w:t xml:space="preserve"> explicitly</w:t>
      </w:r>
      <w:r w:rsidR="0BC4783C" w:rsidRPr="728F2DAF">
        <w:rPr>
          <w:lang w:val="en-GB"/>
        </w:rPr>
        <w:t xml:space="preserve"> </w:t>
      </w:r>
      <w:r w:rsidR="4EC06C8E" w:rsidRPr="728F2DAF">
        <w:rPr>
          <w:lang w:val="en-GB"/>
        </w:rPr>
        <w:t>includes evidence</w:t>
      </w:r>
      <w:r w:rsidR="0BC4783C" w:rsidRPr="728F2DAF">
        <w:rPr>
          <w:lang w:val="en-GB"/>
        </w:rPr>
        <w:t xml:space="preserve"> </w:t>
      </w:r>
      <w:r w:rsidR="04250442" w:rsidRPr="728F2DAF">
        <w:rPr>
          <w:lang w:val="en-GB"/>
        </w:rPr>
        <w:t xml:space="preserve">of biological invasions across multiple geographic regions, taxonomic </w:t>
      </w:r>
      <w:r w:rsidR="2E29FE0E" w:rsidRPr="728F2DAF">
        <w:rPr>
          <w:lang w:val="en-GB"/>
        </w:rPr>
        <w:t>groups</w:t>
      </w:r>
      <w:r w:rsidR="009F7404">
        <w:rPr>
          <w:lang w:val="en-GB"/>
        </w:rPr>
        <w:t xml:space="preserve"> and</w:t>
      </w:r>
      <w:r w:rsidR="04250442" w:rsidRPr="728F2DAF">
        <w:rPr>
          <w:lang w:val="en-GB"/>
        </w:rPr>
        <w:t xml:space="preserve"> biomes</w:t>
      </w:r>
      <w:r w:rsidR="04BE0A65" w:rsidRPr="728F2DAF">
        <w:rPr>
          <w:lang w:val="en-GB"/>
        </w:rPr>
        <w:t xml:space="preserve"> {3.1.2, 3.6.1}</w:t>
      </w:r>
      <w:r w:rsidR="04250442" w:rsidRPr="728F2DAF">
        <w:rPr>
          <w:lang w:val="en-GB"/>
        </w:rPr>
        <w:t>. Nevertheless,</w:t>
      </w:r>
      <w:r w:rsidR="07CF4B42" w:rsidRPr="728F2DAF">
        <w:rPr>
          <w:lang w:val="en-GB"/>
        </w:rPr>
        <w:t xml:space="preserve"> </w:t>
      </w:r>
      <w:r w:rsidR="6D27B4D1" w:rsidRPr="728F2DAF">
        <w:rPr>
          <w:lang w:val="en-GB"/>
        </w:rPr>
        <w:t>the evidence base for</w:t>
      </w:r>
      <w:r w:rsidR="2A1221C3" w:rsidRPr="728F2DAF">
        <w:rPr>
          <w:lang w:val="en-GB"/>
        </w:rPr>
        <w:t xml:space="preserve"> how</w:t>
      </w:r>
      <w:r w:rsidR="6D27B4D1" w:rsidRPr="728F2DAF">
        <w:rPr>
          <w:lang w:val="en-GB"/>
        </w:rPr>
        <w:t xml:space="preserve"> drivers </w:t>
      </w:r>
      <w:r w:rsidR="245DC1A6" w:rsidRPr="728F2DAF">
        <w:rPr>
          <w:lang w:val="en-GB"/>
        </w:rPr>
        <w:t>influence</w:t>
      </w:r>
      <w:r w:rsidR="2A1221C3" w:rsidRPr="728F2DAF">
        <w:rPr>
          <w:lang w:val="en-GB"/>
        </w:rPr>
        <w:t xml:space="preserve"> </w:t>
      </w:r>
      <w:r w:rsidR="6D2A8B5C" w:rsidRPr="00FC1BA2">
        <w:rPr>
          <w:lang w:val="en-GB"/>
        </w:rPr>
        <w:t>biological invasions</w:t>
      </w:r>
      <w:r w:rsidR="6D27B4D1" w:rsidRPr="728F2DAF">
        <w:rPr>
          <w:lang w:val="en-GB"/>
        </w:rPr>
        <w:t xml:space="preserve"> is largely drawn from developed </w:t>
      </w:r>
      <w:r w:rsidR="00E77D81">
        <w:rPr>
          <w:lang w:val="en-GB"/>
        </w:rPr>
        <w:t>countries</w:t>
      </w:r>
      <w:r w:rsidR="6D27B4D1" w:rsidRPr="728F2DAF">
        <w:rPr>
          <w:lang w:val="en-GB"/>
        </w:rPr>
        <w:t xml:space="preserve">, particularly </w:t>
      </w:r>
      <w:r w:rsidR="043EDE70" w:rsidRPr="728F2DAF">
        <w:rPr>
          <w:lang w:val="en-GB"/>
        </w:rPr>
        <w:t>in</w:t>
      </w:r>
      <w:r w:rsidR="6D27B4D1" w:rsidRPr="728F2DAF">
        <w:rPr>
          <w:lang w:val="en-GB"/>
        </w:rPr>
        <w:t xml:space="preserve"> Europe, </w:t>
      </w:r>
      <w:r w:rsidR="57CC3B0B" w:rsidRPr="728F2DAF">
        <w:rPr>
          <w:lang w:val="en-GB"/>
        </w:rPr>
        <w:t>North America and Oceania</w:t>
      </w:r>
      <w:r w:rsidR="52F23994" w:rsidRPr="728F2DAF">
        <w:rPr>
          <w:lang w:val="en-GB"/>
        </w:rPr>
        <w:t>,</w:t>
      </w:r>
      <w:r w:rsidR="6D27B4D1" w:rsidRPr="728F2DAF">
        <w:rPr>
          <w:lang w:val="en-GB"/>
        </w:rPr>
        <w:t> terrestrial temperate ecosystems and plants</w:t>
      </w:r>
      <w:r w:rsidR="3D3F96DB" w:rsidRPr="728F2DAF">
        <w:rPr>
          <w:lang w:val="en-GB"/>
        </w:rPr>
        <w:t>,</w:t>
      </w:r>
      <w:r w:rsidR="6D27B4D1" w:rsidRPr="728F2DAF">
        <w:rPr>
          <w:lang w:val="en-GB"/>
        </w:rPr>
        <w:t xml:space="preserve"> and the</w:t>
      </w:r>
      <w:r w:rsidR="4CAD1536" w:rsidRPr="728F2DAF">
        <w:rPr>
          <w:lang w:val="en-GB"/>
        </w:rPr>
        <w:t>re is a</w:t>
      </w:r>
      <w:r w:rsidR="6D27B4D1" w:rsidRPr="728F2DAF">
        <w:rPr>
          <w:lang w:val="en-GB"/>
        </w:rPr>
        <w:t xml:space="preserve"> lack of information for polar regions and developing </w:t>
      </w:r>
      <w:r w:rsidR="00E77D81">
        <w:rPr>
          <w:lang w:val="en-GB"/>
        </w:rPr>
        <w:t>countries</w:t>
      </w:r>
      <w:r w:rsidR="6D27B4D1" w:rsidRPr="728F2DAF">
        <w:rPr>
          <w:lang w:val="en-GB"/>
        </w:rPr>
        <w:t>, especially sub-Saharan Africa, tropical Asia and South America</w:t>
      </w:r>
      <w:r w:rsidR="0BBD229F" w:rsidRPr="728F2DAF">
        <w:rPr>
          <w:lang w:val="en-GB"/>
        </w:rPr>
        <w:t>, marine systems and other taxonomic groups</w:t>
      </w:r>
      <w:r w:rsidR="6D27B4D1" w:rsidRPr="728F2DAF">
        <w:rPr>
          <w:lang w:val="en-GB"/>
        </w:rPr>
        <w:t> (</w:t>
      </w:r>
      <w:r w:rsidR="6D27B4D1" w:rsidRPr="728F2DAF">
        <w:rPr>
          <w:i/>
          <w:iCs/>
          <w:lang w:val="en-GB"/>
        </w:rPr>
        <w:t>well established</w:t>
      </w:r>
      <w:r w:rsidR="6D27B4D1" w:rsidRPr="728F2DAF">
        <w:rPr>
          <w:lang w:val="en-GB"/>
        </w:rPr>
        <w:t>) {</w:t>
      </w:r>
      <w:r w:rsidR="0183C83E" w:rsidRPr="728F2DAF">
        <w:rPr>
          <w:lang w:val="en-GB"/>
        </w:rPr>
        <w:t xml:space="preserve">3.6.1, </w:t>
      </w:r>
      <w:r w:rsidR="6D27B4D1" w:rsidRPr="728F2DAF">
        <w:rPr>
          <w:lang w:val="en-GB"/>
        </w:rPr>
        <w:t>3.</w:t>
      </w:r>
      <w:r w:rsidR="5C7DC26D" w:rsidRPr="728F2DAF">
        <w:rPr>
          <w:lang w:val="en-GB"/>
        </w:rPr>
        <w:t>6</w:t>
      </w:r>
      <w:r w:rsidR="0BBD229F" w:rsidRPr="728F2DAF">
        <w:rPr>
          <w:lang w:val="en-GB"/>
        </w:rPr>
        <w:t>.</w:t>
      </w:r>
      <w:r w:rsidR="0183C83E" w:rsidRPr="728F2DAF">
        <w:rPr>
          <w:lang w:val="en-GB"/>
        </w:rPr>
        <w:t>3</w:t>
      </w:r>
      <w:r w:rsidR="6D27B4D1" w:rsidRPr="728F2DAF">
        <w:rPr>
          <w:lang w:val="en-GB"/>
        </w:rPr>
        <w:t>}.</w:t>
      </w:r>
      <w:r w:rsidR="69FAB33C" w:rsidRPr="728F2DAF">
        <w:rPr>
          <w:lang w:val="en-GB"/>
        </w:rPr>
        <w:br w:type="page"/>
      </w:r>
      <w:bookmarkStart w:id="2" w:name="_Toc44317783"/>
    </w:p>
    <w:p w14:paraId="40278B37" w14:textId="77777777" w:rsidR="008C1BF7" w:rsidRPr="00DA249F" w:rsidRDefault="3DC49FE4" w:rsidP="00370C81">
      <w:pPr>
        <w:pStyle w:val="Heading1"/>
        <w:rPr>
          <w:lang w:val="en-GB"/>
        </w:rPr>
      </w:pPr>
      <w:bookmarkStart w:id="3" w:name="_Toc116242099"/>
      <w:bookmarkStart w:id="4" w:name="_Toc146898455"/>
      <w:r w:rsidRPr="5575EBFC">
        <w:rPr>
          <w:lang w:val="en-GB"/>
        </w:rPr>
        <w:lastRenderedPageBreak/>
        <w:t>Introduction</w:t>
      </w:r>
      <w:bookmarkStart w:id="5" w:name="_Hlk118985877"/>
      <w:bookmarkEnd w:id="2"/>
      <w:bookmarkEnd w:id="3"/>
      <w:bookmarkEnd w:id="4"/>
    </w:p>
    <w:p w14:paraId="4814A37B" w14:textId="6D2BE26B" w:rsidR="00CA4348" w:rsidRPr="00DA249F" w:rsidRDefault="7C2526C1" w:rsidP="00F562ED">
      <w:pPr>
        <w:rPr>
          <w:rFonts w:eastAsia="Calibri"/>
          <w:lang w:val="en-GB"/>
        </w:rPr>
      </w:pPr>
      <w:r w:rsidRPr="728F2DAF">
        <w:rPr>
          <w:lang w:val="en-GB"/>
        </w:rPr>
        <w:t xml:space="preserve">The concept of </w:t>
      </w:r>
      <w:r w:rsidR="6014B9CC" w:rsidRPr="728F2DAF">
        <w:rPr>
          <w:lang w:val="en-GB"/>
        </w:rPr>
        <w:t xml:space="preserve">direct and indirect </w:t>
      </w:r>
      <w:r w:rsidR="067C1E4A" w:rsidRPr="728F2DAF">
        <w:rPr>
          <w:lang w:val="en-GB"/>
        </w:rPr>
        <w:t>drivers of change in nature</w:t>
      </w:r>
      <w:r w:rsidR="063C752D" w:rsidRPr="728F2DAF">
        <w:rPr>
          <w:lang w:val="en-GB"/>
        </w:rPr>
        <w:t xml:space="preserve"> </w:t>
      </w:r>
      <w:r w:rsidRPr="728F2DAF">
        <w:rPr>
          <w:lang w:val="en-GB"/>
        </w:rPr>
        <w:t xml:space="preserve">has been a cornerstone in all </w:t>
      </w:r>
      <w:r w:rsidR="2315A835" w:rsidRPr="728F2DAF">
        <w:rPr>
          <w:lang w:val="en-GB"/>
        </w:rPr>
        <w:t xml:space="preserve">the </w:t>
      </w:r>
      <w:r w:rsidRPr="728F2DAF">
        <w:rPr>
          <w:lang w:val="en-GB"/>
        </w:rPr>
        <w:t xml:space="preserve">assessments </w:t>
      </w:r>
      <w:r w:rsidR="2315A835" w:rsidRPr="728F2DAF">
        <w:rPr>
          <w:lang w:val="en-GB"/>
        </w:rPr>
        <w:t xml:space="preserve">led by the </w:t>
      </w:r>
      <w:r w:rsidR="295FBFF4" w:rsidRPr="728F2DAF">
        <w:rPr>
          <w:lang w:val="en-GB"/>
        </w:rPr>
        <w:t xml:space="preserve">Intergovernmental Science-Policy Platform on Biodiversity and Ecosystem Services (IPBES) </w:t>
      </w:r>
      <w:r w:rsidRPr="728F2DAF">
        <w:rPr>
          <w:lang w:val="en-GB"/>
        </w:rPr>
        <w:t xml:space="preserve">to date </w:t>
      </w:r>
      <w:r w:rsidR="6F448896" w:rsidRPr="728F2DAF">
        <w:rPr>
          <w:lang w:val="en-GB"/>
        </w:rPr>
        <w:fldChar w:fldCharType="begin"/>
      </w:r>
      <w:r w:rsidR="00230216">
        <w:rPr>
          <w:lang w:val="en-GB"/>
        </w:rPr>
        <w:instrText xml:space="preserve"> ADDIN ZOTERO_ITEM CSL_CITATION {"citationID":"UZwNy6ei","properties":{"formattedCitation":"(D\\uc0\\u237{}az et al., 2015; IPBES, 2016a, 2018f, 2018e, 2018c, 2018d, 2019; Nelson et al., 2006)","plainCitation":"(Díaz et al., 2015; IPBES, 2016a, 2018f, 2018e, 2018c, 2018d, 2019; Nelson et al., 2006)","noteIndex":0},"citationItems":[{"id":56276,"uris":["http://zotero.org/groups/2352922/items/RVMHP3KG","http://zotero.org/groups/2352922/items/MTRKLN42","http://zotero.org/groups/2352922/items/M2BU94IG"],"itemData":{"id":56276,"type":"article-journal","abstract":"The first public product of the Intergovernmental Platform on Biodiversity and Ecosystem Services (IPBES) is its Conceptual Framework. This conceptual and analytical tool, presented here in detail, will underpin all IPBES functions and provide structure and comparability to the syntheses that IPBES will produce at different spatial scales, on different themes, and in different regions. Salient innovative aspects of the IPBES Conceptual Framework are its transparent and participatory construction process and its explicit consideration of diverse scientific disciplines, stakeholders, and knowledge systems, including indigenous and local knowledge. Because the focus on co-construction of integrative knowledge is shared by an increasing number of initiatives worldwide, this framework should be useful beyond IPBES, for the wider research and knowledge-policy communities working on the links between nature and people, such as natural, social and engineering scientists, policy-makers at different levels, and decision-makers in different sectors of society.","collection-title":"Open Issue","container-title":"Current Opinion in Environmental Sustainability","DOI":"10.1016/j.cosust.2014.11.002","ISSN":"1877-3435","journalAbbreviation":"Current Opinion in Environmental Sustainability","language":"en","page":"1-16","source":"ScienceDirect","title":"The IPBES Conceptual Framework — connecting nature and people","URL":"https://doi.org/10.1016/j.cosust.2014.11.002","volume":"14","author":[{"family":"Díaz","given":"Sandra"},{"family":"Demissew","given":"Sebsebe"},{"family":"Carabias","given":"Julia"},{"family":"Joly","given":"Carlos"},{"family":"Lonsdale","given":"Mark"},{"family":"Ash","given":"Neville"},{"family":"Larigauderie","given":"Anne"},{"family":"Adhikari","given":"Jay Ram"},{"family":"Arico","given":"Salvatore"},{"family":"Báldi","given":"András"},{"family":"Bartuska","given":"Ann"},{"family":"Baste","given":"Ivar Andreas"},{"family":"Bilgin","given":"Adem"},{"family":"Brondizio","given":"Eduardo"},{"family":"Chan","given":"Kai MA"},{"family":"Figueroa","given":"Viviana Elsa"},{"family":"Duraiappah","given":"Anantha"},{"family":"Fischer","given":"Markus"},{"family":"Hill","given":"Rosemary"},{"family":"Koetz","given":"Thomas"},{"family":"Leadley","given":"Paul"},{"family":"Lyver","given":"Philip"},{"family":"Mace","given":"Georgina M"},{"family":"Martin-Lopez","given":"Berta"},{"family":"Okumura","given":"Michiko"},{"family":"Pacheco","given":"Diego"},{"family":"Pascual","given":"Unai"},{"family":"Pérez","given":"Edgar Selvin"},{"family":"Reyers","given":"Belinda"},{"family":"Roth","given":"Eva"},{"family":"Saito","given":"Osamu"},{"family":"Scholes","given":"Robert John"},{"family":"Sharma","given":"Nalini"},{"family":"Tallis","given":"Heather"},{"family":"Thaman","given":"Randolph"},{"family":"Watson","given":"Robert"},{"family":"Yahara","given":"Tetsukazu"},{"family":"Hamid","given":"Zakri Abdul"},{"family":"Akosim","given":"Callistus"},{"family":"Al-Hafedh","given":"Yousef"},{"family":"Allahverdiyev","given":"Rashad"},{"family":"Amankwah","given":"Edward"},{"family":"Asah","given":"Stanley T"},{"family":"Asfaw","given":"Zemede"},{"family":"Bartus","given":"Gabor"},{"family":"Brooks","given":"L Anathea"},{"family":"Caillaux","given":"Jorge"},{"family":"Dalle","given":"Gemedo"},{"family":"Darnaedi","given":"Dedy"},{"family":"Driver","given":"Amanda"},{"family":"Erpul","given":"Gunay"},{"family":"Escobar-Eyzaguirre","given":"Pablo"},{"family":"Failler","given":"Pierre"},{"family":"Fouda","given":"Ali Moustafa Mokhtar"},{"family":"Fu","given":"Bojie"},{"family":"Gundimeda","given":"Haripriya"},{"family":"Hashimoto","given":"Shizuka"},{"family":"Homer","given":"Floyd"},{"family":"Lavorel","given":"Sandra"},{"family":"Lichtenstein","given":"Gabriela"},{"family":"Mala","given":"William Armand"},{"family":"Mandivenyi","given":"Wadzanayi"},{"family":"Matczak","given":"Piotr"},{"family":"Mbizvo","given":"Carmel"},{"family":"Mehrdadi","given":"Mehrasa"},{"family":"Metzger","given":"Jean Paul"},{"family":"Mikissa","given":"Jean Bruno"},{"family":"Moller","given":"Henrik"},{"family":"Mooney","given":"Harold A"},{"family":"Mumby","given":"Peter"},{"family":"Nagendra","given":"Harini"},{"family":"Nesshover","given":"Carsten"},{"family":"Oteng-Yeboah","given":"Alfred Apau"},{"family":"Pataki","given":"György"},{"family":"Roué","given":"Marie"},{"family":"Rubis","given":"Jennifer"},{"family":"Schultz","given":"Maria"},{"family":"Smith","given":"Peggy"},{"family":"Sumaila","given":"Rashid"},{"family":"Takeuchi","given":"Kazuhiko"},{"family":"Thomas","given":"Spencer"},{"family":"Verma","given":"Madhu"},{"family":"Yeo-Chang","given":"Youn"},{"family":"Zlatanova","given":"Diana"}],"accessed":{"date-parts":[["2023",6,8]]},"issued":{"date-parts":[["2015",6,1]]}},"label":"page"},{"id":26994,"uris":["http://zotero.org/groups/2352922/items/SR63FDXW"],"itemData":{"id":26994,"type":"report","abstract":"The goal of the Intergovernmental Science-Policy Platform on Biodiversity and Ecosystem Services (IPBES) is to strengthen the science-policy interface for biodiversity and ecosystem services towards conservation and sustainable use of biodiversity, long-term human well-being and sustainable development. To achieve this goal, the Platform has four functions: (i) Knowledge generation: to identify knowledge needs of decision makers, and catalyse efforts to generate new knowledge; (ii) Assessment: to deliver global, regional and thematic assessments, and promote and catalyse support for sub-global assessment; (iii) Policy support tools: to identify policy relevant tools/methodologies, facilitate their use, and promote and catalyse their further development; and (iv) Capacity building: to prioritize key capacity building needs, and provide and call for financial and other support for priority needs. This report assesses the current knowledge on pollinators, pollination and their links to food production. The overall aim of the thematic assessment of Pollinators, Pollination and Food Production is to assess animal pollination as a regulating ecosystem service underpinning food production in the context of its contribution to nature’s gifts to people and supporting a good quality of life. To achieve this, the focus is on the role of native and exotic pollinators, the status of, and trends in pollinators and pollinator-plant networks and pollination, drivers of change, impacts on human well-being, food production in response to pollination declines and deficits and the effectiveness of responses from various governance systems to pollination declines and deficits. The scope is global, covering all continents except Antarctica, where no pollinators are known. The assessment brings together contributions not only from natural, social and economic science perspectives but also from knowledge of indigenous and local community stakeholders and practitioners. The assessment strives to critically review the broadest range of evidence and make its findings readily available to support policy and management responses to declines and deficits in pollination. The report represents the first IPBES thematic assessment deliverable that aims to identify policy-relevant findings for decision-making in government, the private sector and civil society, as well as helping to demonstrate how an essential ecosystem service could potentially contribute to the post-2015 development agenda1.","event-place":"Bonn, Germany","language":"en","license":"Creative Commons Attribution 4.0 International, Open Access","note":"DOI: 10.5281/ZENODO.3402857","publisher":"Secretariat of the Intergovernmental Science-Policy Platform on Biodiversity and Ecosystem Services","publisher-place":"Bonn, Germany","source":"DOI.org (Datacite)","title":"The assessment report of the Intergovernmental Science-Policy Platform on Biodiversity and Ecosystem Services on pollinators, pollination and food production","URL":"https://zenodo.org/record/3402857","author":[{"literal":"IPBES"}],"collection-editor":[{"family":"Potts","given":"Simon G."},{"family":"Imperatriz-Fonseca","given":"Vera"},{"family":"Ngo","given":"Hien T."}],"accessed":{"date-parts":[["2020",6,17]]},"issued":{"date-parts":[["2016"]]}},"label":"page"},{"id":54546,"uris":["http://zotero.org/groups/2352922/items/DWTD6BY8"],"itemData":{"id":54546,"type":"report","abstract":"The Regional Assessment of Biodiversity and Ecosystem Services for the Americas produced by the Intergovernmental Science-Policy Platform on Biodiversity and Ecosystem Services (IPBES) provides a critical analysis of the state of knowledge regarding the importance, status, and trends of biodiversity and nature’s contributions to people. The assessment analyses the direct and underlying causes for the observed changes in biodiversity and in nature’s contributions to people, and the impact that these changes have on the quality of life of people. The assessment, finally, identifies a mix of governance options, policies and management practices that are currently available to reduce the loss of biodiversity and of nature’s contributions to people in that region. The assessment addresses terrestrial, freshwater, and coastal biodiversity and covers current status and trends, going back in time several decades, and future projections, with a focus on the 2020-2050 period. The summary for policymakers of this Assessment Report was approved by the sixth session of the Plenary of IPBES (Medellín, Colombia, 18-24 March 2018) and is included in this report.","language":"eng","note":"DOI: 10.5281/zenodo.3236253","publisher":"Zenodo","source":"Zenodo","title":"The IPBES regional assessment report on biodiversity and ecosystem services for the Americas","URL":"https://zenodo.org/record/3236253","author":[{"literal":"IPBES"}],"accessed":{"date-parts":[["2023",2,21]]},"issued":{"date-parts":[["2018"]]}},"label":"page"},{"id":26988,"uris":["http://zotero.org/groups/2352922/items/4BH3PUNM"],"itemData":{"id":26988,"type":"report","abstract":"The Regional Assessment Report on Biodiversity and Ecosystem Services for Europe and Central Asia produced by the Intergovernmental Science-Policy Platform on Biodiversity and Ecosystem Services (IPBES) provides a critical analysis of the state of knowledge regarding the importance, status, and trends of biodiversity and nature’s contributions to people. The assessment analyses the direct and underlying causes for the observed changes in biodiversity and in nature’s contributions to people, and the impact that these changes have on the quality of life of people. The assessment, finally, identifies a mix of governance options, policies and management practices that are currently available to reduce the loss of biodiversity and of nature’s contributions to people in that region. The assessment addresses terrestrial, freshwater, and coastal biodiversity and covers current status and trends, going back in time several decades, and future projections, with a focus on the 2020-2050 period.","event-place":"Bonn, Germany","language":"en","license":"Creative Commons Attribution 4.0 International, Open Access","note":"version: Report\nDOI: 10.5281/ZENODO.3237429","publisher":"Secretariat of the Intergovernmental Science-Policy Platform on Biodiversity and Ecosystem Services","publisher-place":"Bonn, Germany","source":"DOI.org (Datacite)","title":"The IPBES regional assessment report on biodiversity and ecosystem services for Europe and Central Asia","URL":"https://zenodo.org/record/3237429","author":[{"literal":"IPBES"}],"collection-editor":[{"family":"Rounsevell","given":"Mark"},{"family":"Fischer","given":"Markus"},{"family":"Rando","given":"Amor Torre-Marin"},{"family":"Mader","given":"André"}],"accessed":{"date-parts":[["2021",2,9]]},"issued":{"date-parts":[["2018"]]}},"label":"page"},{"id":32916,"uris":["http://zotero.org/groups/2352922/items/HQTI4ZNS"],"itemData":{"id":32916,"type":"report","event-place":"Bonn, Germany","language":"en","publisher":"Secretariat of the Intergovernmental Science-Policy Platform on Biodiversity and Ecosystem Services","publisher-place":"Bonn, Germany","title":"The IPBES regional assessment report on biodiversity and ecosystem services for Africa","URL":"https://zenodo.org/record/3236178#.YmjyIdrP2Uk","author":[{"literal":"IPBES"}],"collection-editor":[{"family":"Archer","given":"Emma"},{"family":"Dziba","given":"Luthando E."},{"family":"Mulongoy","given":"Kulemani Jo"},{"family":"Maoela","given":"Malebajoa Anicia"},{"family":"Walters","given":"Michele"}],"issued":{"date-parts":[["2018"]]}},"label":"page"},{"id":26989,"uris":["http://zotero.org/groups/2352922/items/HNN39TBD","http://zotero.org/groups/2352922/items/BF3N3YYK"],"itemData":{"id":26989,"type":"report","abstract":"The Regional Assessment Report on Biodiversity and Ecosystem Services for Asia and the Pacific produced by the Intergovernmental Science-Policy Platform on Biodiversity and Ecosystem Services (IPBES) provides a critical analysis of the state of knowledge regarding the importance, status, and trends of biodiversity and nature’s contributions to people. The assessment analyses the direct and underlying causes for the observed changes in biodiversity and in nature’s contributions to people, and the impact that these changes have on the quality of life of people. The assessment, finally, identifies a mix of governance options, policies and management practices that are currently available to reduce the loss of biodiversity and of nature’s contributions to people in that region. The assessment addresses terrestrial, freshwater, and coastal biodiversity and covers current status and trends, going back in time several decades, and future projections, with a focus on the 2020-2050 period.","event-place":"Bonn, Germany","language":"en","license":"Creative Commons Attribution 4.0 International, Open Access","note":"version: Report\nDOI: 10.5281/ZENODO.3237374","publisher":"Secretariat of the Intergovernmental Science-Policy Platform on Biodiversity and Ecosystem Services","publisher-place":"Bonn, Germany","source":"DOI.org (Datacite)","title":"The IPBES regional assessment report on biodiversity and ecosystem services for Asia and the Pacific","URL":"https://zenodo.org/record/3237374","author":[{"literal":"IPBES"}],"collection-editor":[{"family":"Karki","given":"Madhav"},{"family":"Sellamuttu","given":"Sonali Senaratna"},{"family":"Okayasu","given":"Sana"},{"family":"Suzuki","given":"Wataru"}],"accessed":{"date-parts":[["2020",8,25]]},"issued":{"date-parts":[["2018"]]}},"label":"page"},{"id":53933,"uris":["http://zotero.org/groups/2352922/items/JYFISR8Z","http://zotero.org/groups/2352922/items/ZACZGHZL"],"itemData":{"id":53933,"type":"report","abstract":"IPBES is to perform regular and timely assessments of knowledge on biodiversity and ecosystem services and their interlinkages at the global level. Also addressing an invitation by the Conference of the Parties of the Convention on Biological Diversity (CBD) to prepare a global assessment of biodiversity and ecosystem services building, inter alia, on its own and other relevant regional, subregional and thematic assessments, as well as on national reports. The overall scope of the assessment is to assess the status and trends with regard to biodiversity and ecosystem services, the impact of biodiversity and ecosystem services on human well-being and the effectiveness of responses, including the Strategic Plan and its Aichi Biodiversity Targets. It is anticipated that this deliverable will contribute to the process for the evaluation and renewal of the Strategic Plan for Biodiversity and its Aichi Biodiversity Targets. The IPBES Global Assessment on Biodiversity and Ecosystem Services is composed of 1) a Summary for Policymakers (SPM), approved by the IPBES Plenary at its 7th session in May 2019 in Paris, France (IPBES-7); and 2) a set of six Chapters, accepted by the IPBES Plenary.","language":"en","license":"Creative Commons Attribution 4.0 International, Open Access","note":"Version Number 1\nDOI: 10.5281/ZENODO.3831673","publisher":"Secretariat of the Intergovernmental Science-Policy Platform on Biodiversity and Ecosystem Services","source":"DOI.org (Datacite)","title":"Global assessment report on biodiversity and ecosystem services of the Intergovernmental Science-Policy Platform on Biodiversity and Ecosystem Services","URL":"https://zenodo.org/record/3831673","author":[{"literal":"IPBES"}],"contributor":[{"family":"Brondizio","given":"Eduardo"},{"family":"Diaz","given":"Sandra"},{"family":"Settele","given":"Josef"},{"family":"Ngo","given":"Hien T."}],"accessed":{"date-parts":[["2023",1,5]]},"issued":{"date-parts":[["2019"]]}},"label":"page"},{"id":11259,"uris":["http://zotero.org/groups/2352922/items/XJQG3XT3"],"itemData":{"id":11259,"type":"article-journal","abstract":"This paper provides an overview of what the Millennium Ecosystem Assessment ( MA) calls \"indirect and direct drivers\" of change in ecosystem services at a global level. The MA definition of a driver is any natural or human-induced factor that directly or indirectly causes a change in an ecosystem. A direct driver unequivocally influences ecosystem processes. An indirect driver operates more diffusely by altering one or more direct drivers. Global driving forces are categorized as demographic, economic, sociopolitical, cultural and religious, scientific and technological, and physical and biological. Drivers in all categories other than physical and biological are considered indirect. Important direct drivers include changes in climate, plant nutrient use, land conversion, and diseases and invasive species. This paper does not discuss natural drivers such as climate variability, extreme weather events, or volcanic eruptions.","container-title":"Ecology and Society","ISSN":"1708-3087","issue":"2","note":"WOS:000243280800028","page":"29","title":"Anthropogenic drivers of ecosystem change: An overview","URL":"https://www.jstor.org/stable/26266018","volume":"11","author":[{"family":"Nelson","given":"Gerald C."},{"family":"Bennett","given":"Elena"},{"family":"Berhe","given":"Asmeret A."},{"family":"Cassman","given":"Kenneth"},{"family":"DeFries","given":"Ruth"},{"family":"Dietz","given":"Thomas"},{"family":"Dobermann","given":"Achim"},{"family":"Dobson","given":"Andrew"},{"family":"Janetos","given":"Anthony"},{"family":"Levy","given":"Marc"},{"family":"Marco","given":"Diana"},{"family":"Nakicenovic","given":"Nebojsa"},{"family":"O'Neill","given":"Brian"},{"family":"Norgaard","given":"Richard"},{"family":"Petschel-Held","given":"Gerhard"},{"family":"Ojima","given":"Dennis"},{"family":"Pingali","given":"Prabhu"},{"family":"Watson","given":"Robert"},{"family":"Zurek","given":"Monika"}],"issued":{"date-parts":[["2006",12]]}},"label":"page"}],"schema":"https://github.com/citation-style-language/schema/raw/master/csl-citation.json"} </w:instrText>
      </w:r>
      <w:r w:rsidR="6F448896" w:rsidRPr="728F2DAF">
        <w:rPr>
          <w:lang w:val="en-GB"/>
        </w:rPr>
        <w:fldChar w:fldCharType="separate"/>
      </w:r>
      <w:r w:rsidR="00331A79" w:rsidRPr="00331A79">
        <w:rPr>
          <w:szCs w:val="24"/>
        </w:rPr>
        <w:t>(Díaz et al., 2015; IPBES, 2016a, 2018f, 2018e, 2018c, 2018d, 2019; Nelson et al., 2006)</w:t>
      </w:r>
      <w:r w:rsidR="6F448896" w:rsidRPr="728F2DAF">
        <w:rPr>
          <w:lang w:val="en-GB"/>
        </w:rPr>
        <w:fldChar w:fldCharType="end"/>
      </w:r>
      <w:r w:rsidR="417275A8" w:rsidRPr="728F2DAF">
        <w:rPr>
          <w:lang w:val="en-GB"/>
        </w:rPr>
        <w:t>,</w:t>
      </w:r>
      <w:r w:rsidR="590FFFB3" w:rsidRPr="728F2DAF">
        <w:rPr>
          <w:lang w:val="en-GB"/>
        </w:rPr>
        <w:t xml:space="preserve"> and the intention in </w:t>
      </w:r>
      <w:r w:rsidR="2DF349B5" w:rsidRPr="728F2DAF">
        <w:rPr>
          <w:lang w:val="en-GB"/>
        </w:rPr>
        <w:t xml:space="preserve">this </w:t>
      </w:r>
      <w:r w:rsidR="590FFFB3" w:rsidRPr="728F2DAF">
        <w:rPr>
          <w:lang w:val="en-GB"/>
        </w:rPr>
        <w:t>c</w:t>
      </w:r>
      <w:r w:rsidRPr="728F2DAF">
        <w:rPr>
          <w:lang w:val="en-GB"/>
        </w:rPr>
        <w:t>hapter is not to repeat past material pertaining to the status and trends in th</w:t>
      </w:r>
      <w:r w:rsidR="590FFFB3" w:rsidRPr="728F2DAF">
        <w:rPr>
          <w:lang w:val="en-GB"/>
        </w:rPr>
        <w:t>e drivers</w:t>
      </w:r>
      <w:r w:rsidR="07203CED" w:rsidRPr="728F2DAF">
        <w:rPr>
          <w:lang w:val="en-GB"/>
        </w:rPr>
        <w:t>, but</w:t>
      </w:r>
      <w:r w:rsidRPr="728F2DAF">
        <w:rPr>
          <w:lang w:val="en-GB"/>
        </w:rPr>
        <w:t xml:space="preserve"> to synthes</w:t>
      </w:r>
      <w:r w:rsidR="674B3C0E" w:rsidRPr="728F2DAF">
        <w:rPr>
          <w:lang w:val="en-GB"/>
        </w:rPr>
        <w:t>ize</w:t>
      </w:r>
      <w:r w:rsidRPr="728F2DAF">
        <w:rPr>
          <w:lang w:val="en-GB"/>
        </w:rPr>
        <w:t xml:space="preserve"> information </w:t>
      </w:r>
      <w:r w:rsidR="69D02722" w:rsidRPr="728F2DAF">
        <w:rPr>
          <w:lang w:val="en-GB"/>
        </w:rPr>
        <w:t xml:space="preserve">on the role of </w:t>
      </w:r>
      <w:r w:rsidR="46ADB126" w:rsidRPr="728F2DAF">
        <w:rPr>
          <w:lang w:val="en-GB"/>
        </w:rPr>
        <w:t xml:space="preserve">drivers </w:t>
      </w:r>
      <w:r w:rsidR="59797E44" w:rsidRPr="728F2DAF">
        <w:rPr>
          <w:lang w:val="en-GB"/>
        </w:rPr>
        <w:t>of change</w:t>
      </w:r>
      <w:r w:rsidR="01D36619" w:rsidRPr="728F2DAF">
        <w:rPr>
          <w:lang w:val="en-GB"/>
        </w:rPr>
        <w:t xml:space="preserve"> in nature</w:t>
      </w:r>
      <w:r w:rsidR="69D02722" w:rsidRPr="728F2DAF">
        <w:rPr>
          <w:lang w:val="en-GB"/>
        </w:rPr>
        <w:t xml:space="preserve"> in affecting</w:t>
      </w:r>
      <w:r w:rsidR="3C5140CF" w:rsidRPr="728F2DAF">
        <w:rPr>
          <w:lang w:val="en-GB"/>
        </w:rPr>
        <w:t xml:space="preserve"> </w:t>
      </w:r>
      <w:r w:rsidR="7B52E689" w:rsidRPr="728F2DAF">
        <w:rPr>
          <w:lang w:val="en-GB"/>
        </w:rPr>
        <w:t xml:space="preserve">the </w:t>
      </w:r>
      <w:r w:rsidR="3C5140CF" w:rsidRPr="728F2DAF">
        <w:rPr>
          <w:lang w:val="en-GB"/>
        </w:rPr>
        <w:t>biolog</w:t>
      </w:r>
      <w:r w:rsidR="58EF37AC" w:rsidRPr="728F2DAF">
        <w:rPr>
          <w:lang w:val="en-GB"/>
        </w:rPr>
        <w:t>ical invasion</w:t>
      </w:r>
      <w:r w:rsidR="047A1BAF" w:rsidRPr="728F2DAF">
        <w:rPr>
          <w:lang w:val="en-GB"/>
        </w:rPr>
        <w:t xml:space="preserve"> process</w:t>
      </w:r>
      <w:r w:rsidR="58EF37AC" w:rsidRPr="728F2DAF">
        <w:rPr>
          <w:lang w:val="en-GB"/>
        </w:rPr>
        <w:t>. Cha</w:t>
      </w:r>
      <w:r w:rsidR="64E58E12" w:rsidRPr="728F2DAF">
        <w:rPr>
          <w:lang w:val="en-GB"/>
        </w:rPr>
        <w:t xml:space="preserve">pter 3 </w:t>
      </w:r>
      <w:r w:rsidR="6D56C107" w:rsidRPr="728F2DAF">
        <w:rPr>
          <w:lang w:val="en-GB"/>
        </w:rPr>
        <w:t xml:space="preserve">therefore </w:t>
      </w:r>
      <w:r w:rsidR="64E58E12" w:rsidRPr="728F2DAF">
        <w:rPr>
          <w:lang w:val="en-GB"/>
        </w:rPr>
        <w:t xml:space="preserve">focuses on identifying </w:t>
      </w:r>
      <w:r w:rsidR="0EE9D9AC" w:rsidRPr="728F2DAF">
        <w:rPr>
          <w:lang w:val="en-GB"/>
        </w:rPr>
        <w:t xml:space="preserve">how different </w:t>
      </w:r>
      <w:r w:rsidR="46ADB126" w:rsidRPr="728F2DAF">
        <w:rPr>
          <w:lang w:val="en-GB"/>
        </w:rPr>
        <w:t xml:space="preserve">drivers of </w:t>
      </w:r>
      <w:r w:rsidR="59797E44" w:rsidRPr="728F2DAF">
        <w:rPr>
          <w:lang w:val="en-GB"/>
        </w:rPr>
        <w:t>change</w:t>
      </w:r>
      <w:r w:rsidR="01D36619" w:rsidRPr="728F2DAF">
        <w:rPr>
          <w:lang w:val="en-GB"/>
        </w:rPr>
        <w:t xml:space="preserve"> in nature</w:t>
      </w:r>
      <w:r w:rsidR="5C56CFFF" w:rsidRPr="728F2DAF">
        <w:rPr>
          <w:lang w:val="en-GB"/>
        </w:rPr>
        <w:t xml:space="preserve"> affect </w:t>
      </w:r>
      <w:r w:rsidR="2765FA69" w:rsidRPr="728F2DAF">
        <w:rPr>
          <w:lang w:val="en-GB"/>
        </w:rPr>
        <w:t>the transport, introduction</w:t>
      </w:r>
      <w:r w:rsidR="00E77D81">
        <w:rPr>
          <w:lang w:val="en-GB"/>
        </w:rPr>
        <w:t xml:space="preserve"> and</w:t>
      </w:r>
      <w:r w:rsidR="2765FA69" w:rsidRPr="728F2DAF">
        <w:rPr>
          <w:lang w:val="en-GB"/>
        </w:rPr>
        <w:t xml:space="preserve"> establishment</w:t>
      </w:r>
      <w:r w:rsidR="3D0A9576" w:rsidRPr="728F2DAF">
        <w:rPr>
          <w:lang w:val="en-GB"/>
        </w:rPr>
        <w:t xml:space="preserve"> of invasive </w:t>
      </w:r>
      <w:r w:rsidR="74A3691A" w:rsidRPr="728F2DAF">
        <w:rPr>
          <w:lang w:val="en-GB"/>
        </w:rPr>
        <w:t>alien species</w:t>
      </w:r>
      <w:r w:rsidR="64E58E12" w:rsidRPr="728F2DAF">
        <w:rPr>
          <w:lang w:val="en-GB"/>
        </w:rPr>
        <w:t xml:space="preserve"> </w:t>
      </w:r>
      <w:r w:rsidR="528CD6E2" w:rsidRPr="728F2DAF">
        <w:rPr>
          <w:lang w:val="en-GB"/>
        </w:rPr>
        <w:t>(</w:t>
      </w:r>
      <w:r w:rsidR="00E23B69">
        <w:rPr>
          <w:b/>
          <w:bCs/>
          <w:lang w:val="en-GB"/>
        </w:rPr>
        <w:t>Glossary</w:t>
      </w:r>
      <w:r w:rsidR="3E6BFD40" w:rsidRPr="728F2DAF">
        <w:rPr>
          <w:lang w:val="en-GB"/>
        </w:rPr>
        <w:t xml:space="preserve">; </w:t>
      </w:r>
      <w:r w:rsidR="00E23B69">
        <w:rPr>
          <w:b/>
          <w:bCs/>
          <w:lang w:val="en-GB"/>
        </w:rPr>
        <w:t>Box</w:t>
      </w:r>
      <w:r w:rsidR="39EC53BF" w:rsidRPr="728F2DAF">
        <w:rPr>
          <w:b/>
          <w:bCs/>
          <w:lang w:val="en-GB"/>
        </w:rPr>
        <w:t xml:space="preserve"> 3.1</w:t>
      </w:r>
      <w:r w:rsidR="39EC53BF" w:rsidRPr="728F2DAF">
        <w:rPr>
          <w:lang w:val="en-GB"/>
        </w:rPr>
        <w:t>)</w:t>
      </w:r>
      <w:r w:rsidR="2765FA69" w:rsidRPr="728F2DAF">
        <w:rPr>
          <w:lang w:val="en-GB"/>
        </w:rPr>
        <w:t xml:space="preserve">. </w:t>
      </w:r>
      <w:r w:rsidR="55B4DB22" w:rsidRPr="728F2DAF">
        <w:rPr>
          <w:lang w:val="en-GB"/>
        </w:rPr>
        <w:t>C</w:t>
      </w:r>
      <w:r w:rsidR="64E58E12" w:rsidRPr="728F2DAF">
        <w:rPr>
          <w:lang w:val="en-GB"/>
        </w:rPr>
        <w:t xml:space="preserve">hapter 3 </w:t>
      </w:r>
      <w:r w:rsidR="2DF349B5" w:rsidRPr="728F2DAF">
        <w:rPr>
          <w:lang w:val="en-GB"/>
        </w:rPr>
        <w:t>builds</w:t>
      </w:r>
      <w:r w:rsidR="64E58E12" w:rsidRPr="728F2DAF">
        <w:rPr>
          <w:lang w:val="en-GB"/>
        </w:rPr>
        <w:t xml:space="preserve"> on </w:t>
      </w:r>
      <w:r w:rsidR="2DF349B5" w:rsidRPr="728F2DAF">
        <w:rPr>
          <w:lang w:val="en-GB"/>
        </w:rPr>
        <w:t xml:space="preserve">the </w:t>
      </w:r>
      <w:r w:rsidR="55B4DB22" w:rsidRPr="728F2DAF">
        <w:rPr>
          <w:lang w:val="en-GB"/>
        </w:rPr>
        <w:t xml:space="preserve">status and </w:t>
      </w:r>
      <w:r w:rsidR="64E58E12" w:rsidRPr="728F2DAF">
        <w:rPr>
          <w:lang w:val="en-GB"/>
        </w:rPr>
        <w:t xml:space="preserve">trends </w:t>
      </w:r>
      <w:r w:rsidR="55B4DB22" w:rsidRPr="728F2DAF">
        <w:rPr>
          <w:lang w:val="en-GB"/>
        </w:rPr>
        <w:t xml:space="preserve">of </w:t>
      </w:r>
      <w:r w:rsidR="21D816D4" w:rsidRPr="728F2DAF">
        <w:rPr>
          <w:lang w:val="en-GB"/>
        </w:rPr>
        <w:t>alien species</w:t>
      </w:r>
      <w:r w:rsidR="3E5936F0" w:rsidRPr="728F2DAF">
        <w:rPr>
          <w:lang w:val="en-GB"/>
        </w:rPr>
        <w:t>,</w:t>
      </w:r>
      <w:r w:rsidR="21D816D4" w:rsidRPr="728F2DAF">
        <w:rPr>
          <w:lang w:val="en-GB"/>
        </w:rPr>
        <w:t xml:space="preserve"> and</w:t>
      </w:r>
      <w:r w:rsidR="501C18DC" w:rsidRPr="728F2DAF">
        <w:rPr>
          <w:lang w:val="en-GB"/>
        </w:rPr>
        <w:t xml:space="preserve"> the subset of these termed</w:t>
      </w:r>
      <w:r w:rsidR="21D816D4" w:rsidRPr="728F2DAF">
        <w:rPr>
          <w:lang w:val="en-GB"/>
        </w:rPr>
        <w:t xml:space="preserve"> </w:t>
      </w:r>
      <w:r w:rsidR="55B4DB22" w:rsidRPr="728F2DAF">
        <w:rPr>
          <w:lang w:val="en-GB"/>
        </w:rPr>
        <w:t>invasive alien species</w:t>
      </w:r>
      <w:r w:rsidR="1B782111" w:rsidRPr="728F2DAF">
        <w:rPr>
          <w:lang w:val="en-GB"/>
        </w:rPr>
        <w:t>,</w:t>
      </w:r>
      <w:r w:rsidR="2DF349B5" w:rsidRPr="728F2DAF">
        <w:rPr>
          <w:lang w:val="en-GB"/>
        </w:rPr>
        <w:t xml:space="preserve"> documented in</w:t>
      </w:r>
      <w:r w:rsidR="41103112" w:rsidRPr="728F2DAF">
        <w:rPr>
          <w:lang w:val="en-GB"/>
        </w:rPr>
        <w:t xml:space="preserve"> </w:t>
      </w:r>
      <w:r w:rsidR="4F260D0E" w:rsidRPr="728F2DAF">
        <w:rPr>
          <w:b/>
          <w:bCs/>
          <w:lang w:val="en-GB"/>
        </w:rPr>
        <w:t>C</w:t>
      </w:r>
      <w:r w:rsidR="55B4DB22" w:rsidRPr="728F2DAF">
        <w:rPr>
          <w:b/>
          <w:bCs/>
          <w:lang w:val="en-GB"/>
        </w:rPr>
        <w:t>hapter 2</w:t>
      </w:r>
      <w:r w:rsidR="55B4DB22" w:rsidRPr="728F2DAF">
        <w:rPr>
          <w:lang w:val="en-GB"/>
        </w:rPr>
        <w:t xml:space="preserve">, </w:t>
      </w:r>
      <w:r w:rsidR="64E58E12" w:rsidRPr="728F2DAF">
        <w:rPr>
          <w:lang w:val="en-GB"/>
        </w:rPr>
        <w:t xml:space="preserve">with a more in-depth focus on </w:t>
      </w:r>
      <w:r w:rsidR="3641127C" w:rsidRPr="728F2DAF">
        <w:rPr>
          <w:lang w:val="en-GB"/>
        </w:rPr>
        <w:t xml:space="preserve">establishing </w:t>
      </w:r>
      <w:r w:rsidR="16C34CE5" w:rsidRPr="728F2DAF">
        <w:rPr>
          <w:lang w:val="en-GB"/>
        </w:rPr>
        <w:t xml:space="preserve">the </w:t>
      </w:r>
      <w:r w:rsidR="06761D30" w:rsidRPr="728F2DAF">
        <w:rPr>
          <w:lang w:val="en-GB"/>
        </w:rPr>
        <w:t>drivers</w:t>
      </w:r>
      <w:r w:rsidR="16C34CE5" w:rsidRPr="728F2DAF">
        <w:rPr>
          <w:lang w:val="en-GB"/>
        </w:rPr>
        <w:t xml:space="preserve"> behind</w:t>
      </w:r>
      <w:r w:rsidR="06EFBE8B" w:rsidRPr="728F2DAF">
        <w:rPr>
          <w:lang w:val="en-GB"/>
        </w:rPr>
        <w:t xml:space="preserve"> these patterns</w:t>
      </w:r>
      <w:r w:rsidR="06937440" w:rsidRPr="728F2DAF">
        <w:rPr>
          <w:lang w:val="en-GB"/>
        </w:rPr>
        <w:t xml:space="preserve">. </w:t>
      </w:r>
      <w:r w:rsidR="34F6295E" w:rsidRPr="728F2DAF">
        <w:rPr>
          <w:lang w:val="en-GB"/>
        </w:rPr>
        <w:t xml:space="preserve">The information provided </w:t>
      </w:r>
      <w:r w:rsidR="00E77D81">
        <w:rPr>
          <w:lang w:val="en-GB"/>
        </w:rPr>
        <w:t>in</w:t>
      </w:r>
      <w:r w:rsidR="00E77D81" w:rsidRPr="728F2DAF">
        <w:rPr>
          <w:lang w:val="en-GB"/>
        </w:rPr>
        <w:t xml:space="preserve"> </w:t>
      </w:r>
      <w:r w:rsidR="4F260D0E" w:rsidRPr="728F2DAF">
        <w:rPr>
          <w:lang w:val="en-GB"/>
        </w:rPr>
        <w:t>C</w:t>
      </w:r>
      <w:r w:rsidR="34F6295E" w:rsidRPr="728F2DAF">
        <w:rPr>
          <w:lang w:val="en-GB"/>
        </w:rPr>
        <w:t xml:space="preserve">hapter 3 </w:t>
      </w:r>
      <w:r w:rsidR="55B4DB22" w:rsidRPr="728F2DAF">
        <w:rPr>
          <w:lang w:val="en-GB"/>
        </w:rPr>
        <w:t>contributes to the understanding of</w:t>
      </w:r>
      <w:r w:rsidR="34F6295E" w:rsidRPr="728F2DAF">
        <w:rPr>
          <w:lang w:val="en-GB"/>
        </w:rPr>
        <w:t xml:space="preserve"> the underlying causes of the increase in invasive alien species globally (</w:t>
      </w:r>
      <w:r w:rsidR="466F6C43" w:rsidRPr="728F2DAF">
        <w:rPr>
          <w:b/>
          <w:bCs/>
          <w:lang w:val="en-GB"/>
        </w:rPr>
        <w:t>C</w:t>
      </w:r>
      <w:r w:rsidR="34F6295E" w:rsidRPr="728F2DAF">
        <w:rPr>
          <w:b/>
          <w:bCs/>
          <w:lang w:val="en-GB"/>
        </w:rPr>
        <w:t>hapter 2</w:t>
      </w:r>
      <w:r w:rsidR="34F6295E" w:rsidRPr="728F2DAF">
        <w:rPr>
          <w:lang w:val="en-GB"/>
        </w:rPr>
        <w:t xml:space="preserve">), the impacts of invasive alien species on </w:t>
      </w:r>
      <w:r w:rsidR="55B4DB22" w:rsidRPr="728F2DAF">
        <w:rPr>
          <w:lang w:val="en-GB"/>
        </w:rPr>
        <w:t>nature</w:t>
      </w:r>
      <w:r w:rsidR="34F6295E" w:rsidRPr="728F2DAF">
        <w:rPr>
          <w:lang w:val="en-GB"/>
        </w:rPr>
        <w:t xml:space="preserve">, </w:t>
      </w:r>
      <w:r w:rsidR="42E03F9E" w:rsidRPr="728F2DAF">
        <w:rPr>
          <w:lang w:val="en-GB"/>
        </w:rPr>
        <w:t>na</w:t>
      </w:r>
      <w:r w:rsidR="770D52B4" w:rsidRPr="728F2DAF">
        <w:rPr>
          <w:lang w:val="en-GB"/>
        </w:rPr>
        <w:t>t</w:t>
      </w:r>
      <w:r w:rsidR="42E03F9E" w:rsidRPr="728F2DAF">
        <w:rPr>
          <w:lang w:val="en-GB"/>
        </w:rPr>
        <w:t>ure’s contributions to people</w:t>
      </w:r>
      <w:r w:rsidR="34F6295E" w:rsidRPr="728F2DAF">
        <w:rPr>
          <w:lang w:val="en-GB"/>
        </w:rPr>
        <w:t xml:space="preserve"> and good quality of life (</w:t>
      </w:r>
      <w:r w:rsidR="00E23B69">
        <w:rPr>
          <w:b/>
          <w:bCs/>
          <w:lang w:val="en-GB"/>
        </w:rPr>
        <w:t>Glossary</w:t>
      </w:r>
      <w:r w:rsidR="6B870B8E" w:rsidRPr="728F2DAF">
        <w:rPr>
          <w:lang w:val="en-GB"/>
        </w:rPr>
        <w:t xml:space="preserve">; </w:t>
      </w:r>
      <w:r w:rsidR="466F6C43" w:rsidRPr="728F2DAF">
        <w:rPr>
          <w:b/>
          <w:bCs/>
          <w:lang w:val="en-GB"/>
        </w:rPr>
        <w:t>C</w:t>
      </w:r>
      <w:r w:rsidR="34F6295E" w:rsidRPr="728F2DAF">
        <w:rPr>
          <w:b/>
          <w:bCs/>
          <w:lang w:val="en-GB"/>
        </w:rPr>
        <w:t>hapter 4</w:t>
      </w:r>
      <w:r w:rsidR="2E29FE0E" w:rsidRPr="728F2DAF">
        <w:rPr>
          <w:lang w:val="en-GB"/>
        </w:rPr>
        <w:t>) and</w:t>
      </w:r>
      <w:r w:rsidR="55B4DB22" w:rsidRPr="728F2DAF">
        <w:rPr>
          <w:lang w:val="en-GB"/>
        </w:rPr>
        <w:t xml:space="preserve"> underpins </w:t>
      </w:r>
      <w:r w:rsidR="34F6295E" w:rsidRPr="728F2DAF">
        <w:rPr>
          <w:lang w:val="en-GB"/>
        </w:rPr>
        <w:t xml:space="preserve">management </w:t>
      </w:r>
      <w:r w:rsidR="0955F6B0" w:rsidRPr="728F2DAF">
        <w:rPr>
          <w:lang w:val="en-GB"/>
        </w:rPr>
        <w:t xml:space="preserve">actions </w:t>
      </w:r>
      <w:r w:rsidR="34F6295E" w:rsidRPr="728F2DAF">
        <w:rPr>
          <w:lang w:val="en-GB"/>
        </w:rPr>
        <w:t>(</w:t>
      </w:r>
      <w:r w:rsidR="00E23B69">
        <w:rPr>
          <w:b/>
          <w:bCs/>
          <w:lang w:val="en-GB"/>
        </w:rPr>
        <w:t>Glossary</w:t>
      </w:r>
      <w:r w:rsidR="1F380217" w:rsidRPr="728F2DAF">
        <w:rPr>
          <w:lang w:val="en-GB"/>
        </w:rPr>
        <w:t xml:space="preserve">; </w:t>
      </w:r>
      <w:r w:rsidR="466F6C43" w:rsidRPr="728F2DAF">
        <w:rPr>
          <w:b/>
          <w:bCs/>
          <w:lang w:val="en-GB"/>
        </w:rPr>
        <w:t>C</w:t>
      </w:r>
      <w:r w:rsidR="34F6295E" w:rsidRPr="728F2DAF">
        <w:rPr>
          <w:b/>
          <w:bCs/>
          <w:lang w:val="en-GB"/>
        </w:rPr>
        <w:t>hapter 5</w:t>
      </w:r>
      <w:r w:rsidR="34F6295E" w:rsidRPr="728F2DAF">
        <w:rPr>
          <w:lang w:val="en-GB"/>
        </w:rPr>
        <w:t xml:space="preserve">) and policy options for </w:t>
      </w:r>
      <w:r w:rsidR="0955F6B0" w:rsidRPr="728F2DAF">
        <w:rPr>
          <w:lang w:val="en-GB"/>
        </w:rPr>
        <w:t>the prevention and control</w:t>
      </w:r>
      <w:r w:rsidR="2BD5892E" w:rsidRPr="728F2DAF">
        <w:rPr>
          <w:lang w:val="en-GB" w:eastAsia="en-NZ"/>
        </w:rPr>
        <w:t xml:space="preserve"> </w:t>
      </w:r>
      <w:r w:rsidR="770D52B4" w:rsidRPr="728F2DAF">
        <w:rPr>
          <w:lang w:val="en-GB"/>
        </w:rPr>
        <w:t>of invasive alien species and their impacts</w:t>
      </w:r>
      <w:r w:rsidR="34F6295E" w:rsidRPr="728F2DAF">
        <w:rPr>
          <w:lang w:val="en-GB"/>
        </w:rPr>
        <w:t xml:space="preserve"> (</w:t>
      </w:r>
      <w:r w:rsidR="00E23B69">
        <w:rPr>
          <w:b/>
          <w:bCs/>
          <w:lang w:val="en-GB" w:eastAsia="en-NZ"/>
        </w:rPr>
        <w:t>Glossary</w:t>
      </w:r>
      <w:r w:rsidR="1EC1F8F8" w:rsidRPr="728F2DAF">
        <w:rPr>
          <w:lang w:val="en-GB" w:eastAsia="en-NZ"/>
        </w:rPr>
        <w:t>;</w:t>
      </w:r>
      <w:r w:rsidR="1EC1F8F8" w:rsidRPr="728F2DAF">
        <w:rPr>
          <w:lang w:val="en-GB"/>
        </w:rPr>
        <w:t xml:space="preserve"> </w:t>
      </w:r>
      <w:r w:rsidR="466F6C43" w:rsidRPr="728F2DAF">
        <w:rPr>
          <w:b/>
          <w:bCs/>
          <w:lang w:val="en-GB"/>
        </w:rPr>
        <w:t>C</w:t>
      </w:r>
      <w:r w:rsidR="34F6295E" w:rsidRPr="728F2DAF">
        <w:rPr>
          <w:b/>
          <w:bCs/>
          <w:lang w:val="en-GB"/>
        </w:rPr>
        <w:t>hapter 6</w:t>
      </w:r>
      <w:r w:rsidR="34F6295E" w:rsidRPr="728F2DAF">
        <w:rPr>
          <w:lang w:val="en-GB"/>
        </w:rPr>
        <w:t>).</w:t>
      </w:r>
      <w:r w:rsidR="34F6295E" w:rsidRPr="728F2DAF">
        <w:rPr>
          <w:rFonts w:eastAsia="Calibri"/>
          <w:lang w:val="en-GB"/>
        </w:rPr>
        <w:t xml:space="preserve"> </w:t>
      </w:r>
      <w:bookmarkEnd w:id="5"/>
    </w:p>
    <w:p w14:paraId="5AD0921B" w14:textId="7C25D1B8" w:rsidR="00CA4348" w:rsidRPr="00DA249F" w:rsidRDefault="00CA4348">
      <w:pPr>
        <w:pStyle w:val="Caption"/>
        <w:pBdr>
          <w:top w:val="single" w:sz="4" w:space="1" w:color="auto"/>
          <w:left w:val="single" w:sz="4" w:space="1" w:color="auto"/>
          <w:bottom w:val="single" w:sz="4" w:space="1" w:color="auto"/>
          <w:right w:val="single" w:sz="4" w:space="1" w:color="auto"/>
        </w:pBdr>
        <w:shd w:val="clear" w:color="auto" w:fill="E7E6E6" w:themeFill="background2"/>
        <w:rPr>
          <w:lang w:val="en-GB"/>
        </w:rPr>
      </w:pPr>
      <w:bookmarkStart w:id="6" w:name="_Ref104903249"/>
      <w:bookmarkStart w:id="7" w:name="_Toc158373485"/>
      <w:r w:rsidRPr="00DA249F">
        <w:rPr>
          <w:lang w:val="en-GB"/>
        </w:rPr>
        <w:t>Box 3.</w:t>
      </w:r>
      <w:r w:rsidRPr="00DA249F">
        <w:rPr>
          <w:lang w:val="en-GB"/>
        </w:rPr>
        <w:fldChar w:fldCharType="begin"/>
      </w:r>
      <w:r w:rsidRPr="00DA249F">
        <w:rPr>
          <w:lang w:val="en-GB"/>
        </w:rPr>
        <w:instrText xml:space="preserve"> SEQ Box_3. \* ARABIC </w:instrText>
      </w:r>
      <w:r w:rsidRPr="00DA249F">
        <w:rPr>
          <w:lang w:val="en-GB"/>
        </w:rPr>
        <w:fldChar w:fldCharType="separate"/>
      </w:r>
      <w:r w:rsidR="00287BC7">
        <w:rPr>
          <w:noProof/>
          <w:lang w:val="en-GB"/>
        </w:rPr>
        <w:t>1</w:t>
      </w:r>
      <w:r w:rsidRPr="00DA249F">
        <w:rPr>
          <w:lang w:val="en-GB"/>
        </w:rPr>
        <w:fldChar w:fldCharType="end"/>
      </w:r>
      <w:bookmarkEnd w:id="6"/>
      <w:r w:rsidR="00313D39" w:rsidRPr="00DA249F">
        <w:rPr>
          <w:lang w:val="en-GB"/>
        </w:rPr>
        <w:t>.</w:t>
      </w:r>
      <w:r w:rsidRPr="00DA249F">
        <w:rPr>
          <w:lang w:val="en-GB"/>
        </w:rPr>
        <w:t xml:space="preserve"> Rationale of the chapter</w:t>
      </w:r>
      <w:bookmarkEnd w:id="7"/>
    </w:p>
    <w:p w14:paraId="0E81E948" w14:textId="0E2B8C2D" w:rsidR="00CA4348" w:rsidRPr="00DA249F" w:rsidRDefault="0A13327C" w:rsidP="00FC1BA2">
      <w:pPr>
        <w:pBdr>
          <w:top w:val="single" w:sz="4" w:space="1" w:color="auto"/>
          <w:left w:val="single" w:sz="4" w:space="1" w:color="auto"/>
          <w:bottom w:val="single" w:sz="4" w:space="1" w:color="auto"/>
          <w:right w:val="single" w:sz="4" w:space="1" w:color="auto"/>
        </w:pBdr>
        <w:shd w:val="clear" w:color="auto" w:fill="E7E6E6" w:themeFill="background2"/>
        <w:rPr>
          <w:lang w:val="en-GB"/>
        </w:rPr>
      </w:pPr>
      <w:r w:rsidRPr="728F2DAF">
        <w:rPr>
          <w:lang w:val="en-GB"/>
        </w:rPr>
        <w:t xml:space="preserve">Chapter 3 provides an analysis and synthesis of how direct and indirect </w:t>
      </w:r>
      <w:r w:rsidR="029D6D05" w:rsidRPr="728F2DAF">
        <w:rPr>
          <w:lang w:val="en-GB"/>
        </w:rPr>
        <w:t xml:space="preserve">anthropogenic </w:t>
      </w:r>
      <w:r w:rsidR="067C1E4A" w:rsidRPr="728F2DAF">
        <w:rPr>
          <w:lang w:val="en-GB"/>
        </w:rPr>
        <w:t xml:space="preserve">drivers of change </w:t>
      </w:r>
      <w:r w:rsidR="01D36619" w:rsidRPr="728F2DAF">
        <w:rPr>
          <w:lang w:val="en-GB"/>
        </w:rPr>
        <w:t>in nature</w:t>
      </w:r>
      <w:r w:rsidR="54A45F1F" w:rsidRPr="728F2DAF">
        <w:rPr>
          <w:lang w:val="en-GB"/>
        </w:rPr>
        <w:t>,</w:t>
      </w:r>
      <w:r w:rsidRPr="728F2DAF">
        <w:rPr>
          <w:lang w:val="en-GB"/>
        </w:rPr>
        <w:t xml:space="preserve"> </w:t>
      </w:r>
      <w:r w:rsidR="54A45F1F" w:rsidRPr="728F2DAF">
        <w:rPr>
          <w:lang w:val="en-GB"/>
        </w:rPr>
        <w:t xml:space="preserve">along with natural drivers and biodiversity </w:t>
      </w:r>
      <w:r w:rsidR="1987E703" w:rsidRPr="728F2DAF">
        <w:rPr>
          <w:lang w:val="en-GB"/>
        </w:rPr>
        <w:t xml:space="preserve">loss </w:t>
      </w:r>
      <w:r w:rsidR="54A45F1F" w:rsidRPr="728F2DAF">
        <w:rPr>
          <w:lang w:val="en-GB"/>
        </w:rPr>
        <w:t xml:space="preserve">itself, </w:t>
      </w:r>
      <w:r w:rsidRPr="728F2DAF">
        <w:rPr>
          <w:lang w:val="en-GB"/>
        </w:rPr>
        <w:t xml:space="preserve">are responsible for the </w:t>
      </w:r>
      <w:r w:rsidR="6365D131" w:rsidRPr="728F2DAF">
        <w:rPr>
          <w:lang w:val="en-GB"/>
        </w:rPr>
        <w:t xml:space="preserve">transport, </w:t>
      </w:r>
      <w:r w:rsidRPr="728F2DAF">
        <w:rPr>
          <w:lang w:val="en-GB"/>
        </w:rPr>
        <w:t xml:space="preserve">introduction, </w:t>
      </w:r>
      <w:r w:rsidR="6365D131" w:rsidRPr="728F2DAF">
        <w:rPr>
          <w:lang w:val="en-GB"/>
        </w:rPr>
        <w:t>establishment</w:t>
      </w:r>
      <w:r w:rsidR="009F7404">
        <w:rPr>
          <w:lang w:val="en-GB"/>
        </w:rPr>
        <w:t xml:space="preserve"> and</w:t>
      </w:r>
      <w:r w:rsidR="6365D131" w:rsidRPr="728F2DAF">
        <w:rPr>
          <w:lang w:val="en-GB"/>
        </w:rPr>
        <w:t xml:space="preserve"> spread</w:t>
      </w:r>
      <w:r w:rsidRPr="728F2DAF">
        <w:rPr>
          <w:lang w:val="en-GB"/>
        </w:rPr>
        <w:t xml:space="preserve"> of invasive alien species. </w:t>
      </w:r>
      <w:r w:rsidR="6CBC0402" w:rsidRPr="728F2DAF">
        <w:rPr>
          <w:lang w:val="en-GB"/>
        </w:rPr>
        <w:t>The chapter</w:t>
      </w:r>
      <w:r w:rsidRPr="728F2DAF">
        <w:rPr>
          <w:lang w:val="en-GB"/>
        </w:rPr>
        <w:t xml:space="preserve"> first outlines the conceptual and analytical framework and approaches, then synthes</w:t>
      </w:r>
      <w:r w:rsidR="674B3C0E" w:rsidRPr="728F2DAF">
        <w:rPr>
          <w:lang w:val="en-GB"/>
        </w:rPr>
        <w:t>ize</w:t>
      </w:r>
      <w:r w:rsidRPr="728F2DAF">
        <w:rPr>
          <w:lang w:val="en-GB"/>
        </w:rPr>
        <w:t xml:space="preserve">s the evidence for </w:t>
      </w:r>
      <w:r w:rsidR="358F9EE7" w:rsidRPr="728F2DAF">
        <w:rPr>
          <w:lang w:val="en-GB"/>
        </w:rPr>
        <w:t xml:space="preserve">the role </w:t>
      </w:r>
      <w:r w:rsidR="2B011545" w:rsidRPr="728F2DAF">
        <w:rPr>
          <w:lang w:val="en-GB"/>
        </w:rPr>
        <w:t>each driver plays</w:t>
      </w:r>
      <w:r w:rsidRPr="728F2DAF">
        <w:rPr>
          <w:lang w:val="en-GB"/>
        </w:rPr>
        <w:t xml:space="preserve"> </w:t>
      </w:r>
      <w:r w:rsidR="76D6E755" w:rsidRPr="728F2DAF">
        <w:rPr>
          <w:lang w:val="en-GB"/>
        </w:rPr>
        <w:t>across the biological invasion process (</w:t>
      </w:r>
      <w:r w:rsidR="00E23B69">
        <w:rPr>
          <w:b/>
          <w:bCs/>
          <w:lang w:val="en-GB"/>
        </w:rPr>
        <w:t>Glossary</w:t>
      </w:r>
      <w:r w:rsidR="76D6E755" w:rsidRPr="728F2DAF">
        <w:rPr>
          <w:lang w:val="en-GB"/>
        </w:rPr>
        <w:t>)</w:t>
      </w:r>
      <w:r w:rsidRPr="728F2DAF">
        <w:rPr>
          <w:lang w:val="en-GB"/>
        </w:rPr>
        <w:t>, before synthesi</w:t>
      </w:r>
      <w:r w:rsidR="47E981C5" w:rsidRPr="728F2DAF">
        <w:rPr>
          <w:lang w:val="en-GB"/>
        </w:rPr>
        <w:t>z</w:t>
      </w:r>
      <w:r w:rsidRPr="728F2DAF">
        <w:rPr>
          <w:lang w:val="en-GB"/>
        </w:rPr>
        <w:t xml:space="preserve">ing the knowledge and </w:t>
      </w:r>
      <w:r w:rsidR="3374C0B5" w:rsidRPr="728F2DAF">
        <w:rPr>
          <w:lang w:val="en-GB"/>
        </w:rPr>
        <w:t xml:space="preserve">identifying </w:t>
      </w:r>
      <w:r w:rsidRPr="728F2DAF">
        <w:rPr>
          <w:lang w:val="en-GB"/>
        </w:rPr>
        <w:t>data gaps</w:t>
      </w:r>
      <w:r w:rsidR="7C4B00E8" w:rsidRPr="728F2DAF">
        <w:rPr>
          <w:lang w:val="en-GB"/>
        </w:rPr>
        <w:t xml:space="preserve">. </w:t>
      </w:r>
      <w:r w:rsidR="340D7BE1" w:rsidRPr="728F2DAF">
        <w:rPr>
          <w:lang w:val="en-GB"/>
        </w:rPr>
        <w:t>Invasive alien species</w:t>
      </w:r>
      <w:r w:rsidRPr="728F2DAF">
        <w:rPr>
          <w:lang w:val="en-GB"/>
        </w:rPr>
        <w:t xml:space="preserve"> are one of five major classes of direct drivers of change</w:t>
      </w:r>
      <w:r w:rsidR="5D8F8CBB" w:rsidRPr="728F2DAF">
        <w:rPr>
          <w:lang w:val="en-GB"/>
        </w:rPr>
        <w:t xml:space="preserve"> in nature identified by the Gl</w:t>
      </w:r>
      <w:r w:rsidR="222E5E35" w:rsidRPr="728F2DAF">
        <w:rPr>
          <w:lang w:val="en-GB"/>
        </w:rPr>
        <w:t>obal Assessment</w:t>
      </w:r>
      <w:r w:rsidR="00E77D81">
        <w:rPr>
          <w:lang w:val="en-GB"/>
        </w:rPr>
        <w:t xml:space="preserve"> of Biodiversity and Ecosystem Services</w:t>
      </w:r>
      <w:r w:rsidR="5C0375E0" w:rsidRPr="728F2DAF">
        <w:rPr>
          <w:lang w:val="en-GB"/>
        </w:rPr>
        <w:t xml:space="preserve"> </w:t>
      </w:r>
      <w:r w:rsidR="3471077F" w:rsidRPr="728F2DAF">
        <w:rPr>
          <w:lang w:val="en-GB"/>
        </w:rPr>
        <w:fldChar w:fldCharType="begin"/>
      </w:r>
      <w:r w:rsidR="00F5121E">
        <w:rPr>
          <w:lang w:val="en-GB"/>
        </w:rPr>
        <w:instrText xml:space="preserve"> ADDIN ZOTERO_ITEM CSL_CITATION {"citationID":"DSZJ5OOZ","properties":{"formattedCitation":"(IPBES, 2019)","plainCitation":"(IPBES, 2019)","noteIndex":0},"citationItems":[{"id":53933,"uris":["http://zotero.org/groups/2352922/items/JYFISR8Z","http://zotero.org/groups/2352922/items/ZACZGHZL"],"itemData":{"id":53933,"type":"report","abstract":"IPBES is to perform regular and timely assessments of knowledge on biodiversity and ecosystem services and their interlinkages at the global level. Also addressing an invitation by the Conference of the Parties of the Convention on Biological Diversity (CBD) to prepare a global assessment of biodiversity and ecosystem services building, inter alia, on its own and other relevant regional, subregional and thematic assessments, as well as on national reports. The overall scope of the assessment is to assess the status and trends with regard to biodiversity and ecosystem services, the impact of biodiversity and ecosystem services on human well-being and the effectiveness of responses, including the Strategic Plan and its Aichi Biodiversity Targets. It is anticipated that this deliverable will contribute to the process for the evaluation and renewal of the Strategic Plan for Biodiversity and its Aichi Biodiversity Targets. The IPBES Global Assessment on Biodiversity and Ecosystem Services is composed of 1) a Summary for Policymakers (SPM), approved by the IPBES Plenary at its 7th session in May 2019 in Paris, France (IPBES-7); and 2) a set of six Chapters, accepted by the IPBES Plenary.","language":"en","license":"Creative Commons Attribution 4.0 International, Open Access","note":"Version Number 1\nDOI: 10.5281/ZENODO.3831673","publisher":"Secretariat of the Intergovernmental Science-Policy Platform on Biodiversity and Ecosystem Services","source":"DOI.org (Datacite)","title":"Global assessment report on biodiversity and ecosystem services of the Intergovernmental Science-Policy Platform on Biodiversity and Ecosystem Services","URL":"https://zenodo.org/record/3831673","author":[{"literal":"IPBES"}],"contributor":[{"family":"Brondizio","given":"Eduardo"},{"family":"Diaz","given":"Sandra"},{"family":"Settele","given":"Josef"},{"family":"Ngo","given":"Hien T."}],"accessed":{"date-parts":[["2023",1,5]]},"issued":{"date-parts":[["2019"]]}},"label":"page"}],"schema":"https://github.com/citation-style-language/schema/raw/master/csl-citation.json"} </w:instrText>
      </w:r>
      <w:r w:rsidR="3471077F" w:rsidRPr="728F2DAF">
        <w:rPr>
          <w:lang w:val="en-GB"/>
        </w:rPr>
        <w:fldChar w:fldCharType="separate"/>
      </w:r>
      <w:r w:rsidR="73B99EB6">
        <w:t>(IPBES, 2019)</w:t>
      </w:r>
      <w:r w:rsidR="3471077F" w:rsidRPr="728F2DAF">
        <w:rPr>
          <w:lang w:val="en-GB"/>
        </w:rPr>
        <w:fldChar w:fldCharType="end"/>
      </w:r>
      <w:r w:rsidRPr="728F2DAF">
        <w:rPr>
          <w:lang w:val="en-GB"/>
        </w:rPr>
        <w:t>, and</w:t>
      </w:r>
      <w:r w:rsidR="6CBC0402" w:rsidRPr="728F2DAF">
        <w:rPr>
          <w:lang w:val="en-GB"/>
        </w:rPr>
        <w:t xml:space="preserve"> are</w:t>
      </w:r>
      <w:r w:rsidRPr="728F2DAF">
        <w:rPr>
          <w:lang w:val="en-GB"/>
        </w:rPr>
        <w:t xml:space="preserve"> the </w:t>
      </w:r>
      <w:r w:rsidR="2AFB9F65" w:rsidRPr="728F2DAF">
        <w:rPr>
          <w:lang w:val="en-GB"/>
        </w:rPr>
        <w:t xml:space="preserve">theme </w:t>
      </w:r>
      <w:r w:rsidRPr="728F2DAF">
        <w:rPr>
          <w:lang w:val="en-GB"/>
        </w:rPr>
        <w:t xml:space="preserve">of this assessment. </w:t>
      </w:r>
      <w:r w:rsidR="43BC8A32" w:rsidRPr="728F2DAF">
        <w:rPr>
          <w:lang w:val="en-GB"/>
        </w:rPr>
        <w:t xml:space="preserve">Unlike other </w:t>
      </w:r>
      <w:r w:rsidR="1D4A78E1" w:rsidRPr="728F2DAF">
        <w:rPr>
          <w:lang w:val="en-GB"/>
        </w:rPr>
        <w:t>drivers</w:t>
      </w:r>
      <w:r w:rsidR="043EDE70" w:rsidRPr="728F2DAF">
        <w:rPr>
          <w:lang w:val="en-GB"/>
        </w:rPr>
        <w:t>,</w:t>
      </w:r>
      <w:r w:rsidR="43BC8A32" w:rsidRPr="728F2DAF">
        <w:rPr>
          <w:lang w:val="en-GB"/>
        </w:rPr>
        <w:t xml:space="preserve"> </w:t>
      </w:r>
      <w:r w:rsidR="5A2972D3" w:rsidRPr="728F2DAF">
        <w:rPr>
          <w:lang w:val="en-GB"/>
        </w:rPr>
        <w:t xml:space="preserve">invasive alien species </w:t>
      </w:r>
      <w:r w:rsidR="43BC8A32" w:rsidRPr="728F2DAF">
        <w:rPr>
          <w:lang w:val="en-GB"/>
        </w:rPr>
        <w:t xml:space="preserve">are </w:t>
      </w:r>
      <w:r w:rsidR="3374C0B5" w:rsidRPr="728F2DAF">
        <w:rPr>
          <w:lang w:val="en-GB"/>
        </w:rPr>
        <w:t>both</w:t>
      </w:r>
      <w:r w:rsidR="71815E1B" w:rsidRPr="728F2DAF">
        <w:rPr>
          <w:lang w:val="en-GB"/>
        </w:rPr>
        <w:t xml:space="preserve"> a </w:t>
      </w:r>
      <w:r w:rsidR="13FD7608" w:rsidRPr="728F2DAF">
        <w:rPr>
          <w:lang w:val="en-GB"/>
        </w:rPr>
        <w:t xml:space="preserve">direct </w:t>
      </w:r>
      <w:r w:rsidR="4B409F01" w:rsidRPr="728F2DAF">
        <w:rPr>
          <w:lang w:val="en-GB"/>
        </w:rPr>
        <w:t>driver of change in nature</w:t>
      </w:r>
      <w:r w:rsidR="71815E1B" w:rsidRPr="728F2DAF">
        <w:rPr>
          <w:lang w:val="en-GB"/>
        </w:rPr>
        <w:t xml:space="preserve"> and</w:t>
      </w:r>
      <w:r w:rsidR="62D20BE5" w:rsidRPr="728F2DAF">
        <w:rPr>
          <w:lang w:val="en-GB"/>
        </w:rPr>
        <w:t xml:space="preserve"> </w:t>
      </w:r>
      <w:r w:rsidR="1C17A08B" w:rsidRPr="728F2DAF">
        <w:rPr>
          <w:lang w:val="en-GB"/>
        </w:rPr>
        <w:t xml:space="preserve">they are </w:t>
      </w:r>
      <w:r w:rsidR="4EC1C175" w:rsidRPr="728F2DAF">
        <w:rPr>
          <w:lang w:val="en-GB"/>
        </w:rPr>
        <w:t>integral</w:t>
      </w:r>
      <w:r w:rsidR="71815E1B" w:rsidRPr="728F2DAF">
        <w:rPr>
          <w:lang w:val="en-GB"/>
        </w:rPr>
        <w:t xml:space="preserve"> </w:t>
      </w:r>
      <w:r w:rsidR="1D4A78E1" w:rsidRPr="728F2DAF">
        <w:rPr>
          <w:lang w:val="en-GB"/>
        </w:rPr>
        <w:t>part</w:t>
      </w:r>
      <w:r w:rsidR="4EC1C175" w:rsidRPr="728F2DAF">
        <w:rPr>
          <w:lang w:val="en-GB"/>
        </w:rPr>
        <w:t>s</w:t>
      </w:r>
      <w:r w:rsidR="1D4A78E1" w:rsidRPr="728F2DAF">
        <w:rPr>
          <w:lang w:val="en-GB"/>
        </w:rPr>
        <w:t xml:space="preserve"> of </w:t>
      </w:r>
      <w:r w:rsidR="13001595" w:rsidRPr="728F2DAF">
        <w:rPr>
          <w:lang w:val="en-GB"/>
        </w:rPr>
        <w:t>nature</w:t>
      </w:r>
      <w:r w:rsidR="7A77A309" w:rsidRPr="728F2DAF">
        <w:rPr>
          <w:lang w:val="en-GB"/>
        </w:rPr>
        <w:t>. As a consequence, invasive alien species</w:t>
      </w:r>
      <w:r w:rsidR="41A3356C" w:rsidRPr="728F2DAF">
        <w:rPr>
          <w:lang w:val="en-GB"/>
        </w:rPr>
        <w:t xml:space="preserve"> </w:t>
      </w:r>
      <w:r w:rsidR="330E892C" w:rsidRPr="728F2DAF">
        <w:rPr>
          <w:lang w:val="en-GB"/>
        </w:rPr>
        <w:t>can be directly affected by drivers that are classified as indirect drivers</w:t>
      </w:r>
      <w:r w:rsidR="62FAB185" w:rsidRPr="728F2DAF">
        <w:rPr>
          <w:lang w:val="en-GB"/>
        </w:rPr>
        <w:t xml:space="preserve"> of change in nature</w:t>
      </w:r>
      <w:r w:rsidR="330E892C" w:rsidRPr="728F2DAF">
        <w:rPr>
          <w:lang w:val="en-GB"/>
        </w:rPr>
        <w:t>,</w:t>
      </w:r>
      <w:r w:rsidR="1D4A78E1" w:rsidRPr="728F2DAF">
        <w:rPr>
          <w:lang w:val="en-GB"/>
        </w:rPr>
        <w:t xml:space="preserve"> and </w:t>
      </w:r>
      <w:r w:rsidR="1E583E20" w:rsidRPr="728F2DAF">
        <w:rPr>
          <w:lang w:val="en-GB"/>
        </w:rPr>
        <w:t>invasive alien species</w:t>
      </w:r>
      <w:r w:rsidR="1CA59AD8" w:rsidRPr="728F2DAF">
        <w:rPr>
          <w:lang w:val="en-GB"/>
        </w:rPr>
        <w:t xml:space="preserve"> along with biodiversity loss </w:t>
      </w:r>
      <w:r w:rsidR="1E583E20" w:rsidRPr="728F2DAF">
        <w:rPr>
          <w:lang w:val="en-GB"/>
        </w:rPr>
        <w:t>c</w:t>
      </w:r>
      <w:r w:rsidR="62B3AE34" w:rsidRPr="728F2DAF">
        <w:rPr>
          <w:lang w:val="en-GB"/>
        </w:rPr>
        <w:t xml:space="preserve">an facilitate invasion </w:t>
      </w:r>
      <w:r w:rsidR="02C11DC4" w:rsidRPr="728F2DAF">
        <w:rPr>
          <w:lang w:val="en-GB"/>
        </w:rPr>
        <w:t xml:space="preserve">by </w:t>
      </w:r>
      <w:r w:rsidR="7A77A309" w:rsidRPr="728F2DAF">
        <w:rPr>
          <w:lang w:val="en-GB"/>
        </w:rPr>
        <w:t xml:space="preserve">other </w:t>
      </w:r>
      <w:r w:rsidR="3B9AE01A" w:rsidRPr="728F2DAF">
        <w:rPr>
          <w:lang w:val="en-GB"/>
        </w:rPr>
        <w:t xml:space="preserve">alien </w:t>
      </w:r>
      <w:r w:rsidR="1E583E20" w:rsidRPr="728F2DAF">
        <w:rPr>
          <w:lang w:val="en-GB"/>
        </w:rPr>
        <w:t>species</w:t>
      </w:r>
      <w:r w:rsidR="1D4A78E1" w:rsidRPr="728F2DAF">
        <w:rPr>
          <w:lang w:val="en-GB"/>
        </w:rPr>
        <w:t>.</w:t>
      </w:r>
    </w:p>
    <w:p w14:paraId="28DF2FF9" w14:textId="77777777" w:rsidR="00CA4348" w:rsidRPr="00DA249F" w:rsidRDefault="00CA4348">
      <w:pPr>
        <w:pBdr>
          <w:top w:val="single" w:sz="4" w:space="1" w:color="auto"/>
          <w:left w:val="single" w:sz="4" w:space="1" w:color="auto"/>
          <w:bottom w:val="single" w:sz="4" w:space="1" w:color="auto"/>
          <w:right w:val="single" w:sz="4" w:space="1" w:color="auto"/>
        </w:pBdr>
        <w:shd w:val="clear" w:color="auto" w:fill="E7E6E6" w:themeFill="background2"/>
        <w:rPr>
          <w:b/>
          <w:lang w:val="en-GB"/>
        </w:rPr>
      </w:pPr>
      <w:r w:rsidRPr="00DA249F">
        <w:rPr>
          <w:b/>
          <w:lang w:val="en-GB"/>
        </w:rPr>
        <w:t>Guiding questions:</w:t>
      </w:r>
    </w:p>
    <w:p w14:paraId="15401B82" w14:textId="77777777" w:rsidR="00CA4348" w:rsidRPr="00DA249F" w:rsidRDefault="00CA4348">
      <w:pPr>
        <w:pBdr>
          <w:top w:val="single" w:sz="4" w:space="1" w:color="auto"/>
          <w:left w:val="single" w:sz="4" w:space="1" w:color="auto"/>
          <w:bottom w:val="single" w:sz="4" w:space="1" w:color="auto"/>
          <w:right w:val="single" w:sz="4" w:space="1" w:color="auto"/>
        </w:pBdr>
        <w:shd w:val="clear" w:color="auto" w:fill="E7E6E6" w:themeFill="background2"/>
        <w:spacing w:after="0"/>
        <w:rPr>
          <w:lang w:val="en-GB"/>
        </w:rPr>
      </w:pPr>
      <w:r w:rsidRPr="00DA249F">
        <w:rPr>
          <w:lang w:val="en-GB"/>
        </w:rPr>
        <w:t>-What are the main direct and indirect drivers responsible for the introduction, spread, abundance and dynamics of invasive alien species for each invasion stage and taxon?</w:t>
      </w:r>
    </w:p>
    <w:p w14:paraId="576BF89B" w14:textId="77777777" w:rsidR="00CA4348" w:rsidRPr="00DA249F" w:rsidRDefault="00CA4348">
      <w:pPr>
        <w:pBdr>
          <w:top w:val="single" w:sz="4" w:space="1" w:color="auto"/>
          <w:left w:val="single" w:sz="4" w:space="1" w:color="auto"/>
          <w:bottom w:val="single" w:sz="4" w:space="1" w:color="auto"/>
          <w:right w:val="single" w:sz="4" w:space="1" w:color="auto"/>
        </w:pBdr>
        <w:shd w:val="clear" w:color="auto" w:fill="E7E6E6" w:themeFill="background2"/>
        <w:spacing w:before="0"/>
        <w:rPr>
          <w:lang w:val="en-GB"/>
        </w:rPr>
      </w:pPr>
      <w:r w:rsidRPr="00DA249F">
        <w:rPr>
          <w:lang w:val="en-GB"/>
        </w:rPr>
        <w:t xml:space="preserve">- How rapidly are potential drivers changing compared to the last 30 years and which </w:t>
      </w:r>
      <w:r w:rsidR="00A72711">
        <w:rPr>
          <w:lang w:val="en-GB"/>
        </w:rPr>
        <w:t xml:space="preserve">drivers </w:t>
      </w:r>
      <w:r w:rsidRPr="00DA249F">
        <w:rPr>
          <w:lang w:val="en-GB"/>
        </w:rPr>
        <w:t>are changing most rapidly?</w:t>
      </w:r>
    </w:p>
    <w:p w14:paraId="642D3CDB" w14:textId="77777777" w:rsidR="00CA4348" w:rsidRPr="00DA249F" w:rsidRDefault="00CA4348">
      <w:pPr>
        <w:pBdr>
          <w:top w:val="single" w:sz="4" w:space="1" w:color="auto"/>
          <w:left w:val="single" w:sz="4" w:space="1" w:color="auto"/>
          <w:bottom w:val="single" w:sz="4" w:space="1" w:color="auto"/>
          <w:right w:val="single" w:sz="4" w:space="1" w:color="auto"/>
        </w:pBdr>
        <w:shd w:val="clear" w:color="auto" w:fill="E7E6E6" w:themeFill="background2"/>
        <w:rPr>
          <w:b/>
          <w:lang w:val="en-GB"/>
        </w:rPr>
      </w:pPr>
      <w:r w:rsidRPr="00DA249F">
        <w:rPr>
          <w:b/>
          <w:lang w:val="en-GB"/>
        </w:rPr>
        <w:t>Key</w:t>
      </w:r>
      <w:r w:rsidR="16E02228" w:rsidRPr="00DA249F">
        <w:rPr>
          <w:b/>
          <w:bCs/>
          <w:lang w:val="en-GB"/>
        </w:rPr>
        <w:t>words:</w:t>
      </w:r>
    </w:p>
    <w:p w14:paraId="368482A3" w14:textId="6ED90AB9" w:rsidR="00FD579B" w:rsidRPr="00DA249F" w:rsidRDefault="7ACA93A9" w:rsidP="00FC1BA2">
      <w:pPr>
        <w:pBdr>
          <w:top w:val="single" w:sz="4" w:space="1" w:color="auto"/>
          <w:left w:val="single" w:sz="4" w:space="1" w:color="auto"/>
          <w:bottom w:val="single" w:sz="4" w:space="1" w:color="auto"/>
          <w:right w:val="single" w:sz="4" w:space="1" w:color="auto"/>
        </w:pBdr>
        <w:shd w:val="clear" w:color="auto" w:fill="E7E6E6" w:themeFill="background2"/>
        <w:rPr>
          <w:lang w:val="en-GB"/>
        </w:rPr>
      </w:pPr>
      <w:r w:rsidRPr="728F2DAF">
        <w:rPr>
          <w:lang w:val="en-GB"/>
        </w:rPr>
        <w:t xml:space="preserve">Indirect </w:t>
      </w:r>
      <w:r w:rsidR="067C1E4A" w:rsidRPr="728F2DAF">
        <w:rPr>
          <w:lang w:val="en-GB"/>
        </w:rPr>
        <w:t>drivers of change in nature</w:t>
      </w:r>
      <w:r w:rsidR="38C2A3A0" w:rsidRPr="728F2DAF">
        <w:rPr>
          <w:lang w:val="en-GB"/>
        </w:rPr>
        <w:t xml:space="preserve">, </w:t>
      </w:r>
      <w:r w:rsidRPr="728F2DAF">
        <w:rPr>
          <w:lang w:val="en-GB"/>
        </w:rPr>
        <w:t>direct drivers</w:t>
      </w:r>
      <w:r w:rsidR="38C2A3A0" w:rsidRPr="728F2DAF">
        <w:rPr>
          <w:lang w:val="en-GB"/>
        </w:rPr>
        <w:t xml:space="preserve"> </w:t>
      </w:r>
      <w:r w:rsidR="067C1E4A" w:rsidRPr="728F2DAF">
        <w:rPr>
          <w:lang w:val="en-GB"/>
        </w:rPr>
        <w:t>of change in nature</w:t>
      </w:r>
      <w:r w:rsidR="15D590CC" w:rsidRPr="728F2DAF">
        <w:rPr>
          <w:lang w:val="en-GB"/>
        </w:rPr>
        <w:t>, invasive a</w:t>
      </w:r>
      <w:r w:rsidR="1015EB2B" w:rsidRPr="728F2DAF">
        <w:rPr>
          <w:lang w:val="en-GB"/>
        </w:rPr>
        <w:t xml:space="preserve">lien species, </w:t>
      </w:r>
      <w:r w:rsidR="7AE4865A" w:rsidRPr="728F2DAF">
        <w:rPr>
          <w:lang w:val="en-GB"/>
        </w:rPr>
        <w:t xml:space="preserve">demographic drivers, </w:t>
      </w:r>
      <w:r w:rsidR="03698427" w:rsidRPr="728F2DAF">
        <w:rPr>
          <w:lang w:val="en-GB"/>
        </w:rPr>
        <w:t xml:space="preserve">economic drivers, </w:t>
      </w:r>
      <w:r w:rsidR="02D06806" w:rsidRPr="728F2DAF">
        <w:rPr>
          <w:lang w:val="en-GB"/>
        </w:rPr>
        <w:t xml:space="preserve">science and technological drivers, </w:t>
      </w:r>
      <w:r w:rsidR="10BB3FBE" w:rsidRPr="728F2DAF">
        <w:rPr>
          <w:lang w:val="en-GB"/>
        </w:rPr>
        <w:t>p</w:t>
      </w:r>
      <w:r w:rsidR="40CEB229" w:rsidRPr="728F2DAF">
        <w:rPr>
          <w:lang w:val="en-GB"/>
        </w:rPr>
        <w:t>olici</w:t>
      </w:r>
      <w:r w:rsidR="773AA920" w:rsidRPr="728F2DAF">
        <w:rPr>
          <w:lang w:val="en-GB"/>
        </w:rPr>
        <w:t xml:space="preserve">es, </w:t>
      </w:r>
      <w:r w:rsidR="10BB3FBE" w:rsidRPr="728F2DAF">
        <w:rPr>
          <w:lang w:val="en-GB"/>
        </w:rPr>
        <w:t>governance and institutions as drivers, land- and sea</w:t>
      </w:r>
      <w:r w:rsidR="5FBE7067" w:rsidRPr="728F2DAF">
        <w:rPr>
          <w:lang w:val="en-GB"/>
        </w:rPr>
        <w:t>-</w:t>
      </w:r>
      <w:r w:rsidR="10BB3FBE" w:rsidRPr="728F2DAF">
        <w:rPr>
          <w:lang w:val="en-GB"/>
        </w:rPr>
        <w:t xml:space="preserve">use change, </w:t>
      </w:r>
      <w:r w:rsidR="2814E8DE" w:rsidRPr="728F2DAF">
        <w:rPr>
          <w:lang w:val="en-GB"/>
        </w:rPr>
        <w:t xml:space="preserve">natural </w:t>
      </w:r>
      <w:r w:rsidR="10BB3FBE" w:rsidRPr="728F2DAF">
        <w:rPr>
          <w:lang w:val="en-GB"/>
        </w:rPr>
        <w:t xml:space="preserve">resource extraction, pollution, climate change, </w:t>
      </w:r>
      <w:r w:rsidR="6075190C" w:rsidRPr="728F2DAF">
        <w:rPr>
          <w:lang w:val="en-GB"/>
        </w:rPr>
        <w:t xml:space="preserve">natural drivers, biodiversity </w:t>
      </w:r>
      <w:r w:rsidR="697E9DA6" w:rsidRPr="728F2DAF">
        <w:rPr>
          <w:lang w:val="en-GB"/>
        </w:rPr>
        <w:t xml:space="preserve">loss, ecosystem resilience, interacting drivers, </w:t>
      </w:r>
      <w:r w:rsidR="4C22028F" w:rsidRPr="728F2DAF">
        <w:rPr>
          <w:lang w:val="en-GB"/>
        </w:rPr>
        <w:t>Indigenous Peoples</w:t>
      </w:r>
      <w:r w:rsidR="56BC235A" w:rsidRPr="728F2DAF">
        <w:rPr>
          <w:lang w:val="en-GB"/>
        </w:rPr>
        <w:t xml:space="preserve"> and local </w:t>
      </w:r>
      <w:r w:rsidR="5A5F4B4D" w:rsidRPr="728F2DAF">
        <w:rPr>
          <w:lang w:val="en-GB"/>
        </w:rPr>
        <w:t>communities.</w:t>
      </w:r>
    </w:p>
    <w:p w14:paraId="14948255" w14:textId="77777777" w:rsidR="00FD579B" w:rsidRPr="00DA249F" w:rsidRDefault="2867F042" w:rsidP="00375B42">
      <w:pPr>
        <w:pStyle w:val="Heading2"/>
        <w:rPr>
          <w:lang w:val="en-GB"/>
        </w:rPr>
      </w:pPr>
      <w:r w:rsidRPr="5575EBFC">
        <w:rPr>
          <w:lang w:val="en-GB"/>
        </w:rPr>
        <w:t xml:space="preserve"> </w:t>
      </w:r>
      <w:bookmarkStart w:id="8" w:name="_Toc146898456"/>
      <w:r w:rsidR="3E8D8BD3" w:rsidRPr="5575EBFC">
        <w:rPr>
          <w:lang w:val="en-GB"/>
        </w:rPr>
        <w:t xml:space="preserve">Setting the scene: </w:t>
      </w:r>
      <w:r w:rsidR="6E1B341A" w:rsidRPr="5575EBFC">
        <w:rPr>
          <w:lang w:val="en-GB"/>
        </w:rPr>
        <w:t>increasing</w:t>
      </w:r>
      <w:r w:rsidR="3E8D8BD3" w:rsidRPr="5575EBFC">
        <w:rPr>
          <w:lang w:val="en-GB"/>
        </w:rPr>
        <w:t xml:space="preserve"> global trend</w:t>
      </w:r>
      <w:r w:rsidR="6E1B341A" w:rsidRPr="5575EBFC">
        <w:rPr>
          <w:lang w:val="en-GB"/>
        </w:rPr>
        <w:t>s</w:t>
      </w:r>
      <w:r w:rsidR="3E8D8BD3" w:rsidRPr="5575EBFC">
        <w:rPr>
          <w:lang w:val="en-GB"/>
        </w:rPr>
        <w:t xml:space="preserve"> in </w:t>
      </w:r>
      <w:r w:rsidR="653902EA" w:rsidRPr="5575EBFC">
        <w:rPr>
          <w:lang w:val="en-GB"/>
        </w:rPr>
        <w:t>drivers of change in nature</w:t>
      </w:r>
      <w:bookmarkEnd w:id="8"/>
      <w:r w:rsidR="3E8D8BD3" w:rsidRPr="5575EBFC">
        <w:rPr>
          <w:lang w:val="en-GB"/>
        </w:rPr>
        <w:t xml:space="preserve"> </w:t>
      </w:r>
    </w:p>
    <w:p w14:paraId="2058A590" w14:textId="14B2F888" w:rsidR="00F562ED" w:rsidRPr="00DA249F" w:rsidRDefault="2867F042" w:rsidP="00FD579B">
      <w:pPr>
        <w:rPr>
          <w:lang w:val="en-GB"/>
        </w:rPr>
      </w:pPr>
      <w:r w:rsidRPr="5575EBFC">
        <w:rPr>
          <w:lang w:val="en-GB"/>
        </w:rPr>
        <w:t>The size and environmental footprint of the world’s human population has grown dramatically over the past two centuries, with rates of change accelerating over the past few decades</w:t>
      </w:r>
      <w:r w:rsidR="2898F3D9" w:rsidRPr="5575EBFC">
        <w:rPr>
          <w:lang w:val="en-GB"/>
        </w:rPr>
        <w:t xml:space="preserve"> </w:t>
      </w:r>
      <w:r w:rsidR="00FD579B" w:rsidRPr="5575EBFC">
        <w:rPr>
          <w:lang w:val="en-GB"/>
        </w:rPr>
        <w:fldChar w:fldCharType="begin"/>
      </w:r>
      <w:r w:rsidR="00331A79">
        <w:rPr>
          <w:lang w:val="en-GB"/>
        </w:rPr>
        <w:instrText xml:space="preserve"> ADDIN ZOTERO_ITEM CSL_CITATION {"citationID":"UMeC0QC9","properties":{"formattedCitation":"(Steffen et al., 2015)","plainCitation":"(Steffen et al., 2015)","noteIndex":0},"citationItems":[{"id":33020,"uris":["http://zotero.org/groups/2352922/items/DAM9CT2G"],"itemData":{"id":33020,"type":"article-journal","abstract":"The ‘Great Acceleration’ graphs, originally published in 2004 to show socio-economic and Earth System trends from 1750 to 2000, have now been updated to 2010. In the graphs of socio-economic trends, where the data permit, the activity of the wealthy (OECD) countries, those countries with emerging economies, and the rest of the world have now been differentiated. The dominant feature of the socio-economic trends is that the economic activity of the human enterprise continues to grow at a rapid rate. However, the differentiated graphs clearly show that strong equity issues are masked by considering global aggregates only. Most of the population growth since 1950 has been in the non-OECD world but the world’s economy (GDP), and hence consumption, is still strongly dominated by the OECD world. The Earth System indicators, in general, continued their long-term, post-industrial rise, although a few, such as atmospheric methane concentration and stratospheric ozone loss, showed a slowing or apparent stabilisation over the past decade. The post-1950 acceleration in the Earth System indicators remains clear. Only beyond the mid-20th century is there clear evidence for fundamental shifts in the state and functioning of the Earth System that are beyond the range of variability of the Holocene and driven by human activities. Thus, of all the candidates for a start date for the Anthropocene, the beginning of the Great Acceleration is by far the most convincing from an Earth System science perspective.","container-title":"The Anthropocene Review","DOI":"10.1177/2053019614564785","ISSN":"2053-0196","issue":"1","journalAbbreviation":"The Anthropocene Review","language":"en","page":"81-98","source":"SAGE Journals","title":"The trajectory of the Anthropocene: The Great Acceleration","title-short":"The trajectory of the Anthropocene","URL":"https://doi.org/10.1177/2053019614564785","volume":"2","author":[{"family":"Steffen","given":"Will"},{"family":"Broadgate","given":"Wendy"},{"family":"Deutsch","given":"Lisa"},{"family":"Gaffney","given":"Owen"},{"family":"Ludwig","given":"Cornelia"}],"accessed":{"date-parts":[["2019",8,23]]},"issued":{"date-parts":[["2015",4,1]]}},"label":"page"}],"schema":"https://github.com/citation-style-language/schema/raw/master/csl-citation.json"} </w:instrText>
      </w:r>
      <w:r w:rsidR="00FD579B" w:rsidRPr="5575EBFC">
        <w:rPr>
          <w:lang w:val="en-GB"/>
        </w:rPr>
        <w:fldChar w:fldCharType="separate"/>
      </w:r>
      <w:r w:rsidR="6B5F9B9E">
        <w:t>(Steffen et al., 2015)</w:t>
      </w:r>
      <w:r w:rsidR="00FD579B" w:rsidRPr="5575EBFC">
        <w:rPr>
          <w:lang w:val="en-GB"/>
        </w:rPr>
        <w:fldChar w:fldCharType="end"/>
      </w:r>
      <w:r w:rsidRPr="5575EBFC">
        <w:rPr>
          <w:lang w:val="en-GB"/>
        </w:rPr>
        <w:t xml:space="preserve">. This </w:t>
      </w:r>
      <w:r w:rsidR="1857265D" w:rsidRPr="5575EBFC">
        <w:rPr>
          <w:lang w:val="en-GB"/>
        </w:rPr>
        <w:t>“</w:t>
      </w:r>
      <w:r w:rsidRPr="5575EBFC">
        <w:rPr>
          <w:lang w:val="en-GB"/>
        </w:rPr>
        <w:t>great acceleration</w:t>
      </w:r>
      <w:r w:rsidR="1857265D" w:rsidRPr="5575EBFC">
        <w:rPr>
          <w:lang w:val="en-GB"/>
        </w:rPr>
        <w:t>”</w:t>
      </w:r>
      <w:r w:rsidRPr="5575EBFC">
        <w:rPr>
          <w:lang w:val="en-GB"/>
        </w:rPr>
        <w:t xml:space="preserve"> </w:t>
      </w:r>
      <w:r w:rsidR="00FD579B" w:rsidRPr="5575EBFC">
        <w:rPr>
          <w:lang w:val="en-GB"/>
        </w:rPr>
        <w:fldChar w:fldCharType="begin"/>
      </w:r>
      <w:r w:rsidR="00331A79">
        <w:rPr>
          <w:lang w:val="en-GB"/>
        </w:rPr>
        <w:instrText xml:space="preserve"> ADDIN ZOTERO_ITEM CSL_CITATION {"citationID":"HO3toS11","properties":{"formattedCitation":"(Steffen et al., 2015)","plainCitation":"(Steffen et al., 2015)","noteIndex":0},"citationItems":[{"id":33020,"uris":["http://zotero.org/groups/2352922/items/DAM9CT2G"],"itemData":{"id":33020,"type":"article-journal","abstract":"The ‘Great Acceleration’ graphs, originally published in 2004 to show socio-economic and Earth System trends from 1750 to 2000, have now been updated to 2010. In the graphs of socio-economic trends, where the data permit, the activity of the wealthy (OECD) countries, those countries with emerging economies, and the rest of the world have now been differentiated. The dominant feature of the socio-economic trends is that the economic activity of the human enterprise continues to grow at a rapid rate. However, the differentiated graphs clearly show that strong equity issues are masked by considering global aggregates only. Most of the population growth since 1950 has been in the non-OECD world but the world’s economy (GDP), and hence consumption, is still strongly dominated by the OECD world. The Earth System indicators, in general, continued their long-term, post-industrial rise, although a few, such as atmospheric methane concentration and stratospheric ozone loss, showed a slowing or apparent stabilisation over the past decade. The post-1950 acceleration in the Earth System indicators remains clear. Only beyond the mid-20th century is there clear evidence for fundamental shifts in the state and functioning of the Earth System that are beyond the range of variability of the Holocene and driven by human activities. Thus, of all the candidates for a start date for the Anthropocene, the beginning of the Great Acceleration is by far the most convincing from an Earth System science perspective.","container-title":"The Anthropocene Review","DOI":"10.1177/2053019614564785","ISSN":"2053-0196","issue":"1","journalAbbreviation":"The Anthropocene Review","language":"en","page":"81-98","source":"SAGE Journals","title":"The trajectory of the Anthropocene: The Great Acceleration","title-short":"The trajectory of the Anthropocene","URL":"https://doi.org/10.1177/2053019614564785","volume":"2","author":[{"family":"Steffen","given":"Will"},{"family":"Broadgate","given":"Wendy"},{"family":"Deutsch","given":"Lisa"},{"family":"Gaffney","given":"Owen"},{"family":"Ludwig","given":"Cornelia"}],"accessed":{"date-parts":[["2019",8,23]]},"issued":{"date-parts":[["2015",4,1]]}},"label":"page"}],"schema":"https://github.com/citation-style-language/schema/raw/master/csl-citation.json"} </w:instrText>
      </w:r>
      <w:r w:rsidR="00FD579B" w:rsidRPr="5575EBFC">
        <w:rPr>
          <w:lang w:val="en-GB"/>
        </w:rPr>
        <w:fldChar w:fldCharType="separate"/>
      </w:r>
      <w:r w:rsidR="6B5F9B9E">
        <w:t>(Steffen et al., 2015)</w:t>
      </w:r>
      <w:r w:rsidR="00FD579B" w:rsidRPr="5575EBFC">
        <w:rPr>
          <w:lang w:val="en-GB"/>
        </w:rPr>
        <w:fldChar w:fldCharType="end"/>
      </w:r>
      <w:r w:rsidRPr="5575EBFC">
        <w:rPr>
          <w:lang w:val="en-GB"/>
        </w:rPr>
        <w:t xml:space="preserve"> can be discerned across a majority of direct </w:t>
      </w:r>
      <w:r w:rsidRPr="5575EBFC">
        <w:rPr>
          <w:lang w:val="en-GB"/>
        </w:rPr>
        <w:lastRenderedPageBreak/>
        <w:t xml:space="preserve">and indirect </w:t>
      </w:r>
      <w:r w:rsidR="653902EA" w:rsidRPr="5575EBFC">
        <w:rPr>
          <w:lang w:val="en-GB"/>
        </w:rPr>
        <w:t>drivers of change in nature</w:t>
      </w:r>
      <w:r w:rsidR="4663B6E2" w:rsidRPr="5575EBFC">
        <w:rPr>
          <w:lang w:val="en-GB"/>
        </w:rPr>
        <w:t xml:space="preserve">, </w:t>
      </w:r>
      <w:r w:rsidR="70351139" w:rsidRPr="5575EBFC">
        <w:rPr>
          <w:lang w:val="en-GB"/>
        </w:rPr>
        <w:t xml:space="preserve">which are of relevance to </w:t>
      </w:r>
      <w:r w:rsidR="656F8C55" w:rsidRPr="5575EBFC">
        <w:rPr>
          <w:lang w:val="en-GB"/>
        </w:rPr>
        <w:t>the increas</w:t>
      </w:r>
      <w:r w:rsidR="70351139" w:rsidRPr="5575EBFC">
        <w:rPr>
          <w:lang w:val="en-GB"/>
        </w:rPr>
        <w:t>ing trends</w:t>
      </w:r>
      <w:r w:rsidR="656F8C55" w:rsidRPr="5575EBFC">
        <w:rPr>
          <w:lang w:val="en-GB"/>
        </w:rPr>
        <w:t xml:space="preserve"> in the number and </w:t>
      </w:r>
      <w:r w:rsidR="70351139" w:rsidRPr="5575EBFC">
        <w:rPr>
          <w:lang w:val="en-GB"/>
        </w:rPr>
        <w:t xml:space="preserve">abundance of </w:t>
      </w:r>
      <w:r w:rsidRPr="5575EBFC">
        <w:rPr>
          <w:lang w:val="en-GB"/>
        </w:rPr>
        <w:t>invasive alien species</w:t>
      </w:r>
      <w:r w:rsidR="70351139" w:rsidRPr="5575EBFC">
        <w:rPr>
          <w:lang w:val="en-GB"/>
        </w:rPr>
        <w:t xml:space="preserve"> globally </w:t>
      </w:r>
      <w:r w:rsidR="50CE0EAC" w:rsidRPr="5575EBFC">
        <w:rPr>
          <w:lang w:val="en-GB"/>
        </w:rPr>
        <w:t>(</w:t>
      </w:r>
      <w:r w:rsidR="22F6B703" w:rsidRPr="5575EBFC">
        <w:rPr>
          <w:b/>
          <w:bCs/>
          <w:lang w:val="en-GB"/>
        </w:rPr>
        <w:t>C</w:t>
      </w:r>
      <w:r w:rsidR="70351139" w:rsidRPr="5575EBFC">
        <w:rPr>
          <w:b/>
          <w:bCs/>
          <w:lang w:val="en-GB"/>
        </w:rPr>
        <w:t>hapter 2</w:t>
      </w:r>
      <w:r w:rsidR="70351139" w:rsidRPr="5575EBFC">
        <w:rPr>
          <w:lang w:val="en-GB"/>
        </w:rPr>
        <w:t>)</w:t>
      </w:r>
      <w:r w:rsidRPr="5575EBFC">
        <w:rPr>
          <w:lang w:val="en-GB"/>
        </w:rPr>
        <w:t>. The number of people in the world has grown from 3.7 billion in 1970 to an estimated 7.7 billion in 2019 (</w:t>
      </w:r>
      <w:r w:rsidR="00E23B69">
        <w:rPr>
          <w:b/>
          <w:bCs/>
          <w:lang w:val="en-GB"/>
        </w:rPr>
        <w:t>Figure</w:t>
      </w:r>
      <w:r w:rsidR="09D4245B" w:rsidRPr="5575EBFC">
        <w:rPr>
          <w:b/>
          <w:bCs/>
          <w:lang w:val="en-GB"/>
        </w:rPr>
        <w:t xml:space="preserve"> 3.1</w:t>
      </w:r>
      <w:r w:rsidRPr="5575EBFC">
        <w:rPr>
          <w:lang w:val="en-GB"/>
        </w:rPr>
        <w:t xml:space="preserve">), and while population growth is slowing, a global population of 10 billion may be reached by 2050 </w:t>
      </w:r>
      <w:r w:rsidR="00FD579B" w:rsidRPr="5575EBFC">
        <w:rPr>
          <w:lang w:val="en-GB"/>
        </w:rPr>
        <w:fldChar w:fldCharType="begin"/>
      </w:r>
      <w:r w:rsidR="00331A79">
        <w:rPr>
          <w:lang w:val="en-GB"/>
        </w:rPr>
        <w:instrText xml:space="preserve"> ADDIN ZOTERO_ITEM CSL_CITATION {"citationID":"WeZkwZ9z","properties":{"formattedCitation":"(UNEP, 2019; United Nations et al., 2019)","plainCitation":"(UNEP, 2019; United Nations et al., 2019)","noteIndex":0},"citationItems":[{"id":32522,"uris":["http://zotero.org/groups/2352922/items/2C9FZ8BL"],"itemData":{"id":32522,"type":"book","event-place":"Nairobi, Kenya","ISBN":"1-108-63921-6","publisher":"Cambridge University Press","publisher-place":"Nairobi, Kenya","title":"Global Environment Outlook-GEO-6: Healthy Planet, Healthy People.","URL":"https://doi.org/10.1017/9781108627146","author":[{"literal":"UNEP"}],"issued":{"date-parts":[["2019"]]}},"label":"page"},{"id":32409,"uris":["http://zotero.org/groups/2352922/items/WG9UFAJD"],"itemData":{"id":32409,"type":"book","ISBN":"978-92-1-148316-1","language":"en","note":"OCLC: 1110010089","source":"Open WorldCat","title":"World population prospects Highlights, 2019 revision Highlights, 2019 revision","author":[{"literal":"United Nations"},{"literal":"Department of Economic and Social Affairs"},{"literal":"Population Division"}],"issued":{"date-parts":[["2019"]]}},"label":"page"}],"schema":"https://github.com/citation-style-language/schema/raw/master/csl-citation.json"} </w:instrText>
      </w:r>
      <w:r w:rsidR="00FD579B" w:rsidRPr="5575EBFC">
        <w:rPr>
          <w:lang w:val="en-GB"/>
        </w:rPr>
        <w:fldChar w:fldCharType="separate"/>
      </w:r>
      <w:r w:rsidR="6B5F9B9E">
        <w:t>(UNEP, 2019; United Nations et al., 2019)</w:t>
      </w:r>
      <w:r w:rsidR="00FD579B" w:rsidRPr="5575EBFC">
        <w:rPr>
          <w:lang w:val="en-GB"/>
        </w:rPr>
        <w:fldChar w:fldCharType="end"/>
      </w:r>
      <w:r w:rsidRPr="5575EBFC">
        <w:rPr>
          <w:lang w:val="en-GB"/>
        </w:rPr>
        <w:t>. An increasing proportion of the global population is living in urban areas</w:t>
      </w:r>
      <w:r w:rsidR="45DC0AC5" w:rsidRPr="5575EBFC">
        <w:rPr>
          <w:lang w:val="en-GB"/>
        </w:rPr>
        <w:t xml:space="preserve"> -</w:t>
      </w:r>
      <w:r w:rsidRPr="5575EBFC">
        <w:rPr>
          <w:lang w:val="en-GB"/>
        </w:rPr>
        <w:t xml:space="preserve"> the total area of urban settlements has grown by approximately 2.5 times since 1970, accounting for 7.6 per cent of the global land area and housing 3.5 billion people in 2015 </w:t>
      </w:r>
      <w:r w:rsidR="00FD579B" w:rsidRPr="5575EBFC">
        <w:rPr>
          <w:lang w:val="en-GB"/>
        </w:rPr>
        <w:fldChar w:fldCharType="begin"/>
      </w:r>
      <w:r w:rsidR="00331A79">
        <w:rPr>
          <w:lang w:val="en-GB"/>
        </w:rPr>
        <w:instrText xml:space="preserve"> ADDIN ZOTERO_ITEM CSL_CITATION {"citationID":"fva6R94z","properties":{"formattedCitation":"(Shukla et al., 2019; UNEP, 2019)","plainCitation":"(Shukla et al., 2019; UNEP, 2019)","noteIndex":0},"citationItems":[{"id":32525,"uris":["http://zotero.org/groups/2352922/items/TQLMD59H"],"itemData":{"id":32525,"type":"report","note":"publisher: Intergovernmental Panel on Climate Change (IPCC)","title":"Climate Change and Land: an IPCC special report on climate change, desertification, land degradation, sustainable land management, food security, and greenhouse gas fluxes in terrestrial ecosystems","URL":"https://www.ipcc.ch/srccl/","author":[{"family":"Shukla","given":"P. R."},{"family":"Skea","given":"J."},{"family":"Calvo Buendia","given":"E."},{"family":"Masson-Delmotte","given":"V."},{"family":"Pörtner","given":"H. O."},{"family":"Roberts","given":"D. C."},{"family":"Zhai","given":"P."},{"family":"Slade","given":"Raphael"},{"family":"Connors","given":"Sarah"},{"family":"Van Diemen","given":"Renée"}],"issued":{"date-parts":[["2019"]]}},"label":"page"},{"id":32522,"uris":["http://zotero.org/groups/2352922/items/2C9FZ8BL"],"itemData":{"id":32522,"type":"book","event-place":"Nairobi, Kenya","ISBN":"1-108-63921-6","publisher":"Cambridge University Press","publisher-place":"Nairobi, Kenya","title":"Global Environment Outlook-GEO-6: Healthy Planet, Healthy People.","URL":"https://doi.org/10.1017/9781108627146","author":[{"literal":"UNEP"}],"issued":{"date-parts":[["2019"]]}},"label":"page"}],"schema":"https://github.com/citation-style-language/schema/raw/master/csl-citation.json"} </w:instrText>
      </w:r>
      <w:r w:rsidR="00FD579B" w:rsidRPr="5575EBFC">
        <w:rPr>
          <w:lang w:val="en-GB"/>
        </w:rPr>
        <w:fldChar w:fldCharType="separate"/>
      </w:r>
      <w:r w:rsidR="6B5F9B9E">
        <w:t>(Shukla et al., 2019; UNEP, 2019)</w:t>
      </w:r>
      <w:r w:rsidR="00FD579B" w:rsidRPr="5575EBFC">
        <w:rPr>
          <w:lang w:val="en-GB"/>
        </w:rPr>
        <w:fldChar w:fldCharType="end"/>
      </w:r>
      <w:r w:rsidR="6C319141" w:rsidRPr="5575EBFC">
        <w:rPr>
          <w:lang w:val="en-GB"/>
        </w:rPr>
        <w:t>.</w:t>
      </w:r>
      <w:r w:rsidR="56596397" w:rsidRPr="5575EBFC">
        <w:rPr>
          <w:lang w:val="en-GB"/>
        </w:rPr>
        <w:t xml:space="preserve"> </w:t>
      </w:r>
      <w:r w:rsidRPr="5575EBFC">
        <w:rPr>
          <w:lang w:val="en-GB"/>
        </w:rPr>
        <w:t xml:space="preserve">Human migration and travel are also increasing </w:t>
      </w:r>
      <w:r w:rsidR="06FD96B5" w:rsidRPr="5575EBFC">
        <w:rPr>
          <w:lang w:val="en-GB"/>
        </w:rPr>
        <w:t>(</w:t>
      </w:r>
      <w:r w:rsidR="00E23B69">
        <w:rPr>
          <w:b/>
          <w:bCs/>
          <w:lang w:val="en-GB"/>
        </w:rPr>
        <w:t>Figure</w:t>
      </w:r>
      <w:r w:rsidR="09D4245B" w:rsidRPr="5575EBFC">
        <w:rPr>
          <w:b/>
          <w:bCs/>
          <w:lang w:val="en-GB"/>
        </w:rPr>
        <w:t xml:space="preserve"> 3.1</w:t>
      </w:r>
      <w:r w:rsidR="06FD96B5" w:rsidRPr="5575EBFC">
        <w:rPr>
          <w:lang w:val="en-GB"/>
        </w:rPr>
        <w:t>)</w:t>
      </w:r>
      <w:r w:rsidRPr="5575EBFC">
        <w:rPr>
          <w:lang w:val="en-GB"/>
        </w:rPr>
        <w:t xml:space="preserve">. Meanwhile, the global economy has grown nearly fivefold over the last 50 years </w:t>
      </w:r>
      <w:r w:rsidR="06FD96B5" w:rsidRPr="5575EBFC">
        <w:rPr>
          <w:lang w:val="en-GB"/>
        </w:rPr>
        <w:t>(</w:t>
      </w:r>
      <w:r w:rsidR="00E23B69">
        <w:rPr>
          <w:b/>
          <w:bCs/>
          <w:lang w:val="en-GB"/>
        </w:rPr>
        <w:t>Figure</w:t>
      </w:r>
      <w:r w:rsidR="09D4245B" w:rsidRPr="5575EBFC">
        <w:rPr>
          <w:b/>
          <w:bCs/>
          <w:lang w:val="en-GB"/>
        </w:rPr>
        <w:t xml:space="preserve"> 3.1</w:t>
      </w:r>
      <w:r w:rsidR="06FD96B5" w:rsidRPr="5575EBFC">
        <w:rPr>
          <w:lang w:val="en-GB"/>
        </w:rPr>
        <w:t>)</w:t>
      </w:r>
      <w:r w:rsidRPr="5575EBFC">
        <w:rPr>
          <w:lang w:val="en-GB"/>
        </w:rPr>
        <w:t>, a growth that is projected to continue. This economic growth has been fuelled by an increase in global primary energy production of more than 270</w:t>
      </w:r>
      <w:r w:rsidR="4804CF9A" w:rsidRPr="5575EBFC">
        <w:rPr>
          <w:lang w:val="en-GB"/>
        </w:rPr>
        <w:t xml:space="preserve"> per cent</w:t>
      </w:r>
      <w:r w:rsidRPr="5575EBFC">
        <w:rPr>
          <w:lang w:val="en-GB"/>
        </w:rPr>
        <w:t xml:space="preserve"> over the same period, of which fossil fuels still contribute more than 80</w:t>
      </w:r>
      <w:r w:rsidR="4804CF9A" w:rsidRPr="5575EBFC">
        <w:rPr>
          <w:lang w:val="en-GB"/>
        </w:rPr>
        <w:t xml:space="preserve"> per cent</w:t>
      </w:r>
      <w:r w:rsidRPr="5575EBFC">
        <w:rPr>
          <w:lang w:val="en-GB"/>
        </w:rPr>
        <w:t xml:space="preserve"> </w:t>
      </w:r>
      <w:r w:rsidR="00FD579B" w:rsidRPr="5575EBFC">
        <w:rPr>
          <w:lang w:val="en-GB"/>
        </w:rPr>
        <w:fldChar w:fldCharType="begin"/>
      </w:r>
      <w:r w:rsidR="00331A79">
        <w:rPr>
          <w:lang w:val="en-GB"/>
        </w:rPr>
        <w:instrText xml:space="preserve"> ADDIN ZOTERO_ITEM CSL_CITATION {"citationID":"gwkMu0yH","properties":{"formattedCitation":"(International Energy Agency (IEA), 2020)","plainCitation":"(International Energy Agency (IEA), 2020)","dontUpdate":true,"noteIndex":0},"citationItems":[{"id":32523,"uris":["http://zotero.org/groups/2352922/items/S44ANQ3K"],"itemData":{"id":32523,"type":"report","publisher":"OECD Publishing","title":"World energy outlook 2020","URL":"https://www.iea.org/reports/world-energy-outlook-2020","author":[{"literal":"International Energy Agency (IEA)"}],"issued":{"date-parts":[["2020"]]}}}],"schema":"https://github.com/citation-style-language/schema/raw/master/csl-citation.json"} </w:instrText>
      </w:r>
      <w:r w:rsidR="00FD579B" w:rsidRPr="5575EBFC">
        <w:rPr>
          <w:lang w:val="en-GB"/>
        </w:rPr>
        <w:fldChar w:fldCharType="separate"/>
      </w:r>
      <w:r w:rsidRPr="5575EBFC">
        <w:rPr>
          <w:lang w:val="en-GB"/>
        </w:rPr>
        <w:t>(I</w:t>
      </w:r>
      <w:r w:rsidR="7A374D48" w:rsidRPr="5575EBFC">
        <w:rPr>
          <w:lang w:val="en-GB"/>
        </w:rPr>
        <w:t>EA</w:t>
      </w:r>
      <w:r w:rsidRPr="5575EBFC">
        <w:rPr>
          <w:lang w:val="en-GB"/>
        </w:rPr>
        <w:t>, 2020)</w:t>
      </w:r>
      <w:r w:rsidR="00FD579B" w:rsidRPr="5575EBFC">
        <w:rPr>
          <w:lang w:val="en-GB"/>
        </w:rPr>
        <w:fldChar w:fldCharType="end"/>
      </w:r>
      <w:r w:rsidRPr="5575EBFC">
        <w:rPr>
          <w:lang w:val="en-GB"/>
        </w:rPr>
        <w:t xml:space="preserve">. Consumption has tripled and global trade grown nearly tenfold in the last 50 years </w:t>
      </w:r>
      <w:r w:rsidR="06FD96B5" w:rsidRPr="5575EBFC">
        <w:rPr>
          <w:lang w:val="en-GB"/>
        </w:rPr>
        <w:t>(</w:t>
      </w:r>
      <w:r w:rsidR="00E23B69">
        <w:rPr>
          <w:b/>
          <w:bCs/>
          <w:lang w:val="en-GB"/>
        </w:rPr>
        <w:t>Figure</w:t>
      </w:r>
      <w:r w:rsidR="09D4245B" w:rsidRPr="5575EBFC">
        <w:rPr>
          <w:b/>
          <w:bCs/>
          <w:lang w:val="en-GB"/>
        </w:rPr>
        <w:t xml:space="preserve"> 3.1</w:t>
      </w:r>
      <w:r w:rsidR="06FD96B5" w:rsidRPr="5575EBFC">
        <w:rPr>
          <w:lang w:val="en-GB"/>
        </w:rPr>
        <w:t>)</w:t>
      </w:r>
      <w:r w:rsidRPr="5575EBFC">
        <w:rPr>
          <w:lang w:val="en-GB"/>
        </w:rPr>
        <w:t xml:space="preserve">, with shifting patterns of consumption and production across regions, and increases in transport of goods </w:t>
      </w:r>
      <w:r w:rsidR="4AFE45D9" w:rsidRPr="5575EBFC">
        <w:rPr>
          <w:lang w:val="en-GB"/>
        </w:rPr>
        <w:t>and people</w:t>
      </w:r>
      <w:r w:rsidRPr="5575EBFC">
        <w:rPr>
          <w:lang w:val="en-GB"/>
        </w:rPr>
        <w:t xml:space="preserve"> </w:t>
      </w:r>
      <w:r w:rsidR="06FD96B5" w:rsidRPr="5575EBFC">
        <w:rPr>
          <w:lang w:val="en-GB"/>
        </w:rPr>
        <w:t>(</w:t>
      </w:r>
      <w:r w:rsidR="00E23B69">
        <w:rPr>
          <w:b/>
          <w:bCs/>
          <w:lang w:val="en-GB"/>
        </w:rPr>
        <w:t>Figure</w:t>
      </w:r>
      <w:r w:rsidR="09D4245B" w:rsidRPr="5575EBFC">
        <w:rPr>
          <w:b/>
          <w:bCs/>
          <w:lang w:val="en-GB"/>
        </w:rPr>
        <w:t xml:space="preserve"> 3.1</w:t>
      </w:r>
      <w:r w:rsidR="06FD96B5" w:rsidRPr="5575EBFC">
        <w:rPr>
          <w:lang w:val="en-GB"/>
        </w:rPr>
        <w:t>;</w:t>
      </w:r>
      <w:r w:rsidRPr="5575EBFC">
        <w:rPr>
          <w:lang w:val="en-GB"/>
        </w:rPr>
        <w:t xml:space="preserve"> </w:t>
      </w:r>
      <w:r w:rsidR="00FD579B" w:rsidRPr="5575EBFC">
        <w:rPr>
          <w:lang w:val="en-GB"/>
        </w:rPr>
        <w:fldChar w:fldCharType="begin"/>
      </w:r>
      <w:r w:rsidR="00F5121E">
        <w:rPr>
          <w:lang w:val="en-GB"/>
        </w:rPr>
        <w:instrText xml:space="preserve"> ADDIN ZOTERO_ITEM CSL_CITATION {"citationID":"LCaLZQYe","properties":{"formattedCitation":"(IPBES, 2019)","plainCitation":"(IPBES, 2019)","dontUpdate":true,"noteIndex":0},"citationItems":[{"id":53933,"uris":["http://zotero.org/groups/2352922/items/JYFISR8Z","http://zotero.org/groups/2352922/items/ZACZGHZL"],"itemData":{"id":53933,"type":"report","abstract":"IPBES is to perform regular and timely assessments of knowledge on biodiversity and ecosystem services and their interlinkages at the global level. Also addressing an invitation by the Conference of the Parties of the Convention on Biological Diversity (CBD) to prepare a global assessment of biodiversity and ecosystem services building, inter alia, on its own and other relevant regional, subregional and thematic assessments, as well as on national reports. The overall scope of the assessment is to assess the status and trends with regard to biodiversity and ecosystem services, the impact of biodiversity and ecosystem services on human well-being and the effectiveness of responses, including the Strategic Plan and its Aichi Biodiversity Targets. It is anticipated that this deliverable will contribute to the process for the evaluation and renewal of the Strategic Plan for Biodiversity and its Aichi Biodiversity Targets. The IPBES Global Assessment on Biodiversity and Ecosystem Services is composed of 1) a Summary for Policymakers (SPM), approved by the IPBES Plenary at its 7th session in May 2019 in Paris, France (IPBES-7); and 2) a set of six Chapters, accepted by the IPBES Plenary.","language":"en","license":"Creative Commons Attribution 4.0 International, Open Access","note":"Version Number 1\nDOI: 10.5281/ZENODO.3831673","publisher":"Secretariat of the Intergovernmental Science-Policy Platform on Biodiversity and Ecosystem Services","source":"DOI.org (Datacite)","title":"Global assessment report on biodiversity and ecosystem services of the Intergovernmental Science-Policy Platform on Biodiversity and Ecosystem Services","URL":"https://zenodo.org/record/3831673","author":[{"literal":"IPBES"}],"contributor":[{"family":"Brondizio","given":"Eduardo"},{"family":"Diaz","given":"Sandra"},{"family":"Settele","given":"Josef"},{"family":"Ngo","given":"Hien T."}],"accessed":{"date-parts":[["2023",1,5]]},"issued":{"date-parts":[["2019"]]}}}],"schema":"https://github.com/citation-style-language/schema/raw/master/csl-citation.json"} </w:instrText>
      </w:r>
      <w:r w:rsidR="00FD579B" w:rsidRPr="5575EBFC">
        <w:rPr>
          <w:lang w:val="en-GB"/>
        </w:rPr>
        <w:fldChar w:fldCharType="separate"/>
      </w:r>
      <w:r w:rsidR="434AE1B8">
        <w:t>IPBES, 2019)</w:t>
      </w:r>
      <w:r w:rsidR="00FD579B" w:rsidRPr="5575EBFC">
        <w:rPr>
          <w:lang w:val="en-GB"/>
        </w:rPr>
        <w:fldChar w:fldCharType="end"/>
      </w:r>
      <w:r w:rsidRPr="5575EBFC">
        <w:rPr>
          <w:lang w:val="en-GB"/>
        </w:rPr>
        <w:t xml:space="preserve">. </w:t>
      </w:r>
    </w:p>
    <w:p w14:paraId="03D43F03" w14:textId="46AB25EF" w:rsidR="00FD579B" w:rsidRPr="00DA249F" w:rsidRDefault="2867F042" w:rsidP="5575EBFC">
      <w:pPr>
        <w:rPr>
          <w:lang w:val="en-GB"/>
        </w:rPr>
      </w:pPr>
      <w:r w:rsidRPr="5575EBFC">
        <w:rPr>
          <w:lang w:val="en-GB"/>
        </w:rPr>
        <w:t xml:space="preserve">These global population and economic drivers are having dramatic impacts on </w:t>
      </w:r>
      <w:r w:rsidR="760938C0" w:rsidRPr="5575EBFC">
        <w:rPr>
          <w:lang w:val="en-GB"/>
        </w:rPr>
        <w:t xml:space="preserve">our </w:t>
      </w:r>
      <w:r w:rsidRPr="5575EBFC">
        <w:rPr>
          <w:lang w:val="en-GB"/>
        </w:rPr>
        <w:t>lands and seas</w:t>
      </w:r>
      <w:r w:rsidR="25993D5F" w:rsidRPr="5575EBFC">
        <w:rPr>
          <w:lang w:val="en-GB"/>
        </w:rPr>
        <w:t xml:space="preserve"> </w:t>
      </w:r>
      <w:r w:rsidR="00FD579B" w:rsidRPr="5575EBFC">
        <w:rPr>
          <w:lang w:val="en-GB"/>
        </w:rPr>
        <w:fldChar w:fldCharType="begin"/>
      </w:r>
      <w:r w:rsidR="00331A79">
        <w:rPr>
          <w:lang w:val="en-GB"/>
        </w:rPr>
        <w:instrText xml:space="preserve"> ADDIN ZOTERO_ITEM CSL_CITATION {"citationID":"2encgBu8","properties":{"formattedCitation":"(IPBES, 2022c)","plainCitation":"(IPBES, 2022c)","noteIndex":0},"citationItems":[{"id":56440,"uris":["http://zotero.org/groups/2352922/items/FE232VBH","http://zotero.org/groups/2352922/items/Z2RKHB8F"],"itemData":{"id":56440,"type":"report","abstract":"The thematic assessment of the sustainable use of wild species of the Intergovernmental Science-Policy Platform on Biodiversity and Ecosystem Services is composed of 1) a Summary for Policymakers (SPM), approved by the IPBES Plenary at its 9th session in July 2022 in Bonn, Germany (IPBES-9); and 2) a set of six Chapters, accepted by the IPBES Plenary. All products of the assessment are available on Zenodo. Find all the links on https://ipbes.net/sustainable-use-assessment and on the side bar \"has part\". The laid-out version and translations will be made available in the next months.","language":"en","license":"Creative Commons Attribution 4.0 International, Open Access","note":"DOI: 10.5281/ZENODO.6448568","publisher":"Zenodo","source":"DOI.org (Datacite)","title":"Thematic assessment of the sustainable use of wild species of the Intergovernmental Science-Policy Platform on Biodiversity and Ecosystem Services","URL":"https://zenodo.org/record/6448568","author":[{"literal":"IPBES"}],"contributor":[{"family":"Fromentin","given":"Jean-Marc"},{"family":"Emery","given":"Marla R."},{"family":"Donaldson","given":"John"},{"family":"Danner","given":"Marie-Claire"},{"family":"Hallosserie","given":"Agnès"},{"family":"Kieling","given":"Daniel"}],"accessed":{"date-parts":[["2023",6,8]]},"issued":{"date-parts":[["2022",7,8]]}},"label":"page"}],"schema":"https://github.com/citation-style-language/schema/raw/master/csl-citation.json"} </w:instrText>
      </w:r>
      <w:r w:rsidR="00FD579B" w:rsidRPr="5575EBFC">
        <w:rPr>
          <w:lang w:val="en-GB"/>
        </w:rPr>
        <w:fldChar w:fldCharType="separate"/>
      </w:r>
      <w:r w:rsidR="674745DD">
        <w:t>(IPBES, 2022c)</w:t>
      </w:r>
      <w:r w:rsidR="00FD579B" w:rsidRPr="5575EBFC">
        <w:rPr>
          <w:lang w:val="en-GB"/>
        </w:rPr>
        <w:fldChar w:fldCharType="end"/>
      </w:r>
      <w:r w:rsidR="3F69FFB3" w:rsidRPr="5575EBFC">
        <w:rPr>
          <w:lang w:val="en-GB"/>
        </w:rPr>
        <w:t xml:space="preserve">. </w:t>
      </w:r>
      <w:r w:rsidRPr="5575EBFC">
        <w:rPr>
          <w:lang w:val="en-GB"/>
        </w:rPr>
        <w:t>Close to 75</w:t>
      </w:r>
      <w:r w:rsidR="7A374D48" w:rsidRPr="5575EBFC">
        <w:rPr>
          <w:lang w:val="en-GB"/>
        </w:rPr>
        <w:t xml:space="preserve"> </w:t>
      </w:r>
      <w:r w:rsidR="4804CF9A" w:rsidRPr="5575EBFC">
        <w:rPr>
          <w:lang w:val="en-GB"/>
        </w:rPr>
        <w:t>per cent</w:t>
      </w:r>
      <w:r w:rsidRPr="5575EBFC">
        <w:rPr>
          <w:lang w:val="en-GB"/>
        </w:rPr>
        <w:t xml:space="preserve"> of ice-free land areas and 60</w:t>
      </w:r>
      <w:r w:rsidR="7A374D48" w:rsidRPr="5575EBFC">
        <w:rPr>
          <w:lang w:val="en-GB"/>
        </w:rPr>
        <w:t xml:space="preserve"> </w:t>
      </w:r>
      <w:r w:rsidR="4804CF9A" w:rsidRPr="5575EBFC">
        <w:rPr>
          <w:lang w:val="en-GB"/>
        </w:rPr>
        <w:t>per cent</w:t>
      </w:r>
      <w:r w:rsidRPr="5575EBFC">
        <w:rPr>
          <w:lang w:val="en-GB"/>
        </w:rPr>
        <w:t xml:space="preserve"> of the oceans are significantly impacted by people, and agricultural crop production has increased by about 300</w:t>
      </w:r>
      <w:r w:rsidR="7A374D48" w:rsidRPr="5575EBFC">
        <w:rPr>
          <w:lang w:val="en-GB"/>
        </w:rPr>
        <w:t xml:space="preserve"> </w:t>
      </w:r>
      <w:r w:rsidR="4804CF9A" w:rsidRPr="5575EBFC">
        <w:rPr>
          <w:lang w:val="en-GB"/>
        </w:rPr>
        <w:t>per cent</w:t>
      </w:r>
      <w:r w:rsidR="7A374D48" w:rsidRPr="5575EBFC">
        <w:rPr>
          <w:lang w:val="en-GB"/>
        </w:rPr>
        <w:t xml:space="preserve"> </w:t>
      </w:r>
      <w:r w:rsidRPr="5575EBFC">
        <w:rPr>
          <w:lang w:val="en-GB"/>
        </w:rPr>
        <w:t xml:space="preserve">since 1970, </w:t>
      </w:r>
      <w:r w:rsidR="39E2279B" w:rsidRPr="5575EBFC">
        <w:rPr>
          <w:lang w:val="en-GB"/>
        </w:rPr>
        <w:t xml:space="preserve">with crops </w:t>
      </w:r>
      <w:r w:rsidRPr="5575EBFC">
        <w:rPr>
          <w:lang w:val="en-GB"/>
        </w:rPr>
        <w:t xml:space="preserve">now occupying half of the habitable land on Earth </w:t>
      </w:r>
      <w:r w:rsidR="00FD579B" w:rsidRPr="5575EBFC">
        <w:rPr>
          <w:lang w:val="en-GB"/>
        </w:rPr>
        <w:fldChar w:fldCharType="begin"/>
      </w:r>
      <w:r w:rsidR="00F5121E">
        <w:rPr>
          <w:lang w:val="en-GB"/>
        </w:rPr>
        <w:instrText xml:space="preserve"> ADDIN ZOTERO_ITEM CSL_CITATION {"citationID":"zMKM4KdV","properties":{"formattedCitation":"(IPBES, 2019)","plainCitation":"(IPBES, 2019)","noteIndex":0},"citationItems":[{"id":53933,"uris":["http://zotero.org/groups/2352922/items/JYFISR8Z","http://zotero.org/groups/2352922/items/ZACZGHZL"],"itemData":{"id":53933,"type":"report","abstract":"IPBES is to perform regular and timely assessments of knowledge on biodiversity and ecosystem services and their interlinkages at the global level. Also addressing an invitation by the Conference of the Parties of the Convention on Biological Diversity (CBD) to prepare a global assessment of biodiversity and ecosystem services building, inter alia, on its own and other relevant regional, subregional and thematic assessments, as well as on national reports. The overall scope of the assessment is to assess the status and trends with regard to biodiversity and ecosystem services, the impact of biodiversity and ecosystem services on human well-being and the effectiveness of responses, including the Strategic Plan and its Aichi Biodiversity Targets. It is anticipated that this deliverable will contribute to the process for the evaluation and renewal of the Strategic Plan for Biodiversity and its Aichi Biodiversity Targets. The IPBES Global Assessment on Biodiversity and Ecosystem Services is composed of 1) a Summary for Policymakers (SPM), approved by the IPBES Plenary at its 7th session in May 2019 in Paris, France (IPBES-7); and 2) a set of six Chapters, accepted by the IPBES Plenary.","language":"en","license":"Creative Commons Attribution 4.0 International, Open Access","note":"Version Number 1\nDOI: 10.5281/ZENODO.3831673","publisher":"Secretariat of the Intergovernmental Science-Policy Platform on Biodiversity and Ecosystem Services","source":"DOI.org (Datacite)","title":"Global assessment report on biodiversity and ecosystem services of the Intergovernmental Science-Policy Platform on Biodiversity and Ecosystem Services","URL":"https://zenodo.org/record/3831673","author":[{"literal":"IPBES"}],"contributor":[{"family":"Brondizio","given":"Eduardo"},{"family":"Diaz","given":"Sandra"},{"family":"Settele","given":"Josef"},{"family":"Ngo","given":"Hien T."}],"accessed":{"date-parts":[["2023",1,5]]},"issued":{"date-parts":[["2019"]]}}}],"schema":"https://github.com/citation-style-language/schema/raw/master/csl-citation.json"} </w:instrText>
      </w:r>
      <w:r w:rsidR="00FD579B" w:rsidRPr="5575EBFC">
        <w:rPr>
          <w:lang w:val="en-GB"/>
        </w:rPr>
        <w:fldChar w:fldCharType="separate"/>
      </w:r>
      <w:r w:rsidR="6B5F9B9E">
        <w:t>(IPBES, 2019)</w:t>
      </w:r>
      <w:r w:rsidR="00FD579B" w:rsidRPr="5575EBFC">
        <w:rPr>
          <w:lang w:val="en-GB"/>
        </w:rPr>
        <w:fldChar w:fldCharType="end"/>
      </w:r>
      <w:r w:rsidRPr="5575EBFC">
        <w:rPr>
          <w:lang w:val="en-GB"/>
        </w:rPr>
        <w:t>.</w:t>
      </w:r>
      <w:r w:rsidR="23BF2FFE" w:rsidRPr="5575EBFC">
        <w:rPr>
          <w:lang w:val="en-GB"/>
        </w:rPr>
        <w:t xml:space="preserve"> </w:t>
      </w:r>
      <w:r w:rsidR="515959F4" w:rsidRPr="5575EBFC">
        <w:rPr>
          <w:lang w:val="en-GB"/>
        </w:rPr>
        <w:t xml:space="preserve">Of the </w:t>
      </w:r>
      <w:r w:rsidR="307E0926" w:rsidRPr="5575EBFC">
        <w:rPr>
          <w:lang w:val="en-GB"/>
        </w:rPr>
        <w:t xml:space="preserve">more than </w:t>
      </w:r>
      <w:r w:rsidR="0E2A1E9E" w:rsidRPr="5575EBFC">
        <w:rPr>
          <w:lang w:val="en-GB"/>
        </w:rPr>
        <w:t>50</w:t>
      </w:r>
      <w:r w:rsidR="02D55E72" w:rsidRPr="5575EBFC">
        <w:rPr>
          <w:lang w:val="en-GB"/>
        </w:rPr>
        <w:t>,</w:t>
      </w:r>
      <w:r w:rsidR="0E2A1E9E" w:rsidRPr="5575EBFC">
        <w:rPr>
          <w:lang w:val="en-GB"/>
        </w:rPr>
        <w:t xml:space="preserve">000 </w:t>
      </w:r>
      <w:r w:rsidR="307E0926" w:rsidRPr="5575EBFC">
        <w:rPr>
          <w:lang w:val="en-GB"/>
        </w:rPr>
        <w:t xml:space="preserve">wild </w:t>
      </w:r>
      <w:r w:rsidR="0E2A1E9E" w:rsidRPr="5575EBFC">
        <w:rPr>
          <w:lang w:val="en-GB"/>
        </w:rPr>
        <w:t xml:space="preserve">species </w:t>
      </w:r>
      <w:r w:rsidR="057ADDDC" w:rsidRPr="5575EBFC">
        <w:rPr>
          <w:lang w:val="en-GB"/>
        </w:rPr>
        <w:t xml:space="preserve">harvested </w:t>
      </w:r>
      <w:r w:rsidR="26400FAF" w:rsidRPr="5575EBFC">
        <w:rPr>
          <w:lang w:val="en-GB"/>
        </w:rPr>
        <w:t xml:space="preserve">for </w:t>
      </w:r>
      <w:r w:rsidR="057ADDDC" w:rsidRPr="5575EBFC">
        <w:rPr>
          <w:lang w:val="en-GB"/>
        </w:rPr>
        <w:t xml:space="preserve">use </w:t>
      </w:r>
      <w:r w:rsidR="26400FAF" w:rsidRPr="5575EBFC">
        <w:rPr>
          <w:lang w:val="en-GB"/>
        </w:rPr>
        <w:t>as</w:t>
      </w:r>
      <w:r w:rsidR="057ADDDC" w:rsidRPr="5575EBFC">
        <w:rPr>
          <w:lang w:val="en-GB"/>
        </w:rPr>
        <w:t xml:space="preserve"> </w:t>
      </w:r>
      <w:r w:rsidR="1BCAFAE6" w:rsidRPr="5575EBFC">
        <w:rPr>
          <w:lang w:val="en-GB"/>
        </w:rPr>
        <w:t>food, energy, medicine, material</w:t>
      </w:r>
      <w:r w:rsidR="307E0926" w:rsidRPr="5575EBFC">
        <w:rPr>
          <w:lang w:val="en-GB"/>
        </w:rPr>
        <w:t>s</w:t>
      </w:r>
      <w:r w:rsidR="05F9E540" w:rsidRPr="5575EBFC">
        <w:rPr>
          <w:lang w:val="en-GB"/>
        </w:rPr>
        <w:t xml:space="preserve">, </w:t>
      </w:r>
      <w:r w:rsidR="307E0926" w:rsidRPr="5575EBFC">
        <w:rPr>
          <w:lang w:val="en-GB"/>
        </w:rPr>
        <w:t>income generation</w:t>
      </w:r>
      <w:r w:rsidR="05F9E540" w:rsidRPr="5575EBFC">
        <w:rPr>
          <w:lang w:val="en-GB"/>
        </w:rPr>
        <w:t>, or other uses</w:t>
      </w:r>
      <w:r w:rsidR="6A537D25" w:rsidRPr="5575EBFC">
        <w:rPr>
          <w:lang w:val="en-GB"/>
        </w:rPr>
        <w:t xml:space="preserve"> globally</w:t>
      </w:r>
      <w:r w:rsidR="1820B66A" w:rsidRPr="5575EBFC">
        <w:rPr>
          <w:lang w:val="en-GB"/>
        </w:rPr>
        <w:t>,</w:t>
      </w:r>
      <w:r w:rsidR="515959F4" w:rsidRPr="5575EBFC">
        <w:rPr>
          <w:lang w:val="en-GB"/>
        </w:rPr>
        <w:t xml:space="preserve"> </w:t>
      </w:r>
      <w:r w:rsidR="5CCEFF1C" w:rsidRPr="5575EBFC">
        <w:rPr>
          <w:lang w:val="en-GB"/>
        </w:rPr>
        <w:t>only</w:t>
      </w:r>
      <w:r w:rsidR="515959F4" w:rsidRPr="5575EBFC">
        <w:rPr>
          <w:lang w:val="en-GB"/>
        </w:rPr>
        <w:t xml:space="preserve"> 34</w:t>
      </w:r>
      <w:r w:rsidR="4804CF9A" w:rsidRPr="5575EBFC">
        <w:rPr>
          <w:lang w:val="en-GB"/>
        </w:rPr>
        <w:t xml:space="preserve"> per cent</w:t>
      </w:r>
      <w:r w:rsidR="515959F4" w:rsidRPr="5575EBFC">
        <w:rPr>
          <w:lang w:val="en-GB"/>
        </w:rPr>
        <w:t xml:space="preserve"> are used sustainably </w:t>
      </w:r>
      <w:r w:rsidR="00FD579B" w:rsidRPr="5575EBFC">
        <w:rPr>
          <w:lang w:val="en-GB"/>
        </w:rPr>
        <w:fldChar w:fldCharType="begin"/>
      </w:r>
      <w:r w:rsidR="00331A79">
        <w:rPr>
          <w:lang w:val="en-GB"/>
        </w:rPr>
        <w:instrText xml:space="preserve"> ADDIN ZOTERO_ITEM CSL_CITATION {"citationID":"DwZyzVvp","properties":{"formattedCitation":"(IPBES, 2022c)","plainCitation":"(IPBES, 2022c)","noteIndex":0},"citationItems":[{"id":56440,"uris":["http://zotero.org/groups/2352922/items/FE232VBH","http://zotero.org/groups/2352922/items/Z2RKHB8F"],"itemData":{"id":56440,"type":"report","abstract":"The thematic assessment of the sustainable use of wild species of the Intergovernmental Science-Policy Platform on Biodiversity and Ecosystem Services is composed of 1) a Summary for Policymakers (SPM), approved by the IPBES Plenary at its 9th session in July 2022 in Bonn, Germany (IPBES-9); and 2) a set of six Chapters, accepted by the IPBES Plenary. All products of the assessment are available on Zenodo. Find all the links on https://ipbes.net/sustainable-use-assessment and on the side bar \"has part\". The laid-out version and translations will be made available in the next months.","language":"en","license":"Creative Commons Attribution 4.0 International, Open Access","note":"DOI: 10.5281/ZENODO.6448568","publisher":"Zenodo","source":"DOI.org (Datacite)","title":"Thematic assessment of the sustainable use of wild species of the Intergovernmental Science-Policy Platform on Biodiversity and Ecosystem Services","URL":"https://zenodo.org/record/6448568","author":[{"literal":"IPBES"}],"contributor":[{"family":"Fromentin","given":"Jean-Marc"},{"family":"Emery","given":"Marla R."},{"family":"Donaldson","given":"John"},{"family":"Danner","given":"Marie-Claire"},{"family":"Hallosserie","given":"Agnès"},{"family":"Kieling","given":"Daniel"}],"accessed":{"date-parts":[["2023",6,8]]},"issued":{"date-parts":[["2022",7,8]]}},"label":"page"}],"schema":"https://github.com/citation-style-language/schema/raw/master/csl-citation.json"} </w:instrText>
      </w:r>
      <w:r w:rsidR="00FD579B" w:rsidRPr="5575EBFC">
        <w:rPr>
          <w:lang w:val="en-GB"/>
        </w:rPr>
        <w:fldChar w:fldCharType="separate"/>
      </w:r>
      <w:r w:rsidR="674745DD">
        <w:t>(IPBES, 2022c)</w:t>
      </w:r>
      <w:r w:rsidR="00FD579B" w:rsidRPr="5575EBFC">
        <w:rPr>
          <w:lang w:val="en-GB"/>
        </w:rPr>
        <w:fldChar w:fldCharType="end"/>
      </w:r>
      <w:r w:rsidR="3F69FFB3" w:rsidRPr="5575EBFC">
        <w:rPr>
          <w:lang w:val="en-GB"/>
        </w:rPr>
        <w:t xml:space="preserve">. </w:t>
      </w:r>
      <w:r w:rsidRPr="5575EBFC">
        <w:rPr>
          <w:lang w:val="en-GB"/>
        </w:rPr>
        <w:t xml:space="preserve">Water </w:t>
      </w:r>
      <w:r w:rsidR="2B11506B" w:rsidRPr="5575EBFC">
        <w:rPr>
          <w:lang w:val="en-GB"/>
        </w:rPr>
        <w:t>extraction</w:t>
      </w:r>
      <w:r w:rsidRPr="5575EBFC">
        <w:rPr>
          <w:lang w:val="en-GB"/>
        </w:rPr>
        <w:t>, predominantly for irrigat</w:t>
      </w:r>
      <w:r w:rsidR="414EB346" w:rsidRPr="5575EBFC">
        <w:rPr>
          <w:lang w:val="en-GB"/>
        </w:rPr>
        <w:t>ion</w:t>
      </w:r>
      <w:r w:rsidR="01553404" w:rsidRPr="5575EBFC">
        <w:rPr>
          <w:lang w:val="en-GB"/>
        </w:rPr>
        <w:t xml:space="preserve"> of</w:t>
      </w:r>
      <w:r w:rsidRPr="5575EBFC">
        <w:rPr>
          <w:lang w:val="en-GB"/>
        </w:rPr>
        <w:t xml:space="preserve"> agricultur</w:t>
      </w:r>
      <w:r w:rsidR="01553404" w:rsidRPr="5575EBFC">
        <w:rPr>
          <w:lang w:val="en-GB"/>
        </w:rPr>
        <w:t>al crops</w:t>
      </w:r>
      <w:r w:rsidRPr="5575EBFC">
        <w:rPr>
          <w:lang w:val="en-GB"/>
        </w:rPr>
        <w:t>, grew by nearly 65</w:t>
      </w:r>
      <w:r w:rsidR="7A374D48" w:rsidRPr="5575EBFC">
        <w:rPr>
          <w:lang w:val="en-GB"/>
        </w:rPr>
        <w:t xml:space="preserve"> </w:t>
      </w:r>
      <w:r w:rsidR="4804CF9A" w:rsidRPr="5575EBFC">
        <w:rPr>
          <w:lang w:val="en-GB"/>
        </w:rPr>
        <w:t>per cent</w:t>
      </w:r>
      <w:r w:rsidR="7A374D48" w:rsidRPr="5575EBFC">
        <w:rPr>
          <w:lang w:val="en-GB"/>
        </w:rPr>
        <w:t xml:space="preserve"> </w:t>
      </w:r>
      <w:r w:rsidRPr="5575EBFC">
        <w:rPr>
          <w:lang w:val="en-GB"/>
        </w:rPr>
        <w:t>from 1970 to 2010</w:t>
      </w:r>
      <w:r w:rsidR="7DDB2269" w:rsidRPr="5575EBFC">
        <w:rPr>
          <w:lang w:val="en-GB"/>
        </w:rPr>
        <w:t xml:space="preserve">, and </w:t>
      </w:r>
      <w:r w:rsidR="3330D705" w:rsidRPr="5575EBFC">
        <w:rPr>
          <w:lang w:val="en-GB"/>
        </w:rPr>
        <w:t>o</w:t>
      </w:r>
      <w:r w:rsidRPr="5575EBFC">
        <w:rPr>
          <w:lang w:val="en-GB"/>
        </w:rPr>
        <w:t>ver the same period mining of metal ores increased by three and a half times and mining for sand, gravel and clay increased by nearly five times</w:t>
      </w:r>
      <w:r w:rsidR="7DDB2269" w:rsidRPr="5575EBFC">
        <w:rPr>
          <w:lang w:val="en-GB"/>
        </w:rPr>
        <w:t xml:space="preserve"> </w:t>
      </w:r>
      <w:r w:rsidR="00FD579B" w:rsidRPr="5575EBFC">
        <w:rPr>
          <w:lang w:val="en-GB"/>
        </w:rPr>
        <w:fldChar w:fldCharType="begin"/>
      </w:r>
      <w:r w:rsidR="00331A79">
        <w:rPr>
          <w:lang w:val="en-GB"/>
        </w:rPr>
        <w:instrText xml:space="preserve"> ADDIN ZOTERO_ITEM CSL_CITATION {"citationID":"ML934BA7","properties":{"formattedCitation":"(IRP, 2019)","plainCitation":"(IRP, 2019)","noteIndex":0},"citationItems":[{"id":32521,"uris":["http://zotero.org/groups/2352922/items/9ZCY2NLW"],"itemData":{"id":32521,"type":"report","event-place":"Nairobi, Kenya","publisher":"UNEP","publisher-place":"Nairobi, Kenya","title":"Global Resources Outlook 2019: Natural Resources for the Future We Want. Oberle, B., Bringezu, S., Hatfeld-Dodds, S., Hellweg, S., Schandl, H., Clement, J., and Cabernard, L., Che, N., Chen, D., Droz-Georget , H., Ekins, P., Fischer-Kowalski, M., Flörke, M., Frank, S., Froemelt , A., Geschke, A., Haupt , M., Havlik, P., Hüfner, R., Lenzen, M., Lieber, M., Liu, B., Lu, Y., Lutter, S., Mehr , J., Miatto, A., Newth, D., Oberschelp , C., Obersteiner, M., Pfster, S., Piccoli, E., Schaldach, R., Schüngel, J., Sonderegger, T., Sudheshwar, A., Tanikawa, H., van der Voet, E., Walker, C., West, J., Wang, Z., Zhu, B. A Report of the International Resource Panel","URL":"https://orbi.uliege.be/handle/2268/244276","author":[{"literal":"IRP"}],"issued":{"date-parts":[["2019"]]}}}],"schema":"https://github.com/citation-style-language/schema/raw/master/csl-citation.json"} </w:instrText>
      </w:r>
      <w:r w:rsidR="00FD579B" w:rsidRPr="5575EBFC">
        <w:rPr>
          <w:lang w:val="en-GB"/>
        </w:rPr>
        <w:fldChar w:fldCharType="separate"/>
      </w:r>
      <w:r w:rsidR="6B5F9B9E">
        <w:t>(IRP, 2019)</w:t>
      </w:r>
      <w:r w:rsidR="00FD579B" w:rsidRPr="5575EBFC">
        <w:rPr>
          <w:lang w:val="en-GB"/>
        </w:rPr>
        <w:fldChar w:fldCharType="end"/>
      </w:r>
      <w:r w:rsidRPr="5575EBFC">
        <w:rPr>
          <w:lang w:val="en-GB"/>
        </w:rPr>
        <w:t xml:space="preserve">. Approximately 60 billion tonnes of renewable and non-renewable resources are now extracted globally every year, having nearly doubled since 1980 </w:t>
      </w:r>
      <w:r w:rsidR="00FD579B" w:rsidRPr="5575EBFC">
        <w:rPr>
          <w:lang w:val="en-GB"/>
        </w:rPr>
        <w:fldChar w:fldCharType="begin"/>
      </w:r>
      <w:r w:rsidR="00F5121E">
        <w:rPr>
          <w:lang w:val="en-GB"/>
        </w:rPr>
        <w:instrText xml:space="preserve"> ADDIN ZOTERO_ITEM CSL_CITATION {"citationID":"hFboxZCD","properties":{"formattedCitation":"(IPBES, 2019)","plainCitation":"(IPBES, 2019)","noteIndex":0},"citationItems":[{"id":53933,"uris":["http://zotero.org/groups/2352922/items/JYFISR8Z","http://zotero.org/groups/2352922/items/ZACZGHZL"],"itemData":{"id":53933,"type":"report","abstract":"IPBES is to perform regular and timely assessments of knowledge on biodiversity and ecosystem services and their interlinkages at the global level. Also addressing an invitation by the Conference of the Parties of the Convention on Biological Diversity (CBD) to prepare a global assessment of biodiversity and ecosystem services building, inter alia, on its own and other relevant regional, subregional and thematic assessments, as well as on national reports. The overall scope of the assessment is to assess the status and trends with regard to biodiversity and ecosystem services, the impact of biodiversity and ecosystem services on human well-being and the effectiveness of responses, including the Strategic Plan and its Aichi Biodiversity Targets. It is anticipated that this deliverable will contribute to the process for the evaluation and renewal of the Strategic Plan for Biodiversity and its Aichi Biodiversity Targets. The IPBES Global Assessment on Biodiversity and Ecosystem Services is composed of 1) a Summary for Policymakers (SPM), approved by the IPBES Plenary at its 7th session in May 2019 in Paris, France (IPBES-7); and 2) a set of six Chapters, accepted by the IPBES Plenary.","language":"en","license":"Creative Commons Attribution 4.0 International, Open Access","note":"Version Number 1\nDOI: 10.5281/ZENODO.3831673","publisher":"Secretariat of the Intergovernmental Science-Policy Platform on Biodiversity and Ecosystem Services","source":"DOI.org (Datacite)","title":"Global assessment report on biodiversity and ecosystem services of the Intergovernmental Science-Policy Platform on Biodiversity and Ecosystem Services","URL":"https://zenodo.org/record/3831673","author":[{"literal":"IPBES"}],"contributor":[{"family":"Brondizio","given":"Eduardo"},{"family":"Diaz","given":"Sandra"},{"family":"Settele","given":"Josef"},{"family":"Ngo","given":"Hien T."}],"accessed":{"date-parts":[["2023",1,5]]},"issued":{"date-parts":[["2019"]]}}}],"schema":"https://github.com/citation-style-language/schema/raw/master/csl-citation.json"} </w:instrText>
      </w:r>
      <w:r w:rsidR="00FD579B" w:rsidRPr="5575EBFC">
        <w:rPr>
          <w:lang w:val="en-GB"/>
        </w:rPr>
        <w:fldChar w:fldCharType="separate"/>
      </w:r>
      <w:r w:rsidR="6B5F9B9E">
        <w:t>(IPBES, 2019)</w:t>
      </w:r>
      <w:r w:rsidR="00FD579B" w:rsidRPr="5575EBFC">
        <w:rPr>
          <w:lang w:val="en-GB"/>
        </w:rPr>
        <w:fldChar w:fldCharType="end"/>
      </w:r>
      <w:r w:rsidRPr="5575EBFC">
        <w:rPr>
          <w:lang w:val="en-GB"/>
        </w:rPr>
        <w:t>. Up to 400 million tonnes of heavy metals, solvents, toxic sludge and other industrial wastes are dumped annually into the world’s waters</w:t>
      </w:r>
      <w:r w:rsidR="4F993EE4" w:rsidRPr="5575EBFC">
        <w:rPr>
          <w:lang w:val="en-GB"/>
        </w:rPr>
        <w:t xml:space="preserve"> </w:t>
      </w:r>
      <w:r w:rsidR="00FD579B" w:rsidRPr="5575EBFC">
        <w:rPr>
          <w:lang w:val="en-GB"/>
        </w:rPr>
        <w:fldChar w:fldCharType="begin"/>
      </w:r>
      <w:r w:rsidR="00331A79">
        <w:rPr>
          <w:lang w:val="en-GB"/>
        </w:rPr>
        <w:instrText xml:space="preserve"> ADDIN ZOTERO_ITEM CSL_CITATION {"citationID":"y5bV8krv","properties":{"formattedCitation":"(UNEP, 2019, p. 2019)","plainCitation":"(UNEP, 2019, p. 2019)","dontUpdate":true,"noteIndex":0},"citationItems":[{"id":32522,"uris":["http://zotero.org/groups/2352922/items/2C9FZ8BL"],"itemData":{"id":32522,"type":"book","event-place":"Nairobi, Kenya","ISBN":"1-108-63921-6","publisher":"Cambridge University Press","publisher-place":"Nairobi, Kenya","title":"Global Environment Outlook-GEO-6: Healthy Planet, Healthy People.","URL":"https://doi.org/10.1017/9781108627146","author":[{"literal":"UNEP"}],"issued":{"date-parts":[["2019"]]}},"locator":"2019"}],"schema":"https://github.com/citation-style-language/schema/raw/master/csl-citation.json"} </w:instrText>
      </w:r>
      <w:r w:rsidR="00FD579B" w:rsidRPr="5575EBFC">
        <w:rPr>
          <w:lang w:val="en-GB"/>
        </w:rPr>
        <w:fldChar w:fldCharType="separate"/>
      </w:r>
      <w:r w:rsidR="4F993EE4" w:rsidRPr="5575EBFC">
        <w:rPr>
          <w:lang w:val="en-GB"/>
        </w:rPr>
        <w:t>(UNEP, 2019</w:t>
      </w:r>
      <w:r w:rsidR="0048460C">
        <w:rPr>
          <w:lang w:val="en-GB"/>
        </w:rPr>
        <w:t>;</w:t>
      </w:r>
      <w:r w:rsidR="4F993EE4" w:rsidRPr="5575EBFC">
        <w:rPr>
          <w:lang w:val="en-GB"/>
        </w:rPr>
        <w:t xml:space="preserve"> IPBES 2019)</w:t>
      </w:r>
      <w:r w:rsidR="00FD579B" w:rsidRPr="5575EBFC">
        <w:rPr>
          <w:lang w:val="en-GB"/>
        </w:rPr>
        <w:fldChar w:fldCharType="end"/>
      </w:r>
      <w:r w:rsidRPr="5575EBFC">
        <w:rPr>
          <w:lang w:val="en-GB"/>
        </w:rPr>
        <w:t xml:space="preserve">. Nitrogen fluxes to aquatic ecosystems </w:t>
      </w:r>
      <w:r w:rsidR="027D3370" w:rsidRPr="5575EBFC">
        <w:rPr>
          <w:lang w:val="en-GB" w:eastAsia="en-NZ"/>
        </w:rPr>
        <w:t>(</w:t>
      </w:r>
      <w:r w:rsidR="00E23B69">
        <w:rPr>
          <w:b/>
          <w:bCs/>
          <w:lang w:val="en-GB" w:eastAsia="en-NZ"/>
        </w:rPr>
        <w:t>Glossary</w:t>
      </w:r>
      <w:r w:rsidR="027D3370" w:rsidRPr="5575EBFC">
        <w:rPr>
          <w:lang w:val="en-GB" w:eastAsia="en-NZ"/>
        </w:rPr>
        <w:t xml:space="preserve">) </w:t>
      </w:r>
      <w:r w:rsidRPr="5575EBFC">
        <w:rPr>
          <w:lang w:val="en-GB"/>
        </w:rPr>
        <w:t xml:space="preserve">have increased up to 20-fold in the last decade </w:t>
      </w:r>
      <w:r w:rsidR="00FD579B" w:rsidRPr="5575EBFC">
        <w:rPr>
          <w:lang w:val="en-GB"/>
        </w:rPr>
        <w:fldChar w:fldCharType="begin"/>
      </w:r>
      <w:r w:rsidR="00F5121E">
        <w:rPr>
          <w:lang w:val="en-GB"/>
        </w:rPr>
        <w:instrText xml:space="preserve"> ADDIN ZOTERO_ITEM CSL_CITATION {"citationID":"C2lAOWEK","properties":{"formattedCitation":"(IPBES, 2019)","plainCitation":"(IPBES, 2019)","noteIndex":0},"citationItems":[{"id":53933,"uris":["http://zotero.org/groups/2352922/items/JYFISR8Z","http://zotero.org/groups/2352922/items/ZACZGHZL"],"itemData":{"id":53933,"type":"report","abstract":"IPBES is to perform regular and timely assessments of knowledge on biodiversity and ecosystem services and their interlinkages at the global level. Also addressing an invitation by the Conference of the Parties of the Convention on Biological Diversity (CBD) to prepare a global assessment of biodiversity and ecosystem services building, inter alia, on its own and other relevant regional, subregional and thematic assessments, as well as on national reports. The overall scope of the assessment is to assess the status and trends with regard to biodiversity and ecosystem services, the impact of biodiversity and ecosystem services on human well-being and the effectiveness of responses, including the Strategic Plan and its Aichi Biodiversity Targets. It is anticipated that this deliverable will contribute to the process for the evaluation and renewal of the Strategic Plan for Biodiversity and its Aichi Biodiversity Targets. The IPBES Global Assessment on Biodiversity and Ecosystem Services is composed of 1) a Summary for Policymakers (SPM), approved by the IPBES Plenary at its 7th session in May 2019 in Paris, France (IPBES-7); and 2) a set of six Chapters, accepted by the IPBES Plenary.","language":"en","license":"Creative Commons Attribution 4.0 International, Open Access","note":"Version Number 1\nDOI: 10.5281/ZENODO.3831673","publisher":"Secretariat of the Intergovernmental Science-Policy Platform on Biodiversity and Ecosystem Services","source":"DOI.org (Datacite)","title":"Global assessment report on biodiversity and ecosystem services of the Intergovernmental Science-Policy Platform on Biodiversity and Ecosystem Services","URL":"https://zenodo.org/record/3831673","author":[{"literal":"IPBES"}],"contributor":[{"family":"Brondizio","given":"Eduardo"},{"family":"Diaz","given":"Sandra"},{"family":"Settele","given":"Josef"},{"family":"Ngo","given":"Hien T."}],"accessed":{"date-parts":[["2023",1,5]]},"issued":{"date-parts":[["2019"]]}}}],"schema":"https://github.com/citation-style-language/schema/raw/master/csl-citation.json"} </w:instrText>
      </w:r>
      <w:r w:rsidR="00FD579B" w:rsidRPr="5575EBFC">
        <w:rPr>
          <w:lang w:val="en-GB"/>
        </w:rPr>
        <w:fldChar w:fldCharType="separate"/>
      </w:r>
      <w:r w:rsidR="6B5F9B9E">
        <w:t>(IPBES, 2019)</w:t>
      </w:r>
      <w:r w:rsidR="00FD579B" w:rsidRPr="5575EBFC">
        <w:rPr>
          <w:lang w:val="en-GB"/>
        </w:rPr>
        <w:fldChar w:fldCharType="end"/>
      </w:r>
      <w:r w:rsidRPr="5575EBFC">
        <w:rPr>
          <w:lang w:val="en-GB"/>
        </w:rPr>
        <w:t xml:space="preserve">. Marine plastic pollution has increased tenfold since 1980, and is found in all oceans at all depths, concentrating in ocean currents </w:t>
      </w:r>
      <w:r w:rsidR="00FD579B" w:rsidRPr="5575EBFC">
        <w:rPr>
          <w:lang w:val="en-GB"/>
        </w:rPr>
        <w:fldChar w:fldCharType="begin"/>
      </w:r>
      <w:r w:rsidR="00331A79">
        <w:rPr>
          <w:lang w:val="en-GB"/>
        </w:rPr>
        <w:instrText xml:space="preserve"> ADDIN ZOTERO_ITEM CSL_CITATION {"citationID":"ZXb65IYv","properties":{"formattedCitation":"(UNEP, 2019, p. 2019)","plainCitation":"(UNEP, 2019, p. 2019)","dontUpdate":true,"noteIndex":0},"citationItems":[{"id":32522,"uris":["http://zotero.org/groups/2352922/items/2C9FZ8BL"],"itemData":{"id":32522,"type":"book","event-place":"Nairobi, Kenya","ISBN":"1-108-63921-6","publisher":"Cambridge University Press","publisher-place":"Nairobi, Kenya","title":"Global Environment Outlook-GEO-6: Healthy Planet, Healthy People.","URL":"https://doi.org/10.1017/9781108627146","author":[{"literal":"UNEP"}],"issued":{"date-parts":[["2019"]]}},"locator":"2019"}],"schema":"https://github.com/citation-style-language/schema/raw/master/csl-citation.json"} </w:instrText>
      </w:r>
      <w:r w:rsidR="00FD579B" w:rsidRPr="5575EBFC">
        <w:rPr>
          <w:lang w:val="en-GB"/>
        </w:rPr>
        <w:fldChar w:fldCharType="separate"/>
      </w:r>
      <w:r w:rsidRPr="5575EBFC">
        <w:rPr>
          <w:lang w:val="en-GB"/>
        </w:rPr>
        <w:t>(UNEP, 2019)</w:t>
      </w:r>
      <w:r w:rsidR="00FD579B" w:rsidRPr="5575EBFC">
        <w:rPr>
          <w:lang w:val="en-GB"/>
        </w:rPr>
        <w:fldChar w:fldCharType="end"/>
      </w:r>
      <w:r w:rsidRPr="5575EBFC">
        <w:rPr>
          <w:lang w:val="en-GB"/>
        </w:rPr>
        <w:t>.</w:t>
      </w:r>
      <w:r w:rsidR="035CA812" w:rsidRPr="5575EBFC">
        <w:rPr>
          <w:lang w:val="en-GB"/>
        </w:rPr>
        <w:t xml:space="preserve"> </w:t>
      </w:r>
    </w:p>
    <w:p w14:paraId="00820453" w14:textId="56BA902F" w:rsidR="00FD579B" w:rsidRPr="00DA249F" w:rsidRDefault="6974FAA7" w:rsidP="00FD579B">
      <w:pPr>
        <w:rPr>
          <w:lang w:val="en-GB"/>
        </w:rPr>
      </w:pPr>
      <w:r w:rsidRPr="5575EBFC">
        <w:rPr>
          <w:lang w:val="en-GB"/>
        </w:rPr>
        <w:t>A</w:t>
      </w:r>
      <w:r w:rsidR="5AAD4267" w:rsidRPr="5575EBFC">
        <w:rPr>
          <w:lang w:val="en-GB"/>
        </w:rPr>
        <w:t xml:space="preserve">ccelerating </w:t>
      </w:r>
      <w:r w:rsidR="6C92C174" w:rsidRPr="5575EBFC">
        <w:rPr>
          <w:lang w:val="en-GB"/>
        </w:rPr>
        <w:t>human</w:t>
      </w:r>
      <w:r w:rsidR="5AAD4267" w:rsidRPr="5575EBFC">
        <w:rPr>
          <w:lang w:val="en-GB"/>
        </w:rPr>
        <w:t xml:space="preserve"> </w:t>
      </w:r>
      <w:r w:rsidR="20974C0E" w:rsidRPr="5575EBFC">
        <w:rPr>
          <w:lang w:val="en-GB"/>
        </w:rPr>
        <w:t xml:space="preserve">impacts </w:t>
      </w:r>
      <w:r w:rsidR="5AAD4267" w:rsidRPr="5575EBFC">
        <w:rPr>
          <w:lang w:val="en-GB"/>
        </w:rPr>
        <w:t>are changing the Earth</w:t>
      </w:r>
      <w:r w:rsidR="5E48DB75" w:rsidRPr="5575EBFC">
        <w:rPr>
          <w:lang w:val="en-GB"/>
        </w:rPr>
        <w:t>’</w:t>
      </w:r>
      <w:r w:rsidR="5AAD4267" w:rsidRPr="5575EBFC">
        <w:rPr>
          <w:lang w:val="en-GB"/>
        </w:rPr>
        <w:t>s ecosystems and climate at unprecedented rates</w:t>
      </w:r>
      <w:r w:rsidR="1DF566EB" w:rsidRPr="5575EBFC">
        <w:rPr>
          <w:lang w:val="en-GB"/>
        </w:rPr>
        <w:t xml:space="preserve">, </w:t>
      </w:r>
      <w:r w:rsidRPr="5575EBFC">
        <w:rPr>
          <w:lang w:val="en-GB"/>
        </w:rPr>
        <w:t>to the extent that they</w:t>
      </w:r>
      <w:r w:rsidR="1DF566EB" w:rsidRPr="5575EBFC">
        <w:rPr>
          <w:lang w:val="en-GB"/>
        </w:rPr>
        <w:t xml:space="preserve"> are now dominating Earth system processes</w:t>
      </w:r>
      <w:r w:rsidR="5AAD4267" w:rsidRPr="5575EBFC">
        <w:rPr>
          <w:lang w:val="en-GB"/>
        </w:rPr>
        <w:t xml:space="preserve"> </w:t>
      </w:r>
      <w:r w:rsidR="2E9FCF01" w:rsidRPr="5575EBFC">
        <w:rPr>
          <w:lang w:val="en-GB"/>
        </w:rPr>
        <w:fldChar w:fldCharType="begin"/>
      </w:r>
      <w:r w:rsidR="00F5121E">
        <w:rPr>
          <w:lang w:val="en-GB"/>
        </w:rPr>
        <w:instrText xml:space="preserve"> ADDIN ZOTERO_ITEM CSL_CITATION {"citationID":"3r2Szpfp","properties":{"formattedCitation":"(IPBES, 2019)","plainCitation":"(IPBES, 2019)","noteIndex":0},"citationItems":[{"id":53933,"uris":["http://zotero.org/groups/2352922/items/JYFISR8Z","http://zotero.org/groups/2352922/items/ZACZGHZL"],"itemData":{"id":53933,"type":"report","abstract":"IPBES is to perform regular and timely assessments of knowledge on biodiversity and ecosystem services and their interlinkages at the global level. Also addressing an invitation by the Conference of the Parties of the Convention on Biological Diversity (CBD) to prepare a global assessment of biodiversity and ecosystem services building, inter alia, on its own and other relevant regional, subregional and thematic assessments, as well as on national reports. The overall scope of the assessment is to assess the status and trends with regard to biodiversity and ecosystem services, the impact of biodiversity and ecosystem services on human well-being and the effectiveness of responses, including the Strategic Plan and its Aichi Biodiversity Targets. It is anticipated that this deliverable will contribute to the process for the evaluation and renewal of the Strategic Plan for Biodiversity and its Aichi Biodiversity Targets. The IPBES Global Assessment on Biodiversity and Ecosystem Services is composed of 1) a Summary for Policymakers (SPM), approved by the IPBES Plenary at its 7th session in May 2019 in Paris, France (IPBES-7); and 2) a set of six Chapters, accepted by the IPBES Plenary.","language":"en","license":"Creative Commons Attribution 4.0 International, Open Access","note":"Version Number 1\nDOI: 10.5281/ZENODO.3831673","publisher":"Secretariat of the Intergovernmental Science-Policy Platform on Biodiversity and Ecosystem Services","source":"DOI.org (Datacite)","title":"Global assessment report on biodiversity and ecosystem services of the Intergovernmental Science-Policy Platform on Biodiversity and Ecosystem Services","URL":"https://zenodo.org/record/3831673","author":[{"literal":"IPBES"}],"contributor":[{"family":"Brondizio","given":"Eduardo"},{"family":"Diaz","given":"Sandra"},{"family":"Settele","given":"Josef"},{"family":"Ngo","given":"Hien T."}],"accessed":{"date-parts":[["2023",1,5]]},"issued":{"date-parts":[["2019"]]}}}],"schema":"https://github.com/citation-style-language/schema/raw/master/csl-citation.json"} </w:instrText>
      </w:r>
      <w:r w:rsidR="2E9FCF01" w:rsidRPr="5575EBFC">
        <w:rPr>
          <w:lang w:val="en-GB"/>
        </w:rPr>
        <w:fldChar w:fldCharType="separate"/>
      </w:r>
      <w:r w:rsidR="6B5F9B9E">
        <w:t>(IPBES, 2019)</w:t>
      </w:r>
      <w:r w:rsidR="2E9FCF01" w:rsidRPr="5575EBFC">
        <w:rPr>
          <w:lang w:val="en-GB"/>
        </w:rPr>
        <w:fldChar w:fldCharType="end"/>
      </w:r>
      <w:r w:rsidR="5AAD4267" w:rsidRPr="5575EBFC">
        <w:rPr>
          <w:lang w:val="en-GB"/>
        </w:rPr>
        <w:t xml:space="preserve">. </w:t>
      </w:r>
      <w:r w:rsidR="358E66B1" w:rsidRPr="5575EBFC">
        <w:rPr>
          <w:lang w:val="en-GB"/>
        </w:rPr>
        <w:t>C</w:t>
      </w:r>
      <w:r w:rsidR="5AAD4267" w:rsidRPr="5575EBFC">
        <w:rPr>
          <w:lang w:val="en-GB"/>
        </w:rPr>
        <w:t>limate has warmed by 1.1</w:t>
      </w:r>
      <w:r w:rsidR="5AAD4267" w:rsidRPr="5575EBFC">
        <w:rPr>
          <w:rFonts w:ascii="Segoe UI" w:hAnsi="Segoe UI" w:cs="Segoe UI"/>
          <w:color w:val="000000" w:themeColor="text1"/>
          <w:sz w:val="21"/>
          <w:szCs w:val="21"/>
          <w:lang w:val="en-GB" w:eastAsia="zh-CN"/>
        </w:rPr>
        <w:t>°</w:t>
      </w:r>
      <w:r w:rsidR="5AAD4267" w:rsidRPr="5575EBFC">
        <w:rPr>
          <w:lang w:val="en-GB"/>
        </w:rPr>
        <w:t>C</w:t>
      </w:r>
      <w:r w:rsidR="358E66B1" w:rsidRPr="5575EBFC">
        <w:rPr>
          <w:lang w:val="en-GB"/>
        </w:rPr>
        <w:t xml:space="preserve"> on average</w:t>
      </w:r>
      <w:r w:rsidR="5AAD4267" w:rsidRPr="5575EBFC">
        <w:rPr>
          <w:lang w:val="en-GB"/>
        </w:rPr>
        <w:t>, and is projected to reach at least 1.5</w:t>
      </w:r>
      <w:r w:rsidR="5AAD4267" w:rsidRPr="5575EBFC">
        <w:rPr>
          <w:rFonts w:ascii="Segoe UI" w:hAnsi="Segoe UI" w:cs="Segoe UI"/>
          <w:color w:val="000000" w:themeColor="text1"/>
          <w:sz w:val="21"/>
          <w:szCs w:val="21"/>
          <w:lang w:val="en-GB" w:eastAsia="zh-CN"/>
        </w:rPr>
        <w:t>°</w:t>
      </w:r>
      <w:r w:rsidR="5AAD4267" w:rsidRPr="5575EBFC">
        <w:rPr>
          <w:lang w:val="en-GB"/>
        </w:rPr>
        <w:t xml:space="preserve">C within the next three decades, </w:t>
      </w:r>
      <w:r w:rsidR="27DCD1C4" w:rsidRPr="5575EBFC">
        <w:rPr>
          <w:lang w:val="en-GB"/>
        </w:rPr>
        <w:t xml:space="preserve">and climate change is </w:t>
      </w:r>
      <w:r w:rsidR="5AAD4267" w:rsidRPr="5575EBFC">
        <w:rPr>
          <w:lang w:val="en-GB"/>
        </w:rPr>
        <w:t xml:space="preserve">contributing to changed precipitation patterns, sea level rise, increasing fire risk </w:t>
      </w:r>
      <w:r w:rsidR="00E8038A" w:rsidRPr="5575EBFC">
        <w:rPr>
          <w:lang w:val="en-GB" w:eastAsia="en-NZ"/>
        </w:rPr>
        <w:t>(</w:t>
      </w:r>
      <w:r w:rsidR="00E23B69">
        <w:rPr>
          <w:b/>
          <w:bCs/>
          <w:lang w:val="en-GB" w:eastAsia="en-NZ"/>
        </w:rPr>
        <w:t>Glossary</w:t>
      </w:r>
      <w:r w:rsidR="00E8038A" w:rsidRPr="5575EBFC">
        <w:rPr>
          <w:lang w:val="en-GB" w:eastAsia="en-NZ"/>
        </w:rPr>
        <w:t xml:space="preserve">) </w:t>
      </w:r>
      <w:r w:rsidR="5AAD4267" w:rsidRPr="5575EBFC">
        <w:rPr>
          <w:lang w:val="en-GB"/>
        </w:rPr>
        <w:t xml:space="preserve">and a higher frequency of extreme events in many regions </w:t>
      </w:r>
      <w:r w:rsidR="2E9FCF01" w:rsidRPr="5575EBFC">
        <w:rPr>
          <w:lang w:val="en-GB"/>
        </w:rPr>
        <w:fldChar w:fldCharType="begin"/>
      </w:r>
      <w:r w:rsidR="00331A79">
        <w:rPr>
          <w:lang w:val="en-GB"/>
        </w:rPr>
        <w:instrText xml:space="preserve"> ADDIN ZOTERO_ITEM CSL_CITATION {"citationID":"ImuWNGVA","properties":{"formattedCitation":"(IPCC, 2021, 2022)","plainCitation":"(IPCC, 2021, 2022)","noteIndex":0},"citationItems":[{"id":29622,"uris":["http://zotero.org/groups/2352922/items/EHM5HDB3"],"itemData":{"id":29622,"type":"article-journal","container-title":"Cambridge University Press","DOI":"10.1017/9781009157896","title":"Climate Change 2021: The Physical Science Basis. Contribution of Working Group I to the Sixth Assessment Report of the Intergovernmental Panel on Climate Change","author":[{"literal":"IPCC"}],"contributor":[{"family":"Masson-Delmotte","given":"V."},{"family":"Zhai","given":"P."},{"family":"Pirani","given":"A."},{"family":"Connors","given":"S. L."},{"family":"Péan","given":"C."},{"family":"Berger","given":"S."},{"family":"Caud","given":"N."},{"family":"Chen","given":"Y."},{"family":"Goldfarb","given":"L."},{"family":"Gomis","given":"M. I."},{"family":"Huang","given":"M."},{"family":"Leitzell","given":"K."},{"family":"Lonnoy","given":"E."},{"family":"Matthews","given":"J. B. R."},{"family":"Maycock","given":"T. K."},{"family":"Waterfield","given":"T."},{"family":"Yelekçi","given":"O."},{"family":"Yu","given":"R."},{"family":"Zhou","given":"B."}],"issued":{"date-parts":[["2021"]]}}},{"id":53775,"uris":["http://zotero.org/groups/2352922/items/L77A55BA"],"itemData":{"id":53775,"type":"report","event-place":"Cambridge University Press, Cambridge, UK and New York, NY, USA","genre":"Contribution of Working Group II to the Sixth Assessment Report of the Intergovernmental Panel on Climate Change","page":"3056","publisher":"Cambridge University Press","publisher-place":"Cambridge University Press, Cambridge, UK and New York, NY, USA","title":"Climate Change 2022: Impacts, Adaptation and Vulnerability","URL":"10.1017/9781009325844","author":[{"literal":"IPCC"}],"collection-editor":[{"family":"Pörtner","given":"H.-O."},{"family":"Roberts","given":"D.C."},{"family":"Tignor","given":"M."},{"family":"Poloczanska","given":"E.S."},{"family":"Mintenbeck","given":"K."},{"family":"Alegría","given":"A."},{"family":"Craig","given":"M."},{"family":"Langsdorf","given":"S."},{"family":"Löschke","given":"S."},{"family":"Möller","given":"V."},{"family":"Okem","given":"A."},{"family":"Rama","given":"B."}],"issued":{"date-parts":[["2022"]]}}}],"schema":"https://github.com/citation-style-language/schema/raw/master/csl-citation.json"} </w:instrText>
      </w:r>
      <w:r w:rsidR="2E9FCF01" w:rsidRPr="5575EBFC">
        <w:rPr>
          <w:lang w:val="en-GB"/>
        </w:rPr>
        <w:fldChar w:fldCharType="separate"/>
      </w:r>
      <w:r w:rsidR="6B5F9B9E">
        <w:t>(IPCC, 2021, 2022)</w:t>
      </w:r>
      <w:r w:rsidR="2E9FCF01" w:rsidRPr="5575EBFC">
        <w:rPr>
          <w:lang w:val="en-GB"/>
        </w:rPr>
        <w:fldChar w:fldCharType="end"/>
      </w:r>
      <w:r w:rsidR="5AAD4267" w:rsidRPr="5575EBFC">
        <w:rPr>
          <w:lang w:val="en-GB"/>
        </w:rPr>
        <w:t>. Ecosystems are degrading at unprecedented rate</w:t>
      </w:r>
      <w:r w:rsidR="358E66B1" w:rsidRPr="5575EBFC">
        <w:rPr>
          <w:lang w:val="en-GB"/>
        </w:rPr>
        <w:t>s</w:t>
      </w:r>
      <w:r w:rsidR="5AAD4267" w:rsidRPr="5575EBFC">
        <w:rPr>
          <w:lang w:val="en-GB"/>
        </w:rPr>
        <w:t xml:space="preserve">, with climate change exacerbating other threats </w:t>
      </w:r>
      <w:r w:rsidR="2E9FCF01" w:rsidRPr="5575EBFC">
        <w:rPr>
          <w:lang w:val="en-GB"/>
        </w:rPr>
        <w:fldChar w:fldCharType="begin"/>
      </w:r>
      <w:r w:rsidR="00331A79">
        <w:rPr>
          <w:lang w:val="en-GB"/>
        </w:rPr>
        <w:instrText xml:space="preserve"> ADDIN ZOTERO_ITEM CSL_CITATION {"citationID":"ipsEQKQ8","properties":{"formattedCitation":"(P\\uc0\\u246{}rtner et al., 2021)","plainCitation":"(Pörtner et al., 2021)","dontUpdate":true,"noteIndex":0},"citationItems":[{"id":56565,"uris":["http://zotero.org/groups/2352922/items/52G2MV7S","http://zotero.org/groups/2352922/items/INY676BR"],"itemData":{"id":56565,"type":"report","abstract":"This report presents the main conclusions of the first-ever IPCC-IPBES co-sponsored workshop which took place in December 2020. The workshop explored diverse facets of the interaction between climate and biodiversity, from current trends to the role and implementation of nature-based solutions and the sustainable development of human society. This report is underpinned by the Scientific Outcome, which includes seven sections, the complete references and the report glossary. You can find the Scientific Outcome here https://doi.org/10.5281/zenodo.4659158","language":"en","license":"Creative Commons Attribution 4.0 International, Open Access","note":"version: 2\nDOI: 10.5281/ZENODO.4782538","publisher":"Zenodo","source":"DOI.org (Datacite)","title":"IPBES-IPCC co-sponsored workshop report on biodiversity and climate change","URL":"https://zenodo.org/record/4782538","author":[{"family":"Pörtner","given":"Hans-Otto"},{"family":"Scholes","given":"Robert J"},{"family":"Agard","given":"John"},{"family":"Archer","given":"Emma"},{"family":"Bai","given":"Xuemei"},{"family":"Barnes","given":"David"},{"family":"Burrows","given":"Michael"},{"family":"Chan","given":"Lena"},{"family":"Cheung","given":"Wai Lung (William)"},{"family":"Diamond","given":"Sarah"},{"family":"Donatti","given":"Camila"},{"family":"Duarte","given":"Carlos"},{"family":"Eisenhauer","given":"Nico"},{"family":"Foden","given":"Wendy"},{"family":"Gasalla","given":"Maria A"},{"family":"Handa","given":"Collins"},{"family":"Hickler","given":"Thomas"},{"family":"Hoegh-Guldberg","given":"Ove"},{"family":"Ichii","given":"Kazuhito"},{"family":"Jacob","given":"Ute"},{"family":"Insarov","given":"Gregory"},{"family":"Kiessling","given":"Wolfgang"},{"family":"Leadley","given":"Paul"},{"family":"Leemans","given":"Rik"},{"family":"Levin","given":"Lisa"},{"family":"Lim","given":"Michelle"},{"family":"Maharaj","given":"Shobha"},{"family":"Managi","given":"Shunsuke"},{"family":"Marquet","given":"Pablo A"},{"family":"McElwee","given":"Pamela"},{"family":"Midgley","given":"Guy"},{"family":"Oberdorff","given":"Thierry"},{"family":"Obura","given":"David"},{"family":"Osman Elasha","given":"Balgi","dropping-particle":"s"},{"family":"Pandit","given":"Ram"},{"family":"Pascual","given":"Unai"},{"family":"Pires","given":"Aliny P F"},{"family":"Popp","given":"Alexander"},{"family":"Reyes-García","given":"Victoria"},{"family":"Sankaran,","given":"Mahesh"},{"family":"Settele","given":"Josef"},{"family":"Shin","given":"Yunne-Jai"},{"family":"Sintayehu","given":"Dejene W"},{"family":"Smith","given":"Peter"},{"family":"Steiner","given":"Nadja"},{"family":"Strassburg","given":"Bernardo"},{"family":"Sukumar","given":"Raman"},{"family":"Trisos","given":"Christopher"},{"family":"Val","given":"Adalberto Luis"},{"family":"Wu","given":"Jianguo"},{"family":"Aldrian","given":"Edvin"},{"family":"Parmesan","given":"Camille"},{"family":"Pichs-Madruga","given":"Ramon"},{"family":"Roberts","given":"Debra C"},{"family":"Rogers","given":"Alex D"},{"family":"Díaz","given":"Sandra"},{"family":"Fischer","given":"Markus"},{"family":"Hashimoto","given":"Shizuka"},{"family":"Lavorel","given":"Sandra"},{"family":"Wu","given":"Ning"},{"family":"Ngo","given":"Hien"}],"accessed":{"date-parts":[["2023",6,8]]},"issued":{"date-parts":[["2021",6,24]]}},"label":"page"}],"schema":"https://github.com/citation-style-language/schema/raw/master/csl-citation.json"} </w:instrText>
      </w:r>
      <w:r w:rsidR="2E9FCF01" w:rsidRPr="5575EBFC">
        <w:rPr>
          <w:lang w:val="en-GB"/>
        </w:rPr>
        <w:fldChar w:fldCharType="separate"/>
      </w:r>
      <w:r w:rsidR="6C319141" w:rsidRPr="5575EBFC">
        <w:rPr>
          <w:lang w:val="en-GB"/>
        </w:rPr>
        <w:t>(Pörtner et al., 2021</w:t>
      </w:r>
      <w:r w:rsidR="2E9FCF01" w:rsidRPr="5575EBFC">
        <w:rPr>
          <w:lang w:val="en-GB"/>
        </w:rPr>
        <w:fldChar w:fldCharType="end"/>
      </w:r>
      <w:r w:rsidR="6C319141" w:rsidRPr="5575EBFC">
        <w:rPr>
          <w:lang w:val="en-GB"/>
        </w:rPr>
        <w:t xml:space="preserve">; </w:t>
      </w:r>
      <w:r w:rsidR="2A0E84D3" w:rsidRPr="5575EBFC">
        <w:rPr>
          <w:b/>
          <w:bCs/>
          <w:lang w:val="en-GB"/>
        </w:rPr>
        <w:t>C</w:t>
      </w:r>
      <w:r w:rsidR="6C319141" w:rsidRPr="5575EBFC">
        <w:rPr>
          <w:b/>
          <w:bCs/>
          <w:lang w:val="en-GB"/>
        </w:rPr>
        <w:t>hapter 4</w:t>
      </w:r>
      <w:r w:rsidR="6C319141" w:rsidRPr="5575EBFC">
        <w:rPr>
          <w:lang w:val="en-GB"/>
        </w:rPr>
        <w:t>,</w:t>
      </w:r>
      <w:r w:rsidR="6C319141" w:rsidRPr="5575EBFC">
        <w:rPr>
          <w:b/>
          <w:bCs/>
          <w:lang w:val="en-GB"/>
        </w:rPr>
        <w:t xml:space="preserve"> </w:t>
      </w:r>
      <w:r w:rsidR="00E23B69">
        <w:rPr>
          <w:b/>
          <w:bCs/>
          <w:lang w:val="en-GB"/>
        </w:rPr>
        <w:t>Box</w:t>
      </w:r>
      <w:r w:rsidR="364FBC63" w:rsidRPr="5575EBFC">
        <w:rPr>
          <w:b/>
          <w:bCs/>
          <w:lang w:val="en-GB"/>
        </w:rPr>
        <w:t xml:space="preserve"> </w:t>
      </w:r>
      <w:r w:rsidR="6C319141" w:rsidRPr="5575EBFC">
        <w:rPr>
          <w:b/>
          <w:bCs/>
          <w:lang w:val="en-GB"/>
        </w:rPr>
        <w:t>4.5</w:t>
      </w:r>
      <w:r w:rsidR="6C319141" w:rsidRPr="5575EBFC">
        <w:rPr>
          <w:lang w:val="en-GB"/>
        </w:rPr>
        <w:t>).</w:t>
      </w:r>
      <w:r w:rsidR="56596397" w:rsidRPr="5575EBFC">
        <w:rPr>
          <w:lang w:val="en-GB"/>
        </w:rPr>
        <w:t xml:space="preserve"> </w:t>
      </w:r>
      <w:r w:rsidR="5AAD4267" w:rsidRPr="5575EBFC">
        <w:rPr>
          <w:lang w:val="en-GB"/>
        </w:rPr>
        <w:t xml:space="preserve">This degradation of biodiversity and ecosystems is impacting </w:t>
      </w:r>
      <w:r w:rsidR="1CCF70B6" w:rsidRPr="5575EBFC">
        <w:rPr>
          <w:lang w:val="en-GB"/>
        </w:rPr>
        <w:t>ecosystem</w:t>
      </w:r>
      <w:r w:rsidR="5AAD4267" w:rsidRPr="5575EBFC">
        <w:rPr>
          <w:lang w:val="en-GB"/>
        </w:rPr>
        <w:t xml:space="preserve"> function</w:t>
      </w:r>
      <w:r w:rsidR="1CCF70B6" w:rsidRPr="5575EBFC">
        <w:rPr>
          <w:lang w:val="en-GB"/>
        </w:rPr>
        <w:t>ing</w:t>
      </w:r>
      <w:r w:rsidR="5AAD4267" w:rsidRPr="5575EBFC">
        <w:rPr>
          <w:lang w:val="en-GB"/>
        </w:rPr>
        <w:t xml:space="preserve"> and harming nature’s ability to support human well-being</w:t>
      </w:r>
      <w:r w:rsidR="4EFF4B41" w:rsidRPr="5575EBFC">
        <w:rPr>
          <w:lang w:val="en-GB"/>
        </w:rPr>
        <w:t xml:space="preserve"> </w:t>
      </w:r>
      <w:r w:rsidR="2E9FCF01" w:rsidRPr="5575EBFC">
        <w:rPr>
          <w:lang w:val="en-GB"/>
        </w:rPr>
        <w:fldChar w:fldCharType="begin"/>
      </w:r>
      <w:r w:rsidR="00F5121E">
        <w:rPr>
          <w:lang w:val="en-GB"/>
        </w:rPr>
        <w:instrText xml:space="preserve"> ADDIN ZOTERO_ITEM CSL_CITATION {"citationID":"P8R5zM5D","properties":{"formattedCitation":"(IPBES, 2019, 2022c; IPCC, 2022)","plainCitation":"(IPBES, 2019, 2022c; IPCC, 2022)","noteIndex":0},"citationItems":[{"id":53933,"uris":["http://zotero.org/groups/2352922/items/JYFISR8Z","http://zotero.org/groups/2352922/items/ZACZGHZL"],"itemData":{"id":53933,"type":"report","abstract":"IPBES is to perform regular and timely assessments of knowledge on biodiversity and ecosystem services and their interlinkages at the global level. Also addressing an invitation by the Conference of the Parties of the Convention on Biological Diversity (CBD) to prepare a global assessment of biodiversity and ecosystem services building, inter alia, on its own and other relevant regional, subregional and thematic assessments, as well as on national reports. The overall scope of the assessment is to assess the status and trends with regard to biodiversity and ecosystem services, the impact of biodiversity and ecosystem services on human well-being and the effectiveness of responses, including the Strategic Plan and its Aichi Biodiversity Targets. It is anticipated that this deliverable will contribute to the process for the evaluation and renewal of the Strategic Plan for Biodiversity and its Aichi Biodiversity Targets. The IPBES Global Assessment on Biodiversity and Ecosystem Services is composed of 1) a Summary for Policymakers (SPM), approved by the IPBES Plenary at its 7th session in May 2019 in Paris, France (IPBES-7); and 2) a set of six Chapters, accepted by the IPBES Plenary.","language":"en","license":"Creative Commons Attribution 4.0 International, Open Access","note":"Version Number 1\nDOI: 10.5281/ZENODO.3831673","publisher":"Secretariat of the Intergovernmental Science-Policy Platform on Biodiversity and Ecosystem Services","source":"DOI.org (Datacite)","title":"Global assessment report on biodiversity and ecosystem services of the Intergovernmental Science-Policy Platform on Biodiversity and Ecosystem Services","URL":"https://zenodo.org/record/3831673","author":[{"literal":"IPBES"}],"contributor":[{"family":"Brondizio","given":"Eduardo"},{"family":"Diaz","given":"Sandra"},{"family":"Settele","given":"Josef"},{"family":"Ngo","given":"Hien T."}],"accessed":{"date-parts":[["2023",1,5]]},"issued":{"date-parts":[["2019"]]}},"label":"page"},{"id":56440,"uris":["http://zotero.org/groups/2352922/items/FE232VBH","http://zotero.org/groups/2352922/items/Z2RKHB8F"],"itemData":{"id":56440,"type":"report","abstract":"The thematic assessment of the sustainable use of wild species of the Intergovernmental Science-Policy Platform on Biodiversity and Ecosystem Services is composed of 1) a Summary for Policymakers (SPM), approved by the IPBES Plenary at its 9th session in July 2022 in Bonn, Germany (IPBES-9); and 2) a set of six Chapters, accepted by the IPBES Plenary. All products of the assessment are available on Zenodo. Find all the links on https://ipbes.net/sustainable-use-assessment and on the side bar \"has part\". The laid-out version and translations will be made available in the next months.","language":"en","license":"Creative Commons Attribution 4.0 International, Open Access","note":"DOI: 10.5281/ZENODO.6448568","publisher":"Zenodo","source":"DOI.org (Datacite)","title":"Thematic assessment of the sustainable use of wild species of the Intergovernmental Science-Policy Platform on Biodiversity and Ecosystem Services","URL":"https://zenodo.org/record/6448568","author":[{"literal":"IPBES"}],"contributor":[{"family":"Fromentin","given":"Jean-Marc"},{"family":"Emery","given":"Marla R."},{"family":"Donaldson","given":"John"},{"family":"Danner","given":"Marie-Claire"},{"family":"Hallosserie","given":"Agnès"},{"family":"Kieling","given":"Daniel"}],"accessed":{"date-parts":[["2023",6,8]]},"issued":{"date-parts":[["2022",7,8]]}}},{"id":53775,"uris":["http://zotero.org/groups/2352922/items/L77A55BA"],"itemData":{"id":53775,"type":"report","event-place":"Cambridge University Press, Cambridge, UK and New York, NY, USA","genre":"Contribution of Working Group II to the Sixth Assessment Report of the Intergovernmental Panel on Climate Change","page":"3056","publisher":"Cambridge University Press","publisher-place":"Cambridge University Press, Cambridge, UK and New York, NY, USA","title":"Climate Change 2022: Impacts, Adaptation and Vulnerability","URL":"10.1017/9781009325844","author":[{"literal":"IPCC"}],"collection-editor":[{"family":"Pörtner","given":"H.-O."},{"family":"Roberts","given":"D.C."},{"family":"Tignor","given":"M."},{"family":"Poloczanska","given":"E.S."},{"family":"Mintenbeck","given":"K."},{"family":"Alegría","given":"A."},{"family":"Craig","given":"M."},{"family":"Langsdorf","given":"S."},{"family":"Löschke","given":"S."},{"family":"Möller","given":"V."},{"family":"Okem","given":"A."},{"family":"Rama","given":"B."}],"issued":{"date-parts":[["2022"]]}}}],"schema":"https://github.com/citation-style-language/schema/raw/master/csl-citation.json"} </w:instrText>
      </w:r>
      <w:r w:rsidR="2E9FCF01" w:rsidRPr="5575EBFC">
        <w:rPr>
          <w:lang w:val="en-GB"/>
        </w:rPr>
        <w:fldChar w:fldCharType="separate"/>
      </w:r>
      <w:r w:rsidR="434AE1B8">
        <w:t>(IPBES, 2019, 2022c; IPCC, 2022)</w:t>
      </w:r>
      <w:r w:rsidR="2E9FCF01" w:rsidRPr="5575EBFC">
        <w:rPr>
          <w:lang w:val="en-GB"/>
        </w:rPr>
        <w:fldChar w:fldCharType="end"/>
      </w:r>
      <w:r w:rsidR="5AAD4267" w:rsidRPr="5575EBFC">
        <w:rPr>
          <w:lang w:val="en-GB"/>
        </w:rPr>
        <w:t xml:space="preserve">. A majority of these direct and indirect </w:t>
      </w:r>
      <w:r w:rsidR="653902EA" w:rsidRPr="5575EBFC">
        <w:rPr>
          <w:lang w:val="en-GB"/>
        </w:rPr>
        <w:t>drivers of change in nature</w:t>
      </w:r>
      <w:r w:rsidR="5AAD4267" w:rsidRPr="5575EBFC">
        <w:rPr>
          <w:lang w:val="en-GB"/>
        </w:rPr>
        <w:t xml:space="preserve"> are affecting, and often facilitating, </w:t>
      </w:r>
      <w:r w:rsidR="3E21358E" w:rsidRPr="5575EBFC">
        <w:rPr>
          <w:lang w:val="en-GB"/>
        </w:rPr>
        <w:t>invasive alien species</w:t>
      </w:r>
      <w:r w:rsidR="5AAD4267" w:rsidRPr="5575EBFC">
        <w:rPr>
          <w:lang w:val="en-GB"/>
        </w:rPr>
        <w:t xml:space="preserve">, which are increasing at accelerating rates globally </w:t>
      </w:r>
      <w:r w:rsidR="50CE0EAC" w:rsidRPr="5575EBFC">
        <w:rPr>
          <w:lang w:val="en-GB"/>
        </w:rPr>
        <w:t>(</w:t>
      </w:r>
      <w:r w:rsidR="2A0E84D3" w:rsidRPr="5575EBFC">
        <w:rPr>
          <w:b/>
          <w:bCs/>
          <w:lang w:val="en-GB"/>
        </w:rPr>
        <w:t>C</w:t>
      </w:r>
      <w:r w:rsidR="5AAD4267" w:rsidRPr="5575EBFC">
        <w:rPr>
          <w:b/>
          <w:bCs/>
          <w:lang w:val="en-GB"/>
        </w:rPr>
        <w:t>hapter 2</w:t>
      </w:r>
      <w:r w:rsidR="5AAD4267" w:rsidRPr="5575EBFC">
        <w:rPr>
          <w:i/>
          <w:iCs/>
          <w:lang w:val="en-GB"/>
        </w:rPr>
        <w:t xml:space="preserve">, </w:t>
      </w:r>
      <w:r w:rsidR="00E23B69">
        <w:rPr>
          <w:b/>
          <w:bCs/>
          <w:lang w:val="en-GB"/>
        </w:rPr>
        <w:t>Figure</w:t>
      </w:r>
      <w:r w:rsidR="364FBC63" w:rsidRPr="5575EBFC">
        <w:rPr>
          <w:b/>
          <w:bCs/>
          <w:lang w:val="en-GB"/>
        </w:rPr>
        <w:t xml:space="preserve"> </w:t>
      </w:r>
      <w:r w:rsidR="5AAD4267" w:rsidRPr="5575EBFC">
        <w:rPr>
          <w:b/>
          <w:bCs/>
          <w:lang w:val="en-GB"/>
        </w:rPr>
        <w:t>2.2</w:t>
      </w:r>
      <w:r w:rsidR="5AAD4267" w:rsidRPr="5575EBFC">
        <w:rPr>
          <w:lang w:val="en-GB"/>
        </w:rPr>
        <w:t xml:space="preserve">). The aim of </w:t>
      </w:r>
      <w:r w:rsidR="5AC7FBF8" w:rsidRPr="5575EBFC">
        <w:rPr>
          <w:lang w:val="en-GB"/>
        </w:rPr>
        <w:t>C</w:t>
      </w:r>
      <w:r w:rsidR="5AAD4267" w:rsidRPr="5575EBFC">
        <w:rPr>
          <w:lang w:val="en-GB"/>
        </w:rPr>
        <w:t xml:space="preserve">hapter 3 is to address how these drivers affect the transport, introduction, establishment </w:t>
      </w:r>
      <w:r w:rsidR="7ECD288B" w:rsidRPr="5575EBFC">
        <w:rPr>
          <w:lang w:val="en-GB"/>
        </w:rPr>
        <w:t>and</w:t>
      </w:r>
      <w:r w:rsidR="5AAD4267" w:rsidRPr="5575EBFC">
        <w:rPr>
          <w:lang w:val="en-GB"/>
        </w:rPr>
        <w:t xml:space="preserve"> spread of invasive alien species.</w:t>
      </w:r>
    </w:p>
    <w:p w14:paraId="16EC9A67" w14:textId="77777777" w:rsidR="00FD579B" w:rsidRPr="00DA249F" w:rsidRDefault="00A63675" w:rsidP="00FD579B">
      <w:pPr>
        <w:rPr>
          <w:lang w:val="en-GB"/>
        </w:rPr>
      </w:pPr>
      <w:r w:rsidRPr="00A63675">
        <w:rPr>
          <w:noProof/>
          <w:lang w:val="en-GB"/>
        </w:rPr>
        <w:lastRenderedPageBreak/>
        <w:drawing>
          <wp:inline distT="0" distB="0" distL="0" distR="0" wp14:anchorId="6C4AA384" wp14:editId="2B5BA985">
            <wp:extent cx="6115050" cy="4305300"/>
            <wp:effectExtent l="0" t="0" r="6350" b="0"/>
            <wp:docPr id="1" name="Picture 1" descr="A graph of different types of travel&#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graph of different types of travel&#10;&#10;Description automatically generated with medium confidence"/>
                    <pic:cNvPicPr/>
                  </pic:nvPicPr>
                  <pic:blipFill>
                    <a:blip r:embed="rId16"/>
                    <a:stretch>
                      <a:fillRect/>
                    </a:stretch>
                  </pic:blipFill>
                  <pic:spPr>
                    <a:xfrm>
                      <a:off x="0" y="0"/>
                      <a:ext cx="6115050" cy="4305300"/>
                    </a:xfrm>
                    <a:prstGeom prst="rect">
                      <a:avLst/>
                    </a:prstGeom>
                    <a:ln>
                      <a:noFill/>
                    </a:ln>
                  </pic:spPr>
                </pic:pic>
              </a:graphicData>
            </a:graphic>
          </wp:inline>
        </w:drawing>
      </w:r>
    </w:p>
    <w:p w14:paraId="0DEC2861" w14:textId="6861A038" w:rsidR="00FD579B" w:rsidRPr="00DA249F" w:rsidRDefault="3163B2FD" w:rsidP="00C229FB">
      <w:pPr>
        <w:pStyle w:val="Caption"/>
        <w:rPr>
          <w:lang w:val="en-GB"/>
        </w:rPr>
      </w:pPr>
      <w:bookmarkStart w:id="9" w:name="_Ref118986305"/>
      <w:bookmarkStart w:id="10" w:name="_Toc147500886"/>
      <w:r w:rsidRPr="00DA249F">
        <w:rPr>
          <w:lang w:val="en-GB"/>
        </w:rPr>
        <w:t>Figure 3.</w:t>
      </w:r>
      <w:r w:rsidR="00FD579B" w:rsidRPr="00DA249F">
        <w:rPr>
          <w:lang w:val="en-GB"/>
        </w:rPr>
        <w:fldChar w:fldCharType="begin"/>
      </w:r>
      <w:r w:rsidR="00FD579B" w:rsidRPr="00DA249F">
        <w:rPr>
          <w:lang w:val="en-GB"/>
        </w:rPr>
        <w:instrText xml:space="preserve"> SEQ Figure_3. \* ARABIC </w:instrText>
      </w:r>
      <w:r w:rsidR="00FD579B" w:rsidRPr="00DA249F">
        <w:rPr>
          <w:lang w:val="en-GB"/>
        </w:rPr>
        <w:fldChar w:fldCharType="separate"/>
      </w:r>
      <w:r w:rsidR="00287BC7">
        <w:rPr>
          <w:noProof/>
          <w:lang w:val="en-GB"/>
        </w:rPr>
        <w:t>1</w:t>
      </w:r>
      <w:r w:rsidR="00FD579B" w:rsidRPr="00DA249F">
        <w:rPr>
          <w:lang w:val="en-GB"/>
        </w:rPr>
        <w:fldChar w:fldCharType="end"/>
      </w:r>
      <w:bookmarkEnd w:id="9"/>
      <w:r w:rsidR="0095688A" w:rsidRPr="00DA249F">
        <w:rPr>
          <w:lang w:val="en-GB"/>
        </w:rPr>
        <w:t>.</w:t>
      </w:r>
      <w:r w:rsidRPr="00DA249F">
        <w:rPr>
          <w:lang w:val="en-GB"/>
        </w:rPr>
        <w:t xml:space="preserve"> </w:t>
      </w:r>
      <w:r w:rsidR="687D457C" w:rsidRPr="00DA249F">
        <w:rPr>
          <w:b w:val="0"/>
          <w:bCs w:val="0"/>
          <w:lang w:val="en-GB"/>
        </w:rPr>
        <w:t xml:space="preserve">Trends in </w:t>
      </w:r>
      <w:r w:rsidR="7C4F1D2F" w:rsidRPr="00DA249F">
        <w:rPr>
          <w:b w:val="0"/>
          <w:bCs w:val="0"/>
          <w:lang w:val="en-GB"/>
        </w:rPr>
        <w:t xml:space="preserve">a selection of </w:t>
      </w:r>
      <w:r w:rsidR="687D457C" w:rsidRPr="00DA249F">
        <w:rPr>
          <w:b w:val="0"/>
          <w:bCs w:val="0"/>
          <w:lang w:val="en-GB"/>
        </w:rPr>
        <w:t>drivers and correlates of biological invasions.</w:t>
      </w:r>
      <w:r w:rsidR="05F29084" w:rsidRPr="00DA249F">
        <w:rPr>
          <w:lang w:val="en-GB"/>
        </w:rPr>
        <w:t xml:space="preserve"> </w:t>
      </w:r>
      <w:r w:rsidR="5A6AB0CE" w:rsidRPr="00DA249F">
        <w:rPr>
          <w:b w:val="0"/>
          <w:bCs w:val="0"/>
          <w:lang w:val="en-GB"/>
        </w:rPr>
        <w:t xml:space="preserve">Panels show temporal trends </w:t>
      </w:r>
      <w:r w:rsidR="6B2541FF" w:rsidRPr="00DA249F">
        <w:rPr>
          <w:b w:val="0"/>
          <w:bCs w:val="0"/>
          <w:lang w:val="en-GB"/>
        </w:rPr>
        <w:t xml:space="preserve">for some of the </w:t>
      </w:r>
      <w:r w:rsidR="5A6AB0CE" w:rsidRPr="00DA249F">
        <w:rPr>
          <w:b w:val="0"/>
          <w:bCs w:val="0"/>
          <w:lang w:val="en-GB"/>
        </w:rPr>
        <w:t>main drivers and correlates of biological invasions averaged globally. A data management report for this figure is available a</w:t>
      </w:r>
      <w:r w:rsidR="5A6AB0CE" w:rsidRPr="00EB7B37">
        <w:rPr>
          <w:b w:val="0"/>
          <w:bCs w:val="0"/>
          <w:lang w:val="en-GB"/>
        </w:rPr>
        <w:t xml:space="preserve">t </w:t>
      </w:r>
      <w:hyperlink r:id="rId17">
        <w:r w:rsidR="00EB7B37" w:rsidRPr="00EB7B37">
          <w:rPr>
            <w:rStyle w:val="Hyperlink"/>
            <w:b w:val="0"/>
          </w:rPr>
          <w:t>https://doi.org/10.5281/zenodo.7615582</w:t>
        </w:r>
        <w:bookmarkEnd w:id="10"/>
      </w:hyperlink>
    </w:p>
    <w:p w14:paraId="37D5D0BE" w14:textId="4514741D" w:rsidR="000C3B3A" w:rsidRPr="00DA249F" w:rsidRDefault="0807B715" w:rsidP="0090109B">
      <w:pPr>
        <w:rPr>
          <w:rFonts w:eastAsia="游明朝"/>
          <w:lang w:val="en-GB"/>
        </w:rPr>
      </w:pPr>
      <w:r w:rsidRPr="728F2DAF">
        <w:rPr>
          <w:rFonts w:eastAsia="游明朝"/>
          <w:lang w:val="en-GB"/>
        </w:rPr>
        <w:t xml:space="preserve">Drivers </w:t>
      </w:r>
      <w:r w:rsidR="45A672EB" w:rsidRPr="728F2DAF">
        <w:rPr>
          <w:rFonts w:eastAsia="游明朝"/>
          <w:lang w:val="en-GB"/>
        </w:rPr>
        <w:t>do not act in isolation</w:t>
      </w:r>
      <w:r w:rsidR="700AAFC2" w:rsidRPr="728F2DAF">
        <w:rPr>
          <w:rFonts w:eastAsia="游明朝"/>
          <w:lang w:val="en-GB"/>
        </w:rPr>
        <w:t>;</w:t>
      </w:r>
      <w:r w:rsidR="45A672EB" w:rsidRPr="728F2DAF">
        <w:rPr>
          <w:rFonts w:eastAsia="游明朝"/>
          <w:lang w:val="en-GB"/>
        </w:rPr>
        <w:t xml:space="preserve"> </w:t>
      </w:r>
      <w:r w:rsidR="700AAFC2" w:rsidRPr="728F2DAF">
        <w:rPr>
          <w:rFonts w:eastAsia="游明朝"/>
          <w:lang w:val="en-GB"/>
        </w:rPr>
        <w:t>status</w:t>
      </w:r>
      <w:r w:rsidR="45A672EB" w:rsidRPr="728F2DAF">
        <w:rPr>
          <w:rFonts w:eastAsia="游明朝"/>
          <w:lang w:val="en-GB"/>
        </w:rPr>
        <w:t xml:space="preserve"> and trends in </w:t>
      </w:r>
      <w:r w:rsidR="2EA3C24E" w:rsidRPr="728F2DAF">
        <w:rPr>
          <w:rFonts w:eastAsia="游明朝"/>
          <w:lang w:val="en-GB"/>
        </w:rPr>
        <w:t xml:space="preserve">nature </w:t>
      </w:r>
      <w:r w:rsidR="00E77D81">
        <w:rPr>
          <w:rFonts w:eastAsia="游明朝"/>
          <w:lang w:val="en-GB"/>
        </w:rPr>
        <w:t>are</w:t>
      </w:r>
      <w:r w:rsidR="00E77D81" w:rsidRPr="728F2DAF">
        <w:rPr>
          <w:rFonts w:eastAsia="游明朝"/>
          <w:lang w:val="en-GB"/>
        </w:rPr>
        <w:t xml:space="preserve"> </w:t>
      </w:r>
      <w:r w:rsidR="0C564C31" w:rsidRPr="728F2DAF">
        <w:rPr>
          <w:rFonts w:eastAsia="游明朝"/>
          <w:lang w:val="en-GB"/>
        </w:rPr>
        <w:t xml:space="preserve">the outcome of </w:t>
      </w:r>
      <w:r w:rsidR="45A672EB" w:rsidRPr="728F2DAF">
        <w:rPr>
          <w:rFonts w:eastAsia="游明朝"/>
          <w:lang w:val="en-GB"/>
        </w:rPr>
        <w:t>the</w:t>
      </w:r>
      <w:r w:rsidR="7D3D3226" w:rsidRPr="728F2DAF">
        <w:rPr>
          <w:rFonts w:eastAsia="游明朝"/>
          <w:lang w:val="en-GB"/>
        </w:rPr>
        <w:t xml:space="preserve"> often</w:t>
      </w:r>
      <w:r w:rsidR="17CBFBAB" w:rsidRPr="728F2DAF">
        <w:rPr>
          <w:rFonts w:eastAsia="游明朝"/>
          <w:lang w:val="en-GB"/>
        </w:rPr>
        <w:t xml:space="preserve"> </w:t>
      </w:r>
      <w:r w:rsidR="2D711FBE" w:rsidRPr="728F2DAF">
        <w:rPr>
          <w:rFonts w:eastAsia="游明朝"/>
          <w:lang w:val="en-GB"/>
        </w:rPr>
        <w:t>multiplicative</w:t>
      </w:r>
      <w:r w:rsidR="17CBFBAB" w:rsidRPr="728F2DAF">
        <w:rPr>
          <w:rFonts w:eastAsia="游明朝"/>
          <w:lang w:val="en-GB"/>
        </w:rPr>
        <w:t xml:space="preserve"> </w:t>
      </w:r>
      <w:r w:rsidR="700AAFC2" w:rsidRPr="728F2DAF">
        <w:rPr>
          <w:rFonts w:eastAsia="游明朝"/>
          <w:lang w:val="en-GB"/>
        </w:rPr>
        <w:t xml:space="preserve">effects of </w:t>
      </w:r>
      <w:r w:rsidR="639A558E" w:rsidRPr="728F2DAF">
        <w:rPr>
          <w:rFonts w:eastAsia="游明朝"/>
          <w:lang w:val="en-GB"/>
        </w:rPr>
        <w:t>many</w:t>
      </w:r>
      <w:r w:rsidR="700AAFC2" w:rsidRPr="728F2DAF">
        <w:rPr>
          <w:rFonts w:eastAsia="游明朝"/>
          <w:lang w:val="en-GB"/>
        </w:rPr>
        <w:t xml:space="preserve"> </w:t>
      </w:r>
      <w:r w:rsidR="639A558E" w:rsidRPr="728F2DAF">
        <w:rPr>
          <w:rFonts w:eastAsia="游明朝"/>
          <w:lang w:val="en-GB"/>
        </w:rPr>
        <w:t>co-</w:t>
      </w:r>
      <w:r w:rsidR="0395EE39" w:rsidRPr="728F2DAF">
        <w:rPr>
          <w:rFonts w:eastAsia="游明朝"/>
          <w:lang w:val="en-GB"/>
        </w:rPr>
        <w:t>occurring</w:t>
      </w:r>
      <w:r w:rsidR="700AAFC2" w:rsidRPr="728F2DAF">
        <w:rPr>
          <w:rFonts w:eastAsia="游明朝"/>
          <w:lang w:val="en-GB"/>
        </w:rPr>
        <w:t xml:space="preserve"> </w:t>
      </w:r>
      <w:r w:rsidR="5CCB1FA3" w:rsidRPr="728F2DAF">
        <w:rPr>
          <w:rFonts w:eastAsia="游明朝"/>
          <w:lang w:val="en-GB"/>
        </w:rPr>
        <w:t xml:space="preserve">drivers </w:t>
      </w:r>
      <w:r w:rsidR="3DE467AA" w:rsidRPr="728F2DAF">
        <w:rPr>
          <w:lang w:val="en-GB"/>
        </w:rPr>
        <w:fldChar w:fldCharType="begin"/>
      </w:r>
      <w:r w:rsidR="00F5121E">
        <w:rPr>
          <w:lang w:val="en-GB"/>
        </w:rPr>
        <w:instrText xml:space="preserve"> ADDIN ZOTERO_ITEM CSL_CITATION {"citationID":"PAvJamIT","properties":{"formattedCitation":"(IPBES, 2019)","plainCitation":"(IPBES, 2019)","dontUpdate":true,"noteIndex":0},"citationItems":[{"id":53933,"uris":["http://zotero.org/groups/2352922/items/JYFISR8Z","http://zotero.org/groups/2352922/items/ZACZGHZL"],"itemData":{"id":53933,"type":"report","abstract":"IPBES is to perform regular and timely assessments of knowledge on biodiversity and ecosystem services and their interlinkages at the global level. Also addressing an invitation by the Conference of the Parties of the Convention on Biological Diversity (CBD) to prepare a global assessment of biodiversity and ecosystem services building, inter alia, on its own and other relevant regional, subregional and thematic assessments, as well as on national reports. The overall scope of the assessment is to assess the status and trends with regard to biodiversity and ecosystem services, the impact of biodiversity and ecosystem services on human well-being and the effectiveness of responses, including the Strategic Plan and its Aichi Biodiversity Targets. It is anticipated that this deliverable will contribute to the process for the evaluation and renewal of the Strategic Plan for Biodiversity and its Aichi Biodiversity Targets. The IPBES Global Assessment on Biodiversity and Ecosystem Services is composed of 1) a Summary for Policymakers (SPM), approved by the IPBES Plenary at its 7th session in May 2019 in Paris, France (IPBES-7); and 2) a set of six Chapters, accepted by the IPBES Plenary.","language":"en","license":"Creative Commons Attribution 4.0 International, Open Access","note":"Version Number 1\nDOI: 10.5281/ZENODO.3831673","publisher":"Secretariat of the Intergovernmental Science-Policy Platform on Biodiversity and Ecosystem Services","source":"DOI.org (Datacite)","title":"Global assessment report on biodiversity and ecosystem services of the Intergovernmental Science-Policy Platform on Biodiversity and Ecosystem Services","URL":"https://zenodo.org/record/3831673","author":[{"literal":"IPBES"}],"contributor":[{"family":"Brondizio","given":"Eduardo"},{"family":"Diaz","given":"Sandra"},{"family":"Settele","given":"Josef"},{"family":"Ngo","given":"Hien T."}],"accessed":{"date-parts":[["2023",1,5]]},"issued":{"date-parts":[["2019"]]}},"label":"page"}],"schema":"https://github.com/citation-style-language/schema/raw/master/csl-citation.json"} </w:instrText>
      </w:r>
      <w:r w:rsidR="3DE467AA" w:rsidRPr="728F2DAF">
        <w:rPr>
          <w:lang w:val="en-GB"/>
        </w:rPr>
        <w:fldChar w:fldCharType="separate"/>
      </w:r>
      <w:r w:rsidR="49B1FBB7">
        <w:t>(IPBES, 2019</w:t>
      </w:r>
      <w:r w:rsidR="3DE467AA" w:rsidRPr="728F2DAF">
        <w:rPr>
          <w:lang w:val="en-GB"/>
        </w:rPr>
        <w:fldChar w:fldCharType="end"/>
      </w:r>
      <w:r w:rsidR="705253EB" w:rsidRPr="728F2DAF">
        <w:rPr>
          <w:rFonts w:eastAsia="游明朝"/>
          <w:lang w:val="en-GB"/>
        </w:rPr>
        <w:t xml:space="preserve">; </w:t>
      </w:r>
      <w:r w:rsidR="466F6C43" w:rsidRPr="728F2DAF">
        <w:rPr>
          <w:rFonts w:eastAsia="游明朝"/>
          <w:b/>
          <w:bCs/>
          <w:lang w:val="en-GB"/>
        </w:rPr>
        <w:t>C</w:t>
      </w:r>
      <w:r w:rsidR="0E487ABC" w:rsidRPr="728F2DAF">
        <w:rPr>
          <w:rFonts w:eastAsia="游明朝"/>
          <w:b/>
          <w:bCs/>
          <w:lang w:val="en-GB"/>
        </w:rPr>
        <w:t>hapter 4</w:t>
      </w:r>
      <w:r w:rsidR="0E487ABC" w:rsidRPr="728F2DAF">
        <w:rPr>
          <w:rFonts w:eastAsia="游明朝"/>
          <w:b/>
          <w:bCs/>
          <w:i/>
          <w:iCs/>
          <w:lang w:val="en-GB"/>
        </w:rPr>
        <w:t>,</w:t>
      </w:r>
      <w:r w:rsidR="0E487ABC" w:rsidRPr="728F2DAF">
        <w:rPr>
          <w:rFonts w:eastAsia="游明朝"/>
          <w:b/>
          <w:bCs/>
          <w:lang w:val="en-GB"/>
        </w:rPr>
        <w:t xml:space="preserve"> </w:t>
      </w:r>
      <w:r w:rsidR="00E23B69">
        <w:rPr>
          <w:rFonts w:eastAsia="游明朝"/>
          <w:b/>
          <w:bCs/>
          <w:lang w:val="en-GB"/>
        </w:rPr>
        <w:t>Box</w:t>
      </w:r>
      <w:r w:rsidR="343749A3" w:rsidRPr="728F2DAF">
        <w:rPr>
          <w:rFonts w:eastAsia="游明朝"/>
          <w:b/>
          <w:bCs/>
          <w:lang w:val="en-GB"/>
        </w:rPr>
        <w:t xml:space="preserve"> </w:t>
      </w:r>
      <w:r w:rsidR="0E487ABC" w:rsidRPr="728F2DAF">
        <w:rPr>
          <w:rFonts w:eastAsia="游明朝"/>
          <w:b/>
          <w:bCs/>
          <w:lang w:val="en-GB"/>
        </w:rPr>
        <w:t>4.5</w:t>
      </w:r>
      <w:r w:rsidR="0C564C31" w:rsidRPr="728F2DAF">
        <w:rPr>
          <w:rFonts w:eastAsia="游明朝"/>
          <w:lang w:val="en-GB"/>
        </w:rPr>
        <w:t>)</w:t>
      </w:r>
      <w:r w:rsidR="5CCB1FA3" w:rsidRPr="728F2DAF">
        <w:rPr>
          <w:rFonts w:eastAsia="游明朝"/>
          <w:lang w:val="en-GB"/>
        </w:rPr>
        <w:t xml:space="preserve">. </w:t>
      </w:r>
      <w:r w:rsidR="7B8A06DB" w:rsidRPr="728F2DAF">
        <w:rPr>
          <w:rFonts w:eastAsia="游明朝"/>
          <w:lang w:val="en-GB"/>
        </w:rPr>
        <w:t xml:space="preserve">A recent </w:t>
      </w:r>
      <w:r w:rsidR="51468A1A" w:rsidRPr="728F2DAF">
        <w:rPr>
          <w:rFonts w:eastAsia="游明朝"/>
          <w:lang w:val="en-GB"/>
        </w:rPr>
        <w:t>study</w:t>
      </w:r>
      <w:r w:rsidR="7B8A06DB" w:rsidRPr="728F2DAF">
        <w:rPr>
          <w:rFonts w:eastAsia="游明朝"/>
          <w:lang w:val="en-GB"/>
        </w:rPr>
        <w:t xml:space="preserve"> systematically </w:t>
      </w:r>
      <w:r w:rsidR="3B96039E" w:rsidRPr="728F2DAF">
        <w:rPr>
          <w:rFonts w:eastAsia="游明朝"/>
          <w:lang w:val="en-GB"/>
        </w:rPr>
        <w:t xml:space="preserve">and quantitatively </w:t>
      </w:r>
      <w:r w:rsidR="7B8A06DB" w:rsidRPr="728F2DAF">
        <w:rPr>
          <w:rFonts w:eastAsia="游明朝"/>
          <w:lang w:val="en-GB"/>
        </w:rPr>
        <w:t>rank</w:t>
      </w:r>
      <w:r w:rsidR="51468A1A" w:rsidRPr="728F2DAF">
        <w:rPr>
          <w:rFonts w:eastAsia="游明朝"/>
          <w:lang w:val="en-GB"/>
        </w:rPr>
        <w:t>ed</w:t>
      </w:r>
      <w:r w:rsidR="7B8A06DB" w:rsidRPr="728F2DAF">
        <w:rPr>
          <w:rFonts w:eastAsia="游明朝"/>
          <w:lang w:val="en-GB"/>
        </w:rPr>
        <w:t xml:space="preserve"> </w:t>
      </w:r>
      <w:r w:rsidR="7A1DDA1F" w:rsidRPr="728F2DAF">
        <w:rPr>
          <w:rFonts w:eastAsia="游明朝"/>
          <w:lang w:val="en-GB"/>
        </w:rPr>
        <w:t xml:space="preserve">direct </w:t>
      </w:r>
      <w:r w:rsidR="067C1E4A" w:rsidRPr="728F2DAF">
        <w:rPr>
          <w:rFonts w:eastAsia="游明朝"/>
          <w:lang w:val="en-GB"/>
        </w:rPr>
        <w:t>drivers of change in nature</w:t>
      </w:r>
      <w:r w:rsidR="7A1DDA1F" w:rsidRPr="728F2DAF">
        <w:rPr>
          <w:rFonts w:eastAsia="游明朝"/>
          <w:lang w:val="en-GB"/>
        </w:rPr>
        <w:t xml:space="preserve"> </w:t>
      </w:r>
      <w:r w:rsidR="528CD6E2" w:rsidRPr="728F2DAF">
        <w:rPr>
          <w:rFonts w:eastAsia="游明朝"/>
          <w:lang w:val="en-GB"/>
        </w:rPr>
        <w:t>(</w:t>
      </w:r>
      <w:r w:rsidR="228212FD" w:rsidRPr="728F2DAF">
        <w:rPr>
          <w:rFonts w:eastAsia="游明朝"/>
          <w:b/>
          <w:bCs/>
          <w:lang w:val="en-GB"/>
        </w:rPr>
        <w:t>section 3.1.2</w:t>
      </w:r>
      <w:r w:rsidR="6A0104DC" w:rsidRPr="728F2DAF">
        <w:rPr>
          <w:rFonts w:eastAsia="游明朝"/>
          <w:lang w:val="en-GB"/>
        </w:rPr>
        <w:t xml:space="preserve">) </w:t>
      </w:r>
      <w:r w:rsidR="7B8A06DB" w:rsidRPr="728F2DAF">
        <w:rPr>
          <w:rFonts w:eastAsia="游明朝"/>
          <w:lang w:val="en-GB"/>
        </w:rPr>
        <w:t xml:space="preserve">in terms of impacts </w:t>
      </w:r>
      <w:r w:rsidR="367D5435" w:rsidRPr="728F2DAF">
        <w:rPr>
          <w:rFonts w:eastAsia="游明朝"/>
          <w:lang w:val="en-GB"/>
        </w:rPr>
        <w:t xml:space="preserve">on biodiversity </w:t>
      </w:r>
      <w:r w:rsidR="51468A1A" w:rsidRPr="728F2DAF">
        <w:rPr>
          <w:rFonts w:eastAsia="游明朝"/>
          <w:lang w:val="en-GB"/>
        </w:rPr>
        <w:t xml:space="preserve">and </w:t>
      </w:r>
      <w:r w:rsidR="7A1DDA1F" w:rsidRPr="728F2DAF">
        <w:rPr>
          <w:rFonts w:eastAsia="游明朝"/>
          <w:lang w:val="en-GB"/>
        </w:rPr>
        <w:t>found that land-use</w:t>
      </w:r>
      <w:r w:rsidR="6A0104DC" w:rsidRPr="728F2DAF">
        <w:rPr>
          <w:rFonts w:eastAsia="游明朝"/>
          <w:lang w:val="en-GB"/>
        </w:rPr>
        <w:t xml:space="preserve"> </w:t>
      </w:r>
      <w:r w:rsidR="639A558E" w:rsidRPr="728F2DAF">
        <w:rPr>
          <w:rFonts w:eastAsia="游明朝"/>
          <w:lang w:val="en-GB"/>
        </w:rPr>
        <w:t xml:space="preserve">change </w:t>
      </w:r>
      <w:r w:rsidR="6A0104DC" w:rsidRPr="728F2DAF">
        <w:rPr>
          <w:rFonts w:eastAsia="游明朝"/>
          <w:lang w:val="en-GB"/>
        </w:rPr>
        <w:t xml:space="preserve">was generally the most important, but that relative importance of drivers varied across realms, IPBES regions and </w:t>
      </w:r>
      <w:r w:rsidR="0763CEEF" w:rsidRPr="728F2DAF">
        <w:rPr>
          <w:rFonts w:eastAsia="游明朝"/>
          <w:lang w:val="en-GB"/>
        </w:rPr>
        <w:t xml:space="preserve">with the </w:t>
      </w:r>
      <w:r w:rsidR="6A0104DC" w:rsidRPr="728F2DAF">
        <w:rPr>
          <w:rFonts w:eastAsia="游明朝"/>
          <w:lang w:val="en-GB"/>
        </w:rPr>
        <w:t xml:space="preserve">biodiversity </w:t>
      </w:r>
      <w:r w:rsidR="549042AD" w:rsidRPr="728F2DAF">
        <w:rPr>
          <w:rFonts w:eastAsia="游明朝"/>
          <w:lang w:val="en-GB"/>
        </w:rPr>
        <w:t xml:space="preserve">components considered </w:t>
      </w:r>
      <w:r w:rsidR="3DE467AA" w:rsidRPr="728F2DAF">
        <w:rPr>
          <w:rFonts w:eastAsia="游明朝"/>
          <w:lang w:val="en-GB"/>
        </w:rPr>
        <w:fldChar w:fldCharType="begin"/>
      </w:r>
      <w:r w:rsidR="00331A79">
        <w:rPr>
          <w:rFonts w:eastAsia="游明朝"/>
          <w:lang w:val="en-GB"/>
        </w:rPr>
        <w:instrText xml:space="preserve"> ADDIN ZOTERO_ITEM CSL_CITATION {"citationID":"iTzFOjrh","properties":{"formattedCitation":"(Jaureguiberry et al., 2022)","plainCitation":"(Jaureguiberry et al., 2022)","noteIndex":0},"citationItems":[{"id":54370,"uris":["http://zotero.org/groups/2352922/items/8HE7V7SH"],"itemData":{"id":54370,"type":"article-journal","abstract":"Effective policies to halt biodiversity loss require knowing which anthropogenic drivers are the most important direct causes. Whereas previous knowledge has been limited in scope and rigor, here we statistically synthesize empirical comparisons of recent driver impacts found through a wide-ranging review. We show that land/sea use change has been the dominant direct driver of recent biodiversity loss worldwide. Direct exploitation of natural resources ranks second and pollution third; climate change and invasive alien species have been significantly less important than the top two drivers. The oceans, where direct exploitation and climate change dominate, have a different driver hierarchy from land and fresh water. It also varies among types of biodiversity indicators. For example, climate change is a more important driver of community composition change than of changes in species populations. Stopping global biodiversity loss requires policies and actions to tackle all the major drivers and their interactions, not some of them in isolation.","container-title":"Science Advances","DOI":"10.1126/sciadv.abm9982","issue":"45","note":"publisher: American Association for the Advancement of Science","page":"eabm9982","source":"science.org (Atypon)","title":"The direct drivers of recent global anthropogenic biodiversity loss","URL":"https://www.science.org/doi/10.1126/sciadv.abm9982","volume":"8","author":[{"family":"Jaureguiberry","given":"Pedro"},{"family":"Titeux","given":"Nicolas"},{"family":"Wiemers","given":"Martin"},{"family":"Bowler","given":"Diana E."},{"family":"Coscieme","given":"Luca"},{"family":"Golden","given":"Abigail S."},{"family":"Guerra","given":"Carlos A."},{"family":"Jacob","given":"Ute"},{"family":"Takahashi","given":"Yasuo"},{"family":"Settele","given":"Josef"},{"family":"Díaz","given":"Sandra"},{"family":"Molnár","given":"Zsolt"},{"family":"Purvis","given":"Andy"}],"accessed":{"date-parts":[["2023",2,7]]},"issued":{"date-parts":[["2022",11,9]]}}}],"schema":"https://github.com/citation-style-language/schema/raw/master/csl-citation.json"} </w:instrText>
      </w:r>
      <w:r w:rsidR="3DE467AA" w:rsidRPr="728F2DAF">
        <w:rPr>
          <w:rFonts w:eastAsia="游明朝"/>
          <w:lang w:val="en-GB"/>
        </w:rPr>
        <w:fldChar w:fldCharType="separate"/>
      </w:r>
      <w:r w:rsidR="73B99EB6">
        <w:t>(Jaureguiberry et al., 2022)</w:t>
      </w:r>
      <w:r w:rsidR="3DE467AA" w:rsidRPr="728F2DAF">
        <w:rPr>
          <w:rFonts w:eastAsia="游明朝"/>
          <w:lang w:val="en-GB"/>
        </w:rPr>
        <w:fldChar w:fldCharType="end"/>
      </w:r>
      <w:r w:rsidR="67D047C8" w:rsidRPr="728F2DAF">
        <w:rPr>
          <w:rFonts w:eastAsia="游明朝"/>
          <w:lang w:val="en-GB"/>
        </w:rPr>
        <w:t xml:space="preserve"> </w:t>
      </w:r>
      <w:r w:rsidR="018C4193" w:rsidRPr="728F2DAF">
        <w:rPr>
          <w:rFonts w:eastAsia="游明朝"/>
          <w:lang w:val="en-GB"/>
        </w:rPr>
        <w:t xml:space="preserve">and with scales </w:t>
      </w:r>
      <w:r w:rsidR="3DE467AA" w:rsidRPr="728F2DAF">
        <w:rPr>
          <w:rFonts w:eastAsia="游明朝"/>
          <w:lang w:val="en-GB"/>
        </w:rPr>
        <w:fldChar w:fldCharType="begin"/>
      </w:r>
      <w:r w:rsidR="00230216">
        <w:rPr>
          <w:rFonts w:eastAsia="游明朝"/>
          <w:lang w:val="en-GB"/>
        </w:rPr>
        <w:instrText xml:space="preserve"> ADDIN ZOTERO_ITEM CSL_CITATION {"citationID":"nD2Whr4T","properties":{"formattedCitation":"(Bonebrake et al., 2019)","plainCitation":"(Bonebrake et al., 2019)","noteIndex":0},"citationItems":[{"id":25415,"uris":["http://zotero.org/groups/2352922/items/UF3XBNZI","http://zotero.org/groups/2352922/items/547WXL8U"],"itemData":{"id":25415,"type":"article-journal","abstract":"Global conservation promotes solutions to different dimensions of threat and response: land-use change, climate change, pollution, and so forth. Countering each threat has its band of proponents who advocate for their cause as paramount, increasingly, given limited resources, by downplaying the relative importance of others. Not only does this encourage a compartmentalised view of the world, which is ecologically unsound, it allows politicians and others to cherry-pick responses in light of political expediency or local demands. We should instead aim to achieve win–win conservation strategies that address multiple threats to diversity acting at different timescales, as well as ‘horizon threats’, which occur at large scales and may be the most challenging conservation issues to address in both the present and the future.","container-title":"Trends in Ecology &amp; Evolution","DOI":"10.1016/j.tree.2019.04.001","ISSN":"0169-5347","issue":"9","journalAbbreviation":"Trends in Ecology &amp; Evolution","language":"en","page":"781-788","source":"ScienceDirect","title":"Integrating Proximal and Horizon Threats to Biodiversity for Conservation","URL":"https://www.sciencedirect.com/science/article/pii/S0169534719301041","volume":"34","author":[{"family":"Bonebrake","given":"Timothy C."},{"family":"Guo","given":"Fengyi"},{"family":"Dingle","given":"Caroline"},{"family":"Baker","given":"David M."},{"family":"Kitching","given":"Roger L."},{"family":"Ashton","given":"Louise A."}],"accessed":{"date-parts":[["2021",4,8]]},"issued":{"date-parts":[["2019"]]}}}],"schema":"https://github.com/citation-style-language/schema/raw/master/csl-citation.json"} </w:instrText>
      </w:r>
      <w:r w:rsidR="3DE467AA" w:rsidRPr="728F2DAF">
        <w:rPr>
          <w:rFonts w:eastAsia="游明朝"/>
          <w:lang w:val="en-GB"/>
        </w:rPr>
        <w:fldChar w:fldCharType="separate"/>
      </w:r>
      <w:r w:rsidR="73B99EB6">
        <w:t>(Bonebrake et al., 2019)</w:t>
      </w:r>
      <w:r w:rsidR="3DE467AA" w:rsidRPr="728F2DAF">
        <w:rPr>
          <w:rFonts w:eastAsia="游明朝"/>
          <w:lang w:val="en-GB"/>
        </w:rPr>
        <w:fldChar w:fldCharType="end"/>
      </w:r>
      <w:r w:rsidR="67D047C8" w:rsidRPr="728F2DAF">
        <w:rPr>
          <w:rFonts w:eastAsia="游明朝"/>
          <w:lang w:val="en-GB"/>
        </w:rPr>
        <w:t xml:space="preserve">. </w:t>
      </w:r>
      <w:r w:rsidR="6C215360" w:rsidRPr="728F2DAF">
        <w:rPr>
          <w:rFonts w:eastAsia="游明朝"/>
          <w:lang w:val="en-GB"/>
        </w:rPr>
        <w:t>Invasive alien species</w:t>
      </w:r>
      <w:r w:rsidR="2ABD4B68" w:rsidRPr="728F2DAF">
        <w:rPr>
          <w:rFonts w:eastAsia="游明朝"/>
          <w:lang w:val="en-GB"/>
        </w:rPr>
        <w:t xml:space="preserve"> </w:t>
      </w:r>
      <w:r w:rsidR="645D64FF" w:rsidRPr="728F2DAF">
        <w:rPr>
          <w:rFonts w:eastAsia="游明朝"/>
          <w:lang w:val="en-GB"/>
        </w:rPr>
        <w:t>are recogn</w:t>
      </w:r>
      <w:r w:rsidR="2F2B49A0" w:rsidRPr="728F2DAF">
        <w:rPr>
          <w:rFonts w:eastAsia="游明朝"/>
          <w:lang w:val="en-GB"/>
        </w:rPr>
        <w:t>ize</w:t>
      </w:r>
      <w:r w:rsidR="645D64FF" w:rsidRPr="728F2DAF">
        <w:rPr>
          <w:rFonts w:eastAsia="游明朝"/>
          <w:lang w:val="en-GB"/>
        </w:rPr>
        <w:t>d as being</w:t>
      </w:r>
      <w:r w:rsidR="4118ACAE" w:rsidRPr="728F2DAF">
        <w:rPr>
          <w:rFonts w:eastAsia="游明朝"/>
          <w:lang w:val="en-GB"/>
        </w:rPr>
        <w:t xml:space="preserve"> </w:t>
      </w:r>
      <w:r w:rsidR="0098A0CC" w:rsidRPr="728F2DAF">
        <w:rPr>
          <w:rFonts w:eastAsia="游明朝"/>
          <w:lang w:val="en-GB"/>
        </w:rPr>
        <w:t xml:space="preserve">a </w:t>
      </w:r>
      <w:r w:rsidR="4B409F01" w:rsidRPr="728F2DAF">
        <w:rPr>
          <w:rFonts w:eastAsia="游明朝"/>
          <w:lang w:val="en-GB"/>
        </w:rPr>
        <w:t>driver of change in nature</w:t>
      </w:r>
      <w:r w:rsidR="0098A0CC" w:rsidRPr="728F2DAF">
        <w:rPr>
          <w:rFonts w:eastAsia="游明朝"/>
          <w:lang w:val="en-GB"/>
        </w:rPr>
        <w:t xml:space="preserve"> and </w:t>
      </w:r>
      <w:r w:rsidR="0C21058F" w:rsidRPr="728F2DAF">
        <w:rPr>
          <w:rFonts w:eastAsia="游明朝"/>
          <w:lang w:val="en-GB"/>
        </w:rPr>
        <w:t xml:space="preserve">at the same time </w:t>
      </w:r>
      <w:r w:rsidR="0098A0CC" w:rsidRPr="728F2DAF">
        <w:rPr>
          <w:rFonts w:eastAsia="游明朝"/>
          <w:lang w:val="en-GB"/>
        </w:rPr>
        <w:t>a component of biodiversity</w:t>
      </w:r>
      <w:r w:rsidR="1CD5FF65" w:rsidRPr="728F2DAF">
        <w:rPr>
          <w:rFonts w:eastAsia="游明朝"/>
          <w:lang w:val="en-GB"/>
        </w:rPr>
        <w:t>. A</w:t>
      </w:r>
      <w:r w:rsidR="0098A0CC" w:rsidRPr="728F2DAF">
        <w:rPr>
          <w:rFonts w:eastAsia="游明朝"/>
          <w:lang w:val="en-GB"/>
        </w:rPr>
        <w:t xml:space="preserve"> </w:t>
      </w:r>
      <w:r w:rsidR="3C2EFE73" w:rsidRPr="728F2DAF">
        <w:rPr>
          <w:rFonts w:eastAsia="游明朝"/>
          <w:lang w:val="en-GB"/>
        </w:rPr>
        <w:t>global</w:t>
      </w:r>
      <w:r w:rsidR="0098A0CC" w:rsidRPr="728F2DAF">
        <w:rPr>
          <w:rFonts w:eastAsia="游明朝"/>
          <w:lang w:val="en-GB"/>
        </w:rPr>
        <w:t xml:space="preserve"> </w:t>
      </w:r>
      <w:r w:rsidR="10F2F5B4" w:rsidRPr="728F2DAF">
        <w:rPr>
          <w:rFonts w:eastAsia="游明朝"/>
          <w:lang w:val="en-GB"/>
        </w:rPr>
        <w:t>meta</w:t>
      </w:r>
      <w:r w:rsidR="4546F096" w:rsidRPr="728F2DAF">
        <w:rPr>
          <w:rFonts w:eastAsia="游明朝"/>
          <w:lang w:val="en-GB"/>
        </w:rPr>
        <w:t>-</w:t>
      </w:r>
      <w:r w:rsidR="10F2F5B4" w:rsidRPr="728F2DAF">
        <w:rPr>
          <w:rFonts w:eastAsia="游明朝"/>
          <w:lang w:val="en-GB"/>
        </w:rPr>
        <w:t>analysis</w:t>
      </w:r>
      <w:r w:rsidR="0098A0CC" w:rsidRPr="728F2DAF">
        <w:rPr>
          <w:rFonts w:eastAsia="游明朝"/>
          <w:lang w:val="en-GB"/>
        </w:rPr>
        <w:t xml:space="preserve"> </w:t>
      </w:r>
      <w:r w:rsidR="10F2F5B4" w:rsidRPr="728F2DAF">
        <w:rPr>
          <w:rFonts w:eastAsia="游明朝"/>
          <w:lang w:val="en-GB"/>
        </w:rPr>
        <w:t xml:space="preserve">focussing explicitly on </w:t>
      </w:r>
      <w:r w:rsidR="48AD11A2" w:rsidRPr="728F2DAF">
        <w:rPr>
          <w:rFonts w:eastAsia="游明朝"/>
          <w:lang w:val="en-GB"/>
        </w:rPr>
        <w:t>identifying extrinsic factors related to</w:t>
      </w:r>
      <w:r w:rsidR="4118ACAE" w:rsidRPr="728F2DAF">
        <w:rPr>
          <w:rFonts w:eastAsia="游明朝"/>
          <w:lang w:val="en-GB"/>
        </w:rPr>
        <w:t xml:space="preserve"> </w:t>
      </w:r>
      <w:r w:rsidR="10F2F5B4" w:rsidRPr="728F2DAF">
        <w:rPr>
          <w:rFonts w:eastAsia="游明朝"/>
          <w:lang w:val="en-GB"/>
        </w:rPr>
        <w:t xml:space="preserve">invasive alien species </w:t>
      </w:r>
      <w:r w:rsidR="1EB52ACC" w:rsidRPr="728F2DAF">
        <w:rPr>
          <w:rFonts w:eastAsia="游明朝"/>
          <w:lang w:val="en-GB"/>
        </w:rPr>
        <w:t xml:space="preserve">richness found that </w:t>
      </w:r>
      <w:r w:rsidR="767B30C3" w:rsidRPr="728F2DAF">
        <w:rPr>
          <w:rFonts w:eastAsia="游明朝"/>
          <w:lang w:val="en-GB"/>
        </w:rPr>
        <w:t xml:space="preserve">that </w:t>
      </w:r>
      <w:r w:rsidR="7AD4820C" w:rsidRPr="728F2DAF">
        <w:rPr>
          <w:rFonts w:eastAsia="游明朝"/>
          <w:lang w:val="en-GB"/>
        </w:rPr>
        <w:t>human population density</w:t>
      </w:r>
      <w:r w:rsidR="5545B2C1" w:rsidRPr="728F2DAF">
        <w:rPr>
          <w:rFonts w:eastAsia="游明朝"/>
          <w:lang w:val="en-GB"/>
        </w:rPr>
        <w:t xml:space="preserve"> of </w:t>
      </w:r>
      <w:r w:rsidR="45E320CC" w:rsidRPr="728F2DAF">
        <w:rPr>
          <w:rFonts w:eastAsia="游明朝"/>
          <w:lang w:val="en-GB"/>
        </w:rPr>
        <w:t xml:space="preserve">an </w:t>
      </w:r>
      <w:r w:rsidR="5545B2C1" w:rsidRPr="728F2DAF">
        <w:rPr>
          <w:rFonts w:eastAsia="游明朝"/>
          <w:lang w:val="en-GB"/>
        </w:rPr>
        <w:t>area</w:t>
      </w:r>
      <w:r w:rsidR="1EB52ACC" w:rsidRPr="728F2DAF">
        <w:rPr>
          <w:rFonts w:eastAsia="游明朝"/>
          <w:lang w:val="en-GB"/>
        </w:rPr>
        <w:t xml:space="preserve">, which can be a proxy </w:t>
      </w:r>
      <w:r w:rsidR="6235CBEF" w:rsidRPr="728F2DAF">
        <w:rPr>
          <w:rFonts w:eastAsia="游明朝"/>
          <w:lang w:val="en-GB"/>
        </w:rPr>
        <w:t xml:space="preserve">for </w:t>
      </w:r>
      <w:r w:rsidR="12ECBB12" w:rsidRPr="728F2DAF">
        <w:rPr>
          <w:rFonts w:eastAsia="游明朝"/>
          <w:lang w:val="en-GB"/>
        </w:rPr>
        <w:t xml:space="preserve">multiple </w:t>
      </w:r>
      <w:r w:rsidR="5481A46F" w:rsidRPr="728F2DAF">
        <w:rPr>
          <w:rFonts w:eastAsia="游明朝"/>
          <w:lang w:val="en-GB"/>
        </w:rPr>
        <w:t xml:space="preserve">and </w:t>
      </w:r>
      <w:r w:rsidR="12ECBB12" w:rsidRPr="728F2DAF">
        <w:rPr>
          <w:rFonts w:eastAsia="游明朝"/>
          <w:lang w:val="en-GB"/>
        </w:rPr>
        <w:t>often co-</w:t>
      </w:r>
      <w:r w:rsidR="4B0BC68A" w:rsidRPr="728F2DAF">
        <w:rPr>
          <w:rFonts w:eastAsia="游明朝"/>
          <w:lang w:val="en-GB"/>
        </w:rPr>
        <w:t>occurring</w:t>
      </w:r>
      <w:r w:rsidR="12ECBB12" w:rsidRPr="728F2DAF">
        <w:rPr>
          <w:rFonts w:eastAsia="游明朝"/>
          <w:lang w:val="en-GB"/>
        </w:rPr>
        <w:t xml:space="preserve"> </w:t>
      </w:r>
      <w:r w:rsidR="6235CBEF" w:rsidRPr="728F2DAF">
        <w:rPr>
          <w:rFonts w:eastAsia="游明朝"/>
          <w:lang w:val="en-GB"/>
        </w:rPr>
        <w:t xml:space="preserve">drivers such as </w:t>
      </w:r>
      <w:r w:rsidR="1EB52ACC" w:rsidRPr="728F2DAF">
        <w:rPr>
          <w:rFonts w:eastAsia="游明朝"/>
          <w:lang w:val="en-GB"/>
        </w:rPr>
        <w:t>trade, travel</w:t>
      </w:r>
      <w:r w:rsidR="009F7404">
        <w:rPr>
          <w:rFonts w:eastAsia="游明朝"/>
          <w:lang w:val="en-GB"/>
        </w:rPr>
        <w:t xml:space="preserve"> and</w:t>
      </w:r>
      <w:r w:rsidR="1EB52ACC" w:rsidRPr="728F2DAF">
        <w:rPr>
          <w:rFonts w:eastAsia="游明朝"/>
          <w:lang w:val="en-GB"/>
        </w:rPr>
        <w:t xml:space="preserve"> land-u</w:t>
      </w:r>
      <w:r w:rsidR="48AD11A2" w:rsidRPr="728F2DAF">
        <w:rPr>
          <w:rFonts w:eastAsia="游明朝"/>
          <w:lang w:val="en-GB"/>
        </w:rPr>
        <w:t>s</w:t>
      </w:r>
      <w:r w:rsidR="1EB52ACC" w:rsidRPr="728F2DAF">
        <w:rPr>
          <w:rFonts w:eastAsia="游明朝"/>
          <w:lang w:val="en-GB"/>
        </w:rPr>
        <w:t xml:space="preserve">e, </w:t>
      </w:r>
      <w:r w:rsidR="6235CBEF" w:rsidRPr="728F2DAF">
        <w:rPr>
          <w:rFonts w:eastAsia="游明朝"/>
          <w:lang w:val="en-GB"/>
        </w:rPr>
        <w:t>w</w:t>
      </w:r>
      <w:r w:rsidR="12ECBB12" w:rsidRPr="728F2DAF">
        <w:rPr>
          <w:rFonts w:eastAsia="游明朝"/>
          <w:lang w:val="en-GB"/>
        </w:rPr>
        <w:t xml:space="preserve">as </w:t>
      </w:r>
      <w:r w:rsidR="5481A46F" w:rsidRPr="728F2DAF">
        <w:rPr>
          <w:rFonts w:eastAsia="游明朝"/>
          <w:lang w:val="en-GB"/>
        </w:rPr>
        <w:t xml:space="preserve">highly correlated to the number of </w:t>
      </w:r>
      <w:r w:rsidR="787C8667" w:rsidRPr="728F2DAF">
        <w:rPr>
          <w:rFonts w:eastAsia="游明朝"/>
          <w:lang w:val="en-GB"/>
        </w:rPr>
        <w:t>introduc</w:t>
      </w:r>
      <w:r w:rsidR="5481A46F" w:rsidRPr="728F2DAF">
        <w:rPr>
          <w:rFonts w:eastAsia="游明朝"/>
          <w:lang w:val="en-GB"/>
        </w:rPr>
        <w:t>ed</w:t>
      </w:r>
      <w:r w:rsidR="787C8667" w:rsidRPr="728F2DAF">
        <w:rPr>
          <w:rFonts w:eastAsia="游明朝"/>
          <w:lang w:val="en-GB"/>
        </w:rPr>
        <w:t xml:space="preserve"> alien </w:t>
      </w:r>
      <w:r w:rsidR="533550F4" w:rsidRPr="728F2DAF">
        <w:rPr>
          <w:rFonts w:eastAsia="游明朝"/>
          <w:lang w:val="en-GB"/>
        </w:rPr>
        <w:t>amphibians</w:t>
      </w:r>
      <w:r w:rsidR="7AD4820C" w:rsidRPr="728F2DAF">
        <w:rPr>
          <w:rFonts w:eastAsia="游明朝"/>
          <w:lang w:val="en-GB"/>
        </w:rPr>
        <w:t xml:space="preserve">, fish, plants and spiders </w:t>
      </w:r>
      <w:r w:rsidR="5481A46F" w:rsidRPr="728F2DAF">
        <w:rPr>
          <w:rFonts w:eastAsia="游明朝"/>
          <w:lang w:val="en-GB"/>
        </w:rPr>
        <w:t xml:space="preserve">within </w:t>
      </w:r>
      <w:r w:rsidR="5545B2C1" w:rsidRPr="728F2DAF">
        <w:rPr>
          <w:rFonts w:eastAsia="游明朝"/>
          <w:lang w:val="en-GB"/>
        </w:rPr>
        <w:t xml:space="preserve">that </w:t>
      </w:r>
      <w:r w:rsidR="5481A46F" w:rsidRPr="728F2DAF">
        <w:rPr>
          <w:rFonts w:eastAsia="游明朝"/>
          <w:lang w:val="en-GB"/>
        </w:rPr>
        <w:t>area</w:t>
      </w:r>
      <w:r w:rsidR="7AD4820C" w:rsidRPr="728F2DAF">
        <w:rPr>
          <w:rFonts w:eastAsia="游明朝"/>
          <w:lang w:val="en-GB"/>
        </w:rPr>
        <w:t xml:space="preserve"> </w:t>
      </w:r>
      <w:r w:rsidR="528CD6E2" w:rsidRPr="728F2DAF">
        <w:rPr>
          <w:rFonts w:eastAsia="游明朝"/>
          <w:lang w:val="en-GB"/>
        </w:rPr>
        <w:t>(</w:t>
      </w:r>
      <w:r w:rsidR="228212FD" w:rsidRPr="728F2DAF">
        <w:rPr>
          <w:rFonts w:eastAsia="游明朝"/>
          <w:b/>
          <w:bCs/>
          <w:lang w:val="en-GB"/>
        </w:rPr>
        <w:t>section 3.1.2</w:t>
      </w:r>
      <w:r w:rsidR="3E9DF9E0" w:rsidRPr="728F2DAF">
        <w:rPr>
          <w:rFonts w:eastAsia="游明朝"/>
          <w:i/>
          <w:iCs/>
          <w:lang w:val="en-GB"/>
        </w:rPr>
        <w:t xml:space="preserve"> </w:t>
      </w:r>
      <w:r w:rsidR="3E9DF9E0" w:rsidRPr="728F2DAF">
        <w:rPr>
          <w:rFonts w:eastAsia="游明朝"/>
          <w:lang w:val="en-GB"/>
        </w:rPr>
        <w:t>and</w:t>
      </w:r>
      <w:r w:rsidR="361DC33A" w:rsidRPr="728F2DAF">
        <w:rPr>
          <w:rFonts w:eastAsia="游明朝"/>
          <w:b/>
          <w:bCs/>
          <w:lang w:val="en-GB"/>
        </w:rPr>
        <w:t xml:space="preserve"> </w:t>
      </w:r>
      <w:r w:rsidR="00E23B69">
        <w:rPr>
          <w:rFonts w:eastAsia="游明朝"/>
          <w:b/>
          <w:bCs/>
          <w:lang w:val="en-GB"/>
        </w:rPr>
        <w:t>Figure</w:t>
      </w:r>
      <w:r w:rsidR="343749A3" w:rsidRPr="728F2DAF">
        <w:rPr>
          <w:rFonts w:eastAsia="游明朝"/>
          <w:b/>
          <w:bCs/>
          <w:lang w:val="en-GB"/>
        </w:rPr>
        <w:t xml:space="preserve"> </w:t>
      </w:r>
      <w:r w:rsidR="361DC33A" w:rsidRPr="728F2DAF">
        <w:rPr>
          <w:rFonts w:eastAsia="游明朝"/>
          <w:b/>
          <w:bCs/>
          <w:lang w:val="en-GB"/>
        </w:rPr>
        <w:t>3.2</w:t>
      </w:r>
      <w:r w:rsidR="361DC33A" w:rsidRPr="728F2DAF">
        <w:rPr>
          <w:rFonts w:eastAsia="游明朝"/>
          <w:lang w:val="en-GB"/>
        </w:rPr>
        <w:t>).</w:t>
      </w:r>
      <w:r w:rsidR="3E9DF9E0" w:rsidRPr="728F2DAF">
        <w:rPr>
          <w:rFonts w:eastAsia="游明朝"/>
          <w:i/>
          <w:iCs/>
          <w:lang w:val="en-GB"/>
        </w:rPr>
        <w:t xml:space="preserve"> </w:t>
      </w:r>
    </w:p>
    <w:p w14:paraId="20B5CD66" w14:textId="17D2BC08" w:rsidR="000C3B3A" w:rsidRPr="00DA249F" w:rsidRDefault="00A63675" w:rsidP="6A2A8CB1">
      <w:pPr>
        <w:pStyle w:val="Caption"/>
        <w:rPr>
          <w:b w:val="0"/>
          <w:bCs w:val="0"/>
          <w:i/>
          <w:iCs/>
          <w:lang w:val="en-GB"/>
        </w:rPr>
      </w:pPr>
      <w:bookmarkStart w:id="11" w:name="_Ref118987117"/>
      <w:bookmarkStart w:id="12" w:name="_Hlk137718559"/>
      <w:bookmarkStart w:id="13" w:name="_Toc147500887"/>
      <w:r>
        <w:rPr>
          <w:noProof/>
        </w:rPr>
        <w:lastRenderedPageBreak/>
        <w:drawing>
          <wp:inline distT="0" distB="0" distL="0" distR="0" wp14:anchorId="0B29191C" wp14:editId="20121898">
            <wp:extent cx="6115050" cy="3962400"/>
            <wp:effectExtent l="0" t="0" r="6350" b="0"/>
            <wp:docPr id="5" name="Picture 5" descr="A graph showing different species of animal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pic:nvPicPr>
                  <pic:blipFill>
                    <a:blip r:embed="rId18" cstate="print">
                      <a:extLst>
                        <a:ext uri="{28A0092B-C50C-407E-A947-70E740481C1C}">
                          <a14:useLocalDpi xmlns:a14="http://schemas.microsoft.com/office/drawing/2010/main" val="0"/>
                        </a:ext>
                      </a:extLst>
                    </a:blip>
                    <a:stretch>
                      <a:fillRect/>
                    </a:stretch>
                  </pic:blipFill>
                  <pic:spPr>
                    <a:xfrm>
                      <a:off x="0" y="0"/>
                      <a:ext cx="6115050" cy="3962400"/>
                    </a:xfrm>
                    <a:prstGeom prst="rect">
                      <a:avLst/>
                    </a:prstGeom>
                    <a:ln>
                      <a:noFill/>
                    </a:ln>
                  </pic:spPr>
                </pic:pic>
              </a:graphicData>
            </a:graphic>
          </wp:inline>
        </w:drawing>
      </w:r>
      <w:r w:rsidR="000C3B3A" w:rsidRPr="6A2A8CB1">
        <w:rPr>
          <w:lang w:val="en-GB"/>
        </w:rPr>
        <w:t>Figure 3.</w:t>
      </w:r>
      <w:r w:rsidRPr="6A2A8CB1">
        <w:rPr>
          <w:lang w:val="en-GB"/>
        </w:rPr>
        <w:fldChar w:fldCharType="begin"/>
      </w:r>
      <w:r w:rsidRPr="6A2A8CB1">
        <w:rPr>
          <w:lang w:val="en-GB"/>
        </w:rPr>
        <w:instrText xml:space="preserve"> SEQ Figure_3. \* ARABIC </w:instrText>
      </w:r>
      <w:r w:rsidRPr="6A2A8CB1">
        <w:rPr>
          <w:lang w:val="en-GB"/>
        </w:rPr>
        <w:fldChar w:fldCharType="separate"/>
      </w:r>
      <w:r w:rsidR="00287BC7">
        <w:rPr>
          <w:noProof/>
          <w:lang w:val="en-GB"/>
        </w:rPr>
        <w:t>2</w:t>
      </w:r>
      <w:r w:rsidRPr="6A2A8CB1">
        <w:rPr>
          <w:lang w:val="en-GB"/>
        </w:rPr>
        <w:fldChar w:fldCharType="end"/>
      </w:r>
      <w:bookmarkEnd w:id="11"/>
      <w:r w:rsidR="0052327F" w:rsidRPr="6A2A8CB1">
        <w:rPr>
          <w:lang w:val="en-GB"/>
        </w:rPr>
        <w:t>.</w:t>
      </w:r>
      <w:r w:rsidR="000C3B3A" w:rsidRPr="6A2A8CB1">
        <w:rPr>
          <w:lang w:val="en-GB"/>
        </w:rPr>
        <w:t xml:space="preserve"> </w:t>
      </w:r>
      <w:r w:rsidR="000C3B3A" w:rsidRPr="6A2A8CB1">
        <w:rPr>
          <w:b w:val="0"/>
          <w:bCs w:val="0"/>
          <w:lang w:val="en-GB"/>
        </w:rPr>
        <w:t>Estimated effects of different factors on established alien species richness across</w:t>
      </w:r>
      <w:r w:rsidR="000C3B3A" w:rsidRPr="6A2A8CB1">
        <w:rPr>
          <w:b w:val="0"/>
          <w:bCs w:val="0"/>
          <w:i/>
          <w:iCs/>
          <w:lang w:val="en-GB"/>
        </w:rPr>
        <w:t xml:space="preserve"> </w:t>
      </w:r>
      <w:r w:rsidR="000C3B3A" w:rsidRPr="6A2A8CB1">
        <w:rPr>
          <w:b w:val="0"/>
          <w:bCs w:val="0"/>
          <w:lang w:val="en-GB"/>
        </w:rPr>
        <w:t>eight taxonomic groups</w:t>
      </w:r>
      <w:r w:rsidR="0010264A" w:rsidRPr="6A2A8CB1">
        <w:rPr>
          <w:b w:val="0"/>
          <w:bCs w:val="0"/>
          <w:lang w:val="en-GB"/>
        </w:rPr>
        <w:t>: amphibians, ants, birds, freshwater fishes, mammals, vascular plants, reptiles</w:t>
      </w:r>
      <w:r w:rsidR="00E77D81">
        <w:rPr>
          <w:b w:val="0"/>
          <w:bCs w:val="0"/>
          <w:lang w:val="en-GB"/>
        </w:rPr>
        <w:t xml:space="preserve"> and</w:t>
      </w:r>
      <w:r w:rsidR="0010264A" w:rsidRPr="6A2A8CB1">
        <w:rPr>
          <w:b w:val="0"/>
          <w:bCs w:val="0"/>
          <w:lang w:val="en-GB"/>
        </w:rPr>
        <w:t xml:space="preserve"> spiders (from top to bottom)</w:t>
      </w:r>
      <w:r w:rsidR="000C3B3A" w:rsidRPr="6A2A8CB1">
        <w:rPr>
          <w:b w:val="0"/>
          <w:bCs w:val="0"/>
          <w:lang w:val="en-GB"/>
        </w:rPr>
        <w:t>.</w:t>
      </w:r>
      <w:r w:rsidR="000C3B3A" w:rsidRPr="6A2A8CB1">
        <w:rPr>
          <w:lang w:val="en-GB"/>
        </w:rPr>
        <w:t xml:space="preserve"> </w:t>
      </w:r>
      <w:r w:rsidR="000C3B3A" w:rsidRPr="6A2A8CB1">
        <w:rPr>
          <w:b w:val="0"/>
          <w:bCs w:val="0"/>
          <w:lang w:val="en-GB"/>
        </w:rPr>
        <w:t xml:space="preserve">The results of linear mixed models indicate the effects of different factors </w:t>
      </w:r>
      <w:r w:rsidR="00595474" w:rsidRPr="6A2A8CB1">
        <w:rPr>
          <w:b w:val="0"/>
          <w:bCs w:val="0"/>
          <w:lang w:val="en-GB"/>
        </w:rPr>
        <w:t xml:space="preserve">(GDP per capita; human population density; mean annual precipitation; and mean annual temperature) </w:t>
      </w:r>
      <w:r w:rsidR="000C3B3A" w:rsidRPr="6A2A8CB1">
        <w:rPr>
          <w:b w:val="0"/>
          <w:bCs w:val="0"/>
          <w:lang w:val="en-GB"/>
        </w:rPr>
        <w:t xml:space="preserve">on </w:t>
      </w:r>
      <w:r w:rsidR="005A7EAD" w:rsidRPr="6A2A8CB1">
        <w:rPr>
          <w:b w:val="0"/>
          <w:bCs w:val="0"/>
          <w:lang w:val="en-GB"/>
        </w:rPr>
        <w:t xml:space="preserve">alien </w:t>
      </w:r>
      <w:r w:rsidR="000C3B3A" w:rsidRPr="6A2A8CB1">
        <w:rPr>
          <w:b w:val="0"/>
          <w:bCs w:val="0"/>
          <w:lang w:val="en-GB"/>
        </w:rPr>
        <w:t xml:space="preserve">species </w:t>
      </w:r>
      <w:r w:rsidR="00CB6AE1" w:rsidRPr="6A2A8CB1">
        <w:rPr>
          <w:b w:val="0"/>
          <w:bCs w:val="0"/>
          <w:lang w:val="en-GB" w:eastAsia="en-NZ"/>
        </w:rPr>
        <w:t>(</w:t>
      </w:r>
      <w:r w:rsidR="00E23B69">
        <w:rPr>
          <w:lang w:val="en-GB" w:eastAsia="en-NZ"/>
        </w:rPr>
        <w:t>Glossary</w:t>
      </w:r>
      <w:r w:rsidR="00CB6AE1" w:rsidRPr="6A2A8CB1">
        <w:rPr>
          <w:b w:val="0"/>
          <w:bCs w:val="0"/>
          <w:lang w:val="en-GB" w:eastAsia="en-NZ"/>
        </w:rPr>
        <w:t xml:space="preserve">) </w:t>
      </w:r>
      <w:r w:rsidR="000C3B3A" w:rsidRPr="6A2A8CB1">
        <w:rPr>
          <w:b w:val="0"/>
          <w:bCs w:val="0"/>
          <w:lang w:val="en-GB"/>
        </w:rPr>
        <w:t>richness</w:t>
      </w:r>
      <w:r w:rsidR="005A7EAD" w:rsidRPr="6A2A8CB1">
        <w:rPr>
          <w:b w:val="0"/>
          <w:bCs w:val="0"/>
          <w:lang w:val="en-GB"/>
        </w:rPr>
        <w:t xml:space="preserve"> </w:t>
      </w:r>
      <w:r w:rsidR="00907B9E" w:rsidRPr="6A2A8CB1">
        <w:rPr>
          <w:b w:val="0"/>
          <w:bCs w:val="0"/>
          <w:lang w:val="en-GB"/>
        </w:rPr>
        <w:t>within eight</w:t>
      </w:r>
      <w:r w:rsidR="005A7EAD" w:rsidRPr="6A2A8CB1">
        <w:rPr>
          <w:b w:val="0"/>
          <w:bCs w:val="0"/>
          <w:lang w:val="en-GB"/>
        </w:rPr>
        <w:t xml:space="preserve"> taxonomic groups</w:t>
      </w:r>
      <w:r w:rsidR="00907B9E" w:rsidRPr="6A2A8CB1">
        <w:rPr>
          <w:b w:val="0"/>
          <w:bCs w:val="0"/>
          <w:lang w:val="en-GB"/>
        </w:rPr>
        <w:t xml:space="preserve"> </w:t>
      </w:r>
      <w:r w:rsidR="009C55F2" w:rsidRPr="6A2A8CB1">
        <w:rPr>
          <w:b w:val="0"/>
          <w:bCs w:val="0"/>
          <w:lang w:val="en-GB"/>
        </w:rPr>
        <w:t>across</w:t>
      </w:r>
      <w:r w:rsidR="004031C1" w:rsidRPr="6A2A8CB1">
        <w:rPr>
          <w:b w:val="0"/>
          <w:bCs w:val="0"/>
          <w:lang w:val="en-GB"/>
        </w:rPr>
        <w:t xml:space="preserve"> 423 mainland regions</w:t>
      </w:r>
      <w:r w:rsidR="000C3B3A" w:rsidRPr="6A2A8CB1">
        <w:rPr>
          <w:b w:val="0"/>
          <w:bCs w:val="0"/>
          <w:lang w:val="en-GB"/>
        </w:rPr>
        <w:t>.</w:t>
      </w:r>
      <w:r w:rsidR="0010264A" w:rsidRPr="6A2A8CB1">
        <w:rPr>
          <w:b w:val="0"/>
          <w:bCs w:val="0"/>
          <w:lang w:val="en-GB"/>
        </w:rPr>
        <w:t xml:space="preserve"> Number in parentheses are numbers of regions included per taxonomic group.</w:t>
      </w:r>
      <w:r w:rsidR="000C3B3A" w:rsidRPr="6A2A8CB1">
        <w:rPr>
          <w:b w:val="0"/>
          <w:bCs w:val="0"/>
          <w:lang w:val="en-GB"/>
        </w:rPr>
        <w:t xml:space="preserve"> Overall</w:t>
      </w:r>
      <w:r w:rsidR="001D1B84" w:rsidRPr="6A2A8CB1">
        <w:rPr>
          <w:b w:val="0"/>
          <w:bCs w:val="0"/>
          <w:lang w:val="en-GB"/>
        </w:rPr>
        <w:t>,</w:t>
      </w:r>
      <w:r w:rsidR="000C3B3A" w:rsidRPr="6A2A8CB1">
        <w:rPr>
          <w:b w:val="0"/>
          <w:bCs w:val="0"/>
          <w:lang w:val="en-GB"/>
        </w:rPr>
        <w:t xml:space="preserve"> </w:t>
      </w:r>
      <w:r w:rsidR="00680122" w:rsidRPr="6A2A8CB1">
        <w:rPr>
          <w:b w:val="0"/>
          <w:bCs w:val="0"/>
          <w:lang w:val="en-GB"/>
        </w:rPr>
        <w:t>taxonomic groups</w:t>
      </w:r>
      <w:r w:rsidR="000C3B3A" w:rsidRPr="6A2A8CB1">
        <w:rPr>
          <w:b w:val="0"/>
          <w:bCs w:val="0"/>
          <w:lang w:val="en-GB"/>
        </w:rPr>
        <w:t xml:space="preserve"> respond differently to the effects of climate </w:t>
      </w:r>
      <w:r w:rsidR="005A7EAD" w:rsidRPr="6A2A8CB1">
        <w:rPr>
          <w:b w:val="0"/>
          <w:bCs w:val="0"/>
          <w:lang w:val="en-GB"/>
        </w:rPr>
        <w:t>and</w:t>
      </w:r>
      <w:r w:rsidR="000C3B3A" w:rsidRPr="6A2A8CB1">
        <w:rPr>
          <w:b w:val="0"/>
          <w:bCs w:val="0"/>
          <w:lang w:val="en-GB"/>
        </w:rPr>
        <w:t xml:space="preserve"> gross domestic product </w:t>
      </w:r>
      <w:r w:rsidR="00551055" w:rsidRPr="6A2A8CB1">
        <w:rPr>
          <w:b w:val="0"/>
          <w:bCs w:val="0"/>
          <w:lang w:val="en-GB"/>
        </w:rPr>
        <w:t xml:space="preserve">(GDP) </w:t>
      </w:r>
      <w:r w:rsidR="000C3B3A" w:rsidRPr="6A2A8CB1">
        <w:rPr>
          <w:b w:val="0"/>
          <w:bCs w:val="0"/>
          <w:lang w:val="en-GB"/>
        </w:rPr>
        <w:t xml:space="preserve">per capita, </w:t>
      </w:r>
      <w:r w:rsidR="005A7EAD" w:rsidRPr="6A2A8CB1">
        <w:rPr>
          <w:b w:val="0"/>
          <w:bCs w:val="0"/>
          <w:lang w:val="en-GB"/>
        </w:rPr>
        <w:t xml:space="preserve">but human </w:t>
      </w:r>
      <w:r w:rsidR="000C3B3A" w:rsidRPr="6A2A8CB1">
        <w:rPr>
          <w:b w:val="0"/>
          <w:bCs w:val="0"/>
          <w:lang w:val="en-GB"/>
        </w:rPr>
        <w:t xml:space="preserve">population density </w:t>
      </w:r>
      <w:r w:rsidR="005A7EAD" w:rsidRPr="6A2A8CB1">
        <w:rPr>
          <w:b w:val="0"/>
          <w:bCs w:val="0"/>
          <w:lang w:val="en-GB"/>
        </w:rPr>
        <w:t xml:space="preserve">is </w:t>
      </w:r>
      <w:r w:rsidR="001D1B84" w:rsidRPr="6A2A8CB1">
        <w:rPr>
          <w:b w:val="0"/>
          <w:bCs w:val="0"/>
          <w:lang w:val="en-GB"/>
        </w:rPr>
        <w:t xml:space="preserve">consistently </w:t>
      </w:r>
      <w:r w:rsidR="00DA53C7" w:rsidRPr="6A2A8CB1">
        <w:rPr>
          <w:b w:val="0"/>
          <w:bCs w:val="0"/>
          <w:lang w:val="en-GB"/>
        </w:rPr>
        <w:t>a</w:t>
      </w:r>
      <w:r w:rsidR="0019597F" w:rsidRPr="6A2A8CB1">
        <w:rPr>
          <w:b w:val="0"/>
          <w:bCs w:val="0"/>
          <w:lang w:val="en-GB"/>
        </w:rPr>
        <w:t>mong the best</w:t>
      </w:r>
      <w:r w:rsidR="00DA53C7" w:rsidRPr="6A2A8CB1">
        <w:rPr>
          <w:b w:val="0"/>
          <w:bCs w:val="0"/>
          <w:lang w:val="en-GB"/>
        </w:rPr>
        <w:t xml:space="preserve"> predictor</w:t>
      </w:r>
      <w:r w:rsidR="0019597F" w:rsidRPr="6A2A8CB1">
        <w:rPr>
          <w:b w:val="0"/>
          <w:bCs w:val="0"/>
          <w:lang w:val="en-GB"/>
        </w:rPr>
        <w:t>s</w:t>
      </w:r>
      <w:r w:rsidR="00DA53C7" w:rsidRPr="6A2A8CB1">
        <w:rPr>
          <w:b w:val="0"/>
          <w:bCs w:val="0"/>
          <w:lang w:val="en-GB"/>
        </w:rPr>
        <w:t xml:space="preserve"> </w:t>
      </w:r>
      <w:r w:rsidR="003E5B14" w:rsidRPr="6A2A8CB1">
        <w:rPr>
          <w:b w:val="0"/>
          <w:bCs w:val="0"/>
          <w:lang w:val="en-GB"/>
        </w:rPr>
        <w:t>with</w:t>
      </w:r>
      <w:r w:rsidR="00DA53C7" w:rsidRPr="6A2A8CB1">
        <w:rPr>
          <w:b w:val="0"/>
          <w:bCs w:val="0"/>
          <w:lang w:val="en-GB"/>
        </w:rPr>
        <w:t xml:space="preserve"> </w:t>
      </w:r>
      <w:r w:rsidR="00E1495D" w:rsidRPr="6A2A8CB1">
        <w:rPr>
          <w:b w:val="0"/>
          <w:bCs w:val="0"/>
          <w:lang w:val="en-GB"/>
        </w:rPr>
        <w:t>especially</w:t>
      </w:r>
      <w:r w:rsidR="003E5B14" w:rsidRPr="6A2A8CB1">
        <w:rPr>
          <w:b w:val="0"/>
          <w:bCs w:val="0"/>
          <w:lang w:val="en-GB"/>
        </w:rPr>
        <w:t xml:space="preserve"> high effects</w:t>
      </w:r>
      <w:r w:rsidR="00E01B08" w:rsidRPr="6A2A8CB1">
        <w:rPr>
          <w:b w:val="0"/>
          <w:bCs w:val="0"/>
          <w:lang w:val="en-GB"/>
        </w:rPr>
        <w:t xml:space="preserve"> </w:t>
      </w:r>
      <w:r w:rsidR="001D1B84" w:rsidRPr="6A2A8CB1">
        <w:rPr>
          <w:b w:val="0"/>
          <w:bCs w:val="0"/>
          <w:lang w:val="en-GB"/>
        </w:rPr>
        <w:t>for</w:t>
      </w:r>
      <w:r w:rsidR="005A7EAD" w:rsidRPr="6A2A8CB1">
        <w:rPr>
          <w:b w:val="0"/>
          <w:bCs w:val="0"/>
          <w:lang w:val="en-GB"/>
        </w:rPr>
        <w:t xml:space="preserve"> fish, plants and spiders</w:t>
      </w:r>
      <w:r w:rsidR="002621D9" w:rsidRPr="6A2A8CB1">
        <w:rPr>
          <w:b w:val="0"/>
          <w:bCs w:val="0"/>
          <w:lang w:val="en-GB"/>
        </w:rPr>
        <w:t>.</w:t>
      </w:r>
      <w:r w:rsidR="00DB6411" w:rsidRPr="6A2A8CB1">
        <w:rPr>
          <w:b w:val="0"/>
          <w:bCs w:val="0"/>
          <w:lang w:val="en-GB"/>
        </w:rPr>
        <w:t xml:space="preserve"> Estimates (±1 standard error)</w:t>
      </w:r>
      <w:r w:rsidR="00304B66" w:rsidRPr="6A2A8CB1">
        <w:rPr>
          <w:b w:val="0"/>
          <w:bCs w:val="0"/>
          <w:lang w:val="en-GB"/>
        </w:rPr>
        <w:t xml:space="preserve"> – represented by dots and lines – </w:t>
      </w:r>
      <w:r w:rsidR="00DB6411" w:rsidRPr="6A2A8CB1">
        <w:rPr>
          <w:b w:val="0"/>
          <w:bCs w:val="0"/>
          <w:lang w:val="en-GB"/>
        </w:rPr>
        <w:t>of effects were obtained from linear mixed-effects models of ln (species richness + 1), with subcontinental regions nested within continents as random effects. Adapted from Dawson et al.</w:t>
      </w:r>
      <w:r w:rsidR="00AB67A8" w:rsidRPr="6A2A8CB1">
        <w:rPr>
          <w:b w:val="0"/>
          <w:bCs w:val="0"/>
          <w:lang w:val="en-GB"/>
        </w:rPr>
        <w:t xml:space="preserve"> </w:t>
      </w:r>
      <w:r w:rsidRPr="6A2A8CB1">
        <w:rPr>
          <w:b w:val="0"/>
          <w:bCs w:val="0"/>
          <w:lang w:val="en-GB"/>
        </w:rPr>
        <w:fldChar w:fldCharType="begin"/>
      </w:r>
      <w:r w:rsidR="00331A79">
        <w:rPr>
          <w:b w:val="0"/>
          <w:bCs w:val="0"/>
          <w:lang w:val="en-GB"/>
        </w:rPr>
        <w:instrText xml:space="preserve"> ADDIN ZOTERO_ITEM CSL_CITATION {"citationID":"AfaczTgC","properties":{"formattedCitation":"(2017)","plainCitation":"(2017)","noteIndex":0},"citationItems":[{"id":28835,"uris":["http://zotero.org/groups/2352922/items/NJYZEFXF"],"itemData":{"id":28835,"type":"article-journal","abstract":"Human-mediated transport beyond biogeographic barriers has led to the introduction and establishment of alien species in new regions worldwide. However, we lack a global picture of established alien species richness for multiple taxonomic groups. Here, we assess global patterns and potential drivers of established alien species richness across eight taxonomic groups (amphibians, ants, birds, freshwater fishes, mammals, vascular plants, reptiles and spiders) for 186 islands and 423 mainland regions. Hotspots of established alien species richness are predominantly island and coastal mainland regions. Regions with greater gross domestic product per capita, human population density, and area have higher established alien richness, with strongest effects emerging for islands. Ants and reptiles, birds and mammals, and vascular plants and spiders form pairs of taxonomic groups with the highest spatial congruence in established alien richness, but drivers explaining richness differ between the taxa in each pair. Across all taxonomic groups, our results highlight the need to prioritize prevention of further alien species introductions to island and coastal mainland regions globally.","container-title":"Nature Ecology &amp; Evolution","DOI":"10.1038/s41559-017-0186","ISSN":"2397-334X","issue":"7","journalAbbreviation":"Nat Ecol Evol","language":"en","license":"2017 Nature Publishing Group","page":"0186","source":"www.nature.com","title":"Global hotspots and correlates of alien species richness across taxonomic groups","URL":"https://doi.org/10.1038/s41559-017-0186","volume":"1","author":[{"family":"Dawson","given":"Wayne"},{"family":"Moser","given":"Dietmar"},{"family":"Kleunen","given":"Mark","non-dropping-particle":"van"},{"family":"Kreft","given":"Holger"},{"family":"Pergl","given":"Jan"},{"family":"Pyšek","given":"Petr"},{"family":"Weigelt","given":"Patrick"},{"family":"Winter","given":"Marten"},{"family":"Lenzner","given":"Bernd"},{"family":"Blackburn","given":"Tim M."},{"family":"Dyer","given":"Ellie E."},{"family":"Cassey","given":"Phillip"},{"family":"Scrivens","given":"Sally L."},{"family":"Economo","given":"Evan P."},{"family":"Guénard","given":"Benoit"},{"family":"Capinha","given":"César"},{"family":"Seebens","given":"Hanno"},{"family":"García-Díaz","given":"Pablo"},{"family":"Nentwig","given":"Wolfgang"},{"family":"García-Berthou","given":"Emili"},{"family":"Casal","given":"Christine"},{"family":"Mandrak","given":"Nicholas E."},{"family":"Fuller","given":"Pam"},{"family":"Meyer","given":"Carsten"},{"family":"Essl","given":"Franz"}],"accessed":{"date-parts":[["2019",10,24]]},"issued":{"date-parts":[["2017",7]]}},"label":"page","suppress-author":true}],"schema":"https://github.com/citation-style-language/schema/raw/master/csl-citation.json"} </w:instrText>
      </w:r>
      <w:r w:rsidRPr="6A2A8CB1">
        <w:rPr>
          <w:b w:val="0"/>
          <w:bCs w:val="0"/>
          <w:lang w:val="en-GB"/>
        </w:rPr>
        <w:fldChar w:fldCharType="separate"/>
      </w:r>
      <w:r w:rsidR="00144D96">
        <w:rPr>
          <w:b w:val="0"/>
          <w:bCs w:val="0"/>
        </w:rPr>
        <w:t>(2017)</w:t>
      </w:r>
      <w:r w:rsidRPr="6A2A8CB1">
        <w:rPr>
          <w:b w:val="0"/>
          <w:bCs w:val="0"/>
          <w:lang w:val="en-GB"/>
        </w:rPr>
        <w:fldChar w:fldCharType="end"/>
      </w:r>
      <w:r w:rsidR="00186371">
        <w:t xml:space="preserve"> </w:t>
      </w:r>
      <w:hyperlink r:id="rId19">
        <w:r w:rsidR="00186371" w:rsidRPr="6A2A8CB1">
          <w:rPr>
            <w:rStyle w:val="Hyperlink"/>
            <w:b w:val="0"/>
            <w:bCs w:val="0"/>
            <w:lang w:val="en-GB"/>
          </w:rPr>
          <w:t>https://doi.org/10.1038/s41559-017-0186</w:t>
        </w:r>
      </w:hyperlink>
      <w:r w:rsidR="00186371" w:rsidRPr="6A2A8CB1">
        <w:rPr>
          <w:b w:val="0"/>
          <w:bCs w:val="0"/>
          <w:lang w:val="en-GB"/>
        </w:rPr>
        <w:t>,</w:t>
      </w:r>
      <w:r w:rsidR="00FC463C" w:rsidRPr="6A2A8CB1">
        <w:rPr>
          <w:rFonts w:ascii="游明朝" w:eastAsia="游明朝" w:hAnsi="游明朝"/>
          <w:b w:val="0"/>
          <w:bCs w:val="0"/>
          <w:lang w:val="en-GB"/>
        </w:rPr>
        <w:t xml:space="preserve"> </w:t>
      </w:r>
      <w:r w:rsidR="00FC463C" w:rsidRPr="6A2A8CB1">
        <w:rPr>
          <w:rFonts w:eastAsia="游明朝"/>
          <w:b w:val="0"/>
          <w:bCs w:val="0"/>
          <w:lang w:val="en-GB"/>
        </w:rPr>
        <w:t>under license CC BY 4.0.</w:t>
      </w:r>
      <w:bookmarkEnd w:id="12"/>
      <w:bookmarkEnd w:id="13"/>
    </w:p>
    <w:p w14:paraId="79957F0B" w14:textId="77777777" w:rsidR="008C1BF7" w:rsidRPr="00DA249F" w:rsidRDefault="194E789C" w:rsidP="00375B42">
      <w:pPr>
        <w:pStyle w:val="Heading2"/>
        <w:rPr>
          <w:lang w:val="en-GB"/>
        </w:rPr>
      </w:pPr>
      <w:r w:rsidRPr="5575EBFC">
        <w:rPr>
          <w:lang w:val="en-GB"/>
        </w:rPr>
        <w:t xml:space="preserve"> </w:t>
      </w:r>
      <w:bookmarkStart w:id="14" w:name="_Toc146898457"/>
      <w:r w:rsidR="3D04D128" w:rsidRPr="5575EBFC">
        <w:rPr>
          <w:lang w:val="en-GB"/>
        </w:rPr>
        <w:t>Scope and organi</w:t>
      </w:r>
      <w:r w:rsidR="2ED84A5D" w:rsidRPr="5575EBFC">
        <w:rPr>
          <w:lang w:val="en-GB"/>
        </w:rPr>
        <w:t>z</w:t>
      </w:r>
      <w:r w:rsidR="3D04D128" w:rsidRPr="5575EBFC">
        <w:rPr>
          <w:lang w:val="en-GB"/>
        </w:rPr>
        <w:t>ation of the chapter</w:t>
      </w:r>
      <w:r w:rsidR="7FA0CD0D" w:rsidRPr="5575EBFC">
        <w:rPr>
          <w:lang w:val="en-GB"/>
        </w:rPr>
        <w:t xml:space="preserve"> with reference to the IPBES conceptual framework</w:t>
      </w:r>
      <w:bookmarkEnd w:id="14"/>
    </w:p>
    <w:p w14:paraId="7737C3A7" w14:textId="463FDF3B" w:rsidR="00D47F6E" w:rsidRPr="00DA249F" w:rsidRDefault="5CD52614" w:rsidP="5575EBFC">
      <w:pPr>
        <w:rPr>
          <w:lang w:val="en-GB"/>
        </w:rPr>
      </w:pPr>
      <w:r w:rsidRPr="5575EBFC">
        <w:rPr>
          <w:lang w:val="en-GB"/>
        </w:rPr>
        <w:t xml:space="preserve">The IPBES conceptual framework </w:t>
      </w:r>
      <w:r w:rsidR="7A374D48" w:rsidRPr="5575EBFC">
        <w:rPr>
          <w:lang w:val="en-GB"/>
        </w:rPr>
        <w:t xml:space="preserve">and Global Assessment </w:t>
      </w:r>
      <w:r w:rsidRPr="5575EBFC">
        <w:rPr>
          <w:lang w:val="en-GB"/>
        </w:rPr>
        <w:t>recogni</w:t>
      </w:r>
      <w:r w:rsidR="2ED84A5D" w:rsidRPr="5575EBFC">
        <w:rPr>
          <w:lang w:val="en-GB"/>
        </w:rPr>
        <w:t>z</w:t>
      </w:r>
      <w:r w:rsidRPr="5575EBFC">
        <w:rPr>
          <w:lang w:val="en-GB"/>
        </w:rPr>
        <w:t xml:space="preserve">e invasive alien species as one of five anthropogenic </w:t>
      </w:r>
      <w:r w:rsidR="2EFAB87F" w:rsidRPr="5575EBFC">
        <w:rPr>
          <w:lang w:val="en-GB"/>
        </w:rPr>
        <w:t>“</w:t>
      </w:r>
      <w:r w:rsidRPr="5575EBFC">
        <w:rPr>
          <w:lang w:val="en-GB"/>
        </w:rPr>
        <w:t>direct drivers</w:t>
      </w:r>
      <w:r w:rsidR="2EFAB87F" w:rsidRPr="5575EBFC">
        <w:rPr>
          <w:lang w:val="en-GB"/>
        </w:rPr>
        <w:t>”</w:t>
      </w:r>
      <w:r w:rsidRPr="5575EBFC">
        <w:rPr>
          <w:lang w:val="en-GB"/>
        </w:rPr>
        <w:t xml:space="preserve"> of change</w:t>
      </w:r>
      <w:r w:rsidR="19F47A20" w:rsidRPr="5575EBFC">
        <w:rPr>
          <w:lang w:val="en-GB"/>
        </w:rPr>
        <w:t xml:space="preserve"> in nature</w:t>
      </w:r>
      <w:r w:rsidRPr="5575EBFC">
        <w:rPr>
          <w:lang w:val="en-GB"/>
        </w:rPr>
        <w:t xml:space="preserve"> along with climate change, land-</w:t>
      </w:r>
      <w:r w:rsidR="7A374D48" w:rsidRPr="5575EBFC">
        <w:rPr>
          <w:lang w:val="en-GB"/>
        </w:rPr>
        <w:t xml:space="preserve"> and sea-use</w:t>
      </w:r>
      <w:r w:rsidRPr="5575EBFC">
        <w:rPr>
          <w:lang w:val="en-GB"/>
        </w:rPr>
        <w:t xml:space="preserve"> change, pollution</w:t>
      </w:r>
      <w:r w:rsidR="009F7404">
        <w:rPr>
          <w:lang w:val="en-GB"/>
        </w:rPr>
        <w:t xml:space="preserve"> and</w:t>
      </w:r>
      <w:r w:rsidRPr="5575EBFC">
        <w:rPr>
          <w:lang w:val="en-GB"/>
        </w:rPr>
        <w:t xml:space="preserve"> </w:t>
      </w:r>
      <w:r w:rsidR="1025C4C1" w:rsidRPr="5575EBFC">
        <w:rPr>
          <w:rStyle w:val="normaltextrun"/>
          <w:color w:val="000000" w:themeColor="text1"/>
          <w:lang w:val="en-GB"/>
        </w:rPr>
        <w:t>direct exploitation of natural resources</w:t>
      </w:r>
      <w:r w:rsidR="1025C4C1" w:rsidRPr="5575EBFC">
        <w:rPr>
          <w:lang w:val="en-GB"/>
        </w:rPr>
        <w:t xml:space="preserve"> </w:t>
      </w:r>
      <w:r w:rsidR="585D1C8A" w:rsidRPr="5575EBFC">
        <w:rPr>
          <w:lang w:val="en-GB"/>
        </w:rPr>
        <w:fldChar w:fldCharType="begin"/>
      </w:r>
      <w:r w:rsidR="00230216">
        <w:rPr>
          <w:lang w:val="en-GB"/>
        </w:rPr>
        <w:instrText xml:space="preserve"> ADDIN ZOTERO_ITEM CSL_CITATION {"citationID":"dtctuliF","properties":{"formattedCitation":"(D\\uc0\\u237{}az et al., 2015; IPBES, 2019)","plainCitation":"(Díaz et al., 2015; IPBES, 2019)","noteIndex":0},"citationItems":[{"id":56276,"uris":["http://zotero.org/groups/2352922/items/RVMHP3KG","http://zotero.org/groups/2352922/items/MTRKLN42","http://zotero.org/groups/2352922/items/M2BU94IG"],"itemData":{"id":56276,"type":"article-journal","abstract":"The first public product of the Intergovernmental Platform on Biodiversity and Ecosystem Services (IPBES) is its Conceptual Framework. This conceptual and analytical tool, presented here in detail, will underpin all IPBES functions and provide structure and comparability to the syntheses that IPBES will produce at different spatial scales, on different themes, and in different regions. Salient innovative aspects of the IPBES Conceptual Framework are its transparent and participatory construction process and its explicit consideration of diverse scientific disciplines, stakeholders, and knowledge systems, including indigenous and local knowledge. Because the focus on co-construction of integrative knowledge is shared by an increasing number of initiatives worldwide, this framework should be useful beyond IPBES, for the wider research and knowledge-policy communities working on the links between nature and people, such as natural, social and engineering scientists, policy-makers at different levels, and decision-makers in different sectors of society.","collection-title":"Open Issue","container-title":"Current Opinion in Environmental Sustainability","DOI":"10.1016/j.cosust.2014.11.002","ISSN":"1877-3435","journalAbbreviation":"Current Opinion in Environmental Sustainability","language":"en","page":"1-16","source":"ScienceDirect","title":"The IPBES Conceptual Framework — connecting nature and people","URL":"https://doi.org/10.1016/j.cosust.2014.11.002","volume":"14","author":[{"family":"Díaz","given":"Sandra"},{"family":"Demissew","given":"Sebsebe"},{"family":"Carabias","given":"Julia"},{"family":"Joly","given":"Carlos"},{"family":"Lonsdale","given":"Mark"},{"family":"Ash","given":"Neville"},{"family":"Larigauderie","given":"Anne"},{"family":"Adhikari","given":"Jay Ram"},{"family":"Arico","given":"Salvatore"},{"family":"Báldi","given":"András"},{"family":"Bartuska","given":"Ann"},{"family":"Baste","given":"Ivar Andreas"},{"family":"Bilgin","given":"Adem"},{"family":"Brondizio","given":"Eduardo"},{"family":"Chan","given":"Kai MA"},{"family":"Figueroa","given":"Viviana Elsa"},{"family":"Duraiappah","given":"Anantha"},{"family":"Fischer","given":"Markus"},{"family":"Hill","given":"Rosemary"},{"family":"Koetz","given":"Thomas"},{"family":"Leadley","given":"Paul"},{"family":"Lyver","given":"Philip"},{"family":"Mace","given":"Georgina M"},{"family":"Martin-Lopez","given":"Berta"},{"family":"Okumura","given":"Michiko"},{"family":"Pacheco","given":"Diego"},{"family":"Pascual","given":"Unai"},{"family":"Pérez","given":"Edgar Selvin"},{"family":"Reyers","given":"Belinda"},{"family":"Roth","given":"Eva"},{"family":"Saito","given":"Osamu"},{"family":"Scholes","given":"Robert John"},{"family":"Sharma","given":"Nalini"},{"family":"Tallis","given":"Heather"},{"family":"Thaman","given":"Randolph"},{"family":"Watson","given":"Robert"},{"family":"Yahara","given":"Tetsukazu"},{"family":"Hamid","given":"Zakri Abdul"},{"family":"Akosim","given":"Callistus"},{"family":"Al-Hafedh","given":"Yousef"},{"family":"Allahverdiyev","given":"Rashad"},{"family":"Amankwah","given":"Edward"},{"family":"Asah","given":"Stanley T"},{"family":"Asfaw","given":"Zemede"},{"family":"Bartus","given":"Gabor"},{"family":"Brooks","given":"L Anathea"},{"family":"Caillaux","given":"Jorge"},{"family":"Dalle","given":"Gemedo"},{"family":"Darnaedi","given":"Dedy"},{"family":"Driver","given":"Amanda"},{"family":"Erpul","given":"Gunay"},{"family":"Escobar-Eyzaguirre","given":"Pablo"},{"family":"Failler","given":"Pierre"},{"family":"Fouda","given":"Ali Moustafa Mokhtar"},{"family":"Fu","given":"Bojie"},{"family":"Gundimeda","given":"Haripriya"},{"family":"Hashimoto","given":"Shizuka"},{"family":"Homer","given":"Floyd"},{"family":"Lavorel","given":"Sandra"},{"family":"Lichtenstein","given":"Gabriela"},{"family":"Mala","given":"William Armand"},{"family":"Mandivenyi","given":"Wadzanayi"},{"family":"Matczak","given":"Piotr"},{"family":"Mbizvo","given":"Carmel"},{"family":"Mehrdadi","given":"Mehrasa"},{"family":"Metzger","given":"Jean Paul"},{"family":"Mikissa","given":"Jean Bruno"},{"family":"Moller","given":"Henrik"},{"family":"Mooney","given":"Harold A"},{"family":"Mumby","given":"Peter"},{"family":"Nagendra","given":"Harini"},{"family":"Nesshover","given":"Carsten"},{"family":"Oteng-Yeboah","given":"Alfred Apau"},{"family":"Pataki","given":"György"},{"family":"Roué","given":"Marie"},{"family":"Rubis","given":"Jennifer"},{"family":"Schultz","given":"Maria"},{"family":"Smith","given":"Peggy"},{"family":"Sumaila","given":"Rashid"},{"family":"Takeuchi","given":"Kazuhiko"},{"family":"Thomas","given":"Spencer"},{"family":"Verma","given":"Madhu"},{"family":"Yeo-Chang","given":"Youn"},{"family":"Zlatanova","given":"Diana"}],"accessed":{"date-parts":[["2023",6,8]]},"issued":{"date-parts":[["2015",6,1]]}}},{"id":53933,"uris":["http://zotero.org/groups/2352922/items/JYFISR8Z","http://zotero.org/groups/2352922/items/ZACZGHZL"],"itemData":{"id":53933,"type":"report","abstract":"IPBES is to perform regular and timely assessments of knowledge on biodiversity and ecosystem services and their interlinkages at the global level. Also addressing an invitation by the Conference of the Parties of the Convention on Biological Diversity (CBD) to prepare a global assessment of biodiversity and ecosystem services building, inter alia, on its own and other relevant regional, subregional and thematic assessments, as well as on national reports. The overall scope of the assessment is to assess the status and trends with regard to biodiversity and ecosystem services, the impact of biodiversity and ecosystem services on human well-being and the effectiveness of responses, including the Strategic Plan and its Aichi Biodiversity Targets. It is anticipated that this deliverable will contribute to the process for the evaluation and renewal of the Strategic Plan for Biodiversity and its Aichi Biodiversity Targets. The IPBES Global Assessment on Biodiversity and Ecosystem Services is composed of 1) a Summary for Policymakers (SPM), approved by the IPBES Plenary at its 7th session in May 2019 in Paris, France (IPBES-7); and 2) a set of six Chapters, accepted by the IPBES Plenary.","language":"en","license":"Creative Commons Attribution 4.0 International, Open Access","note":"Version Number 1\nDOI: 10.5281/ZENODO.3831673","publisher":"Secretariat of the Intergovernmental Science-Policy Platform on Biodiversity and Ecosystem Services","source":"DOI.org (Datacite)","title":"Global assessment report on biodiversity and ecosystem services of the Intergovernmental Science-Policy Platform on Biodiversity and Ecosystem Services","URL":"https://zenodo.org/record/3831673","author":[{"literal":"IPBES"}],"contributor":[{"family":"Brondizio","given":"Eduardo"},{"family":"Diaz","given":"Sandra"},{"family":"Settele","given":"Josef"},{"family":"Ngo","given":"Hien T."}],"accessed":{"date-parts":[["2023",1,5]]},"issued":{"date-parts":[["2019"]]}}}],"schema":"https://github.com/citation-style-language/schema/raw/master/csl-citation.json"} </w:instrText>
      </w:r>
      <w:r w:rsidR="585D1C8A" w:rsidRPr="5575EBFC">
        <w:rPr>
          <w:lang w:val="en-GB"/>
        </w:rPr>
        <w:fldChar w:fldCharType="separate"/>
      </w:r>
      <w:r w:rsidR="6B5F9B9E">
        <w:t>(Díaz et al., 2015; IPBES, 2019)</w:t>
      </w:r>
      <w:r w:rsidR="585D1C8A" w:rsidRPr="5575EBFC">
        <w:rPr>
          <w:lang w:val="en-GB"/>
        </w:rPr>
        <w:fldChar w:fldCharType="end"/>
      </w:r>
      <w:r w:rsidRPr="5575EBFC">
        <w:rPr>
          <w:lang w:val="en-GB"/>
        </w:rPr>
        <w:t>.</w:t>
      </w:r>
      <w:r w:rsidR="765F76D9" w:rsidRPr="5575EBFC">
        <w:rPr>
          <w:lang w:val="en-GB"/>
        </w:rPr>
        <w:t xml:space="preserve"> </w:t>
      </w:r>
      <w:r w:rsidR="2BE34152" w:rsidRPr="5575EBFC">
        <w:rPr>
          <w:lang w:val="en-GB"/>
        </w:rPr>
        <w:t>According to this framework, d</w:t>
      </w:r>
      <w:r w:rsidR="2026A3C1" w:rsidRPr="5575EBFC">
        <w:rPr>
          <w:lang w:val="en-GB"/>
        </w:rPr>
        <w:t>irect</w:t>
      </w:r>
      <w:r w:rsidR="2026A3C1" w:rsidRPr="5575EBFC">
        <w:rPr>
          <w:rFonts w:eastAsia="Times New Roman"/>
          <w:color w:val="000000" w:themeColor="text1"/>
          <w:lang w:val="en-GB"/>
        </w:rPr>
        <w:t xml:space="preserve"> drivers have direct physical (mechanical, chemical</w:t>
      </w:r>
      <w:r w:rsidR="00E77D81">
        <w:rPr>
          <w:rFonts w:eastAsia="Times New Roman"/>
          <w:color w:val="000000" w:themeColor="text1"/>
          <w:lang w:val="en-GB"/>
        </w:rPr>
        <w:t>,</w:t>
      </w:r>
      <w:r w:rsidR="2026A3C1" w:rsidRPr="5575EBFC">
        <w:rPr>
          <w:rFonts w:eastAsia="Times New Roman"/>
          <w:color w:val="000000" w:themeColor="text1"/>
          <w:lang w:val="en-GB"/>
        </w:rPr>
        <w:t xml:space="preserve"> etc.) and </w:t>
      </w:r>
      <w:r w:rsidR="6DB4089A" w:rsidRPr="5575EBFC">
        <w:rPr>
          <w:rFonts w:eastAsia="Times New Roman"/>
          <w:color w:val="000000" w:themeColor="text1"/>
          <w:lang w:val="en-GB"/>
        </w:rPr>
        <w:t>biological (physiological, ecological, behavioural)</w:t>
      </w:r>
      <w:r w:rsidR="2026A3C1" w:rsidRPr="5575EBFC">
        <w:rPr>
          <w:rFonts w:eastAsia="Times New Roman"/>
          <w:color w:val="000000" w:themeColor="text1"/>
          <w:lang w:val="en-GB"/>
        </w:rPr>
        <w:t xml:space="preserve"> effects on </w:t>
      </w:r>
      <w:r w:rsidR="35BB3AF5" w:rsidRPr="5575EBFC">
        <w:rPr>
          <w:lang w:val="en-GB"/>
        </w:rPr>
        <w:t xml:space="preserve">nature </w:t>
      </w:r>
      <w:r w:rsidR="334C2ED9" w:rsidRPr="5575EBFC">
        <w:rPr>
          <w:lang w:val="en-GB"/>
        </w:rPr>
        <w:t xml:space="preserve">(biodiversity and ecosystems) </w:t>
      </w:r>
      <w:r w:rsidR="4DD23F1D" w:rsidRPr="5575EBFC">
        <w:rPr>
          <w:lang w:val="en-GB"/>
        </w:rPr>
        <w:t xml:space="preserve">which again impact </w:t>
      </w:r>
      <w:r w:rsidR="6A5C8E7B" w:rsidRPr="5575EBFC">
        <w:rPr>
          <w:lang w:val="en-GB"/>
        </w:rPr>
        <w:t>nature’s contributions to people</w:t>
      </w:r>
      <w:r w:rsidR="56D835DA" w:rsidRPr="5575EBFC">
        <w:rPr>
          <w:lang w:val="en-GB"/>
        </w:rPr>
        <w:t xml:space="preserve"> (</w:t>
      </w:r>
      <w:r w:rsidR="18B3DF14" w:rsidRPr="5575EBFC">
        <w:rPr>
          <w:lang w:val="en-GB"/>
        </w:rPr>
        <w:t xml:space="preserve">including </w:t>
      </w:r>
      <w:r w:rsidR="03F5A63F" w:rsidRPr="5575EBFC">
        <w:rPr>
          <w:lang w:val="en-GB"/>
        </w:rPr>
        <w:t>e</w:t>
      </w:r>
      <w:r w:rsidR="56D835DA" w:rsidRPr="5575EBFC">
        <w:rPr>
          <w:lang w:val="en-GB"/>
        </w:rPr>
        <w:t>cosystem goods and services</w:t>
      </w:r>
      <w:r w:rsidR="61A9341A" w:rsidRPr="5575EBFC">
        <w:rPr>
          <w:lang w:val="en-GB"/>
        </w:rPr>
        <w:t>)</w:t>
      </w:r>
      <w:r w:rsidR="647E7135" w:rsidRPr="5575EBFC">
        <w:rPr>
          <w:lang w:val="en-GB"/>
        </w:rPr>
        <w:t xml:space="preserve"> and </w:t>
      </w:r>
      <w:r w:rsidR="385D87A4" w:rsidRPr="5575EBFC">
        <w:rPr>
          <w:lang w:val="en-GB"/>
        </w:rPr>
        <w:t xml:space="preserve">more generally </w:t>
      </w:r>
      <w:r w:rsidR="647E7135" w:rsidRPr="5575EBFC">
        <w:rPr>
          <w:lang w:val="en-GB"/>
        </w:rPr>
        <w:t xml:space="preserve">good quality of life </w:t>
      </w:r>
      <w:r w:rsidR="50CE0EAC" w:rsidRPr="5575EBFC">
        <w:rPr>
          <w:lang w:val="en-GB"/>
        </w:rPr>
        <w:t>(</w:t>
      </w:r>
      <w:r w:rsidR="042D6AC3" w:rsidRPr="5575EBFC">
        <w:rPr>
          <w:b/>
          <w:bCs/>
          <w:lang w:val="en-GB"/>
        </w:rPr>
        <w:t>C</w:t>
      </w:r>
      <w:r w:rsidR="687207EE" w:rsidRPr="5575EBFC">
        <w:rPr>
          <w:b/>
          <w:bCs/>
          <w:lang w:val="en-GB"/>
        </w:rPr>
        <w:t>hapter 1</w:t>
      </w:r>
      <w:r w:rsidR="687207EE" w:rsidRPr="5575EBFC">
        <w:rPr>
          <w:lang w:val="en-GB"/>
        </w:rPr>
        <w:t>,</w:t>
      </w:r>
      <w:r w:rsidR="687207EE" w:rsidRPr="5575EBFC">
        <w:rPr>
          <w:b/>
          <w:bCs/>
          <w:lang w:val="en-GB"/>
        </w:rPr>
        <w:t xml:space="preserve"> </w:t>
      </w:r>
      <w:r w:rsidR="00E23B69">
        <w:rPr>
          <w:b/>
          <w:bCs/>
          <w:lang w:val="en-GB"/>
        </w:rPr>
        <w:t>Figure</w:t>
      </w:r>
      <w:r w:rsidR="364FBC63" w:rsidRPr="5575EBFC">
        <w:rPr>
          <w:b/>
          <w:bCs/>
          <w:lang w:val="en-GB"/>
        </w:rPr>
        <w:t xml:space="preserve"> </w:t>
      </w:r>
      <w:r w:rsidR="647E7135" w:rsidRPr="5575EBFC">
        <w:rPr>
          <w:b/>
          <w:bCs/>
          <w:lang w:val="en-GB"/>
        </w:rPr>
        <w:t>1.</w:t>
      </w:r>
      <w:r w:rsidR="543025F9" w:rsidRPr="5575EBFC">
        <w:rPr>
          <w:b/>
          <w:bCs/>
          <w:lang w:val="en-GB"/>
        </w:rPr>
        <w:t>11</w:t>
      </w:r>
      <w:r w:rsidR="44349199" w:rsidRPr="5575EBFC">
        <w:rPr>
          <w:lang w:val="en-GB"/>
        </w:rPr>
        <w:t xml:space="preserve">; </w:t>
      </w:r>
      <w:r w:rsidR="585D1C8A" w:rsidRPr="5575EBFC">
        <w:rPr>
          <w:lang w:val="en-GB"/>
        </w:rPr>
        <w:fldChar w:fldCharType="begin"/>
      </w:r>
      <w:r w:rsidR="00331A79">
        <w:rPr>
          <w:lang w:val="en-GB"/>
        </w:rPr>
        <w:instrText xml:space="preserve"> ADDIN ZOTERO_ITEM CSL_CITATION {"citationID":"mT9wxoDQ","properties":{"formattedCitation":"(D\\uc0\\u237{}az et al., 2018)","plainCitation":"(Díaz et al., 2018)","dontUpdate":true,"noteIndex":0},"citationItems":[{"id":28728,"uris":["http://zotero.org/groups/2352922/items/9AI95ZE9"],"itemData":{"id":28728,"type":"article-journal","container-title":"Science","DOI":"10.1126/science.aap8826","ISSN":"0036-8075, 1095-9203","issue":"6373","journalAbbreviation":"Science","language":"en","page":"270-272","source":"DOI.org (Crossref)","title":"An inclusive approach to assesse nature's contributions to people","URL":"https://www.science.org/doi/abs/10.1126/science.aap8826","volume":"359","author":[{"family":"Díaz","given":"Sandra"},{"family":"Pascual","given":"Unai"},{"family":"Stenseke","given":"Marie"},{"family":"Martín-López","given":"Berta"},{"family":"Watson","given":"Robert T."},{"family":"Molnár","given":"Zsolt"},{"family":"Hill","given":"Rosemary"},{"family":"Chan","given":"Kai M. A."},{"family":"Baste","given":"Ivar A."},{"family":"Brauman","given":"Kate A."},{"family":"Polasky","given":"Stephen"},{"family":"Church","given":"Andrew"},{"family":"Lonsdale","given":"Mark"},{"family":"Larigauderie","given":"Anne"},{"family":"Leadley","given":"Paul W."},{"family":"Oudenhoven","given":"Alexander P. E.","non-dropping-particle":"van"},{"family":"Plaat","given":"Felice","non-dropping-particle":"van der"},{"family":"Schröter","given":"Matthias"},{"family":"Lavorel","given":"Sandra"},{"family":"Aumeeruddy-Thomas","given":"Yildiz"},{"family":"Bukvareva","given":"Elena"},{"family":"Davies","given":"Kirsten"},{"family":"Demissew","given":"Sebsebe"},{"family":"Erpul","given":"Gunay"},{"family":"Failler","given":"Pierre"},{"family":"Guerra","given":"Carlos A."},{"family":"Hewitt","given":"Chad L."},{"family":"Keune","given":"Hans"},{"family":"Lindley","given":"Sarah"},{"family":"Shirayama","given":"Yoshihisa"}],"accessed":{"date-parts":[["2020",3,9]]},"issued":{"date-parts":[["2018",1,19]]}}}],"schema":"https://github.com/citation-style-language/schema/raw/master/csl-citation.json"} </w:instrText>
      </w:r>
      <w:r w:rsidR="585D1C8A" w:rsidRPr="5575EBFC">
        <w:rPr>
          <w:lang w:val="en-GB"/>
        </w:rPr>
        <w:fldChar w:fldCharType="separate"/>
      </w:r>
      <w:r w:rsidR="44349199" w:rsidRPr="5575EBFC">
        <w:rPr>
          <w:lang w:val="en-GB"/>
        </w:rPr>
        <w:t>Díaz et al., 2018)</w:t>
      </w:r>
      <w:r w:rsidR="585D1C8A" w:rsidRPr="5575EBFC">
        <w:rPr>
          <w:lang w:val="en-GB"/>
        </w:rPr>
        <w:fldChar w:fldCharType="end"/>
      </w:r>
      <w:r w:rsidR="2026A3C1" w:rsidRPr="5575EBFC">
        <w:rPr>
          <w:rFonts w:eastAsia="Times New Roman"/>
          <w:color w:val="000000" w:themeColor="text1"/>
          <w:lang w:val="en-GB"/>
        </w:rPr>
        <w:t>.</w:t>
      </w:r>
      <w:r w:rsidR="765F76D9" w:rsidRPr="5575EBFC">
        <w:rPr>
          <w:rFonts w:eastAsia="Times New Roman"/>
          <w:color w:val="000000" w:themeColor="text1"/>
          <w:lang w:val="en-GB"/>
        </w:rPr>
        <w:t xml:space="preserve"> </w:t>
      </w:r>
      <w:r w:rsidR="0F9FAC9A" w:rsidRPr="5575EBFC">
        <w:rPr>
          <w:rFonts w:eastAsia="Times New Roman"/>
          <w:color w:val="000000" w:themeColor="text1"/>
          <w:lang w:val="en-GB"/>
        </w:rPr>
        <w:t>Th</w:t>
      </w:r>
      <w:r w:rsidR="2D00FD3B" w:rsidRPr="5575EBFC">
        <w:rPr>
          <w:rFonts w:eastAsia="Times New Roman"/>
          <w:color w:val="000000" w:themeColor="text1"/>
          <w:lang w:val="en-GB"/>
        </w:rPr>
        <w:t>e IPBES invasive alien species</w:t>
      </w:r>
      <w:r w:rsidR="0F9FAC9A" w:rsidRPr="5575EBFC">
        <w:rPr>
          <w:rFonts w:eastAsia="Times New Roman"/>
          <w:color w:val="000000" w:themeColor="text1"/>
          <w:lang w:val="en-GB"/>
        </w:rPr>
        <w:t xml:space="preserve"> </w:t>
      </w:r>
      <w:r w:rsidR="7A374D48" w:rsidRPr="5575EBFC">
        <w:rPr>
          <w:rFonts w:eastAsia="Times New Roman"/>
          <w:color w:val="000000" w:themeColor="text1"/>
          <w:lang w:val="en-GB"/>
        </w:rPr>
        <w:t>assessment</w:t>
      </w:r>
      <w:r w:rsidR="0F9FAC9A" w:rsidRPr="5575EBFC">
        <w:rPr>
          <w:rFonts w:eastAsia="Times New Roman"/>
          <w:color w:val="000000" w:themeColor="text1"/>
          <w:lang w:val="en-GB"/>
        </w:rPr>
        <w:t xml:space="preserve"> </w:t>
      </w:r>
      <w:r w:rsidR="77270551" w:rsidRPr="5575EBFC">
        <w:rPr>
          <w:rFonts w:eastAsia="Times New Roman"/>
          <w:color w:val="000000" w:themeColor="text1"/>
          <w:lang w:val="en-GB"/>
        </w:rPr>
        <w:t>refer</w:t>
      </w:r>
      <w:r w:rsidR="0F9FAC9A" w:rsidRPr="5575EBFC">
        <w:rPr>
          <w:rFonts w:eastAsia="Times New Roman"/>
          <w:color w:val="000000" w:themeColor="text1"/>
          <w:lang w:val="en-GB"/>
        </w:rPr>
        <w:t>s</w:t>
      </w:r>
      <w:r w:rsidR="77270551" w:rsidRPr="5575EBFC">
        <w:rPr>
          <w:rFonts w:eastAsia="Times New Roman"/>
          <w:color w:val="000000" w:themeColor="text1"/>
          <w:lang w:val="en-GB"/>
        </w:rPr>
        <w:t xml:space="preserve"> to these drivers as </w:t>
      </w:r>
      <w:r w:rsidR="2EFAB87F" w:rsidRPr="5575EBFC">
        <w:rPr>
          <w:rFonts w:eastAsia="Times New Roman"/>
          <w:color w:val="000000" w:themeColor="text1"/>
          <w:lang w:val="en-GB"/>
        </w:rPr>
        <w:t>“</w:t>
      </w:r>
      <w:r w:rsidR="77270551" w:rsidRPr="5575EBFC">
        <w:rPr>
          <w:rFonts w:eastAsia="Times New Roman"/>
          <w:color w:val="000000" w:themeColor="text1"/>
          <w:lang w:val="en-GB"/>
        </w:rPr>
        <w:t xml:space="preserve">direct </w:t>
      </w:r>
      <w:r w:rsidR="653902EA" w:rsidRPr="5575EBFC">
        <w:rPr>
          <w:rFonts w:eastAsia="Times New Roman"/>
          <w:color w:val="000000" w:themeColor="text1"/>
          <w:lang w:val="en-GB"/>
        </w:rPr>
        <w:t>drivers of change in nature</w:t>
      </w:r>
      <w:r w:rsidR="2EFAB87F" w:rsidRPr="5575EBFC">
        <w:rPr>
          <w:rFonts w:eastAsia="Times New Roman"/>
          <w:color w:val="000000" w:themeColor="text1"/>
          <w:lang w:val="en-GB"/>
        </w:rPr>
        <w:t>”</w:t>
      </w:r>
      <w:r w:rsidR="77270551" w:rsidRPr="5575EBFC">
        <w:rPr>
          <w:rFonts w:eastAsia="Times New Roman"/>
          <w:color w:val="000000" w:themeColor="text1"/>
          <w:lang w:val="en-GB"/>
        </w:rPr>
        <w:t xml:space="preserve">. </w:t>
      </w:r>
      <w:r w:rsidRPr="5575EBFC">
        <w:rPr>
          <w:lang w:val="en-GB"/>
        </w:rPr>
        <w:t xml:space="preserve">The magnitude of the impact of </w:t>
      </w:r>
      <w:r w:rsidR="128EE859" w:rsidRPr="5575EBFC">
        <w:rPr>
          <w:lang w:val="en-GB"/>
        </w:rPr>
        <w:t xml:space="preserve">these </w:t>
      </w:r>
      <w:r w:rsidRPr="5575EBFC">
        <w:rPr>
          <w:lang w:val="en-GB"/>
        </w:rPr>
        <w:t xml:space="preserve">direct </w:t>
      </w:r>
      <w:r w:rsidR="784A3728" w:rsidRPr="5575EBFC">
        <w:rPr>
          <w:lang w:val="en-GB"/>
        </w:rPr>
        <w:t xml:space="preserve">drivers of </w:t>
      </w:r>
      <w:r w:rsidRPr="5575EBFC">
        <w:rPr>
          <w:lang w:val="en-GB"/>
        </w:rPr>
        <w:t>change</w:t>
      </w:r>
      <w:r w:rsidR="093F2CBE" w:rsidRPr="5575EBFC">
        <w:rPr>
          <w:lang w:val="en-GB"/>
        </w:rPr>
        <w:t xml:space="preserve"> on </w:t>
      </w:r>
      <w:r w:rsidR="653902EA" w:rsidRPr="5575EBFC">
        <w:rPr>
          <w:lang w:val="en-GB"/>
        </w:rPr>
        <w:t>nature</w:t>
      </w:r>
      <w:r w:rsidR="3B0993B9" w:rsidRPr="5575EBFC">
        <w:rPr>
          <w:lang w:val="en-GB"/>
        </w:rPr>
        <w:t>, and in some cases on nature’s contribut</w:t>
      </w:r>
      <w:r w:rsidR="63845DC2" w:rsidRPr="5575EBFC">
        <w:rPr>
          <w:lang w:val="en-GB"/>
        </w:rPr>
        <w:t>ions to people and good quality of life</w:t>
      </w:r>
      <w:r w:rsidR="2ECE7CD1" w:rsidRPr="5575EBFC">
        <w:rPr>
          <w:lang w:val="en-GB"/>
        </w:rPr>
        <w:t>,</w:t>
      </w:r>
      <w:r w:rsidR="63845DC2" w:rsidRPr="5575EBFC">
        <w:rPr>
          <w:lang w:val="en-GB"/>
        </w:rPr>
        <w:t xml:space="preserve"> </w:t>
      </w:r>
      <w:r w:rsidRPr="5575EBFC">
        <w:rPr>
          <w:lang w:val="en-GB"/>
        </w:rPr>
        <w:t xml:space="preserve">is also shaped by five </w:t>
      </w:r>
      <w:r w:rsidR="2EFAB87F" w:rsidRPr="5575EBFC">
        <w:rPr>
          <w:lang w:val="en-GB"/>
        </w:rPr>
        <w:t>“</w:t>
      </w:r>
      <w:r w:rsidR="7E156B1E" w:rsidRPr="5575EBFC">
        <w:rPr>
          <w:lang w:val="en-GB"/>
        </w:rPr>
        <w:t>i</w:t>
      </w:r>
      <w:r w:rsidRPr="5575EBFC">
        <w:rPr>
          <w:lang w:val="en-GB"/>
        </w:rPr>
        <w:t xml:space="preserve">ndirect </w:t>
      </w:r>
      <w:r w:rsidR="784A3728" w:rsidRPr="5575EBFC">
        <w:rPr>
          <w:lang w:val="en-GB"/>
        </w:rPr>
        <w:t>drivers</w:t>
      </w:r>
      <w:r w:rsidR="2EFAB87F" w:rsidRPr="5575EBFC">
        <w:rPr>
          <w:lang w:val="en-GB"/>
        </w:rPr>
        <w:t>”</w:t>
      </w:r>
      <w:r w:rsidR="784A3728" w:rsidRPr="5575EBFC">
        <w:rPr>
          <w:lang w:val="en-GB"/>
        </w:rPr>
        <w:t xml:space="preserve"> of </w:t>
      </w:r>
      <w:r w:rsidR="63845DC2" w:rsidRPr="5575EBFC">
        <w:rPr>
          <w:lang w:val="en-GB"/>
        </w:rPr>
        <w:t>change</w:t>
      </w:r>
      <w:r w:rsidRPr="5575EBFC">
        <w:rPr>
          <w:lang w:val="en-GB"/>
        </w:rPr>
        <w:t xml:space="preserve">: human demography, economic development, technological change, the strength of national and international governance </w:t>
      </w:r>
      <w:r w:rsidR="3C9E46F5" w:rsidRPr="5575EBFC">
        <w:rPr>
          <w:lang w:val="en-GB" w:eastAsia="en-NZ"/>
        </w:rPr>
        <w:t>(</w:t>
      </w:r>
      <w:r w:rsidR="00E23B69">
        <w:rPr>
          <w:b/>
          <w:bCs/>
          <w:lang w:val="en-GB" w:eastAsia="en-NZ"/>
        </w:rPr>
        <w:t>Glossary</w:t>
      </w:r>
      <w:r w:rsidR="3C9E46F5" w:rsidRPr="5575EBFC">
        <w:rPr>
          <w:lang w:val="en-GB" w:eastAsia="en-NZ"/>
        </w:rPr>
        <w:t xml:space="preserve">) </w:t>
      </w:r>
      <w:r w:rsidRPr="5575EBFC">
        <w:rPr>
          <w:lang w:val="en-GB"/>
        </w:rPr>
        <w:t>as well as sociocultural factors (</w:t>
      </w:r>
      <w:r w:rsidR="00E23B69">
        <w:rPr>
          <w:b/>
          <w:bCs/>
          <w:lang w:val="en-GB"/>
        </w:rPr>
        <w:t>Figure</w:t>
      </w:r>
      <w:r w:rsidR="09D4245B" w:rsidRPr="5575EBFC">
        <w:rPr>
          <w:b/>
          <w:bCs/>
          <w:lang w:val="en-GB"/>
        </w:rPr>
        <w:t xml:space="preserve"> 3.3</w:t>
      </w:r>
      <w:r w:rsidRPr="5575EBFC">
        <w:rPr>
          <w:lang w:val="en-GB"/>
        </w:rPr>
        <w:t>).</w:t>
      </w:r>
      <w:r w:rsidRPr="5575EBFC">
        <w:rPr>
          <w:color w:val="FF0000"/>
          <w:lang w:val="en-GB"/>
        </w:rPr>
        <w:t xml:space="preserve"> </w:t>
      </w:r>
      <w:r w:rsidRPr="5575EBFC">
        <w:rPr>
          <w:lang w:val="en-GB"/>
        </w:rPr>
        <w:t xml:space="preserve">These drivers are described as indirect because they do not </w:t>
      </w:r>
      <w:r w:rsidR="3AA5735B" w:rsidRPr="5575EBFC">
        <w:rPr>
          <w:lang w:val="en-GB"/>
        </w:rPr>
        <w:t>directly</w:t>
      </w:r>
      <w:r w:rsidRPr="5575EBFC">
        <w:rPr>
          <w:lang w:val="en-GB"/>
        </w:rPr>
        <w:t xml:space="preserve"> impact </w:t>
      </w:r>
      <w:r w:rsidR="080AD172" w:rsidRPr="5575EBFC">
        <w:rPr>
          <w:lang w:val="en-GB"/>
        </w:rPr>
        <w:t xml:space="preserve">nature (i.e., </w:t>
      </w:r>
      <w:r w:rsidRPr="5575EBFC">
        <w:rPr>
          <w:lang w:val="en-GB"/>
        </w:rPr>
        <w:t>biodiversity and ecosystems</w:t>
      </w:r>
      <w:r w:rsidR="21142CCD" w:rsidRPr="5575EBFC">
        <w:rPr>
          <w:lang w:val="en-GB"/>
        </w:rPr>
        <w:t>)</w:t>
      </w:r>
      <w:r w:rsidRPr="5575EBFC">
        <w:rPr>
          <w:lang w:val="en-GB"/>
        </w:rPr>
        <w:t xml:space="preserve">, but act through one or more direct </w:t>
      </w:r>
      <w:r w:rsidR="784A3728" w:rsidRPr="5575EBFC">
        <w:rPr>
          <w:lang w:val="en-GB"/>
        </w:rPr>
        <w:t xml:space="preserve">drivers of </w:t>
      </w:r>
      <w:r w:rsidRPr="5575EBFC">
        <w:rPr>
          <w:lang w:val="en-GB"/>
        </w:rPr>
        <w:t>change</w:t>
      </w:r>
      <w:r w:rsidR="4F68856B" w:rsidRPr="5575EBFC">
        <w:rPr>
          <w:lang w:val="en-GB"/>
        </w:rPr>
        <w:t xml:space="preserve"> in nature</w:t>
      </w:r>
      <w:r w:rsidRPr="5575EBFC">
        <w:rPr>
          <w:lang w:val="en-GB"/>
        </w:rPr>
        <w:t xml:space="preserve"> </w:t>
      </w:r>
      <w:r w:rsidR="585D1C8A" w:rsidRPr="5575EBFC">
        <w:rPr>
          <w:lang w:val="en-GB"/>
        </w:rPr>
        <w:fldChar w:fldCharType="begin"/>
      </w:r>
      <w:r w:rsidR="00331A79">
        <w:rPr>
          <w:lang w:val="en-GB"/>
        </w:rPr>
        <w:instrText xml:space="preserve"> ADDIN ZOTERO_ITEM CSL_CITATION {"citationID":"cxodsc54","properties":{"formattedCitation":"(Nelson et al., 2006)","plainCitation":"(Nelson et al., 2006)","noteIndex":0},"citationItems":[{"id":11259,"uris":["http://zotero.org/groups/2352922/items/XJQG3XT3"],"itemData":{"id":11259,"type":"article-journal","abstract":"This paper provides an overview of what the Millennium Ecosystem Assessment ( MA) calls \"indirect and direct drivers\" of change in ecosystem services at a global level. The MA definition of a driver is any natural or human-induced factor that directly or indirectly causes a change in an ecosystem. A direct driver unequivocally influences ecosystem processes. An indirect driver operates more diffusely by altering one or more direct drivers. Global driving forces are categorized as demographic, economic, sociopolitical, cultural and religious, scientific and technological, and physical and biological. Drivers in all categories other than physical and biological are considered indirect. Important direct drivers include changes in climate, plant nutrient use, land conversion, and diseases and invasive species. This paper does not discuss natural drivers such as climate variability, extreme weather events, or volcanic eruptions.","container-title":"Ecology and Society","ISSN":"1708-3087","issue":"2","note":"WOS:000243280800028","page":"29","title":"Anthropogenic drivers of ecosystem change: An overview","URL":"https://www.jstor.org/stable/26266018","volume":"11","author":[{"family":"Nelson","given":"Gerald C."},{"family":"Bennett","given":"Elena"},{"family":"Berhe","given":"Asmeret A."},{"family":"Cassman","given":"Kenneth"},{"family":"DeFries","given":"Ruth"},{"family":"Dietz","given":"Thomas"},{"family":"Dobermann","given":"Achim"},{"family":"Dobson","given":"Andrew"},{"family":"Janetos","given":"Anthony"},{"family":"Levy","given":"Marc"},{"family":"Marco","given":"Diana"},{"family":"Nakicenovic","given":"Nebojsa"},{"family":"O'Neill","given":"Brian"},{"family":"Norgaard","given":"Richard"},{"family":"Petschel-Held","given":"Gerhard"},{"family":"Ojima","given":"Dennis"},{"family":"Pingali","given":"Prabhu"},{"family":"Watson","given":"Robert"},{"family":"Zurek","given":"Monika"}],"issued":{"date-parts":[["2006",12]]}}}],"schema":"https://github.com/citation-style-language/schema/raw/master/csl-citation.json"} </w:instrText>
      </w:r>
      <w:r w:rsidR="585D1C8A" w:rsidRPr="5575EBFC">
        <w:rPr>
          <w:lang w:val="en-GB"/>
        </w:rPr>
        <w:fldChar w:fldCharType="separate"/>
      </w:r>
      <w:r w:rsidR="6B5F9B9E">
        <w:t>(Nelson et al., 2006)</w:t>
      </w:r>
      <w:r w:rsidR="585D1C8A" w:rsidRPr="5575EBFC">
        <w:rPr>
          <w:lang w:val="en-GB"/>
        </w:rPr>
        <w:fldChar w:fldCharType="end"/>
      </w:r>
      <w:r w:rsidRPr="5575EBFC">
        <w:rPr>
          <w:lang w:val="en-GB"/>
        </w:rPr>
        <w:t>.</w:t>
      </w:r>
      <w:r w:rsidR="765F76D9" w:rsidRPr="5575EBFC">
        <w:rPr>
          <w:lang w:val="en-GB"/>
        </w:rPr>
        <w:t xml:space="preserve"> </w:t>
      </w:r>
      <w:r w:rsidR="671E1741" w:rsidRPr="5575EBFC">
        <w:rPr>
          <w:lang w:val="en-GB"/>
        </w:rPr>
        <w:t>Indire</w:t>
      </w:r>
      <w:r w:rsidR="41F6E64C" w:rsidRPr="5575EBFC">
        <w:rPr>
          <w:lang w:val="en-GB"/>
        </w:rPr>
        <w:t xml:space="preserve">ct </w:t>
      </w:r>
      <w:r w:rsidR="653902EA" w:rsidRPr="5575EBFC">
        <w:rPr>
          <w:lang w:val="en-GB"/>
        </w:rPr>
        <w:t xml:space="preserve">drivers </w:t>
      </w:r>
      <w:r w:rsidR="57249595" w:rsidRPr="5575EBFC">
        <w:rPr>
          <w:lang w:val="en-GB"/>
        </w:rPr>
        <w:lastRenderedPageBreak/>
        <w:t xml:space="preserve">impact </w:t>
      </w:r>
      <w:r w:rsidR="653902EA" w:rsidRPr="5575EBFC">
        <w:rPr>
          <w:lang w:val="en-GB"/>
        </w:rPr>
        <w:t>nature</w:t>
      </w:r>
      <w:r w:rsidR="671E1741" w:rsidRPr="5575EBFC">
        <w:rPr>
          <w:lang w:val="en-GB"/>
        </w:rPr>
        <w:t xml:space="preserve"> </w:t>
      </w:r>
      <w:r w:rsidR="60745FF8" w:rsidRPr="5575EBFC">
        <w:rPr>
          <w:lang w:val="en-GB"/>
        </w:rPr>
        <w:t xml:space="preserve">by affecting the level (e.g., magnitude), direction (e.g., increase or decrease) or rate (e.g., change over time) of </w:t>
      </w:r>
      <w:r w:rsidR="7F3C1241" w:rsidRPr="5575EBFC">
        <w:rPr>
          <w:lang w:val="en-GB"/>
        </w:rPr>
        <w:t xml:space="preserve">the </w:t>
      </w:r>
      <w:r w:rsidR="60745FF8" w:rsidRPr="5575EBFC">
        <w:rPr>
          <w:lang w:val="en-GB"/>
        </w:rPr>
        <w:t xml:space="preserve">direct </w:t>
      </w:r>
      <w:r w:rsidR="784A3728" w:rsidRPr="5575EBFC">
        <w:rPr>
          <w:lang w:val="en-GB"/>
        </w:rPr>
        <w:t>drivers</w:t>
      </w:r>
      <w:r w:rsidR="60745FF8" w:rsidRPr="5575EBFC">
        <w:rPr>
          <w:lang w:val="en-GB"/>
        </w:rPr>
        <w:t>.</w:t>
      </w:r>
      <w:r w:rsidR="765F76D9" w:rsidRPr="5575EBFC">
        <w:rPr>
          <w:lang w:val="en-GB"/>
        </w:rPr>
        <w:t xml:space="preserve"> </w:t>
      </w:r>
      <w:r w:rsidR="0CC64FC5" w:rsidRPr="5575EBFC">
        <w:rPr>
          <w:lang w:val="en-GB"/>
        </w:rPr>
        <w:t xml:space="preserve">For example, </w:t>
      </w:r>
      <w:r w:rsidR="35F63DD1" w:rsidRPr="5575EBFC">
        <w:rPr>
          <w:lang w:val="en-GB"/>
        </w:rPr>
        <w:t xml:space="preserve">the impacts of </w:t>
      </w:r>
      <w:r w:rsidR="524FE716" w:rsidRPr="5575EBFC">
        <w:rPr>
          <w:lang w:val="en-GB"/>
        </w:rPr>
        <w:t>economic growth</w:t>
      </w:r>
      <w:r w:rsidR="671E1741" w:rsidRPr="5575EBFC">
        <w:rPr>
          <w:lang w:val="en-GB"/>
        </w:rPr>
        <w:t xml:space="preserve"> (</w:t>
      </w:r>
      <w:r w:rsidR="2E9676E5" w:rsidRPr="5575EBFC">
        <w:rPr>
          <w:lang w:val="en-GB"/>
        </w:rPr>
        <w:t xml:space="preserve">an </w:t>
      </w:r>
      <w:r w:rsidR="671E1741" w:rsidRPr="5575EBFC">
        <w:rPr>
          <w:lang w:val="en-GB"/>
        </w:rPr>
        <w:t xml:space="preserve">indirect </w:t>
      </w:r>
      <w:r w:rsidR="653902EA" w:rsidRPr="5575EBFC">
        <w:rPr>
          <w:lang w:val="en-GB"/>
        </w:rPr>
        <w:t>driver of change in nature</w:t>
      </w:r>
      <w:r w:rsidR="3D08DBA8" w:rsidRPr="5575EBFC">
        <w:rPr>
          <w:lang w:val="en-GB"/>
        </w:rPr>
        <w:t xml:space="preserve">) affects </w:t>
      </w:r>
      <w:r w:rsidR="0128FE1D" w:rsidRPr="5575EBFC">
        <w:rPr>
          <w:lang w:val="en-GB"/>
        </w:rPr>
        <w:t xml:space="preserve">biodiversity or ecosystems </w:t>
      </w:r>
      <w:r w:rsidR="3D08DBA8" w:rsidRPr="5575EBFC">
        <w:rPr>
          <w:lang w:val="en-GB"/>
        </w:rPr>
        <w:t>t</w:t>
      </w:r>
      <w:r w:rsidR="7D0E1DA8" w:rsidRPr="5575EBFC">
        <w:rPr>
          <w:lang w:val="en-GB"/>
        </w:rPr>
        <w:t>hrough</w:t>
      </w:r>
      <w:r w:rsidRPr="5575EBFC">
        <w:rPr>
          <w:lang w:val="en-GB"/>
        </w:rPr>
        <w:t xml:space="preserve"> </w:t>
      </w:r>
      <w:r w:rsidR="0B3F9B16" w:rsidRPr="5575EBFC">
        <w:rPr>
          <w:lang w:val="en-GB"/>
        </w:rPr>
        <w:t xml:space="preserve">the </w:t>
      </w:r>
      <w:r w:rsidRPr="5575EBFC">
        <w:rPr>
          <w:lang w:val="en-GB"/>
        </w:rPr>
        <w:t>effects o</w:t>
      </w:r>
      <w:r w:rsidR="35C4FF8F" w:rsidRPr="5575EBFC">
        <w:rPr>
          <w:lang w:val="en-GB"/>
        </w:rPr>
        <w:t>f one or more</w:t>
      </w:r>
      <w:r w:rsidRPr="5575EBFC">
        <w:rPr>
          <w:lang w:val="en-GB"/>
        </w:rPr>
        <w:t xml:space="preserve"> direct drivers</w:t>
      </w:r>
      <w:r w:rsidR="2E53A5BC" w:rsidRPr="5575EBFC">
        <w:rPr>
          <w:lang w:val="en-GB"/>
        </w:rPr>
        <w:t>, such as land-use change</w:t>
      </w:r>
      <w:r w:rsidR="0B3F9B16" w:rsidRPr="5575EBFC">
        <w:rPr>
          <w:lang w:val="en-GB"/>
        </w:rPr>
        <w:t xml:space="preserve"> </w:t>
      </w:r>
      <w:r w:rsidR="4F1B0B5F" w:rsidRPr="5575EBFC">
        <w:rPr>
          <w:lang w:val="en-GB"/>
        </w:rPr>
        <w:t>or pollution</w:t>
      </w:r>
      <w:r w:rsidR="2E53A5BC" w:rsidRPr="5575EBFC">
        <w:rPr>
          <w:lang w:val="en-GB"/>
        </w:rPr>
        <w:t xml:space="preserve">. </w:t>
      </w:r>
    </w:p>
    <w:p w14:paraId="3159C4D8" w14:textId="5A9C146C" w:rsidR="0048699A" w:rsidRPr="00192E21" w:rsidRDefault="31578C63" w:rsidP="5575EBFC">
      <w:pPr>
        <w:rPr>
          <w:b/>
          <w:bCs/>
          <w:lang w:val="en-GB"/>
        </w:rPr>
      </w:pPr>
      <w:r w:rsidRPr="728F2DAF">
        <w:rPr>
          <w:lang w:val="en-GB"/>
        </w:rPr>
        <w:t>Th</w:t>
      </w:r>
      <w:r w:rsidR="10DBCC96" w:rsidRPr="728F2DAF">
        <w:rPr>
          <w:lang w:val="en-GB"/>
        </w:rPr>
        <w:t>e</w:t>
      </w:r>
      <w:r w:rsidRPr="728F2DAF">
        <w:rPr>
          <w:lang w:val="en-GB"/>
        </w:rPr>
        <w:t xml:space="preserve"> classification of drivers </w:t>
      </w:r>
      <w:r w:rsidR="10DBCC96" w:rsidRPr="728F2DAF">
        <w:rPr>
          <w:lang w:val="en-GB"/>
        </w:rPr>
        <w:t xml:space="preserve">outlined through the IPBES conceptual framework </w:t>
      </w:r>
      <w:r w:rsidRPr="728F2DAF">
        <w:rPr>
          <w:lang w:val="en-GB"/>
        </w:rPr>
        <w:t>has proven useful for synthesis and cross-assessment referencing (e.g.</w:t>
      </w:r>
      <w:r w:rsidR="1031E4CC" w:rsidRPr="728F2DAF">
        <w:rPr>
          <w:lang w:val="en-GB"/>
        </w:rPr>
        <w:t>,</w:t>
      </w:r>
      <w:r w:rsidR="2B723ECD" w:rsidRPr="728F2DAF">
        <w:rPr>
          <w:lang w:val="en-GB"/>
        </w:rPr>
        <w:t xml:space="preserve"> </w:t>
      </w:r>
      <w:r w:rsidR="5CDAB470" w:rsidRPr="728F2DAF">
        <w:rPr>
          <w:lang w:val="en-GB"/>
        </w:rPr>
        <w:fldChar w:fldCharType="begin"/>
      </w:r>
      <w:r w:rsidR="00F5121E">
        <w:rPr>
          <w:lang w:val="en-GB"/>
        </w:rPr>
        <w:instrText xml:space="preserve"> ADDIN ZOTERO_ITEM CSL_CITATION {"citationID":"NiwcbjLn","properties":{"formattedCitation":"(IPBES, 2019; P\\uc0\\u246{}rtner et al., 2021)","plainCitation":"(IPBES, 2019; Pörtner et al., 2021)","dontUpdate":true,"noteIndex":0},"citationItems":[{"id":53933,"uris":["http://zotero.org/groups/2352922/items/JYFISR8Z","http://zotero.org/groups/2352922/items/ZACZGHZL"],"itemData":{"id":53933,"type":"report","abstract":"IPBES is to perform regular and timely assessments of knowledge on biodiversity and ecosystem services and their interlinkages at the global level. Also addressing an invitation by the Conference of the Parties of the Convention on Biological Diversity (CBD) to prepare a global assessment of biodiversity and ecosystem services building, inter alia, on its own and other relevant regional, subregional and thematic assessments, as well as on national reports. The overall scope of the assessment is to assess the status and trends with regard to biodiversity and ecosystem services, the impact of biodiversity and ecosystem services on human well-being and the effectiveness of responses, including the Strategic Plan and its Aichi Biodiversity Targets. It is anticipated that this deliverable will contribute to the process for the evaluation and renewal of the Strategic Plan for Biodiversity and its Aichi Biodiversity Targets. The IPBES Global Assessment on Biodiversity and Ecosystem Services is composed of 1) a Summary for Policymakers (SPM), approved by the IPBES Plenary at its 7th session in May 2019 in Paris, France (IPBES-7); and 2) a set of six Chapters, accepted by the IPBES Plenary.","language":"en","license":"Creative Commons Attribution 4.0 International, Open Access","note":"Version Number 1\nDOI: 10.5281/ZENODO.3831673","publisher":"Secretariat of the Intergovernmental Science-Policy Platform on Biodiversity and Ecosystem Services","source":"DOI.org (Datacite)","title":"Global assessment report on biodiversity and ecosystem services of the Intergovernmental Science-Policy Platform on Biodiversity and Ecosystem Services","URL":"https://zenodo.org/record/3831673","author":[{"literal":"IPBES"}],"contributor":[{"family":"Brondizio","given":"Eduardo"},{"family":"Diaz","given":"Sandra"},{"family":"Settele","given":"Josef"},{"family":"Ngo","given":"Hien T."}],"accessed":{"date-parts":[["2023",1,5]]},"issued":{"date-parts":[["2019"]]}}},{"id":56565,"uris":["http://zotero.org/groups/2352922/items/52G2MV7S","http://zotero.org/groups/2352922/items/INY676BR"],"itemData":{"id":56565,"type":"report","abstract":"This report presents the main conclusions of the first-ever IPCC-IPBES co-sponsored workshop which took place in December 2020. The workshop explored diverse facets of the interaction between climate and biodiversity, from current trends to the role and implementation of nature-based solutions and the sustainable development of human society. This report is underpinned by the Scientific Outcome, which includes seven sections, the complete references and the report glossary. You can find the Scientific Outcome here https://doi.org/10.5281/zenodo.4659158","language":"en","license":"Creative Commons Attribution 4.0 International, Open Access","note":"version: 2\nDOI: 10.5281/ZENODO.4782538","publisher":"Zenodo","source":"DOI.org (Datacite)","title":"IPBES-IPCC co-sponsored workshop report on biodiversity and climate change","URL":"https://zenodo.org/record/4782538","author":[{"family":"Pörtner","given":"Hans-Otto"},{"family":"Scholes","given":"Robert J"},{"family":"Agard","given":"John"},{"family":"Archer","given":"Emma"},{"family":"Bai","given":"Xuemei"},{"family":"Barnes","given":"David"},{"family":"Burrows","given":"Michael"},{"family":"Chan","given":"Lena"},{"family":"Cheung","given":"Wai Lung (William)"},{"family":"Diamond","given":"Sarah"},{"family":"Donatti","given":"Camila"},{"family":"Duarte","given":"Carlos"},{"family":"Eisenhauer","given":"Nico"},{"family":"Foden","given":"Wendy"},{"family":"Gasalla","given":"Maria A"},{"family":"Handa","given":"Collins"},{"family":"Hickler","given":"Thomas"},{"family":"Hoegh-Guldberg","given":"Ove"},{"family":"Ichii","given":"Kazuhito"},{"family":"Jacob","given":"Ute"},{"family":"Insarov","given":"Gregory"},{"family":"Kiessling","given":"Wolfgang"},{"family":"Leadley","given":"Paul"},{"family":"Leemans","given":"Rik"},{"family":"Levin","given":"Lisa"},{"family":"Lim","given":"Michelle"},{"family":"Maharaj","given":"Shobha"},{"family":"Managi","given":"Shunsuke"},{"family":"Marquet","given":"Pablo A"},{"family":"McElwee","given":"Pamela"},{"family":"Midgley","given":"Guy"},{"family":"Oberdorff","given":"Thierry"},{"family":"Obura","given":"David"},{"family":"Osman Elasha","given":"Balgi","dropping-particle":"s"},{"family":"Pandit","given":"Ram"},{"family":"Pascual","given":"Unai"},{"family":"Pires","given":"Aliny P F"},{"family":"Popp","given":"Alexander"},{"family":"Reyes-García","given":"Victoria"},{"family":"Sankaran,","given":"Mahesh"},{"family":"Settele","given":"Josef"},{"family":"Shin","given":"Yunne-Jai"},{"family":"Sintayehu","given":"Dejene W"},{"family":"Smith","given":"Peter"},{"family":"Steiner","given":"Nadja"},{"family":"Strassburg","given":"Bernardo"},{"family":"Sukumar","given":"Raman"},{"family":"Trisos","given":"Christopher"},{"family":"Val","given":"Adalberto Luis"},{"family":"Wu","given":"Jianguo"},{"family":"Aldrian","given":"Edvin"},{"family":"Parmesan","given":"Camille"},{"family":"Pichs-Madruga","given":"Ramon"},{"family":"Roberts","given":"Debra C"},{"family":"Rogers","given":"Alex D"},{"family":"Díaz","given":"Sandra"},{"family":"Fischer","given":"Markus"},{"family":"Hashimoto","given":"Shizuka"},{"family":"Lavorel","given":"Sandra"},{"family":"Wu","given":"Ning"},{"family":"Ngo","given":"Hien"}],"accessed":{"date-parts":[["2023",6,8]]},"issued":{"date-parts":[["2021",6,24]]}}}],"schema":"https://github.com/citation-style-language/schema/raw/master/csl-citation.json"} </w:instrText>
      </w:r>
      <w:r w:rsidR="5CDAB470" w:rsidRPr="728F2DAF">
        <w:rPr>
          <w:lang w:val="en-GB"/>
        </w:rPr>
        <w:fldChar w:fldCharType="separate"/>
      </w:r>
      <w:r w:rsidR="49B1FBB7">
        <w:t>IPBES, 2019; Pörtner et al., 2021)</w:t>
      </w:r>
      <w:r w:rsidR="5CDAB470" w:rsidRPr="728F2DAF">
        <w:rPr>
          <w:lang w:val="en-GB"/>
        </w:rPr>
        <w:fldChar w:fldCharType="end"/>
      </w:r>
      <w:r w:rsidRPr="728F2DAF">
        <w:rPr>
          <w:lang w:val="en-GB"/>
        </w:rPr>
        <w:t xml:space="preserve"> but </w:t>
      </w:r>
      <w:r w:rsidR="71F1551D" w:rsidRPr="728F2DAF">
        <w:rPr>
          <w:lang w:val="en-GB"/>
        </w:rPr>
        <w:t>requires specific consideration</w:t>
      </w:r>
      <w:r w:rsidR="10DBCC96" w:rsidRPr="728F2DAF">
        <w:rPr>
          <w:lang w:val="en-GB"/>
        </w:rPr>
        <w:t xml:space="preserve"> </w:t>
      </w:r>
      <w:r w:rsidR="23C070F2" w:rsidRPr="728F2DAF">
        <w:rPr>
          <w:lang w:val="en-GB"/>
        </w:rPr>
        <w:t>for</w:t>
      </w:r>
      <w:r w:rsidRPr="728F2DAF">
        <w:rPr>
          <w:lang w:val="en-GB"/>
        </w:rPr>
        <w:t xml:space="preserve"> th</w:t>
      </w:r>
      <w:r w:rsidR="23C070F2" w:rsidRPr="728F2DAF">
        <w:rPr>
          <w:lang w:val="en-GB"/>
        </w:rPr>
        <w:t>is assessment</w:t>
      </w:r>
      <w:r w:rsidR="10DBCC96" w:rsidRPr="728F2DAF">
        <w:rPr>
          <w:lang w:val="en-GB"/>
        </w:rPr>
        <w:t xml:space="preserve"> because</w:t>
      </w:r>
      <w:r w:rsidR="66286BA3" w:rsidRPr="728F2DAF">
        <w:rPr>
          <w:lang w:val="en-GB"/>
        </w:rPr>
        <w:t xml:space="preserve"> </w:t>
      </w:r>
      <w:r w:rsidR="291ED4D4" w:rsidRPr="728F2DAF">
        <w:rPr>
          <w:lang w:val="en-GB"/>
        </w:rPr>
        <w:t>invasive alien species</w:t>
      </w:r>
      <w:r w:rsidR="20868BEA" w:rsidRPr="728F2DAF">
        <w:rPr>
          <w:lang w:val="en-GB"/>
        </w:rPr>
        <w:t xml:space="preserve"> </w:t>
      </w:r>
      <w:r w:rsidR="23C070F2" w:rsidRPr="728F2DAF">
        <w:rPr>
          <w:lang w:val="en-GB"/>
        </w:rPr>
        <w:t xml:space="preserve">are </w:t>
      </w:r>
      <w:r w:rsidRPr="728F2DAF">
        <w:rPr>
          <w:lang w:val="en-GB"/>
        </w:rPr>
        <w:t xml:space="preserve">simultaneously </w:t>
      </w:r>
      <w:r w:rsidR="66286BA3" w:rsidRPr="728F2DAF">
        <w:rPr>
          <w:lang w:val="en-GB"/>
        </w:rPr>
        <w:t>the focus of th</w:t>
      </w:r>
      <w:r w:rsidR="775EA90B" w:rsidRPr="728F2DAF">
        <w:rPr>
          <w:lang w:val="en-GB"/>
        </w:rPr>
        <w:t xml:space="preserve">e </w:t>
      </w:r>
      <w:r w:rsidR="51397A5D" w:rsidRPr="728F2DAF">
        <w:rPr>
          <w:lang w:val="en-GB"/>
        </w:rPr>
        <w:t xml:space="preserve">IPBES invasive alien species </w:t>
      </w:r>
      <w:r w:rsidR="775EA90B" w:rsidRPr="728F2DAF">
        <w:rPr>
          <w:lang w:val="en-GB"/>
        </w:rPr>
        <w:t xml:space="preserve">assessment and </w:t>
      </w:r>
      <w:r w:rsidRPr="728F2DAF">
        <w:rPr>
          <w:lang w:val="en-GB"/>
        </w:rPr>
        <w:t xml:space="preserve">one of the five </w:t>
      </w:r>
      <w:r w:rsidR="23C070F2" w:rsidRPr="728F2DAF">
        <w:rPr>
          <w:lang w:val="en-GB"/>
        </w:rPr>
        <w:t xml:space="preserve">anthropogenic </w:t>
      </w:r>
      <w:r w:rsidRPr="728F2DAF">
        <w:rPr>
          <w:lang w:val="en-GB"/>
        </w:rPr>
        <w:t xml:space="preserve">direct </w:t>
      </w:r>
      <w:r w:rsidR="067C1E4A" w:rsidRPr="728F2DAF">
        <w:rPr>
          <w:lang w:val="en-GB"/>
        </w:rPr>
        <w:t>drivers of change in nature</w:t>
      </w:r>
      <w:r w:rsidR="0131930B" w:rsidRPr="728F2DAF">
        <w:rPr>
          <w:lang w:val="en-GB"/>
        </w:rPr>
        <w:t xml:space="preserve"> </w:t>
      </w:r>
      <w:r w:rsidR="208E7053" w:rsidRPr="728F2DAF">
        <w:rPr>
          <w:b/>
          <w:bCs/>
          <w:lang w:val="en-GB"/>
        </w:rPr>
        <w:t>(</w:t>
      </w:r>
      <w:r w:rsidR="00E23B69">
        <w:rPr>
          <w:b/>
          <w:bCs/>
          <w:lang w:val="en-GB"/>
        </w:rPr>
        <w:t>Figure</w:t>
      </w:r>
      <w:r w:rsidR="39EC53BF" w:rsidRPr="728F2DAF">
        <w:rPr>
          <w:b/>
          <w:bCs/>
          <w:lang w:val="en-GB"/>
        </w:rPr>
        <w:t xml:space="preserve"> 3.3</w:t>
      </w:r>
      <w:r w:rsidR="0048460C">
        <w:rPr>
          <w:lang w:val="en-GB"/>
        </w:rPr>
        <w:t>;</w:t>
      </w:r>
      <w:r w:rsidR="425F5355" w:rsidRPr="728F2DAF">
        <w:rPr>
          <w:lang w:val="en-GB"/>
        </w:rPr>
        <w:t xml:space="preserve"> </w:t>
      </w:r>
      <w:r w:rsidR="791D3E44" w:rsidRPr="728F2DAF">
        <w:rPr>
          <w:b/>
          <w:bCs/>
          <w:lang w:val="en-GB"/>
        </w:rPr>
        <w:t>C</w:t>
      </w:r>
      <w:r w:rsidR="425F5355" w:rsidRPr="728F2DAF">
        <w:rPr>
          <w:b/>
          <w:bCs/>
          <w:lang w:val="en-GB"/>
        </w:rPr>
        <w:t>hapter 1</w:t>
      </w:r>
      <w:r w:rsidR="1E49565B" w:rsidRPr="728F2DAF">
        <w:rPr>
          <w:lang w:val="en-GB"/>
        </w:rPr>
        <w:t xml:space="preserve">, </w:t>
      </w:r>
      <w:r w:rsidR="1E49565B" w:rsidRPr="728F2DAF">
        <w:rPr>
          <w:b/>
          <w:bCs/>
          <w:lang w:val="en-GB"/>
        </w:rPr>
        <w:t>section 1.6.1</w:t>
      </w:r>
      <w:r w:rsidR="428FA68D" w:rsidRPr="728F2DAF">
        <w:rPr>
          <w:lang w:val="en-GB"/>
        </w:rPr>
        <w:t>)</w:t>
      </w:r>
      <w:r w:rsidR="1D5CCF0B" w:rsidRPr="728F2DAF">
        <w:rPr>
          <w:lang w:val="en-GB"/>
        </w:rPr>
        <w:t xml:space="preserve">. </w:t>
      </w:r>
      <w:r w:rsidR="4034E8B1" w:rsidRPr="728F2DAF">
        <w:rPr>
          <w:lang w:val="en-GB"/>
        </w:rPr>
        <w:t>This implies that indirect drive</w:t>
      </w:r>
      <w:r w:rsidR="05209BE6" w:rsidRPr="728F2DAF">
        <w:rPr>
          <w:lang w:val="en-GB"/>
        </w:rPr>
        <w:t>r</w:t>
      </w:r>
      <w:r w:rsidR="4034E8B1" w:rsidRPr="728F2DAF">
        <w:rPr>
          <w:lang w:val="en-GB"/>
        </w:rPr>
        <w:t>s of change</w:t>
      </w:r>
      <w:r w:rsidR="3193ED3E" w:rsidRPr="728F2DAF">
        <w:rPr>
          <w:lang w:val="en-GB"/>
        </w:rPr>
        <w:t xml:space="preserve"> in nature may directly affect invasive </w:t>
      </w:r>
      <w:r w:rsidR="4034E8B1" w:rsidRPr="728F2DAF">
        <w:rPr>
          <w:lang w:val="en-GB"/>
        </w:rPr>
        <w:t>alien species.</w:t>
      </w:r>
      <w:r w:rsidR="1BF51694" w:rsidRPr="728F2DAF">
        <w:rPr>
          <w:lang w:val="en-GB"/>
        </w:rPr>
        <w:t xml:space="preserve"> </w:t>
      </w:r>
      <w:r w:rsidR="658F4BF4" w:rsidRPr="728F2DAF">
        <w:rPr>
          <w:lang w:val="en-GB"/>
        </w:rPr>
        <w:t xml:space="preserve">For </w:t>
      </w:r>
      <w:r w:rsidR="1D5CCF0B" w:rsidRPr="728F2DAF">
        <w:rPr>
          <w:lang w:val="en-GB"/>
        </w:rPr>
        <w:t xml:space="preserve">example, international trade is </w:t>
      </w:r>
      <w:r w:rsidR="4034E8B1" w:rsidRPr="728F2DAF">
        <w:rPr>
          <w:lang w:val="en-GB"/>
        </w:rPr>
        <w:t xml:space="preserve">classified as </w:t>
      </w:r>
      <w:r w:rsidR="1D5CCF0B" w:rsidRPr="728F2DAF">
        <w:rPr>
          <w:lang w:val="en-GB"/>
        </w:rPr>
        <w:t>an indirect</w:t>
      </w:r>
      <w:r w:rsidR="77B35AB5" w:rsidRPr="728F2DAF">
        <w:rPr>
          <w:lang w:val="en-GB"/>
        </w:rPr>
        <w:t xml:space="preserve"> </w:t>
      </w:r>
      <w:r w:rsidR="4B409F01" w:rsidRPr="728F2DAF">
        <w:rPr>
          <w:lang w:val="en-GB"/>
        </w:rPr>
        <w:t>driver of change in nature</w:t>
      </w:r>
      <w:r w:rsidR="4034E8B1" w:rsidRPr="728F2DAF">
        <w:rPr>
          <w:lang w:val="en-GB"/>
        </w:rPr>
        <w:t xml:space="preserve">, yet </w:t>
      </w:r>
      <w:r w:rsidR="601B200E" w:rsidRPr="728F2DAF">
        <w:rPr>
          <w:lang w:val="en-GB"/>
        </w:rPr>
        <w:t xml:space="preserve">an important consequence </w:t>
      </w:r>
      <w:r w:rsidR="1C3EBED3" w:rsidRPr="728F2DAF">
        <w:rPr>
          <w:lang w:val="en-GB"/>
        </w:rPr>
        <w:t xml:space="preserve">of trade </w:t>
      </w:r>
      <w:r w:rsidR="601B200E" w:rsidRPr="728F2DAF">
        <w:rPr>
          <w:lang w:val="en-GB"/>
        </w:rPr>
        <w:t xml:space="preserve">is </w:t>
      </w:r>
      <w:r w:rsidR="558DC0A6" w:rsidRPr="728F2DAF">
        <w:rPr>
          <w:lang w:val="en-GB"/>
        </w:rPr>
        <w:t xml:space="preserve">that it </w:t>
      </w:r>
      <w:r w:rsidR="1D5CCF0B" w:rsidRPr="728F2DAF">
        <w:rPr>
          <w:lang w:val="en-GB"/>
        </w:rPr>
        <w:t>increas</w:t>
      </w:r>
      <w:r w:rsidR="601B200E" w:rsidRPr="728F2DAF">
        <w:rPr>
          <w:lang w:val="en-GB"/>
        </w:rPr>
        <w:t>e</w:t>
      </w:r>
      <w:r w:rsidR="558DC0A6" w:rsidRPr="728F2DAF">
        <w:rPr>
          <w:lang w:val="en-GB"/>
        </w:rPr>
        <w:t>s</w:t>
      </w:r>
      <w:r w:rsidR="1D5CCF0B" w:rsidRPr="728F2DAF">
        <w:rPr>
          <w:lang w:val="en-GB"/>
        </w:rPr>
        <w:t xml:space="preserve"> the number of invasive alien species introductions worldwide </w:t>
      </w:r>
      <w:r w:rsidR="5CDAB470" w:rsidRPr="728F2DAF">
        <w:rPr>
          <w:lang w:val="en-GB"/>
        </w:rPr>
        <w:fldChar w:fldCharType="begin"/>
      </w:r>
      <w:r w:rsidR="00331A79">
        <w:rPr>
          <w:lang w:val="en-GB"/>
        </w:rPr>
        <w:instrText xml:space="preserve"> ADDIN ZOTERO_ITEM CSL_CITATION {"citationID":"B9a9We5F","properties":{"formattedCitation":"(Hulme, 2021b)","plainCitation":"(Hulme, 2021b)","noteIndex":0},"citationItems":[{"id":29731,"uris":["http://zotero.org/groups/2352922/items/KV62X9CX"],"itemData":{"id":29731,"type":"article-journal","abstract":"Biological invasions are synonymous with international trade. The direct effects of trade have largely been quantiﬁed using relationships between imports and the number of alien species in a region or patterns in the global spread of species linked to shipping and air trafﬁc networks. But trade also has an indirect role on biological invasions by transforming the environments and societies of exporting and importing nations. Here, both the direct and indirect roles of trade on biological invasions, as well as their interaction, are examined for the ﬁrst time. Future trends in international trade, including e-commerce, new trade routes, and major infrastructure developments, will lead to the pressure on national borders soon outstripping the resources available for intervention. The current legislative and scientiﬁc tools targeting biological invasions are insufﬁcient to deal with this growing threat and require a new mindset that focuses on curbing the pandemic risk posed by alien species.","container-title":"One Earth","DOI":"10.1016/j.oneear.2021.04.015","ISSN":"25903322","issue":"5","journalAbbreviation":"One Earth","language":"en","page":"666-679","source":"DOI.org (Crossref)","title":"Unwelcome exchange: International trade as a direct and indirect driver of biological invasions worldwide","title-short":"Unwelcome exchange","URL":"https://doi.org/10.1016/j.oneear.2021.04.015","volume":"4","author":[{"family":"Hulme","given":"Philip E."}],"accessed":{"date-parts":[["2021",7,8]]},"issued":{"date-parts":[["2021",5]]}}}],"schema":"https://github.com/citation-style-language/schema/raw/master/csl-citation.json"} </w:instrText>
      </w:r>
      <w:r w:rsidR="5CDAB470" w:rsidRPr="728F2DAF">
        <w:rPr>
          <w:lang w:val="en-GB"/>
        </w:rPr>
        <w:fldChar w:fldCharType="separate"/>
      </w:r>
      <w:r w:rsidR="73B99EB6">
        <w:t>(Hulme, 2021b)</w:t>
      </w:r>
      <w:r w:rsidR="5CDAB470" w:rsidRPr="728F2DAF">
        <w:rPr>
          <w:lang w:val="en-GB"/>
        </w:rPr>
        <w:fldChar w:fldCharType="end"/>
      </w:r>
      <w:r w:rsidR="4034E8B1" w:rsidRPr="728F2DAF">
        <w:rPr>
          <w:lang w:val="en-GB"/>
        </w:rPr>
        <w:t xml:space="preserve">, and </w:t>
      </w:r>
      <w:r w:rsidR="3F882F73" w:rsidRPr="728F2DAF">
        <w:rPr>
          <w:lang w:val="en-GB"/>
        </w:rPr>
        <w:t>it does so by</w:t>
      </w:r>
      <w:r w:rsidR="4034E8B1" w:rsidRPr="728F2DAF">
        <w:rPr>
          <w:lang w:val="en-GB"/>
        </w:rPr>
        <w:t xml:space="preserve"> directly </w:t>
      </w:r>
      <w:r w:rsidR="215DDE37" w:rsidRPr="728F2DAF">
        <w:rPr>
          <w:lang w:val="en-GB"/>
        </w:rPr>
        <w:t>facilitating the transport and introduction</w:t>
      </w:r>
      <w:r w:rsidR="4034E8B1" w:rsidRPr="728F2DAF">
        <w:rPr>
          <w:lang w:val="en-GB"/>
        </w:rPr>
        <w:t xml:space="preserve"> </w:t>
      </w:r>
      <w:r w:rsidR="7F4A5B88" w:rsidRPr="728F2DAF">
        <w:rPr>
          <w:lang w:val="en-GB"/>
        </w:rPr>
        <w:t xml:space="preserve">of </w:t>
      </w:r>
      <w:r w:rsidR="4034E8B1" w:rsidRPr="728F2DAF">
        <w:rPr>
          <w:lang w:val="en-GB"/>
        </w:rPr>
        <w:t>invasive alien sp</w:t>
      </w:r>
      <w:r w:rsidR="7DE24F2A" w:rsidRPr="728F2DAF">
        <w:rPr>
          <w:lang w:val="en-GB"/>
        </w:rPr>
        <w:t>e</w:t>
      </w:r>
      <w:r w:rsidR="4034E8B1" w:rsidRPr="728F2DAF">
        <w:rPr>
          <w:lang w:val="en-GB"/>
        </w:rPr>
        <w:t>cies (</w:t>
      </w:r>
      <w:r w:rsidR="00E23B69">
        <w:rPr>
          <w:b/>
          <w:bCs/>
          <w:lang w:val="en-GB"/>
        </w:rPr>
        <w:t>Figure</w:t>
      </w:r>
      <w:r w:rsidR="39EC53BF" w:rsidRPr="728F2DAF">
        <w:rPr>
          <w:b/>
          <w:bCs/>
          <w:lang w:val="en-GB"/>
        </w:rPr>
        <w:t xml:space="preserve"> 3.3</w:t>
      </w:r>
      <w:r w:rsidR="4034E8B1" w:rsidRPr="728F2DAF">
        <w:rPr>
          <w:lang w:val="en-GB"/>
        </w:rPr>
        <w:t>)</w:t>
      </w:r>
      <w:r w:rsidR="1D5CCF0B" w:rsidRPr="728F2DAF">
        <w:rPr>
          <w:lang w:val="en-GB"/>
        </w:rPr>
        <w:t>.</w:t>
      </w:r>
      <w:r w:rsidR="1BF51694" w:rsidRPr="728F2DAF">
        <w:rPr>
          <w:lang w:val="en-GB"/>
        </w:rPr>
        <w:t xml:space="preserve"> </w:t>
      </w:r>
      <w:r w:rsidR="638707C8" w:rsidRPr="728F2DAF">
        <w:rPr>
          <w:lang w:val="en-GB"/>
        </w:rPr>
        <w:t xml:space="preserve">The </w:t>
      </w:r>
      <w:r w:rsidR="5C52C17E" w:rsidRPr="728F2DAF">
        <w:rPr>
          <w:lang w:val="en-GB"/>
        </w:rPr>
        <w:t xml:space="preserve">process of biological invasions </w:t>
      </w:r>
      <w:r w:rsidR="0AEB9643" w:rsidRPr="728F2DAF">
        <w:rPr>
          <w:lang w:val="en-GB"/>
        </w:rPr>
        <w:t xml:space="preserve">(including all stages: </w:t>
      </w:r>
      <w:r w:rsidR="47FAFEA1" w:rsidRPr="728F2DAF">
        <w:rPr>
          <w:lang w:val="en-GB"/>
        </w:rPr>
        <w:t xml:space="preserve">transport, </w:t>
      </w:r>
      <w:r w:rsidR="638707C8" w:rsidRPr="728F2DAF">
        <w:rPr>
          <w:lang w:val="en-GB"/>
        </w:rPr>
        <w:t xml:space="preserve">introduction, </w:t>
      </w:r>
      <w:r w:rsidR="47FAFEA1" w:rsidRPr="728F2DAF">
        <w:rPr>
          <w:lang w:val="en-GB"/>
        </w:rPr>
        <w:t>establishment</w:t>
      </w:r>
      <w:r w:rsidR="009F7404">
        <w:rPr>
          <w:lang w:val="en-GB"/>
        </w:rPr>
        <w:t xml:space="preserve"> and</w:t>
      </w:r>
      <w:r w:rsidR="47FAFEA1" w:rsidRPr="728F2DAF">
        <w:rPr>
          <w:lang w:val="en-GB"/>
        </w:rPr>
        <w:t xml:space="preserve"> spread of i</w:t>
      </w:r>
      <w:r w:rsidR="1D5CCF0B" w:rsidRPr="728F2DAF">
        <w:rPr>
          <w:lang w:val="en-GB"/>
        </w:rPr>
        <w:t>nvasive alien species</w:t>
      </w:r>
      <w:r w:rsidR="76E84364" w:rsidRPr="728F2DAF">
        <w:rPr>
          <w:lang w:val="en-GB"/>
        </w:rPr>
        <w:t xml:space="preserve">; </w:t>
      </w:r>
      <w:r w:rsidR="00E23B69">
        <w:rPr>
          <w:b/>
          <w:bCs/>
          <w:lang w:val="en-GB"/>
        </w:rPr>
        <w:t>Glossary</w:t>
      </w:r>
      <w:r w:rsidR="0AEB9643" w:rsidRPr="728F2DAF">
        <w:rPr>
          <w:lang w:val="en-GB"/>
        </w:rPr>
        <w:t>)</w:t>
      </w:r>
      <w:r w:rsidR="1D5CCF0B" w:rsidRPr="728F2DAF">
        <w:rPr>
          <w:lang w:val="en-GB"/>
        </w:rPr>
        <w:t xml:space="preserve"> </w:t>
      </w:r>
      <w:r w:rsidR="0AEB9643" w:rsidRPr="728F2DAF">
        <w:rPr>
          <w:lang w:val="en-GB"/>
        </w:rPr>
        <w:t>is</w:t>
      </w:r>
      <w:r w:rsidR="1D5CCF0B" w:rsidRPr="728F2DAF">
        <w:rPr>
          <w:lang w:val="en-GB"/>
        </w:rPr>
        <w:t xml:space="preserve"> </w:t>
      </w:r>
      <w:r w:rsidR="13C6FB4C" w:rsidRPr="728F2DAF">
        <w:rPr>
          <w:lang w:val="en-GB"/>
        </w:rPr>
        <w:t xml:space="preserve">also </w:t>
      </w:r>
      <w:r w:rsidR="1D5CCF0B" w:rsidRPr="728F2DAF">
        <w:rPr>
          <w:lang w:val="en-GB"/>
        </w:rPr>
        <w:t xml:space="preserve">influenced by </w:t>
      </w:r>
      <w:r w:rsidR="35EC21AB" w:rsidRPr="728F2DAF">
        <w:rPr>
          <w:lang w:val="en-GB"/>
        </w:rPr>
        <w:t xml:space="preserve">the five </w:t>
      </w:r>
      <w:r w:rsidR="1A64F28B" w:rsidRPr="728F2DAF">
        <w:rPr>
          <w:lang w:val="en-GB"/>
        </w:rPr>
        <w:t xml:space="preserve">anthropogenic </w:t>
      </w:r>
      <w:r w:rsidR="1D5CCF0B" w:rsidRPr="728F2DAF">
        <w:rPr>
          <w:lang w:val="en-GB"/>
        </w:rPr>
        <w:t xml:space="preserve">direct </w:t>
      </w:r>
      <w:r w:rsidR="46ADB126" w:rsidRPr="728F2DAF">
        <w:rPr>
          <w:lang w:val="en-GB"/>
        </w:rPr>
        <w:t xml:space="preserve">drivers of </w:t>
      </w:r>
      <w:r w:rsidR="426E5EF9" w:rsidRPr="728F2DAF">
        <w:rPr>
          <w:lang w:val="en-GB"/>
        </w:rPr>
        <w:t>change</w:t>
      </w:r>
      <w:r w:rsidR="26743F77" w:rsidRPr="728F2DAF">
        <w:rPr>
          <w:lang w:val="en-GB"/>
        </w:rPr>
        <w:t xml:space="preserve"> in nature</w:t>
      </w:r>
      <w:r w:rsidR="1D5CCF0B" w:rsidRPr="728F2DAF">
        <w:rPr>
          <w:lang w:val="en-GB"/>
        </w:rPr>
        <w:t xml:space="preserve">, including </w:t>
      </w:r>
      <w:r w:rsidR="460A69A5" w:rsidRPr="728F2DAF">
        <w:rPr>
          <w:lang w:val="en-GB"/>
        </w:rPr>
        <w:t xml:space="preserve">interactions </w:t>
      </w:r>
      <w:r w:rsidR="61936A47" w:rsidRPr="728F2DAF">
        <w:rPr>
          <w:lang w:val="en-GB"/>
        </w:rPr>
        <w:t>among</w:t>
      </w:r>
      <w:r w:rsidR="6500AC0F" w:rsidRPr="728F2DAF">
        <w:rPr>
          <w:lang w:val="en-GB"/>
        </w:rPr>
        <w:t>st invasive alien species (e.g.</w:t>
      </w:r>
      <w:r w:rsidR="47FAFEA1" w:rsidRPr="728F2DAF">
        <w:rPr>
          <w:lang w:val="en-GB"/>
        </w:rPr>
        <w:t>,</w:t>
      </w:r>
      <w:r w:rsidR="1C3EBED3" w:rsidRPr="728F2DAF">
        <w:rPr>
          <w:lang w:val="en-GB"/>
        </w:rPr>
        <w:t xml:space="preserve"> by causing</w:t>
      </w:r>
      <w:r w:rsidR="47FAFEA1" w:rsidRPr="728F2DAF">
        <w:rPr>
          <w:lang w:val="en-GB"/>
        </w:rPr>
        <w:t xml:space="preserve"> </w:t>
      </w:r>
      <w:r w:rsidR="4329687F" w:rsidRPr="728F2DAF">
        <w:rPr>
          <w:lang w:val="en-GB"/>
        </w:rPr>
        <w:t>“</w:t>
      </w:r>
      <w:r w:rsidR="4F74614C" w:rsidRPr="728F2DAF">
        <w:rPr>
          <w:lang w:val="en-GB"/>
        </w:rPr>
        <w:t>invasional meltdown</w:t>
      </w:r>
      <w:r w:rsidR="4329687F" w:rsidRPr="728F2DAF">
        <w:rPr>
          <w:lang w:val="en-GB"/>
        </w:rPr>
        <w:t>”</w:t>
      </w:r>
      <w:r w:rsidR="13403155" w:rsidRPr="728F2DAF">
        <w:rPr>
          <w:lang w:val="en-GB"/>
        </w:rPr>
        <w:t xml:space="preserve">, </w:t>
      </w:r>
      <w:r w:rsidR="00E23B69">
        <w:rPr>
          <w:b/>
          <w:bCs/>
          <w:lang w:val="en-GB"/>
        </w:rPr>
        <w:t>Glossary</w:t>
      </w:r>
      <w:r w:rsidR="5CC81F74" w:rsidRPr="728F2DAF">
        <w:rPr>
          <w:lang w:val="en-GB"/>
        </w:rPr>
        <w:t>;</w:t>
      </w:r>
      <w:r w:rsidR="5CC81F74" w:rsidRPr="728F2DAF">
        <w:rPr>
          <w:b/>
          <w:bCs/>
          <w:lang w:val="en-GB"/>
        </w:rPr>
        <w:t xml:space="preserve"> section </w:t>
      </w:r>
      <w:r w:rsidR="7122A3B1" w:rsidRPr="728F2DAF">
        <w:rPr>
          <w:b/>
          <w:bCs/>
          <w:lang w:val="en-GB"/>
        </w:rPr>
        <w:t>3.3.5.1</w:t>
      </w:r>
      <w:r w:rsidR="4329687F" w:rsidRPr="728F2DAF">
        <w:rPr>
          <w:lang w:val="en-GB"/>
        </w:rPr>
        <w:t>;</w:t>
      </w:r>
      <w:r w:rsidR="0BBB30B0" w:rsidRPr="728F2DAF">
        <w:rPr>
          <w:lang w:val="en-GB"/>
        </w:rPr>
        <w:t xml:space="preserve"> </w:t>
      </w:r>
      <w:r w:rsidR="791D3E44" w:rsidRPr="728F2DAF">
        <w:rPr>
          <w:b/>
          <w:bCs/>
          <w:lang w:val="en-GB"/>
        </w:rPr>
        <w:t>C</w:t>
      </w:r>
      <w:r w:rsidR="0BBB30B0" w:rsidRPr="728F2DAF">
        <w:rPr>
          <w:b/>
          <w:bCs/>
          <w:lang w:val="en-GB"/>
        </w:rPr>
        <w:t>hapter 1</w:t>
      </w:r>
      <w:r w:rsidR="5E9DF78D" w:rsidRPr="728F2DAF">
        <w:rPr>
          <w:lang w:val="en-GB"/>
        </w:rPr>
        <w:t>,</w:t>
      </w:r>
      <w:r w:rsidR="5E9DF78D" w:rsidRPr="728F2DAF">
        <w:rPr>
          <w:b/>
          <w:bCs/>
          <w:lang w:val="en-GB"/>
        </w:rPr>
        <w:t xml:space="preserve"> section 1.3.4</w:t>
      </w:r>
      <w:r w:rsidR="0F7D2839" w:rsidRPr="728F2DAF">
        <w:rPr>
          <w:lang w:val="en-GB"/>
        </w:rPr>
        <w:t>)</w:t>
      </w:r>
      <w:r w:rsidR="6422AFC2" w:rsidRPr="728F2DAF">
        <w:rPr>
          <w:lang w:val="en-GB"/>
        </w:rPr>
        <w:t xml:space="preserve">. </w:t>
      </w:r>
      <w:r w:rsidR="1C3EBED3" w:rsidRPr="728F2DAF">
        <w:rPr>
          <w:lang w:val="en-GB"/>
        </w:rPr>
        <w:t>All</w:t>
      </w:r>
      <w:r w:rsidR="7A3DFA67" w:rsidRPr="728F2DAF">
        <w:rPr>
          <w:lang w:val="en-GB"/>
        </w:rPr>
        <w:t xml:space="preserve"> </w:t>
      </w:r>
      <w:r w:rsidR="6422AFC2" w:rsidRPr="728F2DAF">
        <w:rPr>
          <w:lang w:val="en-GB"/>
        </w:rPr>
        <w:t>five pri</w:t>
      </w:r>
      <w:r w:rsidR="587FD1F0" w:rsidRPr="728F2DAF">
        <w:rPr>
          <w:lang w:val="en-GB"/>
        </w:rPr>
        <w:t>mary direct anthropogenic drivers</w:t>
      </w:r>
      <w:r w:rsidR="7A3DFA67" w:rsidRPr="728F2DAF">
        <w:rPr>
          <w:lang w:val="en-GB"/>
        </w:rPr>
        <w:t xml:space="preserve"> </w:t>
      </w:r>
      <w:r w:rsidR="47FAFEA1" w:rsidRPr="728F2DAF">
        <w:rPr>
          <w:lang w:val="en-GB"/>
        </w:rPr>
        <w:t xml:space="preserve">are </w:t>
      </w:r>
      <w:r w:rsidR="1C3EBED3" w:rsidRPr="728F2DAF">
        <w:rPr>
          <w:lang w:val="en-GB"/>
        </w:rPr>
        <w:t xml:space="preserve">therefore </w:t>
      </w:r>
      <w:r w:rsidR="47FAFEA1" w:rsidRPr="728F2DAF">
        <w:rPr>
          <w:lang w:val="en-GB"/>
        </w:rPr>
        <w:t>also</w:t>
      </w:r>
      <w:r w:rsidR="060D4B95" w:rsidRPr="728F2DAF">
        <w:rPr>
          <w:lang w:val="en-GB"/>
        </w:rPr>
        <w:t xml:space="preserve"> considered</w:t>
      </w:r>
      <w:r w:rsidR="47FAFEA1" w:rsidRPr="728F2DAF">
        <w:rPr>
          <w:lang w:val="en-GB"/>
        </w:rPr>
        <w:t xml:space="preserve"> in th</w:t>
      </w:r>
      <w:r w:rsidR="060D4B95" w:rsidRPr="728F2DAF">
        <w:rPr>
          <w:lang w:val="en-GB"/>
        </w:rPr>
        <w:t>is</w:t>
      </w:r>
      <w:r w:rsidR="47FAFEA1" w:rsidRPr="728F2DAF">
        <w:rPr>
          <w:lang w:val="en-GB"/>
        </w:rPr>
        <w:t xml:space="preserve"> asses</w:t>
      </w:r>
      <w:r w:rsidR="0CE01601" w:rsidRPr="728F2DAF">
        <w:rPr>
          <w:lang w:val="en-GB"/>
        </w:rPr>
        <w:t>s</w:t>
      </w:r>
      <w:r w:rsidR="47FAFEA1" w:rsidRPr="728F2DAF">
        <w:rPr>
          <w:lang w:val="en-GB"/>
        </w:rPr>
        <w:t>ment</w:t>
      </w:r>
      <w:r w:rsidR="676479B9" w:rsidRPr="728F2DAF">
        <w:rPr>
          <w:lang w:val="en-GB"/>
        </w:rPr>
        <w:t xml:space="preserve">. </w:t>
      </w:r>
    </w:p>
    <w:p w14:paraId="5BE170F4" w14:textId="49CA157A" w:rsidR="008C79B6" w:rsidRPr="00DA249F" w:rsidRDefault="6CF71EB6" w:rsidP="0090109B">
      <w:pPr>
        <w:rPr>
          <w:rFonts w:eastAsia="Times New Roman"/>
          <w:lang w:val="en-GB"/>
        </w:rPr>
      </w:pPr>
      <w:r w:rsidRPr="728F2DAF">
        <w:rPr>
          <w:lang w:val="en-GB"/>
        </w:rPr>
        <w:t xml:space="preserve">In addition to the main anthropogenic direct and indirect drivers </w:t>
      </w:r>
      <w:r w:rsidR="764F7CA3" w:rsidRPr="728F2DAF">
        <w:rPr>
          <w:lang w:val="en-GB"/>
        </w:rPr>
        <w:t>recogn</w:t>
      </w:r>
      <w:r w:rsidR="2F2B49A0" w:rsidRPr="728F2DAF">
        <w:rPr>
          <w:lang w:val="en-GB"/>
        </w:rPr>
        <w:t>ize</w:t>
      </w:r>
      <w:r w:rsidR="764F7CA3" w:rsidRPr="728F2DAF">
        <w:rPr>
          <w:lang w:val="en-GB"/>
        </w:rPr>
        <w:t xml:space="preserve">d by </w:t>
      </w:r>
      <w:r w:rsidRPr="728F2DAF">
        <w:rPr>
          <w:lang w:val="en-GB"/>
        </w:rPr>
        <w:t xml:space="preserve">the IPBES framework, </w:t>
      </w:r>
      <w:r w:rsidR="594DE539" w:rsidRPr="728F2DAF">
        <w:rPr>
          <w:lang w:val="en-GB"/>
        </w:rPr>
        <w:t xml:space="preserve">biological invasions can be </w:t>
      </w:r>
      <w:r w:rsidR="774EEAA3" w:rsidRPr="728F2DAF">
        <w:rPr>
          <w:lang w:val="en-GB"/>
        </w:rPr>
        <w:t xml:space="preserve">further </w:t>
      </w:r>
      <w:r w:rsidR="594DE539" w:rsidRPr="728F2DAF">
        <w:rPr>
          <w:lang w:val="en-GB"/>
        </w:rPr>
        <w:t>facilitated by</w:t>
      </w:r>
      <w:r w:rsidR="75231661" w:rsidRPr="728F2DAF">
        <w:rPr>
          <w:lang w:val="en-GB"/>
        </w:rPr>
        <w:t xml:space="preserve"> </w:t>
      </w:r>
      <w:r w:rsidR="1D5CCF0B" w:rsidRPr="728F2DAF">
        <w:rPr>
          <w:lang w:val="en-GB"/>
        </w:rPr>
        <w:t xml:space="preserve">natural </w:t>
      </w:r>
      <w:r w:rsidR="71C9647E" w:rsidRPr="728F2DAF">
        <w:rPr>
          <w:lang w:val="en-GB"/>
        </w:rPr>
        <w:t>drivers</w:t>
      </w:r>
      <w:r w:rsidR="009F7404">
        <w:rPr>
          <w:lang w:val="en-GB"/>
        </w:rPr>
        <w:t xml:space="preserve"> and</w:t>
      </w:r>
      <w:r w:rsidR="27E38289" w:rsidRPr="728F2DAF">
        <w:rPr>
          <w:lang w:val="en-GB"/>
        </w:rPr>
        <w:t xml:space="preserve"> in particular natural hazards </w:t>
      </w:r>
      <w:r w:rsidR="264B1ED0" w:rsidRPr="728F2DAF">
        <w:rPr>
          <w:rFonts w:eastAsia="Times New Roman"/>
          <w:lang w:val="en-GB"/>
        </w:rPr>
        <w:t>such as tsunamis, floods, fire</w:t>
      </w:r>
      <w:r w:rsidR="009F7404">
        <w:rPr>
          <w:rFonts w:eastAsia="Times New Roman"/>
          <w:lang w:val="en-GB"/>
        </w:rPr>
        <w:t xml:space="preserve"> and</w:t>
      </w:r>
      <w:r w:rsidR="264B1ED0" w:rsidRPr="728F2DAF">
        <w:rPr>
          <w:rFonts w:eastAsia="Times New Roman"/>
          <w:lang w:val="en-GB"/>
        </w:rPr>
        <w:t xml:space="preserve"> hurricanes</w:t>
      </w:r>
      <w:r w:rsidR="40645CFF" w:rsidRPr="728F2DAF">
        <w:rPr>
          <w:rFonts w:eastAsia="Times New Roman"/>
          <w:lang w:val="en-GB"/>
        </w:rPr>
        <w:t>.</w:t>
      </w:r>
      <w:r w:rsidR="163BC64D" w:rsidRPr="728F2DAF">
        <w:rPr>
          <w:lang w:val="en-GB"/>
        </w:rPr>
        <w:t xml:space="preserve"> </w:t>
      </w:r>
      <w:r w:rsidR="441F074B" w:rsidRPr="728F2DAF">
        <w:rPr>
          <w:lang w:val="en-GB"/>
        </w:rPr>
        <w:t xml:space="preserve">While </w:t>
      </w:r>
      <w:r w:rsidR="66D266DE" w:rsidRPr="728F2DAF">
        <w:rPr>
          <w:lang w:val="en-GB"/>
        </w:rPr>
        <w:t xml:space="preserve">the involvement of </w:t>
      </w:r>
      <w:r w:rsidR="0D551599" w:rsidRPr="728F2DAF">
        <w:rPr>
          <w:lang w:val="en-GB"/>
        </w:rPr>
        <w:t xml:space="preserve">human activities </w:t>
      </w:r>
      <w:r w:rsidR="2706BF07" w:rsidRPr="728F2DAF">
        <w:rPr>
          <w:lang w:val="en-GB"/>
        </w:rPr>
        <w:t>within the biological invasion process</w:t>
      </w:r>
      <w:r w:rsidR="589B8C19" w:rsidRPr="728F2DAF">
        <w:rPr>
          <w:lang w:val="en-GB"/>
        </w:rPr>
        <w:t xml:space="preserve"> </w:t>
      </w:r>
      <w:r w:rsidR="18335C5A" w:rsidRPr="728F2DAF">
        <w:rPr>
          <w:lang w:val="en-GB"/>
        </w:rPr>
        <w:t>is inherent to the definition of alien species</w:t>
      </w:r>
      <w:r w:rsidR="4F71BA7D" w:rsidRPr="728F2DAF">
        <w:rPr>
          <w:lang w:val="en-GB"/>
        </w:rPr>
        <w:t xml:space="preserve"> (</w:t>
      </w:r>
      <w:r w:rsidR="108E2A28" w:rsidRPr="728F2DAF">
        <w:rPr>
          <w:b/>
          <w:bCs/>
          <w:lang w:val="en-GB"/>
        </w:rPr>
        <w:t>C</w:t>
      </w:r>
      <w:r w:rsidR="4F71BA7D" w:rsidRPr="728F2DAF">
        <w:rPr>
          <w:b/>
          <w:bCs/>
          <w:lang w:val="en-GB"/>
        </w:rPr>
        <w:t>hapter 1</w:t>
      </w:r>
      <w:r w:rsidR="4F71BA7D" w:rsidRPr="728F2DAF">
        <w:rPr>
          <w:lang w:val="en-GB"/>
        </w:rPr>
        <w:t>,</w:t>
      </w:r>
      <w:r w:rsidR="4F71BA7D" w:rsidRPr="728F2DAF">
        <w:rPr>
          <w:b/>
          <w:bCs/>
          <w:lang w:val="en-GB"/>
        </w:rPr>
        <w:t xml:space="preserve"> </w:t>
      </w:r>
      <w:r w:rsidR="00E23B69">
        <w:rPr>
          <w:b/>
          <w:bCs/>
          <w:lang w:val="en-GB"/>
        </w:rPr>
        <w:t>Figure</w:t>
      </w:r>
      <w:r w:rsidR="4F71BA7D" w:rsidRPr="728F2DAF">
        <w:rPr>
          <w:b/>
          <w:bCs/>
          <w:lang w:val="en-GB"/>
        </w:rPr>
        <w:t xml:space="preserve"> 1.1</w:t>
      </w:r>
      <w:r w:rsidR="4F71BA7D" w:rsidRPr="728F2DAF">
        <w:rPr>
          <w:lang w:val="en-GB"/>
        </w:rPr>
        <w:t>)</w:t>
      </w:r>
      <w:r w:rsidR="18335C5A" w:rsidRPr="728F2DAF">
        <w:rPr>
          <w:lang w:val="en-GB"/>
        </w:rPr>
        <w:t>,</w:t>
      </w:r>
      <w:r w:rsidR="677E7FA5" w:rsidRPr="728F2DAF">
        <w:rPr>
          <w:lang w:val="en-GB"/>
        </w:rPr>
        <w:t xml:space="preserve"> these </w:t>
      </w:r>
      <w:r w:rsidR="2A6A8C97" w:rsidRPr="728F2DAF">
        <w:rPr>
          <w:lang w:val="en-GB"/>
        </w:rPr>
        <w:t>natural drivers</w:t>
      </w:r>
      <w:r w:rsidR="677E7FA5" w:rsidRPr="728F2DAF">
        <w:rPr>
          <w:lang w:val="en-GB"/>
        </w:rPr>
        <w:t xml:space="preserve"> </w:t>
      </w:r>
      <w:r w:rsidR="6CD3B123" w:rsidRPr="728F2DAF">
        <w:rPr>
          <w:rFonts w:eastAsia="Times New Roman"/>
          <w:lang w:val="en-GB"/>
        </w:rPr>
        <w:t>can play a major role in both the introduction of alien species from one region where they are alien to new regions</w:t>
      </w:r>
      <w:r w:rsidR="0104DCC7" w:rsidRPr="728F2DAF">
        <w:rPr>
          <w:rFonts w:eastAsia="Times New Roman"/>
          <w:lang w:val="en-GB"/>
        </w:rPr>
        <w:t>,</w:t>
      </w:r>
      <w:r w:rsidR="6CD3B123" w:rsidRPr="728F2DAF">
        <w:rPr>
          <w:rFonts w:eastAsia="Times New Roman"/>
          <w:lang w:val="en-GB"/>
        </w:rPr>
        <w:t xml:space="preserve"> and also aid their </w:t>
      </w:r>
      <w:r w:rsidR="78658FDE" w:rsidRPr="728F2DAF">
        <w:rPr>
          <w:rFonts w:eastAsia="Times New Roman"/>
          <w:lang w:val="en-GB"/>
        </w:rPr>
        <w:t xml:space="preserve">establishment and </w:t>
      </w:r>
      <w:r w:rsidR="6CD3B123" w:rsidRPr="728F2DAF">
        <w:rPr>
          <w:rFonts w:eastAsia="Times New Roman"/>
          <w:lang w:val="en-GB"/>
        </w:rPr>
        <w:t>further spread within regions</w:t>
      </w:r>
      <w:r w:rsidR="78658FDE" w:rsidRPr="728F2DAF">
        <w:rPr>
          <w:rFonts w:eastAsia="Times New Roman"/>
          <w:lang w:val="en-GB"/>
        </w:rPr>
        <w:t xml:space="preserve"> where they are already present as </w:t>
      </w:r>
      <w:r w:rsidR="179D20CF" w:rsidRPr="728F2DAF">
        <w:rPr>
          <w:rFonts w:eastAsia="Times New Roman"/>
          <w:lang w:val="en-GB"/>
        </w:rPr>
        <w:t>alien</w:t>
      </w:r>
      <w:r w:rsidR="589B8C19" w:rsidRPr="728F2DAF">
        <w:rPr>
          <w:rFonts w:eastAsia="Times New Roman"/>
          <w:lang w:val="en-GB"/>
        </w:rPr>
        <w:t xml:space="preserve"> </w:t>
      </w:r>
      <w:r w:rsidR="780007E9" w:rsidRPr="728F2DAF">
        <w:rPr>
          <w:rFonts w:eastAsia="Times New Roman"/>
          <w:lang w:val="en-GB"/>
        </w:rPr>
        <w:t>s</w:t>
      </w:r>
      <w:r w:rsidR="589B8C19" w:rsidRPr="728F2DAF">
        <w:rPr>
          <w:rFonts w:eastAsia="Times New Roman"/>
          <w:lang w:val="en-GB"/>
        </w:rPr>
        <w:t>pecies</w:t>
      </w:r>
      <w:r w:rsidR="577CC327" w:rsidRPr="728F2DAF">
        <w:rPr>
          <w:rFonts w:eastAsia="Times New Roman"/>
          <w:lang w:val="en-GB"/>
        </w:rPr>
        <w:t>. A</w:t>
      </w:r>
      <w:r w:rsidR="5C6522F7" w:rsidRPr="728F2DAF">
        <w:rPr>
          <w:rFonts w:eastAsia="Times New Roman"/>
          <w:lang w:val="en-GB"/>
        </w:rPr>
        <w:t xml:space="preserve"> further driver not directly addressed </w:t>
      </w:r>
      <w:r w:rsidR="74BF4609" w:rsidRPr="728F2DAF">
        <w:rPr>
          <w:rFonts w:eastAsia="Times New Roman"/>
          <w:lang w:val="en-GB"/>
        </w:rPr>
        <w:t>in previous IPBES assessments i</w:t>
      </w:r>
      <w:r w:rsidR="5C6522F7" w:rsidRPr="728F2DAF">
        <w:rPr>
          <w:rFonts w:eastAsia="Times New Roman"/>
          <w:lang w:val="en-GB"/>
        </w:rPr>
        <w:t>s biodiversity loss</w:t>
      </w:r>
      <w:r w:rsidR="40645CFF" w:rsidRPr="728F2DAF">
        <w:rPr>
          <w:rFonts w:eastAsia="Times New Roman"/>
          <w:lang w:val="en-GB"/>
        </w:rPr>
        <w:t>,</w:t>
      </w:r>
      <w:r w:rsidR="5C6522F7" w:rsidRPr="728F2DAF">
        <w:rPr>
          <w:rFonts w:eastAsia="Times New Roman"/>
          <w:lang w:val="en-GB"/>
        </w:rPr>
        <w:t xml:space="preserve"> but in the case of </w:t>
      </w:r>
      <w:r w:rsidR="2BD9B10B" w:rsidRPr="728F2DAF">
        <w:rPr>
          <w:rFonts w:eastAsia="Times New Roman"/>
          <w:lang w:val="en-GB"/>
        </w:rPr>
        <w:t>invasive alien species</w:t>
      </w:r>
      <w:r w:rsidR="5D9B22B7" w:rsidRPr="728F2DAF">
        <w:rPr>
          <w:rFonts w:eastAsia="Times New Roman"/>
          <w:lang w:val="en-GB"/>
        </w:rPr>
        <w:t xml:space="preserve"> </w:t>
      </w:r>
      <w:r w:rsidR="5C6522F7" w:rsidRPr="728F2DAF">
        <w:rPr>
          <w:rFonts w:eastAsia="Times New Roman"/>
          <w:lang w:val="en-GB"/>
        </w:rPr>
        <w:t xml:space="preserve">it can be </w:t>
      </w:r>
      <w:r w:rsidR="3AEE3913" w:rsidRPr="728F2DAF">
        <w:rPr>
          <w:rFonts w:eastAsia="Times New Roman"/>
          <w:lang w:val="en-GB"/>
        </w:rPr>
        <w:t xml:space="preserve">seen </w:t>
      </w:r>
      <w:r w:rsidR="00E77D81">
        <w:rPr>
          <w:rFonts w:eastAsia="Times New Roman"/>
          <w:lang w:val="en-GB"/>
        </w:rPr>
        <w:t xml:space="preserve">as </w:t>
      </w:r>
      <w:r w:rsidR="5C6522F7" w:rsidRPr="728F2DAF">
        <w:rPr>
          <w:rFonts w:eastAsia="Times New Roman"/>
          <w:lang w:val="en-GB"/>
        </w:rPr>
        <w:t>a driver</w:t>
      </w:r>
      <w:r w:rsidR="52415F09" w:rsidRPr="728F2DAF">
        <w:rPr>
          <w:rFonts w:eastAsia="Times New Roman"/>
          <w:lang w:val="en-GB"/>
        </w:rPr>
        <w:t xml:space="preserve"> that </w:t>
      </w:r>
      <w:r w:rsidR="3579ACC9" w:rsidRPr="728F2DAF">
        <w:rPr>
          <w:rFonts w:eastAsia="Times New Roman"/>
          <w:lang w:val="en-GB"/>
        </w:rPr>
        <w:t>facilitat</w:t>
      </w:r>
      <w:r w:rsidR="17435322" w:rsidRPr="728F2DAF">
        <w:rPr>
          <w:rFonts w:eastAsia="Times New Roman"/>
          <w:lang w:val="en-GB"/>
        </w:rPr>
        <w:t>es</w:t>
      </w:r>
      <w:r w:rsidR="3579ACC9" w:rsidRPr="728F2DAF">
        <w:rPr>
          <w:rFonts w:eastAsia="Times New Roman"/>
          <w:lang w:val="en-GB"/>
        </w:rPr>
        <w:t xml:space="preserve"> </w:t>
      </w:r>
      <w:r w:rsidR="1B1A6238" w:rsidRPr="728F2DAF">
        <w:rPr>
          <w:rFonts w:eastAsia="Times New Roman"/>
          <w:lang w:val="en-GB"/>
        </w:rPr>
        <w:t xml:space="preserve">their </w:t>
      </w:r>
      <w:r w:rsidR="5C6522F7" w:rsidRPr="728F2DAF">
        <w:rPr>
          <w:rFonts w:eastAsia="Times New Roman"/>
          <w:lang w:val="en-GB"/>
        </w:rPr>
        <w:t xml:space="preserve">establishment </w:t>
      </w:r>
      <w:r w:rsidR="1458F27C" w:rsidRPr="728F2DAF">
        <w:rPr>
          <w:rFonts w:eastAsia="Times New Roman"/>
          <w:lang w:val="en-GB"/>
        </w:rPr>
        <w:t xml:space="preserve">and spread, </w:t>
      </w:r>
      <w:r w:rsidR="5C6522F7" w:rsidRPr="728F2DAF">
        <w:rPr>
          <w:rFonts w:eastAsia="Times New Roman"/>
          <w:lang w:val="en-GB"/>
        </w:rPr>
        <w:t>as</w:t>
      </w:r>
      <w:r w:rsidR="35F84918" w:rsidRPr="728F2DAF">
        <w:rPr>
          <w:rFonts w:eastAsia="Times New Roman"/>
          <w:lang w:val="en-GB"/>
        </w:rPr>
        <w:t xml:space="preserve"> a result of </w:t>
      </w:r>
      <w:r w:rsidR="46D145E2" w:rsidRPr="728F2DAF">
        <w:rPr>
          <w:rFonts w:eastAsia="Times New Roman"/>
          <w:lang w:val="en-GB"/>
        </w:rPr>
        <w:t>reduce</w:t>
      </w:r>
      <w:r w:rsidR="5D8651EC" w:rsidRPr="728F2DAF">
        <w:rPr>
          <w:rFonts w:eastAsia="Times New Roman"/>
          <w:lang w:val="en-GB"/>
        </w:rPr>
        <w:t>d</w:t>
      </w:r>
      <w:r w:rsidR="46D145E2" w:rsidRPr="728F2DAF">
        <w:rPr>
          <w:rFonts w:eastAsia="Times New Roman"/>
          <w:lang w:val="en-GB"/>
        </w:rPr>
        <w:t xml:space="preserve"> resistance of </w:t>
      </w:r>
      <w:r w:rsidR="45FE8B16" w:rsidRPr="728F2DAF">
        <w:rPr>
          <w:rFonts w:eastAsia="Times New Roman"/>
          <w:lang w:val="en-GB"/>
        </w:rPr>
        <w:t>altered</w:t>
      </w:r>
      <w:r w:rsidR="74BF4609" w:rsidRPr="728F2DAF">
        <w:rPr>
          <w:rFonts w:eastAsia="Times New Roman"/>
          <w:lang w:val="en-GB"/>
        </w:rPr>
        <w:t xml:space="preserve"> </w:t>
      </w:r>
      <w:r w:rsidR="46D145E2" w:rsidRPr="728F2DAF">
        <w:rPr>
          <w:rFonts w:eastAsia="Times New Roman"/>
          <w:lang w:val="en-GB"/>
        </w:rPr>
        <w:t xml:space="preserve">natural ecosystems to </w:t>
      </w:r>
      <w:r w:rsidR="584B7051" w:rsidRPr="728F2DAF">
        <w:rPr>
          <w:rFonts w:eastAsia="Times New Roman"/>
          <w:lang w:val="en-GB"/>
        </w:rPr>
        <w:t>invasive alien species</w:t>
      </w:r>
      <w:r w:rsidR="5C7A10CD" w:rsidRPr="728F2DAF">
        <w:rPr>
          <w:rFonts w:eastAsia="Times New Roman"/>
          <w:lang w:val="en-GB"/>
        </w:rPr>
        <w:t xml:space="preserve"> </w:t>
      </w:r>
      <w:r w:rsidR="528CD6E2" w:rsidRPr="728F2DAF">
        <w:rPr>
          <w:rFonts w:eastAsia="Times New Roman"/>
          <w:lang w:val="en-GB"/>
        </w:rPr>
        <w:t>(</w:t>
      </w:r>
      <w:r w:rsidR="108E2A28" w:rsidRPr="728F2DAF">
        <w:rPr>
          <w:rFonts w:eastAsia="Times New Roman"/>
          <w:b/>
          <w:bCs/>
          <w:lang w:val="en-GB"/>
        </w:rPr>
        <w:t>C</w:t>
      </w:r>
      <w:r w:rsidR="77279C80" w:rsidRPr="728F2DAF">
        <w:rPr>
          <w:rFonts w:eastAsia="Times New Roman"/>
          <w:b/>
          <w:bCs/>
          <w:lang w:val="en-GB"/>
        </w:rPr>
        <w:t>hapter 1</w:t>
      </w:r>
      <w:r w:rsidR="77279C80" w:rsidRPr="728F2DAF">
        <w:rPr>
          <w:rFonts w:eastAsia="Times New Roman"/>
          <w:lang w:val="en-GB"/>
        </w:rPr>
        <w:t>,</w:t>
      </w:r>
      <w:r w:rsidR="77279C80" w:rsidRPr="728F2DAF">
        <w:rPr>
          <w:rFonts w:eastAsia="Times New Roman"/>
          <w:b/>
          <w:bCs/>
          <w:lang w:val="en-GB"/>
        </w:rPr>
        <w:t xml:space="preserve"> section 1.4.3</w:t>
      </w:r>
      <w:r w:rsidR="77279C80" w:rsidRPr="728F2DAF">
        <w:rPr>
          <w:rFonts w:eastAsia="Times New Roman"/>
          <w:lang w:val="en-GB"/>
        </w:rPr>
        <w:t>)</w:t>
      </w:r>
      <w:r w:rsidR="46D145E2" w:rsidRPr="728F2DAF">
        <w:rPr>
          <w:rFonts w:eastAsia="Times New Roman"/>
          <w:lang w:val="en-GB"/>
        </w:rPr>
        <w:t xml:space="preserve">. </w:t>
      </w:r>
      <w:r w:rsidR="1D5CCF0B" w:rsidRPr="728F2DAF">
        <w:rPr>
          <w:lang w:val="en-GB"/>
        </w:rPr>
        <w:t xml:space="preserve">Thus, the </w:t>
      </w:r>
      <w:r w:rsidR="72D14D32" w:rsidRPr="728F2DAF">
        <w:rPr>
          <w:lang w:val="en-GB"/>
        </w:rPr>
        <w:t xml:space="preserve">transport, </w:t>
      </w:r>
      <w:r w:rsidR="1D5CCF0B" w:rsidRPr="728F2DAF">
        <w:rPr>
          <w:lang w:val="en-GB"/>
        </w:rPr>
        <w:t>introduction, establishment and spread of invasive alien species can</w:t>
      </w:r>
      <w:r w:rsidR="38A712B3" w:rsidRPr="728F2DAF">
        <w:rPr>
          <w:lang w:val="en-GB"/>
        </w:rPr>
        <w:t xml:space="preserve"> </w:t>
      </w:r>
      <w:r w:rsidR="2478F0D0" w:rsidRPr="728F2DAF">
        <w:rPr>
          <w:lang w:val="en-GB"/>
        </w:rPr>
        <w:t xml:space="preserve">be </w:t>
      </w:r>
      <w:r w:rsidR="2A919869" w:rsidRPr="728F2DAF">
        <w:rPr>
          <w:lang w:val="en-GB"/>
        </w:rPr>
        <w:t>facilitated</w:t>
      </w:r>
      <w:r w:rsidR="2478F0D0" w:rsidRPr="728F2DAF">
        <w:rPr>
          <w:lang w:val="en-GB"/>
        </w:rPr>
        <w:t xml:space="preserve"> by </w:t>
      </w:r>
      <w:r w:rsidR="1D5CCF0B" w:rsidRPr="728F2DAF">
        <w:rPr>
          <w:lang w:val="en-GB"/>
        </w:rPr>
        <w:t xml:space="preserve">both direct and indirect </w:t>
      </w:r>
      <w:r w:rsidR="607D6873" w:rsidRPr="728F2DAF">
        <w:rPr>
          <w:lang w:val="en-GB"/>
        </w:rPr>
        <w:t xml:space="preserve">anthropogenic </w:t>
      </w:r>
      <w:r w:rsidR="067C1E4A" w:rsidRPr="728F2DAF">
        <w:rPr>
          <w:lang w:val="en-GB"/>
        </w:rPr>
        <w:t>drivers of change in nature</w:t>
      </w:r>
      <w:r w:rsidR="30F3A0B3" w:rsidRPr="728F2DAF">
        <w:rPr>
          <w:lang w:val="en-GB"/>
        </w:rPr>
        <w:t xml:space="preserve">, as well as </w:t>
      </w:r>
      <w:r w:rsidR="0131930B" w:rsidRPr="728F2DAF">
        <w:rPr>
          <w:lang w:val="en-GB"/>
        </w:rPr>
        <w:t xml:space="preserve">by </w:t>
      </w:r>
      <w:r w:rsidR="62086202" w:rsidRPr="728F2DAF">
        <w:rPr>
          <w:lang w:val="en-GB"/>
        </w:rPr>
        <w:t xml:space="preserve">natural drivers and </w:t>
      </w:r>
      <w:r w:rsidR="544BEA18" w:rsidRPr="728F2DAF">
        <w:rPr>
          <w:lang w:val="en-GB"/>
        </w:rPr>
        <w:t xml:space="preserve">by </w:t>
      </w:r>
      <w:r w:rsidR="30F3A0B3" w:rsidRPr="728F2DAF">
        <w:rPr>
          <w:lang w:val="en-GB"/>
        </w:rPr>
        <w:t xml:space="preserve">biodiversity </w:t>
      </w:r>
      <w:r w:rsidR="276EC3CD" w:rsidRPr="728F2DAF">
        <w:rPr>
          <w:lang w:val="en-GB"/>
        </w:rPr>
        <w:t>loss</w:t>
      </w:r>
      <w:r w:rsidR="1D5CCF0B" w:rsidRPr="728F2DAF">
        <w:rPr>
          <w:lang w:val="en-GB"/>
        </w:rPr>
        <w:t xml:space="preserve">. </w:t>
      </w:r>
      <w:r w:rsidR="38487127" w:rsidRPr="728F2DAF">
        <w:rPr>
          <w:lang w:val="en-GB"/>
        </w:rPr>
        <w:t>These drivers do not a</w:t>
      </w:r>
      <w:r w:rsidR="2EAA9D11" w:rsidRPr="728F2DAF">
        <w:rPr>
          <w:lang w:val="en-GB"/>
        </w:rPr>
        <w:t>c</w:t>
      </w:r>
      <w:r w:rsidR="38487127" w:rsidRPr="728F2DAF">
        <w:rPr>
          <w:lang w:val="en-GB"/>
        </w:rPr>
        <w:t xml:space="preserve">t in </w:t>
      </w:r>
      <w:r w:rsidR="2E29FE0E" w:rsidRPr="728F2DAF">
        <w:rPr>
          <w:lang w:val="en-GB"/>
        </w:rPr>
        <w:t>isolation but</w:t>
      </w:r>
      <w:r w:rsidR="38487127" w:rsidRPr="728F2DAF">
        <w:rPr>
          <w:lang w:val="en-GB"/>
        </w:rPr>
        <w:t xml:space="preserve"> may interact </w:t>
      </w:r>
      <w:r w:rsidR="4F2C5D04" w:rsidRPr="728F2DAF">
        <w:rPr>
          <w:lang w:val="en-GB"/>
        </w:rPr>
        <w:t xml:space="preserve">with each other in </w:t>
      </w:r>
      <w:r w:rsidR="32DF1F7E" w:rsidRPr="728F2DAF">
        <w:rPr>
          <w:lang w:val="en-GB"/>
        </w:rPr>
        <w:t>different and complex</w:t>
      </w:r>
      <w:r w:rsidR="4F2C5D04" w:rsidRPr="728F2DAF">
        <w:rPr>
          <w:lang w:val="en-GB"/>
        </w:rPr>
        <w:t xml:space="preserve"> ways</w:t>
      </w:r>
      <w:r w:rsidR="170B9B98" w:rsidRPr="728F2DAF">
        <w:rPr>
          <w:lang w:val="en-GB"/>
        </w:rPr>
        <w:t xml:space="preserve"> (</w:t>
      </w:r>
      <w:r w:rsidR="07A7D99D" w:rsidRPr="728F2DAF">
        <w:rPr>
          <w:b/>
          <w:bCs/>
          <w:lang w:val="en-GB"/>
        </w:rPr>
        <w:t>section 3.1.5</w:t>
      </w:r>
      <w:r w:rsidR="170B9B98" w:rsidRPr="728F2DAF">
        <w:rPr>
          <w:lang w:val="en-GB"/>
        </w:rPr>
        <w:t>)</w:t>
      </w:r>
      <w:r w:rsidR="3195035D" w:rsidRPr="728F2DAF">
        <w:rPr>
          <w:lang w:val="en-GB"/>
        </w:rPr>
        <w:t xml:space="preserve">. </w:t>
      </w:r>
      <w:r w:rsidR="25388FEF" w:rsidRPr="728F2DAF">
        <w:rPr>
          <w:lang w:val="en-GB"/>
        </w:rPr>
        <w:t>In part a</w:t>
      </w:r>
      <w:r w:rsidR="5559FDE7" w:rsidRPr="728F2DAF">
        <w:rPr>
          <w:lang w:val="en-GB"/>
        </w:rPr>
        <w:t xml:space="preserve">s a result of these complexities, </w:t>
      </w:r>
      <w:r w:rsidR="2EAA9D11" w:rsidRPr="728F2DAF">
        <w:rPr>
          <w:lang w:val="en-GB"/>
        </w:rPr>
        <w:t xml:space="preserve">the </w:t>
      </w:r>
      <w:r w:rsidR="7E4F74B9" w:rsidRPr="728F2DAF">
        <w:rPr>
          <w:lang w:val="en-GB"/>
        </w:rPr>
        <w:t>knowledge base is both limited and fragmented</w:t>
      </w:r>
      <w:r w:rsidR="01D12212" w:rsidRPr="728F2DAF">
        <w:rPr>
          <w:lang w:val="en-GB"/>
        </w:rPr>
        <w:t>,</w:t>
      </w:r>
      <w:r w:rsidR="5559FDE7" w:rsidRPr="728F2DAF">
        <w:rPr>
          <w:lang w:val="en-GB"/>
        </w:rPr>
        <w:t xml:space="preserve"> and attribution of cause-effect relationships can be </w:t>
      </w:r>
      <w:r w:rsidR="1AE9C7AC" w:rsidRPr="728F2DAF">
        <w:rPr>
          <w:lang w:val="en-GB"/>
        </w:rPr>
        <w:t>challenging</w:t>
      </w:r>
      <w:r w:rsidR="1AE9C7AC" w:rsidRPr="728F2DAF">
        <w:rPr>
          <w:i/>
          <w:iCs/>
          <w:lang w:val="en-GB"/>
        </w:rPr>
        <w:t xml:space="preserve"> </w:t>
      </w:r>
      <w:r w:rsidR="1AE9C7AC" w:rsidRPr="728F2DAF">
        <w:rPr>
          <w:lang w:val="en-GB"/>
        </w:rPr>
        <w:t>(</w:t>
      </w:r>
      <w:r w:rsidR="1AE9C7AC" w:rsidRPr="728F2DAF">
        <w:rPr>
          <w:b/>
          <w:bCs/>
          <w:lang w:val="en-GB"/>
        </w:rPr>
        <w:t>section</w:t>
      </w:r>
      <w:r w:rsidR="0063D058" w:rsidRPr="728F2DAF">
        <w:rPr>
          <w:b/>
          <w:bCs/>
          <w:lang w:val="en-GB"/>
        </w:rPr>
        <w:t>s</w:t>
      </w:r>
      <w:r w:rsidR="1AE9C7AC" w:rsidRPr="728F2DAF">
        <w:rPr>
          <w:b/>
          <w:bCs/>
          <w:lang w:val="en-GB"/>
        </w:rPr>
        <w:t xml:space="preserve"> 3.1.</w:t>
      </w:r>
      <w:r w:rsidR="7A716DC4" w:rsidRPr="728F2DAF">
        <w:rPr>
          <w:b/>
          <w:bCs/>
          <w:lang w:val="en-GB"/>
        </w:rPr>
        <w:t>5</w:t>
      </w:r>
      <w:r w:rsidR="0063D058" w:rsidRPr="728F2DAF">
        <w:rPr>
          <w:b/>
          <w:bCs/>
          <w:lang w:val="en-GB"/>
        </w:rPr>
        <w:t xml:space="preserve">, </w:t>
      </w:r>
      <w:r w:rsidR="60AA88E6" w:rsidRPr="728F2DAF">
        <w:rPr>
          <w:b/>
          <w:bCs/>
          <w:lang w:val="en-GB"/>
        </w:rPr>
        <w:t>3.6.1</w:t>
      </w:r>
      <w:r w:rsidR="1AE9C7AC" w:rsidRPr="728F2DAF">
        <w:rPr>
          <w:i/>
          <w:iCs/>
          <w:lang w:val="en-GB"/>
        </w:rPr>
        <w:t>)</w:t>
      </w:r>
      <w:r w:rsidR="5559FDE7" w:rsidRPr="728F2DAF">
        <w:rPr>
          <w:lang w:val="en-GB"/>
        </w:rPr>
        <w:t>.</w:t>
      </w:r>
      <w:r w:rsidR="7E4F74B9" w:rsidRPr="728F2DAF">
        <w:rPr>
          <w:lang w:val="en-GB"/>
        </w:rPr>
        <w:t xml:space="preserve"> </w:t>
      </w:r>
      <w:r w:rsidR="62C93A47" w:rsidRPr="728F2DAF">
        <w:rPr>
          <w:lang w:val="en-GB"/>
        </w:rPr>
        <w:t xml:space="preserve">To acknowledge </w:t>
      </w:r>
      <w:r w:rsidR="5B4D8D39" w:rsidRPr="728F2DAF">
        <w:rPr>
          <w:lang w:val="en-GB"/>
        </w:rPr>
        <w:t>and cover these complexities</w:t>
      </w:r>
      <w:r w:rsidR="170B9B98" w:rsidRPr="728F2DAF">
        <w:rPr>
          <w:lang w:val="en-GB"/>
        </w:rPr>
        <w:t xml:space="preserve"> and limitations</w:t>
      </w:r>
      <w:r w:rsidR="5B4D8D39" w:rsidRPr="728F2DAF">
        <w:rPr>
          <w:lang w:val="en-GB"/>
        </w:rPr>
        <w:t>, the assessment is organized as fol</w:t>
      </w:r>
      <w:r w:rsidR="0EA55A82" w:rsidRPr="728F2DAF">
        <w:rPr>
          <w:lang w:val="en-GB"/>
        </w:rPr>
        <w:t>l</w:t>
      </w:r>
      <w:r w:rsidR="5B4D8D39" w:rsidRPr="728F2DAF">
        <w:rPr>
          <w:lang w:val="en-GB"/>
        </w:rPr>
        <w:t xml:space="preserve">ows: </w:t>
      </w:r>
    </w:p>
    <w:p w14:paraId="72B71C5A" w14:textId="68A6B645" w:rsidR="00FD5629" w:rsidRPr="00A63675" w:rsidRDefault="01A0C6BC" w:rsidP="5575EBFC">
      <w:pPr>
        <w:shd w:val="clear" w:color="auto" w:fill="FFFFFF" w:themeFill="background1"/>
        <w:rPr>
          <w:b/>
          <w:bCs/>
          <w:lang w:val="en-GB"/>
        </w:rPr>
      </w:pPr>
      <w:r w:rsidRPr="5575EBFC">
        <w:rPr>
          <w:lang w:val="en-GB"/>
        </w:rPr>
        <w:t>S</w:t>
      </w:r>
      <w:r w:rsidR="6CC7A86A" w:rsidRPr="5575EBFC">
        <w:rPr>
          <w:lang w:val="en-GB"/>
        </w:rPr>
        <w:t xml:space="preserve">ection 3.2 assesses the role that five </w:t>
      </w:r>
      <w:r w:rsidR="02A711B5" w:rsidRPr="5575EBFC">
        <w:rPr>
          <w:lang w:val="en-GB"/>
        </w:rPr>
        <w:t>indirect</w:t>
      </w:r>
      <w:r w:rsidR="6CC7A86A" w:rsidRPr="5575EBFC">
        <w:rPr>
          <w:lang w:val="en-GB"/>
        </w:rPr>
        <w:t xml:space="preserve"> </w:t>
      </w:r>
      <w:r w:rsidR="653902EA" w:rsidRPr="5575EBFC">
        <w:rPr>
          <w:lang w:val="en-GB"/>
        </w:rPr>
        <w:t>drivers of change in nature</w:t>
      </w:r>
      <w:r w:rsidR="127DA584" w:rsidRPr="5575EBFC">
        <w:rPr>
          <w:lang w:val="en-GB"/>
        </w:rPr>
        <w:t xml:space="preserve"> </w:t>
      </w:r>
      <w:r w:rsidR="6CC7A86A" w:rsidRPr="5575EBFC">
        <w:rPr>
          <w:lang w:val="en-GB"/>
        </w:rPr>
        <w:t xml:space="preserve">play in the </w:t>
      </w:r>
      <w:r w:rsidR="108BB3BA" w:rsidRPr="5575EBFC">
        <w:rPr>
          <w:lang w:val="en-GB"/>
        </w:rPr>
        <w:t>different stages (</w:t>
      </w:r>
      <w:r w:rsidR="26FFEC5F" w:rsidRPr="5575EBFC">
        <w:rPr>
          <w:lang w:val="en-GB"/>
        </w:rPr>
        <w:t xml:space="preserve">transport, </w:t>
      </w:r>
      <w:r w:rsidR="108BB3BA" w:rsidRPr="5575EBFC">
        <w:rPr>
          <w:lang w:val="en-GB"/>
        </w:rPr>
        <w:t>introduction, establishment and spread)</w:t>
      </w:r>
      <w:r w:rsidR="6CC7A86A" w:rsidRPr="5575EBFC">
        <w:rPr>
          <w:lang w:val="en-GB"/>
        </w:rPr>
        <w:t xml:space="preserve"> </w:t>
      </w:r>
      <w:r w:rsidR="26FFEC5F" w:rsidRPr="5575EBFC">
        <w:rPr>
          <w:lang w:val="en-GB"/>
        </w:rPr>
        <w:t xml:space="preserve">of </w:t>
      </w:r>
      <w:r w:rsidR="1C010328" w:rsidRPr="5575EBFC">
        <w:rPr>
          <w:lang w:val="en-GB"/>
        </w:rPr>
        <w:t xml:space="preserve">the </w:t>
      </w:r>
      <w:r w:rsidR="6CC7A86A" w:rsidRPr="5575EBFC">
        <w:rPr>
          <w:lang w:val="en-GB"/>
        </w:rPr>
        <w:t>b</w:t>
      </w:r>
      <w:r w:rsidR="31A720BC" w:rsidRPr="5575EBFC">
        <w:rPr>
          <w:lang w:val="en-GB"/>
        </w:rPr>
        <w:t>iological invasion</w:t>
      </w:r>
      <w:r w:rsidR="6A5AA3BB" w:rsidRPr="5575EBFC">
        <w:rPr>
          <w:lang w:val="en-GB"/>
        </w:rPr>
        <w:t xml:space="preserve"> proces</w:t>
      </w:r>
      <w:r w:rsidR="31A720BC" w:rsidRPr="5575EBFC">
        <w:rPr>
          <w:lang w:val="en-GB"/>
        </w:rPr>
        <w:t>s (</w:t>
      </w:r>
      <w:r w:rsidR="00E23B69">
        <w:rPr>
          <w:b/>
          <w:bCs/>
          <w:lang w:val="en-GB"/>
        </w:rPr>
        <w:t>Table</w:t>
      </w:r>
      <w:r w:rsidR="09D4245B" w:rsidRPr="5575EBFC">
        <w:rPr>
          <w:b/>
          <w:bCs/>
          <w:lang w:val="en-GB"/>
        </w:rPr>
        <w:t xml:space="preserve"> 3.1</w:t>
      </w:r>
      <w:r w:rsidR="6CC7A86A" w:rsidRPr="5575EBFC">
        <w:rPr>
          <w:lang w:val="en-GB"/>
        </w:rPr>
        <w:t>). The</w:t>
      </w:r>
      <w:r w:rsidR="28173846" w:rsidRPr="5575EBFC">
        <w:rPr>
          <w:lang w:val="en-GB"/>
        </w:rPr>
        <w:t xml:space="preserve"> </w:t>
      </w:r>
      <w:r w:rsidR="02A711B5" w:rsidRPr="5575EBFC">
        <w:rPr>
          <w:lang w:val="en-GB"/>
        </w:rPr>
        <w:t>indirect</w:t>
      </w:r>
      <w:r w:rsidR="62CDECA2" w:rsidRPr="5575EBFC">
        <w:rPr>
          <w:lang w:val="en-GB"/>
        </w:rPr>
        <w:t xml:space="preserve"> </w:t>
      </w:r>
      <w:r w:rsidR="6CC7A86A" w:rsidRPr="5575EBFC">
        <w:rPr>
          <w:lang w:val="en-GB"/>
        </w:rPr>
        <w:t xml:space="preserve">drivers examined are: </w:t>
      </w:r>
    </w:p>
    <w:p w14:paraId="75C78F1F" w14:textId="77777777" w:rsidR="00FD5629" w:rsidRPr="00DA249F" w:rsidRDefault="628B9010" w:rsidP="004826A3">
      <w:pPr>
        <w:pStyle w:val="ListParagraph"/>
        <w:numPr>
          <w:ilvl w:val="0"/>
          <w:numId w:val="14"/>
        </w:numPr>
        <w:shd w:val="clear" w:color="auto" w:fill="FFFFFF" w:themeFill="background1"/>
        <w:spacing w:before="0" w:after="0"/>
        <w:rPr>
          <w:lang w:val="en-GB"/>
        </w:rPr>
      </w:pPr>
      <w:r w:rsidRPr="00DA249F">
        <w:rPr>
          <w:lang w:val="en-GB"/>
        </w:rPr>
        <w:t>sociocultural</w:t>
      </w:r>
      <w:r w:rsidR="008D0743" w:rsidRPr="00DA249F">
        <w:rPr>
          <w:lang w:val="en-GB"/>
        </w:rPr>
        <w:t xml:space="preserve"> drivers and social values</w:t>
      </w:r>
      <w:r w:rsidR="002361B6" w:rsidRPr="00DA249F">
        <w:rPr>
          <w:lang w:val="en-GB"/>
        </w:rPr>
        <w:t xml:space="preserve"> (</w:t>
      </w:r>
      <w:r w:rsidR="007B166A" w:rsidRPr="00DA249F">
        <w:rPr>
          <w:lang w:val="en-GB"/>
        </w:rPr>
        <w:t xml:space="preserve">including </w:t>
      </w:r>
      <w:r w:rsidR="002361B6" w:rsidRPr="00DA249F">
        <w:rPr>
          <w:lang w:val="en-GB"/>
        </w:rPr>
        <w:t xml:space="preserve">norms, traditions, </w:t>
      </w:r>
      <w:r w:rsidR="008F5875" w:rsidRPr="00DA249F">
        <w:rPr>
          <w:lang w:val="en-GB"/>
        </w:rPr>
        <w:t>cultural</w:t>
      </w:r>
      <w:r w:rsidR="002361B6" w:rsidRPr="00DA249F">
        <w:rPr>
          <w:lang w:val="en-GB"/>
        </w:rPr>
        <w:t xml:space="preserve"> beliefs</w:t>
      </w:r>
      <w:r w:rsidR="008F5875" w:rsidRPr="00DA249F">
        <w:rPr>
          <w:lang w:val="en-GB"/>
        </w:rPr>
        <w:t>, desires</w:t>
      </w:r>
      <w:r w:rsidR="00063955" w:rsidRPr="00DA249F">
        <w:rPr>
          <w:lang w:val="en-GB"/>
        </w:rPr>
        <w:t>, perceptions</w:t>
      </w:r>
      <w:r w:rsidR="002361B6" w:rsidRPr="00DA249F">
        <w:rPr>
          <w:lang w:val="en-GB"/>
        </w:rPr>
        <w:t>)</w:t>
      </w:r>
      <w:r w:rsidR="00FD5629" w:rsidRPr="00DA249F">
        <w:rPr>
          <w:lang w:val="en-GB"/>
        </w:rPr>
        <w:t>;</w:t>
      </w:r>
    </w:p>
    <w:p w14:paraId="03CA7DCB" w14:textId="5EAB63CF" w:rsidR="00FD5629" w:rsidRPr="00DA249F" w:rsidRDefault="628B9010" w:rsidP="004826A3">
      <w:pPr>
        <w:pStyle w:val="ListParagraph"/>
        <w:numPr>
          <w:ilvl w:val="0"/>
          <w:numId w:val="14"/>
        </w:numPr>
        <w:shd w:val="clear" w:color="auto" w:fill="FFFFFF" w:themeFill="background1"/>
        <w:spacing w:before="0" w:after="0"/>
        <w:rPr>
          <w:lang w:val="en-GB"/>
        </w:rPr>
      </w:pPr>
      <w:r w:rsidRPr="00DA249F">
        <w:rPr>
          <w:lang w:val="en-GB"/>
        </w:rPr>
        <w:t>demographic (</w:t>
      </w:r>
      <w:r w:rsidR="007B166A" w:rsidRPr="00DA249F">
        <w:rPr>
          <w:lang w:val="en-GB"/>
        </w:rPr>
        <w:t xml:space="preserve">including </w:t>
      </w:r>
      <w:r w:rsidRPr="00DA249F">
        <w:rPr>
          <w:lang w:val="en-GB"/>
        </w:rPr>
        <w:t>human population</w:t>
      </w:r>
      <w:r w:rsidR="411F71C7" w:rsidRPr="00DA249F">
        <w:rPr>
          <w:lang w:val="en-GB"/>
        </w:rPr>
        <w:t xml:space="preserve"> </w:t>
      </w:r>
      <w:r w:rsidR="7CD48343" w:rsidRPr="00DA249F">
        <w:rPr>
          <w:lang w:val="en-GB"/>
        </w:rPr>
        <w:t xml:space="preserve">density, </w:t>
      </w:r>
      <w:r w:rsidR="00063955" w:rsidRPr="00DA249F">
        <w:rPr>
          <w:lang w:val="en-GB"/>
        </w:rPr>
        <w:t xml:space="preserve">migration, </w:t>
      </w:r>
      <w:r w:rsidR="00EF3D7C" w:rsidRPr="00DA249F">
        <w:rPr>
          <w:lang w:val="en-GB"/>
        </w:rPr>
        <w:t>international crises</w:t>
      </w:r>
      <w:r w:rsidR="009F7404">
        <w:rPr>
          <w:lang w:val="en-GB"/>
        </w:rPr>
        <w:t xml:space="preserve"> and</w:t>
      </w:r>
      <w:r w:rsidR="00EF3D7C" w:rsidRPr="00DA249F">
        <w:rPr>
          <w:lang w:val="en-GB"/>
        </w:rPr>
        <w:t xml:space="preserve"> </w:t>
      </w:r>
      <w:r w:rsidR="00CA62D5" w:rsidRPr="00DA249F">
        <w:rPr>
          <w:lang w:val="en-GB"/>
        </w:rPr>
        <w:t>urbanization</w:t>
      </w:r>
      <w:r w:rsidRPr="00DA249F">
        <w:rPr>
          <w:lang w:val="en-GB"/>
        </w:rPr>
        <w:t xml:space="preserve">); </w:t>
      </w:r>
    </w:p>
    <w:p w14:paraId="0A488D05" w14:textId="77777777" w:rsidR="00FD5629" w:rsidRPr="00DA249F" w:rsidRDefault="628B9010" w:rsidP="004826A3">
      <w:pPr>
        <w:pStyle w:val="ListParagraph"/>
        <w:numPr>
          <w:ilvl w:val="0"/>
          <w:numId w:val="14"/>
        </w:numPr>
        <w:shd w:val="clear" w:color="auto" w:fill="FFFFFF" w:themeFill="background1"/>
        <w:spacing w:before="0" w:after="0"/>
        <w:rPr>
          <w:lang w:val="en-GB"/>
        </w:rPr>
      </w:pPr>
      <w:r w:rsidRPr="00DA249F">
        <w:rPr>
          <w:lang w:val="en-GB"/>
        </w:rPr>
        <w:t>economic (</w:t>
      </w:r>
      <w:r w:rsidR="00543ABD" w:rsidRPr="00DA249F">
        <w:rPr>
          <w:lang w:val="en-GB"/>
        </w:rPr>
        <w:t>such as</w:t>
      </w:r>
      <w:r w:rsidR="007B166A" w:rsidRPr="00DA249F">
        <w:rPr>
          <w:lang w:val="en-GB"/>
        </w:rPr>
        <w:t xml:space="preserve"> </w:t>
      </w:r>
      <w:r w:rsidR="00722076" w:rsidRPr="00DA249F">
        <w:rPr>
          <w:lang w:val="en-GB"/>
        </w:rPr>
        <w:t xml:space="preserve">international </w:t>
      </w:r>
      <w:r w:rsidRPr="00DA249F">
        <w:rPr>
          <w:lang w:val="en-GB"/>
        </w:rPr>
        <w:t>trade</w:t>
      </w:r>
      <w:r w:rsidR="00722076" w:rsidRPr="00DA249F">
        <w:rPr>
          <w:lang w:val="en-GB"/>
        </w:rPr>
        <w:t xml:space="preserve"> and </w:t>
      </w:r>
      <w:r w:rsidRPr="00DA249F">
        <w:rPr>
          <w:lang w:val="en-GB"/>
        </w:rPr>
        <w:t>travel</w:t>
      </w:r>
      <w:r w:rsidR="00722076" w:rsidRPr="00DA249F">
        <w:rPr>
          <w:lang w:val="en-GB"/>
        </w:rPr>
        <w:t xml:space="preserve">, </w:t>
      </w:r>
      <w:r w:rsidR="009872A4" w:rsidRPr="00DA249F">
        <w:rPr>
          <w:lang w:val="en-GB"/>
        </w:rPr>
        <w:t>exte</w:t>
      </w:r>
      <w:r w:rsidR="007A03F2" w:rsidRPr="00DA249F">
        <w:rPr>
          <w:lang w:val="en-GB"/>
        </w:rPr>
        <w:t>r</w:t>
      </w:r>
      <w:r w:rsidR="009872A4" w:rsidRPr="00DA249F">
        <w:rPr>
          <w:lang w:val="en-GB"/>
        </w:rPr>
        <w:t>nalities and wealth, inequality and poverty</w:t>
      </w:r>
      <w:r w:rsidRPr="00DA249F">
        <w:rPr>
          <w:lang w:val="en-GB"/>
        </w:rPr>
        <w:t xml:space="preserve">); </w:t>
      </w:r>
    </w:p>
    <w:p w14:paraId="1C56BC1B" w14:textId="77777777" w:rsidR="00917EAA" w:rsidRPr="00DA249F" w:rsidRDefault="628B9010" w:rsidP="00523581">
      <w:pPr>
        <w:pStyle w:val="ListParagraph"/>
        <w:numPr>
          <w:ilvl w:val="0"/>
          <w:numId w:val="14"/>
        </w:numPr>
        <w:shd w:val="clear" w:color="auto" w:fill="FFFFFF" w:themeFill="background1"/>
        <w:spacing w:before="0" w:after="0" w:line="240" w:lineRule="auto"/>
        <w:contextualSpacing/>
        <w:rPr>
          <w:lang w:val="en-GB"/>
        </w:rPr>
      </w:pPr>
      <w:r w:rsidRPr="00DA249F">
        <w:rPr>
          <w:lang w:val="en-GB"/>
        </w:rPr>
        <w:t>science and technology (including research</w:t>
      </w:r>
      <w:r w:rsidR="004478A9" w:rsidRPr="00DA249F">
        <w:rPr>
          <w:lang w:val="en-GB"/>
        </w:rPr>
        <w:t xml:space="preserve"> and communication </w:t>
      </w:r>
      <w:r w:rsidR="009C04BC" w:rsidRPr="00DA249F">
        <w:rPr>
          <w:lang w:val="en-GB"/>
        </w:rPr>
        <w:t xml:space="preserve">and breeding/genomic </w:t>
      </w:r>
      <w:r w:rsidR="004478A9" w:rsidRPr="00DA249F">
        <w:rPr>
          <w:lang w:val="en-GB"/>
        </w:rPr>
        <w:t>technology</w:t>
      </w:r>
      <w:r w:rsidRPr="00DA249F">
        <w:rPr>
          <w:lang w:val="en-GB"/>
        </w:rPr>
        <w:t>)</w:t>
      </w:r>
      <w:r w:rsidR="00FD5629" w:rsidRPr="00DA249F">
        <w:rPr>
          <w:lang w:val="en-GB"/>
        </w:rPr>
        <w:t>;</w:t>
      </w:r>
    </w:p>
    <w:p w14:paraId="467B0FA1" w14:textId="068E6EB5" w:rsidR="00162085" w:rsidRPr="00DA249F" w:rsidRDefault="005934E6" w:rsidP="00523581">
      <w:pPr>
        <w:pStyle w:val="ListParagraph"/>
        <w:numPr>
          <w:ilvl w:val="0"/>
          <w:numId w:val="14"/>
        </w:numPr>
        <w:spacing w:before="0" w:after="0" w:line="240" w:lineRule="auto"/>
        <w:contextualSpacing/>
        <w:rPr>
          <w:i/>
          <w:iCs/>
          <w:lang w:val="en-GB"/>
        </w:rPr>
      </w:pPr>
      <w:r w:rsidRPr="00DA249F">
        <w:rPr>
          <w:lang w:val="en-GB"/>
        </w:rPr>
        <w:t xml:space="preserve">policies, </w:t>
      </w:r>
      <w:r w:rsidR="628B9010" w:rsidRPr="00DA249F">
        <w:rPr>
          <w:lang w:val="en-GB"/>
        </w:rPr>
        <w:t>governance</w:t>
      </w:r>
      <w:r w:rsidR="009F7404">
        <w:rPr>
          <w:lang w:val="en-GB"/>
        </w:rPr>
        <w:t xml:space="preserve"> and</w:t>
      </w:r>
      <w:r w:rsidR="00352B87" w:rsidRPr="00DA249F">
        <w:rPr>
          <w:lang w:val="en-GB"/>
        </w:rPr>
        <w:t xml:space="preserve"> institutions </w:t>
      </w:r>
      <w:r w:rsidR="628B9010" w:rsidRPr="00DA249F">
        <w:rPr>
          <w:lang w:val="en-GB"/>
        </w:rPr>
        <w:t>(</w:t>
      </w:r>
      <w:r w:rsidR="00DD33BE" w:rsidRPr="00DA249F">
        <w:rPr>
          <w:lang w:val="en-GB"/>
        </w:rPr>
        <w:t>no</w:t>
      </w:r>
      <w:r w:rsidR="00543ABD" w:rsidRPr="00DA249F">
        <w:rPr>
          <w:lang w:val="en-GB"/>
        </w:rPr>
        <w:t>t</w:t>
      </w:r>
      <w:r w:rsidR="00DD33BE" w:rsidRPr="00DA249F">
        <w:rPr>
          <w:lang w:val="en-GB"/>
        </w:rPr>
        <w:t xml:space="preserve">e that </w:t>
      </w:r>
      <w:r w:rsidR="00671B73">
        <w:rPr>
          <w:iCs/>
          <w:lang w:val="en-GB"/>
        </w:rPr>
        <w:t>C</w:t>
      </w:r>
      <w:r w:rsidR="009E2D85" w:rsidRPr="00671B73">
        <w:rPr>
          <w:iCs/>
          <w:lang w:val="en-GB"/>
        </w:rPr>
        <w:t>hapter 3</w:t>
      </w:r>
      <w:r w:rsidR="009E2D85" w:rsidRPr="00DA249F">
        <w:rPr>
          <w:lang w:val="en-GB"/>
        </w:rPr>
        <w:t xml:space="preserve"> </w:t>
      </w:r>
      <w:r w:rsidR="007867B0" w:rsidRPr="00DA249F">
        <w:rPr>
          <w:lang w:val="en-GB"/>
        </w:rPr>
        <w:t>focus</w:t>
      </w:r>
      <w:r w:rsidR="009E2D85" w:rsidRPr="00DA249F">
        <w:rPr>
          <w:lang w:val="en-GB"/>
        </w:rPr>
        <w:t>es</w:t>
      </w:r>
      <w:r w:rsidR="007867B0" w:rsidRPr="00DA249F">
        <w:rPr>
          <w:lang w:val="en-GB"/>
        </w:rPr>
        <w:t xml:space="preserve"> on</w:t>
      </w:r>
      <w:r w:rsidR="628B9010" w:rsidRPr="00DA249F">
        <w:rPr>
          <w:lang w:val="en-GB"/>
        </w:rPr>
        <w:t xml:space="preserve"> </w:t>
      </w:r>
      <w:r w:rsidR="00DD33BE" w:rsidRPr="00DA249F">
        <w:rPr>
          <w:lang w:val="en-GB"/>
        </w:rPr>
        <w:t xml:space="preserve">the </w:t>
      </w:r>
      <w:r w:rsidR="000100D6" w:rsidRPr="00DA249F">
        <w:rPr>
          <w:lang w:val="en-GB"/>
        </w:rPr>
        <w:t xml:space="preserve">unintended </w:t>
      </w:r>
      <w:r w:rsidR="628B9010" w:rsidRPr="00DA249F">
        <w:rPr>
          <w:lang w:val="en-GB"/>
        </w:rPr>
        <w:t>facilitat</w:t>
      </w:r>
      <w:r w:rsidR="009E2D85" w:rsidRPr="00DA249F">
        <w:rPr>
          <w:lang w:val="en-GB"/>
        </w:rPr>
        <w:t>ion</w:t>
      </w:r>
      <w:r w:rsidR="628B9010" w:rsidRPr="00DA249F">
        <w:rPr>
          <w:lang w:val="en-GB"/>
        </w:rPr>
        <w:t xml:space="preserve"> of biological invasions</w:t>
      </w:r>
      <w:r w:rsidR="00456BDF" w:rsidRPr="00DA249F">
        <w:rPr>
          <w:lang w:val="en-GB"/>
        </w:rPr>
        <w:t xml:space="preserve"> by</w:t>
      </w:r>
      <w:r w:rsidR="00FE6EF1" w:rsidRPr="00DA249F">
        <w:rPr>
          <w:lang w:val="en-GB"/>
        </w:rPr>
        <w:t xml:space="preserve"> </w:t>
      </w:r>
      <w:r w:rsidR="00456BDF" w:rsidRPr="00DA249F">
        <w:rPr>
          <w:lang w:val="en-GB"/>
        </w:rPr>
        <w:t>policies, governance</w:t>
      </w:r>
      <w:r w:rsidR="009F7404">
        <w:rPr>
          <w:lang w:val="en-GB"/>
        </w:rPr>
        <w:t xml:space="preserve"> and</w:t>
      </w:r>
      <w:r w:rsidR="00456BDF" w:rsidRPr="00DA249F">
        <w:rPr>
          <w:lang w:val="en-GB"/>
        </w:rPr>
        <w:t xml:space="preserve"> institutions targeting other societal </w:t>
      </w:r>
      <w:r w:rsidR="00456BDF" w:rsidRPr="00DA249F">
        <w:rPr>
          <w:lang w:val="en-GB"/>
        </w:rPr>
        <w:lastRenderedPageBreak/>
        <w:t>objectives</w:t>
      </w:r>
      <w:r w:rsidR="00E91224" w:rsidRPr="00DA249F">
        <w:rPr>
          <w:lang w:val="en-GB"/>
        </w:rPr>
        <w:t xml:space="preserve"> (</w:t>
      </w:r>
      <w:r w:rsidR="00B0281E" w:rsidRPr="00DA249F">
        <w:rPr>
          <w:lang w:val="en-GB"/>
        </w:rPr>
        <w:t>i.e.,</w:t>
      </w:r>
      <w:r w:rsidR="00FE6EF1" w:rsidRPr="00DA249F">
        <w:rPr>
          <w:lang w:val="en-GB"/>
        </w:rPr>
        <w:t xml:space="preserve"> </w:t>
      </w:r>
      <w:r w:rsidR="0006455D" w:rsidRPr="00DA249F">
        <w:rPr>
          <w:lang w:val="en-GB"/>
        </w:rPr>
        <w:t>“</w:t>
      </w:r>
      <w:r w:rsidR="00E91224" w:rsidRPr="00DA249F">
        <w:rPr>
          <w:lang w:val="en-GB"/>
        </w:rPr>
        <w:t>perverse incentives</w:t>
      </w:r>
      <w:r w:rsidR="0006455D" w:rsidRPr="00DA249F">
        <w:rPr>
          <w:lang w:val="en-GB"/>
        </w:rPr>
        <w:t>”</w:t>
      </w:r>
      <w:r w:rsidR="00E91224" w:rsidRPr="00DA249F">
        <w:rPr>
          <w:lang w:val="en-GB"/>
        </w:rPr>
        <w:t xml:space="preserve">, </w:t>
      </w:r>
      <w:r w:rsidR="00B0281E" w:rsidRPr="00DA249F">
        <w:rPr>
          <w:i/>
          <w:iCs/>
          <w:lang w:val="en-GB"/>
        </w:rPr>
        <w:t>sensu</w:t>
      </w:r>
      <w:r w:rsidR="00B0281E" w:rsidRPr="00DA249F">
        <w:rPr>
          <w:lang w:val="en-GB"/>
        </w:rPr>
        <w:t xml:space="preserve"> </w:t>
      </w:r>
      <w:r w:rsidR="00DB6411" w:rsidRPr="00DA249F">
        <w:rPr>
          <w:lang w:val="en-GB"/>
        </w:rPr>
        <w:fldChar w:fldCharType="begin"/>
      </w:r>
      <w:r w:rsidR="00F5121E">
        <w:rPr>
          <w:lang w:val="en-GB"/>
        </w:rPr>
        <w:instrText xml:space="preserve"> ADDIN ZOTERO_ITEM CSL_CITATION {"citationID":"ziRMmq54","properties":{"formattedCitation":"(IPBES, 2019)","plainCitation":"(IPBES, 2019)","dontUpdate":true,"noteIndex":0},"citationItems":[{"id":53933,"uris":["http://zotero.org/groups/2352922/items/JYFISR8Z","http://zotero.org/groups/2352922/items/ZACZGHZL"],"itemData":{"id":53933,"type":"report","abstract":"IPBES is to perform regular and timely assessments of knowledge on biodiversity and ecosystem services and their interlinkages at the global level. Also addressing an invitation by the Conference of the Parties of the Convention on Biological Diversity (CBD) to prepare a global assessment of biodiversity and ecosystem services building, inter alia, on its own and other relevant regional, subregional and thematic assessments, as well as on national reports. The overall scope of the assessment is to assess the status and trends with regard to biodiversity and ecosystem services, the impact of biodiversity and ecosystem services on human well-being and the effectiveness of responses, including the Strategic Plan and its Aichi Biodiversity Targets. It is anticipated that this deliverable will contribute to the process for the evaluation and renewal of the Strategic Plan for Biodiversity and its Aichi Biodiversity Targets. The IPBES Global Assessment on Biodiversity and Ecosystem Services is composed of 1) a Summary for Policymakers (SPM), approved by the IPBES Plenary at its 7th session in May 2019 in Paris, France (IPBES-7); and 2) a set of six Chapters, accepted by the IPBES Plenary.","language":"en","license":"Creative Commons Attribution 4.0 International, Open Access","note":"Version Number 1\nDOI: 10.5281/ZENODO.3831673","publisher":"Secretariat of the Intergovernmental Science-Policy Platform on Biodiversity and Ecosystem Services","source":"DOI.org (Datacite)","title":"Global assessment report on biodiversity and ecosystem services of the Intergovernmental Science-Policy Platform on Biodiversity and Ecosystem Services","URL":"https://zenodo.org/record/3831673","author":[{"literal":"IPBES"}],"contributor":[{"family":"Brondizio","given":"Eduardo"},{"family":"Diaz","given":"Sandra"},{"family":"Settele","given":"Josef"},{"family":"Ngo","given":"Hien T."}],"accessed":{"date-parts":[["2023",1,5]]},"issued":{"date-parts":[["2019"]]}},"label":"page"}],"schema":"https://github.com/citation-style-language/schema/raw/master/csl-citation.json"} </w:instrText>
      </w:r>
      <w:r w:rsidR="00DB6411" w:rsidRPr="00DA249F">
        <w:rPr>
          <w:lang w:val="en-GB"/>
        </w:rPr>
        <w:fldChar w:fldCharType="separate"/>
      </w:r>
      <w:r w:rsidR="00536538" w:rsidRPr="00536538">
        <w:t>IPBES, 2019)</w:t>
      </w:r>
      <w:r w:rsidR="00DB6411" w:rsidRPr="00DA249F">
        <w:rPr>
          <w:lang w:val="en-GB"/>
        </w:rPr>
        <w:fldChar w:fldCharType="end"/>
      </w:r>
      <w:r w:rsidR="00DB6411" w:rsidRPr="00DA249F">
        <w:rPr>
          <w:lang w:val="en-GB"/>
        </w:rPr>
        <w:t xml:space="preserve">. </w:t>
      </w:r>
      <w:r w:rsidR="00DD33BE" w:rsidRPr="00DA249F">
        <w:rPr>
          <w:lang w:val="en-GB"/>
        </w:rPr>
        <w:t>P</w:t>
      </w:r>
      <w:r w:rsidR="0C0EDD2E" w:rsidRPr="00DA249F">
        <w:rPr>
          <w:lang w:val="en-GB"/>
        </w:rPr>
        <w:t>olicies</w:t>
      </w:r>
      <w:r w:rsidR="00DD33BE" w:rsidRPr="00DA249F">
        <w:rPr>
          <w:lang w:val="en-GB"/>
        </w:rPr>
        <w:t>, governance</w:t>
      </w:r>
      <w:r w:rsidR="009F7404">
        <w:rPr>
          <w:lang w:val="en-GB"/>
        </w:rPr>
        <w:t xml:space="preserve"> and</w:t>
      </w:r>
      <w:r w:rsidR="00DD33BE" w:rsidRPr="00DA249F">
        <w:rPr>
          <w:lang w:val="en-GB"/>
        </w:rPr>
        <w:t xml:space="preserve"> institutions</w:t>
      </w:r>
      <w:r w:rsidR="002621D9" w:rsidRPr="00DA249F">
        <w:rPr>
          <w:lang w:val="en-GB"/>
        </w:rPr>
        <w:t xml:space="preserve"> </w:t>
      </w:r>
      <w:r w:rsidR="00B0281E" w:rsidRPr="00DA249F">
        <w:rPr>
          <w:lang w:val="en-GB"/>
        </w:rPr>
        <w:t>explicitly</w:t>
      </w:r>
      <w:r w:rsidR="0C0EDD2E" w:rsidRPr="00DA249F">
        <w:rPr>
          <w:lang w:val="en-GB"/>
        </w:rPr>
        <w:t xml:space="preserve"> dealing with </w:t>
      </w:r>
      <w:r w:rsidR="00162085" w:rsidRPr="00DA249F">
        <w:rPr>
          <w:lang w:val="en-GB"/>
        </w:rPr>
        <w:t>biological invasions</w:t>
      </w:r>
      <w:r w:rsidR="7B16E10F" w:rsidRPr="00DA249F">
        <w:rPr>
          <w:lang w:val="en-GB"/>
        </w:rPr>
        <w:t xml:space="preserve"> are dealt with in </w:t>
      </w:r>
      <w:r w:rsidR="00671B73" w:rsidRPr="009B3E7F">
        <w:rPr>
          <w:b/>
          <w:lang w:val="en-GB"/>
        </w:rPr>
        <w:t>C</w:t>
      </w:r>
      <w:r w:rsidR="0C0EDD2E" w:rsidRPr="009B3E7F">
        <w:rPr>
          <w:b/>
          <w:lang w:val="en-GB"/>
        </w:rPr>
        <w:t>hapter 6</w:t>
      </w:r>
      <w:r w:rsidR="628B9010" w:rsidRPr="00DA249F">
        <w:rPr>
          <w:lang w:val="en-GB"/>
        </w:rPr>
        <w:t>).</w:t>
      </w:r>
      <w:r w:rsidR="628B9010" w:rsidRPr="00DA249F">
        <w:rPr>
          <w:i/>
          <w:lang w:val="en-GB"/>
        </w:rPr>
        <w:t xml:space="preserve"> </w:t>
      </w:r>
    </w:p>
    <w:p w14:paraId="7A1379B0" w14:textId="2139CA0E" w:rsidR="000A4EE1" w:rsidRPr="00DA249F" w:rsidRDefault="6CC7A86A" w:rsidP="00541574">
      <w:pPr>
        <w:shd w:val="clear" w:color="auto" w:fill="FFFFFF" w:themeFill="background1"/>
        <w:rPr>
          <w:lang w:val="en-GB"/>
        </w:rPr>
      </w:pPr>
      <w:r w:rsidRPr="5575EBFC">
        <w:rPr>
          <w:lang w:val="en-GB"/>
        </w:rPr>
        <w:t xml:space="preserve">Section 3.3 examines </w:t>
      </w:r>
      <w:r w:rsidR="1E594B6F" w:rsidRPr="5575EBFC">
        <w:rPr>
          <w:lang w:val="en-GB"/>
        </w:rPr>
        <w:t>the role of</w:t>
      </w:r>
      <w:r w:rsidR="58CBE40D" w:rsidRPr="5575EBFC">
        <w:rPr>
          <w:lang w:val="en-GB"/>
        </w:rPr>
        <w:t xml:space="preserve"> the</w:t>
      </w:r>
      <w:r w:rsidR="1E594B6F" w:rsidRPr="5575EBFC">
        <w:rPr>
          <w:lang w:val="en-GB"/>
        </w:rPr>
        <w:t xml:space="preserve"> </w:t>
      </w:r>
      <w:r w:rsidR="03B2AE1E" w:rsidRPr="5575EBFC">
        <w:rPr>
          <w:lang w:val="en-GB"/>
        </w:rPr>
        <w:t>five</w:t>
      </w:r>
      <w:r w:rsidR="3DF44123" w:rsidRPr="5575EBFC">
        <w:rPr>
          <w:lang w:val="en-GB"/>
        </w:rPr>
        <w:t xml:space="preserve"> </w:t>
      </w:r>
      <w:r w:rsidR="02A711B5" w:rsidRPr="5575EBFC">
        <w:rPr>
          <w:lang w:val="en-GB"/>
        </w:rPr>
        <w:t>direct</w:t>
      </w:r>
      <w:r w:rsidRPr="5575EBFC">
        <w:rPr>
          <w:lang w:val="en-GB"/>
        </w:rPr>
        <w:t xml:space="preserve"> </w:t>
      </w:r>
      <w:r w:rsidR="653902EA" w:rsidRPr="5575EBFC">
        <w:rPr>
          <w:lang w:val="en-GB"/>
        </w:rPr>
        <w:t>drivers of change in nature</w:t>
      </w:r>
      <w:r w:rsidR="1A23CAE3" w:rsidRPr="5575EBFC">
        <w:rPr>
          <w:lang w:val="en-GB"/>
        </w:rPr>
        <w:t xml:space="preserve"> in influencing </w:t>
      </w:r>
      <w:r w:rsidR="65E980CD" w:rsidRPr="5575EBFC">
        <w:rPr>
          <w:lang w:val="en-GB"/>
        </w:rPr>
        <w:t>the</w:t>
      </w:r>
      <w:r w:rsidRPr="5575EBFC">
        <w:rPr>
          <w:lang w:val="en-GB"/>
        </w:rPr>
        <w:t xml:space="preserve"> distribution a</w:t>
      </w:r>
      <w:r w:rsidR="31A720BC" w:rsidRPr="5575EBFC">
        <w:rPr>
          <w:lang w:val="en-GB"/>
        </w:rPr>
        <w:t xml:space="preserve">nd abundance of </w:t>
      </w:r>
      <w:r w:rsidR="3E718E4E" w:rsidRPr="5575EBFC">
        <w:rPr>
          <w:lang w:val="en-GB"/>
        </w:rPr>
        <w:t xml:space="preserve">invasive alien species </w:t>
      </w:r>
      <w:r w:rsidR="31A720BC" w:rsidRPr="5575EBFC">
        <w:rPr>
          <w:lang w:val="en-GB"/>
        </w:rPr>
        <w:t>(</w:t>
      </w:r>
      <w:r w:rsidR="00E23B69">
        <w:rPr>
          <w:b/>
          <w:bCs/>
          <w:lang w:val="en-GB"/>
        </w:rPr>
        <w:t>Table</w:t>
      </w:r>
      <w:r w:rsidR="09D4245B" w:rsidRPr="5575EBFC">
        <w:rPr>
          <w:b/>
          <w:bCs/>
          <w:lang w:val="en-GB"/>
        </w:rPr>
        <w:t xml:space="preserve"> 3.1</w:t>
      </w:r>
      <w:r w:rsidRPr="5575EBFC">
        <w:rPr>
          <w:lang w:val="en-GB"/>
        </w:rPr>
        <w:t>)</w:t>
      </w:r>
      <w:r w:rsidR="03B2AE1E" w:rsidRPr="5575EBFC">
        <w:rPr>
          <w:lang w:val="en-GB"/>
        </w:rPr>
        <w:t>:</w:t>
      </w:r>
    </w:p>
    <w:p w14:paraId="58304BD9" w14:textId="1CCFA7FF" w:rsidR="00FD5629" w:rsidRPr="00DA249F" w:rsidRDefault="628B9010" w:rsidP="000A4EE1">
      <w:pPr>
        <w:pStyle w:val="ListParagraph"/>
        <w:numPr>
          <w:ilvl w:val="0"/>
          <w:numId w:val="15"/>
        </w:numPr>
        <w:shd w:val="clear" w:color="auto" w:fill="FFFFFF" w:themeFill="background1"/>
        <w:spacing w:before="0" w:after="0"/>
        <w:rPr>
          <w:lang w:val="en-GB"/>
        </w:rPr>
      </w:pPr>
      <w:r w:rsidRPr="00DA249F">
        <w:rPr>
          <w:lang w:val="en-GB"/>
        </w:rPr>
        <w:t>land-</w:t>
      </w:r>
      <w:r w:rsidR="00352B87" w:rsidRPr="00DA249F">
        <w:rPr>
          <w:lang w:val="en-GB"/>
        </w:rPr>
        <w:t xml:space="preserve"> and </w:t>
      </w:r>
      <w:r w:rsidRPr="00DA249F">
        <w:rPr>
          <w:lang w:val="en-GB"/>
        </w:rPr>
        <w:t>sea-use change</w:t>
      </w:r>
      <w:r w:rsidR="00352B87" w:rsidRPr="00DA249F">
        <w:rPr>
          <w:lang w:val="en-GB"/>
        </w:rPr>
        <w:t>s</w:t>
      </w:r>
      <w:r w:rsidRPr="00DA249F">
        <w:rPr>
          <w:lang w:val="en-GB"/>
        </w:rPr>
        <w:t xml:space="preserve"> (including</w:t>
      </w:r>
      <w:r w:rsidR="0C44B37C" w:rsidRPr="00DA249F">
        <w:rPr>
          <w:lang w:val="en-GB"/>
        </w:rPr>
        <w:t xml:space="preserve"> </w:t>
      </w:r>
      <w:r w:rsidR="756BEB6C" w:rsidRPr="00DA249F">
        <w:rPr>
          <w:lang w:val="en-GB"/>
        </w:rPr>
        <w:t xml:space="preserve">introductions from </w:t>
      </w:r>
      <w:r w:rsidR="001C2D45" w:rsidRPr="00DA249F">
        <w:rPr>
          <w:lang w:val="en-GB"/>
        </w:rPr>
        <w:t>the direct use of alien species in terrestrial, aquatic</w:t>
      </w:r>
      <w:r w:rsidR="756BEB6C" w:rsidRPr="00DA249F">
        <w:rPr>
          <w:lang w:val="en-GB"/>
        </w:rPr>
        <w:t xml:space="preserve"> and </w:t>
      </w:r>
      <w:r w:rsidR="001C2D45" w:rsidRPr="00DA249F">
        <w:rPr>
          <w:lang w:val="en-GB"/>
        </w:rPr>
        <w:t xml:space="preserve">marine bioproduction systems as well as </w:t>
      </w:r>
      <w:r w:rsidR="3066F4C7" w:rsidRPr="00DA249F">
        <w:rPr>
          <w:lang w:val="en-GB"/>
        </w:rPr>
        <w:t xml:space="preserve">landscape </w:t>
      </w:r>
      <w:r w:rsidR="00A13A4E" w:rsidRPr="00DA249F">
        <w:rPr>
          <w:lang w:val="en-GB"/>
        </w:rPr>
        <w:t xml:space="preserve">and seascape </w:t>
      </w:r>
      <w:r w:rsidR="3BB686A8" w:rsidRPr="00DA249F">
        <w:rPr>
          <w:lang w:val="en-GB"/>
        </w:rPr>
        <w:t>fragmentation</w:t>
      </w:r>
      <w:r w:rsidR="0E2327E4" w:rsidRPr="00DA249F">
        <w:rPr>
          <w:lang w:val="en-GB"/>
        </w:rPr>
        <w:t xml:space="preserve">, </w:t>
      </w:r>
      <w:r w:rsidR="03B32BAB" w:rsidRPr="00DA249F">
        <w:rPr>
          <w:lang w:val="en-GB"/>
        </w:rPr>
        <w:t>d</w:t>
      </w:r>
      <w:r w:rsidR="7FA09F7F" w:rsidRPr="00DA249F">
        <w:rPr>
          <w:lang w:val="en-GB"/>
        </w:rPr>
        <w:t>isturbance</w:t>
      </w:r>
      <w:r w:rsidR="009F7404">
        <w:rPr>
          <w:lang w:val="en-GB"/>
        </w:rPr>
        <w:t xml:space="preserve"> and</w:t>
      </w:r>
      <w:r w:rsidR="00A367E8" w:rsidRPr="00DA249F">
        <w:rPr>
          <w:lang w:val="en-GB"/>
        </w:rPr>
        <w:t xml:space="preserve"> deterioration</w:t>
      </w:r>
      <w:r w:rsidRPr="00DA249F">
        <w:rPr>
          <w:lang w:val="en-GB"/>
        </w:rPr>
        <w:t>)</w:t>
      </w:r>
      <w:r w:rsidR="00FD5629" w:rsidRPr="00DA249F">
        <w:rPr>
          <w:lang w:val="en-GB"/>
        </w:rPr>
        <w:t>;</w:t>
      </w:r>
      <w:r w:rsidRPr="00DA249F">
        <w:rPr>
          <w:lang w:val="en-GB"/>
        </w:rPr>
        <w:t xml:space="preserve"> </w:t>
      </w:r>
    </w:p>
    <w:p w14:paraId="4FDAA7DC" w14:textId="656CB3FB" w:rsidR="00FD5629" w:rsidRPr="00DA249F" w:rsidRDefault="00175A94" w:rsidP="004826A3">
      <w:pPr>
        <w:pStyle w:val="ListParagraph"/>
        <w:numPr>
          <w:ilvl w:val="0"/>
          <w:numId w:val="15"/>
        </w:numPr>
        <w:shd w:val="clear" w:color="auto" w:fill="FFFFFF" w:themeFill="background1"/>
        <w:spacing w:before="0" w:after="0"/>
        <w:rPr>
          <w:lang w:val="en-GB"/>
        </w:rPr>
      </w:pPr>
      <w:r w:rsidRPr="00DA249F">
        <w:rPr>
          <w:rStyle w:val="normaltextrun"/>
          <w:color w:val="000000" w:themeColor="text1"/>
          <w:lang w:val="en-GB"/>
        </w:rPr>
        <w:t>direct exploitation of natural resources</w:t>
      </w:r>
      <w:r w:rsidRPr="00DA249F">
        <w:rPr>
          <w:lang w:val="en-GB"/>
        </w:rPr>
        <w:t xml:space="preserve"> </w:t>
      </w:r>
      <w:r w:rsidR="628B9010" w:rsidRPr="00DA249F">
        <w:rPr>
          <w:lang w:val="en-GB"/>
        </w:rPr>
        <w:t xml:space="preserve">(such as </w:t>
      </w:r>
      <w:r w:rsidR="17C5609D" w:rsidRPr="00DA249F">
        <w:rPr>
          <w:lang w:val="en-GB"/>
        </w:rPr>
        <w:t>species harvesting, hydro</w:t>
      </w:r>
      <w:r w:rsidR="00C6257A">
        <w:rPr>
          <w:lang w:val="en-GB"/>
        </w:rPr>
        <w:t>logical resource harvesting</w:t>
      </w:r>
      <w:r w:rsidR="009F7404">
        <w:rPr>
          <w:lang w:val="en-GB"/>
        </w:rPr>
        <w:t xml:space="preserve"> and</w:t>
      </w:r>
      <w:r w:rsidR="17C5609D" w:rsidRPr="00DA249F">
        <w:rPr>
          <w:lang w:val="en-GB"/>
        </w:rPr>
        <w:t xml:space="preserve"> </w:t>
      </w:r>
      <w:r w:rsidR="628B9010" w:rsidRPr="00DA249F">
        <w:rPr>
          <w:lang w:val="en-GB"/>
        </w:rPr>
        <w:t>mining)</w:t>
      </w:r>
      <w:r w:rsidR="00FD5629" w:rsidRPr="00DA249F">
        <w:rPr>
          <w:lang w:val="en-GB"/>
        </w:rPr>
        <w:t>;</w:t>
      </w:r>
      <w:r w:rsidR="628B9010" w:rsidRPr="00DA249F">
        <w:rPr>
          <w:lang w:val="en-GB"/>
        </w:rPr>
        <w:t xml:space="preserve"> </w:t>
      </w:r>
    </w:p>
    <w:p w14:paraId="12668F92" w14:textId="164195ED" w:rsidR="00FD5629" w:rsidRPr="00DA249F" w:rsidRDefault="628B9010" w:rsidP="004826A3">
      <w:pPr>
        <w:pStyle w:val="ListParagraph"/>
        <w:numPr>
          <w:ilvl w:val="0"/>
          <w:numId w:val="15"/>
        </w:numPr>
        <w:shd w:val="clear" w:color="auto" w:fill="FFFFFF" w:themeFill="background1"/>
        <w:spacing w:before="0" w:after="0"/>
        <w:rPr>
          <w:lang w:val="en-GB"/>
        </w:rPr>
      </w:pPr>
      <w:r w:rsidRPr="00DA249F">
        <w:rPr>
          <w:lang w:val="en-GB"/>
        </w:rPr>
        <w:t>pollution (</w:t>
      </w:r>
      <w:r w:rsidR="00CA06AC" w:rsidRPr="00DA249F">
        <w:rPr>
          <w:lang w:val="en-GB"/>
        </w:rPr>
        <w:t>including</w:t>
      </w:r>
      <w:r w:rsidRPr="00DA249F">
        <w:rPr>
          <w:lang w:val="en-GB"/>
        </w:rPr>
        <w:t xml:space="preserve"> eutrophication </w:t>
      </w:r>
      <w:r w:rsidR="001C2406" w:rsidRPr="00DA249F">
        <w:rPr>
          <w:lang w:val="en-GB"/>
        </w:rPr>
        <w:t xml:space="preserve">and nutrients, other contaminants, </w:t>
      </w:r>
      <w:r w:rsidRPr="00DA249F">
        <w:rPr>
          <w:lang w:val="en-GB"/>
        </w:rPr>
        <w:t xml:space="preserve">marine </w:t>
      </w:r>
      <w:r w:rsidR="008C7387" w:rsidRPr="00DA249F">
        <w:rPr>
          <w:lang w:val="en-GB"/>
        </w:rPr>
        <w:t>debris</w:t>
      </w:r>
      <w:r w:rsidR="009F7404">
        <w:rPr>
          <w:lang w:val="en-GB"/>
        </w:rPr>
        <w:t xml:space="preserve"> and</w:t>
      </w:r>
      <w:r w:rsidR="008C7387" w:rsidRPr="00DA249F">
        <w:rPr>
          <w:lang w:val="en-GB"/>
        </w:rPr>
        <w:t xml:space="preserve"> solid waste</w:t>
      </w:r>
      <w:r w:rsidRPr="00DA249F">
        <w:rPr>
          <w:lang w:val="en-GB"/>
        </w:rPr>
        <w:t>)</w:t>
      </w:r>
      <w:r w:rsidR="00FD5629" w:rsidRPr="00DA249F">
        <w:rPr>
          <w:lang w:val="en-GB"/>
        </w:rPr>
        <w:t>;</w:t>
      </w:r>
    </w:p>
    <w:p w14:paraId="039E960E" w14:textId="6D217498" w:rsidR="00FD5629" w:rsidRPr="00DA249F" w:rsidRDefault="628B9010" w:rsidP="004826A3">
      <w:pPr>
        <w:pStyle w:val="ListParagraph"/>
        <w:numPr>
          <w:ilvl w:val="0"/>
          <w:numId w:val="15"/>
        </w:numPr>
        <w:shd w:val="clear" w:color="auto" w:fill="FFFFFF" w:themeFill="background1"/>
        <w:spacing w:before="0" w:after="0"/>
        <w:rPr>
          <w:lang w:val="en-GB"/>
        </w:rPr>
      </w:pPr>
      <w:r w:rsidRPr="00DA249F">
        <w:rPr>
          <w:lang w:val="en-GB"/>
        </w:rPr>
        <w:t>climate change (</w:t>
      </w:r>
      <w:r w:rsidR="4735391D" w:rsidRPr="00DA249F">
        <w:rPr>
          <w:lang w:val="en-GB"/>
        </w:rPr>
        <w:t xml:space="preserve">including </w:t>
      </w:r>
      <w:r w:rsidRPr="00DA249F">
        <w:rPr>
          <w:lang w:val="en-GB"/>
        </w:rPr>
        <w:t xml:space="preserve">changes </w:t>
      </w:r>
      <w:r w:rsidR="008C7387" w:rsidRPr="00DA249F">
        <w:rPr>
          <w:lang w:val="en-GB"/>
        </w:rPr>
        <w:t>in temperature</w:t>
      </w:r>
      <w:r w:rsidR="7F4F5000" w:rsidRPr="00DA249F">
        <w:rPr>
          <w:lang w:val="en-GB"/>
        </w:rPr>
        <w:t xml:space="preserve"> and </w:t>
      </w:r>
      <w:r w:rsidR="008C7387" w:rsidRPr="00DA249F">
        <w:rPr>
          <w:lang w:val="en-GB"/>
        </w:rPr>
        <w:t>precipitation regimes</w:t>
      </w:r>
      <w:r w:rsidR="005D4B19" w:rsidRPr="00DA249F">
        <w:rPr>
          <w:lang w:val="en-GB"/>
        </w:rPr>
        <w:t xml:space="preserve"> and extremes,</w:t>
      </w:r>
      <w:r w:rsidR="7F4F5000" w:rsidRPr="00DA249F">
        <w:rPr>
          <w:lang w:val="en-GB"/>
        </w:rPr>
        <w:t xml:space="preserve"> </w:t>
      </w:r>
      <w:r w:rsidR="005D4B19" w:rsidRPr="00DA249F">
        <w:rPr>
          <w:lang w:val="en-GB"/>
        </w:rPr>
        <w:t xml:space="preserve">carbon dioxide </w:t>
      </w:r>
      <w:r w:rsidR="00265BC6" w:rsidRPr="00DA249F">
        <w:rPr>
          <w:lang w:val="en-GB"/>
        </w:rPr>
        <w:t>(CO</w:t>
      </w:r>
      <w:r w:rsidR="00265BC6" w:rsidRPr="00DA249F">
        <w:rPr>
          <w:vertAlign w:val="subscript"/>
          <w:lang w:val="en-GB"/>
        </w:rPr>
        <w:t>2</w:t>
      </w:r>
      <w:r w:rsidR="00265BC6" w:rsidRPr="00DA249F">
        <w:rPr>
          <w:lang w:val="en-GB"/>
        </w:rPr>
        <w:t xml:space="preserve">) </w:t>
      </w:r>
      <w:r w:rsidR="005D4B19" w:rsidRPr="00DA249F">
        <w:rPr>
          <w:lang w:val="en-GB"/>
        </w:rPr>
        <w:t>enrichments</w:t>
      </w:r>
      <w:r w:rsidR="00541574">
        <w:rPr>
          <w:lang w:val="en-GB"/>
        </w:rPr>
        <w:t xml:space="preserve"> in air and water</w:t>
      </w:r>
      <w:r w:rsidR="005D4B19" w:rsidRPr="00DA249F">
        <w:rPr>
          <w:lang w:val="en-GB"/>
        </w:rPr>
        <w:t xml:space="preserve">, </w:t>
      </w:r>
      <w:r w:rsidR="01F5C8E6" w:rsidRPr="00DA249F">
        <w:rPr>
          <w:lang w:val="en-GB"/>
        </w:rPr>
        <w:t>fire regimes,</w:t>
      </w:r>
      <w:r w:rsidRPr="00DA249F">
        <w:rPr>
          <w:lang w:val="en-GB"/>
        </w:rPr>
        <w:t xml:space="preserve"> sea level rise</w:t>
      </w:r>
      <w:r w:rsidR="009F7404">
        <w:rPr>
          <w:lang w:val="en-GB"/>
        </w:rPr>
        <w:t xml:space="preserve"> and</w:t>
      </w:r>
      <w:r w:rsidR="007E2658" w:rsidRPr="00DA249F">
        <w:rPr>
          <w:lang w:val="en-GB"/>
        </w:rPr>
        <w:t xml:space="preserve"> </w:t>
      </w:r>
      <w:r w:rsidR="00BB418E" w:rsidRPr="00DA249F">
        <w:rPr>
          <w:lang w:val="en-GB"/>
        </w:rPr>
        <w:t>assisted</w:t>
      </w:r>
      <w:r w:rsidR="007E2658" w:rsidRPr="00DA249F">
        <w:rPr>
          <w:lang w:val="en-GB"/>
        </w:rPr>
        <w:t xml:space="preserve"> colonization</w:t>
      </w:r>
      <w:r w:rsidRPr="00DA249F">
        <w:rPr>
          <w:lang w:val="en-GB"/>
        </w:rPr>
        <w:t>)</w:t>
      </w:r>
      <w:r w:rsidR="00FD5629" w:rsidRPr="00DA249F">
        <w:rPr>
          <w:lang w:val="en-GB"/>
        </w:rPr>
        <w:t>;</w:t>
      </w:r>
    </w:p>
    <w:p w14:paraId="75EF4B88" w14:textId="32F35267" w:rsidR="00FD5629" w:rsidRPr="00DA249F" w:rsidRDefault="628B9010" w:rsidP="004826A3">
      <w:pPr>
        <w:pStyle w:val="ListParagraph"/>
        <w:numPr>
          <w:ilvl w:val="0"/>
          <w:numId w:val="15"/>
        </w:numPr>
        <w:shd w:val="clear" w:color="auto" w:fill="FFFFFF" w:themeFill="background1"/>
        <w:spacing w:before="0" w:after="0"/>
        <w:rPr>
          <w:lang w:val="en-GB"/>
        </w:rPr>
      </w:pPr>
      <w:r w:rsidRPr="00DA249F">
        <w:rPr>
          <w:lang w:val="en-GB"/>
        </w:rPr>
        <w:t>invasive alien species</w:t>
      </w:r>
      <w:r w:rsidR="00861C49" w:rsidRPr="00DA249F">
        <w:rPr>
          <w:lang w:val="en-GB"/>
        </w:rPr>
        <w:t xml:space="preserve"> </w:t>
      </w:r>
      <w:r w:rsidRPr="00DA249F">
        <w:rPr>
          <w:lang w:val="en-GB"/>
        </w:rPr>
        <w:t>(through</w:t>
      </w:r>
      <w:r w:rsidR="26B950F0" w:rsidRPr="00DA249F">
        <w:rPr>
          <w:lang w:val="en-GB"/>
        </w:rPr>
        <w:t xml:space="preserve"> biotic</w:t>
      </w:r>
      <w:r w:rsidRPr="00DA249F">
        <w:rPr>
          <w:lang w:val="en-GB"/>
        </w:rPr>
        <w:t xml:space="preserve"> </w:t>
      </w:r>
      <w:r w:rsidR="21C84639" w:rsidRPr="00DA249F">
        <w:rPr>
          <w:lang w:val="en-GB"/>
        </w:rPr>
        <w:t>facilitation</w:t>
      </w:r>
      <w:r w:rsidRPr="00DA249F">
        <w:rPr>
          <w:lang w:val="en-GB"/>
        </w:rPr>
        <w:t xml:space="preserve"> and bio</w:t>
      </w:r>
      <w:r w:rsidR="006B7138" w:rsidRPr="00DA249F">
        <w:rPr>
          <w:lang w:val="en-GB"/>
        </w:rPr>
        <w:t xml:space="preserve">logical </w:t>
      </w:r>
      <w:r w:rsidRPr="00DA249F">
        <w:rPr>
          <w:lang w:val="en-GB"/>
        </w:rPr>
        <w:t>control</w:t>
      </w:r>
      <w:r w:rsidR="008A7CCB" w:rsidRPr="00DA249F">
        <w:rPr>
          <w:lang w:val="en-GB"/>
        </w:rPr>
        <w:t xml:space="preserve">; </w:t>
      </w:r>
      <w:r w:rsidR="00E23B69">
        <w:rPr>
          <w:b/>
          <w:iCs/>
          <w:lang w:val="en-GB" w:eastAsia="en-NZ"/>
        </w:rPr>
        <w:t>Glossary</w:t>
      </w:r>
      <w:r w:rsidRPr="00DA249F">
        <w:rPr>
          <w:lang w:val="en-GB"/>
        </w:rPr>
        <w:t>)</w:t>
      </w:r>
      <w:r w:rsidR="00D264B6" w:rsidRPr="00DA249F">
        <w:rPr>
          <w:lang w:val="en-GB"/>
        </w:rPr>
        <w:t xml:space="preserve">. </w:t>
      </w:r>
    </w:p>
    <w:p w14:paraId="7831A64D" w14:textId="77777777" w:rsidR="00FD5629" w:rsidRPr="00DA249F" w:rsidRDefault="00501506" w:rsidP="00333052">
      <w:pPr>
        <w:shd w:val="clear" w:color="auto" w:fill="FFFFFF" w:themeFill="background1"/>
        <w:rPr>
          <w:lang w:val="en-GB"/>
        </w:rPr>
      </w:pPr>
      <w:r w:rsidRPr="00DA249F">
        <w:rPr>
          <w:lang w:val="en-GB"/>
        </w:rPr>
        <w:t>As explained above, t</w:t>
      </w:r>
      <w:r w:rsidR="00D264B6" w:rsidRPr="00DA249F">
        <w:rPr>
          <w:lang w:val="en-GB"/>
        </w:rPr>
        <w:t xml:space="preserve">wo additional </w:t>
      </w:r>
      <w:r w:rsidRPr="00DA249F">
        <w:rPr>
          <w:lang w:val="en-GB"/>
        </w:rPr>
        <w:t>driver</w:t>
      </w:r>
      <w:r w:rsidR="006F2BC5" w:rsidRPr="00DA249F">
        <w:rPr>
          <w:lang w:val="en-GB"/>
        </w:rPr>
        <w:t>s</w:t>
      </w:r>
      <w:r w:rsidRPr="00DA249F">
        <w:rPr>
          <w:lang w:val="en-GB"/>
        </w:rPr>
        <w:t xml:space="preserve"> </w:t>
      </w:r>
      <w:r w:rsidR="006F2BC5" w:rsidRPr="00DA249F">
        <w:rPr>
          <w:lang w:val="en-GB"/>
        </w:rPr>
        <w:t>ar</w:t>
      </w:r>
      <w:r w:rsidRPr="00DA249F">
        <w:rPr>
          <w:lang w:val="en-GB"/>
        </w:rPr>
        <w:t xml:space="preserve">e </w:t>
      </w:r>
      <w:r w:rsidR="00FD5629" w:rsidRPr="00DA249F">
        <w:rPr>
          <w:lang w:val="en-GB"/>
        </w:rPr>
        <w:t xml:space="preserve">also </w:t>
      </w:r>
      <w:r w:rsidRPr="00DA249F">
        <w:rPr>
          <w:lang w:val="en-GB"/>
        </w:rPr>
        <w:t xml:space="preserve">considered </w:t>
      </w:r>
      <w:r w:rsidR="00082A58" w:rsidRPr="00DA249F">
        <w:rPr>
          <w:lang w:val="en-GB"/>
        </w:rPr>
        <w:t xml:space="preserve">in </w:t>
      </w:r>
      <w:r w:rsidR="001C58A4" w:rsidRPr="00671B73">
        <w:rPr>
          <w:iCs/>
          <w:lang w:val="en-GB"/>
        </w:rPr>
        <w:t>s</w:t>
      </w:r>
      <w:r w:rsidR="00082A58" w:rsidRPr="00671B73">
        <w:rPr>
          <w:iCs/>
          <w:lang w:val="en-GB"/>
        </w:rPr>
        <w:t>ection 3.4</w:t>
      </w:r>
      <w:r w:rsidR="00FD5629" w:rsidRPr="00DA249F">
        <w:rPr>
          <w:lang w:val="en-GB"/>
        </w:rPr>
        <w:t>:</w:t>
      </w:r>
      <w:r w:rsidRPr="00DA249F">
        <w:rPr>
          <w:lang w:val="en-GB"/>
        </w:rPr>
        <w:t xml:space="preserve"> </w:t>
      </w:r>
    </w:p>
    <w:p w14:paraId="23C5C898" w14:textId="77777777" w:rsidR="00964335" w:rsidRPr="00DA249F" w:rsidRDefault="00964335" w:rsidP="004826A3">
      <w:pPr>
        <w:pStyle w:val="ListParagraph"/>
        <w:numPr>
          <w:ilvl w:val="0"/>
          <w:numId w:val="16"/>
        </w:numPr>
        <w:shd w:val="clear" w:color="auto" w:fill="FFFFFF" w:themeFill="background1"/>
        <w:spacing w:before="0" w:after="0"/>
        <w:rPr>
          <w:lang w:val="en-GB"/>
        </w:rPr>
      </w:pPr>
      <w:r w:rsidRPr="00DA249F">
        <w:rPr>
          <w:lang w:val="en-GB"/>
        </w:rPr>
        <w:t xml:space="preserve">natural hazards (such as </w:t>
      </w:r>
      <w:r w:rsidR="00FC7FCC" w:rsidRPr="00DA249F">
        <w:rPr>
          <w:lang w:val="en-GB"/>
        </w:rPr>
        <w:t xml:space="preserve">hurricanes, </w:t>
      </w:r>
      <w:r w:rsidR="48DCE541" w:rsidRPr="00DA249F">
        <w:rPr>
          <w:lang w:val="en-GB"/>
        </w:rPr>
        <w:t>earthquakes</w:t>
      </w:r>
      <w:r w:rsidR="00FC7FCC" w:rsidRPr="00DA249F">
        <w:rPr>
          <w:lang w:val="en-GB"/>
        </w:rPr>
        <w:t>, tsunamis</w:t>
      </w:r>
      <w:r w:rsidRPr="00DA249F">
        <w:rPr>
          <w:lang w:val="en-GB"/>
        </w:rPr>
        <w:t xml:space="preserve">). </w:t>
      </w:r>
    </w:p>
    <w:p w14:paraId="75AD22FE" w14:textId="2E96A81B" w:rsidR="00FD5629" w:rsidRPr="00DA249F" w:rsidRDefault="008C2A6F" w:rsidP="004826A3">
      <w:pPr>
        <w:pStyle w:val="ListParagraph"/>
        <w:numPr>
          <w:ilvl w:val="0"/>
          <w:numId w:val="16"/>
        </w:numPr>
        <w:shd w:val="clear" w:color="auto" w:fill="FFFFFF" w:themeFill="background1"/>
        <w:spacing w:before="0" w:after="0"/>
        <w:rPr>
          <w:lang w:val="en-GB"/>
        </w:rPr>
      </w:pPr>
      <w:r w:rsidRPr="00DA249F">
        <w:rPr>
          <w:lang w:val="en-GB"/>
        </w:rPr>
        <w:t>b</w:t>
      </w:r>
      <w:r w:rsidR="628B9010" w:rsidRPr="00DA249F">
        <w:rPr>
          <w:lang w:val="en-GB"/>
        </w:rPr>
        <w:t xml:space="preserve">iodiversity loss </w:t>
      </w:r>
      <w:r w:rsidR="00466BE4" w:rsidRPr="00DA249F">
        <w:rPr>
          <w:lang w:val="en-GB"/>
        </w:rPr>
        <w:t>and ecosystem resilience</w:t>
      </w:r>
      <w:r w:rsidR="628B9010" w:rsidRPr="00DA249F">
        <w:rPr>
          <w:lang w:val="en-GB"/>
        </w:rPr>
        <w:t xml:space="preserve"> (</w:t>
      </w:r>
      <w:r w:rsidR="010F9200" w:rsidRPr="00DA249F">
        <w:rPr>
          <w:lang w:val="en-GB"/>
        </w:rPr>
        <w:t xml:space="preserve">notably </w:t>
      </w:r>
      <w:r w:rsidR="628B9010" w:rsidRPr="00DA249F">
        <w:rPr>
          <w:lang w:val="en-GB"/>
        </w:rPr>
        <w:t>reduced biotic resistance to invasion</w:t>
      </w:r>
      <w:r w:rsidR="008A7CCB" w:rsidRPr="00DA249F">
        <w:rPr>
          <w:lang w:val="en-GB"/>
        </w:rPr>
        <w:t>;</w:t>
      </w:r>
      <w:r w:rsidR="00163E9E" w:rsidRPr="00DA249F">
        <w:rPr>
          <w:lang w:val="en-GB"/>
        </w:rPr>
        <w:t xml:space="preserve"> </w:t>
      </w:r>
      <w:r w:rsidR="00E23B69">
        <w:rPr>
          <w:b/>
          <w:iCs/>
          <w:lang w:val="en-GB"/>
        </w:rPr>
        <w:t>Glossary</w:t>
      </w:r>
      <w:r w:rsidR="628B9010" w:rsidRPr="00DA249F">
        <w:rPr>
          <w:lang w:val="en-GB"/>
        </w:rPr>
        <w:t>)</w:t>
      </w:r>
      <w:r w:rsidR="00E77D81">
        <w:rPr>
          <w:lang w:val="en-GB"/>
        </w:rPr>
        <w:t>.</w:t>
      </w:r>
    </w:p>
    <w:p w14:paraId="0E2457D2" w14:textId="64BBD85E" w:rsidR="00C44B13" w:rsidRPr="00DA249F" w:rsidRDefault="765FEA76" w:rsidP="001C58A4">
      <w:pPr>
        <w:shd w:val="clear" w:color="auto" w:fill="FFFFFF" w:themeFill="background1"/>
        <w:rPr>
          <w:lang w:val="en-GB"/>
        </w:rPr>
      </w:pPr>
      <w:r w:rsidRPr="5575EBFC">
        <w:rPr>
          <w:lang w:val="en-GB"/>
        </w:rPr>
        <w:t>Section 3.5</w:t>
      </w:r>
      <w:r w:rsidRPr="5575EBFC">
        <w:rPr>
          <w:i/>
          <w:iCs/>
          <w:lang w:val="en-GB"/>
        </w:rPr>
        <w:t xml:space="preserve"> </w:t>
      </w:r>
      <w:r w:rsidR="5249586C" w:rsidRPr="5575EBFC">
        <w:rPr>
          <w:lang w:val="en-GB"/>
        </w:rPr>
        <w:t>then</w:t>
      </w:r>
      <w:r w:rsidR="5249586C" w:rsidRPr="5575EBFC">
        <w:rPr>
          <w:i/>
          <w:iCs/>
          <w:lang w:val="en-GB"/>
        </w:rPr>
        <w:t xml:space="preserve"> </w:t>
      </w:r>
      <w:r w:rsidRPr="5575EBFC">
        <w:rPr>
          <w:lang w:val="en-GB"/>
        </w:rPr>
        <w:t xml:space="preserve">examines multiple, additive or interacting effects among drivers, especially </w:t>
      </w:r>
      <w:r w:rsidR="00BB3336" w:rsidRPr="5575EBFC">
        <w:rPr>
          <w:lang w:val="en-GB"/>
        </w:rPr>
        <w:t xml:space="preserve">among </w:t>
      </w:r>
      <w:r w:rsidRPr="5575EBFC">
        <w:rPr>
          <w:lang w:val="en-GB"/>
        </w:rPr>
        <w:t xml:space="preserve">anthropogenic direct drivers. Due to knowledge gaps </w:t>
      </w:r>
      <w:r w:rsidR="50CE0EAC" w:rsidRPr="5575EBFC">
        <w:rPr>
          <w:lang w:val="en-GB"/>
        </w:rPr>
        <w:t>(</w:t>
      </w:r>
      <w:r w:rsidR="77F650BE" w:rsidRPr="5575EBFC">
        <w:rPr>
          <w:b/>
          <w:bCs/>
          <w:lang w:val="en-GB"/>
        </w:rPr>
        <w:t>section 3.</w:t>
      </w:r>
      <w:r w:rsidR="65D5ACA7" w:rsidRPr="5575EBFC">
        <w:rPr>
          <w:b/>
          <w:bCs/>
          <w:lang w:val="en-GB"/>
        </w:rPr>
        <w:t>6.1</w:t>
      </w:r>
      <w:r w:rsidR="5249586C" w:rsidRPr="5575EBFC">
        <w:rPr>
          <w:lang w:val="en-GB"/>
        </w:rPr>
        <w:t xml:space="preserve">) this section </w:t>
      </w:r>
      <w:r w:rsidR="659F2B45" w:rsidRPr="5575EBFC">
        <w:rPr>
          <w:lang w:val="en-GB"/>
        </w:rPr>
        <w:t>does not provide</w:t>
      </w:r>
      <w:r w:rsidR="5249586C" w:rsidRPr="5575EBFC">
        <w:rPr>
          <w:lang w:val="en-GB"/>
        </w:rPr>
        <w:t xml:space="preserve"> an exhaustive </w:t>
      </w:r>
      <w:r w:rsidR="00E77D81">
        <w:rPr>
          <w:lang w:val="en-GB"/>
        </w:rPr>
        <w:t>assessment</w:t>
      </w:r>
      <w:r w:rsidR="00E77D81" w:rsidRPr="5575EBFC">
        <w:rPr>
          <w:lang w:val="en-GB"/>
        </w:rPr>
        <w:t xml:space="preserve"> </w:t>
      </w:r>
      <w:r w:rsidR="7A888341" w:rsidRPr="5575EBFC">
        <w:rPr>
          <w:lang w:val="en-GB"/>
        </w:rPr>
        <w:t>but</w:t>
      </w:r>
      <w:r w:rsidR="5249586C" w:rsidRPr="5575EBFC">
        <w:rPr>
          <w:lang w:val="en-GB"/>
        </w:rPr>
        <w:t xml:space="preserve"> </w:t>
      </w:r>
      <w:r w:rsidR="659F2B45" w:rsidRPr="5575EBFC">
        <w:rPr>
          <w:lang w:val="en-GB"/>
        </w:rPr>
        <w:t>focuses on</w:t>
      </w:r>
      <w:r w:rsidR="3CE45451" w:rsidRPr="5575EBFC">
        <w:rPr>
          <w:lang w:val="en-GB"/>
        </w:rPr>
        <w:t xml:space="preserve"> </w:t>
      </w:r>
      <w:r w:rsidR="25ED1C7A" w:rsidRPr="5575EBFC">
        <w:rPr>
          <w:lang w:val="en-GB"/>
        </w:rPr>
        <w:t xml:space="preserve">four illustrative </w:t>
      </w:r>
      <w:r w:rsidR="5249586C" w:rsidRPr="5575EBFC">
        <w:rPr>
          <w:lang w:val="en-GB"/>
        </w:rPr>
        <w:t>ex</w:t>
      </w:r>
      <w:r w:rsidR="25ED1C7A" w:rsidRPr="5575EBFC">
        <w:rPr>
          <w:lang w:val="en-GB"/>
        </w:rPr>
        <w:t>a</w:t>
      </w:r>
      <w:r w:rsidR="5249586C" w:rsidRPr="5575EBFC">
        <w:rPr>
          <w:lang w:val="en-GB"/>
        </w:rPr>
        <w:t>mpl</w:t>
      </w:r>
      <w:r w:rsidR="25ED1C7A" w:rsidRPr="5575EBFC">
        <w:rPr>
          <w:lang w:val="en-GB"/>
        </w:rPr>
        <w:t>es</w:t>
      </w:r>
      <w:r w:rsidR="5249586C" w:rsidRPr="5575EBFC">
        <w:rPr>
          <w:lang w:val="en-GB"/>
        </w:rPr>
        <w:t xml:space="preserve"> </w:t>
      </w:r>
      <w:r w:rsidR="25ED1C7A" w:rsidRPr="5575EBFC">
        <w:rPr>
          <w:lang w:val="en-GB"/>
        </w:rPr>
        <w:t>of two- or three</w:t>
      </w:r>
      <w:r w:rsidR="1AC206E1" w:rsidRPr="5575EBFC">
        <w:rPr>
          <w:lang w:val="en-GB"/>
        </w:rPr>
        <w:t>-way multi</w:t>
      </w:r>
      <w:r w:rsidR="047FF346" w:rsidRPr="5575EBFC">
        <w:rPr>
          <w:lang w:val="en-GB"/>
        </w:rPr>
        <w:t>-</w:t>
      </w:r>
      <w:r w:rsidR="1AC206E1" w:rsidRPr="5575EBFC">
        <w:rPr>
          <w:lang w:val="en-GB"/>
        </w:rPr>
        <w:t>driver impacts</w:t>
      </w:r>
      <w:r w:rsidR="3406B190" w:rsidRPr="5575EBFC">
        <w:rPr>
          <w:lang w:val="en-GB"/>
        </w:rPr>
        <w:t xml:space="preserve"> </w:t>
      </w:r>
      <w:r w:rsidR="0C48FC5C" w:rsidRPr="5575EBFC">
        <w:rPr>
          <w:lang w:val="en-GB"/>
        </w:rPr>
        <w:t>and their consequences for</w:t>
      </w:r>
      <w:r w:rsidR="3406B190" w:rsidRPr="5575EBFC">
        <w:rPr>
          <w:lang w:val="en-GB"/>
        </w:rPr>
        <w:t xml:space="preserve"> biological invasions</w:t>
      </w:r>
      <w:r w:rsidR="1AC206E1" w:rsidRPr="5575EBFC">
        <w:rPr>
          <w:lang w:val="en-GB"/>
        </w:rPr>
        <w:t>.</w:t>
      </w:r>
      <w:r w:rsidR="56596397" w:rsidRPr="5575EBFC">
        <w:rPr>
          <w:lang w:val="en-GB"/>
        </w:rPr>
        <w:t xml:space="preserve"> </w:t>
      </w:r>
    </w:p>
    <w:p w14:paraId="2349DC59" w14:textId="37B0306D" w:rsidR="00921FBD" w:rsidRPr="00DA249F" w:rsidRDefault="08DB65B5" w:rsidP="001C58A4">
      <w:pPr>
        <w:shd w:val="clear" w:color="auto" w:fill="FFFFFF" w:themeFill="background1"/>
        <w:rPr>
          <w:lang w:val="en-GB"/>
        </w:rPr>
      </w:pPr>
      <w:r w:rsidRPr="00DA249F">
        <w:rPr>
          <w:lang w:val="en-GB"/>
        </w:rPr>
        <w:t xml:space="preserve">Each </w:t>
      </w:r>
      <w:r w:rsidR="0C48FC5C" w:rsidRPr="00DA249F">
        <w:rPr>
          <w:lang w:val="en-GB"/>
        </w:rPr>
        <w:t>sub</w:t>
      </w:r>
      <w:r w:rsidRPr="00DA249F">
        <w:rPr>
          <w:lang w:val="en-GB"/>
        </w:rPr>
        <w:t>section</w:t>
      </w:r>
      <w:r w:rsidR="3870A20B" w:rsidRPr="00DA249F">
        <w:rPr>
          <w:lang w:val="en-GB"/>
        </w:rPr>
        <w:t xml:space="preserve"> </w:t>
      </w:r>
      <w:r w:rsidR="0C48FC5C" w:rsidRPr="00DA249F">
        <w:rPr>
          <w:lang w:val="en-GB"/>
        </w:rPr>
        <w:t>withi</w:t>
      </w:r>
      <w:r w:rsidR="0C48FC5C" w:rsidRPr="00671B73">
        <w:rPr>
          <w:lang w:val="en-GB"/>
        </w:rPr>
        <w:t xml:space="preserve">n </w:t>
      </w:r>
      <w:r w:rsidR="1CC62D0F" w:rsidRPr="5575EBFC">
        <w:rPr>
          <w:lang w:val="en-GB"/>
        </w:rPr>
        <w:t xml:space="preserve">sections </w:t>
      </w:r>
      <w:r w:rsidR="0C48FC5C" w:rsidRPr="5575EBFC">
        <w:rPr>
          <w:lang w:val="en-GB"/>
        </w:rPr>
        <w:t xml:space="preserve">3.2 </w:t>
      </w:r>
      <w:r w:rsidR="399E5F74" w:rsidRPr="00671B73">
        <w:rPr>
          <w:lang w:val="en-GB"/>
        </w:rPr>
        <w:t>to</w:t>
      </w:r>
      <w:r w:rsidR="0C48FC5C" w:rsidRPr="5575EBFC">
        <w:rPr>
          <w:lang w:val="en-GB"/>
        </w:rPr>
        <w:t xml:space="preserve"> 3.5</w:t>
      </w:r>
      <w:r w:rsidR="3D9F78F2" w:rsidRPr="00671B73">
        <w:rPr>
          <w:lang w:val="en-GB"/>
        </w:rPr>
        <w:t xml:space="preserve"> </w:t>
      </w:r>
      <w:r w:rsidR="6CC7A86A" w:rsidRPr="00671B73">
        <w:rPr>
          <w:lang w:val="en-GB"/>
        </w:rPr>
        <w:t>fir</w:t>
      </w:r>
      <w:r w:rsidR="6CC7A86A" w:rsidRPr="00DA249F">
        <w:rPr>
          <w:lang w:val="en-GB"/>
        </w:rPr>
        <w:t xml:space="preserve">st </w:t>
      </w:r>
      <w:r w:rsidR="7C29F4D9" w:rsidRPr="00DA249F">
        <w:rPr>
          <w:lang w:val="en-GB"/>
        </w:rPr>
        <w:t xml:space="preserve">briefly describes the </w:t>
      </w:r>
      <w:r w:rsidR="3D9F78F2" w:rsidRPr="00DA249F">
        <w:rPr>
          <w:lang w:val="en-GB"/>
        </w:rPr>
        <w:t>trend</w:t>
      </w:r>
      <w:r w:rsidR="4CAD4685" w:rsidRPr="00DA249F">
        <w:rPr>
          <w:lang w:val="en-GB"/>
        </w:rPr>
        <w:t>s</w:t>
      </w:r>
      <w:r w:rsidR="3D9F78F2" w:rsidRPr="00DA249F">
        <w:rPr>
          <w:lang w:val="en-GB"/>
        </w:rPr>
        <w:t xml:space="preserve"> </w:t>
      </w:r>
      <w:r w:rsidR="4876B142" w:rsidRPr="00DA249F">
        <w:rPr>
          <w:lang w:val="en-GB"/>
        </w:rPr>
        <w:t>(</w:t>
      </w:r>
      <w:r w:rsidR="00E23B69">
        <w:rPr>
          <w:b/>
          <w:bCs/>
          <w:lang w:val="en-GB" w:eastAsia="en-NZ"/>
        </w:rPr>
        <w:t>Glossary</w:t>
      </w:r>
      <w:r w:rsidR="4876B142" w:rsidRPr="00DA249F">
        <w:rPr>
          <w:lang w:val="en-GB" w:eastAsia="en-NZ"/>
        </w:rPr>
        <w:t>)</w:t>
      </w:r>
      <w:r w:rsidR="4876B142" w:rsidRPr="00DA249F">
        <w:rPr>
          <w:lang w:val="en-GB"/>
        </w:rPr>
        <w:t xml:space="preserve"> </w:t>
      </w:r>
      <w:r w:rsidR="3D9F78F2" w:rsidRPr="00DA249F">
        <w:rPr>
          <w:lang w:val="en-GB"/>
        </w:rPr>
        <w:t xml:space="preserve">and status of the </w:t>
      </w:r>
      <w:r w:rsidR="7C29F4D9" w:rsidRPr="00DA249F">
        <w:rPr>
          <w:lang w:val="en-GB"/>
        </w:rPr>
        <w:t>driver</w:t>
      </w:r>
      <w:r w:rsidR="3632D532" w:rsidRPr="00DA249F">
        <w:rPr>
          <w:lang w:val="en-GB"/>
        </w:rPr>
        <w:t>(s)</w:t>
      </w:r>
      <w:r w:rsidR="317923B2" w:rsidRPr="00DA249F">
        <w:rPr>
          <w:lang w:val="en-GB"/>
        </w:rPr>
        <w:t xml:space="preserve"> considered</w:t>
      </w:r>
      <w:r w:rsidR="7C29F4D9" w:rsidRPr="00DA249F">
        <w:rPr>
          <w:lang w:val="en-GB"/>
        </w:rPr>
        <w:t>, then</w:t>
      </w:r>
      <w:r w:rsidR="6CC7A86A" w:rsidRPr="00DA249F">
        <w:rPr>
          <w:lang w:val="en-GB"/>
        </w:rPr>
        <w:t xml:space="preserve"> assess</w:t>
      </w:r>
      <w:r w:rsidR="510CAEA8" w:rsidRPr="00DA249F">
        <w:rPr>
          <w:lang w:val="en-GB"/>
        </w:rPr>
        <w:t>es</w:t>
      </w:r>
      <w:r w:rsidR="6CC7A86A" w:rsidRPr="00DA249F">
        <w:rPr>
          <w:lang w:val="en-GB"/>
        </w:rPr>
        <w:t xml:space="preserve"> the overall effects of </w:t>
      </w:r>
      <w:r w:rsidR="317923B2" w:rsidRPr="00DA249F">
        <w:rPr>
          <w:lang w:val="en-GB"/>
        </w:rPr>
        <w:t xml:space="preserve">this </w:t>
      </w:r>
      <w:r w:rsidR="6CC7A86A" w:rsidRPr="00DA249F">
        <w:rPr>
          <w:lang w:val="en-GB"/>
        </w:rPr>
        <w:t xml:space="preserve">driver on </w:t>
      </w:r>
      <w:r w:rsidR="55ECAD60" w:rsidRPr="00DA249F">
        <w:rPr>
          <w:lang w:val="en-GB"/>
        </w:rPr>
        <w:t xml:space="preserve">the transport, introduction, establishment and spread of </w:t>
      </w:r>
      <w:r w:rsidR="510CAEA8" w:rsidRPr="00DA249F">
        <w:rPr>
          <w:lang w:val="en-GB"/>
        </w:rPr>
        <w:t>invasive alien species</w:t>
      </w:r>
      <w:r w:rsidR="23714901" w:rsidRPr="00DA249F">
        <w:rPr>
          <w:lang w:val="en-GB"/>
        </w:rPr>
        <w:t xml:space="preserve"> </w:t>
      </w:r>
      <w:r w:rsidR="6CC7A86A" w:rsidRPr="00DA249F">
        <w:rPr>
          <w:lang w:val="en-GB"/>
        </w:rPr>
        <w:t xml:space="preserve">and, where </w:t>
      </w:r>
      <w:r w:rsidR="0980D25B" w:rsidRPr="00DA249F">
        <w:rPr>
          <w:lang w:val="en-GB"/>
        </w:rPr>
        <w:t>there is information</w:t>
      </w:r>
      <w:r w:rsidR="6CC7A86A" w:rsidRPr="00DA249F">
        <w:rPr>
          <w:lang w:val="en-GB"/>
        </w:rPr>
        <w:t>, note</w:t>
      </w:r>
      <w:r w:rsidR="510CAEA8" w:rsidRPr="00DA249F">
        <w:rPr>
          <w:lang w:val="en-GB"/>
        </w:rPr>
        <w:t>s</w:t>
      </w:r>
      <w:r w:rsidR="6CC7A86A" w:rsidRPr="00DA249F">
        <w:rPr>
          <w:lang w:val="en-GB"/>
        </w:rPr>
        <w:t xml:space="preserve"> specific effects on particular </w:t>
      </w:r>
      <w:r w:rsidR="30E9C3B2" w:rsidRPr="00DA249F">
        <w:rPr>
          <w:lang w:val="en-GB"/>
        </w:rPr>
        <w:t xml:space="preserve">biomes, </w:t>
      </w:r>
      <w:r w:rsidR="6CC7A86A" w:rsidRPr="00DA249F">
        <w:rPr>
          <w:lang w:val="en-GB"/>
        </w:rPr>
        <w:t>taxa</w:t>
      </w:r>
      <w:r w:rsidR="77EBA4DD" w:rsidRPr="00DA249F">
        <w:rPr>
          <w:lang w:val="en-GB"/>
        </w:rPr>
        <w:t xml:space="preserve"> and</w:t>
      </w:r>
      <w:r w:rsidR="510CAEA8" w:rsidRPr="00DA249F">
        <w:rPr>
          <w:lang w:val="en-GB"/>
        </w:rPr>
        <w:t xml:space="preserve"> </w:t>
      </w:r>
      <w:r w:rsidR="6CC7A86A" w:rsidRPr="00DA249F">
        <w:rPr>
          <w:lang w:val="en-GB"/>
        </w:rPr>
        <w:t>unit</w:t>
      </w:r>
      <w:r w:rsidR="02A711B5" w:rsidRPr="00DA249F">
        <w:rPr>
          <w:lang w:val="en-GB"/>
        </w:rPr>
        <w:t>s</w:t>
      </w:r>
      <w:r w:rsidR="6CC7A86A" w:rsidRPr="00DA249F">
        <w:rPr>
          <w:lang w:val="en-GB"/>
        </w:rPr>
        <w:t xml:space="preserve"> of analysis</w:t>
      </w:r>
      <w:r w:rsidR="77EBA4DD" w:rsidRPr="00DA249F">
        <w:rPr>
          <w:lang w:val="en-GB"/>
        </w:rPr>
        <w:t xml:space="preserve">. </w:t>
      </w:r>
      <w:r w:rsidR="019A365E" w:rsidRPr="00DA249F">
        <w:rPr>
          <w:lang w:val="en-GB"/>
        </w:rPr>
        <w:t xml:space="preserve">Due to the complexities of relationships </w:t>
      </w:r>
      <w:r w:rsidR="7D9433FE" w:rsidRPr="00DA249F">
        <w:rPr>
          <w:lang w:val="en-GB"/>
        </w:rPr>
        <w:t xml:space="preserve">among drivers and biological invasions coupled with </w:t>
      </w:r>
      <w:r w:rsidR="21C9C224" w:rsidRPr="00DA249F">
        <w:rPr>
          <w:lang w:val="en-GB"/>
        </w:rPr>
        <w:t>the limited knowledge available</w:t>
      </w:r>
      <w:r w:rsidR="3460D762" w:rsidRPr="00DA249F">
        <w:rPr>
          <w:lang w:val="en-GB"/>
        </w:rPr>
        <w:t xml:space="preserve"> (</w:t>
      </w:r>
      <w:r w:rsidR="3460D762" w:rsidRPr="5575EBFC">
        <w:rPr>
          <w:b/>
          <w:bCs/>
          <w:lang w:val="en-GB"/>
        </w:rPr>
        <w:t>sections 3.1.</w:t>
      </w:r>
      <w:r w:rsidR="3E0998E5" w:rsidRPr="5575EBFC">
        <w:rPr>
          <w:b/>
          <w:bCs/>
          <w:lang w:val="en-GB"/>
        </w:rPr>
        <w:t>3</w:t>
      </w:r>
      <w:r w:rsidR="440B2C26" w:rsidRPr="5575EBFC">
        <w:rPr>
          <w:b/>
          <w:bCs/>
          <w:lang w:val="en-GB"/>
        </w:rPr>
        <w:t xml:space="preserve"> </w:t>
      </w:r>
      <w:r w:rsidR="399E5F74" w:rsidRPr="00671B73">
        <w:rPr>
          <w:lang w:val="en-GB"/>
        </w:rPr>
        <w:t>to</w:t>
      </w:r>
      <w:r w:rsidR="440B2C26" w:rsidRPr="5575EBFC">
        <w:rPr>
          <w:lang w:val="en-GB"/>
        </w:rPr>
        <w:t xml:space="preserve"> </w:t>
      </w:r>
      <w:r w:rsidR="440B2C26" w:rsidRPr="5575EBFC">
        <w:rPr>
          <w:b/>
          <w:bCs/>
          <w:lang w:val="en-GB"/>
        </w:rPr>
        <w:t>3.1.</w:t>
      </w:r>
      <w:r w:rsidR="3E0998E5" w:rsidRPr="5575EBFC">
        <w:rPr>
          <w:b/>
          <w:bCs/>
          <w:lang w:val="en-GB"/>
        </w:rPr>
        <w:t>5</w:t>
      </w:r>
      <w:r w:rsidR="440B2C26" w:rsidRPr="5575EBFC">
        <w:rPr>
          <w:lang w:val="en-GB"/>
        </w:rPr>
        <w:t xml:space="preserve">, </w:t>
      </w:r>
      <w:r w:rsidR="00E23B69">
        <w:rPr>
          <w:b/>
          <w:bCs/>
          <w:lang w:val="en-GB"/>
        </w:rPr>
        <w:t>Figure</w:t>
      </w:r>
      <w:r w:rsidR="364FBC63" w:rsidRPr="5575EBFC">
        <w:rPr>
          <w:b/>
          <w:bCs/>
          <w:lang w:val="en-GB"/>
        </w:rPr>
        <w:t xml:space="preserve"> </w:t>
      </w:r>
      <w:r w:rsidR="440B2C26" w:rsidRPr="5575EBFC">
        <w:rPr>
          <w:b/>
          <w:bCs/>
          <w:lang w:val="en-GB"/>
        </w:rPr>
        <w:t>3.3</w:t>
      </w:r>
      <w:r w:rsidR="440B2C26" w:rsidRPr="00DA249F">
        <w:rPr>
          <w:lang w:val="en-GB"/>
        </w:rPr>
        <w:t>)</w:t>
      </w:r>
      <w:r w:rsidR="21C9C224" w:rsidRPr="00DA249F">
        <w:rPr>
          <w:lang w:val="en-GB"/>
        </w:rPr>
        <w:t xml:space="preserve">, </w:t>
      </w:r>
      <w:r w:rsidR="228E953D" w:rsidRPr="00DA249F">
        <w:rPr>
          <w:lang w:val="en-GB"/>
        </w:rPr>
        <w:t xml:space="preserve">a </w:t>
      </w:r>
      <w:r w:rsidR="21C9C224" w:rsidRPr="00DA249F">
        <w:rPr>
          <w:lang w:val="en-GB"/>
        </w:rPr>
        <w:t xml:space="preserve">systematic </w:t>
      </w:r>
      <w:r w:rsidR="58C6DB82" w:rsidRPr="00DA249F">
        <w:rPr>
          <w:lang w:val="en-GB"/>
        </w:rPr>
        <w:t xml:space="preserve">literature </w:t>
      </w:r>
      <w:r w:rsidR="21C9C224" w:rsidRPr="00DA249F">
        <w:rPr>
          <w:lang w:val="en-GB"/>
        </w:rPr>
        <w:t>search</w:t>
      </w:r>
      <w:r w:rsidR="4FDF1878" w:rsidRPr="00DA249F">
        <w:rPr>
          <w:lang w:val="en-GB"/>
        </w:rPr>
        <w:t xml:space="preserve"> </w:t>
      </w:r>
      <w:r w:rsidR="387C8F1C" w:rsidRPr="00DA249F">
        <w:rPr>
          <w:lang w:val="en-GB"/>
        </w:rPr>
        <w:t xml:space="preserve">across </w:t>
      </w:r>
      <w:r w:rsidR="58C6DB82" w:rsidRPr="00DA249F">
        <w:rPr>
          <w:lang w:val="en-GB"/>
        </w:rPr>
        <w:t xml:space="preserve">all topics relevant to the </w:t>
      </w:r>
      <w:r w:rsidR="21C9C224" w:rsidRPr="00DA249F">
        <w:rPr>
          <w:lang w:val="en-GB"/>
        </w:rPr>
        <w:t xml:space="preserve">chapter </w:t>
      </w:r>
      <w:r w:rsidR="7F11E6EC" w:rsidRPr="00DA249F">
        <w:rPr>
          <w:lang w:val="en-GB"/>
        </w:rPr>
        <w:t>w</w:t>
      </w:r>
      <w:r w:rsidR="24380814" w:rsidRPr="00DA249F">
        <w:rPr>
          <w:lang w:val="en-GB"/>
        </w:rPr>
        <w:t>as</w:t>
      </w:r>
      <w:r w:rsidR="21C9C224" w:rsidRPr="00DA249F">
        <w:rPr>
          <w:lang w:val="en-GB"/>
        </w:rPr>
        <w:t xml:space="preserve"> not </w:t>
      </w:r>
      <w:r w:rsidR="1B213610" w:rsidRPr="00DA249F">
        <w:rPr>
          <w:lang w:val="en-GB"/>
        </w:rPr>
        <w:t xml:space="preserve">feasible, </w:t>
      </w:r>
      <w:r w:rsidR="0A65CC75" w:rsidRPr="00DA249F">
        <w:rPr>
          <w:lang w:val="en-GB"/>
        </w:rPr>
        <w:t xml:space="preserve">and targeted </w:t>
      </w:r>
      <w:r w:rsidR="29DD8AA5" w:rsidRPr="00DA249F">
        <w:rPr>
          <w:lang w:val="en-GB"/>
        </w:rPr>
        <w:t xml:space="preserve">but </w:t>
      </w:r>
      <w:r w:rsidR="109A14F9" w:rsidRPr="00DA249F">
        <w:rPr>
          <w:lang w:val="en-GB"/>
        </w:rPr>
        <w:t xml:space="preserve">coordinated </w:t>
      </w:r>
      <w:r w:rsidR="29DD8AA5" w:rsidRPr="00DA249F">
        <w:rPr>
          <w:lang w:val="en-GB"/>
        </w:rPr>
        <w:t xml:space="preserve">literature </w:t>
      </w:r>
      <w:r w:rsidR="516DCCEC" w:rsidRPr="00DA249F">
        <w:rPr>
          <w:lang w:val="en-GB"/>
        </w:rPr>
        <w:t xml:space="preserve">searches were </w:t>
      </w:r>
      <w:r w:rsidR="24380814" w:rsidRPr="00DA249F">
        <w:rPr>
          <w:lang w:val="en-GB"/>
        </w:rPr>
        <w:t xml:space="preserve">conducted </w:t>
      </w:r>
      <w:r w:rsidR="0A65CC75" w:rsidRPr="00DA249F">
        <w:rPr>
          <w:lang w:val="en-GB"/>
        </w:rPr>
        <w:t xml:space="preserve">instead </w:t>
      </w:r>
      <w:r w:rsidR="50CE0EAC" w:rsidRPr="00DA249F">
        <w:rPr>
          <w:lang w:val="en-GB"/>
        </w:rPr>
        <w:t>(</w:t>
      </w:r>
      <w:r w:rsidR="565A62FE" w:rsidRPr="5575EBFC">
        <w:rPr>
          <w:b/>
          <w:bCs/>
          <w:lang w:val="en-GB"/>
        </w:rPr>
        <w:t>section 3.6.2</w:t>
      </w:r>
      <w:r w:rsidR="565A62FE" w:rsidRPr="00DA249F">
        <w:rPr>
          <w:lang w:val="en-GB"/>
        </w:rPr>
        <w:t xml:space="preserve"> for details)</w:t>
      </w:r>
      <w:r w:rsidR="6F8DA26B" w:rsidRPr="00DA249F">
        <w:rPr>
          <w:lang w:val="en-GB"/>
        </w:rPr>
        <w:t>.</w:t>
      </w:r>
      <w:r w:rsidR="002E3C9A" w:rsidRPr="00710AC3">
        <w:rPr>
          <w:rStyle w:val="FootnoteReference"/>
        </w:rPr>
        <w:footnoteReference w:id="3"/>
      </w:r>
      <w:r w:rsidR="6F8DA26B" w:rsidRPr="00DA249F">
        <w:rPr>
          <w:lang w:val="en-GB"/>
        </w:rPr>
        <w:t xml:space="preserve"> </w:t>
      </w:r>
      <w:r w:rsidR="485A0D98" w:rsidRPr="00DA249F">
        <w:rPr>
          <w:lang w:val="en-GB"/>
        </w:rPr>
        <w:t xml:space="preserve">In these searches, </w:t>
      </w:r>
      <w:r w:rsidR="37031306" w:rsidRPr="00DA249F">
        <w:rPr>
          <w:lang w:val="en-GB"/>
        </w:rPr>
        <w:t>k</w:t>
      </w:r>
      <w:r w:rsidR="48026747" w:rsidRPr="00DA249F">
        <w:rPr>
          <w:lang w:val="en-GB"/>
        </w:rPr>
        <w:t xml:space="preserve">nowledge </w:t>
      </w:r>
      <w:r w:rsidR="58C6DB82" w:rsidRPr="00DA249F">
        <w:rPr>
          <w:lang w:val="en-GB"/>
        </w:rPr>
        <w:t>was</w:t>
      </w:r>
      <w:r w:rsidR="48026747" w:rsidRPr="00DA249F">
        <w:rPr>
          <w:lang w:val="en-GB"/>
        </w:rPr>
        <w:t xml:space="preserve"> </w:t>
      </w:r>
      <w:r w:rsidR="58C6DB82" w:rsidRPr="00DA249F">
        <w:rPr>
          <w:lang w:val="en-GB"/>
        </w:rPr>
        <w:t>extracted</w:t>
      </w:r>
      <w:r w:rsidR="48026747" w:rsidRPr="00DA249F">
        <w:rPr>
          <w:lang w:val="en-GB"/>
        </w:rPr>
        <w:t xml:space="preserve"> from a broad range of sources, including </w:t>
      </w:r>
      <w:r w:rsidR="37031306" w:rsidRPr="00DA249F">
        <w:rPr>
          <w:lang w:val="en-GB"/>
        </w:rPr>
        <w:t xml:space="preserve">published </w:t>
      </w:r>
      <w:r w:rsidR="2F282F78" w:rsidRPr="00DA249F">
        <w:rPr>
          <w:lang w:val="en-GB"/>
        </w:rPr>
        <w:t>scientific literature</w:t>
      </w:r>
      <w:r w:rsidR="1653B0AA">
        <w:rPr>
          <w:lang w:val="en-GB"/>
        </w:rPr>
        <w:t xml:space="preserve"> and</w:t>
      </w:r>
      <w:r w:rsidR="2F282F78" w:rsidRPr="00DA249F">
        <w:rPr>
          <w:lang w:val="en-GB"/>
        </w:rPr>
        <w:t xml:space="preserve"> reports, and </w:t>
      </w:r>
      <w:r w:rsidR="43DE6D34" w:rsidRPr="00DA249F">
        <w:rPr>
          <w:lang w:val="en-GB"/>
        </w:rPr>
        <w:t xml:space="preserve">the </w:t>
      </w:r>
      <w:r w:rsidR="5E893B1C" w:rsidRPr="00DA249F">
        <w:rPr>
          <w:lang w:val="en-GB"/>
        </w:rPr>
        <w:t xml:space="preserve">searches were augmented with </w:t>
      </w:r>
      <w:r w:rsidR="65CE2DF5" w:rsidRPr="00DA249F">
        <w:rPr>
          <w:lang w:val="en-GB"/>
        </w:rPr>
        <w:t>literature from</w:t>
      </w:r>
      <w:r w:rsidR="510CAEA8" w:rsidRPr="00DA249F">
        <w:rPr>
          <w:lang w:val="en-GB"/>
        </w:rPr>
        <w:t xml:space="preserve"> </w:t>
      </w:r>
      <w:r w:rsidR="65CE2DF5" w:rsidRPr="00DA249F">
        <w:rPr>
          <w:lang w:val="en-GB"/>
        </w:rPr>
        <w:t>the cross-</w:t>
      </w:r>
      <w:r w:rsidR="002DFD0A" w:rsidRPr="00DA249F">
        <w:rPr>
          <w:lang w:val="en-GB"/>
        </w:rPr>
        <w:t>c</w:t>
      </w:r>
      <w:r w:rsidR="65CE2DF5" w:rsidRPr="00DA249F">
        <w:rPr>
          <w:lang w:val="en-GB"/>
        </w:rPr>
        <w:t>hapter literature review</w:t>
      </w:r>
      <w:r w:rsidR="00A55ABD" w:rsidRPr="00710AC3">
        <w:rPr>
          <w:rStyle w:val="FootnoteReference"/>
        </w:rPr>
        <w:footnoteReference w:id="4"/>
      </w:r>
      <w:r w:rsidR="194DF513" w:rsidRPr="00DA249F">
        <w:rPr>
          <w:lang w:val="en-GB"/>
        </w:rPr>
        <w:t xml:space="preserve"> on </w:t>
      </w:r>
      <w:r w:rsidR="228C588A" w:rsidRPr="00DA249F">
        <w:rPr>
          <w:lang w:val="en-GB"/>
        </w:rPr>
        <w:t>Indigenous Peoples</w:t>
      </w:r>
      <w:r w:rsidR="510CAEA8" w:rsidRPr="00DA249F">
        <w:rPr>
          <w:lang w:val="en-GB"/>
        </w:rPr>
        <w:t xml:space="preserve"> and local communities</w:t>
      </w:r>
      <w:r w:rsidR="194DF513" w:rsidRPr="00DA249F">
        <w:rPr>
          <w:lang w:val="en-GB"/>
        </w:rPr>
        <w:t xml:space="preserve"> and invasive alien species</w:t>
      </w:r>
      <w:r w:rsidR="6CC7A86A" w:rsidRPr="00DA249F">
        <w:rPr>
          <w:lang w:val="en-GB"/>
        </w:rPr>
        <w:t xml:space="preserve">. Finally, </w:t>
      </w:r>
      <w:r w:rsidR="4ECD6468" w:rsidRPr="00DA249F">
        <w:rPr>
          <w:lang w:val="en-GB"/>
        </w:rPr>
        <w:t xml:space="preserve">the </w:t>
      </w:r>
      <w:r w:rsidR="0F9FAC9A" w:rsidRPr="00DA249F">
        <w:rPr>
          <w:lang w:val="en-GB"/>
        </w:rPr>
        <w:t>authors</w:t>
      </w:r>
      <w:r w:rsidR="6CC7A86A" w:rsidRPr="00DA249F">
        <w:rPr>
          <w:lang w:val="en-GB"/>
        </w:rPr>
        <w:t xml:space="preserve"> identify knowledge gaps (</w:t>
      </w:r>
      <w:r w:rsidR="6CC7A86A" w:rsidRPr="5575EBFC">
        <w:rPr>
          <w:b/>
          <w:bCs/>
          <w:lang w:val="en-GB"/>
        </w:rPr>
        <w:t>section 3.</w:t>
      </w:r>
      <w:r w:rsidR="522A8AE5" w:rsidRPr="5575EBFC">
        <w:rPr>
          <w:b/>
          <w:bCs/>
          <w:lang w:val="en-GB"/>
        </w:rPr>
        <w:t>6</w:t>
      </w:r>
      <w:r w:rsidR="3F5CA3A1" w:rsidRPr="5575EBFC">
        <w:rPr>
          <w:b/>
          <w:bCs/>
          <w:lang w:val="en-GB"/>
        </w:rPr>
        <w:t>.1</w:t>
      </w:r>
      <w:r w:rsidR="6CC7A86A" w:rsidRPr="00DA249F">
        <w:rPr>
          <w:lang w:val="en-GB"/>
        </w:rPr>
        <w:t xml:space="preserve">) before drawing conclusions </w:t>
      </w:r>
      <w:r w:rsidR="522A8AE5" w:rsidRPr="00DA249F">
        <w:rPr>
          <w:lang w:val="en-GB"/>
        </w:rPr>
        <w:t xml:space="preserve">and integrating the chapter’s findings on </w:t>
      </w:r>
      <w:r w:rsidR="14D87914" w:rsidRPr="00DA249F">
        <w:rPr>
          <w:lang w:val="en-GB"/>
        </w:rPr>
        <w:t xml:space="preserve">the role of </w:t>
      </w:r>
      <w:r w:rsidR="653902EA" w:rsidRPr="00DA249F">
        <w:rPr>
          <w:lang w:val="en-GB"/>
        </w:rPr>
        <w:t>drivers of change in nature</w:t>
      </w:r>
      <w:r w:rsidR="14D87914" w:rsidRPr="00DA249F">
        <w:rPr>
          <w:lang w:val="en-GB"/>
        </w:rPr>
        <w:t xml:space="preserve"> in facilitating </w:t>
      </w:r>
      <w:r w:rsidR="27E2205B" w:rsidRPr="00DA249F">
        <w:rPr>
          <w:lang w:val="en-GB"/>
        </w:rPr>
        <w:t>invasive alien species</w:t>
      </w:r>
      <w:r w:rsidR="14D87914" w:rsidRPr="00DA249F">
        <w:rPr>
          <w:lang w:val="en-GB"/>
        </w:rPr>
        <w:t xml:space="preserve"> </w:t>
      </w:r>
      <w:r w:rsidR="522A8AE5" w:rsidRPr="00DA249F">
        <w:rPr>
          <w:lang w:val="en-GB"/>
        </w:rPr>
        <w:t xml:space="preserve">across </w:t>
      </w:r>
      <w:r w:rsidR="0BC70940" w:rsidRPr="00DA249F">
        <w:rPr>
          <w:lang w:val="en-GB"/>
        </w:rPr>
        <w:t>biomes and realms</w:t>
      </w:r>
      <w:r w:rsidR="522A8AE5" w:rsidRPr="00DA249F">
        <w:rPr>
          <w:lang w:val="en-GB"/>
        </w:rPr>
        <w:t xml:space="preserve"> and </w:t>
      </w:r>
      <w:r w:rsidR="3C5A0AC5" w:rsidRPr="00DA249F">
        <w:rPr>
          <w:lang w:val="en-GB"/>
        </w:rPr>
        <w:t xml:space="preserve">across </w:t>
      </w:r>
      <w:r w:rsidR="14D87914" w:rsidRPr="00DA249F">
        <w:rPr>
          <w:lang w:val="en-GB"/>
        </w:rPr>
        <w:t xml:space="preserve">the </w:t>
      </w:r>
      <w:r w:rsidR="0980D25B" w:rsidRPr="00DA249F">
        <w:rPr>
          <w:lang w:val="en-GB"/>
        </w:rPr>
        <w:t xml:space="preserve">biological </w:t>
      </w:r>
      <w:r w:rsidR="522A8AE5" w:rsidRPr="00DA249F">
        <w:rPr>
          <w:lang w:val="en-GB"/>
        </w:rPr>
        <w:t xml:space="preserve">invasion process </w:t>
      </w:r>
      <w:r w:rsidR="6CC7A86A" w:rsidRPr="00DA249F">
        <w:rPr>
          <w:lang w:val="en-GB"/>
        </w:rPr>
        <w:t>(</w:t>
      </w:r>
      <w:r w:rsidR="6CC7A86A" w:rsidRPr="5575EBFC">
        <w:rPr>
          <w:b/>
          <w:bCs/>
          <w:lang w:val="en-GB"/>
        </w:rPr>
        <w:t>section</w:t>
      </w:r>
      <w:r w:rsidR="1C8F96E4" w:rsidRPr="5575EBFC">
        <w:rPr>
          <w:b/>
          <w:bCs/>
          <w:lang w:val="en-GB"/>
        </w:rPr>
        <w:t>s</w:t>
      </w:r>
      <w:r w:rsidR="6CC7A86A" w:rsidRPr="5575EBFC">
        <w:rPr>
          <w:b/>
          <w:bCs/>
          <w:lang w:val="en-GB"/>
        </w:rPr>
        <w:t xml:space="preserve"> 3.</w:t>
      </w:r>
      <w:r w:rsidR="1C8F96E4" w:rsidRPr="5575EBFC">
        <w:rPr>
          <w:b/>
          <w:bCs/>
          <w:lang w:val="en-GB"/>
        </w:rPr>
        <w:t>6.2</w:t>
      </w:r>
      <w:r w:rsidR="1C8F96E4" w:rsidRPr="5575EBFC">
        <w:rPr>
          <w:lang w:val="en-GB"/>
        </w:rPr>
        <w:t>,</w:t>
      </w:r>
      <w:r w:rsidR="1C8F96E4" w:rsidRPr="5575EBFC">
        <w:rPr>
          <w:b/>
          <w:bCs/>
          <w:lang w:val="en-GB"/>
        </w:rPr>
        <w:t xml:space="preserve"> 3.6.3</w:t>
      </w:r>
      <w:r w:rsidR="6CC7A86A" w:rsidRPr="00DA249F">
        <w:rPr>
          <w:lang w:val="en-GB"/>
        </w:rPr>
        <w:t>).</w:t>
      </w:r>
      <w:r w:rsidR="765F76D9" w:rsidRPr="00DA249F">
        <w:rPr>
          <w:lang w:val="en-GB"/>
        </w:rPr>
        <w:t xml:space="preserve"> </w:t>
      </w:r>
    </w:p>
    <w:p w14:paraId="6396F9A1" w14:textId="1F274B26" w:rsidR="00921FBD" w:rsidRPr="00DA249F" w:rsidRDefault="00CB5CAA" w:rsidP="00921FBD">
      <w:pPr>
        <w:rPr>
          <w:rFonts w:eastAsia="Calibri"/>
          <w:lang w:val="en-GB"/>
        </w:rPr>
      </w:pPr>
      <w:r w:rsidRPr="00CB5CAA">
        <w:rPr>
          <w:rFonts w:eastAsia="Calibri"/>
          <w:noProof/>
          <w:lang w:val="en-GB"/>
        </w:rPr>
        <w:lastRenderedPageBreak/>
        <w:drawing>
          <wp:inline distT="0" distB="0" distL="0" distR="0" wp14:anchorId="417AAF12" wp14:editId="15068A9E">
            <wp:extent cx="6115050" cy="2485390"/>
            <wp:effectExtent l="0" t="0" r="6350" b="3810"/>
            <wp:docPr id="7" name="Picture 7" descr="A diagram of a driver's choi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A diagram of a driver's choice&#10;&#10;Description automatically generated"/>
                    <pic:cNvPicPr/>
                  </pic:nvPicPr>
                  <pic:blipFill>
                    <a:blip r:embed="rId20"/>
                    <a:stretch>
                      <a:fillRect/>
                    </a:stretch>
                  </pic:blipFill>
                  <pic:spPr>
                    <a:xfrm>
                      <a:off x="0" y="0"/>
                      <a:ext cx="6115050" cy="2485390"/>
                    </a:xfrm>
                    <a:prstGeom prst="rect">
                      <a:avLst/>
                    </a:prstGeom>
                  </pic:spPr>
                </pic:pic>
              </a:graphicData>
            </a:graphic>
          </wp:inline>
        </w:drawing>
      </w:r>
    </w:p>
    <w:p w14:paraId="31F37147" w14:textId="76732CF1" w:rsidR="00FD579B" w:rsidRPr="00DA249F" w:rsidRDefault="2CCCED33" w:rsidP="6A2A8CB1">
      <w:pPr>
        <w:pStyle w:val="Caption"/>
        <w:rPr>
          <w:b w:val="0"/>
          <w:bCs w:val="0"/>
          <w:i/>
          <w:iCs/>
          <w:lang w:val="en-GB"/>
        </w:rPr>
      </w:pPr>
      <w:bookmarkStart w:id="15" w:name="_Ref118987347"/>
      <w:bookmarkStart w:id="16" w:name="_Toc147500888"/>
      <w:r w:rsidRPr="6A2A8CB1">
        <w:rPr>
          <w:lang w:val="en-GB"/>
        </w:rPr>
        <w:t>Figure 3.</w:t>
      </w:r>
      <w:r w:rsidRPr="6A2A8CB1">
        <w:rPr>
          <w:lang w:val="en-GB"/>
        </w:rPr>
        <w:fldChar w:fldCharType="begin"/>
      </w:r>
      <w:r w:rsidRPr="6A2A8CB1">
        <w:rPr>
          <w:lang w:val="en-GB"/>
        </w:rPr>
        <w:instrText xml:space="preserve"> SEQ Figure_3. \* ARABIC </w:instrText>
      </w:r>
      <w:r w:rsidRPr="6A2A8CB1">
        <w:rPr>
          <w:lang w:val="en-GB"/>
        </w:rPr>
        <w:fldChar w:fldCharType="separate"/>
      </w:r>
      <w:r w:rsidR="00287BC7">
        <w:rPr>
          <w:noProof/>
          <w:lang w:val="en-GB"/>
        </w:rPr>
        <w:t>3</w:t>
      </w:r>
      <w:r w:rsidRPr="6A2A8CB1">
        <w:rPr>
          <w:lang w:val="en-GB"/>
        </w:rPr>
        <w:fldChar w:fldCharType="end"/>
      </w:r>
      <w:bookmarkEnd w:id="15"/>
      <w:r w:rsidR="2FDB9C26" w:rsidRPr="6A2A8CB1">
        <w:rPr>
          <w:lang w:val="en-GB"/>
        </w:rPr>
        <w:t xml:space="preserve">. </w:t>
      </w:r>
      <w:r w:rsidR="2FDB9C26" w:rsidRPr="6A2A8CB1">
        <w:rPr>
          <w:b w:val="0"/>
          <w:bCs w:val="0"/>
          <w:lang w:val="en-GB"/>
        </w:rPr>
        <w:t>S</w:t>
      </w:r>
      <w:r w:rsidRPr="6A2A8CB1">
        <w:rPr>
          <w:b w:val="0"/>
          <w:bCs w:val="0"/>
          <w:lang w:val="en-GB"/>
        </w:rPr>
        <w:t>chematic illustrat</w:t>
      </w:r>
      <w:r w:rsidR="0731C2C1" w:rsidRPr="6A2A8CB1">
        <w:rPr>
          <w:b w:val="0"/>
          <w:bCs w:val="0"/>
          <w:lang w:val="en-GB"/>
        </w:rPr>
        <w:t xml:space="preserve">ion of </w:t>
      </w:r>
      <w:r w:rsidR="034F43E0" w:rsidRPr="6A2A8CB1">
        <w:rPr>
          <w:b w:val="0"/>
          <w:bCs w:val="0"/>
          <w:lang w:val="en-GB"/>
        </w:rPr>
        <w:t xml:space="preserve">how invasive alien species </w:t>
      </w:r>
      <w:r w:rsidR="3D07688A" w:rsidRPr="6A2A8CB1">
        <w:rPr>
          <w:b w:val="0"/>
          <w:bCs w:val="0"/>
          <w:lang w:val="en-GB"/>
        </w:rPr>
        <w:t>can be</w:t>
      </w:r>
      <w:r w:rsidR="034F43E0" w:rsidRPr="6A2A8CB1">
        <w:rPr>
          <w:b w:val="0"/>
          <w:bCs w:val="0"/>
          <w:lang w:val="en-GB"/>
        </w:rPr>
        <w:t xml:space="preserve"> </w:t>
      </w:r>
      <w:r w:rsidR="660C91D6" w:rsidRPr="6A2A8CB1">
        <w:rPr>
          <w:b w:val="0"/>
          <w:bCs w:val="0"/>
          <w:lang w:val="en-GB"/>
        </w:rPr>
        <w:t>influenced</w:t>
      </w:r>
      <w:r w:rsidR="034F43E0" w:rsidRPr="6A2A8CB1">
        <w:rPr>
          <w:b w:val="0"/>
          <w:bCs w:val="0"/>
          <w:lang w:val="en-GB"/>
        </w:rPr>
        <w:t xml:space="preserve"> by </w:t>
      </w:r>
      <w:r w:rsidRPr="6A2A8CB1">
        <w:rPr>
          <w:b w:val="0"/>
          <w:bCs w:val="0"/>
          <w:lang w:val="en-GB"/>
        </w:rPr>
        <w:t xml:space="preserve">indirect </w:t>
      </w:r>
      <w:r w:rsidR="067C1E4A" w:rsidRPr="6A2A8CB1">
        <w:rPr>
          <w:b w:val="0"/>
          <w:bCs w:val="0"/>
          <w:lang w:val="en-GB"/>
        </w:rPr>
        <w:t>drivers of change in nature</w:t>
      </w:r>
      <w:r w:rsidR="034F43E0" w:rsidRPr="6A2A8CB1">
        <w:rPr>
          <w:b w:val="0"/>
          <w:bCs w:val="0"/>
          <w:lang w:val="en-GB"/>
        </w:rPr>
        <w:t xml:space="preserve">, </w:t>
      </w:r>
      <w:r w:rsidR="6E31A801" w:rsidRPr="6A2A8CB1">
        <w:rPr>
          <w:b w:val="0"/>
          <w:bCs w:val="0"/>
          <w:lang w:val="en-GB"/>
        </w:rPr>
        <w:t>anthropogenic and natur</w:t>
      </w:r>
      <w:r w:rsidR="564E57B9" w:rsidRPr="6A2A8CB1">
        <w:rPr>
          <w:b w:val="0"/>
          <w:bCs w:val="0"/>
          <w:lang w:val="en-GB"/>
        </w:rPr>
        <w:t>a</w:t>
      </w:r>
      <w:r w:rsidR="6E31A801" w:rsidRPr="6A2A8CB1">
        <w:rPr>
          <w:b w:val="0"/>
          <w:bCs w:val="0"/>
          <w:lang w:val="en-GB"/>
        </w:rPr>
        <w:t xml:space="preserve">l </w:t>
      </w:r>
      <w:r w:rsidR="4BA76328" w:rsidRPr="6A2A8CB1">
        <w:rPr>
          <w:b w:val="0"/>
          <w:bCs w:val="0"/>
          <w:lang w:val="en-GB"/>
        </w:rPr>
        <w:t xml:space="preserve">direct drivers </w:t>
      </w:r>
      <w:r w:rsidR="067C1E4A" w:rsidRPr="6A2A8CB1">
        <w:rPr>
          <w:b w:val="0"/>
          <w:bCs w:val="0"/>
          <w:lang w:val="en-GB"/>
        </w:rPr>
        <w:t>of change in nature</w:t>
      </w:r>
      <w:r w:rsidR="2C6DED65" w:rsidRPr="6A2A8CB1">
        <w:rPr>
          <w:b w:val="0"/>
          <w:bCs w:val="0"/>
          <w:lang w:val="en-GB"/>
        </w:rPr>
        <w:t xml:space="preserve"> and by changes to na</w:t>
      </w:r>
      <w:r w:rsidR="4F347A3A" w:rsidRPr="6A2A8CB1">
        <w:rPr>
          <w:b w:val="0"/>
          <w:bCs w:val="0"/>
          <w:lang w:val="en-GB"/>
        </w:rPr>
        <w:t>ture</w:t>
      </w:r>
      <w:r w:rsidR="2C6DED65" w:rsidRPr="6A2A8CB1">
        <w:rPr>
          <w:b w:val="0"/>
          <w:bCs w:val="0"/>
          <w:lang w:val="en-GB"/>
        </w:rPr>
        <w:t xml:space="preserve"> </w:t>
      </w:r>
      <w:r w:rsidR="172EFAB3" w:rsidRPr="6A2A8CB1">
        <w:rPr>
          <w:b w:val="0"/>
          <w:bCs w:val="0"/>
          <w:lang w:val="en-GB"/>
        </w:rPr>
        <w:t>(</w:t>
      </w:r>
      <w:r w:rsidR="2013054E" w:rsidRPr="6A2A8CB1">
        <w:rPr>
          <w:b w:val="0"/>
          <w:bCs w:val="0"/>
          <w:lang w:val="en-GB"/>
        </w:rPr>
        <w:t>i</w:t>
      </w:r>
      <w:r w:rsidR="5547656D" w:rsidRPr="6A2A8CB1">
        <w:rPr>
          <w:b w:val="0"/>
          <w:bCs w:val="0"/>
          <w:lang w:val="en-GB"/>
        </w:rPr>
        <w:t xml:space="preserve">.e., </w:t>
      </w:r>
      <w:r w:rsidR="6FFA0D7A" w:rsidRPr="6A2A8CB1">
        <w:rPr>
          <w:b w:val="0"/>
          <w:bCs w:val="0"/>
          <w:lang w:val="en-GB"/>
        </w:rPr>
        <w:t xml:space="preserve">loss of </w:t>
      </w:r>
      <w:r w:rsidR="2C6DED65" w:rsidRPr="6A2A8CB1">
        <w:rPr>
          <w:b w:val="0"/>
          <w:bCs w:val="0"/>
          <w:lang w:val="en-GB"/>
        </w:rPr>
        <w:t xml:space="preserve">biodiversity </w:t>
      </w:r>
      <w:r w:rsidR="38A9A80F" w:rsidRPr="6A2A8CB1">
        <w:rPr>
          <w:b w:val="0"/>
          <w:bCs w:val="0"/>
          <w:lang w:val="en-GB"/>
        </w:rPr>
        <w:t xml:space="preserve">or </w:t>
      </w:r>
      <w:r w:rsidR="2320ECFB" w:rsidRPr="6A2A8CB1">
        <w:rPr>
          <w:b w:val="0"/>
          <w:bCs w:val="0"/>
          <w:lang w:val="en-GB"/>
        </w:rPr>
        <w:t>ecological resilience)</w:t>
      </w:r>
      <w:r w:rsidR="2C6DED65" w:rsidRPr="6A2A8CB1">
        <w:rPr>
          <w:b w:val="0"/>
          <w:bCs w:val="0"/>
          <w:lang w:val="en-GB"/>
        </w:rPr>
        <w:t xml:space="preserve">. The </w:t>
      </w:r>
      <w:r w:rsidR="513F1B3E" w:rsidRPr="6A2A8CB1">
        <w:rPr>
          <w:b w:val="0"/>
          <w:bCs w:val="0"/>
          <w:lang w:val="en-GB"/>
        </w:rPr>
        <w:t xml:space="preserve">assessment builds on </w:t>
      </w:r>
      <w:r w:rsidR="0536355C" w:rsidRPr="6A2A8CB1">
        <w:rPr>
          <w:b w:val="0"/>
          <w:bCs w:val="0"/>
          <w:lang w:val="en-GB"/>
        </w:rPr>
        <w:t xml:space="preserve">the IPBES conceptual framework </w:t>
      </w:r>
      <w:r w:rsidRPr="6A2A8CB1">
        <w:rPr>
          <w:b w:val="0"/>
          <w:bCs w:val="0"/>
          <w:lang w:val="en-GB"/>
        </w:rPr>
        <w:fldChar w:fldCharType="begin"/>
      </w:r>
      <w:r w:rsidR="00230216">
        <w:rPr>
          <w:b w:val="0"/>
          <w:bCs w:val="0"/>
          <w:lang w:val="en-GB"/>
        </w:rPr>
        <w:instrText xml:space="preserve"> ADDIN ZOTERO_ITEM CSL_CITATION {"citationID":"XeDU56U2","properties":{"formattedCitation":"(D\\uc0\\u237{}az et al., 2015)","plainCitation":"(Díaz et al., 2015)","noteIndex":0},"citationItems":[{"id":56276,"uris":["http://zotero.org/groups/2352922/items/RVMHP3KG","http://zotero.org/groups/2352922/items/MTRKLN42","http://zotero.org/groups/2352922/items/M2BU94IG"],"itemData":{"id":56276,"type":"article-journal","abstract":"The first public product of the Intergovernmental Platform on Biodiversity and Ecosystem Services (IPBES) is its Conceptual Framework. This conceptual and analytical tool, presented here in detail, will underpin all IPBES functions and provide structure and comparability to the syntheses that IPBES will produce at different spatial scales, on different themes, and in different regions. Salient innovative aspects of the IPBES Conceptual Framework are its transparent and participatory construction process and its explicit consideration of diverse scientific disciplines, stakeholders, and knowledge systems, including indigenous and local knowledge. Because the focus on co-construction of integrative knowledge is shared by an increasing number of initiatives worldwide, this framework should be useful beyond IPBES, for the wider research and knowledge-policy communities working on the links between nature and people, such as natural, social and engineering scientists, policy-makers at different levels, and decision-makers in different sectors of society.","collection-title":"Open Issue","container-title":"Current Opinion in Environmental Sustainability","DOI":"10.1016/j.cosust.2014.11.002","ISSN":"1877-3435","journalAbbreviation":"Current Opinion in Environmental Sustainability","language":"en","page":"1-16","source":"ScienceDirect","title":"The IPBES Conceptual Framework — connecting nature and people","URL":"https://doi.org/10.1016/j.cosust.2014.11.002","volume":"14","author":[{"family":"Díaz","given":"Sandra"},{"family":"Demissew","given":"Sebsebe"},{"family":"Carabias","given":"Julia"},{"family":"Joly","given":"Carlos"},{"family":"Lonsdale","given":"Mark"},{"family":"Ash","given":"Neville"},{"family":"Larigauderie","given":"Anne"},{"family":"Adhikari","given":"Jay Ram"},{"family":"Arico","given":"Salvatore"},{"family":"Báldi","given":"András"},{"family":"Bartuska","given":"Ann"},{"family":"Baste","given":"Ivar Andreas"},{"family":"Bilgin","given":"Adem"},{"family":"Brondizio","given":"Eduardo"},{"family":"Chan","given":"Kai MA"},{"family":"Figueroa","given":"Viviana Elsa"},{"family":"Duraiappah","given":"Anantha"},{"family":"Fischer","given":"Markus"},{"family":"Hill","given":"Rosemary"},{"family":"Koetz","given":"Thomas"},{"family":"Leadley","given":"Paul"},{"family":"Lyver","given":"Philip"},{"family":"Mace","given":"Georgina M"},{"family":"Martin-Lopez","given":"Berta"},{"family":"Okumura","given":"Michiko"},{"family":"Pacheco","given":"Diego"},{"family":"Pascual","given":"Unai"},{"family":"Pérez","given":"Edgar Selvin"},{"family":"Reyers","given":"Belinda"},{"family":"Roth","given":"Eva"},{"family":"Saito","given":"Osamu"},{"family":"Scholes","given":"Robert John"},{"family":"Sharma","given":"Nalini"},{"family":"Tallis","given":"Heather"},{"family":"Thaman","given":"Randolph"},{"family":"Watson","given":"Robert"},{"family":"Yahara","given":"Tetsukazu"},{"family":"Hamid","given":"Zakri Abdul"},{"family":"Akosim","given":"Callistus"},{"family":"Al-Hafedh","given":"Yousef"},{"family":"Allahverdiyev","given":"Rashad"},{"family":"Amankwah","given":"Edward"},{"family":"Asah","given":"Stanley T"},{"family":"Asfaw","given":"Zemede"},{"family":"Bartus","given":"Gabor"},{"family":"Brooks","given":"L Anathea"},{"family":"Caillaux","given":"Jorge"},{"family":"Dalle","given":"Gemedo"},{"family":"Darnaedi","given":"Dedy"},{"family":"Driver","given":"Amanda"},{"family":"Erpul","given":"Gunay"},{"family":"Escobar-Eyzaguirre","given":"Pablo"},{"family":"Failler","given":"Pierre"},{"family":"Fouda","given":"Ali Moustafa Mokhtar"},{"family":"Fu","given":"Bojie"},{"family":"Gundimeda","given":"Haripriya"},{"family":"Hashimoto","given":"Shizuka"},{"family":"Homer","given":"Floyd"},{"family":"Lavorel","given":"Sandra"},{"family":"Lichtenstein","given":"Gabriela"},{"family":"Mala","given":"William Armand"},{"family":"Mandivenyi","given":"Wadzanayi"},{"family":"Matczak","given":"Piotr"},{"family":"Mbizvo","given":"Carmel"},{"family":"Mehrdadi","given":"Mehrasa"},{"family":"Metzger","given":"Jean Paul"},{"family":"Mikissa","given":"Jean Bruno"},{"family":"Moller","given":"Henrik"},{"family":"Mooney","given":"Harold A"},{"family":"Mumby","given":"Peter"},{"family":"Nagendra","given":"Harini"},{"family":"Nesshover","given":"Carsten"},{"family":"Oteng-Yeboah","given":"Alfred Apau"},{"family":"Pataki","given":"György"},{"family":"Roué","given":"Marie"},{"family":"Rubis","given":"Jennifer"},{"family":"Schultz","given":"Maria"},{"family":"Smith","given":"Peggy"},{"family":"Sumaila","given":"Rashid"},{"family":"Takeuchi","given":"Kazuhiko"},{"family":"Thomas","given":"Spencer"},{"family":"Verma","given":"Madhu"},{"family":"Yeo-Chang","given":"Youn"},{"family":"Zlatanova","given":"Diana"}],"accessed":{"date-parts":[["2023",6,8]]},"issued":{"date-parts":[["2015",6,1]]}}}],"schema":"https://github.com/citation-style-language/schema/raw/master/csl-citation.json"} </w:instrText>
      </w:r>
      <w:r w:rsidRPr="6A2A8CB1">
        <w:rPr>
          <w:b w:val="0"/>
          <w:bCs w:val="0"/>
          <w:lang w:val="en-GB"/>
        </w:rPr>
        <w:fldChar w:fldCharType="separate"/>
      </w:r>
      <w:r w:rsidR="73B99EB6">
        <w:rPr>
          <w:b w:val="0"/>
          <w:bCs w:val="0"/>
        </w:rPr>
        <w:t>(Díaz et al., 2015)</w:t>
      </w:r>
      <w:r w:rsidRPr="6A2A8CB1">
        <w:rPr>
          <w:b w:val="0"/>
          <w:bCs w:val="0"/>
          <w:lang w:val="en-GB"/>
        </w:rPr>
        <w:fldChar w:fldCharType="end"/>
      </w:r>
      <w:r w:rsidR="7E87B5C6" w:rsidRPr="6A2A8CB1">
        <w:rPr>
          <w:b w:val="0"/>
          <w:bCs w:val="0"/>
          <w:lang w:val="en-GB"/>
        </w:rPr>
        <w:t xml:space="preserve"> under license CC BY-NC-SA 3.0</w:t>
      </w:r>
      <w:r w:rsidR="513F1B3E" w:rsidRPr="6A2A8CB1">
        <w:rPr>
          <w:b w:val="0"/>
          <w:bCs w:val="0"/>
          <w:lang w:val="en-GB"/>
        </w:rPr>
        <w:t xml:space="preserve">, adding focus </w:t>
      </w:r>
      <w:r w:rsidR="0536355C" w:rsidRPr="6A2A8CB1">
        <w:rPr>
          <w:b w:val="0"/>
          <w:bCs w:val="0"/>
          <w:lang w:val="en-GB"/>
        </w:rPr>
        <w:t xml:space="preserve">and </w:t>
      </w:r>
      <w:r w:rsidR="513F1B3E" w:rsidRPr="6A2A8CB1">
        <w:rPr>
          <w:b w:val="0"/>
          <w:bCs w:val="0"/>
          <w:lang w:val="en-GB"/>
        </w:rPr>
        <w:t xml:space="preserve">detail around how </w:t>
      </w:r>
      <w:r w:rsidR="373E12C3" w:rsidRPr="6A2A8CB1">
        <w:rPr>
          <w:b w:val="0"/>
          <w:bCs w:val="0"/>
          <w:lang w:val="en-GB"/>
        </w:rPr>
        <w:t xml:space="preserve">changes to </w:t>
      </w:r>
      <w:r w:rsidR="513F1B3E" w:rsidRPr="6A2A8CB1">
        <w:rPr>
          <w:b w:val="0"/>
          <w:bCs w:val="0"/>
          <w:lang w:val="en-GB"/>
        </w:rPr>
        <w:t xml:space="preserve">drivers and </w:t>
      </w:r>
      <w:r w:rsidR="12645827" w:rsidRPr="6A2A8CB1">
        <w:rPr>
          <w:b w:val="0"/>
          <w:bCs w:val="0"/>
          <w:lang w:val="en-GB"/>
        </w:rPr>
        <w:t xml:space="preserve">to </w:t>
      </w:r>
      <w:r w:rsidR="373E12C3" w:rsidRPr="6A2A8CB1">
        <w:rPr>
          <w:b w:val="0"/>
          <w:bCs w:val="0"/>
          <w:lang w:val="en-GB"/>
        </w:rPr>
        <w:t xml:space="preserve">nature may influence </w:t>
      </w:r>
      <w:r w:rsidR="513F1B3E" w:rsidRPr="6A2A8CB1">
        <w:rPr>
          <w:b w:val="0"/>
          <w:bCs w:val="0"/>
          <w:lang w:val="en-GB"/>
        </w:rPr>
        <w:t>invasive alien species</w:t>
      </w:r>
      <w:r w:rsidR="24453D6A" w:rsidRPr="6A2A8CB1">
        <w:rPr>
          <w:b w:val="0"/>
          <w:bCs w:val="0"/>
          <w:lang w:val="en-GB"/>
        </w:rPr>
        <w:t xml:space="preserve"> </w:t>
      </w:r>
      <w:r w:rsidR="2C47FE1E" w:rsidRPr="6A2A8CB1">
        <w:rPr>
          <w:b w:val="0"/>
          <w:bCs w:val="0"/>
          <w:lang w:val="en-GB"/>
        </w:rPr>
        <w:t>(</w:t>
      </w:r>
      <w:r w:rsidR="00BC3E6B" w:rsidRPr="00FC1BA2">
        <w:rPr>
          <w:b w:val="0"/>
          <w:bCs w:val="0"/>
          <w:lang w:val="en-GB"/>
        </w:rPr>
        <w:t>lighter</w:t>
      </w:r>
      <w:r w:rsidR="0E27B7D7" w:rsidRPr="6A2A8CB1">
        <w:rPr>
          <w:b w:val="0"/>
          <w:bCs w:val="0"/>
          <w:lang w:val="en-GB"/>
        </w:rPr>
        <w:t xml:space="preserve"> arrows)</w:t>
      </w:r>
      <w:r w:rsidR="513F1B3E" w:rsidRPr="6A2A8CB1">
        <w:rPr>
          <w:b w:val="0"/>
          <w:bCs w:val="0"/>
          <w:lang w:val="en-GB"/>
        </w:rPr>
        <w:t>.</w:t>
      </w:r>
      <w:r w:rsidR="0536355C" w:rsidRPr="6A2A8CB1">
        <w:rPr>
          <w:b w:val="0"/>
          <w:bCs w:val="0"/>
          <w:lang w:val="en-GB"/>
        </w:rPr>
        <w:t xml:space="preserve"> </w:t>
      </w:r>
      <w:r w:rsidR="72271E7A" w:rsidRPr="6A2A8CB1">
        <w:rPr>
          <w:b w:val="0"/>
          <w:bCs w:val="0"/>
          <w:lang w:val="en-GB"/>
        </w:rPr>
        <w:t>I</w:t>
      </w:r>
      <w:r w:rsidR="04E9103B" w:rsidRPr="6A2A8CB1">
        <w:rPr>
          <w:b w:val="0"/>
          <w:bCs w:val="0"/>
          <w:lang w:val="en-GB"/>
        </w:rPr>
        <w:t>n</w:t>
      </w:r>
      <w:r w:rsidR="72271E7A" w:rsidRPr="6A2A8CB1">
        <w:rPr>
          <w:b w:val="0"/>
          <w:bCs w:val="0"/>
          <w:lang w:val="en-GB"/>
        </w:rPr>
        <w:t>vasive alien species</w:t>
      </w:r>
      <w:r w:rsidR="4CD59945" w:rsidRPr="6A2A8CB1">
        <w:rPr>
          <w:b w:val="0"/>
          <w:bCs w:val="0"/>
          <w:lang w:val="en-GB"/>
        </w:rPr>
        <w:t xml:space="preserve"> </w:t>
      </w:r>
      <w:r w:rsidR="26C8E680" w:rsidRPr="6A2A8CB1">
        <w:rPr>
          <w:b w:val="0"/>
          <w:bCs w:val="0"/>
          <w:lang w:val="en-GB"/>
        </w:rPr>
        <w:t xml:space="preserve">are classified as </w:t>
      </w:r>
      <w:r w:rsidR="0536355C" w:rsidRPr="6A2A8CB1">
        <w:rPr>
          <w:b w:val="0"/>
          <w:bCs w:val="0"/>
          <w:lang w:val="en-GB"/>
        </w:rPr>
        <w:t xml:space="preserve">one of five </w:t>
      </w:r>
      <w:r w:rsidR="26C8E680" w:rsidRPr="6A2A8CB1">
        <w:rPr>
          <w:b w:val="0"/>
          <w:bCs w:val="0"/>
          <w:lang w:val="en-GB"/>
        </w:rPr>
        <w:t>direc</w:t>
      </w:r>
      <w:r w:rsidR="0536355C" w:rsidRPr="6A2A8CB1">
        <w:rPr>
          <w:b w:val="0"/>
          <w:bCs w:val="0"/>
          <w:lang w:val="en-GB"/>
        </w:rPr>
        <w:t xml:space="preserve">t anthropogenic drivers of </w:t>
      </w:r>
      <w:r w:rsidR="4DBD0439" w:rsidRPr="6A2A8CB1">
        <w:rPr>
          <w:b w:val="0"/>
          <w:bCs w:val="0"/>
          <w:lang w:val="en-GB"/>
        </w:rPr>
        <w:t>change</w:t>
      </w:r>
      <w:r w:rsidR="1E687174" w:rsidRPr="6A2A8CB1">
        <w:rPr>
          <w:b w:val="0"/>
          <w:bCs w:val="0"/>
          <w:lang w:val="en-GB"/>
        </w:rPr>
        <w:t xml:space="preserve"> in nature</w:t>
      </w:r>
      <w:r w:rsidR="4DBD0439" w:rsidRPr="6A2A8CB1">
        <w:rPr>
          <w:b w:val="0"/>
          <w:bCs w:val="0"/>
          <w:lang w:val="en-GB"/>
        </w:rPr>
        <w:t>;</w:t>
      </w:r>
      <w:r w:rsidR="0536355C" w:rsidRPr="6A2A8CB1">
        <w:rPr>
          <w:b w:val="0"/>
          <w:bCs w:val="0"/>
          <w:lang w:val="en-GB"/>
        </w:rPr>
        <w:t xml:space="preserve"> </w:t>
      </w:r>
      <w:r w:rsidR="2E29FE0E" w:rsidRPr="6A2A8CB1">
        <w:rPr>
          <w:b w:val="0"/>
          <w:bCs w:val="0"/>
          <w:lang w:val="en-GB"/>
        </w:rPr>
        <w:t>therefore,</w:t>
      </w:r>
      <w:r w:rsidR="06E6E54B" w:rsidRPr="6A2A8CB1">
        <w:rPr>
          <w:b w:val="0"/>
          <w:bCs w:val="0"/>
          <w:lang w:val="en-GB"/>
        </w:rPr>
        <w:t xml:space="preserve"> </w:t>
      </w:r>
      <w:r w:rsidR="24453D6A" w:rsidRPr="6A2A8CB1">
        <w:rPr>
          <w:b w:val="0"/>
          <w:bCs w:val="0"/>
          <w:lang w:val="en-GB"/>
        </w:rPr>
        <w:t>they can be influ</w:t>
      </w:r>
      <w:r w:rsidR="4E87A7F1" w:rsidRPr="6A2A8CB1">
        <w:rPr>
          <w:b w:val="0"/>
          <w:bCs w:val="0"/>
          <w:lang w:val="en-GB"/>
        </w:rPr>
        <w:t>enced both directly and indire</w:t>
      </w:r>
      <w:r w:rsidR="6D980557" w:rsidRPr="6A2A8CB1">
        <w:rPr>
          <w:b w:val="0"/>
          <w:bCs w:val="0"/>
          <w:lang w:val="en-GB"/>
        </w:rPr>
        <w:t>ctly (via other direct drivers)</w:t>
      </w:r>
      <w:r w:rsidR="0ED7378E" w:rsidRPr="6A2A8CB1">
        <w:rPr>
          <w:b w:val="0"/>
          <w:bCs w:val="0"/>
          <w:lang w:val="en-GB"/>
        </w:rPr>
        <w:t xml:space="preserve"> </w:t>
      </w:r>
      <w:r w:rsidR="1292C2D3" w:rsidRPr="6A2A8CB1">
        <w:rPr>
          <w:b w:val="0"/>
          <w:bCs w:val="0"/>
          <w:lang w:val="en-GB"/>
        </w:rPr>
        <w:t xml:space="preserve">by </w:t>
      </w:r>
      <w:r w:rsidR="24453D6A" w:rsidRPr="6A2A8CB1">
        <w:rPr>
          <w:b w:val="0"/>
          <w:bCs w:val="0"/>
          <w:lang w:val="en-GB"/>
        </w:rPr>
        <w:t>i</w:t>
      </w:r>
      <w:r w:rsidRPr="6A2A8CB1">
        <w:rPr>
          <w:b w:val="0"/>
          <w:bCs w:val="0"/>
          <w:lang w:val="en-GB"/>
        </w:rPr>
        <w:t>ndirect drivers of change</w:t>
      </w:r>
      <w:r w:rsidR="1F427CB6" w:rsidRPr="6A2A8CB1">
        <w:rPr>
          <w:b w:val="0"/>
          <w:bCs w:val="0"/>
          <w:lang w:val="en-GB"/>
        </w:rPr>
        <w:t xml:space="preserve"> in nature</w:t>
      </w:r>
      <w:r w:rsidRPr="6A2A8CB1">
        <w:rPr>
          <w:b w:val="0"/>
          <w:bCs w:val="0"/>
          <w:lang w:val="en-GB"/>
        </w:rPr>
        <w:t>.</w:t>
      </w:r>
      <w:r w:rsidR="42BB25C5" w:rsidRPr="6A2A8CB1">
        <w:rPr>
          <w:b w:val="0"/>
          <w:bCs w:val="0"/>
          <w:lang w:val="en-GB"/>
        </w:rPr>
        <w:t xml:space="preserve"> </w:t>
      </w:r>
      <w:r w:rsidR="248C01BD" w:rsidRPr="6A2A8CB1">
        <w:rPr>
          <w:b w:val="0"/>
          <w:bCs w:val="0"/>
          <w:lang w:val="en-GB"/>
        </w:rPr>
        <w:t>Biological invasions may also be influenced by a</w:t>
      </w:r>
      <w:r w:rsidR="7EF41A38" w:rsidRPr="6A2A8CB1">
        <w:rPr>
          <w:b w:val="0"/>
          <w:bCs w:val="0"/>
          <w:lang w:val="en-GB"/>
        </w:rPr>
        <w:t xml:space="preserve">ll </w:t>
      </w:r>
      <w:r w:rsidR="54F7C07D" w:rsidRPr="6A2A8CB1">
        <w:rPr>
          <w:b w:val="0"/>
          <w:bCs w:val="0"/>
          <w:lang w:val="en-GB"/>
        </w:rPr>
        <w:t xml:space="preserve">direct </w:t>
      </w:r>
      <w:r w:rsidR="067C1E4A" w:rsidRPr="6A2A8CB1">
        <w:rPr>
          <w:b w:val="0"/>
          <w:bCs w:val="0"/>
          <w:lang w:val="en-GB"/>
        </w:rPr>
        <w:t>drivers of change in nature</w:t>
      </w:r>
      <w:r w:rsidR="79260992" w:rsidRPr="6A2A8CB1">
        <w:rPr>
          <w:b w:val="0"/>
          <w:bCs w:val="0"/>
          <w:lang w:val="en-GB"/>
        </w:rPr>
        <w:t>, including invasive alien species,</w:t>
      </w:r>
      <w:r w:rsidR="248C01BD" w:rsidRPr="6A2A8CB1">
        <w:rPr>
          <w:b w:val="0"/>
          <w:bCs w:val="0"/>
          <w:lang w:val="en-GB"/>
        </w:rPr>
        <w:t xml:space="preserve"> </w:t>
      </w:r>
      <w:r w:rsidR="4798CE2C" w:rsidRPr="6A2A8CB1">
        <w:rPr>
          <w:b w:val="0"/>
          <w:bCs w:val="0"/>
          <w:lang w:val="en-GB"/>
        </w:rPr>
        <w:t xml:space="preserve">and </w:t>
      </w:r>
      <w:r w:rsidR="73A29A0C" w:rsidRPr="6A2A8CB1">
        <w:rPr>
          <w:b w:val="0"/>
          <w:bCs w:val="0"/>
          <w:lang w:val="en-GB"/>
        </w:rPr>
        <w:t xml:space="preserve">by </w:t>
      </w:r>
      <w:r w:rsidR="44B4B64C" w:rsidRPr="6A2A8CB1">
        <w:rPr>
          <w:b w:val="0"/>
          <w:bCs w:val="0"/>
          <w:lang w:val="en-GB"/>
        </w:rPr>
        <w:t>n</w:t>
      </w:r>
      <w:r w:rsidRPr="6A2A8CB1">
        <w:rPr>
          <w:b w:val="0"/>
          <w:bCs w:val="0"/>
          <w:lang w:val="en-GB"/>
        </w:rPr>
        <w:t>atural drivers (</w:t>
      </w:r>
      <w:r w:rsidR="3C86B675" w:rsidRPr="6A2A8CB1">
        <w:rPr>
          <w:b w:val="0"/>
          <w:bCs w:val="0"/>
          <w:lang w:val="en-GB"/>
        </w:rPr>
        <w:t>esp</w:t>
      </w:r>
      <w:r w:rsidR="476EFCDA" w:rsidRPr="6A2A8CB1">
        <w:rPr>
          <w:b w:val="0"/>
          <w:bCs w:val="0"/>
          <w:lang w:val="en-GB"/>
        </w:rPr>
        <w:t>e</w:t>
      </w:r>
      <w:r w:rsidR="3C86B675" w:rsidRPr="6A2A8CB1">
        <w:rPr>
          <w:b w:val="0"/>
          <w:bCs w:val="0"/>
          <w:lang w:val="en-GB"/>
        </w:rPr>
        <w:t xml:space="preserve">cially natural </w:t>
      </w:r>
      <w:r w:rsidRPr="6A2A8CB1">
        <w:rPr>
          <w:b w:val="0"/>
          <w:bCs w:val="0"/>
          <w:lang w:val="en-GB"/>
        </w:rPr>
        <w:t>hazards). Finally, there can also</w:t>
      </w:r>
      <w:r w:rsidR="3A35C2CB" w:rsidRPr="6A2A8CB1">
        <w:rPr>
          <w:b w:val="0"/>
          <w:bCs w:val="0"/>
          <w:lang w:val="en-GB"/>
        </w:rPr>
        <w:t xml:space="preserve"> be feedbacks from nature (</w:t>
      </w:r>
      <w:r w:rsidRPr="6A2A8CB1">
        <w:rPr>
          <w:b w:val="0"/>
          <w:bCs w:val="0"/>
          <w:lang w:val="en-GB"/>
        </w:rPr>
        <w:t>biodiversity and ecosystems</w:t>
      </w:r>
      <w:r w:rsidR="4101C2C7" w:rsidRPr="6A2A8CB1">
        <w:rPr>
          <w:b w:val="0"/>
          <w:bCs w:val="0"/>
          <w:lang w:val="en-GB"/>
        </w:rPr>
        <w:t>)</w:t>
      </w:r>
      <w:r w:rsidRPr="6A2A8CB1">
        <w:rPr>
          <w:b w:val="0"/>
          <w:bCs w:val="0"/>
          <w:lang w:val="en-GB"/>
        </w:rPr>
        <w:t xml:space="preserve"> to invasive alien species, for example, biodiversity loss or </w:t>
      </w:r>
      <w:r w:rsidR="28FEDF29" w:rsidRPr="6A2A8CB1">
        <w:rPr>
          <w:b w:val="0"/>
          <w:bCs w:val="0"/>
          <w:lang w:val="en-GB"/>
        </w:rPr>
        <w:t>invasive alien species</w:t>
      </w:r>
      <w:r w:rsidR="53499C94" w:rsidRPr="6A2A8CB1">
        <w:rPr>
          <w:b w:val="0"/>
          <w:bCs w:val="0"/>
          <w:lang w:val="en-GB"/>
        </w:rPr>
        <w:t xml:space="preserve"> </w:t>
      </w:r>
      <w:r w:rsidRPr="6A2A8CB1">
        <w:rPr>
          <w:b w:val="0"/>
          <w:bCs w:val="0"/>
          <w:lang w:val="en-GB"/>
        </w:rPr>
        <w:t xml:space="preserve">can make ecosystems less resistant to further </w:t>
      </w:r>
      <w:r w:rsidR="078595CE" w:rsidRPr="6A2A8CB1">
        <w:rPr>
          <w:b w:val="0"/>
          <w:bCs w:val="0"/>
          <w:lang w:val="en-GB"/>
        </w:rPr>
        <w:t>invasive alien species</w:t>
      </w:r>
      <w:r w:rsidRPr="6A2A8CB1">
        <w:rPr>
          <w:b w:val="0"/>
          <w:bCs w:val="0"/>
          <w:lang w:val="en-GB"/>
        </w:rPr>
        <w:t xml:space="preserve">. </w:t>
      </w:r>
      <w:r w:rsidR="55A2033D" w:rsidRPr="6A2A8CB1">
        <w:rPr>
          <w:b w:val="0"/>
          <w:bCs w:val="0"/>
          <w:lang w:val="en-GB"/>
        </w:rPr>
        <w:t xml:space="preserve">Invasive alien species are therefore both a </w:t>
      </w:r>
      <w:r w:rsidR="4B409F01" w:rsidRPr="6A2A8CB1">
        <w:rPr>
          <w:b w:val="0"/>
          <w:bCs w:val="0"/>
          <w:lang w:val="en-GB"/>
        </w:rPr>
        <w:t>driver of change in nature</w:t>
      </w:r>
      <w:r w:rsidR="55A2033D" w:rsidRPr="6A2A8CB1">
        <w:rPr>
          <w:b w:val="0"/>
          <w:bCs w:val="0"/>
          <w:lang w:val="en-GB"/>
        </w:rPr>
        <w:t xml:space="preserve"> and part of nature (dotted lines). </w:t>
      </w:r>
      <w:r w:rsidR="00BC3E6B" w:rsidRPr="00FC1BA2">
        <w:rPr>
          <w:b w:val="0"/>
          <w:bCs w:val="0"/>
          <w:lang w:val="en-GB"/>
        </w:rPr>
        <w:t>Lighter</w:t>
      </w:r>
      <w:r w:rsidRPr="6A2A8CB1">
        <w:rPr>
          <w:b w:val="0"/>
          <w:bCs w:val="0"/>
          <w:lang w:val="en-GB"/>
        </w:rPr>
        <w:t xml:space="preserve"> arrows indicate the focal </w:t>
      </w:r>
      <w:r w:rsidR="55002192" w:rsidRPr="6A2A8CB1">
        <w:rPr>
          <w:b w:val="0"/>
          <w:bCs w:val="0"/>
          <w:lang w:val="en-GB"/>
        </w:rPr>
        <w:t xml:space="preserve">causal </w:t>
      </w:r>
      <w:r w:rsidRPr="6A2A8CB1">
        <w:rPr>
          <w:b w:val="0"/>
          <w:bCs w:val="0"/>
          <w:lang w:val="en-GB"/>
        </w:rPr>
        <w:t>re</w:t>
      </w:r>
      <w:r w:rsidR="0887AFC9" w:rsidRPr="6A2A8CB1">
        <w:rPr>
          <w:b w:val="0"/>
          <w:bCs w:val="0"/>
          <w:lang w:val="en-GB"/>
        </w:rPr>
        <w:t>l</w:t>
      </w:r>
      <w:r w:rsidRPr="6A2A8CB1">
        <w:rPr>
          <w:b w:val="0"/>
          <w:bCs w:val="0"/>
          <w:lang w:val="en-GB"/>
        </w:rPr>
        <w:t>ation</w:t>
      </w:r>
      <w:r w:rsidR="0B8E7B7A" w:rsidRPr="6A2A8CB1">
        <w:rPr>
          <w:b w:val="0"/>
          <w:bCs w:val="0"/>
          <w:lang w:val="en-GB"/>
        </w:rPr>
        <w:t>s</w:t>
      </w:r>
      <w:r w:rsidRPr="6A2A8CB1">
        <w:rPr>
          <w:b w:val="0"/>
          <w:bCs w:val="0"/>
          <w:lang w:val="en-GB"/>
        </w:rPr>
        <w:t>hips</w:t>
      </w:r>
      <w:r w:rsidR="6B45DD63" w:rsidRPr="6A2A8CB1">
        <w:rPr>
          <w:b w:val="0"/>
          <w:bCs w:val="0"/>
          <w:lang w:val="en-GB"/>
        </w:rPr>
        <w:t xml:space="preserve"> </w:t>
      </w:r>
      <w:r w:rsidR="790A0AE9" w:rsidRPr="6A2A8CB1">
        <w:rPr>
          <w:b w:val="0"/>
          <w:bCs w:val="0"/>
          <w:lang w:val="en-GB"/>
        </w:rPr>
        <w:t>of this chapter</w:t>
      </w:r>
      <w:r w:rsidR="11282565" w:rsidRPr="6A2A8CB1">
        <w:rPr>
          <w:b w:val="0"/>
          <w:bCs w:val="0"/>
          <w:lang w:val="en-GB"/>
        </w:rPr>
        <w:t>,</w:t>
      </w:r>
      <w:r w:rsidR="790A0AE9" w:rsidRPr="6A2A8CB1">
        <w:rPr>
          <w:b w:val="0"/>
          <w:bCs w:val="0"/>
          <w:lang w:val="en-GB"/>
        </w:rPr>
        <w:t xml:space="preserve"> </w:t>
      </w:r>
      <w:r w:rsidR="6B45DD63" w:rsidRPr="6A2A8CB1">
        <w:rPr>
          <w:b w:val="0"/>
          <w:bCs w:val="0"/>
          <w:lang w:val="en-GB"/>
        </w:rPr>
        <w:t>within the context of the IPBES conceptual framework</w:t>
      </w:r>
      <w:r w:rsidR="381E584F" w:rsidRPr="6A2A8CB1">
        <w:rPr>
          <w:b w:val="0"/>
          <w:bCs w:val="0"/>
          <w:lang w:val="en-GB"/>
        </w:rPr>
        <w:t>,</w:t>
      </w:r>
      <w:r w:rsidR="1936F891" w:rsidRPr="6A2A8CB1">
        <w:rPr>
          <w:b w:val="0"/>
          <w:bCs w:val="0"/>
          <w:lang w:val="en-GB"/>
        </w:rPr>
        <w:t xml:space="preserve"> </w:t>
      </w:r>
      <w:r w:rsidR="00BC3E6B">
        <w:rPr>
          <w:b w:val="0"/>
          <w:bCs w:val="0"/>
          <w:lang w:val="en-GB"/>
        </w:rPr>
        <w:t>darker</w:t>
      </w:r>
      <w:r w:rsidR="4768C181" w:rsidRPr="6A2A8CB1">
        <w:rPr>
          <w:b w:val="0"/>
          <w:bCs w:val="0"/>
          <w:lang w:val="en-GB"/>
        </w:rPr>
        <w:t xml:space="preserve"> </w:t>
      </w:r>
      <w:r w:rsidR="1936F891" w:rsidRPr="6A2A8CB1">
        <w:rPr>
          <w:b w:val="0"/>
          <w:bCs w:val="0"/>
          <w:lang w:val="en-GB"/>
        </w:rPr>
        <w:t xml:space="preserve">arrows denote </w:t>
      </w:r>
      <w:r w:rsidR="08915380" w:rsidRPr="6A2A8CB1">
        <w:rPr>
          <w:b w:val="0"/>
          <w:bCs w:val="0"/>
          <w:lang w:val="en-GB"/>
        </w:rPr>
        <w:t xml:space="preserve">additional </w:t>
      </w:r>
      <w:r w:rsidR="1936F891" w:rsidRPr="6A2A8CB1">
        <w:rPr>
          <w:b w:val="0"/>
          <w:bCs w:val="0"/>
          <w:lang w:val="en-GB"/>
        </w:rPr>
        <w:t xml:space="preserve">causal links </w:t>
      </w:r>
      <w:r w:rsidR="2D3EF1B4" w:rsidRPr="6A2A8CB1">
        <w:rPr>
          <w:b w:val="0"/>
          <w:bCs w:val="0"/>
          <w:lang w:val="en-GB"/>
        </w:rPr>
        <w:t>among</w:t>
      </w:r>
      <w:r w:rsidR="1936F891" w:rsidRPr="6A2A8CB1">
        <w:rPr>
          <w:b w:val="0"/>
          <w:bCs w:val="0"/>
          <w:lang w:val="en-GB"/>
        </w:rPr>
        <w:t xml:space="preserve"> </w:t>
      </w:r>
      <w:r w:rsidR="2D3EF1B4" w:rsidRPr="6A2A8CB1">
        <w:rPr>
          <w:b w:val="0"/>
          <w:bCs w:val="0"/>
          <w:lang w:val="en-GB"/>
        </w:rPr>
        <w:t xml:space="preserve">drivers and </w:t>
      </w:r>
      <w:r w:rsidR="3AFB8759" w:rsidRPr="6A2A8CB1">
        <w:rPr>
          <w:b w:val="0"/>
          <w:bCs w:val="0"/>
          <w:lang w:val="en-GB"/>
        </w:rPr>
        <w:t xml:space="preserve">between drivers and </w:t>
      </w:r>
      <w:r w:rsidR="2D3EF1B4" w:rsidRPr="6A2A8CB1">
        <w:rPr>
          <w:b w:val="0"/>
          <w:bCs w:val="0"/>
          <w:lang w:val="en-GB"/>
        </w:rPr>
        <w:t>nature</w:t>
      </w:r>
      <w:r w:rsidR="1936F891" w:rsidRPr="6A2A8CB1">
        <w:rPr>
          <w:b w:val="0"/>
          <w:bCs w:val="0"/>
          <w:lang w:val="en-GB"/>
        </w:rPr>
        <w:t xml:space="preserve"> covered in the IPBES </w:t>
      </w:r>
      <w:r w:rsidR="2587081A" w:rsidRPr="6A2A8CB1">
        <w:rPr>
          <w:b w:val="0"/>
          <w:bCs w:val="0"/>
          <w:lang w:val="en-GB"/>
        </w:rPr>
        <w:t>G</w:t>
      </w:r>
      <w:r w:rsidR="1936F891" w:rsidRPr="6A2A8CB1">
        <w:rPr>
          <w:b w:val="0"/>
          <w:bCs w:val="0"/>
          <w:lang w:val="en-GB"/>
        </w:rPr>
        <w:t xml:space="preserve">lobal </w:t>
      </w:r>
      <w:r w:rsidR="2587081A" w:rsidRPr="6A2A8CB1">
        <w:rPr>
          <w:b w:val="0"/>
          <w:bCs w:val="0"/>
          <w:lang w:val="en-GB"/>
        </w:rPr>
        <w:t>A</w:t>
      </w:r>
      <w:r w:rsidR="1936F891" w:rsidRPr="6A2A8CB1">
        <w:rPr>
          <w:b w:val="0"/>
          <w:bCs w:val="0"/>
          <w:lang w:val="en-GB"/>
        </w:rPr>
        <w:t>sse</w:t>
      </w:r>
      <w:r w:rsidR="00ACD249" w:rsidRPr="6A2A8CB1">
        <w:rPr>
          <w:b w:val="0"/>
          <w:bCs w:val="0"/>
          <w:lang w:val="en-GB"/>
        </w:rPr>
        <w:t>ss</w:t>
      </w:r>
      <w:r w:rsidR="1936F891" w:rsidRPr="6A2A8CB1">
        <w:rPr>
          <w:b w:val="0"/>
          <w:bCs w:val="0"/>
          <w:lang w:val="en-GB"/>
        </w:rPr>
        <w:t xml:space="preserve">ment </w:t>
      </w:r>
      <w:r w:rsidRPr="6A2A8CB1">
        <w:rPr>
          <w:b w:val="0"/>
          <w:bCs w:val="0"/>
          <w:lang w:val="en-GB"/>
        </w:rPr>
        <w:fldChar w:fldCharType="begin"/>
      </w:r>
      <w:r w:rsidR="00F5121E">
        <w:rPr>
          <w:b w:val="0"/>
          <w:bCs w:val="0"/>
          <w:lang w:val="en-GB"/>
        </w:rPr>
        <w:instrText xml:space="preserve"> ADDIN ZOTERO_ITEM CSL_CITATION {"citationID":"qydzAARO","properties":{"formattedCitation":"(IPBES, 2019)","plainCitation":"(IPBES, 2019)","noteIndex":0},"citationItems":[{"id":53933,"uris":["http://zotero.org/groups/2352922/items/JYFISR8Z","http://zotero.org/groups/2352922/items/ZACZGHZL"],"itemData":{"id":53933,"type":"report","abstract":"IPBES is to perform regular and timely assessments of knowledge on biodiversity and ecosystem services and their interlinkages at the global level. Also addressing an invitation by the Conference of the Parties of the Convention on Biological Diversity (CBD) to prepare a global assessment of biodiversity and ecosystem services building, inter alia, on its own and other relevant regional, subregional and thematic assessments, as well as on national reports. The overall scope of the assessment is to assess the status and trends with regard to biodiversity and ecosystem services, the impact of biodiversity and ecosystem services on human well-being and the effectiveness of responses, including the Strategic Plan and its Aichi Biodiversity Targets. It is anticipated that this deliverable will contribute to the process for the evaluation and renewal of the Strategic Plan for Biodiversity and its Aichi Biodiversity Targets. The IPBES Global Assessment on Biodiversity and Ecosystem Services is composed of 1) a Summary for Policymakers (SPM), approved by the IPBES Plenary at its 7th session in May 2019 in Paris, France (IPBES-7); and 2) a set of six Chapters, accepted by the IPBES Plenary.","language":"en","license":"Creative Commons Attribution 4.0 International, Open Access","note":"Version Number 1\nDOI: 10.5281/ZENODO.3831673","publisher":"Secretariat of the Intergovernmental Science-Policy Platform on Biodiversity and Ecosystem Services","source":"DOI.org (Datacite)","title":"Global assessment report on biodiversity and ecosystem services of the Intergovernmental Science-Policy Platform on Biodiversity and Ecosystem Services","URL":"https://zenodo.org/record/3831673","author":[{"literal":"IPBES"}],"contributor":[{"family":"Brondizio","given":"Eduardo"},{"family":"Diaz","given":"Sandra"},{"family":"Settele","given":"Josef"},{"family":"Ngo","given":"Hien T."}],"accessed":{"date-parts":[["2023",1,5]]},"issued":{"date-parts":[["2019"]]}}}],"schema":"https://github.com/citation-style-language/schema/raw/master/csl-citation.json"} </w:instrText>
      </w:r>
      <w:r w:rsidRPr="6A2A8CB1">
        <w:rPr>
          <w:b w:val="0"/>
          <w:bCs w:val="0"/>
          <w:lang w:val="en-GB"/>
        </w:rPr>
        <w:fldChar w:fldCharType="separate"/>
      </w:r>
      <w:r w:rsidR="73B99EB6">
        <w:rPr>
          <w:b w:val="0"/>
          <w:bCs w:val="0"/>
        </w:rPr>
        <w:t>(IPBES, 2019)</w:t>
      </w:r>
      <w:r w:rsidRPr="6A2A8CB1">
        <w:rPr>
          <w:b w:val="0"/>
          <w:bCs w:val="0"/>
          <w:lang w:val="en-GB"/>
        </w:rPr>
        <w:fldChar w:fldCharType="end"/>
      </w:r>
      <w:r w:rsidR="2587081A" w:rsidRPr="6A2A8CB1">
        <w:rPr>
          <w:b w:val="0"/>
          <w:bCs w:val="0"/>
          <w:lang w:val="en-GB"/>
        </w:rPr>
        <w:t>.</w:t>
      </w:r>
      <w:bookmarkEnd w:id="16"/>
    </w:p>
    <w:p w14:paraId="634D77D3" w14:textId="77777777" w:rsidR="00066BF9" w:rsidRPr="00DA249F" w:rsidRDefault="58DB5B63" w:rsidP="00375B42">
      <w:pPr>
        <w:pStyle w:val="Heading2"/>
        <w:rPr>
          <w:lang w:val="en-GB"/>
        </w:rPr>
      </w:pPr>
      <w:bookmarkStart w:id="17" w:name="_Toc69218547"/>
      <w:bookmarkStart w:id="18" w:name="_Toc69312053"/>
      <w:bookmarkStart w:id="19" w:name="_Toc44317786"/>
      <w:bookmarkEnd w:id="17"/>
      <w:bookmarkEnd w:id="18"/>
      <w:r w:rsidRPr="5575EBFC">
        <w:rPr>
          <w:lang w:val="en-GB"/>
        </w:rPr>
        <w:t xml:space="preserve"> </w:t>
      </w:r>
      <w:bookmarkStart w:id="20" w:name="_Toc146898458"/>
      <w:r w:rsidR="4DABAA71" w:rsidRPr="5575EBFC">
        <w:rPr>
          <w:lang w:val="en-GB"/>
        </w:rPr>
        <w:t xml:space="preserve">Identifying </w:t>
      </w:r>
      <w:r w:rsidR="653902EA" w:rsidRPr="5575EBFC">
        <w:rPr>
          <w:lang w:val="en-GB"/>
        </w:rPr>
        <w:t>drivers of change in nature</w:t>
      </w:r>
      <w:r w:rsidR="7245BD9E" w:rsidRPr="5575EBFC">
        <w:rPr>
          <w:lang w:val="en-GB"/>
        </w:rPr>
        <w:t xml:space="preserve"> </w:t>
      </w:r>
      <w:bookmarkEnd w:id="19"/>
      <w:r w:rsidR="7AE54924" w:rsidRPr="5575EBFC">
        <w:rPr>
          <w:lang w:val="en-GB"/>
        </w:rPr>
        <w:t xml:space="preserve">of relevance for </w:t>
      </w:r>
      <w:r w:rsidR="36AD8280" w:rsidRPr="5575EBFC">
        <w:rPr>
          <w:lang w:val="en-GB"/>
        </w:rPr>
        <w:t>invasive alien specie</w:t>
      </w:r>
      <w:r w:rsidR="4ADE7768" w:rsidRPr="5575EBFC">
        <w:rPr>
          <w:lang w:val="en-GB"/>
        </w:rPr>
        <w:t>s</w:t>
      </w:r>
      <w:bookmarkEnd w:id="20"/>
    </w:p>
    <w:p w14:paraId="2DFABAFC" w14:textId="501C086A" w:rsidR="00943B37" w:rsidRPr="00DA249F" w:rsidRDefault="32C29658" w:rsidP="0090109B">
      <w:pPr>
        <w:rPr>
          <w:lang w:val="en-GB"/>
        </w:rPr>
      </w:pPr>
      <w:r w:rsidRPr="728F2DAF">
        <w:rPr>
          <w:lang w:val="en-GB"/>
        </w:rPr>
        <w:t>C</w:t>
      </w:r>
      <w:r w:rsidR="184C1202" w:rsidRPr="728F2DAF">
        <w:rPr>
          <w:lang w:val="en-GB"/>
        </w:rPr>
        <w:t>hapter 3 ad</w:t>
      </w:r>
      <w:r w:rsidR="60554EB2" w:rsidRPr="728F2DAF">
        <w:rPr>
          <w:lang w:val="en-GB"/>
        </w:rPr>
        <w:t>a</w:t>
      </w:r>
      <w:r w:rsidR="184C1202" w:rsidRPr="728F2DAF">
        <w:rPr>
          <w:lang w:val="en-GB"/>
        </w:rPr>
        <w:t xml:space="preserve">pts the IPBES </w:t>
      </w:r>
      <w:r w:rsidR="708B822D" w:rsidRPr="728F2DAF">
        <w:rPr>
          <w:lang w:val="en-GB"/>
        </w:rPr>
        <w:t>conceptual</w:t>
      </w:r>
      <w:r w:rsidR="184C1202" w:rsidRPr="728F2DAF">
        <w:rPr>
          <w:lang w:val="en-GB"/>
        </w:rPr>
        <w:t xml:space="preserve"> framework, recognizing that invasive alien species are, simultaneously, one of the five </w:t>
      </w:r>
      <w:r w:rsidR="2E471A49" w:rsidRPr="728F2DAF">
        <w:rPr>
          <w:lang w:val="en-GB"/>
        </w:rPr>
        <w:t xml:space="preserve">main </w:t>
      </w:r>
      <w:r w:rsidR="184C1202" w:rsidRPr="728F2DAF">
        <w:rPr>
          <w:lang w:val="en-GB"/>
        </w:rPr>
        <w:t>direct drivers</w:t>
      </w:r>
      <w:r w:rsidR="2E471A49" w:rsidRPr="728F2DAF">
        <w:rPr>
          <w:lang w:val="en-GB"/>
        </w:rPr>
        <w:t xml:space="preserve"> identified</w:t>
      </w:r>
      <w:r w:rsidR="184C1202" w:rsidRPr="728F2DAF">
        <w:rPr>
          <w:lang w:val="en-GB"/>
        </w:rPr>
        <w:t xml:space="preserve"> </w:t>
      </w:r>
      <w:r w:rsidR="38EA634F" w:rsidRPr="728F2DAF">
        <w:rPr>
          <w:lang w:val="en-GB"/>
        </w:rPr>
        <w:t>by</w:t>
      </w:r>
      <w:r w:rsidR="184C1202" w:rsidRPr="728F2DAF">
        <w:rPr>
          <w:lang w:val="en-GB"/>
        </w:rPr>
        <w:t xml:space="preserve"> IPBES </w:t>
      </w:r>
      <w:r w:rsidR="009823F7" w:rsidRPr="728F2DAF">
        <w:rPr>
          <w:lang w:val="en-GB"/>
        </w:rPr>
        <w:fldChar w:fldCharType="begin"/>
      </w:r>
      <w:r w:rsidR="00230216">
        <w:rPr>
          <w:lang w:val="en-GB"/>
        </w:rPr>
        <w:instrText xml:space="preserve"> ADDIN ZOTERO_ITEM CSL_CITATION {"citationID":"niL0xMDo","properties":{"formattedCitation":"(D\\uc0\\u237{}az et al., 2015, 2018; IPBES, 2019)","plainCitation":"(Díaz et al., 2015, 2018; IPBES, 2019)","noteIndex":0},"citationItems":[{"id":56276,"uris":["http://zotero.org/groups/2352922/items/RVMHP3KG","http://zotero.org/groups/2352922/items/MTRKLN42","http://zotero.org/groups/2352922/items/M2BU94IG"],"itemData":{"id":56276,"type":"article-journal","abstract":"The first public product of the Intergovernmental Platform on Biodiversity and Ecosystem Services (IPBES) is its Conceptual Framework. This conceptual and analytical tool, presented here in detail, will underpin all IPBES functions and provide structure and comparability to the syntheses that IPBES will produce at different spatial scales, on different themes, and in different regions. Salient innovative aspects of the IPBES Conceptual Framework are its transparent and participatory construction process and its explicit consideration of diverse scientific disciplines, stakeholders, and knowledge systems, including indigenous and local knowledge. Because the focus on co-construction of integrative knowledge is shared by an increasing number of initiatives worldwide, this framework should be useful beyond IPBES, for the wider research and knowledge-policy communities working on the links between nature and people, such as natural, social and engineering scientists, policy-makers at different levels, and decision-makers in different sectors of society.","collection-title":"Open Issue","container-title":"Current Opinion in Environmental Sustainability","DOI":"10.1016/j.cosust.2014.11.002","ISSN":"1877-3435","journalAbbreviation":"Current Opinion in Environmental Sustainability","language":"en","page":"1-16","source":"ScienceDirect","title":"The IPBES Conceptual Framework — connecting nature and people","URL":"https://doi.org/10.1016/j.cosust.2014.11.002","volume":"14","author":[{"family":"Díaz","given":"Sandra"},{"family":"Demissew","given":"Sebsebe"},{"family":"Carabias","given":"Julia"},{"family":"Joly","given":"Carlos"},{"family":"Lonsdale","given":"Mark"},{"family":"Ash","given":"Neville"},{"family":"Larigauderie","given":"Anne"},{"family":"Adhikari","given":"Jay Ram"},{"family":"Arico","given":"Salvatore"},{"family":"Báldi","given":"András"},{"family":"Bartuska","given":"Ann"},{"family":"Baste","given":"Ivar Andreas"},{"family":"Bilgin","given":"Adem"},{"family":"Brondizio","given":"Eduardo"},{"family":"Chan","given":"Kai MA"},{"family":"Figueroa","given":"Viviana Elsa"},{"family":"Duraiappah","given":"Anantha"},{"family":"Fischer","given":"Markus"},{"family":"Hill","given":"Rosemary"},{"family":"Koetz","given":"Thomas"},{"family":"Leadley","given":"Paul"},{"family":"Lyver","given":"Philip"},{"family":"Mace","given":"Georgina M"},{"family":"Martin-Lopez","given":"Berta"},{"family":"Okumura","given":"Michiko"},{"family":"Pacheco","given":"Diego"},{"family":"Pascual","given":"Unai"},{"family":"Pérez","given":"Edgar Selvin"},{"family":"Reyers","given":"Belinda"},{"family":"Roth","given":"Eva"},{"family":"Saito","given":"Osamu"},{"family":"Scholes","given":"Robert John"},{"family":"Sharma","given":"Nalini"},{"family":"Tallis","given":"Heather"},{"family":"Thaman","given":"Randolph"},{"family":"Watson","given":"Robert"},{"family":"Yahara","given":"Tetsukazu"},{"family":"Hamid","given":"Zakri Abdul"},{"family":"Akosim","given":"Callistus"},{"family":"Al-Hafedh","given":"Yousef"},{"family":"Allahverdiyev","given":"Rashad"},{"family":"Amankwah","given":"Edward"},{"family":"Asah","given":"Stanley T"},{"family":"Asfaw","given":"Zemede"},{"family":"Bartus","given":"Gabor"},{"family":"Brooks","given":"L Anathea"},{"family":"Caillaux","given":"Jorge"},{"family":"Dalle","given":"Gemedo"},{"family":"Darnaedi","given":"Dedy"},{"family":"Driver","given":"Amanda"},{"family":"Erpul","given":"Gunay"},{"family":"Escobar-Eyzaguirre","given":"Pablo"},{"family":"Failler","given":"Pierre"},{"family":"Fouda","given":"Ali Moustafa Mokhtar"},{"family":"Fu","given":"Bojie"},{"family":"Gundimeda","given":"Haripriya"},{"family":"Hashimoto","given":"Shizuka"},{"family":"Homer","given":"Floyd"},{"family":"Lavorel","given":"Sandra"},{"family":"Lichtenstein","given":"Gabriela"},{"family":"Mala","given":"William Armand"},{"family":"Mandivenyi","given":"Wadzanayi"},{"family":"Matczak","given":"Piotr"},{"family":"Mbizvo","given":"Carmel"},{"family":"Mehrdadi","given":"Mehrasa"},{"family":"Metzger","given":"Jean Paul"},{"family":"Mikissa","given":"Jean Bruno"},{"family":"Moller","given":"Henrik"},{"family":"Mooney","given":"Harold A"},{"family":"Mumby","given":"Peter"},{"family":"Nagendra","given":"Harini"},{"family":"Nesshover","given":"Carsten"},{"family":"Oteng-Yeboah","given":"Alfred Apau"},{"family":"Pataki","given":"György"},{"family":"Roué","given":"Marie"},{"family":"Rubis","given":"Jennifer"},{"family":"Schultz","given":"Maria"},{"family":"Smith","given":"Peggy"},{"family":"Sumaila","given":"Rashid"},{"family":"Takeuchi","given":"Kazuhiko"},{"family":"Thomas","given":"Spencer"},{"family":"Verma","given":"Madhu"},{"family":"Yeo-Chang","given":"Youn"},{"family":"Zlatanova","given":"Diana"}],"accessed":{"date-parts":[["2023",6,8]]},"issued":{"date-parts":[["2015",6,1]]}}},{"id":28728,"uris":["http://zotero.org/groups/2352922/items/9AI95ZE9"],"itemData":{"id":28728,"type":"article-journal","container-title":"Science","DOI":"10.1126/science.aap8826","ISSN":"0036-8075, 1095-9203","issue":"6373","journalAbbreviation":"Science","language":"en","page":"270-272","source":"DOI.org (Crossref)","title":"An inclusive approach to assesse nature's contributions to people","URL":"https://www.science.org/doi/abs/10.1126/science.aap8826","volume":"359","author":[{"family":"Díaz","given":"Sandra"},{"family":"Pascual","given":"Unai"},{"family":"Stenseke","given":"Marie"},{"family":"Martín-López","given":"Berta"},{"family":"Watson","given":"Robert T."},{"family":"Molnár","given":"Zsolt"},{"family":"Hill","given":"Rosemary"},{"family":"Chan","given":"Kai M. A."},{"family":"Baste","given":"Ivar A."},{"family":"Brauman","given":"Kate A."},{"family":"Polasky","given":"Stephen"},{"family":"Church","given":"Andrew"},{"family":"Lonsdale","given":"Mark"},{"family":"Larigauderie","given":"Anne"},{"family":"Leadley","given":"Paul W."},{"family":"Oudenhoven","given":"Alexander P. E.","non-dropping-particle":"van"},{"family":"Plaat","given":"Felice","non-dropping-particle":"van der"},{"family":"Schröter","given":"Matthias"},{"family":"Lavorel","given":"Sandra"},{"family":"Aumeeruddy-Thomas","given":"Yildiz"},{"family":"Bukvareva","given":"Elena"},{"family":"Davies","given":"Kirsten"},{"family":"Demissew","given":"Sebsebe"},{"family":"Erpul","given":"Gunay"},{"family":"Failler","given":"Pierre"},{"family":"Guerra","given":"Carlos A."},{"family":"Hewitt","given":"Chad L."},{"family":"Keune","given":"Hans"},{"family":"Lindley","given":"Sarah"},{"family":"Shirayama","given":"Yoshihisa"}],"accessed":{"date-parts":[["2020",3,9]]},"issued":{"date-parts":[["2018",1,19]]}},"label":"page"},{"id":53933,"uris":["http://zotero.org/groups/2352922/items/JYFISR8Z","http://zotero.org/groups/2352922/items/ZACZGHZL"],"itemData":{"id":53933,"type":"report","abstract":"IPBES is to perform regular and timely assessments of knowledge on biodiversity and ecosystem services and their interlinkages at the global level. Also addressing an invitation by the Conference of the Parties of the Convention on Biological Diversity (CBD) to prepare a global assessment of biodiversity and ecosystem services building, inter alia, on its own and other relevant regional, subregional and thematic assessments, as well as on national reports. The overall scope of the assessment is to assess the status and trends with regard to biodiversity and ecosystem services, the impact of biodiversity and ecosystem services on human well-being and the effectiveness of responses, including the Strategic Plan and its Aichi Biodiversity Targets. It is anticipated that this deliverable will contribute to the process for the evaluation and renewal of the Strategic Plan for Biodiversity and its Aichi Biodiversity Targets. The IPBES Global Assessment on Biodiversity and Ecosystem Services is composed of 1) a Summary for Policymakers (SPM), approved by the IPBES Plenary at its 7th session in May 2019 in Paris, France (IPBES-7); and 2) a set of six Chapters, accepted by the IPBES Plenary.","language":"en","license":"Creative Commons Attribution 4.0 International, Open Access","note":"Version Number 1\nDOI: 10.5281/ZENODO.3831673","publisher":"Secretariat of the Intergovernmental Science-Policy Platform on Biodiversity and Ecosystem Services","source":"DOI.org (Datacite)","title":"Global assessment report on biodiversity and ecosystem services of the Intergovernmental Science-Policy Platform on Biodiversity and Ecosystem Services","URL":"https://zenodo.org/record/3831673","author":[{"literal":"IPBES"}],"contributor":[{"family":"Brondizio","given":"Eduardo"},{"family":"Diaz","given":"Sandra"},{"family":"Settele","given":"Josef"},{"family":"Ngo","given":"Hien T."}],"accessed":{"date-parts":[["2023",1,5]]},"issued":{"date-parts":[["2019"]]}}}],"schema":"https://github.com/citation-style-language/schema/raw/master/csl-citation.json"} </w:instrText>
      </w:r>
      <w:r w:rsidR="009823F7" w:rsidRPr="728F2DAF">
        <w:rPr>
          <w:lang w:val="en-GB"/>
        </w:rPr>
        <w:fldChar w:fldCharType="separate"/>
      </w:r>
      <w:r w:rsidR="73B99EB6">
        <w:t>(Díaz et al., 2015, 2018; IPBES, 2019)</w:t>
      </w:r>
      <w:r w:rsidR="009823F7" w:rsidRPr="728F2DAF">
        <w:rPr>
          <w:lang w:val="en-GB"/>
        </w:rPr>
        <w:fldChar w:fldCharType="end"/>
      </w:r>
      <w:r w:rsidR="38EA634F" w:rsidRPr="728F2DAF">
        <w:rPr>
          <w:lang w:val="en-GB"/>
        </w:rPr>
        <w:t>,</w:t>
      </w:r>
      <w:r w:rsidR="1711F78E" w:rsidRPr="728F2DAF">
        <w:rPr>
          <w:lang w:val="en-GB"/>
        </w:rPr>
        <w:t xml:space="preserve"> </w:t>
      </w:r>
      <w:r w:rsidR="184C1202" w:rsidRPr="728F2DAF">
        <w:rPr>
          <w:lang w:val="en-GB"/>
        </w:rPr>
        <w:t>and at the same time the focus of this assessment (</w:t>
      </w:r>
      <w:r w:rsidR="00E23B69">
        <w:rPr>
          <w:b/>
          <w:bCs/>
          <w:lang w:val="en-GB"/>
        </w:rPr>
        <w:t>Figure</w:t>
      </w:r>
      <w:r w:rsidR="39EC53BF" w:rsidRPr="728F2DAF">
        <w:rPr>
          <w:b/>
          <w:bCs/>
          <w:lang w:val="en-GB"/>
        </w:rPr>
        <w:t xml:space="preserve"> 3.3</w:t>
      </w:r>
      <w:r w:rsidR="0048460C">
        <w:rPr>
          <w:lang w:val="en-GB"/>
        </w:rPr>
        <w:t>;</w:t>
      </w:r>
      <w:r w:rsidR="7BA93E3A" w:rsidRPr="728F2DAF">
        <w:rPr>
          <w:i/>
          <w:iCs/>
          <w:lang w:val="en-GB"/>
        </w:rPr>
        <w:t xml:space="preserve"> </w:t>
      </w:r>
      <w:r w:rsidR="00E23B69">
        <w:rPr>
          <w:b/>
          <w:bCs/>
          <w:lang w:val="en-GB"/>
        </w:rPr>
        <w:t>Table</w:t>
      </w:r>
      <w:r w:rsidR="39EC53BF" w:rsidRPr="728F2DAF">
        <w:rPr>
          <w:b/>
          <w:bCs/>
          <w:lang w:val="en-GB"/>
        </w:rPr>
        <w:t xml:space="preserve"> 3.1</w:t>
      </w:r>
      <w:r w:rsidR="184C1202" w:rsidRPr="728F2DAF">
        <w:rPr>
          <w:lang w:val="en-GB"/>
        </w:rPr>
        <w:t xml:space="preserve">). Specifically, this chapter acknowledges that some indirect </w:t>
      </w:r>
      <w:r w:rsidR="067C1E4A" w:rsidRPr="728F2DAF">
        <w:rPr>
          <w:lang w:val="en-GB"/>
        </w:rPr>
        <w:t>drivers of change in nature</w:t>
      </w:r>
      <w:r w:rsidR="184C1202" w:rsidRPr="728F2DAF">
        <w:rPr>
          <w:lang w:val="en-GB"/>
        </w:rPr>
        <w:t>, and notably those related to trade, transport</w:t>
      </w:r>
      <w:r w:rsidR="009F7404">
        <w:rPr>
          <w:lang w:val="en-GB"/>
        </w:rPr>
        <w:t xml:space="preserve"> and</w:t>
      </w:r>
      <w:r w:rsidR="184C1202" w:rsidRPr="728F2DAF">
        <w:rPr>
          <w:lang w:val="en-GB"/>
        </w:rPr>
        <w:t xml:space="preserve"> travel, may in fact be directly facilitating the transport, introduction, establishment </w:t>
      </w:r>
      <w:r w:rsidR="2E471A49" w:rsidRPr="728F2DAF">
        <w:rPr>
          <w:lang w:val="en-GB"/>
        </w:rPr>
        <w:t>and</w:t>
      </w:r>
      <w:r w:rsidR="184C1202" w:rsidRPr="728F2DAF">
        <w:rPr>
          <w:lang w:val="en-GB"/>
        </w:rPr>
        <w:t xml:space="preserve"> spread of invasive alien species. </w:t>
      </w:r>
      <w:r w:rsidR="1A64F28B" w:rsidRPr="728F2DAF">
        <w:rPr>
          <w:lang w:val="en-GB"/>
        </w:rPr>
        <w:t>Further, natural drivers</w:t>
      </w:r>
      <w:r w:rsidR="0182A945" w:rsidRPr="728F2DAF">
        <w:rPr>
          <w:lang w:val="en-GB"/>
        </w:rPr>
        <w:t>,</w:t>
      </w:r>
      <w:r w:rsidR="1A64F28B" w:rsidRPr="728F2DAF">
        <w:rPr>
          <w:lang w:val="en-GB"/>
        </w:rPr>
        <w:t xml:space="preserve"> while included in the IPBES </w:t>
      </w:r>
      <w:r w:rsidR="0182A945" w:rsidRPr="728F2DAF">
        <w:rPr>
          <w:lang w:val="en-GB"/>
        </w:rPr>
        <w:t>conceptual</w:t>
      </w:r>
      <w:r w:rsidR="1A64F28B" w:rsidRPr="728F2DAF">
        <w:rPr>
          <w:lang w:val="en-GB"/>
        </w:rPr>
        <w:t xml:space="preserve"> framework as a direct driver</w:t>
      </w:r>
      <w:r w:rsidR="0182A945" w:rsidRPr="728F2DAF">
        <w:rPr>
          <w:lang w:val="en-GB"/>
        </w:rPr>
        <w:t xml:space="preserve">, </w:t>
      </w:r>
      <w:r w:rsidR="1A64F28B" w:rsidRPr="728F2DAF">
        <w:rPr>
          <w:lang w:val="en-GB"/>
        </w:rPr>
        <w:t xml:space="preserve">are generally not considered in IPBES </w:t>
      </w:r>
      <w:r w:rsidR="0182A945" w:rsidRPr="728F2DAF">
        <w:rPr>
          <w:lang w:val="en-GB"/>
        </w:rPr>
        <w:t>assessments</w:t>
      </w:r>
      <w:r w:rsidR="1A64F28B" w:rsidRPr="728F2DAF">
        <w:rPr>
          <w:lang w:val="en-GB"/>
        </w:rPr>
        <w:t xml:space="preserve"> </w:t>
      </w:r>
      <w:r w:rsidR="009823F7" w:rsidRPr="728F2DAF">
        <w:rPr>
          <w:lang w:val="en-GB"/>
        </w:rPr>
        <w:fldChar w:fldCharType="begin"/>
      </w:r>
      <w:r w:rsidR="00230216">
        <w:rPr>
          <w:lang w:val="en-GB"/>
        </w:rPr>
        <w:instrText xml:space="preserve"> ADDIN ZOTERO_ITEM CSL_CITATION {"citationID":"9Ob9Li2B","properties":{"unsorted":true,"formattedCitation":"(Pereira et al., 2010; D\\uc0\\u237{}az et al., 2015, 2018; IPBES, 2019)","plainCitation":"(Pereira et al., 2010; Díaz et al., 2015, 2018; IPBES, 2019)","noteIndex":0},"citationItems":[{"id":29409,"uris":["http://zotero.org/groups/2352922/items/NL5XZ5KE"],"itemData":{"id":29409,"type":"article-journal","abstract":"Quantitative scenarios are coming of age as a tool for evaluating the impact of future socioeconomic development pathways on biodiversity and ecosystem services. We analyze global terrestrial, freshwater, and marine biodiversity scenarios using a range of measures including extinctions, changes in species abundance, habitat loss, and distribution shifts, as well as comparing model projections to observations. Scenarios consistently indicate that biodiversity will continue to decline over the 21st century. However, the range of projected changes is much broader than most studies suggest, partly because there are major opportunities to intervene through better policies, but also because of large uncertainties in projections.","container-title":"Science","DOI":"10.1126/science.1196624","ISSN":"0036-8075, 1095-9203","issue":"6010","journalAbbreviation":"Science","language":"en","page":"1496-1501","source":"DOI.org (Crossref)","title":"Scenarios for Global Biodiversity in the 21st Century","URL":"http://www.sciencemag.org/lookup/doi/10.1126/science.1196624","volume":"330","author":[{"family":"Pereira","given":"Henrique M."},{"family":"Leadley","given":"Paul W."},{"family":"Proença","given":"Vânia"},{"family":"Alkemade","given":"Rob"},{"family":"Scharlemann","given":"Jörn P. W."},{"family":"Fernandez-Manjarrés","given":"Juan F."},{"family":"Araújo","given":"Miguel B."},{"family":"Balvanera","given":"Patricia"},{"family":"Biggs","given":"Reinette"},{"family":"Cheung","given":"William W. L."},{"family":"Chini","given":"Louise"},{"family":"Cooper","given":"H. David"},{"family":"Gilman","given":"Eric L."},{"family":"Guénette","given":"Sylvie"},{"family":"Hurtt","given":"George C."},{"family":"Huntington","given":"Henry P."},{"family":"Mace","given":"Georgina M."},{"family":"Oberdorff","given":"Thierry"},{"family":"Revenga","given":"Carmen"},{"family":"Rodrigues","given":"Patrícia"},{"family":"Scholes","given":"Robert J."},{"family":"Sumaila","given":"Ussif Rashid"},{"family":"Walpole","given":"Matt"}],"accessed":{"date-parts":[["2019",10,15]]},"issued":{"date-parts":[["2010",12,10]]}}},{"id":56276,"uris":["http://zotero.org/groups/2352922/items/RVMHP3KG","http://zotero.org/groups/2352922/items/MTRKLN42","http://zotero.org/groups/2352922/items/M2BU94IG"],"itemData":{"id":56276,"type":"article-journal","abstract":"The first public product of the Intergovernmental Platform on Biodiversity and Ecosystem Services (IPBES) is its Conceptual Framework. This conceptual and analytical tool, presented here in detail, will underpin all IPBES functions and provide structure and comparability to the syntheses that IPBES will produce at different spatial scales, on different themes, and in different regions. Salient innovative aspects of the IPBES Conceptual Framework are its transparent and participatory construction process and its explicit consideration of diverse scientific disciplines, stakeholders, and knowledge systems, including indigenous and local knowledge. Because the focus on co-construction of integrative knowledge is shared by an increasing number of initiatives worldwide, this framework should be useful beyond IPBES, for the wider research and knowledge-policy communities working on the links between nature and people, such as natural, social and engineering scientists, policy-makers at different levels, and decision-makers in different sectors of society.","collection-title":"Open Issue","container-title":"Current Opinion in Environmental Sustainability","DOI":"10.1016/j.cosust.2014.11.002","ISSN":"1877-3435","journalAbbreviation":"Current Opinion in Environmental Sustainability","language":"en","page":"1-16","source":"ScienceDirect","title":"The IPBES Conceptual Framework — connecting nature and people","URL":"https://doi.org/10.1016/j.cosust.2014.11.002","volume":"14","author":[{"family":"Díaz","given":"Sandra"},{"family":"Demissew","given":"Sebsebe"},{"family":"Carabias","given":"Julia"},{"family":"Joly","given":"Carlos"},{"family":"Lonsdale","given":"Mark"},{"family":"Ash","given":"Neville"},{"family":"Larigauderie","given":"Anne"},{"family":"Adhikari","given":"Jay Ram"},{"family":"Arico","given":"Salvatore"},{"family":"Báldi","given":"András"},{"family":"Bartuska","given":"Ann"},{"family":"Baste","given":"Ivar Andreas"},{"family":"Bilgin","given":"Adem"},{"family":"Brondizio","given":"Eduardo"},{"family":"Chan","given":"Kai MA"},{"family":"Figueroa","given":"Viviana Elsa"},{"family":"Duraiappah","given":"Anantha"},{"family":"Fischer","given":"Markus"},{"family":"Hill","given":"Rosemary"},{"family":"Koetz","given":"Thomas"},{"family":"Leadley","given":"Paul"},{"family":"Lyver","given":"Philip"},{"family":"Mace","given":"Georgina M"},{"family":"Martin-Lopez","given":"Berta"},{"family":"Okumura","given":"Michiko"},{"family":"Pacheco","given":"Diego"},{"family":"Pascual","given":"Unai"},{"family":"Pérez","given":"Edgar Selvin"},{"family":"Reyers","given":"Belinda"},{"family":"Roth","given":"Eva"},{"family":"Saito","given":"Osamu"},{"family":"Scholes","given":"Robert John"},{"family":"Sharma","given":"Nalini"},{"family":"Tallis","given":"Heather"},{"family":"Thaman","given":"Randolph"},{"family":"Watson","given":"Robert"},{"family":"Yahara","given":"Tetsukazu"},{"family":"Hamid","given":"Zakri Abdul"},{"family":"Akosim","given":"Callistus"},{"family":"Al-Hafedh","given":"Yousef"},{"family":"Allahverdiyev","given":"Rashad"},{"family":"Amankwah","given":"Edward"},{"family":"Asah","given":"Stanley T"},{"family":"Asfaw","given":"Zemede"},{"family":"Bartus","given":"Gabor"},{"family":"Brooks","given":"L Anathea"},{"family":"Caillaux","given":"Jorge"},{"family":"Dalle","given":"Gemedo"},{"family":"Darnaedi","given":"Dedy"},{"family":"Driver","given":"Amanda"},{"family":"Erpul","given":"Gunay"},{"family":"Escobar-Eyzaguirre","given":"Pablo"},{"family":"Failler","given":"Pierre"},{"family":"Fouda","given":"Ali Moustafa Mokhtar"},{"family":"Fu","given":"Bojie"},{"family":"Gundimeda","given":"Haripriya"},{"family":"Hashimoto","given":"Shizuka"},{"family":"Homer","given":"Floyd"},{"family":"Lavorel","given":"Sandra"},{"family":"Lichtenstein","given":"Gabriela"},{"family":"Mala","given":"William Armand"},{"family":"Mandivenyi","given":"Wadzanayi"},{"family":"Matczak","given":"Piotr"},{"family":"Mbizvo","given":"Carmel"},{"family":"Mehrdadi","given":"Mehrasa"},{"family":"Metzger","given":"Jean Paul"},{"family":"Mikissa","given":"Jean Bruno"},{"family":"Moller","given":"Henrik"},{"family":"Mooney","given":"Harold A"},{"family":"Mumby","given":"Peter"},{"family":"Nagendra","given":"Harini"},{"family":"Nesshover","given":"Carsten"},{"family":"Oteng-Yeboah","given":"Alfred Apau"},{"family":"Pataki","given":"György"},{"family":"Roué","given":"Marie"},{"family":"Rubis","given":"Jennifer"},{"family":"Schultz","given":"Maria"},{"family":"Smith","given":"Peggy"},{"family":"Sumaila","given":"Rashid"},{"family":"Takeuchi","given":"Kazuhiko"},{"family":"Thomas","given":"Spencer"},{"family":"Verma","given":"Madhu"},{"family":"Yeo-Chang","given":"Youn"},{"family":"Zlatanova","given":"Diana"}],"accessed":{"date-parts":[["2023",6,8]]},"issued":{"date-parts":[["2015",6,1]]}}},{"id":28728,"uris":["http://zotero.org/groups/2352922/items/9AI95ZE9"],"itemData":{"id":28728,"type":"article-journal","container-title":"Science","DOI":"10.1126/science.aap8826","ISSN":"0036-8075, 1095-9203","issue":"6373","journalAbbreviation":"Science","language":"en","page":"270-272","source":"DOI.org (Crossref)","title":"An inclusive approach to assesse nature's contributions to people","URL":"https://www.science.org/doi/abs/10.1126/science.aap8826","volume":"359","author":[{"family":"Díaz","given":"Sandra"},{"family":"Pascual","given":"Unai"},{"family":"Stenseke","given":"Marie"},{"family":"Martín-López","given":"Berta"},{"family":"Watson","given":"Robert T."},{"family":"Molnár","given":"Zsolt"},{"family":"Hill","given":"Rosemary"},{"family":"Chan","given":"Kai M. A."},{"family":"Baste","given":"Ivar A."},{"family":"Brauman","given":"Kate A."},{"family":"Polasky","given":"Stephen"},{"family":"Church","given":"Andrew"},{"family":"Lonsdale","given":"Mark"},{"family":"Larigauderie","given":"Anne"},{"family":"Leadley","given":"Paul W."},{"family":"Oudenhoven","given":"Alexander P. E.","non-dropping-particle":"van"},{"family":"Plaat","given":"Felice","non-dropping-particle":"van der"},{"family":"Schröter","given":"Matthias"},{"family":"Lavorel","given":"Sandra"},{"family":"Aumeeruddy-Thomas","given":"Yildiz"},{"family":"Bukvareva","given":"Elena"},{"family":"Davies","given":"Kirsten"},{"family":"Demissew","given":"Sebsebe"},{"family":"Erpul","given":"Gunay"},{"family":"Failler","given":"Pierre"},{"family":"Guerra","given":"Carlos A."},{"family":"Hewitt","given":"Chad L."},{"family":"Keune","given":"Hans"},{"family":"Lindley","given":"Sarah"},{"family":"Shirayama","given":"Yoshihisa"}],"accessed":{"date-parts":[["2020",3,9]]},"issued":{"date-parts":[["2018",1,19]]}}},{"id":53933,"uris":["http://zotero.org/groups/2352922/items/JYFISR8Z","http://zotero.org/groups/2352922/items/ZACZGHZL"],"itemData":{"id":53933,"type":"report","abstract":"IPBES is to perform regular and timely assessments of knowledge on biodiversity and ecosystem services and their interlinkages at the global level. Also addressing an invitation by the Conference of the Parties of the Convention on Biological Diversity (CBD) to prepare a global assessment of biodiversity and ecosystem services building, inter alia, on its own and other relevant regional, subregional and thematic assessments, as well as on national reports. The overall scope of the assessment is to assess the status and trends with regard to biodiversity and ecosystem services, the impact of biodiversity and ecosystem services on human well-being and the effectiveness of responses, including the Strategic Plan and its Aichi Biodiversity Targets. It is anticipated that this deliverable will contribute to the process for the evaluation and renewal of the Strategic Plan for Biodiversity and its Aichi Biodiversity Targets. The IPBES Global Assessment on Biodiversity and Ecosystem Services is composed of 1) a Summary for Policymakers (SPM), approved by the IPBES Plenary at its 7th session in May 2019 in Paris, France (IPBES-7); and 2) a set of six Chapters, accepted by the IPBES Plenary.","language":"en","license":"Creative Commons Attribution 4.0 International, Open Access","note":"Version Number 1\nDOI: 10.5281/ZENODO.3831673","publisher":"Secretariat of the Intergovernmental Science-Policy Platform on Biodiversity and Ecosystem Services","source":"DOI.org (Datacite)","title":"Global assessment report on biodiversity and ecosystem services of the Intergovernmental Science-Policy Platform on Biodiversity and Ecosystem Services","URL":"https://zenodo.org/record/3831673","author":[{"literal":"IPBES"}],"contributor":[{"family":"Brondizio","given":"Eduardo"},{"family":"Diaz","given":"Sandra"},{"family":"Settele","given":"Josef"},{"family":"Ngo","given":"Hien T."}],"accessed":{"date-parts":[["2023",1,5]]},"issued":{"date-parts":[["2019"]]}}}],"schema":"https://github.com/citation-style-language/schema/raw/master/csl-citation.json"} </w:instrText>
      </w:r>
      <w:r w:rsidR="009823F7" w:rsidRPr="728F2DAF">
        <w:rPr>
          <w:lang w:val="en-GB"/>
        </w:rPr>
        <w:fldChar w:fldCharType="separate"/>
      </w:r>
      <w:r w:rsidR="73B99EB6">
        <w:t>(Pereira et al., 2010; Díaz et al., 2015, 2018; IPBES, 2019)</w:t>
      </w:r>
      <w:r w:rsidR="009823F7" w:rsidRPr="728F2DAF">
        <w:rPr>
          <w:lang w:val="en-GB"/>
        </w:rPr>
        <w:fldChar w:fldCharType="end"/>
      </w:r>
      <w:r w:rsidR="1A64F28B" w:rsidRPr="728F2DAF">
        <w:rPr>
          <w:lang w:val="en-GB"/>
        </w:rPr>
        <w:t xml:space="preserve"> but are known to </w:t>
      </w:r>
      <w:r w:rsidR="2A5F6D3F" w:rsidRPr="728F2DAF">
        <w:rPr>
          <w:lang w:val="en-GB"/>
        </w:rPr>
        <w:t>be important factors facilitating</w:t>
      </w:r>
      <w:r w:rsidR="1A64F28B" w:rsidRPr="728F2DAF">
        <w:rPr>
          <w:lang w:val="en-GB"/>
        </w:rPr>
        <w:t xml:space="preserve"> biological invasions and are</w:t>
      </w:r>
      <w:r w:rsidR="2E471A49" w:rsidRPr="728F2DAF">
        <w:rPr>
          <w:lang w:val="en-GB"/>
        </w:rPr>
        <w:t>,</w:t>
      </w:r>
      <w:r w:rsidR="1A64F28B" w:rsidRPr="728F2DAF">
        <w:rPr>
          <w:lang w:val="en-GB"/>
        </w:rPr>
        <w:t xml:space="preserve"> therefore</w:t>
      </w:r>
      <w:r w:rsidR="2E471A49" w:rsidRPr="728F2DAF">
        <w:rPr>
          <w:lang w:val="en-GB"/>
        </w:rPr>
        <w:t>,</w:t>
      </w:r>
      <w:r w:rsidR="1A64F28B" w:rsidRPr="728F2DAF">
        <w:rPr>
          <w:lang w:val="en-GB"/>
        </w:rPr>
        <w:t xml:space="preserve"> included in </w:t>
      </w:r>
      <w:r w:rsidR="2E471A49" w:rsidRPr="728F2DAF">
        <w:rPr>
          <w:lang w:val="en-GB"/>
        </w:rPr>
        <w:t>this chapter</w:t>
      </w:r>
      <w:r w:rsidR="1A64F28B" w:rsidRPr="728F2DAF">
        <w:rPr>
          <w:lang w:val="en-GB"/>
        </w:rPr>
        <w:t xml:space="preserve"> (</w:t>
      </w:r>
      <w:r w:rsidR="00E23B69">
        <w:rPr>
          <w:b/>
          <w:bCs/>
          <w:lang w:val="en-GB"/>
        </w:rPr>
        <w:t>Figure</w:t>
      </w:r>
      <w:r w:rsidR="39EC53BF" w:rsidRPr="728F2DAF">
        <w:rPr>
          <w:b/>
          <w:bCs/>
          <w:lang w:val="en-GB"/>
        </w:rPr>
        <w:t xml:space="preserve"> 3.3</w:t>
      </w:r>
      <w:r w:rsidR="2A97DA72" w:rsidRPr="728F2DAF">
        <w:rPr>
          <w:i/>
          <w:iCs/>
          <w:lang w:val="en-GB"/>
        </w:rPr>
        <w:t xml:space="preserve">, </w:t>
      </w:r>
      <w:r w:rsidR="2A97DA72" w:rsidRPr="728F2DAF">
        <w:rPr>
          <w:b/>
          <w:bCs/>
          <w:lang w:val="en-GB"/>
        </w:rPr>
        <w:t>section</w:t>
      </w:r>
      <w:r w:rsidR="4BFB4F2B" w:rsidRPr="728F2DAF">
        <w:rPr>
          <w:b/>
          <w:bCs/>
          <w:lang w:val="en-GB"/>
        </w:rPr>
        <w:t xml:space="preserve"> 3.4.1</w:t>
      </w:r>
      <w:r w:rsidR="1A64F28B" w:rsidRPr="728F2DAF">
        <w:rPr>
          <w:lang w:val="en-GB"/>
        </w:rPr>
        <w:t xml:space="preserve">). Similarly, biodiversity loss can reduce the resilience of ecosystems to </w:t>
      </w:r>
      <w:r w:rsidR="4FECE438" w:rsidRPr="728F2DAF">
        <w:rPr>
          <w:lang w:val="en-GB"/>
        </w:rPr>
        <w:t>invasive alien species</w:t>
      </w:r>
      <w:r w:rsidR="060DFC66" w:rsidRPr="728F2DAF">
        <w:rPr>
          <w:lang w:val="en-GB"/>
        </w:rPr>
        <w:t xml:space="preserve"> </w:t>
      </w:r>
      <w:r w:rsidR="1A64F28B" w:rsidRPr="728F2DAF">
        <w:rPr>
          <w:lang w:val="en-GB"/>
        </w:rPr>
        <w:t xml:space="preserve">and while not considered in the IPBES </w:t>
      </w:r>
      <w:r w:rsidR="499DD616" w:rsidRPr="728F2DAF">
        <w:rPr>
          <w:lang w:val="en-GB"/>
        </w:rPr>
        <w:t>conceptual framework</w:t>
      </w:r>
      <w:r w:rsidR="1A64F28B" w:rsidRPr="728F2DAF">
        <w:rPr>
          <w:lang w:val="en-GB"/>
        </w:rPr>
        <w:t xml:space="preserve"> as a driver, </w:t>
      </w:r>
      <w:r w:rsidR="49652976" w:rsidRPr="728F2DAF">
        <w:rPr>
          <w:lang w:val="en-GB"/>
        </w:rPr>
        <w:t xml:space="preserve">the role of </w:t>
      </w:r>
      <w:r w:rsidR="2E471A49" w:rsidRPr="728F2DAF">
        <w:rPr>
          <w:lang w:val="en-GB"/>
        </w:rPr>
        <w:t>biodiversity loss</w:t>
      </w:r>
      <w:r w:rsidR="1B614C80" w:rsidRPr="728F2DAF">
        <w:rPr>
          <w:lang w:val="en-GB"/>
        </w:rPr>
        <w:t xml:space="preserve"> and changes </w:t>
      </w:r>
      <w:r w:rsidR="5290F05B" w:rsidRPr="728F2DAF">
        <w:rPr>
          <w:lang w:val="en-GB"/>
        </w:rPr>
        <w:t>t</w:t>
      </w:r>
      <w:r w:rsidR="1B614C80" w:rsidRPr="728F2DAF">
        <w:rPr>
          <w:lang w:val="en-GB"/>
        </w:rPr>
        <w:t xml:space="preserve">o ecosystem </w:t>
      </w:r>
      <w:r w:rsidR="7AC8A411" w:rsidRPr="728F2DAF">
        <w:rPr>
          <w:lang w:val="en-GB"/>
        </w:rPr>
        <w:t>resilience in</w:t>
      </w:r>
      <w:r w:rsidR="603504CF" w:rsidRPr="728F2DAF">
        <w:rPr>
          <w:lang w:val="en-GB"/>
        </w:rPr>
        <w:t xml:space="preserve"> facilitating biological invasions </w:t>
      </w:r>
      <w:r w:rsidR="1A64F28B" w:rsidRPr="728F2DAF">
        <w:rPr>
          <w:lang w:val="en-GB"/>
        </w:rPr>
        <w:t xml:space="preserve">is included </w:t>
      </w:r>
      <w:r w:rsidR="499DD616" w:rsidRPr="728F2DAF">
        <w:rPr>
          <w:lang w:val="en-GB"/>
        </w:rPr>
        <w:t xml:space="preserve">in </w:t>
      </w:r>
      <w:r w:rsidR="108E2A28" w:rsidRPr="728F2DAF">
        <w:rPr>
          <w:lang w:val="en-GB"/>
        </w:rPr>
        <w:t>C</w:t>
      </w:r>
      <w:r w:rsidR="499DD616" w:rsidRPr="728F2DAF">
        <w:rPr>
          <w:lang w:val="en-GB"/>
        </w:rPr>
        <w:t>hapter 3</w:t>
      </w:r>
      <w:r w:rsidR="4BFB4F2B" w:rsidRPr="728F2DAF">
        <w:rPr>
          <w:i/>
          <w:iCs/>
          <w:lang w:val="en-GB"/>
        </w:rPr>
        <w:t xml:space="preserve"> </w:t>
      </w:r>
      <w:r w:rsidR="4BFB4F2B" w:rsidRPr="728F2DAF">
        <w:rPr>
          <w:lang w:val="en-GB"/>
        </w:rPr>
        <w:t>(</w:t>
      </w:r>
      <w:r w:rsidR="4BFB4F2B" w:rsidRPr="728F2DAF">
        <w:rPr>
          <w:b/>
          <w:bCs/>
          <w:lang w:val="en-GB"/>
        </w:rPr>
        <w:t>section 3.4.2</w:t>
      </w:r>
      <w:r w:rsidR="4BFB4F2B" w:rsidRPr="728F2DAF">
        <w:rPr>
          <w:lang w:val="en-GB"/>
        </w:rPr>
        <w:t>)</w:t>
      </w:r>
      <w:r w:rsidR="1A64F28B" w:rsidRPr="728F2DAF">
        <w:rPr>
          <w:lang w:val="en-GB"/>
        </w:rPr>
        <w:t>.</w:t>
      </w:r>
      <w:r w:rsidR="2587081A" w:rsidRPr="728F2DAF">
        <w:rPr>
          <w:lang w:val="en-GB"/>
        </w:rPr>
        <w:t xml:space="preserve"> </w:t>
      </w:r>
      <w:r w:rsidR="1A64F28B" w:rsidRPr="728F2DAF">
        <w:rPr>
          <w:lang w:val="en-GB"/>
        </w:rPr>
        <w:t>I</w:t>
      </w:r>
      <w:r w:rsidR="2996F55B" w:rsidRPr="728F2DAF">
        <w:rPr>
          <w:lang w:val="en-GB"/>
        </w:rPr>
        <w:t xml:space="preserve">nteractions between indirect and direct drivers </w:t>
      </w:r>
      <w:r w:rsidR="52E31CCA" w:rsidRPr="728F2DAF">
        <w:rPr>
          <w:lang w:val="en-GB"/>
        </w:rPr>
        <w:t>of change</w:t>
      </w:r>
      <w:r w:rsidR="067C1E4A" w:rsidRPr="728F2DAF">
        <w:rPr>
          <w:lang w:val="en-GB"/>
        </w:rPr>
        <w:t xml:space="preserve"> in nature</w:t>
      </w:r>
      <w:r w:rsidR="2FF347F2" w:rsidRPr="728F2DAF">
        <w:rPr>
          <w:lang w:val="en-GB"/>
        </w:rPr>
        <w:t>, along with natural drivers a</w:t>
      </w:r>
      <w:r w:rsidR="52E31CCA" w:rsidRPr="728F2DAF">
        <w:rPr>
          <w:lang w:val="en-GB"/>
        </w:rPr>
        <w:t>nd biodiversity los</w:t>
      </w:r>
      <w:r w:rsidR="3EAD4095" w:rsidRPr="728F2DAF">
        <w:rPr>
          <w:lang w:val="en-GB"/>
        </w:rPr>
        <w:t>s,</w:t>
      </w:r>
      <w:r w:rsidR="52E31CCA" w:rsidRPr="728F2DAF">
        <w:rPr>
          <w:lang w:val="en-GB"/>
        </w:rPr>
        <w:t xml:space="preserve"> </w:t>
      </w:r>
      <w:r w:rsidR="2996F55B" w:rsidRPr="728F2DAF">
        <w:rPr>
          <w:lang w:val="en-GB"/>
        </w:rPr>
        <w:t>create different chains of relationship</w:t>
      </w:r>
      <w:r w:rsidR="6818402C" w:rsidRPr="728F2DAF">
        <w:rPr>
          <w:lang w:val="en-GB"/>
        </w:rPr>
        <w:t>s</w:t>
      </w:r>
      <w:r w:rsidR="2996F55B" w:rsidRPr="728F2DAF">
        <w:rPr>
          <w:lang w:val="en-GB"/>
        </w:rPr>
        <w:t xml:space="preserve">, attribution, and </w:t>
      </w:r>
      <w:r w:rsidR="6818402C" w:rsidRPr="728F2DAF">
        <w:rPr>
          <w:lang w:val="en-GB"/>
        </w:rPr>
        <w:t>influences</w:t>
      </w:r>
      <w:r w:rsidR="3EAD4095" w:rsidRPr="728F2DAF">
        <w:rPr>
          <w:lang w:val="en-GB"/>
        </w:rPr>
        <w:t xml:space="preserve"> on </w:t>
      </w:r>
      <w:r w:rsidR="26E446A6" w:rsidRPr="728F2DAF">
        <w:rPr>
          <w:lang w:val="en-GB"/>
        </w:rPr>
        <w:t xml:space="preserve">the </w:t>
      </w:r>
      <w:r w:rsidR="3EAD4095" w:rsidRPr="728F2DAF">
        <w:rPr>
          <w:lang w:val="en-GB"/>
        </w:rPr>
        <w:t>biological invasion</w:t>
      </w:r>
      <w:r w:rsidR="35985299" w:rsidRPr="728F2DAF">
        <w:rPr>
          <w:lang w:val="en-GB"/>
        </w:rPr>
        <w:t xml:space="preserve"> proces</w:t>
      </w:r>
      <w:r w:rsidR="3EAD4095" w:rsidRPr="728F2DAF">
        <w:rPr>
          <w:lang w:val="en-GB"/>
        </w:rPr>
        <w:t xml:space="preserve">s. These relationships </w:t>
      </w:r>
      <w:r w:rsidR="2996F55B" w:rsidRPr="728F2DAF">
        <w:rPr>
          <w:lang w:val="en-GB"/>
        </w:rPr>
        <w:t>may vary according to type, intensity, duration</w:t>
      </w:r>
      <w:r w:rsidR="009F7404">
        <w:rPr>
          <w:lang w:val="en-GB"/>
        </w:rPr>
        <w:t xml:space="preserve"> and</w:t>
      </w:r>
      <w:r w:rsidR="2996F55B" w:rsidRPr="728F2DAF">
        <w:rPr>
          <w:lang w:val="en-GB"/>
        </w:rPr>
        <w:t xml:space="preserve"> distance. </w:t>
      </w:r>
      <w:r w:rsidR="55BAAF57" w:rsidRPr="728F2DAF">
        <w:rPr>
          <w:lang w:val="en-GB"/>
        </w:rPr>
        <w:t xml:space="preserve">These relationships </w:t>
      </w:r>
      <w:r w:rsidR="4E8BC978" w:rsidRPr="728F2DAF">
        <w:rPr>
          <w:lang w:val="en-GB"/>
        </w:rPr>
        <w:t>are captured by cross-referencing between subsections</w:t>
      </w:r>
      <w:r w:rsidR="4D3B9562" w:rsidRPr="728F2DAF">
        <w:rPr>
          <w:lang w:val="en-GB"/>
        </w:rPr>
        <w:t xml:space="preserve"> throughout</w:t>
      </w:r>
      <w:r w:rsidR="1D98F83C" w:rsidRPr="728F2DAF">
        <w:rPr>
          <w:lang w:val="en-GB"/>
        </w:rPr>
        <w:t xml:space="preserve"> the assessment</w:t>
      </w:r>
      <w:r w:rsidR="4E8BC978" w:rsidRPr="728F2DAF">
        <w:rPr>
          <w:lang w:val="en-GB"/>
        </w:rPr>
        <w:t xml:space="preserve">, and by </w:t>
      </w:r>
      <w:r w:rsidR="4D3B9562" w:rsidRPr="728F2DAF">
        <w:rPr>
          <w:lang w:val="en-GB"/>
        </w:rPr>
        <w:t xml:space="preserve">explicitly </w:t>
      </w:r>
      <w:r w:rsidR="5C681F05" w:rsidRPr="728F2DAF">
        <w:rPr>
          <w:lang w:val="en-GB"/>
        </w:rPr>
        <w:t>considering</w:t>
      </w:r>
      <w:r w:rsidR="4D3B9562" w:rsidRPr="728F2DAF">
        <w:rPr>
          <w:lang w:val="en-GB"/>
        </w:rPr>
        <w:t xml:space="preserve"> selected interactive effects (</w:t>
      </w:r>
      <w:r w:rsidR="4D3B9562" w:rsidRPr="728F2DAF">
        <w:rPr>
          <w:b/>
          <w:bCs/>
          <w:lang w:val="en-GB"/>
        </w:rPr>
        <w:t>section 3.</w:t>
      </w:r>
      <w:r w:rsidR="23F21EA5" w:rsidRPr="728F2DAF">
        <w:rPr>
          <w:b/>
          <w:bCs/>
          <w:lang w:val="en-GB"/>
        </w:rPr>
        <w:t>5</w:t>
      </w:r>
      <w:r w:rsidR="5C681F05" w:rsidRPr="728F2DAF">
        <w:rPr>
          <w:lang w:val="en-GB"/>
        </w:rPr>
        <w:t>)</w:t>
      </w:r>
      <w:r w:rsidR="4D3B9562" w:rsidRPr="728F2DAF">
        <w:rPr>
          <w:lang w:val="en-GB"/>
        </w:rPr>
        <w:t xml:space="preserve">. </w:t>
      </w:r>
    </w:p>
    <w:p w14:paraId="06E42D84" w14:textId="7F725F4D" w:rsidR="005B1ABE" w:rsidRPr="00DA249F" w:rsidRDefault="55193B6A" w:rsidP="00651871">
      <w:pPr>
        <w:pStyle w:val="Caption"/>
        <w:keepNext/>
        <w:rPr>
          <w:lang w:val="en-GB"/>
        </w:rPr>
      </w:pPr>
      <w:bookmarkStart w:id="21" w:name="_Ref104903105"/>
      <w:bookmarkStart w:id="22" w:name="_Toc158373438"/>
      <w:bookmarkStart w:id="23" w:name="_Toc48911086"/>
      <w:bookmarkStart w:id="24" w:name="_Toc48911420"/>
      <w:r w:rsidRPr="5575EBFC">
        <w:rPr>
          <w:lang w:val="en-GB"/>
        </w:rPr>
        <w:lastRenderedPageBreak/>
        <w:t>Table 3.</w:t>
      </w:r>
      <w:r w:rsidR="37861AD5" w:rsidRPr="5575EBFC">
        <w:rPr>
          <w:lang w:val="en-GB"/>
        </w:rPr>
        <w:fldChar w:fldCharType="begin"/>
      </w:r>
      <w:r w:rsidR="37861AD5" w:rsidRPr="5575EBFC">
        <w:rPr>
          <w:lang w:val="en-GB"/>
        </w:rPr>
        <w:instrText xml:space="preserve"> SEQ Table_3. \* ARABIC </w:instrText>
      </w:r>
      <w:r w:rsidR="37861AD5" w:rsidRPr="5575EBFC">
        <w:rPr>
          <w:lang w:val="en-GB"/>
        </w:rPr>
        <w:fldChar w:fldCharType="separate"/>
      </w:r>
      <w:r w:rsidR="00287BC7">
        <w:rPr>
          <w:noProof/>
          <w:lang w:val="en-GB"/>
        </w:rPr>
        <w:t>1</w:t>
      </w:r>
      <w:r w:rsidR="37861AD5" w:rsidRPr="5575EBFC">
        <w:rPr>
          <w:lang w:val="en-GB"/>
        </w:rPr>
        <w:fldChar w:fldCharType="end"/>
      </w:r>
      <w:bookmarkEnd w:id="21"/>
      <w:r w:rsidR="2E4C9DDE" w:rsidRPr="5575EBFC">
        <w:rPr>
          <w:lang w:val="en-GB"/>
        </w:rPr>
        <w:t>.</w:t>
      </w:r>
      <w:r w:rsidR="5F58C80D" w:rsidRPr="5575EBFC">
        <w:rPr>
          <w:lang w:val="en-GB"/>
        </w:rPr>
        <w:t xml:space="preserve"> </w:t>
      </w:r>
      <w:r w:rsidR="243BD8F8" w:rsidRPr="5575EBFC">
        <w:rPr>
          <w:b w:val="0"/>
          <w:bCs w:val="0"/>
          <w:lang w:val="en-GB"/>
        </w:rPr>
        <w:t xml:space="preserve">The indirect and direct </w:t>
      </w:r>
      <w:r w:rsidR="29CE3436" w:rsidRPr="5575EBFC">
        <w:rPr>
          <w:b w:val="0"/>
          <w:bCs w:val="0"/>
          <w:lang w:val="en-GB"/>
        </w:rPr>
        <w:t xml:space="preserve">anthropogenic </w:t>
      </w:r>
      <w:r w:rsidR="653902EA" w:rsidRPr="5575EBFC">
        <w:rPr>
          <w:b w:val="0"/>
          <w:bCs w:val="0"/>
          <w:lang w:val="en-GB"/>
        </w:rPr>
        <w:t>drivers of change in nature</w:t>
      </w:r>
      <w:r w:rsidR="669D8B0B" w:rsidRPr="5575EBFC">
        <w:rPr>
          <w:b w:val="0"/>
          <w:bCs w:val="0"/>
          <w:lang w:val="en-GB"/>
        </w:rPr>
        <w:t xml:space="preserve"> </w:t>
      </w:r>
      <w:r w:rsidR="3008E321" w:rsidRPr="5575EBFC">
        <w:rPr>
          <w:b w:val="0"/>
          <w:bCs w:val="0"/>
          <w:lang w:val="en-GB"/>
        </w:rPr>
        <w:t xml:space="preserve">and </w:t>
      </w:r>
      <w:r w:rsidR="29CE3436" w:rsidRPr="5575EBFC">
        <w:rPr>
          <w:b w:val="0"/>
          <w:bCs w:val="0"/>
          <w:lang w:val="en-GB"/>
        </w:rPr>
        <w:t xml:space="preserve">other factors </w:t>
      </w:r>
      <w:r w:rsidR="669D8B0B" w:rsidRPr="5575EBFC">
        <w:rPr>
          <w:b w:val="0"/>
          <w:bCs w:val="0"/>
          <w:lang w:val="en-GB"/>
        </w:rPr>
        <w:t>affecting invasive alien species</w:t>
      </w:r>
      <w:r w:rsidR="3008E321" w:rsidRPr="5575EBFC">
        <w:rPr>
          <w:b w:val="0"/>
          <w:bCs w:val="0"/>
          <w:lang w:val="en-GB"/>
        </w:rPr>
        <w:t>, as</w:t>
      </w:r>
      <w:r w:rsidR="243BD8F8" w:rsidRPr="5575EBFC">
        <w:rPr>
          <w:b w:val="0"/>
          <w:bCs w:val="0"/>
          <w:lang w:val="en-GB"/>
        </w:rPr>
        <w:t xml:space="preserve"> assessed in </w:t>
      </w:r>
      <w:r w:rsidR="6574FE57" w:rsidRPr="5575EBFC">
        <w:rPr>
          <w:b w:val="0"/>
          <w:bCs w:val="0"/>
          <w:lang w:val="en-GB"/>
        </w:rPr>
        <w:t>C</w:t>
      </w:r>
      <w:r w:rsidR="243BD8F8" w:rsidRPr="5575EBFC">
        <w:rPr>
          <w:b w:val="0"/>
          <w:bCs w:val="0"/>
          <w:lang w:val="en-GB"/>
        </w:rPr>
        <w:t>hapter 3</w:t>
      </w:r>
      <w:bookmarkEnd w:id="22"/>
    </w:p>
    <w:bookmarkEnd w:id="23"/>
    <w:bookmarkEnd w:id="24"/>
    <w:p w14:paraId="7AB2DDDE" w14:textId="34CAA774" w:rsidR="008C1BF7" w:rsidRPr="00DA249F" w:rsidRDefault="06DA2DDC" w:rsidP="003B48E8">
      <w:pPr>
        <w:spacing w:before="0"/>
        <w:rPr>
          <w:lang w:val="en-GB"/>
        </w:rPr>
      </w:pPr>
      <w:r w:rsidRPr="5575EBFC">
        <w:rPr>
          <w:lang w:val="en-GB"/>
        </w:rPr>
        <w:t xml:space="preserve">The </w:t>
      </w:r>
      <w:r w:rsidR="6F5424B3" w:rsidRPr="5575EBFC">
        <w:rPr>
          <w:lang w:val="en-GB"/>
        </w:rPr>
        <w:t xml:space="preserve">IPBES </w:t>
      </w:r>
      <w:r w:rsidR="45A86538" w:rsidRPr="5575EBFC">
        <w:rPr>
          <w:lang w:val="en-GB"/>
        </w:rPr>
        <w:t xml:space="preserve">conceptual framework considers </w:t>
      </w:r>
      <w:r w:rsidR="447BB567" w:rsidRPr="5575EBFC">
        <w:rPr>
          <w:lang w:val="en-GB"/>
        </w:rPr>
        <w:t>ind</w:t>
      </w:r>
      <w:r w:rsidR="6F5424B3" w:rsidRPr="5575EBFC">
        <w:rPr>
          <w:lang w:val="en-GB"/>
        </w:rPr>
        <w:t>i</w:t>
      </w:r>
      <w:r w:rsidR="447BB567" w:rsidRPr="5575EBFC">
        <w:rPr>
          <w:lang w:val="en-GB"/>
        </w:rPr>
        <w:t xml:space="preserve">rect and direct </w:t>
      </w:r>
      <w:r w:rsidR="653902EA" w:rsidRPr="5575EBFC">
        <w:rPr>
          <w:lang w:val="en-GB"/>
        </w:rPr>
        <w:t>drivers of change in nature</w:t>
      </w:r>
      <w:r w:rsidR="447BB567" w:rsidRPr="5575EBFC">
        <w:rPr>
          <w:lang w:val="en-GB"/>
        </w:rPr>
        <w:t xml:space="preserve"> </w:t>
      </w:r>
      <w:r w:rsidR="4C6310DC" w:rsidRPr="5575EBFC">
        <w:rPr>
          <w:lang w:val="en-GB"/>
        </w:rPr>
        <w:fldChar w:fldCharType="begin"/>
      </w:r>
      <w:r w:rsidR="00230216">
        <w:rPr>
          <w:lang w:val="en-GB"/>
        </w:rPr>
        <w:instrText xml:space="preserve"> ADDIN ZOTERO_ITEM CSL_CITATION {"citationID":"XuH9L4oi","properties":{"formattedCitation":"(D\\uc0\\u237{}az et al., 2015; Nelson et al., 2006)","plainCitation":"(Díaz et al., 2015; Nelson et al., 2006)","noteIndex":0},"citationItems":[{"id":56276,"uris":["http://zotero.org/groups/2352922/items/RVMHP3KG","http://zotero.org/groups/2352922/items/MTRKLN42","http://zotero.org/groups/2352922/items/M2BU94IG"],"itemData":{"id":56276,"type":"article-journal","abstract":"The first public product of the Intergovernmental Platform on Biodiversity and Ecosystem Services (IPBES) is its Conceptual Framework. This conceptual and analytical tool, presented here in detail, will underpin all IPBES functions and provide structure and comparability to the syntheses that IPBES will produce at different spatial scales, on different themes, and in different regions. Salient innovative aspects of the IPBES Conceptual Framework are its transparent and participatory construction process and its explicit consideration of diverse scientific disciplines, stakeholders, and knowledge systems, including indigenous and local knowledge. Because the focus on co-construction of integrative knowledge is shared by an increasing number of initiatives worldwide, this framework should be useful beyond IPBES, for the wider research and knowledge-policy communities working on the links between nature and people, such as natural, social and engineering scientists, policy-makers at different levels, and decision-makers in different sectors of society.","collection-title":"Open Issue","container-title":"Current Opinion in Environmental Sustainability","DOI":"10.1016/j.cosust.2014.11.002","ISSN":"1877-3435","journalAbbreviation":"Current Opinion in Environmental Sustainability","language":"en","page":"1-16","source":"ScienceDirect","title":"The IPBES Conceptual Framework — connecting nature and people","URL":"https://doi.org/10.1016/j.cosust.2014.11.002","volume":"14","author":[{"family":"Díaz","given":"Sandra"},{"family":"Demissew","given":"Sebsebe"},{"family":"Carabias","given":"Julia"},{"family":"Joly","given":"Carlos"},{"family":"Lonsdale","given":"Mark"},{"family":"Ash","given":"Neville"},{"family":"Larigauderie","given":"Anne"},{"family":"Adhikari","given":"Jay Ram"},{"family":"Arico","given":"Salvatore"},{"family":"Báldi","given":"András"},{"family":"Bartuska","given":"Ann"},{"family":"Baste","given":"Ivar Andreas"},{"family":"Bilgin","given":"Adem"},{"family":"Brondizio","given":"Eduardo"},{"family":"Chan","given":"Kai MA"},{"family":"Figueroa","given":"Viviana Elsa"},{"family":"Duraiappah","given":"Anantha"},{"family":"Fischer","given":"Markus"},{"family":"Hill","given":"Rosemary"},{"family":"Koetz","given":"Thomas"},{"family":"Leadley","given":"Paul"},{"family":"Lyver","given":"Philip"},{"family":"Mace","given":"Georgina M"},{"family":"Martin-Lopez","given":"Berta"},{"family":"Okumura","given":"Michiko"},{"family":"Pacheco","given":"Diego"},{"family":"Pascual","given":"Unai"},{"family":"Pérez","given":"Edgar Selvin"},{"family":"Reyers","given":"Belinda"},{"family":"Roth","given":"Eva"},{"family":"Saito","given":"Osamu"},{"family":"Scholes","given":"Robert John"},{"family":"Sharma","given":"Nalini"},{"family":"Tallis","given":"Heather"},{"family":"Thaman","given":"Randolph"},{"family":"Watson","given":"Robert"},{"family":"Yahara","given":"Tetsukazu"},{"family":"Hamid","given":"Zakri Abdul"},{"family":"Akosim","given":"Callistus"},{"family":"Al-Hafedh","given":"Yousef"},{"family":"Allahverdiyev","given":"Rashad"},{"family":"Amankwah","given":"Edward"},{"family":"Asah","given":"Stanley T"},{"family":"Asfaw","given":"Zemede"},{"family":"Bartus","given":"Gabor"},{"family":"Brooks","given":"L Anathea"},{"family":"Caillaux","given":"Jorge"},{"family":"Dalle","given":"Gemedo"},{"family":"Darnaedi","given":"Dedy"},{"family":"Driver","given":"Amanda"},{"family":"Erpul","given":"Gunay"},{"family":"Escobar-Eyzaguirre","given":"Pablo"},{"family":"Failler","given":"Pierre"},{"family":"Fouda","given":"Ali Moustafa Mokhtar"},{"family":"Fu","given":"Bojie"},{"family":"Gundimeda","given":"Haripriya"},{"family":"Hashimoto","given":"Shizuka"},{"family":"Homer","given":"Floyd"},{"family":"Lavorel","given":"Sandra"},{"family":"Lichtenstein","given":"Gabriela"},{"family":"Mala","given":"William Armand"},{"family":"Mandivenyi","given":"Wadzanayi"},{"family":"Matczak","given":"Piotr"},{"family":"Mbizvo","given":"Carmel"},{"family":"Mehrdadi","given":"Mehrasa"},{"family":"Metzger","given":"Jean Paul"},{"family":"Mikissa","given":"Jean Bruno"},{"family":"Moller","given":"Henrik"},{"family":"Mooney","given":"Harold A"},{"family":"Mumby","given":"Peter"},{"family":"Nagendra","given":"Harini"},{"family":"Nesshover","given":"Carsten"},{"family":"Oteng-Yeboah","given":"Alfred Apau"},{"family":"Pataki","given":"György"},{"family":"Roué","given":"Marie"},{"family":"Rubis","given":"Jennifer"},{"family":"Schultz","given":"Maria"},{"family":"Smith","given":"Peggy"},{"family":"Sumaila","given":"Rashid"},{"family":"Takeuchi","given":"Kazuhiko"},{"family":"Thomas","given":"Spencer"},{"family":"Verma","given":"Madhu"},{"family":"Yeo-Chang","given":"Youn"},{"family":"Zlatanova","given":"Diana"}],"accessed":{"date-parts":[["2023",6,8]]},"issued":{"date-parts":[["2015",6,1]]}},"label":"page"},{"id":11259,"uris":["http://zotero.org/groups/2352922/items/XJQG3XT3"],"itemData":{"id":11259,"type":"article-journal","abstract":"This paper provides an overview of what the Millennium Ecosystem Assessment ( MA) calls \"indirect and direct drivers\" of change in ecosystem services at a global level. The MA definition of a driver is any natural or human-induced factor that directly or indirectly causes a change in an ecosystem. A direct driver unequivocally influences ecosystem processes. An indirect driver operates more diffusely by altering one or more direct drivers. Global driving forces are categorized as demographic, economic, sociopolitical, cultural and religious, scientific and technological, and physical and biological. Drivers in all categories other than physical and biological are considered indirect. Important direct drivers include changes in climate, plant nutrient use, land conversion, and diseases and invasive species. This paper does not discuss natural drivers such as climate variability, extreme weather events, or volcanic eruptions.","container-title":"Ecology and Society","ISSN":"1708-3087","issue":"2","note":"WOS:000243280800028","page":"29","title":"Anthropogenic drivers of ecosystem change: An overview","URL":"https://www.jstor.org/stable/26266018","volume":"11","author":[{"family":"Nelson","given":"Gerald C."},{"family":"Bennett","given":"Elena"},{"family":"Berhe","given":"Asmeret A."},{"family":"Cassman","given":"Kenneth"},{"family":"DeFries","given":"Ruth"},{"family":"Dietz","given":"Thomas"},{"family":"Dobermann","given":"Achim"},{"family":"Dobson","given":"Andrew"},{"family":"Janetos","given":"Anthony"},{"family":"Levy","given":"Marc"},{"family":"Marco","given":"Diana"},{"family":"Nakicenovic","given":"Nebojsa"},{"family":"O'Neill","given":"Brian"},{"family":"Norgaard","given":"Richard"},{"family":"Petschel-Held","given":"Gerhard"},{"family":"Ojima","given":"Dennis"},{"family":"Pingali","given":"Prabhu"},{"family":"Watson","given":"Robert"},{"family":"Zurek","given":"Monika"}],"issued":{"date-parts":[["2006",12]]}},"label":"page"}],"schema":"https://github.com/citation-style-language/schema/raw/master/csl-citation.json"} </w:instrText>
      </w:r>
      <w:r w:rsidR="4C6310DC" w:rsidRPr="5575EBFC">
        <w:rPr>
          <w:lang w:val="en-GB"/>
        </w:rPr>
        <w:fldChar w:fldCharType="separate"/>
      </w:r>
      <w:r w:rsidR="6B5F9B9E">
        <w:t>(Díaz et al., 2015; Nelson et al., 2006)</w:t>
      </w:r>
      <w:r w:rsidR="4C6310DC" w:rsidRPr="5575EBFC">
        <w:rPr>
          <w:lang w:val="en-GB"/>
        </w:rPr>
        <w:fldChar w:fldCharType="end"/>
      </w:r>
      <w:r w:rsidR="4B498600" w:rsidRPr="5575EBFC">
        <w:rPr>
          <w:lang w:val="en-GB"/>
        </w:rPr>
        <w:t>.</w:t>
      </w:r>
      <w:r w:rsidRPr="5575EBFC">
        <w:rPr>
          <w:lang w:val="en-GB"/>
        </w:rPr>
        <w:t xml:space="preserve"> </w:t>
      </w:r>
      <w:r w:rsidR="3F2A6163" w:rsidRPr="5575EBFC">
        <w:rPr>
          <w:lang w:val="en-GB"/>
        </w:rPr>
        <w:t>Following the IPBES Global Assessment, this</w:t>
      </w:r>
      <w:r w:rsidR="13D0A920" w:rsidRPr="5575EBFC">
        <w:rPr>
          <w:lang w:val="en-GB"/>
        </w:rPr>
        <w:t xml:space="preserve"> assessment</w:t>
      </w:r>
      <w:r w:rsidR="3F2A6163" w:rsidRPr="5575EBFC">
        <w:rPr>
          <w:lang w:val="en-GB"/>
        </w:rPr>
        <w:t xml:space="preserve"> </w:t>
      </w:r>
      <w:r w:rsidR="2DCEC942" w:rsidRPr="5575EBFC">
        <w:rPr>
          <w:lang w:val="en-GB"/>
        </w:rPr>
        <w:t xml:space="preserve">considers five </w:t>
      </w:r>
      <w:r w:rsidR="20372728" w:rsidRPr="5575EBFC">
        <w:rPr>
          <w:lang w:val="en-GB"/>
        </w:rPr>
        <w:t>classes</w:t>
      </w:r>
      <w:r w:rsidR="3D4F0031" w:rsidRPr="5575EBFC">
        <w:rPr>
          <w:lang w:val="en-GB"/>
        </w:rPr>
        <w:t xml:space="preserve"> of </w:t>
      </w:r>
      <w:r w:rsidR="2DCEC942" w:rsidRPr="5575EBFC">
        <w:rPr>
          <w:lang w:val="en-GB"/>
        </w:rPr>
        <w:t xml:space="preserve">indirect and five </w:t>
      </w:r>
      <w:r w:rsidR="20372728" w:rsidRPr="5575EBFC">
        <w:rPr>
          <w:lang w:val="en-GB"/>
        </w:rPr>
        <w:t>classes</w:t>
      </w:r>
      <w:r w:rsidR="3D4F0031" w:rsidRPr="5575EBFC">
        <w:rPr>
          <w:lang w:val="en-GB"/>
        </w:rPr>
        <w:t xml:space="preserve"> of </w:t>
      </w:r>
      <w:r w:rsidR="2DCEC942" w:rsidRPr="5575EBFC">
        <w:rPr>
          <w:lang w:val="en-GB"/>
        </w:rPr>
        <w:t>direct</w:t>
      </w:r>
      <w:r w:rsidR="3651A46E" w:rsidRPr="5575EBFC">
        <w:rPr>
          <w:lang w:val="en-GB"/>
        </w:rPr>
        <w:t xml:space="preserve"> </w:t>
      </w:r>
      <w:r w:rsidR="5C91890E" w:rsidRPr="5575EBFC">
        <w:rPr>
          <w:lang w:val="en-GB"/>
        </w:rPr>
        <w:t xml:space="preserve">anthropogenic </w:t>
      </w:r>
      <w:r w:rsidR="6E7D565C" w:rsidRPr="5575EBFC">
        <w:rPr>
          <w:lang w:val="en-GB"/>
        </w:rPr>
        <w:t>driver</w:t>
      </w:r>
      <w:r w:rsidR="2DCEC942" w:rsidRPr="5575EBFC">
        <w:rPr>
          <w:lang w:val="en-GB"/>
        </w:rPr>
        <w:t xml:space="preserve">s. </w:t>
      </w:r>
      <w:r w:rsidR="723866E2" w:rsidRPr="5575EBFC">
        <w:rPr>
          <w:lang w:val="en-GB"/>
        </w:rPr>
        <w:t xml:space="preserve">In addition, the assessment considers </w:t>
      </w:r>
      <w:r w:rsidR="1E024747" w:rsidRPr="5575EBFC">
        <w:rPr>
          <w:lang w:val="en-GB"/>
        </w:rPr>
        <w:t xml:space="preserve">two other </w:t>
      </w:r>
      <w:r w:rsidR="065D02A9" w:rsidRPr="5575EBFC">
        <w:rPr>
          <w:lang w:val="en-GB"/>
        </w:rPr>
        <w:t xml:space="preserve">classes of </w:t>
      </w:r>
      <w:r w:rsidR="20372728" w:rsidRPr="5575EBFC">
        <w:rPr>
          <w:lang w:val="en-GB"/>
        </w:rPr>
        <w:t>drivers</w:t>
      </w:r>
      <w:r w:rsidR="1E024747" w:rsidRPr="5575EBFC">
        <w:rPr>
          <w:lang w:val="en-GB"/>
        </w:rPr>
        <w:t xml:space="preserve">: </w:t>
      </w:r>
      <w:r w:rsidR="6F49D80A" w:rsidRPr="5575EBFC">
        <w:rPr>
          <w:lang w:val="en-GB"/>
        </w:rPr>
        <w:t xml:space="preserve">natural drivers and biodiversity loss. </w:t>
      </w:r>
      <w:r w:rsidR="13387188" w:rsidRPr="5575EBFC">
        <w:rPr>
          <w:lang w:val="en-GB"/>
        </w:rPr>
        <w:t>For each</w:t>
      </w:r>
      <w:r w:rsidR="5C3FDE2A" w:rsidRPr="5575EBFC">
        <w:rPr>
          <w:lang w:val="en-GB"/>
        </w:rPr>
        <w:t xml:space="preserve"> </w:t>
      </w:r>
      <w:r w:rsidR="7E44BEB0" w:rsidRPr="5575EBFC">
        <w:rPr>
          <w:lang w:val="en-GB"/>
        </w:rPr>
        <w:t xml:space="preserve">of these </w:t>
      </w:r>
      <w:r w:rsidR="20372728" w:rsidRPr="5575EBFC">
        <w:rPr>
          <w:lang w:val="en-GB"/>
        </w:rPr>
        <w:t>class</w:t>
      </w:r>
      <w:r w:rsidR="7E44BEB0" w:rsidRPr="5575EBFC">
        <w:rPr>
          <w:lang w:val="en-GB"/>
        </w:rPr>
        <w:t>es</w:t>
      </w:r>
      <w:r w:rsidR="2DCEC942" w:rsidRPr="5575EBFC">
        <w:rPr>
          <w:lang w:val="en-GB"/>
        </w:rPr>
        <w:t xml:space="preserve"> of drivers</w:t>
      </w:r>
      <w:r w:rsidR="13387188" w:rsidRPr="5575EBFC">
        <w:rPr>
          <w:lang w:val="en-GB"/>
        </w:rPr>
        <w:t>, the assessment consider</w:t>
      </w:r>
      <w:r w:rsidR="5C3FDE2A" w:rsidRPr="5575EBFC">
        <w:rPr>
          <w:lang w:val="en-GB"/>
        </w:rPr>
        <w:t>s</w:t>
      </w:r>
      <w:r w:rsidR="2DCEC942" w:rsidRPr="5575EBFC">
        <w:rPr>
          <w:lang w:val="en-GB"/>
        </w:rPr>
        <w:t xml:space="preserve"> </w:t>
      </w:r>
      <w:r w:rsidR="3D4F0031" w:rsidRPr="5575EBFC">
        <w:rPr>
          <w:lang w:val="en-GB"/>
        </w:rPr>
        <w:t>the</w:t>
      </w:r>
      <w:r w:rsidR="64E31803" w:rsidRPr="5575EBFC">
        <w:rPr>
          <w:lang w:val="en-GB"/>
        </w:rPr>
        <w:t xml:space="preserve"> influence of a number of </w:t>
      </w:r>
      <w:r w:rsidR="2188A1A9" w:rsidRPr="5575EBFC">
        <w:rPr>
          <w:lang w:val="en-GB"/>
        </w:rPr>
        <w:t xml:space="preserve">specific </w:t>
      </w:r>
      <w:r w:rsidR="64E31803" w:rsidRPr="5575EBFC">
        <w:rPr>
          <w:lang w:val="en-GB"/>
        </w:rPr>
        <w:t>drivers</w:t>
      </w:r>
      <w:r w:rsidR="1089DFFE" w:rsidRPr="5575EBFC">
        <w:rPr>
          <w:lang w:val="en-GB"/>
        </w:rPr>
        <w:t xml:space="preserve"> </w:t>
      </w:r>
      <w:r w:rsidR="30B76DCB" w:rsidRPr="5575EBFC">
        <w:rPr>
          <w:lang w:val="en-GB"/>
        </w:rPr>
        <w:t xml:space="preserve">on </w:t>
      </w:r>
      <w:r w:rsidRPr="5575EBFC">
        <w:rPr>
          <w:lang w:val="en-GB"/>
        </w:rPr>
        <w:t>the</w:t>
      </w:r>
      <w:r w:rsidR="0841EB6C" w:rsidRPr="5575EBFC">
        <w:rPr>
          <w:lang w:val="en-GB"/>
        </w:rPr>
        <w:t xml:space="preserve"> transport,</w:t>
      </w:r>
      <w:r w:rsidRPr="5575EBFC">
        <w:rPr>
          <w:lang w:val="en-GB"/>
        </w:rPr>
        <w:t xml:space="preserve"> introduction, establishment and spread of </w:t>
      </w:r>
      <w:r w:rsidR="6F4BFDAE" w:rsidRPr="5575EBFC">
        <w:rPr>
          <w:lang w:val="en-GB"/>
        </w:rPr>
        <w:t>invasive alien species</w:t>
      </w:r>
      <w:r w:rsidRPr="5575EBFC">
        <w:rPr>
          <w:lang w:val="en-GB"/>
        </w:rPr>
        <w:t>.</w:t>
      </w:r>
      <w:r w:rsidR="7CF9A70A" w:rsidRPr="5575EBFC">
        <w:rPr>
          <w:lang w:val="en-GB"/>
        </w:rPr>
        <w:t xml:space="preserve"> </w:t>
      </w:r>
      <w:r w:rsidR="276D8CE4" w:rsidRPr="5575EBFC">
        <w:rPr>
          <w:lang w:val="en-GB"/>
        </w:rPr>
        <w:t>This table shows all the drivers considered in this chapter, with classes of drivers in bold, an</w:t>
      </w:r>
      <w:r w:rsidR="29BCD379" w:rsidRPr="5575EBFC">
        <w:rPr>
          <w:lang w:val="en-GB"/>
        </w:rPr>
        <w:t>d</w:t>
      </w:r>
      <w:r w:rsidR="276D8CE4" w:rsidRPr="5575EBFC">
        <w:rPr>
          <w:lang w:val="en-GB"/>
        </w:rPr>
        <w:t xml:space="preserve"> drivers under each class in normal font </w:t>
      </w:r>
      <w:r w:rsidR="466F3E72" w:rsidRPr="5575EBFC">
        <w:rPr>
          <w:lang w:val="en-GB"/>
        </w:rPr>
        <w:t xml:space="preserve">(see </w:t>
      </w:r>
      <w:r w:rsidR="77F650BE" w:rsidRPr="5575EBFC">
        <w:rPr>
          <w:b/>
          <w:bCs/>
          <w:lang w:val="en-GB"/>
        </w:rPr>
        <w:t>section 3.1.2</w:t>
      </w:r>
      <w:r w:rsidR="44751153" w:rsidRPr="5575EBFC">
        <w:rPr>
          <w:lang w:val="en-GB"/>
        </w:rPr>
        <w:t xml:space="preserve"> for more details</w:t>
      </w:r>
      <w:r w:rsidR="466F3E72" w:rsidRPr="5575EBFC">
        <w:rPr>
          <w:lang w:val="en-GB"/>
        </w:rPr>
        <w:t>)</w:t>
      </w:r>
      <w:r w:rsidR="44751153" w:rsidRPr="5575EBFC">
        <w:rPr>
          <w:lang w:val="en-GB"/>
        </w:rPr>
        <w:t>.</w:t>
      </w:r>
    </w:p>
    <w:tbl>
      <w:tblPr>
        <w:tblStyle w:val="1"/>
        <w:tblW w:w="0" w:type="auto"/>
        <w:tblLayout w:type="fixed"/>
        <w:tblLook w:val="04A0" w:firstRow="1" w:lastRow="0" w:firstColumn="1" w:lastColumn="0" w:noHBand="0" w:noVBand="1"/>
      </w:tblPr>
      <w:tblGrid>
        <w:gridCol w:w="2695"/>
        <w:gridCol w:w="3420"/>
        <w:gridCol w:w="3235"/>
      </w:tblGrid>
      <w:tr w:rsidR="008C1BF7" w:rsidRPr="00DA249F" w14:paraId="60E0A8BD" w14:textId="77777777" w:rsidTr="5575EBFC">
        <w:tc>
          <w:tcPr>
            <w:tcW w:w="2695" w:type="dxa"/>
            <w:shd w:val="clear" w:color="auto" w:fill="D9D9D9" w:themeFill="background1" w:themeFillShade="D9"/>
          </w:tcPr>
          <w:p w14:paraId="3AF68157" w14:textId="77777777" w:rsidR="008C1BF7" w:rsidRPr="00DA249F" w:rsidRDefault="00797614" w:rsidP="00DF6D25">
            <w:pPr>
              <w:spacing w:before="120"/>
              <w:jc w:val="center"/>
              <w:rPr>
                <w:b/>
                <w:lang w:val="en-GB"/>
              </w:rPr>
            </w:pPr>
            <w:r w:rsidRPr="00DA249F">
              <w:rPr>
                <w:b/>
                <w:lang w:val="en-GB"/>
              </w:rPr>
              <w:br w:type="page"/>
            </w:r>
            <w:r w:rsidR="008C1BF7" w:rsidRPr="00DA249F">
              <w:rPr>
                <w:b/>
                <w:lang w:val="en-GB"/>
              </w:rPr>
              <w:t>Indirect Drivers</w:t>
            </w:r>
          </w:p>
          <w:p w14:paraId="1DCCAB78" w14:textId="2FFA5BE5" w:rsidR="008C1BF7" w:rsidRPr="00DA249F" w:rsidRDefault="0F6F30CB" w:rsidP="003B48E8">
            <w:pPr>
              <w:spacing w:before="120"/>
              <w:jc w:val="left"/>
              <w:rPr>
                <w:lang w:val="en-GB"/>
              </w:rPr>
            </w:pPr>
            <w:r w:rsidRPr="5575EBFC">
              <w:rPr>
                <w:sz w:val="21"/>
                <w:szCs w:val="21"/>
                <w:lang w:val="en-GB"/>
              </w:rPr>
              <w:t>Anthropogenic</w:t>
            </w:r>
            <w:r w:rsidR="71E6A1AA" w:rsidRPr="5575EBFC">
              <w:rPr>
                <w:sz w:val="21"/>
                <w:szCs w:val="21"/>
                <w:lang w:val="en-GB"/>
              </w:rPr>
              <w:t xml:space="preserve"> f</w:t>
            </w:r>
            <w:r w:rsidR="3D04D128" w:rsidRPr="5575EBFC">
              <w:rPr>
                <w:sz w:val="21"/>
                <w:szCs w:val="21"/>
                <w:lang w:val="en-GB"/>
              </w:rPr>
              <w:t xml:space="preserve">actors that affect </w:t>
            </w:r>
            <w:r w:rsidR="6103D370" w:rsidRPr="5575EBFC">
              <w:rPr>
                <w:sz w:val="21"/>
                <w:szCs w:val="21"/>
                <w:lang w:val="en-GB"/>
              </w:rPr>
              <w:t xml:space="preserve">nature </w:t>
            </w:r>
            <w:r w:rsidR="338F3D08" w:rsidRPr="5575EBFC">
              <w:rPr>
                <w:sz w:val="21"/>
                <w:szCs w:val="21"/>
                <w:lang w:val="en-GB"/>
              </w:rPr>
              <w:t>indirectly</w:t>
            </w:r>
            <w:r w:rsidR="3D04D128" w:rsidRPr="5575EBFC">
              <w:rPr>
                <w:sz w:val="21"/>
                <w:szCs w:val="21"/>
                <w:lang w:val="en-GB"/>
              </w:rPr>
              <w:t xml:space="preserve"> by altering one or more direct drivers</w:t>
            </w:r>
            <w:r w:rsidR="41A19370" w:rsidRPr="5575EBFC">
              <w:rPr>
                <w:sz w:val="21"/>
                <w:szCs w:val="21"/>
                <w:lang w:val="en-GB"/>
              </w:rPr>
              <w:t xml:space="preserve">, but which may act </w:t>
            </w:r>
            <w:r w:rsidR="20295B62" w:rsidRPr="5575EBFC">
              <w:rPr>
                <w:sz w:val="21"/>
                <w:szCs w:val="21"/>
                <w:lang w:val="en-GB"/>
              </w:rPr>
              <w:t xml:space="preserve">both indirectly and </w:t>
            </w:r>
            <w:r w:rsidR="41A19370" w:rsidRPr="5575EBFC">
              <w:rPr>
                <w:sz w:val="21"/>
                <w:szCs w:val="21"/>
                <w:lang w:val="en-GB"/>
              </w:rPr>
              <w:t>directly on invasive alien species</w:t>
            </w:r>
            <w:r w:rsidR="7451C63A" w:rsidRPr="5575EBFC">
              <w:rPr>
                <w:sz w:val="21"/>
                <w:szCs w:val="21"/>
                <w:lang w:val="en-GB"/>
              </w:rPr>
              <w:t>.</w:t>
            </w:r>
          </w:p>
        </w:tc>
        <w:tc>
          <w:tcPr>
            <w:tcW w:w="3420" w:type="dxa"/>
            <w:shd w:val="clear" w:color="auto" w:fill="D9D9D9" w:themeFill="background1" w:themeFillShade="D9"/>
          </w:tcPr>
          <w:p w14:paraId="4FDACB4C" w14:textId="77777777" w:rsidR="008C1BF7" w:rsidRPr="00DA249F" w:rsidRDefault="00327BAE" w:rsidP="00DF6D25">
            <w:pPr>
              <w:spacing w:before="120"/>
              <w:jc w:val="center"/>
              <w:rPr>
                <w:b/>
                <w:lang w:val="en-GB"/>
              </w:rPr>
            </w:pPr>
            <w:r w:rsidRPr="00DA249F">
              <w:rPr>
                <w:b/>
                <w:lang w:val="en-GB"/>
              </w:rPr>
              <w:t xml:space="preserve">Anthropogenic </w:t>
            </w:r>
            <w:r w:rsidR="008C1BF7" w:rsidRPr="00DA249F">
              <w:rPr>
                <w:b/>
                <w:lang w:val="en-GB"/>
              </w:rPr>
              <w:t>Direct Drivers</w:t>
            </w:r>
          </w:p>
          <w:p w14:paraId="17B5FF00" w14:textId="5D1A4734" w:rsidR="008C1BF7" w:rsidRPr="00DA249F" w:rsidRDefault="53F67A3E" w:rsidP="003B48E8">
            <w:pPr>
              <w:spacing w:before="120"/>
              <w:jc w:val="left"/>
              <w:rPr>
                <w:lang w:val="en-GB"/>
              </w:rPr>
            </w:pPr>
            <w:r w:rsidRPr="5575EBFC">
              <w:rPr>
                <w:sz w:val="21"/>
                <w:szCs w:val="21"/>
                <w:lang w:val="en-GB"/>
              </w:rPr>
              <w:t>F</w:t>
            </w:r>
            <w:r w:rsidR="7A4DA54B" w:rsidRPr="5575EBFC">
              <w:rPr>
                <w:sz w:val="21"/>
                <w:szCs w:val="21"/>
                <w:lang w:val="en-GB"/>
              </w:rPr>
              <w:t xml:space="preserve">actors that describe direct human influence on </w:t>
            </w:r>
            <w:r w:rsidR="7148DE4F" w:rsidRPr="5575EBFC">
              <w:rPr>
                <w:sz w:val="21"/>
                <w:szCs w:val="21"/>
                <w:lang w:val="en-GB"/>
              </w:rPr>
              <w:t>nature</w:t>
            </w:r>
            <w:r w:rsidR="669D8B0B" w:rsidRPr="5575EBFC">
              <w:rPr>
                <w:sz w:val="21"/>
                <w:szCs w:val="21"/>
                <w:lang w:val="en-GB"/>
              </w:rPr>
              <w:t xml:space="preserve">. These </w:t>
            </w:r>
            <w:r w:rsidR="29003085" w:rsidRPr="5575EBFC">
              <w:rPr>
                <w:sz w:val="21"/>
                <w:szCs w:val="21"/>
                <w:lang w:val="en-GB"/>
              </w:rPr>
              <w:t xml:space="preserve">may affect </w:t>
            </w:r>
            <w:r w:rsidR="669D8B0B" w:rsidRPr="5575EBFC">
              <w:rPr>
                <w:sz w:val="21"/>
                <w:szCs w:val="21"/>
                <w:lang w:val="en-GB"/>
              </w:rPr>
              <w:t>invasive alien species directly</w:t>
            </w:r>
            <w:r w:rsidR="225916E9" w:rsidRPr="5575EBFC">
              <w:rPr>
                <w:sz w:val="21"/>
                <w:szCs w:val="21"/>
                <w:lang w:val="en-GB"/>
              </w:rPr>
              <w:t>,</w:t>
            </w:r>
            <w:r w:rsidR="3E8D8BD3" w:rsidRPr="5575EBFC">
              <w:rPr>
                <w:sz w:val="21"/>
                <w:szCs w:val="21"/>
                <w:lang w:val="en-GB"/>
              </w:rPr>
              <w:t xml:space="preserve"> </w:t>
            </w:r>
            <w:r w:rsidR="225916E9" w:rsidRPr="5575EBFC">
              <w:rPr>
                <w:sz w:val="21"/>
                <w:szCs w:val="21"/>
                <w:lang w:val="en-GB"/>
              </w:rPr>
              <w:t xml:space="preserve">or </w:t>
            </w:r>
            <w:r w:rsidR="669D8B0B" w:rsidRPr="5575EBFC">
              <w:rPr>
                <w:sz w:val="21"/>
                <w:szCs w:val="21"/>
                <w:lang w:val="en-GB"/>
              </w:rPr>
              <w:t xml:space="preserve">via </w:t>
            </w:r>
            <w:r w:rsidR="798283A0" w:rsidRPr="5575EBFC">
              <w:rPr>
                <w:sz w:val="21"/>
                <w:szCs w:val="21"/>
                <w:lang w:val="en-GB"/>
              </w:rPr>
              <w:t>interactions</w:t>
            </w:r>
            <w:r w:rsidR="1D67E052" w:rsidRPr="5575EBFC">
              <w:rPr>
                <w:sz w:val="21"/>
                <w:szCs w:val="21"/>
                <w:lang w:val="en-GB"/>
              </w:rPr>
              <w:t xml:space="preserve"> </w:t>
            </w:r>
            <w:r w:rsidR="37853772" w:rsidRPr="5575EBFC">
              <w:rPr>
                <w:sz w:val="21"/>
                <w:szCs w:val="21"/>
                <w:lang w:val="en-GB"/>
              </w:rPr>
              <w:t xml:space="preserve">and </w:t>
            </w:r>
            <w:r w:rsidR="419A0B44" w:rsidRPr="5575EBFC">
              <w:rPr>
                <w:sz w:val="21"/>
                <w:szCs w:val="21"/>
                <w:lang w:val="en-GB"/>
              </w:rPr>
              <w:t>feedbacks</w:t>
            </w:r>
            <w:r w:rsidR="225916E9" w:rsidRPr="5575EBFC">
              <w:rPr>
                <w:sz w:val="21"/>
                <w:szCs w:val="21"/>
                <w:lang w:val="en-GB"/>
              </w:rPr>
              <w:t xml:space="preserve"> involving other drivers.</w:t>
            </w:r>
          </w:p>
        </w:tc>
        <w:tc>
          <w:tcPr>
            <w:tcW w:w="3235" w:type="dxa"/>
            <w:shd w:val="clear" w:color="auto" w:fill="D9D9D9" w:themeFill="background1" w:themeFillShade="D9"/>
          </w:tcPr>
          <w:p w14:paraId="3C04550D" w14:textId="77777777" w:rsidR="007C59F2" w:rsidRPr="00DA249F" w:rsidRDefault="00D52149" w:rsidP="00DF6D25">
            <w:pPr>
              <w:spacing w:before="120"/>
              <w:jc w:val="center"/>
              <w:rPr>
                <w:b/>
                <w:lang w:val="en-GB"/>
              </w:rPr>
            </w:pPr>
            <w:r w:rsidRPr="00DA249F">
              <w:rPr>
                <w:b/>
                <w:lang w:val="en-GB"/>
              </w:rPr>
              <w:t xml:space="preserve">Natural </w:t>
            </w:r>
            <w:r w:rsidR="007E099C" w:rsidRPr="00DA249F">
              <w:rPr>
                <w:b/>
                <w:lang w:val="en-GB"/>
              </w:rPr>
              <w:t>Drivers</w:t>
            </w:r>
            <w:r w:rsidR="007B3C47" w:rsidRPr="00DA249F">
              <w:rPr>
                <w:b/>
                <w:lang w:val="en-GB"/>
              </w:rPr>
              <w:t xml:space="preserve"> and Biodiversity Loss</w:t>
            </w:r>
          </w:p>
          <w:p w14:paraId="0D3FBA74" w14:textId="542A7E44" w:rsidR="007C59F2" w:rsidRPr="00DA249F" w:rsidRDefault="79EFC0D5" w:rsidP="003B48E8">
            <w:pPr>
              <w:spacing w:before="120"/>
              <w:jc w:val="left"/>
              <w:rPr>
                <w:b/>
                <w:bCs/>
                <w:lang w:val="en-GB"/>
              </w:rPr>
            </w:pPr>
            <w:r w:rsidRPr="5575EBFC">
              <w:rPr>
                <w:sz w:val="21"/>
                <w:szCs w:val="21"/>
                <w:lang w:val="en-GB"/>
              </w:rPr>
              <w:t xml:space="preserve">Factors that describe natural </w:t>
            </w:r>
            <w:r w:rsidR="04CC1FE8" w:rsidRPr="5575EBFC">
              <w:rPr>
                <w:sz w:val="21"/>
                <w:szCs w:val="21"/>
                <w:lang w:val="en-GB"/>
              </w:rPr>
              <w:t xml:space="preserve">drivers </w:t>
            </w:r>
            <w:r w:rsidR="225916E9" w:rsidRPr="5575EBFC">
              <w:rPr>
                <w:sz w:val="21"/>
                <w:szCs w:val="21"/>
                <w:lang w:val="en-GB"/>
              </w:rPr>
              <w:t xml:space="preserve">and aspects of biodiversity loss </w:t>
            </w:r>
            <w:r w:rsidR="20295B62" w:rsidRPr="5575EBFC">
              <w:rPr>
                <w:sz w:val="21"/>
                <w:szCs w:val="21"/>
                <w:lang w:val="en-GB"/>
              </w:rPr>
              <w:t xml:space="preserve">which may </w:t>
            </w:r>
            <w:r w:rsidR="64AE3047" w:rsidRPr="5575EBFC">
              <w:rPr>
                <w:sz w:val="21"/>
                <w:szCs w:val="21"/>
                <w:lang w:val="en-GB"/>
              </w:rPr>
              <w:t xml:space="preserve">directly and in interaction with other drivers </w:t>
            </w:r>
            <w:r w:rsidR="7B7D8F29" w:rsidRPr="5575EBFC">
              <w:rPr>
                <w:sz w:val="21"/>
                <w:szCs w:val="21"/>
                <w:lang w:val="en-GB"/>
              </w:rPr>
              <w:t>facilitate</w:t>
            </w:r>
            <w:r w:rsidRPr="5575EBFC">
              <w:rPr>
                <w:sz w:val="21"/>
                <w:szCs w:val="21"/>
                <w:lang w:val="en-GB"/>
              </w:rPr>
              <w:t xml:space="preserve"> invasive alien species</w:t>
            </w:r>
            <w:r w:rsidR="3CB88371" w:rsidRPr="5575EBFC">
              <w:rPr>
                <w:sz w:val="21"/>
                <w:szCs w:val="21"/>
                <w:lang w:val="en-GB"/>
              </w:rPr>
              <w:t>.</w:t>
            </w:r>
            <w:r w:rsidR="7EFC4C1C" w:rsidRPr="5575EBFC">
              <w:rPr>
                <w:sz w:val="21"/>
                <w:szCs w:val="21"/>
                <w:lang w:val="en-GB"/>
              </w:rPr>
              <w:t xml:space="preserve"> </w:t>
            </w:r>
          </w:p>
        </w:tc>
      </w:tr>
      <w:tr w:rsidR="008C1BF7" w:rsidRPr="00DA249F" w14:paraId="5D883824" w14:textId="77777777" w:rsidTr="5575EBFC">
        <w:tc>
          <w:tcPr>
            <w:tcW w:w="2695" w:type="dxa"/>
          </w:tcPr>
          <w:p w14:paraId="25B64822" w14:textId="77777777" w:rsidR="00784F1E" w:rsidRPr="00DA249F" w:rsidRDefault="008C1BF7" w:rsidP="00C85F63">
            <w:pPr>
              <w:spacing w:before="120"/>
              <w:jc w:val="left"/>
              <w:rPr>
                <w:b/>
                <w:lang w:val="en-GB"/>
              </w:rPr>
            </w:pPr>
            <w:r w:rsidRPr="00DA249F">
              <w:rPr>
                <w:b/>
                <w:lang w:val="en-GB"/>
              </w:rPr>
              <w:t>Sociocultural drivers</w:t>
            </w:r>
            <w:r w:rsidR="00784F1E" w:rsidRPr="00DA249F">
              <w:rPr>
                <w:b/>
                <w:lang w:val="en-GB"/>
              </w:rPr>
              <w:t xml:space="preserve"> and s</w:t>
            </w:r>
            <w:r w:rsidRPr="00DA249F">
              <w:rPr>
                <w:b/>
                <w:lang w:val="en-GB"/>
              </w:rPr>
              <w:t>o</w:t>
            </w:r>
            <w:r w:rsidR="00784F1E" w:rsidRPr="00DA249F">
              <w:rPr>
                <w:b/>
                <w:lang w:val="en-GB"/>
              </w:rPr>
              <w:t>cial v</w:t>
            </w:r>
            <w:r w:rsidRPr="00DA249F">
              <w:rPr>
                <w:b/>
                <w:lang w:val="en-GB"/>
              </w:rPr>
              <w:t>alues</w:t>
            </w:r>
            <w:r w:rsidR="00784F1E" w:rsidRPr="00DA249F">
              <w:rPr>
                <w:b/>
                <w:lang w:val="en-GB"/>
              </w:rPr>
              <w:t xml:space="preserve"> (3.2.1)</w:t>
            </w:r>
          </w:p>
          <w:p w14:paraId="5CFA0249" w14:textId="77777777" w:rsidR="008C1BF7" w:rsidRPr="00DA249F" w:rsidRDefault="008C1BF7" w:rsidP="00DF6D25">
            <w:pPr>
              <w:spacing w:before="120"/>
              <w:jc w:val="left"/>
              <w:rPr>
                <w:b/>
                <w:lang w:val="en-GB"/>
              </w:rPr>
            </w:pPr>
            <w:r w:rsidRPr="00DA249F">
              <w:rPr>
                <w:b/>
                <w:lang w:val="en-GB"/>
              </w:rPr>
              <w:t>Demographic drivers</w:t>
            </w:r>
            <w:r w:rsidR="00784F1E" w:rsidRPr="00DA249F">
              <w:rPr>
                <w:b/>
                <w:lang w:val="en-GB"/>
              </w:rPr>
              <w:t xml:space="preserve"> (3.2.2)</w:t>
            </w:r>
          </w:p>
          <w:p w14:paraId="7E36A4B9" w14:textId="77777777" w:rsidR="008C1BF7" w:rsidRPr="00DA249F" w:rsidRDefault="2EBD0E94" w:rsidP="004826A3">
            <w:pPr>
              <w:pStyle w:val="ListParagraph"/>
              <w:numPr>
                <w:ilvl w:val="0"/>
                <w:numId w:val="17"/>
              </w:numPr>
              <w:spacing w:beforeLines="0" w:before="0" w:afterLines="0" w:after="0" w:line="240" w:lineRule="auto"/>
              <w:contextualSpacing/>
              <w:jc w:val="left"/>
              <w:rPr>
                <w:lang w:val="en-GB"/>
              </w:rPr>
            </w:pPr>
            <w:r w:rsidRPr="00DA249F">
              <w:rPr>
                <w:lang w:val="en-GB"/>
              </w:rPr>
              <w:t>Regional and national c</w:t>
            </w:r>
            <w:r w:rsidR="008C1BF7" w:rsidRPr="00DA249F">
              <w:rPr>
                <w:lang w:val="en-GB"/>
              </w:rPr>
              <w:t xml:space="preserve">hanges in human population </w:t>
            </w:r>
            <w:r w:rsidR="007C59F2" w:rsidRPr="00DA249F">
              <w:rPr>
                <w:lang w:val="en-GB"/>
              </w:rPr>
              <w:t>density</w:t>
            </w:r>
            <w:r w:rsidR="00CA224F">
              <w:rPr>
                <w:lang w:val="en-GB"/>
              </w:rPr>
              <w:t xml:space="preserve"> </w:t>
            </w:r>
          </w:p>
          <w:p w14:paraId="115A573A" w14:textId="77777777" w:rsidR="008C1BF7" w:rsidRPr="00DA249F" w:rsidRDefault="2EBD0E94" w:rsidP="004826A3">
            <w:pPr>
              <w:pStyle w:val="ListParagraph"/>
              <w:numPr>
                <w:ilvl w:val="0"/>
                <w:numId w:val="17"/>
              </w:numPr>
              <w:spacing w:beforeLines="0" w:before="0" w:afterLines="0" w:after="0" w:line="240" w:lineRule="auto"/>
              <w:contextualSpacing/>
              <w:jc w:val="left"/>
              <w:rPr>
                <w:lang w:val="en-GB"/>
              </w:rPr>
            </w:pPr>
            <w:r w:rsidRPr="00DA249F">
              <w:rPr>
                <w:lang w:val="en-GB"/>
              </w:rPr>
              <w:t>Human m</w:t>
            </w:r>
            <w:r w:rsidR="008C1BF7" w:rsidRPr="00DA249F">
              <w:rPr>
                <w:lang w:val="en-GB"/>
              </w:rPr>
              <w:t>igration</w:t>
            </w:r>
          </w:p>
          <w:p w14:paraId="51D11606" w14:textId="77777777" w:rsidR="008C1BF7" w:rsidRPr="00DA249F" w:rsidRDefault="008C1BF7" w:rsidP="004826A3">
            <w:pPr>
              <w:pStyle w:val="ListParagraph"/>
              <w:numPr>
                <w:ilvl w:val="0"/>
                <w:numId w:val="17"/>
              </w:numPr>
              <w:spacing w:beforeLines="0" w:before="0" w:afterLines="0" w:after="0" w:line="240" w:lineRule="auto"/>
              <w:contextualSpacing/>
              <w:jc w:val="left"/>
              <w:rPr>
                <w:lang w:val="en-GB"/>
              </w:rPr>
            </w:pPr>
            <w:r w:rsidRPr="00DA249F">
              <w:rPr>
                <w:lang w:val="en-GB"/>
              </w:rPr>
              <w:t>International crises:</w:t>
            </w:r>
            <w:r w:rsidR="2EBD0E94" w:rsidRPr="00DA249F">
              <w:rPr>
                <w:lang w:val="en-GB"/>
              </w:rPr>
              <w:t xml:space="preserve"> armed conflict and </w:t>
            </w:r>
            <w:r w:rsidR="008462A2" w:rsidRPr="00DA249F">
              <w:rPr>
                <w:lang w:val="en-GB"/>
              </w:rPr>
              <w:t>emergency</w:t>
            </w:r>
            <w:r w:rsidR="2EBD0E94" w:rsidRPr="00DA249F">
              <w:rPr>
                <w:lang w:val="en-GB"/>
              </w:rPr>
              <w:t xml:space="preserve"> aid</w:t>
            </w:r>
          </w:p>
          <w:p w14:paraId="5D46C8BB" w14:textId="77777777" w:rsidR="008C1BF7" w:rsidRPr="00DA249F" w:rsidRDefault="008C1BF7" w:rsidP="004826A3">
            <w:pPr>
              <w:pStyle w:val="ListParagraph"/>
              <w:numPr>
                <w:ilvl w:val="0"/>
                <w:numId w:val="17"/>
              </w:numPr>
              <w:spacing w:beforeLines="0" w:before="0" w:afterLines="0" w:after="0" w:line="240" w:lineRule="auto"/>
              <w:contextualSpacing/>
              <w:jc w:val="left"/>
              <w:rPr>
                <w:lang w:val="en-GB"/>
              </w:rPr>
            </w:pPr>
            <w:r w:rsidRPr="00DA249F">
              <w:rPr>
                <w:lang w:val="en-GB"/>
              </w:rPr>
              <w:t>Urbani</w:t>
            </w:r>
            <w:r w:rsidR="005C5CFC" w:rsidRPr="00DA249F">
              <w:rPr>
                <w:lang w:val="en-GB"/>
              </w:rPr>
              <w:t>z</w:t>
            </w:r>
            <w:r w:rsidRPr="00DA249F">
              <w:rPr>
                <w:lang w:val="en-GB"/>
              </w:rPr>
              <w:t>ation</w:t>
            </w:r>
          </w:p>
          <w:p w14:paraId="7F8FA4FE" w14:textId="77777777" w:rsidR="008C1BF7" w:rsidRPr="00DA249F" w:rsidRDefault="008C1BF7" w:rsidP="00DF6D25">
            <w:pPr>
              <w:spacing w:before="120"/>
              <w:rPr>
                <w:b/>
                <w:lang w:val="en-GB"/>
              </w:rPr>
            </w:pPr>
            <w:r w:rsidRPr="00DA249F">
              <w:rPr>
                <w:b/>
                <w:lang w:val="en-GB"/>
              </w:rPr>
              <w:t>Economic drivers</w:t>
            </w:r>
            <w:r w:rsidR="00876A1F" w:rsidRPr="00DA249F">
              <w:rPr>
                <w:b/>
                <w:lang w:val="en-GB"/>
              </w:rPr>
              <w:t xml:space="preserve"> (3.2.3)</w:t>
            </w:r>
          </w:p>
          <w:p w14:paraId="44B9962A" w14:textId="77777777" w:rsidR="008C1BF7" w:rsidRPr="00DA249F" w:rsidRDefault="2EBD0E94" w:rsidP="004826A3">
            <w:pPr>
              <w:pStyle w:val="ListParagraph"/>
              <w:numPr>
                <w:ilvl w:val="0"/>
                <w:numId w:val="17"/>
              </w:numPr>
              <w:spacing w:beforeLines="0" w:before="0" w:afterLines="0" w:after="0" w:line="240" w:lineRule="auto"/>
              <w:contextualSpacing/>
              <w:jc w:val="left"/>
              <w:rPr>
                <w:lang w:val="en-GB"/>
              </w:rPr>
            </w:pPr>
            <w:r w:rsidRPr="00DA249F">
              <w:rPr>
                <w:lang w:val="en-GB"/>
              </w:rPr>
              <w:t>International trade and</w:t>
            </w:r>
            <w:r w:rsidR="008C1BF7" w:rsidRPr="00DA249F">
              <w:rPr>
                <w:lang w:val="en-GB"/>
              </w:rPr>
              <w:t xml:space="preserve"> global commerce</w:t>
            </w:r>
          </w:p>
          <w:p w14:paraId="1EC2A6B2" w14:textId="77777777" w:rsidR="008C1BF7" w:rsidRPr="00DA249F" w:rsidRDefault="2EBD0E94" w:rsidP="004826A3">
            <w:pPr>
              <w:pStyle w:val="ListParagraph"/>
              <w:numPr>
                <w:ilvl w:val="0"/>
                <w:numId w:val="17"/>
              </w:numPr>
              <w:spacing w:beforeLines="0" w:before="0" w:afterLines="0" w:after="0" w:line="240" w:lineRule="auto"/>
              <w:contextualSpacing/>
              <w:jc w:val="left"/>
              <w:rPr>
                <w:lang w:val="en-GB"/>
              </w:rPr>
            </w:pPr>
            <w:r w:rsidRPr="00DA249F">
              <w:rPr>
                <w:lang w:val="en-GB"/>
              </w:rPr>
              <w:t>Human international travel for commerce and t</w:t>
            </w:r>
            <w:r w:rsidR="008C1BF7" w:rsidRPr="00DA249F">
              <w:rPr>
                <w:lang w:val="en-GB"/>
              </w:rPr>
              <w:t>ourism</w:t>
            </w:r>
          </w:p>
          <w:p w14:paraId="2C81C18C" w14:textId="77777777" w:rsidR="002F0F54" w:rsidRPr="00DA249F" w:rsidRDefault="002F0F54" w:rsidP="004826A3">
            <w:pPr>
              <w:pStyle w:val="ListParagraph"/>
              <w:numPr>
                <w:ilvl w:val="0"/>
                <w:numId w:val="17"/>
              </w:numPr>
              <w:spacing w:beforeLines="0" w:before="0" w:afterLines="0" w:after="0" w:line="240" w:lineRule="auto"/>
              <w:contextualSpacing/>
              <w:jc w:val="left"/>
              <w:rPr>
                <w:lang w:val="en-GB"/>
              </w:rPr>
            </w:pPr>
            <w:r w:rsidRPr="00DA249F">
              <w:rPr>
                <w:lang w:val="en-GB"/>
              </w:rPr>
              <w:t>Externalities of negative impacts and cost</w:t>
            </w:r>
          </w:p>
          <w:p w14:paraId="08EAEB42" w14:textId="7D3AD183" w:rsidR="1A701EE2" w:rsidRPr="00DA249F" w:rsidRDefault="007A5D80" w:rsidP="004826A3">
            <w:pPr>
              <w:pStyle w:val="ListParagraph"/>
              <w:numPr>
                <w:ilvl w:val="0"/>
                <w:numId w:val="17"/>
              </w:numPr>
              <w:spacing w:beforeLines="0" w:before="0" w:afterLines="0" w:after="0" w:line="240" w:lineRule="auto"/>
              <w:contextualSpacing/>
              <w:jc w:val="left"/>
              <w:rPr>
                <w:lang w:val="en-GB"/>
              </w:rPr>
            </w:pPr>
            <w:r w:rsidRPr="00DA249F">
              <w:rPr>
                <w:lang w:val="en-GB"/>
              </w:rPr>
              <w:t>Wealth, inequality</w:t>
            </w:r>
            <w:r w:rsidR="009F7404">
              <w:rPr>
                <w:lang w:val="en-GB"/>
              </w:rPr>
              <w:t xml:space="preserve"> and</w:t>
            </w:r>
            <w:r w:rsidRPr="00DA249F">
              <w:rPr>
                <w:lang w:val="en-GB"/>
              </w:rPr>
              <w:t xml:space="preserve"> poverty</w:t>
            </w:r>
          </w:p>
          <w:p w14:paraId="374FFCD2" w14:textId="77777777" w:rsidR="008C1BF7" w:rsidRPr="00DA249F" w:rsidRDefault="008C1BF7" w:rsidP="00DF6D25">
            <w:pPr>
              <w:spacing w:before="120"/>
              <w:rPr>
                <w:b/>
                <w:lang w:val="en-GB"/>
              </w:rPr>
            </w:pPr>
            <w:r w:rsidRPr="00DA249F">
              <w:rPr>
                <w:b/>
                <w:lang w:val="en-GB"/>
              </w:rPr>
              <w:t xml:space="preserve">Science and </w:t>
            </w:r>
            <w:r w:rsidRPr="00DA249F">
              <w:rPr>
                <w:b/>
                <w:bCs/>
                <w:lang w:val="en-GB"/>
              </w:rPr>
              <w:t>Technolog</w:t>
            </w:r>
            <w:r w:rsidR="51208EA7" w:rsidRPr="00DA249F">
              <w:rPr>
                <w:b/>
                <w:bCs/>
                <w:lang w:val="en-GB"/>
              </w:rPr>
              <w:t>y</w:t>
            </w:r>
            <w:r w:rsidR="00876A1F" w:rsidRPr="00DA249F">
              <w:rPr>
                <w:b/>
                <w:lang w:val="en-GB"/>
              </w:rPr>
              <w:t xml:space="preserve"> (3.2.4)</w:t>
            </w:r>
          </w:p>
          <w:p w14:paraId="12A2E6D3" w14:textId="77777777" w:rsidR="008C1BF7" w:rsidRPr="00DA249F" w:rsidRDefault="008C1BF7" w:rsidP="004826A3">
            <w:pPr>
              <w:pStyle w:val="ListParagraph"/>
              <w:numPr>
                <w:ilvl w:val="0"/>
                <w:numId w:val="17"/>
              </w:numPr>
              <w:spacing w:beforeLines="0" w:before="0" w:afterLines="0" w:after="0" w:line="240" w:lineRule="auto"/>
              <w:contextualSpacing/>
              <w:jc w:val="left"/>
              <w:rPr>
                <w:lang w:val="en-GB"/>
              </w:rPr>
            </w:pPr>
            <w:r w:rsidRPr="00DA249F">
              <w:rPr>
                <w:lang w:val="en-GB"/>
              </w:rPr>
              <w:t>Research</w:t>
            </w:r>
          </w:p>
          <w:p w14:paraId="0E7DDAA9" w14:textId="77777777" w:rsidR="008C1BF7" w:rsidRPr="00DA249F" w:rsidRDefault="2EBD0E94" w:rsidP="004826A3">
            <w:pPr>
              <w:pStyle w:val="ListParagraph"/>
              <w:numPr>
                <w:ilvl w:val="0"/>
                <w:numId w:val="17"/>
              </w:numPr>
              <w:spacing w:beforeLines="0" w:before="0" w:afterLines="0" w:after="0" w:line="240" w:lineRule="auto"/>
              <w:contextualSpacing/>
              <w:jc w:val="left"/>
              <w:rPr>
                <w:lang w:val="en-GB"/>
              </w:rPr>
            </w:pPr>
            <w:r w:rsidRPr="00DA249F">
              <w:rPr>
                <w:lang w:val="en-GB"/>
              </w:rPr>
              <w:t>Development of</w:t>
            </w:r>
            <w:r w:rsidR="008C1BF7" w:rsidRPr="00DA249F">
              <w:rPr>
                <w:lang w:val="en-GB"/>
              </w:rPr>
              <w:t xml:space="preserve"> communication technology</w:t>
            </w:r>
          </w:p>
          <w:p w14:paraId="0D3A4D1B" w14:textId="77777777" w:rsidR="008C1BF7" w:rsidRPr="00DA249F" w:rsidRDefault="2EBD0E94" w:rsidP="004826A3">
            <w:pPr>
              <w:pStyle w:val="ListParagraph"/>
              <w:numPr>
                <w:ilvl w:val="0"/>
                <w:numId w:val="17"/>
              </w:numPr>
              <w:spacing w:beforeLines="0" w:before="0" w:afterLines="0" w:after="0" w:line="240" w:lineRule="auto"/>
              <w:contextualSpacing/>
              <w:jc w:val="left"/>
              <w:rPr>
                <w:lang w:val="en-GB"/>
              </w:rPr>
            </w:pPr>
            <w:r w:rsidRPr="00DA249F">
              <w:rPr>
                <w:lang w:val="en-GB"/>
              </w:rPr>
              <w:t xml:space="preserve">Breeding and genomic </w:t>
            </w:r>
            <w:r w:rsidR="008C1BF7" w:rsidRPr="00DA249F">
              <w:rPr>
                <w:lang w:val="en-GB"/>
              </w:rPr>
              <w:t>technologies</w:t>
            </w:r>
          </w:p>
          <w:p w14:paraId="10ACB1C5" w14:textId="77777777" w:rsidR="008C1BF7" w:rsidRPr="00DA249F" w:rsidRDefault="008C1BF7" w:rsidP="00DF6D25">
            <w:pPr>
              <w:spacing w:before="120"/>
              <w:jc w:val="left"/>
              <w:rPr>
                <w:b/>
                <w:lang w:val="en-GB"/>
              </w:rPr>
            </w:pPr>
            <w:r w:rsidRPr="00DA249F">
              <w:rPr>
                <w:b/>
                <w:lang w:val="en-GB"/>
              </w:rPr>
              <w:lastRenderedPageBreak/>
              <w:t>Policies, governance and institutions</w:t>
            </w:r>
            <w:r w:rsidR="00876A1F" w:rsidRPr="00DA249F">
              <w:rPr>
                <w:b/>
                <w:lang w:val="en-GB"/>
              </w:rPr>
              <w:t xml:space="preserve"> (3.2.5)</w:t>
            </w:r>
          </w:p>
          <w:p w14:paraId="4C2C8571" w14:textId="77777777" w:rsidR="008C1BF7" w:rsidRPr="00DA249F" w:rsidRDefault="008C1BF7" w:rsidP="00F312EC">
            <w:pPr>
              <w:pStyle w:val="ListParagraph"/>
              <w:spacing w:before="120" w:line="240" w:lineRule="auto"/>
              <w:ind w:left="360"/>
              <w:contextualSpacing/>
              <w:rPr>
                <w:lang w:val="en-GB"/>
              </w:rPr>
            </w:pPr>
          </w:p>
        </w:tc>
        <w:tc>
          <w:tcPr>
            <w:tcW w:w="3420" w:type="dxa"/>
          </w:tcPr>
          <w:p w14:paraId="630826B3" w14:textId="77777777" w:rsidR="008C1BF7" w:rsidRPr="00DA249F" w:rsidRDefault="00066BF9" w:rsidP="00DF6D25">
            <w:pPr>
              <w:spacing w:before="120"/>
              <w:jc w:val="left"/>
              <w:rPr>
                <w:b/>
                <w:lang w:val="en-GB"/>
              </w:rPr>
            </w:pPr>
            <w:r w:rsidRPr="00DA249F">
              <w:rPr>
                <w:b/>
                <w:lang w:val="en-GB"/>
              </w:rPr>
              <w:lastRenderedPageBreak/>
              <w:t xml:space="preserve">Land- and </w:t>
            </w:r>
            <w:r w:rsidR="008C1BF7" w:rsidRPr="00DA249F">
              <w:rPr>
                <w:b/>
                <w:lang w:val="en-GB"/>
              </w:rPr>
              <w:t xml:space="preserve">sea-use </w:t>
            </w:r>
            <w:r w:rsidR="008C1BF7" w:rsidRPr="00DA249F">
              <w:rPr>
                <w:b/>
                <w:bCs/>
                <w:lang w:val="en-GB"/>
              </w:rPr>
              <w:t>change</w:t>
            </w:r>
            <w:r w:rsidR="00876A1F" w:rsidRPr="00DA249F">
              <w:rPr>
                <w:b/>
                <w:lang w:val="en-GB"/>
              </w:rPr>
              <w:t xml:space="preserve"> (3.3.1)</w:t>
            </w:r>
          </w:p>
          <w:p w14:paraId="4AC19B63" w14:textId="7D4149A9" w:rsidR="008C1BF7" w:rsidRPr="00DA249F" w:rsidRDefault="7A4DA54B" w:rsidP="004826A3">
            <w:pPr>
              <w:pStyle w:val="ListParagraph"/>
              <w:numPr>
                <w:ilvl w:val="0"/>
                <w:numId w:val="17"/>
              </w:numPr>
              <w:spacing w:beforeLines="0" w:before="0" w:afterLines="0" w:after="0" w:line="240" w:lineRule="auto"/>
              <w:contextualSpacing/>
              <w:jc w:val="left"/>
              <w:rPr>
                <w:lang w:val="en-GB"/>
              </w:rPr>
            </w:pPr>
            <w:r w:rsidRPr="5575EBFC">
              <w:rPr>
                <w:lang w:val="en-GB"/>
              </w:rPr>
              <w:t>Introduction</w:t>
            </w:r>
            <w:r w:rsidR="3E106912" w:rsidRPr="5575EBFC">
              <w:rPr>
                <w:lang w:val="en-GB"/>
              </w:rPr>
              <w:t>s</w:t>
            </w:r>
            <w:r w:rsidR="75095135" w:rsidRPr="5575EBFC">
              <w:rPr>
                <w:lang w:val="en-GB"/>
              </w:rPr>
              <w:t xml:space="preserve"> </w:t>
            </w:r>
            <w:r w:rsidR="0FCC6ABD" w:rsidRPr="5575EBFC">
              <w:rPr>
                <w:lang w:val="en-GB"/>
              </w:rPr>
              <w:t>from the use of alien</w:t>
            </w:r>
            <w:r w:rsidR="5D99E530" w:rsidRPr="5575EBFC">
              <w:rPr>
                <w:lang w:val="en-GB"/>
              </w:rPr>
              <w:t xml:space="preserve"> species in </w:t>
            </w:r>
            <w:r w:rsidR="49C5E101" w:rsidRPr="5575EBFC">
              <w:rPr>
                <w:lang w:val="en-GB"/>
              </w:rPr>
              <w:t>terrestrial</w:t>
            </w:r>
            <w:r w:rsidR="740EBF49" w:rsidRPr="5575EBFC">
              <w:rPr>
                <w:lang w:val="en-GB"/>
              </w:rPr>
              <w:t>, aquatic</w:t>
            </w:r>
            <w:r w:rsidR="009F7404">
              <w:rPr>
                <w:lang w:val="en-GB"/>
              </w:rPr>
              <w:t xml:space="preserve"> and</w:t>
            </w:r>
            <w:r w:rsidR="49C5E101" w:rsidRPr="5575EBFC">
              <w:rPr>
                <w:lang w:val="en-GB"/>
              </w:rPr>
              <w:t xml:space="preserve"> marine bioproduction</w:t>
            </w:r>
          </w:p>
          <w:p w14:paraId="0072F032" w14:textId="77777777" w:rsidR="008C1BF7" w:rsidRPr="00DA249F" w:rsidRDefault="008C1BF7" w:rsidP="004826A3">
            <w:pPr>
              <w:pStyle w:val="ListParagraph"/>
              <w:numPr>
                <w:ilvl w:val="0"/>
                <w:numId w:val="17"/>
              </w:numPr>
              <w:spacing w:beforeLines="0" w:before="0" w:afterLines="0" w:after="0" w:line="240" w:lineRule="auto"/>
              <w:contextualSpacing/>
              <w:jc w:val="left"/>
              <w:rPr>
                <w:lang w:val="en-GB"/>
              </w:rPr>
            </w:pPr>
            <w:r w:rsidRPr="00DA249F">
              <w:rPr>
                <w:lang w:val="en-GB"/>
              </w:rPr>
              <w:t>Fragmentation of ecosystems</w:t>
            </w:r>
          </w:p>
          <w:p w14:paraId="54756FBA" w14:textId="77777777" w:rsidR="008C1BF7" w:rsidRPr="00DA249F" w:rsidRDefault="008C1BF7" w:rsidP="004826A3">
            <w:pPr>
              <w:pStyle w:val="ListParagraph"/>
              <w:numPr>
                <w:ilvl w:val="0"/>
                <w:numId w:val="17"/>
              </w:numPr>
              <w:spacing w:beforeLines="0" w:before="0" w:afterLines="0" w:after="0" w:line="240" w:lineRule="auto"/>
              <w:contextualSpacing/>
              <w:jc w:val="left"/>
              <w:rPr>
                <w:lang w:val="en-GB"/>
              </w:rPr>
            </w:pPr>
            <w:r w:rsidRPr="00DA249F">
              <w:rPr>
                <w:lang w:val="en-GB"/>
              </w:rPr>
              <w:t>Creation of anthropogenic corridors</w:t>
            </w:r>
          </w:p>
          <w:p w14:paraId="384C09F0" w14:textId="77777777" w:rsidR="00876A1F" w:rsidRPr="00DA249F" w:rsidRDefault="00876A1F" w:rsidP="004826A3">
            <w:pPr>
              <w:pStyle w:val="ListParagraph"/>
              <w:numPr>
                <w:ilvl w:val="0"/>
                <w:numId w:val="17"/>
              </w:numPr>
              <w:spacing w:beforeLines="0" w:before="0" w:afterLines="0" w:after="0" w:line="240" w:lineRule="auto"/>
              <w:contextualSpacing/>
              <w:jc w:val="left"/>
              <w:rPr>
                <w:lang w:val="en-GB"/>
              </w:rPr>
            </w:pPr>
            <w:r w:rsidRPr="00DA249F">
              <w:rPr>
                <w:lang w:val="en-GB"/>
              </w:rPr>
              <w:t>Deployment of marine infrastructure</w:t>
            </w:r>
          </w:p>
          <w:p w14:paraId="5826198C" w14:textId="77777777" w:rsidR="00876A1F" w:rsidRPr="00DA249F" w:rsidRDefault="4B300EC3" w:rsidP="004826A3">
            <w:pPr>
              <w:pStyle w:val="ListParagraph"/>
              <w:numPr>
                <w:ilvl w:val="0"/>
                <w:numId w:val="17"/>
              </w:numPr>
              <w:spacing w:beforeLines="0" w:before="0" w:afterLines="0" w:after="0" w:line="240" w:lineRule="auto"/>
              <w:contextualSpacing/>
              <w:jc w:val="left"/>
              <w:rPr>
                <w:lang w:val="en-GB"/>
              </w:rPr>
            </w:pPr>
            <w:r w:rsidRPr="00DA249F">
              <w:rPr>
                <w:lang w:val="en-GB"/>
              </w:rPr>
              <w:t xml:space="preserve">Changes in </w:t>
            </w:r>
            <w:r w:rsidR="00876A1F" w:rsidRPr="00DA249F">
              <w:rPr>
                <w:lang w:val="en-GB"/>
              </w:rPr>
              <w:t>landscape - seascape disturbance regimes</w:t>
            </w:r>
          </w:p>
          <w:p w14:paraId="48AEF623" w14:textId="77777777" w:rsidR="008C1BF7" w:rsidRPr="00DA249F" w:rsidRDefault="00876A1F" w:rsidP="004826A3">
            <w:pPr>
              <w:pStyle w:val="ListParagraph"/>
              <w:numPr>
                <w:ilvl w:val="0"/>
                <w:numId w:val="17"/>
              </w:numPr>
              <w:spacing w:beforeLines="0" w:before="0" w:afterLines="0" w:after="0" w:line="240" w:lineRule="auto"/>
              <w:contextualSpacing/>
              <w:jc w:val="left"/>
              <w:rPr>
                <w:lang w:val="en-GB"/>
              </w:rPr>
            </w:pPr>
            <w:r w:rsidRPr="00DA249F">
              <w:rPr>
                <w:lang w:val="en-GB"/>
              </w:rPr>
              <w:t xml:space="preserve">Landscape – seascape </w:t>
            </w:r>
            <w:r w:rsidR="18794F6F" w:rsidRPr="00DA249F">
              <w:rPr>
                <w:lang w:val="en-GB"/>
              </w:rPr>
              <w:t>degradation</w:t>
            </w:r>
          </w:p>
          <w:p w14:paraId="7B25743A" w14:textId="77777777" w:rsidR="008C1BF7" w:rsidRPr="00DA249F" w:rsidRDefault="00175A94" w:rsidP="00DF6D25">
            <w:pPr>
              <w:spacing w:before="120"/>
              <w:jc w:val="left"/>
              <w:rPr>
                <w:b/>
                <w:lang w:val="en-GB"/>
              </w:rPr>
            </w:pPr>
            <w:r w:rsidRPr="00DA249F">
              <w:rPr>
                <w:rStyle w:val="normaltextrun"/>
                <w:b/>
                <w:bCs/>
                <w:color w:val="000000" w:themeColor="text1"/>
                <w:lang w:val="en-GB"/>
              </w:rPr>
              <w:t>Direct exploitation of natural resources</w:t>
            </w:r>
            <w:r w:rsidRPr="00DA249F">
              <w:rPr>
                <w:lang w:val="en-GB"/>
              </w:rPr>
              <w:t xml:space="preserve"> </w:t>
            </w:r>
            <w:r w:rsidR="00876A1F" w:rsidRPr="00DA249F">
              <w:rPr>
                <w:b/>
                <w:lang w:val="en-GB"/>
              </w:rPr>
              <w:t>(3.3.2)</w:t>
            </w:r>
          </w:p>
          <w:p w14:paraId="66E8DB44" w14:textId="77777777" w:rsidR="008C1BF7" w:rsidRPr="00DA249F" w:rsidRDefault="008C1BF7" w:rsidP="004826A3">
            <w:pPr>
              <w:pStyle w:val="ListParagraph"/>
              <w:numPr>
                <w:ilvl w:val="0"/>
                <w:numId w:val="17"/>
              </w:numPr>
              <w:spacing w:beforeLines="0" w:before="0" w:afterLines="0" w:after="0" w:line="240" w:lineRule="auto"/>
              <w:contextualSpacing/>
              <w:jc w:val="left"/>
              <w:rPr>
                <w:lang w:val="en-GB"/>
              </w:rPr>
            </w:pPr>
            <w:r w:rsidRPr="00DA249F">
              <w:rPr>
                <w:lang w:val="en-GB"/>
              </w:rPr>
              <w:t>Species harvesting</w:t>
            </w:r>
          </w:p>
          <w:p w14:paraId="0E30A5D5" w14:textId="77777777" w:rsidR="008C1BF7" w:rsidRPr="00DA249F" w:rsidRDefault="008C1BF7" w:rsidP="004826A3">
            <w:pPr>
              <w:pStyle w:val="ListParagraph"/>
              <w:numPr>
                <w:ilvl w:val="0"/>
                <w:numId w:val="17"/>
              </w:numPr>
              <w:spacing w:beforeLines="0" w:before="0" w:afterLines="0" w:after="0" w:line="240" w:lineRule="auto"/>
              <w:contextualSpacing/>
              <w:jc w:val="left"/>
              <w:rPr>
                <w:lang w:val="en-GB"/>
              </w:rPr>
            </w:pPr>
            <w:r w:rsidRPr="00DA249F">
              <w:rPr>
                <w:lang w:val="en-GB"/>
              </w:rPr>
              <w:t>Hydrological resources</w:t>
            </w:r>
          </w:p>
          <w:p w14:paraId="7B56A5F5" w14:textId="77777777" w:rsidR="008C1BF7" w:rsidRPr="00DA249F" w:rsidRDefault="18E44914" w:rsidP="004826A3">
            <w:pPr>
              <w:pStyle w:val="ListParagraph"/>
              <w:numPr>
                <w:ilvl w:val="0"/>
                <w:numId w:val="17"/>
              </w:numPr>
              <w:spacing w:beforeLines="0" w:before="0" w:afterLines="0" w:after="0" w:line="240" w:lineRule="auto"/>
              <w:contextualSpacing/>
              <w:jc w:val="left"/>
              <w:rPr>
                <w:lang w:val="en-GB"/>
              </w:rPr>
            </w:pPr>
            <w:r w:rsidRPr="00DA249F">
              <w:rPr>
                <w:lang w:val="en-GB"/>
              </w:rPr>
              <w:t>Fossil</w:t>
            </w:r>
            <w:r w:rsidR="00A806D0" w:rsidRPr="00DA249F">
              <w:rPr>
                <w:lang w:val="en-GB"/>
              </w:rPr>
              <w:t xml:space="preserve"> fuels</w:t>
            </w:r>
            <w:r w:rsidR="008C1BF7" w:rsidRPr="00DA249F">
              <w:rPr>
                <w:lang w:val="en-GB"/>
              </w:rPr>
              <w:t xml:space="preserve"> and mining </w:t>
            </w:r>
          </w:p>
          <w:p w14:paraId="46299014" w14:textId="77777777" w:rsidR="008C1BF7" w:rsidRPr="00DA249F" w:rsidRDefault="008C1BF7" w:rsidP="00DF6D25">
            <w:pPr>
              <w:spacing w:before="120"/>
              <w:jc w:val="left"/>
              <w:rPr>
                <w:b/>
                <w:lang w:val="en-GB"/>
              </w:rPr>
            </w:pPr>
            <w:r w:rsidRPr="00DA249F">
              <w:rPr>
                <w:b/>
                <w:lang w:val="en-GB"/>
              </w:rPr>
              <w:t>Pollution</w:t>
            </w:r>
            <w:r w:rsidR="00876A1F" w:rsidRPr="00DA249F">
              <w:rPr>
                <w:b/>
                <w:lang w:val="en-GB"/>
              </w:rPr>
              <w:t xml:space="preserve"> (3.3.3)</w:t>
            </w:r>
          </w:p>
          <w:p w14:paraId="438934A5" w14:textId="77777777" w:rsidR="00876A1F" w:rsidRPr="00DA249F" w:rsidRDefault="00876A1F" w:rsidP="004826A3">
            <w:pPr>
              <w:pStyle w:val="ListParagraph"/>
              <w:numPr>
                <w:ilvl w:val="0"/>
                <w:numId w:val="17"/>
              </w:numPr>
              <w:spacing w:beforeLines="0" w:before="0" w:afterLines="0" w:after="0" w:line="240" w:lineRule="auto"/>
              <w:contextualSpacing/>
              <w:jc w:val="left"/>
              <w:rPr>
                <w:lang w:val="en-GB"/>
              </w:rPr>
            </w:pPr>
            <w:r w:rsidRPr="00DA249F">
              <w:rPr>
                <w:lang w:val="en-GB"/>
              </w:rPr>
              <w:t>Eutrophication and nutrient</w:t>
            </w:r>
            <w:r w:rsidR="008C1BF7" w:rsidRPr="00DA249F">
              <w:rPr>
                <w:lang w:val="en-GB"/>
              </w:rPr>
              <w:t xml:space="preserve"> deposition</w:t>
            </w:r>
          </w:p>
          <w:p w14:paraId="01B56E92" w14:textId="77777777" w:rsidR="008C1BF7" w:rsidRPr="00DA249F" w:rsidRDefault="008C1BF7" w:rsidP="004826A3">
            <w:pPr>
              <w:pStyle w:val="ListParagraph"/>
              <w:numPr>
                <w:ilvl w:val="0"/>
                <w:numId w:val="17"/>
              </w:numPr>
              <w:spacing w:beforeLines="0" w:before="0" w:afterLines="0" w:after="0" w:line="240" w:lineRule="auto"/>
              <w:contextualSpacing/>
              <w:jc w:val="left"/>
              <w:rPr>
                <w:lang w:val="en-GB"/>
              </w:rPr>
            </w:pPr>
            <w:r w:rsidRPr="00DA249F">
              <w:rPr>
                <w:lang w:val="en-GB"/>
              </w:rPr>
              <w:t>Other contaminants in water</w:t>
            </w:r>
            <w:r w:rsidR="001C5378" w:rsidRPr="00DA249F">
              <w:rPr>
                <w:lang w:val="en-GB"/>
              </w:rPr>
              <w:t xml:space="preserve"> and </w:t>
            </w:r>
            <w:r w:rsidRPr="00DA249F">
              <w:rPr>
                <w:lang w:val="en-GB"/>
              </w:rPr>
              <w:t>soil</w:t>
            </w:r>
          </w:p>
          <w:p w14:paraId="285F753D" w14:textId="77777777" w:rsidR="00876A1F" w:rsidRPr="00DA249F" w:rsidRDefault="008C1BF7" w:rsidP="004826A3">
            <w:pPr>
              <w:pStyle w:val="ListParagraph"/>
              <w:numPr>
                <w:ilvl w:val="0"/>
                <w:numId w:val="17"/>
              </w:numPr>
              <w:spacing w:beforeLines="0" w:before="0" w:afterLines="0" w:after="0" w:line="240" w:lineRule="auto"/>
              <w:contextualSpacing/>
              <w:jc w:val="left"/>
              <w:rPr>
                <w:lang w:val="en-GB"/>
              </w:rPr>
            </w:pPr>
            <w:r w:rsidRPr="00DA249F">
              <w:rPr>
                <w:lang w:val="en-GB"/>
              </w:rPr>
              <w:t xml:space="preserve">Marine </w:t>
            </w:r>
            <w:r w:rsidR="001C5378" w:rsidRPr="00DA249F">
              <w:rPr>
                <w:lang w:val="en-GB"/>
              </w:rPr>
              <w:t>debris</w:t>
            </w:r>
            <w:r w:rsidR="00876A1F" w:rsidRPr="00DA249F">
              <w:rPr>
                <w:lang w:val="en-GB"/>
              </w:rPr>
              <w:t xml:space="preserve"> </w:t>
            </w:r>
          </w:p>
          <w:p w14:paraId="7121605A" w14:textId="77777777" w:rsidR="008C1BF7" w:rsidRPr="00DA249F" w:rsidRDefault="00876A1F" w:rsidP="004826A3">
            <w:pPr>
              <w:pStyle w:val="ListParagraph"/>
              <w:numPr>
                <w:ilvl w:val="0"/>
                <w:numId w:val="17"/>
              </w:numPr>
              <w:spacing w:beforeLines="0" w:before="0" w:afterLines="0" w:after="0" w:line="240" w:lineRule="auto"/>
              <w:contextualSpacing/>
              <w:jc w:val="left"/>
              <w:rPr>
                <w:lang w:val="en-GB"/>
              </w:rPr>
            </w:pPr>
            <w:r w:rsidRPr="00DA249F">
              <w:rPr>
                <w:lang w:val="en-GB"/>
              </w:rPr>
              <w:t>Dispersal of solid waste</w:t>
            </w:r>
          </w:p>
          <w:p w14:paraId="287A6092" w14:textId="77777777" w:rsidR="008C1BF7" w:rsidRPr="00DA249F" w:rsidRDefault="008C1BF7" w:rsidP="00DF6D25">
            <w:pPr>
              <w:spacing w:before="120"/>
              <w:jc w:val="left"/>
              <w:rPr>
                <w:b/>
                <w:lang w:val="en-GB"/>
              </w:rPr>
            </w:pPr>
            <w:r w:rsidRPr="00DA249F">
              <w:rPr>
                <w:b/>
                <w:lang w:val="en-GB"/>
              </w:rPr>
              <w:t>Climate Change</w:t>
            </w:r>
            <w:r w:rsidR="00876A1F" w:rsidRPr="00DA249F">
              <w:rPr>
                <w:b/>
                <w:lang w:val="en-GB"/>
              </w:rPr>
              <w:t xml:space="preserve"> (3.3.4)</w:t>
            </w:r>
          </w:p>
          <w:p w14:paraId="79D78EE3" w14:textId="77777777" w:rsidR="008C1BF7" w:rsidRPr="00DA249F" w:rsidRDefault="008C1BF7" w:rsidP="004826A3">
            <w:pPr>
              <w:pStyle w:val="ListParagraph"/>
              <w:numPr>
                <w:ilvl w:val="0"/>
                <w:numId w:val="17"/>
              </w:numPr>
              <w:spacing w:beforeLines="0" w:before="0" w:afterLines="0" w:after="0" w:line="240" w:lineRule="auto"/>
              <w:contextualSpacing/>
              <w:jc w:val="left"/>
              <w:rPr>
                <w:lang w:val="en-GB"/>
              </w:rPr>
            </w:pPr>
            <w:r w:rsidRPr="00DA249F">
              <w:rPr>
                <w:lang w:val="en-GB"/>
              </w:rPr>
              <w:t>Temperature</w:t>
            </w:r>
            <w:r w:rsidR="00977F25" w:rsidRPr="00DA249F">
              <w:rPr>
                <w:lang w:val="en-GB"/>
              </w:rPr>
              <w:t xml:space="preserve"> change</w:t>
            </w:r>
          </w:p>
          <w:p w14:paraId="5D91901A" w14:textId="77777777" w:rsidR="008C1BF7" w:rsidRPr="00DA249F" w:rsidRDefault="008C1BF7" w:rsidP="004826A3">
            <w:pPr>
              <w:pStyle w:val="ListParagraph"/>
              <w:numPr>
                <w:ilvl w:val="0"/>
                <w:numId w:val="17"/>
              </w:numPr>
              <w:spacing w:beforeLines="0" w:before="0" w:afterLines="0" w:after="0" w:line="240" w:lineRule="auto"/>
              <w:contextualSpacing/>
              <w:jc w:val="left"/>
              <w:rPr>
                <w:lang w:val="en-GB"/>
              </w:rPr>
            </w:pPr>
            <w:r w:rsidRPr="00DA249F">
              <w:rPr>
                <w:lang w:val="en-GB"/>
              </w:rPr>
              <w:t>Precipitation</w:t>
            </w:r>
            <w:r w:rsidR="00977F25" w:rsidRPr="00DA249F">
              <w:rPr>
                <w:lang w:val="en-GB"/>
              </w:rPr>
              <w:t xml:space="preserve"> change</w:t>
            </w:r>
          </w:p>
          <w:p w14:paraId="3452162E" w14:textId="77777777" w:rsidR="008C1BF7" w:rsidRPr="00DA249F" w:rsidRDefault="00876A1F" w:rsidP="004826A3">
            <w:pPr>
              <w:pStyle w:val="ListParagraph"/>
              <w:numPr>
                <w:ilvl w:val="0"/>
                <w:numId w:val="17"/>
              </w:numPr>
              <w:spacing w:beforeLines="0" w:before="0" w:afterLines="0" w:after="0" w:line="240" w:lineRule="auto"/>
              <w:contextualSpacing/>
              <w:jc w:val="left"/>
              <w:rPr>
                <w:lang w:val="en-GB"/>
              </w:rPr>
            </w:pPr>
            <w:r w:rsidRPr="00DA249F">
              <w:rPr>
                <w:lang w:val="en-GB"/>
              </w:rPr>
              <w:lastRenderedPageBreak/>
              <w:t>Climate extreme</w:t>
            </w:r>
            <w:r w:rsidR="008C1BF7" w:rsidRPr="00DA249F">
              <w:rPr>
                <w:lang w:val="en-GB"/>
              </w:rPr>
              <w:t>s</w:t>
            </w:r>
          </w:p>
          <w:p w14:paraId="4C29A94B" w14:textId="77777777" w:rsidR="00876A1F" w:rsidRPr="00DA249F" w:rsidRDefault="00265BC6" w:rsidP="004826A3">
            <w:pPr>
              <w:pStyle w:val="ListParagraph"/>
              <w:numPr>
                <w:ilvl w:val="0"/>
                <w:numId w:val="17"/>
              </w:numPr>
              <w:spacing w:beforeLines="0" w:before="0" w:afterLines="0" w:after="0" w:line="240" w:lineRule="auto"/>
              <w:contextualSpacing/>
              <w:jc w:val="left"/>
              <w:rPr>
                <w:lang w:val="en-GB"/>
              </w:rPr>
            </w:pPr>
            <w:r w:rsidRPr="00DA249F">
              <w:rPr>
                <w:lang w:val="en-GB"/>
              </w:rPr>
              <w:t>CO</w:t>
            </w:r>
            <w:r w:rsidRPr="00DA249F">
              <w:rPr>
                <w:vertAlign w:val="subscript"/>
                <w:lang w:val="en-GB"/>
              </w:rPr>
              <w:t>2</w:t>
            </w:r>
            <w:r w:rsidRPr="00DA249F">
              <w:rPr>
                <w:lang w:val="en-GB"/>
              </w:rPr>
              <w:t xml:space="preserve"> </w:t>
            </w:r>
            <w:r w:rsidR="00876A1F" w:rsidRPr="00DA249F">
              <w:rPr>
                <w:lang w:val="en-GB"/>
              </w:rPr>
              <w:t>enrichment in air, water</w:t>
            </w:r>
          </w:p>
          <w:p w14:paraId="75508021" w14:textId="77777777" w:rsidR="008C1BF7" w:rsidRPr="00DA249F" w:rsidRDefault="008C1BF7" w:rsidP="004826A3">
            <w:pPr>
              <w:pStyle w:val="ListParagraph"/>
              <w:numPr>
                <w:ilvl w:val="0"/>
                <w:numId w:val="17"/>
              </w:numPr>
              <w:spacing w:beforeLines="0" w:before="0" w:afterLines="0" w:after="0" w:line="240" w:lineRule="auto"/>
              <w:contextualSpacing/>
              <w:jc w:val="left"/>
              <w:rPr>
                <w:lang w:val="en-GB"/>
              </w:rPr>
            </w:pPr>
            <w:r w:rsidRPr="00DA249F">
              <w:rPr>
                <w:lang w:val="en-GB"/>
              </w:rPr>
              <w:t xml:space="preserve">Fire </w:t>
            </w:r>
            <w:r w:rsidR="00EF239F" w:rsidRPr="00DA249F">
              <w:rPr>
                <w:lang w:val="en-GB"/>
              </w:rPr>
              <w:t>regime changes</w:t>
            </w:r>
          </w:p>
          <w:p w14:paraId="2C5062AF" w14:textId="77777777" w:rsidR="008C1BF7" w:rsidRPr="00DA249F" w:rsidRDefault="008C1BF7" w:rsidP="004826A3">
            <w:pPr>
              <w:pStyle w:val="ListParagraph"/>
              <w:numPr>
                <w:ilvl w:val="0"/>
                <w:numId w:val="17"/>
              </w:numPr>
              <w:spacing w:beforeLines="0" w:before="0" w:afterLines="0" w:after="0" w:line="240" w:lineRule="auto"/>
              <w:contextualSpacing/>
              <w:jc w:val="left"/>
              <w:rPr>
                <w:lang w:val="en-GB"/>
              </w:rPr>
            </w:pPr>
            <w:r w:rsidRPr="00DA249F">
              <w:rPr>
                <w:lang w:val="en-GB"/>
              </w:rPr>
              <w:t>Sea level rise</w:t>
            </w:r>
          </w:p>
          <w:p w14:paraId="22E68E3F" w14:textId="77777777" w:rsidR="008C1BF7" w:rsidRPr="00DA249F" w:rsidRDefault="008C1BF7" w:rsidP="004826A3">
            <w:pPr>
              <w:pStyle w:val="ListParagraph"/>
              <w:numPr>
                <w:ilvl w:val="0"/>
                <w:numId w:val="17"/>
              </w:numPr>
              <w:spacing w:beforeLines="0" w:before="0" w:afterLines="0" w:after="0" w:line="240" w:lineRule="auto"/>
              <w:contextualSpacing/>
              <w:jc w:val="left"/>
              <w:rPr>
                <w:lang w:val="en-GB"/>
              </w:rPr>
            </w:pPr>
            <w:r w:rsidRPr="00DA249F">
              <w:rPr>
                <w:lang w:val="en-GB"/>
              </w:rPr>
              <w:t>Assisted coloni</w:t>
            </w:r>
            <w:r w:rsidR="00E22ADC" w:rsidRPr="00DA249F">
              <w:rPr>
                <w:lang w:val="en-GB"/>
              </w:rPr>
              <w:t>z</w:t>
            </w:r>
            <w:r w:rsidRPr="00DA249F">
              <w:rPr>
                <w:lang w:val="en-GB"/>
              </w:rPr>
              <w:t>ation</w:t>
            </w:r>
          </w:p>
          <w:p w14:paraId="01EBC2FC" w14:textId="77777777" w:rsidR="008C1BF7" w:rsidRPr="00DA249F" w:rsidRDefault="008C1BF7" w:rsidP="00DF6D25">
            <w:pPr>
              <w:spacing w:before="120"/>
              <w:jc w:val="left"/>
              <w:rPr>
                <w:b/>
                <w:lang w:val="en-GB"/>
              </w:rPr>
            </w:pPr>
            <w:r w:rsidRPr="00DA249F">
              <w:rPr>
                <w:b/>
                <w:lang w:val="en-GB"/>
              </w:rPr>
              <w:t>Invasive alien species</w:t>
            </w:r>
            <w:r w:rsidR="00876A1F" w:rsidRPr="00DA249F">
              <w:rPr>
                <w:b/>
                <w:lang w:val="en-GB"/>
              </w:rPr>
              <w:t xml:space="preserve"> (3.3.5)</w:t>
            </w:r>
          </w:p>
          <w:p w14:paraId="4CA3E496" w14:textId="77777777" w:rsidR="008C1BF7" w:rsidRPr="00DA249F" w:rsidRDefault="6E7933E8" w:rsidP="004826A3">
            <w:pPr>
              <w:pStyle w:val="ListParagraph"/>
              <w:numPr>
                <w:ilvl w:val="0"/>
                <w:numId w:val="17"/>
              </w:numPr>
              <w:spacing w:beforeLines="0" w:before="0" w:afterLines="0" w:after="0" w:line="240" w:lineRule="auto"/>
              <w:contextualSpacing/>
              <w:jc w:val="left"/>
              <w:rPr>
                <w:lang w:val="en-GB"/>
              </w:rPr>
            </w:pPr>
            <w:r w:rsidRPr="00DA249F">
              <w:rPr>
                <w:lang w:val="en-GB"/>
              </w:rPr>
              <w:t xml:space="preserve">Biotic </w:t>
            </w:r>
            <w:r w:rsidR="6BB4249A" w:rsidRPr="00DA249F">
              <w:rPr>
                <w:lang w:val="en-GB"/>
              </w:rPr>
              <w:t>f</w:t>
            </w:r>
            <w:r w:rsidR="5A0A6AED" w:rsidRPr="00DA249F">
              <w:rPr>
                <w:lang w:val="en-GB"/>
              </w:rPr>
              <w:t>acilitation</w:t>
            </w:r>
          </w:p>
          <w:p w14:paraId="46851A52" w14:textId="77777777" w:rsidR="008C1BF7" w:rsidRPr="00DA249F" w:rsidRDefault="0016663A" w:rsidP="004826A3">
            <w:pPr>
              <w:pStyle w:val="ListParagraph"/>
              <w:numPr>
                <w:ilvl w:val="0"/>
                <w:numId w:val="17"/>
              </w:numPr>
              <w:spacing w:beforeLines="0" w:before="0" w:afterLines="0" w:after="0" w:line="240" w:lineRule="auto"/>
              <w:contextualSpacing/>
              <w:jc w:val="left"/>
              <w:rPr>
                <w:lang w:val="en-GB"/>
              </w:rPr>
            </w:pPr>
            <w:r w:rsidRPr="00DA249F">
              <w:rPr>
                <w:lang w:val="en-GB"/>
              </w:rPr>
              <w:t>Biological control</w:t>
            </w:r>
          </w:p>
        </w:tc>
        <w:tc>
          <w:tcPr>
            <w:tcW w:w="3235" w:type="dxa"/>
          </w:tcPr>
          <w:p w14:paraId="7B4FA5BC" w14:textId="77777777" w:rsidR="007C59F2" w:rsidRPr="00DA249F" w:rsidRDefault="007C59F2" w:rsidP="00DF6D25">
            <w:pPr>
              <w:spacing w:beforeLines="0" w:before="0"/>
              <w:jc w:val="left"/>
              <w:rPr>
                <w:lang w:val="en-GB"/>
              </w:rPr>
            </w:pPr>
            <w:r w:rsidRPr="00DA249F">
              <w:rPr>
                <w:b/>
                <w:lang w:val="en-GB"/>
              </w:rPr>
              <w:lastRenderedPageBreak/>
              <w:t xml:space="preserve">Natural </w:t>
            </w:r>
            <w:r w:rsidR="00C90BFB">
              <w:rPr>
                <w:b/>
                <w:bCs/>
                <w:lang w:val="en-GB"/>
              </w:rPr>
              <w:t>drivers</w:t>
            </w:r>
            <w:r w:rsidR="00C90BFB" w:rsidRPr="00DA249F">
              <w:rPr>
                <w:b/>
                <w:lang w:val="en-GB"/>
              </w:rPr>
              <w:t xml:space="preserve"> </w:t>
            </w:r>
            <w:r w:rsidR="00876A1F" w:rsidRPr="00DA249F">
              <w:rPr>
                <w:b/>
                <w:lang w:val="en-GB"/>
              </w:rPr>
              <w:t>(3.</w:t>
            </w:r>
            <w:r w:rsidR="00BB234A" w:rsidRPr="00DA249F">
              <w:rPr>
                <w:b/>
                <w:lang w:val="en-GB"/>
              </w:rPr>
              <w:t>4</w:t>
            </w:r>
            <w:r w:rsidR="00876A1F" w:rsidRPr="00DA249F">
              <w:rPr>
                <w:b/>
                <w:lang w:val="en-GB"/>
              </w:rPr>
              <w:t>.</w:t>
            </w:r>
            <w:r w:rsidR="00BB234A" w:rsidRPr="00DA249F">
              <w:rPr>
                <w:b/>
                <w:lang w:val="en-GB"/>
              </w:rPr>
              <w:t>1</w:t>
            </w:r>
            <w:r w:rsidR="00876A1F" w:rsidRPr="00DA249F">
              <w:rPr>
                <w:b/>
                <w:lang w:val="en-GB"/>
              </w:rPr>
              <w:t>)</w:t>
            </w:r>
          </w:p>
          <w:p w14:paraId="3996175B" w14:textId="2A91D704" w:rsidR="003F3310" w:rsidRPr="00DA249F" w:rsidRDefault="7D72FD00" w:rsidP="00651871">
            <w:pPr>
              <w:spacing w:before="120"/>
              <w:contextualSpacing/>
              <w:jc w:val="left"/>
              <w:rPr>
                <w:lang w:val="en-GB"/>
              </w:rPr>
            </w:pPr>
            <w:r w:rsidRPr="5575EBFC">
              <w:rPr>
                <w:lang w:val="en-GB"/>
              </w:rPr>
              <w:t>Natural hazards such as t</w:t>
            </w:r>
            <w:r w:rsidR="666E5D5D" w:rsidRPr="5575EBFC">
              <w:rPr>
                <w:lang w:val="en-GB"/>
              </w:rPr>
              <w:t>sunami</w:t>
            </w:r>
            <w:r w:rsidR="06E0952A" w:rsidRPr="5575EBFC">
              <w:rPr>
                <w:lang w:val="en-GB"/>
              </w:rPr>
              <w:t>s,</w:t>
            </w:r>
            <w:r w:rsidR="513CBB76" w:rsidRPr="5575EBFC">
              <w:rPr>
                <w:lang w:val="en-GB"/>
              </w:rPr>
              <w:t xml:space="preserve"> </w:t>
            </w:r>
            <w:r w:rsidR="06E0952A" w:rsidRPr="5575EBFC">
              <w:rPr>
                <w:lang w:val="en-GB"/>
              </w:rPr>
              <w:t>h</w:t>
            </w:r>
            <w:r w:rsidR="27BCB599" w:rsidRPr="5575EBFC">
              <w:rPr>
                <w:lang w:val="en-GB"/>
              </w:rPr>
              <w:t>urricanes</w:t>
            </w:r>
            <w:r w:rsidR="06E0952A" w:rsidRPr="5575EBFC">
              <w:rPr>
                <w:lang w:val="en-GB"/>
              </w:rPr>
              <w:t>, e</w:t>
            </w:r>
            <w:r w:rsidR="27BCB599" w:rsidRPr="5575EBFC">
              <w:rPr>
                <w:lang w:val="en-GB"/>
              </w:rPr>
              <w:t>arthquakes</w:t>
            </w:r>
            <w:r w:rsidR="06E0952A" w:rsidRPr="5575EBFC">
              <w:rPr>
                <w:lang w:val="en-GB"/>
              </w:rPr>
              <w:t>, w</w:t>
            </w:r>
            <w:r w:rsidR="27BCB599" w:rsidRPr="5575EBFC">
              <w:rPr>
                <w:lang w:val="en-GB"/>
              </w:rPr>
              <w:t>ildfire</w:t>
            </w:r>
            <w:r w:rsidR="06E0952A" w:rsidRPr="5575EBFC">
              <w:rPr>
                <w:lang w:val="en-GB"/>
              </w:rPr>
              <w:t>, f</w:t>
            </w:r>
            <w:r w:rsidR="4BF50F6A" w:rsidRPr="5575EBFC">
              <w:rPr>
                <w:lang w:val="en-GB"/>
              </w:rPr>
              <w:t>loods</w:t>
            </w:r>
            <w:r w:rsidR="009F7404">
              <w:rPr>
                <w:lang w:val="en-GB"/>
              </w:rPr>
              <w:t xml:space="preserve"> and</w:t>
            </w:r>
            <w:r w:rsidR="06E0952A" w:rsidRPr="5575EBFC">
              <w:rPr>
                <w:lang w:val="en-GB"/>
              </w:rPr>
              <w:t xml:space="preserve"> v</w:t>
            </w:r>
            <w:r w:rsidR="511123FE" w:rsidRPr="5575EBFC">
              <w:rPr>
                <w:lang w:val="en-GB"/>
              </w:rPr>
              <w:t>olcanic activity</w:t>
            </w:r>
          </w:p>
          <w:p w14:paraId="4E0AD3DA" w14:textId="77777777" w:rsidR="007A759E" w:rsidRPr="00DA249F" w:rsidRDefault="007A759E" w:rsidP="004826A3">
            <w:pPr>
              <w:pStyle w:val="ListParagraph"/>
              <w:numPr>
                <w:ilvl w:val="0"/>
                <w:numId w:val="11"/>
              </w:numPr>
              <w:spacing w:before="120"/>
              <w:ind w:hanging="360"/>
              <w:jc w:val="left"/>
              <w:rPr>
                <w:lang w:val="en-GB"/>
              </w:rPr>
            </w:pPr>
          </w:p>
          <w:p w14:paraId="106E2B37" w14:textId="77777777" w:rsidR="006B66D1" w:rsidRPr="00DA249F" w:rsidRDefault="006B66D1" w:rsidP="00DF6D25">
            <w:pPr>
              <w:spacing w:beforeLines="0" w:before="0"/>
              <w:jc w:val="left"/>
              <w:rPr>
                <w:b/>
                <w:lang w:val="en-GB"/>
              </w:rPr>
            </w:pPr>
            <w:r w:rsidRPr="00DA249F">
              <w:rPr>
                <w:b/>
                <w:lang w:val="en-GB"/>
              </w:rPr>
              <w:t xml:space="preserve">Biodiversity loss </w:t>
            </w:r>
            <w:r w:rsidR="00DD7C01" w:rsidRPr="00DA249F">
              <w:rPr>
                <w:b/>
                <w:lang w:val="en-GB"/>
              </w:rPr>
              <w:t>and ecosystem resilience</w:t>
            </w:r>
            <w:r w:rsidR="00DD7C01" w:rsidRPr="00DA249F">
              <w:rPr>
                <w:lang w:val="en-GB"/>
              </w:rPr>
              <w:t xml:space="preserve"> </w:t>
            </w:r>
            <w:r w:rsidRPr="00DA249F">
              <w:rPr>
                <w:b/>
                <w:lang w:val="en-GB"/>
              </w:rPr>
              <w:t>(3.</w:t>
            </w:r>
            <w:r w:rsidR="00BB234A" w:rsidRPr="00DA249F">
              <w:rPr>
                <w:b/>
                <w:lang w:val="en-GB"/>
              </w:rPr>
              <w:t>4</w:t>
            </w:r>
            <w:r w:rsidRPr="00DA249F">
              <w:rPr>
                <w:b/>
                <w:lang w:val="en-GB"/>
              </w:rPr>
              <w:t>.</w:t>
            </w:r>
            <w:r w:rsidR="00BB234A" w:rsidRPr="00DA249F">
              <w:rPr>
                <w:b/>
                <w:lang w:val="en-GB"/>
              </w:rPr>
              <w:t>2</w:t>
            </w:r>
            <w:r w:rsidRPr="00DA249F">
              <w:rPr>
                <w:b/>
                <w:lang w:val="en-GB"/>
              </w:rPr>
              <w:t>)</w:t>
            </w:r>
          </w:p>
          <w:p w14:paraId="6D7C885D" w14:textId="77777777" w:rsidR="007C59F2" w:rsidRPr="00DA249F" w:rsidRDefault="007C59F2" w:rsidP="00DF6D25">
            <w:pPr>
              <w:spacing w:before="120"/>
              <w:jc w:val="left"/>
              <w:rPr>
                <w:lang w:val="en-GB"/>
              </w:rPr>
            </w:pPr>
          </w:p>
        </w:tc>
      </w:tr>
    </w:tbl>
    <w:p w14:paraId="4DDEADB2" w14:textId="77777777" w:rsidR="008C1BF7" w:rsidRPr="00DA249F" w:rsidRDefault="4ADE7768" w:rsidP="004826A3">
      <w:pPr>
        <w:pStyle w:val="Heading3"/>
        <w:rPr>
          <w:lang w:val="en-GB"/>
        </w:rPr>
      </w:pPr>
      <w:bookmarkStart w:id="25" w:name="_Toc44317787"/>
      <w:r w:rsidRPr="5575EBFC">
        <w:rPr>
          <w:lang w:val="en-GB"/>
        </w:rPr>
        <w:t>I</w:t>
      </w:r>
      <w:r w:rsidR="3D04D128" w:rsidRPr="5575EBFC">
        <w:rPr>
          <w:lang w:val="en-GB"/>
        </w:rPr>
        <w:t xml:space="preserve">ndirect </w:t>
      </w:r>
      <w:bookmarkEnd w:id="25"/>
      <w:r w:rsidR="653902EA" w:rsidRPr="5575EBFC">
        <w:rPr>
          <w:lang w:val="en-GB"/>
        </w:rPr>
        <w:t>drivers of change in nature</w:t>
      </w:r>
      <w:r w:rsidR="45C4F90C" w:rsidRPr="5575EBFC">
        <w:rPr>
          <w:lang w:val="en-GB"/>
        </w:rPr>
        <w:t xml:space="preserve"> affecting invasive alien species</w:t>
      </w:r>
    </w:p>
    <w:p w14:paraId="72BA5FBA" w14:textId="4730AFEE" w:rsidR="008C1BF7" w:rsidRPr="00DA249F" w:rsidRDefault="2996F55B" w:rsidP="728F2DAF">
      <w:pPr>
        <w:rPr>
          <w:lang w:val="en-GB"/>
        </w:rPr>
      </w:pPr>
      <w:r w:rsidRPr="728F2DAF">
        <w:rPr>
          <w:lang w:val="en-GB"/>
        </w:rPr>
        <w:t xml:space="preserve">Following previous IPBES assessments </w:t>
      </w:r>
      <w:r w:rsidR="18794F6F" w:rsidRPr="728F2DAF">
        <w:rPr>
          <w:lang w:val="en-GB"/>
        </w:rPr>
        <w:fldChar w:fldCharType="begin"/>
      </w:r>
      <w:r w:rsidR="00F5121E">
        <w:rPr>
          <w:lang w:val="en-GB"/>
        </w:rPr>
        <w:instrText xml:space="preserve"> ADDIN ZOTERO_ITEM CSL_CITATION {"citationID":"zPLPpecH","properties":{"formattedCitation":"(IPBES, 2016a, 2018f, 2018e, 2018c, 2018d, 2019, 2022a)","plainCitation":"(IPBES, 2016a, 2018f, 2018e, 2018c, 2018d, 2019, 2022a)","noteIndex":0},"citationItems":[{"id":26994,"uris":["http://zotero.org/groups/2352922/items/SR63FDXW"],"itemData":{"id":26994,"type":"report","abstract":"The goal of the Intergovernmental Science-Policy Platform on Biodiversity and Ecosystem Services (IPBES) is to strengthen the science-policy interface for biodiversity and ecosystem services towards conservation and sustainable use of biodiversity, long-term human well-being and sustainable development. To achieve this goal, the Platform has four functions: (i) Knowledge generation: to identify knowledge needs of decision makers, and catalyse efforts to generate new knowledge; (ii) Assessment: to deliver global, regional and thematic assessments, and promote and catalyse support for sub-global assessment; (iii) Policy support tools: to identify policy relevant tools/methodologies, facilitate their use, and promote and catalyse their further development; and (iv) Capacity building: to prioritize key capacity building needs, and provide and call for financial and other support for priority needs. This report assesses the current knowledge on pollinators, pollination and their links to food production. The overall aim of the thematic assessment of Pollinators, Pollination and Food Production is to assess animal pollination as a regulating ecosystem service underpinning food production in the context of its contribution to nature’s gifts to people and supporting a good quality of life. To achieve this, the focus is on the role of native and exotic pollinators, the status of, and trends in pollinators and pollinator-plant networks and pollination, drivers of change, impacts on human well-being, food production in response to pollination declines and deficits and the effectiveness of responses from various governance systems to pollination declines and deficits. The scope is global, covering all continents except Antarctica, where no pollinators are known. The assessment brings together contributions not only from natural, social and economic science perspectives but also from knowledge of indigenous and local community stakeholders and practitioners. The assessment strives to critically review the broadest range of evidence and make its findings readily available to support policy and management responses to declines and deficits in pollination. The report represents the first IPBES thematic assessment deliverable that aims to identify policy-relevant findings for decision-making in government, the private sector and civil society, as well as helping to demonstrate how an essential ecosystem service could potentially contribute to the post-2015 development agenda1.","event-place":"Bonn, Germany","language":"en","license":"Creative Commons Attribution 4.0 International, Open Access","note":"DOI: 10.5281/ZENODO.3402857","publisher":"Secretariat of the Intergovernmental Science-Policy Platform on Biodiversity and Ecosystem Services","publisher-place":"Bonn, Germany","source":"DOI.org (Datacite)","title":"The assessment report of the Intergovernmental Science-Policy Platform on Biodiversity and Ecosystem Services on pollinators, pollination and food production","URL":"https://zenodo.org/record/3402857","author":[{"literal":"IPBES"}],"collection-editor":[{"family":"Potts","given":"Simon G."},{"family":"Imperatriz-Fonseca","given":"Vera"},{"family":"Ngo","given":"Hien T."}],"accessed":{"date-parts":[["2020",6,17]]},"issued":{"date-parts":[["2016"]]}},"label":"page"},{"id":54546,"uris":["http://zotero.org/groups/2352922/items/DWTD6BY8"],"itemData":{"id":54546,"type":"report","abstract":"The Regional Assessment of Biodiversity and Ecosystem Services for the Americas produced by the Intergovernmental Science-Policy Platform on Biodiversity and Ecosystem Services (IPBES) provides a critical analysis of the state of knowledge regarding the importance, status, and trends of biodiversity and nature’s contributions to people. The assessment analyses the direct and underlying causes for the observed changes in biodiversity and in nature’s contributions to people, and the impact that these changes have on the quality of life of people. The assessment, finally, identifies a mix of governance options, policies and management practices that are currently available to reduce the loss of biodiversity and of nature’s contributions to people in that region. The assessment addresses terrestrial, freshwater, and coastal biodiversity and covers current status and trends, going back in time several decades, and future projections, with a focus on the 2020-2050 period. The summary for policymakers of this Assessment Report was approved by the sixth session of the Plenary of IPBES (Medellín, Colombia, 18-24 March 2018) and is included in this report.","language":"eng","note":"DOI: 10.5281/zenodo.3236253","publisher":"Zenodo","source":"Zenodo","title":"The IPBES regional assessment report on biodiversity and ecosystem services for the Americas","URL":"https://zenodo.org/record/3236253","author":[{"literal":"IPBES"}],"accessed":{"date-parts":[["2023",2,21]]},"issued":{"date-parts":[["2018"]]}},"label":"page"},{"id":26988,"uris":["http://zotero.org/groups/2352922/items/4BH3PUNM"],"itemData":{"id":26988,"type":"report","abstract":"The Regional Assessment Report on Biodiversity and Ecosystem Services for Europe and Central Asia produced by the Intergovernmental Science-Policy Platform on Biodiversity and Ecosystem Services (IPBES) provides a critical analysis of the state of knowledge regarding the importance, status, and trends of biodiversity and nature’s contributions to people. The assessment analyses the direct and underlying causes for the observed changes in biodiversity and in nature’s contributions to people, and the impact that these changes have on the quality of life of people. The assessment, finally, identifies a mix of governance options, policies and management practices that are currently available to reduce the loss of biodiversity and of nature’s contributions to people in that region. The assessment addresses terrestrial, freshwater, and coastal biodiversity and covers current status and trends, going back in time several decades, and future projections, with a focus on the 2020-2050 period.","event-place":"Bonn, Germany","language":"en","license":"Creative Commons Attribution 4.0 International, Open Access","note":"version: Report\nDOI: 10.5281/ZENODO.3237429","publisher":"Secretariat of the Intergovernmental Science-Policy Platform on Biodiversity and Ecosystem Services","publisher-place":"Bonn, Germany","source":"DOI.org (Datacite)","title":"The IPBES regional assessment report on biodiversity and ecosystem services for Europe and Central Asia","URL":"https://zenodo.org/record/3237429","author":[{"literal":"IPBES"}],"collection-editor":[{"family":"Rounsevell","given":"Mark"},{"family":"Fischer","given":"Markus"},{"family":"Rando","given":"Amor Torre-Marin"},{"family":"Mader","given":"André"}],"accessed":{"date-parts":[["2021",2,9]]},"issued":{"date-parts":[["2018"]]}},"label":"page"},{"id":32916,"uris":["http://zotero.org/groups/2352922/items/HQTI4ZNS"],"itemData":{"id":32916,"type":"report","event-place":"Bonn, Germany","language":"en","publisher":"Secretariat of the Intergovernmental Science-Policy Platform on Biodiversity and Ecosystem Services","publisher-place":"Bonn, Germany","title":"The IPBES regional assessment report on biodiversity and ecosystem services for Africa","URL":"https://zenodo.org/record/3236178#.YmjyIdrP2Uk","author":[{"literal":"IPBES"}],"collection-editor":[{"family":"Archer","given":"Emma"},{"family":"Dziba","given":"Luthando E."},{"family":"Mulongoy","given":"Kulemani Jo"},{"family":"Maoela","given":"Malebajoa Anicia"},{"family":"Walters","given":"Michele"}],"issued":{"date-parts":[["2018"]]}},"label":"page"},{"id":26989,"uris":["http://zotero.org/groups/2352922/items/HNN39TBD","http://zotero.org/groups/2352922/items/BF3N3YYK"],"itemData":{"id":26989,"type":"report","abstract":"The Regional Assessment Report on Biodiversity and Ecosystem Services for Asia and the Pacific produced by the Intergovernmental Science-Policy Platform on Biodiversity and Ecosystem Services (IPBES) provides a critical analysis of the state of knowledge regarding the importance, status, and trends of biodiversity and nature’s contributions to people. The assessment analyses the direct and underlying causes for the observed changes in biodiversity and in nature’s contributions to people, and the impact that these changes have on the quality of life of people. The assessment, finally, identifies a mix of governance options, policies and management practices that are currently available to reduce the loss of biodiversity and of nature’s contributions to people in that region. The assessment addresses terrestrial, freshwater, and coastal biodiversity and covers current status and trends, going back in time several decades, and future projections, with a focus on the 2020-2050 period.","event-place":"Bonn, Germany","language":"en","license":"Creative Commons Attribution 4.0 International, Open Access","note":"version: Report\nDOI: 10.5281/ZENODO.3237374","publisher":"Secretariat of the Intergovernmental Science-Policy Platform on Biodiversity and Ecosystem Services","publisher-place":"Bonn, Germany","source":"DOI.org (Datacite)","title":"The IPBES regional assessment report on biodiversity and ecosystem services for Asia and the Pacific","URL":"https://zenodo.org/record/3237374","author":[{"literal":"IPBES"}],"collection-editor":[{"family":"Karki","given":"Madhav"},{"family":"Sellamuttu","given":"Sonali Senaratna"},{"family":"Okayasu","given":"Sana"},{"family":"Suzuki","given":"Wataru"}],"accessed":{"date-parts":[["2020",8,25]]},"issued":{"date-parts":[["2018"]]}},"label":"page"},{"id":53933,"uris":["http://zotero.org/groups/2352922/items/JYFISR8Z","http://zotero.org/groups/2352922/items/ZACZGHZL"],"itemData":{"id":53933,"type":"report","abstract":"IPBES is to perform regular and timely assessments of knowledge on biodiversity and ecosystem services and their interlinkages at the global level. Also addressing an invitation by the Conference of the Parties of the Convention on Biological Diversity (CBD) to prepare a global assessment of biodiversity and ecosystem services building, inter alia, on its own and other relevant regional, subregional and thematic assessments, as well as on national reports. The overall scope of the assessment is to assess the status and trends with regard to biodiversity and ecosystem services, the impact of biodiversity and ecosystem services on human well-being and the effectiveness of responses, including the Strategic Plan and its Aichi Biodiversity Targets. It is anticipated that this deliverable will contribute to the process for the evaluation and renewal of the Strategic Plan for Biodiversity and its Aichi Biodiversity Targets. The IPBES Global Assessment on Biodiversity and Ecosystem Services is composed of 1) a Summary for Policymakers (SPM), approved by the IPBES Plenary at its 7th session in May 2019 in Paris, France (IPBES-7); and 2) a set of six Chapters, accepted by the IPBES Plenary.","language":"en","license":"Creative Commons Attribution 4.0 International, Open Access","note":"Version Number 1\nDOI: 10.5281/ZENODO.3831673","publisher":"Secretariat of the Intergovernmental Science-Policy Platform on Biodiversity and Ecosystem Services","source":"DOI.org (Datacite)","title":"Global assessment report on biodiversity and ecosystem services of the Intergovernmental Science-Policy Platform on Biodiversity and Ecosystem Services","URL":"https://zenodo.org/record/3831673","author":[{"literal":"IPBES"}],"contributor":[{"family":"Brondizio","given":"Eduardo"},{"family":"Diaz","given":"Sandra"},{"family":"Settele","given":"Josef"},{"family":"Ngo","given":"Hien T."}],"accessed":{"date-parts":[["2023",1,5]]},"issued":{"date-parts":[["2019"]]}},"label":"page"},{"id":53070,"uris":["http://zotero.org/groups/2352922/items/6TY3XELK"],"itemData":{"id":53070,"type":"report","abstract":"The values assessment is a ‘methodological assessment regarding the diverse conceptualizations of the multiple values of nature and its benefits, including biodiversity and ecosystem services’ as set out in IPBES/6/INF/9. The overall scope of the values assessment is to assess multiple sources and traditions of knowledge regarding diverse values of nature, including the strengths and weaknesses associated with existing valuation methods and approaches to make such values visible. The assessment provides conceptual and practical tools to aid policymakers in the recognition and accounting of nature’s values in different decision-making contexts. The values assessment provides guidelines, criteria, tools and a road map to navigate the ways in which values play out in decisions, as well as the role values and valuation can have in achieving more sustainable pathways. It should be noted that the assessment does not provide quantifications (e.g., in monetary or other indicators) of the diverse values of nature across the globe as its emphasis is on methodologies. The assessment report is composed of the summary for policymakers together with the six chapters and some front and back matters, which will be added following the ninth session of the Plenary.","event-place":"Bonn, Germany","language":"en","license":"Creative Commons Attribution 4.0 International, Embargoed Access","note":"DOI: 10.5281/ZENODO.6522522","publisher":"Secretariat of the Intergovernmental Science-Policy Platform on Biodiversity and Ecosystem Services","publisher-place":"Bonn, Germany","source":"DOI.org (Datacite)","title":"Methodological assessment of the diverse values and valuation of nature of the Intergovernmental Science-Policy Platform on Biodiversity and Ecosystem Services","URL":"https://zenodo.org/record/6522522","author":[{"literal":"IPBES"}],"contributor":[{"family":"Balvanera","given":"Patricia"},{"family":"Pascual","given":"Unai"},{"family":"Christie","given":"Michael"},{"family":"Baptiste","given":"Brigitte"},{"family":"González-Jiménez","given":"David"}],"accessed":{"date-parts":[["2022",8,31]]},"issued":{"date-parts":[["2022"]]}},"label":"page"}],"schema":"https://github.com/citation-style-language/schema/raw/master/csl-citation.json"} </w:instrText>
      </w:r>
      <w:r w:rsidR="18794F6F" w:rsidRPr="728F2DAF">
        <w:rPr>
          <w:lang w:val="en-GB"/>
        </w:rPr>
        <w:fldChar w:fldCharType="separate"/>
      </w:r>
      <w:r w:rsidR="46702DDF">
        <w:t>(IPBES, 2016a, 2018f, 2018e, 2018c, 2018d, 2019, 2022a)</w:t>
      </w:r>
      <w:r w:rsidR="18794F6F" w:rsidRPr="728F2DAF">
        <w:rPr>
          <w:lang w:val="en-GB"/>
        </w:rPr>
        <w:fldChar w:fldCharType="end"/>
      </w:r>
      <w:r w:rsidRPr="728F2DAF">
        <w:rPr>
          <w:lang w:val="en-GB"/>
        </w:rPr>
        <w:t xml:space="preserve">, </w:t>
      </w:r>
      <w:r w:rsidR="108E2A28" w:rsidRPr="728F2DAF">
        <w:rPr>
          <w:lang w:val="en-GB"/>
        </w:rPr>
        <w:t>C</w:t>
      </w:r>
      <w:r w:rsidR="31FC9E88" w:rsidRPr="728F2DAF">
        <w:rPr>
          <w:lang w:val="en-GB"/>
        </w:rPr>
        <w:t>hapter 3</w:t>
      </w:r>
      <w:r w:rsidR="427B0F96" w:rsidRPr="728F2DAF">
        <w:rPr>
          <w:lang w:val="en-GB"/>
        </w:rPr>
        <w:t xml:space="preserve"> </w:t>
      </w:r>
      <w:r w:rsidR="59FBB409" w:rsidRPr="728F2DAF">
        <w:rPr>
          <w:lang w:val="en-GB"/>
        </w:rPr>
        <w:t xml:space="preserve">considers </w:t>
      </w:r>
      <w:r w:rsidR="3849F88A" w:rsidRPr="728F2DAF">
        <w:rPr>
          <w:lang w:val="en-GB"/>
        </w:rPr>
        <w:t xml:space="preserve">a number of </w:t>
      </w:r>
      <w:r w:rsidR="3D6C97A9" w:rsidRPr="728F2DAF">
        <w:rPr>
          <w:lang w:val="en-GB"/>
        </w:rPr>
        <w:t>drivers</w:t>
      </w:r>
      <w:r w:rsidR="3849F88A" w:rsidRPr="728F2DAF">
        <w:rPr>
          <w:lang w:val="en-GB"/>
        </w:rPr>
        <w:t xml:space="preserve"> under all </w:t>
      </w:r>
      <w:r w:rsidR="2B1F33D7" w:rsidRPr="728F2DAF">
        <w:rPr>
          <w:lang w:val="en-GB"/>
        </w:rPr>
        <w:t xml:space="preserve">five </w:t>
      </w:r>
      <w:r w:rsidR="64AF2FF1" w:rsidRPr="728F2DAF">
        <w:rPr>
          <w:lang w:val="en-GB"/>
        </w:rPr>
        <w:t>classes</w:t>
      </w:r>
      <w:r w:rsidRPr="728F2DAF">
        <w:rPr>
          <w:lang w:val="en-GB"/>
        </w:rPr>
        <w:t xml:space="preserve"> of indirect </w:t>
      </w:r>
      <w:r w:rsidR="067C1E4A" w:rsidRPr="728F2DAF">
        <w:rPr>
          <w:lang w:val="en-GB"/>
        </w:rPr>
        <w:t>drivers of change in nature</w:t>
      </w:r>
      <w:r w:rsidRPr="728F2DAF">
        <w:rPr>
          <w:lang w:val="en-GB"/>
        </w:rPr>
        <w:t>: sociocultural, demographic, economic, science and technological</w:t>
      </w:r>
      <w:r w:rsidR="009F7404">
        <w:rPr>
          <w:lang w:val="en-GB"/>
        </w:rPr>
        <w:t xml:space="preserve"> and</w:t>
      </w:r>
      <w:r w:rsidR="50F324B5" w:rsidRPr="728F2DAF">
        <w:rPr>
          <w:lang w:val="en-GB"/>
        </w:rPr>
        <w:t xml:space="preserve"> institutional (</w:t>
      </w:r>
      <w:r w:rsidR="00E23B69">
        <w:rPr>
          <w:b/>
          <w:bCs/>
          <w:lang w:val="en-GB"/>
        </w:rPr>
        <w:t>Table</w:t>
      </w:r>
      <w:r w:rsidR="39EC53BF" w:rsidRPr="728F2DAF">
        <w:rPr>
          <w:b/>
          <w:bCs/>
          <w:lang w:val="en-GB"/>
        </w:rPr>
        <w:t xml:space="preserve"> 3.1</w:t>
      </w:r>
      <w:r w:rsidRPr="728F2DAF">
        <w:rPr>
          <w:lang w:val="en-GB"/>
        </w:rPr>
        <w:t xml:space="preserve">). </w:t>
      </w:r>
      <w:r w:rsidR="4973018A" w:rsidRPr="728F2DAF">
        <w:rPr>
          <w:lang w:val="en-GB"/>
        </w:rPr>
        <w:t xml:space="preserve">It is important to note that indirect </w:t>
      </w:r>
      <w:r w:rsidR="46ADB126" w:rsidRPr="728F2DAF">
        <w:rPr>
          <w:lang w:val="en-GB"/>
        </w:rPr>
        <w:t>drivers of</w:t>
      </w:r>
      <w:r w:rsidR="067C1E4A" w:rsidRPr="728F2DAF">
        <w:rPr>
          <w:lang w:val="en-GB"/>
        </w:rPr>
        <w:t xml:space="preserve"> change in nature</w:t>
      </w:r>
      <w:r w:rsidR="3D7A1360" w:rsidRPr="728F2DAF">
        <w:rPr>
          <w:lang w:val="en-GB"/>
        </w:rPr>
        <w:t xml:space="preserve"> may </w:t>
      </w:r>
      <w:r w:rsidR="129FD67A" w:rsidRPr="728F2DAF">
        <w:rPr>
          <w:lang w:val="en-GB"/>
        </w:rPr>
        <w:t>both directly and in</w:t>
      </w:r>
      <w:r w:rsidR="3D7A1360" w:rsidRPr="728F2DAF">
        <w:rPr>
          <w:lang w:val="en-GB"/>
        </w:rPr>
        <w:t>direc</w:t>
      </w:r>
      <w:r w:rsidR="65C723B8" w:rsidRPr="728F2DAF">
        <w:rPr>
          <w:lang w:val="en-GB"/>
        </w:rPr>
        <w:t xml:space="preserve">tly </w:t>
      </w:r>
      <w:r w:rsidR="24BE2510" w:rsidRPr="728F2DAF">
        <w:rPr>
          <w:lang w:val="en-GB"/>
        </w:rPr>
        <w:t>influence</w:t>
      </w:r>
      <w:r w:rsidR="65C723B8" w:rsidRPr="728F2DAF">
        <w:rPr>
          <w:lang w:val="en-GB"/>
        </w:rPr>
        <w:t xml:space="preserve"> </w:t>
      </w:r>
      <w:r w:rsidR="2161B5B1" w:rsidRPr="728F2DAF">
        <w:rPr>
          <w:lang w:val="en-GB"/>
        </w:rPr>
        <w:t xml:space="preserve">the </w:t>
      </w:r>
      <w:r w:rsidR="4B1ED4DF" w:rsidRPr="728F2DAF">
        <w:rPr>
          <w:lang w:val="en-GB"/>
        </w:rPr>
        <w:t>biological invasion</w:t>
      </w:r>
      <w:r w:rsidR="12FF5864" w:rsidRPr="728F2DAF">
        <w:rPr>
          <w:lang w:val="en-GB"/>
        </w:rPr>
        <w:t xml:space="preserve"> process</w:t>
      </w:r>
      <w:r w:rsidR="758E7F57" w:rsidRPr="728F2DAF">
        <w:rPr>
          <w:lang w:val="en-GB"/>
        </w:rPr>
        <w:t xml:space="preserve"> and</w:t>
      </w:r>
      <w:r w:rsidR="00FD249C">
        <w:rPr>
          <w:lang w:val="en-GB"/>
        </w:rPr>
        <w:t xml:space="preserve"> the</w:t>
      </w:r>
      <w:r w:rsidR="758E7F57" w:rsidRPr="728F2DAF">
        <w:rPr>
          <w:lang w:val="en-GB"/>
        </w:rPr>
        <w:t xml:space="preserve"> introduction, establishment and spread of</w:t>
      </w:r>
      <w:r w:rsidR="00FD249C">
        <w:rPr>
          <w:lang w:val="en-GB"/>
        </w:rPr>
        <w:t xml:space="preserve"> </w:t>
      </w:r>
      <w:r w:rsidR="4B1ED4DF" w:rsidRPr="728F2DAF">
        <w:rPr>
          <w:lang w:val="en-GB"/>
        </w:rPr>
        <w:t xml:space="preserve">invasive alien species </w:t>
      </w:r>
      <w:r w:rsidR="3144E20D" w:rsidRPr="728F2DAF">
        <w:rPr>
          <w:lang w:val="en-GB"/>
        </w:rPr>
        <w:t>(</w:t>
      </w:r>
      <w:r w:rsidR="00E23B69">
        <w:rPr>
          <w:b/>
          <w:bCs/>
          <w:lang w:val="en-GB"/>
        </w:rPr>
        <w:t>Box</w:t>
      </w:r>
      <w:r w:rsidR="343749A3" w:rsidRPr="728F2DAF">
        <w:rPr>
          <w:b/>
          <w:bCs/>
          <w:lang w:val="en-GB"/>
        </w:rPr>
        <w:t xml:space="preserve"> </w:t>
      </w:r>
      <w:r w:rsidR="3144E20D" w:rsidRPr="728F2DAF">
        <w:rPr>
          <w:b/>
          <w:bCs/>
          <w:lang w:val="en-GB"/>
        </w:rPr>
        <w:t>3.1</w:t>
      </w:r>
      <w:r w:rsidR="26A46840" w:rsidRPr="728F2DAF">
        <w:rPr>
          <w:lang w:val="en-GB"/>
        </w:rPr>
        <w:t>)</w:t>
      </w:r>
      <w:r w:rsidR="65C723B8" w:rsidRPr="728F2DAF">
        <w:rPr>
          <w:lang w:val="en-GB"/>
        </w:rPr>
        <w:t>.</w:t>
      </w:r>
      <w:r w:rsidR="7987865E" w:rsidRPr="728F2DAF">
        <w:rPr>
          <w:lang w:val="en-GB"/>
        </w:rPr>
        <w:t xml:space="preserve"> </w:t>
      </w:r>
      <w:r w:rsidRPr="728F2DAF">
        <w:rPr>
          <w:lang w:val="en-GB"/>
        </w:rPr>
        <w:t>Sociocultural context, particularly values, beliefs and social norms</w:t>
      </w:r>
      <w:r w:rsidR="6510558E" w:rsidRPr="728F2DAF">
        <w:rPr>
          <w:lang w:val="en-GB"/>
        </w:rPr>
        <w:t>,</w:t>
      </w:r>
      <w:r w:rsidRPr="728F2DAF">
        <w:rPr>
          <w:lang w:val="en-GB"/>
        </w:rPr>
        <w:t xml:space="preserve"> can exert significant pressure on decision</w:t>
      </w:r>
      <w:r w:rsidR="0348BC14" w:rsidRPr="728F2DAF">
        <w:rPr>
          <w:lang w:val="en-GB"/>
        </w:rPr>
        <w:t>-</w:t>
      </w:r>
      <w:r w:rsidRPr="728F2DAF">
        <w:rPr>
          <w:lang w:val="en-GB"/>
        </w:rPr>
        <w:t xml:space="preserve">making regarding </w:t>
      </w:r>
      <w:r w:rsidR="274CE56F" w:rsidRPr="728F2DAF">
        <w:rPr>
          <w:lang w:val="en-GB"/>
        </w:rPr>
        <w:t>biologi</w:t>
      </w:r>
      <w:r w:rsidR="263871CC" w:rsidRPr="728F2DAF">
        <w:rPr>
          <w:lang w:val="en-GB"/>
        </w:rPr>
        <w:t>c</w:t>
      </w:r>
      <w:r w:rsidR="274CE56F" w:rsidRPr="728F2DAF">
        <w:rPr>
          <w:lang w:val="en-GB"/>
        </w:rPr>
        <w:t>al invasions</w:t>
      </w:r>
      <w:r w:rsidR="31930060" w:rsidRPr="728F2DAF">
        <w:rPr>
          <w:lang w:val="en-GB"/>
        </w:rPr>
        <w:t xml:space="preserve"> </w:t>
      </w:r>
      <w:r w:rsidR="18794F6F" w:rsidRPr="728F2DAF">
        <w:rPr>
          <w:lang w:val="en-GB"/>
        </w:rPr>
        <w:fldChar w:fldCharType="begin"/>
      </w:r>
      <w:r w:rsidR="00230216">
        <w:rPr>
          <w:lang w:val="en-GB"/>
        </w:rPr>
        <w:instrText xml:space="preserve"> ADDIN ZOTERO_ITEM CSL_CITATION {"citationID":"3HOCjV1o","properties":{"formattedCitation":"(R. T. Shackleton, Richardson, et al., 2019)","plainCitation":"(R. T. Shackleton, Richardson, et al., 2019)","dontUpdate":true,"noteIndex":0},"citationItems":[{"id":"zUkrYEfa/AjWM8yjK","uris":["http://zotero.org/groups/2352922/items/FD78XHCP"],"itemData":{"id":33053,"type":"article-journal","abstract":"Human perceptions of nature and the environment are increasingly being recognised as important for environmental management and conservation. Understanding people's perceptions is crucial for understanding behaviour and developing effective management strategies to maintain, preserve and improve biodiversity, ecosystem services and human well-being. As an interdisciplinary team, we produced a synthesis of the key factors that influence people's perceptions of invasive alien species, and ordered them in a conceptual framework. In a context of considerable complexity and variation across time and space, we identified six broad-scale dimensions: (1) attributes of the individual perceiving the invasive alien species; (2) characteristics of the invasive alien species itself; (3) effects of the invasion (including negative and positive impacts, i.e. benefits and costs); (4) socio-cultural context; (5) landscape context; and (6) institutional and policy context. A number of underlying and facilitating aspects for each of these six overarching dimensions are also identified and discussed. Synthesising and understanding the main factors that influence people's perceptions is useful to guide future research, to facilitate dialogue and negotiation between actors, and to aid management and policy formulation and governance of invasive alien species. This can help to circumvent and mitigate conflicts, support prioritisation plans, improve stakeholder engagement platforms, and implement control measures.","collection-title":"The human and social dimensions of invasion science and management","container-title":"Journal of Environmental Management","DOI":"10.1016/j.jenvman.2018.04.045","ISSN":"0301-4797","journalAbbreviation":"Journal of Environmental Management","language":"en","page":"10-26","source":"ScienceDirect","title":"Explaining people's perceptions of invasive alien species: A conceptual framework","title-short":"Explaining people's perceptions of invasive alien species","volume":"229","author":[{"family":"Shackleton","given":"Ross T."},{"family":"Richardson","given":"David M."},{"family":"Shackleton","given":"Charlie M."},{"family":"Bennett","given":"Brett"},{"family":"Crowley","given":"Sarah L."},{"family":"Dehnen-Schmutz","given":"Katharina"},{"family":"Estévez","given":"Rodrigo A."},{"family":"Fischer","given":"Anke"},{"family":"Kueffer","given":"Christoph"},{"family":"Kull","given":"Christian A."},{"family":"Marchante","given":"Elizabete"},{"family":"Novoa","given":"Ana"},{"family":"Potgieter","given":"Luke J."},{"family":"Vaas","given":"Jetske"},{"family":"Vaz","given":"Ana S."},{"family":"Larson","given":"Brendon M. H."}],"issued":{"date-parts":[["2019",1,1]]}}}],"schema":"https://github.com/citation-style-language/schema/raw/master/csl-citation.json"} </w:instrText>
      </w:r>
      <w:r w:rsidR="18794F6F" w:rsidRPr="728F2DAF">
        <w:rPr>
          <w:lang w:val="en-GB"/>
        </w:rPr>
        <w:fldChar w:fldCharType="separate"/>
      </w:r>
      <w:r w:rsidR="6C6DA96D" w:rsidRPr="728F2DAF">
        <w:rPr>
          <w:lang w:val="en-GB"/>
        </w:rPr>
        <w:t>(Shackleton et al., 2019</w:t>
      </w:r>
      <w:r w:rsidR="65BD21A7" w:rsidRPr="728F2DAF">
        <w:rPr>
          <w:lang w:val="en-GB"/>
        </w:rPr>
        <w:t>;</w:t>
      </w:r>
      <w:r w:rsidR="18794F6F" w:rsidRPr="728F2DAF">
        <w:rPr>
          <w:lang w:val="en-GB"/>
        </w:rPr>
        <w:fldChar w:fldCharType="end"/>
      </w:r>
      <w:r w:rsidRPr="728F2DAF">
        <w:rPr>
          <w:lang w:val="en-GB"/>
        </w:rPr>
        <w:t xml:space="preserve"> </w:t>
      </w:r>
      <w:r w:rsidR="108E2A28" w:rsidRPr="728F2DAF">
        <w:rPr>
          <w:b/>
          <w:bCs/>
          <w:lang w:val="en-GB"/>
        </w:rPr>
        <w:t>C</w:t>
      </w:r>
      <w:r w:rsidR="0D8EFEFC" w:rsidRPr="728F2DAF">
        <w:rPr>
          <w:b/>
          <w:bCs/>
          <w:lang w:val="en-GB"/>
        </w:rPr>
        <w:t xml:space="preserve">hapter </w:t>
      </w:r>
      <w:r w:rsidR="274CE56F" w:rsidRPr="728F2DAF">
        <w:rPr>
          <w:b/>
          <w:bCs/>
          <w:lang w:val="en-GB"/>
        </w:rPr>
        <w:t>1</w:t>
      </w:r>
      <w:r w:rsidR="274CE56F" w:rsidRPr="728F2DAF">
        <w:rPr>
          <w:lang w:val="en-GB"/>
        </w:rPr>
        <w:t xml:space="preserve">, </w:t>
      </w:r>
      <w:r w:rsidR="274CE56F" w:rsidRPr="728F2DAF">
        <w:rPr>
          <w:b/>
          <w:bCs/>
          <w:lang w:val="en-GB"/>
        </w:rPr>
        <w:t>section 1.5.2</w:t>
      </w:r>
      <w:r w:rsidR="0D8EFEFC" w:rsidRPr="728F2DAF">
        <w:rPr>
          <w:lang w:val="en-GB"/>
        </w:rPr>
        <w:t>)</w:t>
      </w:r>
      <w:r w:rsidRPr="728F2DAF">
        <w:rPr>
          <w:lang w:val="en-GB"/>
        </w:rPr>
        <w:t xml:space="preserve"> and </w:t>
      </w:r>
      <w:r w:rsidR="7094B612" w:rsidRPr="728F2DAF">
        <w:rPr>
          <w:lang w:val="en-GB"/>
        </w:rPr>
        <w:t>is</w:t>
      </w:r>
      <w:r w:rsidRPr="728F2DAF">
        <w:rPr>
          <w:lang w:val="en-GB"/>
        </w:rPr>
        <w:t xml:space="preserve"> materially manifested in lifestyles and consumption patterns that can act direct</w:t>
      </w:r>
      <w:r w:rsidR="1A59DC78" w:rsidRPr="728F2DAF">
        <w:rPr>
          <w:lang w:val="en-GB"/>
        </w:rPr>
        <w:t>ly in facilitating</w:t>
      </w:r>
      <w:r w:rsidR="38A712B3" w:rsidRPr="728F2DAF">
        <w:rPr>
          <w:lang w:val="en-GB"/>
        </w:rPr>
        <w:t xml:space="preserve"> </w:t>
      </w:r>
      <w:r w:rsidR="6510558E" w:rsidRPr="728F2DAF">
        <w:rPr>
          <w:lang w:val="en-GB"/>
        </w:rPr>
        <w:t xml:space="preserve">the introduction and spread of </w:t>
      </w:r>
      <w:r w:rsidR="31930060" w:rsidRPr="728F2DAF">
        <w:rPr>
          <w:lang w:val="en-GB"/>
        </w:rPr>
        <w:t>invasive alien species</w:t>
      </w:r>
      <w:r w:rsidRPr="728F2DAF">
        <w:rPr>
          <w:lang w:val="en-GB"/>
        </w:rPr>
        <w:t xml:space="preserve">. Demographic drivers, </w:t>
      </w:r>
      <w:r w:rsidR="1F2DAE32" w:rsidRPr="728F2DAF">
        <w:rPr>
          <w:lang w:val="en-GB"/>
        </w:rPr>
        <w:t xml:space="preserve">including </w:t>
      </w:r>
      <w:r w:rsidRPr="728F2DAF">
        <w:rPr>
          <w:lang w:val="en-GB"/>
        </w:rPr>
        <w:t>human population growth</w:t>
      </w:r>
      <w:r w:rsidR="3BD9E42C" w:rsidRPr="728F2DAF">
        <w:rPr>
          <w:lang w:val="en-GB"/>
        </w:rPr>
        <w:t xml:space="preserve"> and </w:t>
      </w:r>
      <w:r w:rsidR="1DD8077F" w:rsidRPr="728F2DAF">
        <w:rPr>
          <w:lang w:val="en-GB"/>
        </w:rPr>
        <w:t>migration</w:t>
      </w:r>
      <w:r w:rsidR="73C594EB" w:rsidRPr="728F2DAF">
        <w:rPr>
          <w:lang w:val="en-GB"/>
        </w:rPr>
        <w:t>,</w:t>
      </w:r>
      <w:r w:rsidRPr="728F2DAF">
        <w:rPr>
          <w:lang w:val="en-GB"/>
        </w:rPr>
        <w:t xml:space="preserve"> </w:t>
      </w:r>
      <w:r w:rsidR="3073989F" w:rsidRPr="728F2DAF">
        <w:rPr>
          <w:lang w:val="en-GB"/>
        </w:rPr>
        <w:t>underpin</w:t>
      </w:r>
      <w:r w:rsidRPr="728F2DAF">
        <w:rPr>
          <w:lang w:val="en-GB"/>
        </w:rPr>
        <w:t xml:space="preserve"> all </w:t>
      </w:r>
      <w:r w:rsidR="770240A0" w:rsidRPr="728F2DAF">
        <w:rPr>
          <w:lang w:val="en-GB"/>
        </w:rPr>
        <w:t xml:space="preserve">anthropogenic </w:t>
      </w:r>
      <w:r w:rsidRPr="728F2DAF">
        <w:rPr>
          <w:lang w:val="en-GB"/>
        </w:rPr>
        <w:t xml:space="preserve">direct drivers of </w:t>
      </w:r>
      <w:r w:rsidR="1A59DC78" w:rsidRPr="728F2DAF">
        <w:rPr>
          <w:lang w:val="en-GB"/>
        </w:rPr>
        <w:t xml:space="preserve">change </w:t>
      </w:r>
      <w:r w:rsidR="10CE8CFE" w:rsidRPr="728F2DAF">
        <w:rPr>
          <w:lang w:val="en-GB"/>
        </w:rPr>
        <w:t xml:space="preserve">in nature </w:t>
      </w:r>
      <w:r w:rsidR="1A59DC78" w:rsidRPr="728F2DAF">
        <w:rPr>
          <w:lang w:val="en-GB"/>
        </w:rPr>
        <w:t xml:space="preserve">that </w:t>
      </w:r>
      <w:r w:rsidR="2D89E1C4" w:rsidRPr="728F2DAF">
        <w:rPr>
          <w:lang w:val="en-GB"/>
        </w:rPr>
        <w:t>also facilitate biologic</w:t>
      </w:r>
      <w:r w:rsidR="1D580AB3" w:rsidRPr="728F2DAF">
        <w:rPr>
          <w:lang w:val="en-GB"/>
        </w:rPr>
        <w:t>al invasions throu</w:t>
      </w:r>
      <w:r w:rsidR="179389E9" w:rsidRPr="728F2DAF">
        <w:rPr>
          <w:lang w:val="en-GB"/>
        </w:rPr>
        <w:t xml:space="preserve">gh </w:t>
      </w:r>
      <w:r w:rsidRPr="728F2DAF">
        <w:rPr>
          <w:lang w:val="en-GB"/>
        </w:rPr>
        <w:t xml:space="preserve">increasing </w:t>
      </w:r>
      <w:r w:rsidR="5D687BF1" w:rsidRPr="728F2DAF">
        <w:rPr>
          <w:lang w:val="en-GB"/>
        </w:rPr>
        <w:t>urbanization</w:t>
      </w:r>
      <w:r w:rsidRPr="728F2DAF">
        <w:rPr>
          <w:lang w:val="en-GB"/>
        </w:rPr>
        <w:t xml:space="preserve">. A significant economic driver that often correlates strongly with the number of alien species found in a country is </w:t>
      </w:r>
      <w:r w:rsidR="2D89E1C4" w:rsidRPr="728F2DAF">
        <w:rPr>
          <w:lang w:val="en-GB"/>
        </w:rPr>
        <w:t xml:space="preserve">economic growth, often </w:t>
      </w:r>
      <w:r w:rsidR="26DF4B88" w:rsidRPr="728F2DAF">
        <w:rPr>
          <w:lang w:val="en-GB"/>
        </w:rPr>
        <w:t>expressed as</w:t>
      </w:r>
      <w:r w:rsidR="1A52B8AE" w:rsidRPr="728F2DAF">
        <w:rPr>
          <w:lang w:val="en-GB"/>
        </w:rPr>
        <w:t xml:space="preserve"> </w:t>
      </w:r>
      <w:r w:rsidR="2F97095F" w:rsidRPr="728F2DAF">
        <w:rPr>
          <w:lang w:val="en-GB"/>
        </w:rPr>
        <w:t xml:space="preserve">per capita </w:t>
      </w:r>
      <w:r w:rsidR="5B87BD5F" w:rsidRPr="728F2DAF">
        <w:rPr>
          <w:lang w:val="en-GB"/>
        </w:rPr>
        <w:t xml:space="preserve">gross domestic product </w:t>
      </w:r>
      <w:r w:rsidR="7AA444EE" w:rsidRPr="728F2DAF">
        <w:rPr>
          <w:lang w:val="en-GB"/>
        </w:rPr>
        <w:t xml:space="preserve">(GDP; </w:t>
      </w:r>
      <w:r w:rsidR="18794F6F" w:rsidRPr="728F2DAF">
        <w:rPr>
          <w:lang w:val="en-GB"/>
        </w:rPr>
        <w:fldChar w:fldCharType="begin"/>
      </w:r>
      <w:r w:rsidR="00F5121E">
        <w:rPr>
          <w:lang w:val="en-GB"/>
        </w:rPr>
        <w:instrText xml:space="preserve"> ADDIN ZOTERO_ITEM CSL_CITATION {"citationID":"fxOlcQ30","properties":{"formattedCitation":"(Dawson et al., 2017; Essl et al., 2011, 2015; Hulme, 2011b)","plainCitation":"(Dawson et al., 2017; Essl et al., 2011, 2015; Hulme, 2011b)","dontUpdate":true,"noteIndex":0},"citationItems":[{"id":28835,"uris":["http://zotero.org/groups/2352922/items/NJYZEFXF"],"itemData":{"id":28835,"type":"article-journal","abstract":"Human-mediated transport beyond biogeographic barriers has led to the introduction and establishment of alien species in new regions worldwide. However, we lack a global picture of established alien species richness for multiple taxonomic groups. Here, we assess global patterns and potential drivers of established alien species richness across eight taxonomic groups (amphibians, ants, birds, freshwater fishes, mammals, vascular plants, reptiles and spiders) for 186 islands and 423 mainland regions. Hotspots of established alien species richness are predominantly island and coastal mainland regions. Regions with greater gross domestic product per capita, human population density, and area have higher established alien richness, with strongest effects emerging for islands. Ants and reptiles, birds and mammals, and vascular plants and spiders form pairs of taxonomic groups with the highest spatial congruence in established alien richness, but drivers explaining richness differ between the taxa in each pair. Across all taxonomic groups, our results highlight the need to prioritize prevention of further alien species introductions to island and coastal mainland regions globally.","container-title":"Nature Ecology &amp; Evolution","DOI":"10.1038/s41559-017-0186","ISSN":"2397-334X","issue":"7","journalAbbreviation":"Nat Ecol Evol","language":"en","license":"2017 Nature Publishing Group","page":"0186","source":"www.nature.com","title":"Global hotspots and correlates of alien species richness across taxonomic groups","URL":"https://doi.org/10.1038/s41559-017-0186","volume":"1","author":[{"family":"Dawson","given":"Wayne"},{"family":"Moser","given":"Dietmar"},{"family":"Kleunen","given":"Mark","non-dropping-particle":"van"},{"family":"Kreft","given":"Holger"},{"family":"Pergl","given":"Jan"},{"family":"Pyšek","given":"Petr"},{"family":"Weigelt","given":"Patrick"},{"family":"Winter","given":"Marten"},{"family":"Lenzner","given":"Bernd"},{"family":"Blackburn","given":"Tim M."},{"family":"Dyer","given":"Ellie E."},{"family":"Cassey","given":"Phillip"},{"family":"Scrivens","given":"Sally L."},{"family":"Economo","given":"Evan P."},{"family":"Guénard","given":"Benoit"},{"family":"Capinha","given":"César"},{"family":"Seebens","given":"Hanno"},{"family":"García-Díaz","given":"Pablo"},{"family":"Nentwig","given":"Wolfgang"},{"family":"García-Berthou","given":"Emili"},{"family":"Casal","given":"Christine"},{"family":"Mandrak","given":"Nicholas E."},{"family":"Fuller","given":"Pam"},{"family":"Meyer","given":"Carsten"},{"family":"Essl","given":"Franz"}],"accessed":{"date-parts":[["2019",10,24]]},"issued":{"date-parts":[["2017",7]]}},"label":"page"},{"id":56280,"uris":["http://zotero.org/groups/2352922/items/YY5ECPQJ","http://zotero.org/groups/2352922/items/ITJAFPQE"],"itemData":{"id":56280,"type":"article-journal","abstract":"Globalization and economic growth are widely recognized as important drivers of biological invasions. Consequently, there is an increasing need for governments to address the role of international trade in their strategies to prevent species introductions. However, many of the most problematic alien species are not recent arrivals but were introduced several decades ago. Hence, current patterns of alien-species richness may better reflect historical rather than contemporary human activities, a phenomenon which might be called “invasion debt.” Here, we show that across 10 taxonomic groups (vascular plants, bryophytes, fungi, birds, mammals, reptiles, amphibians, fish, terrestrial insects, and aquatic invertebrates) in 28 European countries, current numbers of alien species established in the wild are indeed more closely related to indicators of socioeconomic activity from the year 1900 than to those from 2000, although the majority of species introductions occurred during the second half of the 20th century. The strength of the historical signal varies among taxonomic groups, with those possessing good capabilities for dispersal (birds, insects) more strongly associated with recent socioeconomic drivers. Nevertheless, our results suggest a considerable historical legacy for the majority of the taxa analyzed. The consequences of the current high levels of socioeconomic activity on the extent of biological invasions will thus probably not be completely realized until several decades into the future.","container-title":"Proceedings of the National Academy of Sciences","DOI":"10.1073/pnas.1011728108","ISSN":"0027-8424, 1091-6490","issue":"1","journalAbbreviation":"Proc. Natl. Acad. Sci. U.S.A.","language":"en","page":"203-207","source":"DOI.org (Crossref)","title":"Socioeconomic legacy yields an invasion debt","URL":"https://pnas.org/doi/full/10.1073/pnas.1011728108","volume":"108","author":[{"family":"Essl","given":"Franz"},{"family":"Dullinger","given":"Stefan"},{"family":"Rabitsch","given":"Wolfgang"},{"family":"Hulme","given":"Philip E."},{"family":"Hülber","given":"Karl"},{"family":"Jarošík","given":"Vojtěch"},{"family":"Kleinbauer","given":"Ingrid"},{"family":"Krausmann","given":"Fridolin"},{"family":"Kühn","given":"Ingolf"},{"family":"Nentwig","given":"Wolfgang"},{"family":"Vilà","given":"Montserrat"},{"family":"Genovesi","given":"Piero"},{"family":"Gherardi","given":"Francesca"},{"family":"Desprez-Loustau","given":"Marie-Laure"},{"family":"Roques","given":"Alain"},{"family":"Pyšek","given":"Petr"}],"accessed":{"date-parts":[["2023",6,8]]},"issued":{"date-parts":[["2011",1,4]]}},"label":"page"},{"id":28968,"uris":["http://zotero.org/groups/2352922/items/BKFH7JRK"],"itemData":{"id":28968,"type":"article-journal","container-title":"Ecography","DOI":"10.1111/ecog.00905","ISSN":"09067590","issue":"5","journalAbbreviation":"Ecography","language":"en","page":"488-498","source":"DOI.org (Crossref)","title":"Macroecology of global bryophyte invasions at different invasion stages","URL":"https://onlinelibrary.wiley.com/doi/10.1111/ecog.00905","volume":"38","author":[{"family":"Essl","given":"Franz"},{"family":"Dullinger","given":"Stefan"},{"family":"Moser","given":"Dietmar"},{"family":"Steinbauer","given":"Klaus"},{"family":"Mang","given":"Thomas"}],"accessed":{"date-parts":[["2021",7,8]]},"issued":{"date-parts":[["2015",5]]}},"label":"page"},{"id":29777,"uris":["http://zotero.org/groups/2352922/items/AV9AJCYL"],"itemData":{"id":29777,"type":"article-journal","abstract":"Increasing evidence highlights the role that botanic gardens might have in plant invasions across the globe. Botanic gardens, often in global biodiversity hotspots, have been implicated in the early cultivation and/or introduction of most environmental weeds listed by IUCN as among the worst invasive species worldwide. Furthermore, most of the popular ornamental species in living collections around the globe have records as alien weeds. Voluntary codes of conduct to prevent the dissemination of invasive plants from botanic gardens have had limited uptake, with few risk assessments undertaken of individual living collections. A stronger global networking of botanic gardens to tackle biological invasions involving public outreach, information sharing and capacity building is a priority to prevent the problems of the past occurring in the future. © 2011 Elsevier Ltd.","container-title":"Trends in Ecology and Evolution","DOI":"10.1016/j.tree.2011.01.005","ISSN":"0169-5347","issue":"4","journalAbbreviation":"Trends in Ecology &amp; Evolution","language":"en","page":"168-174","title":"Addressing the threat to biodiversity from botanic gardens","URL":"https://www.scopus.com/inward/record.uri?eid=2-s2.0-79952625264&amp;doi=10.1016%2fj.tree.2011.01.005&amp;partnerID=40&amp;md5=96e43dee5ee06661c62b7a4e3b41a34f","volume":"26","author":[{"family":"Hulme","given":"Philip E."}],"issued":{"date-parts":[["2011",4,1]]}},"label":"page"}],"schema":"https://github.com/citation-style-language/schema/raw/master/csl-citation.json"} </w:instrText>
      </w:r>
      <w:r w:rsidR="18794F6F" w:rsidRPr="728F2DAF">
        <w:rPr>
          <w:lang w:val="en-GB"/>
        </w:rPr>
        <w:fldChar w:fldCharType="separate"/>
      </w:r>
      <w:r w:rsidR="06972217" w:rsidRPr="728F2DAF">
        <w:rPr>
          <w:lang w:val="en-GB"/>
        </w:rPr>
        <w:t>Dawson et al., 2017; Essl et al., 2011, 2015; Hulme, 2011b)</w:t>
      </w:r>
      <w:r w:rsidR="18794F6F" w:rsidRPr="728F2DAF">
        <w:rPr>
          <w:lang w:val="en-GB"/>
        </w:rPr>
        <w:fldChar w:fldCharType="end"/>
      </w:r>
      <w:r w:rsidR="61A19DC8" w:rsidRPr="728F2DAF">
        <w:rPr>
          <w:lang w:val="en-GB"/>
        </w:rPr>
        <w:t>,</w:t>
      </w:r>
      <w:r w:rsidR="179389E9" w:rsidRPr="728F2DAF">
        <w:rPr>
          <w:lang w:val="en-GB"/>
        </w:rPr>
        <w:t xml:space="preserve"> </w:t>
      </w:r>
      <w:r w:rsidRPr="728F2DAF">
        <w:rPr>
          <w:lang w:val="en-GB"/>
        </w:rPr>
        <w:t>reflect</w:t>
      </w:r>
      <w:r w:rsidR="63D32E6F" w:rsidRPr="728F2DAF">
        <w:rPr>
          <w:lang w:val="en-GB"/>
        </w:rPr>
        <w:t>ing</w:t>
      </w:r>
      <w:r w:rsidRPr="728F2DAF">
        <w:rPr>
          <w:lang w:val="en-GB"/>
        </w:rPr>
        <w:t xml:space="preserve"> the intensity of international trade which is a major conduit for the introduction of alien species </w:t>
      </w:r>
      <w:r w:rsidR="18794F6F" w:rsidRPr="728F2DAF">
        <w:rPr>
          <w:lang w:val="en-GB"/>
        </w:rPr>
        <w:fldChar w:fldCharType="begin"/>
      </w:r>
      <w:r w:rsidR="008E202A">
        <w:rPr>
          <w:lang w:val="en-GB"/>
        </w:rPr>
        <w:instrText xml:space="preserve"> ADDIN ZOTERO_ITEM CSL_CITATION {"citationID":"avZP4tEX","properties":{"formattedCitation":"(Hulme, 2009, 2021b; Seebens et al., 2015; Westphal et al., 2008)","plainCitation":"(Hulme, 2009, 2021b; Seebens et al., 2015; Westphal et al., 2008)","noteIndex":0},"citationItems":[{"id":32387,"uris":["http://zotero.org/groups/2352922/items/M3KQUD2U"],"itemData":{"id":32387,"type":"article-journal","abstract":"1 Humans have traded and transported alien species for millennia with two notable step-changes: the end of the Middle Ages and beginning of the Industrial Revolution. However, in recent decades the world has entered a new phase in the magnitude and diversity of biological invasions: the Era of Globalization. This Special Profile reviews the links between the main drivers of globalization and biological invasions and examines state-of-the-art approaches to pathway risk assessment to illustrate new opportunities for managing invasive species. 2 Income growth is a primary driver of globalization and a clear association exists between Gross Domestic Product and the richness of alien floras and faunas for many regions of the world. In many cases, the exposure of these economies to trade is highlighted by the significant role of merchandise imports in biological invasions, especially for island ecosystems. 3 Post-1950, technical and logistic improvements have accelerated the ease with which commodities are transported across the globe and hindered the traceability of goods and the ease of intercepting pests. New sea, land and air links in international trade and human transport have established novel pathways for the spread of alien species. Increasingly, the science advances underpinning invasive species management must move at the speed of commerce. 4 Increasing transport networks and demand for commodities have led to pathway risk assessments becoming the frontline in the prevention of biological invasions. The diverse routes of introduction arising from contaminant, stowaway, corridor and unaided pathways, in both aquatic and terrestrial biomes are complex. Nevertheless, common features enable comparable approaches to risk assessment. By bringing together spatial data on climate suitability, habitat availability and points of entry, as well a demographic models that include species dispersal (both natural and human-mediated) and measures of propagule pressure, it is possible to generate risk maps highlighting potential invasion hotspots that can inform prevention strategies. 5 Synthesis and applications. To date, most attempts to model pathways have focused on describing the likelihood of invader establishment. Few have modelled explicit management strategies such as optimal detection and inspection strategies and assessments of the effectiveness of different management measures. A future focus in these areas will ensure research informs response.","container-title":"Journal of Applied Ecology","DOI":"10.1111/j.1365-2664.2008.01600.x","ISSN":"1365-2664","issue":"1","language":"en","license":"© 2009 The Author. Journal compilation © 2009 British Ecological Society","page":"10-18","source":"Wiley Online Library","title":"Trade, transport and trouble: managing invasive species pathways in an era of globalization","title-short":"Trade, transport and trouble","URL":"https://besjournals.onlinelibrary.wiley.com/doi/abs/10.1111/j.1365-2664.2008.01600.x","volume":"46","author":[{"family":"Hulme","given":"Philip E."}],"accessed":{"date-parts":[["2019",12,5]]},"issued":{"date-parts":[["2009"]]}},"label":"page"},{"id":29731,"uris":["http://zotero.org/groups/2352922/items/KV62X9CX"],"itemData":{"id":29731,"type":"article-journal","abstract":"Biological invasions are synonymous with international trade. The direct effects of trade have largely been quantiﬁed using relationships between imports and the number of alien species in a region or patterns in the global spread of species linked to shipping and air trafﬁc networks. But trade also has an indirect role on biological invasions by transforming the environments and societies of exporting and importing nations. Here, both the direct and indirect roles of trade on biological invasions, as well as their interaction, are examined for the ﬁrst time. Future trends in international trade, including e-commerce, new trade routes, and major infrastructure developments, will lead to the pressure on national borders soon outstripping the resources available for intervention. The current legislative and scientiﬁc tools targeting biological invasions are insufﬁcient to deal with this growing threat and require a new mindset that focuses on curbing the pandemic risk posed by alien species.","container-title":"One Earth","DOI":"10.1016/j.oneear.2021.04.015","ISSN":"25903322","issue":"5","journalAbbreviation":"One Earth","language":"en","page":"666-679","source":"DOI.org (Crossref)","title":"Unwelcome exchange: International trade as a direct and indirect driver of biological invasions worldwide","title-short":"Unwelcome exchange","URL":"https://doi.org/10.1016/j.oneear.2021.04.015","volume":"4","author":[{"family":"Hulme","given":"Philip E."}],"accessed":{"date-parts":[["2021",7,8]]},"issued":{"date-parts":[["2021",5]]}},"label":"page"},{"id":56690,"uris":["http://zotero.org/groups/2352922/items/BUQI9FWK","http://zotero.org/groups/2352922/items/JXSQ5KP4"],"itemData":{"id":56690,"type":"article-journal","container-title":"Global Change Biology","DOI":"10.1111/gcb.13021","ISSN":"13541013","issue":"11","journalAbbreviation":"Glob Change Biol","language":"en","page":"4128-4140","source":"DOI.org (Crossref)","title":"Global trade will accelerate plant invasions in emerging economies under climate change","URL":"https://onlinelibrary.wiley.com/doi/10.1111/gcb.13021","volume":"21","author":[{"family":"Seebens","given":"Hanno"},{"family":"Essl","given":"Franz"},{"family":"Dawson","given":"Wayne"},{"family":"Fuentes","given":"Nicol"},{"family":"Moser","given":"Dietmar"},{"family":"Pergl","given":"Jan"},{"family":"Pyšek","given":"Petr"},{"family":"Van Kleunen","given":"Mark"},{"family":"Weber","given":"Ewald"},{"family":"Winter","given":"Marten"},{"family":"Blasius","given":"Bernd"}],"accessed":{"date-parts":[["2023",6,8]]},"issued":{"date-parts":[["2015",11]]}},"label":"page"},{"id":28951,"uris":["http://zotero.org/groups/2352922/items/DTXM7R2A"],"itemData":{"id":28951,"type":"article-journal","abstract":"Invasive alien species (IAS) exact large biodiversity and economic costs and are a significant component of human-induced, global environmental change. Previous studies looking at the variation in alien species across regions have been limited geographically or taxonomically or have not considered economics. We used a global invasive species database to regress IAS per-country on a suite of socioeconomic, ecological, and biogeographical variables. We varied the countries included in the regression tree analyses, in order to explore whether certain outliers were biasing the results, and in most of the cases, merchandise imports was the most important explanatory variable. The greater the degree of international trade, the higher the number of IAS. We also found a positive relationship between species richness and the number of invasives, in accord with other investigations at large spatial scales. Island status (overall), country area, latitude, continental position (New World versus Old World) or other measures of human disturbance (e.g., GDP per capita, population density) were not found to be important determinants of a country’s degree of biological invasion, contrary to previous studies. Our findings also provide support to the idea that more resources for combating IAS should be directed at the introduction stage and that novel trade instruments need to be explored to account for this environmental externality.","container-title":"Biological Invasions","DOI":"10.1007/s10530-007-9138-5","ISSN":"1573-1464","issue":"4","journalAbbreviation":"Biol Invasions","language":"en","page":"391-398","source":"Springer Link","title":"The link between international trade and the global distribution of invasive alien species","URL":"https://doi.org/10.1007/s10530-007-9138-5","volume":"10","author":[{"family":"Westphal","given":"Michael I."},{"family":"Browne","given":"Michael"},{"family":"MacKinnon","given":"Kathy"},{"family":"Noble","given":"Ian"}],"accessed":{"date-parts":[["2019",8,23]]},"issued":{"date-parts":[["2008",4,1]]}},"label":"page"}],"schema":"https://github.com/citation-style-language/schema/raw/master/csl-citation.json"} </w:instrText>
      </w:r>
      <w:r w:rsidR="18794F6F" w:rsidRPr="728F2DAF">
        <w:rPr>
          <w:lang w:val="en-GB"/>
        </w:rPr>
        <w:fldChar w:fldCharType="separate"/>
      </w:r>
      <w:r w:rsidR="008E202A" w:rsidRPr="008E202A">
        <w:t>(Hulme, 2009, 2021b; Seebens et al., 2015; Westphal et al., 2008)</w:t>
      </w:r>
      <w:r w:rsidR="18794F6F" w:rsidRPr="728F2DAF">
        <w:rPr>
          <w:lang w:val="en-GB"/>
        </w:rPr>
        <w:fldChar w:fldCharType="end"/>
      </w:r>
      <w:r w:rsidRPr="728F2DAF">
        <w:rPr>
          <w:lang w:val="en-GB"/>
        </w:rPr>
        <w:t xml:space="preserve">. While technology is a major factor in economic growth, its </w:t>
      </w:r>
      <w:r w:rsidR="62201CD4" w:rsidRPr="728F2DAF">
        <w:rPr>
          <w:lang w:val="en-GB"/>
        </w:rPr>
        <w:t>effect</w:t>
      </w:r>
      <w:r w:rsidRPr="728F2DAF">
        <w:rPr>
          <w:lang w:val="en-GB"/>
        </w:rPr>
        <w:t xml:space="preserve"> on </w:t>
      </w:r>
      <w:r w:rsidR="14571F19" w:rsidRPr="728F2DAF">
        <w:rPr>
          <w:lang w:val="en-GB"/>
        </w:rPr>
        <w:t>biological invasions</w:t>
      </w:r>
      <w:r w:rsidR="31930060" w:rsidRPr="728F2DAF">
        <w:rPr>
          <w:lang w:val="en-GB"/>
        </w:rPr>
        <w:t xml:space="preserve"> </w:t>
      </w:r>
      <w:r w:rsidRPr="728F2DAF">
        <w:rPr>
          <w:lang w:val="en-GB"/>
        </w:rPr>
        <w:t>depends on how it is used.</w:t>
      </w:r>
      <w:r w:rsidR="1BF51694" w:rsidRPr="728F2DAF">
        <w:rPr>
          <w:lang w:val="en-GB"/>
        </w:rPr>
        <w:t xml:space="preserve"> </w:t>
      </w:r>
      <w:r w:rsidR="7442260C" w:rsidRPr="728F2DAF">
        <w:rPr>
          <w:lang w:val="en-GB"/>
        </w:rPr>
        <w:t xml:space="preserve">The use of </w:t>
      </w:r>
      <w:r w:rsidR="07254BEA" w:rsidRPr="728F2DAF">
        <w:rPr>
          <w:lang w:val="en-GB"/>
        </w:rPr>
        <w:t>n</w:t>
      </w:r>
      <w:r w:rsidRPr="728F2DAF">
        <w:rPr>
          <w:lang w:val="en-GB"/>
        </w:rPr>
        <w:t xml:space="preserve">ew technologies to limit the </w:t>
      </w:r>
      <w:r w:rsidR="44869FCC" w:rsidRPr="728F2DAF">
        <w:rPr>
          <w:lang w:val="en-GB"/>
        </w:rPr>
        <w:t xml:space="preserve">transport, </w:t>
      </w:r>
      <w:r w:rsidRPr="728F2DAF">
        <w:rPr>
          <w:lang w:val="en-GB"/>
        </w:rPr>
        <w:t xml:space="preserve">introduction, establishment and spread of </w:t>
      </w:r>
      <w:r w:rsidR="31930060" w:rsidRPr="728F2DAF">
        <w:rPr>
          <w:lang w:val="en-GB"/>
        </w:rPr>
        <w:t>invasive alien species</w:t>
      </w:r>
      <w:r w:rsidR="07254BEA" w:rsidRPr="728F2DAF">
        <w:rPr>
          <w:lang w:val="en-GB"/>
        </w:rPr>
        <w:t xml:space="preserve">, along with technological approaches to </w:t>
      </w:r>
      <w:r w:rsidR="432771CB" w:rsidRPr="728F2DAF">
        <w:rPr>
          <w:lang w:val="en-GB"/>
        </w:rPr>
        <w:t>aid eradication a</w:t>
      </w:r>
      <w:r w:rsidR="263871CC" w:rsidRPr="728F2DAF">
        <w:rPr>
          <w:lang w:val="en-GB"/>
        </w:rPr>
        <w:t>n</w:t>
      </w:r>
      <w:r w:rsidR="432771CB" w:rsidRPr="728F2DAF">
        <w:rPr>
          <w:lang w:val="en-GB"/>
        </w:rPr>
        <w:t xml:space="preserve">d containment </w:t>
      </w:r>
      <w:r w:rsidR="694144B8" w:rsidRPr="728F2DAF">
        <w:rPr>
          <w:lang w:val="en-GB" w:eastAsia="en-NZ"/>
        </w:rPr>
        <w:t>(</w:t>
      </w:r>
      <w:r w:rsidR="00E23B69">
        <w:rPr>
          <w:b/>
          <w:bCs/>
          <w:lang w:val="en-GB" w:eastAsia="en-NZ"/>
        </w:rPr>
        <w:t>Glossary</w:t>
      </w:r>
      <w:r w:rsidR="694144B8" w:rsidRPr="728F2DAF">
        <w:rPr>
          <w:lang w:val="en-GB" w:eastAsia="en-NZ"/>
        </w:rPr>
        <w:t xml:space="preserve">) </w:t>
      </w:r>
      <w:r w:rsidR="432771CB" w:rsidRPr="728F2DAF">
        <w:rPr>
          <w:lang w:val="en-GB"/>
        </w:rPr>
        <w:t xml:space="preserve">of </w:t>
      </w:r>
      <w:r w:rsidR="07254BEA" w:rsidRPr="728F2DAF">
        <w:rPr>
          <w:lang w:val="en-GB"/>
        </w:rPr>
        <w:t>invasive</w:t>
      </w:r>
      <w:r w:rsidR="263871CC" w:rsidRPr="728F2DAF">
        <w:rPr>
          <w:lang w:val="en-GB"/>
        </w:rPr>
        <w:t xml:space="preserve"> alien</w:t>
      </w:r>
      <w:r w:rsidR="07254BEA" w:rsidRPr="728F2DAF">
        <w:rPr>
          <w:lang w:val="en-GB"/>
        </w:rPr>
        <w:t xml:space="preserve"> species </w:t>
      </w:r>
      <w:r w:rsidR="0BC42CBC" w:rsidRPr="728F2DAF">
        <w:rPr>
          <w:lang w:val="en-GB"/>
        </w:rPr>
        <w:t xml:space="preserve">are discussed in </w:t>
      </w:r>
      <w:r w:rsidR="10E80F36" w:rsidRPr="009B3E7F">
        <w:rPr>
          <w:b/>
          <w:lang w:val="en-GB"/>
        </w:rPr>
        <w:t>C</w:t>
      </w:r>
      <w:r w:rsidRPr="009B3E7F">
        <w:rPr>
          <w:b/>
          <w:lang w:val="en-GB"/>
        </w:rPr>
        <w:t>hapter</w:t>
      </w:r>
      <w:r w:rsidR="6D8E0A9B" w:rsidRPr="009B3E7F">
        <w:rPr>
          <w:b/>
          <w:lang w:val="en-GB"/>
        </w:rPr>
        <w:t xml:space="preserve">s </w:t>
      </w:r>
      <w:r w:rsidRPr="009B3E7F">
        <w:rPr>
          <w:b/>
          <w:lang w:val="en-GB"/>
        </w:rPr>
        <w:t>5</w:t>
      </w:r>
      <w:r w:rsidR="263871CC" w:rsidRPr="728F2DAF">
        <w:rPr>
          <w:i/>
          <w:iCs/>
          <w:lang w:val="en-GB"/>
        </w:rPr>
        <w:t xml:space="preserve"> </w:t>
      </w:r>
      <w:r w:rsidR="528CD6E2" w:rsidRPr="728F2DAF">
        <w:rPr>
          <w:lang w:val="en-GB"/>
        </w:rPr>
        <w:t>(</w:t>
      </w:r>
      <w:r w:rsidR="2FDD98AD" w:rsidRPr="728F2DAF">
        <w:rPr>
          <w:b/>
          <w:bCs/>
          <w:lang w:val="en-GB"/>
        </w:rPr>
        <w:t>sections 5.5.3</w:t>
      </w:r>
      <w:r w:rsidR="2FDD98AD" w:rsidRPr="728F2DAF">
        <w:rPr>
          <w:lang w:val="en-GB"/>
        </w:rPr>
        <w:t>,</w:t>
      </w:r>
      <w:r w:rsidR="2FDD98AD" w:rsidRPr="728F2DAF">
        <w:rPr>
          <w:b/>
          <w:bCs/>
          <w:lang w:val="en-GB"/>
        </w:rPr>
        <w:t xml:space="preserve"> 5.5.4</w:t>
      </w:r>
      <w:r w:rsidR="263871CC" w:rsidRPr="728F2DAF">
        <w:rPr>
          <w:lang w:val="en-GB"/>
        </w:rPr>
        <w:t>)</w:t>
      </w:r>
      <w:r w:rsidR="6D8E0A9B" w:rsidRPr="728F2DAF">
        <w:rPr>
          <w:lang w:val="en-GB"/>
        </w:rPr>
        <w:t xml:space="preserve"> and </w:t>
      </w:r>
      <w:r w:rsidR="6D8E0A9B" w:rsidRPr="009B3E7F">
        <w:rPr>
          <w:b/>
          <w:lang w:val="en-GB"/>
        </w:rPr>
        <w:t>6</w:t>
      </w:r>
      <w:r w:rsidR="6D8E0A9B" w:rsidRPr="728F2DAF">
        <w:rPr>
          <w:lang w:val="en-GB"/>
        </w:rPr>
        <w:t xml:space="preserve"> (</w:t>
      </w:r>
      <w:r w:rsidR="6D8E0A9B" w:rsidRPr="728F2DAF">
        <w:rPr>
          <w:b/>
          <w:bCs/>
          <w:lang w:val="en-GB"/>
        </w:rPr>
        <w:t>section</w:t>
      </w:r>
      <w:r w:rsidR="3A8A7DC4" w:rsidRPr="728F2DAF">
        <w:rPr>
          <w:b/>
          <w:bCs/>
          <w:lang w:val="en-GB"/>
        </w:rPr>
        <w:t>s 6.3.3.4</w:t>
      </w:r>
      <w:r w:rsidR="3A8A7DC4" w:rsidRPr="728F2DAF">
        <w:rPr>
          <w:lang w:val="en-GB"/>
        </w:rPr>
        <w:t xml:space="preserve">, </w:t>
      </w:r>
      <w:r w:rsidR="3A8A7DC4" w:rsidRPr="728F2DAF">
        <w:rPr>
          <w:b/>
          <w:bCs/>
          <w:lang w:val="en-GB"/>
        </w:rPr>
        <w:t>6.7.2</w:t>
      </w:r>
      <w:r w:rsidR="6D8E0A9B" w:rsidRPr="728F2DAF">
        <w:rPr>
          <w:lang w:val="en-GB"/>
        </w:rPr>
        <w:t>)</w:t>
      </w:r>
      <w:r w:rsidR="4A555379" w:rsidRPr="728F2DAF">
        <w:rPr>
          <w:lang w:val="en-GB"/>
        </w:rPr>
        <w:t xml:space="preserve">. </w:t>
      </w:r>
      <w:r w:rsidR="184C1202" w:rsidRPr="728F2DAF">
        <w:rPr>
          <w:lang w:val="en-GB"/>
        </w:rPr>
        <w:t>Chapter 3</w:t>
      </w:r>
      <w:r w:rsidR="184C1202" w:rsidRPr="728F2DAF">
        <w:rPr>
          <w:i/>
          <w:iCs/>
          <w:lang w:val="en-GB"/>
        </w:rPr>
        <w:t xml:space="preserve"> </w:t>
      </w:r>
      <w:r w:rsidRPr="728F2DAF">
        <w:rPr>
          <w:lang w:val="en-GB"/>
        </w:rPr>
        <w:t>focus</w:t>
      </w:r>
      <w:r w:rsidR="2A455358" w:rsidRPr="728F2DAF">
        <w:rPr>
          <w:lang w:val="en-GB"/>
        </w:rPr>
        <w:t>es</w:t>
      </w:r>
      <w:r w:rsidRPr="728F2DAF">
        <w:rPr>
          <w:lang w:val="en-GB"/>
        </w:rPr>
        <w:t xml:space="preserve"> on the role of technology</w:t>
      </w:r>
      <w:r w:rsidR="79C683D8" w:rsidRPr="728F2DAF">
        <w:rPr>
          <w:lang w:val="en-GB"/>
        </w:rPr>
        <w:t xml:space="preserve"> </w:t>
      </w:r>
      <w:r w:rsidR="184C1202" w:rsidRPr="728F2DAF">
        <w:rPr>
          <w:lang w:val="en-GB"/>
        </w:rPr>
        <w:t xml:space="preserve">as </w:t>
      </w:r>
      <w:r w:rsidR="79C683D8" w:rsidRPr="728F2DAF">
        <w:rPr>
          <w:lang w:val="en-GB"/>
        </w:rPr>
        <w:t>a driver</w:t>
      </w:r>
      <w:r w:rsidRPr="728F2DAF">
        <w:rPr>
          <w:lang w:val="en-GB"/>
        </w:rPr>
        <w:t xml:space="preserve">, </w:t>
      </w:r>
      <w:r w:rsidR="79C683D8" w:rsidRPr="728F2DAF">
        <w:rPr>
          <w:lang w:val="en-GB"/>
        </w:rPr>
        <w:t xml:space="preserve">for example, how </w:t>
      </w:r>
      <w:r w:rsidRPr="728F2DAF">
        <w:rPr>
          <w:lang w:val="en-GB"/>
        </w:rPr>
        <w:t xml:space="preserve">internet commerce </w:t>
      </w:r>
      <w:r w:rsidR="18794F6F" w:rsidRPr="728F2DAF">
        <w:rPr>
          <w:lang w:val="en-GB"/>
        </w:rPr>
        <w:fldChar w:fldCharType="begin"/>
      </w:r>
      <w:r w:rsidR="00331A79">
        <w:rPr>
          <w:lang w:val="en-GB"/>
        </w:rPr>
        <w:instrText xml:space="preserve"> ADDIN ZOTERO_ITEM CSL_CITATION {"citationID":"Hl2zgORO","properties":{"formattedCitation":"(Walters et al., 2006)","plainCitation":"(Walters et al., 2006)","noteIndex":0},"citationItems":[{"id":24487,"uris":["http://zotero.org/groups/2352922/items/FWA4CJD8"],"itemData":{"id":24487,"type":"article-journal","abstract":"Professional aquarists and hobbyists are thought to be the source of invasions of the aquarium strain of the green macroalga Caulerpa taxi folia in the Mediterranean, southern California, and Australia. The US Department of Agriculture, Animal and Plant Health Inspection Service (USDA-APHIS) restricted interstate commerce and importation of the Mediterranean clone of C taxi folia prior to the California invasion and is currently deciding if it should strengthen regulation of this genus as more species of Caulerpa are being described as invasive. Here we document the importance of e-commerce as a mode of dispersal for many species of Caulerpa in the United States. We purchased Caulerpa from 30 internet retailers and 60 internet auction sites representing 25 states and Great Britain. Twelve different Caulerpa species were confirmed using DNA sequencing. Only 10.6% of sellers provided the correct genus and species names with their shipments. Thirty purchases of \"live rock\" provided four species of Caulerpa, as well as 53 additional marine species. Our results confirm the extensive e-commerce availability of this invasive genus and its high dispersal potential via postal services and hobbyists. We recommend that both eBay and the USDA maximize regulation of Caulerpa.","container-title":"Frontiers in Ecology and the Environment","DOI":"10.1890/1540-9295(2006)004[0075:EACUDO]2.0.CO;2","ISSN":"1540-9295","issue":"2","journalAbbreviation":"Frontiers in Ecology and the Environment","language":"en","note":"WOS:000235979500019","page":"75-79","source":"DOI.org (Crossref)","title":"E-commerce and &lt;i&gt;Caulerpa&lt;/i&gt;: unregulated dispersal of invasive species","title-short":"E-commerce and Caulerpa","URL":"http://doi.wiley.com/10.1890/1540-9295(2006)004[0075:EACUDO]2.0.CO;2","volume":"4","author":[{"family":"Walters","given":"Linda J."},{"family":"Brown","given":"Katherine R."},{"family":"Stam","given":"Wytze T."},{"family":"Olsen","given":"Jeanine L."}],"issued":{"date-parts":[["2006",3]]}}}],"schema":"https://github.com/citation-style-language/schema/raw/master/csl-citation.json"} </w:instrText>
      </w:r>
      <w:r w:rsidR="18794F6F" w:rsidRPr="728F2DAF">
        <w:rPr>
          <w:lang w:val="en-GB"/>
        </w:rPr>
        <w:fldChar w:fldCharType="separate"/>
      </w:r>
      <w:r w:rsidR="73B99EB6">
        <w:t>(Walters et al., 2006)</w:t>
      </w:r>
      <w:r w:rsidR="18794F6F" w:rsidRPr="728F2DAF">
        <w:rPr>
          <w:lang w:val="en-GB"/>
        </w:rPr>
        <w:fldChar w:fldCharType="end"/>
      </w:r>
      <w:r w:rsidRPr="728F2DAF">
        <w:rPr>
          <w:lang w:val="en-GB"/>
        </w:rPr>
        <w:t xml:space="preserve"> </w:t>
      </w:r>
      <w:r w:rsidR="79C683D8" w:rsidRPr="728F2DAF">
        <w:rPr>
          <w:lang w:val="en-GB"/>
        </w:rPr>
        <w:t>is</w:t>
      </w:r>
      <w:r w:rsidRPr="728F2DAF">
        <w:rPr>
          <w:lang w:val="en-GB"/>
        </w:rPr>
        <w:t xml:space="preserve"> facilitating </w:t>
      </w:r>
      <w:r w:rsidR="44869FCC" w:rsidRPr="728F2DAF">
        <w:rPr>
          <w:lang w:val="en-GB"/>
        </w:rPr>
        <w:t xml:space="preserve">the introduction and spread of </w:t>
      </w:r>
      <w:r w:rsidR="31930060" w:rsidRPr="728F2DAF">
        <w:rPr>
          <w:lang w:val="en-GB"/>
        </w:rPr>
        <w:t>invasive alien species</w:t>
      </w:r>
      <w:r w:rsidR="4A555379" w:rsidRPr="728F2DAF">
        <w:rPr>
          <w:lang w:val="en-GB"/>
        </w:rPr>
        <w:t>, and</w:t>
      </w:r>
      <w:r w:rsidR="1BF51694" w:rsidRPr="728F2DAF">
        <w:rPr>
          <w:lang w:val="en-GB"/>
        </w:rPr>
        <w:t xml:space="preserve"> </w:t>
      </w:r>
      <w:r w:rsidR="4A555379" w:rsidRPr="728F2DAF">
        <w:rPr>
          <w:lang w:val="en-GB"/>
        </w:rPr>
        <w:t xml:space="preserve">on </w:t>
      </w:r>
      <w:r w:rsidR="79C683D8" w:rsidRPr="728F2DAF">
        <w:rPr>
          <w:lang w:val="en-GB"/>
        </w:rPr>
        <w:t xml:space="preserve">how new </w:t>
      </w:r>
      <w:r w:rsidR="1BF51694" w:rsidRPr="728F2DAF">
        <w:rPr>
          <w:lang w:val="en-GB"/>
        </w:rPr>
        <w:t>technol</w:t>
      </w:r>
      <w:r w:rsidR="14571F19" w:rsidRPr="728F2DAF">
        <w:rPr>
          <w:lang w:val="en-GB"/>
        </w:rPr>
        <w:t>o</w:t>
      </w:r>
      <w:r w:rsidR="1BF51694" w:rsidRPr="728F2DAF">
        <w:rPr>
          <w:lang w:val="en-GB"/>
        </w:rPr>
        <w:t xml:space="preserve">gies such as </w:t>
      </w:r>
      <w:r w:rsidR="1FA20BE1" w:rsidRPr="728F2DAF">
        <w:rPr>
          <w:lang w:val="en-GB"/>
        </w:rPr>
        <w:t>gene editing</w:t>
      </w:r>
      <w:r w:rsidR="1BF51694" w:rsidRPr="728F2DAF">
        <w:rPr>
          <w:lang w:val="en-GB"/>
        </w:rPr>
        <w:t xml:space="preserve"> can potentially be used to breed</w:t>
      </w:r>
      <w:r w:rsidR="79C683D8" w:rsidRPr="728F2DAF">
        <w:rPr>
          <w:lang w:val="en-GB"/>
        </w:rPr>
        <w:t xml:space="preserve"> </w:t>
      </w:r>
      <w:r w:rsidR="1BF51694" w:rsidRPr="728F2DAF">
        <w:rPr>
          <w:lang w:val="en-GB"/>
        </w:rPr>
        <w:t xml:space="preserve">species </w:t>
      </w:r>
      <w:r w:rsidR="79C683D8" w:rsidRPr="728F2DAF">
        <w:rPr>
          <w:lang w:val="en-GB"/>
        </w:rPr>
        <w:t>with</w:t>
      </w:r>
      <w:r w:rsidR="1BF51694" w:rsidRPr="728F2DAF">
        <w:rPr>
          <w:lang w:val="en-GB"/>
        </w:rPr>
        <w:t xml:space="preserve"> traits that might make them more likely to be invasive (e.g.,</w:t>
      </w:r>
      <w:r w:rsidR="1EDA418E" w:rsidRPr="728F2DAF">
        <w:rPr>
          <w:lang w:val="en-GB"/>
        </w:rPr>
        <w:t xml:space="preserve"> </w:t>
      </w:r>
      <w:r w:rsidR="1BF51694" w:rsidRPr="728F2DAF">
        <w:rPr>
          <w:lang w:val="en-GB"/>
        </w:rPr>
        <w:t xml:space="preserve">cold tolerance, pest resistance). </w:t>
      </w:r>
      <w:r w:rsidRPr="728F2DAF">
        <w:rPr>
          <w:lang w:val="en-GB"/>
        </w:rPr>
        <w:t>Economic drivers are strongly linked to institutional drivers, which govern production through regulations, taxe</w:t>
      </w:r>
      <w:r w:rsidR="50F324B5" w:rsidRPr="728F2DAF">
        <w:rPr>
          <w:lang w:val="en-GB"/>
        </w:rPr>
        <w:t>s and subsidies.</w:t>
      </w:r>
      <w:r w:rsidRPr="728F2DAF">
        <w:rPr>
          <w:lang w:val="en-GB"/>
        </w:rPr>
        <w:t xml:space="preserve"> The role of policies and institutions in managing </w:t>
      </w:r>
      <w:r w:rsidR="11151C03" w:rsidRPr="728F2DAF">
        <w:rPr>
          <w:lang w:val="en-GB"/>
        </w:rPr>
        <w:t>biological invasions</w:t>
      </w:r>
      <w:r w:rsidR="31930060" w:rsidRPr="728F2DAF">
        <w:rPr>
          <w:lang w:val="en-GB"/>
        </w:rPr>
        <w:t xml:space="preserve"> </w:t>
      </w:r>
      <w:r w:rsidR="0BC42CBC" w:rsidRPr="728F2DAF">
        <w:rPr>
          <w:lang w:val="en-GB"/>
        </w:rPr>
        <w:t xml:space="preserve">is addressed in </w:t>
      </w:r>
      <w:r w:rsidR="10E80F36" w:rsidRPr="009B3E7F">
        <w:rPr>
          <w:b/>
          <w:lang w:val="en-GB"/>
        </w:rPr>
        <w:t>C</w:t>
      </w:r>
      <w:r w:rsidRPr="009B3E7F">
        <w:rPr>
          <w:b/>
          <w:lang w:val="en-GB"/>
        </w:rPr>
        <w:t>hapter 6</w:t>
      </w:r>
      <w:r w:rsidRPr="728F2DAF">
        <w:rPr>
          <w:lang w:val="en-GB"/>
        </w:rPr>
        <w:t xml:space="preserve"> </w:t>
      </w:r>
      <w:r w:rsidR="35538B19" w:rsidRPr="728F2DAF">
        <w:rPr>
          <w:lang w:val="en-GB"/>
        </w:rPr>
        <w:t>whereas</w:t>
      </w:r>
      <w:r w:rsidRPr="728F2DAF">
        <w:rPr>
          <w:lang w:val="en-GB"/>
        </w:rPr>
        <w:t xml:space="preserve"> </w:t>
      </w:r>
      <w:r w:rsidR="2DBBE46F" w:rsidRPr="728F2DAF">
        <w:rPr>
          <w:lang w:val="en-GB"/>
        </w:rPr>
        <w:t xml:space="preserve">the synthesis in </w:t>
      </w:r>
      <w:r w:rsidR="10E80F36" w:rsidRPr="728F2DAF">
        <w:rPr>
          <w:lang w:val="en-GB"/>
        </w:rPr>
        <w:t>C</w:t>
      </w:r>
      <w:r w:rsidR="35538B19" w:rsidRPr="728F2DAF">
        <w:rPr>
          <w:lang w:val="en-GB"/>
        </w:rPr>
        <w:t>hapter</w:t>
      </w:r>
      <w:r w:rsidR="3A5047E1" w:rsidRPr="728F2DAF">
        <w:rPr>
          <w:lang w:val="en-GB"/>
        </w:rPr>
        <w:t xml:space="preserve"> </w:t>
      </w:r>
      <w:r w:rsidR="35538B19" w:rsidRPr="728F2DAF">
        <w:rPr>
          <w:lang w:val="en-GB"/>
        </w:rPr>
        <w:t>3</w:t>
      </w:r>
      <w:r w:rsidR="3A5047E1" w:rsidRPr="728F2DAF">
        <w:rPr>
          <w:lang w:val="en-GB"/>
        </w:rPr>
        <w:t xml:space="preserve"> </w:t>
      </w:r>
      <w:r w:rsidR="2DBBE46F" w:rsidRPr="728F2DAF">
        <w:rPr>
          <w:lang w:val="en-GB"/>
        </w:rPr>
        <w:t xml:space="preserve">is </w:t>
      </w:r>
      <w:r w:rsidRPr="728F2DAF">
        <w:rPr>
          <w:lang w:val="en-GB"/>
        </w:rPr>
        <w:t>restrict</w:t>
      </w:r>
      <w:r w:rsidR="2DBBE46F" w:rsidRPr="728F2DAF">
        <w:rPr>
          <w:lang w:val="en-GB"/>
        </w:rPr>
        <w:t>ed</w:t>
      </w:r>
      <w:r w:rsidR="14571F19" w:rsidRPr="728F2DAF">
        <w:rPr>
          <w:lang w:val="en-GB"/>
        </w:rPr>
        <w:t xml:space="preserve"> </w:t>
      </w:r>
      <w:r w:rsidRPr="728F2DAF">
        <w:rPr>
          <w:lang w:val="en-GB"/>
        </w:rPr>
        <w:t xml:space="preserve">to </w:t>
      </w:r>
      <w:r w:rsidR="35538B19" w:rsidRPr="728F2DAF">
        <w:rPr>
          <w:lang w:val="en-GB"/>
        </w:rPr>
        <w:t>how</w:t>
      </w:r>
      <w:r w:rsidRPr="728F2DAF">
        <w:rPr>
          <w:lang w:val="en-GB"/>
        </w:rPr>
        <w:t xml:space="preserve"> regulations, taxes and subsidies result in </w:t>
      </w:r>
      <w:r w:rsidR="791A867B" w:rsidRPr="728F2DAF">
        <w:rPr>
          <w:lang w:val="en-GB"/>
        </w:rPr>
        <w:t>unintended consequences</w:t>
      </w:r>
      <w:r w:rsidRPr="728F2DAF">
        <w:rPr>
          <w:lang w:val="en-GB"/>
        </w:rPr>
        <w:t xml:space="preserve"> that facilitate the</w:t>
      </w:r>
      <w:r w:rsidR="13ECD75A" w:rsidRPr="728F2DAF">
        <w:rPr>
          <w:lang w:val="en-GB"/>
        </w:rPr>
        <w:t xml:space="preserve"> transport,</w:t>
      </w:r>
      <w:r w:rsidRPr="728F2DAF">
        <w:rPr>
          <w:lang w:val="en-GB"/>
        </w:rPr>
        <w:t xml:space="preserve"> introduction</w:t>
      </w:r>
      <w:r w:rsidR="13ECD75A" w:rsidRPr="728F2DAF">
        <w:rPr>
          <w:lang w:val="en-GB"/>
        </w:rPr>
        <w:t>,</w:t>
      </w:r>
      <w:r w:rsidRPr="728F2DAF">
        <w:rPr>
          <w:lang w:val="en-GB"/>
        </w:rPr>
        <w:t xml:space="preserve"> establishment </w:t>
      </w:r>
      <w:r w:rsidR="13ECD75A" w:rsidRPr="728F2DAF">
        <w:rPr>
          <w:lang w:val="en-GB"/>
        </w:rPr>
        <w:t xml:space="preserve">and spread </w:t>
      </w:r>
      <w:r w:rsidRPr="728F2DAF">
        <w:rPr>
          <w:lang w:val="en-GB"/>
        </w:rPr>
        <w:t xml:space="preserve">of </w:t>
      </w:r>
      <w:r w:rsidR="31930060" w:rsidRPr="728F2DAF">
        <w:rPr>
          <w:lang w:val="en-GB"/>
        </w:rPr>
        <w:t>invasive alien species</w:t>
      </w:r>
      <w:r w:rsidR="61F3FC75" w:rsidRPr="728F2DAF">
        <w:rPr>
          <w:lang w:val="en-GB"/>
        </w:rPr>
        <w:t xml:space="preserve"> </w:t>
      </w:r>
      <w:r w:rsidR="528CD6E2" w:rsidRPr="728F2DAF">
        <w:rPr>
          <w:lang w:val="en-GB"/>
        </w:rPr>
        <w:t>(</w:t>
      </w:r>
      <w:r w:rsidR="07A7D99D" w:rsidRPr="728F2DAF">
        <w:rPr>
          <w:b/>
          <w:bCs/>
          <w:lang w:val="en-GB"/>
        </w:rPr>
        <w:t>section 3.</w:t>
      </w:r>
      <w:r w:rsidR="5C69708B" w:rsidRPr="728F2DAF">
        <w:rPr>
          <w:b/>
          <w:bCs/>
          <w:lang w:val="en-GB"/>
        </w:rPr>
        <w:t>2.5</w:t>
      </w:r>
      <w:r w:rsidR="0CFA2CC1" w:rsidRPr="728F2DAF">
        <w:rPr>
          <w:lang w:val="en-GB"/>
        </w:rPr>
        <w:t>)</w:t>
      </w:r>
      <w:r w:rsidRPr="728F2DAF">
        <w:rPr>
          <w:lang w:val="en-GB"/>
        </w:rPr>
        <w:t xml:space="preserve">. </w:t>
      </w:r>
    </w:p>
    <w:p w14:paraId="72F74925" w14:textId="77777777" w:rsidR="008C1BF7" w:rsidRPr="00DA249F" w:rsidRDefault="101A89F6" w:rsidP="004826A3">
      <w:pPr>
        <w:pStyle w:val="Heading3"/>
        <w:rPr>
          <w:lang w:val="en-GB"/>
        </w:rPr>
      </w:pPr>
      <w:bookmarkStart w:id="26" w:name="_Toc44317788"/>
      <w:r w:rsidRPr="5575EBFC">
        <w:rPr>
          <w:lang w:val="en-GB"/>
        </w:rPr>
        <w:t xml:space="preserve"> </w:t>
      </w:r>
      <w:bookmarkEnd w:id="26"/>
      <w:r w:rsidR="49B34064" w:rsidRPr="5575EBFC">
        <w:rPr>
          <w:lang w:val="en-GB"/>
        </w:rPr>
        <w:t xml:space="preserve">Anthropogenic direct </w:t>
      </w:r>
      <w:r w:rsidR="653902EA" w:rsidRPr="5575EBFC">
        <w:rPr>
          <w:lang w:val="en-GB"/>
        </w:rPr>
        <w:t>drivers of change in nature</w:t>
      </w:r>
      <w:r w:rsidR="45C4F90C" w:rsidRPr="5575EBFC">
        <w:rPr>
          <w:lang w:val="en-GB"/>
        </w:rPr>
        <w:t xml:space="preserve"> affecting invasive alien species</w:t>
      </w:r>
    </w:p>
    <w:p w14:paraId="13BE03E9" w14:textId="3506B8E5" w:rsidR="009D68E1" w:rsidRPr="00DA249F" w:rsidRDefault="11FD8A9E" w:rsidP="0090109B">
      <w:pPr>
        <w:rPr>
          <w:rFonts w:eastAsia="Calibri"/>
          <w:lang w:val="en-GB"/>
        </w:rPr>
      </w:pPr>
      <w:r w:rsidRPr="5575EBFC">
        <w:rPr>
          <w:lang w:val="en-GB"/>
        </w:rPr>
        <w:t>In line with p</w:t>
      </w:r>
      <w:r w:rsidR="7A4DA54B" w:rsidRPr="5575EBFC">
        <w:rPr>
          <w:lang w:val="en-GB"/>
        </w:rPr>
        <w:t xml:space="preserve">revious IPBES assessments </w:t>
      </w:r>
      <w:r w:rsidR="0067389D" w:rsidRPr="5575EBFC">
        <w:rPr>
          <w:lang w:val="en-GB"/>
        </w:rPr>
        <w:fldChar w:fldCharType="begin"/>
      </w:r>
      <w:r w:rsidR="00F5121E">
        <w:rPr>
          <w:lang w:val="en-GB"/>
        </w:rPr>
        <w:instrText xml:space="preserve"> ADDIN ZOTERO_ITEM CSL_CITATION {"citationID":"UU6Uxhbm","properties":{"formattedCitation":"(IPBES, 2016a, 2018f, 2018e, 2018c, 2018d, 2019, 2022a)","plainCitation":"(IPBES, 2016a, 2018f, 2018e, 2018c, 2018d, 2019, 2022a)","noteIndex":0},"citationItems":[{"id":26994,"uris":["http://zotero.org/groups/2352922/items/SR63FDXW"],"itemData":{"id":26994,"type":"report","abstract":"The goal of the Intergovernmental Science-Policy Platform on Biodiversity and Ecosystem Services (IPBES) is to strengthen the science-policy interface for biodiversity and ecosystem services towards conservation and sustainable use of biodiversity, long-term human well-being and sustainable development. To achieve this goal, the Platform has four functions: (i) Knowledge generation: to identify knowledge needs of decision makers, and catalyse efforts to generate new knowledge; (ii) Assessment: to deliver global, regional and thematic assessments, and promote and catalyse support for sub-global assessment; (iii) Policy support tools: to identify policy relevant tools/methodologies, facilitate their use, and promote and catalyse their further development; and (iv) Capacity building: to prioritize key capacity building needs, and provide and call for financial and other support for priority needs. This report assesses the current knowledge on pollinators, pollination and their links to food production. The overall aim of the thematic assessment of Pollinators, Pollination and Food Production is to assess animal pollination as a regulating ecosystem service underpinning food production in the context of its contribution to nature’s gifts to people and supporting a good quality of life. To achieve this, the focus is on the role of native and exotic pollinators, the status of, and trends in pollinators and pollinator-plant networks and pollination, drivers of change, impacts on human well-being, food production in response to pollination declines and deficits and the effectiveness of responses from various governance systems to pollination declines and deficits. The scope is global, covering all continents except Antarctica, where no pollinators are known. The assessment brings together contributions not only from natural, social and economic science perspectives but also from knowledge of indigenous and local community stakeholders and practitioners. The assessment strives to critically review the broadest range of evidence and make its findings readily available to support policy and management responses to declines and deficits in pollination. The report represents the first IPBES thematic assessment deliverable that aims to identify policy-relevant findings for decision-making in government, the private sector and civil society, as well as helping to demonstrate how an essential ecosystem service could potentially contribute to the post-2015 development agenda1.","event-place":"Bonn, Germany","language":"en","license":"Creative Commons Attribution 4.0 International, Open Access","note":"DOI: 10.5281/ZENODO.3402857","publisher":"Secretariat of the Intergovernmental Science-Policy Platform on Biodiversity and Ecosystem Services","publisher-place":"Bonn, Germany","source":"DOI.org (Datacite)","title":"The assessment report of the Intergovernmental Science-Policy Platform on Biodiversity and Ecosystem Services on pollinators, pollination and food production","URL":"https://zenodo.org/record/3402857","author":[{"literal":"IPBES"}],"collection-editor":[{"family":"Potts","given":"Simon G."},{"family":"Imperatriz-Fonseca","given":"Vera"},{"family":"Ngo","given":"Hien T."}],"accessed":{"date-parts":[["2020",6,17]]},"issued":{"date-parts":[["2016"]]}},"label":"page"},{"id":54546,"uris":["http://zotero.org/groups/2352922/items/DWTD6BY8"],"itemData":{"id":54546,"type":"report","abstract":"The Regional Assessment of Biodiversity and Ecosystem Services for the Americas produced by the Intergovernmental Science-Policy Platform on Biodiversity and Ecosystem Services (IPBES) provides a critical analysis of the state of knowledge regarding the importance, status, and trends of biodiversity and nature’s contributions to people. The assessment analyses the direct and underlying causes for the observed changes in biodiversity and in nature’s contributions to people, and the impact that these changes have on the quality of life of people. The assessment, finally, identifies a mix of governance options, policies and management practices that are currently available to reduce the loss of biodiversity and of nature’s contributions to people in that region. The assessment addresses terrestrial, freshwater, and coastal biodiversity and covers current status and trends, going back in time several decades, and future projections, with a focus on the 2020-2050 period. The summary for policymakers of this Assessment Report was approved by the sixth session of the Plenary of IPBES (Medellín, Colombia, 18-24 March 2018) and is included in this report.","language":"eng","note":"DOI: 10.5281/zenodo.3236253","publisher":"Zenodo","source":"Zenodo","title":"The IPBES regional assessment report on biodiversity and ecosystem services for the Americas","URL":"https://zenodo.org/record/3236253","author":[{"literal":"IPBES"}],"accessed":{"date-parts":[["2023",2,21]]},"issued":{"date-parts":[["2018"]]}},"label":"page"},{"id":26988,"uris":["http://zotero.org/groups/2352922/items/4BH3PUNM"],"itemData":{"id":26988,"type":"report","abstract":"The Regional Assessment Report on Biodiversity and Ecosystem Services for Europe and Central Asia produced by the Intergovernmental Science-Policy Platform on Biodiversity and Ecosystem Services (IPBES) provides a critical analysis of the state of knowledge regarding the importance, status, and trends of biodiversity and nature’s contributions to people. The assessment analyses the direct and underlying causes for the observed changes in biodiversity and in nature’s contributions to people, and the impact that these changes have on the quality of life of people. The assessment, finally, identifies a mix of governance options, policies and management practices that are currently available to reduce the loss of biodiversity and of nature’s contributions to people in that region. The assessment addresses terrestrial, freshwater, and coastal biodiversity and covers current status and trends, going back in time several decades, and future projections, with a focus on the 2020-2050 period.","event-place":"Bonn, Germany","language":"en","license":"Creative Commons Attribution 4.0 International, Open Access","note":"version: Report\nDOI: 10.5281/ZENODO.3237429","publisher":"Secretariat of the Intergovernmental Science-Policy Platform on Biodiversity and Ecosystem Services","publisher-place":"Bonn, Germany","source":"DOI.org (Datacite)","title":"The IPBES regional assessment report on biodiversity and ecosystem services for Europe and Central Asia","URL":"https://zenodo.org/record/3237429","author":[{"literal":"IPBES"}],"collection-editor":[{"family":"Rounsevell","given":"Mark"},{"family":"Fischer","given":"Markus"},{"family":"Rando","given":"Amor Torre-Marin"},{"family":"Mader","given":"André"}],"accessed":{"date-parts":[["2021",2,9]]},"issued":{"date-parts":[["2018"]]}},"label":"page"},{"id":32916,"uris":["http://zotero.org/groups/2352922/items/HQTI4ZNS"],"itemData":{"id":32916,"type":"report","event-place":"Bonn, Germany","language":"en","publisher":"Secretariat of the Intergovernmental Science-Policy Platform on Biodiversity and Ecosystem Services","publisher-place":"Bonn, Germany","title":"The IPBES regional assessment report on biodiversity and ecosystem services for Africa","URL":"https://zenodo.org/record/3236178#.YmjyIdrP2Uk","author":[{"literal":"IPBES"}],"collection-editor":[{"family":"Archer","given":"Emma"},{"family":"Dziba","given":"Luthando E."},{"family":"Mulongoy","given":"Kulemani Jo"},{"family":"Maoela","given":"Malebajoa Anicia"},{"family":"Walters","given":"Michele"}],"issued":{"date-parts":[["2018"]]}},"label":"page"},{"id":26989,"uris":["http://zotero.org/groups/2352922/items/HNN39TBD","http://zotero.org/groups/2352922/items/BF3N3YYK"],"itemData":{"id":26989,"type":"report","abstract":"The Regional Assessment Report on Biodiversity and Ecosystem Services for Asia and the Pacific produced by the Intergovernmental Science-Policy Platform on Biodiversity and Ecosystem Services (IPBES) provides a critical analysis of the state of knowledge regarding the importance, status, and trends of biodiversity and nature’s contributions to people. The assessment analyses the direct and underlying causes for the observed changes in biodiversity and in nature’s contributions to people, and the impact that these changes have on the quality of life of people. The assessment, finally, identifies a mix of governance options, policies and management practices that are currently available to reduce the loss of biodiversity and of nature’s contributions to people in that region. The assessment addresses terrestrial, freshwater, and coastal biodiversity and covers current status and trends, going back in time several decades, and future projections, with a focus on the 2020-2050 period.","event-place":"Bonn, Germany","language":"en","license":"Creative Commons Attribution 4.0 International, Open Access","note":"version: Report\nDOI: 10.5281/ZENODO.3237374","publisher":"Secretariat of the Intergovernmental Science-Policy Platform on Biodiversity and Ecosystem Services","publisher-place":"Bonn, Germany","source":"DOI.org (Datacite)","title":"The IPBES regional assessment report on biodiversity and ecosystem services for Asia and the Pacific","URL":"https://zenodo.org/record/3237374","author":[{"literal":"IPBES"}],"collection-editor":[{"family":"Karki","given":"Madhav"},{"family":"Sellamuttu","given":"Sonali Senaratna"},{"family":"Okayasu","given":"Sana"},{"family":"Suzuki","given":"Wataru"}],"accessed":{"date-parts":[["2020",8,25]]},"issued":{"date-parts":[["2018"]]}},"label":"page"},{"id":53933,"uris":["http://zotero.org/groups/2352922/items/JYFISR8Z","http://zotero.org/groups/2352922/items/ZACZGHZL"],"itemData":{"id":53933,"type":"report","abstract":"IPBES is to perform regular and timely assessments of knowledge on biodiversity and ecosystem services and their interlinkages at the global level. Also addressing an invitation by the Conference of the Parties of the Convention on Biological Diversity (CBD) to prepare a global assessment of biodiversity and ecosystem services building, inter alia, on its own and other relevant regional, subregional and thematic assessments, as well as on national reports. The overall scope of the assessment is to assess the status and trends with regard to biodiversity and ecosystem services, the impact of biodiversity and ecosystem services on human well-being and the effectiveness of responses, including the Strategic Plan and its Aichi Biodiversity Targets. It is anticipated that this deliverable will contribute to the process for the evaluation and renewal of the Strategic Plan for Biodiversity and its Aichi Biodiversity Targets. The IPBES Global Assessment on Biodiversity and Ecosystem Services is composed of 1) a Summary for Policymakers (SPM), approved by the IPBES Plenary at its 7th session in May 2019 in Paris, France (IPBES-7); and 2) a set of six Chapters, accepted by the IPBES Plenary.","language":"en","license":"Creative Commons Attribution 4.0 International, Open Access","note":"Version Number 1\nDOI: 10.5281/ZENODO.3831673","publisher":"Secretariat of the Intergovernmental Science-Policy Platform on Biodiversity and Ecosystem Services","source":"DOI.org (Datacite)","title":"Global assessment report on biodiversity and ecosystem services of the Intergovernmental Science-Policy Platform on Biodiversity and Ecosystem Services","URL":"https://zenodo.org/record/3831673","author":[{"literal":"IPBES"}],"contributor":[{"family":"Brondizio","given":"Eduardo"},{"family":"Diaz","given":"Sandra"},{"family":"Settele","given":"Josef"},{"family":"Ngo","given":"Hien T."}],"accessed":{"date-parts":[["2023",1,5]]},"issued":{"date-parts":[["2019"]]}},"label":"page"},{"id":53070,"uris":["http://zotero.org/groups/2352922/items/6TY3XELK"],"itemData":{"id":53070,"type":"report","abstract":"The values assessment is a ‘methodological assessment regarding the diverse conceptualizations of the multiple values of nature and its benefits, including biodiversity and ecosystem services’ as set out in IPBES/6/INF/9. The overall scope of the values assessment is to assess multiple sources and traditions of knowledge regarding diverse values of nature, including the strengths and weaknesses associated with existing valuation methods and approaches to make such values visible. The assessment provides conceptual and practical tools to aid policymakers in the recognition and accounting of nature’s values in different decision-making contexts. The values assessment provides guidelines, criteria, tools and a road map to navigate the ways in which values play out in decisions, as well as the role values and valuation can have in achieving more sustainable pathways. It should be noted that the assessment does not provide quantifications (e.g., in monetary or other indicators) of the diverse values of nature across the globe as its emphasis is on methodologies. The assessment report is composed of the summary for policymakers together with the six chapters and some front and back matters, which will be added following the ninth session of the Plenary.","event-place":"Bonn, Germany","language":"en","license":"Creative Commons Attribution 4.0 International, Embargoed Access","note":"DOI: 10.5281/ZENODO.6522522","publisher":"Secretariat of the Intergovernmental Science-Policy Platform on Biodiversity and Ecosystem Services","publisher-place":"Bonn, Germany","source":"DOI.org (Datacite)","title":"Methodological assessment of the diverse values and valuation of nature of the Intergovernmental Science-Policy Platform on Biodiversity and Ecosystem Services","URL":"https://zenodo.org/record/6522522","author":[{"literal":"IPBES"}],"contributor":[{"family":"Balvanera","given":"Patricia"},{"family":"Pascual","given":"Unai"},{"family":"Christie","given":"Michael"},{"family":"Baptiste","given":"Brigitte"},{"family":"González-Jiménez","given":"David"}],"accessed":{"date-parts":[["2022",8,31]]},"issued":{"date-parts":[["2022"]]}},"label":"page"}],"schema":"https://github.com/citation-style-language/schema/raw/master/csl-citation.json"} </w:instrText>
      </w:r>
      <w:r w:rsidR="0067389D" w:rsidRPr="5575EBFC">
        <w:rPr>
          <w:lang w:val="en-GB"/>
        </w:rPr>
        <w:fldChar w:fldCharType="separate"/>
      </w:r>
      <w:r w:rsidR="674745DD">
        <w:t>(IPBES, 2016a, 2018f, 2018e, 2018c, 2018d, 2019, 2022a)</w:t>
      </w:r>
      <w:r w:rsidR="0067389D" w:rsidRPr="5575EBFC">
        <w:rPr>
          <w:lang w:val="en-GB"/>
        </w:rPr>
        <w:fldChar w:fldCharType="end"/>
      </w:r>
      <w:r w:rsidRPr="5575EBFC">
        <w:rPr>
          <w:lang w:val="en-GB"/>
        </w:rPr>
        <w:t>, this assessment considers</w:t>
      </w:r>
      <w:r w:rsidR="7A4DA54B" w:rsidRPr="5575EBFC">
        <w:rPr>
          <w:lang w:val="en-GB"/>
        </w:rPr>
        <w:t xml:space="preserve"> </w:t>
      </w:r>
      <w:r w:rsidR="6E9BC7F0" w:rsidRPr="5575EBFC">
        <w:rPr>
          <w:lang w:val="en-GB"/>
        </w:rPr>
        <w:t>the f</w:t>
      </w:r>
      <w:r w:rsidR="25B5B5FE" w:rsidRPr="5575EBFC">
        <w:rPr>
          <w:lang w:val="en-GB"/>
        </w:rPr>
        <w:t>ive</w:t>
      </w:r>
      <w:r w:rsidR="6E9BC7F0" w:rsidRPr="5575EBFC">
        <w:rPr>
          <w:lang w:val="en-GB"/>
        </w:rPr>
        <w:t xml:space="preserve"> main</w:t>
      </w:r>
      <w:r w:rsidR="25B5B5FE" w:rsidRPr="5575EBFC">
        <w:rPr>
          <w:lang w:val="en-GB"/>
        </w:rPr>
        <w:t xml:space="preserve"> anthropogenic </w:t>
      </w:r>
      <w:r w:rsidR="7A4DA54B" w:rsidRPr="5575EBFC">
        <w:rPr>
          <w:lang w:val="en-GB"/>
        </w:rPr>
        <w:t xml:space="preserve">direct </w:t>
      </w:r>
      <w:r w:rsidR="653902EA" w:rsidRPr="5575EBFC">
        <w:rPr>
          <w:lang w:val="en-GB"/>
        </w:rPr>
        <w:t>drivers of change in nature</w:t>
      </w:r>
      <w:r w:rsidR="7A4DA54B" w:rsidRPr="5575EBFC">
        <w:rPr>
          <w:lang w:val="en-GB"/>
        </w:rPr>
        <w:t xml:space="preserve">: land-use (including sea-use) change, </w:t>
      </w:r>
      <w:r w:rsidR="1025C4C1" w:rsidRPr="5575EBFC">
        <w:rPr>
          <w:rStyle w:val="normaltextrun"/>
          <w:color w:val="000000" w:themeColor="text1"/>
          <w:lang w:val="en-GB"/>
        </w:rPr>
        <w:t>direct exploitation of natural resources</w:t>
      </w:r>
      <w:r w:rsidR="7A4DA54B" w:rsidRPr="5575EBFC">
        <w:rPr>
          <w:lang w:val="en-GB"/>
        </w:rPr>
        <w:t xml:space="preserve">, pollution, </w:t>
      </w:r>
      <w:r w:rsidR="12C62F92" w:rsidRPr="5575EBFC">
        <w:rPr>
          <w:lang w:val="en-GB"/>
        </w:rPr>
        <w:t>invasive alien species</w:t>
      </w:r>
      <w:r w:rsidR="009F7404">
        <w:rPr>
          <w:lang w:val="en-GB"/>
        </w:rPr>
        <w:t xml:space="preserve"> and</w:t>
      </w:r>
      <w:r w:rsidR="7A4DA54B" w:rsidRPr="5575EBFC">
        <w:rPr>
          <w:lang w:val="en-GB"/>
        </w:rPr>
        <w:t xml:space="preserve"> climate change</w:t>
      </w:r>
      <w:r w:rsidR="25F94942" w:rsidRPr="5575EBFC">
        <w:rPr>
          <w:lang w:val="en-GB"/>
        </w:rPr>
        <w:t xml:space="preserve">. </w:t>
      </w:r>
      <w:r w:rsidR="7A4DA54B" w:rsidRPr="5575EBFC">
        <w:rPr>
          <w:lang w:val="en-GB"/>
        </w:rPr>
        <w:t xml:space="preserve">Land- or sea-use changes can lead to the increased introduction of alien species, either </w:t>
      </w:r>
      <w:r w:rsidR="3E24D2AB" w:rsidRPr="5575EBFC">
        <w:rPr>
          <w:lang w:val="en-GB"/>
        </w:rPr>
        <w:t>intentionally</w:t>
      </w:r>
      <w:r w:rsidR="7A4DA54B" w:rsidRPr="5575EBFC">
        <w:rPr>
          <w:lang w:val="en-GB"/>
        </w:rPr>
        <w:t xml:space="preserve"> through the specific use of alien crops and livestock or </w:t>
      </w:r>
      <w:r w:rsidR="3DCA5662" w:rsidRPr="5575EBFC">
        <w:rPr>
          <w:lang w:val="en-GB"/>
        </w:rPr>
        <w:t xml:space="preserve">unintentionally </w:t>
      </w:r>
      <w:r w:rsidR="7A4DA54B" w:rsidRPr="5575EBFC">
        <w:rPr>
          <w:lang w:val="en-GB"/>
        </w:rPr>
        <w:t>as contaminants of agricultur</w:t>
      </w:r>
      <w:r w:rsidR="24717C59" w:rsidRPr="5575EBFC">
        <w:rPr>
          <w:lang w:val="en-GB"/>
        </w:rPr>
        <w:t>al or aquacultural commodities.</w:t>
      </w:r>
      <w:r w:rsidR="7A4DA54B" w:rsidRPr="5575EBFC">
        <w:rPr>
          <w:lang w:val="en-GB"/>
        </w:rPr>
        <w:t xml:space="preserve"> Land-use change that leads to habitat </w:t>
      </w:r>
      <w:r w:rsidR="3C9E46F5" w:rsidRPr="5575EBFC">
        <w:rPr>
          <w:lang w:val="en-GB" w:eastAsia="en-NZ"/>
        </w:rPr>
        <w:t>(</w:t>
      </w:r>
      <w:r w:rsidR="00E23B69">
        <w:rPr>
          <w:b/>
          <w:bCs/>
          <w:lang w:val="en-GB" w:eastAsia="en-NZ"/>
        </w:rPr>
        <w:t>Glossary</w:t>
      </w:r>
      <w:r w:rsidR="3C9E46F5" w:rsidRPr="5575EBFC">
        <w:rPr>
          <w:lang w:val="en-GB" w:eastAsia="en-NZ"/>
        </w:rPr>
        <w:t xml:space="preserve">) </w:t>
      </w:r>
      <w:r w:rsidR="7A4DA54B" w:rsidRPr="5575EBFC">
        <w:rPr>
          <w:lang w:val="en-GB"/>
        </w:rPr>
        <w:t xml:space="preserve">fragmentation, establishes </w:t>
      </w:r>
      <w:r w:rsidR="0ED303B5" w:rsidRPr="5575EBFC">
        <w:rPr>
          <w:lang w:val="en-GB"/>
        </w:rPr>
        <w:t xml:space="preserve">infrastructure </w:t>
      </w:r>
      <w:r w:rsidR="7A4DA54B" w:rsidRPr="5575EBFC">
        <w:rPr>
          <w:lang w:val="en-GB"/>
        </w:rPr>
        <w:t xml:space="preserve">corridors </w:t>
      </w:r>
      <w:r w:rsidR="0ED303B5" w:rsidRPr="5575EBFC">
        <w:rPr>
          <w:lang w:val="en-GB"/>
        </w:rPr>
        <w:t xml:space="preserve">(e.g., roads, canals) </w:t>
      </w:r>
      <w:r w:rsidR="7A4DA54B" w:rsidRPr="5575EBFC">
        <w:rPr>
          <w:lang w:val="en-GB"/>
        </w:rPr>
        <w:t>through which alien species can spread</w:t>
      </w:r>
      <w:r w:rsidR="32E5B74C" w:rsidRPr="5575EBFC">
        <w:rPr>
          <w:lang w:val="en-GB"/>
        </w:rPr>
        <w:t>,</w:t>
      </w:r>
      <w:r w:rsidR="7A4DA54B" w:rsidRPr="5575EBFC">
        <w:rPr>
          <w:lang w:val="en-GB"/>
        </w:rPr>
        <w:t xml:space="preserve"> alters the baseline rates of disturbance</w:t>
      </w:r>
      <w:r w:rsidR="6D8B00D4" w:rsidRPr="5575EBFC">
        <w:rPr>
          <w:lang w:val="en-GB"/>
        </w:rPr>
        <w:t>,</w:t>
      </w:r>
      <w:r w:rsidR="7A4DA54B" w:rsidRPr="5575EBFC">
        <w:rPr>
          <w:lang w:val="en-GB"/>
        </w:rPr>
        <w:t xml:space="preserve"> </w:t>
      </w:r>
      <w:r w:rsidR="090AE4CB" w:rsidRPr="5575EBFC">
        <w:rPr>
          <w:lang w:val="en-GB"/>
        </w:rPr>
        <w:t>or more generally degrade</w:t>
      </w:r>
      <w:r w:rsidR="00FD249C">
        <w:rPr>
          <w:lang w:val="en-GB"/>
        </w:rPr>
        <w:t>d</w:t>
      </w:r>
      <w:r w:rsidR="090AE4CB" w:rsidRPr="5575EBFC">
        <w:rPr>
          <w:lang w:val="en-GB"/>
        </w:rPr>
        <w:t xml:space="preserve"> habitats</w:t>
      </w:r>
      <w:r w:rsidR="5CFC7CD4" w:rsidRPr="5575EBFC">
        <w:rPr>
          <w:lang w:val="en-GB"/>
        </w:rPr>
        <w:t xml:space="preserve"> </w:t>
      </w:r>
      <w:r w:rsidR="7A4DA54B" w:rsidRPr="5575EBFC">
        <w:rPr>
          <w:lang w:val="en-GB"/>
        </w:rPr>
        <w:t xml:space="preserve">can increase the vulnerability of native ecosystems to </w:t>
      </w:r>
      <w:r w:rsidR="615B53C8" w:rsidRPr="5575EBFC">
        <w:rPr>
          <w:lang w:val="en-GB"/>
        </w:rPr>
        <w:t>invasive alien species</w:t>
      </w:r>
      <w:r w:rsidR="6867FABC" w:rsidRPr="5575EBFC">
        <w:rPr>
          <w:lang w:val="en-GB"/>
        </w:rPr>
        <w:t xml:space="preserve"> </w:t>
      </w:r>
      <w:r w:rsidR="0067389D" w:rsidRPr="5575EBFC">
        <w:rPr>
          <w:lang w:val="en-GB"/>
        </w:rPr>
        <w:fldChar w:fldCharType="begin"/>
      </w:r>
      <w:r w:rsidR="00331A79">
        <w:rPr>
          <w:lang w:val="en-GB"/>
        </w:rPr>
        <w:instrText xml:space="preserve"> ADDIN ZOTERO_ITEM CSL_CITATION {"citationID":"XL2RJQdv","properties":{"formattedCitation":"(Vil\\uc0\\u224{} &amp; Ib\\uc0\\u225{}\\uc0\\u241{}ez, 2011)","plainCitation":"(Vilà &amp; Ibáñez, 2011)","noteIndex":0},"citationItems":[{"id":32871,"uris":["http://zotero.org/groups/2352922/items/UWVPQ6H9"],"itemData":{"id":32871,"type":"article-journal","container-title":"Landscape Ecology","DOI":"10.1007/s10980-011-9585-3","ISSN":"0921-2973, 1572-9761","issue":"4","journalAbbreviation":"Landscape Ecol","language":"en","note":"number: 4\ncontainer-title: Landscape Ecology","page":"461-472","source":"DOI.org (Crossref)","title":"Plant invasions in the landscape","URL":"http://link.springer.com/10.1007/s10980-011-9585-3","volume":"26","author":[{"family":"Vilà","given":"Montserrat"},{"family":"Ibáñez","given":"Inés"}],"accessed":{"date-parts":[["2019",12,5]]},"issued":{"date-parts":[["2011",4]]}}}],"schema":"https://github.com/citation-style-language/schema/raw/master/csl-citation.json"} </w:instrText>
      </w:r>
      <w:r w:rsidR="0067389D" w:rsidRPr="5575EBFC">
        <w:rPr>
          <w:lang w:val="en-GB"/>
        </w:rPr>
        <w:fldChar w:fldCharType="separate"/>
      </w:r>
      <w:r w:rsidR="6B5F9B9E">
        <w:t xml:space="preserve">(Vilà </w:t>
      </w:r>
      <w:r w:rsidR="6B5F9B9E">
        <w:lastRenderedPageBreak/>
        <w:t>&amp; Ibáñez, 2011)</w:t>
      </w:r>
      <w:r w:rsidR="0067389D" w:rsidRPr="5575EBFC">
        <w:rPr>
          <w:lang w:val="en-GB"/>
        </w:rPr>
        <w:fldChar w:fldCharType="end"/>
      </w:r>
      <w:r w:rsidR="7A4DA54B" w:rsidRPr="5575EBFC">
        <w:rPr>
          <w:lang w:val="en-GB"/>
        </w:rPr>
        <w:t xml:space="preserve">. </w:t>
      </w:r>
      <w:r w:rsidR="1025C4C1" w:rsidRPr="5575EBFC">
        <w:rPr>
          <w:rStyle w:val="normaltextrun"/>
          <w:color w:val="000000" w:themeColor="text1"/>
          <w:lang w:val="en-GB"/>
        </w:rPr>
        <w:t>Direct exploitation of natural resources</w:t>
      </w:r>
      <w:r w:rsidR="1025C4C1" w:rsidRPr="5575EBFC">
        <w:rPr>
          <w:lang w:val="en-GB"/>
        </w:rPr>
        <w:t xml:space="preserve"> </w:t>
      </w:r>
      <w:r w:rsidR="7A4DA54B" w:rsidRPr="5575EBFC">
        <w:rPr>
          <w:lang w:val="en-GB"/>
        </w:rPr>
        <w:t xml:space="preserve">includes both the </w:t>
      </w:r>
      <w:r w:rsidR="7CFEF543" w:rsidRPr="5575EBFC">
        <w:rPr>
          <w:lang w:val="en-GB"/>
        </w:rPr>
        <w:t xml:space="preserve">direct </w:t>
      </w:r>
      <w:r w:rsidR="7A4DA54B" w:rsidRPr="5575EBFC">
        <w:rPr>
          <w:lang w:val="en-GB"/>
        </w:rPr>
        <w:t>exploitation of biotic resources through species harvesting as well as</w:t>
      </w:r>
      <w:r w:rsidR="7CFEF543" w:rsidRPr="5575EBFC">
        <w:rPr>
          <w:lang w:val="en-GB"/>
        </w:rPr>
        <w:t xml:space="preserve"> of</w:t>
      </w:r>
      <w:r w:rsidR="7A4DA54B" w:rsidRPr="5575EBFC">
        <w:rPr>
          <w:lang w:val="en-GB"/>
        </w:rPr>
        <w:t xml:space="preserve"> abiotic resources such as water and minerals. Harvesting of top predators can lead to trophic cascades </w:t>
      </w:r>
      <w:r w:rsidR="1E482456" w:rsidRPr="5575EBFC">
        <w:rPr>
          <w:lang w:val="en-GB"/>
        </w:rPr>
        <w:t xml:space="preserve">that </w:t>
      </w:r>
      <w:r w:rsidR="7A4DA54B" w:rsidRPr="5575EBFC">
        <w:rPr>
          <w:lang w:val="en-GB"/>
        </w:rPr>
        <w:t xml:space="preserve">facilitate the establishment of alien species, such as the case of overfishing in the Black Sea resulting in an outbreak of </w:t>
      </w:r>
      <w:r w:rsidR="46C27AF0" w:rsidRPr="5575EBFC">
        <w:rPr>
          <w:i/>
          <w:iCs/>
          <w:lang w:val="en-GB"/>
        </w:rPr>
        <w:t>Mnemiopsis leidyi</w:t>
      </w:r>
      <w:r w:rsidR="46C27AF0" w:rsidRPr="5575EBFC">
        <w:rPr>
          <w:lang w:val="en-GB"/>
        </w:rPr>
        <w:t xml:space="preserve"> </w:t>
      </w:r>
      <w:r w:rsidR="1424AB63" w:rsidRPr="5575EBFC">
        <w:rPr>
          <w:lang w:val="en-GB"/>
        </w:rPr>
        <w:t>(</w:t>
      </w:r>
      <w:r w:rsidR="78204A3D" w:rsidRPr="5575EBFC">
        <w:rPr>
          <w:lang w:val="en-GB"/>
        </w:rPr>
        <w:t>sea walnut</w:t>
      </w:r>
      <w:r w:rsidR="29EFE152" w:rsidRPr="5575EBFC">
        <w:rPr>
          <w:lang w:val="en-GB"/>
        </w:rPr>
        <w:t>;</w:t>
      </w:r>
      <w:r w:rsidR="7A4DA54B" w:rsidRPr="5575EBFC">
        <w:rPr>
          <w:lang w:val="en-GB"/>
        </w:rPr>
        <w:t xml:space="preserve"> </w:t>
      </w:r>
      <w:r w:rsidR="0067389D" w:rsidRPr="5575EBFC">
        <w:rPr>
          <w:lang w:val="en-GB"/>
        </w:rPr>
        <w:fldChar w:fldCharType="begin"/>
      </w:r>
      <w:r w:rsidR="00331A79">
        <w:rPr>
          <w:lang w:val="en-GB"/>
        </w:rPr>
        <w:instrText xml:space="preserve"> ADDIN ZOTERO_ITEM CSL_CITATION {"citationID":"HaAcnexY","properties":{"formattedCitation":"(Daskalov et al., 2007)","plainCitation":"(Daskalov et al., 2007)","dontUpdate":true,"noteIndex":0},"citationItems":[{"id":22441,"uris":["http://zotero.org/groups/2352922/items/QHQB3LL2"],"itemData":{"id":22441,"type":"article-journal","abstract":"Large-scale transitions between alternative states in ecosystems are known as regime shifts. Once described as healthy and dominated by various marine predators, the Black Sea ecosystem by the late 20th century had experienced anthropogenic impacts such as heavy fishing, cultural eutrophication, and invasions by alien species. We studied changes related to these “natural experiments” to reveal the mechanisms of regime shifts. Two major shifts were detected, the first related to a depletion of marine predators and the second to an outburst of the alien comb jelly Mnemiopsis leidyi; both shifts were triggered by intense fishing resulting in system-wide trophic cascades. The complex nature of ecosystem responses to human activities calls for more elaborate approaches than currently provided by traditional environmental and fisheries management. This implies challenging existing practices and implementing explanatory models of ecosystem interactions that can better reconcile conservation and ecosystem management ideals.","container-title":"Proceedings of the National Academy of Sciences of the United States of America","DOI":"10.1073/pnas.0701100104","ISSN":"0027-8424","issue":"25","journalAbbreviation":"Proc Natl Acad Sci U S A","note":"PMID: 17548831\nPMCID: PMC1965545","page":"10518-10523","source":"PubMed Central","title":"Trophic cascades triggered by overfishing reveal possible mechanisms of ecosystem regime shifts","URL":"https://www.ncbi.nlm.nih.gov/pmc/articles/PMC1965545/","volume":"104","author":[{"family":"Daskalov","given":"Georgi M."},{"family":"Grishin","given":"Alexander N."},{"family":"Rodionov","given":"Sergei"},{"family":"Mihneva","given":"Vesselina"}],"accessed":{"date-parts":[["2019",10,15]]},"issued":{"date-parts":[["2007",6,19]]}}}],"schema":"https://github.com/citation-style-language/schema/raw/master/csl-citation.json"} </w:instrText>
      </w:r>
      <w:r w:rsidR="0067389D" w:rsidRPr="5575EBFC">
        <w:rPr>
          <w:lang w:val="en-GB"/>
        </w:rPr>
        <w:fldChar w:fldCharType="separate"/>
      </w:r>
      <w:r w:rsidR="658AB41F" w:rsidRPr="5575EBFC">
        <w:rPr>
          <w:lang w:val="en-GB"/>
        </w:rPr>
        <w:t>Daskalov et al., 2007)</w:t>
      </w:r>
      <w:r w:rsidR="0067389D" w:rsidRPr="5575EBFC">
        <w:rPr>
          <w:lang w:val="en-GB"/>
        </w:rPr>
        <w:fldChar w:fldCharType="end"/>
      </w:r>
      <w:r w:rsidR="7A4DA54B" w:rsidRPr="5575EBFC">
        <w:rPr>
          <w:lang w:val="en-GB"/>
        </w:rPr>
        <w:t>.</w:t>
      </w:r>
      <w:r w:rsidR="23BF2FFE" w:rsidRPr="5575EBFC">
        <w:rPr>
          <w:lang w:val="en-GB"/>
        </w:rPr>
        <w:t xml:space="preserve"> </w:t>
      </w:r>
      <w:r w:rsidR="7215320D" w:rsidRPr="5575EBFC">
        <w:rPr>
          <w:rFonts w:eastAsia="Calibri"/>
          <w:lang w:val="en-GB"/>
        </w:rPr>
        <w:t>Exploitation of abiotic (e.g</w:t>
      </w:r>
      <w:r w:rsidR="72CF984E" w:rsidRPr="5575EBFC">
        <w:rPr>
          <w:rFonts w:eastAsia="Calibri"/>
          <w:lang w:val="en-GB"/>
        </w:rPr>
        <w:t xml:space="preserve">., </w:t>
      </w:r>
      <w:r w:rsidR="7215320D" w:rsidRPr="5575EBFC">
        <w:rPr>
          <w:rFonts w:eastAsia="Calibri"/>
          <w:lang w:val="en-GB"/>
        </w:rPr>
        <w:t>mining) and biotic (</w:t>
      </w:r>
      <w:r w:rsidR="5A91D25E" w:rsidRPr="5575EBFC">
        <w:rPr>
          <w:rFonts w:eastAsia="Calibri"/>
          <w:lang w:val="en-GB"/>
        </w:rPr>
        <w:t xml:space="preserve">e.g., </w:t>
      </w:r>
      <w:r w:rsidR="7215320D" w:rsidRPr="5575EBFC">
        <w:rPr>
          <w:rFonts w:eastAsia="Calibri"/>
          <w:lang w:val="en-GB"/>
        </w:rPr>
        <w:t>deforestation</w:t>
      </w:r>
      <w:r w:rsidR="72CF984E" w:rsidRPr="5575EBFC">
        <w:rPr>
          <w:rFonts w:eastAsia="Calibri"/>
          <w:lang w:val="en-GB"/>
        </w:rPr>
        <w:t>)</w:t>
      </w:r>
      <w:r w:rsidR="7215320D" w:rsidRPr="5575EBFC">
        <w:rPr>
          <w:rFonts w:eastAsia="Calibri"/>
          <w:lang w:val="en-GB"/>
        </w:rPr>
        <w:t xml:space="preserve"> resources</w:t>
      </w:r>
      <w:r w:rsidR="7A4DA54B" w:rsidRPr="5575EBFC">
        <w:rPr>
          <w:lang w:val="en-GB"/>
        </w:rPr>
        <w:t xml:space="preserve"> can drive </w:t>
      </w:r>
      <w:r w:rsidR="7E33DDAF" w:rsidRPr="5575EBFC">
        <w:rPr>
          <w:lang w:val="en-GB"/>
        </w:rPr>
        <w:t>biological</w:t>
      </w:r>
      <w:r w:rsidR="7A4DA54B" w:rsidRPr="5575EBFC">
        <w:rPr>
          <w:lang w:val="en-GB"/>
        </w:rPr>
        <w:t xml:space="preserve"> invasions by altering the baseline disturbance regime</w:t>
      </w:r>
      <w:r w:rsidR="0AB409FB" w:rsidRPr="5575EBFC">
        <w:rPr>
          <w:lang w:val="en-GB"/>
        </w:rPr>
        <w:t>, which</w:t>
      </w:r>
      <w:r w:rsidR="7A4DA54B" w:rsidRPr="5575EBFC">
        <w:rPr>
          <w:lang w:val="en-GB"/>
        </w:rPr>
        <w:t xml:space="preserve"> can facilitate</w:t>
      </w:r>
      <w:r w:rsidR="0AB409FB" w:rsidRPr="5575EBFC">
        <w:rPr>
          <w:lang w:val="en-GB"/>
        </w:rPr>
        <w:t xml:space="preserve"> the invasion of</w:t>
      </w:r>
      <w:r w:rsidR="7A4DA54B" w:rsidRPr="5575EBFC">
        <w:rPr>
          <w:lang w:val="en-GB"/>
        </w:rPr>
        <w:t xml:space="preserve"> alien species that are better adapted to the altered conditions </w:t>
      </w:r>
      <w:r w:rsidR="0067389D" w:rsidRPr="5575EBFC">
        <w:rPr>
          <w:lang w:val="en-GB"/>
        </w:rPr>
        <w:fldChar w:fldCharType="begin"/>
      </w:r>
      <w:r w:rsidR="00331A79">
        <w:rPr>
          <w:lang w:val="en-GB"/>
        </w:rPr>
        <w:instrText xml:space="preserve"> ADDIN ZOTERO_ITEM CSL_CITATION {"citationID":"oYnVYXEh","properties":{"formattedCitation":"(Catford et al., 2012)","plainCitation":"(Catford et al., 2012)","noteIndex":0},"citationItems":[{"id":56159,"uris":["http://zotero.org/groups/2352922/items/32PJ48WK","http://zotero.org/groups/2352922/items/BMK73VUR"],"itemData":{"id":56159,"type":"article-journal","container-title":"Perspectives in Plant Ecology, Evolution and Systematics","DOI":"10.1016/j.ppees.2011.12.002","ISSN":"14338319","issue":"3","journalAbbreviation":"Perspectives in Plant Ecology, Evolution and Systematics","language":"en","page":"231-241","source":"DOI.org (Crossref)","title":"The intermediate disturbance hypothesis and plant invasions: Implications for species richness and management","title-short":"The intermediate disturbance hypothesis and plant invasions","URL":"https://linkinghub.elsevier.com/retrieve/pii/S1433831911000758","volume":"14","author":[{"family":"Catford","given":"Jane A."},{"family":"Daehler","given":"Curtis C."},{"family":"Murphy","given":"Helen T."},{"family":"Sheppard","given":"Andy W."},{"family":"Hardesty","given":"Britta D."},{"family":"Westcott","given":"David A."},{"family":"Rejmánek","given":"Marcel"},{"family":"Bellingham","given":"Peter J."},{"family":"Pergl","given":"Jan"},{"family":"Horvitz","given":"Carol C."},{"family":"Hulme","given":"Philip E."}],"accessed":{"date-parts":[["2023",6,7]]},"issued":{"date-parts":[["2012",6]]}}}],"schema":"https://github.com/citation-style-language/schema/raw/master/csl-citation.json"} </w:instrText>
      </w:r>
      <w:r w:rsidR="0067389D" w:rsidRPr="5575EBFC">
        <w:rPr>
          <w:lang w:val="en-GB"/>
        </w:rPr>
        <w:fldChar w:fldCharType="separate"/>
      </w:r>
      <w:r w:rsidR="6B5F9B9E">
        <w:t>(Catford et al., 2012)</w:t>
      </w:r>
      <w:r w:rsidR="0067389D" w:rsidRPr="5575EBFC">
        <w:rPr>
          <w:lang w:val="en-GB"/>
        </w:rPr>
        <w:fldChar w:fldCharType="end"/>
      </w:r>
      <w:r w:rsidR="4141B12D" w:rsidRPr="5575EBFC">
        <w:rPr>
          <w:lang w:val="en-GB"/>
        </w:rPr>
        <w:t>.</w:t>
      </w:r>
      <w:r w:rsidR="7A4DA54B" w:rsidRPr="5575EBFC">
        <w:rPr>
          <w:lang w:val="en-GB"/>
        </w:rPr>
        <w:t xml:space="preserve"> Pollution, particularly eutrophication, can favour alien species in both aquatic </w:t>
      </w:r>
      <w:r w:rsidR="0067389D" w:rsidRPr="5575EBFC">
        <w:rPr>
          <w:lang w:val="en-GB"/>
        </w:rPr>
        <w:fldChar w:fldCharType="begin"/>
      </w:r>
      <w:r w:rsidR="00331A79">
        <w:rPr>
          <w:lang w:val="en-GB"/>
        </w:rPr>
        <w:instrText xml:space="preserve"> ADDIN ZOTERO_ITEM CSL_CITATION {"citationID":"w6MWWX4X","properties":{"formattedCitation":"(Vermonden et al., 2010)","plainCitation":"(Vermonden et al., 2010)","noteIndex":0},"citationItems":[{"id":15437,"uris":["http://zotero.org/groups/2352922/items/MM9LGYJ6"],"itemData":{"id":15437,"type":"article-journal","abstract":"Aim Urbanization usually leads to biotic homogenization with a decrease in native species and increase in exotic species. We investigated whether local environmental factors in urban water bodies, such as water quality, habitat structure and biotic interactions, influenced the invasion of these systems by exotic macroinvertebrate species. Location Urban surface water systems in lowlands of the Rhine-Meuse delta. Methods Presence and abundance of native and exotic macroinvertebrate species were compared between different urban water types and related to environmental variables with multivariate analysis and spearman's correlations. Moreover, co-existence of related native and exotic species was studied. Results In total nine exotic species were found in the following taxa: Tricladida (1), Crustacea (5), Bivalvia (1) and Gastropoda (2). Taxonomically related native and exotic crustacean species did not seem to be influenced by competition in nutrient-rich urban waters; most species showed high abundances. Nevertheless, two exotic crustacean species were much more abundant in waters where other crustacean species were absent, possibly filling empty niches. Native species richness and abundance was positively related to environmental heterogeneity in the form of submerged vegetation. The occurrence and abundance of most exotic species were positively related to several eutrophication indicators, such as nitrate, sludge layer and lemnid vegetation. Main conclusions Exotic species in urban waters were mostly detritivorous or omnivorous and therefore dependent on leaf breakdown. In nutrient-rich water systems, where food availability was high, exotic crustacean species co-existed with native crustacean species, while in nutrient-poor, richly vegetated systems, native Asellidae dominated exotic Asellidae. In the turbid water bodies with very little vegetation, native species richness was low and two exotic crustacean species were relatively abundant in these water systems. Invasibility of urban water systems could be reduced by stimulating the development of submerged and nymphaeid vegetation and decreasing nutrient levels.","container-title":"Diversity and Distributions","DOI":"10.1111/j.1472-4642.2010.00702.x","ISSN":"1366-9516","issue":"6","note":"WOS:000283375900013","page":"1009-1021","title":"Environmental factors determining invasibility of urban waters for exotic macroinvertebrates","volume":"16","author":[{"family":"Vermonden","given":"Kim"},{"family":"Leuven","given":"Rob S. E. W."},{"family":"Velde","given":"Gerard","non-dropping-particle":"van der"}],"issued":{"date-parts":[["2010",11]]}}}],"schema":"https://github.com/citation-style-language/schema/raw/master/csl-citation.json"} </w:instrText>
      </w:r>
      <w:r w:rsidR="0067389D" w:rsidRPr="5575EBFC">
        <w:rPr>
          <w:lang w:val="en-GB"/>
        </w:rPr>
        <w:fldChar w:fldCharType="separate"/>
      </w:r>
      <w:r w:rsidR="6B5F9B9E">
        <w:t>(Vermonden et al., 2010)</w:t>
      </w:r>
      <w:r w:rsidR="0067389D" w:rsidRPr="5575EBFC">
        <w:rPr>
          <w:lang w:val="en-GB"/>
        </w:rPr>
        <w:fldChar w:fldCharType="end"/>
      </w:r>
      <w:r w:rsidR="7A4DA54B" w:rsidRPr="5575EBFC">
        <w:rPr>
          <w:lang w:val="en-GB"/>
        </w:rPr>
        <w:t xml:space="preserve"> and terrestrial ecosystems </w:t>
      </w:r>
      <w:r w:rsidR="0067389D" w:rsidRPr="5575EBFC">
        <w:rPr>
          <w:lang w:val="en-GB"/>
        </w:rPr>
        <w:fldChar w:fldCharType="begin"/>
      </w:r>
      <w:r w:rsidR="00331A79">
        <w:rPr>
          <w:lang w:val="en-GB"/>
        </w:rPr>
        <w:instrText xml:space="preserve"> ADDIN ZOTERO_ITEM CSL_CITATION {"citationID":"JG66xeR1","properties":{"formattedCitation":"(Brooks, 2003)","plainCitation":"(Brooks, 2003)","noteIndex":0},"citationItems":[{"id":23987,"uris":["http://zotero.org/groups/2352922/items/LAMP2IXX"],"itemData":{"id":23987,"type":"article-journal","abstract":"1. Deserts are one of the least invaded ecosystems by plants, possibly due to naturally low levels of soil nitrogen. Increased levels of soil nitrogen caused by atmospheric nitrogen deposition may increase the dominance of invasive alien plants and decrease the diversity of plant communities in desert regions, as it has in other ecosystems. Deserts should be particularly susceptible to even small increases in soil nitrogen levels because the ratio of increased nitrogen to plant biomass is higher compared with most other ecosystems. 2. The hypothesis that increased soil nitrogen will lead to increased dominance by alien plants and decreased plant species diversity was tested in field experiments using nitrogen additions at three sites in the in the Mojave Desert of western North America. 3. Responses of alien and native annual plants to soil nitrogen additions were measured in terms of density, biomass and species richness. Effects of nitrogen additions were evaluated during 2 years of contrasting rainfall and annual plant productivity. The rate of nitrogen addition was similar to published rates of atmospheric nitrogen deposition in urban areas adjacent to the Mojave Desert (3.2 g N m(-2) year(-1)). The dominant alien species included the grasses Bromus madritensis ssp. rubens and Schismus spp. (S. arabicus and S. barbatus) and the forb Erodium cicutarium . 4. Soil nitrogen addition increased the density and biomass of alien annual plants during both years, but decreased density, biomass and species richness of native species only during the year of highest annual plant productivity. The negative response of natives may have been due to increased competitive stress for soil water and other nutrients caused by the increased productivity of aliens. 5. The effects of nitrogen additions were significant at both ends of a natural nutrient gradient, beneath creosote bush Larrea tridentata canopies and in the interspaces between them, although responses varied among individual alien species. The positive effects of nitrogen addition were highest in the beneath-canopy for B. rubens and in interspaces for Schismus spp. and E. cicutarium. 6. The results indicated that increased levels of soil nitrogen from atmospheric nitrogen deposition or from other sources could increase the dominance of alien annual plants and possibly promote the invasion of new species in desert regions. Increased dominance by alien annuals may decrease the diversity of native annual plants, and increased biomass of alien annual grasses may also increase the frequency of fire. 7. Although nitrogen deposition cannot be controlled by local land managers, the managers need to understand its potential effects on plant communities and ecosystem properties, in particular how these effects may interact with land-use activities that can be managed at the local scale. These interactions are currently unknown, and hinder the ability of managers to make appropriate land-use decisions related to nitrogen deposition in desert ecosystems. 8. Synthesis and applications. The effects of nitrogen deposition on invasive alien plants should be considered when deciding where to locate new conservation areas, and in evaluating the full scope of ecological effects of new projects that would increase nitrogen deposition rates.","container-title":"Journal of Applied Ecology","DOI":"10.1046/j.1365-2664.2003.00789.x","ISSN":"0021-8901","issue":"2","language":"en","note":"WOS:000182118700013","page":"344-353","title":"Effects of increased soil nitrogen on the dominance of alien annual plants in the Mojave Desert","URL":"http://doi.wiley.com/10.1046/j.1365-2664.2003.00789.x","volume":"40","author":[{"family":"Brooks","given":"Matthew L."}],"issued":{"date-parts":[["2003",4]]}}}],"schema":"https://github.com/citation-style-language/schema/raw/master/csl-citation.json"} </w:instrText>
      </w:r>
      <w:r w:rsidR="0067389D" w:rsidRPr="5575EBFC">
        <w:rPr>
          <w:lang w:val="en-GB"/>
        </w:rPr>
        <w:fldChar w:fldCharType="separate"/>
      </w:r>
      <w:r w:rsidR="6B5F9B9E">
        <w:t>(Brooks, 2003)</w:t>
      </w:r>
      <w:r w:rsidR="0067389D" w:rsidRPr="5575EBFC">
        <w:rPr>
          <w:lang w:val="en-GB"/>
        </w:rPr>
        <w:fldChar w:fldCharType="end"/>
      </w:r>
      <w:r w:rsidR="7A4DA54B" w:rsidRPr="5575EBFC">
        <w:rPr>
          <w:lang w:val="en-GB"/>
        </w:rPr>
        <w:t>. Climate change, particularly through the effects of higher temperatures and frequency of extreme events</w:t>
      </w:r>
      <w:r w:rsidR="79C108E5" w:rsidRPr="5575EBFC">
        <w:rPr>
          <w:lang w:val="en-GB"/>
        </w:rPr>
        <w:t>,</w:t>
      </w:r>
      <w:r w:rsidR="7A4DA54B" w:rsidRPr="5575EBFC">
        <w:rPr>
          <w:lang w:val="en-GB"/>
        </w:rPr>
        <w:t xml:space="preserve"> </w:t>
      </w:r>
      <w:r w:rsidR="4E74992A" w:rsidRPr="5575EBFC">
        <w:rPr>
          <w:lang w:val="en-GB"/>
        </w:rPr>
        <w:t>has long been</w:t>
      </w:r>
      <w:r w:rsidR="7A4DA54B" w:rsidRPr="5575EBFC">
        <w:rPr>
          <w:lang w:val="en-GB"/>
        </w:rPr>
        <w:t xml:space="preserve"> widely expected to increase the rate at which alien species are introduced, establish and spread </w:t>
      </w:r>
      <w:r w:rsidR="0067389D" w:rsidRPr="5575EBFC">
        <w:rPr>
          <w:lang w:val="en-GB"/>
        </w:rPr>
        <w:fldChar w:fldCharType="begin"/>
      </w:r>
      <w:r w:rsidR="00331A79">
        <w:rPr>
          <w:lang w:val="en-GB"/>
        </w:rPr>
        <w:instrText xml:space="preserve"> ADDIN ZOTERO_ITEM CSL_CITATION {"citationID":"dD55Zieb","properties":{"formattedCitation":"(Walther et al., 2009)","plainCitation":"(Walther et al., 2009)","noteIndex":0},"citationItems":[{"id":54013,"uris":["http://zotero.org/groups/2352922/items/2GL5WWF6","http://zotero.org/groups/2352922/items/QPZYHHS2"],"itemData":{"id":54013,"type":"article-journal","container-title":"Trends in ecology &amp; evolution","DOI":"10.1016/j.tree.2009.06.008","issue":"12","note":"ISBN: 0169-5347\npublisher: Elsevier","page":"686-693","title":"Alien species in a warmer world: risks and opportunities","URL":"https://doi.org/10.1016/j.tree.2009.06.008","volume":"24","author":[{"family":"Walther","given":"Gian-Reto"},{"family":"Roques","given":"Alain"},{"family":"Hulme","given":"Philip E."},{"family":"Sykes","given":"Martin T."},{"family":"Pyšek","given":"Petr"},{"family":"Kühn","given":"Ingolf"},{"family":"Zobel","given":"Martin"},{"family":"Bacher","given":"Sven"},{"family":"Botta-Dukát","given":"Zoltán"},{"family":"Bugmann","given":"Harald"},{"family":"Czúcz","given":"Bálint"},{"family":"Dauber","given":"Jens"},{"family":"Hickler","given":"Thomas"},{"family":"Jarošík","given":"Vojtěch"},{"family":"Kenis","given":"Marc"},{"family":"Klotz","given":"Stefan"},{"family":"Minchin","given":"Dan"},{"family":"Moora","given":"Mari"},{"family":"Nentwig","given":"Wolfgang"},{"family":"Ott","given":"Jürgen"},{"family":"Panov","given":"Vadim E."},{"family":"Reineking","given":"Björn"},{"family":"Robinet","given":"Christelle"},{"family":"Semenchenko","given":"Vitaliy"},{"family":"Solarz","given":"Wojciech"},{"family":"Thuiller","given":"Wilfried"},{"family":"Vilà","given":"Montserrat"},{"family":"Vohland","given":"Katrin"},{"family":"Settele","given":"Josef"}],"issued":{"date-parts":[["2009"]]}}}],"schema":"https://github.com/citation-style-language/schema/raw/master/csl-citation.json"} </w:instrText>
      </w:r>
      <w:r w:rsidR="0067389D" w:rsidRPr="5575EBFC">
        <w:rPr>
          <w:lang w:val="en-GB"/>
        </w:rPr>
        <w:fldChar w:fldCharType="separate"/>
      </w:r>
      <w:r w:rsidR="6B5F9B9E">
        <w:t>(Walther et al., 2009)</w:t>
      </w:r>
      <w:r w:rsidR="0067389D" w:rsidRPr="5575EBFC">
        <w:rPr>
          <w:lang w:val="en-GB"/>
        </w:rPr>
        <w:fldChar w:fldCharType="end"/>
      </w:r>
      <w:r w:rsidR="7A4DA54B" w:rsidRPr="5575EBFC">
        <w:rPr>
          <w:lang w:val="en-GB"/>
        </w:rPr>
        <w:t>.</w:t>
      </w:r>
      <w:r w:rsidR="765F76D9" w:rsidRPr="5575EBFC">
        <w:rPr>
          <w:lang w:val="en-GB"/>
        </w:rPr>
        <w:t xml:space="preserve"> </w:t>
      </w:r>
      <w:r w:rsidR="7A4DA54B" w:rsidRPr="5575EBFC">
        <w:rPr>
          <w:lang w:val="en-GB"/>
        </w:rPr>
        <w:t xml:space="preserve">Less well understood is the risk that </w:t>
      </w:r>
      <w:r w:rsidR="34660942" w:rsidRPr="5575EBFC">
        <w:rPr>
          <w:lang w:val="en-GB"/>
        </w:rPr>
        <w:t>deliberate</w:t>
      </w:r>
      <w:r w:rsidR="19B3BD77" w:rsidRPr="5575EBFC">
        <w:rPr>
          <w:lang w:val="en-GB"/>
        </w:rPr>
        <w:t xml:space="preserve"> translocation of</w:t>
      </w:r>
      <w:r w:rsidR="7A4DA54B" w:rsidRPr="5575EBFC">
        <w:rPr>
          <w:lang w:val="en-GB"/>
        </w:rPr>
        <w:t xml:space="preserve"> species</w:t>
      </w:r>
      <w:r w:rsidR="19B3BD77" w:rsidRPr="5575EBFC">
        <w:rPr>
          <w:lang w:val="en-GB"/>
        </w:rPr>
        <w:t xml:space="preserve"> by humans</w:t>
      </w:r>
      <w:r w:rsidR="7A4DA54B" w:rsidRPr="5575EBFC">
        <w:rPr>
          <w:lang w:val="en-GB"/>
        </w:rPr>
        <w:t xml:space="preserve"> from one region to another in order to ensure survival in the face of climate change might result in the introduction of </w:t>
      </w:r>
      <w:r w:rsidR="12C62F92" w:rsidRPr="5575EBFC">
        <w:rPr>
          <w:lang w:val="en-GB"/>
        </w:rPr>
        <w:t xml:space="preserve">invasive alien species </w:t>
      </w:r>
      <w:r w:rsidR="0067389D" w:rsidRPr="5575EBFC">
        <w:rPr>
          <w:lang w:val="en-GB"/>
        </w:rPr>
        <w:fldChar w:fldCharType="begin"/>
      </w:r>
      <w:r w:rsidR="00F5121E">
        <w:rPr>
          <w:lang w:val="en-GB"/>
        </w:rPr>
        <w:instrText xml:space="preserve"> ADDIN ZOTERO_ITEM CSL_CITATION {"citationID":"5S8QX9o1","properties":{"formattedCitation":"(Ricciardi &amp; Simberloff, 2009)","plainCitation":"(Ricciardi &amp; Simberloff, 2009)","noteIndex":0},"citationItems":[{"id":16956,"uris":["http://zotero.org/groups/2352922/items/5BPH3TS6"],"itemData":{"id":16956,"type":"article-journal","abstract":"A potential conservation strategy increasingly discussed by conservation biologists is the translocation of species to favorable habitat beyond their native range to protect them from human-induced threats, such as climate change. Even if preceded by careful risk assessment, such action is likely to produce myriad unintended and unpredictable consequences. Accurate risk assessment is impeded by contingency: the impacts of introduced species vary over time and space under the influence of local environmental variables, interspecific interactions and evolutionary change. Some impacts, such as native species extinctions, are large and irrevocable. Here we argue that conservation biologists have not yet developed a sufficient understanding of the impacts of introduced species to make informed decisions regarding species translocations.","container-title":"Trends in Ecology &amp; Evolution","DOI":"10.1016/j.tree.2008.12.006","ISSN":"0169-5347","issue":"5","note":"WOS:000266188100005","page":"248-253","title":"Assisted colonization is not a viable conservation strategy","volume":"24","author":[{"family":"Ricciardi","given":"Anthony"},{"family":"Simberloff","given":"Daniel"}],"issued":{"date-parts":[["2009",5]]}}}],"schema":"https://github.com/citation-style-language/schema/raw/master/csl-citation.json"} </w:instrText>
      </w:r>
      <w:r w:rsidR="0067389D" w:rsidRPr="5575EBFC">
        <w:rPr>
          <w:lang w:val="en-GB"/>
        </w:rPr>
        <w:fldChar w:fldCharType="separate"/>
      </w:r>
      <w:r w:rsidR="6B5F9B9E">
        <w:t>(Ricciardi &amp; Simberloff, 2009)</w:t>
      </w:r>
      <w:r w:rsidR="0067389D" w:rsidRPr="5575EBFC">
        <w:rPr>
          <w:lang w:val="en-GB"/>
        </w:rPr>
        <w:fldChar w:fldCharType="end"/>
      </w:r>
      <w:r w:rsidR="7A4DA54B" w:rsidRPr="5575EBFC">
        <w:rPr>
          <w:lang w:val="en-GB"/>
        </w:rPr>
        <w:t xml:space="preserve">. Although including </w:t>
      </w:r>
      <w:r w:rsidR="12C62F92" w:rsidRPr="5575EBFC">
        <w:rPr>
          <w:lang w:val="en-GB"/>
        </w:rPr>
        <w:t xml:space="preserve">invasive alien species </w:t>
      </w:r>
      <w:r w:rsidR="7A4DA54B" w:rsidRPr="5575EBFC">
        <w:rPr>
          <w:lang w:val="en-GB"/>
        </w:rPr>
        <w:t xml:space="preserve">as a direct driver </w:t>
      </w:r>
      <w:r w:rsidR="765F76D9" w:rsidRPr="5575EBFC">
        <w:rPr>
          <w:lang w:val="en-GB"/>
        </w:rPr>
        <w:t>affecting</w:t>
      </w:r>
      <w:r w:rsidR="7A4DA54B" w:rsidRPr="5575EBFC">
        <w:rPr>
          <w:lang w:val="en-GB"/>
        </w:rPr>
        <w:t xml:space="preserve"> </w:t>
      </w:r>
      <w:r w:rsidR="25B5B5FE" w:rsidRPr="5575EBFC">
        <w:rPr>
          <w:lang w:val="en-GB"/>
        </w:rPr>
        <w:t>biological invasions</w:t>
      </w:r>
      <w:r w:rsidR="12C62F92" w:rsidRPr="5575EBFC">
        <w:rPr>
          <w:lang w:val="en-GB"/>
        </w:rPr>
        <w:t xml:space="preserve"> </w:t>
      </w:r>
      <w:r w:rsidR="7A4DA54B" w:rsidRPr="5575EBFC">
        <w:rPr>
          <w:lang w:val="en-GB"/>
        </w:rPr>
        <w:t xml:space="preserve">might sound like circular reasoning, there is increasing evidence of the role that </w:t>
      </w:r>
      <w:r w:rsidR="12C62F92" w:rsidRPr="5575EBFC">
        <w:rPr>
          <w:lang w:val="en-GB"/>
        </w:rPr>
        <w:t xml:space="preserve">invasive alien species </w:t>
      </w:r>
      <w:r w:rsidR="7A4DA54B" w:rsidRPr="5575EBFC">
        <w:rPr>
          <w:lang w:val="en-GB"/>
        </w:rPr>
        <w:t>play in facilitating other alien species</w:t>
      </w:r>
      <w:r w:rsidR="69D36659" w:rsidRPr="5575EBFC">
        <w:rPr>
          <w:lang w:val="en-GB"/>
        </w:rPr>
        <w:t xml:space="preserve"> at different stages of the </w:t>
      </w:r>
      <w:r w:rsidR="7E33DDAF" w:rsidRPr="5575EBFC">
        <w:rPr>
          <w:lang w:val="en-GB"/>
        </w:rPr>
        <w:t xml:space="preserve">biological </w:t>
      </w:r>
      <w:r w:rsidR="69D36659" w:rsidRPr="5575EBFC">
        <w:rPr>
          <w:lang w:val="en-GB"/>
        </w:rPr>
        <w:t>invasion process,</w:t>
      </w:r>
      <w:r w:rsidR="265A4530" w:rsidRPr="5575EBFC">
        <w:rPr>
          <w:lang w:val="en-GB"/>
        </w:rPr>
        <w:t xml:space="preserve"> aiding dispersal and transportation or </w:t>
      </w:r>
      <w:r w:rsidR="7A4DA54B" w:rsidRPr="5575EBFC">
        <w:rPr>
          <w:lang w:val="en-GB"/>
        </w:rPr>
        <w:t>as mutualists (e.g.</w:t>
      </w:r>
      <w:r w:rsidR="78B85C94" w:rsidRPr="5575EBFC">
        <w:rPr>
          <w:lang w:val="en-GB"/>
        </w:rPr>
        <w:t>,</w:t>
      </w:r>
      <w:r w:rsidR="7A4DA54B" w:rsidRPr="5575EBFC">
        <w:rPr>
          <w:lang w:val="en-GB"/>
        </w:rPr>
        <w:t xml:space="preserve"> alien mycorrhiza, pollinators</w:t>
      </w:r>
      <w:r w:rsidR="009F7404">
        <w:rPr>
          <w:lang w:val="en-GB"/>
        </w:rPr>
        <w:t xml:space="preserve"> and</w:t>
      </w:r>
      <w:r w:rsidR="7A4DA54B" w:rsidRPr="5575EBFC">
        <w:rPr>
          <w:lang w:val="en-GB"/>
        </w:rPr>
        <w:t xml:space="preserve"> seed dispersers)</w:t>
      </w:r>
      <w:r w:rsidR="27BB4DEF" w:rsidRPr="5575EBFC">
        <w:rPr>
          <w:lang w:val="en-GB"/>
        </w:rPr>
        <w:t xml:space="preserve">, allowing </w:t>
      </w:r>
      <w:r w:rsidR="16AE188A" w:rsidRPr="5575EBFC">
        <w:rPr>
          <w:lang w:val="en-GB"/>
        </w:rPr>
        <w:t xml:space="preserve">their </w:t>
      </w:r>
      <w:r w:rsidR="27BB4DEF" w:rsidRPr="5575EBFC">
        <w:rPr>
          <w:lang w:val="en-GB"/>
        </w:rPr>
        <w:t>reproduction and spread</w:t>
      </w:r>
      <w:r w:rsidR="5B2C552C" w:rsidRPr="5575EBFC">
        <w:rPr>
          <w:lang w:val="en-GB"/>
        </w:rPr>
        <w:t>.</w:t>
      </w:r>
      <w:r w:rsidR="765F76D9" w:rsidRPr="5575EBFC">
        <w:rPr>
          <w:lang w:val="en-GB"/>
        </w:rPr>
        <w:t xml:space="preserve"> </w:t>
      </w:r>
      <w:r w:rsidR="7A4DA54B" w:rsidRPr="5575EBFC">
        <w:rPr>
          <w:lang w:val="en-GB"/>
        </w:rPr>
        <w:t>Th</w:t>
      </w:r>
      <w:r w:rsidR="1D6BC4CA" w:rsidRPr="5575EBFC">
        <w:rPr>
          <w:lang w:val="en-GB"/>
        </w:rPr>
        <w:t>i</w:t>
      </w:r>
      <w:r w:rsidR="7A4DA54B" w:rsidRPr="5575EBFC">
        <w:rPr>
          <w:lang w:val="en-GB"/>
        </w:rPr>
        <w:t>s</w:t>
      </w:r>
      <w:r w:rsidR="71F54E31" w:rsidRPr="5575EBFC">
        <w:rPr>
          <w:lang w:val="en-GB"/>
        </w:rPr>
        <w:t xml:space="preserve"> </w:t>
      </w:r>
      <w:r w:rsidR="7A4DA54B" w:rsidRPr="5575EBFC">
        <w:rPr>
          <w:lang w:val="en-GB"/>
        </w:rPr>
        <w:t>process</w:t>
      </w:r>
      <w:r w:rsidR="5B3D958A" w:rsidRPr="5575EBFC">
        <w:rPr>
          <w:lang w:val="en-GB"/>
        </w:rPr>
        <w:t>,</w:t>
      </w:r>
      <w:r w:rsidR="513B7274" w:rsidRPr="5575EBFC">
        <w:rPr>
          <w:lang w:val="en-GB"/>
        </w:rPr>
        <w:t xml:space="preserve"> </w:t>
      </w:r>
      <w:r w:rsidR="15233782" w:rsidRPr="5575EBFC">
        <w:rPr>
          <w:lang w:val="en-GB"/>
        </w:rPr>
        <w:t>by which a group of alien species facilitate one another, increasing the likelihood of survival and/or of ecological impact</w:t>
      </w:r>
      <w:r w:rsidR="39CAA0F2" w:rsidRPr="5575EBFC">
        <w:rPr>
          <w:rFonts w:ascii="游明朝" w:eastAsia="游明朝" w:hAnsi="游明朝"/>
          <w:lang w:val="en-GB"/>
        </w:rPr>
        <w:t xml:space="preserve"> </w:t>
      </w:r>
      <w:r w:rsidR="0067389D" w:rsidRPr="5575EBFC">
        <w:rPr>
          <w:rFonts w:eastAsia="游明朝"/>
          <w:lang w:val="en-GB"/>
        </w:rPr>
        <w:fldChar w:fldCharType="begin"/>
      </w:r>
      <w:r w:rsidR="00331A79">
        <w:rPr>
          <w:rFonts w:eastAsia="游明朝"/>
          <w:lang w:val="en-GB"/>
        </w:rPr>
        <w:instrText xml:space="preserve"> ADDIN ZOTERO_ITEM CSL_CITATION {"citationID":"GIqW6Xf0","properties":{"formattedCitation":"(Braga, G\\uc0\\u243{}mez Aparicio, et al., 2018)","plainCitation":"(Braga, Gómez Aparicio, et al., 2018)","noteIndex":0},"citationItems":[{"id":53864,"uris":["http://zotero.org/groups/2352922/items/QGE9HG4I"],"itemData":{"id":53864,"type":"article-journal","container-title":"Invasion biology: hypotheses and evidence","page":"79-91","title":"Invasional meltdown hypothesis","author":[{"family":"Braga","given":"Raul Rennó"},{"family":"Gómez Aparicio","given":"Lorena"},{"family":"Heger","given":"Tina"},{"family":"Vitule","given":"Jean Ricardo Simões"},{"family":"Jeschke","given":"Jonathan M."},{"family":"Jeschke","given":"J. M."},{"family":"Heger","given":"T."}],"issued":{"date-parts":[["2018"]]}}}],"schema":"https://github.com/citation-style-language/schema/raw/master/csl-citation.json"} </w:instrText>
      </w:r>
      <w:r w:rsidR="0067389D" w:rsidRPr="5575EBFC">
        <w:rPr>
          <w:rFonts w:eastAsia="游明朝"/>
          <w:lang w:val="en-GB"/>
        </w:rPr>
        <w:fldChar w:fldCharType="separate"/>
      </w:r>
      <w:r w:rsidR="6B5F9B9E">
        <w:t>(Braga, Gómez Aparicio, et al., 2018)</w:t>
      </w:r>
      <w:r w:rsidR="0067389D" w:rsidRPr="5575EBFC">
        <w:rPr>
          <w:rFonts w:eastAsia="游明朝"/>
          <w:lang w:val="en-GB"/>
        </w:rPr>
        <w:fldChar w:fldCharType="end"/>
      </w:r>
      <w:r w:rsidR="15233782" w:rsidRPr="5575EBFC">
        <w:rPr>
          <w:lang w:val="en-GB"/>
        </w:rPr>
        <w:t xml:space="preserve"> and potentially causing </w:t>
      </w:r>
      <w:r w:rsidR="7E33DDAF" w:rsidRPr="5575EBFC">
        <w:rPr>
          <w:lang w:val="en-GB"/>
        </w:rPr>
        <w:t>“</w:t>
      </w:r>
      <w:r w:rsidR="15233782" w:rsidRPr="5575EBFC">
        <w:rPr>
          <w:lang w:val="en-GB"/>
        </w:rPr>
        <w:t>an accelerating accumulation of introduced species</w:t>
      </w:r>
      <w:r w:rsidR="7E33DDAF" w:rsidRPr="5575EBFC">
        <w:rPr>
          <w:lang w:val="en-GB"/>
        </w:rPr>
        <w:t>”</w:t>
      </w:r>
      <w:r w:rsidR="0EBF2955" w:rsidRPr="5575EBFC">
        <w:rPr>
          <w:lang w:val="en-GB"/>
        </w:rPr>
        <w:t>,</w:t>
      </w:r>
      <w:r w:rsidR="15233782" w:rsidRPr="5575EBFC">
        <w:rPr>
          <w:lang w:val="en-GB"/>
        </w:rPr>
        <w:t xml:space="preserve"> </w:t>
      </w:r>
      <w:r w:rsidR="5B2C552C" w:rsidRPr="5575EBFC">
        <w:rPr>
          <w:lang w:val="en-GB"/>
        </w:rPr>
        <w:t xml:space="preserve">has </w:t>
      </w:r>
      <w:r w:rsidR="7A4DA54B" w:rsidRPr="5575EBFC">
        <w:rPr>
          <w:lang w:val="en-GB"/>
        </w:rPr>
        <w:t>garnered its own term “invasional meltdown”</w:t>
      </w:r>
      <w:r w:rsidR="5A91D25E" w:rsidRPr="5575EBFC">
        <w:rPr>
          <w:lang w:val="en-GB"/>
        </w:rPr>
        <w:t xml:space="preserve"> </w:t>
      </w:r>
      <w:r w:rsidR="0067389D" w:rsidRPr="5575EBFC">
        <w:rPr>
          <w:lang w:val="en-GB"/>
        </w:rPr>
        <w:fldChar w:fldCharType="begin"/>
      </w:r>
      <w:r w:rsidR="00331A79">
        <w:rPr>
          <w:lang w:val="en-GB"/>
        </w:rPr>
        <w:instrText xml:space="preserve"> ADDIN ZOTERO_ITEM CSL_CITATION {"citationID":"k7lPqmn7","properties":{"formattedCitation":"(Simberloff, 2006)","plainCitation":"(Simberloff, 2006)","dontUpdate":true,"noteIndex":0},"citationItems":[{"id":56678,"uris":["http://zotero.org/groups/2352922/items/Q56RCJ8Y","http://zotero.org/groups/2352922/items/RCGAK4CX"],"itemData":{"id":56678,"type":"article-journal","container-title":"Ecology Letters","DOI":"10.1111/j.1461-0248.2006.00939.x","ISSN":"1461-023X, 1461-0248","issue":"8","journalAbbreviation":"Ecol Letters","language":"en","page":"912-919","source":"DOI.org (Crossref)","title":"Invasional meltdown 6 years later: important phenomenon, unfortunate metaphor, or both?","title-short":"Invasional meltdown 6 years later","URL":"https://onlinelibrary.wiley.com/doi/10.1111/j.1461-0248.2006.00939.x","volume":"9","author":[{"family":"Simberloff","given":"Daniel"}],"accessed":{"date-parts":[["2023",6,8]]},"issued":{"date-parts":[["2006",8]]}},"label":"page"}],"schema":"https://github.com/citation-style-language/schema/raw/master/csl-citation.json"} </w:instrText>
      </w:r>
      <w:r w:rsidR="0067389D" w:rsidRPr="5575EBFC">
        <w:rPr>
          <w:lang w:val="en-GB"/>
        </w:rPr>
        <w:fldChar w:fldCharType="separate"/>
      </w:r>
      <w:r w:rsidR="0B6B8DB0" w:rsidRPr="5575EBFC">
        <w:rPr>
          <w:lang w:val="en-GB"/>
        </w:rPr>
        <w:t>(Simberloff, 2006</w:t>
      </w:r>
      <w:r w:rsidR="0067389D" w:rsidRPr="5575EBFC">
        <w:rPr>
          <w:lang w:val="en-GB"/>
        </w:rPr>
        <w:fldChar w:fldCharType="end"/>
      </w:r>
      <w:r w:rsidR="0B6B8DB0" w:rsidRPr="5575EBFC">
        <w:rPr>
          <w:lang w:val="en-GB"/>
        </w:rPr>
        <w:t xml:space="preserve">, </w:t>
      </w:r>
      <w:r w:rsidR="35CD5B07" w:rsidRPr="5575EBFC">
        <w:rPr>
          <w:b/>
          <w:bCs/>
          <w:lang w:val="en-GB"/>
        </w:rPr>
        <w:t>C</w:t>
      </w:r>
      <w:r w:rsidR="0B6B8DB0" w:rsidRPr="5575EBFC">
        <w:rPr>
          <w:b/>
          <w:bCs/>
          <w:lang w:val="en-GB"/>
        </w:rPr>
        <w:t>hapter 1</w:t>
      </w:r>
      <w:r w:rsidR="0B6B8DB0" w:rsidRPr="5575EBFC">
        <w:rPr>
          <w:lang w:val="en-GB"/>
        </w:rPr>
        <w:t>,</w:t>
      </w:r>
      <w:r w:rsidR="0B6B8DB0" w:rsidRPr="5575EBFC">
        <w:rPr>
          <w:b/>
          <w:bCs/>
          <w:lang w:val="en-GB"/>
        </w:rPr>
        <w:t xml:space="preserve"> section 1.3.4</w:t>
      </w:r>
      <w:r w:rsidR="5186ED93" w:rsidRPr="5575EBFC">
        <w:rPr>
          <w:lang w:val="en-GB"/>
        </w:rPr>
        <w:t>;</w:t>
      </w:r>
      <w:r w:rsidR="5186ED93" w:rsidRPr="5575EBFC">
        <w:rPr>
          <w:b/>
          <w:bCs/>
          <w:lang w:val="en-GB"/>
        </w:rPr>
        <w:t xml:space="preserve"> </w:t>
      </w:r>
      <w:r w:rsidR="35CD5B07" w:rsidRPr="5575EBFC">
        <w:rPr>
          <w:b/>
          <w:bCs/>
          <w:lang w:val="en-GB"/>
        </w:rPr>
        <w:t>C</w:t>
      </w:r>
      <w:r w:rsidR="0B6B8DB0" w:rsidRPr="5575EBFC">
        <w:rPr>
          <w:b/>
          <w:bCs/>
          <w:lang w:val="en-GB"/>
        </w:rPr>
        <w:t>hapter 4</w:t>
      </w:r>
      <w:r w:rsidR="0B6B8DB0" w:rsidRPr="5575EBFC">
        <w:rPr>
          <w:lang w:val="en-GB"/>
        </w:rPr>
        <w:t>,</w:t>
      </w:r>
      <w:r w:rsidR="0B6B8DB0" w:rsidRPr="5575EBFC">
        <w:rPr>
          <w:b/>
          <w:bCs/>
          <w:lang w:val="en-GB"/>
        </w:rPr>
        <w:t xml:space="preserve"> section 4.7.2</w:t>
      </w:r>
      <w:r w:rsidR="0B6B8DB0" w:rsidRPr="5575EBFC">
        <w:rPr>
          <w:lang w:val="en-GB"/>
        </w:rPr>
        <w:t>)</w:t>
      </w:r>
      <w:r w:rsidR="658AB41F" w:rsidRPr="5575EBFC">
        <w:rPr>
          <w:lang w:val="en-GB"/>
        </w:rPr>
        <w:t>.</w:t>
      </w:r>
      <w:r w:rsidR="23BF2FFE" w:rsidRPr="5575EBFC">
        <w:rPr>
          <w:lang w:val="en-GB"/>
        </w:rPr>
        <w:t xml:space="preserve"> </w:t>
      </w:r>
    </w:p>
    <w:p w14:paraId="7BA8B1AC" w14:textId="77777777" w:rsidR="009D68E1" w:rsidRPr="00DA249F" w:rsidRDefault="00816CA5" w:rsidP="004826A3">
      <w:pPr>
        <w:pStyle w:val="Heading3"/>
        <w:rPr>
          <w:lang w:val="en-GB"/>
        </w:rPr>
      </w:pPr>
      <w:r w:rsidRPr="00DA249F">
        <w:rPr>
          <w:lang w:val="en-GB"/>
        </w:rPr>
        <w:t>N</w:t>
      </w:r>
      <w:r w:rsidR="77F0AEC7" w:rsidRPr="00DA249F">
        <w:rPr>
          <w:lang w:val="en-GB"/>
        </w:rPr>
        <w:t>atural</w:t>
      </w:r>
      <w:r w:rsidR="6C6F519C" w:rsidRPr="00DA249F">
        <w:rPr>
          <w:lang w:val="en-GB"/>
        </w:rPr>
        <w:t xml:space="preserve"> </w:t>
      </w:r>
      <w:r w:rsidR="009C28AC" w:rsidRPr="00DA249F">
        <w:rPr>
          <w:lang w:val="en-GB"/>
        </w:rPr>
        <w:t xml:space="preserve">drivers </w:t>
      </w:r>
      <w:r w:rsidRPr="00DA249F">
        <w:rPr>
          <w:lang w:val="en-GB"/>
        </w:rPr>
        <w:t xml:space="preserve">and biodiversity loss </w:t>
      </w:r>
      <w:r w:rsidR="6FA4300E" w:rsidRPr="00DA249F">
        <w:rPr>
          <w:lang w:val="en-GB"/>
        </w:rPr>
        <w:t xml:space="preserve">as </w:t>
      </w:r>
      <w:r w:rsidR="00CE2AEC" w:rsidRPr="00DA249F">
        <w:rPr>
          <w:lang w:val="en-GB"/>
        </w:rPr>
        <w:t xml:space="preserve">direct drivers </w:t>
      </w:r>
      <w:r w:rsidR="6FA4300E" w:rsidRPr="00DA249F">
        <w:rPr>
          <w:lang w:val="en-GB"/>
        </w:rPr>
        <w:t xml:space="preserve">affecting </w:t>
      </w:r>
      <w:r w:rsidRPr="00DA249F">
        <w:rPr>
          <w:lang w:val="en-GB"/>
        </w:rPr>
        <w:t>biological invasions</w:t>
      </w:r>
    </w:p>
    <w:p w14:paraId="11B4FDE3" w14:textId="2725CDA8" w:rsidR="00655ED1" w:rsidRPr="00DA249F" w:rsidRDefault="76A1686C" w:rsidP="728F2DAF">
      <w:pPr>
        <w:rPr>
          <w:highlight w:val="yellow"/>
          <w:lang w:val="en-GB"/>
        </w:rPr>
      </w:pPr>
      <w:r w:rsidRPr="00DA249F">
        <w:rPr>
          <w:lang w:val="en-GB"/>
        </w:rPr>
        <w:t>Changes in biodiversity and ecosystems</w:t>
      </w:r>
      <w:r w:rsidR="14571F19" w:rsidRPr="00DA249F">
        <w:rPr>
          <w:lang w:val="en-GB"/>
        </w:rPr>
        <w:t xml:space="preserve"> </w:t>
      </w:r>
      <w:r w:rsidR="560B4300" w:rsidRPr="00DA249F">
        <w:rPr>
          <w:lang w:val="en-GB"/>
        </w:rPr>
        <w:t xml:space="preserve">due to natural </w:t>
      </w:r>
      <w:r w:rsidR="71C9647E" w:rsidRPr="00DA249F">
        <w:rPr>
          <w:lang w:val="en-GB"/>
        </w:rPr>
        <w:t>drivers (i</w:t>
      </w:r>
      <w:r w:rsidR="5F25FF90" w:rsidRPr="00DA249F">
        <w:rPr>
          <w:lang w:val="en-GB"/>
        </w:rPr>
        <w:t>ncluding</w:t>
      </w:r>
      <w:r w:rsidR="71C9647E" w:rsidRPr="00DA249F">
        <w:rPr>
          <w:lang w:val="en-GB"/>
        </w:rPr>
        <w:t xml:space="preserve"> natural hazards) </w:t>
      </w:r>
      <w:r w:rsidR="0B363309" w:rsidRPr="00DA249F">
        <w:rPr>
          <w:lang w:val="en-GB"/>
        </w:rPr>
        <w:t>are</w:t>
      </w:r>
      <w:r w:rsidR="560B4300" w:rsidRPr="00DA249F">
        <w:rPr>
          <w:lang w:val="en-GB"/>
        </w:rPr>
        <w:t xml:space="preserve"> viewed as innate and integral </w:t>
      </w:r>
      <w:r w:rsidR="0D84D05A" w:rsidRPr="00DA249F">
        <w:rPr>
          <w:lang w:val="en-GB"/>
        </w:rPr>
        <w:t xml:space="preserve">processes and </w:t>
      </w:r>
      <w:r w:rsidR="560B4300" w:rsidRPr="00DA249F">
        <w:rPr>
          <w:lang w:val="en-GB"/>
        </w:rPr>
        <w:t>component</w:t>
      </w:r>
      <w:r w:rsidR="5826CDE9" w:rsidRPr="00DA249F">
        <w:rPr>
          <w:lang w:val="en-GB"/>
        </w:rPr>
        <w:t>s</w:t>
      </w:r>
      <w:r w:rsidR="560B4300" w:rsidRPr="00DA249F">
        <w:rPr>
          <w:lang w:val="en-GB"/>
        </w:rPr>
        <w:t xml:space="preserve"> of </w:t>
      </w:r>
      <w:r w:rsidR="0CC187A3" w:rsidRPr="00DA249F">
        <w:rPr>
          <w:lang w:val="en-GB"/>
        </w:rPr>
        <w:t>nature</w:t>
      </w:r>
      <w:r w:rsidR="73B63D96" w:rsidRPr="00DA249F">
        <w:rPr>
          <w:lang w:val="en-GB"/>
        </w:rPr>
        <w:t xml:space="preserve"> itself</w:t>
      </w:r>
      <w:r w:rsidR="3839BFA3">
        <w:rPr>
          <w:lang w:val="en-GB"/>
        </w:rPr>
        <w:t>,</w:t>
      </w:r>
      <w:r w:rsidR="59FBB409" w:rsidRPr="00DA249F">
        <w:rPr>
          <w:lang w:val="en-GB"/>
        </w:rPr>
        <w:t xml:space="preserve"> and </w:t>
      </w:r>
      <w:r w:rsidR="3EBFDA53" w:rsidRPr="00DA249F">
        <w:rPr>
          <w:lang w:val="en-GB"/>
        </w:rPr>
        <w:t xml:space="preserve">have </w:t>
      </w:r>
      <w:r w:rsidR="60298814" w:rsidRPr="00DA249F">
        <w:rPr>
          <w:lang w:val="en-GB"/>
        </w:rPr>
        <w:t xml:space="preserve">thus </w:t>
      </w:r>
      <w:r w:rsidR="59FBB409" w:rsidRPr="00DA249F">
        <w:rPr>
          <w:lang w:val="en-GB"/>
        </w:rPr>
        <w:t xml:space="preserve">not been </w:t>
      </w:r>
      <w:r w:rsidR="2AEB8825" w:rsidRPr="728F2DAF">
        <w:rPr>
          <w:lang w:val="en-GB"/>
        </w:rPr>
        <w:t xml:space="preserve">extensively </w:t>
      </w:r>
      <w:r w:rsidR="59FBB409" w:rsidRPr="00DA249F">
        <w:rPr>
          <w:lang w:val="en-GB"/>
        </w:rPr>
        <w:t xml:space="preserve">considered in prior IPBES assessments </w:t>
      </w:r>
      <w:r w:rsidR="34B49842" w:rsidRPr="00DA249F">
        <w:rPr>
          <w:lang w:val="en-GB"/>
        </w:rPr>
        <w:t xml:space="preserve">(e.g., </w:t>
      </w:r>
      <w:r w:rsidR="003F4499" w:rsidRPr="00DA249F">
        <w:rPr>
          <w:lang w:val="en-GB"/>
        </w:rPr>
        <w:fldChar w:fldCharType="begin"/>
      </w:r>
      <w:r w:rsidR="00F5121E">
        <w:rPr>
          <w:lang w:val="en-GB"/>
        </w:rPr>
        <w:instrText xml:space="preserve"> ADDIN ZOTERO_ITEM CSL_CITATION {"citationID":"t4ORMk9l","properties":{"formattedCitation":"(IPBES, 2019)","plainCitation":"(IPBES, 2019)","dontUpdate":true,"noteIndex":0},"citationItems":[{"id":53933,"uris":["http://zotero.org/groups/2352922/items/JYFISR8Z","http://zotero.org/groups/2352922/items/ZACZGHZL"],"itemData":{"id":53933,"type":"report","abstract":"IPBES is to perform regular and timely assessments of knowledge on biodiversity and ecosystem services and their interlinkages at the global level. Also addressing an invitation by the Conference of the Parties of the Convention on Biological Diversity (CBD) to prepare a global assessment of biodiversity and ecosystem services building, inter alia, on its own and other relevant regional, subregional and thematic assessments, as well as on national reports. The overall scope of the assessment is to assess the status and trends with regard to biodiversity and ecosystem services, the impact of biodiversity and ecosystem services on human well-being and the effectiveness of responses, including the Strategic Plan and its Aichi Biodiversity Targets. It is anticipated that this deliverable will contribute to the process for the evaluation and renewal of the Strategic Plan for Biodiversity and its Aichi Biodiversity Targets. The IPBES Global Assessment on Biodiversity and Ecosystem Services is composed of 1) a Summary for Policymakers (SPM), approved by the IPBES Plenary at its 7th session in May 2019 in Paris, France (IPBES-7); and 2) a set of six Chapters, accepted by the IPBES Plenary.","language":"en","license":"Creative Commons Attribution 4.0 International, Open Access","note":"Version Number 1\nDOI: 10.5281/ZENODO.3831673","publisher":"Secretariat of the Intergovernmental Science-Policy Platform on Biodiversity and Ecosystem Services","source":"DOI.org (Datacite)","title":"Global assessment report on biodiversity and ecosystem services of the Intergovernmental Science-Policy Platform on Biodiversity and Ecosystem Services","URL":"https://zenodo.org/record/3831673","author":[{"literal":"IPBES"}],"contributor":[{"family":"Brondizio","given":"Eduardo"},{"family":"Diaz","given":"Sandra"},{"family":"Settele","given":"Josef"},{"family":"Ngo","given":"Hien T."}],"accessed":{"date-parts":[["2023",1,5]]},"issued":{"date-parts":[["2019"]]}},"label":"page"}],"schema":"https://github.com/citation-style-language/schema/raw/master/csl-citation.json"} </w:instrText>
      </w:r>
      <w:r w:rsidR="003F4499" w:rsidRPr="00DA249F">
        <w:rPr>
          <w:lang w:val="en-GB"/>
        </w:rPr>
        <w:fldChar w:fldCharType="separate"/>
      </w:r>
      <w:r w:rsidR="49B1FBB7" w:rsidRPr="00536538">
        <w:t>IPBES, 2019)</w:t>
      </w:r>
      <w:r w:rsidR="003F4499" w:rsidRPr="00DA249F">
        <w:rPr>
          <w:lang w:val="en-GB"/>
        </w:rPr>
        <w:fldChar w:fldCharType="end"/>
      </w:r>
      <w:r w:rsidR="34B49842" w:rsidRPr="00DA249F">
        <w:rPr>
          <w:lang w:val="en-GB"/>
        </w:rPr>
        <w:t xml:space="preserve">. </w:t>
      </w:r>
      <w:r w:rsidR="560B4300" w:rsidRPr="00DA249F">
        <w:rPr>
          <w:lang w:val="en-GB"/>
        </w:rPr>
        <w:t xml:space="preserve">However, natural </w:t>
      </w:r>
      <w:r w:rsidR="71C9647E" w:rsidRPr="00DA249F">
        <w:rPr>
          <w:lang w:val="en-GB"/>
        </w:rPr>
        <w:t xml:space="preserve">drivers </w:t>
      </w:r>
      <w:r w:rsidR="560B4300" w:rsidRPr="00DA249F">
        <w:rPr>
          <w:lang w:val="en-GB"/>
        </w:rPr>
        <w:t xml:space="preserve">can play a significant </w:t>
      </w:r>
      <w:r w:rsidR="595167B2" w:rsidRPr="00DA249F">
        <w:rPr>
          <w:lang w:val="en-GB"/>
        </w:rPr>
        <w:t xml:space="preserve">direct </w:t>
      </w:r>
      <w:r w:rsidR="560B4300" w:rsidRPr="00DA249F">
        <w:rPr>
          <w:lang w:val="en-GB"/>
        </w:rPr>
        <w:t xml:space="preserve">role in the transport, introduction, establishment and spread of invasive alien species both within and beyond their prior </w:t>
      </w:r>
      <w:r w:rsidR="14571F19" w:rsidRPr="00DA249F">
        <w:rPr>
          <w:lang w:val="en-GB"/>
        </w:rPr>
        <w:t xml:space="preserve">invaded </w:t>
      </w:r>
      <w:r w:rsidR="560B4300" w:rsidRPr="00DA249F">
        <w:rPr>
          <w:lang w:val="en-GB"/>
        </w:rPr>
        <w:t>range</w:t>
      </w:r>
      <w:r w:rsidR="309E2320" w:rsidRPr="00DA249F">
        <w:rPr>
          <w:lang w:val="en-GB"/>
        </w:rPr>
        <w:t xml:space="preserve"> (</w:t>
      </w:r>
      <w:r w:rsidR="00E23B69">
        <w:rPr>
          <w:b/>
          <w:bCs/>
          <w:lang w:val="en-GB" w:eastAsia="en-NZ"/>
        </w:rPr>
        <w:t>Glossary</w:t>
      </w:r>
      <w:r w:rsidR="309E2320" w:rsidRPr="00DA249F">
        <w:rPr>
          <w:lang w:val="en-GB" w:eastAsia="en-NZ"/>
        </w:rPr>
        <w:t>)</w:t>
      </w:r>
      <w:r w:rsidR="560B4300" w:rsidRPr="00DA249F">
        <w:rPr>
          <w:lang w:val="en-GB"/>
        </w:rPr>
        <w:t xml:space="preserve">. </w:t>
      </w:r>
      <w:r w:rsidR="473253E6" w:rsidRPr="00DA249F">
        <w:rPr>
          <w:lang w:val="en-GB"/>
        </w:rPr>
        <w:t xml:space="preserve">Natural </w:t>
      </w:r>
      <w:r w:rsidR="2996F55B" w:rsidRPr="00DA249F">
        <w:rPr>
          <w:lang w:val="en-GB"/>
        </w:rPr>
        <w:t>large</w:t>
      </w:r>
      <w:r w:rsidR="6B3E13E4" w:rsidRPr="00DA249F">
        <w:rPr>
          <w:lang w:val="en-GB"/>
        </w:rPr>
        <w:t>-</w:t>
      </w:r>
      <w:r w:rsidR="2996F55B" w:rsidRPr="00DA249F">
        <w:rPr>
          <w:lang w:val="en-GB"/>
        </w:rPr>
        <w:t xml:space="preserve">scale disturbances, such as hurricanes, earthquakes and tsunamis can facilitate the </w:t>
      </w:r>
      <w:r w:rsidR="7FE67DC7" w:rsidRPr="00DA249F">
        <w:rPr>
          <w:lang w:val="en-GB"/>
        </w:rPr>
        <w:t xml:space="preserve">further </w:t>
      </w:r>
      <w:r w:rsidR="2996F55B" w:rsidRPr="00DA249F">
        <w:rPr>
          <w:lang w:val="en-GB"/>
        </w:rPr>
        <w:t xml:space="preserve">introduction of alien species from </w:t>
      </w:r>
      <w:r w:rsidR="3FFBD728" w:rsidRPr="00DA249F">
        <w:rPr>
          <w:lang w:val="en-GB"/>
        </w:rPr>
        <w:t xml:space="preserve">an </w:t>
      </w:r>
      <w:r w:rsidR="14571F19" w:rsidRPr="00DA249F">
        <w:rPr>
          <w:lang w:val="en-GB"/>
        </w:rPr>
        <w:t xml:space="preserve">existing invaded </w:t>
      </w:r>
      <w:r w:rsidR="2996F55B" w:rsidRPr="00DA249F">
        <w:rPr>
          <w:lang w:val="en-GB"/>
        </w:rPr>
        <w:t>range to new regions</w:t>
      </w:r>
      <w:r w:rsidR="4ACB33D0" w:rsidRPr="00DA249F">
        <w:rPr>
          <w:lang w:val="en-GB"/>
        </w:rPr>
        <w:t xml:space="preserve">, </w:t>
      </w:r>
      <w:r w:rsidR="14571F19" w:rsidRPr="00DA249F">
        <w:rPr>
          <w:lang w:val="en-GB"/>
        </w:rPr>
        <w:t xml:space="preserve">consequently </w:t>
      </w:r>
      <w:r w:rsidR="4ACB33D0" w:rsidRPr="00DA249F">
        <w:rPr>
          <w:lang w:val="en-GB"/>
        </w:rPr>
        <w:t>expanding the inva</w:t>
      </w:r>
      <w:r w:rsidR="67B5F13B" w:rsidRPr="00DA249F">
        <w:rPr>
          <w:lang w:val="en-GB"/>
        </w:rPr>
        <w:t>ded</w:t>
      </w:r>
      <w:r w:rsidR="4ACB33D0" w:rsidRPr="00DA249F">
        <w:rPr>
          <w:lang w:val="en-GB"/>
        </w:rPr>
        <w:t xml:space="preserve"> range</w:t>
      </w:r>
      <w:r w:rsidR="179389E9" w:rsidRPr="00DA249F">
        <w:rPr>
          <w:lang w:val="en-GB"/>
        </w:rPr>
        <w:t xml:space="preserve"> </w:t>
      </w:r>
      <w:r w:rsidR="008041AB" w:rsidRPr="00DA249F">
        <w:rPr>
          <w:lang w:val="en-GB"/>
        </w:rPr>
        <w:fldChar w:fldCharType="begin"/>
      </w:r>
      <w:r w:rsidR="00331A79">
        <w:rPr>
          <w:lang w:val="en-GB"/>
        </w:rPr>
        <w:instrText xml:space="preserve"> ADDIN ZOTERO_ITEM CSL_CITATION {"citationID":"YK9TTcwY","properties":{"formattedCitation":"(Carlton et al., 2017)","plainCitation":"(Carlton et al., 2017)","noteIndex":0},"citationItems":[{"id":29785,"uris":["http://zotero.org/groups/2352922/items/3XYA9X8T"],"itemData":{"id":29785,"type":"article-journal","abstract":"The 2011 East Japan earthquake generated a massive tsunami that launched an extraordinary transoceanic biological rafting event with no known historical precedent. We document 289 living Japanese coastal marine species from 16 phyla transported over 6 years on objects that traveled thousands of kilometers across the Pacific Ocean to the shores of North America and Hawai‘i. Most of this dispersal occurred on nonbiodegradable objects, resulting in the longest documented transoceanic survival and dispersal of coastal species by rafting. Expanding shoreline infrastructure has increased global sources of plastic materials available for biotic colonization and also interacts with climate change–induced storms of increasing severity to eject debris into the oceans. In turn, increased ocean rafting may intensify species invasions.","container-title":"Science","DOI":"10.1126/science.aao1498","ISSN":"0036-8075, 1095-9203","issue":"6358","journalAbbreviation":"Science","language":"en","page":"1402-1406","source":"DOI.org (Crossref)","title":"Tsunami-driven rafting: Transoceanic species dispersal and implications for marine biogeography","title-short":"Tsunami-driven rafting","URL":"https://www.sciencemag.org/lookup/doi/10.1126/science.aao1498","volume":"357","author":[{"family":"Carlton","given":"James T."},{"family":"Chapman","given":"John W."},{"family":"Geller","given":"Jonathan B."},{"family":"Miller","given":"Jessica A."},{"family":"Carlton","given":"Deborah A."},{"family":"McCuller","given":"Megan I."},{"family":"Treneman","given":"Nancy C."},{"family":"Steves","given":"Brian P."},{"family":"Ruiz","given":"Gregory M."}],"accessed":{"date-parts":[["2021",8,6]]},"issued":{"date-parts":[["2017",9,29]]}}}],"schema":"https://github.com/citation-style-language/schema/raw/master/csl-citation.json"} </w:instrText>
      </w:r>
      <w:r w:rsidR="008041AB" w:rsidRPr="00DA249F">
        <w:rPr>
          <w:lang w:val="en-GB"/>
        </w:rPr>
        <w:fldChar w:fldCharType="separate"/>
      </w:r>
      <w:r w:rsidR="73B99EB6" w:rsidRPr="00144D96">
        <w:t>(Carlton et al., 2017)</w:t>
      </w:r>
      <w:r w:rsidR="008041AB" w:rsidRPr="00DA249F">
        <w:rPr>
          <w:lang w:val="en-GB"/>
        </w:rPr>
        <w:fldChar w:fldCharType="end"/>
      </w:r>
      <w:r w:rsidR="2996F55B" w:rsidRPr="00DA249F">
        <w:rPr>
          <w:lang w:val="en-GB"/>
        </w:rPr>
        <w:t xml:space="preserve"> as well as </w:t>
      </w:r>
      <w:r w:rsidR="3FFBD728" w:rsidRPr="00DA249F">
        <w:rPr>
          <w:lang w:val="en-GB"/>
        </w:rPr>
        <w:t>facilitating</w:t>
      </w:r>
      <w:r w:rsidR="2996F55B" w:rsidRPr="00DA249F">
        <w:rPr>
          <w:lang w:val="en-GB"/>
        </w:rPr>
        <w:t xml:space="preserve"> their wider spread</w:t>
      </w:r>
      <w:r w:rsidR="22DDFE2D" w:rsidRPr="00DA249F">
        <w:rPr>
          <w:lang w:val="en-GB"/>
        </w:rPr>
        <w:t xml:space="preserve"> in regions where they are already present</w:t>
      </w:r>
      <w:r w:rsidR="2996F55B" w:rsidRPr="00DA249F">
        <w:rPr>
          <w:lang w:val="en-GB"/>
        </w:rPr>
        <w:t xml:space="preserve"> </w:t>
      </w:r>
      <w:r w:rsidR="5C89F80E" w:rsidRPr="00DA249F">
        <w:rPr>
          <w:lang w:val="en-GB"/>
        </w:rPr>
        <w:t>as alien species</w:t>
      </w:r>
      <w:r w:rsidR="2996F55B" w:rsidRPr="00DA249F">
        <w:rPr>
          <w:lang w:val="en-GB"/>
        </w:rPr>
        <w:t xml:space="preserve"> </w:t>
      </w:r>
      <w:r w:rsidR="008041AB" w:rsidRPr="00DA249F">
        <w:rPr>
          <w:lang w:val="en-GB"/>
        </w:rPr>
        <w:fldChar w:fldCharType="begin"/>
      </w:r>
      <w:r w:rsidR="00331A79">
        <w:rPr>
          <w:lang w:val="en-GB"/>
        </w:rPr>
        <w:instrText xml:space="preserve"> ADDIN ZOTERO_ITEM CSL_CITATION {"citationID":"HtPPKeho","properties":{"formattedCitation":"(Bellingham et al., 2005)","plainCitation":"(Bellingham et al., 2005)","noteIndex":0},"citationItems":[{"id":15436,"uris":["http://zotero.org/groups/2352922/items/H5GECU2S"],"itemData":{"id":15436,"type":"article-journal","abstract":"Questions: Do past disturbance, soil nutrients, or species diversity predict the invasion success of the alien tree Pitto-sporum undulatum in an island montane rain forest? What are the consequences of its invasion for forest composition and species diversity? Location: Blue Mountains, Jamaica. Methods: Censuses of trees &gt;= 3 cm DBH in permanent plots in four sites within ca. 7 ha; 1974-2004 (intensive sites) and in 16 plots within 250 ha; 1990-2004 (extensive plots). Results: Pittosporum was unrecorded in the intensive sites before a severe hurricane in 1988: by 2004 all four sites were invaded. Pittosporum had invaded 25% of the extensive plots in 1990 and 69% in 2004, where its basal area increased from 0.5 +/- 0.4 (SEM) m(2).ha(-1) in 1990 to 2.8 +/- 1.3 m(2).ha(-1) in 2004. It had zero stem mortality and diameter growth rate exceeded that of native species fourfold. Pittosporum's basal area in the extensive plots in 2004 was positively related to the stand basal area damaged in the 1988 hurricane and negatively related to soil N concentrations. Pittosporum invasion was unrelated to stand-level tree species diversity in the extensive plots but as its basal area increased over time the basal area of native species and stand-level diversity declined. Conclusions: There are no obvious functional attributes of Pittosporum unrepresented in the native tree flora although it has high photosynthetic efficiency compared with native trees. More widespread invasion of these forests by Pittosporum seems inevitable since hurricanes, which accelerated the invasion, affect these forests frequently.","container-title":"Journal of Vegetation Science","ISSN":"1100-9233","issue":"6","note":"WOS:000234454500008","page":"675-684","title":"Hurricane disturbance accelerates invasion by the alien tree &lt;i&gt;Pittosporum undulatum&lt;/i&gt; in Jamaican montane rain forests","volume":"16","author":[{"family":"Bellingham","given":"P. J."},{"family":"Tanner","given":"E. V. J."},{"family":"Healey","given":"J. R."}],"issued":{"date-parts":[["2005",12]]}}}],"schema":"https://github.com/citation-style-language/schema/raw/master/csl-citation.json"} </w:instrText>
      </w:r>
      <w:r w:rsidR="008041AB" w:rsidRPr="00DA249F">
        <w:rPr>
          <w:lang w:val="en-GB"/>
        </w:rPr>
        <w:fldChar w:fldCharType="separate"/>
      </w:r>
      <w:r w:rsidR="73B99EB6" w:rsidRPr="00144D96">
        <w:t>(Bellingham et al., 2005)</w:t>
      </w:r>
      <w:r w:rsidR="008041AB" w:rsidRPr="00DA249F">
        <w:rPr>
          <w:lang w:val="en-GB"/>
        </w:rPr>
        <w:fldChar w:fldCharType="end"/>
      </w:r>
      <w:r w:rsidR="2996F55B" w:rsidRPr="00DA249F">
        <w:rPr>
          <w:lang w:val="en-GB"/>
        </w:rPr>
        <w:t>.</w:t>
      </w:r>
      <w:r w:rsidR="179389E9" w:rsidRPr="00DA249F">
        <w:rPr>
          <w:lang w:val="en-GB"/>
        </w:rPr>
        <w:t xml:space="preserve"> </w:t>
      </w:r>
      <w:r w:rsidR="0206A6AC" w:rsidRPr="00DA249F">
        <w:rPr>
          <w:lang w:val="en-GB"/>
        </w:rPr>
        <w:t xml:space="preserve">For example, hurricanes appear responsible for the spread of </w:t>
      </w:r>
      <w:r w:rsidR="0551B607" w:rsidRPr="728F2DAF">
        <w:rPr>
          <w:i/>
          <w:iCs/>
          <w:lang w:val="en-GB"/>
        </w:rPr>
        <w:t>Cactoblastis cactorum</w:t>
      </w:r>
      <w:r w:rsidR="0551B607" w:rsidRPr="00DA249F">
        <w:rPr>
          <w:lang w:val="en-GB"/>
        </w:rPr>
        <w:t xml:space="preserve"> </w:t>
      </w:r>
      <w:r w:rsidR="0206A6AC" w:rsidRPr="00DA249F">
        <w:rPr>
          <w:lang w:val="en-GB"/>
        </w:rPr>
        <w:t>(</w:t>
      </w:r>
      <w:r w:rsidR="0551B607" w:rsidRPr="00DA249F">
        <w:rPr>
          <w:lang w:val="en-GB"/>
        </w:rPr>
        <w:t>cactus moth</w:t>
      </w:r>
      <w:r w:rsidR="0206A6AC" w:rsidRPr="00DA249F">
        <w:rPr>
          <w:lang w:val="en-GB"/>
        </w:rPr>
        <w:t xml:space="preserve">) between Caribbean islands </w:t>
      </w:r>
      <w:r w:rsidR="008041AB" w:rsidRPr="00DA249F">
        <w:rPr>
          <w:lang w:val="en-GB"/>
        </w:rPr>
        <w:fldChar w:fldCharType="begin"/>
      </w:r>
      <w:r w:rsidR="00331A79">
        <w:rPr>
          <w:lang w:val="en-GB"/>
        </w:rPr>
        <w:instrText xml:space="preserve"> ADDIN ZOTERO_ITEM CSL_CITATION {"citationID":"WRtgdaXw","properties":{"formattedCitation":"(Andraca-G\\uc0\\u243{}mez et al., 2015)","plainCitation":"(Andraca-Gómez et al., 2015)","noteIndex":0},"citationItems":[{"id":29780,"uris":["http://zotero.org/groups/2352922/items/2MS7HT2M"],"itemData":{"id":29780,"type":"article-journal","abstract":"The cactus moth, Cactoblastis cactorum mainly distributed throughout central and northeastern Argentina was intentionally introduced in the Caribbean region in 1957 as a biological control agent of cacti species of the genus Opuntia. This moth invaded during the last 20-30 years the North American continent, threatening the major center of biodiversity of native Opuntia species. Although human induced and natural dispersal have been invocated to explain its expansion in the non-native distribution range, there is still no evidence to support natural dispersal. In particular, hurricanes are one of the major environmental factors affecting species dispersal in the region. In this study we used mitochondrial DNA to examine whether the spatial distribution of haplotype variation of C. cactorum is at least partially explained by hurricane trajectories within the Caribbean region. DNA sequences for the mitochondrial gene cytochrome oxidase I were obtained for a sample of 110 individuals from the Antillean islands. This information was combined with existing sequences in the GenBank for the same gene for the Caribbean and Florida (N = 132 sequences). Genetic diversity descriptors, a haplotypic network, a spatial analyses of molecular variance and a landscape genetic analysis of migration conditioned by hurricane tracks were conducted to test our hypothesis. Our results revealed a significant spatial grouping of haplotypes consistent with the more frequent hurricane trajectories in the Caribbean region. Significant isolation by distance conditioned by hurricane tracks was detected. Populations of Florida were genetically closer to those of Cuba than to the rest of the population sampled. Within the region, Cuba appears as a reservoir of genetic diversity increasing the risk of invasion to Mexico and the US. Despite commercial transportation of Opuntia promoted dispersal to Florida, our results support the hypothesis that natural disturbances such as hurricanes played a role dispersing this invasive insect. Future conservation programs of North American Opuntia species requires taking into account hurricane mediated dispersal events and permanent whole regional monitoring and international control policies to prevent future range expansions of C. cactorum.","container-title":"Biological Invasions","DOI":"10.1007/s10530-014-0802-2","issue":"5","page":"1397-1406","title":"A potential invasion route of &lt;i&gt;Cactoblastis cactorum&lt;/i&gt; within the Caribbean region matches historical hurricane trajectories","volume":"17","author":[{"family":"Andraca-Gómez","given":"Guadalupe"},{"family":"Ordano","given":"Mariano"},{"family":"Boege","given":"Karina"},{"family":"Domínguez","given":"César A."},{"family":"Piñero","given":"Daniel"},{"family":"Pérez-Ishiwara","given":""},{"family":"Pérez-Camacho","given":"Jacqueline"},{"family":"Cañizares","given":"Maikel"},{"family":"Fornoni","given":"Juan"}],"issued":{"date-parts":[["2015"]]}}}],"schema":"https://github.com/citation-style-language/schema/raw/master/csl-citation.json"} </w:instrText>
      </w:r>
      <w:r w:rsidR="008041AB" w:rsidRPr="00DA249F">
        <w:rPr>
          <w:lang w:val="en-GB"/>
        </w:rPr>
        <w:fldChar w:fldCharType="separate"/>
      </w:r>
      <w:r w:rsidR="73B99EB6" w:rsidRPr="5575EBFC">
        <w:t>(Andraca-Gómez et al., 2015)</w:t>
      </w:r>
      <w:r w:rsidR="008041AB" w:rsidRPr="00DA249F">
        <w:rPr>
          <w:lang w:val="en-GB"/>
        </w:rPr>
        <w:fldChar w:fldCharType="end"/>
      </w:r>
      <w:r w:rsidR="0206A6AC" w:rsidRPr="00DA249F">
        <w:rPr>
          <w:lang w:val="en-GB"/>
        </w:rPr>
        <w:t xml:space="preserve">, the expansion of </w:t>
      </w:r>
      <w:r w:rsidR="61C13986" w:rsidRPr="728F2DAF">
        <w:rPr>
          <w:i/>
          <w:iCs/>
          <w:lang w:val="en-GB"/>
        </w:rPr>
        <w:t>Phragmites australis</w:t>
      </w:r>
      <w:r w:rsidR="61C13986" w:rsidRPr="00DA249F">
        <w:rPr>
          <w:lang w:val="en-GB"/>
        </w:rPr>
        <w:t xml:space="preserve"> </w:t>
      </w:r>
      <w:r w:rsidR="0206A6AC" w:rsidRPr="00DA249F">
        <w:rPr>
          <w:lang w:val="en-GB"/>
        </w:rPr>
        <w:t>(</w:t>
      </w:r>
      <w:r w:rsidR="5B02390D" w:rsidRPr="00DA249F">
        <w:rPr>
          <w:lang w:val="en-GB"/>
        </w:rPr>
        <w:t>common reed</w:t>
      </w:r>
      <w:r w:rsidR="0206A6AC" w:rsidRPr="00DA249F">
        <w:rPr>
          <w:lang w:val="en-GB"/>
        </w:rPr>
        <w:t xml:space="preserve">) in the Gulf of Mexico </w:t>
      </w:r>
      <w:r w:rsidR="008041AB" w:rsidRPr="00DA249F">
        <w:rPr>
          <w:lang w:val="en-GB"/>
        </w:rPr>
        <w:fldChar w:fldCharType="begin"/>
      </w:r>
      <w:r w:rsidR="00710AC3">
        <w:rPr>
          <w:lang w:val="en-GB"/>
        </w:rPr>
        <w:instrText xml:space="preserve"> ADDIN ZOTERO_ITEM CSL_CITATION {"citationID":"MN1qb16Y","properties":{"formattedCitation":"(G. P. Bhattarai &amp; Cronin, 2014)","plainCitation":"(G. P. Bhattarai &amp; Cronin, 2014)","dontUpdate":true,"noteIndex":0},"citationItems":[{"id":29788,"uris":["http://zotero.org/groups/2352922/items/X8XJMN8A"],"itemData":{"id":29788,"type":"article-journal","abstract":"Disturbances are a primary facilitator of the growth and spread of invasive species. However, the effects of large-scale disturbances, such as hurricanes and tropical storms, on the broad geographic patterns of invasive species growth and spread have not been investigated. We used historical aerial imagery to determine the growth rate of invasive Phragmites australis patches in wetlands along the Atlantic and Gulf Coasts of the United States. These were relatively undisturbed wetlands where P. australis had room for unrestricted growth. Over the past several decades, invasive P. australis stands expanded in size by 6–35% per year. Based on tropical storm and hurricane activity over that same time period, we found that the frequency of hurricane-force winds explained 81% of the variation in P. australis growth over this broad geographic range. The expansion of P. australis stands was strongly and positively correlated with hurricane frequency. In light of the many climatic models that predict an increase in the frequency and intensity of hurricanes over the next century, these results suggest a strong link between climate change and species invasion and a challenging future ahead for the management of invasive species.","container-title":"PLoS ONE","DOI":"10.1371/journal.pone.0098478","ISSN":"1932-6203","issue":"5","journalAbbreviation":"PLoS ONE","language":"en","page":"e98478","source":"PLoS Journals","title":"Hurricane Activity and the Large-Scale Pattern of Spread of an Invasive Plant Species","URL":"https://journals.plos.org/plosone/article?id=10.1371/journal.pone.0098478","volume":"9","author":[{"family":"Bhattarai","given":"Ganesh P."},{"family":"Cronin","given":"James T."}],"accessed":{"date-parts":[["2019",10,25]]},"issued":{"date-parts":[["2014",5,30]]}}}],"schema":"https://github.com/citation-style-language/schema/raw/master/csl-citation.json"} </w:instrText>
      </w:r>
      <w:r w:rsidR="008041AB" w:rsidRPr="00DA249F">
        <w:rPr>
          <w:lang w:val="en-GB"/>
        </w:rPr>
        <w:fldChar w:fldCharType="separate"/>
      </w:r>
      <w:r w:rsidR="67BCE088" w:rsidRPr="00DA249F">
        <w:rPr>
          <w:lang w:val="en-GB"/>
        </w:rPr>
        <w:t>(Bhattarai &amp; Cronin, 2014)</w:t>
      </w:r>
      <w:r w:rsidR="008041AB" w:rsidRPr="00DA249F">
        <w:rPr>
          <w:lang w:val="en-GB"/>
        </w:rPr>
        <w:fldChar w:fldCharType="end"/>
      </w:r>
      <w:r w:rsidR="2C4E12AF" w:rsidRPr="00DA249F">
        <w:rPr>
          <w:lang w:val="en-GB"/>
        </w:rPr>
        <w:t>,</w:t>
      </w:r>
      <w:r w:rsidR="0206A6AC" w:rsidRPr="00DA249F">
        <w:rPr>
          <w:lang w:val="en-GB"/>
        </w:rPr>
        <w:t xml:space="preserve"> and </w:t>
      </w:r>
      <w:r w:rsidR="36174A00" w:rsidRPr="00DA249F">
        <w:rPr>
          <w:lang w:val="en-GB"/>
        </w:rPr>
        <w:t>increased</w:t>
      </w:r>
      <w:r w:rsidR="0206A6AC" w:rsidRPr="00DA249F">
        <w:rPr>
          <w:lang w:val="en-GB"/>
        </w:rPr>
        <w:t xml:space="preserve"> rates of recruitment and persistence of invasive alien trees in the subtropical forests of Puerto Rico </w:t>
      </w:r>
      <w:r w:rsidR="008041AB" w:rsidRPr="00DA249F">
        <w:rPr>
          <w:lang w:val="en-GB"/>
        </w:rPr>
        <w:fldChar w:fldCharType="begin"/>
      </w:r>
      <w:r w:rsidR="00331A79">
        <w:rPr>
          <w:lang w:val="en-GB"/>
        </w:rPr>
        <w:instrText xml:space="preserve"> ADDIN ZOTERO_ITEM CSL_CITATION {"citationID":"nzJ5BIsZ","properties":{"formattedCitation":"(J. Thompson et al., 2007)","plainCitation":"(J. Thompson et al., 2007)","dontUpdate":true,"noteIndex":0},"citationItems":[{"id":29518,"uris":["http://zotero.org/groups/2352922/items/TMGAUZVN"],"itemData":{"id":29518,"type":"article-journal","container-title":"Plant Ecology","DOI":"10.1007/s11258-007-9318-5","language":"en","page":"289–301","title":"Land use history, hurricane disturbance, and the fate of introduced species in a subtropical wet forest in Puerto Rico","URL":"https://link.springer.com/article/10.1007/s11258-007-9318-5","volume":"192","author":[{"family":"Thompson","given":"J."},{"family":"Lugo","given":"A.E."},{"family":"Thomlinson","given":"J."}],"issued":{"date-parts":[["2007"]]}}}],"schema":"https://github.com/citation-style-language/schema/raw/master/csl-citation.json"} </w:instrText>
      </w:r>
      <w:r w:rsidR="008041AB" w:rsidRPr="00DA249F">
        <w:rPr>
          <w:lang w:val="en-GB"/>
        </w:rPr>
        <w:fldChar w:fldCharType="separate"/>
      </w:r>
      <w:r w:rsidR="27CFD4F3" w:rsidRPr="00DA249F">
        <w:rPr>
          <w:lang w:val="en-GB"/>
        </w:rPr>
        <w:t>(</w:t>
      </w:r>
      <w:r w:rsidR="1B3C989D" w:rsidRPr="00DA249F">
        <w:rPr>
          <w:lang w:val="en-GB"/>
        </w:rPr>
        <w:t>Thompson et al., 2007)</w:t>
      </w:r>
      <w:r w:rsidR="008041AB" w:rsidRPr="00DA249F">
        <w:rPr>
          <w:lang w:val="en-GB"/>
        </w:rPr>
        <w:fldChar w:fldCharType="end"/>
      </w:r>
      <w:r w:rsidR="0206A6AC" w:rsidRPr="00DA249F">
        <w:rPr>
          <w:lang w:val="en-GB"/>
        </w:rPr>
        <w:t>.</w:t>
      </w:r>
      <w:r w:rsidR="595167B2" w:rsidRPr="00DA249F">
        <w:rPr>
          <w:lang w:val="en-GB"/>
        </w:rPr>
        <w:t xml:space="preserve"> </w:t>
      </w:r>
      <w:r w:rsidR="5EC7B0BF" w:rsidRPr="728F2DAF">
        <w:rPr>
          <w:lang w:val="en-GB"/>
        </w:rPr>
        <w:t xml:space="preserve">While native biodiversity is a major component of nature and nature’s contributions to people, and thus has been considered as a key response variable in previous IPBES assessments </w:t>
      </w:r>
      <w:r w:rsidR="000B2B0A" w:rsidRPr="728F2DAF">
        <w:rPr>
          <w:lang w:val="en-GB"/>
        </w:rPr>
        <w:fldChar w:fldCharType="begin"/>
      </w:r>
      <w:r w:rsidR="00F5121E">
        <w:rPr>
          <w:lang w:val="en-GB"/>
        </w:rPr>
        <w:instrText xml:space="preserve"> ADDIN ZOTERO_ITEM CSL_CITATION {"citationID":"NCN70N8s","properties":{"formattedCitation":"(IPBES, 2019)","plainCitation":"(IPBES, 2019)","noteIndex":0},"citationItems":[{"id":53933,"uris":["http://zotero.org/groups/2352922/items/JYFISR8Z","http://zotero.org/groups/2352922/items/ZACZGHZL"],"itemData":{"id":53933,"type":"report","abstract":"IPBES is to perform regular and timely assessments of knowledge on biodiversity and ecosystem services and their interlinkages at the global level. Also addressing an invitation by the Conference of the Parties of the Convention on Biological Diversity (CBD) to prepare a global assessment of biodiversity and ecosystem services building, inter alia, on its own and other relevant regional, subregional and thematic assessments, as well as on national reports. The overall scope of the assessment is to assess the status and trends with regard to biodiversity and ecosystem services, the impact of biodiversity and ecosystem services on human well-being and the effectiveness of responses, including the Strategic Plan and its Aichi Biodiversity Targets. It is anticipated that this deliverable will contribute to the process for the evaluation and renewal of the Strategic Plan for Biodiversity and its Aichi Biodiversity Targets. The IPBES Global Assessment on Biodiversity and Ecosystem Services is composed of 1) a Summary for Policymakers (SPM), approved by the IPBES Plenary at its 7th session in May 2019 in Paris, France (IPBES-7); and 2) a set of six Chapters, accepted by the IPBES Plenary.","language":"en","license":"Creative Commons Attribution 4.0 International, Open Access","note":"Version Number 1\nDOI: 10.5281/ZENODO.3831673","publisher":"Secretariat of the Intergovernmental Science-Policy Platform on Biodiversity and Ecosystem Services","source":"DOI.org (Datacite)","title":"Global assessment report on biodiversity and ecosystem services of the Intergovernmental Science-Policy Platform on Biodiversity and Ecosystem Services","URL":"https://zenodo.org/record/3831673","author":[{"literal":"IPBES"}],"contributor":[{"family":"Brondizio","given":"Eduardo"},{"family":"Diaz","given":"Sandra"},{"family":"Settele","given":"Josef"},{"family":"Ngo","given":"Hien T."}],"accessed":{"date-parts":[["2023",1,5]]},"issued":{"date-parts":[["2019"]]}}}],"schema":"https://github.com/citation-style-language/schema/raw/master/csl-citation.json"} </w:instrText>
      </w:r>
      <w:r w:rsidR="000B2B0A" w:rsidRPr="728F2DAF">
        <w:rPr>
          <w:lang w:val="en-GB"/>
        </w:rPr>
        <w:fldChar w:fldCharType="separate"/>
      </w:r>
      <w:r w:rsidR="5EC7B0BF">
        <w:t>(IPBES, 2019)</w:t>
      </w:r>
      <w:r w:rsidR="000B2B0A" w:rsidRPr="728F2DAF">
        <w:rPr>
          <w:lang w:val="en-GB"/>
        </w:rPr>
        <w:fldChar w:fldCharType="end"/>
      </w:r>
      <w:r w:rsidR="5EC7B0BF" w:rsidRPr="728F2DAF">
        <w:rPr>
          <w:lang w:val="en-GB"/>
        </w:rPr>
        <w:t xml:space="preserve">, for invasive alien species </w:t>
      </w:r>
      <w:r w:rsidR="00FD249C">
        <w:rPr>
          <w:lang w:val="en-GB"/>
        </w:rPr>
        <w:t>biodiversity loss</w:t>
      </w:r>
      <w:r w:rsidR="5EC7B0BF" w:rsidRPr="728F2DAF">
        <w:rPr>
          <w:lang w:val="en-GB"/>
        </w:rPr>
        <w:t xml:space="preserve"> can also be seen as a driver that facilitates biological invasions since </w:t>
      </w:r>
      <w:r w:rsidR="784CA0D7" w:rsidRPr="728F2DAF">
        <w:rPr>
          <w:lang w:val="en-GB"/>
        </w:rPr>
        <w:t xml:space="preserve">loss of </w:t>
      </w:r>
      <w:r w:rsidR="5EC7B0BF" w:rsidRPr="728F2DAF">
        <w:rPr>
          <w:lang w:val="en-GB"/>
        </w:rPr>
        <w:t xml:space="preserve">biodiversity, and especially reduced functional complexity and/or integrity of ecosystems, </w:t>
      </w:r>
      <w:r w:rsidR="6EABA2B4" w:rsidRPr="728F2DAF">
        <w:rPr>
          <w:lang w:val="en-GB"/>
        </w:rPr>
        <w:t>can</w:t>
      </w:r>
      <w:r w:rsidR="5EC7B0BF" w:rsidRPr="728F2DAF">
        <w:rPr>
          <w:lang w:val="en-GB"/>
        </w:rPr>
        <w:t xml:space="preserve"> reduce biotic resistance to invasive alien species</w:t>
      </w:r>
      <w:r w:rsidR="00F26E2B">
        <w:rPr>
          <w:lang w:val="en-GB"/>
        </w:rPr>
        <w:t xml:space="preserve"> </w:t>
      </w:r>
      <w:r w:rsidR="000B2B0A" w:rsidRPr="728F2DAF">
        <w:rPr>
          <w:lang w:val="en-GB"/>
        </w:rPr>
        <w:fldChar w:fldCharType="begin"/>
      </w:r>
      <w:r w:rsidR="00331A79">
        <w:rPr>
          <w:lang w:val="en-GB"/>
        </w:rPr>
        <w:instrText xml:space="preserve"> ADDIN ZOTERO_ITEM CSL_CITATION {"citationID":"u2Fjqp7u","properties":{"formattedCitation":"(Levine et al., 2004)","plainCitation":"(Levine et al., 2004)","dontUpdate":true,"noteIndex":0},"citationItems":[{"id":29782,"uris":["http://zotero.org/groups/2352922/items/82GNEUD9"],"itemData":{"id":29782,"type":"article-journal","abstract":"Biotic resistance describes the ability of resident species in a community to reduce the success of exotic invasions. Although resistance is a well-accepted phenomenon, less clear are the processes that contribute most to it, and whether those processes are strong enough to completely repel invaders. Current perceptions of strong, competition-driven biotic resistance stem from classic ecological theory, Elton's formulation of ecological resistance, and the general acceptance of the enemies-release hypothesis. We conducted a meta-analysis of the plant invasions literature to quantify the contribution of resident competitors, diversity, herbivores and soil fungal communities to biotic resistance. Results indicated large negative effects of all factors except fungal communities on invader establishment and performance. Contrary to predictions derived from the natural enemies hypothesis, resident herbivores reduced invasion success as effectively as resident competitors. Although biotic resistance significantly reduced the establishment of individual invaders, we found little evidence that species interactions completely repelled invasions. We conclude that ecological interactions rarely enable communities to resist invasion, but instead constrain the abundance of invasive species once they have successfully established.","container-title":"Ecology Letters","DOI":"10.1111/j.1461-0248.2004.00657.x","ISSN":"1461-0248","issue":"10","language":"en","note":"_eprint: https://onlinelibrary.wiley.com/doi/pdf/10.1111/j.1461-0248.2004.00657.x","page":"975-989","source":"Wiley Online Library","title":"A meta-analysis of biotic resistance to exotic plant invasions","URL":"https://onlinelibrary.wiley.com/doi/abs/10.1111/j.1461-0248.2004.00657.x","volume":"7","author":[{"family":"Levine","given":"Jonathan M."},{"family":"Adler","given":"Peter B."},{"family":"Yelenik","given":"Stephanie G."}],"accessed":{"date-parts":[["2021",7,15]]},"issued":{"date-parts":[["2004"]]}}}],"schema":"https://github.com/citation-style-language/schema/raw/master/csl-citation.json"} </w:instrText>
      </w:r>
      <w:r w:rsidR="000B2B0A" w:rsidRPr="728F2DAF">
        <w:rPr>
          <w:lang w:val="en-GB"/>
        </w:rPr>
        <w:fldChar w:fldCharType="separate"/>
      </w:r>
      <w:r w:rsidR="5EC7B0BF">
        <w:t>(Levine et al., 2004).</w:t>
      </w:r>
      <w:r w:rsidR="000B2B0A" w:rsidRPr="728F2DAF">
        <w:rPr>
          <w:lang w:val="en-GB"/>
        </w:rPr>
        <w:fldChar w:fldCharType="end"/>
      </w:r>
      <w:r w:rsidR="5EC7B0BF" w:rsidRPr="728F2DAF">
        <w:rPr>
          <w:lang w:val="en-GB"/>
        </w:rPr>
        <w:t xml:space="preserve"> </w:t>
      </w:r>
      <w:r w:rsidR="60554EB2" w:rsidRPr="5575EBFC">
        <w:rPr>
          <w:lang w:val="en-GB"/>
        </w:rPr>
        <w:t>Chapter 3</w:t>
      </w:r>
      <w:r w:rsidR="60554EB2" w:rsidRPr="006D75AC">
        <w:rPr>
          <w:lang w:val="en-GB"/>
        </w:rPr>
        <w:t xml:space="preserve"> </w:t>
      </w:r>
      <w:r w:rsidR="22C6F46F" w:rsidRPr="006D75AC">
        <w:rPr>
          <w:lang w:val="en-GB"/>
        </w:rPr>
        <w:t xml:space="preserve">thus </w:t>
      </w:r>
      <w:r w:rsidR="60554EB2" w:rsidRPr="00DA249F">
        <w:rPr>
          <w:lang w:val="en-GB"/>
        </w:rPr>
        <w:t xml:space="preserve">considers the consequences of native biodiversity loss </w:t>
      </w:r>
      <w:r w:rsidR="25314F74" w:rsidRPr="728F2DAF">
        <w:rPr>
          <w:lang w:val="en-GB"/>
        </w:rPr>
        <w:t xml:space="preserve">and changes to ecosystem resilience </w:t>
      </w:r>
      <w:r w:rsidR="60554EB2" w:rsidRPr="00DA249F">
        <w:rPr>
          <w:lang w:val="en-GB"/>
        </w:rPr>
        <w:t>for biological invasions, since this is known as an important feedback mechanism directly influencing the introduction, spread and establishment of invasive alien species (</w:t>
      </w:r>
      <w:r w:rsidR="00E23B69">
        <w:rPr>
          <w:b/>
          <w:bCs/>
          <w:lang w:val="en-GB"/>
        </w:rPr>
        <w:t>Figure</w:t>
      </w:r>
      <w:r w:rsidR="6C863E05" w:rsidRPr="00FC1BA2">
        <w:rPr>
          <w:b/>
          <w:bCs/>
          <w:lang w:val="en-GB"/>
        </w:rPr>
        <w:t xml:space="preserve"> 3.3</w:t>
      </w:r>
      <w:r w:rsidR="0048460C">
        <w:rPr>
          <w:lang w:val="en-GB"/>
        </w:rPr>
        <w:t>;</w:t>
      </w:r>
      <w:r w:rsidR="6C863E05" w:rsidRPr="00FC1BA2">
        <w:rPr>
          <w:b/>
          <w:bCs/>
          <w:lang w:val="en-GB"/>
        </w:rPr>
        <w:t xml:space="preserve"> </w:t>
      </w:r>
      <w:r w:rsidR="00B21885" w:rsidRPr="5575EBFC">
        <w:rPr>
          <w:b/>
          <w:bCs/>
          <w:lang w:val="en-GB"/>
        </w:rPr>
        <w:fldChar w:fldCharType="begin"/>
      </w:r>
      <w:r w:rsidR="00B21885" w:rsidRPr="5575EBFC">
        <w:rPr>
          <w:b/>
          <w:bCs/>
          <w:lang w:val="en-GB"/>
        </w:rPr>
        <w:instrText xml:space="preserve"> REF _Ref104903105 \h  \* MERGEFORMAT </w:instrText>
      </w:r>
      <w:r w:rsidR="00B21885" w:rsidRPr="5575EBFC">
        <w:rPr>
          <w:b/>
          <w:bCs/>
          <w:lang w:val="en-GB"/>
        </w:rPr>
      </w:r>
      <w:r w:rsidR="00B21885" w:rsidRPr="5575EBFC">
        <w:rPr>
          <w:b/>
          <w:bCs/>
          <w:lang w:val="en-GB"/>
        </w:rPr>
        <w:fldChar w:fldCharType="separate"/>
      </w:r>
      <w:r w:rsidR="00287BC7" w:rsidRPr="00287BC7">
        <w:rPr>
          <w:b/>
          <w:bCs/>
          <w:lang w:val="en-GB"/>
        </w:rPr>
        <w:t>Table 3.1</w:t>
      </w:r>
      <w:r w:rsidR="00B21885" w:rsidRPr="5575EBFC">
        <w:rPr>
          <w:b/>
          <w:bCs/>
          <w:lang w:val="en-GB"/>
        </w:rPr>
        <w:fldChar w:fldCharType="end"/>
      </w:r>
      <w:r w:rsidR="3CDEC62F" w:rsidRPr="5575EBFC">
        <w:rPr>
          <w:lang w:val="en-GB"/>
        </w:rPr>
        <w:t>;</w:t>
      </w:r>
      <w:r w:rsidR="66BE013F" w:rsidRPr="5575EBFC">
        <w:rPr>
          <w:lang w:val="en-GB"/>
        </w:rPr>
        <w:t xml:space="preserve"> </w:t>
      </w:r>
      <w:r w:rsidR="07A7D99D" w:rsidRPr="5575EBFC">
        <w:rPr>
          <w:b/>
          <w:bCs/>
          <w:lang w:val="en-GB"/>
        </w:rPr>
        <w:t>section 3.</w:t>
      </w:r>
      <w:r w:rsidR="3CDEC62F" w:rsidRPr="5575EBFC">
        <w:rPr>
          <w:b/>
          <w:bCs/>
          <w:lang w:val="en-GB"/>
        </w:rPr>
        <w:t>4</w:t>
      </w:r>
      <w:r w:rsidR="07A7D99D" w:rsidRPr="5575EBFC">
        <w:rPr>
          <w:b/>
          <w:bCs/>
          <w:lang w:val="en-GB"/>
        </w:rPr>
        <w:t>.2</w:t>
      </w:r>
      <w:r w:rsidR="60554EB2" w:rsidRPr="00DA249F">
        <w:rPr>
          <w:lang w:val="en-GB"/>
        </w:rPr>
        <w:t xml:space="preserve">). </w:t>
      </w:r>
      <w:r w:rsidR="00CE2AEC" w:rsidRPr="00DA249F">
        <w:rPr>
          <w:lang w:val="en-GB"/>
        </w:rPr>
        <w:fldChar w:fldCharType="begin"/>
      </w:r>
      <w:r w:rsidR="00F5121E">
        <w:rPr>
          <w:lang w:val="en-GB"/>
        </w:rPr>
        <w:instrText xml:space="preserve"> ADDIN ZOTERO_ITEM CSL_CITATION {"citationID":"iXW72Tj8","properties":{"formattedCitation":"(Levine et al., 2004)","plainCitation":"(Levine et al., 2004)","dontUpdate":true,"noteIndex":0},"citationItems":[{"id":29782,"uris":["http://zotero.org/groups/2352922/items/82GNEUD9"],"itemData":{"id":29782,"type":"article-journal","abstract":"Biotic resistance describes the ability of resident species in a community to reduce the success of exotic invasions. Although resistance is a well-accepted phenomenon, less clear are the processes that contribute most to it, and whether those processes are strong enough to completely repel invaders. Current perceptions of strong, competition-driven biotic resistance stem from classic ecological theory, Elton's formulation of ecological resistance, and the general acceptance of the enemies-release hypothesis. We conducted a meta-analysis of the plant invasions literature to quantify the contribution of resident competitors, diversity, herbivores and soil fungal communities to biotic resistance. Results indicated large negative effects of all factors except fungal communities on invader establishment and performance. Contrary to predictions derived from the natural enemies hypothesis, resident herbivores reduced invasion success as effectively as resident competitors. Although biotic resistance significantly reduced the establishment of individual invaders, we found little evidence that species interactions completely repelled invasions. We conclude that ecological interactions rarely enable communities to resist invasion, but instead constrain the abundance of invasive species once they have successfully established.","container-title":"Ecology Letters","DOI":"10.1111/j.1461-0248.2004.00657.x","ISSN":"1461-0248","issue":"10","language":"en","note":"_eprint: https://onlinelibrary.wiley.com/doi/pdf/10.1111/j.1461-0248.2004.00657.x","page":"975-989","source":"Wiley Online Library","title":"A meta-analysis of biotic resistance to exotic plant invasions","URL":"https://onlinelibrary.wiley.com/doi/abs/10.1111/j.1461-0248.2004.00657.x","volume":"7","author":[{"family":"Levine","given":"Jonathan M."},{"family":"Adler","given":"Peter B."},{"family":"Yelenik","given":"Stephanie G."}],"accessed":{"date-parts":[["2021",7,15]]},"issued":{"date-parts":[["2004"]]}}},{"id":53933,"uris":["http://zotero.org/groups/2352922/items/JYFISR8Z","http://zotero.org/groups/2352922/items/ZACZGHZL"],"itemData":{"id":53933,"type":"report","abstract":"IPBES is to perform regular and timely assessments of knowledge on biodiversity and ecosystem services and their interlinkages at the global level. Also addressing an invitation by the Conference of the Parties of the Convention on Biological Diversity (CBD) to prepare a global assessment of biodiversity and ecosystem services building, inter alia, on its own and other relevant regional, subregional and thematic assessments, as well as on national reports. The overall scope of the assessment is to assess the status and trends with regard to biodiversity and ecosystem services, the impact of biodiversity and ecosystem services on human well-being and the effectiveness of responses, including the Strategic Plan and its Aichi Biodiversity Targets. It is anticipated that this deliverable will contribute to the process for the evaluation and renewal of the Strategic Plan for Biodiversity and its Aichi Biodiversity Targets. The IPBES Global Assessment on Biodiversity and Ecosystem Services is composed of 1) a Summary for Policymakers (SPM), approved by the IPBES Plenary at its 7th session in May 2019 in Paris, France (IPBES-7); and 2) a set of six Chapters, accepted by the IPBES Plenary.","language":"en","license":"Creative Commons Attribution 4.0 International, Open Access","note":"Version Number 1\nDOI: 10.5281/ZENODO.3831673","publisher":"Secretariat of the Intergovernmental Science-Policy Platform on Biodiversity and Ecosystem Services","source":"DOI.org (Datacite)","title":"Global assessment report on biodiversity and ecosystem services of the Intergovernmental Science-Policy Platform on Biodiversity and Ecosystem Services","URL":"https://zenodo.org/record/3831673","author":[{"literal":"IPBES"}],"contributor":[{"family":"Brondizio","given":"Eduardo"},{"family":"Diaz","given":"Sandra"},{"family":"Settele","given":"Josef"},{"family":"Ngo","given":"Hien T."}],"accessed":{"date-parts":[["2023",1,5]]},"issued":{"date-parts":[["2019"]]}}}],"schema":"https://github.com/citation-style-language/schema/raw/master/csl-citation.json"} </w:instrText>
      </w:r>
      <w:r w:rsidR="00CE2AEC" w:rsidRPr="00DA249F">
        <w:rPr>
          <w:lang w:val="en-GB"/>
        </w:rPr>
        <w:fldChar w:fldCharType="end"/>
      </w:r>
      <w:bookmarkStart w:id="27" w:name="_Toc89819207"/>
      <w:bookmarkEnd w:id="27"/>
      <w:r w:rsidR="47C41C38">
        <w:rPr>
          <w:lang w:val="en-GB"/>
        </w:rPr>
        <w:t xml:space="preserve">This additional complexity is </w:t>
      </w:r>
      <w:r w:rsidR="148D5C9D">
        <w:rPr>
          <w:lang w:val="en-GB"/>
        </w:rPr>
        <w:t>explicitly</w:t>
      </w:r>
      <w:r w:rsidR="7D2A21F4">
        <w:rPr>
          <w:lang w:val="en-GB"/>
        </w:rPr>
        <w:t xml:space="preserve"> </w:t>
      </w:r>
      <w:r w:rsidR="47C41C38">
        <w:rPr>
          <w:lang w:val="en-GB"/>
        </w:rPr>
        <w:t xml:space="preserve">captured by </w:t>
      </w:r>
      <w:r w:rsidR="064A9D35">
        <w:rPr>
          <w:lang w:val="en-GB"/>
        </w:rPr>
        <w:t xml:space="preserve">assessing </w:t>
      </w:r>
      <w:r w:rsidR="47C41C38">
        <w:rPr>
          <w:lang w:val="en-GB"/>
        </w:rPr>
        <w:t>focal relationship</w:t>
      </w:r>
      <w:r w:rsidR="00FD249C">
        <w:rPr>
          <w:lang w:val="en-GB"/>
        </w:rPr>
        <w:t>s</w:t>
      </w:r>
      <w:r w:rsidR="47C41C38">
        <w:rPr>
          <w:lang w:val="en-GB"/>
        </w:rPr>
        <w:t xml:space="preserve"> </w:t>
      </w:r>
      <w:r w:rsidR="735B9D13">
        <w:rPr>
          <w:lang w:val="en-GB"/>
        </w:rPr>
        <w:t>(</w:t>
      </w:r>
      <w:r w:rsidR="00D614ED">
        <w:rPr>
          <w:lang w:val="en-GB"/>
        </w:rPr>
        <w:t xml:space="preserve">lighter </w:t>
      </w:r>
      <w:r w:rsidR="735B9D13">
        <w:rPr>
          <w:lang w:val="en-GB"/>
        </w:rPr>
        <w:t>arrow</w:t>
      </w:r>
      <w:r w:rsidR="3270A83E">
        <w:rPr>
          <w:lang w:val="en-GB"/>
        </w:rPr>
        <w:t>s</w:t>
      </w:r>
      <w:r w:rsidR="735B9D13">
        <w:rPr>
          <w:lang w:val="en-GB"/>
        </w:rPr>
        <w:t xml:space="preserve">) from </w:t>
      </w:r>
      <w:r w:rsidR="67748BB8">
        <w:rPr>
          <w:lang w:val="en-GB"/>
        </w:rPr>
        <w:t xml:space="preserve">natural drivers and from </w:t>
      </w:r>
      <w:r w:rsidR="735B9D13">
        <w:rPr>
          <w:lang w:val="en-GB"/>
        </w:rPr>
        <w:t>nature to invasive alien species</w:t>
      </w:r>
      <w:r w:rsidR="2535F9F9">
        <w:rPr>
          <w:lang w:val="en-GB"/>
        </w:rPr>
        <w:t>,</w:t>
      </w:r>
      <w:r w:rsidR="735B9D13">
        <w:rPr>
          <w:lang w:val="en-GB"/>
        </w:rPr>
        <w:t xml:space="preserve"> in </w:t>
      </w:r>
      <w:r w:rsidR="29751213">
        <w:rPr>
          <w:lang w:val="en-GB"/>
        </w:rPr>
        <w:t xml:space="preserve">the </w:t>
      </w:r>
      <w:r w:rsidR="0170C841">
        <w:rPr>
          <w:lang w:val="en-GB"/>
        </w:rPr>
        <w:t xml:space="preserve">context of the </w:t>
      </w:r>
      <w:r w:rsidR="29751213">
        <w:rPr>
          <w:lang w:val="en-GB"/>
        </w:rPr>
        <w:t>IPBES conceptual framework (</w:t>
      </w:r>
      <w:r w:rsidR="00E23B69">
        <w:rPr>
          <w:b/>
          <w:bCs/>
          <w:lang w:val="en-GB"/>
        </w:rPr>
        <w:t>Figure</w:t>
      </w:r>
      <w:r w:rsidR="735B9D13" w:rsidRPr="00FC1BA2">
        <w:rPr>
          <w:b/>
          <w:bCs/>
          <w:lang w:val="en-GB"/>
        </w:rPr>
        <w:t xml:space="preserve"> 3.3</w:t>
      </w:r>
      <w:r w:rsidR="3E237BBF" w:rsidRPr="00FC1BA2">
        <w:rPr>
          <w:b/>
          <w:bCs/>
          <w:lang w:val="en-GB"/>
        </w:rPr>
        <w:t>)</w:t>
      </w:r>
      <w:r w:rsidR="735B9D13">
        <w:rPr>
          <w:lang w:val="en-GB"/>
        </w:rPr>
        <w:t>.</w:t>
      </w:r>
      <w:r w:rsidR="00F26E2B">
        <w:rPr>
          <w:lang w:val="en-GB"/>
        </w:rPr>
        <w:t xml:space="preserve"> </w:t>
      </w:r>
    </w:p>
    <w:p w14:paraId="677C9E3E" w14:textId="77777777" w:rsidR="008C1BF7" w:rsidRPr="00DA249F" w:rsidRDefault="70E8B8DA" w:rsidP="00375B42">
      <w:pPr>
        <w:pStyle w:val="Heading2"/>
        <w:rPr>
          <w:lang w:val="en-GB"/>
        </w:rPr>
      </w:pPr>
      <w:bookmarkStart w:id="28" w:name="_Toc44317789"/>
      <w:bookmarkStart w:id="29" w:name="_Toc146898459"/>
      <w:r w:rsidRPr="5575EBFC">
        <w:rPr>
          <w:lang w:val="en-GB"/>
        </w:rPr>
        <w:lastRenderedPageBreak/>
        <w:t xml:space="preserve">Differential role of drivers </w:t>
      </w:r>
      <w:r w:rsidR="54EA76F1" w:rsidRPr="5575EBFC">
        <w:rPr>
          <w:lang w:val="en-GB"/>
        </w:rPr>
        <w:t>along</w:t>
      </w:r>
      <w:r w:rsidR="7C12659F" w:rsidRPr="5575EBFC">
        <w:rPr>
          <w:lang w:val="en-GB"/>
        </w:rPr>
        <w:t xml:space="preserve"> the </w:t>
      </w:r>
      <w:r w:rsidRPr="5575EBFC">
        <w:rPr>
          <w:lang w:val="en-GB"/>
        </w:rPr>
        <w:t xml:space="preserve">stages of </w:t>
      </w:r>
      <w:r w:rsidR="0F4247EF" w:rsidRPr="5575EBFC">
        <w:rPr>
          <w:lang w:val="en-GB"/>
        </w:rPr>
        <w:t xml:space="preserve">the </w:t>
      </w:r>
      <w:r w:rsidR="7587087B" w:rsidRPr="5575EBFC">
        <w:rPr>
          <w:lang w:val="en-GB"/>
        </w:rPr>
        <w:t xml:space="preserve">biological </w:t>
      </w:r>
      <w:r w:rsidRPr="5575EBFC">
        <w:rPr>
          <w:lang w:val="en-GB"/>
        </w:rPr>
        <w:t>invasion</w:t>
      </w:r>
      <w:bookmarkEnd w:id="28"/>
      <w:r w:rsidR="7C12659F" w:rsidRPr="5575EBFC">
        <w:rPr>
          <w:lang w:val="en-GB"/>
        </w:rPr>
        <w:t xml:space="preserve"> </w:t>
      </w:r>
      <w:r w:rsidR="0F4247EF" w:rsidRPr="5575EBFC">
        <w:rPr>
          <w:lang w:val="en-GB"/>
        </w:rPr>
        <w:t>process</w:t>
      </w:r>
      <w:bookmarkEnd w:id="29"/>
      <w:r w:rsidR="08E2AD00" w:rsidRPr="5575EBFC">
        <w:rPr>
          <w:lang w:val="en-GB"/>
        </w:rPr>
        <w:t xml:space="preserve"> </w:t>
      </w:r>
    </w:p>
    <w:p w14:paraId="32CF93E1" w14:textId="6BC7DE27" w:rsidR="00F53C10" w:rsidRPr="00DA249F" w:rsidRDefault="2996F55B">
      <w:pPr>
        <w:rPr>
          <w:lang w:val="en-GB"/>
        </w:rPr>
      </w:pPr>
      <w:r w:rsidRPr="00DA249F">
        <w:rPr>
          <w:lang w:val="en-GB"/>
        </w:rPr>
        <w:t xml:space="preserve">Biological invasions are widely viewed as processes comprising a series of sequential stages </w:t>
      </w:r>
      <w:r w:rsidR="18794F6F" w:rsidRPr="00DA249F">
        <w:rPr>
          <w:lang w:val="en-GB"/>
        </w:rPr>
        <w:fldChar w:fldCharType="begin"/>
      </w:r>
      <w:r w:rsidR="00331A79">
        <w:rPr>
          <w:lang w:val="en-GB"/>
        </w:rPr>
        <w:instrText xml:space="preserve"> ADDIN ZOTERO_ITEM CSL_CITATION {"citationID":"VikaPde0","properties":{"formattedCitation":"(Blackburn et al., 2011; Colautti &amp; MacIsaac, 2004; Theoharides &amp; Dukes, 2007)","plainCitation":"(Blackburn et al., 2011; Colautti &amp; MacIsaac, 2004; Theoharides &amp; Dukes, 2007)","dontUpdate":true,"noteIndex":0},"citationItems":[{"id":30154,"uris":["http://zotero.org/groups/2352922/items/VVTPE2V8"],"itemData":{"id":30154,"type":"article-journal","abstract":"The use of simple terms to articulate ecological concepts can confuse ideological debates and undermine management efforts. This problem is particularly acute in studies of nonindigenous species, which alternatively have been called 'exotic', 'introduced', 'invasive' and 'naturalised', among others. Attempts to redefine commonly used terminology have proven difficult because authors are often partial to particular definitions. In an attempt to form a consensus on invasion terminology, we synthesize an invasional framework based on current models that break the invasion process into a series of consecutive, obligatory stages. Unlike previous efforts, we propose a neutral terminology based on this framework This 'stage-based' terminology can be used to supplement terms with ambiguous meanings (e.g. invasive, introduced, naturalized, weedy, etc.), and thereby improve clarity of future studies. This approach is based on the concept of 'propagule pressure' and has the additional benefit of identifying factors affecting the success of species at each stage. Under this framework, invasions can be more objectively understood as biogeographical, rather than taxonomic, phenomena; and author preferences in the use of existing terminology can be addressed. An example of this recommended protocol might be: 'We examined distribution data to contrast the characteristics of invasive species (stages IVa and V) and noninvasive species (stages III and IVb)'.","container-title":"Diversity and Distributions","DOI":"10.1111/j.1366-9516.2004.00061.x","issue":"2","note":"number: 2","page":"135-141","title":"A neutral terminology to define ‘invasive’ species","URL":"http://doi.wiley.com/10.1111/j.1366-9516.2004.00061.x","volume":"10","author":[{"family":"Colautti","given":"Robert I."},{"family":"MacIsaac","given":"Hugh J."}],"issued":{"date-parts":[["2004",2]]}}},{"id":31776,"uris":["http://zotero.org/groups/2352922/items/ISJSJK8K"],"itemData":{"id":31776,"type":"article-journal","abstract":"There has been a dramatic growth in research on biological invasions over the past 20 years, but a mature understanding of the field has been hampered because invasion biologists concerned with different taxa and different environments have largely adopted different model frameworks for the invasion process, resulting in a confusing range of concepts, terms and definitions. In this review, we propose a unified framework for biological invasions that reconciles and integrates the key features of the most commonly used invasion frameworks into a single conceptual model that can be applied to all human-mediated invasions. The unified framework combines previous stage-based and barrier models, and provides a terminology and categorisation for populations at different points in the invasion process.","container-title":"Trends in Ecology &amp; Evolution","DOI":"10.1016/j.tree.2011.03.023","ISSN":"01695347","issue":"7","journalAbbreviation":"Trends in Ecology &amp; Evolution","language":"en","page":"333-339","source":"DOI.org (Crossref)","title":"A proposed unified framework for biological invasions","URL":"https://doi.org/10.1016/j.tree.2011.03.023","volume":"26","author":[{"family":"Blackburn","given":"Tim M."},{"family":"Pyšek","given":"Petr"},{"family":"Bacher","given":"Sven"},{"family":"Carlton","given":"James T."},{"family":"Duncan","given":"Richard P."},{"family":"Jarošík","given":"Vojtěch"},{"family":"Wilson","given":"John R.U."},{"family":"Richardson","given":"David M."}],"accessed":{"date-parts":[["2020",8,9]]},"issued":{"date-parts":[["2011",7]]}}},{"id":17354,"uris":["http://zotero.org/groups/2352922/items/DAIY5783"],"itemData":{"id":17354,"type":"article-journal","abstract":"Invasive nonindigenous plant species (NIPS) threaten native diversity, alter ecosystem processes, and may interact with other components of global environmental change. Here, a general framework is outlined that attempts to connect patterns of plant invasion to processes underlying these patterns at four well-established spatio-temporal stages of the invasion process: transport, colonization, establishment, and landscape spread. At each stage we organize findings and ideas about the filters that limit NIPS success and the interaction of these filters with historical aspects of introduction events, NIPS traits, and ecosystem properties. While it remains difficult to draw conclusions about the risk of invasion across ecosystems, to delineate universal 'invader traits', or to predict large-scale extinctions following invasions, this review highlights the growing body of research that suggests that the success of invasive NIPS is controlled by a series of key processes or filters. These filters are common to all invasion events, and will interact throughout the stages of plant invasion, although the relative importance of a filter may be stage, species or location specific. It is suggested that both research and management programs may benefit from employing multiscale and stage approaches to studying and controlling invasion. We further use the framework to briefly examine potential interactions between climate change and filters that limit NIPS invasion.","container-title":"New Phytologist","DOI":"10.1111/j.1469-8137.2007.02207.x","ISSN":"0028-646X","issue":"2","note":"WOS:000249846300004","page":"256-273","title":"Plant invasion across space and time: factors affecting nonindigenous species success during four stages of invasion","volume":"176","author":[{"family":"Theoharides","given":"Kathleen A."},{"family":"Dukes","given":"Jeffrey S."}],"issued":{"date-parts":[["2007"]]}}}],"schema":"https://github.com/citation-style-language/schema/raw/master/csl-citation.json"} </w:instrText>
      </w:r>
      <w:r w:rsidR="18794F6F" w:rsidRPr="00DA249F">
        <w:rPr>
          <w:lang w:val="en-GB"/>
        </w:rPr>
        <w:fldChar w:fldCharType="separate"/>
      </w:r>
      <w:r w:rsidR="4372116C" w:rsidRPr="00DA249F">
        <w:rPr>
          <w:lang w:val="en-GB"/>
        </w:rPr>
        <w:t>(Blackburn et al., 2011; Colautti &amp; MacIsaac, 2004; Theoharides &amp; Dukes, 2007</w:t>
      </w:r>
      <w:r w:rsidR="2657E84D" w:rsidRPr="00DA249F">
        <w:rPr>
          <w:lang w:val="en-GB"/>
        </w:rPr>
        <w:t>;</w:t>
      </w:r>
      <w:r w:rsidR="18794F6F" w:rsidRPr="00DA249F">
        <w:rPr>
          <w:lang w:val="en-GB"/>
        </w:rPr>
        <w:fldChar w:fldCharType="end"/>
      </w:r>
      <w:r w:rsidR="2657E84D" w:rsidRPr="00DA249F">
        <w:rPr>
          <w:lang w:val="en-GB"/>
        </w:rPr>
        <w:t xml:space="preserve"> </w:t>
      </w:r>
      <w:r w:rsidR="202856D9" w:rsidRPr="5575EBFC">
        <w:rPr>
          <w:b/>
          <w:bCs/>
          <w:lang w:val="en-GB"/>
        </w:rPr>
        <w:t>C</w:t>
      </w:r>
      <w:r w:rsidR="2657E84D" w:rsidRPr="5575EBFC">
        <w:rPr>
          <w:b/>
          <w:bCs/>
          <w:lang w:val="en-GB"/>
        </w:rPr>
        <w:t>hapter 1</w:t>
      </w:r>
      <w:r w:rsidR="2657E84D" w:rsidRPr="5575EBFC">
        <w:rPr>
          <w:lang w:val="en-GB"/>
        </w:rPr>
        <w:t>,</w:t>
      </w:r>
      <w:r w:rsidR="2657E84D" w:rsidRPr="5575EBFC">
        <w:rPr>
          <w:b/>
          <w:bCs/>
          <w:lang w:val="en-GB"/>
        </w:rPr>
        <w:t xml:space="preserve"> se</w:t>
      </w:r>
      <w:r w:rsidR="185B9D58" w:rsidRPr="5575EBFC">
        <w:rPr>
          <w:b/>
          <w:bCs/>
          <w:lang w:val="en-GB"/>
        </w:rPr>
        <w:t>ction</w:t>
      </w:r>
      <w:r w:rsidR="2657E84D" w:rsidRPr="5575EBFC">
        <w:rPr>
          <w:b/>
          <w:bCs/>
          <w:lang w:val="en-GB"/>
        </w:rPr>
        <w:t xml:space="preserve"> 1.</w:t>
      </w:r>
      <w:r w:rsidR="57FC3ACB" w:rsidRPr="5575EBFC">
        <w:rPr>
          <w:b/>
          <w:bCs/>
          <w:lang w:val="en-GB"/>
        </w:rPr>
        <w:t>4</w:t>
      </w:r>
      <w:r w:rsidR="2657E84D" w:rsidRPr="00DA249F">
        <w:rPr>
          <w:lang w:val="en-GB"/>
        </w:rPr>
        <w:t>)</w:t>
      </w:r>
      <w:r w:rsidRPr="00DA249F">
        <w:rPr>
          <w:lang w:val="en-GB"/>
        </w:rPr>
        <w:t>.</w:t>
      </w:r>
      <w:r w:rsidR="1BF51694" w:rsidRPr="00DA249F">
        <w:rPr>
          <w:lang w:val="en-GB"/>
        </w:rPr>
        <w:t xml:space="preserve"> </w:t>
      </w:r>
      <w:r w:rsidRPr="00DA249F">
        <w:rPr>
          <w:lang w:val="en-GB"/>
        </w:rPr>
        <w:t xml:space="preserve">These stages capture the transport of a species </w:t>
      </w:r>
      <w:r w:rsidR="5E298B59" w:rsidRPr="00DA249F">
        <w:rPr>
          <w:lang w:val="en-GB"/>
        </w:rPr>
        <w:t xml:space="preserve">to </w:t>
      </w:r>
      <w:r w:rsidRPr="00DA249F">
        <w:rPr>
          <w:lang w:val="en-GB"/>
        </w:rPr>
        <w:t>a region</w:t>
      </w:r>
      <w:r w:rsidR="5C6FED75" w:rsidRPr="00DA249F">
        <w:rPr>
          <w:lang w:val="en-GB"/>
        </w:rPr>
        <w:t xml:space="preserve"> beyond </w:t>
      </w:r>
      <w:r w:rsidR="24E590A7" w:rsidRPr="00DA249F">
        <w:rPr>
          <w:lang w:val="en-GB"/>
        </w:rPr>
        <w:t>its</w:t>
      </w:r>
      <w:r w:rsidR="5C6FED75" w:rsidRPr="00DA249F">
        <w:rPr>
          <w:lang w:val="en-GB"/>
        </w:rPr>
        <w:t xml:space="preserve"> </w:t>
      </w:r>
      <w:r w:rsidR="5CFDC7D8" w:rsidRPr="00DA249F">
        <w:rPr>
          <w:lang w:val="en-GB"/>
        </w:rPr>
        <w:t>native</w:t>
      </w:r>
      <w:r w:rsidR="5C6FED75" w:rsidRPr="00DA249F">
        <w:rPr>
          <w:lang w:val="en-GB"/>
        </w:rPr>
        <w:t xml:space="preserve"> range</w:t>
      </w:r>
      <w:r w:rsidRPr="00DA249F">
        <w:rPr>
          <w:lang w:val="en-GB"/>
        </w:rPr>
        <w:t>, the introduction of the species (</w:t>
      </w:r>
      <w:r w:rsidR="4A7B45DB" w:rsidRPr="00DA249F">
        <w:rPr>
          <w:lang w:val="en-GB"/>
        </w:rPr>
        <w:t>intentionally</w:t>
      </w:r>
      <w:r w:rsidR="69AB5718" w:rsidRPr="00DA249F">
        <w:rPr>
          <w:lang w:val="en-GB"/>
        </w:rPr>
        <w:t xml:space="preserve"> </w:t>
      </w:r>
      <w:r w:rsidRPr="00DA249F">
        <w:rPr>
          <w:lang w:val="en-GB"/>
        </w:rPr>
        <w:t>or</w:t>
      </w:r>
      <w:r w:rsidR="1F34194A" w:rsidRPr="00DA249F">
        <w:rPr>
          <w:lang w:val="en-GB"/>
        </w:rPr>
        <w:t>/and</w:t>
      </w:r>
      <w:r w:rsidRPr="00DA249F">
        <w:rPr>
          <w:lang w:val="en-GB"/>
        </w:rPr>
        <w:t xml:space="preserve"> </w:t>
      </w:r>
      <w:r w:rsidR="2ACD9C6C" w:rsidRPr="00DA249F">
        <w:rPr>
          <w:lang w:val="en-GB"/>
        </w:rPr>
        <w:t>unintentionally</w:t>
      </w:r>
      <w:r w:rsidRPr="00DA249F">
        <w:rPr>
          <w:lang w:val="en-GB"/>
        </w:rPr>
        <w:t xml:space="preserve">) </w:t>
      </w:r>
      <w:r w:rsidR="4A38BA3D" w:rsidRPr="00DA249F">
        <w:rPr>
          <w:lang w:val="en-GB"/>
        </w:rPr>
        <w:t xml:space="preserve">into habitats in that </w:t>
      </w:r>
      <w:r w:rsidRPr="00DA249F">
        <w:rPr>
          <w:lang w:val="en-GB"/>
        </w:rPr>
        <w:t xml:space="preserve">region, </w:t>
      </w:r>
      <w:r w:rsidR="00FD249C">
        <w:rPr>
          <w:lang w:val="en-GB"/>
        </w:rPr>
        <w:t xml:space="preserve">and </w:t>
      </w:r>
      <w:r w:rsidRPr="00DA249F">
        <w:rPr>
          <w:lang w:val="en-GB"/>
        </w:rPr>
        <w:t>its subsequent establishment as a self-sustaining population</w:t>
      </w:r>
      <w:r w:rsidR="70E885DC" w:rsidRPr="00DA249F">
        <w:rPr>
          <w:lang w:val="en-GB"/>
        </w:rPr>
        <w:t>,</w:t>
      </w:r>
      <w:r w:rsidRPr="00DA249F">
        <w:rPr>
          <w:lang w:val="en-GB"/>
        </w:rPr>
        <w:t xml:space="preserve"> followed by its wi</w:t>
      </w:r>
      <w:r w:rsidR="3D07782E" w:rsidRPr="00DA249F">
        <w:rPr>
          <w:lang w:val="en-GB"/>
        </w:rPr>
        <w:t>der geographic spread</w:t>
      </w:r>
      <w:r w:rsidR="0C8A6750" w:rsidRPr="00DA249F">
        <w:rPr>
          <w:lang w:val="en-GB"/>
        </w:rPr>
        <w:t xml:space="preserve"> in the inva</w:t>
      </w:r>
      <w:r w:rsidR="2657E84D" w:rsidRPr="00DA249F">
        <w:rPr>
          <w:lang w:val="en-GB"/>
        </w:rPr>
        <w:t>ded</w:t>
      </w:r>
      <w:r w:rsidR="0C8A6750" w:rsidRPr="00DA249F">
        <w:rPr>
          <w:lang w:val="en-GB"/>
        </w:rPr>
        <w:t xml:space="preserve"> range</w:t>
      </w:r>
      <w:r w:rsidR="1B1C9360" w:rsidRPr="00DA249F">
        <w:rPr>
          <w:lang w:val="en-GB"/>
        </w:rPr>
        <w:t xml:space="preserve"> </w:t>
      </w:r>
      <w:r w:rsidR="3D07782E" w:rsidRPr="00DA249F">
        <w:rPr>
          <w:lang w:val="en-GB"/>
        </w:rPr>
        <w:t>(</w:t>
      </w:r>
      <w:r w:rsidR="00E23B69">
        <w:rPr>
          <w:b/>
          <w:bCs/>
          <w:lang w:val="en-GB"/>
        </w:rPr>
        <w:t>Figure</w:t>
      </w:r>
      <w:r w:rsidR="39EC53BF" w:rsidRPr="5575EBFC">
        <w:rPr>
          <w:b/>
          <w:bCs/>
          <w:lang w:val="en-GB"/>
        </w:rPr>
        <w:t xml:space="preserve"> 3.4</w:t>
      </w:r>
      <w:r w:rsidR="07990C0A" w:rsidRPr="5575EBFC">
        <w:rPr>
          <w:lang w:val="en-GB"/>
        </w:rPr>
        <w:t>;</w:t>
      </w:r>
      <w:r w:rsidR="07990C0A" w:rsidRPr="006D75AC">
        <w:rPr>
          <w:b/>
          <w:bCs/>
          <w:lang w:val="en-GB"/>
        </w:rPr>
        <w:t xml:space="preserve"> </w:t>
      </w:r>
      <w:r w:rsidR="202856D9" w:rsidRPr="5575EBFC">
        <w:rPr>
          <w:b/>
          <w:bCs/>
          <w:lang w:val="en-GB"/>
        </w:rPr>
        <w:t>C</w:t>
      </w:r>
      <w:r w:rsidR="07990C0A" w:rsidRPr="5575EBFC">
        <w:rPr>
          <w:b/>
          <w:bCs/>
          <w:lang w:val="en-GB"/>
        </w:rPr>
        <w:t>hapter 1</w:t>
      </w:r>
      <w:r w:rsidR="2657E84D" w:rsidRPr="5575EBFC">
        <w:rPr>
          <w:b/>
          <w:bCs/>
          <w:lang w:val="en-GB"/>
        </w:rPr>
        <w:t>, section 1.</w:t>
      </w:r>
      <w:r w:rsidR="235BFF7B" w:rsidRPr="5575EBFC">
        <w:rPr>
          <w:b/>
          <w:bCs/>
          <w:lang w:val="en-GB"/>
        </w:rPr>
        <w:t>4</w:t>
      </w:r>
      <w:r w:rsidRPr="00DA249F">
        <w:rPr>
          <w:lang w:val="en-GB"/>
        </w:rPr>
        <w:t>).</w:t>
      </w:r>
      <w:r w:rsidR="00F26E2B">
        <w:rPr>
          <w:lang w:val="en-GB"/>
        </w:rPr>
        <w:t xml:space="preserve"> </w:t>
      </w:r>
      <w:r w:rsidR="37B2820E" w:rsidRPr="00DA249F">
        <w:rPr>
          <w:lang w:val="en-GB"/>
        </w:rPr>
        <w:t>P</w:t>
      </w:r>
      <w:r w:rsidR="54AF870C" w:rsidRPr="728F2DAF">
        <w:rPr>
          <w:lang w:val="en-GB"/>
        </w:rPr>
        <w:t>athways</w:t>
      </w:r>
      <w:r w:rsidR="53B5D7C8" w:rsidRPr="728F2DAF">
        <w:rPr>
          <w:lang w:val="en-GB"/>
        </w:rPr>
        <w:t xml:space="preserve"> </w:t>
      </w:r>
      <w:r w:rsidR="767FB816" w:rsidRPr="728F2DAF">
        <w:rPr>
          <w:lang w:val="en-GB"/>
        </w:rPr>
        <w:t>of introduction</w:t>
      </w:r>
      <w:r w:rsidR="1744047D" w:rsidRPr="728F2DAF">
        <w:rPr>
          <w:lang w:val="en-GB"/>
        </w:rPr>
        <w:t xml:space="preserve"> </w:t>
      </w:r>
      <w:r w:rsidR="4FC556BC" w:rsidRPr="728F2DAF">
        <w:rPr>
          <w:lang w:val="en-GB"/>
        </w:rPr>
        <w:t xml:space="preserve">are referred to by the </w:t>
      </w:r>
      <w:r w:rsidR="4FC556BC" w:rsidRPr="728F2DAF">
        <w:rPr>
          <w:rFonts w:eastAsia="Times New Roman"/>
          <w:color w:val="000000" w:themeColor="text1"/>
          <w:szCs w:val="24"/>
          <w:lang w:val="en-GB"/>
        </w:rPr>
        <w:t>Convention on Biological Diversity</w:t>
      </w:r>
      <w:r w:rsidR="4FC556BC" w:rsidRPr="728F2DAF">
        <w:rPr>
          <w:lang w:val="en-GB"/>
        </w:rPr>
        <w:t xml:space="preserve"> as the means </w:t>
      </w:r>
      <w:r w:rsidR="53B5D7C8" w:rsidRPr="728F2DAF">
        <w:rPr>
          <w:rFonts w:eastAsia="Times New Roman"/>
          <w:color w:val="000000" w:themeColor="text1"/>
          <w:szCs w:val="24"/>
          <w:lang w:val="en-GB"/>
        </w:rPr>
        <w:t xml:space="preserve">by </w:t>
      </w:r>
      <w:r w:rsidR="756B9CD1" w:rsidRPr="728F2DAF">
        <w:rPr>
          <w:rFonts w:eastAsia="Times New Roman"/>
          <w:color w:val="000000" w:themeColor="text1"/>
          <w:szCs w:val="24"/>
          <w:lang w:val="en-GB"/>
        </w:rPr>
        <w:t>which</w:t>
      </w:r>
      <w:r w:rsidR="53B5D7C8" w:rsidRPr="728F2DAF">
        <w:rPr>
          <w:rFonts w:eastAsia="Times New Roman"/>
          <w:color w:val="000000" w:themeColor="text1"/>
          <w:szCs w:val="24"/>
          <w:lang w:val="en-GB"/>
        </w:rPr>
        <w:t xml:space="preserve"> species </w:t>
      </w:r>
      <w:r w:rsidR="7C705572" w:rsidRPr="728F2DAF">
        <w:rPr>
          <w:lang w:val="en-GB"/>
        </w:rPr>
        <w:t xml:space="preserve">are </w:t>
      </w:r>
      <w:r w:rsidR="7FE2D448" w:rsidRPr="728F2DAF">
        <w:rPr>
          <w:rFonts w:eastAsia="Times New Roman"/>
          <w:color w:val="000000" w:themeColor="text1"/>
          <w:szCs w:val="24"/>
          <w:lang w:val="en-GB"/>
        </w:rPr>
        <w:t xml:space="preserve">moved to </w:t>
      </w:r>
      <w:r w:rsidR="5DFC0D41" w:rsidRPr="728F2DAF">
        <w:rPr>
          <w:lang w:val="en-GB"/>
        </w:rPr>
        <w:t xml:space="preserve">new </w:t>
      </w:r>
      <w:r w:rsidR="7FE2D448" w:rsidRPr="728F2DAF">
        <w:rPr>
          <w:rFonts w:eastAsia="Times New Roman"/>
          <w:color w:val="000000" w:themeColor="text1"/>
          <w:szCs w:val="24"/>
          <w:lang w:val="en-GB"/>
        </w:rPr>
        <w:t>region</w:t>
      </w:r>
      <w:r w:rsidR="0E84784E" w:rsidRPr="728F2DAF">
        <w:rPr>
          <w:rFonts w:eastAsia="Times New Roman"/>
          <w:color w:val="000000" w:themeColor="text1"/>
          <w:szCs w:val="24"/>
          <w:lang w:val="en-GB"/>
        </w:rPr>
        <w:t>s</w:t>
      </w:r>
      <w:r w:rsidR="7FE2D448" w:rsidRPr="728F2DAF">
        <w:rPr>
          <w:rFonts w:eastAsia="Times New Roman"/>
          <w:color w:val="000000" w:themeColor="text1"/>
          <w:szCs w:val="24"/>
          <w:lang w:val="en-GB"/>
        </w:rPr>
        <w:t xml:space="preserve"> beyond </w:t>
      </w:r>
      <w:r w:rsidR="135BC43E" w:rsidRPr="728F2DAF">
        <w:rPr>
          <w:lang w:val="en-GB"/>
        </w:rPr>
        <w:t xml:space="preserve">their </w:t>
      </w:r>
      <w:r w:rsidR="7FE2D448" w:rsidRPr="728F2DAF">
        <w:rPr>
          <w:rFonts w:eastAsia="Times New Roman"/>
          <w:color w:val="000000" w:themeColor="text1"/>
          <w:szCs w:val="24"/>
          <w:lang w:val="en-GB"/>
        </w:rPr>
        <w:t>native range</w:t>
      </w:r>
      <w:r w:rsidR="53B5D7C8" w:rsidRPr="728F2DAF">
        <w:rPr>
          <w:rFonts w:eastAsia="Times New Roman"/>
          <w:color w:val="000000" w:themeColor="text1"/>
          <w:szCs w:val="24"/>
          <w:lang w:val="en-GB"/>
        </w:rPr>
        <w:t xml:space="preserve"> </w:t>
      </w:r>
      <w:r w:rsidR="54AF870C" w:rsidRPr="728F2DAF">
        <w:rPr>
          <w:rFonts w:eastAsia="Times New Roman"/>
          <w:color w:val="000000" w:themeColor="text1"/>
          <w:szCs w:val="24"/>
          <w:lang w:val="en-GB"/>
        </w:rPr>
        <w:t>(CBD, 2014; Hulme et al., 2008)</w:t>
      </w:r>
      <w:r w:rsidR="418297B5" w:rsidRPr="728F2DAF">
        <w:rPr>
          <w:rFonts w:eastAsia="Times New Roman"/>
          <w:color w:val="000000" w:themeColor="text1"/>
          <w:szCs w:val="24"/>
          <w:lang w:val="en-GB"/>
        </w:rPr>
        <w:t xml:space="preserve">. Pathway assessment </w:t>
      </w:r>
      <w:r w:rsidR="54AF870C" w:rsidRPr="728F2DAF">
        <w:rPr>
          <w:rFonts w:eastAsia="Times New Roman"/>
          <w:color w:val="000000" w:themeColor="text1"/>
          <w:szCs w:val="24"/>
          <w:lang w:val="en-GB"/>
        </w:rPr>
        <w:t>usually focu</w:t>
      </w:r>
      <w:r w:rsidR="00FD249C">
        <w:rPr>
          <w:rFonts w:eastAsia="Times New Roman"/>
          <w:color w:val="000000" w:themeColor="text1"/>
          <w:szCs w:val="24"/>
          <w:lang w:val="en-GB"/>
        </w:rPr>
        <w:t>se</w:t>
      </w:r>
      <w:r w:rsidR="54AF870C" w:rsidRPr="728F2DAF">
        <w:rPr>
          <w:rFonts w:eastAsia="Times New Roman"/>
          <w:color w:val="000000" w:themeColor="text1"/>
          <w:szCs w:val="24"/>
          <w:lang w:val="en-GB"/>
        </w:rPr>
        <w:t xml:space="preserve">s on movements until a species reaches the border of an administrative unit, such as a country, although </w:t>
      </w:r>
      <w:r w:rsidR="00DF30EF">
        <w:rPr>
          <w:rFonts w:eastAsia="Times New Roman"/>
          <w:color w:val="000000" w:themeColor="text1"/>
          <w:szCs w:val="24"/>
          <w:lang w:val="en-GB"/>
        </w:rPr>
        <w:t>is</w:t>
      </w:r>
      <w:r w:rsidR="54AF870C" w:rsidRPr="728F2DAF">
        <w:rPr>
          <w:rFonts w:eastAsia="Times New Roman"/>
          <w:color w:val="000000" w:themeColor="text1"/>
          <w:szCs w:val="24"/>
          <w:lang w:val="en-GB"/>
        </w:rPr>
        <w:t xml:space="preserve"> not restricted to this definition</w:t>
      </w:r>
      <w:r w:rsidR="3ADEB0B3" w:rsidRPr="728F2DAF">
        <w:rPr>
          <w:rFonts w:eastAsia="Times New Roman"/>
          <w:color w:val="000000" w:themeColor="text1"/>
          <w:szCs w:val="24"/>
          <w:lang w:val="en-GB"/>
        </w:rPr>
        <w:t>. Pathways are</w:t>
      </w:r>
      <w:r w:rsidR="4FE8960F" w:rsidRPr="728F2DAF">
        <w:rPr>
          <w:rFonts w:eastAsia="Times New Roman"/>
          <w:color w:val="000000" w:themeColor="text1"/>
          <w:szCs w:val="24"/>
          <w:lang w:val="en-GB"/>
        </w:rPr>
        <w:t xml:space="preserve"> </w:t>
      </w:r>
      <w:r w:rsidR="54AF870C" w:rsidRPr="728F2DAF">
        <w:rPr>
          <w:rFonts w:eastAsia="Times New Roman"/>
          <w:color w:val="000000" w:themeColor="text1"/>
          <w:szCs w:val="24"/>
          <w:lang w:val="en-GB"/>
        </w:rPr>
        <w:t xml:space="preserve">categorized into six major classes (release, escape, contaminant, stowaway, corridor, and unaided) </w:t>
      </w:r>
      <w:r w:rsidR="35807E93" w:rsidRPr="728F2DAF">
        <w:rPr>
          <w:lang w:val="en-GB"/>
        </w:rPr>
        <w:t xml:space="preserve">with </w:t>
      </w:r>
      <w:r w:rsidR="54AF870C" w:rsidRPr="728F2DAF">
        <w:rPr>
          <w:rFonts w:eastAsia="Times New Roman"/>
          <w:color w:val="000000" w:themeColor="text1"/>
          <w:szCs w:val="24"/>
          <w:lang w:val="en-GB"/>
        </w:rPr>
        <w:t xml:space="preserve">several sub-classes (CBD, 2014; </w:t>
      </w:r>
      <w:r w:rsidR="00D614ED">
        <w:rPr>
          <w:rFonts w:eastAsia="Times New Roman"/>
          <w:color w:val="000000" w:themeColor="text1"/>
          <w:szCs w:val="24"/>
          <w:lang w:val="en-GB"/>
        </w:rPr>
        <w:t xml:space="preserve">Chapter 2, </w:t>
      </w:r>
      <w:r w:rsidR="00E23B69">
        <w:rPr>
          <w:rFonts w:eastAsia="Times New Roman"/>
          <w:b/>
          <w:bCs/>
          <w:color w:val="000000" w:themeColor="text1"/>
          <w:szCs w:val="24"/>
          <w:lang w:val="en-GB"/>
        </w:rPr>
        <w:t>Table</w:t>
      </w:r>
      <w:r w:rsidR="54AF870C" w:rsidRPr="728F2DAF">
        <w:rPr>
          <w:rFonts w:eastAsia="Times New Roman"/>
          <w:b/>
          <w:bCs/>
          <w:color w:val="000000" w:themeColor="text1"/>
          <w:szCs w:val="24"/>
          <w:lang w:val="en-GB"/>
        </w:rPr>
        <w:t xml:space="preserve"> 2.1</w:t>
      </w:r>
      <w:r w:rsidR="54AF870C" w:rsidRPr="728F2DAF">
        <w:rPr>
          <w:rFonts w:eastAsia="Times New Roman"/>
          <w:color w:val="000000" w:themeColor="text1"/>
          <w:szCs w:val="24"/>
          <w:lang w:val="en-GB"/>
        </w:rPr>
        <w:t>;</w:t>
      </w:r>
      <w:r w:rsidR="54AF870C" w:rsidRPr="728F2DAF">
        <w:rPr>
          <w:rFonts w:eastAsia="Times New Roman"/>
          <w:b/>
          <w:bCs/>
          <w:color w:val="000000" w:themeColor="text1"/>
          <w:szCs w:val="24"/>
          <w:lang w:val="en-GB"/>
        </w:rPr>
        <w:t xml:space="preserve"> Chapter 1</w:t>
      </w:r>
      <w:r w:rsidR="54AF870C" w:rsidRPr="728F2DAF">
        <w:rPr>
          <w:rFonts w:eastAsia="Times New Roman"/>
          <w:color w:val="000000" w:themeColor="text1"/>
          <w:szCs w:val="24"/>
          <w:lang w:val="en-GB"/>
        </w:rPr>
        <w:t xml:space="preserve">, </w:t>
      </w:r>
      <w:r w:rsidR="00E23B69">
        <w:rPr>
          <w:rFonts w:eastAsia="Times New Roman"/>
          <w:b/>
          <w:bCs/>
          <w:color w:val="000000" w:themeColor="text1"/>
          <w:szCs w:val="24"/>
          <w:lang w:val="en-GB"/>
        </w:rPr>
        <w:t>Box</w:t>
      </w:r>
      <w:r w:rsidR="54AF870C" w:rsidRPr="728F2DAF">
        <w:rPr>
          <w:rFonts w:eastAsia="Times New Roman"/>
          <w:b/>
          <w:bCs/>
          <w:color w:val="000000" w:themeColor="text1"/>
          <w:szCs w:val="24"/>
          <w:lang w:val="en-GB"/>
        </w:rPr>
        <w:t xml:space="preserve"> 1.6</w:t>
      </w:r>
      <w:r w:rsidR="54AF870C" w:rsidRPr="728F2DAF">
        <w:rPr>
          <w:rFonts w:eastAsia="Times New Roman"/>
          <w:color w:val="000000" w:themeColor="text1"/>
          <w:szCs w:val="24"/>
          <w:lang w:val="en-GB"/>
        </w:rPr>
        <w:t xml:space="preserve">). </w:t>
      </w:r>
      <w:r w:rsidR="21B1AA9D" w:rsidRPr="728F2DAF">
        <w:rPr>
          <w:rFonts w:eastAsia="Times New Roman"/>
          <w:color w:val="000000" w:themeColor="text1"/>
          <w:szCs w:val="24"/>
          <w:lang w:val="en-GB"/>
        </w:rPr>
        <w:t xml:space="preserve">In the transport stage, drivers can act by facilitating pathways, such as when economic growth increases trade and </w:t>
      </w:r>
      <w:r w:rsidR="59C90349" w:rsidRPr="728F2DAF">
        <w:rPr>
          <w:rFonts w:eastAsia="Times New Roman"/>
          <w:color w:val="000000" w:themeColor="text1"/>
          <w:szCs w:val="24"/>
          <w:lang w:val="en-GB"/>
        </w:rPr>
        <w:t>transport</w:t>
      </w:r>
      <w:r w:rsidR="21B1AA9D" w:rsidRPr="728F2DAF">
        <w:rPr>
          <w:rFonts w:eastAsia="Times New Roman"/>
          <w:color w:val="000000" w:themeColor="text1"/>
          <w:szCs w:val="24"/>
          <w:lang w:val="en-GB"/>
        </w:rPr>
        <w:t xml:space="preserve"> volumes, thereby facilitat</w:t>
      </w:r>
      <w:r w:rsidR="605EEFB3" w:rsidRPr="728F2DAF">
        <w:rPr>
          <w:rFonts w:eastAsia="Times New Roman"/>
          <w:color w:val="000000" w:themeColor="text1"/>
          <w:szCs w:val="24"/>
          <w:lang w:val="en-GB"/>
        </w:rPr>
        <w:t>ing transport of alien species as stowaways</w:t>
      </w:r>
      <w:r w:rsidR="5805C878" w:rsidRPr="728F2DAF">
        <w:rPr>
          <w:rFonts w:eastAsia="Times New Roman"/>
          <w:color w:val="000000" w:themeColor="text1"/>
          <w:szCs w:val="24"/>
          <w:lang w:val="en-GB"/>
        </w:rPr>
        <w:t xml:space="preserve"> (</w:t>
      </w:r>
      <w:r w:rsidR="5805C878" w:rsidRPr="00FC1BA2">
        <w:rPr>
          <w:rFonts w:eastAsia="Times New Roman"/>
          <w:b/>
          <w:bCs/>
          <w:color w:val="000000" w:themeColor="text1"/>
          <w:szCs w:val="24"/>
          <w:lang w:val="en-GB"/>
        </w:rPr>
        <w:t>section 3.2.3</w:t>
      </w:r>
      <w:r w:rsidR="5805C878" w:rsidRPr="728F2DAF">
        <w:rPr>
          <w:rFonts w:eastAsia="Times New Roman"/>
          <w:color w:val="000000" w:themeColor="text1"/>
          <w:szCs w:val="24"/>
          <w:lang w:val="en-GB"/>
        </w:rPr>
        <w:t>)</w:t>
      </w:r>
      <w:r w:rsidR="605EEFB3" w:rsidRPr="728F2DAF">
        <w:rPr>
          <w:rFonts w:eastAsia="Times New Roman"/>
          <w:color w:val="000000" w:themeColor="text1"/>
          <w:szCs w:val="24"/>
          <w:lang w:val="en-GB"/>
        </w:rPr>
        <w:t xml:space="preserve">. </w:t>
      </w:r>
      <w:r w:rsidR="41BB401F" w:rsidRPr="728F2DAF">
        <w:rPr>
          <w:rFonts w:eastAsia="Times New Roman"/>
          <w:color w:val="000000" w:themeColor="text1"/>
          <w:szCs w:val="24"/>
          <w:lang w:val="en-GB"/>
        </w:rPr>
        <w:t>In later stages</w:t>
      </w:r>
      <w:r w:rsidR="476BA095" w:rsidRPr="728F2DAF">
        <w:rPr>
          <w:rFonts w:eastAsia="Times New Roman"/>
          <w:color w:val="000000" w:themeColor="text1"/>
          <w:szCs w:val="24"/>
          <w:lang w:val="en-GB"/>
        </w:rPr>
        <w:t xml:space="preserve"> of the biological invasion process</w:t>
      </w:r>
      <w:r w:rsidR="41BB401F" w:rsidRPr="728F2DAF">
        <w:rPr>
          <w:rFonts w:eastAsia="Times New Roman"/>
          <w:color w:val="000000" w:themeColor="text1"/>
          <w:szCs w:val="24"/>
          <w:lang w:val="en-GB"/>
        </w:rPr>
        <w:t>, drivers can act both intentionally and unintentionally to facilitate the establishment and spread of invasive alien species, such as when</w:t>
      </w:r>
      <w:r w:rsidR="77C05B13" w:rsidRPr="728F2DAF">
        <w:rPr>
          <w:rFonts w:eastAsia="Times New Roman"/>
          <w:color w:val="000000" w:themeColor="text1"/>
          <w:szCs w:val="24"/>
          <w:lang w:val="en-GB"/>
        </w:rPr>
        <w:t xml:space="preserve"> alien species are used for </w:t>
      </w:r>
      <w:r w:rsidR="35C473CF" w:rsidRPr="728F2DAF">
        <w:rPr>
          <w:rFonts w:eastAsia="Times New Roman"/>
          <w:color w:val="000000" w:themeColor="text1"/>
          <w:szCs w:val="24"/>
          <w:lang w:val="en-GB"/>
        </w:rPr>
        <w:t xml:space="preserve">or spread as pests or contaminants of </w:t>
      </w:r>
      <w:r w:rsidR="35C473CF" w:rsidRPr="728F2DAF">
        <w:rPr>
          <w:lang w:val="en-GB"/>
        </w:rPr>
        <w:t xml:space="preserve">goods </w:t>
      </w:r>
      <w:r w:rsidR="35C473CF" w:rsidRPr="728F2DAF">
        <w:rPr>
          <w:rFonts w:eastAsia="Times New Roman"/>
          <w:color w:val="000000" w:themeColor="text1"/>
          <w:szCs w:val="24"/>
          <w:lang w:val="en-GB"/>
        </w:rPr>
        <w:t xml:space="preserve">used for </w:t>
      </w:r>
      <w:r w:rsidR="57819656" w:rsidRPr="728F2DAF">
        <w:rPr>
          <w:lang w:val="en-GB"/>
        </w:rPr>
        <w:t>bioeconomic purposes (agriculture, aquaculture, forestry, or as pets or ornamentals)</w:t>
      </w:r>
      <w:r w:rsidR="74E65AC4" w:rsidRPr="728F2DAF">
        <w:rPr>
          <w:lang w:val="en-GB"/>
        </w:rPr>
        <w:t xml:space="preserve"> </w:t>
      </w:r>
      <w:r w:rsidR="77C05B13" w:rsidRPr="728F2DAF">
        <w:rPr>
          <w:rFonts w:eastAsia="Times New Roman"/>
          <w:color w:val="000000" w:themeColor="text1"/>
          <w:szCs w:val="24"/>
          <w:lang w:val="en-GB"/>
        </w:rPr>
        <w:t xml:space="preserve">or when </w:t>
      </w:r>
      <w:r w:rsidR="2439E15D" w:rsidRPr="728F2DAF">
        <w:rPr>
          <w:rFonts w:eastAsia="Times New Roman"/>
          <w:color w:val="000000" w:themeColor="text1"/>
          <w:szCs w:val="24"/>
          <w:lang w:val="en-GB"/>
        </w:rPr>
        <w:t>land-use</w:t>
      </w:r>
      <w:r w:rsidR="41BB401F" w:rsidRPr="728F2DAF">
        <w:rPr>
          <w:rFonts w:eastAsia="Times New Roman"/>
          <w:color w:val="000000" w:themeColor="text1"/>
          <w:szCs w:val="24"/>
          <w:lang w:val="en-GB"/>
        </w:rPr>
        <w:t xml:space="preserve"> </w:t>
      </w:r>
      <w:r w:rsidR="2CBE0218" w:rsidRPr="728F2DAF">
        <w:rPr>
          <w:rFonts w:eastAsia="Times New Roman"/>
          <w:color w:val="000000" w:themeColor="text1"/>
          <w:szCs w:val="24"/>
          <w:lang w:val="en-GB"/>
        </w:rPr>
        <w:t xml:space="preserve">change </w:t>
      </w:r>
      <w:r w:rsidR="2DA8DBB4" w:rsidRPr="728F2DAF">
        <w:rPr>
          <w:rFonts w:eastAsia="Times New Roman"/>
          <w:color w:val="000000" w:themeColor="text1"/>
          <w:szCs w:val="24"/>
          <w:lang w:val="en-GB"/>
        </w:rPr>
        <w:t xml:space="preserve">or biodiversity loss </w:t>
      </w:r>
      <w:r w:rsidR="2DA8DBB4" w:rsidRPr="728F2DAF">
        <w:rPr>
          <w:lang w:val="en-GB"/>
        </w:rPr>
        <w:t xml:space="preserve">causes </w:t>
      </w:r>
      <w:r w:rsidR="2CBE0218" w:rsidRPr="728F2DAF">
        <w:rPr>
          <w:rFonts w:eastAsia="Times New Roman"/>
          <w:color w:val="000000" w:themeColor="text1"/>
          <w:szCs w:val="24"/>
          <w:lang w:val="en-GB"/>
        </w:rPr>
        <w:t xml:space="preserve">natural ecosystems </w:t>
      </w:r>
      <w:r w:rsidR="2CCDB652" w:rsidRPr="728F2DAF">
        <w:rPr>
          <w:rFonts w:eastAsia="Times New Roman"/>
          <w:color w:val="000000" w:themeColor="text1"/>
          <w:szCs w:val="24"/>
          <w:lang w:val="en-GB"/>
        </w:rPr>
        <w:t xml:space="preserve">to be </w:t>
      </w:r>
      <w:r w:rsidR="2CBE0218" w:rsidRPr="728F2DAF">
        <w:rPr>
          <w:rFonts w:eastAsia="Times New Roman"/>
          <w:color w:val="000000" w:themeColor="text1"/>
          <w:szCs w:val="24"/>
          <w:lang w:val="en-GB"/>
        </w:rPr>
        <w:t>less resistant to biological invasions</w:t>
      </w:r>
      <w:r w:rsidR="6517FA67" w:rsidRPr="728F2DAF">
        <w:rPr>
          <w:rFonts w:eastAsia="Times New Roman"/>
          <w:color w:val="000000" w:themeColor="text1"/>
          <w:szCs w:val="24"/>
          <w:lang w:val="en-GB"/>
        </w:rPr>
        <w:t xml:space="preserve"> (</w:t>
      </w:r>
      <w:r w:rsidR="6517FA67" w:rsidRPr="00FC1BA2">
        <w:rPr>
          <w:rFonts w:eastAsia="Times New Roman"/>
          <w:b/>
          <w:bCs/>
          <w:color w:val="000000" w:themeColor="text1"/>
          <w:szCs w:val="24"/>
          <w:lang w:val="en-GB"/>
        </w:rPr>
        <w:t>section</w:t>
      </w:r>
      <w:r w:rsidR="00A30611">
        <w:rPr>
          <w:rFonts w:eastAsia="Times New Roman"/>
          <w:b/>
          <w:bCs/>
          <w:color w:val="000000" w:themeColor="text1"/>
          <w:szCs w:val="24"/>
          <w:lang w:val="en-GB"/>
        </w:rPr>
        <w:t>s</w:t>
      </w:r>
      <w:r w:rsidR="6517FA67" w:rsidRPr="00FC1BA2">
        <w:rPr>
          <w:rFonts w:eastAsia="Times New Roman"/>
          <w:b/>
          <w:bCs/>
          <w:color w:val="000000" w:themeColor="text1"/>
          <w:szCs w:val="24"/>
          <w:lang w:val="en-GB"/>
        </w:rPr>
        <w:t xml:space="preserve"> 3.3.1, 3.4.2)</w:t>
      </w:r>
      <w:r w:rsidR="2CBE0218" w:rsidRPr="728F2DAF">
        <w:rPr>
          <w:rFonts w:eastAsia="Times New Roman"/>
          <w:color w:val="000000" w:themeColor="text1"/>
          <w:szCs w:val="24"/>
          <w:lang w:val="en-GB"/>
        </w:rPr>
        <w:t xml:space="preserve">. </w:t>
      </w:r>
    </w:p>
    <w:p w14:paraId="6068F308" w14:textId="553F58EE" w:rsidR="00F53C10" w:rsidRPr="00DA249F" w:rsidRDefault="6F8A870C" w:rsidP="728F2DAF">
      <w:pPr>
        <w:rPr>
          <w:lang w:val="en-GB"/>
        </w:rPr>
      </w:pPr>
      <w:r w:rsidRPr="00DA249F">
        <w:rPr>
          <w:lang w:val="en-GB"/>
        </w:rPr>
        <w:t>T</w:t>
      </w:r>
      <w:r w:rsidR="2996F55B" w:rsidRPr="00DA249F">
        <w:rPr>
          <w:lang w:val="en-GB"/>
        </w:rPr>
        <w:t xml:space="preserve">he </w:t>
      </w:r>
      <w:r w:rsidR="040AC0B4" w:rsidRPr="00DA249F">
        <w:rPr>
          <w:lang w:val="en-GB"/>
        </w:rPr>
        <w:t>biological invasion process</w:t>
      </w:r>
      <w:r w:rsidR="2996F55B" w:rsidRPr="00DA249F">
        <w:rPr>
          <w:lang w:val="en-GB"/>
        </w:rPr>
        <w:t xml:space="preserve"> is central to the quantitative risk assessment of </w:t>
      </w:r>
      <w:r w:rsidR="040AC0B4" w:rsidRPr="00DA249F">
        <w:rPr>
          <w:lang w:val="en-GB"/>
        </w:rPr>
        <w:t>invasive alien species</w:t>
      </w:r>
      <w:r w:rsidR="2996F55B" w:rsidRPr="00DA249F">
        <w:rPr>
          <w:lang w:val="en-GB"/>
        </w:rPr>
        <w:t xml:space="preserve"> </w:t>
      </w:r>
      <w:r w:rsidR="18794F6F" w:rsidRPr="00DA249F">
        <w:rPr>
          <w:lang w:val="en-GB"/>
        </w:rPr>
        <w:fldChar w:fldCharType="begin"/>
      </w:r>
      <w:r w:rsidR="00F5121E">
        <w:rPr>
          <w:lang w:val="en-GB"/>
        </w:rPr>
        <w:instrText xml:space="preserve"> ADDIN ZOTERO_ITEM CSL_CITATION {"citationID":"vNuSdG4b","properties":{"formattedCitation":"(Leung et al., 2012)","plainCitation":"(Leung et al., 2012)","dontUpdate":true,"noteIndex":0},"citationItems":[{"id":32211,"uris":["http://zotero.org/groups/2352922/items/R9RJTXKB"],"itemData":{"id":32211,"type":"article-journal","abstract":"Some alien species cause substantial impacts, yet most are innocuous. Given limited resources, forecasting risks from alien species will help prioritise management. Given that risk assessment (RA) approaches vary widely, a synthesis is timely to highlight best practices. We reviewed quantitative and scoring RAs, integrating &gt; 300 publications into arguably the most rigorous quantitative RA framework currently existing, and mapping each study onto our framework, which combines Transport, Establishment, Abundance, Spread and Impact (TEASI). Quantitative models generally measured single risk components (78% of studies), often focusing on Establishment alone (79%). Although dominant in academia, quantitative RAs are underused in policy, and should be made more accessible. Accommodating heterogeneous limited data, combining across risk components, and developing generalised RAs across species, space and time without requiring new models for each species may increase attractiveness for policy applications. Comparatively, scoring approaches covered more risk components (50% examined &gt; 3 components), with Impact being the most common component (87%), and have been widely applied in policy (&gt; 57%), but primarily employed expert opinion. Our framework provides guidance for questions asked, combining scores and other improvements. Our risk framework need not be completely parameterised to be informative, but instead identifies opportunities for improvement in alien species RA.","container-title":"Ecology Letters","DOI":"10.1111/ele.12003","ISSN":"1461-023X","issue":"12","journalAbbreviation":"Ecol Lett","language":"en","note":"WOS:000310250600015","page":"1475-1493","source":"DOI.org (Crossref)","title":"TEASIng apart alien species risk assessments: a framework for best practices","title-short":"TEASIng apart alien species risk assessments","URL":"https://www.scopus.com/inward/record.uri?eid=2-s2.0-84867484022&amp;doi=10.1111%2fele.12003&amp;partnerID=40&amp;md5=82db3ec22be611e1a15ca31e1989f9ab","volume":"15","author":[{"family":"Leung","given":"Brian"},{"family":"Roura-Pascual","given":"Nuria"},{"family":"Bacher","given":"Sven"},{"family":"Heikkila","given":"Jaakko"},{"family":"Brotons","given":"Lluis"},{"family":"Burgman","given":"Mark A."},{"family":"Dehnen-Schmutz","given":"Katharina"},{"family":"Essl","given":"Franz"},{"family":"Hulme","given":"Philip E."},{"family":"Richardson","given":"David M."},{"family":"Sol","given":"Daniel"},{"family":"Vilà","given":"Montserrat"}],"issued":{"date-parts":[["2012",12]]}}}],"schema":"https://github.com/citation-style-language/schema/raw/master/csl-citation.json"} </w:instrText>
      </w:r>
      <w:r w:rsidR="18794F6F" w:rsidRPr="00DA249F">
        <w:rPr>
          <w:lang w:val="en-GB"/>
        </w:rPr>
        <w:fldChar w:fldCharType="separate"/>
      </w:r>
      <w:r w:rsidR="35794EB1" w:rsidRPr="00DA249F">
        <w:rPr>
          <w:lang w:val="en-GB"/>
        </w:rPr>
        <w:t>(Leung et al., 2012</w:t>
      </w:r>
      <w:r w:rsidR="18794F6F" w:rsidRPr="00DA249F">
        <w:rPr>
          <w:lang w:val="en-GB"/>
        </w:rPr>
        <w:fldChar w:fldCharType="end"/>
      </w:r>
      <w:r w:rsidR="073A2C97" w:rsidRPr="00DA249F">
        <w:rPr>
          <w:lang w:val="en-GB"/>
        </w:rPr>
        <w:t>;</w:t>
      </w:r>
      <w:r w:rsidR="39147C41" w:rsidRPr="00DA249F">
        <w:rPr>
          <w:lang w:val="en-GB"/>
        </w:rPr>
        <w:t xml:space="preserve"> </w:t>
      </w:r>
      <w:r w:rsidR="202856D9" w:rsidRPr="5575EBFC">
        <w:rPr>
          <w:b/>
          <w:bCs/>
          <w:lang w:val="en-GB"/>
        </w:rPr>
        <w:t>C</w:t>
      </w:r>
      <w:r w:rsidR="36809EF8" w:rsidRPr="5575EBFC">
        <w:rPr>
          <w:b/>
          <w:bCs/>
          <w:lang w:val="en-GB"/>
        </w:rPr>
        <w:t xml:space="preserve">hapter </w:t>
      </w:r>
      <w:r w:rsidR="263871CC" w:rsidRPr="5575EBFC">
        <w:rPr>
          <w:b/>
          <w:bCs/>
          <w:lang w:val="en-GB"/>
        </w:rPr>
        <w:t>5</w:t>
      </w:r>
      <w:r w:rsidR="2657E84D" w:rsidRPr="5575EBFC">
        <w:rPr>
          <w:lang w:val="en-GB"/>
        </w:rPr>
        <w:t>,</w:t>
      </w:r>
      <w:r w:rsidR="36809EF8" w:rsidRPr="5575EBFC">
        <w:rPr>
          <w:lang w:val="en-GB"/>
        </w:rPr>
        <w:t xml:space="preserve"> </w:t>
      </w:r>
      <w:r w:rsidR="00E23B69">
        <w:rPr>
          <w:b/>
          <w:bCs/>
          <w:lang w:val="en-GB"/>
        </w:rPr>
        <w:t>Figure</w:t>
      </w:r>
      <w:r w:rsidR="343749A3" w:rsidRPr="5575EBFC">
        <w:rPr>
          <w:b/>
          <w:bCs/>
          <w:lang w:val="en-GB"/>
        </w:rPr>
        <w:t xml:space="preserve"> </w:t>
      </w:r>
      <w:r w:rsidR="39147C41" w:rsidRPr="5575EBFC">
        <w:rPr>
          <w:b/>
          <w:bCs/>
          <w:lang w:val="en-GB"/>
        </w:rPr>
        <w:t>5.1</w:t>
      </w:r>
      <w:r w:rsidR="39147C41" w:rsidRPr="5575EBFC">
        <w:rPr>
          <w:lang w:val="en-GB"/>
        </w:rPr>
        <w:t>)</w:t>
      </w:r>
      <w:r w:rsidR="2996F55B" w:rsidRPr="5575EBFC">
        <w:rPr>
          <w:lang w:val="en-GB"/>
        </w:rPr>
        <w:t>.</w:t>
      </w:r>
      <w:r w:rsidR="4B5D17F9" w:rsidRPr="00DA249F" w:rsidDel="002E6CF4">
        <w:rPr>
          <w:lang w:val="en-GB"/>
        </w:rPr>
        <w:t xml:space="preserve"> </w:t>
      </w:r>
      <w:r w:rsidR="4D60D993" w:rsidRPr="00DA249F">
        <w:rPr>
          <w:lang w:val="en-GB"/>
        </w:rPr>
        <w:t>Neverth</w:t>
      </w:r>
      <w:r w:rsidR="398D70AB" w:rsidRPr="00DA249F">
        <w:rPr>
          <w:lang w:val="en-GB"/>
        </w:rPr>
        <w:t>e</w:t>
      </w:r>
      <w:r w:rsidR="4D60D993" w:rsidRPr="00DA249F">
        <w:rPr>
          <w:lang w:val="en-GB"/>
        </w:rPr>
        <w:t>less</w:t>
      </w:r>
      <w:r w:rsidR="128E978D" w:rsidRPr="00DA249F">
        <w:rPr>
          <w:lang w:val="en-GB"/>
        </w:rPr>
        <w:t xml:space="preserve">, </w:t>
      </w:r>
      <w:r w:rsidR="33CDA106" w:rsidRPr="00DA249F">
        <w:rPr>
          <w:lang w:val="en-GB"/>
        </w:rPr>
        <w:t>while</w:t>
      </w:r>
      <w:r w:rsidR="2996F55B" w:rsidRPr="00DA249F">
        <w:rPr>
          <w:lang w:val="en-GB"/>
        </w:rPr>
        <w:t xml:space="preserve"> considerable </w:t>
      </w:r>
      <w:r w:rsidR="3BDDACCA" w:rsidRPr="00DA249F">
        <w:rPr>
          <w:lang w:val="en-GB"/>
        </w:rPr>
        <w:t xml:space="preserve">amounts of </w:t>
      </w:r>
      <w:r w:rsidR="2996F55B" w:rsidRPr="00DA249F">
        <w:rPr>
          <w:lang w:val="en-GB"/>
        </w:rPr>
        <w:t xml:space="preserve">data are being captured on the dynamics of </w:t>
      </w:r>
      <w:r w:rsidR="1035741B" w:rsidRPr="728F2DAF">
        <w:rPr>
          <w:lang w:val="en-GB"/>
        </w:rPr>
        <w:t>invasive alien species</w:t>
      </w:r>
      <w:r w:rsidR="38277770" w:rsidRPr="728F2DAF">
        <w:rPr>
          <w:lang w:val="en-GB"/>
        </w:rPr>
        <w:t xml:space="preserve"> </w:t>
      </w:r>
      <w:r w:rsidR="2996F55B" w:rsidRPr="00DA249F">
        <w:rPr>
          <w:lang w:val="en-GB"/>
        </w:rPr>
        <w:t xml:space="preserve">across </w:t>
      </w:r>
      <w:r w:rsidR="01FB494E" w:rsidRPr="00DA249F">
        <w:rPr>
          <w:lang w:val="en-GB"/>
        </w:rPr>
        <w:t>some</w:t>
      </w:r>
      <w:r w:rsidR="2996F55B" w:rsidRPr="00DA249F">
        <w:rPr>
          <w:lang w:val="en-GB"/>
        </w:rPr>
        <w:t xml:space="preserve"> of the</w:t>
      </w:r>
      <w:r w:rsidR="15E119C2" w:rsidRPr="00DA249F">
        <w:rPr>
          <w:lang w:val="en-GB"/>
        </w:rPr>
        <w:t>se</w:t>
      </w:r>
      <w:r w:rsidR="2996F55B" w:rsidRPr="00DA249F">
        <w:rPr>
          <w:lang w:val="en-GB"/>
        </w:rPr>
        <w:t xml:space="preserve"> </w:t>
      </w:r>
      <w:r w:rsidR="1EE2B538" w:rsidRPr="728F2DAF">
        <w:rPr>
          <w:lang w:val="en-GB"/>
        </w:rPr>
        <w:t xml:space="preserve">biological </w:t>
      </w:r>
      <w:r w:rsidR="2996F55B" w:rsidRPr="00DA249F">
        <w:rPr>
          <w:lang w:val="en-GB"/>
        </w:rPr>
        <w:t xml:space="preserve">invasion stages </w:t>
      </w:r>
      <w:r w:rsidR="003F4499" w:rsidRPr="00DA249F">
        <w:rPr>
          <w:lang w:val="en-GB"/>
        </w:rPr>
        <w:fldChar w:fldCharType="begin"/>
      </w:r>
      <w:r w:rsidR="00331A79">
        <w:rPr>
          <w:lang w:val="en-GB"/>
        </w:rPr>
        <w:instrText xml:space="preserve"> ADDIN ZOTERO_ITEM CSL_CITATION {"citationID":"6qNphp1u","properties":{"formattedCitation":"(Abellan et al., 2016; Essl et al., 2015; Gravuer et al., 2008; Moodley et al., 2013; Renault et al., 2018; F. Ribeiro et al., 2008)","plainCitation":"(Abellan et al., 2016; Essl et al., 2015; Gravuer et al., 2008; Moodley et al., 2013; Renault et al., 2018; F. Ribeiro et al., 2008)","noteIndex":0},"citationItems":[{"id":28811,"uris":["http://zotero.org/groups/2352922/items/P2MAC56X"],"itemData":{"id":28811,"type":"article-journal","abstract":"Aim Invasion processes are probably better understood for birds than for any other taxon, thanks to detailed information available on deliberate introductions performed by Europeans when they colonized other continents. Little is known, however, about current avian introductions in developed countries, including Europe. Using an unprecedented dataset on exotic birds, we assessed the sources and magnitude of recent avian introductions and characterized the transitions between main invasion stages (transport, introduction and establishment) and their temporal evolution. Location Spain and Portugal. Methods We compiled records of species introduced between 1912 and 2012, including information on transport and introduction pathways. We assessed non-randomness in the phylogenetic relationships and the biogeographic origin of species crossing each invasion stage and evaluated temporal changes in introduction patterns. Results At least 1026 exotic species have been transported to Spain and Portugal (ca. 10% of the world's birds) during the last 100 years. Of these, 377 (37%) have been recorded as introduced into the wild, of which up to 32 (9%) species have established breeding populations. Exotic species entered the invasion pathway mostly through the accidental escape of internationally traded birds, and temporal changes in introduction rates mirrored changes in the number of imported birds. The subsets of taxa successfully passing through the different invasion stages were non-random with respect to their biogeographic origin and were phylogenetically clustered in several distantly related clades. Main conclusions Our findings show that the magnitude of transport, introduction and establishment of exotic birds is much greater than usually described at a regional level, and support the hypothesis that most species fail to transit the different steps of the invasion process (the so-called tens rule). The temporal changes in introduction rates are broadly consistent with the recent global rise of accidental introductions associated with the wildlife trade.","container-title":"Diversity and Distributions","DOI":"10.1111/ddi.12403","ISSN":"1366-9516","issue":"3","note":"WOS:000372882700002","page":"263-273","title":"Non-random patterns and temporal trends (1912-2012) in the transport, introduction and establishment of exotic birds in Spain and Portugal","volume":"22","author":[{"family":"Abellan","given":"Pedro"},{"family":"Carrete","given":"Martina"},{"family":"Anadon","given":"Jose D."},{"family":"Cardador","given":"Laura"},{"family":"Tella","given":"Jose L."}],"issued":{"date-parts":[["2016",3]]}},"label":"page"},{"id":28968,"uris":["http://zotero.org/groups/2352922/items/BKFH7JRK"],"itemData":{"id":28968,"type":"article-journal","container-title":"Ecography","DOI":"10.1111/ecog.00905","ISSN":"09067590","issue":"5","journalAbbreviation":"Ecography","language":"en","page":"488-498","source":"DOI.org (Crossref)","title":"Macroecology of global bryophyte invasions at different invasion stages","URL":"https://onlinelibrary.wiley.com/doi/10.1111/ecog.00905","volume":"38","author":[{"family":"Essl","given":"Franz"},{"family":"Dullinger","given":"Stefan"},{"family":"Moser","given":"Dietmar"},{"family":"Steinbauer","given":"Klaus"},{"family":"Mang","given":"Thomas"}],"accessed":{"date-parts":[["2021",7,8]]},"issued":{"date-parts":[["2015",5]]}},"label":"page"},{"id":12394,"uris":["http://zotero.org/groups/2352922/items/77HQBHT7"],"itemData":{"id":12394,"type":"article-journal","abstract":"It has proven difficult, when focused only on biological determinants, to explain why some plant species become naturalized in or invade new locations, whereas others fail. We analyzed the invasion of Trifolium (true clover) species into New Zealand, assessing a range of human, biogeographic, and biological influences at three key invasion stages: introduction, naturalization, and spread. We used sparse principal component analysis (SPCA) to define suites of related attributes and aggregated boosted trees to model relationships with invasion outcomes. Human and biogeographic attributes were strongly associated with success at all stages. Whereas biogeographic attributes, notably large native range, were consistently associated with success, different human factors appeared to favor success at different stages, such as presence in early trade/immigration hotspots (introduction), intentional large-scale planting (naturalization), and frequent presence as a seed contaminant (relative spread rate). Biological traits were less strongly associated with success for introduction and spread and little if at all for naturalization; we found that tall perennials with long flowering periods were more frequently selected for introduction, whereas species With extended flowering in New Zealand spread more rapidly. In addition to causal relationships, the importance of human factors may reflect indirect associations, including ecological traits associated with both human use and invasion. Nevertheless, our results highlight key roles that humans can play in facilitating plant invasion via two pathways: (i) commercial introduction leading to widespread planting and concomitant naturalization and spread and (h) unintentional introduction and spread of species associated with human activities, such as seed contaminants.","container-title":"Proceedings of the National Academy of Sciences of the United States of America","DOI":"10.1073/pnas.0712026105","ISSN":"0027-8424","issue":"17","note":"WOS:000255534100025","page":"6344-6349","title":"Strong human association with plant invasion success for &lt;i&gt;Trifolium&lt;/i&gt; introductions to New Zealand","volume":"105","author":[{"family":"Gravuer","given":"Kelly"},{"family":"Sullivan","given":"Jon J."},{"family":"Williams","given":"Peter A."},{"family":"Duncan","given":"Richard P."}],"issued":{"date-parts":[["2008",4,29]]}},"label":"page"},{"id":29033,"uris":["http://zotero.org/groups/2352922/items/8SKJPVCV"],"itemData":{"id":29033,"type":"article-journal","abstract":"A major aim of invasion ecology is to identify characteristics of successful invaders. However, most plant groups studied in detail (e. g. pines and acacias) have a high percentage of invasive taxa. Here we examine the global introduction history and invasion ecology of Proteaceae-a large plant family with many taxa that have been widely disseminated by humans, but with few known invaders. To do this we compiled a global list of species and used boosted regression tree models to assess which factors are important in determining the status of a species (not introduced, introduced, naturalized or invasive). At least 402 of 1674 known species (24%) have been moved by humans out of their native ranges, 58 species (14%) have become naturalized but not invasive, and 8 species (2%) are invasive. The probability of naturalization was greatest for species with large native ranges, low susceptibility to Phytophthora root-rot fungus, large mammal-dispersed seeds, and with the capacity to resprout. The probability of naturalized species becoming invasive was greatest for species with large native ranges, those used as barrier plants, tall species, species with small seeds, and serotinous species. The traits driving invasiveness of Proteaceae were similar to those for acacias and pines. However, while some traits showed a consistent influence at introduction, naturalization and invasion, others appear to be influential at one stage only, and some have contrasting effects at different stages. Trait-based analyses therefore need to consider different invasion stages separately. On their own, these observations provide little predictive power for risk assessment, but when the causative mechanisms are understood (e. g. Phytophthora susceptibility) they provide valuable insights. As such there is considerable value in seeking the correlates and mechanisms underlying invasions for particular taxonomic or functional groups.","container-title":"PLoS ONE","DOI":"10.1371/journal.pone.0075078","ISSN":"1932-6203","issue":"9","note":"WOS:000325025200023","page":"e75078","title":"Different Traits Determine Introduction, Naturalization and Invasion Success In Woody Plants: Proteaceae as a Test Case","volume":"8","author":[{"family":"Moodley","given":"Desika"},{"family":"Geerts","given":"Sjirk"},{"family":"Richardson","given":"David M."},{"family":"Wilson","given":"John R. U."}],"issued":{"date-parts":[["2013",9,24]]}},"label":"page"},{"id":25229,"uris":["http://zotero.org/groups/2352922/items/5KXSJWNU"],"itemData":{"id":25229,"type":"article-journal","abstract":"Insect invasions, the establishment and spread of nonnative insects in new regions, can have extensive economic and environmental consequences. Increased global connectivity accelerates rates of introductions, while climate change may decrease the barriers to invader species’ spread. We follow an individual-level insect- and arachnid-centered perspective to assess how the process of invasion is influenced by phenotypic heterogeneity associated with dispersal and stress resistance, and their coupling, across the multiple steps of the invasion process. We also provide an overview and synthesis on the importance of environmental filters during the entire invasion process for the facilitation or inhibition of invasive insect population spread. Finally, we highlight important research gaps and the relevance and applicability of ongoing natural range expansions in the context of climate change to gain essential mechanistic insights into insect invasions.","container-title":"Annual Review of Entomology","DOI":"10.1146/annurev-ento-020117-043315","issue":"1","note":"_eprint: https://doi.org/10.1146/annurev-ento-020117-043315\nPMID: 29029589","page":"345-368","title":"Environmental Adaptations, Ecological Filtering, and Dispersal Central to Insect Invasions","URL":"https://doi.org/10.1146/annurev-ento-020117-043315","volume":"63","author":[{"family":"Renault","given":"David"},{"family":"Laparie","given":"Mathieu"},{"family":"McCauley","given":"Shannon J."},{"family":"Bonte","given":"Dries"}],"issued":{"date-parts":[["2018"]]}},"label":"page"},{"id":17257,"uris":["http://zotero.org/groups/2352922/items/EHS45UFZ"],"itemData":{"id":17257,"type":"article-journal","abstract":"Freshwater ecosystems are seriously imperiled by the spread of non-native fishes thus establishing profiles of their life-history characteristics is an emerging tool for developing conservation and management strategies. We did a first approach to determine characteristics of successful and failed non-native fishes in a Mediterranean-climate area, the Iberian Peninsula, for three stages of the invasion process: establishment, spread and integration. Using general linear models, we established which characteristics are most important for success at each invasion stage. Prior invasion success was a good predictor for all the stages of the invasion process. Biological variables relevant for more than one invasion stage were maximum adult size and size of native range. Despite these common variables, all models produced a different set of variables important for a successful invasion, demonstrating that successful invaders have a combination of biological traits that may favor success at all invasion stages. However, some differences were found in relation to published studies on fish invasions in other Mediterranean-climate areas, suggesting that characteristics of the recipient ecosystem are as relevant as the characteristics of the invading species.","container-title":"Biological Invasions","DOI":"10.1007/s10530-007-9112-2","ISSN":"1387-3547","issue":"1","note":"WOS:000252473900011","page":"89-102","title":"Life-history traits of non-native fishes in Iberian watersheds across several invasion stages: a first approach","volume":"10","author":[{"family":"Ribeiro","given":"Filipe"},{"family":"Elvira","given":"Benigno"},{"family":"Collares-Pereira","given":"Maria Joao"},{"family":"Moyle","given":"Peter B."}],"issued":{"date-parts":[["2008",1]]}},"label":"page"}],"schema":"https://github.com/citation-style-language/schema/raw/master/csl-citation.json"} </w:instrText>
      </w:r>
      <w:r w:rsidR="003F4499" w:rsidRPr="00DA249F">
        <w:rPr>
          <w:lang w:val="en-GB"/>
        </w:rPr>
        <w:fldChar w:fldCharType="separate"/>
      </w:r>
      <w:r w:rsidR="73B99EB6" w:rsidRPr="00144D96">
        <w:t>(Abellan et al., 2016; Essl et al., 2015; Gravuer et al., 2008; Moodley et al., 2013; Renault et al., 2018; F. Ribeiro et al., 2008)</w:t>
      </w:r>
      <w:r w:rsidR="003F4499" w:rsidRPr="00DA249F">
        <w:rPr>
          <w:lang w:val="en-GB"/>
        </w:rPr>
        <w:fldChar w:fldCharType="end"/>
      </w:r>
      <w:r w:rsidR="2996F55B" w:rsidRPr="00DA249F">
        <w:rPr>
          <w:lang w:val="en-GB"/>
        </w:rPr>
        <w:t xml:space="preserve">, </w:t>
      </w:r>
      <w:r w:rsidR="79C84535" w:rsidRPr="00DA249F">
        <w:rPr>
          <w:lang w:val="en-GB"/>
        </w:rPr>
        <w:t xml:space="preserve">a full </w:t>
      </w:r>
      <w:r w:rsidR="15E119C2" w:rsidRPr="00DA249F">
        <w:rPr>
          <w:lang w:val="en-GB"/>
        </w:rPr>
        <w:t xml:space="preserve">understanding of the </w:t>
      </w:r>
      <w:r w:rsidR="79C84535" w:rsidRPr="00DA249F">
        <w:rPr>
          <w:lang w:val="en-GB"/>
        </w:rPr>
        <w:t xml:space="preserve">causal factors responsible for </w:t>
      </w:r>
      <w:r w:rsidR="3743AB51" w:rsidRPr="00DA249F">
        <w:rPr>
          <w:lang w:val="en-GB"/>
        </w:rPr>
        <w:t>successful introduction</w:t>
      </w:r>
      <w:r w:rsidR="79C84535" w:rsidRPr="00DA249F">
        <w:rPr>
          <w:lang w:val="en-GB"/>
        </w:rPr>
        <w:t>s</w:t>
      </w:r>
      <w:r w:rsidR="2996F55B" w:rsidRPr="00DA249F">
        <w:rPr>
          <w:lang w:val="en-GB"/>
        </w:rPr>
        <w:t xml:space="preserve"> of </w:t>
      </w:r>
      <w:r w:rsidR="5DB27556" w:rsidRPr="00DA249F">
        <w:rPr>
          <w:lang w:val="en-GB"/>
        </w:rPr>
        <w:t>invasive specie</w:t>
      </w:r>
      <w:r w:rsidR="17A4B8A8" w:rsidRPr="00DA249F">
        <w:rPr>
          <w:lang w:val="en-GB"/>
        </w:rPr>
        <w:t>s</w:t>
      </w:r>
      <w:r w:rsidR="2996F55B" w:rsidRPr="00DA249F">
        <w:rPr>
          <w:lang w:val="en-GB"/>
        </w:rPr>
        <w:t xml:space="preserve"> remains more limited </w:t>
      </w:r>
      <w:r w:rsidR="003F4499" w:rsidRPr="00DA249F">
        <w:rPr>
          <w:lang w:val="en-GB"/>
        </w:rPr>
        <w:fldChar w:fldCharType="begin"/>
      </w:r>
      <w:r w:rsidR="00331A79">
        <w:rPr>
          <w:lang w:val="en-GB"/>
        </w:rPr>
        <w:instrText xml:space="preserve"> ADDIN ZOTERO_ITEM CSL_CITATION {"citationID":"jz6tOlxq","properties":{"formattedCitation":"(Puth &amp; Post, 2005)","plainCitation":"(Puth &amp; Post, 2005)","noteIndex":0},"citationItems":[{"id":29390,"uris":["http://zotero.org/groups/2352922/items/AAZR7KGT"],"itemData":{"id":29390,"type":"article-journal","abstract":"Invasive species, and the ensuing homogenization of the world's biota, form a global problem with consequences ranging from the decline and extirpation of native species to threats to human health. The magnitude of this issue demands a thorough understanding of the invasion process, which consists of three main stages: initial dispersal, establishment of self-sustaining populations, and spread. To assess the relative distribution of research effort among these stages, we conducted a literature review using 873 articles published in 23 major journals over the past 10 years. Of the 873 papers, only 96 (11.0%) studied initial dispersal, and only half of these (6.2% of the total) were empirical. As the first stage in a contingent process, we argue that initial dispersal is the best stage during which to direct management efforts. In addition, initial dispersal has direct relevance for fundamental ecological questions regarding community assembly and metacommunity dynamics. In so far that answering these questions and preventing invasion are goals of ecologists, the disparity in research effort noted here suggests that ecologists need to expand their efforts to include more research on initial dispersal.","container-title":"Ecology Letters","DOI":"10.1111/j.1461-0248.2005.00774.x","ISSN":"1461-023X","issue":"7","note":"WOS:000229580300006","page":"715-721","title":"Studying invasion: have we missed the boat?","volume":"8","author":[{"family":"Puth","given":"Linda M"},{"family":"Post","given":"David M"}],"issued":{"date-parts":[["2005",7]]}},"label":"page"}],"schema":"https://github.com/citation-style-language/schema/raw/master/csl-citation.json"} </w:instrText>
      </w:r>
      <w:r w:rsidR="003F4499" w:rsidRPr="00DA249F">
        <w:rPr>
          <w:lang w:val="en-GB"/>
        </w:rPr>
        <w:fldChar w:fldCharType="separate"/>
      </w:r>
      <w:r w:rsidR="73B99EB6" w:rsidRPr="00144D96">
        <w:t>(Puth &amp; Post, 2005)</w:t>
      </w:r>
      <w:r w:rsidR="003F4499" w:rsidRPr="00DA249F">
        <w:rPr>
          <w:lang w:val="en-GB"/>
        </w:rPr>
        <w:fldChar w:fldCharType="end"/>
      </w:r>
      <w:r w:rsidR="2996F55B" w:rsidRPr="00DA249F">
        <w:rPr>
          <w:lang w:val="en-GB"/>
        </w:rPr>
        <w:t xml:space="preserve">. </w:t>
      </w:r>
      <w:r w:rsidR="27CC08F6" w:rsidRPr="00DA249F">
        <w:rPr>
          <w:lang w:val="en-GB"/>
        </w:rPr>
        <w:t>S</w:t>
      </w:r>
      <w:r w:rsidR="46AE256A" w:rsidRPr="00DA249F">
        <w:rPr>
          <w:lang w:val="en-GB"/>
        </w:rPr>
        <w:t>pecies</w:t>
      </w:r>
      <w:r w:rsidR="43BE52EE" w:rsidRPr="00DA249F">
        <w:rPr>
          <w:lang w:val="en-GB"/>
        </w:rPr>
        <w:t>’</w:t>
      </w:r>
      <w:r w:rsidR="2996F55B" w:rsidRPr="00DA249F">
        <w:rPr>
          <w:lang w:val="en-GB"/>
        </w:rPr>
        <w:t xml:space="preserve"> traits that facilitate </w:t>
      </w:r>
      <w:r w:rsidR="10A7EDD1" w:rsidRPr="00DA249F">
        <w:rPr>
          <w:lang w:val="en-GB"/>
        </w:rPr>
        <w:t xml:space="preserve">the </w:t>
      </w:r>
      <w:r w:rsidR="2996F55B" w:rsidRPr="00DA249F">
        <w:rPr>
          <w:lang w:val="en-GB"/>
        </w:rPr>
        <w:t>introduction, establishment</w:t>
      </w:r>
      <w:r w:rsidR="009F7404">
        <w:rPr>
          <w:lang w:val="en-GB"/>
        </w:rPr>
        <w:t xml:space="preserve"> and</w:t>
      </w:r>
      <w:r w:rsidR="2996F55B" w:rsidRPr="00DA249F">
        <w:rPr>
          <w:lang w:val="en-GB"/>
        </w:rPr>
        <w:t xml:space="preserve"> spread of particular taxa </w:t>
      </w:r>
      <w:r w:rsidR="18794F6F" w:rsidRPr="00DA249F">
        <w:rPr>
          <w:lang w:val="en-GB"/>
        </w:rPr>
        <w:fldChar w:fldCharType="begin"/>
      </w:r>
      <w:r w:rsidR="00331A79">
        <w:rPr>
          <w:lang w:val="en-GB"/>
        </w:rPr>
        <w:instrText xml:space="preserve"> ADDIN ZOTERO_ITEM CSL_CITATION {"citationID":"TNvexGwd","properties":{"formattedCitation":"(K. F. McGregor et al., 2012; Moodley et al., 2013; Ribeiro et al., 2008)","plainCitation":"(K. F. McGregor et al., 2012; Moodley et al., 2013; Ribeiro et al., 2008)","dontUpdate":true,"noteIndex":0},"citationItems":[{"id":29033,"uris":["http://zotero.org/groups/2352922/items/8SKJPVCV"],"itemData":{"id":29033,"type":"article-journal","abstract":"A major aim of invasion ecology is to identify characteristics of successful invaders. However, most plant groups studied in detail (e. g. pines and acacias) have a high percentage of invasive taxa. Here we examine the global introduction history and invasion ecology of Proteaceae-a large plant family with many taxa that have been widely disseminated by humans, but with few known invaders. To do this we compiled a global list of species and used boosted regression tree models to assess which factors are important in determining the status of a species (not introduced, introduced, naturalized or invasive). At least 402 of 1674 known species (24%) have been moved by humans out of their native ranges, 58 species (14%) have become naturalized but not invasive, and 8 species (2%) are invasive. The probability of naturalization was greatest for species with large native ranges, low susceptibility to Phytophthora root-rot fungus, large mammal-dispersed seeds, and with the capacity to resprout. The probability of naturalized species becoming invasive was greatest for species with large native ranges, those used as barrier plants, tall species, species with small seeds, and serotinous species. The traits driving invasiveness of Proteaceae were similar to those for acacias and pines. However, while some traits showed a consistent influence at introduction, naturalization and invasion, others appear to be influential at one stage only, and some have contrasting effects at different stages. Trait-based analyses therefore need to consider different invasion stages separately. On their own, these observations provide little predictive power for risk assessment, but when the causative mechanisms are understood (e. g. Phytophthora susceptibility) they provide valuable insights. As such there is considerable value in seeking the correlates and mechanisms underlying invasions for particular taxonomic or functional groups.","container-title":"PLoS ONE","DOI":"10.1371/journal.pone.0075078","ISSN":"1932-6203","issue":"9","note":"WOS:000325025200023","page":"e75078","title":"Different Traits Determine Introduction, Naturalization and Invasion Success In Woody Plants: Proteaceae as a Test Case","volume":"8","author":[{"family":"Moodley","given":"Desika"},{"family":"Geerts","given":"Sjirk"},{"family":"Richardson","given":"David M."},{"family":"Wilson","given":"John R. U."}],"issued":{"date-parts":[["2013",9,24]]}}},{"id":17445,"uris":["http://zotero.org/groups/2352922/items/AILP5KM5"],"itemData":{"id":17445,"type":"article-journal","abstract":"Aim Species attributes, biogeographic features and human factors have all been shown to discriminate between invasive and non-invasive plant species. However, the relative importance of these factors, their generality in determining invasion outcomes across different regions and their ability to discriminate success and failure at different stages of the invasion process have not been established. Location New Zealand (NZ) and Great Britain (GB). Methods For species in the genus Pinus, we used boosted regression trees to identify factors associated with success or failure at the introduction and naturalization stages in each region. Results Human factors, notably the forestry use index, were the strongest determinants of which species from the global pool were introduced to both NZ and GB. Species with a close climate match were also more likely to be introduced to NZ but not to GB. Human factors and climate match were also the strongest determinants of which introduced species became naturalized in both NZ and GB, although the order of importance differed (human factors followed by climate match for NZ and vice versa for GB). Species attributes (life-history traits and the Z-score) had much less ability to discriminate successful and failed species at both the introduction and naturalization stages in these two regions. Main conclusions We show for the first time that human factors are more important than either species or biogeographic traits in determining the likelihood of a species being introduced or becoming naturalized. The similarity between two different regions in the factors found to be important in success at both these invasions stages points to potentially general mechanisms underlying these processes. The strong human component to introduction and naturalization highlights a potential conflict between future afforestation using alien species with conservation and management aims in the surrounding landscape, given that the factors desirable for forestry species are also those that may promote invasion.","container-title":"Diversity and Distributions","DOI":"10.1111/j.1472-4642.2012.00942.x","ISSN":"1366-9516","issue":"10","note":"WOS:000308466900006","page":"1013-1023","title":"What determines pine naturalization: species traits, climate suitability or forestry use?","volume":"18","author":[{"family":"McGregor","given":"Kirsty F."},{"family":"Watt","given":"Michael S."},{"family":"Hulme","given":"Philip E."},{"family":"Duncan","given":"Richard P."}],"issued":{"date-parts":[["2012",10]]}}},{"id":17257,"uris":["http://zotero.org/groups/2352922/items/EHS45UFZ"],"itemData":{"id":17257,"type":"article-journal","abstract":"Freshwater ecosystems are seriously imperiled by the spread of non-native fishes thus establishing profiles of their life-history characteristics is an emerging tool for developing conservation and management strategies. We did a first approach to determine characteristics of successful and failed non-native fishes in a Mediterranean-climate area, the Iberian Peninsula, for three stages of the invasion process: establishment, spread and integration. Using general linear models, we established which characteristics are most important for success at each invasion stage. Prior invasion success was a good predictor for all the stages of the invasion process. Biological variables relevant for more than one invasion stage were maximum adult size and size of native range. Despite these common variables, all models produced a different set of variables important for a successful invasion, demonstrating that successful invaders have a combination of biological traits that may favor success at all invasion stages. However, some differences were found in relation to published studies on fish invasions in other Mediterranean-climate areas, suggesting that characteristics of the recipient ecosystem are as relevant as the characteristics of the invading species.","container-title":"Biological Invasions","DOI":"10.1007/s10530-007-9112-2","ISSN":"1387-3547","issue":"1","note":"WOS:000252473900011","page":"89-102","title":"Life-history traits of non-native fishes in Iberian watersheds across several invasion stages: a first approach","volume":"10","author":[{"family":"Ribeiro","given":"Filipe"},{"family":"Elvira","given":"Benigno"},{"family":"Collares-Pereira","given":"Maria Joao"},{"family":"Moyle","given":"Peter B."}],"issued":{"date-parts":[["2008",1]]}}}],"schema":"https://github.com/citation-style-language/schema/raw/master/csl-citation.json"} </w:instrText>
      </w:r>
      <w:r w:rsidR="18794F6F" w:rsidRPr="00DA249F">
        <w:rPr>
          <w:lang w:val="en-GB"/>
        </w:rPr>
        <w:fldChar w:fldCharType="separate"/>
      </w:r>
      <w:r w:rsidR="2C07781F" w:rsidRPr="00DA249F">
        <w:rPr>
          <w:lang w:val="en-GB"/>
        </w:rPr>
        <w:t>(</w:t>
      </w:r>
      <w:r w:rsidR="10A7EDD1" w:rsidRPr="00DA249F">
        <w:rPr>
          <w:lang w:val="en-GB"/>
        </w:rPr>
        <w:t>McGregor et al., 2012; Moodley et al., 2013; Ribeiro et al., 2008)</w:t>
      </w:r>
      <w:r w:rsidR="18794F6F" w:rsidRPr="00DA249F">
        <w:rPr>
          <w:lang w:val="en-GB"/>
        </w:rPr>
        <w:fldChar w:fldCharType="end"/>
      </w:r>
      <w:r w:rsidR="2996F55B" w:rsidRPr="00DA249F">
        <w:rPr>
          <w:lang w:val="en-GB"/>
        </w:rPr>
        <w:t xml:space="preserve"> or direct drivers</w:t>
      </w:r>
      <w:r w:rsidR="19E81E25" w:rsidRPr="00DA249F">
        <w:rPr>
          <w:lang w:val="en-GB"/>
        </w:rPr>
        <w:t>,</w:t>
      </w:r>
      <w:r w:rsidR="2996F55B" w:rsidRPr="00DA249F">
        <w:rPr>
          <w:lang w:val="en-GB"/>
        </w:rPr>
        <w:t xml:space="preserve"> such as climate</w:t>
      </w:r>
      <w:r w:rsidR="19E81E25" w:rsidRPr="00DA249F">
        <w:rPr>
          <w:lang w:val="en-GB"/>
        </w:rPr>
        <w:t xml:space="preserve"> change</w:t>
      </w:r>
      <w:r w:rsidR="2996F55B" w:rsidRPr="00DA249F">
        <w:rPr>
          <w:lang w:val="en-GB"/>
        </w:rPr>
        <w:t xml:space="preserve"> </w:t>
      </w:r>
      <w:r w:rsidR="18794F6F" w:rsidRPr="00DA249F">
        <w:rPr>
          <w:lang w:val="en-GB"/>
        </w:rPr>
        <w:fldChar w:fldCharType="begin"/>
      </w:r>
      <w:r w:rsidR="00331A79">
        <w:rPr>
          <w:lang w:val="en-GB"/>
        </w:rPr>
        <w:instrText xml:space="preserve"> ADDIN ZOTERO_ITEM CSL_CITATION {"citationID":"BXEluhE5","properties":{"formattedCitation":"(Hulme, 2017)","plainCitation":"(Hulme, 2017)","noteIndex":0},"citationItems":[{"id":10012,"uris":["http://zotero.org/groups/2352922/items/E7ZXVNF8"],"itemData":{"id":10012,"type":"article-journal","abstract":"A changing climate may directly or indirectly influence biological invasions by altering the likelihood of introduction or establishment, as well as modifying the geographic range, environmental impacts, economic costs or management of alien species. A comprehensive assessment of empirical and theoretical evidence identified how each of these processes is likely to be shaped by climate change for alien plants, animals and pathogens in terrestrial, freshwater and marine environments of Great Britain. The strongest contemporary evidence for the potential role of climate change in the establishment of new alien species is for terrestrial arthropods, as a result of their ectothermic physiology, often high dispersal rate and their strong association with trade as well as commensal relationships with human environments. By contrast, there is little empirical support for higher temperatures increasing the rate of alien plant establishment due to the stronger effects of residence time and propagule pressure. The magnitude of any direct climate effect on the number of new alien species will be small relative to human-assisted introductions driven by socioeconomic factors. Casual alien species (sleepers) whose population persistence is limited by climate are expected to exhibit greater rates of establishment under climate change assuming that propagule pressure remains at least at current levels. Surveillance and management targeting sleeper pests and diseases may be the most cost-effective option to reduce future impacts under climate change. Most established alien species will increase their distribution range in Great Britain over the next century. However, such range increases are very likely be the result of natural expansion of populations that have yet to reach equilibrium with their environment, rather than a direct consequence of climate change. To assess the potential realised range of alien species will require a spatially explicit approach that not only integrates bioclimatic suitability and population-level demographic rates but also simulation of landscape-level processes (e.g. dispersal, land-use change, host/habitat distribution, non-climatic edaphic constraints). In terms of invasive alien species that have known economic or biodiversity impacts, the taxa that are likely to be the most responsive are plant pathogens and insect pests of agricultural crops. However, the extent to which climate adaptation strategies lead to new crops, altered rotations, and different farming practices (e.g. irrigation, fertilization) will all shape the potential agricultural impacts of alien species. The greatest uncertainty in the effects of climate change on biological invasions exists with identifying the future character of new species introductions and predicting ecosystem impacts. Two complementary strategies may work under these conditions of high uncertainty: (i) prioritise ecosystems in terms of their perceived vulnerability to climate change and prevent ingress or expansion of alien species therein that may exacerbate problems; (ii) target those ecosystem already threatened by alien species and implement management to prevent the situation deteriorating under climate change.","container-title":"Biological Reviews","DOI":"10.1111/brv.12282","ISSN":"1469-185X","issue":"3","language":"en","note":"_eprint: https://onlinelibrary.wiley.com/doi/pdf/10.1111/brv.12282","page":"1297-1313","source":"Wiley Online Library","title":"Climate change and biological invasions: evidence, expectations, and response options","title-short":"Climate change and biological invasions","URL":"https://onlinelibrary.wiley.com/doi/abs/10.1111/brv.12282","volume":"92","author":[{"family":"Hulme","given":"Philip E."}],"accessed":{"date-parts":[["2021",8,23]]},"issued":{"date-parts":[["2017"]]}}}],"schema":"https://github.com/citation-style-language/schema/raw/master/csl-citation.json"} </w:instrText>
      </w:r>
      <w:r w:rsidR="18794F6F" w:rsidRPr="00DA249F">
        <w:rPr>
          <w:lang w:val="en-GB"/>
        </w:rPr>
        <w:fldChar w:fldCharType="separate"/>
      </w:r>
      <w:r w:rsidR="73B99EB6" w:rsidRPr="00144D96">
        <w:t>(Hulme, 2017)</w:t>
      </w:r>
      <w:r w:rsidR="18794F6F" w:rsidRPr="00DA249F">
        <w:rPr>
          <w:lang w:val="en-GB"/>
        </w:rPr>
        <w:fldChar w:fldCharType="end"/>
      </w:r>
      <w:r w:rsidR="19E81E25" w:rsidRPr="00DA249F">
        <w:rPr>
          <w:lang w:val="en-GB"/>
        </w:rPr>
        <w:t>,</w:t>
      </w:r>
      <w:r w:rsidR="27CC08F6" w:rsidRPr="00DA249F">
        <w:rPr>
          <w:lang w:val="en-GB"/>
        </w:rPr>
        <w:t xml:space="preserve"> have been the focus of </w:t>
      </w:r>
      <w:r w:rsidR="07E2E77A">
        <w:rPr>
          <w:lang w:val="en-GB"/>
        </w:rPr>
        <w:t xml:space="preserve">the </w:t>
      </w:r>
      <w:r w:rsidR="27CC08F6" w:rsidRPr="00DA249F">
        <w:rPr>
          <w:lang w:val="en-GB"/>
        </w:rPr>
        <w:t>current understanding of the transitions among different biological invasion stages</w:t>
      </w:r>
      <w:r w:rsidR="2996F55B" w:rsidRPr="00DA249F">
        <w:rPr>
          <w:lang w:val="en-GB"/>
        </w:rPr>
        <w:t>.</w:t>
      </w:r>
      <w:r w:rsidR="179389E9" w:rsidRPr="00DA249F">
        <w:rPr>
          <w:lang w:val="en-GB"/>
        </w:rPr>
        <w:t xml:space="preserve"> </w:t>
      </w:r>
    </w:p>
    <w:p w14:paraId="35406102" w14:textId="60F13627" w:rsidR="00F53C10" w:rsidRPr="00DA249F" w:rsidRDefault="2996F55B" w:rsidP="728F2DAF">
      <w:pPr>
        <w:rPr>
          <w:lang w:val="en-GB"/>
        </w:rPr>
      </w:pPr>
      <w:r w:rsidRPr="00DA249F">
        <w:rPr>
          <w:lang w:val="en-GB"/>
        </w:rPr>
        <w:t xml:space="preserve">Therefore, </w:t>
      </w:r>
      <w:r w:rsidR="202856D9" w:rsidRPr="5575EBFC">
        <w:rPr>
          <w:lang w:val="en-GB"/>
        </w:rPr>
        <w:t>C</w:t>
      </w:r>
      <w:r w:rsidRPr="5575EBFC">
        <w:rPr>
          <w:lang w:val="en-GB"/>
        </w:rPr>
        <w:t>hapter 3</w:t>
      </w:r>
      <w:r w:rsidRPr="006D75AC">
        <w:rPr>
          <w:lang w:val="en-GB"/>
        </w:rPr>
        <w:t xml:space="preserve"> ai</w:t>
      </w:r>
      <w:r w:rsidRPr="00DA249F">
        <w:rPr>
          <w:lang w:val="en-GB"/>
        </w:rPr>
        <w:t xml:space="preserve">ms to </w:t>
      </w:r>
      <w:r w:rsidR="73DE2FF1" w:rsidRPr="00DA249F">
        <w:rPr>
          <w:lang w:val="en-GB"/>
        </w:rPr>
        <w:t>systematically</w:t>
      </w:r>
      <w:r w:rsidR="004027D0" w:rsidRPr="00710AC3">
        <w:rPr>
          <w:rStyle w:val="FootnoteReference"/>
        </w:rPr>
        <w:footnoteReference w:id="5"/>
      </w:r>
      <w:r w:rsidR="73DE2FF1" w:rsidRPr="00DA249F">
        <w:rPr>
          <w:lang w:val="en-GB"/>
        </w:rPr>
        <w:t xml:space="preserve"> </w:t>
      </w:r>
      <w:r w:rsidRPr="00DA249F">
        <w:rPr>
          <w:lang w:val="en-GB"/>
        </w:rPr>
        <w:t xml:space="preserve">examine how different </w:t>
      </w:r>
      <w:r w:rsidR="65E72A81" w:rsidRPr="00DA249F">
        <w:rPr>
          <w:lang w:val="en-GB"/>
        </w:rPr>
        <w:t xml:space="preserve">direct and indirect </w:t>
      </w:r>
      <w:r w:rsidR="067C1E4A" w:rsidRPr="728F2DAF">
        <w:rPr>
          <w:lang w:val="en-GB"/>
        </w:rPr>
        <w:t>drivers of change in nature</w:t>
      </w:r>
      <w:r w:rsidR="06D79B45" w:rsidRPr="728F2DAF">
        <w:rPr>
          <w:lang w:val="en-GB"/>
        </w:rPr>
        <w:t xml:space="preserve">, as well as natural drivers and biodiversity loss, </w:t>
      </w:r>
      <w:r w:rsidRPr="00DA249F">
        <w:rPr>
          <w:lang w:val="en-GB"/>
        </w:rPr>
        <w:t xml:space="preserve">may </w:t>
      </w:r>
      <w:r w:rsidR="3837E975" w:rsidRPr="00DA249F">
        <w:rPr>
          <w:lang w:val="en-GB"/>
        </w:rPr>
        <w:t>influence</w:t>
      </w:r>
      <w:r w:rsidRPr="00DA249F">
        <w:rPr>
          <w:lang w:val="en-GB"/>
        </w:rPr>
        <w:t xml:space="preserve"> each of the </w:t>
      </w:r>
      <w:r w:rsidR="10A7EDD1" w:rsidRPr="00DA249F">
        <w:rPr>
          <w:lang w:val="en-GB"/>
        </w:rPr>
        <w:t xml:space="preserve">four </w:t>
      </w:r>
      <w:r w:rsidR="19E81E25" w:rsidRPr="00DA249F">
        <w:rPr>
          <w:lang w:val="en-GB"/>
        </w:rPr>
        <w:t>biological</w:t>
      </w:r>
      <w:r w:rsidRPr="00DA249F">
        <w:rPr>
          <w:lang w:val="en-GB"/>
        </w:rPr>
        <w:t xml:space="preserve"> invasion stages</w:t>
      </w:r>
      <w:r w:rsidR="10A7EDD1" w:rsidRPr="00DA249F">
        <w:rPr>
          <w:lang w:val="en-GB"/>
        </w:rPr>
        <w:t>: transport, introduction, establishment and spread</w:t>
      </w:r>
      <w:r w:rsidR="433A64D0" w:rsidRPr="00DA249F">
        <w:rPr>
          <w:lang w:val="en-GB"/>
        </w:rPr>
        <w:t xml:space="preserve"> (</w:t>
      </w:r>
      <w:r w:rsidR="00E23B69">
        <w:rPr>
          <w:b/>
          <w:bCs/>
          <w:lang w:val="en-GB"/>
        </w:rPr>
        <w:t>Figure</w:t>
      </w:r>
      <w:r w:rsidR="343749A3" w:rsidRPr="5575EBFC">
        <w:rPr>
          <w:b/>
          <w:bCs/>
          <w:lang w:val="en-GB"/>
        </w:rPr>
        <w:t xml:space="preserve"> </w:t>
      </w:r>
      <w:r w:rsidR="433A64D0" w:rsidRPr="5575EBFC">
        <w:rPr>
          <w:b/>
          <w:bCs/>
          <w:lang w:val="en-GB"/>
        </w:rPr>
        <w:t>3.4</w:t>
      </w:r>
      <w:r w:rsidR="433A64D0" w:rsidRPr="00DA249F">
        <w:rPr>
          <w:lang w:val="en-GB"/>
        </w:rPr>
        <w:t>)</w:t>
      </w:r>
      <w:r w:rsidRPr="00DA249F">
        <w:rPr>
          <w:lang w:val="en-GB"/>
        </w:rPr>
        <w:t xml:space="preserve">. Specifically, each section examines the evidence for each driver </w:t>
      </w:r>
      <w:r w:rsidR="19E81E25" w:rsidRPr="00DA249F">
        <w:rPr>
          <w:lang w:val="en-GB"/>
        </w:rPr>
        <w:t xml:space="preserve">within the context of the </w:t>
      </w:r>
      <w:r w:rsidR="3F6750B8" w:rsidRPr="00DA249F">
        <w:rPr>
          <w:lang w:val="en-GB"/>
        </w:rPr>
        <w:t xml:space="preserve">different </w:t>
      </w:r>
      <w:r w:rsidRPr="00DA249F">
        <w:rPr>
          <w:lang w:val="en-GB"/>
        </w:rPr>
        <w:t>biological invasion</w:t>
      </w:r>
      <w:r w:rsidR="3F6750B8" w:rsidRPr="00DA249F">
        <w:rPr>
          <w:lang w:val="en-GB"/>
        </w:rPr>
        <w:t xml:space="preserve"> </w:t>
      </w:r>
      <w:r w:rsidRPr="00DA249F">
        <w:rPr>
          <w:lang w:val="en-GB"/>
        </w:rPr>
        <w:t>s</w:t>
      </w:r>
      <w:r w:rsidR="3F6750B8" w:rsidRPr="00DA249F">
        <w:rPr>
          <w:lang w:val="en-GB"/>
        </w:rPr>
        <w:t>tages</w:t>
      </w:r>
      <w:r w:rsidRPr="00DA249F">
        <w:rPr>
          <w:lang w:val="en-GB"/>
        </w:rPr>
        <w:t xml:space="preserve"> across terrestrial and aquatic biomes and for the major</w:t>
      </w:r>
      <w:r w:rsidR="70DE999B" w:rsidRPr="00DA249F">
        <w:rPr>
          <w:lang w:val="en-GB"/>
        </w:rPr>
        <w:t xml:space="preserve"> realms or</w:t>
      </w:r>
      <w:r w:rsidR="179389E9" w:rsidRPr="00DA249F">
        <w:rPr>
          <w:lang w:val="en-GB"/>
        </w:rPr>
        <w:t xml:space="preserve"> </w:t>
      </w:r>
      <w:r w:rsidR="3F6750B8" w:rsidRPr="00DA249F">
        <w:rPr>
          <w:lang w:val="en-GB"/>
        </w:rPr>
        <w:t>taxonomic</w:t>
      </w:r>
      <w:r w:rsidRPr="00DA249F">
        <w:rPr>
          <w:lang w:val="en-GB"/>
        </w:rPr>
        <w:t xml:space="preserve"> groups</w:t>
      </w:r>
      <w:r w:rsidR="3F6750B8" w:rsidRPr="00DA249F">
        <w:rPr>
          <w:lang w:val="en-GB"/>
        </w:rPr>
        <w:t xml:space="preserve"> (</w:t>
      </w:r>
      <w:r w:rsidRPr="00DA249F">
        <w:rPr>
          <w:lang w:val="en-GB"/>
        </w:rPr>
        <w:t>plants,</w:t>
      </w:r>
      <w:r w:rsidR="3D07782E" w:rsidRPr="00DA249F">
        <w:rPr>
          <w:lang w:val="en-GB"/>
        </w:rPr>
        <w:t xml:space="preserve"> </w:t>
      </w:r>
      <w:r w:rsidR="18EE2A42" w:rsidRPr="00DA249F">
        <w:rPr>
          <w:lang w:val="en-GB"/>
        </w:rPr>
        <w:t>invertebrates, vertebrates</w:t>
      </w:r>
      <w:r w:rsidR="009F7404">
        <w:rPr>
          <w:lang w:val="en-GB"/>
        </w:rPr>
        <w:t xml:space="preserve"> and</w:t>
      </w:r>
      <w:r w:rsidR="3D07782E" w:rsidRPr="00DA249F">
        <w:rPr>
          <w:lang w:val="en-GB"/>
        </w:rPr>
        <w:t xml:space="preserve"> microbes</w:t>
      </w:r>
      <w:r w:rsidR="7BFDB849" w:rsidRPr="00DA249F">
        <w:rPr>
          <w:lang w:val="en-GB"/>
        </w:rPr>
        <w:t>;</w:t>
      </w:r>
      <w:r w:rsidR="5F472116" w:rsidRPr="00DA249F">
        <w:rPr>
          <w:lang w:val="en-GB"/>
        </w:rPr>
        <w:t xml:space="preserve"> </w:t>
      </w:r>
      <w:r w:rsidR="7BFDB849" w:rsidRPr="00DA249F">
        <w:rPr>
          <w:lang w:val="en-GB"/>
        </w:rPr>
        <w:t xml:space="preserve">see </w:t>
      </w:r>
      <w:r w:rsidR="217B9BD3" w:rsidRPr="5575EBFC">
        <w:rPr>
          <w:b/>
          <w:bCs/>
          <w:lang w:val="en-GB"/>
        </w:rPr>
        <w:t xml:space="preserve">sections </w:t>
      </w:r>
      <w:r w:rsidR="12CC7360" w:rsidRPr="5575EBFC">
        <w:rPr>
          <w:b/>
          <w:bCs/>
          <w:lang w:val="en-GB"/>
        </w:rPr>
        <w:t>3.1.</w:t>
      </w:r>
      <w:r w:rsidR="0F0F13E2" w:rsidRPr="5575EBFC">
        <w:rPr>
          <w:b/>
          <w:bCs/>
          <w:lang w:val="en-GB"/>
        </w:rPr>
        <w:t>3</w:t>
      </w:r>
      <w:r w:rsidR="12CC7360" w:rsidRPr="00DA249F">
        <w:rPr>
          <w:lang w:val="en-GB"/>
        </w:rPr>
        <w:t xml:space="preserve"> and </w:t>
      </w:r>
      <w:r w:rsidR="217B9BD3" w:rsidRPr="5575EBFC">
        <w:rPr>
          <w:b/>
          <w:bCs/>
          <w:lang w:val="en-GB"/>
        </w:rPr>
        <w:t xml:space="preserve">3.6.1 </w:t>
      </w:r>
      <w:r w:rsidR="217B9BD3" w:rsidRPr="00DA249F">
        <w:rPr>
          <w:lang w:val="en-GB"/>
        </w:rPr>
        <w:t xml:space="preserve">for details on the search strategy and the knowledge base </w:t>
      </w:r>
      <w:r w:rsidR="6B581FFB" w:rsidRPr="00DA249F">
        <w:rPr>
          <w:lang w:val="en-GB"/>
        </w:rPr>
        <w:t>extracted</w:t>
      </w:r>
      <w:r w:rsidR="217B9BD3" w:rsidRPr="00DA249F">
        <w:rPr>
          <w:lang w:val="en-GB"/>
        </w:rPr>
        <w:t>, respectively</w:t>
      </w:r>
      <w:r w:rsidRPr="00DA249F">
        <w:rPr>
          <w:lang w:val="en-GB"/>
        </w:rPr>
        <w:t>).</w:t>
      </w:r>
    </w:p>
    <w:p w14:paraId="01D6612C" w14:textId="77777777" w:rsidR="00DA0684" w:rsidRPr="00DA249F" w:rsidRDefault="00AE3E00" w:rsidP="00DA0684">
      <w:pPr>
        <w:rPr>
          <w:lang w:val="en-GB"/>
        </w:rPr>
      </w:pPr>
      <w:r w:rsidRPr="00AE3E00">
        <w:rPr>
          <w:noProof/>
          <w:lang w:val="en-GB"/>
        </w:rPr>
        <w:lastRenderedPageBreak/>
        <w:drawing>
          <wp:inline distT="0" distB="0" distL="0" distR="0" wp14:anchorId="2B551702" wp14:editId="3185F520">
            <wp:extent cx="6115050" cy="3445510"/>
            <wp:effectExtent l="0" t="0" r="6350" b="0"/>
            <wp:docPr id="28" name="Picture 28" descr="A diagram of a 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descr="A diagram of a diagram&#10;&#10;Description automatically generated with medium confidence"/>
                    <pic:cNvPicPr/>
                  </pic:nvPicPr>
                  <pic:blipFill>
                    <a:blip r:embed="rId21"/>
                    <a:stretch>
                      <a:fillRect/>
                    </a:stretch>
                  </pic:blipFill>
                  <pic:spPr>
                    <a:xfrm>
                      <a:off x="0" y="0"/>
                      <a:ext cx="6115050" cy="3445510"/>
                    </a:xfrm>
                    <a:prstGeom prst="rect">
                      <a:avLst/>
                    </a:prstGeom>
                    <a:ln>
                      <a:noFill/>
                    </a:ln>
                  </pic:spPr>
                </pic:pic>
              </a:graphicData>
            </a:graphic>
          </wp:inline>
        </w:drawing>
      </w:r>
    </w:p>
    <w:p w14:paraId="185A877D" w14:textId="758E6BD6" w:rsidR="00DA0684" w:rsidRPr="00DA249F" w:rsidRDefault="1D9E504B" w:rsidP="00DA0684">
      <w:pPr>
        <w:pStyle w:val="Caption"/>
        <w:rPr>
          <w:b w:val="0"/>
          <w:bCs w:val="0"/>
          <w:lang w:val="en-GB"/>
        </w:rPr>
      </w:pPr>
      <w:bookmarkStart w:id="30" w:name="_Ref104902435"/>
      <w:bookmarkStart w:id="31" w:name="_Toc48911332"/>
      <w:bookmarkStart w:id="32" w:name="_Toc147500889"/>
      <w:r w:rsidRPr="5575EBFC">
        <w:rPr>
          <w:lang w:val="en-GB"/>
        </w:rPr>
        <w:t>Figure 3.</w:t>
      </w:r>
      <w:r w:rsidR="00DA0684" w:rsidRPr="5575EBFC">
        <w:rPr>
          <w:lang w:val="en-GB"/>
        </w:rPr>
        <w:fldChar w:fldCharType="begin"/>
      </w:r>
      <w:r w:rsidR="00DA0684" w:rsidRPr="5575EBFC">
        <w:rPr>
          <w:lang w:val="en-GB"/>
        </w:rPr>
        <w:instrText xml:space="preserve"> SEQ Figure_3. \* ARABIC </w:instrText>
      </w:r>
      <w:r w:rsidR="00DA0684" w:rsidRPr="5575EBFC">
        <w:rPr>
          <w:lang w:val="en-GB"/>
        </w:rPr>
        <w:fldChar w:fldCharType="separate"/>
      </w:r>
      <w:r w:rsidR="00287BC7">
        <w:rPr>
          <w:noProof/>
          <w:lang w:val="en-GB"/>
        </w:rPr>
        <w:t>4</w:t>
      </w:r>
      <w:r w:rsidR="00DA0684" w:rsidRPr="5575EBFC">
        <w:rPr>
          <w:lang w:val="en-GB"/>
        </w:rPr>
        <w:fldChar w:fldCharType="end"/>
      </w:r>
      <w:bookmarkEnd w:id="30"/>
      <w:r w:rsidR="4AD1CCCF" w:rsidRPr="5575EBFC">
        <w:rPr>
          <w:lang w:val="en-GB"/>
        </w:rPr>
        <w:t>.</w:t>
      </w:r>
      <w:r w:rsidRPr="5575EBFC">
        <w:rPr>
          <w:lang w:val="en-GB"/>
        </w:rPr>
        <w:t xml:space="preserve"> </w:t>
      </w:r>
      <w:r w:rsidRPr="5575EBFC">
        <w:rPr>
          <w:b w:val="0"/>
          <w:bCs w:val="0"/>
          <w:lang w:val="en-GB"/>
        </w:rPr>
        <w:t xml:space="preserve">Schematic using selected examples of how </w:t>
      </w:r>
      <w:r w:rsidR="2DED2ED8" w:rsidRPr="5575EBFC">
        <w:rPr>
          <w:b w:val="0"/>
          <w:bCs w:val="0"/>
          <w:lang w:val="en-GB"/>
        </w:rPr>
        <w:t xml:space="preserve">both </w:t>
      </w:r>
      <w:r w:rsidRPr="5575EBFC">
        <w:rPr>
          <w:b w:val="0"/>
          <w:bCs w:val="0"/>
          <w:lang w:val="en-GB"/>
        </w:rPr>
        <w:t xml:space="preserve">indirect and direct </w:t>
      </w:r>
      <w:r w:rsidR="653902EA" w:rsidRPr="5575EBFC">
        <w:rPr>
          <w:b w:val="0"/>
          <w:bCs w:val="0"/>
          <w:lang w:val="en-GB"/>
        </w:rPr>
        <w:t>drivers of change in nature</w:t>
      </w:r>
      <w:r w:rsidR="0110C0CA" w:rsidRPr="5575EBFC">
        <w:rPr>
          <w:b w:val="0"/>
          <w:bCs w:val="0"/>
          <w:lang w:val="en-GB"/>
        </w:rPr>
        <w:t xml:space="preserve"> </w:t>
      </w:r>
      <w:r w:rsidR="03123888" w:rsidRPr="5575EBFC">
        <w:rPr>
          <w:b w:val="0"/>
          <w:bCs w:val="0"/>
          <w:lang w:val="en-GB"/>
        </w:rPr>
        <w:t xml:space="preserve">may facilitate </w:t>
      </w:r>
      <w:r w:rsidR="6048EEA6" w:rsidRPr="5575EBFC">
        <w:rPr>
          <w:b w:val="0"/>
          <w:bCs w:val="0"/>
          <w:lang w:val="en-GB"/>
        </w:rPr>
        <w:t>invasive alien species</w:t>
      </w:r>
      <w:r w:rsidRPr="5575EBFC">
        <w:rPr>
          <w:b w:val="0"/>
          <w:bCs w:val="0"/>
          <w:lang w:val="en-GB"/>
        </w:rPr>
        <w:t xml:space="preserve"> along four stages in the </w:t>
      </w:r>
      <w:r w:rsidR="0ED343DA" w:rsidRPr="5575EBFC">
        <w:rPr>
          <w:b w:val="0"/>
          <w:bCs w:val="0"/>
          <w:lang w:val="en-GB"/>
        </w:rPr>
        <w:t xml:space="preserve">biological </w:t>
      </w:r>
      <w:r w:rsidRPr="5575EBFC">
        <w:rPr>
          <w:b w:val="0"/>
          <w:bCs w:val="0"/>
          <w:lang w:val="en-GB"/>
        </w:rPr>
        <w:t>invasion process: transport, introduction, establishment and spread.</w:t>
      </w:r>
      <w:r w:rsidRPr="5575EBFC">
        <w:rPr>
          <w:lang w:val="en-GB"/>
        </w:rPr>
        <w:t xml:space="preserve"> </w:t>
      </w:r>
      <w:r w:rsidRPr="5575EBFC">
        <w:rPr>
          <w:b w:val="0"/>
          <w:bCs w:val="0"/>
          <w:lang w:val="en-GB"/>
        </w:rPr>
        <w:t xml:space="preserve">The examples are meant to be illustrative and not an exhaustive set of scenarios with several drivers mentioned also influencing other stages. See </w:t>
      </w:r>
      <w:r w:rsidRPr="5575EBFC">
        <w:rPr>
          <w:lang w:val="en-GB"/>
        </w:rPr>
        <w:t>section 3.</w:t>
      </w:r>
      <w:r w:rsidR="54B48BA6" w:rsidRPr="5575EBFC">
        <w:rPr>
          <w:lang w:val="en-GB"/>
        </w:rPr>
        <w:t>6.2</w:t>
      </w:r>
      <w:r w:rsidRPr="5575EBFC">
        <w:rPr>
          <w:b w:val="0"/>
          <w:bCs w:val="0"/>
          <w:lang w:val="en-GB"/>
        </w:rPr>
        <w:t xml:space="preserve"> for a synthesis of </w:t>
      </w:r>
      <w:r w:rsidR="07198670" w:rsidRPr="5575EBFC">
        <w:rPr>
          <w:b w:val="0"/>
          <w:bCs w:val="0"/>
          <w:lang w:val="en-GB"/>
        </w:rPr>
        <w:t xml:space="preserve">the </w:t>
      </w:r>
      <w:r w:rsidR="72D0B354" w:rsidRPr="5575EBFC">
        <w:rPr>
          <w:b w:val="0"/>
          <w:bCs w:val="0"/>
          <w:lang w:val="en-GB"/>
        </w:rPr>
        <w:t>influence</w:t>
      </w:r>
      <w:r w:rsidR="07198670" w:rsidRPr="5575EBFC">
        <w:rPr>
          <w:b w:val="0"/>
          <w:bCs w:val="0"/>
          <w:lang w:val="en-GB"/>
        </w:rPr>
        <w:t xml:space="preserve"> of different drivers</w:t>
      </w:r>
      <w:r w:rsidRPr="5575EBFC">
        <w:rPr>
          <w:b w:val="0"/>
          <w:bCs w:val="0"/>
          <w:lang w:val="en-GB"/>
        </w:rPr>
        <w:t xml:space="preserve"> </w:t>
      </w:r>
      <w:r w:rsidR="72D0B354" w:rsidRPr="5575EBFC">
        <w:rPr>
          <w:b w:val="0"/>
          <w:bCs w:val="0"/>
          <w:lang w:val="en-GB"/>
        </w:rPr>
        <w:t xml:space="preserve">on </w:t>
      </w:r>
      <w:r w:rsidR="232953FA" w:rsidRPr="5575EBFC">
        <w:rPr>
          <w:b w:val="0"/>
          <w:bCs w:val="0"/>
          <w:lang w:val="en-GB"/>
        </w:rPr>
        <w:t>invasive alien species</w:t>
      </w:r>
      <w:r w:rsidR="727293EF" w:rsidRPr="5575EBFC">
        <w:rPr>
          <w:b w:val="0"/>
          <w:bCs w:val="0"/>
          <w:lang w:val="en-GB"/>
        </w:rPr>
        <w:t xml:space="preserve"> </w:t>
      </w:r>
      <w:r w:rsidRPr="5575EBFC">
        <w:rPr>
          <w:b w:val="0"/>
          <w:bCs w:val="0"/>
          <w:lang w:val="en-GB"/>
        </w:rPr>
        <w:t>across stages</w:t>
      </w:r>
      <w:r w:rsidR="07198670" w:rsidRPr="5575EBFC">
        <w:rPr>
          <w:b w:val="0"/>
          <w:bCs w:val="0"/>
          <w:lang w:val="en-GB"/>
        </w:rPr>
        <w:t xml:space="preserve"> of the biological invasion process</w:t>
      </w:r>
      <w:r w:rsidRPr="5575EBFC">
        <w:rPr>
          <w:b w:val="0"/>
          <w:bCs w:val="0"/>
          <w:lang w:val="en-GB"/>
        </w:rPr>
        <w:t>, biomes and realms.</w:t>
      </w:r>
      <w:bookmarkStart w:id="33" w:name="_Hlk22825458"/>
      <w:bookmarkEnd w:id="31"/>
      <w:bookmarkEnd w:id="32"/>
      <w:bookmarkEnd w:id="33"/>
    </w:p>
    <w:p w14:paraId="640C8A39" w14:textId="77777777" w:rsidR="005A46F1" w:rsidRPr="00DA249F" w:rsidRDefault="490D27E8" w:rsidP="00375B42">
      <w:pPr>
        <w:pStyle w:val="Heading2"/>
        <w:rPr>
          <w:lang w:val="en-GB"/>
        </w:rPr>
      </w:pPr>
      <w:bookmarkStart w:id="34" w:name="_Toc146898460"/>
      <w:r w:rsidRPr="5575EBFC">
        <w:rPr>
          <w:lang w:val="en-GB"/>
        </w:rPr>
        <w:t>Attributing causality and understanding interactions among drivers</w:t>
      </w:r>
      <w:bookmarkEnd w:id="34"/>
    </w:p>
    <w:p w14:paraId="501F85F2" w14:textId="1337DCCA" w:rsidR="00D00029" w:rsidRPr="00DA249F" w:rsidRDefault="5350CA66" w:rsidP="00CF1A82">
      <w:pPr>
        <w:rPr>
          <w:lang w:val="en-GB"/>
        </w:rPr>
      </w:pPr>
      <w:r w:rsidRPr="5575EBFC">
        <w:rPr>
          <w:lang w:val="en-GB"/>
        </w:rPr>
        <w:t xml:space="preserve">A number of studies suggest recent increases in </w:t>
      </w:r>
      <w:r w:rsidR="2DBDEFD8" w:rsidRPr="5575EBFC">
        <w:rPr>
          <w:lang w:val="en-GB"/>
        </w:rPr>
        <w:t xml:space="preserve">numbers </w:t>
      </w:r>
      <w:r w:rsidRPr="5575EBFC">
        <w:rPr>
          <w:lang w:val="en-GB"/>
        </w:rPr>
        <w:t xml:space="preserve">of </w:t>
      </w:r>
      <w:r w:rsidR="2DBDEFD8" w:rsidRPr="5575EBFC">
        <w:rPr>
          <w:lang w:val="en-GB"/>
        </w:rPr>
        <w:t xml:space="preserve">alien species </w:t>
      </w:r>
      <w:r w:rsidRPr="5575EBFC">
        <w:rPr>
          <w:lang w:val="en-GB"/>
        </w:rPr>
        <w:t>(</w:t>
      </w:r>
      <w:r w:rsidR="35CD5B07" w:rsidRPr="5575EBFC">
        <w:rPr>
          <w:b/>
          <w:bCs/>
          <w:lang w:val="en-GB"/>
        </w:rPr>
        <w:t>C</w:t>
      </w:r>
      <w:r w:rsidRPr="5575EBFC">
        <w:rPr>
          <w:b/>
          <w:bCs/>
          <w:lang w:val="en-GB"/>
        </w:rPr>
        <w:t>hapter 2</w:t>
      </w:r>
      <w:r w:rsidRPr="5575EBFC">
        <w:rPr>
          <w:lang w:val="en-GB"/>
        </w:rPr>
        <w:t xml:space="preserve">; </w:t>
      </w:r>
      <w:r w:rsidR="001B6585" w:rsidRPr="5575EBFC">
        <w:rPr>
          <w:lang w:val="en-GB"/>
        </w:rPr>
        <w:fldChar w:fldCharType="begin"/>
      </w:r>
      <w:r w:rsidR="00331A79">
        <w:rPr>
          <w:lang w:val="en-GB"/>
        </w:rPr>
        <w:instrText xml:space="preserve"> ADDIN ZOTERO_ITEM CSL_CITATION {"citationID":"xLvJURLj","properties":{"formattedCitation":"(Seebens et al., 2017)","plainCitation":"(Seebens et al., 2017)","dontUpdate":true,"noteIndex":0},"citationItems":[{"id":33027,"uris":["http://zotero.org/groups/2352922/items/SW8TKG54"],"itemData":{"id":33027,"type":"article-journal","container-title":"Nature Communications","DOI":"10.1038/ncomms14435","ISSN":"2041-1723","issue":"1","journalAbbreviation":"Nat Commun","language":"en","page":"14435","source":"DOI.org (Crossref)","title":"No saturation in the accumulation of alien species worldwide","URL":"http://www.nature.com/articles/ncomms14435","volume":"8","author":[{"family":"Seebens","given":"Hanno"},{"family":"Blackburn","given":"Tim M."},{"family":"Dyer","given":"Ellie E."},{"family":"Genovesi","given":"Piero"},{"family":"Hulme","given":"Philip E."},{"family":"Jeschke","given":"Jonathan M."},{"family":"Pagad","given":"Shyama"},{"family":"Pyšek","given":"Petr"},{"family":"Winter","given":"Marten"},{"family":"Arianoutsou","given":"Margarita"},{"family":"Bacher","given":"Sven"},{"family":"Blasius","given":"Bernd"},{"family":"Brundu","given":"Giuseppe"},{"family":"Capinha","given":"César"},{"family":"Celesti-Grapow","given":"Laura"},{"family":"Dawson","given":"Wayne"},{"family":"Dullinger","given":"Stefan"},{"family":"Fuentes","given":"Nicol"},{"family":"Jäger","given":"Heinke"},{"family":"Kartesz","given":"John"},{"family":"Kenis","given":"Marc"},{"family":"Kreft","given":"Holger"},{"family":"Kühn","given":"Ingolf"},{"family":"Lenzner","given":"Bernd"},{"family":"Liebhold","given":"Andrew"},{"family":"Mosena","given":"Alexander"},{"family":"Moser","given":"Dietmar"},{"family":"Nishino","given":"Misako"},{"family":"Pearman","given":"David"},{"family":"Pergl","given":"Jan"},{"family":"Rabitsch","given":"Wolfgang"},{"family":"Rojas-Sandoval","given":"Julissa"},{"family":"Roques","given":"Alain"},{"family":"Rorke","given":"Stephanie"},{"family":"Rossinelli","given":"Silvia"},{"family":"Roy","given":"Helen E."},{"family":"Scalera","given":"Riccardo"},{"family":"Schindler","given":"Stefan"},{"family":"Štajerová","given":"Kateřina"},{"family":"Tokarska-Guzik","given":"Barbara"},{"family":"Kleunen","given":"Mark","non-dropping-particle":"van"},{"family":"Walker","given":"Kevin"},{"family":"Weigelt","given":"Patrick"},{"family":"Yamanaka","given":"Takehiko"},{"family":"Essl","given":"Franz"}],"accessed":{"date-parts":[["2019",12,5]]},"issued":{"date-parts":[["2017",4]]}}}],"schema":"https://github.com/citation-style-language/schema/raw/master/csl-citation.json"} </w:instrText>
      </w:r>
      <w:r w:rsidR="001B6585" w:rsidRPr="5575EBFC">
        <w:rPr>
          <w:lang w:val="en-GB"/>
        </w:rPr>
        <w:fldChar w:fldCharType="separate"/>
      </w:r>
      <w:r w:rsidRPr="5575EBFC">
        <w:rPr>
          <w:lang w:val="en-GB"/>
        </w:rPr>
        <w:t>Seebens et al., 2017)</w:t>
      </w:r>
      <w:r w:rsidR="001B6585" w:rsidRPr="5575EBFC">
        <w:rPr>
          <w:lang w:val="en-GB"/>
        </w:rPr>
        <w:fldChar w:fldCharType="end"/>
      </w:r>
      <w:r w:rsidRPr="5575EBFC">
        <w:rPr>
          <w:lang w:val="en-GB"/>
        </w:rPr>
        <w:t xml:space="preserve"> are likely augmented by increases in the rates of movement of goods and people </w:t>
      </w:r>
      <w:r w:rsidR="001B6585" w:rsidRPr="5575EBFC">
        <w:rPr>
          <w:lang w:val="en-GB"/>
        </w:rPr>
        <w:fldChar w:fldCharType="begin"/>
      </w:r>
      <w:r w:rsidR="00331A79">
        <w:rPr>
          <w:lang w:val="en-GB"/>
        </w:rPr>
        <w:instrText xml:space="preserve"> ADDIN ZOTERO_ITEM CSL_CITATION {"citationID":"MN705PvF","properties":{"formattedCitation":"(Essl et al., 2019; Murphy &amp; Cheesman, 2006)","plainCitation":"(Essl et al., 2019; Murphy &amp; Cheesman, 2006)","noteIndex":0},"citationItems":[{"id":32808,"uris":["http://zotero.org/groups/2352922/items/LLX26VZW"],"itemData":{"id":32808,"type":"article-journal","abstract":"Abstract\n            Biological invasions are a defining feature of the Anthropocene, but the factors that determine the spatially uneven distribution of alien plant species are still poorly understood. Here, we present the first global analysis of the effects of biogeographic factors, the physical environment and socio-economy on the richness of naturalized and invasive alien plants. We used generalized linear mixed-effects models and variation partitioning to disentangle the relative importance of individual factors, and, more broadly, of biogeography, physical environment and socio-economy. As measures of the magnitude of permanent anthropogenic additions to the regional species pool and of species with negative environmental impacts, we calculated the relative richness of naturalized (= RRN) and invasive (= RRI) alien plant species numbers adjusted for the number of native species in 838 terrestrial regions. Socio-economic factors (per-capita gross domestic product (GDP), population density, proportion of agricultural land) were more important in explaining RRI (~50 % of the explained variation) than RRN (~40 %). Warm-temperate and (sub)tropical regions have higher RRN than tropical or cooler regions. We found that socio-economic pressures are more relevant for invasive than for naturalized species richness. The expectation that the southern hemisphere is more invaded than the northern hemisphere was confirmed only for RRN on islands, but not for mainland regions nor for RRI. On average, islands have ~6-fold RRN, and &gt;3-fold RRI compared to mainland regions. Eighty-two islands (=26 % of all islands) harbour more naturalized alien than native plants. Our findings challenge the widely held expectation that socio-economic pressures are more relevant for plant naturalization than for invasive plants. To meet international biodiversity targets and halt the detrimental consequences of plant invasions, it is essential to disrupt the connection between socio-economic development and plant invasions by improving pathway management, early detection and rapid response.","container-title":"AoB PLANTS","DOI":"10.1093/aobpla/plz051","ISSN":"2041-2851","issue":"5","language":"en","page":"plz051","source":"DOI.org (Crossref)","title":"Drivers of the relative richness of naturalized and invasive plant species on Earth","URL":"https://academic.oup.com/aobpla/article/doi/10.1093/aobpla/plz051/5559683","volume":"11","author":[{"family":"Essl","given":"Franz"},{"family":"Dawson","given":"Wayne"},{"family":"Kreft","given":"Holger"},{"family":"Pergl","given":"Jan"},{"family":"Pyšek","given":"Petr"},{"family":"Van Kleunen","given":"Mark"},{"family":"Weigelt","given":"Patrick"},{"family":"Mang","given":"Thomas"},{"family":"Dullinger","given":"Stefan"},{"family":"Lenzner","given":"Bernd"},{"family":"Moser","given":"Dietmar"},{"family":"Maurel","given":"Noëlie"},{"family":"Seebens","given":"Hanno"},{"family":"Stein","given":"Anke"},{"family":"Weber","given":"Ewald"},{"family":"Chatelain","given":"Cyrille"},{"literal":"Inderjit"},{"family":"Genovesi","given":"Piero"},{"family":"Kartesz","given":"John"},{"family":"Morozova","given":"Olga"},{"family":"Nishino","given":"Misako"},{"family":"Nowak","given":"Pauline M"},{"family":"Pagad","given":"Shyama"},{"family":"Shu","given":"Wen-Sheng"},{"family":"Winter","given":"Marten"}],"editor":[{"family":"Burns","given":"Jean"}],"accessed":{"date-parts":[["2019",12,3]]},"issued":{"date-parts":[["2019",9,1]]}},"label":"page"},{"id":32859,"uris":["http://zotero.org/groups/2352922/items/WACB9G3T"],"itemData":{"id":32859,"type":"report","collection-title":"Biodiversity Series","event-place":"Washington, DC, USA","genre":"A Preliminary Report","language":"en","page":"50","publisher":"World Bank Environmental Department","publisher-place":"Washington, DC, USA","source":"Zotero","title":"The Aid Trade - International Assistance Programs as Pathways for the Introduction of Invasive Alien Species","author":[{"family":"Murphy","given":"Sean T"},{"family":"Cheesman","given":"Oliver D"}],"issued":{"date-parts":[["2006"]]}},"label":"page"}],"schema":"https://github.com/citation-style-language/schema/raw/master/csl-citation.json"} </w:instrText>
      </w:r>
      <w:r w:rsidR="001B6585" w:rsidRPr="5575EBFC">
        <w:rPr>
          <w:lang w:val="en-GB"/>
        </w:rPr>
        <w:fldChar w:fldCharType="separate"/>
      </w:r>
      <w:r w:rsidR="58218F9C">
        <w:t>(Essl et al., 2019; Murphy &amp; Cheesman, 2006)</w:t>
      </w:r>
      <w:r w:rsidR="001B6585" w:rsidRPr="5575EBFC">
        <w:rPr>
          <w:lang w:val="en-GB"/>
        </w:rPr>
        <w:fldChar w:fldCharType="end"/>
      </w:r>
      <w:r w:rsidRPr="5575EBFC">
        <w:rPr>
          <w:lang w:val="en-GB"/>
        </w:rPr>
        <w:t>. Due to lagged responses (time lags</w:t>
      </w:r>
      <w:r w:rsidR="073C84E0" w:rsidRPr="5575EBFC">
        <w:rPr>
          <w:lang w:val="en-GB"/>
        </w:rPr>
        <w:t xml:space="preserve">; </w:t>
      </w:r>
      <w:r w:rsidR="2683A39D" w:rsidRPr="5575EBFC">
        <w:rPr>
          <w:lang w:val="en-GB"/>
        </w:rPr>
        <w:t xml:space="preserve">or lag phase in the </w:t>
      </w:r>
      <w:r w:rsidR="00E23B69">
        <w:rPr>
          <w:b/>
          <w:bCs/>
          <w:lang w:val="en-GB"/>
        </w:rPr>
        <w:t>Glossary</w:t>
      </w:r>
      <w:r w:rsidRPr="5575EBFC">
        <w:rPr>
          <w:lang w:val="en-GB"/>
        </w:rPr>
        <w:t xml:space="preserve">), especially towards the later stages of the biological invasion process, consequences of recent increases in transport and travel are unlikely to be fully realized at present, resulting in potentially quite substantial </w:t>
      </w:r>
      <w:r w:rsidR="6F1BC5EC" w:rsidRPr="5575EBFC">
        <w:rPr>
          <w:lang w:val="en-GB"/>
        </w:rPr>
        <w:t>“</w:t>
      </w:r>
      <w:r w:rsidRPr="5575EBFC">
        <w:rPr>
          <w:lang w:val="en-GB"/>
        </w:rPr>
        <w:t>invasion debts</w:t>
      </w:r>
      <w:r w:rsidR="6F1BC5EC" w:rsidRPr="5575EBFC">
        <w:rPr>
          <w:lang w:val="en-GB"/>
        </w:rPr>
        <w:t>”</w:t>
      </w:r>
      <w:r w:rsidRPr="5575EBFC">
        <w:rPr>
          <w:lang w:val="en-GB"/>
        </w:rPr>
        <w:t xml:space="preserve"> </w:t>
      </w:r>
      <w:r w:rsidR="6F1BC5EC" w:rsidRPr="5575EBFC">
        <w:rPr>
          <w:lang w:val="en-GB" w:eastAsia="en-NZ"/>
        </w:rPr>
        <w:t>(</w:t>
      </w:r>
      <w:r w:rsidR="00E23B69">
        <w:rPr>
          <w:b/>
          <w:bCs/>
          <w:lang w:val="en-GB" w:eastAsia="en-NZ"/>
        </w:rPr>
        <w:t>Glossary</w:t>
      </w:r>
      <w:r w:rsidR="6F1BC5EC" w:rsidRPr="5575EBFC">
        <w:rPr>
          <w:lang w:val="en-GB" w:eastAsia="en-NZ"/>
        </w:rPr>
        <w:t xml:space="preserve">; </w:t>
      </w:r>
      <w:r w:rsidR="001B6585" w:rsidRPr="5575EBFC">
        <w:rPr>
          <w:lang w:val="en-GB"/>
        </w:rPr>
        <w:fldChar w:fldCharType="begin"/>
      </w:r>
      <w:r w:rsidR="00331A79">
        <w:rPr>
          <w:lang w:val="en-GB"/>
        </w:rPr>
        <w:instrText xml:space="preserve"> ADDIN ZOTERO_ITEM CSL_CITATION {"citationID":"kIY2wtva","properties":{"formattedCitation":"(Essl et al., 2011; Rouget et al., 2016)","plainCitation":"(Essl et al., 2011; Rouget et al., 2016)","dontUpdate":true,"noteIndex":0},"citationItems":[{"id":56280,"uris":["http://zotero.org/groups/2352922/items/YY5ECPQJ","http://zotero.org/groups/2352922/items/ITJAFPQE"],"itemData":{"id":56280,"type":"article-journal","abstract":"Globalization and economic growth are widely recognized as important drivers of biological invasions. Consequently, there is an increasing need for governments to address the role of international trade in their strategies to prevent species introductions. However, many of the most problematic alien species are not recent arrivals but were introduced several decades ago. Hence, current patterns of alien-species richness may better reflect historical rather than contemporary human activities, a phenomenon which might be called “invasion debt.” Here, we show that across 10 taxonomic groups (vascular plants, bryophytes, fungi, birds, mammals, reptiles, amphibians, fish, terrestrial insects, and aquatic invertebrates) in 28 European countries, current numbers of alien species established in the wild are indeed more closely related to indicators of socioeconomic activity from the year 1900 than to those from 2000, although the majority of species introductions occurred during the second half of the 20th century. The strength of the historical signal varies among taxonomic groups, with those possessing good capabilities for dispersal (birds, insects) more strongly associated with recent socioeconomic drivers. Nevertheless, our results suggest a considerable historical legacy for the majority of the taxa analyzed. The consequences of the current high levels of socioeconomic activity on the extent of biological invasions will thus probably not be completely realized until several decades into the future.","container-title":"Proceedings of the National Academy of Sciences","DOI":"10.1073/pnas.1011728108","ISSN":"0027-8424, 1091-6490","issue":"1","journalAbbreviation":"Proc. Natl. Acad. Sci. U.S.A.","language":"en","page":"203-207","source":"DOI.org (Crossref)","title":"Socioeconomic legacy yields an invasion debt","URL":"https://pnas.org/doi/full/10.1073/pnas.1011728108","volume":"108","author":[{"family":"Essl","given":"Franz"},{"family":"Dullinger","given":"Stefan"},{"family":"Rabitsch","given":"Wolfgang"},{"family":"Hulme","given":"Philip E."},{"family":"Hülber","given":"Karl"},{"family":"Jarošík","given":"Vojtěch"},{"family":"Kleinbauer","given":"Ingrid"},{"family":"Krausmann","given":"Fridolin"},{"family":"Kühn","given":"Ingolf"},{"family":"Nentwig","given":"Wolfgang"},{"family":"Vilà","given":"Montserrat"},{"family":"Genovesi","given":"Piero"},{"family":"Gherardi","given":"Francesca"},{"family":"Desprez-Loustau","given":"Marie-Laure"},{"family":"Roques","given":"Alain"},{"family":"Pyšek","given":"Petr"}],"accessed":{"date-parts":[["2023",6,8]]},"issued":{"date-parts":[["2011",1,4]]}}},{"id":31728,"uris":["http://zotero.org/groups/2352922/items/H644ZCGF"],"itemData":{"id":31728,"type":"article-journal","abstract":"AimWe develop a framework for quantifying invasions based on lagged trends in invasions (invasion debt') with the aim of identifying appropriate metrics to quantify delayed responses at different invasion stages - from introduction to when environmental impacts occur. LocationWorld-wide; detailed case study in South Africa. MethodsWe define four components of invasion debt: the number of species not yet introduced but likely to be introduced in the future given current levels of introduction/propagule pressure; the establishment of introduced species; the potential increase in area invaded by established species (including invasive species); and the potential increase in impacts. We demonstrate the approach in terms of number of species for 21 known invasive Australian Acacia species globally and estimate three components of invasion debt for 58 Acacia species already introduced to South Africa by quantifying key invasion factors (environmental suitability, species invasion status, residence time, propagule pressure, spread rate and impacts). ResultsCurrent global patterns of invasive species richness reflect historical trends of introduction - most acacia species that will become invasive in southern Africa have already invaded, but there is a substantial establishment debt in South and North America. In South Africa, the likely consequence of invasion debt over the next 20years was estimated at: four additional species becoming invasive with an average increase of 1075km(2) invaded area per invasive species. We estimate that this would require over US$ 500 million to clear. Main conclusionsOur results indicate that invasion debt is a valuable metric for reporting on the threats attributable to biological invasions, that invasion debt must be factored into strategic plans for managing global change, and, as with other studies, they highlight the value of proactive management. Given the uncertainty associated with biological invasions, further work is required to quantify the different components of invasion debt.","container-title":"Diversity and Distributions","DOI":"10.1111/ddi.12408","ISSN":"13669516","issue":"4","journalAbbreviation":"Diversity Distrib.","language":"en","page":"445-456","source":"DOI.org (Crossref)","title":"Invasion debt - quantifying future biological invasions","URL":"http://doi.wiley.com/10.1111/ddi.12408","volume":"22","author":[{"family":"Rouget","given":"Mathieu"},{"family":"Robertson","given":"Mark P."},{"family":"Wilson","given":"John R. U."},{"family":"Hui","given":"Cang"},{"family":"Essl","given":"Franz"},{"family":"Renteria","given":"Jorge L."},{"family":"Richardson","given":"David M."}],"editor":[{"family":"Kühn","given":"Ingolf"}],"accessed":{"date-parts":[["2019",12,7]]},"issued":{"date-parts":[["2016",4]]}}}],"schema":"https://github.com/citation-style-language/schema/raw/master/csl-citation.json"} </w:instrText>
      </w:r>
      <w:r w:rsidR="001B6585" w:rsidRPr="5575EBFC">
        <w:rPr>
          <w:lang w:val="en-GB"/>
        </w:rPr>
        <w:fldChar w:fldCharType="separate"/>
      </w:r>
      <w:r w:rsidRPr="5575EBFC">
        <w:rPr>
          <w:lang w:val="en-GB"/>
        </w:rPr>
        <w:t>Essl et al., 2011; Rouget et al., 2016</w:t>
      </w:r>
      <w:r w:rsidR="7480A8AE" w:rsidRPr="5575EBFC">
        <w:rPr>
          <w:lang w:val="en-GB"/>
        </w:rPr>
        <w:t>;</w:t>
      </w:r>
      <w:r w:rsidR="001B6585" w:rsidRPr="5575EBFC">
        <w:rPr>
          <w:lang w:val="en-GB"/>
        </w:rPr>
        <w:fldChar w:fldCharType="end"/>
      </w:r>
      <w:r w:rsidRPr="5575EBFC">
        <w:rPr>
          <w:lang w:val="en-GB"/>
        </w:rPr>
        <w:t xml:space="preserve"> </w:t>
      </w:r>
      <w:r w:rsidR="35CD5B07" w:rsidRPr="5575EBFC">
        <w:rPr>
          <w:b/>
          <w:bCs/>
          <w:lang w:val="en-GB"/>
        </w:rPr>
        <w:t>C</w:t>
      </w:r>
      <w:r w:rsidRPr="5575EBFC">
        <w:rPr>
          <w:b/>
          <w:bCs/>
          <w:lang w:val="en-GB"/>
        </w:rPr>
        <w:t>hapter 1</w:t>
      </w:r>
      <w:r w:rsidRPr="5575EBFC">
        <w:rPr>
          <w:lang w:val="en-GB"/>
        </w:rPr>
        <w:t>,</w:t>
      </w:r>
      <w:r w:rsidRPr="5575EBFC">
        <w:rPr>
          <w:b/>
          <w:bCs/>
          <w:lang w:val="en-GB"/>
        </w:rPr>
        <w:t xml:space="preserve"> section 1.4.4</w:t>
      </w:r>
      <w:r w:rsidR="2FEDF6ED" w:rsidRPr="5575EBFC">
        <w:rPr>
          <w:lang w:val="en-GB"/>
        </w:rPr>
        <w:t>;</w:t>
      </w:r>
      <w:r w:rsidR="2FEDF6ED" w:rsidRPr="5575EBFC">
        <w:rPr>
          <w:b/>
          <w:bCs/>
          <w:lang w:val="en-GB"/>
        </w:rPr>
        <w:t xml:space="preserve"> </w:t>
      </w:r>
      <w:r w:rsidR="35CD5B07" w:rsidRPr="5575EBFC">
        <w:rPr>
          <w:b/>
          <w:bCs/>
          <w:lang w:val="en-GB"/>
        </w:rPr>
        <w:t>C</w:t>
      </w:r>
      <w:r w:rsidRPr="5575EBFC">
        <w:rPr>
          <w:b/>
          <w:bCs/>
          <w:lang w:val="en-GB"/>
        </w:rPr>
        <w:t>hapter 2</w:t>
      </w:r>
      <w:r w:rsidRPr="5575EBFC">
        <w:rPr>
          <w:lang w:val="en-GB"/>
        </w:rPr>
        <w:t>,</w:t>
      </w:r>
      <w:r w:rsidRPr="5575EBFC">
        <w:rPr>
          <w:b/>
          <w:bCs/>
          <w:lang w:val="en-GB"/>
        </w:rPr>
        <w:t xml:space="preserve"> section 2.2.</w:t>
      </w:r>
      <w:r w:rsidR="0A2C5CD9" w:rsidRPr="5575EBFC">
        <w:rPr>
          <w:b/>
          <w:bCs/>
          <w:lang w:val="en-GB"/>
        </w:rPr>
        <w:t>1</w:t>
      </w:r>
      <w:r w:rsidRPr="5575EBFC">
        <w:rPr>
          <w:lang w:val="en-GB"/>
        </w:rPr>
        <w:t>). As a consequence of increas</w:t>
      </w:r>
      <w:r w:rsidR="05B3EC76" w:rsidRPr="5575EBFC">
        <w:rPr>
          <w:lang w:val="en-GB"/>
        </w:rPr>
        <w:t xml:space="preserve">ing </w:t>
      </w:r>
      <w:r w:rsidR="0CA2B6D0" w:rsidRPr="5575EBFC">
        <w:rPr>
          <w:lang w:val="en-GB"/>
        </w:rPr>
        <w:t xml:space="preserve">rates of </w:t>
      </w:r>
      <w:r w:rsidRPr="5575EBFC">
        <w:rPr>
          <w:lang w:val="en-GB"/>
        </w:rPr>
        <w:t xml:space="preserve">introduction , possibly aggravated by climate change, many historical and contemporary invasive alien species are now increasingly emerging as threats to modern agriculture and food security </w:t>
      </w:r>
      <w:r w:rsidR="001B6585" w:rsidRPr="5575EBFC">
        <w:rPr>
          <w:lang w:val="en-GB"/>
        </w:rPr>
        <w:fldChar w:fldCharType="begin"/>
      </w:r>
      <w:r w:rsidR="00230216">
        <w:rPr>
          <w:lang w:val="en-GB"/>
        </w:rPr>
        <w:instrText xml:space="preserve"> ADDIN ZOTERO_ITEM CSL_CITATION {"citationID":"FOLDLAOT","properties":{"formattedCitation":"(Subbarao et al., 2015)","plainCitation":"(Subbarao et al., 2015)","dontUpdate":true,"noteIndex":0},"citationItems":[{"id":"zUkrYEfa/1zuIl7CB","uris":["http://zotero.org/users/5891177/items/8VCNNXCK"],"itemData":{"id":65,"type":"article-journal","abstract":"The history of plant pathology is closely tied to plant diseases that have changed the course of human history. The Irish potato famine, caused by late blight of potato, resulted in the starvation and death of millions of people and one of the most influential human migrations in history. Other plant diseases have impacted quality of life in myriad ways. The advent of fungicides, clean seeds, host resistance, and the development of a plethora of other techniques, has diminished the impact of plant diseases. However, impressive advances in modes of rapid transport have not only increased global trade and human migration, but also augmented the risk for anthropogenic invasions of plant pathogens. As a consequence, and possibly aggravated by climate change, many historical and contemporary diseases are emerging as threats to modern agriculture and food security. These emerging diseases are not only important in global crop production, but also pose severe risks on a local level, especially on small farms in developing countries. This Focus Issue of Phytopathology contains a collection of peer-reviewed research articles, invited reviews and perspective articles on an assortment of emerging and re-emerging diseases caused by bacterial (3 papers), fungal (6 papers), oomycete (5 papers), and viral plant pathogens (3 papers). These diseases cover a range of crops including annual field crops and perennial tree crops, and vegetables, across five continents.","container-title":"Phytopathology™","DOI":"10.1094/PHYTO-105-7-0001","ISSN":"0031-949X","issue":"7","journalAbbreviation":"Phytopathology™","page":"852-854","source":"apsjournals.apsnet.org (Atypon)","title":"Focus Issue Articles on Emerging and Re-Emerging Plant Diseases","volume":"105","author":[{"family":"Subbarao","given":"Krishna V."},{"family":"Sundin","given":"George W."},{"family":"Klosterman","given":"Steven J."}],"issued":{"date-parts":[["2015",7,1]]}}}],"schema":"https://github.com/citation-style-language/schema/raw/master/csl-citation.json"} </w:instrText>
      </w:r>
      <w:r w:rsidR="001B6585" w:rsidRPr="5575EBFC">
        <w:rPr>
          <w:lang w:val="en-GB"/>
        </w:rPr>
        <w:fldChar w:fldCharType="separate"/>
      </w:r>
      <w:r w:rsidRPr="5575EBFC">
        <w:rPr>
          <w:lang w:val="en-GB"/>
        </w:rPr>
        <w:t>(Subbarao et al., 2015</w:t>
      </w:r>
      <w:r w:rsidR="001B6585" w:rsidRPr="5575EBFC">
        <w:rPr>
          <w:lang w:val="en-GB"/>
        </w:rPr>
        <w:fldChar w:fldCharType="end"/>
      </w:r>
      <w:r w:rsidR="78204A3D" w:rsidRPr="5575EBFC">
        <w:rPr>
          <w:lang w:val="en-GB"/>
        </w:rPr>
        <w:t>;</w:t>
      </w:r>
      <w:r w:rsidRPr="5575EBFC">
        <w:rPr>
          <w:lang w:val="en-GB"/>
        </w:rPr>
        <w:t xml:space="preserve"> </w:t>
      </w:r>
      <w:r w:rsidR="5AC7FBF8" w:rsidRPr="5575EBFC">
        <w:rPr>
          <w:b/>
          <w:bCs/>
          <w:lang w:val="en-GB"/>
        </w:rPr>
        <w:t>C</w:t>
      </w:r>
      <w:r w:rsidRPr="5575EBFC">
        <w:rPr>
          <w:b/>
          <w:bCs/>
          <w:lang w:val="en-GB"/>
        </w:rPr>
        <w:t>hapter 4</w:t>
      </w:r>
      <w:r w:rsidRPr="5575EBFC">
        <w:rPr>
          <w:lang w:val="en-GB"/>
        </w:rPr>
        <w:t>,</w:t>
      </w:r>
      <w:r w:rsidRPr="5575EBFC">
        <w:rPr>
          <w:b/>
          <w:bCs/>
          <w:lang w:val="en-GB"/>
        </w:rPr>
        <w:t xml:space="preserve"> sections 4.4</w:t>
      </w:r>
      <w:r w:rsidR="19DF0D7C" w:rsidRPr="5575EBFC">
        <w:rPr>
          <w:b/>
          <w:bCs/>
          <w:lang w:val="en-GB"/>
        </w:rPr>
        <w:t xml:space="preserve">, </w:t>
      </w:r>
      <w:r w:rsidRPr="5575EBFC">
        <w:rPr>
          <w:b/>
          <w:bCs/>
          <w:lang w:val="en-GB"/>
        </w:rPr>
        <w:t>4.5</w:t>
      </w:r>
      <w:r w:rsidR="19DF0D7C" w:rsidRPr="5575EBFC">
        <w:rPr>
          <w:b/>
          <w:bCs/>
          <w:lang w:val="en-GB"/>
        </w:rPr>
        <w:t>, 4.6</w:t>
      </w:r>
      <w:r w:rsidR="0D02E9FA" w:rsidRPr="5575EBFC">
        <w:rPr>
          <w:b/>
          <w:bCs/>
          <w:lang w:val="en-GB"/>
        </w:rPr>
        <w:t>.2</w:t>
      </w:r>
      <w:r w:rsidR="00DF30EF">
        <w:rPr>
          <w:b/>
          <w:bCs/>
          <w:lang w:val="en-GB"/>
        </w:rPr>
        <w:t xml:space="preserve"> </w:t>
      </w:r>
      <w:r w:rsidR="00DF30EF" w:rsidRPr="00FC1BA2">
        <w:rPr>
          <w:lang w:val="en-GB"/>
        </w:rPr>
        <w:t>and</w:t>
      </w:r>
      <w:r w:rsidR="00DF30EF" w:rsidRPr="5575EBFC">
        <w:rPr>
          <w:b/>
          <w:bCs/>
          <w:lang w:val="en-GB"/>
        </w:rPr>
        <w:t xml:space="preserve"> </w:t>
      </w:r>
      <w:r w:rsidR="0D02E9FA" w:rsidRPr="5575EBFC">
        <w:rPr>
          <w:b/>
          <w:bCs/>
          <w:lang w:val="en-GB"/>
        </w:rPr>
        <w:t>4.6.3</w:t>
      </w:r>
      <w:r w:rsidRPr="5575EBFC">
        <w:rPr>
          <w:lang w:val="en-GB"/>
        </w:rPr>
        <w:t xml:space="preserve">). However, attributing such global patterns of increasing rates and impacts of </w:t>
      </w:r>
      <w:r w:rsidR="0BA150E4" w:rsidRPr="5575EBFC">
        <w:rPr>
          <w:lang w:val="en-GB"/>
        </w:rPr>
        <w:t>invasive alien species</w:t>
      </w:r>
      <w:r w:rsidR="0994A517" w:rsidRPr="5575EBFC">
        <w:rPr>
          <w:lang w:val="en-GB"/>
        </w:rPr>
        <w:t xml:space="preserve"> </w:t>
      </w:r>
      <w:r w:rsidRPr="5575EBFC">
        <w:rPr>
          <w:lang w:val="en-GB"/>
        </w:rPr>
        <w:t xml:space="preserve">to specific drivers, such as travel, </w:t>
      </w:r>
      <w:r w:rsidR="5B1AE08F" w:rsidRPr="5575EBFC">
        <w:rPr>
          <w:lang w:val="en-GB"/>
        </w:rPr>
        <w:t>trade,</w:t>
      </w:r>
      <w:r w:rsidRPr="5575EBFC">
        <w:rPr>
          <w:lang w:val="en-GB"/>
        </w:rPr>
        <w:t xml:space="preserve"> or migration, is difficult.</w:t>
      </w:r>
      <w:r w:rsidR="56596397" w:rsidRPr="5575EBFC">
        <w:rPr>
          <w:lang w:val="en-GB"/>
        </w:rPr>
        <w:t xml:space="preserve"> </w:t>
      </w:r>
    </w:p>
    <w:p w14:paraId="64627B90" w14:textId="5954BC13" w:rsidR="00186B40" w:rsidRPr="00DA249F" w:rsidRDefault="73FC1E67" w:rsidP="005A46F1">
      <w:pPr>
        <w:rPr>
          <w:lang w:val="en-GB"/>
        </w:rPr>
      </w:pPr>
      <w:r w:rsidRPr="728F2DAF">
        <w:rPr>
          <w:lang w:val="en-GB"/>
        </w:rPr>
        <w:t xml:space="preserve">The drivers </w:t>
      </w:r>
      <w:r w:rsidR="7F59CB32" w:rsidRPr="728F2DAF">
        <w:rPr>
          <w:lang w:val="en-GB"/>
        </w:rPr>
        <w:t xml:space="preserve">that </w:t>
      </w:r>
      <w:r w:rsidR="4511EB96" w:rsidRPr="728F2DAF">
        <w:rPr>
          <w:lang w:val="en-GB"/>
        </w:rPr>
        <w:t>directly or indirectly facilitat</w:t>
      </w:r>
      <w:r w:rsidR="7F59CB32" w:rsidRPr="728F2DAF">
        <w:rPr>
          <w:lang w:val="en-GB"/>
        </w:rPr>
        <w:t>e</w:t>
      </w:r>
      <w:r w:rsidR="4511EB96" w:rsidRPr="728F2DAF">
        <w:rPr>
          <w:lang w:val="en-GB"/>
        </w:rPr>
        <w:t xml:space="preserve"> biological invasions </w:t>
      </w:r>
      <w:r w:rsidR="4650A42E" w:rsidRPr="728F2DAF">
        <w:rPr>
          <w:lang w:val="en-GB"/>
        </w:rPr>
        <w:t xml:space="preserve">are </w:t>
      </w:r>
      <w:r w:rsidR="6E3C1E6D" w:rsidRPr="728F2DAF">
        <w:rPr>
          <w:lang w:val="en-GB"/>
        </w:rPr>
        <w:t xml:space="preserve">correlated and </w:t>
      </w:r>
      <w:r w:rsidR="4650A42E" w:rsidRPr="728F2DAF">
        <w:rPr>
          <w:lang w:val="en-GB"/>
        </w:rPr>
        <w:t>caus</w:t>
      </w:r>
      <w:r w:rsidR="7F59CB32" w:rsidRPr="728F2DAF">
        <w:rPr>
          <w:lang w:val="en-GB"/>
        </w:rPr>
        <w:t xml:space="preserve">ally linked </w:t>
      </w:r>
      <w:r w:rsidR="6E3C1E6D" w:rsidRPr="728F2DAF">
        <w:rPr>
          <w:lang w:val="en-GB"/>
        </w:rPr>
        <w:t>t</w:t>
      </w:r>
      <w:r w:rsidR="6E213732" w:rsidRPr="728F2DAF">
        <w:rPr>
          <w:lang w:val="en-GB"/>
        </w:rPr>
        <w:t xml:space="preserve">hrough a series of </w:t>
      </w:r>
      <w:r w:rsidR="427DD08A" w:rsidRPr="728F2DAF">
        <w:rPr>
          <w:lang w:val="en-GB"/>
        </w:rPr>
        <w:t>co-</w:t>
      </w:r>
      <w:r w:rsidR="3A69CA19" w:rsidRPr="728F2DAF">
        <w:rPr>
          <w:lang w:val="en-GB"/>
        </w:rPr>
        <w:t>occurring</w:t>
      </w:r>
      <w:r w:rsidR="427DD08A" w:rsidRPr="728F2DAF">
        <w:rPr>
          <w:lang w:val="en-GB"/>
        </w:rPr>
        <w:t xml:space="preserve"> global </w:t>
      </w:r>
      <w:r w:rsidR="6E213732" w:rsidRPr="728F2DAF">
        <w:rPr>
          <w:lang w:val="en-GB"/>
        </w:rPr>
        <w:t xml:space="preserve">change </w:t>
      </w:r>
      <w:r w:rsidR="427DD08A" w:rsidRPr="728F2DAF">
        <w:rPr>
          <w:lang w:val="en-GB"/>
        </w:rPr>
        <w:t>trends (</w:t>
      </w:r>
      <w:r w:rsidR="4650A42E" w:rsidRPr="728F2DAF">
        <w:rPr>
          <w:b/>
          <w:bCs/>
          <w:lang w:val="en-GB"/>
        </w:rPr>
        <w:t>section 3.1.</w:t>
      </w:r>
      <w:r w:rsidR="391EAF53" w:rsidRPr="728F2DAF">
        <w:rPr>
          <w:b/>
          <w:bCs/>
          <w:lang w:val="en-GB"/>
        </w:rPr>
        <w:t>1</w:t>
      </w:r>
      <w:r w:rsidR="4650A42E" w:rsidRPr="728F2DAF">
        <w:rPr>
          <w:lang w:val="en-GB"/>
        </w:rPr>
        <w:t xml:space="preserve">). </w:t>
      </w:r>
      <w:r w:rsidR="4921A389" w:rsidRPr="728F2DAF">
        <w:rPr>
          <w:lang w:val="en-GB"/>
        </w:rPr>
        <w:t>The different stages of</w:t>
      </w:r>
      <w:r w:rsidR="7A3E0B39" w:rsidRPr="728F2DAF">
        <w:rPr>
          <w:lang w:val="en-GB"/>
        </w:rPr>
        <w:t xml:space="preserve"> the</w:t>
      </w:r>
      <w:r w:rsidR="4921A389" w:rsidRPr="728F2DAF">
        <w:rPr>
          <w:lang w:val="en-GB"/>
        </w:rPr>
        <w:t xml:space="preserve"> biological invasion</w:t>
      </w:r>
      <w:r w:rsidR="64C9DB6F" w:rsidRPr="728F2DAF">
        <w:rPr>
          <w:lang w:val="en-GB"/>
        </w:rPr>
        <w:t xml:space="preserve"> proces</w:t>
      </w:r>
      <w:r w:rsidR="7FDF787C" w:rsidRPr="728F2DAF">
        <w:rPr>
          <w:lang w:val="en-GB"/>
        </w:rPr>
        <w:t>s</w:t>
      </w:r>
      <w:r w:rsidR="4921A389" w:rsidRPr="728F2DAF">
        <w:rPr>
          <w:lang w:val="en-GB"/>
        </w:rPr>
        <w:t xml:space="preserve"> can be affected</w:t>
      </w:r>
      <w:r w:rsidR="0AF38615" w:rsidRPr="728F2DAF">
        <w:rPr>
          <w:lang w:val="en-GB"/>
        </w:rPr>
        <w:t xml:space="preserve"> </w:t>
      </w:r>
      <w:r w:rsidR="4921A389" w:rsidRPr="728F2DAF">
        <w:rPr>
          <w:lang w:val="en-GB"/>
        </w:rPr>
        <w:t xml:space="preserve">by different </w:t>
      </w:r>
      <w:r w:rsidR="7FDF787C" w:rsidRPr="728F2DAF">
        <w:rPr>
          <w:lang w:val="en-GB"/>
        </w:rPr>
        <w:t xml:space="preserve">sets of </w:t>
      </w:r>
      <w:r w:rsidR="4921A389" w:rsidRPr="728F2DAF">
        <w:rPr>
          <w:lang w:val="en-GB"/>
        </w:rPr>
        <w:t>drivers (</w:t>
      </w:r>
      <w:r w:rsidR="07A7D99D" w:rsidRPr="728F2DAF">
        <w:rPr>
          <w:b/>
          <w:bCs/>
          <w:lang w:val="en-GB"/>
        </w:rPr>
        <w:t>section 3.1.4</w:t>
      </w:r>
      <w:r w:rsidR="0AF38615" w:rsidRPr="728F2DAF">
        <w:rPr>
          <w:lang w:val="en-GB"/>
        </w:rPr>
        <w:t>)</w:t>
      </w:r>
      <w:r w:rsidR="7FDF787C" w:rsidRPr="728F2DAF">
        <w:rPr>
          <w:lang w:val="en-GB"/>
        </w:rPr>
        <w:t xml:space="preserve">, and drivers can interact in complex ways to facilitate </w:t>
      </w:r>
      <w:r w:rsidR="714FB265" w:rsidRPr="728F2DAF">
        <w:rPr>
          <w:lang w:val="en-GB"/>
        </w:rPr>
        <w:t xml:space="preserve">the </w:t>
      </w:r>
      <w:r w:rsidR="744A0979" w:rsidRPr="728F2DAF">
        <w:rPr>
          <w:lang w:val="en-GB"/>
        </w:rPr>
        <w:t xml:space="preserve">biological </w:t>
      </w:r>
      <w:r w:rsidR="714FB265" w:rsidRPr="728F2DAF">
        <w:rPr>
          <w:lang w:val="en-GB"/>
        </w:rPr>
        <w:t>i</w:t>
      </w:r>
      <w:r w:rsidR="16C72B71" w:rsidRPr="728F2DAF">
        <w:rPr>
          <w:lang w:val="en-GB"/>
        </w:rPr>
        <w:t>n</w:t>
      </w:r>
      <w:r w:rsidR="714FB265" w:rsidRPr="728F2DAF">
        <w:rPr>
          <w:lang w:val="en-GB"/>
        </w:rPr>
        <w:t>vasion process (</w:t>
      </w:r>
      <w:r w:rsidR="07A7D99D" w:rsidRPr="728F2DAF">
        <w:rPr>
          <w:b/>
          <w:bCs/>
          <w:lang w:val="en-GB"/>
        </w:rPr>
        <w:t>section 3.</w:t>
      </w:r>
      <w:r w:rsidR="391EAF53" w:rsidRPr="728F2DAF">
        <w:rPr>
          <w:b/>
          <w:bCs/>
          <w:lang w:val="en-GB"/>
        </w:rPr>
        <w:t>5</w:t>
      </w:r>
      <w:r w:rsidR="77691F07" w:rsidRPr="728F2DAF">
        <w:rPr>
          <w:lang w:val="en-GB"/>
        </w:rPr>
        <w:t xml:space="preserve">). </w:t>
      </w:r>
      <w:r w:rsidR="7F9F4E83" w:rsidRPr="728F2DAF">
        <w:rPr>
          <w:lang w:val="en-GB"/>
        </w:rPr>
        <w:t xml:space="preserve">While indirect </w:t>
      </w:r>
      <w:r w:rsidR="067C1E4A" w:rsidRPr="728F2DAF">
        <w:rPr>
          <w:lang w:val="en-GB"/>
        </w:rPr>
        <w:t>drivers of change in nature</w:t>
      </w:r>
      <w:r w:rsidR="7F9F4E83" w:rsidRPr="728F2DAF">
        <w:rPr>
          <w:lang w:val="en-GB"/>
        </w:rPr>
        <w:t xml:space="preserve"> may act directly on biological invasions, b</w:t>
      </w:r>
      <w:r w:rsidR="56AA3DA2" w:rsidRPr="728F2DAF">
        <w:rPr>
          <w:lang w:val="en-GB"/>
        </w:rPr>
        <w:t>oth natural direct drivers and anthropogenic direct drivers of change</w:t>
      </w:r>
      <w:r w:rsidR="1069EAB0" w:rsidRPr="728F2DAF">
        <w:rPr>
          <w:lang w:val="en-GB"/>
        </w:rPr>
        <w:t xml:space="preserve"> in nature</w:t>
      </w:r>
      <w:r w:rsidR="09135AFD" w:rsidRPr="728F2DAF">
        <w:rPr>
          <w:lang w:val="en-GB"/>
        </w:rPr>
        <w:t xml:space="preserve"> can also have indirect effect</w:t>
      </w:r>
      <w:r w:rsidR="56AA3DA2" w:rsidRPr="728F2DAF">
        <w:rPr>
          <w:lang w:val="en-GB"/>
        </w:rPr>
        <w:t>s on biological invasions through their influence on other drivers or via feedbacks from biodiversity loss (</w:t>
      </w:r>
      <w:r w:rsidR="00E23B69">
        <w:rPr>
          <w:b/>
          <w:bCs/>
          <w:lang w:val="en-GB"/>
        </w:rPr>
        <w:t>Figure</w:t>
      </w:r>
      <w:r w:rsidR="343749A3" w:rsidRPr="728F2DAF">
        <w:rPr>
          <w:b/>
          <w:bCs/>
          <w:lang w:val="en-GB"/>
        </w:rPr>
        <w:t xml:space="preserve"> </w:t>
      </w:r>
      <w:r w:rsidR="56AA3DA2" w:rsidRPr="728F2DAF">
        <w:rPr>
          <w:b/>
          <w:bCs/>
          <w:lang w:val="en-GB"/>
        </w:rPr>
        <w:t>3.3</w:t>
      </w:r>
      <w:r w:rsidR="56AA3DA2" w:rsidRPr="728F2DAF">
        <w:rPr>
          <w:lang w:val="en-GB"/>
        </w:rPr>
        <w:t>).</w:t>
      </w:r>
      <w:r w:rsidR="7F9F4E83" w:rsidRPr="728F2DAF">
        <w:rPr>
          <w:lang w:val="en-GB"/>
        </w:rPr>
        <w:t xml:space="preserve"> For example, climate change</w:t>
      </w:r>
      <w:r w:rsidR="4A963972" w:rsidRPr="728F2DAF">
        <w:rPr>
          <w:lang w:val="en-GB"/>
        </w:rPr>
        <w:t xml:space="preserve"> (direct </w:t>
      </w:r>
      <w:r w:rsidR="4B409F01" w:rsidRPr="728F2DAF">
        <w:rPr>
          <w:lang w:val="en-GB"/>
        </w:rPr>
        <w:t>driver of change in nature</w:t>
      </w:r>
      <w:r w:rsidR="4A963972" w:rsidRPr="728F2DAF">
        <w:rPr>
          <w:lang w:val="en-GB"/>
        </w:rPr>
        <w:t>)</w:t>
      </w:r>
      <w:r w:rsidR="7F9F4E83" w:rsidRPr="728F2DAF">
        <w:rPr>
          <w:lang w:val="en-GB"/>
        </w:rPr>
        <w:t xml:space="preserve"> can have a direct driving effect on land-use change e.g., through a shift to more intensive agriculture which could lead to a direct effect on biodiversity loss and thus facilitate the introduction of invasive alien </w:t>
      </w:r>
      <w:r w:rsidR="7F9F4E83" w:rsidRPr="728F2DAF">
        <w:rPr>
          <w:lang w:val="en-GB"/>
        </w:rPr>
        <w:lastRenderedPageBreak/>
        <w:t xml:space="preserve">species. Similarly, expanding urbanization </w:t>
      </w:r>
      <w:r w:rsidR="0F8348CE" w:rsidRPr="728F2DAF">
        <w:rPr>
          <w:lang w:val="en-GB"/>
        </w:rPr>
        <w:t>(</w:t>
      </w:r>
      <w:r w:rsidR="1C72A183" w:rsidRPr="728F2DAF">
        <w:rPr>
          <w:lang w:val="en-GB"/>
        </w:rPr>
        <w:t xml:space="preserve">an </w:t>
      </w:r>
      <w:r w:rsidR="0F8348CE" w:rsidRPr="728F2DAF">
        <w:rPr>
          <w:lang w:val="en-GB"/>
        </w:rPr>
        <w:t>indirect driver</w:t>
      </w:r>
      <w:r w:rsidR="49E021E0" w:rsidRPr="728F2DAF">
        <w:rPr>
          <w:lang w:val="en-GB"/>
        </w:rPr>
        <w:t xml:space="preserve"> of</w:t>
      </w:r>
      <w:r w:rsidR="4B409F01" w:rsidRPr="728F2DAF">
        <w:rPr>
          <w:lang w:val="en-GB"/>
        </w:rPr>
        <w:t>change in nature</w:t>
      </w:r>
      <w:r w:rsidR="561B4F95" w:rsidRPr="728F2DAF">
        <w:rPr>
          <w:lang w:val="en-GB"/>
        </w:rPr>
        <w:t>) can lead to increased explo</w:t>
      </w:r>
      <w:r w:rsidR="7F9F4E83" w:rsidRPr="728F2DAF">
        <w:rPr>
          <w:lang w:val="en-GB"/>
        </w:rPr>
        <w:t>itation of hydrological resources, increased pollution, as well as habitat fragmentation</w:t>
      </w:r>
      <w:r w:rsidR="4509B192" w:rsidRPr="728F2DAF">
        <w:rPr>
          <w:lang w:val="en-GB"/>
        </w:rPr>
        <w:t xml:space="preserve"> (direct drivers of change in nature)</w:t>
      </w:r>
      <w:r w:rsidR="7F9F4E83" w:rsidRPr="728F2DAF">
        <w:rPr>
          <w:lang w:val="en-GB"/>
        </w:rPr>
        <w:t xml:space="preserve">. All these factors may increase the extent of </w:t>
      </w:r>
      <w:r w:rsidR="4437310B" w:rsidRPr="728F2DAF">
        <w:rPr>
          <w:lang w:val="en-GB"/>
        </w:rPr>
        <w:t>invasive alien species</w:t>
      </w:r>
      <w:r w:rsidR="7F9F4E83" w:rsidRPr="728F2DAF">
        <w:rPr>
          <w:lang w:val="en-GB"/>
        </w:rPr>
        <w:t xml:space="preserve">, either alone or in concert, and when in concert they may act additively or multiplicatively. </w:t>
      </w:r>
      <w:r w:rsidR="57645C7E" w:rsidRPr="728F2DAF">
        <w:rPr>
          <w:lang w:val="en-GB"/>
        </w:rPr>
        <w:t>Unfortunately, this complexity is rarely captured in studies of invasive alien species and research often attempts to address a single proximate cause of biological invasions rather than teasing apart multiple factors or disentangling the chain of causation from indirect to direct drivers</w:t>
      </w:r>
      <w:r w:rsidR="7F9F4E83" w:rsidRPr="728F2DAF">
        <w:rPr>
          <w:lang w:val="en-GB"/>
        </w:rPr>
        <w:t xml:space="preserve"> </w:t>
      </w:r>
      <w:r w:rsidR="00903B93" w:rsidRPr="728F2DAF">
        <w:rPr>
          <w:lang w:val="en-GB"/>
        </w:rPr>
        <w:fldChar w:fldCharType="begin"/>
      </w:r>
      <w:r w:rsidR="00331A79">
        <w:rPr>
          <w:lang w:val="en-GB"/>
        </w:rPr>
        <w:instrText xml:space="preserve"> ADDIN ZOTERO_ITEM CSL_CITATION {"citationID":"yPyFnuwq","properties":{"formattedCitation":"(Hulme, 2022)","plainCitation":"(Hulme, 2022)","noteIndex":0},"citationItems":[{"id":29804,"uris":["http://zotero.org/groups/2352922/items/NSIS6VSX"],"itemData":{"id":29804,"type":"article-journal","container-title":"Conservation Biology","DOI":"10.1111/cobi.13817","issue":"2","language":"en","page":"e13817","title":"Importance of greater interdisciplinarity and geographic scope when tackling the driving forces behind biological invasions","URL":"https://doi.org/10.1111/cobi.13817","volume":"36","author":[{"family":"Hulme","given":"Philip E."}],"issued":{"date-parts":[["2022"]]}}}],"schema":"https://github.com/citation-style-language/schema/raw/master/csl-citation.json"} </w:instrText>
      </w:r>
      <w:r w:rsidR="00903B93" w:rsidRPr="728F2DAF">
        <w:rPr>
          <w:lang w:val="en-GB"/>
        </w:rPr>
        <w:fldChar w:fldCharType="separate"/>
      </w:r>
      <w:r w:rsidR="73B99EB6">
        <w:t>(Hulme, 2022)</w:t>
      </w:r>
      <w:r w:rsidR="00903B93" w:rsidRPr="728F2DAF">
        <w:rPr>
          <w:lang w:val="en-GB"/>
        </w:rPr>
        <w:fldChar w:fldCharType="end"/>
      </w:r>
      <w:r w:rsidR="63C5B9C1" w:rsidRPr="728F2DAF">
        <w:rPr>
          <w:lang w:val="en-GB"/>
        </w:rPr>
        <w:t xml:space="preserve">. The </w:t>
      </w:r>
      <w:r w:rsidR="7515080B" w:rsidRPr="728F2DAF">
        <w:rPr>
          <w:lang w:val="en-GB"/>
        </w:rPr>
        <w:t xml:space="preserve">multi-driver studies that exist tend to focus on </w:t>
      </w:r>
      <w:r w:rsidR="4A6E6438" w:rsidRPr="728F2DAF">
        <w:rPr>
          <w:lang w:val="en-GB"/>
        </w:rPr>
        <w:t xml:space="preserve">interactive effects of </w:t>
      </w:r>
      <w:r w:rsidR="0E0A8844" w:rsidRPr="728F2DAF">
        <w:rPr>
          <w:lang w:val="en-GB"/>
        </w:rPr>
        <w:t xml:space="preserve">a few key </w:t>
      </w:r>
      <w:r w:rsidR="4A6E6438" w:rsidRPr="728F2DAF">
        <w:rPr>
          <w:lang w:val="en-GB"/>
        </w:rPr>
        <w:t xml:space="preserve">direct </w:t>
      </w:r>
      <w:r w:rsidR="0E0A8844" w:rsidRPr="728F2DAF">
        <w:rPr>
          <w:lang w:val="en-GB"/>
        </w:rPr>
        <w:t xml:space="preserve">drivers </w:t>
      </w:r>
      <w:r w:rsidR="4A6E6438" w:rsidRPr="728F2DAF">
        <w:rPr>
          <w:lang w:val="en-GB"/>
        </w:rPr>
        <w:t>of change</w:t>
      </w:r>
      <w:r w:rsidR="1CAF4DF0" w:rsidRPr="728F2DAF">
        <w:rPr>
          <w:lang w:val="en-GB"/>
        </w:rPr>
        <w:t xml:space="preserve"> in nature</w:t>
      </w:r>
      <w:r w:rsidR="4A6E6438" w:rsidRPr="728F2DAF">
        <w:rPr>
          <w:lang w:val="en-GB"/>
        </w:rPr>
        <w:t xml:space="preserve">, notably </w:t>
      </w:r>
      <w:r w:rsidR="0E0A8844" w:rsidRPr="728F2DAF">
        <w:rPr>
          <w:lang w:val="en-GB"/>
        </w:rPr>
        <w:t xml:space="preserve">land-use change, </w:t>
      </w:r>
      <w:r w:rsidR="14B194DF" w:rsidRPr="728F2DAF">
        <w:rPr>
          <w:lang w:val="en-GB"/>
        </w:rPr>
        <w:t>pollution</w:t>
      </w:r>
      <w:r w:rsidR="009F7404">
        <w:rPr>
          <w:lang w:val="en-GB"/>
        </w:rPr>
        <w:t xml:space="preserve"> and</w:t>
      </w:r>
      <w:r w:rsidR="14B194DF" w:rsidRPr="728F2DAF">
        <w:rPr>
          <w:lang w:val="en-GB"/>
        </w:rPr>
        <w:t xml:space="preserve"> climate change (</w:t>
      </w:r>
      <w:r w:rsidR="14B194DF" w:rsidRPr="00FC1BA2">
        <w:rPr>
          <w:b/>
          <w:bCs/>
          <w:lang w:val="en-GB"/>
        </w:rPr>
        <w:t>Fig</w:t>
      </w:r>
      <w:r w:rsidR="4495BEC2" w:rsidRPr="728F2DAF">
        <w:rPr>
          <w:b/>
          <w:bCs/>
          <w:lang w:val="en-GB"/>
        </w:rPr>
        <w:t>ure 3.5</w:t>
      </w:r>
      <w:r w:rsidR="7980C21A" w:rsidRPr="728F2DAF">
        <w:rPr>
          <w:lang w:val="en-GB"/>
        </w:rPr>
        <w:t>)</w:t>
      </w:r>
      <w:r w:rsidR="3E2CDB7C" w:rsidRPr="728F2DAF">
        <w:rPr>
          <w:lang w:val="en-GB"/>
        </w:rPr>
        <w:t xml:space="preserve">. </w:t>
      </w:r>
      <w:r w:rsidR="73997975" w:rsidRPr="728F2DAF">
        <w:rPr>
          <w:lang w:val="en-GB"/>
        </w:rPr>
        <w:t xml:space="preserve">As a result of these complexities, </w:t>
      </w:r>
      <w:r w:rsidR="6D660AD9" w:rsidRPr="728F2DAF">
        <w:rPr>
          <w:lang w:val="en-GB"/>
        </w:rPr>
        <w:t xml:space="preserve">the </w:t>
      </w:r>
      <w:r w:rsidR="73997975" w:rsidRPr="728F2DAF">
        <w:rPr>
          <w:lang w:val="en-GB"/>
        </w:rPr>
        <w:t>knowledge base is both limited and fragmented, and attribution of cause-effect relationships can be challenging.</w:t>
      </w:r>
      <w:r w:rsidR="621DE949" w:rsidRPr="728F2DAF">
        <w:rPr>
          <w:lang w:val="en-GB"/>
        </w:rPr>
        <w:t xml:space="preserve"> </w:t>
      </w:r>
      <w:r w:rsidR="1733AB29" w:rsidRPr="728F2DAF">
        <w:rPr>
          <w:lang w:val="en-GB"/>
        </w:rPr>
        <w:t xml:space="preserve">See </w:t>
      </w:r>
      <w:r w:rsidR="07A7D99D" w:rsidRPr="728F2DAF">
        <w:rPr>
          <w:b/>
          <w:bCs/>
          <w:lang w:val="en-GB"/>
        </w:rPr>
        <w:t>section 3.1.2</w:t>
      </w:r>
      <w:r w:rsidR="1733AB29" w:rsidRPr="728F2DAF">
        <w:rPr>
          <w:lang w:val="en-GB"/>
        </w:rPr>
        <w:t xml:space="preserve"> for</w:t>
      </w:r>
      <w:r w:rsidR="2AF3443A" w:rsidRPr="728F2DAF">
        <w:rPr>
          <w:lang w:val="en-GB"/>
        </w:rPr>
        <w:t xml:space="preserve"> </w:t>
      </w:r>
      <w:r w:rsidR="5814EABF" w:rsidRPr="728F2DAF">
        <w:rPr>
          <w:lang w:val="en-GB"/>
        </w:rPr>
        <w:t xml:space="preserve">an outline of how this challenge was tackled across the chapter, </w:t>
      </w:r>
      <w:r w:rsidR="5814EABF" w:rsidRPr="728F2DAF">
        <w:rPr>
          <w:b/>
          <w:bCs/>
          <w:lang w:val="en-GB"/>
        </w:rPr>
        <w:t>section 3.6.2</w:t>
      </w:r>
      <w:r w:rsidR="5814EABF" w:rsidRPr="728F2DAF">
        <w:rPr>
          <w:lang w:val="en-GB"/>
        </w:rPr>
        <w:t xml:space="preserve"> for a</w:t>
      </w:r>
      <w:r w:rsidR="66DE88C2" w:rsidRPr="728F2DAF">
        <w:rPr>
          <w:lang w:val="en-GB"/>
        </w:rPr>
        <w:t xml:space="preserve">n overview of </w:t>
      </w:r>
      <w:r w:rsidR="5814EABF" w:rsidRPr="728F2DAF">
        <w:rPr>
          <w:lang w:val="en-GB"/>
        </w:rPr>
        <w:t>the resulting evidence</w:t>
      </w:r>
      <w:r w:rsidR="515391E2" w:rsidRPr="728F2DAF">
        <w:rPr>
          <w:lang w:val="en-GB"/>
        </w:rPr>
        <w:t>-</w:t>
      </w:r>
      <w:r w:rsidR="5814EABF" w:rsidRPr="728F2DAF">
        <w:rPr>
          <w:lang w:val="en-GB"/>
        </w:rPr>
        <w:t>base</w:t>
      </w:r>
      <w:r w:rsidR="23D311E9" w:rsidRPr="728F2DAF">
        <w:rPr>
          <w:lang w:val="en-GB"/>
        </w:rPr>
        <w:t>,</w:t>
      </w:r>
      <w:r w:rsidR="5814EABF" w:rsidRPr="728F2DAF">
        <w:rPr>
          <w:lang w:val="en-GB"/>
        </w:rPr>
        <w:t xml:space="preserve"> </w:t>
      </w:r>
      <w:r w:rsidR="4692C2BB" w:rsidRPr="728F2DAF">
        <w:rPr>
          <w:lang w:val="en-GB"/>
        </w:rPr>
        <w:t>and individual driver subsections (</w:t>
      </w:r>
      <w:r w:rsidR="4692C2BB" w:rsidRPr="728F2DAF">
        <w:rPr>
          <w:b/>
          <w:bCs/>
          <w:lang w:val="en-GB"/>
        </w:rPr>
        <w:t>sections 3.2</w:t>
      </w:r>
      <w:r w:rsidR="64FD7AAB" w:rsidRPr="728F2DAF">
        <w:rPr>
          <w:lang w:val="en-GB"/>
        </w:rPr>
        <w:t xml:space="preserve">, </w:t>
      </w:r>
      <w:r w:rsidR="64FD7AAB" w:rsidRPr="728F2DAF">
        <w:rPr>
          <w:b/>
          <w:bCs/>
          <w:lang w:val="en-GB"/>
        </w:rPr>
        <w:t>3.3</w:t>
      </w:r>
      <w:r w:rsidR="64FD7AAB" w:rsidRPr="728F2DAF">
        <w:rPr>
          <w:lang w:val="en-GB"/>
        </w:rPr>
        <w:t>,</w:t>
      </w:r>
      <w:r w:rsidR="64FD7AAB" w:rsidRPr="728F2DAF">
        <w:rPr>
          <w:b/>
          <w:bCs/>
          <w:lang w:val="en-GB"/>
        </w:rPr>
        <w:t xml:space="preserve"> 3.</w:t>
      </w:r>
      <w:r w:rsidR="7BFDB849" w:rsidRPr="728F2DAF">
        <w:rPr>
          <w:b/>
          <w:bCs/>
          <w:lang w:val="en-GB"/>
        </w:rPr>
        <w:t>4</w:t>
      </w:r>
      <w:r w:rsidR="64FD7AAB" w:rsidRPr="728F2DAF">
        <w:rPr>
          <w:lang w:val="en-GB"/>
        </w:rPr>
        <w:t>,</w:t>
      </w:r>
      <w:r w:rsidR="4692C2BB" w:rsidRPr="728F2DAF">
        <w:rPr>
          <w:b/>
          <w:bCs/>
          <w:lang w:val="en-GB"/>
        </w:rPr>
        <w:t xml:space="preserve"> 3.5</w:t>
      </w:r>
      <w:r w:rsidR="4692C2BB" w:rsidRPr="728F2DAF">
        <w:rPr>
          <w:lang w:val="en-GB"/>
        </w:rPr>
        <w:t xml:space="preserve">) for how this was tackled </w:t>
      </w:r>
      <w:r w:rsidR="0450E8F6" w:rsidRPr="728F2DAF">
        <w:rPr>
          <w:lang w:val="en-GB"/>
        </w:rPr>
        <w:t>or</w:t>
      </w:r>
      <w:r w:rsidR="571EB87E" w:rsidRPr="728F2DAF">
        <w:rPr>
          <w:lang w:val="en-GB"/>
        </w:rPr>
        <w:t xml:space="preserve"> </w:t>
      </w:r>
      <w:r w:rsidR="4692C2BB" w:rsidRPr="728F2DAF">
        <w:rPr>
          <w:lang w:val="en-GB"/>
        </w:rPr>
        <w:t xml:space="preserve">each </w:t>
      </w:r>
      <w:r w:rsidR="01B1A926" w:rsidRPr="728F2DAF">
        <w:rPr>
          <w:lang w:val="en-GB"/>
        </w:rPr>
        <w:t>driver</w:t>
      </w:r>
      <w:r w:rsidR="4692C2BB" w:rsidRPr="728F2DAF">
        <w:rPr>
          <w:lang w:val="en-GB"/>
        </w:rPr>
        <w:t>.</w:t>
      </w:r>
      <w:r w:rsidR="1A5FB547" w:rsidRPr="728F2DAF">
        <w:rPr>
          <w:lang w:val="en-GB"/>
        </w:rPr>
        <w:t xml:space="preserve"> </w:t>
      </w:r>
    </w:p>
    <w:p w14:paraId="312B3DAC" w14:textId="2D4353C2" w:rsidR="005A46F1" w:rsidRPr="00DA249F" w:rsidRDefault="00CB5CAA" w:rsidP="005A46F1">
      <w:pPr>
        <w:jc w:val="center"/>
        <w:rPr>
          <w:lang w:val="en-GB"/>
        </w:rPr>
      </w:pPr>
      <w:r w:rsidRPr="00CB5CAA">
        <w:rPr>
          <w:noProof/>
          <w:lang w:val="en-GB"/>
        </w:rPr>
        <w:drawing>
          <wp:inline distT="0" distB="0" distL="0" distR="0" wp14:anchorId="0AF0F892" wp14:editId="7A3E5418">
            <wp:extent cx="6115050" cy="4431030"/>
            <wp:effectExtent l="0" t="0" r="6350" b="1270"/>
            <wp:docPr id="8" name="Picture 8" descr="A diagram of different types of resourc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diagram of different types of resources&#10;&#10;Description automatically generated"/>
                    <pic:cNvPicPr/>
                  </pic:nvPicPr>
                  <pic:blipFill>
                    <a:blip r:embed="rId22"/>
                    <a:stretch>
                      <a:fillRect/>
                    </a:stretch>
                  </pic:blipFill>
                  <pic:spPr>
                    <a:xfrm>
                      <a:off x="0" y="0"/>
                      <a:ext cx="6115050" cy="4431030"/>
                    </a:xfrm>
                    <a:prstGeom prst="rect">
                      <a:avLst/>
                    </a:prstGeom>
                  </pic:spPr>
                </pic:pic>
              </a:graphicData>
            </a:graphic>
          </wp:inline>
        </w:drawing>
      </w:r>
    </w:p>
    <w:p w14:paraId="62E9BAB6" w14:textId="64CE6744" w:rsidR="003B3D69" w:rsidRPr="00DA249F" w:rsidRDefault="490D27E8" w:rsidP="00855AB1">
      <w:pPr>
        <w:pStyle w:val="Caption"/>
        <w:rPr>
          <w:lang w:val="en-GB"/>
        </w:rPr>
      </w:pPr>
      <w:bookmarkStart w:id="35" w:name="_Ref123900083"/>
      <w:bookmarkStart w:id="36" w:name="_Toc147500890"/>
      <w:r w:rsidRPr="6A2A8CB1">
        <w:rPr>
          <w:lang w:val="en-GB"/>
        </w:rPr>
        <w:t>Figure 3.</w:t>
      </w:r>
      <w:r w:rsidRPr="6A2A8CB1">
        <w:rPr>
          <w:lang w:val="en-GB"/>
        </w:rPr>
        <w:fldChar w:fldCharType="begin"/>
      </w:r>
      <w:r w:rsidRPr="6A2A8CB1">
        <w:rPr>
          <w:lang w:val="en-GB"/>
        </w:rPr>
        <w:instrText xml:space="preserve"> SEQ Figure_3. \* ARABIC </w:instrText>
      </w:r>
      <w:r w:rsidRPr="6A2A8CB1">
        <w:rPr>
          <w:lang w:val="en-GB"/>
        </w:rPr>
        <w:fldChar w:fldCharType="separate"/>
      </w:r>
      <w:r w:rsidR="00287BC7">
        <w:rPr>
          <w:noProof/>
          <w:lang w:val="en-GB"/>
        </w:rPr>
        <w:t>5</w:t>
      </w:r>
      <w:r w:rsidRPr="6A2A8CB1">
        <w:rPr>
          <w:lang w:val="en-GB"/>
        </w:rPr>
        <w:fldChar w:fldCharType="end"/>
      </w:r>
      <w:bookmarkEnd w:id="35"/>
      <w:r w:rsidR="4AD1CCCF" w:rsidRPr="6A2A8CB1">
        <w:rPr>
          <w:lang w:val="en-GB"/>
        </w:rPr>
        <w:t>.</w:t>
      </w:r>
      <w:r w:rsidRPr="6A2A8CB1">
        <w:rPr>
          <w:lang w:val="en-GB"/>
        </w:rPr>
        <w:t xml:space="preserve"> </w:t>
      </w:r>
      <w:r w:rsidRPr="6A2A8CB1">
        <w:rPr>
          <w:b w:val="0"/>
          <w:bCs w:val="0"/>
          <w:lang w:val="en-GB"/>
        </w:rPr>
        <w:t>Network diagram illustrating the extent of knowledge on indirec</w:t>
      </w:r>
      <w:r w:rsidRPr="00BC3E6B">
        <w:rPr>
          <w:b w:val="0"/>
          <w:bCs w:val="0"/>
          <w:lang w:val="en-GB"/>
        </w:rPr>
        <w:t>t (</w:t>
      </w:r>
      <w:r w:rsidR="5AFD7005" w:rsidRPr="00BC3E6B">
        <w:rPr>
          <w:b w:val="0"/>
          <w:bCs w:val="0"/>
          <w:lang w:val="en-GB"/>
        </w:rPr>
        <w:t>blue</w:t>
      </w:r>
      <w:r w:rsidRPr="00BC3E6B">
        <w:rPr>
          <w:b w:val="0"/>
          <w:bCs w:val="0"/>
          <w:lang w:val="en-GB"/>
        </w:rPr>
        <w:t xml:space="preserve"> circles)</w:t>
      </w:r>
      <w:r w:rsidR="5AFD7005" w:rsidRPr="00BC3E6B">
        <w:rPr>
          <w:b w:val="0"/>
          <w:bCs w:val="0"/>
          <w:lang w:val="en-GB"/>
        </w:rPr>
        <w:t xml:space="preserve">, </w:t>
      </w:r>
      <w:r w:rsidRPr="00BC3E6B">
        <w:rPr>
          <w:b w:val="0"/>
          <w:bCs w:val="0"/>
          <w:lang w:val="en-GB"/>
        </w:rPr>
        <w:t>direct (</w:t>
      </w:r>
      <w:r w:rsidR="5AFD7005" w:rsidRPr="00BC3E6B">
        <w:rPr>
          <w:b w:val="0"/>
          <w:bCs w:val="0"/>
          <w:lang w:val="en-GB"/>
        </w:rPr>
        <w:t>green</w:t>
      </w:r>
      <w:r w:rsidRPr="00BC3E6B">
        <w:rPr>
          <w:b w:val="0"/>
          <w:bCs w:val="0"/>
          <w:lang w:val="en-GB"/>
        </w:rPr>
        <w:t xml:space="preserve"> circles) </w:t>
      </w:r>
      <w:r w:rsidR="68834869" w:rsidRPr="00BC3E6B">
        <w:rPr>
          <w:b w:val="0"/>
          <w:bCs w:val="0"/>
          <w:lang w:val="en-GB"/>
        </w:rPr>
        <w:t xml:space="preserve">anthropogenic </w:t>
      </w:r>
      <w:r w:rsidR="653902EA" w:rsidRPr="00BC3E6B">
        <w:rPr>
          <w:b w:val="0"/>
          <w:bCs w:val="0"/>
          <w:lang w:val="en-GB"/>
        </w:rPr>
        <w:t>drivers of change in nature</w:t>
      </w:r>
      <w:r w:rsidR="5AFD7005" w:rsidRPr="00BC3E6B">
        <w:rPr>
          <w:b w:val="0"/>
          <w:bCs w:val="0"/>
          <w:lang w:val="en-GB"/>
        </w:rPr>
        <w:t xml:space="preserve"> and natural drivers (grey c</w:t>
      </w:r>
      <w:r w:rsidR="5AFD7005" w:rsidRPr="6A2A8CB1">
        <w:rPr>
          <w:b w:val="0"/>
          <w:bCs w:val="0"/>
          <w:lang w:val="en-GB"/>
        </w:rPr>
        <w:t>ircle)</w:t>
      </w:r>
      <w:r w:rsidRPr="6A2A8CB1">
        <w:rPr>
          <w:b w:val="0"/>
          <w:bCs w:val="0"/>
          <w:lang w:val="en-GB"/>
        </w:rPr>
        <w:t>, and their interactions</w:t>
      </w:r>
      <w:r w:rsidR="1726B84F" w:rsidRPr="6A2A8CB1">
        <w:rPr>
          <w:b w:val="0"/>
          <w:bCs w:val="0"/>
          <w:lang w:val="en-GB"/>
        </w:rPr>
        <w:t xml:space="preserve"> (lines)</w:t>
      </w:r>
      <w:r w:rsidRPr="6A2A8CB1">
        <w:rPr>
          <w:b w:val="0"/>
          <w:bCs w:val="0"/>
          <w:lang w:val="en-GB"/>
        </w:rPr>
        <w:t xml:space="preserve">. The thickness of the lines between drivers is indicative of the number of papers that jointly addressed the two linked drivers. </w:t>
      </w:r>
      <w:r w:rsidR="2AF61DC1" w:rsidRPr="6A2A8CB1">
        <w:rPr>
          <w:b w:val="0"/>
          <w:bCs w:val="0"/>
          <w:lang w:val="en-GB"/>
        </w:rPr>
        <w:t xml:space="preserve">The size of the </w:t>
      </w:r>
      <w:r w:rsidR="5710AC29" w:rsidRPr="6A2A8CB1">
        <w:rPr>
          <w:b w:val="0"/>
          <w:bCs w:val="0"/>
          <w:lang w:val="en-GB"/>
        </w:rPr>
        <w:t>line surrounding</w:t>
      </w:r>
      <w:r w:rsidR="2AF61DC1" w:rsidRPr="6A2A8CB1">
        <w:rPr>
          <w:b w:val="0"/>
          <w:bCs w:val="0"/>
          <w:lang w:val="en-GB"/>
        </w:rPr>
        <w:t xml:space="preserve"> each circle reflects the number of papers listed by Web of Science between 2000 and 2019 generated by a topic search on a particular driver in relation to invasive alien species. </w:t>
      </w:r>
      <w:r w:rsidR="5710AC29" w:rsidRPr="6A2A8CB1">
        <w:rPr>
          <w:b w:val="0"/>
          <w:bCs w:val="0"/>
          <w:lang w:val="en-GB"/>
        </w:rPr>
        <w:t xml:space="preserve">Note the greater emphasis on direct drivers both individually and jointly. </w:t>
      </w:r>
      <w:r w:rsidRPr="6A2A8CB1">
        <w:rPr>
          <w:b w:val="0"/>
          <w:bCs w:val="0"/>
          <w:lang w:val="en-GB"/>
        </w:rPr>
        <w:t>Note that effects of biodiversity loss on biological invasions are not included in this figure.</w:t>
      </w:r>
      <w:r w:rsidR="4AD1CCCF" w:rsidRPr="6A2A8CB1">
        <w:rPr>
          <w:b w:val="0"/>
          <w:bCs w:val="0"/>
          <w:lang w:val="en-GB"/>
        </w:rPr>
        <w:t xml:space="preserve"> A data management report for this figure is available at: </w:t>
      </w:r>
      <w:hyperlink r:id="rId23">
        <w:r w:rsidR="3C997128" w:rsidRPr="6A2A8CB1">
          <w:rPr>
            <w:rStyle w:val="Hyperlink"/>
            <w:b w:val="0"/>
            <w:bCs w:val="0"/>
          </w:rPr>
          <w:t>https://doi.org/10.5281/zenodo.7861123</w:t>
        </w:r>
        <w:bookmarkEnd w:id="36"/>
      </w:hyperlink>
      <w:r w:rsidRPr="6A2A8CB1">
        <w:rPr>
          <w:lang w:val="en-GB"/>
        </w:rPr>
        <w:br w:type="page"/>
      </w:r>
    </w:p>
    <w:p w14:paraId="3BACC00B" w14:textId="77777777" w:rsidR="008C1BF7" w:rsidRPr="00DA249F" w:rsidRDefault="7A36F75F" w:rsidP="00370C81">
      <w:pPr>
        <w:pStyle w:val="Heading1"/>
        <w:rPr>
          <w:lang w:val="en-GB"/>
        </w:rPr>
      </w:pPr>
      <w:bookmarkStart w:id="37" w:name="_Toc44317790"/>
      <w:bookmarkStart w:id="38" w:name="_Toc116242109"/>
      <w:bookmarkStart w:id="39" w:name="_Toc146898461"/>
      <w:bookmarkStart w:id="40" w:name="_Hlk26621789"/>
      <w:r w:rsidRPr="5575EBFC">
        <w:rPr>
          <w:lang w:val="en-GB"/>
        </w:rPr>
        <w:lastRenderedPageBreak/>
        <w:t>Th</w:t>
      </w:r>
      <w:r w:rsidR="1D729089" w:rsidRPr="5575EBFC">
        <w:rPr>
          <w:lang w:val="en-GB"/>
        </w:rPr>
        <w:t xml:space="preserve">e role of indirect </w:t>
      </w:r>
      <w:bookmarkEnd w:id="37"/>
      <w:r w:rsidR="653902EA" w:rsidRPr="5575EBFC">
        <w:rPr>
          <w:lang w:val="en-GB"/>
        </w:rPr>
        <w:t>drivers of change in nature</w:t>
      </w:r>
      <w:r w:rsidR="1D729089" w:rsidRPr="5575EBFC">
        <w:rPr>
          <w:lang w:val="en-GB"/>
        </w:rPr>
        <w:t xml:space="preserve"> on invasive alien species</w:t>
      </w:r>
      <w:bookmarkEnd w:id="38"/>
      <w:bookmarkEnd w:id="39"/>
    </w:p>
    <w:p w14:paraId="6D503D5C" w14:textId="68163E30" w:rsidR="00834E03" w:rsidRPr="00DA249F" w:rsidRDefault="05E13C19" w:rsidP="0090109B">
      <w:pPr>
        <w:rPr>
          <w:lang w:val="en-GB"/>
        </w:rPr>
      </w:pPr>
      <w:r w:rsidRPr="5575EBFC">
        <w:rPr>
          <w:lang w:val="en-GB"/>
        </w:rPr>
        <w:t xml:space="preserve">Following previous IPBES assessments </w:t>
      </w:r>
      <w:r w:rsidR="009C26CA" w:rsidRPr="5575EBFC">
        <w:rPr>
          <w:lang w:val="en-GB"/>
        </w:rPr>
        <w:fldChar w:fldCharType="begin"/>
      </w:r>
      <w:r w:rsidR="00F5121E">
        <w:rPr>
          <w:lang w:val="en-GB"/>
        </w:rPr>
        <w:instrText xml:space="preserve"> ADDIN ZOTERO_ITEM CSL_CITATION {"citationID":"Bt6m5xdw","properties":{"formattedCitation":"(IPBES, 2018a, 2019)","plainCitation":"(IPBES, 2018a, 2019)","noteIndex":0},"citationItems":[{"id":53933,"uris":["http://zotero.org/groups/2352922/items/JYFISR8Z","http://zotero.org/groups/2352922/items/ZACZGHZL"],"itemData":{"id":53933,"type":"report","abstract":"IPBES is to perform regular and timely assessments of knowledge on biodiversity and ecosystem services and their interlinkages at the global level. Also addressing an invitation by the Conference of the Parties of the Convention on Biological Diversity (CBD) to prepare a global assessment of biodiversity and ecosystem services building, inter alia, on its own and other relevant regional, subregional and thematic assessments, as well as on national reports. The overall scope of the assessment is to assess the status and trends with regard to biodiversity and ecosystem services, the impact of biodiversity and ecosystem services on human well-being and the effectiveness of responses, including the Strategic Plan and its Aichi Biodiversity Targets. It is anticipated that this deliverable will contribute to the process for the evaluation and renewal of the Strategic Plan for Biodiversity and its Aichi Biodiversity Targets. The IPBES Global Assessment on Biodiversity and Ecosystem Services is composed of 1) a Summary for Policymakers (SPM), approved by the IPBES Plenary at its 7th session in May 2019 in Paris, France (IPBES-7); and 2) a set of six Chapters, accepted by the IPBES Plenary.","language":"en","license":"Creative Commons Attribution 4.0 International, Open Access","note":"Version Number 1\nDOI: 10.5281/ZENODO.3831673","publisher":"Secretariat of the Intergovernmental Science-Policy Platform on Biodiversity and Ecosystem Services","source":"DOI.org (Datacite)","title":"Global assessment report on biodiversity and ecosystem services of the Intergovernmental Science-Policy Platform on Biodiversity and Ecosystem Services","URL":"https://zenodo.org/record/3831673","author":[{"literal":"IPBES"}],"contributor":[{"family":"Brondizio","given":"Eduardo"},{"family":"Diaz","given":"Sandra"},{"family":"Settele","given":"Josef"},{"family":"Ngo","given":"Hien T."}],"accessed":{"date-parts":[["2023",1,5]]},"issued":{"date-parts":[["2019"]]}}},{"id":26993,"uris":["http://zotero.org/groups/2352922/items/RPS3A9SJ"],"itemData":{"id":26993,"type":"report","abstract":"The Regional Assessment Report on Biodiversity and Ecosystem Services for Europe and Central Asia produced by the Intergovernmental Science-Policy Platform on Biodiversity and Ecosystem Services (IPBES) provides a critical analysis of the state of knowledge regarding the importance, status, and trends of biodiversity and nature’s contributions to people. The assessment analyses the direct and underlying causes for the observed changes in biodiversity and in nature’s contributions to people, and the impact that these changes have on the quality of life of people. The assessment, finally, identifies a mix of governance options, policies and management practices that are currently available to reduce the loss of biodiversity and of nature’s contributions to people in that region. The assessment addresses terrestrial, freshwater, and coastal biodiversity and covers current status and trends, going back in time several decades, and future projections, with a focus on the 2020-2050 period","event-place":"Bonn, Germany","language":"en","license":"Creative Commons Attribution 4.0 International, Open Access","note":"version: summary for policy makers\nDOI: 10.5281/ZENODO.3237467","page":"48","publisher":"IPBES secretariat","publisher-place":"Bonn, Germany","source":"DOI.org (Datacite)","title":"Summary for policymakers of the regional assessment report on biodiversity and ecosystem services for Europe and Central Asia of the Intergovernmental Science-Policy Platform on Biodiversity and Ecosystem Services.","URL":"https://zenodo.org/record/3237467","author":[{"literal":"IPBES"}],"collection-editor":[{"family":"Fischer","given":"Markus"},{"family":"Rounsevell","given":"Mark"},{"family":"Rando","given":"Amor Torre-Marin"},{"family":"Mader","given":"André"},{"family":"Church","given":"Andrew"},{"family":"Elbakidze","given":"Marine"},{"family":"Elias","given":"Victoria"},{"family":"Hahn","given":"Thomas"},{"family":"Harrison","given":"Paula A."},{"family":"Hauck","given":"Jennifer"},{"family":"Martín-López","given":"Berta"},{"family":"Ring","given":"Irene"},{"family":"Sandström","given":"Camilla"},{"family":"Pinto","given":"Isabel Sousa"},{"family":"Visconti","given":"Piero"},{"family":"Zimmermann","given":"Niklaus E."},{"family":"Christie","given":"Mike"}],"accessed":{"date-parts":[["2021",2,9]]},"issued":{"date-parts":[["2018"]]}}}],"schema":"https://github.com/citation-style-language/schema/raw/master/csl-citation.json"} </w:instrText>
      </w:r>
      <w:r w:rsidR="009C26CA" w:rsidRPr="5575EBFC">
        <w:rPr>
          <w:lang w:val="en-GB"/>
        </w:rPr>
        <w:fldChar w:fldCharType="separate"/>
      </w:r>
      <w:r w:rsidR="674745DD">
        <w:t>(IPBES, 2018a, 2019)</w:t>
      </w:r>
      <w:r w:rsidR="009C26CA" w:rsidRPr="5575EBFC">
        <w:rPr>
          <w:lang w:val="en-GB"/>
        </w:rPr>
        <w:fldChar w:fldCharType="end"/>
      </w:r>
      <w:r w:rsidRPr="5575EBFC">
        <w:rPr>
          <w:lang w:val="en-GB"/>
        </w:rPr>
        <w:t>, the</w:t>
      </w:r>
      <w:r w:rsidR="5DDE5DB6" w:rsidRPr="5575EBFC">
        <w:rPr>
          <w:lang w:val="en-GB"/>
        </w:rPr>
        <w:t xml:space="preserve"> five classes of</w:t>
      </w:r>
      <w:r w:rsidRPr="5575EBFC">
        <w:rPr>
          <w:lang w:val="en-GB"/>
        </w:rPr>
        <w:t xml:space="preserve"> indirect drivers examined in this chapter are</w:t>
      </w:r>
      <w:r w:rsidR="5DDE5DB6" w:rsidRPr="5575EBFC">
        <w:rPr>
          <w:lang w:val="en-GB"/>
        </w:rPr>
        <w:t xml:space="preserve"> s</w:t>
      </w:r>
      <w:r w:rsidRPr="5575EBFC">
        <w:rPr>
          <w:lang w:val="en-GB"/>
        </w:rPr>
        <w:t>ociocultural drivers and social values</w:t>
      </w:r>
      <w:r w:rsidR="5DDE5DB6" w:rsidRPr="5575EBFC">
        <w:rPr>
          <w:lang w:val="en-GB"/>
        </w:rPr>
        <w:t xml:space="preserve"> (</w:t>
      </w:r>
      <w:r w:rsidR="5DDE5DB6" w:rsidRPr="5575EBFC">
        <w:rPr>
          <w:b/>
          <w:bCs/>
          <w:lang w:val="en-GB"/>
        </w:rPr>
        <w:t>section 3.2.1</w:t>
      </w:r>
      <w:r w:rsidR="5DDE5DB6" w:rsidRPr="5575EBFC">
        <w:rPr>
          <w:lang w:val="en-GB"/>
        </w:rPr>
        <w:t>)</w:t>
      </w:r>
      <w:r w:rsidRPr="5575EBFC">
        <w:rPr>
          <w:lang w:val="en-GB"/>
        </w:rPr>
        <w:t>,</w:t>
      </w:r>
      <w:r w:rsidR="5DDE5DB6" w:rsidRPr="5575EBFC">
        <w:rPr>
          <w:lang w:val="en-GB"/>
        </w:rPr>
        <w:t xml:space="preserve"> d</w:t>
      </w:r>
      <w:r w:rsidRPr="5575EBFC">
        <w:rPr>
          <w:lang w:val="en-GB"/>
        </w:rPr>
        <w:t>emographic drivers</w:t>
      </w:r>
      <w:r w:rsidR="5DDE5DB6" w:rsidRPr="5575EBFC">
        <w:rPr>
          <w:lang w:val="en-GB"/>
        </w:rPr>
        <w:t xml:space="preserve"> (</w:t>
      </w:r>
      <w:r w:rsidR="5DDE5DB6" w:rsidRPr="5575EBFC">
        <w:rPr>
          <w:b/>
          <w:bCs/>
          <w:lang w:val="en-GB"/>
        </w:rPr>
        <w:t>section 3.2.2</w:t>
      </w:r>
      <w:r w:rsidR="5DDE5DB6" w:rsidRPr="5575EBFC">
        <w:rPr>
          <w:lang w:val="en-GB"/>
        </w:rPr>
        <w:t>)</w:t>
      </w:r>
      <w:r w:rsidRPr="5575EBFC">
        <w:rPr>
          <w:lang w:val="en-GB"/>
        </w:rPr>
        <w:t xml:space="preserve">, </w:t>
      </w:r>
      <w:r w:rsidR="5DDE5DB6" w:rsidRPr="5575EBFC">
        <w:rPr>
          <w:lang w:val="en-GB"/>
        </w:rPr>
        <w:t>e</w:t>
      </w:r>
      <w:r w:rsidRPr="5575EBFC">
        <w:rPr>
          <w:lang w:val="en-GB"/>
        </w:rPr>
        <w:t>conomic drivers</w:t>
      </w:r>
      <w:r w:rsidR="5DDE5DB6" w:rsidRPr="5575EBFC">
        <w:rPr>
          <w:lang w:val="en-GB"/>
        </w:rPr>
        <w:t xml:space="preserve"> (</w:t>
      </w:r>
      <w:r w:rsidR="5DDE5DB6" w:rsidRPr="5575EBFC">
        <w:rPr>
          <w:b/>
          <w:bCs/>
          <w:lang w:val="en-GB"/>
        </w:rPr>
        <w:t>section 3.2.3</w:t>
      </w:r>
      <w:r w:rsidR="5DDE5DB6" w:rsidRPr="5575EBFC">
        <w:rPr>
          <w:lang w:val="en-GB"/>
        </w:rPr>
        <w:t>)</w:t>
      </w:r>
      <w:r w:rsidRPr="5575EBFC">
        <w:rPr>
          <w:lang w:val="en-GB"/>
        </w:rPr>
        <w:t>,</w:t>
      </w:r>
      <w:r w:rsidR="5DDE5DB6" w:rsidRPr="5575EBFC">
        <w:rPr>
          <w:lang w:val="en-GB"/>
        </w:rPr>
        <w:t xml:space="preserve"> s</w:t>
      </w:r>
      <w:r w:rsidRPr="5575EBFC">
        <w:rPr>
          <w:lang w:val="en-GB"/>
        </w:rPr>
        <w:t>cience and technology drivers</w:t>
      </w:r>
      <w:r w:rsidR="5DDE5DB6" w:rsidRPr="5575EBFC">
        <w:rPr>
          <w:lang w:val="en-GB"/>
        </w:rPr>
        <w:t xml:space="preserve"> (</w:t>
      </w:r>
      <w:r w:rsidR="5DDE5DB6" w:rsidRPr="5575EBFC">
        <w:rPr>
          <w:b/>
          <w:bCs/>
          <w:lang w:val="en-GB"/>
        </w:rPr>
        <w:t>section 3.2.4</w:t>
      </w:r>
      <w:r w:rsidR="5DDE5DB6" w:rsidRPr="5575EBFC">
        <w:rPr>
          <w:lang w:val="en-GB"/>
        </w:rPr>
        <w:t>)</w:t>
      </w:r>
      <w:r w:rsidRPr="5575EBFC">
        <w:rPr>
          <w:lang w:val="en-GB"/>
        </w:rPr>
        <w:t>, and finally</w:t>
      </w:r>
      <w:r w:rsidR="5DDE5DB6" w:rsidRPr="5575EBFC">
        <w:rPr>
          <w:lang w:val="en-GB"/>
        </w:rPr>
        <w:t xml:space="preserve"> p</w:t>
      </w:r>
      <w:r w:rsidRPr="5575EBFC">
        <w:rPr>
          <w:lang w:val="en-GB"/>
        </w:rPr>
        <w:t>olicies, governance and institutions drivers</w:t>
      </w:r>
      <w:r w:rsidR="5DDE5DB6" w:rsidRPr="5575EBFC">
        <w:rPr>
          <w:lang w:val="en-GB"/>
        </w:rPr>
        <w:t xml:space="preserve"> (</w:t>
      </w:r>
      <w:r w:rsidR="5DDE5DB6" w:rsidRPr="5575EBFC">
        <w:rPr>
          <w:b/>
          <w:bCs/>
          <w:lang w:val="en-GB"/>
        </w:rPr>
        <w:t>section 3.2.5</w:t>
      </w:r>
      <w:r w:rsidR="5DDE5DB6" w:rsidRPr="5575EBFC">
        <w:rPr>
          <w:lang w:val="en-GB"/>
        </w:rPr>
        <w:t>)</w:t>
      </w:r>
      <w:r w:rsidRPr="5575EBFC">
        <w:rPr>
          <w:lang w:val="en-GB"/>
        </w:rPr>
        <w:t xml:space="preserve">. </w:t>
      </w:r>
      <w:r w:rsidR="55B3289A" w:rsidRPr="5575EBFC">
        <w:rPr>
          <w:lang w:val="en-GB"/>
        </w:rPr>
        <w:t>I</w:t>
      </w:r>
      <w:r w:rsidR="1AD643EE" w:rsidRPr="5575EBFC">
        <w:rPr>
          <w:lang w:val="en-GB"/>
        </w:rPr>
        <w:t xml:space="preserve">nvasive alien species </w:t>
      </w:r>
      <w:r w:rsidR="7560BAD2" w:rsidRPr="5575EBFC">
        <w:rPr>
          <w:lang w:val="en-GB"/>
        </w:rPr>
        <w:t>are</w:t>
      </w:r>
      <w:r w:rsidR="1AD643EE" w:rsidRPr="5575EBFC">
        <w:rPr>
          <w:lang w:val="en-GB"/>
        </w:rPr>
        <w:t xml:space="preserve"> classified as a</w:t>
      </w:r>
      <w:r w:rsidR="62C99ECA" w:rsidRPr="5575EBFC">
        <w:rPr>
          <w:lang w:val="en-GB"/>
        </w:rPr>
        <w:t xml:space="preserve"> </w:t>
      </w:r>
      <w:r w:rsidR="0880AD94" w:rsidRPr="5575EBFC">
        <w:rPr>
          <w:lang w:val="en-GB"/>
        </w:rPr>
        <w:t>direct</w:t>
      </w:r>
      <w:r w:rsidR="54BF93FD" w:rsidRPr="5575EBFC">
        <w:rPr>
          <w:lang w:val="en-GB"/>
        </w:rPr>
        <w:t xml:space="preserve"> </w:t>
      </w:r>
      <w:r w:rsidR="48542EBC" w:rsidRPr="5575EBFC">
        <w:rPr>
          <w:lang w:val="en-GB"/>
        </w:rPr>
        <w:t>driver of change in nature</w:t>
      </w:r>
      <w:r w:rsidR="4B1862FA" w:rsidRPr="5575EBFC">
        <w:rPr>
          <w:lang w:val="en-GB"/>
        </w:rPr>
        <w:t xml:space="preserve"> </w:t>
      </w:r>
      <w:r w:rsidR="1AD643EE" w:rsidRPr="5575EBFC">
        <w:rPr>
          <w:lang w:val="en-GB"/>
        </w:rPr>
        <w:t xml:space="preserve">in the IPBES </w:t>
      </w:r>
      <w:r w:rsidR="7560BAD2" w:rsidRPr="5575EBFC">
        <w:rPr>
          <w:lang w:val="en-GB"/>
        </w:rPr>
        <w:t>s</w:t>
      </w:r>
      <w:r w:rsidR="1AD643EE" w:rsidRPr="5575EBFC">
        <w:rPr>
          <w:lang w:val="en-GB"/>
        </w:rPr>
        <w:t xml:space="preserve">cheme </w:t>
      </w:r>
      <w:r w:rsidR="009C26CA" w:rsidRPr="5575EBFC">
        <w:rPr>
          <w:lang w:val="en-GB"/>
        </w:rPr>
        <w:fldChar w:fldCharType="begin"/>
      </w:r>
      <w:r w:rsidR="00230216">
        <w:rPr>
          <w:lang w:val="en-GB"/>
        </w:rPr>
        <w:instrText xml:space="preserve"> ADDIN ZOTERO_ITEM CSL_CITATION {"citationID":"SNzSPEol","properties":{"formattedCitation":"(D\\uc0\\u237{}az et al., 2015)","plainCitation":"(Díaz et al., 2015)","noteIndex":0},"citationItems":[{"id":56276,"uris":["http://zotero.org/groups/2352922/items/RVMHP3KG","http://zotero.org/groups/2352922/items/MTRKLN42","http://zotero.org/groups/2352922/items/M2BU94IG"],"itemData":{"id":56276,"type":"article-journal","abstract":"The first public product of the Intergovernmental Platform on Biodiversity and Ecosystem Services (IPBES) is its Conceptual Framework. This conceptual and analytical tool, presented here in detail, will underpin all IPBES functions and provide structure and comparability to the syntheses that IPBES will produce at different spatial scales, on different themes, and in different regions. Salient innovative aspects of the IPBES Conceptual Framework are its transparent and participatory construction process and its explicit consideration of diverse scientific disciplines, stakeholders, and knowledge systems, including indigenous and local knowledge. Because the focus on co-construction of integrative knowledge is shared by an increasing number of initiatives worldwide, this framework should be useful beyond IPBES, for the wider research and knowledge-policy communities working on the links between nature and people, such as natural, social and engineering scientists, policy-makers at different levels, and decision-makers in different sectors of society.","collection-title":"Open Issue","container-title":"Current Opinion in Environmental Sustainability","DOI":"10.1016/j.cosust.2014.11.002","ISSN":"1877-3435","journalAbbreviation":"Current Opinion in Environmental Sustainability","language":"en","page":"1-16","source":"ScienceDirect","title":"The IPBES Conceptual Framework — connecting nature and people","URL":"https://doi.org/10.1016/j.cosust.2014.11.002","volume":"14","author":[{"family":"Díaz","given":"Sandra"},{"family":"Demissew","given":"Sebsebe"},{"family":"Carabias","given":"Julia"},{"family":"Joly","given":"Carlos"},{"family":"Lonsdale","given":"Mark"},{"family":"Ash","given":"Neville"},{"family":"Larigauderie","given":"Anne"},{"family":"Adhikari","given":"Jay Ram"},{"family":"Arico","given":"Salvatore"},{"family":"Báldi","given":"András"},{"family":"Bartuska","given":"Ann"},{"family":"Baste","given":"Ivar Andreas"},{"family":"Bilgin","given":"Adem"},{"family":"Brondizio","given":"Eduardo"},{"family":"Chan","given":"Kai MA"},{"family":"Figueroa","given":"Viviana Elsa"},{"family":"Duraiappah","given":"Anantha"},{"family":"Fischer","given":"Markus"},{"family":"Hill","given":"Rosemary"},{"family":"Koetz","given":"Thomas"},{"family":"Leadley","given":"Paul"},{"family":"Lyver","given":"Philip"},{"family":"Mace","given":"Georgina M"},{"family":"Martin-Lopez","given":"Berta"},{"family":"Okumura","given":"Michiko"},{"family":"Pacheco","given":"Diego"},{"family":"Pascual","given":"Unai"},{"family":"Pérez","given":"Edgar Selvin"},{"family":"Reyers","given":"Belinda"},{"family":"Roth","given":"Eva"},{"family":"Saito","given":"Osamu"},{"family":"Scholes","given":"Robert John"},{"family":"Sharma","given":"Nalini"},{"family":"Tallis","given":"Heather"},{"family":"Thaman","given":"Randolph"},{"family":"Watson","given":"Robert"},{"family":"Yahara","given":"Tetsukazu"},{"family":"Hamid","given":"Zakri Abdul"},{"family":"Akosim","given":"Callistus"},{"family":"Al-Hafedh","given":"Yousef"},{"family":"Allahverdiyev","given":"Rashad"},{"family":"Amankwah","given":"Edward"},{"family":"Asah","given":"Stanley T"},{"family":"Asfaw","given":"Zemede"},{"family":"Bartus","given":"Gabor"},{"family":"Brooks","given":"L Anathea"},{"family":"Caillaux","given":"Jorge"},{"family":"Dalle","given":"Gemedo"},{"family":"Darnaedi","given":"Dedy"},{"family":"Driver","given":"Amanda"},{"family":"Erpul","given":"Gunay"},{"family":"Escobar-Eyzaguirre","given":"Pablo"},{"family":"Failler","given":"Pierre"},{"family":"Fouda","given":"Ali Moustafa Mokhtar"},{"family":"Fu","given":"Bojie"},{"family":"Gundimeda","given":"Haripriya"},{"family":"Hashimoto","given":"Shizuka"},{"family":"Homer","given":"Floyd"},{"family":"Lavorel","given":"Sandra"},{"family":"Lichtenstein","given":"Gabriela"},{"family":"Mala","given":"William Armand"},{"family":"Mandivenyi","given":"Wadzanayi"},{"family":"Matczak","given":"Piotr"},{"family":"Mbizvo","given":"Carmel"},{"family":"Mehrdadi","given":"Mehrasa"},{"family":"Metzger","given":"Jean Paul"},{"family":"Mikissa","given":"Jean Bruno"},{"family":"Moller","given":"Henrik"},{"family":"Mooney","given":"Harold A"},{"family":"Mumby","given":"Peter"},{"family":"Nagendra","given":"Harini"},{"family":"Nesshover","given":"Carsten"},{"family":"Oteng-Yeboah","given":"Alfred Apau"},{"family":"Pataki","given":"György"},{"family":"Roué","given":"Marie"},{"family":"Rubis","given":"Jennifer"},{"family":"Schultz","given":"Maria"},{"family":"Smith","given":"Peggy"},{"family":"Sumaila","given":"Rashid"},{"family":"Takeuchi","given":"Kazuhiko"},{"family":"Thomas","given":"Spencer"},{"family":"Verma","given":"Madhu"},{"family":"Yeo-Chang","given":"Youn"},{"family":"Zlatanova","given":"Diana"}],"accessed":{"date-parts":[["2023",6,8]]},"issued":{"date-parts":[["2015",6,1]]}}}],"schema":"https://github.com/citation-style-language/schema/raw/master/csl-citation.json"} </w:instrText>
      </w:r>
      <w:r w:rsidR="009C26CA" w:rsidRPr="5575EBFC">
        <w:rPr>
          <w:lang w:val="en-GB"/>
        </w:rPr>
        <w:fldChar w:fldCharType="separate"/>
      </w:r>
      <w:r w:rsidR="6B5F9B9E">
        <w:t>(Díaz et al., 2015)</w:t>
      </w:r>
      <w:r w:rsidR="009C26CA" w:rsidRPr="5575EBFC">
        <w:rPr>
          <w:lang w:val="en-GB"/>
        </w:rPr>
        <w:fldChar w:fldCharType="end"/>
      </w:r>
      <w:r w:rsidR="1AD643EE" w:rsidRPr="5575EBFC">
        <w:rPr>
          <w:lang w:val="en-GB"/>
        </w:rPr>
        <w:t xml:space="preserve"> </w:t>
      </w:r>
      <w:r w:rsidR="4E74D373" w:rsidRPr="5575EBFC">
        <w:rPr>
          <w:lang w:val="en-GB"/>
        </w:rPr>
        <w:t xml:space="preserve">which </w:t>
      </w:r>
      <w:r w:rsidR="1AD643EE" w:rsidRPr="5575EBFC">
        <w:rPr>
          <w:lang w:val="en-GB"/>
        </w:rPr>
        <w:t xml:space="preserve">implies that indirect </w:t>
      </w:r>
      <w:r w:rsidR="653902EA" w:rsidRPr="5575EBFC">
        <w:rPr>
          <w:lang w:val="en-GB"/>
        </w:rPr>
        <w:t>drivers of change in nature</w:t>
      </w:r>
      <w:r w:rsidR="54BF93FD" w:rsidRPr="5575EBFC">
        <w:rPr>
          <w:lang w:val="en-GB"/>
        </w:rPr>
        <w:t xml:space="preserve"> </w:t>
      </w:r>
      <w:r w:rsidR="1AD643EE" w:rsidRPr="5575EBFC">
        <w:rPr>
          <w:lang w:val="en-GB"/>
        </w:rPr>
        <w:t xml:space="preserve">can directly </w:t>
      </w:r>
      <w:r w:rsidR="6E3BA505" w:rsidRPr="5575EBFC">
        <w:rPr>
          <w:lang w:val="en-GB"/>
        </w:rPr>
        <w:t>influence</w:t>
      </w:r>
      <w:r w:rsidR="53A770E6" w:rsidRPr="5575EBFC">
        <w:rPr>
          <w:lang w:val="en-GB"/>
        </w:rPr>
        <w:t xml:space="preserve"> </w:t>
      </w:r>
      <w:r w:rsidR="1AD643EE" w:rsidRPr="5575EBFC">
        <w:rPr>
          <w:lang w:val="en-GB"/>
        </w:rPr>
        <w:t>inv</w:t>
      </w:r>
      <w:r w:rsidR="54BF93FD" w:rsidRPr="5575EBFC">
        <w:rPr>
          <w:lang w:val="en-GB"/>
        </w:rPr>
        <w:t>as</w:t>
      </w:r>
      <w:r w:rsidR="1AD643EE" w:rsidRPr="5575EBFC">
        <w:rPr>
          <w:lang w:val="en-GB"/>
        </w:rPr>
        <w:t xml:space="preserve">ive </w:t>
      </w:r>
      <w:r w:rsidR="65E980CD" w:rsidRPr="5575EBFC">
        <w:rPr>
          <w:lang w:val="en-GB"/>
        </w:rPr>
        <w:t>alien</w:t>
      </w:r>
      <w:r w:rsidR="1AD643EE" w:rsidRPr="5575EBFC">
        <w:rPr>
          <w:lang w:val="en-GB"/>
        </w:rPr>
        <w:t xml:space="preserve"> species</w:t>
      </w:r>
      <w:r w:rsidR="12E276E3" w:rsidRPr="5575EBFC">
        <w:rPr>
          <w:lang w:val="en-GB"/>
        </w:rPr>
        <w:t xml:space="preserve"> (</w:t>
      </w:r>
      <w:r w:rsidR="00E23B69">
        <w:rPr>
          <w:b/>
          <w:bCs/>
          <w:lang w:val="en-GB"/>
        </w:rPr>
        <w:t>Figure</w:t>
      </w:r>
      <w:r w:rsidR="71349DDA" w:rsidRPr="5575EBFC">
        <w:rPr>
          <w:b/>
          <w:bCs/>
          <w:lang w:val="en-GB"/>
        </w:rPr>
        <w:t xml:space="preserve"> 3.3</w:t>
      </w:r>
      <w:r w:rsidR="0048460C">
        <w:rPr>
          <w:lang w:val="en-GB"/>
        </w:rPr>
        <w:t>;</w:t>
      </w:r>
      <w:r w:rsidR="23F58FDC" w:rsidRPr="5575EBFC">
        <w:rPr>
          <w:b/>
          <w:bCs/>
          <w:lang w:val="en-GB"/>
        </w:rPr>
        <w:t xml:space="preserve"> section</w:t>
      </w:r>
      <w:r w:rsidRPr="5575EBFC">
        <w:rPr>
          <w:b/>
          <w:bCs/>
          <w:lang w:val="en-GB"/>
        </w:rPr>
        <w:t>s 3.1.3</w:t>
      </w:r>
      <w:r w:rsidR="00DF30EF">
        <w:rPr>
          <w:b/>
          <w:bCs/>
          <w:lang w:val="en-GB"/>
        </w:rPr>
        <w:t xml:space="preserve"> </w:t>
      </w:r>
      <w:r w:rsidR="00DF30EF" w:rsidRPr="00FC1BA2">
        <w:rPr>
          <w:lang w:val="en-GB"/>
        </w:rPr>
        <w:t>and</w:t>
      </w:r>
      <w:r w:rsidRPr="5575EBFC">
        <w:rPr>
          <w:b/>
          <w:bCs/>
          <w:lang w:val="en-GB"/>
        </w:rPr>
        <w:t xml:space="preserve"> 3.1.4</w:t>
      </w:r>
      <w:r w:rsidR="54CDE3ED" w:rsidRPr="5575EBFC">
        <w:rPr>
          <w:lang w:val="en-GB"/>
        </w:rPr>
        <w:t>)</w:t>
      </w:r>
      <w:r w:rsidR="1AD643EE" w:rsidRPr="5575EBFC">
        <w:rPr>
          <w:lang w:val="en-GB"/>
        </w:rPr>
        <w:t xml:space="preserve">. The specific </w:t>
      </w:r>
      <w:r w:rsidR="54BF93FD" w:rsidRPr="5575EBFC">
        <w:rPr>
          <w:lang w:val="en-GB"/>
        </w:rPr>
        <w:t xml:space="preserve">mechanism of how these </w:t>
      </w:r>
      <w:r w:rsidR="15CB816C" w:rsidRPr="5575EBFC">
        <w:rPr>
          <w:lang w:val="en-GB"/>
        </w:rPr>
        <w:t>influences</w:t>
      </w:r>
      <w:r w:rsidR="53A770E6" w:rsidRPr="5575EBFC">
        <w:rPr>
          <w:lang w:val="en-GB"/>
        </w:rPr>
        <w:t xml:space="preserve"> </w:t>
      </w:r>
      <w:r w:rsidR="54BF93FD" w:rsidRPr="5575EBFC">
        <w:rPr>
          <w:lang w:val="en-GB"/>
        </w:rPr>
        <w:t>occur</w:t>
      </w:r>
      <w:r w:rsidR="1AD643EE" w:rsidRPr="5575EBFC">
        <w:rPr>
          <w:lang w:val="en-GB"/>
        </w:rPr>
        <w:t xml:space="preserve"> is discussed under each driver</w:t>
      </w:r>
      <w:r w:rsidRPr="5575EBFC">
        <w:rPr>
          <w:lang w:val="en-GB"/>
        </w:rPr>
        <w:t xml:space="preserve"> below</w:t>
      </w:r>
      <w:r w:rsidR="1AD643EE" w:rsidRPr="5575EBFC">
        <w:rPr>
          <w:lang w:val="en-GB"/>
        </w:rPr>
        <w:t xml:space="preserve">. </w:t>
      </w:r>
    </w:p>
    <w:p w14:paraId="3A4EEAAF" w14:textId="77777777" w:rsidR="008C1BF7" w:rsidRPr="00DA249F" w:rsidRDefault="17E6F11B" w:rsidP="00375B42">
      <w:pPr>
        <w:pStyle w:val="Heading2"/>
        <w:rPr>
          <w:lang w:val="en-GB"/>
        </w:rPr>
      </w:pPr>
      <w:bookmarkStart w:id="41" w:name="_Toc44317791"/>
      <w:r w:rsidRPr="5575EBFC">
        <w:rPr>
          <w:lang w:val="en-GB"/>
        </w:rPr>
        <w:t xml:space="preserve"> </w:t>
      </w:r>
      <w:bookmarkStart w:id="42" w:name="_Toc146898462"/>
      <w:r w:rsidR="3D04D128" w:rsidRPr="5575EBFC">
        <w:rPr>
          <w:lang w:val="en-GB"/>
        </w:rPr>
        <w:t>Sociocultural drivers</w:t>
      </w:r>
      <w:bookmarkEnd w:id="41"/>
      <w:r w:rsidR="5B098A42" w:rsidRPr="5575EBFC">
        <w:rPr>
          <w:lang w:val="en-GB"/>
        </w:rPr>
        <w:t xml:space="preserve"> and social values</w:t>
      </w:r>
      <w:bookmarkEnd w:id="42"/>
    </w:p>
    <w:p w14:paraId="008E0396" w14:textId="722919D9" w:rsidR="00E76939" w:rsidRPr="00DA249F" w:rsidRDefault="1A421573" w:rsidP="0090109B">
      <w:pPr>
        <w:rPr>
          <w:lang w:val="en-GB"/>
        </w:rPr>
      </w:pPr>
      <w:r w:rsidRPr="00DA249F">
        <w:rPr>
          <w:lang w:val="en-GB"/>
        </w:rPr>
        <w:t>Sociocultural context</w:t>
      </w:r>
      <w:r w:rsidR="6B04618C" w:rsidRPr="00DA249F">
        <w:rPr>
          <w:lang w:val="en-GB"/>
        </w:rPr>
        <w:t>s</w:t>
      </w:r>
      <w:r w:rsidRPr="00DA249F">
        <w:rPr>
          <w:lang w:val="en-GB"/>
        </w:rPr>
        <w:t xml:space="preserve">, particularly </w:t>
      </w:r>
      <w:r w:rsidR="1E2FC7F1" w:rsidRPr="00DA249F">
        <w:rPr>
          <w:lang w:val="en-GB"/>
        </w:rPr>
        <w:t>social values which are created by social norms, traditions, cultural beliefs</w:t>
      </w:r>
      <w:r w:rsidR="7544F558">
        <w:rPr>
          <w:lang w:val="en-GB"/>
        </w:rPr>
        <w:t>,</w:t>
      </w:r>
      <w:r w:rsidR="1E2FC7F1" w:rsidRPr="00DA249F">
        <w:rPr>
          <w:lang w:val="en-GB"/>
        </w:rPr>
        <w:t xml:space="preserve"> and accepted morally by society</w:t>
      </w:r>
      <w:r w:rsidRPr="00DA249F">
        <w:rPr>
          <w:lang w:val="en-GB"/>
        </w:rPr>
        <w:t>, can exert significant pressure on decision</w:t>
      </w:r>
      <w:r w:rsidR="110FE063" w:rsidRPr="00DA249F">
        <w:rPr>
          <w:lang w:val="en-GB"/>
        </w:rPr>
        <w:t>-</w:t>
      </w:r>
      <w:r w:rsidRPr="00DA249F">
        <w:rPr>
          <w:lang w:val="en-GB"/>
        </w:rPr>
        <w:t xml:space="preserve">making regarding </w:t>
      </w:r>
      <w:r w:rsidR="360F1767" w:rsidRPr="00DA249F">
        <w:rPr>
          <w:lang w:val="en-GB"/>
        </w:rPr>
        <w:t xml:space="preserve">invasive alien species </w:t>
      </w:r>
      <w:r w:rsidR="182C126F" w:rsidRPr="00DA249F">
        <w:rPr>
          <w:lang w:val="en-GB"/>
        </w:rPr>
        <w:fldChar w:fldCharType="begin"/>
      </w:r>
      <w:r w:rsidR="00230216">
        <w:rPr>
          <w:lang w:val="en-GB"/>
        </w:rPr>
        <w:instrText xml:space="preserve"> ADDIN ZOTERO_ITEM CSL_CITATION {"citationID":"Y29ykZne","properties":{"formattedCitation":"(R. T. Shackleton, Richardson, et al., 2019)","plainCitation":"(R. T. Shackleton, Richardson, et al., 2019)","dontUpdate":true,"noteIndex":0},"citationItems":[{"id":"zUkrYEfa/AjWM8yjK","uris":["http://zotero.org/groups/2352922/items/FD78XHCP"],"itemData":{"id":33053,"type":"article-journal","abstract":"Human perceptions of nature and the environment are increasingly being recognised as important for environmental management and conservation. Understanding people's perceptions is crucial for understanding behaviour and developing effective management strategies to maintain, preserve and improve biodiversity, ecosystem services and human well-being. As an interdisciplinary team, we produced a synthesis of the key factors that influence people's perceptions of invasive alien species, and ordered them in a conceptual framework. In a context of considerable complexity and variation across time and space, we identified six broad-scale dimensions: (1) attributes of the individual perceiving the invasive alien species; (2) characteristics of the invasive alien species itself; (3) effects of the invasion (including negative and positive impacts, i.e. benefits and costs); (4) socio-cultural context; (5) landscape context; and (6) institutional and policy context. A number of underlying and facilitating aspects for each of these six overarching dimensions are also identified and discussed. Synthesising and understanding the main factors that influence people's perceptions is useful to guide future research, to facilitate dialogue and negotiation between actors, and to aid management and policy formulation and governance of invasive alien species. This can help to circumvent and mitigate conflicts, support prioritisation plans, improve stakeholder engagement platforms, and implement control measures.","collection-title":"The human and social dimensions of invasion science and management","container-title":"Journal of Environmental Management","DOI":"10.1016/j.jenvman.2018.04.045","ISSN":"0301-4797","journalAbbreviation":"Journal of Environmental Management","language":"en","page":"10-26","source":"ScienceDirect","title":"Explaining people's perceptions of invasive alien species: A conceptual framework","title-short":"Explaining people's perceptions of invasive alien species","volume":"229","author":[{"family":"Shackleton","given":"Ross T."},{"family":"Richardson","given":"David M."},{"family":"Shackleton","given":"Charlie M."},{"family":"Bennett","given":"Brett"},{"family":"Crowley","given":"Sarah L."},{"family":"Dehnen-Schmutz","given":"Katharina"},{"family":"Estévez","given":"Rodrigo A."},{"family":"Fischer","given":"Anke"},{"family":"Kueffer","given":"Christoph"},{"family":"Kull","given":"Christian A."},{"family":"Marchante","given":"Elizabete"},{"family":"Novoa","given":"Ana"},{"family":"Potgieter","given":"Luke J."},{"family":"Vaas","given":"Jetske"},{"family":"Vaz","given":"Ana S."},{"family":"Larson","given":"Brendon M. H."}],"issued":{"date-parts":[["2019",1,1]]}}}],"schema":"https://github.com/citation-style-language/schema/raw/master/csl-citation.json"} </w:instrText>
      </w:r>
      <w:r w:rsidR="182C126F" w:rsidRPr="00DA249F">
        <w:rPr>
          <w:lang w:val="en-GB"/>
        </w:rPr>
        <w:fldChar w:fldCharType="separate"/>
      </w:r>
      <w:r w:rsidR="36AB72CB" w:rsidRPr="00DA249F">
        <w:rPr>
          <w:lang w:val="en-GB"/>
        </w:rPr>
        <w:t>(Shackleton</w:t>
      </w:r>
      <w:r w:rsidR="746FA167" w:rsidRPr="00DA249F">
        <w:rPr>
          <w:lang w:val="en-GB"/>
        </w:rPr>
        <w:t xml:space="preserve"> </w:t>
      </w:r>
      <w:r w:rsidR="36AB72CB" w:rsidRPr="00DA249F">
        <w:rPr>
          <w:lang w:val="en-GB"/>
        </w:rPr>
        <w:t>et al., 2019</w:t>
      </w:r>
      <w:r w:rsidR="7A4F62BF" w:rsidRPr="00DA249F">
        <w:rPr>
          <w:lang w:val="en-GB"/>
        </w:rPr>
        <w:t>;</w:t>
      </w:r>
      <w:r w:rsidR="182C126F" w:rsidRPr="00DA249F">
        <w:rPr>
          <w:lang w:val="en-GB"/>
        </w:rPr>
        <w:fldChar w:fldCharType="end"/>
      </w:r>
      <w:r w:rsidR="7A4F62BF" w:rsidRPr="00DA249F">
        <w:rPr>
          <w:lang w:val="en-GB"/>
        </w:rPr>
        <w:t xml:space="preserve"> </w:t>
      </w:r>
      <w:r w:rsidR="51A5F9FF" w:rsidRPr="5575EBFC">
        <w:rPr>
          <w:b/>
          <w:bCs/>
          <w:lang w:val="en-GB"/>
        </w:rPr>
        <w:t>C</w:t>
      </w:r>
      <w:r w:rsidR="697263A8" w:rsidRPr="5575EBFC">
        <w:rPr>
          <w:b/>
          <w:bCs/>
          <w:lang w:val="en-GB"/>
        </w:rPr>
        <w:t>hapter 1</w:t>
      </w:r>
      <w:r w:rsidR="5EA4EB1B" w:rsidRPr="5575EBFC">
        <w:rPr>
          <w:lang w:val="en-GB"/>
        </w:rPr>
        <w:t>,</w:t>
      </w:r>
      <w:r w:rsidR="5EA4EB1B" w:rsidRPr="5575EBFC">
        <w:rPr>
          <w:b/>
          <w:bCs/>
          <w:lang w:val="en-GB"/>
        </w:rPr>
        <w:t xml:space="preserve"> </w:t>
      </w:r>
      <w:r w:rsidR="4E2AF745" w:rsidRPr="5575EBFC">
        <w:rPr>
          <w:b/>
          <w:bCs/>
          <w:lang w:val="en-GB"/>
        </w:rPr>
        <w:t xml:space="preserve">sections 1.5.2 </w:t>
      </w:r>
      <w:r w:rsidR="4E2AF745" w:rsidRPr="009C1CC6">
        <w:rPr>
          <w:lang w:val="en-GB"/>
        </w:rPr>
        <w:t>and</w:t>
      </w:r>
      <w:r w:rsidR="4E2AF745" w:rsidRPr="5575EBFC">
        <w:rPr>
          <w:b/>
          <w:bCs/>
          <w:lang w:val="en-GB"/>
        </w:rPr>
        <w:t xml:space="preserve"> 1.5.3</w:t>
      </w:r>
      <w:r w:rsidR="697263A8" w:rsidRPr="00DA249F">
        <w:rPr>
          <w:lang w:val="en-GB"/>
        </w:rPr>
        <w:t>)</w:t>
      </w:r>
      <w:r w:rsidR="736B44B1" w:rsidRPr="00DA249F">
        <w:rPr>
          <w:lang w:val="en-GB"/>
        </w:rPr>
        <w:t>. Additio</w:t>
      </w:r>
      <w:r w:rsidR="4BAD94F5" w:rsidRPr="00DA249F">
        <w:rPr>
          <w:lang w:val="en-GB"/>
        </w:rPr>
        <w:t>nally, sociocultural drivers and social values</w:t>
      </w:r>
      <w:r w:rsidRPr="00DA249F">
        <w:rPr>
          <w:lang w:val="en-GB"/>
        </w:rPr>
        <w:t xml:space="preserve"> are manifested in lifestyles and consumption patterns</w:t>
      </w:r>
      <w:r w:rsidR="1CDD8F9B">
        <w:rPr>
          <w:lang w:val="en-GB"/>
        </w:rPr>
        <w:t>, which</w:t>
      </w:r>
      <w:r w:rsidRPr="00DA249F">
        <w:rPr>
          <w:lang w:val="en-GB"/>
        </w:rPr>
        <w:t xml:space="preserve"> act as indirect and direct </w:t>
      </w:r>
      <w:r w:rsidR="653902EA" w:rsidRPr="00DA249F">
        <w:rPr>
          <w:lang w:val="en-GB"/>
        </w:rPr>
        <w:t>drivers of change in nature</w:t>
      </w:r>
      <w:r w:rsidR="4CCCA56C" w:rsidRPr="00DA249F">
        <w:rPr>
          <w:lang w:val="en-GB"/>
        </w:rPr>
        <w:t xml:space="preserve"> </w:t>
      </w:r>
      <w:r w:rsidR="1CDD8F9B">
        <w:rPr>
          <w:lang w:val="en-GB"/>
        </w:rPr>
        <w:t xml:space="preserve">and </w:t>
      </w:r>
      <w:r w:rsidR="4CCCA56C" w:rsidRPr="00DA249F">
        <w:rPr>
          <w:lang w:val="en-GB"/>
        </w:rPr>
        <w:t>affect</w:t>
      </w:r>
      <w:r w:rsidRPr="00DA249F">
        <w:rPr>
          <w:lang w:val="en-GB"/>
        </w:rPr>
        <w:t xml:space="preserve"> </w:t>
      </w:r>
      <w:r w:rsidR="1C543DBC" w:rsidRPr="00DA249F">
        <w:rPr>
          <w:lang w:val="en-GB"/>
        </w:rPr>
        <w:t xml:space="preserve">the </w:t>
      </w:r>
      <w:r w:rsidR="1DAAAE64" w:rsidRPr="00DA249F">
        <w:rPr>
          <w:lang w:val="en-GB"/>
        </w:rPr>
        <w:t xml:space="preserve">transport, </w:t>
      </w:r>
      <w:r w:rsidRPr="00DA249F">
        <w:rPr>
          <w:lang w:val="en-GB"/>
        </w:rPr>
        <w:t>introduction</w:t>
      </w:r>
      <w:r w:rsidR="1DAAAE64" w:rsidRPr="00DA249F">
        <w:rPr>
          <w:lang w:val="en-GB"/>
        </w:rPr>
        <w:t>, establishment</w:t>
      </w:r>
      <w:r w:rsidR="009F7404">
        <w:rPr>
          <w:lang w:val="en-GB"/>
        </w:rPr>
        <w:t xml:space="preserve"> and</w:t>
      </w:r>
      <w:r w:rsidRPr="00DA249F">
        <w:rPr>
          <w:lang w:val="en-GB"/>
        </w:rPr>
        <w:t xml:space="preserve"> spread</w:t>
      </w:r>
      <w:r w:rsidR="2E0F0889" w:rsidRPr="00DA249F">
        <w:rPr>
          <w:lang w:val="en-GB"/>
        </w:rPr>
        <w:t xml:space="preserve"> </w:t>
      </w:r>
      <w:r w:rsidR="1C543DBC" w:rsidRPr="00DA249F">
        <w:rPr>
          <w:lang w:val="en-GB"/>
        </w:rPr>
        <w:t xml:space="preserve">of invasive alien species </w:t>
      </w:r>
      <w:r w:rsidR="2E0F0889" w:rsidRPr="00DA249F">
        <w:rPr>
          <w:lang w:val="en-GB"/>
        </w:rPr>
        <w:t>(</w:t>
      </w:r>
      <w:r w:rsidR="0048460C">
        <w:rPr>
          <w:b/>
          <w:bCs/>
          <w:lang w:val="en-GB"/>
        </w:rPr>
        <w:t>Figure 3.6</w:t>
      </w:r>
      <w:r w:rsidR="2E0F0889" w:rsidRPr="00DA249F">
        <w:rPr>
          <w:lang w:val="en-GB"/>
        </w:rPr>
        <w:t>)</w:t>
      </w:r>
      <w:r w:rsidRPr="00DA249F">
        <w:rPr>
          <w:lang w:val="en-GB"/>
        </w:rPr>
        <w:t xml:space="preserve">. Sociocultural </w:t>
      </w:r>
      <w:r w:rsidR="784A3728" w:rsidRPr="00DA249F">
        <w:rPr>
          <w:lang w:val="en-GB"/>
        </w:rPr>
        <w:t xml:space="preserve">drivers </w:t>
      </w:r>
      <w:r w:rsidRPr="00DA249F">
        <w:rPr>
          <w:lang w:val="en-GB"/>
        </w:rPr>
        <w:t>thus interact with other indirect drivers, especially demographic drivers such as changes in population density (</w:t>
      </w:r>
      <w:r w:rsidR="345429F7" w:rsidRPr="5575EBFC">
        <w:rPr>
          <w:b/>
          <w:bCs/>
          <w:lang w:val="en-GB"/>
        </w:rPr>
        <w:t xml:space="preserve">section </w:t>
      </w:r>
      <w:r w:rsidRPr="5575EBFC">
        <w:rPr>
          <w:b/>
          <w:bCs/>
          <w:lang w:val="en-GB"/>
        </w:rPr>
        <w:t>3.2</w:t>
      </w:r>
      <w:r w:rsidR="66D2EEE0" w:rsidRPr="5575EBFC">
        <w:rPr>
          <w:b/>
          <w:bCs/>
          <w:lang w:val="en-GB"/>
        </w:rPr>
        <w:t>.2.1</w:t>
      </w:r>
      <w:r w:rsidRPr="00DA249F">
        <w:rPr>
          <w:lang w:val="en-GB"/>
        </w:rPr>
        <w:t>)</w:t>
      </w:r>
      <w:r w:rsidR="341EA1B0" w:rsidRPr="00DA249F">
        <w:rPr>
          <w:lang w:val="en-GB"/>
        </w:rPr>
        <w:t>, migration (</w:t>
      </w:r>
      <w:r w:rsidR="098245D3" w:rsidRPr="5575EBFC">
        <w:rPr>
          <w:b/>
          <w:bCs/>
          <w:lang w:val="en-GB"/>
        </w:rPr>
        <w:t xml:space="preserve">section </w:t>
      </w:r>
      <w:r w:rsidR="341EA1B0" w:rsidRPr="5575EBFC">
        <w:rPr>
          <w:b/>
          <w:bCs/>
          <w:lang w:val="en-GB"/>
        </w:rPr>
        <w:t>3.2.2.</w:t>
      </w:r>
      <w:r w:rsidR="66D2EEE0" w:rsidRPr="5575EBFC">
        <w:rPr>
          <w:b/>
          <w:bCs/>
          <w:lang w:val="en-GB"/>
        </w:rPr>
        <w:t>2</w:t>
      </w:r>
      <w:r w:rsidRPr="00DA249F">
        <w:rPr>
          <w:lang w:val="en-GB"/>
        </w:rPr>
        <w:t xml:space="preserve">) and </w:t>
      </w:r>
      <w:r w:rsidR="5524982E" w:rsidRPr="00DA249F">
        <w:rPr>
          <w:lang w:val="en-GB"/>
        </w:rPr>
        <w:t>urbanization</w:t>
      </w:r>
      <w:r w:rsidRPr="00DA249F">
        <w:rPr>
          <w:lang w:val="en-GB"/>
        </w:rPr>
        <w:t xml:space="preserve"> (</w:t>
      </w:r>
      <w:r w:rsidR="345429F7" w:rsidRPr="5575EBFC">
        <w:rPr>
          <w:b/>
          <w:bCs/>
          <w:lang w:val="en-GB"/>
        </w:rPr>
        <w:t xml:space="preserve">section </w:t>
      </w:r>
      <w:r w:rsidRPr="5575EBFC">
        <w:rPr>
          <w:b/>
          <w:bCs/>
          <w:lang w:val="en-GB"/>
        </w:rPr>
        <w:t>3.2.2.</w:t>
      </w:r>
      <w:r w:rsidR="30952567" w:rsidRPr="5575EBFC">
        <w:rPr>
          <w:b/>
          <w:bCs/>
          <w:lang w:val="en-GB"/>
        </w:rPr>
        <w:t>4</w:t>
      </w:r>
      <w:r w:rsidRPr="00DA249F">
        <w:rPr>
          <w:lang w:val="en-GB"/>
        </w:rPr>
        <w:t>)</w:t>
      </w:r>
      <w:r w:rsidR="45616861" w:rsidRPr="00DA249F">
        <w:rPr>
          <w:lang w:val="en-GB"/>
        </w:rPr>
        <w:t xml:space="preserve">, </w:t>
      </w:r>
      <w:r w:rsidR="34C4C0C9" w:rsidRPr="00DA249F">
        <w:rPr>
          <w:lang w:val="en-GB"/>
        </w:rPr>
        <w:t>as</w:t>
      </w:r>
      <w:r w:rsidR="048A5EB0" w:rsidRPr="00DA249F">
        <w:rPr>
          <w:lang w:val="en-GB"/>
        </w:rPr>
        <w:t xml:space="preserve"> </w:t>
      </w:r>
      <w:r w:rsidR="3CE47890" w:rsidRPr="00DA249F">
        <w:rPr>
          <w:lang w:val="en-GB"/>
        </w:rPr>
        <w:t>people</w:t>
      </w:r>
      <w:r w:rsidR="048A5EB0" w:rsidRPr="00DA249F">
        <w:rPr>
          <w:lang w:val="en-GB"/>
        </w:rPr>
        <w:t xml:space="preserve"> have a long history of </w:t>
      </w:r>
      <w:r w:rsidR="1E96A61B" w:rsidRPr="00DA249F">
        <w:rPr>
          <w:lang w:val="en-GB"/>
        </w:rPr>
        <w:t xml:space="preserve">exchanging </w:t>
      </w:r>
      <w:r w:rsidR="1CDD8F9B" w:rsidRPr="00DA249F">
        <w:rPr>
          <w:lang w:val="en-GB"/>
        </w:rPr>
        <w:t xml:space="preserve">new species </w:t>
      </w:r>
      <w:r w:rsidR="1E96A61B" w:rsidRPr="00DA249F">
        <w:rPr>
          <w:lang w:val="en-GB"/>
        </w:rPr>
        <w:t xml:space="preserve">and </w:t>
      </w:r>
      <w:r w:rsidR="08758847" w:rsidRPr="00DA249F">
        <w:rPr>
          <w:lang w:val="en-GB"/>
        </w:rPr>
        <w:t xml:space="preserve">bringing </w:t>
      </w:r>
      <w:r w:rsidR="1CDD8F9B">
        <w:rPr>
          <w:lang w:val="en-GB"/>
        </w:rPr>
        <w:t xml:space="preserve">them </w:t>
      </w:r>
      <w:r w:rsidR="08758847" w:rsidRPr="00DA249F">
        <w:rPr>
          <w:lang w:val="en-GB"/>
        </w:rPr>
        <w:t xml:space="preserve">with them </w:t>
      </w:r>
      <w:r w:rsidR="7269869C" w:rsidRPr="00DA249F">
        <w:rPr>
          <w:lang w:val="en-GB"/>
        </w:rPr>
        <w:t>for ornamental</w:t>
      </w:r>
      <w:r w:rsidR="631FAAC4" w:rsidRPr="00DA249F">
        <w:rPr>
          <w:lang w:val="en-GB"/>
        </w:rPr>
        <w:t>, cultural</w:t>
      </w:r>
      <w:r w:rsidR="009F7404">
        <w:rPr>
          <w:lang w:val="en-GB"/>
        </w:rPr>
        <w:t xml:space="preserve"> and</w:t>
      </w:r>
      <w:r w:rsidR="325B6D7C" w:rsidRPr="00DA249F">
        <w:rPr>
          <w:lang w:val="en-GB"/>
        </w:rPr>
        <w:t xml:space="preserve"> </w:t>
      </w:r>
      <w:r w:rsidR="7269869C" w:rsidRPr="00DA249F">
        <w:rPr>
          <w:lang w:val="en-GB"/>
        </w:rPr>
        <w:t>pract</w:t>
      </w:r>
      <w:r w:rsidR="3FD661CA" w:rsidRPr="00DA249F">
        <w:rPr>
          <w:lang w:val="en-GB"/>
        </w:rPr>
        <w:t>i</w:t>
      </w:r>
      <w:r w:rsidR="7269869C" w:rsidRPr="00DA249F">
        <w:rPr>
          <w:lang w:val="en-GB"/>
        </w:rPr>
        <w:t>cal use</w:t>
      </w:r>
      <w:r w:rsidR="08758847" w:rsidRPr="00DA249F">
        <w:rPr>
          <w:lang w:val="en-GB"/>
        </w:rPr>
        <w:t>.</w:t>
      </w:r>
      <w:r w:rsidR="40BB5A92" w:rsidRPr="00DA249F">
        <w:rPr>
          <w:lang w:val="en-GB"/>
        </w:rPr>
        <w:t xml:space="preserve"> Sociocultural drivers further interact with </w:t>
      </w:r>
      <w:r w:rsidR="2C2256C2" w:rsidRPr="00DA249F">
        <w:rPr>
          <w:lang w:val="en-GB"/>
        </w:rPr>
        <w:t>economic</w:t>
      </w:r>
      <w:r w:rsidRPr="00DA249F">
        <w:rPr>
          <w:lang w:val="en-GB"/>
        </w:rPr>
        <w:t xml:space="preserve"> drivers, such as trade (</w:t>
      </w:r>
      <w:r w:rsidR="345429F7" w:rsidRPr="5575EBFC">
        <w:rPr>
          <w:b/>
          <w:bCs/>
          <w:lang w:val="en-GB"/>
        </w:rPr>
        <w:t>section</w:t>
      </w:r>
      <w:r w:rsidR="0CC655D0" w:rsidRPr="5575EBFC">
        <w:rPr>
          <w:b/>
          <w:bCs/>
          <w:lang w:val="en-GB"/>
        </w:rPr>
        <w:t>s</w:t>
      </w:r>
      <w:r w:rsidR="345429F7" w:rsidRPr="5575EBFC">
        <w:rPr>
          <w:b/>
          <w:bCs/>
          <w:lang w:val="en-GB"/>
        </w:rPr>
        <w:t xml:space="preserve"> </w:t>
      </w:r>
      <w:r w:rsidRPr="5575EBFC">
        <w:rPr>
          <w:b/>
          <w:bCs/>
          <w:lang w:val="en-GB"/>
        </w:rPr>
        <w:t>3.2.3.1</w:t>
      </w:r>
      <w:r w:rsidR="0CC655D0" w:rsidRPr="5575EBFC">
        <w:rPr>
          <w:lang w:val="en-GB"/>
        </w:rPr>
        <w:t>,</w:t>
      </w:r>
      <w:r w:rsidR="0CC655D0" w:rsidRPr="5575EBFC">
        <w:rPr>
          <w:b/>
          <w:bCs/>
          <w:lang w:val="en-GB"/>
        </w:rPr>
        <w:t xml:space="preserve"> 3.2.3.2 </w:t>
      </w:r>
      <w:r w:rsidR="0CC655D0" w:rsidRPr="009C1CC6">
        <w:rPr>
          <w:lang w:val="en-GB"/>
        </w:rPr>
        <w:t>and</w:t>
      </w:r>
      <w:r w:rsidR="0CC655D0" w:rsidRPr="5575EBFC">
        <w:rPr>
          <w:b/>
          <w:bCs/>
          <w:lang w:val="en-GB"/>
        </w:rPr>
        <w:t xml:space="preserve"> </w:t>
      </w:r>
      <w:r w:rsidR="61CBB6D0" w:rsidRPr="5575EBFC">
        <w:rPr>
          <w:b/>
          <w:bCs/>
          <w:lang w:val="en-GB"/>
        </w:rPr>
        <w:t>3.2.3.3</w:t>
      </w:r>
      <w:r w:rsidRPr="00DA249F">
        <w:rPr>
          <w:lang w:val="en-GB"/>
        </w:rPr>
        <w:t>) and travel (</w:t>
      </w:r>
      <w:r w:rsidR="345429F7" w:rsidRPr="5575EBFC">
        <w:rPr>
          <w:b/>
          <w:bCs/>
          <w:lang w:val="en-GB"/>
        </w:rPr>
        <w:t xml:space="preserve">section </w:t>
      </w:r>
      <w:r w:rsidRPr="5575EBFC">
        <w:rPr>
          <w:b/>
          <w:bCs/>
          <w:lang w:val="en-GB"/>
        </w:rPr>
        <w:t>3.2.3.</w:t>
      </w:r>
      <w:r w:rsidR="068A59C1" w:rsidRPr="5575EBFC">
        <w:rPr>
          <w:b/>
          <w:bCs/>
          <w:lang w:val="en-GB"/>
        </w:rPr>
        <w:t>4</w:t>
      </w:r>
      <w:r w:rsidRPr="00DA249F">
        <w:rPr>
          <w:lang w:val="en-GB"/>
        </w:rPr>
        <w:t>) as well as science and technology drivers, such as communication technology (</w:t>
      </w:r>
      <w:r w:rsidR="345429F7" w:rsidRPr="5575EBFC">
        <w:rPr>
          <w:b/>
          <w:bCs/>
          <w:lang w:val="en-GB"/>
        </w:rPr>
        <w:t xml:space="preserve">section </w:t>
      </w:r>
      <w:r w:rsidRPr="5575EBFC">
        <w:rPr>
          <w:b/>
          <w:bCs/>
          <w:lang w:val="en-GB"/>
        </w:rPr>
        <w:t>3.2.4.2</w:t>
      </w:r>
      <w:r w:rsidRPr="00DA249F">
        <w:rPr>
          <w:lang w:val="en-GB"/>
        </w:rPr>
        <w:t>). Sociocultural drivers can influence the rate and magnitude of change</w:t>
      </w:r>
      <w:r w:rsidR="438B8494" w:rsidRPr="00DA249F">
        <w:rPr>
          <w:lang w:val="en-GB"/>
        </w:rPr>
        <w:t xml:space="preserve"> in a number of direct </w:t>
      </w:r>
      <w:r w:rsidR="784A3728" w:rsidRPr="00DA249F">
        <w:rPr>
          <w:lang w:val="en-GB"/>
        </w:rPr>
        <w:t xml:space="preserve">drivers of </w:t>
      </w:r>
      <w:r w:rsidR="653902EA" w:rsidRPr="00DA249F">
        <w:rPr>
          <w:lang w:val="en-GB"/>
        </w:rPr>
        <w:t>change in nature</w:t>
      </w:r>
      <w:r w:rsidR="3D910B65" w:rsidRPr="00DA249F">
        <w:rPr>
          <w:lang w:val="en-GB"/>
        </w:rPr>
        <w:t>, particularly related to land</w:t>
      </w:r>
      <w:r w:rsidRPr="00DA249F">
        <w:rPr>
          <w:lang w:val="en-GB"/>
        </w:rPr>
        <w:t>- and sea-use changes (</w:t>
      </w:r>
      <w:r w:rsidR="345429F7" w:rsidRPr="5575EBFC">
        <w:rPr>
          <w:b/>
          <w:bCs/>
          <w:lang w:val="en-GB"/>
        </w:rPr>
        <w:t xml:space="preserve">section </w:t>
      </w:r>
      <w:r w:rsidRPr="5575EBFC">
        <w:rPr>
          <w:b/>
          <w:bCs/>
          <w:lang w:val="en-GB"/>
        </w:rPr>
        <w:t>3.3.1</w:t>
      </w:r>
      <w:r w:rsidRPr="00DA249F">
        <w:rPr>
          <w:lang w:val="en-GB"/>
        </w:rPr>
        <w:t>), but also species harvesting (</w:t>
      </w:r>
      <w:r w:rsidR="345429F7" w:rsidRPr="5575EBFC">
        <w:rPr>
          <w:b/>
          <w:bCs/>
          <w:lang w:val="en-GB"/>
        </w:rPr>
        <w:t xml:space="preserve">section </w:t>
      </w:r>
      <w:r w:rsidRPr="5575EBFC">
        <w:rPr>
          <w:b/>
          <w:bCs/>
          <w:lang w:val="en-GB"/>
        </w:rPr>
        <w:t>3.3.2.1</w:t>
      </w:r>
      <w:r w:rsidRPr="00DA249F">
        <w:rPr>
          <w:lang w:val="en-GB"/>
        </w:rPr>
        <w:t>), pollution (</w:t>
      </w:r>
      <w:r w:rsidR="345429F7" w:rsidRPr="5575EBFC">
        <w:rPr>
          <w:b/>
          <w:bCs/>
          <w:lang w:val="en-GB"/>
        </w:rPr>
        <w:t xml:space="preserve">section </w:t>
      </w:r>
      <w:r w:rsidRPr="5575EBFC">
        <w:rPr>
          <w:b/>
          <w:bCs/>
          <w:lang w:val="en-GB"/>
        </w:rPr>
        <w:t>3.3.3</w:t>
      </w:r>
      <w:r w:rsidRPr="00DA249F">
        <w:rPr>
          <w:lang w:val="en-GB"/>
        </w:rPr>
        <w:t>)</w:t>
      </w:r>
      <w:r w:rsidR="009F7404">
        <w:rPr>
          <w:lang w:val="en-GB"/>
        </w:rPr>
        <w:t xml:space="preserve"> and</w:t>
      </w:r>
      <w:r w:rsidRPr="00DA249F">
        <w:rPr>
          <w:lang w:val="en-GB"/>
        </w:rPr>
        <w:t xml:space="preserve"> drivers related </w:t>
      </w:r>
      <w:r w:rsidR="0B91D959" w:rsidRPr="00DA249F">
        <w:rPr>
          <w:lang w:val="en-GB"/>
        </w:rPr>
        <w:t xml:space="preserve">to </w:t>
      </w:r>
      <w:r w:rsidRPr="00DA249F">
        <w:rPr>
          <w:lang w:val="en-GB"/>
        </w:rPr>
        <w:t xml:space="preserve">biodiversity and ecosystem health such as unintended consequences of the intentional introduction of </w:t>
      </w:r>
      <w:r w:rsidR="360F1767" w:rsidRPr="00DA249F">
        <w:rPr>
          <w:lang w:val="en-GB"/>
        </w:rPr>
        <w:t xml:space="preserve">invasive alien species </w:t>
      </w:r>
      <w:r w:rsidRPr="00DA249F">
        <w:rPr>
          <w:lang w:val="en-GB"/>
        </w:rPr>
        <w:t>(</w:t>
      </w:r>
      <w:r w:rsidR="345429F7" w:rsidRPr="5575EBFC">
        <w:rPr>
          <w:b/>
          <w:bCs/>
          <w:lang w:val="en-GB"/>
        </w:rPr>
        <w:t xml:space="preserve">section </w:t>
      </w:r>
      <w:r w:rsidRPr="5575EBFC">
        <w:rPr>
          <w:b/>
          <w:bCs/>
          <w:lang w:val="en-GB"/>
        </w:rPr>
        <w:t>3.3.5.2</w:t>
      </w:r>
      <w:r w:rsidRPr="00DA249F">
        <w:rPr>
          <w:lang w:val="en-GB"/>
        </w:rPr>
        <w:t>) and biodiversity loss (</w:t>
      </w:r>
      <w:r w:rsidR="0C3863B7" w:rsidRPr="5575EBFC">
        <w:rPr>
          <w:b/>
          <w:bCs/>
          <w:lang w:val="en-GB"/>
        </w:rPr>
        <w:t xml:space="preserve">section </w:t>
      </w:r>
      <w:r w:rsidRPr="5575EBFC">
        <w:rPr>
          <w:b/>
          <w:bCs/>
          <w:lang w:val="en-GB"/>
        </w:rPr>
        <w:t>3.</w:t>
      </w:r>
      <w:r w:rsidR="0C3863B7" w:rsidRPr="5575EBFC">
        <w:rPr>
          <w:b/>
          <w:bCs/>
          <w:lang w:val="en-GB"/>
        </w:rPr>
        <w:t>4.2</w:t>
      </w:r>
      <w:r w:rsidRPr="00DA249F">
        <w:rPr>
          <w:lang w:val="en-GB"/>
        </w:rPr>
        <w:t>).</w:t>
      </w:r>
      <w:r w:rsidR="3163E045" w:rsidRPr="00DA249F">
        <w:rPr>
          <w:lang w:val="en-GB"/>
        </w:rPr>
        <w:t xml:space="preserve"> </w:t>
      </w:r>
    </w:p>
    <w:p w14:paraId="632C33F5" w14:textId="77777777" w:rsidR="00885F70" w:rsidRPr="00DA249F" w:rsidRDefault="00AE3E00" w:rsidP="0090109B">
      <w:pPr>
        <w:rPr>
          <w:lang w:val="en-GB"/>
        </w:rPr>
      </w:pPr>
      <w:r w:rsidRPr="00AE3E00">
        <w:rPr>
          <w:noProof/>
          <w:lang w:val="en-GB"/>
        </w:rPr>
        <w:drawing>
          <wp:inline distT="0" distB="0" distL="0" distR="0" wp14:anchorId="7C4F825B" wp14:editId="1EEF191E">
            <wp:extent cx="6115050" cy="2292350"/>
            <wp:effectExtent l="0" t="0" r="6350" b="6350"/>
            <wp:docPr id="31" name="Picture 31" descr="A diagram of a busines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descr="A diagram of a business&#10;&#10;Description automatically generated with medium confidence"/>
                    <pic:cNvPicPr/>
                  </pic:nvPicPr>
                  <pic:blipFill>
                    <a:blip r:embed="rId24"/>
                    <a:stretch>
                      <a:fillRect/>
                    </a:stretch>
                  </pic:blipFill>
                  <pic:spPr>
                    <a:xfrm>
                      <a:off x="0" y="0"/>
                      <a:ext cx="6115050" cy="2292350"/>
                    </a:xfrm>
                    <a:prstGeom prst="rect">
                      <a:avLst/>
                    </a:prstGeom>
                    <a:ln>
                      <a:noFill/>
                    </a:ln>
                  </pic:spPr>
                </pic:pic>
              </a:graphicData>
            </a:graphic>
          </wp:inline>
        </w:drawing>
      </w:r>
    </w:p>
    <w:p w14:paraId="31D22D20" w14:textId="5CBF580D" w:rsidR="00885F70" w:rsidRPr="00DA249F" w:rsidRDefault="16BBCFB7" w:rsidP="0090109B">
      <w:pPr>
        <w:pStyle w:val="Caption"/>
        <w:rPr>
          <w:b w:val="0"/>
          <w:bCs w:val="0"/>
          <w:lang w:val="en-GB"/>
        </w:rPr>
      </w:pPr>
      <w:bookmarkStart w:id="43" w:name="_Ref104902469"/>
      <w:bookmarkStart w:id="44" w:name="_Toc147500891"/>
      <w:r w:rsidRPr="5575EBFC">
        <w:rPr>
          <w:lang w:val="en-GB"/>
        </w:rPr>
        <w:t>Figure 3.</w:t>
      </w:r>
      <w:r w:rsidR="00885F70" w:rsidRPr="5575EBFC">
        <w:rPr>
          <w:lang w:val="en-GB"/>
        </w:rPr>
        <w:fldChar w:fldCharType="begin"/>
      </w:r>
      <w:r w:rsidR="00885F70" w:rsidRPr="5575EBFC">
        <w:rPr>
          <w:lang w:val="en-GB"/>
        </w:rPr>
        <w:instrText xml:space="preserve"> SEQ Figure_3. \* ARABIC </w:instrText>
      </w:r>
      <w:r w:rsidR="00885F70" w:rsidRPr="5575EBFC">
        <w:rPr>
          <w:lang w:val="en-GB"/>
        </w:rPr>
        <w:fldChar w:fldCharType="separate"/>
      </w:r>
      <w:r w:rsidR="00287BC7">
        <w:rPr>
          <w:noProof/>
          <w:lang w:val="en-GB"/>
        </w:rPr>
        <w:t>6</w:t>
      </w:r>
      <w:r w:rsidR="00885F70" w:rsidRPr="5575EBFC">
        <w:rPr>
          <w:lang w:val="en-GB"/>
        </w:rPr>
        <w:fldChar w:fldCharType="end"/>
      </w:r>
      <w:bookmarkEnd w:id="43"/>
      <w:r w:rsidR="4AD1CCCF" w:rsidRPr="5575EBFC">
        <w:rPr>
          <w:lang w:val="en-GB"/>
        </w:rPr>
        <w:t>.</w:t>
      </w:r>
      <w:r w:rsidRPr="5575EBFC">
        <w:rPr>
          <w:lang w:val="en-GB"/>
        </w:rPr>
        <w:t xml:space="preserve"> </w:t>
      </w:r>
      <w:r w:rsidR="149EA785" w:rsidRPr="5575EBFC">
        <w:rPr>
          <w:b w:val="0"/>
          <w:bCs w:val="0"/>
          <w:lang w:val="en-GB"/>
        </w:rPr>
        <w:t>Ex</w:t>
      </w:r>
      <w:r w:rsidR="151568E2" w:rsidRPr="5575EBFC">
        <w:rPr>
          <w:b w:val="0"/>
          <w:bCs w:val="0"/>
          <w:lang w:val="en-GB"/>
        </w:rPr>
        <w:t>a</w:t>
      </w:r>
      <w:r w:rsidR="149EA785" w:rsidRPr="5575EBFC">
        <w:rPr>
          <w:b w:val="0"/>
          <w:bCs w:val="0"/>
          <w:lang w:val="en-GB"/>
        </w:rPr>
        <w:t>mples of</w:t>
      </w:r>
      <w:r w:rsidR="0911FF08" w:rsidRPr="5575EBFC">
        <w:rPr>
          <w:b w:val="0"/>
          <w:bCs w:val="0"/>
          <w:lang w:val="en-GB"/>
        </w:rPr>
        <w:t xml:space="preserve"> the</w:t>
      </w:r>
      <w:r w:rsidR="149EA785" w:rsidRPr="5575EBFC">
        <w:rPr>
          <w:b w:val="0"/>
          <w:bCs w:val="0"/>
          <w:lang w:val="en-GB"/>
        </w:rPr>
        <w:t xml:space="preserve"> r</w:t>
      </w:r>
      <w:r w:rsidRPr="5575EBFC">
        <w:rPr>
          <w:b w:val="0"/>
          <w:bCs w:val="0"/>
          <w:lang w:val="en-GB"/>
        </w:rPr>
        <w:t xml:space="preserve">ole of </w:t>
      </w:r>
      <w:r w:rsidR="149EA785" w:rsidRPr="5575EBFC">
        <w:rPr>
          <w:b w:val="0"/>
          <w:bCs w:val="0"/>
          <w:lang w:val="en-GB"/>
        </w:rPr>
        <w:t xml:space="preserve">sociocultural drivers and </w:t>
      </w:r>
      <w:r w:rsidRPr="5575EBFC">
        <w:rPr>
          <w:b w:val="0"/>
          <w:bCs w:val="0"/>
          <w:lang w:val="en-GB"/>
        </w:rPr>
        <w:t xml:space="preserve">social values </w:t>
      </w:r>
      <w:r w:rsidR="2E3AD35F" w:rsidRPr="5575EBFC">
        <w:rPr>
          <w:b w:val="0"/>
          <w:bCs w:val="0"/>
          <w:lang w:val="en-GB"/>
        </w:rPr>
        <w:t xml:space="preserve">in facilitating </w:t>
      </w:r>
      <w:r w:rsidR="216EFF99" w:rsidRPr="5575EBFC">
        <w:rPr>
          <w:b w:val="0"/>
          <w:bCs w:val="0"/>
          <w:lang w:val="en-GB"/>
        </w:rPr>
        <w:t>invasive alien species</w:t>
      </w:r>
      <w:r w:rsidR="3753332A" w:rsidRPr="5575EBFC">
        <w:rPr>
          <w:b w:val="0"/>
          <w:bCs w:val="0"/>
          <w:lang w:val="en-GB"/>
        </w:rPr>
        <w:t xml:space="preserve"> </w:t>
      </w:r>
      <w:r w:rsidRPr="5575EBFC">
        <w:rPr>
          <w:b w:val="0"/>
          <w:bCs w:val="0"/>
          <w:lang w:val="en-GB"/>
        </w:rPr>
        <w:t xml:space="preserve">across </w:t>
      </w:r>
      <w:r w:rsidR="7537C87E" w:rsidRPr="5575EBFC">
        <w:rPr>
          <w:b w:val="0"/>
          <w:bCs w:val="0"/>
          <w:lang w:val="en-GB"/>
        </w:rPr>
        <w:t xml:space="preserve">stages of the biological </w:t>
      </w:r>
      <w:r w:rsidRPr="5575EBFC">
        <w:rPr>
          <w:b w:val="0"/>
          <w:bCs w:val="0"/>
          <w:lang w:val="en-GB"/>
        </w:rPr>
        <w:t xml:space="preserve">invasion </w:t>
      </w:r>
      <w:r w:rsidR="75E68752" w:rsidRPr="5575EBFC">
        <w:rPr>
          <w:b w:val="0"/>
          <w:bCs w:val="0"/>
          <w:lang w:val="en-GB"/>
        </w:rPr>
        <w:t>process</w:t>
      </w:r>
      <w:r w:rsidR="2079B9F6" w:rsidRPr="5575EBFC">
        <w:rPr>
          <w:b w:val="0"/>
          <w:bCs w:val="0"/>
          <w:lang w:val="en-GB"/>
        </w:rPr>
        <w:t>.</w:t>
      </w:r>
      <w:r w:rsidRPr="5575EBFC">
        <w:rPr>
          <w:lang w:val="en-GB"/>
        </w:rPr>
        <w:t xml:space="preserve"> </w:t>
      </w:r>
      <w:r w:rsidR="2EF8928B" w:rsidRPr="5575EBFC">
        <w:rPr>
          <w:b w:val="0"/>
          <w:bCs w:val="0"/>
          <w:lang w:val="en-GB"/>
        </w:rPr>
        <w:t>Illustration of how</w:t>
      </w:r>
      <w:r w:rsidR="2EF8928B" w:rsidRPr="5575EBFC">
        <w:rPr>
          <w:lang w:val="en-GB"/>
        </w:rPr>
        <w:t xml:space="preserve"> </w:t>
      </w:r>
      <w:r w:rsidR="2EF8928B" w:rsidRPr="5575EBFC">
        <w:rPr>
          <w:b w:val="0"/>
          <w:bCs w:val="0"/>
          <w:lang w:val="en-GB"/>
        </w:rPr>
        <w:t>s</w:t>
      </w:r>
      <w:r w:rsidR="149EA785" w:rsidRPr="5575EBFC">
        <w:rPr>
          <w:b w:val="0"/>
          <w:bCs w:val="0"/>
          <w:lang w:val="en-GB"/>
        </w:rPr>
        <w:t>ociocultural drivers and social values may</w:t>
      </w:r>
      <w:r w:rsidR="662373C2" w:rsidRPr="5575EBFC">
        <w:rPr>
          <w:b w:val="0"/>
          <w:bCs w:val="0"/>
          <w:lang w:val="en-GB"/>
        </w:rPr>
        <w:t xml:space="preserve"> </w:t>
      </w:r>
      <w:r w:rsidR="61821BB9" w:rsidRPr="5575EBFC">
        <w:rPr>
          <w:b w:val="0"/>
          <w:bCs w:val="0"/>
          <w:lang w:val="en-GB"/>
        </w:rPr>
        <w:t xml:space="preserve">interact with </w:t>
      </w:r>
      <w:r w:rsidR="6D9AA289" w:rsidRPr="5575EBFC">
        <w:rPr>
          <w:b w:val="0"/>
          <w:bCs w:val="0"/>
          <w:lang w:val="en-GB"/>
        </w:rPr>
        <w:t xml:space="preserve">or operate through </w:t>
      </w:r>
      <w:r w:rsidR="2E3AD35F" w:rsidRPr="5575EBFC">
        <w:rPr>
          <w:b w:val="0"/>
          <w:bCs w:val="0"/>
          <w:lang w:val="en-GB"/>
        </w:rPr>
        <w:t xml:space="preserve">a variety of other direct and indirect </w:t>
      </w:r>
      <w:r w:rsidR="653902EA" w:rsidRPr="5575EBFC">
        <w:rPr>
          <w:b w:val="0"/>
          <w:bCs w:val="0"/>
          <w:lang w:val="en-GB"/>
        </w:rPr>
        <w:t>drivers of change in nature</w:t>
      </w:r>
      <w:r w:rsidR="2E3AD35F" w:rsidRPr="5575EBFC">
        <w:rPr>
          <w:b w:val="0"/>
          <w:bCs w:val="0"/>
          <w:lang w:val="en-GB"/>
        </w:rPr>
        <w:t xml:space="preserve">, including </w:t>
      </w:r>
      <w:r w:rsidR="2FE38CF7" w:rsidRPr="5575EBFC">
        <w:rPr>
          <w:b w:val="0"/>
          <w:bCs w:val="0"/>
          <w:lang w:val="en-GB"/>
        </w:rPr>
        <w:t>economic</w:t>
      </w:r>
      <w:r w:rsidR="6D9AA289" w:rsidRPr="5575EBFC">
        <w:rPr>
          <w:b w:val="0"/>
          <w:bCs w:val="0"/>
          <w:lang w:val="en-GB"/>
        </w:rPr>
        <w:t xml:space="preserve"> </w:t>
      </w:r>
      <w:r w:rsidR="014A569E" w:rsidRPr="5575EBFC">
        <w:rPr>
          <w:b w:val="0"/>
          <w:bCs w:val="0"/>
          <w:lang w:val="en-GB"/>
        </w:rPr>
        <w:t>drivers</w:t>
      </w:r>
      <w:r w:rsidR="3221141B" w:rsidRPr="5575EBFC">
        <w:rPr>
          <w:b w:val="0"/>
          <w:bCs w:val="0"/>
          <w:lang w:val="en-GB"/>
        </w:rPr>
        <w:t xml:space="preserve">, </w:t>
      </w:r>
      <w:r w:rsidR="2E3AD35F" w:rsidRPr="5575EBFC">
        <w:rPr>
          <w:b w:val="0"/>
          <w:bCs w:val="0"/>
          <w:lang w:val="en-GB"/>
        </w:rPr>
        <w:t>harvesting</w:t>
      </w:r>
      <w:r w:rsidR="6D9AA289" w:rsidRPr="5575EBFC">
        <w:rPr>
          <w:b w:val="0"/>
          <w:bCs w:val="0"/>
          <w:lang w:val="en-GB"/>
        </w:rPr>
        <w:t xml:space="preserve"> </w:t>
      </w:r>
      <w:r w:rsidR="2E3AD35F" w:rsidRPr="5575EBFC">
        <w:rPr>
          <w:b w:val="0"/>
          <w:bCs w:val="0"/>
          <w:lang w:val="en-GB"/>
        </w:rPr>
        <w:t xml:space="preserve">of </w:t>
      </w:r>
      <w:r w:rsidR="2EF8928B" w:rsidRPr="5575EBFC">
        <w:rPr>
          <w:b w:val="0"/>
          <w:bCs w:val="0"/>
          <w:lang w:val="en-GB"/>
        </w:rPr>
        <w:t>natural resources</w:t>
      </w:r>
      <w:r w:rsidR="009F7404">
        <w:rPr>
          <w:b w:val="0"/>
          <w:bCs w:val="0"/>
          <w:lang w:val="en-GB"/>
        </w:rPr>
        <w:t xml:space="preserve"> and</w:t>
      </w:r>
      <w:r w:rsidR="378B28D7" w:rsidRPr="5575EBFC">
        <w:rPr>
          <w:b w:val="0"/>
          <w:bCs w:val="0"/>
          <w:lang w:val="en-GB"/>
        </w:rPr>
        <w:t xml:space="preserve"> land- and sea-use change, </w:t>
      </w:r>
      <w:r w:rsidR="5BB8BCA4" w:rsidRPr="5575EBFC">
        <w:rPr>
          <w:b w:val="0"/>
          <w:bCs w:val="0"/>
          <w:lang w:val="en-GB"/>
        </w:rPr>
        <w:t>to facilitate</w:t>
      </w:r>
      <w:r w:rsidR="1C543DBC" w:rsidRPr="5575EBFC">
        <w:rPr>
          <w:b w:val="0"/>
          <w:bCs w:val="0"/>
          <w:lang w:val="en-GB"/>
        </w:rPr>
        <w:t xml:space="preserve"> </w:t>
      </w:r>
      <w:r w:rsidR="493071B8" w:rsidRPr="5575EBFC">
        <w:rPr>
          <w:b w:val="0"/>
          <w:bCs w:val="0"/>
          <w:lang w:val="en-GB"/>
        </w:rPr>
        <w:t>invasive alien species</w:t>
      </w:r>
      <w:r w:rsidR="7B854056" w:rsidRPr="5575EBFC">
        <w:rPr>
          <w:b w:val="0"/>
          <w:bCs w:val="0"/>
          <w:lang w:val="en-GB"/>
        </w:rPr>
        <w:t xml:space="preserve"> </w:t>
      </w:r>
      <w:r w:rsidR="662373C2" w:rsidRPr="5575EBFC">
        <w:rPr>
          <w:b w:val="0"/>
          <w:bCs w:val="0"/>
          <w:lang w:val="en-GB"/>
        </w:rPr>
        <w:t xml:space="preserve">across </w:t>
      </w:r>
      <w:r w:rsidR="7708DD0B" w:rsidRPr="5575EBFC">
        <w:rPr>
          <w:b w:val="0"/>
          <w:bCs w:val="0"/>
          <w:lang w:val="en-GB"/>
        </w:rPr>
        <w:t xml:space="preserve">the </w:t>
      </w:r>
      <w:r w:rsidR="1BCF89C9" w:rsidRPr="5575EBFC">
        <w:rPr>
          <w:b w:val="0"/>
          <w:bCs w:val="0"/>
          <w:lang w:val="en-GB"/>
        </w:rPr>
        <w:t xml:space="preserve">stages of the biological </w:t>
      </w:r>
      <w:r w:rsidR="662373C2" w:rsidRPr="5575EBFC">
        <w:rPr>
          <w:b w:val="0"/>
          <w:bCs w:val="0"/>
          <w:lang w:val="en-GB"/>
        </w:rPr>
        <w:t>invasion</w:t>
      </w:r>
      <w:r w:rsidR="1BCF89C9" w:rsidRPr="5575EBFC">
        <w:rPr>
          <w:b w:val="0"/>
          <w:bCs w:val="0"/>
          <w:lang w:val="en-GB"/>
        </w:rPr>
        <w:t xml:space="preserve"> process</w:t>
      </w:r>
      <w:r w:rsidR="662373C2" w:rsidRPr="5575EBFC">
        <w:rPr>
          <w:b w:val="0"/>
          <w:bCs w:val="0"/>
          <w:lang w:val="en-GB"/>
        </w:rPr>
        <w:t>.</w:t>
      </w:r>
      <w:bookmarkEnd w:id="44"/>
    </w:p>
    <w:p w14:paraId="6719F1E0" w14:textId="1073D00F" w:rsidR="1677BC26" w:rsidRPr="00DA249F" w:rsidRDefault="00613448" w:rsidP="0090109B">
      <w:pPr>
        <w:rPr>
          <w:color w:val="FF0000"/>
          <w:lang w:val="en-GB"/>
        </w:rPr>
      </w:pPr>
      <w:r w:rsidRPr="5575EBFC">
        <w:rPr>
          <w:lang w:val="en-GB"/>
        </w:rPr>
        <w:lastRenderedPageBreak/>
        <w:t xml:space="preserve">Some alien species are </w:t>
      </w:r>
      <w:r w:rsidR="10CDA5BD" w:rsidRPr="5575EBFC">
        <w:rPr>
          <w:lang w:val="en-GB"/>
        </w:rPr>
        <w:t>associated with</w:t>
      </w:r>
      <w:r w:rsidRPr="5575EBFC">
        <w:rPr>
          <w:lang w:val="en-GB"/>
        </w:rPr>
        <w:t xml:space="preserve"> cultural, aesthetic or practical val</w:t>
      </w:r>
      <w:r w:rsidR="2079B9F6" w:rsidRPr="5575EBFC">
        <w:rPr>
          <w:lang w:val="en-GB"/>
        </w:rPr>
        <w:t xml:space="preserve">ue </w:t>
      </w:r>
      <w:r w:rsidR="50CE0EAC" w:rsidRPr="5575EBFC">
        <w:rPr>
          <w:lang w:val="en-GB"/>
        </w:rPr>
        <w:t>(</w:t>
      </w:r>
      <w:r w:rsidR="51A5F9FF" w:rsidRPr="5575EBFC">
        <w:rPr>
          <w:b/>
          <w:bCs/>
          <w:lang w:val="en-GB"/>
        </w:rPr>
        <w:t>C</w:t>
      </w:r>
      <w:r w:rsidRPr="5575EBFC">
        <w:rPr>
          <w:b/>
          <w:bCs/>
          <w:lang w:val="en-GB"/>
        </w:rPr>
        <w:t>hapter 1</w:t>
      </w:r>
      <w:r w:rsidR="01281DD3" w:rsidRPr="5575EBFC">
        <w:rPr>
          <w:lang w:val="en-GB"/>
        </w:rPr>
        <w:t>,</w:t>
      </w:r>
      <w:r w:rsidR="01281DD3" w:rsidRPr="5575EBFC">
        <w:rPr>
          <w:b/>
          <w:bCs/>
          <w:lang w:val="en-GB"/>
        </w:rPr>
        <w:t xml:space="preserve"> </w:t>
      </w:r>
      <w:r w:rsidR="04A984E4" w:rsidRPr="5575EBFC">
        <w:rPr>
          <w:b/>
          <w:bCs/>
          <w:lang w:val="en-GB"/>
        </w:rPr>
        <w:t xml:space="preserve">section </w:t>
      </w:r>
      <w:r w:rsidR="5CB42A49" w:rsidRPr="5575EBFC">
        <w:rPr>
          <w:b/>
          <w:bCs/>
          <w:lang w:val="en-GB"/>
        </w:rPr>
        <w:t xml:space="preserve">1.5.2 </w:t>
      </w:r>
      <w:r w:rsidR="5CB42A49" w:rsidRPr="5575EBFC">
        <w:rPr>
          <w:lang w:val="en-GB"/>
        </w:rPr>
        <w:t>and</w:t>
      </w:r>
      <w:r w:rsidR="5CB42A49" w:rsidRPr="5575EBFC">
        <w:rPr>
          <w:b/>
          <w:bCs/>
          <w:lang w:val="en-GB"/>
        </w:rPr>
        <w:t xml:space="preserve"> </w:t>
      </w:r>
      <w:r w:rsidR="51A5F9FF" w:rsidRPr="5575EBFC">
        <w:rPr>
          <w:b/>
          <w:bCs/>
          <w:lang w:val="en-GB"/>
        </w:rPr>
        <w:t>C</w:t>
      </w:r>
      <w:r w:rsidR="01281DD3" w:rsidRPr="5575EBFC">
        <w:rPr>
          <w:b/>
          <w:bCs/>
          <w:lang w:val="en-GB"/>
        </w:rPr>
        <w:t>hapter</w:t>
      </w:r>
      <w:r w:rsidR="6F87F345" w:rsidRPr="5575EBFC">
        <w:rPr>
          <w:b/>
          <w:bCs/>
          <w:lang w:val="en-GB"/>
        </w:rPr>
        <w:t xml:space="preserve"> </w:t>
      </w:r>
      <w:r w:rsidR="01281DD3" w:rsidRPr="5575EBFC">
        <w:rPr>
          <w:b/>
          <w:bCs/>
          <w:lang w:val="en-GB"/>
        </w:rPr>
        <w:t>4</w:t>
      </w:r>
      <w:r w:rsidR="5CB42A49" w:rsidRPr="5575EBFC">
        <w:rPr>
          <w:lang w:val="en-GB"/>
        </w:rPr>
        <w:t xml:space="preserve">, </w:t>
      </w:r>
      <w:r w:rsidR="5CB42A49" w:rsidRPr="5575EBFC">
        <w:rPr>
          <w:b/>
          <w:bCs/>
          <w:lang w:val="en-GB"/>
        </w:rPr>
        <w:t xml:space="preserve">sections 4.5 </w:t>
      </w:r>
      <w:r w:rsidR="5CB42A49" w:rsidRPr="5575EBFC">
        <w:rPr>
          <w:lang w:val="en-GB"/>
        </w:rPr>
        <w:t>and</w:t>
      </w:r>
      <w:r w:rsidR="5CB42A49" w:rsidRPr="5575EBFC">
        <w:rPr>
          <w:b/>
          <w:bCs/>
          <w:lang w:val="en-GB"/>
        </w:rPr>
        <w:t xml:space="preserve"> 4.6.3</w:t>
      </w:r>
      <w:r w:rsidRPr="5575EBFC">
        <w:rPr>
          <w:lang w:val="en-GB"/>
        </w:rPr>
        <w:t>)</w:t>
      </w:r>
      <w:r w:rsidR="502C7FA2" w:rsidRPr="5575EBFC">
        <w:rPr>
          <w:lang w:val="en-GB"/>
        </w:rPr>
        <w:t>,</w:t>
      </w:r>
      <w:r w:rsidRPr="5575EBFC">
        <w:rPr>
          <w:lang w:val="en-GB"/>
        </w:rPr>
        <w:t xml:space="preserve"> and such values can indirectly act </w:t>
      </w:r>
      <w:r w:rsidR="43BA289A" w:rsidRPr="5575EBFC">
        <w:rPr>
          <w:lang w:val="en-GB"/>
        </w:rPr>
        <w:t>to</w:t>
      </w:r>
      <w:r w:rsidRPr="5575EBFC">
        <w:rPr>
          <w:lang w:val="en-GB"/>
        </w:rPr>
        <w:t xml:space="preserve"> facilitat</w:t>
      </w:r>
      <w:r w:rsidR="5D6839CB" w:rsidRPr="5575EBFC">
        <w:rPr>
          <w:lang w:val="en-GB"/>
        </w:rPr>
        <w:t>e</w:t>
      </w:r>
      <w:r w:rsidRPr="5575EBFC">
        <w:rPr>
          <w:lang w:val="en-GB"/>
        </w:rPr>
        <w:t xml:space="preserve"> the introduction of these alien species. Indeed, plants that are economically valuable were shown to be 18 times more likely to become naturalized than those that are not </w:t>
      </w:r>
      <w:r w:rsidR="085DCEB7" w:rsidRPr="5575EBFC">
        <w:rPr>
          <w:lang w:val="en-GB"/>
        </w:rPr>
        <w:fldChar w:fldCharType="begin"/>
      </w:r>
      <w:r w:rsidR="00331A79">
        <w:rPr>
          <w:lang w:val="en-GB"/>
        </w:rPr>
        <w:instrText xml:space="preserve"> ADDIN ZOTERO_ITEM CSL_CITATION {"citationID":"vHSH3Ptc","properties":{"formattedCitation":"(van Kleunen et al., 2020)","plainCitation":"(van Kleunen et al., 2020)","noteIndex":0},"citationItems":[{"id":11109,"uris":["http://zotero.org/groups/2352922/items/NHKSHCXY"],"itemData":{"id":11109,"type":"article-journal","container-title":"Nature Communications","DOI":"10.1038/s41467-020-16982-3","ISSN":"2041-1723","issue":"1","journalAbbreviation":"Nat Commun","language":"en","page":"3201","source":"DOI.org (Crossref)","title":"Economic use of plants is key to their naturalization success","URL":"http://www.nature.com/articles/s41467-020-16982-3","volume":"11","author":[{"family":"Kleunen","given":"Mark","non-dropping-particle":"van"},{"family":"Xu","given":"Xinyi"},{"family":"Yang","given":"Qiang"},{"family":"Maurel","given":"Noëlie"},{"family":"Zhang","given":"Zhijie"},{"family":"Dawson","given":"Wayne"},{"family":"Essl","given":"Franz"},{"family":"Kreft","given":"Holger"},{"family":"Pergl","given":"Jan"},{"family":"Pyšek","given":"Petr"},{"family":"Weigelt","given":"Patrick"},{"family":"Moser","given":"Dietmar"},{"family":"Lenzner","given":"Bernd"},{"family":"Fristoe","given":"Trevor S."}],"accessed":{"date-parts":[["2021",4,13]]},"issued":{"date-parts":[["2020",12]]}}}],"schema":"https://github.com/citation-style-language/schema/raw/master/csl-citation.json"} </w:instrText>
      </w:r>
      <w:r w:rsidR="085DCEB7" w:rsidRPr="5575EBFC">
        <w:rPr>
          <w:lang w:val="en-GB"/>
        </w:rPr>
        <w:fldChar w:fldCharType="separate"/>
      </w:r>
      <w:r w:rsidR="6B5F9B9E">
        <w:t>(van Kleunen et al., 2020)</w:t>
      </w:r>
      <w:r w:rsidR="085DCEB7" w:rsidRPr="5575EBFC">
        <w:rPr>
          <w:lang w:val="en-GB"/>
        </w:rPr>
        <w:fldChar w:fldCharType="end"/>
      </w:r>
      <w:r w:rsidRPr="5575EBFC">
        <w:rPr>
          <w:lang w:val="en-GB"/>
        </w:rPr>
        <w:t xml:space="preserve">. </w:t>
      </w:r>
      <w:r w:rsidR="05AB859E" w:rsidRPr="5575EBFC">
        <w:rPr>
          <w:lang w:val="en-GB"/>
        </w:rPr>
        <w:t xml:space="preserve">In Aboriginal societies in Australia, not only plants important as food and materials but also species of ritual and cultural importance have been </w:t>
      </w:r>
      <w:r w:rsidR="3E24D2AB" w:rsidRPr="5575EBFC">
        <w:rPr>
          <w:lang w:val="en-GB"/>
        </w:rPr>
        <w:t>intentionally</w:t>
      </w:r>
      <w:r w:rsidR="05AB859E" w:rsidRPr="5575EBFC">
        <w:rPr>
          <w:lang w:val="en-GB"/>
        </w:rPr>
        <w:t xml:space="preserve"> translocated and </w:t>
      </w:r>
      <w:r w:rsidR="4320BACF" w:rsidRPr="5575EBFC">
        <w:rPr>
          <w:lang w:val="en-GB"/>
        </w:rPr>
        <w:t xml:space="preserve">grown </w:t>
      </w:r>
      <w:r w:rsidR="7DB957EC" w:rsidRPr="5575EBFC">
        <w:rPr>
          <w:lang w:val="en-GB"/>
        </w:rPr>
        <w:t xml:space="preserve">for </w:t>
      </w:r>
      <w:r w:rsidR="01189899" w:rsidRPr="5575EBFC">
        <w:rPr>
          <w:lang w:val="en-GB"/>
        </w:rPr>
        <w:t xml:space="preserve">their </w:t>
      </w:r>
      <w:r w:rsidR="47C9394E" w:rsidRPr="5575EBFC">
        <w:rPr>
          <w:lang w:val="en-GB"/>
        </w:rPr>
        <w:t>soci</w:t>
      </w:r>
      <w:r w:rsidR="01189899" w:rsidRPr="5575EBFC">
        <w:rPr>
          <w:lang w:val="en-GB"/>
        </w:rPr>
        <w:t>et</w:t>
      </w:r>
      <w:r w:rsidR="47C9394E" w:rsidRPr="5575EBFC">
        <w:rPr>
          <w:lang w:val="en-GB"/>
        </w:rPr>
        <w:t xml:space="preserve">al and </w:t>
      </w:r>
      <w:r w:rsidR="7DB957EC" w:rsidRPr="5575EBFC">
        <w:rPr>
          <w:lang w:val="en-GB"/>
        </w:rPr>
        <w:t xml:space="preserve">cultural </w:t>
      </w:r>
      <w:r w:rsidR="01189899" w:rsidRPr="5575EBFC">
        <w:rPr>
          <w:lang w:val="en-GB"/>
        </w:rPr>
        <w:t>benefits</w:t>
      </w:r>
      <w:r w:rsidR="7DB957EC" w:rsidRPr="5575EBFC">
        <w:rPr>
          <w:lang w:val="en-GB"/>
        </w:rPr>
        <w:t xml:space="preserve"> </w:t>
      </w:r>
      <w:r w:rsidR="085DCEB7" w:rsidRPr="5575EBFC">
        <w:rPr>
          <w:lang w:val="en-GB"/>
        </w:rPr>
        <w:fldChar w:fldCharType="begin"/>
      </w:r>
      <w:r w:rsidR="00331A79">
        <w:rPr>
          <w:lang w:val="en-GB"/>
        </w:rPr>
        <w:instrText xml:space="preserve"> ADDIN ZOTERO_ITEM CSL_CITATION {"citationID":"5LcmOD9f","properties":{"formattedCitation":"(Silcock, 2018)","plainCitation":"(Silcock, 2018)","noteIndex":0},"citationItems":[{"id":31161,"uris":["http://zotero.org/groups/2352922/items/BQYTK7JX"],"itemData":{"id":31161,"type":"article-journal","abstract":"The prevalence and imperative of translocations for the conservation of plant species is increasing in response to habitat loss and degradation, plant diseases, and projected climate change. However, the intentional movement and nurture of plant species to increase their range and/or abundance has been practiced for millennia, encompassing species with food, medicinal, narcotic, and ceremonial values. While it is well documented that Australian Aboriginal people altered the composition and structure of vegetation communities through regular burning and engaged in complex food processing and storage, the extent to which they intentionally dispersed and propagated plants remains unclear. Here, I review the ethnographic, archaeological, biogeographic, and phylogenetic record relating to plant translocations in Aboriginal Australia. With the exception of re-planting of tubers after harvesting, the ethnographic record is characterized by sparse but detailed accounts of movement, planting, and/or nurture of important species, often involving ceremonial elements. Translocations encompassed assisted migrations, introductions and reinforcements, and spanned much of the continent and numerous life-forms and plant uses. The ethnographic record is fragmentary and often difficult to verify, and we will never know the full extent and nature of plant translocations in Aboriginal Australia. However, combined with biogeographic and, increasingly, phylogenetic insights, there is sufficient evidence to place modern translocations in a much older context of human-plant interactions. This allows for broader and more nuanced discussion around the practice and ethics of translocations, particularly in the context of assisted migrations in response to climate change, as well as re-evaluation of “natural” plant distributions in Australia.","container-title":"Journal of Ethnobiology","DOI":"10.2993/0278-0771-38.3.390","ISSN":"0278-0771","issue":"3","journalAbbreviation":"Journal of Ethnobiology","language":"en","page":"390","source":"DOI.org (Crossref)","title":"Aboriginal Translocations: The Intentional Propagation and Dispersal of Plants in Aboriginal Australia","title-short":"Aboriginal Translocations","URL":"https://bioone.org/journals/journal-of-ethnobiology/volume-38/issue-3/0278-0771-38.3.390/Aboriginal-Translocations--The-Intentional-Propagation-and-Dispersal-of-Plants/10.2993/0278-0771-38.3.390.full","volume":"38","author":[{"family":"Silcock","given":"J. L."}],"accessed":{"date-parts":[["2021",2,24]]},"issued":{"date-parts":[["2018",9,1]]}}}],"schema":"https://github.com/citation-style-language/schema/raw/master/csl-citation.json"} </w:instrText>
      </w:r>
      <w:r w:rsidR="085DCEB7" w:rsidRPr="5575EBFC">
        <w:rPr>
          <w:lang w:val="en-GB"/>
        </w:rPr>
        <w:fldChar w:fldCharType="separate"/>
      </w:r>
      <w:r w:rsidR="6B5F9B9E">
        <w:t>(Silcock, 2018)</w:t>
      </w:r>
      <w:r w:rsidR="085DCEB7" w:rsidRPr="5575EBFC">
        <w:rPr>
          <w:lang w:val="en-GB"/>
        </w:rPr>
        <w:fldChar w:fldCharType="end"/>
      </w:r>
      <w:r w:rsidR="24C9F3D0" w:rsidRPr="5575EBFC">
        <w:rPr>
          <w:lang w:val="en-GB"/>
        </w:rPr>
        <w:t xml:space="preserve">. </w:t>
      </w:r>
      <w:r w:rsidR="32849F18" w:rsidRPr="5575EBFC">
        <w:rPr>
          <w:lang w:val="en-GB"/>
        </w:rPr>
        <w:t xml:space="preserve">The replacement of native crayfish in Spain with two alien species </w:t>
      </w:r>
      <w:r w:rsidR="3E24D2AB" w:rsidRPr="5575EBFC">
        <w:rPr>
          <w:lang w:val="en-GB"/>
        </w:rPr>
        <w:t>intentionally</w:t>
      </w:r>
      <w:r w:rsidR="32849F18" w:rsidRPr="5575EBFC">
        <w:rPr>
          <w:lang w:val="en-GB"/>
        </w:rPr>
        <w:t xml:space="preserve"> introduced from North America to satisfy local tastes is a good example of the economic and social value of promoting the substitution of native species </w:t>
      </w:r>
      <w:r w:rsidR="33B1A5CA" w:rsidRPr="5575EBFC">
        <w:rPr>
          <w:lang w:val="en-GB"/>
        </w:rPr>
        <w:t>(</w:t>
      </w:r>
      <w:r w:rsidR="00E23B69">
        <w:rPr>
          <w:b/>
          <w:bCs/>
          <w:lang w:val="en-GB"/>
        </w:rPr>
        <w:t>Glossary</w:t>
      </w:r>
      <w:r w:rsidR="33B1A5CA" w:rsidRPr="5575EBFC">
        <w:rPr>
          <w:lang w:val="en-GB"/>
        </w:rPr>
        <w:t xml:space="preserve">) </w:t>
      </w:r>
      <w:r w:rsidR="32849F18" w:rsidRPr="5575EBFC">
        <w:rPr>
          <w:lang w:val="en-GB"/>
        </w:rPr>
        <w:t xml:space="preserve">with invasive alien species </w:t>
      </w:r>
      <w:r w:rsidR="085DCEB7" w:rsidRPr="5575EBFC">
        <w:rPr>
          <w:lang w:val="en-GB"/>
        </w:rPr>
        <w:fldChar w:fldCharType="begin"/>
      </w:r>
      <w:r w:rsidR="00331A79">
        <w:rPr>
          <w:lang w:val="en-GB"/>
        </w:rPr>
        <w:instrText xml:space="preserve"> ADDIN ZOTERO_ITEM CSL_CITATION {"citationID":"n1BPsdbz","properties":{"formattedCitation":"(Clavero, 2016)","plainCitation":"(Clavero, 2016)","noteIndex":0},"citationItems":[{"id":30433,"uris":["http://zotero.org/groups/2352922/items/5MNHQDE2"],"itemData":{"id":30433,"type":"article-journal","abstract":"Human preferences may generate purely anthropogenic positive feedback loops reinforcing either declines of overexploited populations or expansions of prized introduced species, potentially leading to species substitutions. I illustrate this process based on a content analysis of 20th century Spanish newspapers that document a rapid, country-wide substitution of an originally exploited crayﬁsh (Austropotamobius italicus) by two North American species (Procambarus clarkii and Pacifastacus leniusculus). The substitution was driven by anthropogenic positive feedbacks acting over a short period, coinciding with an exponential increase of crayﬁsh market value, high numbers of crayﬁsh-related articles and a rapid change in the thematic content of those articles. Similar substitutions involving economic or socially valued organisms occur in other regions and concerning other taxa. Human preferences and choices may constitute relevant drivers of several species declines and invasions, which can be very quick due to positive feedback loops. Conservation biology in general and invasion biology in particular have been traditionally focused on biological aspects, but, as shown here, would largely beneﬁt from social perspectives dealing with human motivations and preferences.","container-title":"Biological Conservation","DOI":"10.1016/j.biocon.2015.11.017","ISSN":"00063207","journalAbbreviation":"Biological Conservation","language":"en","page":"80-85","source":"DOI.org (Crossref)","title":"Species substitutions driven by anthropogenic positive feedbacks: Spanish crayfish species as a case study","title-short":"Species substitutions driven by anthropogenic positive feedbacks","URL":"https://linkinghub.elsevier.com/retrieve/pii/S0006320715301658","volume":"193","author":[{"family":"Clavero","given":"Miguel"}],"accessed":{"date-parts":[["2019",12,1]]},"issued":{"date-parts":[["2016",1]]}}}],"schema":"https://github.com/citation-style-language/schema/raw/master/csl-citation.json"} </w:instrText>
      </w:r>
      <w:r w:rsidR="085DCEB7" w:rsidRPr="5575EBFC">
        <w:rPr>
          <w:lang w:val="en-GB"/>
        </w:rPr>
        <w:fldChar w:fldCharType="separate"/>
      </w:r>
      <w:r w:rsidR="6B5F9B9E">
        <w:t>(Clavero, 2016)</w:t>
      </w:r>
      <w:r w:rsidR="085DCEB7" w:rsidRPr="5575EBFC">
        <w:rPr>
          <w:lang w:val="en-GB"/>
        </w:rPr>
        <w:fldChar w:fldCharType="end"/>
      </w:r>
      <w:r w:rsidR="32849F18" w:rsidRPr="5575EBFC">
        <w:rPr>
          <w:lang w:val="en-GB"/>
        </w:rPr>
        <w:t xml:space="preserve">. </w:t>
      </w:r>
      <w:r w:rsidR="24C9F3D0" w:rsidRPr="5575EBFC">
        <w:rPr>
          <w:lang w:val="en-GB"/>
        </w:rPr>
        <w:t xml:space="preserve">In </w:t>
      </w:r>
      <w:r w:rsidRPr="5575EBFC">
        <w:rPr>
          <w:lang w:val="en-GB"/>
        </w:rPr>
        <w:t>contrast, awareness of the adverse impacts of invasive alien species on nature, nature</w:t>
      </w:r>
      <w:r w:rsidR="40DDD1B5" w:rsidRPr="5575EBFC">
        <w:rPr>
          <w:lang w:val="en-GB"/>
        </w:rPr>
        <w:t>’</w:t>
      </w:r>
      <w:r w:rsidRPr="5575EBFC">
        <w:rPr>
          <w:lang w:val="en-GB"/>
        </w:rPr>
        <w:t>s contributions to people</w:t>
      </w:r>
      <w:r w:rsidR="009F7404">
        <w:rPr>
          <w:lang w:val="en-GB"/>
        </w:rPr>
        <w:t xml:space="preserve"> and</w:t>
      </w:r>
      <w:r w:rsidRPr="5575EBFC">
        <w:rPr>
          <w:lang w:val="en-GB"/>
        </w:rPr>
        <w:t xml:space="preserve"> good quality of life can lead to an increase in action by people and consequently be a driving force behind preventing the introduction of invasive alien species</w:t>
      </w:r>
      <w:r w:rsidR="124529CF" w:rsidRPr="5575EBFC">
        <w:rPr>
          <w:lang w:val="en-GB"/>
        </w:rPr>
        <w:t xml:space="preserve"> </w:t>
      </w:r>
      <w:r w:rsidR="085DCEB7" w:rsidRPr="5575EBFC">
        <w:rPr>
          <w:lang w:val="en-GB"/>
        </w:rPr>
        <w:fldChar w:fldCharType="begin"/>
      </w:r>
      <w:r w:rsidR="00230216">
        <w:rPr>
          <w:lang w:val="en-GB"/>
        </w:rPr>
        <w:instrText xml:space="preserve"> ADDIN ZOTERO_ITEM CSL_CITATION {"citationID":"pn2TrBAc","properties":{"formattedCitation":"(McNeely, 2001; R. T. Shackleton, Shackleton, et al., 2019)","plainCitation":"(McNeely, 2001; R. T. Shackleton, Shackleton, et al., 2019)","dontUpdate":true,"noteIndex":0},"citationItems":[{"id":16532,"uris":["http://zotero.org/groups/2352922/items/FWH8CLJG"],"itemData":{"id":16532,"type":"chapter","abstract":"While the issue of invasive alien species has important biological components, the human dimensions deserve much greater attention. First, virtually all of our planet’s ecosystems have a strong and increasing anthropogenic component that is being fed by increasing globalization of the economy. Second, people are designing the kinds of ecosystems they find productive or congenial, incorporating species from all parts of the world. Third, growing travel and trade, coupled with weakening customs and quarantine controls, mean that people are both intentionally and inadvertently introducing alien species that may become invasive. And fourth, the issue has important philosophical dimensions, requiring people to examine fundamental ideas, such as “native” and “natural”. The great increase in the introduction of alien species that people are importing for economic, aesthetic, accidental, or even psychological reasons is leading to more species invading native ecosystems, with disastrous results: they become invasive alien species (IAS) that have significant deleterious effects on both ecosystems and economies. This introductory chapter examines some of the important human dimensions of the IAS problem, including historical, economic, cultural, linguistic, health, psychological, sociological, management, legal, military, philosophical, ethical, and political dimensions. These are addressed in terms of the causes, the consequences, and the responses to the problem of IAS. Many of these are discussed in considerable detail in other papers in this volume, but it is apparent from this introduction that the human dimensions of IAS are fundamental, and that successfully addressing the problem will call for greater collaboration between different economic sectors and among a wide range of disciplines. The Convention on\nBiological Diversity and many other international agreements offer important opportunities for addressing the complex global problems of IAS through improved international\ncooperation.","container-title":"The Great Reshuffling;  Human Dimensions of Invasive Alien Species","ISBN":"2-8317-0602-5","page":"1-9","publisher":"IUCN – The World Conservation Union","title":"An introduction to human dimensions of invasive alien species","author":[{"family":"McNeely","given":"Jeffrey A."}],"issued":{"date-parts":[["2001"]]}}},{"id":"zUkrYEfa/lBU8ERMi","uris":["http://zotero.org/groups/2352922/items/AAI22MND"],"itemData":{"id":"uRltnpaJ/SznaAajU","type":"article-journal","abstract":"Invasive alien species are a well-recognised driver of social-ecological change globally. Much research has focused on ecological impacts, but the role of invasive species for livelihoods and human well-being is less well known. Understanding the effects (benefits and costs) of invasive species on livelihoods and human well-being is important for guiding policy formulation and management. Here we review the literature on the role of invasive species in livelihoods to assess what is known, identify knowledge gaps and provide recommendations for future research. Literature was collected using key word searches and included both journal publications and grey literature. Slightly less than half (48%) of species studied had both substantial positive and negative impacts on local livelihoods (e.g. Australian Acacia spp. species; Camelus dromedaries; Lantana camara; Prosopis spp.), with 37% inducing mainly costs (Chromolaena odorata; Lissachatina fulica; Opuntia stricta) and 16% producing mainly benefits (Opuntia ficus-indica; Acacia spp.). Some species, such as Acacia dealbata, fell into different categories depending on the social-ecological context. Key benefits or services included the provision of fuelwood, fodder, timber and food products for local households communities and to a lesser extent supporting and regulating services such as soil improvement and shade. A number of species also provided cultural services such as recreation and spiritual values and provided many with an opportunity to earn a cash income. However, invasive species also harm livelihoods and increase vulnerability through encroaching on land and reducing mobility or access. They can also decrease the supply of natural resources used by households and reduce agricultural production (livestock and/or crops) which can result in losses of income and increased vulnerability. Furthermore, some invasive species were seen to have negative implications for human health and safety and reduce the cultural value of landscapes. Economic impacts on livelihoods as a result of invasive species were highly variable and very dependent on the social-ecological contexts. These negative implications can reduce resilience and adaptive capacity of households and communities thus increasing their vulnerability to change. Drawing on case studies we highlight that efforts for managing invasive species need to safeguard livelihood benefits while mitigating negative impacts. In concluding we highlight future research and policy needs on the topic of invasive species, livelihoods and human well-being. © 2018 Elsevier Ltd","collection-title":"The human and social dimensions of invasion science and management","container-title":"Journal of Environmental Management","DOI":"10.1016/j.jenvman.2018.05.007","ISSN":"0301-4797","journalAbbreviation":"Journal of Environmental Management","language":"en","page":"145-157","title":"The role of invasive alien species in shaping local livelihoods and human well-being: a review","title-short":"The role of invasive alien species in shaping local livelihoods and human well-being","volume":"229","author":[{"family":"Shackleton","given":"R.T."},{"family":"Shackleton","given":"C.M."},{"family":"Kull","given":"C.A."}],"issued":{"date-parts":[["2019"]]}}}],"schema":"https://github.com/citation-style-language/schema/raw/master/csl-citation.json"} </w:instrText>
      </w:r>
      <w:r w:rsidR="085DCEB7" w:rsidRPr="5575EBFC">
        <w:rPr>
          <w:lang w:val="en-GB"/>
        </w:rPr>
        <w:fldChar w:fldCharType="separate"/>
      </w:r>
      <w:r w:rsidR="124529CF" w:rsidRPr="5575EBFC">
        <w:rPr>
          <w:lang w:val="en-GB"/>
        </w:rPr>
        <w:t>(McNeely, 2001; Shackleton</w:t>
      </w:r>
      <w:r w:rsidR="746FA167" w:rsidRPr="5575EBFC">
        <w:rPr>
          <w:lang w:val="en-GB"/>
        </w:rPr>
        <w:t xml:space="preserve"> </w:t>
      </w:r>
      <w:r w:rsidR="124529CF" w:rsidRPr="5575EBFC">
        <w:rPr>
          <w:lang w:val="en-GB"/>
        </w:rPr>
        <w:t>et al., 2019)</w:t>
      </w:r>
      <w:r w:rsidR="085DCEB7" w:rsidRPr="5575EBFC">
        <w:rPr>
          <w:lang w:val="en-GB"/>
        </w:rPr>
        <w:fldChar w:fldCharType="end"/>
      </w:r>
      <w:r w:rsidRPr="5575EBFC">
        <w:rPr>
          <w:lang w:val="en-GB"/>
        </w:rPr>
        <w:t>.</w:t>
      </w:r>
    </w:p>
    <w:p w14:paraId="696102A0" w14:textId="7B7D73BA" w:rsidR="00853440" w:rsidRPr="00DA249F" w:rsidRDefault="3FDD3F9D" w:rsidP="0090109B">
      <w:pPr>
        <w:rPr>
          <w:lang w:val="en-GB"/>
        </w:rPr>
      </w:pPr>
      <w:r w:rsidRPr="728F2DAF">
        <w:rPr>
          <w:lang w:val="en-GB"/>
        </w:rPr>
        <w:t xml:space="preserve">The decision to </w:t>
      </w:r>
      <w:r w:rsidR="5AEA1D8C" w:rsidRPr="728F2DAF">
        <w:rPr>
          <w:lang w:val="en-GB"/>
        </w:rPr>
        <w:t xml:space="preserve">intentionally </w:t>
      </w:r>
      <w:r w:rsidRPr="728F2DAF">
        <w:rPr>
          <w:lang w:val="en-GB"/>
        </w:rPr>
        <w:t xml:space="preserve">introduce </w:t>
      </w:r>
      <w:r w:rsidR="0760361E" w:rsidRPr="728F2DAF">
        <w:rPr>
          <w:lang w:val="en-GB"/>
        </w:rPr>
        <w:t>an</w:t>
      </w:r>
      <w:r w:rsidRPr="728F2DAF">
        <w:rPr>
          <w:lang w:val="en-GB"/>
        </w:rPr>
        <w:t xml:space="preserve"> alien species or not is largely dependent on the balance between the </w:t>
      </w:r>
      <w:r w:rsidR="142B776A" w:rsidRPr="728F2DAF">
        <w:rPr>
          <w:lang w:val="en-GB"/>
        </w:rPr>
        <w:t xml:space="preserve">perceived </w:t>
      </w:r>
      <w:r w:rsidRPr="728F2DAF">
        <w:rPr>
          <w:lang w:val="en-GB"/>
        </w:rPr>
        <w:t xml:space="preserve">benefits </w:t>
      </w:r>
      <w:r w:rsidR="058A6D76" w:rsidRPr="728F2DAF">
        <w:rPr>
          <w:lang w:val="en-GB"/>
        </w:rPr>
        <w:t>of specific</w:t>
      </w:r>
      <w:r w:rsidRPr="728F2DAF">
        <w:rPr>
          <w:lang w:val="en-GB"/>
        </w:rPr>
        <w:t xml:space="preserve"> alien species and the </w:t>
      </w:r>
      <w:r w:rsidR="142B776A" w:rsidRPr="728F2DAF">
        <w:rPr>
          <w:lang w:val="en-GB"/>
        </w:rPr>
        <w:t xml:space="preserve">perceived </w:t>
      </w:r>
      <w:r w:rsidRPr="728F2DAF">
        <w:rPr>
          <w:lang w:val="en-GB"/>
        </w:rPr>
        <w:t xml:space="preserve">costs of </w:t>
      </w:r>
      <w:r w:rsidR="117B2E97" w:rsidRPr="728F2DAF">
        <w:rPr>
          <w:lang w:val="en-GB"/>
        </w:rPr>
        <w:t>adverse impacts</w:t>
      </w:r>
      <w:r w:rsidRPr="728F2DAF">
        <w:rPr>
          <w:lang w:val="en-GB"/>
        </w:rPr>
        <w:t xml:space="preserve">. </w:t>
      </w:r>
      <w:r w:rsidR="0C2910F3" w:rsidRPr="728F2DAF">
        <w:rPr>
          <w:lang w:val="en-GB"/>
        </w:rPr>
        <w:t>Therefore, s</w:t>
      </w:r>
      <w:r w:rsidR="63402004" w:rsidRPr="728F2DAF">
        <w:rPr>
          <w:lang w:val="en-GB"/>
        </w:rPr>
        <w:t xml:space="preserve">ocial values have </w:t>
      </w:r>
      <w:r w:rsidR="19AF33A7" w:rsidRPr="728F2DAF">
        <w:rPr>
          <w:lang w:val="en-GB"/>
        </w:rPr>
        <w:t xml:space="preserve">considerable </w:t>
      </w:r>
      <w:r w:rsidR="63402004" w:rsidRPr="728F2DAF">
        <w:rPr>
          <w:lang w:val="en-GB"/>
        </w:rPr>
        <w:t xml:space="preserve">influence on </w:t>
      </w:r>
      <w:r w:rsidR="7ED9FD89" w:rsidRPr="728F2DAF">
        <w:rPr>
          <w:lang w:val="en-GB"/>
        </w:rPr>
        <w:t xml:space="preserve">the </w:t>
      </w:r>
      <w:r w:rsidR="63402004" w:rsidRPr="728F2DAF">
        <w:rPr>
          <w:lang w:val="en-GB"/>
        </w:rPr>
        <w:t>judgment</w:t>
      </w:r>
      <w:r w:rsidR="2DC0282F" w:rsidRPr="728F2DAF">
        <w:rPr>
          <w:lang w:val="en-GB"/>
        </w:rPr>
        <w:t xml:space="preserve"> of whether or not to introduce an alien species</w:t>
      </w:r>
      <w:r w:rsidR="71B6ACEC" w:rsidRPr="728F2DAF">
        <w:rPr>
          <w:lang w:val="en-GB"/>
        </w:rPr>
        <w:t xml:space="preserve"> </w:t>
      </w:r>
      <w:r w:rsidR="6F0DCB6D" w:rsidRPr="728F2DAF">
        <w:rPr>
          <w:lang w:val="en-GB"/>
        </w:rPr>
        <w:t>(</w:t>
      </w:r>
      <w:r w:rsidR="337762A4" w:rsidRPr="728F2DAF">
        <w:rPr>
          <w:b/>
          <w:bCs/>
          <w:lang w:val="en-GB"/>
        </w:rPr>
        <w:t>C</w:t>
      </w:r>
      <w:r w:rsidR="0D72BE52" w:rsidRPr="728F2DAF">
        <w:rPr>
          <w:b/>
          <w:bCs/>
          <w:lang w:val="en-GB"/>
        </w:rPr>
        <w:t>hapter 4</w:t>
      </w:r>
      <w:r w:rsidR="0D72BE52" w:rsidRPr="728F2DAF">
        <w:rPr>
          <w:lang w:val="en-GB"/>
        </w:rPr>
        <w:t>,</w:t>
      </w:r>
      <w:r w:rsidR="0D72BE52" w:rsidRPr="728F2DAF">
        <w:rPr>
          <w:b/>
          <w:bCs/>
          <w:lang w:val="en-GB"/>
        </w:rPr>
        <w:t xml:space="preserve"> </w:t>
      </w:r>
      <w:r w:rsidR="00E23B69">
        <w:rPr>
          <w:b/>
          <w:bCs/>
          <w:lang w:val="en-GB"/>
        </w:rPr>
        <w:t>Box</w:t>
      </w:r>
      <w:r w:rsidR="69754820" w:rsidRPr="728F2DAF">
        <w:rPr>
          <w:b/>
          <w:bCs/>
          <w:lang w:val="en-GB"/>
        </w:rPr>
        <w:t xml:space="preserve"> </w:t>
      </w:r>
      <w:r w:rsidR="6EE344C2" w:rsidRPr="728F2DAF">
        <w:rPr>
          <w:b/>
          <w:bCs/>
          <w:lang w:val="en-GB"/>
        </w:rPr>
        <w:t>4.2</w:t>
      </w:r>
      <w:r w:rsidR="6EE344C2" w:rsidRPr="728F2DAF">
        <w:rPr>
          <w:lang w:val="en-GB"/>
        </w:rPr>
        <w:t>)</w:t>
      </w:r>
      <w:r w:rsidR="2DC0282F" w:rsidRPr="728F2DAF">
        <w:rPr>
          <w:lang w:val="en-GB"/>
        </w:rPr>
        <w:t>.</w:t>
      </w:r>
      <w:r w:rsidR="07ED15CD" w:rsidRPr="728F2DAF">
        <w:rPr>
          <w:lang w:val="en-GB"/>
        </w:rPr>
        <w:t xml:space="preserve"> </w:t>
      </w:r>
      <w:r w:rsidR="6575AF3A" w:rsidRPr="728F2DAF">
        <w:rPr>
          <w:lang w:val="en-GB"/>
        </w:rPr>
        <w:t xml:space="preserve">Estévez et al. </w:t>
      </w:r>
      <w:r w:rsidR="668E4E11" w:rsidRPr="728F2DAF">
        <w:rPr>
          <w:lang w:val="en-GB"/>
        </w:rPr>
        <w:fldChar w:fldCharType="begin"/>
      </w:r>
      <w:r w:rsidR="00331A79">
        <w:rPr>
          <w:lang w:val="en-GB"/>
        </w:rPr>
        <w:instrText xml:space="preserve"> ADDIN ZOTERO_ITEM CSL_CITATION {"citationID":"7HBU0sqm","properties":{"formattedCitation":"(2015)","plainCitation":"(2015)","noteIndex":0},"citationItems":[{"id":30389,"uris":["http://zotero.org/groups/2352922/items/RICLEV26"],"itemData":{"id":30389,"type":"article-journal","abstract":"Decision makers and researchers recognize the need to effectively confront the social dimensions and conflicts inherent to invasive species research and management. Yet, despite numerous contentious situations that have arisen, no systematic evaluation of the literature has examined the commonalities in the patterns and types of these emergent social issues. Using social and ecological keywords, we reviewed trends in the social dimensions of invasive species research and management and the sources and potential solutions to problems and conflicts that arise around invasive species. We integrated components of cognitive hierarchy theory and risk perceptions theory to provide a conceptual framework to identify, distinguish, and provide understanding of the driving factors underlying disputes associated with invasive species. In the ISI Web of Science database, we found 15,915 peer-reviewed publications on biological invasions, 124 of which included social dimensions of this phenomenon. Of these 124, 28 studies described specific contentious situations. Social approaches to biological invasions have emerged largely in the last decade and have focused on both environmental social sciences and resource management. Despite being distributed in a range of journals, these 124 articles were concentrated mostly in ecology and conservation-oriented outlets. We found that conflicts surrounding invasive species arose based largely on differences in value systems and to a lesser extent stakeholder and decision maker’s risk perceptions. To confront or avoid such situations, we suggest integrating the plurality of environmental values into invasive species research and management via structured decision making techniques, which enhance effective risk communication that promotes trust and confidence between stakeholders and decision makers.","container-title":"Conservation Biology","DOI":"10.1111/cobi.12359","ISSN":"08888892","issue":"1","journalAbbreviation":"Conservation Biology","language":"en","page":"19-30","source":"DOI.org (Crossref)","title":"Clarifying values, risk perceptions, and attitudes to resolve or avoid social conflicts in invasive species management","title-short":"Clarifying values, risk perceptions, and attitudes to resolve or avoid social conflicts in invasive species management","URL":"http://doi.wiley.com/10.1111/cobi.12359","volume":"29","author":[{"family":"Estévez","given":"Rodrigo A."},{"family":"Anderson","given":"Christopher B."},{"family":"Pizarro","given":"J. Cristobal"},{"family":"Burgman","given":"Mark A."}],"accessed":{"date-parts":[["2021",4,13]]},"issued":{"date-parts":[["2015",2]]}},"label":"page","suppress-author":true}],"schema":"https://github.com/citation-style-language/schema/raw/master/csl-citation.json"} </w:instrText>
      </w:r>
      <w:r w:rsidR="668E4E11" w:rsidRPr="728F2DAF">
        <w:rPr>
          <w:lang w:val="en-GB"/>
        </w:rPr>
        <w:fldChar w:fldCharType="separate"/>
      </w:r>
      <w:r w:rsidR="0566DAD0">
        <w:t>(2015)</w:t>
      </w:r>
      <w:r w:rsidR="668E4E11" w:rsidRPr="728F2DAF">
        <w:rPr>
          <w:lang w:val="en-GB"/>
        </w:rPr>
        <w:fldChar w:fldCharType="end"/>
      </w:r>
      <w:r w:rsidR="6575AF3A" w:rsidRPr="728F2DAF">
        <w:rPr>
          <w:lang w:val="en-GB"/>
        </w:rPr>
        <w:t xml:space="preserve"> </w:t>
      </w:r>
      <w:r w:rsidR="63402004" w:rsidRPr="728F2DAF">
        <w:rPr>
          <w:lang w:val="en-GB"/>
        </w:rPr>
        <w:t xml:space="preserve">reported that conflicts over </w:t>
      </w:r>
      <w:r w:rsidR="76B74ED6" w:rsidRPr="728F2DAF">
        <w:rPr>
          <w:lang w:val="en-GB"/>
        </w:rPr>
        <w:t>invasive alien</w:t>
      </w:r>
      <w:r w:rsidR="63402004" w:rsidRPr="728F2DAF">
        <w:rPr>
          <w:lang w:val="en-GB"/>
        </w:rPr>
        <w:t xml:space="preserve"> species arose primarily from differences in value systems</w:t>
      </w:r>
      <w:r w:rsidR="55A7B4EA" w:rsidRPr="728F2DAF">
        <w:rPr>
          <w:lang w:val="en-GB"/>
        </w:rPr>
        <w:t xml:space="preserve"> (utilitarian</w:t>
      </w:r>
      <w:r w:rsidR="0C976F59" w:rsidRPr="728F2DAF">
        <w:rPr>
          <w:lang w:val="en-GB"/>
        </w:rPr>
        <w:t xml:space="preserve">, </w:t>
      </w:r>
      <w:r w:rsidR="10ED8C83" w:rsidRPr="728F2DAF">
        <w:rPr>
          <w:lang w:val="en-GB"/>
        </w:rPr>
        <w:t>moralistic</w:t>
      </w:r>
      <w:r w:rsidR="0C976F59" w:rsidRPr="728F2DAF">
        <w:rPr>
          <w:lang w:val="en-GB"/>
        </w:rPr>
        <w:t xml:space="preserve">, </w:t>
      </w:r>
      <w:r w:rsidR="3B3BB33C" w:rsidRPr="728F2DAF">
        <w:rPr>
          <w:lang w:val="en-GB"/>
        </w:rPr>
        <w:t>humanistic</w:t>
      </w:r>
      <w:r w:rsidR="0C976F59" w:rsidRPr="728F2DAF">
        <w:rPr>
          <w:lang w:val="en-GB"/>
        </w:rPr>
        <w:t xml:space="preserve">, </w:t>
      </w:r>
      <w:r w:rsidR="2A1A05CD" w:rsidRPr="728F2DAF">
        <w:rPr>
          <w:lang w:val="en-GB"/>
        </w:rPr>
        <w:t>negativistic</w:t>
      </w:r>
      <w:r w:rsidR="10ED8C83" w:rsidRPr="728F2DAF">
        <w:rPr>
          <w:lang w:val="en-GB"/>
        </w:rPr>
        <w:t>)</w:t>
      </w:r>
      <w:r w:rsidR="63402004" w:rsidRPr="728F2DAF">
        <w:rPr>
          <w:lang w:val="en-GB"/>
        </w:rPr>
        <w:t xml:space="preserve">, rather than differences in </w:t>
      </w:r>
      <w:r w:rsidR="7BD3C48D" w:rsidRPr="728F2DAF">
        <w:rPr>
          <w:lang w:val="en-GB"/>
        </w:rPr>
        <w:t xml:space="preserve">benefit or </w:t>
      </w:r>
      <w:r w:rsidR="63402004" w:rsidRPr="728F2DAF">
        <w:rPr>
          <w:lang w:val="en-GB"/>
        </w:rPr>
        <w:t xml:space="preserve">risk perceptions between </w:t>
      </w:r>
      <w:r w:rsidR="3A32BC47" w:rsidRPr="728F2DAF">
        <w:rPr>
          <w:lang w:val="en-GB"/>
        </w:rPr>
        <w:t xml:space="preserve">different </w:t>
      </w:r>
      <w:r w:rsidR="63402004" w:rsidRPr="728F2DAF">
        <w:rPr>
          <w:lang w:val="en-GB"/>
        </w:rPr>
        <w:t>stakeholder</w:t>
      </w:r>
      <w:r w:rsidR="3A32BC47" w:rsidRPr="728F2DAF">
        <w:rPr>
          <w:lang w:val="en-GB"/>
        </w:rPr>
        <w:t xml:space="preserve"> groups</w:t>
      </w:r>
      <w:r w:rsidR="63402004" w:rsidRPr="728F2DAF">
        <w:rPr>
          <w:lang w:val="en-GB"/>
        </w:rPr>
        <w:t xml:space="preserve"> and decision</w:t>
      </w:r>
      <w:r w:rsidR="75EAB954" w:rsidRPr="728F2DAF">
        <w:rPr>
          <w:lang w:val="en-GB"/>
        </w:rPr>
        <w:t>-</w:t>
      </w:r>
      <w:r w:rsidR="63402004" w:rsidRPr="728F2DAF">
        <w:rPr>
          <w:lang w:val="en-GB"/>
        </w:rPr>
        <w:t>makers</w:t>
      </w:r>
      <w:r w:rsidR="49EBF945" w:rsidRPr="728F2DAF">
        <w:rPr>
          <w:lang w:val="en-GB"/>
        </w:rPr>
        <w:t xml:space="preserve"> (</w:t>
      </w:r>
      <w:r w:rsidR="337762A4" w:rsidRPr="728F2DAF">
        <w:rPr>
          <w:b/>
          <w:bCs/>
          <w:lang w:val="en-GB"/>
        </w:rPr>
        <w:t>C</w:t>
      </w:r>
      <w:r w:rsidR="49EBF945" w:rsidRPr="728F2DAF">
        <w:rPr>
          <w:b/>
          <w:bCs/>
          <w:lang w:val="en-GB"/>
        </w:rPr>
        <w:t>hapter 1</w:t>
      </w:r>
      <w:r w:rsidR="49EBF945" w:rsidRPr="728F2DAF">
        <w:rPr>
          <w:lang w:val="en-GB"/>
        </w:rPr>
        <w:t>,</w:t>
      </w:r>
      <w:r w:rsidR="49EBF945" w:rsidRPr="728F2DAF">
        <w:rPr>
          <w:b/>
          <w:bCs/>
          <w:lang w:val="en-GB"/>
        </w:rPr>
        <w:t xml:space="preserve"> section</w:t>
      </w:r>
      <w:r w:rsidR="29ED03DB" w:rsidRPr="728F2DAF">
        <w:rPr>
          <w:b/>
          <w:bCs/>
          <w:lang w:val="en-GB"/>
        </w:rPr>
        <w:t xml:space="preserve"> 1.5.2</w:t>
      </w:r>
      <w:r w:rsidR="49EBF945" w:rsidRPr="728F2DAF">
        <w:rPr>
          <w:lang w:val="en-GB"/>
        </w:rPr>
        <w:t>;</w:t>
      </w:r>
      <w:r w:rsidR="49EBF945" w:rsidRPr="728F2DAF">
        <w:rPr>
          <w:b/>
          <w:bCs/>
          <w:lang w:val="en-GB"/>
        </w:rPr>
        <w:t xml:space="preserve"> </w:t>
      </w:r>
      <w:r w:rsidR="64FB4BFF" w:rsidRPr="728F2DAF">
        <w:rPr>
          <w:b/>
          <w:bCs/>
          <w:lang w:val="en-GB"/>
        </w:rPr>
        <w:t>C</w:t>
      </w:r>
      <w:r w:rsidR="49EBF945" w:rsidRPr="728F2DAF">
        <w:rPr>
          <w:b/>
          <w:bCs/>
          <w:lang w:val="en-GB"/>
        </w:rPr>
        <w:t>hapter 5</w:t>
      </w:r>
      <w:r w:rsidR="49EBF945" w:rsidRPr="728F2DAF">
        <w:rPr>
          <w:lang w:val="en-GB"/>
        </w:rPr>
        <w:t>,</w:t>
      </w:r>
      <w:r w:rsidR="49EBF945" w:rsidRPr="728F2DAF">
        <w:rPr>
          <w:b/>
          <w:bCs/>
          <w:lang w:val="en-GB"/>
        </w:rPr>
        <w:t xml:space="preserve"> section</w:t>
      </w:r>
      <w:r w:rsidR="246BD3EE" w:rsidRPr="728F2DAF">
        <w:rPr>
          <w:b/>
          <w:bCs/>
          <w:lang w:val="en-GB"/>
        </w:rPr>
        <w:t xml:space="preserve"> 5.6.1.2</w:t>
      </w:r>
      <w:r w:rsidR="49EBF945" w:rsidRPr="728F2DAF">
        <w:rPr>
          <w:lang w:val="en-GB"/>
        </w:rPr>
        <w:t>)</w:t>
      </w:r>
      <w:r w:rsidR="49ABAB11" w:rsidRPr="728F2DAF">
        <w:rPr>
          <w:lang w:val="en-GB"/>
        </w:rPr>
        <w:t xml:space="preserve">. </w:t>
      </w:r>
      <w:r w:rsidR="046DB941" w:rsidRPr="728F2DAF">
        <w:rPr>
          <w:lang w:val="en-GB"/>
        </w:rPr>
        <w:t xml:space="preserve">According </w:t>
      </w:r>
      <w:r w:rsidR="59CEE0F1" w:rsidRPr="728F2DAF">
        <w:rPr>
          <w:lang w:val="en-GB"/>
        </w:rPr>
        <w:t>t</w:t>
      </w:r>
      <w:r w:rsidR="046DB941" w:rsidRPr="728F2DAF">
        <w:rPr>
          <w:lang w:val="en-GB"/>
        </w:rPr>
        <w:t xml:space="preserve">o this study, </w:t>
      </w:r>
      <w:r w:rsidR="7FEE3AFD" w:rsidRPr="728F2DAF">
        <w:rPr>
          <w:lang w:val="en-GB"/>
        </w:rPr>
        <w:t xml:space="preserve">salmonids </w:t>
      </w:r>
      <w:r w:rsidR="24D1411D" w:rsidRPr="728F2DAF">
        <w:rPr>
          <w:lang w:val="en-GB"/>
        </w:rPr>
        <w:t xml:space="preserve">in </w:t>
      </w:r>
      <w:r w:rsidR="30B256F4" w:rsidRPr="728F2DAF">
        <w:rPr>
          <w:lang w:val="en-GB"/>
        </w:rPr>
        <w:t>S</w:t>
      </w:r>
      <w:r w:rsidR="24D1411D" w:rsidRPr="728F2DAF">
        <w:rPr>
          <w:lang w:val="en-GB"/>
        </w:rPr>
        <w:t>outh America</w:t>
      </w:r>
      <w:r w:rsidR="4111FCA2" w:rsidRPr="728F2DAF">
        <w:rPr>
          <w:lang w:val="en-GB"/>
        </w:rPr>
        <w:t xml:space="preserve">, </w:t>
      </w:r>
      <w:r w:rsidR="67A90A49" w:rsidRPr="728F2DAF">
        <w:rPr>
          <w:lang w:val="en-GB"/>
        </w:rPr>
        <w:t>alien species of</w:t>
      </w:r>
      <w:r w:rsidR="4111FCA2" w:rsidRPr="728F2DAF">
        <w:rPr>
          <w:lang w:val="en-GB"/>
        </w:rPr>
        <w:t xml:space="preserve"> </w:t>
      </w:r>
      <w:r w:rsidR="4111FCA2" w:rsidRPr="728F2DAF">
        <w:rPr>
          <w:i/>
          <w:iCs/>
          <w:lang w:val="en-GB"/>
        </w:rPr>
        <w:t>Acacia</w:t>
      </w:r>
      <w:r w:rsidR="67A90A49" w:rsidRPr="728F2DAF">
        <w:rPr>
          <w:lang w:val="en-GB"/>
        </w:rPr>
        <w:t xml:space="preserve"> </w:t>
      </w:r>
      <w:r w:rsidR="49EBF945" w:rsidRPr="728F2DAF">
        <w:rPr>
          <w:lang w:val="en-GB"/>
        </w:rPr>
        <w:t>spp.</w:t>
      </w:r>
      <w:r w:rsidR="0BCF042A" w:rsidRPr="728F2DAF">
        <w:rPr>
          <w:lang w:val="en-GB"/>
        </w:rPr>
        <w:t xml:space="preserve"> </w:t>
      </w:r>
      <w:r w:rsidR="4111FCA2" w:rsidRPr="728F2DAF">
        <w:rPr>
          <w:lang w:val="en-GB"/>
        </w:rPr>
        <w:t>in Africa</w:t>
      </w:r>
      <w:r w:rsidR="009F7404">
        <w:rPr>
          <w:lang w:val="en-GB"/>
        </w:rPr>
        <w:t xml:space="preserve"> and</w:t>
      </w:r>
      <w:r w:rsidR="1A0A0C96" w:rsidRPr="728F2DAF">
        <w:rPr>
          <w:lang w:val="en-GB"/>
        </w:rPr>
        <w:t xml:space="preserve"> </w:t>
      </w:r>
      <w:r w:rsidR="1A0A0C96" w:rsidRPr="728F2DAF">
        <w:rPr>
          <w:i/>
          <w:iCs/>
          <w:lang w:val="en-GB"/>
        </w:rPr>
        <w:t>Dreissena polymorpha</w:t>
      </w:r>
      <w:r w:rsidR="1A0A0C96" w:rsidRPr="728F2DAF">
        <w:rPr>
          <w:lang w:val="en-GB"/>
        </w:rPr>
        <w:t xml:space="preserve"> (</w:t>
      </w:r>
      <w:r w:rsidR="50B388A8" w:rsidRPr="728F2DAF">
        <w:rPr>
          <w:lang w:val="en-GB"/>
        </w:rPr>
        <w:t>zebra mussel</w:t>
      </w:r>
      <w:r w:rsidR="1A0A0C96" w:rsidRPr="728F2DAF">
        <w:rPr>
          <w:lang w:val="en-GB"/>
        </w:rPr>
        <w:t>)</w:t>
      </w:r>
      <w:r w:rsidR="4111FCA2" w:rsidRPr="728F2DAF">
        <w:rPr>
          <w:lang w:val="en-GB"/>
        </w:rPr>
        <w:t xml:space="preserve"> in Europe a</w:t>
      </w:r>
      <w:r w:rsidR="21436933" w:rsidRPr="728F2DAF">
        <w:rPr>
          <w:lang w:val="en-GB"/>
        </w:rPr>
        <w:t>re</w:t>
      </w:r>
      <w:r w:rsidR="4111FCA2" w:rsidRPr="728F2DAF">
        <w:rPr>
          <w:lang w:val="en-GB"/>
        </w:rPr>
        <w:t xml:space="preserve"> examples of </w:t>
      </w:r>
      <w:r w:rsidR="493B19EE" w:rsidRPr="728F2DAF">
        <w:rPr>
          <w:lang w:val="en-GB"/>
        </w:rPr>
        <w:t>utilitarian</w:t>
      </w:r>
      <w:r w:rsidR="5F3ABFCB" w:rsidRPr="728F2DAF">
        <w:rPr>
          <w:lang w:val="en-GB"/>
        </w:rPr>
        <w:t xml:space="preserve"> vs.</w:t>
      </w:r>
      <w:r w:rsidR="2A6AF899" w:rsidRPr="728F2DAF">
        <w:rPr>
          <w:lang w:val="en-GB"/>
        </w:rPr>
        <w:t xml:space="preserve"> naturalistic</w:t>
      </w:r>
      <w:r w:rsidR="19D2470B" w:rsidRPr="728F2DAF">
        <w:rPr>
          <w:lang w:val="en-GB"/>
        </w:rPr>
        <w:t xml:space="preserve"> </w:t>
      </w:r>
      <w:r w:rsidR="3A32BC47" w:rsidRPr="728F2DAF">
        <w:rPr>
          <w:lang w:val="en-GB"/>
        </w:rPr>
        <w:t>value-system conflicts</w:t>
      </w:r>
      <w:r w:rsidR="1A364DCE" w:rsidRPr="728F2DAF">
        <w:rPr>
          <w:lang w:val="en-GB"/>
        </w:rPr>
        <w:t xml:space="preserve"> </w:t>
      </w:r>
      <w:r w:rsidR="046DB941" w:rsidRPr="728F2DAF">
        <w:rPr>
          <w:lang w:val="en-GB"/>
        </w:rPr>
        <w:t xml:space="preserve">whereas </w:t>
      </w:r>
      <w:r w:rsidR="1B7CA789" w:rsidRPr="728F2DAF">
        <w:rPr>
          <w:lang w:val="en-GB"/>
        </w:rPr>
        <w:t>alien mammals</w:t>
      </w:r>
      <w:r w:rsidR="7E206BEE" w:rsidRPr="728F2DAF">
        <w:rPr>
          <w:lang w:val="en-GB"/>
        </w:rPr>
        <w:t xml:space="preserve"> </w:t>
      </w:r>
      <w:r w:rsidR="6F0DCB6D" w:rsidRPr="728F2DAF">
        <w:rPr>
          <w:lang w:val="en-GB"/>
        </w:rPr>
        <w:t>(</w:t>
      </w:r>
      <w:r w:rsidR="292D9A36" w:rsidRPr="728F2DAF">
        <w:rPr>
          <w:lang w:val="en-GB"/>
        </w:rPr>
        <w:t>example in</w:t>
      </w:r>
      <w:r w:rsidR="292D9A36" w:rsidRPr="728F2DAF">
        <w:rPr>
          <w:i/>
          <w:iCs/>
          <w:lang w:val="en-GB"/>
        </w:rPr>
        <w:t xml:space="preserve"> </w:t>
      </w:r>
      <w:r w:rsidR="00E23B69">
        <w:rPr>
          <w:b/>
          <w:bCs/>
          <w:lang w:val="en-GB"/>
        </w:rPr>
        <w:t>Box</w:t>
      </w:r>
      <w:r w:rsidR="69754820" w:rsidRPr="728F2DAF">
        <w:rPr>
          <w:b/>
          <w:bCs/>
          <w:lang w:val="en-GB"/>
        </w:rPr>
        <w:t xml:space="preserve"> </w:t>
      </w:r>
      <w:r w:rsidR="640BF3A4" w:rsidRPr="728F2DAF">
        <w:rPr>
          <w:b/>
          <w:bCs/>
          <w:lang w:val="en-GB"/>
        </w:rPr>
        <w:t>3.2</w:t>
      </w:r>
      <w:r w:rsidR="640BF3A4" w:rsidRPr="728F2DAF">
        <w:rPr>
          <w:lang w:val="en-GB"/>
        </w:rPr>
        <w:t xml:space="preserve">) </w:t>
      </w:r>
      <w:r w:rsidR="7E206BEE" w:rsidRPr="728F2DAF">
        <w:rPr>
          <w:lang w:val="en-GB"/>
        </w:rPr>
        <w:t xml:space="preserve">and trees </w:t>
      </w:r>
      <w:r w:rsidR="6AE6795D" w:rsidRPr="728F2DAF">
        <w:rPr>
          <w:lang w:val="en-GB"/>
        </w:rPr>
        <w:t>have</w:t>
      </w:r>
      <w:r w:rsidR="7CB01A06" w:rsidRPr="728F2DAF">
        <w:rPr>
          <w:lang w:val="en-GB"/>
        </w:rPr>
        <w:t xml:space="preserve"> </w:t>
      </w:r>
      <w:r w:rsidR="6AE6795D" w:rsidRPr="728F2DAF">
        <w:rPr>
          <w:lang w:val="en-GB"/>
        </w:rPr>
        <w:t xml:space="preserve">caused moralistic or </w:t>
      </w:r>
      <w:r w:rsidR="108D18F3" w:rsidRPr="728F2DAF">
        <w:rPr>
          <w:lang w:val="en-GB"/>
        </w:rPr>
        <w:t xml:space="preserve">humanistic vs. </w:t>
      </w:r>
      <w:r w:rsidR="6AE6795D" w:rsidRPr="728F2DAF">
        <w:rPr>
          <w:lang w:val="en-GB"/>
        </w:rPr>
        <w:t xml:space="preserve">naturalistic or negativistic value conflicts </w:t>
      </w:r>
      <w:r w:rsidR="5D6475C0" w:rsidRPr="728F2DAF">
        <w:rPr>
          <w:lang w:val="en-GB"/>
        </w:rPr>
        <w:t>in all IPBES regions</w:t>
      </w:r>
      <w:r w:rsidR="6AE6795D" w:rsidRPr="728F2DAF">
        <w:rPr>
          <w:lang w:val="en-GB"/>
        </w:rPr>
        <w:t xml:space="preserve"> </w:t>
      </w:r>
      <w:r w:rsidR="668E4E11" w:rsidRPr="728F2DAF">
        <w:rPr>
          <w:lang w:val="en-GB"/>
        </w:rPr>
        <w:fldChar w:fldCharType="begin"/>
      </w:r>
      <w:r w:rsidR="00331A79">
        <w:rPr>
          <w:lang w:val="en-GB"/>
        </w:rPr>
        <w:instrText xml:space="preserve"> ADDIN ZOTERO_ITEM CSL_CITATION {"citationID":"h2bCxAPM","properties":{"formattedCitation":"(Est\\uc0\\u233{}vez et al., 2015)","plainCitation":"(Estévez et al., 2015)","noteIndex":0},"citationItems":[{"id":30389,"uris":["http://zotero.org/groups/2352922/items/RICLEV26"],"itemData":{"id":30389,"type":"article-journal","abstract":"Decision makers and researchers recognize the need to effectively confront the social dimensions and conflicts inherent to invasive species research and management. Yet, despite numerous contentious situations that have arisen, no systematic evaluation of the literature has examined the commonalities in the patterns and types of these emergent social issues. Using social and ecological keywords, we reviewed trends in the social dimensions of invasive species research and management and the sources and potential solutions to problems and conflicts that arise around invasive species. We integrated components of cognitive hierarchy theory and risk perceptions theory to provide a conceptual framework to identify, distinguish, and provide understanding of the driving factors underlying disputes associated with invasive species. In the ISI Web of Science database, we found 15,915 peer-reviewed publications on biological invasions, 124 of which included social dimensions of this phenomenon. Of these 124, 28 studies described specific contentious situations. Social approaches to biological invasions have emerged largely in the last decade and have focused on both environmental social sciences and resource management. Despite being distributed in a range of journals, these 124 articles were concentrated mostly in ecology and conservation-oriented outlets. We found that conflicts surrounding invasive species arose based largely on differences in value systems and to a lesser extent stakeholder and decision maker’s risk perceptions. To confront or avoid such situations, we suggest integrating the plurality of environmental values into invasive species research and management via structured decision making techniques, which enhance effective risk communication that promotes trust and confidence between stakeholders and decision makers.","container-title":"Conservation Biology","DOI":"10.1111/cobi.12359","ISSN":"08888892","issue":"1","journalAbbreviation":"Conservation Biology","language":"en","page":"19-30","source":"DOI.org (Crossref)","title":"Clarifying values, risk perceptions, and attitudes to resolve or avoid social conflicts in invasive species management","title-short":"Clarifying values, risk perceptions, and attitudes to resolve or avoid social conflicts in invasive species management","URL":"http://doi.wiley.com/10.1111/cobi.12359","volume":"29","author":[{"family":"Estévez","given":"Rodrigo A."},{"family":"Anderson","given":"Christopher B."},{"family":"Pizarro","given":"J. Cristobal"},{"family":"Burgman","given":"Mark A."}],"accessed":{"date-parts":[["2021",4,13]]},"issued":{"date-parts":[["2015",2]]}}}],"schema":"https://github.com/citation-style-language/schema/raw/master/csl-citation.json"} </w:instrText>
      </w:r>
      <w:r w:rsidR="668E4E11" w:rsidRPr="728F2DAF">
        <w:rPr>
          <w:lang w:val="en-GB"/>
        </w:rPr>
        <w:fldChar w:fldCharType="separate"/>
      </w:r>
      <w:r w:rsidR="0566DAD0">
        <w:t>(Estévez et al., 2015)</w:t>
      </w:r>
      <w:r w:rsidR="668E4E11" w:rsidRPr="728F2DAF">
        <w:rPr>
          <w:lang w:val="en-GB"/>
        </w:rPr>
        <w:fldChar w:fldCharType="end"/>
      </w:r>
      <w:r w:rsidR="3A32BC47" w:rsidRPr="728F2DAF">
        <w:rPr>
          <w:lang w:val="en-GB"/>
        </w:rPr>
        <w:t xml:space="preserve">. </w:t>
      </w:r>
      <w:r w:rsidR="04A18C61" w:rsidRPr="728F2DAF">
        <w:rPr>
          <w:lang w:val="en-GB"/>
        </w:rPr>
        <w:t xml:space="preserve">In another global study, </w:t>
      </w:r>
      <w:r w:rsidR="6575AF3A" w:rsidRPr="728F2DAF">
        <w:rPr>
          <w:lang w:val="en-GB"/>
        </w:rPr>
        <w:t xml:space="preserve">Kapitza et al. </w:t>
      </w:r>
      <w:r w:rsidR="668E4E11" w:rsidRPr="728F2DAF">
        <w:rPr>
          <w:lang w:val="en-GB"/>
        </w:rPr>
        <w:fldChar w:fldCharType="begin"/>
      </w:r>
      <w:r w:rsidR="00331A79">
        <w:rPr>
          <w:lang w:val="en-GB"/>
        </w:rPr>
        <w:instrText xml:space="preserve"> ADDIN ZOTERO_ITEM CSL_CITATION {"citationID":"OX6bM8mM","properties":{"formattedCitation":"(2019)","plainCitation":"(2019)","noteIndex":0},"citationItems":[{"id":56459,"uris":["http://zotero.org/groups/2352922/items/UWSKCPWL","http://zotero.org/groups/2352922/items/Y8LNY77Q"],"itemData":{"id":56459,"type":"article-journal","abstract":"We conducted a systematic literature review of the current state of research on the social perceptions of invasive species, aiming to provide guidance towards transdisciplinary research and participatory decision making. In order to detect patterns regarding publication trends and factors determining social perceptions of invasive species, we applied qualitative content as well as quantitative data analysis. By applying content analysis, we identified five main categories of influence on the perception of invasive species: ecological conditions, social conditions, values and beliefs, impacts, and benefits. The disciplinary focus of the research was predominantly interdisciplinary, followed by a social sciences approach. Our review revealed a disproportionate use of quantitative methods in research on social perceptions of invasive species, yet quantitative methods were less likely to identify benefits as factors determining the perception of invasive species. However, without the understanding of perceived benefits, researchers and managers lack the socio-cultural context these species are embedded in. Our review also revealed the geographical, methodological and taxonomic bias of research on perceptions of invasive species. The majority of studies focused on the local public, whereas fewer than half of the studies focused on decision-makers. Furthermore, our results showed differences in the social perceptions of invasive species among different stakeholder groups. Consensus over the definition and terminology of invasive species was lacking whereas differences in terminology were clearly value-laden. In order to foster sustainable management of invasive species, research on social perceptions should focus on a transdisciplinary and transparent discourse about the inherent values of invasion science.","container-title":"NeoBiota","DOI":"10.3897/neobiota.43.31619","ISSN":"1314-2488, 1619-0033","journalAbbreviation":"NB","page":"47-68","source":"DOI.org (Crossref)","title":"Research on the social perception of invasive species: a systematic literature review","title-short":"Research on the social perception of invasive species","URL":"https://neobiota.pensoft.net/article/31619/","volume":"43","author":[{"family":"Kapitza","given":"Katharina"},{"family":"Zimmermann","given":"Heike"},{"family":"Martín-López","given":"Berta"},{"family":"Von Wehrden","given":"Henrik"}],"accessed":{"date-parts":[["2023",6,8]]},"issued":{"date-parts":[["2019",3,14]]}},"label":"page","suppress-author":true}],"schema":"https://github.com/citation-style-language/schema/raw/master/csl-citation.json"} </w:instrText>
      </w:r>
      <w:r w:rsidR="668E4E11" w:rsidRPr="728F2DAF">
        <w:rPr>
          <w:lang w:val="en-GB"/>
        </w:rPr>
        <w:fldChar w:fldCharType="separate"/>
      </w:r>
      <w:r w:rsidR="0566DAD0">
        <w:t>(2019)</w:t>
      </w:r>
      <w:r w:rsidR="668E4E11" w:rsidRPr="728F2DAF">
        <w:rPr>
          <w:lang w:val="en-GB"/>
        </w:rPr>
        <w:fldChar w:fldCharType="end"/>
      </w:r>
      <w:r w:rsidR="6575AF3A" w:rsidRPr="728F2DAF">
        <w:rPr>
          <w:lang w:val="en-GB"/>
        </w:rPr>
        <w:t xml:space="preserve"> </w:t>
      </w:r>
      <w:r w:rsidR="30D017BF" w:rsidRPr="728F2DAF">
        <w:rPr>
          <w:lang w:val="en-GB"/>
        </w:rPr>
        <w:t>f</w:t>
      </w:r>
      <w:r w:rsidR="0B8C7190" w:rsidRPr="728F2DAF">
        <w:rPr>
          <w:lang w:val="en-GB"/>
        </w:rPr>
        <w:t>ou</w:t>
      </w:r>
      <w:r w:rsidR="30D017BF" w:rsidRPr="728F2DAF">
        <w:rPr>
          <w:lang w:val="en-GB"/>
        </w:rPr>
        <w:t xml:space="preserve">nd that </w:t>
      </w:r>
      <w:r w:rsidR="59F8BB22" w:rsidRPr="728F2DAF">
        <w:rPr>
          <w:lang w:val="en-GB"/>
        </w:rPr>
        <w:t xml:space="preserve">the </w:t>
      </w:r>
      <w:r w:rsidR="0B8C7190" w:rsidRPr="728F2DAF">
        <w:rPr>
          <w:lang w:val="en-GB"/>
        </w:rPr>
        <w:t xml:space="preserve">local </w:t>
      </w:r>
      <w:r w:rsidR="0F9FB421" w:rsidRPr="728F2DAF">
        <w:rPr>
          <w:lang w:val="en-GB"/>
        </w:rPr>
        <w:t xml:space="preserve">public </w:t>
      </w:r>
      <w:r w:rsidR="478F3551" w:rsidRPr="728F2DAF">
        <w:rPr>
          <w:lang w:val="en-GB"/>
        </w:rPr>
        <w:t xml:space="preserve">was more </w:t>
      </w:r>
      <w:r w:rsidR="623C0D17" w:rsidRPr="728F2DAF">
        <w:rPr>
          <w:lang w:val="en-GB"/>
        </w:rPr>
        <w:t xml:space="preserve">likely to </w:t>
      </w:r>
      <w:r w:rsidR="7E44D404" w:rsidRPr="728F2DAF">
        <w:rPr>
          <w:lang w:val="en-GB"/>
        </w:rPr>
        <w:t xml:space="preserve">focus on </w:t>
      </w:r>
      <w:r w:rsidR="75435FB8" w:rsidRPr="728F2DAF">
        <w:rPr>
          <w:lang w:val="en-GB"/>
        </w:rPr>
        <w:t>sociocul</w:t>
      </w:r>
      <w:r w:rsidR="352E5278" w:rsidRPr="728F2DAF">
        <w:rPr>
          <w:lang w:val="en-GB"/>
        </w:rPr>
        <w:t>tural</w:t>
      </w:r>
      <w:r w:rsidR="75435FB8" w:rsidRPr="728F2DAF">
        <w:rPr>
          <w:lang w:val="en-GB"/>
        </w:rPr>
        <w:t xml:space="preserve"> b</w:t>
      </w:r>
      <w:r w:rsidR="352E5278" w:rsidRPr="728F2DAF">
        <w:rPr>
          <w:lang w:val="en-GB"/>
        </w:rPr>
        <w:t>e</w:t>
      </w:r>
      <w:r w:rsidR="75435FB8" w:rsidRPr="728F2DAF">
        <w:rPr>
          <w:lang w:val="en-GB"/>
        </w:rPr>
        <w:t>n</w:t>
      </w:r>
      <w:r w:rsidR="352E5278" w:rsidRPr="728F2DAF">
        <w:rPr>
          <w:lang w:val="en-GB"/>
        </w:rPr>
        <w:t>e</w:t>
      </w:r>
      <w:r w:rsidR="75435FB8" w:rsidRPr="728F2DAF">
        <w:rPr>
          <w:lang w:val="en-GB"/>
        </w:rPr>
        <w:t xml:space="preserve">fits </w:t>
      </w:r>
      <w:r w:rsidR="29526EEE" w:rsidRPr="728F2DAF">
        <w:rPr>
          <w:lang w:val="en-GB"/>
        </w:rPr>
        <w:t>whereas</w:t>
      </w:r>
      <w:r w:rsidR="75435FB8" w:rsidRPr="728F2DAF">
        <w:rPr>
          <w:lang w:val="en-GB"/>
        </w:rPr>
        <w:t xml:space="preserve"> </w:t>
      </w:r>
      <w:r w:rsidR="352E5278" w:rsidRPr="728F2DAF">
        <w:rPr>
          <w:lang w:val="en-GB"/>
        </w:rPr>
        <w:t xml:space="preserve">academics </w:t>
      </w:r>
      <w:r w:rsidR="59F8BB22" w:rsidRPr="728F2DAF">
        <w:rPr>
          <w:lang w:val="en-GB"/>
        </w:rPr>
        <w:t>focused on</w:t>
      </w:r>
      <w:r w:rsidR="352E5278" w:rsidRPr="728F2DAF">
        <w:rPr>
          <w:lang w:val="en-GB"/>
        </w:rPr>
        <w:t xml:space="preserve"> nativeness</w:t>
      </w:r>
      <w:r w:rsidR="17E7CBFB" w:rsidRPr="728F2DAF">
        <w:rPr>
          <w:lang w:val="en-GB"/>
        </w:rPr>
        <w:t xml:space="preserve">, and </w:t>
      </w:r>
      <w:r w:rsidR="338927A6" w:rsidRPr="728F2DAF">
        <w:rPr>
          <w:lang w:val="en-GB"/>
        </w:rPr>
        <w:t xml:space="preserve">stakeholders from Africa were more likely to </w:t>
      </w:r>
      <w:r w:rsidR="68A17D34" w:rsidRPr="728F2DAF">
        <w:rPr>
          <w:lang w:val="en-GB"/>
        </w:rPr>
        <w:t>identify ecological benefits</w:t>
      </w:r>
      <w:r w:rsidR="3E30EDCE" w:rsidRPr="728F2DAF">
        <w:rPr>
          <w:lang w:val="en-GB"/>
        </w:rPr>
        <w:t xml:space="preserve"> whereas Europeans were less likely to identify </w:t>
      </w:r>
      <w:r w:rsidR="46DB192A" w:rsidRPr="728F2DAF">
        <w:rPr>
          <w:lang w:val="en-GB"/>
        </w:rPr>
        <w:t>ecological and sociocultural benefits</w:t>
      </w:r>
      <w:r w:rsidR="352E5278" w:rsidRPr="728F2DAF">
        <w:rPr>
          <w:lang w:val="en-GB"/>
        </w:rPr>
        <w:t>.</w:t>
      </w:r>
      <w:r w:rsidR="7DCCA4F0" w:rsidRPr="728F2DAF">
        <w:rPr>
          <w:lang w:val="en-GB"/>
        </w:rPr>
        <w:t xml:space="preserve"> </w:t>
      </w:r>
      <w:r w:rsidR="6AE84AAC" w:rsidRPr="728F2DAF">
        <w:rPr>
          <w:lang w:val="en-GB"/>
        </w:rPr>
        <w:t>Cont</w:t>
      </w:r>
      <w:r w:rsidR="3B9DA854" w:rsidRPr="728F2DAF">
        <w:rPr>
          <w:lang w:val="en-GB"/>
        </w:rPr>
        <w:t>e</w:t>
      </w:r>
      <w:r w:rsidR="3BE3E6B0" w:rsidRPr="728F2DAF">
        <w:rPr>
          <w:lang w:val="en-GB"/>
        </w:rPr>
        <w:t>x</w:t>
      </w:r>
      <w:r w:rsidR="3B9DA854" w:rsidRPr="728F2DAF">
        <w:rPr>
          <w:lang w:val="en-GB"/>
        </w:rPr>
        <w:t xml:space="preserve">tual factors, such as </w:t>
      </w:r>
      <w:r w:rsidR="04A18C61" w:rsidRPr="728F2DAF">
        <w:rPr>
          <w:lang w:val="en-GB"/>
        </w:rPr>
        <w:t xml:space="preserve">stakeholder role, </w:t>
      </w:r>
      <w:r w:rsidR="65BECE0D" w:rsidRPr="728F2DAF">
        <w:rPr>
          <w:lang w:val="en-GB"/>
        </w:rPr>
        <w:t>socioeconomic</w:t>
      </w:r>
      <w:r w:rsidR="3B9DA854" w:rsidRPr="728F2DAF">
        <w:rPr>
          <w:lang w:val="en-GB"/>
        </w:rPr>
        <w:t xml:space="preserve"> status</w:t>
      </w:r>
      <w:r w:rsidR="6FAA234F" w:rsidRPr="728F2DAF">
        <w:rPr>
          <w:lang w:val="en-GB"/>
        </w:rPr>
        <w:t xml:space="preserve">, </w:t>
      </w:r>
      <w:r w:rsidR="3B9DA854" w:rsidRPr="728F2DAF">
        <w:rPr>
          <w:lang w:val="en-GB"/>
        </w:rPr>
        <w:t>t</w:t>
      </w:r>
      <w:r w:rsidR="3BE3E6B0" w:rsidRPr="728F2DAF">
        <w:rPr>
          <w:lang w:val="en-GB"/>
        </w:rPr>
        <w:t>i</w:t>
      </w:r>
      <w:r w:rsidR="3B9DA854" w:rsidRPr="728F2DAF">
        <w:rPr>
          <w:lang w:val="en-GB"/>
        </w:rPr>
        <w:t>me since the introd</w:t>
      </w:r>
      <w:r w:rsidR="3BE3E6B0" w:rsidRPr="728F2DAF">
        <w:rPr>
          <w:lang w:val="en-GB"/>
        </w:rPr>
        <w:t>u</w:t>
      </w:r>
      <w:r w:rsidR="3B9DA854" w:rsidRPr="728F2DAF">
        <w:rPr>
          <w:lang w:val="en-GB"/>
        </w:rPr>
        <w:t>ction oc</w:t>
      </w:r>
      <w:r w:rsidR="7200994D" w:rsidRPr="728F2DAF">
        <w:rPr>
          <w:lang w:val="en-GB"/>
        </w:rPr>
        <w:t>c</w:t>
      </w:r>
      <w:r w:rsidR="3B9DA854" w:rsidRPr="728F2DAF">
        <w:rPr>
          <w:lang w:val="en-GB"/>
        </w:rPr>
        <w:t>urred</w:t>
      </w:r>
      <w:r w:rsidR="6FAA234F" w:rsidRPr="728F2DAF">
        <w:rPr>
          <w:lang w:val="en-GB"/>
        </w:rPr>
        <w:t>, and region</w:t>
      </w:r>
      <w:r w:rsidR="3B9DA854" w:rsidRPr="728F2DAF">
        <w:rPr>
          <w:lang w:val="en-GB"/>
        </w:rPr>
        <w:t xml:space="preserve"> </w:t>
      </w:r>
      <w:r w:rsidR="4ADF4601" w:rsidRPr="728F2DAF">
        <w:rPr>
          <w:lang w:val="en-GB"/>
        </w:rPr>
        <w:t>therefore</w:t>
      </w:r>
      <w:r w:rsidR="3B9DA854" w:rsidRPr="728F2DAF">
        <w:rPr>
          <w:lang w:val="en-GB"/>
        </w:rPr>
        <w:t xml:space="preserve"> also affect the overall </w:t>
      </w:r>
      <w:r w:rsidR="5168CBF4" w:rsidRPr="728F2DAF">
        <w:rPr>
          <w:lang w:val="en-GB"/>
        </w:rPr>
        <w:t>valuatio</w:t>
      </w:r>
      <w:r w:rsidR="2060753C" w:rsidRPr="728F2DAF">
        <w:rPr>
          <w:lang w:val="en-GB"/>
        </w:rPr>
        <w:t>n</w:t>
      </w:r>
      <w:r w:rsidR="0B8C7190" w:rsidRPr="728F2DAF">
        <w:rPr>
          <w:lang w:val="en-GB"/>
        </w:rPr>
        <w:t xml:space="preserve">, </w:t>
      </w:r>
      <w:r w:rsidR="4ADF4601" w:rsidRPr="728F2DAF">
        <w:rPr>
          <w:lang w:val="en-GB"/>
        </w:rPr>
        <w:t xml:space="preserve">which again can </w:t>
      </w:r>
      <w:r w:rsidR="04A18C61" w:rsidRPr="728F2DAF">
        <w:rPr>
          <w:lang w:val="en-GB"/>
        </w:rPr>
        <w:t>impact</w:t>
      </w:r>
      <w:r w:rsidR="5BB46B86" w:rsidRPr="728F2DAF">
        <w:rPr>
          <w:lang w:val="en-GB"/>
        </w:rPr>
        <w:t xml:space="preserve"> behavioural choices or actions influenc</w:t>
      </w:r>
      <w:r w:rsidR="04A18C61" w:rsidRPr="728F2DAF">
        <w:rPr>
          <w:lang w:val="en-GB"/>
        </w:rPr>
        <w:t>ing</w:t>
      </w:r>
      <w:r w:rsidR="5BB46B86" w:rsidRPr="728F2DAF">
        <w:rPr>
          <w:lang w:val="en-GB"/>
        </w:rPr>
        <w:t xml:space="preserve"> </w:t>
      </w:r>
      <w:r w:rsidR="2E6F51BC" w:rsidRPr="728F2DAF">
        <w:rPr>
          <w:lang w:val="en-GB"/>
        </w:rPr>
        <w:t>biological invasions</w:t>
      </w:r>
      <w:r w:rsidR="04A18C61" w:rsidRPr="728F2DAF">
        <w:rPr>
          <w:lang w:val="en-GB"/>
        </w:rPr>
        <w:t xml:space="preserve"> </w:t>
      </w:r>
      <w:r w:rsidR="668E4E11" w:rsidRPr="728F2DAF">
        <w:rPr>
          <w:lang w:val="en-GB"/>
        </w:rPr>
        <w:fldChar w:fldCharType="begin"/>
      </w:r>
      <w:r w:rsidR="00331A79">
        <w:rPr>
          <w:lang w:val="en-GB"/>
        </w:rPr>
        <w:instrText xml:space="preserve"> ADDIN ZOTERO_ITEM CSL_CITATION {"citationID":"itqdZNSN","properties":{"formattedCitation":"(Kapitza et al., 2019; C. M. Shackleton et al., 2007)","plainCitation":"(Kapitza et al., 2019; C. M. Shackleton et al., 2007)","dontUpdate":true,"noteIndex":0},"citationItems":[{"id":31155,"uris":["http://zotero.org/groups/2352922/items/K73MTN8P"],"itemData":{"id":31155,"type":"article-journal","abstract":"The detrimental impacts of invasive alien species (IAS) on ecosystem goods and services and local and regional economies are well documented. However, the use of IAS by rural communities is little understood, and rarely factored into IAS control programmes. Understanding the use of IAS by rural communities and factoring these into cost-benefit models is complex, depending upon a range of local-level attributes such as the time since invasion, abundance, and local-level costs and benefits. This paper reports on two case studies examining the role of IAS in rural livelihoods in the Eastern Cape, South Africa. In both cases, rural communities made widespread consumptive use of the IAS and generally would prefer higher densities, except in certain key localities. Several households traded in IAS products to generate supplementary income. We present a conceptual framework to guide interpretation of these and future case studies, considering attributes such as time since invasion, the competitiveness of the species, and the relative costs and benefits.","container-title":"Human Ecology","DOI":"10.1007/s10745-006-9095-0","ISSN":"0300-7839, 1572-9915","issue":"1","journalAbbreviation":"Hum Ecol","language":"en","page":"113-127","source":"DOI.org (Crossref)","title":"Assessing the Effects of Invasive Alien Species on Rural Livelihoods: Case Examples and a Framework from South Africa","title-short":"Assessing the Effects of Invasive Alien Species on Rural Livelihoods","URL":"http://link.springer.com/10.1007/s10745-006-9095-0","volume":"35","author":[{"family":"Shackleton","given":"C. M."},{"family":"McGarry","given":"D."},{"family":"Fourie","given":"S."},{"family":"Gambiza","given":"J."},{"family":"Shackleton","given":"S. E."},{"family":"Fabricius","given":"C."}],"accessed":{"date-parts":[["2019",11,7]]},"issued":{"date-parts":[["2007",2,13]]}}},{"id":56459,"uris":["http://zotero.org/groups/2352922/items/UWSKCPWL","http://zotero.org/groups/2352922/items/Y8LNY77Q"],"itemData":{"id":56459,"type":"article-journal","abstract":"We conducted a systematic literature review of the current state of research on the social perceptions of invasive species, aiming to provide guidance towards transdisciplinary research and participatory decision making. In order to detect patterns regarding publication trends and factors determining social perceptions of invasive species, we applied qualitative content as well as quantitative data analysis. By applying content analysis, we identified five main categories of influence on the perception of invasive species: ecological conditions, social conditions, values and beliefs, impacts, and benefits. The disciplinary focus of the research was predominantly interdisciplinary, followed by a social sciences approach. Our review revealed a disproportionate use of quantitative methods in research on social perceptions of invasive species, yet quantitative methods were less likely to identify benefits as factors determining the perception of invasive species. However, without the understanding of perceived benefits, researchers and managers lack the socio-cultural context these species are embedded in. Our review also revealed the geographical, methodological and taxonomic bias of research on perceptions of invasive species. The majority of studies focused on the local public, whereas fewer than half of the studies focused on decision-makers. Furthermore, our results showed differences in the social perceptions of invasive species among different stakeholder groups. Consensus over the definition and terminology of invasive species was lacking whereas differences in terminology were clearly value-laden. In order to foster sustainable management of invasive species, research on social perceptions should focus on a transdisciplinary and transparent discourse about the inherent values of invasion science.","container-title":"NeoBiota","DOI":"10.3897/neobiota.43.31619","ISSN":"1314-2488, 1619-0033","journalAbbreviation":"NB","page":"47-68","source":"DOI.org (Crossref)","title":"Research on the social perception of invasive species: a systematic literature review","title-short":"Research on the social perception of invasive species","URL":"https://neobiota.pensoft.net/article/31619/","volume":"43","author":[{"family":"Kapitza","given":"Katharina"},{"family":"Zimmermann","given":"Heike"},{"family":"Martín-López","given":"Berta"},{"family":"Von Wehrden","given":"Henrik"}],"accessed":{"date-parts":[["2023",6,8]]},"issued":{"date-parts":[["2019",3,14]]}}}],"schema":"https://github.com/citation-style-language/schema/raw/master/csl-citation.json"} </w:instrText>
      </w:r>
      <w:r w:rsidR="668E4E11" w:rsidRPr="728F2DAF">
        <w:rPr>
          <w:lang w:val="en-GB"/>
        </w:rPr>
        <w:fldChar w:fldCharType="separate"/>
      </w:r>
      <w:r w:rsidR="2BCC97EC" w:rsidRPr="728F2DAF">
        <w:rPr>
          <w:lang w:val="en-GB"/>
        </w:rPr>
        <w:t xml:space="preserve">(Kapitza et al., 2019; </w:t>
      </w:r>
      <w:r w:rsidR="3BCDB1C9" w:rsidRPr="728F2DAF">
        <w:rPr>
          <w:lang w:val="en-GB"/>
        </w:rPr>
        <w:t>Shackleton et al., 2007)</w:t>
      </w:r>
      <w:r w:rsidR="668E4E11" w:rsidRPr="728F2DAF">
        <w:rPr>
          <w:lang w:val="en-GB"/>
        </w:rPr>
        <w:fldChar w:fldCharType="end"/>
      </w:r>
      <w:r w:rsidR="3BCDB1C9" w:rsidRPr="728F2DAF">
        <w:rPr>
          <w:lang w:val="en-GB"/>
        </w:rPr>
        <w:t>.</w:t>
      </w:r>
    </w:p>
    <w:p w14:paraId="49AEB5AD" w14:textId="4952008E" w:rsidR="00853440" w:rsidRPr="00DA249F" w:rsidRDefault="405FE049">
      <w:pPr>
        <w:rPr>
          <w:lang w:val="en-GB"/>
        </w:rPr>
      </w:pPr>
      <w:r w:rsidRPr="00DA249F">
        <w:rPr>
          <w:lang w:val="en-GB"/>
        </w:rPr>
        <w:t>There have been m</w:t>
      </w:r>
      <w:r w:rsidR="3FDD3F9D" w:rsidRPr="00DA249F">
        <w:rPr>
          <w:lang w:val="en-GB"/>
        </w:rPr>
        <w:t>any</w:t>
      </w:r>
      <w:r w:rsidRPr="00DA249F">
        <w:rPr>
          <w:lang w:val="en-GB"/>
        </w:rPr>
        <w:t xml:space="preserve"> intentional</w:t>
      </w:r>
      <w:r w:rsidR="3FDD3F9D" w:rsidRPr="00DA249F">
        <w:rPr>
          <w:lang w:val="en-GB"/>
        </w:rPr>
        <w:t xml:space="preserve"> </w:t>
      </w:r>
      <w:r w:rsidR="5EC531B3" w:rsidRPr="00DA249F">
        <w:rPr>
          <w:lang w:val="en-GB"/>
        </w:rPr>
        <w:t>introductions of</w:t>
      </w:r>
      <w:r w:rsidR="3FDD3F9D" w:rsidRPr="00DA249F">
        <w:rPr>
          <w:lang w:val="en-GB"/>
        </w:rPr>
        <w:t xml:space="preserve"> invasive alien species, motivat</w:t>
      </w:r>
      <w:r w:rsidR="5EC531B3" w:rsidRPr="00DA249F">
        <w:rPr>
          <w:lang w:val="en-GB"/>
        </w:rPr>
        <w:t>ed</w:t>
      </w:r>
      <w:r w:rsidR="07BD9F3A" w:rsidRPr="00DA249F">
        <w:rPr>
          <w:lang w:val="en-GB"/>
        </w:rPr>
        <w:t xml:space="preserve"> </w:t>
      </w:r>
      <w:r w:rsidR="4941C7FE" w:rsidRPr="00DA249F">
        <w:rPr>
          <w:lang w:val="en-GB"/>
        </w:rPr>
        <w:t xml:space="preserve">by </w:t>
      </w:r>
      <w:r w:rsidR="2289C53D" w:rsidRPr="00DA249F">
        <w:rPr>
          <w:lang w:val="en-GB"/>
        </w:rPr>
        <w:t xml:space="preserve">desires to </w:t>
      </w:r>
      <w:r w:rsidR="3FDD3F9D" w:rsidRPr="00DA249F">
        <w:rPr>
          <w:lang w:val="en-GB"/>
        </w:rPr>
        <w:t xml:space="preserve">improve </w:t>
      </w:r>
      <w:r w:rsidR="202FB4BC" w:rsidRPr="00DA249F">
        <w:rPr>
          <w:lang w:val="en-GB"/>
        </w:rPr>
        <w:t xml:space="preserve">specific aspects of </w:t>
      </w:r>
      <w:r w:rsidR="3FDD3F9D" w:rsidRPr="00DA249F">
        <w:rPr>
          <w:lang w:val="en-GB"/>
        </w:rPr>
        <w:t xml:space="preserve">good quality of life </w:t>
      </w:r>
      <w:r w:rsidR="6F0DCB6D" w:rsidRPr="00DA249F">
        <w:rPr>
          <w:lang w:val="en-GB"/>
        </w:rPr>
        <w:t>(</w:t>
      </w:r>
      <w:r w:rsidR="00B21885" w:rsidRPr="728F2DAF">
        <w:rPr>
          <w:b/>
          <w:bCs/>
          <w:lang w:val="en-GB"/>
        </w:rPr>
        <w:fldChar w:fldCharType="begin"/>
      </w:r>
      <w:r w:rsidR="00B21885" w:rsidRPr="728F2DAF">
        <w:rPr>
          <w:b/>
          <w:bCs/>
          <w:lang w:val="en-GB"/>
        </w:rPr>
        <w:instrText xml:space="preserve"> REF _Ref123901176 \h  \* MERGEFORMAT </w:instrText>
      </w:r>
      <w:r w:rsidR="00B21885" w:rsidRPr="728F2DAF">
        <w:rPr>
          <w:b/>
          <w:bCs/>
          <w:lang w:val="en-GB"/>
        </w:rPr>
      </w:r>
      <w:r w:rsidR="00B21885" w:rsidRPr="728F2DAF">
        <w:rPr>
          <w:b/>
          <w:bCs/>
          <w:lang w:val="en-GB"/>
        </w:rPr>
        <w:fldChar w:fldCharType="separate"/>
      </w:r>
      <w:r w:rsidR="00287BC7" w:rsidRPr="00287BC7">
        <w:rPr>
          <w:b/>
          <w:bCs/>
          <w:lang w:val="en-GB"/>
        </w:rPr>
        <w:t>Box 3.2</w:t>
      </w:r>
      <w:r w:rsidR="00B21885" w:rsidRPr="728F2DAF">
        <w:rPr>
          <w:b/>
          <w:bCs/>
          <w:lang w:val="en-GB"/>
        </w:rPr>
        <w:fldChar w:fldCharType="end"/>
      </w:r>
      <w:r w:rsidR="7FE23F34" w:rsidRPr="728F2DAF">
        <w:rPr>
          <w:i/>
          <w:iCs/>
          <w:lang w:val="en-GB"/>
        </w:rPr>
        <w:t xml:space="preserve"> </w:t>
      </w:r>
      <w:r w:rsidR="7FE23F34" w:rsidRPr="00DA249F">
        <w:rPr>
          <w:lang w:val="en-GB"/>
        </w:rPr>
        <w:t xml:space="preserve">and </w:t>
      </w:r>
      <w:r w:rsidR="337762A4" w:rsidRPr="728F2DAF">
        <w:rPr>
          <w:b/>
          <w:bCs/>
          <w:lang w:val="en-GB"/>
        </w:rPr>
        <w:t>C</w:t>
      </w:r>
      <w:r w:rsidR="7FE23F34" w:rsidRPr="728F2DAF">
        <w:rPr>
          <w:b/>
          <w:bCs/>
          <w:lang w:val="en-GB"/>
        </w:rPr>
        <w:t>hapter 2</w:t>
      </w:r>
      <w:r w:rsidR="7FE23F34" w:rsidRPr="728F2DAF">
        <w:rPr>
          <w:lang w:val="en-GB"/>
        </w:rPr>
        <w:t>,</w:t>
      </w:r>
      <w:r w:rsidR="7FE23F34" w:rsidRPr="728F2DAF">
        <w:rPr>
          <w:b/>
          <w:bCs/>
          <w:lang w:val="en-GB"/>
        </w:rPr>
        <w:t xml:space="preserve"> section 2.1.2</w:t>
      </w:r>
      <w:r w:rsidR="35858B12" w:rsidRPr="00DA249F">
        <w:rPr>
          <w:lang w:val="en-GB"/>
        </w:rPr>
        <w:t>)</w:t>
      </w:r>
      <w:r w:rsidR="3FDD3F9D" w:rsidRPr="00DA249F">
        <w:rPr>
          <w:lang w:val="en-GB"/>
        </w:rPr>
        <w:t xml:space="preserve">. Though </w:t>
      </w:r>
      <w:r w:rsidR="0DB04F27" w:rsidRPr="00DA249F">
        <w:rPr>
          <w:lang w:val="en-GB"/>
        </w:rPr>
        <w:t xml:space="preserve">the perception that </w:t>
      </w:r>
      <w:r w:rsidR="7C2F5008">
        <w:rPr>
          <w:lang w:val="en-GB"/>
        </w:rPr>
        <w:t>an</w:t>
      </w:r>
      <w:r w:rsidR="0DB04F27" w:rsidRPr="00DA249F">
        <w:rPr>
          <w:lang w:val="en-GB"/>
        </w:rPr>
        <w:t xml:space="preserve"> invasive alien species confers a </w:t>
      </w:r>
      <w:r w:rsidR="527AD744" w:rsidRPr="00DA249F">
        <w:rPr>
          <w:lang w:val="en-GB"/>
        </w:rPr>
        <w:t xml:space="preserve">benefit </w:t>
      </w:r>
      <w:r w:rsidR="6E777B90" w:rsidRPr="00DA249F">
        <w:rPr>
          <w:lang w:val="en-GB"/>
        </w:rPr>
        <w:t>i</w:t>
      </w:r>
      <w:r w:rsidR="527AD744" w:rsidRPr="00DA249F">
        <w:rPr>
          <w:lang w:val="en-GB"/>
        </w:rPr>
        <w:t>s not necessarily knowledge-based</w:t>
      </w:r>
      <w:r w:rsidR="3FDD3F9D" w:rsidRPr="00DA249F">
        <w:rPr>
          <w:lang w:val="en-GB"/>
        </w:rPr>
        <w:t xml:space="preserve">, it nonetheless serves as a </w:t>
      </w:r>
      <w:r w:rsidR="22FE952E" w:rsidRPr="00DA249F">
        <w:rPr>
          <w:lang w:val="en-GB"/>
        </w:rPr>
        <w:t xml:space="preserve">powerful </w:t>
      </w:r>
      <w:r w:rsidR="53F7BA35" w:rsidRPr="00DA249F">
        <w:rPr>
          <w:lang w:val="en-GB"/>
        </w:rPr>
        <w:t>motivation for</w:t>
      </w:r>
      <w:r w:rsidR="2A0C6D53" w:rsidRPr="00DA249F">
        <w:rPr>
          <w:lang w:val="en-GB"/>
        </w:rPr>
        <w:t xml:space="preserve"> the introduction of invasive alien species </w:t>
      </w:r>
      <w:r w:rsidR="3FDD3F9D" w:rsidRPr="00DA249F">
        <w:rPr>
          <w:lang w:val="en-GB"/>
        </w:rPr>
        <w:t xml:space="preserve">usually </w:t>
      </w:r>
      <w:r w:rsidR="2A0C6D53" w:rsidRPr="00DA249F">
        <w:rPr>
          <w:lang w:val="en-GB"/>
        </w:rPr>
        <w:t>as a result of</w:t>
      </w:r>
      <w:r w:rsidR="3FDD3F9D" w:rsidRPr="00DA249F">
        <w:rPr>
          <w:lang w:val="en-GB"/>
        </w:rPr>
        <w:t xml:space="preserve"> expectations </w:t>
      </w:r>
      <w:r w:rsidR="2A0C6D53" w:rsidRPr="00DA249F">
        <w:rPr>
          <w:lang w:val="en-GB"/>
        </w:rPr>
        <w:t xml:space="preserve">relating to </w:t>
      </w:r>
      <w:r w:rsidR="3FDD3F9D" w:rsidRPr="00DA249F">
        <w:rPr>
          <w:lang w:val="en-GB"/>
        </w:rPr>
        <w:t>increased employment, wealth, food sources, or other material gains</w:t>
      </w:r>
      <w:r w:rsidR="011889AB" w:rsidRPr="00DA249F">
        <w:rPr>
          <w:lang w:val="en-GB"/>
        </w:rPr>
        <w:t xml:space="preserve"> </w:t>
      </w:r>
      <w:r w:rsidR="6F0DCB6D" w:rsidRPr="00DA249F">
        <w:rPr>
          <w:lang w:val="en-GB"/>
        </w:rPr>
        <w:t>(</w:t>
      </w:r>
      <w:r w:rsidR="337762A4" w:rsidRPr="728F2DAF">
        <w:rPr>
          <w:b/>
          <w:bCs/>
          <w:lang w:val="en-GB"/>
        </w:rPr>
        <w:t>C</w:t>
      </w:r>
      <w:r w:rsidR="011889AB" w:rsidRPr="728F2DAF">
        <w:rPr>
          <w:b/>
          <w:bCs/>
          <w:lang w:val="en-GB"/>
        </w:rPr>
        <w:t>hapter 4</w:t>
      </w:r>
      <w:r w:rsidR="011889AB" w:rsidRPr="728F2DAF">
        <w:rPr>
          <w:lang w:val="en-GB"/>
        </w:rPr>
        <w:t>,</w:t>
      </w:r>
      <w:r w:rsidR="01EA7B10" w:rsidRPr="728F2DAF">
        <w:rPr>
          <w:b/>
          <w:bCs/>
          <w:lang w:val="en-GB"/>
        </w:rPr>
        <w:t xml:space="preserve"> section 4.1.</w:t>
      </w:r>
      <w:r w:rsidR="66AD2627" w:rsidRPr="728F2DAF">
        <w:rPr>
          <w:b/>
          <w:bCs/>
          <w:lang w:val="en-GB"/>
        </w:rPr>
        <w:t>2</w:t>
      </w:r>
      <w:r w:rsidR="66AD2627" w:rsidRPr="009C1CC6">
        <w:rPr>
          <w:lang w:val="en-GB"/>
        </w:rPr>
        <w:t>;</w:t>
      </w:r>
      <w:r w:rsidR="66AD2627" w:rsidRPr="728F2DAF">
        <w:rPr>
          <w:b/>
          <w:bCs/>
          <w:lang w:val="en-GB"/>
        </w:rPr>
        <w:t xml:space="preserve"> </w:t>
      </w:r>
      <w:r w:rsidR="337762A4" w:rsidRPr="728F2DAF">
        <w:rPr>
          <w:b/>
          <w:bCs/>
          <w:lang w:val="en-GB"/>
        </w:rPr>
        <w:t>C</w:t>
      </w:r>
      <w:r w:rsidR="011889AB" w:rsidRPr="728F2DAF">
        <w:rPr>
          <w:b/>
          <w:bCs/>
          <w:lang w:val="en-GB"/>
        </w:rPr>
        <w:t>hapter 5</w:t>
      </w:r>
      <w:r w:rsidR="011889AB" w:rsidRPr="728F2DAF">
        <w:rPr>
          <w:lang w:val="en-GB"/>
        </w:rPr>
        <w:t xml:space="preserve">, </w:t>
      </w:r>
      <w:r w:rsidR="01EA7B10" w:rsidRPr="728F2DAF">
        <w:rPr>
          <w:b/>
          <w:bCs/>
          <w:lang w:val="en-GB"/>
        </w:rPr>
        <w:t xml:space="preserve">section </w:t>
      </w:r>
      <w:r w:rsidR="32DB2A54" w:rsidRPr="728F2DAF">
        <w:rPr>
          <w:b/>
          <w:bCs/>
          <w:lang w:val="en-GB"/>
        </w:rPr>
        <w:t>5.6.</w:t>
      </w:r>
      <w:r w:rsidR="3FEF7E20" w:rsidRPr="728F2DAF">
        <w:rPr>
          <w:b/>
          <w:bCs/>
          <w:lang w:val="en-GB"/>
        </w:rPr>
        <w:t>1</w:t>
      </w:r>
      <w:r w:rsidR="32DB2A54" w:rsidRPr="728F2DAF">
        <w:rPr>
          <w:b/>
          <w:bCs/>
          <w:lang w:val="en-GB"/>
        </w:rPr>
        <w:t>.2</w:t>
      </w:r>
      <w:r w:rsidR="32DB2A54" w:rsidRPr="00DA249F">
        <w:rPr>
          <w:lang w:val="en-GB"/>
        </w:rPr>
        <w:t>)</w:t>
      </w:r>
      <w:r w:rsidR="3FDD3F9D" w:rsidRPr="00DA249F">
        <w:rPr>
          <w:lang w:val="en-GB"/>
        </w:rPr>
        <w:t>.</w:t>
      </w:r>
      <w:r w:rsidR="6252810B" w:rsidRPr="00DA249F">
        <w:rPr>
          <w:lang w:val="en-GB"/>
        </w:rPr>
        <w:t xml:space="preserve"> </w:t>
      </w:r>
      <w:r w:rsidR="3FDD3F9D" w:rsidRPr="00DA249F">
        <w:rPr>
          <w:lang w:val="en-GB"/>
        </w:rPr>
        <w:t xml:space="preserve">Meanwhile, negative impacts related to invasive alien species (whether they are </w:t>
      </w:r>
      <w:r w:rsidR="663F4EB3" w:rsidRPr="00DA249F">
        <w:rPr>
          <w:lang w:val="en-GB"/>
        </w:rPr>
        <w:t>intentionally</w:t>
      </w:r>
      <w:r w:rsidR="7FE23F34" w:rsidRPr="00DA249F">
        <w:rPr>
          <w:lang w:val="en-GB"/>
        </w:rPr>
        <w:t xml:space="preserve"> </w:t>
      </w:r>
      <w:r w:rsidR="3FDD3F9D" w:rsidRPr="00DA249F">
        <w:rPr>
          <w:lang w:val="en-GB"/>
        </w:rPr>
        <w:t xml:space="preserve">or </w:t>
      </w:r>
      <w:r w:rsidR="6A0BF5D1" w:rsidRPr="00DA249F">
        <w:rPr>
          <w:lang w:val="en-GB"/>
        </w:rPr>
        <w:t>unintentionally</w:t>
      </w:r>
      <w:r w:rsidR="3FDD3F9D" w:rsidRPr="00DA249F">
        <w:rPr>
          <w:lang w:val="en-GB"/>
        </w:rPr>
        <w:t xml:space="preserve"> introduced) such as threats to good quality of life, often </w:t>
      </w:r>
      <w:r w:rsidR="7FFE2EB0" w:rsidRPr="00DA249F">
        <w:rPr>
          <w:lang w:val="en-GB"/>
        </w:rPr>
        <w:t>motivat</w:t>
      </w:r>
      <w:r w:rsidR="411271B2" w:rsidRPr="00DA249F">
        <w:rPr>
          <w:lang w:val="en-GB"/>
        </w:rPr>
        <w:t>es</w:t>
      </w:r>
      <w:r w:rsidR="3FDD3F9D" w:rsidRPr="00DA249F">
        <w:rPr>
          <w:lang w:val="en-GB"/>
        </w:rPr>
        <w:t xml:space="preserve"> the management of </w:t>
      </w:r>
      <w:r w:rsidR="6DBA5270" w:rsidRPr="00DA249F">
        <w:rPr>
          <w:lang w:val="en-GB"/>
        </w:rPr>
        <w:t xml:space="preserve">biological invasions and specifically the control of invasive alien species </w:t>
      </w:r>
      <w:r w:rsidR="668E4E11" w:rsidRPr="00DA249F">
        <w:rPr>
          <w:lang w:val="en-GB"/>
        </w:rPr>
        <w:fldChar w:fldCharType="begin"/>
      </w:r>
      <w:r w:rsidR="00230216">
        <w:rPr>
          <w:lang w:val="en-GB"/>
        </w:rPr>
        <w:instrText xml:space="preserve"> ADDIN ZOTERO_ITEM CSL_CITATION {"citationID":"TqLxplhq","properties":{"formattedCitation":"(McNeely, 2001; R. T. Shackleton, Shackleton, et al., 2019)","plainCitation":"(McNeely, 2001; R. T. Shackleton, Shackleton, et al., 2019)","dontUpdate":true,"noteIndex":0},"citationItems":[{"id":16532,"uris":["http://zotero.org/groups/2352922/items/FWH8CLJG"],"itemData":{"id":16532,"type":"chapter","abstract":"While the issue of invasive alien species has important biological components, the human dimensions deserve much greater attention. First, virtually all of our planet’s ecosystems have a strong and increasing anthropogenic component that is being fed by increasing globalization of the economy. Second, people are designing the kinds of ecosystems they find productive or congenial, incorporating species from all parts of the world. Third, growing travel and trade, coupled with weakening customs and quarantine controls, mean that people are both intentionally and inadvertently introducing alien species that may become invasive. And fourth, the issue has important philosophical dimensions, requiring people to examine fundamental ideas, such as “native” and “natural”. The great increase in the introduction of alien species that people are importing for economic, aesthetic, accidental, or even psychological reasons is leading to more species invading native ecosystems, with disastrous results: they become invasive alien species (IAS) that have significant deleterious effects on both ecosystems and economies. This introductory chapter examines some of the important human dimensions of the IAS problem, including historical, economic, cultural, linguistic, health, psychological, sociological, management, legal, military, philosophical, ethical, and political dimensions. These are addressed in terms of the causes, the consequences, and the responses to the problem of IAS. Many of these are discussed in considerable detail in other papers in this volume, but it is apparent from this introduction that the human dimensions of IAS are fundamental, and that successfully addressing the problem will call for greater collaboration between different economic sectors and among a wide range of disciplines. The Convention on\nBiological Diversity and many other international agreements offer important opportunities for addressing the complex global problems of IAS through improved international\ncooperation.","container-title":"The Great Reshuffling;  Human Dimensions of Invasive Alien Species","ISBN":"2-8317-0602-5","page":"1-9","publisher":"IUCN – The World Conservation Union","title":"An introduction to human dimensions of invasive alien species","author":[{"family":"McNeely","given":"Jeffrey A."}],"issued":{"date-parts":[["2001"]]}}},{"id":"zUkrYEfa/lBU8ERMi","uris":["http://zotero.org/groups/2352922/items/AAI22MND"],"itemData":{"id":7298,"type":"article-journal","abstract":"Invasive alien species are a well-recognised driver of social-ecological change globally. Much research has focused on ecological impacts, but the role of invasive species for livelihoods and human well-being is less well known. Understanding the effects (benefits and costs) of invasive species on livelihoods and human well-being is important for guiding policy formulation and management. Here we review the literature on the role of invasive species in livelihoods to assess what is known, identify knowledge gaps and provide recommendations for future research. Literature was collected using key word searches and included both journal publications and grey literature. Slightly less than half (48%) of species studied had both substantial positive and negative impacts on local livelihoods (e.g. Australian Acacia spp. species; Camelus dromedaries; Lantana camara; Prosopis spp.), with 37% inducing mainly costs (Chromolaena odorata; Lissachatina fulica; Opuntia stricta) and 16% producing mainly benefits (Opuntia ficus-indica; Acacia spp.). Some species, such as Acacia dealbata, fell into different categories depending on the social-ecological context. Key benefits or services included the provision of fuelwood, fodder, timber and food products for local households communities and to a lesser extent supporting and regulating services such as soil improvement and shade. A number of species also provided cultural services such as recreation and spiritual values and provided many with an opportunity to earn a cash income. However, invasive species also harm livelihoods and increase vulnerability through encroaching on land and reducing mobility or access. They can also decrease the supply of natural resources used by households and reduce agricultural production (livestock and/or crops) which can result in losses of income and increased vulnerability. Furthermore, some invasive species were seen to have negative implications for human health and safety and reduce the cultural value of landscapes. Economic impacts on livelihoods as a result of invasive species were highly variable and very dependent on the social-ecological contexts. These negative implications can reduce resilience and adaptive capacity of households and communities thus increasing their vulnerability to change. Drawing on case studies we highlight that efforts for managing invasive species need to safeguard livelihood benefits while mitigating negative impacts. In concluding we highlight future research and policy needs on the topic of invasive species, livelihoods and human well-being. © 2018 Elsevier Ltd","collection-title":"The human and social dimensions of invasion science and management","container-title":"Journal of Environmental Management","DOI":"10.1016/j.jenvman.2018.05.007","ISSN":"0301-4797","journalAbbreviation":"Journal of Environmental Management","language":"en","page":"145-157","title":"The role of invasive alien species in shaping local livelihoods and human well-being: a review","title-short":"The role of invasive alien species in shaping local livelihoods and human well-being","volume":"229","author":[{"family":"Shackleton","given":"R.T."},{"family":"Shackleton","given":"C.M."},{"family":"Kull","given":"C.A."}],"issued":{"date-parts":[["2019"]]}}}],"schema":"https://github.com/citation-style-language/schema/raw/master/csl-citation.json"} </w:instrText>
      </w:r>
      <w:r w:rsidR="668E4E11" w:rsidRPr="00DA249F">
        <w:rPr>
          <w:lang w:val="en-GB"/>
        </w:rPr>
        <w:fldChar w:fldCharType="separate"/>
      </w:r>
      <w:r w:rsidR="12A0F313" w:rsidRPr="00DA249F">
        <w:rPr>
          <w:lang w:val="en-GB"/>
        </w:rPr>
        <w:t>(McNeely, 2001; Shackleton et al., 2019)</w:t>
      </w:r>
      <w:r w:rsidR="668E4E11" w:rsidRPr="00DA249F">
        <w:rPr>
          <w:lang w:val="en-GB"/>
        </w:rPr>
        <w:fldChar w:fldCharType="end"/>
      </w:r>
      <w:r w:rsidR="3FDD3F9D" w:rsidRPr="00DA249F">
        <w:rPr>
          <w:lang w:val="en-GB"/>
        </w:rPr>
        <w:t>. However, different perceptions can and often do co-exist</w:t>
      </w:r>
      <w:r w:rsidR="65F0D1BD" w:rsidRPr="00DA249F">
        <w:rPr>
          <w:lang w:val="en-GB"/>
        </w:rPr>
        <w:t>.</w:t>
      </w:r>
      <w:r w:rsidR="3A23A59B" w:rsidRPr="00DA249F">
        <w:rPr>
          <w:lang w:val="en-GB"/>
        </w:rPr>
        <w:t xml:space="preserve"> </w:t>
      </w:r>
      <w:r w:rsidR="3FDD3F9D" w:rsidRPr="00DA249F">
        <w:rPr>
          <w:lang w:val="en-GB"/>
        </w:rPr>
        <w:t xml:space="preserve">Specific invasive alien species considered as </w:t>
      </w:r>
      <w:r w:rsidR="404C0847" w:rsidRPr="728F2DAF">
        <w:rPr>
          <w:lang w:val="en-GB"/>
        </w:rPr>
        <w:t>problematic</w:t>
      </w:r>
      <w:r w:rsidR="3FDD3F9D" w:rsidRPr="00DA249F">
        <w:rPr>
          <w:lang w:val="en-GB"/>
        </w:rPr>
        <w:t xml:space="preserve"> by one social sector may provide valuable</w:t>
      </w:r>
      <w:r w:rsidR="399845E6" w:rsidRPr="00DA249F">
        <w:rPr>
          <w:lang w:val="en-GB"/>
        </w:rPr>
        <w:t xml:space="preserve"> contributions to people</w:t>
      </w:r>
      <w:r w:rsidR="3FDD3F9D" w:rsidRPr="00DA249F">
        <w:rPr>
          <w:lang w:val="en-GB"/>
        </w:rPr>
        <w:t>, cultural benefits, or other intrinsic values to another</w:t>
      </w:r>
      <w:r w:rsidR="33EB489A" w:rsidRPr="00DA249F">
        <w:rPr>
          <w:lang w:val="en-GB"/>
        </w:rPr>
        <w:t xml:space="preserve"> </w:t>
      </w:r>
      <w:r w:rsidR="191FE395" w:rsidRPr="00DA249F">
        <w:rPr>
          <w:lang w:val="en-GB"/>
        </w:rPr>
        <w:t>(</w:t>
      </w:r>
      <w:r w:rsidR="337762A4" w:rsidRPr="728F2DAF">
        <w:rPr>
          <w:b/>
          <w:bCs/>
          <w:lang w:val="en-GB"/>
        </w:rPr>
        <w:t>C</w:t>
      </w:r>
      <w:r w:rsidR="191FE395" w:rsidRPr="728F2DAF">
        <w:rPr>
          <w:b/>
          <w:bCs/>
          <w:lang w:val="en-GB"/>
        </w:rPr>
        <w:t>hapter 1</w:t>
      </w:r>
      <w:r w:rsidR="337762A4" w:rsidRPr="728F2DAF">
        <w:rPr>
          <w:lang w:val="en-GB"/>
        </w:rPr>
        <w:t>,</w:t>
      </w:r>
      <w:r w:rsidR="191FE395" w:rsidRPr="728F2DAF">
        <w:rPr>
          <w:b/>
          <w:bCs/>
          <w:lang w:val="en-GB"/>
        </w:rPr>
        <w:t xml:space="preserve"> section</w:t>
      </w:r>
      <w:r w:rsidR="366F752B" w:rsidRPr="728F2DAF">
        <w:rPr>
          <w:b/>
          <w:bCs/>
          <w:lang w:val="en-GB"/>
        </w:rPr>
        <w:t xml:space="preserve"> 1.5.2</w:t>
      </w:r>
      <w:r w:rsidR="191FE395" w:rsidRPr="00DA249F">
        <w:rPr>
          <w:lang w:val="en-GB"/>
        </w:rPr>
        <w:t>;</w:t>
      </w:r>
      <w:r w:rsidR="399845E6" w:rsidRPr="00DA249F">
        <w:rPr>
          <w:lang w:val="en-GB"/>
        </w:rPr>
        <w:t xml:space="preserve"> </w:t>
      </w:r>
      <w:r w:rsidR="668E4E11" w:rsidRPr="00DA249F">
        <w:rPr>
          <w:lang w:val="en-GB"/>
        </w:rPr>
        <w:fldChar w:fldCharType="begin"/>
      </w:r>
      <w:r w:rsidR="00331A79">
        <w:rPr>
          <w:lang w:val="en-GB"/>
        </w:rPr>
        <w:instrText xml:space="preserve"> ADDIN ZOTERO_ITEM CSL_CITATION {"citationID":"6MeDLwtN","properties":{"formattedCitation":"(McNeely, 2001; Schlaepfer et al., 2011)","plainCitation":"(McNeely, 2001; Schlaepfer et al., 2011)","dontUpdate":true,"noteIndex":0},"citationItems":[{"id":16532,"uris":["http://zotero.org/groups/2352922/items/FWH8CLJG"],"itemData":{"id":16532,"type":"chapter","abstract":"While the issue of invasive alien species has important biological components, the human dimensions deserve much greater attention. First, virtually all of our planet’s ecosystems have a strong and increasing anthropogenic component that is being fed by increasing globalization of the economy. Second, people are designing the kinds of ecosystems they find productive or congenial, incorporating species from all parts of the world. Third, growing travel and trade, coupled with weakening customs and quarantine controls, mean that people are both intentionally and inadvertently introducing alien species that may become invasive. And fourth, the issue has important philosophical dimensions, requiring people to examine fundamental ideas, such as “native” and “natural”. The great increase in the introduction of alien species that people are importing for economic, aesthetic, accidental, or even psychological reasons is leading to more species invading native ecosystems, with disastrous results: they become invasive alien species (IAS) that have significant deleterious effects on both ecosystems and economies. This introductory chapter examines some of the important human dimensions of the IAS problem, including historical, economic, cultural, linguistic, health, psychological, sociological, management, legal, military, philosophical, ethical, and political dimensions. These are addressed in terms of the causes, the consequences, and the responses to the problem of IAS. Many of these are discussed in considerable detail in other papers in this volume, but it is apparent from this introduction that the human dimensions of IAS are fundamental, and that successfully addressing the problem will call for greater collaboration between different economic sectors and among a wide range of disciplines. The Convention on\nBiological Diversity and many other international agreements offer important opportunities for addressing the complex global problems of IAS through improved international\ncooperation.","container-title":"The Great Reshuffling;  Human Dimensions of Invasive Alien Species","ISBN":"2-8317-0602-5","page":"1-9","publisher":"IUCN – The World Conservation Union","title":"An introduction to human dimensions of invasive alien species","author":[{"family":"McNeely","given":"Jeffrey A."}],"issued":{"date-parts":[["2001"]]}}},{"id":16292,"uris":["http://zotero.org/groups/2352922/items/UJC7VYLW"],"itemData":{"id":16292,"type":"article-journal","abstract":"Non-native species can cause the loss of biological diversity (i.e., genetic, species, and ecosystem diversity) and threaten the well-being of humans when they become invasive. In some cases, however, they can also provide conservation benefits. We examined the ways in which non-native species currently contribute to conservation objectives. These include, for example, providing habitat or food resources to rare species, serving as functional substitutes for extinct taxa, and providing desirable ecosystem functions. We speculate that non-native species might contribute to achieving conservation goals in the future because they may be more likely than native species to persist and provide ecosystem services in areas where climate and land use are changing rapidly and because they may evolve into new and endemic taxa. The management of non-native species and their potential integration into conservation plans depends on how conservation goals are set in the future. A fraction of non-native species will continue to cause biological and economic damage, and substantial uncertainty surrounds the potential future effects of all non-native species. Nevertheless, we predict the proportion of non-native species that are viewed as benign or even desirable will slowly increase over time as their potential contributions to society and to achieving conservation objectives become well recognized and realized. ©2011 Society for Conservation Biology.","container-title":"Conservation Biology","DOI":"10.1111/j.1523-1739.2010.01646.x","issue":"3","page":"428-437","title":"The potential conservation value of non-native species","title-short":"El Valor de Conservación Potencial de Especies No Nativas","URL":"https://www.scopus.com/inward/record.uri?eid=2-s2.0-79955852775&amp;doi=10.1111%2fj.1523-1739.2010.01646.x&amp;partnerID=40&amp;md5=c1ad682dd4e20665e2ed0059e991fbb6","volume":"25","author":[{"family":"Schlaepfer","given":"M.A."},{"family":"Sax","given":"D.F."},{"family":"Olden","given":"J.D."}],"issued":{"date-parts":[["2011"]]}}}],"schema":"https://github.com/citation-style-language/schema/raw/master/csl-citation.json"} </w:instrText>
      </w:r>
      <w:r w:rsidR="668E4E11" w:rsidRPr="00DA249F">
        <w:rPr>
          <w:lang w:val="en-GB"/>
        </w:rPr>
        <w:fldChar w:fldCharType="separate"/>
      </w:r>
      <w:r w:rsidR="4277223B" w:rsidRPr="00DA249F">
        <w:rPr>
          <w:lang w:val="en-GB"/>
        </w:rPr>
        <w:t>McNeely, 2001; Schlaepfer et al., 2011)</w:t>
      </w:r>
      <w:r w:rsidR="668E4E11" w:rsidRPr="00DA249F">
        <w:rPr>
          <w:lang w:val="en-GB"/>
        </w:rPr>
        <w:fldChar w:fldCharType="end"/>
      </w:r>
      <w:r w:rsidR="3FDD3F9D" w:rsidRPr="00DA249F">
        <w:rPr>
          <w:lang w:val="en-GB"/>
        </w:rPr>
        <w:t xml:space="preserve">. </w:t>
      </w:r>
      <w:r w:rsidR="07BD9F3A" w:rsidRPr="00DA249F">
        <w:rPr>
          <w:lang w:val="en-GB"/>
        </w:rPr>
        <w:t xml:space="preserve">For example, in poor rural communities in Madagascar, the introduced </w:t>
      </w:r>
      <w:r w:rsidR="34E37F6F" w:rsidRPr="728F2DAF">
        <w:rPr>
          <w:i/>
          <w:iCs/>
          <w:lang w:val="en-GB"/>
        </w:rPr>
        <w:t>Procambarus virginalis</w:t>
      </w:r>
      <w:r w:rsidR="34E37F6F" w:rsidRPr="00DA249F">
        <w:rPr>
          <w:lang w:val="en-GB"/>
        </w:rPr>
        <w:t xml:space="preserve"> </w:t>
      </w:r>
      <w:r w:rsidR="07BD9F3A" w:rsidRPr="00DA249F">
        <w:rPr>
          <w:lang w:val="en-GB"/>
        </w:rPr>
        <w:t>(</w:t>
      </w:r>
      <w:r w:rsidR="566920C4" w:rsidRPr="00E07DC2">
        <w:rPr>
          <w:lang w:val="en-GB"/>
        </w:rPr>
        <w:t>Marmorkrebs</w:t>
      </w:r>
      <w:r w:rsidR="07BD9F3A" w:rsidRPr="00DA249F">
        <w:rPr>
          <w:lang w:val="en-GB"/>
        </w:rPr>
        <w:t>), while acknowledged to be detrimental to rice farming and fishing, is also valued as a cheap and widely accessible protein source for food and feed, and the perception of overall benefit relative to costs is</w:t>
      </w:r>
      <w:r w:rsidR="2194CFB4" w:rsidRPr="00DA249F">
        <w:rPr>
          <w:lang w:val="en-GB"/>
        </w:rPr>
        <w:t xml:space="preserve"> considered</w:t>
      </w:r>
      <w:r w:rsidR="07BD9F3A" w:rsidRPr="00DA249F">
        <w:rPr>
          <w:lang w:val="en-GB"/>
        </w:rPr>
        <w:t xml:space="preserve"> high</w:t>
      </w:r>
      <w:r w:rsidR="2194CFB4" w:rsidRPr="00DA249F">
        <w:rPr>
          <w:lang w:val="en-GB"/>
        </w:rPr>
        <w:t xml:space="preserve"> by</w:t>
      </w:r>
      <w:r w:rsidR="07BD9F3A" w:rsidRPr="00DA249F">
        <w:rPr>
          <w:lang w:val="en-GB"/>
        </w:rPr>
        <w:t xml:space="preserve"> people not directly involved in fishing or farming</w:t>
      </w:r>
      <w:r w:rsidR="009F7404">
        <w:rPr>
          <w:lang w:val="en-GB"/>
        </w:rPr>
        <w:t xml:space="preserve"> and</w:t>
      </w:r>
      <w:r w:rsidR="07BD9F3A" w:rsidRPr="00DA249F">
        <w:rPr>
          <w:lang w:val="en-GB"/>
        </w:rPr>
        <w:t xml:space="preserve"> </w:t>
      </w:r>
      <w:r w:rsidR="2194CFB4" w:rsidRPr="00DA249F">
        <w:rPr>
          <w:lang w:val="en-GB"/>
        </w:rPr>
        <w:t>by</w:t>
      </w:r>
      <w:r w:rsidR="07BD9F3A" w:rsidRPr="00DA249F">
        <w:rPr>
          <w:lang w:val="en-GB"/>
        </w:rPr>
        <w:t xml:space="preserve"> communities with a long history of crayfish invasion </w:t>
      </w:r>
      <w:r w:rsidR="00301770" w:rsidRPr="00DA249F">
        <w:rPr>
          <w:lang w:val="en-GB"/>
        </w:rPr>
        <w:fldChar w:fldCharType="begin"/>
      </w:r>
      <w:r w:rsidR="00710AC3">
        <w:rPr>
          <w:lang w:val="en-GB"/>
        </w:rPr>
        <w:instrText xml:space="preserve"> ADDIN ZOTERO_ITEM CSL_CITATION {"citationID":"Gd6Sx45r","properties":{"formattedCitation":"(Andriantsoa et al., 2020)","plainCitation":"(Andriantsoa et al., 2020)","noteIndex":0},"citationItems":[{"id":52725,"uris":["http://zotero.org/groups/2352922/items/K9IUDD2F"],"itemData":{"id":52725,"type":"article-journal","abstract":"The negative environmental and economic impacts of many invasive species are well known. However, given the increased homogenization of global biota, and the difficulty of eradicating species once established, a balanced approach to considering the impacts of invasive species is needed. The marbled crayfish (Procambarus virginalis) is a parthenogenetic freshwater crayfish that was first observed in Madagascar around 2005 and has spread rapidly. We present the results of a socio-economic survey (n = 385) in three regions of Madagascar that vary in terms of when the marbled crayfish first arrived. Respondents generally considered marbled crayfish to have a negative impact on rice agriculture and fishing, however the animals were seen as making a positive contribution to household economy and food security. Regression modeling showed that respondents in regions with longer experience of marbled crayfish have more positive perceptions. Unsurprisingly, considering the perception that crayfish negatively impact rice agriculture, those not involved in crayfish harvesting and trading had more negative views towards the crayfish than those involved in crayfish-related activities. Food preference ranking and market surveys revealed the acceptance of marbled crayfish as a cheap source of animal protein; a clear positive in a country with widespread malnutrition. While data on biodiversity impacts of the marbled crayfish invasion in Madagascar are still completely lacking, this study provides insight into the socio-economic impacts of the dramatic spread of this unique invasive species. “Biby kely tsy fantam-piaviana, mahavelona fianakaviana” (a small animal coming from who knows where which supports the needs of the family). Government worker Analamanga, Madagascar.","container-title":"PLOS ONE","DOI":"10.1371/journal.pone.0231773","ISSN":"1932-6203","issue":"4","journalAbbreviation":"PLoS ONE","language":"en","note":"publisher: Public Library of Science","page":"e0231773","source":"PLoS Journals","title":"Perceived socio-economic impacts of the marbled crayfish invasion in Madagascar","URL":"https://journals.plos.org/plosone/article?id=10.1371/journal.pone.0231773","volume":"15","author":[{"family":"Andriantsoa","given":"Ranja"},{"family":"Jones","given":"Julia P. G."},{"family":"Achimescu","given":"Vlad"},{"family":"Randrianarison","given":"Heriniaina"},{"family":"Raselimanana","given":"Miary"},{"family":"Andriatsitohaina","given":"Manjary"},{"family":"Rasamy","given":"Jeanne"},{"family":"Lyko","given":"Frank"}],"accessed":{"date-parts":[["2022",7,28]]},"issued":{"date-parts":[["2020",4,15]]}}}],"schema":"https://github.com/citation-style-language/schema/raw/master/csl-citation.json"} </w:instrText>
      </w:r>
      <w:r w:rsidR="00301770" w:rsidRPr="00DA249F">
        <w:rPr>
          <w:lang w:val="en-GB"/>
        </w:rPr>
        <w:fldChar w:fldCharType="separate"/>
      </w:r>
      <w:r w:rsidR="0566DAD0" w:rsidRPr="00144D96">
        <w:t>(Andriantsoa et al., 2020)</w:t>
      </w:r>
      <w:r w:rsidR="00301770" w:rsidRPr="00DA249F">
        <w:rPr>
          <w:lang w:val="en-GB"/>
        </w:rPr>
        <w:fldChar w:fldCharType="end"/>
      </w:r>
      <w:r w:rsidR="07BD9F3A" w:rsidRPr="00DA249F">
        <w:rPr>
          <w:lang w:val="en-GB"/>
        </w:rPr>
        <w:t xml:space="preserve">. </w:t>
      </w:r>
      <w:r w:rsidR="07BD9F3A" w:rsidRPr="728F2DAF">
        <w:rPr>
          <w:i/>
          <w:iCs/>
          <w:lang w:val="en-GB"/>
        </w:rPr>
        <w:t>Opuntia ficus-indica</w:t>
      </w:r>
      <w:r w:rsidR="07BD9F3A" w:rsidRPr="00DA249F">
        <w:rPr>
          <w:lang w:val="en-GB"/>
        </w:rPr>
        <w:t xml:space="preserve"> (prickly</w:t>
      </w:r>
      <w:r w:rsidR="4EA603FC" w:rsidRPr="00DA249F">
        <w:rPr>
          <w:lang w:val="en-GB"/>
        </w:rPr>
        <w:t xml:space="preserve"> </w:t>
      </w:r>
      <w:r w:rsidR="07BD9F3A" w:rsidRPr="00DA249F">
        <w:rPr>
          <w:lang w:val="en-GB"/>
        </w:rPr>
        <w:t xml:space="preserve">pear), an </w:t>
      </w:r>
      <w:r w:rsidR="10FF6269">
        <w:rPr>
          <w:lang w:val="en-GB"/>
        </w:rPr>
        <w:t xml:space="preserve">invasive </w:t>
      </w:r>
      <w:r w:rsidR="07BD9F3A" w:rsidRPr="00DA249F">
        <w:rPr>
          <w:lang w:val="en-GB"/>
        </w:rPr>
        <w:t>alien cactus, has high economic value to rural communities</w:t>
      </w:r>
      <w:r w:rsidR="7C2F5008" w:rsidRPr="007C4DA5">
        <w:rPr>
          <w:lang w:val="en-GB"/>
        </w:rPr>
        <w:t xml:space="preserve"> </w:t>
      </w:r>
      <w:r w:rsidR="7C2F5008" w:rsidRPr="00DA249F">
        <w:rPr>
          <w:lang w:val="en-GB"/>
        </w:rPr>
        <w:t>in South Africa</w:t>
      </w:r>
      <w:r w:rsidR="07BD9F3A" w:rsidRPr="00DA249F">
        <w:rPr>
          <w:lang w:val="en-GB"/>
        </w:rPr>
        <w:t xml:space="preserve">, </w:t>
      </w:r>
      <w:r w:rsidR="54A93242" w:rsidRPr="00DA249F">
        <w:rPr>
          <w:lang w:val="en-GB"/>
        </w:rPr>
        <w:t xml:space="preserve">where it is </w:t>
      </w:r>
      <w:r w:rsidR="07BD9F3A" w:rsidRPr="00DA249F">
        <w:rPr>
          <w:lang w:val="en-GB"/>
        </w:rPr>
        <w:t xml:space="preserve">used for stock fences or as fresh fruit, and as such is considered positively by farmers, which has consequently affected its establishment and spread </w:t>
      </w:r>
      <w:r w:rsidR="00301770" w:rsidRPr="00DA249F">
        <w:rPr>
          <w:lang w:val="en-GB"/>
        </w:rPr>
        <w:lastRenderedPageBreak/>
        <w:fldChar w:fldCharType="begin"/>
      </w:r>
      <w:r w:rsidR="00331A79">
        <w:rPr>
          <w:lang w:val="en-GB"/>
        </w:rPr>
        <w:instrText xml:space="preserve"> ADDIN ZOTERO_ITEM CSL_CITATION {"citationID":"X9DWWlhG","properties":{"formattedCitation":"(Kapitza et al., 2019; C. M. Shackleton et al., 2007)","plainCitation":"(Kapitza et al., 2019; C. M. Shackleton et al., 2007)","dontUpdate":true,"noteIndex":0},"citationItems":[{"id":31155,"uris":["http://zotero.org/groups/2352922/items/K73MTN8P"],"itemData":{"id":31155,"type":"article-journal","abstract":"The detrimental impacts of invasive alien species (IAS) on ecosystem goods and services and local and regional economies are well documented. However, the use of IAS by rural communities is little understood, and rarely factored into IAS control programmes. Understanding the use of IAS by rural communities and factoring these into cost-benefit models is complex, depending upon a range of local-level attributes such as the time since invasion, abundance, and local-level costs and benefits. This paper reports on two case studies examining the role of IAS in rural livelihoods in the Eastern Cape, South Africa. In both cases, rural communities made widespread consumptive use of the IAS and generally would prefer higher densities, except in certain key localities. Several households traded in IAS products to generate supplementary income. We present a conceptual framework to guide interpretation of these and future case studies, considering attributes such as time since invasion, the competitiveness of the species, and the relative costs and benefits.","container-title":"Human Ecology","DOI":"10.1007/s10745-006-9095-0","ISSN":"0300-7839, 1572-9915","issue":"1","journalAbbreviation":"Hum Ecol","language":"en","page":"113-127","source":"DOI.org (Crossref)","title":"Assessing the Effects of Invasive Alien Species on Rural Livelihoods: Case Examples and a Framework from South Africa","title-short":"Assessing the Effects of Invasive Alien Species on Rural Livelihoods","URL":"http://link.springer.com/10.1007/s10745-006-9095-0","volume":"35","author":[{"family":"Shackleton","given":"C. M."},{"family":"McGarry","given":"D."},{"family":"Fourie","given":"S."},{"family":"Gambiza","given":"J."},{"family":"Shackleton","given":"S. E."},{"family":"Fabricius","given":"C."}],"accessed":{"date-parts":[["2019",11,7]]},"issued":{"date-parts":[["2007",2,13]]}}},{"id":56459,"uris":["http://zotero.org/groups/2352922/items/UWSKCPWL","http://zotero.org/groups/2352922/items/Y8LNY77Q"],"itemData":{"id":56459,"type":"article-journal","abstract":"We conducted a systematic literature review of the current state of research on the social perceptions of invasive species, aiming to provide guidance towards transdisciplinary research and participatory decision making. In order to detect patterns regarding publication trends and factors determining social perceptions of invasive species, we applied qualitative content as well as quantitative data analysis. By applying content analysis, we identified five main categories of influence on the perception of invasive species: ecological conditions, social conditions, values and beliefs, impacts, and benefits. The disciplinary focus of the research was predominantly interdisciplinary, followed by a social sciences approach. Our review revealed a disproportionate use of quantitative methods in research on social perceptions of invasive species, yet quantitative methods were less likely to identify benefits as factors determining the perception of invasive species. However, without the understanding of perceived benefits, researchers and managers lack the socio-cultural context these species are embedded in. Our review also revealed the geographical, methodological and taxonomic bias of research on perceptions of invasive species. The majority of studies focused on the local public, whereas fewer than half of the studies focused on decision-makers. Furthermore, our results showed differences in the social perceptions of invasive species among different stakeholder groups. Consensus over the definition and terminology of invasive species was lacking whereas differences in terminology were clearly value-laden. In order to foster sustainable management of invasive species, research on social perceptions should focus on a transdisciplinary and transparent discourse about the inherent values of invasion science.","container-title":"NeoBiota","DOI":"10.3897/neobiota.43.31619","ISSN":"1314-2488, 1619-0033","journalAbbreviation":"NB","page":"47-68","source":"DOI.org (Crossref)","title":"Research on the social perception of invasive species: a systematic literature review","title-short":"Research on the social perception of invasive species","URL":"https://neobiota.pensoft.net/article/31619/","volume":"43","author":[{"family":"Kapitza","given":"Katharina"},{"family":"Zimmermann","given":"Heike"},{"family":"Martín-López","given":"Berta"},{"family":"Von Wehrden","given":"Henrik"}],"accessed":{"date-parts":[["2023",6,8]]},"issued":{"date-parts":[["2019",3,14]]}}}],"schema":"https://github.com/citation-style-language/schema/raw/master/csl-citation.json"} </w:instrText>
      </w:r>
      <w:r w:rsidR="00301770" w:rsidRPr="00DA249F">
        <w:rPr>
          <w:lang w:val="en-GB"/>
        </w:rPr>
        <w:fldChar w:fldCharType="separate"/>
      </w:r>
      <w:r w:rsidR="07BD9F3A" w:rsidRPr="00DA249F">
        <w:rPr>
          <w:lang w:val="en-GB"/>
        </w:rPr>
        <w:t>(Kapitza et al., 2019; Shackleton et al., 2007)</w:t>
      </w:r>
      <w:r w:rsidR="00301770" w:rsidRPr="00DA249F">
        <w:rPr>
          <w:lang w:val="en-GB"/>
        </w:rPr>
        <w:fldChar w:fldCharType="end"/>
      </w:r>
      <w:r w:rsidR="07BD9F3A" w:rsidRPr="00DA249F">
        <w:rPr>
          <w:lang w:val="en-GB"/>
        </w:rPr>
        <w:t xml:space="preserve">. Other </w:t>
      </w:r>
      <w:r w:rsidR="3FDD3F9D" w:rsidRPr="00DA249F">
        <w:rPr>
          <w:lang w:val="en-GB"/>
        </w:rPr>
        <w:t xml:space="preserve">examples include invasive alien species introduced as game animals </w:t>
      </w:r>
      <w:r w:rsidR="4871C878" w:rsidRPr="00DA249F">
        <w:rPr>
          <w:lang w:val="en-GB"/>
        </w:rPr>
        <w:t>(</w:t>
      </w:r>
      <w:r w:rsidR="00B21885" w:rsidRPr="728F2DAF">
        <w:rPr>
          <w:b/>
          <w:bCs/>
          <w:lang w:val="en-GB"/>
        </w:rPr>
        <w:fldChar w:fldCharType="begin"/>
      </w:r>
      <w:r w:rsidR="00B21885" w:rsidRPr="728F2DAF">
        <w:rPr>
          <w:b/>
          <w:bCs/>
          <w:lang w:val="en-GB"/>
        </w:rPr>
        <w:instrText xml:space="preserve"> REF _Ref104903274 \h  \* MERGEFORMAT </w:instrText>
      </w:r>
      <w:r w:rsidR="00B21885" w:rsidRPr="728F2DAF">
        <w:rPr>
          <w:b/>
          <w:bCs/>
          <w:lang w:val="en-GB"/>
        </w:rPr>
      </w:r>
      <w:r w:rsidR="00B21885" w:rsidRPr="728F2DAF">
        <w:rPr>
          <w:b/>
          <w:bCs/>
          <w:lang w:val="en-GB"/>
        </w:rPr>
        <w:fldChar w:fldCharType="separate"/>
      </w:r>
      <w:r w:rsidR="00287BC7" w:rsidRPr="00287BC7">
        <w:rPr>
          <w:b/>
          <w:bCs/>
          <w:lang w:val="en-GB"/>
        </w:rPr>
        <w:t>Box 3.2</w:t>
      </w:r>
      <w:r w:rsidR="00B21885" w:rsidRPr="728F2DAF">
        <w:rPr>
          <w:b/>
          <w:bCs/>
          <w:lang w:val="en-GB"/>
        </w:rPr>
        <w:fldChar w:fldCharType="end"/>
      </w:r>
      <w:r w:rsidR="4871C878" w:rsidRPr="00DA249F">
        <w:rPr>
          <w:lang w:val="en-GB"/>
        </w:rPr>
        <w:t>)</w:t>
      </w:r>
      <w:r w:rsidR="3E4EAE99" w:rsidRPr="00DA249F">
        <w:rPr>
          <w:lang w:val="en-GB"/>
        </w:rPr>
        <w:t xml:space="preserve"> </w:t>
      </w:r>
      <w:r w:rsidR="11558E18" w:rsidRPr="00DA249F">
        <w:rPr>
          <w:lang w:val="en-GB"/>
        </w:rPr>
        <w:t xml:space="preserve">or for </w:t>
      </w:r>
      <w:r w:rsidR="701C55C9" w:rsidRPr="00DA249F">
        <w:rPr>
          <w:lang w:val="en-GB"/>
        </w:rPr>
        <w:t xml:space="preserve">recreational </w:t>
      </w:r>
      <w:r w:rsidR="11558E18" w:rsidRPr="00DA249F">
        <w:rPr>
          <w:lang w:val="en-GB"/>
        </w:rPr>
        <w:t>fishing.</w:t>
      </w:r>
    </w:p>
    <w:p w14:paraId="4E7C89DC" w14:textId="58C41F6D" w:rsidR="00834E03" w:rsidRPr="00DA249F" w:rsidRDefault="003B3D69" w:rsidP="006040A3">
      <w:pPr>
        <w:pStyle w:val="Caption"/>
        <w:pBdr>
          <w:top w:val="single" w:sz="4" w:space="1" w:color="auto"/>
          <w:left w:val="single" w:sz="4" w:space="1" w:color="auto"/>
          <w:bottom w:val="single" w:sz="4" w:space="1" w:color="auto"/>
          <w:right w:val="single" w:sz="4" w:space="1" w:color="auto"/>
        </w:pBdr>
        <w:shd w:val="clear" w:color="auto" w:fill="E7E6E6" w:themeFill="background2"/>
        <w:rPr>
          <w:lang w:val="en-GB"/>
        </w:rPr>
      </w:pPr>
      <w:bookmarkStart w:id="45" w:name="_Toc44317793"/>
      <w:bookmarkStart w:id="46" w:name="_Ref104903274"/>
      <w:bookmarkStart w:id="47" w:name="_Ref123901176"/>
      <w:bookmarkStart w:id="48" w:name="_Toc158373486"/>
      <w:bookmarkEnd w:id="40"/>
      <w:r w:rsidRPr="00DA249F">
        <w:rPr>
          <w:lang w:val="en-GB"/>
        </w:rPr>
        <w:t>Box 3.</w:t>
      </w:r>
      <w:r w:rsidR="0090109B" w:rsidRPr="00DA249F">
        <w:rPr>
          <w:lang w:val="en-GB"/>
        </w:rPr>
        <w:fldChar w:fldCharType="begin"/>
      </w:r>
      <w:r w:rsidR="0090109B" w:rsidRPr="00DA249F">
        <w:rPr>
          <w:lang w:val="en-GB"/>
        </w:rPr>
        <w:instrText xml:space="preserve"> SEQ Box_3. \* ARABIC </w:instrText>
      </w:r>
      <w:r w:rsidR="0090109B" w:rsidRPr="00DA249F">
        <w:rPr>
          <w:lang w:val="en-GB"/>
        </w:rPr>
        <w:fldChar w:fldCharType="separate"/>
      </w:r>
      <w:r w:rsidR="00287BC7">
        <w:rPr>
          <w:noProof/>
          <w:lang w:val="en-GB"/>
        </w:rPr>
        <w:t>2</w:t>
      </w:r>
      <w:r w:rsidR="0090109B" w:rsidRPr="00DA249F">
        <w:rPr>
          <w:lang w:val="en-GB"/>
        </w:rPr>
        <w:fldChar w:fldCharType="end"/>
      </w:r>
      <w:bookmarkEnd w:id="45"/>
      <w:bookmarkEnd w:id="46"/>
      <w:bookmarkEnd w:id="47"/>
      <w:r w:rsidR="00C510F9" w:rsidRPr="00DA249F">
        <w:rPr>
          <w:lang w:val="en-GB"/>
        </w:rPr>
        <w:t>.</w:t>
      </w:r>
      <w:r w:rsidR="00733F4F" w:rsidRPr="00DA249F">
        <w:rPr>
          <w:lang w:val="en-GB"/>
        </w:rPr>
        <w:t xml:space="preserve"> </w:t>
      </w:r>
      <w:r w:rsidR="001053C6" w:rsidRPr="00DA249F">
        <w:rPr>
          <w:lang w:val="en-GB"/>
        </w:rPr>
        <w:t>The</w:t>
      </w:r>
      <w:r w:rsidR="00C470C8" w:rsidRPr="00DA249F">
        <w:rPr>
          <w:lang w:val="en-GB"/>
        </w:rPr>
        <w:t xml:space="preserve"> role of hunters </w:t>
      </w:r>
      <w:r w:rsidR="002F73DC" w:rsidRPr="00DA249F">
        <w:rPr>
          <w:lang w:val="en-GB"/>
        </w:rPr>
        <w:t>intentionally</w:t>
      </w:r>
      <w:r w:rsidR="00C470C8" w:rsidRPr="00DA249F">
        <w:rPr>
          <w:lang w:val="en-GB"/>
        </w:rPr>
        <w:t xml:space="preserve"> spreading game animals</w:t>
      </w:r>
      <w:bookmarkEnd w:id="48"/>
    </w:p>
    <w:p w14:paraId="1AC198DD" w14:textId="4532AF05" w:rsidR="008B1279" w:rsidRPr="00DA249F" w:rsidRDefault="5398C7EB" w:rsidP="5575EBFC">
      <w:pPr>
        <w:pBdr>
          <w:top w:val="single" w:sz="4" w:space="1" w:color="auto"/>
          <w:left w:val="single" w:sz="4" w:space="1" w:color="auto"/>
          <w:bottom w:val="single" w:sz="4" w:space="1" w:color="auto"/>
          <w:right w:val="single" w:sz="4" w:space="1" w:color="auto"/>
        </w:pBdr>
        <w:shd w:val="clear" w:color="auto" w:fill="E7E6E6" w:themeFill="background2"/>
        <w:rPr>
          <w:lang w:val="en-GB"/>
        </w:rPr>
      </w:pPr>
      <w:r w:rsidRPr="5575EBFC">
        <w:rPr>
          <w:lang w:val="en-GB"/>
        </w:rPr>
        <w:t>I</w:t>
      </w:r>
      <w:r w:rsidR="6C22D37B" w:rsidRPr="5575EBFC">
        <w:rPr>
          <w:lang w:val="en-GB"/>
        </w:rPr>
        <w:t xml:space="preserve">ntroduction for hunting accounts for a large proportion </w:t>
      </w:r>
      <w:r w:rsidR="3C530AB0" w:rsidRPr="5575EBFC">
        <w:rPr>
          <w:lang w:val="en-GB"/>
        </w:rPr>
        <w:t xml:space="preserve">of intentional </w:t>
      </w:r>
      <w:r w:rsidRPr="5575EBFC">
        <w:rPr>
          <w:lang w:val="en-GB"/>
        </w:rPr>
        <w:t>introductions of invasive alien birds and mammals</w:t>
      </w:r>
      <w:r w:rsidR="1CB53E7F" w:rsidRPr="5575EBFC">
        <w:rPr>
          <w:lang w:val="en-GB"/>
        </w:rPr>
        <w:t>,</w:t>
      </w:r>
      <w:r w:rsidRPr="5575EBFC">
        <w:rPr>
          <w:lang w:val="en-GB"/>
        </w:rPr>
        <w:t xml:space="preserve"> </w:t>
      </w:r>
      <w:r w:rsidR="44D6AEFE" w:rsidRPr="5575EBFC">
        <w:rPr>
          <w:lang w:val="en-GB"/>
        </w:rPr>
        <w:t xml:space="preserve">both in absolute numbers and </w:t>
      </w:r>
      <w:r w:rsidR="6C22D37B" w:rsidRPr="5575EBFC">
        <w:rPr>
          <w:lang w:val="en-GB"/>
        </w:rPr>
        <w:t xml:space="preserve">compared </w:t>
      </w:r>
      <w:r w:rsidR="44D6AEFE" w:rsidRPr="5575EBFC">
        <w:rPr>
          <w:lang w:val="en-GB"/>
        </w:rPr>
        <w:t>to</w:t>
      </w:r>
      <w:r w:rsidR="6C22D37B" w:rsidRPr="5575EBFC">
        <w:rPr>
          <w:lang w:val="en-GB"/>
        </w:rPr>
        <w:t xml:space="preserve"> </w:t>
      </w:r>
      <w:r w:rsidRPr="5575EBFC">
        <w:rPr>
          <w:lang w:val="en-GB"/>
        </w:rPr>
        <w:t>intr</w:t>
      </w:r>
      <w:r w:rsidR="20F46E81" w:rsidRPr="5575EBFC">
        <w:rPr>
          <w:lang w:val="en-GB"/>
        </w:rPr>
        <w:t>o</w:t>
      </w:r>
      <w:r w:rsidRPr="5575EBFC">
        <w:rPr>
          <w:lang w:val="en-GB"/>
        </w:rPr>
        <w:t xml:space="preserve">ductions for </w:t>
      </w:r>
      <w:r w:rsidR="6C22D37B" w:rsidRPr="5575EBFC">
        <w:rPr>
          <w:lang w:val="en-GB"/>
        </w:rPr>
        <w:t>biological control, pet trade</w:t>
      </w:r>
      <w:r w:rsidR="009F7404">
        <w:rPr>
          <w:lang w:val="en-GB"/>
        </w:rPr>
        <w:t xml:space="preserve"> and</w:t>
      </w:r>
      <w:r w:rsidR="6C22D37B" w:rsidRPr="5575EBFC">
        <w:rPr>
          <w:lang w:val="en-GB"/>
        </w:rPr>
        <w:t xml:space="preserve"> use of fur </w:t>
      </w:r>
      <w:r w:rsidR="007700EA" w:rsidRPr="5575EBFC">
        <w:rPr>
          <w:lang w:val="en-GB"/>
        </w:rPr>
        <w:fldChar w:fldCharType="begin"/>
      </w:r>
      <w:r w:rsidR="00331A79">
        <w:rPr>
          <w:lang w:val="en-GB"/>
        </w:rPr>
        <w:instrText xml:space="preserve"> ADDIN ZOTERO_ITEM CSL_CITATION {"citationID":"SQZqY00D","properties":{"formattedCitation":"(Carpio et al., 2020, 2017; Genovesi et al., 2009; Hulme et al., 2008)","plainCitation":"(Carpio et al., 2020, 2017; Genovesi et al., 2009; Hulme et al., 2008)","noteIndex":0},"citationItems":[{"id":30460,"uris":["http://zotero.org/groups/2352922/items/AS96IHE2"],"itemData":{"id":30460,"type":"article-journal","container-title":"Biological Invasions","DOI":"10.1007/s10530-016-1313-0","ISSN":"1387-3547, 1573-1464","issue":"4","journalAbbreviation":"Biol Invasions","language":"en","page":"1197-1211","source":"DOI.org (Crossref)","title":"Hunting as a source of alien species: a European review","title-short":"Hunting as a source of alien species","URL":"http://link.springer.com/10.1007/s10530-016-1313-0","volume":"19","author":[{"family":"Carpio","given":"Antonio J."},{"family":"Guerrero-Casado","given":"José"},{"family":"Barasona","given":"José A."},{"family":"Tortosa","given":"Francisco S."},{"family":"Vicente","given":"Joaquín"},{"family":"Hillström","given":"Lars"},{"family":"Delibes-Mateos","given":"Miguel"}],"accessed":{"date-parts":[["2020",8,9]]},"issued":{"date-parts":[["2017",4]]}}},{"id":32964,"uris":["http://zotero.org/groups/2352922/items/97QE4N6L"],"itemData":{"id":32964,"type":"article-journal","abstract":"Assessing the pathways by which alien species are introduced is essential if we are to identify potential risks and evaluate management decisions. Intentional introductions are responsible for the introductions of millions of animals throughout Latin America. We explore: (1) the relative role of several intentional introduction pathways (hunting, feeding, fur, biological control, the pet trade and others) in the general context of introductions of alien species; (2) the relative importance of the intentional pathways across the different taxa; (3) similar patterns as regards the composition of alien species across countries, (4) the underlying factors that drive the richness of alien species in Latin America, and (5) the potential impacts of alien species on the region. According to our results, 69 species of mammals and 62 species of birds were introduced into Latin America by means of intentional pathways, of which the most important taxa were Artiodactyls, Primates, Passeriformes and Psittaciformes. The main introductions pathways were the pet/ornamental trades (70.9%) for birds, and hunting (39.1%) and pet trade/ornamental purposes (37.7%) for mammals. The composition of species differed among countries, with a higher richness of species in those countries with a high percentage of urban populations, with a higher native species biodiversity, with a high % of GDP owing to imports (birds) and in those with a high number of trafﬁcked species (mammals). This review stresses that the pet trade and hunting are important pathways for the introduction of alien species, some of which have had severe impacts on many countries.","container-title":"Global Ecology and Conservation","DOI":"10.1016/j.gecco.2020.e00949","ISSN":"23519894","journalAbbreviation":"Global Ecology and Conservation","language":"en","page":"e00949","source":"DOI.org (Crossref)","title":"Intentional introduction pathways of alien birds and mammals in Latin America","URL":"https://linkinghub.elsevier.com/retrieve/pii/S2351989419306419","volume":"22","author":[{"family":"Carpio","given":"Antonio .J."},{"family":"Álvarez","given":"Y."},{"family":"Oteros","given":"J."},{"family":"León","given":"F."},{"family":"Tortosa","given":"F.S."}],"accessed":{"date-parts":[["2020",8,9]]},"issued":{"date-parts":[["2020",6]]}}},{"id":56361,"uris":["http://zotero.org/groups/2352922/items/UG7CJ8TN","http://zotero.org/groups/2352922/items/VWTKN56N"],"itemData":{"id":56361,"type":"chapter","container-title":"Handbook of Alien Species in Europe","event-place":"Dordrecht","ISBN":"978-1-4020-8279-5","language":"en","note":"DOI: 10.1007/978-1-4020-8280-1_9","page":"119-128","publisher":"Springer Netherlands","publisher-place":"Dordrecht","source":"DOI.org (Crossref)","title":"Alien Mammals of Europe","URL":"http://link.springer.com/10.1007/978-1-4020-8280-1_9","volume":"3","author":[{"family":"Genovesi","given":"Piero"},{"family":"Bacher","given":"Sven"},{"family":"Kobelt","given":"Manuel"},{"family":"Pascal","given":"Michel"},{"family":"Scalera","given":"Riccardo"}],"accessed":{"date-parts":[["2023",6,8]]},"issued":{"date-parts":[["2009"]]}}},{"id":30462,"uris":["http://zotero.org/groups/2352922/items/WXMFBV44"],"itemData":{"id":30462,"type":"article-journal","container-title":"Journal of Applied Ecology","DOI":"10.1111/j.1365-2664.2007.01442.x","ISSN":"00218901, 13652664","issue":"2","language":"en","page":"403-414","source":"DOI.org (Crossref)","title":"Grasping at the routes of biological invasions: a framework for integrating pathways into policy","title-short":"Grasping at the routes of biological invasions","URL":"https://onlinelibrary.wiley.com/doi/10.1111/j.1365-2664.2007.01442.x","volume":"45","author":[{"family":"Hulme","given":"Philip E."},{"family":"Bacher","given":"S."},{"family":"Kenis","given":"M."},{"family":"Klotz","given":"S."},{"family":"Kühn","given":"I."},{"family":"Minchin","given":"D."},{"family":"Nentwig","given":"W."},{"family":"Olenin","given":"S."},{"family":"Panov","given":"V."},{"family":"Pergl","given":"J."},{"family":"Pyšek","given":"P."},{"family":"Roques","given":"A."},{"family":"Sol","given":"D."},{"family":"Solarz","given":"W."},{"family":"Vilà","given":"M."}],"accessed":{"date-parts":[["2021",8,23]]},"issued":{"date-parts":[["2008",4]]}}}],"schema":"https://github.com/citation-style-language/schema/raw/master/csl-citation.json"} </w:instrText>
      </w:r>
      <w:r w:rsidR="007700EA" w:rsidRPr="5575EBFC">
        <w:rPr>
          <w:lang w:val="en-GB"/>
        </w:rPr>
        <w:fldChar w:fldCharType="separate"/>
      </w:r>
      <w:r w:rsidR="6B5F9B9E">
        <w:t>(Carpio et al., 2020, 2017; Genovesi et al., 2009; Hulme et al., 2008)</w:t>
      </w:r>
      <w:r w:rsidR="007700EA" w:rsidRPr="5575EBFC">
        <w:rPr>
          <w:lang w:val="en-GB"/>
        </w:rPr>
        <w:fldChar w:fldCharType="end"/>
      </w:r>
      <w:r w:rsidR="6C22D37B" w:rsidRPr="5575EBFC">
        <w:rPr>
          <w:lang w:val="en-GB"/>
        </w:rPr>
        <w:t>.</w:t>
      </w:r>
      <w:r w:rsidR="0D14821D" w:rsidRPr="5575EBFC">
        <w:rPr>
          <w:lang w:val="en-GB"/>
        </w:rPr>
        <w:t xml:space="preserve"> </w:t>
      </w:r>
      <w:r w:rsidR="5FEADEC4" w:rsidRPr="5575EBFC">
        <w:rPr>
          <w:lang w:val="en-GB"/>
        </w:rPr>
        <w:t xml:space="preserve">Carpio et al. </w:t>
      </w:r>
      <w:r w:rsidR="007700EA" w:rsidRPr="5575EBFC">
        <w:rPr>
          <w:lang w:val="en-GB"/>
        </w:rPr>
        <w:fldChar w:fldCharType="begin"/>
      </w:r>
      <w:r w:rsidR="00331A79">
        <w:rPr>
          <w:lang w:val="en-GB"/>
        </w:rPr>
        <w:instrText xml:space="preserve"> ADDIN ZOTERO_ITEM CSL_CITATION {"citationID":"YFUZ6jR0","properties":{"formattedCitation":"(2017)","plainCitation":"(2017)","noteIndex":0},"citationItems":[{"id":30460,"uris":["http://zotero.org/groups/2352922/items/AS96IHE2"],"itemData":{"id":30460,"type":"article-journal","container-title":"Biological Invasions","DOI":"10.1007/s10530-016-1313-0","ISSN":"1387-3547, 1573-1464","issue":"4","journalAbbreviation":"Biol Invasions","language":"en","page":"1197-1211","source":"DOI.org (Crossref)","title":"Hunting as a source of alien species: a European review","title-short":"Hunting as a source of alien species","URL":"http://link.springer.com/10.1007/s10530-016-1313-0","volume":"19","author":[{"family":"Carpio","given":"Antonio J."},{"family":"Guerrero-Casado","given":"José"},{"family":"Barasona","given":"José A."},{"family":"Tortosa","given":"Francisco S."},{"family":"Vicente","given":"Joaquín"},{"family":"Hillström","given":"Lars"},{"family":"Delibes-Mateos","given":"Miguel"}],"accessed":{"date-parts":[["2020",8,9]]},"issued":{"date-parts":[["2017",4]]}},"label":"page","suppress-author":true}],"schema":"https://github.com/citation-style-language/schema/raw/master/csl-citation.json"} </w:instrText>
      </w:r>
      <w:r w:rsidR="007700EA" w:rsidRPr="5575EBFC">
        <w:rPr>
          <w:lang w:val="en-GB"/>
        </w:rPr>
        <w:fldChar w:fldCharType="separate"/>
      </w:r>
      <w:r w:rsidR="6B5F9B9E">
        <w:t>(2017)</w:t>
      </w:r>
      <w:r w:rsidR="007700EA" w:rsidRPr="5575EBFC">
        <w:rPr>
          <w:lang w:val="en-GB"/>
        </w:rPr>
        <w:fldChar w:fldCharType="end"/>
      </w:r>
      <w:r w:rsidR="5FEADEC4" w:rsidRPr="5575EBFC">
        <w:rPr>
          <w:lang w:val="en-GB"/>
        </w:rPr>
        <w:t xml:space="preserve"> </w:t>
      </w:r>
      <w:r w:rsidR="162B8D81" w:rsidRPr="5575EBFC">
        <w:rPr>
          <w:rFonts w:eastAsia="Times New Roman"/>
          <w:lang w:val="en-GB"/>
        </w:rPr>
        <w:t xml:space="preserve">found stocking for hunting </w:t>
      </w:r>
      <w:r w:rsidRPr="5575EBFC">
        <w:rPr>
          <w:rFonts w:eastAsia="Times New Roman"/>
          <w:lang w:val="en-GB"/>
        </w:rPr>
        <w:t>to be a</w:t>
      </w:r>
      <w:r w:rsidR="162B8D81" w:rsidRPr="5575EBFC">
        <w:rPr>
          <w:rFonts w:eastAsia="Times New Roman"/>
          <w:lang w:val="en-GB"/>
        </w:rPr>
        <w:t xml:space="preserve"> dominant source of introductions</w:t>
      </w:r>
      <w:r w:rsidR="3C530AB0" w:rsidRPr="5575EBFC">
        <w:rPr>
          <w:rFonts w:eastAsia="Times New Roman"/>
          <w:lang w:val="en-GB"/>
        </w:rPr>
        <w:t xml:space="preserve"> of invasive alien species</w:t>
      </w:r>
      <w:r w:rsidR="0D14821D" w:rsidRPr="5575EBFC">
        <w:rPr>
          <w:rFonts w:eastAsia="Times New Roman"/>
          <w:lang w:val="en-GB"/>
        </w:rPr>
        <w:t>.</w:t>
      </w:r>
      <w:r w:rsidR="23BF2FFE" w:rsidRPr="5575EBFC">
        <w:rPr>
          <w:rFonts w:eastAsia="Times New Roman"/>
          <w:lang w:val="en-GB"/>
        </w:rPr>
        <w:t xml:space="preserve"> </w:t>
      </w:r>
      <w:r w:rsidR="73D1F598" w:rsidRPr="5575EBFC">
        <w:rPr>
          <w:lang w:val="en-GB"/>
        </w:rPr>
        <w:t xml:space="preserve">High rates of </w:t>
      </w:r>
      <w:r w:rsidR="44D6AEFE" w:rsidRPr="5575EBFC">
        <w:rPr>
          <w:lang w:val="en-GB"/>
        </w:rPr>
        <w:t xml:space="preserve">introduction and </w:t>
      </w:r>
      <w:r w:rsidR="73D1F598" w:rsidRPr="5575EBFC">
        <w:rPr>
          <w:lang w:val="en-GB"/>
        </w:rPr>
        <w:t xml:space="preserve">establishment </w:t>
      </w:r>
      <w:r w:rsidR="11718D09" w:rsidRPr="5575EBFC">
        <w:rPr>
          <w:lang w:val="en-GB"/>
        </w:rPr>
        <w:t>can result from</w:t>
      </w:r>
      <w:r w:rsidR="73D1F598" w:rsidRPr="5575EBFC">
        <w:rPr>
          <w:lang w:val="en-GB"/>
        </w:rPr>
        <w:t xml:space="preserve"> intensive human efforts to </w:t>
      </w:r>
      <w:r w:rsidR="11718D09" w:rsidRPr="5575EBFC">
        <w:rPr>
          <w:lang w:val="en-GB"/>
        </w:rPr>
        <w:t>maintain</w:t>
      </w:r>
      <w:r w:rsidR="73D1F598" w:rsidRPr="5575EBFC">
        <w:rPr>
          <w:lang w:val="en-GB"/>
        </w:rPr>
        <w:t xml:space="preserve"> </w:t>
      </w:r>
      <w:r w:rsidR="44D6AEFE" w:rsidRPr="5575EBFC">
        <w:rPr>
          <w:lang w:val="en-GB"/>
        </w:rPr>
        <w:t>sufficiently large and</w:t>
      </w:r>
      <w:r w:rsidR="73D1F598" w:rsidRPr="5575EBFC">
        <w:rPr>
          <w:lang w:val="en-GB"/>
        </w:rPr>
        <w:t xml:space="preserve"> stable populations </w:t>
      </w:r>
      <w:r w:rsidR="11718D09" w:rsidRPr="5575EBFC">
        <w:rPr>
          <w:lang w:val="en-GB"/>
        </w:rPr>
        <w:t xml:space="preserve">of alien species </w:t>
      </w:r>
      <w:r w:rsidR="73D1F598" w:rsidRPr="5575EBFC">
        <w:rPr>
          <w:lang w:val="en-GB"/>
        </w:rPr>
        <w:t>for hunting</w:t>
      </w:r>
      <w:r w:rsidR="35FD5DB2" w:rsidRPr="5575EBFC">
        <w:rPr>
          <w:lang w:val="en-GB"/>
        </w:rPr>
        <w:t xml:space="preserve"> </w:t>
      </w:r>
      <w:r w:rsidR="007700EA" w:rsidRPr="5575EBFC">
        <w:rPr>
          <w:lang w:val="en-GB"/>
        </w:rPr>
        <w:fldChar w:fldCharType="begin"/>
      </w:r>
      <w:r w:rsidR="00331A79">
        <w:rPr>
          <w:lang w:val="en-GB"/>
        </w:rPr>
        <w:instrText xml:space="preserve"> ADDIN ZOTERO_ITEM CSL_CITATION {"citationID":"srhDpMTa","properties":{"formattedCitation":"(Champagnon et al., 2012, 2016)","plainCitation":"(Champagnon et al., 2012, 2016)","noteIndex":0},"citationItems":[{"id":30018,"uris":["http://zotero.org/groups/2352922/items/KEP7YKPQ"],"itemData":{"id":30018,"type":"article-journal","container-title":"Journal for Nature Conservation","DOI":"10.1016/j.jnc.2012.02.002","ISSN":"16171381","issue":"4","journalAbbreviation":"Journal for Nature Conservation","language":"en","page":"231-241","source":"DOI.org (Crossref)","title":"Conspecifics can be aliens too: A review of effects of restocking practices in vertebrates","title-short":"Conspecifics can be aliens too","URL":"https://linkinghub.elsevier.com/retrieve/pii/S1617138112000325","volume":"20","author":[{"family":"Champagnon","given":"Jocelyn"},{"family":"Elmberg","given":"Johan"},{"family":"Guillemain","given":"Matthieu"},{"family":"Gauthier-Clerc","given":"Michel"},{"family":"Lebreton","given":"Jean-Dominique"}],"accessed":{"date-parts":[["2021",8,24]]},"issued":{"date-parts":[["2012",8]]}}},{"id":52391,"uris":["http://zotero.org/groups/2352922/items/BBWSS7YU"],"itemData":{"id":52391,"type":"article-journal","abstract":"The survival of captive-bred individuals from release into the wild to their ﬁrst breeding season is crucial to assess the success of reintroduction or translocation programmes, and to assess their potential impact of wild populations. However, assessing the survival of captive-bred individuals following their release is often complicated by immediate dispersal once in the wild. Here, we apply Lindberg’s robust design model, a method that incorporates emigration from the study site, to obtain true estimates of survival of captive-bred Mallards Anas platyrhynchos, a common duck species released on a large scale in Europe since the 1970s. Overall survival rate from release in July until the onset of the next breeding season in April was low (0.18 Æ 0.07 se) and equivalent to half the ﬁrst-year survival of local wild Mallards. Higher overall detectability and temporary emigration during the hunting period revealed movements in response to hunting pressure. Such low survival of released Mallards during their ﬁrst year may help prevent large-scale genetic mixing with the wild population. Nevertheless, by combining our results with regional waterfowl counts, we estimated that a minimum of 34% of the Mallards in the region were of captive origin at the onset of the breeding season. Although most released birds quickly die, restocking for hunting may be of sufﬁcient magnitude to affect the wild population through genetic homogenization or loss of local adaptation. Robust design protocols allow for the estimation of true survival estimates by controlling for permanent and temporary emigration and may require only a moderate increase in ﬁeldwork effort.","container-title":"Ibis","DOI":"10.1111/ibi.12341","ISSN":"00191019","issue":"2","journalAbbreviation":"Ibis","language":"en","page":"343-352","source":"DOI.org (Crossref)","title":"Robust estimation of survival and contribution of captive-bred Mallards &lt;i&gt;Anas platyrhynchos&lt;/i&gt; to a wild population in a large-scale release programme","URL":"https://onlinelibrary.wiley.com/doi/10.1111/ibi.12341","volume":"158","author":[{"family":"Champagnon","given":"Jocelyn"},{"family":"Legagneux","given":"Pierre"},{"family":"Souchay","given":"Guillaume"},{"family":"Inchausti","given":"Pablo"},{"family":"Bretagnolle","given":"Vincent"},{"family":"Bourguemestre","given":"François"},{"family":"Van Ingen","given":"Laura"},{"family":"Guillemain","given":"Matthieu"}],"editor":[{"family":"Fox","given":"Tony"}],"accessed":{"date-parts":[["2022",5,30]]},"issued":{"date-parts":[["2016",4]]}}}],"schema":"https://github.com/citation-style-language/schema/raw/master/csl-citation.json"} </w:instrText>
      </w:r>
      <w:r w:rsidR="007700EA" w:rsidRPr="5575EBFC">
        <w:rPr>
          <w:lang w:val="en-GB"/>
        </w:rPr>
        <w:fldChar w:fldCharType="separate"/>
      </w:r>
      <w:r w:rsidR="6B5F9B9E">
        <w:t>(Champagnon et al., 2012, 2016)</w:t>
      </w:r>
      <w:r w:rsidR="007700EA" w:rsidRPr="5575EBFC">
        <w:rPr>
          <w:lang w:val="en-GB"/>
        </w:rPr>
        <w:fldChar w:fldCharType="end"/>
      </w:r>
      <w:r w:rsidR="73D1F598" w:rsidRPr="5575EBFC">
        <w:rPr>
          <w:lang w:val="en-GB"/>
        </w:rPr>
        <w:t>.</w:t>
      </w:r>
      <w:r w:rsidR="23BF2FFE" w:rsidRPr="5575EBFC">
        <w:rPr>
          <w:lang w:val="en-GB"/>
        </w:rPr>
        <w:t xml:space="preserve"> </w:t>
      </w:r>
      <w:r w:rsidR="1F65E5F6" w:rsidRPr="5575EBFC">
        <w:rPr>
          <w:lang w:val="en-GB"/>
        </w:rPr>
        <w:t>Introductions</w:t>
      </w:r>
      <w:r w:rsidR="1DB4E723" w:rsidRPr="5575EBFC">
        <w:rPr>
          <w:lang w:val="en-GB"/>
        </w:rPr>
        <w:t xml:space="preserve"> may </w:t>
      </w:r>
      <w:r w:rsidR="549FD7D7" w:rsidRPr="5575EBFC">
        <w:rPr>
          <w:lang w:val="en-GB"/>
        </w:rPr>
        <w:t xml:space="preserve">also </w:t>
      </w:r>
      <w:r w:rsidR="1DB4E723" w:rsidRPr="5575EBFC">
        <w:rPr>
          <w:lang w:val="en-GB"/>
        </w:rPr>
        <w:t xml:space="preserve">occur </w:t>
      </w:r>
      <w:r w:rsidR="1F65E5F6" w:rsidRPr="5575EBFC">
        <w:rPr>
          <w:lang w:val="en-GB"/>
        </w:rPr>
        <w:t>in cases where</w:t>
      </w:r>
      <w:r w:rsidR="1DB4E723" w:rsidRPr="5575EBFC">
        <w:rPr>
          <w:lang w:val="en-GB"/>
        </w:rPr>
        <w:t xml:space="preserve"> </w:t>
      </w:r>
      <w:r w:rsidR="2ED5A279" w:rsidRPr="5575EBFC">
        <w:rPr>
          <w:lang w:val="en-GB"/>
        </w:rPr>
        <w:t xml:space="preserve">population sizes of </w:t>
      </w:r>
      <w:r w:rsidR="1DB4E723" w:rsidRPr="5575EBFC">
        <w:rPr>
          <w:lang w:val="en-GB"/>
        </w:rPr>
        <w:t>traditionally</w:t>
      </w:r>
      <w:r w:rsidR="11718D09" w:rsidRPr="5575EBFC">
        <w:rPr>
          <w:lang w:val="en-GB"/>
        </w:rPr>
        <w:t>-</w:t>
      </w:r>
      <w:r w:rsidR="1DB4E723" w:rsidRPr="5575EBFC">
        <w:rPr>
          <w:lang w:val="en-GB"/>
        </w:rPr>
        <w:t xml:space="preserve">used </w:t>
      </w:r>
      <w:r w:rsidR="0D14821D" w:rsidRPr="5575EBFC">
        <w:rPr>
          <w:lang w:val="en-GB"/>
        </w:rPr>
        <w:t xml:space="preserve">native </w:t>
      </w:r>
      <w:r w:rsidR="1DB4E723" w:rsidRPr="5575EBFC">
        <w:rPr>
          <w:lang w:val="en-GB"/>
        </w:rPr>
        <w:t xml:space="preserve">species </w:t>
      </w:r>
      <w:r w:rsidR="2ED5A279" w:rsidRPr="5575EBFC">
        <w:rPr>
          <w:lang w:val="en-GB"/>
        </w:rPr>
        <w:t xml:space="preserve">have </w:t>
      </w:r>
      <w:r w:rsidR="1DB4E723" w:rsidRPr="5575EBFC">
        <w:rPr>
          <w:lang w:val="en-GB"/>
        </w:rPr>
        <w:t>significantly reduced</w:t>
      </w:r>
      <w:r w:rsidR="11718D09" w:rsidRPr="5575EBFC">
        <w:rPr>
          <w:lang w:val="en-GB"/>
        </w:rPr>
        <w:t>,</w:t>
      </w:r>
      <w:r w:rsidR="1DB4E723" w:rsidRPr="5575EBFC">
        <w:rPr>
          <w:lang w:val="en-GB"/>
        </w:rPr>
        <w:t xml:space="preserve"> and alien species are </w:t>
      </w:r>
      <w:r w:rsidR="1F65E5F6" w:rsidRPr="5575EBFC">
        <w:rPr>
          <w:lang w:val="en-GB"/>
        </w:rPr>
        <w:t xml:space="preserve">then </w:t>
      </w:r>
      <w:r w:rsidR="1DB4E723" w:rsidRPr="5575EBFC">
        <w:rPr>
          <w:lang w:val="en-GB"/>
        </w:rPr>
        <w:t>i</w:t>
      </w:r>
      <w:r w:rsidR="549FD7D7" w:rsidRPr="5575EBFC">
        <w:rPr>
          <w:lang w:val="en-GB"/>
        </w:rPr>
        <w:t>ntroduced</w:t>
      </w:r>
      <w:r w:rsidR="1DB4E723" w:rsidRPr="5575EBFC">
        <w:rPr>
          <w:lang w:val="en-GB"/>
        </w:rPr>
        <w:t xml:space="preserve"> to supplement </w:t>
      </w:r>
      <w:r w:rsidR="1F65E5F6" w:rsidRPr="5575EBFC">
        <w:rPr>
          <w:lang w:val="en-GB"/>
        </w:rPr>
        <w:t>hunting or fishing</w:t>
      </w:r>
      <w:r w:rsidR="1DB4E723" w:rsidRPr="5575EBFC">
        <w:rPr>
          <w:lang w:val="en-GB"/>
        </w:rPr>
        <w:t xml:space="preserve"> </w:t>
      </w:r>
      <w:r w:rsidR="007700EA" w:rsidRPr="5575EBFC">
        <w:rPr>
          <w:lang w:val="en-GB"/>
        </w:rPr>
        <w:fldChar w:fldCharType="begin"/>
      </w:r>
      <w:r w:rsidR="00331A79">
        <w:rPr>
          <w:lang w:val="en-GB"/>
        </w:rPr>
        <w:instrText xml:space="preserve"> ADDIN ZOTERO_ITEM CSL_CITATION {"citationID":"DZoP20kU","properties":{"formattedCitation":"(Carpio et al., 2017; Clavero, 2016)","plainCitation":"(Carpio et al., 2017; Clavero, 2016)","noteIndex":0},"citationItems":[{"id":30460,"uris":["http://zotero.org/groups/2352922/items/AS96IHE2"],"itemData":{"id":30460,"type":"article-journal","container-title":"Biological Invasions","DOI":"10.1007/s10530-016-1313-0","ISSN":"1387-3547, 1573-1464","issue":"4","journalAbbreviation":"Biol Invasions","language":"en","page":"1197-1211","source":"DOI.org (Crossref)","title":"Hunting as a source of alien species: a European review","title-short":"Hunting as a source of alien species","URL":"http://link.springer.com/10.1007/s10530-016-1313-0","volume":"19","author":[{"family":"Carpio","given":"Antonio J."},{"family":"Guerrero-Casado","given":"José"},{"family":"Barasona","given":"José A."},{"family":"Tortosa","given":"Francisco S."},{"family":"Vicente","given":"Joaquín"},{"family":"Hillström","given":"Lars"},{"family":"Delibes-Mateos","given":"Miguel"}],"accessed":{"date-parts":[["2020",8,9]]},"issued":{"date-parts":[["2017",4]]}}},{"id":30433,"uris":["http://zotero.org/groups/2352922/items/5MNHQDE2"],"itemData":{"id":30433,"type":"article-journal","abstract":"Human preferences may generate purely anthropogenic positive feedback loops reinforcing either declines of overexploited populations or expansions of prized introduced species, potentially leading to species substitutions. I illustrate this process based on a content analysis of 20th century Spanish newspapers that document a rapid, country-wide substitution of an originally exploited crayﬁsh (Austropotamobius italicus) by two North American species (Procambarus clarkii and Pacifastacus leniusculus). The substitution was driven by anthropogenic positive feedbacks acting over a short period, coinciding with an exponential increase of crayﬁsh market value, high numbers of crayﬁsh-related articles and a rapid change in the thematic content of those articles. Similar substitutions involving economic or socially valued organisms occur in other regions and concerning other taxa. Human preferences and choices may constitute relevant drivers of several species declines and invasions, which can be very quick due to positive feedback loops. Conservation biology in general and invasion biology in particular have been traditionally focused on biological aspects, but, as shown here, would largely beneﬁt from social perspectives dealing with human motivations and preferences.","container-title":"Biological Conservation","DOI":"10.1016/j.biocon.2015.11.017","ISSN":"00063207","journalAbbreviation":"Biological Conservation","language":"en","page":"80-85","source":"DOI.org (Crossref)","title":"Species substitutions driven by anthropogenic positive feedbacks: Spanish crayfish species as a case study","title-short":"Species substitutions driven by anthropogenic positive feedbacks","URL":"https://linkinghub.elsevier.com/retrieve/pii/S0006320715301658","volume":"193","author":[{"family":"Clavero","given":"Miguel"}],"accessed":{"date-parts":[["2019",12,1]]},"issued":{"date-parts":[["2016",1]]}}}],"schema":"https://github.com/citation-style-language/schema/raw/master/csl-citation.json"} </w:instrText>
      </w:r>
      <w:r w:rsidR="007700EA" w:rsidRPr="5575EBFC">
        <w:rPr>
          <w:lang w:val="en-GB"/>
        </w:rPr>
        <w:fldChar w:fldCharType="separate"/>
      </w:r>
      <w:r w:rsidR="6B5F9B9E">
        <w:t>(Carpio et al., 2017; Clavero, 2016)</w:t>
      </w:r>
      <w:r w:rsidR="007700EA" w:rsidRPr="5575EBFC">
        <w:rPr>
          <w:lang w:val="en-GB"/>
        </w:rPr>
        <w:fldChar w:fldCharType="end"/>
      </w:r>
      <w:r w:rsidR="1DB4E723" w:rsidRPr="5575EBFC">
        <w:rPr>
          <w:lang w:val="en-GB"/>
        </w:rPr>
        <w:t xml:space="preserve">, or </w:t>
      </w:r>
      <w:r w:rsidR="1A07A2CA" w:rsidRPr="5575EBFC">
        <w:rPr>
          <w:lang w:val="en-GB"/>
        </w:rPr>
        <w:t>when alie</w:t>
      </w:r>
      <w:r w:rsidR="5788E4C2" w:rsidRPr="5575EBFC">
        <w:rPr>
          <w:lang w:val="en-GB"/>
        </w:rPr>
        <w:t>n</w:t>
      </w:r>
      <w:r w:rsidR="1A07A2CA" w:rsidRPr="5575EBFC">
        <w:rPr>
          <w:lang w:val="en-GB"/>
        </w:rPr>
        <w:t xml:space="preserve"> species are introduced </w:t>
      </w:r>
      <w:r w:rsidR="1DB4E723" w:rsidRPr="5575EBFC">
        <w:rPr>
          <w:lang w:val="en-GB"/>
        </w:rPr>
        <w:t xml:space="preserve">for </w:t>
      </w:r>
      <w:r w:rsidR="549FD7D7" w:rsidRPr="5575EBFC">
        <w:rPr>
          <w:lang w:val="en-GB"/>
        </w:rPr>
        <w:t xml:space="preserve">the </w:t>
      </w:r>
      <w:r w:rsidR="1DB4E723" w:rsidRPr="5575EBFC">
        <w:rPr>
          <w:lang w:val="en-GB"/>
        </w:rPr>
        <w:t xml:space="preserve">diversification of </w:t>
      </w:r>
      <w:r w:rsidR="1A07A2CA" w:rsidRPr="5575EBFC">
        <w:rPr>
          <w:lang w:val="en-GB"/>
        </w:rPr>
        <w:t xml:space="preserve">species available for </w:t>
      </w:r>
      <w:r w:rsidR="1DB4E723" w:rsidRPr="5575EBFC">
        <w:rPr>
          <w:lang w:val="en-GB"/>
        </w:rPr>
        <w:t xml:space="preserve">hunting </w:t>
      </w:r>
      <w:r w:rsidR="007700EA" w:rsidRPr="5575EBFC">
        <w:rPr>
          <w:lang w:val="en-GB"/>
        </w:rPr>
        <w:fldChar w:fldCharType="begin"/>
      </w:r>
      <w:r w:rsidR="00331A79">
        <w:rPr>
          <w:lang w:val="en-GB"/>
        </w:rPr>
        <w:instrText xml:space="preserve"> ADDIN ZOTERO_ITEM CSL_CITATION {"citationID":"NLyJdE6U","properties":{"formattedCitation":"(Carpio et al., 2017)","plainCitation":"(Carpio et al., 2017)","noteIndex":0},"citationItems":[{"id":30460,"uris":["http://zotero.org/groups/2352922/items/AS96IHE2"],"itemData":{"id":30460,"type":"article-journal","container-title":"Biological Invasions","DOI":"10.1007/s10530-016-1313-0","ISSN":"1387-3547, 1573-1464","issue":"4","journalAbbreviation":"Biol Invasions","language":"en","page":"1197-1211","source":"DOI.org (Crossref)","title":"Hunting as a source of alien species: a European review","title-short":"Hunting as a source of alien species","URL":"http://link.springer.com/10.1007/s10530-016-1313-0","volume":"19","author":[{"family":"Carpio","given":"Antonio J."},{"family":"Guerrero-Casado","given":"José"},{"family":"Barasona","given":"José A."},{"family":"Tortosa","given":"Francisco S."},{"family":"Vicente","given":"Joaquín"},{"family":"Hillström","given":"Lars"},{"family":"Delibes-Mateos","given":"Miguel"}],"accessed":{"date-parts":[["2020",8,9]]},"issued":{"date-parts":[["2017",4]]}}}],"schema":"https://github.com/citation-style-language/schema/raw/master/csl-citation.json"} </w:instrText>
      </w:r>
      <w:r w:rsidR="007700EA" w:rsidRPr="5575EBFC">
        <w:rPr>
          <w:lang w:val="en-GB"/>
        </w:rPr>
        <w:fldChar w:fldCharType="separate"/>
      </w:r>
      <w:r w:rsidR="6B5F9B9E">
        <w:t>(Carpio et al., 2017)</w:t>
      </w:r>
      <w:r w:rsidR="007700EA" w:rsidRPr="5575EBFC">
        <w:rPr>
          <w:lang w:val="en-GB"/>
        </w:rPr>
        <w:fldChar w:fldCharType="end"/>
      </w:r>
      <w:r w:rsidR="1DB4E723" w:rsidRPr="5575EBFC">
        <w:rPr>
          <w:lang w:val="en-GB"/>
        </w:rPr>
        <w:t>.</w:t>
      </w:r>
      <w:r w:rsidR="51578BEA" w:rsidRPr="5575EBFC">
        <w:rPr>
          <w:lang w:val="en-GB"/>
        </w:rPr>
        <w:t xml:space="preserve"> </w:t>
      </w:r>
      <w:r w:rsidR="076F38E7" w:rsidRPr="5575EBFC">
        <w:rPr>
          <w:lang w:val="en-GB"/>
        </w:rPr>
        <w:t>Such efforts and considerations have resulte</w:t>
      </w:r>
      <w:r w:rsidR="3BD6C72D" w:rsidRPr="5575EBFC">
        <w:rPr>
          <w:lang w:val="en-GB"/>
        </w:rPr>
        <w:t xml:space="preserve">d </w:t>
      </w:r>
      <w:r w:rsidR="5F7313C3" w:rsidRPr="5575EBFC">
        <w:rPr>
          <w:lang w:val="en-GB"/>
        </w:rPr>
        <w:t xml:space="preserve">in </w:t>
      </w:r>
      <w:r w:rsidR="0571B8A0" w:rsidRPr="5575EBFC">
        <w:rPr>
          <w:lang w:val="en-GB"/>
        </w:rPr>
        <w:t>large-scale</w:t>
      </w:r>
      <w:r w:rsidR="5F7313C3" w:rsidRPr="5575EBFC">
        <w:rPr>
          <w:lang w:val="en-GB"/>
        </w:rPr>
        <w:t xml:space="preserve"> introduction</w:t>
      </w:r>
      <w:r w:rsidR="7265C010" w:rsidRPr="5575EBFC">
        <w:rPr>
          <w:lang w:val="en-GB"/>
        </w:rPr>
        <w:t>s</w:t>
      </w:r>
      <w:r w:rsidR="5F7313C3" w:rsidRPr="5575EBFC">
        <w:rPr>
          <w:lang w:val="en-GB"/>
        </w:rPr>
        <w:t xml:space="preserve"> of a number of </w:t>
      </w:r>
      <w:r w:rsidR="076F38E7" w:rsidRPr="5575EBFC">
        <w:rPr>
          <w:lang w:val="en-GB"/>
        </w:rPr>
        <w:t>a</w:t>
      </w:r>
      <w:r w:rsidR="0D14821D" w:rsidRPr="5575EBFC">
        <w:rPr>
          <w:lang w:val="en-GB"/>
        </w:rPr>
        <w:t xml:space="preserve">lien </w:t>
      </w:r>
      <w:r w:rsidR="5F7313C3" w:rsidRPr="5575EBFC">
        <w:rPr>
          <w:lang w:val="en-GB"/>
        </w:rPr>
        <w:t>birds and mammals as</w:t>
      </w:r>
      <w:r w:rsidR="0D14821D" w:rsidRPr="5575EBFC">
        <w:rPr>
          <w:lang w:val="en-GB"/>
        </w:rPr>
        <w:t xml:space="preserve"> game</w:t>
      </w:r>
      <w:r w:rsidR="7265C010" w:rsidRPr="5575EBFC">
        <w:rPr>
          <w:lang w:val="en-GB"/>
        </w:rPr>
        <w:t xml:space="preserve"> species</w:t>
      </w:r>
      <w:r w:rsidR="0D14821D" w:rsidRPr="5575EBFC">
        <w:rPr>
          <w:lang w:val="en-GB"/>
        </w:rPr>
        <w:t xml:space="preserve"> </w:t>
      </w:r>
      <w:r w:rsidR="51578BEA" w:rsidRPr="5575EBFC">
        <w:rPr>
          <w:lang w:val="en-GB"/>
        </w:rPr>
        <w:t>throughout Europe</w:t>
      </w:r>
      <w:r w:rsidR="5F7313C3" w:rsidRPr="5575EBFC">
        <w:rPr>
          <w:lang w:val="en-GB"/>
        </w:rPr>
        <w:t>,</w:t>
      </w:r>
      <w:r w:rsidR="51578BEA" w:rsidRPr="5575EBFC">
        <w:rPr>
          <w:lang w:val="en-GB"/>
        </w:rPr>
        <w:t xml:space="preserve"> generat</w:t>
      </w:r>
      <w:r w:rsidR="5F7313C3" w:rsidRPr="5575EBFC">
        <w:rPr>
          <w:lang w:val="en-GB"/>
        </w:rPr>
        <w:t>ing</w:t>
      </w:r>
      <w:r w:rsidR="51578BEA" w:rsidRPr="5575EBFC">
        <w:rPr>
          <w:lang w:val="en-GB"/>
        </w:rPr>
        <w:t xml:space="preserve"> significant revenues through licensing fees and through </w:t>
      </w:r>
      <w:r w:rsidR="21217602" w:rsidRPr="5575EBFC">
        <w:rPr>
          <w:lang w:val="en-GB"/>
        </w:rPr>
        <w:t xml:space="preserve">creating a </w:t>
      </w:r>
      <w:r w:rsidR="5F7313C3" w:rsidRPr="5575EBFC">
        <w:rPr>
          <w:lang w:val="en-GB"/>
        </w:rPr>
        <w:t>demand for</w:t>
      </w:r>
      <w:r w:rsidR="51578BEA" w:rsidRPr="5575EBFC">
        <w:rPr>
          <w:lang w:val="en-GB"/>
        </w:rPr>
        <w:t xml:space="preserve"> hunting gear and services</w:t>
      </w:r>
      <w:r w:rsidR="0D14821D" w:rsidRPr="5575EBFC">
        <w:rPr>
          <w:lang w:val="en-GB"/>
        </w:rPr>
        <w:t>.</w:t>
      </w:r>
      <w:r w:rsidR="5FEADEC4" w:rsidRPr="5575EBFC">
        <w:rPr>
          <w:lang w:val="en-GB"/>
        </w:rPr>
        <w:t xml:space="preserve"> </w:t>
      </w:r>
      <w:r w:rsidR="007700EA" w:rsidRPr="5575EBFC">
        <w:rPr>
          <w:lang w:val="en-GB"/>
        </w:rPr>
        <w:fldChar w:fldCharType="begin"/>
      </w:r>
      <w:r w:rsidR="00331A79">
        <w:rPr>
          <w:lang w:val="en-GB"/>
        </w:rPr>
        <w:instrText xml:space="preserve"> ADDIN ZOTERO_ITEM CSL_CITATION {"citationID":"INDAytod","properties":{"formattedCitation":"(Carpio et al., 2017)","plainCitation":"(Carpio et al., 2017)","dontUpdate":true,"noteIndex":0},"citationItems":[{"id":30460,"uris":["http://zotero.org/groups/2352922/items/AS96IHE2"],"itemData":{"id":30460,"type":"article-journal","container-title":"Biological Invasions","DOI":"10.1007/s10530-016-1313-0","ISSN":"1387-3547, 1573-1464","issue":"4","journalAbbreviation":"Biol Invasions","language":"en","page":"1197-1211","source":"DOI.org (Crossref)","title":"Hunting as a source of alien species: a European review","title-short":"Hunting as a source of alien species","URL":"http://link.springer.com/10.1007/s10530-016-1313-0","volume":"19","author":[{"family":"Carpio","given":"Antonio J."},{"family":"Guerrero-Casado","given":"José"},{"family":"Barasona","given":"José A."},{"family":"Tortosa","given":"Francisco S."},{"family":"Vicente","given":"Joaquín"},{"family":"Hillström","given":"Lars"},{"family":"Delibes-Mateos","given":"Miguel"}],"accessed":{"date-parts":[["2020",8,9]]},"issued":{"date-parts":[["2017",4]]}}}],"schema":"https://github.com/citation-style-language/schema/raw/master/csl-citation.json"} </w:instrText>
      </w:r>
      <w:r w:rsidR="007700EA" w:rsidRPr="5575EBFC">
        <w:rPr>
          <w:lang w:val="en-GB"/>
        </w:rPr>
        <w:fldChar w:fldCharType="end"/>
      </w:r>
      <w:r w:rsidR="46C5405B" w:rsidRPr="5575EBFC">
        <w:rPr>
          <w:rFonts w:eastAsia="Times New Roman"/>
          <w:lang w:val="en-GB"/>
        </w:rPr>
        <w:t>As s</w:t>
      </w:r>
      <w:r w:rsidR="377CB4DB" w:rsidRPr="5575EBFC">
        <w:rPr>
          <w:rFonts w:eastAsia="Times New Roman"/>
          <w:lang w:val="en-GB"/>
        </w:rPr>
        <w:t xml:space="preserve">ocietal and cultural views on game species </w:t>
      </w:r>
      <w:r w:rsidR="21217602" w:rsidRPr="5575EBFC">
        <w:rPr>
          <w:rFonts w:eastAsia="Times New Roman"/>
          <w:lang w:val="en-GB"/>
        </w:rPr>
        <w:t>vary</w:t>
      </w:r>
      <w:r w:rsidR="377CB4DB" w:rsidRPr="5575EBFC">
        <w:rPr>
          <w:rFonts w:eastAsia="Times New Roman"/>
          <w:lang w:val="en-GB"/>
        </w:rPr>
        <w:t xml:space="preserve"> from </w:t>
      </w:r>
      <w:r w:rsidR="21217602" w:rsidRPr="5575EBFC">
        <w:rPr>
          <w:rFonts w:eastAsia="Times New Roman"/>
          <w:lang w:val="en-GB"/>
        </w:rPr>
        <w:t xml:space="preserve">being a </w:t>
      </w:r>
      <w:r w:rsidR="377CB4DB" w:rsidRPr="5575EBFC">
        <w:rPr>
          <w:rFonts w:eastAsia="Times New Roman"/>
          <w:lang w:val="en-GB"/>
        </w:rPr>
        <w:t xml:space="preserve">valuable food </w:t>
      </w:r>
      <w:r w:rsidR="21217602" w:rsidRPr="5575EBFC">
        <w:rPr>
          <w:rFonts w:eastAsia="Times New Roman"/>
          <w:lang w:val="en-GB"/>
        </w:rPr>
        <w:t>resource via</w:t>
      </w:r>
      <w:r w:rsidR="377CB4DB" w:rsidRPr="5575EBFC">
        <w:rPr>
          <w:rFonts w:eastAsia="Times New Roman"/>
          <w:lang w:val="en-GB"/>
        </w:rPr>
        <w:t xml:space="preserve"> recreational </w:t>
      </w:r>
      <w:r w:rsidR="21217602" w:rsidRPr="5575EBFC">
        <w:rPr>
          <w:rFonts w:eastAsia="Times New Roman"/>
          <w:lang w:val="en-GB"/>
        </w:rPr>
        <w:t>activity</w:t>
      </w:r>
      <w:r w:rsidR="377CB4DB" w:rsidRPr="5575EBFC">
        <w:rPr>
          <w:rFonts w:eastAsia="Times New Roman"/>
          <w:lang w:val="en-GB"/>
        </w:rPr>
        <w:t xml:space="preserve"> to</w:t>
      </w:r>
      <w:r w:rsidR="7265C010" w:rsidRPr="5575EBFC">
        <w:rPr>
          <w:rFonts w:eastAsia="Times New Roman"/>
          <w:lang w:val="en-GB"/>
        </w:rPr>
        <w:t xml:space="preserve"> being an</w:t>
      </w:r>
      <w:r w:rsidR="377CB4DB" w:rsidRPr="5575EBFC">
        <w:rPr>
          <w:rFonts w:eastAsia="Times New Roman"/>
          <w:lang w:val="en-GB"/>
        </w:rPr>
        <w:t xml:space="preserve"> ecological nuisance</w:t>
      </w:r>
      <w:r w:rsidR="4A498D26" w:rsidRPr="5575EBFC">
        <w:rPr>
          <w:rFonts w:eastAsia="Times New Roman"/>
          <w:lang w:val="en-GB"/>
        </w:rPr>
        <w:t>,</w:t>
      </w:r>
      <w:r w:rsidR="377CB4DB" w:rsidRPr="5575EBFC">
        <w:rPr>
          <w:rFonts w:eastAsia="Times New Roman"/>
          <w:lang w:val="en-GB"/>
        </w:rPr>
        <w:t xml:space="preserve"> </w:t>
      </w:r>
      <w:r w:rsidR="5950C43D" w:rsidRPr="5575EBFC">
        <w:rPr>
          <w:rFonts w:eastAsia="Times New Roman"/>
          <w:lang w:val="en-GB"/>
        </w:rPr>
        <w:t>policy can follow suit</w:t>
      </w:r>
      <w:r w:rsidR="0D14821D" w:rsidRPr="5575EBFC">
        <w:rPr>
          <w:rFonts w:eastAsia="Times New Roman"/>
          <w:lang w:val="en-GB"/>
        </w:rPr>
        <w:t xml:space="preserve"> </w:t>
      </w:r>
      <w:r w:rsidR="007700EA" w:rsidRPr="5575EBFC">
        <w:rPr>
          <w:rFonts w:eastAsia="Times New Roman"/>
          <w:lang w:val="en-GB"/>
        </w:rPr>
        <w:fldChar w:fldCharType="begin"/>
      </w:r>
      <w:r w:rsidR="00331A79">
        <w:rPr>
          <w:rFonts w:eastAsia="Times New Roman"/>
          <w:lang w:val="en-GB"/>
        </w:rPr>
        <w:instrText xml:space="preserve"> ADDIN ZOTERO_ITEM CSL_CITATION {"citationID":"Ax0Vyut7","properties":{"formattedCitation":"(D. J. Duffy &amp; Lepczyk, 2021)","plainCitation":"(D. J. Duffy &amp; Lepczyk, 2021)","dontUpdate":true,"noteIndex":0},"citationItems":[{"id":30026,"uris":["http://zotero.org/groups/2352922/items/E3HRU8PL"],"itemData":{"id":30026,"type":"article-journal","abstract":"The historical ecology of an area can be best understood from a biocultural perspective in which human social systems and ecosystems are interrelated and interdependent. We utilized such a perspective to investigate the effects of socioeconomic, political, and cultural viewpoints on the intentional introduction of at least 91 game species to Hawai‘i over the past 230 years. Historical records of game species introductions and inter-island translocations were described in relation to historical events since European contact (1778). Changes in public opinion toward game shifted according to the prevailing cultural climate of the time, corresponding with historical periods that can be demarcated by five major political events: European contact (1778), the Kingdom of Hawai‘i (1819), the Territory of Hawai‘i (1898), the end of World War II (1945), and the Endangered Species Act (1973). In Hawai‘i, environmental management approaches have been integrated with changing cultural values, and the resultant game management policies have reflected shifting views of game species from valuable food sources to recreational sport to ecological nuisance. Such recognition of the interrelationship between politics, economics, and ecosystems allows us to better utilize past lessons to bring about future change by encouraging resource managers to consider cultural factors when formulating effective present and future ecological management goals.","container-title":"Pacific Science","DOI":"10.2984/75.1.1","ISSN":"0030-8870","issue":"1","journalAbbreviation":"Pacific Science","language":"en","source":"DOI.org (Crossref)","title":"The Historical Ecology of Game Species Introductions in Hawai‘i1","URL":"https://bioone.org/journals/pacific-science/volume-75/issue-1/75.1.1/The-Historical-Ecology-of-Game-Species-Introductions-in-Hawaii1/10.2984/75.1.1.full","volume":"75","author":[{"family":"Duffy","given":"Deidre J."},{"family":"Lepczyk","given":"Christopher A."}],"accessed":{"date-parts":[["2021",8,23]]},"issued":{"date-parts":[["2021",5,3]]}}}],"schema":"https://github.com/citation-style-language/schema/raw/master/csl-citation.json"} </w:instrText>
      </w:r>
      <w:r w:rsidR="007700EA" w:rsidRPr="5575EBFC">
        <w:rPr>
          <w:rFonts w:eastAsia="Times New Roman"/>
          <w:lang w:val="en-GB"/>
        </w:rPr>
        <w:fldChar w:fldCharType="separate"/>
      </w:r>
      <w:r w:rsidR="054297A2" w:rsidRPr="5575EBFC">
        <w:rPr>
          <w:lang w:val="en-GB"/>
        </w:rPr>
        <w:t>(Duffy &amp; Lepczyk, 2021)</w:t>
      </w:r>
      <w:r w:rsidR="007700EA" w:rsidRPr="5575EBFC">
        <w:rPr>
          <w:rFonts w:eastAsia="Times New Roman"/>
          <w:lang w:val="en-GB"/>
        </w:rPr>
        <w:fldChar w:fldCharType="end"/>
      </w:r>
      <w:r w:rsidR="377CB4DB" w:rsidRPr="5575EBFC">
        <w:rPr>
          <w:rFonts w:eastAsia="Times New Roman"/>
          <w:lang w:val="en-GB"/>
        </w:rPr>
        <w:t xml:space="preserve">. </w:t>
      </w:r>
      <w:r w:rsidR="03992C73" w:rsidRPr="5575EBFC">
        <w:rPr>
          <w:rFonts w:eastAsia="Times New Roman"/>
          <w:lang w:val="en-GB"/>
        </w:rPr>
        <w:t>Alien s</w:t>
      </w:r>
      <w:r w:rsidR="377CB4DB" w:rsidRPr="5575EBFC">
        <w:rPr>
          <w:rFonts w:eastAsia="Times New Roman"/>
          <w:lang w:val="en-GB"/>
        </w:rPr>
        <w:t xml:space="preserve">pecies are still released for hunting purposes in Europe, but the rate of new species introduced has been declining over the past 10 years </w:t>
      </w:r>
      <w:r w:rsidR="0D14821D" w:rsidRPr="5575EBFC">
        <w:rPr>
          <w:rFonts w:eastAsia="Times New Roman"/>
          <w:lang w:val="en-GB"/>
        </w:rPr>
        <w:t>as the knowledge that alien species have negative effects on native ecosystems has increased</w:t>
      </w:r>
      <w:r w:rsidR="0D14821D" w:rsidRPr="5575EBFC">
        <w:rPr>
          <w:lang w:val="en-GB"/>
        </w:rPr>
        <w:t xml:space="preserve"> </w:t>
      </w:r>
      <w:r w:rsidR="007700EA" w:rsidRPr="5575EBFC">
        <w:rPr>
          <w:lang w:val="en-GB"/>
        </w:rPr>
        <w:fldChar w:fldCharType="begin"/>
      </w:r>
      <w:r w:rsidR="00331A79">
        <w:rPr>
          <w:lang w:val="en-GB"/>
        </w:rPr>
        <w:instrText xml:space="preserve"> ADDIN ZOTERO_ITEM CSL_CITATION {"citationID":"B2yaBeg3","properties":{"formattedCitation":"(Carpio et al., 2017)","plainCitation":"(Carpio et al., 2017)","noteIndex":0},"citationItems":[{"id":30460,"uris":["http://zotero.org/groups/2352922/items/AS96IHE2"],"itemData":{"id":30460,"type":"article-journal","container-title":"Biological Invasions","DOI":"10.1007/s10530-016-1313-0","ISSN":"1387-3547, 1573-1464","issue":"4","journalAbbreviation":"Biol Invasions","language":"en","page":"1197-1211","source":"DOI.org (Crossref)","title":"Hunting as a source of alien species: a European review","title-short":"Hunting as a source of alien species","URL":"http://link.springer.com/10.1007/s10530-016-1313-0","volume":"19","author":[{"family":"Carpio","given":"Antonio J."},{"family":"Guerrero-Casado","given":"José"},{"family":"Barasona","given":"José A."},{"family":"Tortosa","given":"Francisco S."},{"family":"Vicente","given":"Joaquín"},{"family":"Hillström","given":"Lars"},{"family":"Delibes-Mateos","given":"Miguel"}],"accessed":{"date-parts":[["2020",8,9]]},"issued":{"date-parts":[["2017",4]]}}}],"schema":"https://github.com/citation-style-language/schema/raw/master/csl-citation.json"} </w:instrText>
      </w:r>
      <w:r w:rsidR="007700EA" w:rsidRPr="5575EBFC">
        <w:rPr>
          <w:lang w:val="en-GB"/>
        </w:rPr>
        <w:fldChar w:fldCharType="separate"/>
      </w:r>
      <w:r w:rsidR="6B5F9B9E">
        <w:t>(Carpio et al., 2017)</w:t>
      </w:r>
      <w:r w:rsidR="007700EA" w:rsidRPr="5575EBFC">
        <w:rPr>
          <w:lang w:val="en-GB"/>
        </w:rPr>
        <w:fldChar w:fldCharType="end"/>
      </w:r>
      <w:r w:rsidR="55BCD89A" w:rsidRPr="5575EBFC">
        <w:rPr>
          <w:lang w:val="en-GB"/>
        </w:rPr>
        <w:t>.</w:t>
      </w:r>
      <w:r w:rsidR="3323CB27" w:rsidRPr="5575EBFC">
        <w:rPr>
          <w:rFonts w:eastAsia="Times New Roman"/>
          <w:lang w:val="en-GB"/>
        </w:rPr>
        <w:t xml:space="preserve"> </w:t>
      </w:r>
      <w:r w:rsidR="5E1773DB" w:rsidRPr="5575EBFC">
        <w:rPr>
          <w:lang w:val="en-GB"/>
        </w:rPr>
        <w:t>This</w:t>
      </w:r>
      <w:r w:rsidR="23BF2FFE" w:rsidRPr="5575EBFC">
        <w:rPr>
          <w:lang w:val="en-GB"/>
        </w:rPr>
        <w:t xml:space="preserve"> </w:t>
      </w:r>
      <w:r w:rsidR="414D9771" w:rsidRPr="5575EBFC">
        <w:rPr>
          <w:lang w:val="en-GB"/>
        </w:rPr>
        <w:t xml:space="preserve">increase in knowledge </w:t>
      </w:r>
      <w:r w:rsidR="5FEADEC4" w:rsidRPr="5575EBFC">
        <w:rPr>
          <w:lang w:val="en-GB"/>
        </w:rPr>
        <w:t>may have contributed to reduc</w:t>
      </w:r>
      <w:r w:rsidR="414D9771" w:rsidRPr="5575EBFC">
        <w:rPr>
          <w:lang w:val="en-GB"/>
        </w:rPr>
        <w:t>ing the number of</w:t>
      </w:r>
      <w:r w:rsidR="6662F6AB" w:rsidRPr="5575EBFC">
        <w:rPr>
          <w:lang w:val="en-GB"/>
        </w:rPr>
        <w:t xml:space="preserve"> alien species</w:t>
      </w:r>
      <w:r w:rsidR="5FEADEC4" w:rsidRPr="5575EBFC">
        <w:rPr>
          <w:lang w:val="en-GB"/>
        </w:rPr>
        <w:t xml:space="preserve"> </w:t>
      </w:r>
      <w:r w:rsidR="78C836B7" w:rsidRPr="5575EBFC">
        <w:rPr>
          <w:lang w:val="en-GB"/>
        </w:rPr>
        <w:t>introductions</w:t>
      </w:r>
      <w:r w:rsidR="5E1773DB" w:rsidRPr="5575EBFC">
        <w:rPr>
          <w:lang w:val="en-GB"/>
        </w:rPr>
        <w:t xml:space="preserve"> in recent decades</w:t>
      </w:r>
      <w:r w:rsidR="78C836B7" w:rsidRPr="5575EBFC">
        <w:rPr>
          <w:lang w:val="en-GB"/>
        </w:rPr>
        <w:t xml:space="preserve"> </w:t>
      </w:r>
      <w:r w:rsidR="007700EA" w:rsidRPr="5575EBFC">
        <w:rPr>
          <w:lang w:val="en-GB"/>
        </w:rPr>
        <w:fldChar w:fldCharType="begin"/>
      </w:r>
      <w:r w:rsidR="00331A79">
        <w:rPr>
          <w:lang w:val="en-GB"/>
        </w:rPr>
        <w:instrText xml:space="preserve"> ADDIN ZOTERO_ITEM CSL_CITATION {"citationID":"VTr6Jx3n","properties":{"formattedCitation":"(F\\uc0\\u232{}vre et al., 2006)","plainCitation":"(Fèvre et al., 2006)","noteIndex":0},"citationItems":[{"id":30021,"uris":["http://zotero.org/groups/2352922/items/BCUF4TSC"],"itemData":{"id":30021,"type":"article-journal","container-title":"Trends in Microbiology","DOI":"10.1016/j.tim.2006.01.004","ISSN":"0966842X","issue":"3","journalAbbreviation":"Trends in Microbiology","language":"en","page":"125-131","source":"DOI.org (Crossref)","title":"Animal movements and the spread of infectious diseases","URL":"https://linkinghub.elsevier.com/retrieve/pii/S0966842X06000175","volume":"14","author":[{"family":"Fèvre","given":"Eric M."},{"family":"Bronsvoort","given":"Barend M. de C."},{"family":"Hamilton","given":"Katie A."},{"family":"Cleaveland","given":"Sarah"}],"accessed":{"date-parts":[["2021",8,23]]},"issued":{"date-parts":[["2006",3]]}}}],"schema":"https://github.com/citation-style-language/schema/raw/master/csl-citation.json"} </w:instrText>
      </w:r>
      <w:r w:rsidR="007700EA" w:rsidRPr="5575EBFC">
        <w:rPr>
          <w:lang w:val="en-GB"/>
        </w:rPr>
        <w:fldChar w:fldCharType="separate"/>
      </w:r>
      <w:r w:rsidR="6B5F9B9E">
        <w:t>(Fèvre et al., 2006)</w:t>
      </w:r>
      <w:r w:rsidR="007700EA" w:rsidRPr="5575EBFC">
        <w:rPr>
          <w:lang w:val="en-GB"/>
        </w:rPr>
        <w:fldChar w:fldCharType="end"/>
      </w:r>
      <w:r w:rsidR="5FEADEC4" w:rsidRPr="5575EBFC">
        <w:rPr>
          <w:lang w:val="en-GB"/>
        </w:rPr>
        <w:t>.</w:t>
      </w:r>
      <w:r w:rsidR="7436522C" w:rsidRPr="5575EBFC">
        <w:rPr>
          <w:lang w:val="en-GB"/>
        </w:rPr>
        <w:t xml:space="preserve"> </w:t>
      </w:r>
      <w:r w:rsidR="1B4E3CB5" w:rsidRPr="5575EBFC">
        <w:rPr>
          <w:lang w:val="en-GB"/>
        </w:rPr>
        <w:t>In addition, game managers have critic</w:t>
      </w:r>
      <w:r w:rsidR="27E63DF9" w:rsidRPr="5575EBFC">
        <w:rPr>
          <w:lang w:val="en-GB"/>
        </w:rPr>
        <w:t>ize</w:t>
      </w:r>
      <w:r w:rsidR="5E1773DB" w:rsidRPr="5575EBFC">
        <w:rPr>
          <w:lang w:val="en-GB"/>
        </w:rPr>
        <w:t>d</w:t>
      </w:r>
      <w:r w:rsidR="0D14821D" w:rsidRPr="5575EBFC">
        <w:rPr>
          <w:lang w:val="en-GB"/>
        </w:rPr>
        <w:t xml:space="preserve"> </w:t>
      </w:r>
      <w:r w:rsidR="1B4E3CB5" w:rsidRPr="5575EBFC">
        <w:rPr>
          <w:lang w:val="en-GB"/>
        </w:rPr>
        <w:t xml:space="preserve">the </w:t>
      </w:r>
      <w:r w:rsidR="5E1773DB" w:rsidRPr="5575EBFC">
        <w:rPr>
          <w:lang w:val="en-GB"/>
        </w:rPr>
        <w:t>use of ali</w:t>
      </w:r>
      <w:r w:rsidR="28FD07DA" w:rsidRPr="5575EBFC">
        <w:rPr>
          <w:lang w:val="en-GB"/>
        </w:rPr>
        <w:t>en</w:t>
      </w:r>
      <w:r w:rsidR="5E1773DB" w:rsidRPr="5575EBFC">
        <w:rPr>
          <w:lang w:val="en-GB"/>
        </w:rPr>
        <w:t xml:space="preserve"> species for hunting </w:t>
      </w:r>
      <w:r w:rsidR="1B4E3CB5" w:rsidRPr="5575EBFC">
        <w:rPr>
          <w:lang w:val="en-GB"/>
        </w:rPr>
        <w:t xml:space="preserve">from an ecological perspective </w:t>
      </w:r>
      <w:r w:rsidR="007700EA" w:rsidRPr="5575EBFC">
        <w:rPr>
          <w:lang w:val="en-GB"/>
        </w:rPr>
        <w:fldChar w:fldCharType="begin"/>
      </w:r>
      <w:r w:rsidR="00331A79">
        <w:rPr>
          <w:lang w:val="en-GB"/>
        </w:rPr>
        <w:instrText xml:space="preserve"> ADDIN ZOTERO_ITEM CSL_CITATION {"citationID":"ZmLW7pdB","properties":{"formattedCitation":"(Delibes-Mateos, 2015)","plainCitation":"(Delibes-Mateos, 2015)","noteIndex":0},"citationItems":[{"id":30027,"uris":["http://zotero.org/groups/2352922/items/KP8L4J2Q"],"itemData":{"id":30027,"type":"article-journal","abstract":"The release of farm-reared animals for shooting causes frequent conﬂicts between hunters and conservationists, since, while this management practice is economically important in some game areas, it carries several risks for biodiversity conservation (e.g. the introduction of new pathogens or the release of alien species and/or hybrids). However, these conﬂicts have received little attention in the literature. In particular, social-psychological factors, which are very important driving conservation conﬂicts, have been often ignored in the study of releases. Our main goal was to examine attitudes and beliefs of game managers towards the release of farm-reared red-legged partridges in small-game estates within central Spain, where more than 3 million partridges are released annually. Data were collected through face to face interviews with 45 game managers. More than 70% of the interviewed managers expressed negative views towards releases, and these included arguments about their detrimental effect on natural partridge populations, their low effectiveness, and their consideration as artiﬁcial hunting. Very negative views predominated among managers who had never released partridges (mostly those of noncommercial estates), and were frequently expressed by those who released partridges occasionally. In contrast, positive views were mostly given by managers who released partridges annually, and arguments used generally referred to the economic beneﬁts of releases. Some managers expressed at the same time both positive and negative views on releases (i.e. ambivalent position). These ﬁndings suggest that there exists a relative polarisation among game managers, and that the position of those who were very critical of releases is close to that of conservationists. Our results also suggest that managers’ decision-making regarding releases is likely inﬂuenced by a variety of beliefs and attitudes as well as the socioeconomic setting (e.g. economic interest in the outcome of the behaviour). This highlights that the study of different aspects, including social and psychological as well as economic, is essential for understanding and resolving conservation conﬂicts, such as those caused by releases.","container-title":"Journal for Nature Conservation","language":"en","page":"1-8","source":"Zotero","title":"Game managers’ views on the release of farm-reared red-legged partridges in hunting estates within central Spain","volume":"26","author":[{"family":"Delibes-Mateos","given":"Miguel"}],"issued":{"date-parts":[["2015"]]}},"label":"page"}],"schema":"https://github.com/citation-style-language/schema/raw/master/csl-citation.json"} </w:instrText>
      </w:r>
      <w:r w:rsidR="007700EA" w:rsidRPr="5575EBFC">
        <w:rPr>
          <w:lang w:val="en-GB"/>
        </w:rPr>
        <w:fldChar w:fldCharType="separate"/>
      </w:r>
      <w:r w:rsidR="6B5F9B9E">
        <w:t>(Delibes-Mateos, 2015)</w:t>
      </w:r>
      <w:r w:rsidR="007700EA" w:rsidRPr="5575EBFC">
        <w:rPr>
          <w:lang w:val="en-GB"/>
        </w:rPr>
        <w:fldChar w:fldCharType="end"/>
      </w:r>
      <w:r w:rsidR="572A5471" w:rsidRPr="5575EBFC">
        <w:rPr>
          <w:lang w:val="en-GB"/>
        </w:rPr>
        <w:t xml:space="preserve">, </w:t>
      </w:r>
      <w:r w:rsidR="5E1773DB" w:rsidRPr="5575EBFC">
        <w:rPr>
          <w:lang w:val="en-GB"/>
        </w:rPr>
        <w:t xml:space="preserve">and </w:t>
      </w:r>
      <w:r w:rsidR="572A5471" w:rsidRPr="5575EBFC">
        <w:rPr>
          <w:lang w:val="en-GB"/>
        </w:rPr>
        <w:t>hunters indicate that they favour</w:t>
      </w:r>
      <w:r w:rsidR="5E1773DB" w:rsidRPr="5575EBFC">
        <w:rPr>
          <w:lang w:val="en-GB"/>
        </w:rPr>
        <w:t xml:space="preserve"> hunting</w:t>
      </w:r>
      <w:r w:rsidR="572A5471" w:rsidRPr="5575EBFC">
        <w:rPr>
          <w:lang w:val="en-GB"/>
        </w:rPr>
        <w:t xml:space="preserve"> wild game in biodiversity-rich landscapes</w:t>
      </w:r>
      <w:r w:rsidR="03992C73" w:rsidRPr="5575EBFC">
        <w:rPr>
          <w:lang w:val="en-GB"/>
        </w:rPr>
        <w:t xml:space="preserve"> rather than</w:t>
      </w:r>
      <w:r w:rsidR="572A5471" w:rsidRPr="5575EBFC">
        <w:rPr>
          <w:lang w:val="en-GB"/>
        </w:rPr>
        <w:t xml:space="preserve"> released individuals</w:t>
      </w:r>
      <w:r w:rsidR="5E1773DB" w:rsidRPr="5575EBFC">
        <w:rPr>
          <w:lang w:val="en-GB"/>
        </w:rPr>
        <w:t>,</w:t>
      </w:r>
      <w:r w:rsidR="572A5471" w:rsidRPr="5575EBFC">
        <w:rPr>
          <w:lang w:val="en-GB"/>
        </w:rPr>
        <w:t xml:space="preserve"> and are willing to pay at least 20 times more per wild partridge </w:t>
      </w:r>
      <w:r w:rsidR="4AF31546" w:rsidRPr="5575EBFC">
        <w:rPr>
          <w:lang w:val="en-GB"/>
        </w:rPr>
        <w:t>(</w:t>
      </w:r>
      <w:r w:rsidR="4AF31546" w:rsidRPr="5575EBFC">
        <w:rPr>
          <w:i/>
          <w:iCs/>
          <w:lang w:val="en-GB"/>
        </w:rPr>
        <w:t>Alectoris rufa</w:t>
      </w:r>
      <w:r w:rsidR="4AF31546" w:rsidRPr="5575EBFC">
        <w:rPr>
          <w:lang w:val="en-GB"/>
        </w:rPr>
        <w:t xml:space="preserve">) </w:t>
      </w:r>
      <w:r w:rsidR="572A5471" w:rsidRPr="5575EBFC">
        <w:rPr>
          <w:lang w:val="en-GB"/>
        </w:rPr>
        <w:t xml:space="preserve">hunted </w:t>
      </w:r>
      <w:r w:rsidR="5E1773DB" w:rsidRPr="5575EBFC">
        <w:rPr>
          <w:lang w:val="en-GB"/>
        </w:rPr>
        <w:t>rel</w:t>
      </w:r>
      <w:r w:rsidR="4AF31546" w:rsidRPr="5575EBFC">
        <w:rPr>
          <w:lang w:val="en-GB"/>
        </w:rPr>
        <w:t>a</w:t>
      </w:r>
      <w:r w:rsidR="5E1773DB" w:rsidRPr="5575EBFC">
        <w:rPr>
          <w:lang w:val="en-GB"/>
        </w:rPr>
        <w:t>tive to a</w:t>
      </w:r>
      <w:r w:rsidR="03992C73" w:rsidRPr="5575EBFC">
        <w:rPr>
          <w:lang w:val="en-GB"/>
        </w:rPr>
        <w:t xml:space="preserve"> </w:t>
      </w:r>
      <w:r w:rsidR="572A5471" w:rsidRPr="5575EBFC">
        <w:rPr>
          <w:lang w:val="en-GB"/>
        </w:rPr>
        <w:t xml:space="preserve">farm-reared bird </w:t>
      </w:r>
      <w:r w:rsidR="007700EA" w:rsidRPr="5575EBFC">
        <w:rPr>
          <w:lang w:val="en-GB"/>
        </w:rPr>
        <w:fldChar w:fldCharType="begin"/>
      </w:r>
      <w:r w:rsidR="00331A79">
        <w:rPr>
          <w:lang w:val="en-GB"/>
        </w:rPr>
        <w:instrText xml:space="preserve"> ADDIN ZOTERO_ITEM CSL_CITATION {"citationID":"6gl5gJCd","properties":{"formattedCitation":"(Delibes-Mateos et al., 2014)","plainCitation":"(Delibes-Mateos et al., 2014)","noteIndex":0},"citationItems":[{"id":54656,"uris":["http://zotero.org/groups/2352922/items/LHWCSVI6"],"itemData":{"id":54656,"type":"article-journal","abstract":"In southern Europe, traditional hunting has been frequently replaced by models based on more intensive management. These systems include management strategies like the release of farm-reared animals that can cause harmful effects on biodiversity. However, little is known about the hunters’ views of this activity, and about their preferences for the ecological attributes of the hunting estates. We present the results of a choice experiment exercise evaluating the willingness to pay of Spanish hunters regarding different aspects of walked-up red-legged partridge (Alectoris rufa) shooting, including partridge quality (farm-reared vs. wild) and other attributes related to the ecological characteristics of the estate. We find that, when given the choice, hunting an additional wild partridge in a walked-up shooting day was valued more than 20times higher than hunting an additional farm-reared bird. The diversity of small game available and the presence of natural vegetation in the landscape in which the walked-up hunting takes place were also significantly valued. Hunters also attributed economic value (albeit lower than other attributes) to the presence of protected non-game fauna in the estate. Overall, our results show that hunters are willing to pay more for hunting on estates that have better ecological characteristics, which may be indicative of good conservation status. This suggests that identifying and promoting such estates could lead to systems that are both ecologically and economically sustainable.","container-title":"Biological Conservation","DOI":"10.1016/j.biocon.2014.06.004","ISSN":"0006-3207","journalAbbreviation":"Biological Conservation","language":"en","page":"36-42","source":"ScienceDirect","title":"Does hunters’ willingness to pay match the best hunting options for biodiversity conservation? A choice experiment application for small-game hunting in Spain","title-short":"Does hunters’ willingness to pay match the best hunting options for biodiversity conservation?","URL":"https://www.sciencedirect.com/science/article/pii/S0006320714002316","volume":"177","author":[{"family":"Delibes-Mateos","given":"Miguel"},{"family":"Giergiczny","given":"Marek"},{"family":"Caro","given":"Jesús"},{"family":"Viñuela","given":"Javier"},{"family":"Riera","given":"Pere"},{"family":"Arroyo","given":"Beatriz"}],"accessed":{"date-parts":[["2023",3,7]]},"issued":{"date-parts":[["2014",9,1]]}},"label":"page"}],"schema":"https://github.com/citation-style-language/schema/raw/master/csl-citation.json"} </w:instrText>
      </w:r>
      <w:r w:rsidR="007700EA" w:rsidRPr="5575EBFC">
        <w:rPr>
          <w:lang w:val="en-GB"/>
        </w:rPr>
        <w:fldChar w:fldCharType="separate"/>
      </w:r>
      <w:r w:rsidR="6B5F9B9E">
        <w:t>(Delibes-Mateos et al., 2014)</w:t>
      </w:r>
      <w:r w:rsidR="007700EA" w:rsidRPr="5575EBFC">
        <w:rPr>
          <w:lang w:val="en-GB"/>
        </w:rPr>
        <w:fldChar w:fldCharType="end"/>
      </w:r>
      <w:r w:rsidR="572A5471" w:rsidRPr="5575EBFC">
        <w:rPr>
          <w:lang w:val="en-GB"/>
        </w:rPr>
        <w:t xml:space="preserve">. </w:t>
      </w:r>
      <w:r w:rsidR="53B9063D" w:rsidRPr="5575EBFC">
        <w:rPr>
          <w:lang w:val="en-GB"/>
        </w:rPr>
        <w:t xml:space="preserve">However, hunters </w:t>
      </w:r>
      <w:r w:rsidR="75805606" w:rsidRPr="5575EBFC">
        <w:rPr>
          <w:lang w:val="en-GB"/>
        </w:rPr>
        <w:t>do not always</w:t>
      </w:r>
      <w:r w:rsidR="53B9063D" w:rsidRPr="5575EBFC">
        <w:rPr>
          <w:lang w:val="en-GB"/>
        </w:rPr>
        <w:t xml:space="preserve"> recogniz</w:t>
      </w:r>
      <w:r w:rsidR="2C58359B" w:rsidRPr="5575EBFC">
        <w:rPr>
          <w:lang w:val="en-GB"/>
        </w:rPr>
        <w:t>e</w:t>
      </w:r>
      <w:r w:rsidR="53B9063D" w:rsidRPr="5575EBFC">
        <w:rPr>
          <w:lang w:val="en-GB"/>
        </w:rPr>
        <w:t xml:space="preserve"> </w:t>
      </w:r>
      <w:r w:rsidR="5E1773DB" w:rsidRPr="5575EBFC">
        <w:rPr>
          <w:lang w:val="en-GB"/>
        </w:rPr>
        <w:t xml:space="preserve">that a game </w:t>
      </w:r>
      <w:r w:rsidR="53B9063D" w:rsidRPr="5575EBFC">
        <w:rPr>
          <w:lang w:val="en-GB"/>
        </w:rPr>
        <w:t>species</w:t>
      </w:r>
      <w:r w:rsidR="5E1773DB" w:rsidRPr="5575EBFC">
        <w:rPr>
          <w:lang w:val="en-GB"/>
        </w:rPr>
        <w:t xml:space="preserve"> is alien</w:t>
      </w:r>
      <w:r w:rsidR="53B9063D" w:rsidRPr="5575EBFC">
        <w:rPr>
          <w:lang w:val="en-GB"/>
        </w:rPr>
        <w:t xml:space="preserve"> </w:t>
      </w:r>
      <w:r w:rsidR="007700EA" w:rsidRPr="5575EBFC">
        <w:rPr>
          <w:lang w:val="en-GB"/>
        </w:rPr>
        <w:fldChar w:fldCharType="begin"/>
      </w:r>
      <w:r w:rsidR="00331A79">
        <w:rPr>
          <w:lang w:val="en-GB"/>
        </w:rPr>
        <w:instrText xml:space="preserve"> ADDIN ZOTERO_ITEM CSL_CITATION {"citationID":"QWy0bFpR","properties":{"formattedCitation":"(Cerri et al., 2016)","plainCitation":"(Cerri et al., 2016)","noteIndex":0},"citationItems":[{"id":30483,"uris":["http://zotero.org/groups/2352922/items/7IU4RGHT"],"itemData":{"id":30483,"type":"article-journal","container-title":"Journal for Nature Conservation","DOI":"10.1016/j.jnc.2016.08.003","ISSN":"16171381","journalAbbreviation":"Journal for Nature Conservation","language":"en","page":"15-23","source":"DOI.org (Crossref)","title":"Are you aware of what you are doing? Asking Italian hunters about an invasive alien species they are introducing","title-short":"Are you aware of what you are doing?","URL":"https://linkinghub.elsevier.com/retrieve/pii/S1617138116300607","volume":"34","author":[{"family":"Cerri","given":"Jacopo"},{"family":"Ferretti","given":"Marco"},{"family":"Tricarico","given":"Elena"}],"accessed":{"date-parts":[["2021",8,23]]},"issued":{"date-parts":[["2016",12]]}}}],"schema":"https://github.com/citation-style-language/schema/raw/master/csl-citation.json"} </w:instrText>
      </w:r>
      <w:r w:rsidR="007700EA" w:rsidRPr="5575EBFC">
        <w:rPr>
          <w:lang w:val="en-GB"/>
        </w:rPr>
        <w:fldChar w:fldCharType="separate"/>
      </w:r>
      <w:r w:rsidR="6B5F9B9E">
        <w:t>(Cerri et al., 2016)</w:t>
      </w:r>
      <w:r w:rsidR="007700EA" w:rsidRPr="5575EBFC">
        <w:rPr>
          <w:lang w:val="en-GB"/>
        </w:rPr>
        <w:fldChar w:fldCharType="end"/>
      </w:r>
      <w:r w:rsidR="43891A0D" w:rsidRPr="5575EBFC">
        <w:rPr>
          <w:lang w:val="en-GB"/>
        </w:rPr>
        <w:t>. Furthermore</w:t>
      </w:r>
      <w:r w:rsidR="1373C1D7" w:rsidRPr="5575EBFC">
        <w:rPr>
          <w:lang w:val="en-GB"/>
        </w:rPr>
        <w:t>,</w:t>
      </w:r>
      <w:r w:rsidR="158CB4B9" w:rsidRPr="5575EBFC">
        <w:rPr>
          <w:lang w:val="en-GB"/>
        </w:rPr>
        <w:t xml:space="preserve"> </w:t>
      </w:r>
      <w:r w:rsidR="53B9063D" w:rsidRPr="5575EBFC">
        <w:rPr>
          <w:lang w:val="en-GB"/>
        </w:rPr>
        <w:t xml:space="preserve">fines </w:t>
      </w:r>
      <w:r w:rsidR="158CB4B9" w:rsidRPr="5575EBFC">
        <w:rPr>
          <w:lang w:val="en-GB"/>
        </w:rPr>
        <w:t xml:space="preserve">for the illegal importation and/or release of alien species </w:t>
      </w:r>
      <w:r w:rsidR="43891A0D" w:rsidRPr="5575EBFC">
        <w:rPr>
          <w:lang w:val="en-GB"/>
        </w:rPr>
        <w:t xml:space="preserve">are relatively low </w:t>
      </w:r>
      <w:r w:rsidR="5D8DF1BE" w:rsidRPr="5575EBFC">
        <w:rPr>
          <w:lang w:val="en-GB"/>
        </w:rPr>
        <w:t>and</w:t>
      </w:r>
      <w:r w:rsidR="065269C9" w:rsidRPr="5575EBFC">
        <w:rPr>
          <w:lang w:val="en-GB"/>
        </w:rPr>
        <w:t xml:space="preserve"> the</w:t>
      </w:r>
      <w:r w:rsidR="53B9063D" w:rsidRPr="5575EBFC">
        <w:rPr>
          <w:lang w:val="en-GB"/>
        </w:rPr>
        <w:t xml:space="preserve"> detection</w:t>
      </w:r>
      <w:r w:rsidR="5F58C80D" w:rsidRPr="5575EBFC">
        <w:rPr>
          <w:lang w:val="en-GB"/>
        </w:rPr>
        <w:t xml:space="preserve"> </w:t>
      </w:r>
      <w:r w:rsidR="3A22A71F" w:rsidRPr="5575EBFC">
        <w:rPr>
          <w:lang w:val="en-GB"/>
        </w:rPr>
        <w:t>rate</w:t>
      </w:r>
      <w:r w:rsidR="43891A0D" w:rsidRPr="5575EBFC">
        <w:rPr>
          <w:lang w:val="en-GB"/>
        </w:rPr>
        <w:t xml:space="preserve"> </w:t>
      </w:r>
      <w:r w:rsidR="065269C9" w:rsidRPr="5575EBFC">
        <w:rPr>
          <w:lang w:val="en-GB"/>
        </w:rPr>
        <w:t>of illegal importation</w:t>
      </w:r>
      <w:r w:rsidR="43891A0D" w:rsidRPr="5575EBFC">
        <w:rPr>
          <w:lang w:val="en-GB"/>
        </w:rPr>
        <w:t xml:space="preserve"> is low</w:t>
      </w:r>
      <w:r w:rsidR="3A22A71F" w:rsidRPr="5575EBFC">
        <w:rPr>
          <w:lang w:val="en-GB"/>
        </w:rPr>
        <w:t xml:space="preserve"> </w:t>
      </w:r>
      <w:r w:rsidR="007700EA" w:rsidRPr="5575EBFC">
        <w:rPr>
          <w:lang w:val="en-GB"/>
        </w:rPr>
        <w:fldChar w:fldCharType="begin"/>
      </w:r>
      <w:r w:rsidR="00331A79">
        <w:rPr>
          <w:lang w:val="en-GB"/>
        </w:rPr>
        <w:instrText xml:space="preserve"> ADDIN ZOTERO_ITEM CSL_CITATION {"citationID":"wOC1AK7r","properties":{"formattedCitation":"(Caudell et al., 2016)","plainCitation":"(Caudell et al., 2016)","noteIndex":0},"citationItems":[{"id":30339,"uris":["http://zotero.org/groups/2352922/items/6DCEKLFH"],"itemData":{"id":30339,"type":"article-journal","abstract":"Wild hogs (Sus scrofa) are an invasive, exotic species that has spread through much of the United States through anthropogenic means. Many states have laws and regulations with the intent of preventing the illegal importation, introduction, and establishment of wild swine populations. However, in many cases, these laws have been ineﬀectual at stopping the anthropogenic spread of wild swine. To assess the risk for moving wild hogs, we examined various wild hog-related laws throughout the United States and assessed the potential reward for their illegal movement of releasing hogs for hunting purposes. We found that ﬁnes ranged from $0 to $10,000, with the mean minimum ﬁne of $1,085 and a mean maximum ﬁne of $2,708. The mean cost of a single-day hunting trip was $448; however, this varied widely among states. In many cases, potential rewards, as demonstrated by the economic utility, for releasing wild hogs far outweighed the monetary risk from getting caught. States with few or no wild hogs and weak laws and/or ﬁnes are at a substantial risk for the illegal importation of wild hogs. To reduce the potential for the spread of wild hogs, agencies should concentrate on increasing monetary ﬁnes or increasing the perceptions that this illegal activity will be successfully detected and prosecuted.","container-title":"Human–Wildlife Interactions","issue":"2","language":"en","page":"230-239","source":"Zotero","title":"Economic utility for the anthropogenic spread of wild hogs","URL":"https://digitalcommons.usu.edu/cgi/viewcontent.cgi?article=1034&amp;context=hwi","volume":"10","author":[{"family":"Caudell","given":"Joe N."},{"family":"Dowell","given":"Emily"},{"family":"Welch","given":"Katelyn"}],"issued":{"date-parts":[["2016"]]}}}],"schema":"https://github.com/citation-style-language/schema/raw/master/csl-citation.json"} </w:instrText>
      </w:r>
      <w:r w:rsidR="007700EA" w:rsidRPr="5575EBFC">
        <w:rPr>
          <w:lang w:val="en-GB"/>
        </w:rPr>
        <w:fldChar w:fldCharType="separate"/>
      </w:r>
      <w:r w:rsidR="6B5F9B9E">
        <w:t>(Caudell et al., 2016)</w:t>
      </w:r>
      <w:r w:rsidR="007700EA" w:rsidRPr="5575EBFC">
        <w:rPr>
          <w:lang w:val="en-GB"/>
        </w:rPr>
        <w:fldChar w:fldCharType="end"/>
      </w:r>
      <w:r w:rsidR="548D7666" w:rsidRPr="5575EBFC">
        <w:rPr>
          <w:lang w:val="en-GB"/>
        </w:rPr>
        <w:t xml:space="preserve"> </w:t>
      </w:r>
      <w:r w:rsidR="5E1773DB" w:rsidRPr="5575EBFC">
        <w:rPr>
          <w:lang w:val="en-GB"/>
        </w:rPr>
        <w:t>compared to the</w:t>
      </w:r>
      <w:r w:rsidR="548D7666" w:rsidRPr="5575EBFC">
        <w:rPr>
          <w:lang w:val="en-GB"/>
        </w:rPr>
        <w:t xml:space="preserve"> economic benefit </w:t>
      </w:r>
      <w:r w:rsidR="43891A0D" w:rsidRPr="5575EBFC">
        <w:rPr>
          <w:lang w:val="en-GB"/>
        </w:rPr>
        <w:t>for hunters and landowners</w:t>
      </w:r>
      <w:r w:rsidR="53B9063D" w:rsidRPr="5575EBFC">
        <w:rPr>
          <w:lang w:val="en-GB"/>
        </w:rPr>
        <w:t xml:space="preserve"> indicat</w:t>
      </w:r>
      <w:r w:rsidR="45050CD7" w:rsidRPr="5575EBFC">
        <w:rPr>
          <w:lang w:val="en-GB"/>
        </w:rPr>
        <w:t>ing</w:t>
      </w:r>
      <w:r w:rsidR="53B9063D" w:rsidRPr="5575EBFC">
        <w:rPr>
          <w:lang w:val="en-GB"/>
        </w:rPr>
        <w:t xml:space="preserve"> that the introduction of alien species for hunting is still difficult to </w:t>
      </w:r>
      <w:r w:rsidR="548D7666" w:rsidRPr="5575EBFC">
        <w:rPr>
          <w:lang w:val="en-GB"/>
        </w:rPr>
        <w:t>manage</w:t>
      </w:r>
      <w:r w:rsidR="0D14821D" w:rsidRPr="5575EBFC">
        <w:rPr>
          <w:lang w:val="en-GB"/>
        </w:rPr>
        <w:t xml:space="preserve"> </w:t>
      </w:r>
      <w:r w:rsidR="50CE0EAC" w:rsidRPr="5575EBFC">
        <w:rPr>
          <w:lang w:val="en-GB"/>
        </w:rPr>
        <w:t>(</w:t>
      </w:r>
      <w:r w:rsidR="51A5F9FF" w:rsidRPr="5575EBFC">
        <w:rPr>
          <w:b/>
          <w:bCs/>
          <w:lang w:val="en-GB"/>
        </w:rPr>
        <w:t>C</w:t>
      </w:r>
      <w:r w:rsidR="4776C647" w:rsidRPr="5575EBFC">
        <w:rPr>
          <w:b/>
          <w:bCs/>
          <w:lang w:val="en-GB"/>
        </w:rPr>
        <w:t>hapter 5</w:t>
      </w:r>
      <w:r w:rsidR="4776C647" w:rsidRPr="5575EBFC">
        <w:rPr>
          <w:lang w:val="en-GB"/>
        </w:rPr>
        <w:t>,</w:t>
      </w:r>
      <w:r w:rsidR="4776C647" w:rsidRPr="5575EBFC">
        <w:rPr>
          <w:b/>
          <w:bCs/>
          <w:lang w:val="en-GB"/>
        </w:rPr>
        <w:t xml:space="preserve"> </w:t>
      </w:r>
      <w:r w:rsidR="00E23B69">
        <w:rPr>
          <w:b/>
          <w:bCs/>
          <w:lang w:val="en-GB"/>
        </w:rPr>
        <w:t>Box</w:t>
      </w:r>
      <w:r w:rsidR="364FBC63" w:rsidRPr="5575EBFC">
        <w:rPr>
          <w:b/>
          <w:bCs/>
          <w:lang w:val="en-GB"/>
        </w:rPr>
        <w:t xml:space="preserve"> </w:t>
      </w:r>
      <w:r w:rsidR="0B44CED3" w:rsidRPr="5575EBFC">
        <w:rPr>
          <w:b/>
          <w:bCs/>
          <w:lang w:val="en-GB"/>
        </w:rPr>
        <w:t>5.6</w:t>
      </w:r>
      <w:r w:rsidR="4776C647" w:rsidRPr="5575EBFC">
        <w:rPr>
          <w:lang w:val="en-GB"/>
        </w:rPr>
        <w:t>)</w:t>
      </w:r>
      <w:r w:rsidR="0D14821D" w:rsidRPr="5575EBFC">
        <w:rPr>
          <w:lang w:val="en-GB"/>
        </w:rPr>
        <w:t>.</w:t>
      </w:r>
    </w:p>
    <w:p w14:paraId="101204E5" w14:textId="77777777" w:rsidR="00203485" w:rsidRPr="00DA249F" w:rsidRDefault="00150D78" w:rsidP="00150D78">
      <w:pPr>
        <w:keepNext/>
        <w:pBdr>
          <w:top w:val="single" w:sz="4" w:space="1" w:color="auto"/>
          <w:left w:val="single" w:sz="4" w:space="1" w:color="auto"/>
          <w:bottom w:val="single" w:sz="4" w:space="1" w:color="auto"/>
          <w:right w:val="single" w:sz="4" w:space="1" w:color="auto"/>
        </w:pBdr>
        <w:shd w:val="clear" w:color="auto" w:fill="E7E6E6" w:themeFill="background2"/>
        <w:jc w:val="center"/>
        <w:rPr>
          <w:lang w:val="en-GB"/>
        </w:rPr>
      </w:pPr>
      <w:r w:rsidRPr="00DA249F">
        <w:rPr>
          <w:noProof/>
          <w:lang w:val="en-GB"/>
        </w:rPr>
        <w:drawing>
          <wp:inline distT="0" distB="0" distL="0" distR="0" wp14:anchorId="5B89CAB4" wp14:editId="745D7AE3">
            <wp:extent cx="3809310" cy="2539669"/>
            <wp:effectExtent l="0" t="0" r="1270" b="635"/>
            <wp:docPr id="46" name="Picture 46" descr="A picture containing grass, outdoor, person, hors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Picture 46" descr="A picture containing grass, outdoor, person, horse&#10;&#10;Description automatically generated"/>
                    <pic:cNvPicPr/>
                  </pic:nvPicPr>
                  <pic:blipFill>
                    <a:blip r:embed="rId25" cstate="print">
                      <a:extLst>
                        <a:ext uri="{28A0092B-C50C-407E-A947-70E740481C1C}">
                          <a14:useLocalDpi xmlns:a14="http://schemas.microsoft.com/office/drawing/2010/main" val="0"/>
                        </a:ext>
                      </a:extLst>
                    </a:blip>
                    <a:stretch>
                      <a:fillRect/>
                    </a:stretch>
                  </pic:blipFill>
                  <pic:spPr>
                    <a:xfrm>
                      <a:off x="0" y="0"/>
                      <a:ext cx="3874043" cy="2582826"/>
                    </a:xfrm>
                    <a:prstGeom prst="rect">
                      <a:avLst/>
                    </a:prstGeom>
                    <a:ln>
                      <a:noFill/>
                    </a:ln>
                  </pic:spPr>
                </pic:pic>
              </a:graphicData>
            </a:graphic>
          </wp:inline>
        </w:drawing>
      </w:r>
    </w:p>
    <w:p w14:paraId="1E5277EC" w14:textId="6D53D912" w:rsidR="00203485" w:rsidRPr="00DA249F" w:rsidRDefault="00F57440" w:rsidP="006040A3">
      <w:pPr>
        <w:pStyle w:val="Caption"/>
        <w:pBdr>
          <w:top w:val="single" w:sz="4" w:space="1" w:color="auto"/>
          <w:left w:val="single" w:sz="4" w:space="1" w:color="auto"/>
          <w:bottom w:val="single" w:sz="4" w:space="1" w:color="auto"/>
          <w:right w:val="single" w:sz="4" w:space="1" w:color="auto"/>
        </w:pBdr>
        <w:shd w:val="clear" w:color="auto" w:fill="E7E6E6" w:themeFill="background2"/>
        <w:rPr>
          <w:lang w:val="en-GB"/>
        </w:rPr>
      </w:pPr>
      <w:bookmarkStart w:id="49" w:name="_Ref129338899"/>
      <w:bookmarkStart w:id="50" w:name="_Toc147500892"/>
      <w:r w:rsidRPr="00DA249F">
        <w:rPr>
          <w:lang w:val="en-GB"/>
        </w:rPr>
        <w:t>Figure 3.</w:t>
      </w:r>
      <w:r w:rsidRPr="00DA249F">
        <w:rPr>
          <w:lang w:val="en-GB"/>
        </w:rPr>
        <w:fldChar w:fldCharType="begin"/>
      </w:r>
      <w:r w:rsidRPr="00DA249F">
        <w:rPr>
          <w:lang w:val="en-GB"/>
        </w:rPr>
        <w:instrText xml:space="preserve"> SEQ Figure_3. \* ARABIC </w:instrText>
      </w:r>
      <w:r w:rsidRPr="00DA249F">
        <w:rPr>
          <w:lang w:val="en-GB"/>
        </w:rPr>
        <w:fldChar w:fldCharType="separate"/>
      </w:r>
      <w:r w:rsidR="00287BC7">
        <w:rPr>
          <w:noProof/>
          <w:lang w:val="en-GB"/>
        </w:rPr>
        <w:t>7</w:t>
      </w:r>
      <w:r w:rsidRPr="00DA249F">
        <w:rPr>
          <w:lang w:val="en-GB"/>
        </w:rPr>
        <w:fldChar w:fldCharType="end"/>
      </w:r>
      <w:r w:rsidR="001736EE" w:rsidRPr="00DA249F">
        <w:rPr>
          <w:lang w:val="en-GB"/>
        </w:rPr>
        <w:t>.</w:t>
      </w:r>
      <w:r w:rsidRPr="00DA249F">
        <w:rPr>
          <w:lang w:val="en-GB"/>
        </w:rPr>
        <w:t xml:space="preserve"> </w:t>
      </w:r>
      <w:r w:rsidR="006B64ED" w:rsidRPr="00DA249F">
        <w:rPr>
          <w:b w:val="0"/>
          <w:bCs w:val="0"/>
          <w:i/>
          <w:iCs/>
          <w:lang w:val="en-GB"/>
        </w:rPr>
        <w:t>Phasianus colchicus</w:t>
      </w:r>
      <w:r w:rsidR="006B64ED" w:rsidRPr="00DA249F">
        <w:rPr>
          <w:b w:val="0"/>
          <w:bCs w:val="0"/>
          <w:lang w:val="en-GB"/>
        </w:rPr>
        <w:t xml:space="preserve"> (common pheasant) </w:t>
      </w:r>
      <w:r w:rsidRPr="00DA249F">
        <w:rPr>
          <w:b w:val="0"/>
          <w:bCs w:val="0"/>
          <w:lang w:val="en-GB"/>
        </w:rPr>
        <w:t>killed by a recreational shoot.</w:t>
      </w:r>
      <w:r w:rsidRPr="00DA249F">
        <w:rPr>
          <w:lang w:val="en-GB"/>
        </w:rPr>
        <w:t xml:space="preserve"> </w:t>
      </w:r>
      <w:r w:rsidR="006D01A9" w:rsidRPr="00DA249F">
        <w:rPr>
          <w:b w:val="0"/>
          <w:bCs w:val="0"/>
          <w:i/>
          <w:iCs/>
          <w:lang w:val="en-GB"/>
        </w:rPr>
        <w:t>Phasianus colchicus</w:t>
      </w:r>
      <w:r w:rsidR="00B578CB" w:rsidRPr="00DA249F">
        <w:rPr>
          <w:b w:val="0"/>
          <w:bCs w:val="0"/>
          <w:lang w:val="en-GB"/>
        </w:rPr>
        <w:t xml:space="preserve"> </w:t>
      </w:r>
      <w:r w:rsidR="002B1C20" w:rsidRPr="00DA249F">
        <w:rPr>
          <w:b w:val="0"/>
          <w:bCs w:val="0"/>
          <w:lang w:val="en-GB"/>
        </w:rPr>
        <w:t xml:space="preserve">are native to Asia and parts of Europe </w:t>
      </w:r>
      <w:r w:rsidR="001B5C4E">
        <w:rPr>
          <w:b w:val="0"/>
          <w:bCs w:val="0"/>
          <w:lang w:val="en-GB"/>
        </w:rPr>
        <w:t>(</w:t>
      </w:r>
      <w:r w:rsidR="002B1C20" w:rsidRPr="00DA249F">
        <w:rPr>
          <w:b w:val="0"/>
          <w:bCs w:val="0"/>
          <w:lang w:val="en-GB"/>
        </w:rPr>
        <w:t xml:space="preserve">Balkans and northern </w:t>
      </w:r>
      <w:r w:rsidR="00E37B0C" w:rsidRPr="00DA249F">
        <w:rPr>
          <w:b w:val="0"/>
          <w:bCs w:val="0"/>
          <w:lang w:val="en-GB"/>
        </w:rPr>
        <w:t>Caucasus</w:t>
      </w:r>
      <w:r w:rsidR="001B5C4E">
        <w:rPr>
          <w:b w:val="0"/>
          <w:bCs w:val="0"/>
          <w:lang w:val="en-GB"/>
        </w:rPr>
        <w:t>)</w:t>
      </w:r>
      <w:r w:rsidR="00E37B0C" w:rsidRPr="00DA249F">
        <w:rPr>
          <w:b w:val="0"/>
          <w:bCs w:val="0"/>
          <w:lang w:val="en-GB"/>
        </w:rPr>
        <w:t xml:space="preserve"> and</w:t>
      </w:r>
      <w:r w:rsidR="002B1C20" w:rsidRPr="00DA249F">
        <w:rPr>
          <w:b w:val="0"/>
          <w:bCs w:val="0"/>
          <w:lang w:val="en-GB"/>
        </w:rPr>
        <w:t xml:space="preserve"> have been introduced as game birds throughout the world, including Europe, North America, Hawaii, Japan, </w:t>
      </w:r>
      <w:r w:rsidR="002B1C20" w:rsidRPr="00DA249F">
        <w:rPr>
          <w:b w:val="0"/>
          <w:bCs w:val="0"/>
          <w:lang w:val="en-GB"/>
        </w:rPr>
        <w:lastRenderedPageBreak/>
        <w:t>Australia</w:t>
      </w:r>
      <w:r w:rsidR="009F7404">
        <w:rPr>
          <w:b w:val="0"/>
          <w:bCs w:val="0"/>
          <w:lang w:val="en-GB"/>
        </w:rPr>
        <w:t xml:space="preserve"> and</w:t>
      </w:r>
      <w:r w:rsidR="002B1C20" w:rsidRPr="00DA249F">
        <w:rPr>
          <w:b w:val="0"/>
          <w:bCs w:val="0"/>
          <w:lang w:val="en-GB"/>
        </w:rPr>
        <w:t xml:space="preserve"> New Zealand. In the U</w:t>
      </w:r>
      <w:r w:rsidR="004E4AE6" w:rsidRPr="00DA249F">
        <w:rPr>
          <w:b w:val="0"/>
          <w:bCs w:val="0"/>
          <w:lang w:val="en-GB"/>
        </w:rPr>
        <w:t xml:space="preserve">nited </w:t>
      </w:r>
      <w:r w:rsidR="002B1C20" w:rsidRPr="00DA249F">
        <w:rPr>
          <w:b w:val="0"/>
          <w:bCs w:val="0"/>
          <w:lang w:val="en-GB"/>
        </w:rPr>
        <w:t>K</w:t>
      </w:r>
      <w:r w:rsidR="004E4AE6" w:rsidRPr="00DA249F">
        <w:rPr>
          <w:b w:val="0"/>
          <w:bCs w:val="0"/>
          <w:lang w:val="en-GB"/>
        </w:rPr>
        <w:t>ingdom</w:t>
      </w:r>
      <w:r w:rsidR="002B1C20" w:rsidRPr="00DA249F">
        <w:rPr>
          <w:b w:val="0"/>
          <w:bCs w:val="0"/>
          <w:lang w:val="en-GB"/>
        </w:rPr>
        <w:t xml:space="preserve">, pheasants were introduced in the </w:t>
      </w:r>
      <w:r w:rsidR="00B3513B" w:rsidRPr="00DA249F">
        <w:rPr>
          <w:b w:val="0"/>
          <w:bCs w:val="0"/>
          <w:lang w:val="en-GB"/>
        </w:rPr>
        <w:t>eleven</w:t>
      </w:r>
      <w:r w:rsidR="002B1C20" w:rsidRPr="00DA249F">
        <w:rPr>
          <w:b w:val="0"/>
          <w:bCs w:val="0"/>
          <w:lang w:val="en-GB"/>
        </w:rPr>
        <w:t xml:space="preserve">th century and became a popular game bird in the </w:t>
      </w:r>
      <w:r w:rsidR="00EF33C9" w:rsidRPr="00DA249F">
        <w:rPr>
          <w:b w:val="0"/>
          <w:bCs w:val="0"/>
          <w:lang w:val="en-GB"/>
        </w:rPr>
        <w:t>nineteenth</w:t>
      </w:r>
      <w:r w:rsidR="002B1C20" w:rsidRPr="00DA249F">
        <w:rPr>
          <w:b w:val="0"/>
          <w:bCs w:val="0"/>
          <w:lang w:val="en-GB"/>
        </w:rPr>
        <w:t xml:space="preserve"> century, being widely bred and released for recreational use. </w:t>
      </w:r>
      <w:r w:rsidR="001B5C4E">
        <w:rPr>
          <w:b w:val="0"/>
          <w:bCs w:val="0"/>
          <w:lang w:val="en-GB"/>
        </w:rPr>
        <w:t>The c</w:t>
      </w:r>
      <w:r w:rsidR="00373169" w:rsidRPr="00DA249F">
        <w:rPr>
          <w:b w:val="0"/>
          <w:bCs w:val="0"/>
          <w:lang w:val="en-GB"/>
        </w:rPr>
        <w:t>urrent breeding population</w:t>
      </w:r>
      <w:r w:rsidR="00214149" w:rsidRPr="00DA249F">
        <w:rPr>
          <w:b w:val="0"/>
          <w:bCs w:val="0"/>
          <w:lang w:val="en-GB"/>
        </w:rPr>
        <w:t xml:space="preserve"> in the U</w:t>
      </w:r>
      <w:r w:rsidR="004E4AE6" w:rsidRPr="00DA249F">
        <w:rPr>
          <w:b w:val="0"/>
          <w:bCs w:val="0"/>
          <w:lang w:val="en-GB"/>
        </w:rPr>
        <w:t xml:space="preserve">nited </w:t>
      </w:r>
      <w:r w:rsidR="00214149" w:rsidRPr="00DA249F">
        <w:rPr>
          <w:b w:val="0"/>
          <w:bCs w:val="0"/>
          <w:lang w:val="en-GB"/>
        </w:rPr>
        <w:t>K</w:t>
      </w:r>
      <w:r w:rsidR="004E4AE6" w:rsidRPr="00DA249F">
        <w:rPr>
          <w:b w:val="0"/>
          <w:bCs w:val="0"/>
          <w:lang w:val="en-GB"/>
        </w:rPr>
        <w:t>ingdom</w:t>
      </w:r>
      <w:r w:rsidR="00214149" w:rsidRPr="00DA249F">
        <w:rPr>
          <w:b w:val="0"/>
          <w:bCs w:val="0"/>
          <w:lang w:val="en-GB"/>
        </w:rPr>
        <w:t xml:space="preserve"> </w:t>
      </w:r>
      <w:r w:rsidR="00096B64">
        <w:rPr>
          <w:b w:val="0"/>
          <w:bCs w:val="0"/>
          <w:lang w:val="en-GB"/>
        </w:rPr>
        <w:t>ha</w:t>
      </w:r>
      <w:r w:rsidR="00214149" w:rsidRPr="00DA249F">
        <w:rPr>
          <w:b w:val="0"/>
          <w:bCs w:val="0"/>
          <w:lang w:val="en-GB"/>
        </w:rPr>
        <w:t>s</w:t>
      </w:r>
      <w:r w:rsidR="00373169" w:rsidRPr="00DA249F">
        <w:rPr>
          <w:b w:val="0"/>
          <w:bCs w:val="0"/>
          <w:lang w:val="en-GB"/>
        </w:rPr>
        <w:t xml:space="preserve"> </w:t>
      </w:r>
      <w:r w:rsidR="00DE3885" w:rsidRPr="00DA249F">
        <w:rPr>
          <w:b w:val="0"/>
          <w:bCs w:val="0"/>
          <w:lang w:val="en-GB"/>
        </w:rPr>
        <w:t xml:space="preserve">2.3 million </w:t>
      </w:r>
      <w:r w:rsidR="00B85449" w:rsidRPr="00DA249F">
        <w:rPr>
          <w:b w:val="0"/>
          <w:bCs w:val="0"/>
          <w:lang w:val="en-GB"/>
        </w:rPr>
        <w:t>female</w:t>
      </w:r>
      <w:r w:rsidR="00174CEC" w:rsidRPr="00DA249F">
        <w:rPr>
          <w:b w:val="0"/>
          <w:bCs w:val="0"/>
          <w:lang w:val="en-GB"/>
        </w:rPr>
        <w:t xml:space="preserve"> bird</w:t>
      </w:r>
      <w:r w:rsidR="00B85449" w:rsidRPr="00DA249F">
        <w:rPr>
          <w:b w:val="0"/>
          <w:bCs w:val="0"/>
          <w:lang w:val="en-GB"/>
        </w:rPr>
        <w:t xml:space="preserve">s </w:t>
      </w:r>
      <w:r w:rsidR="001A61C9" w:rsidRPr="00D0123B">
        <w:rPr>
          <w:b w:val="0"/>
          <w:bCs w:val="0"/>
          <w:lang w:val="en-GB"/>
        </w:rPr>
        <w:fldChar w:fldCharType="begin"/>
      </w:r>
      <w:r w:rsidR="00331A79">
        <w:rPr>
          <w:b w:val="0"/>
          <w:bCs w:val="0"/>
          <w:lang w:val="en-GB"/>
        </w:rPr>
        <w:instrText xml:space="preserve"> ADDIN ZOTERO_ITEM CSL_CITATION {"citationID":"h4iQJZDD","properties":{"formattedCitation":"(RSPB, 2021)","plainCitation":"(RSPB, 2021)","noteIndex":0},"citationItems":[{"id":54377,"uris":["http://zotero.org/groups/2352922/items/HLRQ7MLX"],"itemData":{"id":54377,"type":"webpage","abstract":"The RSPB is the UK's largest nature conservation charity, inspiring everyone to give nature a home and secure a healthy environment for wildlife. Join us.","container-title":"The RSPB","language":"en-GB","title":"The RSPB Wildlife Charity: Nature Reserves &amp; Wildlife Conservation","title-short":"The RSPB Wildlife Charity","URL":"https://rspb.org.uk/","author":[{"family":"RSPB","given":""}],"accessed":{"date-parts":[["2023",2,7]]},"issued":{"date-parts":[["2021"]]}},"label":"page"}],"schema":"https://github.com/citation-style-language/schema/raw/master/csl-citation.json"} </w:instrText>
      </w:r>
      <w:r w:rsidR="001A61C9" w:rsidRPr="00D0123B">
        <w:rPr>
          <w:b w:val="0"/>
          <w:bCs w:val="0"/>
          <w:lang w:val="en-GB"/>
        </w:rPr>
        <w:fldChar w:fldCharType="separate"/>
      </w:r>
      <w:r w:rsidR="00144D96" w:rsidRPr="00D0123B">
        <w:rPr>
          <w:b w:val="0"/>
        </w:rPr>
        <w:t>(RSPB, 2021)</w:t>
      </w:r>
      <w:r w:rsidR="001A61C9" w:rsidRPr="00D0123B">
        <w:rPr>
          <w:b w:val="0"/>
          <w:bCs w:val="0"/>
          <w:lang w:val="en-GB"/>
        </w:rPr>
        <w:fldChar w:fldCharType="end"/>
      </w:r>
      <w:r w:rsidR="001A61C9" w:rsidRPr="00DA249F">
        <w:rPr>
          <w:b w:val="0"/>
          <w:bCs w:val="0"/>
          <w:lang w:val="en-GB"/>
        </w:rPr>
        <w:t>.</w:t>
      </w:r>
      <w:bookmarkEnd w:id="49"/>
      <w:r w:rsidR="002C397A">
        <w:rPr>
          <w:b w:val="0"/>
          <w:bCs w:val="0"/>
          <w:lang w:val="en-GB"/>
        </w:rPr>
        <w:t xml:space="preserve"> Photo credit: </w:t>
      </w:r>
      <w:r w:rsidR="002C397A" w:rsidRPr="002C397A">
        <w:rPr>
          <w:b w:val="0"/>
          <w:bCs w:val="0"/>
          <w:lang w:val="en-GB"/>
        </w:rPr>
        <w:t>MykolaMoriev</w:t>
      </w:r>
      <w:r w:rsidR="002C397A">
        <w:rPr>
          <w:b w:val="0"/>
          <w:bCs w:val="0"/>
          <w:lang w:val="en-GB"/>
        </w:rPr>
        <w:t xml:space="preserve">, Shutterstock </w:t>
      </w:r>
      <w:r w:rsidR="00BB328F">
        <w:rPr>
          <w:b w:val="0"/>
          <w:bCs w:val="0"/>
          <w:lang w:val="en-GB"/>
        </w:rPr>
        <w:t>–</w:t>
      </w:r>
      <w:r w:rsidR="002C397A">
        <w:rPr>
          <w:b w:val="0"/>
          <w:bCs w:val="0"/>
          <w:lang w:val="en-GB"/>
        </w:rPr>
        <w:t xml:space="preserve"> Copyright</w:t>
      </w:r>
      <w:r w:rsidR="00BB328F">
        <w:rPr>
          <w:b w:val="0"/>
          <w:bCs w:val="0"/>
          <w:lang w:val="en-GB"/>
        </w:rPr>
        <w:t>.</w:t>
      </w:r>
      <w:bookmarkEnd w:id="50"/>
    </w:p>
    <w:p w14:paraId="5CCF4B16" w14:textId="77777777" w:rsidR="008C1BF7" w:rsidRPr="00DA249F" w:rsidRDefault="41ADA673" w:rsidP="00375B42">
      <w:pPr>
        <w:pStyle w:val="Heading2"/>
        <w:rPr>
          <w:lang w:val="en-GB"/>
        </w:rPr>
      </w:pPr>
      <w:bookmarkStart w:id="51" w:name="_Toc44317794"/>
      <w:r w:rsidRPr="5575EBFC">
        <w:rPr>
          <w:lang w:val="en-GB"/>
        </w:rPr>
        <w:t xml:space="preserve"> </w:t>
      </w:r>
      <w:bookmarkStart w:id="52" w:name="_Toc146898463"/>
      <w:r w:rsidR="3D04D128" w:rsidRPr="5575EBFC">
        <w:rPr>
          <w:lang w:val="en-GB"/>
        </w:rPr>
        <w:t xml:space="preserve">Demographic </w:t>
      </w:r>
      <w:bookmarkEnd w:id="51"/>
      <w:r w:rsidR="03CD3942" w:rsidRPr="5575EBFC">
        <w:rPr>
          <w:lang w:val="en-GB"/>
        </w:rPr>
        <w:t>drivers</w:t>
      </w:r>
      <w:bookmarkEnd w:id="52"/>
      <w:r w:rsidR="03CD3942" w:rsidRPr="5575EBFC">
        <w:rPr>
          <w:lang w:val="en-GB"/>
        </w:rPr>
        <w:t xml:space="preserve"> </w:t>
      </w:r>
    </w:p>
    <w:p w14:paraId="1780673B" w14:textId="7AC340CC" w:rsidR="00995BF2" w:rsidRPr="00DA249F" w:rsidRDefault="7A4DA54B" w:rsidP="00995BF2">
      <w:pPr>
        <w:rPr>
          <w:lang w:val="en-GB"/>
        </w:rPr>
      </w:pPr>
      <w:r w:rsidRPr="5575EBFC">
        <w:rPr>
          <w:lang w:val="en-GB"/>
        </w:rPr>
        <w:t xml:space="preserve">Demographic drivers, </w:t>
      </w:r>
      <w:r w:rsidR="3394E2E7" w:rsidRPr="5575EBFC">
        <w:rPr>
          <w:lang w:val="en-GB"/>
        </w:rPr>
        <w:t xml:space="preserve">including </w:t>
      </w:r>
      <w:r w:rsidRPr="5575EBFC">
        <w:rPr>
          <w:lang w:val="en-GB"/>
        </w:rPr>
        <w:t>human population growth</w:t>
      </w:r>
      <w:r w:rsidR="0AF23A63" w:rsidRPr="5575EBFC">
        <w:rPr>
          <w:lang w:val="en-GB"/>
        </w:rPr>
        <w:t xml:space="preserve"> and movement</w:t>
      </w:r>
      <w:r w:rsidRPr="5575EBFC">
        <w:rPr>
          <w:lang w:val="en-GB"/>
        </w:rPr>
        <w:t xml:space="preserve">, </w:t>
      </w:r>
      <w:r w:rsidR="70BB38D8" w:rsidRPr="5575EBFC">
        <w:rPr>
          <w:lang w:val="en-GB"/>
        </w:rPr>
        <w:t xml:space="preserve">are </w:t>
      </w:r>
      <w:r w:rsidRPr="5575EBFC">
        <w:rPr>
          <w:lang w:val="en-GB"/>
        </w:rPr>
        <w:t>fundamental factor</w:t>
      </w:r>
      <w:r w:rsidR="40064F9C" w:rsidRPr="5575EBFC">
        <w:rPr>
          <w:lang w:val="en-GB"/>
        </w:rPr>
        <w:t>s</w:t>
      </w:r>
      <w:r w:rsidRPr="5575EBFC">
        <w:rPr>
          <w:lang w:val="en-GB"/>
        </w:rPr>
        <w:t xml:space="preserve"> behind </w:t>
      </w:r>
      <w:r w:rsidR="3A8886EB" w:rsidRPr="5575EBFC">
        <w:rPr>
          <w:lang w:val="en-GB"/>
        </w:rPr>
        <w:t xml:space="preserve">many </w:t>
      </w:r>
      <w:r w:rsidRPr="5575EBFC">
        <w:rPr>
          <w:lang w:val="en-GB"/>
        </w:rPr>
        <w:t>drivers</w:t>
      </w:r>
      <w:r w:rsidR="172054A3" w:rsidRPr="5575EBFC">
        <w:rPr>
          <w:lang w:val="en-GB"/>
        </w:rPr>
        <w:t xml:space="preserve"> that directly </w:t>
      </w:r>
      <w:r w:rsidR="6A8383F4" w:rsidRPr="5575EBFC">
        <w:rPr>
          <w:lang w:val="en-GB"/>
        </w:rPr>
        <w:t>facilitate</w:t>
      </w:r>
      <w:r w:rsidR="5F58C80D" w:rsidRPr="5575EBFC">
        <w:rPr>
          <w:lang w:val="en-GB"/>
        </w:rPr>
        <w:t xml:space="preserve"> </w:t>
      </w:r>
      <w:r w:rsidR="40064F9C" w:rsidRPr="5575EBFC">
        <w:rPr>
          <w:lang w:val="en-GB"/>
        </w:rPr>
        <w:t>biological invasions</w:t>
      </w:r>
      <w:r w:rsidR="0B513AD6" w:rsidRPr="5575EBFC">
        <w:rPr>
          <w:lang w:val="en-GB"/>
        </w:rPr>
        <w:t>. T</w:t>
      </w:r>
      <w:r w:rsidRPr="5575EBFC">
        <w:rPr>
          <w:lang w:val="en-GB"/>
        </w:rPr>
        <w:t xml:space="preserve">his </w:t>
      </w:r>
      <w:r w:rsidR="5B411587" w:rsidRPr="5575EBFC">
        <w:rPr>
          <w:lang w:val="en-GB"/>
        </w:rPr>
        <w:t>section</w:t>
      </w:r>
      <w:r w:rsidR="0B513AD6" w:rsidRPr="5575EBFC">
        <w:rPr>
          <w:lang w:val="en-GB"/>
        </w:rPr>
        <w:t xml:space="preserve"> </w:t>
      </w:r>
      <w:r w:rsidRPr="5575EBFC">
        <w:rPr>
          <w:lang w:val="en-GB"/>
        </w:rPr>
        <w:t>summar</w:t>
      </w:r>
      <w:r w:rsidR="27E63DF9" w:rsidRPr="5575EBFC">
        <w:rPr>
          <w:lang w:val="en-GB"/>
        </w:rPr>
        <w:t>ize</w:t>
      </w:r>
      <w:r w:rsidR="0B513AD6" w:rsidRPr="5575EBFC">
        <w:rPr>
          <w:lang w:val="en-GB"/>
        </w:rPr>
        <w:t>s</w:t>
      </w:r>
      <w:r w:rsidRPr="5575EBFC">
        <w:rPr>
          <w:lang w:val="en-GB"/>
        </w:rPr>
        <w:t xml:space="preserve"> the evidence for the </w:t>
      </w:r>
      <w:r w:rsidR="581E658D" w:rsidRPr="5575EBFC">
        <w:rPr>
          <w:lang w:val="en-GB"/>
        </w:rPr>
        <w:t>influence</w:t>
      </w:r>
      <w:r w:rsidRPr="5575EBFC">
        <w:rPr>
          <w:lang w:val="en-GB"/>
        </w:rPr>
        <w:t xml:space="preserve"> of four main demographic </w:t>
      </w:r>
      <w:r w:rsidR="653902EA" w:rsidRPr="5575EBFC">
        <w:rPr>
          <w:lang w:val="en-GB"/>
        </w:rPr>
        <w:t>drivers of change in nature</w:t>
      </w:r>
      <w:r w:rsidR="19D955B0" w:rsidRPr="5575EBFC">
        <w:rPr>
          <w:lang w:val="en-GB"/>
        </w:rPr>
        <w:t>: 1) changes in human population density; 2) human migration; 3) international crises, such as armed conflict</w:t>
      </w:r>
      <w:r w:rsidR="009F7404">
        <w:rPr>
          <w:lang w:val="en-GB"/>
        </w:rPr>
        <w:t xml:space="preserve"> and</w:t>
      </w:r>
      <w:r w:rsidR="19D955B0" w:rsidRPr="5575EBFC">
        <w:rPr>
          <w:lang w:val="en-GB"/>
        </w:rPr>
        <w:t xml:space="preserve"> emergency relief; and 4) urbanization</w:t>
      </w:r>
      <w:r w:rsidR="30C2C0DC" w:rsidRPr="5575EBFC">
        <w:rPr>
          <w:lang w:val="en-GB"/>
        </w:rPr>
        <w:t xml:space="preserve"> (</w:t>
      </w:r>
      <w:r w:rsidR="00E23B69">
        <w:rPr>
          <w:b/>
          <w:bCs/>
          <w:lang w:val="en-GB"/>
        </w:rPr>
        <w:t>Figure</w:t>
      </w:r>
      <w:r w:rsidR="71349DDA" w:rsidRPr="5575EBFC">
        <w:rPr>
          <w:b/>
          <w:bCs/>
          <w:lang w:val="en-GB"/>
        </w:rPr>
        <w:t xml:space="preserve"> 3.8</w:t>
      </w:r>
      <w:r w:rsidR="30C2C0DC" w:rsidRPr="5575EBFC">
        <w:rPr>
          <w:lang w:val="en-GB"/>
        </w:rPr>
        <w:t>)</w:t>
      </w:r>
      <w:r w:rsidR="19D955B0" w:rsidRPr="5575EBFC">
        <w:rPr>
          <w:lang w:val="en-GB"/>
        </w:rPr>
        <w:t>.</w:t>
      </w:r>
      <w:r w:rsidR="56596397" w:rsidRPr="5575EBFC">
        <w:rPr>
          <w:lang w:val="en-GB"/>
        </w:rPr>
        <w:t xml:space="preserve"> </w:t>
      </w:r>
    </w:p>
    <w:p w14:paraId="34050CEA" w14:textId="6B7E05A6" w:rsidR="00F53C10" w:rsidRPr="00DA249F" w:rsidRDefault="7A4DA54B" w:rsidP="0090109B">
      <w:pPr>
        <w:rPr>
          <w:lang w:val="en-GB"/>
        </w:rPr>
      </w:pPr>
      <w:r w:rsidRPr="5575EBFC">
        <w:rPr>
          <w:lang w:val="en-GB"/>
        </w:rPr>
        <w:t xml:space="preserve">Demographic </w:t>
      </w:r>
      <w:r w:rsidR="653902EA" w:rsidRPr="5575EBFC">
        <w:rPr>
          <w:lang w:val="en-GB"/>
        </w:rPr>
        <w:t>drivers of change in nature</w:t>
      </w:r>
      <w:r w:rsidR="1FAF57E7" w:rsidRPr="5575EBFC">
        <w:rPr>
          <w:lang w:val="en-GB"/>
        </w:rPr>
        <w:t xml:space="preserve"> </w:t>
      </w:r>
      <w:r w:rsidRPr="5575EBFC">
        <w:rPr>
          <w:lang w:val="en-GB"/>
        </w:rPr>
        <w:t>interact with other indirect drivers, especially economic drivers, such as trade (</w:t>
      </w:r>
      <w:r w:rsidR="7B785FA7" w:rsidRPr="5575EBFC">
        <w:rPr>
          <w:b/>
          <w:bCs/>
          <w:lang w:val="en-GB"/>
        </w:rPr>
        <w:t xml:space="preserve">sections </w:t>
      </w:r>
      <w:r w:rsidRPr="5575EBFC">
        <w:rPr>
          <w:b/>
          <w:bCs/>
          <w:lang w:val="en-GB"/>
        </w:rPr>
        <w:t>3.2.3.1</w:t>
      </w:r>
      <w:r w:rsidR="7B785FA7" w:rsidRPr="5575EBFC">
        <w:rPr>
          <w:b/>
          <w:bCs/>
          <w:lang w:val="en-GB"/>
        </w:rPr>
        <w:t xml:space="preserve"> </w:t>
      </w:r>
      <w:r w:rsidR="7B785FA7" w:rsidRPr="5575EBFC">
        <w:rPr>
          <w:lang w:val="en-GB"/>
        </w:rPr>
        <w:t>to</w:t>
      </w:r>
      <w:r w:rsidR="7B785FA7" w:rsidRPr="5575EBFC">
        <w:rPr>
          <w:b/>
          <w:bCs/>
          <w:lang w:val="en-GB"/>
        </w:rPr>
        <w:t xml:space="preserve"> 3.2.3.3</w:t>
      </w:r>
      <w:r w:rsidRPr="5575EBFC">
        <w:rPr>
          <w:lang w:val="en-GB"/>
        </w:rPr>
        <w:t>) and travel (</w:t>
      </w:r>
      <w:r w:rsidR="7B785FA7" w:rsidRPr="5575EBFC">
        <w:rPr>
          <w:b/>
          <w:bCs/>
          <w:lang w:val="en-GB"/>
        </w:rPr>
        <w:t xml:space="preserve">section </w:t>
      </w:r>
      <w:r w:rsidRPr="5575EBFC">
        <w:rPr>
          <w:b/>
          <w:bCs/>
          <w:lang w:val="en-GB"/>
        </w:rPr>
        <w:t>3.2.3.</w:t>
      </w:r>
      <w:r w:rsidR="068A59C1" w:rsidRPr="5575EBFC">
        <w:rPr>
          <w:b/>
          <w:bCs/>
          <w:lang w:val="en-GB"/>
        </w:rPr>
        <w:t>4</w:t>
      </w:r>
      <w:r w:rsidRPr="5575EBFC">
        <w:rPr>
          <w:lang w:val="en-GB"/>
        </w:rPr>
        <w:t>)</w:t>
      </w:r>
      <w:r w:rsidR="009F7404">
        <w:rPr>
          <w:lang w:val="en-GB"/>
        </w:rPr>
        <w:t xml:space="preserve"> and</w:t>
      </w:r>
      <w:r w:rsidRPr="5575EBFC">
        <w:rPr>
          <w:lang w:val="en-GB"/>
        </w:rPr>
        <w:t xml:space="preserve"> science and technology drivers, such as breeding and genomic technologies (</w:t>
      </w:r>
      <w:r w:rsidR="7D27A681" w:rsidRPr="5575EBFC">
        <w:rPr>
          <w:b/>
          <w:bCs/>
          <w:lang w:val="en-GB"/>
        </w:rPr>
        <w:t xml:space="preserve">section </w:t>
      </w:r>
      <w:r w:rsidRPr="5575EBFC">
        <w:rPr>
          <w:b/>
          <w:bCs/>
          <w:lang w:val="en-GB"/>
        </w:rPr>
        <w:t>3.2.4.3</w:t>
      </w:r>
      <w:r w:rsidRPr="5575EBFC">
        <w:rPr>
          <w:lang w:val="en-GB"/>
        </w:rPr>
        <w:t xml:space="preserve">). Demographic drivers operate </w:t>
      </w:r>
      <w:r w:rsidR="5122551C" w:rsidRPr="5575EBFC">
        <w:rPr>
          <w:lang w:val="en-GB"/>
        </w:rPr>
        <w:t>by</w:t>
      </w:r>
      <w:r w:rsidRPr="5575EBFC">
        <w:rPr>
          <w:lang w:val="en-GB"/>
        </w:rPr>
        <w:t xml:space="preserve"> influencing the rate and magnitude of change in a number of direct drivers, most </w:t>
      </w:r>
      <w:r w:rsidR="7D31BE1D" w:rsidRPr="5575EBFC">
        <w:rPr>
          <w:lang w:val="en-GB"/>
        </w:rPr>
        <w:t>obviously</w:t>
      </w:r>
      <w:r w:rsidRPr="5575EBFC">
        <w:rPr>
          <w:lang w:val="en-GB"/>
        </w:rPr>
        <w:t xml:space="preserve"> those related to land- and sea-use change (</w:t>
      </w:r>
      <w:r w:rsidR="7D27A681" w:rsidRPr="5575EBFC">
        <w:rPr>
          <w:b/>
          <w:bCs/>
          <w:lang w:val="en-GB"/>
        </w:rPr>
        <w:t xml:space="preserve">section </w:t>
      </w:r>
      <w:r w:rsidRPr="5575EBFC">
        <w:rPr>
          <w:b/>
          <w:bCs/>
          <w:lang w:val="en-GB"/>
        </w:rPr>
        <w:t>3.3.1</w:t>
      </w:r>
      <w:r w:rsidRPr="5575EBFC">
        <w:rPr>
          <w:lang w:val="en-GB"/>
        </w:rPr>
        <w:t>), but also other direct drivers such as species harvesting (</w:t>
      </w:r>
      <w:r w:rsidR="7D27A681" w:rsidRPr="5575EBFC">
        <w:rPr>
          <w:b/>
          <w:bCs/>
          <w:lang w:val="en-GB"/>
        </w:rPr>
        <w:t xml:space="preserve">section </w:t>
      </w:r>
      <w:r w:rsidRPr="5575EBFC">
        <w:rPr>
          <w:b/>
          <w:bCs/>
          <w:lang w:val="en-GB"/>
        </w:rPr>
        <w:t>3.3.2.1</w:t>
      </w:r>
      <w:r w:rsidRPr="5575EBFC">
        <w:rPr>
          <w:lang w:val="en-GB"/>
        </w:rPr>
        <w:t>), water extraction (</w:t>
      </w:r>
      <w:r w:rsidR="7D27A681" w:rsidRPr="5575EBFC">
        <w:rPr>
          <w:b/>
          <w:bCs/>
          <w:lang w:val="en-GB"/>
        </w:rPr>
        <w:t xml:space="preserve">section </w:t>
      </w:r>
      <w:r w:rsidRPr="5575EBFC">
        <w:rPr>
          <w:b/>
          <w:bCs/>
          <w:lang w:val="en-GB"/>
        </w:rPr>
        <w:t>3.3.2.2</w:t>
      </w:r>
      <w:r w:rsidRPr="5575EBFC">
        <w:rPr>
          <w:lang w:val="en-GB"/>
        </w:rPr>
        <w:t>), pollution (</w:t>
      </w:r>
      <w:r w:rsidR="7D27A681" w:rsidRPr="5575EBFC">
        <w:rPr>
          <w:b/>
          <w:bCs/>
          <w:lang w:val="en-GB"/>
        </w:rPr>
        <w:t xml:space="preserve">section </w:t>
      </w:r>
      <w:r w:rsidRPr="5575EBFC">
        <w:rPr>
          <w:b/>
          <w:bCs/>
          <w:lang w:val="en-GB"/>
        </w:rPr>
        <w:t>3.3.3</w:t>
      </w:r>
      <w:r w:rsidRPr="5575EBFC">
        <w:rPr>
          <w:lang w:val="en-GB"/>
        </w:rPr>
        <w:t>), climate change (</w:t>
      </w:r>
      <w:r w:rsidR="6D392371" w:rsidRPr="5575EBFC">
        <w:rPr>
          <w:b/>
          <w:bCs/>
          <w:lang w:val="en-GB"/>
        </w:rPr>
        <w:t xml:space="preserve">section </w:t>
      </w:r>
      <w:r w:rsidRPr="5575EBFC">
        <w:rPr>
          <w:b/>
          <w:bCs/>
          <w:lang w:val="en-GB"/>
        </w:rPr>
        <w:t>3.3.4</w:t>
      </w:r>
      <w:r w:rsidRPr="5575EBFC">
        <w:rPr>
          <w:lang w:val="en-GB"/>
        </w:rPr>
        <w:t>)</w:t>
      </w:r>
      <w:r w:rsidR="009F7404">
        <w:rPr>
          <w:lang w:val="en-GB"/>
        </w:rPr>
        <w:t xml:space="preserve"> and</w:t>
      </w:r>
      <w:r w:rsidRPr="5575EBFC">
        <w:rPr>
          <w:lang w:val="en-GB"/>
        </w:rPr>
        <w:t xml:space="preserve"> drivers related </w:t>
      </w:r>
      <w:r w:rsidR="0227C99F" w:rsidRPr="5575EBFC">
        <w:rPr>
          <w:lang w:val="en-GB"/>
        </w:rPr>
        <w:t xml:space="preserve">to </w:t>
      </w:r>
      <w:r w:rsidRPr="5575EBFC">
        <w:rPr>
          <w:lang w:val="en-GB"/>
        </w:rPr>
        <w:t xml:space="preserve">biodiversity and ecosystem health such as unintended consequences of the intentional introduction of </w:t>
      </w:r>
      <w:r w:rsidR="6F4BFDAE" w:rsidRPr="5575EBFC">
        <w:rPr>
          <w:lang w:val="en-GB"/>
        </w:rPr>
        <w:t xml:space="preserve">invasive alien species </w:t>
      </w:r>
      <w:r w:rsidRPr="5575EBFC">
        <w:rPr>
          <w:lang w:val="en-GB"/>
        </w:rPr>
        <w:t>(</w:t>
      </w:r>
      <w:r w:rsidR="6D392371" w:rsidRPr="5575EBFC">
        <w:rPr>
          <w:b/>
          <w:bCs/>
          <w:lang w:val="en-GB"/>
        </w:rPr>
        <w:t xml:space="preserve">section </w:t>
      </w:r>
      <w:r w:rsidRPr="5575EBFC">
        <w:rPr>
          <w:b/>
          <w:bCs/>
          <w:lang w:val="en-GB"/>
        </w:rPr>
        <w:t>3.3.5.2</w:t>
      </w:r>
      <w:r w:rsidRPr="5575EBFC">
        <w:rPr>
          <w:lang w:val="en-GB"/>
        </w:rPr>
        <w:t>) and biodiversity loss (</w:t>
      </w:r>
      <w:r w:rsidR="6D392371" w:rsidRPr="5575EBFC">
        <w:rPr>
          <w:b/>
          <w:bCs/>
          <w:lang w:val="en-GB"/>
        </w:rPr>
        <w:t xml:space="preserve">section </w:t>
      </w:r>
      <w:r w:rsidRPr="5575EBFC">
        <w:rPr>
          <w:b/>
          <w:bCs/>
          <w:lang w:val="en-GB"/>
        </w:rPr>
        <w:t>3.</w:t>
      </w:r>
      <w:r w:rsidR="11E1B386" w:rsidRPr="5575EBFC">
        <w:rPr>
          <w:b/>
          <w:bCs/>
          <w:lang w:val="en-GB"/>
        </w:rPr>
        <w:t>4.2</w:t>
      </w:r>
      <w:r w:rsidRPr="5575EBFC">
        <w:rPr>
          <w:lang w:val="en-GB"/>
        </w:rPr>
        <w:t>).</w:t>
      </w:r>
      <w:r w:rsidR="765F76D9" w:rsidRPr="5575EBFC">
        <w:rPr>
          <w:lang w:val="en-GB"/>
        </w:rPr>
        <w:t xml:space="preserve"> </w:t>
      </w:r>
    </w:p>
    <w:p w14:paraId="40CD359D" w14:textId="77777777" w:rsidR="007A5E17" w:rsidRPr="00DA249F" w:rsidRDefault="00AE3E00" w:rsidP="00D67B14">
      <w:pPr>
        <w:jc w:val="center"/>
        <w:rPr>
          <w:lang w:val="en-GB"/>
        </w:rPr>
      </w:pPr>
      <w:r w:rsidRPr="00AE3E00">
        <w:rPr>
          <w:noProof/>
          <w:lang w:val="en-GB"/>
        </w:rPr>
        <w:drawing>
          <wp:inline distT="0" distB="0" distL="0" distR="0" wp14:anchorId="11619D16" wp14:editId="5CFBE7D9">
            <wp:extent cx="6115050" cy="2304415"/>
            <wp:effectExtent l="0" t="0" r="6350" b="0"/>
            <wp:docPr id="35" name="Picture 35" descr="A diagram of a busines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35" descr="A diagram of a business&#10;&#10;Description automatically generated with medium confidence"/>
                    <pic:cNvPicPr/>
                  </pic:nvPicPr>
                  <pic:blipFill>
                    <a:blip r:embed="rId26"/>
                    <a:stretch>
                      <a:fillRect/>
                    </a:stretch>
                  </pic:blipFill>
                  <pic:spPr>
                    <a:xfrm>
                      <a:off x="0" y="0"/>
                      <a:ext cx="6115050" cy="2304415"/>
                    </a:xfrm>
                    <a:prstGeom prst="rect">
                      <a:avLst/>
                    </a:prstGeom>
                    <a:ln>
                      <a:noFill/>
                    </a:ln>
                  </pic:spPr>
                </pic:pic>
              </a:graphicData>
            </a:graphic>
          </wp:inline>
        </w:drawing>
      </w:r>
    </w:p>
    <w:p w14:paraId="1B8EA240" w14:textId="0FF0C9A1" w:rsidR="00F5669E" w:rsidRPr="00DA249F" w:rsidRDefault="10DDCF3F" w:rsidP="00F5669E">
      <w:pPr>
        <w:pStyle w:val="Caption"/>
        <w:rPr>
          <w:b w:val="0"/>
          <w:bCs w:val="0"/>
          <w:lang w:val="en-GB"/>
        </w:rPr>
      </w:pPr>
      <w:bookmarkStart w:id="53" w:name="_Ref126861379"/>
      <w:bookmarkStart w:id="54" w:name="_Toc147500893"/>
      <w:bookmarkStart w:id="55" w:name="_Ref104902482"/>
      <w:r w:rsidRPr="5575EBFC">
        <w:rPr>
          <w:lang w:val="en-GB"/>
        </w:rPr>
        <w:t>Figure</w:t>
      </w:r>
      <w:r w:rsidR="16BBCFB7" w:rsidRPr="5575EBFC">
        <w:rPr>
          <w:lang w:val="en-GB"/>
        </w:rPr>
        <w:t xml:space="preserve"> 3.</w:t>
      </w:r>
      <w:r w:rsidR="007A5E17" w:rsidRPr="5575EBFC">
        <w:rPr>
          <w:lang w:val="en-GB"/>
        </w:rPr>
        <w:fldChar w:fldCharType="begin"/>
      </w:r>
      <w:r w:rsidR="007A5E17" w:rsidRPr="5575EBFC">
        <w:rPr>
          <w:lang w:val="en-GB"/>
        </w:rPr>
        <w:instrText xml:space="preserve"> SEQ Figure_3. \* ARABIC </w:instrText>
      </w:r>
      <w:r w:rsidR="007A5E17" w:rsidRPr="5575EBFC">
        <w:rPr>
          <w:lang w:val="en-GB"/>
        </w:rPr>
        <w:fldChar w:fldCharType="separate"/>
      </w:r>
      <w:r w:rsidR="00287BC7">
        <w:rPr>
          <w:noProof/>
          <w:lang w:val="en-GB"/>
        </w:rPr>
        <w:t>8</w:t>
      </w:r>
      <w:r w:rsidR="007A5E17" w:rsidRPr="5575EBFC">
        <w:rPr>
          <w:lang w:val="en-GB"/>
        </w:rPr>
        <w:fldChar w:fldCharType="end"/>
      </w:r>
      <w:bookmarkEnd w:id="53"/>
      <w:r w:rsidR="4AD1CCCF" w:rsidRPr="5575EBFC">
        <w:rPr>
          <w:lang w:val="en-GB"/>
        </w:rPr>
        <w:t>.</w:t>
      </w:r>
      <w:r w:rsidRPr="5575EBFC">
        <w:rPr>
          <w:lang w:val="en-GB"/>
        </w:rPr>
        <w:t xml:space="preserve"> </w:t>
      </w:r>
      <w:r w:rsidR="5A97E6CF" w:rsidRPr="5575EBFC">
        <w:rPr>
          <w:b w:val="0"/>
          <w:bCs w:val="0"/>
          <w:lang w:val="en-GB"/>
        </w:rPr>
        <w:t>Examples of roles</w:t>
      </w:r>
      <w:r w:rsidRPr="5575EBFC">
        <w:rPr>
          <w:b w:val="0"/>
          <w:bCs w:val="0"/>
          <w:lang w:val="en-GB"/>
        </w:rPr>
        <w:t xml:space="preserve"> of demographic drivers </w:t>
      </w:r>
      <w:r w:rsidR="5A97E6CF" w:rsidRPr="5575EBFC">
        <w:rPr>
          <w:b w:val="0"/>
          <w:bCs w:val="0"/>
          <w:lang w:val="en-GB"/>
        </w:rPr>
        <w:t>in</w:t>
      </w:r>
      <w:r w:rsidR="4AA03B08" w:rsidRPr="5575EBFC">
        <w:rPr>
          <w:b w:val="0"/>
          <w:bCs w:val="0"/>
          <w:lang w:val="en-GB"/>
        </w:rPr>
        <w:t xml:space="preserve"> facili</w:t>
      </w:r>
      <w:r w:rsidR="1F2BB346" w:rsidRPr="5575EBFC">
        <w:rPr>
          <w:b w:val="0"/>
          <w:bCs w:val="0"/>
          <w:lang w:val="en-GB"/>
        </w:rPr>
        <w:t xml:space="preserve">tating </w:t>
      </w:r>
      <w:r w:rsidR="31E829D9" w:rsidRPr="5575EBFC">
        <w:rPr>
          <w:b w:val="0"/>
          <w:bCs w:val="0"/>
          <w:lang w:val="en-GB"/>
        </w:rPr>
        <w:t>invasive alien species</w:t>
      </w:r>
      <w:r w:rsidR="05400323" w:rsidRPr="5575EBFC">
        <w:rPr>
          <w:b w:val="0"/>
          <w:bCs w:val="0"/>
          <w:lang w:val="en-GB"/>
        </w:rPr>
        <w:t xml:space="preserve"> </w:t>
      </w:r>
      <w:r w:rsidR="16BBCFB7" w:rsidRPr="5575EBFC">
        <w:rPr>
          <w:b w:val="0"/>
          <w:bCs w:val="0"/>
          <w:lang w:val="en-GB"/>
        </w:rPr>
        <w:t>across</w:t>
      </w:r>
      <w:r w:rsidR="116A7079" w:rsidRPr="5575EBFC">
        <w:rPr>
          <w:b w:val="0"/>
          <w:bCs w:val="0"/>
          <w:lang w:val="en-GB"/>
        </w:rPr>
        <w:t xml:space="preserve"> st</w:t>
      </w:r>
      <w:r w:rsidR="7177C649" w:rsidRPr="5575EBFC">
        <w:rPr>
          <w:b w:val="0"/>
          <w:bCs w:val="0"/>
          <w:lang w:val="en-GB"/>
        </w:rPr>
        <w:t>a</w:t>
      </w:r>
      <w:r w:rsidR="116A7079" w:rsidRPr="5575EBFC">
        <w:rPr>
          <w:b w:val="0"/>
          <w:bCs w:val="0"/>
          <w:lang w:val="en-GB"/>
        </w:rPr>
        <w:t>ges of the biological</w:t>
      </w:r>
      <w:r w:rsidR="16BBCFB7" w:rsidRPr="5575EBFC">
        <w:rPr>
          <w:b w:val="0"/>
          <w:bCs w:val="0"/>
          <w:lang w:val="en-GB"/>
        </w:rPr>
        <w:t xml:space="preserve"> </w:t>
      </w:r>
      <w:r w:rsidRPr="5575EBFC">
        <w:rPr>
          <w:b w:val="0"/>
          <w:bCs w:val="0"/>
          <w:lang w:val="en-GB"/>
        </w:rPr>
        <w:t xml:space="preserve">invasion </w:t>
      </w:r>
      <w:r w:rsidR="2FD91CB4" w:rsidRPr="5575EBFC">
        <w:rPr>
          <w:b w:val="0"/>
          <w:bCs w:val="0"/>
          <w:lang w:val="en-GB"/>
        </w:rPr>
        <w:t>process</w:t>
      </w:r>
      <w:r w:rsidR="2079B9F6" w:rsidRPr="5575EBFC">
        <w:rPr>
          <w:b w:val="0"/>
          <w:bCs w:val="0"/>
          <w:lang w:val="en-GB"/>
        </w:rPr>
        <w:t>.</w:t>
      </w:r>
      <w:r w:rsidRPr="5575EBFC">
        <w:rPr>
          <w:lang w:val="en-GB"/>
        </w:rPr>
        <w:t xml:space="preserve"> </w:t>
      </w:r>
      <w:r w:rsidR="5A97E6CF" w:rsidRPr="5575EBFC">
        <w:rPr>
          <w:b w:val="0"/>
          <w:bCs w:val="0"/>
          <w:lang w:val="en-GB"/>
        </w:rPr>
        <w:t xml:space="preserve">Illustration of </w:t>
      </w:r>
      <w:r w:rsidR="4307F1FE" w:rsidRPr="5575EBFC">
        <w:rPr>
          <w:b w:val="0"/>
          <w:bCs w:val="0"/>
          <w:lang w:val="en-GB"/>
        </w:rPr>
        <w:t>h</w:t>
      </w:r>
      <w:r w:rsidR="5A97E6CF" w:rsidRPr="5575EBFC">
        <w:rPr>
          <w:b w:val="0"/>
          <w:bCs w:val="0"/>
          <w:lang w:val="en-GB"/>
        </w:rPr>
        <w:t>ow</w:t>
      </w:r>
      <w:r w:rsidR="3A5B0339" w:rsidRPr="5575EBFC">
        <w:rPr>
          <w:b w:val="0"/>
          <w:bCs w:val="0"/>
          <w:lang w:val="en-GB"/>
        </w:rPr>
        <w:t xml:space="preserve"> </w:t>
      </w:r>
      <w:r w:rsidR="4307F1FE" w:rsidRPr="5575EBFC">
        <w:rPr>
          <w:b w:val="0"/>
          <w:bCs w:val="0"/>
          <w:lang w:val="en-GB"/>
        </w:rPr>
        <w:t xml:space="preserve">demographic factors such as </w:t>
      </w:r>
      <w:r w:rsidR="3A5B0339" w:rsidRPr="5575EBFC">
        <w:rPr>
          <w:b w:val="0"/>
          <w:bCs w:val="0"/>
          <w:lang w:val="en-GB"/>
        </w:rPr>
        <w:t>urbani</w:t>
      </w:r>
      <w:r w:rsidR="1B368F60" w:rsidRPr="5575EBFC">
        <w:rPr>
          <w:b w:val="0"/>
          <w:bCs w:val="0"/>
          <w:lang w:val="en-GB"/>
        </w:rPr>
        <w:t>z</w:t>
      </w:r>
      <w:r w:rsidR="3A5B0339" w:rsidRPr="5575EBFC">
        <w:rPr>
          <w:b w:val="0"/>
          <w:bCs w:val="0"/>
          <w:lang w:val="en-GB"/>
        </w:rPr>
        <w:t xml:space="preserve">ation, </w:t>
      </w:r>
      <w:r w:rsidR="78CF1DBB" w:rsidRPr="5575EBFC">
        <w:rPr>
          <w:b w:val="0"/>
          <w:bCs w:val="0"/>
          <w:lang w:val="en-GB"/>
        </w:rPr>
        <w:t>international crises</w:t>
      </w:r>
      <w:r w:rsidR="009F7404">
        <w:rPr>
          <w:b w:val="0"/>
          <w:bCs w:val="0"/>
          <w:lang w:val="en-GB"/>
        </w:rPr>
        <w:t xml:space="preserve"> and</w:t>
      </w:r>
      <w:r w:rsidR="618085FA" w:rsidRPr="5575EBFC">
        <w:rPr>
          <w:b w:val="0"/>
          <w:bCs w:val="0"/>
          <w:lang w:val="en-GB"/>
        </w:rPr>
        <w:t xml:space="preserve"> </w:t>
      </w:r>
      <w:r w:rsidR="4307F1FE" w:rsidRPr="5575EBFC">
        <w:rPr>
          <w:b w:val="0"/>
          <w:bCs w:val="0"/>
          <w:lang w:val="en-GB"/>
        </w:rPr>
        <w:t>movement</w:t>
      </w:r>
      <w:r w:rsidR="618085FA" w:rsidRPr="5575EBFC">
        <w:rPr>
          <w:b w:val="0"/>
          <w:bCs w:val="0"/>
          <w:lang w:val="en-GB"/>
        </w:rPr>
        <w:t xml:space="preserve"> of people, </w:t>
      </w:r>
      <w:r w:rsidR="4307F1FE" w:rsidRPr="5575EBFC">
        <w:rPr>
          <w:b w:val="0"/>
          <w:bCs w:val="0"/>
          <w:lang w:val="en-GB"/>
        </w:rPr>
        <w:t xml:space="preserve">directly or via other drivers such as land-use change, </w:t>
      </w:r>
      <w:r w:rsidR="7E1FC4A4" w:rsidRPr="5575EBFC">
        <w:rPr>
          <w:b w:val="0"/>
          <w:bCs w:val="0"/>
          <w:lang w:val="en-GB"/>
        </w:rPr>
        <w:t xml:space="preserve">can </w:t>
      </w:r>
      <w:r w:rsidR="3D7F9A86" w:rsidRPr="5575EBFC">
        <w:rPr>
          <w:b w:val="0"/>
          <w:bCs w:val="0"/>
          <w:lang w:val="en-GB"/>
        </w:rPr>
        <w:t xml:space="preserve">facilitate </w:t>
      </w:r>
      <w:r w:rsidR="6168AFFC" w:rsidRPr="5575EBFC">
        <w:rPr>
          <w:b w:val="0"/>
          <w:bCs w:val="0"/>
          <w:lang w:val="en-GB"/>
        </w:rPr>
        <w:t>invasive alien species</w:t>
      </w:r>
      <w:r w:rsidR="7CCAAC3E" w:rsidRPr="5575EBFC">
        <w:rPr>
          <w:b w:val="0"/>
          <w:bCs w:val="0"/>
          <w:lang w:val="en-GB"/>
        </w:rPr>
        <w:t xml:space="preserve"> </w:t>
      </w:r>
      <w:r w:rsidR="3D7F9A86" w:rsidRPr="5575EBFC">
        <w:rPr>
          <w:b w:val="0"/>
          <w:bCs w:val="0"/>
          <w:lang w:val="en-GB"/>
        </w:rPr>
        <w:t>across the stages of the biological invasion process.</w:t>
      </w:r>
      <w:bookmarkEnd w:id="54"/>
    </w:p>
    <w:p w14:paraId="49F33F66" w14:textId="77777777" w:rsidR="008C1BF7" w:rsidRPr="00DA249F" w:rsidRDefault="61C0BDF1" w:rsidP="00C110FD">
      <w:pPr>
        <w:pStyle w:val="Heading3"/>
        <w:rPr>
          <w:lang w:val="en-GB"/>
        </w:rPr>
      </w:pPr>
      <w:bookmarkStart w:id="56" w:name="_Toc44317795"/>
      <w:bookmarkEnd w:id="55"/>
      <w:r w:rsidRPr="00DA249F">
        <w:rPr>
          <w:lang w:val="en-GB"/>
        </w:rPr>
        <w:t xml:space="preserve"> </w:t>
      </w:r>
      <w:r w:rsidR="0231CA54" w:rsidRPr="00DA249F">
        <w:rPr>
          <w:lang w:val="en-GB"/>
        </w:rPr>
        <w:t>Regional and national changes in human population density</w:t>
      </w:r>
      <w:bookmarkEnd w:id="56"/>
    </w:p>
    <w:p w14:paraId="13D41735" w14:textId="04F44CFB" w:rsidR="00FB2134" w:rsidRDefault="7A4DA54B" w:rsidP="00FC1547">
      <w:pPr>
        <w:rPr>
          <w:lang w:val="en-GB"/>
        </w:rPr>
      </w:pPr>
      <w:r w:rsidRPr="5575EBFC">
        <w:rPr>
          <w:lang w:val="en-GB"/>
        </w:rPr>
        <w:t xml:space="preserve">The world’s population has doubled over the last 50 years </w:t>
      </w:r>
      <w:r w:rsidR="18794F6F" w:rsidRPr="5575EBFC">
        <w:rPr>
          <w:lang w:val="en-GB"/>
        </w:rPr>
        <w:fldChar w:fldCharType="begin"/>
      </w:r>
      <w:r w:rsidR="00F5121E">
        <w:rPr>
          <w:lang w:val="en-GB"/>
        </w:rPr>
        <w:instrText xml:space="preserve"> ADDIN ZOTERO_ITEM CSL_CITATION {"citationID":"ZmL8KtUt","properties":{"formattedCitation":"(IPBES, 2019)","plainCitation":"(IPBES, 2019)","noteIndex":0},"citationItems":[{"id":53933,"uris":["http://zotero.org/groups/2352922/items/JYFISR8Z","http://zotero.org/groups/2352922/items/ZACZGHZL"],"itemData":{"id":53933,"type":"report","abstract":"IPBES is to perform regular and timely assessments of knowledge on biodiversity and ecosystem services and their interlinkages at the global level. Also addressing an invitation by the Conference of the Parties of the Convention on Biological Diversity (CBD) to prepare a global assessment of biodiversity and ecosystem services building, inter alia, on its own and other relevant regional, subregional and thematic assessments, as well as on national reports. The overall scope of the assessment is to assess the status and trends with regard to biodiversity and ecosystem services, the impact of biodiversity and ecosystem services on human well-being and the effectiveness of responses, including the Strategic Plan and its Aichi Biodiversity Targets. It is anticipated that this deliverable will contribute to the process for the evaluation and renewal of the Strategic Plan for Biodiversity and its Aichi Biodiversity Targets. The IPBES Global Assessment on Biodiversity and Ecosystem Services is composed of 1) a Summary for Policymakers (SPM), approved by the IPBES Plenary at its 7th session in May 2019 in Paris, France (IPBES-7); and 2) a set of six Chapters, accepted by the IPBES Plenary.","language":"en","license":"Creative Commons Attribution 4.0 International, Open Access","note":"Version Number 1\nDOI: 10.5281/ZENODO.3831673","publisher":"Secretariat of the Intergovernmental Science-Policy Platform on Biodiversity and Ecosystem Services","source":"DOI.org (Datacite)","title":"Global assessment report on biodiversity and ecosystem services of the Intergovernmental Science-Policy Platform on Biodiversity and Ecosystem Services","URL":"https://zenodo.org/record/3831673","author":[{"literal":"IPBES"}],"contributor":[{"family":"Brondizio","given":"Eduardo"},{"family":"Diaz","given":"Sandra"},{"family":"Settele","given":"Josef"},{"family":"Ngo","given":"Hien T."}],"accessed":{"date-parts":[["2023",1,5]]},"issued":{"date-parts":[["2019"]]}}}],"schema":"https://github.com/citation-style-language/schema/raw/master/csl-citation.json"} </w:instrText>
      </w:r>
      <w:r w:rsidR="18794F6F" w:rsidRPr="5575EBFC">
        <w:rPr>
          <w:lang w:val="en-GB"/>
        </w:rPr>
        <w:fldChar w:fldCharType="separate"/>
      </w:r>
      <w:r w:rsidR="6B5F9B9E">
        <w:t>(IPBES, 2019)</w:t>
      </w:r>
      <w:r w:rsidR="18794F6F" w:rsidRPr="5575EBFC">
        <w:rPr>
          <w:lang w:val="en-GB"/>
        </w:rPr>
        <w:fldChar w:fldCharType="end"/>
      </w:r>
      <w:r w:rsidRPr="5575EBFC">
        <w:rPr>
          <w:lang w:val="en-GB"/>
        </w:rPr>
        <w:t xml:space="preserve"> and is expected to reach 8.5 billion people in 2030, of which approximately 60</w:t>
      </w:r>
      <w:r w:rsidR="4804CF9A" w:rsidRPr="5575EBFC">
        <w:rPr>
          <w:lang w:val="en-GB"/>
        </w:rPr>
        <w:t xml:space="preserve"> per cent</w:t>
      </w:r>
      <w:r w:rsidRPr="5575EBFC">
        <w:rPr>
          <w:lang w:val="en-GB"/>
        </w:rPr>
        <w:t xml:space="preserve"> (</w:t>
      </w:r>
      <w:r w:rsidR="11E1B386" w:rsidRPr="5575EBFC">
        <w:rPr>
          <w:lang w:val="en-GB"/>
        </w:rPr>
        <w:t xml:space="preserve">about </w:t>
      </w:r>
      <w:r w:rsidRPr="5575EBFC">
        <w:rPr>
          <w:lang w:val="en-GB"/>
        </w:rPr>
        <w:t xml:space="preserve">5 billion) will reside in urban areas </w:t>
      </w:r>
      <w:r w:rsidR="50CE0EAC" w:rsidRPr="5575EBFC">
        <w:rPr>
          <w:lang w:val="en-GB"/>
        </w:rPr>
        <w:t>(</w:t>
      </w:r>
      <w:r w:rsidR="325E1C69" w:rsidRPr="5575EBFC">
        <w:rPr>
          <w:b/>
          <w:bCs/>
          <w:lang w:val="en-GB"/>
        </w:rPr>
        <w:t xml:space="preserve">section </w:t>
      </w:r>
      <w:r w:rsidRPr="5575EBFC">
        <w:rPr>
          <w:b/>
          <w:bCs/>
          <w:lang w:val="en-GB"/>
        </w:rPr>
        <w:t>3.2.2.</w:t>
      </w:r>
      <w:r w:rsidR="3123C154" w:rsidRPr="5575EBFC">
        <w:rPr>
          <w:b/>
          <w:bCs/>
          <w:lang w:val="en-GB"/>
        </w:rPr>
        <w:t>4</w:t>
      </w:r>
      <w:r w:rsidR="5DD21C89" w:rsidRPr="5575EBFC">
        <w:rPr>
          <w:lang w:val="en-GB"/>
        </w:rPr>
        <w:t>;</w:t>
      </w:r>
      <w:r w:rsidR="361A6162" w:rsidRPr="5575EBFC">
        <w:rPr>
          <w:lang w:val="en-GB"/>
        </w:rPr>
        <w:t xml:space="preserve"> </w:t>
      </w:r>
      <w:r w:rsidR="18794F6F" w:rsidRPr="5575EBFC">
        <w:rPr>
          <w:lang w:val="en-GB"/>
        </w:rPr>
        <w:fldChar w:fldCharType="begin"/>
      </w:r>
      <w:r w:rsidR="00331A79">
        <w:rPr>
          <w:lang w:val="en-GB"/>
        </w:rPr>
        <w:instrText xml:space="preserve"> ADDIN ZOTERO_ITEM CSL_CITATION {"citationID":"9RifigJ6","properties":{"formattedCitation":"(United Nations et al., 2019)","plainCitation":"(United Nations et al., 2019)","dontUpdate":true,"noteIndex":0},"citationItems":[{"id":32409,"uris":["http://zotero.org/groups/2352922/items/WG9UFAJD"],"itemData":{"id":32409,"type":"book","ISBN":"978-92-1-148316-1","language":"en","note":"OCLC: 1110010089","source":"Open WorldCat","title":"World population prospects Highlights, 2019 revision Highlights, 2019 revision","author":[{"literal":"United Nations"},{"literal":"Department of Economic and Social Affairs"},{"literal":"Population Division"}],"issued":{"date-parts":[["2019"]]}},"label":"page"}],"schema":"https://github.com/citation-style-language/schema/raw/master/csl-citation.json"} </w:instrText>
      </w:r>
      <w:r w:rsidR="18794F6F" w:rsidRPr="5575EBFC">
        <w:rPr>
          <w:lang w:val="en-GB"/>
        </w:rPr>
        <w:fldChar w:fldCharType="separate"/>
      </w:r>
      <w:r w:rsidR="13396348" w:rsidRPr="5575EBFC">
        <w:rPr>
          <w:lang w:val="en-GB"/>
        </w:rPr>
        <w:t>United Nations et al., 2019)</w:t>
      </w:r>
      <w:r w:rsidR="18794F6F" w:rsidRPr="5575EBFC">
        <w:rPr>
          <w:lang w:val="en-GB"/>
        </w:rPr>
        <w:fldChar w:fldCharType="end"/>
      </w:r>
      <w:r w:rsidRPr="5575EBFC">
        <w:rPr>
          <w:lang w:val="en-GB"/>
        </w:rPr>
        <w:t>. Coastal areas are experiencing faster growth rates and 51</w:t>
      </w:r>
      <w:r w:rsidR="4804CF9A" w:rsidRPr="5575EBFC">
        <w:rPr>
          <w:lang w:val="en-GB"/>
        </w:rPr>
        <w:t xml:space="preserve"> per cent</w:t>
      </w:r>
      <w:r w:rsidRPr="5575EBFC">
        <w:rPr>
          <w:lang w:val="en-GB"/>
        </w:rPr>
        <w:t xml:space="preserve"> of the world’s population will live within 100km of the coast by 2030 </w:t>
      </w:r>
      <w:r w:rsidR="18794F6F" w:rsidRPr="5575EBFC">
        <w:rPr>
          <w:lang w:val="en-GB"/>
        </w:rPr>
        <w:fldChar w:fldCharType="begin"/>
      </w:r>
      <w:r w:rsidR="00331A79">
        <w:rPr>
          <w:lang w:val="en-GB"/>
        </w:rPr>
        <w:instrText xml:space="preserve"> ADDIN ZOTERO_ITEM CSL_CITATION {"citationID":"uIdU5gEI","properties":{"formattedCitation":"(Kummu et al., 2016)","plainCitation":"(Kummu et al., 2016)","noteIndex":0},"citationItems":[{"id":22178,"uris":["http://zotero.org/groups/2352922/items/XD3RNDY2"],"itemData":{"id":22178,"type":"article-journal","abstract":"Proximity to the coast and elevation are important geographical considerations for human settlement. Little is known, however, about how spatial variation in these factors exactly relates to human settlements and activities, and how this has developed over time. Such knowledge is important for identifying vulnerable regions that are at risk from phenomena such as food shortages and water stress. Human activities are a key driving force in global change, and thus detailed information on population distribution is an important input to any research framework on global change. In this paper we assess the global geospatial patterns of the distribution of human population and related factors, with regard to the altitude above sea level and proximity to the coast. The investigated factors are physical conditions, urbanisation, agricultural practices, economy, and environmental stress. An important novel element in this study, is that we included the temporal evolution in various factors related to human settlements and agricultural practices over the 20th century, and used projections for some of these factors up to the year 2050. We found population pressure in the proximity of the coast to be somewhat greater than was found in other studies. Yet, the distribution of population, urbanisation and wealth are evolving to become more evenly spread across the globe than they were in the past. Therefore, the commonly believed tendency of accumulation of people and wealth along coasts is not supported by our results. At the same time, food production is becoming increasingly decoupled from the trends in population density. Croplands are spreading from highly populated coastal zones towards inland zones. Our results thus indicate that even though people and wealth continue to accumulate in proximity to the coast, population densities and economic productivity are becoming less diverse in relation to elevation and distance from the coast.","container-title":"Environmental Research Letters","DOI":"10.1088/1748-9326/11/3/034010","ISSN":"1748-9326","issue":"3","journalAbbreviation":"Environ. Res. Lett.","language":"en","note":"publisher: IOP Publishing","page":"034010","source":"Institute of Physics","title":"Over the hills and further away from coast: global geospatial patterns of human and environment over the 20th–21st centuries","title-short":"Over the hills and further away from coast","URL":"https://doi.org/10.1088%2F1748-9326%2F11%2F3%2F034010","volume":"11","author":[{"family":"Kummu","given":"Matti"},{"family":"Moel","given":"Hans","dropping-particle":"de"},{"family":"Salvucci","given":"Gianluigi"},{"family":"Viviroli","given":"Daniel"},{"family":"Ward","given":"Philip J."},{"family":"Varis","given":"Olli"}],"accessed":{"date-parts":[["2020",5,17]]},"issued":{"date-parts":[["2016",3]]}}}],"schema":"https://github.com/citation-style-language/schema/raw/master/csl-citation.json"} </w:instrText>
      </w:r>
      <w:r w:rsidR="18794F6F" w:rsidRPr="5575EBFC">
        <w:rPr>
          <w:lang w:val="en-GB"/>
        </w:rPr>
        <w:fldChar w:fldCharType="separate"/>
      </w:r>
      <w:r w:rsidR="6B5F9B9E">
        <w:t>(Kummu et al., 2016)</w:t>
      </w:r>
      <w:r w:rsidR="18794F6F" w:rsidRPr="5575EBFC">
        <w:rPr>
          <w:lang w:val="en-GB"/>
        </w:rPr>
        <w:fldChar w:fldCharType="end"/>
      </w:r>
      <w:r w:rsidRPr="5575EBFC">
        <w:rPr>
          <w:lang w:val="en-GB"/>
        </w:rPr>
        <w:t>. Approximately 75</w:t>
      </w:r>
      <w:r w:rsidR="4804CF9A" w:rsidRPr="5575EBFC">
        <w:rPr>
          <w:lang w:val="en-GB"/>
        </w:rPr>
        <w:t xml:space="preserve"> per cent</w:t>
      </w:r>
      <w:r w:rsidRPr="5575EBFC">
        <w:rPr>
          <w:lang w:val="en-GB"/>
        </w:rPr>
        <w:t xml:space="preserve"> of the </w:t>
      </w:r>
      <w:r w:rsidR="7C82F4F5" w:rsidRPr="5575EBFC">
        <w:rPr>
          <w:lang w:val="en-GB"/>
        </w:rPr>
        <w:t xml:space="preserve">two </w:t>
      </w:r>
      <w:r w:rsidRPr="5575EBFC">
        <w:rPr>
          <w:lang w:val="en-GB"/>
        </w:rPr>
        <w:t xml:space="preserve">billion people to be added </w:t>
      </w:r>
      <w:r w:rsidR="179902EE" w:rsidRPr="5575EBFC">
        <w:rPr>
          <w:lang w:val="en-GB"/>
        </w:rPr>
        <w:t xml:space="preserve">to the global population </w:t>
      </w:r>
      <w:r w:rsidRPr="5575EBFC">
        <w:rPr>
          <w:lang w:val="en-GB"/>
        </w:rPr>
        <w:t xml:space="preserve">by 2050 will </w:t>
      </w:r>
      <w:r w:rsidR="0C0A22D1" w:rsidRPr="5575EBFC">
        <w:rPr>
          <w:lang w:val="en-GB"/>
        </w:rPr>
        <w:t>live</w:t>
      </w:r>
      <w:r w:rsidRPr="5575EBFC">
        <w:rPr>
          <w:lang w:val="en-GB"/>
        </w:rPr>
        <w:t xml:space="preserve"> in sub-Saharan Africa (</w:t>
      </w:r>
      <w:r w:rsidR="11E1B386" w:rsidRPr="5575EBFC">
        <w:rPr>
          <w:lang w:val="en-GB"/>
        </w:rPr>
        <w:t xml:space="preserve">about </w:t>
      </w:r>
      <w:r w:rsidRPr="5575EBFC">
        <w:rPr>
          <w:lang w:val="en-GB"/>
        </w:rPr>
        <w:t>50</w:t>
      </w:r>
      <w:r w:rsidR="4804CF9A" w:rsidRPr="5575EBFC">
        <w:rPr>
          <w:lang w:val="en-GB"/>
        </w:rPr>
        <w:t xml:space="preserve"> per cent</w:t>
      </w:r>
      <w:r w:rsidRPr="5575EBFC">
        <w:rPr>
          <w:lang w:val="en-GB"/>
        </w:rPr>
        <w:t>) and Central and Southern Asia (</w:t>
      </w:r>
      <w:r w:rsidR="11E1B386" w:rsidRPr="5575EBFC">
        <w:rPr>
          <w:lang w:val="en-GB"/>
        </w:rPr>
        <w:t xml:space="preserve">about </w:t>
      </w:r>
      <w:r w:rsidRPr="5575EBFC">
        <w:rPr>
          <w:lang w:val="en-GB"/>
        </w:rPr>
        <w:t>25</w:t>
      </w:r>
      <w:r w:rsidR="4804CF9A" w:rsidRPr="5575EBFC">
        <w:rPr>
          <w:lang w:val="en-GB"/>
        </w:rPr>
        <w:t xml:space="preserve"> per cent</w:t>
      </w:r>
      <w:r w:rsidRPr="5575EBFC">
        <w:rPr>
          <w:lang w:val="en-GB"/>
        </w:rPr>
        <w:t xml:space="preserve">) </w:t>
      </w:r>
      <w:r w:rsidR="18794F6F" w:rsidRPr="5575EBFC">
        <w:rPr>
          <w:lang w:val="en-GB"/>
        </w:rPr>
        <w:fldChar w:fldCharType="begin"/>
      </w:r>
      <w:r w:rsidR="00331A79">
        <w:rPr>
          <w:lang w:val="en-GB"/>
        </w:rPr>
        <w:instrText xml:space="preserve"> ADDIN ZOTERO_ITEM CSL_CITATION {"citationID":"WXN3KKg1","properties":{"formattedCitation":"(United Nations et al., 2019)","plainCitation":"(United Nations et al., 2019)","noteIndex":0},"citationItems":[{"id":32409,"uris":["http://zotero.org/groups/2352922/items/WG9UFAJD"],"itemData":{"id":32409,"type":"book","ISBN":"978-92-1-148316-1","language":"en","note":"OCLC: 1110010089","source":"Open WorldCat","title":"World population prospects Highlights, 2019 revision Highlights, 2019 revision","author":[{"literal":"United Nations"},{"literal":"Department of Economic and Social Affairs"},{"literal":"Population Division"}],"issued":{"date-parts":[["2019"]]}}}],"schema":"https://github.com/citation-style-language/schema/raw/master/csl-citation.json"} </w:instrText>
      </w:r>
      <w:r w:rsidR="18794F6F" w:rsidRPr="5575EBFC">
        <w:rPr>
          <w:lang w:val="en-GB"/>
        </w:rPr>
        <w:fldChar w:fldCharType="separate"/>
      </w:r>
      <w:r w:rsidR="6B5F9B9E">
        <w:t>(United Nations et al., 2019)</w:t>
      </w:r>
      <w:r w:rsidR="18794F6F" w:rsidRPr="5575EBFC">
        <w:rPr>
          <w:lang w:val="en-GB"/>
        </w:rPr>
        <w:fldChar w:fldCharType="end"/>
      </w:r>
      <w:r w:rsidRPr="5575EBFC">
        <w:rPr>
          <w:lang w:val="en-GB"/>
        </w:rPr>
        <w:t>.</w:t>
      </w:r>
      <w:r w:rsidR="09817070" w:rsidRPr="5575EBFC">
        <w:rPr>
          <w:lang w:val="en-GB"/>
        </w:rPr>
        <w:t xml:space="preserve"> Regions with high human population densities are often associated with high </w:t>
      </w:r>
      <w:r w:rsidR="29F25F06" w:rsidRPr="5575EBFC">
        <w:rPr>
          <w:lang w:val="en-GB"/>
        </w:rPr>
        <w:t>rates of species introductions and</w:t>
      </w:r>
      <w:r w:rsidR="00654464" w:rsidRPr="5575EBFC">
        <w:rPr>
          <w:lang w:val="en-GB"/>
        </w:rPr>
        <w:t xml:space="preserve"> </w:t>
      </w:r>
      <w:r w:rsidR="7E4427E1" w:rsidRPr="5575EBFC">
        <w:rPr>
          <w:lang w:val="en-GB"/>
        </w:rPr>
        <w:t>establish</w:t>
      </w:r>
      <w:r w:rsidR="243974F5" w:rsidRPr="5575EBFC">
        <w:rPr>
          <w:lang w:val="en-GB"/>
        </w:rPr>
        <w:t>ment of alien</w:t>
      </w:r>
      <w:r w:rsidR="7E4427E1" w:rsidRPr="5575EBFC">
        <w:rPr>
          <w:lang w:val="en-GB"/>
        </w:rPr>
        <w:t xml:space="preserve"> </w:t>
      </w:r>
      <w:r w:rsidR="7E4427E1" w:rsidRPr="5575EBFC">
        <w:rPr>
          <w:lang w:val="en-GB"/>
        </w:rPr>
        <w:lastRenderedPageBreak/>
        <w:t xml:space="preserve">species </w:t>
      </w:r>
      <w:r w:rsidR="18794F6F" w:rsidRPr="5575EBFC">
        <w:rPr>
          <w:lang w:val="en-GB"/>
        </w:rPr>
        <w:fldChar w:fldCharType="begin"/>
      </w:r>
      <w:r w:rsidR="00331A79">
        <w:rPr>
          <w:lang w:val="en-GB"/>
        </w:rPr>
        <w:instrText xml:space="preserve"> ADDIN ZOTERO_ITEM CSL_CITATION {"citationID":"J1QGL6yA","properties":{"formattedCitation":"(Py\\uc0\\u353{}ek et al., 2020)","plainCitation":"(Pyšek et al., 2020)","noteIndex":0},"citationItems":[{"id":33050,"uris":["http://zotero.org/groups/2352922/items/84CFHG9A"],"itemData":{"id":33050,"type":"article-journal","container-title":"Biological Reviews","DOI":"10.1111/brv.12627","ISSN":"1464-7931, 1469-185X","issue":"6","journalAbbreviation":"Biol Rev","language":"en","page":"1511-1534","source":"DOI.org (Crossref)","title":"Scientists' warning on invasive alien species","URL":"https://onlinelibrary.wiley.com/doi/10.1111/brv.12627","volume":"95","author":[{"family":"Pyšek","given":"Petr"},{"family":"Hulme","given":"Philip E."},{"family":"Simberloff","given":"Dan"},{"family":"Bacher","given":"Sven"},{"family":"Blackburn","given":"Tim M."},{"family":"Carlton","given":"James T."},{"family":"Dawson","given":"Wayne"},{"family":"Essl","given":"Franz"},{"family":"Foxcroft","given":"Llewellyn C."},{"family":"Genovesi","given":"Piero"},{"family":"Jeschke","given":"Jonathan M."},{"family":"Kühn","given":"Ingolf"},{"family":"Liebhold","given":"Andrew M."},{"family":"Mandrak","given":"Nicholas E."},{"family":"Meyerson","given":"Laura A."},{"family":"Pauchard","given":"Aníbal"},{"family":"Pergl","given":"Jan"},{"family":"Roy","given":"Helen E."},{"family":"Seebens","given":"Hanno"},{"family":"Kleunen","given":"Mark","non-dropping-particle":"van"},{"family":"Vilà","given":"Montserrat"},{"family":"Wingfield","given":"Michael J."},{"family":"Richardson","given":"David M."}],"accessed":{"date-parts":[["2021",7,7]]},"issued":{"date-parts":[["2020",12]]}}}],"schema":"https://github.com/citation-style-language/schema/raw/master/csl-citation.json"} </w:instrText>
      </w:r>
      <w:r w:rsidR="18794F6F" w:rsidRPr="5575EBFC">
        <w:rPr>
          <w:lang w:val="en-GB"/>
        </w:rPr>
        <w:fldChar w:fldCharType="separate"/>
      </w:r>
      <w:r w:rsidR="6B5F9B9E">
        <w:t>(Pyšek et al., 2020)</w:t>
      </w:r>
      <w:r w:rsidR="18794F6F" w:rsidRPr="5575EBFC">
        <w:rPr>
          <w:lang w:val="en-GB"/>
        </w:rPr>
        <w:fldChar w:fldCharType="end"/>
      </w:r>
      <w:r w:rsidR="344F5470" w:rsidRPr="5575EBFC">
        <w:rPr>
          <w:lang w:val="en-GB"/>
        </w:rPr>
        <w:t>,</w:t>
      </w:r>
      <w:r w:rsidR="4FA16DA4" w:rsidRPr="5575EBFC">
        <w:rPr>
          <w:lang w:val="en-GB"/>
        </w:rPr>
        <w:t xml:space="preserve"> </w:t>
      </w:r>
      <w:r w:rsidR="019C6DEC" w:rsidRPr="5575EBFC">
        <w:rPr>
          <w:lang w:val="en-GB"/>
        </w:rPr>
        <w:t xml:space="preserve">and </w:t>
      </w:r>
      <w:r w:rsidR="384A011E" w:rsidRPr="5575EBFC">
        <w:rPr>
          <w:lang w:val="en-GB"/>
        </w:rPr>
        <w:t xml:space="preserve">have </w:t>
      </w:r>
      <w:r w:rsidR="019C6DEC" w:rsidRPr="5575EBFC">
        <w:rPr>
          <w:lang w:val="en-GB"/>
        </w:rPr>
        <w:t xml:space="preserve">been associated with </w:t>
      </w:r>
      <w:r w:rsidR="243974F5" w:rsidRPr="5575EBFC">
        <w:rPr>
          <w:lang w:val="en-GB"/>
        </w:rPr>
        <w:t>both</w:t>
      </w:r>
      <w:r w:rsidR="019C6DEC" w:rsidRPr="5575EBFC">
        <w:rPr>
          <w:lang w:val="en-GB"/>
        </w:rPr>
        <w:t xml:space="preserve"> intentional and unintentional </w:t>
      </w:r>
      <w:r w:rsidR="40B3062A" w:rsidRPr="5575EBFC">
        <w:rPr>
          <w:lang w:val="en-GB"/>
        </w:rPr>
        <w:t>transport</w:t>
      </w:r>
      <w:r w:rsidR="019C6DEC" w:rsidRPr="5575EBFC">
        <w:rPr>
          <w:lang w:val="en-GB"/>
        </w:rPr>
        <w:t xml:space="preserve"> of species </w:t>
      </w:r>
      <w:r w:rsidR="68520EBB" w:rsidRPr="5575EBFC">
        <w:rPr>
          <w:lang w:val="en-GB"/>
        </w:rPr>
        <w:t xml:space="preserve">to locations </w:t>
      </w:r>
      <w:r w:rsidR="019C6DEC" w:rsidRPr="5575EBFC">
        <w:rPr>
          <w:lang w:val="en-GB"/>
        </w:rPr>
        <w:t>outside of their nat</w:t>
      </w:r>
      <w:r w:rsidR="781C655C" w:rsidRPr="5575EBFC">
        <w:rPr>
          <w:lang w:val="en-GB"/>
        </w:rPr>
        <w:t>ive</w:t>
      </w:r>
      <w:r w:rsidR="019C6DEC" w:rsidRPr="5575EBFC">
        <w:rPr>
          <w:lang w:val="en-GB"/>
        </w:rPr>
        <w:t xml:space="preserve"> ranges </w:t>
      </w:r>
      <w:r w:rsidR="18794F6F" w:rsidRPr="5575EBFC">
        <w:rPr>
          <w:lang w:val="en-GB"/>
        </w:rPr>
        <w:fldChar w:fldCharType="begin"/>
      </w:r>
      <w:r w:rsidR="008E202A">
        <w:rPr>
          <w:lang w:val="en-GB"/>
        </w:rPr>
        <w:instrText xml:space="preserve"> ADDIN ZOTERO_ITEM CSL_CITATION {"citationID":"letIvQrN","properties":{"formattedCitation":"(Hulme, 2009; Levine &amp; D\\uc0\\u8217{}Antonio, 2003)","plainCitation":"(Hulme, 2009; Levine &amp; D’Antonio, 2003)","noteIndex":0},"citationItems":[{"id":32387,"uris":["http://zotero.org/groups/2352922/items/M3KQUD2U"],"itemData":{"id":32387,"type":"article-journal","abstract":"1 Humans have traded and transported alien species for millennia with two notable step-changes: the end of the Middle Ages and beginning of the Industrial Revolution. However, in recent decades the world has entered a new phase in the magnitude and diversity of biological invasions: the Era of Globalization. This Special Profile reviews the links between the main drivers of globalization and biological invasions and examines state-of-the-art approaches to pathway risk assessment to illustrate new opportunities for managing invasive species. 2 Income growth is a primary driver of globalization and a clear association exists between Gross Domestic Product and the richness of alien floras and faunas for many regions of the world. In many cases, the exposure of these economies to trade is highlighted by the significant role of merchandise imports in biological invasions, especially for island ecosystems. 3 Post-1950, technical and logistic improvements have accelerated the ease with which commodities are transported across the globe and hindered the traceability of goods and the ease of intercepting pests. New sea, land and air links in international trade and human transport have established novel pathways for the spread of alien species. Increasingly, the science advances underpinning invasive species management must move at the speed of commerce. 4 Increasing transport networks and demand for commodities have led to pathway risk assessments becoming the frontline in the prevention of biological invasions. The diverse routes of introduction arising from contaminant, stowaway, corridor and unaided pathways, in both aquatic and terrestrial biomes are complex. Nevertheless, common features enable comparable approaches to risk assessment. By bringing together spatial data on climate suitability, habitat availability and points of entry, as well a demographic models that include species dispersal (both natural and human-mediated) and measures of propagule pressure, it is possible to generate risk maps highlighting potential invasion hotspots that can inform prevention strategies. 5 Synthesis and applications. To date, most attempts to model pathways have focused on describing the likelihood of invader establishment. Few have modelled explicit management strategies such as optimal detection and inspection strategies and assessments of the effectiveness of different management measures. A future focus in these areas will ensure research informs response.","container-title":"Journal of Applied Ecology","DOI":"10.1111/j.1365-2664.2008.01600.x","ISSN":"1365-2664","issue":"1","language":"en","license":"© 2009 The Author. Journal compilation © 2009 British Ecological Society","page":"10-18","source":"Wiley Online Library","title":"Trade, transport and trouble: managing invasive species pathways in an era of globalization","title-short":"Trade, transport and trouble","URL":"https://besjournals.onlinelibrary.wiley.com/doi/abs/10.1111/j.1365-2664.2008.01600.x","volume":"46","author":[{"family":"Hulme","given":"Philip E."}],"accessed":{"date-parts":[["2019",12,5]]},"issued":{"date-parts":[["2009"]]}},"label":"page"},{"id":32827,"uris":["http://zotero.org/groups/2352922/items/I6CAGP4S"],"itemData":{"id":32827,"type":"article-journal","abstract":"We used historical data to parameterize species-accumulation models relating international trade to the establishment rates of nonindigenous species in the United States over the past century. We then coupled these relationships with published trade forecasts to predict future invasion rates for insects, plant pathogens, and mollusks. Relationships between the accumulation of non-native species and merchandise imports were reasonably described by log-log and log-linear species-area models and Michaelis-Menten accumulation functions. However, the latter two models produced markedly better fits. When coupled with projected trade forecasts, the log-linear species-area model predicted 16-24% taxon-specific increases in the number of nonindigenous species established in the United States from 2000 to 2020. The Michaelis-Menten model predicted much lower 3-6% increases, but even this meant 115 new insect species and 5 new plant pathogens. These results suggest that the ecological and economic costs associated with human-caused biological invasions may continue to rise substantially over the coming decades.","container-title":"Conservation Biology","DOI":"10.1046/j.1523-1739.2003.02038.x","ISSN":"0888-8892","issue":"1","language":"en","note":"WOS:000180846200037","page":"322-326","title":"Forecasting Biological Invasions with Increasing International Trade","URL":"https://doi.org/10.1046/j.1523-1739.2003.02038.x","volume":"17","author":[{"family":"Levine","given":"Jonathan M."},{"family":"D'Antonio","given":"C. M."}],"issued":{"date-parts":[["2003",2]]}},"label":"page"}],"schema":"https://github.com/citation-style-language/schema/raw/master/csl-citation.json"} </w:instrText>
      </w:r>
      <w:r w:rsidR="18794F6F" w:rsidRPr="5575EBFC">
        <w:rPr>
          <w:lang w:val="en-GB"/>
        </w:rPr>
        <w:fldChar w:fldCharType="separate"/>
      </w:r>
      <w:r w:rsidR="008E202A" w:rsidRPr="008E202A">
        <w:rPr>
          <w:szCs w:val="24"/>
        </w:rPr>
        <w:t>(Hulme, 2009; Levine &amp; D’Antonio, 2003)</w:t>
      </w:r>
      <w:r w:rsidR="18794F6F" w:rsidRPr="5575EBFC">
        <w:rPr>
          <w:lang w:val="en-GB"/>
        </w:rPr>
        <w:fldChar w:fldCharType="end"/>
      </w:r>
      <w:r w:rsidR="019C6DEC" w:rsidRPr="5575EBFC">
        <w:rPr>
          <w:lang w:val="en-GB"/>
        </w:rPr>
        <w:t xml:space="preserve">. Human population density </w:t>
      </w:r>
      <w:r w:rsidR="08CF1D44" w:rsidRPr="5575EBFC">
        <w:rPr>
          <w:lang w:val="en-GB"/>
        </w:rPr>
        <w:t>growth enhances</w:t>
      </w:r>
      <w:r w:rsidR="019C6DEC" w:rsidRPr="5575EBFC">
        <w:rPr>
          <w:lang w:val="en-GB"/>
        </w:rPr>
        <w:t xml:space="preserve"> regional trade (</w:t>
      </w:r>
      <w:r w:rsidR="11E1B386" w:rsidRPr="5575EBFC">
        <w:rPr>
          <w:b/>
          <w:bCs/>
          <w:lang w:val="en-GB"/>
        </w:rPr>
        <w:t xml:space="preserve">section </w:t>
      </w:r>
      <w:r w:rsidR="019C6DEC" w:rsidRPr="5575EBFC">
        <w:rPr>
          <w:b/>
          <w:bCs/>
          <w:lang w:val="en-GB"/>
        </w:rPr>
        <w:t>3.2.3.1</w:t>
      </w:r>
      <w:r w:rsidR="78204A3D" w:rsidRPr="5575EBFC">
        <w:rPr>
          <w:lang w:val="en-GB"/>
        </w:rPr>
        <w:t>;</w:t>
      </w:r>
      <w:r w:rsidR="4FF48879" w:rsidRPr="5575EBFC">
        <w:rPr>
          <w:lang w:val="en-GB"/>
        </w:rPr>
        <w:t xml:space="preserve"> </w:t>
      </w:r>
      <w:r w:rsidR="18794F6F" w:rsidRPr="5575EBFC">
        <w:rPr>
          <w:lang w:val="en-GB"/>
        </w:rPr>
        <w:fldChar w:fldCharType="begin"/>
      </w:r>
      <w:r w:rsidR="00331A79">
        <w:rPr>
          <w:lang w:val="en-GB"/>
        </w:rPr>
        <w:instrText xml:space="preserve"> ADDIN ZOTERO_ITEM CSL_CITATION {"citationID":"KCuFkgRW","properties":{"formattedCitation":"(United Nations et al., 2019)","plainCitation":"(United Nations et al., 2019)","dontUpdate":true,"noteIndex":0},"citationItems":[{"id":32409,"uris":["http://zotero.org/groups/2352922/items/WG9UFAJD"],"itemData":{"id":32409,"type":"book","ISBN":"978-92-1-148316-1","language":"en","note":"OCLC: 1110010089","source":"Open WorldCat","title":"World population prospects Highlights, 2019 revision Highlights, 2019 revision","author":[{"literal":"United Nations"},{"literal":"Department of Economic and Social Affairs"},{"literal":"Population Division"}],"issued":{"date-parts":[["2019"]]}}}],"schema":"https://github.com/citation-style-language/schema/raw/master/csl-citation.json"} </w:instrText>
      </w:r>
      <w:r w:rsidR="18794F6F" w:rsidRPr="5575EBFC">
        <w:rPr>
          <w:lang w:val="en-GB"/>
        </w:rPr>
        <w:fldChar w:fldCharType="separate"/>
      </w:r>
      <w:r w:rsidR="5FE90C7A" w:rsidRPr="5575EBFC">
        <w:rPr>
          <w:lang w:val="en-GB"/>
        </w:rPr>
        <w:t>United Nations et al., 2019)</w:t>
      </w:r>
      <w:r w:rsidR="18794F6F" w:rsidRPr="5575EBFC">
        <w:rPr>
          <w:lang w:val="en-GB"/>
        </w:rPr>
        <w:fldChar w:fldCharType="end"/>
      </w:r>
      <w:r w:rsidR="019C6DEC" w:rsidRPr="5575EBFC">
        <w:rPr>
          <w:lang w:val="en-GB"/>
        </w:rPr>
        <w:t xml:space="preserve">, </w:t>
      </w:r>
      <w:r w:rsidR="5788E4C2" w:rsidRPr="5575EBFC">
        <w:rPr>
          <w:lang w:val="en-GB"/>
        </w:rPr>
        <w:t>intensifies</w:t>
      </w:r>
      <w:r w:rsidR="08CF1D44" w:rsidRPr="5575EBFC">
        <w:rPr>
          <w:lang w:val="en-GB"/>
        </w:rPr>
        <w:t xml:space="preserve"> </w:t>
      </w:r>
      <w:r w:rsidR="019C6DEC" w:rsidRPr="5575EBFC">
        <w:rPr>
          <w:lang w:val="en-GB"/>
        </w:rPr>
        <w:t>urbanization (</w:t>
      </w:r>
      <w:r w:rsidR="11E1B386" w:rsidRPr="5575EBFC">
        <w:rPr>
          <w:b/>
          <w:bCs/>
          <w:lang w:val="en-GB"/>
        </w:rPr>
        <w:t xml:space="preserve">section </w:t>
      </w:r>
      <w:r w:rsidR="019C6DEC" w:rsidRPr="5575EBFC">
        <w:rPr>
          <w:b/>
          <w:bCs/>
          <w:lang w:val="en-GB"/>
        </w:rPr>
        <w:t>3.2.2.4</w:t>
      </w:r>
      <w:r w:rsidR="019C6DEC" w:rsidRPr="5575EBFC">
        <w:rPr>
          <w:lang w:val="en-GB"/>
        </w:rPr>
        <w:t>)</w:t>
      </w:r>
      <w:r w:rsidR="04B36AA9" w:rsidRPr="5575EBFC">
        <w:rPr>
          <w:lang w:val="en-GB"/>
        </w:rPr>
        <w:t xml:space="preserve">, </w:t>
      </w:r>
      <w:r w:rsidR="7273EA74" w:rsidRPr="5575EBFC">
        <w:rPr>
          <w:lang w:val="en-GB"/>
        </w:rPr>
        <w:t xml:space="preserve">and </w:t>
      </w:r>
      <w:r w:rsidR="08CF1D44" w:rsidRPr="5575EBFC">
        <w:rPr>
          <w:lang w:val="en-GB"/>
        </w:rPr>
        <w:t xml:space="preserve">increases pressures from </w:t>
      </w:r>
      <w:r w:rsidR="7273EA74" w:rsidRPr="5575EBFC">
        <w:rPr>
          <w:lang w:val="en-GB"/>
        </w:rPr>
        <w:t xml:space="preserve">a suite of land-use related </w:t>
      </w:r>
      <w:r w:rsidR="538B392B" w:rsidRPr="5575EBFC">
        <w:rPr>
          <w:lang w:val="en-GB"/>
        </w:rPr>
        <w:t>factors</w:t>
      </w:r>
      <w:r w:rsidR="6531061C" w:rsidRPr="5575EBFC">
        <w:rPr>
          <w:lang w:val="en-GB"/>
        </w:rPr>
        <w:t xml:space="preserve">, including </w:t>
      </w:r>
      <w:r w:rsidR="7273EA74" w:rsidRPr="5575EBFC">
        <w:rPr>
          <w:lang w:val="en-GB"/>
        </w:rPr>
        <w:t>nature-based indust</w:t>
      </w:r>
      <w:r w:rsidR="56A4945C" w:rsidRPr="5575EBFC">
        <w:rPr>
          <w:lang w:val="en-GB"/>
        </w:rPr>
        <w:t>ries</w:t>
      </w:r>
      <w:r w:rsidR="7273EA74" w:rsidRPr="5575EBFC">
        <w:rPr>
          <w:lang w:val="en-GB"/>
        </w:rPr>
        <w:t xml:space="preserve"> (</w:t>
      </w:r>
      <w:r w:rsidR="11E1B386" w:rsidRPr="5575EBFC">
        <w:rPr>
          <w:b/>
          <w:bCs/>
          <w:lang w:val="en-GB"/>
        </w:rPr>
        <w:t xml:space="preserve">section </w:t>
      </w:r>
      <w:r w:rsidR="7273EA74" w:rsidRPr="5575EBFC">
        <w:rPr>
          <w:b/>
          <w:bCs/>
          <w:lang w:val="en-GB"/>
        </w:rPr>
        <w:t>3.3.1.1</w:t>
      </w:r>
      <w:r w:rsidR="7273EA74" w:rsidRPr="5575EBFC">
        <w:rPr>
          <w:lang w:val="en-GB"/>
        </w:rPr>
        <w:t>)</w:t>
      </w:r>
      <w:r w:rsidR="08CF1D44" w:rsidRPr="5575EBFC">
        <w:rPr>
          <w:lang w:val="en-GB"/>
        </w:rPr>
        <w:t>,</w:t>
      </w:r>
      <w:r w:rsidR="7273EA74" w:rsidRPr="5575EBFC">
        <w:rPr>
          <w:lang w:val="en-GB"/>
        </w:rPr>
        <w:t xml:space="preserve"> </w:t>
      </w:r>
      <w:r w:rsidR="4AFD549A" w:rsidRPr="5575EBFC">
        <w:rPr>
          <w:lang w:val="en-GB"/>
        </w:rPr>
        <w:t xml:space="preserve">and </w:t>
      </w:r>
      <w:r w:rsidR="08CF1D44" w:rsidRPr="5575EBFC">
        <w:rPr>
          <w:lang w:val="en-GB"/>
        </w:rPr>
        <w:t xml:space="preserve">is associated with </w:t>
      </w:r>
      <w:r w:rsidR="7754D4A0" w:rsidRPr="5575EBFC">
        <w:rPr>
          <w:lang w:val="en-GB"/>
        </w:rPr>
        <w:t xml:space="preserve">the </w:t>
      </w:r>
      <w:r w:rsidR="3F6A2925" w:rsidRPr="5575EBFC">
        <w:rPr>
          <w:lang w:val="en-GB"/>
        </w:rPr>
        <w:t>loss</w:t>
      </w:r>
      <w:r w:rsidR="177D4377" w:rsidRPr="5575EBFC">
        <w:rPr>
          <w:lang w:val="en-GB"/>
        </w:rPr>
        <w:t>, fragmentation</w:t>
      </w:r>
      <w:r w:rsidR="009F7404">
        <w:rPr>
          <w:lang w:val="en-GB"/>
        </w:rPr>
        <w:t xml:space="preserve"> and</w:t>
      </w:r>
      <w:r w:rsidR="01637D96" w:rsidRPr="5575EBFC">
        <w:rPr>
          <w:lang w:val="en-GB"/>
        </w:rPr>
        <w:t xml:space="preserve"> </w:t>
      </w:r>
      <w:r w:rsidR="177D4377" w:rsidRPr="5575EBFC">
        <w:rPr>
          <w:lang w:val="en-GB"/>
        </w:rPr>
        <w:t>degradation of n</w:t>
      </w:r>
      <w:r w:rsidR="63E75696" w:rsidRPr="5575EBFC">
        <w:rPr>
          <w:lang w:val="en-GB"/>
        </w:rPr>
        <w:t>a</w:t>
      </w:r>
      <w:r w:rsidR="177D4377" w:rsidRPr="5575EBFC">
        <w:rPr>
          <w:lang w:val="en-GB"/>
        </w:rPr>
        <w:t xml:space="preserve">tural ecosystems </w:t>
      </w:r>
      <w:r w:rsidR="3B7E71E6" w:rsidRPr="5575EBFC">
        <w:rPr>
          <w:lang w:val="en-GB"/>
        </w:rPr>
        <w:t>(</w:t>
      </w:r>
      <w:r w:rsidR="3B7E71E6" w:rsidRPr="5575EBFC">
        <w:rPr>
          <w:b/>
          <w:bCs/>
          <w:lang w:val="en-GB"/>
        </w:rPr>
        <w:t xml:space="preserve">sections </w:t>
      </w:r>
      <w:r w:rsidR="03EB5A34" w:rsidRPr="5575EBFC">
        <w:rPr>
          <w:b/>
          <w:bCs/>
          <w:lang w:val="en-GB"/>
        </w:rPr>
        <w:t>3.3.1.2</w:t>
      </w:r>
      <w:r w:rsidR="5457A8DD" w:rsidRPr="5575EBFC">
        <w:rPr>
          <w:lang w:val="en-GB"/>
        </w:rPr>
        <w:t xml:space="preserve"> to </w:t>
      </w:r>
      <w:r w:rsidR="019C6DEC" w:rsidRPr="5575EBFC">
        <w:rPr>
          <w:b/>
          <w:bCs/>
          <w:lang w:val="en-GB"/>
        </w:rPr>
        <w:t>3.3.1.5</w:t>
      </w:r>
      <w:r w:rsidR="00DF30EF">
        <w:rPr>
          <w:lang w:val="en-GB"/>
        </w:rPr>
        <w:t>;</w:t>
      </w:r>
      <w:r w:rsidR="019C6DEC" w:rsidRPr="5575EBFC">
        <w:rPr>
          <w:lang w:val="en-GB"/>
        </w:rPr>
        <w:t xml:space="preserve"> </w:t>
      </w:r>
      <w:r w:rsidR="18794F6F" w:rsidRPr="5575EBFC">
        <w:rPr>
          <w:lang w:val="en-GB"/>
        </w:rPr>
        <w:fldChar w:fldCharType="begin"/>
      </w:r>
      <w:r w:rsidR="00F5121E">
        <w:rPr>
          <w:lang w:val="en-GB"/>
        </w:rPr>
        <w:instrText xml:space="preserve"> ADDIN ZOTERO_ITEM CSL_CITATION {"citationID":"fKzcXENv","properties":{"formattedCitation":"(IPBES, 2019)","plainCitation":"(IPBES, 2019)","dontUpdate":true,"noteIndex":0},"citationItems":[{"id":53933,"uris":["http://zotero.org/groups/2352922/items/JYFISR8Z","http://zotero.org/groups/2352922/items/ZACZGHZL"],"itemData":{"id":53933,"type":"report","abstract":"IPBES is to perform regular and timely assessments of knowledge on biodiversity and ecosystem services and their interlinkages at the global level. Also addressing an invitation by the Conference of the Parties of the Convention on Biological Diversity (CBD) to prepare a global assessment of biodiversity and ecosystem services building, inter alia, on its own and other relevant regional, subregional and thematic assessments, as well as on national reports. The overall scope of the assessment is to assess the status and trends with regard to biodiversity and ecosystem services, the impact of biodiversity and ecosystem services on human well-being and the effectiveness of responses, including the Strategic Plan and its Aichi Biodiversity Targets. It is anticipated that this deliverable will contribute to the process for the evaluation and renewal of the Strategic Plan for Biodiversity and its Aichi Biodiversity Targets. The IPBES Global Assessment on Biodiversity and Ecosystem Services is composed of 1) a Summary for Policymakers (SPM), approved by the IPBES Plenary at its 7th session in May 2019 in Paris, France (IPBES-7); and 2) a set of six Chapters, accepted by the IPBES Plenary.","language":"en","license":"Creative Commons Attribution 4.0 International, Open Access","note":"Version Number 1\nDOI: 10.5281/ZENODO.3831673","publisher":"Secretariat of the Intergovernmental Science-Policy Platform on Biodiversity and Ecosystem Services","source":"DOI.org (Datacite)","title":"Global assessment report on biodiversity and ecosystem services of the Intergovernmental Science-Policy Platform on Biodiversity and Ecosystem Services","URL":"https://zenodo.org/record/3831673","author":[{"literal":"IPBES"}],"contributor":[{"family":"Brondizio","given":"Eduardo"},{"family":"Diaz","given":"Sandra"},{"family":"Settele","given":"Josef"},{"family":"Ngo","given":"Hien T."}],"accessed":{"date-parts":[["2023",1,5]]},"issued":{"date-parts":[["2019"]]}}}],"schema":"https://github.com/citation-style-language/schema/raw/master/csl-citation.json"} </w:instrText>
      </w:r>
      <w:r w:rsidR="18794F6F" w:rsidRPr="5575EBFC">
        <w:rPr>
          <w:lang w:val="en-GB"/>
        </w:rPr>
        <w:fldChar w:fldCharType="separate"/>
      </w:r>
      <w:r w:rsidR="434AE1B8">
        <w:t>IPBES, 2019)</w:t>
      </w:r>
      <w:r w:rsidR="18794F6F" w:rsidRPr="5575EBFC">
        <w:rPr>
          <w:lang w:val="en-GB"/>
        </w:rPr>
        <w:fldChar w:fldCharType="end"/>
      </w:r>
      <w:r w:rsidR="3B7E71E6" w:rsidRPr="5575EBFC">
        <w:rPr>
          <w:lang w:val="en-GB"/>
        </w:rPr>
        <w:t>.</w:t>
      </w:r>
      <w:r w:rsidR="0FFEA4CC" w:rsidRPr="5575EBFC">
        <w:rPr>
          <w:lang w:val="en-GB"/>
        </w:rPr>
        <w:t xml:space="preserve"> These are all</w:t>
      </w:r>
      <w:r w:rsidR="2FA21BCF" w:rsidRPr="5575EBFC">
        <w:rPr>
          <w:lang w:val="en-GB"/>
        </w:rPr>
        <w:t xml:space="preserve"> </w:t>
      </w:r>
      <w:r w:rsidR="019C6DEC" w:rsidRPr="5575EBFC">
        <w:rPr>
          <w:lang w:val="en-GB"/>
        </w:rPr>
        <w:t xml:space="preserve">factors known to promote alien species in terrestrial </w:t>
      </w:r>
      <w:r w:rsidR="18794F6F" w:rsidRPr="5575EBFC">
        <w:rPr>
          <w:lang w:val="en-GB"/>
        </w:rPr>
        <w:fldChar w:fldCharType="begin"/>
      </w:r>
      <w:r w:rsidR="00331A79">
        <w:rPr>
          <w:lang w:val="en-GB"/>
        </w:rPr>
        <w:instrText xml:space="preserve"> ADDIN ZOTERO_ITEM CSL_CITATION {"citationID":"eHpGhBuG","properties":{"formattedCitation":"(Py\\uc0\\u353{}ek et al., 2020)","plainCitation":"(Pyšek et al., 2020)","noteIndex":0},"citationItems":[{"id":33050,"uris":["http://zotero.org/groups/2352922/items/84CFHG9A"],"itemData":{"id":33050,"type":"article-journal","container-title":"Biological Reviews","DOI":"10.1111/brv.12627","ISSN":"1464-7931, 1469-185X","issue":"6","journalAbbreviation":"Biol Rev","language":"en","page":"1511-1534","source":"DOI.org (Crossref)","title":"Scientists' warning on invasive alien species","URL":"https://onlinelibrary.wiley.com/doi/10.1111/brv.12627","volume":"95","author":[{"family":"Pyšek","given":"Petr"},{"family":"Hulme","given":"Philip E."},{"family":"Simberloff","given":"Dan"},{"family":"Bacher","given":"Sven"},{"family":"Blackburn","given":"Tim M."},{"family":"Carlton","given":"James T."},{"family":"Dawson","given":"Wayne"},{"family":"Essl","given":"Franz"},{"family":"Foxcroft","given":"Llewellyn C."},{"family":"Genovesi","given":"Piero"},{"family":"Jeschke","given":"Jonathan M."},{"family":"Kühn","given":"Ingolf"},{"family":"Liebhold","given":"Andrew M."},{"family":"Mandrak","given":"Nicholas E."},{"family":"Meyerson","given":"Laura A."},{"family":"Pauchard","given":"Aníbal"},{"family":"Pergl","given":"Jan"},{"family":"Roy","given":"Helen E."},{"family":"Seebens","given":"Hanno"},{"family":"Kleunen","given":"Mark","non-dropping-particle":"van"},{"family":"Vilà","given":"Montserrat"},{"family":"Wingfield","given":"Michael J."},{"family":"Richardson","given":"David M."}],"accessed":{"date-parts":[["2021",7,7]]},"issued":{"date-parts":[["2020",12]]}}}],"schema":"https://github.com/citation-style-language/schema/raw/master/csl-citation.json"} </w:instrText>
      </w:r>
      <w:r w:rsidR="18794F6F" w:rsidRPr="5575EBFC">
        <w:rPr>
          <w:lang w:val="en-GB"/>
        </w:rPr>
        <w:fldChar w:fldCharType="separate"/>
      </w:r>
      <w:r w:rsidR="6B5F9B9E">
        <w:t>(Pyšek et al., 2020)</w:t>
      </w:r>
      <w:r w:rsidR="18794F6F" w:rsidRPr="5575EBFC">
        <w:rPr>
          <w:lang w:val="en-GB"/>
        </w:rPr>
        <w:fldChar w:fldCharType="end"/>
      </w:r>
      <w:r w:rsidR="019C6DEC" w:rsidRPr="5575EBFC">
        <w:rPr>
          <w:lang w:val="en-GB"/>
        </w:rPr>
        <w:t xml:space="preserve"> and marine environments </w:t>
      </w:r>
      <w:r w:rsidR="18794F6F" w:rsidRPr="5575EBFC">
        <w:rPr>
          <w:lang w:val="en-GB"/>
        </w:rPr>
        <w:fldChar w:fldCharType="begin"/>
      </w:r>
      <w:r w:rsidR="00331A79">
        <w:rPr>
          <w:lang w:val="en-GB"/>
        </w:rPr>
        <w:instrText xml:space="preserve"> ADDIN ZOTERO_ITEM CSL_CITATION {"citationID":"DGN9IprN","properties":{"formattedCitation":"(C. C. Murray et al., 2014)","plainCitation":"(C. C. Murray et al., 2014)","noteIndex":0},"citationItems":[{"id":29949,"uris":["http://zotero.org/groups/2352922/items/5WY9VC78"],"itemData":{"id":29949,"type":"article-journal","container-title":"Diversity and Distributions","DOI":"10.1111/ddi.12215","ISSN":"13669516","issue":"7","journalAbbreviation":"Diversity Distrib.","language":"en","page":"824-836","source":"DOI.org (Crossref)","title":"Spatial distribution of marine invasive species: environmental, demographic and vector drivers","title-short":"Spatial distribution of marine invasive species","URL":"https://onlinelibrary.wiley.com/doi/10.1111/ddi.12215","volume":"20","author":[{"family":"Murray","given":"Cathryn Clarke"},{"family":"Gartner","given":"Heidi"},{"family":"Gregr","given":"Edward J."},{"family":"Chan","given":"Kai"},{"family":"Pakhomov","given":"Evgeny"},{"family":"Therriault","given":"Thomas W."}],"editor":[{"family":"Leung","given":"Brian"}],"accessed":{"date-parts":[["2021",7,21]]},"issued":{"date-parts":[["2014",7]]}}}],"schema":"https://github.com/citation-style-language/schema/raw/master/csl-citation.json"} </w:instrText>
      </w:r>
      <w:r w:rsidR="18794F6F" w:rsidRPr="5575EBFC">
        <w:rPr>
          <w:lang w:val="en-GB"/>
        </w:rPr>
        <w:fldChar w:fldCharType="separate"/>
      </w:r>
      <w:r w:rsidR="6B5F9B9E">
        <w:t>(C. C. Murray et al., 2014)</w:t>
      </w:r>
      <w:r w:rsidR="18794F6F" w:rsidRPr="5575EBFC">
        <w:rPr>
          <w:lang w:val="en-GB"/>
        </w:rPr>
        <w:fldChar w:fldCharType="end"/>
      </w:r>
      <w:r w:rsidR="019C6DEC" w:rsidRPr="5575EBFC">
        <w:rPr>
          <w:lang w:val="en-GB"/>
        </w:rPr>
        <w:t xml:space="preserve"> </w:t>
      </w:r>
      <w:r w:rsidR="0FFEA4CC" w:rsidRPr="5575EBFC">
        <w:rPr>
          <w:lang w:val="en-GB"/>
        </w:rPr>
        <w:t>across</w:t>
      </w:r>
      <w:r w:rsidR="019C6DEC" w:rsidRPr="5575EBFC">
        <w:rPr>
          <w:lang w:val="en-GB"/>
        </w:rPr>
        <w:t xml:space="preserve"> multiple tax</w:t>
      </w:r>
      <w:r w:rsidR="0FFEA4CC" w:rsidRPr="5575EBFC">
        <w:rPr>
          <w:lang w:val="en-GB"/>
        </w:rPr>
        <w:t>onomic groups</w:t>
      </w:r>
      <w:r w:rsidR="019C6DEC" w:rsidRPr="5575EBFC">
        <w:rPr>
          <w:lang w:val="en-GB"/>
        </w:rPr>
        <w:t xml:space="preserve"> </w:t>
      </w:r>
      <w:r w:rsidR="18794F6F" w:rsidRPr="5575EBFC">
        <w:rPr>
          <w:lang w:val="en-GB"/>
        </w:rPr>
        <w:fldChar w:fldCharType="begin"/>
      </w:r>
      <w:r w:rsidR="00331A79">
        <w:rPr>
          <w:lang w:val="en-GB"/>
        </w:rPr>
        <w:instrText xml:space="preserve"> ADDIN ZOTERO_ITEM CSL_CITATION {"citationID":"zu6agE09","properties":{"formattedCitation":"(Bellard et al., 2016)","plainCitation":"(Bellard et al., 2016)","noteIndex":0},"citationItems":[{"id":32928,"uris":["http://zotero.org/groups/2352922/items/3FH7PE3K"],"itemData":{"id":32928,"type":"article-journal","abstract":"In this paper, we investigate how climate, land use, habitat characteristics, and socioeconomic activities contribute to predict the current potential distributions of the “100 among the world's worst invasive alien species”. We calculated the predictive power of each of the 41 variables for the 95 species including a large number of plants, vertebrates and invertebrates. We then calibrated the species distribution models with a set of appropriate variables for each invasive alien species to predict the potential distribution of these species and identify the major regions of origin of the invasive alien species. We found that climate variables were primarily predictors of the distribution of the global invaders studied. In addition, the habitat characteristics were also important predictors following by the socioeconomic variables such as the nearest distance to airports, seaports and human population density. We show that the potential areas at the highest risk of invasions from these species are located in Western Europe, Eastern United States, Central America, the eastern coast of Australia, and some Indonesian islands. We argue that these potential hotspots of invasions should be monitored in priority to prevent new invasions from these species. This study provides evidence of the importance of considering both habitat characteristics, socioeconomic and climate change factors for the current and future predictions of biological invasions.","container-title":"Ecosphere","DOI":"10.1002/ecs2.1241","ISSN":"2150-8925","issue":"3","language":"en","license":"© 2016 Bellard et al.","page":"e01241","source":"Wiley Online Library","title":"Major drivers of invasion risks throughout the world","URL":"https://esajournals.onlinelibrary.wiley.com/doi/abs/10.1002/ecs2.1241","volume":"7","author":[{"family":"Bellard","given":"Céline"},{"family":"Leroy","given":"B."},{"family":"Thuiller","given":"W."},{"family":"Rysman","given":"J.-F."},{"family":"Courchamp","given":"F."}],"accessed":{"date-parts":[["2019",10,1]]},"issued":{"date-parts":[["2016"]]}}}],"schema":"https://github.com/citation-style-language/schema/raw/master/csl-citation.json"} </w:instrText>
      </w:r>
      <w:r w:rsidR="18794F6F" w:rsidRPr="5575EBFC">
        <w:rPr>
          <w:lang w:val="en-GB"/>
        </w:rPr>
        <w:fldChar w:fldCharType="separate"/>
      </w:r>
      <w:r w:rsidR="6B5F9B9E">
        <w:t>(Bellard et al., 2016)</w:t>
      </w:r>
      <w:r w:rsidR="18794F6F" w:rsidRPr="5575EBFC">
        <w:rPr>
          <w:lang w:val="en-GB"/>
        </w:rPr>
        <w:fldChar w:fldCharType="end"/>
      </w:r>
      <w:r w:rsidR="019C6DEC" w:rsidRPr="5575EBFC">
        <w:rPr>
          <w:lang w:val="en-GB"/>
        </w:rPr>
        <w:t xml:space="preserve">. </w:t>
      </w:r>
      <w:r w:rsidR="408CACD5" w:rsidRPr="5575EBFC">
        <w:rPr>
          <w:lang w:val="en-GB"/>
        </w:rPr>
        <w:t>E</w:t>
      </w:r>
      <w:r w:rsidR="42A491C0" w:rsidRPr="5575EBFC">
        <w:rPr>
          <w:lang w:val="en-GB"/>
        </w:rPr>
        <w:t xml:space="preserve">vidence from several regional and global studies </w:t>
      </w:r>
      <w:r w:rsidR="18794F6F" w:rsidRPr="5575EBFC">
        <w:rPr>
          <w:lang w:val="en-GB"/>
        </w:rPr>
        <w:fldChar w:fldCharType="begin"/>
      </w:r>
      <w:r w:rsidR="00331A79">
        <w:rPr>
          <w:lang w:val="en-GB"/>
        </w:rPr>
        <w:instrText xml:space="preserve"> ADDIN ZOTERO_ITEM CSL_CITATION {"citationID":"50IVBe3e","properties":{"formattedCitation":"(Dawson et al., 2017; Essl et al., 2019)","plainCitation":"(Dawson et al., 2017; Essl et al., 2019)","noteIndex":0},"citationItems":[{"id":28835,"uris":["http://zotero.org/groups/2352922/items/NJYZEFXF"],"itemData":{"id":28835,"type":"article-journal","abstract":"Human-mediated transport beyond biogeographic barriers has led to the introduction and establishment of alien species in new regions worldwide. However, we lack a global picture of established alien species richness for multiple taxonomic groups. Here, we assess global patterns and potential drivers of established alien species richness across eight taxonomic groups (amphibians, ants, birds, freshwater fishes, mammals, vascular plants, reptiles and spiders) for 186 islands and 423 mainland regions. Hotspots of established alien species richness are predominantly island and coastal mainland regions. Regions with greater gross domestic product per capita, human population density, and area have higher established alien richness, with strongest effects emerging for islands. Ants and reptiles, birds and mammals, and vascular plants and spiders form pairs of taxonomic groups with the highest spatial congruence in established alien richness, but drivers explaining richness differ between the taxa in each pair. Across all taxonomic groups, our results highlight the need to prioritize prevention of further alien species introductions to island and coastal mainland regions globally.","container-title":"Nature Ecology &amp; Evolution","DOI":"10.1038/s41559-017-0186","ISSN":"2397-334X","issue":"7","journalAbbreviation":"Nat Ecol Evol","language":"en","license":"2017 Nature Publishing Group","page":"0186","source":"www.nature.com","title":"Global hotspots and correlates of alien species richness across taxonomic groups","URL":"https://doi.org/10.1038/s41559-017-0186","volume":"1","author":[{"family":"Dawson","given":"Wayne"},{"family":"Moser","given":"Dietmar"},{"family":"Kleunen","given":"Mark","non-dropping-particle":"van"},{"family":"Kreft","given":"Holger"},{"family":"Pergl","given":"Jan"},{"family":"Pyšek","given":"Petr"},{"family":"Weigelt","given":"Patrick"},{"family":"Winter","given":"Marten"},{"family":"Lenzner","given":"Bernd"},{"family":"Blackburn","given":"Tim M."},{"family":"Dyer","given":"Ellie E."},{"family":"Cassey","given":"Phillip"},{"family":"Scrivens","given":"Sally L."},{"family":"Economo","given":"Evan P."},{"family":"Guénard","given":"Benoit"},{"family":"Capinha","given":"César"},{"family":"Seebens","given":"Hanno"},{"family":"García-Díaz","given":"Pablo"},{"family":"Nentwig","given":"Wolfgang"},{"family":"García-Berthou","given":"Emili"},{"family":"Casal","given":"Christine"},{"family":"Mandrak","given":"Nicholas E."},{"family":"Fuller","given":"Pam"},{"family":"Meyer","given":"Carsten"},{"family":"Essl","given":"Franz"}],"accessed":{"date-parts":[["2019",10,24]]},"issued":{"date-parts":[["2017",7]]}}},{"id":32808,"uris":["http://zotero.org/groups/2352922/items/LLX26VZW"],"itemData":{"id":32808,"type":"article-journal","abstract":"Abstract\n            Biological invasions are a defining feature of the Anthropocene, but the factors that determine the spatially uneven distribution of alien plant species are still poorly understood. Here, we present the first global analysis of the effects of biogeographic factors, the physical environment and socio-economy on the richness of naturalized and invasive alien plants. We used generalized linear mixed-effects models and variation partitioning to disentangle the relative importance of individual factors, and, more broadly, of biogeography, physical environment and socio-economy. As measures of the magnitude of permanent anthropogenic additions to the regional species pool and of species with negative environmental impacts, we calculated the relative richness of naturalized (= RRN) and invasive (= RRI) alien plant species numbers adjusted for the number of native species in 838 terrestrial regions. Socio-economic factors (per-capita gross domestic product (GDP), population density, proportion of agricultural land) were more important in explaining RRI (~50 % of the explained variation) than RRN (~40 %). Warm-temperate and (sub)tropical regions have higher RRN than tropical or cooler regions. We found that socio-economic pressures are more relevant for invasive than for naturalized species richness. The expectation that the southern hemisphere is more invaded than the northern hemisphere was confirmed only for RRN on islands, but not for mainland regions nor for RRI. On average, islands have ~6-fold RRN, and &gt;3-fold RRI compared to mainland regions. Eighty-two islands (=26 % of all islands) harbour more naturalized alien than native plants. Our findings challenge the widely held expectation that socio-economic pressures are more relevant for plant naturalization than for invasive plants. To meet international biodiversity targets and halt the detrimental consequences of plant invasions, it is essential to disrupt the connection between socio-economic development and plant invasions by improving pathway management, early detection and rapid response.","container-title":"AoB PLANTS","DOI":"10.1093/aobpla/plz051","ISSN":"2041-2851","issue":"5","language":"en","page":"plz051","source":"DOI.org (Crossref)","title":"Drivers of the relative richness of naturalized and invasive plant species on Earth","URL":"https://academic.oup.com/aobpla/article/doi/10.1093/aobpla/plz051/5559683","volume":"11","author":[{"family":"Essl","given":"Franz"},{"family":"Dawson","given":"Wayne"},{"family":"Kreft","given":"Holger"},{"family":"Pergl","given":"Jan"},{"family":"Pyšek","given":"Petr"},{"family":"Van Kleunen","given":"Mark"},{"family":"Weigelt","given":"Patrick"},{"family":"Mang","given":"Thomas"},{"family":"Dullinger","given":"Stefan"},{"family":"Lenzner","given":"Bernd"},{"family":"Moser","given":"Dietmar"},{"family":"Maurel","given":"Noëlie"},{"family":"Seebens","given":"Hanno"},{"family":"Stein","given":"Anke"},{"family":"Weber","given":"Ewald"},{"family":"Chatelain","given":"Cyrille"},{"literal":"Inderjit"},{"family":"Genovesi","given":"Piero"},{"family":"Kartesz","given":"John"},{"family":"Morozova","given":"Olga"},{"family":"Nishino","given":"Misako"},{"family":"Nowak","given":"Pauline M"},{"family":"Pagad","given":"Shyama"},{"family":"Shu","given":"Wen-Sheng"},{"family":"Winter","given":"Marten"}],"editor":[{"family":"Burns","given":"Jean"}],"accessed":{"date-parts":[["2019",12,3]]},"issued":{"date-parts":[["2019",9,1]]}}}],"schema":"https://github.com/citation-style-language/schema/raw/master/csl-citation.json"} </w:instrText>
      </w:r>
      <w:r w:rsidR="18794F6F" w:rsidRPr="5575EBFC">
        <w:rPr>
          <w:lang w:val="en-GB"/>
        </w:rPr>
        <w:fldChar w:fldCharType="separate"/>
      </w:r>
      <w:r w:rsidR="6B5F9B9E">
        <w:t>(Dawson et al., 2017; Essl et al., 2019)</w:t>
      </w:r>
      <w:r w:rsidR="18794F6F" w:rsidRPr="5575EBFC">
        <w:rPr>
          <w:lang w:val="en-GB"/>
        </w:rPr>
        <w:fldChar w:fldCharType="end"/>
      </w:r>
      <w:r w:rsidR="42A491C0" w:rsidRPr="5575EBFC">
        <w:rPr>
          <w:lang w:val="en-GB"/>
        </w:rPr>
        <w:t xml:space="preserve"> shows that </w:t>
      </w:r>
      <w:r w:rsidR="408CACD5" w:rsidRPr="5575EBFC">
        <w:rPr>
          <w:lang w:val="en-GB"/>
        </w:rPr>
        <w:t xml:space="preserve">alien species richness is positively associated with human population density </w:t>
      </w:r>
      <w:r w:rsidR="39C7E0AA" w:rsidRPr="5575EBFC">
        <w:rPr>
          <w:lang w:val="en-GB"/>
        </w:rPr>
        <w:t xml:space="preserve">with </w:t>
      </w:r>
      <w:r w:rsidR="5E1773DB" w:rsidRPr="5575EBFC">
        <w:rPr>
          <w:lang w:val="en-GB"/>
        </w:rPr>
        <w:t xml:space="preserve">human </w:t>
      </w:r>
      <w:r w:rsidRPr="5575EBFC">
        <w:rPr>
          <w:lang w:val="en-GB"/>
        </w:rPr>
        <w:t xml:space="preserve">population density-related processes acting on different stages of </w:t>
      </w:r>
      <w:r w:rsidR="0F4247EF" w:rsidRPr="5575EBFC">
        <w:rPr>
          <w:lang w:val="en-GB"/>
        </w:rPr>
        <w:t xml:space="preserve">the </w:t>
      </w:r>
      <w:r w:rsidR="0B63035E" w:rsidRPr="5575EBFC">
        <w:rPr>
          <w:lang w:val="en-GB"/>
        </w:rPr>
        <w:t xml:space="preserve">biological </w:t>
      </w:r>
      <w:r w:rsidRPr="5575EBFC">
        <w:rPr>
          <w:lang w:val="en-GB"/>
        </w:rPr>
        <w:t>invasion</w:t>
      </w:r>
      <w:r w:rsidR="0F4247EF" w:rsidRPr="5575EBFC">
        <w:rPr>
          <w:lang w:val="en-GB"/>
        </w:rPr>
        <w:t xml:space="preserve"> process</w:t>
      </w:r>
      <w:r w:rsidR="6AE8E81D" w:rsidRPr="5575EBFC">
        <w:rPr>
          <w:lang w:val="en-GB"/>
        </w:rPr>
        <w:t xml:space="preserve"> </w:t>
      </w:r>
      <w:r w:rsidR="18794F6F" w:rsidRPr="5575EBFC">
        <w:rPr>
          <w:lang w:val="en-GB"/>
        </w:rPr>
        <w:fldChar w:fldCharType="begin"/>
      </w:r>
      <w:r w:rsidR="00331A79">
        <w:rPr>
          <w:lang w:val="en-GB"/>
        </w:rPr>
        <w:instrText xml:space="preserve"> ADDIN ZOTERO_ITEM CSL_CITATION {"citationID":"TlbpxyUr","properties":{"formattedCitation":"(Py\\uc0\\u353{}ek, Jarosik, et al., 2010)","plainCitation":"(Pyšek, Jarosik, et al., 2010)","dontUpdate":true,"noteIndex":0},"citationItems":[{"id":29029,"uris":["http://zotero.org/groups/2352922/items/VMCFYKNM"],"itemData":{"id":29029,"type":"article-journal","abstract":"The accelerating rates of international trade, travel, and transport in the latter half of the twentieth century have led to the progressive mixing of biota from across the world and the number of species introduced to new regions continues to increase. The importance of biogeographic, climatic, economic, and demographic factors as drivers of this trend is increasingly being realized but as yet there is no consensus regarding their relative importance. Whereas little may be done to mitigate the effects of geography and climate on invasions, a wider range of options may exist to moderate the impacts of economic and demographic drivers. Here we use the most recent data available from Europe to partition between macroecological, economic, and demographic variables the variation in alien species richness of bryophytes, fungi, vascular plants, terrestrial insects, aquatic invertebrates, fish, amphibians, reptiles, birds, and mammals. Only national wealth and human population density were statistically significant predictors in the majority of models when analyzed jointly with climate, geography, and land cover. The economic and demographic variables reflect the intensity of human activities and integrate the effect of factors that directly determine the outcome of invasion such as propagule pressure, pathways of introduction, eutrophication, and the intensity of anthropogenic disturbance. The strong influence of economic and demographic variables on the levels of invasion by alien species demonstrates that future solutions to the problem of biological invasions at a national scale lie in mitigating the negative environmental consequences of human activities that generate wealth and by promoting more sustainable population growth.","container-title":"Proceedings of the National Academy of Sciences","DOI":"10.1073/pnas.1002314107","ISSN":"0027-8424","issue":"27","journalAbbreviation":"Proceedings of the National Academy of Sciences","language":"en","note":"WOS:000279572100023","page":"12157-12162","title":"Disentangling the role of environmental and human pressures on biological invasions across Europe","URL":"http://www.pnas.org/content/107/27/12157.abstract","volume":"107","author":[{"family":"Pyšek","given":"Petr"},{"family":"Jarosik","given":"Vojtech"},{"family":"Hulme","given":"Philip E."},{"family":"Kühn","given":"Ingolf"},{"family":"Wild","given":"Jan"},{"family":"Arianoutsou","given":"Margarita"},{"family":"Bacher","given":"Sven"},{"family":"Chiron","given":"Francois"},{"family":"Didžiulis","given":"Viktoras"},{"family":"Essl","given":"Franz"},{"family":"Genovesi","given":"Piero"},{"family":"Gherardi","given":"Francesca"},{"family":"Hejda","given":"Martin"},{"family":"Kark","given":"Salit"},{"family":"Lambdon","given":"Philip W."},{"family":"Desprez-Loustau","given":"Marie-Laure"},{"family":"Nentwig","given":"Wolfgang"},{"family":"Pergl","given":"Jan"},{"family":"Poboljšaj","given":"Katja"},{"family":"Rabitsch","given":"Wolfgang"},{"family":"Roques","given":"Alain"},{"family":"Roy","given":"David B."},{"family":"Shirley","given":"Susan"},{"family":"Solarz","given":"Wojciech"},{"family":"Vilà","given":"Montserrat"},{"family":"Winter","given":"Marten"}],"issued":{"date-parts":[["2010",7,6]]}}}],"schema":"https://github.com/citation-style-language/schema/raw/master/csl-citation.json"} </w:instrText>
      </w:r>
      <w:r w:rsidR="18794F6F" w:rsidRPr="5575EBFC">
        <w:rPr>
          <w:lang w:val="en-GB"/>
        </w:rPr>
        <w:fldChar w:fldCharType="separate"/>
      </w:r>
      <w:r w:rsidR="5D45F718" w:rsidRPr="5575EBFC">
        <w:rPr>
          <w:lang w:val="en-GB"/>
        </w:rPr>
        <w:t>(Pyšek et al., 2010)</w:t>
      </w:r>
      <w:r w:rsidR="18794F6F" w:rsidRPr="5575EBFC">
        <w:rPr>
          <w:lang w:val="en-GB"/>
        </w:rPr>
        <w:fldChar w:fldCharType="end"/>
      </w:r>
      <w:r w:rsidRPr="5575EBFC">
        <w:rPr>
          <w:lang w:val="en-GB"/>
        </w:rPr>
        <w:t xml:space="preserve">. </w:t>
      </w:r>
      <w:r w:rsidR="5E1773DB" w:rsidRPr="5575EBFC">
        <w:rPr>
          <w:lang w:val="en-GB"/>
        </w:rPr>
        <w:t xml:space="preserve">In a global study of a wide </w:t>
      </w:r>
      <w:r w:rsidR="141390DD" w:rsidRPr="5575EBFC">
        <w:rPr>
          <w:lang w:val="en-GB"/>
        </w:rPr>
        <w:t xml:space="preserve">taxonomic </w:t>
      </w:r>
      <w:r w:rsidR="5E1773DB" w:rsidRPr="5575EBFC">
        <w:rPr>
          <w:lang w:val="en-GB"/>
        </w:rPr>
        <w:t xml:space="preserve">range of established alien </w:t>
      </w:r>
      <w:r w:rsidR="141390DD" w:rsidRPr="5575EBFC">
        <w:rPr>
          <w:lang w:val="en-GB"/>
        </w:rPr>
        <w:t>species</w:t>
      </w:r>
      <w:r w:rsidR="11D84384" w:rsidRPr="5575EBFC">
        <w:rPr>
          <w:lang w:val="en-GB"/>
        </w:rPr>
        <w:t xml:space="preserve"> </w:t>
      </w:r>
      <w:r w:rsidR="11D84384" w:rsidRPr="5575EBFC">
        <w:rPr>
          <w:lang w:val="en-GB" w:eastAsia="en-NZ"/>
        </w:rPr>
        <w:t>(</w:t>
      </w:r>
      <w:r w:rsidR="00E23B69">
        <w:rPr>
          <w:b/>
          <w:bCs/>
          <w:lang w:val="en-GB" w:eastAsia="en-NZ"/>
        </w:rPr>
        <w:t>Glossary</w:t>
      </w:r>
      <w:r w:rsidR="11D84384" w:rsidRPr="5575EBFC">
        <w:rPr>
          <w:lang w:val="en-GB" w:eastAsia="en-NZ"/>
        </w:rPr>
        <w:t>)</w:t>
      </w:r>
      <w:r w:rsidR="5E1773DB" w:rsidRPr="5575EBFC">
        <w:rPr>
          <w:lang w:val="en-GB"/>
        </w:rPr>
        <w:t>, human population density was shown to have the strongest influence on fish, plants and spiders whereas weak</w:t>
      </w:r>
      <w:r w:rsidR="677A2290" w:rsidRPr="5575EBFC">
        <w:rPr>
          <w:lang w:val="en-GB"/>
        </w:rPr>
        <w:t>er</w:t>
      </w:r>
      <w:r w:rsidR="5E1773DB" w:rsidRPr="5575EBFC">
        <w:rPr>
          <w:lang w:val="en-GB"/>
        </w:rPr>
        <w:t xml:space="preserve"> but positive relationships were found for ants, birds, mammals and reptiles </w:t>
      </w:r>
      <w:r w:rsidR="18794F6F" w:rsidRPr="5575EBFC">
        <w:rPr>
          <w:lang w:val="en-GB"/>
        </w:rPr>
        <w:fldChar w:fldCharType="begin"/>
      </w:r>
      <w:r w:rsidR="00331A79">
        <w:rPr>
          <w:lang w:val="en-GB"/>
        </w:rPr>
        <w:instrText xml:space="preserve"> ADDIN ZOTERO_ITEM CSL_CITATION {"citationID":"fELa6NGP","properties":{"formattedCitation":"(Dawson et al., 2017)","plainCitation":"(Dawson et al., 2017)","noteIndex":0},"citationItems":[{"id":28835,"uris":["http://zotero.org/groups/2352922/items/NJYZEFXF"],"itemData":{"id":28835,"type":"article-journal","abstract":"Human-mediated transport beyond biogeographic barriers has led to the introduction and establishment of alien species in new regions worldwide. However, we lack a global picture of established alien species richness for multiple taxonomic groups. Here, we assess global patterns and potential drivers of established alien species richness across eight taxonomic groups (amphibians, ants, birds, freshwater fishes, mammals, vascular plants, reptiles and spiders) for 186 islands and 423 mainland regions. Hotspots of established alien species richness are predominantly island and coastal mainland regions. Regions with greater gross domestic product per capita, human population density, and area have higher established alien richness, with strongest effects emerging for islands. Ants and reptiles, birds and mammals, and vascular plants and spiders form pairs of taxonomic groups with the highest spatial congruence in established alien richness, but drivers explaining richness differ between the taxa in each pair. Across all taxonomic groups, our results highlight the need to prioritize prevention of further alien species introductions to island and coastal mainland regions globally.","container-title":"Nature Ecology &amp; Evolution","DOI":"10.1038/s41559-017-0186","ISSN":"2397-334X","issue":"7","journalAbbreviation":"Nat Ecol Evol","language":"en","license":"2017 Nature Publishing Group","page":"0186","source":"www.nature.com","title":"Global hotspots and correlates of alien species richness across taxonomic groups","URL":"https://doi.org/10.1038/s41559-017-0186","volume":"1","author":[{"family":"Dawson","given":"Wayne"},{"family":"Moser","given":"Dietmar"},{"family":"Kleunen","given":"Mark","non-dropping-particle":"van"},{"family":"Kreft","given":"Holger"},{"family":"Pergl","given":"Jan"},{"family":"Pyšek","given":"Petr"},{"family":"Weigelt","given":"Patrick"},{"family":"Winter","given":"Marten"},{"family":"Lenzner","given":"Bernd"},{"family":"Blackburn","given":"Tim M."},{"family":"Dyer","given":"Ellie E."},{"family":"Cassey","given":"Phillip"},{"family":"Scrivens","given":"Sally L."},{"family":"Economo","given":"Evan P."},{"family":"Guénard","given":"Benoit"},{"family":"Capinha","given":"César"},{"family":"Seebens","given":"Hanno"},{"family":"García-Díaz","given":"Pablo"},{"family":"Nentwig","given":"Wolfgang"},{"family":"García-Berthou","given":"Emili"},{"family":"Casal","given":"Christine"},{"family":"Mandrak","given":"Nicholas E."},{"family":"Fuller","given":"Pam"},{"family":"Meyer","given":"Carsten"},{"family":"Essl","given":"Franz"}],"accessed":{"date-parts":[["2019",10,24]]},"issued":{"date-parts":[["2017",7]]}}}],"schema":"https://github.com/citation-style-language/schema/raw/master/csl-citation.json"} </w:instrText>
      </w:r>
      <w:r w:rsidR="18794F6F" w:rsidRPr="5575EBFC">
        <w:rPr>
          <w:lang w:val="en-GB"/>
        </w:rPr>
        <w:fldChar w:fldCharType="separate"/>
      </w:r>
      <w:r w:rsidR="6B5F9B9E">
        <w:t>(Dawson et al., 2017)</w:t>
      </w:r>
      <w:r w:rsidR="18794F6F" w:rsidRPr="5575EBFC">
        <w:rPr>
          <w:lang w:val="en-GB"/>
        </w:rPr>
        <w:fldChar w:fldCharType="end"/>
      </w:r>
      <w:r w:rsidR="5E1773DB" w:rsidRPr="5575EBFC">
        <w:rPr>
          <w:lang w:val="en-GB"/>
        </w:rPr>
        <w:t xml:space="preserve">. In Europe, </w:t>
      </w:r>
      <w:r w:rsidRPr="5575EBFC">
        <w:rPr>
          <w:lang w:val="en-GB"/>
        </w:rPr>
        <w:t xml:space="preserve">human population density is positively associated with increased alien species richness </w:t>
      </w:r>
      <w:r w:rsidR="5E1773DB" w:rsidRPr="5575EBFC">
        <w:rPr>
          <w:lang w:val="en-GB"/>
        </w:rPr>
        <w:t xml:space="preserve">for a wide range of plant and animal groups, </w:t>
      </w:r>
      <w:r w:rsidRPr="5575EBFC">
        <w:rPr>
          <w:lang w:val="en-GB"/>
        </w:rPr>
        <w:t>with highest</w:t>
      </w:r>
      <w:r w:rsidR="0EA9A531" w:rsidRPr="5575EBFC">
        <w:rPr>
          <w:lang w:val="en-GB"/>
        </w:rPr>
        <w:t xml:space="preserve"> alien species richness </w:t>
      </w:r>
      <w:r w:rsidRPr="5575EBFC">
        <w:rPr>
          <w:lang w:val="en-GB"/>
        </w:rPr>
        <w:t>values</w:t>
      </w:r>
      <w:r w:rsidR="0EA9A531" w:rsidRPr="5575EBFC">
        <w:rPr>
          <w:lang w:val="en-GB"/>
        </w:rPr>
        <w:t xml:space="preserve"> occurring</w:t>
      </w:r>
      <w:r w:rsidRPr="5575EBFC">
        <w:rPr>
          <w:lang w:val="en-GB"/>
        </w:rPr>
        <w:t xml:space="preserve"> in regions with more than 91.1 inhabitants/km</w:t>
      </w:r>
      <w:r w:rsidRPr="5575EBFC">
        <w:rPr>
          <w:vertAlign w:val="superscript"/>
          <w:lang w:val="en-GB"/>
        </w:rPr>
        <w:t>2</w:t>
      </w:r>
      <w:r w:rsidRPr="5575EBFC">
        <w:rPr>
          <w:lang w:val="en-GB"/>
        </w:rPr>
        <w:t xml:space="preserve"> and the </w:t>
      </w:r>
      <w:r w:rsidR="0EA9A531" w:rsidRPr="5575EBFC">
        <w:rPr>
          <w:lang w:val="en-GB"/>
        </w:rPr>
        <w:t>lowest values</w:t>
      </w:r>
      <w:r w:rsidRPr="5575EBFC">
        <w:rPr>
          <w:lang w:val="en-GB"/>
        </w:rPr>
        <w:t xml:space="preserve"> in regions with fewer than 8.5 inhabitants/km</w:t>
      </w:r>
      <w:r w:rsidRPr="5575EBFC">
        <w:rPr>
          <w:vertAlign w:val="superscript"/>
          <w:lang w:val="en-GB"/>
        </w:rPr>
        <w:t>2</w:t>
      </w:r>
      <w:r w:rsidRPr="5575EBFC">
        <w:rPr>
          <w:lang w:val="en-GB"/>
        </w:rPr>
        <w:t xml:space="preserve"> </w:t>
      </w:r>
      <w:r w:rsidR="18794F6F" w:rsidRPr="5575EBFC">
        <w:rPr>
          <w:lang w:val="en-GB"/>
        </w:rPr>
        <w:fldChar w:fldCharType="begin"/>
      </w:r>
      <w:r w:rsidR="00331A79">
        <w:rPr>
          <w:lang w:val="en-GB"/>
        </w:rPr>
        <w:instrText xml:space="preserve"> ADDIN ZOTERO_ITEM CSL_CITATION {"citationID":"Rrlh3D9L","properties":{"formattedCitation":"(Py\\uc0\\u353{}ek, Jarosik, et al., 2010)","plainCitation":"(Pyšek, Jarosik, et al., 2010)","dontUpdate":true,"noteIndex":0},"citationItems":[{"id":29029,"uris":["http://zotero.org/groups/2352922/items/VMCFYKNM"],"itemData":{"id":29029,"type":"article-journal","abstract":"The accelerating rates of international trade, travel, and transport in the latter half of the twentieth century have led to the progressive mixing of biota from across the world and the number of species introduced to new regions continues to increase. The importance of biogeographic, climatic, economic, and demographic factors as drivers of this trend is increasingly being realized but as yet there is no consensus regarding their relative importance. Whereas little may be done to mitigate the effects of geography and climate on invasions, a wider range of options may exist to moderate the impacts of economic and demographic drivers. Here we use the most recent data available from Europe to partition between macroecological, economic, and demographic variables the variation in alien species richness of bryophytes, fungi, vascular plants, terrestrial insects, aquatic invertebrates, fish, amphibians, reptiles, birds, and mammals. Only national wealth and human population density were statistically significant predictors in the majority of models when analyzed jointly with climate, geography, and land cover. The economic and demographic variables reflect the intensity of human activities and integrate the effect of factors that directly determine the outcome of invasion such as propagule pressure, pathways of introduction, eutrophication, and the intensity of anthropogenic disturbance. The strong influence of economic and demographic variables on the levels of invasion by alien species demonstrates that future solutions to the problem of biological invasions at a national scale lie in mitigating the negative environmental consequences of human activities that generate wealth and by promoting more sustainable population growth.","container-title":"Proceedings of the National Academy of Sciences","DOI":"10.1073/pnas.1002314107","ISSN":"0027-8424","issue":"27","journalAbbreviation":"Proceedings of the National Academy of Sciences","language":"en","note":"WOS:000279572100023","page":"12157-12162","title":"Disentangling the role of environmental and human pressures on biological invasions across Europe","URL":"http://www.pnas.org/content/107/27/12157.abstract","volume":"107","author":[{"family":"Pyšek","given":"Petr"},{"family":"Jarosik","given":"Vojtech"},{"family":"Hulme","given":"Philip E."},{"family":"Kühn","given":"Ingolf"},{"family":"Wild","given":"Jan"},{"family":"Arianoutsou","given":"Margarita"},{"family":"Bacher","given":"Sven"},{"family":"Chiron","given":"Francois"},{"family":"Didžiulis","given":"Viktoras"},{"family":"Essl","given":"Franz"},{"family":"Genovesi","given":"Piero"},{"family":"Gherardi","given":"Francesca"},{"family":"Hejda","given":"Martin"},{"family":"Kark","given":"Salit"},{"family":"Lambdon","given":"Philip W."},{"family":"Desprez-Loustau","given":"Marie-Laure"},{"family":"Nentwig","given":"Wolfgang"},{"family":"Pergl","given":"Jan"},{"family":"Poboljšaj","given":"Katja"},{"family":"Rabitsch","given":"Wolfgang"},{"family":"Roques","given":"Alain"},{"family":"Roy","given":"David B."},{"family":"Shirley","given":"Susan"},{"family":"Solarz","given":"Wojciech"},{"family":"Vilà","given":"Montserrat"},{"family":"Winter","given":"Marten"}],"issued":{"date-parts":[["2010",7,6]]}}}],"schema":"https://github.com/citation-style-language/schema/raw/master/csl-citation.json"} </w:instrText>
      </w:r>
      <w:r w:rsidR="18794F6F" w:rsidRPr="5575EBFC">
        <w:rPr>
          <w:lang w:val="en-GB"/>
        </w:rPr>
        <w:fldChar w:fldCharType="separate"/>
      </w:r>
      <w:r w:rsidR="5D45F718" w:rsidRPr="5575EBFC">
        <w:rPr>
          <w:lang w:val="en-GB"/>
        </w:rPr>
        <w:t>(Pyšek et al., 2010)</w:t>
      </w:r>
      <w:r w:rsidR="18794F6F" w:rsidRPr="5575EBFC">
        <w:rPr>
          <w:lang w:val="en-GB"/>
        </w:rPr>
        <w:fldChar w:fldCharType="end"/>
      </w:r>
      <w:r w:rsidRPr="5575EBFC">
        <w:rPr>
          <w:lang w:val="en-GB"/>
        </w:rPr>
        <w:t xml:space="preserve">. </w:t>
      </w:r>
      <w:r w:rsidR="7EF9906F" w:rsidRPr="5575EBFC">
        <w:rPr>
          <w:lang w:val="en-GB"/>
        </w:rPr>
        <w:t>At the national scale,</w:t>
      </w:r>
      <w:r w:rsidR="4E1EFC43" w:rsidRPr="5575EBFC">
        <w:rPr>
          <w:lang w:val="en-GB"/>
        </w:rPr>
        <w:t xml:space="preserve"> a comprehensive national alien species assessment in Norway</w:t>
      </w:r>
      <w:r w:rsidR="7B670E5D" w:rsidRPr="5575EBFC">
        <w:rPr>
          <w:lang w:val="en-GB"/>
        </w:rPr>
        <w:t>, covering</w:t>
      </w:r>
      <w:r w:rsidR="5452E0AA" w:rsidRPr="5575EBFC">
        <w:rPr>
          <w:lang w:val="en-GB"/>
        </w:rPr>
        <w:t xml:space="preserve"> all</w:t>
      </w:r>
      <w:r w:rsidR="7B670E5D" w:rsidRPr="5575EBFC">
        <w:rPr>
          <w:lang w:val="en-GB"/>
        </w:rPr>
        <w:t xml:space="preserve"> multicellular </w:t>
      </w:r>
      <w:r w:rsidR="6AFAB102" w:rsidRPr="5575EBFC">
        <w:rPr>
          <w:lang w:val="en-GB"/>
        </w:rPr>
        <w:t>organisms</w:t>
      </w:r>
      <w:r w:rsidR="7B670E5D" w:rsidRPr="5575EBFC">
        <w:rPr>
          <w:lang w:val="en-GB"/>
        </w:rPr>
        <w:t xml:space="preserve">, found that </w:t>
      </w:r>
      <w:r w:rsidR="5452E0AA" w:rsidRPr="5575EBFC">
        <w:rPr>
          <w:lang w:val="en-GB"/>
        </w:rPr>
        <w:t>for all</w:t>
      </w:r>
      <w:r w:rsidR="7B670E5D" w:rsidRPr="5575EBFC">
        <w:rPr>
          <w:lang w:val="en-GB"/>
        </w:rPr>
        <w:t xml:space="preserve"> </w:t>
      </w:r>
      <w:r w:rsidR="4E1EFC43" w:rsidRPr="5575EBFC">
        <w:rPr>
          <w:lang w:val="en-GB"/>
        </w:rPr>
        <w:t xml:space="preserve">taxonomic groups </w:t>
      </w:r>
      <w:r w:rsidR="5452E0AA" w:rsidRPr="5575EBFC">
        <w:rPr>
          <w:lang w:val="en-GB"/>
        </w:rPr>
        <w:t>considered</w:t>
      </w:r>
      <w:r w:rsidR="677A2290" w:rsidRPr="5575EBFC">
        <w:rPr>
          <w:lang w:val="en-GB"/>
        </w:rPr>
        <w:t xml:space="preserve"> (</w:t>
      </w:r>
      <w:r w:rsidR="5E1773DB" w:rsidRPr="5575EBFC">
        <w:rPr>
          <w:lang w:val="en-GB"/>
        </w:rPr>
        <w:t>terrestrial and aquatic plants, invertebrates, fungi</w:t>
      </w:r>
      <w:r w:rsidR="009F7404">
        <w:rPr>
          <w:lang w:val="en-GB"/>
        </w:rPr>
        <w:t xml:space="preserve"> and</w:t>
      </w:r>
      <w:r w:rsidR="5E1773DB" w:rsidRPr="5575EBFC">
        <w:rPr>
          <w:lang w:val="en-GB"/>
        </w:rPr>
        <w:t xml:space="preserve"> vertebrates</w:t>
      </w:r>
      <w:r w:rsidR="677A2290" w:rsidRPr="5575EBFC">
        <w:rPr>
          <w:lang w:val="en-GB"/>
        </w:rPr>
        <w:t>)</w:t>
      </w:r>
      <w:r w:rsidR="5E1773DB" w:rsidRPr="5575EBFC">
        <w:rPr>
          <w:lang w:val="en-GB"/>
        </w:rPr>
        <w:t xml:space="preserve"> </w:t>
      </w:r>
      <w:r w:rsidR="7EF9906F" w:rsidRPr="5575EBFC">
        <w:rPr>
          <w:lang w:val="en-GB"/>
        </w:rPr>
        <w:t>alien species richness was positively correlated with human population density</w:t>
      </w:r>
      <w:r w:rsidR="5E1773DB" w:rsidRPr="5575EBFC">
        <w:rPr>
          <w:lang w:val="en-GB"/>
        </w:rPr>
        <w:t xml:space="preserve"> </w:t>
      </w:r>
      <w:r w:rsidR="18794F6F" w:rsidRPr="5575EBFC">
        <w:rPr>
          <w:lang w:val="en-GB"/>
        </w:rPr>
        <w:fldChar w:fldCharType="begin"/>
      </w:r>
      <w:r w:rsidR="00331A79">
        <w:rPr>
          <w:lang w:val="en-GB"/>
        </w:rPr>
        <w:instrText xml:space="preserve"> ADDIN ZOTERO_ITEM CSL_CITATION {"citationID":"YlDNgvpy","properties":{"formattedCitation":"(Sandvik et al., 2019)","plainCitation":"(Sandvik et al., 2019)","noteIndex":0},"citationItems":[{"id":32705,"uris":["http://zotero.org/groups/2352922/items/VT3HST4A"],"itemData":{"id":32705,"type":"article-journal","container-title":"Biological Invasions","DOI":"10.1007/s10530-019-02058-x","ISSN":"1387-3547, 1573-1464","issue":"10","journalAbbreviation":"Biol Invasions","language":"en","page":"2997-3012","source":"DOI.org (Crossref)","title":"Alien plants, animals, fungi and algae in Norway: an inventory of neobiota","title-short":"Alien plants, animals, fungi and algae in Norway","URL":"http://link.springer.com/10.1007/s10530-019-02058-x","volume":"21","author":[{"family":"Sandvik","given":"Hanno"},{"family":"Dolmen","given":"Dag"},{"family":"Elven","given":"Reidar"},{"family":"Falkenhaug","given":"Tone"},{"family":"Forsgren","given":"Elisabet"},{"family":"Hansen","given":"Haakon"},{"family":"Hassel","given":"Kristian"},{"family":"Husa","given":"Vivian"},{"family":"Kjærstad","given":"Gaute"},{"family":"Ødegaard","given":"Frode"},{"family":"Pedersen","given":"Hans Christian"},{"family":"Solheim","given":"Halvor"},{"family":"Stokke","given":"Bård Gunnar"},{"family":"Åsen","given":"Per Arvid"},{"family":"Åström","given":"Sandra"},{"family":"Brandrud","given":"Tor-Erik"},{"family":"Elven","given":"Hallvard"},{"family":"Endrestøl","given":"Anders"},{"family":"Finstad","given":"Anders"},{"family":"Fredriksen","given":"Stein"},{"family":"Gammelmo","given":"Øivind"},{"family":"Gjershaug","given":"Jan Ove"},{"family":"Gulliksen","given":"Bjørn"},{"family":"Hamnes","given":"Inger"},{"family":"Hatteland","given":"Bjørn Arild"},{"family":"Hegre","given":"Hanne"},{"family":"Hesthagen","given":"Trygve"},{"family":"Jelmert","given":"Anders"},{"family":"Jensen","given":"Thomas C."},{"family":"Johnsen","given":"Stein Ivar"},{"family":"Karlsbakk","given":"Egil"},{"family":"Magnusson","given":"Christer"},{"family":"Nedreaas","given":"Kjell"},{"family":"Nordén","given":"Björn"},{"family":"Oug","given":"Eivind"},{"family":"Pedersen","given":"Oddvar"},{"family":"Pedersen","given":"Per Anker"},{"family":"Sjøtun","given":"Kjersti"},{"family":"Skei","given":"Jon Kristian"},{"family":"Solstad","given":"Heidi"},{"family":"Sundheim","given":"Leif"},{"family":"Swenson","given":"Jon E."},{"family":"Syvertsen","given":"Per Ole"},{"family":"Talgø","given":"Venche"},{"family":"Vandvik","given":"Vigdis"},{"family":"Westergaard","given":"Kristine B."},{"family":"Wienerroither","given":"Rupert"},{"family":"Ytrehus","given":"Bjørnar"},{"family":"Hilmo","given":"Olga"},{"family":"Henriksen","given":"Snorre"},{"family":"Gederaas","given":"Lisbeth"}],"accessed":{"date-parts":[["2020",8,20]]},"issued":{"date-parts":[["2019",10]]}}}],"schema":"https://github.com/citation-style-language/schema/raw/master/csl-citation.json"} </w:instrText>
      </w:r>
      <w:r w:rsidR="18794F6F" w:rsidRPr="5575EBFC">
        <w:rPr>
          <w:lang w:val="en-GB"/>
        </w:rPr>
        <w:fldChar w:fldCharType="separate"/>
      </w:r>
      <w:r w:rsidR="6B5F9B9E">
        <w:t>(Sandvik et al., 2019)</w:t>
      </w:r>
      <w:r w:rsidR="18794F6F" w:rsidRPr="5575EBFC">
        <w:rPr>
          <w:lang w:val="en-GB"/>
        </w:rPr>
        <w:fldChar w:fldCharType="end"/>
      </w:r>
      <w:r w:rsidR="4E1EFC43" w:rsidRPr="5575EBFC">
        <w:rPr>
          <w:lang w:val="en-GB"/>
        </w:rPr>
        <w:t xml:space="preserve">. </w:t>
      </w:r>
      <w:r w:rsidR="5E1773DB" w:rsidRPr="5575EBFC">
        <w:rPr>
          <w:lang w:val="en-GB"/>
        </w:rPr>
        <w:t xml:space="preserve">Similarly in the United Kingdom, human population density was a </w:t>
      </w:r>
      <w:r w:rsidR="22A55FE5" w:rsidRPr="5575EBFC">
        <w:rPr>
          <w:lang w:val="en-GB"/>
        </w:rPr>
        <w:t>good</w:t>
      </w:r>
      <w:r w:rsidR="5E1773DB" w:rsidRPr="5575EBFC">
        <w:rPr>
          <w:lang w:val="en-GB"/>
        </w:rPr>
        <w:t xml:space="preserve"> predictor of freshwater fish introductions </w:t>
      </w:r>
      <w:r w:rsidR="18794F6F" w:rsidRPr="5575EBFC">
        <w:rPr>
          <w:lang w:val="en-GB"/>
        </w:rPr>
        <w:fldChar w:fldCharType="begin"/>
      </w:r>
      <w:r w:rsidR="00331A79">
        <w:rPr>
          <w:lang w:val="en-GB"/>
        </w:rPr>
        <w:instrText xml:space="preserve"> ADDIN ZOTERO_ITEM CSL_CITATION {"citationID":"s98dvfIB","properties":{"formattedCitation":"(Copp et al., 2010)","plainCitation":"(Copp et al., 2010)","noteIndex":0},"citationItems":[{"id":24323,"uris":["http://zotero.org/groups/2352922/items/5FMI7RIF"],"itemData":{"id":24323,"type":"article-journal","abstract":"1. Biological invasion theory predicts that the introduction and establishment of non-native species is positively correlated with propagule pressure. Releases of pet and aquarium fishes to inland waters has a long history; however, few studies have examined the demographic basis of their importation and incidence in the wild. 2. For the 1500 grid squares (10×10 km) that make up England, data on human demographics (population density, numbers of pet shops, garden centres and fish farms), the numbers of non-native freshwater fishes (from consented licences) imported in those grid squares (i.e. propagule pressure), and the reported incidences (in a national database) of non-native fishes in the wild were used to examine spatial relationships between the occurrence of non-native fishes and the demographic factors associated with propagule pressure, as well as to test whether the demographic factors are statistically reliable predictors of the incidence of non-native fishes, and as such surrogate estimators of propagule pressure. 3. Principal coordinates of neighbour matrices analyses, used to generate spatially explicit models, and confirmatory factor analysis revealed that spatial distributions of non-native species in England were significantly related to human population density, garden centre density and fish farm density. Human population density and the number of fish imports were identified as the best predictors of propagule pressure. 4. Human population density is an effective surrogate estimator of non-native fish propagule pressure and can be used to predict likely areas of non-native fish introductions. In conjunction with fish movements, where available, human population densities can be used to support biological invasion monitoring programmes across Europe (and perhaps globally) and to inform management decisions as regards the prioritization of areas for the control of non-native fish introductions. © Crown copyright 2010. Reproduced with the permission of her Majesty's Stationery Office. Published by John Wiley &amp; Sons, Ltd.","container-title":"Aquatic Conservation: Marine and Freshwater Ecosystems","DOI":"https://doi.org/10.1002/aqc.1129","ISSN":"1099-0755","issue":"5","language":"en","license":"© Crown copyright 2010. Reproduced with permission of Her majesty's stationery office. Published by John Wiley &amp; Sons, Ltd.","note":"_eprint: https://onlinelibrary.wiley.com/doi/pdf/10.1002/aqc.1129","page":"595-601","source":"Wiley Online Library","title":"The demography of introduction pathways, propagule pressure and occurrences of non-native freshwater fish in England","URL":"https://onlinelibrary.wiley.com/doi/abs/10.1002/aqc.1129","volume":"20","author":[{"family":"Copp","given":"G. H."},{"family":"Vilizzi","given":"L."},{"family":"Gozlan","given":"R. E."}],"accessed":{"date-parts":[["2021",2,11]]},"issued":{"date-parts":[["2010"]]}}}],"schema":"https://github.com/citation-style-language/schema/raw/master/csl-citation.json"} </w:instrText>
      </w:r>
      <w:r w:rsidR="18794F6F" w:rsidRPr="5575EBFC">
        <w:rPr>
          <w:lang w:val="en-GB"/>
        </w:rPr>
        <w:fldChar w:fldCharType="separate"/>
      </w:r>
      <w:r w:rsidR="6B5F9B9E">
        <w:t>(Copp et al., 2010)</w:t>
      </w:r>
      <w:r w:rsidR="18794F6F" w:rsidRPr="5575EBFC">
        <w:rPr>
          <w:lang w:val="en-GB"/>
        </w:rPr>
        <w:fldChar w:fldCharType="end"/>
      </w:r>
      <w:r w:rsidR="5E1773DB" w:rsidRPr="5575EBFC">
        <w:rPr>
          <w:lang w:val="en-GB"/>
        </w:rPr>
        <w:t xml:space="preserve">. In Brazil, </w:t>
      </w:r>
      <w:r w:rsidR="18794F6F" w:rsidRPr="5575EBFC">
        <w:rPr>
          <w:lang w:val="en-GB"/>
        </w:rPr>
        <w:fldChar w:fldCharType="begin"/>
      </w:r>
      <w:r w:rsidR="00331A79">
        <w:rPr>
          <w:lang w:val="en-GB"/>
        </w:rPr>
        <w:instrText xml:space="preserve"> ADDIN ZOTERO_ITEM CSL_CITATION {"citationID":"jidbbr6y","properties":{"formattedCitation":"(Fonseca et al., 2019)","plainCitation":"(Fonseca et al., 2019)","dontUpdate":true,"noteIndex":0},"citationItems":[{"id":30179,"uris":["http://zotero.org/groups/2352922/items/VKZHJ7KR"],"itemData":{"id":30179,"type":"article-journal","abstract":"Aims: We identify alien reptiles and amphibians, invaders or not, in Brazil and evaluate the following: (a) which alien species are found in the country; (b) where they originate from; (c) how they are distributed; (d) why and how they were introduced; and (e) which factors affect the record incidences and local richness of these species.","container-title":"Diversity and Distributions","DOI":"10.1111/ddi.12920","ISSN":"136</w:instrText>
      </w:r>
      <w:r w:rsidR="00331A79">
        <w:rPr>
          <w:rFonts w:hint="eastAsia"/>
          <w:lang w:val="en-GB"/>
        </w:rPr>
        <w:instrText>6-9516, 1472-4642","issue":"7","journalAbbreviation":"Divers Distrib","language":"en","page":"1130-1141","source":"DOI.org (Crossref)","title":"Introduction pathways and socio</w:instrText>
      </w:r>
      <w:r w:rsidR="00331A79">
        <w:rPr>
          <w:rFonts w:hint="eastAsia"/>
          <w:lang w:val="en-GB"/>
        </w:rPr>
        <w:instrText>‐</w:instrText>
      </w:r>
      <w:r w:rsidR="00331A79">
        <w:rPr>
          <w:rFonts w:hint="eastAsia"/>
          <w:lang w:val="en-GB"/>
        </w:rPr>
        <w:instrText>economic variables drive the distribution of alien amphibians and reptiles in a</w:instrText>
      </w:r>
      <w:r w:rsidR="00331A79">
        <w:rPr>
          <w:lang w:val="en-GB"/>
        </w:rPr>
        <w:instrText xml:space="preserve"> megadiverse country","URL":"https://onlinelibrary.wiley.com/doi/abs/10.1111/ddi.12920","volume":"25","author":[{"family":"Fonseca","given":"Érica"},{"family":"Both","given":"Camila"},{"family":"Cechin","given":"Sonia Zanini"}],"editor":[{"family":"Liu","given":"Xuan"}],"accessed":{"date-parts":[["2020",8,9]]},"issued":{"date-parts":[["2019",7]]}}}],"schema":"https://github.com/citation-style-language/schema/raw/master/csl-citation.json"} </w:instrText>
      </w:r>
      <w:r w:rsidR="18794F6F" w:rsidRPr="5575EBFC">
        <w:rPr>
          <w:lang w:val="en-GB"/>
        </w:rPr>
        <w:fldChar w:fldCharType="separate"/>
      </w:r>
      <w:r w:rsidR="5E1773DB" w:rsidRPr="5575EBFC">
        <w:rPr>
          <w:lang w:val="en-GB"/>
        </w:rPr>
        <w:t>Fonseca et al. (2019)</w:t>
      </w:r>
      <w:r w:rsidR="18794F6F" w:rsidRPr="5575EBFC">
        <w:rPr>
          <w:lang w:val="en-GB"/>
        </w:rPr>
        <w:fldChar w:fldCharType="end"/>
      </w:r>
      <w:r w:rsidR="5E1773DB" w:rsidRPr="5575EBFC">
        <w:rPr>
          <w:lang w:val="en-GB"/>
        </w:rPr>
        <w:t xml:space="preserve"> showed that human population density influenced the rate of </w:t>
      </w:r>
      <w:r w:rsidR="0B63035E" w:rsidRPr="5575EBFC">
        <w:rPr>
          <w:lang w:val="en-GB"/>
        </w:rPr>
        <w:t xml:space="preserve">unintentional </w:t>
      </w:r>
      <w:r w:rsidR="5E1773DB" w:rsidRPr="5575EBFC">
        <w:rPr>
          <w:lang w:val="en-GB"/>
        </w:rPr>
        <w:t>introductions</w:t>
      </w:r>
      <w:r w:rsidR="5438D33E" w:rsidRPr="5575EBFC">
        <w:rPr>
          <w:lang w:val="en-GB"/>
        </w:rPr>
        <w:t>,</w:t>
      </w:r>
      <w:r w:rsidR="5E1773DB" w:rsidRPr="5575EBFC">
        <w:rPr>
          <w:lang w:val="en-GB"/>
        </w:rPr>
        <w:t xml:space="preserve"> result</w:t>
      </w:r>
      <w:r w:rsidR="5438D33E" w:rsidRPr="5575EBFC">
        <w:rPr>
          <w:lang w:val="en-GB"/>
        </w:rPr>
        <w:t>ing</w:t>
      </w:r>
      <w:r w:rsidR="5E1773DB" w:rsidRPr="5575EBFC">
        <w:rPr>
          <w:lang w:val="en-GB"/>
        </w:rPr>
        <w:t xml:space="preserve"> in high records of alien amphibians and reptiles</w:t>
      </w:r>
      <w:r w:rsidR="5438D33E" w:rsidRPr="5575EBFC">
        <w:rPr>
          <w:lang w:val="en-GB"/>
        </w:rPr>
        <w:t xml:space="preserve"> in densely-populated areas</w:t>
      </w:r>
      <w:r w:rsidR="5E1773DB" w:rsidRPr="5575EBFC">
        <w:rPr>
          <w:lang w:val="en-GB"/>
        </w:rPr>
        <w:t xml:space="preserve">. </w:t>
      </w:r>
      <w:r w:rsidRPr="5575EBFC">
        <w:rPr>
          <w:lang w:val="en-GB"/>
        </w:rPr>
        <w:t xml:space="preserve">At </w:t>
      </w:r>
      <w:r w:rsidR="5E1773DB" w:rsidRPr="5575EBFC">
        <w:rPr>
          <w:lang w:val="en-GB"/>
        </w:rPr>
        <w:t xml:space="preserve">more local </w:t>
      </w:r>
      <w:r w:rsidRPr="5575EBFC">
        <w:rPr>
          <w:lang w:val="en-GB"/>
        </w:rPr>
        <w:t xml:space="preserve">scales, </w:t>
      </w:r>
      <w:r w:rsidR="6B6C0A97" w:rsidRPr="5575EBFC">
        <w:rPr>
          <w:lang w:val="en-GB"/>
        </w:rPr>
        <w:t xml:space="preserve">evidence </w:t>
      </w:r>
      <w:r w:rsidRPr="5575EBFC">
        <w:rPr>
          <w:lang w:val="en-GB"/>
        </w:rPr>
        <w:t xml:space="preserve">shows that increased human population density in surrounding areas </w:t>
      </w:r>
      <w:r w:rsidR="7B714437" w:rsidRPr="5575EBFC">
        <w:rPr>
          <w:lang w:val="en-GB"/>
        </w:rPr>
        <w:t xml:space="preserve">is </w:t>
      </w:r>
      <w:r w:rsidR="3863D921" w:rsidRPr="5575EBFC">
        <w:rPr>
          <w:lang w:val="en-GB"/>
        </w:rPr>
        <w:t>a</w:t>
      </w:r>
      <w:r w:rsidR="626993EF" w:rsidRPr="5575EBFC">
        <w:rPr>
          <w:lang w:val="en-GB"/>
        </w:rPr>
        <w:t xml:space="preserve"> </w:t>
      </w:r>
      <w:r w:rsidR="513AB4D9" w:rsidRPr="5575EBFC">
        <w:rPr>
          <w:lang w:val="en-GB"/>
        </w:rPr>
        <w:t>significant</w:t>
      </w:r>
      <w:r w:rsidR="591EB1E0" w:rsidRPr="5575EBFC">
        <w:rPr>
          <w:lang w:val="en-GB"/>
        </w:rPr>
        <w:t xml:space="preserve"> predict</w:t>
      </w:r>
      <w:r w:rsidR="7B714437" w:rsidRPr="5575EBFC">
        <w:rPr>
          <w:lang w:val="en-GB"/>
        </w:rPr>
        <w:t>or of</w:t>
      </w:r>
      <w:r w:rsidRPr="5575EBFC">
        <w:rPr>
          <w:lang w:val="en-GB"/>
        </w:rPr>
        <w:t xml:space="preserve"> alien species richness for plants within </w:t>
      </w:r>
      <w:r w:rsidR="43A676ED" w:rsidRPr="5575EBFC">
        <w:rPr>
          <w:lang w:val="en-GB"/>
        </w:rPr>
        <w:t xml:space="preserve">national </w:t>
      </w:r>
      <w:r w:rsidRPr="5575EBFC">
        <w:rPr>
          <w:lang w:val="en-GB"/>
        </w:rPr>
        <w:t xml:space="preserve">parks in the </w:t>
      </w:r>
      <w:r w:rsidR="3FAE2A1C" w:rsidRPr="5575EBFC">
        <w:rPr>
          <w:lang w:val="en-GB"/>
        </w:rPr>
        <w:t>United Stated of America</w:t>
      </w:r>
      <w:r w:rsidRPr="5575EBFC">
        <w:rPr>
          <w:lang w:val="en-GB"/>
        </w:rPr>
        <w:t xml:space="preserve"> </w:t>
      </w:r>
      <w:r w:rsidR="18794F6F" w:rsidRPr="5575EBFC">
        <w:rPr>
          <w:lang w:val="en-GB"/>
        </w:rPr>
        <w:fldChar w:fldCharType="begin"/>
      </w:r>
      <w:r w:rsidR="00331A79">
        <w:rPr>
          <w:lang w:val="en-GB"/>
        </w:rPr>
        <w:instrText xml:space="preserve"> ADDIN ZOTERO_ITEM CSL_CITATION {"citationID":"iJ7GwBB7","properties":{"formattedCitation":"(McKinney, 2002)","plainCitation":"(McKinney, 2002)","noteIndex":0},"citationItems":[{"id":15411,"uris":["http://zotero.org/groups/2352922/items/VVM256UK"],"itemData":{"id":15411,"type":"article-journal","abstract":"In a given area, human activities usually cause the extinction of native species and the establishment of non-native species. A key conservation issue is whether non-native establishment tends to outpace native species extinction to produce a net gain in species richness. To determine this, empirical data must be accumulated at various scales. I show that, within the United States, the number of established non-native plant species per state does tend to outpace the number of extinct and threatened species per state. The net gain in plant species is strongly and positively correlated with human population density. Continuation of this trend predicts substantial gains in net plant species richness for all states in the United States as human population grows. This contrasts with freshwater fishes, where most states show a net loss of species diversity as extinct and threatened species exceed established non-native species. Changes in fish diversity do not correlate strongly with human population or non-native species but are largely driven by the decline of native fish species.","container-title":"Global Ecology and Biogeography","DOI":"10.1046/j.1466-822X.2002.00293.x","ISSN":"1466-8238","issue":"4","language":"en","page":"343-348","source":"Wiley Online Library","title":"Do human activities raise species richness? Contrasting patterns in United States plants and fishes","title-short":"Do human activities raise species richness?","URL":"https://onlinelibrary.wiley.com/doi/abs/10.1046/j.1466-822X.2002.00293.x","volume":"11","author":[{"family":"McKinney","given":"Michael L."}],"accessed":{"date-parts":[["2019",9,15]]},"issued":{"date-parts":[["2002"]]}}}],"schema":"https://github.com/citation-style-language/schema/raw/master/csl-citation.json"} </w:instrText>
      </w:r>
      <w:r w:rsidR="18794F6F" w:rsidRPr="5575EBFC">
        <w:rPr>
          <w:lang w:val="en-GB"/>
        </w:rPr>
        <w:fldChar w:fldCharType="separate"/>
      </w:r>
      <w:r w:rsidR="6B5F9B9E">
        <w:t>(McKinney, 2002)</w:t>
      </w:r>
      <w:r w:rsidR="18794F6F" w:rsidRPr="5575EBFC">
        <w:rPr>
          <w:lang w:val="en-GB"/>
        </w:rPr>
        <w:fldChar w:fldCharType="end"/>
      </w:r>
      <w:r w:rsidR="1751EED9" w:rsidRPr="5575EBFC">
        <w:rPr>
          <w:lang w:val="en-GB"/>
        </w:rPr>
        <w:t xml:space="preserve"> and</w:t>
      </w:r>
      <w:r w:rsidRPr="5575EBFC">
        <w:rPr>
          <w:lang w:val="en-GB"/>
        </w:rPr>
        <w:t xml:space="preserve"> for multiple</w:t>
      </w:r>
      <w:r w:rsidR="40F46E91" w:rsidRPr="5575EBFC">
        <w:rPr>
          <w:lang w:val="en-GB"/>
        </w:rPr>
        <w:t xml:space="preserve"> alien</w:t>
      </w:r>
      <w:r w:rsidRPr="5575EBFC">
        <w:rPr>
          <w:lang w:val="en-GB"/>
        </w:rPr>
        <w:t xml:space="preserve"> taxa</w:t>
      </w:r>
      <w:r w:rsidR="410CCE36" w:rsidRPr="5575EBFC">
        <w:rPr>
          <w:lang w:val="en-GB"/>
        </w:rPr>
        <w:t xml:space="preserve"> (</w:t>
      </w:r>
      <w:r w:rsidR="122C9BCF" w:rsidRPr="5575EBFC">
        <w:rPr>
          <w:lang w:val="en-GB"/>
        </w:rPr>
        <w:t>including</w:t>
      </w:r>
      <w:r w:rsidR="6A8835E0" w:rsidRPr="5575EBFC">
        <w:rPr>
          <w:lang w:val="en-GB"/>
        </w:rPr>
        <w:t xml:space="preserve"> </w:t>
      </w:r>
      <w:r w:rsidRPr="5575EBFC">
        <w:rPr>
          <w:lang w:val="en-GB"/>
        </w:rPr>
        <w:t>birds, mammals, vertebrates and plants</w:t>
      </w:r>
      <w:r w:rsidR="410CCE36" w:rsidRPr="5575EBFC">
        <w:rPr>
          <w:lang w:val="en-GB"/>
        </w:rPr>
        <w:t>)</w:t>
      </w:r>
      <w:r w:rsidRPr="5575EBFC">
        <w:rPr>
          <w:lang w:val="en-GB"/>
        </w:rPr>
        <w:t xml:space="preserve"> in South Africa</w:t>
      </w:r>
      <w:r w:rsidR="1751EED9" w:rsidRPr="5575EBFC">
        <w:rPr>
          <w:lang w:val="en-GB"/>
        </w:rPr>
        <w:t>’s Kruger National Park</w:t>
      </w:r>
      <w:r w:rsidRPr="5575EBFC">
        <w:rPr>
          <w:lang w:val="en-GB"/>
        </w:rPr>
        <w:t xml:space="preserve"> </w:t>
      </w:r>
      <w:r w:rsidR="18794F6F" w:rsidRPr="5575EBFC">
        <w:rPr>
          <w:lang w:val="en-GB"/>
        </w:rPr>
        <w:fldChar w:fldCharType="begin"/>
      </w:r>
      <w:r w:rsidR="00331A79">
        <w:rPr>
          <w:lang w:val="en-GB"/>
        </w:rPr>
        <w:instrText xml:space="preserve"> ADDIN ZOTERO_ITEM CSL_CITATION {"citationID":"jVizMeos","properties":{"formattedCitation":"(Spear et al., 2013)","plainCitation":"(Spear et al., 2013)","noteIndex":0},"citationItems":[{"id":17152,"uris":["http://zotero.org/groups/2352922/items/NJJCHVQT"],"itemData":{"id":17152,"type":"article-journal","abstract":"Understanding the drivers of biological invasions, across taxa and regions, is important for designing appropriate management interventions. However there has been no work that has examined potential drivers of both plant and animal invasions, for both species considered to be aliens and those that are invasive. We use South Africa’s national park system (19 national parks, throughout South Africa and covering </w:instrText>
      </w:r>
      <w:r w:rsidR="00331A79">
        <w:rPr>
          <w:rFonts w:ascii="ＭＳ 明朝" w:eastAsia="ＭＳ 明朝" w:hAnsi="ＭＳ 明朝" w:cs="ＭＳ 明朝" w:hint="eastAsia"/>
          <w:lang w:val="en-GB"/>
        </w:rPr>
        <w:instrText>∼</w:instrText>
      </w:r>
      <w:r w:rsidR="00331A79">
        <w:rPr>
          <w:lang w:val="en-GB"/>
        </w:rPr>
        <w:instrText xml:space="preserve">39,000km2) as a model to test the generality of predictors of alien species richness in protected areas. We also compare the predictors of alien versus invasive species richness, and alien plant versus alien animal species richness. Species were classified as alien, invasive (having known negative impact on biodiversity) or extralimital, using standard definitions. Potential predictors (numbers of years since the park was proclaimed and since new land was acquired, park area, data availability, human population density in the vicinity of the park, number of roads, number of rivers, indigenous plant species richness and normalised difference vegetation index) of the number of alien and invasive species in national parks were examined for plants and animals using generalised linear models. Human population density surrounding parks was a significant and strong predictor of numbers of alien and invasive species across plants and animals. The role of other predictors, such as NDVI and park age, was inconsistent across models. Human population density has emerged here as an important predictor of alien species richness in protected areas across taxa, providing a basis for guidelines on where to focus surveillance and eradication efforts.","container-title":"Biological Conservation","DOI":"10.1016/j.biocon.2012.11.022","ISSN":"0006-3207","journalAbbreviation":"Biological Conservation","page":"137-147","source":"ScienceDirect","title":"Human population density explains alien species richness in protected areas","URL":"http://www.sciencedirect.com/science/article/pii/S0006320712004909","volume":"159","author":[{"family":"Spear","given":"Dian"},{"family":"Foxcroft","given":"Llewellyn C."},{"family":"Bezuidenhout","given":"Hugo"},{"family":"McGeoch","given":"Melodie A."}],"accessed":{"date-parts":[["2019",9,15]]},"issued":{"date-parts":[["2013",3,1]]}}}],"schema":"https://github.com/citation-style-language/schema/raw/master/csl-citation.json"} </w:instrText>
      </w:r>
      <w:r w:rsidR="18794F6F" w:rsidRPr="5575EBFC">
        <w:rPr>
          <w:lang w:val="en-GB"/>
        </w:rPr>
        <w:fldChar w:fldCharType="separate"/>
      </w:r>
      <w:r w:rsidR="6B5F9B9E">
        <w:t>(Spear et al., 2013)</w:t>
      </w:r>
      <w:r w:rsidR="18794F6F" w:rsidRPr="5575EBFC">
        <w:rPr>
          <w:lang w:val="en-GB"/>
        </w:rPr>
        <w:fldChar w:fldCharType="end"/>
      </w:r>
      <w:r w:rsidR="68E800EC" w:rsidRPr="5575EBFC">
        <w:rPr>
          <w:lang w:val="en-GB"/>
        </w:rPr>
        <w:t>.</w:t>
      </w:r>
      <w:r w:rsidR="7CE0AA4B" w:rsidRPr="5575EBFC">
        <w:rPr>
          <w:lang w:val="en-GB"/>
        </w:rPr>
        <w:t xml:space="preserve"> </w:t>
      </w:r>
      <w:r w:rsidRPr="5575EBFC">
        <w:rPr>
          <w:lang w:val="en-GB"/>
        </w:rPr>
        <w:t xml:space="preserve">The number of visitors </w:t>
      </w:r>
      <w:r w:rsidR="18794F6F" w:rsidRPr="5575EBFC">
        <w:rPr>
          <w:lang w:val="en-GB"/>
        </w:rPr>
        <w:fldChar w:fldCharType="begin"/>
      </w:r>
      <w:r w:rsidR="00331A79">
        <w:rPr>
          <w:lang w:val="en-GB"/>
        </w:rPr>
        <w:instrText xml:space="preserve"> ADDIN ZOTERO_ITEM CSL_CITATION {"citationID":"kKj7Grkc","properties":{"formattedCitation":"(McKinney, 2002)","plainCitation":"(McKinney, 2002)","noteIndex":0},"citationItems":[{"id":15411,"uris":["http://zotero.org/groups/2352922/items/VVM256UK"],"itemData":{"id":15411,"type":"article-journal","abstract":"In a given area, human activities usually cause the extinction of native species and the establishment of non-native species. A key conservation issue is whether non-native establishment tends to outpace native species extinction to produce a net gain in species richness. To determine this, empirical data must be accumulated at various scales. I show that, within the United States, the number of established non-native plant species per state does tend to outpace the number of extinct and threatened species per state. The net gain in plant species is strongly and positively correlated with human population density. Continuation of this trend predicts substantial gains in net plant species richness for all states in the United States as human population grows. This contrasts with freshwater fishes, where most states show a net loss of species diversity as extinct and threatened species exceed established non-native species. Changes in fish diversity do not correlate strongly with human population or non-native species but are largely driven by the decline of native fish species.","container-title":"Global Ecology and Biogeography","DOI":"10.1046/j.1466-822X.2002.00293.x","ISSN":"1466-8238","issue":"4","language":"en","page":"343-348","source":"Wiley Online Library","title":"Do human activities raise species richness? Contrasting patterns in United States plants and fishes","title-short":"Do human activities raise species richness?","URL":"https://onlinelibrary.wiley.com/doi/abs/10.1046/j.1466-822X.2002.00293.x","volume":"11","author":[{"family":"McKinney","given":"Michael L."}],"accessed":{"date-parts":[["2019",9,15]]},"issued":{"date-parts":[["2002"]]}}}],"schema":"https://github.com/citation-style-language/schema/raw/master/csl-citation.json"} </w:instrText>
      </w:r>
      <w:r w:rsidR="18794F6F" w:rsidRPr="5575EBFC">
        <w:rPr>
          <w:lang w:val="en-GB"/>
        </w:rPr>
        <w:fldChar w:fldCharType="separate"/>
      </w:r>
      <w:r w:rsidR="6B5F9B9E">
        <w:t>(McKinney, 2002)</w:t>
      </w:r>
      <w:r w:rsidR="18794F6F" w:rsidRPr="5575EBFC">
        <w:rPr>
          <w:lang w:val="en-GB"/>
        </w:rPr>
        <w:fldChar w:fldCharType="end"/>
      </w:r>
      <w:r w:rsidRPr="5575EBFC">
        <w:rPr>
          <w:lang w:val="en-GB"/>
        </w:rPr>
        <w:t xml:space="preserve"> or occupants </w:t>
      </w:r>
      <w:r w:rsidR="18794F6F" w:rsidRPr="5575EBFC">
        <w:rPr>
          <w:lang w:val="en-GB"/>
        </w:rPr>
        <w:fldChar w:fldCharType="begin"/>
      </w:r>
      <w:r w:rsidR="00331A79">
        <w:rPr>
          <w:lang w:val="en-GB"/>
        </w:rPr>
        <w:instrText xml:space="preserve"> ADDIN ZOTERO_ITEM CSL_CITATION {"citationID":"ozl60iAU","properties":{"formattedCitation":"(Foxcroft et al., 2008)","plainCitation":"(Foxcroft et al., 2008)","noteIndex":0},"citationItems":[{"id":24094,"uris":["http://zotero.org/groups/2352922/items/NXJN5BC9"],"itemData":{"id":24094,"type":"article-journal","abstract":"The most widespread invasive alien plant species in South Africa’s Kruger National Park (KNP) were either introduced unintentionally along rivers and roads, or intentionally for use as ornamentals. We examine the spatial distribution of ornamental alien plants in KNP, look at the link between human population size, history, and species richness, and show how the distribution of particular species reflects the likely history of ornamental plantings. Results are used to assess whether past management actions have been appropriately directed.Two hundred and fifty-eight alien species have been recorded in the 36 tourist camps and staff villages. The number of staff housed in villages explains much of the diversity of cultivated alien plant species. Older camps also tend to have more ornamental alien plant species. However, the lack of a strong link between camp age and number of cultivated species suggests that ornamental plants have been widely spread around the KNP by humans. We also show that increased camp activity (either size or age) has led to more ornamental species, while, with the notable exception of Skukuza, camp activity has had a much smaller effect on the number of noncultivated species. Noncultivated species tend to be naturally dispersed, as opposed to directly spread by humans between camps.Past management prioritized certain species on the basis of their potential to invade KNP and on the prevailing national legislation. These species were removed manually and follow-up control was carried out. Once the priority species were deemed to be under control, less invasive species were targeted. All alien species were removed from vacated houses, regardless of the potential invasiveness of the species.","container-title":"Environmental Management","DOI":"10.1007/s00267-007-9027-9","ISSN":"1432-1009","issue":"1","journalAbbreviation":"Environmental Management","language":"en","page":"32-51","source":"Springer Link","title":"Ornamental Plants as Invasive Aliens: Problems and Solutions in Kruger National Park, South Africa","title-short":"Ornamental Plants as Invasive Aliens","URL":"https://doi.org/10.1007/s00267-007-9027-9","volume":"41","author":[{"family":"Foxcroft","given":"Llewellyn C."},{"family":"Richardson","given":"David M."},{"family":"Wilson","given":"John R. U."}],"accessed":{"date-parts":[["2019",10,1]]},"issued":{"date-parts":[["2008",1,1]]}}}],"schema":"https://github.com/citation-style-language/schema/raw/master/csl-citation.json"} </w:instrText>
      </w:r>
      <w:r w:rsidR="18794F6F" w:rsidRPr="5575EBFC">
        <w:rPr>
          <w:lang w:val="en-GB"/>
        </w:rPr>
        <w:fldChar w:fldCharType="separate"/>
      </w:r>
      <w:r w:rsidR="6B5F9B9E">
        <w:t>(Foxcroft et al., 2008)</w:t>
      </w:r>
      <w:r w:rsidR="18794F6F" w:rsidRPr="5575EBFC">
        <w:rPr>
          <w:lang w:val="en-GB"/>
        </w:rPr>
        <w:fldChar w:fldCharType="end"/>
      </w:r>
      <w:r w:rsidRPr="5575EBFC">
        <w:rPr>
          <w:lang w:val="en-GB"/>
        </w:rPr>
        <w:t xml:space="preserve"> within a </w:t>
      </w:r>
      <w:r w:rsidR="43A676ED" w:rsidRPr="5575EBFC">
        <w:rPr>
          <w:lang w:val="en-GB"/>
        </w:rPr>
        <w:t xml:space="preserve">national </w:t>
      </w:r>
      <w:r w:rsidRPr="5575EBFC">
        <w:rPr>
          <w:lang w:val="en-GB"/>
        </w:rPr>
        <w:t xml:space="preserve">park </w:t>
      </w:r>
      <w:r w:rsidR="40521E5E" w:rsidRPr="5575EBFC">
        <w:rPr>
          <w:lang w:val="en-GB"/>
        </w:rPr>
        <w:t>is positively correlated</w:t>
      </w:r>
      <w:r w:rsidR="78D0E289" w:rsidRPr="5575EBFC">
        <w:rPr>
          <w:lang w:val="en-GB"/>
        </w:rPr>
        <w:t xml:space="preserve"> </w:t>
      </w:r>
      <w:r w:rsidR="40521E5E" w:rsidRPr="5575EBFC">
        <w:rPr>
          <w:lang w:val="en-GB"/>
        </w:rPr>
        <w:t xml:space="preserve">with </w:t>
      </w:r>
      <w:r w:rsidR="78D0E289" w:rsidRPr="5575EBFC">
        <w:rPr>
          <w:lang w:val="en-GB"/>
        </w:rPr>
        <w:t>alien species richness</w:t>
      </w:r>
      <w:r w:rsidRPr="5575EBFC">
        <w:rPr>
          <w:lang w:val="en-GB"/>
        </w:rPr>
        <w:t>.</w:t>
      </w:r>
      <w:r w:rsidR="5122551C" w:rsidRPr="5575EBFC">
        <w:rPr>
          <w:lang w:val="en-GB"/>
        </w:rPr>
        <w:t xml:space="preserve"> A case study on urban wetlands</w:t>
      </w:r>
      <w:r w:rsidRPr="5575EBFC">
        <w:rPr>
          <w:lang w:val="en-GB"/>
        </w:rPr>
        <w:t xml:space="preserve"> further highlights t</w:t>
      </w:r>
      <w:r w:rsidR="4BB61370" w:rsidRPr="5575EBFC">
        <w:rPr>
          <w:lang w:val="en-GB"/>
        </w:rPr>
        <w:t>hat</w:t>
      </w:r>
      <w:r w:rsidRPr="5575EBFC">
        <w:rPr>
          <w:lang w:val="en-GB"/>
        </w:rPr>
        <w:t xml:space="preserve"> alien species richness</w:t>
      </w:r>
      <w:r w:rsidR="4BB61370" w:rsidRPr="5575EBFC">
        <w:rPr>
          <w:lang w:val="en-GB"/>
        </w:rPr>
        <w:t xml:space="preserve"> is correlated with human population density</w:t>
      </w:r>
      <w:r w:rsidRPr="5575EBFC">
        <w:rPr>
          <w:lang w:val="en-GB"/>
        </w:rPr>
        <w:t xml:space="preserve">, however </w:t>
      </w:r>
      <w:r w:rsidR="5E911622" w:rsidRPr="5575EBFC">
        <w:rPr>
          <w:lang w:val="en-GB"/>
        </w:rPr>
        <w:t xml:space="preserve">found that </w:t>
      </w:r>
      <w:r w:rsidRPr="5575EBFC">
        <w:rPr>
          <w:lang w:val="en-GB"/>
        </w:rPr>
        <w:t>alien herbs, shrubs and trees</w:t>
      </w:r>
      <w:r w:rsidR="719DC91F" w:rsidRPr="5575EBFC">
        <w:rPr>
          <w:lang w:val="en-GB"/>
        </w:rPr>
        <w:t xml:space="preserve"> all</w:t>
      </w:r>
      <w:r w:rsidRPr="5575EBFC">
        <w:rPr>
          <w:lang w:val="en-GB"/>
        </w:rPr>
        <w:t xml:space="preserve"> respond differently to human pressures </w:t>
      </w:r>
      <w:r w:rsidR="18794F6F" w:rsidRPr="5575EBFC">
        <w:rPr>
          <w:lang w:val="en-GB"/>
        </w:rPr>
        <w:fldChar w:fldCharType="begin"/>
      </w:r>
      <w:r w:rsidR="00331A79">
        <w:rPr>
          <w:lang w:val="en-GB"/>
        </w:rPr>
        <w:instrText xml:space="preserve"> ADDIN ZOTERO_ITEM CSL_CITATION {"citationID":"owG3fxJZ","properties":{"formattedCitation":"(Ehrenfeld, 2008)","plainCitation":"(Ehrenfeld, 2008)","noteIndex":0},"citationItems":[{"id":11038,"uris":["http://zotero.org/groups/2352922/items/VXCEQV44"],"itemData":{"id":11038,"type":"article-journal","abstract":"1 Wetlands in urban regions are subjected to a wide variety of anthropogenic disturbances, many of which may promote invasions of exotic plant species. In order to devise management strategies, the influence of different aspects of the urban and natural environments on invasion and community structure must be understood. 2 The roles of soil variables, anthropogenic effects adjacent to and within the wetlands, and vegetation structure on exotic species occurrence within 21 forested wetlands in north-eastern New Jersey, USA, were compared. The hypotheses were tested that different vegetation strata and different invasive species respond similarly to environmental factors, and that invasion increases with increasing direct human impact, hydrologic disturbance, adjacent residential land use and decreasing wetland area. Canonical correspondence analyses, correlation and logistic regression analyses were used to examine invasion by individual species and overall site invasion, as measured by the absolute and relative number of exotic species in the site flora. 3 Within each stratum, different sets of environmental factors separated exotic and native species. Nutrients, soil clay content and pH, adjacent land use and canopy composition were the most frequently identified factors affecting species, but individual species showed highly individualistic responses to the sets of environmental variables, often responding in opposite ways to the same factor. 4 Overall invasion increased with decreasing area but only when sites &gt; 100 ha were included. Unexpectedly, invasion decreased with increasing proportions of industrial/commercial adjacent land use. 5 The hypotheses were only partially supported; invasion does not increase in a simple way with increasing human presence and disturbance. 6 Synthesis and applications. The results suggest that a suite of environmental conditions can be identified that are associated with invasion into urban wetlands, which can be widely used for assessment and management. However, a comprehensive ecosystem approach is needed that places the remediation of physical alterations from urbanization within a landscape context. Specifically, sediment, inputs and hydrologic changes need to be related to adjoining urban land use and to the overlapping requirements of individual native and exotic species.","container-title":"Journal of Applied Ecology","DOI":"10.1111/j.1365-2664.2008.01476.x","ISSN":"1365-2664","issue":"4","language":"en","license":"© 2008 The Author. Journal compilation © 2008 British Ecological Society","page":"1160-1169","source":"Wiley Online Library","title":"Exotic invasive species in urban wetlands: environmental correlates and implications for wetland management","title-short":"Exotic invasive species in urban wetlands","URL":"https://besjournals.onlinelibrary.wiley.com/doi/abs/10.1111/j.1365-2664.2008.01476.x","volume":"45","author":[{"family":"Ehrenfeld","given":"Joan G."}],"accessed":{"date-parts":[["2019",9,15]]},"issued":{"date-parts":[["2008"]]}}}],"schema":"https://github.com/citation-style-language/schema/raw/master/csl-citation.json"} </w:instrText>
      </w:r>
      <w:r w:rsidR="18794F6F" w:rsidRPr="5575EBFC">
        <w:rPr>
          <w:lang w:val="en-GB"/>
        </w:rPr>
        <w:fldChar w:fldCharType="separate"/>
      </w:r>
      <w:r w:rsidR="6B5F9B9E">
        <w:t>(Ehrenfeld, 2008)</w:t>
      </w:r>
      <w:r w:rsidR="18794F6F" w:rsidRPr="5575EBFC">
        <w:rPr>
          <w:lang w:val="en-GB"/>
        </w:rPr>
        <w:fldChar w:fldCharType="end"/>
      </w:r>
      <w:r w:rsidRPr="5575EBFC">
        <w:rPr>
          <w:lang w:val="en-GB"/>
        </w:rPr>
        <w:t>.</w:t>
      </w:r>
    </w:p>
    <w:p w14:paraId="4A8AF5FD" w14:textId="6D9DDCE5" w:rsidR="00D364EF" w:rsidRPr="00DA249F" w:rsidRDefault="5E1773DB" w:rsidP="00FC1547">
      <w:pPr>
        <w:rPr>
          <w:lang w:val="en-GB"/>
        </w:rPr>
      </w:pPr>
      <w:r w:rsidRPr="5575EBFC">
        <w:rPr>
          <w:lang w:val="en-GB"/>
        </w:rPr>
        <w:t xml:space="preserve">Human population density can be used as a proxy to better understand the role of various human activities across </w:t>
      </w:r>
      <w:r w:rsidR="0B63035E" w:rsidRPr="5575EBFC">
        <w:rPr>
          <w:lang w:val="en-GB"/>
        </w:rPr>
        <w:t xml:space="preserve">stages of the biological </w:t>
      </w:r>
      <w:r w:rsidRPr="5575EBFC">
        <w:rPr>
          <w:lang w:val="en-GB"/>
        </w:rPr>
        <w:t xml:space="preserve">invasion </w:t>
      </w:r>
      <w:r w:rsidR="0B63035E" w:rsidRPr="5575EBFC">
        <w:rPr>
          <w:lang w:val="en-GB"/>
        </w:rPr>
        <w:t>process</w:t>
      </w:r>
      <w:r w:rsidRPr="5575EBFC">
        <w:rPr>
          <w:lang w:val="en-GB"/>
        </w:rPr>
        <w:t xml:space="preserve">, and has been shown to facilitate both introduction </w:t>
      </w:r>
      <w:r w:rsidR="009011D6" w:rsidRPr="5575EBFC">
        <w:rPr>
          <w:lang w:val="en-GB"/>
        </w:rPr>
        <w:fldChar w:fldCharType="begin"/>
      </w:r>
      <w:r w:rsidR="00331A79">
        <w:rPr>
          <w:lang w:val="en-GB"/>
        </w:rPr>
        <w:instrText xml:space="preserve"> ADDIN ZOTERO_ITEM CSL_CITATION {"citationID":"TMnNsmcA","properties":{"formattedCitation":"(Gallardo &amp; Aldridge, 2013; Py\\uc0\\u353{}ek, Jarosik, et al., 2010)","plainCitation":"(Gallardo &amp; Aldridge, 2013; Pyšek, Jarosik, et al., 2010)","dontUpdate":true,"noteIndex":0},"citationItems":[{"id":29029,"uris":["http://zotero.org/groups/2352922/items/VMCFYKNM"],"itemData":{"id":29029,"type":"article-journal","abstract":"The accelerating rates of international trade, travel, and transport in the latter half of the twentieth century have led to the progressive mixing of biota from across the world and the number of species introduced to new regions continues to increase. The importance of biogeographic, climatic, economic, and demographic factors as drivers of this trend is increasingly being realized but as yet there is no consensus regarding their relative importance. Whereas little may be done to mitigate the effects of geography and climate on invasions, a wider range of options may exist to moderate the impacts of economic and demographic drivers. Here we use the most recent data available from Europe to partition between macroecological, economic, and demographic variables the variation in alien species richness of bryophytes, fungi, vascular plants, terrestrial insects, aquatic invertebrates, fish, amphibians, reptiles, birds, and mammals. Only national wealth and human population density were statistically significant predictors in the majority of models when analyzed jointly with climate, geography, and land cover. The economic and demographic variables reflect the intensity of human activities and integrate the effect of factors that directly determine the outcome of invasion such as propagule pressure, pathways of introduction, eutrophication, and the intensity of anthropogenic disturbance. The strong influence of economic and demographic variables on the levels of invasion by alien species demonstrates that future solutions to the problem of biological invasions at a national scale lie in mitigating the negative environmental consequences of human activities that generate wealth and by promoting more sustainable population growth.","container-title":"Proceedings of the National Academy of Sciences","DOI":"10.1073/pnas.1002314107","ISSN":"0027-8424","issue":"27","journalAbbreviation":"Proceedings of the National Academy of Sciences","language":"en","note":"WOS:000279572100023","page":"12157-12162","title":"Disentangling the role of environmental and human pressures on biological invasions across Europe","URL":"http://www.pnas.org/content/107/27/12157.abstract","volume":"107","author":[{"family":"Pyšek","given":"Petr"},{"family":"Jarosik","given":"Vojtech"},{"family":"Hulme","given":"Philip E."},{"family":"Kühn","given":"Ingolf"},{"family":"Wild","given":"Jan"},{"family":"Arianoutsou","given":"Margarita"},{"family":"Bacher","given":"Sven"},{"family":"Chiron","given":"Francois"},{"family":"Didžiulis","given":"Viktoras"},{"family":"Essl","given":"Franz"},{"family":"Genovesi","given":"Piero"},{"family":"Gherardi","given":"Francesca"},{"family":"Hejda","given":"Martin"},{"family":"Kark","given":"Salit"},{"family":"Lambdon","given":"Philip W."},{"family":"Desprez-Loustau","given":"Marie-Laure"},{"family":"Nentwig","given":"Wolfgang"},{"family":"Pergl","given":"Jan"},{"family":"Poboljšaj","given":"Katja"},{"family":"Rabitsch","given":"Wolfgang"},{"family":"Roques","given":"Alain"},{"family":"Roy","given":"David B."},{"family":"Shirley","given":"Susan"},{"family":"Solarz","given":"Wojciech"},{"family":"Vilà","given":"Montserrat"},{"family":"Winter","given":"Marten"}],"issued":{"date-parts":[["2010",7,6]]}}},{"id":29372,"uris":["http://zotero.org/groups/2352922/items/EJA5SJKC"],"itemData":{"id":29372,"type":"article-journal","abstract":"Aquatic invasive species are a growing concern to environmental managers because of their diverse impacts on aquatic biodiversity and high eradication costs, necessitating effective management policies. In this study, we evaluate the ability of environmental and socio-economic factors to predict the risk of invasion in Great Britain and Ireland of 12 potential aquatic invaders covering all major aquatic groups. Despite their potential to inform risk assessments, this is the first time socio-economic factors related to propagule pressure have been specifically integrated in distribution modelling. Species distribution models (SDM, MaxEnt algorithm) were calibrated with a set of environmental factors (e.g. bioclimatic, geographical and geological) and integrated with socio-economic (e.g. human influence index, population density, closeness to ports) predictors. The inclusion of socio-economic factors in SDM did not affect accuracy scores (AUC already &gt;0·90), but their effects were more pronounced in spatial predictions, resulting in up to a sixfold amplification of the area predicted suitable for each species. Despite the inclusion of potential surrogates of water chemistry (e.g. geology) and propagule pressure (e.g. population density), temperature-related variables were most important predictors of aquatic species' distributions. According to SDM, the environmental suitability for a suite of invaders belonging to different taxonomic groups and regions of origin is greatest in east and south-east England and decreases towards the north and west. Multiple invasions in this region are of special concern, as species are known to modify their habitat facilitating subsequent invasions, thereby potentially exacerbating their impacts. Major management regions to be prioritized in monitoring programmes include the Humber, Thames and Anglian River Basin Districts. Species of special concern include a mysid (Hemimysis anomala), a gammarid (Dikerogammarus villosus), a plant (Ludwigia grandiflora) and two crayfishes (Procambarus clarkii and P. fallax). Synthesis and Applications. The inclusion of socio-economic factors in species distribution models has the potential to improve predictions of areas under a highest risk of multiple invasions and to help disentangle the complex interplay between biological invasions and global environmental and socio-economic processes. Such understanding is pivotal to prioritize limited resources for the optimum prevention and control of biological invasions.","container-title":"Journal of Applied Ecology","DOI":"10.1111/1365-2664.12079","ISSN":"1365-2664","issue":"3","journalAbbreviation":"J Appl Ecol","language":"en","license":"© 2013 The Authors. Journal of Applied Ecology © 2013 British Ecological Society","page":"757-766","source":"Wiley Online Library","title":"The ‘dirty dozen’: socio-economic factors amplify the invasion potential of 12 high-risk aquatic invasive species in Great Britain and Ireland","title-short":"The ‘dirty dozen’","URL":"https://besjournals.onlinelibrary.wiley.com/doi/abs/10.1111/1365-2664.12079","volume":"50","author":[{"family":"Gallardo","given":"Belinda"},{"family":"Aldridge","given":"David C."}],"accessed":{"date-parts":[["2019",10,24]]},"issued":{"date-parts":[["2013"]]}}}],"schema":"https://github.com/citation-style-language/schema/raw/master/csl-citation.json"} </w:instrText>
      </w:r>
      <w:r w:rsidR="009011D6" w:rsidRPr="5575EBFC">
        <w:rPr>
          <w:lang w:val="en-GB"/>
        </w:rPr>
        <w:fldChar w:fldCharType="separate"/>
      </w:r>
      <w:r w:rsidRPr="5575EBFC">
        <w:rPr>
          <w:lang w:val="en-GB"/>
        </w:rPr>
        <w:t>(Gallardo &amp; Aldridge, 2013; Pyšek et al., 2010)</w:t>
      </w:r>
      <w:r w:rsidR="009011D6" w:rsidRPr="5575EBFC">
        <w:rPr>
          <w:lang w:val="en-GB"/>
        </w:rPr>
        <w:fldChar w:fldCharType="end"/>
      </w:r>
      <w:r w:rsidRPr="5575EBFC">
        <w:rPr>
          <w:lang w:val="en-GB"/>
        </w:rPr>
        <w:t xml:space="preserve"> and establishment </w:t>
      </w:r>
      <w:r w:rsidR="009011D6" w:rsidRPr="5575EBFC">
        <w:rPr>
          <w:lang w:val="en-GB"/>
        </w:rPr>
        <w:fldChar w:fldCharType="begin"/>
      </w:r>
      <w:r w:rsidR="00331A79">
        <w:rPr>
          <w:lang w:val="en-GB"/>
        </w:rPr>
        <w:instrText xml:space="preserve"> ADDIN ZOTERO_ITEM CSL_CITATION {"citationID":"H3FmUGlH","properties":{"formattedCitation":"(Dawson et al., 2017)","plainCitation":"(Dawson et al., 2017)","noteIndex":0},"citationItems":[{"id":28835,"uris":["http://zotero.org/groups/2352922/items/NJYZEFXF"],"itemData":{"id":28835,"type":"article-journal","abstract":"Human-mediated transport beyond biogeographic barriers has led to the introduction and establishment of alien species in new regions worldwide. However, we lack a global picture of established alien species richness for multiple taxonomic groups. Here, we assess global patterns and potential drivers of established alien species richness across eight taxonomic groups (amphibians, ants, birds, freshwater fishes, mammals, vascular plants, reptiles and spiders) for 186 islands and 423 mainland regions. Hotspots of established alien species richness are predominantly island and coastal mainland regions. Regions with greater gross domestic product per capita, human population density, and area have higher established alien richness, with strongest effects emerging for islands. Ants and reptiles, birds and mammals, and vascular plants and spiders form pairs of taxonomic groups with the highest spatial congruence in established alien richness, but drivers explaining richness differ between the taxa in each pair. Across all taxonomic groups, our results highlight the need to prioritize prevention of further alien species introductions to island and coastal mainland regions globally.","container-title":"Nature Ecology &amp; Evolution","DOI":"10.1038/s41559-017-0186","ISSN":"2397-334X","issue":"7","journalAbbreviation":"Nat Ecol Evol","language":"en","license":"2017 Nature Publishing Group","page":"0186","source":"www.nature.com","title":"Global hotspots and correlates of alien species richness across taxonomic groups","URL":"https://doi.org/10.1038/s41559-017-0186","volume":"1","author":[{"family":"Dawson","given":"Wayne"},{"family":"Moser","given":"Dietmar"},{"family":"Kleunen","given":"Mark","non-dropping-particle":"van"},{"family":"Kreft","given":"Holger"},{"family":"Pergl","given":"Jan"},{"family":"Pyšek","given":"Petr"},{"family":"Weigelt","given":"Patrick"},{"family":"Winter","given":"Marten"},{"family":"Lenzner","given":"Bernd"},{"family":"Blackburn","given":"Tim M."},{"family":"Dyer","given":"Ellie E."},{"family":"Cassey","given":"Phillip"},{"family":"Scrivens","given":"Sally L."},{"family":"Economo","given":"Evan P."},{"family":"Guénard","given":"Benoit"},{"family":"Capinha","given":"César"},{"family":"Seebens","given":"Hanno"},{"family":"García-Díaz","given":"Pablo"},{"family":"Nentwig","given":"Wolfgang"},{"family":"García-Berthou","given":"Emili"},{"family":"Casal","given":"Christine"},{"family":"Mandrak","given":"Nicholas E."},{"family":"Fuller","given":"Pam"},{"family":"Meyer","given":"Carsten"},{"family":"Essl","given":"Franz"}],"accessed":{"date-parts":[["2019",10,24]]},"issued":{"date-parts":[["2017",7]]}}}],"schema":"https://github.com/citation-style-language/schema/raw/master/csl-citation.json"} </w:instrText>
      </w:r>
      <w:r w:rsidR="009011D6" w:rsidRPr="5575EBFC">
        <w:rPr>
          <w:lang w:val="en-GB"/>
        </w:rPr>
        <w:fldChar w:fldCharType="separate"/>
      </w:r>
      <w:r w:rsidR="6B5F9B9E">
        <w:t>(Dawson et al., 2017)</w:t>
      </w:r>
      <w:r w:rsidR="009011D6" w:rsidRPr="5575EBFC">
        <w:rPr>
          <w:lang w:val="en-GB"/>
        </w:rPr>
        <w:fldChar w:fldCharType="end"/>
      </w:r>
      <w:r w:rsidRPr="5575EBFC">
        <w:rPr>
          <w:lang w:val="en-GB"/>
        </w:rPr>
        <w:t>. This may be related to h</w:t>
      </w:r>
      <w:r w:rsidR="3D04D128" w:rsidRPr="5575EBFC">
        <w:rPr>
          <w:lang w:val="en-GB"/>
        </w:rPr>
        <w:t xml:space="preserve">uman population density </w:t>
      </w:r>
      <w:r w:rsidRPr="5575EBFC">
        <w:rPr>
          <w:lang w:val="en-GB"/>
        </w:rPr>
        <w:t xml:space="preserve">acting as a </w:t>
      </w:r>
      <w:r w:rsidR="3D04D128" w:rsidRPr="5575EBFC">
        <w:rPr>
          <w:lang w:val="en-GB"/>
        </w:rPr>
        <w:t>proxy</w:t>
      </w:r>
      <w:r w:rsidR="15287F20" w:rsidRPr="5575EBFC">
        <w:rPr>
          <w:lang w:val="en-GB"/>
        </w:rPr>
        <w:t xml:space="preserve"> </w:t>
      </w:r>
      <w:r w:rsidR="3D04D128" w:rsidRPr="5575EBFC">
        <w:rPr>
          <w:lang w:val="en-GB"/>
        </w:rPr>
        <w:t xml:space="preserve">for propagule pressure </w:t>
      </w:r>
      <w:r w:rsidR="53B77D03" w:rsidRPr="5575EBFC">
        <w:rPr>
          <w:lang w:val="en-GB"/>
        </w:rPr>
        <w:t>(</w:t>
      </w:r>
      <w:r w:rsidR="00E23B69">
        <w:rPr>
          <w:b/>
          <w:bCs/>
          <w:lang w:val="en-GB" w:eastAsia="en-NZ"/>
        </w:rPr>
        <w:t>Glossary</w:t>
      </w:r>
      <w:r w:rsidR="53B77D03" w:rsidRPr="5575EBFC">
        <w:rPr>
          <w:lang w:val="en-GB" w:eastAsia="en-NZ"/>
        </w:rPr>
        <w:t>)</w:t>
      </w:r>
      <w:r w:rsidR="53B77D03" w:rsidRPr="5575EBFC">
        <w:rPr>
          <w:lang w:val="en-GB"/>
        </w:rPr>
        <w:t xml:space="preserve"> </w:t>
      </w:r>
      <w:r w:rsidR="3D04D128" w:rsidRPr="5575EBFC">
        <w:rPr>
          <w:lang w:val="en-GB"/>
        </w:rPr>
        <w:t>and the intensity of anthropogenic disturbance (</w:t>
      </w:r>
      <w:r w:rsidR="3E3D35C9" w:rsidRPr="5575EBFC">
        <w:rPr>
          <w:b/>
          <w:bCs/>
          <w:lang w:val="en-GB"/>
        </w:rPr>
        <w:t xml:space="preserve">section </w:t>
      </w:r>
      <w:r w:rsidR="3D04D128" w:rsidRPr="5575EBFC">
        <w:rPr>
          <w:b/>
          <w:bCs/>
          <w:lang w:val="en-GB"/>
        </w:rPr>
        <w:t>3.3.1</w:t>
      </w:r>
      <w:r w:rsidR="3D04D128" w:rsidRPr="5575EBFC">
        <w:rPr>
          <w:lang w:val="en-GB"/>
        </w:rPr>
        <w:t xml:space="preserve">), </w:t>
      </w:r>
      <w:r w:rsidR="0963B62C" w:rsidRPr="5575EBFC">
        <w:rPr>
          <w:lang w:val="en-GB"/>
        </w:rPr>
        <w:t xml:space="preserve">two </w:t>
      </w:r>
      <w:r w:rsidR="3D04D128" w:rsidRPr="5575EBFC">
        <w:rPr>
          <w:lang w:val="en-GB"/>
        </w:rPr>
        <w:t xml:space="preserve">mechanisms known to facilitate the </w:t>
      </w:r>
      <w:r w:rsidRPr="5575EBFC">
        <w:rPr>
          <w:lang w:val="en-GB"/>
        </w:rPr>
        <w:t xml:space="preserve">introduction and establishment </w:t>
      </w:r>
      <w:r w:rsidR="3D04D128" w:rsidRPr="5575EBFC">
        <w:rPr>
          <w:lang w:val="en-GB"/>
        </w:rPr>
        <w:t>of alien species</w:t>
      </w:r>
      <w:r w:rsidRPr="5575EBFC">
        <w:rPr>
          <w:lang w:val="en-GB"/>
        </w:rPr>
        <w:t>, respectively</w:t>
      </w:r>
      <w:r w:rsidR="3D04D128" w:rsidRPr="5575EBFC">
        <w:rPr>
          <w:lang w:val="en-GB"/>
        </w:rPr>
        <w:t xml:space="preserve"> </w:t>
      </w:r>
      <w:r w:rsidR="009011D6" w:rsidRPr="5575EBFC">
        <w:rPr>
          <w:lang w:val="en-GB"/>
        </w:rPr>
        <w:fldChar w:fldCharType="begin"/>
      </w:r>
      <w:r w:rsidR="00331A79">
        <w:rPr>
          <w:lang w:val="en-GB"/>
        </w:rPr>
        <w:instrText xml:space="preserve"> ADDIN ZOTERO_ITEM CSL_CITATION {"citationID":"vIgwXe7s","properties":{"formattedCitation":"(Gallardo &amp; Aldridge, 2013; Roura-Pascual et al., 2011)","plainCitation":"(Gallardo &amp; Aldridge, 2013; Roura-Pascual et al., 2011)","noteIndex":0},"citationItems":[{"id":29372,"uris":["http://zotero.org/groups/2352922/items/EJA5SJKC"],"itemData":{"id":29372,"type":"article-journal","abstract":"Aquatic invasive species are a growing concern to environmental managers because of their diverse impacts on aquatic biodiversity and high eradication costs, necessitating effective management policies. In this study, we evaluate the ability of environmental and socio-economic factors to predict the risk of invasion in Great Britain and Ireland of 12 potential aquatic invaders covering all major aquatic groups. Despite their potential to inform risk assessments, this is the first time socio-economic factors related to propagule pressure have been specifically integrated in distribution modelling. Species distribution models (SDM, MaxEnt algorithm) were calibrated with a set of environmental factors (e.g. bioclimatic, geographical and geological) and integrated with socio-economic (e.g. human influence index, population density, closeness to ports) predictors. The inclusion of socio-economic factors in SDM did not affect accuracy scores (AUC already &gt;0·90), but their effects were more pronounced in spatial predictions, resulting in up to a sixfold amplification of the area predicted suitable for each species. Despite the inclusion of potential surrogates of water chemistry (e.g. geology) and propagule pressure (e.g. population density), temperature-related variables were most important predictors of aquatic species' distributions. According to SDM, the environmental suitability for a suite of invaders belonging to different taxonomic groups and regions of origin is greatest in east and south-east England and decreases towards the north and west. Multiple invasions in this region are of special concern, as species are known to modify their habitat facilitating subsequent invasions, thereby potentially exacerbating their impacts. Major management regions to be prioritized in monitoring programmes include the Humber, Thames and Anglian River Basin Districts. Species of special concern include a mysid (Hemimysis anomala), a gammarid (Dikerogammarus villosus), a plant (Ludwigia grandiflora) and two crayfishes (Procambarus clarkii and P. fallax). Synthesis and Applications. The inclusion of socio-economic factors in species distribution models has the potential to improve predictions of areas under a highest risk of multiple invasions and to help disentangle the complex interplay between biological invasions and global environmental and socio-economic processes. Such understanding is pivotal to prioritize limited resources for the optimum prevention and control of biological invasions.","container-title":"Journal of Applied Ecology","DOI":"10.1111/1365-2664.12079","ISSN":"1365-2664","issue":"3","journalAbbreviation":"J Appl Ecol","language":"en","license":"© 2013 The Authors. Journal of Applied Ecology © 2013 British Ecological Society","page":"757-766","source":"Wiley Online Library","title":"The ‘dirty dozen’: socio-economic factors amplify the invasion potential of 12 high-risk aquatic invasive species in Great Britain and Ireland","title-short":"The ‘dirty dozen’","URL":"https://besjournals.onlinelibrary.wiley.com/doi/abs/10.1111/1365-2664.12079","volume":"50","author":[{"family":"Gallardo","given":"Belinda"},{"family":"Aldridge","given":"David C."}],"accessed":{"date-parts":[["2019",10,24]]},"issued":{"date-parts":[["2013"]]}}},{"id":10453,"uris":["http://zotero.org/groups/2352922/items/BNSYVMCC"],"itemData":{"id":10453,"type":"article-journal","abstract":"Because invasive species threaten the integrity of natural ecosystems, a major goal in ecology is to develop predictive models to determine which species may become widespread and where they may invade. Indeed, considerable progress has been made in understanding the factors that influence the local pattern of spread for specific invaders and the factors that are correlated with the number of introduced species that have become established in a given region. However, few studies have examined the relative importance of multiple drivers of invasion success for widespread species at global scales. Here, we use a dataset of &gt;5,000 presence/absence records to examine the interplay between climatic suitability, biotic resistance by native taxa, human-aided dispersal, and human modification of habitats, in shaping the distribution of one of the world's most notorious invasive species, the Argentine ant (Linepithema humile). Climatic suitability and the extent of human modification of habitats are primarily responsible for the distribution of this global invader. However, we also found some evidence for biotic resistance by native communities. Somewhat surprisingly, and despite the often cited importance of propagule pressure as a crucial driver of invasions, metrics of the magnitude of international traded commodities among countries were not related to global distribution patterns. Together, our analyses on the global-scale distribution of this invasive species provide strong evidence for the interplay of biotic and abiotic determinants of spread and also highlight the challenges of limiting the spread and subsequent impact of highly invasive species.","container-title":"Proceedings of the National Academy of Sciences of the United States of America","DOI":"10.1073/pnas.1011723108","ISSN":"0027-8424","issue":"1","note":"WOS:000285915000043","page":"220-225","title":"Relative roles of climatic suitability and anthropogenic influence in determining the pattern of spread in a global invader","URL":"http://www.pnas.org/cgi/content/abstract/108/1/220","volume":"108","author":[{"family":"Roura-Pascual","given":"Núria"},{"family":"Hui","given":"Cang"},{"family":"Ikeda","given":"Takayoshi"},{"family":"Leday","given":"Gwenael"},{"family":"Richardson","given":"David M."},{"family":"Carpintero","given":"Soledad"},{"family":"Espadaler","given":"Xavier"},{"family":"Gomez","given":"Crisanto"},{"family":"Guenard","given":"Benoit"},{"family":"Hartley","given":"Stephen"},{"family":"Krushelnycky","given":"Paul"},{"family":"Lester","given":"Philip J."},{"family":"McGeoch","given":"Melodie A."},{"family":"Menke","given":"Sean B."},{"family":"Pedersen","given":"Jes S."},{"family":"Pitt","given":"Joel P. W."},{"family":"Reyes","given":"Joaquin"},{"family":"Sanders","given":"Nathan J."},{"family":"Suarez","given":"Andrew V."},{"family":"Touyama","given":"Yoshifumi"},{"family":"Ward","given":"Darren"},{"family":"Ward","given":"Philip S."},{"family":"Worner","given":"Sue P."}],"issued":{"date-parts":[["2011",1,4]]}}}],"schema":"https://github.com/citation-style-language/schema/raw/master/csl-citation.json"} </w:instrText>
      </w:r>
      <w:r w:rsidR="009011D6" w:rsidRPr="5575EBFC">
        <w:rPr>
          <w:lang w:val="en-GB"/>
        </w:rPr>
        <w:fldChar w:fldCharType="separate"/>
      </w:r>
      <w:r w:rsidR="6B5F9B9E">
        <w:t>(Gallardo &amp; Aldridge, 2013; Roura-Pascual et al., 2011)</w:t>
      </w:r>
      <w:r w:rsidR="009011D6" w:rsidRPr="5575EBFC">
        <w:rPr>
          <w:lang w:val="en-GB"/>
        </w:rPr>
        <w:fldChar w:fldCharType="end"/>
      </w:r>
      <w:r w:rsidR="3D04D128" w:rsidRPr="5575EBFC">
        <w:rPr>
          <w:lang w:val="en-GB"/>
        </w:rPr>
        <w:t xml:space="preserve">. </w:t>
      </w:r>
      <w:r w:rsidRPr="5575EBFC">
        <w:rPr>
          <w:lang w:val="en-GB"/>
        </w:rPr>
        <w:t xml:space="preserve">For example, in Europe, the introduction of alien mammals </w:t>
      </w:r>
      <w:r w:rsidRPr="5575EBFC">
        <w:rPr>
          <w:rFonts w:eastAsia="Times New Roman"/>
          <w:lang w:val="en-GB"/>
        </w:rPr>
        <w:t xml:space="preserve">was significantly correlated </w:t>
      </w:r>
      <w:r w:rsidRPr="5575EBFC">
        <w:rPr>
          <w:lang w:val="en-GB"/>
        </w:rPr>
        <w:t xml:space="preserve">with human population density whereas establishment success was not </w:t>
      </w:r>
      <w:r w:rsidR="009011D6" w:rsidRPr="5575EBFC">
        <w:rPr>
          <w:lang w:val="en-GB"/>
        </w:rPr>
        <w:fldChar w:fldCharType="begin"/>
      </w:r>
      <w:r w:rsidR="00331A79">
        <w:rPr>
          <w:lang w:val="en-GB"/>
        </w:rPr>
        <w:instrText xml:space="preserve"> ADDIN ZOTERO_ITEM CSL_CITATION {"citationID":"HeAcMGxO","properties":{"formattedCitation":"(J. M. Jeschke &amp; Genovesi, 2011)","plainCitation":"(J. M. Jeschke &amp; Genovesi, 2011)","dontUpdate":true,"noteIndex":0},"citationItems":[{"id":29022,"uris":["http://zotero.org/groups/2352922/items/MZ2CNHCE"],"itemData":{"id":29022,"type":"article-journal","abstract":"What determines the number of alien species in a given region? ‘Native biodiversity’ and ‘human impact’ are typical answers to this question. Indeed, studies comparing different regions have frequently found positive relationships between number of alien species and measures of both native biodiversity (e.g. the number of native species) and human impact (e.g. human population). These relationships are typically explained by biotic acceptance or resistance, i.e. by influence of native biodiversity and human impact on the second step of the invasion process, establishment. The first step of the invasion process, introduction, has often been ignored. Here we investigate whether relationships between number of alien mammals and native biodiversity or human impact in 43 European countries are mainly shaped by differences in number of introduced mammals or establishment success. Our results suggest that correlation between number of native and established mammals is spurious, as it is simply explainable by the fact that both quantities are linked to country area. We also demonstrate that countries with higher human impact host more alien mammals than other countries because they received more introductions than other countries. Differences in number of alien mammals cannot be explained by differences in establishment success. Our findings highlight importance of human activities and question, at least for mammals in Europe, importance of biotic acceptance and resistance.","container-title":"Oikos","DOI":"10.1111/j.1600-0706.2010.18621.x","ISSN":"1600-0706","issue":"1","language":"en","note":"_eprint: https://onlinelibrary.wiley.com/doi/pdf/10.1111/j.1600-0706.2010.18621.x","page":"57-64","source":"Wiley Online Library","title":"Do biodiversity and human impact influence the introduction or establishment of alien mammals?","URL":"https://onlinelibrary.wiley.com/doi/abs/10.1111/j.1600-0706.2010.18621.x","volume":"120","author":[{"family":"Jeschke","given":"Jonathan M."},{"family":"Genovesi","given":"Piero"}],"accessed":{"date-parts":[["2020",5,15]]},"issued":{"date-parts":[["2011"]]}}}],"schema":"https://github.com/citation-style-language/schema/raw/master/csl-citation.json"} </w:instrText>
      </w:r>
      <w:r w:rsidR="009011D6" w:rsidRPr="5575EBFC">
        <w:rPr>
          <w:lang w:val="en-GB"/>
        </w:rPr>
        <w:fldChar w:fldCharType="separate"/>
      </w:r>
      <w:r w:rsidRPr="5575EBFC">
        <w:rPr>
          <w:lang w:val="en-GB"/>
        </w:rPr>
        <w:t>(Jeschke &amp; Genovesi, 2011)</w:t>
      </w:r>
      <w:r w:rsidR="009011D6" w:rsidRPr="5575EBFC">
        <w:rPr>
          <w:lang w:val="en-GB"/>
        </w:rPr>
        <w:fldChar w:fldCharType="end"/>
      </w:r>
      <w:r w:rsidRPr="5575EBFC">
        <w:rPr>
          <w:lang w:val="en-GB"/>
        </w:rPr>
        <w:t>.</w:t>
      </w:r>
      <w:r w:rsidR="23BF2FFE" w:rsidRPr="5575EBFC">
        <w:rPr>
          <w:lang w:val="en-GB"/>
        </w:rPr>
        <w:t xml:space="preserve"> </w:t>
      </w:r>
      <w:r w:rsidRPr="5575EBFC">
        <w:rPr>
          <w:lang w:val="en-GB"/>
        </w:rPr>
        <w:t>A</w:t>
      </w:r>
      <w:r w:rsidR="3D04D128" w:rsidRPr="5575EBFC">
        <w:rPr>
          <w:lang w:val="en-GB"/>
        </w:rPr>
        <w:t xml:space="preserve">t the global scale, other </w:t>
      </w:r>
      <w:r w:rsidR="53C14CD9" w:rsidRPr="5575EBFC">
        <w:rPr>
          <w:lang w:val="en-GB"/>
        </w:rPr>
        <w:t>socio</w:t>
      </w:r>
      <w:r w:rsidR="7F20CC1A" w:rsidRPr="5575EBFC">
        <w:rPr>
          <w:lang w:val="en-GB"/>
        </w:rPr>
        <w:t>-</w:t>
      </w:r>
      <w:r w:rsidR="53C14CD9" w:rsidRPr="5575EBFC">
        <w:rPr>
          <w:lang w:val="en-GB"/>
        </w:rPr>
        <w:t>economic</w:t>
      </w:r>
      <w:r w:rsidR="3D04D128" w:rsidRPr="5575EBFC">
        <w:rPr>
          <w:lang w:val="en-GB"/>
        </w:rPr>
        <w:t xml:space="preserve"> factors</w:t>
      </w:r>
      <w:r w:rsidR="7F20CC1A" w:rsidRPr="5575EBFC">
        <w:rPr>
          <w:lang w:val="en-GB"/>
        </w:rPr>
        <w:t>,</w:t>
      </w:r>
      <w:r w:rsidR="3D04D128" w:rsidRPr="5575EBFC">
        <w:rPr>
          <w:lang w:val="en-GB"/>
        </w:rPr>
        <w:t xml:space="preserve"> such as per capita </w:t>
      </w:r>
      <w:r w:rsidR="6959B7EE" w:rsidRPr="5575EBFC">
        <w:rPr>
          <w:lang w:val="en-GB"/>
        </w:rPr>
        <w:t>GDP</w:t>
      </w:r>
      <w:r w:rsidR="3D04D128" w:rsidRPr="5575EBFC">
        <w:rPr>
          <w:lang w:val="en-GB"/>
        </w:rPr>
        <w:t xml:space="preserve"> and proportion of agricultural land</w:t>
      </w:r>
      <w:r w:rsidR="7F20CC1A" w:rsidRPr="5575EBFC">
        <w:rPr>
          <w:lang w:val="en-GB"/>
        </w:rPr>
        <w:t>,</w:t>
      </w:r>
      <w:r w:rsidR="3D04D128" w:rsidRPr="5575EBFC">
        <w:rPr>
          <w:lang w:val="en-GB"/>
        </w:rPr>
        <w:t xml:space="preserve"> appear </w:t>
      </w:r>
      <w:r w:rsidR="619AFEB6" w:rsidRPr="5575EBFC">
        <w:rPr>
          <w:lang w:val="en-GB"/>
        </w:rPr>
        <w:t>to be more</w:t>
      </w:r>
      <w:r w:rsidR="36A8B473" w:rsidRPr="5575EBFC">
        <w:rPr>
          <w:lang w:val="en-GB"/>
        </w:rPr>
        <w:t xml:space="preserve"> </w:t>
      </w:r>
      <w:r w:rsidR="3D04D128" w:rsidRPr="5575EBFC">
        <w:rPr>
          <w:lang w:val="en-GB"/>
        </w:rPr>
        <w:t xml:space="preserve">important predictors </w:t>
      </w:r>
      <w:r w:rsidR="28E183A6" w:rsidRPr="5575EBFC">
        <w:rPr>
          <w:lang w:val="en-GB"/>
        </w:rPr>
        <w:t>of relative invasive alien species</w:t>
      </w:r>
      <w:r w:rsidR="5E911622" w:rsidRPr="5575EBFC">
        <w:rPr>
          <w:lang w:val="en-GB"/>
        </w:rPr>
        <w:t xml:space="preserve"> </w:t>
      </w:r>
      <w:r w:rsidR="28E183A6" w:rsidRPr="5575EBFC">
        <w:rPr>
          <w:lang w:val="en-GB"/>
        </w:rPr>
        <w:t xml:space="preserve">richness </w:t>
      </w:r>
      <w:r w:rsidR="3D04D128" w:rsidRPr="5575EBFC">
        <w:rPr>
          <w:lang w:val="en-GB"/>
        </w:rPr>
        <w:t xml:space="preserve">than population density across both islands and mainland regions </w:t>
      </w:r>
      <w:r w:rsidR="009011D6" w:rsidRPr="5575EBFC">
        <w:rPr>
          <w:lang w:val="en-GB"/>
        </w:rPr>
        <w:fldChar w:fldCharType="begin"/>
      </w:r>
      <w:r w:rsidR="00331A79">
        <w:rPr>
          <w:lang w:val="en-GB"/>
        </w:rPr>
        <w:instrText xml:space="preserve"> ADDIN ZOTERO_ITEM CSL_CITATION {"citationID":"Ph0EGbox","properties":{"formattedCitation":"(Essl et al., 2019; Westphal et al., 2008)","plainCitation":"(Essl et al., 2019; Westphal et al., 2008)","dontUpdate":true,"noteIndex":0},"citationItems":[{"id":32808,"uris":["http://zotero.org/groups/2352922/items/LLX26VZW"],"itemData":{"id":32808,"type":"article-journal","abstract":"Abstract\n            Biological invasions are a defining feature of the Anthropocene, but the factors that determine the spatially uneven distribution of alien plant species are still poorly understood. Here, we present the first global analysis of the effects of biogeographic factors, the physical environment and socio-economy on the richness of naturalized and invasive alien plants. We used generalized linear mixed-effects models and variation partitioning to disentangle the relative importance of individual factors, and, more broadly, of biogeography, physical environment and socio-economy. As measures of the magnitude of permanent anthropogenic additions to the regional species pool and of species with negative environmental impacts, we calculated the relative richness of naturalized (= RRN) and invasive (= RRI) alien plant species numbers adjusted for the number of native species in 838 terrestrial regions. Socio-economic factors (per-capita gross domestic product (GDP), population density, proportion of agricultural land) were more important in explaining RRI (~50 % of the explained variation) than RRN (~40 %). Warm-temperate and (sub)tropical regions have higher RRN than tropical or cooler regions. We found that socio-economic pressures are more relevant for invasive than for naturalized species richness. The expectation that the southern hemisphere is more invaded than the northern hemisphere was confirmed only for RRN on islands, but not for mainland regions nor for RRI. On average, islands have ~6-fold RRN, and &gt;3-fold RRI compared to mainland regions. Eighty-two islands (=26 % of all islands) harbour more naturalized alien than native plants. Our findings challenge the widely held expectation that socio-economic pressures are more relevant for plant naturalization than for invasive plants. To meet international biodiversity targets and halt the detrimental consequences of plant invasions, it is essential to disrupt the connection between socio-economic development and plant invasions by improving pathway management, early detection and rapid response.","container-title":"AoB PLANTS","DOI":"10.1093/aobpla/plz051","ISSN":"2041-2851","issue":"5","language":"en","page":"plz051","source":"DOI.org (Crossref)","title":"Drivers of the relative richness of naturalized and invasive plant species on Earth","URL":"https://academic.oup.com/aobpla/article/doi/10.1093/aobpla/plz051/5559683","volume":"11","author":[{"family":"Essl","given":"Franz"},{"family":"Dawson","given":"Wayne"},{"family":"Kreft","given":"Holger"},{"family":"Pergl","given":"Jan"},{"family":"Pyšek","given":"Petr"},{"family":"Van Kleunen","given":"Mark"},{"family":"Weigelt","given":"Patrick"},{"family":"Mang","given":"Thomas"},{"family":"Dullinger","given":"Stefan"},{"family":"Lenzner","given":"Bernd"},{"family":"Moser","given":"Dietmar"},{"family":"Maurel","given":"Noëlie"},{"family":"Seebens","given":"Hanno"},{"family":"Stein","given":"Anke"},{"family":"Weber","given":"Ewald"},{"family":"Chatelain","given":"Cyrille"},{"literal":"Inderjit"},{"family":"Genovesi","given":"Piero"},{"family":"Kartesz","given":"John"},{"family":"Morozova","given":"Olga"},{"family":"Nishino","given":"Misako"},{"family":"Nowak","given":"Pauline M"},{"family":"Pagad","given":"Shyama"},{"family":"Shu","given":"Wen-Sheng"},{"family":"Winter","given":"Marten"}],"editor":[{"family":"Burns","given":"Jean"}],"accessed":{"date-parts":[["2019",12,3]]},"issued":{"date-parts":[["2019",9,1]]}}},{"id":28951,"uris":["http://zotero.org/groups/2352922/items/DTXM7R2A"],"itemData":{"id":28951,"type":"article-journal","abstract":"Invasive alien species (IAS) exact large biodiversity and economic costs and are a significant component of human-induced, global environmental change. Previous studies looking at the variation in alien species across regions have been limited geographically or taxonomically or have not considered economics. We used a global invasive species database to regress IAS per-country on a suite of socioeconomic, ecological, and biogeographical variables. We varied the countries included in the regression tree analyses, in order to explore whether certain outliers were biasing the results, and in most of the cases, merchandise imports was the most important explanatory variable. The greater the degree of international trade, the higher the number of IAS. We also found a positive relationship between species richness and the number of invasives, in accord with other investigations at large spatial scales. Island status (overall), country area, latitude, continental position (New World versus Old World) or other measures of human disturbance (e.g., GDP per capita, population density) were not found to be important determinants of a country’s degree of biological invasion, contrary to previous studies. Our findings also provide support to the idea that more resources for combating IAS should be directed at the introduction stage and that novel trade instruments need to be explored to account for this environmental externality.","container-title":"Biological Invasions","DOI":"10.1007/s10530-007-9138-5","ISSN":"1573-1464","issue":"4","journalAbbreviation":"Biol Invasions","language":"en","page":"391-398","source":"Springer Link","title":"The link between international trade and the global distribution of invasive alien species","URL":"https://doi.org/10.1007/s10530-007-9138-5","volume":"10","author":[{"family":"Westphal","given":"Michael I."},{"family":"Browne","given":"Michael"},{"family":"MacKinnon","given":"Kathy"},{"family":"Noble","given":"Ian"}],"accessed":{"date-parts":[["2019",8,23]]},"issued":{"date-parts":[["2008",4,1]]}}}],"schema":"https://github.com/citation-style-language/schema/raw/master/csl-citation.json"} </w:instrText>
      </w:r>
      <w:r w:rsidR="009011D6" w:rsidRPr="5575EBFC">
        <w:rPr>
          <w:lang w:val="en-GB"/>
        </w:rPr>
        <w:fldChar w:fldCharType="separate"/>
      </w:r>
      <w:r w:rsidR="780E1C9B" w:rsidRPr="5575EBFC">
        <w:rPr>
          <w:lang w:val="en-GB"/>
        </w:rPr>
        <w:t>(Essl et al., 2019; Westphal et al., 2008)</w:t>
      </w:r>
      <w:r w:rsidR="009011D6" w:rsidRPr="5575EBFC">
        <w:rPr>
          <w:lang w:val="en-GB"/>
        </w:rPr>
        <w:fldChar w:fldCharType="end"/>
      </w:r>
      <w:r w:rsidR="3D04D128" w:rsidRPr="5575EBFC">
        <w:rPr>
          <w:lang w:val="en-GB"/>
        </w:rPr>
        <w:t xml:space="preserve">. Essl et al. </w:t>
      </w:r>
      <w:r w:rsidR="009011D6" w:rsidRPr="5575EBFC">
        <w:rPr>
          <w:lang w:val="en-GB"/>
        </w:rPr>
        <w:fldChar w:fldCharType="begin"/>
      </w:r>
      <w:r w:rsidR="00331A79">
        <w:rPr>
          <w:lang w:val="en-GB"/>
        </w:rPr>
        <w:instrText xml:space="preserve"> ADDIN ZOTERO_ITEM CSL_CITATION {"citationID":"X7KdFDiE","properties":{"formattedCitation":"(2019)","plainCitation":"(2019)","noteIndex":0},"citationItems":[{"id":32808,"uris":["http://zotero.org/groups/2352922/items/LLX26VZW"],"itemData":{"id":32808,"type":"article-journal","abstract":"Abstract\n            Biological invasions are a defining feature of the Anthropocene, but the factors that determine the spatially uneven distribution of alien plant species are still poorly understood. Here, we present the first global analysis of the effects of biogeographic factors, the physical environment and socio-economy on the richness of naturalized and invasive alien plants. We used generalized linear mixed-effects models and variation partitioning to disentangle the relative importance of individual factors, and, more broadly, of biogeography, physical environment and socio-economy. As measures of the magnitude of permanent anthropogenic additions to the regional species pool and of species with negative environmental impacts, we calculated the relative richness of naturalized (= RRN) and invasive (= RRI) alien plant species numbers adjusted for the number of native species in 838 terrestrial regions. Socio-economic factors (per-capita gross domestic product (GDP), population density, proportion of agricultural land) were more important in explaining RRI (~50 % of the explained variation) than RRN (~40 %). Warm-temperate and (sub)tropical regions have higher RRN than tropical or cooler regions. We found that socio-economic pressures are more relevant for invasive than for naturalized species richness. The expectation that the southern hemisphere is more invaded than the northern hemisphere was confirmed only for RRN on islands, but not for mainland regions nor for RRI. On average, islands have ~6-fold RRN, and &gt;3-fold RRI compared to mainland regions. Eighty-two islands (=26 % of all islands) harbour more naturalized alien than native plants. Our findings challenge the widely held expectation that socio-economic pressures are more relevant for plant naturalization than for invasive plants. To meet international biodiversity targets and halt the detrimental consequences of plant invasions, it is essential to disrupt the connection between socio-economic development and plant invasions by improving pathway management, early detection and rapid response.","container-title":"AoB PLANTS","DOI":"10.1093/aobpla/plz051","ISSN":"2041-2851","issue":"5","language":"en","page":"plz051","source":"DOI.org (Crossref)","title":"Drivers of the relative richness of naturalized and invasive plant species on Earth","URL":"https://academic.oup.com/aobpla/article/doi/10.1093/aobpla/plz051/5559683","volume":"11","author":[{"family":"Essl","given":"Franz"},{"family":"Dawson","given":"Wayne"},{"family":"Kreft","given":"Holger"},{"family":"Pergl","given":"Jan"},{"family":"Pyšek","given":"Petr"},{"family":"Van Kleunen","given":"Mark"},{"family":"Weigelt","given":"Patrick"},{"family":"Mang","given":"Thomas"},{"family":"Dullinger","given":"Stefan"},{"family":"Lenzner","given":"Bernd"},{"family":"Moser","given":"Dietmar"},{"family":"Maurel","given":"Noëlie"},{"family":"Seebens","given":"Hanno"},{"family":"Stein","given":"Anke"},{"family":"Weber","given":"Ewald"},{"family":"Chatelain","given":"Cyrille"},{"literal":"Inderjit"},{"family":"Genovesi","given":"Piero"},{"family":"Kartesz","given":"John"},{"family":"Morozova","given":"Olga"},{"family":"Nishino","given":"Misako"},{"family":"Nowak","given":"Pauline M"},{"family":"Pagad","given":"Shyama"},{"family":"Shu","given":"Wen-Sheng"},{"family":"Winter","given":"Marten"}],"editor":[{"family":"Burns","given":"Jean"}],"accessed":{"date-parts":[["2019",12,3]]},"issued":{"date-parts":[["2019",9,1]]}},"suppress-author":true}],"schema":"https://github.com/citation-style-language/schema/raw/master/csl-citation.json"} </w:instrText>
      </w:r>
      <w:r w:rsidR="009011D6" w:rsidRPr="5575EBFC">
        <w:rPr>
          <w:lang w:val="en-GB"/>
        </w:rPr>
        <w:fldChar w:fldCharType="separate"/>
      </w:r>
      <w:r w:rsidR="6B5F9B9E">
        <w:t>(2019)</w:t>
      </w:r>
      <w:r w:rsidR="009011D6" w:rsidRPr="5575EBFC">
        <w:rPr>
          <w:lang w:val="en-GB"/>
        </w:rPr>
        <w:fldChar w:fldCharType="end"/>
      </w:r>
      <w:r w:rsidR="3D04D128" w:rsidRPr="5575EBFC">
        <w:rPr>
          <w:lang w:val="en-GB"/>
        </w:rPr>
        <w:t xml:space="preserve"> </w:t>
      </w:r>
      <w:r w:rsidR="79D71EED" w:rsidRPr="5575EBFC">
        <w:rPr>
          <w:lang w:val="en-GB"/>
        </w:rPr>
        <w:t xml:space="preserve">show </w:t>
      </w:r>
      <w:r w:rsidR="3D04D128" w:rsidRPr="5575EBFC">
        <w:rPr>
          <w:lang w:val="en-GB"/>
        </w:rPr>
        <w:t xml:space="preserve">that human population density had a greater </w:t>
      </w:r>
      <w:r w:rsidR="0E4C1CE5" w:rsidRPr="5575EBFC">
        <w:rPr>
          <w:lang w:val="en-GB"/>
        </w:rPr>
        <w:t>influence</w:t>
      </w:r>
      <w:r w:rsidR="3D04D128" w:rsidRPr="5575EBFC">
        <w:rPr>
          <w:lang w:val="en-GB"/>
        </w:rPr>
        <w:t xml:space="preserve"> on absolute alien species richness in mainland</w:t>
      </w:r>
      <w:r w:rsidR="09EDD643" w:rsidRPr="5575EBFC">
        <w:rPr>
          <w:lang w:val="en-GB"/>
        </w:rPr>
        <w:t xml:space="preserve"> region</w:t>
      </w:r>
      <w:r w:rsidR="3D04D128" w:rsidRPr="5575EBFC">
        <w:rPr>
          <w:lang w:val="en-GB"/>
        </w:rPr>
        <w:t xml:space="preserve">s </w:t>
      </w:r>
      <w:r w:rsidR="22B713A8" w:rsidRPr="5575EBFC">
        <w:rPr>
          <w:lang w:val="en-GB"/>
        </w:rPr>
        <w:t xml:space="preserve">compared to </w:t>
      </w:r>
      <w:r w:rsidR="3D04D128" w:rsidRPr="5575EBFC">
        <w:rPr>
          <w:lang w:val="en-GB"/>
        </w:rPr>
        <w:t>islands</w:t>
      </w:r>
      <w:r w:rsidR="305A5393" w:rsidRPr="5575EBFC">
        <w:rPr>
          <w:lang w:val="en-GB"/>
        </w:rPr>
        <w:t>, and t</w:t>
      </w:r>
      <w:r w:rsidR="261AFDD0" w:rsidRPr="5575EBFC">
        <w:rPr>
          <w:lang w:val="en-GB"/>
        </w:rPr>
        <w:t xml:space="preserve">his </w:t>
      </w:r>
      <w:r w:rsidR="20DA9C56" w:rsidRPr="5575EBFC">
        <w:rPr>
          <w:lang w:val="en-GB"/>
        </w:rPr>
        <w:t xml:space="preserve">pattern </w:t>
      </w:r>
      <w:r w:rsidR="3D04D128" w:rsidRPr="5575EBFC">
        <w:rPr>
          <w:lang w:val="en-GB"/>
        </w:rPr>
        <w:t>was</w:t>
      </w:r>
      <w:r w:rsidR="08A05D12" w:rsidRPr="5575EBFC">
        <w:rPr>
          <w:lang w:val="en-GB"/>
        </w:rPr>
        <w:t xml:space="preserve"> </w:t>
      </w:r>
      <w:r w:rsidR="3D04D128" w:rsidRPr="5575EBFC">
        <w:rPr>
          <w:lang w:val="en-GB"/>
        </w:rPr>
        <w:t xml:space="preserve">more pertinent </w:t>
      </w:r>
      <w:r w:rsidR="11E05180" w:rsidRPr="5575EBFC">
        <w:rPr>
          <w:lang w:val="en-GB"/>
        </w:rPr>
        <w:t>for</w:t>
      </w:r>
      <w:r w:rsidR="3D04D128" w:rsidRPr="5575EBFC">
        <w:rPr>
          <w:lang w:val="en-GB"/>
        </w:rPr>
        <w:t xml:space="preserve"> </w:t>
      </w:r>
      <w:r w:rsidR="5919137B" w:rsidRPr="5575EBFC">
        <w:rPr>
          <w:lang w:val="en-GB"/>
        </w:rPr>
        <w:t>est</w:t>
      </w:r>
      <w:r w:rsidR="19D9748C" w:rsidRPr="5575EBFC">
        <w:rPr>
          <w:lang w:val="en-GB"/>
        </w:rPr>
        <w:t>ab</w:t>
      </w:r>
      <w:r w:rsidR="5919137B" w:rsidRPr="5575EBFC">
        <w:rPr>
          <w:lang w:val="en-GB"/>
        </w:rPr>
        <w:t>lished alien</w:t>
      </w:r>
      <w:r w:rsidR="3D04D128" w:rsidRPr="5575EBFC">
        <w:rPr>
          <w:lang w:val="en-GB"/>
        </w:rPr>
        <w:t xml:space="preserve"> species than </w:t>
      </w:r>
      <w:r w:rsidR="2B67F8D3" w:rsidRPr="5575EBFC">
        <w:rPr>
          <w:lang w:val="en-GB"/>
        </w:rPr>
        <w:t xml:space="preserve">for </w:t>
      </w:r>
      <w:r w:rsidR="3D04D128" w:rsidRPr="5575EBFC">
        <w:rPr>
          <w:lang w:val="en-GB"/>
        </w:rPr>
        <w:t xml:space="preserve">the subset of </w:t>
      </w:r>
      <w:r w:rsidR="64DE4BFA" w:rsidRPr="5575EBFC">
        <w:rPr>
          <w:lang w:val="en-GB"/>
        </w:rPr>
        <w:t xml:space="preserve">alien </w:t>
      </w:r>
      <w:r w:rsidR="3D04D128" w:rsidRPr="5575EBFC">
        <w:rPr>
          <w:lang w:val="en-GB"/>
        </w:rPr>
        <w:t>species</w:t>
      </w:r>
      <w:r w:rsidR="2B67F8D3" w:rsidRPr="5575EBFC">
        <w:rPr>
          <w:lang w:val="en-GB"/>
        </w:rPr>
        <w:t xml:space="preserve"> that were invasive</w:t>
      </w:r>
      <w:r w:rsidR="3D04D128" w:rsidRPr="5575EBFC">
        <w:rPr>
          <w:lang w:val="en-GB"/>
        </w:rPr>
        <w:t xml:space="preserve">. This illustrates that while population density is correlated </w:t>
      </w:r>
      <w:r w:rsidR="1DC36254" w:rsidRPr="5575EBFC">
        <w:rPr>
          <w:lang w:val="en-GB"/>
        </w:rPr>
        <w:t xml:space="preserve">with </w:t>
      </w:r>
      <w:r w:rsidR="7EA2C64F" w:rsidRPr="5575EBFC">
        <w:rPr>
          <w:lang w:val="en-GB"/>
        </w:rPr>
        <w:t xml:space="preserve">invasive alien species </w:t>
      </w:r>
      <w:r w:rsidR="3D04D128" w:rsidRPr="5575EBFC">
        <w:rPr>
          <w:lang w:val="en-GB"/>
        </w:rPr>
        <w:t xml:space="preserve">dynamics, the relationship is complex </w:t>
      </w:r>
      <w:r w:rsidR="37F3A320" w:rsidRPr="5575EBFC">
        <w:rPr>
          <w:lang w:val="en-GB"/>
        </w:rPr>
        <w:t>so that</w:t>
      </w:r>
      <w:r w:rsidR="3D04D128" w:rsidRPr="5575EBFC">
        <w:rPr>
          <w:lang w:val="en-GB"/>
        </w:rPr>
        <w:t xml:space="preserve"> countries </w:t>
      </w:r>
      <w:r w:rsidR="3E2ED1EC" w:rsidRPr="5575EBFC">
        <w:rPr>
          <w:lang w:val="en-GB"/>
        </w:rPr>
        <w:t xml:space="preserve">that have </w:t>
      </w:r>
      <w:r w:rsidR="3D04D128" w:rsidRPr="5575EBFC">
        <w:rPr>
          <w:lang w:val="en-GB"/>
        </w:rPr>
        <w:t xml:space="preserve">high rates of population growth are not necessarily those with high </w:t>
      </w:r>
      <w:r w:rsidR="37F3A320" w:rsidRPr="5575EBFC">
        <w:rPr>
          <w:lang w:val="en-GB"/>
        </w:rPr>
        <w:t>rates of</w:t>
      </w:r>
      <w:r w:rsidR="4760A2F2" w:rsidRPr="5575EBFC">
        <w:rPr>
          <w:lang w:val="en-GB"/>
        </w:rPr>
        <w:t xml:space="preserve"> introduction of </w:t>
      </w:r>
      <w:r w:rsidR="7D589B02" w:rsidRPr="5575EBFC">
        <w:rPr>
          <w:lang w:val="en-GB"/>
        </w:rPr>
        <w:t>invasive alien species</w:t>
      </w:r>
      <w:r w:rsidR="3D04D128" w:rsidRPr="5575EBFC">
        <w:rPr>
          <w:lang w:val="en-GB"/>
        </w:rPr>
        <w:t xml:space="preserve">. </w:t>
      </w:r>
    </w:p>
    <w:p w14:paraId="500BCB6B" w14:textId="3DADEBAF" w:rsidR="0012002E" w:rsidRPr="00DA249F" w:rsidRDefault="54E95B8C" w:rsidP="0090109B">
      <w:pPr>
        <w:rPr>
          <w:lang w:val="en-GB"/>
        </w:rPr>
      </w:pPr>
      <w:r w:rsidRPr="00DA249F">
        <w:rPr>
          <w:lang w:val="en-GB"/>
        </w:rPr>
        <w:lastRenderedPageBreak/>
        <w:t>The</w:t>
      </w:r>
      <w:r w:rsidR="4B866F78" w:rsidRPr="00DA249F">
        <w:rPr>
          <w:lang w:val="en-GB"/>
        </w:rPr>
        <w:t xml:space="preserve"> review of the literature for this chapter </w:t>
      </w:r>
      <w:r w:rsidR="39D39B0B" w:rsidRPr="00DA249F">
        <w:rPr>
          <w:lang w:val="en-GB"/>
        </w:rPr>
        <w:t>(</w:t>
      </w:r>
      <w:r w:rsidR="39D39B0B" w:rsidRPr="728F2DAF">
        <w:rPr>
          <w:b/>
          <w:bCs/>
          <w:lang w:val="en-GB"/>
        </w:rPr>
        <w:t>section 3.6.1</w:t>
      </w:r>
      <w:r w:rsidR="39D39B0B" w:rsidRPr="00DA249F">
        <w:rPr>
          <w:lang w:val="en-GB"/>
        </w:rPr>
        <w:t>)</w:t>
      </w:r>
      <w:r w:rsidR="00A91C92" w:rsidRPr="00710AC3">
        <w:rPr>
          <w:rStyle w:val="FootnoteReference"/>
        </w:rPr>
        <w:footnoteReference w:id="6"/>
      </w:r>
      <w:r w:rsidR="39D39B0B" w:rsidRPr="00DA249F">
        <w:rPr>
          <w:lang w:val="en-GB"/>
        </w:rPr>
        <w:t xml:space="preserve"> </w:t>
      </w:r>
      <w:r w:rsidR="4B866F78" w:rsidRPr="00DA249F">
        <w:rPr>
          <w:lang w:val="en-GB"/>
        </w:rPr>
        <w:t xml:space="preserve">highlighted that the </w:t>
      </w:r>
      <w:r w:rsidR="2D82FA2B" w:rsidRPr="00DA249F">
        <w:rPr>
          <w:lang w:val="en-GB"/>
        </w:rPr>
        <w:t>m</w:t>
      </w:r>
      <w:r w:rsidR="4050056F" w:rsidRPr="00DA249F">
        <w:rPr>
          <w:lang w:val="en-GB"/>
        </w:rPr>
        <w:t xml:space="preserve">ajority of the evidence for human population density as </w:t>
      </w:r>
      <w:r w:rsidR="69F83699" w:rsidRPr="00DA249F">
        <w:rPr>
          <w:lang w:val="en-GB"/>
        </w:rPr>
        <w:t xml:space="preserve">a </w:t>
      </w:r>
      <w:r w:rsidR="4050056F" w:rsidRPr="00DA249F">
        <w:rPr>
          <w:lang w:val="en-GB"/>
        </w:rPr>
        <w:t xml:space="preserve">driver </w:t>
      </w:r>
      <w:r w:rsidR="2D391C72" w:rsidRPr="00DA249F">
        <w:rPr>
          <w:lang w:val="en-GB"/>
        </w:rPr>
        <w:t xml:space="preserve">that facilitates </w:t>
      </w:r>
      <w:r w:rsidR="2D82FA2B" w:rsidRPr="00DA249F">
        <w:rPr>
          <w:lang w:val="en-GB"/>
        </w:rPr>
        <w:t xml:space="preserve">biological </w:t>
      </w:r>
      <w:r w:rsidR="4050056F" w:rsidRPr="00DA249F">
        <w:rPr>
          <w:lang w:val="en-GB"/>
        </w:rPr>
        <w:t xml:space="preserve">invasions </w:t>
      </w:r>
      <w:r w:rsidR="2FEFE44E" w:rsidRPr="00DA249F">
        <w:rPr>
          <w:lang w:val="en-GB"/>
        </w:rPr>
        <w:t xml:space="preserve">can be found </w:t>
      </w:r>
      <w:r w:rsidR="4050056F" w:rsidRPr="00DA249F">
        <w:rPr>
          <w:lang w:val="en-GB"/>
        </w:rPr>
        <w:t>in the terrestrial realm</w:t>
      </w:r>
      <w:r w:rsidR="2FEFE44E" w:rsidRPr="00DA249F">
        <w:rPr>
          <w:lang w:val="en-GB"/>
        </w:rPr>
        <w:t xml:space="preserve">, </w:t>
      </w:r>
      <w:r w:rsidR="4050056F" w:rsidRPr="00DA249F">
        <w:rPr>
          <w:lang w:val="en-GB"/>
        </w:rPr>
        <w:t xml:space="preserve">followed by </w:t>
      </w:r>
      <w:r w:rsidR="1574AE93" w:rsidRPr="00DA249F">
        <w:rPr>
          <w:lang w:val="en-GB"/>
        </w:rPr>
        <w:t xml:space="preserve">the </w:t>
      </w:r>
      <w:r w:rsidR="4050056F" w:rsidRPr="00DA249F">
        <w:rPr>
          <w:lang w:val="en-GB"/>
        </w:rPr>
        <w:t xml:space="preserve">freshwater </w:t>
      </w:r>
      <w:r w:rsidR="1574AE93" w:rsidRPr="00DA249F">
        <w:rPr>
          <w:lang w:val="en-GB"/>
        </w:rPr>
        <w:t xml:space="preserve">realm, </w:t>
      </w:r>
      <w:r w:rsidR="4050056F" w:rsidRPr="00DA249F">
        <w:rPr>
          <w:lang w:val="en-GB"/>
        </w:rPr>
        <w:t xml:space="preserve">with </w:t>
      </w:r>
      <w:r w:rsidR="1574AE93" w:rsidRPr="00DA249F">
        <w:rPr>
          <w:lang w:val="en-GB"/>
        </w:rPr>
        <w:t xml:space="preserve">few </w:t>
      </w:r>
      <w:r w:rsidR="4050056F" w:rsidRPr="00DA249F">
        <w:rPr>
          <w:lang w:val="en-GB"/>
        </w:rPr>
        <w:t xml:space="preserve">marine </w:t>
      </w:r>
      <w:r w:rsidR="1574AE93" w:rsidRPr="00DA249F">
        <w:rPr>
          <w:lang w:val="en-GB"/>
        </w:rPr>
        <w:t>examples</w:t>
      </w:r>
      <w:r w:rsidR="7109F3F4" w:rsidRPr="00DA249F">
        <w:rPr>
          <w:lang w:val="en-GB"/>
        </w:rPr>
        <w:t xml:space="preserve"> to draw from despite the large concentration of </w:t>
      </w:r>
      <w:r w:rsidR="2F4F34C6" w:rsidRPr="00DA249F">
        <w:rPr>
          <w:lang w:val="en-GB"/>
        </w:rPr>
        <w:t xml:space="preserve">human </w:t>
      </w:r>
      <w:r w:rsidR="7109F3F4" w:rsidRPr="00DA249F">
        <w:rPr>
          <w:lang w:val="en-GB"/>
        </w:rPr>
        <w:t xml:space="preserve">populations </w:t>
      </w:r>
      <w:r w:rsidR="2F4F34C6" w:rsidRPr="00DA249F">
        <w:rPr>
          <w:lang w:val="en-GB"/>
        </w:rPr>
        <w:t>livi</w:t>
      </w:r>
      <w:r w:rsidR="20F54470" w:rsidRPr="00DA249F">
        <w:rPr>
          <w:lang w:val="en-GB"/>
        </w:rPr>
        <w:t>n</w:t>
      </w:r>
      <w:r w:rsidR="2F4F34C6" w:rsidRPr="00DA249F">
        <w:rPr>
          <w:lang w:val="en-GB"/>
        </w:rPr>
        <w:t>g near to the coast.</w:t>
      </w:r>
      <w:r w:rsidR="4050056F" w:rsidRPr="00DA249F">
        <w:rPr>
          <w:lang w:val="en-GB"/>
        </w:rPr>
        <w:t xml:space="preserve"> The </w:t>
      </w:r>
      <w:r w:rsidR="1574AE93" w:rsidRPr="00DA249F">
        <w:rPr>
          <w:lang w:val="en-GB"/>
        </w:rPr>
        <w:t>IPBES</w:t>
      </w:r>
      <w:r w:rsidR="4050056F" w:rsidRPr="00DA249F">
        <w:rPr>
          <w:lang w:val="en-GB"/>
        </w:rPr>
        <w:t xml:space="preserve"> regions of Ocean</w:t>
      </w:r>
      <w:r w:rsidR="58E635E3" w:rsidRPr="00DA249F">
        <w:rPr>
          <w:lang w:val="en-GB"/>
        </w:rPr>
        <w:t>i</w:t>
      </w:r>
      <w:r w:rsidR="4050056F" w:rsidRPr="00DA249F">
        <w:rPr>
          <w:lang w:val="en-GB"/>
        </w:rPr>
        <w:t>a and Asia-Pacific were the least well studied</w:t>
      </w:r>
      <w:r w:rsidR="78F67744" w:rsidRPr="00DA249F">
        <w:rPr>
          <w:lang w:val="en-GB"/>
        </w:rPr>
        <w:t>,</w:t>
      </w:r>
      <w:r w:rsidR="4050056F" w:rsidRPr="00DA249F">
        <w:rPr>
          <w:lang w:val="en-GB"/>
        </w:rPr>
        <w:t xml:space="preserve"> with Europe</w:t>
      </w:r>
      <w:r w:rsidR="1574AE93" w:rsidRPr="00DA249F">
        <w:rPr>
          <w:lang w:val="en-GB"/>
        </w:rPr>
        <w:t xml:space="preserve"> and the </w:t>
      </w:r>
      <w:r w:rsidR="4050056F" w:rsidRPr="00DA249F">
        <w:rPr>
          <w:lang w:val="en-GB"/>
        </w:rPr>
        <w:t>America</w:t>
      </w:r>
      <w:r w:rsidR="1574AE93" w:rsidRPr="00DA249F">
        <w:rPr>
          <w:lang w:val="en-GB"/>
        </w:rPr>
        <w:t>s</w:t>
      </w:r>
      <w:r w:rsidR="4050056F" w:rsidRPr="00DA249F">
        <w:rPr>
          <w:lang w:val="en-GB"/>
        </w:rPr>
        <w:t xml:space="preserve"> having the greatest focus. </w:t>
      </w:r>
      <w:r w:rsidR="78F67744" w:rsidRPr="00DA249F">
        <w:rPr>
          <w:lang w:val="en-GB"/>
        </w:rPr>
        <w:t xml:space="preserve">Despite the other </w:t>
      </w:r>
      <w:r w:rsidR="4050056F" w:rsidRPr="00DA249F">
        <w:rPr>
          <w:lang w:val="en-GB"/>
        </w:rPr>
        <w:t xml:space="preserve">regions </w:t>
      </w:r>
      <w:r w:rsidR="65D82629" w:rsidRPr="00DA249F">
        <w:rPr>
          <w:lang w:val="en-GB"/>
        </w:rPr>
        <w:t>(</w:t>
      </w:r>
      <w:r w:rsidR="6693D004" w:rsidRPr="00DA249F">
        <w:rPr>
          <w:lang w:val="en-GB"/>
        </w:rPr>
        <w:t xml:space="preserve">e.g., </w:t>
      </w:r>
      <w:r w:rsidR="65D82629" w:rsidRPr="00DA249F">
        <w:rPr>
          <w:lang w:val="en-GB"/>
        </w:rPr>
        <w:t xml:space="preserve">Africa) </w:t>
      </w:r>
      <w:r w:rsidR="78F67744" w:rsidRPr="00DA249F">
        <w:rPr>
          <w:lang w:val="en-GB"/>
        </w:rPr>
        <w:t xml:space="preserve">being </w:t>
      </w:r>
      <w:r w:rsidR="65D82629" w:rsidRPr="00DA249F">
        <w:rPr>
          <w:lang w:val="en-GB"/>
        </w:rPr>
        <w:t>included in g</w:t>
      </w:r>
      <w:r w:rsidR="4050056F" w:rsidRPr="00DA249F">
        <w:rPr>
          <w:lang w:val="en-GB"/>
        </w:rPr>
        <w:t>lob</w:t>
      </w:r>
      <w:r w:rsidR="78F67744" w:rsidRPr="00DA249F">
        <w:rPr>
          <w:lang w:val="en-GB"/>
        </w:rPr>
        <w:t>a</w:t>
      </w:r>
      <w:r w:rsidR="4050056F" w:rsidRPr="00DA249F">
        <w:rPr>
          <w:lang w:val="en-GB"/>
        </w:rPr>
        <w:t>l studies</w:t>
      </w:r>
      <w:r w:rsidR="78F67744" w:rsidRPr="00DA249F">
        <w:rPr>
          <w:lang w:val="en-GB"/>
        </w:rPr>
        <w:t xml:space="preserve">, they have relatively few </w:t>
      </w:r>
      <w:r w:rsidR="4050056F" w:rsidRPr="00DA249F">
        <w:rPr>
          <w:lang w:val="en-GB"/>
        </w:rPr>
        <w:t>examples to draw from</w:t>
      </w:r>
      <w:r w:rsidR="65D82629" w:rsidRPr="00DA249F">
        <w:rPr>
          <w:lang w:val="en-GB"/>
        </w:rPr>
        <w:t xml:space="preserve"> and </w:t>
      </w:r>
      <w:r w:rsidR="209D2B08">
        <w:rPr>
          <w:lang w:val="en-GB"/>
        </w:rPr>
        <w:t xml:space="preserve">examples are </w:t>
      </w:r>
      <w:r w:rsidR="65D82629" w:rsidRPr="00DA249F">
        <w:rPr>
          <w:lang w:val="en-GB"/>
        </w:rPr>
        <w:t xml:space="preserve">often from a small selection of countries </w:t>
      </w:r>
      <w:r w:rsidR="4A0BD59D">
        <w:rPr>
          <w:lang w:val="en-GB"/>
        </w:rPr>
        <w:t>(</w:t>
      </w:r>
      <w:r w:rsidR="6693D004" w:rsidRPr="00DA249F">
        <w:rPr>
          <w:lang w:val="en-GB"/>
        </w:rPr>
        <w:t xml:space="preserve">e.g., </w:t>
      </w:r>
      <w:r w:rsidR="65D82629" w:rsidRPr="00DA249F">
        <w:rPr>
          <w:lang w:val="en-GB"/>
        </w:rPr>
        <w:t>South Africa</w:t>
      </w:r>
      <w:r w:rsidR="4A0BD59D">
        <w:rPr>
          <w:lang w:val="en-GB"/>
        </w:rPr>
        <w:t>). Dawson et al.</w:t>
      </w:r>
      <w:r w:rsidR="6B8B6BDE" w:rsidRPr="00DA249F">
        <w:rPr>
          <w:lang w:val="en-GB"/>
        </w:rPr>
        <w:t xml:space="preserve"> </w:t>
      </w:r>
      <w:r w:rsidR="00F95F3E" w:rsidRPr="00DA249F">
        <w:rPr>
          <w:lang w:val="en-GB"/>
        </w:rPr>
        <w:fldChar w:fldCharType="begin"/>
      </w:r>
      <w:r w:rsidR="00331A79">
        <w:rPr>
          <w:lang w:val="en-GB"/>
        </w:rPr>
        <w:instrText xml:space="preserve"> ADDIN ZOTERO_ITEM CSL_CITATION {"citationID":"sZCqZSw1","properties":{"formattedCitation":"(2017)","plainCitation":"(2017)","noteIndex":0},"citationItems":[{"id":28835,"uris":["http://zotero.org/groups/2352922/items/NJYZEFXF"],"itemData":{"id":28835,"type":"article-journal","abstract":"Human-mediated transport beyond biogeographic barriers has led to the introduction and establishment of alien species in new regions worldwide. However, we lack a global picture of established alien species richness for multiple taxonomic groups. Here, we assess global patterns and potential drivers of established alien species richness across eight taxonomic groups (amphibians, ants, birds, freshwater fishes, mammals, vascular plants, reptiles and spiders) for 186 islands and 423 mainland regions. Hotspots of established alien species richness are predominantly island and coastal mainland regions. Regions with greater gross domestic product per capita, human population density, and area have higher established alien richness, with strongest effects emerging for islands. Ants and reptiles, birds and mammals, and vascular plants and spiders form pairs of taxonomic groups with the highest spatial congruence in established alien richness, but drivers explaining richness differ between the taxa in each pair. Across all taxonomic groups, our results highlight the need to prioritize prevention of further alien species introductions to island and coastal mainland regions globally.","container-title":"Nature Ecology &amp; Evolution","DOI":"10.1038/s41559-017-0186","ISSN":"2397-334X","issue":"7","journalAbbreviation":"Nat Ecol Evol","language":"en","license":"2017 Nature Publishing Group","page":"0186","source":"www.nature.com","title":"Global hotspots and correlates of alien species richness across taxonomic groups","URL":"https://doi.org/10.1038/s41559-017-0186","volume":"1","author":[{"family":"Dawson","given":"Wayne"},{"family":"Moser","given":"Dietmar"},{"family":"Kleunen","given":"Mark","non-dropping-particle":"van"},{"family":"Kreft","given":"Holger"},{"family":"Pergl","given":"Jan"},{"family":"Pyšek","given":"Petr"},{"family":"Weigelt","given":"Patrick"},{"family":"Winter","given":"Marten"},{"family":"Lenzner","given":"Bernd"},{"family":"Blackburn","given":"Tim M."},{"family":"Dyer","given":"Ellie E."},{"family":"Cassey","given":"Phillip"},{"family":"Scrivens","given":"Sally L."},{"family":"Economo","given":"Evan P."},{"family":"Guénard","given":"Benoit"},{"family":"Capinha","given":"César"},{"family":"Seebens","given":"Hanno"},{"family":"García-Díaz","given":"Pablo"},{"family":"Nentwig","given":"Wolfgang"},{"family":"García-Berthou","given":"Emili"},{"family":"Casal","given":"Christine"},{"family":"Mandrak","given":"Nicholas E."},{"family":"Fuller","given":"Pam"},{"family":"Meyer","given":"Carsten"},{"family":"Essl","given":"Franz"}],"accessed":{"date-parts":[["2019",10,24]]},"issued":{"date-parts":[["2017",7]]}},"suppress-author":true}],"schema":"https://github.com/citation-style-language/schema/raw/master/csl-citation.json"} </w:instrText>
      </w:r>
      <w:r w:rsidR="00F95F3E" w:rsidRPr="00DA249F">
        <w:rPr>
          <w:lang w:val="en-GB"/>
        </w:rPr>
        <w:fldChar w:fldCharType="separate"/>
      </w:r>
      <w:r w:rsidR="0566DAD0" w:rsidRPr="00144D96">
        <w:t>(2017)</w:t>
      </w:r>
      <w:r w:rsidR="00F95F3E" w:rsidRPr="00DA249F">
        <w:rPr>
          <w:lang w:val="en-GB"/>
        </w:rPr>
        <w:fldChar w:fldCharType="end"/>
      </w:r>
      <w:r w:rsidR="1ACAE091" w:rsidRPr="00DA249F">
        <w:rPr>
          <w:lang w:val="en-GB"/>
        </w:rPr>
        <w:t xml:space="preserve"> </w:t>
      </w:r>
      <w:r w:rsidR="4050056F" w:rsidRPr="00DA249F">
        <w:rPr>
          <w:lang w:val="en-GB"/>
        </w:rPr>
        <w:t>provide a global synthesis of the taxa</w:t>
      </w:r>
      <w:r w:rsidR="1ACAE091" w:rsidRPr="00DA249F">
        <w:rPr>
          <w:lang w:val="en-GB"/>
        </w:rPr>
        <w:t xml:space="preserve">, </w:t>
      </w:r>
      <w:r w:rsidR="3AD6F3E2" w:rsidRPr="00DA249F">
        <w:rPr>
          <w:lang w:val="en-GB"/>
        </w:rPr>
        <w:t>however microbes and invertebrates</w:t>
      </w:r>
      <w:r w:rsidR="1ACAE091" w:rsidRPr="00DA249F">
        <w:rPr>
          <w:lang w:val="en-GB"/>
        </w:rPr>
        <w:t xml:space="preserve"> remain poorly studied</w:t>
      </w:r>
      <w:r w:rsidR="4050056F" w:rsidRPr="00DA249F">
        <w:rPr>
          <w:lang w:val="en-GB"/>
        </w:rPr>
        <w:t>.</w:t>
      </w:r>
      <w:r w:rsidR="784535D2" w:rsidRPr="00DA249F">
        <w:rPr>
          <w:lang w:val="en-GB"/>
        </w:rPr>
        <w:t xml:space="preserve"> </w:t>
      </w:r>
    </w:p>
    <w:p w14:paraId="6F879FE9" w14:textId="77777777" w:rsidR="008C1BF7" w:rsidRPr="00DA249F" w:rsidRDefault="0231CA54" w:rsidP="004826A3">
      <w:pPr>
        <w:pStyle w:val="Heading3"/>
        <w:rPr>
          <w:lang w:val="en-GB"/>
        </w:rPr>
      </w:pPr>
      <w:bookmarkStart w:id="57" w:name="_Toc44317796"/>
      <w:r w:rsidRPr="00DA249F">
        <w:rPr>
          <w:lang w:val="en-GB"/>
        </w:rPr>
        <w:t>Human migration</w:t>
      </w:r>
      <w:bookmarkEnd w:id="57"/>
      <w:r w:rsidR="2DDAEABF" w:rsidRPr="00DA249F">
        <w:rPr>
          <w:lang w:val="en-GB"/>
        </w:rPr>
        <w:t xml:space="preserve"> </w:t>
      </w:r>
    </w:p>
    <w:p w14:paraId="410E97E5" w14:textId="6DB49F13" w:rsidR="00AF6C9D" w:rsidRPr="00DA249F" w:rsidRDefault="512A0AAA" w:rsidP="0090109B">
      <w:pPr>
        <w:rPr>
          <w:lang w:val="en-GB"/>
        </w:rPr>
      </w:pPr>
      <w:r w:rsidRPr="5575EBFC">
        <w:rPr>
          <w:lang w:val="en-GB"/>
        </w:rPr>
        <w:t>While the term migrant has specific definitions</w:t>
      </w:r>
      <w:r w:rsidR="1BBEF685" w:rsidRPr="5575EBFC">
        <w:rPr>
          <w:lang w:val="en-GB"/>
        </w:rPr>
        <w:t xml:space="preserve">, </w:t>
      </w:r>
      <w:r w:rsidR="5457A8DD" w:rsidRPr="5575EBFC">
        <w:rPr>
          <w:lang w:val="en-GB"/>
        </w:rPr>
        <w:t>C</w:t>
      </w:r>
      <w:r w:rsidR="1F1A4A42" w:rsidRPr="5575EBFC">
        <w:rPr>
          <w:lang w:val="en-GB"/>
        </w:rPr>
        <w:t>hapter 3</w:t>
      </w:r>
      <w:r w:rsidR="61D62013" w:rsidRPr="5575EBFC">
        <w:rPr>
          <w:lang w:val="en-GB"/>
        </w:rPr>
        <w:t xml:space="preserve"> </w:t>
      </w:r>
      <w:r w:rsidRPr="5575EBFC">
        <w:rPr>
          <w:lang w:val="en-GB"/>
        </w:rPr>
        <w:t xml:space="preserve">specifically </w:t>
      </w:r>
      <w:r w:rsidR="7CB93465" w:rsidRPr="5575EBFC">
        <w:rPr>
          <w:lang w:val="en-GB"/>
        </w:rPr>
        <w:t xml:space="preserve">focuses </w:t>
      </w:r>
      <w:r w:rsidRPr="5575EBFC">
        <w:rPr>
          <w:lang w:val="en-GB"/>
        </w:rPr>
        <w:t>on people moving away from their place of usual residence</w:t>
      </w:r>
      <w:r w:rsidR="3D26523B" w:rsidRPr="5575EBFC">
        <w:rPr>
          <w:lang w:val="en-GB"/>
        </w:rPr>
        <w:t xml:space="preserve"> to take up </w:t>
      </w:r>
      <w:r w:rsidR="1C5AB106" w:rsidRPr="5575EBFC">
        <w:rPr>
          <w:lang w:val="en-GB"/>
        </w:rPr>
        <w:t>residence in another country.</w:t>
      </w:r>
      <w:r w:rsidRPr="5575EBFC">
        <w:rPr>
          <w:lang w:val="en-GB"/>
        </w:rPr>
        <w:t xml:space="preserve"> The rate of migration is increasing</w:t>
      </w:r>
      <w:r w:rsidR="00DF30EF">
        <w:rPr>
          <w:lang w:val="en-GB"/>
        </w:rPr>
        <w:t>:</w:t>
      </w:r>
      <w:r w:rsidRPr="5575EBFC">
        <w:rPr>
          <w:lang w:val="en-GB"/>
        </w:rPr>
        <w:t xml:space="preserve"> in 201</w:t>
      </w:r>
      <w:r w:rsidR="413C84DC" w:rsidRPr="5575EBFC">
        <w:rPr>
          <w:lang w:val="en-GB"/>
        </w:rPr>
        <w:t>9</w:t>
      </w:r>
      <w:r w:rsidRPr="5575EBFC">
        <w:rPr>
          <w:lang w:val="en-GB"/>
        </w:rPr>
        <w:t>, 3.</w:t>
      </w:r>
      <w:r w:rsidR="4B6A666C" w:rsidRPr="5575EBFC">
        <w:rPr>
          <w:lang w:val="en-GB"/>
        </w:rPr>
        <w:t>5</w:t>
      </w:r>
      <w:r w:rsidR="4804CF9A" w:rsidRPr="5575EBFC">
        <w:rPr>
          <w:lang w:val="en-GB"/>
        </w:rPr>
        <w:t xml:space="preserve"> per cent</w:t>
      </w:r>
      <w:r w:rsidRPr="5575EBFC">
        <w:rPr>
          <w:lang w:val="en-GB"/>
        </w:rPr>
        <w:t xml:space="preserve"> of the global population </w:t>
      </w:r>
      <w:r w:rsidR="32C75DBE" w:rsidRPr="5575EBFC">
        <w:rPr>
          <w:lang w:val="en-GB"/>
        </w:rPr>
        <w:t xml:space="preserve">(272 million people) </w:t>
      </w:r>
      <w:r w:rsidRPr="5575EBFC">
        <w:rPr>
          <w:lang w:val="en-GB"/>
        </w:rPr>
        <w:t>were living in a country other than their country of birth, compared with 2.</w:t>
      </w:r>
      <w:r w:rsidR="23A5046C" w:rsidRPr="5575EBFC">
        <w:rPr>
          <w:lang w:val="en-GB"/>
        </w:rPr>
        <w:t>8</w:t>
      </w:r>
      <w:r w:rsidR="4804CF9A" w:rsidRPr="5575EBFC">
        <w:rPr>
          <w:lang w:val="en-GB"/>
        </w:rPr>
        <w:t xml:space="preserve"> per cent</w:t>
      </w:r>
      <w:r w:rsidR="23A5046C" w:rsidRPr="5575EBFC">
        <w:rPr>
          <w:lang w:val="en-GB"/>
        </w:rPr>
        <w:t xml:space="preserve"> in 2000</w:t>
      </w:r>
      <w:r w:rsidRPr="5575EBFC">
        <w:rPr>
          <w:lang w:val="en-GB"/>
        </w:rPr>
        <w:t xml:space="preserve"> </w:t>
      </w:r>
      <w:r w:rsidR="5AC1BC05" w:rsidRPr="5575EBFC">
        <w:rPr>
          <w:lang w:val="en-GB"/>
        </w:rPr>
        <w:t xml:space="preserve">and </w:t>
      </w:r>
      <w:r w:rsidRPr="5575EBFC">
        <w:rPr>
          <w:lang w:val="en-GB"/>
        </w:rPr>
        <w:t>2.4</w:t>
      </w:r>
      <w:r w:rsidR="4804CF9A" w:rsidRPr="5575EBFC">
        <w:rPr>
          <w:lang w:val="en-GB"/>
        </w:rPr>
        <w:t xml:space="preserve"> per cent</w:t>
      </w:r>
      <w:r w:rsidRPr="5575EBFC">
        <w:rPr>
          <w:lang w:val="en-GB"/>
        </w:rPr>
        <w:t xml:space="preserve"> 1980</w:t>
      </w:r>
      <w:r w:rsidR="23A5046C" w:rsidRPr="5575EBFC">
        <w:rPr>
          <w:lang w:val="en-GB"/>
        </w:rPr>
        <w:t xml:space="preserve"> </w:t>
      </w:r>
      <w:r w:rsidR="4B89DD1C" w:rsidRPr="5575EBFC">
        <w:rPr>
          <w:lang w:val="en-GB"/>
        </w:rPr>
        <w:fldChar w:fldCharType="begin"/>
      </w:r>
      <w:r w:rsidR="00230216">
        <w:rPr>
          <w:lang w:val="en-GB"/>
        </w:rPr>
        <w:instrText xml:space="preserve"> ADDIN ZOTERO_ITEM CSL_CITATION {"citationID":"1SyHlKKX","properties":{"formattedCitation":"(International Organization for Migration, 2019; Vidal et al., 2018)","plainCitation":"(International Organization for Migration, 2019; Vidal et al., 2018)","noteIndex":0},"citationItems":[{"id":22653,"uris":["http://zotero.org/groups/2352922/items/8NRHEKNH"],"itemData":{"id":22653,"type":"book","ISBN":"978-92-9068-772-6","language":"en","note":"OCLC: 1062365767","source":"Open WorldCat","title":"Global migration indicators 2018: insights from the Global Migration Data Portal: www.migrationdataportal.org","title-short":"Global migration indicators 2018","URL":"https://publications.iom.int/system/files/pdf/global_migration_indicators_2018.pdf","author":[{"family":"Vidal","given":"Elisa Mosler"},{"family":"Tjaden","given":"Jasper Dag"},{"literal":"Global Migration Data Analysis Centre"}],"accessed":{"date-parts":[["2020",6,14]]},"issued":{"date-parts":[["2018"]]}}},{"id":"zUkrYEfa/ll3p960v","uris":["http://zotero.org/users/5651267/items/TAJN35NG"],"itemData":{"id":66194,"type":"book","abstract":"This volume builds on the previous report, the 2018 edition, by providing updated migration statistics at the global and regional levels as well as descriptive analysis of complex migration issues. Part I, on key data and information on migration and migrants, includes chapters on global migration trends and patterns, regional dimensions and developments and a discussion of recent contributions to migration research and analysis by both academia and organizations, including IOM. The chapters in Part II cover a range of complex and emerging migration issues including: migrants' contributions to societies; migration, inclusion and social cohesion; migration and health; children and unsafe migration; migration and adaptation to environmental change; migrants caught in crises and recent developments in global migration governance.","event-place":"Geneva","ISBN":"978-92-9068-789-4","language":"en","note":"OCLC: 1200352799","publisher":"IOM","publisher-place":"Geneva","source":"Open WorldCat","title":"World migration report 2020","collection-editor":[{"family":"McAuliffe","given":"Marie"},{"family":"Khadria","given":"Binod"},{"family":"Bauloz","given":"C??line"}],"author":[{"family":"International Organization for Migration","given":""}],"issued":{"date-parts":[["2019"]]}}}],"schema":"https://github.com/citation-style-language/schema/raw/master/csl-citation.json"} </w:instrText>
      </w:r>
      <w:r w:rsidR="4B89DD1C" w:rsidRPr="5575EBFC">
        <w:rPr>
          <w:lang w:val="en-GB"/>
        </w:rPr>
        <w:fldChar w:fldCharType="separate"/>
      </w:r>
      <w:r w:rsidR="6B5F9B9E">
        <w:t>(International Organization for Migration, 2019; Vidal et al., 2018)</w:t>
      </w:r>
      <w:r w:rsidR="4B89DD1C" w:rsidRPr="5575EBFC">
        <w:rPr>
          <w:lang w:val="en-GB"/>
        </w:rPr>
        <w:fldChar w:fldCharType="end"/>
      </w:r>
      <w:r w:rsidRPr="5575EBFC">
        <w:rPr>
          <w:lang w:val="en-GB"/>
        </w:rPr>
        <w:t>.</w:t>
      </w:r>
      <w:r w:rsidR="489642A3" w:rsidRPr="5575EBFC">
        <w:rPr>
          <w:lang w:val="en-GB"/>
        </w:rPr>
        <w:t xml:space="preserve"> </w:t>
      </w:r>
      <w:r w:rsidR="1A421573" w:rsidRPr="5575EBFC">
        <w:rPr>
          <w:lang w:val="en-GB"/>
        </w:rPr>
        <w:t xml:space="preserve">Migrating humans act as direct dispersal vectors </w:t>
      </w:r>
      <w:r w:rsidR="4CAD4685" w:rsidRPr="5575EBFC">
        <w:rPr>
          <w:lang w:val="en-GB"/>
        </w:rPr>
        <w:t>(</w:t>
      </w:r>
      <w:r w:rsidR="00E23B69">
        <w:rPr>
          <w:b/>
          <w:bCs/>
          <w:lang w:val="en-GB" w:eastAsia="en-NZ"/>
        </w:rPr>
        <w:t>Glossary</w:t>
      </w:r>
      <w:r w:rsidR="4CAD4685" w:rsidRPr="5575EBFC">
        <w:rPr>
          <w:lang w:val="en-GB" w:eastAsia="en-NZ"/>
        </w:rPr>
        <w:t>)</w:t>
      </w:r>
      <w:r w:rsidR="4CAD4685" w:rsidRPr="5575EBFC">
        <w:rPr>
          <w:lang w:val="en-GB"/>
        </w:rPr>
        <w:t xml:space="preserve"> </w:t>
      </w:r>
      <w:r w:rsidR="1A421573" w:rsidRPr="5575EBFC">
        <w:rPr>
          <w:lang w:val="en-GB"/>
        </w:rPr>
        <w:t xml:space="preserve">in the transport and spread </w:t>
      </w:r>
      <w:r w:rsidR="51480691" w:rsidRPr="5575EBFC">
        <w:rPr>
          <w:lang w:val="en-GB"/>
        </w:rPr>
        <w:t xml:space="preserve">of </w:t>
      </w:r>
      <w:r w:rsidR="4AF9D562" w:rsidRPr="5575EBFC">
        <w:rPr>
          <w:lang w:val="en-GB"/>
        </w:rPr>
        <w:t>p</w:t>
      </w:r>
      <w:r w:rsidR="4083E44B" w:rsidRPr="5575EBFC">
        <w:rPr>
          <w:lang w:val="en-GB"/>
        </w:rPr>
        <w:t>lants</w:t>
      </w:r>
      <w:r w:rsidR="4AF9D562" w:rsidRPr="5575EBFC">
        <w:rPr>
          <w:lang w:val="en-GB"/>
        </w:rPr>
        <w:t xml:space="preserve">, </w:t>
      </w:r>
      <w:r w:rsidR="5B1AE08F" w:rsidRPr="5575EBFC">
        <w:rPr>
          <w:lang w:val="en-GB"/>
        </w:rPr>
        <w:t>animals</w:t>
      </w:r>
      <w:r w:rsidR="009F7404">
        <w:rPr>
          <w:lang w:val="en-GB"/>
        </w:rPr>
        <w:t xml:space="preserve"> and</w:t>
      </w:r>
      <w:r w:rsidR="4AF9D562" w:rsidRPr="5575EBFC">
        <w:rPr>
          <w:lang w:val="en-GB"/>
        </w:rPr>
        <w:t xml:space="preserve"> microbes</w:t>
      </w:r>
      <w:r w:rsidR="0CEA727B" w:rsidRPr="5575EBFC">
        <w:rPr>
          <w:lang w:val="en-GB"/>
        </w:rPr>
        <w:t xml:space="preserve">, </w:t>
      </w:r>
      <w:r w:rsidR="6EE14778" w:rsidRPr="5575EBFC">
        <w:rPr>
          <w:lang w:val="en-GB"/>
        </w:rPr>
        <w:t xml:space="preserve">either </w:t>
      </w:r>
      <w:r w:rsidR="3EC97252" w:rsidRPr="5575EBFC">
        <w:rPr>
          <w:lang w:val="en-GB"/>
        </w:rPr>
        <w:t>unintentionally</w:t>
      </w:r>
      <w:r w:rsidR="1A421573" w:rsidRPr="5575EBFC">
        <w:rPr>
          <w:lang w:val="en-GB"/>
        </w:rPr>
        <w:t xml:space="preserve"> </w:t>
      </w:r>
      <w:r w:rsidR="4DC57111" w:rsidRPr="5575EBFC">
        <w:rPr>
          <w:lang w:val="en-GB"/>
        </w:rPr>
        <w:t>in the case of pests</w:t>
      </w:r>
      <w:r w:rsidR="6EE14778" w:rsidRPr="5575EBFC">
        <w:rPr>
          <w:lang w:val="en-GB"/>
        </w:rPr>
        <w:t xml:space="preserve"> and </w:t>
      </w:r>
      <w:r w:rsidR="4DC57111" w:rsidRPr="5575EBFC">
        <w:rPr>
          <w:lang w:val="en-GB"/>
        </w:rPr>
        <w:t xml:space="preserve">diseases </w:t>
      </w:r>
      <w:r w:rsidR="1A421573" w:rsidRPr="5575EBFC">
        <w:rPr>
          <w:lang w:val="en-GB"/>
        </w:rPr>
        <w:t xml:space="preserve">or </w:t>
      </w:r>
      <w:r w:rsidR="3EC97252" w:rsidRPr="5575EBFC">
        <w:rPr>
          <w:lang w:val="en-GB"/>
        </w:rPr>
        <w:t xml:space="preserve">intentionally </w:t>
      </w:r>
      <w:r w:rsidR="1A421573" w:rsidRPr="5575EBFC">
        <w:rPr>
          <w:lang w:val="en-GB"/>
        </w:rPr>
        <w:t xml:space="preserve">in the case of pets, livestock, </w:t>
      </w:r>
      <w:r w:rsidR="17649CB6" w:rsidRPr="5575EBFC">
        <w:rPr>
          <w:lang w:val="en-GB"/>
        </w:rPr>
        <w:t>ornamental</w:t>
      </w:r>
      <w:r w:rsidR="408E13A6" w:rsidRPr="5575EBFC">
        <w:rPr>
          <w:lang w:val="en-GB"/>
        </w:rPr>
        <w:t>s,</w:t>
      </w:r>
      <w:r w:rsidR="17649CB6" w:rsidRPr="5575EBFC">
        <w:rPr>
          <w:lang w:val="en-GB"/>
        </w:rPr>
        <w:t xml:space="preserve"> or crops</w:t>
      </w:r>
      <w:r w:rsidR="1A421573" w:rsidRPr="5575EBFC">
        <w:rPr>
          <w:lang w:val="en-GB"/>
        </w:rPr>
        <w:t xml:space="preserve">. </w:t>
      </w:r>
      <w:r w:rsidR="742A4F2C" w:rsidRPr="5575EBFC">
        <w:rPr>
          <w:lang w:val="en-GB"/>
        </w:rPr>
        <w:t>Sociocultural drivers and social values (</w:t>
      </w:r>
      <w:r w:rsidR="1BBEF685" w:rsidRPr="5575EBFC">
        <w:rPr>
          <w:b/>
          <w:bCs/>
          <w:lang w:val="en-GB"/>
        </w:rPr>
        <w:t xml:space="preserve">section </w:t>
      </w:r>
      <w:r w:rsidR="742A4F2C" w:rsidRPr="5575EBFC">
        <w:rPr>
          <w:b/>
          <w:bCs/>
          <w:lang w:val="en-GB"/>
        </w:rPr>
        <w:t>3.2.1</w:t>
      </w:r>
      <w:r w:rsidR="742A4F2C" w:rsidRPr="5575EBFC">
        <w:rPr>
          <w:lang w:val="en-GB"/>
        </w:rPr>
        <w:t xml:space="preserve">) are important factors behind </w:t>
      </w:r>
      <w:r w:rsidR="4C37225B" w:rsidRPr="5575EBFC">
        <w:rPr>
          <w:lang w:val="en-GB"/>
        </w:rPr>
        <w:t xml:space="preserve">many of </w:t>
      </w:r>
      <w:r w:rsidR="742A4F2C" w:rsidRPr="5575EBFC">
        <w:rPr>
          <w:lang w:val="en-GB"/>
        </w:rPr>
        <w:t xml:space="preserve">these </w:t>
      </w:r>
      <w:r w:rsidR="5AC1BC05" w:rsidRPr="5575EBFC">
        <w:rPr>
          <w:lang w:val="en-GB"/>
        </w:rPr>
        <w:t xml:space="preserve">intentional </w:t>
      </w:r>
      <w:r w:rsidR="742A4F2C" w:rsidRPr="5575EBFC">
        <w:rPr>
          <w:lang w:val="en-GB"/>
        </w:rPr>
        <w:t xml:space="preserve">introductions. </w:t>
      </w:r>
      <w:r w:rsidR="1A421573" w:rsidRPr="5575EBFC">
        <w:rPr>
          <w:lang w:val="en-GB"/>
        </w:rPr>
        <w:t xml:space="preserve">Human migration thus operates through and in synergy with other indirect </w:t>
      </w:r>
      <w:r w:rsidR="653902EA" w:rsidRPr="5575EBFC">
        <w:rPr>
          <w:lang w:val="en-GB"/>
        </w:rPr>
        <w:t>drivers of change in nature</w:t>
      </w:r>
      <w:r w:rsidR="3249EFE2" w:rsidRPr="5575EBFC">
        <w:rPr>
          <w:lang w:val="en-GB"/>
        </w:rPr>
        <w:t xml:space="preserve"> </w:t>
      </w:r>
      <w:r w:rsidR="1A421573" w:rsidRPr="5575EBFC">
        <w:rPr>
          <w:lang w:val="en-GB"/>
        </w:rPr>
        <w:t>such as changes in</w:t>
      </w:r>
      <w:r w:rsidR="7B4F0A93" w:rsidRPr="5575EBFC">
        <w:rPr>
          <w:lang w:val="en-GB"/>
        </w:rPr>
        <w:t xml:space="preserve"> </w:t>
      </w:r>
      <w:r w:rsidR="1A421573" w:rsidRPr="5575EBFC">
        <w:rPr>
          <w:lang w:val="en-GB"/>
        </w:rPr>
        <w:t xml:space="preserve">travel, </w:t>
      </w:r>
      <w:r w:rsidR="5B1AE08F" w:rsidRPr="5575EBFC">
        <w:rPr>
          <w:lang w:val="en-GB"/>
        </w:rPr>
        <w:t>trade</w:t>
      </w:r>
      <w:r w:rsidR="009F7404">
        <w:rPr>
          <w:lang w:val="en-GB"/>
        </w:rPr>
        <w:t xml:space="preserve"> and</w:t>
      </w:r>
      <w:r w:rsidR="1A421573" w:rsidRPr="5575EBFC">
        <w:rPr>
          <w:lang w:val="en-GB"/>
        </w:rPr>
        <w:t xml:space="preserve"> transport (</w:t>
      </w:r>
      <w:r w:rsidR="1BBEF685" w:rsidRPr="5575EBFC">
        <w:rPr>
          <w:b/>
          <w:bCs/>
          <w:lang w:val="en-GB"/>
        </w:rPr>
        <w:t xml:space="preserve">sections </w:t>
      </w:r>
      <w:r w:rsidR="1A421573" w:rsidRPr="5575EBFC">
        <w:rPr>
          <w:b/>
          <w:bCs/>
          <w:lang w:val="en-GB"/>
        </w:rPr>
        <w:t>3.2.3.1</w:t>
      </w:r>
      <w:r w:rsidR="6D59668B" w:rsidRPr="5575EBFC">
        <w:rPr>
          <w:lang w:val="en-GB"/>
        </w:rPr>
        <w:t xml:space="preserve"> to </w:t>
      </w:r>
      <w:r w:rsidR="1A421573" w:rsidRPr="5575EBFC">
        <w:rPr>
          <w:b/>
          <w:bCs/>
          <w:lang w:val="en-GB"/>
        </w:rPr>
        <w:t>3.2.3.</w:t>
      </w:r>
      <w:r w:rsidR="068A59C1" w:rsidRPr="5575EBFC">
        <w:rPr>
          <w:b/>
          <w:bCs/>
          <w:lang w:val="en-GB"/>
        </w:rPr>
        <w:t>4</w:t>
      </w:r>
      <w:r w:rsidR="1A421573" w:rsidRPr="5575EBFC">
        <w:rPr>
          <w:lang w:val="en-GB"/>
        </w:rPr>
        <w:t>), urbanization and/or abandonment of land (</w:t>
      </w:r>
      <w:r w:rsidR="1BBEF685" w:rsidRPr="5575EBFC">
        <w:rPr>
          <w:b/>
          <w:bCs/>
          <w:lang w:val="en-GB"/>
        </w:rPr>
        <w:t xml:space="preserve">section </w:t>
      </w:r>
      <w:r w:rsidR="284F8430" w:rsidRPr="5575EBFC">
        <w:rPr>
          <w:b/>
          <w:bCs/>
          <w:lang w:val="en-GB"/>
        </w:rPr>
        <w:t>2.</w:t>
      </w:r>
      <w:r w:rsidR="1A421573" w:rsidRPr="5575EBFC">
        <w:rPr>
          <w:b/>
          <w:bCs/>
          <w:lang w:val="en-GB"/>
        </w:rPr>
        <w:t>3.3.</w:t>
      </w:r>
      <w:r w:rsidR="284F8430" w:rsidRPr="5575EBFC">
        <w:rPr>
          <w:b/>
          <w:bCs/>
          <w:lang w:val="en-GB"/>
        </w:rPr>
        <w:t>4</w:t>
      </w:r>
      <w:r w:rsidR="284F8430" w:rsidRPr="5575EBFC">
        <w:rPr>
          <w:i/>
          <w:iCs/>
          <w:lang w:val="en-GB"/>
        </w:rPr>
        <w:t xml:space="preserve"> </w:t>
      </w:r>
      <w:r w:rsidR="284F8430" w:rsidRPr="5575EBFC">
        <w:rPr>
          <w:lang w:val="en-GB"/>
        </w:rPr>
        <w:t>and</w:t>
      </w:r>
      <w:r w:rsidR="284F8430" w:rsidRPr="5575EBFC">
        <w:rPr>
          <w:i/>
          <w:iCs/>
          <w:lang w:val="en-GB"/>
        </w:rPr>
        <w:t xml:space="preserve"> </w:t>
      </w:r>
      <w:r w:rsidR="1A421573" w:rsidRPr="5575EBFC">
        <w:rPr>
          <w:b/>
          <w:bCs/>
          <w:lang w:val="en-GB"/>
        </w:rPr>
        <w:t>3.</w:t>
      </w:r>
      <w:r w:rsidR="595EE9CE" w:rsidRPr="5575EBFC">
        <w:rPr>
          <w:b/>
          <w:bCs/>
          <w:lang w:val="en-GB"/>
        </w:rPr>
        <w:t>3</w:t>
      </w:r>
      <w:r w:rsidR="1A421573" w:rsidRPr="5575EBFC">
        <w:rPr>
          <w:b/>
          <w:bCs/>
          <w:lang w:val="en-GB"/>
        </w:rPr>
        <w:t>.</w:t>
      </w:r>
      <w:r w:rsidR="595EE9CE" w:rsidRPr="5575EBFC">
        <w:rPr>
          <w:b/>
          <w:bCs/>
          <w:lang w:val="en-GB"/>
        </w:rPr>
        <w:t>1</w:t>
      </w:r>
      <w:r w:rsidR="1A421573" w:rsidRPr="5575EBFC">
        <w:rPr>
          <w:b/>
          <w:bCs/>
          <w:lang w:val="en-GB"/>
        </w:rPr>
        <w:t>.</w:t>
      </w:r>
      <w:r w:rsidR="6BA053D7" w:rsidRPr="5575EBFC">
        <w:rPr>
          <w:b/>
          <w:bCs/>
          <w:lang w:val="en-GB"/>
        </w:rPr>
        <w:t>5.1</w:t>
      </w:r>
      <w:r w:rsidR="1A421573" w:rsidRPr="5575EBFC">
        <w:rPr>
          <w:lang w:val="en-GB"/>
        </w:rPr>
        <w:t>)</w:t>
      </w:r>
      <w:r w:rsidR="009F7404">
        <w:rPr>
          <w:lang w:val="en-GB"/>
        </w:rPr>
        <w:t xml:space="preserve"> and</w:t>
      </w:r>
      <w:r w:rsidR="1A421573" w:rsidRPr="5575EBFC">
        <w:rPr>
          <w:lang w:val="en-GB"/>
        </w:rPr>
        <w:t xml:space="preserve"> population changes, </w:t>
      </w:r>
      <w:r w:rsidR="472D28FA" w:rsidRPr="5575EBFC">
        <w:rPr>
          <w:lang w:val="en-GB"/>
        </w:rPr>
        <w:t>armed</w:t>
      </w:r>
      <w:r w:rsidR="1A421573" w:rsidRPr="5575EBFC">
        <w:rPr>
          <w:lang w:val="en-GB"/>
        </w:rPr>
        <w:t xml:space="preserve"> </w:t>
      </w:r>
      <w:r w:rsidR="236C2CCA" w:rsidRPr="5575EBFC">
        <w:rPr>
          <w:lang w:val="en-GB"/>
        </w:rPr>
        <w:t>conflict</w:t>
      </w:r>
      <w:r w:rsidR="009F7404">
        <w:rPr>
          <w:lang w:val="en-GB"/>
        </w:rPr>
        <w:t xml:space="preserve"> and</w:t>
      </w:r>
      <w:r w:rsidR="39501970" w:rsidRPr="5575EBFC">
        <w:rPr>
          <w:lang w:val="en-GB"/>
        </w:rPr>
        <w:t xml:space="preserve"> emergency relief</w:t>
      </w:r>
      <w:r w:rsidR="1A421573" w:rsidRPr="5575EBFC">
        <w:rPr>
          <w:lang w:val="en-GB"/>
        </w:rPr>
        <w:t xml:space="preserve"> (</w:t>
      </w:r>
      <w:r w:rsidR="1BBEF685" w:rsidRPr="5575EBFC">
        <w:rPr>
          <w:b/>
          <w:bCs/>
          <w:lang w:val="en-GB"/>
        </w:rPr>
        <w:t xml:space="preserve">sections </w:t>
      </w:r>
      <w:r w:rsidR="1A421573" w:rsidRPr="5575EBFC">
        <w:rPr>
          <w:b/>
          <w:bCs/>
          <w:lang w:val="en-GB"/>
        </w:rPr>
        <w:t>3.2.2.1</w:t>
      </w:r>
      <w:r w:rsidR="1A421573" w:rsidRPr="5575EBFC">
        <w:rPr>
          <w:lang w:val="en-GB"/>
        </w:rPr>
        <w:t xml:space="preserve"> and </w:t>
      </w:r>
      <w:r w:rsidR="1A421573" w:rsidRPr="5575EBFC">
        <w:rPr>
          <w:b/>
          <w:bCs/>
          <w:lang w:val="en-GB"/>
        </w:rPr>
        <w:t>3.2.2.3</w:t>
      </w:r>
      <w:r w:rsidR="1A421573" w:rsidRPr="5575EBFC">
        <w:rPr>
          <w:lang w:val="en-GB"/>
        </w:rPr>
        <w:t xml:space="preserve">). </w:t>
      </w:r>
    </w:p>
    <w:p w14:paraId="67E5F58B" w14:textId="3990C325" w:rsidR="001D1B6C" w:rsidRPr="00DA249F" w:rsidRDefault="57B778FB" w:rsidP="0090109B">
      <w:pPr>
        <w:rPr>
          <w:lang w:val="en-GB"/>
        </w:rPr>
      </w:pPr>
      <w:r w:rsidRPr="5575EBFC">
        <w:rPr>
          <w:lang w:val="en-GB"/>
        </w:rPr>
        <w:t>Generally,</w:t>
      </w:r>
      <w:r w:rsidR="3D04D128" w:rsidRPr="5575EBFC">
        <w:rPr>
          <w:lang w:val="en-GB"/>
        </w:rPr>
        <w:t xml:space="preserve"> broad-scale analyses of the spread </w:t>
      </w:r>
      <w:r w:rsidR="42D21F9D" w:rsidRPr="5575EBFC">
        <w:rPr>
          <w:lang w:val="en-GB"/>
        </w:rPr>
        <w:t xml:space="preserve">and distribution </w:t>
      </w:r>
      <w:r w:rsidR="3D04D128" w:rsidRPr="5575EBFC">
        <w:rPr>
          <w:lang w:val="en-GB"/>
        </w:rPr>
        <w:t xml:space="preserve">of alien species find links between the rate and origins of introductions of new species and human migration history. For example, </w:t>
      </w:r>
      <w:r w:rsidR="23B673BE" w:rsidRPr="5575EBFC">
        <w:rPr>
          <w:lang w:val="en-GB"/>
        </w:rPr>
        <w:t>early</w:t>
      </w:r>
      <w:r w:rsidR="3D04D128" w:rsidRPr="5575EBFC">
        <w:rPr>
          <w:lang w:val="en-GB"/>
        </w:rPr>
        <w:t xml:space="preserve"> introductions of invasive </w:t>
      </w:r>
      <w:r w:rsidR="5ABCD4AB" w:rsidRPr="5575EBFC">
        <w:rPr>
          <w:lang w:val="en-GB"/>
        </w:rPr>
        <w:t xml:space="preserve">alien </w:t>
      </w:r>
      <w:r w:rsidR="3D04D128" w:rsidRPr="5575EBFC">
        <w:rPr>
          <w:lang w:val="en-GB"/>
        </w:rPr>
        <w:t xml:space="preserve">plants in Brazil and Australia can be linked to waves of European migration </w:t>
      </w:r>
      <w:r w:rsidR="005928AF" w:rsidRPr="5575EBFC">
        <w:rPr>
          <w:lang w:val="en-GB"/>
        </w:rPr>
        <w:fldChar w:fldCharType="begin"/>
      </w:r>
      <w:r w:rsidR="00230216">
        <w:rPr>
          <w:lang w:val="en-GB"/>
        </w:rPr>
        <w:instrText xml:space="preserve"> ADDIN ZOTERO_ITEM CSL_CITATION {"citationID":"xuFfgZJ0","properties":{"formattedCitation":"(Phillips et al., 2010; Zenni, 2014)","plainCitation":"(Phillips et al., 2010; Zenni, 2014)","noteIndex":0},"citationItems":[{"id":32691,"uris":["http://zotero.org/groups/2352922/items/KYEPZQJW"],"itemData":{"id":32691,"type":"article-journal","abstract":"Knowledge of historical factors associated with biological invasions in a region can help identify source regions, vectors and pathways more likely to originate potential invaders as well as prioritize resource allocation for selective prevention and early detection strategies. In Brazil, little is known about the introduction history of many invasive plant species, and analyses of historical factors associated with invasions are lacking. To fill this gap, I used a dataset of 117 invasive alien plants across 13 habitats in Brazil to identify potential patterns of continent of origin, reason for introduction, and to test the hypotheses that (i) more Eurasian species are invasive in Brazil than species native from other continents, that (ii) more horticultural species are invasive in Brazil than species introduced for other reasons, and that (iii) continent of origin and reason for introduction are associated. I found that significantly more invasive plant species in Brazil are native to Africa and Asia, were introduced for horticulture and forage, and are part of the families Poaceae, Fabaceae, and Pinaceae. I also found a significant association between continent of origin and reason for introduction, with more invasive species than average being African forage grasses and Asian agroforestry or ornamental plants. In conclusion, the results suggest that the current invasive alien flora of Brazil results from the combination of patterns of recent human migration waves and deliberate species introductions for technological and commercial reasons. These results can help prioritize invasive species and vectors in prevention, early detection, and control strategies.","container-title":"Austral Ecology","DOI":"10.1111/aec.12097","ISSN":"1442-9993","issue":"4","language":"en","license":"© 2013 The Author. Austral Ecology © 2013 Ecological Society of Australia","note":"number: 4\ncontainer-title: Austral Ecology","page":"401-407","source":"Wiley Online Library","title":"Analysis of introduction history of invasive plants in Brazil reveals patterns of association between biogeographical origin and reason for introduction","URL":"https://onlinelibrary.wiley.com/doi/abs/10.1111/aec.12097","volume":"39","author":[{"family":"Zenni","given":"Rafael D."}],"accessed":{"date-parts":[["2020",2,9]]},"issued":{"date-parts":[["2014"]]}}},{"id":"zUkrYEfa/BamvYVrU","uris":["http://zotero.org/users/5891177/items/N4EPXV6Q"],"itemData":{"id":99,"type":"paper-conference","abstract":"The Central European flora is an important source pool of plant\nspecies introduced to many regions throughout theworld. In this\nstudy, we identified a total of 759 plant species of the\nCentral European flora that are currently recognized as alien\nspecies in Australia. We explored temporal patterns of\nintroduction of these species to Australia in relation to\nmethod of introduction, growth form, naturalization status and\ntaxonomy. Across all species, substantially larger numbers of\nspecies were introduced between 1840 and 1880 as well as\nbetween 1980 and the present, with a small peak of\nintroductions within the 1930s. These patterns reflect early\nimmigration patterns to Australia, recent improvements in fast\nand efficient transportation around the globe, and emigration\naway from difficult conditions brought about by the lead up to\nthe Second World War respectively. We found that the majority\nof species had deliberate (69%) rather than accidental (31%)\nintroductions and most species have not naturalized (66% casual\nspecies, 34% naturalized species). A total of 86 plant families\ncomprising 31 tree species, 91 shrub species, 533 herbaceous\nspecies and 61 grass species present in Central Europe have\nbeen introduced to Australia. Differential patterns of temporal\nintroduction of species were found as a function of both plant\nfamily and growth form and these patterns appear linked to\nvariation in human migration numbers to Australia.","source":"Semantic Scholar","title":"Plant species of the Central European flora as aliens in Australia","author":[{"family":"Phillips","given":"Megan L."},{"family":"Murray","given":"Brad R."},{"family":"Py\\vsek","given":"Petr"},{"family":"Pergl","given":"Jan"},{"family":"Jaro\\vsík","given":"Vojtěch"},{"family":"Chytrý","given":"Milan"},{"family":"Kühn","given":"Ingolf"}],"issued":{"date-parts":[["2010"]]}}}],"schema":"https://github.com/citation-style-language/schema/raw/master/csl-citation.json"} </w:instrText>
      </w:r>
      <w:r w:rsidR="005928AF" w:rsidRPr="5575EBFC">
        <w:rPr>
          <w:lang w:val="en-GB"/>
        </w:rPr>
        <w:fldChar w:fldCharType="separate"/>
      </w:r>
      <w:r w:rsidR="6B5F9B9E">
        <w:t>(Phillips et al., 2010; Zenni, 2014)</w:t>
      </w:r>
      <w:r w:rsidR="005928AF" w:rsidRPr="5575EBFC">
        <w:rPr>
          <w:lang w:val="en-GB"/>
        </w:rPr>
        <w:fldChar w:fldCharType="end"/>
      </w:r>
      <w:r w:rsidR="3D04D128" w:rsidRPr="5575EBFC">
        <w:rPr>
          <w:lang w:val="en-GB"/>
        </w:rPr>
        <w:t xml:space="preserve">, patterns of early bird introductions worldwide spatially and temporally tracked the expansion of </w:t>
      </w:r>
      <w:r w:rsidR="2C75FCD1" w:rsidRPr="5575EBFC">
        <w:rPr>
          <w:lang w:val="en-GB"/>
        </w:rPr>
        <w:t>European (</w:t>
      </w:r>
      <w:r w:rsidR="00DF30EF">
        <w:rPr>
          <w:lang w:val="en-GB"/>
        </w:rPr>
        <w:t xml:space="preserve">and </w:t>
      </w:r>
      <w:r w:rsidR="2C75FCD1" w:rsidRPr="5575EBFC">
        <w:rPr>
          <w:lang w:val="en-GB"/>
        </w:rPr>
        <w:t xml:space="preserve">especially </w:t>
      </w:r>
      <w:r w:rsidR="3D04D128" w:rsidRPr="5575EBFC">
        <w:rPr>
          <w:lang w:val="en-GB"/>
        </w:rPr>
        <w:t>British</w:t>
      </w:r>
      <w:r w:rsidR="2C75FCD1" w:rsidRPr="5575EBFC">
        <w:rPr>
          <w:lang w:val="en-GB"/>
        </w:rPr>
        <w:t>)</w:t>
      </w:r>
      <w:r w:rsidR="3D04D128" w:rsidRPr="5575EBFC">
        <w:rPr>
          <w:lang w:val="en-GB"/>
        </w:rPr>
        <w:t xml:space="preserve"> colonialism </w:t>
      </w:r>
      <w:r w:rsidR="005928AF" w:rsidRPr="5575EBFC">
        <w:rPr>
          <w:lang w:val="en-GB"/>
        </w:rPr>
        <w:fldChar w:fldCharType="begin"/>
      </w:r>
      <w:r w:rsidR="00331A79">
        <w:rPr>
          <w:lang w:val="en-GB"/>
        </w:rPr>
        <w:instrText xml:space="preserve"> ADDIN ZOTERO_ITEM CSL_CITATION {"citationID":"p0a6H4yl","properties":{"formattedCitation":"(Dyer et al., 2017)","plainCitation":"(Dyer et al., 2017)","noteIndex":0},"citationItems":[{"id":9784,"uris":["http://zotero.org/groups/2352922/items/G3UKJVN6"],"itemData":{"id":9784,"type":"article-journal","abstract":"Alien species are a major component of human-induced environmental change. Variation in the numbers of alien species found in different areas is likely to depend on a combination of anthropogenic and environmental factors, with anthropogenic factors affecting the number of species introduced to new locations, and when, and environmental factors influencing how many species are able to persist there. However, global spatial and temporal variation in the drivers of alien introduction and species richness remain poorly understood. Here, we analyse an extensive new database of alien birds to explore what determines the global distribution of alien species richness for an entire taxonomic class. We demonstrate that the locations of origin and introduction of alien birds, and their identities, were initially driven largely by European (mainly British) colonialism. However, recent introductions are a wider phenomenon, involving more species and countries, and driven in part by increasing economic activity. We find that, globally, alien bird species richness is currently highest at midlatitudes and is strongly determined by anthropogenic effects, most notably the number of species introduced (i.e., “colonisation pressure”). Nevertheless, environmental drivers are also important, with native and alien species richness being strongly and consistently positively associated. Our results demonstrate that colonisation pressure is key to understanding alien species richness, show that areas of high native species richness are not resistant to colonisation by alien species at the global scale, and emphasise the likely ongoing threats to global environments from introductions of species.","container-title":"PLoS Biology","DOI":"10.1371/journal.pbio.2000942","ISSN":"1545-7885","issue":"1","journalAbbreviation":"PLoS Biol","language":"en","page":"e2000942","source":"DOI.org (Crossref)","title":"The global distribution and drivers of alien bird species richness","URL":"http://dx.plos.org/10.1371/journal.pbio.2000942","volume":"15","author":[{"family":"Dyer","given":"Ellie E."},{"family":"Cassey","given":"Phillip"},{"family":"Redding","given":"David W."},{"family":"Collen","given":"Ben"},{"family":"Franks","given":"Victoria"},{"family":"Gaston","given":"Kevin J."},{"family":"Jones","given":"Kate E."},{"family":"Kark","given":"Salit"},{"family":"Orme","given":"C. David L."},{"family":"Blackburn","given":"Tim M."}],"editor":[{"family":"Ricklefs","given":"Robert"}],"accessed":{"date-parts":[["2019",10,15]]},"issued":{"date-parts":[["2017",1,12]]}}}],"schema":"https://github.com/citation-style-language/schema/raw/master/csl-citation.json"} </w:instrText>
      </w:r>
      <w:r w:rsidR="005928AF" w:rsidRPr="5575EBFC">
        <w:rPr>
          <w:lang w:val="en-GB"/>
        </w:rPr>
        <w:fldChar w:fldCharType="separate"/>
      </w:r>
      <w:r w:rsidR="6B5F9B9E">
        <w:t>(Dyer et al., 2017)</w:t>
      </w:r>
      <w:r w:rsidR="005928AF" w:rsidRPr="5575EBFC">
        <w:rPr>
          <w:lang w:val="en-GB"/>
        </w:rPr>
        <w:fldChar w:fldCharType="end"/>
      </w:r>
      <w:r w:rsidR="28E183A6" w:rsidRPr="5575EBFC">
        <w:rPr>
          <w:lang w:val="en-GB"/>
        </w:rPr>
        <w:t>.</w:t>
      </w:r>
      <w:r w:rsidR="3D04D128" w:rsidRPr="5575EBFC">
        <w:rPr>
          <w:lang w:val="en-GB"/>
        </w:rPr>
        <w:t xml:space="preserve"> </w:t>
      </w:r>
      <w:r w:rsidR="28E183A6" w:rsidRPr="5575EBFC">
        <w:rPr>
          <w:lang w:val="en-GB"/>
        </w:rPr>
        <w:t>P</w:t>
      </w:r>
      <w:r w:rsidR="0D34A1DD" w:rsidRPr="5575EBFC">
        <w:rPr>
          <w:lang w:val="en-GB"/>
        </w:rPr>
        <w:t xml:space="preserve">atterns of </w:t>
      </w:r>
      <w:r w:rsidR="3D04D128" w:rsidRPr="5575EBFC">
        <w:rPr>
          <w:lang w:val="en-GB"/>
        </w:rPr>
        <w:t xml:space="preserve">ant invasion dynamics </w:t>
      </w:r>
      <w:r w:rsidR="0D34A1DD" w:rsidRPr="5575EBFC">
        <w:rPr>
          <w:lang w:val="en-GB"/>
        </w:rPr>
        <w:t xml:space="preserve">globally </w:t>
      </w:r>
      <w:r w:rsidR="3D04D128" w:rsidRPr="5575EBFC">
        <w:rPr>
          <w:lang w:val="en-GB"/>
        </w:rPr>
        <w:t xml:space="preserve">bear clear imprints of </w:t>
      </w:r>
      <w:r w:rsidR="6590C16C" w:rsidRPr="5575EBFC">
        <w:rPr>
          <w:lang w:val="en-GB"/>
        </w:rPr>
        <w:t xml:space="preserve">human demographic </w:t>
      </w:r>
      <w:r w:rsidR="13FFA28D" w:rsidRPr="5575EBFC">
        <w:rPr>
          <w:lang w:val="en-GB"/>
        </w:rPr>
        <w:t>patterns</w:t>
      </w:r>
      <w:r w:rsidR="0D34A1DD" w:rsidRPr="5575EBFC">
        <w:rPr>
          <w:lang w:val="en-GB"/>
        </w:rPr>
        <w:t xml:space="preserve"> </w:t>
      </w:r>
      <w:r w:rsidR="5ABCD4AB" w:rsidRPr="5575EBFC">
        <w:rPr>
          <w:lang w:val="en-GB"/>
        </w:rPr>
        <w:t>including</w:t>
      </w:r>
      <w:r w:rsidR="0D34A1DD" w:rsidRPr="5575EBFC">
        <w:rPr>
          <w:lang w:val="en-GB"/>
        </w:rPr>
        <w:t xml:space="preserve"> </w:t>
      </w:r>
      <w:r w:rsidR="13FFA28D" w:rsidRPr="5575EBFC">
        <w:rPr>
          <w:lang w:val="en-GB"/>
        </w:rPr>
        <w:t>an early</w:t>
      </w:r>
      <w:r w:rsidR="0D34A1DD" w:rsidRPr="5575EBFC">
        <w:rPr>
          <w:lang w:val="en-GB"/>
        </w:rPr>
        <w:t xml:space="preserve"> wave </w:t>
      </w:r>
      <w:r w:rsidR="13FFA28D" w:rsidRPr="5575EBFC">
        <w:rPr>
          <w:lang w:val="en-GB"/>
        </w:rPr>
        <w:t xml:space="preserve">of </w:t>
      </w:r>
      <w:r w:rsidR="64DE78F3" w:rsidRPr="5575EBFC">
        <w:rPr>
          <w:lang w:val="en-GB"/>
        </w:rPr>
        <w:t xml:space="preserve">biological </w:t>
      </w:r>
      <w:r w:rsidR="13FFA28D" w:rsidRPr="5575EBFC">
        <w:rPr>
          <w:lang w:val="en-GB"/>
        </w:rPr>
        <w:t xml:space="preserve">invasions </w:t>
      </w:r>
      <w:r w:rsidR="0D34A1DD" w:rsidRPr="5575EBFC">
        <w:rPr>
          <w:lang w:val="en-GB"/>
        </w:rPr>
        <w:t>(18</w:t>
      </w:r>
      <w:r w:rsidR="13FFA28D" w:rsidRPr="5575EBFC">
        <w:rPr>
          <w:lang w:val="en-GB"/>
        </w:rPr>
        <w:t>5</w:t>
      </w:r>
      <w:r w:rsidR="0D34A1DD" w:rsidRPr="5575EBFC">
        <w:rPr>
          <w:lang w:val="en-GB"/>
        </w:rPr>
        <w:t xml:space="preserve">0-1910) coinciding with a period of </w:t>
      </w:r>
      <w:r w:rsidR="6590C16C" w:rsidRPr="5575EBFC">
        <w:rPr>
          <w:lang w:val="en-GB"/>
        </w:rPr>
        <w:t xml:space="preserve">high </w:t>
      </w:r>
      <w:r w:rsidR="0D34A1DD" w:rsidRPr="5575EBFC">
        <w:rPr>
          <w:lang w:val="en-GB"/>
        </w:rPr>
        <w:t xml:space="preserve">human migration </w:t>
      </w:r>
      <w:r w:rsidR="005928AF" w:rsidRPr="5575EBFC">
        <w:rPr>
          <w:lang w:val="en-GB"/>
        </w:rPr>
        <w:fldChar w:fldCharType="begin"/>
      </w:r>
      <w:r w:rsidR="00230216">
        <w:rPr>
          <w:lang w:val="en-GB"/>
        </w:rPr>
        <w:instrText xml:space="preserve"> ADDIN ZOTERO_ITEM CSL_CITATION {"citationID":"UJVxTJLD","properties":{"formattedCitation":"(Bertelsmeier et al., 2017)","plainCitation":"(Bertelsmeier et al., 2017)","noteIndex":0},"citationItems":[{"id":9816,"uris":["http://zotero.org/groups/2352922/items/USLPJ2H3"],"itemData":{"id":9816,"type":"article-journal","abstract":"The worldwide spread of four groups of alien ant species has been significantly but differently influenced by major events in recent human history: waves of globalization, world wars and global recessions.","container-title":"Nature Ecology &amp; Evolution","DOI":"10.1038/s41559-017-0184","ISSN":"2397-334X","issue":"7","language":"en","license":"2017 Macmillan Publishers Limited, part of Springer Nature.","note":"number: 7\ncontainer-title: Nature Ecology &amp; Evolution","page":"1-8","source":"www.nature.com","title":"Recent human history governs global ant invasion dynamics","URL":"https://www.nature.com/articles/s41559-017-0184","volume":"1","author":[{"family":"Bertelsmeier","given":"Cleo"},{"family":"Ollier","given":"Sébastien"},{"family":"Liebhold","given":"Andrew"},{"family":"Keller","given":"Laurent"}],"accessed":{"date-parts":[["2020",2,9]]},"issued":{"date-parts":[["2017",6,22]]}}}],"schema":"https://github.com/citation-style-language/schema/raw/master/csl-citation.json"} </w:instrText>
      </w:r>
      <w:r w:rsidR="005928AF" w:rsidRPr="5575EBFC">
        <w:rPr>
          <w:lang w:val="en-GB"/>
        </w:rPr>
        <w:fldChar w:fldCharType="separate"/>
      </w:r>
      <w:r w:rsidR="00230216" w:rsidRPr="00230216">
        <w:t>(Bertelsmeier et al., 2017)</w:t>
      </w:r>
      <w:r w:rsidR="005928AF" w:rsidRPr="5575EBFC">
        <w:rPr>
          <w:lang w:val="en-GB"/>
        </w:rPr>
        <w:fldChar w:fldCharType="end"/>
      </w:r>
      <w:r w:rsidR="6E3B4D13" w:rsidRPr="5575EBFC">
        <w:rPr>
          <w:lang w:val="en-GB"/>
        </w:rPr>
        <w:t>. A</w:t>
      </w:r>
      <w:r w:rsidR="7E575775" w:rsidRPr="5575EBFC">
        <w:rPr>
          <w:lang w:val="en-GB"/>
        </w:rPr>
        <w:t xml:space="preserve">s a </w:t>
      </w:r>
      <w:r w:rsidR="5ABCD4AB" w:rsidRPr="5575EBFC">
        <w:rPr>
          <w:lang w:val="en-GB"/>
        </w:rPr>
        <w:t>more</w:t>
      </w:r>
      <w:r w:rsidR="7E575775" w:rsidRPr="5575EBFC">
        <w:rPr>
          <w:lang w:val="en-GB"/>
        </w:rPr>
        <w:t xml:space="preserve"> recent example,</w:t>
      </w:r>
      <w:r w:rsidR="514331E8" w:rsidRPr="5575EBFC">
        <w:rPr>
          <w:lang w:val="en-GB"/>
        </w:rPr>
        <w:t xml:space="preserve"> the number of</w:t>
      </w:r>
      <w:r w:rsidR="7E575775" w:rsidRPr="5575EBFC">
        <w:rPr>
          <w:lang w:val="en-GB"/>
        </w:rPr>
        <w:t xml:space="preserve"> </w:t>
      </w:r>
      <w:r w:rsidR="13FFA28D" w:rsidRPr="5575EBFC">
        <w:rPr>
          <w:lang w:val="en-GB"/>
        </w:rPr>
        <w:t xml:space="preserve">insect invasions in Europe increased </w:t>
      </w:r>
      <w:r w:rsidR="55D8FF53" w:rsidRPr="5575EBFC">
        <w:rPr>
          <w:lang w:val="en-GB"/>
        </w:rPr>
        <w:t xml:space="preserve">steeply </w:t>
      </w:r>
      <w:r w:rsidR="5A1FF241" w:rsidRPr="5575EBFC">
        <w:rPr>
          <w:lang w:val="en-GB"/>
        </w:rPr>
        <w:t xml:space="preserve">in response to political changes </w:t>
      </w:r>
      <w:r w:rsidR="19E47698" w:rsidRPr="5575EBFC">
        <w:rPr>
          <w:lang w:val="en-GB"/>
        </w:rPr>
        <w:t xml:space="preserve">that allowed increased movement of people and goods </w:t>
      </w:r>
      <w:r w:rsidR="5A1FF241" w:rsidRPr="5575EBFC">
        <w:rPr>
          <w:lang w:val="en-GB"/>
        </w:rPr>
        <w:t xml:space="preserve">in Europe </w:t>
      </w:r>
      <w:r w:rsidR="19E47698" w:rsidRPr="5575EBFC">
        <w:rPr>
          <w:lang w:val="en-GB"/>
        </w:rPr>
        <w:t xml:space="preserve">after </w:t>
      </w:r>
      <w:r w:rsidR="5A1FF241" w:rsidRPr="5575EBFC">
        <w:rPr>
          <w:lang w:val="en-GB"/>
        </w:rPr>
        <w:t xml:space="preserve">the fall of the Iron Curtain in </w:t>
      </w:r>
      <w:r w:rsidR="5D3F7E08" w:rsidRPr="5575EBFC">
        <w:rPr>
          <w:lang w:val="en-GB"/>
        </w:rPr>
        <w:t>1989</w:t>
      </w:r>
      <w:r w:rsidR="71B853D4" w:rsidRPr="5575EBFC">
        <w:rPr>
          <w:lang w:val="en-GB"/>
        </w:rPr>
        <w:t>,</w:t>
      </w:r>
      <w:r w:rsidR="5A1FF241" w:rsidRPr="5575EBFC">
        <w:rPr>
          <w:lang w:val="en-GB"/>
        </w:rPr>
        <w:t xml:space="preserve"> </w:t>
      </w:r>
      <w:r w:rsidR="19E47698" w:rsidRPr="5575EBFC">
        <w:rPr>
          <w:lang w:val="en-GB"/>
        </w:rPr>
        <w:t xml:space="preserve">and </w:t>
      </w:r>
      <w:r w:rsidR="49125BA7" w:rsidRPr="5575EBFC">
        <w:rPr>
          <w:lang w:val="en-GB"/>
        </w:rPr>
        <w:t>also</w:t>
      </w:r>
      <w:r w:rsidR="71B853D4" w:rsidRPr="5575EBFC">
        <w:rPr>
          <w:lang w:val="en-GB"/>
        </w:rPr>
        <w:t xml:space="preserve"> increased </w:t>
      </w:r>
      <w:r w:rsidR="7F655F99" w:rsidRPr="5575EBFC">
        <w:rPr>
          <w:lang w:val="en-GB"/>
        </w:rPr>
        <w:t xml:space="preserve">following the </w:t>
      </w:r>
      <w:r w:rsidR="19E47698" w:rsidRPr="5575EBFC">
        <w:rPr>
          <w:lang w:val="en-GB"/>
        </w:rPr>
        <w:t>expansion and integration of the European Union</w:t>
      </w:r>
      <w:r w:rsidR="7F655F99" w:rsidRPr="5575EBFC">
        <w:rPr>
          <w:lang w:val="en-GB"/>
        </w:rPr>
        <w:t xml:space="preserve"> </w:t>
      </w:r>
      <w:r w:rsidR="005928AF" w:rsidRPr="5575EBFC">
        <w:rPr>
          <w:lang w:val="en-GB"/>
        </w:rPr>
        <w:fldChar w:fldCharType="begin"/>
      </w:r>
      <w:r w:rsidR="00331A79">
        <w:rPr>
          <w:lang w:val="en-GB"/>
        </w:rPr>
        <w:instrText xml:space="preserve"> ADDIN ZOTERO_ITEM CSL_CITATION {"citationID":"hkYu937d","properties":{"formattedCitation":"(Roques et al., 2016)","plainCitation":"(Roques et al., 2016)","noteIndex":0},"citationItems":[{"id":33036,"uris":["http://zotero.org/groups/2352922/items/DZ8B7IWC"],"itemData":{"id":33036,"type":"article-journal","abstract":"Globalization is triggering an increase in the establishment of alien insects in Europe, with several species having substantial ecological and economic impacts. We investigated long-term changes in rates of species spread following establishment. We used the total area of countries invaded by 1171 insect species for which the date of first record in Europe is known, to estimate their current range radius (calculated as [invaded area]0.5/π). We estimated initial rates of radial spread and compared them among different groups of insects for all years (1800–2014) and for a subset of more recent decades (1950–2014). Accidentally introduced species spread faster than intentionally introduced species. Considering the whole period 1800–2014, spread patterns also differ between feeding guilds, with decreasing spread rates over residence time in herbivores but not in detritivores or parasitic species. These decreases for herbivorous species appeared mainly in those associated with herbaceous plants and crops rather than woody plants. Initial spread rate was significantly greater for species detected after 1990, roughly 3–4 times higher than for species that arrived earlier. We hypothesize that the political changes in Europe following the collapse of the Iron Curtain in 1989, and the further dismantling of customs checkpoints within an enlarged European Union (EU) have facilitated the faster spread of alien insect species. Also, the number of species first recorded in the Eastern Bloc of the politically-divided Europe before 1989 was lower than for the rest of Europe. A detailed analysis of six recent invaders indicated a dominant role of long-distance translocations related to human activities, especially with the plant trade, in determining rates of spread.","container-title":"Biological Invasions","DOI":"10.1007/s10530-016-1080-y","ISSN":"1573-1464","issue":"4","journalAbbreviation":"Biol Invasions","language":"en","page":"907-920","source":"Springer Link","title":"Temporal and interspecific variation in rates of spread for insect species invading Europe during the last 200 years","URL":"https://doi.org/10.1007/s10530-016-1080-y","volume":"18","author":[{"family":"Roques","given":"Alain"},{"family":"Auger-Rozenberg","given":"Marie-Anne"},{"family":"Blackburn","given":"Tim M."},{"family":"Garnas","given":"Jeff"},{"family":"Pyšek","given":"Petr"},{"family":"Rabitsch","given":"Wolfgang"},{"family":"Richardson","given":"David M."},{"family":"Wingfield","given":"Michael J."},{"family":"Liebhold","given":"Andrew M."},{"family":"Duncan","given":"Richard P."}],"accessed":{"date-parts":[["2019",12,5]]},"issued":{"date-parts":[["2016",4,1]]}},"label":"page"}],"schema":"https://github.com/citation-style-language/schema/raw/master/csl-citation.json"} </w:instrText>
      </w:r>
      <w:r w:rsidR="005928AF" w:rsidRPr="5575EBFC">
        <w:rPr>
          <w:lang w:val="en-GB"/>
        </w:rPr>
        <w:fldChar w:fldCharType="separate"/>
      </w:r>
      <w:r w:rsidR="6B5F9B9E">
        <w:t>(Roques et al., 2016)</w:t>
      </w:r>
      <w:r w:rsidR="005928AF" w:rsidRPr="5575EBFC">
        <w:rPr>
          <w:lang w:val="en-GB"/>
        </w:rPr>
        <w:fldChar w:fldCharType="end"/>
      </w:r>
      <w:r w:rsidR="2F9329F1" w:rsidRPr="5575EBFC">
        <w:rPr>
          <w:lang w:val="en-GB"/>
        </w:rPr>
        <w:t xml:space="preserve">. </w:t>
      </w:r>
      <w:r w:rsidR="39C56DF4" w:rsidRPr="5575EBFC">
        <w:rPr>
          <w:lang w:val="en-GB"/>
        </w:rPr>
        <w:t xml:space="preserve">Similarly in line with </w:t>
      </w:r>
      <w:r w:rsidR="5B30E2DE" w:rsidRPr="5575EBFC">
        <w:rPr>
          <w:lang w:val="en-GB"/>
        </w:rPr>
        <w:t>geopolitical and economic trends, v</w:t>
      </w:r>
      <w:r w:rsidR="3D04D128" w:rsidRPr="5575EBFC">
        <w:rPr>
          <w:lang w:val="en-GB"/>
        </w:rPr>
        <w:t xml:space="preserve">ertebrate introductions from Europe to the </w:t>
      </w:r>
      <w:r w:rsidR="602D59B0" w:rsidRPr="5575EBFC">
        <w:rPr>
          <w:lang w:val="en-GB"/>
        </w:rPr>
        <w:t xml:space="preserve">United States </w:t>
      </w:r>
      <w:r w:rsidR="00542A94">
        <w:rPr>
          <w:lang w:val="en-GB"/>
        </w:rPr>
        <w:t xml:space="preserve">of America </w:t>
      </w:r>
      <w:r w:rsidR="3D04D128" w:rsidRPr="5575EBFC">
        <w:rPr>
          <w:lang w:val="en-GB"/>
        </w:rPr>
        <w:t xml:space="preserve">peaked in the </w:t>
      </w:r>
      <w:r w:rsidR="52E327E6" w:rsidRPr="5575EBFC">
        <w:rPr>
          <w:lang w:val="en-GB"/>
        </w:rPr>
        <w:t>nineteenth</w:t>
      </w:r>
      <w:r w:rsidR="3D04D128" w:rsidRPr="5575EBFC">
        <w:rPr>
          <w:lang w:val="en-GB"/>
        </w:rPr>
        <w:t xml:space="preserve"> century </w:t>
      </w:r>
      <w:r w:rsidR="2F8C3031" w:rsidRPr="5575EBFC">
        <w:rPr>
          <w:lang w:val="en-GB"/>
        </w:rPr>
        <w:t>paralleling</w:t>
      </w:r>
      <w:r w:rsidR="3D04D128" w:rsidRPr="5575EBFC">
        <w:rPr>
          <w:lang w:val="en-GB"/>
        </w:rPr>
        <w:t xml:space="preserve"> high </w:t>
      </w:r>
      <w:r w:rsidR="016A29D2" w:rsidRPr="5575EBFC">
        <w:rPr>
          <w:lang w:val="en-GB"/>
        </w:rPr>
        <w:t xml:space="preserve">rates of human </w:t>
      </w:r>
      <w:r w:rsidR="3D04D128" w:rsidRPr="5575EBFC">
        <w:rPr>
          <w:lang w:val="en-GB"/>
        </w:rPr>
        <w:t>migration</w:t>
      </w:r>
      <w:r w:rsidR="016A29D2" w:rsidRPr="5575EBFC">
        <w:rPr>
          <w:lang w:val="en-GB"/>
        </w:rPr>
        <w:t xml:space="preserve"> in the same direction</w:t>
      </w:r>
      <w:r w:rsidR="3D04D128" w:rsidRPr="5575EBFC">
        <w:rPr>
          <w:lang w:val="en-GB"/>
        </w:rPr>
        <w:t xml:space="preserve">, while </w:t>
      </w:r>
      <w:r w:rsidR="14D6CE0B" w:rsidRPr="5575EBFC">
        <w:rPr>
          <w:lang w:val="en-GB"/>
        </w:rPr>
        <w:t>alien vertebrate</w:t>
      </w:r>
      <w:r w:rsidR="42FBC737" w:rsidRPr="5575EBFC">
        <w:rPr>
          <w:lang w:val="en-GB"/>
        </w:rPr>
        <w:t xml:space="preserve"> </w:t>
      </w:r>
      <w:r w:rsidR="559C3104" w:rsidRPr="5575EBFC">
        <w:rPr>
          <w:lang w:val="en-GB"/>
        </w:rPr>
        <w:t xml:space="preserve">introductions </w:t>
      </w:r>
      <w:r w:rsidR="3D04D128" w:rsidRPr="5575EBFC">
        <w:rPr>
          <w:lang w:val="en-GB"/>
        </w:rPr>
        <w:t>in the opposite direction (</w:t>
      </w:r>
      <w:r w:rsidR="602D59B0" w:rsidRPr="5575EBFC">
        <w:rPr>
          <w:lang w:val="en-GB"/>
        </w:rPr>
        <w:t xml:space="preserve">United States </w:t>
      </w:r>
      <w:r w:rsidR="3D04D128" w:rsidRPr="5575EBFC">
        <w:rPr>
          <w:lang w:val="en-GB"/>
        </w:rPr>
        <w:t xml:space="preserve">to Europe) are at their highest now </w:t>
      </w:r>
      <w:r w:rsidR="005928AF" w:rsidRPr="5575EBFC">
        <w:rPr>
          <w:lang w:val="en-GB"/>
        </w:rPr>
        <w:fldChar w:fldCharType="begin"/>
      </w:r>
      <w:r w:rsidR="00331A79">
        <w:rPr>
          <w:lang w:val="en-GB"/>
        </w:rPr>
        <w:instrText xml:space="preserve"> ADDIN ZOTERO_ITEM CSL_CITATION {"citationID":"QecN8eNn","properties":{"formattedCitation":"(J. M. Jeschke &amp; Strayer, 2005)","plainCitation":"(J. M. Jeschke &amp; Strayer, 2005)","dontUpdate":true,"noteIndex":0},"citationItems":[{"id":29129,"uris":["http://zotero.org/groups/2352922/items/7R5LPUMK"],"itemData":{"id":29129,"type":"article-journal","abstract":"Species become invasive if they (i) are introduced to a new range, (ii) establish themselves, and (iii) spread. To address the global problems caused by invasive species, several studies investigated steps ii and iii of this invasion process. However, only one previous study looked at step i and examined the proportion of species that have been introduced beyond their native range. We extend this research by investigating all three steps for all freshwater fish, mammals, and birds native to Europe or North America. A higher proportion of European species entered North America than vice versa. However, the introduction rate from Europe to North America peaked in the late 19th century, whereas it is still rising in the other direction. There is no clear difference in invasion success between the two directions, so neither the imperialism dogma (that Eurasian species are exceptionally successful invaders) is </w:instrText>
      </w:r>
      <w:r w:rsidR="00331A79">
        <w:rPr>
          <w:rFonts w:hint="eastAsia"/>
          <w:lang w:val="en-GB"/>
        </w:rPr>
        <w:instrText xml:space="preserve">supported, nor is the contradictory hypothesis that North America offers more biotic resistance to invaders than Europe because of its less disturbed and richer biota. Our results do not support the tens rule either: that </w:instrText>
      </w:r>
      <w:r w:rsidR="00331A79">
        <w:rPr>
          <w:rFonts w:hint="eastAsia"/>
          <w:lang w:val="en-GB"/>
        </w:rPr>
        <w:instrText>≈</w:instrText>
      </w:r>
      <w:r w:rsidR="00331A79">
        <w:rPr>
          <w:rFonts w:hint="eastAsia"/>
          <w:lang w:val="en-GB"/>
        </w:rPr>
        <w:instrText xml:space="preserve">10% of all introduced species establish themselves and that </w:instrText>
      </w:r>
      <w:r w:rsidR="00331A79">
        <w:rPr>
          <w:rFonts w:hint="eastAsia"/>
          <w:lang w:val="en-GB"/>
        </w:rPr>
        <w:instrText>≈</w:instrText>
      </w:r>
      <w:r w:rsidR="00331A79">
        <w:rPr>
          <w:rFonts w:hint="eastAsia"/>
          <w:lang w:val="en-GB"/>
        </w:rPr>
        <w:instrText xml:space="preserve">10% of established species spread. We find a success of </w:instrText>
      </w:r>
      <w:r w:rsidR="00331A79">
        <w:rPr>
          <w:rFonts w:hint="eastAsia"/>
          <w:lang w:val="en-GB"/>
        </w:rPr>
        <w:instrText>≈</w:instrText>
      </w:r>
      <w:r w:rsidR="00331A79">
        <w:rPr>
          <w:rFonts w:hint="eastAsia"/>
          <w:lang w:val="en-GB"/>
        </w:rPr>
        <w:instrText xml:space="preserve">50% at each step. In comparison, only </w:instrText>
      </w:r>
      <w:r w:rsidR="00331A79">
        <w:rPr>
          <w:rFonts w:hint="eastAsia"/>
          <w:lang w:val="en-GB"/>
        </w:rPr>
        <w:instrText>≈</w:instrText>
      </w:r>
      <w:r w:rsidR="00331A79">
        <w:rPr>
          <w:rFonts w:hint="eastAsia"/>
          <w:lang w:val="en-GB"/>
        </w:rPr>
        <w:instrText>5% of native vertebrates were introduced in either direction. These figures show that, once a vertebrate is introduced, it has a h</w:instrText>
      </w:r>
      <w:r w:rsidR="00331A79">
        <w:rPr>
          <w:lang w:val="en-GB"/>
        </w:rPr>
        <w:instrText xml:space="preserve">igh potential to become invasive. Thus, it is crucial to minimize the number of species introductions to effectively control invasive vertebrates.","container-title":"Proceedings of the National Academy of Sciences","DOI":"10.1073/pnas.0501271102","ISSN":"0027-8424, 1091-6490","issue":"20","journalAbbreviation":"PNAS","language":"en","license":"Copyright © 2005, The National Academy of Sciences","note":"PMID: 15849267","page":"7198-7202","source":"www.pnas.org","title":"Invasion success of vertebrates in Europe and North America","URL":"https://www.pnas.org/content/102/20/7198","volume":"102","author":[{"family":"Jeschke","given":"Jonathan M."},{"family":"Strayer","given":"David L."}],"accessed":{"date-parts":[["2020",6,14]]},"issued":{"date-parts":[["2005",5,17]]}}}],"schema":"https://github.com/citation-style-language/schema/raw/master/csl-citation.json"} </w:instrText>
      </w:r>
      <w:r w:rsidR="005928AF" w:rsidRPr="5575EBFC">
        <w:rPr>
          <w:lang w:val="en-GB"/>
        </w:rPr>
        <w:fldChar w:fldCharType="separate"/>
      </w:r>
      <w:r w:rsidR="764BDFE2" w:rsidRPr="5575EBFC">
        <w:rPr>
          <w:lang w:val="en-GB"/>
        </w:rPr>
        <w:t>(Jeschke &amp; Strayer, 2005)</w:t>
      </w:r>
      <w:r w:rsidR="005928AF" w:rsidRPr="5575EBFC">
        <w:rPr>
          <w:lang w:val="en-GB"/>
        </w:rPr>
        <w:fldChar w:fldCharType="end"/>
      </w:r>
      <w:r w:rsidR="3D04D128" w:rsidRPr="5575EBFC">
        <w:rPr>
          <w:lang w:val="en-GB"/>
        </w:rPr>
        <w:t xml:space="preserve">. </w:t>
      </w:r>
    </w:p>
    <w:p w14:paraId="7C09CF07" w14:textId="47333BE5" w:rsidR="0037171C" w:rsidRPr="00DA249F" w:rsidRDefault="00EB6770" w:rsidP="0090109B">
      <w:pPr>
        <w:rPr>
          <w:lang w:val="en-GB"/>
        </w:rPr>
      </w:pPr>
      <w:r w:rsidRPr="00DA249F">
        <w:rPr>
          <w:lang w:val="en-GB"/>
        </w:rPr>
        <w:t xml:space="preserve">Migration can also drive introductions and spread of alien species within regions, for example, immigrants </w:t>
      </w:r>
      <w:r w:rsidR="00BA5477" w:rsidRPr="00DA249F">
        <w:rPr>
          <w:lang w:val="en-GB"/>
        </w:rPr>
        <w:t xml:space="preserve">to </w:t>
      </w:r>
      <w:r w:rsidRPr="00DA249F">
        <w:rPr>
          <w:lang w:val="en-GB"/>
        </w:rPr>
        <w:t xml:space="preserve">South Africa </w:t>
      </w:r>
      <w:r w:rsidR="71B8E649" w:rsidRPr="00DA249F">
        <w:rPr>
          <w:lang w:val="en-GB"/>
        </w:rPr>
        <w:t>fr</w:t>
      </w:r>
      <w:r w:rsidR="003C2492">
        <w:rPr>
          <w:lang w:val="en-GB"/>
        </w:rPr>
        <w:t>om</w:t>
      </w:r>
      <w:r w:rsidR="00BA5477" w:rsidRPr="00DA249F">
        <w:rPr>
          <w:lang w:val="en-GB"/>
        </w:rPr>
        <w:t xml:space="preserve"> other countries in the region </w:t>
      </w:r>
      <w:r w:rsidRPr="00DA249F">
        <w:rPr>
          <w:lang w:val="en-GB"/>
        </w:rPr>
        <w:t xml:space="preserve">have brought </w:t>
      </w:r>
      <w:r w:rsidR="00BA5477" w:rsidRPr="00DA249F">
        <w:rPr>
          <w:lang w:val="en-GB"/>
        </w:rPr>
        <w:t>with them</w:t>
      </w:r>
      <w:r w:rsidRPr="00DA249F">
        <w:rPr>
          <w:lang w:val="en-GB"/>
        </w:rPr>
        <w:t xml:space="preserve"> their own medicinal plants and have created a market for them </w:t>
      </w:r>
      <w:r w:rsidR="004B1697" w:rsidRPr="00DA249F">
        <w:rPr>
          <w:lang w:val="en-GB"/>
        </w:rPr>
        <w:fldChar w:fldCharType="begin"/>
      </w:r>
      <w:r w:rsidR="00331A79">
        <w:rPr>
          <w:lang w:val="en-GB"/>
        </w:rPr>
        <w:instrText xml:space="preserve"> ADDIN ZOTERO_ITEM CSL_CITATION {"citationID":"RSzstDWz","properties":{"formattedCitation":"(Faulkner et al., 2020)","plainCitation":"(Faulkner et al., 2020)","noteIndex":0},"citationItems":[{"id":30696,"uris":["http://zotero.org/groups/2352922/items/UHEEZ66D"],"itemData":{"id":30696,"type":"chapter","collection-title":"Invading Nature - Springer Series in Invasion Ecology","container-title":"Biological invasions in South Africa","event-place":"Cham, Switzerland","ISBN":"978-3-030-32393-6","note":"DOI: 10.1007/978-3-030-32394-3_12","page":"311-352","publisher":"Springer","publisher-place":"Cham, Switzerland","title":"South Africa’s pathways of introduction and dispersal and how they have changed over time","volume":"14","author":[{"family":"Faulkner","given":"Katelyn T."},{"family":"Burness","given":"A"},{"family":"Byrne","given":"M J"},{"family":"Kumschick","given":"S."},{"family":"Peters","given":"K"},{"family":"Robertson","given":"M. P."},{"family":"Saccaggi","given":"Davina L"},{"family":"Weyl","given":"O. L. F."},{"family":"Williams","given":"Vivienne L"}],"editor":[{"family":"Wilgen","given":"B W","non-dropping-particle":"van"},{"family":"Measey","given":"J"},{"family":"Richardson","given":"D W"},{"family":"Wilson","given":"J R"},{"family":"Zengeya","given":"T A"}],"issued":{"date-parts":[["2020"]]}}}],"schema":"https://github.com/citation-style-language/schema/raw/master/csl-citation.json"} </w:instrText>
      </w:r>
      <w:r w:rsidR="004B1697" w:rsidRPr="00DA249F">
        <w:rPr>
          <w:lang w:val="en-GB"/>
        </w:rPr>
        <w:fldChar w:fldCharType="separate"/>
      </w:r>
      <w:r w:rsidR="00144D96" w:rsidRPr="00144D96">
        <w:t>(Faulkner et al., 2020)</w:t>
      </w:r>
      <w:r w:rsidR="004B1697" w:rsidRPr="00DA249F">
        <w:rPr>
          <w:lang w:val="en-GB"/>
        </w:rPr>
        <w:fldChar w:fldCharType="end"/>
      </w:r>
      <w:r w:rsidRPr="00DA249F">
        <w:rPr>
          <w:lang w:val="en-GB"/>
        </w:rPr>
        <w:t xml:space="preserve">. </w:t>
      </w:r>
      <w:r w:rsidR="005B34B1" w:rsidRPr="00DA249F">
        <w:rPr>
          <w:lang w:val="en-GB"/>
        </w:rPr>
        <w:t xml:space="preserve">A parallel line of evidence for </w:t>
      </w:r>
      <w:r w:rsidR="000F73CB" w:rsidRPr="00DA249F">
        <w:rPr>
          <w:lang w:val="en-GB"/>
        </w:rPr>
        <w:t>the role</w:t>
      </w:r>
      <w:r w:rsidR="005B34B1" w:rsidRPr="00DA249F">
        <w:rPr>
          <w:lang w:val="en-GB"/>
        </w:rPr>
        <w:t xml:space="preserve"> of </w:t>
      </w:r>
      <w:r w:rsidR="00A22124" w:rsidRPr="00DA249F">
        <w:rPr>
          <w:lang w:val="en-GB"/>
        </w:rPr>
        <w:t>historic</w:t>
      </w:r>
      <w:r w:rsidR="005B34B1" w:rsidRPr="00DA249F">
        <w:rPr>
          <w:lang w:val="en-GB"/>
        </w:rPr>
        <w:t xml:space="preserve"> human migration on alien species’ distributions comes from intraspecific genetic patterns in alien species. Several studies reveal close congruence with historical large-scale human migration, including for human diseases carried directly by humans or by vectors associated with humans (e.g.</w:t>
      </w:r>
      <w:r w:rsidR="00110D88" w:rsidRPr="00DA249F">
        <w:rPr>
          <w:lang w:val="en-GB"/>
        </w:rPr>
        <w:t>,</w:t>
      </w:r>
      <w:r w:rsidR="005B34B1" w:rsidRPr="00DA249F">
        <w:rPr>
          <w:lang w:val="en-GB"/>
        </w:rPr>
        <w:t xml:space="preserve"> </w:t>
      </w:r>
      <w:r w:rsidR="005B34B1" w:rsidRPr="00DA249F">
        <w:rPr>
          <w:lang w:val="en-GB"/>
        </w:rPr>
        <w:fldChar w:fldCharType="begin"/>
      </w:r>
      <w:r w:rsidR="00230216">
        <w:rPr>
          <w:lang w:val="en-GB"/>
        </w:rPr>
        <w:instrText xml:space="preserve"> ADDIN ZOTERO_ITEM CSL_CITATION {"citationID":"H2CAn95O","properties":{"formattedCitation":"(Conn et al., 2002)","plainCitation":"(Conn et al., 2002)","dontUpdate":true,"noteIndex":0},"citationItems":[{"id":"zUkrYEfa/NyFRNiiK","uris":["http://zotero.org/users/5891177/items/FTGT4BKW"],"itemData":{"id":97,"type":"article-journal","abstract":"In a region of northeastern Amazonia, we find a species previously of minor importance, Anopheles marajoara, to be the principal malaria vector. In a total of five collections during 1996-97 in three replicated sites near the city of Macapá, Amapá state, this species occurs in much greater abundance compared with the presumed vector Anopheles darlingi. Also, a significantly higher proportion of An. marajoara is infected with malaria parasites, determined by the ELISA technique. This appears to be the result of increased abundance of An. marajoara due to alterations in land use, invasion of its primary breeding sites by human immigrants, and its anthropophilic behavior. This discovery highlights one of the challenges of Neotropical malaria control, namely that the targeting of specific vectors may be complicated by a changing mosaic of different locally important vectors and their interactions with human populations.","container-title":"The American Journal of Tropical Medicine and Hygiene","DOI":"10.4269/ajtmh.2002.66.18","ISSN":"0002-9637","issue":"1","journalAbbreviation":"Am. J. Trop. Med. Hyg.","language":"eng","note":"PMID: 12135261","page":"18-22","source":"PubMed","title":"Emergence of a new neotropical malaria vector facilitated by human migration and changes in land use","volume":"66","author":[{"family":"Conn","given":"Jan E."},{"family":"Wilkerson","given":"Richard C."},{"family":"Segura","given":"M. Nazaré O."},{"family":"Souza","given":"Raimundo T. L.","non-dropping-particle":"de"},{"family":"Schlichting","given":"Carl D."},{"family":"Wirtz","given":"Robert A."},{"family":"Póvoa","given":"Marinete M."}],"issued":{"date-parts":[["2002",1]]}}}],"schema":"https://github.com/citation-style-language/schema/raw/master/csl-citation.json"} </w:instrText>
      </w:r>
      <w:r w:rsidR="005B34B1" w:rsidRPr="00DA249F">
        <w:rPr>
          <w:lang w:val="en-GB"/>
        </w:rPr>
        <w:fldChar w:fldCharType="separate"/>
      </w:r>
      <w:r w:rsidR="005B34B1" w:rsidRPr="00DA249F">
        <w:rPr>
          <w:lang w:val="en-GB"/>
        </w:rPr>
        <w:t>Conn et al., 2002)</w:t>
      </w:r>
      <w:r w:rsidR="005B34B1" w:rsidRPr="00DA249F">
        <w:rPr>
          <w:lang w:val="en-GB"/>
        </w:rPr>
        <w:fldChar w:fldCharType="end"/>
      </w:r>
      <w:r w:rsidR="005B34B1" w:rsidRPr="00DA249F">
        <w:rPr>
          <w:lang w:val="en-GB"/>
        </w:rPr>
        <w:t>, pests (e.g.</w:t>
      </w:r>
      <w:r w:rsidR="00110D88" w:rsidRPr="00DA249F">
        <w:rPr>
          <w:lang w:val="en-GB"/>
        </w:rPr>
        <w:t>,</w:t>
      </w:r>
      <w:r w:rsidR="005B34B1" w:rsidRPr="00DA249F">
        <w:rPr>
          <w:lang w:val="en-GB"/>
        </w:rPr>
        <w:t xml:space="preserve"> </w:t>
      </w:r>
      <w:r w:rsidR="005B34B1" w:rsidRPr="00DA249F">
        <w:rPr>
          <w:lang w:val="en-GB"/>
        </w:rPr>
        <w:fldChar w:fldCharType="begin"/>
      </w:r>
      <w:r w:rsidR="00230216">
        <w:rPr>
          <w:lang w:val="en-GB"/>
        </w:rPr>
        <w:instrText xml:space="preserve"> ADDIN ZOTERO_ITEM CSL_CITATION {"citationID":"qE0YZvLy","properties":{"formattedCitation":"(Puckett &amp; Munshi-South, 2019)","plainCitation":"(Puckett &amp; Munshi-South, 2019)","dontUpdate":true,"noteIndex":0},"citationItems":[{"id":"zUkrYEfa/OhnxpQvZ","uris":["http://zotero.org/users/5891177/items/MZRDZC4C"],"itemData":{"id":102,"type":"article-journal","abstract":"Fossil evidence indicates that the globally-distributed brown rat (Rattus norvegicus) originated in northern China and Mongolia. Historical records report the human-mediated invasion of rats into Europe in the 1500s, followed by global spread due to European imperialist activity during the 1600s-1800s. We analyzed 14 genomes representing seven previously identified evolutionary clusters and tested alternative demographic models to infer patterns of range expansion, divergence times, and changes in effective population (Ne) size for this globally important pest species. We observed three range expansions from the ancestral population that produced the Pacific (~16.1 kya), eastern China (diverged ~17.5 kya), and Southeast (SE) Asia (~0.86 kya) lineages. Our model shows a rapid range expansion from SE Asia into the Middle East then continued expansion into central Europe 788 years ago (1227 AD). We observed declining Ne within all brown rat lineages from 150-1 kya, reflecting population contractions during glacial cycles. Ne increased since 1 kya in Asian and European, but not Pacific, evolutionary clusters. Our results support the hypothesis that northern Asia was the ancestral range for brown rats. We suggest that southward human migration across China between 800-1550s AD resulted in the introduction of rats to SE Asia, from which they rapidly expanded via existing maritime trade routes. Finally, we discovered that North America was colonized separately on both the Atlantic and Pacific seaboards, yet by evolutionary clusters of vastly different ages and genomic diversity levels. Our results should stimulate discussions among historians and zooarcheologists regarding the relationship between humans and rats.","container-title":"Genome Research","DOI":"10.1101/gr.235754.118","ISSN":"1088-9051, 1549-5469","journalAbbreviation":"Genome Res.","language":"en","note":"PMID: 30910795","page":"gr.235754.118","source":"genome.cshlp.org","title":"Brown rat demography reveals pre-commensal structure in eastern Asia prior to expansion into Southeast Asia","author":[{"family":"Puckett","given":"Emily Elizabeth"},{"family":"Munshi-South","given":"Jason"}],"issued":{"date-parts":[["2019",3,25]]}}}],"schema":"https://github.com/citation-style-language/schema/raw/master/csl-citation.json"} </w:instrText>
      </w:r>
      <w:r w:rsidR="005B34B1" w:rsidRPr="00DA249F">
        <w:rPr>
          <w:lang w:val="en-GB"/>
        </w:rPr>
        <w:fldChar w:fldCharType="separate"/>
      </w:r>
      <w:r w:rsidR="005B34B1" w:rsidRPr="00DA249F">
        <w:rPr>
          <w:lang w:val="en-GB"/>
        </w:rPr>
        <w:t>Puckett &amp; Munshi-South, 2019)</w:t>
      </w:r>
      <w:r w:rsidR="005B34B1" w:rsidRPr="00DA249F">
        <w:rPr>
          <w:lang w:val="en-GB"/>
        </w:rPr>
        <w:fldChar w:fldCharType="end"/>
      </w:r>
      <w:r w:rsidR="005B34B1" w:rsidRPr="00DA249F">
        <w:rPr>
          <w:lang w:val="en-GB"/>
        </w:rPr>
        <w:t xml:space="preserve"> and even parasites of pests (e.g.</w:t>
      </w:r>
      <w:r w:rsidR="00110D88" w:rsidRPr="00DA249F">
        <w:rPr>
          <w:lang w:val="en-GB"/>
        </w:rPr>
        <w:t>,</w:t>
      </w:r>
      <w:r w:rsidR="005B34B1" w:rsidRPr="00DA249F">
        <w:rPr>
          <w:lang w:val="en-GB"/>
        </w:rPr>
        <w:t xml:space="preserve"> </w:t>
      </w:r>
      <w:r w:rsidR="005B34B1" w:rsidRPr="00DA249F">
        <w:rPr>
          <w:lang w:val="en-GB"/>
        </w:rPr>
        <w:fldChar w:fldCharType="begin"/>
      </w:r>
      <w:r w:rsidR="00FF0069">
        <w:rPr>
          <w:lang w:val="en-GB"/>
        </w:rPr>
        <w:instrText xml:space="preserve"> ADDIN ZOTERO_ITEM CSL_CITATION {"citationID":"LQlhKPnH","properties":{"formattedCitation":"(Aketarawong et al., 2015; United Nations Department of Economic and Social Affairs, 2019)","plainCitation":"(Aketarawong et al., 2015; United Nations Department of Economic and Social Affairs, 2019)","dontUpdate":true,"noteIndex":0},"citationItems":[{"id":31908,"uris":["http://zotero.org/groups/2352922/items/NSITIXYU"],"itemData":{"id":31908,"type":"article-journal","abstract":"The Carambola fruit fly, Bactrocera carambolae, is an invasive pest in Southeast Asia. It has been introduced into areas in South America such as Suriname and Brazil. Bactrocera carambolae belongs to the B. dorsalis species complex, and seems to be separated from B. dorsalis based on morphological and multilocus phylogenetic studies. Even though the Carambola fruit fly is an important quarantine species and has an impact on international trade, knowledge of the molecular ecology of B. carambolae, concerning species status and pest management aspects, is lacking. Seven populations sampled from the known geographical areas of B. carambolae including Southeast Asia (i.e., Indonesia, Malaysia, Thailand) and South America (i.e., Suriname), were genotyped using eight microsatellite DNA markers. Genetic variation, genetic structure, and genetic network among populations illustrated that the Suriname samples were genetically differentiated from Southeast Asian populations. The genetic network revealed that samples from West Sumatra (Pekanbaru, PK) and Java (Jakarta, JK) were presumably the source populations of B. carambolae in Suriname, which was congruent with human migration records between the two continents. Additionally, three populations of B. dorsalis were included to better understand the </w:instrText>
      </w:r>
      <w:r w:rsidR="00FF0069">
        <w:rPr>
          <w:rFonts w:hint="eastAsia"/>
          <w:lang w:val="en-GB"/>
        </w:rPr>
        <w:instrText xml:space="preserve">species boundary. The genetic structure between the two species was significantly separated and approximately 11% of total individuals were detected as admixed (0.100 </w:instrText>
      </w:r>
      <w:r w:rsidR="00FF0069">
        <w:rPr>
          <w:rFonts w:hint="eastAsia"/>
          <w:lang w:val="en-GB"/>
        </w:rPr>
        <w:instrText>≤</w:instrText>
      </w:r>
      <w:r w:rsidR="00FF0069">
        <w:rPr>
          <w:rFonts w:hint="eastAsia"/>
          <w:lang w:val="en-GB"/>
        </w:rPr>
        <w:instrText xml:space="preserve"> Q </w:instrText>
      </w:r>
      <w:r w:rsidR="00FF0069">
        <w:rPr>
          <w:rFonts w:hint="eastAsia"/>
          <w:lang w:val="en-GB"/>
        </w:rPr>
        <w:instrText>≤</w:instrText>
      </w:r>
      <w:r w:rsidR="00FF0069">
        <w:rPr>
          <w:rFonts w:hint="eastAsia"/>
          <w:lang w:val="en-GB"/>
        </w:rPr>
        <w:instrText xml:space="preserve"> 0.900). The genetic network showed connections between B. carambolae and B. dorsal</w:instrText>
      </w:r>
      <w:r w:rsidR="00FF0069">
        <w:rPr>
          <w:lang w:val="en-GB"/>
        </w:rPr>
        <w:instrText xml:space="preserve">is groups throughout Depok (DP), JK, and Nakhon Sri Thammarat (NT) populations. These data supported the hypothesis that the reproductive isolation between the two species may be leaky. Although the morphology and monophyly of nuclear and mitochondrial DNA sequences in previous studies showed discrete entities, the hypothesis of semipermeable boundaries may not be rejected. Alleles at microsatellite loci could be introgressed rather than other nuclear and mitochondrial DNA. Bactrocera carambolae may be an incipient rather than a distinct species of B. dorsalis. Regarding the pest management aspect, the genetic sexing Salaya5 strain (SY5) was included for comparison with wild populations. The SY5 strain was genetically assigned to the B. carambolae cluster. Likewise, the genetic network showed that the strain shared greatest genetic similarity to JK, suggesting that SY5 did not divert away from its original genetic makeup. Under laboratory conditions, at least 12 generations apart, selection did not strongly affect genetic compatibility between the strain and wild populations. This knowledge further confirms the potential utilization of the Salaya5 strain in regional programs of area-wide integrated pest management using SIT.","container-title":"ZooKeys","DOI":"10.3897/zookeys.540.10058","ISSN":"1313-2970","language":"en","license":"2019Nidchaya Aketarawong, Siriwan Isasawin, Punchapat Sojikul, Sujinda Thanaphum","note":"container-title: ZooKeys","page":"239-272","source":"zookeys.pensoft.net","title":"Gene flow and genetic structure of &lt;i&gt;Bactrocera carambolae&lt;/i&gt; (Diptera, Tephritidae) among geographical differences and sister species, &lt;i&gt;B. dorsalis&lt;/i&gt;, inferred from microsatellite DNA data","URL":"https://zookeys.pensoft.net/article/6062/","volume":"540","author":[{"family":"Aketarawong","given":"Nidchaya"},{"family":"Isasawin","given":"Siriwan"},{"family":"Sojikul","given":"Punchapat"},{"family":"Thanaphum","given":"Sujinda"}],"accessed":{"date-parts":[["2019",11,15]]},"issued":{"date-parts":[["2015",11,26]]}},"label":"page"},{"id":25090,"uris":["http://zotero.org/groups/2352922/items/VPCFII98"],"itemData":{"id":25090,"type":"book","ISBN":"978-92-1-004313-7","note":"DOI: 10.18356/6255ead2-en","number-of-pages":"34","title":"World Urbanization Prospects 2018: Highlights","URL":"https://www.un-ilibrary.org/content/publication/6255ead2-en","author":[{"literal":"United Nations Department of Economic and Social Affairs"}],"issued":{"date-parts":[["2019"]]}},"label":"page"}],"schema":"https://github.com/citation-style-language/schema/raw/master/csl-citation.json"} </w:instrText>
      </w:r>
      <w:r w:rsidR="005B34B1" w:rsidRPr="00DA249F">
        <w:rPr>
          <w:lang w:val="en-GB"/>
        </w:rPr>
        <w:fldChar w:fldCharType="separate"/>
      </w:r>
      <w:r w:rsidR="00E47460" w:rsidRPr="00E47460">
        <w:t xml:space="preserve">Aketarawong et al., 2015; United Nations Department of </w:t>
      </w:r>
      <w:r w:rsidR="00E47460" w:rsidRPr="00E47460">
        <w:lastRenderedPageBreak/>
        <w:t>Economic and Social Affairs, 2019)</w:t>
      </w:r>
      <w:r w:rsidR="005B34B1" w:rsidRPr="00DA249F">
        <w:rPr>
          <w:lang w:val="en-GB"/>
        </w:rPr>
        <w:fldChar w:fldCharType="end"/>
      </w:r>
      <w:r w:rsidR="005B34B1" w:rsidRPr="00DA249F">
        <w:rPr>
          <w:lang w:val="en-GB"/>
        </w:rPr>
        <w:t>.</w:t>
      </w:r>
      <w:r w:rsidR="00A22124" w:rsidRPr="00DA249F">
        <w:rPr>
          <w:i/>
          <w:iCs/>
          <w:lang w:val="en-GB"/>
        </w:rPr>
        <w:t xml:space="preserve"> </w:t>
      </w:r>
      <w:r w:rsidR="00A5215D">
        <w:rPr>
          <w:lang w:val="en-GB"/>
        </w:rPr>
        <w:t>Accordingly</w:t>
      </w:r>
      <w:r w:rsidR="008C1BF7" w:rsidRPr="00DA249F">
        <w:rPr>
          <w:lang w:val="en-GB"/>
        </w:rPr>
        <w:t xml:space="preserve">, </w:t>
      </w:r>
      <w:r w:rsidR="008948A5" w:rsidRPr="00DA249F">
        <w:rPr>
          <w:lang w:val="en-GB"/>
        </w:rPr>
        <w:t xml:space="preserve">political or other barriers to </w:t>
      </w:r>
      <w:r w:rsidR="008C1BF7" w:rsidRPr="00DA249F">
        <w:rPr>
          <w:lang w:val="en-GB"/>
        </w:rPr>
        <w:t xml:space="preserve">human migration can impede rates of spread of alien species, as is seen in the spread of alien insects across Europe, which appears to have been hampered by the political East-West barrier during the </w:t>
      </w:r>
      <w:r w:rsidR="00241F5A" w:rsidRPr="00DA249F">
        <w:rPr>
          <w:lang w:val="en-GB"/>
        </w:rPr>
        <w:t>C</w:t>
      </w:r>
      <w:r w:rsidR="008C1BF7" w:rsidRPr="00DA249F">
        <w:rPr>
          <w:lang w:val="en-GB"/>
        </w:rPr>
        <w:t xml:space="preserve">old </w:t>
      </w:r>
      <w:r w:rsidR="00241F5A" w:rsidRPr="00DA249F">
        <w:rPr>
          <w:lang w:val="en-GB"/>
        </w:rPr>
        <w:t>W</w:t>
      </w:r>
      <w:r w:rsidR="008C1BF7" w:rsidRPr="00DA249F">
        <w:rPr>
          <w:lang w:val="en-GB"/>
        </w:rPr>
        <w:t xml:space="preserve">ar, as rates of spread </w:t>
      </w:r>
      <w:r w:rsidR="00EA73B2" w:rsidRPr="00DA249F">
        <w:rPr>
          <w:lang w:val="en-GB"/>
        </w:rPr>
        <w:t>were</w:t>
      </w:r>
      <w:r w:rsidR="008C1BF7" w:rsidRPr="00DA249F">
        <w:rPr>
          <w:lang w:val="en-GB"/>
        </w:rPr>
        <w:t xml:space="preserve"> four times higher after 1989 compared to the 1950-1989 period </w:t>
      </w:r>
      <w:r w:rsidR="008C1BF7" w:rsidRPr="00DA249F">
        <w:rPr>
          <w:lang w:val="en-GB"/>
        </w:rPr>
        <w:fldChar w:fldCharType="begin"/>
      </w:r>
      <w:r w:rsidR="00331A79">
        <w:rPr>
          <w:lang w:val="en-GB"/>
        </w:rPr>
        <w:instrText xml:space="preserve"> ADDIN ZOTERO_ITEM CSL_CITATION {"citationID":"ti5F45gz","properties":{"formattedCitation":"(Roques et al., 2016)","plainCitation":"(Roques et al., 2016)","noteIndex":0},"citationItems":[{"id":33036,"uris":["http://zotero.org/groups/2352922/items/DZ8B7IWC"],"itemData":{"id":33036,"type":"article-journal","abstract":"Globalization is triggering an increase in the establishment of alien insects in Europe, with several species having substantial ecological and economic impacts. We investigated long-term changes in rates of species spread following establishment. We used the total area of countries invaded by 1171 insect species for which the date of first record in Europe is known, to estimate their current range radius (calculated as [invaded area]0.5/π). We estimated initial rates of radial spread and compared them among different groups of insects for all years (1800–2014) and for a subset of more recent decades (1950–2014). Accidentally introduced species spread faster than intentionally introduced species. Considering the whole period 1800–2014, spread patterns also differ between feeding guilds, with decreasing spread rates over residence time in herbivores but not in detritivores or parasitic species. These decreases for herbivorous species appeared mainly in those associated with herbaceous plants and crops rather than woody plants. Initial spread rate was significantly greater for species detected after 1990, roughly 3–4 times higher than for species that arrived earlier. We hypothesize that the political changes in Europe following the collapse of the Iron Curtain in 1989, and the further dismantling of customs checkpoints within an enlarged European Union (EU) have facilitated the faster spread of alien insect species. Also, the number of species first recorded in the Eastern Bloc of the politically-divided Europe before 1989 was lower than for the rest of Europe. A detailed analysis of six recent invaders indicated a dominant role of long-distance translocations related to human activities, especially with the plant trade, in determining rates of spread.","container-title":"Biological Invasions","DOI":"10.1007/s10530-016-1080-y","ISSN":"1573-1464","issue":"4","journalAbbreviation":"Biol Invasions","language":"en","page":"907-920","source":"Springer Link","title":"Temporal and interspecific variation in rates of spread for insect species invading Europe during the last 200 years","URL":"https://doi.org/10.1007/s10530-016-1080-y","volume":"18","author":[{"family":"Roques","given":"Alain"},{"family":"Auger-Rozenberg","given":"Marie-Anne"},{"family":"Blackburn","given":"Tim M."},{"family":"Garnas","given":"Jeff"},{"family":"Pyšek","given":"Petr"},{"family":"Rabitsch","given":"Wolfgang"},{"family":"Richardson","given":"David M."},{"family":"Wingfield","given":"Michael J."},{"family":"Liebhold","given":"Andrew M."},{"family":"Duncan","given":"Richard P."}],"accessed":{"date-parts":[["2019",12,5]]},"issued":{"date-parts":[["2016",4,1]]}}}],"schema":"https://github.com/citation-style-language/schema/raw/master/csl-citation.json"} </w:instrText>
      </w:r>
      <w:r w:rsidR="008C1BF7" w:rsidRPr="00DA249F">
        <w:rPr>
          <w:lang w:val="en-GB"/>
        </w:rPr>
        <w:fldChar w:fldCharType="separate"/>
      </w:r>
      <w:r w:rsidR="00144D96" w:rsidRPr="00144D96">
        <w:t>(Roques et al., 2016)</w:t>
      </w:r>
      <w:r w:rsidR="008C1BF7" w:rsidRPr="00DA249F">
        <w:rPr>
          <w:lang w:val="en-GB"/>
        </w:rPr>
        <w:fldChar w:fldCharType="end"/>
      </w:r>
      <w:r w:rsidR="008C1BF7" w:rsidRPr="00DA249F">
        <w:rPr>
          <w:lang w:val="en-GB"/>
        </w:rPr>
        <w:t xml:space="preserve">. </w:t>
      </w:r>
    </w:p>
    <w:p w14:paraId="1F583136" w14:textId="7F71EBD0" w:rsidR="008948A5" w:rsidRPr="00DA249F" w:rsidRDefault="6B9A34C3" w:rsidP="0090109B">
      <w:pPr>
        <w:rPr>
          <w:lang w:val="en-GB"/>
        </w:rPr>
      </w:pPr>
      <w:r w:rsidRPr="5575EBFC">
        <w:rPr>
          <w:lang w:val="en-GB"/>
        </w:rPr>
        <w:t>While human migration is increasing globally</w:t>
      </w:r>
      <w:r w:rsidR="0038D7A2" w:rsidRPr="5575EBFC">
        <w:rPr>
          <w:lang w:val="en-GB"/>
        </w:rPr>
        <w:t xml:space="preserve"> </w:t>
      </w:r>
      <w:r w:rsidR="397D3772" w:rsidRPr="5575EBFC">
        <w:rPr>
          <w:lang w:val="en-GB"/>
        </w:rPr>
        <w:fldChar w:fldCharType="begin"/>
      </w:r>
      <w:r w:rsidR="00331A79">
        <w:rPr>
          <w:lang w:val="en-GB"/>
        </w:rPr>
        <w:instrText xml:space="preserve"> ADDIN ZOTERO_ITEM CSL_CITATION {"citationID":"GRt2aRn8","properties":{"formattedCitation":"(United Nations Department of Economic and Social Affairs, Population Division, 2020)","plainCitation":"(United Nations Department of Economic and Social Affairs, Population Division, 2020)","noteIndex":0},"citationItems":[{"id":26976,"uris":["http://zotero.org/groups/2352922/items/YKUH9EB3"],"itemData":{"id":26976,"type":"document","title":"International Migration 2020 Highlights (ST/ESA/SER.A/452)","URL":"https://www.un.org/en/desa/international-migration-2020-highlights","author":[{"literal":"United Nations Department of Economic and Social Affairs, Population Division"}],"issued":{"date-parts":[["2020"]]}}}],"schema":"https://github.com/citation-style-language/schema/raw/master/csl-citation.json"} </w:instrText>
      </w:r>
      <w:r w:rsidR="397D3772" w:rsidRPr="5575EBFC">
        <w:rPr>
          <w:lang w:val="en-GB"/>
        </w:rPr>
        <w:fldChar w:fldCharType="separate"/>
      </w:r>
      <w:r w:rsidR="6B5F9B9E">
        <w:t>(United Nations Department of Economic and Social Affairs, Population Division, 2020)</w:t>
      </w:r>
      <w:r w:rsidR="397D3772" w:rsidRPr="5575EBFC">
        <w:rPr>
          <w:lang w:val="en-GB"/>
        </w:rPr>
        <w:fldChar w:fldCharType="end"/>
      </w:r>
      <w:r w:rsidRPr="5575EBFC">
        <w:rPr>
          <w:lang w:val="en-GB"/>
        </w:rPr>
        <w:t xml:space="preserve">, </w:t>
      </w:r>
      <w:r w:rsidR="7A4DA54B" w:rsidRPr="5575EBFC">
        <w:rPr>
          <w:lang w:val="en-GB"/>
        </w:rPr>
        <w:t xml:space="preserve">other movements </w:t>
      </w:r>
      <w:r w:rsidRPr="5575EBFC">
        <w:rPr>
          <w:lang w:val="en-GB"/>
        </w:rPr>
        <w:t xml:space="preserve">of people and goods </w:t>
      </w:r>
      <w:r w:rsidR="7A4DA54B" w:rsidRPr="5575EBFC">
        <w:rPr>
          <w:lang w:val="en-GB"/>
        </w:rPr>
        <w:t xml:space="preserve">around the globe </w:t>
      </w:r>
      <w:r w:rsidRPr="5575EBFC">
        <w:rPr>
          <w:lang w:val="en-GB"/>
        </w:rPr>
        <w:t xml:space="preserve">resulting from </w:t>
      </w:r>
      <w:r w:rsidR="7A4DA54B" w:rsidRPr="5575EBFC">
        <w:rPr>
          <w:lang w:val="en-GB"/>
        </w:rPr>
        <w:t>trade</w:t>
      </w:r>
      <w:r w:rsidR="2171A295" w:rsidRPr="5575EBFC">
        <w:rPr>
          <w:lang w:val="en-GB"/>
        </w:rPr>
        <w:t xml:space="preserve"> and direct use of alien species in nature-based industries</w:t>
      </w:r>
      <w:r w:rsidR="7A4DA54B" w:rsidRPr="5575EBFC">
        <w:rPr>
          <w:lang w:val="en-GB"/>
        </w:rPr>
        <w:t xml:space="preserve"> (</w:t>
      </w:r>
      <w:r w:rsidR="70DEC9A7" w:rsidRPr="5575EBFC">
        <w:rPr>
          <w:b/>
          <w:bCs/>
          <w:lang w:val="en-GB"/>
        </w:rPr>
        <w:t xml:space="preserve">sections </w:t>
      </w:r>
      <w:r w:rsidR="7A4DA54B" w:rsidRPr="5575EBFC">
        <w:rPr>
          <w:b/>
          <w:bCs/>
          <w:lang w:val="en-GB"/>
        </w:rPr>
        <w:t>3.2.3.1</w:t>
      </w:r>
      <w:r w:rsidR="7A4DA54B" w:rsidRPr="5575EBFC">
        <w:rPr>
          <w:lang w:val="en-GB"/>
        </w:rPr>
        <w:t>,</w:t>
      </w:r>
      <w:r w:rsidR="7A4DA54B" w:rsidRPr="5575EBFC">
        <w:rPr>
          <w:b/>
          <w:bCs/>
          <w:lang w:val="en-GB"/>
        </w:rPr>
        <w:t xml:space="preserve"> 3.3.1.1</w:t>
      </w:r>
      <w:r w:rsidR="7A4DA54B" w:rsidRPr="5575EBFC">
        <w:rPr>
          <w:lang w:val="en-GB"/>
        </w:rPr>
        <w:t>)</w:t>
      </w:r>
      <w:r w:rsidR="009F7404">
        <w:rPr>
          <w:lang w:val="en-GB"/>
        </w:rPr>
        <w:t xml:space="preserve"> and</w:t>
      </w:r>
      <w:r w:rsidR="7A4DA54B" w:rsidRPr="5575EBFC">
        <w:rPr>
          <w:lang w:val="en-GB"/>
        </w:rPr>
        <w:t xml:space="preserve"> travel and tourism (</w:t>
      </w:r>
      <w:r w:rsidR="70DEC9A7" w:rsidRPr="5575EBFC">
        <w:rPr>
          <w:b/>
          <w:bCs/>
          <w:lang w:val="en-GB"/>
        </w:rPr>
        <w:t xml:space="preserve">section </w:t>
      </w:r>
      <w:r w:rsidR="7A4DA54B" w:rsidRPr="5575EBFC">
        <w:rPr>
          <w:b/>
          <w:bCs/>
          <w:lang w:val="en-GB"/>
        </w:rPr>
        <w:t>3.2.3.</w:t>
      </w:r>
      <w:r w:rsidR="274361A4" w:rsidRPr="5575EBFC">
        <w:rPr>
          <w:b/>
          <w:bCs/>
          <w:lang w:val="en-GB"/>
        </w:rPr>
        <w:t>4</w:t>
      </w:r>
      <w:r w:rsidR="7A4DA54B" w:rsidRPr="5575EBFC">
        <w:rPr>
          <w:lang w:val="en-GB"/>
        </w:rPr>
        <w:t xml:space="preserve">) </w:t>
      </w:r>
      <w:r w:rsidRPr="5575EBFC">
        <w:rPr>
          <w:lang w:val="en-GB"/>
        </w:rPr>
        <w:t xml:space="preserve">are </w:t>
      </w:r>
      <w:r w:rsidR="65E980CD" w:rsidRPr="5575EBFC">
        <w:rPr>
          <w:lang w:val="en-GB"/>
        </w:rPr>
        <w:t>increasing</w:t>
      </w:r>
      <w:r w:rsidRPr="5575EBFC">
        <w:rPr>
          <w:lang w:val="en-GB"/>
        </w:rPr>
        <w:t xml:space="preserve"> even more rapidly</w:t>
      </w:r>
      <w:r w:rsidR="65C70F9F" w:rsidRPr="5575EBFC">
        <w:rPr>
          <w:lang w:val="en-GB"/>
        </w:rPr>
        <w:t xml:space="preserve"> </w:t>
      </w:r>
      <w:r w:rsidR="397D3772" w:rsidRPr="5575EBFC">
        <w:rPr>
          <w:lang w:val="en-GB"/>
        </w:rPr>
        <w:fldChar w:fldCharType="begin"/>
      </w:r>
      <w:r w:rsidR="00230216">
        <w:rPr>
          <w:lang w:val="en-GB"/>
        </w:rPr>
        <w:instrText xml:space="preserve"> ADDIN ZOTERO_ITEM CSL_CITATION {"citationID":"zu2hBHpq","properties":{"formattedCitation":"(UNWTO, 2021)","plainCitation":"(UNWTO, 2021)","noteIndex":0},"citationItems":[{"id":"zUkrYEfa/3TQzDph1","uris":["http://zotero.org/users/5651267/items/AAP44DKP"],"itemData":{"id":66208,"type":"book","title":"Compendium of Tourism Statistics Data  2015 –  2019","URL":"https://www.e-unwto.org/doi/epdf/10.18111/9789284422494.1","author":[{"family":"UNWTO","given":""}],"accessed":{"date-parts":[["2021",11,30]]},"issued":{"date-parts":[["2021"]]}}}],"schema":"https://github.com/citation-style-language/schema/raw/master/csl-citation.json"} </w:instrText>
      </w:r>
      <w:r w:rsidR="397D3772" w:rsidRPr="5575EBFC">
        <w:rPr>
          <w:lang w:val="en-GB"/>
        </w:rPr>
        <w:fldChar w:fldCharType="separate"/>
      </w:r>
      <w:r w:rsidR="6B5F9B9E">
        <w:t>(UNWTO, 2021)</w:t>
      </w:r>
      <w:r w:rsidR="397D3772" w:rsidRPr="5575EBFC">
        <w:rPr>
          <w:lang w:val="en-GB"/>
        </w:rPr>
        <w:fldChar w:fldCharType="end"/>
      </w:r>
      <w:r w:rsidR="65C70F9F" w:rsidRPr="5575EBFC">
        <w:rPr>
          <w:lang w:val="en-GB"/>
        </w:rPr>
        <w:t>.</w:t>
      </w:r>
      <w:r w:rsidR="607475A9" w:rsidRPr="5575EBFC">
        <w:rPr>
          <w:lang w:val="en-GB"/>
        </w:rPr>
        <w:t xml:space="preserve"> </w:t>
      </w:r>
      <w:r w:rsidRPr="5575EBFC">
        <w:rPr>
          <w:lang w:val="en-GB"/>
        </w:rPr>
        <w:t>T</w:t>
      </w:r>
      <w:r w:rsidR="7A4DA54B" w:rsidRPr="5575EBFC">
        <w:rPr>
          <w:lang w:val="en-GB"/>
        </w:rPr>
        <w:t xml:space="preserve">he </w:t>
      </w:r>
      <w:r w:rsidR="61ACA59B" w:rsidRPr="5575EBFC">
        <w:rPr>
          <w:lang w:val="en-GB"/>
        </w:rPr>
        <w:t xml:space="preserve">relative importance </w:t>
      </w:r>
      <w:r w:rsidR="7A4DA54B" w:rsidRPr="5575EBFC">
        <w:rPr>
          <w:lang w:val="en-GB"/>
        </w:rPr>
        <w:t xml:space="preserve">of human migration </w:t>
      </w:r>
      <w:r w:rsidR="7A4DA54B" w:rsidRPr="5575EBFC">
        <w:rPr>
          <w:i/>
          <w:iCs/>
          <w:lang w:val="en-GB"/>
        </w:rPr>
        <w:t>per se</w:t>
      </w:r>
      <w:r w:rsidR="7A4DA54B" w:rsidRPr="5575EBFC">
        <w:rPr>
          <w:lang w:val="en-GB"/>
        </w:rPr>
        <w:t xml:space="preserve"> </w:t>
      </w:r>
      <w:r w:rsidR="5938B0E5" w:rsidRPr="5575EBFC">
        <w:rPr>
          <w:lang w:val="en-GB"/>
        </w:rPr>
        <w:t xml:space="preserve">in the introduction of invasive </w:t>
      </w:r>
      <w:r w:rsidR="64DE4BFA" w:rsidRPr="5575EBFC">
        <w:rPr>
          <w:lang w:val="en-GB"/>
        </w:rPr>
        <w:t xml:space="preserve">alien </w:t>
      </w:r>
      <w:r w:rsidR="5938B0E5" w:rsidRPr="5575EBFC">
        <w:rPr>
          <w:lang w:val="en-GB"/>
        </w:rPr>
        <w:t xml:space="preserve">species </w:t>
      </w:r>
      <w:r w:rsidR="7A4DA54B" w:rsidRPr="5575EBFC">
        <w:rPr>
          <w:lang w:val="en-GB"/>
        </w:rPr>
        <w:t xml:space="preserve">is </w:t>
      </w:r>
      <w:r w:rsidR="39C5CE84" w:rsidRPr="5575EBFC">
        <w:rPr>
          <w:lang w:val="en-GB"/>
        </w:rPr>
        <w:t xml:space="preserve">therefore </w:t>
      </w:r>
      <w:r w:rsidR="7A4DA54B" w:rsidRPr="5575EBFC">
        <w:rPr>
          <w:lang w:val="en-GB"/>
        </w:rPr>
        <w:t xml:space="preserve">likely to be </w:t>
      </w:r>
      <w:r w:rsidR="5E1773DB" w:rsidRPr="5575EBFC">
        <w:rPr>
          <w:lang w:val="en-GB"/>
        </w:rPr>
        <w:t>decreasing</w:t>
      </w:r>
      <w:r w:rsidR="7A4DA54B" w:rsidRPr="5575EBFC">
        <w:rPr>
          <w:lang w:val="en-GB"/>
        </w:rPr>
        <w:t xml:space="preserve">. In line with this, recent </w:t>
      </w:r>
      <w:r w:rsidR="39C5CE84" w:rsidRPr="5575EBFC">
        <w:rPr>
          <w:lang w:val="en-GB"/>
        </w:rPr>
        <w:t xml:space="preserve">global analyses reveal </w:t>
      </w:r>
      <w:r w:rsidR="7A4DA54B" w:rsidRPr="5575EBFC">
        <w:rPr>
          <w:lang w:val="en-GB"/>
        </w:rPr>
        <w:t xml:space="preserve">only weak influence of </w:t>
      </w:r>
      <w:r w:rsidR="39C5CE84" w:rsidRPr="5575EBFC">
        <w:rPr>
          <w:lang w:val="en-GB"/>
        </w:rPr>
        <w:t xml:space="preserve">human </w:t>
      </w:r>
      <w:r w:rsidR="7A4DA54B" w:rsidRPr="5575EBFC">
        <w:rPr>
          <w:lang w:val="en-GB"/>
        </w:rPr>
        <w:t xml:space="preserve">migration on </w:t>
      </w:r>
      <w:r w:rsidR="39C5CE84" w:rsidRPr="5575EBFC">
        <w:rPr>
          <w:lang w:val="en-GB"/>
        </w:rPr>
        <w:t xml:space="preserve">recent patterns in the rate of </w:t>
      </w:r>
      <w:r w:rsidR="328623C2" w:rsidRPr="5575EBFC">
        <w:rPr>
          <w:lang w:val="en-GB"/>
        </w:rPr>
        <w:t xml:space="preserve">alien species’ </w:t>
      </w:r>
      <w:r w:rsidR="7A4DA54B" w:rsidRPr="5575EBFC">
        <w:rPr>
          <w:lang w:val="en-GB"/>
        </w:rPr>
        <w:t>introductions</w:t>
      </w:r>
      <w:r w:rsidR="39C5CE84" w:rsidRPr="5575EBFC">
        <w:rPr>
          <w:lang w:val="en-GB"/>
        </w:rPr>
        <w:t xml:space="preserve">, </w:t>
      </w:r>
      <w:r w:rsidR="6B1DDDBC" w:rsidRPr="5575EBFC">
        <w:rPr>
          <w:lang w:val="en-GB"/>
        </w:rPr>
        <w:t xml:space="preserve">and also weak </w:t>
      </w:r>
      <w:r w:rsidR="1E514FD9" w:rsidRPr="5575EBFC">
        <w:rPr>
          <w:lang w:val="en-GB"/>
        </w:rPr>
        <w:t xml:space="preserve">influences of human migration rates on variation in </w:t>
      </w:r>
      <w:r w:rsidR="64DE78F3" w:rsidRPr="5575EBFC">
        <w:rPr>
          <w:lang w:val="en-GB"/>
        </w:rPr>
        <w:t xml:space="preserve">biological </w:t>
      </w:r>
      <w:r w:rsidR="1E514FD9" w:rsidRPr="5575EBFC">
        <w:rPr>
          <w:lang w:val="en-GB"/>
        </w:rPr>
        <w:t xml:space="preserve">invasions </w:t>
      </w:r>
      <w:r w:rsidR="39C5CE84" w:rsidRPr="5575EBFC">
        <w:rPr>
          <w:lang w:val="en-GB"/>
        </w:rPr>
        <w:t xml:space="preserve">among taxonomic groups and between geographic regions </w:t>
      </w:r>
      <w:r w:rsidR="397D3772" w:rsidRPr="5575EBFC">
        <w:rPr>
          <w:lang w:val="en-GB"/>
        </w:rPr>
        <w:fldChar w:fldCharType="begin"/>
      </w:r>
      <w:r w:rsidR="00331A79">
        <w:rPr>
          <w:lang w:val="en-GB"/>
        </w:rPr>
        <w:instrText xml:space="preserve"> ADDIN ZOTERO_ITEM CSL_CITATION {"citationID":"RipB7NDH","properties":{"formattedCitation":"(Seebens et al., 2015)","plainCitation":"(Seebens et al., 2015)","noteIndex":0},"citationItems":[{"id":56690,"uris":["http://zotero.org/groups/2352922/items/BUQI9FWK","http://zotero.org/groups/2352922/items/JXSQ5KP4"],"itemData":{"id":56690,"type":"article-journal","container-title":"Global Change Biology","DOI":"10.1111/gcb.13021","ISSN":"13541013","issue":"11","journalAbbreviation":"Glob Change Biol","language":"en","page":"4128-4140","source":"DOI.org (Crossref)","title":"Global trade will accelerate plant invasions in emerging economies under climate change","URL":"https://onlinelibrary.wiley.com/doi/10.1111/gcb.13021","volume":"21","author":[{"family":"Seebens","given":"Hanno"},{"family":"Essl","given":"Franz"},{"family":"Dawson","given":"Wayne"},{"family":"Fuentes","given":"Nicol"},{"family":"Moser","given":"Dietmar"},{"family":"Pergl","given":"Jan"},{"family":"Pyšek","given":"Petr"},{"family":"Van Kleunen","given":"Mark"},{"family":"Weber","given":"Ewald"},{"family":"Winter","given":"Marten"},{"family":"Blasius","given":"Bernd"}],"accessed":{"date-parts":[["2023",6,8]]},"issued":{"date-parts":[["2015",11]]}}}],"schema":"https://github.com/citation-style-language/schema/raw/master/csl-citation.json"} </w:instrText>
      </w:r>
      <w:r w:rsidR="397D3772" w:rsidRPr="5575EBFC">
        <w:rPr>
          <w:lang w:val="en-GB"/>
        </w:rPr>
        <w:fldChar w:fldCharType="separate"/>
      </w:r>
      <w:r w:rsidR="6B5F9B9E">
        <w:t>(Seebens et al., 2015)</w:t>
      </w:r>
      <w:r w:rsidR="397D3772" w:rsidRPr="5575EBFC">
        <w:rPr>
          <w:lang w:val="en-GB"/>
        </w:rPr>
        <w:fldChar w:fldCharType="end"/>
      </w:r>
      <w:r w:rsidR="7A4DA54B" w:rsidRPr="5575EBFC">
        <w:rPr>
          <w:lang w:val="en-GB"/>
        </w:rPr>
        <w:t>.</w:t>
      </w:r>
      <w:r w:rsidR="0227C99F" w:rsidRPr="5575EBFC">
        <w:rPr>
          <w:lang w:val="en-GB"/>
        </w:rPr>
        <w:t xml:space="preserve"> </w:t>
      </w:r>
      <w:r w:rsidR="5E1773DB" w:rsidRPr="5575EBFC">
        <w:rPr>
          <w:lang w:val="en-GB"/>
        </w:rPr>
        <w:t>However</w:t>
      </w:r>
      <w:r w:rsidR="5DFBD547" w:rsidRPr="5575EBFC">
        <w:rPr>
          <w:lang w:val="en-GB"/>
        </w:rPr>
        <w:t xml:space="preserve">, human migration is predicted to rise as climate change displaces people from drought-, flood- or storm-hit regions </w:t>
      </w:r>
      <w:r w:rsidR="397D3772" w:rsidRPr="5575EBFC">
        <w:rPr>
          <w:lang w:val="en-GB"/>
        </w:rPr>
        <w:fldChar w:fldCharType="begin"/>
      </w:r>
      <w:r w:rsidR="00331A79">
        <w:rPr>
          <w:lang w:val="en-GB"/>
        </w:rPr>
        <w:instrText xml:space="preserve"> ADDIN ZOTERO_ITEM CSL_CITATION {"citationID":"vqZ46urB","properties":{"formattedCitation":"(Rigaud et al., 2018)","plainCitation":"(Rigaud et al., 2018)","noteIndex":0},"citationItems":[{"id":27213,"uris":["http://zotero.org/groups/2352922/items/Y73VUKST"],"itemData":{"id":27213,"type":"report","event-place":"Washington, DC","publisher":"World Bank","publisher-place":"Washington, DC","title":"Groundswell : Preparing for Internal Climate Migration","URL":"http://hdl.handle.net/10986/29461","author":[{"family":"Rigaud","given":"Kanta Kumari"},{"family":"Sherbinin","given":"Alex","non-dropping-particle":"de"},{"family":"Jones","given":"Bryan"},{"family":"Bergmann","given":"Jonas"},{"family":"Clement","given":"Viviane"},{"family":"Ober","given":"Kayly"},{"family":"Schewe","given":"Jacob"},{"family":"Adamo","given":"Susana"},{"family":"McCusker","given":"Brent"},{"family":"Heuser","given":"Silke"},{"family":"Midgley","given":"Amelia"}],"issued":{"date-parts":[["2018"]]}}}],"schema":"https://github.com/citation-style-language/schema/raw/master/csl-citation.json"} </w:instrText>
      </w:r>
      <w:r w:rsidR="397D3772" w:rsidRPr="5575EBFC">
        <w:rPr>
          <w:lang w:val="en-GB"/>
        </w:rPr>
        <w:fldChar w:fldCharType="separate"/>
      </w:r>
      <w:r w:rsidR="6B5F9B9E">
        <w:t>(Rigaud et al., 2018)</w:t>
      </w:r>
      <w:r w:rsidR="397D3772" w:rsidRPr="5575EBFC">
        <w:rPr>
          <w:lang w:val="en-GB"/>
        </w:rPr>
        <w:fldChar w:fldCharType="end"/>
      </w:r>
      <w:r w:rsidR="33F2986C" w:rsidRPr="5575EBFC">
        <w:rPr>
          <w:lang w:val="en-GB"/>
        </w:rPr>
        <w:t xml:space="preserve">, indicating that </w:t>
      </w:r>
      <w:r w:rsidR="2A0BD8AB" w:rsidRPr="5575EBFC">
        <w:rPr>
          <w:lang w:val="en-GB"/>
        </w:rPr>
        <w:t xml:space="preserve">human migrations, possibly in interaction with climate change, land-use change or natural drivers, could contribute to increased rates </w:t>
      </w:r>
      <w:r w:rsidR="4E2F91EE" w:rsidRPr="5575EBFC">
        <w:rPr>
          <w:lang w:val="en-GB"/>
        </w:rPr>
        <w:t xml:space="preserve">of introduction of invasive alien species </w:t>
      </w:r>
      <w:r w:rsidR="2A0BD8AB" w:rsidRPr="5575EBFC">
        <w:rPr>
          <w:lang w:val="en-GB"/>
        </w:rPr>
        <w:t>in the future</w:t>
      </w:r>
      <w:r w:rsidR="5DFBD547" w:rsidRPr="5575EBFC">
        <w:rPr>
          <w:lang w:val="en-GB"/>
        </w:rPr>
        <w:t>.</w:t>
      </w:r>
      <w:r w:rsidR="3D04D128" w:rsidRPr="5575EBFC">
        <w:rPr>
          <w:lang w:val="en-GB"/>
        </w:rPr>
        <w:t xml:space="preserve"> </w:t>
      </w:r>
      <w:r w:rsidR="3F7A7336" w:rsidRPr="5575EBFC">
        <w:rPr>
          <w:lang w:val="en-GB"/>
        </w:rPr>
        <w:t>P</w:t>
      </w:r>
      <w:r w:rsidR="0E60D5CF" w:rsidRPr="5575EBFC">
        <w:rPr>
          <w:lang w:val="en-GB"/>
        </w:rPr>
        <w:t xml:space="preserve">ressure </w:t>
      </w:r>
      <w:r w:rsidR="3F7A7336" w:rsidRPr="5575EBFC">
        <w:rPr>
          <w:lang w:val="en-GB"/>
        </w:rPr>
        <w:t xml:space="preserve">from </w:t>
      </w:r>
      <w:r w:rsidR="636632B4" w:rsidRPr="5575EBFC">
        <w:rPr>
          <w:lang w:val="en-GB"/>
        </w:rPr>
        <w:t>invasive alien species</w:t>
      </w:r>
      <w:r w:rsidR="7E1ACD52" w:rsidRPr="5575EBFC">
        <w:rPr>
          <w:lang w:val="en-GB"/>
        </w:rPr>
        <w:t xml:space="preserve"> </w:t>
      </w:r>
      <w:r w:rsidR="0E60D5CF" w:rsidRPr="5575EBFC">
        <w:rPr>
          <w:lang w:val="en-GB"/>
        </w:rPr>
        <w:t xml:space="preserve">could be expected to be highest in countries with the highest inward migration: currently </w:t>
      </w:r>
      <w:r w:rsidR="2406CD30" w:rsidRPr="5575EBFC">
        <w:rPr>
          <w:lang w:val="en-GB"/>
        </w:rPr>
        <w:t>United States</w:t>
      </w:r>
      <w:r w:rsidR="0E60D5CF" w:rsidRPr="5575EBFC">
        <w:rPr>
          <w:lang w:val="en-GB"/>
        </w:rPr>
        <w:t>, Germany, Saudi Arabia, Russian Federation</w:t>
      </w:r>
      <w:r w:rsidR="009F7404">
        <w:rPr>
          <w:lang w:val="en-GB"/>
        </w:rPr>
        <w:t xml:space="preserve"> and</w:t>
      </w:r>
      <w:r w:rsidR="0E60D5CF" w:rsidRPr="5575EBFC">
        <w:rPr>
          <w:lang w:val="en-GB"/>
        </w:rPr>
        <w:t xml:space="preserve"> the U</w:t>
      </w:r>
      <w:r w:rsidR="2079B9F6" w:rsidRPr="5575EBFC">
        <w:rPr>
          <w:lang w:val="en-GB"/>
        </w:rPr>
        <w:t xml:space="preserve">nited </w:t>
      </w:r>
      <w:r w:rsidR="0E60D5CF" w:rsidRPr="5575EBFC">
        <w:rPr>
          <w:lang w:val="en-GB"/>
        </w:rPr>
        <w:t>K</w:t>
      </w:r>
      <w:r w:rsidR="2079B9F6" w:rsidRPr="5575EBFC">
        <w:rPr>
          <w:lang w:val="en-GB"/>
        </w:rPr>
        <w:t>ingdom</w:t>
      </w:r>
      <w:r w:rsidR="0E60D5CF" w:rsidRPr="5575EBFC">
        <w:rPr>
          <w:lang w:val="en-GB"/>
        </w:rPr>
        <w:t xml:space="preserve"> </w:t>
      </w:r>
      <w:r w:rsidR="397D3772" w:rsidRPr="5575EBFC">
        <w:rPr>
          <w:lang w:val="en-GB"/>
        </w:rPr>
        <w:fldChar w:fldCharType="begin"/>
      </w:r>
      <w:r w:rsidR="00331A79">
        <w:rPr>
          <w:lang w:val="en-GB"/>
        </w:rPr>
        <w:instrText xml:space="preserve"> ADDIN ZOTERO_ITEM CSL_CITATION {"citationID":"QN60lPHH","properties":{"formattedCitation":"(United Nations Department of Economic and Social Affairs, Population Division, 2020)","plainCitation":"(United Nations Department of Economic and Social Affairs, Population Division, 2020)","noteIndex":0},"citationItems":[{"id":26976,"uris":["http://zotero.org/groups/2352922/items/YKUH9EB3"],"itemData":{"id":26976,"type":"document","title":"International Migration 2020 Highlights (ST/ESA/SER.A/452)","URL":"https://www.un.org/en/desa/international-migration-2020-highlights","author":[{"literal":"United Nations Department of Economic and Social Affairs, Population Division"}],"issued":{"date-parts":[["2020"]]}}}],"schema":"https://github.com/citation-style-language/schema/raw/master/csl-citation.json"} </w:instrText>
      </w:r>
      <w:r w:rsidR="397D3772" w:rsidRPr="5575EBFC">
        <w:rPr>
          <w:lang w:val="en-GB"/>
        </w:rPr>
        <w:fldChar w:fldCharType="separate"/>
      </w:r>
      <w:r w:rsidR="6B5F9B9E">
        <w:t>(United Nations Department of Economic and Social Affairs, Population Division, 2020)</w:t>
      </w:r>
      <w:r w:rsidR="397D3772" w:rsidRPr="5575EBFC">
        <w:rPr>
          <w:lang w:val="en-GB"/>
        </w:rPr>
        <w:fldChar w:fldCharType="end"/>
      </w:r>
      <w:r w:rsidR="0E60D5CF" w:rsidRPr="5575EBFC">
        <w:rPr>
          <w:lang w:val="en-GB"/>
        </w:rPr>
        <w:t xml:space="preserve">. </w:t>
      </w:r>
    </w:p>
    <w:p w14:paraId="1564AD3A" w14:textId="14E1CDF3" w:rsidR="008C1BF7" w:rsidRPr="00DA249F" w:rsidRDefault="5B4FF1F0" w:rsidP="0090109B">
      <w:pPr>
        <w:rPr>
          <w:lang w:val="en-GB"/>
        </w:rPr>
      </w:pPr>
      <w:r w:rsidRPr="728F2DAF">
        <w:rPr>
          <w:lang w:val="en-GB"/>
        </w:rPr>
        <w:t xml:space="preserve">While </w:t>
      </w:r>
      <w:r w:rsidR="00DF30EF">
        <w:rPr>
          <w:lang w:val="en-GB"/>
        </w:rPr>
        <w:t>the</w:t>
      </w:r>
      <w:r w:rsidR="00DF30EF" w:rsidRPr="728F2DAF">
        <w:rPr>
          <w:lang w:val="en-GB"/>
        </w:rPr>
        <w:t xml:space="preserve"> </w:t>
      </w:r>
      <w:r w:rsidR="76824C74" w:rsidRPr="728F2DAF">
        <w:rPr>
          <w:lang w:val="en-GB"/>
        </w:rPr>
        <w:t>review of the</w:t>
      </w:r>
      <w:r w:rsidRPr="728F2DAF">
        <w:rPr>
          <w:lang w:val="en-GB"/>
        </w:rPr>
        <w:t xml:space="preserve"> literature on human migration as a driver </w:t>
      </w:r>
      <w:r w:rsidR="608003F1" w:rsidRPr="728F2DAF">
        <w:rPr>
          <w:lang w:val="en-GB"/>
        </w:rPr>
        <w:t xml:space="preserve">facilitating </w:t>
      </w:r>
      <w:r w:rsidR="47DB3F3F" w:rsidRPr="728F2DAF">
        <w:rPr>
          <w:lang w:val="en-GB"/>
        </w:rPr>
        <w:t xml:space="preserve">biological </w:t>
      </w:r>
      <w:r w:rsidRPr="728F2DAF">
        <w:rPr>
          <w:lang w:val="en-GB"/>
        </w:rPr>
        <w:t xml:space="preserve">invasions </w:t>
      </w:r>
      <w:r w:rsidR="00DF30EF">
        <w:rPr>
          <w:lang w:val="en-GB"/>
        </w:rPr>
        <w:t xml:space="preserve">undertaken in Chapter 3 </w:t>
      </w:r>
      <w:r w:rsidRPr="728F2DAF">
        <w:rPr>
          <w:lang w:val="en-GB"/>
        </w:rPr>
        <w:t>is limited</w:t>
      </w:r>
      <w:r w:rsidR="3757101D" w:rsidRPr="728F2DAF">
        <w:rPr>
          <w:lang w:val="en-GB"/>
        </w:rPr>
        <w:t xml:space="preserve"> in extent</w:t>
      </w:r>
      <w:r w:rsidRPr="728F2DAF">
        <w:rPr>
          <w:lang w:val="en-GB"/>
        </w:rPr>
        <w:t xml:space="preserve">, </w:t>
      </w:r>
      <w:r w:rsidR="76A42064" w:rsidRPr="728F2DAF">
        <w:rPr>
          <w:lang w:val="en-GB"/>
        </w:rPr>
        <w:t>authors</w:t>
      </w:r>
      <w:r w:rsidR="7DCB0F87" w:rsidRPr="728F2DAF">
        <w:rPr>
          <w:lang w:val="en-GB"/>
        </w:rPr>
        <w:t xml:space="preserve"> </w:t>
      </w:r>
      <w:r w:rsidR="59EA74DD" w:rsidRPr="728F2DAF">
        <w:rPr>
          <w:lang w:val="en-GB"/>
        </w:rPr>
        <w:t>considered</w:t>
      </w:r>
      <w:r w:rsidR="3757101D" w:rsidRPr="728F2DAF">
        <w:rPr>
          <w:lang w:val="en-GB"/>
        </w:rPr>
        <w:t xml:space="preserve"> evidence from plants, vertebrates, invertebrates</w:t>
      </w:r>
      <w:r w:rsidR="009F7404">
        <w:rPr>
          <w:lang w:val="en-GB"/>
        </w:rPr>
        <w:t xml:space="preserve"> and</w:t>
      </w:r>
      <w:r w:rsidR="3757101D" w:rsidRPr="728F2DAF">
        <w:rPr>
          <w:lang w:val="en-GB"/>
        </w:rPr>
        <w:t xml:space="preserve"> microorganisms, and from all IPBES regions</w:t>
      </w:r>
      <w:r w:rsidR="59EA74DD" w:rsidRPr="728F2DAF">
        <w:rPr>
          <w:lang w:val="en-GB"/>
        </w:rPr>
        <w:t>, with</w:t>
      </w:r>
      <w:r w:rsidR="27DF9BAB" w:rsidRPr="728F2DAF">
        <w:rPr>
          <w:lang w:val="en-GB"/>
        </w:rPr>
        <w:t xml:space="preserve"> evidence dat</w:t>
      </w:r>
      <w:r w:rsidR="59EA74DD" w:rsidRPr="728F2DAF">
        <w:rPr>
          <w:lang w:val="en-GB"/>
        </w:rPr>
        <w:t>ing</w:t>
      </w:r>
      <w:r w:rsidR="27DF9BAB" w:rsidRPr="728F2DAF">
        <w:rPr>
          <w:lang w:val="en-GB"/>
        </w:rPr>
        <w:t xml:space="preserve"> back to colonial times</w:t>
      </w:r>
      <w:r w:rsidR="3346FB8C" w:rsidRPr="728F2DAF">
        <w:rPr>
          <w:lang w:val="en-GB"/>
        </w:rPr>
        <w:t xml:space="preserve"> </w:t>
      </w:r>
      <w:r w:rsidR="528CD6E2" w:rsidRPr="728F2DAF">
        <w:rPr>
          <w:lang w:val="en-GB"/>
        </w:rPr>
        <w:t>(</w:t>
      </w:r>
      <w:r w:rsidR="5E9D4725" w:rsidRPr="728F2DAF">
        <w:rPr>
          <w:b/>
          <w:bCs/>
          <w:lang w:val="en-GB"/>
        </w:rPr>
        <w:t>C</w:t>
      </w:r>
      <w:r w:rsidR="3346FB8C" w:rsidRPr="728F2DAF">
        <w:rPr>
          <w:b/>
          <w:bCs/>
          <w:lang w:val="en-GB"/>
        </w:rPr>
        <w:t>hapter 2</w:t>
      </w:r>
      <w:r w:rsidR="3346FB8C" w:rsidRPr="728F2DAF">
        <w:rPr>
          <w:lang w:val="en-GB"/>
        </w:rPr>
        <w:t>,</w:t>
      </w:r>
      <w:r w:rsidR="3346FB8C" w:rsidRPr="728F2DAF">
        <w:rPr>
          <w:b/>
          <w:bCs/>
          <w:lang w:val="en-GB"/>
        </w:rPr>
        <w:t xml:space="preserve"> section 2.2.1</w:t>
      </w:r>
      <w:r w:rsidR="3346FB8C" w:rsidRPr="728F2DAF">
        <w:rPr>
          <w:lang w:val="en-GB"/>
        </w:rPr>
        <w:t>)</w:t>
      </w:r>
      <w:r w:rsidR="3757101D" w:rsidRPr="728F2DAF">
        <w:rPr>
          <w:lang w:val="en-GB"/>
        </w:rPr>
        <w:t xml:space="preserve">. </w:t>
      </w:r>
      <w:r w:rsidR="28848FB6" w:rsidRPr="728F2DAF">
        <w:rPr>
          <w:lang w:val="en-GB"/>
        </w:rPr>
        <w:t>As such this section broadly covers relevant variability in terms of geography, taxonomy and realms</w:t>
      </w:r>
      <w:r w:rsidR="009F7404">
        <w:rPr>
          <w:lang w:val="en-GB"/>
        </w:rPr>
        <w:t xml:space="preserve"> and</w:t>
      </w:r>
      <w:r w:rsidR="28848FB6" w:rsidRPr="728F2DAF">
        <w:rPr>
          <w:lang w:val="en-GB"/>
        </w:rPr>
        <w:t xml:space="preserve"> time. </w:t>
      </w:r>
      <w:r w:rsidR="3757101D" w:rsidRPr="728F2DAF">
        <w:rPr>
          <w:lang w:val="en-GB"/>
        </w:rPr>
        <w:t xml:space="preserve">The literature on migration as a driver </w:t>
      </w:r>
      <w:r w:rsidR="3A5D93B6" w:rsidRPr="728F2DAF">
        <w:rPr>
          <w:lang w:val="en-GB"/>
        </w:rPr>
        <w:t xml:space="preserve">facilitating </w:t>
      </w:r>
      <w:r w:rsidR="3757101D" w:rsidRPr="728F2DAF">
        <w:rPr>
          <w:lang w:val="en-GB"/>
        </w:rPr>
        <w:t xml:space="preserve">biological invasions is focused on the transport and especially introduction of alien </w:t>
      </w:r>
      <w:r w:rsidR="267AC95F" w:rsidRPr="728F2DAF">
        <w:rPr>
          <w:lang w:val="en-GB"/>
        </w:rPr>
        <w:t>species</w:t>
      </w:r>
      <w:r w:rsidR="3757101D" w:rsidRPr="728F2DAF">
        <w:rPr>
          <w:lang w:val="en-GB"/>
        </w:rPr>
        <w:t xml:space="preserve">, with less evidence from the latter stages of </w:t>
      </w:r>
      <w:r w:rsidR="4A6523B5" w:rsidRPr="728F2DAF">
        <w:rPr>
          <w:lang w:val="en-GB"/>
        </w:rPr>
        <w:t xml:space="preserve">the </w:t>
      </w:r>
      <w:r w:rsidR="438717B3" w:rsidRPr="728F2DAF">
        <w:rPr>
          <w:lang w:val="en-GB"/>
        </w:rPr>
        <w:t xml:space="preserve">biological </w:t>
      </w:r>
      <w:r w:rsidR="3757101D" w:rsidRPr="728F2DAF">
        <w:rPr>
          <w:lang w:val="en-GB"/>
        </w:rPr>
        <w:t>invasion</w:t>
      </w:r>
      <w:r w:rsidR="4A6523B5" w:rsidRPr="728F2DAF">
        <w:rPr>
          <w:lang w:val="en-GB"/>
        </w:rPr>
        <w:t xml:space="preserve"> process</w:t>
      </w:r>
      <w:r w:rsidR="3757101D" w:rsidRPr="728F2DAF">
        <w:rPr>
          <w:lang w:val="en-GB"/>
        </w:rPr>
        <w:t>.</w:t>
      </w:r>
      <w:r w:rsidR="179389E9" w:rsidRPr="728F2DAF">
        <w:rPr>
          <w:lang w:val="en-GB"/>
        </w:rPr>
        <w:t xml:space="preserve"> </w:t>
      </w:r>
    </w:p>
    <w:p w14:paraId="52563DEB" w14:textId="77777777" w:rsidR="008C1BF7" w:rsidRPr="00DA249F" w:rsidRDefault="61C0BDF1" w:rsidP="004826A3">
      <w:pPr>
        <w:pStyle w:val="Heading3"/>
        <w:rPr>
          <w:lang w:val="en-GB"/>
        </w:rPr>
      </w:pPr>
      <w:bookmarkStart w:id="58" w:name="_Toc44317797"/>
      <w:r w:rsidRPr="00DA249F">
        <w:rPr>
          <w:lang w:val="en-GB"/>
        </w:rPr>
        <w:t xml:space="preserve"> </w:t>
      </w:r>
      <w:r w:rsidR="0231CA54" w:rsidRPr="00DA249F">
        <w:rPr>
          <w:lang w:val="en-GB"/>
        </w:rPr>
        <w:t xml:space="preserve">International crises: </w:t>
      </w:r>
      <w:r w:rsidR="6CA68760" w:rsidRPr="00DA249F">
        <w:rPr>
          <w:lang w:val="en-GB"/>
        </w:rPr>
        <w:t>armed conflict</w:t>
      </w:r>
      <w:r w:rsidR="0231CA54" w:rsidRPr="00DA249F">
        <w:rPr>
          <w:lang w:val="en-GB"/>
        </w:rPr>
        <w:t xml:space="preserve"> and </w:t>
      </w:r>
      <w:r w:rsidR="00C53397" w:rsidRPr="00DA249F">
        <w:rPr>
          <w:lang w:val="en-GB"/>
        </w:rPr>
        <w:t xml:space="preserve">emergency relief </w:t>
      </w:r>
      <w:bookmarkEnd w:id="58"/>
    </w:p>
    <w:p w14:paraId="519254E2" w14:textId="00060BEC" w:rsidR="008C1BF7" w:rsidRPr="00DA249F" w:rsidRDefault="53F5E307" w:rsidP="728F2DAF">
      <w:pPr>
        <w:rPr>
          <w:i/>
          <w:iCs/>
          <w:lang w:val="en-GB"/>
        </w:rPr>
      </w:pPr>
      <w:r w:rsidRPr="728F2DAF">
        <w:rPr>
          <w:lang w:val="en-GB"/>
        </w:rPr>
        <w:t>International crise</w:t>
      </w:r>
      <w:r w:rsidR="2A2A3C81" w:rsidRPr="728F2DAF">
        <w:rPr>
          <w:lang w:val="en-GB"/>
        </w:rPr>
        <w:t xml:space="preserve">s, </w:t>
      </w:r>
      <w:r w:rsidR="083612CB" w:rsidRPr="728F2DAF">
        <w:rPr>
          <w:lang w:val="en-GB"/>
        </w:rPr>
        <w:t>specifically armed conflicts</w:t>
      </w:r>
      <w:r w:rsidR="009F7404">
        <w:rPr>
          <w:lang w:val="en-GB"/>
        </w:rPr>
        <w:t xml:space="preserve"> and</w:t>
      </w:r>
      <w:r w:rsidR="2A2A3C81" w:rsidRPr="728F2DAF">
        <w:rPr>
          <w:lang w:val="en-GB"/>
        </w:rPr>
        <w:t xml:space="preserve"> </w:t>
      </w:r>
      <w:r w:rsidR="083612CB" w:rsidRPr="728F2DAF">
        <w:rPr>
          <w:lang w:val="en-GB"/>
        </w:rPr>
        <w:t xml:space="preserve">humanitarian </w:t>
      </w:r>
      <w:r w:rsidR="5B8A69D4" w:rsidRPr="728F2DAF">
        <w:rPr>
          <w:lang w:val="en-GB"/>
        </w:rPr>
        <w:t xml:space="preserve">emergency </w:t>
      </w:r>
      <w:r w:rsidR="3D6C5C12" w:rsidRPr="728F2DAF">
        <w:rPr>
          <w:lang w:val="en-GB"/>
        </w:rPr>
        <w:t xml:space="preserve">relief </w:t>
      </w:r>
      <w:r w:rsidR="5B8A69D4" w:rsidRPr="728F2DAF">
        <w:rPr>
          <w:lang w:val="en-GB"/>
        </w:rPr>
        <w:t xml:space="preserve">and development assistance </w:t>
      </w:r>
      <w:r w:rsidR="083612CB" w:rsidRPr="728F2DAF">
        <w:rPr>
          <w:lang w:val="en-GB"/>
        </w:rPr>
        <w:t>operations</w:t>
      </w:r>
      <w:r w:rsidR="2A2A3C81" w:rsidRPr="728F2DAF">
        <w:rPr>
          <w:lang w:val="en-GB"/>
        </w:rPr>
        <w:t xml:space="preserve"> </w:t>
      </w:r>
      <w:r w:rsidR="083612CB" w:rsidRPr="728F2DAF">
        <w:rPr>
          <w:lang w:val="en-GB"/>
        </w:rPr>
        <w:t xml:space="preserve">can be </w:t>
      </w:r>
      <w:r w:rsidR="2A2A3C81" w:rsidRPr="728F2DAF">
        <w:rPr>
          <w:lang w:val="en-GB"/>
        </w:rPr>
        <w:t xml:space="preserve">powerful </w:t>
      </w:r>
      <w:r w:rsidR="39AE3B59" w:rsidRPr="728F2DAF">
        <w:rPr>
          <w:lang w:val="en-GB"/>
        </w:rPr>
        <w:t xml:space="preserve">indirect </w:t>
      </w:r>
      <w:r w:rsidR="067C1E4A" w:rsidRPr="728F2DAF">
        <w:rPr>
          <w:lang w:val="en-GB"/>
        </w:rPr>
        <w:t>drivers of change in nature</w:t>
      </w:r>
      <w:r w:rsidR="2A2A3C81" w:rsidRPr="728F2DAF">
        <w:rPr>
          <w:lang w:val="en-GB"/>
        </w:rPr>
        <w:t xml:space="preserve"> </w:t>
      </w:r>
      <w:r w:rsidR="3B7CADFD" w:rsidRPr="728F2DAF">
        <w:rPr>
          <w:lang w:val="en-GB"/>
        </w:rPr>
        <w:t xml:space="preserve">that may </w:t>
      </w:r>
      <w:r w:rsidR="39AE3B59" w:rsidRPr="728F2DAF">
        <w:rPr>
          <w:lang w:val="en-GB"/>
        </w:rPr>
        <w:t xml:space="preserve">directly </w:t>
      </w:r>
      <w:r w:rsidR="4F83273E" w:rsidRPr="728F2DAF">
        <w:rPr>
          <w:lang w:val="en-GB"/>
        </w:rPr>
        <w:t>facilitat</w:t>
      </w:r>
      <w:r w:rsidR="3B7CADFD" w:rsidRPr="728F2DAF">
        <w:rPr>
          <w:lang w:val="en-GB"/>
        </w:rPr>
        <w:t>e</w:t>
      </w:r>
      <w:r w:rsidR="4F83273E" w:rsidRPr="728F2DAF">
        <w:rPr>
          <w:lang w:val="en-GB"/>
        </w:rPr>
        <w:t xml:space="preserve"> </w:t>
      </w:r>
      <w:r w:rsidR="6D447A72" w:rsidRPr="728F2DAF">
        <w:rPr>
          <w:lang w:val="en-GB"/>
        </w:rPr>
        <w:t xml:space="preserve">the transport, introduction, establishment and spread of </w:t>
      </w:r>
      <w:r w:rsidR="30A96BCA" w:rsidRPr="728F2DAF">
        <w:rPr>
          <w:lang w:val="en-GB"/>
        </w:rPr>
        <w:t xml:space="preserve">invasive </w:t>
      </w:r>
      <w:r w:rsidR="6D447A72" w:rsidRPr="728F2DAF">
        <w:rPr>
          <w:lang w:val="en-GB"/>
        </w:rPr>
        <w:t xml:space="preserve">alien species </w:t>
      </w:r>
      <w:r w:rsidR="528CD6E2" w:rsidRPr="728F2DAF">
        <w:rPr>
          <w:lang w:val="en-GB"/>
        </w:rPr>
        <w:t>(</w:t>
      </w:r>
      <w:r w:rsidR="5E9D4725" w:rsidRPr="728F2DAF">
        <w:rPr>
          <w:b/>
          <w:bCs/>
          <w:lang w:val="en-GB"/>
        </w:rPr>
        <w:t>C</w:t>
      </w:r>
      <w:r w:rsidR="4E685553" w:rsidRPr="728F2DAF">
        <w:rPr>
          <w:b/>
          <w:bCs/>
          <w:lang w:val="en-GB"/>
        </w:rPr>
        <w:t>hapter 6</w:t>
      </w:r>
      <w:r w:rsidR="4E685553" w:rsidRPr="728F2DAF">
        <w:rPr>
          <w:lang w:val="en-GB"/>
        </w:rPr>
        <w:t>)</w:t>
      </w:r>
      <w:r w:rsidR="6D4D2407" w:rsidRPr="728F2DAF">
        <w:rPr>
          <w:lang w:val="en-GB"/>
        </w:rPr>
        <w:t xml:space="preserve">. </w:t>
      </w:r>
      <w:r w:rsidR="2CE40963" w:rsidRPr="728F2DAF">
        <w:rPr>
          <w:lang w:val="en-GB"/>
        </w:rPr>
        <w:t>B</w:t>
      </w:r>
      <w:r w:rsidR="56ED1CB5" w:rsidRPr="728F2DAF">
        <w:rPr>
          <w:lang w:val="en-GB"/>
        </w:rPr>
        <w:t xml:space="preserve">y 2020, the global number of refugees and asylum seekers was approximately 25 million people </w:t>
      </w:r>
      <w:r w:rsidR="004F298E" w:rsidRPr="728F2DAF">
        <w:rPr>
          <w:lang w:val="en-GB"/>
        </w:rPr>
        <w:fldChar w:fldCharType="begin"/>
      </w:r>
      <w:r w:rsidR="001379C0">
        <w:rPr>
          <w:lang w:val="en-GB"/>
        </w:rPr>
        <w:instrText xml:space="preserve"> ADDIN ZOTERO_ITEM CSL_CITATION {"citationID":"gdGyLB97","properties":{"formattedCitation":"(UNHCR, 2020)","plainCitation":"(UNHCR, 2020)","noteIndex":0},"citationItems":[{"id":54390,"uris":["http://zotero.org/groups/2352922/items/YPXR5QV5"],"itemData":{"id":54390,"type":"post-weblog","abstract":"The Global Report presents the work carried out by UNHCR in 2020 to protect and improve the lives of tens of millions of people—refugees, returnees, internally displaced people, stateless persons, and others of concern.","container-title":"UNHCR Flagship Reports","language":"en-US","title":"UNHCR Global Report 2020","URL":"https://www.unhcr.org/flagship-reports/globalreport/","author":[{"literal":"UNHCR"}],"accessed":{"date-parts":[["2023",2,7]]},"issued":{"date-parts":[["2020"]]}}}],"schema":"https://github.com/citation-style-language/schema/raw/master/csl-citation.json"} </w:instrText>
      </w:r>
      <w:r w:rsidR="004F298E" w:rsidRPr="728F2DAF">
        <w:rPr>
          <w:lang w:val="en-GB"/>
        </w:rPr>
        <w:fldChar w:fldCharType="separate"/>
      </w:r>
      <w:r w:rsidR="001379C0" w:rsidRPr="001379C0">
        <w:t>(UNHCR, 2020)</w:t>
      </w:r>
      <w:r w:rsidR="004F298E" w:rsidRPr="728F2DAF">
        <w:rPr>
          <w:lang w:val="en-GB"/>
        </w:rPr>
        <w:fldChar w:fldCharType="end"/>
      </w:r>
      <w:r w:rsidR="56ED1CB5" w:rsidRPr="728F2DAF">
        <w:rPr>
          <w:lang w:val="en-GB"/>
        </w:rPr>
        <w:t xml:space="preserve">. </w:t>
      </w:r>
      <w:r w:rsidR="6D4D2407" w:rsidRPr="728F2DAF">
        <w:rPr>
          <w:lang w:val="en-GB"/>
        </w:rPr>
        <w:t>Both crises and aid</w:t>
      </w:r>
      <w:r w:rsidR="79408892" w:rsidRPr="728F2DAF">
        <w:rPr>
          <w:lang w:val="en-GB"/>
        </w:rPr>
        <w:t xml:space="preserve"> </w:t>
      </w:r>
      <w:r w:rsidR="6D4D2407" w:rsidRPr="728F2DAF">
        <w:rPr>
          <w:lang w:val="en-GB"/>
        </w:rPr>
        <w:t xml:space="preserve">can </w:t>
      </w:r>
      <w:r w:rsidR="2A2A3C81" w:rsidRPr="728F2DAF">
        <w:rPr>
          <w:lang w:val="en-GB"/>
        </w:rPr>
        <w:t xml:space="preserve">affect </w:t>
      </w:r>
      <w:r w:rsidR="6D447A72" w:rsidRPr="728F2DAF">
        <w:rPr>
          <w:lang w:val="en-GB"/>
        </w:rPr>
        <w:t>biological invasions</w:t>
      </w:r>
      <w:r w:rsidR="2A2A3C81" w:rsidRPr="728F2DAF">
        <w:rPr>
          <w:lang w:val="en-GB"/>
        </w:rPr>
        <w:t xml:space="preserve"> through </w:t>
      </w:r>
      <w:r w:rsidR="083612CB" w:rsidRPr="728F2DAF">
        <w:rPr>
          <w:lang w:val="en-GB"/>
        </w:rPr>
        <w:t xml:space="preserve">abrupt and substantial </w:t>
      </w:r>
      <w:r w:rsidR="2A2A3C81" w:rsidRPr="728F2DAF">
        <w:rPr>
          <w:lang w:val="en-GB"/>
        </w:rPr>
        <w:t xml:space="preserve">changes in travel, </w:t>
      </w:r>
      <w:r w:rsidR="1742185D" w:rsidRPr="728F2DAF">
        <w:rPr>
          <w:lang w:val="en-GB"/>
        </w:rPr>
        <w:t>trade</w:t>
      </w:r>
      <w:r w:rsidR="009F7404">
        <w:rPr>
          <w:lang w:val="en-GB"/>
        </w:rPr>
        <w:t xml:space="preserve"> and</w:t>
      </w:r>
      <w:r w:rsidR="2A2A3C81" w:rsidRPr="728F2DAF">
        <w:rPr>
          <w:lang w:val="en-GB"/>
        </w:rPr>
        <w:t xml:space="preserve"> transport (</w:t>
      </w:r>
      <w:r w:rsidR="3346FB8C" w:rsidRPr="728F2DAF">
        <w:rPr>
          <w:b/>
          <w:bCs/>
          <w:lang w:val="en-GB"/>
        </w:rPr>
        <w:t xml:space="preserve">sections </w:t>
      </w:r>
      <w:r w:rsidR="2A2A3C81" w:rsidRPr="728F2DAF">
        <w:rPr>
          <w:b/>
          <w:bCs/>
          <w:lang w:val="en-GB"/>
        </w:rPr>
        <w:t>3.2.3.1</w:t>
      </w:r>
      <w:r w:rsidR="2A2A3C81" w:rsidRPr="728F2DAF">
        <w:rPr>
          <w:lang w:val="en-GB"/>
        </w:rPr>
        <w:t xml:space="preserve"> </w:t>
      </w:r>
      <w:r w:rsidR="259C9885" w:rsidRPr="728F2DAF">
        <w:rPr>
          <w:lang w:val="en-GB"/>
        </w:rPr>
        <w:t xml:space="preserve">to </w:t>
      </w:r>
      <w:r w:rsidR="2A2A3C81" w:rsidRPr="728F2DAF">
        <w:rPr>
          <w:b/>
          <w:bCs/>
          <w:lang w:val="en-GB"/>
        </w:rPr>
        <w:t>3.2.3.</w:t>
      </w:r>
      <w:r w:rsidR="2158B8FA" w:rsidRPr="728F2DAF">
        <w:rPr>
          <w:b/>
          <w:bCs/>
          <w:lang w:val="en-GB"/>
        </w:rPr>
        <w:t>4</w:t>
      </w:r>
      <w:r w:rsidR="2A2A3C81" w:rsidRPr="728F2DAF">
        <w:rPr>
          <w:lang w:val="en-GB"/>
        </w:rPr>
        <w:t>),</w:t>
      </w:r>
      <w:r w:rsidR="79408892" w:rsidRPr="728F2DAF">
        <w:rPr>
          <w:lang w:val="en-GB"/>
        </w:rPr>
        <w:t xml:space="preserve"> </w:t>
      </w:r>
      <w:r w:rsidR="2A2A3C81" w:rsidRPr="728F2DAF">
        <w:rPr>
          <w:lang w:val="en-GB"/>
        </w:rPr>
        <w:t xml:space="preserve">and </w:t>
      </w:r>
      <w:r w:rsidR="083612CB" w:rsidRPr="728F2DAF">
        <w:rPr>
          <w:lang w:val="en-GB"/>
        </w:rPr>
        <w:t>t</w:t>
      </w:r>
      <w:r w:rsidR="6946B280" w:rsidRPr="728F2DAF">
        <w:rPr>
          <w:lang w:val="en-GB"/>
        </w:rPr>
        <w:t>hrough</w:t>
      </w:r>
      <w:r w:rsidR="083612CB" w:rsidRPr="728F2DAF">
        <w:rPr>
          <w:lang w:val="en-GB"/>
        </w:rPr>
        <w:t xml:space="preserve"> substantial and rapid </w:t>
      </w:r>
      <w:r w:rsidR="2A2A3C81" w:rsidRPr="728F2DAF">
        <w:rPr>
          <w:lang w:val="en-GB"/>
        </w:rPr>
        <w:t>human population movement</w:t>
      </w:r>
      <w:r w:rsidR="083612CB" w:rsidRPr="728F2DAF">
        <w:rPr>
          <w:lang w:val="en-GB"/>
        </w:rPr>
        <w:t>s</w:t>
      </w:r>
      <w:r w:rsidR="2A2A3C81" w:rsidRPr="728F2DAF">
        <w:rPr>
          <w:lang w:val="en-GB"/>
        </w:rPr>
        <w:t xml:space="preserve"> and changes (</w:t>
      </w:r>
      <w:r w:rsidR="3346FB8C" w:rsidRPr="728F2DAF">
        <w:rPr>
          <w:b/>
          <w:bCs/>
          <w:lang w:val="en-GB"/>
        </w:rPr>
        <w:t xml:space="preserve">sections </w:t>
      </w:r>
      <w:r w:rsidR="2A2A3C81" w:rsidRPr="728F2DAF">
        <w:rPr>
          <w:b/>
          <w:bCs/>
          <w:lang w:val="en-GB"/>
        </w:rPr>
        <w:t>3.2.2.1</w:t>
      </w:r>
      <w:r w:rsidR="2A2A3C81" w:rsidRPr="728F2DAF">
        <w:rPr>
          <w:lang w:val="en-GB"/>
        </w:rPr>
        <w:t xml:space="preserve"> and </w:t>
      </w:r>
      <w:r w:rsidR="2A2A3C81" w:rsidRPr="728F2DAF">
        <w:rPr>
          <w:b/>
          <w:bCs/>
          <w:lang w:val="en-GB"/>
        </w:rPr>
        <w:t>3.2.2.2</w:t>
      </w:r>
      <w:r w:rsidR="2A2A3C81" w:rsidRPr="728F2DAF">
        <w:rPr>
          <w:lang w:val="en-GB"/>
        </w:rPr>
        <w:t xml:space="preserve">). </w:t>
      </w:r>
      <w:r w:rsidR="6D447A72" w:rsidRPr="728F2DAF">
        <w:rPr>
          <w:lang w:val="en-GB"/>
        </w:rPr>
        <w:t xml:space="preserve">These </w:t>
      </w:r>
      <w:r w:rsidR="190C2643" w:rsidRPr="728F2DAF">
        <w:rPr>
          <w:lang w:val="en-GB"/>
        </w:rPr>
        <w:t>trade, transport</w:t>
      </w:r>
      <w:r w:rsidR="009F7404">
        <w:rPr>
          <w:lang w:val="en-GB"/>
        </w:rPr>
        <w:t xml:space="preserve"> and</w:t>
      </w:r>
      <w:r w:rsidR="190C2643" w:rsidRPr="728F2DAF">
        <w:rPr>
          <w:lang w:val="en-GB"/>
        </w:rPr>
        <w:t xml:space="preserve"> population</w:t>
      </w:r>
      <w:r w:rsidR="2A2A3C81" w:rsidRPr="728F2DAF">
        <w:rPr>
          <w:lang w:val="en-GB"/>
        </w:rPr>
        <w:t xml:space="preserve"> changes affect </w:t>
      </w:r>
      <w:r w:rsidR="438717B3" w:rsidRPr="728F2DAF">
        <w:rPr>
          <w:lang w:val="en-GB"/>
        </w:rPr>
        <w:t>biological invasions</w:t>
      </w:r>
      <w:r w:rsidR="0F93830F" w:rsidRPr="728F2DAF">
        <w:rPr>
          <w:lang w:val="en-GB"/>
        </w:rPr>
        <w:t xml:space="preserve"> through influencing</w:t>
      </w:r>
      <w:r w:rsidR="2A2A3C81" w:rsidRPr="728F2DAF">
        <w:rPr>
          <w:lang w:val="en-GB"/>
        </w:rPr>
        <w:t xml:space="preserve">, broadly, </w:t>
      </w:r>
      <w:r w:rsidR="0F93830F" w:rsidRPr="728F2DAF">
        <w:rPr>
          <w:lang w:val="en-GB"/>
        </w:rPr>
        <w:t xml:space="preserve">the movement of </w:t>
      </w:r>
      <w:r w:rsidR="083612CB" w:rsidRPr="728F2DAF">
        <w:rPr>
          <w:lang w:val="en-GB"/>
        </w:rPr>
        <w:t xml:space="preserve">goods and deployment of infrastructure, and the transport and movement of </w:t>
      </w:r>
      <w:r w:rsidR="2A2A3C81" w:rsidRPr="728F2DAF">
        <w:rPr>
          <w:lang w:val="en-GB"/>
        </w:rPr>
        <w:t xml:space="preserve">humans </w:t>
      </w:r>
      <w:r w:rsidR="083612CB" w:rsidRPr="728F2DAF">
        <w:rPr>
          <w:lang w:val="en-GB"/>
        </w:rPr>
        <w:t>and</w:t>
      </w:r>
      <w:r w:rsidR="0F93830F" w:rsidRPr="728F2DAF">
        <w:rPr>
          <w:lang w:val="en-GB"/>
        </w:rPr>
        <w:t xml:space="preserve"> </w:t>
      </w:r>
      <w:r w:rsidR="2A2A3C81" w:rsidRPr="728F2DAF">
        <w:rPr>
          <w:lang w:val="en-GB"/>
        </w:rPr>
        <w:t>their luggage</w:t>
      </w:r>
      <w:r w:rsidR="083612CB" w:rsidRPr="728F2DAF">
        <w:rPr>
          <w:lang w:val="en-GB"/>
        </w:rPr>
        <w:t>,</w:t>
      </w:r>
      <w:r w:rsidR="2A2A3C81" w:rsidRPr="728F2DAF">
        <w:rPr>
          <w:lang w:val="en-GB"/>
        </w:rPr>
        <w:t xml:space="preserve"> </w:t>
      </w:r>
      <w:r w:rsidR="083612CB" w:rsidRPr="728F2DAF">
        <w:rPr>
          <w:lang w:val="en-GB"/>
        </w:rPr>
        <w:t xml:space="preserve">all of </w:t>
      </w:r>
      <w:r w:rsidR="0F93830F" w:rsidRPr="728F2DAF">
        <w:rPr>
          <w:lang w:val="en-GB"/>
        </w:rPr>
        <w:t xml:space="preserve">which can act </w:t>
      </w:r>
      <w:r w:rsidR="2A2A3C81" w:rsidRPr="728F2DAF">
        <w:rPr>
          <w:lang w:val="en-GB"/>
        </w:rPr>
        <w:t>as direct dispersal vectors (assisting the uptake and introduction of alien species both intentionally or unintentionally;</w:t>
      </w:r>
      <w:r w:rsidR="4F595B86" w:rsidRPr="728F2DAF">
        <w:rPr>
          <w:lang w:val="en-GB"/>
        </w:rPr>
        <w:t xml:space="preserve"> </w:t>
      </w:r>
      <w:r w:rsidR="3346FB8C" w:rsidRPr="728F2DAF">
        <w:rPr>
          <w:b/>
          <w:bCs/>
          <w:lang w:val="en-GB"/>
        </w:rPr>
        <w:t xml:space="preserve">section </w:t>
      </w:r>
      <w:r w:rsidR="2A2A3C81" w:rsidRPr="728F2DAF">
        <w:rPr>
          <w:b/>
          <w:bCs/>
          <w:lang w:val="en-GB"/>
        </w:rPr>
        <w:t>3.3.1.1</w:t>
      </w:r>
      <w:r w:rsidR="2A2A3C81" w:rsidRPr="728F2DAF">
        <w:rPr>
          <w:lang w:val="en-GB"/>
        </w:rPr>
        <w:t>)</w:t>
      </w:r>
      <w:r w:rsidR="6D447A72" w:rsidRPr="728F2DAF">
        <w:rPr>
          <w:lang w:val="en-GB"/>
        </w:rPr>
        <w:t>.</w:t>
      </w:r>
      <w:r w:rsidR="79408892" w:rsidRPr="728F2DAF">
        <w:rPr>
          <w:lang w:val="en-GB"/>
        </w:rPr>
        <w:t xml:space="preserve"> </w:t>
      </w:r>
      <w:r w:rsidR="39AE3B59" w:rsidRPr="728F2DAF">
        <w:rPr>
          <w:lang w:val="en-GB"/>
        </w:rPr>
        <w:t xml:space="preserve">Crises </w:t>
      </w:r>
      <w:r w:rsidR="190C2643" w:rsidRPr="728F2DAF">
        <w:rPr>
          <w:lang w:val="en-GB"/>
        </w:rPr>
        <w:t xml:space="preserve">and aid can also </w:t>
      </w:r>
      <w:r w:rsidR="6D447A72" w:rsidRPr="728F2DAF">
        <w:rPr>
          <w:lang w:val="en-GB"/>
        </w:rPr>
        <w:t xml:space="preserve">lead to </w:t>
      </w:r>
      <w:r w:rsidR="190C2643" w:rsidRPr="728F2DAF">
        <w:rPr>
          <w:lang w:val="en-GB"/>
        </w:rPr>
        <w:t>changes</w:t>
      </w:r>
      <w:r w:rsidR="3D703E7D" w:rsidRPr="728F2DAF">
        <w:rPr>
          <w:lang w:val="en-GB"/>
        </w:rPr>
        <w:t xml:space="preserve"> in </w:t>
      </w:r>
      <w:r w:rsidR="76BF776D" w:rsidRPr="728F2DAF">
        <w:rPr>
          <w:lang w:val="en-GB"/>
        </w:rPr>
        <w:t xml:space="preserve">nature </w:t>
      </w:r>
      <w:r w:rsidR="1380B26E" w:rsidRPr="728F2DAF">
        <w:rPr>
          <w:lang w:val="en-GB"/>
        </w:rPr>
        <w:t xml:space="preserve">through increasing or decreasing the intensity of land- and sea-use </w:t>
      </w:r>
      <w:r w:rsidR="6D447A72" w:rsidRPr="728F2DAF">
        <w:rPr>
          <w:lang w:val="en-GB"/>
        </w:rPr>
        <w:t>(</w:t>
      </w:r>
      <w:r w:rsidR="3346FB8C" w:rsidRPr="728F2DAF">
        <w:rPr>
          <w:b/>
          <w:bCs/>
          <w:lang w:val="en-GB"/>
        </w:rPr>
        <w:t xml:space="preserve">section </w:t>
      </w:r>
      <w:r w:rsidR="6D447A72" w:rsidRPr="728F2DAF">
        <w:rPr>
          <w:b/>
          <w:bCs/>
          <w:lang w:val="en-GB"/>
        </w:rPr>
        <w:t>3.3.</w:t>
      </w:r>
      <w:r w:rsidR="7ADA981C" w:rsidRPr="728F2DAF">
        <w:rPr>
          <w:b/>
          <w:bCs/>
          <w:lang w:val="en-GB"/>
        </w:rPr>
        <w:t>1</w:t>
      </w:r>
      <w:r w:rsidR="6D447A72" w:rsidRPr="728F2DAF">
        <w:rPr>
          <w:b/>
          <w:bCs/>
          <w:lang w:val="en-GB"/>
        </w:rPr>
        <w:t>.</w:t>
      </w:r>
      <w:r w:rsidR="7ADA981C" w:rsidRPr="728F2DAF">
        <w:rPr>
          <w:b/>
          <w:bCs/>
          <w:lang w:val="en-GB"/>
        </w:rPr>
        <w:t>1</w:t>
      </w:r>
      <w:r w:rsidR="6D447A72" w:rsidRPr="728F2DAF">
        <w:rPr>
          <w:lang w:val="en-GB"/>
        </w:rPr>
        <w:t>),</w:t>
      </w:r>
      <w:r w:rsidR="2A2A3C81" w:rsidRPr="728F2DAF">
        <w:rPr>
          <w:lang w:val="en-GB"/>
        </w:rPr>
        <w:t xml:space="preserve"> </w:t>
      </w:r>
      <w:r w:rsidR="0BC67B0B" w:rsidRPr="728F2DAF">
        <w:rPr>
          <w:lang w:val="en-GB"/>
        </w:rPr>
        <w:t>which may again affect biological invasions</w:t>
      </w:r>
      <w:r w:rsidR="2A2A3C81" w:rsidRPr="728F2DAF">
        <w:rPr>
          <w:lang w:val="en-GB"/>
        </w:rPr>
        <w:t xml:space="preserve"> (e.g., fragmenting landscapes, creating corridors, deploying infrastructure, </w:t>
      </w:r>
      <w:r w:rsidR="4E11BCB0" w:rsidRPr="728F2DAF">
        <w:rPr>
          <w:lang w:val="en-GB"/>
        </w:rPr>
        <w:t xml:space="preserve">leading to land-use abandonment, </w:t>
      </w:r>
      <w:r w:rsidR="2A2A3C81" w:rsidRPr="728F2DAF">
        <w:rPr>
          <w:lang w:val="en-GB"/>
        </w:rPr>
        <w:t xml:space="preserve">degrading habitats, or changing disturbance regimes; </w:t>
      </w:r>
      <w:r w:rsidR="3346FB8C" w:rsidRPr="728F2DAF">
        <w:rPr>
          <w:b/>
          <w:bCs/>
          <w:lang w:val="en-GB"/>
        </w:rPr>
        <w:t xml:space="preserve">sections </w:t>
      </w:r>
      <w:r w:rsidR="2A2A3C81" w:rsidRPr="728F2DAF">
        <w:rPr>
          <w:b/>
          <w:bCs/>
          <w:lang w:val="en-GB"/>
        </w:rPr>
        <w:t>3.3.1.2</w:t>
      </w:r>
      <w:r w:rsidR="2A2A3C81" w:rsidRPr="728F2DAF">
        <w:rPr>
          <w:i/>
          <w:iCs/>
          <w:lang w:val="en-GB"/>
        </w:rPr>
        <w:t xml:space="preserve"> </w:t>
      </w:r>
      <w:r w:rsidR="6F51A485" w:rsidRPr="728F2DAF">
        <w:rPr>
          <w:lang w:val="en-GB"/>
        </w:rPr>
        <w:t>to</w:t>
      </w:r>
      <w:r w:rsidR="2A2A3C81" w:rsidRPr="728F2DAF">
        <w:rPr>
          <w:i/>
          <w:iCs/>
          <w:lang w:val="en-GB"/>
        </w:rPr>
        <w:t xml:space="preserve"> </w:t>
      </w:r>
      <w:r w:rsidR="2A2A3C81" w:rsidRPr="728F2DAF">
        <w:rPr>
          <w:b/>
          <w:bCs/>
          <w:lang w:val="en-GB"/>
        </w:rPr>
        <w:t>3.3.1.6</w:t>
      </w:r>
      <w:r w:rsidR="2A2A3C81" w:rsidRPr="728F2DAF">
        <w:rPr>
          <w:lang w:val="en-GB"/>
        </w:rPr>
        <w:t>).</w:t>
      </w:r>
    </w:p>
    <w:p w14:paraId="75CF4D3F" w14:textId="0D0B31E8" w:rsidR="008C1BF7" w:rsidRPr="00DA249F" w:rsidRDefault="18794F6F" w:rsidP="0090109B">
      <w:pPr>
        <w:rPr>
          <w:lang w:val="en-GB"/>
        </w:rPr>
      </w:pPr>
      <w:r w:rsidRPr="00DA249F">
        <w:rPr>
          <w:lang w:val="en-GB"/>
        </w:rPr>
        <w:t>C</w:t>
      </w:r>
      <w:r w:rsidR="00C85F63" w:rsidRPr="00DA249F">
        <w:rPr>
          <w:lang w:val="en-GB"/>
        </w:rPr>
        <w:t>o</w:t>
      </w:r>
      <w:r w:rsidRPr="00DA249F">
        <w:rPr>
          <w:lang w:val="en-GB"/>
        </w:rPr>
        <w:t xml:space="preserve">nflict and civil unrest may contribute </w:t>
      </w:r>
      <w:r w:rsidR="3B318CFB" w:rsidRPr="00DA249F">
        <w:rPr>
          <w:lang w:val="en-GB"/>
        </w:rPr>
        <w:t xml:space="preserve">significantly </w:t>
      </w:r>
      <w:r w:rsidRPr="00DA249F">
        <w:rPr>
          <w:lang w:val="en-GB"/>
        </w:rPr>
        <w:t xml:space="preserve">to the introduction and spread of </w:t>
      </w:r>
      <w:r w:rsidR="2B631A3C" w:rsidRPr="00DA249F">
        <w:rPr>
          <w:lang w:val="en-GB"/>
        </w:rPr>
        <w:t xml:space="preserve">invasive </w:t>
      </w:r>
      <w:r w:rsidRPr="00DA249F">
        <w:rPr>
          <w:lang w:val="en-GB"/>
        </w:rPr>
        <w:t xml:space="preserve">alien species </w:t>
      </w:r>
      <w:r w:rsidR="00EB186F" w:rsidRPr="00DA249F">
        <w:rPr>
          <w:lang w:val="en-GB"/>
        </w:rPr>
        <w:t>through several m</w:t>
      </w:r>
      <w:r w:rsidR="00E240E0" w:rsidRPr="00DA249F">
        <w:rPr>
          <w:lang w:val="en-GB"/>
        </w:rPr>
        <w:t>e</w:t>
      </w:r>
      <w:r w:rsidR="00EB186F" w:rsidRPr="00DA249F">
        <w:rPr>
          <w:lang w:val="en-GB"/>
        </w:rPr>
        <w:t>chanisms: (i) c</w:t>
      </w:r>
      <w:r w:rsidRPr="00DA249F">
        <w:rPr>
          <w:lang w:val="en-GB"/>
        </w:rPr>
        <w:t xml:space="preserve">ivil unrest </w:t>
      </w:r>
      <w:r w:rsidR="3B318CFB" w:rsidRPr="00DA249F">
        <w:rPr>
          <w:lang w:val="en-GB"/>
        </w:rPr>
        <w:t xml:space="preserve">or war </w:t>
      </w:r>
      <w:r w:rsidR="41C09040" w:rsidRPr="00DA249F">
        <w:rPr>
          <w:lang w:val="en-GB"/>
        </w:rPr>
        <w:t xml:space="preserve">can </w:t>
      </w:r>
      <w:r w:rsidRPr="00DA249F">
        <w:rPr>
          <w:lang w:val="en-GB"/>
        </w:rPr>
        <w:t xml:space="preserve">lead to the breakdown of phytosanitary and animal health control and management, </w:t>
      </w:r>
      <w:r w:rsidR="00BD5B32">
        <w:rPr>
          <w:lang w:val="en-GB"/>
        </w:rPr>
        <w:t xml:space="preserve">and </w:t>
      </w:r>
      <w:r w:rsidRPr="00DA249F">
        <w:rPr>
          <w:lang w:val="en-GB"/>
        </w:rPr>
        <w:t xml:space="preserve">the loss of supply lines for materials as well as to the displacement of </w:t>
      </w:r>
      <w:r w:rsidR="6DA98E55" w:rsidRPr="00DA249F">
        <w:rPr>
          <w:lang w:val="en-GB"/>
        </w:rPr>
        <w:t xml:space="preserve">large </w:t>
      </w:r>
      <w:r w:rsidRPr="00DA249F">
        <w:rPr>
          <w:lang w:val="en-GB"/>
        </w:rPr>
        <w:t>numbers of people</w:t>
      </w:r>
      <w:r w:rsidR="00EB186F" w:rsidRPr="00DA249F">
        <w:rPr>
          <w:lang w:val="en-GB"/>
        </w:rPr>
        <w:t>;</w:t>
      </w:r>
      <w:r w:rsidRPr="00DA249F">
        <w:rPr>
          <w:lang w:val="en-GB"/>
        </w:rPr>
        <w:t xml:space="preserve"> </w:t>
      </w:r>
      <w:r w:rsidR="00EB186F" w:rsidRPr="00DA249F">
        <w:rPr>
          <w:lang w:val="en-GB"/>
        </w:rPr>
        <w:t>(ii) a</w:t>
      </w:r>
      <w:r w:rsidRPr="00DA249F">
        <w:rPr>
          <w:lang w:val="en-GB"/>
        </w:rPr>
        <w:t xml:space="preserve">reas where there is civil unrest or </w:t>
      </w:r>
      <w:r w:rsidRPr="00DA249F">
        <w:rPr>
          <w:lang w:val="en-GB"/>
        </w:rPr>
        <w:lastRenderedPageBreak/>
        <w:t xml:space="preserve">war </w:t>
      </w:r>
      <w:r w:rsidR="3B318CFB" w:rsidRPr="00DA249F">
        <w:rPr>
          <w:lang w:val="en-GB"/>
        </w:rPr>
        <w:t xml:space="preserve">may be </w:t>
      </w:r>
      <w:r w:rsidRPr="00DA249F">
        <w:rPr>
          <w:lang w:val="en-GB"/>
        </w:rPr>
        <w:t xml:space="preserve">more vulnerable to the </w:t>
      </w:r>
      <w:r w:rsidR="0085720A" w:rsidRPr="00DA249F">
        <w:rPr>
          <w:lang w:val="en-GB"/>
        </w:rPr>
        <w:t xml:space="preserve">introduction </w:t>
      </w:r>
      <w:r w:rsidRPr="00DA249F">
        <w:rPr>
          <w:lang w:val="en-GB"/>
        </w:rPr>
        <w:t xml:space="preserve">of </w:t>
      </w:r>
      <w:r w:rsidR="4199217B" w:rsidRPr="00DA249F">
        <w:rPr>
          <w:lang w:val="en-GB"/>
        </w:rPr>
        <w:t>invasive alien species</w:t>
      </w:r>
      <w:r w:rsidRPr="00DA249F">
        <w:rPr>
          <w:lang w:val="en-GB"/>
        </w:rPr>
        <w:t xml:space="preserve"> because of the lack of inspections and border controls</w:t>
      </w:r>
      <w:r w:rsidR="6DA98E55" w:rsidRPr="00DA249F">
        <w:rPr>
          <w:lang w:val="en-GB"/>
        </w:rPr>
        <w:t>, facilitat</w:t>
      </w:r>
      <w:r w:rsidR="4199217B" w:rsidRPr="00DA249F">
        <w:rPr>
          <w:lang w:val="en-GB"/>
        </w:rPr>
        <w:t>ing</w:t>
      </w:r>
      <w:r w:rsidR="6DA98E55" w:rsidRPr="00DA249F">
        <w:rPr>
          <w:lang w:val="en-GB"/>
        </w:rPr>
        <w:t xml:space="preserve"> unregulated movement as well</w:t>
      </w:r>
      <w:r w:rsidR="3B318CFB" w:rsidRPr="00DA249F">
        <w:rPr>
          <w:lang w:val="en-GB"/>
        </w:rPr>
        <w:t xml:space="preserve"> </w:t>
      </w:r>
      <w:r w:rsidR="6DA98E55" w:rsidRPr="00DA249F">
        <w:rPr>
          <w:lang w:val="en-GB"/>
        </w:rPr>
        <w:t xml:space="preserve">as </w:t>
      </w:r>
      <w:r w:rsidR="00F22E5E" w:rsidRPr="00DA249F">
        <w:rPr>
          <w:lang w:val="en-GB"/>
        </w:rPr>
        <w:t>deliberate</w:t>
      </w:r>
      <w:r w:rsidR="6DA98E55" w:rsidRPr="00DA249F">
        <w:rPr>
          <w:lang w:val="en-GB"/>
        </w:rPr>
        <w:t xml:space="preserve"> smuggling</w:t>
      </w:r>
      <w:r w:rsidR="4199217B" w:rsidRPr="00DA249F">
        <w:rPr>
          <w:lang w:val="en-GB"/>
        </w:rPr>
        <w:t xml:space="preserve"> of people and their belongings</w:t>
      </w:r>
      <w:r w:rsidR="6DA98E55" w:rsidRPr="00DA249F">
        <w:rPr>
          <w:lang w:val="en-GB"/>
        </w:rPr>
        <w:t xml:space="preserve">, </w:t>
      </w:r>
      <w:r w:rsidRPr="00DA249F">
        <w:rPr>
          <w:lang w:val="en-GB"/>
        </w:rPr>
        <w:t xml:space="preserve">and also because of </w:t>
      </w:r>
      <w:r w:rsidR="4199217B" w:rsidRPr="00DA249F">
        <w:rPr>
          <w:lang w:val="en-GB"/>
        </w:rPr>
        <w:t xml:space="preserve">the </w:t>
      </w:r>
      <w:r w:rsidR="6DA98E55" w:rsidRPr="00DA249F">
        <w:rPr>
          <w:lang w:val="en-GB"/>
        </w:rPr>
        <w:t>increased</w:t>
      </w:r>
      <w:r w:rsidRPr="00DA249F">
        <w:rPr>
          <w:lang w:val="en-GB"/>
        </w:rPr>
        <w:t xml:space="preserve"> movement of military personnel</w:t>
      </w:r>
      <w:r w:rsidR="6DA98E55" w:rsidRPr="00DA249F">
        <w:rPr>
          <w:lang w:val="en-GB"/>
        </w:rPr>
        <w:t xml:space="preserve"> and </w:t>
      </w:r>
      <w:r w:rsidRPr="00DA249F">
        <w:rPr>
          <w:lang w:val="en-GB"/>
        </w:rPr>
        <w:t>refugees</w:t>
      </w:r>
      <w:r w:rsidR="00EB186F" w:rsidRPr="00DA249F">
        <w:rPr>
          <w:lang w:val="en-GB"/>
        </w:rPr>
        <w:t>; (iii) i</w:t>
      </w:r>
      <w:r w:rsidRPr="00DA249F">
        <w:rPr>
          <w:lang w:val="en-GB"/>
        </w:rPr>
        <w:t xml:space="preserve">nflows of food aid may </w:t>
      </w:r>
      <w:r w:rsidR="4199217B" w:rsidRPr="00DA249F">
        <w:rPr>
          <w:lang w:val="en-GB"/>
        </w:rPr>
        <w:t xml:space="preserve">also </w:t>
      </w:r>
      <w:r w:rsidRPr="00DA249F">
        <w:rPr>
          <w:lang w:val="en-GB"/>
        </w:rPr>
        <w:t xml:space="preserve">be contaminated with </w:t>
      </w:r>
      <w:r w:rsidR="00607B1F" w:rsidRPr="00DA249F">
        <w:rPr>
          <w:lang w:val="en-GB"/>
        </w:rPr>
        <w:t>alien species</w:t>
      </w:r>
      <w:r w:rsidR="00EB186F" w:rsidRPr="00DA249F">
        <w:rPr>
          <w:lang w:val="en-GB"/>
        </w:rPr>
        <w:t>; and (iv) d</w:t>
      </w:r>
      <w:r w:rsidRPr="00DA249F">
        <w:rPr>
          <w:lang w:val="en-GB"/>
        </w:rPr>
        <w:t xml:space="preserve">ifficulties in obtaining access to border areas because of landmines and other hazards </w:t>
      </w:r>
      <w:r w:rsidR="4199217B" w:rsidRPr="00DA249F">
        <w:rPr>
          <w:lang w:val="en-GB"/>
        </w:rPr>
        <w:t>impedes</w:t>
      </w:r>
      <w:r w:rsidRPr="00DA249F">
        <w:rPr>
          <w:lang w:val="en-GB"/>
        </w:rPr>
        <w:t xml:space="preserve"> </w:t>
      </w:r>
      <w:r w:rsidR="4199217B" w:rsidRPr="00DA249F">
        <w:rPr>
          <w:lang w:val="en-GB"/>
        </w:rPr>
        <w:t>border control</w:t>
      </w:r>
      <w:r w:rsidR="45FE439C" w:rsidRPr="00DA249F">
        <w:rPr>
          <w:lang w:val="en-GB"/>
        </w:rPr>
        <w:t xml:space="preserve"> </w:t>
      </w:r>
      <w:bookmarkStart w:id="59" w:name="_Hlk126830964"/>
      <w:r w:rsidR="00EB186F" w:rsidRPr="00DA249F">
        <w:rPr>
          <w:lang w:val="en-GB"/>
        </w:rPr>
        <w:fldChar w:fldCharType="begin"/>
      </w:r>
      <w:r w:rsidR="00F5121E">
        <w:rPr>
          <w:lang w:val="en-GB"/>
        </w:rPr>
        <w:instrText xml:space="preserve"> ADDIN ZOTERO_ITEM CSL_CITATION {"citationID":"h3ae5Gbz","properties":{"formattedCitation":"(FAO, 2001; Moore, 2005; Murphy &amp; Cheesman, 2006)","plainCitation":"(FAO, 2001; Moore, 2005; Murphy &amp; Cheesman, 2006)","noteIndex":0},"citationItems":[{"id":24956,"uris":["http://zotero.org/groups/2352922/items/99PG9XMW"],"itemData":{"id":24956,"type":"report","event-place":"Rome, Italy","genre":"Annual report","number":"SBN 92-5-104600-X","publisher":"Food and Agriculture Organization of the United Nations","publisher-place":"Rome, Italy","title":"The State of Food and Agriculture 2001","URL":"http://www.fao.org/3/x9800e/x9800e00.htm","author":[{"literal":"FAO"}],"issued":{"date-parts":[["2001"]]}},"label":"page"},{"id":30843,"uris":["http://zotero.org/groups/2352922/items/C2P42ZX8"],"itemData":{"id":30843,"type":"report","collection-title":"Forest Resources Development Service Working Paper FBS/8E","event-place":"Rome, Italy","genre":"Working Paper","number":"8","publisher":"Forest Resources Division FAO","publisher-place":"Rome, Italy","title":"Alien Invasive Species: Impacts on Forests and Forestry - A Review","URL":"https://www.fao.org/3/j6854e/j6854e00.htm","author":[{"family":"Moore","given":"Beverly A."}],"accessed":{"date-parts":[["2021",10,22]]},"issued":{"date-parts":[["2005",11]]}},"label":"page"},{"id":32859,"uris":["http://zotero.org/groups/2352922/items/WACB9G3T"],"itemData":{"id":32859,"type":"report","collection-title":"Biodiversity Series","event-place":"Washington, DC, USA","genre":"A Preliminary Report","language":"en","page":"50","publisher":"World Bank Environmental Department","publisher-place":"Washington, DC, USA","source":"Zotero","title":"The Aid Trade - International Assistance Programs as Pathways for the Introduction of Invasive Alien Species","author":[{"family":"Murphy","given":"Sean T"},{"family":"Cheesman","given":"Oliver D"}],"issued":{"date-parts":[["2006"]]}},"label":"page"}],"schema":"https://github.com/citation-style-language/schema/raw/master/csl-citation.json"} </w:instrText>
      </w:r>
      <w:r w:rsidR="00EB186F" w:rsidRPr="00DA249F">
        <w:rPr>
          <w:lang w:val="en-GB"/>
        </w:rPr>
        <w:fldChar w:fldCharType="separate"/>
      </w:r>
      <w:r w:rsidR="008A0CF4" w:rsidRPr="008A0CF4">
        <w:t>(FAO, 2001; Moore, 2005; Murphy &amp; Cheesman, 2006)</w:t>
      </w:r>
      <w:r w:rsidR="00EB186F" w:rsidRPr="00DA249F">
        <w:rPr>
          <w:lang w:val="en-GB"/>
        </w:rPr>
        <w:fldChar w:fldCharType="end"/>
      </w:r>
      <w:bookmarkEnd w:id="59"/>
      <w:r w:rsidR="00EB186F" w:rsidRPr="00DA249F">
        <w:rPr>
          <w:lang w:val="en-GB"/>
        </w:rPr>
        <w:t xml:space="preserve">. </w:t>
      </w:r>
    </w:p>
    <w:p w14:paraId="2CD3605A" w14:textId="6C49C905" w:rsidR="00744DF8" w:rsidRPr="00DA249F" w:rsidRDefault="3D04D128" w:rsidP="0090109B">
      <w:pPr>
        <w:rPr>
          <w:lang w:val="en-GB"/>
        </w:rPr>
      </w:pPr>
      <w:r w:rsidRPr="5575EBFC">
        <w:rPr>
          <w:lang w:val="en-GB"/>
        </w:rPr>
        <w:t xml:space="preserve">War entails transportation of people and goods, </w:t>
      </w:r>
      <w:r w:rsidR="63BA4796" w:rsidRPr="5575EBFC">
        <w:rPr>
          <w:lang w:val="en-GB"/>
        </w:rPr>
        <w:t>deployment of heavy machinery</w:t>
      </w:r>
      <w:r w:rsidRPr="5575EBFC">
        <w:rPr>
          <w:lang w:val="en-GB"/>
        </w:rPr>
        <w:t xml:space="preserve">, disturbance of habitats, creation of bare ground, and in some instances intentional introductions </w:t>
      </w:r>
      <w:r w:rsidR="5DED62DA" w:rsidRPr="5575EBFC">
        <w:rPr>
          <w:lang w:val="en-GB"/>
        </w:rPr>
        <w:t xml:space="preserve">of alien species </w:t>
      </w:r>
      <w:r w:rsidRPr="5575EBFC">
        <w:rPr>
          <w:lang w:val="en-GB"/>
        </w:rPr>
        <w:t>(food supply etc.</w:t>
      </w:r>
      <w:r w:rsidR="638AA909" w:rsidRPr="5575EBFC">
        <w:rPr>
          <w:lang w:val="en-GB"/>
        </w:rPr>
        <w:t>;</w:t>
      </w:r>
      <w:r w:rsidRPr="5575EBFC">
        <w:rPr>
          <w:lang w:val="en-GB"/>
        </w:rPr>
        <w:t xml:space="preserve"> </w:t>
      </w:r>
      <w:r w:rsidR="008C1BF7" w:rsidRPr="5575EBFC">
        <w:rPr>
          <w:lang w:val="en-GB"/>
        </w:rPr>
        <w:fldChar w:fldCharType="begin"/>
      </w:r>
      <w:r w:rsidR="00230216">
        <w:rPr>
          <w:lang w:val="en-GB"/>
        </w:rPr>
        <w:instrText xml:space="preserve"> ADDIN ZOTERO_ITEM CSL_CITATION {"citationID":"d0PY4vnZ","properties":{"formattedCitation":"(Fosberg F.R, 1957)","plainCitation":"(Fosberg F.R, 1957)","dontUpdate":true,"noteIndex":0},"citationItems":[{"id":"zUkrYEfa/DGphiSxF","uris":["http://zotero.org/users/5891177/items/DVTXH5XF"],"itemData":{"id":"HwAiZEUH/LTNPtPAp","type":"paper-conference","container-title":"Proceedings of the 8th Pacific Science Congress","event":"National Research Council of the Philippines","event-place":"Quezon, Philippines.","page":"229-234","publisher-place":"Quezon, Philippines.","title":"The naturalised flora of Micronesia and World War II.","volume":"4","author":[{"literal":"Fosberg F.R"}],"issued":{"date-parts":[["1957"]]}}}],"schema":"https://github.com/citation-style-language/schema/raw/master/csl-citation.json"} </w:instrText>
      </w:r>
      <w:r w:rsidR="008C1BF7" w:rsidRPr="5575EBFC">
        <w:rPr>
          <w:lang w:val="en-GB"/>
        </w:rPr>
        <w:fldChar w:fldCharType="separate"/>
      </w:r>
      <w:r w:rsidR="55E22D90" w:rsidRPr="5575EBFC">
        <w:rPr>
          <w:lang w:val="en-GB"/>
        </w:rPr>
        <w:t>Fosberg, 1957)</w:t>
      </w:r>
      <w:r w:rsidR="008C1BF7" w:rsidRPr="5575EBFC">
        <w:rPr>
          <w:lang w:val="en-GB"/>
        </w:rPr>
        <w:fldChar w:fldCharType="end"/>
      </w:r>
      <w:r w:rsidRPr="5575EBFC">
        <w:rPr>
          <w:lang w:val="en-GB"/>
        </w:rPr>
        <w:t xml:space="preserve">. Military transport, equipment and supplies, often covered with dirt or mud from the field, are effective means of dispersal for many </w:t>
      </w:r>
      <w:r w:rsidR="087EBD84" w:rsidRPr="5575EBFC">
        <w:rPr>
          <w:lang w:val="en-GB"/>
        </w:rPr>
        <w:t xml:space="preserve">alien </w:t>
      </w:r>
      <w:r w:rsidRPr="5575EBFC">
        <w:rPr>
          <w:lang w:val="en-GB"/>
        </w:rPr>
        <w:t xml:space="preserve">species </w:t>
      </w:r>
      <w:r w:rsidR="008C1BF7" w:rsidRPr="5575EBFC">
        <w:rPr>
          <w:lang w:val="en-GB"/>
        </w:rPr>
        <w:fldChar w:fldCharType="begin"/>
      </w:r>
      <w:r w:rsidR="00F5121E">
        <w:rPr>
          <w:lang w:val="en-GB"/>
        </w:rPr>
        <w:instrText xml:space="preserve"> ADDIN ZOTERO_ITEM CSL_CITATION {"citationID":"brmVSKl1","properties":{"formattedCitation":"(Cofrancesco Jr et al., 2007; Dalsimer, 2002)","plainCitation":"(Cofrancesco Jr et al., 2007; Dalsimer, 2002)","noteIndex":0},"citationItems":[{"id":25332,"uris":["http://zotero.org/groups/2352922/items/QQ9TCBUX"],"itemData":{"id":25332,"type":"report","event-place":"Vicksburg","publisher":"Engineer Research and Development Center MS Environmental lab","publisher-place":"Vicksburg","title":"Transfer of invasive species associated with the movement of military equipment and personnel","URL":"https://apps.dtic.mil/sti/pdfs/ADA470914.pdf","author":[{"family":"Cofrancesco Jr","given":"A. F."},{"family":"Reaves","given":"D. R"},{"family":"Averett","given":"D. E."}],"issued":{"date-parts":[["2007"]]}}},{"id":25333,"uris":["http://zotero.org/groups/2352922/items/XPGMAJNK"],"itemData":{"id":25333,"type":"article-journal","abstract":"Invasive species impact DOD's ability to conduct its training, testing, and deployment missions. This article will explain what invasives are, discuss the impacts invasives are having generally and for the military in particular, provide specific examples of instances where invasives are impacting DOD's mission, and briefly describe what actions DOD is taking to address the problem in ways that benefit both biodiversity and mission needs. © 2002 Wiley Periodicals, Inc.","container-title":"Federal Facilities Environmental Journal","DOI":"https://doi.org/10.1002/ffej.10044","ISSN":"1520-6513","issue":"3","language":"en","license":"Copyright © 2002 Wiley Periodicals, Inc.","page":"41-54","source":"Wiley Online Library","title":"Why DOD is interested in invasive species","URL":"https://onlinelibrary.wiley.com/doi/abs/10.1002/ffej.10044","volume":"13","author":[{"family":"Dalsimer","given":"Alison"}],"accessed":{"date-parts":[["2021",4,12]]},"issued":{"date-parts":[["2002"]]}}}],"schema":"https://github.com/citation-style-language/schema/raw/master/csl-citation.json"} </w:instrText>
      </w:r>
      <w:r w:rsidR="008C1BF7" w:rsidRPr="5575EBFC">
        <w:rPr>
          <w:lang w:val="en-GB"/>
        </w:rPr>
        <w:fldChar w:fldCharType="separate"/>
      </w:r>
      <w:r w:rsidR="6B5F9B9E">
        <w:t>(Cofrancesco Jr et al., 2007; Dalsimer, 2002)</w:t>
      </w:r>
      <w:r w:rsidR="008C1BF7" w:rsidRPr="5575EBFC">
        <w:rPr>
          <w:lang w:val="en-GB"/>
        </w:rPr>
        <w:fldChar w:fldCharType="end"/>
      </w:r>
      <w:r w:rsidRPr="5575EBFC">
        <w:rPr>
          <w:lang w:val="en-GB"/>
        </w:rPr>
        <w:t xml:space="preserve">. </w:t>
      </w:r>
      <w:r w:rsidR="68C1F32E" w:rsidRPr="5575EBFC">
        <w:rPr>
          <w:lang w:val="en-GB"/>
        </w:rPr>
        <w:t xml:space="preserve">A number of introductions have been linked to movement of troops and military equipment during the Second World War: </w:t>
      </w:r>
      <w:r w:rsidR="4BAA0B4D" w:rsidRPr="5575EBFC">
        <w:rPr>
          <w:i/>
          <w:iCs/>
          <w:lang w:val="en-GB"/>
        </w:rPr>
        <w:t>Rattus rattus</w:t>
      </w:r>
      <w:r w:rsidR="4BAA0B4D" w:rsidRPr="5575EBFC">
        <w:rPr>
          <w:lang w:val="en-GB"/>
        </w:rPr>
        <w:t xml:space="preserve"> (</w:t>
      </w:r>
      <w:r w:rsidR="2343DBD3" w:rsidRPr="5575EBFC">
        <w:rPr>
          <w:lang w:val="en-GB"/>
        </w:rPr>
        <w:t>b</w:t>
      </w:r>
      <w:r w:rsidRPr="5575EBFC">
        <w:rPr>
          <w:lang w:val="en-GB"/>
        </w:rPr>
        <w:t>lack rat</w:t>
      </w:r>
      <w:r w:rsidR="4BAA0B4D" w:rsidRPr="5575EBFC">
        <w:rPr>
          <w:lang w:val="en-GB"/>
        </w:rPr>
        <w:t>)</w:t>
      </w:r>
      <w:r w:rsidRPr="5575EBFC">
        <w:rPr>
          <w:lang w:val="en-GB"/>
        </w:rPr>
        <w:t xml:space="preserve"> were introduced to the Midway Islands by navy ships</w:t>
      </w:r>
      <w:r w:rsidR="0BF987B6" w:rsidRPr="5575EBFC">
        <w:rPr>
          <w:lang w:val="en-GB"/>
        </w:rPr>
        <w:t>;</w:t>
      </w:r>
      <w:r w:rsidR="36A8B473" w:rsidRPr="5575EBFC">
        <w:rPr>
          <w:lang w:val="en-GB"/>
        </w:rPr>
        <w:t xml:space="preserve"> </w:t>
      </w:r>
      <w:r w:rsidR="34128549" w:rsidRPr="5575EBFC">
        <w:rPr>
          <w:lang w:val="en-GB"/>
        </w:rPr>
        <w:t>a</w:t>
      </w:r>
      <w:r w:rsidRPr="5575EBFC">
        <w:rPr>
          <w:lang w:val="en-GB"/>
        </w:rPr>
        <w:t xml:space="preserve"> desert shrub, </w:t>
      </w:r>
      <w:r w:rsidR="0BF987B6" w:rsidRPr="5575EBFC">
        <w:rPr>
          <w:i/>
          <w:iCs/>
          <w:lang w:val="en-GB"/>
        </w:rPr>
        <w:t>Peganum harmala</w:t>
      </w:r>
      <w:r w:rsidR="0BF987B6" w:rsidRPr="5575EBFC">
        <w:rPr>
          <w:lang w:val="en-GB"/>
        </w:rPr>
        <w:t xml:space="preserve"> (</w:t>
      </w:r>
      <w:r w:rsidRPr="5575EBFC">
        <w:rPr>
          <w:lang w:val="en-GB"/>
        </w:rPr>
        <w:t xml:space="preserve">African rue) was introduced inadvertently into New Mexico and Texas </w:t>
      </w:r>
      <w:r w:rsidR="34128549" w:rsidRPr="5575EBFC">
        <w:rPr>
          <w:lang w:val="en-GB"/>
        </w:rPr>
        <w:t xml:space="preserve">via </w:t>
      </w:r>
      <w:r w:rsidRPr="5575EBFC">
        <w:rPr>
          <w:lang w:val="en-GB"/>
        </w:rPr>
        <w:t>airfields</w:t>
      </w:r>
      <w:r w:rsidR="0BF987B6" w:rsidRPr="5575EBFC">
        <w:rPr>
          <w:lang w:val="en-GB"/>
        </w:rPr>
        <w:t>;</w:t>
      </w:r>
      <w:r w:rsidR="34128549" w:rsidRPr="5575EBFC">
        <w:rPr>
          <w:lang w:val="en-GB"/>
        </w:rPr>
        <w:t xml:space="preserve"> </w:t>
      </w:r>
      <w:r w:rsidR="6FF95FD5" w:rsidRPr="5575EBFC">
        <w:rPr>
          <w:i/>
          <w:iCs/>
          <w:lang w:val="en-GB"/>
        </w:rPr>
        <w:t>Tribulus terrestris</w:t>
      </w:r>
      <w:r w:rsidR="6FF95FD5" w:rsidRPr="5575EBFC">
        <w:rPr>
          <w:lang w:val="en-GB"/>
        </w:rPr>
        <w:t xml:space="preserve"> (punc</w:t>
      </w:r>
      <w:r w:rsidR="570CE38B" w:rsidRPr="5575EBFC">
        <w:rPr>
          <w:lang w:val="en-GB"/>
        </w:rPr>
        <w:t xml:space="preserve">ture vine) and </w:t>
      </w:r>
      <w:r w:rsidR="34128549" w:rsidRPr="5575EBFC">
        <w:rPr>
          <w:lang w:val="en-GB"/>
        </w:rPr>
        <w:t>t</w:t>
      </w:r>
      <w:r w:rsidRPr="5575EBFC">
        <w:rPr>
          <w:lang w:val="en-GB"/>
        </w:rPr>
        <w:t xml:space="preserve">he agricultural pests </w:t>
      </w:r>
      <w:r w:rsidR="0BF987B6" w:rsidRPr="5575EBFC">
        <w:rPr>
          <w:i/>
          <w:iCs/>
          <w:lang w:val="en-GB"/>
        </w:rPr>
        <w:t>Striga asiatica</w:t>
      </w:r>
      <w:r w:rsidR="0BF987B6" w:rsidRPr="5575EBFC">
        <w:rPr>
          <w:lang w:val="en-GB"/>
        </w:rPr>
        <w:t xml:space="preserve"> (</w:t>
      </w:r>
      <w:r w:rsidRPr="5575EBFC">
        <w:rPr>
          <w:lang w:val="en-GB"/>
        </w:rPr>
        <w:t>witch</w:t>
      </w:r>
      <w:r w:rsidR="0BF987B6" w:rsidRPr="5575EBFC">
        <w:rPr>
          <w:lang w:val="en-GB"/>
        </w:rPr>
        <w:t xml:space="preserve"> </w:t>
      </w:r>
      <w:r w:rsidRPr="5575EBFC">
        <w:rPr>
          <w:lang w:val="en-GB"/>
        </w:rPr>
        <w:t xml:space="preserve">weed) and </w:t>
      </w:r>
      <w:r w:rsidR="0BF987B6" w:rsidRPr="5575EBFC">
        <w:rPr>
          <w:i/>
          <w:iCs/>
          <w:lang w:val="en-GB"/>
        </w:rPr>
        <w:t>Globodera rostochiensis</w:t>
      </w:r>
      <w:r w:rsidR="0BF987B6" w:rsidRPr="5575EBFC">
        <w:rPr>
          <w:lang w:val="en-GB"/>
        </w:rPr>
        <w:t xml:space="preserve"> </w:t>
      </w:r>
      <w:r w:rsidR="49A7706A" w:rsidRPr="5575EBFC">
        <w:rPr>
          <w:lang w:val="en-GB"/>
        </w:rPr>
        <w:t>(yellow potato cyst</w:t>
      </w:r>
      <w:r w:rsidRPr="5575EBFC">
        <w:rPr>
          <w:lang w:val="en-GB"/>
        </w:rPr>
        <w:t xml:space="preserve"> nematode) are believed to have entered North America on returning military equipment</w:t>
      </w:r>
      <w:r w:rsidR="49A7706A" w:rsidRPr="5575EBFC">
        <w:rPr>
          <w:lang w:val="en-GB"/>
        </w:rPr>
        <w:t>;</w:t>
      </w:r>
      <w:r w:rsidR="34128549" w:rsidRPr="5575EBFC">
        <w:rPr>
          <w:lang w:val="en-GB"/>
        </w:rPr>
        <w:t xml:space="preserve"> and </w:t>
      </w:r>
      <w:r w:rsidR="49A7706A" w:rsidRPr="5575EBFC">
        <w:rPr>
          <w:i/>
          <w:iCs/>
          <w:lang w:val="en-GB"/>
        </w:rPr>
        <w:t>Boiga irregularis</w:t>
      </w:r>
      <w:r w:rsidR="49A7706A" w:rsidRPr="5575EBFC">
        <w:rPr>
          <w:lang w:val="en-GB"/>
        </w:rPr>
        <w:t xml:space="preserve"> (</w:t>
      </w:r>
      <w:r w:rsidR="34128549" w:rsidRPr="5575EBFC">
        <w:rPr>
          <w:lang w:val="en-GB"/>
        </w:rPr>
        <w:t xml:space="preserve">brown tree snake), native to New Guinea, was </w:t>
      </w:r>
      <w:r w:rsidR="3DCA5662" w:rsidRPr="5575EBFC">
        <w:rPr>
          <w:lang w:val="en-GB"/>
        </w:rPr>
        <w:t xml:space="preserve">unintentionally </w:t>
      </w:r>
      <w:r w:rsidR="34128549" w:rsidRPr="5575EBFC">
        <w:rPr>
          <w:lang w:val="en-GB"/>
        </w:rPr>
        <w:t xml:space="preserve">introduced to the island of Guam most likely in military shipments of fruit </w:t>
      </w:r>
      <w:r w:rsidR="008C1BF7" w:rsidRPr="5575EBFC">
        <w:rPr>
          <w:lang w:val="en-GB"/>
        </w:rPr>
        <w:fldChar w:fldCharType="begin"/>
      </w:r>
      <w:r w:rsidR="00331A79">
        <w:rPr>
          <w:lang w:val="en-GB"/>
        </w:rPr>
        <w:instrText xml:space="preserve"> ADDIN ZOTERO_ITEM CSL_CITATION {"citationID":"8ffteboV","properties":{"formattedCitation":"(Cox, 1999)","plainCitation":"(Cox, 1999)","noteIndex":0},"citationItems":[{"id":32204,"uris":["http://zotero.org/groups/2352922/items/S832JBUP"],"itemData":{"id":32204,"type":"book","event-place":"Washington D.C.","ISBN":"1-55963-680-7","language":"en","publisher":"Island Press","publisher-place":"Washington D.C.","title":"Alien Species in North America and Hawaii","URL":"https://islandpress.org/books/alien-species-north-america-and-hawaii","author":[{"family":"Cox","given":"George W."}],"accessed":{"date-parts":[["2021",10,18]]},"issued":{"date-parts":[["1999"]]}}}],"schema":"https://github.com/citation-style-language/schema/raw/master/csl-citation.json"} </w:instrText>
      </w:r>
      <w:r w:rsidR="008C1BF7" w:rsidRPr="5575EBFC">
        <w:rPr>
          <w:lang w:val="en-GB"/>
        </w:rPr>
        <w:fldChar w:fldCharType="separate"/>
      </w:r>
      <w:r w:rsidR="6B5F9B9E">
        <w:t>(Cox, 1999)</w:t>
      </w:r>
      <w:r w:rsidR="008C1BF7" w:rsidRPr="5575EBFC">
        <w:rPr>
          <w:lang w:val="en-GB"/>
        </w:rPr>
        <w:fldChar w:fldCharType="end"/>
      </w:r>
      <w:r w:rsidR="028586A1" w:rsidRPr="5575EBFC">
        <w:rPr>
          <w:lang w:val="en-GB"/>
        </w:rPr>
        <w:t>.</w:t>
      </w:r>
      <w:r w:rsidR="34128549" w:rsidRPr="5575EBFC">
        <w:rPr>
          <w:lang w:val="en-GB"/>
        </w:rPr>
        <w:t xml:space="preserve"> </w:t>
      </w:r>
      <w:r w:rsidR="4CD95E42" w:rsidRPr="5575EBFC">
        <w:rPr>
          <w:lang w:val="en-GB"/>
        </w:rPr>
        <w:t xml:space="preserve">A root rot of pine trees, </w:t>
      </w:r>
      <w:r w:rsidR="4CD95E42" w:rsidRPr="5575EBFC">
        <w:rPr>
          <w:i/>
          <w:iCs/>
          <w:lang w:val="en-GB"/>
        </w:rPr>
        <w:t>Heterobasidion annosum</w:t>
      </w:r>
      <w:r w:rsidR="4CD95E42" w:rsidRPr="5575EBFC">
        <w:rPr>
          <w:lang w:val="en-GB"/>
        </w:rPr>
        <w:t xml:space="preserve"> (root rot), </w:t>
      </w:r>
      <w:r w:rsidR="34128549" w:rsidRPr="5575EBFC">
        <w:rPr>
          <w:lang w:val="en-GB"/>
        </w:rPr>
        <w:t xml:space="preserve">was inadvertently introduced into Italy by American troops during World War II where it has resulted in an unprecedented mortality rate of </w:t>
      </w:r>
      <w:r w:rsidR="16E86766" w:rsidRPr="5575EBFC">
        <w:rPr>
          <w:i/>
          <w:iCs/>
          <w:lang w:val="en-GB"/>
        </w:rPr>
        <w:t>Pinus pinea</w:t>
      </w:r>
      <w:r w:rsidR="16E86766" w:rsidRPr="5575EBFC">
        <w:rPr>
          <w:lang w:val="en-GB"/>
        </w:rPr>
        <w:t xml:space="preserve"> </w:t>
      </w:r>
      <w:r w:rsidR="4BAA0B4D" w:rsidRPr="5575EBFC">
        <w:rPr>
          <w:lang w:val="en-GB"/>
        </w:rPr>
        <w:t>(Italian stone pine</w:t>
      </w:r>
      <w:r w:rsidR="78204A3D" w:rsidRPr="5575EBFC">
        <w:rPr>
          <w:lang w:val="en-GB"/>
        </w:rPr>
        <w:t>;</w:t>
      </w:r>
      <w:r w:rsidR="34128549" w:rsidRPr="5575EBFC">
        <w:rPr>
          <w:lang w:val="en-GB"/>
        </w:rPr>
        <w:t xml:space="preserve"> </w:t>
      </w:r>
      <w:r w:rsidR="008C1BF7" w:rsidRPr="5575EBFC">
        <w:rPr>
          <w:lang w:val="en-GB"/>
        </w:rPr>
        <w:fldChar w:fldCharType="begin"/>
      </w:r>
      <w:r w:rsidR="00331A79">
        <w:rPr>
          <w:lang w:val="en-GB"/>
        </w:rPr>
        <w:instrText xml:space="preserve"> ADDIN ZOTERO_ITEM CSL_CITATION {"citationID":"RgKlAkoX","properties":{"formattedCitation":"(Pilcher, 2004)","plainCitation":"(Pilcher, 2004)","dontUpdate":true,"noteIndex":0},"citationItems":[{"id":31888,"uris":["http://zotero.org/groups/2352922/items/JTF5BPQQ"],"itemData":{"id":31888,"type":"article-journal","container-title":"Nature","DOI":"10.1038/news040405-1","ISSN":"0028-0836, 1476-4687","journalAbbreviation":"Nature","language":"en","note":"container-title: Nature","page":"news040405-1","source":"DOI.org (Crossref)","title":"US army may have killed Italian trees","URL":"http://www.nature.com/articles/news040405-1","author":[{"family":"Pilcher","given":"Helen R."}],"accessed":{"date-parts":[["2019",12,6]]},"issued":{"date-parts":[["2004",4,6]]}},"label":"page"}],"schema":"https://github.com/citation-style-language/schema/raw/master/csl-citation.json"} </w:instrText>
      </w:r>
      <w:r w:rsidR="008C1BF7" w:rsidRPr="5575EBFC">
        <w:rPr>
          <w:lang w:val="en-GB"/>
        </w:rPr>
        <w:fldChar w:fldCharType="separate"/>
      </w:r>
      <w:r w:rsidR="52225489" w:rsidRPr="5575EBFC">
        <w:rPr>
          <w:lang w:val="en-GB"/>
        </w:rPr>
        <w:t>Pilcher, 2004)</w:t>
      </w:r>
      <w:r w:rsidR="008C1BF7" w:rsidRPr="5575EBFC">
        <w:rPr>
          <w:lang w:val="en-GB"/>
        </w:rPr>
        <w:fldChar w:fldCharType="end"/>
      </w:r>
      <w:r w:rsidR="34128549" w:rsidRPr="5575EBFC">
        <w:rPr>
          <w:lang w:val="en-GB"/>
        </w:rPr>
        <w:t xml:space="preserve">. More generally, an increase in marine invasive alien species was observed at Pearl Harbor following World War I and II </w:t>
      </w:r>
      <w:r w:rsidR="008C1BF7" w:rsidRPr="5575EBFC">
        <w:rPr>
          <w:lang w:val="en-GB"/>
        </w:rPr>
        <w:fldChar w:fldCharType="begin"/>
      </w:r>
      <w:r w:rsidR="00331A79">
        <w:rPr>
          <w:lang w:val="en-GB"/>
        </w:rPr>
        <w:instrText xml:space="preserve"> ADDIN ZOTERO_ITEM CSL_CITATION {"citationID":"1tcpDvJD","properties":{"formattedCitation":"(Coles et al., 1999)","plainCitation":"(Coles et al., 1999)","noteIndex":0},"citationItems":[{"id":29212,"uris":["http://zotero.org/groups/2352922/items/LPCH53RZ"],"itemData":{"id":29212,"type":"article-journal","abstract":"The benthic organisms and fishes of Pearl Harbor were sampled in 1996, and results were compared with all previous collections and observations from Pearl Harbor assembled from published and unpublished literature and specimens in the Bishop Museum collections. Organisms were designated as native, non-indigenous or cryptogenic (i.e. of uncertain origin). Rates of introductions of non-indigenous and cryptogenic species by decade were estimated from the time of first collections in Pearl Harbor at the turn of the century. Of a total of 419 taxa collected or observed in the 1996 surveys, 95 species (23%) were introduced or cryptogenic, including 12 newly introduced species and 12 new cryptogenic species. Analysis suggests two periods of relatively high introduction rates corresponding to wartime periods. Of the 101 introduced species that have been collected from Pearl Harbor since the beginning of the century, we found 69 species (68%) in 1996. Most of the introduced species collected in 1996 with known geographic origins have distributions extending to the Indo-West Pacific; however, several species are known from the Red Sea and the Caribbean Sea. The only species from these recent introductions that has become abundant and widespread in Hawaii is the small intertidal barnacle Chthamalus proteus Dando and Southward, 1980, which was formerly restricted to the Caribbean.","container-title":"Marine Biology","DOI":"10.1007/s002270050612","ISSN":"1432-1793","issue":"1","journalAbbreviation":"Marine Biology","language":"en","page":"147-158","source":"Springer Link","title":"Historical and recent introductions of non-indigenous marine species into Pearl Harbor, Oahu, Hawaiian Islands","URL":"https://doi.org/10.1007/s002270050612","volume":"135","author":[{"family":"Coles","given":"S. L."},{"family":"DeFelice","given":"R. C."},{"family":"Eldredge","given":"L. G."},{"family":"Carlton","given":"James T."}],"accessed":{"date-parts":[["2020",6,14]]},"issued":{"date-parts":[["1999",10,1]]}}}],"schema":"https://github.com/citation-style-language/schema/raw/master/csl-citation.json"} </w:instrText>
      </w:r>
      <w:r w:rsidR="008C1BF7" w:rsidRPr="5575EBFC">
        <w:rPr>
          <w:lang w:val="en-GB"/>
        </w:rPr>
        <w:fldChar w:fldCharType="separate"/>
      </w:r>
      <w:r w:rsidR="6B5F9B9E">
        <w:t>(Coles et al., 1999)</w:t>
      </w:r>
      <w:r w:rsidR="008C1BF7" w:rsidRPr="5575EBFC">
        <w:rPr>
          <w:lang w:val="en-GB"/>
        </w:rPr>
        <w:fldChar w:fldCharType="end"/>
      </w:r>
      <w:r w:rsidR="34128549" w:rsidRPr="5575EBFC">
        <w:rPr>
          <w:lang w:val="en-GB"/>
        </w:rPr>
        <w:t>. More local</w:t>
      </w:r>
      <w:r w:rsidR="27E63DF9" w:rsidRPr="5575EBFC">
        <w:rPr>
          <w:lang w:val="en-GB"/>
        </w:rPr>
        <w:t>ize</w:t>
      </w:r>
      <w:r w:rsidR="34128549" w:rsidRPr="5575EBFC">
        <w:rPr>
          <w:lang w:val="en-GB"/>
        </w:rPr>
        <w:t xml:space="preserve">d military operations have also led to </w:t>
      </w:r>
      <w:r w:rsidR="64DE78F3" w:rsidRPr="5575EBFC">
        <w:rPr>
          <w:lang w:val="en-GB"/>
        </w:rPr>
        <w:t xml:space="preserve">biological </w:t>
      </w:r>
      <w:r w:rsidR="34128549" w:rsidRPr="5575EBFC">
        <w:rPr>
          <w:lang w:val="en-GB"/>
        </w:rPr>
        <w:t xml:space="preserve">invasions. </w:t>
      </w:r>
      <w:r w:rsidR="16B51747" w:rsidRPr="5575EBFC">
        <w:rPr>
          <w:lang w:val="en-GB"/>
        </w:rPr>
        <w:t>The introduction of</w:t>
      </w:r>
      <w:r w:rsidR="16B51747" w:rsidRPr="5575EBFC">
        <w:rPr>
          <w:i/>
          <w:iCs/>
          <w:lang w:val="en-GB"/>
        </w:rPr>
        <w:t xml:space="preserve"> </w:t>
      </w:r>
      <w:r w:rsidR="7DDA1E7B" w:rsidRPr="5575EBFC">
        <w:rPr>
          <w:i/>
          <w:iCs/>
          <w:lang w:val="en-GB"/>
        </w:rPr>
        <w:t>Diabrotica virgifera</w:t>
      </w:r>
      <w:r w:rsidR="7DDA1E7B" w:rsidRPr="5575EBFC">
        <w:rPr>
          <w:lang w:val="en-GB"/>
        </w:rPr>
        <w:t xml:space="preserve"> </w:t>
      </w:r>
      <w:r w:rsidR="7DDA1E7B" w:rsidRPr="5575EBFC">
        <w:rPr>
          <w:rFonts w:eastAsia="游明朝"/>
          <w:lang w:val="en-GB"/>
        </w:rPr>
        <w:t>(</w:t>
      </w:r>
      <w:r w:rsidR="13EF9412" w:rsidRPr="5575EBFC">
        <w:rPr>
          <w:lang w:val="en-GB"/>
        </w:rPr>
        <w:t>w</w:t>
      </w:r>
      <w:r w:rsidR="16B51747" w:rsidRPr="5575EBFC">
        <w:rPr>
          <w:lang w:val="en-GB"/>
        </w:rPr>
        <w:t xml:space="preserve">estern </w:t>
      </w:r>
      <w:r w:rsidR="16B2C0D5" w:rsidRPr="5575EBFC">
        <w:rPr>
          <w:lang w:val="en-GB"/>
        </w:rPr>
        <w:t>corn rootworm</w:t>
      </w:r>
      <w:r w:rsidR="34128549" w:rsidRPr="5575EBFC">
        <w:rPr>
          <w:lang w:val="en-GB"/>
        </w:rPr>
        <w:t>)</w:t>
      </w:r>
      <w:r w:rsidR="16B51747" w:rsidRPr="5575EBFC">
        <w:rPr>
          <w:lang w:val="en-GB"/>
        </w:rPr>
        <w:t xml:space="preserve"> in Serbia in the 1990s was associated with incoming military transport from the </w:t>
      </w:r>
      <w:r w:rsidR="602D59B0" w:rsidRPr="5575EBFC">
        <w:rPr>
          <w:lang w:val="en-GB"/>
        </w:rPr>
        <w:t>United States</w:t>
      </w:r>
      <w:r w:rsidR="16B51747" w:rsidRPr="5575EBFC">
        <w:rPr>
          <w:lang w:val="en-GB"/>
        </w:rPr>
        <w:t xml:space="preserve"> </w:t>
      </w:r>
      <w:r w:rsidR="008C1BF7" w:rsidRPr="5575EBFC">
        <w:rPr>
          <w:lang w:val="en-GB"/>
        </w:rPr>
        <w:fldChar w:fldCharType="begin"/>
      </w:r>
      <w:r w:rsidR="00331A79">
        <w:rPr>
          <w:lang w:val="en-GB"/>
        </w:rPr>
        <w:instrText xml:space="preserve"> ADDIN ZOTERO_ITEM CSL_CITATION {"citationID":"By3F5nLg","properties":{"formattedCitation":"(EPPO, 1996)","plainCitation":"(EPPO, 1996)","noteIndex":0},"citationItems":[{"id":25331,"uris":["http://zotero.org/groups/2352922/items/6AS5TA7M"],"itemData":{"id":25331,"type":"report","collection-title":"EPPO Reporting Service","event-place":"Gödöllö (HU)","number":"1996/006","publisher-place":"Gödöllö (HU)","title":"Situation of &lt;i&gt;Diabrotica virgifera&lt;/i&gt; in Serbia (YU). From International Workshop \"Western Corn Rootworm in Europe 95\"1995-11-08.","author":[{"family":"EPPO","given":""}],"issued":{"date-parts":[["1996"]]}}}],"schema":"https://github.com/citation-style-language/schema/raw/master/csl-citation.json"} </w:instrText>
      </w:r>
      <w:r w:rsidR="008C1BF7" w:rsidRPr="5575EBFC">
        <w:rPr>
          <w:lang w:val="en-GB"/>
        </w:rPr>
        <w:fldChar w:fldCharType="separate"/>
      </w:r>
      <w:r w:rsidR="6B5F9B9E">
        <w:t>(EPPO, 1996)</w:t>
      </w:r>
      <w:r w:rsidR="008C1BF7" w:rsidRPr="5575EBFC">
        <w:rPr>
          <w:lang w:val="en-GB"/>
        </w:rPr>
        <w:fldChar w:fldCharType="end"/>
      </w:r>
      <w:r w:rsidR="778E379C" w:rsidRPr="5575EBFC">
        <w:rPr>
          <w:lang w:val="en-GB"/>
        </w:rPr>
        <w:t>,</w:t>
      </w:r>
      <w:r w:rsidR="16B51747" w:rsidRPr="5575EBFC">
        <w:rPr>
          <w:lang w:val="en-GB"/>
        </w:rPr>
        <w:t xml:space="preserve"> and has rapidly become a widespread </w:t>
      </w:r>
      <w:r w:rsidR="01AD1036" w:rsidRPr="5575EBFC">
        <w:rPr>
          <w:lang w:val="en-GB"/>
        </w:rPr>
        <w:t>(</w:t>
      </w:r>
      <w:r w:rsidR="0BCA780B" w:rsidRPr="5575EBFC">
        <w:rPr>
          <w:b/>
          <w:bCs/>
          <w:lang w:val="en-GB" w:eastAsia="en-NZ"/>
        </w:rPr>
        <w:t>G</w:t>
      </w:r>
      <w:r w:rsidR="01AD1036" w:rsidRPr="5575EBFC">
        <w:rPr>
          <w:b/>
          <w:bCs/>
          <w:lang w:val="en-GB" w:eastAsia="en-NZ"/>
        </w:rPr>
        <w:t>lossary</w:t>
      </w:r>
      <w:r w:rsidR="01AD1036" w:rsidRPr="5575EBFC">
        <w:rPr>
          <w:lang w:val="en-GB" w:eastAsia="en-NZ"/>
        </w:rPr>
        <w:t>)</w:t>
      </w:r>
      <w:r w:rsidR="01AD1036" w:rsidRPr="5575EBFC">
        <w:rPr>
          <w:lang w:val="en-GB"/>
        </w:rPr>
        <w:t xml:space="preserve"> </w:t>
      </w:r>
      <w:r w:rsidR="16B51747" w:rsidRPr="5575EBFC">
        <w:rPr>
          <w:lang w:val="en-GB"/>
        </w:rPr>
        <w:t>threat to European corn production</w:t>
      </w:r>
      <w:r w:rsidR="778E379C" w:rsidRPr="5575EBFC">
        <w:rPr>
          <w:lang w:val="en-GB"/>
        </w:rPr>
        <w:t xml:space="preserve"> </w:t>
      </w:r>
      <w:r w:rsidR="008C1BF7" w:rsidRPr="5575EBFC">
        <w:rPr>
          <w:lang w:val="en-GB"/>
        </w:rPr>
        <w:fldChar w:fldCharType="begin"/>
      </w:r>
      <w:r w:rsidR="00331A79">
        <w:rPr>
          <w:lang w:val="en-GB"/>
        </w:rPr>
        <w:instrText xml:space="preserve"> ADDIN ZOTERO_ITEM CSL_CITATION {"citationID":"jEVbFP6e","properties":{"formattedCitation":"(Ba\\uc0\\u382{}ok et al., 2021)","plainCitation":"(Bažok et al., 2021)","noteIndex":0},"citationItems":[{"id":25330,"uris":["http://zotero.org/groups/2352922/items/VJ2IBE2N"],"itemData":{"id":25330,"type":"article-journal","abstract":"Western corn rootworm (WCR), or Diabrotica virgifera virgifera LeConte, became a very serious quarantine maize pest in Europe in the mid-1990s. Between 1995 and 2010, European countries were involved in international projects to share information and plan common research for integrated pest management (IPM) implementation. Since 2011, however, common efforts have declined, and an overview of WCR population spread, density, and research is in serious need of update. Therefore, we retained that it was necessary to (1) summarize the research activities carried out in the last 12 years in various countries and the research topics addressed, and analyze how these activities have contributed to IPM for WCR and (2) present the current distribution of WCR in the EU and analyze the current population levels in different European countries, focusing on different management strategies. A review of scientific papers published from 2008 to 2020, in addition to direct interviews with experts in charge of WCR management in a range of European countries, was conducted. Over the past 12 years, scientists in Europe have continued their research activities to investigate various aspects of WCR management by implementing several approaches to WCR control. A considerable amount of new knowledge has been produced, contributing to the development of pest management strategies applicable in EU farming systems. Among the 10 EU countries analyzed, there is no country reporting economic damage on a large scale. Thanks to intensive research leading to specific agricultural practices and the EU Common Agricultural Policy, there are crop-rotation-based solutions that can adequately control this pest avoiding insecticide use.","container-title":"Insects","DOI":"10.3390/insects12030195","issue":"3","language":"en","license":"http://creativecommons.org/licenses/by/3.0/","page":"195","source":"www.mdpi.com","title":"Western Corn Rootworm (&lt;i&gt;Diabrotica virgifera virgifera&lt;/i&gt; LeConte) in Europe: Current Status and Sustainable Pest Management","title-short":"Western Corn Rootworm (Diabrotica virgifera virgifera LeConte) in Europe","URL":"https://www.mdpi.com/2075-4450/12/3/195","volume":"12","author":[{"family":"Bažok","given":"Renata"},{"family":"Lemić","given":"Darija"},{"family":"Chiarini","given":"Francesca"},{"family":"Furlan","given":"Lorenzo"}],"accessed":{"date-parts":[["2021",4,12]]},"issued":{"date-parts":[["2021",3]]}}}],"schema":"https://github.com/citation-style-language/schema/raw/master/csl-citation.json"} </w:instrText>
      </w:r>
      <w:r w:rsidR="008C1BF7" w:rsidRPr="5575EBFC">
        <w:rPr>
          <w:lang w:val="en-GB"/>
        </w:rPr>
        <w:fldChar w:fldCharType="separate"/>
      </w:r>
      <w:r w:rsidR="6B5F9B9E">
        <w:t>(Bažok et al., 2021)</w:t>
      </w:r>
      <w:r w:rsidR="008C1BF7" w:rsidRPr="5575EBFC">
        <w:rPr>
          <w:lang w:val="en-GB"/>
        </w:rPr>
        <w:fldChar w:fldCharType="end"/>
      </w:r>
      <w:r w:rsidR="16B51747" w:rsidRPr="5575EBFC">
        <w:rPr>
          <w:lang w:val="en-GB"/>
        </w:rPr>
        <w:t xml:space="preserve">. </w:t>
      </w:r>
      <w:r w:rsidR="34128549" w:rsidRPr="5575EBFC">
        <w:rPr>
          <w:lang w:val="en-GB"/>
        </w:rPr>
        <w:t xml:space="preserve">Habitat disturbance caused by military activity may also </w:t>
      </w:r>
      <w:r w:rsidR="12F25A26" w:rsidRPr="5575EBFC">
        <w:rPr>
          <w:lang w:val="en-GB"/>
        </w:rPr>
        <w:t>facilitate</w:t>
      </w:r>
      <w:r w:rsidR="34128549" w:rsidRPr="5575EBFC">
        <w:rPr>
          <w:lang w:val="en-GB"/>
        </w:rPr>
        <w:t xml:space="preserve"> </w:t>
      </w:r>
      <w:r w:rsidR="015034DB" w:rsidRPr="5575EBFC">
        <w:rPr>
          <w:lang w:val="en-GB"/>
        </w:rPr>
        <w:t>invasive alien species</w:t>
      </w:r>
      <w:r w:rsidR="34128549" w:rsidRPr="5575EBFC">
        <w:rPr>
          <w:lang w:val="en-GB"/>
        </w:rPr>
        <w:t xml:space="preserve">. In Poland, bomb craters were found to have higher </w:t>
      </w:r>
      <w:r w:rsidR="0A12B745" w:rsidRPr="5575EBFC">
        <w:rPr>
          <w:lang w:val="en-GB"/>
        </w:rPr>
        <w:t>numbers</w:t>
      </w:r>
      <w:r w:rsidR="34128549" w:rsidRPr="5575EBFC">
        <w:rPr>
          <w:lang w:val="en-GB"/>
        </w:rPr>
        <w:t xml:space="preserve"> of invasive alien</w:t>
      </w:r>
      <w:r w:rsidR="16B2C0D5" w:rsidRPr="5575EBFC">
        <w:rPr>
          <w:lang w:val="en-GB"/>
        </w:rPr>
        <w:t xml:space="preserve"> plants</w:t>
      </w:r>
      <w:r w:rsidR="34128549" w:rsidRPr="5575EBFC">
        <w:rPr>
          <w:lang w:val="en-GB"/>
        </w:rPr>
        <w:t xml:space="preserve"> </w:t>
      </w:r>
      <w:r w:rsidR="0A12B745" w:rsidRPr="5575EBFC">
        <w:rPr>
          <w:lang w:val="en-GB"/>
        </w:rPr>
        <w:t xml:space="preserve">compared to the surrounding landscape </w:t>
      </w:r>
      <w:r w:rsidR="008C1BF7" w:rsidRPr="5575EBFC">
        <w:rPr>
          <w:lang w:val="en-GB"/>
        </w:rPr>
        <w:fldChar w:fldCharType="begin"/>
      </w:r>
      <w:r w:rsidR="00331A79">
        <w:rPr>
          <w:lang w:val="en-GB"/>
        </w:rPr>
        <w:instrText xml:space="preserve"> ADDIN ZOTERO_ITEM CSL_CITATION {"citationID":"h1TLS1Ep","properties":{"formattedCitation":"(Krawczyk et al., 2019)","plainCitation":"(Krawczyk et al., 2019)","noteIndex":0},"citationItems":[{"id":25317,"uris":["http://zotero.org/groups/2352922/items/XVTTKW68"],"itemData":{"id":25317,"type":"article-journal","abstract":"Military training areas, where ecosystems are shaped under a complex disturbance regime, are recognized to be favourable pieces of land for maintaining high biological diversity. Our study focused on explosion craters – a small-scale disturbance type of high severity, and their effect on species diversity including vascular plants, bryophytes and lichens. The research was carried out on an active military training area in Nowa Dęba (SE Poland). The examined vegetation represented open communities on nutrient-poor soils with a wide range of soil moisture conditions. We compared 76 pairs of vegetation samples, each pair consisting of a crater and a closely located control plot of the same size. Out of 135 species recorded (72 vascular plants, 33 mosses, 9 liverworts, 22 lichens), 37 were found only in craters, while 19 occurred only in control plots. Both, species number and diversity were significantly higher for craters than controls. In general, the positive effect of cratering on all studied groups rises from dry to wet habitats. The highest increase of diversity was observed in relation to bryophytes in the moist habitats. Moreover, craters within habitats of higher moisture turned out to be more resistant to alien colonization and at the same time were characterized by significantly higher number of red-listed species compared to the control plots. Differences in species composition between craters and undisturbed plots were most visible in moderately moist habitats. We found several species with a strong preference for craters, and the plants of the highest indicative value are Atrichum tenellum and Dicranella cerviculata.","container-title":"Polish Journal of Ecology","DOI":"10.3161/15052249PJE2019.67.3.003","ISSN":"1505-2249, 2450-1395","issue":"3","journalAbbreviation":"pjoe","page":"194-205","source":"bioone.org","title":"Military Training Areas and Vegetation – the Effect of Explosion Craters on Species Diversity along a Moisture Gradient","URL":"https://bioone.org/journals/polish-journal-of-ecology/volume-67/issue-3/15052249PJE2019.67.3.003/Military-Training-Areas-and-Vegetation--the-Effect-of-Explosion/10.3161/15052249PJE2019.67.3.003.full","volume":"67","author":[{"family":"Krawczyk","given":"Rafał"},{"family":"Zubel","given":"Robert"},{"family":"Komsta","given":"Łukasz"}],"accessed":{"date-parts":[["2021",4,12]]},"issued":{"date-parts":[["2019",12]]}}}],"schema":"https://github.com/citation-style-language/schema/raw/master/csl-citation.json"} </w:instrText>
      </w:r>
      <w:r w:rsidR="008C1BF7" w:rsidRPr="5575EBFC">
        <w:rPr>
          <w:lang w:val="en-GB"/>
        </w:rPr>
        <w:fldChar w:fldCharType="separate"/>
      </w:r>
      <w:r w:rsidR="6B5F9B9E">
        <w:t>(Krawczyk et al., 2019)</w:t>
      </w:r>
      <w:r w:rsidR="008C1BF7" w:rsidRPr="5575EBFC">
        <w:rPr>
          <w:lang w:val="en-GB"/>
        </w:rPr>
        <w:fldChar w:fldCharType="end"/>
      </w:r>
      <w:r w:rsidR="34128549" w:rsidRPr="5575EBFC">
        <w:rPr>
          <w:lang w:val="en-GB"/>
        </w:rPr>
        <w:t xml:space="preserve">. </w:t>
      </w:r>
      <w:r w:rsidR="16B51747" w:rsidRPr="5575EBFC">
        <w:rPr>
          <w:lang w:val="en-GB"/>
        </w:rPr>
        <w:t xml:space="preserve">Military training activities resulting in soil disturbance facilitated the spread of </w:t>
      </w:r>
      <w:r w:rsidR="16B51747" w:rsidRPr="5575EBFC">
        <w:rPr>
          <w:i/>
          <w:iCs/>
          <w:lang w:val="en-GB"/>
        </w:rPr>
        <w:t xml:space="preserve">Imperata cylindrica </w:t>
      </w:r>
      <w:r w:rsidR="4D828754" w:rsidRPr="5575EBFC">
        <w:rPr>
          <w:lang w:val="en-GB"/>
        </w:rPr>
        <w:t>(</w:t>
      </w:r>
      <w:r w:rsidR="4806ECB9" w:rsidRPr="5575EBFC">
        <w:rPr>
          <w:lang w:val="en-GB"/>
        </w:rPr>
        <w:t xml:space="preserve">cogon grass) </w:t>
      </w:r>
      <w:r w:rsidR="16B51747" w:rsidRPr="5575EBFC">
        <w:rPr>
          <w:lang w:val="en-GB"/>
        </w:rPr>
        <w:t xml:space="preserve">in military camps in the </w:t>
      </w:r>
      <w:r w:rsidR="602D59B0" w:rsidRPr="5575EBFC">
        <w:rPr>
          <w:lang w:val="en-GB"/>
        </w:rPr>
        <w:t>United States</w:t>
      </w:r>
      <w:r w:rsidR="16B51747" w:rsidRPr="5575EBFC">
        <w:rPr>
          <w:lang w:val="en-GB"/>
        </w:rPr>
        <w:t xml:space="preserve"> </w:t>
      </w:r>
      <w:r w:rsidR="008C1BF7" w:rsidRPr="5575EBFC">
        <w:rPr>
          <w:lang w:val="en-GB"/>
        </w:rPr>
        <w:fldChar w:fldCharType="begin"/>
      </w:r>
      <w:r w:rsidR="00331A79">
        <w:rPr>
          <w:lang w:val="en-GB"/>
        </w:rPr>
        <w:instrText xml:space="preserve"> ADDIN ZOTERO_ITEM CSL_CITATION {"citationID":"6Rg98gYq","properties":{"formattedCitation":"(Yager et al., 2009)","plainCitation":"(Yager et al., 2009)","noteIndex":0},"citationItems":[{"id":25329,"uris":["http://zotero.org/groups/2352922/items/JANCIP8X"],"itemData":{"id":25329,"type":"article-journal","abstract":"Type, level, and intensity of human activities may facilitate establishment and spread of invasive plant species. A better understanding of how human activities influence invasion can assist land managers in developing strategies for control and monitoring of invasive plants. Spread of the invasive species Imperata cylindrica (Cogongrass) has been attributed to human activities. During 2002-2004, on Camp Shelby Training Site, MS, we investigated relationships between military activity and establishment and growth of Cogongrass. In areas of soil disturbance from military equipment, vegetative linear growth rates of 7-10 m yr⁻¹ were recorded on firing points. There was a positive relationship between military troop use and Cogongrass establishment on firing points for one of the 2 years of the study (P = 0.023). Thus, steps to minimize soil disturbance in and near Cogongrass may reduce spread. We examined frequency of Cogongrass infestation and ve</w:instrText>
      </w:r>
      <w:r w:rsidR="00331A79">
        <w:rPr>
          <w:rFonts w:hint="eastAsia"/>
          <w:lang w:val="en-GB"/>
        </w:rPr>
        <w:instrText xml:space="preserve">getative growth rates for roadside areas along gravel roads subject to at least annual mowing and grading, and dirt tracks receiving infrequent maintenance. Cogongrass spread and establishment on roadsides did not differ for the two road types (P </w:instrText>
      </w:r>
      <w:r w:rsidR="00331A79">
        <w:rPr>
          <w:rFonts w:hint="eastAsia"/>
          <w:lang w:val="en-GB"/>
        </w:rPr>
        <w:instrText>≥</w:instrText>
      </w:r>
      <w:r w:rsidR="00331A79">
        <w:rPr>
          <w:rFonts w:hint="eastAsia"/>
          <w:lang w:val="en-GB"/>
        </w:rPr>
        <w:instrText xml:space="preserve"> 0.116)</w:instrText>
      </w:r>
      <w:r w:rsidR="00331A79">
        <w:rPr>
          <w:lang w:val="en-GB"/>
        </w:rPr>
        <w:instrText xml:space="preserve">. These results may reflect activities already in place to reduce disturbance of Cogongrass patches.","container-title":"Southeastern Naturalist","ISSN":"1528-7092","issue":"4","page":"695-708","source":"JSTOR","title":"Military Training and Road Effects on &lt;i&gt;Imperata cylindrica&lt;/i&gt; (L.) Beauv. (Cogongrass)","URL":"https://www.jstor.org/stable/25599364","volume":"8","author":[{"family":"Yager","given":"Lisa Y."},{"family":"Jones","given":"Jeanne"},{"family":"Miller","given":"Deborah L."}],"accessed":{"date-parts":[["2021",4,12]]},"issued":{"date-parts":[["2009"]]}}}],"schema":"https://github.com/citation-style-language/schema/raw/master/csl-citation.json"} </w:instrText>
      </w:r>
      <w:r w:rsidR="008C1BF7" w:rsidRPr="5575EBFC">
        <w:rPr>
          <w:lang w:val="en-GB"/>
        </w:rPr>
        <w:fldChar w:fldCharType="separate"/>
      </w:r>
      <w:r w:rsidR="6B5F9B9E">
        <w:t>(Yager et al., 2009)</w:t>
      </w:r>
      <w:r w:rsidR="008C1BF7" w:rsidRPr="5575EBFC">
        <w:rPr>
          <w:lang w:val="en-GB"/>
        </w:rPr>
        <w:fldChar w:fldCharType="end"/>
      </w:r>
      <w:r w:rsidR="16B51747" w:rsidRPr="5575EBFC">
        <w:rPr>
          <w:lang w:val="en-GB"/>
        </w:rPr>
        <w:t xml:space="preserve">. </w:t>
      </w:r>
      <w:r w:rsidR="4C3EA8D8" w:rsidRPr="5575EBFC">
        <w:rPr>
          <w:lang w:val="en-GB"/>
        </w:rPr>
        <w:t>Again in the United States, t</w:t>
      </w:r>
      <w:r w:rsidR="16B51747" w:rsidRPr="5575EBFC">
        <w:rPr>
          <w:lang w:val="en-GB"/>
        </w:rPr>
        <w:t>ank traffic activity facilitated invasive</w:t>
      </w:r>
      <w:r w:rsidR="64DE4BFA" w:rsidRPr="5575EBFC">
        <w:rPr>
          <w:lang w:val="en-GB"/>
        </w:rPr>
        <w:t xml:space="preserve"> alien</w:t>
      </w:r>
      <w:r w:rsidR="16B51747" w:rsidRPr="5575EBFC">
        <w:rPr>
          <w:lang w:val="en-GB"/>
        </w:rPr>
        <w:t xml:space="preserve"> species in prairie grasslands</w:t>
      </w:r>
      <w:r w:rsidR="4C3EA8D8" w:rsidRPr="5575EBFC">
        <w:rPr>
          <w:lang w:val="en-GB"/>
        </w:rPr>
        <w:t xml:space="preserve"> </w:t>
      </w:r>
      <w:r w:rsidR="008C1BF7" w:rsidRPr="5575EBFC">
        <w:rPr>
          <w:lang w:val="en-GB"/>
        </w:rPr>
        <w:fldChar w:fldCharType="begin"/>
      </w:r>
      <w:r w:rsidR="00331A79">
        <w:rPr>
          <w:lang w:val="en-GB"/>
        </w:rPr>
        <w:instrText xml:space="preserve"> ADDIN ZOTERO_ITEM CSL_CITATION {"citationID":"MkOJ5ZPU","properties":{"formattedCitation":"(S. D. Wilson, 1988)","plainCitation":"(S. D. Wilson, 1988)","dontUpdate":true,"noteIndex":0},"citationItems":[{"id":25328,"uris":["http://zotero.org/groups/2352922/items/QZVRPZ7E"],"itemData":{"id":25328,"type":"article-journal","abstract":"The effect of various frequencies and seasons of military tank traffic on native mixed-grass prairie was examined in a randomized and replicated field experiment. Vegetation (in 10×10 m plots) was subjected to tank traffic at the following rates: (a) one pass per day of training from May until August; (b) one pass per day in May and June; (c) one pass per day in July and August; (d) one pass every three weeks from May until August; (e) zero (control). Species composition and the amount of bare ground were found to vary significantly with traffic frequency. Plant species alien to North America invaded plots subjected to spring driving. Regression analysis showed spring driving to produce more bare ground than summer driving. The regression models suggested that much higher intensities of training could be conducted without damage if spring driving were avoided. Regression models were also used to estimate the frequency of traffic associated with a significant change in species composition, where species composition was expressed as the ratio ofBouteloua gracilis toStipa spartea, an indicator of disturbance-induced change in prairie vegetation. This relationship predicted the capacity of the vegetation of a training area of any given width to support tank traffic without changing species composition. The predictive ability of the model was tested by comparing predicted traffic capacities with the amount of traffic actually applied to two training areas in 1986. Where traffic capacity was exceeded, the model successfully predicted a significantly higher frequency of bare ground and ratio ofBouteloua gracilis toStipa spartea.","container-title":"Environmental Management","DOI":"10.1007/BF01867529","ISSN":"1432-1009","issue":"3","journalAbbreviation":"Environmental Management","language":"en","page":"397-403","source":"Springer Link","title":"The effects of military tank traffic on prairie: A management model","title-short":"The effects of military tank traffic on prairie","URL":"https://doi.org/10.1007/BF01867529","volume":"12","author":[{"family":"Wilson","given":"Scott D."}],"accessed":{"date-parts":[["2021",4,12]]},"issued":{"date-parts":[["1988",5,1]]}}}],"schema":"https://github.com/citation-style-language/schema/raw/master/csl-citation.json"} </w:instrText>
      </w:r>
      <w:r w:rsidR="008C1BF7" w:rsidRPr="5575EBFC">
        <w:rPr>
          <w:lang w:val="en-GB"/>
        </w:rPr>
        <w:fldChar w:fldCharType="separate"/>
      </w:r>
      <w:r w:rsidR="778E379C" w:rsidRPr="5575EBFC">
        <w:rPr>
          <w:lang w:val="en-GB"/>
        </w:rPr>
        <w:t>(Wilson, 1988)</w:t>
      </w:r>
      <w:r w:rsidR="008C1BF7" w:rsidRPr="5575EBFC">
        <w:rPr>
          <w:lang w:val="en-GB"/>
        </w:rPr>
        <w:fldChar w:fldCharType="end"/>
      </w:r>
      <w:r w:rsidR="16B51747" w:rsidRPr="5575EBFC">
        <w:rPr>
          <w:lang w:val="en-GB"/>
        </w:rPr>
        <w:t xml:space="preserve">. </w:t>
      </w:r>
    </w:p>
    <w:p w14:paraId="442416EA" w14:textId="3ECC6034" w:rsidR="008C1BF7" w:rsidRPr="00DA249F" w:rsidRDefault="00810C93" w:rsidP="0090109B">
      <w:pPr>
        <w:rPr>
          <w:bCs/>
          <w:lang w:val="en-GB"/>
        </w:rPr>
      </w:pPr>
      <w:r w:rsidRPr="00DA249F">
        <w:rPr>
          <w:lang w:val="en-GB"/>
        </w:rPr>
        <w:t xml:space="preserve">War also facilitates the movement of humans, who may themselves become vectors of alien </w:t>
      </w:r>
      <w:r w:rsidR="003B4A2E" w:rsidRPr="00DA249F">
        <w:rPr>
          <w:lang w:val="en-GB"/>
        </w:rPr>
        <w:t xml:space="preserve">species including </w:t>
      </w:r>
      <w:r w:rsidR="00CA4529" w:rsidRPr="00DA249F">
        <w:rPr>
          <w:lang w:val="en-GB"/>
        </w:rPr>
        <w:t>pathogens</w:t>
      </w:r>
      <w:r w:rsidRPr="00DA249F">
        <w:rPr>
          <w:lang w:val="en-GB"/>
        </w:rPr>
        <w:t xml:space="preserve">. For </w:t>
      </w:r>
      <w:r w:rsidR="56328362" w:rsidRPr="00DA249F">
        <w:rPr>
          <w:lang w:val="en-GB"/>
        </w:rPr>
        <w:t>example</w:t>
      </w:r>
      <w:r w:rsidRPr="00DA249F">
        <w:rPr>
          <w:lang w:val="en-GB"/>
        </w:rPr>
        <w:t>, the global spread of the Spanish Flu post-World War I</w:t>
      </w:r>
      <w:r w:rsidR="0010496D" w:rsidRPr="00DA249F">
        <w:rPr>
          <w:lang w:val="en-GB"/>
        </w:rPr>
        <w:t xml:space="preserve"> was att</w:t>
      </w:r>
      <w:r w:rsidR="00975C41" w:rsidRPr="00DA249F">
        <w:rPr>
          <w:lang w:val="en-GB"/>
        </w:rPr>
        <w:t>ri</w:t>
      </w:r>
      <w:r w:rsidR="0010496D" w:rsidRPr="00DA249F">
        <w:rPr>
          <w:lang w:val="en-GB"/>
        </w:rPr>
        <w:t xml:space="preserve">buted to </w:t>
      </w:r>
      <w:r w:rsidR="00EC13A7" w:rsidRPr="00DA249F">
        <w:rPr>
          <w:lang w:val="en-GB"/>
        </w:rPr>
        <w:t>movement of troops</w:t>
      </w:r>
      <w:r w:rsidRPr="00DA249F">
        <w:rPr>
          <w:lang w:val="en-GB"/>
        </w:rPr>
        <w:t xml:space="preserve"> </w:t>
      </w:r>
      <w:r w:rsidRPr="00DA249F">
        <w:rPr>
          <w:lang w:val="en-GB"/>
        </w:rPr>
        <w:fldChar w:fldCharType="begin"/>
      </w:r>
      <w:r w:rsidR="00230216">
        <w:rPr>
          <w:lang w:val="en-GB"/>
        </w:rPr>
        <w:instrText xml:space="preserve"> ADDIN ZOTERO_ITEM CSL_CITATION {"citationID":"6c3hPdug","properties":{"formattedCitation":"(Neill &amp; Arim, 2011)","plainCitation":"(Neill &amp; Arim, 2011)","noteIndex":0},"citationItems":[{"id":"zUkrYEfa/yFECTJ37","uris":["http://zotero.org/users/local/ONQlrKn4/items/8ALN7YR9"],"itemData":{"id":1865,"type":"article-journal","abstract":"Invasive species are currently a far-reaching, interdisciplinary topic given their broad impacts on biodiversity, economics, and human health, with representatives from all taxonomic levels (e.g., viruses, bacteria, algae, plants, invertebrates, large mammals). Researchers from different fields are working to build a framework for understanding how to best evaluate, quantify, and predict different kinds of impacts by non-indigenous species (NIS). In this context, there has been some controversy regarding the appropriate way to define invasive species and the invasion process, given the widespread use of these terms in both scientific and nonscientific frameworks. Although scientists have not unambiguously identified tax-independent characteristics that define all invasive species, the invasion process itself has been observed to progress through the same sequence of stages regardless of taxonomic identity (i.e. initial establishment, expansion, and saturation). Several non-exclusive hypotheses have been proposed to explain the successful establishment and spread of non-indigenous species in new environments. In the scenario of global change, species introductions and invasions are a major topic due to ecological impacts (e.g. changes in biodiversity), economic and social impacts (e.g. costs incurred for control or eradication or pests) and human health impacts (e.g. epidemics or increased exposure to hazards). Current research highlights the introduction and spread of non-indigenous species as both a consequence and cause of global change with repercussions on ecosystems, economies, and human societies.","container-title":"Encyclopedia of Environmental Health","DOI":"10.1016/B978-0-444-52272-6.00528-6","journalAbbreviation":"Encyclopedia of Environmental Health","note":"PMID: null\nPMCID: PMC7152017","page":"116-123","source":"PubMed Central","title":"Human Health Link to Invasive Species","author":[{"family":"Neill","given":"P.E."},{"family":"Arim","given":"M."}],"issued":{"date-parts":[["2011"]]}}}],"schema":"https://github.com/citation-style-language/schema/raw/master/csl-citation.json"} </w:instrText>
      </w:r>
      <w:r w:rsidRPr="00DA249F">
        <w:rPr>
          <w:lang w:val="en-GB"/>
        </w:rPr>
        <w:fldChar w:fldCharType="separate"/>
      </w:r>
      <w:r w:rsidR="00144D96" w:rsidRPr="00144D96">
        <w:t>(Neill &amp; Arim, 2011)</w:t>
      </w:r>
      <w:r w:rsidRPr="00DA249F">
        <w:rPr>
          <w:lang w:val="en-GB"/>
        </w:rPr>
        <w:fldChar w:fldCharType="end"/>
      </w:r>
      <w:r w:rsidRPr="00DA249F">
        <w:rPr>
          <w:lang w:val="en-GB"/>
        </w:rPr>
        <w:t xml:space="preserve"> and a 2010 cholera outbreak in Haiti was attributed to incoming United Nations peacekeeping troops from Nepal </w:t>
      </w:r>
      <w:r w:rsidRPr="00DA249F">
        <w:rPr>
          <w:lang w:val="en-GB"/>
        </w:rPr>
        <w:fldChar w:fldCharType="begin"/>
      </w:r>
      <w:r w:rsidR="00331A79">
        <w:rPr>
          <w:lang w:val="en-GB"/>
        </w:rPr>
        <w:instrText xml:space="preserve"> ADDIN ZOTERO_ITEM CSL_CITATION {"citationID":"8GtVOLvE","properties":{"formattedCitation":"(Frerichs et al., 2012)","plainCitation":"(Frerichs et al., 2012)","noteIndex":0},"citationItems":[{"id":10849,"uris":["http://zotero.org/groups/2352922/items/PGAA6Q9G"],"itemData":{"id":10849,"type":"article-journal","abstract":"Cholera appeared in Haiti in October 2010 for the first time in recorded history. The causative agent was quickly identified by the Haitian National Public Health Laboratory and the United States Centers for Disease Control and Prevention as Vibrio cholerae serogroup O1, serotype Ogawa, biotype El Tor. Since then, &gt;500 000 government-acknowledged cholera cases and &gt;7000 deaths have occurred, the largest cholera epidemic in the world, with the real death toll probably much higher. Questions of origin have been widely debated with some attributing the onset of the epidemic to climatic factors and others to human transmission. None of the evidence on origin supports climatic factors. Instead, recent epidemiological and molecular-genetic evidence point to the United Nations peacekeeping troops from Nepal as the source of cholera to Haiti, following their troop rotation in early October 2010. Such findings have important policy implications for shaping future international relief efforts.","container-title":"Clinical Microbiology and Infection","DOI":"10.1111/j.1469-0691.2012.03841.x","ISSN":"1198-743X","issue":"6","journalAbbreviation":"Clinical Microbiology and Infection","language":"en","page":"E158-E163","source":"ScienceDirect","title":"Nepalese origin of cholera epidemic in Haiti","URL":"http://www.sciencedirect.com/science/article/pii/S1198743X14641343","volume":"18","author":[{"family":"Frerichs","given":"R. R."},{"family":"Keim","given":"P. S."},{"family":"Barrais","given":"R."},{"family":"Piarroux","given":"R."}],"accessed":{"date-parts":[["2020",6,14]]},"issued":{"date-parts":[["2012",6,1]]}}}],"schema":"https://github.com/citation-style-language/schema/raw/master/csl-citation.json"} </w:instrText>
      </w:r>
      <w:r w:rsidRPr="00DA249F">
        <w:rPr>
          <w:lang w:val="en-GB"/>
        </w:rPr>
        <w:fldChar w:fldCharType="separate"/>
      </w:r>
      <w:r w:rsidR="00144D96" w:rsidRPr="00144D96">
        <w:t>(Frerichs et al., 2012)</w:t>
      </w:r>
      <w:r w:rsidRPr="00DA249F">
        <w:rPr>
          <w:lang w:val="en-GB"/>
        </w:rPr>
        <w:fldChar w:fldCharType="end"/>
      </w:r>
      <w:r w:rsidRPr="00DA249F">
        <w:rPr>
          <w:lang w:val="en-GB"/>
        </w:rPr>
        <w:t>.</w:t>
      </w:r>
      <w:r w:rsidR="00D22A70" w:rsidRPr="00DA249F">
        <w:rPr>
          <w:lang w:val="en-GB"/>
        </w:rPr>
        <w:t xml:space="preserve"> </w:t>
      </w:r>
      <w:r w:rsidR="7FCB119F" w:rsidRPr="00DA249F">
        <w:rPr>
          <w:lang w:val="en-GB"/>
        </w:rPr>
        <w:t xml:space="preserve">Not all </w:t>
      </w:r>
      <w:r w:rsidR="18E8E256" w:rsidRPr="00DA249F">
        <w:rPr>
          <w:lang w:val="en-GB"/>
        </w:rPr>
        <w:t>war and crisis-</w:t>
      </w:r>
      <w:r w:rsidR="5E77AAC5" w:rsidRPr="00DA249F">
        <w:rPr>
          <w:lang w:val="en-GB"/>
        </w:rPr>
        <w:t>re</w:t>
      </w:r>
      <w:r w:rsidR="740C1F5E" w:rsidRPr="00DA249F">
        <w:rPr>
          <w:lang w:val="en-GB"/>
        </w:rPr>
        <w:t>l</w:t>
      </w:r>
      <w:r w:rsidR="5E77AAC5" w:rsidRPr="00DA249F">
        <w:rPr>
          <w:lang w:val="en-GB"/>
        </w:rPr>
        <w:t>ated</w:t>
      </w:r>
      <w:r w:rsidR="18E8E256" w:rsidRPr="00DA249F">
        <w:rPr>
          <w:lang w:val="en-GB"/>
        </w:rPr>
        <w:t xml:space="preserve"> </w:t>
      </w:r>
      <w:r w:rsidR="7FCB119F" w:rsidRPr="00DA249F">
        <w:rPr>
          <w:lang w:val="en-GB"/>
        </w:rPr>
        <w:t xml:space="preserve">introductions are </w:t>
      </w:r>
      <w:r w:rsidR="003B4A2E" w:rsidRPr="00DA249F">
        <w:rPr>
          <w:lang w:val="en-GB"/>
        </w:rPr>
        <w:t>unintentional</w:t>
      </w:r>
      <w:r w:rsidR="007427F3" w:rsidRPr="00DA249F">
        <w:rPr>
          <w:lang w:val="en-GB"/>
        </w:rPr>
        <w:t>.</w:t>
      </w:r>
      <w:r w:rsidR="7FCB119F" w:rsidRPr="00DA249F">
        <w:rPr>
          <w:lang w:val="en-GB"/>
        </w:rPr>
        <w:t xml:space="preserve"> </w:t>
      </w:r>
      <w:r w:rsidR="7FCB119F" w:rsidRPr="00DA249F">
        <w:rPr>
          <w:i/>
          <w:iCs/>
          <w:lang w:val="en-GB"/>
        </w:rPr>
        <w:t>Mikania micrantha</w:t>
      </w:r>
      <w:r w:rsidR="00E05EFA" w:rsidRPr="00DA249F">
        <w:rPr>
          <w:iCs/>
          <w:lang w:val="en-GB"/>
        </w:rPr>
        <w:t xml:space="preserve"> (bitter vine)</w:t>
      </w:r>
      <w:r w:rsidR="007427F3" w:rsidRPr="00DA249F">
        <w:rPr>
          <w:iCs/>
          <w:lang w:val="en-GB"/>
        </w:rPr>
        <w:t xml:space="preserve"> </w:t>
      </w:r>
      <w:r w:rsidR="7FCB119F" w:rsidRPr="00DA249F">
        <w:rPr>
          <w:lang w:val="en-GB"/>
        </w:rPr>
        <w:t xml:space="preserve">is reported to have been introduced to northeast India to camouflage air strips </w:t>
      </w:r>
      <w:r w:rsidR="2784F823" w:rsidRPr="00DA249F">
        <w:rPr>
          <w:lang w:val="en-GB"/>
        </w:rPr>
        <w:t xml:space="preserve">built </w:t>
      </w:r>
      <w:r w:rsidR="7FCB119F" w:rsidRPr="00DA249F">
        <w:rPr>
          <w:lang w:val="en-GB"/>
        </w:rPr>
        <w:t>by the Allied Forces during W</w:t>
      </w:r>
      <w:r w:rsidR="6759F124" w:rsidRPr="00DA249F">
        <w:rPr>
          <w:lang w:val="en-GB"/>
        </w:rPr>
        <w:t xml:space="preserve">orld </w:t>
      </w:r>
      <w:r w:rsidR="7FCB119F" w:rsidRPr="00DA249F">
        <w:rPr>
          <w:lang w:val="en-GB"/>
        </w:rPr>
        <w:t>W</w:t>
      </w:r>
      <w:r w:rsidR="6759F124" w:rsidRPr="00DA249F">
        <w:rPr>
          <w:lang w:val="en-GB"/>
        </w:rPr>
        <w:t xml:space="preserve">ar </w:t>
      </w:r>
      <w:r w:rsidR="7FCB119F" w:rsidRPr="00DA249F">
        <w:rPr>
          <w:lang w:val="en-GB"/>
        </w:rPr>
        <w:t xml:space="preserve">II to </w:t>
      </w:r>
      <w:r w:rsidR="0088124B" w:rsidRPr="00DA249F">
        <w:rPr>
          <w:lang w:val="en-GB"/>
        </w:rPr>
        <w:t>impede</w:t>
      </w:r>
      <w:r w:rsidR="7FCB119F" w:rsidRPr="00DA249F">
        <w:rPr>
          <w:lang w:val="en-GB"/>
        </w:rPr>
        <w:t xml:space="preserve"> the advancing Japanese forces </w:t>
      </w:r>
      <w:r w:rsidR="00472DAE" w:rsidRPr="00DA249F">
        <w:rPr>
          <w:lang w:val="en-GB"/>
        </w:rPr>
        <w:fldChar w:fldCharType="begin"/>
      </w:r>
      <w:r w:rsidR="00230216">
        <w:rPr>
          <w:lang w:val="en-GB"/>
        </w:rPr>
        <w:instrText xml:space="preserve"> ADDIN ZOTERO_ITEM CSL_CITATION {"citationID":"ZJGQmv5J","properties":{"formattedCitation":"(Kohli et al., 2011; Randerson, 2003)","plainCitation":"(Kohli et al., 2011; Randerson, 2003)","noteIndex":0},"citationItems":[{"id":33110,"uris":["http://zotero.org/groups/2352922/items/7RZV86S4"],"itemData":{"id":33110,"type":"chapter","container-title":"Invasive alien plants: an ecological appraisal for the Indian subcontinent","event-place":"Wallingford","ISBN":"978-1-84593-907-6","language":"en","note":"DOI: 10.1079/9781845939076.0001","page":"1-9","publisher":"CABI","publisher-place":"Wallingford","source":"DOI.org (Crossref)","title":"Plant invasion in India: an overview.","title-short":"Plant invasion in India","URL":"http://www.cabi.org/cabebooks/ebook/20113382166","author":[{"family":"Kohli","given":"Ravinder K."},{"family":"Batish","given":"D. R."},{"family":"Singh","given":"J. S."},{"family":"Singh","given":"H. P."},{"family":"Bhatt","given":"J. R."}],"accessed":{"date-parts":[["2021",6,28]]},"issued":{"date-parts":[["2011"]]}},"label":"page"},{"id":"zUkrYEfa/FYoF6huU","uris":["http://zotero.org/groups/2352922/items/QXVA6ZRW"],"itemData":{"id":73847,"type":"webpage","container-title":"New Scientist","title":"Fungus in your tea, sir?","URL":"https://www.newscientist.com/article/mg17824010-900-fungus-in-your-tea-sir/","author":[{"family":"Randerson","given":"James"}],"accessed":{"date-parts":[["2021",6,28]]},"issued":{"date-parts":[["2003",6,27]]}},"label":"page"}],"schema":"https://github.com/citation-style-language/schema/raw/master/csl-citation.json"} </w:instrText>
      </w:r>
      <w:r w:rsidR="00472DAE" w:rsidRPr="00DA249F">
        <w:rPr>
          <w:lang w:val="en-GB"/>
        </w:rPr>
        <w:fldChar w:fldCharType="separate"/>
      </w:r>
      <w:r w:rsidR="00144D96" w:rsidRPr="00144D96">
        <w:t>(Kohli et al., 2011; Randerson, 2003)</w:t>
      </w:r>
      <w:r w:rsidR="00472DAE" w:rsidRPr="00DA249F">
        <w:rPr>
          <w:lang w:val="en-GB"/>
        </w:rPr>
        <w:fldChar w:fldCharType="end"/>
      </w:r>
      <w:r w:rsidR="7FCB119F" w:rsidRPr="00DA249F">
        <w:rPr>
          <w:lang w:val="en-GB"/>
        </w:rPr>
        <w:t xml:space="preserve">. </w:t>
      </w:r>
      <w:r w:rsidR="008C1BF7" w:rsidRPr="00DA249F">
        <w:rPr>
          <w:lang w:val="en-GB"/>
        </w:rPr>
        <w:t xml:space="preserve">More unique </w:t>
      </w:r>
      <w:r w:rsidR="00EA3DAE" w:rsidRPr="00DA249F">
        <w:rPr>
          <w:lang w:val="en-GB"/>
        </w:rPr>
        <w:t xml:space="preserve">links between </w:t>
      </w:r>
      <w:r w:rsidR="00881D98" w:rsidRPr="00DA249F">
        <w:rPr>
          <w:lang w:val="en-GB"/>
        </w:rPr>
        <w:t xml:space="preserve">armed conflicts </w:t>
      </w:r>
      <w:r w:rsidR="00EA3DAE" w:rsidRPr="00DA249F">
        <w:rPr>
          <w:lang w:val="en-GB"/>
        </w:rPr>
        <w:t xml:space="preserve">and </w:t>
      </w:r>
      <w:r w:rsidR="00881D98" w:rsidRPr="00DA249F">
        <w:rPr>
          <w:lang w:val="en-GB"/>
        </w:rPr>
        <w:t xml:space="preserve">biological </w:t>
      </w:r>
      <w:r w:rsidR="00EA3DAE" w:rsidRPr="00DA249F">
        <w:rPr>
          <w:lang w:val="en-GB"/>
        </w:rPr>
        <w:t>invasions</w:t>
      </w:r>
      <w:r w:rsidR="008C1BF7" w:rsidRPr="00DA249F">
        <w:rPr>
          <w:lang w:val="en-GB"/>
        </w:rPr>
        <w:t xml:space="preserve"> also exist, for example</w:t>
      </w:r>
      <w:r w:rsidR="008D7FE9" w:rsidRPr="00DA249F">
        <w:rPr>
          <w:lang w:val="en-GB"/>
        </w:rPr>
        <w:t>,</w:t>
      </w:r>
      <w:r w:rsidR="008C1BF7" w:rsidRPr="00DA249F">
        <w:rPr>
          <w:lang w:val="en-GB"/>
        </w:rPr>
        <w:t xml:space="preserve"> </w:t>
      </w:r>
      <w:r w:rsidR="008D7FE9" w:rsidRPr="00DA249F">
        <w:rPr>
          <w:lang w:val="en-GB"/>
        </w:rPr>
        <w:t xml:space="preserve">attempts to rectify </w:t>
      </w:r>
      <w:r w:rsidR="00D64DD6" w:rsidRPr="00DA249F">
        <w:rPr>
          <w:lang w:val="en-GB"/>
        </w:rPr>
        <w:t xml:space="preserve">war </w:t>
      </w:r>
      <w:r w:rsidR="008C1BF7" w:rsidRPr="00DA249F">
        <w:rPr>
          <w:lang w:val="en-GB"/>
        </w:rPr>
        <w:t>damages through replanting activities</w:t>
      </w:r>
      <w:r w:rsidR="008D7FE9" w:rsidRPr="00DA249F">
        <w:rPr>
          <w:lang w:val="en-GB"/>
        </w:rPr>
        <w:t xml:space="preserve"> and</w:t>
      </w:r>
      <w:r w:rsidR="008C1BF7" w:rsidRPr="00DA249F">
        <w:rPr>
          <w:lang w:val="en-GB"/>
        </w:rPr>
        <w:t xml:space="preserve"> </w:t>
      </w:r>
      <w:r w:rsidR="007E15C2" w:rsidRPr="00DA249F">
        <w:rPr>
          <w:lang w:val="en-GB"/>
        </w:rPr>
        <w:t xml:space="preserve">making </w:t>
      </w:r>
      <w:r w:rsidR="00311893" w:rsidRPr="00DA249F">
        <w:rPr>
          <w:lang w:val="en-GB"/>
        </w:rPr>
        <w:t>us</w:t>
      </w:r>
      <w:r w:rsidR="007E15C2" w:rsidRPr="00DA249F">
        <w:rPr>
          <w:lang w:val="en-GB"/>
        </w:rPr>
        <w:t xml:space="preserve">e of </w:t>
      </w:r>
      <w:r w:rsidR="008C1BF7" w:rsidRPr="00DA249F">
        <w:rPr>
          <w:lang w:val="en-GB"/>
        </w:rPr>
        <w:t xml:space="preserve">invasive </w:t>
      </w:r>
      <w:r w:rsidR="00311893" w:rsidRPr="00DA249F">
        <w:rPr>
          <w:lang w:val="en-GB"/>
        </w:rPr>
        <w:t xml:space="preserve">alien </w:t>
      </w:r>
      <w:r w:rsidR="008C1BF7" w:rsidRPr="00DA249F">
        <w:rPr>
          <w:lang w:val="en-GB"/>
        </w:rPr>
        <w:t>species</w:t>
      </w:r>
      <w:r w:rsidR="007E15C2" w:rsidRPr="00DA249F">
        <w:rPr>
          <w:lang w:val="en-GB"/>
        </w:rPr>
        <w:t xml:space="preserve"> in these efforts</w:t>
      </w:r>
      <w:r w:rsidR="008C1BF7" w:rsidRPr="00DA249F">
        <w:rPr>
          <w:lang w:val="en-GB"/>
        </w:rPr>
        <w:t xml:space="preserve">, </w:t>
      </w:r>
      <w:r w:rsidR="00930403" w:rsidRPr="00DA249F">
        <w:rPr>
          <w:lang w:val="en-GB"/>
        </w:rPr>
        <w:t xml:space="preserve">i.e., </w:t>
      </w:r>
      <w:r w:rsidR="00365034" w:rsidRPr="00DA249F">
        <w:rPr>
          <w:lang w:val="en-GB"/>
        </w:rPr>
        <w:t xml:space="preserve">the </w:t>
      </w:r>
      <w:r w:rsidR="007E15C2" w:rsidRPr="00DA249F">
        <w:rPr>
          <w:lang w:val="en-GB"/>
        </w:rPr>
        <w:t xml:space="preserve">planting </w:t>
      </w:r>
      <w:r w:rsidR="00365034" w:rsidRPr="00DA249F">
        <w:rPr>
          <w:lang w:val="en-GB"/>
        </w:rPr>
        <w:t>of</w:t>
      </w:r>
      <w:r w:rsidR="00930403" w:rsidRPr="00DA249F">
        <w:rPr>
          <w:lang w:val="en-GB"/>
        </w:rPr>
        <w:t xml:space="preserve"> </w:t>
      </w:r>
      <w:r w:rsidR="00DE791F" w:rsidRPr="00DA249F">
        <w:rPr>
          <w:i/>
          <w:lang w:val="en-GB"/>
        </w:rPr>
        <w:t>Cynodon dactylon</w:t>
      </w:r>
      <w:r w:rsidR="00DE791F" w:rsidRPr="00DA249F">
        <w:rPr>
          <w:lang w:val="en-GB"/>
        </w:rPr>
        <w:t xml:space="preserve"> (</w:t>
      </w:r>
      <w:r w:rsidR="008C1BF7" w:rsidRPr="00DA249F">
        <w:rPr>
          <w:lang w:val="en-GB"/>
        </w:rPr>
        <w:t>Bermuda grass</w:t>
      </w:r>
      <w:r w:rsidR="00DE791F" w:rsidRPr="00DA249F">
        <w:rPr>
          <w:lang w:val="en-GB"/>
        </w:rPr>
        <w:t>)</w:t>
      </w:r>
      <w:r w:rsidR="008C1BF7" w:rsidRPr="00DA249F">
        <w:rPr>
          <w:lang w:val="en-GB"/>
        </w:rPr>
        <w:t xml:space="preserve"> </w:t>
      </w:r>
      <w:r w:rsidR="00365034" w:rsidRPr="00DA249F">
        <w:rPr>
          <w:lang w:val="en-GB"/>
        </w:rPr>
        <w:t>o</w:t>
      </w:r>
      <w:r w:rsidR="0088124B" w:rsidRPr="00DA249F">
        <w:rPr>
          <w:lang w:val="en-GB"/>
        </w:rPr>
        <w:t>r</w:t>
      </w:r>
      <w:r w:rsidR="00365034" w:rsidRPr="00DA249F">
        <w:rPr>
          <w:lang w:val="en-GB"/>
        </w:rPr>
        <w:t xml:space="preserve"> revegetat</w:t>
      </w:r>
      <w:r w:rsidR="008D7FE9" w:rsidRPr="00DA249F">
        <w:rPr>
          <w:lang w:val="en-GB"/>
        </w:rPr>
        <w:t>i</w:t>
      </w:r>
      <w:r w:rsidR="00C629D3">
        <w:rPr>
          <w:lang w:val="en-GB"/>
        </w:rPr>
        <w:t>on</w:t>
      </w:r>
      <w:r w:rsidR="008D7FE9" w:rsidRPr="00DA249F">
        <w:rPr>
          <w:lang w:val="en-GB"/>
        </w:rPr>
        <w:t xml:space="preserve"> of</w:t>
      </w:r>
      <w:r w:rsidR="008C1BF7" w:rsidRPr="00DA249F">
        <w:rPr>
          <w:lang w:val="en-GB"/>
        </w:rPr>
        <w:t xml:space="preserve"> denuded Pacific islands during </w:t>
      </w:r>
      <w:r w:rsidR="0065569E" w:rsidRPr="00DA249F">
        <w:rPr>
          <w:lang w:val="en-GB"/>
        </w:rPr>
        <w:t xml:space="preserve">World War II </w:t>
      </w:r>
      <w:r w:rsidR="008C1BF7" w:rsidRPr="00DA249F">
        <w:rPr>
          <w:lang w:val="en-GB"/>
        </w:rPr>
        <w:fldChar w:fldCharType="begin"/>
      </w:r>
      <w:r w:rsidR="00230216">
        <w:rPr>
          <w:lang w:val="en-GB"/>
        </w:rPr>
        <w:instrText xml:space="preserve"> ADDIN ZOTERO_ITEM CSL_CITATION {"citationID":"lpqnVNqu","properties":{"formattedCitation":"(Fosberg F.R, 1957)","plainCitation":"(Fosberg F.R, 1957)","dontUpdate":true,"noteIndex":0},"citationItems":[{"id":"zUkrYEfa/DGphiSxF","uris":["http://zotero.org/users/5891177/items/DVTXH5XF"],"itemData":{"id":"HwAiZEUH/LTNPtPAp","type":"paper-conference","container-title":"Proceedings of the 8th Pacific Science Congress","event":"National Research Council of the Philippines","event-place":"Quezon, Philippines.","page":"229-234","publisher-place":"Quezon, Philippines.","title":"The naturalised flora of Micronesia and World War II.","volume":"4","author":[{"literal":"Fosberg F.R"}],"issued":{"date-parts":[["1957"]]}}}],"schema":"https://github.com/citation-style-language/schema/raw/master/csl-citation.json"} </w:instrText>
      </w:r>
      <w:r w:rsidR="008C1BF7" w:rsidRPr="00DA249F">
        <w:rPr>
          <w:lang w:val="en-GB"/>
        </w:rPr>
        <w:fldChar w:fldCharType="separate"/>
      </w:r>
      <w:r w:rsidR="0098674F" w:rsidRPr="00DA249F">
        <w:rPr>
          <w:lang w:val="en-GB"/>
        </w:rPr>
        <w:t>(Fosberg, 1957)</w:t>
      </w:r>
      <w:r w:rsidR="008C1BF7" w:rsidRPr="00DA249F">
        <w:rPr>
          <w:lang w:val="en-GB"/>
        </w:rPr>
        <w:fldChar w:fldCharType="end"/>
      </w:r>
      <w:r w:rsidR="008C1BF7" w:rsidRPr="00DA249F">
        <w:rPr>
          <w:lang w:val="en-GB"/>
        </w:rPr>
        <w:t xml:space="preserve">. </w:t>
      </w:r>
      <w:r w:rsidR="008C1BF7" w:rsidRPr="00DA249F">
        <w:rPr>
          <w:bCs/>
          <w:lang w:val="en-GB"/>
        </w:rPr>
        <w:t xml:space="preserve">War can also hamper </w:t>
      </w:r>
      <w:r w:rsidR="000404F6" w:rsidRPr="00DA249F">
        <w:rPr>
          <w:bCs/>
          <w:lang w:val="en-GB"/>
        </w:rPr>
        <w:t>biological</w:t>
      </w:r>
      <w:r w:rsidR="008C1BF7" w:rsidRPr="00DA249F">
        <w:rPr>
          <w:bCs/>
          <w:lang w:val="en-GB"/>
        </w:rPr>
        <w:t xml:space="preserve"> invasions, as exemplified by </w:t>
      </w:r>
      <w:r w:rsidR="00267227" w:rsidRPr="00DA249F">
        <w:rPr>
          <w:bCs/>
          <w:lang w:val="en-GB"/>
        </w:rPr>
        <w:t>reductions</w:t>
      </w:r>
      <w:r w:rsidR="008C1BF7" w:rsidRPr="00DA249F">
        <w:rPr>
          <w:bCs/>
          <w:lang w:val="en-GB"/>
        </w:rPr>
        <w:t xml:space="preserve"> in </w:t>
      </w:r>
      <w:r w:rsidR="00B920CB" w:rsidRPr="00DA249F">
        <w:rPr>
          <w:bCs/>
          <w:lang w:val="en-GB"/>
        </w:rPr>
        <w:t xml:space="preserve">the rates of </w:t>
      </w:r>
      <w:r w:rsidR="00731A56" w:rsidRPr="00DA249F">
        <w:rPr>
          <w:bCs/>
          <w:lang w:val="en-GB"/>
        </w:rPr>
        <w:t xml:space="preserve">global </w:t>
      </w:r>
      <w:r w:rsidR="00B920CB" w:rsidRPr="00DA249F">
        <w:rPr>
          <w:bCs/>
          <w:lang w:val="en-GB"/>
        </w:rPr>
        <w:t xml:space="preserve">spread of alien </w:t>
      </w:r>
      <w:r w:rsidR="008C1BF7" w:rsidRPr="00DA249F">
        <w:rPr>
          <w:bCs/>
          <w:lang w:val="en-GB"/>
        </w:rPr>
        <w:t xml:space="preserve">ant species due to decreased global trade </w:t>
      </w:r>
      <w:r w:rsidR="00E26756" w:rsidRPr="00DA249F">
        <w:rPr>
          <w:bCs/>
          <w:lang w:val="en-GB"/>
        </w:rPr>
        <w:t xml:space="preserve">in </w:t>
      </w:r>
      <w:r w:rsidR="008C1BF7" w:rsidRPr="00DA249F">
        <w:rPr>
          <w:bCs/>
          <w:lang w:val="en-GB"/>
        </w:rPr>
        <w:t xml:space="preserve">both </w:t>
      </w:r>
      <w:r w:rsidR="0065569E" w:rsidRPr="00DA249F">
        <w:rPr>
          <w:lang w:val="en-GB"/>
        </w:rPr>
        <w:t>World War</w:t>
      </w:r>
      <w:r w:rsidR="00834E03" w:rsidRPr="00DA249F">
        <w:rPr>
          <w:lang w:val="en-GB"/>
        </w:rPr>
        <w:t>s</w:t>
      </w:r>
      <w:r w:rsidR="0065569E" w:rsidRPr="00DA249F">
        <w:rPr>
          <w:lang w:val="en-GB"/>
        </w:rPr>
        <w:t xml:space="preserve"> I and</w:t>
      </w:r>
      <w:r w:rsidR="00B1749C" w:rsidRPr="00DA249F">
        <w:rPr>
          <w:lang w:val="en-GB"/>
        </w:rPr>
        <w:t xml:space="preserve"> </w:t>
      </w:r>
      <w:r w:rsidR="0065569E" w:rsidRPr="00DA249F">
        <w:rPr>
          <w:lang w:val="en-GB"/>
        </w:rPr>
        <w:t>II</w:t>
      </w:r>
      <w:r w:rsidR="008C1BF7" w:rsidRPr="00DA249F">
        <w:rPr>
          <w:bCs/>
          <w:lang w:val="en-GB"/>
        </w:rPr>
        <w:t xml:space="preserve"> </w:t>
      </w:r>
      <w:r w:rsidR="008C1BF7" w:rsidRPr="00DA249F">
        <w:rPr>
          <w:bCs/>
          <w:lang w:val="en-GB"/>
        </w:rPr>
        <w:fldChar w:fldCharType="begin"/>
      </w:r>
      <w:r w:rsidR="00230216">
        <w:rPr>
          <w:bCs/>
          <w:lang w:val="en-GB"/>
        </w:rPr>
        <w:instrText xml:space="preserve"> ADDIN ZOTERO_ITEM CSL_CITATION {"citationID":"i0BMwpiq","properties":{"formattedCitation":"(Bertelsmeier et al., 2017)","plainCitation":"(Bertelsmeier et al., 2017)","noteIndex":0},"citationItems":[{"id":9816,"uris":["http://zotero.org/groups/2352922/items/USLPJ2H3"],"itemData":{"id":9816,"type":"article-journal","abstract":"The worldwide spread of four groups of alien ant species has been significantly but differently influenced by major events in recent human history: waves of globalization, world wars and global recessions.","container-title":"Nature Ecology &amp; Evolution","DOI":"10.1038/s41559-017-0184","ISSN":"2397-334X","issue":"7","language":"en","license":"2017 Macmillan Publishers Limited, part of Springer Nature.","note":"number: 7\ncontainer-title: Nature Ecology &amp; Evolution","page":"1-8","source":"www.nature.com","title":"Recent human history governs global ant invasion dynamics","URL":"https://www.nature.com/articles/s41559-017-0184","volume":"1","author":[{"family":"Bertelsmeier","given":"Cleo"},{"family":"Ollier","given":"Sébastien"},{"family":"Liebhold","given":"Andrew"},{"family":"Keller","given":"Laurent"}],"accessed":{"date-parts":[["2020",2,9]]},"issued":{"date-parts":[["2017",6,22]]}}}],"schema":"https://github.com/citation-style-language/schema/raw/master/csl-citation.json"} </w:instrText>
      </w:r>
      <w:r w:rsidR="008C1BF7" w:rsidRPr="00DA249F">
        <w:rPr>
          <w:bCs/>
          <w:lang w:val="en-GB"/>
        </w:rPr>
        <w:fldChar w:fldCharType="separate"/>
      </w:r>
      <w:r w:rsidR="00230216" w:rsidRPr="00230216">
        <w:t>(Bertelsmeier et al., 2017)</w:t>
      </w:r>
      <w:r w:rsidR="008C1BF7" w:rsidRPr="00DA249F">
        <w:rPr>
          <w:bCs/>
          <w:lang w:val="en-GB"/>
        </w:rPr>
        <w:fldChar w:fldCharType="end"/>
      </w:r>
      <w:r w:rsidR="008C1BF7" w:rsidRPr="00DA249F">
        <w:rPr>
          <w:bCs/>
          <w:lang w:val="en-GB"/>
        </w:rPr>
        <w:t xml:space="preserve">. </w:t>
      </w:r>
    </w:p>
    <w:p w14:paraId="378FEE05" w14:textId="5D66B8C9" w:rsidR="00E008F7" w:rsidRPr="00DA249F" w:rsidRDefault="008C1BF7" w:rsidP="0090109B">
      <w:pPr>
        <w:rPr>
          <w:lang w:val="en-GB"/>
        </w:rPr>
      </w:pPr>
      <w:r w:rsidRPr="00DA249F">
        <w:rPr>
          <w:lang w:val="en-GB"/>
        </w:rPr>
        <w:t>Emergency relief, reconstruction efforts</w:t>
      </w:r>
      <w:r w:rsidR="009F7404">
        <w:rPr>
          <w:lang w:val="en-GB"/>
        </w:rPr>
        <w:t xml:space="preserve"> and</w:t>
      </w:r>
      <w:r w:rsidRPr="00DA249F">
        <w:rPr>
          <w:lang w:val="en-GB"/>
        </w:rPr>
        <w:t xml:space="preserve"> humanitarian </w:t>
      </w:r>
      <w:r w:rsidR="00810C93" w:rsidRPr="00DA249F">
        <w:rPr>
          <w:lang w:val="en-GB"/>
        </w:rPr>
        <w:t xml:space="preserve">aid </w:t>
      </w:r>
      <w:r w:rsidRPr="00DA249F">
        <w:rPr>
          <w:lang w:val="en-GB"/>
        </w:rPr>
        <w:t xml:space="preserve">after </w:t>
      </w:r>
      <w:r w:rsidR="00B14A80" w:rsidRPr="00DA249F">
        <w:rPr>
          <w:lang w:val="en-GB"/>
        </w:rPr>
        <w:t>armed conflicts</w:t>
      </w:r>
      <w:r w:rsidRPr="00DA249F">
        <w:rPr>
          <w:lang w:val="en-GB"/>
        </w:rPr>
        <w:t xml:space="preserve"> and disasters may also contribute to the introduction and spread of invasive </w:t>
      </w:r>
      <w:r w:rsidR="002A0EE8" w:rsidRPr="00DA249F">
        <w:rPr>
          <w:lang w:val="en-GB"/>
        </w:rPr>
        <w:t xml:space="preserve">alien </w:t>
      </w:r>
      <w:r w:rsidRPr="00DA249F">
        <w:rPr>
          <w:lang w:val="en-GB"/>
        </w:rPr>
        <w:t xml:space="preserve">species. For example, </w:t>
      </w:r>
      <w:r w:rsidR="000C39E7" w:rsidRPr="00DA249F">
        <w:rPr>
          <w:i/>
          <w:lang w:val="en-GB"/>
        </w:rPr>
        <w:t>Iguana iguana</w:t>
      </w:r>
      <w:r w:rsidR="000C39E7" w:rsidRPr="00DA249F">
        <w:rPr>
          <w:lang w:val="en-GB"/>
        </w:rPr>
        <w:t xml:space="preserve"> </w:t>
      </w:r>
      <w:r w:rsidR="005E22F3" w:rsidRPr="00DA249F">
        <w:rPr>
          <w:lang w:val="en-GB"/>
        </w:rPr>
        <w:t>(</w:t>
      </w:r>
      <w:r w:rsidRPr="00DA249F">
        <w:rPr>
          <w:lang w:val="en-GB"/>
        </w:rPr>
        <w:t>iguana</w:t>
      </w:r>
      <w:r w:rsidR="005E22F3" w:rsidRPr="00DA249F">
        <w:rPr>
          <w:lang w:val="en-GB"/>
        </w:rPr>
        <w:t>)</w:t>
      </w:r>
      <w:r w:rsidRPr="00DA249F">
        <w:rPr>
          <w:lang w:val="en-GB"/>
        </w:rPr>
        <w:t xml:space="preserve">, </w:t>
      </w:r>
      <w:r w:rsidR="00C63EF7" w:rsidRPr="00DA249F">
        <w:rPr>
          <w:i/>
          <w:lang w:val="en-GB"/>
        </w:rPr>
        <w:t>Osteopilus septentrionalis</w:t>
      </w:r>
      <w:r w:rsidR="00C63EF7" w:rsidRPr="00DA249F">
        <w:rPr>
          <w:lang w:val="en-GB"/>
        </w:rPr>
        <w:t xml:space="preserve"> (</w:t>
      </w:r>
      <w:r w:rsidRPr="00DA249F">
        <w:rPr>
          <w:lang w:val="en-GB"/>
        </w:rPr>
        <w:t>Cuban treefrog</w:t>
      </w:r>
      <w:r w:rsidR="00C63EF7" w:rsidRPr="00DA249F">
        <w:rPr>
          <w:lang w:val="en-GB"/>
        </w:rPr>
        <w:t>)</w:t>
      </w:r>
      <w:r w:rsidR="009F7404">
        <w:rPr>
          <w:lang w:val="en-GB"/>
        </w:rPr>
        <w:t xml:space="preserve"> and</w:t>
      </w:r>
      <w:r w:rsidRPr="00DA249F">
        <w:rPr>
          <w:lang w:val="en-GB"/>
        </w:rPr>
        <w:t xml:space="preserve"> </w:t>
      </w:r>
      <w:r w:rsidR="00C63EF7" w:rsidRPr="00DA249F">
        <w:rPr>
          <w:i/>
          <w:lang w:val="en-GB"/>
        </w:rPr>
        <w:t>Scinax x-signatus</w:t>
      </w:r>
      <w:r w:rsidR="00337875" w:rsidRPr="00DA249F">
        <w:rPr>
          <w:lang w:val="en-GB"/>
        </w:rPr>
        <w:t xml:space="preserve"> </w:t>
      </w:r>
      <w:r w:rsidR="00564CBB" w:rsidRPr="00DA249F">
        <w:rPr>
          <w:lang w:val="en-GB"/>
        </w:rPr>
        <w:t xml:space="preserve">(Venezuela </w:t>
      </w:r>
      <w:r w:rsidR="00534345">
        <w:rPr>
          <w:lang w:val="en-GB"/>
        </w:rPr>
        <w:t>s</w:t>
      </w:r>
      <w:r w:rsidR="00564CBB" w:rsidRPr="00DA249F">
        <w:rPr>
          <w:lang w:val="en-GB"/>
        </w:rPr>
        <w:t xml:space="preserve">nouted </w:t>
      </w:r>
      <w:r w:rsidR="00534345">
        <w:rPr>
          <w:lang w:val="en-GB"/>
        </w:rPr>
        <w:t>t</w:t>
      </w:r>
      <w:r w:rsidR="00564CBB" w:rsidRPr="00DA249F">
        <w:rPr>
          <w:lang w:val="en-GB"/>
        </w:rPr>
        <w:t xml:space="preserve">reefrog) </w:t>
      </w:r>
      <w:r w:rsidRPr="00DA249F">
        <w:rPr>
          <w:lang w:val="en-GB"/>
        </w:rPr>
        <w:t xml:space="preserve">were introduced to Dominica, West Indies, via </w:t>
      </w:r>
      <w:r w:rsidR="00ED009A" w:rsidRPr="00DA249F">
        <w:rPr>
          <w:lang w:val="en-GB"/>
        </w:rPr>
        <w:t xml:space="preserve">emergency </w:t>
      </w:r>
      <w:r w:rsidRPr="00DA249F">
        <w:rPr>
          <w:lang w:val="en-GB"/>
        </w:rPr>
        <w:t xml:space="preserve">relief shipping containers </w:t>
      </w:r>
      <w:r w:rsidRPr="00DA249F">
        <w:rPr>
          <w:lang w:val="en-GB"/>
        </w:rPr>
        <w:fldChar w:fldCharType="begin"/>
      </w:r>
      <w:r w:rsidR="00331A79">
        <w:rPr>
          <w:lang w:val="en-GB"/>
        </w:rPr>
        <w:instrText xml:space="preserve"> ADDIN ZOTERO_ITEM CSL_CITATION {"citationID":"Gpx7NImO","properties":{"formattedCitation":"(van den Burg et al., 2019)","plainCitation":"(van den Burg et al., 2019)","noteIndex":0},"citationItems":[{"id":32897,"uris":["http://zotero.org/groups/2352922/items/M3NQPACC"],"itemData":{"id":32897,"type":"article-journal","abstract":"Invasive alien species (IAS) are a main driver of current global change and contribute significantly to decreases in biodiversity worldwide. To prevent new introductions and establishment of IAS, it is important to identify mechanisms of incursion. On 18 September 2017, Hurricane Maria, a category-5 Atlantic storm, made landfall on the Commonwealth of Dominica causing widespread destruction. Responding to the post-hurricane situation, countries and organizations provided a large range of aid including funds, medical and security support, and relief supplies. Here we report the incursion and establishment of two vertebrate IAS on Dominica during the aftermath of Hurricane Maria—the Common Green Iguana (Iguana iguana) and Cuban Treefrog (Osteopilus septentrionalis)—representing a 20% increase in vertebrate alien species on Dominica. We also report observations of Venezuela Snouted Treefrogs (Scinax x-signatus). Collectively, these species were found at four sites spread along the Caribbean and south coast of Dominica, within or near ports of entry. Invasions of I. iguana and O. septentrionalis are especially worrisome given their known impacts on native species on other Caribbean islands. Though understandable given the human impact caused by severe weather events, these incursions suggest that biosecurity is not implemented by aid-facilitating countries and organizations. With the predicted increase in hurricane intensity and frequency, we suggest basic biosecurity and training programs to reduce incursion threats of IAS during future relief and recovery initiatives. For Dominica, we recommend mitigation programs with additional biological surveys to control and better understand the number of incursion and their impact on post-Maria Dominica.","container-title":"Biological Invasions","DOI":"10.1007/s10530-019-02107-5","ISSN":"1573-1464","journalAbbreviation":"Biol Invasions","language":"en","note":"container-title: Biological Invasions","source":"Springer Link","title":"Post-hurricane relief facilitates invasion and establishment of two invasive alien vertebrate species in the Commonwealth of Dominica, West Indies","URL":"https://doi.org/10.1007/s10530-019-02107-5","author":[{"family":"Burg","given":"Matthijs P.","non-dropping-particle":"van den"},{"family":"Brisbane","given":"Jeanelle L. K."},{"family":"Knapp","given":"Charles R."}],"accessed":{"date-parts":[["2019",11,16]]},"issued":{"date-parts":[["2019",10,14]]}}}],"schema":"https://github.com/citation-style-language/schema/raw/master/csl-citation.json"} </w:instrText>
      </w:r>
      <w:r w:rsidRPr="00DA249F">
        <w:rPr>
          <w:lang w:val="en-GB"/>
        </w:rPr>
        <w:fldChar w:fldCharType="separate"/>
      </w:r>
      <w:r w:rsidR="00144D96" w:rsidRPr="00144D96">
        <w:t>(van den Burg et al., 2019)</w:t>
      </w:r>
      <w:r w:rsidRPr="00DA249F">
        <w:rPr>
          <w:lang w:val="en-GB"/>
        </w:rPr>
        <w:fldChar w:fldCharType="end"/>
      </w:r>
      <w:r w:rsidRPr="00DA249F">
        <w:rPr>
          <w:lang w:val="en-GB"/>
        </w:rPr>
        <w:t xml:space="preserve">. </w:t>
      </w:r>
      <w:r w:rsidRPr="00DA249F">
        <w:rPr>
          <w:i/>
          <w:iCs/>
          <w:lang w:val="en-GB"/>
        </w:rPr>
        <w:t>Parthenium hysterophorus</w:t>
      </w:r>
      <w:r w:rsidRPr="00DA249F">
        <w:rPr>
          <w:lang w:val="en-GB"/>
        </w:rPr>
        <w:t xml:space="preserve"> </w:t>
      </w:r>
      <w:r w:rsidR="00C63EF7" w:rsidRPr="00DA249F">
        <w:rPr>
          <w:lang w:val="en-GB"/>
        </w:rPr>
        <w:t>(parthenium</w:t>
      </w:r>
      <w:r w:rsidRPr="00DA249F">
        <w:rPr>
          <w:lang w:val="en-GB"/>
        </w:rPr>
        <w:t xml:space="preserve"> weed</w:t>
      </w:r>
      <w:r w:rsidR="009A3A28" w:rsidRPr="00DA249F">
        <w:rPr>
          <w:lang w:val="en-GB"/>
        </w:rPr>
        <w:t>)</w:t>
      </w:r>
      <w:r w:rsidRPr="00DA249F">
        <w:rPr>
          <w:lang w:val="en-GB"/>
        </w:rPr>
        <w:t>, originally from Mes</w:t>
      </w:r>
      <w:r w:rsidR="001A5ED6" w:rsidRPr="00DA249F">
        <w:rPr>
          <w:lang w:val="en-GB"/>
        </w:rPr>
        <w:t>oa</w:t>
      </w:r>
      <w:r w:rsidRPr="00DA249F">
        <w:rPr>
          <w:lang w:val="en-GB"/>
        </w:rPr>
        <w:t>merica, has become invasive in India, where it</w:t>
      </w:r>
      <w:r w:rsidR="0083026F" w:rsidRPr="00DA249F">
        <w:rPr>
          <w:lang w:val="en-GB"/>
        </w:rPr>
        <w:t>s seeds</w:t>
      </w:r>
      <w:r w:rsidRPr="00DA249F">
        <w:rPr>
          <w:lang w:val="en-GB"/>
        </w:rPr>
        <w:t xml:space="preserve"> arrived </w:t>
      </w:r>
      <w:r w:rsidR="0083026F" w:rsidRPr="00DA249F">
        <w:rPr>
          <w:lang w:val="en-GB"/>
        </w:rPr>
        <w:t xml:space="preserve">in </w:t>
      </w:r>
      <w:r w:rsidRPr="00DA249F">
        <w:rPr>
          <w:lang w:val="en-GB"/>
        </w:rPr>
        <w:t xml:space="preserve">grain shipments. It was </w:t>
      </w:r>
      <w:r w:rsidRPr="00DA249F">
        <w:rPr>
          <w:lang w:val="en-GB"/>
        </w:rPr>
        <w:lastRenderedPageBreak/>
        <w:t xml:space="preserve">then spread to Sri Lanka via peacekeeping efforts </w:t>
      </w:r>
      <w:r w:rsidRPr="00DA249F">
        <w:rPr>
          <w:lang w:val="en-GB"/>
        </w:rPr>
        <w:fldChar w:fldCharType="begin"/>
      </w:r>
      <w:r w:rsidR="00331A79">
        <w:rPr>
          <w:lang w:val="en-GB"/>
        </w:rPr>
        <w:instrText xml:space="preserve"> ADDIN ZOTERO_ITEM CSL_CITATION {"citationID":"KY10eKon","properties":{"formattedCitation":"(Kohli et al., 2006; Pallewatta et al., 2003)","plainCitation":"(Kohli et al., 2006; Pallewatta et al., 2003)","noteIndex":0},"citationItems":[{"id":26374,"uris":["http://zotero.org/groups/2352922/items/U4DPZJHL"],"itemData":{"id":26374,"type":"article-journal","abstract":"Invasive weeds have threatened the integrity of ecosystems throughout the world. They aﬀect not only the species diversity of native areas but also their biological integrity. In India, a number of invasive exotic weeds have been reported but some viz. Parthenium hysterophorus, Lantana camara and Ageratum conyzoides, especially those from tropical America are troublesome and have caused adverse ecological, economic and social impact. These weeds can be seen growing in diﬀerent landscapes but are luxuriantly localized in unattended forests and cultivated areas. Parthenium hysterophorus (Asteraceae, commonly known as congress grass) is perhaps the most troublesome and noxious weed of urban and rural India. Besides rapidly colonizing areas replacing the native vegetation, it is also known to cause a number of human health problems such as skin allergy, rhinitis and irritation to eyes of the residents in the vicinity. Likewise, it causes fodder scarcity in addition to being unpalatable and toxic to livestock. Lantana camara (Verbenaceae), another serious tropical American pest, has encroached upon large areas of land, especially the forests where it has virtually replaced the forest ﬂoor vegetation and reduced tree growth. Also because of its bushy and spreading type of growth it obstructs forest operations. The third weed, Ageratum conyzoides (Asteraceae, Billy goat weed) has invaded agricultural ﬁelds. It interferes with crops and causes yield reductions of major staple crops of India. When it invades rangeland areas, it out competes native grasses causing scarcity of fodder. These weeds have similar growth strategies such as fast growth rates, short life-cycles, greater reproductive potential, high competitive abilities and allelopathy that make them successful invaders of native habitats. Mechanical, chemical, biological and cultural control tactics have failed individually, though integrated approaches combining all these approaches along with community participation and proper land management have been relatively successful. This paper presents various aspects of biology, ecology, hazards and control measures of these weeds.","container-title":"Biological Invasions","DOI":"10.1007/s10530-005-5842-1","ISSN":"1387-3547, 1573-1464","issue":"7","journalAbbreviation":"Biol Invasions","language":"en","page":"1501-1510","source":"DOI.org (Crossref)","title":"Status, invasiveness and environmental threats of three tropical American invasive weeds (&lt;i&gt;Parthenium hysterophorus&lt;/i&gt; L., &lt;i&gt;Ageratum conyzoides&lt;/i&gt; L., &lt;i&gt;Lantana camara&lt;/i&gt; L.) in India","URL":"https://doi.org/10.1007/s10530-005-5842-1","volume":"8","author":[{"family":"Kohli","given":"Ravinder K."},{"family":"Batish","given":"Daizy R."},{"family":"Singh","given":"H. P."},{"family":"Dogra","given":"Kuldip S."}],"accessed":{"date-parts":[["2019",11,18]]},"issued":{"date-parts":[["2006",10]]}}},{"id":30691,"uris":["http://zotero.org/groups/2352922/items/JM7T3UE8"],"itemData":{"id":30691,"type":"chapter","collection-title":"Global Invasive Species Programme, Cape Town, South Africa","container-title":"Invasive Alien Species in South-Southeast Asia: National Reports &amp; Directory of Resources","event-place":"Cape Town, South Africa","language":"en","page":"111","publisher":"Global Invasive Species Programme","publisher-place":"Cape Town, South Africa","source":"Zotero","title":"Sri Lanka","URL":"https://www.doi.gov/sites/doi.gov/files/uploads/invasive_alien_species_in_south_southeast_asia.pdf","editor":[{"family":"Pallewatta","given":"Nirmalie"},{"family":"Reaser","given":"Jamie K"},{"family":"Gutierrez","given":"Alexis T"}],"issued":{"date-parts":[["2003"]]}}}],"schema":"https://github.com/citation-style-language/schema/raw/master/csl-citation.json"} </w:instrText>
      </w:r>
      <w:r w:rsidRPr="00DA249F">
        <w:rPr>
          <w:lang w:val="en-GB"/>
        </w:rPr>
        <w:fldChar w:fldCharType="separate"/>
      </w:r>
      <w:r w:rsidR="00144D96" w:rsidRPr="00144D96">
        <w:t>(Kohli et al., 2006; Pallewatta et al., 2003)</w:t>
      </w:r>
      <w:r w:rsidRPr="00DA249F">
        <w:rPr>
          <w:lang w:val="en-GB"/>
        </w:rPr>
        <w:fldChar w:fldCharType="end"/>
      </w:r>
      <w:r w:rsidRPr="00DA249F">
        <w:rPr>
          <w:lang w:val="en-GB"/>
        </w:rPr>
        <w:t xml:space="preserve">. Aid shipments also resulted in its introduction to Ethiopia </w:t>
      </w:r>
      <w:r w:rsidRPr="00DA249F">
        <w:rPr>
          <w:lang w:val="en-GB"/>
        </w:rPr>
        <w:fldChar w:fldCharType="begin"/>
      </w:r>
      <w:r w:rsidR="00331A79">
        <w:rPr>
          <w:lang w:val="en-GB"/>
        </w:rPr>
        <w:instrText xml:space="preserve"> ADDIN ZOTERO_ITEM CSL_CITATION {"citationID":"zyX7ZTrZ","properties":{"formattedCitation":"(Wittenberg &amp; Cock, 2003)","plainCitation":"(Wittenberg &amp; Cock, 2003)","noteIndex":0},"citationItems":[{"id":30901,"uris":["http://zotero.org/groups/2352922/items/BF78N7XH"],"itemData":{"id":30901,"type":"book","abstract":"Invasive alien species are recognised as one of the leading threats to biodiversity and also impose enormous costs on agriculture, forestry, fisheries, and other\nhuman enterprises, as well as on human health. Rapidly accelerating human trade, tourism, transport, and travel over the past century have dramatically enhanced the spread of invasive species, allowing them to surmount natural geographic barriers. Not all non-indigenous species are harmful. In fact the majority of species used in agriculture, forestry and fisheries are alien species.\nThus, the initial step in a national programme must be to distinguish the harmful from the harmless alien species and identify the impacts of the former on native biodiversity.\nDevelopment of a national strategy summarizing goals and objectives should be the first step in formulating an alien species plan. The ultimate goal of the strategy should be preservation or restoration of healthy ecosystems. An initial assessment, including a survey of native and alien species (and their impacts) will help define the starting-point and serve as a base for comparison as the programme progresses. The support of all stakeholders must be engaged during the entire programme, ideally using a social marketing campaign. Legal and institutional frameworks will define the basic opportunities for prevention and management of invasive alien species. There are four major options (or better, steps) for dealing with alien species: 1) prevention, 2) early detection, 3)\neradication, and 4) control (Figure 1).\nPrevention of introductions is the first and most cost-effective option. This lesson has been learned the hard way from several cases of highly destructive and costly invasive organisms such as the zebra mussel in the Great Lakes. Had such species\nbeen intercepted at the outset, an enormous loss of native species and/or money could have been prevented. Exclusion methods based on pathways rather than on\nindividual species provide the most efficient way to concentrate efforts at sites where pests are most likely to enter national boundaries and to intercept several potential invaders linked to a single pathway. Three major possibilities to prevent\nfurther invasions exist: 1) interception based on regulations enforced with\ninspections and fees, 2) treatment of material suspected to be  contaminated with\nnon-indigenous species, and 3) prohibition of particular commodities in accordance with international regulations. Deliberate introductions of non-indigenous species should all be subject to an import risk assessment.\nEarly detection of a potential invasive species is often crucial in determining\nwhether eradication of the species is feasible. The possibility of early eradication or at least of effectively containing a new coloniser makes investment in early detection worthwhile. Early detection in the form of surveys may focus on a\nspecies of concern or on a specific site. Species-specific surveys are designed, adapted or developed for a specific situation, taking into consideration the ecology of the target species. Site-specific surveys are targeted to detect invaders in the\nvicinity of high-risk entry points or in high value biodiversity areas.","event-place":"Wallingford, Oxon, UK","ISBN":"0 85199 569 1","language":"English","number-of-pages":"228","publisher":"CAB International","publisher-place":"Wallingford, Oxon, UK","title":"Invasive Alien Species: A Toolkit of Best Prevention and Management Practices","URL":"https://www.cabidigitallibrary.org/doi/10.1079/9780851995694.0000","author":[{"family":"Wittenberg","given":"R"},{"family":"Cock","given":"Matthew J. W."}],"issued":{"date-parts":[["2003"]]}}}],"schema":"https://github.com/citation-style-language/schema/raw/master/csl-citation.json"} </w:instrText>
      </w:r>
      <w:r w:rsidRPr="00DA249F">
        <w:rPr>
          <w:lang w:val="en-GB"/>
        </w:rPr>
        <w:fldChar w:fldCharType="separate"/>
      </w:r>
      <w:r w:rsidR="00144D96" w:rsidRPr="00144D96">
        <w:t>(Wittenberg &amp; Cock, 2003)</w:t>
      </w:r>
      <w:r w:rsidRPr="00DA249F">
        <w:rPr>
          <w:lang w:val="en-GB"/>
        </w:rPr>
        <w:fldChar w:fldCharType="end"/>
      </w:r>
      <w:r w:rsidRPr="00DA249F">
        <w:rPr>
          <w:lang w:val="en-GB"/>
        </w:rPr>
        <w:t>. Such cases ha</w:t>
      </w:r>
      <w:r w:rsidR="2A33242C" w:rsidRPr="00DA249F">
        <w:rPr>
          <w:lang w:val="en-GB"/>
        </w:rPr>
        <w:t>ve</w:t>
      </w:r>
      <w:r w:rsidRPr="00DA249F">
        <w:rPr>
          <w:lang w:val="en-GB"/>
        </w:rPr>
        <w:t xml:space="preserve"> led to </w:t>
      </w:r>
      <w:r w:rsidR="00A31A23" w:rsidRPr="00DA249F">
        <w:rPr>
          <w:lang w:val="en-GB"/>
        </w:rPr>
        <w:t xml:space="preserve">local </w:t>
      </w:r>
      <w:r w:rsidR="00206548" w:rsidRPr="00DA249F">
        <w:rPr>
          <w:lang w:val="en-GB"/>
        </w:rPr>
        <w:t>concern</w:t>
      </w:r>
      <w:r w:rsidRPr="00DA249F">
        <w:rPr>
          <w:lang w:val="en-GB"/>
        </w:rPr>
        <w:t xml:space="preserve"> when receiving </w:t>
      </w:r>
      <w:r w:rsidR="00A31A23" w:rsidRPr="00DA249F">
        <w:rPr>
          <w:lang w:val="en-GB"/>
        </w:rPr>
        <w:t xml:space="preserve">humanitarian </w:t>
      </w:r>
      <w:r w:rsidRPr="00DA249F">
        <w:rPr>
          <w:lang w:val="en-GB"/>
        </w:rPr>
        <w:t>aid</w:t>
      </w:r>
      <w:r w:rsidR="00A31A23" w:rsidRPr="00DA249F">
        <w:rPr>
          <w:lang w:val="en-GB"/>
        </w:rPr>
        <w:t xml:space="preserve"> shipments</w:t>
      </w:r>
      <w:r w:rsidRPr="00DA249F">
        <w:rPr>
          <w:lang w:val="en-GB"/>
        </w:rPr>
        <w:t>.</w:t>
      </w:r>
      <w:r w:rsidR="00A31A23" w:rsidRPr="00DA249F">
        <w:rPr>
          <w:lang w:val="en-GB"/>
        </w:rPr>
        <w:t xml:space="preserve"> For example, d</w:t>
      </w:r>
      <w:r w:rsidRPr="00DA249F">
        <w:rPr>
          <w:lang w:val="en-GB"/>
        </w:rPr>
        <w:t xml:space="preserve">ue to the highly invasive nature of </w:t>
      </w:r>
      <w:r w:rsidRPr="00DA249F">
        <w:rPr>
          <w:i/>
          <w:iCs/>
          <w:lang w:val="en-GB"/>
        </w:rPr>
        <w:t xml:space="preserve">Sorghum </w:t>
      </w:r>
      <w:r w:rsidR="009C1393" w:rsidRPr="00DA249F">
        <w:rPr>
          <w:i/>
          <w:iCs/>
          <w:lang w:val="en-GB"/>
        </w:rPr>
        <w:t>halepense</w:t>
      </w:r>
      <w:r w:rsidR="009C1393" w:rsidRPr="00DA249F">
        <w:rPr>
          <w:lang w:val="en-GB"/>
        </w:rPr>
        <w:t xml:space="preserve"> </w:t>
      </w:r>
      <w:r w:rsidRPr="00DA249F">
        <w:rPr>
          <w:lang w:val="en-GB"/>
        </w:rPr>
        <w:t>(</w:t>
      </w:r>
      <w:r w:rsidR="00BD146A" w:rsidRPr="00DA249F">
        <w:rPr>
          <w:lang w:val="en-GB"/>
        </w:rPr>
        <w:t xml:space="preserve">Johnson </w:t>
      </w:r>
      <w:r w:rsidRPr="00DA249F">
        <w:rPr>
          <w:lang w:val="en-GB"/>
        </w:rPr>
        <w:t xml:space="preserve">grass), American Samoa refused the offer of assistance from the Australian International Assistance Program </w:t>
      </w:r>
      <w:r w:rsidRPr="00DA249F">
        <w:rPr>
          <w:lang w:val="en-GB"/>
        </w:rPr>
        <w:fldChar w:fldCharType="begin"/>
      </w:r>
      <w:r w:rsidR="00331A79">
        <w:rPr>
          <w:lang w:val="en-GB"/>
        </w:rPr>
        <w:instrText xml:space="preserve"> ADDIN ZOTERO_ITEM CSL_CITATION {"citationID":"hxadhW6Q","properties":{"formattedCitation":"(Tuinoula, 2003)","plainCitation":"(Tuinoula, 2003)","noteIndex":0},"citationItems":[{"id":30690,"uris":["http://zotero.org/groups/2352922/items/AEPVU9KW"],"itemData":{"id":30690,"type":"paper-conference","container-title":"Prevention and Management of Invasive Alien Species: Proceedings of a Workshop on Forging Cooperation Throughout the Austral-Pacific","event-place":"Cape Town, South Africa.","event-title":"Global Invasive Species Programme","page":"64-65","publisher-place":"Cape Town, South Africa.","title":"American Samoa","URL":"https://www.doi.gov/sites/doi.gov/files/uploads/forging_cooperation_in_the_austral_pacific.pdf","author":[{"family":"Tuinoula","given":"M"}],"editor":[{"family":"Shine","given":"C"},{"family":"Reaser","given":"J. K."},{"family":"Gutierrez","given":"A. T."}],"issued":{"date-parts":[["2003"]]}}}],"schema":"https://github.com/citation-style-language/schema/raw/master/csl-citation.json"} </w:instrText>
      </w:r>
      <w:r w:rsidRPr="00DA249F">
        <w:rPr>
          <w:lang w:val="en-GB"/>
        </w:rPr>
        <w:fldChar w:fldCharType="separate"/>
      </w:r>
      <w:r w:rsidR="00144D96" w:rsidRPr="00144D96">
        <w:t>(Tuinoula, 2003)</w:t>
      </w:r>
      <w:r w:rsidRPr="00DA249F">
        <w:rPr>
          <w:lang w:val="en-GB"/>
        </w:rPr>
        <w:fldChar w:fldCharType="end"/>
      </w:r>
      <w:r w:rsidRPr="00DA249F">
        <w:rPr>
          <w:lang w:val="en-GB"/>
        </w:rPr>
        <w:t xml:space="preserve">. </w:t>
      </w:r>
    </w:p>
    <w:p w14:paraId="27AAF595" w14:textId="7F9788BC" w:rsidR="0081198C" w:rsidRPr="00DA249F" w:rsidRDefault="4F5F74E8" w:rsidP="0090109B">
      <w:pPr>
        <w:rPr>
          <w:lang w:val="en-GB"/>
        </w:rPr>
      </w:pPr>
      <w:r w:rsidRPr="00DA249F">
        <w:rPr>
          <w:lang w:val="en-GB"/>
        </w:rPr>
        <w:t xml:space="preserve">As illustrated </w:t>
      </w:r>
      <w:r w:rsidR="51D086F4" w:rsidRPr="00DA249F">
        <w:rPr>
          <w:lang w:val="en-GB"/>
        </w:rPr>
        <w:t>in this section</w:t>
      </w:r>
      <w:r w:rsidRPr="00DA249F">
        <w:rPr>
          <w:lang w:val="en-GB"/>
        </w:rPr>
        <w:t xml:space="preserve">, </w:t>
      </w:r>
      <w:r w:rsidR="76A42064" w:rsidRPr="00DA249F">
        <w:rPr>
          <w:lang w:val="en-GB"/>
        </w:rPr>
        <w:t>the</w:t>
      </w:r>
      <w:r w:rsidRPr="00DA249F">
        <w:rPr>
          <w:lang w:val="en-GB"/>
        </w:rPr>
        <w:t xml:space="preserve"> </w:t>
      </w:r>
      <w:r w:rsidR="2768EADE" w:rsidRPr="728F2DAF">
        <w:rPr>
          <w:lang w:val="en-GB"/>
        </w:rPr>
        <w:t xml:space="preserve">scientific </w:t>
      </w:r>
      <w:r w:rsidRPr="00DA249F">
        <w:rPr>
          <w:lang w:val="en-GB"/>
        </w:rPr>
        <w:t xml:space="preserve">and </w:t>
      </w:r>
      <w:r w:rsidR="7AFBF317" w:rsidRPr="00DA249F">
        <w:rPr>
          <w:lang w:val="en-GB"/>
        </w:rPr>
        <w:t xml:space="preserve">especially </w:t>
      </w:r>
      <w:r w:rsidRPr="00DA249F">
        <w:rPr>
          <w:lang w:val="en-GB"/>
        </w:rPr>
        <w:t>grey literature</w:t>
      </w:r>
      <w:r w:rsidR="00636537" w:rsidRPr="00710AC3">
        <w:rPr>
          <w:rStyle w:val="FootnoteReference"/>
        </w:rPr>
        <w:footnoteReference w:id="7"/>
      </w:r>
      <w:r w:rsidRPr="00DA249F">
        <w:rPr>
          <w:lang w:val="en-GB"/>
        </w:rPr>
        <w:t xml:space="preserve"> provid</w:t>
      </w:r>
      <w:r w:rsidR="3D6C5C12" w:rsidRPr="00DA249F">
        <w:rPr>
          <w:lang w:val="en-GB"/>
        </w:rPr>
        <w:t>e</w:t>
      </w:r>
      <w:r w:rsidRPr="00DA249F">
        <w:rPr>
          <w:lang w:val="en-GB"/>
        </w:rPr>
        <w:t xml:space="preserve"> </w:t>
      </w:r>
      <w:r w:rsidR="5E7048D0" w:rsidRPr="00DA249F">
        <w:rPr>
          <w:lang w:val="en-GB"/>
        </w:rPr>
        <w:t xml:space="preserve">a </w:t>
      </w:r>
      <w:r w:rsidRPr="00DA249F">
        <w:rPr>
          <w:lang w:val="en-GB"/>
        </w:rPr>
        <w:t xml:space="preserve">range of examples of how </w:t>
      </w:r>
      <w:r w:rsidR="5E7048D0" w:rsidRPr="00DA249F">
        <w:rPr>
          <w:lang w:val="en-GB"/>
        </w:rPr>
        <w:t xml:space="preserve">international crises, specifically armed </w:t>
      </w:r>
      <w:r w:rsidR="1742185D" w:rsidRPr="00DA249F">
        <w:rPr>
          <w:lang w:val="en-GB"/>
        </w:rPr>
        <w:t>conflicts</w:t>
      </w:r>
      <w:r w:rsidR="009F7404">
        <w:rPr>
          <w:lang w:val="en-GB"/>
        </w:rPr>
        <w:t xml:space="preserve"> and</w:t>
      </w:r>
      <w:r w:rsidR="3D6C5C12" w:rsidRPr="00DA249F">
        <w:rPr>
          <w:lang w:val="en-GB"/>
        </w:rPr>
        <w:t xml:space="preserve"> </w:t>
      </w:r>
      <w:r w:rsidR="7AFBF317" w:rsidRPr="00DA249F">
        <w:rPr>
          <w:lang w:val="en-GB"/>
        </w:rPr>
        <w:t>emergency</w:t>
      </w:r>
      <w:r w:rsidR="3D6C5C12" w:rsidRPr="00DA249F">
        <w:rPr>
          <w:lang w:val="en-GB"/>
        </w:rPr>
        <w:t xml:space="preserve"> relief</w:t>
      </w:r>
      <w:r w:rsidR="5E7048D0" w:rsidRPr="00DA249F">
        <w:rPr>
          <w:lang w:val="en-GB"/>
        </w:rPr>
        <w:t xml:space="preserve">, may </w:t>
      </w:r>
      <w:r w:rsidR="7A5ED3C7">
        <w:rPr>
          <w:lang w:val="en-GB"/>
        </w:rPr>
        <w:t xml:space="preserve">act </w:t>
      </w:r>
      <w:r w:rsidR="5E7048D0" w:rsidRPr="00DA249F">
        <w:rPr>
          <w:lang w:val="en-GB"/>
        </w:rPr>
        <w:t xml:space="preserve">as a driver </w:t>
      </w:r>
      <w:r w:rsidR="17B64EF3" w:rsidRPr="00DA249F">
        <w:rPr>
          <w:lang w:val="en-GB"/>
        </w:rPr>
        <w:t xml:space="preserve">facilitating </w:t>
      </w:r>
      <w:r w:rsidR="47DB3F3F" w:rsidRPr="00DA249F">
        <w:rPr>
          <w:lang w:val="en-GB"/>
        </w:rPr>
        <w:t xml:space="preserve">biological </w:t>
      </w:r>
      <w:r w:rsidR="5E7048D0" w:rsidRPr="00DA249F">
        <w:rPr>
          <w:lang w:val="en-GB"/>
        </w:rPr>
        <w:t>invasions</w:t>
      </w:r>
      <w:r w:rsidR="46707023" w:rsidRPr="00DA249F">
        <w:rPr>
          <w:lang w:val="en-GB"/>
        </w:rPr>
        <w:t xml:space="preserve"> both through </w:t>
      </w:r>
      <w:r w:rsidR="7F44D179" w:rsidRPr="00DA249F">
        <w:rPr>
          <w:lang w:val="en-GB"/>
        </w:rPr>
        <w:t xml:space="preserve">intentional </w:t>
      </w:r>
      <w:r w:rsidR="3D8D8A54" w:rsidRPr="00DA249F">
        <w:rPr>
          <w:lang w:val="en-GB"/>
        </w:rPr>
        <w:t>introductions</w:t>
      </w:r>
      <w:r w:rsidR="776D45AF" w:rsidRPr="00DA249F">
        <w:rPr>
          <w:lang w:val="en-GB"/>
        </w:rPr>
        <w:t xml:space="preserve"> for various purposes and </w:t>
      </w:r>
      <w:r w:rsidR="15BFBCD9" w:rsidRPr="00DA249F">
        <w:rPr>
          <w:lang w:val="en-GB"/>
        </w:rPr>
        <w:t>unintentional</w:t>
      </w:r>
      <w:r w:rsidR="29CA14CE" w:rsidRPr="00DA249F">
        <w:rPr>
          <w:lang w:val="en-GB"/>
        </w:rPr>
        <w:t xml:space="preserve"> introductions through </w:t>
      </w:r>
      <w:r w:rsidR="5E1F490D" w:rsidRPr="00DA249F">
        <w:rPr>
          <w:lang w:val="en-GB"/>
        </w:rPr>
        <w:t xml:space="preserve">contaminants and </w:t>
      </w:r>
      <w:r w:rsidR="7AFBF317" w:rsidRPr="00DA249F">
        <w:rPr>
          <w:lang w:val="en-GB"/>
        </w:rPr>
        <w:t>stowaway</w:t>
      </w:r>
      <w:r w:rsidR="29CA14CE" w:rsidRPr="00DA249F">
        <w:rPr>
          <w:lang w:val="en-GB"/>
        </w:rPr>
        <w:t>s</w:t>
      </w:r>
      <w:r w:rsidR="5E7048D0" w:rsidRPr="00DA249F">
        <w:rPr>
          <w:lang w:val="en-GB"/>
        </w:rPr>
        <w:t xml:space="preserve">. </w:t>
      </w:r>
      <w:r w:rsidR="76A42064" w:rsidRPr="00DA249F">
        <w:rPr>
          <w:lang w:val="en-GB"/>
        </w:rPr>
        <w:t>Authors</w:t>
      </w:r>
      <w:r w:rsidR="5E7048D0" w:rsidRPr="00DA249F">
        <w:rPr>
          <w:lang w:val="en-GB"/>
        </w:rPr>
        <w:t xml:space="preserve"> found evidence from plants, vertebrates, </w:t>
      </w:r>
      <w:r w:rsidR="0C4BF166" w:rsidRPr="00DA249F">
        <w:rPr>
          <w:lang w:val="en-GB"/>
        </w:rPr>
        <w:t>invertebrates</w:t>
      </w:r>
      <w:r w:rsidR="009F7404">
        <w:rPr>
          <w:lang w:val="en-GB"/>
        </w:rPr>
        <w:t xml:space="preserve"> and</w:t>
      </w:r>
      <w:r w:rsidR="5E7048D0" w:rsidRPr="00DA249F">
        <w:rPr>
          <w:lang w:val="en-GB"/>
        </w:rPr>
        <w:t xml:space="preserve"> microorganisms; from terrestrial, aquatic</w:t>
      </w:r>
      <w:r w:rsidR="009F7404">
        <w:rPr>
          <w:lang w:val="en-GB"/>
        </w:rPr>
        <w:t xml:space="preserve"> and</w:t>
      </w:r>
      <w:r w:rsidR="5E7048D0" w:rsidRPr="00DA249F">
        <w:rPr>
          <w:lang w:val="en-GB"/>
        </w:rPr>
        <w:t xml:space="preserve"> marine systems; and from all IPBES regions. The literature on international crises </w:t>
      </w:r>
      <w:r w:rsidR="3D6C5C12" w:rsidRPr="00DA249F">
        <w:rPr>
          <w:lang w:val="en-GB"/>
        </w:rPr>
        <w:t xml:space="preserve">and aid </w:t>
      </w:r>
      <w:r w:rsidR="5E7048D0" w:rsidRPr="00DA249F">
        <w:rPr>
          <w:lang w:val="en-GB"/>
        </w:rPr>
        <w:t xml:space="preserve">as a driver </w:t>
      </w:r>
      <w:r w:rsidR="49249308" w:rsidRPr="00DA249F">
        <w:rPr>
          <w:lang w:val="en-GB"/>
        </w:rPr>
        <w:t xml:space="preserve">facilitating </w:t>
      </w:r>
      <w:r w:rsidR="5E7048D0" w:rsidRPr="00DA249F">
        <w:rPr>
          <w:lang w:val="en-GB"/>
        </w:rPr>
        <w:t xml:space="preserve">biological invasions covers all stages of </w:t>
      </w:r>
      <w:r w:rsidR="4A6523B5" w:rsidRPr="00DA249F">
        <w:rPr>
          <w:lang w:val="en-GB"/>
        </w:rPr>
        <w:t xml:space="preserve">the </w:t>
      </w:r>
      <w:r w:rsidR="7F44D179" w:rsidRPr="00DA249F">
        <w:rPr>
          <w:lang w:val="en-GB"/>
        </w:rPr>
        <w:t xml:space="preserve">biological </w:t>
      </w:r>
      <w:r w:rsidR="5E7048D0" w:rsidRPr="00DA249F">
        <w:rPr>
          <w:lang w:val="en-GB"/>
        </w:rPr>
        <w:t>invasion</w:t>
      </w:r>
      <w:r w:rsidR="4A6523B5" w:rsidRPr="00DA249F">
        <w:rPr>
          <w:lang w:val="en-GB"/>
        </w:rPr>
        <w:t xml:space="preserve"> process</w:t>
      </w:r>
      <w:r w:rsidR="5E7048D0" w:rsidRPr="00DA249F">
        <w:rPr>
          <w:lang w:val="en-GB"/>
        </w:rPr>
        <w:t xml:space="preserve">, especially focusing on </w:t>
      </w:r>
      <w:r w:rsidRPr="00DA249F">
        <w:rPr>
          <w:lang w:val="en-GB"/>
        </w:rPr>
        <w:t xml:space="preserve">the </w:t>
      </w:r>
      <w:r w:rsidR="5E7048D0" w:rsidRPr="00DA249F">
        <w:rPr>
          <w:lang w:val="en-GB"/>
        </w:rPr>
        <w:t xml:space="preserve">introduction and spread </w:t>
      </w:r>
      <w:r w:rsidRPr="00DA249F">
        <w:rPr>
          <w:lang w:val="en-GB"/>
        </w:rPr>
        <w:t>phases, the</w:t>
      </w:r>
      <w:r w:rsidR="5E7048D0" w:rsidRPr="00DA249F">
        <w:rPr>
          <w:lang w:val="en-GB"/>
        </w:rPr>
        <w:t xml:space="preserve"> latter </w:t>
      </w:r>
      <w:r w:rsidR="776D45AF" w:rsidRPr="00DA249F">
        <w:rPr>
          <w:lang w:val="en-GB"/>
        </w:rPr>
        <w:t>often</w:t>
      </w:r>
      <w:r w:rsidR="5E7048D0" w:rsidRPr="00DA249F">
        <w:rPr>
          <w:lang w:val="en-GB"/>
        </w:rPr>
        <w:t xml:space="preserve"> </w:t>
      </w:r>
      <w:r w:rsidR="31B1BAD4" w:rsidRPr="00DA249F">
        <w:rPr>
          <w:lang w:val="en-GB"/>
        </w:rPr>
        <w:t xml:space="preserve">from </w:t>
      </w:r>
      <w:r w:rsidR="5E7048D0" w:rsidRPr="00DA249F">
        <w:rPr>
          <w:lang w:val="en-GB"/>
        </w:rPr>
        <w:t>assessment</w:t>
      </w:r>
      <w:r w:rsidR="31B1BAD4" w:rsidRPr="00DA249F">
        <w:rPr>
          <w:lang w:val="en-GB"/>
        </w:rPr>
        <w:t>s</w:t>
      </w:r>
      <w:r w:rsidR="776D45AF" w:rsidRPr="00DA249F">
        <w:rPr>
          <w:lang w:val="en-GB"/>
        </w:rPr>
        <w:t xml:space="preserve"> </w:t>
      </w:r>
      <w:r w:rsidR="5E7048D0" w:rsidRPr="00DA249F">
        <w:rPr>
          <w:lang w:val="en-GB"/>
        </w:rPr>
        <w:t>of impact</w:t>
      </w:r>
      <w:r w:rsidRPr="00DA249F">
        <w:rPr>
          <w:lang w:val="en-GB"/>
        </w:rPr>
        <w:t xml:space="preserve"> </w:t>
      </w:r>
      <w:r w:rsidR="528CD6E2" w:rsidRPr="00DA249F">
        <w:rPr>
          <w:lang w:val="en-GB"/>
        </w:rPr>
        <w:t>(</w:t>
      </w:r>
      <w:r w:rsidR="5E9D4725" w:rsidRPr="5575EBFC">
        <w:rPr>
          <w:b/>
          <w:bCs/>
          <w:lang w:val="en-GB"/>
        </w:rPr>
        <w:t>C</w:t>
      </w:r>
      <w:r w:rsidR="5E7048D0" w:rsidRPr="5575EBFC">
        <w:rPr>
          <w:b/>
          <w:bCs/>
          <w:lang w:val="en-GB"/>
        </w:rPr>
        <w:t>hapter 4</w:t>
      </w:r>
      <w:r w:rsidR="5E7048D0" w:rsidRPr="00DA249F">
        <w:rPr>
          <w:lang w:val="en-GB"/>
        </w:rPr>
        <w:t>).</w:t>
      </w:r>
      <w:r w:rsidR="0CA65F7F" w:rsidRPr="00DA249F">
        <w:rPr>
          <w:lang w:val="en-GB"/>
        </w:rPr>
        <w:t xml:space="preserve"> </w:t>
      </w:r>
    </w:p>
    <w:p w14:paraId="649C1EB5" w14:textId="77777777" w:rsidR="002E158A" w:rsidRPr="00DA249F" w:rsidRDefault="6DA058E6" w:rsidP="004826A3">
      <w:pPr>
        <w:pStyle w:val="Heading3"/>
        <w:rPr>
          <w:lang w:val="en-GB"/>
        </w:rPr>
      </w:pPr>
      <w:bookmarkStart w:id="60" w:name="_Toc69218562"/>
      <w:bookmarkStart w:id="61" w:name="_Toc69312068"/>
      <w:bookmarkStart w:id="62" w:name="_Toc44317798"/>
      <w:bookmarkEnd w:id="60"/>
      <w:bookmarkEnd w:id="61"/>
      <w:r w:rsidRPr="00DA249F">
        <w:rPr>
          <w:lang w:val="en-GB"/>
        </w:rPr>
        <w:t xml:space="preserve"> </w:t>
      </w:r>
      <w:r w:rsidR="17373021" w:rsidRPr="00DA249F">
        <w:rPr>
          <w:lang w:val="en-GB"/>
        </w:rPr>
        <w:t>U</w:t>
      </w:r>
      <w:r w:rsidR="001F3761" w:rsidRPr="00DA249F">
        <w:rPr>
          <w:lang w:val="en-GB"/>
        </w:rPr>
        <w:t>rba</w:t>
      </w:r>
      <w:r w:rsidR="17373021" w:rsidRPr="00DA249F">
        <w:rPr>
          <w:lang w:val="en-GB"/>
        </w:rPr>
        <w:t>ni</w:t>
      </w:r>
      <w:r w:rsidR="001F3761" w:rsidRPr="00DA249F">
        <w:rPr>
          <w:lang w:val="en-GB"/>
        </w:rPr>
        <w:t>z</w:t>
      </w:r>
      <w:r w:rsidR="17373021" w:rsidRPr="00DA249F">
        <w:rPr>
          <w:lang w:val="en-GB"/>
        </w:rPr>
        <w:t>ation</w:t>
      </w:r>
      <w:bookmarkEnd w:id="62"/>
    </w:p>
    <w:p w14:paraId="5452EDD4" w14:textId="75DE0DEC" w:rsidR="00AF6C9D" w:rsidRPr="00DA249F" w:rsidRDefault="77EC4C08" w:rsidP="00B164FA">
      <w:pPr>
        <w:rPr>
          <w:lang w:val="en-GB"/>
        </w:rPr>
      </w:pPr>
      <w:r w:rsidRPr="00DA249F">
        <w:rPr>
          <w:lang w:val="en-GB"/>
        </w:rPr>
        <w:t>Urbanization</w:t>
      </w:r>
      <w:r w:rsidR="00B01172" w:rsidRPr="00DA249F">
        <w:rPr>
          <w:lang w:val="en-GB"/>
        </w:rPr>
        <w:t xml:space="preserve">, </w:t>
      </w:r>
      <w:r w:rsidR="000F2A9A" w:rsidRPr="00DA249F">
        <w:rPr>
          <w:lang w:val="en-GB"/>
        </w:rPr>
        <w:t>the increase in the proportion of a population living in urban areas</w:t>
      </w:r>
      <w:r w:rsidR="00B01172" w:rsidRPr="00DA249F">
        <w:rPr>
          <w:lang w:val="en-GB"/>
        </w:rPr>
        <w:t xml:space="preserve">, </w:t>
      </w:r>
      <w:r w:rsidR="00611040" w:rsidRPr="00DA249F">
        <w:rPr>
          <w:lang w:val="en-GB"/>
        </w:rPr>
        <w:t xml:space="preserve">results in </w:t>
      </w:r>
      <w:r w:rsidR="000F2A9A" w:rsidRPr="00DA249F">
        <w:rPr>
          <w:lang w:val="en-GB"/>
        </w:rPr>
        <w:t>a large number of people becom</w:t>
      </w:r>
      <w:r w:rsidR="00611040" w:rsidRPr="00DA249F">
        <w:rPr>
          <w:lang w:val="en-GB"/>
        </w:rPr>
        <w:t xml:space="preserve">ing </w:t>
      </w:r>
      <w:r w:rsidR="000F2A9A" w:rsidRPr="00DA249F">
        <w:rPr>
          <w:lang w:val="en-GB"/>
        </w:rPr>
        <w:t xml:space="preserve">permanently concentrated in relatively small areas, forming cities </w:t>
      </w:r>
      <w:r w:rsidR="00A7449E" w:rsidRPr="00DA249F">
        <w:rPr>
          <w:lang w:val="en-GB"/>
        </w:rPr>
        <w:fldChar w:fldCharType="begin"/>
      </w:r>
      <w:r w:rsidR="00331A79">
        <w:rPr>
          <w:lang w:val="en-GB"/>
        </w:rPr>
        <w:instrText xml:space="preserve"> ADDIN ZOTERO_ITEM CSL_CITATION {"citationID":"QP7VB59c","properties":{"formattedCitation":"(IPBES, 2022c)","plainCitation":"(IPBES, 2022c)","noteIndex":0},"citationItems":[{"id":56440,"uris":["http://zotero.org/groups/2352922/items/FE232VBH","http://zotero.org/groups/2352922/items/Z2RKHB8F"],"itemData":{"id":56440,"type":"report","abstract":"The thematic assessment of the sustainable use of wild species of the Intergovernmental Science-Policy Platform on Biodiversity and Ecosystem Services is composed of 1) a Summary for Policymakers (SPM), approved by the IPBES Plenary at its 9th session in July 2022 in Bonn, Germany (IPBES-9); and 2) a set of six Chapters, accepted by the IPBES Plenary. All products of the assessment are available on Zenodo. Find all the links on https://ipbes.net/sustainable-use-assessment and on the side bar \"has part\". The laid-out version and translations will be made available in the next months.","language":"en","license":"Creative Commons Attribution 4.0 International, Open Access","note":"DOI: 10.5281/ZENODO.6448568","publisher":"Zenodo","source":"DOI.org (Datacite)","title":"Thematic assessment of the sustainable use of wild species of the Intergovernmental Science-Policy Platform on Biodiversity and Ecosystem Services","URL":"https://zenodo.org/record/6448568","author":[{"literal":"IPBES"}],"contributor":[{"family":"Fromentin","given":"Jean-Marc"},{"family":"Emery","given":"Marla R."},{"family":"Donaldson","given":"John"},{"family":"Danner","given":"Marie-Claire"},{"family":"Hallosserie","given":"Agnès"},{"family":"Kieling","given":"Daniel"}],"accessed":{"date-parts":[["2023",6,8]]},"issued":{"date-parts":[["2022",7,8]]}},"label":"page"}],"schema":"https://github.com/citation-style-language/schema/raw/master/csl-citation.json"} </w:instrText>
      </w:r>
      <w:r w:rsidR="00A7449E" w:rsidRPr="00DA249F">
        <w:rPr>
          <w:lang w:val="en-GB"/>
        </w:rPr>
        <w:fldChar w:fldCharType="separate"/>
      </w:r>
      <w:r w:rsidR="00186371" w:rsidRPr="00186371">
        <w:t>(IPBES, 2022c)</w:t>
      </w:r>
      <w:r w:rsidR="00A7449E" w:rsidRPr="00DA249F">
        <w:rPr>
          <w:lang w:val="en-GB"/>
        </w:rPr>
        <w:fldChar w:fldCharType="end"/>
      </w:r>
      <w:r w:rsidR="000F2A9A" w:rsidRPr="00DA249F">
        <w:rPr>
          <w:lang w:val="en-GB"/>
        </w:rPr>
        <w:t>.</w:t>
      </w:r>
      <w:r w:rsidR="18794F6F" w:rsidRPr="00DA249F">
        <w:rPr>
          <w:lang w:val="en-GB"/>
        </w:rPr>
        <w:t xml:space="preserve"> </w:t>
      </w:r>
      <w:r w:rsidR="00F5524A" w:rsidRPr="00DA249F">
        <w:rPr>
          <w:lang w:val="en-GB"/>
        </w:rPr>
        <w:t>By 2018 a</w:t>
      </w:r>
      <w:r w:rsidR="18794F6F" w:rsidRPr="00DA249F">
        <w:rPr>
          <w:lang w:val="en-GB"/>
        </w:rPr>
        <w:t>pproximately 55</w:t>
      </w:r>
      <w:r w:rsidR="004C77CD" w:rsidRPr="00DA249F">
        <w:rPr>
          <w:lang w:val="en-GB"/>
        </w:rPr>
        <w:t xml:space="preserve"> per cent</w:t>
      </w:r>
      <w:r w:rsidR="18794F6F" w:rsidRPr="00DA249F">
        <w:rPr>
          <w:lang w:val="en-GB"/>
        </w:rPr>
        <w:t xml:space="preserve"> of the world’s population resided in urban areas, </w:t>
      </w:r>
      <w:r w:rsidR="3F62AA77" w:rsidRPr="00DA249F">
        <w:rPr>
          <w:lang w:val="en-GB"/>
        </w:rPr>
        <w:t>and it</w:t>
      </w:r>
      <w:r w:rsidR="18794F6F" w:rsidRPr="00DA249F">
        <w:rPr>
          <w:lang w:val="en-GB"/>
        </w:rPr>
        <w:t xml:space="preserve"> is expected that </w:t>
      </w:r>
      <w:r w:rsidR="00A156EA" w:rsidRPr="00DA249F">
        <w:rPr>
          <w:lang w:val="en-GB"/>
        </w:rPr>
        <w:t xml:space="preserve">this will exceed </w:t>
      </w:r>
      <w:r w:rsidR="18794F6F" w:rsidRPr="00DA249F">
        <w:rPr>
          <w:lang w:val="en-GB"/>
        </w:rPr>
        <w:t>60</w:t>
      </w:r>
      <w:r w:rsidR="004C77CD" w:rsidRPr="00DA249F">
        <w:rPr>
          <w:lang w:val="en-GB"/>
        </w:rPr>
        <w:t xml:space="preserve"> per cent</w:t>
      </w:r>
      <w:r w:rsidR="18794F6F" w:rsidRPr="00DA249F">
        <w:rPr>
          <w:lang w:val="en-GB"/>
        </w:rPr>
        <w:t xml:space="preserve"> by 2030 </w:t>
      </w:r>
      <w:r w:rsidRPr="00DA249F">
        <w:rPr>
          <w:lang w:val="en-GB"/>
        </w:rPr>
        <w:fldChar w:fldCharType="begin"/>
      </w:r>
      <w:r w:rsidR="00331A79">
        <w:rPr>
          <w:lang w:val="en-GB"/>
        </w:rPr>
        <w:instrText xml:space="preserve"> ADDIN ZOTERO_ITEM CSL_CITATION {"citationID":"uf6672gk","properties":{"formattedCitation":"(United Nations Department of Economic and Social Affairs &amp; Affairs, 2019)","plainCitation":"(United Nations Department of Economic and Social Affairs &amp; Affairs, 2019)","dontUpdate":true,"noteIndex":0},"citationItems":[{"id":25090,"uris":["http://zotero.org/groups/2352922/items/VPCFII98"],"itemData":{"id":25090,"type":"book","ISBN":"978-92-1-004313-7","note":"DOI: 10.18356/6255ead2-en","number-of-pages":"34","title":"World Urbanization Prospects 2018: Highlights","URL":"https://www.un-ilibrary.org/content/publication/6255ead2-en","author":[{"literal":"United Nations Department of Economic and Social Affairs"}],"issued":{"date-parts":[["2019"]]}}}],"schema":"https://github.com/citation-style-language/schema/raw/master/csl-citation.json"} </w:instrText>
      </w:r>
      <w:r w:rsidRPr="00DA249F">
        <w:rPr>
          <w:lang w:val="en-GB"/>
        </w:rPr>
        <w:fldChar w:fldCharType="separate"/>
      </w:r>
      <w:r w:rsidR="00F7561E" w:rsidRPr="00DA249F">
        <w:rPr>
          <w:lang w:val="en-GB"/>
        </w:rPr>
        <w:t>(United Nations</w:t>
      </w:r>
      <w:r w:rsidR="00FF43A1" w:rsidRPr="00DA249F">
        <w:rPr>
          <w:lang w:val="en-GB"/>
        </w:rPr>
        <w:t>,</w:t>
      </w:r>
      <w:r w:rsidR="00F7561E" w:rsidRPr="00DA249F">
        <w:rPr>
          <w:lang w:val="en-GB"/>
        </w:rPr>
        <w:t xml:space="preserve"> Department of Economic and Social Affairs</w:t>
      </w:r>
      <w:r w:rsidR="00FF43A1" w:rsidRPr="00DA249F">
        <w:rPr>
          <w:lang w:val="en-GB"/>
        </w:rPr>
        <w:t>,</w:t>
      </w:r>
      <w:r w:rsidR="00F7561E" w:rsidRPr="00DA249F">
        <w:rPr>
          <w:lang w:val="en-GB"/>
        </w:rPr>
        <w:t xml:space="preserve"> </w:t>
      </w:r>
      <w:r w:rsidR="00AE578A" w:rsidRPr="00DA249F">
        <w:rPr>
          <w:lang w:val="en-GB"/>
        </w:rPr>
        <w:t>Population Division</w:t>
      </w:r>
      <w:r w:rsidR="00F7561E" w:rsidRPr="00DA249F">
        <w:rPr>
          <w:lang w:val="en-GB"/>
        </w:rPr>
        <w:t>, 2019)</w:t>
      </w:r>
      <w:r w:rsidRPr="00DA249F">
        <w:rPr>
          <w:lang w:val="en-GB"/>
        </w:rPr>
        <w:fldChar w:fldCharType="end"/>
      </w:r>
      <w:r w:rsidR="18794F6F" w:rsidRPr="00DA249F">
        <w:rPr>
          <w:lang w:val="en-GB"/>
        </w:rPr>
        <w:t xml:space="preserve">. As the global human population increases, the patchwork of urban sprawl and modified environments </w:t>
      </w:r>
      <w:r w:rsidR="000C42C3" w:rsidRPr="00DA249F">
        <w:rPr>
          <w:lang w:val="en-GB"/>
        </w:rPr>
        <w:t xml:space="preserve">is </w:t>
      </w:r>
      <w:r w:rsidR="00614138" w:rsidRPr="00DA249F">
        <w:rPr>
          <w:lang w:val="en-GB"/>
        </w:rPr>
        <w:t xml:space="preserve">increasingly </w:t>
      </w:r>
      <w:r w:rsidR="18794F6F" w:rsidRPr="00DA249F">
        <w:rPr>
          <w:lang w:val="en-GB"/>
        </w:rPr>
        <w:t>dominat</w:t>
      </w:r>
      <w:r w:rsidR="007A1EE2" w:rsidRPr="00DA249F">
        <w:rPr>
          <w:lang w:val="en-GB"/>
        </w:rPr>
        <w:t>ing</w:t>
      </w:r>
      <w:r w:rsidR="18794F6F" w:rsidRPr="00DA249F">
        <w:rPr>
          <w:lang w:val="en-GB"/>
        </w:rPr>
        <w:t xml:space="preserve"> landscapes. This accelerated urban growth has contributed to the extensive fragmentation</w:t>
      </w:r>
      <w:r w:rsidR="2947A7AF" w:rsidRPr="00DA249F">
        <w:rPr>
          <w:lang w:val="en-GB"/>
        </w:rPr>
        <w:t>,</w:t>
      </w:r>
      <w:r w:rsidR="00066BF9" w:rsidRPr="00DA249F">
        <w:rPr>
          <w:lang w:val="en-GB"/>
        </w:rPr>
        <w:t xml:space="preserve"> </w:t>
      </w:r>
      <w:r w:rsidR="18794F6F" w:rsidRPr="00DA249F">
        <w:rPr>
          <w:lang w:val="en-GB"/>
        </w:rPr>
        <w:t>reduction</w:t>
      </w:r>
      <w:r w:rsidR="009F7404">
        <w:rPr>
          <w:lang w:val="en-GB"/>
        </w:rPr>
        <w:t xml:space="preserve"> and</w:t>
      </w:r>
      <w:r w:rsidR="1C6AE54D" w:rsidRPr="00DA249F">
        <w:rPr>
          <w:lang w:val="en-GB"/>
        </w:rPr>
        <w:t xml:space="preserve"> degradation</w:t>
      </w:r>
      <w:r w:rsidR="18794F6F" w:rsidRPr="00DA249F">
        <w:rPr>
          <w:lang w:val="en-GB"/>
        </w:rPr>
        <w:t xml:space="preserve"> of natural </w:t>
      </w:r>
      <w:r w:rsidR="00F465F5" w:rsidRPr="00DA249F">
        <w:rPr>
          <w:lang w:val="en-GB"/>
        </w:rPr>
        <w:t>ecosystems</w:t>
      </w:r>
      <w:r w:rsidR="18794F6F" w:rsidRPr="00DA249F">
        <w:rPr>
          <w:lang w:val="en-GB"/>
        </w:rPr>
        <w:t xml:space="preserve"> worldwide</w:t>
      </w:r>
      <w:r w:rsidR="66451F42" w:rsidRPr="00DA249F">
        <w:rPr>
          <w:lang w:val="en-GB"/>
        </w:rPr>
        <w:t xml:space="preserve"> </w:t>
      </w:r>
      <w:bookmarkStart w:id="63" w:name="_Hlk126831329"/>
      <w:r w:rsidR="00C123B1" w:rsidRPr="00DA249F">
        <w:rPr>
          <w:lang w:val="en-GB"/>
        </w:rPr>
        <w:fldChar w:fldCharType="begin"/>
      </w:r>
      <w:r w:rsidR="00F5121E">
        <w:rPr>
          <w:lang w:val="en-GB"/>
        </w:rPr>
        <w:instrText xml:space="preserve"> ADDIN ZOTERO_ITEM CSL_CITATION {"citationID":"3NTxeJms","properties":{"formattedCitation":"(IPBES, 2019)","plainCitation":"(IPBES, 2019)","noteIndex":0},"citationItems":[{"id":53933,"uris":["http://zotero.org/groups/2352922/items/JYFISR8Z","http://zotero.org/groups/2352922/items/ZACZGHZL"],"itemData":{"id":53933,"type":"report","abstract":"IPBES is to perform regular and timely assessments of knowledge on biodiversity and ecosystem services and their interlinkages at the global level. Also addressing an invitation by the Conference of the Parties of the Convention on Biological Diversity (CBD) to prepare a global assessment of biodiversity and ecosystem services building, inter alia, on its own and other relevant regional, subregional and thematic assessments, as well as on national reports. The overall scope of the assessment is to assess the status and trends with regard to biodiversity and ecosystem services, the impact of biodiversity and ecosystem services on human well-being and the effectiveness of responses, including the Strategic Plan and its Aichi Biodiversity Targets. It is anticipated that this deliverable will contribute to the process for the evaluation and renewal of the Strategic Plan for Biodiversity and its Aichi Biodiversity Targets. The IPBES Global Assessment on Biodiversity and Ecosystem Services is composed of 1) a Summary for Policymakers (SPM), approved by the IPBES Plenary at its 7th session in May 2019 in Paris, France (IPBES-7); and 2) a set of six Chapters, accepted by the IPBES Plenary.","language":"en","license":"Creative Commons Attribution 4.0 International, Open Access","note":"Version Number 1\nDOI: 10.5281/ZENODO.3831673","publisher":"Secretariat of the Intergovernmental Science-Policy Platform on Biodiversity and Ecosystem Services","source":"DOI.org (Datacite)","title":"Global assessment report on biodiversity and ecosystem services of the Intergovernmental Science-Policy Platform on Biodiversity and Ecosystem Services","URL":"https://zenodo.org/record/3831673","author":[{"literal":"IPBES"}],"contributor":[{"family":"Brondizio","given":"Eduardo"},{"family":"Diaz","given":"Sandra"},{"family":"Settele","given":"Josef"},{"family":"Ngo","given":"Hien T."}],"accessed":{"date-parts":[["2023",1,5]]},"issued":{"date-parts":[["2019"]]}},"label":"page"}],"schema":"https://github.com/citation-style-language/schema/raw/master/csl-citation.json"} </w:instrText>
      </w:r>
      <w:r w:rsidR="00C123B1" w:rsidRPr="00DA249F">
        <w:rPr>
          <w:lang w:val="en-GB"/>
        </w:rPr>
        <w:fldChar w:fldCharType="separate"/>
      </w:r>
      <w:r w:rsidR="00144D96" w:rsidRPr="00144D96">
        <w:t>(IPBES, 2019)</w:t>
      </w:r>
      <w:r w:rsidR="00C123B1" w:rsidRPr="00DA249F">
        <w:rPr>
          <w:lang w:val="en-GB"/>
        </w:rPr>
        <w:fldChar w:fldCharType="end"/>
      </w:r>
      <w:bookmarkEnd w:id="63"/>
      <w:r w:rsidR="00C123B1" w:rsidRPr="00DA249F">
        <w:rPr>
          <w:lang w:val="en-GB"/>
        </w:rPr>
        <w:t xml:space="preserve"> </w:t>
      </w:r>
      <w:r w:rsidR="66451F42" w:rsidRPr="00DA249F">
        <w:rPr>
          <w:lang w:val="en-GB"/>
        </w:rPr>
        <w:t>facilitating the establishment and spread of invasive alien species</w:t>
      </w:r>
      <w:r w:rsidR="4893E9F9" w:rsidRPr="00DA249F">
        <w:rPr>
          <w:lang w:val="en-GB"/>
        </w:rPr>
        <w:t xml:space="preserve"> </w:t>
      </w:r>
      <w:r w:rsidR="0B523015" w:rsidRPr="00DA249F">
        <w:rPr>
          <w:lang w:val="en-GB"/>
        </w:rPr>
        <w:t xml:space="preserve">in urbanized areas </w:t>
      </w:r>
      <w:r w:rsidR="4893E9F9" w:rsidRPr="00DA249F">
        <w:rPr>
          <w:lang w:val="en-GB"/>
        </w:rPr>
        <w:t>(</w:t>
      </w:r>
      <w:r w:rsidR="00B70522" w:rsidRPr="00BB1AF8">
        <w:rPr>
          <w:b/>
          <w:iCs/>
          <w:lang w:val="en-GB"/>
        </w:rPr>
        <w:t xml:space="preserve">sections </w:t>
      </w:r>
      <w:r w:rsidR="4893E9F9" w:rsidRPr="00BB1AF8">
        <w:rPr>
          <w:b/>
          <w:iCs/>
          <w:lang w:val="en-GB"/>
        </w:rPr>
        <w:t>3.3.1.2</w:t>
      </w:r>
      <w:r w:rsidR="00B164FA" w:rsidRPr="00DA249F">
        <w:rPr>
          <w:i/>
          <w:iCs/>
          <w:lang w:val="en-GB"/>
        </w:rPr>
        <w:t xml:space="preserve"> </w:t>
      </w:r>
      <w:r w:rsidR="00B164FA" w:rsidRPr="00DA249F">
        <w:rPr>
          <w:lang w:val="en-GB"/>
        </w:rPr>
        <w:t xml:space="preserve">to </w:t>
      </w:r>
      <w:r w:rsidR="4893E9F9" w:rsidRPr="00BB1AF8">
        <w:rPr>
          <w:b/>
          <w:iCs/>
          <w:lang w:val="en-GB"/>
        </w:rPr>
        <w:t>3.3.1.5</w:t>
      </w:r>
      <w:r w:rsidR="4893E9F9" w:rsidRPr="00DA249F">
        <w:rPr>
          <w:lang w:val="en-GB"/>
        </w:rPr>
        <w:t>)</w:t>
      </w:r>
      <w:r w:rsidR="18794F6F" w:rsidRPr="00DA249F">
        <w:rPr>
          <w:lang w:val="en-GB"/>
        </w:rPr>
        <w:t>. Along with the increase in human population density in cities (</w:t>
      </w:r>
      <w:r w:rsidR="00B70522" w:rsidRPr="00BB1AF8">
        <w:rPr>
          <w:b/>
          <w:iCs/>
          <w:lang w:val="en-GB"/>
        </w:rPr>
        <w:t xml:space="preserve">section </w:t>
      </w:r>
      <w:r w:rsidR="18794F6F" w:rsidRPr="00BB1AF8">
        <w:rPr>
          <w:b/>
          <w:iCs/>
          <w:lang w:val="en-GB"/>
        </w:rPr>
        <w:t>3.2.2.1</w:t>
      </w:r>
      <w:r w:rsidR="18794F6F" w:rsidRPr="00DA249F">
        <w:rPr>
          <w:lang w:val="en-GB"/>
        </w:rPr>
        <w:t xml:space="preserve">), the volume, frequency and range of movement of people and goods </w:t>
      </w:r>
      <w:r w:rsidR="00F75A3B">
        <w:rPr>
          <w:lang w:val="en-GB"/>
        </w:rPr>
        <w:t xml:space="preserve">also </w:t>
      </w:r>
      <w:r w:rsidR="18794F6F" w:rsidRPr="00DA249F">
        <w:rPr>
          <w:lang w:val="en-GB"/>
        </w:rPr>
        <w:t xml:space="preserve">increases, </w:t>
      </w:r>
      <w:r w:rsidR="00FB0C34" w:rsidRPr="00DA249F">
        <w:rPr>
          <w:lang w:val="en-GB"/>
        </w:rPr>
        <w:t>as does</w:t>
      </w:r>
      <w:r w:rsidR="18794F6F" w:rsidRPr="00DA249F">
        <w:rPr>
          <w:lang w:val="en-GB"/>
        </w:rPr>
        <w:t xml:space="preserve"> trad</w:t>
      </w:r>
      <w:r w:rsidR="00A156EA" w:rsidRPr="00DA249F">
        <w:rPr>
          <w:lang w:val="en-GB"/>
        </w:rPr>
        <w:t>e</w:t>
      </w:r>
      <w:r w:rsidR="005656BF" w:rsidRPr="00DA249F">
        <w:rPr>
          <w:lang w:val="en-GB"/>
        </w:rPr>
        <w:t xml:space="preserve"> (</w:t>
      </w:r>
      <w:r w:rsidR="005656BF" w:rsidRPr="00BB1AF8">
        <w:rPr>
          <w:b/>
          <w:iCs/>
          <w:lang w:val="en-GB"/>
        </w:rPr>
        <w:t>sections 3.2.3.1</w:t>
      </w:r>
      <w:r w:rsidR="005656BF" w:rsidRPr="00BB1AF8">
        <w:rPr>
          <w:b/>
          <w:lang w:val="en-GB"/>
        </w:rPr>
        <w:t xml:space="preserve"> </w:t>
      </w:r>
      <w:r w:rsidR="00B164FA" w:rsidRPr="00BB1AF8">
        <w:rPr>
          <w:lang w:val="en-GB"/>
        </w:rPr>
        <w:t>to</w:t>
      </w:r>
      <w:r w:rsidR="005656BF" w:rsidRPr="00BB1AF8">
        <w:rPr>
          <w:b/>
          <w:lang w:val="en-GB"/>
        </w:rPr>
        <w:t xml:space="preserve"> </w:t>
      </w:r>
      <w:r w:rsidR="005656BF" w:rsidRPr="00BB1AF8">
        <w:rPr>
          <w:b/>
          <w:iCs/>
          <w:lang w:val="en-GB"/>
        </w:rPr>
        <w:t>3.2.3.4</w:t>
      </w:r>
      <w:r w:rsidR="005656BF" w:rsidRPr="00DA249F">
        <w:rPr>
          <w:lang w:val="en-GB"/>
        </w:rPr>
        <w:t xml:space="preserve">). </w:t>
      </w:r>
      <w:r w:rsidR="18794F6F" w:rsidRPr="00DA249F">
        <w:rPr>
          <w:lang w:val="en-GB"/>
        </w:rPr>
        <w:t>The movement</w:t>
      </w:r>
      <w:r w:rsidR="0057619D" w:rsidRPr="00DA249F">
        <w:rPr>
          <w:lang w:val="en-GB"/>
        </w:rPr>
        <w:t xml:space="preserve"> in people and good</w:t>
      </w:r>
      <w:r w:rsidR="18794F6F" w:rsidRPr="00DA249F">
        <w:rPr>
          <w:lang w:val="en-GB"/>
        </w:rPr>
        <w:t>s operate</w:t>
      </w:r>
      <w:r w:rsidR="0057619D" w:rsidRPr="00DA249F">
        <w:rPr>
          <w:lang w:val="en-GB"/>
        </w:rPr>
        <w:t>s</w:t>
      </w:r>
      <w:r w:rsidR="18794F6F" w:rsidRPr="00DA249F">
        <w:rPr>
          <w:lang w:val="en-GB"/>
        </w:rPr>
        <w:t xml:space="preserve"> at many scales, from local, through national and regional scales, to global networks</w:t>
      </w:r>
      <w:r w:rsidR="65C0ED20" w:rsidRPr="00DA249F">
        <w:rPr>
          <w:lang w:val="en-GB"/>
        </w:rPr>
        <w:t xml:space="preserve">, facilitating transport of invasive </w:t>
      </w:r>
      <w:r w:rsidR="002A0EE8" w:rsidRPr="00DA249F">
        <w:rPr>
          <w:lang w:val="en-GB"/>
        </w:rPr>
        <w:t xml:space="preserve">alien </w:t>
      </w:r>
      <w:r w:rsidR="65C0ED20" w:rsidRPr="00DA249F">
        <w:rPr>
          <w:lang w:val="en-GB"/>
        </w:rPr>
        <w:t xml:space="preserve">species </w:t>
      </w:r>
      <w:r w:rsidR="00F75A3B">
        <w:rPr>
          <w:lang w:val="en-GB"/>
        </w:rPr>
        <w:t>at all</w:t>
      </w:r>
      <w:r w:rsidR="65C0ED20" w:rsidRPr="00DA249F">
        <w:rPr>
          <w:lang w:val="en-GB"/>
        </w:rPr>
        <w:t xml:space="preserve"> scales</w:t>
      </w:r>
      <w:r w:rsidR="0065176D" w:rsidRPr="00DA249F">
        <w:rPr>
          <w:lang w:val="en-GB"/>
        </w:rPr>
        <w:t>.</w:t>
      </w:r>
      <w:r w:rsidR="18794F6F" w:rsidRPr="00DA249F">
        <w:rPr>
          <w:lang w:val="en-GB"/>
        </w:rPr>
        <w:t xml:space="preserve"> </w:t>
      </w:r>
    </w:p>
    <w:p w14:paraId="0C7AC352" w14:textId="62C900AE" w:rsidR="00EE7290" w:rsidRPr="00DA249F" w:rsidRDefault="00B83F25" w:rsidP="00EE7290">
      <w:pPr>
        <w:rPr>
          <w:lang w:val="en-GB"/>
        </w:rPr>
      </w:pPr>
      <w:r w:rsidRPr="00BB1AF8">
        <w:rPr>
          <w:rStyle w:val="normaltextrun"/>
          <w:lang w:val="en-GB"/>
        </w:rPr>
        <w:t xml:space="preserve">In a global review of </w:t>
      </w:r>
      <w:r w:rsidRPr="00BB1AF8">
        <w:rPr>
          <w:lang w:val="en-GB"/>
        </w:rPr>
        <w:t>invas</w:t>
      </w:r>
      <w:r w:rsidRPr="00DA249F">
        <w:rPr>
          <w:lang w:val="en-GB"/>
        </w:rPr>
        <w:t>ive alien plants, vertebrates</w:t>
      </w:r>
      <w:r w:rsidR="009F7404">
        <w:rPr>
          <w:lang w:val="en-GB"/>
        </w:rPr>
        <w:t xml:space="preserve"> and</w:t>
      </w:r>
      <w:r w:rsidRPr="00DA249F">
        <w:rPr>
          <w:lang w:val="en-GB"/>
        </w:rPr>
        <w:t xml:space="preserve"> invertebrates on islands</w:t>
      </w:r>
      <w:r w:rsidR="007B3464">
        <w:rPr>
          <w:lang w:val="en-GB"/>
        </w:rPr>
        <w:t xml:space="preserve"> (749 alien species in total)</w:t>
      </w:r>
      <w:r w:rsidRPr="00DA249F">
        <w:rPr>
          <w:lang w:val="en-GB"/>
        </w:rPr>
        <w:t xml:space="preserve">, urban areas had consistently higher abundances of alien species compared to natural </w:t>
      </w:r>
      <w:r w:rsidR="00F465F5" w:rsidRPr="00DA249F">
        <w:rPr>
          <w:lang w:val="en-GB"/>
        </w:rPr>
        <w:t>ecosystems</w:t>
      </w:r>
      <w:r w:rsidRPr="00DA249F">
        <w:rPr>
          <w:lang w:val="en-GB"/>
        </w:rPr>
        <w:t xml:space="preserve"> </w:t>
      </w:r>
      <w:r w:rsidRPr="00DA249F">
        <w:rPr>
          <w:lang w:val="en-GB"/>
        </w:rPr>
        <w:fldChar w:fldCharType="begin"/>
      </w:r>
      <w:r w:rsidR="00331A79">
        <w:rPr>
          <w:lang w:val="en-GB"/>
        </w:rPr>
        <w:instrText xml:space="preserve"> ADDIN ZOTERO_ITEM CSL_CITATION {"citationID":"m1iIZtFN","properties":{"formattedCitation":"(S\\uc0\\u225{}nchez-Ortiz et al., 2020)","plainCitation":"(Sánchez-Ortiz et al., 2020)","noteIndex":0},"citationItems":[{"id":33032,"uris":["http://zotero.org/groups/2352922/items/MCB4QRGU"],"itemData":{"id":33032,"type":"article-journal","abstract":"Island species and habitats are particularly vulnerable to human disturbances, and anthropogenic changes are increasingly overwriting natural island biogeographic patterns. However, quantitative comparisons of how native and alien assemblages respond to human disturbances are scarce. Using data from 6,242 species of vertebrates, invertebrates and plants, from 7,718 sites on 81 islands, we model how land-use change, human population density and distance to the nearest road affect local assemblages of alien and native species on islands. We found that land-use change reduces both richness and abundance of native species, whereas the number and abundance of alien species are high in plantation forests and agricultural or urban sites. In contrast to the long-established pattern for native species (i.e., decline in species number with island isolation), more isolated islands have more alien species across most land uses than do less isolated islands. We show that alien species play a major role in the turnover of island assemblages: our models show that aliens outnumber natives among the species present at disturbed sites but absent from minimally-disturbed primary vegetation. Finally, we found a homogenization pattern for both native and alien assemblages across sites within most land uses. The declines of native species on islands in the face of human pressures, and the particular proneness to invasions of the more remote islands, highlight the need to reduce the intensity of human pressures on islands and to prevent the introduction and establishment of alien species.","container-title":"PLoS ONE","DOI":"10.1371/journal.pone.0227169","ISSN":"1932-6203","issue":"12","journalAbbreviation":"PLOS ONE","language":"en","note":"number: 12\npublisher: Public Library of Science","page":"e0227169","source":"PLoS Journals","title":"Effects of land-use change and related pressures on alien and native subsets of island communities","URL":"https://journals.plos.org/plosone/article?id=10.1371/journal.pone.0227169","volume":"15","author":[{"family":"Sánchez-Ortiz","given":"Katia"},{"family":"Taylor","given":"Kara J. M."},{"family":"Palma","given":"Adriana De"},{"family":"Essl","given":"Franz"},{"family":"Dawson","given":"Wayne"},{"family":"Kreft","given":"Holger"},{"family":"Pergl","given":"Jan"},{"family":"Pyšek","given":"Petr"},{"family":"Kleunen","given":"Mark","dropping-particle":"van"},{"family":"Weigelt","given":"Patrick"},{"family":"Purvis","given":"Andy"}],"accessed":{"date-parts":[["2021",12,7]]},"issued":{"date-parts":[["2020",12,3]]}}}],"schema":"https://github.com/citation-style-language/schema/raw/master/csl-citation.json"} </w:instrText>
      </w:r>
      <w:r w:rsidRPr="00DA249F">
        <w:rPr>
          <w:lang w:val="en-GB"/>
        </w:rPr>
        <w:fldChar w:fldCharType="separate"/>
      </w:r>
      <w:r w:rsidR="00144D96" w:rsidRPr="00144D96">
        <w:rPr>
          <w:szCs w:val="24"/>
        </w:rPr>
        <w:t>(Sánchez-Ortiz et al., 2020)</w:t>
      </w:r>
      <w:r w:rsidRPr="00DA249F">
        <w:rPr>
          <w:lang w:val="en-GB"/>
        </w:rPr>
        <w:fldChar w:fldCharType="end"/>
      </w:r>
      <w:r w:rsidRPr="00DA249F">
        <w:rPr>
          <w:lang w:val="en-GB"/>
        </w:rPr>
        <w:t xml:space="preserve">. </w:t>
      </w:r>
      <w:r w:rsidR="00EE7290" w:rsidRPr="00DA249F">
        <w:rPr>
          <w:lang w:val="en-GB"/>
        </w:rPr>
        <w:t>Urban areas ar</w:t>
      </w:r>
      <w:r w:rsidR="00B62551" w:rsidRPr="00DA249F">
        <w:rPr>
          <w:lang w:val="en-GB"/>
        </w:rPr>
        <w:t>e</w:t>
      </w:r>
      <w:r w:rsidR="00EE7290" w:rsidRPr="00DA249F">
        <w:rPr>
          <w:lang w:val="en-GB"/>
        </w:rPr>
        <w:t xml:space="preserve"> cent</w:t>
      </w:r>
      <w:r w:rsidR="00A154DE" w:rsidRPr="00DA249F">
        <w:rPr>
          <w:lang w:val="en-GB"/>
        </w:rPr>
        <w:t>re</w:t>
      </w:r>
      <w:r w:rsidR="00EE7290" w:rsidRPr="00DA249F">
        <w:rPr>
          <w:lang w:val="en-GB"/>
        </w:rPr>
        <w:t xml:space="preserve">s of transport and travel, facilitating breakdown of biogeographic barriers and high rates of introduction of invasive alien species into urban habitats </w:t>
      </w:r>
      <w:r w:rsidR="00EE7290" w:rsidRPr="00DA249F">
        <w:rPr>
          <w:lang w:val="en-GB"/>
        </w:rPr>
        <w:fldChar w:fldCharType="begin"/>
      </w:r>
      <w:r w:rsidR="00331A79">
        <w:rPr>
          <w:lang w:val="en-GB"/>
        </w:rPr>
        <w:instrText xml:space="preserve"> ADDIN ZOTERO_ITEM CSL_CITATION {"citationID":"StUWwk96","properties":{"formattedCitation":"(Banks et al., 2015)","plainCitation":"(Banks et al., 2015)","noteIndex":0},"citationItems":[{"id":28781,"uris":["http://zotero.org/groups/2352922/items/F9DZM8LW"],"itemData":{"id":28781,"type":"article-journal","abstract":"More people and goods are moving further and more frequently via many different trade and transport networks under current trends of globalisation. These networks can play a major role in the unintended introduction of exotic species to new locations. With the continuing rise in global trade, more research attention is being focused on the role of networks in the spread of invasive species. This represents an emerging ﬁeld of research in invasion science and the substantial knowledge being generated within other disciplines can provide ecologists with new tools with which to study invasions. For the ﬁrst time, we synthesise studies from several perspectives, approaches and disciplines to derive the fundamental characteristics of network topology determining the likelihood of spread of organisms via trade and transport networks. These characteristics can be used to identify critical points of vulnerability within these networks and enable the development of more effective strategies to prevent invasions.","container-title":"Ecology Letters","DOI":"10.1111/ele.12397","ISSN":"1461023X","issue":"2","journalAbbreviation":"Ecol Lett","language":"en","page":"188-199","source":"DOI.org (Crossref)","title":"The role of global trade and transport network topology in the human-mediated dispersal of alien species","URL":"http://doi.wiley.com/10.1111/ele.12397","volume":"18","author":[{"family":"Banks","given":"Natalie Clare"},{"family":"Paini","given":"Dean Ronald"},{"family":"Bayliss","given":"Kirsty Louise"},{"family":"Hodda","given":"Michael"}],"editor":[{"family":"Vilà","given":"Montserrat"}],"accessed":{"date-parts":[["2019",10,15]]},"issued":{"date-parts":[["2015",2]]}}}],"schema":"https://github.com/citation-style-language/schema/raw/master/csl-citation.json"} </w:instrText>
      </w:r>
      <w:r w:rsidR="00EE7290" w:rsidRPr="00DA249F">
        <w:rPr>
          <w:lang w:val="en-GB"/>
        </w:rPr>
        <w:fldChar w:fldCharType="separate"/>
      </w:r>
      <w:r w:rsidR="00144D96" w:rsidRPr="00144D96">
        <w:t>(Banks et al., 2015)</w:t>
      </w:r>
      <w:r w:rsidR="00EE7290" w:rsidRPr="00DA249F">
        <w:rPr>
          <w:lang w:val="en-GB"/>
        </w:rPr>
        <w:fldChar w:fldCharType="end"/>
      </w:r>
      <w:r w:rsidR="00EE7290" w:rsidRPr="00DA249F">
        <w:rPr>
          <w:lang w:val="en-GB"/>
        </w:rPr>
        <w:t xml:space="preserve">. Accordingly, the richness of alien plants in urbanized areas is related to factors such as length of railroads and roads, and the size of the urbanized area </w:t>
      </w:r>
      <w:r w:rsidR="00573E7A" w:rsidRPr="00DA249F">
        <w:rPr>
          <w:lang w:val="en-GB"/>
        </w:rPr>
        <w:fldChar w:fldCharType="begin"/>
      </w:r>
      <w:r w:rsidR="00331A79">
        <w:rPr>
          <w:lang w:val="en-GB"/>
        </w:rPr>
        <w:instrText xml:space="preserve"> ADDIN ZOTERO_ITEM CSL_CITATION {"citationID":"AoTwzwrg","properties":{"formattedCitation":"(K\\uc0\\u252{}hn et al., 2017)","plainCitation":"(Kühn et al., 2017)","noteIndex":0},"citationItems":[{"id":29000,"uris":["http://zotero.org/groups/2352922/items/IT7S9FTA"],"itemData":{"id":29000,"type":"article-journal","container-title":"Biological Invasions","DOI":"10.1007/s10530-017-1591-1","ISSN":"1387-3547, 1573-1464","issue":"12","journalAbbreviation":"Biol Invasions","language":"en","page":"3505-3513","source":"DOI.org (Crossref)","title":"Is there an urban effect in alien plant invasions?","URL":"http://link.springer.com/10.1007/s10530-017-1591-1","volume":"19","author":[{"family":"Kühn","given":"Ingolf"},{"family":"Wolf","given":"Janis"},{"family":"Schneider","given":"Aline"}],"accessed":{"date-parts":[["2020",5,10]]},"issued":{"date-parts":[["2017",12]]}}}],"schema":"https://github.com/citation-style-language/schema/raw/master/csl-citation.json"} </w:instrText>
      </w:r>
      <w:r w:rsidR="00573E7A" w:rsidRPr="00DA249F">
        <w:rPr>
          <w:lang w:val="en-GB"/>
        </w:rPr>
        <w:fldChar w:fldCharType="separate"/>
      </w:r>
      <w:r w:rsidR="00144D96" w:rsidRPr="00144D96">
        <w:rPr>
          <w:szCs w:val="24"/>
        </w:rPr>
        <w:t>(Kühn et al., 2017)</w:t>
      </w:r>
      <w:r w:rsidR="00573E7A" w:rsidRPr="00DA249F">
        <w:rPr>
          <w:lang w:val="en-GB"/>
        </w:rPr>
        <w:fldChar w:fldCharType="end"/>
      </w:r>
      <w:r w:rsidR="00EE7290" w:rsidRPr="00DA249F">
        <w:rPr>
          <w:lang w:val="en-GB"/>
        </w:rPr>
        <w:t>.</w:t>
      </w:r>
      <w:r w:rsidR="00F641AE">
        <w:rPr>
          <w:lang w:val="en-GB"/>
        </w:rPr>
        <w:t xml:space="preserve"> </w:t>
      </w:r>
      <w:r w:rsidR="00EE7290" w:rsidRPr="00DA249F">
        <w:rPr>
          <w:lang w:val="en-GB"/>
        </w:rPr>
        <w:t>However, pathways vary across taxonomic groups,</w:t>
      </w:r>
      <w:r w:rsidR="00F641AE">
        <w:rPr>
          <w:lang w:val="en-GB"/>
        </w:rPr>
        <w:t xml:space="preserve"> with</w:t>
      </w:r>
      <w:r w:rsidR="00EE7290" w:rsidRPr="00DA249F">
        <w:rPr>
          <w:lang w:val="en-GB"/>
        </w:rPr>
        <w:t xml:space="preserve"> escape from containment in homes or </w:t>
      </w:r>
      <w:r w:rsidR="55F509A9" w:rsidRPr="00DA249F">
        <w:rPr>
          <w:lang w:val="en-GB"/>
        </w:rPr>
        <w:t>gardens</w:t>
      </w:r>
      <w:r w:rsidR="00F641AE">
        <w:rPr>
          <w:lang w:val="en-GB"/>
        </w:rPr>
        <w:t xml:space="preserve"> being</w:t>
      </w:r>
      <w:r w:rsidR="00EE7290" w:rsidRPr="00DA249F">
        <w:rPr>
          <w:lang w:val="en-GB"/>
        </w:rPr>
        <w:t xml:space="preserve"> the most likely source of invasive </w:t>
      </w:r>
      <w:r w:rsidR="00635958" w:rsidRPr="00DA249F">
        <w:rPr>
          <w:lang w:val="en-GB"/>
        </w:rPr>
        <w:t xml:space="preserve">alien </w:t>
      </w:r>
      <w:r w:rsidR="00EE7290" w:rsidRPr="00DA249F">
        <w:rPr>
          <w:lang w:val="en-GB"/>
        </w:rPr>
        <w:t>plants and vertebrates in urban areas, whereas invertebrates are likely to arrive as stowaway</w:t>
      </w:r>
      <w:r w:rsidR="00F641AE">
        <w:rPr>
          <w:lang w:val="en-GB"/>
        </w:rPr>
        <w:t>s</w:t>
      </w:r>
      <w:r w:rsidR="00EE7290" w:rsidRPr="00DA249F">
        <w:rPr>
          <w:lang w:val="en-GB"/>
        </w:rPr>
        <w:t xml:space="preserve"> or contaminants </w:t>
      </w:r>
      <w:r w:rsidR="00F641AE">
        <w:rPr>
          <w:lang w:val="en-GB"/>
        </w:rPr>
        <w:t>in</w:t>
      </w:r>
      <w:r w:rsidR="00F641AE" w:rsidRPr="00DA249F">
        <w:rPr>
          <w:lang w:val="en-GB"/>
        </w:rPr>
        <w:t xml:space="preserve"> </w:t>
      </w:r>
      <w:r w:rsidR="00EE7290" w:rsidRPr="00DA249F">
        <w:rPr>
          <w:lang w:val="en-GB"/>
        </w:rPr>
        <w:t xml:space="preserve">transported goods </w:t>
      </w:r>
      <w:r w:rsidR="00EE7290" w:rsidRPr="00DA249F">
        <w:rPr>
          <w:lang w:val="en-GB"/>
        </w:rPr>
        <w:fldChar w:fldCharType="begin"/>
      </w:r>
      <w:r w:rsidR="00331A79">
        <w:rPr>
          <w:lang w:val="en-GB"/>
        </w:rPr>
        <w:instrText xml:space="preserve"> ADDIN ZOTERO_ITEM CSL_CITATION {"citationID":"IudX6zpS","properties":{"formattedCitation":"(Padayachee et al., 2017)","plainCitation":"(Padayachee et al., 2017)","noteIndex":0},"citationItems":[{"id":29205,"uris":["http://zotero.org/groups/2352922/items/AVTZNGZ6"],"itemData":{"id":29205,"type":"article-journal","abstract":"Globalisation has resulted in the movement of organisms outside their natural range, often with negative ecological and economic consequences. As cities are hubs of anthropogenic activities, with both highly transformed and disturbed environments, these areas are often the first point of entry for alien species. We compiled a global database of cities with more than one million inhabitants that data had on alien species occurrence. We then identified the most prominent pathways of introduction and vectors of spread of alien species in these cities. Most species were intentionally introduced to cities and were released or escaped from confinement. The majority of alien species then spread within cities through natural means (primarily unaided dispersal). Pathway prominence varied across the taxonomic groups of alien species: the most prominent pathway for plants and vertebrates was the escape pathway; for invertebrates the stowaway and contaminant pathways were most likely to facilitate introductions. For some organisms, pathway prominence varied with the geographical and climatic characteristics of the city. The characteristics of the cities also influenced the prominence of vectors of spread for alien species. Preventing the natural spread of alien species within cities, and into adjacent natural environments will be, at best, difficult. To prevent invasions, both the intentional and unintentional introduction of potentially harmful alien species to cities must be prevented. The pathways of introduction and vectors of spread identified here should be prioritised for management.","container-title":"Biological Invasions","DOI":"10.1007/s10530-017-1596-9","ISSN":"1573-1464","issue":"12","journalAbbreviation":"Biol Invasions","language":"en","page":"3557-3570","source":"Springer Link","title":"How do invasive species travel to and through urban environments?","URL":"https://doi.org/10.1007/s10530-017-1596-9","volume":"19","author":[{"family":"Padayachee","given":"Ashlyn L."},{"family":"Irlich","given":"Ulrike M."},{"family":"Faulkner","given":"Katelyn T."},{"family":"Gaertner","given":"Mirijam"},{"family":"Procheş","given":"Şerban"},{"family":"Wilson","given":"John R. U."},{"family":"Rouget","given":"Mathieu"}],"accessed":{"date-parts":[["2020",8,15]]},"issued":{"date-parts":[["2017",12,1]]}}}],"schema":"https://github.com/citation-style-language/schema/raw/master/csl-citation.json"} </w:instrText>
      </w:r>
      <w:r w:rsidR="00EE7290" w:rsidRPr="00DA249F">
        <w:rPr>
          <w:lang w:val="en-GB"/>
        </w:rPr>
        <w:fldChar w:fldCharType="separate"/>
      </w:r>
      <w:r w:rsidR="00144D96" w:rsidRPr="00144D96">
        <w:t>(Padayachee et al., 2017)</w:t>
      </w:r>
      <w:r w:rsidR="00EE7290" w:rsidRPr="00DA249F">
        <w:rPr>
          <w:lang w:val="en-GB"/>
        </w:rPr>
        <w:fldChar w:fldCharType="end"/>
      </w:r>
      <w:r w:rsidR="00EE7290" w:rsidRPr="00DA249F">
        <w:rPr>
          <w:lang w:val="en-GB"/>
        </w:rPr>
        <w:t xml:space="preserve">. </w:t>
      </w:r>
      <w:r w:rsidR="006B4F13" w:rsidRPr="00DA249F">
        <w:rPr>
          <w:lang w:val="en-GB"/>
        </w:rPr>
        <w:t xml:space="preserve">Many invasive alien species </w:t>
      </w:r>
      <w:r w:rsidR="00913F67" w:rsidRPr="00DA249F">
        <w:rPr>
          <w:lang w:val="en-GB"/>
        </w:rPr>
        <w:t>have</w:t>
      </w:r>
      <w:r w:rsidR="006B4F13" w:rsidRPr="00DA249F">
        <w:rPr>
          <w:lang w:val="en-GB"/>
        </w:rPr>
        <w:t xml:space="preserve"> generalist or opportunistic </w:t>
      </w:r>
      <w:r w:rsidR="00913F67" w:rsidRPr="00DA249F">
        <w:rPr>
          <w:lang w:val="en-GB"/>
        </w:rPr>
        <w:t>traits</w:t>
      </w:r>
      <w:r w:rsidR="006B4F13" w:rsidRPr="00DA249F">
        <w:rPr>
          <w:lang w:val="en-GB"/>
        </w:rPr>
        <w:t>, and u</w:t>
      </w:r>
      <w:r w:rsidRPr="00DA249F">
        <w:rPr>
          <w:lang w:val="en-GB"/>
        </w:rPr>
        <w:t xml:space="preserve">rban areas </w:t>
      </w:r>
      <w:r w:rsidR="006B4F13" w:rsidRPr="00DA249F">
        <w:rPr>
          <w:lang w:val="en-GB"/>
        </w:rPr>
        <w:t xml:space="preserve">may </w:t>
      </w:r>
      <w:r w:rsidRPr="00DA249F">
        <w:rPr>
          <w:lang w:val="en-GB"/>
        </w:rPr>
        <w:t xml:space="preserve">provide suitable environments and novel opportunities for </w:t>
      </w:r>
      <w:r w:rsidR="006B4F13" w:rsidRPr="00DA249F">
        <w:rPr>
          <w:lang w:val="en-GB"/>
        </w:rPr>
        <w:t xml:space="preserve">their </w:t>
      </w:r>
      <w:r w:rsidRPr="00DA249F">
        <w:rPr>
          <w:lang w:val="en-GB"/>
        </w:rPr>
        <w:t xml:space="preserve">establishment and spread. </w:t>
      </w:r>
      <w:r w:rsidR="00C64CE4" w:rsidRPr="00DA249F">
        <w:rPr>
          <w:lang w:val="en-GB"/>
        </w:rPr>
        <w:t xml:space="preserve">In the case of birds, for example, urban environments offer opportunities for species with flexible foraging strategies to </w:t>
      </w:r>
      <w:r w:rsidR="00C819EE">
        <w:rPr>
          <w:lang w:val="en-GB"/>
        </w:rPr>
        <w:t xml:space="preserve">adopt </w:t>
      </w:r>
      <w:r w:rsidR="00C64CE4" w:rsidRPr="00DA249F">
        <w:rPr>
          <w:lang w:val="en-GB"/>
        </w:rPr>
        <w:t xml:space="preserve">novel food sources; favouring invasive alien birds that tend to be more flexible in their behavioural traits relative to native species </w:t>
      </w:r>
      <w:r w:rsidR="00C64CE4" w:rsidRPr="00DA249F">
        <w:rPr>
          <w:lang w:val="en-GB"/>
        </w:rPr>
        <w:fldChar w:fldCharType="begin"/>
      </w:r>
      <w:r w:rsidR="00331A79">
        <w:rPr>
          <w:lang w:val="en-GB"/>
        </w:rPr>
        <w:instrText xml:space="preserve"> ADDIN ZOTERO_ITEM CSL_CITATION {"citationID":"WoLzSaIs","properties":{"formattedCitation":"(Griffin et al., 2017)","plainCitation":"(Griffin et al., 2017)","noteIndex":0},"citationItems":[{"id":17216,"uris":["http://zotero.org/groups/2352922/items/NG3PT9WK"],"itemData":{"id":17216,"type":"article-journal","container-title":"Current Opinion in Behavioral Sciences","DOI":"10.1016/j.cobeha.2017.01.004","ISSN":"23521546","journalAbbreviation":"Current Opinion in Behavioral Sciences","language":"en","page":"15-22","source":"DOI.org (Crossref)","title":"Neophilia, innovation and learning in an urbanized world: a critical evaluation of mixed findings","title-short":"Neophilia, innovation and learning in an urbanized world","URL":"https://linkinghub.elsevier.com/retrieve/pii/S2352154616301954","volume":"16","author":[{"family":"Griffin","given":"Andrea S"},{"family":"Netto","given":"Keilah"},{"family":"Peneaux","given":"Chloe"}],"accessed":{"date-parts":[["2019",10,11]]},"issued":{"date-parts":[["2017",8]]}}}],"schema":"https://github.com/citation-style-language/schema/raw/master/csl-citation.json"} </w:instrText>
      </w:r>
      <w:r w:rsidR="00C64CE4" w:rsidRPr="00DA249F">
        <w:rPr>
          <w:lang w:val="en-GB"/>
        </w:rPr>
        <w:fldChar w:fldCharType="separate"/>
      </w:r>
      <w:r w:rsidR="00144D96" w:rsidRPr="00144D96">
        <w:t>(Griffin et al., 2017)</w:t>
      </w:r>
      <w:r w:rsidR="00C64CE4" w:rsidRPr="00DA249F">
        <w:rPr>
          <w:lang w:val="en-GB"/>
        </w:rPr>
        <w:fldChar w:fldCharType="end"/>
      </w:r>
      <w:r w:rsidR="00C64CE4" w:rsidRPr="00DA249F">
        <w:rPr>
          <w:lang w:val="en-GB"/>
        </w:rPr>
        <w:t>. Similarly, for plants, the increased disturbance (</w:t>
      </w:r>
      <w:r w:rsidR="00C64CE4" w:rsidRPr="00BB1AF8">
        <w:rPr>
          <w:b/>
          <w:iCs/>
          <w:lang w:val="en-GB"/>
        </w:rPr>
        <w:t>section 3.3.1</w:t>
      </w:r>
      <w:r w:rsidR="00C64CE4" w:rsidRPr="00DA249F">
        <w:rPr>
          <w:lang w:val="en-GB"/>
        </w:rPr>
        <w:t xml:space="preserve">), pollution and nutrient </w:t>
      </w:r>
      <w:r w:rsidR="78D74977" w:rsidRPr="00DA249F">
        <w:rPr>
          <w:lang w:val="en-GB"/>
        </w:rPr>
        <w:t>availability</w:t>
      </w:r>
      <w:r w:rsidR="00C64CE4" w:rsidRPr="00DA249F">
        <w:rPr>
          <w:lang w:val="en-GB"/>
        </w:rPr>
        <w:t xml:space="preserve"> (</w:t>
      </w:r>
      <w:r w:rsidR="00C64CE4" w:rsidRPr="00BB1AF8">
        <w:rPr>
          <w:b/>
          <w:iCs/>
          <w:lang w:val="en-GB"/>
        </w:rPr>
        <w:t>section 3.3.3</w:t>
      </w:r>
      <w:r w:rsidR="00C64CE4" w:rsidRPr="00DA249F">
        <w:rPr>
          <w:lang w:val="en-GB"/>
        </w:rPr>
        <w:t>), and climate warming (</w:t>
      </w:r>
      <w:r w:rsidR="00C64CE4" w:rsidRPr="00BB1AF8">
        <w:rPr>
          <w:b/>
          <w:iCs/>
          <w:lang w:val="en-GB"/>
        </w:rPr>
        <w:t>section 3.3.4</w:t>
      </w:r>
      <w:r w:rsidR="00C64CE4" w:rsidRPr="00DA249F">
        <w:rPr>
          <w:lang w:val="en-GB"/>
        </w:rPr>
        <w:t xml:space="preserve">) associated with urbanization generate opportunities for alien species, many of which are habitat generalists and/or disturbance and high-nutrient habitat specialists. </w:t>
      </w:r>
      <w:r w:rsidR="00EE7290" w:rsidRPr="00DA249F">
        <w:rPr>
          <w:lang w:val="en-GB"/>
        </w:rPr>
        <w:t xml:space="preserve">The number of invasive alien species in urban areas is predicted to increase further due to an increase in propagule pressure and opportunities for </w:t>
      </w:r>
      <w:r w:rsidR="00EE7290" w:rsidRPr="00DA249F">
        <w:rPr>
          <w:lang w:val="en-GB"/>
        </w:rPr>
        <w:lastRenderedPageBreak/>
        <w:t xml:space="preserve">the spread and establishment associated with increased global trade, intentional release of alien species, land-use intensification, urbanization and climate change </w:t>
      </w:r>
      <w:r w:rsidR="00EE7290" w:rsidRPr="00DA249F">
        <w:rPr>
          <w:lang w:val="en-GB"/>
        </w:rPr>
        <w:fldChar w:fldCharType="begin"/>
      </w:r>
      <w:r w:rsidR="00331A79">
        <w:rPr>
          <w:lang w:val="en-GB"/>
        </w:rPr>
        <w:instrText xml:space="preserve"> ADDIN ZOTERO_ITEM CSL_CITATION {"citationID":"l0031vHA","properties":{"formattedCitation":"(Dawson et al., 2017)","plainCitation":"(Dawson et al., 2017)","noteIndex":0},"citationItems":[{"id":28835,"uris":["http://zotero.org/groups/2352922/items/NJYZEFXF"],"itemData":{"id":28835,"type":"article-journal","abstract":"Human-mediated transport beyond biogeographic barriers has led to the introduction and establishment of alien species in new regions worldwide. However, we lack a global picture of established alien species richness for multiple taxonomic groups. Here, we assess global patterns and potential drivers of established alien species richness across eight taxonomic groups (amphibians, ants, birds, freshwater fishes, mammals, vascular plants, reptiles and spiders) for 186 islands and 423 mainland regions. Hotspots of established alien species richness are predominantly island and coastal mainland regions. Regions with greater gross domestic product per capita, human population density, and area have higher established alien richness, with strongest effects emerging for islands. Ants and reptiles, birds and mammals, and vascular plants and spiders form pairs of taxonomic groups with the highest spatial congruence in established alien richness, but drivers explaining richness differ between the taxa in each pair. Across all taxonomic groups, our results highlight the need to prioritize prevention of further alien species introductions to island and coastal mainland regions globally.","container-title":"Nature Ecology &amp; Evolution","DOI":"10.1038/s41559-017-0186","ISSN":"2397-334X","issue":"7","journalAbbreviation":"Nat Ecol Evol","language":"en","license":"2017 Nature Publishing Group","page":"0186","source":"www.nature.com","title":"Global hotspots and correlates of alien species richness across taxonomic groups","URL":"https://doi.org/10.1038/s41559-017-0186","volume":"1","author":[{"family":"Dawson","given":"Wayne"},{"family":"Moser","given":"Dietmar"},{"family":"Kleunen","given":"Mark","non-dropping-particle":"van"},{"family":"Kreft","given":"Holger"},{"family":"Pergl","given":"Jan"},{"family":"Pyšek","given":"Petr"},{"family":"Weigelt","given":"Patrick"},{"family":"Winter","given":"Marten"},{"family":"Lenzner","given":"Bernd"},{"family":"Blackburn","given":"Tim M."},{"family":"Dyer","given":"Ellie E."},{"family":"Cassey","given":"Phillip"},{"family":"Scrivens","given":"Sally L."},{"family":"Economo","given":"Evan P."},{"family":"Guénard","given":"Benoit"},{"family":"Capinha","given":"César"},{"family":"Seebens","given":"Hanno"},{"family":"García-Díaz","given":"Pablo"},{"family":"Nentwig","given":"Wolfgang"},{"family":"García-Berthou","given":"Emili"},{"family":"Casal","given":"Christine"},{"family":"Mandrak","given":"Nicholas E."},{"family":"Fuller","given":"Pam"},{"family":"Meyer","given":"Carsten"},{"family":"Essl","given":"Franz"}],"accessed":{"date-parts":[["2019",10,24]]},"issued":{"date-parts":[["2017",7]]}}}],"schema":"https://github.com/citation-style-language/schema/raw/master/csl-citation.json"} </w:instrText>
      </w:r>
      <w:r w:rsidR="00EE7290" w:rsidRPr="00DA249F">
        <w:rPr>
          <w:lang w:val="en-GB"/>
        </w:rPr>
        <w:fldChar w:fldCharType="separate"/>
      </w:r>
      <w:r w:rsidR="00144D96" w:rsidRPr="00144D96">
        <w:t>(Dawson et al., 2017)</w:t>
      </w:r>
      <w:r w:rsidR="00EE7290" w:rsidRPr="00DA249F">
        <w:rPr>
          <w:lang w:val="en-GB"/>
        </w:rPr>
        <w:fldChar w:fldCharType="end"/>
      </w:r>
      <w:r w:rsidR="00EE7290" w:rsidRPr="00DA249F">
        <w:rPr>
          <w:lang w:val="en-GB"/>
        </w:rPr>
        <w:t xml:space="preserve">. </w:t>
      </w:r>
    </w:p>
    <w:p w14:paraId="5CA3EA71" w14:textId="0ED9F5DA" w:rsidR="00EE7290" w:rsidRPr="00DA249F" w:rsidRDefault="7CBF631E" w:rsidP="00EE7290">
      <w:pPr>
        <w:rPr>
          <w:lang w:val="en-GB"/>
        </w:rPr>
      </w:pPr>
      <w:r w:rsidRPr="5575EBFC">
        <w:rPr>
          <w:lang w:val="en-GB"/>
        </w:rPr>
        <w:t>In some cases, urban areas are a focus for the spread into the wider environment and may have major implications for Indigenous</w:t>
      </w:r>
      <w:r w:rsidR="11D06B00" w:rsidRPr="5575EBFC">
        <w:rPr>
          <w:lang w:val="en-GB"/>
        </w:rPr>
        <w:t xml:space="preserve"> Peoples</w:t>
      </w:r>
      <w:r w:rsidRPr="5575EBFC">
        <w:rPr>
          <w:lang w:val="en-GB"/>
        </w:rPr>
        <w:t xml:space="preserve"> and local communities</w:t>
      </w:r>
      <w:r w:rsidR="453101CA" w:rsidRPr="5575EBFC">
        <w:rPr>
          <w:lang w:val="en-GB"/>
        </w:rPr>
        <w:t>, as in the case of Montr</w:t>
      </w:r>
      <w:r w:rsidR="3DFC213C" w:rsidRPr="5575EBFC">
        <w:rPr>
          <w:lang w:val="en-GB"/>
        </w:rPr>
        <w:t>é</w:t>
      </w:r>
      <w:r w:rsidR="453101CA" w:rsidRPr="5575EBFC">
        <w:rPr>
          <w:lang w:val="en-GB"/>
        </w:rPr>
        <w:t>al,</w:t>
      </w:r>
      <w:r w:rsidRPr="5575EBFC">
        <w:rPr>
          <w:lang w:val="en-GB"/>
        </w:rPr>
        <w:t xml:space="preserve"> </w:t>
      </w:r>
      <w:bookmarkStart w:id="64" w:name="_Hlk126831479"/>
      <w:r w:rsidR="453101CA" w:rsidRPr="5575EBFC">
        <w:rPr>
          <w:lang w:val="en-GB"/>
        </w:rPr>
        <w:t xml:space="preserve">where wetlands are invaded by invasive alien species due to clearing and filling activities occurring around Indigenous lands </w:t>
      </w:r>
      <w:r w:rsidR="00EE7290" w:rsidRPr="5575EBFC">
        <w:rPr>
          <w:lang w:val="en-GB"/>
        </w:rPr>
        <w:fldChar w:fldCharType="begin"/>
      </w:r>
      <w:r w:rsidR="00F5121E">
        <w:rPr>
          <w:lang w:val="en-GB"/>
        </w:rPr>
        <w:instrText xml:space="preserve"> ADDIN ZOTERO_ITEM CSL_CITATION {"citationID":"VxeiatVR","properties":{"formattedCitation":"(IPBES, 2022b)","plainCitation":"(IPBES, 2022b)","noteIndex":0},"citationItems":[{"id":53340,"uris":["http://zotero.org/groups/2352922/items/BZSKBXEC"],"itemData":{"id":53340,"type":"report","event-place":"Online, 1-3 February 2022","publisher-place":"Online, 1-3 February 2022","title":"Report of the third Indigenous and local knowledge dialogue workshop for the IPBES thematic assessment of invasive alien species and their control.","URL":"https://ipbes.net/sites/default/files/2023-02/IPBES_IAS_3rdILKDialogue_SPM-SOD_Report_FinalForWeb2.pdf","author":[{"literal":"IPBES"}],"issued":{"date-parts":[["2022"]]}},"label":"page"}],"schema":"https://github.com/citation-style-language/schema/raw/master/csl-citation.json"} </w:instrText>
      </w:r>
      <w:r w:rsidR="00EE7290" w:rsidRPr="5575EBFC">
        <w:rPr>
          <w:lang w:val="en-GB"/>
        </w:rPr>
        <w:fldChar w:fldCharType="separate"/>
      </w:r>
      <w:r w:rsidR="674745DD">
        <w:t>(IPBES, 2022b)</w:t>
      </w:r>
      <w:r w:rsidR="00EE7290" w:rsidRPr="5575EBFC">
        <w:rPr>
          <w:lang w:val="en-GB"/>
        </w:rPr>
        <w:fldChar w:fldCharType="end"/>
      </w:r>
      <w:r w:rsidR="0D77A9A0" w:rsidRPr="5575EBFC">
        <w:rPr>
          <w:lang w:val="en-GB"/>
        </w:rPr>
        <w:t>.</w:t>
      </w:r>
      <w:bookmarkEnd w:id="64"/>
      <w:r w:rsidR="0D77A9A0" w:rsidRPr="5575EBFC">
        <w:rPr>
          <w:lang w:val="en-GB"/>
        </w:rPr>
        <w:t xml:space="preserve"> </w:t>
      </w:r>
      <w:r w:rsidRPr="5575EBFC">
        <w:rPr>
          <w:lang w:val="en-GB"/>
        </w:rPr>
        <w:t xml:space="preserve">Accordingly, many studies have found a positive association between </w:t>
      </w:r>
      <w:r w:rsidR="24D56118" w:rsidRPr="5575EBFC">
        <w:rPr>
          <w:lang w:val="en-GB"/>
        </w:rPr>
        <w:t xml:space="preserve">the </w:t>
      </w:r>
      <w:r w:rsidR="0EE6CD5D" w:rsidRPr="5575EBFC">
        <w:rPr>
          <w:lang w:val="en-GB"/>
        </w:rPr>
        <w:t>number</w:t>
      </w:r>
      <w:r w:rsidR="24D56118" w:rsidRPr="5575EBFC">
        <w:rPr>
          <w:lang w:val="en-GB"/>
        </w:rPr>
        <w:t xml:space="preserve"> of </w:t>
      </w:r>
      <w:r w:rsidR="198B0B8E" w:rsidRPr="5575EBFC">
        <w:rPr>
          <w:lang w:val="en-GB"/>
        </w:rPr>
        <w:t>invasive alien species</w:t>
      </w:r>
      <w:r w:rsidR="2DB93521" w:rsidRPr="5575EBFC">
        <w:rPr>
          <w:lang w:val="en-GB"/>
        </w:rPr>
        <w:t xml:space="preserve"> </w:t>
      </w:r>
      <w:r w:rsidR="24D56118" w:rsidRPr="5575EBFC">
        <w:rPr>
          <w:lang w:val="en-GB"/>
        </w:rPr>
        <w:t xml:space="preserve">within a location and </w:t>
      </w:r>
      <w:r w:rsidRPr="5575EBFC">
        <w:rPr>
          <w:lang w:val="en-GB"/>
        </w:rPr>
        <w:t xml:space="preserve">the percentage of urban land in the surrounding landscape </w:t>
      </w:r>
      <w:r w:rsidR="00EE7290" w:rsidRPr="5575EBFC">
        <w:rPr>
          <w:lang w:val="en-GB"/>
        </w:rPr>
        <w:fldChar w:fldCharType="begin"/>
      </w:r>
      <w:r w:rsidR="00331A79">
        <w:rPr>
          <w:lang w:val="en-GB"/>
        </w:rPr>
        <w:instrText xml:space="preserve"> ADDIN ZOTERO_ITEM CSL_CITATION {"citationID":"Lw07tjZW","properties":{"formattedCitation":"(Vil\\uc0\\u224{} &amp; Ib\\uc0\\u225{}\\uc0\\u241{}ez, 2011)","plainCitation":"(Vilà &amp; Ibáñez, 2011)","noteIndex":0},"citationItems":[{"id":32871,"uris":["http://zotero.org/groups/2352922/items/UWVPQ6H9"],"itemData":{"id":32871,"type":"article-journal","container-title":"Landscape Ecology","DOI":"10.1007/s10980-011-9585-3","ISSN":"0921-2973, 1572-9761","issue":"4","journalAbbreviation":"Landscape Ecol","language":"en","note":"number: 4\ncontainer-title: Landscape Ecology","page":"461-472","source":"DOI.org (Crossref)","title":"Plant invasions in the landscape","URL":"http://link.springer.com/10.1007/s10980-011-9585-3","volume":"26","author":[{"family":"Vilà","given":"Montserrat"},{"family":"Ibáñez","given":"Inés"}],"accessed":{"date-parts":[["2019",12,5]]},"issued":{"date-parts":[["2011",4]]}}}],"schema":"https://github.com/citation-style-language/schema/raw/master/csl-citation.json"} </w:instrText>
      </w:r>
      <w:r w:rsidR="00EE7290" w:rsidRPr="5575EBFC">
        <w:rPr>
          <w:lang w:val="en-GB"/>
        </w:rPr>
        <w:fldChar w:fldCharType="separate"/>
      </w:r>
      <w:r w:rsidR="6B5F9B9E">
        <w:t>(Vilà &amp; Ibáñez, 2011)</w:t>
      </w:r>
      <w:r w:rsidR="00EE7290" w:rsidRPr="5575EBFC">
        <w:rPr>
          <w:lang w:val="en-GB"/>
        </w:rPr>
        <w:fldChar w:fldCharType="end"/>
      </w:r>
      <w:r w:rsidRPr="5575EBFC">
        <w:rPr>
          <w:lang w:val="en-GB"/>
        </w:rPr>
        <w:t xml:space="preserve">. Similarly, road density, frequency of road use and road improvement increases diversity of alien species in adjacent ecosystems </w:t>
      </w:r>
      <w:r w:rsidR="00EE7290" w:rsidRPr="5575EBFC">
        <w:rPr>
          <w:lang w:val="en-GB"/>
        </w:rPr>
        <w:fldChar w:fldCharType="begin"/>
      </w:r>
      <w:r w:rsidR="00331A79">
        <w:rPr>
          <w:lang w:val="en-GB"/>
        </w:rPr>
        <w:instrText xml:space="preserve"> ADDIN ZOTERO_ITEM CSL_CITATION {"citationID":"q1abPb6K","properties":{"formattedCitation":"(Vil\\uc0\\u224{} &amp; Ib\\uc0\\u225{}\\uc0\\u241{}ez, 2011)","plainCitation":"(Vilà &amp; Ibáñez, 2011)","noteIndex":0},"citationItems":[{"id":32871,"uris":["http://zotero.org/groups/2352922/items/UWVPQ6H9"],"itemData":{"id":32871,"type":"article-journal","container-title":"Landscape Ecology","DOI":"10.1007/s10980-011-9585-3","ISSN":"0921-2973, 1572-9761","issue":"4","journalAbbreviation":"Landscape Ecol","language":"en","note":"number: 4\ncontainer-title: Landscape Ecology","page":"461-472","source":"DOI.org (Crossref)","title":"Plant invasions in the landscape","URL":"http://link.springer.com/10.1007/s10980-011-9585-3","volume":"26","author":[{"family":"Vilà","given":"Montserrat"},{"family":"Ibáñez","given":"Inés"}],"accessed":{"date-parts":[["2019",12,5]]},"issued":{"date-parts":[["2011",4]]}}}],"schema":"https://github.com/citation-style-language/schema/raw/master/csl-citation.json"} </w:instrText>
      </w:r>
      <w:r w:rsidR="00EE7290" w:rsidRPr="5575EBFC">
        <w:rPr>
          <w:lang w:val="en-GB"/>
        </w:rPr>
        <w:fldChar w:fldCharType="separate"/>
      </w:r>
      <w:r w:rsidR="6B5F9B9E">
        <w:t>(Vilà &amp; Ibáñez, 2011)</w:t>
      </w:r>
      <w:r w:rsidR="00EE7290" w:rsidRPr="5575EBFC">
        <w:rPr>
          <w:lang w:val="en-GB"/>
        </w:rPr>
        <w:fldChar w:fldCharType="end"/>
      </w:r>
      <w:r w:rsidRPr="5575EBFC">
        <w:rPr>
          <w:lang w:val="en-GB"/>
        </w:rPr>
        <w:t xml:space="preserve">. </w:t>
      </w:r>
    </w:p>
    <w:p w14:paraId="1765E019" w14:textId="54DE52ED" w:rsidR="006B6B9E" w:rsidRPr="00DA249F" w:rsidRDefault="00573E7A" w:rsidP="0090109B">
      <w:pPr>
        <w:rPr>
          <w:lang w:val="en-GB"/>
        </w:rPr>
      </w:pPr>
      <w:r w:rsidRPr="00DA249F">
        <w:rPr>
          <w:lang w:val="en-GB"/>
        </w:rPr>
        <w:t>Urbanization</w:t>
      </w:r>
      <w:r w:rsidR="008C1BF7" w:rsidRPr="00DA249F">
        <w:rPr>
          <w:lang w:val="en-GB"/>
        </w:rPr>
        <w:t xml:space="preserve"> can also be a driver for aquatic </w:t>
      </w:r>
      <w:r w:rsidR="00084671" w:rsidRPr="00DA249F">
        <w:rPr>
          <w:lang w:val="en-GB"/>
        </w:rPr>
        <w:t>invasive alien species</w:t>
      </w:r>
      <w:r w:rsidR="008C1BF7" w:rsidRPr="00DA249F">
        <w:rPr>
          <w:lang w:val="en-GB"/>
        </w:rPr>
        <w:t xml:space="preserve">. Out of 891 species listed in the Global Invasive Species Database </w:t>
      </w:r>
      <w:r w:rsidR="008E01ED" w:rsidRPr="00DA249F">
        <w:rPr>
          <w:lang w:val="en-GB"/>
        </w:rPr>
        <w:t xml:space="preserve">(GISD; </w:t>
      </w:r>
      <w:r w:rsidR="00736A08" w:rsidRPr="00DA249F">
        <w:rPr>
          <w:lang w:val="en-GB"/>
        </w:rPr>
        <w:fldChar w:fldCharType="begin"/>
      </w:r>
      <w:r w:rsidR="00F5121E">
        <w:rPr>
          <w:lang w:val="en-GB"/>
        </w:rPr>
        <w:instrText xml:space="preserve"> ADDIN ZOTERO_ITEM CSL_CITATION {"citationID":"FMt1Ygcr","properties":{"formattedCitation":"(GISD, 2021)","plainCitation":"(GISD, 2021)","dontUpdate":true,"noteIndex":0},"citationItems":[{"id":54460,"uris":["http://zotero.org/groups/2352922/items/Z4GD5XJS"],"itemData":{"id":54460,"type":"webpage","title":"Global Invasive Species Database","URL":"http://www.iucngisd.org/gisd/","author":[{"literal":"GISD"}],"accessed":{"date-parts":[["2023",2,9]]},"issued":{"date-parts":[["2021"]]}},"label":"page"}],"schema":"https://github.com/citation-style-language/schema/raw/master/csl-citation.json"} </w:instrText>
      </w:r>
      <w:r w:rsidR="00736A08" w:rsidRPr="00DA249F">
        <w:rPr>
          <w:lang w:val="en-GB"/>
        </w:rPr>
        <w:fldChar w:fldCharType="separate"/>
      </w:r>
      <w:r w:rsidR="00736A08" w:rsidRPr="00DA249F">
        <w:rPr>
          <w:lang w:val="en-GB"/>
        </w:rPr>
        <w:t>GISD, 2021)</w:t>
      </w:r>
      <w:r w:rsidR="00736A08" w:rsidRPr="00DA249F">
        <w:rPr>
          <w:lang w:val="en-GB"/>
        </w:rPr>
        <w:fldChar w:fldCharType="end"/>
      </w:r>
      <w:r w:rsidR="00736A08" w:rsidRPr="00DA249F">
        <w:rPr>
          <w:lang w:val="en-GB"/>
        </w:rPr>
        <w:t xml:space="preserve">, </w:t>
      </w:r>
      <w:r w:rsidR="008C1BF7" w:rsidRPr="00DA249F">
        <w:rPr>
          <w:lang w:val="en-GB"/>
        </w:rPr>
        <w:t>277 (31</w:t>
      </w:r>
      <w:r w:rsidR="004C77CD" w:rsidRPr="00DA249F">
        <w:rPr>
          <w:lang w:val="en-GB"/>
        </w:rPr>
        <w:t xml:space="preserve"> per cent</w:t>
      </w:r>
      <w:r w:rsidR="008C1BF7" w:rsidRPr="00DA249F">
        <w:rPr>
          <w:lang w:val="en-GB"/>
        </w:rPr>
        <w:t>) are associated with urban areas, 395 (44</w:t>
      </w:r>
      <w:r w:rsidR="004C77CD" w:rsidRPr="00DA249F">
        <w:rPr>
          <w:lang w:val="en-GB"/>
        </w:rPr>
        <w:t xml:space="preserve"> per cent</w:t>
      </w:r>
      <w:r w:rsidR="008C1BF7" w:rsidRPr="00DA249F">
        <w:rPr>
          <w:lang w:val="en-GB"/>
        </w:rPr>
        <w:t xml:space="preserve">) are associated with </w:t>
      </w:r>
      <w:r w:rsidR="006E29E3" w:rsidRPr="00DA249F">
        <w:rPr>
          <w:lang w:val="en-GB"/>
        </w:rPr>
        <w:t xml:space="preserve">inland </w:t>
      </w:r>
      <w:r w:rsidR="008C1BF7" w:rsidRPr="00DA249F">
        <w:rPr>
          <w:lang w:val="en-GB"/>
        </w:rPr>
        <w:t>water</w:t>
      </w:r>
      <w:r w:rsidR="006E29E3" w:rsidRPr="00DA249F">
        <w:rPr>
          <w:lang w:val="en-GB"/>
        </w:rPr>
        <w:t>s</w:t>
      </w:r>
      <w:r w:rsidR="008C1BF7" w:rsidRPr="00DA249F">
        <w:rPr>
          <w:lang w:val="en-GB"/>
        </w:rPr>
        <w:t xml:space="preserve"> (wetlands, lakes, or water courses), and 147 </w:t>
      </w:r>
      <w:r w:rsidR="00EE7290" w:rsidRPr="00DA249F">
        <w:rPr>
          <w:lang w:val="en-GB"/>
        </w:rPr>
        <w:t xml:space="preserve">(16 per cent) </w:t>
      </w:r>
      <w:r w:rsidR="008C1BF7" w:rsidRPr="00DA249F">
        <w:rPr>
          <w:lang w:val="en-GB"/>
        </w:rPr>
        <w:t xml:space="preserve">are associated with both urban areas and </w:t>
      </w:r>
      <w:r w:rsidR="006E29E3" w:rsidRPr="00DA249F">
        <w:rPr>
          <w:lang w:val="en-GB"/>
        </w:rPr>
        <w:t xml:space="preserve">inland </w:t>
      </w:r>
      <w:r w:rsidR="008C1BF7" w:rsidRPr="00DA249F">
        <w:rPr>
          <w:lang w:val="en-GB"/>
        </w:rPr>
        <w:t>water</w:t>
      </w:r>
      <w:r w:rsidR="006E29E3" w:rsidRPr="00DA249F">
        <w:rPr>
          <w:lang w:val="en-GB"/>
        </w:rPr>
        <w:t>s</w:t>
      </w:r>
      <w:r w:rsidR="008C1BF7" w:rsidRPr="00DA249F">
        <w:rPr>
          <w:lang w:val="en-GB"/>
        </w:rPr>
        <w:t xml:space="preserve"> </w:t>
      </w:r>
      <w:r w:rsidR="00CA0C6B" w:rsidRPr="00DA249F">
        <w:rPr>
          <w:lang w:val="en-GB"/>
        </w:rPr>
        <w:t>(</w:t>
      </w:r>
      <w:r w:rsidR="00BB1AF8">
        <w:rPr>
          <w:b/>
          <w:iCs/>
          <w:lang w:val="en-GB"/>
        </w:rPr>
        <w:t>C</w:t>
      </w:r>
      <w:r w:rsidR="001646CD" w:rsidRPr="00BB1AF8">
        <w:rPr>
          <w:b/>
          <w:iCs/>
          <w:lang w:val="en-GB"/>
        </w:rPr>
        <w:t>hapter 2</w:t>
      </w:r>
      <w:r w:rsidR="00C95437" w:rsidRPr="00BB1AF8">
        <w:rPr>
          <w:iCs/>
          <w:lang w:val="en-GB"/>
        </w:rPr>
        <w:t>,</w:t>
      </w:r>
      <w:r w:rsidR="00C95437" w:rsidRPr="00BB1AF8">
        <w:rPr>
          <w:b/>
          <w:iCs/>
          <w:lang w:val="en-GB"/>
        </w:rPr>
        <w:t xml:space="preserve"> section 2.5.5.1</w:t>
      </w:r>
      <w:r w:rsidR="001646CD" w:rsidRPr="00DA249F">
        <w:rPr>
          <w:lang w:val="en-GB"/>
        </w:rPr>
        <w:t>)</w:t>
      </w:r>
      <w:r w:rsidR="008C1BF7" w:rsidRPr="00DA249F">
        <w:rPr>
          <w:lang w:val="en-GB"/>
        </w:rPr>
        <w:t>.</w:t>
      </w:r>
      <w:r w:rsidR="00B1749C" w:rsidRPr="00DA249F">
        <w:rPr>
          <w:lang w:val="en-GB"/>
        </w:rPr>
        <w:t xml:space="preserve"> </w:t>
      </w:r>
      <w:r w:rsidR="10184C88" w:rsidRPr="00DA249F">
        <w:rPr>
          <w:lang w:val="en-GB"/>
        </w:rPr>
        <w:t xml:space="preserve">Urbanization provides two means for enhanced invasions into wetlands. First, large numbers of species are imported (intentionally or unintentionally) into urban areas, creating high propagule pressures, and second, urbanization causes disturbance of existing ecosystems </w:t>
      </w:r>
      <w:r w:rsidR="008C1BF7" w:rsidRPr="00DA249F">
        <w:rPr>
          <w:lang w:val="en-GB"/>
        </w:rPr>
        <w:fldChar w:fldCharType="begin"/>
      </w:r>
      <w:r w:rsidR="00331A79">
        <w:rPr>
          <w:lang w:val="en-GB"/>
        </w:rPr>
        <w:instrText xml:space="preserve"> ADDIN ZOTERO_ITEM CSL_CITATION {"citationID":"WzKBXobC","properties":{"formattedCitation":"(Hassall, 2014)","plainCitation":"(Hassall, 2014)","noteIndex":0},"citationItems":[{"id":15469,"uris":["http://zotero.org/groups/2352922/items/HKFTXM5Z"],"itemData":{"id":15469,"type":"article-journal","container-title":"Wiley Interdisciplinary Reviews: Water","DOI":"10.1002/wat2.1014","ISSN":"20491948","issue":"2","journalAbbreviation":"WIREs Water","language":"en","page":"187-206","source":"DOI.org (Crossref)","title":"The ecology and biodiversity of urban ponds: Ecology and biodiversity of urban ponds","title-short":"The ecology and biodiversity of urban ponds","URL":"http://doi.wiley.com/10.1002/wat2.1014","volume":"1","author":[{"family":"Hassall","given":"Christopher"}],"accessed":{"date-parts":[["2019",10,11]]},"issued":{"date-parts":[["2014",3]]}}}],"schema":"https://github.com/citation-style-language/schema/raw/master/csl-citation.json"} </w:instrText>
      </w:r>
      <w:r w:rsidR="008C1BF7" w:rsidRPr="00DA249F">
        <w:rPr>
          <w:lang w:val="en-GB"/>
        </w:rPr>
        <w:fldChar w:fldCharType="separate"/>
      </w:r>
      <w:r w:rsidR="00144D96" w:rsidRPr="00144D96">
        <w:t>(Hassall, 2014)</w:t>
      </w:r>
      <w:r w:rsidR="008C1BF7" w:rsidRPr="00DA249F">
        <w:rPr>
          <w:lang w:val="en-GB"/>
        </w:rPr>
        <w:fldChar w:fldCharType="end"/>
      </w:r>
      <w:r w:rsidR="006B6B9E" w:rsidRPr="00DA249F">
        <w:rPr>
          <w:lang w:val="en-GB"/>
        </w:rPr>
        <w:t xml:space="preserve">. </w:t>
      </w:r>
      <w:r w:rsidR="008C1BF7" w:rsidRPr="00DA249F">
        <w:rPr>
          <w:lang w:val="en-GB"/>
        </w:rPr>
        <w:t>For example, deployment of infrastructure (</w:t>
      </w:r>
      <w:r w:rsidR="008052D6" w:rsidRPr="00BB1AF8">
        <w:rPr>
          <w:b/>
          <w:iCs/>
          <w:lang w:val="en-GB"/>
        </w:rPr>
        <w:t xml:space="preserve">section </w:t>
      </w:r>
      <w:r w:rsidR="008C1BF7" w:rsidRPr="00BB1AF8">
        <w:rPr>
          <w:b/>
          <w:iCs/>
          <w:lang w:val="en-GB"/>
        </w:rPr>
        <w:t>3.3.1.4</w:t>
      </w:r>
      <w:r w:rsidR="008C1BF7" w:rsidRPr="00DA249F">
        <w:rPr>
          <w:lang w:val="en-GB"/>
        </w:rPr>
        <w:t xml:space="preserve">) such as stormwater ponds may harbour the invasive </w:t>
      </w:r>
      <w:r w:rsidR="000F4C85" w:rsidRPr="00DA249F">
        <w:rPr>
          <w:lang w:val="en-GB"/>
        </w:rPr>
        <w:t xml:space="preserve">alien </w:t>
      </w:r>
      <w:r w:rsidR="00AA6BFB" w:rsidRPr="00DA249F">
        <w:rPr>
          <w:i/>
          <w:iCs/>
          <w:lang w:val="en-GB"/>
        </w:rPr>
        <w:t>Anaxyrus fowleri</w:t>
      </w:r>
      <w:r w:rsidR="00AA6BFB" w:rsidRPr="00DA249F">
        <w:rPr>
          <w:lang w:val="en-GB"/>
        </w:rPr>
        <w:t xml:space="preserve"> (</w:t>
      </w:r>
      <w:r w:rsidR="008C1BF7" w:rsidRPr="00DA249F">
        <w:rPr>
          <w:lang w:val="en-GB"/>
        </w:rPr>
        <w:t>Fowler</w:t>
      </w:r>
      <w:r w:rsidR="00984DCB" w:rsidRPr="00DA249F">
        <w:rPr>
          <w:lang w:val="en-GB"/>
        </w:rPr>
        <w:t>’</w:t>
      </w:r>
      <w:r w:rsidR="008C1BF7" w:rsidRPr="00DA249F">
        <w:rPr>
          <w:lang w:val="en-GB"/>
        </w:rPr>
        <w:t xml:space="preserve">s </w:t>
      </w:r>
      <w:r w:rsidR="002F09E4" w:rsidRPr="00DA249F">
        <w:rPr>
          <w:lang w:val="en-GB"/>
        </w:rPr>
        <w:t>toad</w:t>
      </w:r>
      <w:r w:rsidR="00AA6BFB" w:rsidRPr="00DA249F">
        <w:rPr>
          <w:lang w:val="en-GB"/>
        </w:rPr>
        <w:t>)</w:t>
      </w:r>
      <w:r w:rsidR="008C1BF7" w:rsidRPr="00DA249F">
        <w:rPr>
          <w:lang w:val="en-GB"/>
        </w:rPr>
        <w:t xml:space="preserve"> and </w:t>
      </w:r>
      <w:r w:rsidR="002C3D68" w:rsidRPr="00DA249F">
        <w:rPr>
          <w:lang w:val="en-GB"/>
        </w:rPr>
        <w:t xml:space="preserve">construction </w:t>
      </w:r>
      <w:r w:rsidR="008C1BF7" w:rsidRPr="00DA249F">
        <w:rPr>
          <w:lang w:val="en-GB"/>
        </w:rPr>
        <w:t xml:space="preserve">may facilitate </w:t>
      </w:r>
      <w:r w:rsidR="00D94182" w:rsidRPr="00DA249F">
        <w:rPr>
          <w:lang w:val="en-GB"/>
        </w:rPr>
        <w:t>the</w:t>
      </w:r>
      <w:r w:rsidR="008C1BF7" w:rsidRPr="00DA249F">
        <w:rPr>
          <w:lang w:val="en-GB"/>
        </w:rPr>
        <w:t xml:space="preserve"> dispersal</w:t>
      </w:r>
      <w:r w:rsidR="00D94182" w:rsidRPr="00DA249F">
        <w:rPr>
          <w:lang w:val="en-GB"/>
        </w:rPr>
        <w:t xml:space="preserve"> of this invasive alien species</w:t>
      </w:r>
      <w:r w:rsidR="002B6DB8" w:rsidRPr="00DA249F">
        <w:rPr>
          <w:lang w:val="en-GB"/>
        </w:rPr>
        <w:t>.</w:t>
      </w:r>
      <w:r w:rsidR="000F4C85" w:rsidRPr="00DA249F">
        <w:rPr>
          <w:lang w:val="en-GB"/>
        </w:rPr>
        <w:t xml:space="preserve"> </w:t>
      </w:r>
      <w:r w:rsidR="002C3D68" w:rsidRPr="00DA249F">
        <w:rPr>
          <w:lang w:val="en-GB"/>
        </w:rPr>
        <w:t xml:space="preserve">Urbanization may </w:t>
      </w:r>
      <w:r w:rsidR="00275F73" w:rsidRPr="00DA249F">
        <w:rPr>
          <w:lang w:val="en-GB"/>
        </w:rPr>
        <w:t>f</w:t>
      </w:r>
      <w:r w:rsidR="002C3D68" w:rsidRPr="00DA249F">
        <w:rPr>
          <w:lang w:val="en-GB"/>
        </w:rPr>
        <w:t>acilitat</w:t>
      </w:r>
      <w:r w:rsidR="00275F73" w:rsidRPr="00DA249F">
        <w:rPr>
          <w:lang w:val="en-GB"/>
        </w:rPr>
        <w:t xml:space="preserve">e </w:t>
      </w:r>
      <w:r w:rsidR="00975C41" w:rsidRPr="00DA249F">
        <w:rPr>
          <w:lang w:val="en-GB"/>
        </w:rPr>
        <w:t>biological</w:t>
      </w:r>
      <w:r w:rsidR="00275F73" w:rsidRPr="00DA249F">
        <w:rPr>
          <w:lang w:val="en-GB"/>
        </w:rPr>
        <w:t xml:space="preserve"> invasion</w:t>
      </w:r>
      <w:r w:rsidR="008C1BF7" w:rsidRPr="00DA249F">
        <w:rPr>
          <w:lang w:val="en-GB"/>
        </w:rPr>
        <w:t xml:space="preserve"> in or around aquatic environments through modification of channels and banks (</w:t>
      </w:r>
      <w:r w:rsidR="009E108F" w:rsidRPr="00BB1AF8">
        <w:rPr>
          <w:b/>
          <w:iCs/>
          <w:lang w:val="en-GB"/>
        </w:rPr>
        <w:t xml:space="preserve">section </w:t>
      </w:r>
      <w:r w:rsidR="008C1BF7" w:rsidRPr="00BB1AF8">
        <w:rPr>
          <w:b/>
          <w:iCs/>
          <w:lang w:val="en-GB"/>
        </w:rPr>
        <w:t>3.3.1.4</w:t>
      </w:r>
      <w:r w:rsidR="008C1BF7" w:rsidRPr="00DA249F">
        <w:rPr>
          <w:lang w:val="en-GB"/>
        </w:rPr>
        <w:t>), disturbance from traffic, presence of pet animals (</w:t>
      </w:r>
      <w:r w:rsidR="009E108F" w:rsidRPr="00BB1AF8">
        <w:rPr>
          <w:b/>
          <w:iCs/>
          <w:lang w:val="en-GB"/>
        </w:rPr>
        <w:t xml:space="preserve">section </w:t>
      </w:r>
      <w:r w:rsidR="008C1BF7" w:rsidRPr="00BB1AF8">
        <w:rPr>
          <w:b/>
          <w:iCs/>
          <w:lang w:val="en-GB"/>
        </w:rPr>
        <w:t>3.3.5</w:t>
      </w:r>
      <w:r w:rsidR="008C1BF7" w:rsidRPr="00DA249F">
        <w:rPr>
          <w:lang w:val="en-GB"/>
        </w:rPr>
        <w:t>), dumping of rubbish (</w:t>
      </w:r>
      <w:r w:rsidR="009E108F" w:rsidRPr="00BB1AF8">
        <w:rPr>
          <w:b/>
          <w:iCs/>
          <w:lang w:val="en-GB"/>
        </w:rPr>
        <w:t xml:space="preserve">section </w:t>
      </w:r>
      <w:r w:rsidR="008C1BF7" w:rsidRPr="00BB1AF8">
        <w:rPr>
          <w:b/>
          <w:iCs/>
          <w:lang w:val="en-GB"/>
        </w:rPr>
        <w:t>3.3.3</w:t>
      </w:r>
      <w:r w:rsidR="008C1BF7" w:rsidRPr="00DA249F">
        <w:rPr>
          <w:lang w:val="en-GB"/>
        </w:rPr>
        <w:t>), and reductions in permeability of surro</w:t>
      </w:r>
      <w:r w:rsidR="006A2C1A" w:rsidRPr="00DA249F">
        <w:rPr>
          <w:lang w:val="en-GB"/>
        </w:rPr>
        <w:t>unding land</w:t>
      </w:r>
      <w:r w:rsidR="008C1BF7" w:rsidRPr="00DA249F">
        <w:rPr>
          <w:lang w:val="en-GB"/>
        </w:rPr>
        <w:t xml:space="preserve"> </w:t>
      </w:r>
      <w:r w:rsidR="008C1BF7" w:rsidRPr="00DA249F">
        <w:rPr>
          <w:lang w:val="en-GB"/>
        </w:rPr>
        <w:fldChar w:fldCharType="begin"/>
      </w:r>
      <w:r w:rsidR="00331A79">
        <w:rPr>
          <w:lang w:val="en-GB"/>
        </w:rPr>
        <w:instrText xml:space="preserve"> ADDIN ZOTERO_ITEM CSL_CITATION {"citationID":"vXjfttcq","properties":{"formattedCitation":"(Hassall, 2014)","plainCitation":"(Hassall, 2014)","dontUpdate":true,"noteIndex":0},"citationItems":[{"id":15469,"uris":["http://zotero.org/groups/2352922/items/HKFTXM5Z"],"itemData":{"id":15469,"type":"article-journal","container-title":"Wiley Interdisciplinary Reviews: Water","DOI":"10.1002/wat2.1014","ISSN":"20491948","issue":"2","journalAbbreviation":"WIREs Water","language":"en","page":"187-206","source":"DOI.org (Crossref)","title":"The ecology and biodiversity of urban ponds: Ecology and biodiversity of urban ponds","title-short":"The ecology and biodiversity of urban ponds","URL":"http://doi.wiley.com/10.1002/wat2.1014","volume":"1","author":[{"family":"Hassall","given":"Christopher"}],"accessed":{"date-parts":[["2019",10,11]]},"issued":{"date-parts":[["2014",3]]}}}],"schema":"https://github.com/citation-style-language/schema/raw/master/csl-citation.json"} </w:instrText>
      </w:r>
      <w:r w:rsidR="008C1BF7" w:rsidRPr="00DA249F">
        <w:rPr>
          <w:lang w:val="en-GB"/>
        </w:rPr>
        <w:fldChar w:fldCharType="separate"/>
      </w:r>
      <w:r w:rsidR="00C86A15" w:rsidRPr="00DA249F">
        <w:rPr>
          <w:lang w:val="en-GB"/>
        </w:rPr>
        <w:t>(Hassall, 2014</w:t>
      </w:r>
      <w:r w:rsidR="008C1BF7" w:rsidRPr="00DA249F">
        <w:rPr>
          <w:lang w:val="en-GB"/>
        </w:rPr>
        <w:fldChar w:fldCharType="end"/>
      </w:r>
      <w:r w:rsidR="00C73A9E">
        <w:rPr>
          <w:lang w:val="en-GB"/>
        </w:rPr>
        <w:t>;</w:t>
      </w:r>
      <w:r w:rsidR="00C73A9E">
        <w:rPr>
          <w:rFonts w:ascii="游明朝" w:eastAsia="游明朝" w:hAnsi="游明朝" w:hint="eastAsia"/>
          <w:lang w:val="en-GB"/>
        </w:rPr>
        <w:t xml:space="preserve"> </w:t>
      </w:r>
      <w:r w:rsidR="00C73A9E" w:rsidRPr="00BB1AF8">
        <w:rPr>
          <w:b/>
          <w:iCs/>
          <w:lang w:val="en-GB"/>
        </w:rPr>
        <w:t>section 3.3.1.6</w:t>
      </w:r>
      <w:r w:rsidR="00C73A9E" w:rsidRPr="00DA249F">
        <w:rPr>
          <w:lang w:val="en-GB"/>
        </w:rPr>
        <w:t>)</w:t>
      </w:r>
      <w:r w:rsidR="008C1BF7" w:rsidRPr="00DA249F">
        <w:rPr>
          <w:lang w:val="en-GB"/>
        </w:rPr>
        <w:t xml:space="preserve">. </w:t>
      </w:r>
    </w:p>
    <w:p w14:paraId="3A52D9E7" w14:textId="141C80B8" w:rsidR="004D552D" w:rsidRPr="00DA249F" w:rsidRDefault="00A156EA" w:rsidP="0090109B">
      <w:pPr>
        <w:rPr>
          <w:lang w:val="en-GB"/>
        </w:rPr>
      </w:pPr>
      <w:r w:rsidRPr="00DA249F">
        <w:rPr>
          <w:lang w:val="en-GB"/>
        </w:rPr>
        <w:t>U</w:t>
      </w:r>
      <w:r w:rsidR="00573E7A" w:rsidRPr="00DA249F">
        <w:rPr>
          <w:lang w:val="en-GB"/>
        </w:rPr>
        <w:t>rbanization</w:t>
      </w:r>
      <w:r w:rsidR="793CE6E8" w:rsidRPr="00DA249F">
        <w:rPr>
          <w:lang w:val="en-GB"/>
        </w:rPr>
        <w:t xml:space="preserve"> also plays a role in the relative distribution and abundance of both native and </w:t>
      </w:r>
      <w:r w:rsidR="4D38CE48" w:rsidRPr="00DA249F">
        <w:rPr>
          <w:lang w:val="en-GB"/>
        </w:rPr>
        <w:t>alien</w:t>
      </w:r>
      <w:r w:rsidR="793CE6E8" w:rsidRPr="00DA249F">
        <w:rPr>
          <w:lang w:val="en-GB"/>
        </w:rPr>
        <w:t xml:space="preserve"> species in marine environments. Deployment of </w:t>
      </w:r>
      <w:r w:rsidR="003A0EAC" w:rsidRPr="00DA249F">
        <w:rPr>
          <w:lang w:val="en-GB"/>
        </w:rPr>
        <w:t xml:space="preserve">marine </w:t>
      </w:r>
      <w:r w:rsidR="793CE6E8" w:rsidRPr="00DA249F">
        <w:rPr>
          <w:lang w:val="en-GB"/>
        </w:rPr>
        <w:t>infrastructure (</w:t>
      </w:r>
      <w:r w:rsidR="009E108F" w:rsidRPr="00BB1AF8">
        <w:rPr>
          <w:b/>
          <w:iCs/>
          <w:lang w:val="en-GB"/>
        </w:rPr>
        <w:t xml:space="preserve">section </w:t>
      </w:r>
      <w:r w:rsidR="793CE6E8" w:rsidRPr="00BB1AF8">
        <w:rPr>
          <w:b/>
          <w:iCs/>
          <w:lang w:val="en-GB"/>
        </w:rPr>
        <w:t>3.3.1.4</w:t>
      </w:r>
      <w:r w:rsidR="793CE6E8" w:rsidRPr="00DA249F">
        <w:rPr>
          <w:lang w:val="en-GB"/>
        </w:rPr>
        <w:t>) is an important direct driver, and large coastal and marine areas of Europe, North America, Asia and Australia are nowadays covered by sea walls, d</w:t>
      </w:r>
      <w:r w:rsidRPr="00DA249F">
        <w:rPr>
          <w:lang w:val="en-GB"/>
        </w:rPr>
        <w:t>i</w:t>
      </w:r>
      <w:r w:rsidR="793CE6E8" w:rsidRPr="00DA249F">
        <w:rPr>
          <w:lang w:val="en-GB"/>
        </w:rPr>
        <w:t>kes, breakwaters, groynes, jetties, pilings, bridges, artificial reefs, offshore platforms and energy installations</w:t>
      </w:r>
      <w:r w:rsidR="73E11C13" w:rsidRPr="00DA249F">
        <w:rPr>
          <w:lang w:val="en-GB"/>
        </w:rPr>
        <w:t>,</w:t>
      </w:r>
      <w:r w:rsidR="00B1749C" w:rsidRPr="00DA249F">
        <w:rPr>
          <w:lang w:val="en-GB"/>
        </w:rPr>
        <w:t xml:space="preserve"> </w:t>
      </w:r>
      <w:r w:rsidR="73E11C13" w:rsidRPr="00DA249F">
        <w:rPr>
          <w:lang w:val="en-GB"/>
        </w:rPr>
        <w:t xml:space="preserve">which are linked to </w:t>
      </w:r>
      <w:r w:rsidRPr="00DA249F">
        <w:rPr>
          <w:lang w:val="en-GB"/>
        </w:rPr>
        <w:t>urban areas</w:t>
      </w:r>
      <w:r w:rsidR="793CE6E8" w:rsidRPr="00DA249F">
        <w:rPr>
          <w:lang w:val="en-GB"/>
        </w:rPr>
        <w:t xml:space="preserve">. A study carried out by </w:t>
      </w:r>
      <w:r w:rsidR="008C1BF7" w:rsidRPr="00DA249F">
        <w:rPr>
          <w:lang w:val="en-GB"/>
        </w:rPr>
        <w:fldChar w:fldCharType="begin"/>
      </w:r>
      <w:r w:rsidR="00F5121E">
        <w:rPr>
          <w:lang w:val="en-GB"/>
        </w:rPr>
        <w:instrText xml:space="preserve"> ADDIN ZOTERO_ITEM CSL_CITATION {"citationID":"cQ1Wtrxn","properties":{"formattedCitation":"(Airoldi et al., 2015)","plainCitation":"(Airoldi et al., 2015)","dontUpdate":true,"noteIndex":0},"citationItems":[{"id":17040,"uris":["http://zotero.org/groups/2352922/items/65FNGCMV"],"itemData":{"id":17040,"type":"article-journal","abstract":"Aim The global sprawl of marine hard infrastructure (e.g. breakwaters, sea walls and jetties) can extensively modify coastal seascapes, but the knowledge of such impacts remains limited to local scales. We examined the regional-scale effects of marine artiﬁcial habitats on the distribution and abundance of assemblages of ascidians, a key group of ecosystem engineer species in benthic fouling systems.","container-title":"Diversity and Distributions","DOI":"10.1111/ddi.12301","ISSN":"13669516","issue":"7","journalAbbreviation":"Diversity Distrib.","language":"en","page":"755-768","source":"DOI.org (Crossref)","title":"Corridors for aliens but not for natives: effects of marine urban sprawl at a regional scale","title-short":"Corridors for aliens but not for natives","URL":"http://doi.wiley.com/10.1111/ddi.12301","volume":"21","author":[{"family":"Airoldi","given":"Laura"},{"family":"Turon","given":"Xavier"},{"family":"Perkol-Finkel","given":"Shimrit"},{"family":"Rius","given":"Marc"}],"editor":[{"family":"Keller","given":"Reuben"}],"accessed":{"date-parts":[["2019",10,15]]},"issued":{"date-parts":[["2015",7]]}}}],"schema":"https://github.com/citation-style-language/schema/raw/master/csl-citation.json"} </w:instrText>
      </w:r>
      <w:r w:rsidR="008C1BF7" w:rsidRPr="00DA249F">
        <w:rPr>
          <w:lang w:val="en-GB"/>
        </w:rPr>
        <w:fldChar w:fldCharType="separate"/>
      </w:r>
      <w:r w:rsidR="00144D96" w:rsidRPr="00144D96">
        <w:t xml:space="preserve">Airoldi et al. </w:t>
      </w:r>
      <w:r w:rsidR="00DF30EF">
        <w:t>(</w:t>
      </w:r>
      <w:r w:rsidR="00144D96" w:rsidRPr="00144D96">
        <w:t>2015)</w:t>
      </w:r>
      <w:r w:rsidR="008C1BF7" w:rsidRPr="00DA249F">
        <w:rPr>
          <w:lang w:val="en-GB"/>
        </w:rPr>
        <w:fldChar w:fldCharType="end"/>
      </w:r>
      <w:r w:rsidR="793CE6E8" w:rsidRPr="00DA249F">
        <w:rPr>
          <w:lang w:val="en-GB"/>
        </w:rPr>
        <w:t xml:space="preserve"> found that marine infrastructures along sandy shores disproportionally favour </w:t>
      </w:r>
      <w:r w:rsidR="00C769DF" w:rsidRPr="00DA249F">
        <w:rPr>
          <w:lang w:val="en-GB"/>
        </w:rPr>
        <w:t>alien</w:t>
      </w:r>
      <w:r w:rsidR="008C1BF7" w:rsidRPr="00DA249F">
        <w:rPr>
          <w:lang w:val="en-GB"/>
        </w:rPr>
        <w:t xml:space="preserve"> over native hard bottom species, affecting </w:t>
      </w:r>
      <w:r w:rsidR="000415C9">
        <w:rPr>
          <w:lang w:val="en-GB"/>
        </w:rPr>
        <w:t>alien species’</w:t>
      </w:r>
      <w:r w:rsidR="000415C9" w:rsidRPr="00DA249F">
        <w:rPr>
          <w:lang w:val="en-GB"/>
        </w:rPr>
        <w:t xml:space="preserve"> </w:t>
      </w:r>
      <w:r w:rsidR="008C1BF7" w:rsidRPr="00DA249F">
        <w:rPr>
          <w:lang w:val="en-GB"/>
        </w:rPr>
        <w:t xml:space="preserve">spread at regional scales. </w:t>
      </w:r>
    </w:p>
    <w:p w14:paraId="177E3CF3" w14:textId="77777777" w:rsidR="008C1BF7" w:rsidRPr="00DA249F" w:rsidRDefault="3D04D128" w:rsidP="00375B42">
      <w:pPr>
        <w:pStyle w:val="Heading2"/>
        <w:rPr>
          <w:lang w:val="en-GB"/>
        </w:rPr>
      </w:pPr>
      <w:bookmarkStart w:id="65" w:name="_Toc88067802"/>
      <w:bookmarkStart w:id="66" w:name="_Toc88659072"/>
      <w:bookmarkStart w:id="67" w:name="_Toc88869250"/>
      <w:bookmarkStart w:id="68" w:name="_Toc89115623"/>
      <w:bookmarkStart w:id="69" w:name="_Toc89118863"/>
      <w:bookmarkStart w:id="70" w:name="_Toc89122766"/>
      <w:bookmarkStart w:id="71" w:name="_Toc88067803"/>
      <w:bookmarkStart w:id="72" w:name="_Toc88659073"/>
      <w:bookmarkStart w:id="73" w:name="_Toc88869251"/>
      <w:bookmarkStart w:id="74" w:name="_Toc88067804"/>
      <w:bookmarkStart w:id="75" w:name="_Toc88659074"/>
      <w:bookmarkStart w:id="76" w:name="_Toc88869252"/>
      <w:bookmarkStart w:id="77" w:name="_Toc89115625"/>
      <w:bookmarkStart w:id="78" w:name="_Toc89118865"/>
      <w:bookmarkStart w:id="79" w:name="_Toc89122768"/>
      <w:bookmarkStart w:id="80" w:name="_Toc88067805"/>
      <w:bookmarkStart w:id="81" w:name="_Toc88659075"/>
      <w:bookmarkStart w:id="82" w:name="_Toc88869253"/>
      <w:bookmarkStart w:id="83" w:name="_Toc89115626"/>
      <w:bookmarkStart w:id="84" w:name="_Toc89118866"/>
      <w:bookmarkStart w:id="85" w:name="_Toc89122769"/>
      <w:bookmarkStart w:id="86" w:name="_Toc88067806"/>
      <w:bookmarkStart w:id="87" w:name="_Toc88659076"/>
      <w:bookmarkStart w:id="88" w:name="_Toc88869254"/>
      <w:bookmarkStart w:id="89" w:name="_Toc89115627"/>
      <w:bookmarkStart w:id="90" w:name="_Toc89118867"/>
      <w:bookmarkStart w:id="91" w:name="_Toc89122770"/>
      <w:bookmarkStart w:id="92" w:name="_Toc88067815"/>
      <w:bookmarkStart w:id="93" w:name="_Toc88659085"/>
      <w:bookmarkStart w:id="94" w:name="_Toc88869263"/>
      <w:bookmarkStart w:id="95" w:name="_Toc89115636"/>
      <w:bookmarkStart w:id="96" w:name="_Toc89118876"/>
      <w:bookmarkStart w:id="97" w:name="_Toc89122779"/>
      <w:bookmarkStart w:id="98" w:name="_Toc88067816"/>
      <w:bookmarkStart w:id="99" w:name="_Toc88659086"/>
      <w:bookmarkStart w:id="100" w:name="_Toc88869264"/>
      <w:bookmarkStart w:id="101" w:name="_Toc89115637"/>
      <w:bookmarkStart w:id="102" w:name="_Toc89118877"/>
      <w:bookmarkStart w:id="103" w:name="_Toc89122780"/>
      <w:bookmarkStart w:id="104" w:name="_Toc44317800"/>
      <w:bookmarkStart w:id="105" w:name="_Toc1468984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r w:rsidRPr="5575EBFC">
        <w:rPr>
          <w:lang w:val="en-GB"/>
        </w:rPr>
        <w:t>Economic drivers</w:t>
      </w:r>
      <w:bookmarkEnd w:id="104"/>
      <w:bookmarkEnd w:id="105"/>
    </w:p>
    <w:p w14:paraId="60F4FB6F" w14:textId="4235C416" w:rsidR="00AF6C9D" w:rsidRPr="00DA249F" w:rsidRDefault="008C1BF7" w:rsidP="0090109B">
      <w:pPr>
        <w:rPr>
          <w:lang w:val="en-GB"/>
        </w:rPr>
      </w:pPr>
      <w:r w:rsidRPr="00DA249F">
        <w:rPr>
          <w:lang w:val="en-GB"/>
        </w:rPr>
        <w:t>Alien species are dispersed globally and regionally both intentionally and unintentionally through trade and commerce (</w:t>
      </w:r>
      <w:r w:rsidR="009E108F" w:rsidRPr="00BB1AF8">
        <w:rPr>
          <w:b/>
          <w:iCs/>
          <w:lang w:val="en-GB"/>
        </w:rPr>
        <w:t>section</w:t>
      </w:r>
      <w:r w:rsidR="00AB2663" w:rsidRPr="00BB1AF8">
        <w:rPr>
          <w:b/>
          <w:iCs/>
          <w:lang w:val="en-GB"/>
        </w:rPr>
        <w:t>s</w:t>
      </w:r>
      <w:r w:rsidR="009E108F" w:rsidRPr="00BB1AF8">
        <w:rPr>
          <w:b/>
          <w:iCs/>
          <w:lang w:val="en-GB"/>
        </w:rPr>
        <w:t xml:space="preserve"> </w:t>
      </w:r>
      <w:r w:rsidRPr="00BB1AF8">
        <w:rPr>
          <w:b/>
          <w:iCs/>
          <w:lang w:val="en-GB"/>
        </w:rPr>
        <w:t>3.2.3.1</w:t>
      </w:r>
      <w:r w:rsidR="00AB2663" w:rsidRPr="00DA249F">
        <w:rPr>
          <w:i/>
          <w:iCs/>
          <w:lang w:val="en-GB"/>
        </w:rPr>
        <w:t xml:space="preserve"> </w:t>
      </w:r>
      <w:r w:rsidR="00AB2663" w:rsidRPr="00DA249F">
        <w:rPr>
          <w:lang w:val="en-GB"/>
        </w:rPr>
        <w:t xml:space="preserve">to </w:t>
      </w:r>
      <w:r w:rsidR="00AB2663" w:rsidRPr="00BB1AF8">
        <w:rPr>
          <w:b/>
          <w:iCs/>
          <w:lang w:val="en-GB"/>
        </w:rPr>
        <w:t>3.2.3.3</w:t>
      </w:r>
      <w:r w:rsidRPr="00DA249F">
        <w:rPr>
          <w:lang w:val="en-GB"/>
        </w:rPr>
        <w:t xml:space="preserve">) and </w:t>
      </w:r>
      <w:r w:rsidR="00092231">
        <w:rPr>
          <w:lang w:val="en-GB"/>
        </w:rPr>
        <w:t xml:space="preserve">by </w:t>
      </w:r>
      <w:r w:rsidRPr="00DA249F">
        <w:rPr>
          <w:lang w:val="en-GB"/>
        </w:rPr>
        <w:t>travellers and tourists (</w:t>
      </w:r>
      <w:r w:rsidR="00AB2663" w:rsidRPr="00BB1AF8">
        <w:rPr>
          <w:b/>
          <w:iCs/>
          <w:lang w:val="en-GB"/>
        </w:rPr>
        <w:t xml:space="preserve">section </w:t>
      </w:r>
      <w:r w:rsidRPr="00BB1AF8">
        <w:rPr>
          <w:b/>
          <w:iCs/>
          <w:lang w:val="en-GB"/>
        </w:rPr>
        <w:t>3.2.</w:t>
      </w:r>
      <w:r w:rsidR="7543CF75" w:rsidRPr="00BB1AF8">
        <w:rPr>
          <w:b/>
          <w:iCs/>
          <w:lang w:val="en-GB"/>
        </w:rPr>
        <w:t>3</w:t>
      </w:r>
      <w:r w:rsidRPr="00BB1AF8">
        <w:rPr>
          <w:b/>
          <w:iCs/>
          <w:lang w:val="en-GB"/>
        </w:rPr>
        <w:t>.</w:t>
      </w:r>
      <w:r w:rsidR="00AB2663" w:rsidRPr="00BB1AF8">
        <w:rPr>
          <w:b/>
          <w:iCs/>
          <w:lang w:val="en-GB"/>
        </w:rPr>
        <w:t>4</w:t>
      </w:r>
      <w:r w:rsidRPr="00DA249F">
        <w:rPr>
          <w:lang w:val="en-GB"/>
        </w:rPr>
        <w:t>). While the causal relationships are complex, the resulting pattern can be relatively simple and predictable</w:t>
      </w:r>
      <w:r w:rsidR="00C63653" w:rsidRPr="00DA249F">
        <w:rPr>
          <w:lang w:val="en-GB"/>
        </w:rPr>
        <w:t>.</w:t>
      </w:r>
      <w:r w:rsidRPr="00DA249F">
        <w:rPr>
          <w:lang w:val="en-GB"/>
        </w:rPr>
        <w:t xml:space="preserve"> The number of alien species found in a country often correlates with </w:t>
      </w:r>
      <w:r w:rsidR="4B6883C3" w:rsidRPr="00DA249F">
        <w:rPr>
          <w:lang w:val="en-GB"/>
        </w:rPr>
        <w:t xml:space="preserve">per capita </w:t>
      </w:r>
      <w:r w:rsidR="007F30B0" w:rsidRPr="00DA249F">
        <w:rPr>
          <w:lang w:val="en-GB"/>
        </w:rPr>
        <w:t>GDP</w:t>
      </w:r>
      <w:r w:rsidRPr="00DA249F">
        <w:rPr>
          <w:lang w:val="en-GB"/>
        </w:rPr>
        <w:t xml:space="preserve"> </w:t>
      </w:r>
      <w:r w:rsidRPr="00DA249F">
        <w:rPr>
          <w:lang w:val="en-GB"/>
        </w:rPr>
        <w:fldChar w:fldCharType="begin"/>
      </w:r>
      <w:r w:rsidR="00331A79">
        <w:rPr>
          <w:lang w:val="en-GB"/>
        </w:rPr>
        <w:instrText xml:space="preserve"> ADDIN ZOTERO_ITEM CSL_CITATION {"citationID":"QLPDeUfK","properties":{"formattedCitation":"(Dawson et al., 2017; Essl et al., 2011)","plainCitation":"(Dawson et al., 2017; Essl et al., 2011)","noteIndex":0},"citationItems":[{"id":28835,"uris":["http://zotero.org/groups/2352922/items/NJYZEFXF"],"itemData":{"id":28835,"type":"article-journal","abstract":"Human-mediated transport beyond biogeographic barriers has led to the introduction and establishment of alien species in new regions worldwide. However, we lack a global picture of established alien species richness for multiple taxonomic groups. Here, we assess global patterns and potential drivers of established alien species richness across eight taxonomic groups (amphibians, ants, birds, freshwater fishes, mammals, vascular plants, reptiles and spiders) for 186 islands and 423 mainland regions. Hotspots of established alien species richness are predominantly island and coastal mainland regions. Regions with greater gross domestic product per capita, human population density, and area have higher established alien richness, with strongest effects emerging for islands. Ants and reptiles, birds and mammals, and vascular plants and spiders form pairs of taxonomic groups with the highest spatial congruence in established alien richness, but drivers explaining richness differ between the taxa in each pair. Across all taxonomic groups, our results highlight the need to prioritize prevention of further alien species introductions to island and coastal mainland regions globally.","container-title":"Nature Ecology &amp; Evolution","DOI":"10.1038/s41559-017-0186","ISSN":"2397-334X","issue":"7","journalAbbreviation":"Nat Ecol Evol","language":"en","license":"2017 Nature Publishing Group","page":"0186","source":"www.nature.com","title":"Global hotspots and correlates of alien species richness across taxonomic groups","URL":"https://doi.org/10.1038/s41559-017-0186","volume":"1","author":[{"family":"Dawson","given":"Wayne"},{"family":"Moser","given":"Dietmar"},{"family":"Kleunen","given":"Mark","non-dropping-particle":"van"},{"family":"Kreft","given":"Holger"},{"family":"Pergl","given":"Jan"},{"family":"Pyšek","given":"Petr"},{"family":"Weigelt","given":"Patrick"},{"family":"Winter","given":"Marten"},{"family":"Lenzner","given":"Bernd"},{"family":"Blackburn","given":"Tim M."},{"family":"Dyer","given":"Ellie E."},{"family":"Cassey","given":"Phillip"},{"family":"Scrivens","given":"Sally L."},{"family":"Economo","given":"Evan P."},{"family":"Guénard","given":"Benoit"},{"family":"Capinha","given":"César"},{"family":"Seebens","given":"Hanno"},{"family":"García-Díaz","given":"Pablo"},{"family":"Nentwig","given":"Wolfgang"},{"family":"García-Berthou","given":"Emili"},{"family":"Casal","given":"Christine"},{"family":"Mandrak","given":"Nicholas E."},{"family":"Fuller","given":"Pam"},{"family":"Meyer","given":"Carsten"},{"family":"Essl","given":"Franz"}],"accessed":{"date-parts":[["2019",10,24]]},"issued":{"date-parts":[["2017",7]]}}},{"id":56280,"uris":["http://zotero.org/groups/2352922/items/YY5ECPQJ","http://zotero.org/groups/2352922/items/ITJAFPQE"],"itemData":{"id":56280,"type":"article-journal","abstract":"Globalization and economic growth are widely recognized as important drivers of biological invasions. Consequently, there is an increasing need for governments to address the role of international trade in their strategies to prevent species introductions. However, many of the most problematic alien species are not recent arrivals but were introduced several decades ago. Hence, current patterns of alien-species richness may better reflect historical rather than contemporary human activities, a phenomenon which might be called “invasion debt.” Here, we show that across 10 taxonomic groups (vascular plants, bryophytes, fungi, birds, mammals, reptiles, amphibians, fish, terrestrial insects, and aquatic invertebrates) in 28 European countries, current numbers of alien species established in the wild are indeed more closely related to indicators of socioeconomic activity from the year 1900 than to those from 2000, although the majority of species introductions occurred during the second half of the 20th century. The strength of the historical signal varies among taxonomic groups, with those possessing good capabilities for dispersal (birds, insects) more strongly associated with recent socioeconomic drivers. Nevertheless, our results suggest a considerable historical legacy for the majority of the taxa analyzed. The consequences of the current high levels of socioeconomic activity on the extent of biological invasions will thus probably not be completely realized until several decades into the future.","container-title":"Proceedings of the National Academy of Sciences","DOI":"10.1073/pnas.1011728108","ISSN":"0027-8424, 1091-6490","issue":"1","journalAbbreviation":"Proc. Natl. Acad. Sci. U.S.A.","language":"en","page":"203-207","source":"DOI.org (Crossref)","title":"Socioeconomic legacy yields an invasion debt","URL":"https://pnas.org/doi/full/10.1073/pnas.1011728108","volume":"108","author":[{"family":"Essl","given":"Franz"},{"family":"Dullinger","given":"Stefan"},{"family":"Rabitsch","given":"Wolfgang"},{"family":"Hulme","given":"Philip E."},{"family":"Hülber","given":"Karl"},{"family":"Jarošík","given":"Vojtěch"},{"family":"Kleinbauer","given":"Ingrid"},{"family":"Krausmann","given":"Fridolin"},{"family":"Kühn","given":"Ingolf"},{"family":"Nentwig","given":"Wolfgang"},{"family":"Vilà","given":"Montserrat"},{"family":"Genovesi","given":"Piero"},{"family":"Gherardi","given":"Francesca"},{"family":"Desprez-Loustau","given":"Marie-Laure"},{"family":"Roques","given":"Alain"},{"family":"Pyšek","given":"Petr"}],"accessed":{"date-parts":[["2023",6,8]]},"issued":{"date-parts":[["2011",1,4]]}}}],"schema":"https://github.com/citation-style-language/schema/raw/master/csl-citation.json"} </w:instrText>
      </w:r>
      <w:r w:rsidRPr="00DA249F">
        <w:rPr>
          <w:lang w:val="en-GB"/>
        </w:rPr>
        <w:fldChar w:fldCharType="separate"/>
      </w:r>
      <w:r w:rsidR="00144D96" w:rsidRPr="00144D96">
        <w:t>(Dawson et al., 2017; Essl et al., 2011)</w:t>
      </w:r>
      <w:r w:rsidRPr="00DA249F">
        <w:rPr>
          <w:lang w:val="en-GB"/>
        </w:rPr>
        <w:fldChar w:fldCharType="end"/>
      </w:r>
      <w:r w:rsidRPr="00DA249F">
        <w:rPr>
          <w:lang w:val="en-GB"/>
        </w:rPr>
        <w:t xml:space="preserve"> reflecting the intensity of international trade which is a major conduit for the introduction of alien species </w:t>
      </w:r>
      <w:r w:rsidRPr="00DA249F">
        <w:rPr>
          <w:lang w:val="en-GB"/>
        </w:rPr>
        <w:fldChar w:fldCharType="begin"/>
      </w:r>
      <w:r w:rsidR="008E202A">
        <w:rPr>
          <w:lang w:val="en-GB"/>
        </w:rPr>
        <w:instrText xml:space="preserve"> ADDIN ZOTERO_ITEM CSL_CITATION {"citationID":"W8p7uYzd","properties":{"formattedCitation":"(Hulme, 2009)","plainCitation":"(Hulme, 2009)","noteIndex":0},"citationItems":[{"id":32387,"uris":["http://zotero.org/groups/2352922/items/M3KQUD2U"],"itemData":{"id":32387,"type":"article-journal","abstract":"1 Humans have traded and transported alien species for millennia with two notable step-changes: the end of the Middle Ages and beginning of the Industrial Revolution. However, in recent decades the world has entered a new phase in the magnitude and diversity of biological invasions: the Era of Globalization. This Special Profile reviews the links between the main drivers of globalization and biological invasions and examines state-of-the-art approaches to pathway risk assessment to illustrate new opportunities for managing invasive species. 2 Income growth is a primary driver of globalization and a clear association exists between Gross Domestic Product and the richness of alien floras and faunas for many regions of the world. In many cases, the exposure of these economies to trade is highlighted by the significant role of merchandise imports in biological invasions, especially for island ecosystems. 3 Post-1950, technical and logistic improvements have accelerated the ease with which commodities are transported across the globe and hindered the traceability of goods and the ease of intercepting pests. New sea, land and air links in international trade and human transport have established novel pathways for the spread of alien species. Increasingly, the science advances underpinning invasive species management must move at the speed of commerce. 4 Increasing transport networks and demand for commodities have led to pathway risk assessments becoming the frontline in the prevention of biological invasions. The diverse routes of introduction arising from contaminant, stowaway, corridor and unaided pathways, in both aquatic and terrestrial biomes are complex. Nevertheless, common features enable comparable approaches to risk assessment. By bringing together spatial data on climate suitability, habitat availability and points of entry, as well a demographic models that include species dispersal (both natural and human-mediated) and measures of propagule pressure, it is possible to generate risk maps highlighting potential invasion hotspots that can inform prevention strategies. 5 Synthesis and applications. To date, most attempts to model pathways have focused on describing the likelihood of invader establishment. Few have modelled explicit management strategies such as optimal detection and inspection strategies and assessments of the effectiveness of different management measures. A future focus in these areas will ensure research informs response.","container-title":"Journal of Applied Ecology","DOI":"10.1111/j.1365-2664.2008.01600.x","ISSN":"1365-2664","issue":"1","language":"en","license":"© 2009 The Author. Journal compilation © 2009 British Ecological Society","page":"10-18","source":"Wiley Online Library","title":"Trade, transport and trouble: managing invasive species pathways in an era of globalization","title-short":"Trade, transport and trouble","URL":"https://besjournals.onlinelibrary.wiley.com/doi/abs/10.1111/j.1365-2664.2008.01600.x","volume":"46","author":[{"family":"Hulme","given":"Philip E."}],"accessed":{"date-parts":[["2019",12,5]]},"issued":{"date-parts":[["2009"]]}}}],"schema":"https://github.com/citation-style-language/schema/raw/master/csl-citation.json"} </w:instrText>
      </w:r>
      <w:r w:rsidRPr="00DA249F">
        <w:rPr>
          <w:lang w:val="en-GB"/>
        </w:rPr>
        <w:fldChar w:fldCharType="separate"/>
      </w:r>
      <w:r w:rsidR="008E202A" w:rsidRPr="008E202A">
        <w:t>(Hulme, 2009)</w:t>
      </w:r>
      <w:r w:rsidRPr="00DA249F">
        <w:rPr>
          <w:lang w:val="en-GB"/>
        </w:rPr>
        <w:fldChar w:fldCharType="end"/>
      </w:r>
      <w:r w:rsidRPr="00DA249F">
        <w:rPr>
          <w:lang w:val="en-GB"/>
        </w:rPr>
        <w:t xml:space="preserve">. </w:t>
      </w:r>
    </w:p>
    <w:p w14:paraId="315EC444" w14:textId="15A57141" w:rsidR="00F971A6" w:rsidRPr="00DA249F" w:rsidRDefault="3D04D128" w:rsidP="0090109B">
      <w:pPr>
        <w:rPr>
          <w:lang w:val="en-GB"/>
        </w:rPr>
      </w:pPr>
      <w:r w:rsidRPr="5575EBFC">
        <w:rPr>
          <w:lang w:val="en-GB"/>
        </w:rPr>
        <w:t xml:space="preserve">Economic drivers impact and interact with other indirect </w:t>
      </w:r>
      <w:r w:rsidR="653902EA" w:rsidRPr="5575EBFC">
        <w:rPr>
          <w:lang w:val="en-GB"/>
        </w:rPr>
        <w:t>drivers of change in nature</w:t>
      </w:r>
      <w:r w:rsidRPr="5575EBFC">
        <w:rPr>
          <w:lang w:val="en-GB"/>
        </w:rPr>
        <w:t>, especially demographic drivers, such as population density (</w:t>
      </w:r>
      <w:r w:rsidR="1183887B" w:rsidRPr="5575EBFC">
        <w:rPr>
          <w:b/>
          <w:bCs/>
          <w:lang w:val="en-GB"/>
        </w:rPr>
        <w:t xml:space="preserve">section </w:t>
      </w:r>
      <w:r w:rsidRPr="5575EBFC">
        <w:rPr>
          <w:b/>
          <w:bCs/>
          <w:lang w:val="en-GB"/>
        </w:rPr>
        <w:t>3.</w:t>
      </w:r>
      <w:r w:rsidR="1DADF130" w:rsidRPr="5575EBFC">
        <w:rPr>
          <w:b/>
          <w:bCs/>
          <w:lang w:val="en-GB"/>
        </w:rPr>
        <w:t>2</w:t>
      </w:r>
      <w:r w:rsidRPr="5575EBFC">
        <w:rPr>
          <w:b/>
          <w:bCs/>
          <w:lang w:val="en-GB"/>
        </w:rPr>
        <w:t>.2.1</w:t>
      </w:r>
      <w:r w:rsidRPr="5575EBFC">
        <w:rPr>
          <w:lang w:val="en-GB"/>
        </w:rPr>
        <w:t xml:space="preserve">) and </w:t>
      </w:r>
      <w:r w:rsidR="5524982E" w:rsidRPr="5575EBFC">
        <w:rPr>
          <w:lang w:val="en-GB"/>
        </w:rPr>
        <w:t>urbanization</w:t>
      </w:r>
      <w:r w:rsidRPr="5575EBFC">
        <w:rPr>
          <w:lang w:val="en-GB"/>
        </w:rPr>
        <w:t xml:space="preserve"> (</w:t>
      </w:r>
      <w:r w:rsidR="0D0B683E" w:rsidRPr="5575EBFC">
        <w:rPr>
          <w:b/>
          <w:bCs/>
          <w:lang w:val="en-GB"/>
        </w:rPr>
        <w:t xml:space="preserve">section </w:t>
      </w:r>
      <w:r w:rsidRPr="5575EBFC">
        <w:rPr>
          <w:b/>
          <w:bCs/>
          <w:lang w:val="en-GB"/>
        </w:rPr>
        <w:t>3.2.2.4</w:t>
      </w:r>
      <w:r w:rsidRPr="5575EBFC">
        <w:rPr>
          <w:lang w:val="en-GB"/>
        </w:rPr>
        <w:t xml:space="preserve">). Economic drivers operate </w:t>
      </w:r>
      <w:r w:rsidR="63FB6E5E" w:rsidRPr="5575EBFC">
        <w:rPr>
          <w:lang w:val="en-GB"/>
        </w:rPr>
        <w:t>by</w:t>
      </w:r>
      <w:r w:rsidRPr="5575EBFC">
        <w:rPr>
          <w:lang w:val="en-GB"/>
        </w:rPr>
        <w:t xml:space="preserve"> influencing the rate and magnitude of change in </w:t>
      </w:r>
      <w:r w:rsidR="64197D6B" w:rsidRPr="5575EBFC">
        <w:rPr>
          <w:lang w:val="en-GB"/>
        </w:rPr>
        <w:t>the</w:t>
      </w:r>
      <w:r w:rsidRPr="5575EBFC">
        <w:rPr>
          <w:lang w:val="en-GB"/>
        </w:rPr>
        <w:t xml:space="preserve"> majority of the direct</w:t>
      </w:r>
      <w:r w:rsidR="0DC9848E" w:rsidRPr="5575EBFC">
        <w:rPr>
          <w:lang w:val="en-GB"/>
        </w:rPr>
        <w:t xml:space="preserve"> drivers</w:t>
      </w:r>
      <w:r w:rsidR="2EB4854F" w:rsidRPr="5575EBFC">
        <w:rPr>
          <w:lang w:val="en-GB"/>
        </w:rPr>
        <w:t xml:space="preserve"> of </w:t>
      </w:r>
      <w:r w:rsidR="653902EA" w:rsidRPr="5575EBFC">
        <w:rPr>
          <w:lang w:val="en-GB"/>
        </w:rPr>
        <w:t>change in nature</w:t>
      </w:r>
      <w:r w:rsidR="213094AB" w:rsidRPr="5575EBFC">
        <w:rPr>
          <w:lang w:val="en-GB"/>
        </w:rPr>
        <w:t>, including those related to l</w:t>
      </w:r>
      <w:r w:rsidRPr="5575EBFC">
        <w:rPr>
          <w:lang w:val="en-GB"/>
        </w:rPr>
        <w:t>and- and sea-use change (</w:t>
      </w:r>
      <w:r w:rsidR="0D0B683E" w:rsidRPr="5575EBFC">
        <w:rPr>
          <w:b/>
          <w:bCs/>
          <w:lang w:val="en-GB"/>
        </w:rPr>
        <w:t xml:space="preserve">section </w:t>
      </w:r>
      <w:r w:rsidRPr="5575EBFC">
        <w:rPr>
          <w:b/>
          <w:bCs/>
          <w:lang w:val="en-GB"/>
        </w:rPr>
        <w:t>3.3.1</w:t>
      </w:r>
      <w:r w:rsidRPr="5575EBFC">
        <w:rPr>
          <w:lang w:val="en-GB"/>
        </w:rPr>
        <w:t xml:space="preserve">), </w:t>
      </w:r>
      <w:r w:rsidR="1025C4C1" w:rsidRPr="5575EBFC">
        <w:rPr>
          <w:rStyle w:val="normaltextrun"/>
          <w:color w:val="000000" w:themeColor="text1"/>
          <w:lang w:val="en-GB"/>
        </w:rPr>
        <w:t>direct exploitation of natural resources</w:t>
      </w:r>
      <w:r w:rsidR="1025C4C1" w:rsidRPr="5575EBFC">
        <w:rPr>
          <w:lang w:val="en-GB"/>
        </w:rPr>
        <w:t xml:space="preserve"> </w:t>
      </w:r>
      <w:r w:rsidRPr="5575EBFC">
        <w:rPr>
          <w:lang w:val="en-GB"/>
        </w:rPr>
        <w:t>(</w:t>
      </w:r>
      <w:r w:rsidR="0D0B683E" w:rsidRPr="5575EBFC">
        <w:rPr>
          <w:b/>
          <w:bCs/>
          <w:lang w:val="en-GB"/>
        </w:rPr>
        <w:t xml:space="preserve">section </w:t>
      </w:r>
      <w:r w:rsidRPr="5575EBFC">
        <w:rPr>
          <w:b/>
          <w:bCs/>
          <w:lang w:val="en-GB"/>
        </w:rPr>
        <w:t>3.3.2</w:t>
      </w:r>
      <w:r w:rsidRPr="5575EBFC">
        <w:rPr>
          <w:lang w:val="en-GB"/>
        </w:rPr>
        <w:t>), pollution (</w:t>
      </w:r>
      <w:r w:rsidR="0D0B683E" w:rsidRPr="5575EBFC">
        <w:rPr>
          <w:b/>
          <w:bCs/>
          <w:lang w:val="en-GB"/>
        </w:rPr>
        <w:t xml:space="preserve">section </w:t>
      </w:r>
      <w:r w:rsidRPr="5575EBFC">
        <w:rPr>
          <w:b/>
          <w:bCs/>
          <w:lang w:val="en-GB"/>
        </w:rPr>
        <w:t>3.3.3</w:t>
      </w:r>
      <w:r w:rsidRPr="5575EBFC">
        <w:rPr>
          <w:lang w:val="en-GB"/>
        </w:rPr>
        <w:t>), climate change (</w:t>
      </w:r>
      <w:r w:rsidR="0D0B683E" w:rsidRPr="5575EBFC">
        <w:rPr>
          <w:b/>
          <w:bCs/>
          <w:lang w:val="en-GB"/>
        </w:rPr>
        <w:t xml:space="preserve">section </w:t>
      </w:r>
      <w:r w:rsidRPr="5575EBFC">
        <w:rPr>
          <w:b/>
          <w:bCs/>
          <w:lang w:val="en-GB"/>
        </w:rPr>
        <w:t>3.3.4</w:t>
      </w:r>
      <w:r w:rsidRPr="5575EBFC">
        <w:rPr>
          <w:lang w:val="en-GB"/>
        </w:rPr>
        <w:t xml:space="preserve">), and drivers related </w:t>
      </w:r>
      <w:r w:rsidR="6A3ECA8F" w:rsidRPr="5575EBFC">
        <w:rPr>
          <w:lang w:val="en-GB"/>
        </w:rPr>
        <w:t xml:space="preserve">to </w:t>
      </w:r>
      <w:r w:rsidR="04EDF2C9" w:rsidRPr="5575EBFC">
        <w:rPr>
          <w:lang w:val="en-GB"/>
        </w:rPr>
        <w:t xml:space="preserve">the </w:t>
      </w:r>
      <w:r w:rsidRPr="5575EBFC">
        <w:rPr>
          <w:lang w:val="en-GB"/>
        </w:rPr>
        <w:t xml:space="preserve">intentional introduction of </w:t>
      </w:r>
      <w:r w:rsidR="248CB439" w:rsidRPr="5575EBFC">
        <w:rPr>
          <w:lang w:val="en-GB"/>
        </w:rPr>
        <w:t>invasive alien species</w:t>
      </w:r>
      <w:r w:rsidR="0DB6E0BC" w:rsidRPr="5575EBFC">
        <w:rPr>
          <w:lang w:val="en-GB"/>
        </w:rPr>
        <w:t xml:space="preserve"> </w:t>
      </w:r>
      <w:r w:rsidR="04EDF2C9" w:rsidRPr="5575EBFC">
        <w:rPr>
          <w:lang w:val="en-GB"/>
        </w:rPr>
        <w:t xml:space="preserve">and associated </w:t>
      </w:r>
      <w:r w:rsidR="0DB6E0BC" w:rsidRPr="5575EBFC">
        <w:rPr>
          <w:lang w:val="en-GB"/>
        </w:rPr>
        <w:t>unintended consequences</w:t>
      </w:r>
      <w:r w:rsidR="248CB439" w:rsidRPr="5575EBFC">
        <w:rPr>
          <w:lang w:val="en-GB"/>
        </w:rPr>
        <w:t xml:space="preserve"> </w:t>
      </w:r>
      <w:r w:rsidRPr="5575EBFC">
        <w:rPr>
          <w:lang w:val="en-GB"/>
        </w:rPr>
        <w:t>(</w:t>
      </w:r>
      <w:r w:rsidR="0D0B683E" w:rsidRPr="5575EBFC">
        <w:rPr>
          <w:b/>
          <w:bCs/>
          <w:lang w:val="en-GB"/>
        </w:rPr>
        <w:t xml:space="preserve">section </w:t>
      </w:r>
      <w:r w:rsidRPr="5575EBFC">
        <w:rPr>
          <w:b/>
          <w:bCs/>
          <w:lang w:val="en-GB"/>
        </w:rPr>
        <w:t>3.3.5.2</w:t>
      </w:r>
      <w:r w:rsidRPr="5575EBFC">
        <w:rPr>
          <w:lang w:val="en-GB"/>
        </w:rPr>
        <w:t>) and biodiversity loss (</w:t>
      </w:r>
      <w:r w:rsidR="0D0B683E" w:rsidRPr="5575EBFC">
        <w:rPr>
          <w:b/>
          <w:bCs/>
          <w:lang w:val="en-GB"/>
        </w:rPr>
        <w:t xml:space="preserve">section </w:t>
      </w:r>
      <w:r w:rsidRPr="5575EBFC">
        <w:rPr>
          <w:b/>
          <w:bCs/>
          <w:lang w:val="en-GB"/>
        </w:rPr>
        <w:t>3.</w:t>
      </w:r>
      <w:r w:rsidR="4421B57B" w:rsidRPr="5575EBFC">
        <w:rPr>
          <w:b/>
          <w:bCs/>
          <w:lang w:val="en-GB"/>
        </w:rPr>
        <w:t>4.2</w:t>
      </w:r>
      <w:r w:rsidRPr="5575EBFC">
        <w:rPr>
          <w:lang w:val="en-GB"/>
        </w:rPr>
        <w:t>).</w:t>
      </w:r>
      <w:r w:rsidR="36A7F5BE" w:rsidRPr="5575EBFC">
        <w:rPr>
          <w:lang w:val="en-GB"/>
        </w:rPr>
        <w:t xml:space="preserve"> </w:t>
      </w:r>
      <w:r w:rsidR="3052F3CF" w:rsidRPr="5575EBFC">
        <w:rPr>
          <w:lang w:val="en-GB"/>
        </w:rPr>
        <w:t>Section</w:t>
      </w:r>
      <w:r w:rsidRPr="5575EBFC">
        <w:rPr>
          <w:lang w:val="en-GB"/>
        </w:rPr>
        <w:t xml:space="preserve"> 3.2.3 describes evidence for links between specific economic drivers and </w:t>
      </w:r>
      <w:r w:rsidR="248CB439" w:rsidRPr="5575EBFC">
        <w:rPr>
          <w:lang w:val="en-GB"/>
        </w:rPr>
        <w:t>invasive alien species</w:t>
      </w:r>
      <w:r w:rsidR="40C358A4" w:rsidRPr="5575EBFC">
        <w:rPr>
          <w:lang w:val="en-GB"/>
        </w:rPr>
        <w:t xml:space="preserve"> (</w:t>
      </w:r>
      <w:r w:rsidR="00E23B69">
        <w:rPr>
          <w:b/>
          <w:bCs/>
          <w:lang w:val="en-GB"/>
        </w:rPr>
        <w:t>Figure</w:t>
      </w:r>
      <w:r w:rsidR="56CA5029" w:rsidRPr="5575EBFC">
        <w:rPr>
          <w:b/>
          <w:bCs/>
          <w:lang w:val="en-GB"/>
        </w:rPr>
        <w:t xml:space="preserve"> 3.9</w:t>
      </w:r>
      <w:r w:rsidR="5E57EBF5" w:rsidRPr="5575EBFC">
        <w:rPr>
          <w:lang w:val="en-GB"/>
        </w:rPr>
        <w:t>)</w:t>
      </w:r>
      <w:r w:rsidRPr="5575EBFC">
        <w:rPr>
          <w:lang w:val="en-GB"/>
        </w:rPr>
        <w:t xml:space="preserve"> </w:t>
      </w:r>
      <w:r w:rsidR="03C51F04" w:rsidRPr="5575EBFC">
        <w:rPr>
          <w:lang w:val="en-GB"/>
        </w:rPr>
        <w:t>and makes reference</w:t>
      </w:r>
      <w:r w:rsidRPr="5575EBFC">
        <w:rPr>
          <w:lang w:val="en-GB"/>
        </w:rPr>
        <w:t xml:space="preserve"> to other indirect and direct drivers when relevant. </w:t>
      </w:r>
      <w:r w:rsidR="3C39FDCB" w:rsidRPr="5575EBFC">
        <w:rPr>
          <w:lang w:val="en-GB"/>
        </w:rPr>
        <w:lastRenderedPageBreak/>
        <w:t>M</w:t>
      </w:r>
      <w:r w:rsidR="2F467298" w:rsidRPr="5575EBFC">
        <w:rPr>
          <w:lang w:val="en-GB"/>
        </w:rPr>
        <w:t>echanistic</w:t>
      </w:r>
      <w:r w:rsidRPr="5575EBFC">
        <w:rPr>
          <w:lang w:val="en-GB"/>
        </w:rPr>
        <w:t xml:space="preserve"> links between the ensuing direct drivers and </w:t>
      </w:r>
      <w:r w:rsidR="248CB439" w:rsidRPr="5575EBFC">
        <w:rPr>
          <w:lang w:val="en-GB"/>
        </w:rPr>
        <w:t xml:space="preserve">invasive alien species </w:t>
      </w:r>
      <w:r w:rsidRPr="5575EBFC">
        <w:rPr>
          <w:lang w:val="en-GB"/>
        </w:rPr>
        <w:t xml:space="preserve">are discussed in </w:t>
      </w:r>
      <w:r w:rsidR="3052F3CF" w:rsidRPr="5575EBFC">
        <w:rPr>
          <w:b/>
          <w:bCs/>
          <w:lang w:val="en-GB"/>
        </w:rPr>
        <w:t>section</w:t>
      </w:r>
      <w:r w:rsidR="65C70F9F" w:rsidRPr="5575EBFC">
        <w:rPr>
          <w:b/>
          <w:bCs/>
          <w:lang w:val="en-GB"/>
        </w:rPr>
        <w:t xml:space="preserve"> 3.3</w:t>
      </w:r>
      <w:r w:rsidR="65C70F9F" w:rsidRPr="5575EBFC">
        <w:rPr>
          <w:lang w:val="en-GB"/>
        </w:rPr>
        <w:t xml:space="preserve">. </w:t>
      </w:r>
    </w:p>
    <w:p w14:paraId="1B9C309C" w14:textId="77777777" w:rsidR="007A5E17" w:rsidRPr="00DA249F" w:rsidRDefault="009F2D68" w:rsidP="0090109B">
      <w:pPr>
        <w:rPr>
          <w:lang w:val="en-GB"/>
        </w:rPr>
      </w:pPr>
      <w:r w:rsidRPr="009F2D68">
        <w:rPr>
          <w:noProof/>
          <w:lang w:val="en-GB"/>
        </w:rPr>
        <w:drawing>
          <wp:inline distT="0" distB="0" distL="0" distR="0" wp14:anchorId="424572E8" wp14:editId="0DD75B68">
            <wp:extent cx="6115050" cy="2291080"/>
            <wp:effectExtent l="0" t="0" r="6350" b="0"/>
            <wp:docPr id="37" name="Picture 37" descr="A diagram of a busines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descr="A diagram of a business&#10;&#10;Description automatically generated with medium confidence"/>
                    <pic:cNvPicPr/>
                  </pic:nvPicPr>
                  <pic:blipFill>
                    <a:blip r:embed="rId27"/>
                    <a:stretch>
                      <a:fillRect/>
                    </a:stretch>
                  </pic:blipFill>
                  <pic:spPr>
                    <a:xfrm>
                      <a:off x="0" y="0"/>
                      <a:ext cx="6115050" cy="2291080"/>
                    </a:xfrm>
                    <a:prstGeom prst="rect">
                      <a:avLst/>
                    </a:prstGeom>
                    <a:ln>
                      <a:noFill/>
                    </a:ln>
                  </pic:spPr>
                </pic:pic>
              </a:graphicData>
            </a:graphic>
          </wp:inline>
        </w:drawing>
      </w:r>
    </w:p>
    <w:p w14:paraId="52018439" w14:textId="5A0D23A8" w:rsidR="3DE8CAA6" w:rsidRPr="00DA249F" w:rsidRDefault="620D3760" w:rsidP="00C85F63">
      <w:pPr>
        <w:pStyle w:val="Caption"/>
        <w:rPr>
          <w:b w:val="0"/>
          <w:bCs w:val="0"/>
          <w:lang w:val="en-GB"/>
        </w:rPr>
      </w:pPr>
      <w:bookmarkStart w:id="106" w:name="_Ref104902510"/>
      <w:bookmarkStart w:id="107" w:name="_Toc147500894"/>
      <w:r w:rsidRPr="5575EBFC">
        <w:rPr>
          <w:lang w:val="en-GB"/>
        </w:rPr>
        <w:t>Figure</w:t>
      </w:r>
      <w:r w:rsidR="4AFB08B4" w:rsidRPr="5575EBFC">
        <w:rPr>
          <w:lang w:val="en-GB"/>
        </w:rPr>
        <w:t xml:space="preserve"> 3.</w:t>
      </w:r>
      <w:r w:rsidR="6F6889ED" w:rsidRPr="5575EBFC">
        <w:rPr>
          <w:lang w:val="en-GB"/>
        </w:rPr>
        <w:fldChar w:fldCharType="begin"/>
      </w:r>
      <w:r w:rsidR="6F6889ED" w:rsidRPr="5575EBFC">
        <w:rPr>
          <w:lang w:val="en-GB"/>
        </w:rPr>
        <w:instrText xml:space="preserve"> SEQ Figure_3. \* ARABIC </w:instrText>
      </w:r>
      <w:r w:rsidR="6F6889ED" w:rsidRPr="5575EBFC">
        <w:rPr>
          <w:lang w:val="en-GB"/>
        </w:rPr>
        <w:fldChar w:fldCharType="separate"/>
      </w:r>
      <w:r w:rsidR="00287BC7">
        <w:rPr>
          <w:noProof/>
          <w:lang w:val="en-GB"/>
        </w:rPr>
        <w:t>9</w:t>
      </w:r>
      <w:r w:rsidR="6F6889ED" w:rsidRPr="5575EBFC">
        <w:rPr>
          <w:lang w:val="en-GB"/>
        </w:rPr>
        <w:fldChar w:fldCharType="end"/>
      </w:r>
      <w:bookmarkEnd w:id="106"/>
      <w:r w:rsidR="4AD1CCCF" w:rsidRPr="5575EBFC">
        <w:rPr>
          <w:lang w:val="en-GB"/>
        </w:rPr>
        <w:t xml:space="preserve">. </w:t>
      </w:r>
      <w:r w:rsidR="623A742E" w:rsidRPr="5575EBFC">
        <w:rPr>
          <w:b w:val="0"/>
          <w:bCs w:val="0"/>
          <w:lang w:val="en-GB"/>
        </w:rPr>
        <w:t xml:space="preserve">Examples of </w:t>
      </w:r>
      <w:r w:rsidR="217606AC" w:rsidRPr="5575EBFC">
        <w:rPr>
          <w:b w:val="0"/>
          <w:bCs w:val="0"/>
          <w:lang w:val="en-GB"/>
        </w:rPr>
        <w:t>the role of</w:t>
      </w:r>
      <w:r w:rsidR="623A742E" w:rsidRPr="5575EBFC">
        <w:rPr>
          <w:b w:val="0"/>
          <w:bCs w:val="0"/>
          <w:lang w:val="en-GB"/>
        </w:rPr>
        <w:t xml:space="preserve"> </w:t>
      </w:r>
      <w:r w:rsidRPr="5575EBFC">
        <w:rPr>
          <w:b w:val="0"/>
          <w:bCs w:val="0"/>
          <w:lang w:val="en-GB"/>
        </w:rPr>
        <w:t xml:space="preserve">economic drivers </w:t>
      </w:r>
      <w:r w:rsidR="1F2BB346" w:rsidRPr="5575EBFC">
        <w:rPr>
          <w:b w:val="0"/>
          <w:bCs w:val="0"/>
          <w:lang w:val="en-GB"/>
        </w:rPr>
        <w:t xml:space="preserve">in facilitating </w:t>
      </w:r>
      <w:r w:rsidR="7E6C063E" w:rsidRPr="5575EBFC">
        <w:rPr>
          <w:b w:val="0"/>
          <w:bCs w:val="0"/>
          <w:lang w:val="en-GB"/>
        </w:rPr>
        <w:t>invasive alien species</w:t>
      </w:r>
      <w:r w:rsidR="1F2BB346" w:rsidRPr="5575EBFC">
        <w:rPr>
          <w:b w:val="0"/>
          <w:bCs w:val="0"/>
          <w:lang w:val="en-GB"/>
        </w:rPr>
        <w:t xml:space="preserve"> across</w:t>
      </w:r>
      <w:r w:rsidR="1B3F6BDA" w:rsidRPr="5575EBFC">
        <w:rPr>
          <w:b w:val="0"/>
          <w:bCs w:val="0"/>
          <w:lang w:val="en-GB"/>
        </w:rPr>
        <w:t xml:space="preserve"> stages of the biological</w:t>
      </w:r>
      <w:r w:rsidR="1F2BB346" w:rsidRPr="5575EBFC">
        <w:rPr>
          <w:b w:val="0"/>
          <w:bCs w:val="0"/>
          <w:lang w:val="en-GB"/>
        </w:rPr>
        <w:t xml:space="preserve"> invasion</w:t>
      </w:r>
      <w:r w:rsidR="5B3CEF19" w:rsidRPr="5575EBFC">
        <w:rPr>
          <w:b w:val="0"/>
          <w:bCs w:val="0"/>
          <w:lang w:val="en-GB"/>
        </w:rPr>
        <w:t xml:space="preserve"> process</w:t>
      </w:r>
      <w:r w:rsidR="3FBADEDD" w:rsidRPr="5575EBFC">
        <w:rPr>
          <w:b w:val="0"/>
          <w:bCs w:val="0"/>
          <w:lang w:val="en-GB"/>
        </w:rPr>
        <w:t>.</w:t>
      </w:r>
      <w:r w:rsidR="4AFB08B4" w:rsidRPr="5575EBFC">
        <w:rPr>
          <w:lang w:val="en-GB"/>
        </w:rPr>
        <w:t xml:space="preserve"> </w:t>
      </w:r>
      <w:r w:rsidR="3753222A" w:rsidRPr="5575EBFC">
        <w:rPr>
          <w:b w:val="0"/>
          <w:bCs w:val="0"/>
          <w:lang w:val="en-GB"/>
        </w:rPr>
        <w:t>E</w:t>
      </w:r>
      <w:r w:rsidR="7708DD0B" w:rsidRPr="5575EBFC">
        <w:rPr>
          <w:b w:val="0"/>
          <w:bCs w:val="0"/>
          <w:lang w:val="en-GB"/>
        </w:rPr>
        <w:t xml:space="preserve">conomic factors </w:t>
      </w:r>
      <w:r w:rsidR="3753222A" w:rsidRPr="5575EBFC">
        <w:rPr>
          <w:b w:val="0"/>
          <w:bCs w:val="0"/>
          <w:lang w:val="en-GB"/>
        </w:rPr>
        <w:t xml:space="preserve">such as size of markets and </w:t>
      </w:r>
      <w:r w:rsidR="5E28F4D5" w:rsidRPr="5575EBFC">
        <w:rPr>
          <w:b w:val="0"/>
          <w:bCs w:val="0"/>
          <w:lang w:val="en-GB"/>
        </w:rPr>
        <w:t xml:space="preserve">trade and use of specific </w:t>
      </w:r>
      <w:r w:rsidR="11DBE1C1" w:rsidRPr="5575EBFC">
        <w:rPr>
          <w:b w:val="0"/>
          <w:bCs w:val="0"/>
          <w:lang w:val="en-GB"/>
        </w:rPr>
        <w:t>invasive</w:t>
      </w:r>
      <w:r w:rsidR="5E28F4D5" w:rsidRPr="5575EBFC">
        <w:rPr>
          <w:b w:val="0"/>
          <w:bCs w:val="0"/>
          <w:lang w:val="en-GB"/>
        </w:rPr>
        <w:t xml:space="preserve"> alien organisms can facilitate their transport and introduction, whereas </w:t>
      </w:r>
      <w:r w:rsidR="3753222A" w:rsidRPr="5575EBFC">
        <w:rPr>
          <w:b w:val="0"/>
          <w:bCs w:val="0"/>
          <w:lang w:val="en-GB"/>
        </w:rPr>
        <w:t>trade and tourism can facilitate the further spread</w:t>
      </w:r>
      <w:r w:rsidR="1F2BB346" w:rsidRPr="5575EBFC">
        <w:rPr>
          <w:b w:val="0"/>
          <w:bCs w:val="0"/>
          <w:lang w:val="en-GB"/>
        </w:rPr>
        <w:t xml:space="preserve"> </w:t>
      </w:r>
      <w:r w:rsidR="3753222A" w:rsidRPr="5575EBFC">
        <w:rPr>
          <w:b w:val="0"/>
          <w:bCs w:val="0"/>
          <w:lang w:val="en-GB"/>
        </w:rPr>
        <w:t>of invasive alien species within regions</w:t>
      </w:r>
      <w:r w:rsidR="7708DD0B" w:rsidRPr="5575EBFC">
        <w:rPr>
          <w:b w:val="0"/>
          <w:bCs w:val="0"/>
          <w:lang w:val="en-GB"/>
        </w:rPr>
        <w:t>.</w:t>
      </w:r>
      <w:bookmarkEnd w:id="107"/>
    </w:p>
    <w:p w14:paraId="1F3A5759" w14:textId="77777777" w:rsidR="008C1BF7" w:rsidRPr="00DA249F" w:rsidRDefault="620ECA5E" w:rsidP="004826A3">
      <w:pPr>
        <w:pStyle w:val="Heading3"/>
        <w:rPr>
          <w:lang w:val="en-GB"/>
        </w:rPr>
      </w:pPr>
      <w:bookmarkStart w:id="108" w:name="_Toc44317801"/>
      <w:r w:rsidRPr="00DA249F">
        <w:rPr>
          <w:lang w:val="en-GB"/>
        </w:rPr>
        <w:t>International</w:t>
      </w:r>
      <w:r w:rsidR="4DECFCF7" w:rsidRPr="00DA249F">
        <w:rPr>
          <w:lang w:val="en-GB"/>
        </w:rPr>
        <w:t xml:space="preserve"> </w:t>
      </w:r>
      <w:r w:rsidR="2F0A3E84" w:rsidRPr="00DA249F">
        <w:rPr>
          <w:lang w:val="en-GB"/>
        </w:rPr>
        <w:t>t</w:t>
      </w:r>
      <w:r w:rsidR="0231CA54" w:rsidRPr="00DA249F">
        <w:rPr>
          <w:lang w:val="en-GB"/>
        </w:rPr>
        <w:t xml:space="preserve">rade </w:t>
      </w:r>
      <w:r w:rsidR="6B5AAE5E" w:rsidRPr="00DA249F">
        <w:rPr>
          <w:lang w:val="en-GB"/>
        </w:rPr>
        <w:t>and</w:t>
      </w:r>
      <w:r w:rsidR="0231CA54" w:rsidRPr="00DA249F">
        <w:rPr>
          <w:lang w:val="en-GB"/>
        </w:rPr>
        <w:t xml:space="preserve"> global commerce</w:t>
      </w:r>
      <w:bookmarkEnd w:id="108"/>
    </w:p>
    <w:p w14:paraId="1C35C69A" w14:textId="65D1BCBD" w:rsidR="00AF6C9D" w:rsidRPr="00DA249F" w:rsidRDefault="35A06805" w:rsidP="0090109B">
      <w:pPr>
        <w:rPr>
          <w:lang w:val="en-GB"/>
        </w:rPr>
      </w:pPr>
      <w:r w:rsidRPr="00DA249F">
        <w:rPr>
          <w:lang w:val="en-GB"/>
        </w:rPr>
        <w:t>International trade (whether legal or illegal) in commodities (e.g.</w:t>
      </w:r>
      <w:r w:rsidR="7652FA03" w:rsidRPr="00DA249F">
        <w:rPr>
          <w:lang w:val="en-GB"/>
        </w:rPr>
        <w:t>,</w:t>
      </w:r>
      <w:r w:rsidRPr="00DA249F">
        <w:rPr>
          <w:lang w:val="en-GB"/>
        </w:rPr>
        <w:t xml:space="preserve"> minerals, petrochemical products, agricultural </w:t>
      </w:r>
      <w:r w:rsidR="694A5A30" w:rsidRPr="00DA249F">
        <w:rPr>
          <w:lang w:val="en-GB"/>
        </w:rPr>
        <w:t>products</w:t>
      </w:r>
      <w:r w:rsidRPr="00DA249F">
        <w:rPr>
          <w:lang w:val="en-GB"/>
        </w:rPr>
        <w:t xml:space="preserve">, machinery and </w:t>
      </w:r>
      <w:r w:rsidR="6335DD3D" w:rsidRPr="00DA249F">
        <w:rPr>
          <w:lang w:val="en-GB"/>
        </w:rPr>
        <w:t>electronic goods</w:t>
      </w:r>
      <w:r w:rsidRPr="00DA249F">
        <w:rPr>
          <w:lang w:val="en-GB"/>
        </w:rPr>
        <w:t xml:space="preserve">, </w:t>
      </w:r>
      <w:r w:rsidR="171D5697" w:rsidRPr="00DA249F">
        <w:rPr>
          <w:lang w:val="en-GB"/>
        </w:rPr>
        <w:t>plants</w:t>
      </w:r>
      <w:r w:rsidR="009F7404">
        <w:rPr>
          <w:lang w:val="en-GB"/>
        </w:rPr>
        <w:t xml:space="preserve"> and</w:t>
      </w:r>
      <w:r w:rsidR="171D5697" w:rsidRPr="00DA249F">
        <w:rPr>
          <w:lang w:val="en-GB"/>
        </w:rPr>
        <w:t xml:space="preserve"> </w:t>
      </w:r>
      <w:r w:rsidRPr="00DA249F">
        <w:rPr>
          <w:lang w:val="en-GB"/>
        </w:rPr>
        <w:t>wildlife)</w:t>
      </w:r>
      <w:r w:rsidR="793DBDFF">
        <w:rPr>
          <w:lang w:val="en-GB"/>
        </w:rPr>
        <w:t xml:space="preserve"> is an</w:t>
      </w:r>
      <w:r w:rsidRPr="00DA249F">
        <w:rPr>
          <w:lang w:val="en-GB"/>
        </w:rPr>
        <w:t xml:space="preserve"> important route through which invasive alien species are introduced into new region</w:t>
      </w:r>
      <w:r w:rsidR="0A63D59A">
        <w:rPr>
          <w:lang w:val="en-GB"/>
        </w:rPr>
        <w:t>s</w:t>
      </w:r>
      <w:r w:rsidR="4BE1E77C" w:rsidRPr="00DA249F">
        <w:rPr>
          <w:lang w:val="en-GB"/>
        </w:rPr>
        <w:t xml:space="preserve"> </w:t>
      </w:r>
      <w:r w:rsidR="0071159F" w:rsidRPr="00DA249F">
        <w:rPr>
          <w:lang w:val="en-GB"/>
        </w:rPr>
        <w:fldChar w:fldCharType="begin"/>
      </w:r>
      <w:r w:rsidR="008E202A">
        <w:rPr>
          <w:lang w:val="en-GB"/>
        </w:rPr>
        <w:instrText xml:space="preserve"> ADDIN ZOTERO_ITEM CSL_CITATION {"citationID":"D7o1gGim","properties":{"formattedCitation":"(Hulme, 2021b)","plainCitation":"(Hulme, 2021b)","noteIndex":0},"citationItems":[{"id":29731,"uris":["http://zotero.org/groups/2352922/items/KV62X9CX"],"itemData":{"id":29731,"type":"article-journal","abstract":"Biological invasions are synonymous with international trade. The direct effects of trade have largely been quantiﬁed using relationships between imports and the number of alien species in a region or patterns in the global spread of species linked to shipping and air trafﬁc networks. But trade also has an indirect role on biological invasions by transforming the environments and societies of exporting and importing nations. Here, both the direct and indirect roles of trade on biological invasions, as well as their interaction, are examined for the ﬁrst time. Future trends in international trade, including e-commerce, new trade routes, and major infrastructure developments, will lead to the pressure on national borders soon outstripping the resources available for intervention. The current legislative and scientiﬁc tools targeting biological invasions are insufﬁcient to deal with this growing threat and require a new mindset that focuses on curbing the pandemic risk posed by alien species.","container-title":"One Earth","DOI":"10.1016/j.oneear.2021.04.015","ISSN":"25903322","issue":"5","journalAbbreviation":"One Earth","language":"en","page":"666-679","source":"DOI.org (Crossref)","title":"Unwelcome exchange: International trade as a direct and indirect driver of biological invasions worldwide","title-short":"Unwelcome exchange","URL":"https://doi.org/10.1016/j.oneear.2021.04.015","volume":"4","author":[{"family":"Hulme","given":"Philip E."}],"accessed":{"date-parts":[["2021",7,8]]},"issued":{"date-parts":[["2021",5]]}}}],"schema":"https://github.com/citation-style-language/schema/raw/master/csl-citation.json"} </w:instrText>
      </w:r>
      <w:r w:rsidR="0071159F" w:rsidRPr="00DA249F">
        <w:rPr>
          <w:lang w:val="en-GB"/>
        </w:rPr>
        <w:fldChar w:fldCharType="separate"/>
      </w:r>
      <w:r w:rsidR="008E202A" w:rsidRPr="008E202A">
        <w:t>(Hulme, 2021b)</w:t>
      </w:r>
      <w:r w:rsidR="0071159F" w:rsidRPr="00DA249F">
        <w:rPr>
          <w:lang w:val="en-GB"/>
        </w:rPr>
        <w:fldChar w:fldCharType="end"/>
      </w:r>
      <w:r w:rsidRPr="00DA249F">
        <w:rPr>
          <w:lang w:val="en-GB"/>
        </w:rPr>
        <w:t xml:space="preserve">. International trade has grown dramatically since 1950 </w:t>
      </w:r>
      <w:r w:rsidR="008C1BF7" w:rsidRPr="00DA249F">
        <w:rPr>
          <w:lang w:val="en-GB"/>
        </w:rPr>
        <w:fldChar w:fldCharType="begin"/>
      </w:r>
      <w:r w:rsidR="008E202A">
        <w:rPr>
          <w:lang w:val="en-GB"/>
        </w:rPr>
        <w:instrText xml:space="preserve"> ADDIN ZOTERO_ITEM CSL_CITATION {"citationID":"q4eKwzKC","properties":{"formattedCitation":"(Hulme, 2009, 2021b)","plainCitation":"(Hulme, 2009, 2021b)","noteIndex":0},"citationItems":[{"id":32387,"uris":["http://zotero.org/groups/2352922/items/M3KQUD2U"],"itemData":{"id":32387,"type":"article-journal","abstract":"1 Humans have traded and transported alien species for millennia with two notable step-changes: the end of the Middle Ages and beginning of the Industrial Revolution. However, in recent decades the world has entered a new phase in the magnitude and diversity of biological invasions: the Era of Globalization. This Special Profile reviews the links between the main drivers of globalization and biological invasions and examines state-of-the-art approaches to pathway risk assessment to illustrate new opportunities for managing invasive species. 2 Income growth is a primary driver of globalization and a clear association exists between Gross Domestic Product and the richness of alien floras and faunas for many regions of the world. In many cases, the exposure of these economies to trade is highlighted by the significant role of merchandise imports in biological invasions, especially for island ecosystems. 3 Post-1950, technical and logistic improvements have accelerated the ease with which commodities are transported across the globe and hindered the traceability of goods and the ease of intercepting pests. New sea, land and air links in international trade and human transport have established novel pathways for the spread of alien species. Increasingly, the science advances underpinning invasive species management must move at the speed of commerce. 4 Increasing transport networks and demand for commodities have led to pathway risk assessments becoming the frontline in the prevention of biological invasions. The diverse routes of introduction arising from contaminant, stowaway, corridor and unaided pathways, in both aquatic and terrestrial biomes are complex. Nevertheless, common features enable comparable approaches to risk assessment. By bringing together spatial data on climate suitability, habitat availability and points of entry, as well a demographic models that include species dispersal (both natural and human-mediated) and measures of propagule pressure, it is possible to generate risk maps highlighting potential invasion hotspots that can inform prevention strategies. 5 Synthesis and applications. To date, most attempts to model pathways have focused on describing the likelihood of invader establishment. Few have modelled explicit management strategies such as optimal detection and inspection strategies and assessments of the effectiveness of different management measures. A future focus in these areas will ensure research informs response.","container-title":"Journal of Applied Ecology","DOI":"10.1111/j.1365-2664.2008.01600.x","ISSN":"1365-2664","issue":"1","language":"en","license":"© 2009 The Author. Journal compilation © 2009 British Ecological Society","page":"10-18","source":"Wiley Online Library","title":"Trade, transport and trouble: managing invasive species pathways in an era of globalization","title-short":"Trade, transport and trouble","URL":"https://besjournals.onlinelibrary.wiley.com/doi/abs/10.1111/j.1365-2664.2008.01600.x","volume":"46","author":[{"family":"Hulme","given":"Philip E."}],"accessed":{"date-parts":[["2019",12,5]]},"issued":{"date-parts":[["2009"]]}},"label":"page"},{"id":29731,"uris":["http://zotero.org/groups/2352922/items/KV62X9CX"],"itemData":{"id":29731,"type":"article-journal","abstract":"Biological invasions are synonymous with international trade. The direct effects of trade have largely been quantiﬁed using relationships between imports and the number of alien species in a region or patterns in the global spread of species linked to shipping and air trafﬁc networks. But trade also has an indirect role on biological invasions by transforming the environments and societies of exporting and importing nations. Here, both the direct and indirect roles of trade on biological invasions, as well as their interaction, are examined for the ﬁrst time. Future trends in international trade, including e-commerce, new trade routes, and major infrastructure developments, will lead to the pressure on national borders soon outstripping the resources available for intervention. The current legislative and scientiﬁc tools targeting biological invasions are insufﬁcient to deal with this growing threat and require a new mindset that focuses on curbing the pandemic risk posed by alien species.","container-title":"One Earth","DOI":"10.1016/j.oneear.2021.04.015","ISSN":"25903322","issue":"5","journalAbbreviation":"One Earth","language":"en","page":"666-679","source":"DOI.org (Crossref)","title":"Unwelcome exchange: International trade as a direct and indirect driver of biological invasions worldwide","title-short":"Unwelcome exchange","URL":"https://doi.org/10.1016/j.oneear.2021.04.015","volume":"4","author":[{"family":"Hulme","given":"Philip E."}],"accessed":{"date-parts":[["2021",7,8]]},"issued":{"date-parts":[["2021",5]]}},"label":"page"}],"schema":"https://github.com/citation-style-language/schema/raw/master/csl-citation.json"} </w:instrText>
      </w:r>
      <w:r w:rsidR="008C1BF7" w:rsidRPr="00DA249F">
        <w:rPr>
          <w:lang w:val="en-GB"/>
        </w:rPr>
        <w:fldChar w:fldCharType="separate"/>
      </w:r>
      <w:r w:rsidR="008E202A" w:rsidRPr="008E202A">
        <w:t>(Hulme, 2009, 2021b)</w:t>
      </w:r>
      <w:r w:rsidR="008C1BF7" w:rsidRPr="00DA249F">
        <w:rPr>
          <w:lang w:val="en-GB"/>
        </w:rPr>
        <w:fldChar w:fldCharType="end"/>
      </w:r>
      <w:r w:rsidR="094DA43C" w:rsidRPr="00DA249F">
        <w:rPr>
          <w:lang w:val="en-GB"/>
        </w:rPr>
        <w:t xml:space="preserve">, </w:t>
      </w:r>
      <w:r w:rsidR="11ABFD56" w:rsidRPr="00DA249F">
        <w:rPr>
          <w:lang w:val="en-GB"/>
        </w:rPr>
        <w:t xml:space="preserve">and </w:t>
      </w:r>
      <w:r w:rsidR="094DA43C" w:rsidRPr="00DA249F">
        <w:rPr>
          <w:lang w:val="en-GB"/>
        </w:rPr>
        <w:t xml:space="preserve">the </w:t>
      </w:r>
      <w:r w:rsidR="5C63BC49" w:rsidRPr="00DA249F">
        <w:rPr>
          <w:lang w:val="en-GB"/>
        </w:rPr>
        <w:t xml:space="preserve">quarterly </w:t>
      </w:r>
      <w:r w:rsidR="094DA43C" w:rsidRPr="00DA249F">
        <w:rPr>
          <w:lang w:val="en-GB"/>
        </w:rPr>
        <w:t xml:space="preserve">world trade volume more than doubled from 2005 </w:t>
      </w:r>
      <w:r w:rsidR="1B2523AD" w:rsidRPr="00DA249F">
        <w:rPr>
          <w:lang w:val="en-GB"/>
        </w:rPr>
        <w:t>(</w:t>
      </w:r>
      <w:r w:rsidR="72CE67CE" w:rsidRPr="00DA249F">
        <w:rPr>
          <w:lang w:val="en-GB"/>
        </w:rPr>
        <w:t>2.5</w:t>
      </w:r>
      <w:r w:rsidR="61964290" w:rsidRPr="00DA249F">
        <w:rPr>
          <w:lang w:val="en-GB"/>
        </w:rPr>
        <w:t xml:space="preserve"> trillion</w:t>
      </w:r>
      <w:r w:rsidR="01B200C4">
        <w:rPr>
          <w:lang w:val="en-GB"/>
        </w:rPr>
        <w:t xml:space="preserve"> US dollars</w:t>
      </w:r>
      <w:r w:rsidR="75E41D2D" w:rsidRPr="008317BA">
        <w:rPr>
          <w:lang w:val="en-GB"/>
        </w:rPr>
        <w:t xml:space="preserve"> </w:t>
      </w:r>
      <w:r w:rsidR="01B200C4">
        <w:rPr>
          <w:lang w:val="en-GB"/>
        </w:rPr>
        <w:t>(</w:t>
      </w:r>
      <w:r w:rsidR="75E41D2D">
        <w:rPr>
          <w:lang w:val="en-GB"/>
        </w:rPr>
        <w:t>US</w:t>
      </w:r>
      <w:r w:rsidR="75E41D2D" w:rsidRPr="00DA249F">
        <w:rPr>
          <w:lang w:val="en-GB"/>
        </w:rPr>
        <w:t>$</w:t>
      </w:r>
      <w:r w:rsidR="01B200C4">
        <w:rPr>
          <w:lang w:val="en-GB"/>
        </w:rPr>
        <w:t>)</w:t>
      </w:r>
      <w:r w:rsidR="61964290" w:rsidRPr="00DA249F">
        <w:rPr>
          <w:lang w:val="en-GB"/>
        </w:rPr>
        <w:t xml:space="preserve">) </w:t>
      </w:r>
      <w:r w:rsidR="094DA43C" w:rsidRPr="00DA249F">
        <w:rPr>
          <w:lang w:val="en-GB"/>
        </w:rPr>
        <w:t>to 2019</w:t>
      </w:r>
      <w:r w:rsidR="55176F48" w:rsidRPr="00DA249F">
        <w:rPr>
          <w:lang w:val="en-GB"/>
        </w:rPr>
        <w:t xml:space="preserve"> (over </w:t>
      </w:r>
      <w:r w:rsidR="75E41D2D">
        <w:rPr>
          <w:lang w:val="en-GB"/>
        </w:rPr>
        <w:t>US</w:t>
      </w:r>
      <w:r w:rsidR="55176F48" w:rsidRPr="00DA249F">
        <w:rPr>
          <w:lang w:val="en-GB"/>
        </w:rPr>
        <w:t>$</w:t>
      </w:r>
      <w:r w:rsidR="6AB0F7CC" w:rsidRPr="00DA249F">
        <w:rPr>
          <w:lang w:val="en-GB"/>
        </w:rPr>
        <w:t xml:space="preserve">6 </w:t>
      </w:r>
      <w:r w:rsidR="55176F48" w:rsidRPr="00DA249F">
        <w:rPr>
          <w:lang w:val="en-GB"/>
        </w:rPr>
        <w:t>trillion</w:t>
      </w:r>
      <w:r w:rsidR="1903CD81" w:rsidRPr="00DA249F">
        <w:rPr>
          <w:lang w:val="en-GB"/>
        </w:rPr>
        <w:t>;</w:t>
      </w:r>
      <w:r w:rsidR="0AAF2C29" w:rsidRPr="00DA249F">
        <w:rPr>
          <w:lang w:val="en-GB"/>
        </w:rPr>
        <w:t xml:space="preserve"> </w:t>
      </w:r>
      <w:r w:rsidR="00CB0B2F" w:rsidRPr="00DA249F">
        <w:rPr>
          <w:lang w:val="en-GB"/>
        </w:rPr>
        <w:fldChar w:fldCharType="begin"/>
      </w:r>
      <w:r w:rsidR="00230216">
        <w:rPr>
          <w:lang w:val="en-GB"/>
        </w:rPr>
        <w:instrText xml:space="preserve"> ADDIN ZOTERO_ITEM CSL_CITATION {"citationID":"I0ZMZCX6","properties":{"formattedCitation":"(WTO, 2021)","plainCitation":"(WTO, 2021)","dontUpdate":true,"noteIndex":0},"citationItems":[{"id":"zUkrYEfa/iGHXTpm1","uris":["http://zotero.org/users/5651267/items/PS7ZKDXN"],"itemData":{"id":66204,"type":"webpage","abstract":"The \"World Trade Report\" is an annual publication that aims to deepen understanding about trends in trade, trade policy issues and the multilateral trading system.","genre":"Text","language":"en","note":"source: www.wto-ilibrary.org","title":"World Trade Report","URL":"https://www.wto-ilibrary.org/trade-monitoring/world-trade-report_0949bcf3-en","author":[{"family":"WTO","given":""}],"accessed":{"date-parts":[["2021",11,30]]},"issued":{"date-parts":[["2021"]]}}}],"schema":"https://github.com/citation-style-language/schema/raw/master/csl-citation.json"} </w:instrText>
      </w:r>
      <w:r w:rsidR="00CB0B2F" w:rsidRPr="00DA249F">
        <w:rPr>
          <w:lang w:val="en-GB"/>
        </w:rPr>
        <w:fldChar w:fldCharType="separate"/>
      </w:r>
      <w:r w:rsidR="7CAD6B32" w:rsidRPr="00DA249F">
        <w:rPr>
          <w:lang w:val="en-GB"/>
        </w:rPr>
        <w:t>WTO, 2021)</w:t>
      </w:r>
      <w:r w:rsidR="00CB0B2F" w:rsidRPr="00DA249F">
        <w:rPr>
          <w:lang w:val="en-GB"/>
        </w:rPr>
        <w:fldChar w:fldCharType="end"/>
      </w:r>
      <w:r w:rsidR="7CAD6B32" w:rsidRPr="00DA249F">
        <w:rPr>
          <w:lang w:val="en-GB"/>
        </w:rPr>
        <w:t>, s</w:t>
      </w:r>
      <w:r w:rsidR="62BEBA83" w:rsidRPr="00DA249F">
        <w:rPr>
          <w:lang w:val="en-GB"/>
        </w:rPr>
        <w:t>o that</w:t>
      </w:r>
      <w:r w:rsidRPr="00DA249F">
        <w:rPr>
          <w:lang w:val="en-GB"/>
        </w:rPr>
        <w:t xml:space="preserve"> few nations in the world are not linked to others through trade. In many ways, trade is a universal driver </w:t>
      </w:r>
      <w:r w:rsidR="55DC5658" w:rsidRPr="00DA249F">
        <w:rPr>
          <w:lang w:val="en-GB"/>
        </w:rPr>
        <w:t>facilitat</w:t>
      </w:r>
      <w:r w:rsidR="28E5CE4B" w:rsidRPr="00DA249F">
        <w:rPr>
          <w:lang w:val="en-GB"/>
        </w:rPr>
        <w:t>ing</w:t>
      </w:r>
      <w:r w:rsidR="55DC5658" w:rsidRPr="00DA249F">
        <w:rPr>
          <w:lang w:val="en-GB"/>
        </w:rPr>
        <w:t xml:space="preserve"> </w:t>
      </w:r>
      <w:r w:rsidR="12BE43C1" w:rsidRPr="00DA249F">
        <w:rPr>
          <w:lang w:val="en-GB"/>
        </w:rPr>
        <w:t>b</w:t>
      </w:r>
      <w:r w:rsidR="12BE43C1" w:rsidRPr="728F2DAF">
        <w:rPr>
          <w:rFonts w:eastAsiaTheme="majorEastAsia"/>
          <w:spacing w:val="-10"/>
          <w:kern w:val="28"/>
          <w:lang w:val="en-GB"/>
          <w14:scene3d>
            <w14:camera w14:prst="orthographicFront"/>
            <w14:lightRig w14:rig="threePt" w14:dir="t">
              <w14:rot w14:lat="0" w14:lon="0" w14:rev="0"/>
            </w14:lightRig>
          </w14:scene3d>
        </w:rPr>
        <w:t>iological</w:t>
      </w:r>
      <w:r w:rsidRPr="728F2DAF">
        <w:rPr>
          <w:rFonts w:eastAsiaTheme="majorEastAsia"/>
          <w:b/>
          <w:bCs/>
          <w:spacing w:val="-10"/>
          <w:kern w:val="28"/>
          <w:lang w:val="en-GB"/>
          <w14:scene3d>
            <w14:camera w14:prst="orthographicFront"/>
            <w14:lightRig w14:rig="threePt" w14:dir="t">
              <w14:rot w14:lat="0" w14:lon="0" w14:rev="0"/>
            </w14:lightRig>
          </w14:scene3d>
        </w:rPr>
        <w:t xml:space="preserve"> </w:t>
      </w:r>
      <w:r w:rsidRPr="00DA249F">
        <w:rPr>
          <w:lang w:val="en-GB"/>
        </w:rPr>
        <w:t>invasions</w:t>
      </w:r>
      <w:r w:rsidR="0560C271" w:rsidRPr="00DA249F">
        <w:rPr>
          <w:lang w:val="en-GB"/>
        </w:rPr>
        <w:t xml:space="preserve"> across contexts</w:t>
      </w:r>
      <w:r w:rsidRPr="00DA249F">
        <w:rPr>
          <w:lang w:val="en-GB"/>
        </w:rPr>
        <w:t xml:space="preserve">, playing a role in the introduction of </w:t>
      </w:r>
      <w:r w:rsidR="02462AE8" w:rsidRPr="00DA249F">
        <w:rPr>
          <w:lang w:val="en-GB"/>
        </w:rPr>
        <w:t>aquatic</w:t>
      </w:r>
      <w:r w:rsidRPr="00DA249F">
        <w:rPr>
          <w:lang w:val="en-GB"/>
        </w:rPr>
        <w:t xml:space="preserve"> and terrestrial taxa across the world. The demand for increased international trade has led to </w:t>
      </w:r>
      <w:r w:rsidR="7603BE51" w:rsidRPr="00DA249F">
        <w:rPr>
          <w:lang w:val="en-GB"/>
        </w:rPr>
        <w:t>a major</w:t>
      </w:r>
      <w:r w:rsidRPr="00DA249F">
        <w:rPr>
          <w:lang w:val="en-GB"/>
        </w:rPr>
        <w:t xml:space="preserve"> </w:t>
      </w:r>
      <w:r w:rsidR="1293F444" w:rsidRPr="00DA249F">
        <w:rPr>
          <w:lang w:val="en-GB"/>
        </w:rPr>
        <w:t xml:space="preserve">shift </w:t>
      </w:r>
      <w:r w:rsidRPr="00DA249F">
        <w:rPr>
          <w:lang w:val="en-GB"/>
        </w:rPr>
        <w:t xml:space="preserve">in the magnitude and reach of international shipping, </w:t>
      </w:r>
      <w:r w:rsidR="722F03C3">
        <w:rPr>
          <w:lang w:val="en-GB"/>
        </w:rPr>
        <w:t xml:space="preserve">and to </w:t>
      </w:r>
      <w:r w:rsidRPr="00DA249F">
        <w:rPr>
          <w:lang w:val="en-GB"/>
        </w:rPr>
        <w:t xml:space="preserve">the development of ports and deep-water harbours, inter-regional canals and global air freight </w:t>
      </w:r>
      <w:r w:rsidR="008C1BF7" w:rsidRPr="00DA249F">
        <w:rPr>
          <w:lang w:val="en-GB"/>
        </w:rPr>
        <w:fldChar w:fldCharType="begin"/>
      </w:r>
      <w:r w:rsidR="00290A33">
        <w:rPr>
          <w:lang w:val="en-GB"/>
        </w:rPr>
        <w:instrText xml:space="preserve"> ADDIN ZOTERO_ITEM CSL_CITATION {"citationID":"FKbi3I2E","properties":{"formattedCitation":"(Hulme, 2009a)","plainCitation":"(Hulme, 2009a)","dontUpdate":true,"noteIndex":0},"citationItems":[{"id":32387,"uris":["http://zotero.org/groups/2352922/items/M3KQUD2U"],"itemData":{"id":32387,"type":"article-journal","abstract":"1 Humans have traded and transported alien species for millennia with two notable step-changes: the end of the Middle Ages and beginning of the Industrial Revolution. However, in recent decades the world has entered a new phase in the magnitude and diversity of biological invasions: the Era of Globalization. This Special Profile reviews the links between the main drivers of globalization and biological invasions and examines state-of-the-art approaches to pathway risk assessment to illustrate new opportunities for managing invasive species. 2 Income growth is a primary driver of globalization and a clear association exists between Gross Domestic Product and the richness of alien floras and faunas for many regions of the world. In many cases, the exposure of these economies to trade is highlighted by the significant role of merchandise imports in biological invasions, especially for island ecosystems. 3 Post-1950, technical and logistic improvements have accelerated the ease with which commodities are transported across the globe and hindered the traceability of goods and the ease of intercepting pests. New sea, land and air links in international trade and human transport have established novel pathways for the spread of alien species. Increasingly, the science advances underpinning invasive species management must move at the speed of commerce. 4 Increasing transport networks and demand for commodities have led to pathway risk assessments becoming the frontline in the prevention of biological invasions. The diverse routes of introduction arising from contaminant, stowaway, corridor and unaided pathways, in both aquatic and terrestrial biomes are complex. Nevertheless, common features enable comparable approaches to risk assessment. By bringing together spatial data on climate suitability, habitat availability and points of entry, as well a demographic models that include species dispersal (both natural and human-mediated) and measures of propagule pressure, it is possible to generate risk maps highlighting potential invasion hotspots that can inform prevention strategies. 5 Synthesis and applications. To date, most attempts to model pathways have focused on describing the likelihood of invader establishment. Few have modelled explicit management strategies such as optimal detection and inspection strategies and assessments of the effectiveness of different management measures. A future focus in these areas will ensure research informs response.","container-title":"Journal of Applied Ecology","DOI":"10.1111/j.1365-2664.2008.01600.x","ISSN":"1365-2664","issue":"1","language":"en","license":"© 2009 The Author. Journal compilation © 2009 British Ecological Society","page":"10-18","source":"Wiley Online Library","title":"Trade, transport and trouble: managing invasive species pathways in an era of globalization","title-short":"Trade, transport and trouble","URL":"https://besjournals.onlinelibrary.wiley.com/doi/abs/10.1111/j.1365-2664.2008.01600.x","volume":"46","author":[{"family":"Hulme","given":"Philip E."}],"accessed":{"date-parts":[["2019",12,5]]},"issued":{"date-parts":[["2009"]]}}}],"schema":"https://github.com/citation-style-language/schema/raw/master/csl-citation.json"} </w:instrText>
      </w:r>
      <w:r w:rsidR="008C1BF7" w:rsidRPr="00DA249F">
        <w:rPr>
          <w:lang w:val="en-GB"/>
        </w:rPr>
        <w:fldChar w:fldCharType="separate"/>
      </w:r>
      <w:r w:rsidR="00290A33" w:rsidRPr="00290A33">
        <w:t>(Hulme, 2009a</w:t>
      </w:r>
      <w:r w:rsidR="008C1BF7" w:rsidRPr="00DA249F">
        <w:rPr>
          <w:lang w:val="en-GB"/>
        </w:rPr>
        <w:fldChar w:fldCharType="end"/>
      </w:r>
      <w:r w:rsidR="00230216">
        <w:rPr>
          <w:lang w:val="en-GB"/>
        </w:rPr>
        <w:t>;</w:t>
      </w:r>
      <w:r w:rsidR="7D98C50D" w:rsidRPr="00DA249F">
        <w:rPr>
          <w:lang w:val="en-GB"/>
        </w:rPr>
        <w:t xml:space="preserve"> </w:t>
      </w:r>
      <w:r w:rsidR="7D98C50D" w:rsidRPr="728F2DAF">
        <w:rPr>
          <w:b/>
          <w:bCs/>
          <w:lang w:val="en-GB"/>
        </w:rPr>
        <w:t xml:space="preserve">section </w:t>
      </w:r>
      <w:r w:rsidR="7BEFE88B" w:rsidRPr="728F2DAF">
        <w:rPr>
          <w:b/>
          <w:bCs/>
          <w:lang w:val="en-GB"/>
        </w:rPr>
        <w:t>3.3.1.</w:t>
      </w:r>
      <w:r w:rsidR="44016300" w:rsidRPr="728F2DAF">
        <w:rPr>
          <w:b/>
          <w:bCs/>
          <w:lang w:val="en-GB"/>
        </w:rPr>
        <w:t>3</w:t>
      </w:r>
      <w:r w:rsidR="128BF559" w:rsidRPr="728F2DAF">
        <w:rPr>
          <w:lang w:val="en-GB"/>
        </w:rPr>
        <w:t>,</w:t>
      </w:r>
      <w:r w:rsidR="128BF559" w:rsidRPr="728F2DAF">
        <w:rPr>
          <w:i/>
          <w:iCs/>
          <w:lang w:val="en-GB"/>
        </w:rPr>
        <w:t xml:space="preserve"> </w:t>
      </w:r>
      <w:r w:rsidR="00E23B69">
        <w:rPr>
          <w:b/>
          <w:bCs/>
          <w:lang w:val="en-GB"/>
        </w:rPr>
        <w:t>Box</w:t>
      </w:r>
      <w:r w:rsidR="1B06FAA0" w:rsidRPr="728F2DAF">
        <w:rPr>
          <w:b/>
          <w:bCs/>
          <w:lang w:val="en-GB"/>
        </w:rPr>
        <w:t xml:space="preserve"> 3.7</w:t>
      </w:r>
      <w:r w:rsidR="00230216">
        <w:rPr>
          <w:lang w:val="en-GB"/>
        </w:rPr>
        <w:t>;</w:t>
      </w:r>
      <w:r w:rsidR="0E02D67C" w:rsidRPr="728F2DAF">
        <w:rPr>
          <w:lang w:val="en-GB"/>
        </w:rPr>
        <w:t xml:space="preserve"> </w:t>
      </w:r>
      <w:r w:rsidR="128BF559" w:rsidRPr="728F2DAF">
        <w:rPr>
          <w:b/>
          <w:bCs/>
          <w:lang w:val="en-GB"/>
        </w:rPr>
        <w:t xml:space="preserve">section </w:t>
      </w:r>
      <w:r w:rsidR="7BEFE88B" w:rsidRPr="728F2DAF">
        <w:rPr>
          <w:b/>
          <w:bCs/>
          <w:lang w:val="en-GB"/>
        </w:rPr>
        <w:t>3.3.1.</w:t>
      </w:r>
      <w:r w:rsidR="44016300" w:rsidRPr="728F2DAF">
        <w:rPr>
          <w:b/>
          <w:bCs/>
          <w:lang w:val="en-GB"/>
        </w:rPr>
        <w:t>4</w:t>
      </w:r>
      <w:r w:rsidR="7BEFE88B" w:rsidRPr="00DA249F">
        <w:rPr>
          <w:lang w:val="en-GB"/>
        </w:rPr>
        <w:t>)</w:t>
      </w:r>
      <w:r w:rsidRPr="00DA249F">
        <w:rPr>
          <w:lang w:val="en-GB"/>
        </w:rPr>
        <w:t xml:space="preserve">. Government officials at international borders regularly intercept invasive alien species associated with a wide range of imported commodities and transport vectors </w:t>
      </w:r>
      <w:r w:rsidR="008C1BF7" w:rsidRPr="00DA249F">
        <w:rPr>
          <w:lang w:val="en-GB"/>
        </w:rPr>
        <w:fldChar w:fldCharType="begin"/>
      </w:r>
      <w:r w:rsidR="00331A79">
        <w:rPr>
          <w:lang w:val="en-GB"/>
        </w:rPr>
        <w:instrText xml:space="preserve"> ADDIN ZOTERO_ITEM CSL_CITATION {"citationID":"UQsFaJwm","properties":{"formattedCitation":"(Bacon et al., 2012; Caley et al., 2015; McCullough et al., 2006; Work et al., 2005)","plainCitation":"(Bacon et al., 2012; Caley et al., 2015; McCullough et al., 2006; Work et al., 2005)","noteIndex":0},"citationItems":[{"id":28731,"uris":["http://zotero.org/groups/2352922/items/6L9R2U3E"],"itemData":{"id":28731,"type":"article-journal","abstract":"Introductions of invasive nonindigenous species, and the ensuing negative ecological and economic consequences, have increased with expanding global trade. Quantifying the influx of nonindigenous plant pest species through foreign trade is required for national and international risk assessments, monitoring and conservation efforts, and evaluation of ecological factors that affect invasion success. Here we use statistically robust data collected at US ports of entry and border crossings to estimate arrival rates of nonindigenous insect species via four cargo pathways and to evaluate the effectiveness of current efforts to monitor arrival of nonindigenous insect species. Interception rates were highest in refrigerated maritime cargo where a new insect species was intercepted on average every 54 inspections. Projected estimates of insect species richness stabilized only for non-refrigerated maritime cargo and US-Mexico border cargo, where inspectors likely detected 19-2% and 30-50% of the species being transported through these respective pathways. Conservative estimates of establishment suggest that 42 insect species may have become established through these four pathways between 1997 and 2001.","container-title":"Biological Invasions","DOI":"10.1007/s10530-004-1663-x","ISSN":"1387-3547","issue":"2","note":"WOS:000227957800014","page":"323-332","title":"Arrival rate of nonindigenous insect species into the United States through foreign trade","volume":"7","author":[{"family":"Work","given":"Timothy T"},{"family":"McCullough","given":"Deborah G"},{"family":"Cavey","given":"Joseph F"},{"family":"Komsa","given":"Ronald"}],"issued":{"date-parts":[["2005",3]]}}},{"id":15303,"uris":["http://zotero.org/groups/2352922/items/4TC7E3X7"],"itemData":{"id":15303,"type":"article-journal","abstract":"Despite the substantial impacts of nonindigenous plant pests and weeds, relatively little is known about the pathways by which these organisms arrive in the U.S. One source of such information is the Port Information Network (PIN) database, maintained by the U.S. Department of Agriculture, Animal and Plant Health Inspection Service (APHIS) since 1984. The PIN database is comprised of records of pests intercepted by APHIS personnel during inspections of travelers' baggage, cargo, conveyances and related items arriving at U.S. ports of entry and border crossings. Each record typically includes the taxonomic identify of the pest, its country of origin, and information related to the commodity and interception site. We summarized more than 725,000 pest interceptions recorded in PIN from 1984 to 2000 to examine origins, interception sites and modes of transport for nonindigenous insects, mites, mollusks, nematodes, plant pathogens and weeds. Roughly 62% of intercepted pests were associated with baggage, 30% were associated with cargo and 7% were associated with plant propagative material. Pest interceptions occurred most commonly at airports (73%), U.S.-Mexico land border crossings (13%) and marine ports (9%). Insects dominated the database, comprising 73 to 84% of the records annually, with the orders Homoptera, Lepidoptera and Diptera collectively accounting for over 75% of the insect records. Plant pathogens, weeds and mollusks accounted for 13, 7 and 1.5% of all pest records, respectively, while mites and nematodes comprised less than 1% of the records. Pests were intercepted from at least 259 different locations. Common origins included Mexico, Central and South American countries, the Caribbean and Asia. Within specific commodity pathways, richness of the pest taxa generally increased linearly with the number of interceptions. Application of PIN data for statistically robust predictions is limited by nonrandom sampling protocols, but the data provide a valuable historical record of the array of nonindigenous organisms transported to the U.S. through international trade and travel.","container-title":"Biological Invasions","DOI":"10.1007/s10530-005-1798-4","ISSN":"1387-3547","issue":"4","note":"WOS:000238531200005","page":"611-630","title":"Interceptions of nonindigenous plant pests at US ports of entry and border crossings over a 17-year period","volume":"8","author":[{"family":"McCullough","given":"D. G."},{"family":"Work","given":"T. T."},{"family":"Cavey","given":"J. F."},{"family":"Liebhold","given":"A. M."},{"family":"Marshall","given":"D."}],"issued":{"date-parts":[["2006",6]]}}},{"id":53260,"uris":["http://zotero.org/groups/2352922/items/6U7RAZTP"],"itemData":{"id":53260,"type":"article-journal","container-title":"PLoS ONE","DOI":"10.1371/journal.pone.0047689","ISSN":"1932-6203","issue":"10","journalAbbreviation":"PLoS ONE","language":"en","page":"e47689","source":"DOI.org (Crossref)","title":"Gaps in Border Controls Are Related to Quarantine Alien Insect Invasions in Europe","URL":"https://dx.plos.org/10.1371/journal.pone.0047689","volume":"7","author":[{"family":"Bacon","given":"Steven James"},{"family":"Bacher","given":"Sven"},{"family":"Aebi","given":"Alexandre"}],"editor":[{"family":"Gibb","given":"Heloise"}],"accessed":{"date-parts":[["2022",9,2]]},"issued":{"date-parts":[["2012",10,24]]}}},{"id":12568,"uris":["http://zotero.org/groups/2352922/items/LDHAAUT9"],"itemData":{"id":12568,"type":"article-journal","abstract":"Interception data collected at the Australian quarantine border on the orders Coleoptera, Hemiptera, Lepidoptera and Diptera during 1986-2005 were cross-referenced to incursion data. For insects from these four orders, detection at the quarantine border was a poor predictor of successful incursions over the corresponding period. Most species that successfully mounted an incursion during the 1986-2005 period were not recorded as being intercepted at the quarantine border over the same period. This may be due to either organisms arriving via pathways that are not subject to border inspection, or that the inspection sensitivity is low, or that species discovered are not reliably identified, recorded and reported. The end result is that the border inspection, at least during the period 1986-2005, would have been largely ineffective as an early warning system for a large proportion of incursions occurring over that period. This finding is contrary to the expectation that interception data is a useful tool for predicting future incursions and opens the question as to whether different approaches to collecting interception data might improve predictive power. That said, within those species that were intercepted, those with a higher interception rate had an increased probability of a recorded incursion, particularly for incursions before 1986, and so supports the argument that propagule pressure is a key factor in invasion establishment.","container-title":"Biological Invasions","DOI":"10.1007/s10530-014-0777-z","ISSN":"1387-3547","issue":"4","note":"WOS:000351197300009","page":"1087-1094","title":"Entry of exotic insects into Australia: Does border interception count match incursion risk?","volume":"17","author":[{"family":"Caley","given":"Peter"},{"family":"Ingram","given":"Robert"},{"family":"De Barro","given":"Paul"}],"issued":{"date-parts":[["2015",4]]}}}],"schema":"https://github.com/citation-style-language/schema/raw/master/csl-citation.json"} </w:instrText>
      </w:r>
      <w:r w:rsidR="008C1BF7" w:rsidRPr="00DA249F">
        <w:rPr>
          <w:lang w:val="en-GB"/>
        </w:rPr>
        <w:fldChar w:fldCharType="separate"/>
      </w:r>
      <w:r w:rsidR="0566DAD0" w:rsidRPr="00144D96">
        <w:t>(Bacon et al., 2012; Caley et al., 2015; McCullough et al., 2006; Work et al., 2005)</w:t>
      </w:r>
      <w:r w:rsidR="008C1BF7" w:rsidRPr="00DA249F">
        <w:rPr>
          <w:lang w:val="en-GB"/>
        </w:rPr>
        <w:fldChar w:fldCharType="end"/>
      </w:r>
      <w:r w:rsidRPr="00DA249F">
        <w:rPr>
          <w:lang w:val="en-GB"/>
        </w:rPr>
        <w:t xml:space="preserve">. Clearly, the more locations </w:t>
      </w:r>
      <w:r w:rsidR="3EDB491E">
        <w:rPr>
          <w:lang w:val="en-GB"/>
        </w:rPr>
        <w:t>at</w:t>
      </w:r>
      <w:r w:rsidRPr="00DA249F">
        <w:rPr>
          <w:lang w:val="en-GB"/>
        </w:rPr>
        <w:t xml:space="preserve"> which international commodities first arrive in a country (airports, seaports, land-borders), the </w:t>
      </w:r>
      <w:r w:rsidR="3EDB491E">
        <w:rPr>
          <w:lang w:val="en-GB"/>
        </w:rPr>
        <w:t>greater the</w:t>
      </w:r>
      <w:r w:rsidR="3EDB491E" w:rsidRPr="00DA249F">
        <w:rPr>
          <w:lang w:val="en-GB"/>
        </w:rPr>
        <w:t xml:space="preserve"> </w:t>
      </w:r>
      <w:r w:rsidRPr="00DA249F">
        <w:rPr>
          <w:lang w:val="en-GB"/>
        </w:rPr>
        <w:t xml:space="preserve">likelihood that invasive alien species will succeed in </w:t>
      </w:r>
      <w:r w:rsidR="6EDEDCAB" w:rsidRPr="00DA249F">
        <w:rPr>
          <w:lang w:val="en-GB"/>
        </w:rPr>
        <w:t xml:space="preserve">finding </w:t>
      </w:r>
      <w:r w:rsidRPr="00DA249F">
        <w:rPr>
          <w:lang w:val="en-GB"/>
        </w:rPr>
        <w:t>a suitable environment</w:t>
      </w:r>
      <w:r w:rsidR="14114485" w:rsidRPr="00DA249F">
        <w:rPr>
          <w:lang w:val="en-GB"/>
        </w:rPr>
        <w:t xml:space="preserve"> </w:t>
      </w:r>
      <w:r w:rsidR="6F0DCB6D" w:rsidRPr="00DA249F">
        <w:rPr>
          <w:lang w:val="en-GB"/>
        </w:rPr>
        <w:t>(</w:t>
      </w:r>
      <w:r w:rsidR="3A71B5A5" w:rsidRPr="728F2DAF">
        <w:rPr>
          <w:b/>
          <w:bCs/>
          <w:lang w:val="en-GB"/>
        </w:rPr>
        <w:t>C</w:t>
      </w:r>
      <w:r w:rsidR="6517275F" w:rsidRPr="728F2DAF">
        <w:rPr>
          <w:b/>
          <w:bCs/>
          <w:lang w:val="en-GB"/>
        </w:rPr>
        <w:t>hapter 1</w:t>
      </w:r>
      <w:r w:rsidR="6517275F" w:rsidRPr="00BB1AF8">
        <w:rPr>
          <w:lang w:val="en-GB"/>
        </w:rPr>
        <w:t>,</w:t>
      </w:r>
      <w:r w:rsidR="6517275F" w:rsidRPr="728F2DAF">
        <w:rPr>
          <w:b/>
          <w:bCs/>
          <w:lang w:val="en-GB"/>
        </w:rPr>
        <w:t xml:space="preserve"> </w:t>
      </w:r>
      <w:r w:rsidR="14114485" w:rsidRPr="728F2DAF">
        <w:rPr>
          <w:b/>
          <w:bCs/>
          <w:lang w:val="en-GB"/>
        </w:rPr>
        <w:t>section 1.</w:t>
      </w:r>
      <w:r w:rsidR="6517275F" w:rsidRPr="728F2DAF">
        <w:rPr>
          <w:b/>
          <w:bCs/>
          <w:lang w:val="en-GB"/>
        </w:rPr>
        <w:t>4.1</w:t>
      </w:r>
      <w:r w:rsidR="05D50736" w:rsidRPr="00BB1AF8">
        <w:rPr>
          <w:lang w:val="en-GB"/>
        </w:rPr>
        <w:t>;</w:t>
      </w:r>
      <w:r w:rsidR="05D50736" w:rsidRPr="728F2DAF">
        <w:rPr>
          <w:b/>
          <w:bCs/>
          <w:lang w:val="en-GB"/>
        </w:rPr>
        <w:t xml:space="preserve"> </w:t>
      </w:r>
      <w:r w:rsidR="3A71B5A5" w:rsidRPr="728F2DAF">
        <w:rPr>
          <w:b/>
          <w:bCs/>
          <w:lang w:val="en-GB"/>
        </w:rPr>
        <w:t>C</w:t>
      </w:r>
      <w:r w:rsidR="6517275F" w:rsidRPr="728F2DAF">
        <w:rPr>
          <w:b/>
          <w:bCs/>
          <w:lang w:val="en-GB"/>
        </w:rPr>
        <w:t>hapter 2</w:t>
      </w:r>
      <w:r w:rsidR="6517275F" w:rsidRPr="728F2DAF">
        <w:rPr>
          <w:lang w:val="en-GB"/>
        </w:rPr>
        <w:t>,</w:t>
      </w:r>
      <w:r w:rsidR="6517275F" w:rsidRPr="728F2DAF">
        <w:rPr>
          <w:b/>
          <w:bCs/>
          <w:lang w:val="en-GB"/>
        </w:rPr>
        <w:t xml:space="preserve"> section</w:t>
      </w:r>
      <w:r w:rsidR="74BF5926" w:rsidRPr="728F2DAF">
        <w:rPr>
          <w:b/>
          <w:bCs/>
          <w:lang w:val="en-GB"/>
        </w:rPr>
        <w:t xml:space="preserve"> 2.1.2</w:t>
      </w:r>
      <w:r w:rsidR="14114485" w:rsidRPr="00DA249F">
        <w:rPr>
          <w:lang w:val="en-GB"/>
        </w:rPr>
        <w:t>)</w:t>
      </w:r>
      <w:r w:rsidRPr="00DA249F">
        <w:rPr>
          <w:lang w:val="en-GB"/>
        </w:rPr>
        <w:t>.</w:t>
      </w:r>
      <w:r w:rsidR="55E08063" w:rsidRPr="00DA249F">
        <w:rPr>
          <w:lang w:val="en-GB"/>
        </w:rPr>
        <w:t xml:space="preserve"> </w:t>
      </w:r>
    </w:p>
    <w:p w14:paraId="5610D08B" w14:textId="4E394A71" w:rsidR="008C1BF7" w:rsidRPr="00DA249F" w:rsidRDefault="271B631C" w:rsidP="728F2DAF">
      <w:pPr>
        <w:rPr>
          <w:lang w:val="en-GB"/>
        </w:rPr>
      </w:pPr>
      <w:r w:rsidRPr="00DA249F">
        <w:rPr>
          <w:lang w:val="en-GB"/>
        </w:rPr>
        <w:t>The direct effects of trade have largely been quantified using relationships between imports and the number of alien species in a region or patterns in the global spread of species linked to shipping and air traffic networks</w:t>
      </w:r>
      <w:r w:rsidR="6A337505" w:rsidRPr="00DA249F">
        <w:rPr>
          <w:lang w:val="en-GB"/>
        </w:rPr>
        <w:t xml:space="preserve"> </w:t>
      </w:r>
      <w:r w:rsidR="00C7021D" w:rsidRPr="00DA249F">
        <w:rPr>
          <w:lang w:val="en-GB"/>
        </w:rPr>
        <w:fldChar w:fldCharType="begin"/>
      </w:r>
      <w:r w:rsidR="00331A79">
        <w:rPr>
          <w:lang w:val="en-GB"/>
        </w:rPr>
        <w:instrText xml:space="preserve"> ADDIN ZOTERO_ITEM CSL_CITATION {"citationID":"qQAOb3uV","properties":{"formattedCitation":"(Hulme, 2021b)","plainCitation":"(Hulme, 2021b)","noteIndex":0},"citationItems":[{"id":29731,"uris":["http://zotero.org/groups/2352922/items/KV62X9CX"],"itemData":{"id":29731,"type":"article-journal","abstract":"Biological invasions are synonymous with international trade. The direct effects of trade have largely been quantiﬁed using relationships between imports and the number of alien species in a region or patterns in the global spread of species linked to shipping and air trafﬁc networks. But trade also has an indirect role on biological invasions by transforming the environments and societies of exporting and importing nations. Here, both the direct and indirect roles of trade on biological invasions, as well as their interaction, are examined for the ﬁrst time. Future trends in international trade, including e-commerce, new trade routes, and major infrastructure developments, will lead to the pressure on national borders soon outstripping the resources available for intervention. The current legislative and scientiﬁc tools targeting biological invasions are insufﬁcient to deal with this growing threat and require a new mindset that focuses on curbing the pandemic risk posed by alien species.","container-title":"One Earth","DOI":"10.1016/j.oneear.2021.04.015","ISSN":"25903322","issue":"5","journalAbbreviation":"One Earth","language":"en","page":"666-679","source":"DOI.org (Crossref)","title":"Unwelcome exchange: International trade as a direct and indirect driver of biological invasions worldwide","title-short":"Unwelcome exchange","URL":"https://doi.org/10.1016/j.oneear.2021.04.015","volume":"4","author":[{"family":"Hulme","given":"Philip E."}],"accessed":{"date-parts":[["2021",7,8]]},"issued":{"date-parts":[["2021",5]]}}}],"schema":"https://github.com/citation-style-language/schema/raw/master/csl-citation.json"} </w:instrText>
      </w:r>
      <w:r w:rsidR="00C7021D" w:rsidRPr="00DA249F">
        <w:rPr>
          <w:lang w:val="en-GB"/>
        </w:rPr>
        <w:fldChar w:fldCharType="separate"/>
      </w:r>
      <w:r w:rsidR="0566DAD0" w:rsidRPr="00144D96">
        <w:t>(Hulme, 2021b)</w:t>
      </w:r>
      <w:r w:rsidR="00C7021D" w:rsidRPr="00DA249F">
        <w:rPr>
          <w:lang w:val="en-GB"/>
        </w:rPr>
        <w:fldChar w:fldCharType="end"/>
      </w:r>
      <w:r w:rsidRPr="00DA249F">
        <w:rPr>
          <w:lang w:val="en-GB"/>
        </w:rPr>
        <w:t>.</w:t>
      </w:r>
      <w:r w:rsidR="723A93E8" w:rsidRPr="00DA249F">
        <w:rPr>
          <w:lang w:val="en-GB"/>
        </w:rPr>
        <w:t xml:space="preserve"> </w:t>
      </w:r>
      <w:r w:rsidR="5D1FDC8B" w:rsidRPr="00DA249F">
        <w:rPr>
          <w:lang w:val="en-GB"/>
        </w:rPr>
        <w:t xml:space="preserve">Alien species may themselves be the </w:t>
      </w:r>
      <w:r w:rsidR="03661520" w:rsidRPr="00DA249F">
        <w:rPr>
          <w:lang w:val="en-GB"/>
        </w:rPr>
        <w:t xml:space="preserve">imported </w:t>
      </w:r>
      <w:r w:rsidR="5D1FDC8B" w:rsidRPr="00DA249F">
        <w:rPr>
          <w:lang w:val="en-GB"/>
        </w:rPr>
        <w:t>commodity (e.g.</w:t>
      </w:r>
      <w:r w:rsidR="78410B5B" w:rsidRPr="00DA249F">
        <w:rPr>
          <w:lang w:val="en-GB"/>
        </w:rPr>
        <w:t>,</w:t>
      </w:r>
      <w:r w:rsidR="5D1FDC8B" w:rsidRPr="00DA249F">
        <w:rPr>
          <w:lang w:val="en-GB"/>
        </w:rPr>
        <w:t xml:space="preserve"> aquarium</w:t>
      </w:r>
      <w:r w:rsidR="118C226B" w:rsidRPr="00DA249F">
        <w:rPr>
          <w:lang w:val="en-GB"/>
        </w:rPr>
        <w:t>, ornamental</w:t>
      </w:r>
      <w:r w:rsidR="3F9A833D" w:rsidRPr="00DA249F">
        <w:rPr>
          <w:lang w:val="en-GB"/>
        </w:rPr>
        <w:t>,</w:t>
      </w:r>
      <w:r w:rsidR="5D1FDC8B" w:rsidRPr="00DA249F">
        <w:rPr>
          <w:lang w:val="en-GB"/>
        </w:rPr>
        <w:t xml:space="preserve"> </w:t>
      </w:r>
      <w:r w:rsidR="118C226B" w:rsidRPr="00DA249F">
        <w:rPr>
          <w:lang w:val="en-GB"/>
        </w:rPr>
        <w:t>pet</w:t>
      </w:r>
      <w:r w:rsidR="610E8CB0" w:rsidRPr="00DA249F">
        <w:rPr>
          <w:lang w:val="en-GB"/>
        </w:rPr>
        <w:t>,</w:t>
      </w:r>
      <w:r w:rsidR="118C226B" w:rsidRPr="00DA249F">
        <w:rPr>
          <w:lang w:val="en-GB"/>
        </w:rPr>
        <w:t xml:space="preserve"> </w:t>
      </w:r>
      <w:r w:rsidR="7BEFE88B" w:rsidRPr="00DA249F">
        <w:rPr>
          <w:lang w:val="en-GB"/>
        </w:rPr>
        <w:t xml:space="preserve">crop, or </w:t>
      </w:r>
      <w:r w:rsidR="37381558" w:rsidRPr="00DA249F">
        <w:rPr>
          <w:lang w:val="en-GB"/>
        </w:rPr>
        <w:t xml:space="preserve">pollinator </w:t>
      </w:r>
      <w:r w:rsidR="5D1FDC8B" w:rsidRPr="00DA249F">
        <w:rPr>
          <w:lang w:val="en-GB"/>
        </w:rPr>
        <w:t>species</w:t>
      </w:r>
      <w:r w:rsidR="5D2319D1" w:rsidRPr="00DA249F">
        <w:rPr>
          <w:lang w:val="en-GB"/>
        </w:rPr>
        <w:t>;</w:t>
      </w:r>
      <w:r w:rsidR="760D6946" w:rsidRPr="00DA249F">
        <w:rPr>
          <w:lang w:val="en-GB"/>
        </w:rPr>
        <w:t xml:space="preserve"> </w:t>
      </w:r>
      <w:r w:rsidR="00E23B69">
        <w:rPr>
          <w:b/>
          <w:bCs/>
          <w:lang w:val="en-GB"/>
        </w:rPr>
        <w:t>Box</w:t>
      </w:r>
      <w:r w:rsidR="1B06FAA0" w:rsidRPr="728F2DAF">
        <w:rPr>
          <w:b/>
          <w:bCs/>
          <w:lang w:val="en-GB"/>
        </w:rPr>
        <w:t xml:space="preserve"> 3.3</w:t>
      </w:r>
      <w:r w:rsidR="5D1FDC8B" w:rsidRPr="00DA249F">
        <w:rPr>
          <w:lang w:val="en-GB"/>
        </w:rPr>
        <w:t>), or a contaminant of a commodity (e.g.</w:t>
      </w:r>
      <w:r w:rsidR="78410B5B" w:rsidRPr="00DA249F">
        <w:rPr>
          <w:lang w:val="en-GB"/>
        </w:rPr>
        <w:t>,</w:t>
      </w:r>
      <w:r w:rsidR="5D1FDC8B" w:rsidRPr="00DA249F">
        <w:rPr>
          <w:lang w:val="en-GB"/>
        </w:rPr>
        <w:t xml:space="preserve"> plant pathogens on a host plant</w:t>
      </w:r>
      <w:r w:rsidR="713A16F8" w:rsidRPr="00DA249F">
        <w:rPr>
          <w:lang w:val="en-GB"/>
        </w:rPr>
        <w:t xml:space="preserve">, seeds trapped in wool fleeces, </w:t>
      </w:r>
      <w:r w:rsidR="3F9A833D" w:rsidRPr="00DA249F">
        <w:rPr>
          <w:lang w:val="en-GB"/>
        </w:rPr>
        <w:t xml:space="preserve">or </w:t>
      </w:r>
      <w:r w:rsidR="364619D1" w:rsidRPr="00DA249F">
        <w:rPr>
          <w:lang w:val="en-GB"/>
        </w:rPr>
        <w:t>insects</w:t>
      </w:r>
      <w:r w:rsidR="713A16F8" w:rsidRPr="00DA249F">
        <w:rPr>
          <w:lang w:val="en-GB"/>
        </w:rPr>
        <w:t xml:space="preserve"> in grain shipments</w:t>
      </w:r>
      <w:r w:rsidR="5D1FDC8B" w:rsidRPr="00DA249F">
        <w:rPr>
          <w:lang w:val="en-GB"/>
        </w:rPr>
        <w:t>)</w:t>
      </w:r>
      <w:r w:rsidR="33E4D84F">
        <w:rPr>
          <w:lang w:val="en-GB"/>
        </w:rPr>
        <w:t>,</w:t>
      </w:r>
      <w:r w:rsidR="5D1FDC8B" w:rsidRPr="00DA249F">
        <w:rPr>
          <w:lang w:val="en-GB"/>
        </w:rPr>
        <w:t xml:space="preserve"> or be associated with a transport vector as a stowaway (e.g.</w:t>
      </w:r>
      <w:r w:rsidR="78410B5B" w:rsidRPr="00DA249F">
        <w:rPr>
          <w:lang w:val="en-GB"/>
        </w:rPr>
        <w:t>,</w:t>
      </w:r>
      <w:r w:rsidR="5D1FDC8B" w:rsidRPr="00DA249F">
        <w:rPr>
          <w:lang w:val="en-GB"/>
        </w:rPr>
        <w:t xml:space="preserve"> hull fouling or ballast water organisms associated with marine transport). For example, invasive alien species of ornamental fish </w:t>
      </w:r>
      <w:r w:rsidR="008C1BF7" w:rsidRPr="00DA249F">
        <w:rPr>
          <w:lang w:val="en-GB"/>
        </w:rPr>
        <w:fldChar w:fldCharType="begin"/>
      </w:r>
      <w:r w:rsidR="00331A79">
        <w:rPr>
          <w:lang w:val="en-GB"/>
        </w:rPr>
        <w:instrText xml:space="preserve"> ADDIN ZOTERO_ITEM CSL_CITATION {"citationID":"0MfJ06m6","properties":{"unsorted":true,"formattedCitation":"(Padilla &amp; Williams, 2004; Hixon et al., 2016)","plainCitation":"(Padilla &amp; Williams, 2004; Hixon et al., 2016)","noteIndex":0},"citationItems":[{"id":15299,"uris":["http://zotero.org/groups/2352922/items/P7YMTFFE"],"itemData":{"id":15299,"type":"article-journal","abstract":"Although ballast water has received much attention as a source of aquatic invasive species, aquariums and trade in aquarium and ornamental species are emerging as another important source for species likely to invade aquatic habitats. These species are spread throughout the world in a generally unregulated industry. The recent focus on the aquarium trade as a possible mechanism for environmentally sustainable development poses an especially dangerous threat, although this has so far escaped the attention of most environmentalists, conservationists, ecologists, and policy makers.","container-title":"Frontiers in Ecology and the Environment","DOI":"https://doi.org/10.1890/1540-9295(2004)002[0131:BBWAAO]2.0.CO;2","ISSN":"1540-9295","issue":"3","note":"WOS:000223960400016","page":"131-138","title":"Beyond ballast water: aquarium and ornamental trades as sources of invasive species in aquatic ecosystems","volume":"2","author":[{"family":"Padilla","given":"Dianna K."},{"family":"Williams","given":"S. L."}],"issued":{"date-parts":[["2004",4]]}}},{"id":31270,"uris":["http://zotero.org/groups/2352922/items/W9WLDYAZ"],"itemData":{"id":31270,"type":"article-journal","abstract":"Indo-Pacific lionfish Pterois volitans /miles were likely introduced to Florida coastal waters via the aquarium trade and have spread rapidly along the southeastern coast of the United States and throughout the greater Caribbean region, including Bermuda and the Gulf of Mexico. This mesopredator has strong consumptive effects on native demersal fishes, especially on coral reefs but also including a variety of other nearshore habitats. The invader may also have substantial indirect effects on reef ecosystems by overconsuming ecologically important species. Given growing concern over what is likely the most damaging marine fish invasion to date globally, this Theme Section presents findings reported during a lionfish symposium at the Gulf and Caribbean Fisheries Institute annual conference convened in Panama City, Panama, in November 2015. New findings include mechanisms that enhance the success of the invader, the extremely broad and variable diet of invasive lionfish, the ecological effects of the invader on native fish populations in various environmental contexts, and non-consumptive interactions between invasive lionfish and native predators.","container-title":"Marine Ecology Progress Series","DOI":"10.3354/meps11909","ISSN":"0171-8630, 1616-1599","journalAbbreviation":"Mar. Ecol. Prog. Ser.","language":"en","page":"161-165","source":"DOI.org (Crossref)","title":"Lionfish: a major marine invasion","title-short":"Lionfish","URL":"http://www.int-res.com/abstracts/meps/v558/p161-165/","volume":"558","author":[{"family":"Hixon","given":"Ma"},{"family":"Green","given":"Sj"},{"family":"Albins","given":"Ma"},{"family":"Akins","given":"Jl"},{"family":"Morris","given":"Ja"}],"accessed":{"date-parts":[["2021",11,16]]},"issued":{"date-parts":[["2016",10,25]]}}}],"schema":"https://github.com/citation-style-language/schema/raw/master/csl-citation.json"} </w:instrText>
      </w:r>
      <w:r w:rsidR="008C1BF7" w:rsidRPr="00DA249F">
        <w:rPr>
          <w:lang w:val="en-GB"/>
        </w:rPr>
        <w:fldChar w:fldCharType="separate"/>
      </w:r>
      <w:r w:rsidR="0566DAD0" w:rsidRPr="00144D96">
        <w:t>(Padilla &amp; Williams, 2004; Hixon et al., 2016)</w:t>
      </w:r>
      <w:r w:rsidR="008C1BF7" w:rsidRPr="00DA249F">
        <w:rPr>
          <w:lang w:val="en-GB"/>
        </w:rPr>
        <w:fldChar w:fldCharType="end"/>
      </w:r>
      <w:r w:rsidR="71025418" w:rsidRPr="00DA249F">
        <w:rPr>
          <w:lang w:val="en-GB"/>
        </w:rPr>
        <w:t>,</w:t>
      </w:r>
      <w:r w:rsidR="04DF9574" w:rsidRPr="00DA249F">
        <w:rPr>
          <w:lang w:val="en-GB"/>
        </w:rPr>
        <w:t xml:space="preserve"> </w:t>
      </w:r>
      <w:r w:rsidR="5D1FDC8B" w:rsidRPr="00DA249F">
        <w:rPr>
          <w:lang w:val="en-GB"/>
        </w:rPr>
        <w:t xml:space="preserve">plants </w:t>
      </w:r>
      <w:r w:rsidR="008C1BF7" w:rsidRPr="00DA249F">
        <w:rPr>
          <w:lang w:val="en-GB"/>
        </w:rPr>
        <w:fldChar w:fldCharType="begin"/>
      </w:r>
      <w:r w:rsidR="00F5121E">
        <w:rPr>
          <w:lang w:val="en-GB"/>
        </w:rPr>
        <w:instrText xml:space="preserve"> ADDIN ZOTERO_ITEM CSL_CITATION {"citationID":"cep9YvJJ","properties":{"formattedCitation":"(Hulme et al., 2018)","plainCitation":"(Hulme et al., 2018)","noteIndex":0},"citationItems":[{"id":29159,"uris":["http://zotero.org/groups/2352922/items/FBUVL8DD"],"itemData":{"id":29159,"type":"article-journal","abstract":"Ornamental horticulture is the primary pathway for invasive alien plant introductions. We critically appraise published evidence on the effectiveness of four policy instruments that tackle invasions along the horticulture supply chain: pre-border import restrictions, post-border bans, industry codes of conduct and consumer education. Effective pre-border interventions rely on rigorous risk assessment and high industry compliance. Post-border sales bans become progressively less effective when alien species become widespread in a region. A lack of independent performance evaluation and of public disclosure, limits the uptake and effectiveness of voluntary codes of conduct and discourages shifts in consumer preference away from invasive alien species. Policy implications. Closing the plant invasion pathway associated with ornamental horticulture requires government-industry agreements to fund effective pre- and post-border weed risk assessments that can be subsequently supported by widely adopted, as well as verifiable, industry codes of conduct. This will ensure producers and consumers make informed choices in the face of better targeted public education addressing plant invasions. © 2017 The Authors. Journal of Applied Ecology © 2017 British Ecological Society","container-title":"Journal of Applied Ecology","DOI":"10.1111/1365-2664.12953","ISSN":"00218901","issue":"1","journalAbbreviation":"J Appl Ecol","language":"en","page":"92-98","source":"DOI.org (Crossref)","title":"Integrating invasive species policies across ornamental horticulture supply chains to prevent plant invasions","URL":"http://doi.wiley.com/10.1111/1365-2664.12953","volume":"55","author":[{"family":"Hulme","given":"Philip E."},{"family":"Brundu","given":"Giuseppe"},{"family":"Carboni","given":"Marta"},{"family":"Dehnen-Schmutz","given":"Katharina"},{"family":"Dullinger","given":"Stefan"},{"family":"Early","given":"Regan"},{"family":"Essl","given":"Franz"},{"family":"González-Moreno","given":"Pablo"},{"family":"Groom","given":"Quentin J."},{"family":"Kueffer","given":"Christoph"},{"family":"Kühn","given":"Ingolf"},{"family":"Maurel","given":"Noëlie"},{"family":"Novoa","given":"Ana"},{"family":"Pergl","given":"Jan"},{"family":"Py</w:instrText>
      </w:r>
      <w:r w:rsidR="00F5121E">
        <w:rPr>
          <w:rFonts w:hint="eastAsia"/>
          <w:lang w:val="en-GB"/>
        </w:rPr>
        <w:instrText>š</w:instrText>
      </w:r>
      <w:r w:rsidR="00F5121E">
        <w:rPr>
          <w:lang w:val="en-GB"/>
        </w:rPr>
        <w:instrText xml:space="preserve">ek","given":"Petr"},{"family":"Seebens","given":"Hanno"},{"family":"Tanner","given":"Rob"},{"family":"Touza","given":"Julia M."},{"family":"Kleunen","given":"Mark","non-dropping-particle":"van"},{"family":"Verbrugge","given":"Laura N.H."}],"editor":[{"family":"Flory","given":"Luke"}],"accessed":{"date-parts":[["2019",10,21]]},"issued":{"date-parts":[["2018"]]}}}],"schema":"https://github.com/citation-style-language/schema/raw/master/csl-citation.json"} </w:instrText>
      </w:r>
      <w:r w:rsidR="008C1BF7" w:rsidRPr="00DA249F">
        <w:rPr>
          <w:lang w:val="en-GB"/>
        </w:rPr>
        <w:fldChar w:fldCharType="separate"/>
      </w:r>
      <w:r w:rsidR="0566DAD0" w:rsidRPr="00144D96">
        <w:t>(Hulme et al., 2018)</w:t>
      </w:r>
      <w:r w:rsidR="008C1BF7" w:rsidRPr="00DA249F">
        <w:rPr>
          <w:lang w:val="en-GB"/>
        </w:rPr>
        <w:fldChar w:fldCharType="end"/>
      </w:r>
      <w:r w:rsidR="5D1FDC8B" w:rsidRPr="00DA249F">
        <w:rPr>
          <w:lang w:val="en-GB"/>
        </w:rPr>
        <w:t xml:space="preserve"> </w:t>
      </w:r>
      <w:r w:rsidR="71025418" w:rsidRPr="00DA249F">
        <w:rPr>
          <w:lang w:val="en-GB"/>
        </w:rPr>
        <w:t>and insects (</w:t>
      </w:r>
      <w:r w:rsidR="00E23B69">
        <w:rPr>
          <w:b/>
          <w:bCs/>
          <w:lang w:val="en-GB"/>
        </w:rPr>
        <w:t>Box</w:t>
      </w:r>
      <w:r w:rsidR="1B06FAA0" w:rsidRPr="728F2DAF">
        <w:rPr>
          <w:b/>
          <w:bCs/>
          <w:lang w:val="en-GB"/>
        </w:rPr>
        <w:t xml:space="preserve"> 3.3</w:t>
      </w:r>
      <w:r w:rsidR="71025418" w:rsidRPr="00DA249F">
        <w:rPr>
          <w:lang w:val="en-GB"/>
        </w:rPr>
        <w:t xml:space="preserve">) </w:t>
      </w:r>
      <w:r w:rsidR="5D1FDC8B" w:rsidRPr="00DA249F">
        <w:rPr>
          <w:lang w:val="en-GB"/>
        </w:rPr>
        <w:t>are traded globally as a commodity</w:t>
      </w:r>
      <w:r w:rsidR="7D6D7110" w:rsidRPr="00DA249F">
        <w:rPr>
          <w:lang w:val="en-GB"/>
        </w:rPr>
        <w:t>.</w:t>
      </w:r>
      <w:r w:rsidR="7596051B" w:rsidRPr="00DA249F">
        <w:rPr>
          <w:lang w:val="en-GB"/>
        </w:rPr>
        <w:t xml:space="preserve"> </w:t>
      </w:r>
      <w:r w:rsidR="7D6D7110" w:rsidRPr="00DA249F">
        <w:rPr>
          <w:lang w:val="en-GB"/>
        </w:rPr>
        <w:t>The international pet trade is recogn</w:t>
      </w:r>
      <w:r w:rsidR="1C38D7EC" w:rsidRPr="00DA249F">
        <w:rPr>
          <w:lang w:val="en-GB"/>
        </w:rPr>
        <w:t>ize</w:t>
      </w:r>
      <w:r w:rsidR="7D6D7110" w:rsidRPr="00DA249F">
        <w:rPr>
          <w:lang w:val="en-GB"/>
        </w:rPr>
        <w:t xml:space="preserve">d as a primary driver for the introduction of </w:t>
      </w:r>
      <w:r w:rsidR="2B8BA926" w:rsidRPr="00DA249F">
        <w:rPr>
          <w:lang w:val="en-GB"/>
        </w:rPr>
        <w:t>invasive ali</w:t>
      </w:r>
      <w:r w:rsidR="57DA5595" w:rsidRPr="00DA249F">
        <w:rPr>
          <w:lang w:val="en-GB"/>
        </w:rPr>
        <w:t>en</w:t>
      </w:r>
      <w:r w:rsidR="2B8BA926" w:rsidRPr="00DA249F">
        <w:rPr>
          <w:lang w:val="en-GB"/>
        </w:rPr>
        <w:t xml:space="preserve"> animals</w:t>
      </w:r>
      <w:r w:rsidR="57DA5595" w:rsidRPr="00DA249F">
        <w:rPr>
          <w:lang w:val="en-GB"/>
        </w:rPr>
        <w:t xml:space="preserve"> </w:t>
      </w:r>
      <w:r w:rsidR="00A4561F" w:rsidRPr="00DA249F">
        <w:rPr>
          <w:lang w:val="en-GB"/>
        </w:rPr>
        <w:fldChar w:fldCharType="begin"/>
      </w:r>
      <w:r w:rsidR="00331A79">
        <w:rPr>
          <w:lang w:val="en-GB"/>
        </w:rPr>
        <w:instrText xml:space="preserve"> ADDIN ZOTERO_ITEM CSL_CITATION {"citationID":"uqgk3Eeg","properties":{"formattedCitation":"(Hulme, 2015a; Maceda-Veiga et al., 2013)","plainCitation":"(Hulme, 2015a; Maceda-Veiga et al., 2013)","noteIndex":0},"citationItems":[{"id":30909,"uris":["http://zotero.org/groups/2352922/items/NZFSMFGX"],"itemData":{"id":30909,"type":"article-journal","abstract":"Parties to the Convention on Biological Diversity have agreed that, by 2020, invasion pathways will be identified, prioritized and managed to prevent the introduction of invasive alien species. The challenges facing this target are examined for six primary invasion pathways: assisted colonization as a deliberate release; escape of pets and aquaria species; parasite and pathogen contaminants of wildlife; stowaways on tourist clothing and equipment; navigation corridors; and transboundary implications of unaided spread. Economic drivers such as tourism, the pet trade and infrastructure projects will accelerate invasive alien species introductions, particularly in emerging economies. Mitigation requires polluter pays' legislation combined with improved policy enforcement and compliance.Policy implications. Policymakers require new risk analysis tools to predict the hazards posed by species with no prior invasion history, the vulnerability of native biodiversity to emerging diseases, and the components of regional species pools that become invasive following connection via corridors.","container-title":"Journal of Applied Ecology","DOI":"10.1111/1365-2664.12470","ISSN":"0021-8901","issue":"6","journalAbbreviation":"J Appl Ecol","license":"© 2015 The Author. Journal of Applied Ecology © 2015 British Ecological Society","note":"WOS:000367095400002","page":"1418-1424","source":"DOI.org (Crossref)","title":"Invasion pathways at a crossroad: policy and research challenges for managing alien species introductions","title-short":"Invasion pathways at a crossroad","URL":"http://doi.wiley.com/10.1111/1365-2664.12470","volume":"52","author":[{"family":"Hulme","given":"Philip E."}],"issued":{"date-parts":[["2015",12]]}}},{"id":15277,"uris":["http://zotero.org/groups/2352922/items/67TNN4I6"],"itemData":{"id":15277,"type":"article-journal","abstract":"The aquarium trade has been identified as an important vector of aquatic invasive species but this question has mostly been investigated in North America. We investigated the variation in diversity and species composition in different trade types in southwestern Europe (three major international wholesalers, different retail store types, and local internet forums), mostly in Spain and Portugal. As in previous studies, the diversity of fishes in the aquarium trade was vast, with a total of 20 orders, 79 families, and 1,133 fish species detected in the trade types analyzed. 248 species were observed in a single metropolitan area (Barcelona), with estimates of about 294 species being present. International wholesalers had higher species richness and evenness, with a single one having over 700 species. General pet stores had much lower evenness but due to high turnover had a total richness of over 200 species. Internet forums had the lowest evenness but similar richness. The different commerce types varied significantly in relative species abundance with about a dozen of popular fish species (e.g., goldfish, Siamese fighting fish, common carp, guppy, swordtails) dominating the retail stores, particularly the general pet stores. Our results imply that frequency in the trade varies strongly among species and commerce types and although general pet stores have usually low diversity, this is compensated with a higher species turnover. Many of the most popular species are well known invasive species and some of the species available are temperate species that might establish in Europe, reinforcing the need for more careful implementation of education programs, regulation and monitoring of trade, and internalization of environmental costs by the industry.","container-title":"Biological Invasions","DOI":"10.1007/s10530-013-0485-0","ISSN":"1387-3547","issue":"12","note":"WOS:000327239500010","page":"2707-2716","title":"The aquarium trade as a potential source of fish introductions in southwestern Europe","URL":"https://link.springer.com/article/10.1007/s10530-013-0485-0","volume":"15","author":[{"family":"Maceda-Veiga","given":"Alberto"},{"family":"Escribano-Alacid","given":"Josep"},{"family":"Sostoa","given":"Adolfo","non-dropping-particle":"de"},{"family":"Garcia-Berthou","given":"Emili"}],"issued":{"date-parts":[["2013",12]]}}}],"schema":"https://github.com/citation-style-language/schema/raw/master/csl-citation.json"} </w:instrText>
      </w:r>
      <w:r w:rsidR="00A4561F" w:rsidRPr="00DA249F">
        <w:rPr>
          <w:lang w:val="en-GB"/>
        </w:rPr>
        <w:fldChar w:fldCharType="separate"/>
      </w:r>
      <w:r w:rsidR="59992841" w:rsidRPr="00186371">
        <w:t>(Hulme, 2015a; Maceda-Veiga et al., 2013)</w:t>
      </w:r>
      <w:r w:rsidR="00A4561F" w:rsidRPr="00DA249F">
        <w:rPr>
          <w:lang w:val="en-GB"/>
        </w:rPr>
        <w:fldChar w:fldCharType="end"/>
      </w:r>
      <w:r w:rsidR="02B0F820" w:rsidRPr="00DA249F">
        <w:rPr>
          <w:lang w:val="en-GB"/>
        </w:rPr>
        <w:t>.</w:t>
      </w:r>
      <w:r w:rsidR="57DA5595" w:rsidRPr="00DA249F">
        <w:rPr>
          <w:lang w:val="en-GB"/>
        </w:rPr>
        <w:t xml:space="preserve"> T</w:t>
      </w:r>
      <w:r w:rsidR="5D1FDC8B" w:rsidRPr="00DA249F">
        <w:rPr>
          <w:lang w:val="en-GB"/>
        </w:rPr>
        <w:t xml:space="preserve">he introduction of </w:t>
      </w:r>
      <w:r w:rsidR="2F40A88D" w:rsidRPr="728F2DAF">
        <w:rPr>
          <w:rStyle w:val="Emphasis"/>
          <w:rFonts w:eastAsiaTheme="majorEastAsia"/>
          <w:shd w:val="clear" w:color="auto" w:fill="FFFFFF"/>
          <w:lang w:val="en-GB"/>
        </w:rPr>
        <w:t>Aedes albopictus</w:t>
      </w:r>
      <w:r w:rsidR="2F40A88D" w:rsidRPr="00DA249F">
        <w:rPr>
          <w:lang w:val="en-GB"/>
        </w:rPr>
        <w:t xml:space="preserve"> (</w:t>
      </w:r>
      <w:r w:rsidR="5D1FDC8B" w:rsidRPr="00DA249F">
        <w:rPr>
          <w:lang w:val="en-GB"/>
        </w:rPr>
        <w:t>Asian tiger mosquito</w:t>
      </w:r>
      <w:r w:rsidR="5D1FDC8B" w:rsidRPr="728F2DAF">
        <w:rPr>
          <w:rStyle w:val="Emphasis"/>
          <w:rFonts w:eastAsiaTheme="majorEastAsia"/>
          <w:i w:val="0"/>
          <w:iCs w:val="0"/>
          <w:shd w:val="clear" w:color="auto" w:fill="FFFFFF"/>
          <w:lang w:val="en-GB"/>
        </w:rPr>
        <w:t xml:space="preserve">) is </w:t>
      </w:r>
      <w:r w:rsidR="36EE1F91" w:rsidRPr="728F2DAF">
        <w:rPr>
          <w:rStyle w:val="Emphasis"/>
          <w:rFonts w:eastAsiaTheme="majorEastAsia"/>
          <w:i w:val="0"/>
          <w:iCs w:val="0"/>
          <w:shd w:val="clear" w:color="auto" w:fill="FFFFFF"/>
          <w:lang w:val="en-GB"/>
        </w:rPr>
        <w:t>well known</w:t>
      </w:r>
      <w:r w:rsidR="76E2B76D" w:rsidRPr="728F2DAF">
        <w:rPr>
          <w:rStyle w:val="Emphasis"/>
          <w:rFonts w:eastAsiaTheme="majorEastAsia"/>
          <w:i w:val="0"/>
          <w:iCs w:val="0"/>
          <w:shd w:val="clear" w:color="auto" w:fill="FFFFFF"/>
          <w:lang w:val="en-GB"/>
        </w:rPr>
        <w:t xml:space="preserve"> </w:t>
      </w:r>
      <w:r w:rsidR="5D1FDC8B" w:rsidRPr="728F2DAF">
        <w:rPr>
          <w:rStyle w:val="Emphasis"/>
          <w:rFonts w:eastAsiaTheme="majorEastAsia"/>
          <w:i w:val="0"/>
          <w:iCs w:val="0"/>
          <w:shd w:val="clear" w:color="auto" w:fill="FFFFFF"/>
          <w:lang w:val="en-GB"/>
        </w:rPr>
        <w:t xml:space="preserve">as a contaminant of imported used tyres </w:t>
      </w:r>
      <w:r w:rsidR="008C1BF7" w:rsidRPr="728F2DAF">
        <w:rPr>
          <w:rStyle w:val="Emphasis"/>
          <w:rFonts w:eastAsiaTheme="majorEastAsia"/>
          <w:i w:val="0"/>
          <w:iCs w:val="0"/>
          <w:shd w:val="clear" w:color="auto" w:fill="FFFFFF"/>
          <w:lang w:val="en-GB"/>
        </w:rPr>
        <w:fldChar w:fldCharType="begin"/>
      </w:r>
      <w:r w:rsidR="00331A79">
        <w:rPr>
          <w:rStyle w:val="Emphasis"/>
          <w:rFonts w:eastAsiaTheme="majorEastAsia"/>
          <w:i w:val="0"/>
          <w:iCs w:val="0"/>
          <w:shd w:val="clear" w:color="auto" w:fill="FFFFFF"/>
          <w:lang w:val="en-GB"/>
        </w:rPr>
        <w:instrText xml:space="preserve"> ADDIN ZOTERO_ITEM CSL_CITATION {"citationID":"0Qki18bV","properties":{"formattedCitation":"(Benedict et al., 2007)","plainCitation":"(Benedict et al., 2007)","noteIndex":0},"citationItems":[{"id":15300,"uris":["http://zotero.org/groups/2352922/items/Z5RI8ITX"],"itemData":{"id":15300,"type":"article-journal","abstract":"Aedes albopictus, commonly known as the Asian tiger mosquito, is currently the most invasive mosquito in the world. It is of medical importance due to its aggressive daytime human-biting behavior and ability to vector many viruses, including dengue, LaCrosse, and West Nile. Invasions into new areas of its potential range are often initiated through the transportation of eggs via the international trade in used tires. We use a genetic algorithm, Genetic Algorithm for Rule Set Production (GARP), to determine the ecological niche of Ae. albopictus and predict a global ecological risk map for the continued spread of the species. We combine this analysis with risk due to importation of tires from infested countries and their proximity to countries that have already been invaded to develop a list of countries most at risk for future introductions and establishments. Methods used here have potential for predicting risks of future invasions of vectors or pathogens.","container-title":"Vector-Borne and Zoonotic Diseases","DOI":"10.1089/vbz.2006.0562","ISSN":"1530-3667","issue":"1","note":"WOS:000245531800010","page":"76-85","title":"Spread of the tiger: Global risk of invasion by the mosquito &lt;i&gt;Aedes albopictus&lt;/i&gt;","volume":"7","author":[{"family":"Benedict","given":"Mark Q."},{"family":"Levine","given":"Rebecca S."},{"family":"Hawley","given":"William A."},{"family":"Lounibos","given":"L. Philip"}],"issued":{"date-parts":[["2007"]],"season":"SPR"}}}],"schema":"https://github.com/citation-style-language/schema/raw/master/csl-citation.json"} </w:instrText>
      </w:r>
      <w:r w:rsidR="008C1BF7" w:rsidRPr="728F2DAF">
        <w:rPr>
          <w:rStyle w:val="Emphasis"/>
          <w:rFonts w:eastAsiaTheme="majorEastAsia"/>
          <w:i w:val="0"/>
          <w:iCs w:val="0"/>
          <w:shd w:val="clear" w:color="auto" w:fill="FFFFFF"/>
          <w:lang w:val="en-GB"/>
        </w:rPr>
        <w:fldChar w:fldCharType="separate"/>
      </w:r>
      <w:r w:rsidR="0566DAD0" w:rsidRPr="00144D96">
        <w:t>(Benedict et al., 2007)</w:t>
      </w:r>
      <w:r w:rsidR="008C1BF7" w:rsidRPr="728F2DAF">
        <w:rPr>
          <w:rStyle w:val="Emphasis"/>
          <w:rFonts w:eastAsiaTheme="majorEastAsia"/>
          <w:i w:val="0"/>
          <w:iCs w:val="0"/>
          <w:shd w:val="clear" w:color="auto" w:fill="FFFFFF"/>
          <w:lang w:val="en-GB"/>
        </w:rPr>
        <w:fldChar w:fldCharType="end"/>
      </w:r>
      <w:r w:rsidR="0D6BED82" w:rsidRPr="728F2DAF">
        <w:rPr>
          <w:rStyle w:val="Emphasis"/>
          <w:rFonts w:eastAsiaTheme="majorEastAsia"/>
          <w:i w:val="0"/>
          <w:iCs w:val="0"/>
          <w:shd w:val="clear" w:color="auto" w:fill="FFFFFF"/>
          <w:lang w:val="en-GB"/>
        </w:rPr>
        <w:t>,</w:t>
      </w:r>
      <w:r w:rsidR="5D1FDC8B" w:rsidRPr="728F2DAF">
        <w:rPr>
          <w:rStyle w:val="Emphasis"/>
          <w:rFonts w:eastAsiaTheme="majorEastAsia"/>
          <w:i w:val="0"/>
          <w:iCs w:val="0"/>
          <w:shd w:val="clear" w:color="auto" w:fill="FFFFFF"/>
          <w:lang w:val="en-GB"/>
        </w:rPr>
        <w:t xml:space="preserve"> and large numbers of alien vertebrate and </w:t>
      </w:r>
      <w:r w:rsidR="5D1FDC8B" w:rsidRPr="728F2DAF">
        <w:rPr>
          <w:rStyle w:val="Emphasis"/>
          <w:rFonts w:eastAsiaTheme="majorEastAsia"/>
          <w:i w:val="0"/>
          <w:iCs w:val="0"/>
          <w:shd w:val="clear" w:color="auto" w:fill="FFFFFF"/>
          <w:lang w:val="en-GB"/>
        </w:rPr>
        <w:lastRenderedPageBreak/>
        <w:t xml:space="preserve">invertebrate species have been introduced as stowaways in ballast water </w:t>
      </w:r>
      <w:r w:rsidR="008C1BF7" w:rsidRPr="728F2DAF">
        <w:rPr>
          <w:rStyle w:val="Emphasis"/>
          <w:rFonts w:eastAsiaTheme="majorEastAsia"/>
          <w:i w:val="0"/>
          <w:iCs w:val="0"/>
          <w:shd w:val="clear" w:color="auto" w:fill="FFFFFF"/>
          <w:lang w:val="en-GB"/>
        </w:rPr>
        <w:fldChar w:fldCharType="begin"/>
      </w:r>
      <w:r w:rsidR="00230216">
        <w:rPr>
          <w:rStyle w:val="Emphasis"/>
          <w:rFonts w:eastAsiaTheme="majorEastAsia"/>
          <w:i w:val="0"/>
          <w:iCs w:val="0"/>
          <w:shd w:val="clear" w:color="auto" w:fill="FFFFFF"/>
          <w:lang w:val="en-GB"/>
        </w:rPr>
        <w:instrText xml:space="preserve"> ADDIN ZOTERO_ITEM CSL_CITATION {"citationID":"ZTZ43srp","properties":{"formattedCitation":"(Molnar et al., 2008)","plainCitation":"(Molnar et al., 2008)","noteIndex":0},"citationItems":[{"id":"zUkrYEfa/O83aqi4L","uris":["http://zotero.org/groups/2352922/items/EZTUG9CG"],"itemData":{"id":20127,"type":"article-journal","abstract":"Although invasive species are widely recognized as a major threat to marine biodiversity, there has been no quantitative global assessment of their impacts and routes of introduction. Here, we report initial results from the first such global assessment. Drawing from over 350 databases and other sources, we synthesized information on 329 marine invasive species, including their distribution, impacts on biodiversity, and introduction pathways. Initial analyses show that only 16% of marine ecoregions have no reported marine invasions, and even that figure may be inflated due to under-reporting. International shipping, followed by aquaculture, represent the major means of introduction. Our geographically referenced and publicly available database provides a framework that can be used to highlight the invasive taxa that are most threatening, as well as to prioritize the invasion pathways that pose the greatest threat.","container-title":"Frontiers in Ecology and the Environment","DOI":"10.1890/070064","ISSN":"1540-9295","issue":"9","journalAbbreviation":"Front. Ecol. Environ.","language":"English","note":"WOS:000260800800019","page":"485-492","source":"DOI.org (Crossref)","title":"Assessing the global threat of invasive species to marine biodiversity","volume":"6","author":[{"family":"Molnar","given":"Jennifer L."},{"family":"Gamboa","given":"Rebecca L."},{"family":"Revenga","given":"Carmen"},{"family":"Spalding","given":"Mark D."}],"issued":{"date-parts":[["2008",11]]}}}],"schema":"https://github.com/citation-style-language/schema/raw/master/csl-citation.json"} </w:instrText>
      </w:r>
      <w:r w:rsidR="008C1BF7" w:rsidRPr="728F2DAF">
        <w:rPr>
          <w:rStyle w:val="Emphasis"/>
          <w:rFonts w:eastAsiaTheme="majorEastAsia"/>
          <w:i w:val="0"/>
          <w:iCs w:val="0"/>
          <w:shd w:val="clear" w:color="auto" w:fill="FFFFFF"/>
          <w:lang w:val="en-GB"/>
        </w:rPr>
        <w:fldChar w:fldCharType="separate"/>
      </w:r>
      <w:r w:rsidR="0566DAD0" w:rsidRPr="00144D96">
        <w:t>(Molnar et al., 2008)</w:t>
      </w:r>
      <w:r w:rsidR="008C1BF7" w:rsidRPr="728F2DAF">
        <w:rPr>
          <w:rStyle w:val="Emphasis"/>
          <w:rFonts w:eastAsiaTheme="majorEastAsia"/>
          <w:i w:val="0"/>
          <w:iCs w:val="0"/>
          <w:shd w:val="clear" w:color="auto" w:fill="FFFFFF"/>
          <w:lang w:val="en-GB"/>
        </w:rPr>
        <w:fldChar w:fldCharType="end"/>
      </w:r>
      <w:r w:rsidR="5D1FDC8B" w:rsidRPr="728F2DAF">
        <w:rPr>
          <w:rStyle w:val="Emphasis"/>
          <w:rFonts w:eastAsiaTheme="majorEastAsia"/>
          <w:i w:val="0"/>
          <w:iCs w:val="0"/>
          <w:shd w:val="clear" w:color="auto" w:fill="FFFFFF"/>
          <w:lang w:val="en-GB"/>
        </w:rPr>
        <w:t>.</w:t>
      </w:r>
      <w:r w:rsidR="723A93E8" w:rsidRPr="728F2DAF">
        <w:rPr>
          <w:rStyle w:val="Emphasis"/>
          <w:rFonts w:eastAsiaTheme="majorEastAsia"/>
          <w:i w:val="0"/>
          <w:iCs w:val="0"/>
          <w:lang w:val="en-GB"/>
        </w:rPr>
        <w:t xml:space="preserve"> </w:t>
      </w:r>
      <w:r w:rsidR="66BF18D0" w:rsidRPr="728F2DAF">
        <w:rPr>
          <w:rStyle w:val="Emphasis"/>
          <w:rFonts w:eastAsiaTheme="majorEastAsia"/>
          <w:i w:val="0"/>
          <w:iCs w:val="0"/>
          <w:lang w:val="en-GB"/>
        </w:rPr>
        <w:t xml:space="preserve">There is also evidence that illegal </w:t>
      </w:r>
      <w:r w:rsidR="65869078" w:rsidRPr="728F2DAF">
        <w:rPr>
          <w:rStyle w:val="Emphasis"/>
          <w:rFonts w:eastAsiaTheme="majorEastAsia"/>
          <w:i w:val="0"/>
          <w:iCs w:val="0"/>
          <w:lang w:val="en-GB"/>
        </w:rPr>
        <w:t>wildl</w:t>
      </w:r>
      <w:r w:rsidR="498DD4D4" w:rsidRPr="728F2DAF">
        <w:rPr>
          <w:rStyle w:val="Emphasis"/>
          <w:rFonts w:eastAsiaTheme="majorEastAsia"/>
          <w:i w:val="0"/>
          <w:iCs w:val="0"/>
          <w:lang w:val="en-GB"/>
        </w:rPr>
        <w:t>i</w:t>
      </w:r>
      <w:r w:rsidR="65869078" w:rsidRPr="728F2DAF">
        <w:rPr>
          <w:rStyle w:val="Emphasis"/>
          <w:rFonts w:eastAsiaTheme="majorEastAsia"/>
          <w:i w:val="0"/>
          <w:iCs w:val="0"/>
          <w:lang w:val="en-GB"/>
        </w:rPr>
        <w:t>fe</w:t>
      </w:r>
      <w:r w:rsidR="66BF18D0" w:rsidRPr="728F2DAF">
        <w:rPr>
          <w:rStyle w:val="Emphasis"/>
          <w:rFonts w:eastAsiaTheme="majorEastAsia"/>
          <w:i w:val="0"/>
          <w:iCs w:val="0"/>
          <w:lang w:val="en-GB"/>
        </w:rPr>
        <w:t xml:space="preserve"> trade also runs the risk of introducing </w:t>
      </w:r>
      <w:r w:rsidR="0D6BED82" w:rsidRPr="728F2DAF">
        <w:rPr>
          <w:rStyle w:val="Emphasis"/>
          <w:rFonts w:eastAsiaTheme="majorEastAsia"/>
          <w:i w:val="0"/>
          <w:iCs w:val="0"/>
          <w:lang w:val="en-GB"/>
        </w:rPr>
        <w:t xml:space="preserve">some </w:t>
      </w:r>
      <w:r w:rsidR="66BF18D0" w:rsidRPr="728F2DAF">
        <w:rPr>
          <w:rStyle w:val="Emphasis"/>
          <w:rFonts w:eastAsiaTheme="majorEastAsia"/>
          <w:i w:val="0"/>
          <w:iCs w:val="0"/>
          <w:lang w:val="en-GB"/>
        </w:rPr>
        <w:t>invasive alien species into new regions</w:t>
      </w:r>
      <w:r w:rsidR="28BFC52E" w:rsidRPr="728F2DAF">
        <w:rPr>
          <w:rStyle w:val="Emphasis"/>
          <w:rFonts w:eastAsiaTheme="majorEastAsia"/>
          <w:i w:val="0"/>
          <w:iCs w:val="0"/>
          <w:lang w:val="en-GB"/>
        </w:rPr>
        <w:t xml:space="preserve"> </w:t>
      </w:r>
      <w:r w:rsidR="00FC1547" w:rsidRPr="728F2DAF">
        <w:rPr>
          <w:rStyle w:val="Emphasis"/>
          <w:rFonts w:eastAsiaTheme="majorEastAsia"/>
          <w:i w:val="0"/>
          <w:iCs w:val="0"/>
          <w:lang w:val="en-GB"/>
        </w:rPr>
        <w:fldChar w:fldCharType="begin"/>
      </w:r>
      <w:r w:rsidR="00331A79">
        <w:rPr>
          <w:rStyle w:val="Emphasis"/>
          <w:rFonts w:eastAsiaTheme="majorEastAsia"/>
          <w:i w:val="0"/>
          <w:iCs w:val="0"/>
          <w:lang w:val="en-GB"/>
        </w:rPr>
        <w:instrText xml:space="preserve"> ADDIN ZOTERO_ITEM CSL_CITATION {"citationID":"rheAAYd1","properties":{"formattedCitation":"(Garc\\uc0\\u237{}a-D\\uc0\\u237{}az et al., 2016, p. 201)","plainCitation":"(García-Díaz et al., 2016, p. 201)","dontUpdate":true,"noteIndex":0},"citationItems":[{"id":32564,"uris":["http://zotero.org/groups/2352922/items/7GULGBTK"],"itemData":{"id":32564,"type":"article-journal","container-title":"Conservation Letters","DOI":"10.1111/conl.12301","ISSN":"1755-263X","issue":"6","language":"English","note":"publisher: John Wiley &amp; Sons Inc.","page":"690-698","source":"abdn.pure.elsevier.com","title":"The Illegal Wildlife Trade Is a Likely Source of Alien Species","title-short":"The Illegal Wildlife Trade Is a Likely Source of Alien Species","URL":"https://abdn.pure.elsevier.com/en/publications/the-illegal-wildlife-trade-is-a-likely-source-of-alien-species-il","volume":"10","author":[{"family":"García-Díaz","given":"Pablo"},{"family":"Ross","given":"Joshua V."},{"family":"Woolnough","given":"Andrew P."},{"family":"Cassey","given":"Phillip"}],"accessed":{"date-parts":[["2021",12,8]]},"issued":{"date-parts":[["2016",11]]}},"locator":"201"}],"schema":"https://github.com/citation-style-language/schema/raw/master/csl-citation.json"} </w:instrText>
      </w:r>
      <w:r w:rsidR="00FC1547" w:rsidRPr="728F2DAF">
        <w:rPr>
          <w:rStyle w:val="Emphasis"/>
          <w:rFonts w:eastAsiaTheme="majorEastAsia"/>
          <w:i w:val="0"/>
          <w:iCs w:val="0"/>
          <w:lang w:val="en-GB"/>
        </w:rPr>
        <w:fldChar w:fldCharType="separate"/>
      </w:r>
      <w:r w:rsidR="28BFC52E" w:rsidRPr="728F2DAF">
        <w:rPr>
          <w:lang w:val="en-GB"/>
        </w:rPr>
        <w:t>(García-Díaz et al., 2016)</w:t>
      </w:r>
      <w:r w:rsidR="00FC1547" w:rsidRPr="728F2DAF">
        <w:rPr>
          <w:rStyle w:val="Emphasis"/>
          <w:rFonts w:eastAsiaTheme="majorEastAsia"/>
          <w:i w:val="0"/>
          <w:iCs w:val="0"/>
          <w:lang w:val="en-GB"/>
        </w:rPr>
        <w:fldChar w:fldCharType="end"/>
      </w:r>
      <w:r w:rsidR="5CDA16D1" w:rsidRPr="728F2DAF">
        <w:rPr>
          <w:rStyle w:val="Emphasis"/>
          <w:rFonts w:eastAsiaTheme="majorEastAsia"/>
          <w:i w:val="0"/>
          <w:iCs w:val="0"/>
          <w:lang w:val="en-GB"/>
        </w:rPr>
        <w:t>.</w:t>
      </w:r>
      <w:r w:rsidR="723A93E8" w:rsidRPr="728F2DAF">
        <w:rPr>
          <w:rStyle w:val="Emphasis"/>
          <w:rFonts w:eastAsiaTheme="majorEastAsia"/>
          <w:i w:val="0"/>
          <w:iCs w:val="0"/>
          <w:lang w:val="en-GB"/>
        </w:rPr>
        <w:t xml:space="preserve"> </w:t>
      </w:r>
      <w:r w:rsidR="5D1FDC8B" w:rsidRPr="728F2DAF">
        <w:rPr>
          <w:rStyle w:val="Emphasis"/>
          <w:rFonts w:eastAsiaTheme="majorEastAsia"/>
          <w:i w:val="0"/>
          <w:iCs w:val="0"/>
          <w:shd w:val="clear" w:color="auto" w:fill="FFFFFF"/>
          <w:lang w:val="en-GB"/>
        </w:rPr>
        <w:t>Furthermore, international trade has been a driver for the initial construction and, more recently, expansion of shipping canals (</w:t>
      </w:r>
      <w:r w:rsidR="68D53B1E" w:rsidRPr="728F2DAF">
        <w:rPr>
          <w:rStyle w:val="Emphasis"/>
          <w:rFonts w:eastAsiaTheme="majorEastAsia"/>
          <w:i w:val="0"/>
          <w:iCs w:val="0"/>
          <w:lang w:val="en-GB"/>
        </w:rPr>
        <w:t xml:space="preserve">e.g., </w:t>
      </w:r>
      <w:r w:rsidR="5D1FDC8B" w:rsidRPr="728F2DAF">
        <w:rPr>
          <w:rStyle w:val="Emphasis"/>
          <w:rFonts w:eastAsiaTheme="majorEastAsia"/>
          <w:i w:val="0"/>
          <w:iCs w:val="0"/>
          <w:shd w:val="clear" w:color="auto" w:fill="FFFFFF"/>
          <w:lang w:val="en-GB"/>
        </w:rPr>
        <w:t xml:space="preserve">Suez, Panama) that by linking previously separate marine regions have facilitated the spread of invasive alien species between seas and oceans </w:t>
      </w:r>
      <w:r w:rsidR="008C1BF7" w:rsidRPr="728F2DAF">
        <w:rPr>
          <w:rStyle w:val="Emphasis"/>
          <w:rFonts w:eastAsiaTheme="majorEastAsia"/>
          <w:i w:val="0"/>
          <w:iCs w:val="0"/>
          <w:shd w:val="clear" w:color="auto" w:fill="FFFFFF"/>
          <w:lang w:val="en-GB"/>
        </w:rPr>
        <w:fldChar w:fldCharType="begin"/>
      </w:r>
      <w:r w:rsidR="00331A79">
        <w:rPr>
          <w:rStyle w:val="Emphasis"/>
          <w:rFonts w:eastAsiaTheme="majorEastAsia"/>
          <w:shd w:val="clear" w:color="auto" w:fill="FFFFFF"/>
          <w:lang w:val="en-GB"/>
        </w:rPr>
        <w:instrText xml:space="preserve"> ADDIN ZOTERO_ITEM CSL_CITATION {"citationID":"FQFyWaDG","properties":{"formattedCitation":"(Golani, 2021; Hulme, 2015b)","plainCitation":"(Golani, 2021; Hulme, 2015b)","dontUpdate":true,"noteIndex":0},"citationItems":[{"id":52847,"uris":["http://zotero.org/groups/2352922/items/4PE3A27U"],"itemData":{"id":52847,"type":"article-journal","abstract":"This checklist of the Mediterranean fishes of Israel enumerates 469 species which is an addition of 62 species since the previous checklist of 2005. This new checklist includes 58 Condrichthys and 411 Osteicthys species. Most newly-recorded species are of Red Sea origin (Lessepsian migrants)—38 species, 25 species are from previously poorly investigated habitats, mainly deep water, while two species reached the Mediterranean most likely by ballast water and two are aquaculture escapees.                The dramatic increase in the number of Lessepsian migrants (an average of 2.5 species per year) is most likely due to the increased water influx between the Red Sea and the Mediterranean, following the recent opening of the new parallel, 72 km, “new canal” and the enlargement of other parts of the Suez Canal.","container-title":"Zootaxa","DOI":"10.11646/zootaxa.4956.1.1","ISSN":"1175-5334","issue":"1","language":"en","license":"Copyright (c) 2021 Magnolia press","note":"number: 1","page":"1-108","source":"www.mapress.com","title":"An updated Checklist of the Mediterranean fishes of Israel, with illustrations of recently recorded species and delineation of Lessepsian migrants","URL":"https://www.mapress.com/zt/article/view/zootaxa.4956.1.1","volume":"4956","author":[{"family":"Golani","given":"Daniel"}],"accessed":{"date-parts":[["2022",8,8]]},"issued":{"date-parts":[["2021",4,13]]}}},{"id":30909,"uris":["http://zotero.org/groups/2352922/items/NZFSMFGX"],"itemData":{"id":30909,"type":"article-journal","abstract":"Parties to the Convention on Biological Diversity have agreed that, by 2020, invasion pathways will be identified, prioritized and managed to prevent the introduction of invasive alien species. The challenges facing this target are examined for six primary invasion pathways: assisted colonization as a deliberate release; escape of pets and aquaria species; parasite and pathogen contaminants of wildlife; stowaways on tourist clothing and equipment; navigation corridors; and transboundary implications of unaided spread. Economic drivers such as tourism, the pet trade and infrastructure projects will accelerate invasive alien species introductions, particularly in emerging economies. Mitigation requires polluter pays' legislation combined with improved policy enforcement and compliance.Policy implications. Policymakers require new risk analysis tools to predict the hazards posed by species with no prior invasion history, the vulnerability of native biodiversity to emerging diseases, and the components of regional species pools that become invasive following connection via corridors.","container-title":"Journal of Applied Ecology","DOI":"10.1111/1365-2664.12470","ISSN":"0021-8901","issue":"6","journalAbbreviation":"J Appl Ecol","license":"© 2015 The Author. Journal of Applied Ecology © 2015 British Ecological Society","note":"WOS:000367095400002","page":"1418-1424","source":"DOI.org (Crossref)","title":"Invasion pathways at a crossroad: policy and research challenges for managing alien species introductions","title-short":"Invasion pathways at a crossroad","URL":"http://doi.wiley.com/10.1111/1365-2664.12470","volume":"52","author":[{"family":"Hulme","given":"Philip E."}],"issued":{"date-parts":[["2015",12]]}}}],"schema":"https://github.com/citation-style-language/schema/raw/master/csl-citation.json"} </w:instrText>
      </w:r>
      <w:r w:rsidR="008C1BF7" w:rsidRPr="728F2DAF">
        <w:rPr>
          <w:rStyle w:val="Emphasis"/>
          <w:rFonts w:eastAsiaTheme="majorEastAsia"/>
          <w:i w:val="0"/>
          <w:iCs w:val="0"/>
          <w:shd w:val="clear" w:color="auto" w:fill="FFFFFF"/>
          <w:lang w:val="en-GB"/>
        </w:rPr>
        <w:fldChar w:fldCharType="separate"/>
      </w:r>
      <w:r w:rsidR="140F1900" w:rsidRPr="00DA249F">
        <w:rPr>
          <w:lang w:val="en-GB"/>
        </w:rPr>
        <w:t>(Golani, 2021; Hulme, 2015b</w:t>
      </w:r>
      <w:r w:rsidR="008C1BF7" w:rsidRPr="728F2DAF">
        <w:rPr>
          <w:rStyle w:val="Emphasis"/>
          <w:rFonts w:eastAsiaTheme="majorEastAsia"/>
          <w:i w:val="0"/>
          <w:iCs w:val="0"/>
          <w:shd w:val="clear" w:color="auto" w:fill="FFFFFF"/>
          <w:lang w:val="en-GB"/>
        </w:rPr>
        <w:fldChar w:fldCharType="end"/>
      </w:r>
      <w:r w:rsidR="1B06FAA0" w:rsidRPr="728F2DAF">
        <w:rPr>
          <w:rStyle w:val="Emphasis"/>
          <w:rFonts w:eastAsiaTheme="majorEastAsia"/>
          <w:i w:val="0"/>
          <w:iCs w:val="0"/>
          <w:shd w:val="clear" w:color="auto" w:fill="FFFFFF"/>
          <w:lang w:val="en-GB"/>
        </w:rPr>
        <w:t xml:space="preserve">; </w:t>
      </w:r>
      <w:r w:rsidR="1B06FAA0" w:rsidRPr="728F2DAF">
        <w:rPr>
          <w:b/>
          <w:bCs/>
          <w:lang w:val="en-GB"/>
        </w:rPr>
        <w:t>section 3.3.1.3</w:t>
      </w:r>
      <w:r w:rsidR="1B06FAA0" w:rsidRPr="728F2DAF">
        <w:rPr>
          <w:lang w:val="en-GB"/>
        </w:rPr>
        <w:t>,</w:t>
      </w:r>
      <w:r w:rsidR="1B06FAA0" w:rsidRPr="728F2DAF">
        <w:rPr>
          <w:b/>
          <w:bCs/>
          <w:lang w:val="en-GB"/>
        </w:rPr>
        <w:t xml:space="preserve"> </w:t>
      </w:r>
      <w:r w:rsidR="00E23B69">
        <w:rPr>
          <w:b/>
          <w:bCs/>
          <w:lang w:val="en-GB"/>
        </w:rPr>
        <w:t>Box</w:t>
      </w:r>
      <w:r w:rsidR="1B06FAA0" w:rsidRPr="728F2DAF">
        <w:rPr>
          <w:b/>
          <w:bCs/>
          <w:lang w:val="en-GB"/>
        </w:rPr>
        <w:t xml:space="preserve"> 3.7</w:t>
      </w:r>
      <w:r w:rsidR="1B06FAA0" w:rsidRPr="00DA249F">
        <w:rPr>
          <w:lang w:val="en-GB"/>
        </w:rPr>
        <w:t>)</w:t>
      </w:r>
      <w:r w:rsidR="5D1FDC8B" w:rsidRPr="728F2DAF">
        <w:rPr>
          <w:rStyle w:val="Emphasis"/>
          <w:rFonts w:eastAsiaTheme="majorEastAsia"/>
          <w:shd w:val="clear" w:color="auto" w:fill="FFFFFF"/>
          <w:lang w:val="en-GB"/>
        </w:rPr>
        <w:t xml:space="preserve">. </w:t>
      </w:r>
      <w:r w:rsidR="5D1FDC8B" w:rsidRPr="00DA249F">
        <w:rPr>
          <w:lang w:val="en-GB"/>
        </w:rPr>
        <w:t xml:space="preserve">In addition to the </w:t>
      </w:r>
      <w:r w:rsidR="7BC10434" w:rsidRPr="00DA249F">
        <w:rPr>
          <w:lang w:val="en-GB"/>
        </w:rPr>
        <w:t xml:space="preserve">transport and </w:t>
      </w:r>
      <w:r w:rsidR="5D1FDC8B" w:rsidRPr="00DA249F">
        <w:rPr>
          <w:lang w:val="en-GB"/>
        </w:rPr>
        <w:t xml:space="preserve">introduction of invasive alien species across international borders, commerce can also facilitate the establishment and spread of alien species within a region. For example, the size of the national market for ornamental plants </w:t>
      </w:r>
      <w:r w:rsidR="008C1BF7" w:rsidRPr="00DA249F">
        <w:rPr>
          <w:lang w:val="en-GB"/>
        </w:rPr>
        <w:fldChar w:fldCharType="begin"/>
      </w:r>
      <w:r w:rsidR="00331A79">
        <w:rPr>
          <w:lang w:val="en-GB"/>
        </w:rPr>
        <w:instrText xml:space="preserve"> ADDIN ZOTERO_ITEM CSL_CITATION {"citationID":"Wr3zHrGf","properties":{"formattedCitation":"(Dehnen-Schmutz et al., 2007)","plainCitation":"(Dehnen-Schmutz et al., 2007)","noteIndex":0},"citationItems":[{"id":30164,"uris":["http://zotero.org/groups/2352922/items/77M3T2LI"],"itemData":{"id":30164,"type":"article-journal","container-title":"Diversity and Distributions","DOI":"10.1111/j.1472-4642.2007.00359.x","ISSN":"13669516","issue":"5","note":"number: 5","page":"527-534","title":"A century of the ornamental plant trade and its impact on invasion success","URL":"http://doi.wiley.com/10.1111/j.1472-4642.2007.00359.x","volume":"13","author":[{"family":"Dehnen-Schmutz","given":"Katharina"},{"family":"Touza","given":"Julia"},{"family":"Perrings","given":"Charles"},{"family":"Williamson","given":"Mark"}],"issued":{"date-parts":[["2007",4]]}}}],"schema":"https://github.com/citation-style-language/schema/raw/master/csl-citation.json"} </w:instrText>
      </w:r>
      <w:r w:rsidR="008C1BF7" w:rsidRPr="00DA249F">
        <w:rPr>
          <w:lang w:val="en-GB"/>
        </w:rPr>
        <w:fldChar w:fldCharType="separate"/>
      </w:r>
      <w:r w:rsidR="0566DAD0" w:rsidRPr="00144D96">
        <w:t>(Dehnen-Schmutz et al., 2007)</w:t>
      </w:r>
      <w:r w:rsidR="008C1BF7" w:rsidRPr="00DA249F">
        <w:rPr>
          <w:lang w:val="en-GB"/>
        </w:rPr>
        <w:fldChar w:fldCharType="end"/>
      </w:r>
      <w:r w:rsidR="5D1FDC8B" w:rsidRPr="00DA249F">
        <w:rPr>
          <w:lang w:val="en-GB"/>
        </w:rPr>
        <w:t xml:space="preserve"> and freshwater crayfish </w:t>
      </w:r>
      <w:r w:rsidR="008C1BF7" w:rsidRPr="00DA249F">
        <w:rPr>
          <w:lang w:val="en-GB"/>
        </w:rPr>
        <w:fldChar w:fldCharType="begin"/>
      </w:r>
      <w:r w:rsidR="00331A79">
        <w:rPr>
          <w:lang w:val="en-GB"/>
        </w:rPr>
        <w:instrText xml:space="preserve"> ADDIN ZOTERO_ITEM CSL_CITATION {"citationID":"LKuLW42E","properties":{"formattedCitation":"(Chucholl, 2013)","plainCitation":"(Chucholl, 2013)","noteIndex":0},"citationItems":[{"id":17017,"uris":["http://zotero.org/groups/2352922/items/HJM7N7Q7"],"itemData":{"id":17017,"type":"article-journal","abstract":"The trade of live ornamental freshwater crayfish has grown rapidly in the last decade and has become the major pathway for new non-indigenous crayfish species (NICS) introductions into Europe. Here, I report on the German ornamental crayfish trade, the main importer of non-indigenous crayfish into Europe. In total, 120 NICS have been available as ornamental aquarium species. One hundred and five species originate from North or Central America and are, therefore, suspected to be crayfish plague vectors. The import rate since 2005 was estimated to be seven new species per year. Despite many species being imported, only eleven species were found to be very common in the trade. In 2009, 16 online shops offered at least 37 NICS. The availability, price, and size of the offered species were used to predict their introduction status. Multiple binary logistic regression analysis showed that species' availability and size were the principal predictors of the likelihood of being recorded as introduced from aquaria. NICS introduced from aquaria were found to be more available and larger than those present only in aquaria, and their potential invasiveness was also higher. The findings are consistent with the propagule pressure hypothesis in that a greater availability is likely related to more release events, and large species may be released more frequently as a result of overpopulating or outgrowing their aquaria. Efforts to mitigate the risk of further harmful crayfish introductions from aquaria should aim to drastically reduce the availability of high-risk species.","container-title":"Biological Invasions","DOI":"10.1007/s10530-012-0273-2","ISSN":"1387-3547, 1573-1464","issue":"1","journalAbbreviation":"Biol Invasions","language":"en","note":"WOS:000312140800011","page":"125-141","source":"DOI.org (Crossref)","title":"Invaders for sale: trade and determinants of introduction of ornamental freshwater crayfish","title-short":"Invaders for sale","URL":"http://link.springer.com/10.1007/s10530-012-0273-2","volume":"15","author":[{"family":"Chucholl","given":"Christoph"}],"accessed":{"date-parts":[["2019",12,3]]},"issued":{"date-parts":[["2013",1]]}}}],"schema":"https://github.com/citation-style-language/schema/raw/master/csl-citation.json"} </w:instrText>
      </w:r>
      <w:r w:rsidR="008C1BF7" w:rsidRPr="00DA249F">
        <w:rPr>
          <w:lang w:val="en-GB"/>
        </w:rPr>
        <w:fldChar w:fldCharType="separate"/>
      </w:r>
      <w:r w:rsidR="0566DAD0" w:rsidRPr="00144D96">
        <w:t>(Chucholl, 2013)</w:t>
      </w:r>
      <w:r w:rsidR="008C1BF7" w:rsidRPr="00DA249F">
        <w:rPr>
          <w:lang w:val="en-GB"/>
        </w:rPr>
        <w:fldChar w:fldCharType="end"/>
      </w:r>
      <w:r w:rsidR="5D1FDC8B" w:rsidRPr="00DA249F">
        <w:rPr>
          <w:lang w:val="en-GB"/>
        </w:rPr>
        <w:t xml:space="preserve"> is a strong driver </w:t>
      </w:r>
      <w:r w:rsidR="34D63067" w:rsidRPr="728F2DAF">
        <w:rPr>
          <w:lang w:val="en-GB"/>
        </w:rPr>
        <w:t xml:space="preserve">that increases </w:t>
      </w:r>
      <w:r w:rsidR="5D1FDC8B" w:rsidRPr="00DA249F">
        <w:rPr>
          <w:lang w:val="en-GB"/>
        </w:rPr>
        <w:t xml:space="preserve">the likelihood </w:t>
      </w:r>
      <w:r w:rsidR="1E1334E6" w:rsidRPr="728F2DAF">
        <w:rPr>
          <w:lang w:val="en-GB"/>
        </w:rPr>
        <w:t xml:space="preserve">of </w:t>
      </w:r>
      <w:r w:rsidR="5D1FDC8B" w:rsidRPr="00DA249F">
        <w:rPr>
          <w:lang w:val="en-GB"/>
        </w:rPr>
        <w:t>species becom</w:t>
      </w:r>
      <w:r w:rsidR="1AE7D1EE" w:rsidRPr="00DA249F">
        <w:rPr>
          <w:lang w:val="en-GB"/>
        </w:rPr>
        <w:t>ing</w:t>
      </w:r>
      <w:r w:rsidR="5D1FDC8B" w:rsidRPr="00DA249F">
        <w:rPr>
          <w:lang w:val="en-GB"/>
        </w:rPr>
        <w:t xml:space="preserve"> established in the wild.</w:t>
      </w:r>
      <w:r w:rsidR="7596051B" w:rsidRPr="00DA249F">
        <w:rPr>
          <w:lang w:val="en-GB"/>
        </w:rPr>
        <w:t xml:space="preserve"> </w:t>
      </w:r>
      <w:r w:rsidR="5D1FDC8B" w:rsidRPr="00DA249F">
        <w:rPr>
          <w:lang w:val="en-GB"/>
        </w:rPr>
        <w:t>Such trend</w:t>
      </w:r>
      <w:r w:rsidR="5FAD11D1" w:rsidRPr="00DA249F">
        <w:rPr>
          <w:lang w:val="en-GB"/>
        </w:rPr>
        <w:t>s</w:t>
      </w:r>
      <w:r w:rsidR="5D1FDC8B" w:rsidRPr="00DA249F">
        <w:rPr>
          <w:lang w:val="en-GB"/>
        </w:rPr>
        <w:t xml:space="preserve"> are likely to be exacerbated by the growth in e-commerce </w:t>
      </w:r>
      <w:r w:rsidR="328D42E8" w:rsidRPr="00DA249F">
        <w:rPr>
          <w:lang w:val="en-GB" w:eastAsia="en-NZ"/>
        </w:rPr>
        <w:t>(</w:t>
      </w:r>
      <w:r w:rsidR="00E23B69">
        <w:rPr>
          <w:b/>
          <w:bCs/>
          <w:lang w:val="en-GB" w:eastAsia="en-NZ"/>
        </w:rPr>
        <w:t>Glossary</w:t>
      </w:r>
      <w:r w:rsidR="328D42E8" w:rsidRPr="00DA249F">
        <w:rPr>
          <w:lang w:val="en-GB" w:eastAsia="en-NZ"/>
        </w:rPr>
        <w:t xml:space="preserve">) </w:t>
      </w:r>
      <w:r w:rsidR="5D1FDC8B" w:rsidRPr="00DA249F">
        <w:rPr>
          <w:lang w:val="en-GB"/>
        </w:rPr>
        <w:t xml:space="preserve">of alien species </w:t>
      </w:r>
      <w:r w:rsidR="008C1BF7" w:rsidRPr="00DA249F">
        <w:rPr>
          <w:lang w:val="en-GB"/>
        </w:rPr>
        <w:fldChar w:fldCharType="begin"/>
      </w:r>
      <w:r w:rsidR="00331A79">
        <w:rPr>
          <w:lang w:val="en-GB"/>
        </w:rPr>
        <w:instrText xml:space="preserve"> ADDIN ZOTERO_ITEM CSL_CITATION {"citationID":"J31vFqTJ","properties":{"formattedCitation":"(Humair et al., 2015)","plainCitation":"(Humair et al., 2015)","noteIndex":0},"citationItems":[{"id":28914,"uris":["http://zotero.org/groups/2352922/items/YG8UXVZN"],"itemData":{"id":28914,"type":"article-journal","abstract":"Biological invasions are a major concern in conservation, especially because global transport of species is still increasing rapidly. Conservationists hope to anticipate and thus prevent future invasions by identifying and regulating potentially invasive species through species risk assessments and international trade regulations. Among many introduction pathways of non-native species, horticulture is a particularly important driver of plant invasions. In recent decades, the horticultural industry expanded globally and changed structurally through the emergence of new distribution channels, including internet trade (e-commerce). Using an automated search algorithm, we surveyed, on a daily basis, e-commerce trade on 10 major online auction sites (including eBay) of approximately three-fifths of the world’s spermatophyte flora. Many recognized invasive plant species (&gt;500 species) (i.e., species associated with ecological or socio-economic problems) were traded daily worldwide on the internet. A markedly higher proportion of invasive than non-invasive species were available online. Typically, for a particular plant family, 30–80% of recognized invasive species were detected on an auction site, but only a few percentages of all species in the plant family were detected on a site. Families that were more traded had a higher proportion of invasive species than families that were less traded. For woody species, there was a significant positive relationship between the number of regions where a species was sold and the number of regions where it was invasive. Our results indicate that biosecurity is not effectively regulating online plant trade. In the future, automated monitoring of e-commerce may help prevent the spread of invasive species, provide information on emerging trade connectivity across national borders, and be used in horizon scanning exercises for early detection of new species and their geographic source areas in international trade.","container-title":"Conservation Biology","DOI":"10.1111/cobi.12579","ISSN":"08888892","issue":"6","journalAbbreviation":"Conservation Biology","language":"en","page":"1658-1665","source":"DOI.org (Crossref)","title":"E-commerce trade in invasive plants","title-short":"E-commerce trade in invasive plants","URL":"http://doi.wiley.com/10.1111/cobi.12579","volume":"29","author":[{"family":"Humair","given":"Franziska"},{"family":"Humair","given":"Luc"},{"family":"Kuhn","given":"Fabian"},{"family":"Kueffer","given":"Christoph"}],"accessed":{"date-parts":[["2019",11,1]]},"issued":{"date-parts":[["2015",12]]}}}],"schema":"https://github.com/citation-style-language/schema/raw/master/csl-citation.json"} </w:instrText>
      </w:r>
      <w:r w:rsidR="008C1BF7" w:rsidRPr="00DA249F">
        <w:rPr>
          <w:lang w:val="en-GB"/>
        </w:rPr>
        <w:fldChar w:fldCharType="separate"/>
      </w:r>
      <w:r w:rsidR="0566DAD0" w:rsidRPr="00144D96">
        <w:t>(Humair et al., 2015)</w:t>
      </w:r>
      <w:r w:rsidR="008C1BF7" w:rsidRPr="00DA249F">
        <w:rPr>
          <w:lang w:val="en-GB"/>
        </w:rPr>
        <w:fldChar w:fldCharType="end"/>
      </w:r>
      <w:r w:rsidR="5D1FDC8B" w:rsidRPr="00DA249F">
        <w:rPr>
          <w:lang w:val="en-GB"/>
        </w:rPr>
        <w:t>.</w:t>
      </w:r>
      <w:r w:rsidR="4CCA76EF" w:rsidRPr="00DA249F">
        <w:rPr>
          <w:lang w:val="en-GB"/>
        </w:rPr>
        <w:t xml:space="preserve"> </w:t>
      </w:r>
    </w:p>
    <w:p w14:paraId="5E1D5317" w14:textId="55916888" w:rsidR="00AF6C9D" w:rsidRPr="00DA249F" w:rsidRDefault="3C2FC6CA" w:rsidP="0090109B">
      <w:pPr>
        <w:rPr>
          <w:lang w:val="en-GB"/>
        </w:rPr>
      </w:pPr>
      <w:r w:rsidRPr="5575EBFC">
        <w:rPr>
          <w:lang w:val="en-GB"/>
        </w:rPr>
        <w:t xml:space="preserve">Not all alien species introductions </w:t>
      </w:r>
      <w:r w:rsidR="5DB02588" w:rsidRPr="5575EBFC">
        <w:rPr>
          <w:lang w:val="en-GB"/>
        </w:rPr>
        <w:t>are</w:t>
      </w:r>
      <w:r w:rsidRPr="5575EBFC">
        <w:rPr>
          <w:lang w:val="en-GB"/>
        </w:rPr>
        <w:t xml:space="preserve"> associated with a specific </w:t>
      </w:r>
      <w:r w:rsidR="3DF290E5" w:rsidRPr="5575EBFC">
        <w:rPr>
          <w:lang w:val="en-GB"/>
        </w:rPr>
        <w:t>commodity</w:t>
      </w:r>
      <w:r w:rsidR="7D5D5BD7" w:rsidRPr="5575EBFC">
        <w:rPr>
          <w:lang w:val="en-GB"/>
        </w:rPr>
        <w:t>; some alien species</w:t>
      </w:r>
      <w:r w:rsidRPr="5575EBFC">
        <w:rPr>
          <w:lang w:val="en-GB"/>
        </w:rPr>
        <w:t xml:space="preserve"> may enter a region </w:t>
      </w:r>
      <w:r w:rsidR="24691F68" w:rsidRPr="5575EBFC">
        <w:rPr>
          <w:lang w:val="en-GB"/>
        </w:rPr>
        <w:t xml:space="preserve">on vectors rather than commodities, that is </w:t>
      </w:r>
      <w:r w:rsidR="05318ECC" w:rsidRPr="5575EBFC">
        <w:rPr>
          <w:lang w:val="en-GB"/>
        </w:rPr>
        <w:t xml:space="preserve">they are </w:t>
      </w:r>
      <w:r w:rsidRPr="5575EBFC">
        <w:rPr>
          <w:lang w:val="en-GB"/>
        </w:rPr>
        <w:t>associated with the mode of transport. Alien species introduced in ballast water are more likely to reflect the volume, frequency, age</w:t>
      </w:r>
      <w:r w:rsidR="009F7404">
        <w:rPr>
          <w:lang w:val="en-GB"/>
        </w:rPr>
        <w:t xml:space="preserve"> and</w:t>
      </w:r>
      <w:r w:rsidRPr="5575EBFC">
        <w:rPr>
          <w:lang w:val="en-GB"/>
        </w:rPr>
        <w:t xml:space="preserve"> origin of marine vessels than the specific commodities carried by shipping</w:t>
      </w:r>
      <w:r w:rsidR="602C2D4B" w:rsidRPr="5575EBFC">
        <w:rPr>
          <w:lang w:val="en-GB"/>
        </w:rPr>
        <w:t xml:space="preserve"> </w:t>
      </w:r>
      <w:r w:rsidR="7110296F" w:rsidRPr="5575EBFC">
        <w:rPr>
          <w:lang w:val="en-GB"/>
        </w:rPr>
        <w:fldChar w:fldCharType="begin"/>
      </w:r>
      <w:r w:rsidR="00331A79">
        <w:rPr>
          <w:lang w:val="en-GB"/>
        </w:rPr>
        <w:instrText xml:space="preserve"> ADDIN ZOTERO_ITEM CSL_CITATION {"citationID":"mRKCuIZQ","properties":{"formattedCitation":"(Hulme, 2021b)","plainCitation":"(Hulme, 2021b)","noteIndex":0},"citationItems":[{"id":29731,"uris":["http://zotero.org/groups/2352922/items/KV62X9CX"],"itemData":{"id":29731,"type":"article-journal","abstract":"Biological invasions are synonymous with international trade. The direct effects of trade have largely been quantiﬁed using relationships between imports and the number of alien species in a region or patterns in the global spread of species linked to shipping and air trafﬁc networks. But trade also has an indirect role on biological invasions by transforming the environments and societies of exporting and importing nations. Here, both the direct and indirect roles of trade on biological invasions, as well as their interaction, are examined for the ﬁrst time. Future trends in international trade, including e-commerce, new trade routes, and major infrastructure developments, will lead to the pressure on national borders soon outstripping the resources available for intervention. The current legislative and scientiﬁc tools targeting biological invasions are insufﬁcient to deal with this growing threat and require a new mindset that focuses on curbing the pandemic risk posed by alien species.","container-title":"One Earth","DOI":"10.1016/j.oneear.2021.04.015","ISSN":"25903322","issue":"5","journalAbbreviation":"One Earth","language":"en","page":"666-679","source":"DOI.org (Crossref)","title":"Unwelcome exchange: International trade as a direct and indirect driver of biological invasions worldwide","title-short":"Unwelcome exchange","URL":"https://doi.org/10.1016/j.oneear.2021.04.015","volume":"4","author":[{"family":"Hulme","given":"Philip E."}],"accessed":{"date-parts":[["2021",7,8]]},"issued":{"date-parts":[["2021",5]]}}}],"schema":"https://github.com/citation-style-language/schema/raw/master/csl-citation.json"} </w:instrText>
      </w:r>
      <w:r w:rsidR="7110296F" w:rsidRPr="5575EBFC">
        <w:rPr>
          <w:lang w:val="en-GB"/>
        </w:rPr>
        <w:fldChar w:fldCharType="separate"/>
      </w:r>
      <w:r w:rsidR="6B5F9B9E">
        <w:t>(Hulme, 2021b)</w:t>
      </w:r>
      <w:r w:rsidR="7110296F" w:rsidRPr="5575EBFC">
        <w:rPr>
          <w:lang w:val="en-GB"/>
        </w:rPr>
        <w:fldChar w:fldCharType="end"/>
      </w:r>
      <w:r w:rsidRPr="5575EBFC">
        <w:rPr>
          <w:lang w:val="en-GB"/>
        </w:rPr>
        <w:t xml:space="preserve">. The network of global ship movements and the estimated volume of ballast water discharges in ports worldwide have been used successfully to identify the major source regions for </w:t>
      </w:r>
      <w:r w:rsidR="06E42BD4" w:rsidRPr="5575EBFC">
        <w:rPr>
          <w:lang w:val="en-GB"/>
        </w:rPr>
        <w:t>invasive alien species</w:t>
      </w:r>
      <w:r w:rsidR="32B75276" w:rsidRPr="5575EBFC">
        <w:rPr>
          <w:lang w:val="en-GB"/>
        </w:rPr>
        <w:t xml:space="preserve"> </w:t>
      </w:r>
      <w:r w:rsidRPr="5575EBFC">
        <w:rPr>
          <w:lang w:val="en-GB"/>
        </w:rPr>
        <w:t xml:space="preserve">in several maritime ecoregions </w:t>
      </w:r>
      <w:r w:rsidR="7110296F" w:rsidRPr="5575EBFC">
        <w:rPr>
          <w:lang w:val="en-GB"/>
        </w:rPr>
        <w:fldChar w:fldCharType="begin"/>
      </w:r>
      <w:r w:rsidR="00331A79">
        <w:rPr>
          <w:lang w:val="en-GB"/>
        </w:rPr>
        <w:instrText xml:space="preserve"> ADDIN ZOTERO_ITEM CSL_CITATION {"citationID":"8abKvkmv","properties":{"formattedCitation":"(Seebens et al., 2016)","plainCitation":"(Seebens et al., 2016)","noteIndex":0},"citationItems":[{"id":10475,"uris":["http://zotero.org/groups/2352922/items/H7QVXARR"],"itemData":{"id":10475,"type":"article-journal","abstract":"The human-mediated translocation of species poses a distinct threat to nature, human health, and economy. Although existing models calculate the invasion probability of any species, frameworks for species-specific forecasts are still missing. Here, we developed a model approach using global ship movements and environmental conditions to simulate the successive global spread of marine alien species that allows predicting the identity of those species likely to arrive next in a given habitat. In a first step, we simulated the historical stepping-stone spreading dynamics of 40 marine alien species and compared predicted and observed alien species ranges. With an accuracy of 77%, the model correctly predicted the presence/absence of an alien species in an ecoregion. Spreading dynamics followed a common pattern with an initial invasion of most suitable habitats worldwide and a subsequent spread into neighboring habitats. In a second step, we used the reported distribution of 97 marine algal species with a known invasion history, and six species causing harmful algal blooms, to determine the ecoregions most likely to be invaded next under climate warming. Cluster analysis revealed that species can be classified according to three characteristic spreading profiles: emerging species, high-risk species, and widespread species. For the North Sea, the model predictions could be confirmed because two of the predicted high-risk species have recently invaded the North Sea. This study highlights that even simple models considering only shipping intensities and habitat matches are able to correctly predict the identity of the next invading marine species.","container-title":"Proceedings of the National Academy of Sciences","DOI":"10.1073/pnas.1524427113","ISSN":"0027-8424, 1091-6490","issue":"20","journalAbbreviation":"Proc Natl Acad Sci USA","language":"en","page":"5646-5651","source":"DOI.org (Crossref)","title":"Predicting the spread of marine species introduced by global shipping","URL":"http://www.pnas.org/lookup/doi/10.1073/pnas.1524427113","volume":"113","author":[{"family":"Seebens","given":"Hanno"},{"family":"Schwartz","given":"Nicole"},{"family":"Schupp","given":"Peter J."},{"family":"Blasius","given":"Bernd"}],"accessed":{"date-parts":[["2019",12,3]]},"issued":{"date-parts":[["2016"]]}}}],"schema":"https://github.com/citation-style-language/schema/raw/master/csl-citation.json"} </w:instrText>
      </w:r>
      <w:r w:rsidR="7110296F" w:rsidRPr="5575EBFC">
        <w:rPr>
          <w:lang w:val="en-GB"/>
        </w:rPr>
        <w:fldChar w:fldCharType="separate"/>
      </w:r>
      <w:r w:rsidR="6B5F9B9E">
        <w:t>(Seebens et al., 2016)</w:t>
      </w:r>
      <w:r w:rsidR="7110296F" w:rsidRPr="5575EBFC">
        <w:rPr>
          <w:lang w:val="en-GB"/>
        </w:rPr>
        <w:fldChar w:fldCharType="end"/>
      </w:r>
      <w:r w:rsidR="1374BA31" w:rsidRPr="5575EBFC">
        <w:rPr>
          <w:lang w:val="en-GB"/>
        </w:rPr>
        <w:t>.</w:t>
      </w:r>
      <w:r w:rsidR="5F58C80D" w:rsidRPr="5575EBFC">
        <w:rPr>
          <w:lang w:val="en-GB"/>
        </w:rPr>
        <w:t xml:space="preserve"> </w:t>
      </w:r>
      <w:r w:rsidR="73E38BA7" w:rsidRPr="5575EBFC">
        <w:rPr>
          <w:lang w:val="en-GB"/>
        </w:rPr>
        <w:t xml:space="preserve">However, </w:t>
      </w:r>
      <w:r w:rsidR="05318ECC" w:rsidRPr="5575EBFC">
        <w:rPr>
          <w:lang w:val="en-GB"/>
        </w:rPr>
        <w:t xml:space="preserve">there has been a </w:t>
      </w:r>
      <w:r w:rsidR="7D5D5BD7" w:rsidRPr="5575EBFC">
        <w:rPr>
          <w:lang w:val="en-GB"/>
        </w:rPr>
        <w:t>five</w:t>
      </w:r>
      <w:r w:rsidR="73E38BA7" w:rsidRPr="5575EBFC">
        <w:rPr>
          <w:lang w:val="en-GB"/>
        </w:rPr>
        <w:t xml:space="preserve">-fold increase over the past 30 years in the number of shipping containers carrying international trade </w:t>
      </w:r>
      <w:r w:rsidR="0E04675D" w:rsidRPr="5575EBFC">
        <w:rPr>
          <w:lang w:val="en-GB"/>
        </w:rPr>
        <w:t>but, despite</w:t>
      </w:r>
      <w:r w:rsidR="5CC380A1" w:rsidRPr="5575EBFC">
        <w:rPr>
          <w:lang w:val="en-GB"/>
        </w:rPr>
        <w:t xml:space="preserve"> </w:t>
      </w:r>
      <w:r w:rsidR="73E38BA7" w:rsidRPr="5575EBFC">
        <w:rPr>
          <w:lang w:val="en-GB"/>
        </w:rPr>
        <w:t xml:space="preserve">the risk containers pose, </w:t>
      </w:r>
      <w:r w:rsidR="0E04675D" w:rsidRPr="5575EBFC">
        <w:rPr>
          <w:lang w:val="en-GB"/>
        </w:rPr>
        <w:t xml:space="preserve">there have been </w:t>
      </w:r>
      <w:r w:rsidR="73E38BA7" w:rsidRPr="5575EBFC">
        <w:rPr>
          <w:lang w:val="en-GB"/>
        </w:rPr>
        <w:t>no stud</w:t>
      </w:r>
      <w:r w:rsidR="0E04675D" w:rsidRPr="5575EBFC">
        <w:rPr>
          <w:lang w:val="en-GB"/>
        </w:rPr>
        <w:t>ies</w:t>
      </w:r>
      <w:r w:rsidR="73E38BA7" w:rsidRPr="5575EBFC">
        <w:rPr>
          <w:lang w:val="en-GB"/>
        </w:rPr>
        <w:t xml:space="preserve"> to date </w:t>
      </w:r>
      <w:r w:rsidR="0E04675D" w:rsidRPr="5575EBFC">
        <w:rPr>
          <w:lang w:val="en-GB"/>
        </w:rPr>
        <w:t>attempting</w:t>
      </w:r>
      <w:r w:rsidR="73E38BA7" w:rsidRPr="5575EBFC">
        <w:rPr>
          <w:lang w:val="en-GB"/>
        </w:rPr>
        <w:t xml:space="preserve"> to relate contemporary risk of </w:t>
      </w:r>
      <w:r w:rsidR="26B54628" w:rsidRPr="5575EBFC">
        <w:rPr>
          <w:lang w:val="en-GB"/>
        </w:rPr>
        <w:t>invasive alien species</w:t>
      </w:r>
      <w:r w:rsidR="45F101C9" w:rsidRPr="5575EBFC">
        <w:rPr>
          <w:lang w:val="en-GB"/>
        </w:rPr>
        <w:t xml:space="preserve"> </w:t>
      </w:r>
      <w:r w:rsidR="73E38BA7" w:rsidRPr="5575EBFC">
        <w:rPr>
          <w:lang w:val="en-GB"/>
        </w:rPr>
        <w:t>to variation in the number of containers imported or indeed their global itineraries</w:t>
      </w:r>
      <w:r w:rsidR="602C2D4B" w:rsidRPr="5575EBFC">
        <w:rPr>
          <w:lang w:val="en-GB"/>
        </w:rPr>
        <w:t xml:space="preserve"> </w:t>
      </w:r>
      <w:r w:rsidR="7110296F" w:rsidRPr="5575EBFC">
        <w:rPr>
          <w:lang w:val="en-GB"/>
        </w:rPr>
        <w:fldChar w:fldCharType="begin"/>
      </w:r>
      <w:r w:rsidR="00331A79">
        <w:rPr>
          <w:lang w:val="en-GB"/>
        </w:rPr>
        <w:instrText xml:space="preserve"> ADDIN ZOTERO_ITEM CSL_CITATION {"citationID":"eWkcdcrN","properties":{"formattedCitation":"(Hulme, 2021b)","plainCitation":"(Hulme, 2021b)","noteIndex":0},"citationItems":[{"id":29731,"uris":["http://zotero.org/groups/2352922/items/KV62X9CX"],"itemData":{"id":29731,"type":"article-journal","abstract":"Biological invasions are synonymous with international trade. The direct effects of trade have largely been quantiﬁed using relationships between imports and the number of alien species in a region or patterns in the global spread of species linked to shipping and air trafﬁc networks. But trade also has an indirect role on biological invasions by transforming the environments and societies of exporting and importing nations. Here, both the direct and indirect roles of trade on biological invasions, as well as their interaction, are examined for the ﬁrst time. Future trends in international trade, including e-commerce, new trade routes, and major infrastructure developments, will lead to the pressure on national borders soon outstripping the resources available for intervention. The current legislative and scientiﬁc tools targeting biological invasions are insufﬁcient to deal with this growing threat and require a new mindset that focuses on curbing the pandemic risk posed by alien species.","container-title":"One Earth","DOI":"10.1016/j.oneear.2021.04.015","ISSN":"25903322","issue":"5","journalAbbreviation":"One Earth","language":"en","page":"666-679","source":"DOI.org (Crossref)","title":"Unwelcome exchange: International trade as a direct and indirect driver of biological invasions worldwide","title-short":"Unwelcome exchange","URL":"https://doi.org/10.1016/j.oneear.2021.04.015","volume":"4","author":[{"family":"Hulme","given":"Philip E."}],"accessed":{"date-parts":[["2021",7,8]]},"issued":{"date-parts":[["2021",5]]}}}],"schema":"https://github.com/citation-style-language/schema/raw/master/csl-citation.json"} </w:instrText>
      </w:r>
      <w:r w:rsidR="7110296F" w:rsidRPr="5575EBFC">
        <w:rPr>
          <w:lang w:val="en-GB"/>
        </w:rPr>
        <w:fldChar w:fldCharType="separate"/>
      </w:r>
      <w:r w:rsidR="6B5F9B9E">
        <w:t>(Hulme, 2021b)</w:t>
      </w:r>
      <w:r w:rsidR="7110296F" w:rsidRPr="5575EBFC">
        <w:rPr>
          <w:lang w:val="en-GB"/>
        </w:rPr>
        <w:fldChar w:fldCharType="end"/>
      </w:r>
      <w:r w:rsidR="73E38BA7" w:rsidRPr="5575EBFC">
        <w:rPr>
          <w:lang w:val="en-GB"/>
        </w:rPr>
        <w:t>.</w:t>
      </w:r>
    </w:p>
    <w:p w14:paraId="26097718" w14:textId="77777777" w:rsidR="008C1BF7" w:rsidRPr="00DA249F" w:rsidRDefault="2C2A48F7" w:rsidP="0090109B">
      <w:pPr>
        <w:rPr>
          <w:rFonts w:eastAsia="Times New Roman"/>
          <w:lang w:val="en-GB"/>
        </w:rPr>
      </w:pPr>
      <w:r w:rsidRPr="00DA249F">
        <w:rPr>
          <w:lang w:val="en-GB"/>
        </w:rPr>
        <w:t>There is often a strong correlation between the number of alien species in a country and the value of commodity imports</w:t>
      </w:r>
      <w:r w:rsidR="001D4019">
        <w:rPr>
          <w:lang w:val="en-GB"/>
        </w:rPr>
        <w:t>,</w:t>
      </w:r>
      <w:r w:rsidRPr="00DA249F">
        <w:rPr>
          <w:lang w:val="en-GB"/>
        </w:rPr>
        <w:t xml:space="preserve"> supporting the view that international trade is a key driver in the introduction of invasive alien species </w:t>
      </w:r>
      <w:r w:rsidR="008C1BF7" w:rsidRPr="00DA249F">
        <w:rPr>
          <w:lang w:val="en-GB"/>
        </w:rPr>
        <w:fldChar w:fldCharType="begin"/>
      </w:r>
      <w:r w:rsidR="00331A79">
        <w:rPr>
          <w:lang w:val="en-GB"/>
        </w:rPr>
        <w:instrText xml:space="preserve"> ADDIN ZOTERO_ITEM CSL_CITATION {"citationID":"MTqJrY0X","properties":{"formattedCitation":"(Levine &amp; D\\uc0\\u8217{}Antonio, 2003; Santini et al., 2013; Seebens et al., 2015; Westphal et al., 2008)","plainCitation":"(Levine &amp; D’Antonio, 2003; Santini et al., 2013; Seebens et al., 2015; Westphal et al., 2008)","noteIndex":0},"citationItems":[{"id":32827,"uris":["http://zotero.org/groups/2352922/items/I6CAGP4S"],"itemData":{"id":32827,"type":"article-journal","abstract":"We used historical data to parameterize species-accumulation models relating international trade to the establishment rates of nonindigenous species in the United States over the past century. We then coupled these relationships with published trade forecasts to predict future invasion rates for insects, plant pathogens, and mollusks. Relationships between the accumulation of non-native species and merchandise imports were reasonably described by log-log and log-linear species-area models and Michaelis-Menten accumulation functions. However, the latter two models produced markedly better fits. When coupled with projected trade forecasts, the log-linear species-area model predicted 16-24% taxon-specific increases in the number of nonindigenous species established in the United States from 2000 to 2020. The Michaelis-Menten model predicted much lower 3-6% increases, but even this meant 115 new insect species and 5 new plant pathogens. These results suggest that the ecological and economic costs associated with human-caused biological invasions may continue to rise substantially over the coming decades.","container-title":"Conservation Biology","DOI":"10.1046/j.1523-1739.2003.02038.x","ISSN":"0888-8892","issue":"1","language":"en","note":"WOS:000180846200037","page":"322-326","title":"Forecasting Biological Invasions with Increasing International Trade","URL":"https://doi.org/10.1046/j.1523-1739.2003.02038.x","volume":"17","author":[{"family":"Levine","given":"Jonathan M."},{"family":"D'Antonio","given":"C. M."}],"issued":{"date-parts":[["2003",2]]}},"label":"page"},{"id":31610,"uris":["http://zotero.org/groups/2352922/items/994JHFP8"],"itemData":{"id":31610,"type":"article-journal","abstract":"A large database of invasive forest pathogens (IFPs) was developed to investigate the patterns and determinants of invasion in Europe. Detailed taxonomic and biological information on the invasive species was combined with country-specific data on land use, climate, and the time since invasion to identify the determinants of invasiveness, and to differentiate the class of environments which share territorial and climate features associated with a susceptibility to invasion. IFPs increased exponentially in the last four decades. Until 1919, IFPs already present moved across Europe. Then, new IFPs were introduced mainly from North America, and recently from Asia. Hybrid pathogens also appeared. Countries with a wider range of environments, higher human impact or international trade hosted more IFPs. Rainfall influenced the diffusion rates. Environmental conditions of the new and original ranges and systematic and ecological attributes affected invasiveness. Further spread of established IFPs is expected in countries that have experienced commercial isolation in the recent past. Densely populated countries with high environmental diversity may be the weakest links in attempts to prevent new arrivals. Tight coordination of actions against new arrivals is needed. Eradication seems impossible, and prevention seems the only reliable measure, although this will be difficult in the face of global mobility.","container-title":"New Phytologist","DOI":"10.1111/j.1469-8137.2012.04364.x","ISSN":"0028-646X","issue":"1","journalAbbreviation":"New Phytol.","language":"English","note":"WOS:000311606800025","page":"238-250","source":"Web of Science","title":"Biogeographical patterns and determinants of invasion by forest pathogens in Europe","volume":"197","author":[{"family":"Santini","given":"A."},{"family":"Ghelardini","given":"L."},{"family":"De Pace","given":"C."},{"family":"Desprez-Loustau","given":"M. L."},{"family":"Capretti","given":"P."},{"family":"Chandelier","given":"A."},{"family":"Cech","given":"T."},{"family":"Chira","given":"D."},{"family":"Diamandis","given":"S."},{"family":"Gaitniekis","given":"T."},{"family":"Hantula","given":"J."},{"family":"Holdenrieder","given":"O."},{"family":"Jankovsky","given":"L."},{"family":"Jung","given":"T."},{"family":"Jurc","given":"D."},{"family":"Kirisits","given":"T."},{"family":"Kunca","given":"A."},{"family":"Lygis","given":"V."},{"family":"Malecka","given":"M."},{"family":"Marcais","given":"B."},{"family":"Schmitz","given":"S."},{"family":"Schumacher","given":"J."},{"family":"Solheim","given":"H."},{"family":"Solla","given":"A."},{"family":"Szabo","given":"I."},{"family":"Tsopelas","given":"P."},{"family":"Vannini","given":"A."},{"family":"Vettraino","given":"A. M."},{"family":"Webber","given":"J."},{"family":"Woodward","given":"S."},{"family":"Stenlid","given":"J."}],"issued":{"date-parts":[["2013",1]]}},"label":"page"},{"id":56690,"uris":["http://zotero.org/groups/2352922/items/BUQI9FWK","http://zotero.org/groups/2352922/items/JXSQ5KP4"],"itemData":{"id":56690,"type":"article-journal","container-title":"Global Change Biology","DOI":"10.1111/gcb.13021","ISSN":"13541013","issue":"11","journalAbbreviation":"Glob Change Biol","language":"en","page":"4128-4140","source":"DOI.org (Crossref)","title":"Global trade will accelerate plant invasions in emerging economies under climate change","URL":"https://onlinelibrary.wiley.com/doi/10.1111/gcb.13021","volume":"21","author":[{"family":"Seebens","given":"Hanno"},{"family":"Essl","given":"Franz"},{"family":"Dawson","given":"Wayne"},{"family":"Fuentes","given":"Nicol"},{"family":"Moser","given":"Dietmar"},{"family":"Pergl","given":"Jan"},{"family":"Pyšek","given":"Petr"},{"family":"Van Kleunen","given":"Mark"},{"family":"Weber","given":"Ewald"},{"family":"Winter","given":"Marten"},{"family":"Blasius","given":"Bernd"}],"accessed":{"date-parts":[["2023",6,8]]},"issued":{"date-parts":[["2015",11]]}},"label":"page"},{"id":28951,"uris":["http://zotero.org/groups/2352922/items/DTXM7R2A"],"itemData":{"id":28951,"type":"article-journal","abstract":"Invasive alien species (IAS) exact large biodiversity and economic costs and are a significant component of human-induced, global environmental change. Previous studies looking at the variation in alien species across regions have been limited geographically or taxonomically or have not considered economics. We used a global invasive species database to regress IAS per-country on a suite of socioeconomic, ecological, and biogeographical variables. We varied the countries included in the regression tree analyses, in order to explore whether certain outliers were biasing the results, and in most of the cases, merchandise imports was the most important explanatory variable. The greater the degree of international trade, the higher the number of IAS. We also found a positive relationship between species richness and the number of invasives, in accord with other investigations at large spatial scales. Island status (overall), country area, latitude, continental position (New World versus Old World) or other measures of human disturbance (e.g., GDP per capita, population density) were not found to be important determinants of a country’s degree of biological invasion, contrary to previous studies. Our findings also provide support to the idea that more resources for combating IAS should be directed at the introduction stage and that novel trade instruments need to be explored to account for this environmental externality.","container-title":"Biological Invasions","DOI":"10.1007/s10530-007-9138-5","ISSN":"1573-1464","issue":"4","journalAbbreviation":"Biol Invasions","language":"en","page":"391-398","source":"Springer Link","title":"The link between international trade and the global distribution of invasive alien species","URL":"https://doi.org/10.1007/s10530-007-9138-5","volume":"10","author":[{"family":"Westphal","given":"Michael I."},{"family":"Browne","given":"Michael"},{"family":"MacKinnon","given":"Kathy"},{"family":"Noble","given":"Ian"}],"accessed":{"date-parts":[["2019",8,23]]},"issued":{"date-parts":[["2008",4,1]]}},"label":"page"}],"schema":"https://github.com/citation-style-language/schema/raw/master/csl-citation.json"} </w:instrText>
      </w:r>
      <w:r w:rsidR="008C1BF7" w:rsidRPr="00DA249F">
        <w:rPr>
          <w:lang w:val="en-GB"/>
        </w:rPr>
        <w:fldChar w:fldCharType="separate"/>
      </w:r>
      <w:r w:rsidR="008A0CF4" w:rsidRPr="008A0CF4">
        <w:rPr>
          <w:szCs w:val="24"/>
        </w:rPr>
        <w:t>(Levine &amp; D’Antonio, 2003; Santini et al., 2013; Seebens et al., 2015; Westphal et al., 2008)</w:t>
      </w:r>
      <w:r w:rsidR="008C1BF7" w:rsidRPr="00DA249F">
        <w:rPr>
          <w:lang w:val="en-GB"/>
        </w:rPr>
        <w:fldChar w:fldCharType="end"/>
      </w:r>
      <w:r w:rsidRPr="00DA249F">
        <w:rPr>
          <w:lang w:val="en-GB"/>
        </w:rPr>
        <w:t>.</w:t>
      </w:r>
      <w:r w:rsidR="7E1FC161" w:rsidRPr="00DA249F">
        <w:rPr>
          <w:lang w:val="en-GB"/>
        </w:rPr>
        <w:t xml:space="preserve"> </w:t>
      </w:r>
      <w:r w:rsidR="03C14CFE" w:rsidRPr="00DA249F">
        <w:rPr>
          <w:rFonts w:eastAsia="Times New Roman"/>
          <w:lang w:val="en-GB"/>
        </w:rPr>
        <w:t>Such relationships are often nonlinear, suggesting that the effect of imports on alien species numbers becomes less strong once a certain threshold is reached</w:t>
      </w:r>
      <w:r w:rsidR="00A373F4">
        <w:rPr>
          <w:rFonts w:eastAsia="Times New Roman"/>
          <w:lang w:val="en-GB"/>
        </w:rPr>
        <w:t>,</w:t>
      </w:r>
      <w:r w:rsidR="03C14CFE" w:rsidRPr="00DA249F">
        <w:rPr>
          <w:rFonts w:eastAsia="Times New Roman"/>
          <w:lang w:val="en-GB"/>
        </w:rPr>
        <w:t xml:space="preserve"> and can vary in strength quite markedly depending on the taxonomic group examined</w:t>
      </w:r>
      <w:r w:rsidR="00C7021D" w:rsidRPr="00DA249F">
        <w:rPr>
          <w:rFonts w:eastAsia="Times New Roman"/>
          <w:lang w:val="en-GB"/>
        </w:rPr>
        <w:t xml:space="preserve"> </w:t>
      </w:r>
      <w:r w:rsidR="00C7021D" w:rsidRPr="00DA249F">
        <w:rPr>
          <w:lang w:val="en-GB"/>
        </w:rPr>
        <w:fldChar w:fldCharType="begin"/>
      </w:r>
      <w:r w:rsidR="00331A79">
        <w:rPr>
          <w:lang w:val="en-GB"/>
        </w:rPr>
        <w:instrText xml:space="preserve"> ADDIN ZOTERO_ITEM CSL_CITATION {"citationID":"gTjSHYnm","properties":{"formattedCitation":"(Hulme, 2021b)","plainCitation":"(Hulme, 2021b)","noteIndex":0},"citationItems":[{"id":29731,"uris":["http://zotero.org/groups/2352922/items/KV62X9CX"],"itemData":{"id":29731,"type":"article-journal","abstract":"Biological invasions are synonymous with international trade. The direct effects of trade have largely been quantiﬁed using relationships between imports and the number of alien species in a region or patterns in the global spread of species linked to shipping and air trafﬁc networks. But trade also has an indirect role on biological invasions by transforming the environments and societies of exporting and importing nations. Here, both the direct and indirect roles of trade on biological invasions, as well as their interaction, are examined for the ﬁrst time. Future trends in international trade, including e-commerce, new trade routes, and major infrastructure developments, will lead to the pressure on national borders soon outstripping the resources available for intervention. The current legislative and scientiﬁc tools targeting biological invasions are insufﬁcient to deal with this growing threat and require a new mindset that focuses on curbing the pandemic risk posed by alien species.","container-title":"One Earth","DOI":"10.1016/j.oneear.2021.04.015","ISSN":"25903322","issue":"5","journalAbbreviation":"One Earth","language":"en","page":"666-679","source":"DOI.org (Crossref)","title":"Unwelcome exchange: International trade as a direct and indirect driver of biological invasions worldwide","title-short":"Unwelcome exchange","URL":"https://doi.org/10.1016/j.oneear.2021.04.015","volume":"4","author":[{"family":"Hulme","given":"Philip E."}],"accessed":{"date-parts":[["2021",7,8]]},"issued":{"date-parts":[["2021",5]]}}}],"schema":"https://github.com/citation-style-language/schema/raw/master/csl-citation.json"} </w:instrText>
      </w:r>
      <w:r w:rsidR="00C7021D" w:rsidRPr="00DA249F">
        <w:rPr>
          <w:lang w:val="en-GB"/>
        </w:rPr>
        <w:fldChar w:fldCharType="separate"/>
      </w:r>
      <w:r w:rsidR="00144D96" w:rsidRPr="00144D96">
        <w:t>(Hulme, 2021b)</w:t>
      </w:r>
      <w:r w:rsidR="00C7021D" w:rsidRPr="00DA249F">
        <w:rPr>
          <w:lang w:val="en-GB"/>
        </w:rPr>
        <w:fldChar w:fldCharType="end"/>
      </w:r>
      <w:r w:rsidR="03C14CFE" w:rsidRPr="00DA249F">
        <w:rPr>
          <w:rFonts w:eastAsia="Times New Roman"/>
          <w:lang w:val="en-GB"/>
        </w:rPr>
        <w:t xml:space="preserve">. </w:t>
      </w:r>
      <w:r w:rsidR="00F00692">
        <w:rPr>
          <w:lang w:val="en-GB"/>
        </w:rPr>
        <w:t>C</w:t>
      </w:r>
      <w:r w:rsidRPr="00DA249F">
        <w:rPr>
          <w:lang w:val="en-GB"/>
        </w:rPr>
        <w:t xml:space="preserve">oarse correlations with the value of all commodity imports often mask important detail regarding the relationship between trade and the multiple pathways of introduction of alien species </w:t>
      </w:r>
      <w:r w:rsidR="008C1BF7" w:rsidRPr="00DA249F">
        <w:rPr>
          <w:lang w:val="en-GB"/>
        </w:rPr>
        <w:fldChar w:fldCharType="begin"/>
      </w:r>
      <w:r w:rsidR="00331A79">
        <w:rPr>
          <w:lang w:val="en-GB"/>
        </w:rPr>
        <w:instrText xml:space="preserve"> ADDIN ZOTERO_ITEM CSL_CITATION {"citationID":"QmzGPFSG","properties":{"formattedCitation":"(Hulme et al., 2008)","plainCitation":"(Hulme et al., 2008)","noteIndex":0},"citationItems":[{"id":30462,"uris":["http://zotero.org/groups/2352922/items/WXMFBV44"],"itemData":{"id":30462,"type":"article-journal","container-title":"Journal of Applied Ecology","DOI":"10.1111/j.1365-2664.2007.01442.x","ISSN":"00218901, 13652664","issue":"2","language":"en","page":"403-414","source":"DOI.org (Crossref)","title":"Grasping at the routes of biological invasions: a framework for integrating pathways into policy","title-short":"Grasping at the routes of biological invasions","URL":"https://onlinelibrary.wiley.com/doi/10.1111/j.1365-2664.2007.01442.x","volume":"45","author":[{"family":"Hulme","given":"Philip E."},{"family":"Bacher","given":"S."},{"family":"Kenis","given":"M."},{"family":"Klotz","given":"S."},{"family":"Kühn","given":"I."},{"family":"Minchin","given":"D."},{"family":"Nentwig","given":"W."},{"family":"Olenin","given":"S."},{"family":"Panov","given":"V."},{"family":"Pergl","given":"J."},{"family":"Pyšek","given":"P."},{"family":"Roques","given":"A."},{"family":"Sol","given":"D."},{"family":"Solarz","given":"W."},{"family":"Vilà","given":"M."}],"accessed":{"date-parts":[["2021",8,23]]},"issued":{"date-parts":[["2008",4]]}}}],"schema":"https://github.com/citation-style-language/schema/raw/master/csl-citation.json"} </w:instrText>
      </w:r>
      <w:r w:rsidR="008C1BF7" w:rsidRPr="00DA249F">
        <w:rPr>
          <w:lang w:val="en-GB"/>
        </w:rPr>
        <w:fldChar w:fldCharType="separate"/>
      </w:r>
      <w:r w:rsidR="00144D96" w:rsidRPr="00144D96">
        <w:t>(Hulme et al., 2008)</w:t>
      </w:r>
      <w:r w:rsidR="008C1BF7" w:rsidRPr="00DA249F">
        <w:rPr>
          <w:lang w:val="en-GB"/>
        </w:rPr>
        <w:fldChar w:fldCharType="end"/>
      </w:r>
      <w:r w:rsidRPr="00DA249F">
        <w:rPr>
          <w:lang w:val="en-GB"/>
        </w:rPr>
        <w:t>.</w:t>
      </w:r>
      <w:r w:rsidR="7E1FC161" w:rsidRPr="00DA249F">
        <w:rPr>
          <w:lang w:val="en-GB"/>
        </w:rPr>
        <w:t xml:space="preserve"> </w:t>
      </w:r>
      <w:r w:rsidRPr="00DA249F">
        <w:rPr>
          <w:lang w:val="en-GB"/>
        </w:rPr>
        <w:t>Even within a single pathway there may be subtle differences in the risk posed by particular commodities</w:t>
      </w:r>
      <w:r w:rsidR="00F00692">
        <w:rPr>
          <w:lang w:val="en-GB"/>
        </w:rPr>
        <w:t>,</w:t>
      </w:r>
      <w:r w:rsidRPr="00DA249F">
        <w:rPr>
          <w:lang w:val="en-GB"/>
        </w:rPr>
        <w:t xml:space="preserve"> as in the case of invasive alien insects that are more likely to enter the </w:t>
      </w:r>
      <w:r w:rsidR="09DF7119" w:rsidRPr="00DA249F">
        <w:rPr>
          <w:lang w:val="en-GB"/>
        </w:rPr>
        <w:t xml:space="preserve">United States </w:t>
      </w:r>
      <w:r w:rsidRPr="00DA249F">
        <w:rPr>
          <w:lang w:val="en-GB"/>
        </w:rPr>
        <w:t xml:space="preserve">as contaminants of commodities transported in refrigerated rather than unrefrigerated cargo </w:t>
      </w:r>
      <w:r w:rsidR="008C1BF7" w:rsidRPr="00DA249F">
        <w:rPr>
          <w:lang w:val="en-GB"/>
        </w:rPr>
        <w:fldChar w:fldCharType="begin"/>
      </w:r>
      <w:r w:rsidR="00331A79">
        <w:rPr>
          <w:lang w:val="en-GB"/>
        </w:rPr>
        <w:instrText xml:space="preserve"> ADDIN ZOTERO_ITEM CSL_CITATION {"citationID":"jpwayA36","properties":{"formattedCitation":"(Work et al., 2005)","plainCitation":"(Work et al., 2005)","noteIndex":0},"citationItems":[{"id":28731,"uris":["http://zotero.org/groups/2352922/items/6L9R2U3E"],"itemData":{"id":28731,"type":"article-journal","abstract":"Introductions of invasive nonindigenous species, and the ensuing negative ecological and economic consequences, have increased with expanding global trade. Quantifying the influx of nonindigenous plant pest species through foreign trade is required for national and international risk assessments, monitoring and conservation efforts, and evaluation of ecological factors that affect invasion success. Here we use statistically robust data collected at US ports of entry and border crossings to estimate arrival rates of nonindigenous insect species via four cargo pathways and to evaluate the effectiveness of current efforts to monitor arrival of nonindigenous insect species. Interception rates were highest in refrigerated maritime cargo where a new insect species was intercepted on average every 54 inspections. Projected estimates of insect species richness stabilized only for non-refrigerated maritime cargo and US-Mexico border cargo, where inspectors likely detected 19-2% and 30-50% of the species being transported through these respective pathways. Conservative estimates of establishment suggest that 42 insect species may have become established through these four pathways between 1997 and 2001.","container-title":"Biological Invasions","DOI":"10.1007/s10530-004-1663-x","ISSN":"1387-3547","issue":"2","note":"WOS:000227957800014","page":"323-332","title":"Arrival rate of nonindigenous insect species into the United States through foreign trade","volume":"7","author":[{"family":"Work","given":"Timothy T"},{"family":"McCullough","given":"Deborah G"},{"family":"Cavey","given":"Joseph F"},{"family":"Komsa","given":"Ronald"}],"issued":{"date-parts":[["2005",3]]}}}],"schema":"https://github.com/citation-style-language/schema/raw/master/csl-citation.json"} </w:instrText>
      </w:r>
      <w:r w:rsidR="008C1BF7" w:rsidRPr="00DA249F">
        <w:rPr>
          <w:lang w:val="en-GB"/>
        </w:rPr>
        <w:fldChar w:fldCharType="separate"/>
      </w:r>
      <w:r w:rsidR="00144D96" w:rsidRPr="00144D96">
        <w:t>(Work et al., 2005)</w:t>
      </w:r>
      <w:r w:rsidR="008C1BF7" w:rsidRPr="00DA249F">
        <w:rPr>
          <w:lang w:val="en-GB"/>
        </w:rPr>
        <w:fldChar w:fldCharType="end"/>
      </w:r>
      <w:r w:rsidRPr="00DA249F">
        <w:rPr>
          <w:lang w:val="en-GB"/>
        </w:rPr>
        <w:t>.</w:t>
      </w:r>
    </w:p>
    <w:p w14:paraId="542A901C" w14:textId="77777777" w:rsidR="00AF3504" w:rsidRPr="00DA249F" w:rsidRDefault="0836B5F7" w:rsidP="0090109B">
      <w:pPr>
        <w:rPr>
          <w:lang w:val="en-GB"/>
        </w:rPr>
      </w:pPr>
      <w:r w:rsidRPr="00DA249F">
        <w:rPr>
          <w:lang w:val="en-GB"/>
        </w:rPr>
        <w:t>Knowledge that the likelihood of the introduction of alien species varies by trading partner has led to studies examining wider bilateral trade relationships more thoroughly</w:t>
      </w:r>
      <w:r w:rsidR="735BF81D" w:rsidRPr="00DA249F">
        <w:rPr>
          <w:lang w:val="en-GB"/>
        </w:rPr>
        <w:t xml:space="preserve"> </w:t>
      </w:r>
      <w:bookmarkStart w:id="109" w:name="_Hlk126831908"/>
      <w:r w:rsidR="00C123B1" w:rsidRPr="00DA249F">
        <w:rPr>
          <w:lang w:val="en-GB"/>
        </w:rPr>
        <w:fldChar w:fldCharType="begin"/>
      </w:r>
      <w:r w:rsidR="00331A79">
        <w:rPr>
          <w:lang w:val="en-GB"/>
        </w:rPr>
        <w:instrText xml:space="preserve"> ADDIN ZOTERO_ITEM CSL_CITATION {"citationID":"n12IQpTV","properties":{"formattedCitation":"(Hulme, 2021b)","plainCitation":"(Hulme, 2021b)","noteIndex":0},"citationItems":[{"id":29731,"uris":["http://zotero.org/groups/2352922/items/KV62X9CX"],"itemData":{"id":29731,"type":"article-journal","abstract":"Biological invasions are synonymous with international trade. The direct effects of trade have largely been quantiﬁed using relationships between imports and the number of alien species in a region or patterns in the global spread of species linked to shipping and air trafﬁc networks. But trade also has an indirect role on biological invasions by transforming the environments and societies of exporting and importing nations. Here, both the direct and indirect roles of trade on biological invasions, as well as their interaction, are examined for the ﬁrst time. Future trends in international trade, including e-commerce, new trade routes, and major infrastructure developments, will lead to the pressure on national borders soon outstripping the resources available for intervention. The current legislative and scientiﬁc tools targeting biological invasions are insufﬁcient to deal with this growing threat and require a new mindset that focuses on curbing the pandemic risk posed by alien species.","container-title":"One Earth","DOI":"10.1016/j.oneear.2021.04.015","ISSN":"25903322","issue":"5","journalAbbreviation":"One Earth","language":"en","page":"666-679","source":"DOI.org (Crossref)","title":"Unwelcome exchange: International trade as a direct and indirect driver of biological invasions worldwide","title-short":"Unwelcome exchange","URL":"https://doi.org/10.1016/j.oneear.2021.04.015","volume":"4","author":[{"family":"Hulme","given":"Philip E."}],"accessed":{"date-parts":[["2021",7,8]]},"issued":{"date-parts":[["2021",5]]}},"label":"page"}],"schema":"https://github.com/citation-style-language/schema/raw/master/csl-citation.json"} </w:instrText>
      </w:r>
      <w:r w:rsidR="00C123B1" w:rsidRPr="00DA249F">
        <w:rPr>
          <w:lang w:val="en-GB"/>
        </w:rPr>
        <w:fldChar w:fldCharType="separate"/>
      </w:r>
      <w:r w:rsidR="00144D96" w:rsidRPr="00144D96">
        <w:t>(Hulme, 2021b)</w:t>
      </w:r>
      <w:r w:rsidR="00C123B1" w:rsidRPr="00DA249F">
        <w:rPr>
          <w:lang w:val="en-GB"/>
        </w:rPr>
        <w:fldChar w:fldCharType="end"/>
      </w:r>
      <w:bookmarkEnd w:id="109"/>
      <w:r w:rsidR="00736A08" w:rsidRPr="00DA249F">
        <w:rPr>
          <w:lang w:val="en-GB"/>
        </w:rPr>
        <w:t xml:space="preserve">. </w:t>
      </w:r>
      <w:r w:rsidRPr="00DA249F">
        <w:rPr>
          <w:lang w:val="en-GB"/>
        </w:rPr>
        <w:t>As a result,</w:t>
      </w:r>
      <w:r w:rsidR="2C2A48F7" w:rsidRPr="00DA249F">
        <w:rPr>
          <w:lang w:val="en-GB"/>
        </w:rPr>
        <w:t xml:space="preserve"> data on the magnitude of bilateral trade between regions is often used to estimate the scale of future biological invasions and has</w:t>
      </w:r>
      <w:r w:rsidR="00D40D16" w:rsidRPr="00DA249F">
        <w:rPr>
          <w:lang w:val="en-GB"/>
        </w:rPr>
        <w:t>,</w:t>
      </w:r>
      <w:r w:rsidR="2C2A48F7" w:rsidRPr="00DA249F">
        <w:rPr>
          <w:lang w:val="en-GB"/>
        </w:rPr>
        <w:t xml:space="preserve"> to date</w:t>
      </w:r>
      <w:r w:rsidR="00D40D16" w:rsidRPr="00DA249F">
        <w:rPr>
          <w:lang w:val="en-GB"/>
        </w:rPr>
        <w:t>,</w:t>
      </w:r>
      <w:r w:rsidR="2C2A48F7" w:rsidRPr="00DA249F">
        <w:rPr>
          <w:lang w:val="en-GB"/>
        </w:rPr>
        <w:t xml:space="preserve"> pointed to a significant increase</w:t>
      </w:r>
      <w:r w:rsidR="008618F8" w:rsidRPr="00DA249F">
        <w:rPr>
          <w:lang w:val="en-GB"/>
        </w:rPr>
        <w:t xml:space="preserve"> in</w:t>
      </w:r>
      <w:r w:rsidR="2C2A48F7" w:rsidRPr="00DA249F">
        <w:rPr>
          <w:lang w:val="en-GB"/>
        </w:rPr>
        <w:t xml:space="preserve"> risk over the next decades </w:t>
      </w:r>
      <w:r w:rsidRPr="00DA249F">
        <w:rPr>
          <w:lang w:val="en-GB"/>
        </w:rPr>
        <w:fldChar w:fldCharType="begin"/>
      </w:r>
      <w:r w:rsidR="00331A79">
        <w:rPr>
          <w:lang w:val="en-GB"/>
        </w:rPr>
        <w:instrText xml:space="preserve"> ADDIN ZOTERO_ITEM CSL_CITATION {"citationID":"GdESB60Z","properties":{"formattedCitation":"(Bradley et al., 2012; Seebens et al., 2015)","plainCitation":"(Bradley et al., 2012; Seebens et al., 2015)","noteIndex":0},"citationItems":[{"id":28840,"uris":["http://zotero.org/groups/2352922/items/73Q6EIKK"],"itemData":{"id":28840,"type":"article-journal","abstract":"Many non-native plants in the US have become problematic invaders of native and managed ecosystems, but a new generation of invasive species may be at our doorstep. Here, we review trends in the horticultural trade and invasion patterns of previously introduced species and show that novel species introductions from emerging horticultural trade partners are likely to rapidly increase invasion risk. At the same time, climate change and water restrictions are increasing demand for new types of species adapted to warm and dry environments. This confluence of forces could expose the US to a range of new invasive species, including many from tropical and semiarid Africa as well as the Middle East. Risk assessment strategies have proven successful elsewhere at identifying and preventing invasions, although some modifications are needed to address emerging threats. Now is the time to implement horticulture import screening measures to prevent this new wave of plant invasions.","container-title":"Frontiers in Ecology and the Environment","DOI":"10.1890/110145","ISSN":"1540-9295","issue":"1","journalAbbreviation":"Frontiers in Ecology and the Environment","language":"en","note":"WOS:000301864000017","page":"20-28","title":"Global change, global trade, and the next wave of plant invasions","URL":"http://doi.wiley.com/10.1890/110145","volume":"10","author":[{"family":"Bradley","given":"Bethany A."},{"family":"Blumenthal","given":"Dana M."},{"family":"Early","given":"Regan"},{"family":"Grosholz","given":"Edwin D."},{"family":"Lawler","given":"Joshua J."},{"family":"Miller","given":"Luke P."},{"family":"Sorte","given":"Cascade J. B."},{"family":"D'Antonio","given":"Carla M."},{"family":"Diez","given":"Jeffrey M."},{"family":"Dukes","given":"Jeffrey S."},{"family":"Ibanez","given":"Ines"},{"family":"Olden","given":"Julian D."}],"issued":{"date-parts":[["2012",2]]}}},{"id":56690,"uris":["http://zotero.org/groups/2352922/items/BUQI9FWK","http://zotero.org/groups/2352922/items/JXSQ5KP4"],"itemData":{"id":56690,"type":"article-journal","container-title":"Global Change Biology","DOI":"10.1111/gcb.13021","ISSN":"13541013","issue":"11","journalAbbreviation":"Glob Change Biol","language":"en","page":"4128-4140","source":"DOI.org (Crossref)","title":"Global trade will accelerate plant invasions in emerging economies under climate change","URL":"https://onlinelibrary.wiley.com/doi/10.1111/gcb.13021","volume":"21","author":[{"family":"Seebens","given":"Hanno"},{"family":"Essl","given":"Franz"},{"family":"Dawson","given":"Wayne"},{"family":"Fuentes","given":"Nicol"},{"family":"Moser","given":"Dietmar"},{"family":"Pergl","given":"Jan"},{"family":"Pyšek","given":"Petr"},{"family":"Van Kleunen","given":"Mark"},{"family":"Weber","given":"Ewald"},{"family":"Winter","given":"Marten"},{"family":"Blasius","given":"Bernd"}],"accessed":{"date-parts":[["2023",6,8]]},"issued":{"date-parts":[["2015",11]]}}}],"schema":"https://github.com/citation-style-language/schema/raw/master/csl-citation.json"} </w:instrText>
      </w:r>
      <w:r w:rsidRPr="00DA249F">
        <w:rPr>
          <w:lang w:val="en-GB"/>
        </w:rPr>
        <w:fldChar w:fldCharType="separate"/>
      </w:r>
      <w:r w:rsidR="00144D96" w:rsidRPr="00144D96">
        <w:t>(Bradley et al., 2012; Seebens et al., 2015)</w:t>
      </w:r>
      <w:r w:rsidRPr="00DA249F">
        <w:rPr>
          <w:lang w:val="en-GB"/>
        </w:rPr>
        <w:fldChar w:fldCharType="end"/>
      </w:r>
      <w:r w:rsidR="13C829A4" w:rsidRPr="00DA249F">
        <w:rPr>
          <w:lang w:val="en-GB"/>
        </w:rPr>
        <w:t xml:space="preserve">. </w:t>
      </w:r>
      <w:r w:rsidR="2612959F" w:rsidRPr="00DA249F">
        <w:rPr>
          <w:lang w:val="en-GB"/>
        </w:rPr>
        <w:t xml:space="preserve">These risks differ </w:t>
      </w:r>
      <w:r w:rsidR="009C3811">
        <w:rPr>
          <w:lang w:val="en-GB"/>
        </w:rPr>
        <w:t>by</w:t>
      </w:r>
      <w:r w:rsidR="2612959F" w:rsidRPr="00DA249F">
        <w:rPr>
          <w:lang w:val="en-GB"/>
        </w:rPr>
        <w:t xml:space="preserve"> global region</w:t>
      </w:r>
      <w:r w:rsidR="009C3811">
        <w:rPr>
          <w:lang w:val="en-GB"/>
        </w:rPr>
        <w:t>,</w:t>
      </w:r>
      <w:r w:rsidR="2612959F" w:rsidRPr="00DA249F">
        <w:rPr>
          <w:lang w:val="en-GB"/>
        </w:rPr>
        <w:t xml:space="preserve"> with some evidence suggesting</w:t>
      </w:r>
      <w:r w:rsidR="009C3811">
        <w:rPr>
          <w:lang w:val="en-GB"/>
        </w:rPr>
        <w:t xml:space="preserve"> there are</w:t>
      </w:r>
      <w:r w:rsidR="2612959F" w:rsidRPr="00DA249F">
        <w:rPr>
          <w:lang w:val="en-GB"/>
        </w:rPr>
        <w:t xml:space="preserve"> greater risks for developing countries </w:t>
      </w:r>
      <w:r w:rsidRPr="00DA249F">
        <w:rPr>
          <w:lang w:val="en-GB"/>
        </w:rPr>
        <w:fldChar w:fldCharType="begin"/>
      </w:r>
      <w:r w:rsidR="00331A79">
        <w:rPr>
          <w:lang w:val="en-GB"/>
        </w:rPr>
        <w:instrText xml:space="preserve"> ADDIN ZOTERO_ITEM CSL_CITATION {"citationID":"k5d1ges7","properties":{"formattedCitation":"(Seebens et al., 2015)","plainCitation":"(Seebens et al., 2015)","noteIndex":0},"citationItems":[{"id":56690,"uris":["http://zotero.org/groups/2352922/items/BUQI9FWK","http://zotero.org/groups/2352922/items/JXSQ5KP4"],"itemData":{"id":56690,"type":"article-journal","container-title":"Global Change Biology","DOI":"10.1111/gcb.13021","ISSN":"13541013","issue":"11","journalAbbreviation":"Glob Change Biol","language":"en","page":"4128-4140","source":"DOI.org (Crossref)","title":"Global trade will accelerate plant invasions in emerging economies under climate change","URL":"https://onlinelibrary.wiley.com/doi/10.1111/gcb.13021","volume":"21","author":[{"family":"Seebens","given":"Hanno"},{"family":"Essl","given":"Franz"},{"family":"Dawson","given":"Wayne"},{"family":"Fuentes","given":"Nicol"},{"family":"Moser","given":"Dietmar"},{"family":"Pergl","given":"Jan"},{"family":"Pyšek","given":"Petr"},{"family":"Van Kleunen","given":"Mark"},{"family":"Weber","given":"Ewald"},{"family":"Winter","given":"Marten"},{"family":"Blasius","given":"Bernd"}],"accessed":{"date-parts":[["2023",6,8]]},"issued":{"date-parts":[["2015",11]]}}}],"schema":"https://github.com/citation-style-language/schema/raw/master/csl-citation.json"} </w:instrText>
      </w:r>
      <w:r w:rsidRPr="00DA249F">
        <w:rPr>
          <w:lang w:val="en-GB"/>
        </w:rPr>
        <w:fldChar w:fldCharType="separate"/>
      </w:r>
      <w:r w:rsidR="00144D96" w:rsidRPr="00144D96">
        <w:t>(Seebens et al., 2015)</w:t>
      </w:r>
      <w:r w:rsidRPr="00DA249F">
        <w:rPr>
          <w:lang w:val="en-GB"/>
        </w:rPr>
        <w:fldChar w:fldCharType="end"/>
      </w:r>
      <w:r w:rsidR="2612959F" w:rsidRPr="00DA249F">
        <w:rPr>
          <w:lang w:val="en-GB"/>
        </w:rPr>
        <w:t>.</w:t>
      </w:r>
      <w:r w:rsidR="7E1FC161" w:rsidRPr="00DA249F">
        <w:rPr>
          <w:lang w:val="en-GB"/>
        </w:rPr>
        <w:t xml:space="preserve"> </w:t>
      </w:r>
      <w:r w:rsidR="2C2A48F7" w:rsidRPr="00DA249F">
        <w:rPr>
          <w:lang w:val="en-GB"/>
        </w:rPr>
        <w:t xml:space="preserve">Given the strong link between international trade and biological invasions, the global economic slowdown </w:t>
      </w:r>
      <w:r w:rsidR="70B95517" w:rsidRPr="00DA249F">
        <w:rPr>
          <w:lang w:val="en-GB"/>
        </w:rPr>
        <w:t xml:space="preserve">that was initiated by the 2008 financial crisis </w:t>
      </w:r>
      <w:r w:rsidRPr="00DA249F">
        <w:rPr>
          <w:lang w:val="en-GB"/>
        </w:rPr>
        <w:fldChar w:fldCharType="begin"/>
      </w:r>
      <w:r w:rsidR="00331A79">
        <w:rPr>
          <w:lang w:val="en-GB"/>
        </w:rPr>
        <w:instrText xml:space="preserve"> ADDIN ZOTERO_ITEM CSL_CITATION {"citationID":"C8I6kvTZ","properties":{"formattedCitation":"(Constantinescu et al., 2016)","plainCitation":"(Constantinescu et al., 2016)","noteIndex":0},"citationItems":[{"id":12567,"uris":["http://zotero.org/groups/2352922/items/VUJS38P5"],"itemData":{"id":12567,"type":"article-journal","abstract":"Since the Global Financial Crisis, world trade growth has been subdued and lagging slightly behind GDP growth. Trade is growing more slowly not only because global GDP growth is lower, but also because trade itself has become less responsive to GDP. This article reviews the reasons behind the changing trade income relationship and then investigates its consequences for economic growth. On the demand side, sluggish world import growth may adversely affect individual countries' economic growth as it limits opportunities for their exports. On the supply side, slower trade may diminish the scope for productivity growth through increasing specialization and diffusion of technologies. We find preliminary evidence that the changing trade income relationship matters, although the quantifiable effects do not appear to be large. (C) 2016 The Society for Policy Modeling. Published by Elsevier Inc. All rights reserved.","container-title":"Journal of Policy Modeling","DOI":"10.1016/j.jpolmod.2016.05.013","ISSN":"0161-8938","issue":"4","journalAbbreviation":"J. Policy Model.","language":"English","note":"WOS:000386193800010","page":"711-722","title":"Does the global trade slowdown matter?","volume":"38","author":[{"family":"Constantinescu","given":"Cristina"},{"family":"Mattoo","given":"Aaditya"},{"family":"Ruta","given":"Michele"}],"issued":{"date-parts":[["2016",8]]}}}],"schema":"https://github.com/citation-style-language/schema/raw/master/csl-citation.json"} </w:instrText>
      </w:r>
      <w:r w:rsidRPr="00DA249F">
        <w:rPr>
          <w:lang w:val="en-GB"/>
        </w:rPr>
        <w:fldChar w:fldCharType="separate"/>
      </w:r>
      <w:r w:rsidR="00144D96" w:rsidRPr="00144D96">
        <w:t>(Constantinescu et al., 2016)</w:t>
      </w:r>
      <w:r w:rsidRPr="00DA249F">
        <w:rPr>
          <w:lang w:val="en-GB"/>
        </w:rPr>
        <w:fldChar w:fldCharType="end"/>
      </w:r>
      <w:r w:rsidR="2C2A48F7" w:rsidRPr="00DA249F">
        <w:rPr>
          <w:lang w:val="en-GB"/>
        </w:rPr>
        <w:t xml:space="preserve"> might be expected to </w:t>
      </w:r>
      <w:r w:rsidR="002875DF">
        <w:rPr>
          <w:lang w:val="en-GB"/>
        </w:rPr>
        <w:t xml:space="preserve">have </w:t>
      </w:r>
      <w:r w:rsidR="2C2A48F7" w:rsidRPr="00DA249F">
        <w:rPr>
          <w:lang w:val="en-GB"/>
        </w:rPr>
        <w:t>reduce</w:t>
      </w:r>
      <w:r w:rsidR="002875DF">
        <w:rPr>
          <w:lang w:val="en-GB"/>
        </w:rPr>
        <w:t>d</w:t>
      </w:r>
      <w:r w:rsidR="2C2A48F7" w:rsidRPr="00DA249F">
        <w:rPr>
          <w:lang w:val="en-GB"/>
        </w:rPr>
        <w:t xml:space="preserve"> the rate of alien species </w:t>
      </w:r>
      <w:r w:rsidR="326C13CC" w:rsidRPr="00DA249F">
        <w:rPr>
          <w:lang w:val="en-GB"/>
        </w:rPr>
        <w:t xml:space="preserve">establishment </w:t>
      </w:r>
      <w:r w:rsidR="2C2A48F7" w:rsidRPr="00DA249F">
        <w:rPr>
          <w:lang w:val="en-GB"/>
        </w:rPr>
        <w:t xml:space="preserve">however, evidence suggests rates of </w:t>
      </w:r>
      <w:r w:rsidR="326C13CC" w:rsidRPr="00DA249F">
        <w:rPr>
          <w:lang w:val="en-GB"/>
        </w:rPr>
        <w:t xml:space="preserve">establishment </w:t>
      </w:r>
      <w:r w:rsidR="2C2A48F7" w:rsidRPr="00DA249F">
        <w:rPr>
          <w:lang w:val="en-GB"/>
        </w:rPr>
        <w:t xml:space="preserve">are likely to lag </w:t>
      </w:r>
      <w:r w:rsidR="002875DF">
        <w:rPr>
          <w:lang w:val="en-GB"/>
        </w:rPr>
        <w:t xml:space="preserve">behind </w:t>
      </w:r>
      <w:r w:rsidR="2C2A48F7" w:rsidRPr="00DA249F">
        <w:rPr>
          <w:lang w:val="en-GB"/>
        </w:rPr>
        <w:t xml:space="preserve">economic drivers by as much as two decades </w:t>
      </w:r>
      <w:r w:rsidRPr="00DA249F">
        <w:rPr>
          <w:lang w:val="en-GB"/>
        </w:rPr>
        <w:fldChar w:fldCharType="begin"/>
      </w:r>
      <w:r w:rsidR="00331A79">
        <w:rPr>
          <w:lang w:val="en-GB"/>
        </w:rPr>
        <w:instrText xml:space="preserve"> ADDIN ZOTERO_ITEM CSL_CITATION {"citationID":"18t5GrOj","properties":{"formattedCitation":"(Seebens et al., 2015)","plainCitation":"(Seebens et al., 2015)","noteIndex":0},"citationItems":[{"id":56690,"uris":["http://zotero.org/groups/2352922/items/BUQI9FWK","http://zotero.org/groups/2352922/items/JXSQ5KP4"],"itemData":{"id":56690,"type":"article-journal","container-title":"Global Change Biology","DOI":"10.1111/gcb.13021","ISSN":"13541013","issue":"11","journalAbbreviation":"Glob Change Biol","language":"en","page":"4128-4140","source":"DOI.org (Crossref)","title":"Global trade will accelerate plant invasions in emerging economies under climate change","URL":"https://onlinelibrary.wiley.com/doi/10.1111/gcb.13021","volume":"21","author":[{"family":"Seebens","given":"Hanno"},{"family":"Essl","given":"Franz"},{"family":"Dawson","given":"Wayne"},{"family":"Fuentes","given":"Nicol"},{"family":"Moser","given":"Dietmar"},{"family":"Pergl","given":"Jan"},{"family":"Pyšek","given":"Petr"},{"family":"Van Kleunen","given":"Mark"},{"family":"Weber","given":"Ewald"},{"family":"Winter","given":"Marten"},{"family":"Blasius","given":"Bernd"}],"accessed":{"date-parts":[["2023",6,8]]},"issued":{"date-parts":[["2015",11]]}}}],"schema":"https://github.com/citation-style-language/schema/raw/master/csl-citation.json"} </w:instrText>
      </w:r>
      <w:r w:rsidRPr="00DA249F">
        <w:rPr>
          <w:lang w:val="en-GB"/>
        </w:rPr>
        <w:fldChar w:fldCharType="separate"/>
      </w:r>
      <w:r w:rsidR="00144D96" w:rsidRPr="00144D96">
        <w:t>(Seebens et al., 2015)</w:t>
      </w:r>
      <w:r w:rsidRPr="00DA249F">
        <w:rPr>
          <w:lang w:val="en-GB"/>
        </w:rPr>
        <w:fldChar w:fldCharType="end"/>
      </w:r>
      <w:r w:rsidR="2C2A48F7" w:rsidRPr="00DA249F">
        <w:rPr>
          <w:lang w:val="en-GB"/>
        </w:rPr>
        <w:t>.</w:t>
      </w:r>
      <w:r w:rsidR="7E1FC161" w:rsidRPr="00DA249F">
        <w:rPr>
          <w:lang w:val="en-GB"/>
        </w:rPr>
        <w:t xml:space="preserve"> </w:t>
      </w:r>
      <w:r w:rsidR="2C2A48F7" w:rsidRPr="00DA249F">
        <w:rPr>
          <w:lang w:val="en-GB"/>
        </w:rPr>
        <w:t>Thus, for the foreseeable future, rates of alien species introduction</w:t>
      </w:r>
      <w:r w:rsidR="00E54495" w:rsidRPr="00DA249F">
        <w:rPr>
          <w:lang w:val="en-GB"/>
        </w:rPr>
        <w:t>s</w:t>
      </w:r>
      <w:r w:rsidR="2C2A48F7" w:rsidRPr="00DA249F">
        <w:rPr>
          <w:lang w:val="en-GB"/>
        </w:rPr>
        <w:t xml:space="preserve"> th</w:t>
      </w:r>
      <w:r w:rsidR="00AE746C" w:rsidRPr="00DA249F">
        <w:rPr>
          <w:lang w:val="en-GB"/>
        </w:rPr>
        <w:t>r</w:t>
      </w:r>
      <w:r w:rsidR="2C2A48F7" w:rsidRPr="00DA249F">
        <w:rPr>
          <w:lang w:val="en-GB"/>
        </w:rPr>
        <w:t>ough tr</w:t>
      </w:r>
      <w:r w:rsidR="651296BA" w:rsidRPr="00DA249F">
        <w:rPr>
          <w:lang w:val="en-GB"/>
        </w:rPr>
        <w:t xml:space="preserve">ade will continue to increase. </w:t>
      </w:r>
      <w:r w:rsidR="6A910874" w:rsidRPr="00DA249F">
        <w:rPr>
          <w:lang w:val="en-GB"/>
        </w:rPr>
        <w:t xml:space="preserve">As a consequence, future trends in international trade, including e-commerce, new trade routes, and major infrastructure developments, will lead to pressure on national borders </w:t>
      </w:r>
      <w:r w:rsidR="00534B4F" w:rsidRPr="00DA249F">
        <w:rPr>
          <w:lang w:val="en-GB"/>
        </w:rPr>
        <w:t xml:space="preserve">that may </w:t>
      </w:r>
      <w:r w:rsidR="6A910874" w:rsidRPr="00DA249F">
        <w:rPr>
          <w:lang w:val="en-GB"/>
        </w:rPr>
        <w:t>soon outstrip the resources available for intervention</w:t>
      </w:r>
      <w:r w:rsidR="00BF345F" w:rsidRPr="00DA249F">
        <w:rPr>
          <w:lang w:val="en-GB"/>
        </w:rPr>
        <w:t xml:space="preserve"> </w:t>
      </w:r>
      <w:r w:rsidR="00CA0C6B" w:rsidRPr="00DA249F">
        <w:rPr>
          <w:lang w:val="en-GB"/>
        </w:rPr>
        <w:t>(</w:t>
      </w:r>
      <w:r w:rsidR="005702F7">
        <w:rPr>
          <w:b/>
          <w:iCs/>
          <w:lang w:val="en-GB"/>
        </w:rPr>
        <w:t>C</w:t>
      </w:r>
      <w:r w:rsidR="00BF345F" w:rsidRPr="005702F7">
        <w:rPr>
          <w:b/>
          <w:iCs/>
          <w:lang w:val="en-GB"/>
        </w:rPr>
        <w:t>hapter 6</w:t>
      </w:r>
      <w:r w:rsidR="00293288" w:rsidRPr="005702F7">
        <w:rPr>
          <w:iCs/>
          <w:lang w:val="en-GB"/>
        </w:rPr>
        <w:t>,</w:t>
      </w:r>
      <w:r w:rsidR="00293288" w:rsidRPr="005702F7">
        <w:rPr>
          <w:b/>
          <w:iCs/>
          <w:lang w:val="en-GB"/>
        </w:rPr>
        <w:t xml:space="preserve"> section 6.3.1.4</w:t>
      </w:r>
      <w:r w:rsidR="00BF345F" w:rsidRPr="00DA249F">
        <w:rPr>
          <w:lang w:val="en-GB"/>
        </w:rPr>
        <w:t>)</w:t>
      </w:r>
      <w:r w:rsidR="6A910874" w:rsidRPr="00DA249F">
        <w:rPr>
          <w:lang w:val="en-GB"/>
        </w:rPr>
        <w:t>.</w:t>
      </w:r>
    </w:p>
    <w:p w14:paraId="7FE76B71" w14:textId="5CA96822" w:rsidR="00D55487" w:rsidRPr="00DA249F" w:rsidRDefault="4875181B" w:rsidP="728F2DAF">
      <w:pPr>
        <w:pStyle w:val="Caption"/>
        <w:pBdr>
          <w:top w:val="single" w:sz="4" w:space="1" w:color="auto"/>
          <w:left w:val="single" w:sz="4" w:space="1" w:color="auto"/>
          <w:bottom w:val="single" w:sz="4" w:space="1" w:color="auto"/>
          <w:right w:val="single" w:sz="4" w:space="1" w:color="auto"/>
        </w:pBdr>
        <w:shd w:val="clear" w:color="auto" w:fill="E7E6E6" w:themeFill="background2"/>
        <w:rPr>
          <w:lang w:val="en-GB" w:eastAsia="en-NZ"/>
        </w:rPr>
      </w:pPr>
      <w:bookmarkStart w:id="110" w:name="_Ref104903288"/>
      <w:bookmarkStart w:id="111" w:name="_Toc158373487"/>
      <w:r w:rsidRPr="728F2DAF">
        <w:rPr>
          <w:lang w:val="en-GB"/>
        </w:rPr>
        <w:lastRenderedPageBreak/>
        <w:t>Box 3.</w:t>
      </w:r>
      <w:r w:rsidR="00D55487" w:rsidRPr="728F2DAF">
        <w:rPr>
          <w:lang w:val="en-GB"/>
        </w:rPr>
        <w:fldChar w:fldCharType="begin"/>
      </w:r>
      <w:r w:rsidR="00D55487" w:rsidRPr="728F2DAF">
        <w:rPr>
          <w:lang w:val="en-GB"/>
        </w:rPr>
        <w:instrText xml:space="preserve"> SEQ Box_3. \* ARABIC </w:instrText>
      </w:r>
      <w:r w:rsidR="00D55487" w:rsidRPr="728F2DAF">
        <w:rPr>
          <w:lang w:val="en-GB"/>
        </w:rPr>
        <w:fldChar w:fldCharType="separate"/>
      </w:r>
      <w:r w:rsidR="00287BC7">
        <w:rPr>
          <w:noProof/>
          <w:lang w:val="en-GB"/>
        </w:rPr>
        <w:t>3</w:t>
      </w:r>
      <w:r w:rsidR="00D55487" w:rsidRPr="728F2DAF">
        <w:rPr>
          <w:lang w:val="en-GB"/>
        </w:rPr>
        <w:fldChar w:fldCharType="end"/>
      </w:r>
      <w:bookmarkEnd w:id="110"/>
      <w:r w:rsidRPr="728F2DAF">
        <w:rPr>
          <w:lang w:val="en-GB"/>
        </w:rPr>
        <w:t xml:space="preserve">. Trade of bumblebee colonies for crop pollination as </w:t>
      </w:r>
      <w:r w:rsidR="120FCA53" w:rsidRPr="728F2DAF">
        <w:rPr>
          <w:lang w:val="en-GB"/>
        </w:rPr>
        <w:t xml:space="preserve">a </w:t>
      </w:r>
      <w:r w:rsidRPr="728F2DAF">
        <w:rPr>
          <w:lang w:val="en-GB"/>
        </w:rPr>
        <w:t xml:space="preserve">driver </w:t>
      </w:r>
      <w:r w:rsidR="292EBCBD" w:rsidRPr="728F2DAF">
        <w:rPr>
          <w:lang w:val="en-GB"/>
        </w:rPr>
        <w:t xml:space="preserve">that facilitates </w:t>
      </w:r>
      <w:r w:rsidR="120FCA53" w:rsidRPr="728F2DAF">
        <w:rPr>
          <w:lang w:val="en-GB"/>
        </w:rPr>
        <w:t>the</w:t>
      </w:r>
      <w:r w:rsidRPr="728F2DAF">
        <w:rPr>
          <w:lang w:val="en-GB"/>
        </w:rPr>
        <w:t xml:space="preserve"> introduction of invasive alien species</w:t>
      </w:r>
      <w:bookmarkEnd w:id="111"/>
    </w:p>
    <w:p w14:paraId="6C11D61E" w14:textId="30398D3F" w:rsidR="00D55487" w:rsidRPr="00DA249F" w:rsidRDefault="00D55487" w:rsidP="00D55487">
      <w:pPr>
        <w:pBdr>
          <w:top w:val="single" w:sz="4" w:space="1" w:color="auto"/>
          <w:left w:val="single" w:sz="4" w:space="1" w:color="auto"/>
          <w:bottom w:val="single" w:sz="4" w:space="1" w:color="auto"/>
          <w:right w:val="single" w:sz="4" w:space="1" w:color="auto"/>
        </w:pBdr>
        <w:shd w:val="clear" w:color="auto" w:fill="E7E6E6" w:themeFill="background2"/>
        <w:rPr>
          <w:lang w:val="en-GB" w:eastAsia="en-NZ"/>
        </w:rPr>
      </w:pPr>
      <w:r w:rsidRPr="00DA249F">
        <w:rPr>
          <w:lang w:val="en-GB" w:eastAsia="en-NZ"/>
        </w:rPr>
        <w:t xml:space="preserve">Many pollinators and flower visitors from various insect orders and families have been introduced and established out of their native ranges </w:t>
      </w:r>
      <w:r w:rsidRPr="00DA249F">
        <w:rPr>
          <w:lang w:val="en-GB" w:eastAsia="en-NZ"/>
        </w:rPr>
        <w:fldChar w:fldCharType="begin"/>
      </w:r>
      <w:r w:rsidR="00331A79">
        <w:rPr>
          <w:lang w:val="en-GB" w:eastAsia="en-NZ"/>
        </w:rPr>
        <w:instrText xml:space="preserve"> ADDIN ZOTERO_ITEM CSL_CITATION {"citationID":"OLaGVeCg","properties":{"formattedCitation":"(Bartomeus et al., 2013; Goulson, 2003)","plainCitation":"(Bartomeus et al., 2013; Goulson, 2003)","dontUpdate":true,"noteIndex":0},"citationItems":[{"id":10833,"uris":["http://zotero.org/groups/2352922/items/UJZH6NSA"],"itemData":{"id":10833,"type":"article-journal","abstract":"Pollinators such as bees are essential to the functioning of terrestrial ecosystems. However, despite concerns about a global pollinator crisis, long-term data on the status of bee species are limited. We present a long-term study of relative rates of change for an entire regional bee fauna in the northeastern United States, based on &gt;30,000 museum records representing 438 species. Over a 140-y period, aggregate native species richness weakly decreased, but richness declines were significant only for the genus Bombus. Of 187 native species analyzed individually, only three declined steeply, all of these in the genus Bombus. However, there were large shifts in community composition, as indicated by 56% of species showing significant changes in relative abundance over time. Traits associated with a declining relative abundance include small dietary and phenological breadth and large body size. In addition, species with lower latitudinal range boundaries are increasing in relative abundance, a finding that may represent a response to climate change. We show that despite marked increases in human population density and large changes in anthropogenic land use, aggregate native species richness declines were modest outside of the genus Bombus. At the same time, we find that certain ecological traits are associated with declines in relative abundance. These results should help target conservation efforts focused on maintaining native bee abundance and diversity and therefore the important ecosystems services that they provide.","container-title":"Proceedings of the National Academy of Sciences","DOI":"10.1073/pnas.1218503110","ISSN":"0027-8424, 1091-6490","issue":"12","journalAbbreviation":"PNAS","language":"en","note":"publisher: National Academy of Sciences\nsection: Biological Sciences\nPMID: 23487768","page":"4656-4660","source":"www.pnas.org","title":"Historical changes in northeastern US bee pollinators related to shared ecological traits","URL":"https://www.pnas.org/content/110/12/4656","volume":"110","author":[{"family":"Bartomeus","given":"Ignasi"},{"family":"Ascher","given":"John S."},{"family":"Gibbs","given":"Jason"},{"family":"Danforth","given":"Bryan N."},{"family":"Wagner","given":"David L."},{"family":"Hedtke","given":"Shannon M."},{"family":"Winfree","given":"Rachael"}],"accessed":{"date-parts":[["2021",6,16]]},"issued":{"date-parts":[["2013",3,19]]}}},{"id":10832,"uris":["http://zotero.org/groups/2352922/items/B4WXVDP7"],"itemData":{"id":10832,"type":"article-journal","abstract":"Bees are generally regarded as beneficial insects for their role in pollination, and in the case of the honeybee Apis mellifera, for production of honey. As a result several bee species have been introduced to countries far beyond their home range, including A. mellifera, bumblebees (Bombus sp.), the alfalfa leafcutter bee Megachile rotundata, and various other solitary species. Possible negative consequences of these introductions include: competition with native pollinators for floral resources; competition for nest sites; co-introduction of natural enemies, particularly pathogens that may infect native organisms; pollination of exotic weeds; and disruption of pollination of native plants. For most exotic bee species little or nothing is known of these possible effects. Research to date has focused mainly on A. mellifera, and has largely been concerned with detecting competition with native flower visitors. Considerable circumstantial evidence has accrued that competition does occur, but no experiment has clearly demonstrated long-term reductions in populations of native organisms. Most researchers agree that this probably reflects the difficulty of carrying out convincing studies of competition between such mobile organisms, rather than a genuine absence of competitive effects. Effects on seed set of exotic weeds are easier to demonstrate. Exotic bees often exhibit marked preferences for visiting flowers of exotic plants. For example, in Australia and New Zealand many weeds from Europe are now visited by European honeybees and bumblebees. Introduced bees are primary pollinators of a number of serious weeds. Negative impacts of exotic bees need to be carefully assessed before further introductions are carried out.","container-title":"Annual Review of Ecology, Evolution, and Systematics","DOI":"10.1146/annurev.ecolsys.34.011802.132355","issue":"1","note":"_eprint: https://doi.org/10.1146/annurev.ecolsys.34.011802.132355","page":"1-26","source":"Annual Reviews","title":"Effects of Introduced Bees on Native Ecosystems","URL":"https://doi.org/10.1146/annurev.ecolsys.34.011802.132355","volume":"34","author":[{"family":"Goulson","given":"Dave"}],"accessed":{"date-parts":[["2021",6,16]]},"issued":{"date-parts":[["2003"]]}}}],"schema":"https://github.com/citation-style-language/schema/raw/master/csl-citation.json"} </w:instrText>
      </w:r>
      <w:r w:rsidRPr="00DA249F">
        <w:rPr>
          <w:lang w:val="en-GB" w:eastAsia="en-NZ"/>
        </w:rPr>
        <w:fldChar w:fldCharType="separate"/>
      </w:r>
      <w:r w:rsidRPr="00DA249F">
        <w:rPr>
          <w:lang w:val="en-GB"/>
        </w:rPr>
        <w:t>(Bartomeus et al., 2013; Goulson, 2003,</w:t>
      </w:r>
      <w:r w:rsidRPr="00DA249F">
        <w:rPr>
          <w:lang w:val="en-GB" w:eastAsia="en-NZ"/>
        </w:rPr>
        <w:fldChar w:fldCharType="end"/>
      </w:r>
      <w:r w:rsidRPr="00DA249F">
        <w:rPr>
          <w:lang w:val="en-GB" w:eastAsia="en-NZ"/>
        </w:rPr>
        <w:t xml:space="preserve"> </w:t>
      </w:r>
      <w:r w:rsidR="005702F7">
        <w:rPr>
          <w:b/>
          <w:iCs/>
          <w:lang w:val="en-GB" w:eastAsia="en-NZ"/>
        </w:rPr>
        <w:t>C</w:t>
      </w:r>
      <w:r w:rsidRPr="005702F7">
        <w:rPr>
          <w:b/>
          <w:iCs/>
          <w:lang w:val="en-GB" w:eastAsia="en-NZ"/>
        </w:rPr>
        <w:t>hapter 1</w:t>
      </w:r>
      <w:r w:rsidRPr="005702F7">
        <w:rPr>
          <w:iCs/>
          <w:lang w:val="en-GB" w:eastAsia="en-NZ"/>
        </w:rPr>
        <w:t>,</w:t>
      </w:r>
      <w:r w:rsidRPr="005702F7">
        <w:rPr>
          <w:b/>
          <w:iCs/>
          <w:lang w:val="en-GB" w:eastAsia="en-NZ"/>
        </w:rPr>
        <w:t xml:space="preserve"> </w:t>
      </w:r>
      <w:r w:rsidR="00E23B69">
        <w:rPr>
          <w:b/>
          <w:iCs/>
          <w:lang w:val="en-GB" w:eastAsia="en-NZ"/>
        </w:rPr>
        <w:t>Box</w:t>
      </w:r>
      <w:r w:rsidRPr="005702F7">
        <w:rPr>
          <w:b/>
          <w:iCs/>
          <w:lang w:val="en-GB" w:eastAsia="en-NZ"/>
        </w:rPr>
        <w:t xml:space="preserve"> 1.11</w:t>
      </w:r>
      <w:r w:rsidRPr="00DA249F">
        <w:rPr>
          <w:lang w:val="en-GB" w:eastAsia="en-NZ"/>
        </w:rPr>
        <w:t xml:space="preserve">). Unintentional transportation with their host materials accounted for the establishment of cavity-nesting bees (e.g., </w:t>
      </w:r>
      <w:r w:rsidRPr="00DA249F">
        <w:rPr>
          <w:i/>
          <w:iCs/>
          <w:lang w:val="en-GB" w:eastAsia="en-NZ"/>
        </w:rPr>
        <w:t>Anthidium manicatum</w:t>
      </w:r>
      <w:r w:rsidR="00262821" w:rsidRPr="00DA249F">
        <w:rPr>
          <w:iCs/>
          <w:lang w:val="en-GB" w:eastAsia="en-NZ"/>
        </w:rPr>
        <w:t xml:space="preserve"> </w:t>
      </w:r>
      <w:r w:rsidR="004E1A1C" w:rsidRPr="00DA249F">
        <w:rPr>
          <w:iCs/>
          <w:lang w:val="en-GB" w:eastAsia="en-NZ"/>
        </w:rPr>
        <w:t>(wool carder bee)</w:t>
      </w:r>
      <w:r w:rsidRPr="00DA249F">
        <w:rPr>
          <w:lang w:val="en-GB" w:eastAsia="en-NZ"/>
        </w:rPr>
        <w:t xml:space="preserve">), whereas crop pollination motivated the intentional transportation and introduction of </w:t>
      </w:r>
      <w:r w:rsidRPr="00DA249F">
        <w:rPr>
          <w:i/>
          <w:iCs/>
          <w:lang w:val="en-GB" w:eastAsia="en-NZ"/>
        </w:rPr>
        <w:t>Apis</w:t>
      </w:r>
      <w:r w:rsidR="00764468" w:rsidRPr="00DA249F">
        <w:rPr>
          <w:lang w:val="en-GB" w:eastAsia="en-NZ"/>
        </w:rPr>
        <w:t xml:space="preserve"> (honey bees)</w:t>
      </w:r>
      <w:r w:rsidRPr="00DA249F">
        <w:rPr>
          <w:lang w:val="en-GB" w:eastAsia="en-NZ"/>
        </w:rPr>
        <w:t xml:space="preserve"> and </w:t>
      </w:r>
      <w:r w:rsidR="00764468" w:rsidRPr="00DA249F">
        <w:rPr>
          <w:i/>
          <w:iCs/>
          <w:lang w:val="en-GB" w:eastAsia="en-NZ"/>
        </w:rPr>
        <w:t>Bombus</w:t>
      </w:r>
      <w:r w:rsidR="00764468" w:rsidRPr="00DA249F">
        <w:rPr>
          <w:lang w:val="en-GB" w:eastAsia="en-NZ"/>
        </w:rPr>
        <w:t xml:space="preserve"> (</w:t>
      </w:r>
      <w:r w:rsidRPr="00DA249F">
        <w:rPr>
          <w:lang w:val="en-GB" w:eastAsia="en-NZ"/>
        </w:rPr>
        <w:t>bumble</w:t>
      </w:r>
      <w:r w:rsidR="00764468" w:rsidRPr="00DA249F">
        <w:rPr>
          <w:lang w:val="en-GB" w:eastAsia="en-NZ"/>
        </w:rPr>
        <w:t xml:space="preserve"> </w:t>
      </w:r>
      <w:r w:rsidRPr="00DA249F">
        <w:rPr>
          <w:lang w:val="en-GB" w:eastAsia="en-NZ"/>
        </w:rPr>
        <w:t>bees</w:t>
      </w:r>
      <w:r w:rsidR="00764468" w:rsidRPr="00DA249F">
        <w:rPr>
          <w:lang w:val="en-GB" w:eastAsia="en-NZ"/>
        </w:rPr>
        <w:t>)</w:t>
      </w:r>
      <w:r w:rsidRPr="00DA249F">
        <w:rPr>
          <w:lang w:val="en-GB" w:eastAsia="en-NZ"/>
        </w:rPr>
        <w:t xml:space="preserve"> </w:t>
      </w:r>
      <w:r w:rsidRPr="00DA249F">
        <w:rPr>
          <w:lang w:val="en-GB" w:eastAsia="en-NZ"/>
        </w:rPr>
        <w:fldChar w:fldCharType="begin"/>
      </w:r>
      <w:r w:rsidR="00331A79">
        <w:rPr>
          <w:lang w:val="en-GB" w:eastAsia="en-NZ"/>
        </w:rPr>
        <w:instrText xml:space="preserve"> ADDIN ZOTERO_ITEM CSL_CITATION {"citationID":"9BQOXwG1","properties":{"formattedCitation":"(Gibbs &amp; Sheffield, 2009; Goulson, 2003; Schweiger et al., 2010)","plainCitation":"(Gibbs &amp; Sheffield, 2009; Goulson, 2003; Schweiger et al., 2010)","noteIndex":0},"citationItems":[{"id":10830,"uris":["http://zotero.org/groups/2352922/items/FTDLKZGP"],"itemData":{"id":10830,"type":"article-journal","abstract":"Anthidium manicatum (L.) is an adventive species of European origin first recorded in North America in the late 1960's; from that point until 2001 its range on the continent was restricted to the northeast-central USA and central Canada (Ontario, more recently Québec). In 2005, this species was reported from Nova Scotia, a rapid and wide increase in its distribution. In this paper, we document a similar rapid spread of A. manicatum into western North America, including British Columbia and Idaho, and discuss the potential risks of this species in eastern Canada. In addition, the potential of DNA barcoding as a rapid and reliable means of recognizing adventive bee species is advocated.","container-title":"Journal of the Kansas Entomological Society","DOI":"10.2317/JKES805.27.1","ISSN":"0022-8567, 1937-2353","issue":"1","journalAbbreviation":"kent","note":"publisher: Kansas Entomological Society","page":"21-29","source":"bioone.org","title":"Rapid Range Expansion of the Wool-Carder Bee, &lt;i&gt;Anthidium manicatum&lt;/i&gt; (Linnaeus) (Hymenoptera: Megachilidae), in North America","title-short":"Rapid Range Expansion of the Wool-Carder Bee, Anthidium manicatum (Linnaeus) (Hymenoptera","URL":"https://bioone.org/journals/journal-of-the-kansas-entomological-society/volume-82/issue-1/JKES805.27.1/Rapid-Range-Expansion-of-the-Wool-Carder-Bee-Anthidium-manicatum/10.2317/JKES805.27.1.full","volume":"82","author":[{"family":"Gibbs","given":"Jason"},{"family":"Sheffield","given":"Cory S."}],"accessed":{"date-parts":[["2021",6,16]]},"issued":{"date-parts":[["2009",1]]}},"label":"page"},{"id":10832,"uris":["http://zotero.org/groups/2352922/items/B4WXVDP7"],"itemData":{"id":10832,"type":"article-journal","abstract":"Bees are generally regarded as beneficial insects for their role in pollination, and in the case of the honeybee Apis mellifera, for production of honey. As a result several bee species have been introduced to countries far beyond their home range, including A. mellifera, bumblebees (Bombus sp.), the alfalfa leafcutter bee Megachile rotundata, and various other solitary species. Possible negative consequences of these introductions include: competition with native pollinators for floral resources; competition for nest sites; co-introduction of natural enemies, particularly pathogens that may infect native organisms; pollination of exotic weeds; and disruption of pollination of native plants. For most exotic bee species little or nothing is known of these possible effects. Research to date has focused mainly on A. mellifera, and has largely been concerned with detecting competition with native flower visitors. Considerable circumstantial evidence has accrued that competition does occur, but no experiment has clearly demonstrated long-term reductions in populations of native organisms. Most researchers agree that this probably reflects the difficulty of carrying out convincing studies of competition between such mobile organisms, rather than a genuine absence of competitive effects. Effects on seed set of exotic weeds are easier to demonstrate. Exotic bees often exhibit marked preferences for visiting flowers of exotic plants. For example, in Australia and New Zealand many weeds from Europe are now visited by European honeybees and bumblebees. Introduced bees are primary pollinators of a number of serious weeds. Negative impacts of exotic bees need to be carefully assessed before further introductions are carried out.","container-title":"Annual Review of Ecology, Evolution, and Systematics","DOI":"10.1146/annurev.ecolsys.34.011802.132355","issue":"1","note":"_eprint: https://doi.org/10.1146/annurev.ecolsys.34.011802.132355","page":"1-26","source":"Annual Reviews","title":"Effects of Introduced Bees on Native Ecosystems","URL":"https://doi.org/10.1146/annurev.ecolsys.34.011802.132355","volume":"34","author":[{"family":"Goulson","given":"Dave"}],"accessed":{"date-parts":[["2021",6,16]]},"issued":{"date-parts":[["2003"]]}},"label":"page"},{"id":56696,"uris":["http://zotero.org/groups/2352922/items/8KZHTFXS","http://zotero.org/groups/2352922/items/GXZD7KDA"],"itemData":{"id":56696,"type":"article-journal","container-title":"Biological Reviews","DOI":"10.1111/j.1469-185X.2010.00125.x","ISSN":"14647931, 1469185X","language":"en","page":"no-no","source":"DOI.org (Crossref)","title":"Multiple stressors on biotic interactions: how climate change and alien species interact to affect pollination","title-short":"Multiple stressors on biotic interactions","URL":"https://onlinelibrary.wiley.com/doi/10.1111/j.1469-185X.2010.00125.x","author":[{"family":"Schweiger","given":"Oliver"},{"family":"Biesmeijer","given":"Jacobus C."},{"family":"Bommarco","given":"Riccardo"},{"family":"Hickler","given":"Thomas"},{"family":"Hulme","given":"Philip E."},{"family":"Klotz","given":"Stefan"},{"family":"Kühn","given":"Ingolf"},{"family":"Moora","given":"Mari"},{"family":"Nielsen","given":"Anders"},{"family":"Ohlemüller","given":"Ralf"},{"family":"Petanidou","given":"Theodora"},{"family":"Potts","given":"Simon G."},{"family":"Pyšek","given":"Petr"},{"family":"Stout","given":"Jane C."},{"family":"Sykes","given":"Martin T."},{"family":"Tscheulin","given":"Thomas"},{"family":"Vilà","given":"Montserrat"},{"family":"Walther","given":"Gian-Reto"},{"family":"Westphal","given":"Catrin"},{"family":"Winter","given":"Marten"},{"family":"Zobel","given":"Martin"},{"family":"Settele","given":"Josef"}],"accessed":{"date-parts":[["2023",6,8]]},"issued":{"date-parts":[["2010",2,23]]}},"label":"page"}],"schema":"https://github.com/citation-style-language/schema/raw/master/csl-citation.json"} </w:instrText>
      </w:r>
      <w:r w:rsidRPr="00DA249F">
        <w:rPr>
          <w:lang w:val="en-GB" w:eastAsia="en-NZ"/>
        </w:rPr>
        <w:fldChar w:fldCharType="separate"/>
      </w:r>
      <w:r w:rsidR="00144D96" w:rsidRPr="00144D96">
        <w:t>(Gibbs &amp; Sheffield, 2009; Goulson, 2003; Schweiger et al., 2010)</w:t>
      </w:r>
      <w:r w:rsidRPr="00DA249F">
        <w:rPr>
          <w:lang w:val="en-GB" w:eastAsia="en-NZ"/>
        </w:rPr>
        <w:fldChar w:fldCharType="end"/>
      </w:r>
      <w:r w:rsidRPr="00DA249F">
        <w:rPr>
          <w:lang w:val="en-GB" w:eastAsia="en-NZ"/>
        </w:rPr>
        <w:t xml:space="preserve">. While different subspecies of </w:t>
      </w:r>
      <w:r w:rsidRPr="00DA249F">
        <w:rPr>
          <w:i/>
          <w:lang w:val="en-GB" w:eastAsia="en-NZ"/>
        </w:rPr>
        <w:t>Apis mellifera</w:t>
      </w:r>
      <w:r w:rsidR="000C61EB" w:rsidRPr="00DA249F">
        <w:rPr>
          <w:i/>
          <w:lang w:val="en-GB" w:eastAsia="en-NZ"/>
        </w:rPr>
        <w:t xml:space="preserve"> </w:t>
      </w:r>
      <w:r w:rsidR="000C61EB" w:rsidRPr="00DA249F">
        <w:rPr>
          <w:lang w:val="en-GB" w:eastAsia="en-NZ"/>
        </w:rPr>
        <w:t>(European honeybee)</w:t>
      </w:r>
      <w:r w:rsidRPr="00DA249F">
        <w:rPr>
          <w:lang w:val="en-GB" w:eastAsia="en-NZ"/>
        </w:rPr>
        <w:t xml:space="preserve">, native </w:t>
      </w:r>
      <w:r w:rsidR="00AF42A3">
        <w:rPr>
          <w:lang w:val="en-GB" w:eastAsia="en-NZ"/>
        </w:rPr>
        <w:t>to</w:t>
      </w:r>
      <w:r w:rsidR="00AF42A3" w:rsidRPr="00DA249F">
        <w:rPr>
          <w:lang w:val="en-GB" w:eastAsia="en-NZ"/>
        </w:rPr>
        <w:t xml:space="preserve"> </w:t>
      </w:r>
      <w:r w:rsidRPr="00DA249F">
        <w:rPr>
          <w:lang w:val="en-GB" w:eastAsia="en-NZ"/>
        </w:rPr>
        <w:t xml:space="preserve">Europe and Africa, have been managed at least since 2450 B.C., </w:t>
      </w:r>
      <w:r w:rsidRPr="00DA249F">
        <w:rPr>
          <w:lang w:val="en-GB" w:eastAsia="en-NZ"/>
        </w:rPr>
        <w:fldChar w:fldCharType="begin"/>
      </w:r>
      <w:r w:rsidR="00331A79">
        <w:rPr>
          <w:lang w:val="en-GB" w:eastAsia="en-NZ"/>
        </w:rPr>
        <w:instrText xml:space="preserve"> ADDIN ZOTERO_ITEM CSL_CITATION {"citationID":"jN9L8ggz","properties":{"formattedCitation":"(Crane, 1999)","plainCitation":"(Crane, 1999)","noteIndex":0},"citationItems":[{"id":30847,"uris":["http://zotero.org/groups/2352922/items/REMBMEC4"],"itemData":{"id":30847,"type":"book","abstract":"First published in 2000. Routledge is an imprint of Taylor &amp; Francis, an informa company.","ISBN":"978-0-415-92467-2","language":"en","publisher":"Routledge","title":"The World History of Beekeeping and Honey Hunting","URL":"https://www.routledge.com/The-World-History-of-Beekeeping-and-Honey-Hunting/Crane/p/book/9780415924672","author":[{"family":"Crane","given":"Eva"}],"accessed":{"date-parts":[["2021",10,22]]},"issued":{"date-parts":[["1999"]]}}}],"schema":"https://github.com/citation-style-language/schema/raw/master/csl-citation.json"} </w:instrText>
      </w:r>
      <w:r w:rsidRPr="00DA249F">
        <w:rPr>
          <w:lang w:val="en-GB" w:eastAsia="en-NZ"/>
        </w:rPr>
        <w:fldChar w:fldCharType="separate"/>
      </w:r>
      <w:r w:rsidR="00144D96" w:rsidRPr="00144D96">
        <w:t>(Crane, 1999)</w:t>
      </w:r>
      <w:r w:rsidRPr="00DA249F">
        <w:rPr>
          <w:lang w:val="en-GB" w:eastAsia="en-NZ"/>
        </w:rPr>
        <w:fldChar w:fldCharType="end"/>
      </w:r>
      <w:r w:rsidRPr="00DA249F">
        <w:rPr>
          <w:lang w:val="en-GB" w:eastAsia="en-NZ"/>
        </w:rPr>
        <w:t xml:space="preserve"> and introduced in all continents (except Antarctica) where they were not native, the introduction of </w:t>
      </w:r>
      <w:r w:rsidRPr="00DA249F">
        <w:rPr>
          <w:i/>
          <w:lang w:val="en-GB" w:eastAsia="en-NZ"/>
        </w:rPr>
        <w:t>Bombus</w:t>
      </w:r>
      <w:r w:rsidRPr="00DA249F">
        <w:rPr>
          <w:lang w:val="en-GB" w:eastAsia="en-NZ"/>
        </w:rPr>
        <w:t xml:space="preserve"> spp.</w:t>
      </w:r>
      <w:r w:rsidR="00BC154F" w:rsidRPr="00DA249F">
        <w:rPr>
          <w:lang w:val="en-GB" w:eastAsia="en-NZ"/>
        </w:rPr>
        <w:t xml:space="preserve"> (bumblebee</w:t>
      </w:r>
      <w:r w:rsidR="005F44A4" w:rsidRPr="00DA249F">
        <w:rPr>
          <w:lang w:val="en-GB" w:eastAsia="en-NZ"/>
        </w:rPr>
        <w:t xml:space="preserve">) </w:t>
      </w:r>
      <w:r w:rsidR="00BC154F" w:rsidRPr="00DA249F">
        <w:rPr>
          <w:lang w:val="en-GB" w:eastAsia="en-NZ"/>
        </w:rPr>
        <w:t>colonies</w:t>
      </w:r>
      <w:r w:rsidRPr="00DA249F">
        <w:rPr>
          <w:lang w:val="en-GB" w:eastAsia="en-NZ"/>
        </w:rPr>
        <w:t xml:space="preserve"> is relatively recent </w:t>
      </w:r>
      <w:r w:rsidRPr="00DA249F">
        <w:rPr>
          <w:lang w:val="en-GB" w:eastAsia="en-NZ"/>
        </w:rPr>
        <w:fldChar w:fldCharType="begin"/>
      </w:r>
      <w:r w:rsidR="00331A79">
        <w:rPr>
          <w:lang w:val="en-GB" w:eastAsia="en-NZ"/>
        </w:rPr>
        <w:instrText xml:space="preserve"> ADDIN ZOTERO_ITEM CSL_CITATION {"citationID":"xxem4OJ9","properties":{"formattedCitation":"(Osterman et al., 2021)","plainCitation":"(Osterman et al., 2021)","noteIndex":0},"citationItems":[{"id":30848,"uris":["http://zotero.org/groups/2352922/items/QPT8UFGK"],"itemData":{"id":30848,"type":"article-journal","container-title":"Agriculture, Ecosystems &amp; Environment","DOI":"10.1016/j.agee.2021.107653","ISSN":"01678809","journalAbbreviation":"Agriculture, Ecosystems &amp; Environment","language":"en","page":"107653","source":"DOI.org (Crossref)","title":"Global trends in the number and diversity of managed pollinator species","URL":"https://linkinghub.elsevier.com/retrieve/pii/S0167880921003571","volume":"322","author":[{"family":"Osterman","given":"Julia"},{"family":"Aizen","given":"Marcelo A."},{"family":"Biesmeijer","given":"Jacobus C."},{"family":"Bosch","given":"Jordi"},{"family":"Howlett","given":"Brad G."},{"family":"Inouye","given":"David W."},{"family":"Jung","given":"Chuleui"},{"family":"Martins","given":"Dino J."},{"family":"Medel","given":"Rodrigo"},{"family":"Pauw","given":"Anton"},{"family":"Seymour","given":"Colleen L."},{"family":"Paxton","given":"Robert J."}],"accessed":{"date-parts":[["2021",10,22]]},"issued":{"date-parts":[["2021",12]]}}}],"schema":"https://github.com/citation-style-language/schema/raw/master/csl-citation.json"} </w:instrText>
      </w:r>
      <w:r w:rsidRPr="00DA249F">
        <w:rPr>
          <w:lang w:val="en-GB" w:eastAsia="en-NZ"/>
        </w:rPr>
        <w:fldChar w:fldCharType="separate"/>
      </w:r>
      <w:r w:rsidR="00144D96" w:rsidRPr="00144D96">
        <w:t>(Osterman et al., 2021)</w:t>
      </w:r>
      <w:r w:rsidRPr="00DA249F">
        <w:rPr>
          <w:lang w:val="en-GB" w:eastAsia="en-NZ"/>
        </w:rPr>
        <w:fldChar w:fldCharType="end"/>
      </w:r>
      <w:r w:rsidRPr="00DA249F">
        <w:rPr>
          <w:lang w:val="en-GB" w:eastAsia="en-NZ"/>
        </w:rPr>
        <w:t xml:space="preserve">. Bumblebees live in colonial nests and can buzz pollinate (whereby bees use </w:t>
      </w:r>
      <w:r w:rsidRPr="00DA249F">
        <w:rPr>
          <w:lang w:val="en-GB"/>
        </w:rPr>
        <w:t xml:space="preserve">vibrations to extract pollen from flowers, </w:t>
      </w:r>
      <w:r w:rsidR="00E37B0C" w:rsidRPr="00DA249F">
        <w:rPr>
          <w:lang w:val="en-GB"/>
        </w:rPr>
        <w:t>incidentally,</w:t>
      </w:r>
      <w:r w:rsidRPr="00DA249F">
        <w:rPr>
          <w:lang w:val="en-GB"/>
        </w:rPr>
        <w:t xml:space="preserve"> fertili</w:t>
      </w:r>
      <w:r w:rsidR="00262821" w:rsidRPr="00DA249F">
        <w:rPr>
          <w:lang w:val="en-GB"/>
        </w:rPr>
        <w:t>z</w:t>
      </w:r>
      <w:r w:rsidRPr="00DA249F">
        <w:rPr>
          <w:lang w:val="en-GB"/>
        </w:rPr>
        <w:t>ing them)</w:t>
      </w:r>
      <w:r w:rsidRPr="00DA249F">
        <w:rPr>
          <w:lang w:val="en-GB" w:eastAsia="en-NZ"/>
        </w:rPr>
        <w:t xml:space="preserve">, making them suitable pollinators for a wide range of crops, in particular those grown in greenhouses. The rearing of bumblebee colonies of European species </w:t>
      </w:r>
      <w:r w:rsidRPr="00DA249F">
        <w:rPr>
          <w:i/>
          <w:lang w:val="en-GB" w:eastAsia="en-NZ"/>
        </w:rPr>
        <w:t>Bombus terrestris</w:t>
      </w:r>
      <w:r w:rsidRPr="00DA249F">
        <w:rPr>
          <w:lang w:val="en-GB" w:eastAsia="en-NZ"/>
        </w:rPr>
        <w:t xml:space="preserve"> started in the 1980s and in a few years triggered a massive trade of colonies within and beyond its native range (</w:t>
      </w:r>
      <w:r w:rsidR="00E23B69">
        <w:rPr>
          <w:b/>
          <w:iCs/>
          <w:lang w:val="en-GB" w:eastAsia="en-NZ"/>
        </w:rPr>
        <w:t>Figure</w:t>
      </w:r>
      <w:r w:rsidR="009F2D68">
        <w:rPr>
          <w:b/>
          <w:iCs/>
          <w:lang w:val="en-GB" w:eastAsia="en-NZ"/>
        </w:rPr>
        <w:t xml:space="preserve"> 3.10</w:t>
      </w:r>
      <w:r w:rsidRPr="00DA249F">
        <w:rPr>
          <w:lang w:val="en-GB" w:eastAsia="en-NZ"/>
        </w:rPr>
        <w:t xml:space="preserve">). This species has invaded many countries in which it has been intentionally introduced (e.g., Japan, New Zealand, Chile) expanding </w:t>
      </w:r>
      <w:r w:rsidR="00AE2F9E">
        <w:rPr>
          <w:lang w:val="en-GB" w:eastAsia="en-NZ"/>
        </w:rPr>
        <w:t>its</w:t>
      </w:r>
      <w:r w:rsidR="00875D2D">
        <w:rPr>
          <w:lang w:val="en-GB" w:eastAsia="en-NZ"/>
        </w:rPr>
        <w:t xml:space="preserve"> </w:t>
      </w:r>
      <w:r w:rsidRPr="00DA249F">
        <w:rPr>
          <w:lang w:val="en-GB" w:eastAsia="en-NZ"/>
        </w:rPr>
        <w:t xml:space="preserve">range even to countries were introduction was not allowed, as is the case of Argentina </w:t>
      </w:r>
      <w:r w:rsidRPr="00DA249F">
        <w:rPr>
          <w:lang w:val="en-GB" w:eastAsia="en-NZ"/>
        </w:rPr>
        <w:fldChar w:fldCharType="begin"/>
      </w:r>
      <w:r w:rsidR="00331A79">
        <w:rPr>
          <w:lang w:val="en-GB" w:eastAsia="en-NZ"/>
        </w:rPr>
        <w:instrText xml:space="preserve"> ADDIN ZOTERO_ITEM CSL_CITATION {"citationID":"INalmgWO","properties":{"formattedCitation":"(Aizen et al., 2019)","plainCitation":"(Aizen et al., 2019)","noteIndex":0},"citationItems":[{"id":17043,"uris":["http://zotero.org/groups/2352922/items/H4F3N4QR"],"itemData":{"id":17043,"type":"article-journal","abstract":"The global trade of species promotes diverse human activities but also facilitates the introduction of potentially invasive species into new environments. As species ignore national boundaries, unilateral national decisions concerning species trade set the stage for transnational species invasion with significant conservation, economic and political consequences. The need for a coordinated approach to species importation policies is demonstrated by the introduction of two bumblebee species into Chile for crop pollination, despite Argentina banning commercial importation of alien bumblebees based on expert opinion. The large garden bumblebee, Bombus ruderatus, was first introduced in 1982, and the buff-tailed bumblebee, Bombus terrestris, has been continually introduced since 1997 as part of the burgeoning bumblebee trade. Both species have subsequently invaded southern South America. Today, the consequences of the growth of the bumblebee trade for agricultural pollination ranks among the top 15 emerging environmental issues likely to affect global diversity. Documented impacts of these invasions include the severe decline and local extinctions of the sole native Patagonian bumblebee, Bombus dahlbomii, pathogen transmission, flower damage and nectar robbing of native and cultivated plants. Policy implications. The South American bumblebee invasions portrayed here should alert governments to the unintended consequences of the booming international bee trade. More broadly, this case demonstrates that one country's importation decisions can have policy implications for its neighbours without consultation. Regrettably, coordinated international measures to prevent species invasions are seldom considered in South America or elsewhere, despite existing legal frameworks. The bumblebee case and others provide stark evidence of the pressing need for coordinated specific and general international policies concerning global species trade and their implementation.","container-title":"Journal of Applied Ecology","DOI":"10.1111/1365-2664.13121","ISSN":"1365-2664","issue":"1","journalAbbreviation":"J Appl Ecol","language":"en","license":"© 2018 The Authors. Journal of Applied Ecology © 2018 British Ecological Society","page":"100-106","source":"Wiley Online Library","title":"Coordinated species importation policies are needed to reduce serious invasions globally: The case of alien bumblebees in South America","title-short":"Coordinated species importation polic</w:instrText>
      </w:r>
      <w:r w:rsidR="00331A79">
        <w:rPr>
          <w:rFonts w:hint="eastAsia"/>
          <w:lang w:val="en-GB" w:eastAsia="en-NZ"/>
        </w:rPr>
        <w:instrText>ies are needed to reduce serious invasions globally","URL":"https://besjournals.onlinelibrary.wiley.com/doi/abs/10.1111/1365-2664.13121","volume":"56","author":[{"family":"Aizen","given":"Marcelo A."},{"family":"Smith</w:instrText>
      </w:r>
      <w:r w:rsidR="00331A79">
        <w:rPr>
          <w:rFonts w:hint="eastAsia"/>
          <w:lang w:val="en-GB" w:eastAsia="en-NZ"/>
        </w:rPr>
        <w:instrText>‐</w:instrText>
      </w:r>
      <w:r w:rsidR="00331A79">
        <w:rPr>
          <w:rFonts w:hint="eastAsia"/>
          <w:lang w:val="en-GB" w:eastAsia="en-NZ"/>
        </w:rPr>
        <w:instrText>Ramírez","given":"Cecilia"},{"family":"Morales","given":"Carolina L."},{"family":"Vieli","given":"Lorena"},{"family":"Sáez","given":"Agustín"},{"family":"Barahona</w:instrText>
      </w:r>
      <w:r w:rsidR="00331A79">
        <w:rPr>
          <w:rFonts w:hint="eastAsia"/>
          <w:lang w:val="en-GB" w:eastAsia="en-NZ"/>
        </w:rPr>
        <w:instrText>‐</w:instrText>
      </w:r>
      <w:r w:rsidR="00331A79">
        <w:rPr>
          <w:rFonts w:hint="eastAsia"/>
          <w:lang w:val="en-GB" w:eastAsia="en-NZ"/>
        </w:rPr>
        <w:instrText>Segovia","given":"Rodrigo M."},{"family":"Arbetman","given":"Marina P."},{"family":"Montalva","given":"José"},{"family":"Garibald</w:instrText>
      </w:r>
      <w:r w:rsidR="00331A79">
        <w:rPr>
          <w:lang w:val="en-GB" w:eastAsia="en-NZ"/>
        </w:rPr>
        <w:instrText xml:space="preserve">i","given":"Lucas A."},{"family":"Inouye","given":"David W."},{"family":"Harder","given":"Lawrence D."}],"accessed":{"date-parts":[["2019",10,3]]},"issued":{"date-parts":[["2019"]]}}}],"schema":"https://github.com/citation-style-language/schema/raw/master/csl-citation.json"} </w:instrText>
      </w:r>
      <w:r w:rsidRPr="00DA249F">
        <w:rPr>
          <w:lang w:val="en-GB" w:eastAsia="en-NZ"/>
        </w:rPr>
        <w:fldChar w:fldCharType="separate"/>
      </w:r>
      <w:r w:rsidR="00144D96" w:rsidRPr="00144D96">
        <w:t>(Aizen et al., 2019)</w:t>
      </w:r>
      <w:r w:rsidRPr="00DA249F">
        <w:rPr>
          <w:lang w:val="en-GB" w:eastAsia="en-NZ"/>
        </w:rPr>
        <w:fldChar w:fldCharType="end"/>
      </w:r>
      <w:r w:rsidRPr="00DA249F">
        <w:rPr>
          <w:lang w:val="en-GB" w:eastAsia="en-NZ"/>
        </w:rPr>
        <w:t xml:space="preserve">. In South America, </w:t>
      </w:r>
      <w:r w:rsidRPr="00DA249F">
        <w:rPr>
          <w:i/>
          <w:lang w:val="en-GB" w:eastAsia="en-NZ"/>
        </w:rPr>
        <w:t>Bombus</w:t>
      </w:r>
      <w:r w:rsidRPr="00DA249F">
        <w:rPr>
          <w:i/>
          <w:iCs/>
          <w:lang w:val="en-GB" w:eastAsia="en-NZ"/>
        </w:rPr>
        <w:t xml:space="preserve"> terrestris</w:t>
      </w:r>
      <w:r w:rsidRPr="00DA249F">
        <w:rPr>
          <w:lang w:val="en-GB" w:eastAsia="en-NZ"/>
        </w:rPr>
        <w:t xml:space="preserve"> has spread across Chile </w:t>
      </w:r>
      <w:r w:rsidRPr="00DA249F">
        <w:rPr>
          <w:lang w:val="en-GB" w:eastAsia="en-NZ"/>
        </w:rPr>
        <w:fldChar w:fldCharType="begin"/>
      </w:r>
      <w:r w:rsidR="00331A79">
        <w:rPr>
          <w:lang w:val="en-GB" w:eastAsia="en-NZ"/>
        </w:rPr>
        <w:instrText xml:space="preserve"> ADDIN ZOTERO_ITEM CSL_CITATION {"citationID":"APAdKUu3","properties":{"formattedCitation":"(Montalva et al., 2011)","plainCitation":"(Montalva et al., 2011)","noteIndex":0},"citationItems":[{"id":30304,"uris":["http://zotero.org/groups/2352922/items/LIACFMQL"],"itemData":{"id":30304,"type":"article-journal","container-title":"Journal of Apicultural Research","DOI":"https://doi.org/10.3896/IBRA.1.50.1.02","issue":"1","note":"ISBN: 0021-8839\npublisher: Taylor &amp; Francis","page":"11-21","title":"Geographic distribution and associated flora of native and introduced bumble bees (&lt;i&gt;Bombus&lt;/i&gt; spp.) in Chile","URL":"https://www.tandfonline.com/doi/abs/10.3896/IBRA.1.50.1.02","volume":"50","author":[{"family":"Montalva","given":"José"},{"family":"Dudley","given":"Leah"},{"family":"Arroyo","given":"Mary Kalin"},{"family":"Retamales","given":"Hernán"},{"family":"Abrahamovich","given":"Alberto H."}],"issued":{"date-parts":[["2011"]]}}}],"schema":"https://github.com/citation-style-language/schema/raw/master/csl-citation.json"} </w:instrText>
      </w:r>
      <w:r w:rsidRPr="00DA249F">
        <w:rPr>
          <w:lang w:val="en-GB" w:eastAsia="en-NZ"/>
        </w:rPr>
        <w:fldChar w:fldCharType="separate"/>
      </w:r>
      <w:r w:rsidR="00144D96" w:rsidRPr="00144D96">
        <w:t>(Montalva et al., 2011)</w:t>
      </w:r>
      <w:r w:rsidRPr="00DA249F">
        <w:rPr>
          <w:lang w:val="en-GB" w:eastAsia="en-NZ"/>
        </w:rPr>
        <w:fldChar w:fldCharType="end"/>
      </w:r>
      <w:r w:rsidRPr="00DA249F">
        <w:rPr>
          <w:lang w:val="en-GB" w:eastAsia="en-NZ"/>
        </w:rPr>
        <w:t xml:space="preserve"> from the Atacama Desert to the southernmost islands south of </w:t>
      </w:r>
      <w:r w:rsidR="009805C5">
        <w:rPr>
          <w:lang w:val="en-GB" w:eastAsia="en-NZ"/>
        </w:rPr>
        <w:t xml:space="preserve">the </w:t>
      </w:r>
      <w:r w:rsidRPr="00DA249F">
        <w:rPr>
          <w:lang w:val="en-GB" w:eastAsia="en-NZ"/>
        </w:rPr>
        <w:t>Tierra del Fuego Archipelago</w:t>
      </w:r>
      <w:r w:rsidR="009F7404">
        <w:rPr>
          <w:lang w:val="en-GB" w:eastAsia="en-NZ"/>
        </w:rPr>
        <w:t xml:space="preserve"> and</w:t>
      </w:r>
      <w:r w:rsidRPr="00DA249F">
        <w:rPr>
          <w:lang w:val="en-GB" w:eastAsia="en-NZ"/>
        </w:rPr>
        <w:t xml:space="preserve"> </w:t>
      </w:r>
      <w:r w:rsidR="00FC7699">
        <w:rPr>
          <w:lang w:val="en-GB" w:eastAsia="en-NZ"/>
        </w:rPr>
        <w:t>to</w:t>
      </w:r>
      <w:r w:rsidRPr="00DA249F">
        <w:rPr>
          <w:lang w:val="en-GB" w:eastAsia="en-NZ"/>
        </w:rPr>
        <w:t xml:space="preserve"> South West Argentina </w:t>
      </w:r>
      <w:r w:rsidRPr="00DA249F">
        <w:rPr>
          <w:lang w:val="en-GB" w:eastAsia="en-NZ"/>
        </w:rPr>
        <w:fldChar w:fldCharType="begin"/>
      </w:r>
      <w:r w:rsidR="00331A79">
        <w:rPr>
          <w:lang w:val="en-GB" w:eastAsia="en-NZ"/>
        </w:rPr>
        <w:instrText xml:space="preserve"> ADDIN ZOTERO_ITEM CSL_CITATION {"citationID":"1gl2hOmw","properties":{"formattedCitation":"(Morales et al., 2013)","plainCitation":"(Morales et al., 2013)","noteIndex":0},"citationItems":[{"id":10796,"uris":["http://zotero.org/groups/2352922/items/BCT4AY8V"],"itemData":{"id":10796,"type":"article-journal","abstract":"Despite rising global concerns over the potential impacts of non-native bumble bee (Bombus spp) introductions on native species, large-scale and long-term assessments of the consequences of such introductions are lacking. Bombus ruderatus and Bombus terrestris were sequentially introduced into Chile and later entered Argentina's Patagonian region. A large-scale survey in Patagonia reveals that, in 5 years post-arrival, the highly invasive B terrestris has become the most abundant and widespread Bombus species, and its southward spread is concurrent with the geographic retraction of the only native species, Bombus dahlbomii. Furthermore, a 20-year survey of pollinators of the endemic herb Alstroemeria aurea in northern Patagonia indicates that B ruderatus and B terrestris have replaced B dahlbomii, formerly the most abundant pollinator. Although the decline's underlying mechanisms remain unknown, the potential roles of exploitative competition and pathogen co-introduction cannot be ruled out. Given that invasive bumble bees can rapidly extirpate native congeners, further introductions should be discouraged.","container-title":"Frontiers in Ecology and the Environment","DOI":"10.1890/120321","ISSN":"1540-9309","issue":"10","language":"en","license":"© The Ecological Society of America","note":"_eprint: https://esajournals.onlinelibrary.wiley.com/doi/pdf/10.1890/120321","page":"529-534","source":"Wiley Online Library","title":"Rapid ecological replacement of a native bumble bee by invasive species","URL":"https://esajournals.onlinelibrary.wiley.com/doi/abs/10.1890/120321","volume":"11","author":[{"family":"Morales","given":"Carolina L."},{"family":"Arbetman","given":"Marina P."},{"family":"Cameron","given":"Sydney A."},{"family":"Aizen","given":"Marcelo A."}],"accessed":{"date-parts":[["2021",6,16]]},"issued":{"date-parts":[["2013"]]}}}],"schema":"https://github.com/citation-style-language/schema/raw/master/csl-citation.json"} </w:instrText>
      </w:r>
      <w:r w:rsidRPr="00DA249F">
        <w:rPr>
          <w:lang w:val="en-GB" w:eastAsia="en-NZ"/>
        </w:rPr>
        <w:fldChar w:fldCharType="separate"/>
      </w:r>
      <w:r w:rsidR="00144D96" w:rsidRPr="00144D96">
        <w:t>(Morales et al., 2013)</w:t>
      </w:r>
      <w:r w:rsidRPr="00DA249F">
        <w:rPr>
          <w:lang w:val="en-GB" w:eastAsia="en-NZ"/>
        </w:rPr>
        <w:fldChar w:fldCharType="end"/>
      </w:r>
      <w:r w:rsidRPr="00DA249F">
        <w:rPr>
          <w:lang w:val="en-GB" w:eastAsia="en-NZ"/>
        </w:rPr>
        <w:t xml:space="preserve">. In this region </w:t>
      </w:r>
      <w:r w:rsidRPr="00DA249F">
        <w:rPr>
          <w:i/>
          <w:lang w:val="en-GB" w:eastAsia="en-NZ"/>
        </w:rPr>
        <w:t>Bombus</w:t>
      </w:r>
      <w:r w:rsidRPr="00DA249F">
        <w:rPr>
          <w:i/>
          <w:iCs/>
          <w:lang w:val="en-GB" w:eastAsia="en-NZ"/>
        </w:rPr>
        <w:t xml:space="preserve"> terrestris</w:t>
      </w:r>
      <w:r w:rsidRPr="00DA249F">
        <w:rPr>
          <w:lang w:val="en-GB" w:eastAsia="en-NZ"/>
        </w:rPr>
        <w:t xml:space="preserve"> achieves unusually high abundance and dominance of local pollinator communities </w:t>
      </w:r>
      <w:r w:rsidRPr="00DA249F">
        <w:rPr>
          <w:lang w:val="en-GB" w:eastAsia="en-NZ"/>
        </w:rPr>
        <w:fldChar w:fldCharType="begin"/>
      </w:r>
      <w:r w:rsidR="00331A79">
        <w:rPr>
          <w:lang w:val="en-GB" w:eastAsia="en-NZ"/>
        </w:rPr>
        <w:instrText xml:space="preserve"> ADDIN ZOTERO_ITEM CSL_CITATION {"citationID":"VqzbFXSB","properties":{"formattedCitation":"(Aizen et al., 2014; Morales et al., 2017)","plainCitation":"(Aizen et al., 2014; Morales et al., 2017)","noteIndex":0},"citationItems":[{"id":10766,"uris":["http:</w:instrText>
      </w:r>
      <w:r w:rsidR="00331A79">
        <w:rPr>
          <w:rFonts w:hint="eastAsia"/>
          <w:lang w:val="en-GB" w:eastAsia="en-NZ"/>
        </w:rPr>
        <w:instrText>//zotero.org/groups/2352922/items/UG7UWTH4"],"itemData":{"id":10766,"type":"article-journal","container-title":"New Phytologist","DOI":"10.1111/nph.12924","issue":"2","page":"322-328","title":"When mutualism goes bad: density</w:instrText>
      </w:r>
      <w:r w:rsidR="00331A79">
        <w:rPr>
          <w:rFonts w:hint="eastAsia"/>
          <w:lang w:val="en-GB" w:eastAsia="en-NZ"/>
        </w:rPr>
        <w:instrText>‐</w:instrText>
      </w:r>
      <w:r w:rsidR="00331A79">
        <w:rPr>
          <w:rFonts w:hint="eastAsia"/>
          <w:lang w:val="en-GB" w:eastAsia="en-NZ"/>
        </w:rPr>
        <w:instrText>dependent impacts of introduc</w:instrText>
      </w:r>
      <w:r w:rsidR="00331A79">
        <w:rPr>
          <w:lang w:val="en-GB" w:eastAsia="en-NZ"/>
        </w:rPr>
        <w:instrText xml:space="preserve">ed bees on plant reproduction","URL":"https://nph.onlinelibrary.wiley.com/doi/full/10.1111/nph.12924","volume":"204","author":[{"family":"Aizen","given":"Marcelo A."},{"family":"Morales","given":"Carolina L."},{"family":"Vázquez","given":"Diego P."},{"family":"Garibaldi","given":"Lucas A."},{"family":"Sáez","given":"Agustín"},{"family":"Harder","given":"Lawrence D."}],"accessed":{"date-parts":[["2021",6,16]]},"issued":{"date-parts":[["2014",7,16]]}}},{"id":10795,"uris":["http://zotero.org/groups/2352922/items/NKX2SLCB"],"itemData":{"id":10795,"type":"chapter","abstract":"Plant–pollinator interactions and associated pollination services are essential for crop production and the integrity of terrestrial ecosystem services. Introduced pollinators, in particular social bees such as honeybees and bumblebees, have become invaders in many regions of the world, strongly affecting the pollination of native, cultivated, and non-native plants. These effects can be direct, when invaders interact with local flowering plants, or indirect, when invaders modify the interaction of native pollinators with flowering plants. Direct effects on pollination depend on whether the plant benefits from the flower visits are greater than their costs, a relationship that can be density dependent. Shifts from mutualism to antagonism occur when invasive pollinators reach extremely high densities, because the interaction costs exceed the benefits. Indirect effects depend on whether pollinator invaders alter the benefit–cost ratio of native pollinator visits, displace them, or trigger reductions in native pollinator diversity. Through a literature review, we found that the impacts of invasive pollinators on pollination were predominantly negative for native plants, mixed for crops, and positive for invasive plants. Furthermore, they can synergistically interact with other stressors on pollination such as climate change and habitat disturbance. Although invasive pollinators can back up pollination of some native plants in highly disturbed habitats, and some crops in intensively modified agro-ecosystems, they cannot replace the role of a diverse pollinator assemblage for wild plant reproduction and crop yield. Hence, managing agro-ecosystems for enhancing wild pollinator diversity, and avoiding further introductions of non-native pollinators, are realistic cost-effective measures for the provision and stability of pollination services.","collection-title":"Invading Nature - Springer Series in Invasion Ecology","container-title":"Impact of Biological Invasions on Ecosystem Services","event-place":"Cham","ISBN":"978-3-319-45121-3","language":"en","note":"DOI: 10.1007/978-3-319-45121-3_13","page":"203-220","publisher":"Springer International Publishing","publisher-place":"Cham","source":"Springer Link","title":"Disruption of Pollination Services by Invasive Pollinator Species","URL":"https://doi.org/10.1007/978-3-319-45121-3_13","volume":"12","author":[{"family":"Morales","given":"Carolina L."},{"family":"Sáez","given":"Agustín"},{"family":"Garibaldi","given":"Lucas A."},{"family":"Aizen","given":"Marcelo A."}],"editor":[{"family":"Vilà","given":"Montserrat"},{"family":"Hulme","given":"Philip E."}],"accessed":{"date-parts":[["2019",10,23]]},"issued":{"date-parts":[["2017"]]}}}],"schema":"https://github.com/citation-style-language/schema/raw/master/csl-citation.json"} </w:instrText>
      </w:r>
      <w:r w:rsidRPr="00DA249F">
        <w:rPr>
          <w:lang w:val="en-GB" w:eastAsia="en-NZ"/>
        </w:rPr>
        <w:fldChar w:fldCharType="separate"/>
      </w:r>
      <w:r w:rsidR="00144D96" w:rsidRPr="00144D96">
        <w:t>(Aizen et al., 2014; Morales et al., 2017)</w:t>
      </w:r>
      <w:r w:rsidRPr="00DA249F">
        <w:rPr>
          <w:lang w:val="en-GB" w:eastAsia="en-NZ"/>
        </w:rPr>
        <w:fldChar w:fldCharType="end"/>
      </w:r>
      <w:r w:rsidRPr="00DA249F">
        <w:rPr>
          <w:lang w:val="en-GB" w:eastAsia="en-NZ"/>
        </w:rPr>
        <w:t>. Moreover, the</w:t>
      </w:r>
      <w:r w:rsidR="00F87419">
        <w:rPr>
          <w:lang w:val="en-GB" w:eastAsia="en-NZ"/>
        </w:rPr>
        <w:t xml:space="preserve"> indroduction of </w:t>
      </w:r>
      <w:r w:rsidR="00F87419">
        <w:rPr>
          <w:i/>
          <w:iCs/>
          <w:lang w:val="en-GB" w:eastAsia="en-NZ"/>
        </w:rPr>
        <w:t>Bombus terrestris</w:t>
      </w:r>
      <w:r w:rsidRPr="00DA249F">
        <w:rPr>
          <w:lang w:val="en-GB" w:eastAsia="en-NZ"/>
        </w:rPr>
        <w:t xml:space="preserve"> ha</w:t>
      </w:r>
      <w:r w:rsidR="00F87419">
        <w:rPr>
          <w:lang w:val="en-GB" w:eastAsia="en-NZ"/>
        </w:rPr>
        <w:t>s</w:t>
      </w:r>
      <w:r w:rsidRPr="00DA249F">
        <w:rPr>
          <w:lang w:val="en-GB" w:eastAsia="en-NZ"/>
        </w:rPr>
        <w:t xml:space="preserve"> facilitated the co-introduction of novel pathogens </w:t>
      </w:r>
      <w:r w:rsidRPr="00DA249F">
        <w:rPr>
          <w:lang w:val="en-GB" w:eastAsia="en-NZ"/>
        </w:rPr>
        <w:fldChar w:fldCharType="begin"/>
      </w:r>
      <w:r w:rsidR="00331A79">
        <w:rPr>
          <w:lang w:val="en-GB" w:eastAsia="en-NZ"/>
        </w:rPr>
        <w:instrText xml:space="preserve"> ADDIN ZOTERO_ITEM CSL_CITATION {"citationID":"E9CNsZkR","properties":{"formattedCitation":"(Arbetman et al., 2013)","plainCitation":"(Arbetman et al., 2013)","dontUpdate":true,"noteIndex":0},"citationItems":[{"id":30140,"uris":["http://zotero.org/groups/2352922/items/PXQIBZLI"],"itemData":{"id":30140,"type":"article-journal","abstract":"The worldwide trade in bumblebees can lead to the spread of diseases, which in turn has been claimed as a factor in bumblebee decline. Populations of the introduced Bombus terrestris, which invaded NW Patagonia, Argentina, in 2006, harbor the highly pathogenic protozoan Apicystis bombi. We asked whether A. bombi had been co-introduced with B. terrestris, and if so, whether spillover occurred to the two resident bumblebee species in the region: the introduced European Bombus ruderatus and the native Bombus dahlbomii. We searched for A. bombi by means of PCR in samples of B. ruderatus and B. dahlbomii collected before and after the invasion of B. terrestris and in samples of the latter. We found no A. bombi in samples of B. ruderatus and B. dahlbomii collected before B. terrestris invasion, whereas post invasion, A. bombi was present in all 3 species. The identity of the parasite was established by sequencing the 18S region, which was identical for the three bumblebee species and also matched the European sequence, confirming it to be A. bombi. This is the first report of A. bombi in B. ruderatus and B. dahlbomii. Moreover, our results suggest that Patagonia had been free of A. bombi until this parasite was co-introduced with B. terrestris, and spilled over in situ to these two previously resident species. Finally, our findings provide indirect circumstantial evidence of a potential link between the population collapse and geographic retraction of B. dahlbomii and the introduction of this novel parasite.","container-title":"Biological Invasions","DOI":"10.1007/s10530-012-0311-0","ISSN":"1573-1464","issue":"3","journalAbbreviation":"Biol Invasions","language":"en","page":"489-494","source":"Springer Link","title":"Alien parasite hitchhikes to Patagonia on invasive bumblebee","URL":"https://doi.org/10.1007/s10530-012-0311-0","volume":"15","author":[{"family":"Arbetman","given":"Marina P."},{"family":"Meeus","given":"Ivan"},{"family":"Morales","given":"Carolina L."},{"family":"Aizen","given":"Marcelo A."},{"family":"Smagghe","given":"Guy"}],"accessed":{"date-parts":[["2019",10,24]]},"issued":{"date-parts":[["2013",3,1]]}}}],"schema":"https://github.com/citation-style-language/schema/raw/master/csl-citation.json"} </w:instrText>
      </w:r>
      <w:r w:rsidRPr="00DA249F">
        <w:rPr>
          <w:lang w:val="en-GB" w:eastAsia="en-NZ"/>
        </w:rPr>
        <w:fldChar w:fldCharType="separate"/>
      </w:r>
      <w:r w:rsidRPr="00DA249F">
        <w:rPr>
          <w:lang w:val="en-GB"/>
        </w:rPr>
        <w:t>(Arbetman et al., 2013</w:t>
      </w:r>
      <w:r w:rsidRPr="00DA249F">
        <w:rPr>
          <w:lang w:val="en-GB" w:eastAsia="en-NZ"/>
        </w:rPr>
        <w:fldChar w:fldCharType="end"/>
      </w:r>
      <w:r w:rsidR="0002065C" w:rsidRPr="00DA249F">
        <w:rPr>
          <w:lang w:val="en-GB" w:eastAsia="en-NZ"/>
        </w:rPr>
        <w:t>;</w:t>
      </w:r>
      <w:r w:rsidRPr="00DA249F">
        <w:rPr>
          <w:lang w:val="en-GB" w:eastAsia="en-NZ"/>
        </w:rPr>
        <w:t xml:space="preserve"> </w:t>
      </w:r>
      <w:r w:rsidRPr="005702F7">
        <w:rPr>
          <w:b/>
          <w:iCs/>
          <w:lang w:val="en-GB" w:eastAsia="en-NZ"/>
        </w:rPr>
        <w:t>section 3.3.5.1</w:t>
      </w:r>
      <w:r w:rsidRPr="00DA249F">
        <w:rPr>
          <w:lang w:val="en-GB" w:eastAsia="en-NZ"/>
        </w:rPr>
        <w:t xml:space="preserve">). </w:t>
      </w:r>
    </w:p>
    <w:p w14:paraId="035037B6" w14:textId="77777777" w:rsidR="00D55487" w:rsidRPr="00DA249F" w:rsidRDefault="00D55487" w:rsidP="00D55487">
      <w:pPr>
        <w:pBdr>
          <w:top w:val="single" w:sz="4" w:space="1" w:color="auto"/>
          <w:left w:val="single" w:sz="4" w:space="1" w:color="auto"/>
          <w:bottom w:val="single" w:sz="4" w:space="1" w:color="auto"/>
          <w:right w:val="single" w:sz="4" w:space="1" w:color="auto"/>
        </w:pBdr>
        <w:shd w:val="clear" w:color="auto" w:fill="E7E6E6" w:themeFill="background2"/>
        <w:jc w:val="center"/>
        <w:rPr>
          <w:lang w:val="en-GB" w:eastAsia="en-NZ"/>
        </w:rPr>
      </w:pPr>
      <w:r w:rsidRPr="00DA249F">
        <w:rPr>
          <w:noProof/>
          <w:lang w:val="en-GB" w:eastAsia="en-NZ"/>
        </w:rPr>
        <w:drawing>
          <wp:inline distT="0" distB="0" distL="0" distR="0" wp14:anchorId="2D7A1B59" wp14:editId="0E34DB05">
            <wp:extent cx="2830664" cy="1883227"/>
            <wp:effectExtent l="0" t="0" r="1905" b="0"/>
            <wp:docPr id="24" name="Picture 24" descr="A picture containing text, tree, outdoor, gras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descr="A picture containing text, tree, outdoor, grass&#10;&#10;Description automatically generated"/>
                    <pic:cNvPicPr/>
                  </pic:nvPicPr>
                  <pic:blipFill>
                    <a:blip r:embed="rId28" cstate="print">
                      <a:extLst>
                        <a:ext uri="{28A0092B-C50C-407E-A947-70E740481C1C}">
                          <a14:useLocalDpi xmlns:a14="http://schemas.microsoft.com/office/drawing/2010/main" val="0"/>
                        </a:ext>
                      </a:extLst>
                    </a:blip>
                    <a:stretch>
                      <a:fillRect/>
                    </a:stretch>
                  </pic:blipFill>
                  <pic:spPr>
                    <a:xfrm>
                      <a:off x="0" y="0"/>
                      <a:ext cx="2846359" cy="1893669"/>
                    </a:xfrm>
                    <a:prstGeom prst="rect">
                      <a:avLst/>
                    </a:prstGeom>
                    <a:ln>
                      <a:noFill/>
                    </a:ln>
                  </pic:spPr>
                </pic:pic>
              </a:graphicData>
            </a:graphic>
          </wp:inline>
        </w:drawing>
      </w:r>
    </w:p>
    <w:p w14:paraId="3775E981" w14:textId="0AF70C08" w:rsidR="00D55487" w:rsidRPr="00DA249F" w:rsidRDefault="00D55487" w:rsidP="00D55487">
      <w:pPr>
        <w:pStyle w:val="Caption"/>
        <w:pBdr>
          <w:top w:val="single" w:sz="4" w:space="1" w:color="auto"/>
          <w:left w:val="single" w:sz="4" w:space="1" w:color="auto"/>
          <w:bottom w:val="single" w:sz="4" w:space="1" w:color="auto"/>
          <w:right w:val="single" w:sz="4" w:space="1" w:color="auto"/>
        </w:pBdr>
        <w:shd w:val="clear" w:color="auto" w:fill="E7E6E6" w:themeFill="background2"/>
        <w:rPr>
          <w:lang w:val="en-GB"/>
        </w:rPr>
      </w:pPr>
      <w:bookmarkStart w:id="112" w:name="_Ref129339103"/>
      <w:bookmarkStart w:id="113" w:name="_Ref129339139"/>
      <w:bookmarkStart w:id="114" w:name="_Toc147500895"/>
      <w:r w:rsidRPr="00DA249F">
        <w:rPr>
          <w:lang w:val="en-GB"/>
        </w:rPr>
        <w:t>Figure 3.</w:t>
      </w:r>
      <w:r w:rsidRPr="00DA249F">
        <w:rPr>
          <w:lang w:val="en-GB"/>
        </w:rPr>
        <w:fldChar w:fldCharType="begin"/>
      </w:r>
      <w:r w:rsidRPr="00DA249F">
        <w:rPr>
          <w:lang w:val="en-GB"/>
        </w:rPr>
        <w:instrText xml:space="preserve"> SEQ Figure_3. \* ARABIC </w:instrText>
      </w:r>
      <w:r w:rsidRPr="00DA249F">
        <w:rPr>
          <w:lang w:val="en-GB"/>
        </w:rPr>
        <w:fldChar w:fldCharType="separate"/>
      </w:r>
      <w:r w:rsidR="00287BC7">
        <w:rPr>
          <w:noProof/>
          <w:lang w:val="en-GB"/>
        </w:rPr>
        <w:t>10</w:t>
      </w:r>
      <w:r w:rsidRPr="00DA249F">
        <w:rPr>
          <w:lang w:val="en-GB"/>
        </w:rPr>
        <w:fldChar w:fldCharType="end"/>
      </w:r>
      <w:bookmarkEnd w:id="112"/>
      <w:r w:rsidR="009A3B6C" w:rsidRPr="00DA249F">
        <w:rPr>
          <w:lang w:val="en-GB"/>
        </w:rPr>
        <w:t>.</w:t>
      </w:r>
      <w:r w:rsidRPr="00DA249F">
        <w:rPr>
          <w:lang w:val="en-GB"/>
        </w:rPr>
        <w:t xml:space="preserve"> </w:t>
      </w:r>
      <w:r w:rsidRPr="00DA249F">
        <w:rPr>
          <w:b w:val="0"/>
          <w:bCs w:val="0"/>
          <w:lang w:val="en-GB"/>
        </w:rPr>
        <w:t>Growers can purchase bees in a box that will fly from flower to flower, distributing pollen among the plants.</w:t>
      </w:r>
      <w:r w:rsidRPr="00DA249F">
        <w:rPr>
          <w:lang w:val="en-GB"/>
        </w:rPr>
        <w:t xml:space="preserve"> </w:t>
      </w:r>
      <w:r w:rsidRPr="00DA249F">
        <w:rPr>
          <w:b w:val="0"/>
          <w:bCs w:val="0"/>
          <w:lang w:val="en-GB" w:eastAsia="en-NZ"/>
        </w:rPr>
        <w:t>Many pollinators and flower visitors from various insect orders and families have been introduced and established out of their native ranges.</w:t>
      </w:r>
      <w:bookmarkEnd w:id="113"/>
      <w:r w:rsidR="002C397A">
        <w:rPr>
          <w:b w:val="0"/>
          <w:bCs w:val="0"/>
          <w:lang w:val="en-GB" w:eastAsia="en-NZ"/>
        </w:rPr>
        <w:t xml:space="preserve"> Photo credit: </w:t>
      </w:r>
      <w:r w:rsidR="002C397A" w:rsidRPr="002C397A">
        <w:rPr>
          <w:b w:val="0"/>
          <w:bCs w:val="0"/>
          <w:lang w:val="en-GB" w:eastAsia="en-NZ"/>
        </w:rPr>
        <w:t>jpr03</w:t>
      </w:r>
      <w:r w:rsidR="002C397A">
        <w:rPr>
          <w:b w:val="0"/>
          <w:bCs w:val="0"/>
          <w:lang w:val="en-GB" w:eastAsia="en-NZ"/>
        </w:rPr>
        <w:t xml:space="preserve">, Adobe Stock </w:t>
      </w:r>
      <w:r w:rsidR="00BB328F">
        <w:rPr>
          <w:b w:val="0"/>
          <w:bCs w:val="0"/>
          <w:lang w:val="en-GB" w:eastAsia="en-NZ"/>
        </w:rPr>
        <w:t>–</w:t>
      </w:r>
      <w:r w:rsidR="002C397A">
        <w:rPr>
          <w:b w:val="0"/>
          <w:bCs w:val="0"/>
          <w:lang w:val="en-GB" w:eastAsia="en-NZ"/>
        </w:rPr>
        <w:t xml:space="preserve"> Copyright</w:t>
      </w:r>
      <w:r w:rsidR="00BB328F">
        <w:rPr>
          <w:b w:val="0"/>
          <w:bCs w:val="0"/>
          <w:lang w:val="en-GB" w:eastAsia="en-NZ"/>
        </w:rPr>
        <w:t>.</w:t>
      </w:r>
      <w:bookmarkEnd w:id="114"/>
    </w:p>
    <w:p w14:paraId="418BD009" w14:textId="2AEC6BC0" w:rsidR="00D52CBE" w:rsidRPr="00DA249F" w:rsidRDefault="00DB623E" w:rsidP="004826A3">
      <w:pPr>
        <w:pStyle w:val="Heading3"/>
        <w:rPr>
          <w:lang w:val="en-GB"/>
        </w:rPr>
      </w:pPr>
      <w:r w:rsidRPr="00DA249F">
        <w:rPr>
          <w:lang w:val="en-GB"/>
        </w:rPr>
        <w:t>Trade in plants for h</w:t>
      </w:r>
      <w:r w:rsidR="003C3285" w:rsidRPr="00DA249F">
        <w:rPr>
          <w:lang w:val="en-GB"/>
        </w:rPr>
        <w:t>orticulture, agriculture, ornamental use</w:t>
      </w:r>
      <w:r w:rsidR="009F7404">
        <w:rPr>
          <w:lang w:val="en-GB"/>
        </w:rPr>
        <w:t xml:space="preserve"> and</w:t>
      </w:r>
      <w:r w:rsidR="003C3285" w:rsidRPr="00DA249F">
        <w:rPr>
          <w:lang w:val="en-GB"/>
        </w:rPr>
        <w:t xml:space="preserve"> nurseries </w:t>
      </w:r>
    </w:p>
    <w:p w14:paraId="2BB8AF67" w14:textId="5451D759" w:rsidR="00632DF0" w:rsidRPr="00DA249F" w:rsidRDefault="090D11F2">
      <w:pPr>
        <w:rPr>
          <w:rStyle w:val="normaltextrun"/>
          <w:rFonts w:eastAsiaTheme="majorEastAsia"/>
          <w:b/>
          <w:spacing w:val="-10"/>
          <w:kern w:val="28"/>
          <w:szCs w:val="21"/>
          <w:lang w:val="en-GB"/>
        </w:rPr>
      </w:pPr>
      <w:r w:rsidRPr="5575EBFC">
        <w:rPr>
          <w:rStyle w:val="normaltextrun"/>
          <w:lang w:val="en-GB"/>
        </w:rPr>
        <w:t>Globally</w:t>
      </w:r>
      <w:r w:rsidR="29F25136" w:rsidRPr="5575EBFC">
        <w:rPr>
          <w:rStyle w:val="normaltextrun"/>
          <w:lang w:val="en-GB"/>
        </w:rPr>
        <w:t>,</w:t>
      </w:r>
      <w:r w:rsidR="65FD3F31" w:rsidRPr="5575EBFC">
        <w:rPr>
          <w:rStyle w:val="normaltextrun"/>
          <w:lang w:val="en-GB"/>
        </w:rPr>
        <w:t xml:space="preserve"> </w:t>
      </w:r>
      <w:r w:rsidR="3C4859B4" w:rsidRPr="5575EBFC">
        <w:rPr>
          <w:rStyle w:val="normaltextrun"/>
          <w:lang w:val="en-GB"/>
        </w:rPr>
        <w:t>67</w:t>
      </w:r>
      <w:r w:rsidR="4804CF9A" w:rsidRPr="5575EBFC">
        <w:rPr>
          <w:rStyle w:val="normaltextrun"/>
          <w:lang w:val="en-GB"/>
        </w:rPr>
        <w:t xml:space="preserve"> per cent</w:t>
      </w:r>
      <w:r w:rsidR="0FF126AF" w:rsidRPr="5575EBFC">
        <w:rPr>
          <w:rStyle w:val="normaltextrun"/>
          <w:lang w:val="en-GB"/>
        </w:rPr>
        <w:t xml:space="preserve"> </w:t>
      </w:r>
      <w:r w:rsidR="2AC951A7" w:rsidRPr="5575EBFC">
        <w:rPr>
          <w:rStyle w:val="normaltextrun"/>
          <w:lang w:val="en-GB"/>
        </w:rPr>
        <w:t>of</w:t>
      </w:r>
      <w:r w:rsidR="0FF126AF" w:rsidRPr="5575EBFC">
        <w:rPr>
          <w:rStyle w:val="normaltextrun"/>
          <w:lang w:val="en-GB"/>
        </w:rPr>
        <w:t xml:space="preserve"> alien terrestrial plants </w:t>
      </w:r>
      <w:r w:rsidR="331B2CE9" w:rsidRPr="5575EBFC">
        <w:rPr>
          <w:rStyle w:val="normaltextrun"/>
          <w:lang w:val="en-GB"/>
        </w:rPr>
        <w:t>have</w:t>
      </w:r>
      <w:r w:rsidR="4D68A99D" w:rsidRPr="5575EBFC">
        <w:rPr>
          <w:rStyle w:val="normaltextrun"/>
          <w:lang w:val="en-GB"/>
        </w:rPr>
        <w:t xml:space="preserve"> been</w:t>
      </w:r>
      <w:r w:rsidR="0FF126AF" w:rsidRPr="5575EBFC">
        <w:rPr>
          <w:rStyle w:val="normaltextrun"/>
          <w:lang w:val="en-GB"/>
        </w:rPr>
        <w:t xml:space="preserve"> introduced intentionally through horticultural</w:t>
      </w:r>
      <w:r w:rsidR="3C4859B4" w:rsidRPr="5575EBFC">
        <w:rPr>
          <w:rStyle w:val="normaltextrun"/>
          <w:lang w:val="en-GB"/>
        </w:rPr>
        <w:t xml:space="preserve"> (46 per cent)</w:t>
      </w:r>
      <w:r w:rsidR="0FF126AF" w:rsidRPr="5575EBFC">
        <w:rPr>
          <w:rStyle w:val="normaltextrun"/>
          <w:lang w:val="en-GB"/>
        </w:rPr>
        <w:t xml:space="preserve"> or agricultural</w:t>
      </w:r>
      <w:r w:rsidR="3C4859B4" w:rsidRPr="5575EBFC">
        <w:rPr>
          <w:rStyle w:val="normaltextrun"/>
          <w:lang w:val="en-GB"/>
        </w:rPr>
        <w:t xml:space="preserve"> (21 per cent)</w:t>
      </w:r>
      <w:r w:rsidR="0FF126AF" w:rsidRPr="5575EBFC">
        <w:rPr>
          <w:rStyle w:val="normaltextrun"/>
          <w:lang w:val="en-GB"/>
        </w:rPr>
        <w:t xml:space="preserve"> pathways </w:t>
      </w:r>
      <w:r w:rsidR="00A87B6B" w:rsidRPr="5575EBFC">
        <w:rPr>
          <w:rStyle w:val="normaltextrun"/>
          <w:lang w:val="en-GB"/>
        </w:rPr>
        <w:fldChar w:fldCharType="begin"/>
      </w:r>
      <w:r w:rsidR="00230216">
        <w:rPr>
          <w:rStyle w:val="normaltextrun"/>
          <w:lang w:val="en-GB"/>
        </w:rPr>
        <w:instrText xml:space="preserve"> ADDIN ZOTERO_ITEM CSL_CITATION {"citationID":"3tszRWWc","properties":{"formattedCitation":"(Turbelin et al., 2017)","plainCitation":"(Turbelin et al., 2017)","noteIndex":0},"citationItems":[{"id":54813,"uris":["http://zotero.org/groups/2352922/items/82VQQQD2","http://zotero.org/groups/2352922/items/3RRFJITZ","http://zotero.org/groups/2352922/items/UJJ4ZERC"],"itemData":{"id":54813,"type":"article-journal","container-title":"Global Ecology and Biogeography","DOI":"10.1111/geb.12517","ISSN":"1466822X","issue":"1","journalAbbreviation":"Global Ecol. Biogeogr.","language":"en","page":"78-92","source":"DOI.org (Crossref)","title":"Mapping the global state of invasive alien species: patterns of invasion and policy responses: Mapping the global state of invasive alien species","title-short":"Mapping the global state of invasive alien species","URL":"https://onlinelibrary.wiley.com/doi/10.1111/geb.12517","volume":"26","author":[{"family":"Turbelin","given":"Anna J."},{"family":"Malamud","given":"Bruce D."},{"family":"Francis","given":"Robert A."}],"accessed":{"date-parts":[["2023",3,28]]},"issued":{"date-parts":[["2017",1]]}}}],"schema":"https://github.com/citation-style-language/schema/raw/master/csl-citation.json"} </w:instrText>
      </w:r>
      <w:r w:rsidR="00A87B6B" w:rsidRPr="5575EBFC">
        <w:rPr>
          <w:rStyle w:val="normaltextrun"/>
          <w:lang w:val="en-GB"/>
        </w:rPr>
        <w:fldChar w:fldCharType="separate"/>
      </w:r>
      <w:r w:rsidR="6B5F9B9E">
        <w:t>(Turbelin et al., 2017)</w:t>
      </w:r>
      <w:r w:rsidR="00A87B6B" w:rsidRPr="5575EBFC">
        <w:rPr>
          <w:rStyle w:val="normaltextrun"/>
          <w:lang w:val="en-GB"/>
        </w:rPr>
        <w:fldChar w:fldCharType="end"/>
      </w:r>
      <w:r w:rsidR="0FF126AF" w:rsidRPr="5575EBFC">
        <w:rPr>
          <w:rStyle w:val="normaltextrun"/>
          <w:lang w:val="en-GB"/>
        </w:rPr>
        <w:t xml:space="preserve">. Ornamental use of plants is a dominant driver </w:t>
      </w:r>
      <w:r w:rsidR="00C749F8" w:rsidRPr="5575EBFC">
        <w:rPr>
          <w:rStyle w:val="normaltextrun"/>
          <w:lang w:val="en-GB"/>
        </w:rPr>
        <w:t xml:space="preserve">facilitating the introduction of </w:t>
      </w:r>
      <w:r w:rsidR="0FF126AF" w:rsidRPr="5575EBFC">
        <w:rPr>
          <w:rStyle w:val="normaltextrun"/>
          <w:lang w:val="en-GB"/>
        </w:rPr>
        <w:t>invasive</w:t>
      </w:r>
      <w:r w:rsidR="64DE4BFA" w:rsidRPr="5575EBFC">
        <w:rPr>
          <w:rStyle w:val="normaltextrun"/>
          <w:lang w:val="en-GB"/>
        </w:rPr>
        <w:t xml:space="preserve"> alien</w:t>
      </w:r>
      <w:r w:rsidR="0FF126AF" w:rsidRPr="5575EBFC">
        <w:rPr>
          <w:rStyle w:val="normaltextrun"/>
          <w:lang w:val="en-GB"/>
        </w:rPr>
        <w:t xml:space="preserve"> species that has </w:t>
      </w:r>
      <w:r w:rsidR="4B53A893" w:rsidRPr="5575EBFC">
        <w:rPr>
          <w:rStyle w:val="normaltextrun"/>
          <w:lang w:val="en-GB"/>
        </w:rPr>
        <w:t xml:space="preserve">also </w:t>
      </w:r>
      <w:r w:rsidR="0FF126AF" w:rsidRPr="5575EBFC">
        <w:rPr>
          <w:rStyle w:val="normaltextrun"/>
          <w:lang w:val="en-GB"/>
        </w:rPr>
        <w:t xml:space="preserve">been increasing in recent years </w:t>
      </w:r>
      <w:r w:rsidR="00A87B6B" w:rsidRPr="5575EBFC">
        <w:rPr>
          <w:rStyle w:val="normaltextrun"/>
          <w:lang w:val="en-GB"/>
        </w:rPr>
        <w:fldChar w:fldCharType="begin"/>
      </w:r>
      <w:r w:rsidR="00F5121E">
        <w:rPr>
          <w:rStyle w:val="normaltextrun"/>
          <w:lang w:val="en-GB"/>
        </w:rPr>
        <w:instrText xml:space="preserve"> ADDIN ZOTERO_ITEM CSL_CITATION {"citationID":"eCDuyQTV","properties":{"formattedCitation":"(Dodd et al., 2015; Faulkner et al., 2016; Hulme et al., 2018; Lambdon et al., 2008; Lehan et al., 2013; Mayer et al., 2017)","plainCitation":"(Dodd et al., 2015; Faulkner et al., 2016; Hulme et al., 2018; Lambdon et al., 2008; Lehan et al., 2013; Mayer et al., 2017)","noteIndex":0},"citationItems":[{"id":32909,"uris":["http://zotero.org/groups/2352922/items/BXV5EPAC"],"itemData":{"id":32909,"type":"article-journal","abstract":"Aim To identify the temporal patterns of plant naturalization in Australia, particularly the interaction between taxonomy, geographic origin and economic use. Location Australia. Methods From Australia's Virtual Herbarium, we compiled a database of information for the entire naturalized flora of Australia. We then examined the database in discrete time intervals to determine the changes in patterns of naturalized species taxonomy, geographic origin and economic use over time. Results Contrary to prevailing hypotheses, we found no evidence to indicate that the rate of alien flora naturalization is increasing in Australia. The number of naturalized species has grown linearly during the period 1880–2000, with the underlying rate of new species detected per thousand specimens declining over the same time period. Despite this, the diversity of both species taxonomy and geographic origin has increased over the last 120 years, leading to increased rates of growth in the total phylogenetic diversity of the Australian flora. Main Conclusions By classifying species according to their likely origin and economic use, we are able to infer the circumstances driving the patterns of naturalization. In particular, we identify how the contribution of individual pathways has changed since European settlement corresponding with the socio-economic development of the continent. Our study illustrates how the changing nature of ‘high-risk’ pathways is relevant to directing interventions such as biosecurity regulation.","container-title":"Diversity and Distributions","DOI":"10.1111/ddi.12351","ISSN":"1472-4642","issue":"9","language":"en","note":"number: 9\n_eprint: https://onlinelibrary.wiley.com/doi/pdf/10.1111/ddi.12351","page":"1038-1050","source":"Wiley Online Library","title":"The changing patterns of plant naturalization in Australia","URL":"https://onlinelibrary.wiley.com/doi/abs/10.1111/ddi.12351","volume":"21","author":[{"family":"Dodd","given":"Aaron J."},{"family":"Burgman","given":"Mark A."},{"family":"McCarthy","given":"Michael A."},{"family":"Ainsworth","given":"Nigel"}],"accessed":{"date-parts":[["2021",12,7]]},"issued":{"date-parts":[["2015"]]}}},{"id":32401,"uris":["http://zotero.org/groups/2352922/items/WBBGY3KX"],"itemData":{"id":32401,"type":"article-journal","abstract":"For the effective prevention of biological invasions, the pathways responsible for introductions must be understood and managed. However introduction pathways, particularly for developing nations, have been understudied. Using the Hulme et al. (J Appl Ecol 45:403–414, 2008) pathway classification, we assessed the South African introduction pathways in terms of the number of introductions, the invasion success of introduced taxa, how the pathways have changed over time, and how these factors vary for vertebrates, invertebrates and plants. Pathway and date of introduction, region of origin, distribution and invasion status data for 2111 alien taxa were extracted from databases. Most alien and invasive taxa were deliberately introduced and subsequently escaped captivity or cultivation. Pathway prominence also varied temporally and across organism types. Vertebrates and plants were largely escapes and although most plant escapes have become invasive, this is not the case for vertebrates. However the number of new plant and vertebrate escapes has increased over time. Invertebrates have been deliberately released or unintentionally introduced as contaminants or stowaways. For invertebrates the number of release, contaminant and stowaway introductions has increased, and most contaminants and stowaways have become invasive. As effective screening procedures are in place for invertebrates released for biological control, the major threats for South Africa are from vertebrate and plant escapes and invertebrate contaminants and stowaways. We recommend improvements to risk assessment and education to prevent escapes, and prioritised inspection strategies to reduce stowaway and contaminant introductions. Finally, as introduction pathways and introduced taxa change temporally, biosecurity decisions need to be informed by information on current and future pathways.","container-title":"Biological Invasions","DOI":"10.1007/s10530-015-0990-4","ISSN":"1573-1464","issue":"1","journalAbbreviation":"Biol Invasions","language":"en","note":"number: 1","page":"73-87","source":"Springer Link","title":"Understanding and managing the introduction pathways of alien taxa: South Africa as a case study","title-short":"Understanding and managing the introduction pathways of alien taxa","URL":"https://doi.org/10.1007/s10530-015-0990-4","volume":"18","author":[{"family":"Faulkner","given":"Katelyn T."},{"family":"Robertson","given":"Mark P."},{"family":"Rouget","given":"Mathieu"},{"family":"Wilson","given":"John R. U."}],"accessed":{"date-parts":[["2021",12,7]]},"issued":{"date-parts":[["2016",1,1]]}}},{"id":29159,"uris":["http://zotero.org/groups/2352922/items/FBUVL8DD"],"itemData":{"id":29159,"type":"article-journal","abstract":"Ornamental horticulture is the primary pathway for invasive alien plant introductions. We critically appraise published evidence on the effectiveness of four policy instruments that tackle invasions along the horticulture supply chain: pre-border import restrictions, post-border bans, industry codes of conduct and consumer education. Effective pre-border interventions rely on rigorous risk assessment and high industry compliance. Post-border sales bans become progressively less effective when alien species become widespread in a region. A lack of independent performance evaluation and of public disclosure, limits the uptake and effectiveness of voluntary codes of conduct and discourages shifts in consumer preference away from invasive alien species. Policy implications. Closing the plant invasion pathway associated with ornamental horticulture requires government-industry agreements to fund effective pre- and post-border weed risk assessments that can be subsequently supported by widely adopted, as well as verifiable, industry codes of conduct. This will ensure producers and consumers make informed choices in the face of better targeted public education addressing plant invasions. © 2017 The Authors. Journal of Applied Ecology © 2017 British Ecological Society","container-title":"Journal of Applied Ecology","DOI":"10.1111/1365-2664.12953","ISSN":"00218901","issue":"1","journalAbbreviation":"J Appl Ecol","language":"en","page":"92-98","source":"DOI.org (Crossref)","title":"Integrating invasive species policies across ornamental horticulture supply chains to prevent plant invasions","URL":"http://doi.wiley.com/10.1111/1365-2664.12953","volume":"55","author":[{"family":"Hulme","given":"Philip E."},{"family":"Brundu","given":"Giuseppe"},{"family":"Carboni","given":"Marta"},{"family":"Dehnen-Schmutz","given":"Katharina"},{"family":"Dullinger","given":"Stefan"},{"family":"Early","given":"Regan"},{"family":"Essl","given":"Franz"},{"family":"González-Moreno","given":"Pablo"},{"family":"Groom","given":"Quentin J."},{"family":"Kueffer","given":"Christoph"},{"family":"Kühn","given":"Ingolf"},{"family":"Maurel","given":"Noëlie"},{"family":"Novoa","given":"Ana"},{"family":"Pergl","given":"Jan"},{"family":"Pyšek","given":"Petr"},{"family":"Seebens","given":"Hanno"},{"family":"Tanner","given":"Rob"},{"family":"Touza","given":"Julia M."},{"family":"Kleunen","given":"Mark","non-dropping-particle":"van"},{"family":"Verbrugge","given":"Laura N.H."}],"editor":[{"family":"Flory","given":"Luke"}],"accessed":{"date-parts":[["2019",10,21]]},"issued":{"date-parts":[["2018"]]}}},{"id":32819,"uris":["http://zotero.org/groups/2352922/items/34UV5I24"],"itemData":{"id":32819,"type":"article-journal","abstract":"The paper provides the first estimate of the composition and structure of alien plants occurring in the wild in the European continent, based on the results of the DAISIE project (2004–2008), funded by the 6th Framework Programme of the European Union and aimed at “creating an inventory of invasive species that threaten European terrestrial, freshwater and marine environments”. The plant section of the DAISIE database is based on national checklists from 48 European countries/regions and Israel; for many of them the data were compiled during the project and for some countries DAISIE collected the first comprehensive checklists of alien species, based on primary data (e.g., Cyprus, Greece, F. Y. R. O. Macedonia, Slovenia, Ukraine). In total, the database contains records of 5789 alien plant species in Europe (including those native to a part of Europe but alien to another part), of which 2843 are alien to Europe (of extra-European origin). The research focus was on naturalized species; there are in total 3749 naturalized aliens in Europe, of which 1780 are alien to Europe. This represents a marked increase compared to 1568 alien species reported by a previous analysis of data in Flora Europaea (1964–1980). Casual aliens were marginally considered and are represented by 1507 species with European origins and 872 species whose native range falls outside Europe. The highest diversity of alien species is concentrated in industrialized countries with a tradition of good botanical recording or intensive recent research. The highest number of all alien species, regardless of status, is reported from Belgium (1969), the United Kingdom (1779) and Czech Republic (1378). The United Kingdom (857), Germany (450), Belgium (447) and Italy (440) are countries with the most naturalized neophytes. The number of naturalized neophytes in European countries is determined mainly by the interaction of temperature and precipitation; it increases with increasing precipitation but only in climatically warm and moderately warm regions. Of the nowadays naturalized neophytes alien to Europe, 50% arrived after 1899, 25% after 1962 and 10% after 1989. At present, approximately 6.2 new species, that are capable of naturalization, are arriving each year. Most alien species have relatively restricted European distributions; half of all naturalized species occur in four or fewer countries/regions, whereas 70% of non-naturalized species occur in only one region. Alien species are drawn from 213 families, dominated by large global plant families which have a weedy tendency and have undergone major radiations in temperate regions (Asteraceae, Poaceae, Rosaceae, Fabaceae, Brassicaceae). There are 1567 genera, which have alien members in European countries, the commonest being globally-diverse genera comprising mainly urban and agricultural weeds (e.g., Amaranthus, Chenopodium and Solanum) or cultivated for ornamental purposes (Cotoneaster, the genus richest in alien species). Only a few large genera which have successfully invaded (e.g., Oenothera, Oxalis, Panicum, Helianthus) are predominantly of non-European origin. Conyza canadensis, Helianthus tuberosus and Robinia pseudoacacia are most widely distributed alien species. Of all naturalized aliens present in Europe, 64.1% occur in industrial habitats and 58.5% on arable land and in parks and gardens. Grasslands and woodlands are also highly invaded, with 37.4 and 31.5%, respectively, of all naturalized aliens in Europe present in these habitats. Mires, bogs and fens are least invaded; only approximately 10% of aliens in Europe occur there. Intentional introductions to Europe (62.8% of the total number of naturalized aliens) prevail over unintentional (37.2%). Ornamental and horticultural introductions escaped from cultivation account for the highest number of species, 52.2% of the total. Among unintentional introductions, contaminants of seed, mineral materials and other commodities are responsible for 1091 alien species introductions to Europe (76.6% of all species introduced unintentionally) and 363 species are assumed to have arrived as stowaways (directly associated with human transport but arriving independently of commodity). Most aliens in Europe have a native range in the same continent (28.6% of all donor region records are from another part of Europe where the plant is native); in terms of species numbers the contribution of Europe as a region of origin is 53.2%. Considering aliens to Europe separately, 45.8% of species have their native distribution in North and South America, 45.9% in Asia, 20.7% in Africa and 5.3% in Australasia. Based on species composition, European alien flora can be classified into five major groups: (1) north-western, comprising Scandinavia and the UK; (2) west-central, extending from Belgium and the Netherlands to Germany and Switzerland; (3) Baltic, including only the former Soviet Baltic states; (4) east-central, comprizing the remainder of central and eastern Europe; (5) southern, covering the entire Mediterranean region. The clustering patterns cut across some European bioclimatic zones; cultural factors such as regional trade links and traditional local preferences for crop, forestry and ornamental species are also important by influencing the introduced species pool. Finally, the paper evaluates a state of the art in the field of plant invasions in Europe, points to research gaps and outlines avenues of further research towards documenting alien plant invasions in Europe. The data are of varying quality and need to be further assessed with respect to the invasion status and residence time of the species included. This concerns especially the naturalized/casual status; so far, this information is available comprehensively for only 19 countries/regions of the 49 considered. Collating an integrated database on the alien flora of Europe can form a principal contribution to developing a European-wide management strategy of alien species.","container-title":"Preslia","ISSN":"0032-7786","issue":"2","language":"en","page":"101-149","source":"nora.nerc.ac.uk","title":"Alien flora of Europe: species diversity, temporal trends, geographical patterns and research needs","title-short":"Alien flora of Europe","URL":"http://www.preslia.cz/P082Lam.pdf","volume":"80","author":[{"family":"Lambdon","given":"P. W."},{"family":"Pyšek","given":"P."},{"family":"Başnou","given":"C."},{"family":"Hejda","given":"M."},{"family":"Arianoutsou","given":"M."},{"family":"Essl","given":"F."},{"family":"Jarošík","given":"V."},{"family":"Pergl","given":"J."},{"family":"Winter","given":"M."},{"family":"Anastasiu","given":"P."},{"family":"Andriopoulos","given":"P."},{"family":"Bazos","given":"I."},{"family":"Brundu","given":"G."},{"family":"Celesti-Grapow","given":"L."},{"family":"Chassot","given":"P."},{"family":"Delipetrou","given":"P."},{"family":"Josefsson","given":"M."},{"family":"Kark","given":"S."},{"family":"Klotz","given":"S."},{"family":"Kokkoris","given":"Y."},{"family":"Kühn","given":"I."},{"family":"Marchante","given":"H."},{"family":"Perglová","given":"I."},{"family":"Pino","given":"J."},{"family":"Vilà","given":"M."},{"family":"Zikos","given":"A."},{"family":"Roy","given":"David"},{"family":"Hulme","given":"P. E."}],"accessed":{"date-parts":[["2021",12,7]]},"issued":{"date-parts":[["2008"]]}}},{"id":32317,"uris":["http://zotero.org/groups/2352922/items/9BLQKY8U"],"itemData":{"id":32317,"type":"article-journal","container-title":"American Journal of Botany","DOI":"10.3732/ajb.1300061","ISSN":"00029122","issue":"7","journalAbbreviation":"American Journal of Botany","language":"en","page":"1287-1293","source":"DOI.org (Crossref)","title":"Accidental introductions are an important source of invasive plants in the continental United States","URL":"http://doi.wiley.com/10.3732/ajb.1300061","volume":"100","author":[{"family":"Lehan","given":"Nora E."},{"family":"Murphy","given":"Julia R."},{"family":"Thorburn","given":"Lukas P."},{"family":"Bradley","given":"Bethany A."}],"accessed":{"date-parts":[["2019",12,2]]},"issued":{"date-parts":[["2013",7]]}}},{"id":32600,"uris":["http://zotero.org/groups/2352922/items/TW4XEUUN"],"itemData":{"id":32600,"type":"article-journal","abstract":"Ornamental horticulture is the most important pathway for alien plant introductions worldwide, and consequently, invasive spread of introduced plants often begins in urban areas. Although most introduced ornamental garden-plant species are locally not naturalized yet, many of them have shown invasion potential elsewhere in the world, and might naturalize when climate changes. We inventoried the planted flora of 50 public and 61 private gardens in Radolfzell, a small city in southern Germany, to investigate whether local naturalization success of garden plants is associated with their current planting frequency, climatic suitability (as assessed with climatic niche modelling) and known naturalization status somewhere in the world. We identified 954 introduced</w:instrText>
      </w:r>
      <w:r w:rsidR="00F5121E">
        <w:rPr>
          <w:rStyle w:val="normaltextrun"/>
          <w:rFonts w:hint="eastAsia"/>
          <w:lang w:val="en-GB"/>
        </w:rPr>
        <w:instrText xml:space="preserve"> garden-plant species, of which 48 are already naturalized in Radolfzell and 120 in other parts of Germany. All currently naturalized garden plants in Radolfzell have a climatic suitability probability of </w:instrText>
      </w:r>
      <w:r w:rsidR="00F5121E">
        <w:rPr>
          <w:rStyle w:val="normaltextrun"/>
          <w:rFonts w:hint="eastAsia"/>
          <w:lang w:val="en-GB"/>
        </w:rPr>
        <w:instrText>≥</w:instrText>
      </w:r>
      <w:r w:rsidR="00F5121E">
        <w:rPr>
          <w:rStyle w:val="normaltextrun"/>
          <w:rFonts w:hint="eastAsia"/>
          <w:lang w:val="en-GB"/>
        </w:rPr>
        <w:instrText xml:space="preserve"> 0.75 and are naturalized in </w:instrText>
      </w:r>
      <w:r w:rsidR="00F5121E">
        <w:rPr>
          <w:rStyle w:val="normaltextrun"/>
          <w:rFonts w:hint="eastAsia"/>
          <w:lang w:val="en-GB"/>
        </w:rPr>
        <w:instrText>≥</w:instrText>
      </w:r>
      <w:r w:rsidR="00F5121E">
        <w:rPr>
          <w:rStyle w:val="normaltextrun"/>
          <w:rFonts w:hint="eastAsia"/>
          <w:lang w:val="en-GB"/>
        </w:rPr>
        <w:instrText> 13 out of 843 regi</w:instrText>
      </w:r>
      <w:r w:rsidR="00F5121E">
        <w:rPr>
          <w:rStyle w:val="normaltextrun"/>
          <w:lang w:val="en-GB"/>
        </w:rPr>
        <w:instrText xml:space="preserve">ons globally. These values are significantly higher than those of garden plants that have not become locally naturalized yet. Current planting frequencies, however, were not related to current naturalization success. Using the identified local naturalization thresholds of climatic suitability and global naturalization frequency, and climate projections for the years 2050 and 2070, we identified 45 garden-plant species that are currently not naturalized in Radolfzell but are likely to become so in the future. Although our approach cannot replace a full risk assessment, it is well-suited and applicable as one element of a screening or horizon scanning-type approach.","container-title":"Biological Invasions","DOI":"10.1007/s10530-017-1594-y","ISSN":"1573-1464","issue":"12","journalAbbreviation":"Biol Invasions","language":"en","note":"number: 12","page":"3613-3627","source":"Springer Link","title":"Naturalization of ornamental plant species in public green spaces and private gardens","URL":"https://doi.org/10.1007/s10530-017-1594-y","volume":"19","author":[{"family":"Mayer","given":"Katharina"},{"family":"Haeuser","given":"Emily"},{"family":"Dawson","given":"Wayne"},{"family":"Essl","given":"Franz"},{"family":"Kreft","given":"Holger"},{"family":"Pergl","given":"Jan"},{"family":"Pyšek","given":"Petr"},{"family":"Weigelt","given":"Patrick"},{"family":"Winter","given":"Marten"},{"family":"Lenzner","given":"Bernd"},{"family":"Kleunen","given":"Mark","non-dropping-particle":"van"}],"accessed":{"date-parts":[["2021",12,7]]},"issued":{"date-parts":[["2017",12,1]]}}}],"schema":"https://github.com/citation-style-language/schema/raw/master/csl-citation.json"} </w:instrText>
      </w:r>
      <w:r w:rsidR="00A87B6B" w:rsidRPr="5575EBFC">
        <w:rPr>
          <w:rStyle w:val="normaltextrun"/>
          <w:lang w:val="en-GB"/>
        </w:rPr>
        <w:fldChar w:fldCharType="separate"/>
      </w:r>
      <w:r w:rsidR="6B5F9B9E">
        <w:t>(Dodd et al., 2015; Faulkner et al., 2016; Hulme et al., 2018; Lambdon et al., 2008; Lehan et al., 2013; Mayer et al., 2017)</w:t>
      </w:r>
      <w:r w:rsidR="00A87B6B" w:rsidRPr="5575EBFC">
        <w:rPr>
          <w:rStyle w:val="normaltextrun"/>
          <w:lang w:val="en-GB"/>
        </w:rPr>
        <w:fldChar w:fldCharType="end"/>
      </w:r>
      <w:r w:rsidR="0FF126AF" w:rsidRPr="5575EBFC">
        <w:rPr>
          <w:rStyle w:val="normaltextrun"/>
          <w:lang w:val="en-GB"/>
        </w:rPr>
        <w:t xml:space="preserve">. </w:t>
      </w:r>
      <w:r w:rsidR="72C9B9F6" w:rsidRPr="5575EBFC">
        <w:rPr>
          <w:rStyle w:val="normaltextrun"/>
          <w:lang w:val="en-GB"/>
        </w:rPr>
        <w:t>Accordingly, t</w:t>
      </w:r>
      <w:r w:rsidR="0FF126AF" w:rsidRPr="5575EBFC">
        <w:rPr>
          <w:rStyle w:val="normaltextrun"/>
          <w:lang w:val="en-GB"/>
        </w:rPr>
        <w:t xml:space="preserve">here is an increasing rate of </w:t>
      </w:r>
      <w:r w:rsidR="2FF693CC" w:rsidRPr="5575EBFC">
        <w:rPr>
          <w:rStyle w:val="normaltextrun"/>
          <w:lang w:val="en-GB"/>
        </w:rPr>
        <w:t xml:space="preserve">escapes </w:t>
      </w:r>
      <w:r w:rsidR="0FF126AF" w:rsidRPr="5575EBFC">
        <w:rPr>
          <w:rStyle w:val="normaltextrun"/>
          <w:lang w:val="en-GB"/>
        </w:rPr>
        <w:t xml:space="preserve">from ornamental cultivation into </w:t>
      </w:r>
      <w:r w:rsidR="33B1D30E" w:rsidRPr="5575EBFC">
        <w:rPr>
          <w:rStyle w:val="normaltextrun"/>
          <w:lang w:val="en-GB"/>
        </w:rPr>
        <w:t>the wild</w:t>
      </w:r>
      <w:r w:rsidR="0FF126AF" w:rsidRPr="5575EBFC">
        <w:rPr>
          <w:rStyle w:val="normaltextrun"/>
          <w:lang w:val="en-GB"/>
        </w:rPr>
        <w:t xml:space="preserve"> </w:t>
      </w:r>
      <w:r w:rsidR="00A87B6B" w:rsidRPr="5575EBFC">
        <w:rPr>
          <w:rStyle w:val="normaltextrun"/>
          <w:lang w:val="en-GB"/>
        </w:rPr>
        <w:fldChar w:fldCharType="begin"/>
      </w:r>
      <w:r w:rsidR="00331A79">
        <w:rPr>
          <w:rStyle w:val="normaltextrun"/>
          <w:lang w:val="en-GB"/>
        </w:rPr>
        <w:instrText xml:space="preserve"> ADDIN ZOTERO_ITEM CSL_CITATION {"citationID":"vPwwQ5GJ","properties":{"formattedCitation":"(Haeuser et al., 2018; van Kleunen et al., 2018)","plainCitation":"(Haeuser et al., 2018; van Kleunen et al., 2018)","noteIndex":0},"citationItems":[{"id":27227,"uris":["http://zotero.org/groups/2352922/items/ZIL2TBHZ"],"itemData":{"id":27227,"type":"article-journal","container-title":"Journal of Applied Ecology","DOI":"10.1111/1365-2664.13197","issue":"5","note":"number: 5","page":"2386-2395","title":"European ornamental garden flora as an invasion debt under climate change","URL":"http://doi.wiley.com/10.1111/1365-2664.13197","volume":"55","author":[{"family":"Haeuser","given":"Emily"},{"family":"Dawson","given":"Wayne"},{"family":"Thuiller","given":"Wilfried"},{"family":"Dullinger","given":"Stefan"},{"family":"Block","given":"Svenja"},{"family":"Bossdorf","given":"Oliver"},{"family":"Carboni","given":"Marta"},{"family":"Conti","given":"Luisa"},{"family":"Dullinger","given":"Iwona"},{"family":"Essl","given":"Franz"},{"family":"Klonner","given":"Günther"},{"family":"Moser","given":"Dietmar"},{"family":"Münkemüller","given":"Tamara"},{"family":"Parepa","given":"Madalin"},{"family":"Talluto","given":"Matthew V."},{"family":"Kreft","given":"Holger"},{"family":"Pergl","given":"Jan"},{"family":"Pyšek","given":"Petr"},{"family":"Weigelt","given":"Patrick"},{"family":"Winter","given":"Marten"},{"family":"Hermy","given":"Martin"},{"family":"Van der Veken","given":"Sebastiaan"},{"family":"Roquet","given":"Cristina"},{"family":"Kleunen","given":"Mark","non-dropping-particle":"van"}],"editor":[{"family":"Zenni","given":"Rafael"}],"issued":{"date-parts":[["2018",9]]}}},{"id":32866,"uris":["http://zotero.org/groups/2352922/items/ZBAA6AZ6"],"itemData":{"id":32866,"type":"article-journal","abstract":"The number of alien plants escaping from cultivation into native ecosystems is increasing steadily. We provide an overview of the historical, contemporary and potential future roles of ornamental horticulture in plant invasions. We show that currently at least 75% and 93% of the global naturalised alien ﬂora is grown in domestic and botanical gardens, respectively. Species grown in gardens also have a larger naturalised range than those that are not. After the Middle Ages, particularly in the 18th and 19th centuries, a global trade network in plants emerged. Since then, cultivated alien species also started to appear in the wild more frequently than non-cultivated aliens globally, particularly during the 19th century. Horticulture still plays a prominent role in current plant introduction, and the monetary value of live-plant imports in different parts of the world is steadily increasing. Historically, botanical gardens – an important component of horticulture – played a major role in displaying, cultivating and distributing new plant discoveries. While the role of botanical gardens in the horticultural supply chain has declined, they are still a signiﬁcant link, with one-third of institutions involved in retail-plant sales and horticultural research. However, botanical gardens have also become more dependent on commercial nurseries as plant sources, particularly in North America. Plants selected for ornamental purposes are not a random selection of the global ﬂora, and some of the plant characteristics promoted through horticulture, such as fast growth, also promote invasion. Efforts to breed non-invasive plant cultivars are still rare. Socio-economical, technological, and environmental changes will lead to novel patterns of plant introductions and invasion opportunities for the species that are already cultivated. We describe the role that horticulture could play in mediating these changes. We identify current research challenges, and call for more research efforts on the past and current role of horticulture in plant invasions. This is required to develop science-based regulatory frameworks to prevent further plant invasions.","container-title":"Biological Reviews","DOI":"10.1111/brv.12402","ISSN":"14647931","issue":"3","journalAbbreviation":"Biol Rev","language":"en","page":"1421-1437","source":"DOI.org (Crossref)","title":"The changing role of ornamental horticulture in alien plant invasions","title-short":"The changing role of ornamental horticulture in alien plant invasions","URL":"https://onlinelibrary.wiley.com/doi/10.1111/brv.12402","volume":"93","author":[{"family":"Kleunen","given":"Mark","non-dropping-particle":"van"},{"family":"Essl","given":"Franz"},{"family":"Pergl","given":"Jan"},{"family":"Brundu","given":"Giuseppe"},{"family":"Carboni","given":"Marta"},{"family":"Dullinger","given":"Stefan"},{"family":"Early","given":"Regan"},{"family":"González-Moreno","given":"Pablo"},{"family":"Groom","given":"Quentin J."},{"family":"Hulme","given":"Philip E."},{"family":"Kueffer","given":"Christoph"},{"family":"Kühn","given":"Ingolf"},{"family":"Máguas","given":"Cristina"},{"family":"Maurel","given":"Noëlie"},{"family":"Novoa","given":"Ana"},{"family":"Parepa","given":"Madalin"},{"family":"Pyšek","given":"Petr"},{"family":"Seebens","given":"Hanno"},{"family":"Tanner","given":"Rob"},{"family":"Touza","given":"Julia"},{"family":"Verbrugge","given":"Laura"},{"family":"Weber","given":"Ewald"},{"family":"Dawson","given":"Wayne"},{"family":"Kreft","given":"Holger"},{"family":"Weigelt","given":"Patrick"},{"family":"Winter","given":"Marten"},{"family":"Klonner","given":"Günther"},{"family":"Talluto","given":"Matthew V."},{"family":"Dehnen-Schmutz","given":"Katharina"}],"accessed":{"date-parts":[["2021",7,27]]},"issued":{"date-parts":[["2018",8]]}}}],"schema":"https://github.com/citation-style-language/schema/raw/master/csl-citation.json"} </w:instrText>
      </w:r>
      <w:r w:rsidR="00A87B6B" w:rsidRPr="5575EBFC">
        <w:rPr>
          <w:rStyle w:val="normaltextrun"/>
          <w:lang w:val="en-GB"/>
        </w:rPr>
        <w:fldChar w:fldCharType="separate"/>
      </w:r>
      <w:r w:rsidR="6B5F9B9E">
        <w:t>(Haeuser et al., 2018; van Kleunen et al., 2018)</w:t>
      </w:r>
      <w:r w:rsidR="00A87B6B" w:rsidRPr="5575EBFC">
        <w:rPr>
          <w:rStyle w:val="normaltextrun"/>
          <w:lang w:val="en-GB"/>
        </w:rPr>
        <w:fldChar w:fldCharType="end"/>
      </w:r>
      <w:r w:rsidR="0FF126AF" w:rsidRPr="5575EBFC">
        <w:rPr>
          <w:rStyle w:val="normaltextrun"/>
          <w:lang w:val="en-GB"/>
        </w:rPr>
        <w:t xml:space="preserve">, </w:t>
      </w:r>
      <w:r w:rsidR="00DF30EF">
        <w:rPr>
          <w:rStyle w:val="normaltextrun"/>
          <w:lang w:val="en-GB"/>
        </w:rPr>
        <w:t xml:space="preserve">with </w:t>
      </w:r>
      <w:r w:rsidR="0FF126AF" w:rsidRPr="5575EBFC">
        <w:rPr>
          <w:rStyle w:val="normaltextrun"/>
          <w:lang w:val="en-GB"/>
        </w:rPr>
        <w:t>at least 75</w:t>
      </w:r>
      <w:r w:rsidR="4804CF9A" w:rsidRPr="5575EBFC">
        <w:rPr>
          <w:rStyle w:val="normaltextrun"/>
          <w:lang w:val="en-GB"/>
        </w:rPr>
        <w:t xml:space="preserve"> per cent</w:t>
      </w:r>
      <w:r w:rsidR="0FF126AF" w:rsidRPr="5575EBFC">
        <w:rPr>
          <w:rStyle w:val="normaltextrun"/>
          <w:lang w:val="en-GB"/>
        </w:rPr>
        <w:t xml:space="preserve"> of the global </w:t>
      </w:r>
      <w:r w:rsidR="5F1EDB17" w:rsidRPr="5575EBFC">
        <w:rPr>
          <w:rStyle w:val="normaltextrun"/>
          <w:lang w:val="en-GB"/>
        </w:rPr>
        <w:t>established</w:t>
      </w:r>
      <w:r w:rsidR="0FF126AF" w:rsidRPr="5575EBFC">
        <w:rPr>
          <w:rStyle w:val="normaltextrun"/>
          <w:lang w:val="en-GB"/>
        </w:rPr>
        <w:t xml:space="preserve"> alien flora grown in domestic </w:t>
      </w:r>
      <w:r w:rsidR="729D64A4" w:rsidRPr="5575EBFC">
        <w:rPr>
          <w:rStyle w:val="normaltextrun"/>
          <w:lang w:val="en-GB"/>
        </w:rPr>
        <w:t xml:space="preserve">gardens, </w:t>
      </w:r>
      <w:r w:rsidR="0FF126AF" w:rsidRPr="5575EBFC">
        <w:rPr>
          <w:rStyle w:val="normaltextrun"/>
          <w:lang w:val="en-GB"/>
        </w:rPr>
        <w:t>and</w:t>
      </w:r>
      <w:r w:rsidR="729D64A4" w:rsidRPr="5575EBFC">
        <w:rPr>
          <w:rStyle w:val="normaltextrun"/>
          <w:lang w:val="en-GB"/>
        </w:rPr>
        <w:t xml:space="preserve"> 95 per cent grown in </w:t>
      </w:r>
      <w:r w:rsidR="0FF126AF" w:rsidRPr="5575EBFC">
        <w:rPr>
          <w:rStyle w:val="normaltextrun"/>
          <w:lang w:val="en-GB"/>
        </w:rPr>
        <w:t xml:space="preserve">botanical gardens </w:t>
      </w:r>
      <w:r w:rsidR="00A87B6B" w:rsidRPr="5575EBFC">
        <w:rPr>
          <w:rStyle w:val="normaltextrun"/>
          <w:lang w:val="en-GB"/>
        </w:rPr>
        <w:fldChar w:fldCharType="begin"/>
      </w:r>
      <w:r w:rsidR="00331A79">
        <w:rPr>
          <w:rStyle w:val="normaltextrun"/>
          <w:lang w:val="en-GB"/>
        </w:rPr>
        <w:instrText xml:space="preserve"> ADDIN ZOTERO_ITEM CSL_CITATION {"citationID":"lw9Wfb24","properties":{"formattedCitation":"(van Kleunen et al., 2018)","plainCitation":"(van Kleunen et al., 2018)","noteIndex":0},"citationItems":[{"id":32866,"uris":["http://zotero.org/groups/2352922/items/ZBAA6AZ6"],"itemData":{"id":32866,"type":"article-journal","abstract":"The number of alien plants escaping from cultivation into native ecosystems is increasing steadily. We provide an overview of the historical, contemporary and potential future roles of ornamental horticulture in plant invasions. We show that currently at least 75% and 93% of the global naturalised alien ﬂora is grown in domestic and botanical gardens, respectively. Species grown in gardens also have a larger naturalised range than those that are not. After the Middle Ages, particularly in the 18th and 19th centuries, a global trade network in plants emerged. Since then, cultivated alien species also started to appear in the wild more frequently than non-cultivated aliens globally, particularly during the 19th century. Horticulture still plays a prominent role in current plant introduction, and the monetary value of live-plant imports in different parts of the world is steadily increasing. Historically, botanical gardens – an important component of horticulture – played a major role in displaying, cultivating and distributing new plant discoveries. While the role of botanical gardens in the horticultural supply chain has declined, they are still a signiﬁcant link, with one-third of institutions involved in retail-plant sales and horticultural research. However, botanical gardens have also become more dependent on commercial nurseries as plant sources, particularly in North America. Plants selected for ornamental purposes are not a random selection of the global ﬂora, and some of the plant characteristics promoted through horticulture, such as fast growth, also promote invasion. Efforts to breed non-invasive plant cultivars are still rare. Socio-economical, technological, and environmental changes will lead to novel patterns of plant introductions and invasion opportunities for the species that are already cultivated. We describe the role that horticulture could play in mediating these changes. We identify current research challenges, and call for more research efforts on the past and current role of horticulture in plant invasions. This is required to develop science-based regulatory frameworks to prevent further plant invasions.","container-title":"Biological Reviews","DOI":"10.1111/brv.12402","ISSN":"14647931","issue":"3","journalAbbreviation":"Biol Rev","language":"en","page":"1421-1437","source":"DOI.org (Crossref)","title":"The changing role of ornamental horticulture in alien plant invasions","title-short":"The changing role of ornamental horticulture in alien plant invasions","URL":"https://onlinelibrary.wiley.com/doi/10.1111/brv.12402","volume":"93","author":[{"family":"Kleunen","given":"Mark","non-dropping-particle":"van"},{"family":"Essl","given":"Franz"},{"family":"Pergl","given":"Jan"},{"family":"Brundu","given":"Giuseppe"},{"family":"Carboni","given":"Marta"},{"family":"Dullinger","given":"Stefan"},{"family":"Early","given":"Regan"},{"family":"González-Moreno","given":"Pablo"},{"family":"Groom","given":"Quentin J."},{"family":"Hulme","given":"Philip E."},{"family":"Kueffer","given":"Christoph"},{"family":"Kühn","given":"Ingolf"},{"family":"Máguas","given":"Cristina"},{"family":"Maurel","given":"Noëlie"},{"family":"Novoa","given":"Ana"},{"family":"Parepa","given":"Madalin"},{"family":"Pyšek","given":"Petr"},{"family":"Seebens","given":"Hanno"},{"family":"Tanner","given":"Rob"},{"family":"Touza","given":"Julia"},{"family":"Verbrugge","given":"Laura"},{"family":"Weber","given":"Ewald"},{"family":"Dawson","given":"Wayne"},{"family":"Kreft","given":"Holger"},{"family":"Weigelt","given":"Patrick"},{"family":"Winter","given":"Marten"},{"family":"Klonner","given":"Günther"},{"family":"Talluto","given":"Matthew V."},{"family":"Dehnen-Schmutz","given":"Katharina"}],"accessed":{"date-parts":[["2021",7,27]]},"issued":{"date-parts":[["2018",8]]}}}],"schema":"https://github.com/citation-style-language/schema/raw/master/csl-citation.json"} </w:instrText>
      </w:r>
      <w:r w:rsidR="00A87B6B" w:rsidRPr="5575EBFC">
        <w:rPr>
          <w:rStyle w:val="normaltextrun"/>
          <w:lang w:val="en-GB"/>
        </w:rPr>
        <w:fldChar w:fldCharType="separate"/>
      </w:r>
      <w:r w:rsidR="6B5F9B9E">
        <w:t>(van Kleunen et al., 2018)</w:t>
      </w:r>
      <w:r w:rsidR="00A87B6B" w:rsidRPr="5575EBFC">
        <w:rPr>
          <w:rStyle w:val="normaltextrun"/>
          <w:lang w:val="en-GB"/>
        </w:rPr>
        <w:fldChar w:fldCharType="end"/>
      </w:r>
      <w:r w:rsidR="0FF126AF" w:rsidRPr="5575EBFC">
        <w:rPr>
          <w:rStyle w:val="normaltextrun"/>
          <w:lang w:val="en-GB"/>
        </w:rPr>
        <w:t xml:space="preserve">. In some </w:t>
      </w:r>
      <w:r w:rsidR="0FF126AF" w:rsidRPr="5575EBFC">
        <w:rPr>
          <w:rStyle w:val="normaltextrun"/>
          <w:lang w:val="en-GB"/>
        </w:rPr>
        <w:lastRenderedPageBreak/>
        <w:t xml:space="preserve">countries (e.g., </w:t>
      </w:r>
      <w:r w:rsidR="47145273" w:rsidRPr="5575EBFC">
        <w:rPr>
          <w:rStyle w:val="normaltextrun"/>
          <w:lang w:val="en-GB"/>
        </w:rPr>
        <w:t>United Kingdom</w:t>
      </w:r>
      <w:r w:rsidR="0FF126AF" w:rsidRPr="5575EBFC">
        <w:rPr>
          <w:rStyle w:val="normaltextrun"/>
          <w:lang w:val="en-GB"/>
        </w:rPr>
        <w:t xml:space="preserve">, New Zealand) </w:t>
      </w:r>
      <w:r w:rsidR="2AC951A7" w:rsidRPr="5575EBFC">
        <w:rPr>
          <w:rStyle w:val="normaltextrun"/>
          <w:lang w:val="en-GB"/>
        </w:rPr>
        <w:t xml:space="preserve">the number of </w:t>
      </w:r>
      <w:r w:rsidR="0FF126AF" w:rsidRPr="5575EBFC">
        <w:rPr>
          <w:rStyle w:val="normaltextrun"/>
          <w:lang w:val="en-GB"/>
        </w:rPr>
        <w:t xml:space="preserve">species in cultivation exceed </w:t>
      </w:r>
      <w:r w:rsidR="729D64A4" w:rsidRPr="5575EBFC">
        <w:rPr>
          <w:rStyle w:val="normaltextrun"/>
          <w:lang w:val="en-GB"/>
        </w:rPr>
        <w:t xml:space="preserve">the number of </w:t>
      </w:r>
      <w:r w:rsidR="0FF126AF" w:rsidRPr="5575EBFC">
        <w:rPr>
          <w:rStyle w:val="normaltextrun"/>
          <w:lang w:val="en-GB"/>
        </w:rPr>
        <w:t xml:space="preserve">native species in the wild </w:t>
      </w:r>
      <w:r w:rsidR="00A87B6B" w:rsidRPr="5575EBFC">
        <w:rPr>
          <w:rStyle w:val="normaltextrun"/>
          <w:lang w:val="en-GB"/>
        </w:rPr>
        <w:fldChar w:fldCharType="begin"/>
      </w:r>
      <w:r w:rsidR="00F5121E">
        <w:rPr>
          <w:rStyle w:val="normaltextrun"/>
          <w:lang w:val="en-GB"/>
        </w:rPr>
        <w:instrText xml:space="preserve"> ADDIN ZOTERO_ITEM CSL_CITATION {"citationID":"5xwjr9lG","properties":{"formattedCitation":"(Armitage et al., 2016; Gaddum, 1999; Hulme, 2020)","plainCitation":"(Armitage et al., 2016; Gaddum, 1999; Hulme, 2020)","noteIndex":0},"citationItems":[{"id":32366,"uris":["http://zotero.org/groups/2352922/items/7YGAFT3J"],"itemData":{"id":32366,"type":"book","ISBN":"978-1-907057-66-3","publisher":"Wisley: Royal Horticultural Society","title":"RHS plant finder","author":[{"family":"Armitage","given":"J."},{"family":"Edwards","given":"D."},{"family":"Konyves","given":"K."},{"family":"Lancaster","given":"N."},{"family":"Marshall","given":"R."},{"family":"Cubey","given":"J."},{"family":"Merrick","given":"J."}],"issued":{"date-parts":[["2016"]]}},"label":"page"},{"id":32365,"uris":["http://zotero.org/groups/2352922/items/EVPDILW7"],"itemData":{"id":32365,"type":"book","event-place":"Gisborne, NZ","ISBN":"978-0-473-06210-1","publisher":"New Zealand Plant Finder","publisher-place":"Gisborne, NZ","title":"Gaddum's plant finder 2000 Where to buy 30,000 plants &amp; seeds","author":[{"family":"Gaddum","given":"M."}],"issued":{"date-parts":[["1999"]]}},"label":"page"},{"id":25034,"uris":["http://zotero.org/groups/2352922/items/DVL2HVNP"],"itemData":{"id":25034,"type":"article-journal","abstract":"The number of non-native plant species established outside of cultivation in the New Zealand archipelago is higher than for any other islands worldwide. Faced with this scale of plant invasions, there has been considerable investment in the scientific and operational aspects of prevention, eradication and control. As a result, New Zealand is ideally placed to illustrate the many challenges that plant invasions present worldwide as well as the possible solutions. New Zealand has been at the forefront of biosecurity policy developments to tackle plant invasions being one of the first countries to: (a) implement national legislation to address the management of non-native plants; (b) establish a national permitted list (white-list) for plant imports; and (c) introduce bans on the sale, distribution, or propagation of non-native plant species. However, these preventative measure are only effective where there are also adequate border inspection regimes, compliance monitoring of the horticulture industry, and surveillance of internet trade. While New Zealand has successfully eradicated several non-native plant species from its territory, the small number of successes reflects the short-term, local and often uncoordinated efforts to manage non-native plants rather than national programmes backed by legislation and financed over several decades. New Zealand supports a world-leading biological control programme, but this has led to sustained, large-scale control for only a handful of species. In natural areas, most management attempts using mechanical or herbicide treatments have failed to achieve control and there has been a progressive reduction in the area, and frequency of these programmes over time. This is illustrative of the challenges facing those responsible for managing non-native plants in any region of the world. A general insight is that a shift in mindset is required that overcomes significant cognitive biases that include succumbing to the pressure to always intervene, underestimating the non-linear trajectories of invasions, failing to articulate the values at stake, and underestimating the time programmes require to succeed. Important lessons of global relevance include the need for managers to: (a) recognise when and where sleeper weeds are likely to become a national issue, especially as a result of climate change; (b) quantify impacts on those values that stakeholders most cherish rather than those that are easy to measure; (c) provide accurate estimates of the potential future extent of the invasion in the absence of management; and (d) identify clear indicators of successful progress over the course of a long-term management programme.","container-title":"Biological Invasions","DOI":"10.1007/s10530-020-02224-6","ISSN":"1573-1464","issue":"5","journalAbbreviation":"Biol Invasions","language":"en","page":"1539-1562","source":"Springer Link","title":"Plant invasions in New Zealand: global lessons in prevention, eradication and control","title-short":"Plant invasions in New Zealand","URL":"https://doi.org/10.1007/s10530-020-02224-6","volume":"22","author":[{"family":"Hulme","given":"Philip E."}],"accessed":{"date-parts":[["2021",3,24]]},"issued":{"date-parts":[["2020",5,1]]}}}],"schema":"https://github.com/citation-style-language/schema/raw/master/csl-citation.json"} </w:instrText>
      </w:r>
      <w:r w:rsidR="00A87B6B" w:rsidRPr="5575EBFC">
        <w:rPr>
          <w:rStyle w:val="normaltextrun"/>
          <w:lang w:val="en-GB"/>
        </w:rPr>
        <w:fldChar w:fldCharType="separate"/>
      </w:r>
      <w:r w:rsidR="6B5F9B9E">
        <w:t>(Armitage et al., 2016; Gaddum, 1999; Hulme, 2020)</w:t>
      </w:r>
      <w:r w:rsidR="00A87B6B" w:rsidRPr="5575EBFC">
        <w:rPr>
          <w:rStyle w:val="normaltextrun"/>
          <w:lang w:val="en-GB"/>
        </w:rPr>
        <w:fldChar w:fldCharType="end"/>
      </w:r>
      <w:r w:rsidR="0FF126AF" w:rsidRPr="5575EBFC">
        <w:rPr>
          <w:rStyle w:val="normaltextrun"/>
          <w:lang w:val="en-GB"/>
        </w:rPr>
        <w:t>, and in some</w:t>
      </w:r>
      <w:r w:rsidR="55EC6931" w:rsidRPr="5575EBFC">
        <w:rPr>
          <w:rStyle w:val="normaltextrun"/>
          <w:lang w:val="en-GB"/>
        </w:rPr>
        <w:t>,</w:t>
      </w:r>
      <w:r w:rsidR="0FF126AF" w:rsidRPr="5575EBFC">
        <w:rPr>
          <w:rStyle w:val="normaltextrun"/>
          <w:lang w:val="en-GB"/>
        </w:rPr>
        <w:t xml:space="preserve"> such as the United States</w:t>
      </w:r>
      <w:r w:rsidR="55EC6931" w:rsidRPr="5575EBFC">
        <w:rPr>
          <w:rStyle w:val="normaltextrun"/>
          <w:lang w:val="en-GB"/>
        </w:rPr>
        <w:t>,</w:t>
      </w:r>
      <w:r w:rsidR="0FF126AF" w:rsidRPr="5575EBFC">
        <w:rPr>
          <w:rStyle w:val="normaltextrun"/>
          <w:lang w:val="en-GB"/>
        </w:rPr>
        <w:t xml:space="preserve"> </w:t>
      </w:r>
      <w:r w:rsidR="6A087330" w:rsidRPr="5575EBFC">
        <w:rPr>
          <w:rStyle w:val="normaltextrun"/>
          <w:lang w:val="en-GB"/>
        </w:rPr>
        <w:t>alien species</w:t>
      </w:r>
      <w:r w:rsidR="0FF126AF" w:rsidRPr="5575EBFC">
        <w:rPr>
          <w:rStyle w:val="normaltextrun"/>
          <w:lang w:val="en-GB"/>
        </w:rPr>
        <w:t xml:space="preserve"> form the bulk of nursery stock </w:t>
      </w:r>
      <w:r w:rsidR="00A87B6B" w:rsidRPr="5575EBFC">
        <w:rPr>
          <w:rStyle w:val="normaltextrun"/>
          <w:lang w:val="en-GB"/>
        </w:rPr>
        <w:fldChar w:fldCharType="begin"/>
      </w:r>
      <w:r w:rsidR="00331A79">
        <w:rPr>
          <w:rStyle w:val="normaltextrun"/>
          <w:lang w:val="en-GB"/>
        </w:rPr>
        <w:instrText xml:space="preserve"> ADDIN ZOTERO_ITEM CSL_CITATION {"citationID":"SrOQs69X","properties":{"formattedCitation":"(Brzuszek &amp; Harkess, 2009)","plainCitation":"(Brzuszek &amp; Harkess, 2009)","noteIndex":0},"citationItems":[{"id":32602,"uris":["http://zotero.org/groups/2352922/items/ZTQHU5YZ"],"itemData":{"id":32602,"type":"article-journal","abstract":"Recent studies have shown that the use of native plants by landscape architects and contractors in the southeastern United States has increased as has the clientele interest level in native plants. Recommendations to increase the use of native species by the landscape industry in this region include increasing the number of nurseries carrying native plants and the quantities and species currently available. To understand how green industry professionals view the opportunities and constraints of the current southeastern United States native plant market and to synthesize the connections between landscape architect's demands and the supplies of the nursery industry in this region, a questionnaire was developed and e-mailed to southeastern U.S. wholesale and retail nurseries in six states. The survey included questions regarding nursery stock, demand, and species sold. A total of 129 responses were received, and they revealed that while there is a perceived increase in customer interest in native plants, market demand and enhanced public education play a key role in further development of this growing market.","container-title":"HortTechnology","DOI":"10.21273/HORTSCI.19.1.168","ISSN":"1943-7714, 1063-0198","issue":"1","language":"en_US","note":"number: 1\npublisher: American Society for Horticultural Science\nsection: HortTechnology","page":"168-172","source":"journals.ashs.org","title":"Green Industry Survey of Native Plant Marketing in the Southeastern United States","URL":"https://journals.ashs.org/horttech/view/journals/horttech/19/1/article-p168.xml","volume":"19","author":[{"family":"Brzuszek","given":"Robert F."},{"family":"Harkess","given":"Richard L."}],"accessed":{"date-parts":[["2021",12,7]]},"issued":{"date-parts":[["2009",1,1]]}}}],"schema":"https://github.com/citation-style-language/schema/raw/master/csl-citation.json"} </w:instrText>
      </w:r>
      <w:r w:rsidR="00A87B6B" w:rsidRPr="5575EBFC">
        <w:rPr>
          <w:rStyle w:val="normaltextrun"/>
          <w:lang w:val="en-GB"/>
        </w:rPr>
        <w:fldChar w:fldCharType="separate"/>
      </w:r>
      <w:r w:rsidR="6B5F9B9E">
        <w:t>(Brzuszek &amp; Harkess, 2009)</w:t>
      </w:r>
      <w:r w:rsidR="00A87B6B" w:rsidRPr="5575EBFC">
        <w:rPr>
          <w:rStyle w:val="normaltextrun"/>
          <w:lang w:val="en-GB"/>
        </w:rPr>
        <w:fldChar w:fldCharType="end"/>
      </w:r>
      <w:r w:rsidR="0FF126AF" w:rsidRPr="5575EBFC">
        <w:rPr>
          <w:rStyle w:val="normaltextrun"/>
          <w:lang w:val="en-GB"/>
        </w:rPr>
        <w:t xml:space="preserve">. </w:t>
      </w:r>
      <w:r w:rsidR="6E9BC6CF" w:rsidRPr="5575EBFC">
        <w:rPr>
          <w:lang w:val="en-GB"/>
        </w:rPr>
        <w:t xml:space="preserve">Unintentional </w:t>
      </w:r>
      <w:r w:rsidR="0FF126AF" w:rsidRPr="5575EBFC">
        <w:rPr>
          <w:lang w:val="en-GB"/>
        </w:rPr>
        <w:t xml:space="preserve">introduction through seed contaminants associated with the intentional introduction of ornamental plants is regarded as the second most important source of invasive alien plants in the United States and has become increasingly important in recent years </w:t>
      </w:r>
      <w:r w:rsidR="00A87B6B" w:rsidRPr="5575EBFC">
        <w:rPr>
          <w:lang w:val="en-GB"/>
        </w:rPr>
        <w:fldChar w:fldCharType="begin"/>
      </w:r>
      <w:r w:rsidR="00331A79">
        <w:rPr>
          <w:lang w:val="en-GB"/>
        </w:rPr>
        <w:instrText xml:space="preserve"> ADDIN ZOTERO_ITEM CSL_CITATION {"citationID":"0lsruljK","properties":{"formattedCitation":"(Lehan et al., 2013)","plainCitation":"(Lehan et al., 2013)","noteIndex":0},"citationItems":[{"id":32317,"uris":["http://zotero.org/groups/2352922/items/9BLQKY8U"],"itemData":{"id":32317,"type":"article-journal","container-title":"American Journal of Botany","DOI":"10.3732/ajb.1300061","ISSN":"00029122","issue":"7","journalAbbreviation":"American Journal of Botany","language":"en","page":"1287-1293","source":"DOI.org (Crossref)","title":"Accidental introductions are an important source of invasive plants in the continental United States","URL":"http://doi.wiley.com/10.3732/ajb.1300061","volume":"100","author":[{"family":"Lehan","given":"Nora E."},{"family":"Murphy","given":"Julia R."},{"family":"Thorburn","given":"Lukas P."},{"family":"Bradley","given":"Bethany A."}],"accessed":{"date-parts":[["2019",12,2]]},"issued":{"date-parts":[["2013",7]]}}}],"schema":"https://github.com/citation-style-language/schema/raw/master/csl-citation.json"} </w:instrText>
      </w:r>
      <w:r w:rsidR="00A87B6B" w:rsidRPr="5575EBFC">
        <w:rPr>
          <w:lang w:val="en-GB"/>
        </w:rPr>
        <w:fldChar w:fldCharType="separate"/>
      </w:r>
      <w:r w:rsidR="6B5F9B9E">
        <w:t>(Lehan et al., 2013)</w:t>
      </w:r>
      <w:r w:rsidR="00A87B6B" w:rsidRPr="5575EBFC">
        <w:rPr>
          <w:lang w:val="en-GB"/>
        </w:rPr>
        <w:fldChar w:fldCharType="end"/>
      </w:r>
      <w:r w:rsidR="0FF126AF" w:rsidRPr="5575EBFC">
        <w:rPr>
          <w:lang w:val="en-GB"/>
        </w:rPr>
        <w:t xml:space="preserve">. </w:t>
      </w:r>
      <w:r w:rsidR="21E62EF3" w:rsidRPr="5575EBFC">
        <w:rPr>
          <w:rStyle w:val="normaltextrun"/>
          <w:lang w:val="en-GB"/>
        </w:rPr>
        <w:t xml:space="preserve">Horticulture was also the primary pathway </w:t>
      </w:r>
      <w:r w:rsidR="11D18775" w:rsidRPr="5575EBFC">
        <w:rPr>
          <w:lang w:val="en-GB" w:eastAsia="en-NZ"/>
        </w:rPr>
        <w:t>(</w:t>
      </w:r>
      <w:r w:rsidR="00E23B69">
        <w:rPr>
          <w:b/>
          <w:bCs/>
          <w:lang w:val="en-GB" w:eastAsia="en-NZ"/>
        </w:rPr>
        <w:t>Glossary</w:t>
      </w:r>
      <w:r w:rsidR="11D18775" w:rsidRPr="5575EBFC">
        <w:rPr>
          <w:lang w:val="en-GB" w:eastAsia="en-NZ"/>
        </w:rPr>
        <w:t xml:space="preserve">) </w:t>
      </w:r>
      <w:r w:rsidR="21E62EF3" w:rsidRPr="5575EBFC">
        <w:rPr>
          <w:rStyle w:val="normaltextrun"/>
          <w:lang w:val="en-GB"/>
        </w:rPr>
        <w:t xml:space="preserve">of alien introductions in Puerto Rico and the Virgin Islands </w:t>
      </w:r>
      <w:r w:rsidR="00A87B6B" w:rsidRPr="5575EBFC">
        <w:rPr>
          <w:rStyle w:val="normaltextrun"/>
          <w:lang w:val="en-GB"/>
        </w:rPr>
        <w:fldChar w:fldCharType="begin"/>
      </w:r>
      <w:r w:rsidR="00331A79">
        <w:rPr>
          <w:rStyle w:val="normaltextrun"/>
          <w:lang w:val="en-GB"/>
        </w:rPr>
        <w:instrText xml:space="preserve"> ADDIN ZOTERO_ITEM CSL_CITATION {"citationID":"RzpydF80","properties":{"formattedCitation":"(Rojas-Sandoval &amp; Acevedo-Rodr\\uc0\\u237{}guez, 2015)","plainCitation":"(Rojas-Sandoval &amp; Acevedo-Rodríguez, 2015)","noteIndex":0},"citationItems":[{"id":56596,"uris":["http://zotero.org/groups/2352922/items/GXHGAP76","http://zotero.org/groups/2352922/items/IF4Q4XDC"],"itemData":{"id":56596,"type":"article-journal","container-title":"Biological Invasions","DOI":"10.1007/s10530-014-0712-3","ISSN":"1387-3547, 1573-1464","issue":"1","journalAbbreviation":"Biol Invasions","language":"en","page":"149-163","source":"DOI.org (Crossref)","title":"Naturalization and invasion of alien plants in Puerto Rico and the Virgin Islands","URL":"http://link.springer.com/10.1007/s10530-014-0712-3","volume":"17","author":[{"family":"Rojas-Sandoval","given":"Julissa"},{"family":"Acevedo-Rodríguez","given":"Pedro"}],"accessed":{"date-parts":[["2023",6,8]]},"issued":{"date-parts":[["2015",1]]}}}],"schema":"https://github.com/citation-style-language/schema/raw/master/csl-citation.json"} </w:instrText>
      </w:r>
      <w:r w:rsidR="00A87B6B" w:rsidRPr="5575EBFC">
        <w:rPr>
          <w:rStyle w:val="normaltextrun"/>
          <w:lang w:val="en-GB"/>
        </w:rPr>
        <w:fldChar w:fldCharType="separate"/>
      </w:r>
      <w:r w:rsidR="6B5F9B9E">
        <w:t>(Rojas-Sandoval &amp; Acevedo-Rodríguez, 2015)</w:t>
      </w:r>
      <w:r w:rsidR="00A87B6B" w:rsidRPr="5575EBFC">
        <w:rPr>
          <w:rStyle w:val="normaltextrun"/>
          <w:lang w:val="en-GB"/>
        </w:rPr>
        <w:fldChar w:fldCharType="end"/>
      </w:r>
      <w:r w:rsidR="21E62EF3" w:rsidRPr="5575EBFC">
        <w:rPr>
          <w:rStyle w:val="normaltextrun"/>
          <w:lang w:val="en-GB"/>
        </w:rPr>
        <w:t>.</w:t>
      </w:r>
      <w:r w:rsidR="23BF2FFE" w:rsidRPr="5575EBFC">
        <w:rPr>
          <w:rStyle w:val="normaltextrun"/>
          <w:lang w:val="en-GB"/>
        </w:rPr>
        <w:t xml:space="preserve"> </w:t>
      </w:r>
      <w:r w:rsidR="0FF126AF" w:rsidRPr="5575EBFC">
        <w:rPr>
          <w:rStyle w:val="normaltextrun"/>
          <w:lang w:val="en-GB"/>
        </w:rPr>
        <w:t>In the West Indies, 75</w:t>
      </w:r>
      <w:r w:rsidR="4804CF9A" w:rsidRPr="5575EBFC">
        <w:rPr>
          <w:rStyle w:val="normaltextrun"/>
          <w:lang w:val="en-GB"/>
        </w:rPr>
        <w:t xml:space="preserve"> per cent</w:t>
      </w:r>
      <w:r w:rsidR="0FF126AF" w:rsidRPr="5575EBFC">
        <w:rPr>
          <w:rStyle w:val="normaltextrun"/>
          <w:lang w:val="en-GB"/>
        </w:rPr>
        <w:t xml:space="preserve"> of all invasive </w:t>
      </w:r>
      <w:r w:rsidR="02E00274" w:rsidRPr="5575EBFC">
        <w:rPr>
          <w:rStyle w:val="normaltextrun"/>
          <w:lang w:val="en-GB"/>
        </w:rPr>
        <w:t xml:space="preserve">alien </w:t>
      </w:r>
      <w:r w:rsidR="0FF126AF" w:rsidRPr="5575EBFC">
        <w:rPr>
          <w:rStyle w:val="normaltextrun"/>
          <w:lang w:val="en-GB"/>
        </w:rPr>
        <w:t xml:space="preserve">plants </w:t>
      </w:r>
      <w:r w:rsidR="02E00274" w:rsidRPr="5575EBFC">
        <w:rPr>
          <w:rStyle w:val="normaltextrun"/>
          <w:lang w:val="en-GB"/>
        </w:rPr>
        <w:t>have</w:t>
      </w:r>
      <w:r w:rsidR="0FF126AF" w:rsidRPr="5575EBFC">
        <w:rPr>
          <w:rStyle w:val="normaltextrun"/>
          <w:lang w:val="en-GB"/>
        </w:rPr>
        <w:t xml:space="preserve"> escaped from cultivation, and </w:t>
      </w:r>
      <w:r w:rsidR="54BAB3EF" w:rsidRPr="5575EBFC">
        <w:rPr>
          <w:lang w:val="en-GB"/>
        </w:rPr>
        <w:t xml:space="preserve">51 per cent of </w:t>
      </w:r>
      <w:r w:rsidR="6BE1A590" w:rsidRPr="5575EBFC">
        <w:rPr>
          <w:lang w:val="en-GB"/>
        </w:rPr>
        <w:t xml:space="preserve">all </w:t>
      </w:r>
      <w:r w:rsidR="54BAB3EF" w:rsidRPr="5575EBFC">
        <w:rPr>
          <w:lang w:val="en-GB"/>
        </w:rPr>
        <w:t>introductions are through the ornamental pathway</w:t>
      </w:r>
      <w:r w:rsidR="00DF30EF">
        <w:rPr>
          <w:lang w:val="en-GB"/>
        </w:rPr>
        <w:t xml:space="preserve"> </w:t>
      </w:r>
      <w:r w:rsidR="00A87B6B" w:rsidRPr="5575EBFC">
        <w:rPr>
          <w:rStyle w:val="normaltextrun"/>
          <w:lang w:val="en-GB"/>
        </w:rPr>
        <w:fldChar w:fldCharType="begin"/>
      </w:r>
      <w:r w:rsidR="00331A79">
        <w:rPr>
          <w:rStyle w:val="normaltextrun"/>
          <w:lang w:val="en-GB"/>
        </w:rPr>
        <w:instrText xml:space="preserve"> ADDIN ZOTERO_ITEM CSL_CITATION {"citationID":"gmCuIHvY","properties":{"formattedCitation":"(Rojas-Sandoval et al., 2017)","plainCitation":"(Rojas-Sandoval et al., 2017)","noteIndex":0},"citationItems":[{"id":32364,"uris":["http://zotero.org/groups/2352922/items/WGACRSPP"],"itemData":{"id":32364,"type":"article-journal","container-title":"Ecology and Evolution","DOI":"10.1002/ece3.2984","ISSN":"2045-7758, 2045-7758","issue":"13","journalAbbreviation":"Ecol Evol","language":"en","page":"4522-4533","source":"DOI.org (Crossref)","title":"Invasive plant species in the West Indies: geographical, ecological, and floristic insights","title-short":"Invasive plant species in the West Indies","URL":"https://onlinelibrary.wiley.com/doi/10.1002/ece3.2984","volume":"7</w:instrText>
      </w:r>
      <w:r w:rsidR="00331A79">
        <w:rPr>
          <w:rStyle w:val="normaltextrun"/>
          <w:rFonts w:hint="eastAsia"/>
          <w:lang w:val="en-GB"/>
        </w:rPr>
        <w:instrText>","author":[{"family":"Rojas-Sandoval","given":"Julissa"},{"family":"Tremblay","given":"Raymond L."},{"family":"Acevedo</w:instrText>
      </w:r>
      <w:r w:rsidR="00331A79">
        <w:rPr>
          <w:rStyle w:val="normaltextrun"/>
          <w:rFonts w:hint="eastAsia"/>
          <w:lang w:val="en-GB"/>
        </w:rPr>
        <w:instrText>‐</w:instrText>
      </w:r>
      <w:r w:rsidR="00331A79">
        <w:rPr>
          <w:rStyle w:val="normaltextrun"/>
          <w:rFonts w:hint="eastAsia"/>
          <w:lang w:val="en-GB"/>
        </w:rPr>
        <w:instrText>Rodríguez","given":"Pedro"},{"family":"Díaz</w:instrText>
      </w:r>
      <w:r w:rsidR="00331A79">
        <w:rPr>
          <w:rStyle w:val="normaltextrun"/>
          <w:rFonts w:hint="eastAsia"/>
          <w:lang w:val="en-GB"/>
        </w:rPr>
        <w:instrText>‐</w:instrText>
      </w:r>
      <w:r w:rsidR="00331A79">
        <w:rPr>
          <w:rStyle w:val="normaltextrun"/>
          <w:rFonts w:hint="eastAsia"/>
          <w:lang w:val="en-GB"/>
        </w:rPr>
        <w:instrText>Soltero","given":"Hilda"}],"accessed":{"date-parts":[["2021",12,10]]},"issued":{"date-parts</w:instrText>
      </w:r>
      <w:r w:rsidR="00331A79">
        <w:rPr>
          <w:rStyle w:val="normaltextrun"/>
          <w:lang w:val="en-GB"/>
        </w:rPr>
        <w:instrText xml:space="preserve">":[["2017",7]]}}}],"schema":"https://github.com/citation-style-language/schema/raw/master/csl-citation.json"} </w:instrText>
      </w:r>
      <w:r w:rsidR="00A87B6B" w:rsidRPr="5575EBFC">
        <w:rPr>
          <w:rStyle w:val="normaltextrun"/>
          <w:lang w:val="en-GB"/>
        </w:rPr>
        <w:fldChar w:fldCharType="separate"/>
      </w:r>
      <w:r w:rsidR="6B5F9B9E">
        <w:t>(Rojas-Sandoval et al., 2017)</w:t>
      </w:r>
      <w:r w:rsidR="00A87B6B" w:rsidRPr="5575EBFC">
        <w:rPr>
          <w:rStyle w:val="normaltextrun"/>
          <w:lang w:val="en-GB"/>
        </w:rPr>
        <w:fldChar w:fldCharType="end"/>
      </w:r>
      <w:r w:rsidR="0FF126AF" w:rsidRPr="5575EBFC">
        <w:rPr>
          <w:rStyle w:val="normaltextrun"/>
          <w:lang w:val="en-GB"/>
        </w:rPr>
        <w:t xml:space="preserve">. </w:t>
      </w:r>
    </w:p>
    <w:p w14:paraId="672DDCDB" w14:textId="6CF2A4BD" w:rsidR="00AF3504" w:rsidRPr="00DA249F" w:rsidRDefault="0FF126AF" w:rsidP="0090109B">
      <w:pPr>
        <w:rPr>
          <w:lang w:val="en-GB"/>
        </w:rPr>
      </w:pPr>
      <w:r w:rsidRPr="5575EBFC">
        <w:rPr>
          <w:lang w:val="en-GB"/>
        </w:rPr>
        <w:t xml:space="preserve">Ornamental and agricultural use is also a major source of aquatic plant invasions. </w:t>
      </w:r>
      <w:r w:rsidRPr="5575EBFC">
        <w:rPr>
          <w:rStyle w:val="eop"/>
          <w:lang w:val="en-GB"/>
        </w:rPr>
        <w:t xml:space="preserve">In </w:t>
      </w:r>
      <w:r w:rsidR="00542A94">
        <w:rPr>
          <w:rStyle w:val="eop"/>
          <w:lang w:val="en-GB"/>
        </w:rPr>
        <w:t xml:space="preserve">the People’s Republic of </w:t>
      </w:r>
      <w:r w:rsidRPr="5575EBFC">
        <w:rPr>
          <w:rStyle w:val="eop"/>
          <w:lang w:val="en-GB"/>
        </w:rPr>
        <w:t xml:space="preserve">China, </w:t>
      </w:r>
      <w:r w:rsidR="5230869A" w:rsidRPr="5575EBFC">
        <w:rPr>
          <w:rStyle w:val="eop"/>
          <w:lang w:val="en-GB"/>
        </w:rPr>
        <w:t>more than</w:t>
      </w:r>
      <w:r w:rsidRPr="5575EBFC">
        <w:rPr>
          <w:rStyle w:val="eop"/>
          <w:lang w:val="en-GB"/>
        </w:rPr>
        <w:t xml:space="preserve"> 50 alien freshwater aquatic plants have been introduced for ornamental, landscaping, water purification</w:t>
      </w:r>
      <w:r w:rsidR="69605D70" w:rsidRPr="5575EBFC">
        <w:rPr>
          <w:rStyle w:val="eop"/>
          <w:lang w:val="en-GB"/>
        </w:rPr>
        <w:t xml:space="preserve">, </w:t>
      </w:r>
      <w:r w:rsidRPr="5575EBFC">
        <w:rPr>
          <w:rStyle w:val="eop"/>
          <w:lang w:val="en-GB"/>
        </w:rPr>
        <w:t>forage</w:t>
      </w:r>
      <w:r w:rsidR="009F7404">
        <w:rPr>
          <w:rStyle w:val="eop"/>
          <w:lang w:val="en-GB"/>
        </w:rPr>
        <w:t xml:space="preserve"> and</w:t>
      </w:r>
      <w:r w:rsidRPr="5575EBFC">
        <w:rPr>
          <w:rStyle w:val="eop"/>
          <w:lang w:val="en-GB"/>
        </w:rPr>
        <w:t xml:space="preserve"> other purposes,</w:t>
      </w:r>
      <w:r w:rsidR="23BF2FFE" w:rsidRPr="5575EBFC">
        <w:rPr>
          <w:rStyle w:val="eop"/>
          <w:lang w:val="en-GB"/>
        </w:rPr>
        <w:t xml:space="preserve"> </w:t>
      </w:r>
      <w:r w:rsidR="5230869A" w:rsidRPr="5575EBFC">
        <w:rPr>
          <w:rStyle w:val="eop"/>
          <w:lang w:val="en-GB"/>
        </w:rPr>
        <w:t>around 20</w:t>
      </w:r>
      <w:r w:rsidR="4804CF9A" w:rsidRPr="5575EBFC">
        <w:rPr>
          <w:rStyle w:val="eop"/>
          <w:lang w:val="en-GB"/>
        </w:rPr>
        <w:t xml:space="preserve"> per cent</w:t>
      </w:r>
      <w:r w:rsidR="5230869A" w:rsidRPr="5575EBFC">
        <w:rPr>
          <w:rStyle w:val="eop"/>
          <w:lang w:val="en-GB"/>
        </w:rPr>
        <w:t xml:space="preserve"> of</w:t>
      </w:r>
      <w:r w:rsidRPr="5575EBFC">
        <w:rPr>
          <w:rStyle w:val="eop"/>
          <w:lang w:val="en-GB"/>
        </w:rPr>
        <w:t xml:space="preserve"> which are now considered invasive </w:t>
      </w:r>
      <w:r w:rsidR="00632DF0" w:rsidRPr="5575EBFC">
        <w:rPr>
          <w:rStyle w:val="eop"/>
          <w:lang w:val="en-GB"/>
        </w:rPr>
        <w:fldChar w:fldCharType="begin"/>
      </w:r>
      <w:r w:rsidR="00331A79">
        <w:rPr>
          <w:rStyle w:val="eop"/>
          <w:lang w:val="en-GB"/>
        </w:rPr>
        <w:instrText xml:space="preserve"> ADDIN ZOTERO_ITEM CSL_CITATION {"citationID":"Mj6EYCkC","properties":{"formattedCitation":"(Wu &amp; Ding, 2019)","plainCitation":"(Wu &amp; Ding, 2019)","noteIndex":0},"citationItems":[{"id":32763,"uris":["http://zotero.org/groups/2352922/items/GNF7SUJ5"],"itemData":{"id":32763,"type":"article-journal","abstract":"Many alien aquatic plants are deliberately introduced because they have economic, ornamental, or environmental values; however, they may also negatively affect aquatic ecosystems, by blocking rivers, restricting aquatic animals and plants by decreasing dissolved oxygen, and reducing native biodiversity. These positive and/or negative ecological effects may be enhanced under global change. Here, we examine the impacts of global change on aquatic alien plant introduction and/or invasions by reviewing their introduction pathways, distributions, and ecological effects. We focus on how climate change, aquatic environmental pollution, and China’s rapid economic growth in recent decades affect their uses and invasiveness in China. Among 55 species of alien aquatic plants in China, 10 species are invasive, such as Eichhornia crassipes, Alternanthera philoxeroides, and Pistia stratiotes. Most of these invaders were intentionally introduced and dispersed across the country but are now widely distributed and invasive. Under climate warming, many species have expanded their distributions to areas where it was originally too cold for their survival. Thus, these species are (and will be) considered to be beneﬁcial plants in aquaculture and for the restoration of aquatic ecosystems (for water puriﬁcation) across larger areas. However, for potential invasive species, climate warming is (and will be) increasing their invasion risk in more areas. In addition, nitrogen deposition and phosphorus inputs may also alter the status of some alien species. Furthermore, climate warming has shifted the interactions between alien aquatic plants and herbivores, thus impacting their future spreads. Under climate change, more precipitation in North China and more frequent ﬂooding in South China will increase the uncertainties of ecological effects of alien aquatic plants in these regions. We also predict that, under the continuing booming economy in China, more and more alien aquatic plants will be used for aquatic landscaping and water puriﬁcation. In conclusion, our study indicates that both human activities under rapid economic growth and climate change can either increase the potential uses of alien aquatic plants or make the aquatic invaders worse in China and other areas in the world. These ﬁndings are critical for future risk assessment of aquatic plant introduction and aquatic ecosystem restoration.","container-title":"Frontiers in Plant Science","DOI":"10.3389/fpls.2019.00787","ISSN":"1664-462X","journalAbbreviation":"Front. Plant Sci.","language":"en","page":"787","source":"DOI.org (Crossref)","title":"Global Change Sharpens the Double-Edged Sword Effect of Aquatic Alien Plants in China and Beyond","URL":"https://www.frontiersin.org/article/10.3389/fpls.2019.00787/full","volume":"10","author":[{"family":"Wu","given":"Hao"},{"family":"Ding","given":"Jianqing"}],"accessed":{"date-parts":[["2019",11,1]]},"issued":{"date-parts":[["2019",6,12]]}}}],"schema":"https://github.com/citation-style-language/schema/raw/master/csl-citation.json"} </w:instrText>
      </w:r>
      <w:r w:rsidR="00632DF0" w:rsidRPr="5575EBFC">
        <w:rPr>
          <w:rStyle w:val="eop"/>
          <w:lang w:val="en-GB"/>
        </w:rPr>
        <w:fldChar w:fldCharType="separate"/>
      </w:r>
      <w:r w:rsidR="6B5F9B9E">
        <w:t>(Wu &amp; Ding, 2019)</w:t>
      </w:r>
      <w:r w:rsidR="00632DF0" w:rsidRPr="5575EBFC">
        <w:rPr>
          <w:rStyle w:val="eop"/>
          <w:lang w:val="en-GB"/>
        </w:rPr>
        <w:fldChar w:fldCharType="end"/>
      </w:r>
      <w:r w:rsidRPr="5575EBFC">
        <w:rPr>
          <w:rStyle w:val="eop"/>
          <w:lang w:val="en-GB"/>
        </w:rPr>
        <w:t xml:space="preserve">. In Europe and the Mediterranean region, large numbers of ornamental aquatic </w:t>
      </w:r>
      <w:r w:rsidR="4B9ACA93" w:rsidRPr="5575EBFC">
        <w:rPr>
          <w:rStyle w:val="eop"/>
          <w:lang w:val="en-GB"/>
        </w:rPr>
        <w:t xml:space="preserve">alien </w:t>
      </w:r>
      <w:r w:rsidRPr="5575EBFC">
        <w:rPr>
          <w:rStyle w:val="eop"/>
          <w:lang w:val="en-GB"/>
        </w:rPr>
        <w:t xml:space="preserve">plants are </w:t>
      </w:r>
      <w:r w:rsidR="3DCA5662" w:rsidRPr="5575EBFC">
        <w:rPr>
          <w:rStyle w:val="eop"/>
          <w:lang w:val="en-GB"/>
        </w:rPr>
        <w:t>unintentionally</w:t>
      </w:r>
      <w:r w:rsidRPr="5575EBFC">
        <w:rPr>
          <w:rStyle w:val="eop"/>
          <w:lang w:val="en-GB"/>
        </w:rPr>
        <w:t xml:space="preserve"> </w:t>
      </w:r>
      <w:r w:rsidR="11DBE1C1" w:rsidRPr="5575EBFC">
        <w:rPr>
          <w:rStyle w:val="eop"/>
          <w:lang w:val="en-GB"/>
        </w:rPr>
        <w:t>released</w:t>
      </w:r>
      <w:r w:rsidRPr="5575EBFC">
        <w:rPr>
          <w:rStyle w:val="eop"/>
          <w:lang w:val="en-GB"/>
        </w:rPr>
        <w:t xml:space="preserve"> from aquaria, dumped from water gardens, or escap</w:t>
      </w:r>
      <w:r w:rsidR="7EC34227" w:rsidRPr="5575EBFC">
        <w:rPr>
          <w:rStyle w:val="eop"/>
          <w:lang w:val="en-GB"/>
        </w:rPr>
        <w:t>ing</w:t>
      </w:r>
      <w:r w:rsidRPr="5575EBFC">
        <w:rPr>
          <w:rStyle w:val="eop"/>
          <w:lang w:val="en-GB"/>
        </w:rPr>
        <w:t xml:space="preserve"> from managed environments, a number of which have become invasive </w:t>
      </w:r>
      <w:r w:rsidR="00632DF0" w:rsidRPr="5575EBFC">
        <w:rPr>
          <w:rStyle w:val="eop"/>
          <w:lang w:val="en-GB"/>
        </w:rPr>
        <w:fldChar w:fldCharType="begin"/>
      </w:r>
      <w:r w:rsidR="00331A79">
        <w:rPr>
          <w:rStyle w:val="eop"/>
          <w:lang w:val="en-GB"/>
        </w:rPr>
        <w:instrText xml:space="preserve"> ADDIN ZOTERO_ITEM CSL_CITATION {"citationID":"FVFO7me3","properties":{"formattedCitation":"(Brundu, 2015)","plainCitation":"(Brundu, 2015)","noteIndex":0},"citationItems":[{"id":33074,"uris":["http://zotero.org/groups/2352922/items/NKLBIB2T"],"itemData":{"id":33074,"type":"article-journal","abstract":"The present brief and selective review focuses on a set of invasive alien aquatic plant species (notably the 21 listed by the European and Mediterranean Plant Protection Organisation, i.e., five A2 species, 11 invasive, 2 in the Observation List, 1 in the Alert List, 2 noteworthy), on definitions in use, on introduction pathways, and ecological effects, although the social and economic effects of freshwater invaders can be diverse and substantial. Legislation, literature, and scientific research dealing with plant invasions in inland waters often merge different types of invasive plant species and invaded habitats, as there are some overlappings between the concepts of macrophyte, aquatic plants, inland waters, wetlands, and riparian habitats. Freshwater ecosystems may well be the most endangered ecosystems in the world. Countless aquatic plants have been introduced in Europe and in the Mediterranean region, either deliberately because they were thought to be ornamental or otherwise desirable, or accidentally as releases from aquaria, dumping from water gardens, or contaminants. The escape of alien plants from managed environments is also frequent. Aquatic invaders have strong negative impacts on native biodiversity and many different impacts are reported in the literature for Europe and worldwide. Plant invasions in inland waters may be considered as one of a syndrome of factors that characterize degraded aquatic ecosystems. There are a number of risk analysis, impact assessment, ranking systems, decision trees, and prioritization methods available throughout Europe and the EPPO region, but the lack of a common framework for assessing the risks posed by invasive alien aquatic species is seen as a key gap. Successful management should include prevention, habitat restoration, dedicated risk assessment, prioritization, awareness raising, dedicated legislation, collaboration between different stakeholders, development of codes of conduct with the horticultural sector, and prohibiting the sale, purchase, and intentional release of some species in the wild. Actions to protect the European and Mediterranean inland waters from plants invasions are urgently needed and could provide overarching benefits.","container-title":"Hydrobiologia","DOI":"10.1007/s10750-014-1910-9","ISSN":"1573-5117","issue":"1","journalAbbreviation":"Hydrobiologia","language":"en","page":"61-79","source":"Springer Link","title":"Plant invaders in European and Mediterranean inland waters: profiles, distribution, and threats","title-short":"Plant invaders in European and Mediterranean inland waters","URL":"https://doi.org/10.1007/s10750-014-1910-9","volume":"746","author":[{"family":"Brundu","given":"Giuseppe"}],"accessed":{"date-parts":[["2021",12,7]]},"issued":{"date-parts":[["2015",3,1]]}}}],"schema":"https://github.com/citation-style-language/schema/raw/master/csl-citation.json"} </w:instrText>
      </w:r>
      <w:r w:rsidR="00632DF0" w:rsidRPr="5575EBFC">
        <w:rPr>
          <w:rStyle w:val="eop"/>
          <w:lang w:val="en-GB"/>
        </w:rPr>
        <w:fldChar w:fldCharType="separate"/>
      </w:r>
      <w:r w:rsidR="6B5F9B9E">
        <w:t>(Brundu, 2015)</w:t>
      </w:r>
      <w:r w:rsidR="00632DF0" w:rsidRPr="5575EBFC">
        <w:rPr>
          <w:rStyle w:val="eop"/>
          <w:lang w:val="en-GB"/>
        </w:rPr>
        <w:fldChar w:fldCharType="end"/>
      </w:r>
      <w:r w:rsidRPr="5575EBFC">
        <w:rPr>
          <w:rStyle w:val="eop"/>
          <w:lang w:val="en-GB"/>
        </w:rPr>
        <w:t xml:space="preserve">. Many ornamental aquatic </w:t>
      </w:r>
      <w:r w:rsidR="50EF60B4" w:rsidRPr="5575EBFC">
        <w:rPr>
          <w:rStyle w:val="eop"/>
          <w:lang w:val="en-GB"/>
        </w:rPr>
        <w:t xml:space="preserve">alien </w:t>
      </w:r>
      <w:r w:rsidRPr="5575EBFC">
        <w:rPr>
          <w:rStyle w:val="eop"/>
          <w:lang w:val="en-GB"/>
        </w:rPr>
        <w:t xml:space="preserve">species may become widely distributed, for example </w:t>
      </w:r>
      <w:r w:rsidR="07D1DAAC" w:rsidRPr="5575EBFC">
        <w:rPr>
          <w:i/>
          <w:iCs/>
          <w:lang w:val="en-GB"/>
        </w:rPr>
        <w:t>Pontederia</w:t>
      </w:r>
      <w:r w:rsidR="6E992D3A" w:rsidRPr="5575EBFC">
        <w:rPr>
          <w:i/>
          <w:iCs/>
          <w:lang w:val="en-GB"/>
        </w:rPr>
        <w:t xml:space="preserve"> </w:t>
      </w:r>
      <w:r w:rsidR="02F4FEF9" w:rsidRPr="5575EBFC">
        <w:rPr>
          <w:rStyle w:val="eop"/>
          <w:i/>
          <w:iCs/>
          <w:lang w:val="en-GB"/>
        </w:rPr>
        <w:t>crassipes</w:t>
      </w:r>
      <w:r w:rsidR="02F4FEF9" w:rsidRPr="5575EBFC">
        <w:rPr>
          <w:rStyle w:val="eop"/>
          <w:lang w:val="en-GB"/>
        </w:rPr>
        <w:t xml:space="preserve"> (</w:t>
      </w:r>
      <w:r w:rsidR="21A37414" w:rsidRPr="5575EBFC">
        <w:rPr>
          <w:rStyle w:val="eop"/>
          <w:lang w:val="en-GB"/>
        </w:rPr>
        <w:t>w</w:t>
      </w:r>
      <w:r w:rsidRPr="5575EBFC">
        <w:rPr>
          <w:rStyle w:val="eop"/>
          <w:lang w:val="en-GB"/>
        </w:rPr>
        <w:t xml:space="preserve">ater </w:t>
      </w:r>
      <w:r w:rsidR="21A37414" w:rsidRPr="5575EBFC">
        <w:rPr>
          <w:rStyle w:val="eop"/>
          <w:lang w:val="en-GB"/>
        </w:rPr>
        <w:t>h</w:t>
      </w:r>
      <w:r w:rsidRPr="5575EBFC">
        <w:rPr>
          <w:rStyle w:val="eop"/>
          <w:lang w:val="en-GB"/>
        </w:rPr>
        <w:t>yacinth</w:t>
      </w:r>
      <w:r w:rsidR="02F4FEF9" w:rsidRPr="5575EBFC">
        <w:rPr>
          <w:rStyle w:val="eop"/>
          <w:lang w:val="en-GB"/>
        </w:rPr>
        <w:t>)</w:t>
      </w:r>
      <w:r w:rsidR="50EF60B4" w:rsidRPr="5575EBFC">
        <w:rPr>
          <w:rStyle w:val="eop"/>
          <w:lang w:val="en-GB"/>
        </w:rPr>
        <w:t xml:space="preserve"> </w:t>
      </w:r>
      <w:r w:rsidRPr="5575EBFC">
        <w:rPr>
          <w:rStyle w:val="eop"/>
          <w:lang w:val="en-GB"/>
        </w:rPr>
        <w:t xml:space="preserve">which was introduced </w:t>
      </w:r>
      <w:r w:rsidR="02F4FEF9" w:rsidRPr="5575EBFC">
        <w:rPr>
          <w:rStyle w:val="eop"/>
          <w:lang w:val="en-GB"/>
        </w:rPr>
        <w:t xml:space="preserve">from South America to </w:t>
      </w:r>
      <w:r w:rsidRPr="5575EBFC">
        <w:rPr>
          <w:rStyle w:val="eop"/>
          <w:lang w:val="en-GB"/>
        </w:rPr>
        <w:t>botanic gardens and ornamental ponds</w:t>
      </w:r>
      <w:r w:rsidR="427D1B2E" w:rsidRPr="5575EBFC">
        <w:rPr>
          <w:rStyle w:val="eop"/>
          <w:lang w:val="en-GB"/>
        </w:rPr>
        <w:t xml:space="preserve"> </w:t>
      </w:r>
      <w:r w:rsidR="5E7A2942" w:rsidRPr="5575EBFC">
        <w:rPr>
          <w:rStyle w:val="eop"/>
          <w:lang w:val="en-GB"/>
        </w:rPr>
        <w:t xml:space="preserve">around the world from the </w:t>
      </w:r>
      <w:r w:rsidR="52E327E6" w:rsidRPr="5575EBFC">
        <w:rPr>
          <w:rStyle w:val="eop"/>
          <w:lang w:val="en-GB"/>
        </w:rPr>
        <w:t>nineteenth</w:t>
      </w:r>
      <w:r w:rsidR="5E7A2942" w:rsidRPr="5575EBFC">
        <w:rPr>
          <w:rStyle w:val="eop"/>
          <w:lang w:val="en-GB"/>
        </w:rPr>
        <w:t xml:space="preserve"> century onwards</w:t>
      </w:r>
      <w:r w:rsidRPr="5575EBFC">
        <w:rPr>
          <w:rStyle w:val="eop"/>
          <w:lang w:val="en-GB"/>
        </w:rPr>
        <w:t xml:space="preserve"> is now found across more than 50 countries on </w:t>
      </w:r>
      <w:r w:rsidR="6E9BC6CF" w:rsidRPr="5575EBFC">
        <w:rPr>
          <w:rStyle w:val="eop"/>
          <w:lang w:val="en-GB"/>
        </w:rPr>
        <w:t xml:space="preserve">five </w:t>
      </w:r>
      <w:r w:rsidRPr="5575EBFC">
        <w:rPr>
          <w:rStyle w:val="eop"/>
          <w:lang w:val="en-GB"/>
        </w:rPr>
        <w:t xml:space="preserve">continents </w:t>
      </w:r>
      <w:r w:rsidR="00632DF0" w:rsidRPr="5575EBFC">
        <w:rPr>
          <w:rStyle w:val="eop"/>
          <w:lang w:val="en-GB"/>
        </w:rPr>
        <w:fldChar w:fldCharType="begin"/>
      </w:r>
      <w:r w:rsidR="00331A79">
        <w:rPr>
          <w:rStyle w:val="eop"/>
          <w:lang w:val="en-GB"/>
        </w:rPr>
        <w:instrText xml:space="preserve"> ADDIN ZOTERO_ITEM CSL_CITATION {"citationID":"oTak4uEl","properties":{"formattedCitation":"(Sharma et al., 2015)","plainCitation":"(Sharma et al., 2015)","dontUpdate":true,"noteIndex":0},"citationItems":[{"id":32363,"uris":["http://zotero.org/groups/2352922/items/TYKAFLSU"],"itemData":{"id":32363,"type":"article-journal","container-title":"Journal of Environmental Science and Technology","DOI":"10.3923/jest.2016.26.48","ISSN":"19947887","issue":"1","journalAbbreviation":"J. of Environmental Science and Technology","page":"26-48","source":"DOI.org (Crossref)","title":"Beyond Biocontrol: Water Hyacinth-Opportunities and Challenges","title-short":"Beyond Biocontrol","URL":"https://www.scialert.net/abstract/?doi=jest.2016.26.48","volume":"9","author":[{"family":"Sharma","given":"Anuja"},{"family":"Aggarwal","given":"Neeraj K."},{"family":"Saini","given":"Anita"},{"family":"Yadav","given":"Anita"}],"accessed":{"date-parts":[["2021",12,10]]},"issued":{"date-parts":[["2015",12,15]]}}}],"schema":"https://github.com/citation-style-language/schema/raw/master/csl-citation.json"} </w:instrText>
      </w:r>
      <w:r w:rsidR="00632DF0" w:rsidRPr="5575EBFC">
        <w:rPr>
          <w:rStyle w:val="eop"/>
          <w:lang w:val="en-GB"/>
        </w:rPr>
        <w:fldChar w:fldCharType="separate"/>
      </w:r>
      <w:r w:rsidRPr="5575EBFC">
        <w:rPr>
          <w:lang w:val="en-GB"/>
        </w:rPr>
        <w:t>(Sharma et al., 2015</w:t>
      </w:r>
      <w:r w:rsidR="313B38EA" w:rsidRPr="5575EBFC">
        <w:rPr>
          <w:lang w:val="en-GB"/>
        </w:rPr>
        <w:t>;</w:t>
      </w:r>
      <w:r w:rsidR="00632DF0" w:rsidRPr="5575EBFC">
        <w:rPr>
          <w:rStyle w:val="eop"/>
          <w:lang w:val="en-GB"/>
        </w:rPr>
        <w:fldChar w:fldCharType="end"/>
      </w:r>
      <w:r w:rsidR="313B38EA" w:rsidRPr="5575EBFC">
        <w:rPr>
          <w:rStyle w:val="eop"/>
          <w:lang w:val="en-GB"/>
        </w:rPr>
        <w:t xml:space="preserve"> </w:t>
      </w:r>
      <w:r w:rsidR="29B5ACC8" w:rsidRPr="5575EBFC">
        <w:rPr>
          <w:rStyle w:val="eop"/>
          <w:b/>
          <w:bCs/>
          <w:lang w:val="en-GB"/>
        </w:rPr>
        <w:t>section 3.5</w:t>
      </w:r>
      <w:r w:rsidR="2BB13C31" w:rsidRPr="5575EBFC">
        <w:rPr>
          <w:rStyle w:val="eop"/>
          <w:b/>
          <w:bCs/>
          <w:lang w:val="en-GB"/>
        </w:rPr>
        <w:t>.2</w:t>
      </w:r>
      <w:r w:rsidR="29B5ACC8" w:rsidRPr="5575EBFC">
        <w:rPr>
          <w:rStyle w:val="eop"/>
          <w:lang w:val="en-GB"/>
        </w:rPr>
        <w:t>,</w:t>
      </w:r>
      <w:r w:rsidR="2BB13C31" w:rsidRPr="5575EBFC">
        <w:rPr>
          <w:rStyle w:val="eop"/>
          <w:b/>
          <w:bCs/>
          <w:lang w:val="en-GB"/>
        </w:rPr>
        <w:t xml:space="preserve"> </w:t>
      </w:r>
      <w:r w:rsidR="00E23B69">
        <w:rPr>
          <w:rStyle w:val="eop"/>
          <w:b/>
          <w:bCs/>
          <w:lang w:val="en-GB"/>
        </w:rPr>
        <w:t>Box</w:t>
      </w:r>
      <w:r w:rsidR="56CA5029" w:rsidRPr="5575EBFC">
        <w:rPr>
          <w:rStyle w:val="eop"/>
          <w:b/>
          <w:bCs/>
          <w:lang w:val="en-GB"/>
        </w:rPr>
        <w:t xml:space="preserve"> 3.12</w:t>
      </w:r>
      <w:r w:rsidR="12D394A6" w:rsidRPr="5575EBFC">
        <w:rPr>
          <w:rStyle w:val="eop"/>
          <w:lang w:val="en-GB"/>
        </w:rPr>
        <w:t>)</w:t>
      </w:r>
      <w:r w:rsidRPr="5575EBFC">
        <w:rPr>
          <w:rStyle w:val="eop"/>
          <w:lang w:val="en-GB"/>
        </w:rPr>
        <w:t>.</w:t>
      </w:r>
    </w:p>
    <w:p w14:paraId="657EA09D" w14:textId="77777777" w:rsidR="003C3285" w:rsidRPr="00DA249F" w:rsidRDefault="00DB623E" w:rsidP="004826A3">
      <w:pPr>
        <w:pStyle w:val="Heading3"/>
        <w:rPr>
          <w:lang w:val="en-GB"/>
        </w:rPr>
      </w:pPr>
      <w:r w:rsidRPr="00DA249F">
        <w:rPr>
          <w:lang w:val="en-GB"/>
        </w:rPr>
        <w:t>Trade in terrestrial pet animals</w:t>
      </w:r>
      <w:r w:rsidR="00B01FF1" w:rsidRPr="00DA249F">
        <w:rPr>
          <w:lang w:val="en-GB"/>
        </w:rPr>
        <w:t xml:space="preserve"> </w:t>
      </w:r>
    </w:p>
    <w:p w14:paraId="45E485D2" w14:textId="17C4D111" w:rsidR="00AF3504" w:rsidRPr="00DA249F" w:rsidRDefault="004A359F" w:rsidP="00AF3504">
      <w:pPr>
        <w:rPr>
          <w:rStyle w:val="eop"/>
          <w:lang w:val="en-GB"/>
        </w:rPr>
      </w:pPr>
      <w:r w:rsidRPr="00DA249F">
        <w:rPr>
          <w:rStyle w:val="eop"/>
          <w:lang w:val="en-GB"/>
        </w:rPr>
        <w:t>Pet trade</w:t>
      </w:r>
      <w:r w:rsidR="00AF3504" w:rsidRPr="00DA249F">
        <w:rPr>
          <w:rStyle w:val="eop"/>
          <w:lang w:val="en-GB"/>
        </w:rPr>
        <w:t xml:space="preserve"> is a major pathway of </w:t>
      </w:r>
      <w:r w:rsidRPr="00DA249F">
        <w:rPr>
          <w:rStyle w:val="eop"/>
          <w:lang w:val="en-GB"/>
        </w:rPr>
        <w:t xml:space="preserve">alien animal </w:t>
      </w:r>
      <w:r w:rsidR="00AF3504" w:rsidRPr="00DA249F">
        <w:rPr>
          <w:rStyle w:val="eop"/>
          <w:lang w:val="en-GB"/>
        </w:rPr>
        <w:t xml:space="preserve">introductions </w:t>
      </w:r>
      <w:r w:rsidR="00217B20" w:rsidRPr="00DA249F">
        <w:rPr>
          <w:rStyle w:val="eop"/>
          <w:lang w:val="en-GB"/>
        </w:rPr>
        <w:fldChar w:fldCharType="begin"/>
      </w:r>
      <w:r w:rsidR="00331A79">
        <w:rPr>
          <w:rStyle w:val="eop"/>
          <w:lang w:val="en-GB"/>
        </w:rPr>
        <w:instrText xml:space="preserve"> ADDIN ZOTERO_ITEM CSL_CITATION {"citationID":"hIqXysWN","properties":{"formattedCitation":"(Hulme, 2015a)","plainCitation":"(Hulme, 2015a)","noteIndex":0},"citationItems":[{"id":30909,"uris":["http://zotero.org/groups/2352922/items/NZFSMFGX"],"itemData":{"id":30909,"type":"article-journal","abstract":"Parties to the Convention on Biological Diversity have agreed that, by 2020, invasion pathways will be identified, prioritized and managed to prevent the introduction of invasive alien species. The challenges facing this target are examined for six primary invasion pathways: assisted colonization as a deliberate release; escape of pets and aquaria species; parasite and pathogen contaminants of wildlife; stowaways on tourist clothing and equipment; navigation corridors; and transboundary implications of unaided spread. Economic drivers such as tourism, the pet trade and infrastructure projects will accelerate invasive alien species introductions, particularly in emerging economies. Mitigation requires polluter pays' legislation combined with improved policy enforcement and compliance.Policy implications. Policymakers require new risk analysis tools to predict the hazards posed by species with no prior invasion history, the vulnerability of native biodiversity to emerging diseases, and the components of regional species pools that become invasive following connection via corridors.","container-title":"Journal of Applied Ecology","DOI":"10.1111/1365-2664.12470","ISSN":"0021-8901","issue":"6","journalAbbreviation":"J Appl Ecol","license":"© 2015 The Author. Journal of Applied Ecology © 2015 British Ecological Society","note":"WOS:000367095400002","page":"1418-1424","source":"DOI.org (Crossref)","title":"Invasion pathways at a crossroad: policy and research challenges for managing alien species introductions","title-short":"Invasion pathways at a crossroad","URL":"http://doi.wiley.com/10.1111/1365-2664.12470","volume":"52","author":[{"family":"Hulme","given":"Philip E."}],"issued":{"date-parts":[["2015",12]]}}}],"schema":"https://github.com/citation-style-language/schema/raw/master/csl-citation.json"} </w:instrText>
      </w:r>
      <w:r w:rsidR="00217B20" w:rsidRPr="00DA249F">
        <w:rPr>
          <w:rStyle w:val="eop"/>
          <w:lang w:val="en-GB"/>
        </w:rPr>
        <w:fldChar w:fldCharType="separate"/>
      </w:r>
      <w:r w:rsidR="00186371" w:rsidRPr="00186371">
        <w:t>(Hulme, 2015a)</w:t>
      </w:r>
      <w:r w:rsidR="00217B20" w:rsidRPr="00DA249F">
        <w:rPr>
          <w:rStyle w:val="eop"/>
          <w:lang w:val="en-GB"/>
        </w:rPr>
        <w:fldChar w:fldCharType="end"/>
      </w:r>
      <w:r w:rsidR="00AF3504" w:rsidRPr="00DA249F">
        <w:rPr>
          <w:rStyle w:val="eop"/>
          <w:lang w:val="en-GB"/>
        </w:rPr>
        <w:t>. It is estimated that 70</w:t>
      </w:r>
      <w:r w:rsidR="004C77CD" w:rsidRPr="00DA249F">
        <w:rPr>
          <w:rStyle w:val="eop"/>
          <w:lang w:val="en-GB"/>
        </w:rPr>
        <w:t xml:space="preserve"> per cent</w:t>
      </w:r>
      <w:r w:rsidR="00AF3504" w:rsidRPr="00DA249F">
        <w:rPr>
          <w:rStyle w:val="eop"/>
          <w:lang w:val="en-GB"/>
        </w:rPr>
        <w:t xml:space="preserve"> of households in the United States and 38</w:t>
      </w:r>
      <w:r w:rsidR="004C77CD" w:rsidRPr="00DA249F">
        <w:rPr>
          <w:rStyle w:val="eop"/>
          <w:lang w:val="en-GB"/>
        </w:rPr>
        <w:t xml:space="preserve"> per cent</w:t>
      </w:r>
      <w:r w:rsidR="00AF3504" w:rsidRPr="00DA249F">
        <w:rPr>
          <w:rStyle w:val="eop"/>
          <w:lang w:val="en-GB"/>
        </w:rPr>
        <w:t xml:space="preserve"> of households in Europe have pets. In addition to the majority of dogs and cats, fishes, birds, small mammals</w:t>
      </w:r>
      <w:r w:rsidR="009F7404">
        <w:rPr>
          <w:rStyle w:val="eop"/>
          <w:lang w:val="en-GB"/>
        </w:rPr>
        <w:t xml:space="preserve"> and</w:t>
      </w:r>
      <w:r w:rsidR="00AF3504" w:rsidRPr="00DA249F">
        <w:rPr>
          <w:rStyle w:val="eop"/>
          <w:lang w:val="en-GB"/>
        </w:rPr>
        <w:t xml:space="preserve"> reptiles are commonly kept </w:t>
      </w:r>
      <w:r w:rsidR="00065CD1" w:rsidRPr="00DA249F">
        <w:rPr>
          <w:rStyle w:val="eop"/>
          <w:lang w:val="en-GB"/>
        </w:rPr>
        <w:fldChar w:fldCharType="begin"/>
      </w:r>
      <w:r w:rsidR="00331A79">
        <w:rPr>
          <w:rStyle w:val="eop"/>
          <w:lang w:val="en-GB"/>
        </w:rPr>
        <w:instrText xml:space="preserve"> ADDIN ZOTERO_ITEM CSL_CITATION {"citationID":"ISN6Skye","properties":{"formattedCitation":"(Mazzamuto et al., 2021)","plainCitation":"(Mazzamuto et al., 2021)","noteIndex":0},"citationItems":[{"id":32154,"uris":["http://zotero.org/groups/2352922/items/YK2Y98KP"],"itemData":{"id":32154,"type":"article-journal","abstract":"The trade of non-native pets, especially of non-domesticated and exotic animals, and their subsequent release and establishment of populations is one of the major pathways of introduction for invasive alien reptiles, amphibia, birds and mammals. Here, we use a group of arboreal mammals, tree squirrels of the genus Callosciurus, as a well-documented case study, reviewing the pathways of introduction, the current areas of non-native distribution, the rate of establishment success and the challenge and legal importance of species identiﬁcation. We further illustrate the importance of early detection and effective monitoring methods and plans. Next, we document how they interfere with native species, their risk of acting as vectors for emerging infectious diseases and their potential role in maintaining parasitic infections that can affect human health. We conclude by reviewing the current management, or the lack of it, and highlight the diverse biological, social, political and economic reasons that make control/eradication of these charismatic species difﬁcult or even impractical in most countries. However, reviewing the only two successful eradications of the IAS, we highlight the need to acknowledge the public opinion and the importance of communication, transparency and the engagement of a diversity of stakeholders to create a consensus about the actions to undertake.","container-title":"Biology","DOI":"10.3390/biology10101046","ISSN":"2079-7737","issue":"10","journalAbbreviation":"Biology","language":"en","page":"1046","source":"DOI.org (Crossref)","title":"Exotic Pet Trade as a Cause of Biological Invasions: The Case of Tree Squirrels of the Genus &lt;i&gt;Callosciurus&lt;/i&gt;","title-short":"Exotic Pet Trade as a Cause of Biological Invasions","URL":"https://www.mdpi.com/2079-7737/10/10/1046","volume":"10","author":[{"family":"Mazzamuto","given":"Maria Vittoria"},{"family":"Wauters","given":"Lucas A."},{"family":"Koprowski","given":"John L."}],"accessed":{"date-parts":[["2021",12,5]]},"issued":{"date-parts":[["2021",10,15]]}}}],"schema":"https://github.com/citation-style-language/schema/raw/master/csl-citation.json"} </w:instrText>
      </w:r>
      <w:r w:rsidR="00065CD1" w:rsidRPr="00DA249F">
        <w:rPr>
          <w:rStyle w:val="eop"/>
          <w:lang w:val="en-GB"/>
        </w:rPr>
        <w:fldChar w:fldCharType="separate"/>
      </w:r>
      <w:r w:rsidR="00144D96" w:rsidRPr="00144D96">
        <w:t>(Mazzamuto et al., 2021)</w:t>
      </w:r>
      <w:r w:rsidR="00065CD1" w:rsidRPr="00DA249F">
        <w:rPr>
          <w:rStyle w:val="eop"/>
          <w:lang w:val="en-GB"/>
        </w:rPr>
        <w:fldChar w:fldCharType="end"/>
      </w:r>
      <w:r w:rsidR="009A6FD7" w:rsidRPr="00DA249F">
        <w:rPr>
          <w:rStyle w:val="eop"/>
          <w:lang w:val="en-GB"/>
        </w:rPr>
        <w:t>.</w:t>
      </w:r>
      <w:r w:rsidR="00AF3504" w:rsidRPr="00DA249F">
        <w:rPr>
          <w:rStyle w:val="eop"/>
          <w:lang w:val="en-GB"/>
        </w:rPr>
        <w:t xml:space="preserve"> In Europe, a systematic review revealed invasive </w:t>
      </w:r>
      <w:r w:rsidRPr="00DA249F">
        <w:rPr>
          <w:rStyle w:val="eop"/>
          <w:lang w:val="en-GB"/>
        </w:rPr>
        <w:t xml:space="preserve">alien </w:t>
      </w:r>
      <w:r w:rsidR="00AF3504" w:rsidRPr="00DA249F">
        <w:rPr>
          <w:rStyle w:val="eop"/>
          <w:lang w:val="en-GB"/>
        </w:rPr>
        <w:t>mammal introductions were primarily a result of escapes by pets (69</w:t>
      </w:r>
      <w:r w:rsidR="004C77CD" w:rsidRPr="00DA249F">
        <w:rPr>
          <w:rStyle w:val="eop"/>
          <w:lang w:val="en-GB"/>
        </w:rPr>
        <w:t xml:space="preserve"> per cent</w:t>
      </w:r>
      <w:r w:rsidR="00AF3504" w:rsidRPr="00DA249F">
        <w:rPr>
          <w:rStyle w:val="eop"/>
          <w:lang w:val="en-GB"/>
        </w:rPr>
        <w:t>) and from zoos (50</w:t>
      </w:r>
      <w:r w:rsidR="004C77CD" w:rsidRPr="00DA249F">
        <w:rPr>
          <w:rStyle w:val="eop"/>
          <w:lang w:val="en-GB"/>
        </w:rPr>
        <w:t xml:space="preserve"> per cent</w:t>
      </w:r>
      <w:r w:rsidR="00AF3504" w:rsidRPr="00DA249F">
        <w:rPr>
          <w:rStyle w:val="eop"/>
          <w:lang w:val="en-GB"/>
        </w:rPr>
        <w:t>) and fur farms (38</w:t>
      </w:r>
      <w:r w:rsidR="004C77CD" w:rsidRPr="00DA249F">
        <w:rPr>
          <w:rStyle w:val="eop"/>
          <w:lang w:val="en-GB"/>
        </w:rPr>
        <w:t xml:space="preserve"> per cent</w:t>
      </w:r>
      <w:r w:rsidR="00AF3504" w:rsidRPr="00DA249F">
        <w:rPr>
          <w:rStyle w:val="eop"/>
          <w:lang w:val="en-GB"/>
        </w:rPr>
        <w:t>), while far fewer arose from other agricultural species or bio</w:t>
      </w:r>
      <w:r w:rsidR="00AC05F3" w:rsidRPr="00DA249F">
        <w:rPr>
          <w:rStyle w:val="eop"/>
          <w:lang w:val="en-GB"/>
        </w:rPr>
        <w:t xml:space="preserve">logical </w:t>
      </w:r>
      <w:r w:rsidR="00AF3504" w:rsidRPr="00DA249F">
        <w:rPr>
          <w:rStyle w:val="eop"/>
          <w:lang w:val="en-GB"/>
        </w:rPr>
        <w:t xml:space="preserve">control and none were reported as contaminants, stowaways or via corridors </w:t>
      </w:r>
      <w:r w:rsidR="00AF3504" w:rsidRPr="00DA249F">
        <w:rPr>
          <w:rStyle w:val="eop"/>
          <w:lang w:val="en-GB"/>
        </w:rPr>
        <w:fldChar w:fldCharType="begin"/>
      </w:r>
      <w:r w:rsidR="00331A79">
        <w:rPr>
          <w:rStyle w:val="eop"/>
          <w:lang w:val="en-GB"/>
        </w:rPr>
        <w:instrText xml:space="preserve"> ADDIN ZOTERO_ITEM CSL_CITATION {"citationID":"94viRGa1","properties":{"formattedCitation":"(Tedeschi et al., 2021)","plainCitation":"(Tedeschi et al., 2021)","noteIndex":0},"citationItems":[{"id":32955,"uris":["http://zotero.org/groups/2352922/items/ERCRVI2L"],"itemData":{"id":32955,"type":"article-journal","container-title":"Mammal Review","DOI":"10.1111/mam.12277","ISSN":"0305-1838, 1365-2907","journalAbbreviation":"Mam Rev","language":"en","page":"mam.12277","source":"DOI.org (Crossref)","title":"Introduction, spread, and impacts of invasive alien mammal species in Europe","URL":"https://onlinelibrary.wiley.com/doi/10.1111/mam.12277","author":[{"family":"Tedeschi","given":"Lisa"},{"family":"Biancolini","given":"Dino"},{"family":"Capinha","given":"César"},{"family":"Rondinini","given":"Carlo"},{"family":"Essl","given":"Franz"}],"accessed":{"date-parts":[["2021",12,12]]},"issued":{"date-parts":[["2021",11,23]]}}}],"schema":"https://github.com/citation-style-language/schema/raw/master/csl-citation.json"} </w:instrText>
      </w:r>
      <w:r w:rsidR="00AF3504" w:rsidRPr="00DA249F">
        <w:rPr>
          <w:rStyle w:val="eop"/>
          <w:lang w:val="en-GB"/>
        </w:rPr>
        <w:fldChar w:fldCharType="separate"/>
      </w:r>
      <w:r w:rsidR="00144D96" w:rsidRPr="00144D96">
        <w:t>(Tedeschi et al., 2021)</w:t>
      </w:r>
      <w:r w:rsidR="00AF3504" w:rsidRPr="00DA249F">
        <w:rPr>
          <w:rStyle w:val="eop"/>
          <w:lang w:val="en-GB"/>
        </w:rPr>
        <w:fldChar w:fldCharType="end"/>
      </w:r>
      <w:r w:rsidR="00AF3504" w:rsidRPr="00DA249F">
        <w:rPr>
          <w:rStyle w:val="eop"/>
          <w:lang w:val="en-GB"/>
        </w:rPr>
        <w:t xml:space="preserve">. Pet escapes and releases are major drivers </w:t>
      </w:r>
      <w:r w:rsidR="00F41A9C" w:rsidRPr="00DA249F">
        <w:rPr>
          <w:rStyle w:val="eop"/>
          <w:lang w:val="en-GB"/>
        </w:rPr>
        <w:t>facilitating</w:t>
      </w:r>
      <w:r w:rsidR="00AF3504" w:rsidRPr="00DA249F">
        <w:rPr>
          <w:rStyle w:val="eop"/>
          <w:lang w:val="en-GB"/>
        </w:rPr>
        <w:t xml:space="preserve"> vertebrate invasions (e.g., mammals in Brazil </w:t>
      </w:r>
      <w:r w:rsidR="00685121" w:rsidRPr="00DA249F">
        <w:rPr>
          <w:rStyle w:val="eop"/>
          <w:lang w:val="en-GB"/>
        </w:rPr>
        <w:fldChar w:fldCharType="begin"/>
      </w:r>
      <w:r w:rsidR="00331A79">
        <w:rPr>
          <w:rStyle w:val="eop"/>
          <w:lang w:val="en-GB"/>
        </w:rPr>
        <w:instrText xml:space="preserve"> ADDIN ZOTERO_ITEM CSL_CITATION {"citationID":"9Si4T48J","properties":{"formattedCitation":"(da Rosa et al., 2017)","plainCitation":"(da Rosa et al., 2017)","noteIndex":0},"citationItems":[{"id":32701,"uris":["http://zotero.org/groups/2352922/items/F69WME3Z"],"itemData":{"id":32701,"type":"article-journal","container-title":"Biological Invasions","DOI":"10.1007/s10530-017-1423-3","ISSN":"1387-3547, 1573-1464","issue":"7","journalAbbreviation":"Biol Invasions","language":"en","page":"2101-2123","source":"DOI.org (Crossref)","title":"Alien terrestrial mammals in Brazil: current status and management","title-short":"Alien terrestrial mammals in Brazil","URL":"http://link.springer.com/10.1007/s10530-017-1423-3","volume":"19","author":[{"family":"Rosa","given":"Clarissa Alves","non-dropping-particle":"da"},{"family":"Almeida Curi","given":"Nelson Henrique","non-dropping-particle":"de"},{"family":"Puertas","given":"Fernando"},{"family":"Passamani","given":"Marcelo"}],"accessed":{"date-parts":[["2020",8,9]]},"issued":{"date-parts":[["2017",7]]}}}],"schema":"https://github.com/citation-style-language/schema/raw/master/csl-citation.json"} </w:instrText>
      </w:r>
      <w:r w:rsidR="00685121" w:rsidRPr="00DA249F">
        <w:rPr>
          <w:rStyle w:val="eop"/>
          <w:lang w:val="en-GB"/>
        </w:rPr>
        <w:fldChar w:fldCharType="separate"/>
      </w:r>
      <w:r w:rsidR="00144D96" w:rsidRPr="00144D96">
        <w:t>(da Rosa et al., 2017)</w:t>
      </w:r>
      <w:r w:rsidR="00685121" w:rsidRPr="00DA249F">
        <w:rPr>
          <w:rStyle w:val="eop"/>
          <w:lang w:val="en-GB"/>
        </w:rPr>
        <w:fldChar w:fldCharType="end"/>
      </w:r>
      <w:r w:rsidR="00AF3504" w:rsidRPr="00DA249F">
        <w:rPr>
          <w:rStyle w:val="eop"/>
          <w:lang w:val="en-GB"/>
        </w:rPr>
        <w:t xml:space="preserve"> and amphibians and reptiles of the United States </w:t>
      </w:r>
      <w:r w:rsidR="00821251" w:rsidRPr="00DA249F">
        <w:rPr>
          <w:rStyle w:val="eop"/>
          <w:lang w:val="en-GB"/>
        </w:rPr>
        <w:fldChar w:fldCharType="begin"/>
      </w:r>
      <w:r w:rsidR="00331A79">
        <w:rPr>
          <w:rStyle w:val="eop"/>
          <w:lang w:val="en-GB"/>
        </w:rPr>
        <w:instrText xml:space="preserve"> ADDIN ZOTERO_ITEM CSL_CITATION {"citationID":"kCQ4SR6J","properties":{"formattedCitation":"(Krysko et al., 2016)","plainCitation":"(Krysko et al., 2016)","noteIndex":0},"citationItems":[{"id":28445,"uris":["http://zotero.org/groups/2352922/items/WXJ7MDE7"],"itemData":{"id":28445,"type":"article-journal","container-title":"Reptiles &amp; Amphibians","DOI":"https://doi.org/10.17161/randa.v23i2.14119","issue":"2","page":"110-143","source":"Google Scholar","title":"New verified nonindigenous amphibians and reptiles in Florida, 1976 through 2015, with a summary of over 152 years of introductions","URL":"https://journals.ku.edu/reptilesandamphibians/article/view/14119","volume":"23","author":[{"family":"Krysko","given":"Kenneth L."},{"family":"Somma","given":"Louis A."},{"family":"Smith","given":"Dustin C."},{"family":"Gillette","given":"Christopher R."},{"family":"Cueva","given":"Daniel"},{"family":"Wasilewski","given":"Joseph A."},{"family":"Enge","given":"Kevin M."},{"family":"Johnson","given":"Steve A."},{"family":"Campbell","given":"Todd S."},{"family":"Edwards","given":"Jake R."},{"family":"Rochford","given":"Michael R."},{"family":"Tompkins","given":"Rhyan"},{"family":"Fobb","given":"Jeffrey L."},{"family":"Mullin","given":"Scott"},{"family":"Lechowicz","given":"Christopher"},{"family":"Hazelton","given":"Dallas"},{"family":"Warren","given":"Alície"}],"issued":{"date-parts":[["2016"]]}}}],"schema":"https://github.com/citation-style-language/schema/raw/master/csl-citation.json"} </w:instrText>
      </w:r>
      <w:r w:rsidR="00821251" w:rsidRPr="00DA249F">
        <w:rPr>
          <w:rStyle w:val="eop"/>
          <w:lang w:val="en-GB"/>
        </w:rPr>
        <w:fldChar w:fldCharType="separate"/>
      </w:r>
      <w:r w:rsidR="00144D96" w:rsidRPr="00144D96">
        <w:t>(Krysko et al., 2016)</w:t>
      </w:r>
      <w:r w:rsidR="00821251" w:rsidRPr="00DA249F">
        <w:rPr>
          <w:rStyle w:val="eop"/>
          <w:lang w:val="en-GB"/>
        </w:rPr>
        <w:fldChar w:fldCharType="end"/>
      </w:r>
      <w:r w:rsidR="00AF3504" w:rsidRPr="00DA249F">
        <w:rPr>
          <w:rStyle w:val="eop"/>
          <w:lang w:val="en-GB"/>
        </w:rPr>
        <w:t xml:space="preserve"> and European Union </w:t>
      </w:r>
      <w:r w:rsidR="00510ED6" w:rsidRPr="00DA249F">
        <w:rPr>
          <w:rStyle w:val="eop"/>
          <w:lang w:val="en-GB"/>
        </w:rPr>
        <w:fldChar w:fldCharType="begin"/>
      </w:r>
      <w:r w:rsidR="00331A79">
        <w:rPr>
          <w:rStyle w:val="eop"/>
          <w:lang w:val="en-GB"/>
        </w:rPr>
        <w:instrText xml:space="preserve"> ADDIN ZOTERO_ITEM CSL_CITATION {"citationID":"TQb1DtTC","properties":{"formattedCitation":"(Hulme et al., 2008; Katsanevakis et al., 2013)","plainCitation":"(Hulme et al., 2008; Katsanevakis et al., 2013)","noteIndex":0},"citationItems":[{"id":30462,"uris":["http://zotero.org/groups/2352922/items/WXMFBV44"],"itemData":{"id":30462,"type":"article-journal","container-title":"Journal of Applied Ecology","DOI":"10.1111/j.1365-2664.2007.01442.x","ISSN":"00218901, 13652664","issue":"2","language":"en","page":"403-414","source":"DOI.org (Crossref)","title":"Grasping at the routes of biological invasions: a framework for integrating pathways into policy","title-short":"Grasping at the routes of biological invasions","URL":"https://onlinelibrary.wiley.com/doi/10.1111/j.1365-2664.2007.01442.x","volume":"45","author":[{"family":"Hulme","given":"Philip E."},{"family":"Bacher","given":"S."},{"family":"Kenis","given":"M."},{"family":"Klotz","given":"S."},{"family":"Kühn","given":"I."},{"family":"Minchin","given":"D."},{"family":"Nentwig","given":"W."},{"family":"Olenin","given":"S."},{"family":"Panov","given":"V."},{"family":"Pergl","given":"J."},{"family":"Pyšek","given":"P."},{"family":"Roques","given":"A."},{"family":"Sol","given":"D."},{"family":"Solarz","given":"W."},{"family":"Vilà","given":"M."}],"accessed":{"date-parts":[["2021",8,23]]},"issued":{"date-parts":[["2008",4]]}}},{"id":32152,"uris":["http://zotero.org/groups/2352922/items/Z3QY7YIT"],"itemData":{"id":32152,"type":"article-journal","abstract":"Assessing pathways of introduction of marine alien species is essential to identify management options and evaluate management decisions to regulate and prevent new introductions. By critically reviewing related information in scientiﬁc/grey literature and online resources, 1369 alien marine species in European seas were identiﬁed, of which 1257 were linked to the most probable pathway(s)/vector(s) of introduction. Based on their reported year of introduction, trends in the numbers of introduced species per pathway/vector were assessed on a decadal basis and invasion patterns were described for each pathway. The trend of new introductions of alien species in Europe has been increasing, with more than half of the species probably being introduced by shipping. Marine and inland corridors (primarily because of the Suez Canal) were the second most common pathway of introduction followed by aquaculture and aquarium trade. Aquaculture was the only pathway for which there was a marked decrease in new introductions during the last decade, presumably due to compulsory measures implemented at a national or European level. Introductions via all the other pathways have been increasing, aquarium trade being the pathway with the most striking observed increase. Many more species are expected to invade the Mediterranean Sea through the Suez Canal, as it has been continuously enlarged and the barriers for the invasion of Red Sea species have been substantially decreased. In addition to the existing regulations on aquaculture, the implementation of appropriate management measures on shipping and aquarium trade, e.g. the implementation of the Ballast Water Management Convention, awareness raising among aquarium hobbyists, and also implementation of a stricter legislative framework on the import of non-native aquarium species, could reverse the increasing trend in new introductions.","container-title":"Ocean &amp; Coastal Management","DOI":"10.1016/j.ocecoaman.2013.02.024","ISSN":"09645691","journalAbbreviation":"Ocean &amp; Coastal Management","language":"en","page":"64-74","source":"DOI.org (Crossref)","title":"Invading European Seas: Assessing pathways of introduction of marine aliens","title-short":"Invading European Seas","URL":"https://linkinghub.elsevier.com/retrieve/pii/S0964569113000562","volume":"76","author":[{"family":"Katsanevakis","given":"Stelios"},{"family":"Zenetos","given":"Argyro"},{"family":"Belchior","given":"Constança"},{"family":"Cardoso","given":"Ana Cristina"}],"accessed":{"date-parts":[["2021",12,6]]},"issued":{"date-parts":[["2013",5]]}}}],"schema":"https://github.com/citation-style-language/schema/raw/master/csl-citation.json"} </w:instrText>
      </w:r>
      <w:r w:rsidR="00510ED6" w:rsidRPr="00DA249F">
        <w:rPr>
          <w:rStyle w:val="eop"/>
          <w:lang w:val="en-GB"/>
        </w:rPr>
        <w:fldChar w:fldCharType="separate"/>
      </w:r>
      <w:r w:rsidR="00144D96" w:rsidRPr="00144D96">
        <w:t>(Hulme et al., 2008; Katsanevakis et al., 2013)</w:t>
      </w:r>
      <w:r w:rsidR="00510ED6" w:rsidRPr="00DA249F">
        <w:rPr>
          <w:rStyle w:val="eop"/>
          <w:lang w:val="en-GB"/>
        </w:rPr>
        <w:fldChar w:fldCharType="end"/>
      </w:r>
      <w:r w:rsidR="002E489A">
        <w:rPr>
          <w:rStyle w:val="eop"/>
          <w:lang w:val="en-GB"/>
        </w:rPr>
        <w:t>)</w:t>
      </w:r>
      <w:r w:rsidR="002E6ACB" w:rsidRPr="00DA249F">
        <w:rPr>
          <w:rStyle w:val="eop"/>
          <w:lang w:val="en-GB"/>
        </w:rPr>
        <w:t>.</w:t>
      </w:r>
      <w:r w:rsidR="00AF3504" w:rsidRPr="00DA249F">
        <w:rPr>
          <w:rStyle w:val="eop"/>
          <w:lang w:val="en-GB"/>
        </w:rPr>
        <w:t xml:space="preserve"> </w:t>
      </w:r>
    </w:p>
    <w:p w14:paraId="6AEE9A82" w14:textId="749525E8" w:rsidR="005C1C2E" w:rsidRPr="00DA249F" w:rsidRDefault="10416217" w:rsidP="0090109B">
      <w:pPr>
        <w:rPr>
          <w:lang w:val="en-GB"/>
        </w:rPr>
      </w:pPr>
      <w:r w:rsidRPr="00DA249F">
        <w:rPr>
          <w:rStyle w:val="eop"/>
          <w:lang w:val="en-GB"/>
        </w:rPr>
        <w:t>Pe</w:t>
      </w:r>
      <w:r w:rsidRPr="00DA249F">
        <w:rPr>
          <w:lang w:val="en-GB"/>
        </w:rPr>
        <w:t xml:space="preserve">ts also have the potential to become important vectors for pathogens and microorganisms that cause disease in animals and humans, in particular pets derived from wild animals </w:t>
      </w:r>
      <w:r w:rsidRPr="00DA249F">
        <w:rPr>
          <w:lang w:val="en-GB"/>
        </w:rPr>
        <w:fldChar w:fldCharType="begin"/>
      </w:r>
      <w:r w:rsidR="00331A79">
        <w:rPr>
          <w:lang w:val="en-GB"/>
        </w:rPr>
        <w:instrText xml:space="preserve"> ADDIN ZOTERO_ITEM CSL_CITATION {"citationID":"9PqDLc0g","properties":{"formattedCitation":"(M. J. Day, 2011)","plainCitation":"(M. J. Day, 2011)","dontUpdate":true,"noteIndex":0},"citationItems":[{"id":32150,"uris":["http://zotero.org/groups/2352922/items/W6KXXJFK"],"itemData":{"id":32150,"type":"article-journal","abstract":"The international prominence accorded the ‘One Health’ concept of co-ordinated activity of those involved in human and animal health is a modern incarnation of a long tradition of comparative medicine, with roots in the ancient civilizations and a golden era during the 19th century explosion of knowledge in the field of infectious disease research. Modern One Health tends to focus on zoonotic pathogens emerging from wildlife and production animal species, but one of the most significant One Health challenges is rabies for which there is a canine reservoir. This review considers the role of small companion animals in One Health and specifically addresses the major vector-borne infectious diseases that are shared by man, dogs and cats. The most significant of these are leishmaniosis, borreliosis, bartonellosis, ehrlichiosis, rickettsiosis and anaplasmosis. The challenges that lie ahead in this field of One Health are discussed, together with the role of the newly formed World Small Animal Veterinary Association One Health Committee.","container-title":"Parasites &amp; Vectors","DOI":"10.1186/1756-3305-4-49","ISSN":"1756-3305","issue":"1","journalAbbreviation":"Parasites Vectors","language":"en","page":"49","source":"DOI.org (Crossref)","title":"One health: the importance of companion animal vector-borne diseases","title-short":"One health","URL":"https://parasitesandvectors.biomedcentral.com/articles/10.1186/1756-3305-4-49","volume":"4","author":[{"family":"Day","given":"Michael J."}],"accessed":{"date-parts":[["2021",12,6]]},"issued":{"date-parts":[["2011",12]]}}}],"schema":"https://github.com/citation-style-language/schema/raw/master/csl-citation.json"} </w:instrText>
      </w:r>
      <w:r w:rsidRPr="00DA249F">
        <w:rPr>
          <w:lang w:val="en-GB"/>
        </w:rPr>
        <w:fldChar w:fldCharType="separate"/>
      </w:r>
      <w:r w:rsidR="00E84AA0" w:rsidRPr="00DA249F">
        <w:rPr>
          <w:lang w:val="en-GB"/>
        </w:rPr>
        <w:t>(Day, 2011)</w:t>
      </w:r>
      <w:r w:rsidRPr="00DA249F">
        <w:rPr>
          <w:lang w:val="en-GB"/>
        </w:rPr>
        <w:fldChar w:fldCharType="end"/>
      </w:r>
      <w:r w:rsidRPr="00DA249F">
        <w:rPr>
          <w:lang w:val="en-GB"/>
        </w:rPr>
        <w:t xml:space="preserve">. The spread of monkeypox to humans in the </w:t>
      </w:r>
      <w:r w:rsidR="7AB8EA7C" w:rsidRPr="00DA249F">
        <w:rPr>
          <w:lang w:val="en-GB"/>
        </w:rPr>
        <w:t xml:space="preserve">United States </w:t>
      </w:r>
      <w:r w:rsidRPr="00DA249F">
        <w:rPr>
          <w:lang w:val="en-GB"/>
        </w:rPr>
        <w:t xml:space="preserve">is thought to be due to contact with prairie dogs sold as pets </w:t>
      </w:r>
      <w:r w:rsidRPr="00DA249F">
        <w:rPr>
          <w:lang w:val="en-GB"/>
        </w:rPr>
        <w:fldChar w:fldCharType="begin"/>
      </w:r>
      <w:r w:rsidR="00331A79">
        <w:rPr>
          <w:lang w:val="en-GB"/>
        </w:rPr>
        <w:instrText xml:space="preserve"> ADDIN ZOTERO_ITEM CSL_CITATION {"citationID":"EIyM6Mah","properties":{"formattedCitation":"(C. M. Brown, 2008)","plainCitation":"(C. M. Brown, 2008)","dontUpdate":true,"noteIndex":0},"citationItems":[{"id":32149,"uris":["http://zotero.org/groups/2352922/items/KZIKXDSN"],"itemData":{"id":32149,"type":"article-journal","container-title":"BioScience","DOI":"10.1641/B580102","ISSN":"1525-3244, 0006-3568","issue":"1","language":"en","page":"6-7","source":"DOI.org (Crossref)","title":"Reaping the Whirlwind? Human Disease from Exotic Pets","title-short":"Reaping the Whirlwind?","URL":"https://academic.oup.com/bioscience/article/58/1/6/233504","volume":"58","author":[{"family":"Brown","given":"Catherine M."}],"accessed":{"date-parts":[["2021",12,6]]},"issued":{"date-parts":[["2008",1,1]]}}}],"schema":"https://github.com/citation-style-language/schema/raw/master/csl-citation.json"} </w:instrText>
      </w:r>
      <w:r w:rsidRPr="00DA249F">
        <w:rPr>
          <w:lang w:val="en-GB"/>
        </w:rPr>
        <w:fldChar w:fldCharType="separate"/>
      </w:r>
      <w:r w:rsidR="00C043D4" w:rsidRPr="00DA249F">
        <w:rPr>
          <w:lang w:val="en-GB"/>
        </w:rPr>
        <w:t>(Brown, 2008)</w:t>
      </w:r>
      <w:r w:rsidRPr="00DA249F">
        <w:rPr>
          <w:lang w:val="en-GB"/>
        </w:rPr>
        <w:fldChar w:fldCharType="end"/>
      </w:r>
      <w:r w:rsidR="009F7404">
        <w:rPr>
          <w:lang w:val="en-GB"/>
        </w:rPr>
        <w:t xml:space="preserve"> and</w:t>
      </w:r>
      <w:r w:rsidRPr="00DA249F">
        <w:rPr>
          <w:lang w:val="en-GB"/>
        </w:rPr>
        <w:t xml:space="preserve"> </w:t>
      </w:r>
      <w:r w:rsidR="00334303" w:rsidRPr="00DA249F">
        <w:rPr>
          <w:lang w:val="en-GB"/>
        </w:rPr>
        <w:t xml:space="preserve">pets are considered to have been important in the transmission of </w:t>
      </w:r>
      <w:r w:rsidR="00AD15C8" w:rsidRPr="00DA249F">
        <w:rPr>
          <w:lang w:val="en-GB"/>
        </w:rPr>
        <w:t>c</w:t>
      </w:r>
      <w:r w:rsidRPr="00DA249F">
        <w:rPr>
          <w:lang w:val="en-GB"/>
        </w:rPr>
        <w:t>hytridiomycosis and ran</w:t>
      </w:r>
      <w:r w:rsidR="004A378B">
        <w:rPr>
          <w:lang w:val="en-GB"/>
        </w:rPr>
        <w:t>a</w:t>
      </w:r>
      <w:r w:rsidRPr="00DA249F">
        <w:rPr>
          <w:lang w:val="en-GB"/>
        </w:rPr>
        <w:t xml:space="preserve">viral disease, which cause severe damage to amphibians </w:t>
      </w:r>
      <w:r w:rsidRPr="00DA249F">
        <w:rPr>
          <w:lang w:val="en-GB"/>
        </w:rPr>
        <w:fldChar w:fldCharType="begin"/>
      </w:r>
      <w:r w:rsidR="00331A79">
        <w:rPr>
          <w:lang w:val="en-GB"/>
        </w:rPr>
        <w:instrText xml:space="preserve"> ADDIN ZOTERO_ITEM CSL_CITATION {"citationID":"x7Ft4xI9","properties":{"formattedCitation":"(Schloegel et al., 2012)","plainCitation":"(Schloegel et al., 2012)","noteIndex":0},"citationItems":[{"id":52961,"uris":["http://zotero.org/groups/2352922/items/EGGVZ36N"],"itemData":{"id":52961,"type":"article-journal","abstract":"Global amphibian declines are linked with the presence of specific, highly virulent genotypes of the emerging fungal disease chytridiomycosis caused by Batrachochytrium dendrobatidis (Bd) known as the global panzootic lineage (Bd-GPL). The global trade in amphibians for human consumption is suspected to have facilitated emergence of the disease, but evidence to support this is largely lacking. Here, we investigated the role the Lithobates catesbeianus (North American bullfrog) trade in spreading Bd genotypes by comparing strains associated with L. catesbeianus to a global panel using 36 sequenced loci from multiple chromosomal regions. Most bullfrogs were infected with Bd-GPL genotypes, but we also detected novel, highly divergent Bd genotypes (Bd-Brazil) from a live bullfrog in a US market and from native Brazilian anurans in the Atlantic Forest where bullfrogs are widely farmed. Sexual reproduction was also detected for the first time in Bd in the form of a hybrid genotype between the Bd-GPL and Bd-Brazil lineages in the Atlantic Forest. Despite the demonstration that ribosomal RNA types in Bd fail to undergo concerted evolution (over 20 sequence types may be found in a single strain), the Bd-GPL and Bd-Brazil lineages form largely separate clusters of related internal transcribed spacer (ITS) RNA sequences. Using ITS sequences, we then demonstrate the presence of Bd-Brazil in Japan, primarily on invasive L. catesbeianus. The finding that Bd is capable of sexual reproduction between panzootic and endemic genotypes emphasizes the risk of international wildlife trade as a source of additional Bd epizootics owing to hybridization.","container-title":"Molecular Ecology","DOI":"10.1111/j.1365-294X.2012.05710.x","ISSN":"1365-294X","issue":"21","language":"en","note":"_eprint: https://onlinelibrary.wiley.com/doi/pdf/10.1111/j.1365-294X.2012.05710.x","page":"5162-5177","source":"Wiley Online Library","title":"Novel, panzootic and hybrid genotypes of amphibian chytridiomycosis associated with the bullfrog trade","URL":"https://onlinelibrary.wiley.com/doi/abs/10.1111/j.1365-294X.2012.05710.x","volume":"21","author":[{"family":"Schloegel","given":"Lisa M."},{"family":"Toledo","given":"Luís Felipe"},{"family":"Longcore","given":"Joyce E."},{"family":"Greenspan","given":"Sasha E."},{"family":"Vieira","given":"Conrado Augusto"},{"family":"Lee","given":"Maria"},{"family":"Zhao","given":"Serena"},{"family":"Wangen","given":"Catherine"},{"family":"Ferreira","given":"Claudia Maris"},{"family":"Hipolito","given":"Márcio"},{"family":"Davies","given":"Angela J."},{"family":"Cuomo","given":"Christina A."},{"family":"Daszak","given":"Peter"},{"family":"James","given":"Timothy Y."}],"accessed":{"date-parts":[["2022",8,18]]},"issued":{"date-parts":[["2012"]]}}}],"schema":"https://github.com/citation-style-language/schema/raw/master/csl-citation.json"} </w:instrText>
      </w:r>
      <w:r w:rsidRPr="00DA249F">
        <w:rPr>
          <w:lang w:val="en-GB"/>
        </w:rPr>
        <w:fldChar w:fldCharType="separate"/>
      </w:r>
      <w:r w:rsidR="00144D96" w:rsidRPr="00144D96">
        <w:t>(Schloegel et al., 2012)</w:t>
      </w:r>
      <w:r w:rsidRPr="00DA249F">
        <w:rPr>
          <w:lang w:val="en-GB"/>
        </w:rPr>
        <w:fldChar w:fldCharType="end"/>
      </w:r>
      <w:r w:rsidRPr="00DA249F">
        <w:rPr>
          <w:lang w:val="en-GB"/>
        </w:rPr>
        <w:t xml:space="preserve">. </w:t>
      </w:r>
    </w:p>
    <w:p w14:paraId="5EAA6988" w14:textId="77777777" w:rsidR="008C1BF7" w:rsidRPr="00DA249F" w:rsidRDefault="00AB78A7" w:rsidP="00F4798A">
      <w:pPr>
        <w:pStyle w:val="Heading3"/>
        <w:rPr>
          <w:lang w:val="en-GB"/>
        </w:rPr>
      </w:pPr>
      <w:bookmarkStart w:id="115" w:name="_Toc44317802"/>
      <w:r w:rsidRPr="00DA249F">
        <w:rPr>
          <w:lang w:val="en-GB"/>
        </w:rPr>
        <w:t>I</w:t>
      </w:r>
      <w:r w:rsidR="633E06D6" w:rsidRPr="00DA249F">
        <w:rPr>
          <w:lang w:val="en-GB"/>
        </w:rPr>
        <w:t xml:space="preserve">nternational </w:t>
      </w:r>
      <w:r w:rsidR="2D936C58" w:rsidRPr="00DA249F">
        <w:rPr>
          <w:lang w:val="en-GB"/>
        </w:rPr>
        <w:t>travel</w:t>
      </w:r>
      <w:r w:rsidR="0231CA54" w:rsidRPr="00DA249F">
        <w:rPr>
          <w:lang w:val="en-GB"/>
        </w:rPr>
        <w:t xml:space="preserve"> for </w:t>
      </w:r>
      <w:r w:rsidR="2D936C58" w:rsidRPr="00DA249F">
        <w:rPr>
          <w:lang w:val="en-GB"/>
        </w:rPr>
        <w:t>commerce</w:t>
      </w:r>
      <w:r w:rsidR="0231CA54" w:rsidRPr="00DA249F">
        <w:rPr>
          <w:lang w:val="en-GB"/>
        </w:rPr>
        <w:t xml:space="preserve"> and </w:t>
      </w:r>
      <w:r w:rsidR="2D936C58" w:rsidRPr="00DA249F">
        <w:rPr>
          <w:lang w:val="en-GB"/>
        </w:rPr>
        <w:t>tourism</w:t>
      </w:r>
      <w:r w:rsidR="0231CA54" w:rsidRPr="00DA249F">
        <w:rPr>
          <w:lang w:val="en-GB"/>
        </w:rPr>
        <w:t xml:space="preserve"> </w:t>
      </w:r>
      <w:bookmarkEnd w:id="115"/>
    </w:p>
    <w:p w14:paraId="4A9F6D6F" w14:textId="7C7B5706" w:rsidR="00AF6C9D" w:rsidRPr="00DA249F" w:rsidRDefault="30D6CC51" w:rsidP="0090109B">
      <w:pPr>
        <w:rPr>
          <w:lang w:val="en-GB"/>
        </w:rPr>
      </w:pPr>
      <w:r w:rsidRPr="5575EBFC">
        <w:rPr>
          <w:lang w:val="en-GB"/>
        </w:rPr>
        <w:t xml:space="preserve">In 2019, there were approximately 1.5 billion </w:t>
      </w:r>
      <w:r w:rsidR="07EEC2E0" w:rsidRPr="5575EBFC">
        <w:rPr>
          <w:lang w:val="en-GB"/>
        </w:rPr>
        <w:t xml:space="preserve">international </w:t>
      </w:r>
      <w:r w:rsidR="0522B8C7" w:rsidRPr="5575EBFC">
        <w:rPr>
          <w:lang w:val="en-GB"/>
        </w:rPr>
        <w:t xml:space="preserve">passenger </w:t>
      </w:r>
      <w:r w:rsidR="799FE453" w:rsidRPr="5575EBFC">
        <w:rPr>
          <w:lang w:val="en-GB"/>
        </w:rPr>
        <w:t>arrivals associated with tourism,</w:t>
      </w:r>
      <w:r w:rsidR="5F58C80D" w:rsidRPr="5575EBFC">
        <w:rPr>
          <w:lang w:val="en-GB"/>
        </w:rPr>
        <w:t xml:space="preserve"> </w:t>
      </w:r>
      <w:r w:rsidR="798004E1" w:rsidRPr="5575EBFC">
        <w:rPr>
          <w:lang w:val="en-GB"/>
        </w:rPr>
        <w:t xml:space="preserve">a </w:t>
      </w:r>
      <w:r w:rsidR="5430376B" w:rsidRPr="5575EBFC">
        <w:rPr>
          <w:lang w:val="en-GB"/>
        </w:rPr>
        <w:t>five</w:t>
      </w:r>
      <w:r w:rsidR="798004E1" w:rsidRPr="5575EBFC">
        <w:rPr>
          <w:lang w:val="en-GB"/>
        </w:rPr>
        <w:t>-fold increas</w:t>
      </w:r>
      <w:r w:rsidR="0291AD6B" w:rsidRPr="5575EBFC">
        <w:rPr>
          <w:lang w:val="en-GB"/>
        </w:rPr>
        <w:t>e</w:t>
      </w:r>
      <w:r w:rsidR="2D0A3D9A" w:rsidRPr="5575EBFC">
        <w:rPr>
          <w:lang w:val="en-GB"/>
        </w:rPr>
        <w:t xml:space="preserve"> in the number of travellers</w:t>
      </w:r>
      <w:r w:rsidR="798004E1" w:rsidRPr="5575EBFC">
        <w:rPr>
          <w:lang w:val="en-GB"/>
        </w:rPr>
        <w:t xml:space="preserve"> compared with 1980 </w:t>
      </w:r>
      <w:r w:rsidR="0220E1A2" w:rsidRPr="5575EBFC">
        <w:rPr>
          <w:lang w:val="en-GB"/>
        </w:rPr>
        <w:fldChar w:fldCharType="begin"/>
      </w:r>
      <w:r w:rsidR="00230216">
        <w:rPr>
          <w:lang w:val="en-GB"/>
        </w:rPr>
        <w:instrText xml:space="preserve"> ADDIN ZOTERO_ITEM CSL_CITATION {"citationID":"lRNJOUje","properties":{"formattedCitation":"(UNWTO, 2021)","plainCitation":"(UNWTO, 2021)","noteIndex":0},"citationItems":[{"id":"zUkrYEfa/3TQzDph1","uris":["http://zotero.org/users/5651267/items/AAP44DKP"],"itemData":{"id":66208,"type":"book","title":"Compendium of Tourism Statistics Data  2015 –  2019","URL":"https://www.e-unwto.org/doi/epdf/10.18111/9789284422494.1","author":[{"family":"UNWTO","given":""}],"accessed":{"date-parts":[["2021",11,30]]},"issued":{"date-parts":[["2021"]]}}}],"schema":"https://github.com/citation-style-language/schema/raw/master/csl-citation.json"} </w:instrText>
      </w:r>
      <w:r w:rsidR="0220E1A2" w:rsidRPr="5575EBFC">
        <w:rPr>
          <w:lang w:val="en-GB"/>
        </w:rPr>
        <w:fldChar w:fldCharType="separate"/>
      </w:r>
      <w:r w:rsidR="6B5F9B9E">
        <w:t>(UNWTO, 2021)</w:t>
      </w:r>
      <w:r w:rsidR="0220E1A2" w:rsidRPr="5575EBFC">
        <w:rPr>
          <w:lang w:val="en-GB"/>
        </w:rPr>
        <w:fldChar w:fldCharType="end"/>
      </w:r>
      <w:r w:rsidR="76199B20" w:rsidRPr="5575EBFC">
        <w:rPr>
          <w:lang w:val="en-GB"/>
        </w:rPr>
        <w:t xml:space="preserve">. </w:t>
      </w:r>
      <w:r w:rsidR="7A4DA54B" w:rsidRPr="5575EBFC">
        <w:rPr>
          <w:lang w:val="en-GB"/>
        </w:rPr>
        <w:t>The continued expansion of the worldwide air transport network has facilitated th</w:t>
      </w:r>
      <w:r w:rsidR="7DD66EAE" w:rsidRPr="5575EBFC">
        <w:rPr>
          <w:lang w:val="en-GB"/>
        </w:rPr>
        <w:t>is</w:t>
      </w:r>
      <w:r w:rsidR="7A4DA54B" w:rsidRPr="5575EBFC">
        <w:rPr>
          <w:lang w:val="en-GB"/>
        </w:rPr>
        <w:t xml:space="preserve"> global movement of human passengers and, by increasingly linking regions of the world with similar climates, has facilitated the introduction of invasive alien species </w:t>
      </w:r>
      <w:r w:rsidR="0220E1A2" w:rsidRPr="5575EBFC">
        <w:rPr>
          <w:lang w:val="en-GB"/>
        </w:rPr>
        <w:fldChar w:fldCharType="begin"/>
      </w:r>
      <w:r w:rsidR="00331A79">
        <w:rPr>
          <w:lang w:val="en-GB"/>
        </w:rPr>
        <w:instrText xml:space="preserve"> ADDIN ZOTERO_ITEM CSL_CITATION {"citationID":"NmsfMPGM","properties":{"formattedCitation":"(Tatem, 2009)","plainCitation":"(Tatem, 2009)","noteIndex":0},"citationItems":[{"id":15599,"uris":["http://zotero.org/groups/2352922/items/XS5M94N4"],"itemData":{"id":15599,"type":"article-journal","abstract":"International air travel has played a significant role in driving recent increases in the rates of biological invasion and spread of infectious diseases. By providing high speed, busy transport links between spatially distant, but climatically similar regions of the world, the worldwide airline network (WAN) increases the risks of deliberate or accidental movements and establishment of climatically sensitive exotic organisms. With traffic levels continuing to rise and climates changing regionally, these risks will vary, both seasonally and year-by-year. Here, detailed estimates of air traffic trends and climate changes for the period 2007-2010 are used to examine the likely directions and magnitudes of changes in climatically sensitive organism invasion risk across the WAN. Analysis of over 144 million flights from 2007-2010 shows that by 2010, the WAN is likely to change little overall in terms of connecting regions with similar climates, but anticipated increases in traffic and local variations in climatic changes should increase the risks of exotic species movement on the WAN and establishment in new areas. These overall shifts mask spatially and temporally heterogenous changes across the WAN, where, for example, traffic increases and climatic convergence by July 2010 between parts of China and northern Europe and North America raise the likelihood of exotic species invasions, whereas anticipated climatic shifts may actually reduce invasion risks into much of eastern Europe.","container-title":"Ecography","DOI":"10.1111/j.1600-0587.2008.05588.x","ISSN":"0906-7590","issue":"1","journalAbbreviation":"Ecography","language":"English","note":"WOS:000264880300012","page":"94-102","title":"The worldwide airline network and the dispersal of exotic species: 2007-2010","volume":"32","author":[{"family":"Tatem","given":"Andrew J."}],"issued":{"date-parts":[["2009",2]]}}}],"schema":"https://github.com/citation-style-language/schema/raw/master/csl-citation.json"} </w:instrText>
      </w:r>
      <w:r w:rsidR="0220E1A2" w:rsidRPr="5575EBFC">
        <w:rPr>
          <w:lang w:val="en-GB"/>
        </w:rPr>
        <w:fldChar w:fldCharType="separate"/>
      </w:r>
      <w:r w:rsidR="6B5F9B9E">
        <w:t>(Tatem, 2009)</w:t>
      </w:r>
      <w:r w:rsidR="0220E1A2" w:rsidRPr="5575EBFC">
        <w:rPr>
          <w:lang w:val="en-GB"/>
        </w:rPr>
        <w:fldChar w:fldCharType="end"/>
      </w:r>
      <w:r w:rsidR="7A4DA54B" w:rsidRPr="5575EBFC">
        <w:rPr>
          <w:lang w:val="en-GB"/>
        </w:rPr>
        <w:t xml:space="preserve">. While some invasive alien species, particularly mosquitoes </w:t>
      </w:r>
      <w:r w:rsidR="0220E1A2" w:rsidRPr="5575EBFC">
        <w:rPr>
          <w:lang w:val="en-GB"/>
        </w:rPr>
        <w:fldChar w:fldCharType="begin"/>
      </w:r>
      <w:r w:rsidR="00331A79">
        <w:rPr>
          <w:lang w:val="en-GB"/>
        </w:rPr>
        <w:instrText xml:space="preserve"> ADDIN ZOTERO_ITEM CSL_CITATION {"citationID":"Yz4TACGK","properties":{"formattedCitation":"(E. B. E. Brown et al., 2012)","plainCitation":"(E. B. E. Brown et al., 2012)","dontUpdate":true,"noteIndex":0},"citationItems":[{"id":15587,"uris":["http://zotero.org/groups/2352922/items/2PQC9WRN"],"itemData":{"id":15587,"type":"article-journal","abstract":"The number of West Nile virus (WNV)-infected mosquitoes aboard aircraft from the United States that arrive in the United Kingdom each summer was determined using a quantitative risk assessment. In the worst-case scenario, when WNV levels in mosquitoes are high (at epidemic levels) the probability of at least one WNV-infected mosquito being introduced into the United Kingdom was predicted to be 0.99. During these periods, a mean of 5.2 infected mosquitoes were estimated to be aboard flights from the United States to the United Kingdom during May to October, with 90% certainty that the exact value lies between one and ten mosquitoes. Heathrow airport was predicted to receive the majority of the infected mosquitoes (72.1%). Spatial analysis revealed the region surrounding Heathrow satisfies the criteria for potential WNV exposure as both WNV-competent mosquitoes and susceptible wild bird species are present. This region is, therefore, recommended for targeted, risk-based surveillance of WNV-infected mosquitoes in addition to an increased awareness of the risks to horses, birds and humans.","container-title":"Vector-Borne and Zoonotic Diseases","DOI":"10.1089/vbz.2010.0176","ISSN":"1530-3667","issue":"4","journalAbbreviation":"Vector-Borne Zoonotic Dis.","language":"English","note":"WOS:000302769700008","page":"310-320","title":"Assessing the Risks of West Nile Virus-Infected Mosquitoes from Transatlantic Aircraft: Implications for Disease Emergence in the United Kingdom","volume":"12","author":[{"family":"Brown","given":"Eleanor B. E."},{"family":"Adkin","given":"Amie"},{"family":"Fooks","given":"Anthony R."},{"family":"Stephenson","given":"Ben"},{"family":"Medlock","given":"Jolyon M."},{"family":"Snary","given":"Emma L."}],"issued":{"date-parts":[["2012",4]]}}}],"schema":"https://github.com/citation-style-language/schema/raw/master/csl-citation.json"} </w:instrText>
      </w:r>
      <w:r w:rsidR="0220E1A2" w:rsidRPr="5575EBFC">
        <w:rPr>
          <w:lang w:val="en-GB"/>
        </w:rPr>
        <w:fldChar w:fldCharType="separate"/>
      </w:r>
      <w:r w:rsidR="433DFAAE" w:rsidRPr="5575EBFC">
        <w:rPr>
          <w:lang w:val="en-GB"/>
        </w:rPr>
        <w:t>(Brown et al., 2012)</w:t>
      </w:r>
      <w:r w:rsidR="0220E1A2" w:rsidRPr="5575EBFC">
        <w:rPr>
          <w:lang w:val="en-GB"/>
        </w:rPr>
        <w:fldChar w:fldCharType="end"/>
      </w:r>
      <w:r w:rsidR="7A4DA54B" w:rsidRPr="5575EBFC">
        <w:rPr>
          <w:lang w:val="en-GB"/>
        </w:rPr>
        <w:t xml:space="preserve">, can be </w:t>
      </w:r>
      <w:r w:rsidR="5CA63A3A" w:rsidRPr="5575EBFC">
        <w:rPr>
          <w:lang w:val="en-GB"/>
        </w:rPr>
        <w:t xml:space="preserve">unintentionally </w:t>
      </w:r>
      <w:r w:rsidR="7A4DA54B" w:rsidRPr="5575EBFC">
        <w:rPr>
          <w:lang w:val="en-GB"/>
        </w:rPr>
        <w:t>transported in commercial passenger aircraft, the highest risk of introducing a wide range of alien species comes from the passengers.</w:t>
      </w:r>
      <w:r w:rsidR="4FF48879" w:rsidRPr="5575EBFC">
        <w:rPr>
          <w:lang w:val="en-GB"/>
        </w:rPr>
        <w:t xml:space="preserve"> </w:t>
      </w:r>
      <w:r w:rsidR="7A4DA54B" w:rsidRPr="5575EBFC">
        <w:rPr>
          <w:lang w:val="en-GB"/>
        </w:rPr>
        <w:t>Passengers often</w:t>
      </w:r>
      <w:r w:rsidR="5CA63A3A" w:rsidRPr="5575EBFC">
        <w:rPr>
          <w:lang w:val="en-GB"/>
        </w:rPr>
        <w:t xml:space="preserve"> intentionally</w:t>
      </w:r>
      <w:r w:rsidR="7A4DA54B" w:rsidRPr="5575EBFC">
        <w:rPr>
          <w:lang w:val="en-GB"/>
        </w:rPr>
        <w:t xml:space="preserve"> transport fresh food items, untreated </w:t>
      </w:r>
      <w:r w:rsidR="653119AE" w:rsidRPr="5575EBFC">
        <w:rPr>
          <w:lang w:val="en-GB"/>
        </w:rPr>
        <w:t>timber,</w:t>
      </w:r>
      <w:r w:rsidR="7A4DA54B" w:rsidRPr="5575EBFC">
        <w:rPr>
          <w:lang w:val="en-GB"/>
        </w:rPr>
        <w:t xml:space="preserve"> or </w:t>
      </w:r>
      <w:r w:rsidR="7A4DA54B" w:rsidRPr="5575EBFC">
        <w:rPr>
          <w:lang w:val="en-GB"/>
        </w:rPr>
        <w:lastRenderedPageBreak/>
        <w:t xml:space="preserve">animal skin products, either for personal consumption or as gifts, </w:t>
      </w:r>
      <w:r w:rsidR="5CA63A3A" w:rsidRPr="5575EBFC">
        <w:rPr>
          <w:lang w:val="en-GB"/>
        </w:rPr>
        <w:t>which</w:t>
      </w:r>
      <w:r w:rsidR="7A4DA54B" w:rsidRPr="5575EBFC">
        <w:rPr>
          <w:lang w:val="en-GB"/>
        </w:rPr>
        <w:t xml:space="preserve"> may carry alien </w:t>
      </w:r>
      <w:r w:rsidR="48271309" w:rsidRPr="5575EBFC">
        <w:rPr>
          <w:lang w:val="en-GB"/>
        </w:rPr>
        <w:t>species</w:t>
      </w:r>
      <w:r w:rsidR="7A4DA54B" w:rsidRPr="5575EBFC">
        <w:rPr>
          <w:lang w:val="en-GB"/>
        </w:rPr>
        <w:t xml:space="preserve"> or </w:t>
      </w:r>
      <w:r w:rsidR="48271309" w:rsidRPr="5575EBFC">
        <w:rPr>
          <w:lang w:val="en-GB"/>
        </w:rPr>
        <w:t xml:space="preserve">alien </w:t>
      </w:r>
      <w:r w:rsidR="7A4DA54B" w:rsidRPr="5575EBFC">
        <w:rPr>
          <w:lang w:val="en-GB"/>
        </w:rPr>
        <w:t>pathogens as contaminants</w:t>
      </w:r>
      <w:r w:rsidR="43E0CBFA" w:rsidRPr="5575EBFC">
        <w:rPr>
          <w:lang w:val="en-GB"/>
        </w:rPr>
        <w:t xml:space="preserve"> on the passengers themselves or in their luggage</w:t>
      </w:r>
      <w:r w:rsidR="7A4DA54B" w:rsidRPr="5575EBFC">
        <w:rPr>
          <w:lang w:val="en-GB"/>
        </w:rPr>
        <w:t xml:space="preserve">. In the </w:t>
      </w:r>
      <w:r w:rsidR="1B7E129B" w:rsidRPr="5575EBFC">
        <w:rPr>
          <w:lang w:val="en-GB"/>
        </w:rPr>
        <w:t>United States</w:t>
      </w:r>
      <w:r w:rsidR="7A4DA54B" w:rsidRPr="5575EBFC">
        <w:rPr>
          <w:lang w:val="en-GB"/>
        </w:rPr>
        <w:t xml:space="preserve">, border inspections have found that more than half of all pests encountered were associated with traveller baggage rather than cargo </w:t>
      </w:r>
      <w:r w:rsidR="0220E1A2" w:rsidRPr="5575EBFC">
        <w:rPr>
          <w:lang w:val="en-GB"/>
        </w:rPr>
        <w:fldChar w:fldCharType="begin"/>
      </w:r>
      <w:r w:rsidR="00331A79">
        <w:rPr>
          <w:lang w:val="en-GB"/>
        </w:rPr>
        <w:instrText xml:space="preserve"> ADDIN ZOTERO_ITEM CSL_CITATION {"citationID":"iKG0XPya","properties":{"formattedCitation":"(McCullough et al., 2006)","plainCitation":"(McCullough et al., 2006)","noteIndex":0},"citationItems":[{"id":15303,"uris":["http://zotero.org/groups/2352922/items/4TC7E3X7"],"itemData":{"id":15303,"type":"article-journal","abstract":"Despite the substantial impacts of nonindigenous plant pests and weeds, relatively little is known about the pathways by which these organisms arrive in the U.S. One source of such information is the Port Information Network (PIN) database, maintained by the U.S. Department of Agriculture, Animal and Plant Health Inspection Service (APHIS) since 1984. The PIN database is comprised of records of pests intercepted by APHIS personnel during inspections of travelers' baggage, cargo, conveyances and related items arriving at U.S. ports of entry and border crossings. Each record typically includes the taxonomic identify of the pest, its country of origin, and information related to the commodity and interception site. We summarized more than 725,000 pest interceptions recorded in PIN from 1984 to 2000 to examine origins, interception sites and modes of transport for nonindigenous insects, mites, mollusks, nematodes, plant pathogens and weeds. Roughly 62% of intercepted pests were associated with baggage, 30% were associated with cargo and 7% were associated with plant propagative material. Pest interceptions occurred most commonly at airports (73%), U.S.-Mexico land border crossings (13%) and marine ports (9%). Insects dominated the database, comprising 73 to 84% of the records annually, with the orders Homoptera, Lepidoptera and Diptera collectively accounting for over 75% of the insect records. Plant pathogens, weeds and mollusks accounted for 13, 7 and 1.5% of all pest records, respectively, while mites and nematodes comprised less than 1% of the records. Pests were intercepted from at least 259 different locations. Common origins included Mexico, Central and South American countries, the Caribbean and Asia. Within specific commodity pathways, richness of the pest taxa generally increased linearly with the number of interceptions. Application of PIN data for statistically robust predictions is limited by nonrandom sampling protocols, but the data provide a valuable historical record of the array of nonindigenous organisms transported to the U.S. through international trade and travel.","container-title":"Biological Invasions","DOI":"10.1007/s10530-005-1798-4","ISSN":"1387-3547","issue":"4","note":"WOS:000238531200005","page":"611-630","title":"Interceptions of nonindigenous plant pests at US ports of entry and border crossings over a 17-year period","volume":"8","author":[{"family":"McCullough","given":"D. G."},{"family":"Work","given":"T. T."},{"family":"Cavey","given":"J. F."},{"family":"Liebhold","given":"A. M."},{"family":"Marshall","given":"D."}],"issued":{"date-parts":[["2006",6]]}}}],"schema":"https://github.com/citation-style-language/schema/raw/master/csl-citation.json"} </w:instrText>
      </w:r>
      <w:r w:rsidR="0220E1A2" w:rsidRPr="5575EBFC">
        <w:rPr>
          <w:lang w:val="en-GB"/>
        </w:rPr>
        <w:fldChar w:fldCharType="separate"/>
      </w:r>
      <w:r w:rsidR="6B5F9B9E">
        <w:t>(McCullough et al., 2006)</w:t>
      </w:r>
      <w:r w:rsidR="0220E1A2" w:rsidRPr="5575EBFC">
        <w:rPr>
          <w:lang w:val="en-GB"/>
        </w:rPr>
        <w:fldChar w:fldCharType="end"/>
      </w:r>
      <w:r w:rsidR="7A4DA54B" w:rsidRPr="5575EBFC">
        <w:rPr>
          <w:lang w:val="en-GB"/>
        </w:rPr>
        <w:t>.</w:t>
      </w:r>
      <w:r w:rsidR="4FF48879" w:rsidRPr="5575EBFC">
        <w:rPr>
          <w:lang w:val="en-GB"/>
        </w:rPr>
        <w:t xml:space="preserve"> </w:t>
      </w:r>
      <w:r w:rsidR="7A4DA54B" w:rsidRPr="5575EBFC">
        <w:rPr>
          <w:lang w:val="en-GB"/>
        </w:rPr>
        <w:t xml:space="preserve">Although some international travellers attempt to </w:t>
      </w:r>
      <w:r w:rsidR="3E24D2AB" w:rsidRPr="5575EBFC">
        <w:rPr>
          <w:lang w:val="en-GB"/>
        </w:rPr>
        <w:t>intentionally</w:t>
      </w:r>
      <w:r w:rsidR="7A4DA54B" w:rsidRPr="5575EBFC">
        <w:rPr>
          <w:lang w:val="en-GB"/>
        </w:rPr>
        <w:t xml:space="preserve"> smuggle live animals, plants and food products that could be themselves invasive alien species or harbour them as contaminants </w:t>
      </w:r>
      <w:r w:rsidR="0220E1A2" w:rsidRPr="5575EBFC">
        <w:rPr>
          <w:lang w:val="en-GB"/>
        </w:rPr>
        <w:fldChar w:fldCharType="begin"/>
      </w:r>
      <w:r w:rsidR="00331A79">
        <w:rPr>
          <w:lang w:val="en-GB"/>
        </w:rPr>
        <w:instrText xml:space="preserve"> ADDIN ZOTERO_ITEM CSL_CITATION {"citationID":"jodCPvrz","properties":{"formattedCitation":"(Chown et al., 2012; Soon &amp; Manning, 2018)","plainCitation":"(Chown et al., 2012; Soon &amp; Manning, 2018)","noteIndex":0},"citationItems":[{"id":30372,"uris":["http://zotero.org/groups/2352922/items/HJ3HAU6C"],"itemData":{"id":30372,"type":"article-journal","abstract":"Invasive alien species are among the primary causes of biodiversity change globally, with the risks thereof broadly understood for most regions of the world. They are similarly thought to be among the most significant conservation threats to Antarctica, especially as climate change proceeds in the region. However, no comprehensive, continent-wide evaluation of the risks to Antarctica posed by such species has been undertaken. Here we do so by sampling, identifying, and mapping the vascular plant propagules carried by all categories of visitors to Antarctica during the International Polar Year's first season (2007-2008) and assessing propagule establishment likelihood based on their identity and origins and on spatial variation in Antarctica's climate. For an evaluation of the situation in 2100, we use modeled climates based on the Intergovernmental Panel on Climate Change's Special Report on Emissions Scenarios Scenario A1B [Nakicenovic N, Swart R, eds (2000) Special Report on Emissions Scenarios: A Special Report of Working Group III of the Intergovernmental Panel on Climate Change (Cambridge University Press, Cambridge, UK)]. Visitors carrying seeds average 9.5 seeds per person, although as vectors, scientists carry greater propagule loads than tourists. Annual tourist numbers (similar to 33,054) are higher than those of scientists (similar to 7,085), thus tempering these differences in propagule load. Alien species establishment is currently most likely for the Western Antarctic Peninsula. Recent founder populations of several alien species in this area corroborate these findings. With climate change, risks will grow in the Antarctic Peninsula, Ross Sea, and East Antarctic coastal regions. Our evidence-based assessment demonstrates which parts of Antarctica are at growing risk from alien species that may become invasive and provides the means to mitigate this threat now and into the future as the continent's climate changes.","container-title":"Proceedings of the National Academy of Sciences of the United States of America","DOI":"10.1073/pnas.1119787109","ISSN":"0027-8424","issue":"13","journalAbbreviation":"Proceedings of the National Academy of Sciences","note":"WOS:000302164200049","page":"4938-4943","title":"Continent-wide risk assessment for the establishment of nonindigenous species in Antarctica","URL":"http://www.pnas.org/cgi/doi/10.1073/pnas.1119787109","volume":"109","author":[{"family":"Chown","given":"Steven L."},{"family":"Huiskes","given":"Ad H. L."},{"family":"Gremmen","given":"Niek J. M."},{"family":"Lee","given":"Jennifer E."},{"family":"Terauds","given":"Aleks"},{"family":"Crosbie","given":"Kim"},{"family":"Frenot","given":"Yves"},{"family":"Hughes","given":"Kevin A."},{"family":"Imura","given":"Satoshi"},{"family":"Kiefer","given":"Kate"},{"family":"Lebouvier","given":"Marc"},{"family":"Raymond","given":"Ben"},{"family":"Tsujimoto","given":"Megumu"},{"family":"Ware","given":"Chris"},{"family":"Van de Vijver","given":"Bart"},{"family":"Bergstrom","given":"Dana Michelle"}],"issued":{"date-parts":[["2012",3,27]]}}},{"id":15598,"uris":["http://zotero.org/groups/2352922/items/MN3MNUNQ"],"itemData":{"id":15598,"type":"article-journal","abstract":"Background: Food smuggling and food trafficking are terms not currently defined in the food literature. This work sought to determine how such definitions could be developed in order to inform future research and surveillance activity. Scope and approach: The concept of food smuggling and food trafficking is considered, and regulatory food surveillance data for illegal and unauthorised imports and food trade incidents (n = 347) into the European Union (EU) between 1987 and 2017 is explored and critiqued. Key findings: Illegal imports, especially animal and fish products, can pose a threat to human and animal health, spread animal disease and invasive plant species, and lead to loss of wildlife and biodiversity. Economies are weakened through the tax avoidance and evasion elements of food smuggling and coercive food trafficking. Reported illegal trade in the EU's Risk Assessment for Food and Feed (RASFF) database was highest for meat products followed by fruit and vegetables. Purposive sampling means the data does not reflect the true incidence, extent and type of illegal imports especially by individuals for personal use. There are limited global strategies in place to address food smuggling and trafficking. This work has translated the lessons learnt from the processes developed to reduce tobacco smuggling to illicit activity associated with food. Elements of a comprehensive strategy to address illicit food trade include the developing of effective legal and institutional frameworks in association with effective, transparent communication and cooperation systems. This paper fills a current gap in the academic literature on this topic.","container-title":"Trends in Food Science &amp; Technology","DOI":"10.1016/j.tifs.2018.09.007","ISSN":"0924-2244","journalAbbreviation":"Trends Food Sci. Technol.","language":"English","note":"WOS:000449126900012","page":"132-138","title":"Food smuggling and trafficking: The key factors of influence","URL":"https://www.sciencedirect.com/science/article/abs/pii/S0924224418303613?via%3Dihub","volume":"81","author":[{"family":"Soon","given":"Jan Mei"},{"family":"Manning","given":"Louise"}],"issued":{"date-parts":[["2018",11]]}}}],"schema":"https://github.com/citation-style-language/schema/raw/master/csl-citation.json"} </w:instrText>
      </w:r>
      <w:r w:rsidR="0220E1A2" w:rsidRPr="5575EBFC">
        <w:rPr>
          <w:lang w:val="en-GB"/>
        </w:rPr>
        <w:fldChar w:fldCharType="separate"/>
      </w:r>
      <w:r w:rsidR="6B5F9B9E">
        <w:t>(Chown et al., 2012; Soon &amp; Manning, 2018)</w:t>
      </w:r>
      <w:r w:rsidR="0220E1A2" w:rsidRPr="5575EBFC">
        <w:rPr>
          <w:lang w:val="en-GB"/>
        </w:rPr>
        <w:fldChar w:fldCharType="end"/>
      </w:r>
      <w:r w:rsidR="7A4DA54B" w:rsidRPr="5575EBFC">
        <w:rPr>
          <w:lang w:val="en-GB"/>
        </w:rPr>
        <w:t xml:space="preserve">, most international travellers are unaware of the risk they pose in unintentionally introducing stowaways. International travellers can </w:t>
      </w:r>
      <w:r w:rsidR="6FB41D9D" w:rsidRPr="5575EBFC">
        <w:rPr>
          <w:lang w:val="en-GB"/>
        </w:rPr>
        <w:t xml:space="preserve">also </w:t>
      </w:r>
      <w:r w:rsidR="7A4DA54B" w:rsidRPr="5575EBFC">
        <w:rPr>
          <w:lang w:val="en-GB"/>
        </w:rPr>
        <w:t xml:space="preserve">introduce stowaways on their clothing, </w:t>
      </w:r>
      <w:r w:rsidR="0D53749B" w:rsidRPr="5575EBFC">
        <w:rPr>
          <w:lang w:val="en-GB"/>
        </w:rPr>
        <w:t>footwear</w:t>
      </w:r>
      <w:r w:rsidR="009F7404">
        <w:rPr>
          <w:lang w:val="en-GB"/>
        </w:rPr>
        <w:t xml:space="preserve"> and</w:t>
      </w:r>
      <w:r w:rsidR="7A4DA54B" w:rsidRPr="5575EBFC">
        <w:rPr>
          <w:lang w:val="en-GB"/>
        </w:rPr>
        <w:t xml:space="preserve"> equipment (</w:t>
      </w:r>
      <w:r w:rsidR="417335BF" w:rsidRPr="5575EBFC">
        <w:rPr>
          <w:lang w:val="en-GB"/>
        </w:rPr>
        <w:t xml:space="preserve">e.g., </w:t>
      </w:r>
      <w:r w:rsidR="7A4DA54B" w:rsidRPr="5575EBFC">
        <w:rPr>
          <w:lang w:val="en-GB"/>
        </w:rPr>
        <w:t>tents, fishing tackle</w:t>
      </w:r>
      <w:r w:rsidR="009F7404">
        <w:rPr>
          <w:lang w:val="en-GB"/>
        </w:rPr>
        <w:t xml:space="preserve"> and</w:t>
      </w:r>
      <w:r w:rsidR="40DE2EF7" w:rsidRPr="5575EBFC">
        <w:rPr>
          <w:lang w:val="en-GB"/>
        </w:rPr>
        <w:t xml:space="preserve"> golf</w:t>
      </w:r>
      <w:r w:rsidR="7A4DA54B" w:rsidRPr="5575EBFC">
        <w:rPr>
          <w:lang w:val="en-GB"/>
        </w:rPr>
        <w:t xml:space="preserve"> clubs). A single gram of soil attached to footwear can harbour 5 million bacteria, 50,000 fungi, 3 seeds</w:t>
      </w:r>
      <w:r w:rsidR="009F7404">
        <w:rPr>
          <w:lang w:val="en-GB"/>
        </w:rPr>
        <w:t xml:space="preserve"> and</w:t>
      </w:r>
      <w:r w:rsidR="7A4DA54B" w:rsidRPr="5575EBFC">
        <w:rPr>
          <w:lang w:val="en-GB"/>
        </w:rPr>
        <w:t xml:space="preserve"> 40 nematodes</w:t>
      </w:r>
      <w:r w:rsidR="318192FF" w:rsidRPr="5575EBFC">
        <w:rPr>
          <w:lang w:val="en-GB"/>
        </w:rPr>
        <w:t>,</w:t>
      </w:r>
      <w:r w:rsidR="7A4DA54B" w:rsidRPr="5575EBFC">
        <w:rPr>
          <w:lang w:val="en-GB"/>
        </w:rPr>
        <w:t xml:space="preserve"> and these taxa may often include potential invasive alien species </w:t>
      </w:r>
      <w:r w:rsidR="0220E1A2" w:rsidRPr="5575EBFC">
        <w:rPr>
          <w:lang w:val="en-GB"/>
        </w:rPr>
        <w:fldChar w:fldCharType="begin"/>
      </w:r>
      <w:r w:rsidR="00331A79">
        <w:rPr>
          <w:lang w:val="en-GB"/>
        </w:rPr>
        <w:instrText xml:space="preserve"> ADDIN ZOTERO_ITEM CSL_CITATION {"citationID":"6dko3Owz","properties":{"formattedCitation":"(Hulme, 2015a)","plainCitation":"(Hulme, 2015a)","noteIndex":0},"citationItems":[{"id":30909,"uris":["http://zotero.org/groups/2352922/items/NZFSMFGX"],"itemData":{"id":30909,"type":"article-journal","abstract":"Parties to the Convention on Biological Diversity have agreed that, by 2020, invasion pathways will be identified, prioritized and managed to prevent the introduction of invasive alien species. The challenges facing this target are examined for six primary invasion pathways: assisted colonization as a deliberate release; escape of pets and aquaria species; parasite and pathogen contaminants of wildlife; stowaways on tourist clothing and equipment; navigation corridors; and transboundary implications of unaided spread. Economic drivers such as tourism, the pet trade and infrastructure projects will accelerate invasive alien species introductions, particularly in emerging economies. Mitigation requires polluter pays' legislation combined with improved policy enforcement and compliance.Policy implications. Policymakers require new risk analysis tools to predict the hazards posed by species with no prior invasion history, the vulnerability of native biodiversity to emerging diseases, and the components of regional species pools that become invasive following connection via corridors.","container-title":"Journal of Applied Ecology","DOI":"10.1111/1365-2664.12470","ISSN":"0021-8901","issue":"6","journalAbbreviation":"J Appl Ecol","license":"© 2015 The Author. Journal of Applied Ecology © 2015 British Ecological Society","note":"WOS:000367095400002","page":"1418-1424","source":"DOI.org (Crossref)","title":"Invasion pathways at a crossroad: policy and research challenges for managing alien species introductions","title-short":"Invasion pathways at a crossroad","URL":"http://doi.wiley.com/10.1111/1365-2664.12470","volume":"52","author":[{"family":"Hulme","given":"Philip E."}],"issued":{"date-parts":[["2015",12]]}}}],"schema":"https://github.com/citation-style-language/schema/raw/master/csl-citation.json"} </w:instrText>
      </w:r>
      <w:r w:rsidR="0220E1A2" w:rsidRPr="5575EBFC">
        <w:rPr>
          <w:lang w:val="en-GB"/>
        </w:rPr>
        <w:fldChar w:fldCharType="separate"/>
      </w:r>
      <w:r w:rsidR="674745DD">
        <w:t>(Hulme, 2015a)</w:t>
      </w:r>
      <w:r w:rsidR="0220E1A2" w:rsidRPr="5575EBFC">
        <w:rPr>
          <w:lang w:val="en-GB"/>
        </w:rPr>
        <w:fldChar w:fldCharType="end"/>
      </w:r>
      <w:r w:rsidR="7A4DA54B" w:rsidRPr="5575EBFC">
        <w:rPr>
          <w:lang w:val="en-GB"/>
        </w:rPr>
        <w:t xml:space="preserve">. When these figures are multiplied up by the more than one billion international travellers worldwide </w:t>
      </w:r>
      <w:r w:rsidR="0220E1A2" w:rsidRPr="5575EBFC">
        <w:rPr>
          <w:lang w:val="en-GB"/>
        </w:rPr>
        <w:fldChar w:fldCharType="begin"/>
      </w:r>
      <w:r w:rsidR="00331A79">
        <w:rPr>
          <w:lang w:val="en-GB"/>
        </w:rPr>
        <w:instrText xml:space="preserve"> ADDIN ZOTERO_ITEM CSL_CITATION {"citationID":"qyQn6yBS","properties":{"formattedCitation":"(Glaesser et al., 2017)","plainCitation":"(Glaesser et al., 2017)","noteIndex":0},"citationItems":[{"id":24246,"uris":["http://zotero.org/groups/2352922/items/YUW6D2IR"],"itemData":{"id":24246,"type":"article-journal","container-title":"Journal of Travel Medicine","DOI":"10.1093/jtm/tax007","ISSN":"1195-1982","issue":"4","journalAbbreviation":"J. Travel Med.","language":"English","note":"WOS:000400904000003","page":"tax007","title":"Global travel patterns: an overview","title-short":"Global travel patterns","URL":"http://academic.oup.com/jtm/article/doi/10.1093/jtm/tax007/3748298/Global-travel-patterns-an-overview","volume":"24","author":[{"family":"Glaesser","given":"Dirk"},{"family":"Kester","given":"John"},{"family":"Paulose","given":"Hanna"},{"family":"Alizadeh","given":"Abbas"},{"family":"Valentin","given":"Birka"}],"issued":{"date-parts":[["2017",7,1]]}}}],"schema":"https://github.com/citation-style-language/schema/raw/master/csl-citation.json"} </w:instrText>
      </w:r>
      <w:r w:rsidR="0220E1A2" w:rsidRPr="5575EBFC">
        <w:rPr>
          <w:lang w:val="en-GB"/>
        </w:rPr>
        <w:fldChar w:fldCharType="separate"/>
      </w:r>
      <w:r w:rsidR="6B5F9B9E">
        <w:t>(Glaesser et al., 2017)</w:t>
      </w:r>
      <w:r w:rsidR="0220E1A2" w:rsidRPr="5575EBFC">
        <w:rPr>
          <w:lang w:val="en-GB"/>
        </w:rPr>
        <w:fldChar w:fldCharType="end"/>
      </w:r>
      <w:r w:rsidR="7A4DA54B" w:rsidRPr="5575EBFC">
        <w:rPr>
          <w:lang w:val="en-GB"/>
        </w:rPr>
        <w:t xml:space="preserve">, the global movement of alien stowaways is substantial. Up to half of hikers sampled in mixed evergreen forest in California were found to be carrying </w:t>
      </w:r>
      <w:r w:rsidR="004E2E78" w:rsidRPr="5575EBFC">
        <w:rPr>
          <w:i/>
          <w:iCs/>
          <w:lang w:val="en-GB"/>
        </w:rPr>
        <w:t>Phytophthora ramorum</w:t>
      </w:r>
      <w:r w:rsidR="004E2E78" w:rsidRPr="5575EBFC">
        <w:rPr>
          <w:lang w:val="en-GB"/>
        </w:rPr>
        <w:t xml:space="preserve">, </w:t>
      </w:r>
      <w:r w:rsidR="7A4DA54B" w:rsidRPr="5575EBFC">
        <w:rPr>
          <w:lang w:val="en-GB"/>
        </w:rPr>
        <w:t xml:space="preserve">the causal agent of </w:t>
      </w:r>
      <w:r w:rsidR="3A453FE6" w:rsidRPr="5575EBFC">
        <w:rPr>
          <w:lang w:val="en-GB"/>
        </w:rPr>
        <w:t>s</w:t>
      </w:r>
      <w:r w:rsidR="6855F270" w:rsidRPr="5575EBFC">
        <w:rPr>
          <w:lang w:val="en-GB"/>
        </w:rPr>
        <w:t xml:space="preserve">udden </w:t>
      </w:r>
      <w:r w:rsidR="3A453FE6" w:rsidRPr="5575EBFC">
        <w:rPr>
          <w:lang w:val="en-GB"/>
        </w:rPr>
        <w:t>o</w:t>
      </w:r>
      <w:r w:rsidR="6855F270" w:rsidRPr="5575EBFC">
        <w:rPr>
          <w:lang w:val="en-GB"/>
        </w:rPr>
        <w:t xml:space="preserve">ak </w:t>
      </w:r>
      <w:r w:rsidR="3A453FE6" w:rsidRPr="5575EBFC">
        <w:rPr>
          <w:lang w:val="en-GB"/>
        </w:rPr>
        <w:t>d</w:t>
      </w:r>
      <w:r w:rsidR="6855F270" w:rsidRPr="5575EBFC">
        <w:rPr>
          <w:lang w:val="en-GB"/>
        </w:rPr>
        <w:t>eath</w:t>
      </w:r>
      <w:r w:rsidR="004E2E78" w:rsidRPr="5575EBFC">
        <w:rPr>
          <w:lang w:val="en-GB"/>
        </w:rPr>
        <w:t>,</w:t>
      </w:r>
      <w:r w:rsidR="6855F270" w:rsidRPr="5575EBFC">
        <w:rPr>
          <w:i/>
          <w:iCs/>
          <w:lang w:val="en-GB"/>
        </w:rPr>
        <w:t xml:space="preserve"> </w:t>
      </w:r>
      <w:r w:rsidR="7A4DA54B" w:rsidRPr="5575EBFC">
        <w:rPr>
          <w:lang w:val="en-GB"/>
        </w:rPr>
        <w:t xml:space="preserve">in soil on their shoes </w:t>
      </w:r>
      <w:r w:rsidR="0220E1A2" w:rsidRPr="5575EBFC">
        <w:rPr>
          <w:lang w:val="en-GB"/>
        </w:rPr>
        <w:fldChar w:fldCharType="begin"/>
      </w:r>
      <w:r w:rsidR="00331A79">
        <w:rPr>
          <w:lang w:val="en-GB"/>
        </w:rPr>
        <w:instrText xml:space="preserve"> ADDIN ZOTERO_ITEM CSL_CITATION {"citationID":"YexndR8M","properties":{"formattedCitation":"(Davidson et al., 2005)","plainCitation":"(Davidson et al., 2005)","noteIndex":0},"citationItems":[{"id":15588,"uris":["http://zotero.org/groups/2352922/items/2UVAK7ZA"],"itemData":{"id":15588,"type":"article-journal","abstract":"During 2001 to 2003, the transmission biology of Phytophthora ramorum, the causal agent of sudden oak death, was studied in mixed-evergreen forest, a common forest type in northern, coastal California. Investigation of the sources of spore production focused on coast live oak (Quercus agrifolia) and bay laurel (Umbellularia californica), dominant hosts that comprised 39.7 and 46.2% of the individuals at the study site, respectively. All tests for inoculum production from the surface of infected coast live oak bark or exudates from cankers were negative. In contrast, sporangia and chlamydospores were produced on the surface of infected bay laurel leaves. Mean number of zoospores produced from infected bay laurel leaves under natural field conditions during rainstorms was 1,173.0 +/- SE 301.48, and ranged as high as 5,200 spores/leaf. P. ramorum was recovered from rainwater, soil, litter, and streamwater during the mid-to late rainy season in all 3 years of the study. P. ramorum was not recovered from sporadic summer rains or soil and litter during the hot, dry summer months. Concentrations of inoculum in rainwater varied significantly from year to year and increased as the rainy season progressed for the two complete seasons that were studied. Potential dispersal distances were investigated for rainwater, soil, and streamwater. In rainwater, inoculum moved 5 and 10 m from the inoculum source. For soil, transmission of inoculum was demonstrated from infested soil to bay laurel green leaf litter, and from bay laurel green leaf litter to aerial leaves of bay laurel seedlings. One-third to one-half of the hikers tested at the study site during the rainy season also were carrying infested soil on their shoes. In streamwater, P. ramorum was recovered from an unforested site in pasture approximate to 1 km downstream of forest with inoculum sources. In total, these studies provide details on the production and spread of P. ramorum inoculum in mixed-evergreen forest to aid forecasting and managing disease transmission of this environmentally destructive pathogen.","container-title":"Phytopathology","DOI":"10.1094/PHYTO-95-0587","ISSN":"0031-949X","issue":"5","journalAbbreviation":"Phytopathology","language":"English","note":"WOS:000228596800018","page":"587-596","title":"Transmission of &lt;i&gt;Phytophthora ramorum&lt;/i&gt; in mixed-evergreen forest in California","volume":"95","author":[{"family":"Davidson","given":"J. M."},{"family":"Wickland","given":"A. C."},{"family":"Patterson","given":"H. A."},{"family":"Falk","given":"K. R."},{"family":"Rizzo","given":"D. M."}],"issued":{"date-parts":[["2005",5]]}}}],"schema":"https://github.com/citation-style-language/schema/raw/master/csl-citation.json"} </w:instrText>
      </w:r>
      <w:r w:rsidR="0220E1A2" w:rsidRPr="5575EBFC">
        <w:rPr>
          <w:lang w:val="en-GB"/>
        </w:rPr>
        <w:fldChar w:fldCharType="separate"/>
      </w:r>
      <w:r w:rsidR="6B5F9B9E">
        <w:t>(Davidson et al., 2005)</w:t>
      </w:r>
      <w:r w:rsidR="0220E1A2" w:rsidRPr="5575EBFC">
        <w:rPr>
          <w:lang w:val="en-GB"/>
        </w:rPr>
        <w:fldChar w:fldCharType="end"/>
      </w:r>
      <w:r w:rsidR="7A4DA54B" w:rsidRPr="5575EBFC">
        <w:rPr>
          <w:lang w:val="en-GB"/>
        </w:rPr>
        <w:t>.</w:t>
      </w:r>
      <w:r w:rsidR="4FF48879" w:rsidRPr="5575EBFC">
        <w:rPr>
          <w:lang w:val="en-GB"/>
        </w:rPr>
        <w:t xml:space="preserve"> </w:t>
      </w:r>
      <w:r w:rsidR="4852201E" w:rsidRPr="5575EBFC">
        <w:rPr>
          <w:lang w:val="en-GB"/>
        </w:rPr>
        <w:t xml:space="preserve">It also appears that tourists visiting caves may be responsible for spreading </w:t>
      </w:r>
      <w:r w:rsidR="4D47787B" w:rsidRPr="5575EBFC">
        <w:rPr>
          <w:i/>
          <w:iCs/>
          <w:lang w:val="en-GB"/>
        </w:rPr>
        <w:t>Pseudogymnoascus destructans</w:t>
      </w:r>
      <w:r w:rsidR="41CCC391" w:rsidRPr="5575EBFC">
        <w:rPr>
          <w:lang w:val="en-GB"/>
        </w:rPr>
        <w:t xml:space="preserve"> (</w:t>
      </w:r>
      <w:r w:rsidR="4852201E" w:rsidRPr="5575EBFC">
        <w:rPr>
          <w:lang w:val="en-GB"/>
        </w:rPr>
        <w:t>white-nose syndrome</w:t>
      </w:r>
      <w:r w:rsidR="48DC40BA" w:rsidRPr="5575EBFC">
        <w:rPr>
          <w:lang w:val="en-GB"/>
        </w:rPr>
        <w:t xml:space="preserve"> fungus</w:t>
      </w:r>
      <w:r w:rsidR="41CCC391" w:rsidRPr="5575EBFC">
        <w:rPr>
          <w:lang w:val="en-GB"/>
        </w:rPr>
        <w:t>)</w:t>
      </w:r>
      <w:r w:rsidR="4852201E" w:rsidRPr="5575EBFC">
        <w:rPr>
          <w:lang w:val="en-GB"/>
        </w:rPr>
        <w:t xml:space="preserve"> in bats</w:t>
      </w:r>
      <w:r w:rsidR="0651B51B" w:rsidRPr="5575EBFC">
        <w:rPr>
          <w:lang w:val="en-GB"/>
        </w:rPr>
        <w:t xml:space="preserve"> </w:t>
      </w:r>
      <w:r w:rsidR="0220E1A2" w:rsidRPr="5575EBFC">
        <w:rPr>
          <w:lang w:val="en-GB"/>
        </w:rPr>
        <w:fldChar w:fldCharType="begin"/>
      </w:r>
      <w:r w:rsidR="00331A79">
        <w:rPr>
          <w:lang w:val="en-GB"/>
        </w:rPr>
        <w:instrText xml:space="preserve"> ADDIN ZOTERO_ITEM CSL_CITATION {"citationID":"vOGWv7qE","properties":{"formattedCitation":"(Puechmaille et al., 2011)","plainCitation":"(Puechmaille et al., 2011)","noteIndex":0},"citationItems":[{"id":25228,"uris":["http://zotero.org/groups/2352922/items/PV4Q78VY"],"itemData":{"id":25228,"type":"article-journal","abstract":"White-nose syndrome (WNS) is a newly emergent disease that potentially threatens all temperate bat species. A recently identified fungus, Geomyces destructans, is the most likely causative agent of this disease. Until 2009, WNS and G. destructans were exclusively known from North America, but recent studies have confirmed this fungus is also present in Europe. We assembled an international WNS consortium of 67 scientists from 29 countries and identified the most important research and conservation priorities to assess the risk of WNS to European bats. Here, we review what is known about WNS and G. destructans and detail the conservation and research recommendations aimed at understanding and containing this emerging infectious disease.","container-title":"Trends in Ecology &amp; Evolution","DOI":"https://doi.org/10.1016/j.tree.2011.06.013","ISSN":"0169-5347","issue":"11","page":"570-576","title":"White-nose syndrome: is this emerging disease a threat to European bats?","URL":"https://www.sciencedirect.com/science/article/pii/S0169534711001923","volume":"26","author":[{"family":"Puechmaille","given":"Sébastien J."},{"family":"Frick","given":"Winifred F."},{"family":"Kunz","given":"Thomas H."},{"family":"Racey","given":"Paul A."},{"family":"Voigt","given":"Christian C."},{"family":"Wibbelt","given":"Gudrun"},{"family":"Teeling","given":"Emma C."}],"issued":{"date-parts":[["2011"]]}}}],"schema":"https://github.com/citation-style-language/schema/raw/master/csl-citation.json"} </w:instrText>
      </w:r>
      <w:r w:rsidR="0220E1A2" w:rsidRPr="5575EBFC">
        <w:rPr>
          <w:lang w:val="en-GB"/>
        </w:rPr>
        <w:fldChar w:fldCharType="separate"/>
      </w:r>
      <w:r w:rsidR="6B5F9B9E">
        <w:t>(Puechmaille et al., 2011)</w:t>
      </w:r>
      <w:r w:rsidR="0220E1A2" w:rsidRPr="5575EBFC">
        <w:rPr>
          <w:lang w:val="en-GB"/>
        </w:rPr>
        <w:fldChar w:fldCharType="end"/>
      </w:r>
      <w:r w:rsidR="0651B51B" w:rsidRPr="5575EBFC">
        <w:rPr>
          <w:lang w:val="en-GB"/>
        </w:rPr>
        <w:t>.</w:t>
      </w:r>
      <w:r w:rsidR="2267D53C" w:rsidRPr="5575EBFC">
        <w:rPr>
          <w:lang w:val="en-GB"/>
        </w:rPr>
        <w:t xml:space="preserve"> </w:t>
      </w:r>
      <w:r w:rsidR="4F061CD7" w:rsidRPr="5575EBFC">
        <w:rPr>
          <w:lang w:val="en-GB"/>
        </w:rPr>
        <w:t>Similarly,</w:t>
      </w:r>
      <w:r w:rsidR="2267D53C" w:rsidRPr="5575EBFC">
        <w:rPr>
          <w:lang w:val="en-GB"/>
        </w:rPr>
        <w:t xml:space="preserve"> tourists are known to spread weed seeds into national parks </w:t>
      </w:r>
      <w:r w:rsidR="0220E1A2" w:rsidRPr="5575EBFC">
        <w:rPr>
          <w:lang w:val="en-GB"/>
        </w:rPr>
        <w:fldChar w:fldCharType="begin"/>
      </w:r>
      <w:r w:rsidR="00331A79">
        <w:rPr>
          <w:lang w:val="en-GB"/>
        </w:rPr>
        <w:instrText xml:space="preserve"> ADDIN ZOTERO_ITEM CSL_CITATION {"citationID":"BQMLFu8v","properties":{"formattedCitation":"(Pickering &amp; Mount, 2010)","plainCitation":"(Pickering &amp; Mount, 2010)","noteIndex":0},"citationItems":[{"id":15263,"uris":["http://zotero.org/groups/2352922/items/V6D26HYN"],"itemData":{"id":15263,"type":"article-journal","abstract":"Human-mediated seed dispersal is recognised as an important, but under-researched, issue. To assess the potential for tourists to act as unintentional seed dispersal agents, we reviewed published and unpublished data on seed dispersal via clothing, vehicles (cars) and in/on horses and donkeys, all of which can be used by tourists. Seeds from 754 species of terrestrial plants have been collected from these vectors, 15% of which are internationally recognised environmental weeds. Seeds were collected from personal clothing and equipment (228 species), the fur of donkeys and horses (42 species), horse dung (216 species) and vehicles (505 species). Most were herbs (429 species) or graminoids (237 species) and native to Europe. Annual Poa, White Clover, Kentucky Bluegrass and Yorkshire Fog were the most frequent species. There have been eight studies specifically on tourists, which identified 12 species on clothing, 26 on vehicles and 133 from horse dung. Methods that minimise the risk of tourists as human-mediated dispersal agents may therefore be appropriate for some tourism activities/destinations: suggestions are made. Further sampling using standardised experimental techniques is required to assess the relative risk associated with specific tourist activities and locations and determine which, and how much, seed is transported.","container-title":"Journal of Sustainable Tourism","DOI":"10.1080/09669580903406613","ISSN":"0966-9582","issue":"2","note":"WOS:000277591100006","page":"239-256","title":"Do tourists disperse weed seed? A global review of unintentional human-mediated terrestrial seed dispersal on clothing, vehicles and horses","volume":"18","author":[{"family":"Pickering","given":"Catherine"},{"family":"Mount","given":"Ann"}],"issued":{"date-parts":[["2010"]]}}}],"schema":"https://github.com/citation-style-language/schema/raw/master/csl-citation.json"} </w:instrText>
      </w:r>
      <w:r w:rsidR="0220E1A2" w:rsidRPr="5575EBFC">
        <w:rPr>
          <w:lang w:val="en-GB"/>
        </w:rPr>
        <w:fldChar w:fldCharType="separate"/>
      </w:r>
      <w:r w:rsidR="6B5F9B9E">
        <w:t>(Pickering &amp; Mount, 2010)</w:t>
      </w:r>
      <w:r w:rsidR="0220E1A2" w:rsidRPr="5575EBFC">
        <w:rPr>
          <w:lang w:val="en-GB"/>
        </w:rPr>
        <w:fldChar w:fldCharType="end"/>
      </w:r>
      <w:r w:rsidR="527CFC25" w:rsidRPr="5575EBFC">
        <w:rPr>
          <w:lang w:val="en-GB"/>
        </w:rPr>
        <w:t>.</w:t>
      </w:r>
    </w:p>
    <w:p w14:paraId="61360BCC" w14:textId="08C925F0" w:rsidR="008C1BF7" w:rsidRPr="00DA249F" w:rsidRDefault="008C1BF7" w:rsidP="0090109B">
      <w:pPr>
        <w:rPr>
          <w:lang w:val="en-GB"/>
        </w:rPr>
      </w:pPr>
      <w:r w:rsidRPr="00DA249F">
        <w:rPr>
          <w:shd w:val="clear" w:color="auto" w:fill="FFFFFF"/>
          <w:lang w:val="en-GB"/>
        </w:rPr>
        <w:t xml:space="preserve">The motives and </w:t>
      </w:r>
      <w:r w:rsidR="004221FA">
        <w:rPr>
          <w:shd w:val="clear" w:color="auto" w:fill="FFFFFF"/>
          <w:lang w:val="en-GB"/>
        </w:rPr>
        <w:t>I</w:t>
      </w:r>
      <w:r w:rsidRPr="00DA249F">
        <w:rPr>
          <w:shd w:val="clear" w:color="auto" w:fill="FFFFFF"/>
          <w:lang w:val="en-GB"/>
        </w:rPr>
        <w:t xml:space="preserve">nterests of tourists are also changing with </w:t>
      </w:r>
      <w:r w:rsidR="007E1F8C" w:rsidRPr="00DA249F">
        <w:rPr>
          <w:shd w:val="clear" w:color="auto" w:fill="FFFFFF"/>
          <w:lang w:val="en-GB"/>
        </w:rPr>
        <w:t xml:space="preserve">increasing </w:t>
      </w:r>
      <w:r w:rsidRPr="00DA249F">
        <w:rPr>
          <w:shd w:val="clear" w:color="auto" w:fill="FFFFFF"/>
          <w:lang w:val="en-GB"/>
        </w:rPr>
        <w:t>interest in recreational activities (</w:t>
      </w:r>
      <w:r w:rsidR="00930403" w:rsidRPr="00DA249F">
        <w:rPr>
          <w:lang w:val="en-GB"/>
        </w:rPr>
        <w:t xml:space="preserve">e.g., </w:t>
      </w:r>
      <w:r w:rsidRPr="00DA249F">
        <w:rPr>
          <w:shd w:val="clear" w:color="auto" w:fill="FFFFFF"/>
          <w:lang w:val="en-GB"/>
        </w:rPr>
        <w:t>golf, fishing), agritourism (</w:t>
      </w:r>
      <w:r w:rsidR="00930403" w:rsidRPr="00DA249F">
        <w:rPr>
          <w:lang w:val="en-GB"/>
        </w:rPr>
        <w:t xml:space="preserve">e.g., </w:t>
      </w:r>
      <w:r w:rsidRPr="00DA249F">
        <w:rPr>
          <w:shd w:val="clear" w:color="auto" w:fill="FFFFFF"/>
          <w:lang w:val="en-GB"/>
        </w:rPr>
        <w:t>winery visits), visits (including camping) to national parks and reserves</w:t>
      </w:r>
      <w:r w:rsidR="004C1F59">
        <w:rPr>
          <w:shd w:val="clear" w:color="auto" w:fill="FFFFFF"/>
          <w:lang w:val="en-GB"/>
        </w:rPr>
        <w:t xml:space="preserve"> </w:t>
      </w:r>
      <w:r w:rsidRPr="00DA249F">
        <w:rPr>
          <w:shd w:val="clear" w:color="auto" w:fill="FFFFFF"/>
          <w:lang w:val="en-GB"/>
        </w:rPr>
        <w:fldChar w:fldCharType="begin"/>
      </w:r>
      <w:r w:rsidR="00331A79">
        <w:rPr>
          <w:shd w:val="clear" w:color="auto" w:fill="FFFFFF"/>
          <w:lang w:val="en-GB"/>
        </w:rPr>
        <w:instrText xml:space="preserve"> ADDIN ZOTERO_ITEM CSL_CITATION {"citationID":"HCHuq3ms","properties":{"formattedCitation":"(Hulme, 2015a)","plainCitation":"(Hulme, 2015a)","noteIndex":0},"citationItems":[{"id":30909,"uris":["http://zotero.org/groups/2352922/items/NZFSMFGX"],"itemData":{"id":30909,"type":"article-journal","abstract":"Parties to the Convention on Biological Diversity have agreed that, by 2020, invasion pathways will be identified, prioritized and managed to prevent the introduction of invasive alien species. The challenges facing this target are examined for six primary invasion pathways: assisted colonization as a deliberate release; escape of pets and aquaria species; parasite and pathogen contaminants of wildlife; stowaways on tourist clothing and equipment; navigation corridors; and transboundary implications of unaided spread. Economic drivers such as tourism, the pet trade and infrastructure projects will accelerate invasive alien species introductions, particularly in emerging economies. Mitigation requires polluter pays' legislation combined with improved policy enforcement and compliance.Policy implications. Policymakers require new risk analysis tools to predict the hazards posed by species with no prior invasion history, the vulnerability of native biodiversity to emerging diseases, and the components of regional species pools that become invasive following connection via corridors.","container-title":"Journal of Applied Ecology","DOI":"10.1111/1365-2664.12470","ISSN":"0021-8901","issue":"6","journalAbbreviation":"J Appl Ecol","license":"© 2015 The Author. Journal of Applied Ecology © 2015 British Ecological Society","note":"WOS:000367095400002","page":"1418-1424","source":"DOI.org (Crossref)","title":"Invasion pathways at a crossroad: policy and research challenges for managing alien species introductions","title-short":"Invasion pathways at a crossroad","URL":"http://doi.wiley.com/10.1111/1365-2664.12470","volume":"52","author":[{"family":"Hulme","given":"Philip E."}],"issued":{"date-parts":[["2015",12]]}}}],"schema":"https://github.com/citation-style-language/schema/raw/master/csl-citation.json"} </w:instrText>
      </w:r>
      <w:r w:rsidRPr="00DA249F">
        <w:rPr>
          <w:shd w:val="clear" w:color="auto" w:fill="FFFFFF"/>
          <w:lang w:val="en-GB"/>
        </w:rPr>
        <w:fldChar w:fldCharType="separate"/>
      </w:r>
      <w:r w:rsidR="00186371" w:rsidRPr="00186371">
        <w:t>(Hulme, 2015a)</w:t>
      </w:r>
      <w:r w:rsidRPr="00DA249F">
        <w:rPr>
          <w:shd w:val="clear" w:color="auto" w:fill="FFFFFF"/>
          <w:lang w:val="en-GB"/>
        </w:rPr>
        <w:fldChar w:fldCharType="end"/>
      </w:r>
      <w:r w:rsidRPr="00DA249F">
        <w:rPr>
          <w:shd w:val="clear" w:color="auto" w:fill="FFFFFF"/>
          <w:lang w:val="en-GB"/>
        </w:rPr>
        <w:t xml:space="preserve">. This change in behaviour poses an increased risk of introductions into areas that </w:t>
      </w:r>
      <w:r w:rsidR="00470F6F" w:rsidRPr="00DA249F">
        <w:rPr>
          <w:shd w:val="clear" w:color="auto" w:fill="FFFFFF"/>
          <w:lang w:val="en-GB"/>
        </w:rPr>
        <w:t xml:space="preserve">may </w:t>
      </w:r>
      <w:r w:rsidR="6C785FF5" w:rsidRPr="00DA249F">
        <w:rPr>
          <w:shd w:val="clear" w:color="auto" w:fill="FFFFFF"/>
          <w:lang w:val="en-GB"/>
        </w:rPr>
        <w:t>no</w:t>
      </w:r>
      <w:r w:rsidR="00506D23" w:rsidRPr="00DA249F">
        <w:rPr>
          <w:shd w:val="clear" w:color="auto" w:fill="FFFFFF"/>
          <w:lang w:val="en-GB"/>
        </w:rPr>
        <w:t>t</w:t>
      </w:r>
      <w:r w:rsidR="6C785FF5" w:rsidRPr="00DA249F">
        <w:rPr>
          <w:shd w:val="clear" w:color="auto" w:fill="FFFFFF"/>
          <w:lang w:val="en-GB"/>
        </w:rPr>
        <w:t xml:space="preserve"> yet been exposed</w:t>
      </w:r>
      <w:r w:rsidR="00470F6F" w:rsidRPr="00DA249F">
        <w:rPr>
          <w:shd w:val="clear" w:color="auto" w:fill="FFFFFF"/>
          <w:lang w:val="en-GB"/>
        </w:rPr>
        <w:t xml:space="preserve"> to</w:t>
      </w:r>
      <w:r w:rsidRPr="00DA249F">
        <w:rPr>
          <w:shd w:val="clear" w:color="auto" w:fill="FFFFFF"/>
          <w:lang w:val="en-GB"/>
        </w:rPr>
        <w:t xml:space="preserve"> invasive alien species. The number of passengers embarking on world and extended length cruises is doubling every decade </w:t>
      </w:r>
      <w:r w:rsidRPr="00DA249F">
        <w:rPr>
          <w:shd w:val="clear" w:color="auto" w:fill="FFFFFF"/>
          <w:lang w:val="en-GB"/>
        </w:rPr>
        <w:fldChar w:fldCharType="begin"/>
      </w:r>
      <w:r w:rsidR="00331A79">
        <w:rPr>
          <w:shd w:val="clear" w:color="auto" w:fill="FFFFFF"/>
          <w:lang w:val="en-GB"/>
        </w:rPr>
        <w:instrText xml:space="preserve"> ADDIN ZOTERO_ITEM CSL_CITATION {"citationID":"kA1xsjph","properties":{"formattedCitation":"(R. A. Klein, 2011)","plainCitation":"(R. A. Klein, 2011)","dontUpdate":true,"noteIndex":0},"citationItems":[{"id":15586,"uris":["http://zotero.org/groups/2352922/items/Q9MC8WTX"],"itemData":{"id":15586,"type":"article-journal","abstract":"Cruise tourism is the fastest growing segment of leisure tourism. With its growth has come concern about the impact of cruise tourism on coastal and marine environments, local economies, and on the sociocultural nature of port communities. These three areas are key elements in analyses focused on responsible tourism, and form a critical base from which to consider strategies to ensure the sustainable development of cruise tourism. The goal of this article is to illustrate how a responsible tourism lens measures the impact of cruise tourism and, with its focus on the perceptions of host communities, more effectively addresses grassroots concerns. Case examples are used to identify and describe challenges faced by governments, communities, and the cruise industry. Analysis of these issues and challenges gives direction for how cruise tourism can grow in ways that are both sustainable and responsible.","container-title":"Journal of Hospitality and Tourism Management","DOI":"10.1375/jhtm.18.1.107","ISSN":"1447-6770","issue":"1","journalAbbreviation":"Journal of Hospitality and Tourism Management","language":"en","page":"107-116","source":"ScienceDirect","title":"Responsible Cruise Tourism: Issues of Cruise Tourism and Sustainability","title-short":"Responsible Cruise Tourism","URL":"http://www.sciencedirect.com/science/article/pii/S1447677000000905","volume":"18","author":[{"family":"Klein","given":"Ross A."}],"accessed":{"date-parts":[["2019",10,24]]},"issued":{"date-parts":[["2011",1,1]]}}}],"schema":"https://github.com/citation-style-language/schema/raw/master/csl-citation.json"} </w:instrText>
      </w:r>
      <w:r w:rsidRPr="00DA249F">
        <w:rPr>
          <w:shd w:val="clear" w:color="auto" w:fill="FFFFFF"/>
          <w:lang w:val="en-GB"/>
        </w:rPr>
        <w:fldChar w:fldCharType="separate"/>
      </w:r>
      <w:r w:rsidR="00C86A15" w:rsidRPr="00DA249F">
        <w:rPr>
          <w:lang w:val="en-GB"/>
        </w:rPr>
        <w:t>(Klein, 2011)</w:t>
      </w:r>
      <w:r w:rsidRPr="00DA249F">
        <w:rPr>
          <w:shd w:val="clear" w:color="auto" w:fill="FFFFFF"/>
          <w:lang w:val="en-GB"/>
        </w:rPr>
        <w:fldChar w:fldCharType="end"/>
      </w:r>
      <w:r w:rsidRPr="00DA249F">
        <w:rPr>
          <w:shd w:val="clear" w:color="auto" w:fill="FFFFFF"/>
          <w:lang w:val="en-GB"/>
        </w:rPr>
        <w:t xml:space="preserve"> and has permitted access to coastal areas </w:t>
      </w:r>
      <w:r w:rsidRPr="00DA249F">
        <w:rPr>
          <w:lang w:val="en-GB"/>
        </w:rPr>
        <w:t>previously exposed to low numbers of visitors.</w:t>
      </w:r>
      <w:r w:rsidR="00B1749C" w:rsidRPr="00DA249F">
        <w:rPr>
          <w:lang w:val="en-GB"/>
        </w:rPr>
        <w:t xml:space="preserve"> </w:t>
      </w:r>
      <w:r w:rsidRPr="00DA249F">
        <w:rPr>
          <w:lang w:val="en-GB"/>
        </w:rPr>
        <w:t xml:space="preserve">Since 1990, international visitor numbers to the Antarctic continent have increased almost 10-fold </w:t>
      </w:r>
      <w:r w:rsidRPr="00DA249F">
        <w:rPr>
          <w:lang w:val="en-GB"/>
        </w:rPr>
        <w:fldChar w:fldCharType="begin"/>
      </w:r>
      <w:r w:rsidR="00331A79">
        <w:rPr>
          <w:lang w:val="en-GB"/>
        </w:rPr>
        <w:instrText xml:space="preserve"> ADDIN ZOTERO_ITEM CSL_CITATION {"citationID":"MFRVS6Ij","properties":{"formattedCitation":"(Hulme et al., 2012)","plainCitation":"(Hulme et al., 2012)","noteIndex":0},"citationItems":[{"id":26972,"uris":["http://zotero.org/groups/2352922/items/JVWAGNEX"],"itemData":{"id":26972,"type":"article-journal","container-title":"Science","DOI":"https://doi.org/10.1126/science.336.6085.1102-b","ISSN":"0036-8075","issue":"6085","journalAbbreviation":"Science","language":"English","note":"WOS:000304647900025","page":"1101-1104","title":"Biosecurity on Thin Ice in Antarctica","URL":"https://www.science.org/doi/full/10.1126/science.336.6085.1102-b","volume":"336","author":[{"family":"Hulme","given":"Philip E."},{"family":"Pyšek","given":"Petr"},{"family":"Winter","given":"Marten"}],"issued":{"date-parts":[["2012",6,1]]}}}],"schema":"https://github.com/citation-style-language/schema/raw/master/csl-citation.json"} </w:instrText>
      </w:r>
      <w:r w:rsidRPr="00DA249F">
        <w:rPr>
          <w:lang w:val="en-GB"/>
        </w:rPr>
        <w:fldChar w:fldCharType="separate"/>
      </w:r>
      <w:r w:rsidR="00144D96" w:rsidRPr="00144D96">
        <w:t>(Hulme et al., 2012)</w:t>
      </w:r>
      <w:r w:rsidRPr="00DA249F">
        <w:rPr>
          <w:lang w:val="en-GB"/>
        </w:rPr>
        <w:fldChar w:fldCharType="end"/>
      </w:r>
      <w:r w:rsidRPr="00DA249F">
        <w:rPr>
          <w:lang w:val="en-GB"/>
        </w:rPr>
        <w:t xml:space="preserve"> and up to half of tourists and visiting scientists unintentionally bring with them seeds of alien plant species which could pose a considerable risk of establishing in the region </w:t>
      </w:r>
      <w:r w:rsidRPr="00DA249F">
        <w:rPr>
          <w:lang w:val="en-GB"/>
        </w:rPr>
        <w:fldChar w:fldCharType="begin"/>
      </w:r>
      <w:r w:rsidR="00331A79">
        <w:rPr>
          <w:lang w:val="en-GB"/>
        </w:rPr>
        <w:instrText xml:space="preserve"> ADDIN ZOTERO_ITEM CSL_CITATION {"citationID":"JyN8LIR1","properties":{"formattedCitation":"(Huiskes et al., 2014)","plainCitation":"(Huiskes et al., 2014)","noteIndex":0},"citationItems":[{"id":10571,"uris":["http://zotero.org/groups/2352922/items/Y9BWZC8E"],"itemData":{"id":10571,"type":"article-journal","abstract":"Despite considerable research on biological invasions, key areas remain poorly explored, especially ways to reduce unintentional propagule transfer. The Antarctic represents a microcosm of the situation, with the numbers of established non-native species growing. Information to help reduce potential impacts is therefore critical. We measured the propagule load of seeds, and fragments of bryophytes and lichens (the number of other plant or animal fragments was too low to draw any conclusions) carried in the clothing and gear of visitors to the Antarctic, during the 2007108 austral summer. Samples were collected from different categories of visitors associated with national research programs and tourism and different categories of clothing and gear, new as well as used. We also collected information about the timing of travel and the regions visitors had travelled to prior to Antarctic travel. Seeds were found in 20% and 45% of tourist and science visitor samples, respectively. For bryophyte and lichen fragments the proportions were 11% and 20%, respectively. Footwear, trousers and bags belonging to field scientists were the highest risk items, especially of those personnel which had previously visited protected areas, parklands/botanic gardens or alpine areas. Tourists who visited rural/agricultural areas prior to travel, and/or travel with national programs or on smaller tourist vessels had the highest probability of transferring plant propagules. Travel either during the boreal or austral autumn months increased the probability of propagule presence. Our assessment is applicable to other areas given evidence of propagule transfer patterns in those areas that are broadly similar to those documented here. The current work provides a sound evidence base for both self-regulation (e.g. taking care of personal equipment) and organization-based regulation (e.g. issuing guidelines and holding regular inspections) to reduce propagule transfer of plants to the Antarctic. Crown Copyright (C) 2014 Published by Elsevier Ltd.","container-title":"Biological Conservation","DOI":"10.1016/j.biocon.2014.01.038","ISSN":"0006-3207","note":"WOS:000335486400030","page":"278-284","title":"Aliens in Antarctica: Assessing transfer of plant propagules by human visitors to reduce invasion risk","volume":"171","author":[{"family":"Huiskes","given":"Ad H. L."},{"family":"Gremmen","given":"Niek J. M."},{"family":"Bergstrom","given":"Dana M."},{"family":"Frenot","given":"Yves"},{"family":"Hughes","given":"Kevin A."},{"family":"Imura","given":"Satoshi"},{"family":"Kiefer","given":"Kate"},{"family":"Lebouvier","given":"Marc"},{"family":"Lee","given":"Jennifer E."},{"family":"Tsujimoto","given":"Megumu"},{"family":"Ware","given":"Chris"},{"family":"Van de Vijver","given":"Bart"},{"family":"Chown","given":"Steven L."}],"issued":{"date-parts":[["2014",3]]}}}],"schema":"https://github.com/citation-style-language/schema/raw/master/csl-citation.json"} </w:instrText>
      </w:r>
      <w:r w:rsidRPr="00DA249F">
        <w:rPr>
          <w:lang w:val="en-GB"/>
        </w:rPr>
        <w:fldChar w:fldCharType="separate"/>
      </w:r>
      <w:r w:rsidR="00144D96" w:rsidRPr="00144D96">
        <w:t>(Huiskes et al., 2014)</w:t>
      </w:r>
      <w:r w:rsidRPr="00DA249F">
        <w:rPr>
          <w:lang w:val="en-GB"/>
        </w:rPr>
        <w:fldChar w:fldCharType="end"/>
      </w:r>
      <w:r w:rsidRPr="00DA249F">
        <w:rPr>
          <w:lang w:val="en-GB"/>
        </w:rPr>
        <w:t>.</w:t>
      </w:r>
      <w:r w:rsidR="00B1749C" w:rsidRPr="00DA249F">
        <w:rPr>
          <w:lang w:val="en-GB"/>
        </w:rPr>
        <w:t xml:space="preserve"> </w:t>
      </w:r>
      <w:r w:rsidR="00B12949" w:rsidRPr="00DA249F">
        <w:rPr>
          <w:lang w:val="en-GB"/>
        </w:rPr>
        <w:t xml:space="preserve">Much of this risk is not simply from the tourists </w:t>
      </w:r>
      <w:r w:rsidR="6889A89A" w:rsidRPr="00DA249F">
        <w:rPr>
          <w:lang w:val="en-GB"/>
        </w:rPr>
        <w:t>themselves</w:t>
      </w:r>
      <w:r w:rsidR="00B12949" w:rsidRPr="00DA249F">
        <w:rPr>
          <w:lang w:val="en-GB"/>
        </w:rPr>
        <w:t xml:space="preserve"> but the support crews (</w:t>
      </w:r>
      <w:r w:rsidR="00E23B69">
        <w:rPr>
          <w:b/>
          <w:iCs/>
          <w:lang w:val="en-GB"/>
        </w:rPr>
        <w:t>Box</w:t>
      </w:r>
      <w:r w:rsidR="009F2D68">
        <w:rPr>
          <w:b/>
          <w:iCs/>
          <w:lang w:val="en-GB"/>
        </w:rPr>
        <w:t xml:space="preserve"> 3.4</w:t>
      </w:r>
      <w:r w:rsidR="00B12949" w:rsidRPr="00DA249F">
        <w:rPr>
          <w:lang w:val="en-GB"/>
        </w:rPr>
        <w:t xml:space="preserve">). </w:t>
      </w:r>
      <w:r w:rsidR="457FE42A" w:rsidRPr="00DA249F">
        <w:rPr>
          <w:lang w:val="en-GB"/>
        </w:rPr>
        <w:t xml:space="preserve">Similar risks are found in the Arctic where people and </w:t>
      </w:r>
      <w:r w:rsidR="5BF04869" w:rsidRPr="00DA249F">
        <w:rPr>
          <w:lang w:val="en-GB"/>
        </w:rPr>
        <w:t xml:space="preserve">their </w:t>
      </w:r>
      <w:r w:rsidR="457FE42A" w:rsidRPr="00DA249F">
        <w:rPr>
          <w:lang w:val="en-GB"/>
        </w:rPr>
        <w:t>luggage are responsible for around 5</w:t>
      </w:r>
      <w:r w:rsidR="004C77CD" w:rsidRPr="00DA249F">
        <w:rPr>
          <w:lang w:val="en-GB"/>
        </w:rPr>
        <w:t xml:space="preserve"> per cent</w:t>
      </w:r>
      <w:r w:rsidR="457FE42A" w:rsidRPr="00DA249F">
        <w:rPr>
          <w:lang w:val="en-GB"/>
        </w:rPr>
        <w:t xml:space="preserve"> of all alien plant introductions </w:t>
      </w:r>
      <w:r w:rsidR="00A35AC7" w:rsidRPr="00DA249F">
        <w:rPr>
          <w:lang w:val="en-GB"/>
        </w:rPr>
        <w:fldChar w:fldCharType="begin"/>
      </w:r>
      <w:r w:rsidR="00331A79">
        <w:rPr>
          <w:lang w:val="en-GB"/>
        </w:rPr>
        <w:instrText xml:space="preserve"> ADDIN ZOTERO_ITEM CSL_CITATION {"citationID":"ClVniRCb","properties":{"formattedCitation":"(Wasowicz et al., 2020)","plainCitation":"(Wasowicz et al., 2020)","noteIndex":0},"citationItems":[{"id":27280,"uris":["http://zotero.org/groups/2352922/items/NMFCIS3K"],"itemData":{"id":27280,"type":"article-journal","abstract":"We present a comprehensive list of non-native vascular plants known from the Arctic, explore their geographic distribution, analyze the extent of naturalization and invasion among 23 subregions of the Arctic, and examine pathways of introductions. The presence of 341 non-native taxa in the Arctic was confirmed, of which 188 are naturalized in at least one of the 23 regions. A small number of taxa (11) are considered invasive; these plants are known from just three regions. In several Arctic regions there are no naturalized non-native taxa recorded and the majority of Arctic regions have a low number of naturalized taxa. Analyses of the non-native vascular plant flora identified two main biogeographic clusters within the Arctic: American and Asiatic. Among all pathways, seed contamination and transport by vehicles have contributed the most to non-native plant introduction in the Arctic.","container-title":"Ambio","DOI":"10.1007/s13280-019-01296-6","issue":"3","page":"693-703","title":"Non-native vascular flora of the Arctic: Taxonomic richness, distribution and pathways","URL":"https://doi.org/10.1007/s13280-019-01296-6","volume":"49","author":[{"family":"Wasowicz","given":"Pawel"},{"family":"Sennikov","given":"Alexander N"},{"family":"Westergaard","given":"Kristine B"},{"family":"Spellman","given":"Katie"},{"family":"Carlson","given":"Matthew"},{"family":"Gillespie","given":"Lynn J"},{"family":"Saarela","given":"Jeffery M"},{"family":"Seefeldt","given":"Steven S"},{"family":"Bennett","given":"Bruce"},{"family":"Bay","given":"Christian"},{"family":"Ickert-Bond","given":"Stefanie"},{"family":"Väre","given":"Henry"}],"issued":{"date-parts":[["2020"]]}}}],"schema":"https://github.com/citation-style-language/schema/raw/master/csl-citation.json"} </w:instrText>
      </w:r>
      <w:r w:rsidR="00A35AC7" w:rsidRPr="00DA249F">
        <w:rPr>
          <w:lang w:val="en-GB"/>
        </w:rPr>
        <w:fldChar w:fldCharType="separate"/>
      </w:r>
      <w:r w:rsidR="00144D96" w:rsidRPr="00144D96">
        <w:t>(Wasowicz et al., 2020)</w:t>
      </w:r>
      <w:r w:rsidR="00A35AC7" w:rsidRPr="00DA249F">
        <w:rPr>
          <w:lang w:val="en-GB"/>
        </w:rPr>
        <w:fldChar w:fldCharType="end"/>
      </w:r>
      <w:r w:rsidR="24D256C3" w:rsidRPr="00DA249F">
        <w:rPr>
          <w:lang w:val="en-GB"/>
        </w:rPr>
        <w:t xml:space="preserve">. </w:t>
      </w:r>
      <w:r w:rsidRPr="00DA249F">
        <w:rPr>
          <w:lang w:val="en-GB"/>
        </w:rPr>
        <w:t>While the number of international passenger arrivals world‐wide has more than doubled since 1990, it is in emerging economies in Africa, Asia and South America where the rate of growth</w:t>
      </w:r>
      <w:r w:rsidR="004C1F59">
        <w:rPr>
          <w:lang w:val="en-GB"/>
        </w:rPr>
        <w:t xml:space="preserve"> of passenger arrivals</w:t>
      </w:r>
      <w:r w:rsidRPr="00DA249F">
        <w:rPr>
          <w:lang w:val="en-GB"/>
        </w:rPr>
        <w:t xml:space="preserve"> has been highest and these regions may be less well prepared to face new risks from invasive alien species </w:t>
      </w:r>
      <w:r w:rsidRPr="00DA249F">
        <w:rPr>
          <w:lang w:val="en-GB"/>
        </w:rPr>
        <w:fldChar w:fldCharType="begin"/>
      </w:r>
      <w:r w:rsidR="00331A79">
        <w:rPr>
          <w:lang w:val="en-GB"/>
        </w:rPr>
        <w:instrText xml:space="preserve"> ADDIN ZOTERO_ITEM CSL_CITATION {"citationID":"0rVlqD0K","properties":{"formattedCitation":"(Glaesser et al., 2017)","plainCitation":"(Glaesser et al., 2017)","noteIndex":0},"citationItems":[{"id":24246,"uris":["http://zotero.org/groups/2352922/items/YUW6D2IR"],"itemData":{"id":24246,"type":"article-journal","container-title":"Journal of Travel Medicine","DOI":"10.1093/jtm/tax007","ISSN":"1195-1982","issue":"4","journalAbbreviation":"J. Travel Med.","language":"English","note":"WOS:000400904000003","page":"tax007","title":"Global travel patterns: an overview","title-short":"Global travel patterns","URL":"http://academic.oup.com/jtm/article/doi/10.1093/jtm/tax007/3748298/Global-travel-patterns-an-overview","volume":"24","author":[{"family":"Glaesser","given":"Dirk"},{"family":"Kester","given":"John"},{"family":"Paulose","given":"Hanna"},{"family":"Alizadeh","given":"Abbas"},{"family":"Valentin","given":"Birka"}],"issued":{"date-parts":[["2017",7,1]]}}}],"schema":"https://github.com/citation-style-language/schema/raw/master/csl-citation.json"} </w:instrText>
      </w:r>
      <w:r w:rsidRPr="00DA249F">
        <w:rPr>
          <w:lang w:val="en-GB"/>
        </w:rPr>
        <w:fldChar w:fldCharType="separate"/>
      </w:r>
      <w:r w:rsidR="00144D96" w:rsidRPr="00144D96">
        <w:t>(Glaesser et al., 2017)</w:t>
      </w:r>
      <w:r w:rsidRPr="00DA249F">
        <w:rPr>
          <w:lang w:val="en-GB"/>
        </w:rPr>
        <w:fldChar w:fldCharType="end"/>
      </w:r>
      <w:r w:rsidRPr="00DA249F">
        <w:rPr>
          <w:lang w:val="en-GB"/>
        </w:rPr>
        <w:t>.</w:t>
      </w:r>
      <w:r w:rsidR="00B1749C" w:rsidRPr="00DA249F">
        <w:rPr>
          <w:lang w:val="en-GB"/>
        </w:rPr>
        <w:t xml:space="preserve"> </w:t>
      </w:r>
      <w:r w:rsidRPr="00DA249F">
        <w:rPr>
          <w:lang w:val="en-GB"/>
        </w:rPr>
        <w:t>With forecasts of global tourist numbers reaching 1.8 billion international travellers in 2030, combined with new destinations previously less exposed to invasive alien species and more activities in less visited areas, the future risk of introducing</w:t>
      </w:r>
      <w:r w:rsidR="004F69AD" w:rsidRPr="00DA249F">
        <w:rPr>
          <w:lang w:val="en-GB"/>
        </w:rPr>
        <w:t xml:space="preserve"> </w:t>
      </w:r>
      <w:r w:rsidRPr="00DA249F">
        <w:rPr>
          <w:lang w:val="en-GB"/>
        </w:rPr>
        <w:t>invasive</w:t>
      </w:r>
      <w:r w:rsidR="002A0EE8" w:rsidRPr="00DA249F">
        <w:rPr>
          <w:lang w:val="en-GB"/>
        </w:rPr>
        <w:t xml:space="preserve"> alien</w:t>
      </w:r>
      <w:r w:rsidRPr="00DA249F">
        <w:rPr>
          <w:lang w:val="en-GB"/>
        </w:rPr>
        <w:t xml:space="preserve"> species appears significant </w:t>
      </w:r>
      <w:r w:rsidRPr="00DA249F">
        <w:rPr>
          <w:lang w:val="en-GB"/>
        </w:rPr>
        <w:fldChar w:fldCharType="begin"/>
      </w:r>
      <w:r w:rsidR="00331A79">
        <w:rPr>
          <w:lang w:val="en-GB"/>
        </w:rPr>
        <w:instrText xml:space="preserve"> ADDIN ZOTERO_ITEM CSL_CITATION {"citationID":"OntTGBNi","properties":{"formattedCitation":"(Hulme, 2015a)","plainCitation":"(Hulme, 2015a)","noteIndex":0},"citationItems":[{"id":30909,"uris":["http://zotero.org/groups/2352922/items/NZFSMFGX"],"itemData":{"id":30909,"type":"article-journal","abstract":"Parties to the Convention on Biological Diversity have agreed that, by 2020, invasion pathways will be identified, prioritized and managed to prevent the introduction of invasive alien species. The challenges facing this target are examined for six primary invasion pathways: assisted colonization as a deliberate release; escape of pets and aquaria species; parasite and pathogen contaminants of wildlife; stowaways on tourist clothing and equipment; navigation corridors; and transboundary implications of unaided spread. Economic drivers such as tourism, the pet trade and infrastructure projects will accelerate invasive alien species introductions, particularly in emerging economies. Mitigation requires polluter pays' legislation combined with improved policy enforcement and compliance.Policy implications. Policymakers require new risk analysis tools to predict the hazards posed by species with no prior invasion history, the vulnerability of native biodiversity to emerging diseases, and the components of regional species pools that become invasive following connection via corridors.","container-title":"Journal of Applied Ecology","DOI":"10.1111/1365-2664.12470","ISSN":"0021-8901","issue":"6","journalAbbreviation":"J Appl Ecol","license":"© 2015 The Author. Journal of Applied Ecology © 2015 British Ecological Society","note":"WOS:000367095400002","page":"1418-1424","source":"DOI.org (Crossref)","title":"Invasion pathways at a crossroad: policy and research challenges for managing alien species introductions","title-short":"Invasion pathways at a crossroad","URL":"http://doi.wiley.com/10.1111/1365-2664.12470","volume":"52","author":[{"family":"Hulme","given":"Philip E."}],"issued":{"date-parts":[["2015",12]]}}}],"schema":"https://github.com/citation-style-language/schema/raw/master/csl-citation.json"} </w:instrText>
      </w:r>
      <w:r w:rsidRPr="00DA249F">
        <w:rPr>
          <w:lang w:val="en-GB"/>
        </w:rPr>
        <w:fldChar w:fldCharType="separate"/>
      </w:r>
      <w:r w:rsidR="00186371" w:rsidRPr="00186371">
        <w:t>(Hulme, 2015a)</w:t>
      </w:r>
      <w:r w:rsidRPr="00DA249F">
        <w:rPr>
          <w:lang w:val="en-GB"/>
        </w:rPr>
        <w:fldChar w:fldCharType="end"/>
      </w:r>
      <w:r w:rsidRPr="00DA249F">
        <w:rPr>
          <w:lang w:val="en-GB"/>
        </w:rPr>
        <w:t>.</w:t>
      </w:r>
    </w:p>
    <w:p w14:paraId="716F6E18" w14:textId="1222DDBC" w:rsidR="0041334B" w:rsidRPr="00DA249F" w:rsidRDefault="0041334B">
      <w:pPr>
        <w:pStyle w:val="Caption"/>
        <w:keepNext/>
        <w:pBdr>
          <w:top w:val="single" w:sz="4" w:space="1" w:color="auto"/>
          <w:left w:val="single" w:sz="4" w:space="1" w:color="auto"/>
          <w:bottom w:val="single" w:sz="4" w:space="1" w:color="auto"/>
          <w:right w:val="single" w:sz="4" w:space="1" w:color="auto"/>
        </w:pBdr>
        <w:shd w:val="clear" w:color="auto" w:fill="E7E6E6" w:themeFill="background2"/>
        <w:rPr>
          <w:lang w:val="en-GB"/>
        </w:rPr>
      </w:pPr>
      <w:bookmarkStart w:id="116" w:name="_Ref104903304"/>
      <w:bookmarkStart w:id="117" w:name="_Toc44317804"/>
      <w:bookmarkStart w:id="118" w:name="_Toc158373488"/>
      <w:r w:rsidRPr="00DA249F">
        <w:rPr>
          <w:lang w:val="en-GB"/>
        </w:rPr>
        <w:t>Box 3.</w:t>
      </w:r>
      <w:r w:rsidRPr="00DA249F">
        <w:rPr>
          <w:lang w:val="en-GB"/>
        </w:rPr>
        <w:fldChar w:fldCharType="begin"/>
      </w:r>
      <w:r w:rsidRPr="00DA249F">
        <w:rPr>
          <w:lang w:val="en-GB"/>
        </w:rPr>
        <w:instrText xml:space="preserve"> SEQ Box_3. \* ARABIC </w:instrText>
      </w:r>
      <w:r w:rsidRPr="00DA249F">
        <w:rPr>
          <w:lang w:val="en-GB"/>
        </w:rPr>
        <w:fldChar w:fldCharType="separate"/>
      </w:r>
      <w:r w:rsidR="00287BC7">
        <w:rPr>
          <w:noProof/>
          <w:lang w:val="en-GB"/>
        </w:rPr>
        <w:t>4</w:t>
      </w:r>
      <w:r w:rsidRPr="00DA249F">
        <w:rPr>
          <w:lang w:val="en-GB"/>
        </w:rPr>
        <w:fldChar w:fldCharType="end"/>
      </w:r>
      <w:bookmarkEnd w:id="116"/>
      <w:bookmarkEnd w:id="117"/>
      <w:r w:rsidR="00D55487" w:rsidRPr="00DA249F">
        <w:rPr>
          <w:lang w:val="en-GB"/>
        </w:rPr>
        <w:t xml:space="preserve">. </w:t>
      </w:r>
      <w:r w:rsidR="00E26602" w:rsidRPr="00DA249F">
        <w:rPr>
          <w:lang w:val="en-GB"/>
        </w:rPr>
        <w:t xml:space="preserve">International tourists </w:t>
      </w:r>
      <w:r w:rsidRPr="00DA249F">
        <w:rPr>
          <w:lang w:val="en-GB"/>
        </w:rPr>
        <w:t xml:space="preserve">and scientists </w:t>
      </w:r>
      <w:r w:rsidR="00E26602" w:rsidRPr="00DA249F">
        <w:rPr>
          <w:lang w:val="en-GB"/>
        </w:rPr>
        <w:t xml:space="preserve">visiting </w:t>
      </w:r>
      <w:r w:rsidRPr="00DA249F">
        <w:rPr>
          <w:lang w:val="en-GB"/>
        </w:rPr>
        <w:t>Antarctica</w:t>
      </w:r>
      <w:bookmarkEnd w:id="118"/>
    </w:p>
    <w:p w14:paraId="5ADF7884" w14:textId="430EC061" w:rsidR="00C24FFF" w:rsidRPr="00DA249F" w:rsidRDefault="4871C878" w:rsidP="00FC1BA2">
      <w:pPr>
        <w:pBdr>
          <w:top w:val="single" w:sz="4" w:space="1" w:color="auto"/>
          <w:left w:val="single" w:sz="4" w:space="1" w:color="auto"/>
          <w:bottom w:val="single" w:sz="4" w:space="1" w:color="auto"/>
          <w:right w:val="single" w:sz="4" w:space="1" w:color="auto"/>
        </w:pBdr>
        <w:shd w:val="clear" w:color="auto" w:fill="E7E6E6" w:themeFill="background2"/>
        <w:rPr>
          <w:lang w:val="en-GB"/>
        </w:rPr>
      </w:pPr>
      <w:r w:rsidRPr="728F2DAF">
        <w:rPr>
          <w:lang w:val="en-GB"/>
        </w:rPr>
        <w:t xml:space="preserve">Strong climatic and geographic barriers, attributes associated with low habitat invasibility, naturally isolate Antarctica from the rest of the world </w:t>
      </w:r>
      <w:r w:rsidR="0041334B" w:rsidRPr="728F2DAF">
        <w:rPr>
          <w:lang w:val="en-GB"/>
        </w:rPr>
        <w:fldChar w:fldCharType="begin"/>
      </w:r>
      <w:r w:rsidR="00331A79">
        <w:rPr>
          <w:lang w:val="en-GB"/>
        </w:rPr>
        <w:instrText xml:space="preserve"> ADDIN ZOTERO_ITEM CSL_CITATION {"citationID":"jGYjaIrp","properties":{"formattedCitation":"(Chwedorzewska et al., 2020)","plainCitation":"(Chwedorzewska et al., 2020)","noteIndex":0},"citationItems":[{"id":27421,"uris":["http://zotero.org/groups/2352922/items/R7FHIENZ"],"itemData":{"id":27421,"type":"article-journal","abstract":"The last decade has seen a rapid development of scientific, logistic and tourist activities, especially in the Antarctic region with the mildest climatic conditions: the Antarctic Peninsula. This region is also exhibiting rapid regional warming and all of the already diagnosed alien species in the Antarctic Treaty Area were found within the Antarctic Peninsula. Identifying potential invasive species that can threaten this pristine area of the Earth helps us to take specific preventive actions. This article is a commentary on Hughes et al., 26, 2702?2716.","container-title":"Global Change Biology","DOI":"10.1111/gcb.15013","issue":"4","page":"1942-1943","title":"Is Antarctica under threat of alien species invasion?","URL":"https://doi.org/10.1111/gcb.15013","volume":"26","author":[{"family":"Chwedorzewska","given":"Katarzyna J."},{"family":"Korczak-Abshire","given":"Małgorzata"},{"family":"Znój","given":"Anna"}],"issued":{"date-parts":[["2020",4]]}}}],"schema":"https://github.com/citation-style-language/schema/raw/master/csl-citation.json"} </w:instrText>
      </w:r>
      <w:r w:rsidR="0041334B" w:rsidRPr="728F2DAF">
        <w:rPr>
          <w:lang w:val="en-GB"/>
        </w:rPr>
        <w:fldChar w:fldCharType="separate"/>
      </w:r>
      <w:r w:rsidR="0566DAD0">
        <w:t>(Chwedorzewska et al., 2020)</w:t>
      </w:r>
      <w:r w:rsidR="0041334B" w:rsidRPr="728F2DAF">
        <w:rPr>
          <w:lang w:val="en-GB"/>
        </w:rPr>
        <w:fldChar w:fldCharType="end"/>
      </w:r>
      <w:r w:rsidRPr="728F2DAF">
        <w:rPr>
          <w:lang w:val="en-GB"/>
        </w:rPr>
        <w:t xml:space="preserve">. Climate change and </w:t>
      </w:r>
      <w:r w:rsidR="3E572D67" w:rsidRPr="728F2DAF">
        <w:rPr>
          <w:lang w:val="en-GB"/>
        </w:rPr>
        <w:t>an</w:t>
      </w:r>
      <w:r w:rsidRPr="728F2DAF">
        <w:rPr>
          <w:lang w:val="en-GB"/>
        </w:rPr>
        <w:t xml:space="preserve"> increasing </w:t>
      </w:r>
      <w:r w:rsidR="683FEBB4" w:rsidRPr="728F2DAF">
        <w:rPr>
          <w:lang w:val="en-GB"/>
        </w:rPr>
        <w:t>number of visitors</w:t>
      </w:r>
      <w:r w:rsidRPr="728F2DAF">
        <w:rPr>
          <w:lang w:val="en-GB"/>
        </w:rPr>
        <w:t xml:space="preserve"> </w:t>
      </w:r>
      <w:r w:rsidR="0041334B" w:rsidRPr="728F2DAF">
        <w:rPr>
          <w:lang w:val="en-GB"/>
        </w:rPr>
        <w:fldChar w:fldCharType="begin"/>
      </w:r>
      <w:r w:rsidR="00331A79">
        <w:rPr>
          <w:lang w:val="en-GB"/>
        </w:rPr>
        <w:instrText xml:space="preserve"> ADDIN ZOTERO_ITEM CSL_CITATION {"citationID":"DHtgI6X2","properties":{"formattedCitation":"(G. A. Duffy et al., 2017; Greve et al., 2017)","plainCitation":"(G. A. Duffy et al., 2017; Greve et al., 2017)","noteIndex":0},"citationItems":[{"id":28719,"uris":["http://zotero.org/groups/2352922/items/GBVXGCCL"],"itemData":{"id":28719,"type":"article-journal","abstract":"Aim Biological invasions are a substantial threat to Antarctic biodiversity and a priority conservation policy focus for Antarctic Treaty Parties and the sovereign states of surrounding islands. Key to their strategies is prevention, including assessment of establishment risk for alien species. Despite establishment of some of the worst globally invasive species across the Antarctic region, assessments of establishment potential of these species are non-existent. Here, we address this deficit and determine whether these invasive species constitute a significant conservation threat to the broader Antarctic region both now and in response to future regional climate change. Location Antarctica and the Southern Ocean islands (45°–90° S). Methods We used ensemble species distribution models to assess the current and future climate suitability of the Antarctic region for 69 of the worst globally invasive species and 24 insect and plant species that have already established somewhere in the region. Results The Antarctic continent is unsuitable for all of the worst globally invasive species under current conditions, but areas of the Antarctic Peninsula are predicted to become climatically suitable for up to six globally invasive species within the next century. By contrast, all Southern Ocean islands are presently climatically suitable for additional non-native species, with the threat increasing in the future. Main conclusions Our findings demonstrate that climate, which is often cited as a key barrier to alien species establishment, may afford some protection to continental Antarctica, but that this protection is not currently extended to the Southern Ocean islands. Furthermore, existing climatic barriers to alien species establishment will weaken as warming continues across the region. This not only illustrates the value of applying distribution modelling methods to this largely ice-covered region, but demonstrates how these methods can be used to inform targeted surveillance of introduction pathways and sites that have the highest risk of establishment of invasive alien species.","container-title":"Diversity and Distributions","DOI":"10.1111/ddi.12593","ISSN":"1472-4642","issue":"9","journalAbbreviation":"Divers Distrib","language":"en","page":"982-996","source":"DOI.org (Crossref)","title":"Barriers to globally invasive species are weakening across the Antarctic","URL":"http://doi.wiley.com/10.1111/ddi.12593","volume":"23","author":[{"family":"Duffy","given":"Grant A."},{"family":"Coetzee","given":"Bernard W. T."},{"family":"Latombe","given":"Guillaume"},{"family":"Akerman","given":"Alexander H."},{"family":"McGeoch","given":"Melodie A."},{"family":"Chown","given":"Steven L."}],"editor":[{"family":"Thuiller","given":"Wilfried"}],"accessed":{"date-parts":[["2019",12,2]]},"issued":{"date-parts":[["2017",9]]}}},{"id":29374,"uris":["http://zotero.org/groups/2352922/items/M2DYISMT"],"itemData":{"id":29374,"type":"article-journal","abstract":"Background: The sub-Antarctic Prince Edward Islands (PEIs), South Africa’s southernmost territories have high conservation value. Despite their isolation, several alien species have established and become invasive on the PEIs.\nObjectives: Here we review the invasion ecology of the PEIs.\nMethods: We summarise what is known about the introduction of alien species, what influences their ability to establish and spread, and review their impacts.\nResults: Approximately 48 alien species are currently established on the PEIs, of which 26 are known to be invasive. Introduction pathways for the PEIs are fairly well understood – species have mainly been introduced with ship cargo and building material. Less is known about establishment, spread and impact of aliens. It has been estimated that less than 5% of the PEIs is covered by invasive plants, but invasive plants have attained circuminsular distributions on both PEIs. Studies on impact have primarily focussed on the effects of vertebrate invaders, of which the house mouse, which is restricted to Marion Island, probably has the greatest impact on the biodiversity of the islands. Because of the risk of alien introductions, strict biosecurity regulations govern activities at the PEIs. These are particularly aimed at stemming the introduction of alien species, and are likely to have reduced the rates of new introductions. In addition, some effort is currently being made to eradicate selected range-restricted species. However, only one species that had established and spread on the PEIs, the cat, has been successfully eradicated from the islands.\nConclusion: Given the ongoing threat of introductions, and the impacts of invaders, it is essential that future invasions to the PEIs are minimised, that the islands’ management policies deal with all stages of the invasion process and that a better understanding of the risks and impacts of invasions is obtained.","container-title":"Bothalia","DOI":"10.4102/abc.v47i2.2143","ISSN":"2311-9284, 0006-8241","issue":"2","journalAbbreviation":"Bothalia","language":"en","source":"DOI.org (Crossref)","title":"Terrestrial invasions on sub-Antarctic Marion and Prince Edward Islands","URL":"https://journals.abcjournal.aosis.co.za/index.php/abc/article/view/2143","volume":"47","author":[{"family":"Greve","given":"Michelle"},{"family":"Mathakutha","given":"Rabia"},{"family":"Steyn","given":"Christien"},{"family":"Chown","given":"Steven L."}],"accessed":{"date-parts":[["2019",12,2]]},"issued":{"date-parts":[["2017",3,31]]}}}],"schema":"https://github.com/citation-style-language/schema/raw/master/csl-citation.json"} </w:instrText>
      </w:r>
      <w:r w:rsidR="0041334B" w:rsidRPr="728F2DAF">
        <w:rPr>
          <w:lang w:val="en-GB"/>
        </w:rPr>
        <w:fldChar w:fldCharType="separate"/>
      </w:r>
      <w:r w:rsidR="0566DAD0">
        <w:t>(G. A. Duffy et al., 2017; Greve et al., 2017)</w:t>
      </w:r>
      <w:r w:rsidR="0041334B" w:rsidRPr="728F2DAF">
        <w:rPr>
          <w:lang w:val="en-GB"/>
        </w:rPr>
        <w:fldChar w:fldCharType="end"/>
      </w:r>
      <w:r w:rsidRPr="728F2DAF">
        <w:rPr>
          <w:lang w:val="en-GB"/>
        </w:rPr>
        <w:t xml:space="preserve"> have weakened these barriers, leading Antarctica to become an area of special concern for </w:t>
      </w:r>
      <w:r w:rsidR="683FEBB4" w:rsidRPr="728F2DAF">
        <w:rPr>
          <w:lang w:val="en-GB"/>
        </w:rPr>
        <w:t xml:space="preserve">the </w:t>
      </w:r>
      <w:r w:rsidRPr="728F2DAF">
        <w:rPr>
          <w:lang w:val="en-GB"/>
        </w:rPr>
        <w:t xml:space="preserve">management </w:t>
      </w:r>
      <w:r w:rsidR="683FEBB4" w:rsidRPr="728F2DAF">
        <w:rPr>
          <w:lang w:val="en-GB"/>
        </w:rPr>
        <w:t xml:space="preserve">of </w:t>
      </w:r>
      <w:r w:rsidR="26C09C33" w:rsidRPr="728F2DAF">
        <w:rPr>
          <w:lang w:val="en-GB"/>
        </w:rPr>
        <w:t>biological invasions</w:t>
      </w:r>
      <w:r w:rsidR="01C4D3AD" w:rsidRPr="728F2DAF">
        <w:rPr>
          <w:lang w:val="en-GB"/>
        </w:rPr>
        <w:t xml:space="preserve"> </w:t>
      </w:r>
      <w:r w:rsidR="6F0DCB6D" w:rsidRPr="728F2DAF">
        <w:rPr>
          <w:lang w:val="en-GB"/>
        </w:rPr>
        <w:t>(</w:t>
      </w:r>
      <w:r w:rsidR="64FB4BFF" w:rsidRPr="728F2DAF">
        <w:rPr>
          <w:b/>
          <w:bCs/>
          <w:lang w:val="en-GB"/>
        </w:rPr>
        <w:t>C</w:t>
      </w:r>
      <w:r w:rsidRPr="728F2DAF">
        <w:rPr>
          <w:b/>
          <w:bCs/>
          <w:lang w:val="en-GB"/>
        </w:rPr>
        <w:t xml:space="preserve">hapter </w:t>
      </w:r>
      <w:r w:rsidR="3E6A6DB8" w:rsidRPr="728F2DAF">
        <w:rPr>
          <w:b/>
          <w:bCs/>
          <w:lang w:val="en-GB"/>
        </w:rPr>
        <w:t>6</w:t>
      </w:r>
      <w:r w:rsidR="3E6A6DB8" w:rsidRPr="728F2DAF">
        <w:rPr>
          <w:lang w:val="en-GB"/>
        </w:rPr>
        <w:t>,</w:t>
      </w:r>
      <w:r w:rsidRPr="728F2DAF">
        <w:rPr>
          <w:b/>
          <w:bCs/>
          <w:lang w:val="en-GB"/>
        </w:rPr>
        <w:t xml:space="preserve"> </w:t>
      </w:r>
      <w:r w:rsidR="00E23B69">
        <w:rPr>
          <w:b/>
          <w:bCs/>
          <w:lang w:val="en-GB"/>
        </w:rPr>
        <w:t>Box</w:t>
      </w:r>
      <w:r w:rsidR="68D0747E" w:rsidRPr="728F2DAF">
        <w:rPr>
          <w:b/>
          <w:bCs/>
          <w:lang w:val="en-GB"/>
        </w:rPr>
        <w:t xml:space="preserve"> </w:t>
      </w:r>
      <w:r w:rsidR="3E6A6DB8" w:rsidRPr="728F2DAF">
        <w:rPr>
          <w:b/>
          <w:bCs/>
          <w:lang w:val="en-GB"/>
        </w:rPr>
        <w:t>6.10</w:t>
      </w:r>
      <w:r w:rsidRPr="728F2DAF">
        <w:rPr>
          <w:lang w:val="en-GB"/>
        </w:rPr>
        <w:t xml:space="preserve">). An average of 9.5 seeds per visitor are carried to Antarctica every summer </w:t>
      </w:r>
      <w:r w:rsidR="0041334B" w:rsidRPr="728F2DAF">
        <w:rPr>
          <w:lang w:val="en-GB"/>
        </w:rPr>
        <w:fldChar w:fldCharType="begin"/>
      </w:r>
      <w:r w:rsidR="00331A79">
        <w:rPr>
          <w:lang w:val="en-GB"/>
        </w:rPr>
        <w:instrText xml:space="preserve"> ADDIN ZOTERO_ITEM CSL_CITATION {"citationID":"y73kyGet","properties":{"formattedCitation":"(Chown et al., 2012)","plainCitation":"(Chown et al., 2012)","noteIndex":0},"citationItems":[{"id":30372,"uris":["http://zotero.org/groups/2352922/items/HJ3HAU6C"],"itemData":{"id":30372,"type":"article-journal","abstract":"Invasive alien species are among the primary causes of biodiversity change globally, with the risks thereof broadly understood for most regions of the world. They are similarly thought to be among the most significant conservation threats to Antarctica, especially as climate change proceeds in the region. However, no comprehensive, continent-wide evaluation of the risks to Antarctica posed by such species has been undertaken. Here we do so by sampling, identifying, and mapping the vascular plant propagules carried by all categories of visitors to Antarctica during the International Polar Year's first season (2007-2008) and assessing propagule establishment likelihood based on their identity and origins and on spatial variation in Antarctica's climate. For an evaluation of the situation in 2100, we use modeled climates based on the Intergovernmental Panel on Climate Change's Special Report on Emissions Scenarios Scenario A1B [Nakicenovic N, Swart R, eds (2000) Special Report on Emissions Scenarios: A Special Report of Working Group III of the Intergovernmental Panel on Climate Change (Cambridge University Press, Cambridge, UK)]. Visitors carrying seeds average 9.5 seeds per person, although as vectors, scientists carry greater propagule loads than tourists. Annual tourist numbers (similar to 33,054) are higher than those of scientists (similar to 7,085), thus tempering these differences in propagule load. Alien species establishment is currently most likely for the Western Antarctic Peninsula. Recent founder populations of several alien species in this area corroborate these findings. With climate change, risks will grow in the Antarctic Peninsula, Ross Sea, and East Antarctic coastal regions. Our evidence-based assessment demonstrates which parts of Antarctica are at growing risk from alien species that may become invasive and provides the means to mitigate this threat now and into the future as the continent's climate changes.","container-title":"Proceedings of the National Academy of Sciences of the United States of America","DOI":"10.1073/pnas.1119787109","ISSN":"0027-8424","issue":"13","journalAbbreviation":"Proceedings of the National Academy of Sciences","note":"WOS:000302164200049","page":"4938-4943","title":"Continent-wide risk assessment for the establishment of nonindigenous species in Antarctica","URL":"http://www.pnas.org/cgi/doi/10.1073/pnas.1119787109","volume":"109","author":[{"family":"Chown","given":"Steven L."},{"family":"Huiskes","given":"Ad H. L."},{"family":"Gremmen","given":"Niek J. M."},{"family":"Lee","given":"Jennifer E."},{"family":"Terauds","given":"Aleks"},{"family":"Crosbie","given":"Kim"},{"family":"Frenot","given":"Yves"},{"family":"Hughes","given":"Kevin A."},{"family":"Imura","given":"Satoshi"},{"family":"Kiefer","given":"Kate"},{"family":"Lebouvier","given":"Marc"},{"family":"Raymond","given":"Ben"},{"family":"Tsujimoto","given":"Megumu"},{"family":"Ware","given":"Chris"},{"family":"Van de Vijver","given":"Bart"},{"family":"Bergstrom","given":"Dana Michelle"}],"issued":{"date-parts":[["2012",3,27]]}}}],"schema":"https://github.com/citation-style-language/schema/raw/master/csl-citation.json"} </w:instrText>
      </w:r>
      <w:r w:rsidR="0041334B" w:rsidRPr="728F2DAF">
        <w:rPr>
          <w:lang w:val="en-GB"/>
        </w:rPr>
        <w:fldChar w:fldCharType="separate"/>
      </w:r>
      <w:r w:rsidR="0566DAD0">
        <w:t>(Chown et al., 2012)</w:t>
      </w:r>
      <w:r w:rsidR="0041334B" w:rsidRPr="728F2DAF">
        <w:rPr>
          <w:lang w:val="en-GB"/>
        </w:rPr>
        <w:fldChar w:fldCharType="end"/>
      </w:r>
      <w:r w:rsidRPr="728F2DAF">
        <w:rPr>
          <w:lang w:val="en-GB"/>
        </w:rPr>
        <w:t>. The highest risk of seed transportation is associated with science programs</w:t>
      </w:r>
      <w:r w:rsidR="703ADC2F" w:rsidRPr="728F2DAF">
        <w:rPr>
          <w:lang w:val="en-GB"/>
        </w:rPr>
        <w:t xml:space="preserve"> (</w:t>
      </w:r>
      <w:r w:rsidR="00E23B69">
        <w:rPr>
          <w:b/>
          <w:bCs/>
          <w:lang w:val="en-GB"/>
        </w:rPr>
        <w:t>Figure</w:t>
      </w:r>
      <w:r w:rsidR="1B06FAA0" w:rsidRPr="728F2DAF">
        <w:rPr>
          <w:b/>
          <w:bCs/>
          <w:lang w:val="en-GB"/>
        </w:rPr>
        <w:t xml:space="preserve"> 3.11</w:t>
      </w:r>
      <w:r w:rsidR="703ADC2F" w:rsidRPr="728F2DAF">
        <w:rPr>
          <w:lang w:val="en-GB"/>
        </w:rPr>
        <w:t>)</w:t>
      </w:r>
      <w:r w:rsidRPr="728F2DAF">
        <w:rPr>
          <w:lang w:val="en-GB"/>
        </w:rPr>
        <w:t xml:space="preserve"> and tourist support personnel rather than with the increasing tourist numbers </w:t>
      </w:r>
      <w:r w:rsidR="0041334B" w:rsidRPr="728F2DAF">
        <w:rPr>
          <w:lang w:val="en-GB"/>
        </w:rPr>
        <w:fldChar w:fldCharType="begin"/>
      </w:r>
      <w:r w:rsidR="00331A79">
        <w:rPr>
          <w:lang w:val="en-GB"/>
        </w:rPr>
        <w:instrText xml:space="preserve"> ADDIN ZOTERO_ITEM CSL_CITATION {"citationID":"p4uQjjsV","properties":{"formattedCitation":"(Chown et al., 2012; Chwedorzewska et al., 2020; Huiskes et al., 2014)","plainCitation":"(Chown et al., 2012; Chwedorzewska et al., 2020; Huiskes et al., 2014)","noteIndex":0},"citationItems":[{"id":30372,"uris":["http://zotero.org/groups/2352922/items/HJ3HAU6C"],"itemData":{"id":30372,"type":"article-journal","abstract":"Invasive alien species are among the primary causes of biodiversity change globally, with the risks thereof broadly understood for most regions of the world. They are similarly thought to be among the most significant conservation threats to Antarctica, especially as climate change proceeds in the region. However, no comprehensive, continent-wide evaluation of the risks to Antarctica posed by such species has been undertaken. Here we do so by sampling, identifying, and mapping the vascular plant propagules carried by all categories of visitors to Antarctica during the International Polar Year's first season (2007-2008) and assessing propagule establishment likelihood based on their identity and origins and on spatial variation in Antarctica's climate. For an evaluation of the situation in 2100, we use modeled climates based on the Intergovernmental Panel on Climate Change's Special Report on Emissions Scenarios Scenario A1B [Nakicenovic N, Swart R, eds (2000) Special Report on Emissions Scenarios: A Special Report of Working Group III of the Intergovernmental Panel on Climate Change (Cambridge University Press, Cambridge, UK)]. Visitors carrying seeds average 9.5 seeds per person, although as vectors, scientists carry greater propagule loads than tourists. Annual tourist numbers (similar to 33,054) are higher than those of scientists (similar to 7,085), thus tempering these differences in propagule load. Alien species establishment is currently most likely for the Western Antarctic Peninsula. Recent founder populations of several alien species in this area corroborate these findings. With climate change, risks will grow in the Antarctic Peninsula, Ross Sea, and East Antarctic coastal regions. Our evidence-based assessment demonstrates which parts of Antarctica are at growing risk from alien species that may become invasive and provides the means to mitigate this threat now and into the future as the continent's climate changes.","container-title":"Proceedings of the National Academy of Sciences of the United States of America","DOI":"10.1073/pnas.1119787109","ISSN":"0027-8424","issue":"13","journalAbbreviation":"Proceedings of the National Academy of Sciences","note":"WOS:000302164200049","page":"4938-4943","title":"Continent-wide risk assessment for the establishment of nonindigenous species in Antarctica","URL":"http://www.pnas.org/cgi/doi/10.1073/pnas.1119787109","volume":"109","author":[{"family":"Chown","given":"Steven L."},{"family":"Huiskes","given":"Ad H. L."},{"family":"Gremmen","given":"Niek J. M."},{"family":"Lee","given":"Jennifer E."},{"family":"Terauds","given":"Aleks"},{"family":"Crosbie","given":"Kim"},{"family":"Frenot","given":"Yves"},{"family":"Hughes","given":"Kevin A."},{"family":"Imura","given":"Satoshi"},{"family":"Kiefer","given":"Kate"},{"family":"Lebouvier","given":"Marc"},{"family":"Raymond","given":"Ben"},{"family":"Tsujimoto","given":"Megumu"},{"family":"Ware","given":"Chris"},{"family":"Van de Vijver","given":"Bart"},{"family":"Bergstrom","given":"Dana Michelle"}],"issued":{"date-parts":[["2012",3,27]]}}},{"id":27421,"uris":["http://zotero.org/groups/2352922/items/R7FHIENZ"],"itemData":{"id":27421,"type":"article-journal","abstract":"The last decade has seen a rapid development of scientific, logistic and tourist activities, especially in the Antarctic region with the mildest climatic conditions: the Antarctic Peninsula. This region is also exhibiting rapid regional warming and all of the already diagnosed alien species in the Antarctic Treaty Area were found within the Antarctic Peninsula. Identifying potential invasive species that can threaten this pristine area of the Earth helps us to take specific preventive actions. This article is a commentary on Hughes et al., 26, 2702?2716.","container-title":"Global Change Biology","DOI":"10.1111/gcb.15013","issue":"4","page":"1942-1943","title":"Is Antarctica under threat of alien species invasion?","URL":"https://doi.org/10.1111/gcb.15013","volume":"26","author":[{"family":"Chwedorzewska","given":"Katarzyna J."},{"family":"Korczak-Abshire","given":"Małgorzata"},{"family":"Znój","given":"Anna"}],"issued":{"date-parts":[["2020",4]]}}},{"id":10571,"uris":["http://zotero.org/groups/2352922/items/Y9BWZC8E"],"itemData":{"id":10571,"type":"article-journal","abstract":"Despite considerable research on biological invasions, key areas remain poorly explored, especially ways to reduce unintentional propagule transfer. The Antarctic represents a microcosm of the situation, with the numbers of established non-native species growing. Information to help reduce potential impacts is therefore critical. We measured the propagule load of seeds, and fragments of bryophytes and lichens (the number of other plant or animal fragments was too low to draw any conclusions) carried in the clothing and gear of visitors to the Antarctic, during the 2007108 austral summer. Samples were collected from different categories of visitors associated with national research programs and tourism and different categories of clothing and gear, new as well as used. We also collected information about the timing of travel and the regions visitors had travelled to prior to Antarctic travel. Seeds were found in 20% and 45% of tourist and science visitor samples, respectively. For bryophyte and lichen fragments the proportions were 11% and 20%, respectively. Footwear, trousers and bags belonging to field scientists were the highest risk items, especially of those personnel which had previously visited protected areas, parklands/botanic gardens or alpine areas. Tourists who visited rural/agricultural areas prior to travel, and/or travel with national programs or on smaller tourist vessels had the highest probability of transferring plant propagules. Travel either during the boreal or austral autumn months increased the probability of propagule presence. Our assessment is applicable to other areas given evidence of propagule transfer patterns in those areas that are broadly similar to those documented here. The current work provides a sound evidence base for both self-regulation (e.g. taking care of personal equipment) and organization-based regulation (e.g. issuing guidelines and holding regular inspections) to reduce propagule transfer of plants to the Antarctic. Crown Copyright (C) 2014 Published by Elsevier Ltd.","container-title":"Biological Conservation","DOI":"10.1016/j.biocon.2014.01.038","ISSN":"0006-3207","note":"WOS:000335486400030","page":"278-284","title":"Aliens in Antarctica: Assessing transfer of plant propagules by human visitors to reduce invasion risk","volume":"171","author":[{"family":"Huiskes","given":"Ad H. L."},{"family":"Gremmen","given":"Niek J. M."},{"family":"Bergstrom","given":"Dana M."},{"family":"Frenot","given":"Yves"},{"family":"Hughes","given":"Kevin A."},{"family":"Imura","given":"Satoshi"},{"family":"Kiefer","given":"Kate"},{"family":"Lebouvier","given":"Marc"},{"family":"Lee","given":"Jennifer E."},{"family":"Tsujimoto","given":"Megumu"},{"family":"Ware","given":"Chris"},{"family":"Van de Vijver","given":"Bart"},{"family":"Chown","given":"Steven L."}],"issued":{"date-parts":[["2014",3]]}}}],"schema":"https://github.com/citation-style-language/schema/raw/master/csl-citation.json"} </w:instrText>
      </w:r>
      <w:r w:rsidR="0041334B" w:rsidRPr="728F2DAF">
        <w:rPr>
          <w:lang w:val="en-GB"/>
        </w:rPr>
        <w:fldChar w:fldCharType="separate"/>
      </w:r>
      <w:r w:rsidR="0566DAD0">
        <w:t>(Chown et al., 2012; Chwedorzewska et al., 2020; Huiskes et al., 2014)</w:t>
      </w:r>
      <w:r w:rsidR="0041334B" w:rsidRPr="728F2DAF">
        <w:rPr>
          <w:lang w:val="en-GB"/>
        </w:rPr>
        <w:fldChar w:fldCharType="end"/>
      </w:r>
      <w:r w:rsidRPr="728F2DAF">
        <w:rPr>
          <w:lang w:val="en-GB"/>
        </w:rPr>
        <w:t xml:space="preserve">. Between the summers of 2019 and 2020, about 74,400 tourists visited Antarctica and 18 nations had established over 50 research stations </w:t>
      </w:r>
      <w:r w:rsidR="0041334B" w:rsidRPr="728F2DAF">
        <w:rPr>
          <w:lang w:val="en-GB"/>
        </w:rPr>
        <w:fldChar w:fldCharType="begin"/>
      </w:r>
      <w:r w:rsidR="00331A79">
        <w:rPr>
          <w:lang w:val="en-GB"/>
        </w:rPr>
        <w:instrText xml:space="preserve"> ADDIN ZOTERO_ITEM CSL_CITATION {"citationID":"k6naL4yD","properties":{"formattedCitation":"(Hughes et al., 2020; IAATO, 2020)","plainCitation":"(Hughes et al., 2020; IAATO, 2020)","noteIndex":0},"citationItems":[{"id":29014,"uris":["http://zotero.org/groups/2352922/items/LKWYRFGA"],"itemData":{"id":29014,"type":"article-journal","abstract":"The Antarctic is considered to be a pristine environment relative to other regions of the Earth, but it is increasingly vulnerable to invasions by marine, freshwater and terrestrial non-native species. The Antarctic Peninsula region (APR), which encompasses the Antarctic Peninsula, South Shetland Islands and South Orkney Islands, is by far the most invaded part of the Antarctica continent. The risk of introduction of invasive non-native species to the APR is likely to increase with predicted increases in the intensity, diversity and distribution of human activities. Parties that are signatories to the Antarctic Treaty have called for regional assessments of non-native species risk. In response, taxonomic and Antarctic experts undertook a horizon scanning exercise using expert opinion and consensus approaches to identify the species that are likely to present the highest risk to biodiversity and ecosystems within the APR over the next 10 years. One hundred and three species, currently absent in the APR, were identified as relevant for review, with 13 species identified as presenting a high risk of invading the APR. Marine invertebrates dominated the list of highest risk species, with flowering plants and terrestrial invertebrates also represented; however, vertebrate species were thought unlikely to establish in the APR within the 10 year timeframe. We recommend (a) the further development and application of biosecurity measures by all stakeholders active in the APR, including surveillance for species such as those identified during this horizon scanning exercise, and (b) use of this methodology across the other regions of Antarctica. Without the application of appropriate biosecurity measures, rates of introductions and invasions within the APR are likely to increase, resulting in negative consequences for the biodiversity of the whole continent, as introduced species establish and spread further due to climate change and increasing human activity.","container-title":"Global Change Biology","DOI":"10.1111/gcb.14938","ISSN":"1354-1013, 1365-2486","issue":"4","journalAbbreviation":"Glob Change Biol","language":"en","page":"2702-2716","source":"DOI.org (Crossref)","title":"Invasive non-native species likely to threaten biodiversity and ecosystems in the Antarctic Peninsula region","URL":"https://onlinelibrary.wiley.com/doi/abs/10.1111/gcb.14938","volume":"26","author":[{"family":"Hughes","given":"Kevin A."},{"family":"Pe</w:instrText>
      </w:r>
      <w:r w:rsidR="00331A79">
        <w:rPr>
          <w:rFonts w:hint="eastAsia"/>
          <w:lang w:val="en-GB"/>
        </w:rPr>
        <w:instrText>scott","given":"Oliver L."},{"family":"Peyton","given":"Jodey M."},{"family":"Adriaens","given":"Tim"},{"family":"Cottier</w:instrText>
      </w:r>
      <w:r w:rsidR="00331A79">
        <w:rPr>
          <w:rFonts w:hint="eastAsia"/>
          <w:lang w:val="en-GB"/>
        </w:rPr>
        <w:instrText>‐</w:instrText>
      </w:r>
      <w:r w:rsidR="00331A79">
        <w:rPr>
          <w:rFonts w:hint="eastAsia"/>
          <w:lang w:val="en-GB"/>
        </w:rPr>
        <w:instrText>Cook","given":"Elizabeth J."},{"family":"Key","given":"Gillian"},{"family":"Rabitsch","given":"Wolfgang"},{"family":"Tricarico","give</w:instrText>
      </w:r>
      <w:r w:rsidR="00331A79">
        <w:rPr>
          <w:lang w:val="en-GB"/>
        </w:rPr>
        <w:instrText>n":"Elena"},{"family":"Barnes","given":"David K. A."},{"family":"Baxter","given":"Naomi"},{"family":"Belchier","given":"Mark"},{"family":"Blake","given":"Denise"},{"family":"Convey","given":"Peter"},{"family":"Dawson","given":"Wayne"},{"family":"Frohlich"</w:instrText>
      </w:r>
      <w:r w:rsidR="00331A79">
        <w:rPr>
          <w:rFonts w:hint="eastAsia"/>
          <w:lang w:val="en-GB"/>
        </w:rPr>
        <w:instrText>,"given":"Danielle"},{"family":"Gardiner","given":"Lauren M."},{"family":"González</w:instrText>
      </w:r>
      <w:r w:rsidR="00331A79">
        <w:rPr>
          <w:rFonts w:hint="eastAsia"/>
          <w:lang w:val="en-GB"/>
        </w:rPr>
        <w:instrText>‐</w:instrText>
      </w:r>
      <w:r w:rsidR="00331A79">
        <w:rPr>
          <w:rFonts w:hint="eastAsia"/>
          <w:lang w:val="en-GB"/>
        </w:rPr>
        <w:instrText>Moreno","given":"Pablo"},{"family":"James","given":"Ross"},{"family":"Malumphy","given":"Christopher"},{"family":"Martin","given":"Stephanie"},{"family":"Martinou","given":</w:instrText>
      </w:r>
      <w:r w:rsidR="00331A79">
        <w:rPr>
          <w:lang w:val="en-GB"/>
        </w:rPr>
        <w:instrText xml:space="preserve">"Angeliki F."},{"family":"Minchin","given":"Dan"},{"family":"Monaco","given":"Andrea"},{"family":"Moore","given":"Niall"},{"family":"Morley","given":"Simon A."},{"family":"Ross","given":"Katherine"},{"family":"Shanklin","given":"Jonathan"},{"family":"Turvey","given":"Katharine"},{"family":"Vaughan","given":"David"},{"family":"Vaux","given":"Alexander G. C."},{"family":"Werenkraut","given":"Victoria"},{"family":"Winfield","given":"Ian J."},{"family":"Roy","given":"Helen E."}],"accessed":{"date-parts":[["2020",4,18]]},"issued":{"date-parts":[["2020",4]]}}},{"id":32353,"uris":["http://zotero.org/groups/2352922/items/I7LACHGC"],"itemData":{"id":32353,"type":"document","language":"en","source":"Zotero","title":"Issued by the International Association of Antarctica Tour Operators","URL":"https://iaato.org/wp-content/uploads/2020/07/IAATO-on-Antarctic-visitor-figures-2019-20-FINAL.pdf","author":[{"literal":"IAATO"}],"issued":{"date-parts":[["2020"]]}}}],"schema":"https://github.com/citation-style-language/schema/raw/master/csl-citation.json"} </w:instrText>
      </w:r>
      <w:r w:rsidR="0041334B" w:rsidRPr="728F2DAF">
        <w:rPr>
          <w:lang w:val="en-GB"/>
        </w:rPr>
        <w:fldChar w:fldCharType="separate"/>
      </w:r>
      <w:r w:rsidR="0566DAD0">
        <w:t>(Hughes et al., 2020; IAATO, 2020)</w:t>
      </w:r>
      <w:r w:rsidR="0041334B" w:rsidRPr="728F2DAF">
        <w:rPr>
          <w:lang w:val="en-GB"/>
        </w:rPr>
        <w:fldChar w:fldCharType="end"/>
      </w:r>
      <w:r w:rsidRPr="728F2DAF">
        <w:rPr>
          <w:lang w:val="en-GB"/>
        </w:rPr>
        <w:t xml:space="preserve">. Alien plants and invertebrate species in Antarctica are found almost exclusively close to visitor sites and research stations </w:t>
      </w:r>
      <w:r w:rsidR="0041334B" w:rsidRPr="728F2DAF">
        <w:rPr>
          <w:lang w:val="en-GB"/>
        </w:rPr>
        <w:fldChar w:fldCharType="begin"/>
      </w:r>
      <w:r w:rsidR="00F5121E">
        <w:rPr>
          <w:lang w:val="en-GB"/>
        </w:rPr>
        <w:instrText xml:space="preserve"> ADDIN ZOTERO_ITEM CSL_CITATION {"citationID":"9Em7bTjj","properties":{"formattedCitation":"(Molina-Montenegro et al., 2012, 2014)","plainCitation":"(Molina-Montenegro et al., 2012, 2014)","noteIndex":0},"citationItems":[{"id":30307,"uris":["http://zotero.org/groups/2352922/items/Y42TV5NY"],"itemData":{"id":30307,"type":"article-journal","abstract":"Abstract:? Few non-native species have colonized Antarctica, although increased human activity and accelerated climate change may increase their number, distributional range, and effects on native species on the continent. We searched 13 sites on the maritime Antarctic islands and 12 sites on the Antarctic Peninsula for annual bluegrass (Poa annua), a non-native flowering plant. We also evaluated the possible effects of competition between P. annua and 2 vascular plants native to Antarctica, Antarctic pearlwort (Colobanthus quitensis) and Antarctic hairgrass (Deschampsia antarctica). We grew the native species in experimental plots with and without annual bluegrass under conditions that mimicked the Antarctic environment. After 5 months, we measured photosynthetic performance on the basis of chlorophyll fluorescence and determined total biomass of both native species. We found individual specimens of annual bluegrass at 3 different sites on the Antarctic Peninsula during the 2007?2008 and 2009?2010 austral summers. The presence of bluegrass was associated with a statistically significant reduction in biomass of pearlwort and hairgrass, whereas the decrease in biomass of bluegrass was not statistically significant. Similarly, the presence of bluegrass significantly reduced the photosynthetic performance of the 2 native species. Sites where bluegrass occurred were close to major maritime routes of scientific expeditions and of tourist cruises to Antarctica. We believe that if current levels of human activity and regional warming persist, more non-native plant species are likely to colonize the Antarctic and may affect native species.","container-title":"Conservation Biology","DOI":"10.1111/j.1523-1739.2012.01865.x","ISSN":"0888-8892","issue":"4","journalAbbreviation":"Conservation Biology","note":"publisher: John Wiley &amp; Sons, Ltd","page":"717-723","title":"Occurrence of the Non-Native Annual Bluegrass on the Antarctic Mainland and Its Negative Effects on Native Plants","URL":"https://doi.org/10.1111/j.1523-1739.2012.01865.x","volume":"26","author":[{"family":"Molina-Montenegro","given":"Marco A."},{"family":"Carrasco-Urra","given":"Fernando"},{"family":"Rodrigo","given":"Cristian"},{"family":"Convey","given":"Peter"},{"family":"Valladares","given":"Fernando"},{"family":"Gianoli","given":"Ernesto"}],"accessed":{"date-parts":[["2021",2,23]]},"issued":{"date-parts":[["2012",8,1]]}}},{"id":15274,"uris":["http://zotero.org/groups/2352922/items/ZAEHK5D7"],"itemData":{"id":15274,"type":"article-journal","abstract":"Because of its harsh environmental conditions and remoteness, Antarctica is often considered to be at low risk of plant invasion. However, an increasing number of reports have shown the presence and spread of non-native plants in Antarctica; it is therefore important to study which factors control the invasion process in this ecosystem. Here, we assessed the role of different human activities on the presence and abundance of the invasive Poa annua. In addition, we performed a reciprocal transplant experiment in the field, and a manipulative experiment of germination with P. annua and the natives Colobanthus quitensis and Deschampsia antarctica, in order to unravel the effects of physical soil disturbance on the establishment and survival of P. annua. We found a positive correlation between abundance of P. annua and level of soil disturbance, and that survival of P. annua was 33% higher in sites with disturbed soil than non-disturbed. Finally, we found that disturbance conditions increased germination for P. annua, whereas for native species germination in experimentally disturbed soil was either unchanged or reduced compared to undisturbed soil. Our results indicate that human activities that modify abiotic soil characteristics could play an important role in the abundance of this invasive species. If the current patterns of human activities are maintained in Antarctica, the establishment success and spread of P. annua could increase, negatively affecting native flora.","container-title":"Polar Research","DOI":"10.3402/polar.v33.21425","ISSN":"0800-0395","note":"WOS:000338435400001","page":"21425","title":"Assessing the importance of human activities for the establishment of the invasive &lt;i&gt;Poa annua&lt;/i&gt; in Antarctica","volume":"33","author":[{"family":"Molina-Montenegro","given":"Marco A."},{"family":"Carrasco-Urra","given":"Fernando"},{"family":"Acuna-Rodriguez","given":"Ian"},{"family":"Oses","given":"Romulo"},{"family":"Torres-Diaz","given":"Cristian"},{"family":"Chwedorzewska","given":"Katarzyna J."}],"issued":{"date-parts":[["2014"]]}}}],"schema":"https://github.com/citation-style-language/schema/raw/master/csl-citation.json"} </w:instrText>
      </w:r>
      <w:r w:rsidR="0041334B" w:rsidRPr="728F2DAF">
        <w:rPr>
          <w:lang w:val="en-GB"/>
        </w:rPr>
        <w:fldChar w:fldCharType="separate"/>
      </w:r>
      <w:r w:rsidR="0566DAD0">
        <w:t>(Molina-Montenegro et al., 2012, 2014)</w:t>
      </w:r>
      <w:r w:rsidR="0041334B" w:rsidRPr="728F2DAF">
        <w:rPr>
          <w:lang w:val="en-GB"/>
        </w:rPr>
        <w:fldChar w:fldCharType="end"/>
      </w:r>
      <w:r w:rsidRPr="728F2DAF">
        <w:rPr>
          <w:lang w:val="en-GB"/>
        </w:rPr>
        <w:t>.</w:t>
      </w:r>
    </w:p>
    <w:p w14:paraId="4A1F4C13" w14:textId="77777777" w:rsidR="00C24FFF" w:rsidRPr="00DA249F" w:rsidRDefault="009F2D68">
      <w:pPr>
        <w:pBdr>
          <w:top w:val="single" w:sz="4" w:space="1" w:color="auto"/>
          <w:left w:val="single" w:sz="4" w:space="1" w:color="auto"/>
          <w:bottom w:val="single" w:sz="4" w:space="1" w:color="auto"/>
          <w:right w:val="single" w:sz="4" w:space="1" w:color="auto"/>
        </w:pBdr>
        <w:shd w:val="clear" w:color="auto" w:fill="E7E6E6" w:themeFill="background2"/>
        <w:jc w:val="center"/>
        <w:rPr>
          <w:lang w:val="en-GB"/>
        </w:rPr>
      </w:pPr>
      <w:r w:rsidRPr="009F2D68">
        <w:rPr>
          <w:noProof/>
          <w:lang w:val="en-GB"/>
        </w:rPr>
        <w:lastRenderedPageBreak/>
        <w:drawing>
          <wp:inline distT="0" distB="0" distL="0" distR="0" wp14:anchorId="24467825" wp14:editId="0301C8FA">
            <wp:extent cx="4817533" cy="3089624"/>
            <wp:effectExtent l="0" t="0" r="0" b="0"/>
            <wp:docPr id="38" name="Picture 38" descr="A small town in the middle of a riv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38" descr="A small town in the middle of a river&#10;&#10;Description automatically generated"/>
                    <pic:cNvPicPr/>
                  </pic:nvPicPr>
                  <pic:blipFill>
                    <a:blip r:embed="rId29"/>
                    <a:stretch>
                      <a:fillRect/>
                    </a:stretch>
                  </pic:blipFill>
                  <pic:spPr>
                    <a:xfrm>
                      <a:off x="0" y="0"/>
                      <a:ext cx="4826373" cy="3095294"/>
                    </a:xfrm>
                    <a:prstGeom prst="rect">
                      <a:avLst/>
                    </a:prstGeom>
                    <a:ln>
                      <a:noFill/>
                    </a:ln>
                  </pic:spPr>
                </pic:pic>
              </a:graphicData>
            </a:graphic>
          </wp:inline>
        </w:drawing>
      </w:r>
    </w:p>
    <w:p w14:paraId="2DB652DD" w14:textId="78A755E8" w:rsidR="00C24FFF" w:rsidRPr="00DA249F" w:rsidRDefault="00C24FFF">
      <w:pPr>
        <w:pStyle w:val="Caption"/>
        <w:pBdr>
          <w:top w:val="single" w:sz="4" w:space="1" w:color="auto"/>
          <w:left w:val="single" w:sz="4" w:space="1" w:color="auto"/>
          <w:bottom w:val="single" w:sz="4" w:space="1" w:color="auto"/>
          <w:right w:val="single" w:sz="4" w:space="1" w:color="auto"/>
        </w:pBdr>
        <w:shd w:val="clear" w:color="auto" w:fill="E7E6E6" w:themeFill="background2"/>
        <w:rPr>
          <w:lang w:val="en-GB"/>
        </w:rPr>
      </w:pPr>
      <w:bookmarkStart w:id="119" w:name="_Ref129339262"/>
      <w:bookmarkStart w:id="120" w:name="_Ref129339289"/>
      <w:bookmarkStart w:id="121" w:name="_Toc147500896"/>
      <w:r w:rsidRPr="00DA249F">
        <w:rPr>
          <w:lang w:val="en-GB"/>
        </w:rPr>
        <w:t>Figure 3.</w:t>
      </w:r>
      <w:r w:rsidRPr="00DA249F">
        <w:rPr>
          <w:lang w:val="en-GB"/>
        </w:rPr>
        <w:fldChar w:fldCharType="begin"/>
      </w:r>
      <w:r w:rsidRPr="00DA249F">
        <w:rPr>
          <w:lang w:val="en-GB"/>
        </w:rPr>
        <w:instrText xml:space="preserve"> SEQ Figure_3. \* ARABIC </w:instrText>
      </w:r>
      <w:r w:rsidRPr="00DA249F">
        <w:rPr>
          <w:lang w:val="en-GB"/>
        </w:rPr>
        <w:fldChar w:fldCharType="separate"/>
      </w:r>
      <w:r w:rsidR="00287BC7">
        <w:rPr>
          <w:noProof/>
          <w:lang w:val="en-GB"/>
        </w:rPr>
        <w:t>11</w:t>
      </w:r>
      <w:r w:rsidRPr="00DA249F">
        <w:rPr>
          <w:lang w:val="en-GB"/>
        </w:rPr>
        <w:fldChar w:fldCharType="end"/>
      </w:r>
      <w:bookmarkEnd w:id="119"/>
      <w:r w:rsidR="009A3B6C" w:rsidRPr="00DA249F">
        <w:rPr>
          <w:lang w:val="en-GB"/>
        </w:rPr>
        <w:t>.</w:t>
      </w:r>
      <w:r w:rsidRPr="00DA249F">
        <w:rPr>
          <w:lang w:val="en-GB"/>
        </w:rPr>
        <w:t xml:space="preserve"> </w:t>
      </w:r>
      <w:r w:rsidRPr="00DA249F">
        <w:rPr>
          <w:b w:val="0"/>
          <w:bCs w:val="0"/>
          <w:lang w:val="en-GB"/>
        </w:rPr>
        <w:t>Research stations in Antarctica increase the risk of biological invasions</w:t>
      </w:r>
      <w:r w:rsidR="00C85F63" w:rsidRPr="00DA249F">
        <w:rPr>
          <w:b w:val="0"/>
          <w:bCs w:val="0"/>
          <w:lang w:val="en-GB"/>
        </w:rPr>
        <w:t>.</w:t>
      </w:r>
      <w:r w:rsidR="00C85F63" w:rsidRPr="00DA249F">
        <w:rPr>
          <w:lang w:val="en-GB"/>
        </w:rPr>
        <w:t xml:space="preserve"> </w:t>
      </w:r>
      <w:r w:rsidRPr="00DA249F">
        <w:rPr>
          <w:b w:val="0"/>
          <w:bCs w:val="0"/>
          <w:lang w:val="en-GB"/>
        </w:rPr>
        <w:t>The Australian Antarctic Division has 4 permanent research stations in Antarctica and the sub</w:t>
      </w:r>
      <w:r w:rsidR="00294D40" w:rsidRPr="00DA249F">
        <w:rPr>
          <w:b w:val="0"/>
          <w:bCs w:val="0"/>
          <w:lang w:val="en-GB"/>
        </w:rPr>
        <w:t>a</w:t>
      </w:r>
      <w:r w:rsidRPr="00DA249F">
        <w:rPr>
          <w:b w:val="0"/>
          <w:bCs w:val="0"/>
          <w:lang w:val="en-GB"/>
        </w:rPr>
        <w:t xml:space="preserve">ntarctic. </w:t>
      </w:r>
      <w:bookmarkEnd w:id="120"/>
      <w:r w:rsidR="002C397A">
        <w:rPr>
          <w:b w:val="0"/>
          <w:bCs w:val="0"/>
          <w:lang w:val="en-GB"/>
        </w:rPr>
        <w:t xml:space="preserve">Photo credit: </w:t>
      </w:r>
      <w:r w:rsidR="002C397A" w:rsidRPr="002C397A">
        <w:rPr>
          <w:b w:val="0"/>
          <w:bCs w:val="0"/>
          <w:lang w:val="en-GB"/>
        </w:rPr>
        <w:t>David Barringhaus/Australian Antarctic Division</w:t>
      </w:r>
      <w:r w:rsidR="002C397A">
        <w:rPr>
          <w:b w:val="0"/>
          <w:bCs w:val="0"/>
          <w:lang w:val="en-GB"/>
        </w:rPr>
        <w:t xml:space="preserve"> </w:t>
      </w:r>
      <w:r w:rsidR="00BB328F">
        <w:rPr>
          <w:b w:val="0"/>
          <w:bCs w:val="0"/>
          <w:lang w:val="en-GB"/>
        </w:rPr>
        <w:t>–</w:t>
      </w:r>
      <w:r w:rsidR="002C397A">
        <w:rPr>
          <w:b w:val="0"/>
          <w:bCs w:val="0"/>
          <w:lang w:val="en-GB"/>
        </w:rPr>
        <w:t xml:space="preserve"> Copyright</w:t>
      </w:r>
      <w:r w:rsidR="00BB328F">
        <w:rPr>
          <w:b w:val="0"/>
          <w:bCs w:val="0"/>
          <w:lang w:val="en-GB"/>
        </w:rPr>
        <w:t>.</w:t>
      </w:r>
      <w:bookmarkEnd w:id="121"/>
    </w:p>
    <w:p w14:paraId="4695B995" w14:textId="0DB3D1A5" w:rsidR="0041334B" w:rsidRPr="00DA249F" w:rsidRDefault="0041334B">
      <w:pPr>
        <w:pBdr>
          <w:top w:val="single" w:sz="4" w:space="1" w:color="auto"/>
          <w:left w:val="single" w:sz="4" w:space="1" w:color="auto"/>
          <w:bottom w:val="single" w:sz="4" w:space="1" w:color="auto"/>
          <w:right w:val="single" w:sz="4" w:space="1" w:color="auto"/>
        </w:pBdr>
        <w:shd w:val="clear" w:color="auto" w:fill="E7E6E6" w:themeFill="background2"/>
        <w:rPr>
          <w:lang w:val="en-GB"/>
        </w:rPr>
      </w:pPr>
      <w:r w:rsidRPr="00DA249F">
        <w:rPr>
          <w:lang w:val="en-GB"/>
        </w:rPr>
        <w:t xml:space="preserve">The introduction, establishment and spread of </w:t>
      </w:r>
      <w:r w:rsidRPr="00DA249F">
        <w:rPr>
          <w:i/>
          <w:iCs/>
          <w:lang w:val="en-GB"/>
        </w:rPr>
        <w:t>Poa annua</w:t>
      </w:r>
      <w:r w:rsidRPr="00DA249F">
        <w:rPr>
          <w:lang w:val="en-GB"/>
        </w:rPr>
        <w:t xml:space="preserve"> (annual meadowgrass) in different localities in Antarctica is well documented </w:t>
      </w:r>
      <w:r w:rsidR="00CA0C6B" w:rsidRPr="00DA249F">
        <w:rPr>
          <w:lang w:val="en-GB"/>
        </w:rPr>
        <w:t>(</w:t>
      </w:r>
      <w:r w:rsidRPr="00DA249F">
        <w:rPr>
          <w:lang w:val="en-GB"/>
        </w:rPr>
        <w:fldChar w:fldCharType="begin"/>
      </w:r>
      <w:r w:rsidR="00230216">
        <w:rPr>
          <w:lang w:val="en-GB"/>
        </w:rPr>
        <w:instrText xml:space="preserve"> ADDIN ZOTERO_ITEM CSL_CITATION {"citationID":"mhF5ynF2","properties":{"formattedCitation":"(Chwedorzewska et al., 2015)","plainCitation":"(Chwedorzewska et al., 2015)","dontUpdate":true,"noteIndex":0},"citationItems":[{"id":56154,"uris":["http://zotero.org/groups/2352922/items/M2ZFUD74","http://zotero.org/groups/2352922/items/AGJPTGIV"],"itemData":{"id":56154,"type":"article-journal","abstract":"ABSTRACT\n            \n              Poa annua\n              is the only flowering plant species that has established a breeding population in the maritime Antarctic, through repeated anthropogenic introduction. The first appearance of this species in the Antarctic was observed in 1953. Annual bluegrass inhabits mainly anthropogenic sites, but recently has entered tundra communities. The functioning of\n              P. annua\n              in the Antarctic could not have been possible without adaptations that enable the plants to persist in the specific climatic conditions typical for this zone.\n              Poa annua\n              is highly adaptable to environmental stress and unstable habitats: huge phenotypic and genotypic variability, small size, plastic life cycle (life-history types ranging from annual to perennial forms). The spreading of\n              P. annua\n              in the Antarctic Peninsula region is a classic example of the expansion process following anthropogenic introduction of an invasive species, and illustrates the dangers to Antarctic terrestrial ecosystems that are associated with increasing human traffic.","container-title":"Polar Record","DOI":"10.1017/S0032247414000916","ISSN":"0032-2474, 1475-3057","issue":"6","journalAbbreviation":"Polar Record","language":"en","page":"637-643","source":"DOI.org (Crossref)","title":"&lt;i&gt;Poa annua&lt;/i&gt; L. in the maritime Antarctic: an overview","title-short":"&lt;i&gt;Poa annua&lt;/i&gt; L. in the maritime Antarctic","URL":"https://www.cambridge.org/core/product/identifier/S0032247414000916/type/journal_article","volume":"51","author":[{"family":"Chwedorzewska","given":"K.J."},{"family":"Giełwanowska","given":"I."},{"family":"Olech","given":"M."},{"family":"Molina-Montenegro","given":"M.A."},{"family":"Wódkiewicz","given":"M."},{"family":"Galera","given":"H."}],"accessed":{"date-parts":[["2023",6,7]]},"issued":{"date-parts":[["2015",11]]}}}],"schema":"https://github.com/citation-style-language/schema/raw/master/csl-citation.json"} </w:instrText>
      </w:r>
      <w:r w:rsidRPr="00DA249F">
        <w:rPr>
          <w:lang w:val="en-GB"/>
        </w:rPr>
        <w:fldChar w:fldCharType="separate"/>
      </w:r>
      <w:r w:rsidRPr="00DA249F">
        <w:rPr>
          <w:lang w:val="en-GB"/>
        </w:rPr>
        <w:t>Chwedorzewska et al., 2015)</w:t>
      </w:r>
      <w:r w:rsidRPr="00DA249F">
        <w:rPr>
          <w:lang w:val="en-GB"/>
        </w:rPr>
        <w:fldChar w:fldCharType="end"/>
      </w:r>
      <w:r w:rsidRPr="00DA249F">
        <w:rPr>
          <w:lang w:val="en-GB"/>
        </w:rPr>
        <w:t xml:space="preserve">. </w:t>
      </w:r>
      <w:r w:rsidR="00F838E0" w:rsidRPr="00DA249F">
        <w:rPr>
          <w:i/>
          <w:iCs/>
          <w:lang w:val="en-GB"/>
        </w:rPr>
        <w:t>Poa</w:t>
      </w:r>
      <w:r w:rsidRPr="00DA249F">
        <w:rPr>
          <w:i/>
          <w:iCs/>
          <w:lang w:val="en-GB"/>
        </w:rPr>
        <w:t xml:space="preserve"> annua</w:t>
      </w:r>
      <w:r w:rsidRPr="00DA249F">
        <w:rPr>
          <w:lang w:val="en-GB"/>
        </w:rPr>
        <w:t xml:space="preserve">, an annual grass native to Europe and </w:t>
      </w:r>
      <w:r w:rsidR="005B2906" w:rsidRPr="00DA249F">
        <w:rPr>
          <w:lang w:val="en-GB"/>
        </w:rPr>
        <w:t xml:space="preserve">an </w:t>
      </w:r>
      <w:r w:rsidRPr="00DA249F">
        <w:rPr>
          <w:lang w:val="en-GB"/>
        </w:rPr>
        <w:t xml:space="preserve">invasive </w:t>
      </w:r>
      <w:r w:rsidR="005B2906" w:rsidRPr="00DA249F">
        <w:rPr>
          <w:lang w:val="en-GB"/>
        </w:rPr>
        <w:t>alien spec</w:t>
      </w:r>
      <w:r w:rsidR="00F70A08" w:rsidRPr="00DA249F">
        <w:rPr>
          <w:lang w:val="en-GB"/>
        </w:rPr>
        <w:t>i</w:t>
      </w:r>
      <w:r w:rsidR="005B2906" w:rsidRPr="00DA249F">
        <w:rPr>
          <w:lang w:val="en-GB"/>
        </w:rPr>
        <w:t xml:space="preserve">es </w:t>
      </w:r>
      <w:r w:rsidRPr="00DA249F">
        <w:rPr>
          <w:lang w:val="en-GB"/>
        </w:rPr>
        <w:t>in the Andes</w:t>
      </w:r>
      <w:r w:rsidR="003E6B90">
        <w:rPr>
          <w:lang w:val="en-GB"/>
        </w:rPr>
        <w:t>,</w:t>
      </w:r>
      <w:r w:rsidRPr="00DA249F">
        <w:rPr>
          <w:lang w:val="en-GB"/>
        </w:rPr>
        <w:t xml:space="preserve"> has been observed in the vicinity of Arctowski Station on King George Island in Antarctica since 1985 </w:t>
      </w:r>
      <w:r w:rsidRPr="00DA249F">
        <w:rPr>
          <w:lang w:val="en-GB"/>
        </w:rPr>
        <w:fldChar w:fldCharType="begin"/>
      </w:r>
      <w:r w:rsidR="00331A79">
        <w:rPr>
          <w:lang w:val="en-GB"/>
        </w:rPr>
        <w:instrText xml:space="preserve"> ADDIN ZOTERO_ITEM CSL_CITATION {"citationID":"tME4gv2Z","properties":{"formattedCitation":"(Chwedorzewska, 2008)","plainCitation":"(Chwedorzewska, 2008)","noteIndex":0},"citationItems":[{"id":27420,"uris":["http://zotero.org/groups/2352922/items/83D6678Q"],"itemData":{"id":27420,"type":"article-journal","abstract":"The level of polymorphism, genetic variability and relatedness of a population of Poa annua L. from South Shetlands Islands was studied and compared with results obtained for populations from two potential sources of introduction (Argentina—Ushuaia and Poland—Dziekanów Leśny) using the amplified fragment length polymorphism (AFLP) approach. Five primer pairs used for AFLP profiling amplified 226 scoreable DNA fragments that were used for Clustral and Factorial analyses. The level of molecular variability among all individuals from all the analysed populations reaches 30%. Clustral and Factorial analyses show that all populations formed clear-cut uniform groups according to their locations. However, population from King George Island show high variability. High genetic diversity may be related with escalated human activity at the area of Arctowski Station, favouring introductions of P. annua from many different sources and by many different vectors.","container-title":"Polar Biology","DOI":"10.1007/s00300-007-0353-4","issue":"3","note":"number: 3","page":"263-268","title":"&lt;i&gt;Poa annua&lt;/i&gt; L. in Antarctic: searching for the source of introduction","URL":"https://doi.org/10.1007/s00300-007-0353-4","volume":"31","author":[{"family":"Chwedorzewska","given":"Katarzyna J."}],"issued":{"date-parts":[["2008"]]}}}],"schema":"https://github.com/citation-style-language/schema/raw/master/csl-citation.json"} </w:instrText>
      </w:r>
      <w:r w:rsidRPr="00DA249F">
        <w:rPr>
          <w:lang w:val="en-GB"/>
        </w:rPr>
        <w:fldChar w:fldCharType="separate"/>
      </w:r>
      <w:r w:rsidR="00144D96" w:rsidRPr="00144D96">
        <w:t>(Chwedorzewska, 2008)</w:t>
      </w:r>
      <w:r w:rsidRPr="00DA249F">
        <w:rPr>
          <w:lang w:val="en-GB"/>
        </w:rPr>
        <w:fldChar w:fldCharType="end"/>
      </w:r>
      <w:r w:rsidRPr="00DA249F">
        <w:rPr>
          <w:lang w:val="en-GB"/>
        </w:rPr>
        <w:t>. In this site,</w:t>
      </w:r>
      <w:r w:rsidRPr="00DA249F">
        <w:rPr>
          <w:i/>
          <w:iCs/>
          <w:lang w:val="en-GB"/>
        </w:rPr>
        <w:t xml:space="preserve"> </w:t>
      </w:r>
      <w:r w:rsidR="00F838E0" w:rsidRPr="00DA249F">
        <w:rPr>
          <w:i/>
          <w:iCs/>
          <w:lang w:val="en-GB"/>
        </w:rPr>
        <w:t>Poa</w:t>
      </w:r>
      <w:r w:rsidRPr="00DA249F">
        <w:rPr>
          <w:i/>
          <w:iCs/>
          <w:lang w:val="en-GB"/>
        </w:rPr>
        <w:t xml:space="preserve"> annua</w:t>
      </w:r>
      <w:r w:rsidRPr="00DA249F">
        <w:rPr>
          <w:lang w:val="en-GB"/>
        </w:rPr>
        <w:t xml:space="preserve"> maintains a genetically diverse population, which has been </w:t>
      </w:r>
      <w:r w:rsidR="00AB723A">
        <w:rPr>
          <w:lang w:val="en-GB"/>
        </w:rPr>
        <w:t xml:space="preserve">attributed to </w:t>
      </w:r>
      <w:r w:rsidRPr="00DA249F">
        <w:rPr>
          <w:lang w:val="en-GB"/>
        </w:rPr>
        <w:t xml:space="preserve">intense human activity in the station facilitating multiple introductions from different source populations </w:t>
      </w:r>
      <w:r w:rsidRPr="00DA249F">
        <w:rPr>
          <w:lang w:val="en-GB"/>
        </w:rPr>
        <w:fldChar w:fldCharType="begin"/>
      </w:r>
      <w:r w:rsidR="00331A79">
        <w:rPr>
          <w:lang w:val="en-GB"/>
        </w:rPr>
        <w:instrText xml:space="preserve"> ADDIN ZOTERO_ITEM CSL_CITATION {"citationID":"Rulu4iUP","properties":{"formattedCitation":"(Chwedorzewska, 2008)","plainCitation":"(Chwedorzewska, 2008)","noteIndex":0},"citationItems":[{"id":27420,"uris":["http://zotero.org/groups/2352922/items/83D6678Q"],"itemData":{"id":27420,"type":"article-journal","abstract":"The level of polymorphism, genetic variability and relatedness of a population of Poa annua L. from South Shetlands Islands was studied and compared with results obtained for populations from two potential sources of introduction (Argentina—Ushuaia and Poland—Dziekanów Leśny) using the amplified fragment length polymorphism (AFLP) approach. Five primer pairs used for AFLP profiling amplified 226 scoreable DNA fragments that were used for Clustral and Factorial analyses. The level of molecular variability among all individuals from all the analysed populations reaches 30%. Clustral and Factorial analyses show that all populations formed clear-cut uniform groups according to their locations. However, population from King George Island show high variability. High genetic diversity may be related with escalated human activity at the area of Arctowski Station, favouring introductions of P. annua from many different sources and by many different vectors.","container-title":"Polar Biology","DOI":"10.1007/s00300-007-0353-4","issue":"3","note":"number: 3","page":"263-268","title":"&lt;i&gt;Poa annua&lt;/i&gt; L. in Antarctic: searching for the source of introduction","URL":"https://doi.org/10.1007/s00300-007-0353-4","volume":"31","author":[{"family":"Chwedorzewska","given":"Katarzyna J."}],"issued":{"date-parts":[["2008"]]}}}],"schema":"https://github.com/citation-style-language/schema/raw/master/csl-citation.json"} </w:instrText>
      </w:r>
      <w:r w:rsidRPr="00DA249F">
        <w:rPr>
          <w:lang w:val="en-GB"/>
        </w:rPr>
        <w:fldChar w:fldCharType="separate"/>
      </w:r>
      <w:r w:rsidR="00144D96" w:rsidRPr="00144D96">
        <w:t>(Chwedorzewska, 2008)</w:t>
      </w:r>
      <w:r w:rsidRPr="00DA249F">
        <w:rPr>
          <w:lang w:val="en-GB"/>
        </w:rPr>
        <w:fldChar w:fldCharType="end"/>
      </w:r>
      <w:r w:rsidRPr="00DA249F">
        <w:rPr>
          <w:lang w:val="en-GB"/>
        </w:rPr>
        <w:t>.</w:t>
      </w:r>
    </w:p>
    <w:p w14:paraId="78FD6609" w14:textId="77777777" w:rsidR="0041334B" w:rsidRPr="00DA249F" w:rsidRDefault="0041334B">
      <w:pPr>
        <w:pBdr>
          <w:top w:val="single" w:sz="4" w:space="1" w:color="auto"/>
          <w:left w:val="single" w:sz="4" w:space="1" w:color="auto"/>
          <w:bottom w:val="single" w:sz="4" w:space="1" w:color="auto"/>
          <w:right w:val="single" w:sz="4" w:space="1" w:color="auto"/>
        </w:pBdr>
        <w:shd w:val="clear" w:color="auto" w:fill="E7E6E6" w:themeFill="background2"/>
        <w:rPr>
          <w:lang w:val="en-GB"/>
        </w:rPr>
      </w:pPr>
      <w:r w:rsidRPr="00DA249F">
        <w:rPr>
          <w:lang w:val="en-GB"/>
        </w:rPr>
        <w:fldChar w:fldCharType="begin"/>
      </w:r>
      <w:r w:rsidR="00331A79">
        <w:rPr>
          <w:lang w:val="en-GB"/>
        </w:rPr>
        <w:instrText xml:space="preserve"> ADDIN ZOTERO_ITEM CSL_CITATION {"citationID":"3uu3iggw","properties":{"formattedCitation":"(Fuentes-Lillo et al., 2017)","plainCitation":"(Fuentes-Lillo et al., 2017)","dontUpdate":true,"noteIndex":0},"citationItems":[{"id":27419,"uris":["http://zotero.org/groups/2352922/items/GP3VIA54"],"itemData":{"id":27419,"type":"article-journal","abstract":"The Antarctic terrestrial ecosystem is relatively simple and has low plant diversity. Taking into account the current effects of climate change and the exponential increase in visitors during the past 50 years, this ecosystem is very vulnerable to the arrival of non-native species. Fildes Peninsula, King George Island, is an area of high human impact due to the scientific and logistical activities that occur there making the area particularly interesting for the arrival of non-native species. In this study, we determine the spectrum of seeds arriving to the peninsula and being deposited in the topsoil. Soil samples were collected and analysed in order to identify and quantify plant material. The results indicate that there is a direct relationship between the sites where seeds were found and areas with higher levels of human activity on the peninsula. Eight species were identified, with the most common being Hypochaeris radicata and Senecio jacobaea. Seed quantification indicated that areas of high human activity are most vulnerable to the invasion and establishment of non-native species. This study is the first to demonstrate the presence of non-native seeds in the topsoil at Fildes Peninsula, Antarctica.","container-title":"Antarctic Science","DOI":"10.1017/S0954102017000037","issue":"4","note":"number: 4\nedition: 2017/02/23\npublisher: Cambridge University Press","page":"324-330","title":"Seeds of non-native species in King George Island soil","URL":"https://www.cambridge.org/core/article/seeds-of-nonnative-species-in-king-george-island-soil/CBDDAA26931B9E64EA8FA1B39FD45822","volume":"29","author":[{"family":"Fuentes-Lillo","given":"Eduardo"},{"family":"Cuba-Díaz","given":"Marely"},{"family":"Troncoso-Castro","given":"José M"},{"family":"Rondanelli-Reyes","given":"Mauricio"}],"issued":{"date-parts":[["2017"]]}}}],"schema":"https://github.com/citation-style-language/schema/raw/master/csl-citation.json"} </w:instrText>
      </w:r>
      <w:r w:rsidRPr="00DA249F">
        <w:rPr>
          <w:lang w:val="en-GB"/>
        </w:rPr>
        <w:fldChar w:fldCharType="end"/>
      </w:r>
      <w:r w:rsidRPr="00DA249F">
        <w:rPr>
          <w:lang w:val="en-GB"/>
        </w:rPr>
        <w:t xml:space="preserve">Fuentes-Lillo et al. </w:t>
      </w:r>
      <w:r w:rsidRPr="00DA249F">
        <w:rPr>
          <w:lang w:val="en-GB"/>
        </w:rPr>
        <w:fldChar w:fldCharType="begin"/>
      </w:r>
      <w:r w:rsidR="00331A79">
        <w:rPr>
          <w:lang w:val="en-GB"/>
        </w:rPr>
        <w:instrText xml:space="preserve"> ADDIN ZOTERO_ITEM CSL_CITATION {"citationID":"gWhF6AO5","properties":{"formattedCitation":"(Fuentes-Lillo et al., 2017)","plainCitation":"(Fuentes-Lillo et al., 2017)","dontUpdate":true,"noteIndex":0},"citationItems":[{"id":27419,"uris":["http://zotero.org/groups/2352922/items/GP3VIA54"],"itemData":{"id":27419,"type":"article-journal","abstract":"The Antarctic terrestrial ecosystem is relatively simple and has low plant diversity. Taking into account the current effects of climate change and the exponential increase in visitors during the past 50 years, this ecosystem is very vulnerable to the arrival of non-native species. Fildes Peninsula, King George Island, is an area of high human impact due to the scientific and logistical activities that occur there making the area particularly interesting for the arrival of non-native species. In this study, we determine the spectrum of seeds arriving to the peninsula and being deposited in the topsoil. Soil samples were collected and analysed in order to identify and quantify plant material. The results indicate that there is a direct relationship between the sites where seeds were found and areas with higher levels of human activity on the peninsula. Eight species were identified, with the most common being Hypochaeris radicata and Senecio jacobaea. Seed quantification indicated that areas of high human activity are most vulnerable to the invasion and establishment of non-native species. This study is the first to demonstrate the presence of non-native seeds in the topsoil at Fildes Peninsula, Antarctica.","container-title":"Antarctic Science","DOI":"10.1017/S0954102017000037","issue":"4","note":"number: 4\nedition: 2017/02/23\npublisher: Cambridge University Press","page":"324-330","title":"Seeds of non-native species in King George Island soil","URL":"https://www.cambridge.org/core/article/seeds-of-nonnative-species-in-king-george-island-soil/CBDDAA26931B9E64EA8FA1B39FD45822","volume":"29","author":[{"family":"Fuentes-Lillo","given":"Eduardo"},{"family":"Cuba-Díaz","given":"Marely"},{"family":"Troncoso-Castro","given":"José M"},{"family":"Rondanelli-Reyes","given":"Mauricio"}],"issued":{"date-parts":[["2017"]]}}}],"schema":"https://github.com/citation-style-language/schema/raw/master/csl-citation.json"} </w:instrText>
      </w:r>
      <w:r w:rsidRPr="00DA249F">
        <w:rPr>
          <w:lang w:val="en-GB"/>
        </w:rPr>
        <w:fldChar w:fldCharType="separate"/>
      </w:r>
      <w:r w:rsidRPr="00DA249F">
        <w:rPr>
          <w:lang w:val="en-GB"/>
        </w:rPr>
        <w:t>(2017)</w:t>
      </w:r>
      <w:r w:rsidRPr="00DA249F">
        <w:rPr>
          <w:lang w:val="en-GB"/>
        </w:rPr>
        <w:fldChar w:fldCharType="end"/>
      </w:r>
      <w:r w:rsidRPr="00DA249F">
        <w:rPr>
          <w:lang w:val="en-GB"/>
        </w:rPr>
        <w:t xml:space="preserve"> found a connection between human </w:t>
      </w:r>
      <w:r w:rsidR="00E9045F" w:rsidRPr="00DA249F">
        <w:rPr>
          <w:lang w:val="en-GB"/>
        </w:rPr>
        <w:t xml:space="preserve">activity </w:t>
      </w:r>
      <w:r w:rsidRPr="00DA249F">
        <w:rPr>
          <w:lang w:val="en-GB"/>
        </w:rPr>
        <w:t xml:space="preserve">and </w:t>
      </w:r>
      <w:r w:rsidR="00191A38" w:rsidRPr="00DA249F">
        <w:rPr>
          <w:lang w:val="en-GB"/>
        </w:rPr>
        <w:t>invasive alien plants</w:t>
      </w:r>
      <w:r w:rsidRPr="00DA249F">
        <w:rPr>
          <w:lang w:val="en-GB"/>
        </w:rPr>
        <w:t xml:space="preserve"> </w:t>
      </w:r>
      <w:r w:rsidR="00191A38" w:rsidRPr="00DA249F">
        <w:rPr>
          <w:lang w:val="en-GB"/>
        </w:rPr>
        <w:t xml:space="preserve">in the </w:t>
      </w:r>
      <w:r w:rsidRPr="00DA249F">
        <w:rPr>
          <w:lang w:val="en-GB"/>
        </w:rPr>
        <w:t xml:space="preserve">Fildes Peninsula in King George Island. These authors found higher concentration of seeds in soil samples </w:t>
      </w:r>
      <w:r w:rsidR="00F56087" w:rsidRPr="00DA249F">
        <w:rPr>
          <w:lang w:val="en-GB"/>
        </w:rPr>
        <w:t xml:space="preserve">at </w:t>
      </w:r>
      <w:r w:rsidRPr="00DA249F">
        <w:rPr>
          <w:lang w:val="en-GB"/>
        </w:rPr>
        <w:t xml:space="preserve">sites with increased human activity (i.e., next to dormitories of logistics personnel). Six of the eight alien species recorded in soil samples were also found in </w:t>
      </w:r>
      <w:r w:rsidR="00125A1B" w:rsidRPr="00DA249F">
        <w:rPr>
          <w:lang w:val="en-GB"/>
        </w:rPr>
        <w:t>King George Island</w:t>
      </w:r>
      <w:r w:rsidRPr="00DA249F">
        <w:rPr>
          <w:lang w:val="en-GB"/>
        </w:rPr>
        <w:t xml:space="preserve">; </w:t>
      </w:r>
      <w:r w:rsidRPr="00DA249F">
        <w:rPr>
          <w:i/>
          <w:iCs/>
          <w:lang w:val="en-GB"/>
        </w:rPr>
        <w:t xml:space="preserve">Taraxacum officinale </w:t>
      </w:r>
      <w:r w:rsidRPr="00DA249F">
        <w:rPr>
          <w:lang w:val="en-GB"/>
        </w:rPr>
        <w:t xml:space="preserve">(dandelion) and </w:t>
      </w:r>
      <w:r w:rsidR="00F838E0" w:rsidRPr="00DA249F">
        <w:rPr>
          <w:i/>
          <w:iCs/>
          <w:lang w:val="en-GB"/>
        </w:rPr>
        <w:t>Poa</w:t>
      </w:r>
      <w:r w:rsidRPr="00DA249F">
        <w:rPr>
          <w:i/>
          <w:iCs/>
          <w:lang w:val="en-GB"/>
        </w:rPr>
        <w:t xml:space="preserve"> annua</w:t>
      </w:r>
      <w:r w:rsidRPr="00DA249F">
        <w:rPr>
          <w:lang w:val="en-GB"/>
        </w:rPr>
        <w:t xml:space="preserve"> have been the most successful </w:t>
      </w:r>
      <w:r w:rsidR="004B6007" w:rsidRPr="00DA249F">
        <w:rPr>
          <w:lang w:val="en-GB"/>
        </w:rPr>
        <w:t xml:space="preserve">colonising alien species </w:t>
      </w:r>
      <w:r w:rsidRPr="00DA249F">
        <w:rPr>
          <w:lang w:val="en-GB"/>
        </w:rPr>
        <w:t>in these ecosystems</w:t>
      </w:r>
      <w:r w:rsidR="00F56087" w:rsidRPr="00DA249F">
        <w:rPr>
          <w:lang w:val="en-GB"/>
        </w:rPr>
        <w:t xml:space="preserve"> </w:t>
      </w:r>
      <w:r w:rsidRPr="00DA249F">
        <w:rPr>
          <w:lang w:val="en-GB"/>
        </w:rPr>
        <w:fldChar w:fldCharType="begin"/>
      </w:r>
      <w:r w:rsidR="00331A79">
        <w:rPr>
          <w:lang w:val="en-GB"/>
        </w:rPr>
        <w:instrText xml:space="preserve"> ADDIN ZOTERO_ITEM CSL_CITATION {"citationID":"klCC8SL7","properties":{"formattedCitation":"(Fuentes-Lillo et al., 2017)","plainCitation":"(Fuentes-Lillo et al., 2017)","noteIndex":0},"citationItems":[{"id":27419,"uris":["http://zotero.org/groups/2352922/items/GP3VIA54"],"itemData":{"id":27419,"type":"article-journal","abstract":"The Antarctic terrestrial ecosystem is relatively simple and has low plant diversity. Taking into account the current effects of climate change and the exponential increase in visitors during the past 50 years, this ecosystem is very vulnerable to the arrival of non-native species. Fildes Peninsula, King George Island, is an area of high human impact due to the scientific and logistical activities that occur there making the area particularly interesting for the arrival of non-native species. In this study, we determine the spectrum of seeds arriving to the peninsula and being deposited in the topsoil. Soil samples were collected and analysed in order to identify and quantify plant material. The results indicate that there is a direct relationship between the sites where seeds were found and areas with higher levels of human activity on the peninsula. Eight species were identified, with the most common being Hypochaeris radicata and Senecio jacobaea. Seed quantification indicated that areas of high human activity are most vulnerable to the invasion and establishment of non-native species. This study is the first to demonstrate the presence of non-native seeds in the topsoil at Fildes Peninsula, Antarctica.","container-title":"Antarctic Science","DOI":"10.1017/S0954102017000037","issue":"4","note":"number: 4\nedition: 2017/02/23\npublisher: Cambridge University Press","page":"324-330","title":"Seeds of non-native species in King George Island soil","URL":"https://www.cambridge.org/core/article/seeds-of-nonnative-species-in-king-george-island-soil/CBDDAA26931B9E64EA8FA1B39FD45822","volume":"29","author":[{"family":"Fuentes-Lillo","given":"Eduardo"},{"family":"Cuba-Díaz","given":"Marely"},{"family":"Troncoso-Castro","given":"José M"},{"family":"Rondanelli-Reyes","given":"Mauricio"}],"issued":{"date-parts":[["2017"]]}}}],"schema":"https://github.com/citation-style-language/schema/raw/master/csl-citation.json"} </w:instrText>
      </w:r>
      <w:r w:rsidRPr="00DA249F">
        <w:rPr>
          <w:lang w:val="en-GB"/>
        </w:rPr>
        <w:fldChar w:fldCharType="separate"/>
      </w:r>
      <w:r w:rsidR="00144D96" w:rsidRPr="00144D96">
        <w:t>(Fuentes-Lillo et al., 2017)</w:t>
      </w:r>
      <w:r w:rsidRPr="00DA249F">
        <w:rPr>
          <w:lang w:val="en-GB"/>
        </w:rPr>
        <w:fldChar w:fldCharType="end"/>
      </w:r>
      <w:r w:rsidRPr="00DA249F">
        <w:rPr>
          <w:lang w:val="en-GB"/>
        </w:rPr>
        <w:t>.</w:t>
      </w:r>
    </w:p>
    <w:p w14:paraId="2C407077" w14:textId="77777777" w:rsidR="008C1BF7" w:rsidRPr="00DA249F" w:rsidRDefault="0231CA54" w:rsidP="004826A3">
      <w:pPr>
        <w:pStyle w:val="Heading3"/>
        <w:rPr>
          <w:lang w:val="en-GB"/>
        </w:rPr>
      </w:pPr>
      <w:r w:rsidRPr="00DA249F">
        <w:rPr>
          <w:rFonts w:eastAsia="ＭＳ 明朝"/>
          <w:lang w:val="en-GB"/>
        </w:rPr>
        <w:t xml:space="preserve"> </w:t>
      </w:r>
      <w:r w:rsidRPr="00DA249F">
        <w:rPr>
          <w:lang w:val="en-GB"/>
        </w:rPr>
        <w:t xml:space="preserve">Externalities of negative impacts and cost </w:t>
      </w:r>
      <w:bookmarkStart w:id="122" w:name="_Toc44317803"/>
      <w:bookmarkEnd w:id="122"/>
    </w:p>
    <w:p w14:paraId="3F274F2F" w14:textId="28B2D783" w:rsidR="003075B0" w:rsidRPr="00DA249F" w:rsidRDefault="00C72920" w:rsidP="00C72920">
      <w:pPr>
        <w:spacing w:before="120"/>
        <w:rPr>
          <w:lang w:val="en-GB"/>
        </w:rPr>
      </w:pPr>
      <w:r w:rsidRPr="00DA249F">
        <w:rPr>
          <w:lang w:val="en-GB"/>
        </w:rPr>
        <w:t xml:space="preserve">The introduction of invasive alien species is usually an unintended or intended consequence of economic activities that not only brings species into areas where they were not present, but also affects the frequency of repeated introductions and the spread of established </w:t>
      </w:r>
      <w:r w:rsidR="00B61296" w:rsidRPr="00DA249F">
        <w:rPr>
          <w:lang w:val="en-GB"/>
        </w:rPr>
        <w:t xml:space="preserve">alien </w:t>
      </w:r>
      <w:r w:rsidRPr="00DA249F">
        <w:rPr>
          <w:lang w:val="en-GB"/>
        </w:rPr>
        <w:t xml:space="preserve">species </w:t>
      </w:r>
      <w:r w:rsidR="00A35AC7" w:rsidRPr="00DA249F">
        <w:rPr>
          <w:lang w:val="en-GB"/>
        </w:rPr>
        <w:fldChar w:fldCharType="begin"/>
      </w:r>
      <w:r w:rsidR="00331A79">
        <w:rPr>
          <w:lang w:val="en-GB"/>
        </w:rPr>
        <w:instrText xml:space="preserve"> ADDIN ZOTERO_ITEM CSL_CITATION {"citationID":"o5dhJ8ZK","properties":{"formattedCitation":"(Touza et al., 2007)","plainCitation":"(Touza et al., 2007)","dontUpdate":true,"noteIndex":0},"citationItems":[{"id":53111,"uris":["http://zotero.org/groups/2352922/items/UYIEZBW4"],"itemData":{"id":53111,"type":"article-journal","collection-title":"Ecological Studies","container-title":"Biological Invasions","DOI":"https://doi.org/10.1007/978-3-540-36920-2_20","language":"en","page":"353-366","source":"Zotero","title":"Economic Analysis of Invasive Species Policies","URL":"https://link.springer.com/chapter/10.1007/978-3-540-36920-2_20#citeas","volume":"193","author":[{"family":"Touza","given":"Julia"},{"family":"Dehnen-Schmutz","given":"Katharina"},{"family":"Jones","given":"Glyn"}],"issued":{"date-parts":[["2008"]]}}}],"schema":"https://github.com/citation-style-language/schema/raw/master/csl-citation.json"} </w:instrText>
      </w:r>
      <w:r w:rsidR="00A35AC7" w:rsidRPr="00DA249F">
        <w:rPr>
          <w:lang w:val="en-GB"/>
        </w:rPr>
        <w:fldChar w:fldCharType="separate"/>
      </w:r>
      <w:r w:rsidR="00A35AC7" w:rsidRPr="00DA249F">
        <w:rPr>
          <w:lang w:val="en-GB"/>
        </w:rPr>
        <w:t>(Touza et al., 2007</w:t>
      </w:r>
      <w:r w:rsidR="00A35AC7" w:rsidRPr="00DA249F">
        <w:rPr>
          <w:lang w:val="en-GB"/>
        </w:rPr>
        <w:fldChar w:fldCharType="end"/>
      </w:r>
      <w:r w:rsidR="00C77186" w:rsidRPr="00DA249F">
        <w:rPr>
          <w:lang w:val="en-GB"/>
        </w:rPr>
        <w:t>;</w:t>
      </w:r>
      <w:r w:rsidR="00525323" w:rsidRPr="00DA249F">
        <w:rPr>
          <w:lang w:val="en-GB"/>
        </w:rPr>
        <w:t xml:space="preserve"> </w:t>
      </w:r>
      <w:r w:rsidR="00A35AC7" w:rsidRPr="005702F7">
        <w:rPr>
          <w:b/>
          <w:lang w:val="en-GB"/>
        </w:rPr>
        <w:t xml:space="preserve">section </w:t>
      </w:r>
      <w:r w:rsidR="00525323" w:rsidRPr="005702F7">
        <w:rPr>
          <w:b/>
          <w:lang w:val="en-GB"/>
        </w:rPr>
        <w:t>3.2.</w:t>
      </w:r>
      <w:r w:rsidR="00CE54D9" w:rsidRPr="005702F7">
        <w:rPr>
          <w:b/>
          <w:lang w:val="en-GB"/>
        </w:rPr>
        <w:t>3</w:t>
      </w:r>
      <w:r w:rsidR="00525323" w:rsidRPr="00DA249F">
        <w:rPr>
          <w:lang w:val="en-GB"/>
        </w:rPr>
        <w:t>)</w:t>
      </w:r>
      <w:r w:rsidRPr="00DA249F">
        <w:rPr>
          <w:lang w:val="en-GB"/>
        </w:rPr>
        <w:t xml:space="preserve">. However, </w:t>
      </w:r>
      <w:r w:rsidR="00525323" w:rsidRPr="00DA249F">
        <w:rPr>
          <w:lang w:val="en-GB"/>
        </w:rPr>
        <w:t xml:space="preserve">control </w:t>
      </w:r>
      <w:r w:rsidRPr="00DA249F">
        <w:rPr>
          <w:lang w:val="en-GB"/>
        </w:rPr>
        <w:t xml:space="preserve">is difficult because those whose actions result in the introduction of invasive alien species are rarely </w:t>
      </w:r>
      <w:r w:rsidR="00525323" w:rsidRPr="00DA249F">
        <w:rPr>
          <w:lang w:val="en-GB"/>
        </w:rPr>
        <w:t xml:space="preserve">those affected, and </w:t>
      </w:r>
      <w:r w:rsidR="00C317F5">
        <w:rPr>
          <w:lang w:val="en-GB"/>
        </w:rPr>
        <w:t xml:space="preserve">they </w:t>
      </w:r>
      <w:r w:rsidR="00525323" w:rsidRPr="00DA249F">
        <w:rPr>
          <w:lang w:val="en-GB"/>
        </w:rPr>
        <w:t xml:space="preserve">are often not </w:t>
      </w:r>
      <w:r w:rsidRPr="00DA249F">
        <w:rPr>
          <w:lang w:val="en-GB"/>
        </w:rPr>
        <w:t xml:space="preserve">held accountable for their actions </w:t>
      </w:r>
      <w:r w:rsidRPr="00DA249F">
        <w:rPr>
          <w:lang w:val="en-GB"/>
        </w:rPr>
        <w:fldChar w:fldCharType="begin"/>
      </w:r>
      <w:r w:rsidR="00331A79">
        <w:rPr>
          <w:lang w:val="en-GB"/>
        </w:rPr>
        <w:instrText xml:space="preserve"> ADDIN ZOTERO_ITEM CSL_CITATION {"citationID":"5JBrXkju","properties":{"formattedCitation":"(Perrings et al., 2005; Tollington et al., 2017)","plainCitation":"(Perrings et al., 2005; Tollington et al., 2017)","dontUpdate":true,"noteIndex":0},"citationItems":[{"id":29200,"uris":["http://zotero.org/groups/2352922/items/BKQ7LHTX"],"itemData":{"id":29200,"type":"article-journal","container-title":"Trends in Ecology &amp; Evolution","DOI":"10.1016/j.tree.2005.02.011","ISSN":"01695347","issue":"5","journalAbbreviation":"Trends in Ecology &amp; Evolution","language":"en","page":"212-215","source":"DOI.org (Crossref)","title":"How to manage biological invasions under globalization","URL":"https://linkinghub.elsevier.com/retrieve/pii/S0169534705000406","volume":"20","author":[{"family":"Perrings","given":"Charles"},{"family":"Dehnen-Schmutz","given":"Katharina"},{"family":"Touza","given":"Julia"},{"family":"Williamson","given":"Mark"}],"accessed":{"date-parts":[["2019",10,31]]},"issued":{"date-parts":[["2005",5]]}}},{"id":11134,"uris":["http://zotero.org/groups/2352922/items/GYW9HL7I"],"itemData":{"id":11134,"type":"article-journal","abstract":"The European Union's (EU) new legislation concerning Invasive Alien Species (IAS) is a ground-breaking and commendable attempt to set a common standard for combating IAS across political jurisdictions at a multinational scale. However, the regulation, underpinned by a list of IAS of Union concern, affords Member States a degree of operational flexibility and its successful implementation will be dictated by appropriate national enforcement and resource use. In evaluating this EU legislation, we provide pragmatic recommendations based upon a geo-political analysis of the pan-European capabilities to combat IAS and discuss measures to avoid the risk that the regulation will promote a piecemeal response by stakeholders instead of a truly collaborative effort. We highlight a major deficit in the funding mechanisms to support a comprehensive implementation of the legislation and stress the importance of consultation with the broader scientific community, including with key stakeholders, businesses and the general public. Our recommendations will create incentives for industries, raise awareness among citizens and stakeholders, and help establish a social norm for the EU and further afield. The legislation offers a collaborative Europe the chance to demonstrate its commitment to tackling the problems of IAS and to achieve a successful conservation breakthrough of international importance.","container-title":"Conservation Letters","DOI":"10.1111/conl.12214","ISSN":"1755-263X","issue":"1","language":"en","license":"Copyright and Photocopying: © 2015 The Authors. Conservation Letters published by Wiley Periodicals, Inc.","page":"112-120","source":"Wiley Online Library","title":"Making the EU Legislation on Invasive Species a Conservation Success","URL":"https://onlinelibrary.wiley.com/doi/abs/10.1111/conl.12214","volume":"10","author":[{"family":"Tollington","given":"Simon"},{"family":"Turb</w:instrText>
      </w:r>
      <w:r w:rsidR="00331A79">
        <w:rPr>
          <w:rFonts w:hint="eastAsia"/>
          <w:lang w:val="en-GB"/>
        </w:rPr>
        <w:instrText>é</w:instrText>
      </w:r>
      <w:r w:rsidR="00331A79">
        <w:rPr>
          <w:lang w:val="en-GB"/>
        </w:rPr>
        <w:instrText xml:space="preserve">","given":"Anne"},{"family":"Rabitsch","given":"Wolfgang"},{"family":"Groombridge","given":"Jim J."},{"family":"Scalera","given":"Riccardo"},{"family":"Essl","given":"Franz"},{"family":"Shwartz","given":"Assaf"}],"accessed":{"date-parts":[["2019",8,12]]},"issued":{"date-parts":[["2017"]]}}}],"schema":"https://github.com/citation-style-language/schema/raw/master/csl-citation.json"} </w:instrText>
      </w:r>
      <w:r w:rsidRPr="00DA249F">
        <w:rPr>
          <w:lang w:val="en-GB"/>
        </w:rPr>
        <w:fldChar w:fldCharType="separate"/>
      </w:r>
      <w:r w:rsidRPr="00DA249F">
        <w:rPr>
          <w:lang w:val="en-GB"/>
        </w:rPr>
        <w:t>(Perrings et al., 2005; Tollington et al., 2017</w:t>
      </w:r>
      <w:r w:rsidRPr="00DA249F">
        <w:rPr>
          <w:lang w:val="en-GB"/>
        </w:rPr>
        <w:fldChar w:fldCharType="end"/>
      </w:r>
      <w:r w:rsidR="00C77186" w:rsidRPr="00DA249F">
        <w:rPr>
          <w:lang w:val="en-GB"/>
        </w:rPr>
        <w:t xml:space="preserve">; </w:t>
      </w:r>
      <w:r w:rsidR="00A35AC7" w:rsidRPr="005702F7">
        <w:rPr>
          <w:b/>
          <w:lang w:val="en-GB"/>
        </w:rPr>
        <w:t xml:space="preserve">section </w:t>
      </w:r>
      <w:r w:rsidR="00525323" w:rsidRPr="005702F7">
        <w:rPr>
          <w:b/>
          <w:lang w:val="en-GB"/>
        </w:rPr>
        <w:t>3.2.1</w:t>
      </w:r>
      <w:r w:rsidR="00525323" w:rsidRPr="005702F7">
        <w:rPr>
          <w:lang w:val="en-GB"/>
        </w:rPr>
        <w:t>)</w:t>
      </w:r>
      <w:r w:rsidRPr="00DA249F">
        <w:rPr>
          <w:lang w:val="en-GB"/>
        </w:rPr>
        <w:t xml:space="preserve">. </w:t>
      </w:r>
      <w:r w:rsidR="00525323" w:rsidRPr="00DA249F">
        <w:rPr>
          <w:lang w:val="en-GB"/>
        </w:rPr>
        <w:t>For example, i</w:t>
      </w:r>
      <w:r w:rsidRPr="00DA249F">
        <w:rPr>
          <w:lang w:val="en-GB"/>
        </w:rPr>
        <w:t xml:space="preserve">n trade </w:t>
      </w:r>
      <w:r w:rsidR="00B20154">
        <w:rPr>
          <w:lang w:val="en-GB"/>
        </w:rPr>
        <w:t>of</w:t>
      </w:r>
      <w:r w:rsidR="00B20154" w:rsidRPr="00DA249F">
        <w:rPr>
          <w:lang w:val="en-GB"/>
        </w:rPr>
        <w:t xml:space="preserve"> </w:t>
      </w:r>
      <w:r w:rsidRPr="00DA249F">
        <w:rPr>
          <w:lang w:val="en-GB"/>
        </w:rPr>
        <w:t xml:space="preserve">plants and animals, the prices paid by the importer to the exporter include production and transport costs, but usually do not include the costs incurred when animals or plants become invasive. Alien species that lead to improved </w:t>
      </w:r>
      <w:r w:rsidR="00525323" w:rsidRPr="00DA249F">
        <w:rPr>
          <w:lang w:val="en-GB"/>
        </w:rPr>
        <w:t xml:space="preserve">quality of </w:t>
      </w:r>
      <w:r w:rsidRPr="00DA249F">
        <w:rPr>
          <w:lang w:val="en-GB"/>
        </w:rPr>
        <w:t xml:space="preserve">life and </w:t>
      </w:r>
      <w:r w:rsidR="00525323" w:rsidRPr="00DA249F">
        <w:rPr>
          <w:lang w:val="en-GB"/>
        </w:rPr>
        <w:t xml:space="preserve">economic benefits </w:t>
      </w:r>
      <w:r w:rsidRPr="00DA249F">
        <w:rPr>
          <w:lang w:val="en-GB"/>
        </w:rPr>
        <w:t xml:space="preserve">are considered public goods, </w:t>
      </w:r>
      <w:r w:rsidR="00ED2F6A" w:rsidRPr="00DA249F">
        <w:rPr>
          <w:lang w:val="en-GB"/>
        </w:rPr>
        <w:t xml:space="preserve">especially in cases where </w:t>
      </w:r>
      <w:r w:rsidRPr="00DA249F">
        <w:rPr>
          <w:lang w:val="en-GB"/>
        </w:rPr>
        <w:t xml:space="preserve">awareness of </w:t>
      </w:r>
      <w:r w:rsidR="00DD6A6E" w:rsidRPr="00DA249F">
        <w:rPr>
          <w:lang w:val="en-GB"/>
        </w:rPr>
        <w:t xml:space="preserve">the impacts of </w:t>
      </w:r>
      <w:r w:rsidRPr="00DA249F">
        <w:rPr>
          <w:lang w:val="en-GB"/>
        </w:rPr>
        <w:t xml:space="preserve">invasive alien species </w:t>
      </w:r>
      <w:r w:rsidR="008D0FFB" w:rsidRPr="00DA249F">
        <w:rPr>
          <w:lang w:val="en-GB"/>
        </w:rPr>
        <w:t>is</w:t>
      </w:r>
      <w:r w:rsidRPr="00DA249F">
        <w:rPr>
          <w:lang w:val="en-GB"/>
        </w:rPr>
        <w:t xml:space="preserve"> </w:t>
      </w:r>
      <w:r w:rsidR="00FA3D21" w:rsidRPr="00DA249F">
        <w:rPr>
          <w:lang w:val="en-GB"/>
        </w:rPr>
        <w:t>limited</w:t>
      </w:r>
      <w:r w:rsidRPr="00DA249F">
        <w:rPr>
          <w:lang w:val="en-GB"/>
        </w:rPr>
        <w:t xml:space="preserve">. In addition, the characteristics of public goods, such as “non-rival” and “non-excludable”, create incentives to free-ride and further increase market inefficiency </w:t>
      </w:r>
      <w:r w:rsidRPr="00DA249F">
        <w:rPr>
          <w:lang w:val="en-GB"/>
        </w:rPr>
        <w:fldChar w:fldCharType="begin"/>
      </w:r>
      <w:r w:rsidR="00331A79">
        <w:rPr>
          <w:lang w:val="en-GB"/>
        </w:rPr>
        <w:instrText xml:space="preserve"> ADDIN ZOTERO_ITEM CSL_CITATION {"citationID":"0DCZze2z","properties":{"formattedCitation":"(Marbuah et al., 2014; Touza et al., 2008)","plainCitation":"(Marbuah et al., 2014; Touza et al., 2008)","noteIndex":0},"citationItems":[{"id":25316,"uris":["http://zotero.org/groups/2352922/items/AP65CN35"],"itemData":{"id":25316,"type":"article-journal","abstract":"The purpose of this study is to review theoretical and empirical findings in economics with respect to the challenging question of how to manage invasive species. The review revealed a relatively large body of literature on the assessment of damage costs of invasive species; single species and groups of species at different geographical scales. However, the estimated damage costs show large variation, from less than 1 million USD to costs corresponding to 12% of gross domestic product, depending on the methods employed, geographical scale, and scope with respect to inclusion of different species. Decisions regarding optimal management strategies, when to act in the invasion chain and which policy to choose, have received much less attention in earlier years, but have been subject to increasing research during the last decade. More difficult, but also more relevant policy issues have been raised, which concern the targeting in time and space of strategies under conditions of uncertainty. In particular, the weighting of costs and benefits from early detection and mitigation against the uncertain avoidance of damage with later control, when the precision in targeting species is typically greater is identified as a key challenge. The role of improved monitoring for detecting species and their spread and damage has been emphasized, but questions remain on how to achieve this in practice. This is in contrast to the relatively large body of literature on policies for mitigating dispersal by trade, which is regarded as one of the most important vectors for the spread of invasive species. On the other hand, the literature on how to mitigate established species, by control or adaptation, is much more scant. Studies evaluating causes for success or failure of policies against invasive in practice are in principal non-existing.","container-title":"Diversity","DOI":"10.3390/d6030500","ISSN":"1424-2818","issue":"3","journalAbbreviation":"Diversity","language":"en","page":"500-523","source":"DOI.org (Crossref)","title":"Economics of Harmful Invasive Species: A Review","title-short":"Economics of Harmful Invasive Species","URL":"http://www.mdpi.com/1424-2818/6/3/500","volume":"6","author":[{"family":"Marbuah","given":"George"},{"family":"Gren","given":"Ing-Marie"},{"family":"McKie","given":"Brendan"}],"accessed":{"date-parts":[["2019",11,6]]},"issued":{"date-parts":[["2014",7,15]]}}},{"id":53111,"uris":["http://zotero.org/groups/2352922/items/UYIEZBW4"],"itemData":{"id":53111,"type":"article-journal","collection-title":"Ecological Studies","container-title":"Biological Invasions","DOI":"https://doi.org/10.1007/978-3-540-36920-2_20","language":"en","page":"353-366","source":"Zotero","title":"Economic Analysis of Invasive Species Policies","URL":"https://link.springer.com/chapter/10.1007/978-3-540-36920-2_20#citeas","volume":"193","author":[{"family":"Touza","given":"Julia"},{"family":"Dehnen-Schmutz","given":"Katharina"},{"family":"Jones","given":"Glyn"}],"issued":{"date-parts":[["2008"]]}}}],"schema":"https://github.com/citation-style-language/schema/raw/master/csl-citation.json"} </w:instrText>
      </w:r>
      <w:r w:rsidRPr="00DA249F">
        <w:rPr>
          <w:lang w:val="en-GB"/>
        </w:rPr>
        <w:fldChar w:fldCharType="separate"/>
      </w:r>
      <w:r w:rsidR="00144D96" w:rsidRPr="00144D96">
        <w:t>(Marbuah et al., 2014; Touza et al., 2008)</w:t>
      </w:r>
      <w:r w:rsidRPr="00DA249F">
        <w:rPr>
          <w:lang w:val="en-GB"/>
        </w:rPr>
        <w:fldChar w:fldCharType="end"/>
      </w:r>
      <w:r w:rsidRPr="00DA249F">
        <w:rPr>
          <w:lang w:val="en-GB"/>
        </w:rPr>
        <w:t>. Th</w:t>
      </w:r>
      <w:r w:rsidR="00525323" w:rsidRPr="00DA249F">
        <w:rPr>
          <w:lang w:val="en-GB"/>
        </w:rPr>
        <w:t>ese</w:t>
      </w:r>
      <w:r w:rsidRPr="00DA249F">
        <w:rPr>
          <w:lang w:val="en-GB"/>
        </w:rPr>
        <w:t xml:space="preserve"> activities of economic agents that affect others without going directly through the market are called</w:t>
      </w:r>
      <w:r w:rsidR="00230216">
        <w:rPr>
          <w:lang w:val="en-GB"/>
        </w:rPr>
        <w:t xml:space="preserve"> </w:t>
      </w:r>
      <w:r w:rsidR="004221FA">
        <w:rPr>
          <w:lang w:val="en-GB"/>
        </w:rPr>
        <w:t>“</w:t>
      </w:r>
      <w:r w:rsidRPr="00DA249F">
        <w:rPr>
          <w:lang w:val="en-GB"/>
        </w:rPr>
        <w:t>externalitie</w:t>
      </w:r>
      <w:r w:rsidR="004221FA">
        <w:rPr>
          <w:lang w:val="en-GB"/>
        </w:rPr>
        <w:t>”</w:t>
      </w:r>
      <w:r w:rsidR="00A451E2" w:rsidRPr="00DA249F">
        <w:rPr>
          <w:lang w:val="en-GB"/>
        </w:rPr>
        <w:t xml:space="preserve"> </w:t>
      </w:r>
      <w:r w:rsidR="00A451E2" w:rsidRPr="00DA249F">
        <w:rPr>
          <w:lang w:val="en-GB" w:eastAsia="en-NZ"/>
        </w:rPr>
        <w:t>(</w:t>
      </w:r>
      <w:r w:rsidR="00E23B69">
        <w:rPr>
          <w:b/>
          <w:iCs/>
          <w:lang w:val="en-GB" w:eastAsia="en-NZ"/>
        </w:rPr>
        <w:t>Glossary</w:t>
      </w:r>
      <w:r w:rsidR="00A451E2" w:rsidRPr="00DA249F">
        <w:rPr>
          <w:lang w:val="en-GB" w:eastAsia="en-NZ"/>
        </w:rPr>
        <w:t>),</w:t>
      </w:r>
      <w:r w:rsidRPr="00DA249F">
        <w:rPr>
          <w:lang w:val="en-GB"/>
        </w:rPr>
        <w:t xml:space="preserve"> and externalities that negatively </w:t>
      </w:r>
      <w:r w:rsidRPr="00DA249F">
        <w:rPr>
          <w:lang w:val="en-GB"/>
        </w:rPr>
        <w:lastRenderedPageBreak/>
        <w:t>affect other agents are called</w:t>
      </w:r>
      <w:r w:rsidR="004221FA">
        <w:rPr>
          <w:lang w:val="en-GB"/>
        </w:rPr>
        <w:t>“</w:t>
      </w:r>
      <w:r w:rsidRPr="00DA249F">
        <w:rPr>
          <w:lang w:val="en-GB"/>
        </w:rPr>
        <w:t>"negative externalitie</w:t>
      </w:r>
      <w:r w:rsidR="004221FA">
        <w:rPr>
          <w:lang w:val="en-GB"/>
        </w:rPr>
        <w:t>”</w:t>
      </w:r>
      <w:r w:rsidRPr="00DA249F">
        <w:rPr>
          <w:lang w:val="en-GB"/>
        </w:rPr>
        <w:t xml:space="preserve">" </w:t>
      </w:r>
      <w:r w:rsidR="00CA0C6B" w:rsidRPr="00DA249F">
        <w:rPr>
          <w:lang w:val="en-GB"/>
        </w:rPr>
        <w:t>(</w:t>
      </w:r>
      <w:r w:rsidR="005702F7">
        <w:rPr>
          <w:b/>
          <w:lang w:val="en-GB"/>
        </w:rPr>
        <w:t>C</w:t>
      </w:r>
      <w:r w:rsidRPr="005702F7">
        <w:rPr>
          <w:b/>
          <w:lang w:val="en-GB"/>
        </w:rPr>
        <w:t>hapter 6</w:t>
      </w:r>
      <w:r w:rsidRPr="005702F7">
        <w:rPr>
          <w:lang w:val="en-GB"/>
        </w:rPr>
        <w:t>,</w:t>
      </w:r>
      <w:r w:rsidRPr="005702F7">
        <w:rPr>
          <w:b/>
          <w:lang w:val="en-GB"/>
        </w:rPr>
        <w:t xml:space="preserve"> section 6.2.</w:t>
      </w:r>
      <w:r w:rsidR="00271FD8" w:rsidRPr="005702F7">
        <w:rPr>
          <w:b/>
          <w:lang w:val="en-GB"/>
        </w:rPr>
        <w:t>1</w:t>
      </w:r>
      <w:r w:rsidRPr="005702F7">
        <w:rPr>
          <w:b/>
          <w:lang w:val="en-GB"/>
        </w:rPr>
        <w:t>(6)</w:t>
      </w:r>
      <w:r w:rsidRPr="00DA249F">
        <w:rPr>
          <w:lang w:val="en-GB"/>
        </w:rPr>
        <w:t xml:space="preserve">). The </w:t>
      </w:r>
      <w:r w:rsidR="00525323" w:rsidRPr="00DA249F">
        <w:rPr>
          <w:lang w:val="en-GB"/>
        </w:rPr>
        <w:t xml:space="preserve">damages and </w:t>
      </w:r>
      <w:r w:rsidRPr="00DA249F">
        <w:rPr>
          <w:lang w:val="en-GB"/>
        </w:rPr>
        <w:t xml:space="preserve">management costs incurred by biological invasions are a </w:t>
      </w:r>
      <w:r w:rsidR="01B5AA89" w:rsidRPr="00DA249F">
        <w:rPr>
          <w:lang w:val="en-GB"/>
        </w:rPr>
        <w:t>typical</w:t>
      </w:r>
      <w:r w:rsidRPr="00DA249F">
        <w:rPr>
          <w:lang w:val="en-GB"/>
        </w:rPr>
        <w:t xml:space="preserve"> case of negative externalities arising from economic actions</w:t>
      </w:r>
      <w:r w:rsidR="00525323" w:rsidRPr="00DA249F">
        <w:rPr>
          <w:lang w:val="en-GB"/>
        </w:rPr>
        <w:t xml:space="preserve">, and for many of the examples listed under </w:t>
      </w:r>
      <w:r w:rsidR="00143DB3" w:rsidRPr="005702F7">
        <w:rPr>
          <w:b/>
          <w:lang w:val="en-GB"/>
        </w:rPr>
        <w:t xml:space="preserve">sections </w:t>
      </w:r>
      <w:r w:rsidR="00525323" w:rsidRPr="005702F7">
        <w:rPr>
          <w:b/>
          <w:lang w:val="en-GB"/>
        </w:rPr>
        <w:t>3.2.1</w:t>
      </w:r>
      <w:r w:rsidR="00525323" w:rsidRPr="005702F7">
        <w:rPr>
          <w:lang w:val="en-GB"/>
        </w:rPr>
        <w:t>,</w:t>
      </w:r>
      <w:r w:rsidR="00525323" w:rsidRPr="005702F7">
        <w:rPr>
          <w:b/>
          <w:lang w:val="en-GB"/>
        </w:rPr>
        <w:t xml:space="preserve"> 3.2.2.3 </w:t>
      </w:r>
      <w:r w:rsidR="00525323" w:rsidRPr="00DA249F">
        <w:rPr>
          <w:lang w:val="en-GB"/>
        </w:rPr>
        <w:t xml:space="preserve">and </w:t>
      </w:r>
      <w:r w:rsidR="00525323" w:rsidRPr="005702F7">
        <w:rPr>
          <w:b/>
          <w:lang w:val="en-GB"/>
        </w:rPr>
        <w:t>3.2.3.2</w:t>
      </w:r>
      <w:r w:rsidR="00525323" w:rsidRPr="00DA249F">
        <w:rPr>
          <w:lang w:val="en-GB"/>
        </w:rPr>
        <w:t xml:space="preserve">, negative externalities are an important explanation for why high rates of invasions are being sustained </w:t>
      </w:r>
      <w:r w:rsidR="00CA0C6B" w:rsidRPr="00DA249F">
        <w:rPr>
          <w:lang w:val="en-GB"/>
        </w:rPr>
        <w:t>(</w:t>
      </w:r>
      <w:r w:rsidR="005702F7">
        <w:rPr>
          <w:b/>
          <w:lang w:val="en-GB"/>
        </w:rPr>
        <w:t>C</w:t>
      </w:r>
      <w:r w:rsidR="00525323" w:rsidRPr="005702F7">
        <w:rPr>
          <w:b/>
          <w:lang w:val="en-GB"/>
        </w:rPr>
        <w:t>hapter 2</w:t>
      </w:r>
      <w:r w:rsidR="00525323" w:rsidRPr="00DA249F">
        <w:rPr>
          <w:lang w:val="en-GB"/>
        </w:rPr>
        <w:t>) despite known negative impacts on nature</w:t>
      </w:r>
      <w:r w:rsidR="003075B0" w:rsidRPr="00DA249F">
        <w:rPr>
          <w:lang w:val="en-GB"/>
        </w:rPr>
        <w:t>, nature’s contributions to people</w:t>
      </w:r>
      <w:r w:rsidR="00525323" w:rsidRPr="00DA249F">
        <w:rPr>
          <w:lang w:val="en-GB"/>
        </w:rPr>
        <w:t xml:space="preserve"> and </w:t>
      </w:r>
      <w:r w:rsidR="003075B0" w:rsidRPr="00DA249F">
        <w:rPr>
          <w:lang w:val="en-GB"/>
        </w:rPr>
        <w:t xml:space="preserve">good </w:t>
      </w:r>
      <w:r w:rsidR="00525323" w:rsidRPr="00DA249F">
        <w:rPr>
          <w:lang w:val="en-GB"/>
        </w:rPr>
        <w:t xml:space="preserve">quality of life </w:t>
      </w:r>
      <w:r w:rsidR="00CA0C6B" w:rsidRPr="00DA249F">
        <w:rPr>
          <w:lang w:val="en-GB"/>
        </w:rPr>
        <w:t>(</w:t>
      </w:r>
      <w:r w:rsidR="005702F7">
        <w:rPr>
          <w:b/>
          <w:lang w:val="en-GB"/>
        </w:rPr>
        <w:t>C</w:t>
      </w:r>
      <w:r w:rsidR="00525323" w:rsidRPr="005702F7">
        <w:rPr>
          <w:b/>
          <w:lang w:val="en-GB"/>
        </w:rPr>
        <w:t>hapter 4</w:t>
      </w:r>
      <w:r w:rsidR="00525323" w:rsidRPr="00DA249F">
        <w:rPr>
          <w:lang w:val="en-GB"/>
        </w:rPr>
        <w:t>).</w:t>
      </w:r>
    </w:p>
    <w:p w14:paraId="6215A2A0" w14:textId="77777777" w:rsidR="10FA2D97" w:rsidRPr="00DA249F" w:rsidDel="00AF08CC" w:rsidRDefault="01597327" w:rsidP="00C85F63">
      <w:pPr>
        <w:spacing w:before="120"/>
        <w:rPr>
          <w:lang w:val="en-GB"/>
        </w:rPr>
      </w:pPr>
      <w:r w:rsidRPr="00DA249F">
        <w:rPr>
          <w:lang w:val="en-GB"/>
        </w:rPr>
        <w:t>I</w:t>
      </w:r>
      <w:r w:rsidR="00C72920" w:rsidRPr="00DA249F">
        <w:rPr>
          <w:lang w:val="en-GB"/>
        </w:rPr>
        <w:t>nternalization of externalities can be a powerful driver to prevent the introduction of invasive alien species</w:t>
      </w:r>
      <w:r w:rsidR="00525323" w:rsidRPr="00DA249F">
        <w:rPr>
          <w:lang w:val="en-GB"/>
        </w:rPr>
        <w:t xml:space="preserve"> (</w:t>
      </w:r>
      <w:r w:rsidR="005702F7">
        <w:rPr>
          <w:b/>
          <w:iCs/>
          <w:lang w:val="en-GB"/>
        </w:rPr>
        <w:t>C</w:t>
      </w:r>
      <w:r w:rsidR="00525323" w:rsidRPr="005702F7">
        <w:rPr>
          <w:b/>
          <w:iCs/>
          <w:lang w:val="en-GB"/>
        </w:rPr>
        <w:t>hapter</w:t>
      </w:r>
      <w:r w:rsidR="001876C5" w:rsidRPr="005702F7">
        <w:rPr>
          <w:b/>
          <w:iCs/>
          <w:lang w:val="en-GB"/>
        </w:rPr>
        <w:t xml:space="preserve"> </w:t>
      </w:r>
      <w:r w:rsidR="00525323" w:rsidRPr="005702F7">
        <w:rPr>
          <w:b/>
          <w:iCs/>
          <w:lang w:val="en-GB"/>
        </w:rPr>
        <w:t>6</w:t>
      </w:r>
      <w:r w:rsidR="001876C5" w:rsidRPr="005702F7">
        <w:rPr>
          <w:iCs/>
          <w:lang w:val="en-GB"/>
        </w:rPr>
        <w:t>,</w:t>
      </w:r>
      <w:r w:rsidR="001876C5" w:rsidRPr="005702F7">
        <w:rPr>
          <w:b/>
          <w:iCs/>
          <w:lang w:val="en-GB"/>
        </w:rPr>
        <w:t xml:space="preserve"> section 6.2.1.(6)</w:t>
      </w:r>
      <w:r w:rsidR="00525323" w:rsidRPr="00DA249F">
        <w:rPr>
          <w:lang w:val="en-GB"/>
        </w:rPr>
        <w:t>)</w:t>
      </w:r>
      <w:r w:rsidR="5229B740" w:rsidRPr="00DA249F">
        <w:rPr>
          <w:lang w:val="en-GB"/>
        </w:rPr>
        <w:t>.</w:t>
      </w:r>
      <w:r w:rsidR="00C72920" w:rsidRPr="00DA249F">
        <w:rPr>
          <w:lang w:val="en-GB"/>
        </w:rPr>
        <w:t xml:space="preserve"> </w:t>
      </w:r>
      <w:r w:rsidR="3E4802A9" w:rsidRPr="00DA249F">
        <w:rPr>
          <w:lang w:val="en-GB"/>
        </w:rPr>
        <w:t>But</w:t>
      </w:r>
      <w:r w:rsidR="00C72920" w:rsidRPr="00DA249F">
        <w:rPr>
          <w:lang w:val="en-GB"/>
        </w:rPr>
        <w:t xml:space="preserve"> the current situation of leaving externalities unattended</w:t>
      </w:r>
      <w:r w:rsidR="00445D1B" w:rsidRPr="00DA249F">
        <w:rPr>
          <w:lang w:val="en-GB"/>
        </w:rPr>
        <w:t xml:space="preserve"> </w:t>
      </w:r>
      <w:r w:rsidR="00C72920" w:rsidRPr="00DA249F">
        <w:rPr>
          <w:lang w:val="en-GB"/>
        </w:rPr>
        <w:t>without recogni</w:t>
      </w:r>
      <w:r w:rsidR="004C5FD1">
        <w:rPr>
          <w:lang w:val="en-GB"/>
        </w:rPr>
        <w:t>zing</w:t>
      </w:r>
      <w:r w:rsidR="00C72920" w:rsidRPr="00DA249F">
        <w:rPr>
          <w:lang w:val="en-GB"/>
        </w:rPr>
        <w:t xml:space="preserve"> the</w:t>
      </w:r>
      <w:r w:rsidR="004C5FD1">
        <w:rPr>
          <w:lang w:val="en-GB"/>
        </w:rPr>
        <w:t>ir</w:t>
      </w:r>
      <w:r w:rsidR="00C72920" w:rsidRPr="00DA249F">
        <w:rPr>
          <w:lang w:val="en-GB"/>
        </w:rPr>
        <w:t xml:space="preserve"> existence is a driving force for the introduction of invasive alien species</w:t>
      </w:r>
      <w:r w:rsidR="004C5FD1">
        <w:rPr>
          <w:lang w:val="en-GB"/>
        </w:rPr>
        <w:t xml:space="preserve"> that</w:t>
      </w:r>
      <w:r w:rsidR="00525323" w:rsidRPr="00DA249F">
        <w:rPr>
          <w:lang w:val="en-GB"/>
        </w:rPr>
        <w:t xml:space="preserve"> underli</w:t>
      </w:r>
      <w:r w:rsidR="004C5FD1">
        <w:rPr>
          <w:lang w:val="en-GB"/>
        </w:rPr>
        <w:t>es</w:t>
      </w:r>
      <w:r w:rsidR="00525323" w:rsidRPr="00DA249F">
        <w:rPr>
          <w:lang w:val="en-GB"/>
        </w:rPr>
        <w:t xml:space="preserve"> many social, economic and demographic drivers</w:t>
      </w:r>
      <w:r w:rsidR="00C72920" w:rsidRPr="00DA249F">
        <w:rPr>
          <w:lang w:val="en-GB"/>
        </w:rPr>
        <w:t xml:space="preserve">. </w:t>
      </w:r>
    </w:p>
    <w:p w14:paraId="730CCB2F" w14:textId="066B72B6" w:rsidR="00686661" w:rsidRPr="00DA249F" w:rsidRDefault="00686661" w:rsidP="004826A3">
      <w:pPr>
        <w:pStyle w:val="Heading3"/>
        <w:rPr>
          <w:lang w:val="en-GB"/>
        </w:rPr>
      </w:pPr>
      <w:r w:rsidRPr="00DA249F">
        <w:rPr>
          <w:lang w:val="en-GB"/>
        </w:rPr>
        <w:t xml:space="preserve">Wealth, </w:t>
      </w:r>
      <w:r w:rsidR="00D314C7" w:rsidRPr="00DA249F">
        <w:rPr>
          <w:lang w:val="en-GB"/>
        </w:rPr>
        <w:t>inequality</w:t>
      </w:r>
      <w:r w:rsidR="009F7404">
        <w:rPr>
          <w:lang w:val="en-GB"/>
        </w:rPr>
        <w:t xml:space="preserve"> and</w:t>
      </w:r>
      <w:r w:rsidR="00D314C7" w:rsidRPr="00DA249F">
        <w:rPr>
          <w:lang w:val="en-GB"/>
        </w:rPr>
        <w:t xml:space="preserve"> poverty</w:t>
      </w:r>
    </w:p>
    <w:p w14:paraId="4CDBBBF7" w14:textId="77777777" w:rsidR="570E497E" w:rsidRPr="00DA249F" w:rsidRDefault="0B34E8EF" w:rsidP="570E497E">
      <w:pPr>
        <w:rPr>
          <w:rFonts w:eastAsia="Times New Roman"/>
          <w:lang w:val="en-GB"/>
        </w:rPr>
      </w:pPr>
      <w:r w:rsidRPr="00DA249F">
        <w:rPr>
          <w:rFonts w:eastAsia="Times New Roman"/>
          <w:lang w:val="en-GB"/>
        </w:rPr>
        <w:t>Are invasive alien species primarily a problem of wealthy countries?</w:t>
      </w:r>
      <w:r w:rsidR="00B01FF1" w:rsidRPr="00DA249F">
        <w:rPr>
          <w:rFonts w:eastAsia="Times New Roman"/>
          <w:lang w:val="en-GB"/>
        </w:rPr>
        <w:t xml:space="preserve"> </w:t>
      </w:r>
      <w:r w:rsidR="367252DA" w:rsidRPr="00DA249F">
        <w:rPr>
          <w:rFonts w:eastAsia="Times New Roman"/>
          <w:lang w:val="en-GB"/>
        </w:rPr>
        <w:t xml:space="preserve">National </w:t>
      </w:r>
      <w:r w:rsidR="007F30B0" w:rsidRPr="00DA249F">
        <w:rPr>
          <w:rFonts w:eastAsia="Times New Roman"/>
          <w:lang w:val="en-GB"/>
        </w:rPr>
        <w:t>GDP</w:t>
      </w:r>
      <w:r w:rsidR="367252DA" w:rsidRPr="00DA249F">
        <w:rPr>
          <w:rFonts w:eastAsia="Times New Roman"/>
          <w:lang w:val="en-GB"/>
        </w:rPr>
        <w:t xml:space="preserve"> has been a frequent metric used to explain variation in the number of alien species among different countries, with countries having a higher GDP being more </w:t>
      </w:r>
      <w:r w:rsidR="05957172" w:rsidRPr="00DA249F">
        <w:rPr>
          <w:rFonts w:eastAsia="Times New Roman"/>
          <w:lang w:val="en-GB"/>
        </w:rPr>
        <w:t>invaded</w:t>
      </w:r>
      <w:r w:rsidR="00525323" w:rsidRPr="00DA249F">
        <w:rPr>
          <w:rFonts w:eastAsia="Times New Roman"/>
          <w:lang w:val="en-GB"/>
        </w:rPr>
        <w:t xml:space="preserve"> </w:t>
      </w:r>
      <w:r w:rsidR="006538B7" w:rsidRPr="00DA249F">
        <w:rPr>
          <w:rFonts w:eastAsia="Times New Roman"/>
          <w:lang w:val="en-GB"/>
        </w:rPr>
        <w:fldChar w:fldCharType="begin"/>
      </w:r>
      <w:r w:rsidR="00331A79">
        <w:rPr>
          <w:rFonts w:eastAsia="Times New Roman"/>
          <w:lang w:val="en-GB"/>
        </w:rPr>
        <w:instrText xml:space="preserve"> ADDIN ZOTERO_ITEM CSL_CITATION {"citationID":"M0mEB5SN","properties":{"formattedCitation":"(Essl et al., 2011; Hulme, 2021b; Seebens et al., 2017)","plainCitation":"(Essl et al., 2011; Hulme, 2021b; Seebens et al., 2017)","noteIndex":0},"citationItems":[{"id":56280,"uris":["http://zotero.org/groups/2352922/items/YY5ECPQJ","http://zotero.org/groups/2352922/items/ITJAFPQE"],"itemData":{"id":56280,"type":"article-journal","abstract":"Globalization and economic growth are widely recognized as important drivers of biological invasions. Consequently, there is an increasing need for governments to address the role of international trade in their strategies to prevent species introductions. However, many of the most problematic alien species are not recent arrivals but were introduced several decades ago. Hence, current patterns of alien-species richness may better reflect historical rather than contemporary human activities, a phenomenon which might be called “invasion debt.” Here, we show that across 10 taxonomic groups (vascular plants, bryophytes, fungi, birds, mammals, reptiles, amphibians, fish, terrestrial insects, and aquatic invertebrates) in 28 European countries, current numbers of alien species established in the wild are indeed more closely related to indicators of socioeconomic activity from the year 1900 than to those from 2000, although the majority of species introductions occurred during the second half of the 20th century. The strength of the historical signal varies among taxonomic groups, with those possessing good capabilities for dispersal (birds, insects) more strongly associated with recent socioeconomic drivers. Nevertheless, our results suggest a considerable historical legacy for the majority of the taxa analyzed. The consequences of the current high levels of socioeconomic activity on the extent of biological invasions will thus probably not be completely realized until several decades into the future.","container-title":"Proceedings of the National Academy of Sciences","DOI":"10.1073/pnas.1011728108","ISSN":"0027-8424, 1091-6490","issue":"1","journalAbbreviation":"Proc. Natl. Acad. Sci. U.S.A.","language":"en","page":"203-207","source":"DOI.org (Crossref)","title":"Socioeconomic legacy yields an invasion debt","URL":"https://pnas.org/doi/full/10.1073/pnas.1011728108","volume":"108","author":[{"family":"Essl","given":"Franz"},{"family":"Dullinger","given":"Stefan"},{"family":"Rabitsch","given":"Wolfgang"},{"family":"Hulme","given":"Philip E."},{"family":"Hülber","given":"Karl"},{"family":"Jarošík","given":"Vojtěch"},{"family":"Kleinbauer","given":"Ingrid"},{"family":"Krausmann","given":"Fridolin"},{"family":"Kühn","given":"Ingolf"},{"family":"Nentwig","given":"Wolfgang"},{"family":"Vilà","given":"Montserrat"},{"family":"Genovesi","given":"Piero"},{"family":"Gherardi","given":"Francesca"},{"family":"Desprez-Loustau","given":"Marie-Laure"},{"family":"Roques","given":"Alain"},{"family":"Pyšek","given":"Petr"}],"accessed":{"date-parts":[["2023",6,8]]},"issued":{"date-parts":[["2011",1,4]]}}},{"id":29731,"uris":["http://zotero.org/groups/2352922/items/KV62X9CX"],"itemData":{"id":29731,"type":"article-journal","abstract":"Biological invasions are synonymous with international trade. The direct effects of trade have largely been quantiﬁed using relationships between imports and the number of alien species in a region or patterns in the global spread of species linked to shipping and air trafﬁc networks. But trade also has an indirect role on biological invasions by transforming the environments and societies of exporting and importing nations. Here, both the direct and indirect roles of trade on biological invasions, as well as their interaction, are examined for the ﬁrst time. Future trends in international trade, including e-commerce, new trade routes, and major infrastructure developments, will lead to the pressure on national borders soon outstripping the resources available for intervention. The current legislative and scientiﬁc tools targeting biological invasions are insufﬁcient to deal with this growing threat and require a new mindset that focuses on curbing the pandemic risk posed by alien species.","container-title":"One Earth","DOI":"10.1016/j.oneear.2021.04.015","ISSN":"25903322","issue":"5","journalAbbreviation":"One Earth","language":"en","page":"666-679","source":"DOI.org (Crossref)","title":"Unwelcome exchange: International trade as a direct and indirect driver of biological invasions worldwide","title-short":"Unwelcome exchange","URL":"https://doi.org/10.1016/j.oneear.2021.04.015","volume":"4","author":[{"family":"Hulme","given":"Philip E."}],"accessed":{"date-parts":[["2021",7,8]]},"issued":{"date-parts":[["2021",5]]}}},{"id":33027,"uris":["http://zotero.org/groups/2352922/items/SW8TKG54"],"itemData":{"id":33027,"type":"article-journal","container-title":"Nature Communications","DOI":"10.1038/ncomms14435","ISSN":"2041-1723","issue":"1","journalAbbreviation":"Nat Commun","language":"en","page":"14435","source":"DOI.org (Crossref)","title":"No saturation in the accumulation of alien species worldwide","URL":"http://www.nature.com/articles/ncomms14435","volume":"8","author":[{"family":"Seebens","given":"Hanno"},{"family":"Blackburn","given":"Tim M."},{"family":"Dyer","given":"Ellie E."},{"family":"Genovesi","given":"Piero"},{"family":"Hulme","given":"Philip E."},{"family":"Jeschke","given":"Jonathan M."},{"family":"Pagad","given":"Shyama"},{"family":"Pyšek","given":"Petr"},{"family":"Winter","given":"Marten"},{"family":"Arianoutsou","given":"Margarita"},{"family":"Bacher","given":"Sven"},{"family":"Blasius","given":"Bernd"},{"family":"Brundu","given":"Giuseppe"},{"family":"Capinha","given":"César"},{"family":"Celesti-Grapow","given":"Laura"},{"family":"Dawson","given":"Wayne"},{"family":"Dullinger","given":"Stefan"},{"family":"Fuentes","given":"Nicol"},{"family":"Jäger","given":"Heinke"},{"family":"Kartesz","given":"John"},{"family":"Kenis","given":"Marc"},{"family":"Kreft","given":"Holger"},{"family":"Kühn","given":"Ingolf"},{"family":"Lenzner","given":"Bernd"},{"family":"Liebhold","given":"Andrew"},{"family":"Mosena","given":"Alexander"},{"family":"Moser","given":"Dietmar"},{"family":"Nishino","given":"Misako"},{"family":"Pearman","given":"David"},{"family":"Pergl","given":"Jan"},{"family":"Rabitsch","given":"Wolfgang"},{"family":"Rojas-Sandoval","given":"Julissa"},{"family":"Roques","given":"Alain"},{"family":"Rorke","given":"Stephanie"},{"family":"Rossinelli","given":"Silvia"},{"family":"Roy","given":"Helen E."},{"family":"Scalera","given":"Riccardo"},{"family":"Schindler","given":"Stefan"},{"family":"Štajerová","given":"Kateřina"},{"family":"Tokarska-Guzik","given":"Barbara"},{"family":"Kleunen","given":"Mark","non-dropping-particle":"van"},{"family":"Walker","given":"Kevin"},{"family":"Weigelt","given":"Patrick"},{"family":"Yamanaka","given":"Takehiko"},{"family":"Essl","given":"Franz"}],"accessed":{"date-parts":[["2019",12,5]]},"issued":{"date-parts":[["2017",4]]}}}],"schema":"https://github.com/citation-style-language/schema/raw/master/csl-citation.json"} </w:instrText>
      </w:r>
      <w:r w:rsidR="006538B7" w:rsidRPr="00DA249F">
        <w:rPr>
          <w:rFonts w:eastAsia="Times New Roman"/>
          <w:lang w:val="en-GB"/>
        </w:rPr>
        <w:fldChar w:fldCharType="separate"/>
      </w:r>
      <w:r w:rsidR="00144D96" w:rsidRPr="00144D96">
        <w:t>(Essl et al., 2011; Hulme, 2021b; Seebens et al., 2017)</w:t>
      </w:r>
      <w:r w:rsidR="006538B7" w:rsidRPr="00DA249F">
        <w:rPr>
          <w:rFonts w:eastAsia="Times New Roman"/>
          <w:lang w:val="en-GB"/>
        </w:rPr>
        <w:fldChar w:fldCharType="end"/>
      </w:r>
      <w:r w:rsidR="7D05E1DF" w:rsidRPr="00DA249F">
        <w:rPr>
          <w:rFonts w:eastAsia="Times New Roman"/>
          <w:lang w:val="en-GB"/>
        </w:rPr>
        <w:t>.</w:t>
      </w:r>
      <w:r w:rsidR="00B01FF1" w:rsidRPr="00DA249F">
        <w:rPr>
          <w:rFonts w:eastAsia="Times New Roman"/>
          <w:lang w:val="en-GB"/>
        </w:rPr>
        <w:t xml:space="preserve"> </w:t>
      </w:r>
      <w:r w:rsidR="7C5E0F8F" w:rsidRPr="00DA249F">
        <w:rPr>
          <w:rFonts w:eastAsia="Times New Roman"/>
          <w:lang w:val="en-GB"/>
        </w:rPr>
        <w:t xml:space="preserve">This positive relationship between GDP and the number of alien species in a country appears to hold both across global and regional </w:t>
      </w:r>
      <w:r w:rsidR="5048280E" w:rsidRPr="00DA249F">
        <w:rPr>
          <w:rFonts w:eastAsia="Times New Roman"/>
          <w:lang w:val="en-GB"/>
        </w:rPr>
        <w:t>scales</w:t>
      </w:r>
      <w:r w:rsidR="7C5E0F8F" w:rsidRPr="00DA249F">
        <w:rPr>
          <w:rFonts w:eastAsia="Times New Roman"/>
          <w:lang w:val="en-GB"/>
        </w:rPr>
        <w:t xml:space="preserve"> as well as for quite different taxa including fish, mammals, birds, plants and agricultural pathogens</w:t>
      </w:r>
      <w:r w:rsidR="009C696C" w:rsidRPr="00DA249F">
        <w:rPr>
          <w:rFonts w:eastAsia="Times New Roman"/>
          <w:lang w:val="en-GB"/>
        </w:rPr>
        <w:t xml:space="preserve"> </w:t>
      </w:r>
      <w:r w:rsidR="00CA0C6B" w:rsidRPr="00DA249F">
        <w:rPr>
          <w:rFonts w:eastAsia="Times New Roman"/>
          <w:lang w:val="en-GB"/>
        </w:rPr>
        <w:t>(</w:t>
      </w:r>
      <w:r w:rsidR="005702F7">
        <w:rPr>
          <w:rFonts w:eastAsia="Times New Roman"/>
          <w:b/>
          <w:iCs/>
          <w:lang w:val="en-GB"/>
        </w:rPr>
        <w:t>C</w:t>
      </w:r>
      <w:r w:rsidR="009C696C" w:rsidRPr="005702F7">
        <w:rPr>
          <w:rFonts w:eastAsia="Times New Roman"/>
          <w:b/>
          <w:iCs/>
          <w:lang w:val="en-GB"/>
        </w:rPr>
        <w:t>hapter 2</w:t>
      </w:r>
      <w:r w:rsidR="009C696C" w:rsidRPr="005702F7">
        <w:rPr>
          <w:rFonts w:eastAsia="Times New Roman"/>
          <w:iCs/>
          <w:lang w:val="en-GB"/>
        </w:rPr>
        <w:t>,</w:t>
      </w:r>
      <w:r w:rsidR="009C696C" w:rsidRPr="005702F7">
        <w:rPr>
          <w:rFonts w:eastAsia="Times New Roman"/>
          <w:b/>
          <w:iCs/>
          <w:lang w:val="en-GB"/>
        </w:rPr>
        <w:t xml:space="preserve"> section 2.1</w:t>
      </w:r>
      <w:r w:rsidR="00E37B0C" w:rsidRPr="00DA249F">
        <w:rPr>
          <w:rFonts w:eastAsia="Times New Roman"/>
          <w:lang w:val="en-GB"/>
        </w:rPr>
        <w:t>)</w:t>
      </w:r>
      <w:r w:rsidR="00E37B0C" w:rsidRPr="00DA249F">
        <w:rPr>
          <w:rFonts w:ascii="ＭＳ 明朝" w:eastAsia="ＭＳ 明朝" w:hAnsi="ＭＳ 明朝" w:cs="ＭＳ 明朝"/>
          <w:lang w:val="en-GB"/>
        </w:rPr>
        <w:t>.</w:t>
      </w:r>
      <w:r w:rsidR="00E37B0C" w:rsidRPr="00DA249F">
        <w:rPr>
          <w:rFonts w:eastAsia="Times New Roman"/>
          <w:lang w:val="en-GB"/>
        </w:rPr>
        <w:t xml:space="preserve"> Such</w:t>
      </w:r>
      <w:r w:rsidR="7C5E0F8F" w:rsidRPr="00DA249F">
        <w:rPr>
          <w:rFonts w:eastAsia="Times New Roman"/>
          <w:lang w:val="en-GB"/>
        </w:rPr>
        <w:t xml:space="preserve"> trends may be indicative that countries with higher </w:t>
      </w:r>
      <w:r w:rsidR="2D7794CC" w:rsidRPr="00DA249F">
        <w:rPr>
          <w:rFonts w:eastAsia="Times New Roman"/>
          <w:lang w:val="en-GB"/>
        </w:rPr>
        <w:t>l</w:t>
      </w:r>
      <w:r w:rsidR="7C5E0F8F" w:rsidRPr="00DA249F">
        <w:rPr>
          <w:rFonts w:eastAsia="Times New Roman"/>
          <w:lang w:val="en-GB"/>
        </w:rPr>
        <w:t>evels of consumption tend to facilitate</w:t>
      </w:r>
      <w:r w:rsidR="00E94C4F" w:rsidRPr="00DA249F">
        <w:rPr>
          <w:rFonts w:eastAsia="Times New Roman"/>
          <w:lang w:val="en-GB"/>
        </w:rPr>
        <w:t xml:space="preserve"> </w:t>
      </w:r>
      <w:r w:rsidR="7C5E0F8F" w:rsidRPr="00DA249F">
        <w:rPr>
          <w:rFonts w:eastAsia="Times New Roman"/>
          <w:lang w:val="en-GB"/>
        </w:rPr>
        <w:t>the introduction and establishment of alien species.</w:t>
      </w:r>
      <w:r w:rsidR="00B01FF1" w:rsidRPr="00DA249F">
        <w:rPr>
          <w:rFonts w:eastAsia="Times New Roman"/>
          <w:lang w:val="en-GB"/>
        </w:rPr>
        <w:t xml:space="preserve"> </w:t>
      </w:r>
      <w:r w:rsidR="3E35E0B0" w:rsidRPr="00DA249F">
        <w:rPr>
          <w:rFonts w:eastAsia="Times New Roman"/>
          <w:lang w:val="en-GB"/>
        </w:rPr>
        <w:t>However, the current number of alien species in a country is the resu</w:t>
      </w:r>
      <w:r w:rsidR="607EA687" w:rsidRPr="00DA249F">
        <w:rPr>
          <w:rFonts w:eastAsia="Times New Roman"/>
          <w:lang w:val="en-GB"/>
        </w:rPr>
        <w:t>l</w:t>
      </w:r>
      <w:r w:rsidR="3E35E0B0" w:rsidRPr="00DA249F">
        <w:rPr>
          <w:rFonts w:eastAsia="Times New Roman"/>
          <w:lang w:val="en-GB"/>
        </w:rPr>
        <w:t>t of a cumulative process where alien species have accumulated over several centuries</w:t>
      </w:r>
      <w:r w:rsidR="00525323" w:rsidRPr="00DA249F">
        <w:rPr>
          <w:rFonts w:eastAsia="Times New Roman"/>
          <w:lang w:val="en-GB"/>
        </w:rPr>
        <w:t xml:space="preserve"> </w:t>
      </w:r>
      <w:r w:rsidR="00CA0C6B" w:rsidRPr="00DA249F">
        <w:rPr>
          <w:rFonts w:eastAsia="Times New Roman"/>
          <w:lang w:val="en-GB"/>
        </w:rPr>
        <w:t>(</w:t>
      </w:r>
      <w:r w:rsidR="005702F7">
        <w:rPr>
          <w:rFonts w:eastAsia="Times New Roman"/>
          <w:b/>
          <w:iCs/>
          <w:lang w:val="en-GB"/>
        </w:rPr>
        <w:t>C</w:t>
      </w:r>
      <w:r w:rsidR="0033241A" w:rsidRPr="005702F7">
        <w:rPr>
          <w:rFonts w:eastAsia="Times New Roman"/>
          <w:b/>
          <w:iCs/>
          <w:lang w:val="en-GB"/>
        </w:rPr>
        <w:t>hapter 2</w:t>
      </w:r>
      <w:r w:rsidR="00525323" w:rsidRPr="00DA249F">
        <w:rPr>
          <w:rFonts w:eastAsia="Times New Roman"/>
          <w:lang w:val="en-GB"/>
        </w:rPr>
        <w:t>)</w:t>
      </w:r>
      <w:r w:rsidR="3E35E0B0" w:rsidRPr="00DA249F">
        <w:rPr>
          <w:rFonts w:eastAsia="Times New Roman"/>
          <w:lang w:val="en-GB"/>
        </w:rPr>
        <w:t>.</w:t>
      </w:r>
      <w:r w:rsidR="00B01FF1" w:rsidRPr="00DA249F">
        <w:rPr>
          <w:rFonts w:eastAsia="Times New Roman"/>
          <w:lang w:val="en-GB"/>
        </w:rPr>
        <w:t xml:space="preserve"> </w:t>
      </w:r>
      <w:r w:rsidR="3E35E0B0" w:rsidRPr="00DA249F">
        <w:rPr>
          <w:rFonts w:eastAsia="Times New Roman"/>
          <w:lang w:val="en-GB"/>
        </w:rPr>
        <w:t>Hence,</w:t>
      </w:r>
      <w:r w:rsidR="5814480B" w:rsidRPr="00DA249F">
        <w:rPr>
          <w:rFonts w:eastAsia="Times New Roman"/>
          <w:lang w:val="en-GB"/>
        </w:rPr>
        <w:t xml:space="preserve"> research has shown that historical levels of GDP might be a better predictor of the number of alien species found in a country than </w:t>
      </w:r>
      <w:r w:rsidR="009402DA" w:rsidRPr="00DA249F">
        <w:rPr>
          <w:rFonts w:eastAsia="Times New Roman"/>
          <w:lang w:val="en-GB"/>
        </w:rPr>
        <w:t>the current GDP</w:t>
      </w:r>
      <w:r w:rsidR="5814480B" w:rsidRPr="00DA249F">
        <w:rPr>
          <w:rFonts w:eastAsia="Times New Roman"/>
          <w:lang w:val="en-GB"/>
        </w:rPr>
        <w:t xml:space="preserve"> </w:t>
      </w:r>
      <w:r w:rsidRPr="00DA249F">
        <w:rPr>
          <w:rFonts w:eastAsia="Times New Roman"/>
          <w:lang w:val="en-GB"/>
        </w:rPr>
        <w:fldChar w:fldCharType="begin"/>
      </w:r>
      <w:r w:rsidR="00331A79">
        <w:rPr>
          <w:rFonts w:eastAsia="Times New Roman"/>
          <w:lang w:val="en-GB"/>
        </w:rPr>
        <w:instrText xml:space="preserve"> ADDIN ZOTERO_ITEM CSL_CITATION {"citationID":"Yg6dqyhw","properties":{"formattedCitation":"(Essl et al., 2011)","plainCitation":"(Essl et al., 2011)","noteIndex":0},"citationItems":[{"id":56280,"uris":["http://zotero.org/groups/2352922/items/YY5ECPQJ","http://zotero.org/groups/2352922/items/ITJAFPQE"],"itemData":{"id":56280,"type":"article-journal","abstract":"Globalization and economic growth are widely recognized as important drivers of biological invasions. Consequently, there is an increasing need for governments to address the role of international trade in their strategies to prevent species introductions. However, many of the most problematic alien species are not recent arrivals but were introduced several decades ago. Hence, current patterns of alien-species richness may better reflect historical rather than contemporary human activities, a phenomenon which might be called “invasion debt.” Here, we show that across 10 taxonomic groups (vascular plants, bryophytes, fungi, birds, mammals, reptiles, amphibians, fish, terrestrial insects, and aquatic invertebrates) in 28 European countries, current numbers of alien species established in the wild are indeed more closely related to indicators of socioeconomic activity from the year 1900 than to those from 2000, although the majority of species introductions occurred during the second half of the 20th century. The strength of the historical signal varies among taxonomic groups, with those possessing good capabilities for dispersal (birds, insects) more strongly associated with recent socioeconomic drivers. Nevertheless, our results suggest a considerable historical legacy for the majority of the taxa analyzed. The consequences of the current high levels of socioeconomic activity on the extent of biological invasions will thus probably not be completely realized until several decades into the future.","container-title":"Proceedings of the National Academy of Sciences","DOI":"10.1073/pnas.1011728108","ISSN":"0027-8424, 1091-6490","issue":"1","journalAbbreviation":"Proc. Natl. Acad. Sci. U.S.A.","language":"en","page":"203-207","source":"DOI.org (Crossref)","title":"Socioeconomic legacy yields an invasion debt","URL":"https://pnas.org/doi/full/10.1073/pnas.1011728108","volume":"108","author":[{"family":"Essl","given":"Franz"},{"family":"Dullinger","given":"Stefan"},{"family":"Rabitsch","given":"Wolfgang"},{"family":"Hulme","given":"Philip E."},{"family":"Hülber","given":"Karl"},{"family":"Jarošík","given":"Vojtěch"},{"family":"Kleinbauer","given":"Ingrid"},{"family":"Krausmann","given":"Fridolin"},{"family":"Kühn","given":"Ingolf"},{"family":"Nentwig","given":"Wolfgang"},{"family":"Vilà","given":"Montserrat"},{"family":"Genovesi","given":"Piero"},{"family":"Gherardi","given":"Francesca"},{"family":"Desprez-Loustau","given":"Marie-Laure"},{"family":"Roques","given":"Alain"},{"family":"Pyšek","given":"Petr"}],"accessed":{"date-parts":[["2023",6,8]]},"issued":{"date-parts":[["2011",1,4]]}}}],"schema":"https://github.com/citation-style-language/schema/raw/master/csl-citation.json"} </w:instrText>
      </w:r>
      <w:r w:rsidRPr="00DA249F">
        <w:rPr>
          <w:rFonts w:eastAsia="Times New Roman"/>
          <w:lang w:val="en-GB"/>
        </w:rPr>
        <w:fldChar w:fldCharType="separate"/>
      </w:r>
      <w:r w:rsidR="00144D96" w:rsidRPr="00144D96">
        <w:t>(Essl et al., 2011)</w:t>
      </w:r>
      <w:r w:rsidRPr="00DA249F">
        <w:rPr>
          <w:rFonts w:eastAsia="Times New Roman"/>
          <w:lang w:val="en-GB"/>
        </w:rPr>
        <w:fldChar w:fldCharType="end"/>
      </w:r>
      <w:r w:rsidR="5814480B" w:rsidRPr="00DA249F">
        <w:rPr>
          <w:rFonts w:eastAsia="Times New Roman"/>
          <w:lang w:val="en-GB"/>
        </w:rPr>
        <w:t xml:space="preserve">. This illustrates that GDP </w:t>
      </w:r>
      <w:r w:rsidR="3E35E0B0" w:rsidRPr="00DA249F">
        <w:rPr>
          <w:rFonts w:eastAsia="Times New Roman"/>
          <w:lang w:val="en-GB"/>
        </w:rPr>
        <w:t>is a flow</w:t>
      </w:r>
      <w:r w:rsidR="3391B981" w:rsidRPr="00DA249F">
        <w:rPr>
          <w:rFonts w:eastAsia="Times New Roman"/>
          <w:lang w:val="en-GB"/>
        </w:rPr>
        <w:t xml:space="preserve"> and that the best measure of a process that, in many countries, has deep historical roots</w:t>
      </w:r>
      <w:r w:rsidR="006B5303">
        <w:rPr>
          <w:rFonts w:eastAsia="Times New Roman"/>
          <w:lang w:val="en-GB"/>
        </w:rPr>
        <w:t>,</w:t>
      </w:r>
      <w:r w:rsidR="5A9A3E9A" w:rsidRPr="00DA249F">
        <w:rPr>
          <w:rFonts w:eastAsia="Times New Roman"/>
          <w:lang w:val="en-GB"/>
        </w:rPr>
        <w:t xml:space="preserve"> is the</w:t>
      </w:r>
      <w:r w:rsidR="3391B981" w:rsidRPr="00DA249F">
        <w:rPr>
          <w:rFonts w:eastAsia="Times New Roman"/>
          <w:lang w:val="en-GB"/>
        </w:rPr>
        <w:t xml:space="preserve"> stock of wealth in any country</w:t>
      </w:r>
      <w:r w:rsidR="006B5303">
        <w:rPr>
          <w:rFonts w:eastAsia="Times New Roman"/>
          <w:lang w:val="en-GB"/>
        </w:rPr>
        <w:t>.</w:t>
      </w:r>
      <w:r w:rsidR="00E275BC">
        <w:rPr>
          <w:rFonts w:eastAsia="Times New Roman"/>
          <w:lang w:val="en-GB"/>
        </w:rPr>
        <w:t xml:space="preserve"> </w:t>
      </w:r>
      <w:r w:rsidR="006B5303">
        <w:rPr>
          <w:rFonts w:eastAsia="Times New Roman"/>
          <w:lang w:val="en-GB"/>
        </w:rPr>
        <w:t>This wealth measure</w:t>
      </w:r>
      <w:r w:rsidR="3391B981" w:rsidRPr="00DA249F">
        <w:rPr>
          <w:rFonts w:eastAsia="Times New Roman"/>
          <w:lang w:val="en-GB"/>
        </w:rPr>
        <w:t xml:space="preserve"> is </w:t>
      </w:r>
      <w:r w:rsidR="09205437" w:rsidRPr="00DA249F">
        <w:rPr>
          <w:rFonts w:eastAsia="Times New Roman"/>
          <w:lang w:val="en-GB"/>
        </w:rPr>
        <w:t>t</w:t>
      </w:r>
      <w:r w:rsidR="31ABE23F" w:rsidRPr="00DA249F">
        <w:rPr>
          <w:rFonts w:eastAsia="Times New Roman"/>
          <w:lang w:val="en-GB"/>
        </w:rPr>
        <w:t>he</w:t>
      </w:r>
      <w:r w:rsidR="3391B981" w:rsidRPr="00DA249F">
        <w:rPr>
          <w:rFonts w:eastAsia="Times New Roman"/>
          <w:lang w:val="en-GB"/>
        </w:rPr>
        <w:t xml:space="preserve"> cumulative effect of past investments</w:t>
      </w:r>
      <w:r w:rsidR="006B5303">
        <w:rPr>
          <w:rFonts w:eastAsia="Times New Roman"/>
          <w:lang w:val="en-GB"/>
        </w:rPr>
        <w:t>,</w:t>
      </w:r>
      <w:r w:rsidR="3391B981" w:rsidRPr="00DA249F">
        <w:rPr>
          <w:rFonts w:eastAsia="Times New Roman"/>
          <w:lang w:val="en-GB"/>
        </w:rPr>
        <w:t xml:space="preserve"> and </w:t>
      </w:r>
      <w:r w:rsidR="5A9A3E9A" w:rsidRPr="00DA249F">
        <w:rPr>
          <w:rFonts w:eastAsia="Times New Roman"/>
          <w:lang w:val="en-GB"/>
        </w:rPr>
        <w:t xml:space="preserve">accounts for the assets such as natural capital, produced capital, and human capital that underpin growth and consumption possibilities </w:t>
      </w:r>
      <w:r w:rsidRPr="00DA249F">
        <w:rPr>
          <w:rFonts w:eastAsia="Times New Roman"/>
          <w:lang w:val="en-GB"/>
        </w:rPr>
        <w:fldChar w:fldCharType="begin"/>
      </w:r>
      <w:r w:rsidR="00331A79">
        <w:rPr>
          <w:rFonts w:eastAsia="Times New Roman"/>
          <w:lang w:val="en-GB"/>
        </w:rPr>
        <w:instrText xml:space="preserve"> ADDIN ZOTERO_ITEM CSL_CITATION {"citationID":"MQfRDlZX","properties":{"formattedCitation":"(Perrings, 2010)","plainCitation":"(Perrings, 2010)","noteIndex":0},"citationItems":[{"id":28346,"uris":["http://zotero.org/groups/2352922/items/U2R6G34K"],"itemData":{"id":28346,"type":"article-journal","container-title":"Proceedings of the National Academy of Sciences","DOI":"10.1073/pnas.1007335107","issue":"27","note":"number: 27","page":"12063-12064","title":"Exotic effects of capital accumulation","URL":"http://www.pnas.org","volume":"107","author":[{"family":"Perrings","given":"Charles"}],"issued":{"date-parts":[["2010",6]]}}}],"schema":"https://github.com/citation-style-language/schema/raw/master/csl-citation.json"} </w:instrText>
      </w:r>
      <w:r w:rsidRPr="00DA249F">
        <w:rPr>
          <w:rFonts w:eastAsia="Times New Roman"/>
          <w:lang w:val="en-GB"/>
        </w:rPr>
        <w:fldChar w:fldCharType="separate"/>
      </w:r>
      <w:r w:rsidR="00144D96" w:rsidRPr="00144D96">
        <w:t>(Perrings, 2010)</w:t>
      </w:r>
      <w:r w:rsidRPr="00DA249F">
        <w:rPr>
          <w:rFonts w:eastAsia="Times New Roman"/>
          <w:lang w:val="en-GB"/>
        </w:rPr>
        <w:fldChar w:fldCharType="end"/>
      </w:r>
      <w:r w:rsidR="001A02B2" w:rsidRPr="00DA249F">
        <w:rPr>
          <w:rFonts w:eastAsia="Times New Roman"/>
          <w:lang w:val="en-GB"/>
        </w:rPr>
        <w:t>.</w:t>
      </w:r>
      <w:r w:rsidR="00B01FF1" w:rsidRPr="00DA249F">
        <w:rPr>
          <w:rFonts w:eastAsia="Times New Roman"/>
          <w:lang w:val="en-GB"/>
        </w:rPr>
        <w:t xml:space="preserve"> </w:t>
      </w:r>
      <w:r w:rsidR="222D060A" w:rsidRPr="00DA249F">
        <w:rPr>
          <w:rFonts w:eastAsia="Times New Roman"/>
          <w:lang w:val="en-GB"/>
        </w:rPr>
        <w:t>Few studies have examined the role of wealth on numbers of invasive alien species, but where it has been examined it has been found to expl</w:t>
      </w:r>
      <w:r w:rsidR="4D5D254B" w:rsidRPr="00DA249F">
        <w:rPr>
          <w:rFonts w:eastAsia="Times New Roman"/>
          <w:lang w:val="en-GB"/>
        </w:rPr>
        <w:t>a</w:t>
      </w:r>
      <w:r w:rsidR="222D060A" w:rsidRPr="00DA249F">
        <w:rPr>
          <w:rFonts w:eastAsia="Times New Roman"/>
          <w:lang w:val="en-GB"/>
        </w:rPr>
        <w:t>in a small but signif</w:t>
      </w:r>
      <w:r w:rsidR="4D5D254B" w:rsidRPr="00DA249F">
        <w:rPr>
          <w:rFonts w:eastAsia="Times New Roman"/>
          <w:lang w:val="en-GB"/>
        </w:rPr>
        <w:t>i</w:t>
      </w:r>
      <w:r w:rsidR="222D060A" w:rsidRPr="00DA249F">
        <w:rPr>
          <w:rFonts w:eastAsia="Times New Roman"/>
          <w:lang w:val="en-GB"/>
        </w:rPr>
        <w:t>c</w:t>
      </w:r>
      <w:r w:rsidR="4D5D254B" w:rsidRPr="00DA249F">
        <w:rPr>
          <w:rFonts w:eastAsia="Times New Roman"/>
          <w:lang w:val="en-GB"/>
        </w:rPr>
        <w:t>a</w:t>
      </w:r>
      <w:r w:rsidR="222D060A" w:rsidRPr="00DA249F">
        <w:rPr>
          <w:rFonts w:eastAsia="Times New Roman"/>
          <w:lang w:val="en-GB"/>
        </w:rPr>
        <w:t xml:space="preserve">nt </w:t>
      </w:r>
      <w:r w:rsidR="4D5D254B" w:rsidRPr="00DA249F">
        <w:rPr>
          <w:rFonts w:eastAsia="Times New Roman"/>
          <w:lang w:val="en-GB"/>
        </w:rPr>
        <w:t>a</w:t>
      </w:r>
      <w:r w:rsidR="222D060A" w:rsidRPr="00DA249F">
        <w:rPr>
          <w:rFonts w:eastAsia="Times New Roman"/>
          <w:lang w:val="en-GB"/>
        </w:rPr>
        <w:t>mount of variati</w:t>
      </w:r>
      <w:r w:rsidR="4D5D254B" w:rsidRPr="00DA249F">
        <w:rPr>
          <w:rFonts w:eastAsia="Times New Roman"/>
          <w:lang w:val="en-GB"/>
        </w:rPr>
        <w:t>o</w:t>
      </w:r>
      <w:r w:rsidR="222D060A" w:rsidRPr="00DA249F">
        <w:rPr>
          <w:rFonts w:eastAsia="Times New Roman"/>
          <w:lang w:val="en-GB"/>
        </w:rPr>
        <w:t>n in the numbers</w:t>
      </w:r>
      <w:r w:rsidR="4D5D254B" w:rsidRPr="00DA249F">
        <w:rPr>
          <w:rFonts w:eastAsia="Times New Roman"/>
          <w:lang w:val="en-GB"/>
        </w:rPr>
        <w:t xml:space="preserve"> </w:t>
      </w:r>
      <w:r w:rsidR="222D060A" w:rsidRPr="00DA249F">
        <w:rPr>
          <w:rFonts w:eastAsia="Times New Roman"/>
          <w:lang w:val="en-GB"/>
        </w:rPr>
        <w:t xml:space="preserve">of alien species in Europe </w:t>
      </w:r>
      <w:r w:rsidRPr="00DA249F">
        <w:rPr>
          <w:rFonts w:eastAsia="Times New Roman"/>
          <w:lang w:val="en-GB"/>
        </w:rPr>
        <w:fldChar w:fldCharType="begin"/>
      </w:r>
      <w:r w:rsidR="00331A79">
        <w:rPr>
          <w:rFonts w:eastAsia="Times New Roman"/>
          <w:lang w:val="en-GB"/>
        </w:rPr>
        <w:instrText xml:space="preserve"> ADDIN ZOTERO_ITEM CSL_CITATION {"citationID":"F5ZhMSoy","properties":{"formattedCitation":"(Py\\uc0\\u353{}ek, Jarosik, et al., 2010)","plainCitation":"(Pyšek, Jarosik, et al., 2010)","dontUpdate":true,"noteIndex":0},"citationItems":[{"id":29029,"uris":["http://zotero.org/groups/2352922/items/VMCFYKNM"],"itemData":{"id":29029,"type":"article-journal","abstract":"The accelerating rates of international trade, travel, and transport in the latter half of the twentieth century have led to the progressive mixing of biota from across the world and the number of species introduced to new regions continues to increase. The importance of biogeographic, climatic, economic, and demographic factors as drivers of this trend is increasingly being realized but as yet there is no consensus regarding their relative importance. Whereas little may be done to mitigate the effects of geography and climate on invasions, a wider range of options may exist to moderate the impacts of economic and demographic drivers. Here we use the most recent data available from Europe to partition between macroecological, economic, and demographic variables the variation in alien species richness of bryophytes, fungi, vascular plants, terrestrial insects, aquatic invertebrates, fish, amphibians, reptiles, birds, and mammals. Only national wealth and human population density were statistically significant predictors in the majority of models when analyzed jointly with climate, geography, and land cover. The economic and demographic variables reflect the intensity of human activities and integrate the effect of factors that directly determine the outcome of invasion such as propagule pressure, pathways of introduction, eutrophication, and the intensity of anthropogenic disturbance. The strong influence of economic and demographic variables on the levels of invasion by alien species demonstrates that future solutions to the problem of biological invasions at a national scale lie in mitigating the negative environmental consequences of human activities that generate wealth and by promoting more sustainable population growth.","container-title":"Proceedings of the National Academy of Sciences","DOI":"10.1073/pnas.1002314107","ISSN":"0027-8424","issue":"27","journalAbbreviation":"Proceedings of the National Academy of Sciences","language":"en","note":"WOS:000279572100023","page":"12157-12162","title":"Disentangling the role of environmental and human pressures on biological invasions across Europe","URL":"http://www.pnas.org/content/107/27/12157.abstract","volume":"107","author":[{"family":"Pyšek","given":"Petr"},{"family":"Jarosik","given":"Vojtech"},{"family":"Hulme","given":"Philip E."},{"family":"Kühn","given":"Ingolf"},{"family":"Wild","given":"Jan"},{"family":"Arianoutsou","given":"Margarita"},{"family":"Bacher","given":"Sven"},{"family":"Chiron","given":"Francois"},{"family":"Didžiulis","given":"Viktoras"},{"family":"Essl","given":"Franz"},{"family":"Genovesi","given":"Piero"},{"family":"Gherardi","given":"Francesca"},{"family":"Hejda","given":"Martin"},{"family":"Kark","given":"Salit"},{"family":"Lambdon","given":"Philip W."},{"family":"Desprez-Loustau","given":"Marie-Laure"},{"family":"Nentwig","given":"Wolfgang"},{"family":"Pergl","given":"Jan"},{"family":"Poboljšaj","given":"Katja"},{"family":"Rabitsch","given":"Wolfgang"},{"family":"Roques","given":"Alain"},{"family":"Roy","given":"David B."},{"family":"Shirley","given":"Susan"},{"family":"Solarz","given":"Wojciech"},{"family":"Vilà","given":"Montserrat"},{"family":"Winter","given":"Marten"}],"issued":{"date-parts":[["2010",7,6]]}}}],"schema":"https://github.com/citation-style-language/schema/raw/master/csl-citation.json"} </w:instrText>
      </w:r>
      <w:r w:rsidRPr="00DA249F">
        <w:rPr>
          <w:rFonts w:eastAsia="Times New Roman"/>
          <w:lang w:val="en-GB"/>
        </w:rPr>
        <w:fldChar w:fldCharType="separate"/>
      </w:r>
      <w:r w:rsidR="00B14A6A" w:rsidRPr="00DA249F">
        <w:rPr>
          <w:lang w:val="en-GB"/>
        </w:rPr>
        <w:t>(Pyšek</w:t>
      </w:r>
      <w:r w:rsidR="002A15F4" w:rsidRPr="00DA249F">
        <w:rPr>
          <w:lang w:val="en-GB"/>
        </w:rPr>
        <w:t xml:space="preserve"> </w:t>
      </w:r>
      <w:r w:rsidR="00B14A6A" w:rsidRPr="00DA249F">
        <w:rPr>
          <w:lang w:val="en-GB"/>
        </w:rPr>
        <w:t>et al., 2010)</w:t>
      </w:r>
      <w:r w:rsidRPr="00DA249F">
        <w:rPr>
          <w:rFonts w:eastAsia="Times New Roman"/>
          <w:lang w:val="en-GB"/>
        </w:rPr>
        <w:fldChar w:fldCharType="end"/>
      </w:r>
      <w:r w:rsidR="222D060A" w:rsidRPr="00DA249F">
        <w:rPr>
          <w:rFonts w:eastAsia="Times New Roman"/>
          <w:lang w:val="en-GB"/>
        </w:rPr>
        <w:t>.</w:t>
      </w:r>
      <w:r w:rsidR="00B01FF1" w:rsidRPr="00DA249F">
        <w:rPr>
          <w:rFonts w:eastAsia="Times New Roman"/>
          <w:lang w:val="en-GB"/>
        </w:rPr>
        <w:t xml:space="preserve"> </w:t>
      </w:r>
      <w:r w:rsidR="222D060A" w:rsidRPr="00DA249F">
        <w:rPr>
          <w:rFonts w:eastAsia="Times New Roman"/>
          <w:lang w:val="en-GB"/>
        </w:rPr>
        <w:t>Since the wealth of a country is a</w:t>
      </w:r>
      <w:r w:rsidR="00DD4CBB" w:rsidRPr="00DA249F">
        <w:rPr>
          <w:rFonts w:eastAsia="Times New Roman"/>
          <w:lang w:val="en-GB"/>
        </w:rPr>
        <w:t xml:space="preserve"> more</w:t>
      </w:r>
      <w:r w:rsidR="00810ABA" w:rsidRPr="00DA249F">
        <w:rPr>
          <w:rFonts w:eastAsia="Times New Roman"/>
          <w:lang w:val="en-GB"/>
        </w:rPr>
        <w:t xml:space="preserve"> </w:t>
      </w:r>
      <w:r w:rsidR="222D060A" w:rsidRPr="00DA249F">
        <w:rPr>
          <w:rFonts w:eastAsia="Times New Roman"/>
          <w:lang w:val="en-GB"/>
        </w:rPr>
        <w:t>important determinant of numbers of alien species</w:t>
      </w:r>
      <w:r w:rsidR="00DD4CBB" w:rsidRPr="00DA249F">
        <w:rPr>
          <w:rFonts w:eastAsia="Times New Roman"/>
          <w:lang w:val="en-GB"/>
        </w:rPr>
        <w:t xml:space="preserve"> than the contemporary GDP</w:t>
      </w:r>
      <w:r w:rsidR="222D060A" w:rsidRPr="00DA249F">
        <w:rPr>
          <w:rFonts w:eastAsia="Times New Roman"/>
          <w:lang w:val="en-GB"/>
        </w:rPr>
        <w:t xml:space="preserve">, </w:t>
      </w:r>
      <w:r w:rsidR="00827D75" w:rsidRPr="00DA249F">
        <w:rPr>
          <w:rFonts w:eastAsia="Times New Roman"/>
          <w:lang w:val="en-GB"/>
        </w:rPr>
        <w:t xml:space="preserve">the cumulative build-up of assets which support greater consumption may lead to more immediate increases in numbers of alien species than </w:t>
      </w:r>
      <w:r w:rsidR="222D060A" w:rsidRPr="00DA249F">
        <w:rPr>
          <w:rFonts w:eastAsia="Times New Roman"/>
          <w:lang w:val="en-GB"/>
        </w:rPr>
        <w:t>rapid changes in GDP</w:t>
      </w:r>
      <w:r w:rsidR="009C696C" w:rsidRPr="00DA249F">
        <w:rPr>
          <w:rFonts w:eastAsia="Times New Roman"/>
          <w:lang w:val="en-GB"/>
        </w:rPr>
        <w:t>.</w:t>
      </w:r>
      <w:r w:rsidR="222D060A" w:rsidRPr="00DA249F">
        <w:rPr>
          <w:rFonts w:eastAsia="Times New Roman"/>
          <w:lang w:val="en-GB"/>
        </w:rPr>
        <w:t xml:space="preserve"> </w:t>
      </w:r>
    </w:p>
    <w:p w14:paraId="24C6D02B" w14:textId="5BEABA9A" w:rsidR="008C1BF7" w:rsidRPr="00DA249F" w:rsidRDefault="412BC630" w:rsidP="0090109B">
      <w:pPr>
        <w:rPr>
          <w:rFonts w:eastAsia="Times New Roman"/>
          <w:lang w:val="en-GB"/>
        </w:rPr>
      </w:pPr>
      <w:r w:rsidRPr="00DA249F">
        <w:rPr>
          <w:rFonts w:eastAsia="DengXian"/>
          <w:lang w:val="en-GB"/>
        </w:rPr>
        <w:t>The current</w:t>
      </w:r>
      <w:r w:rsidR="0DB4D222" w:rsidRPr="00DA249F">
        <w:rPr>
          <w:rFonts w:eastAsia="DengXian"/>
          <w:lang w:val="en-GB"/>
        </w:rPr>
        <w:t xml:space="preserve"> combined gross national income of all countries in the world is estimated </w:t>
      </w:r>
      <w:r w:rsidR="00FE086B" w:rsidRPr="00DA249F">
        <w:rPr>
          <w:rFonts w:eastAsia="DengXian"/>
          <w:lang w:val="en-GB"/>
        </w:rPr>
        <w:t xml:space="preserve">to be </w:t>
      </w:r>
      <w:r w:rsidR="0DB4D222" w:rsidRPr="00DA249F">
        <w:rPr>
          <w:rFonts w:eastAsia="DengXian"/>
          <w:lang w:val="en-GB"/>
        </w:rPr>
        <w:t xml:space="preserve">over </w:t>
      </w:r>
      <w:r w:rsidR="00E43608">
        <w:rPr>
          <w:rFonts w:eastAsia="DengXian"/>
          <w:lang w:val="en-GB"/>
        </w:rPr>
        <w:t>US</w:t>
      </w:r>
      <w:r w:rsidRPr="00DA249F">
        <w:rPr>
          <w:rFonts w:eastAsia="DengXian"/>
          <w:lang w:val="en-GB"/>
        </w:rPr>
        <w:t>$94 trillion, with 10 countries accounting for 68</w:t>
      </w:r>
      <w:r w:rsidR="00C77186" w:rsidRPr="00DA249F">
        <w:rPr>
          <w:rFonts w:eastAsia="DengXian"/>
          <w:lang w:val="en-GB"/>
        </w:rPr>
        <w:t xml:space="preserve"> </w:t>
      </w:r>
      <w:r w:rsidR="004C77CD" w:rsidRPr="00DA249F">
        <w:rPr>
          <w:rFonts w:eastAsia="DengXian"/>
          <w:lang w:val="en-GB"/>
        </w:rPr>
        <w:t>per cent</w:t>
      </w:r>
      <w:r w:rsidRPr="00DA249F">
        <w:rPr>
          <w:rFonts w:eastAsia="DengXian"/>
          <w:lang w:val="en-GB"/>
        </w:rPr>
        <w:t xml:space="preserve"> of this amount </w:t>
      </w:r>
      <w:r w:rsidR="002A15F4" w:rsidRPr="00DA249F">
        <w:rPr>
          <w:rFonts w:eastAsia="DengXian"/>
          <w:lang w:val="en-GB"/>
        </w:rPr>
        <w:fldChar w:fldCharType="begin"/>
      </w:r>
      <w:r w:rsidR="00331A79">
        <w:rPr>
          <w:rFonts w:eastAsia="DengXian"/>
          <w:lang w:val="en-GB"/>
        </w:rPr>
        <w:instrText xml:space="preserve"> ADDIN ZOTERO_ITEM CSL_CITATION {"citationID":"1gtsP5Bs","properties":{"formattedCitation":"(IMF, 2021)","plainCitation":"(IMF, 2021)","noteIndex":0},"citationItems":[{"id":32977,"uris":["http://zotero.org/groups/2352922/items/XRJZYQJB"],"itemData":{"id":32977,"type":"report","title":"Report for Selected Countries and Subjects: October 2021","URL":"https://www.imf.org/en/Publications/WEO/weo-database/2021/October/weo-report?c=512,914,612,171,614,311,213,911,314,193,122,912,313,419,513,316,913,124,339,638,514,218,963,616,223,516,918,748,618,624,522,622,156,626,628,228,924,233,632,636,634,238,662,960,423,935,128,611,321,243,248,469,253,642,643,939,734,644,819,172,132,646,648,915,134,652,174,328,258,656,654,336,263,268,532,944,176,534,536,429,433,178,436,136,343,158,439,916,664,826,542,967,443,917,544,941,446,666,668,672,946,137,546,674,676,548,556,678,181,867,682,684,273,868,921,948,943,686,688,518,728,836,558,138,196,278,692,694,962,142,449,564,565,283,853,288,293,566,964,182,359,453,968,922,714,862,135,716,456,722,942,718,724,576,936,961,813,726,199,733,184,524,361,362,364,732,366,144,146,463,528,923,738,578,537,742,866,369,744,186,925,869,746,926,466,112,111,298,927,846,299,582,487,474,754,698,&amp;s=NGDPD,&amp;sy=2021&amp;ey=2021&amp;ssm=0&amp;scsm=1&amp;scc=0&amp;ssd=1&amp;ssc=0&amp;sic=0&amp;sort=country&amp;ds=.&amp;br=1","author":[{"literal":"IMF"}],"issued":{"date-parts":[["2021"]]}}}],"schema":"https://github.com/citation-style-language/schema/raw/master/csl-citation.json"} </w:instrText>
      </w:r>
      <w:r w:rsidR="002A15F4" w:rsidRPr="00DA249F">
        <w:rPr>
          <w:rFonts w:eastAsia="DengXian"/>
          <w:lang w:val="en-GB"/>
        </w:rPr>
        <w:fldChar w:fldCharType="separate"/>
      </w:r>
      <w:r w:rsidR="00144D96" w:rsidRPr="00144D96">
        <w:t>(IMF, 2021)</w:t>
      </w:r>
      <w:r w:rsidR="002A15F4" w:rsidRPr="00DA249F">
        <w:rPr>
          <w:rFonts w:eastAsia="DengXian"/>
          <w:lang w:val="en-GB"/>
        </w:rPr>
        <w:fldChar w:fldCharType="end"/>
      </w:r>
      <w:r w:rsidR="004E23EE" w:rsidRPr="00DA249F">
        <w:rPr>
          <w:rFonts w:eastAsia="DengXian"/>
          <w:lang w:val="en-GB"/>
        </w:rPr>
        <w:t>. T</w:t>
      </w:r>
      <w:r w:rsidRPr="00DA249F">
        <w:rPr>
          <w:rFonts w:eastAsia="DengXian"/>
          <w:lang w:val="en-GB"/>
        </w:rPr>
        <w:t xml:space="preserve">he distribution of this wealth is </w:t>
      </w:r>
      <w:r w:rsidR="009C0131" w:rsidRPr="00DA249F">
        <w:rPr>
          <w:rFonts w:eastAsia="DengXian"/>
          <w:lang w:val="en-GB"/>
        </w:rPr>
        <w:t xml:space="preserve">also </w:t>
      </w:r>
      <w:r w:rsidRPr="00DA249F">
        <w:rPr>
          <w:rFonts w:eastAsia="DengXian"/>
          <w:lang w:val="en-GB"/>
        </w:rPr>
        <w:t xml:space="preserve">often highly uneven within countries, so that </w:t>
      </w:r>
      <w:r w:rsidR="428448EE" w:rsidRPr="00DA249F">
        <w:rPr>
          <w:rFonts w:eastAsia="DengXian"/>
          <w:lang w:val="en-GB"/>
        </w:rPr>
        <w:t xml:space="preserve">the </w:t>
      </w:r>
      <w:r w:rsidRPr="00DA249F">
        <w:rPr>
          <w:rFonts w:eastAsia="DengXian"/>
          <w:lang w:val="en-GB"/>
        </w:rPr>
        <w:t>1</w:t>
      </w:r>
      <w:r w:rsidR="43A8376E" w:rsidRPr="00DA249F">
        <w:rPr>
          <w:rFonts w:eastAsia="DengXian"/>
          <w:lang w:val="en-GB"/>
        </w:rPr>
        <w:t>0</w:t>
      </w:r>
      <w:r w:rsidR="00C77186" w:rsidRPr="00DA249F">
        <w:rPr>
          <w:rFonts w:eastAsia="DengXian"/>
          <w:lang w:val="en-GB"/>
        </w:rPr>
        <w:t xml:space="preserve"> </w:t>
      </w:r>
      <w:r w:rsidR="004C77CD" w:rsidRPr="00DA249F">
        <w:rPr>
          <w:rFonts w:eastAsia="DengXian"/>
          <w:lang w:val="en-GB"/>
        </w:rPr>
        <w:t>per cent</w:t>
      </w:r>
      <w:r w:rsidR="00C77186" w:rsidRPr="00DA249F">
        <w:rPr>
          <w:rFonts w:eastAsia="DengXian"/>
          <w:lang w:val="en-GB"/>
        </w:rPr>
        <w:t xml:space="preserve"> </w:t>
      </w:r>
      <w:r w:rsidR="428448EE" w:rsidRPr="00DA249F">
        <w:rPr>
          <w:rFonts w:eastAsia="DengXian"/>
          <w:lang w:val="en-GB"/>
        </w:rPr>
        <w:t xml:space="preserve">richest </w:t>
      </w:r>
      <w:r w:rsidRPr="00DA249F">
        <w:rPr>
          <w:rFonts w:eastAsia="DengXian"/>
          <w:lang w:val="en-GB"/>
        </w:rPr>
        <w:t xml:space="preserve">individuals concentrate </w:t>
      </w:r>
      <w:r w:rsidR="21F66EC8" w:rsidRPr="00DA249F">
        <w:rPr>
          <w:rFonts w:eastAsia="DengXian"/>
          <w:lang w:val="en-GB"/>
        </w:rPr>
        <w:t>52</w:t>
      </w:r>
      <w:r w:rsidR="00C77186" w:rsidRPr="00DA249F">
        <w:rPr>
          <w:rFonts w:eastAsia="DengXian"/>
          <w:lang w:val="en-GB"/>
        </w:rPr>
        <w:t xml:space="preserve"> </w:t>
      </w:r>
      <w:r w:rsidR="004C77CD" w:rsidRPr="00DA249F">
        <w:rPr>
          <w:rFonts w:eastAsia="DengXian"/>
          <w:lang w:val="en-GB"/>
        </w:rPr>
        <w:t>per cent</w:t>
      </w:r>
      <w:r w:rsidR="00C77186" w:rsidRPr="00DA249F">
        <w:rPr>
          <w:rFonts w:eastAsia="DengXian"/>
          <w:lang w:val="en-GB"/>
        </w:rPr>
        <w:t xml:space="preserve"> </w:t>
      </w:r>
      <w:r w:rsidRPr="00DA249F">
        <w:rPr>
          <w:rFonts w:eastAsia="DengXian"/>
          <w:lang w:val="en-GB"/>
        </w:rPr>
        <w:t xml:space="preserve">of the world income, whereas </w:t>
      </w:r>
      <w:r w:rsidR="43A8376E" w:rsidRPr="00DA249F">
        <w:rPr>
          <w:rFonts w:eastAsia="DengXian"/>
          <w:lang w:val="en-GB"/>
        </w:rPr>
        <w:t>50</w:t>
      </w:r>
      <w:r w:rsidR="00C77186" w:rsidRPr="00DA249F">
        <w:rPr>
          <w:rFonts w:eastAsia="DengXian"/>
          <w:lang w:val="en-GB"/>
        </w:rPr>
        <w:t xml:space="preserve"> </w:t>
      </w:r>
      <w:r w:rsidR="004C77CD" w:rsidRPr="00DA249F">
        <w:rPr>
          <w:rFonts w:eastAsia="DengXian"/>
          <w:lang w:val="en-GB"/>
        </w:rPr>
        <w:t>per cent</w:t>
      </w:r>
      <w:r w:rsidR="00C77186" w:rsidRPr="00DA249F">
        <w:rPr>
          <w:rFonts w:eastAsia="DengXian"/>
          <w:lang w:val="en-GB"/>
        </w:rPr>
        <w:t xml:space="preserve"> </w:t>
      </w:r>
      <w:r w:rsidRPr="00DA249F">
        <w:rPr>
          <w:rFonts w:eastAsia="DengXian"/>
          <w:lang w:val="en-GB"/>
        </w:rPr>
        <w:t xml:space="preserve">of the global population </w:t>
      </w:r>
      <w:r w:rsidR="43A8376E" w:rsidRPr="00DA249F">
        <w:rPr>
          <w:rFonts w:eastAsia="DengXian"/>
          <w:lang w:val="en-GB"/>
        </w:rPr>
        <w:t xml:space="preserve">accounts for </w:t>
      </w:r>
      <w:r w:rsidR="7795333A" w:rsidRPr="00DA249F">
        <w:rPr>
          <w:rFonts w:eastAsia="DengXian"/>
          <w:lang w:val="en-GB"/>
        </w:rPr>
        <w:t>only 8.5</w:t>
      </w:r>
      <w:r w:rsidR="00C77186" w:rsidRPr="00DA249F">
        <w:rPr>
          <w:rFonts w:eastAsia="DengXian"/>
          <w:lang w:val="en-GB"/>
        </w:rPr>
        <w:t xml:space="preserve"> </w:t>
      </w:r>
      <w:r w:rsidR="004C77CD" w:rsidRPr="00DA249F">
        <w:rPr>
          <w:rFonts w:eastAsia="DengXian"/>
          <w:lang w:val="en-GB"/>
        </w:rPr>
        <w:t>per cent</w:t>
      </w:r>
      <w:r w:rsidR="00C77186" w:rsidRPr="00DA249F">
        <w:rPr>
          <w:rFonts w:eastAsia="DengXian"/>
          <w:lang w:val="en-GB"/>
        </w:rPr>
        <w:t xml:space="preserve"> </w:t>
      </w:r>
      <w:r w:rsidR="3A52E872" w:rsidRPr="00DA249F">
        <w:rPr>
          <w:rFonts w:eastAsia="DengXian"/>
          <w:lang w:val="en-GB"/>
        </w:rPr>
        <w:fldChar w:fldCharType="begin"/>
      </w:r>
      <w:r w:rsidR="00331A79">
        <w:rPr>
          <w:rFonts w:eastAsia="DengXian"/>
          <w:lang w:val="en-GB"/>
        </w:rPr>
        <w:instrText xml:space="preserve"> ADDIN ZOTERO_ITEM CSL_CITATION {"citationID":"BE7rpV2J","properties":{"formattedCitation":"(Chancel, et al., 2022)","plainCitation":"(Chancel, et al., 2022)","dontUpdate":true,"noteIndex":0},"citationItems":[{"id":32993,"uris":["http://zotero.org/groups/2352922/items/VWJJLEGR"],"itemData":{"id":32993,"type":"document","language":"en","source":"Zotero","title":"World Inequality Report 2022","URL":"https://wid.world/news-article/world-inequality-report-2022/","author":[{"family":"Chancel,","given":"L."},{"family":"Piketty","given":"T."},{"family":"Saez","given":"E."},{"family":"Zucman,","given":"G"}],"issued":{"date-parts":[["2022"]]}}}],"schema":"https://github.com/citation-style-language/schema/raw/master/csl-citation.json"} </w:instrText>
      </w:r>
      <w:r w:rsidR="3A52E872" w:rsidRPr="00DA249F">
        <w:rPr>
          <w:rFonts w:eastAsia="DengXian"/>
          <w:lang w:val="en-GB"/>
        </w:rPr>
        <w:fldChar w:fldCharType="separate"/>
      </w:r>
      <w:r w:rsidR="43A8376E" w:rsidRPr="00DA249F">
        <w:rPr>
          <w:lang w:val="en-GB"/>
        </w:rPr>
        <w:t>(Chancel et al., 2022)</w:t>
      </w:r>
      <w:r w:rsidR="3A52E872" w:rsidRPr="00DA249F">
        <w:rPr>
          <w:rFonts w:eastAsia="DengXian"/>
          <w:lang w:val="en-GB"/>
        </w:rPr>
        <w:fldChar w:fldCharType="end"/>
      </w:r>
      <w:r w:rsidR="43A8376E" w:rsidRPr="00DA249F">
        <w:rPr>
          <w:rFonts w:eastAsia="DengXian"/>
          <w:lang w:val="en-GB"/>
        </w:rPr>
        <w:t>.</w:t>
      </w:r>
      <w:r w:rsidR="00B01FF1" w:rsidRPr="00DA249F">
        <w:rPr>
          <w:rFonts w:eastAsia="DengXian"/>
          <w:lang w:val="en-GB"/>
        </w:rPr>
        <w:t xml:space="preserve"> </w:t>
      </w:r>
      <w:r w:rsidR="6D46E9E6" w:rsidRPr="00DA249F">
        <w:rPr>
          <w:rFonts w:eastAsia="DengXian"/>
          <w:lang w:val="en-GB"/>
        </w:rPr>
        <w:t>P</w:t>
      </w:r>
      <w:r w:rsidR="0DB4D222" w:rsidRPr="00DA249F">
        <w:rPr>
          <w:rFonts w:eastAsia="DengXian"/>
          <w:lang w:val="en-GB"/>
        </w:rPr>
        <w:t>overty and marginalization created by</w:t>
      </w:r>
      <w:r w:rsidR="0E6AF283" w:rsidRPr="00DA249F">
        <w:rPr>
          <w:rFonts w:eastAsia="DengXian"/>
          <w:lang w:val="en-GB"/>
        </w:rPr>
        <w:t xml:space="preserve"> economic </w:t>
      </w:r>
      <w:r w:rsidR="0DB4D222" w:rsidRPr="00DA249F">
        <w:rPr>
          <w:rFonts w:eastAsia="DengXian"/>
          <w:lang w:val="en-GB"/>
        </w:rPr>
        <w:t>inequality within and among countries may indirectly drive the introduction, establishment and spread of</w:t>
      </w:r>
      <w:r w:rsidR="0E6AF283" w:rsidRPr="00DA249F">
        <w:rPr>
          <w:rFonts w:eastAsia="DengXian"/>
          <w:lang w:val="en-GB"/>
        </w:rPr>
        <w:t xml:space="preserve"> </w:t>
      </w:r>
      <w:r w:rsidR="620A22AC" w:rsidRPr="00DA249F">
        <w:rPr>
          <w:rFonts w:eastAsia="DengXian"/>
          <w:lang w:val="en-GB"/>
        </w:rPr>
        <w:t xml:space="preserve">invasive alien species. </w:t>
      </w:r>
      <w:r w:rsidR="4AC5268C" w:rsidRPr="00DA249F">
        <w:rPr>
          <w:rFonts w:eastAsia="Times New Roman"/>
          <w:lang w:val="en-GB"/>
        </w:rPr>
        <w:t xml:space="preserve">For those countries with a lower level of wealth, the warning signs suggest that as the economies grow and build a larger asset base, the risk of alien species introductions might </w:t>
      </w:r>
      <w:r w:rsidR="00525323" w:rsidRPr="00DA249F">
        <w:rPr>
          <w:rFonts w:eastAsia="Times New Roman"/>
          <w:lang w:val="en-GB"/>
        </w:rPr>
        <w:t xml:space="preserve">also </w:t>
      </w:r>
      <w:r w:rsidR="4AC5268C" w:rsidRPr="00DA249F">
        <w:rPr>
          <w:rFonts w:eastAsia="Times New Roman"/>
          <w:lang w:val="en-GB"/>
        </w:rPr>
        <w:t>increase.</w:t>
      </w:r>
      <w:r w:rsidR="1DB80A32" w:rsidRPr="00DA249F">
        <w:rPr>
          <w:rFonts w:eastAsia="Times New Roman"/>
          <w:lang w:val="en-GB"/>
        </w:rPr>
        <w:t xml:space="preserve"> </w:t>
      </w:r>
      <w:r w:rsidR="4AC5268C" w:rsidRPr="00DA249F">
        <w:rPr>
          <w:rFonts w:eastAsia="Times New Roman"/>
          <w:lang w:val="en-GB"/>
        </w:rPr>
        <w:t xml:space="preserve">This risk may be </w:t>
      </w:r>
      <w:r w:rsidR="00525323" w:rsidRPr="00DA249F">
        <w:rPr>
          <w:rFonts w:eastAsia="Times New Roman"/>
          <w:lang w:val="en-GB"/>
        </w:rPr>
        <w:t xml:space="preserve">further </w:t>
      </w:r>
      <w:r w:rsidR="4AC5268C" w:rsidRPr="00DA249F">
        <w:rPr>
          <w:rFonts w:eastAsia="Times New Roman"/>
          <w:lang w:val="en-GB"/>
        </w:rPr>
        <w:t>exacerbated where the route to economic growth and poverty reduction encourages the development of economic sectors based around alien species</w:t>
      </w:r>
      <w:r w:rsidR="00525323" w:rsidRPr="00DA249F">
        <w:rPr>
          <w:rFonts w:eastAsia="Times New Roman"/>
          <w:lang w:val="en-GB"/>
        </w:rPr>
        <w:t xml:space="preserve"> </w:t>
      </w:r>
      <w:r w:rsidR="00CA0C6B" w:rsidRPr="00DA249F">
        <w:rPr>
          <w:rFonts w:eastAsia="Times New Roman"/>
          <w:lang w:val="en-GB"/>
        </w:rPr>
        <w:t>(</w:t>
      </w:r>
      <w:r w:rsidR="00306D8C" w:rsidRPr="005702F7">
        <w:rPr>
          <w:rFonts w:eastAsia="Times New Roman"/>
          <w:b/>
          <w:iCs/>
          <w:lang w:val="en-GB"/>
        </w:rPr>
        <w:t>section</w:t>
      </w:r>
      <w:r w:rsidR="009F2804" w:rsidRPr="005702F7">
        <w:rPr>
          <w:rFonts w:eastAsia="Times New Roman"/>
          <w:b/>
          <w:iCs/>
          <w:lang w:val="en-GB"/>
        </w:rPr>
        <w:t>s</w:t>
      </w:r>
      <w:r w:rsidR="00306D8C" w:rsidRPr="005702F7">
        <w:rPr>
          <w:rFonts w:eastAsia="Times New Roman"/>
          <w:b/>
          <w:iCs/>
          <w:lang w:val="en-GB"/>
        </w:rPr>
        <w:t xml:space="preserve"> </w:t>
      </w:r>
      <w:r w:rsidR="00525323" w:rsidRPr="005702F7">
        <w:rPr>
          <w:rFonts w:eastAsia="Times New Roman"/>
          <w:b/>
          <w:iCs/>
          <w:lang w:val="en-GB"/>
        </w:rPr>
        <w:t>3.2.</w:t>
      </w:r>
      <w:r w:rsidR="0087275B" w:rsidRPr="005702F7">
        <w:rPr>
          <w:rFonts w:eastAsia="Times New Roman"/>
          <w:b/>
          <w:iCs/>
          <w:lang w:val="en-GB"/>
        </w:rPr>
        <w:t>2.</w:t>
      </w:r>
      <w:r w:rsidR="00525323" w:rsidRPr="005702F7">
        <w:rPr>
          <w:rFonts w:eastAsia="Times New Roman"/>
          <w:b/>
          <w:iCs/>
          <w:lang w:val="en-GB"/>
        </w:rPr>
        <w:t>3</w:t>
      </w:r>
      <w:r w:rsidR="0087275B" w:rsidRPr="005702F7">
        <w:rPr>
          <w:rFonts w:eastAsia="Times New Roman"/>
          <w:iCs/>
          <w:lang w:val="en-GB"/>
        </w:rPr>
        <w:t>,</w:t>
      </w:r>
      <w:r w:rsidR="0087275B" w:rsidRPr="005702F7">
        <w:rPr>
          <w:rFonts w:eastAsia="Times New Roman"/>
          <w:b/>
          <w:iCs/>
          <w:lang w:val="en-GB"/>
        </w:rPr>
        <w:t xml:space="preserve"> </w:t>
      </w:r>
      <w:r w:rsidR="00FD0650" w:rsidRPr="005702F7">
        <w:rPr>
          <w:rFonts w:eastAsia="Times New Roman"/>
          <w:b/>
          <w:iCs/>
          <w:lang w:val="en-GB"/>
        </w:rPr>
        <w:t>3.2.3.6</w:t>
      </w:r>
      <w:r w:rsidR="00FD0650" w:rsidRPr="005702F7">
        <w:rPr>
          <w:rFonts w:eastAsia="Times New Roman"/>
          <w:iCs/>
          <w:lang w:val="en-GB"/>
        </w:rPr>
        <w:t>,</w:t>
      </w:r>
      <w:r w:rsidR="00FD0650" w:rsidRPr="005702F7">
        <w:rPr>
          <w:rFonts w:eastAsia="Times New Roman"/>
          <w:b/>
          <w:iCs/>
          <w:lang w:val="en-GB"/>
        </w:rPr>
        <w:t xml:space="preserve"> </w:t>
      </w:r>
      <w:r w:rsidR="00525323" w:rsidRPr="005702F7">
        <w:rPr>
          <w:rFonts w:eastAsia="Times New Roman"/>
          <w:b/>
          <w:iCs/>
          <w:lang w:val="en-GB"/>
        </w:rPr>
        <w:t>3</w:t>
      </w:r>
      <w:r w:rsidR="00D37E02" w:rsidRPr="005702F7">
        <w:rPr>
          <w:rFonts w:eastAsia="Times New Roman"/>
          <w:b/>
          <w:iCs/>
          <w:lang w:val="en-GB"/>
        </w:rPr>
        <w:t>.2.5</w:t>
      </w:r>
      <w:r w:rsidR="00332A64" w:rsidRPr="005702F7">
        <w:rPr>
          <w:rFonts w:eastAsia="Times New Roman"/>
          <w:iCs/>
          <w:lang w:val="en-GB"/>
        </w:rPr>
        <w:t>,</w:t>
      </w:r>
      <w:r w:rsidR="00332A64" w:rsidRPr="005702F7">
        <w:rPr>
          <w:rFonts w:eastAsia="Times New Roman"/>
          <w:b/>
          <w:iCs/>
          <w:lang w:val="en-GB"/>
        </w:rPr>
        <w:t xml:space="preserve"> </w:t>
      </w:r>
      <w:r w:rsidR="003B0A36" w:rsidRPr="005702F7">
        <w:rPr>
          <w:rFonts w:eastAsia="Times New Roman"/>
          <w:b/>
          <w:iCs/>
          <w:lang w:val="en-GB"/>
        </w:rPr>
        <w:t>3.3.1.1</w:t>
      </w:r>
      <w:r w:rsidR="00525323" w:rsidRPr="00DA249F">
        <w:rPr>
          <w:rFonts w:eastAsia="Times New Roman"/>
          <w:lang w:val="en-GB"/>
        </w:rPr>
        <w:t>)</w:t>
      </w:r>
      <w:r w:rsidR="4AC5268C" w:rsidRPr="00DA249F">
        <w:rPr>
          <w:rFonts w:eastAsia="Times New Roman"/>
          <w:lang w:val="en-GB"/>
        </w:rPr>
        <w:t>.</w:t>
      </w:r>
      <w:r w:rsidR="6D46E9E6" w:rsidRPr="00DA249F">
        <w:rPr>
          <w:rFonts w:eastAsia="DengXian"/>
          <w:lang w:val="en-GB"/>
        </w:rPr>
        <w:t xml:space="preserve"> For example, t</w:t>
      </w:r>
      <w:r w:rsidR="3032A230" w:rsidRPr="00DA249F">
        <w:rPr>
          <w:rFonts w:eastAsia="DengXian"/>
          <w:lang w:val="en-GB"/>
        </w:rPr>
        <w:t xml:space="preserve">he invasive </w:t>
      </w:r>
      <w:r w:rsidR="00030025" w:rsidRPr="00DA249F">
        <w:rPr>
          <w:rFonts w:eastAsia="DengXian"/>
          <w:lang w:val="en-GB"/>
        </w:rPr>
        <w:t xml:space="preserve">alien </w:t>
      </w:r>
      <w:r w:rsidR="3032A230" w:rsidRPr="00DA249F">
        <w:rPr>
          <w:rFonts w:eastAsia="DengXian"/>
          <w:lang w:val="en-GB"/>
        </w:rPr>
        <w:t>tree</w:t>
      </w:r>
      <w:r w:rsidR="49522F5C" w:rsidRPr="00DA249F">
        <w:rPr>
          <w:rFonts w:eastAsia="DengXian"/>
          <w:lang w:val="en-GB"/>
        </w:rPr>
        <w:t xml:space="preserve"> </w:t>
      </w:r>
      <w:r w:rsidR="49522F5C" w:rsidRPr="00DA249F">
        <w:rPr>
          <w:rFonts w:eastAsia="DengXian"/>
          <w:i/>
          <w:iCs/>
          <w:lang w:val="en-GB"/>
        </w:rPr>
        <w:t>Prosopis juliflora</w:t>
      </w:r>
      <w:r w:rsidR="49522F5C" w:rsidRPr="00DA249F">
        <w:rPr>
          <w:rFonts w:eastAsia="DengXian"/>
          <w:lang w:val="en-GB"/>
        </w:rPr>
        <w:t xml:space="preserve"> </w:t>
      </w:r>
      <w:r w:rsidR="006208C8" w:rsidRPr="00DA249F">
        <w:rPr>
          <w:rFonts w:eastAsia="DengXian"/>
          <w:lang w:val="en-GB"/>
        </w:rPr>
        <w:t xml:space="preserve">(mesquite) </w:t>
      </w:r>
      <w:r w:rsidR="70628349" w:rsidRPr="00DA249F">
        <w:rPr>
          <w:rFonts w:eastAsia="DengXian"/>
          <w:lang w:val="en-GB"/>
        </w:rPr>
        <w:t xml:space="preserve">was </w:t>
      </w:r>
      <w:r w:rsidR="002F73DC" w:rsidRPr="00DA249F">
        <w:rPr>
          <w:rFonts w:eastAsia="DengXian"/>
          <w:lang w:val="en-GB"/>
        </w:rPr>
        <w:t>intentionally</w:t>
      </w:r>
      <w:r w:rsidR="00306D8C" w:rsidRPr="00DA249F">
        <w:rPr>
          <w:rFonts w:eastAsia="DengXian"/>
          <w:lang w:val="en-GB"/>
        </w:rPr>
        <w:t xml:space="preserve"> </w:t>
      </w:r>
      <w:r w:rsidR="70628349" w:rsidRPr="00DA249F">
        <w:rPr>
          <w:rFonts w:eastAsia="DengXian"/>
          <w:lang w:val="en-GB"/>
        </w:rPr>
        <w:t>introduced in many</w:t>
      </w:r>
      <w:r w:rsidR="7CF118BE" w:rsidRPr="00DA249F">
        <w:rPr>
          <w:rFonts w:eastAsia="DengXian"/>
          <w:lang w:val="en-GB"/>
        </w:rPr>
        <w:t xml:space="preserve"> </w:t>
      </w:r>
      <w:r w:rsidR="0076534A" w:rsidRPr="00DA249F">
        <w:rPr>
          <w:rFonts w:eastAsia="DengXian"/>
          <w:lang w:val="en-GB"/>
        </w:rPr>
        <w:t xml:space="preserve">eastern Africa </w:t>
      </w:r>
      <w:r w:rsidR="3935D619" w:rsidRPr="00DA249F">
        <w:rPr>
          <w:rFonts w:eastAsia="DengXian"/>
          <w:lang w:val="en-GB"/>
        </w:rPr>
        <w:t xml:space="preserve">countries </w:t>
      </w:r>
      <w:r w:rsidR="38EA6624" w:rsidRPr="00DA249F">
        <w:rPr>
          <w:rFonts w:eastAsia="DengXian"/>
          <w:lang w:val="en-GB"/>
        </w:rPr>
        <w:t>to improve</w:t>
      </w:r>
      <w:r w:rsidR="1CA86715" w:rsidRPr="00DA249F">
        <w:rPr>
          <w:rFonts w:eastAsia="DengXian"/>
          <w:lang w:val="en-GB"/>
        </w:rPr>
        <w:t xml:space="preserve"> the livelihood of </w:t>
      </w:r>
      <w:r w:rsidR="0F91FBE0" w:rsidRPr="00DA249F">
        <w:rPr>
          <w:rFonts w:eastAsia="DengXian"/>
          <w:lang w:val="en-GB"/>
        </w:rPr>
        <w:t xml:space="preserve">communities </w:t>
      </w:r>
      <w:r w:rsidR="5D47C7F1" w:rsidRPr="00DA249F">
        <w:rPr>
          <w:rFonts w:eastAsia="DengXian"/>
          <w:lang w:val="en-GB"/>
        </w:rPr>
        <w:t xml:space="preserve">with very low income </w:t>
      </w:r>
      <w:r w:rsidR="2B7A6747" w:rsidRPr="00DA249F">
        <w:rPr>
          <w:rFonts w:eastAsia="DengXian"/>
          <w:lang w:val="en-GB"/>
        </w:rPr>
        <w:t xml:space="preserve">subjected to malnutrition and </w:t>
      </w:r>
      <w:r w:rsidR="6F3454ED" w:rsidRPr="00DA249F">
        <w:rPr>
          <w:rFonts w:eastAsia="DengXian"/>
          <w:lang w:val="en-GB"/>
        </w:rPr>
        <w:t>food shortages</w:t>
      </w:r>
      <w:r w:rsidR="49D345DE" w:rsidRPr="00DA249F">
        <w:rPr>
          <w:rFonts w:eastAsia="DengXian"/>
          <w:lang w:val="en-GB"/>
        </w:rPr>
        <w:t>,</w:t>
      </w:r>
      <w:r w:rsidR="0B840CFE" w:rsidRPr="00DA249F">
        <w:rPr>
          <w:rFonts w:eastAsia="DengXian"/>
          <w:lang w:val="en-GB"/>
        </w:rPr>
        <w:t xml:space="preserve"> </w:t>
      </w:r>
      <w:r w:rsidR="00F8CE1D" w:rsidRPr="00DA249F">
        <w:rPr>
          <w:rFonts w:eastAsia="DengXian"/>
          <w:lang w:val="en-GB"/>
        </w:rPr>
        <w:t xml:space="preserve">as </w:t>
      </w:r>
      <w:r w:rsidR="1077195E" w:rsidRPr="00DA249F">
        <w:rPr>
          <w:rFonts w:eastAsia="DengXian"/>
          <w:lang w:val="en-GB"/>
        </w:rPr>
        <w:t>it</w:t>
      </w:r>
      <w:r w:rsidR="14507E5A" w:rsidRPr="00DA249F">
        <w:rPr>
          <w:rFonts w:eastAsia="DengXian"/>
          <w:lang w:val="en-GB"/>
        </w:rPr>
        <w:t xml:space="preserve"> </w:t>
      </w:r>
      <w:r w:rsidR="3502B6B9" w:rsidRPr="00DA249F">
        <w:rPr>
          <w:rFonts w:eastAsia="DengXian"/>
          <w:lang w:val="en-GB"/>
        </w:rPr>
        <w:t>may be a</w:t>
      </w:r>
      <w:r w:rsidR="05061E4A" w:rsidRPr="00DA249F">
        <w:rPr>
          <w:rFonts w:eastAsia="DengXian"/>
          <w:lang w:val="en-GB"/>
        </w:rPr>
        <w:t xml:space="preserve"> </w:t>
      </w:r>
      <w:r w:rsidR="14708495" w:rsidRPr="00DA249F">
        <w:rPr>
          <w:rFonts w:eastAsia="DengXian"/>
          <w:lang w:val="en-GB"/>
        </w:rPr>
        <w:t>reliable</w:t>
      </w:r>
      <w:r w:rsidR="05061E4A" w:rsidRPr="00DA249F">
        <w:rPr>
          <w:rFonts w:eastAsia="DengXian"/>
          <w:lang w:val="en-GB"/>
        </w:rPr>
        <w:t xml:space="preserve"> source of </w:t>
      </w:r>
      <w:r w:rsidR="19A9C09B" w:rsidRPr="00DA249F">
        <w:rPr>
          <w:rFonts w:eastAsia="DengXian"/>
          <w:lang w:val="en-GB"/>
        </w:rPr>
        <w:t>firewood</w:t>
      </w:r>
      <w:r w:rsidR="7EA80A37" w:rsidRPr="00DA249F">
        <w:rPr>
          <w:rFonts w:eastAsia="DengXian"/>
          <w:lang w:val="en-GB"/>
        </w:rPr>
        <w:t xml:space="preserve"> and animal fodder</w:t>
      </w:r>
      <w:r w:rsidR="3502B6B9" w:rsidRPr="00DA249F">
        <w:rPr>
          <w:rFonts w:eastAsia="DengXian"/>
          <w:lang w:val="en-GB"/>
        </w:rPr>
        <w:t xml:space="preserve"> in arid regions</w:t>
      </w:r>
      <w:r w:rsidR="406F27F2" w:rsidRPr="00DA249F">
        <w:rPr>
          <w:rFonts w:eastAsia="DengXian"/>
          <w:lang w:val="en-GB"/>
        </w:rPr>
        <w:t xml:space="preserve"> </w:t>
      </w:r>
      <w:r w:rsidR="3A52E872" w:rsidRPr="00DA249F">
        <w:rPr>
          <w:rFonts w:eastAsia="DengXian"/>
          <w:lang w:val="en-GB"/>
        </w:rPr>
        <w:fldChar w:fldCharType="begin"/>
      </w:r>
      <w:r w:rsidR="00331A79">
        <w:rPr>
          <w:rFonts w:eastAsia="DengXian"/>
          <w:lang w:val="en-GB"/>
        </w:rPr>
        <w:instrText xml:space="preserve"> ADDIN ZOTERO_ITEM CSL_CITATION {"citationID":"p6ygRv32","properties":{"formattedCitation":"(Pasiecznik et al., 2007)","plainCitation":"(Pasiecznik et al., 2007)","dontUpdate":true,"noteIndex":0},"citationItems":[{"id":32994,"uris":["http://zotero.org/groups/2352922/items/HQI6JMZW"],"itemData":{"id":32994,"type":"paper-conference","container-title":"5th International Symposium on New Crops and Uses: Their Role in a Rapidly Changing World","page":"326-46","title":"Underutilised crops for famine and poverty alleviation: a case study on the potential of the multipurpose &lt;i&gt;Prosopis&lt;/i&gt; tree","URL":"https://eprints.soton.ac.uk/74294/1/New.pdf#page=329","author":[{"family":"Pasiecznik","given":"N. M."},{"family":"Choge","given":"S. K."},{"family":"Rosenfeld","given":"A. B."},{"family":"Harris","given":"P. J. C."}],"issued":{"date-parts":[["2007"]]}}}],"schema":"https://github.com/citation-style-language/schema/raw/master/csl-citation.json"} </w:instrText>
      </w:r>
      <w:r w:rsidR="3A52E872" w:rsidRPr="00DA249F">
        <w:rPr>
          <w:rFonts w:eastAsia="DengXian"/>
          <w:lang w:val="en-GB"/>
        </w:rPr>
        <w:fldChar w:fldCharType="separate"/>
      </w:r>
      <w:r w:rsidR="0F95ADBE" w:rsidRPr="00DA249F">
        <w:rPr>
          <w:lang w:val="en-GB"/>
        </w:rPr>
        <w:t>(Pasiecznik et al., 2007</w:t>
      </w:r>
      <w:r w:rsidR="3A52E872" w:rsidRPr="00DA249F">
        <w:rPr>
          <w:rFonts w:eastAsia="DengXian"/>
          <w:lang w:val="en-GB"/>
        </w:rPr>
        <w:fldChar w:fldCharType="end"/>
      </w:r>
      <w:r w:rsidR="00C77186" w:rsidRPr="00DA249F">
        <w:rPr>
          <w:rFonts w:eastAsia="DengXian"/>
          <w:lang w:val="en-GB"/>
        </w:rPr>
        <w:t>;</w:t>
      </w:r>
      <w:r w:rsidR="00C77186" w:rsidRPr="005702F7">
        <w:rPr>
          <w:rFonts w:eastAsia="DengXian"/>
          <w:b/>
          <w:lang w:val="en-GB"/>
        </w:rPr>
        <w:t xml:space="preserve"> </w:t>
      </w:r>
      <w:r w:rsidR="001C776A" w:rsidRPr="005702F7">
        <w:rPr>
          <w:rFonts w:eastAsia="DengXian"/>
          <w:b/>
          <w:iCs/>
          <w:lang w:val="en-GB"/>
        </w:rPr>
        <w:t>section 3.2.5</w:t>
      </w:r>
      <w:r w:rsidR="007472D5" w:rsidRPr="005702F7">
        <w:rPr>
          <w:rFonts w:eastAsia="DengXian"/>
          <w:iCs/>
          <w:lang w:val="en-GB"/>
        </w:rPr>
        <w:t>,</w:t>
      </w:r>
      <w:r w:rsidR="007472D5" w:rsidRPr="005702F7">
        <w:rPr>
          <w:rFonts w:eastAsia="DengXian"/>
          <w:b/>
          <w:iCs/>
          <w:lang w:val="en-GB"/>
        </w:rPr>
        <w:t xml:space="preserve"> </w:t>
      </w:r>
      <w:r w:rsidR="00C77186" w:rsidRPr="005702F7">
        <w:rPr>
          <w:rFonts w:eastAsia="DengXian"/>
          <w:b/>
          <w:iCs/>
          <w:lang w:val="en-GB"/>
        </w:rPr>
        <w:fldChar w:fldCharType="begin"/>
      </w:r>
      <w:r w:rsidR="00C77186" w:rsidRPr="005702F7">
        <w:rPr>
          <w:rFonts w:eastAsia="DengXian"/>
          <w:b/>
          <w:iCs/>
          <w:lang w:val="en-GB"/>
        </w:rPr>
        <w:instrText xml:space="preserve"> REF _Ref118993432 \h </w:instrText>
      </w:r>
      <w:r w:rsidR="00306D8C" w:rsidRPr="005702F7">
        <w:rPr>
          <w:rFonts w:eastAsia="DengXian"/>
          <w:b/>
          <w:iCs/>
          <w:lang w:val="en-GB"/>
        </w:rPr>
        <w:instrText xml:space="preserve"> \* MERGEFORMAT </w:instrText>
      </w:r>
      <w:r w:rsidR="00C77186" w:rsidRPr="005702F7">
        <w:rPr>
          <w:rFonts w:eastAsia="DengXian"/>
          <w:b/>
          <w:iCs/>
          <w:lang w:val="en-GB"/>
        </w:rPr>
      </w:r>
      <w:r w:rsidR="00C77186" w:rsidRPr="005702F7">
        <w:rPr>
          <w:rFonts w:eastAsia="DengXian"/>
          <w:b/>
          <w:iCs/>
          <w:lang w:val="en-GB"/>
        </w:rPr>
        <w:fldChar w:fldCharType="separate"/>
      </w:r>
      <w:r w:rsidR="00287BC7" w:rsidRPr="00287BC7">
        <w:rPr>
          <w:b/>
          <w:iCs/>
          <w:lang w:val="en-GB"/>
        </w:rPr>
        <w:t>Box 3.6</w:t>
      </w:r>
      <w:r w:rsidR="00C77186" w:rsidRPr="005702F7">
        <w:rPr>
          <w:rFonts w:eastAsia="DengXian"/>
          <w:b/>
          <w:iCs/>
          <w:lang w:val="en-GB"/>
        </w:rPr>
        <w:fldChar w:fldCharType="end"/>
      </w:r>
      <w:r w:rsidR="00C77186" w:rsidRPr="00DA249F">
        <w:rPr>
          <w:rFonts w:eastAsia="DengXian"/>
          <w:lang w:val="en-GB"/>
        </w:rPr>
        <w:t>)</w:t>
      </w:r>
      <w:r w:rsidR="4C663CEC" w:rsidRPr="00DA249F">
        <w:rPr>
          <w:rFonts w:eastAsia="DengXian"/>
          <w:lang w:val="en-GB"/>
        </w:rPr>
        <w:t>; however,</w:t>
      </w:r>
      <w:r w:rsidR="7D8A22F4" w:rsidRPr="00DA249F">
        <w:rPr>
          <w:rFonts w:eastAsia="DengXian"/>
          <w:lang w:val="en-GB"/>
        </w:rPr>
        <w:t xml:space="preserve"> </w:t>
      </w:r>
      <w:r w:rsidR="1077195E" w:rsidRPr="00DA249F">
        <w:rPr>
          <w:rFonts w:eastAsia="DengXian"/>
          <w:lang w:val="en-GB"/>
        </w:rPr>
        <w:t xml:space="preserve">the species </w:t>
      </w:r>
      <w:r w:rsidR="31C833DC" w:rsidRPr="00DA249F">
        <w:rPr>
          <w:rFonts w:eastAsia="DengXian"/>
          <w:lang w:val="en-GB"/>
        </w:rPr>
        <w:t xml:space="preserve">have </w:t>
      </w:r>
      <w:r w:rsidR="1077195E" w:rsidRPr="00DA249F">
        <w:rPr>
          <w:rFonts w:eastAsia="DengXian"/>
          <w:lang w:val="en-GB"/>
        </w:rPr>
        <w:t>bec</w:t>
      </w:r>
      <w:r w:rsidR="31C833DC" w:rsidRPr="00DA249F">
        <w:rPr>
          <w:rFonts w:eastAsia="DengXian"/>
          <w:lang w:val="en-GB"/>
        </w:rPr>
        <w:t>o</w:t>
      </w:r>
      <w:r w:rsidR="1077195E" w:rsidRPr="00DA249F">
        <w:rPr>
          <w:rFonts w:eastAsia="DengXian"/>
          <w:lang w:val="en-GB"/>
        </w:rPr>
        <w:t xml:space="preserve">me </w:t>
      </w:r>
      <w:r w:rsidR="7337064D" w:rsidRPr="00DA249F">
        <w:rPr>
          <w:rFonts w:eastAsia="DengXian"/>
          <w:lang w:val="en-GB"/>
        </w:rPr>
        <w:t>highly dominant</w:t>
      </w:r>
      <w:r w:rsidR="0F730A24" w:rsidRPr="00DA249F">
        <w:rPr>
          <w:rFonts w:eastAsia="DengXian"/>
          <w:lang w:val="en-GB"/>
        </w:rPr>
        <w:t xml:space="preserve"> in m</w:t>
      </w:r>
      <w:r w:rsidR="3ECDC645" w:rsidRPr="00DA249F">
        <w:rPr>
          <w:rFonts w:eastAsia="DengXian"/>
          <w:lang w:val="en-GB"/>
        </w:rPr>
        <w:t>any regions</w:t>
      </w:r>
      <w:r w:rsidR="575F67A5" w:rsidRPr="00DA249F">
        <w:rPr>
          <w:rFonts w:eastAsia="DengXian"/>
          <w:lang w:val="en-GB"/>
        </w:rPr>
        <w:t>, thus</w:t>
      </w:r>
      <w:r w:rsidR="6D6E61C7" w:rsidRPr="00DA249F">
        <w:rPr>
          <w:rFonts w:eastAsia="DengXian"/>
          <w:lang w:val="en-GB"/>
        </w:rPr>
        <w:t xml:space="preserve"> decre</w:t>
      </w:r>
      <w:r w:rsidR="5F142882" w:rsidRPr="00DA249F">
        <w:rPr>
          <w:rFonts w:eastAsia="DengXian"/>
          <w:lang w:val="en-GB"/>
        </w:rPr>
        <w:t>asing biodiversity and</w:t>
      </w:r>
      <w:r w:rsidR="575F67A5" w:rsidRPr="00DA249F">
        <w:rPr>
          <w:rFonts w:eastAsia="DengXian"/>
          <w:lang w:val="en-GB"/>
        </w:rPr>
        <w:t xml:space="preserve"> </w:t>
      </w:r>
      <w:r w:rsidR="550CA111" w:rsidRPr="00DA249F">
        <w:rPr>
          <w:rFonts w:eastAsia="DengXian"/>
          <w:lang w:val="en-GB"/>
        </w:rPr>
        <w:t xml:space="preserve">threatening </w:t>
      </w:r>
      <w:r w:rsidR="004162D0" w:rsidRPr="00DA249F">
        <w:rPr>
          <w:rFonts w:eastAsia="DengXian"/>
          <w:lang w:val="en-GB"/>
        </w:rPr>
        <w:t xml:space="preserve">the </w:t>
      </w:r>
      <w:r w:rsidR="550CA111" w:rsidRPr="00DA249F">
        <w:rPr>
          <w:rFonts w:eastAsia="DengXian"/>
          <w:lang w:val="en-GB"/>
        </w:rPr>
        <w:t xml:space="preserve">water supply </w:t>
      </w:r>
      <w:r w:rsidR="001F4F27" w:rsidRPr="00DA249F">
        <w:rPr>
          <w:rFonts w:eastAsia="DengXian"/>
          <w:lang w:val="en-GB"/>
        </w:rPr>
        <w:fldChar w:fldCharType="begin"/>
      </w:r>
      <w:r w:rsidR="00331A79">
        <w:rPr>
          <w:rFonts w:eastAsia="DengXian"/>
          <w:lang w:val="en-GB"/>
        </w:rPr>
        <w:instrText xml:space="preserve"> ADDIN ZOTERO_ITEM CSL_CITATION {"citationID":"DsYWjOXK","properties":{"formattedCitation":"(Pasiecznik et al., 2007)","plainCitation":"(Pasiecznik et al., 2007)","dontUpdate":true,"noteIndex":0},"citationItems":[{"id":32994,"uris":["http://zotero.org/groups/2352922/items/HQI6JMZW"],"itemData":{"id":32994,"type":"paper-conference","container-title":"5th International Symposium on New Crops and Uses: Their Role in a Rapidly Changing World","page":"326-46","title":"Underutilised crops for famine and poverty alleviation: a case study on the potential of the multipurpose &lt;i&gt;Prosopis&lt;/i&gt; tree","URL":"https://eprints.soton.ac.uk/74294/1/New.pdf#page=329","author":[{"family":"Pasiecznik","given":"N. M."},{"family":"Choge","given":"S. K."},{"family":"Rosenfeld","given":"A. B."},{"family":"Harris","given":"P. J. C."}],"issued":{"date-parts":[["2007"]]}},"label":"page"}],"schema":"https://github.com/citation-style-language/schema/raw/master/csl-citation.json"} </w:instrText>
      </w:r>
      <w:r w:rsidR="001F4F27" w:rsidRPr="00DA249F">
        <w:rPr>
          <w:rFonts w:eastAsia="DengXian"/>
          <w:lang w:val="en-GB"/>
        </w:rPr>
        <w:fldChar w:fldCharType="separate"/>
      </w:r>
      <w:r w:rsidR="001F4F27" w:rsidRPr="00DA249F">
        <w:rPr>
          <w:lang w:val="en-GB"/>
        </w:rPr>
        <w:t>(Pasiecznik et al., 2007</w:t>
      </w:r>
      <w:r w:rsidR="001F4F27" w:rsidRPr="00DA249F">
        <w:rPr>
          <w:rFonts w:eastAsia="DengXian"/>
          <w:lang w:val="en-GB"/>
        </w:rPr>
        <w:fldChar w:fldCharType="end"/>
      </w:r>
      <w:r w:rsidR="001F4F27" w:rsidRPr="00DA249F">
        <w:rPr>
          <w:rFonts w:eastAsia="DengXian"/>
          <w:lang w:val="en-GB"/>
        </w:rPr>
        <w:t xml:space="preserve">; </w:t>
      </w:r>
      <w:r w:rsidR="00D40E57">
        <w:rPr>
          <w:rFonts w:eastAsia="DengXian"/>
          <w:b/>
          <w:iCs/>
          <w:lang w:val="en-GB"/>
        </w:rPr>
        <w:t>C</w:t>
      </w:r>
      <w:r w:rsidR="001F4F27" w:rsidRPr="005702F7">
        <w:rPr>
          <w:rFonts w:eastAsia="DengXian"/>
          <w:b/>
          <w:iCs/>
          <w:lang w:val="en-GB"/>
        </w:rPr>
        <w:t>hapter 4</w:t>
      </w:r>
      <w:r w:rsidR="001F4F27" w:rsidRPr="005702F7">
        <w:rPr>
          <w:rFonts w:eastAsia="DengXian"/>
          <w:iCs/>
          <w:lang w:val="en-GB"/>
        </w:rPr>
        <w:t>,</w:t>
      </w:r>
      <w:r w:rsidR="001F4F27" w:rsidRPr="005702F7">
        <w:rPr>
          <w:rFonts w:eastAsia="DengXian"/>
          <w:b/>
          <w:iCs/>
          <w:lang w:val="en-GB"/>
        </w:rPr>
        <w:t xml:space="preserve"> </w:t>
      </w:r>
      <w:r w:rsidR="002B5AFC">
        <w:rPr>
          <w:rFonts w:eastAsia="DengXian"/>
          <w:b/>
          <w:iCs/>
          <w:lang w:val="en-GB"/>
        </w:rPr>
        <w:t>b</w:t>
      </w:r>
      <w:r w:rsidR="002B5AFC" w:rsidRPr="005702F7">
        <w:rPr>
          <w:rFonts w:eastAsia="DengXian"/>
          <w:b/>
          <w:iCs/>
          <w:lang w:val="en-GB"/>
        </w:rPr>
        <w:t xml:space="preserve">oxes </w:t>
      </w:r>
      <w:r w:rsidR="001F4F27" w:rsidRPr="005702F7">
        <w:rPr>
          <w:rFonts w:eastAsia="DengXian"/>
          <w:b/>
          <w:iCs/>
          <w:lang w:val="en-GB"/>
        </w:rPr>
        <w:t xml:space="preserve">4.8 </w:t>
      </w:r>
      <w:r w:rsidR="001F4F27" w:rsidRPr="005702F7">
        <w:rPr>
          <w:rFonts w:eastAsia="DengXian"/>
          <w:lang w:val="en-GB"/>
        </w:rPr>
        <w:t>and</w:t>
      </w:r>
      <w:r w:rsidR="001F4F27" w:rsidRPr="005702F7">
        <w:rPr>
          <w:rFonts w:eastAsia="DengXian"/>
          <w:b/>
          <w:iCs/>
          <w:lang w:val="en-GB"/>
        </w:rPr>
        <w:t xml:space="preserve"> 4.9</w:t>
      </w:r>
      <w:r w:rsidR="001F4F27" w:rsidRPr="00DA249F">
        <w:rPr>
          <w:rFonts w:eastAsia="DengXian"/>
          <w:lang w:val="en-GB"/>
        </w:rPr>
        <w:t>)</w:t>
      </w:r>
      <w:r w:rsidR="179D9BEC" w:rsidRPr="00DA249F">
        <w:rPr>
          <w:rFonts w:eastAsia="DengXian"/>
          <w:lang w:val="en-GB"/>
        </w:rPr>
        <w:t xml:space="preserve">. </w:t>
      </w:r>
      <w:r w:rsidR="620A22AC" w:rsidRPr="00DA249F">
        <w:rPr>
          <w:rFonts w:eastAsia="DengXian"/>
          <w:lang w:val="en-GB"/>
        </w:rPr>
        <w:t>Invasive alien species are</w:t>
      </w:r>
      <w:r w:rsidR="179D9BEC" w:rsidRPr="00DA249F">
        <w:rPr>
          <w:rFonts w:eastAsia="DengXian"/>
          <w:lang w:val="en-GB"/>
        </w:rPr>
        <w:t xml:space="preserve"> also</w:t>
      </w:r>
      <w:r w:rsidR="620A22AC" w:rsidRPr="00DA249F">
        <w:rPr>
          <w:rFonts w:eastAsia="DengXian"/>
          <w:lang w:val="en-GB"/>
        </w:rPr>
        <w:t xml:space="preserve"> important for the subsistence and </w:t>
      </w:r>
      <w:r w:rsidR="620A22AC" w:rsidRPr="00DA249F">
        <w:rPr>
          <w:rFonts w:eastAsia="DengXian"/>
          <w:lang w:val="en-GB"/>
        </w:rPr>
        <w:lastRenderedPageBreak/>
        <w:t>income of certain low</w:t>
      </w:r>
      <w:r w:rsidR="5E23BE0D" w:rsidRPr="00DA249F">
        <w:rPr>
          <w:rFonts w:eastAsia="DengXian"/>
          <w:lang w:val="en-GB"/>
        </w:rPr>
        <w:t xml:space="preserve"> </w:t>
      </w:r>
      <w:r w:rsidR="620A22AC" w:rsidRPr="00DA249F">
        <w:rPr>
          <w:rFonts w:eastAsia="DengXian"/>
          <w:lang w:val="en-GB"/>
        </w:rPr>
        <w:t>income communities in South Africa, including the</w:t>
      </w:r>
      <w:r w:rsidR="118D44A8" w:rsidRPr="00DA249F">
        <w:rPr>
          <w:rFonts w:eastAsia="DengXian"/>
          <w:lang w:val="en-GB"/>
        </w:rPr>
        <w:t xml:space="preserve"> invasive cactus </w:t>
      </w:r>
      <w:r w:rsidR="118D44A8" w:rsidRPr="00DA249F">
        <w:rPr>
          <w:rFonts w:eastAsia="Times New Roman"/>
          <w:i/>
          <w:iCs/>
          <w:lang w:val="en-GB"/>
        </w:rPr>
        <w:t>Opuntia ficus-indica</w:t>
      </w:r>
      <w:r w:rsidR="118D44A8" w:rsidRPr="00DA249F">
        <w:rPr>
          <w:rFonts w:eastAsia="Times New Roman"/>
          <w:lang w:val="en-GB"/>
        </w:rPr>
        <w:t xml:space="preserve"> </w:t>
      </w:r>
      <w:r w:rsidR="00FA0C71" w:rsidRPr="00DA249F">
        <w:rPr>
          <w:rFonts w:eastAsia="DengXian"/>
          <w:lang w:val="en-GB"/>
        </w:rPr>
        <w:t>(prickly</w:t>
      </w:r>
      <w:r w:rsidR="00C33DF8" w:rsidRPr="00DA249F">
        <w:rPr>
          <w:rFonts w:eastAsia="DengXian"/>
          <w:lang w:val="en-GB"/>
        </w:rPr>
        <w:t xml:space="preserve"> </w:t>
      </w:r>
      <w:r w:rsidR="00FA0C71" w:rsidRPr="00DA249F">
        <w:rPr>
          <w:rFonts w:eastAsia="DengXian"/>
          <w:lang w:val="en-GB"/>
        </w:rPr>
        <w:t>pear)</w:t>
      </w:r>
      <w:r w:rsidR="009841B8" w:rsidRPr="00DA249F">
        <w:rPr>
          <w:rFonts w:eastAsia="DengXian"/>
          <w:lang w:val="en-GB"/>
        </w:rPr>
        <w:t xml:space="preserve"> </w:t>
      </w:r>
      <w:r w:rsidR="118D44A8" w:rsidRPr="00DA249F">
        <w:rPr>
          <w:rFonts w:eastAsia="Times New Roman"/>
          <w:lang w:val="en-GB"/>
        </w:rPr>
        <w:t>in the Eastern Cape Province and multiple</w:t>
      </w:r>
      <w:r w:rsidR="00302628">
        <w:rPr>
          <w:rFonts w:eastAsia="Times New Roman"/>
          <w:lang w:val="en-GB"/>
        </w:rPr>
        <w:t xml:space="preserve"> alien</w:t>
      </w:r>
      <w:r w:rsidR="118D44A8" w:rsidRPr="00DA249F">
        <w:rPr>
          <w:rFonts w:eastAsia="Times New Roman"/>
          <w:lang w:val="en-GB"/>
        </w:rPr>
        <w:t xml:space="preserve"> species cultivated in urban gardens in the Limpopo province</w:t>
      </w:r>
      <w:r w:rsidR="006336FC" w:rsidRPr="00DA249F">
        <w:rPr>
          <w:rFonts w:eastAsia="Times New Roman"/>
          <w:lang w:val="en-GB"/>
        </w:rPr>
        <w:t xml:space="preserve"> (e.g., the invasive tree </w:t>
      </w:r>
      <w:r w:rsidR="006336FC" w:rsidRPr="00DA249F">
        <w:rPr>
          <w:rFonts w:eastAsia="Times New Roman"/>
          <w:i/>
          <w:lang w:val="en-GB"/>
        </w:rPr>
        <w:t>Schinus terebinthifolius</w:t>
      </w:r>
      <w:r w:rsidR="006336FC" w:rsidRPr="00DA249F">
        <w:rPr>
          <w:rFonts w:eastAsia="Times New Roman"/>
          <w:lang w:val="en-GB"/>
        </w:rPr>
        <w:t xml:space="preserve"> (Brazilian pepper tree)</w:t>
      </w:r>
      <w:r w:rsidR="003A099B" w:rsidRPr="00DA249F">
        <w:rPr>
          <w:rFonts w:eastAsia="Times New Roman"/>
          <w:lang w:val="en-GB"/>
        </w:rPr>
        <w:t>)</w:t>
      </w:r>
      <w:r w:rsidR="00523581">
        <w:rPr>
          <w:rFonts w:eastAsia="Times New Roman"/>
          <w:lang w:val="en-GB"/>
        </w:rPr>
        <w:t>. In many cases,</w:t>
      </w:r>
      <w:r w:rsidR="118D44A8" w:rsidRPr="00DA249F">
        <w:rPr>
          <w:rFonts w:eastAsia="Times New Roman"/>
          <w:lang w:val="en-GB"/>
        </w:rPr>
        <w:t xml:space="preserve"> </w:t>
      </w:r>
      <w:r w:rsidR="009E2E09">
        <w:rPr>
          <w:rFonts w:eastAsia="Times New Roman"/>
          <w:lang w:val="en-GB"/>
        </w:rPr>
        <w:t>it is not clear how the</w:t>
      </w:r>
      <w:r w:rsidR="00523581">
        <w:rPr>
          <w:rFonts w:eastAsia="Times New Roman"/>
          <w:lang w:val="en-GB"/>
        </w:rPr>
        <w:t xml:space="preserve"> cultivation of these </w:t>
      </w:r>
      <w:r w:rsidR="009E2E09">
        <w:rPr>
          <w:rFonts w:eastAsia="Times New Roman"/>
          <w:lang w:val="en-GB"/>
        </w:rPr>
        <w:t xml:space="preserve">invasive alien </w:t>
      </w:r>
      <w:r w:rsidR="00523581">
        <w:rPr>
          <w:rFonts w:eastAsia="Times New Roman"/>
          <w:lang w:val="en-GB"/>
        </w:rPr>
        <w:t xml:space="preserve">species </w:t>
      </w:r>
      <w:r w:rsidR="009E2E09">
        <w:rPr>
          <w:rFonts w:eastAsia="Times New Roman"/>
          <w:lang w:val="en-GB"/>
        </w:rPr>
        <w:t xml:space="preserve">has contributed </w:t>
      </w:r>
      <w:r w:rsidR="118D44A8" w:rsidRPr="00DA249F">
        <w:rPr>
          <w:rFonts w:eastAsia="Times New Roman"/>
          <w:lang w:val="en-GB"/>
        </w:rPr>
        <w:t xml:space="preserve">to </w:t>
      </w:r>
      <w:r w:rsidR="68D5FEF0" w:rsidRPr="00DA249F">
        <w:rPr>
          <w:rFonts w:eastAsia="Times New Roman"/>
          <w:lang w:val="en-GB"/>
        </w:rPr>
        <w:t>their spread</w:t>
      </w:r>
      <w:r w:rsidR="009E2E09">
        <w:rPr>
          <w:rFonts w:eastAsia="Times New Roman"/>
          <w:lang w:val="en-AU"/>
        </w:rPr>
        <w:t xml:space="preserve"> </w:t>
      </w:r>
      <w:r w:rsidR="3A52E872" w:rsidRPr="00DA249F">
        <w:rPr>
          <w:rFonts w:eastAsia="Times New Roman"/>
          <w:color w:val="000000" w:themeColor="text1"/>
          <w:lang w:val="en-GB"/>
        </w:rPr>
        <w:fldChar w:fldCharType="begin"/>
      </w:r>
      <w:r w:rsidR="00F5121E">
        <w:rPr>
          <w:rFonts w:eastAsia="Times New Roman"/>
          <w:color w:val="000000" w:themeColor="text1"/>
          <w:lang w:val="en-GB"/>
        </w:rPr>
        <w:instrText xml:space="preserve"> ADDIN ZOTERO_ITEM CSL_CITATION {"citationID":"kmXtn8eu","properties":{"formattedCitation":"(Mdweshu &amp; Maroyi, 2020; Mosina et al., 2015)","plainCitation":"(Mdweshu &amp; Maroyi, 2020; Mosina et al., 2015)","noteIndex":0},"citationItems":[{"id":32996,"uris":["http://zotero.org/groups/2352922/items/XPP476Z9"],"itemData":{"id":32996,"type":"article-journal","abstract":"Abstract. Mdweshu L, Maroyi A. 2020. Short Communication: Local perceptions about utilization of invasive alien species Opuntia ficus-indica in three Local Municipalities in the Eastern Cape Province, South Africa. Biodiversitas 21: 1653-1659. &amp;nbsp;Opuntia ficus-indica is a succulent plant species categorized as invasive in South Africa but has both commercial and non-market uses. This study evaluated local people’s perceptions about utilization of O. ficus-indica in three local Municipalities in the Eastern Cape province of South Africa. Data on the local perceptions on O. ficus-indica in the study area were documented through focus group discussions and semi-structured interviews via questionnaires with households between June 2018 and August 2019. A sample of 150 participants chosen using snowball-sampling method provided information on utilization of O. ficus-indica. The importance of O. ficus-indica as a useful plant species was ubiquitously perceived, with all participants reporting its contribution as an important component of their livelihood needs and more than three quarters (88.0%) were using the species on a regular basis. Close to half of the respondents (49.3%) regarded O. ficus-indica as an important source of cash income. The positive socio-economic contributions of O. ficus-indica need to be taken into account when evaluating the costs and benefits resulting from invasions caused by alien plant species.","container-title":"Biodiversitas Journal of Biological Diversity","DOI":"10.13057/biodiv/d210446","ISSN":"2085-4722","issue":"4","language":"en","license":"Copyright (c) 2020 Biodiversitas Journal of Biological Diversity","note":"number: 4","source":"smujo.id","title":"Short Communication: Local perceptions about utilization of invasive alien species &lt;i&gt;Opuntia ficus-indica&lt;/i&gt; in three Local Municipalities in the Eastern Cape Province, South Africa","title-short":"Short Communication","URL":"https://smujo.id/biodiv/article/view/5406","volume":"21","author":[{"family":"Mdweshu","given":"Luleka"},{"family":"Maroyi","given":"Alfred"}],"accessed":{"date-parts":[["2022",4,7]]},"issued":{"date-parts":[["2020",3,27]]}}},{"id":32995,"uris":["http://zotero.org/groups/2352922/items/D6YC69FM"],"itemData":{"id":32995,"type":"article-journal","abstract":"The objective of this study was to document useful plants in urban domestic gardens in the Limpopo Province, South Africa. Data on plant use categories of urban domestic gardens in the under-developed areas of the Limpopo Province were collected by means of interviews and personal observations between May and October 2012.A total of 126 taxa belonging to 110 genera and 62 families were recorded from 62 urban domestic gardens. More than half of the species (52.4%) recorded in the surveyed domestic gardens are exotic to South Africa and 9.5 percent of the total garden flora are “indigenous cultivated”, introduced in the Limpopo Province from other provinces of South Africa. The dominant plant use category in domestic gardens was ornamental, followed by fruit trees. The present study revealed that plants grown and maintained in urban domestic gardens play a vital role in the livelihoods of the people of Limpopo Province.","container-title":"Studies on Ethno-Medicine","DOI":"10.1080/09735070.2015.11905420","ISSN":"0973-5070","issue":"1","note":"publisher: Routledge\n_eprint: https://doi.org/10.1080/09735070.2015.11905420","page":"43-58","source":"Taylor and Francis+NEJM","title":"Useful Plants Grown and Maintained in Domestic Gardens of the Capricorn District, Limpopo Province, South Africa","URL":"https://doi.org/10.1080/09735070.2015.11905420","volume":"9","author":[{"family":"Mosina","given":"G.K.E."},{"family":"Maroyi","given":"A."},{"family":"Potgieter","given":"M.J."}],"accessed":{"date-parts":[["2022",4,7]]},"issued":{"date-parts":[["2015",4,1]]}}}],"schema":"https://github.com/citation-style-language/schema/raw/master/csl-citation.json"} </w:instrText>
      </w:r>
      <w:r w:rsidR="3A52E872" w:rsidRPr="00DA249F">
        <w:rPr>
          <w:rFonts w:eastAsia="Times New Roman"/>
          <w:color w:val="000000" w:themeColor="text1"/>
          <w:lang w:val="en-GB"/>
        </w:rPr>
        <w:fldChar w:fldCharType="separate"/>
      </w:r>
      <w:r w:rsidR="00144D96" w:rsidRPr="00144D96">
        <w:t>(Mdweshu &amp; Maroyi, 2020; Mosina et al., 2015)</w:t>
      </w:r>
      <w:r w:rsidR="3A52E872" w:rsidRPr="00DA249F">
        <w:rPr>
          <w:rFonts w:eastAsia="Times New Roman"/>
          <w:color w:val="000000" w:themeColor="text1"/>
          <w:lang w:val="en-GB"/>
        </w:rPr>
        <w:fldChar w:fldCharType="end"/>
      </w:r>
      <w:r w:rsidR="118D44A8" w:rsidRPr="00DA249F">
        <w:rPr>
          <w:rFonts w:eastAsia="Times New Roman"/>
          <w:color w:val="000000" w:themeColor="text1"/>
          <w:lang w:val="en-GB"/>
        </w:rPr>
        <w:t>.</w:t>
      </w:r>
      <w:r w:rsidR="4AC5268C" w:rsidRPr="00DA249F">
        <w:rPr>
          <w:rFonts w:eastAsia="Times New Roman"/>
          <w:color w:val="000000" w:themeColor="text1"/>
          <w:lang w:val="en-GB"/>
        </w:rPr>
        <w:t xml:space="preserve"> </w:t>
      </w:r>
      <w:r w:rsidR="00CE521B" w:rsidRPr="00DA249F">
        <w:rPr>
          <w:color w:val="000000" w:themeColor="text1"/>
          <w:lang w:val="en-GB"/>
        </w:rPr>
        <w:t xml:space="preserve">Some </w:t>
      </w:r>
      <w:r w:rsidR="003C0704" w:rsidRPr="00DA249F">
        <w:rPr>
          <w:color w:val="000000" w:themeColor="text1"/>
          <w:lang w:val="en-GB"/>
        </w:rPr>
        <w:t>I</w:t>
      </w:r>
      <w:r w:rsidR="00CE521B" w:rsidRPr="00DA249F">
        <w:rPr>
          <w:color w:val="000000" w:themeColor="text1"/>
          <w:lang w:val="en-GB"/>
        </w:rPr>
        <w:t xml:space="preserve">ndigenous </w:t>
      </w:r>
      <w:r w:rsidR="00AF087C">
        <w:rPr>
          <w:color w:val="000000" w:themeColor="text1"/>
          <w:lang w:val="en-GB"/>
        </w:rPr>
        <w:t>P</w:t>
      </w:r>
      <w:r w:rsidR="006336FC" w:rsidRPr="00DA249F">
        <w:rPr>
          <w:color w:val="000000" w:themeColor="text1"/>
          <w:lang w:val="en-GB"/>
        </w:rPr>
        <w:t>eople</w:t>
      </w:r>
      <w:r w:rsidR="00BD70D1">
        <w:rPr>
          <w:color w:val="000000" w:themeColor="text1"/>
          <w:lang w:val="en-GB"/>
        </w:rPr>
        <w:t>s</w:t>
      </w:r>
      <w:r w:rsidR="006336FC" w:rsidRPr="00DA249F">
        <w:rPr>
          <w:color w:val="000000" w:themeColor="text1"/>
          <w:lang w:val="en-GB"/>
        </w:rPr>
        <w:t xml:space="preserve"> and local </w:t>
      </w:r>
      <w:r w:rsidR="00CE521B" w:rsidRPr="00DA249F">
        <w:rPr>
          <w:color w:val="000000" w:themeColor="text1"/>
          <w:lang w:val="en-GB"/>
        </w:rPr>
        <w:t xml:space="preserve">communities can also be more inclined to use alien plants </w:t>
      </w:r>
      <w:r w:rsidR="00525323" w:rsidRPr="00DA249F">
        <w:rPr>
          <w:color w:val="000000" w:themeColor="text1"/>
          <w:lang w:val="en-GB"/>
        </w:rPr>
        <w:t>if they experience</w:t>
      </w:r>
      <w:r w:rsidR="00CE521B" w:rsidRPr="00DA249F">
        <w:rPr>
          <w:color w:val="000000" w:themeColor="text1"/>
          <w:lang w:val="en-GB"/>
        </w:rPr>
        <w:t xml:space="preserve"> a loss of traditional medicine knowledge and a </w:t>
      </w:r>
      <w:r w:rsidR="00525323" w:rsidRPr="00DA249F">
        <w:rPr>
          <w:color w:val="000000" w:themeColor="text1"/>
          <w:lang w:val="en-GB"/>
        </w:rPr>
        <w:t>loss</w:t>
      </w:r>
      <w:r w:rsidR="00CE521B" w:rsidRPr="00DA249F">
        <w:rPr>
          <w:color w:val="000000" w:themeColor="text1"/>
          <w:lang w:val="en-GB"/>
        </w:rPr>
        <w:t xml:space="preserve"> of historically used medicinal plants </w:t>
      </w:r>
      <w:r w:rsidR="00CE521B" w:rsidRPr="00DA249F">
        <w:rPr>
          <w:color w:val="000000" w:themeColor="text1"/>
          <w:lang w:val="en-GB"/>
        </w:rPr>
        <w:fldChar w:fldCharType="begin"/>
      </w:r>
      <w:r w:rsidR="00F5121E">
        <w:rPr>
          <w:color w:val="000000" w:themeColor="text1"/>
          <w:lang w:val="en-GB"/>
        </w:rPr>
        <w:instrText xml:space="preserve"> ADDIN ZOTERO_ITEM CSL_CITATION {"citationID":"AT9AJLMC","properties":{"formattedCitation":"(IPBES, 2020)","plainCitation":"(IPBES, 2020)","noteIndex":0},"citationItems":[{"id":32563,"uris":["http://zotero.org/groups/2352922/items/Q9G78DTK","http://zotero.org/groups/2352922/items/BMNSF6LX"],"itemData":{"id":32563,"type":"paper-conference","event-place":"Online, 29 September to 1 October 2020","event-title":"ILK dialogue workshop on the first order draft of the IPBES assessment of invasive alien species","publisher-place":"Online, 29 September to 1 October 2020","title":"Report of the Indigenous and local knowledge dialogue workshop on the first order draft of the IPBES assessment of invasive alien species","URL":"https://ipbes.net/sites/default/files/inline-files/IPBES_IAS_2ndILKDialogue_FOD_Report_FINAL_ForWeb.pdf","author":[{"literal":"IPBES"}],"editor":[{"family":"Andreve","given":"J. L."},{"family":"Batzin Chojoj","given":"R."},{"family":"Black","given":"A."},{"family":"Cleofe","given":"J. T."},{"family":"Daguitan","given":"F."},{"family":"Grant","given":"C."},{"family":"Guillao","given":"J. A."},{"family":"Jacobs","given":"L."},{"family":"Malcolm","given":"T."},{"family":"Mulenkei","given":"L."},{"family":"Kumar Rai","given":"K."},{"family":"Nzovu","given":"A."},{"family":"Ole Kaunga","given":"J. M."},{"family":"Regpala","given":"M. E."},{"family":"Sall","given":"N."},{"family":"Shulbaeva","given":"P."},{"family":"Spencer","given":"R."},{"family":"Timoti","given":"P."},{"family":"Upun","given":"Y."}],"accessed":{"date-parts":[["2021",10,24]]},"issued":{"date-parts":[["2020"]]}}}],"schema":"https://github.com/citation-style-language/schema/raw/master/csl-citation.json"} </w:instrText>
      </w:r>
      <w:r w:rsidR="00CE521B" w:rsidRPr="00DA249F">
        <w:rPr>
          <w:color w:val="000000" w:themeColor="text1"/>
          <w:lang w:val="en-GB"/>
        </w:rPr>
        <w:fldChar w:fldCharType="separate"/>
      </w:r>
      <w:r w:rsidR="00F5121E" w:rsidRPr="00F5121E">
        <w:t>(IPBES, 2020)</w:t>
      </w:r>
      <w:r w:rsidR="00CE521B" w:rsidRPr="00DA249F">
        <w:rPr>
          <w:color w:val="000000" w:themeColor="text1"/>
          <w:lang w:val="en-GB"/>
        </w:rPr>
        <w:fldChar w:fldCharType="end"/>
      </w:r>
      <w:r w:rsidR="00CE521B" w:rsidRPr="00DA249F">
        <w:rPr>
          <w:color w:val="000000" w:themeColor="text1"/>
          <w:lang w:val="en-GB"/>
        </w:rPr>
        <w:t xml:space="preserve">. </w:t>
      </w:r>
      <w:r w:rsidR="4AC5268C" w:rsidRPr="00DA249F">
        <w:rPr>
          <w:rFonts w:eastAsia="Times New Roman"/>
          <w:lang w:val="en-GB"/>
        </w:rPr>
        <w:t>In rural Mexico,</w:t>
      </w:r>
      <w:r w:rsidR="1DB80A32" w:rsidRPr="00DA249F">
        <w:rPr>
          <w:rFonts w:eastAsia="Times New Roman"/>
          <w:lang w:val="en-GB"/>
        </w:rPr>
        <w:t xml:space="preserve"> </w:t>
      </w:r>
      <w:r w:rsidR="4AC5268C" w:rsidRPr="00DA249F">
        <w:rPr>
          <w:rFonts w:eastAsia="Times New Roman"/>
          <w:lang w:val="en-GB"/>
        </w:rPr>
        <w:t xml:space="preserve">there are economic incentives to farm the invasive alien fish </w:t>
      </w:r>
      <w:r w:rsidR="005A1DE3" w:rsidRPr="00DA249F">
        <w:rPr>
          <w:rFonts w:eastAsia="Arial"/>
          <w:i/>
          <w:iCs/>
          <w:lang w:val="en-GB"/>
        </w:rPr>
        <w:t>Oreochromis</w:t>
      </w:r>
      <w:r w:rsidR="005A1DE3" w:rsidRPr="00DA249F">
        <w:rPr>
          <w:rFonts w:eastAsia="Times New Roman"/>
          <w:lang w:val="en-GB"/>
        </w:rPr>
        <w:t xml:space="preserve"> spp. (</w:t>
      </w:r>
      <w:r w:rsidR="4AC5268C" w:rsidRPr="00DA249F">
        <w:rPr>
          <w:rFonts w:eastAsia="Times New Roman"/>
          <w:lang w:val="en-GB"/>
        </w:rPr>
        <w:t>tilapia</w:t>
      </w:r>
      <w:r w:rsidR="005A1DE3" w:rsidRPr="00DA249F">
        <w:rPr>
          <w:rFonts w:eastAsia="Times New Roman"/>
          <w:lang w:val="en-GB"/>
        </w:rPr>
        <w:t>)</w:t>
      </w:r>
      <w:r w:rsidR="00B01FF1" w:rsidRPr="00DA249F">
        <w:rPr>
          <w:rFonts w:eastAsia="Times New Roman"/>
          <w:lang w:val="en-GB"/>
        </w:rPr>
        <w:t xml:space="preserve"> </w:t>
      </w:r>
      <w:r w:rsidR="4AC5268C" w:rsidRPr="00DA249F">
        <w:rPr>
          <w:rFonts w:eastAsia="Times New Roman"/>
          <w:lang w:val="en-GB"/>
        </w:rPr>
        <w:t xml:space="preserve">which has been viewed as having a positive impact as a route out of poverty </w:t>
      </w:r>
      <w:r w:rsidR="00A32D33" w:rsidRPr="00DA249F">
        <w:rPr>
          <w:rFonts w:eastAsia="Times New Roman"/>
          <w:lang w:val="en-GB"/>
        </w:rPr>
        <w:fldChar w:fldCharType="begin"/>
      </w:r>
      <w:r w:rsidR="00331A79">
        <w:rPr>
          <w:rFonts w:eastAsia="Times New Roman"/>
          <w:lang w:val="en-GB"/>
        </w:rPr>
        <w:instrText xml:space="preserve"> ADDIN ZOTERO_ITEM CSL_CITATION {"citationID":"njtaNQ5q","properties":{"formattedCitation":"(Martinez-Cordero &amp; Sanchez-Zazueta, 2022)","plainCitation":"(Martinez-Cordero &amp; Sanchez-Zazueta, 2022)","noteIndex":0},"citationItems":[{"id":52848,"uris":["http://zotero.org/groups/2352922/items/BZ9DZNAB"],"itemData":{"id":52848,"type":"article-journal","container-title":"Aquaculture Economics &amp; Management","DOI":"https://doi.org/10.1080/13657305.2021.1896604","issue":"1","note":"ISBN: 1365-7305\npublisher: Taylor &amp; Francis","page":"36-56","title":"Poverty and vulnerability assessment of tilapia farmers in the southwestern States of Oaxaca, Guerrero, and Chiapas in Mexico","URL":"https://www.tandfonline.com/doi/full/10.1080/13657305.2021.1896604","volume":"26","author":[{"family":"Martinez-Cordero","given":"Francisco Javier"},{"family":"Sanchez-Zazueta","given":"Edgar"}],"issued":{"date-parts":[["2022"]]}}}],"schema":"https://github.com/citation-style-language/schema/raw/master/csl-citation.json"} </w:instrText>
      </w:r>
      <w:r w:rsidR="00A32D33" w:rsidRPr="00DA249F">
        <w:rPr>
          <w:rFonts w:eastAsia="Times New Roman"/>
          <w:lang w:val="en-GB"/>
        </w:rPr>
        <w:fldChar w:fldCharType="separate"/>
      </w:r>
      <w:r w:rsidR="00144D96" w:rsidRPr="00144D96">
        <w:t>(Martinez-Cordero &amp; Sanchez-Zazueta, 2022)</w:t>
      </w:r>
      <w:r w:rsidR="00A32D33" w:rsidRPr="00DA249F">
        <w:rPr>
          <w:rFonts w:eastAsia="Times New Roman"/>
          <w:lang w:val="en-GB"/>
        </w:rPr>
        <w:fldChar w:fldCharType="end"/>
      </w:r>
      <w:r w:rsidR="004077DC" w:rsidRPr="00DA249F">
        <w:rPr>
          <w:rFonts w:eastAsia="Times New Roman"/>
          <w:lang w:val="en-GB"/>
        </w:rPr>
        <w:t>.</w:t>
      </w:r>
      <w:r w:rsidR="00B01FF1" w:rsidRPr="00DA249F">
        <w:rPr>
          <w:rFonts w:eastAsia="Times New Roman"/>
          <w:lang w:val="en-GB"/>
        </w:rPr>
        <w:t xml:space="preserve"> </w:t>
      </w:r>
      <w:r w:rsidR="4AC5268C" w:rsidRPr="00DA249F">
        <w:rPr>
          <w:rFonts w:eastAsia="Times New Roman"/>
          <w:lang w:val="en-GB"/>
        </w:rPr>
        <w:t xml:space="preserve">However, there are examples showing that using alien species to promote economic growth may lead to more poverty and inequality, </w:t>
      </w:r>
      <w:r w:rsidR="007776EE">
        <w:rPr>
          <w:rFonts w:eastAsia="Times New Roman"/>
          <w:lang w:val="en-GB"/>
        </w:rPr>
        <w:t xml:space="preserve">such </w:t>
      </w:r>
      <w:r w:rsidR="4AC5268C" w:rsidRPr="00DA249F">
        <w:rPr>
          <w:rFonts w:eastAsia="Times New Roman"/>
          <w:lang w:val="en-GB"/>
        </w:rPr>
        <w:t xml:space="preserve">as the use of </w:t>
      </w:r>
      <w:r w:rsidR="00E6429D" w:rsidRPr="00DA249F">
        <w:rPr>
          <w:rFonts w:eastAsia="Times New Roman"/>
          <w:i/>
          <w:iCs/>
          <w:lang w:val="en-GB"/>
        </w:rPr>
        <w:t>Lates niloticus</w:t>
      </w:r>
      <w:r w:rsidR="00E6429D" w:rsidRPr="00DA249F">
        <w:rPr>
          <w:rFonts w:eastAsia="Times New Roman"/>
          <w:lang w:val="en-GB"/>
        </w:rPr>
        <w:t xml:space="preserve"> (</w:t>
      </w:r>
      <w:r w:rsidR="4AC5268C" w:rsidRPr="00DA249F">
        <w:rPr>
          <w:rFonts w:eastAsia="Times New Roman"/>
          <w:lang w:val="en-GB"/>
        </w:rPr>
        <w:t>Nile perch</w:t>
      </w:r>
      <w:r w:rsidR="465DAB0C" w:rsidRPr="00DA249F">
        <w:rPr>
          <w:rFonts w:eastAsia="Times New Roman"/>
          <w:lang w:val="en-GB"/>
        </w:rPr>
        <w:t>)</w:t>
      </w:r>
      <w:r w:rsidR="007776EE">
        <w:rPr>
          <w:rFonts w:eastAsia="Times New Roman"/>
          <w:lang w:val="en-GB"/>
        </w:rPr>
        <w:t>, which was</w:t>
      </w:r>
      <w:r w:rsidR="465DAB0C" w:rsidRPr="00DA249F">
        <w:rPr>
          <w:rFonts w:eastAsia="Times New Roman"/>
          <w:lang w:val="en-GB"/>
        </w:rPr>
        <w:t xml:space="preserve"> introduced into many Africa</w:t>
      </w:r>
      <w:r w:rsidR="44B49568" w:rsidRPr="00DA249F">
        <w:rPr>
          <w:rFonts w:eastAsia="Times New Roman"/>
          <w:lang w:val="en-GB"/>
        </w:rPr>
        <w:t>n</w:t>
      </w:r>
      <w:r w:rsidR="465DAB0C" w:rsidRPr="00DA249F">
        <w:rPr>
          <w:rFonts w:eastAsia="Times New Roman"/>
          <w:lang w:val="en-GB"/>
        </w:rPr>
        <w:t xml:space="preserve"> lakes</w:t>
      </w:r>
      <w:r w:rsidR="00276CB8" w:rsidRPr="00DA249F">
        <w:rPr>
          <w:rFonts w:eastAsia="Times New Roman"/>
          <w:lang w:val="en-GB"/>
        </w:rPr>
        <w:t xml:space="preserve"> </w:t>
      </w:r>
      <w:r w:rsidR="00276CB8" w:rsidRPr="00DA249F">
        <w:rPr>
          <w:rFonts w:eastAsia="Times New Roman"/>
          <w:lang w:val="en-GB"/>
        </w:rPr>
        <w:fldChar w:fldCharType="begin"/>
      </w:r>
      <w:r w:rsidR="00331A79">
        <w:rPr>
          <w:rFonts w:eastAsia="Times New Roman"/>
          <w:lang w:val="en-GB"/>
        </w:rPr>
        <w:instrText xml:space="preserve"> ADDIN ZOTERO_ITEM CSL_CITATION {"citationID":"Z8xjzc7w","properties":{"formattedCitation":"(J. Kelly, 2018)","plainCitation":"(J. Kelly, 2018)","dontUpdate":true,"noteIndex":0},"citationItems":[{"id":52710,"uris":["http://zotero.org/groups/2352922/items/SW64TWPS"],"itemData":{"id":52710,"type":"article-journal","container-title":"Undergraduate Journal of Global Citizenship","issue":"4","page":"14","title":"The introduction of the Nile Perch into Lake Victoria and the resulting neo-colonial relationship","URL":"https://digitalcommons.fairfield.edu/jogc/vol2/iss4/3","volume":"2","author":[{"family":"Kelly","given":"Jared"}],"issued":{"date-parts":[["2018"]]}}}],"schema":"https://github.com/citation-style-language/schema/raw/master/csl-citation.json"} </w:instrText>
      </w:r>
      <w:r w:rsidR="00276CB8" w:rsidRPr="00DA249F">
        <w:rPr>
          <w:rFonts w:eastAsia="Times New Roman"/>
          <w:lang w:val="en-GB"/>
        </w:rPr>
        <w:fldChar w:fldCharType="separate"/>
      </w:r>
      <w:r w:rsidR="006A5A4D" w:rsidRPr="00DA249F">
        <w:rPr>
          <w:lang w:val="en-GB"/>
        </w:rPr>
        <w:t>(Kelly, 2018</w:t>
      </w:r>
      <w:r w:rsidR="00306D8C" w:rsidRPr="00DA249F">
        <w:rPr>
          <w:lang w:val="en-GB"/>
        </w:rPr>
        <w:t>;</w:t>
      </w:r>
      <w:r w:rsidR="00276CB8" w:rsidRPr="00DA249F">
        <w:rPr>
          <w:rFonts w:eastAsia="Times New Roman"/>
          <w:lang w:val="en-GB"/>
        </w:rPr>
        <w:fldChar w:fldCharType="end"/>
      </w:r>
      <w:r w:rsidR="00B47A42" w:rsidRPr="00DA249F">
        <w:rPr>
          <w:rFonts w:eastAsia="Times New Roman"/>
          <w:lang w:val="en-GB"/>
        </w:rPr>
        <w:t xml:space="preserve"> </w:t>
      </w:r>
      <w:r w:rsidR="00525323" w:rsidRPr="00DA249F">
        <w:rPr>
          <w:rFonts w:eastAsia="Times New Roman"/>
          <w:lang w:val="en-GB"/>
        </w:rPr>
        <w:t xml:space="preserve">see </w:t>
      </w:r>
      <w:r w:rsidR="00A35AC7" w:rsidRPr="005702F7">
        <w:rPr>
          <w:rFonts w:eastAsia="Times New Roman"/>
          <w:b/>
          <w:iCs/>
          <w:lang w:val="en-GB"/>
        </w:rPr>
        <w:t xml:space="preserve">section </w:t>
      </w:r>
      <w:r w:rsidR="00525323" w:rsidRPr="005702F7">
        <w:rPr>
          <w:rFonts w:eastAsia="Times New Roman"/>
          <w:b/>
          <w:iCs/>
          <w:lang w:val="en-GB"/>
        </w:rPr>
        <w:t>3.2.</w:t>
      </w:r>
      <w:r w:rsidR="000752C8" w:rsidRPr="005702F7">
        <w:rPr>
          <w:rFonts w:eastAsia="Times New Roman"/>
          <w:b/>
          <w:iCs/>
          <w:lang w:val="en-GB"/>
        </w:rPr>
        <w:t>5</w:t>
      </w:r>
      <w:r w:rsidR="009A5238" w:rsidRPr="005702F7">
        <w:rPr>
          <w:rFonts w:eastAsia="Times New Roman"/>
          <w:iCs/>
          <w:lang w:val="en-GB"/>
        </w:rPr>
        <w:t>,</w:t>
      </w:r>
      <w:r w:rsidR="009A5238" w:rsidRPr="005702F7">
        <w:rPr>
          <w:rFonts w:eastAsia="Times New Roman"/>
          <w:b/>
          <w:iCs/>
          <w:lang w:val="en-GB"/>
        </w:rPr>
        <w:t xml:space="preserve"> </w:t>
      </w:r>
      <w:r w:rsidR="00525323" w:rsidRPr="005702F7">
        <w:rPr>
          <w:rFonts w:eastAsia="Times New Roman"/>
          <w:b/>
          <w:iCs/>
          <w:lang w:val="en-GB"/>
        </w:rPr>
        <w:t>3.3</w:t>
      </w:r>
      <w:r w:rsidR="009A5238" w:rsidRPr="005702F7">
        <w:rPr>
          <w:rFonts w:eastAsia="Times New Roman"/>
          <w:b/>
          <w:iCs/>
          <w:lang w:val="en-GB"/>
        </w:rPr>
        <w:t>.2.1</w:t>
      </w:r>
      <w:r w:rsidR="00525323" w:rsidRPr="00DA249F">
        <w:rPr>
          <w:rFonts w:eastAsia="Times New Roman"/>
          <w:lang w:val="en-GB"/>
        </w:rPr>
        <w:t>).</w:t>
      </w:r>
      <w:r w:rsidR="006F02BA" w:rsidRPr="00DA249F">
        <w:rPr>
          <w:rFonts w:eastAsia="DengXian"/>
          <w:lang w:val="en-GB"/>
        </w:rPr>
        <w:t xml:space="preserve"> </w:t>
      </w:r>
      <w:r w:rsidR="6EE21729" w:rsidRPr="00DA249F">
        <w:rPr>
          <w:rFonts w:eastAsia="Times New Roman"/>
          <w:lang w:val="en-GB"/>
        </w:rPr>
        <w:t xml:space="preserve">In the Lake </w:t>
      </w:r>
      <w:r w:rsidR="00261803" w:rsidRPr="00DA249F">
        <w:rPr>
          <w:rFonts w:eastAsia="Times New Roman"/>
          <w:lang w:val="en-GB"/>
        </w:rPr>
        <w:t xml:space="preserve">Victoria </w:t>
      </w:r>
      <w:r w:rsidR="6EE21729" w:rsidRPr="00DA249F">
        <w:rPr>
          <w:rFonts w:eastAsia="Times New Roman"/>
          <w:lang w:val="en-GB"/>
        </w:rPr>
        <w:t xml:space="preserve">basin, the invasion </w:t>
      </w:r>
      <w:r w:rsidR="00D7771D">
        <w:rPr>
          <w:rFonts w:eastAsia="Times New Roman"/>
          <w:lang w:val="en-GB"/>
        </w:rPr>
        <w:t>of</w:t>
      </w:r>
      <w:r w:rsidR="6EE21729" w:rsidRPr="00DA249F">
        <w:rPr>
          <w:rFonts w:eastAsia="Times New Roman"/>
          <w:lang w:val="en-GB"/>
        </w:rPr>
        <w:t xml:space="preserve"> the Nile perch nearly exterminated native fish populations, </w:t>
      </w:r>
      <w:r w:rsidR="00D7771D">
        <w:rPr>
          <w:rFonts w:eastAsia="Times New Roman"/>
          <w:lang w:val="en-GB"/>
        </w:rPr>
        <w:t xml:space="preserve">and </w:t>
      </w:r>
      <w:r w:rsidR="6EE21729" w:rsidRPr="00DA249F">
        <w:rPr>
          <w:rFonts w:eastAsia="Times New Roman"/>
          <w:lang w:val="en-GB"/>
        </w:rPr>
        <w:t>local communities were ultimately forced to shift from traditional fishing, which ensured their subsistence, to catch</w:t>
      </w:r>
      <w:r w:rsidR="00D7771D">
        <w:rPr>
          <w:rFonts w:eastAsia="Times New Roman"/>
          <w:lang w:val="en-GB"/>
        </w:rPr>
        <w:t xml:space="preserve">ing </w:t>
      </w:r>
      <w:r w:rsidR="6EE21729" w:rsidRPr="00DA249F">
        <w:rPr>
          <w:rFonts w:eastAsia="Times New Roman"/>
          <w:lang w:val="en-GB"/>
        </w:rPr>
        <w:t xml:space="preserve">the invasive </w:t>
      </w:r>
      <w:r w:rsidR="00963EAE" w:rsidRPr="00DA249F">
        <w:rPr>
          <w:rFonts w:eastAsia="Times New Roman"/>
          <w:lang w:val="en-GB"/>
        </w:rPr>
        <w:t xml:space="preserve">alien </w:t>
      </w:r>
      <w:r w:rsidR="00D7771D">
        <w:rPr>
          <w:rFonts w:eastAsia="Times New Roman"/>
          <w:lang w:val="en-GB"/>
        </w:rPr>
        <w:t xml:space="preserve">perch. </w:t>
      </w:r>
      <w:r w:rsidR="00B358EC">
        <w:rPr>
          <w:rFonts w:eastAsia="Times New Roman"/>
          <w:lang w:val="en-GB"/>
        </w:rPr>
        <w:t>Nile p</w:t>
      </w:r>
      <w:r w:rsidR="00D7771D">
        <w:rPr>
          <w:rFonts w:eastAsia="Times New Roman"/>
          <w:lang w:val="en-GB"/>
        </w:rPr>
        <w:t>erch fishing</w:t>
      </w:r>
      <w:r w:rsidR="00D7771D" w:rsidRPr="00DA249F">
        <w:rPr>
          <w:rFonts w:eastAsia="Times New Roman"/>
          <w:lang w:val="en-GB"/>
        </w:rPr>
        <w:t xml:space="preserve"> </w:t>
      </w:r>
      <w:r w:rsidR="6EE21729" w:rsidRPr="00DA249F">
        <w:rPr>
          <w:rFonts w:eastAsia="Times New Roman"/>
          <w:lang w:val="en-GB"/>
        </w:rPr>
        <w:t>suppl</w:t>
      </w:r>
      <w:r w:rsidR="00D7771D">
        <w:rPr>
          <w:rFonts w:eastAsia="Times New Roman"/>
          <w:lang w:val="en-GB"/>
        </w:rPr>
        <w:t>ies</w:t>
      </w:r>
      <w:r w:rsidR="6EE21729" w:rsidRPr="00DA249F">
        <w:rPr>
          <w:rFonts w:eastAsia="Times New Roman"/>
          <w:lang w:val="en-GB"/>
        </w:rPr>
        <w:t xml:space="preserve"> external markets and provide</w:t>
      </w:r>
      <w:r w:rsidR="00D7771D">
        <w:rPr>
          <w:rFonts w:eastAsia="Times New Roman"/>
          <w:lang w:val="en-GB"/>
        </w:rPr>
        <w:t>s</w:t>
      </w:r>
      <w:r w:rsidR="6EE21729" w:rsidRPr="00DA249F">
        <w:rPr>
          <w:rFonts w:eastAsia="Times New Roman"/>
          <w:lang w:val="en-GB"/>
        </w:rPr>
        <w:t xml:space="preserve"> minimum income to households, thus leading to more poverty, malnutrition and lower quality of life </w:t>
      </w:r>
      <w:r w:rsidR="00AD16EC" w:rsidRPr="00DA249F">
        <w:rPr>
          <w:rFonts w:eastAsia="Times New Roman"/>
          <w:lang w:val="en-GB"/>
        </w:rPr>
        <w:fldChar w:fldCharType="begin"/>
      </w:r>
      <w:r w:rsidR="00331A79">
        <w:rPr>
          <w:rFonts w:eastAsia="Times New Roman"/>
          <w:lang w:val="en-GB"/>
        </w:rPr>
        <w:instrText xml:space="preserve"> ADDIN ZOTERO_ITEM CSL_CITATION {"citationID":"GbXLLDv3","properties":{"formattedCitation":"(Geheb et al., 2008)","plainCitation":"(Geheb et al., 2008)","dontUpdate":true,"noteIndex":0},"citationItems":[{"id":9767,"uris":["http://zotero.org/groups/2352922/items/KWHHUIXV"],"itemData":{"id":9767,"type":"article-journal","abstract":"Lake Victoria supports Africa’s largest inland ﬁshery, and its most valuable product is the Nile perch, much of which is exported. This has given rise to arguments claiming a direct linear relationship between perch exports and disturbingly high rates of malnutrition along the lake’s shores. In this paper, we argue that this argument is seriously ﬂawed for it is unable to explain how it is that the income from the Nile perch ﬁshery fails to translate into a well-fed riparian population. We draw on ﬁeld work carried out in 2001 that (a) set out to establish exactly how much malnutrition there was on the lake’s shores; and (b) sought to identify what happened to the income the ﬁshery generates. We argue that because men control much of the ﬁshery, and women are held responsible for the upkeep of their families, little of this income makes its way back into the households of the region, giving rise to the levels of malnutrition we observed.","container-title":"Food Policy","DOI":"10.1016/j.foodpol.2007.06.001","ISSN":"03069192","issue":"1","journalAbbreviation":"Food Policy","language":"en","page":"85-98","source":"DOI.org (Crossref)","title":"Nile perch and the hungry of Lake Victoria: Gender, status and food in an East African fishery","title-short":"Nile perch and the hungry of Lake Victoria","URL":"https://linkinghub.elsevier.com/retrieve/pii/S030691920700036X","volume":"33","author":[{"family":"Geheb","given":"Kim"},{"family":"Kalloch","given":"Sarah"},{"family":"Medard","given":"Modesta"},{"family":"Nyapendi","given":"Anne-Therese"},{"family":"Lwenya","given":"Carolyne"},{"family":"Kyangwa","given":"Mercy"}],"accessed":{"date-parts":[["2019",11,9]]},"issued":{"date-parts":[["2008",2]]}}}],"schema":"https://github.com/citation-style-language/schema/raw/master/csl-citation.json"} </w:instrText>
      </w:r>
      <w:r w:rsidR="00AD16EC" w:rsidRPr="00DA249F">
        <w:rPr>
          <w:rFonts w:eastAsia="Times New Roman"/>
          <w:lang w:val="en-GB"/>
        </w:rPr>
        <w:fldChar w:fldCharType="separate"/>
      </w:r>
      <w:r w:rsidR="00276CB8" w:rsidRPr="00DA249F">
        <w:rPr>
          <w:lang w:val="en-GB"/>
        </w:rPr>
        <w:t>(Geheb et al., 2008</w:t>
      </w:r>
      <w:r w:rsidR="00AD16EC" w:rsidRPr="00DA249F">
        <w:rPr>
          <w:rFonts w:eastAsia="Times New Roman"/>
          <w:lang w:val="en-GB"/>
        </w:rPr>
        <w:fldChar w:fldCharType="end"/>
      </w:r>
      <w:r w:rsidR="00B73F73" w:rsidRPr="00DA249F">
        <w:rPr>
          <w:rFonts w:eastAsia="Times New Roman"/>
          <w:lang w:val="en-GB"/>
        </w:rPr>
        <w:t xml:space="preserve">; </w:t>
      </w:r>
      <w:r w:rsidR="005702F7">
        <w:rPr>
          <w:rFonts w:eastAsia="Times New Roman"/>
          <w:b/>
          <w:iCs/>
          <w:lang w:val="en-GB"/>
        </w:rPr>
        <w:t>C</w:t>
      </w:r>
      <w:r w:rsidR="004077DC" w:rsidRPr="005702F7">
        <w:rPr>
          <w:rFonts w:eastAsia="Times New Roman"/>
          <w:b/>
          <w:iCs/>
          <w:lang w:val="en-GB"/>
        </w:rPr>
        <w:t>hapter 4</w:t>
      </w:r>
      <w:r w:rsidR="004077DC" w:rsidRPr="005702F7">
        <w:rPr>
          <w:rFonts w:eastAsia="Times New Roman"/>
          <w:iCs/>
          <w:lang w:val="en-GB"/>
        </w:rPr>
        <w:t>,</w:t>
      </w:r>
      <w:r w:rsidR="002652AD" w:rsidRPr="005702F7">
        <w:rPr>
          <w:rFonts w:eastAsia="Times New Roman"/>
          <w:b/>
          <w:iCs/>
          <w:lang w:val="en-GB"/>
        </w:rPr>
        <w:t xml:space="preserve"> </w:t>
      </w:r>
      <w:r w:rsidR="00AF087C">
        <w:rPr>
          <w:rFonts w:eastAsia="Times New Roman"/>
          <w:b/>
          <w:iCs/>
          <w:lang w:val="en-GB"/>
        </w:rPr>
        <w:t>B</w:t>
      </w:r>
      <w:r w:rsidR="002652AD" w:rsidRPr="005702F7">
        <w:rPr>
          <w:rFonts w:eastAsia="Times New Roman"/>
          <w:b/>
          <w:iCs/>
          <w:lang w:val="en-GB"/>
        </w:rPr>
        <w:t>ox</w:t>
      </w:r>
      <w:r w:rsidR="004077DC" w:rsidRPr="005702F7">
        <w:rPr>
          <w:rFonts w:eastAsia="Times New Roman"/>
          <w:b/>
          <w:iCs/>
          <w:lang w:val="en-GB"/>
        </w:rPr>
        <w:t>es</w:t>
      </w:r>
      <w:r w:rsidR="002652AD" w:rsidRPr="005702F7">
        <w:rPr>
          <w:rFonts w:eastAsia="Times New Roman"/>
          <w:b/>
          <w:iCs/>
          <w:lang w:val="en-GB"/>
        </w:rPr>
        <w:t xml:space="preserve"> 4.</w:t>
      </w:r>
      <w:r w:rsidR="004077DC" w:rsidRPr="005702F7">
        <w:rPr>
          <w:rFonts w:eastAsia="Times New Roman"/>
          <w:b/>
          <w:iCs/>
          <w:lang w:val="en-GB"/>
        </w:rPr>
        <w:t xml:space="preserve">8 </w:t>
      </w:r>
      <w:r w:rsidR="004077DC" w:rsidRPr="005702F7">
        <w:rPr>
          <w:rFonts w:eastAsia="Times New Roman"/>
          <w:lang w:val="en-GB"/>
        </w:rPr>
        <w:t>and</w:t>
      </w:r>
      <w:r w:rsidR="004077DC" w:rsidRPr="005702F7">
        <w:rPr>
          <w:rFonts w:eastAsia="Times New Roman"/>
          <w:b/>
          <w:iCs/>
          <w:lang w:val="en-GB"/>
        </w:rPr>
        <w:t xml:space="preserve"> 4.</w:t>
      </w:r>
      <w:r w:rsidR="002652AD" w:rsidRPr="005702F7">
        <w:rPr>
          <w:rFonts w:eastAsia="Times New Roman"/>
          <w:b/>
          <w:iCs/>
          <w:lang w:val="en-GB"/>
        </w:rPr>
        <w:t>9</w:t>
      </w:r>
      <w:r w:rsidR="002652AD" w:rsidRPr="00DA249F">
        <w:rPr>
          <w:rFonts w:eastAsia="Times New Roman"/>
          <w:lang w:val="en-GB"/>
        </w:rPr>
        <w:t>)</w:t>
      </w:r>
      <w:r w:rsidR="6EE21729" w:rsidRPr="00DA249F">
        <w:rPr>
          <w:rFonts w:eastAsia="Times New Roman"/>
          <w:lang w:val="en-GB"/>
        </w:rPr>
        <w:t>.</w:t>
      </w:r>
    </w:p>
    <w:p w14:paraId="7A2CC880" w14:textId="77777777" w:rsidR="008C1BF7" w:rsidRPr="00DA249F" w:rsidRDefault="17E6F11B" w:rsidP="00375B42">
      <w:pPr>
        <w:pStyle w:val="Heading2"/>
        <w:rPr>
          <w:lang w:val="en-GB"/>
        </w:rPr>
      </w:pPr>
      <w:bookmarkStart w:id="123" w:name="_Toc44317805"/>
      <w:r w:rsidRPr="5575EBFC">
        <w:rPr>
          <w:lang w:val="en-GB"/>
        </w:rPr>
        <w:t xml:space="preserve"> </w:t>
      </w:r>
      <w:bookmarkStart w:id="124" w:name="_Toc146898465"/>
      <w:r w:rsidR="3D04D128" w:rsidRPr="5575EBFC">
        <w:rPr>
          <w:lang w:val="en-GB"/>
        </w:rPr>
        <w:t xml:space="preserve">Science and </w:t>
      </w:r>
      <w:bookmarkEnd w:id="123"/>
      <w:r w:rsidR="6EE6837F" w:rsidRPr="5575EBFC">
        <w:rPr>
          <w:lang w:val="en-GB"/>
        </w:rPr>
        <w:t>t</w:t>
      </w:r>
      <w:r w:rsidR="3D04D128" w:rsidRPr="5575EBFC">
        <w:rPr>
          <w:lang w:val="en-GB"/>
        </w:rPr>
        <w:t>echnology</w:t>
      </w:r>
      <w:bookmarkEnd w:id="124"/>
    </w:p>
    <w:p w14:paraId="2314D043" w14:textId="631C537B" w:rsidR="008C1BF7" w:rsidRPr="00DA249F" w:rsidRDefault="3D04D128" w:rsidP="0090109B">
      <w:pPr>
        <w:rPr>
          <w:lang w:val="en-GB"/>
        </w:rPr>
      </w:pPr>
      <w:r w:rsidRPr="5575EBFC">
        <w:rPr>
          <w:lang w:val="en-GB"/>
        </w:rPr>
        <w:t xml:space="preserve">While science and technology </w:t>
      </w:r>
      <w:r w:rsidR="2F467298" w:rsidRPr="5575EBFC">
        <w:rPr>
          <w:lang w:val="en-GB"/>
        </w:rPr>
        <w:t>are</w:t>
      </w:r>
      <w:r w:rsidRPr="5575EBFC">
        <w:rPr>
          <w:lang w:val="en-GB"/>
        </w:rPr>
        <w:t xml:space="preserve"> major factor</w:t>
      </w:r>
      <w:r w:rsidR="2F467298" w:rsidRPr="5575EBFC">
        <w:rPr>
          <w:lang w:val="en-GB"/>
        </w:rPr>
        <w:t>s</w:t>
      </w:r>
      <w:r w:rsidRPr="5575EBFC">
        <w:rPr>
          <w:lang w:val="en-GB"/>
        </w:rPr>
        <w:t xml:space="preserve"> underpinning demographic and economic changes, science and </w:t>
      </w:r>
      <w:r w:rsidR="16DA9196" w:rsidRPr="5575EBFC">
        <w:rPr>
          <w:lang w:val="en-GB"/>
        </w:rPr>
        <w:t xml:space="preserve">technology </w:t>
      </w:r>
      <w:r w:rsidRPr="5575EBFC">
        <w:rPr>
          <w:lang w:val="en-GB"/>
        </w:rPr>
        <w:t xml:space="preserve">can also act as indirect </w:t>
      </w:r>
      <w:r w:rsidR="653902EA" w:rsidRPr="5575EBFC">
        <w:rPr>
          <w:lang w:val="en-GB"/>
        </w:rPr>
        <w:t>drivers of change in nature</w:t>
      </w:r>
      <w:r w:rsidR="16DA9196" w:rsidRPr="5575EBFC">
        <w:rPr>
          <w:lang w:val="en-GB"/>
        </w:rPr>
        <w:t xml:space="preserve"> affecting </w:t>
      </w:r>
      <w:r w:rsidR="248CB439" w:rsidRPr="5575EBFC">
        <w:rPr>
          <w:lang w:val="en-GB"/>
        </w:rPr>
        <w:t xml:space="preserve">invasive alien species </w:t>
      </w:r>
      <w:r w:rsidR="17B3F8EA" w:rsidRPr="5575EBFC">
        <w:rPr>
          <w:lang w:val="en-GB"/>
        </w:rPr>
        <w:t>(</w:t>
      </w:r>
      <w:r w:rsidR="00E23B69">
        <w:rPr>
          <w:b/>
          <w:bCs/>
          <w:lang w:val="en-GB"/>
        </w:rPr>
        <w:t>Figure</w:t>
      </w:r>
      <w:r w:rsidR="56CA5029" w:rsidRPr="5575EBFC">
        <w:rPr>
          <w:b/>
          <w:bCs/>
          <w:lang w:val="en-GB"/>
        </w:rPr>
        <w:t xml:space="preserve"> 3.12</w:t>
      </w:r>
      <w:r w:rsidR="17B3F8EA" w:rsidRPr="5575EBFC">
        <w:rPr>
          <w:lang w:val="en-GB"/>
        </w:rPr>
        <w:t>)</w:t>
      </w:r>
      <w:r w:rsidRPr="5575EBFC">
        <w:rPr>
          <w:lang w:val="en-GB"/>
        </w:rPr>
        <w:t xml:space="preserve">. </w:t>
      </w:r>
      <w:r w:rsidR="1D922D0A" w:rsidRPr="5575EBFC">
        <w:rPr>
          <w:lang w:val="en-GB"/>
        </w:rPr>
        <w:t>This section</w:t>
      </w:r>
      <w:r w:rsidRPr="5575EBFC">
        <w:rPr>
          <w:lang w:val="en-GB"/>
        </w:rPr>
        <w:t xml:space="preserve"> focus</w:t>
      </w:r>
      <w:r w:rsidR="1D922D0A" w:rsidRPr="5575EBFC">
        <w:rPr>
          <w:lang w:val="en-GB"/>
        </w:rPr>
        <w:t>es</w:t>
      </w:r>
      <w:r w:rsidRPr="5575EBFC">
        <w:rPr>
          <w:lang w:val="en-GB"/>
        </w:rPr>
        <w:t xml:space="preserve"> on how research </w:t>
      </w:r>
      <w:r w:rsidR="0B7B5034" w:rsidRPr="5575EBFC">
        <w:rPr>
          <w:lang w:val="en-GB"/>
        </w:rPr>
        <w:t xml:space="preserve">activities </w:t>
      </w:r>
      <w:r w:rsidRPr="5575EBFC">
        <w:rPr>
          <w:lang w:val="en-GB"/>
        </w:rPr>
        <w:t>(</w:t>
      </w:r>
      <w:r w:rsidR="25F512F5" w:rsidRPr="5575EBFC">
        <w:rPr>
          <w:b/>
          <w:bCs/>
          <w:lang w:val="en-GB"/>
        </w:rPr>
        <w:t xml:space="preserve">section </w:t>
      </w:r>
      <w:r w:rsidRPr="5575EBFC">
        <w:rPr>
          <w:b/>
          <w:bCs/>
          <w:lang w:val="en-GB"/>
        </w:rPr>
        <w:t>3.2.4.1</w:t>
      </w:r>
      <w:r w:rsidRPr="5575EBFC">
        <w:rPr>
          <w:lang w:val="en-GB"/>
        </w:rPr>
        <w:t>), the rise and spread of communication technology (</w:t>
      </w:r>
      <w:r w:rsidR="25F512F5" w:rsidRPr="5575EBFC">
        <w:rPr>
          <w:b/>
          <w:bCs/>
          <w:lang w:val="en-GB"/>
        </w:rPr>
        <w:t xml:space="preserve">section </w:t>
      </w:r>
      <w:r w:rsidRPr="5575EBFC">
        <w:rPr>
          <w:b/>
          <w:bCs/>
          <w:lang w:val="en-GB"/>
        </w:rPr>
        <w:t>3.2.</w:t>
      </w:r>
      <w:r w:rsidR="33787F0A" w:rsidRPr="5575EBFC">
        <w:rPr>
          <w:b/>
          <w:bCs/>
          <w:lang w:val="en-GB"/>
        </w:rPr>
        <w:t>4.</w:t>
      </w:r>
      <w:r w:rsidRPr="5575EBFC">
        <w:rPr>
          <w:b/>
          <w:bCs/>
          <w:lang w:val="en-GB"/>
        </w:rPr>
        <w:t>2</w:t>
      </w:r>
      <w:r w:rsidRPr="5575EBFC">
        <w:rPr>
          <w:lang w:val="en-GB"/>
        </w:rPr>
        <w:t>), a</w:t>
      </w:r>
      <w:r w:rsidR="416BE2C6" w:rsidRPr="5575EBFC">
        <w:rPr>
          <w:lang w:val="en-GB"/>
        </w:rPr>
        <w:t>n</w:t>
      </w:r>
      <w:r w:rsidRPr="5575EBFC">
        <w:rPr>
          <w:lang w:val="en-GB"/>
        </w:rPr>
        <w:t>d breeding and genome technologies (</w:t>
      </w:r>
      <w:r w:rsidR="25F512F5" w:rsidRPr="5575EBFC">
        <w:rPr>
          <w:b/>
          <w:bCs/>
          <w:lang w:val="en-GB"/>
        </w:rPr>
        <w:t xml:space="preserve">section </w:t>
      </w:r>
      <w:r w:rsidRPr="5575EBFC">
        <w:rPr>
          <w:b/>
          <w:bCs/>
          <w:lang w:val="en-GB"/>
        </w:rPr>
        <w:t>3.2.4.3</w:t>
      </w:r>
      <w:r w:rsidRPr="5575EBFC">
        <w:rPr>
          <w:lang w:val="en-GB"/>
        </w:rPr>
        <w:t xml:space="preserve">) can facilitate </w:t>
      </w:r>
      <w:r w:rsidR="513DABD4" w:rsidRPr="5575EBFC">
        <w:rPr>
          <w:lang w:val="en-GB"/>
        </w:rPr>
        <w:t xml:space="preserve">the transport, introduction, establishment and spread of </w:t>
      </w:r>
      <w:r w:rsidR="248CB439" w:rsidRPr="5575EBFC">
        <w:rPr>
          <w:lang w:val="en-GB"/>
        </w:rPr>
        <w:t>invasive alien species</w:t>
      </w:r>
      <w:r w:rsidRPr="5575EBFC">
        <w:rPr>
          <w:lang w:val="en-GB"/>
        </w:rPr>
        <w:t xml:space="preserve">. </w:t>
      </w:r>
      <w:r w:rsidR="758EEE7F" w:rsidRPr="5575EBFC">
        <w:rPr>
          <w:lang w:val="en-GB"/>
        </w:rPr>
        <w:t>S</w:t>
      </w:r>
      <w:r w:rsidRPr="5575EBFC">
        <w:rPr>
          <w:lang w:val="en-GB"/>
        </w:rPr>
        <w:t>cience and technolog</w:t>
      </w:r>
      <w:r w:rsidR="2CD995FC" w:rsidRPr="5575EBFC">
        <w:rPr>
          <w:lang w:val="en-GB"/>
        </w:rPr>
        <w:t>y</w:t>
      </w:r>
      <w:r w:rsidR="23BF2FFE" w:rsidRPr="5575EBFC">
        <w:rPr>
          <w:lang w:val="en-GB"/>
        </w:rPr>
        <w:t xml:space="preserve"> </w:t>
      </w:r>
      <w:r w:rsidR="758EEE7F" w:rsidRPr="5575EBFC">
        <w:rPr>
          <w:lang w:val="en-GB"/>
        </w:rPr>
        <w:t>may</w:t>
      </w:r>
      <w:r w:rsidRPr="5575EBFC">
        <w:rPr>
          <w:lang w:val="en-GB"/>
        </w:rPr>
        <w:t xml:space="preserve"> interact with economic drivers through the role of information technology in supporting international trade </w:t>
      </w:r>
      <w:r w:rsidR="4E9002D9" w:rsidRPr="5575EBFC">
        <w:rPr>
          <w:lang w:val="en-GB"/>
        </w:rPr>
        <w:t xml:space="preserve">in invasive </w:t>
      </w:r>
      <w:r w:rsidR="4B7EC0F2" w:rsidRPr="5575EBFC">
        <w:rPr>
          <w:lang w:val="en-GB"/>
        </w:rPr>
        <w:t xml:space="preserve">alien </w:t>
      </w:r>
      <w:r w:rsidR="4E9002D9" w:rsidRPr="5575EBFC">
        <w:rPr>
          <w:lang w:val="en-GB"/>
        </w:rPr>
        <w:t xml:space="preserve">species </w:t>
      </w:r>
      <w:r w:rsidRPr="5575EBFC">
        <w:rPr>
          <w:lang w:val="en-GB"/>
        </w:rPr>
        <w:t>(</w:t>
      </w:r>
      <w:r w:rsidR="700D81CE" w:rsidRPr="5575EBFC">
        <w:rPr>
          <w:b/>
          <w:bCs/>
          <w:lang w:val="en-GB"/>
        </w:rPr>
        <w:t xml:space="preserve">section </w:t>
      </w:r>
      <w:r w:rsidRPr="5575EBFC">
        <w:rPr>
          <w:b/>
          <w:bCs/>
          <w:lang w:val="en-GB"/>
        </w:rPr>
        <w:t>3.2.3.1</w:t>
      </w:r>
      <w:r w:rsidRPr="5575EBFC">
        <w:rPr>
          <w:lang w:val="en-GB"/>
        </w:rPr>
        <w:t>)</w:t>
      </w:r>
      <w:r w:rsidR="1F41EAF1" w:rsidRPr="5575EBFC">
        <w:rPr>
          <w:lang w:val="en-GB"/>
        </w:rPr>
        <w:t>,</w:t>
      </w:r>
      <w:r w:rsidRPr="5575EBFC">
        <w:rPr>
          <w:lang w:val="en-GB"/>
        </w:rPr>
        <w:t xml:space="preserve"> and </w:t>
      </w:r>
      <w:r w:rsidR="71CBFC63" w:rsidRPr="5575EBFC">
        <w:rPr>
          <w:lang w:val="en-GB"/>
        </w:rPr>
        <w:t xml:space="preserve">with </w:t>
      </w:r>
      <w:r w:rsidR="08BE7F45" w:rsidRPr="5575EBFC">
        <w:rPr>
          <w:lang w:val="en-GB"/>
        </w:rPr>
        <w:t xml:space="preserve">biological </w:t>
      </w:r>
      <w:r w:rsidR="245E9E8E" w:rsidRPr="5575EBFC">
        <w:rPr>
          <w:lang w:val="en-GB"/>
        </w:rPr>
        <w:t>invasions via</w:t>
      </w:r>
      <w:r w:rsidRPr="5575EBFC">
        <w:rPr>
          <w:lang w:val="en-GB"/>
        </w:rPr>
        <w:t xml:space="preserve"> unintended consequences of introducing and</w:t>
      </w:r>
      <w:r w:rsidR="245E9E8E" w:rsidRPr="5575EBFC">
        <w:rPr>
          <w:lang w:val="en-GB"/>
        </w:rPr>
        <w:t>/or</w:t>
      </w:r>
      <w:r w:rsidRPr="5575EBFC">
        <w:rPr>
          <w:lang w:val="en-GB"/>
        </w:rPr>
        <w:t xml:space="preserve"> </w:t>
      </w:r>
      <w:r w:rsidR="2F467298" w:rsidRPr="5575EBFC">
        <w:rPr>
          <w:lang w:val="en-GB"/>
        </w:rPr>
        <w:t>controlling</w:t>
      </w:r>
      <w:r w:rsidRPr="5575EBFC">
        <w:rPr>
          <w:lang w:val="en-GB"/>
        </w:rPr>
        <w:t xml:space="preserve"> </w:t>
      </w:r>
      <w:r w:rsidR="248CB439" w:rsidRPr="5575EBFC">
        <w:rPr>
          <w:lang w:val="en-GB"/>
        </w:rPr>
        <w:t xml:space="preserve">invasive alien species </w:t>
      </w:r>
      <w:r w:rsidRPr="5575EBFC">
        <w:rPr>
          <w:lang w:val="en-GB"/>
        </w:rPr>
        <w:t>themselves (</w:t>
      </w:r>
      <w:r w:rsidR="56766263" w:rsidRPr="5575EBFC">
        <w:rPr>
          <w:b/>
          <w:bCs/>
          <w:lang w:val="en-GB"/>
        </w:rPr>
        <w:t xml:space="preserve">section </w:t>
      </w:r>
      <w:r w:rsidRPr="5575EBFC">
        <w:rPr>
          <w:b/>
          <w:bCs/>
          <w:lang w:val="en-GB"/>
        </w:rPr>
        <w:t>3.3.5</w:t>
      </w:r>
      <w:r w:rsidRPr="5575EBFC">
        <w:rPr>
          <w:lang w:val="en-GB"/>
        </w:rPr>
        <w:t>). Section 3.</w:t>
      </w:r>
      <w:r w:rsidR="26C4FDF3" w:rsidRPr="5575EBFC">
        <w:rPr>
          <w:lang w:val="en-GB"/>
        </w:rPr>
        <w:t>2</w:t>
      </w:r>
      <w:r w:rsidRPr="5575EBFC">
        <w:rPr>
          <w:lang w:val="en-GB"/>
        </w:rPr>
        <w:t xml:space="preserve">.4 describes evidence for links between specific science and technology drivers and </w:t>
      </w:r>
      <w:r w:rsidR="248CB439" w:rsidRPr="5575EBFC">
        <w:rPr>
          <w:lang w:val="en-GB"/>
        </w:rPr>
        <w:t>invasive alien species</w:t>
      </w:r>
      <w:r w:rsidRPr="5575EBFC">
        <w:rPr>
          <w:lang w:val="en-GB"/>
        </w:rPr>
        <w:t xml:space="preserve">, </w:t>
      </w:r>
      <w:r w:rsidR="12B0D278" w:rsidRPr="5575EBFC">
        <w:rPr>
          <w:lang w:val="en-GB"/>
        </w:rPr>
        <w:t xml:space="preserve">and makes </w:t>
      </w:r>
      <w:r w:rsidRPr="5575EBFC">
        <w:rPr>
          <w:lang w:val="en-GB"/>
        </w:rPr>
        <w:t>reference</w:t>
      </w:r>
      <w:r w:rsidR="12B0D278" w:rsidRPr="5575EBFC">
        <w:rPr>
          <w:lang w:val="en-GB"/>
        </w:rPr>
        <w:t xml:space="preserve"> </w:t>
      </w:r>
      <w:r w:rsidRPr="5575EBFC">
        <w:rPr>
          <w:lang w:val="en-GB"/>
        </w:rPr>
        <w:t xml:space="preserve">to other indirect and direct drivers when relevant, whereas the </w:t>
      </w:r>
      <w:r w:rsidR="518719F1" w:rsidRPr="5575EBFC">
        <w:rPr>
          <w:lang w:val="en-GB"/>
        </w:rPr>
        <w:t xml:space="preserve">specific </w:t>
      </w:r>
      <w:r w:rsidRPr="5575EBFC">
        <w:rPr>
          <w:lang w:val="en-GB"/>
        </w:rPr>
        <w:t xml:space="preserve">contribution of science and technology to controlling </w:t>
      </w:r>
      <w:r w:rsidR="248CB439" w:rsidRPr="5575EBFC">
        <w:rPr>
          <w:lang w:val="en-GB"/>
        </w:rPr>
        <w:t xml:space="preserve">invasive alien species </w:t>
      </w:r>
      <w:r w:rsidR="12B0D278" w:rsidRPr="5575EBFC">
        <w:rPr>
          <w:lang w:val="en-GB"/>
        </w:rPr>
        <w:t xml:space="preserve">is </w:t>
      </w:r>
      <w:r w:rsidR="33787F0A" w:rsidRPr="5575EBFC">
        <w:rPr>
          <w:lang w:val="en-GB"/>
        </w:rPr>
        <w:t xml:space="preserve">dealt with in </w:t>
      </w:r>
      <w:r w:rsidR="66718FF2" w:rsidRPr="5575EBFC">
        <w:rPr>
          <w:b/>
          <w:bCs/>
          <w:lang w:val="en-GB"/>
        </w:rPr>
        <w:t>C</w:t>
      </w:r>
      <w:r w:rsidRPr="5575EBFC">
        <w:rPr>
          <w:b/>
          <w:bCs/>
          <w:lang w:val="en-GB"/>
        </w:rPr>
        <w:t>hapter 5</w:t>
      </w:r>
      <w:r w:rsidR="78B564D8" w:rsidRPr="5575EBFC">
        <w:rPr>
          <w:lang w:val="en-GB"/>
        </w:rPr>
        <w:t>,</w:t>
      </w:r>
      <w:r w:rsidR="78B564D8" w:rsidRPr="5575EBFC">
        <w:rPr>
          <w:b/>
          <w:bCs/>
          <w:lang w:val="en-GB"/>
        </w:rPr>
        <w:t xml:space="preserve"> section </w:t>
      </w:r>
      <w:r w:rsidR="32F597F7" w:rsidRPr="5575EBFC">
        <w:rPr>
          <w:b/>
          <w:bCs/>
          <w:lang w:val="en-GB"/>
        </w:rPr>
        <w:t>5.4.4</w:t>
      </w:r>
      <w:r w:rsidRPr="5575EBFC">
        <w:rPr>
          <w:b/>
          <w:bCs/>
          <w:lang w:val="en-GB"/>
        </w:rPr>
        <w:t>.</w:t>
      </w:r>
      <w:r w:rsidRPr="5575EBFC">
        <w:rPr>
          <w:lang w:val="en-GB"/>
        </w:rPr>
        <w:t xml:space="preserve"> </w:t>
      </w:r>
    </w:p>
    <w:p w14:paraId="70865442" w14:textId="77777777" w:rsidR="008C1BF7" w:rsidRPr="00DA249F" w:rsidRDefault="009F2D68" w:rsidP="0090109B">
      <w:pPr>
        <w:rPr>
          <w:lang w:val="en-GB"/>
        </w:rPr>
      </w:pPr>
      <w:r w:rsidRPr="009F2D68">
        <w:rPr>
          <w:noProof/>
          <w:lang w:val="en-GB"/>
        </w:rPr>
        <w:drawing>
          <wp:inline distT="0" distB="0" distL="0" distR="0" wp14:anchorId="3B3CA9D6" wp14:editId="56394126">
            <wp:extent cx="6115050" cy="2272030"/>
            <wp:effectExtent l="0" t="0" r="6350" b="1270"/>
            <wp:docPr id="39" name="Picture 39" descr="A diagram of a building&#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39" descr="A diagram of a building&#10;&#10;Description automatically generated with medium confidence"/>
                    <pic:cNvPicPr/>
                  </pic:nvPicPr>
                  <pic:blipFill>
                    <a:blip r:embed="rId30"/>
                    <a:stretch>
                      <a:fillRect/>
                    </a:stretch>
                  </pic:blipFill>
                  <pic:spPr>
                    <a:xfrm>
                      <a:off x="0" y="0"/>
                      <a:ext cx="6115050" cy="2272030"/>
                    </a:xfrm>
                    <a:prstGeom prst="rect">
                      <a:avLst/>
                    </a:prstGeom>
                    <a:ln>
                      <a:noFill/>
                    </a:ln>
                  </pic:spPr>
                </pic:pic>
              </a:graphicData>
            </a:graphic>
          </wp:inline>
        </w:drawing>
      </w:r>
    </w:p>
    <w:p w14:paraId="6C5B5179" w14:textId="68923E90" w:rsidR="00503114" w:rsidRPr="00DA249F" w:rsidRDefault="1C5A393C" w:rsidP="00C85F63">
      <w:pPr>
        <w:pStyle w:val="Caption"/>
        <w:rPr>
          <w:b w:val="0"/>
          <w:bCs w:val="0"/>
          <w:lang w:val="en-GB"/>
        </w:rPr>
      </w:pPr>
      <w:bookmarkStart w:id="125" w:name="_Ref104902530"/>
      <w:bookmarkStart w:id="126" w:name="_Toc147500897"/>
      <w:r w:rsidRPr="5575EBFC">
        <w:rPr>
          <w:lang w:val="en-GB"/>
        </w:rPr>
        <w:t>Figure</w:t>
      </w:r>
      <w:r w:rsidR="5198C15D" w:rsidRPr="5575EBFC">
        <w:rPr>
          <w:lang w:val="en-GB"/>
        </w:rPr>
        <w:t xml:space="preserve"> 3.</w:t>
      </w:r>
      <w:r w:rsidR="00503114" w:rsidRPr="5575EBFC">
        <w:rPr>
          <w:lang w:val="en-GB"/>
        </w:rPr>
        <w:fldChar w:fldCharType="begin"/>
      </w:r>
      <w:r w:rsidR="00503114" w:rsidRPr="5575EBFC">
        <w:rPr>
          <w:lang w:val="en-GB"/>
        </w:rPr>
        <w:instrText xml:space="preserve"> SEQ Figure_3. \* ARABIC </w:instrText>
      </w:r>
      <w:r w:rsidR="00503114" w:rsidRPr="5575EBFC">
        <w:rPr>
          <w:lang w:val="en-GB"/>
        </w:rPr>
        <w:fldChar w:fldCharType="separate"/>
      </w:r>
      <w:r w:rsidR="00287BC7">
        <w:rPr>
          <w:noProof/>
          <w:lang w:val="en-GB"/>
        </w:rPr>
        <w:t>12</w:t>
      </w:r>
      <w:r w:rsidR="00503114" w:rsidRPr="5575EBFC">
        <w:rPr>
          <w:lang w:val="en-GB"/>
        </w:rPr>
        <w:fldChar w:fldCharType="end"/>
      </w:r>
      <w:bookmarkEnd w:id="125"/>
      <w:r w:rsidR="7E2BBEA9" w:rsidRPr="5575EBFC">
        <w:rPr>
          <w:lang w:val="en-GB"/>
        </w:rPr>
        <w:t>.</w:t>
      </w:r>
      <w:r w:rsidRPr="5575EBFC">
        <w:rPr>
          <w:lang w:val="en-GB"/>
        </w:rPr>
        <w:t xml:space="preserve"> </w:t>
      </w:r>
      <w:r w:rsidR="7CE0F32F" w:rsidRPr="5575EBFC">
        <w:rPr>
          <w:b w:val="0"/>
          <w:bCs w:val="0"/>
          <w:lang w:val="en-GB"/>
        </w:rPr>
        <w:t xml:space="preserve">Examples of </w:t>
      </w:r>
      <w:r w:rsidRPr="5575EBFC">
        <w:rPr>
          <w:b w:val="0"/>
          <w:bCs w:val="0"/>
          <w:lang w:val="en-GB"/>
        </w:rPr>
        <w:t xml:space="preserve">the role of science and technology </w:t>
      </w:r>
      <w:r w:rsidR="0982AB55" w:rsidRPr="5575EBFC">
        <w:rPr>
          <w:b w:val="0"/>
          <w:bCs w:val="0"/>
          <w:lang w:val="en-GB"/>
        </w:rPr>
        <w:t xml:space="preserve">in facilitating </w:t>
      </w:r>
      <w:r w:rsidR="1BD1B867" w:rsidRPr="5575EBFC">
        <w:rPr>
          <w:b w:val="0"/>
          <w:bCs w:val="0"/>
          <w:lang w:val="en-GB"/>
        </w:rPr>
        <w:t xml:space="preserve">invasive alien species </w:t>
      </w:r>
      <w:r w:rsidR="5198C15D" w:rsidRPr="5575EBFC">
        <w:rPr>
          <w:b w:val="0"/>
          <w:bCs w:val="0"/>
          <w:lang w:val="en-GB"/>
        </w:rPr>
        <w:t>across</w:t>
      </w:r>
      <w:r w:rsidR="6E29ABB8" w:rsidRPr="5575EBFC">
        <w:rPr>
          <w:b w:val="0"/>
          <w:bCs w:val="0"/>
          <w:lang w:val="en-GB"/>
        </w:rPr>
        <w:t xml:space="preserve"> stages of the biological</w:t>
      </w:r>
      <w:r w:rsidR="5198C15D" w:rsidRPr="5575EBFC">
        <w:rPr>
          <w:b w:val="0"/>
          <w:bCs w:val="0"/>
          <w:lang w:val="en-GB"/>
        </w:rPr>
        <w:t xml:space="preserve"> </w:t>
      </w:r>
      <w:r w:rsidRPr="5575EBFC">
        <w:rPr>
          <w:b w:val="0"/>
          <w:bCs w:val="0"/>
          <w:lang w:val="en-GB"/>
        </w:rPr>
        <w:t>invasion</w:t>
      </w:r>
      <w:r w:rsidR="3CF6A157" w:rsidRPr="5575EBFC">
        <w:rPr>
          <w:b w:val="0"/>
          <w:bCs w:val="0"/>
          <w:lang w:val="en-GB"/>
        </w:rPr>
        <w:t xml:space="preserve"> process</w:t>
      </w:r>
      <w:r w:rsidR="0576F38D" w:rsidRPr="5575EBFC">
        <w:rPr>
          <w:b w:val="0"/>
          <w:bCs w:val="0"/>
          <w:lang w:val="en-GB"/>
        </w:rPr>
        <w:t>.</w:t>
      </w:r>
      <w:r w:rsidR="5198C15D" w:rsidRPr="5575EBFC">
        <w:rPr>
          <w:b w:val="0"/>
          <w:bCs w:val="0"/>
          <w:lang w:val="en-GB"/>
        </w:rPr>
        <w:t xml:space="preserve"> </w:t>
      </w:r>
      <w:r w:rsidR="0982AB55" w:rsidRPr="5575EBFC">
        <w:rPr>
          <w:b w:val="0"/>
          <w:bCs w:val="0"/>
          <w:lang w:val="en-GB"/>
        </w:rPr>
        <w:t>S</w:t>
      </w:r>
      <w:r w:rsidR="7708DD0B" w:rsidRPr="5575EBFC">
        <w:rPr>
          <w:b w:val="0"/>
          <w:bCs w:val="0"/>
          <w:lang w:val="en-GB"/>
        </w:rPr>
        <w:t>cience and technology</w:t>
      </w:r>
      <w:r w:rsidR="7AC0C083" w:rsidRPr="5575EBFC">
        <w:rPr>
          <w:b w:val="0"/>
          <w:bCs w:val="0"/>
          <w:lang w:val="en-GB"/>
        </w:rPr>
        <w:t xml:space="preserve"> </w:t>
      </w:r>
      <w:r w:rsidR="0982AB55" w:rsidRPr="5575EBFC">
        <w:rPr>
          <w:b w:val="0"/>
          <w:bCs w:val="0"/>
          <w:lang w:val="en-GB"/>
        </w:rPr>
        <w:t xml:space="preserve">can facilitate the transport and spread of invasive alien species via their specific use in research and their trade through e-commerce. </w:t>
      </w:r>
      <w:r w:rsidR="387B0475" w:rsidRPr="5575EBFC">
        <w:rPr>
          <w:b w:val="0"/>
          <w:bCs w:val="0"/>
          <w:lang w:val="en-GB"/>
        </w:rPr>
        <w:t xml:space="preserve">Breeding and genome technologies may </w:t>
      </w:r>
      <w:r w:rsidR="0464DA44" w:rsidRPr="5575EBFC">
        <w:rPr>
          <w:b w:val="0"/>
          <w:bCs w:val="0"/>
          <w:lang w:val="en-GB"/>
        </w:rPr>
        <w:t xml:space="preserve">select for traits that increase invasiveness, </w:t>
      </w:r>
      <w:r w:rsidR="4388F62F" w:rsidRPr="5575EBFC">
        <w:rPr>
          <w:b w:val="0"/>
          <w:bCs w:val="0"/>
          <w:lang w:val="en-GB"/>
        </w:rPr>
        <w:t xml:space="preserve">and research and </w:t>
      </w:r>
      <w:r w:rsidR="343F8EA9" w:rsidRPr="5575EBFC">
        <w:rPr>
          <w:b w:val="0"/>
          <w:bCs w:val="0"/>
          <w:lang w:val="en-GB"/>
        </w:rPr>
        <w:t>e-commerce can also facilitate further spread of invasive alien species.</w:t>
      </w:r>
      <w:bookmarkEnd w:id="126"/>
    </w:p>
    <w:p w14:paraId="06518593" w14:textId="77777777" w:rsidR="008C1BF7" w:rsidRPr="00DA249F" w:rsidRDefault="3C2C340C" w:rsidP="004826A3">
      <w:pPr>
        <w:pStyle w:val="Heading3"/>
        <w:rPr>
          <w:lang w:val="en-GB"/>
        </w:rPr>
      </w:pPr>
      <w:bookmarkStart w:id="127" w:name="_Toc44317806"/>
      <w:r w:rsidRPr="00DA249F">
        <w:rPr>
          <w:lang w:val="en-GB"/>
        </w:rPr>
        <w:lastRenderedPageBreak/>
        <w:t xml:space="preserve"> </w:t>
      </w:r>
      <w:r w:rsidR="2D0309A4" w:rsidRPr="00DA249F">
        <w:rPr>
          <w:lang w:val="en-GB"/>
        </w:rPr>
        <w:t>Research</w:t>
      </w:r>
      <w:bookmarkEnd w:id="127"/>
    </w:p>
    <w:p w14:paraId="007DFA33" w14:textId="77777777" w:rsidR="00AF6C9D" w:rsidRPr="00DA249F" w:rsidRDefault="18794F6F" w:rsidP="0090109B">
      <w:pPr>
        <w:rPr>
          <w:lang w:val="en-GB"/>
        </w:rPr>
      </w:pPr>
      <w:r w:rsidRPr="00DA249F">
        <w:rPr>
          <w:lang w:val="en-GB"/>
        </w:rPr>
        <w:t xml:space="preserve">Scientific research </w:t>
      </w:r>
      <w:r w:rsidR="00AA37F7" w:rsidRPr="00DA249F">
        <w:rPr>
          <w:lang w:val="en-GB"/>
        </w:rPr>
        <w:t xml:space="preserve">can </w:t>
      </w:r>
      <w:r w:rsidRPr="00DA249F">
        <w:rPr>
          <w:lang w:val="en-GB"/>
        </w:rPr>
        <w:t xml:space="preserve">involve the </w:t>
      </w:r>
      <w:r w:rsidR="745A567E" w:rsidRPr="00DA249F">
        <w:rPr>
          <w:lang w:val="en-GB"/>
        </w:rPr>
        <w:t>transport</w:t>
      </w:r>
      <w:r w:rsidRPr="00DA249F">
        <w:rPr>
          <w:lang w:val="en-GB"/>
        </w:rPr>
        <w:t xml:space="preserve">, rearing, storing, manipulation and experimental release </w:t>
      </w:r>
      <w:r w:rsidR="008A7CCB" w:rsidRPr="00DA249F">
        <w:rPr>
          <w:lang w:val="en-GB"/>
        </w:rPr>
        <w:t>(</w:t>
      </w:r>
      <w:r w:rsidRPr="00DA249F">
        <w:rPr>
          <w:lang w:val="en-GB"/>
        </w:rPr>
        <w:t xml:space="preserve">either </w:t>
      </w:r>
      <w:r w:rsidR="007E4B95" w:rsidRPr="00DA249F">
        <w:rPr>
          <w:lang w:val="en-GB"/>
        </w:rPr>
        <w:t xml:space="preserve">under </w:t>
      </w:r>
      <w:r w:rsidRPr="00DA249F">
        <w:rPr>
          <w:lang w:val="en-GB"/>
        </w:rPr>
        <w:t>controlled conditions or outdoors</w:t>
      </w:r>
      <w:r w:rsidR="008A7CCB" w:rsidRPr="00DA249F">
        <w:rPr>
          <w:lang w:val="en-GB"/>
        </w:rPr>
        <w:t xml:space="preserve">) </w:t>
      </w:r>
      <w:r w:rsidRPr="00DA249F">
        <w:rPr>
          <w:lang w:val="en-GB"/>
        </w:rPr>
        <w:t>of living organisms</w:t>
      </w:r>
      <w:r w:rsidR="00D37B22" w:rsidRPr="00DA249F">
        <w:rPr>
          <w:lang w:val="en-GB"/>
        </w:rPr>
        <w:t xml:space="preserve">. </w:t>
      </w:r>
      <w:r w:rsidRPr="00DA249F">
        <w:rPr>
          <w:lang w:val="en-GB"/>
        </w:rPr>
        <w:t>While most evidence to date point</w:t>
      </w:r>
      <w:r w:rsidR="74DC487A" w:rsidRPr="00DA249F">
        <w:rPr>
          <w:lang w:val="en-GB"/>
        </w:rPr>
        <w:t>s</w:t>
      </w:r>
      <w:r w:rsidRPr="00DA249F">
        <w:rPr>
          <w:lang w:val="en-GB"/>
        </w:rPr>
        <w:t xml:space="preserve"> to scientific research and related activities as important drivers in </w:t>
      </w:r>
      <w:r w:rsidR="00525323" w:rsidRPr="00DA249F">
        <w:rPr>
          <w:lang w:val="en-GB"/>
        </w:rPr>
        <w:t xml:space="preserve">the </w:t>
      </w:r>
      <w:r w:rsidR="02637AB2" w:rsidRPr="00DA249F">
        <w:rPr>
          <w:lang w:val="en-GB"/>
        </w:rPr>
        <w:t xml:space="preserve">stages of </w:t>
      </w:r>
      <w:r w:rsidR="3928902A" w:rsidRPr="00DA249F">
        <w:rPr>
          <w:lang w:val="en-GB"/>
        </w:rPr>
        <w:t>transportation</w:t>
      </w:r>
      <w:r w:rsidR="39F24674" w:rsidRPr="00DA249F">
        <w:rPr>
          <w:lang w:val="en-GB"/>
        </w:rPr>
        <w:t xml:space="preserve"> and </w:t>
      </w:r>
      <w:r w:rsidR="4301F662" w:rsidRPr="00DA249F">
        <w:rPr>
          <w:lang w:val="en-GB"/>
        </w:rPr>
        <w:t>introduction</w:t>
      </w:r>
      <w:r w:rsidR="2283BFA4" w:rsidRPr="00DA249F" w:rsidDel="008C1BF7">
        <w:rPr>
          <w:lang w:val="en-GB"/>
        </w:rPr>
        <w:t xml:space="preserve"> </w:t>
      </w:r>
      <w:r w:rsidRPr="00DA249F">
        <w:rPr>
          <w:lang w:val="en-GB"/>
        </w:rPr>
        <w:t xml:space="preserve">of </w:t>
      </w:r>
      <w:r w:rsidR="12C4966F" w:rsidRPr="00DA249F">
        <w:rPr>
          <w:lang w:val="en-GB"/>
        </w:rPr>
        <w:t>invasive alien species</w:t>
      </w:r>
      <w:r w:rsidRPr="00DA249F">
        <w:rPr>
          <w:lang w:val="en-GB"/>
        </w:rPr>
        <w:t xml:space="preserve">, there is a paucity of evidence on their role in </w:t>
      </w:r>
      <w:r w:rsidR="008FB310" w:rsidRPr="00DA249F">
        <w:rPr>
          <w:lang w:val="en-GB"/>
        </w:rPr>
        <w:t>establis</w:t>
      </w:r>
      <w:r w:rsidR="00C85F63" w:rsidRPr="00DA249F">
        <w:rPr>
          <w:lang w:val="en-GB"/>
        </w:rPr>
        <w:t>h</w:t>
      </w:r>
      <w:r w:rsidR="008FB310" w:rsidRPr="00DA249F">
        <w:rPr>
          <w:lang w:val="en-GB"/>
        </w:rPr>
        <w:t xml:space="preserve">ment and </w:t>
      </w:r>
      <w:r w:rsidR="3AEB77B9" w:rsidRPr="00DA249F">
        <w:rPr>
          <w:lang w:val="en-GB"/>
        </w:rPr>
        <w:t>spread</w:t>
      </w:r>
      <w:r w:rsidR="63514824" w:rsidRPr="00DA249F">
        <w:rPr>
          <w:lang w:val="en-GB"/>
        </w:rPr>
        <w:t>.</w:t>
      </w:r>
      <w:r w:rsidR="006F02BA" w:rsidRPr="00DA249F">
        <w:rPr>
          <w:lang w:val="en-GB"/>
        </w:rPr>
        <w:t xml:space="preserve"> </w:t>
      </w:r>
    </w:p>
    <w:p w14:paraId="7BF426ED" w14:textId="58638166" w:rsidR="00D75861" w:rsidRPr="00DA249F" w:rsidRDefault="008C1BF7" w:rsidP="00CA4134">
      <w:pPr>
        <w:spacing w:before="0"/>
        <w:rPr>
          <w:lang w:val="en-GB"/>
        </w:rPr>
      </w:pPr>
      <w:r w:rsidRPr="00DA249F">
        <w:rPr>
          <w:lang w:val="en-GB"/>
        </w:rPr>
        <w:t>The</w:t>
      </w:r>
      <w:r w:rsidR="007152FC" w:rsidRPr="00DA249F">
        <w:rPr>
          <w:lang w:val="en-GB"/>
        </w:rPr>
        <w:t>re are a number of documented examples of</w:t>
      </w:r>
      <w:r w:rsidR="00B01FF1" w:rsidRPr="00DA249F">
        <w:rPr>
          <w:lang w:val="en-GB"/>
        </w:rPr>
        <w:t xml:space="preserve"> </w:t>
      </w:r>
      <w:r w:rsidRPr="00DA249F">
        <w:rPr>
          <w:lang w:val="en-GB"/>
        </w:rPr>
        <w:t xml:space="preserve">use of organisms outside of their native ranges for laboratory research </w:t>
      </w:r>
      <w:r w:rsidR="00402511" w:rsidRPr="00DA249F">
        <w:rPr>
          <w:lang w:val="en-GB"/>
        </w:rPr>
        <w:t xml:space="preserve">which have </w:t>
      </w:r>
      <w:r w:rsidR="007152FC" w:rsidRPr="00DA249F">
        <w:rPr>
          <w:lang w:val="en-GB"/>
        </w:rPr>
        <w:t>result</w:t>
      </w:r>
      <w:r w:rsidR="00402511" w:rsidRPr="00DA249F">
        <w:rPr>
          <w:lang w:val="en-GB"/>
        </w:rPr>
        <w:t>ed</w:t>
      </w:r>
      <w:r w:rsidR="007152FC" w:rsidRPr="00DA249F">
        <w:rPr>
          <w:lang w:val="en-GB"/>
        </w:rPr>
        <w:t xml:space="preserve"> in</w:t>
      </w:r>
      <w:r w:rsidRPr="00DA249F">
        <w:rPr>
          <w:lang w:val="en-GB"/>
        </w:rPr>
        <w:t xml:space="preserve"> </w:t>
      </w:r>
      <w:r w:rsidR="007152FC" w:rsidRPr="00DA249F">
        <w:rPr>
          <w:lang w:val="en-GB"/>
        </w:rPr>
        <w:t>biological invasions</w:t>
      </w:r>
      <w:r w:rsidRPr="00DA249F">
        <w:rPr>
          <w:lang w:val="en-GB"/>
        </w:rPr>
        <w:t>. For in</w:t>
      </w:r>
      <w:r w:rsidR="00880802" w:rsidRPr="00DA249F">
        <w:rPr>
          <w:lang w:val="en-GB"/>
        </w:rPr>
        <w:t>stance,</w:t>
      </w:r>
      <w:r w:rsidRPr="00DA249F">
        <w:rPr>
          <w:lang w:val="en-GB"/>
        </w:rPr>
        <w:t xml:space="preserve"> </w:t>
      </w:r>
      <w:r w:rsidRPr="00DA249F">
        <w:rPr>
          <w:i/>
          <w:iCs/>
          <w:lang w:val="en-GB"/>
        </w:rPr>
        <w:t>Xenopus laevis</w:t>
      </w:r>
      <w:r w:rsidR="7654BE5D" w:rsidRPr="00DA249F">
        <w:rPr>
          <w:i/>
          <w:iCs/>
          <w:lang w:val="en-GB"/>
        </w:rPr>
        <w:t xml:space="preserve"> </w:t>
      </w:r>
      <w:r w:rsidR="7654BE5D" w:rsidRPr="00DA249F">
        <w:rPr>
          <w:lang w:val="en-GB"/>
        </w:rPr>
        <w:t>(African clawed frog</w:t>
      </w:r>
      <w:r w:rsidR="00880802" w:rsidRPr="00DA249F">
        <w:rPr>
          <w:lang w:val="en-GB"/>
        </w:rPr>
        <w:t>)</w:t>
      </w:r>
      <w:r w:rsidRPr="00DA249F">
        <w:rPr>
          <w:lang w:val="en-GB"/>
        </w:rPr>
        <w:t xml:space="preserve"> is the most studied amphibian worldwide and one of the best model organisms for studies in cell, molecular</w:t>
      </w:r>
      <w:r w:rsidR="009F7404">
        <w:rPr>
          <w:lang w:val="en-GB"/>
        </w:rPr>
        <w:t xml:space="preserve"> and</w:t>
      </w:r>
      <w:r w:rsidRPr="00DA249F">
        <w:rPr>
          <w:lang w:val="en-GB"/>
        </w:rPr>
        <w:t xml:space="preserve"> developmental biology. </w:t>
      </w:r>
      <w:r w:rsidR="5DAAB96C" w:rsidRPr="00DA249F">
        <w:rPr>
          <w:i/>
          <w:iCs/>
          <w:lang w:val="en-GB"/>
        </w:rPr>
        <w:t>Xenopus laevis</w:t>
      </w:r>
      <w:r w:rsidRPr="00DA249F">
        <w:rPr>
          <w:lang w:val="en-GB"/>
        </w:rPr>
        <w:t xml:space="preserve"> </w:t>
      </w:r>
      <w:r w:rsidR="5DAAB96C" w:rsidRPr="00DA249F">
        <w:rPr>
          <w:lang w:val="en-GB"/>
        </w:rPr>
        <w:t>has</w:t>
      </w:r>
      <w:r w:rsidRPr="00DA249F">
        <w:rPr>
          <w:lang w:val="en-GB"/>
        </w:rPr>
        <w:t xml:space="preserve"> been continuously introduced for the past 50 years, and </w:t>
      </w:r>
      <w:r w:rsidR="000A5428" w:rsidRPr="00DA249F">
        <w:rPr>
          <w:lang w:val="en-GB"/>
        </w:rPr>
        <w:t xml:space="preserve">intentionally </w:t>
      </w:r>
      <w:r w:rsidRPr="00DA249F">
        <w:rPr>
          <w:lang w:val="en-GB"/>
        </w:rPr>
        <w:t>released in Europe, Asia</w:t>
      </w:r>
      <w:r w:rsidR="009F7404">
        <w:rPr>
          <w:lang w:val="en-GB"/>
        </w:rPr>
        <w:t xml:space="preserve"> and</w:t>
      </w:r>
      <w:r w:rsidRPr="00DA249F">
        <w:rPr>
          <w:lang w:val="en-GB"/>
        </w:rPr>
        <w:t xml:space="preserve"> North and South America</w:t>
      </w:r>
      <w:r w:rsidR="008A6E11" w:rsidRPr="00DA249F">
        <w:rPr>
          <w:lang w:val="en-GB"/>
        </w:rPr>
        <w:t xml:space="preserve"> and </w:t>
      </w:r>
      <w:r w:rsidR="0B3A0D7E" w:rsidRPr="00DA249F">
        <w:rPr>
          <w:lang w:val="en-GB"/>
        </w:rPr>
        <w:t xml:space="preserve">is likely </w:t>
      </w:r>
      <w:r w:rsidR="39F6FEA3" w:rsidRPr="00DA249F">
        <w:rPr>
          <w:lang w:val="en-GB"/>
        </w:rPr>
        <w:t>responsible for the</w:t>
      </w:r>
      <w:r w:rsidR="0D6F3F40" w:rsidRPr="00DA249F">
        <w:rPr>
          <w:lang w:val="en-GB"/>
        </w:rPr>
        <w:t xml:space="preserve"> </w:t>
      </w:r>
      <w:r w:rsidR="00255F14" w:rsidRPr="00DA249F">
        <w:rPr>
          <w:lang w:val="en-GB"/>
        </w:rPr>
        <w:t>spread of the chytrid fungu</w:t>
      </w:r>
      <w:r w:rsidR="00255F14" w:rsidRPr="00DA249F">
        <w:rPr>
          <w:rFonts w:eastAsia="游明朝"/>
          <w:lang w:val="en-GB"/>
        </w:rPr>
        <w:t>s</w:t>
      </w:r>
      <w:r w:rsidR="00255F14" w:rsidRPr="00DA249F">
        <w:rPr>
          <w:lang w:val="en-GB"/>
        </w:rPr>
        <w:t xml:space="preserve"> </w:t>
      </w:r>
      <w:r w:rsidR="00347819">
        <w:rPr>
          <w:lang w:val="en-GB"/>
        </w:rPr>
        <w:t>of</w:t>
      </w:r>
      <w:r w:rsidR="00255F14" w:rsidRPr="00DA249F">
        <w:rPr>
          <w:lang w:val="en-GB"/>
        </w:rPr>
        <w:t xml:space="preserve"> the genus </w:t>
      </w:r>
      <w:r w:rsidR="00255F14" w:rsidRPr="00DA249F">
        <w:rPr>
          <w:i/>
          <w:iCs/>
          <w:lang w:val="en-GB"/>
        </w:rPr>
        <w:t>Batrachochytrium</w:t>
      </w:r>
      <w:r w:rsidR="1D44AC94" w:rsidRPr="00DA249F">
        <w:rPr>
          <w:lang w:val="en-GB"/>
        </w:rPr>
        <w:t xml:space="preserve"> </w:t>
      </w:r>
      <w:r w:rsidRPr="00DA249F">
        <w:rPr>
          <w:lang w:val="en-GB"/>
        </w:rPr>
        <w:fldChar w:fldCharType="begin"/>
      </w:r>
      <w:r w:rsidR="00331A79">
        <w:rPr>
          <w:lang w:val="en-GB"/>
        </w:rPr>
        <w:instrText xml:space="preserve"> ADDIN ZOTERO_ITEM CSL_CITATION {"citationID":"4IgJmADF","properties":{"formattedCitation":"(Fisher &amp; Garner, 2007, 2020; Weldon et al., 2004)","plainCitation":"(Fisher &amp; Garner, 2007, 2020; Weldon et al., 2004)","noteIndex":0},"citationItems":[{"id":23422,"uris":["http://zotero.org/groups/2352922/items/F3V95HUA"],"itemData":{"id":23422,"type":"article-journal","container-title":"Fungal Biology Reviews","DOI":"10.1016/j.fbr.2007.02.002","issue":"1","note":"publisher: Elsevier","page":"2–9","title":"The relationship between the emergence of &lt;i&gt;Batrachochytrium dendrobatidis&lt;/i&gt;, the international trade in amphibians and introduced amphibian species","URL":"https://doi.org/10.1016/j.fbr.2007.02.002","volume":"21","author":[{"family":"Fisher","given":"Matthew C."},{"family":"Garner","given":"Trenton W. J."}],"issued":{"date-parts":[["2007"]]}}},{"id":30761,"uris":["http://zotero.org/groups/2352922/items/LCQCDRGG"],"itemData":{"id":30761,"type":"article-journal","abstract":"Discovering that chytrid fungi cause chytridiomycosis in amphibians represented a paradigm shift in our understanding of how emerging infectious diseases contribute to global patterns of biodiversity loss. In this Review we describe how the use of multidisciplinary biological approaches has been essential to pinpointing the origins of amphibian-parasitizing chytrid fungi, including Batrachochytrium dendrobatidis and Batrachochytrium salamandrivorans, as well as to timing their emergence, tracking their cycles of expansion and identifying the core mechanisms that underpin their pathogenicity. We discuss the development of the experimental methods and bioinformatics toolkits that have provided a fuller understanding of batrachochytrid biology and informed policy and control measures.","container-title":"Nature Reviews Microbiology","DOI":"10.1038/s41579-020-0335-x","ISSN":"1740-1526, 1740-1534","issue":"6","journalAbbreviation":"Nat Rev Microbiol","language":"en","page":"332-343","source":"DOI.org (Crossref)","title":"Chytrid fungi and global amphibian declines","URL":"http://www.nature.com/articles/s41579-020-0335-x","volume":"18","author":[{"family":"Fisher","given":"Matthew C."},{"family":"Garner","given":"Trenton W. J."}],"accessed":{"date-parts":[["2021",3,11]]},"issued":{"date-parts":[["2020",6]]}}},{"id":10527,"uris":["http://zotero.org/groups/2352922/items/D5HWFHC3"],"itemData":{"id":10527,"type":"article-journal","abstract":"Histologic evidence indicates southern Africa as the origin of the amphibian chytrid fungus., The sudden appearance of chytridiomycosis, the cause of amphibian deaths and population declines in several continents, suggests that its etiologic agent, the amphibian chytrid Batrachochytrium dendrobatidis, was introduced into the affected regions. However, the origin of this virulent pathogen is unknown. A survey was conducted of 697 archived specimens of 3 species of Xenopus collected from 1879 to 1999 in southern Africa in which the histologic features of the interdigital webbing were analyzed. The earliest case of chytridiomycosis found was in a Xenopus laevis frog in 1938, and overall prevalence was 2.7%. The prevalence showed no significant differences between species, regions, season, or time period. Chytridiomycosis was a stable endemic infection in southern Africa for 23 years before any positive specimen was found outside Africa. We propose that Africa is the origin of the amphibian chytrid and that the international trade in X. laevis that began in the mid-1930s was the means of dissemination.","container-title":"Emerging Infectious Diseases","DOI":"10.3201/eid1012.030804","ISSN":"1080-6040, 1080-6059","issue":"12","journalAbbreviation":"Emerg. Infect. Dis.","page":"2100-2105","source":"DOI.org (Crossref)","title":"Origin of the amphibian chytrid fungus","URL":"http://wwwnc.cdc.gov/eid/article/10/12/03-0804_article.htm","volume":"10","author":[{"family":"Weldon","given":"Ché"},{"family":"Preez","given":"Louis H.","non-dropping-particle":"du"},{"family":"Hyatt","given":"Alex D."},{"family":"Muller","given":"Reinhold"},{"family":"Speare","given":"Rick"}],"accessed":{"date-parts":[["2021",3,11]]},"issued":{"date-parts":[["2004",12]]}}}],"schema":"https://github.com/citation-style-language/schema/raw/master/csl-citation.json"} </w:instrText>
      </w:r>
      <w:r w:rsidRPr="00DA249F">
        <w:rPr>
          <w:lang w:val="en-GB"/>
        </w:rPr>
        <w:fldChar w:fldCharType="separate"/>
      </w:r>
      <w:r w:rsidR="00144D96" w:rsidRPr="00144D96">
        <w:t>(Fisher &amp; Garner, 2007, 2020; Weldon et al., 2004)</w:t>
      </w:r>
      <w:r w:rsidRPr="00DA249F">
        <w:rPr>
          <w:lang w:val="en-GB"/>
        </w:rPr>
        <w:fldChar w:fldCharType="end"/>
      </w:r>
      <w:r w:rsidR="2BF3F958" w:rsidRPr="00DA249F">
        <w:rPr>
          <w:lang w:val="en-GB"/>
        </w:rPr>
        <w:t>.</w:t>
      </w:r>
      <w:r w:rsidR="0A45B74B" w:rsidRPr="00DA249F">
        <w:rPr>
          <w:lang w:val="en-GB"/>
        </w:rPr>
        <w:t xml:space="preserve"> Agronomic research has also </w:t>
      </w:r>
      <w:r w:rsidR="7565B60B" w:rsidRPr="00DA249F">
        <w:rPr>
          <w:lang w:val="en-GB"/>
        </w:rPr>
        <w:t>led</w:t>
      </w:r>
      <w:r w:rsidR="0A45B74B" w:rsidRPr="00DA249F">
        <w:rPr>
          <w:lang w:val="en-GB"/>
        </w:rPr>
        <w:t xml:space="preserve"> to t</w:t>
      </w:r>
      <w:r w:rsidR="5BF907EB" w:rsidRPr="00DA249F">
        <w:rPr>
          <w:lang w:val="en-GB"/>
        </w:rPr>
        <w:t xml:space="preserve">he introduction </w:t>
      </w:r>
      <w:r w:rsidR="0A45B74B" w:rsidRPr="00DA249F">
        <w:rPr>
          <w:lang w:val="en-GB"/>
        </w:rPr>
        <w:t>of</w:t>
      </w:r>
      <w:r w:rsidR="653D7436" w:rsidRPr="00DA249F">
        <w:rPr>
          <w:lang w:val="en-GB"/>
        </w:rPr>
        <w:t xml:space="preserve"> wild relatives of crops</w:t>
      </w:r>
      <w:r w:rsidR="0A45B74B" w:rsidRPr="00DA249F">
        <w:rPr>
          <w:lang w:val="en-GB"/>
        </w:rPr>
        <w:t xml:space="preserve"> </w:t>
      </w:r>
      <w:r w:rsidR="30A8A0AE" w:rsidRPr="00DA249F">
        <w:rPr>
          <w:lang w:val="en-GB"/>
        </w:rPr>
        <w:t>outside their ranges</w:t>
      </w:r>
      <w:r w:rsidR="00F22E5E" w:rsidRPr="00DA249F">
        <w:rPr>
          <w:lang w:val="en-GB"/>
        </w:rPr>
        <w:t>. For</w:t>
      </w:r>
      <w:r w:rsidR="3288FC1A" w:rsidRPr="00DA249F">
        <w:rPr>
          <w:lang w:val="en-GB"/>
        </w:rPr>
        <w:t xml:space="preserve"> instance, </w:t>
      </w:r>
      <w:r w:rsidR="313E56E4" w:rsidRPr="00DA249F">
        <w:rPr>
          <w:lang w:val="en-GB"/>
        </w:rPr>
        <w:t xml:space="preserve">populations of </w:t>
      </w:r>
      <w:r w:rsidR="3288FC1A" w:rsidRPr="00DA249F">
        <w:rPr>
          <w:i/>
          <w:iCs/>
          <w:lang w:val="en-GB"/>
        </w:rPr>
        <w:t>So</w:t>
      </w:r>
      <w:r w:rsidR="0BF90A71" w:rsidRPr="00DA249F">
        <w:rPr>
          <w:i/>
          <w:iCs/>
          <w:lang w:val="en-GB"/>
        </w:rPr>
        <w:t>lanum chacoense</w:t>
      </w:r>
      <w:r w:rsidR="00CA4134" w:rsidRPr="00DA249F">
        <w:rPr>
          <w:lang w:val="en-GB"/>
        </w:rPr>
        <w:t xml:space="preserve"> (Chaco </w:t>
      </w:r>
      <w:r w:rsidR="00666988">
        <w:rPr>
          <w:lang w:val="en-GB"/>
        </w:rPr>
        <w:t>p</w:t>
      </w:r>
      <w:r w:rsidR="00CA4134" w:rsidRPr="00DA249F">
        <w:rPr>
          <w:lang w:val="en-GB"/>
        </w:rPr>
        <w:t>otato)</w:t>
      </w:r>
      <w:r w:rsidR="00B406A8" w:rsidRPr="00DA249F">
        <w:rPr>
          <w:lang w:val="en-GB"/>
        </w:rPr>
        <w:t>,</w:t>
      </w:r>
      <w:r w:rsidR="0BF90A71" w:rsidRPr="00DA249F">
        <w:rPr>
          <w:lang w:val="en-GB"/>
        </w:rPr>
        <w:t xml:space="preserve"> a wild relative </w:t>
      </w:r>
      <w:r w:rsidR="2A53C9FB" w:rsidRPr="00DA249F">
        <w:rPr>
          <w:lang w:val="en-GB"/>
        </w:rPr>
        <w:t>of</w:t>
      </w:r>
      <w:r w:rsidR="006F02BA" w:rsidRPr="00DA249F">
        <w:rPr>
          <w:lang w:val="en-GB"/>
        </w:rPr>
        <w:t xml:space="preserve"> </w:t>
      </w:r>
      <w:r w:rsidR="0BF90A71" w:rsidRPr="00DA249F">
        <w:rPr>
          <w:i/>
          <w:iCs/>
          <w:lang w:val="en-GB"/>
        </w:rPr>
        <w:t>Solanum tuberosum</w:t>
      </w:r>
      <w:r w:rsidR="4B28308E" w:rsidRPr="00DA249F">
        <w:rPr>
          <w:i/>
          <w:iCs/>
          <w:lang w:val="en-GB"/>
        </w:rPr>
        <w:t xml:space="preserve"> </w:t>
      </w:r>
      <w:r w:rsidR="4B28308E" w:rsidRPr="00DA249F">
        <w:rPr>
          <w:lang w:val="en-GB"/>
        </w:rPr>
        <w:t>(potato)</w:t>
      </w:r>
      <w:r w:rsidR="00B406A8" w:rsidRPr="00DA249F">
        <w:rPr>
          <w:lang w:val="en-GB"/>
        </w:rPr>
        <w:t>,</w:t>
      </w:r>
      <w:r w:rsidR="2C6D98F6" w:rsidRPr="00DA249F">
        <w:rPr>
          <w:lang w:val="en-GB"/>
        </w:rPr>
        <w:t xml:space="preserve"> </w:t>
      </w:r>
      <w:r w:rsidR="0BF90A71" w:rsidRPr="00DA249F">
        <w:rPr>
          <w:lang w:val="en-GB"/>
        </w:rPr>
        <w:t xml:space="preserve">has </w:t>
      </w:r>
      <w:r w:rsidR="4FA8E381" w:rsidRPr="00DA249F">
        <w:rPr>
          <w:lang w:val="en-GB"/>
        </w:rPr>
        <w:t>established</w:t>
      </w:r>
      <w:r w:rsidR="6B61B4A2" w:rsidRPr="00DA249F">
        <w:rPr>
          <w:lang w:val="en-GB"/>
        </w:rPr>
        <w:t xml:space="preserve"> close to research </w:t>
      </w:r>
      <w:r w:rsidR="3A75A848" w:rsidRPr="00DA249F">
        <w:rPr>
          <w:lang w:val="en-GB"/>
        </w:rPr>
        <w:t>centres</w:t>
      </w:r>
      <w:r w:rsidR="6B61B4A2" w:rsidRPr="00DA249F">
        <w:rPr>
          <w:lang w:val="en-GB"/>
        </w:rPr>
        <w:t xml:space="preserve"> where </w:t>
      </w:r>
      <w:r w:rsidR="6A00D7D3" w:rsidRPr="00DA249F">
        <w:rPr>
          <w:lang w:val="en-GB"/>
        </w:rPr>
        <w:t>the species</w:t>
      </w:r>
      <w:r w:rsidR="4A812A3A" w:rsidRPr="00DA249F">
        <w:rPr>
          <w:lang w:val="en-GB"/>
        </w:rPr>
        <w:t xml:space="preserve"> </w:t>
      </w:r>
      <w:r w:rsidR="6B61B4A2" w:rsidRPr="00DA249F">
        <w:rPr>
          <w:lang w:val="en-GB"/>
        </w:rPr>
        <w:t>was most certainly introduced as part of breeding programs in Australia, China,</w:t>
      </w:r>
      <w:r w:rsidR="7F586560" w:rsidRPr="00DA249F">
        <w:rPr>
          <w:lang w:val="en-GB"/>
        </w:rPr>
        <w:t xml:space="preserve"> New Zealand, </w:t>
      </w:r>
      <w:r w:rsidR="6B61B4A2" w:rsidRPr="00DA249F">
        <w:rPr>
          <w:lang w:val="en-GB"/>
        </w:rPr>
        <w:t>U</w:t>
      </w:r>
      <w:r w:rsidR="005002C4" w:rsidRPr="00DA249F">
        <w:rPr>
          <w:lang w:val="en-GB"/>
        </w:rPr>
        <w:t xml:space="preserve">nited </w:t>
      </w:r>
      <w:r w:rsidR="6B61B4A2" w:rsidRPr="00DA249F">
        <w:rPr>
          <w:lang w:val="en-GB"/>
        </w:rPr>
        <w:t>S</w:t>
      </w:r>
      <w:r w:rsidR="005002C4" w:rsidRPr="00DA249F">
        <w:rPr>
          <w:lang w:val="en-GB"/>
        </w:rPr>
        <w:t>tates</w:t>
      </w:r>
      <w:r w:rsidR="009F7404">
        <w:rPr>
          <w:lang w:val="en-GB"/>
        </w:rPr>
        <w:t xml:space="preserve"> and</w:t>
      </w:r>
      <w:r w:rsidR="6B61B4A2" w:rsidRPr="00DA249F">
        <w:rPr>
          <w:lang w:val="en-GB"/>
        </w:rPr>
        <w:t xml:space="preserve"> Argentina</w:t>
      </w:r>
      <w:r w:rsidR="6AF3D29F" w:rsidRPr="00DA249F">
        <w:rPr>
          <w:lang w:val="en-GB"/>
        </w:rPr>
        <w:t xml:space="preserve"> </w:t>
      </w:r>
      <w:r w:rsidRPr="00DA249F">
        <w:rPr>
          <w:lang w:val="en-GB"/>
        </w:rPr>
        <w:fldChar w:fldCharType="begin"/>
      </w:r>
      <w:r w:rsidR="00331A79">
        <w:rPr>
          <w:lang w:val="en-GB"/>
        </w:rPr>
        <w:instrText xml:space="preserve"> ADDIN ZOTERO_ITEM CSL_CITATION {"citationID":"Rx2hMJDW","properties":{"formattedCitation":"(Simon et al., 2010)","plainCitation":"(Simon et al., 2010)","noteIndex":0},"citationItems":[{"id":30876,"uris":["http://zotero.org/groups/2352922/items/HNG6AW2F"],"itemData":{"id":30876,"type":"article-journal","abstract":"Wild potato contains about 100 species that are native to the Americas from the southwestern United States to central Chile and adjacent Argentina, Uruguay, Paraguay, and southern Brazil. We report the occurrence of naturalized populations of the wild potato Solanum chacoense in seven sites in southern Australia, eastern China, England, New Zealand, the eastern United States, central Peru, and east-central Argentina. Modeling similar climatic niches on the basis of the distribution of S. chacoense from South America shows that observations of naturalized S. chacoense overlap with predicted areas. A literature review reveals that although S. chacoense possesses traits typical of an invasive species, all populations presently appear to be contained near their site of introduction.Nomenclature: Solanum chacoense Bitter; wild tuber-bearing potatoes, Solanum L. section Petota Dumort; cultivated potato, Solanum tuberosum L","container-title":"Invasive Plant Science and Management","DOI":"10.1614/IPSM-D-09-00043.1","ISSN":"1939-7291, 1939-747X","issue":"3","journalAbbreviation":"ipsm","note":"publisher: Weed Science Society of America","page":"286-293","source":"bioone.org","title":"Wild and Cultivated Potato (&lt;i&gt;Solanum&lt;/i&gt; sect. &lt;i&gt;Petota&lt;/i&gt;) Escaped and Persistent Outside of its Natural Range","URL":"https://bioone.org/journals/invasive-plant-science-and-management/volume-3/issue-3/IPSM-D-09-00043.1/Wild-and-Cultivated-Potato-Solanum-sect-Petota-Escaped-and-Persistent/10.1614/IPSM-D-09-00043.1.full","volume":"3","author":[{"family":"Simon","given":"Reinhard"},{"family":"Xie","given":"Conghua H."},{"family":"Clausen","given":"Andrea"},{"family":"Jansky","given":"Shelley H."},{"family":"Halterman","given":"Dennis"},{"family":"Conner","given":"Tony"},{"family":"Knapp","given":"Sandra"},{"family":"Brundage","given":"Jennifer"},{"family":"Symon","given":"David"},{"family":"Spooner","given":"David"}],"accessed":{"date-parts":[["2021",2,10]]},"issued":{"date-parts":[["2010",7]]}}}],"schema":"https://github.com/citation-style-language/schema/raw/master/csl-citation.json"} </w:instrText>
      </w:r>
      <w:r w:rsidRPr="00DA249F">
        <w:rPr>
          <w:lang w:val="en-GB"/>
        </w:rPr>
        <w:fldChar w:fldCharType="separate"/>
      </w:r>
      <w:r w:rsidR="00144D96" w:rsidRPr="00144D96">
        <w:t>(Simon et al., 2010)</w:t>
      </w:r>
      <w:r w:rsidRPr="00DA249F">
        <w:rPr>
          <w:lang w:val="en-GB"/>
        </w:rPr>
        <w:fldChar w:fldCharType="end"/>
      </w:r>
      <w:r w:rsidR="334A5ECC" w:rsidRPr="00DA249F">
        <w:rPr>
          <w:lang w:val="en-GB"/>
        </w:rPr>
        <w:t>.</w:t>
      </w:r>
      <w:r w:rsidR="00D75861" w:rsidRPr="00DA249F">
        <w:rPr>
          <w:lang w:val="en-GB"/>
        </w:rPr>
        <w:t xml:space="preserve"> </w:t>
      </w:r>
      <w:r w:rsidR="003977B9" w:rsidRPr="00DA249F">
        <w:rPr>
          <w:lang w:val="en-GB"/>
        </w:rPr>
        <w:t xml:space="preserve">Unintentional </w:t>
      </w:r>
      <w:r w:rsidR="5DAAB96C" w:rsidRPr="00DA249F">
        <w:rPr>
          <w:lang w:val="en-GB"/>
        </w:rPr>
        <w:t>or intentional releases</w:t>
      </w:r>
      <w:r w:rsidR="21ABC300" w:rsidRPr="00DA249F">
        <w:rPr>
          <w:lang w:val="en-GB"/>
        </w:rPr>
        <w:t xml:space="preserve"> from aquaria have been listed among the major sources of invasive alien invertebrates and fishes in estuaries and rivers </w:t>
      </w:r>
      <w:r w:rsidRPr="00DA249F">
        <w:rPr>
          <w:lang w:val="en-GB"/>
        </w:rPr>
        <w:fldChar w:fldCharType="begin"/>
      </w:r>
      <w:r w:rsidR="00331A79">
        <w:rPr>
          <w:lang w:val="en-GB"/>
        </w:rPr>
        <w:instrText xml:space="preserve"> ADDIN ZOTERO_ITEM CSL_CITATION {"citationID":"a1en24i2eqd","properties":{"formattedCitation":"(Englund, 2002)","plainCitation":"(Englund, 2002)","noteIndex":0},"citationItems":[{"id":12599,"uris":["http://zotero.org/groups/2352922/items/CWBRMKW8"],"itemData":{"id":12599,"type":"article-journal","container-title":"Estuaries","DOI":"10.1007/BF02695984","ISSN":"0160-8347","issue":"3","journalAbbreviation":"Estuaries","language":"en","page":"418-430","source":"DOI.org (Crossref)","title":"The loss of native biodiversity and continuing nonindigenous species introductions in freshwater, estuarine, and wetland communities of Pearl Harbor, Oahu, Hawaiian Islands","URL":"http://link.springer.com/10.1007/BF02695984","volume":"25","author":[{"family":"Englund","given":"Ronald A."}],"accessed":{"date-parts":[["2019",10,21]]},"issued":{"date-parts":[["2002",6]]}}}],"schema":"https://github.com/citation-style-language/schema/raw/master/csl-citation.json"} </w:instrText>
      </w:r>
      <w:r w:rsidRPr="00DA249F">
        <w:rPr>
          <w:lang w:val="en-GB"/>
        </w:rPr>
        <w:fldChar w:fldCharType="separate"/>
      </w:r>
      <w:r w:rsidR="00144D96" w:rsidRPr="00144D96">
        <w:t>(Englund, 2002)</w:t>
      </w:r>
      <w:r w:rsidRPr="00DA249F">
        <w:rPr>
          <w:lang w:val="en-GB"/>
        </w:rPr>
        <w:fldChar w:fldCharType="end"/>
      </w:r>
      <w:r w:rsidR="1CF7576F" w:rsidRPr="00DA249F">
        <w:rPr>
          <w:lang w:val="en-GB"/>
        </w:rPr>
        <w:t xml:space="preserve">, and escapes of plant propagules or seeds </w:t>
      </w:r>
      <w:r w:rsidR="005C16B5" w:rsidRPr="00DA249F">
        <w:rPr>
          <w:lang w:val="en-GB"/>
        </w:rPr>
        <w:t xml:space="preserve">from botanic gardens </w:t>
      </w:r>
      <w:r w:rsidR="1CF7576F" w:rsidRPr="00DA249F">
        <w:rPr>
          <w:lang w:val="en-GB"/>
        </w:rPr>
        <w:t xml:space="preserve">is also responsible for some </w:t>
      </w:r>
      <w:r w:rsidR="3D33D90C" w:rsidRPr="00DA249F">
        <w:rPr>
          <w:lang w:val="en-GB"/>
        </w:rPr>
        <w:t xml:space="preserve">major plant invasions </w:t>
      </w:r>
      <w:r w:rsidR="6D407663" w:rsidRPr="00DA249F">
        <w:rPr>
          <w:lang w:val="en-GB"/>
        </w:rPr>
        <w:t>(</w:t>
      </w:r>
      <w:r w:rsidR="00E23B69">
        <w:rPr>
          <w:b/>
          <w:iCs/>
          <w:lang w:val="en-GB"/>
        </w:rPr>
        <w:t>Box</w:t>
      </w:r>
      <w:r w:rsidR="009F2D68">
        <w:rPr>
          <w:b/>
          <w:iCs/>
          <w:lang w:val="en-GB"/>
        </w:rPr>
        <w:t xml:space="preserve"> 3.5</w:t>
      </w:r>
      <w:r w:rsidR="6D407663" w:rsidRPr="00DA249F">
        <w:rPr>
          <w:lang w:val="en-GB"/>
        </w:rPr>
        <w:t>)</w:t>
      </w:r>
      <w:r w:rsidR="21ABC300" w:rsidRPr="00DA249F">
        <w:rPr>
          <w:lang w:val="en-GB"/>
        </w:rPr>
        <w:t>.</w:t>
      </w:r>
      <w:r w:rsidR="5DAAB96C" w:rsidRPr="00DA249F">
        <w:rPr>
          <w:lang w:val="en-GB"/>
        </w:rPr>
        <w:t xml:space="preserve"> </w:t>
      </w:r>
      <w:r w:rsidRPr="00DA249F">
        <w:rPr>
          <w:lang w:val="en-GB"/>
        </w:rPr>
        <w:t xml:space="preserve">In addition, </w:t>
      </w:r>
      <w:r w:rsidR="003977B9" w:rsidRPr="00DA249F">
        <w:rPr>
          <w:lang w:val="en-GB"/>
        </w:rPr>
        <w:t xml:space="preserve">unintentional </w:t>
      </w:r>
      <w:r w:rsidRPr="00DA249F">
        <w:rPr>
          <w:lang w:val="en-GB"/>
        </w:rPr>
        <w:t xml:space="preserve">releases from experimental farms conducting </w:t>
      </w:r>
      <w:r w:rsidR="00FE403A">
        <w:rPr>
          <w:lang w:val="en-GB"/>
        </w:rPr>
        <w:t xml:space="preserve">agricultural </w:t>
      </w:r>
      <w:r w:rsidRPr="00DA249F">
        <w:rPr>
          <w:lang w:val="en-GB"/>
        </w:rPr>
        <w:t xml:space="preserve">research </w:t>
      </w:r>
      <w:r w:rsidR="00CA0C6B" w:rsidRPr="00DA249F">
        <w:rPr>
          <w:lang w:val="en-GB"/>
        </w:rPr>
        <w:t>(</w:t>
      </w:r>
      <w:r w:rsidR="00B16955" w:rsidRPr="00862486">
        <w:rPr>
          <w:b/>
          <w:iCs/>
          <w:lang w:val="en-GB"/>
        </w:rPr>
        <w:t>s</w:t>
      </w:r>
      <w:r w:rsidR="793CE6E8" w:rsidRPr="00862486">
        <w:rPr>
          <w:b/>
          <w:iCs/>
          <w:lang w:val="en-GB"/>
        </w:rPr>
        <w:t>ection 3.3</w:t>
      </w:r>
      <w:r w:rsidR="00420A4C" w:rsidRPr="00862486">
        <w:rPr>
          <w:b/>
          <w:iCs/>
          <w:lang w:val="en-GB"/>
        </w:rPr>
        <w:t>.</w:t>
      </w:r>
      <w:r w:rsidR="00E20820" w:rsidRPr="00862486">
        <w:rPr>
          <w:b/>
          <w:iCs/>
          <w:lang w:val="en-GB"/>
        </w:rPr>
        <w:t>1.</w:t>
      </w:r>
      <w:r w:rsidR="006D652D" w:rsidRPr="00862486">
        <w:rPr>
          <w:b/>
          <w:iCs/>
          <w:lang w:val="en-GB"/>
        </w:rPr>
        <w:t>1</w:t>
      </w:r>
      <w:r w:rsidR="00420A4C" w:rsidRPr="00862486">
        <w:rPr>
          <w:b/>
          <w:iCs/>
          <w:lang w:val="en-GB"/>
        </w:rPr>
        <w:t>.</w:t>
      </w:r>
      <w:r w:rsidR="006D652D" w:rsidRPr="00862486">
        <w:rPr>
          <w:b/>
          <w:iCs/>
          <w:lang w:val="en-GB"/>
        </w:rPr>
        <w:t>4</w:t>
      </w:r>
      <w:r w:rsidR="793CE6E8" w:rsidRPr="00DA249F">
        <w:rPr>
          <w:lang w:val="en-GB"/>
        </w:rPr>
        <w:t>)</w:t>
      </w:r>
      <w:r w:rsidR="002621D9" w:rsidRPr="00DA249F">
        <w:rPr>
          <w:lang w:val="en-GB"/>
        </w:rPr>
        <w:t xml:space="preserve"> </w:t>
      </w:r>
      <w:r w:rsidR="793CE6E8" w:rsidRPr="00DA249F">
        <w:rPr>
          <w:lang w:val="en-GB"/>
        </w:rPr>
        <w:t xml:space="preserve">are </w:t>
      </w:r>
      <w:r w:rsidR="00FE403A">
        <w:rPr>
          <w:lang w:val="en-GB"/>
        </w:rPr>
        <w:t>major</w:t>
      </w:r>
      <w:r w:rsidR="00FE403A" w:rsidRPr="00DA249F">
        <w:rPr>
          <w:lang w:val="en-GB"/>
        </w:rPr>
        <w:t xml:space="preserve"> </w:t>
      </w:r>
      <w:r w:rsidR="793CE6E8" w:rsidRPr="00DA249F">
        <w:rPr>
          <w:lang w:val="en-GB"/>
        </w:rPr>
        <w:t xml:space="preserve">sources of some of the established populations of highly invasive mammals and birds </w:t>
      </w:r>
      <w:r w:rsidR="0065689F" w:rsidRPr="00DA249F">
        <w:rPr>
          <w:lang w:val="en-GB"/>
        </w:rPr>
        <w:t>including</w:t>
      </w:r>
      <w:r w:rsidR="793CE6E8" w:rsidRPr="00DA249F">
        <w:rPr>
          <w:lang w:val="en-GB"/>
        </w:rPr>
        <w:t xml:space="preserve"> </w:t>
      </w:r>
      <w:r w:rsidR="004139C5" w:rsidRPr="00DA249F">
        <w:rPr>
          <w:i/>
          <w:iCs/>
          <w:lang w:val="en-GB"/>
        </w:rPr>
        <w:t>Mustela</w:t>
      </w:r>
      <w:r w:rsidR="008C0D76" w:rsidRPr="00DA249F">
        <w:rPr>
          <w:i/>
          <w:iCs/>
          <w:lang w:val="en-GB"/>
        </w:rPr>
        <w:t xml:space="preserve"> </w:t>
      </w:r>
      <w:r w:rsidR="793CE6E8" w:rsidRPr="00DA249F">
        <w:rPr>
          <w:i/>
          <w:iCs/>
          <w:lang w:val="en-GB"/>
        </w:rPr>
        <w:t>vison</w:t>
      </w:r>
      <w:r w:rsidR="21ABC300" w:rsidRPr="00DA249F">
        <w:rPr>
          <w:i/>
          <w:iCs/>
          <w:lang w:val="en-GB"/>
        </w:rPr>
        <w:t xml:space="preserve"> </w:t>
      </w:r>
      <w:r w:rsidR="008C0D76" w:rsidRPr="00DA249F">
        <w:rPr>
          <w:iCs/>
          <w:lang w:val="en-GB"/>
        </w:rPr>
        <w:t>(</w:t>
      </w:r>
      <w:r w:rsidR="21ABC300" w:rsidRPr="00DA249F">
        <w:rPr>
          <w:lang w:val="en-GB"/>
        </w:rPr>
        <w:t>American mink)</w:t>
      </w:r>
      <w:r w:rsidR="793CE6E8" w:rsidRPr="00DA249F">
        <w:rPr>
          <w:lang w:val="en-GB"/>
        </w:rPr>
        <w:t xml:space="preserve">, </w:t>
      </w:r>
      <w:r w:rsidR="793CE6E8" w:rsidRPr="00DA249F">
        <w:rPr>
          <w:i/>
          <w:iCs/>
          <w:lang w:val="en-GB"/>
        </w:rPr>
        <w:t>Myocastor coypus</w:t>
      </w:r>
      <w:r w:rsidR="21ABC300" w:rsidRPr="00DA249F">
        <w:rPr>
          <w:lang w:val="en-GB"/>
        </w:rPr>
        <w:t xml:space="preserve"> (coypu</w:t>
      </w:r>
      <w:r w:rsidR="793CE6E8" w:rsidRPr="00DA249F">
        <w:rPr>
          <w:lang w:val="en-GB"/>
        </w:rPr>
        <w:t xml:space="preserve">), </w:t>
      </w:r>
      <w:r w:rsidR="793CE6E8" w:rsidRPr="00DA249F">
        <w:rPr>
          <w:i/>
          <w:iCs/>
          <w:lang w:val="en-GB"/>
        </w:rPr>
        <w:t>Ondatra zibethicus</w:t>
      </w:r>
      <w:r w:rsidR="21ABC300" w:rsidRPr="00DA249F">
        <w:rPr>
          <w:iCs/>
          <w:lang w:val="en-GB"/>
        </w:rPr>
        <w:t xml:space="preserve"> (muskrat</w:t>
      </w:r>
      <w:r w:rsidR="793CE6E8" w:rsidRPr="00DA249F">
        <w:rPr>
          <w:lang w:val="en-GB"/>
        </w:rPr>
        <w:t>),</w:t>
      </w:r>
      <w:r w:rsidR="00B01FF1" w:rsidRPr="00DA249F">
        <w:rPr>
          <w:rFonts w:ascii="游明朝" w:eastAsia="游明朝" w:hAnsi="游明朝"/>
          <w:lang w:val="en-GB"/>
        </w:rPr>
        <w:t xml:space="preserve"> </w:t>
      </w:r>
      <w:r w:rsidR="793CE6E8" w:rsidRPr="00DA249F">
        <w:rPr>
          <w:i/>
          <w:iCs/>
          <w:lang w:val="en-GB"/>
        </w:rPr>
        <w:t>Nyctereutes procyonoides</w:t>
      </w:r>
      <w:r w:rsidR="21ABC300" w:rsidRPr="00DA249F">
        <w:rPr>
          <w:i/>
          <w:iCs/>
          <w:lang w:val="en-GB"/>
        </w:rPr>
        <w:t xml:space="preserve"> </w:t>
      </w:r>
      <w:r w:rsidR="21ABC300" w:rsidRPr="00DA249F">
        <w:rPr>
          <w:lang w:val="en-GB"/>
        </w:rPr>
        <w:t>(raccoon dog</w:t>
      </w:r>
      <w:r w:rsidR="793CE6E8" w:rsidRPr="00DA249F">
        <w:rPr>
          <w:lang w:val="en-GB"/>
        </w:rPr>
        <w:t xml:space="preserve">), </w:t>
      </w:r>
      <w:r w:rsidR="793CE6E8" w:rsidRPr="00DA249F">
        <w:rPr>
          <w:i/>
          <w:iCs/>
          <w:lang w:val="en-GB"/>
        </w:rPr>
        <w:t>Procyon lotor</w:t>
      </w:r>
      <w:r w:rsidR="21ABC300" w:rsidRPr="00DA249F">
        <w:rPr>
          <w:i/>
          <w:iCs/>
          <w:lang w:val="en-GB"/>
        </w:rPr>
        <w:t xml:space="preserve"> </w:t>
      </w:r>
      <w:r w:rsidR="21ABC300" w:rsidRPr="00DA249F">
        <w:rPr>
          <w:lang w:val="en-GB"/>
        </w:rPr>
        <w:t>(raccoon</w:t>
      </w:r>
      <w:r w:rsidR="793CE6E8" w:rsidRPr="00DA249F">
        <w:rPr>
          <w:lang w:val="en-GB"/>
        </w:rPr>
        <w:t>),</w:t>
      </w:r>
      <w:r w:rsidR="006D3BF5" w:rsidRPr="00DA249F">
        <w:rPr>
          <w:lang w:val="en-GB"/>
        </w:rPr>
        <w:t xml:space="preserve"> </w:t>
      </w:r>
      <w:r w:rsidR="793CE6E8" w:rsidRPr="00DA249F">
        <w:rPr>
          <w:i/>
          <w:iCs/>
          <w:lang w:val="en-GB"/>
        </w:rPr>
        <w:t>Threskiornis aethiopicus</w:t>
      </w:r>
      <w:r w:rsidR="21ABC300" w:rsidRPr="00DA249F">
        <w:rPr>
          <w:i/>
          <w:iCs/>
          <w:lang w:val="en-GB"/>
        </w:rPr>
        <w:t xml:space="preserve"> </w:t>
      </w:r>
      <w:r w:rsidR="21ABC300" w:rsidRPr="00DA249F">
        <w:rPr>
          <w:lang w:val="en-GB"/>
        </w:rPr>
        <w:t>(sacred ibis</w:t>
      </w:r>
      <w:r w:rsidR="793CE6E8" w:rsidRPr="00DA249F">
        <w:rPr>
          <w:lang w:val="en-GB"/>
        </w:rPr>
        <w:t>)</w:t>
      </w:r>
      <w:r w:rsidR="009F7404">
        <w:rPr>
          <w:lang w:val="en-GB"/>
        </w:rPr>
        <w:t xml:space="preserve"> and</w:t>
      </w:r>
      <w:r w:rsidR="793CE6E8" w:rsidRPr="00DA249F">
        <w:rPr>
          <w:lang w:val="en-GB"/>
        </w:rPr>
        <w:t xml:space="preserve"> </w:t>
      </w:r>
      <w:r w:rsidR="793CE6E8" w:rsidRPr="00DA249F">
        <w:rPr>
          <w:i/>
          <w:iCs/>
          <w:lang w:val="en-GB"/>
        </w:rPr>
        <w:t>Oxyura jamaicensis</w:t>
      </w:r>
      <w:r w:rsidR="21ABC300" w:rsidRPr="00DA249F">
        <w:rPr>
          <w:i/>
          <w:iCs/>
          <w:lang w:val="en-GB"/>
        </w:rPr>
        <w:t xml:space="preserve"> </w:t>
      </w:r>
      <w:r w:rsidR="21ABC300" w:rsidRPr="00DA249F">
        <w:rPr>
          <w:lang w:val="en-GB"/>
        </w:rPr>
        <w:t>(ruddy duck)</w:t>
      </w:r>
      <w:r w:rsidR="793CE6E8" w:rsidRPr="00DA249F">
        <w:rPr>
          <w:lang w:val="en-GB"/>
        </w:rPr>
        <w:t xml:space="preserve"> </w:t>
      </w:r>
      <w:r w:rsidRPr="00DA249F">
        <w:rPr>
          <w:lang w:val="en-GB"/>
        </w:rPr>
        <w:fldChar w:fldCharType="begin"/>
      </w:r>
      <w:r w:rsidR="00331A79">
        <w:rPr>
          <w:lang w:val="en-GB"/>
        </w:rPr>
        <w:instrText xml:space="preserve"> ADDIN ZOTERO_ITEM CSL_CITATION {"citationID":"a12tg52d95i","properties":{"formattedCitation":"(Barrat et al., 2010)","plainCitation":"(Barrat et al., 2010)","noteIndex":0},"citationItems":[{"id":12377,"uris":["http://zotero.org/groups/2352922/items/M4XW5M84"],"itemData":{"id":12377,"type":"article-journal","abstract":"Exotic species have often been introduced into a new country in zoological or botanical gardens or on game and fur farms. When accidentally or deliberately released, these alien species can become invasive and have negative impacts on native plant and animal communities and human activities. This article focuses on a selection of such invasive species: principally the American mink (Neovison vison), but also the coypu (Myocastor coypus), muskrat (Ondatra zibethicus), raccoon dog (Nyctereutes procyonoides), raccoon (Procyon lotor) and African sacred ibis (Threskiornis aethiopicus). In each of these cases, the authors describe the biological characteristics and life history of the species, in relation to its invasive capacity, the origins and establishment of non-native populations, the environmental consequences and possible control measures. The main negative impacts observed are the destruction of habitat, the introduction and/or spread of pathogens and changes in the composition of native communities with consequent effects on biodiversity.","container-title":"Revue Scientifique et Technique de l'OIE","DOI":"10.20506/rst.29.1.1968","ISSN":"0253-1933","issue":"1","journalAbbreviation":"Rev. Sci. Tech. OIE","language":"en","page":"113-122","source":"DOI.org (Crossref)","title":"The accidental release of exotic species from breeding colonies and zoological collections: -EN- -FR- Lâcher accidentel d'espèces exotiques à partir de colonies d'élevage et de collections zoologiques -ES- Liberación accidental de especies exóticas de colonias reproductoras y colecciones zoológicas","title-short":"The accidental release of exotic species from breeding colonies and zoological collections","URL":"https://doc.oie.int/dyn/portal/index.seam?page=alo&amp;aloId=31084","volume":"29","author":[{"family":"Barrat","given":"J."},{"family":"Richomme","given":"C."},{"family":"Moinet","given":"M."}],"accessed":{"date-parts":[["2019",10,22]]},"issued":{"date-parts":[["2010",4,1]]}}}],"schema":"https://github.com/citation-style-language/schema/raw/master/csl-citation.json"} </w:instrText>
      </w:r>
      <w:r w:rsidRPr="00DA249F">
        <w:rPr>
          <w:lang w:val="en-GB"/>
        </w:rPr>
        <w:fldChar w:fldCharType="separate"/>
      </w:r>
      <w:r w:rsidR="00144D96" w:rsidRPr="00144D96">
        <w:t>(Barrat et al., 2010)</w:t>
      </w:r>
      <w:r w:rsidRPr="00DA249F">
        <w:rPr>
          <w:lang w:val="en-GB"/>
        </w:rPr>
        <w:fldChar w:fldCharType="end"/>
      </w:r>
      <w:r w:rsidR="21ABC300" w:rsidRPr="00DA249F">
        <w:rPr>
          <w:lang w:val="en-GB"/>
        </w:rPr>
        <w:t>.</w:t>
      </w:r>
    </w:p>
    <w:p w14:paraId="60865F56" w14:textId="3948FE0F" w:rsidR="00D75861" w:rsidRPr="00DA249F" w:rsidRDefault="00D75861" w:rsidP="00306D8C">
      <w:pPr>
        <w:pStyle w:val="Caption"/>
        <w:pBdr>
          <w:top w:val="single" w:sz="4" w:space="1" w:color="auto"/>
          <w:left w:val="single" w:sz="4" w:space="1" w:color="auto"/>
          <w:bottom w:val="single" w:sz="4" w:space="1" w:color="auto"/>
          <w:right w:val="single" w:sz="4" w:space="1" w:color="auto"/>
        </w:pBdr>
        <w:shd w:val="clear" w:color="auto" w:fill="E7E6E6" w:themeFill="background2"/>
        <w:rPr>
          <w:lang w:val="en-GB"/>
        </w:rPr>
      </w:pPr>
      <w:bookmarkStart w:id="128" w:name="_Ref104903386"/>
      <w:bookmarkStart w:id="129" w:name="_Toc158373489"/>
      <w:r w:rsidRPr="00DA249F">
        <w:rPr>
          <w:lang w:val="en-GB"/>
        </w:rPr>
        <w:t>Box 3.</w:t>
      </w:r>
      <w:r w:rsidR="0090109B" w:rsidRPr="00DA249F">
        <w:rPr>
          <w:lang w:val="en-GB"/>
        </w:rPr>
        <w:fldChar w:fldCharType="begin"/>
      </w:r>
      <w:r w:rsidR="0090109B" w:rsidRPr="00DA249F">
        <w:rPr>
          <w:lang w:val="en-GB"/>
        </w:rPr>
        <w:instrText xml:space="preserve"> SEQ Box_3. \* ARABIC </w:instrText>
      </w:r>
      <w:r w:rsidR="0090109B" w:rsidRPr="00DA249F">
        <w:rPr>
          <w:lang w:val="en-GB"/>
        </w:rPr>
        <w:fldChar w:fldCharType="separate"/>
      </w:r>
      <w:r w:rsidR="00287BC7">
        <w:rPr>
          <w:noProof/>
          <w:lang w:val="en-GB"/>
        </w:rPr>
        <w:t>5</w:t>
      </w:r>
      <w:r w:rsidR="0090109B" w:rsidRPr="00DA249F">
        <w:rPr>
          <w:lang w:val="en-GB"/>
        </w:rPr>
        <w:fldChar w:fldCharType="end"/>
      </w:r>
      <w:bookmarkEnd w:id="128"/>
      <w:r w:rsidR="00BC1CF4" w:rsidRPr="00DA249F">
        <w:rPr>
          <w:lang w:val="en-GB"/>
        </w:rPr>
        <w:t>.</w:t>
      </w:r>
      <w:r w:rsidRPr="00DA249F">
        <w:rPr>
          <w:lang w:val="en-GB"/>
        </w:rPr>
        <w:t xml:space="preserve"> The role of botanic gardens in the introduction of invasive alien plants</w:t>
      </w:r>
      <w:bookmarkEnd w:id="129"/>
    </w:p>
    <w:p w14:paraId="1E045AC2" w14:textId="19DEDF79" w:rsidR="00BF2EDF" w:rsidRPr="00DA249F" w:rsidRDefault="14E540DA" w:rsidP="728F2DAF">
      <w:pPr>
        <w:pBdr>
          <w:top w:val="single" w:sz="4" w:space="1" w:color="auto"/>
          <w:left w:val="single" w:sz="4" w:space="1" w:color="auto"/>
          <w:bottom w:val="single" w:sz="4" w:space="1" w:color="auto"/>
          <w:right w:val="single" w:sz="4" w:space="1" w:color="auto"/>
        </w:pBdr>
        <w:shd w:val="clear" w:color="auto" w:fill="E7E6E6" w:themeFill="background2"/>
        <w:rPr>
          <w:lang w:val="en-GB"/>
        </w:rPr>
      </w:pPr>
      <w:r w:rsidRPr="728F2DAF">
        <w:rPr>
          <w:lang w:val="en-GB"/>
        </w:rPr>
        <w:t xml:space="preserve">Botanic gardens </w:t>
      </w:r>
      <w:r w:rsidR="6C431690" w:rsidRPr="728F2DAF">
        <w:rPr>
          <w:lang w:val="en-GB"/>
        </w:rPr>
        <w:t>(</w:t>
      </w:r>
      <w:r w:rsidR="00E23B69">
        <w:rPr>
          <w:b/>
          <w:bCs/>
          <w:lang w:val="en-GB"/>
        </w:rPr>
        <w:t>Figure</w:t>
      </w:r>
      <w:r w:rsidR="1B06FAA0" w:rsidRPr="728F2DAF">
        <w:rPr>
          <w:b/>
          <w:bCs/>
          <w:lang w:val="en-GB"/>
        </w:rPr>
        <w:t xml:space="preserve"> 3.13</w:t>
      </w:r>
      <w:r w:rsidR="6C431690" w:rsidRPr="728F2DAF">
        <w:rPr>
          <w:lang w:val="en-GB"/>
        </w:rPr>
        <w:t xml:space="preserve">) </w:t>
      </w:r>
      <w:r w:rsidRPr="728F2DAF">
        <w:rPr>
          <w:lang w:val="en-GB"/>
        </w:rPr>
        <w:t>have made a significant contribution to the collection, cultivation and distribution of plant species for research and</w:t>
      </w:r>
      <w:r w:rsidR="59FA212F" w:rsidRPr="728F2DAF">
        <w:rPr>
          <w:lang w:val="en-GB"/>
        </w:rPr>
        <w:t xml:space="preserve"> </w:t>
      </w:r>
      <w:r w:rsidRPr="728F2DAF">
        <w:rPr>
          <w:lang w:val="en-GB"/>
        </w:rPr>
        <w:t xml:space="preserve">scientific uses worldwide </w:t>
      </w:r>
      <w:r w:rsidR="00D75861" w:rsidRPr="728F2DAF">
        <w:rPr>
          <w:lang w:val="en-GB"/>
        </w:rPr>
        <w:fldChar w:fldCharType="begin"/>
      </w:r>
      <w:r w:rsidR="00331A79">
        <w:rPr>
          <w:lang w:val="en-GB"/>
        </w:rPr>
        <w:instrText xml:space="preserve"> ADDIN ZOTERO_ITEM CSL_CITATION {"citationID":"GCQKdldX","properties":{"formattedCitation":"(Sharrock, 2011)","plainCitation":"(Sharrock, 2011)","noteIndex":0},"citationItems":[{"id":29532,"uris":["http://zotero.org/groups/2352922/items/3AB7UP7T"],"itemData":{"id":29532,"type":"article-journal","container-title":"Trends in ecology &amp; evolution","DOI":"https://doi.org/10.1016/j.tree.2011.05.008","issue":"9","language":"en","page":"433","title":"The biodiversity benefits of botanic gardens","URL":"https://www.cell.com/trends/ecology-evolution/fulltext/S0169-5347(11)00141-8","volume":"26","author":[{"family":"Sharrock","given":"Suzanne L"}],"issued":{"date-parts":[["2011"]]}}}],"schema":"https://github.com/citation-style-language/schema/raw/master/csl-citation.json"} </w:instrText>
      </w:r>
      <w:r w:rsidR="00D75861" w:rsidRPr="728F2DAF">
        <w:rPr>
          <w:lang w:val="en-GB"/>
        </w:rPr>
        <w:fldChar w:fldCharType="separate"/>
      </w:r>
      <w:r w:rsidR="0566DAD0">
        <w:t>(Sharrock, 2011)</w:t>
      </w:r>
      <w:r w:rsidR="00D75861" w:rsidRPr="728F2DAF">
        <w:rPr>
          <w:lang w:val="en-GB"/>
        </w:rPr>
        <w:fldChar w:fldCharType="end"/>
      </w:r>
      <w:r w:rsidRPr="728F2DAF">
        <w:rPr>
          <w:lang w:val="en-GB"/>
        </w:rPr>
        <w:t xml:space="preserve"> but</w:t>
      </w:r>
      <w:r w:rsidRPr="728F2DAF">
        <w:rPr>
          <w:color w:val="333333"/>
          <w:sz w:val="21"/>
          <w:szCs w:val="21"/>
          <w:lang w:val="en-GB"/>
        </w:rPr>
        <w:t xml:space="preserve"> </w:t>
      </w:r>
      <w:r w:rsidRPr="728F2DAF">
        <w:rPr>
          <w:lang w:val="en-GB"/>
        </w:rPr>
        <w:t xml:space="preserve">have also been implicated in the introduction, early cultivation and/or local spread of invasive alien plant species into global biodiversity hotspots </w:t>
      </w:r>
      <w:r w:rsidR="00D75861" w:rsidRPr="728F2DAF">
        <w:rPr>
          <w:lang w:val="en-GB"/>
        </w:rPr>
        <w:fldChar w:fldCharType="begin"/>
      </w:r>
      <w:r w:rsidR="00F5121E">
        <w:rPr>
          <w:lang w:val="en-GB"/>
        </w:rPr>
        <w:instrText xml:space="preserve"> ADDIN ZOTERO_ITEM CSL_CITATION {"citationID":"RQXYrEGV","properties":{"formattedCitation":"(Hulme, 2011a)","plainCitation":"(Hulme, 2011a)","noteIndex":0},"citationItems":[{"id":29777,"uris":["http://zotero.org/groups/2352922/items/AV9AJCYL"],"itemData":{"id":29777,"type":"article-journal","abstract":"Increasing evidence highlights the role that botanic gardens might have in plant invasions across the globe. Botanic gardens, often in global biodiversity hotspots, have been implicated in the early cultivation and/or introduction of most environmental weeds listed by IUCN as among the worst invasive species worldwide. Furthermore, most of the popular ornamental species in living collections around the globe have records as alien weeds. Voluntary codes of conduct to prevent the dissemination of invasive plants from botanic gardens have had limited uptake, with few risk assessments undertaken of individual living collections. A stronger global networking of botanic gardens to tackle biological invasions involving public outreach, information sharing and capacity building is a priority to prevent the problems of the past occurring in the future. © 2011 Elsevier Ltd.","container-title":"Trends in Ecology and Evolution","DOI":"10.1016/j.tree.2011.01.005","ISSN":"0169-5347","issue":"4","journalAbbreviation":"Trends in Ecology &amp; Evolution","language":"en","page":"168-174","title":"Addressing the threat to biodiversity from botanic gardens","URL":"https://www.scopus.com/inward/record.uri?eid=2-s2.0-79952625264&amp;doi=10.1016%2fj.tree.2011.01.005&amp;partnerID=40&amp;md5=96e43dee5ee06661c62b7a4e3b41a34f","volume":"26","author":[{"family":"Hulme","given":"Philip E."}],"issued":{"date-parts":[["2011",4,1]]}}}],"schema":"https://github.com/citation-style-language/schema/raw/master/csl-citation.json"} </w:instrText>
      </w:r>
      <w:r w:rsidR="00D75861" w:rsidRPr="728F2DAF">
        <w:rPr>
          <w:lang w:val="en-GB"/>
        </w:rPr>
        <w:fldChar w:fldCharType="separate"/>
      </w:r>
      <w:r w:rsidR="59992841">
        <w:t>(Hulme, 2011a)</w:t>
      </w:r>
      <w:r w:rsidR="00D75861" w:rsidRPr="728F2DAF">
        <w:rPr>
          <w:lang w:val="en-GB"/>
        </w:rPr>
        <w:fldChar w:fldCharType="end"/>
      </w:r>
      <w:r w:rsidRPr="728F2DAF">
        <w:rPr>
          <w:lang w:val="en-GB"/>
        </w:rPr>
        <w:t>. Studies exploring the global increase of alien plant species have identified the establishment of botanic gardens as an important driver</w:t>
      </w:r>
      <w:r w:rsidR="0731ED5B" w:rsidRPr="728F2DAF">
        <w:rPr>
          <w:lang w:val="en-GB"/>
        </w:rPr>
        <w:t xml:space="preserve"> </w:t>
      </w:r>
      <w:r w:rsidR="2D117C37" w:rsidRPr="728F2DAF">
        <w:rPr>
          <w:lang w:val="en-GB"/>
        </w:rPr>
        <w:t xml:space="preserve">facilitating </w:t>
      </w:r>
      <w:r w:rsidR="1177DA5F" w:rsidRPr="728F2DAF">
        <w:rPr>
          <w:lang w:val="en-GB"/>
        </w:rPr>
        <w:t>biological invasions</w:t>
      </w:r>
      <w:r w:rsidRPr="728F2DAF">
        <w:rPr>
          <w:lang w:val="en-GB"/>
        </w:rPr>
        <w:t xml:space="preserve"> </w:t>
      </w:r>
      <w:r w:rsidR="00D75861" w:rsidRPr="728F2DAF">
        <w:rPr>
          <w:lang w:val="en-GB"/>
        </w:rPr>
        <w:fldChar w:fldCharType="begin"/>
      </w:r>
      <w:r w:rsidR="00331A79">
        <w:rPr>
          <w:lang w:val="en-GB"/>
        </w:rPr>
        <w:instrText xml:space="preserve"> ADDIN ZOTERO_ITEM CSL_CITATION {"citationID":"MA3aq0az","properties":{"formattedCitation":"(Seebens et al., 2017)","plainCitation":"(Seebens et al., 2017)","noteIndex":0},"citationItems":[{"id":33027,"uris":["http://zotero.org/groups/2352922/items/SW8TKG54"],"itemData":{"id":33027,"type":"article-journal","container-title":"Nature Communications","DOI":"10.1038/ncomms14435","ISSN":"2041-1723","issue":"1","journalAbbreviation":"Nat Commun","language":"en","page":"14435","source":"DOI.org (Crossref)","title":"No saturation in the accumulation of alien species worldwide","URL":"http://www.nature.com/articles/ncomms14435","volume":"8","author":[{"family":"Seebens","given":"Hanno"},{"family":"Blackburn","given":"Tim M."},{"family":"Dyer","given":"Ellie E."},{"family":"Genovesi","given":"Piero"},{"family":"Hulme","given":"Philip E."},{"family":"Jeschke","given":"Jonathan M."},{"family":"Pagad","given":"Shyama"},{"family":"Pyšek","given":"Petr"},{"family":"Winter","given":"Marten"},{"family":"Arianoutsou","given":"Margarita"},{"family":"Bacher","given":"Sven"},{"family":"Blasius","given":"Bernd"},{"family":"Brundu","given":"Giuseppe"},{"family":"Capinha","given":"César"},{"family":"Celesti-Grapow","given":"Laura"},{"family":"Dawson","given":"Wayne"},{"family":"Dullinger","given":"Stefan"},{"family":"Fuentes","given":"Nicol"},{"family":"Jäger","given":"Heinke"},{"family":"Kartesz","given":"John"},{"family":"Kenis","given":"Marc"},{"family":"Kreft","given":"Holger"},{"family":"Kühn","given":"Ingolf"},{"family":"Lenzner","given":"Bernd"},{"family":"Liebhold","given":"Andrew"},{"family":"Mosena","given":"Alexander"},{"family":"Moser","given":"Dietmar"},{"family":"Nishino","given":"Misako"},{"family":"Pearman","given":"David"},{"family":"Pergl","given":"Jan"},{"family":"Rabitsch","given":"Wolfgang"},{"family":"Rojas-Sandoval","given":"Julissa"},{"family":"Roques","given":"Alain"},{"family":"Rorke","given":"Stephanie"},{"family":"Rossinelli","given":"Silvia"},{"family":"Roy","given":"Helen E."},{"family":"Scalera","given":"Riccardo"},{"family":"Schindler","given":"Stefan"},{"family":"Štajerová","given":"Kateřina"},{"family":"Tokarska-Guzik","given":"Barbara"},{"family":"Kleunen","given":"Mark","non-dropping-particle":"van"},{"family":"Walker","given":"Kevin"},{"family":"Weigelt","given":"Patrick"},{"family":"Yamanaka","given":"Takehiko"},{"family":"Essl","given":"Franz"}],"accessed":{"date-parts":[["2019",12,5]]},"issued":{"date-parts":[["2017",4]]}}}],"schema":"https://github.com/citation-style-language/schema/raw/master/csl-citation.json"} </w:instrText>
      </w:r>
      <w:r w:rsidR="00D75861" w:rsidRPr="728F2DAF">
        <w:rPr>
          <w:lang w:val="en-GB"/>
        </w:rPr>
        <w:fldChar w:fldCharType="separate"/>
      </w:r>
      <w:r w:rsidR="0566DAD0">
        <w:t>(Seebens et al., 2017)</w:t>
      </w:r>
      <w:r w:rsidR="00D75861" w:rsidRPr="728F2DAF">
        <w:rPr>
          <w:lang w:val="en-GB"/>
        </w:rPr>
        <w:fldChar w:fldCharType="end"/>
      </w:r>
      <w:r w:rsidR="0731ED5B" w:rsidRPr="728F2DAF">
        <w:rPr>
          <w:lang w:val="en-GB"/>
        </w:rPr>
        <w:t>.</w:t>
      </w:r>
      <w:r w:rsidRPr="728F2DAF">
        <w:rPr>
          <w:lang w:val="en-GB"/>
        </w:rPr>
        <w:t xml:space="preserve"> </w:t>
      </w:r>
      <w:r w:rsidR="0731ED5B" w:rsidRPr="728F2DAF">
        <w:rPr>
          <w:lang w:val="en-GB"/>
        </w:rPr>
        <w:t>T</w:t>
      </w:r>
      <w:r w:rsidRPr="728F2DAF">
        <w:rPr>
          <w:lang w:val="en-GB"/>
        </w:rPr>
        <w:t>he global emergence of new alien plant species, defined as the first record of an alien species anywhere in the world, has been found to be related to the number of botanic gardens established in a region</w:t>
      </w:r>
      <w:r w:rsidRPr="728F2DAF">
        <w:rPr>
          <w:b/>
          <w:bCs/>
          <w:lang w:val="en-GB"/>
        </w:rPr>
        <w:t xml:space="preserve"> </w:t>
      </w:r>
      <w:r w:rsidR="00D75861" w:rsidRPr="728F2DAF">
        <w:rPr>
          <w:lang w:val="en-GB"/>
        </w:rPr>
        <w:fldChar w:fldCharType="begin"/>
      </w:r>
      <w:r w:rsidR="00331A79">
        <w:rPr>
          <w:lang w:val="en-GB"/>
        </w:rPr>
        <w:instrText xml:space="preserve"> ADDIN ZOTERO_ITEM CSL_CITATION {"citationID":"wAdkYatg","properties":{"formattedCitation":"(Seebens et al., 2018)","plainCitation":"(Seebens et al., 2018)","noteIndex":0},"citationItems":[{"id":10257,"uris":["http://zotero.org/groups/2352922/items/5KRHTPEJ"],"itemData":{"id":10257,"type":"article-journal","abstract":"Our ability to predict the identity of future invasive alien species is largely based upon knowledge of prior invasion history. Emerging alien species—those never encountered as aliens before—therefore pose a significant challenge to biosecurity interventions worldwide. Understanding their temporal trends, origins, and the drivers of their spread is pivotal to improving prevention and risk assessment tools. Here, we use a database of 45,984 first records of 16,019 established alien species to investigate the temporal dynamics of occurrences of emerging alien species worldwide. Even after many centuries of invasions the rate of emergence of new alien species is still high: One-quarter of first records during 2000–2005 were of species that had not been previously recorded anywhere as alien, though with large variation across taxa. Model results show that the high proportion of emerging alien species cannot be solely explained by increases in well-known drivers such as the amount of imported commodities from historically important source regions. Instead, these dynamics reflect the incorporation of new regions into the pool of potential alien species, likely as a consequence of expanding trade networks and environmental change. This process compensates for the depletion of the historically important source species pool through successive invasions. We estimate that 1–16% of all species on Earth, depending on the taxonomic group, qualify as potential alien species. These results suggest that there remains a high proportion of emerging alien species we have yet to encounter, with future impacts that are difficult to predict.","container-title":"Proceedings of the National Academy of Sciences","DOI":"10.1073/pnas.1719429115","ISSN":"0027-8424, 1091-6490","issue":"10","journalAbbreviation":"Proc Natl Acad Sci USA","language":"en","page":"E2264-E2273","source":"DOI.org (Crossref)","title":"Global rise in emerging alien species results from increased accessibility of new source pools","URL":"http://www.pnas.org/lookup/doi/10.1073/pnas.1719429115","volume":"115","author":[{"family":"Seebens","given":"Hanno"},{"family":"Blackburn","given":"Tim M."},{"family":"Dyer","given":"Ellie E."},{"family":"Genovesi","given":"Piero"},{"family":"Hulme","given":"Philip E."},{"family":"Jeschke","given":"Jonathan M."},{"family":"Pagad","given":"Shyama"},{"family":"Pyšek","given":"Petr"},{"family":"Kleunen","given":"Mark","non-dropping-particle":"van"},{"family":"Winter","given":"Marten"},{"family":"Ansong","given":"Michael"},{"family":"Arianoutsou","given":"Margarita"},{"family":"Bacher","given":"Sven"},{"family":"Blasius","given":"Bernd"},{"family":"Brockerhoff","given":"Eckehard G."},{"family":"Brundu","given":"Giuseppe"},{"family":"Capinha","given":"César"},{"family":"Causton","given":"Charlotte E."},{"family":"Celesti-Grapow","given":"Laura"},{"family":"Dawson","given":"Wayne"},{"family":"Dullinger","given":"Stefan"},{"family":"Economo","given":"Evan P."},{"family":"Fuentes","given":"Nicol"},{"family":"Guénard","given":"Benoit"},{"family":"Jäger","given":"Heinke"},{"family":"Kartesz","given":"John"},{"family":"Kenis","given":"Marc"},{"family":"Kühn","given":"Ingolf"},{"family":"Lenzner","given":"Bernd"},{"family":"Liebhold","given":"Andrew M."},{"family":"Mosena","given":"Alexander"},{"family":"Moser","given":"Dietmar"},{"family":"Nentwig","given":"Wolfgang"},{"family":"Nishino","given":"Misako"},{"family":"Pearman","given":"David"},{"family":"Pergl","given":"Jan"},{"family":"Rabitsch","given":"Wolfgang"},{"family":"Rojas-Sandoval","given":"Julissa"},{"family":"Roques","given":"Alain"},{"family":"Rorke","given":"Stephanie"},{"family":"Rossinelli","given":"Silvia"},{"family":"Roy","given":"Helen E."},{"family":"Scalera","given":"Riccardo"},{"family":"Schindler","given":"Stefan"},{"family":"Štajerová","given":"Kateřina"},{"family":"Tokarska-Guzik","given":"Barbara"},{"family":"Walker","given":"Kevin"},{"family":"Ward","given":"Darren F."},{"family":"Yamanaka","given":"Takehiko"},{"family":"Essl","given":"Franz"}],"accessed":{"date-parts":[["2019",8,31]]},"issued":{"date-parts":[["2018",3,6]]}}}],"schema":"https://github.com/citation-style-language/schema/raw/master/csl-citation.json"} </w:instrText>
      </w:r>
      <w:r w:rsidR="00D75861" w:rsidRPr="728F2DAF">
        <w:rPr>
          <w:lang w:val="en-GB"/>
        </w:rPr>
        <w:fldChar w:fldCharType="separate"/>
      </w:r>
      <w:r w:rsidR="0566DAD0">
        <w:t>(Seebens et al., 2018)</w:t>
      </w:r>
      <w:r w:rsidR="00D75861" w:rsidRPr="728F2DAF">
        <w:rPr>
          <w:lang w:val="en-GB"/>
        </w:rPr>
        <w:fldChar w:fldCharType="end"/>
      </w:r>
      <w:r w:rsidRPr="728F2DAF">
        <w:rPr>
          <w:lang w:val="en-GB"/>
        </w:rPr>
        <w:t>.</w:t>
      </w:r>
      <w:r w:rsidR="609BE8B0" w:rsidRPr="728F2DAF">
        <w:rPr>
          <w:lang w:val="en-GB"/>
        </w:rPr>
        <w:t xml:space="preserve"> </w:t>
      </w:r>
      <w:r w:rsidRPr="728F2DAF">
        <w:rPr>
          <w:lang w:val="en-GB"/>
        </w:rPr>
        <w:t xml:space="preserve">A </w:t>
      </w:r>
      <w:r w:rsidR="0731ED5B" w:rsidRPr="728F2DAF">
        <w:rPr>
          <w:lang w:val="en-GB"/>
        </w:rPr>
        <w:t>study</w:t>
      </w:r>
      <w:r w:rsidRPr="728F2DAF">
        <w:rPr>
          <w:lang w:val="en-GB"/>
        </w:rPr>
        <w:t xml:space="preserve"> from China examined the association between the first record of an invasive alien species in a region and multiple possible explanatory factors, including botanic gardens </w:t>
      </w:r>
      <w:r w:rsidR="00D75861" w:rsidRPr="728F2DAF">
        <w:rPr>
          <w:lang w:val="en-GB"/>
        </w:rPr>
        <w:fldChar w:fldCharType="begin"/>
      </w:r>
      <w:r w:rsidR="00331A79">
        <w:rPr>
          <w:lang w:val="en-GB"/>
        </w:rPr>
        <w:instrText xml:space="preserve"> ADDIN ZOTERO_ITEM CSL_CITATION {"citationID":"sY9PKKBw","properties":{"formattedCitation":"(Ni &amp; Hulme, 2021)","plainCitation":"(Ni &amp; Hulme, 2021)","noteIndex":0},"citationItems":[{"id":29531,"uris":["http://zotero.org/groups/2352922/items/V6R69LVI"],"itemData":{"id":29531,"type":"article-journal","container-title":"Global Ecology and Biogeography","DOI":"10.1111/geb.13319","issue":"8","language":"en","page":"1572– 1582","title":"Botanic gardens play key roles in the regional distribution of first records of alien plants in China","URL":"https://onlinelibrary.wiley.com/doi/abs/10.1111/geb.13319","volume":"30","author":[{"family":"Ni","given":"Ming"},{"family":"Hulme","given":"Philip E"}],"issued":{"date-parts":[["2021"]]}}}],"schema":"https://github.com/citation-style-language/schema/raw/master/csl-citation.json"} </w:instrText>
      </w:r>
      <w:r w:rsidR="00D75861" w:rsidRPr="728F2DAF">
        <w:rPr>
          <w:lang w:val="en-GB"/>
        </w:rPr>
        <w:fldChar w:fldCharType="separate"/>
      </w:r>
      <w:r w:rsidR="0566DAD0">
        <w:t>(Ni &amp; Hulme, 2021)</w:t>
      </w:r>
      <w:r w:rsidR="00D75861" w:rsidRPr="728F2DAF">
        <w:rPr>
          <w:lang w:val="en-GB"/>
        </w:rPr>
        <w:fldChar w:fldCharType="end"/>
      </w:r>
      <w:r w:rsidRPr="728F2DAF">
        <w:rPr>
          <w:lang w:val="en-GB"/>
        </w:rPr>
        <w:t xml:space="preserve">. The researchers found that botanic gardens, including their history and number of species in living collections, generally play more important roles in influencing the number of first records of invasive alien plants compared to </w:t>
      </w:r>
      <w:r w:rsidR="65BECE0D" w:rsidRPr="728F2DAF">
        <w:rPr>
          <w:lang w:val="en-GB"/>
        </w:rPr>
        <w:t>socioeconomic</w:t>
      </w:r>
      <w:r w:rsidRPr="728F2DAF">
        <w:rPr>
          <w:lang w:val="en-GB"/>
        </w:rPr>
        <w:t xml:space="preserve"> variables (such as Gross Domestic Product) and environmental factors (such as climate). However, invasive alien species primarily introduced for horticultural uses were more influenced by botanic gardens, while those introduced for agricultural uses were more strongly associated with climate variables, and the numbers of species introduced </w:t>
      </w:r>
      <w:r w:rsidR="182C70F4" w:rsidRPr="728F2DAF">
        <w:rPr>
          <w:lang w:val="en-GB"/>
        </w:rPr>
        <w:t>u</w:t>
      </w:r>
      <w:r w:rsidR="1F3163CE" w:rsidRPr="728F2DAF">
        <w:rPr>
          <w:lang w:val="en-GB"/>
        </w:rPr>
        <w:t>n</w:t>
      </w:r>
      <w:r w:rsidR="182C70F4" w:rsidRPr="728F2DAF">
        <w:rPr>
          <w:lang w:val="en-GB"/>
        </w:rPr>
        <w:t>intentionally</w:t>
      </w:r>
      <w:r w:rsidR="6A0BF5D1" w:rsidRPr="728F2DAF">
        <w:rPr>
          <w:lang w:val="en-GB"/>
        </w:rPr>
        <w:t xml:space="preserve"> </w:t>
      </w:r>
      <w:r w:rsidRPr="728F2DAF">
        <w:rPr>
          <w:lang w:val="en-GB"/>
        </w:rPr>
        <w:t>were shaped by trade</w:t>
      </w:r>
      <w:r w:rsidR="7254385E" w:rsidRPr="728F2DAF">
        <w:rPr>
          <w:lang w:val="en-GB"/>
        </w:rPr>
        <w:t xml:space="preserve"> </w:t>
      </w:r>
      <w:r w:rsidR="6F0DCB6D" w:rsidRPr="728F2DAF">
        <w:rPr>
          <w:lang w:val="en-GB"/>
        </w:rPr>
        <w:t>(</w:t>
      </w:r>
      <w:r w:rsidR="216A8952" w:rsidRPr="728F2DAF">
        <w:rPr>
          <w:b/>
          <w:bCs/>
          <w:lang w:val="en-GB"/>
        </w:rPr>
        <w:t>section</w:t>
      </w:r>
      <w:r w:rsidR="1C3E58C2" w:rsidRPr="728F2DAF">
        <w:rPr>
          <w:b/>
          <w:bCs/>
          <w:lang w:val="en-GB"/>
        </w:rPr>
        <w:t>s</w:t>
      </w:r>
      <w:r w:rsidR="216A8952" w:rsidRPr="728F2DAF">
        <w:rPr>
          <w:b/>
          <w:bCs/>
          <w:lang w:val="en-GB"/>
        </w:rPr>
        <w:t xml:space="preserve"> </w:t>
      </w:r>
      <w:r w:rsidR="496041C3" w:rsidRPr="728F2DAF">
        <w:rPr>
          <w:b/>
          <w:bCs/>
          <w:lang w:val="en-GB"/>
        </w:rPr>
        <w:t>3.2.1</w:t>
      </w:r>
      <w:r w:rsidR="496041C3" w:rsidRPr="728F2DAF">
        <w:rPr>
          <w:lang w:val="en-GB"/>
        </w:rPr>
        <w:t>,</w:t>
      </w:r>
      <w:r w:rsidR="496041C3" w:rsidRPr="728F2DAF">
        <w:rPr>
          <w:b/>
          <w:bCs/>
          <w:lang w:val="en-GB"/>
        </w:rPr>
        <w:t xml:space="preserve"> </w:t>
      </w:r>
      <w:r w:rsidR="7254385E" w:rsidRPr="728F2DAF">
        <w:rPr>
          <w:b/>
          <w:bCs/>
          <w:lang w:val="en-GB"/>
        </w:rPr>
        <w:t>3.</w:t>
      </w:r>
      <w:r w:rsidR="2E932B4C" w:rsidRPr="728F2DAF">
        <w:rPr>
          <w:b/>
          <w:bCs/>
          <w:lang w:val="en-GB"/>
        </w:rPr>
        <w:t>2</w:t>
      </w:r>
      <w:r w:rsidR="7254385E" w:rsidRPr="728F2DAF">
        <w:rPr>
          <w:b/>
          <w:bCs/>
          <w:lang w:val="en-GB"/>
        </w:rPr>
        <w:t>.3.</w:t>
      </w:r>
      <w:r w:rsidR="2953DBCB" w:rsidRPr="728F2DAF">
        <w:rPr>
          <w:b/>
          <w:bCs/>
          <w:lang w:val="en-GB"/>
        </w:rPr>
        <w:t>1</w:t>
      </w:r>
      <w:r w:rsidR="6DF61F2A" w:rsidRPr="728F2DAF">
        <w:rPr>
          <w:b/>
          <w:bCs/>
          <w:lang w:val="en-GB"/>
        </w:rPr>
        <w:t xml:space="preserve"> </w:t>
      </w:r>
      <w:r w:rsidR="6DF61F2A" w:rsidRPr="728F2DAF">
        <w:rPr>
          <w:lang w:val="en-GB"/>
        </w:rPr>
        <w:t>to</w:t>
      </w:r>
      <w:r w:rsidR="6DF61F2A" w:rsidRPr="728F2DAF">
        <w:rPr>
          <w:b/>
          <w:bCs/>
          <w:lang w:val="en-GB"/>
        </w:rPr>
        <w:t xml:space="preserve"> </w:t>
      </w:r>
      <w:r w:rsidR="7DAEA857" w:rsidRPr="728F2DAF">
        <w:rPr>
          <w:b/>
          <w:bCs/>
          <w:lang w:val="en-GB"/>
        </w:rPr>
        <w:t>3.</w:t>
      </w:r>
      <w:r w:rsidR="2E932B4C" w:rsidRPr="728F2DAF">
        <w:rPr>
          <w:b/>
          <w:bCs/>
          <w:lang w:val="en-GB"/>
        </w:rPr>
        <w:t>2</w:t>
      </w:r>
      <w:r w:rsidR="776A4126" w:rsidRPr="728F2DAF">
        <w:rPr>
          <w:b/>
          <w:bCs/>
          <w:lang w:val="en-GB"/>
        </w:rPr>
        <w:t>.3.4</w:t>
      </w:r>
      <w:r w:rsidR="4C69A58B" w:rsidRPr="728F2DAF">
        <w:rPr>
          <w:lang w:val="en-GB"/>
        </w:rPr>
        <w:t>,</w:t>
      </w:r>
      <w:r w:rsidR="4C69A58B" w:rsidRPr="728F2DAF">
        <w:rPr>
          <w:b/>
          <w:bCs/>
          <w:lang w:val="en-GB"/>
        </w:rPr>
        <w:t xml:space="preserve"> </w:t>
      </w:r>
      <w:r w:rsidR="1786DDDE" w:rsidRPr="728F2DAF">
        <w:rPr>
          <w:b/>
          <w:bCs/>
          <w:lang w:val="en-GB"/>
        </w:rPr>
        <w:t>3.3.1.4</w:t>
      </w:r>
      <w:r w:rsidR="7254385E" w:rsidRPr="728F2DAF">
        <w:rPr>
          <w:lang w:val="en-GB"/>
        </w:rPr>
        <w:t>)</w:t>
      </w:r>
      <w:r w:rsidRPr="728F2DAF">
        <w:rPr>
          <w:lang w:val="en-GB"/>
        </w:rPr>
        <w:t xml:space="preserve">. This research is the strongest evidence to date pointing to the role botanic gardens may play in </w:t>
      </w:r>
      <w:r w:rsidR="6DDE211E" w:rsidRPr="728F2DAF">
        <w:rPr>
          <w:lang w:val="en-GB"/>
        </w:rPr>
        <w:t xml:space="preserve">the </w:t>
      </w:r>
      <w:r w:rsidRPr="728F2DAF">
        <w:rPr>
          <w:lang w:val="en-GB"/>
        </w:rPr>
        <w:t>invasions</w:t>
      </w:r>
      <w:r w:rsidR="6DDE211E" w:rsidRPr="728F2DAF">
        <w:rPr>
          <w:lang w:val="en-GB"/>
        </w:rPr>
        <w:t xml:space="preserve"> of</w:t>
      </w:r>
      <w:r w:rsidRPr="728F2DAF">
        <w:rPr>
          <w:lang w:val="en-GB"/>
        </w:rPr>
        <w:t xml:space="preserve"> ornamental </w:t>
      </w:r>
      <w:r w:rsidR="6DDE211E" w:rsidRPr="728F2DAF">
        <w:rPr>
          <w:lang w:val="en-GB"/>
        </w:rPr>
        <w:t xml:space="preserve">plant </w:t>
      </w:r>
      <w:r w:rsidRPr="728F2DAF">
        <w:rPr>
          <w:lang w:val="en-GB"/>
        </w:rPr>
        <w:t xml:space="preserve">species. </w:t>
      </w:r>
      <w:r w:rsidR="70BB57FF" w:rsidRPr="728F2DAF">
        <w:rPr>
          <w:lang w:val="en-GB"/>
        </w:rPr>
        <w:t xml:space="preserve">Despite </w:t>
      </w:r>
      <w:r w:rsidR="700C9AE6" w:rsidRPr="728F2DAF">
        <w:rPr>
          <w:lang w:val="en-GB"/>
        </w:rPr>
        <w:t>signing up to the Global Strategy for Plant Conservation</w:t>
      </w:r>
      <w:r w:rsidR="46A674AC" w:rsidRPr="728F2DAF">
        <w:rPr>
          <w:lang w:val="en-GB"/>
        </w:rPr>
        <w:t>, most b</w:t>
      </w:r>
      <w:r w:rsidRPr="728F2DAF">
        <w:rPr>
          <w:lang w:val="en-GB"/>
        </w:rPr>
        <w:t>otanic gardens rarely implement regional codes of conduct to prevent plant invasions, few have a policy</w:t>
      </w:r>
      <w:r w:rsidR="24103664" w:rsidRPr="728F2DAF">
        <w:rPr>
          <w:lang w:val="en-GB"/>
        </w:rPr>
        <w:t xml:space="preserve"> for biological invasions</w:t>
      </w:r>
      <w:r w:rsidRPr="728F2DAF">
        <w:rPr>
          <w:lang w:val="en-GB"/>
        </w:rPr>
        <w:t xml:space="preserve">, and there is limited monitoring </w:t>
      </w:r>
      <w:r w:rsidR="1138CC51" w:rsidRPr="728F2DAF">
        <w:rPr>
          <w:lang w:val="en-GB"/>
        </w:rPr>
        <w:t>(</w:t>
      </w:r>
      <w:r w:rsidR="00E23B69">
        <w:rPr>
          <w:b/>
          <w:bCs/>
          <w:lang w:val="en-GB"/>
        </w:rPr>
        <w:t>Glossary</w:t>
      </w:r>
      <w:r w:rsidR="1138CC51" w:rsidRPr="728F2DAF">
        <w:rPr>
          <w:lang w:val="en-GB"/>
        </w:rPr>
        <w:t xml:space="preserve">) </w:t>
      </w:r>
      <w:r w:rsidRPr="728F2DAF">
        <w:rPr>
          <w:lang w:val="en-GB"/>
        </w:rPr>
        <w:t xml:space="preserve">of garden escapes </w:t>
      </w:r>
      <w:r w:rsidR="00D75861" w:rsidRPr="728F2DAF">
        <w:rPr>
          <w:lang w:val="en-GB"/>
        </w:rPr>
        <w:fldChar w:fldCharType="begin"/>
      </w:r>
      <w:r w:rsidR="00E47460">
        <w:rPr>
          <w:lang w:val="en-GB"/>
        </w:rPr>
        <w:instrText xml:space="preserve"> ADDIN ZOTERO_ITEM CSL_CITATION {"citationID":"5SC53N0g","properties":{"formattedCitation":"(Hulme, 2015b)","plainCitation":"(Hulme, 2015b)","noteIndex":0},"citationItems":[{"id":29964,"uris":["http://zotero.org/groups/2352922/items/6NUQA668"],"itemData":{"id":29964,"type":"article-journal","abstract":"A global conservation goal is to understand the pathways through which invasive species are introduced into new regions. Botanic gardens are a pathway for the introduction of invasive non-native plants, but a quantitative assessment of the risks they pose has not been performed. I analyzed data on the living collections of over 3000 botanic gardens worldwide to quantify the temporal trend in the representation of non-native species; the relative composition of threatened, ornamental, or invasive non-native plant species; and the frequency with which botanic gardens implement procedures to address invasive species. While almost all of the world's worst invasive non-native plants occurred in one or more living collections (99%), less than one-quarter of red-listed threatened species were cultivated (23%). Even when cultivated, individual threatened species occurred in few living collections (7.3), while non-native species were on average grown in 6 times as many botanic gardens (44.3). As a result, a botanic garden could, on average, cultivate four times as many invasive non-native species (20) as red-listed threatened species (5). Although the risk posed by a single living collection is small, the probability of invasion increases with the number of botanic gardens within a region. Thus, while both the size of living collections and the proportion of non-native species cultivated have declined during the 20th century, this reduction in risk is offset by the 10-fold increase in the number of botanic gardens established worldwide. Unfortunately, botanic gardens rarely implement regional codes of conduct to prevent plant invasions, few have an invasive species policy, and there is limited monitoring of garden escapes. This lack of preparedness is of particular concern given the rapid increase in living collections worldwide since 1950, particularly in South America and Asia, and highlights past patterns of introduction will be a poor guide to determining future invasion risks. © 2014 Society for Conservation Biology.","container-title":"Conservation Biology","DOI":"10.1111/cobi.12426","ISSN":"1523-1739","issue":"3","page":"816-824","title":"Resolving whether botanic gardens are on the road to conservation or a pathway for plant invasions","URL":"https://www.scopus.com/inward/record.uri?eid=2-s2.0-84929259296&amp;doi=10.1111%2fcobi.12426&amp;partnerID=40&amp;md5=07a85b581e107a3963c32d6d99d28f1b","volume":"29","author":[{"family":"Hulme","given":"Philip E."}],"issued":{"date-parts":[["2015"]]}}}],"schema":"https://github.com/citation-style-language/schema/raw/master/csl-citation.json"} </w:instrText>
      </w:r>
      <w:r w:rsidR="00D75861" w:rsidRPr="728F2DAF">
        <w:rPr>
          <w:lang w:val="en-GB"/>
        </w:rPr>
        <w:fldChar w:fldCharType="separate"/>
      </w:r>
      <w:r w:rsidR="59992841">
        <w:t>(Hulme, 2015b)</w:t>
      </w:r>
      <w:r w:rsidR="00D75861" w:rsidRPr="728F2DAF">
        <w:rPr>
          <w:lang w:val="en-GB"/>
        </w:rPr>
        <w:fldChar w:fldCharType="end"/>
      </w:r>
      <w:r w:rsidRPr="728F2DAF">
        <w:rPr>
          <w:lang w:val="en-GB"/>
        </w:rPr>
        <w:t xml:space="preserve">. </w:t>
      </w:r>
      <w:r w:rsidR="2F30008D" w:rsidRPr="728F2DAF">
        <w:rPr>
          <w:lang w:val="en-GB"/>
        </w:rPr>
        <w:t>G</w:t>
      </w:r>
      <w:r w:rsidRPr="728F2DAF">
        <w:rPr>
          <w:lang w:val="en-GB"/>
        </w:rPr>
        <w:t>iven the rapid increase in living collections</w:t>
      </w:r>
      <w:r w:rsidR="2F30008D" w:rsidRPr="728F2DAF">
        <w:rPr>
          <w:lang w:val="en-GB"/>
        </w:rPr>
        <w:t>, especially</w:t>
      </w:r>
      <w:r w:rsidRPr="728F2DAF">
        <w:rPr>
          <w:lang w:val="en-GB"/>
        </w:rPr>
        <w:t xml:space="preserve"> in Asia</w:t>
      </w:r>
      <w:r w:rsidR="2F30008D" w:rsidRPr="728F2DAF">
        <w:rPr>
          <w:lang w:val="en-GB"/>
        </w:rPr>
        <w:t xml:space="preserve">, this suggests </w:t>
      </w:r>
      <w:r w:rsidR="2F30008D" w:rsidRPr="728F2DAF">
        <w:rPr>
          <w:lang w:val="en-GB"/>
        </w:rPr>
        <w:lastRenderedPageBreak/>
        <w:t>botanic gardens may become increasingly important for the introduction of alien species in the future.</w:t>
      </w:r>
    </w:p>
    <w:p w14:paraId="281A8943" w14:textId="77777777" w:rsidR="00745F5A" w:rsidRPr="00DA249F" w:rsidRDefault="003124D2" w:rsidP="00306D8C">
      <w:pPr>
        <w:pBdr>
          <w:top w:val="single" w:sz="4" w:space="1" w:color="auto"/>
          <w:left w:val="single" w:sz="4" w:space="1" w:color="auto"/>
          <w:bottom w:val="single" w:sz="4" w:space="1" w:color="auto"/>
          <w:right w:val="single" w:sz="4" w:space="1" w:color="auto"/>
        </w:pBdr>
        <w:shd w:val="clear" w:color="auto" w:fill="E7E6E6" w:themeFill="background2"/>
        <w:jc w:val="center"/>
        <w:rPr>
          <w:lang w:val="en-GB"/>
        </w:rPr>
      </w:pPr>
      <w:r w:rsidRPr="00DA249F">
        <w:rPr>
          <w:noProof/>
          <w:lang w:val="en-GB"/>
        </w:rPr>
        <w:drawing>
          <wp:inline distT="0" distB="0" distL="0" distR="0" wp14:anchorId="4230D603" wp14:editId="61289427">
            <wp:extent cx="3080461" cy="2062401"/>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pic:cNvPicPr/>
                  </pic:nvPicPr>
                  <pic:blipFill>
                    <a:blip r:embed="rId31" cstate="print">
                      <a:extLst>
                        <a:ext uri="{28A0092B-C50C-407E-A947-70E740481C1C}">
                          <a14:useLocalDpi xmlns:a14="http://schemas.microsoft.com/office/drawing/2010/main" val="0"/>
                        </a:ext>
                      </a:extLst>
                    </a:blip>
                    <a:stretch>
                      <a:fillRect/>
                    </a:stretch>
                  </pic:blipFill>
                  <pic:spPr>
                    <a:xfrm>
                      <a:off x="0" y="0"/>
                      <a:ext cx="3116112" cy="2086269"/>
                    </a:xfrm>
                    <a:prstGeom prst="rect">
                      <a:avLst/>
                    </a:prstGeom>
                    <a:ln>
                      <a:noFill/>
                    </a:ln>
                  </pic:spPr>
                </pic:pic>
              </a:graphicData>
            </a:graphic>
          </wp:inline>
        </w:drawing>
      </w:r>
    </w:p>
    <w:p w14:paraId="1D109F71" w14:textId="1F63D495" w:rsidR="00AF6C9D" w:rsidRPr="00DA249F" w:rsidRDefault="00BF2EDF" w:rsidP="00306D8C">
      <w:pPr>
        <w:pStyle w:val="Caption"/>
        <w:pBdr>
          <w:top w:val="single" w:sz="4" w:space="1" w:color="auto"/>
          <w:left w:val="single" w:sz="4" w:space="1" w:color="auto"/>
          <w:bottom w:val="single" w:sz="4" w:space="1" w:color="auto"/>
          <w:right w:val="single" w:sz="4" w:space="1" w:color="auto"/>
        </w:pBdr>
        <w:shd w:val="clear" w:color="auto" w:fill="E7E6E6" w:themeFill="background2"/>
        <w:rPr>
          <w:rFonts w:eastAsia="游明朝"/>
          <w:lang w:val="en-GB"/>
        </w:rPr>
      </w:pPr>
      <w:bookmarkStart w:id="130" w:name="_Ref104902540"/>
      <w:bookmarkStart w:id="131" w:name="_Ref129339397"/>
      <w:bookmarkStart w:id="132" w:name="_Toc147500898"/>
      <w:r w:rsidRPr="00DA249F">
        <w:rPr>
          <w:lang w:val="en-GB"/>
        </w:rPr>
        <w:t>Figure 3.</w:t>
      </w:r>
      <w:r w:rsidRPr="00DA249F">
        <w:rPr>
          <w:lang w:val="en-GB"/>
        </w:rPr>
        <w:fldChar w:fldCharType="begin"/>
      </w:r>
      <w:r w:rsidRPr="00DA249F">
        <w:rPr>
          <w:lang w:val="en-GB"/>
        </w:rPr>
        <w:instrText xml:space="preserve"> SEQ Figure_3. \* ARABIC </w:instrText>
      </w:r>
      <w:r w:rsidRPr="00DA249F">
        <w:rPr>
          <w:lang w:val="en-GB"/>
        </w:rPr>
        <w:fldChar w:fldCharType="separate"/>
      </w:r>
      <w:r w:rsidR="00287BC7">
        <w:rPr>
          <w:noProof/>
          <w:lang w:val="en-GB"/>
        </w:rPr>
        <w:t>13</w:t>
      </w:r>
      <w:r w:rsidRPr="00DA249F">
        <w:rPr>
          <w:lang w:val="en-GB"/>
        </w:rPr>
        <w:fldChar w:fldCharType="end"/>
      </w:r>
      <w:bookmarkEnd w:id="130"/>
      <w:r w:rsidR="009A3B6C" w:rsidRPr="00DA249F">
        <w:rPr>
          <w:lang w:val="en-GB"/>
        </w:rPr>
        <w:t xml:space="preserve">. </w:t>
      </w:r>
      <w:r w:rsidR="003E3152" w:rsidRPr="00DA249F">
        <w:rPr>
          <w:rFonts w:eastAsia="游明朝"/>
          <w:b w:val="0"/>
          <w:bCs w:val="0"/>
          <w:lang w:val="en-GB"/>
        </w:rPr>
        <w:t>Botanical gardens facilitate the introduction of invasive alien species.</w:t>
      </w:r>
      <w:r w:rsidR="2FF86F68" w:rsidRPr="00DA249F">
        <w:rPr>
          <w:b w:val="0"/>
          <w:bCs w:val="0"/>
          <w:color w:val="202122"/>
          <w:sz w:val="21"/>
          <w:szCs w:val="21"/>
          <w:lang w:val="en-GB"/>
        </w:rPr>
        <w:t xml:space="preserve"> </w:t>
      </w:r>
      <w:r w:rsidR="2FF86F68" w:rsidRPr="00DA249F">
        <w:rPr>
          <w:b w:val="0"/>
          <w:lang w:val="en-GB"/>
        </w:rPr>
        <w:t xml:space="preserve">The China National Botanical Garden cultivate 6,000 species of plant, including 2,000 kinds of trees and bushes, 1,620 varieties of tropical and subtropical plants, 500 species of flowers and 1,900 kinds of fruit trees several of which are believed to have </w:t>
      </w:r>
      <w:r w:rsidR="6078C300" w:rsidRPr="00DA249F">
        <w:rPr>
          <w:b w:val="0"/>
          <w:lang w:val="en-GB"/>
        </w:rPr>
        <w:t xml:space="preserve">escaped and become </w:t>
      </w:r>
      <w:r w:rsidR="007F3279" w:rsidRPr="00DA249F">
        <w:rPr>
          <w:b w:val="0"/>
          <w:lang w:val="en-GB"/>
        </w:rPr>
        <w:t xml:space="preserve">established. </w:t>
      </w:r>
      <w:bookmarkEnd w:id="131"/>
      <w:r w:rsidR="002C397A">
        <w:rPr>
          <w:b w:val="0"/>
          <w:lang w:val="en-GB"/>
        </w:rPr>
        <w:t xml:space="preserve">Photo credit: </w:t>
      </w:r>
      <w:r w:rsidR="002C397A" w:rsidRPr="002C397A">
        <w:rPr>
          <w:b w:val="0"/>
          <w:lang w:val="en-GB"/>
        </w:rPr>
        <w:t>Top Photo Corporation</w:t>
      </w:r>
      <w:r w:rsidR="002C397A">
        <w:rPr>
          <w:b w:val="0"/>
          <w:lang w:val="en-GB"/>
        </w:rPr>
        <w:t xml:space="preserve">, Shutterstock </w:t>
      </w:r>
      <w:r w:rsidR="00BB328F">
        <w:rPr>
          <w:b w:val="0"/>
          <w:lang w:val="en-GB"/>
        </w:rPr>
        <w:t>–</w:t>
      </w:r>
      <w:r w:rsidR="002C397A">
        <w:rPr>
          <w:b w:val="0"/>
          <w:lang w:val="en-GB"/>
        </w:rPr>
        <w:t xml:space="preserve"> Copyright</w:t>
      </w:r>
      <w:r w:rsidR="00BB328F">
        <w:rPr>
          <w:b w:val="0"/>
          <w:lang w:val="en-GB"/>
        </w:rPr>
        <w:t>.</w:t>
      </w:r>
      <w:bookmarkEnd w:id="132"/>
    </w:p>
    <w:p w14:paraId="21C16C33" w14:textId="77777777" w:rsidR="00AF6C9D" w:rsidRPr="00DA249F" w:rsidRDefault="004B1810" w:rsidP="0090109B">
      <w:pPr>
        <w:rPr>
          <w:lang w:val="en-GB"/>
        </w:rPr>
      </w:pPr>
      <w:r w:rsidRPr="00DA249F">
        <w:rPr>
          <w:lang w:val="en-GB"/>
        </w:rPr>
        <w:t>D</w:t>
      </w:r>
      <w:r w:rsidR="008C1BF7" w:rsidRPr="00DA249F">
        <w:rPr>
          <w:lang w:val="en-GB"/>
        </w:rPr>
        <w:t xml:space="preserve">evices, sampling gear and equipment </w:t>
      </w:r>
      <w:r w:rsidR="00702CA9" w:rsidRPr="00DA249F">
        <w:rPr>
          <w:lang w:val="en-GB"/>
        </w:rPr>
        <w:t xml:space="preserve">used </w:t>
      </w:r>
      <w:r w:rsidR="008C1BF7" w:rsidRPr="00DA249F">
        <w:rPr>
          <w:lang w:val="en-GB"/>
        </w:rPr>
        <w:t xml:space="preserve">in </w:t>
      </w:r>
      <w:r w:rsidR="00702CA9" w:rsidRPr="00DA249F">
        <w:rPr>
          <w:lang w:val="en-GB"/>
        </w:rPr>
        <w:t xml:space="preserve">research activities within </w:t>
      </w:r>
      <w:r w:rsidR="008C1BF7" w:rsidRPr="00DA249F">
        <w:rPr>
          <w:lang w:val="en-GB"/>
        </w:rPr>
        <w:t xml:space="preserve">natural </w:t>
      </w:r>
      <w:r w:rsidR="00B16801" w:rsidRPr="00DA249F">
        <w:rPr>
          <w:lang w:val="en-GB"/>
        </w:rPr>
        <w:t>habitats</w:t>
      </w:r>
      <w:r w:rsidR="008C1BF7" w:rsidRPr="00DA249F">
        <w:rPr>
          <w:lang w:val="en-GB"/>
        </w:rPr>
        <w:t xml:space="preserve"> may act as vectors of </w:t>
      </w:r>
      <w:r w:rsidR="00084671" w:rsidRPr="00DA249F">
        <w:rPr>
          <w:lang w:val="en-GB"/>
        </w:rPr>
        <w:t>invasive alien species</w:t>
      </w:r>
      <w:r w:rsidR="008C1BF7" w:rsidRPr="00DA249F">
        <w:rPr>
          <w:lang w:val="en-GB"/>
        </w:rPr>
        <w:t xml:space="preserve">. For instance, </w:t>
      </w:r>
      <w:r w:rsidR="00A32049" w:rsidRPr="00DA249F">
        <w:rPr>
          <w:lang w:val="en-GB"/>
        </w:rPr>
        <w:t xml:space="preserve">barnacles frequently attach to </w:t>
      </w:r>
      <w:r w:rsidR="008C1BF7" w:rsidRPr="00DA249F">
        <w:rPr>
          <w:lang w:val="en-GB"/>
        </w:rPr>
        <w:t xml:space="preserve">the leg-rings </w:t>
      </w:r>
      <w:r w:rsidR="00A32049" w:rsidRPr="00DA249F">
        <w:rPr>
          <w:lang w:val="en-GB"/>
        </w:rPr>
        <w:t xml:space="preserve">used </w:t>
      </w:r>
      <w:r w:rsidR="008C1BF7" w:rsidRPr="00DA249F">
        <w:rPr>
          <w:lang w:val="en-GB"/>
        </w:rPr>
        <w:t>to identify individual wading birds by ornithologist</w:t>
      </w:r>
      <w:r w:rsidR="00A32049" w:rsidRPr="00DA249F">
        <w:rPr>
          <w:lang w:val="en-GB"/>
        </w:rPr>
        <w:t>s</w:t>
      </w:r>
      <w:r w:rsidR="008C1BF7" w:rsidRPr="00DA249F">
        <w:rPr>
          <w:lang w:val="en-GB"/>
        </w:rPr>
        <w:t xml:space="preserve"> </w:t>
      </w:r>
      <w:r w:rsidR="00A32049" w:rsidRPr="00DA249F">
        <w:rPr>
          <w:lang w:val="en-GB"/>
        </w:rPr>
        <w:t xml:space="preserve">and </w:t>
      </w:r>
      <w:r w:rsidR="008C1BF7" w:rsidRPr="00DA249F">
        <w:rPr>
          <w:lang w:val="en-GB"/>
        </w:rPr>
        <w:t xml:space="preserve">can </w:t>
      </w:r>
      <w:r w:rsidR="004B38B6" w:rsidRPr="00DA249F">
        <w:rPr>
          <w:lang w:val="en-GB"/>
        </w:rPr>
        <w:t xml:space="preserve">be </w:t>
      </w:r>
      <w:r w:rsidR="008C1BF7" w:rsidRPr="00DA249F">
        <w:rPr>
          <w:lang w:val="en-GB"/>
        </w:rPr>
        <w:t>transport</w:t>
      </w:r>
      <w:r w:rsidR="004B38B6" w:rsidRPr="00DA249F">
        <w:rPr>
          <w:lang w:val="en-GB"/>
        </w:rPr>
        <w:t>ed</w:t>
      </w:r>
      <w:r w:rsidR="008C1BF7" w:rsidRPr="00DA249F">
        <w:rPr>
          <w:lang w:val="en-GB"/>
        </w:rPr>
        <w:t xml:space="preserve"> long distances along bird migratory routes, “hitch-hiki</w:t>
      </w:r>
      <w:r w:rsidR="00880802" w:rsidRPr="00DA249F">
        <w:rPr>
          <w:lang w:val="en-GB"/>
        </w:rPr>
        <w:t xml:space="preserve">ng” </w:t>
      </w:r>
      <w:r w:rsidR="00A32049" w:rsidRPr="00DA249F">
        <w:rPr>
          <w:lang w:val="en-GB"/>
        </w:rPr>
        <w:t xml:space="preserve">with </w:t>
      </w:r>
      <w:r w:rsidR="00880802" w:rsidRPr="00DA249F">
        <w:rPr>
          <w:lang w:val="en-GB"/>
        </w:rPr>
        <w:t xml:space="preserve">their host birds. Since more than </w:t>
      </w:r>
      <w:r w:rsidR="008C1BF7" w:rsidRPr="00DA249F">
        <w:rPr>
          <w:lang w:val="en-GB"/>
        </w:rPr>
        <w:t xml:space="preserve">30 living barnacles can attach </w:t>
      </w:r>
      <w:r w:rsidR="00A5483C" w:rsidRPr="00DA249F">
        <w:rPr>
          <w:lang w:val="en-GB"/>
        </w:rPr>
        <w:t xml:space="preserve">to </w:t>
      </w:r>
      <w:r w:rsidR="008C1BF7" w:rsidRPr="00DA249F">
        <w:rPr>
          <w:lang w:val="en-GB"/>
        </w:rPr>
        <w:t xml:space="preserve">a single ring, this can lead to </w:t>
      </w:r>
      <w:r w:rsidR="00A32049" w:rsidRPr="00DA249F">
        <w:rPr>
          <w:lang w:val="en-GB"/>
        </w:rPr>
        <w:t xml:space="preserve">substantial </w:t>
      </w:r>
      <w:r w:rsidR="008C1BF7" w:rsidRPr="00DA249F">
        <w:rPr>
          <w:lang w:val="en-GB"/>
        </w:rPr>
        <w:t xml:space="preserve">transportation and </w:t>
      </w:r>
      <w:r w:rsidR="00A5483C" w:rsidRPr="00DA249F">
        <w:rPr>
          <w:lang w:val="en-GB"/>
        </w:rPr>
        <w:t xml:space="preserve">introductions </w:t>
      </w:r>
      <w:r w:rsidR="008C1BF7" w:rsidRPr="00DA249F">
        <w:rPr>
          <w:lang w:val="en-GB"/>
        </w:rPr>
        <w:t xml:space="preserve">to new areas </w:t>
      </w:r>
      <w:r w:rsidR="008C1BF7" w:rsidRPr="00DA249F">
        <w:rPr>
          <w:lang w:val="en-GB"/>
        </w:rPr>
        <w:fldChar w:fldCharType="begin"/>
      </w:r>
      <w:r w:rsidR="00331A79">
        <w:rPr>
          <w:lang w:val="en-GB"/>
        </w:rPr>
        <w:instrText xml:space="preserve"> ADDIN ZOTERO_ITEM CSL_CITATION {"citationID":"abad3g64ep","properties":{"formattedCitation":"(T\\uc0\\u248{}ttrup et al., 2010)","plainCitation":"(Tøttrup et al., 2010)","noteIndex":0},"citationItems":[{"id":21829,"uris":["http://zotero.org/groups/2352922/items/PMQYHLQJ"],"itemData":{"id":21829,"type":"article-journal","abstract":"The presence of adult barnacles of Fistulobalanus pallidus (Darwin) and Fistulobalanus albicostatus (Pilsbry) attached to field-readable plastic leg rings on the Lesser Black-backed Gull Larus fuscus in Northern Europe is reported. L. fuscus is a long-distance palaearctic migrant, breeding in temperate areas spreading widely over inland and marine habitats outside the breeding season. The species is known to perform long-distance migration to Africa and the Middle East. Combining present knowledge on the birds' migratory pattern and the home range of the barnacle species, it is concluded that the cypris larvae of F. pallidus must have settled in African waters, whereas the area where F. albicostatus settled on the bird leg rings is less certain. The barnacles were of adult size and must thus have been attached for a period of no less than 2 months. More than 30 individual barnacles could occur together on a single field-readable plastic leg ring. The barnacles could therefore, if ported alive to a new area, reproduce successfully and thus either introduce the species or genetically affect other native populations. This may pose a new and wholly unexpected transportation pathway for barnacles as invasive species.","container-title":"Biofouling","DOI":"10.1080/08927014.2010.489203","ISSN":"0892-7014","issue":"5","note":"publisher: Taylor &amp; Francis\n_eprint: https://doi.org/10.1080/08927014.2010.489203\nPMID: 20544434","page":"577-582","source":"Taylor and Francis+NEJM","title":"‘Flying barnacles’: implications for the spread of non-indigenous species","title-short":"‘Flying barnacles’","URL":"https://doi.org/10.1080/08927014.2010.489203","volume":"26","author":[{"family":"Tøttrup","given":"Anders P."},{"family":"Chan","given":"Benny K. K."},{"family":"Koskinen","given":"Hannu"},{"family":"Høeg","given":"Jens T."}],"accessed":{"date-parts":[["2020",3,27]]},"issued":{"date-parts":[["2010",6,3]]}}}],"schema":"https://github.com/citation-style-language/schema/raw/master/csl-citation.json"} </w:instrText>
      </w:r>
      <w:r w:rsidR="008C1BF7" w:rsidRPr="00DA249F">
        <w:rPr>
          <w:lang w:val="en-GB"/>
        </w:rPr>
        <w:fldChar w:fldCharType="separate"/>
      </w:r>
      <w:r w:rsidR="00144D96" w:rsidRPr="00144D96">
        <w:rPr>
          <w:szCs w:val="24"/>
        </w:rPr>
        <w:t>(Tøttrup et al., 2010)</w:t>
      </w:r>
      <w:r w:rsidR="008C1BF7" w:rsidRPr="00DA249F">
        <w:rPr>
          <w:lang w:val="en-GB"/>
        </w:rPr>
        <w:fldChar w:fldCharType="end"/>
      </w:r>
      <w:r w:rsidR="008C1BF7" w:rsidRPr="00DA249F">
        <w:rPr>
          <w:lang w:val="en-GB"/>
        </w:rPr>
        <w:t>. More recently, the use of submersible assets</w:t>
      </w:r>
      <w:r w:rsidR="00650DE0" w:rsidRPr="00DA249F">
        <w:rPr>
          <w:lang w:val="en-GB"/>
        </w:rPr>
        <w:t>,</w:t>
      </w:r>
      <w:r w:rsidR="008C1BF7" w:rsidRPr="00DA249F">
        <w:rPr>
          <w:lang w:val="en-GB"/>
        </w:rPr>
        <w:t xml:space="preserve"> like remote</w:t>
      </w:r>
      <w:r w:rsidR="00D51590">
        <w:rPr>
          <w:lang w:val="en-GB"/>
        </w:rPr>
        <w:t>-</w:t>
      </w:r>
      <w:r w:rsidR="008C1BF7" w:rsidRPr="00DA249F">
        <w:rPr>
          <w:lang w:val="en-GB"/>
        </w:rPr>
        <w:t>operated vehicles and human</w:t>
      </w:r>
      <w:r w:rsidR="00D51590">
        <w:rPr>
          <w:lang w:val="en-GB"/>
        </w:rPr>
        <w:t>-</w:t>
      </w:r>
      <w:r w:rsidR="008C1BF7" w:rsidRPr="00DA249F">
        <w:rPr>
          <w:lang w:val="en-GB"/>
        </w:rPr>
        <w:t>occupied vehicles</w:t>
      </w:r>
      <w:r w:rsidR="00650DE0" w:rsidRPr="00DA249F">
        <w:rPr>
          <w:lang w:val="en-GB"/>
        </w:rPr>
        <w:t>,</w:t>
      </w:r>
      <w:r w:rsidR="008C1BF7" w:rsidRPr="00DA249F">
        <w:rPr>
          <w:lang w:val="en-GB"/>
        </w:rPr>
        <w:t xml:space="preserve"> open a novel potential pathway through which scientific research can aid the </w:t>
      </w:r>
      <w:r w:rsidR="5B04C40B" w:rsidRPr="00DA249F">
        <w:rPr>
          <w:lang w:val="en-GB"/>
        </w:rPr>
        <w:t>transport</w:t>
      </w:r>
      <w:r w:rsidR="008C1BF7" w:rsidRPr="00DA249F">
        <w:rPr>
          <w:lang w:val="en-GB"/>
        </w:rPr>
        <w:t xml:space="preserve"> of </w:t>
      </w:r>
      <w:r w:rsidR="00084671" w:rsidRPr="00DA249F">
        <w:rPr>
          <w:lang w:val="en-GB"/>
        </w:rPr>
        <w:t>invasive alien species</w:t>
      </w:r>
      <w:r w:rsidR="008C1BF7" w:rsidRPr="00DA249F">
        <w:rPr>
          <w:lang w:val="en-GB"/>
        </w:rPr>
        <w:t>. In particular, the use</w:t>
      </w:r>
      <w:r w:rsidR="28E91D61" w:rsidRPr="00DA249F">
        <w:rPr>
          <w:lang w:val="en-GB"/>
        </w:rPr>
        <w:t xml:space="preserve"> of</w:t>
      </w:r>
      <w:r w:rsidR="008C1BF7" w:rsidRPr="00DA249F">
        <w:rPr>
          <w:lang w:val="en-GB"/>
        </w:rPr>
        <w:t xml:space="preserve"> remote</w:t>
      </w:r>
      <w:r w:rsidR="00D51590">
        <w:rPr>
          <w:lang w:val="en-GB"/>
        </w:rPr>
        <w:t>-</w:t>
      </w:r>
      <w:r w:rsidR="008C1BF7" w:rsidRPr="00DA249F">
        <w:rPr>
          <w:lang w:val="en-GB"/>
        </w:rPr>
        <w:t xml:space="preserve">operated vehicles </w:t>
      </w:r>
      <w:r w:rsidR="194F1C7E" w:rsidRPr="00DA249F">
        <w:rPr>
          <w:lang w:val="en-GB"/>
        </w:rPr>
        <w:t>has</w:t>
      </w:r>
      <w:r w:rsidR="008C1BF7" w:rsidRPr="00DA249F">
        <w:rPr>
          <w:lang w:val="en-GB"/>
        </w:rPr>
        <w:t xml:space="preserve"> expanded the reach of human influence to regions where humans themselves cannot access. These high-tech</w:t>
      </w:r>
      <w:r w:rsidR="00D51590">
        <w:rPr>
          <w:lang w:val="en-GB"/>
        </w:rPr>
        <w:t>nology</w:t>
      </w:r>
      <w:r w:rsidR="008C1BF7" w:rsidRPr="00DA249F">
        <w:rPr>
          <w:lang w:val="en-GB"/>
        </w:rPr>
        <w:t xml:space="preserve"> vectors have a tremendous potential </w:t>
      </w:r>
      <w:r w:rsidR="00E71622">
        <w:rPr>
          <w:lang w:val="en-GB"/>
        </w:rPr>
        <w:t>to increase</w:t>
      </w:r>
      <w:r w:rsidR="008C1BF7" w:rsidRPr="00DA249F">
        <w:rPr>
          <w:lang w:val="en-GB"/>
        </w:rPr>
        <w:t xml:space="preserve"> transport of </w:t>
      </w:r>
      <w:r w:rsidR="00084671" w:rsidRPr="00DA249F">
        <w:rPr>
          <w:lang w:val="en-GB"/>
        </w:rPr>
        <w:t xml:space="preserve">invasive alien species </w:t>
      </w:r>
      <w:r w:rsidR="008C1BF7" w:rsidRPr="00DA249F">
        <w:rPr>
          <w:lang w:val="en-GB"/>
        </w:rPr>
        <w:t xml:space="preserve">in marine ecosystems </w:t>
      </w:r>
      <w:r w:rsidR="008C1BF7" w:rsidRPr="00DA249F">
        <w:rPr>
          <w:lang w:val="en-GB"/>
        </w:rPr>
        <w:fldChar w:fldCharType="begin"/>
      </w:r>
      <w:r w:rsidR="00331A79">
        <w:rPr>
          <w:lang w:val="en-GB"/>
        </w:rPr>
        <w:instrText xml:space="preserve"> ADDIN ZOTERO_ITEM CSL_CITATION {"citationID":"a1cammt2tps","properties":{"formattedCitation":"(Thaler et al., 2015)","plainCitation":"(Thaler et al., 2015)","noteIndex":0},"citationItems":[{"id":16035,"uris":["http://zotero.org/groups/2352922/items/YELKG4BP"],"itemData":{"id":16035,"type":"article-journal","abstract":"Remotely operated vehicles (ROVs) present a potential risk for the transmission of invasive species. This is particularly the case for small, low-cost microROVs that can be easily transported among ecosystems and, if not properly cleaned and treated, may introduce novel species into new regions. Here we present a set of 5 best-practice guidelines to reduce the risk of marine invasive species introduction for microROV operators. These guidelines include: educating ROV users about the causes and potential harm of species invasion; visually inspecting ROVs prior to and at the conclusion of each dive; rinsing ROVs in sterile freshwater following each dive; washing ROVs in a mild bleach (or other sanitizing agent) solution before moving between discrete geographic regions or ecosystems; and minimizing transport between ecosystems. We also provide a checklist that microROV users can incorporate into their pre- and post-dive maintenance routine.","container-title":"Tropical Conservation Science","DOI":"10.1177/194008291500800308","ISSN":"1940-0829, 1940-0829","issue":"3","journalAbbreviation":"Tropical Conservation Science","language":"en","page":"711-717","source":"DOI.org (Crossref)","title":"Robots as Vectors for Marine Invasions: Best Practices for Minimizing Transmission of Invasive Species Via Observation-Class ROVs","title-short":"Robots as Vectors for Marine Invasions","URL":"http://journals.sagepub.com/doi/10.1177/194008291500800308","volume":"8","author":[{"family":"Thaler","given":"Andrew David"},{"family":"Freitag","given":"Amy"},{"family":"Bergman","given":"Erika"},{"family":"Fretz","given":"Dominik"},{"family":"Saleu","given":"William"}],"accessed":{"date-parts":[["2019",11,12]]},"issued":{"date-parts":[["2015",9]]}}}],"schema":"https://github.com/citation-style-language/schema/raw/master/csl-citation.json"} </w:instrText>
      </w:r>
      <w:r w:rsidR="008C1BF7" w:rsidRPr="00DA249F">
        <w:rPr>
          <w:lang w:val="en-GB"/>
        </w:rPr>
        <w:fldChar w:fldCharType="separate"/>
      </w:r>
      <w:r w:rsidR="00144D96" w:rsidRPr="00144D96">
        <w:t>(Thaler et al., 2015)</w:t>
      </w:r>
      <w:r w:rsidR="008C1BF7" w:rsidRPr="00DA249F">
        <w:rPr>
          <w:lang w:val="en-GB"/>
        </w:rPr>
        <w:fldChar w:fldCharType="end"/>
      </w:r>
      <w:r w:rsidR="008C1BF7" w:rsidRPr="00DA249F">
        <w:rPr>
          <w:lang w:val="en-GB"/>
        </w:rPr>
        <w:t xml:space="preserve">, as illustrated by the transport and potential </w:t>
      </w:r>
      <w:r w:rsidR="00AF3889" w:rsidRPr="00DA249F">
        <w:rPr>
          <w:lang w:val="en-GB"/>
        </w:rPr>
        <w:t xml:space="preserve">introduction </w:t>
      </w:r>
      <w:r w:rsidR="008C1BF7" w:rsidRPr="00DA249F">
        <w:rPr>
          <w:lang w:val="en-GB"/>
        </w:rPr>
        <w:t xml:space="preserve">of living limpets from deep-sea hydrothermal vents to other distant vents </w:t>
      </w:r>
      <w:r w:rsidR="008C1BF7" w:rsidRPr="00DA249F">
        <w:rPr>
          <w:lang w:val="en-GB"/>
        </w:rPr>
        <w:fldChar w:fldCharType="begin"/>
      </w:r>
      <w:r w:rsidR="00331A79">
        <w:rPr>
          <w:lang w:val="en-GB"/>
        </w:rPr>
        <w:instrText xml:space="preserve"> ADDIN ZOTERO_ITEM CSL_CITATION {"citationID":"a2j077gnnj8","properties":{"formattedCitation":"(Voight et al., 2012)","plainCitation":"(Voight et al., 2012)","noteIndex":0},"citationItems":[{"id":21828,"uris":["http://zotero.org/groups/2352922/items/A2ELKPVQ"],"itemData":{"id":21828,"type":"article-journal","abstract":"Abstract: The fauna of deep-sea hydrothermal vents are among the most isolated and inaccessible biological communities on Earth. Most vent sites can only be visited by subsea vehicles, which can and do move freely among these communities. Researchers assume individuals of the regionally homogeneous vent fauna are killed by the change in hydrostatic pressure the animals experience when the subsea vehicles, which collected them, rise to the surface. After an Alvin dive, we found 38 apparently healthy individuals of a vent limpet in a sample from a hydrothermally inactive area. Prompted by our identification of these specimens as Lepetodrilus gordensis, a species restricted to vents 635 km to the south of our dive site, we tested whether they were from a novel population or were contaminants from the dive made 36 h earlier. The 16S gene sequences, morphology, sex ratio, bacterial colonies, and stable isotopes uniformly indicated the specimens came from the previous dive. We cleaned the sampler, but assumed pressure changes would kill any organisms we did not remove and that the faunas of the 2 areas were nearly identical and disease-free. Our failure to completely clean the gear on the subsea vehicle meant we could have introduced the species and any diseases it carried to a novel location. Our findings suggest that the nearly inaccessible biological communities at deep-sea vents may be vulnerable to anthropogenic alteration, despite their extreme physical conditions.","container-title":"Conservation Biology","DOI":"10.1111/j.1523-1739.2012.01864.x","ISSN":"1523-1739","issue":"5","language":"en","license":"©2012 Society for Conservation Biology","note":"_eprint: https://conbio.onlinelibrary.wiley.com/doi/pdf/10.1111/j.1523-1739.2012.01864.x","page":"938-942","source":"Wiley Online Library","title":"Scientific gear as a vector for non-native species at deep-sea hydrothermal vents","URL":"https://conbio.onlinelibrary.wiley.com/doi/abs/10.1111/j.1523-1739.2012.01864.x","volume":"26","author":[{"family":"Voight","given":"Janet R."},{"family":"Lee","given":"Raymond W."},{"family":"Reft","given":"Abigail J."},{"family":"Bates","given":"Amanda E."}],"accessed":{"date-parts":[["2020",3,27]]},"issued":{"date-parts":[["2012"]]}}}],"schema":"https://github.com/citation-style-language/schema/raw/master/csl-citation.json"} </w:instrText>
      </w:r>
      <w:r w:rsidR="008C1BF7" w:rsidRPr="00DA249F">
        <w:rPr>
          <w:lang w:val="en-GB"/>
        </w:rPr>
        <w:fldChar w:fldCharType="separate"/>
      </w:r>
      <w:r w:rsidR="00144D96" w:rsidRPr="00144D96">
        <w:t>(Voight et al., 2012)</w:t>
      </w:r>
      <w:r w:rsidR="008C1BF7" w:rsidRPr="00DA249F">
        <w:rPr>
          <w:lang w:val="en-GB"/>
        </w:rPr>
        <w:fldChar w:fldCharType="end"/>
      </w:r>
      <w:r w:rsidR="008C1BF7" w:rsidRPr="00DA249F">
        <w:rPr>
          <w:lang w:val="en-GB"/>
        </w:rPr>
        <w:t xml:space="preserve">. </w:t>
      </w:r>
    </w:p>
    <w:p w14:paraId="14609235" w14:textId="77777777" w:rsidR="008C1BF7" w:rsidRPr="00DA249F" w:rsidRDefault="0231CA54" w:rsidP="004826A3">
      <w:pPr>
        <w:pStyle w:val="Heading3"/>
        <w:rPr>
          <w:lang w:val="en-GB"/>
        </w:rPr>
      </w:pPr>
      <w:bookmarkStart w:id="133" w:name="_Toc44317807"/>
      <w:r w:rsidRPr="00DA249F">
        <w:rPr>
          <w:lang w:val="en-GB"/>
        </w:rPr>
        <w:t>Development of communication technology</w:t>
      </w:r>
      <w:bookmarkEnd w:id="133"/>
    </w:p>
    <w:p w14:paraId="57D5BF23" w14:textId="003AE2E2" w:rsidR="00AF6C9D" w:rsidRPr="00DA249F" w:rsidRDefault="18794F6F" w:rsidP="0090109B">
      <w:pPr>
        <w:rPr>
          <w:lang w:val="en-GB"/>
        </w:rPr>
      </w:pPr>
      <w:r w:rsidRPr="00DA249F">
        <w:rPr>
          <w:lang w:val="en-GB"/>
        </w:rPr>
        <w:t xml:space="preserve">The </w:t>
      </w:r>
      <w:r w:rsidR="00CD6A8F" w:rsidRPr="00DA249F">
        <w:rPr>
          <w:lang w:val="en-GB"/>
        </w:rPr>
        <w:t>development</w:t>
      </w:r>
      <w:r w:rsidRPr="00DA249F">
        <w:rPr>
          <w:lang w:val="en-GB"/>
        </w:rPr>
        <w:t xml:space="preserve"> of communication technology is an important driving force for the </w:t>
      </w:r>
      <w:r w:rsidR="762C922C" w:rsidRPr="00DA249F">
        <w:rPr>
          <w:lang w:val="en-GB"/>
        </w:rPr>
        <w:t xml:space="preserve">globalization </w:t>
      </w:r>
      <w:r w:rsidRPr="00DA249F">
        <w:rPr>
          <w:lang w:val="en-GB"/>
        </w:rPr>
        <w:t xml:space="preserve">of markets. </w:t>
      </w:r>
      <w:r w:rsidR="41AD6188" w:rsidRPr="00DA249F">
        <w:rPr>
          <w:lang w:val="en-GB"/>
        </w:rPr>
        <w:t>As of 2021, 63</w:t>
      </w:r>
      <w:r w:rsidR="004C77CD" w:rsidRPr="00DA249F">
        <w:rPr>
          <w:lang w:val="en-GB"/>
        </w:rPr>
        <w:t xml:space="preserve"> per cent</w:t>
      </w:r>
      <w:r w:rsidR="44FA3BCB" w:rsidRPr="00DA249F">
        <w:rPr>
          <w:lang w:val="en-GB"/>
        </w:rPr>
        <w:t xml:space="preserve"> of the world population (</w:t>
      </w:r>
      <w:r w:rsidR="00930403" w:rsidRPr="00DA249F">
        <w:rPr>
          <w:lang w:val="en-GB"/>
        </w:rPr>
        <w:t xml:space="preserve">i.e., </w:t>
      </w:r>
      <w:r w:rsidR="44FA3BCB" w:rsidRPr="00DA249F">
        <w:rPr>
          <w:lang w:val="en-GB"/>
        </w:rPr>
        <w:t>4.</w:t>
      </w:r>
      <w:r w:rsidR="41AD6188" w:rsidRPr="00DA249F">
        <w:rPr>
          <w:lang w:val="en-GB"/>
        </w:rPr>
        <w:t>9</w:t>
      </w:r>
      <w:r w:rsidR="44FA3BCB" w:rsidRPr="00DA249F">
        <w:rPr>
          <w:lang w:val="en-GB"/>
        </w:rPr>
        <w:t xml:space="preserve"> billion people)</w:t>
      </w:r>
      <w:r w:rsidR="64188EAD" w:rsidRPr="00DA249F">
        <w:rPr>
          <w:lang w:val="en-GB"/>
        </w:rPr>
        <w:t xml:space="preserve"> had internet access,</w:t>
      </w:r>
      <w:r w:rsidR="26DEF99C" w:rsidRPr="00DA249F">
        <w:rPr>
          <w:lang w:val="en-GB"/>
        </w:rPr>
        <w:t xml:space="preserve"> an </w:t>
      </w:r>
      <w:r w:rsidR="41AD6188" w:rsidRPr="00DA249F">
        <w:rPr>
          <w:lang w:val="en-GB"/>
        </w:rPr>
        <w:t>almost five</w:t>
      </w:r>
      <w:r w:rsidR="00A32049" w:rsidRPr="00DA249F">
        <w:rPr>
          <w:lang w:val="en-GB"/>
        </w:rPr>
        <w:t>-</w:t>
      </w:r>
      <w:r w:rsidR="26DEF99C" w:rsidRPr="00DA249F">
        <w:rPr>
          <w:lang w:val="en-GB"/>
        </w:rPr>
        <w:t>times increase</w:t>
      </w:r>
      <w:r w:rsidR="1EB22440" w:rsidRPr="00DA249F">
        <w:rPr>
          <w:lang w:val="en-GB"/>
        </w:rPr>
        <w:t xml:space="preserve"> </w:t>
      </w:r>
      <w:r w:rsidR="26DEF99C" w:rsidRPr="00DA249F">
        <w:rPr>
          <w:lang w:val="en-GB"/>
        </w:rPr>
        <w:t>compared with 2005</w:t>
      </w:r>
      <w:r w:rsidR="41AD6188" w:rsidRPr="00DA249F">
        <w:rPr>
          <w:lang w:val="en-GB"/>
        </w:rPr>
        <w:t>, and 95</w:t>
      </w:r>
      <w:r w:rsidR="004C77CD" w:rsidRPr="00DA249F">
        <w:rPr>
          <w:lang w:val="en-GB"/>
        </w:rPr>
        <w:t xml:space="preserve"> per cent</w:t>
      </w:r>
      <w:r w:rsidR="41AD6188" w:rsidRPr="00DA249F">
        <w:rPr>
          <w:lang w:val="en-GB"/>
        </w:rPr>
        <w:t xml:space="preserve"> was covered by broadband mobile network (</w:t>
      </w:r>
      <w:r w:rsidR="00561DEA" w:rsidRPr="00DA249F">
        <w:rPr>
          <w:lang w:val="en-GB"/>
        </w:rPr>
        <w:t>i</w:t>
      </w:r>
      <w:r w:rsidR="41AD6188" w:rsidRPr="00DA249F">
        <w:rPr>
          <w:lang w:val="en-GB"/>
        </w:rPr>
        <w:t>.e.</w:t>
      </w:r>
      <w:r w:rsidR="00561DEA" w:rsidRPr="00DA249F">
        <w:rPr>
          <w:lang w:val="en-GB"/>
        </w:rPr>
        <w:t>,</w:t>
      </w:r>
      <w:r w:rsidR="41AD6188" w:rsidRPr="00DA249F">
        <w:rPr>
          <w:lang w:val="en-GB"/>
        </w:rPr>
        <w:t xml:space="preserve"> 3G and over</w:t>
      </w:r>
      <w:r w:rsidR="00561DEA" w:rsidRPr="00DA249F">
        <w:rPr>
          <w:lang w:val="en-GB"/>
        </w:rPr>
        <w:t>;</w:t>
      </w:r>
      <w:r w:rsidR="26DEF99C" w:rsidRPr="00DA249F">
        <w:rPr>
          <w:lang w:val="en-GB"/>
        </w:rPr>
        <w:t xml:space="preserve"> </w:t>
      </w:r>
      <w:r w:rsidR="00306586" w:rsidRPr="00DA249F">
        <w:rPr>
          <w:lang w:val="en-GB"/>
        </w:rPr>
        <w:fldChar w:fldCharType="begin"/>
      </w:r>
      <w:r w:rsidR="00230216">
        <w:rPr>
          <w:lang w:val="en-GB"/>
        </w:rPr>
        <w:instrText xml:space="preserve"> ADDIN ZOTERO_ITEM CSL_CITATION {"citationID":"uIOGVv9A","properties":{"formattedCitation":"(International Telecommunication Union, 2021)","plainCitation":"(International Telecommunication Union, 2021)","dontUpdate":true,"noteIndex":0},"citationItems":[{"id":"zUkrYEfa/hyiDUOsR","uris":["http://zotero.org/users/5651267/items/Q7B6Q4DP"],"itemData":{"id":66198,"type":"webpage","title":"Measuring digital development: Facts and figures 2021","URL":"https://www.itu.int/en/ITU-D/Statistics/Pages/facts/default.aspx","author":[{"family":"International Telecommunication Union","given":""}],"accessed":{"date-parts":[["2021",11,30]]},"issued":{"date-parts":[["2021"]]}}}],"schema":"https://github.com/citation-style-language/schema/raw/master/csl-citation.json"} </w:instrText>
      </w:r>
      <w:r w:rsidR="00306586" w:rsidRPr="00DA249F">
        <w:rPr>
          <w:lang w:val="en-GB"/>
        </w:rPr>
        <w:fldChar w:fldCharType="separate"/>
      </w:r>
      <w:r w:rsidR="00306586" w:rsidRPr="00DA249F">
        <w:rPr>
          <w:lang w:val="en-GB"/>
        </w:rPr>
        <w:t>International Telecommunication Union, 2021)</w:t>
      </w:r>
      <w:r w:rsidR="00306586" w:rsidRPr="00DA249F">
        <w:rPr>
          <w:lang w:val="en-GB"/>
        </w:rPr>
        <w:fldChar w:fldCharType="end"/>
      </w:r>
      <w:r w:rsidR="622B4045" w:rsidRPr="00DA249F">
        <w:rPr>
          <w:lang w:val="en-GB"/>
        </w:rPr>
        <w:t>.</w:t>
      </w:r>
      <w:r w:rsidR="406294BC" w:rsidRPr="00DA249F">
        <w:rPr>
          <w:lang w:val="en-GB"/>
        </w:rPr>
        <w:t xml:space="preserve"> </w:t>
      </w:r>
      <w:r w:rsidR="008C1BF7" w:rsidRPr="00DA249F">
        <w:rPr>
          <w:lang w:val="en-GB"/>
        </w:rPr>
        <w:t>New distribution channels such as internet trading (e-commerce) have caused significant changes in the movement of organisms.</w:t>
      </w:r>
      <w:r w:rsidR="00A56E53" w:rsidRPr="00DA249F">
        <w:rPr>
          <w:lang w:val="en-GB"/>
        </w:rPr>
        <w:t xml:space="preserve"> </w:t>
      </w:r>
      <w:r w:rsidR="008C1BF7" w:rsidRPr="00DA249F">
        <w:rPr>
          <w:lang w:val="en-GB"/>
        </w:rPr>
        <w:t xml:space="preserve">In e-commerce trading </w:t>
      </w:r>
      <w:r w:rsidR="008C1BF7" w:rsidRPr="00DA249F">
        <w:rPr>
          <w:color w:val="000000" w:themeColor="text1"/>
          <w:lang w:val="en-GB"/>
        </w:rPr>
        <w:t xml:space="preserve">surveys, </w:t>
      </w:r>
      <w:r w:rsidR="008C1BF7" w:rsidRPr="00DA249F">
        <w:rPr>
          <w:rStyle w:val="normaltextrun"/>
          <w:rFonts w:eastAsiaTheme="majorEastAsia"/>
          <w:color w:val="000000" w:themeColor="text1"/>
          <w:shd w:val="clear" w:color="auto" w:fill="FFFFFF"/>
          <w:lang w:val="en-GB"/>
        </w:rPr>
        <w:t>between 30</w:t>
      </w:r>
      <w:r w:rsidR="00DD1289">
        <w:rPr>
          <w:rStyle w:val="normaltextrun"/>
          <w:rFonts w:eastAsiaTheme="majorEastAsia"/>
          <w:color w:val="000000" w:themeColor="text1"/>
          <w:shd w:val="clear" w:color="auto" w:fill="FFFFFF"/>
          <w:lang w:val="en-GB"/>
        </w:rPr>
        <w:t xml:space="preserve"> and </w:t>
      </w:r>
      <w:r w:rsidR="008C1BF7" w:rsidRPr="00DA249F">
        <w:rPr>
          <w:rStyle w:val="normaltextrun"/>
          <w:rFonts w:eastAsiaTheme="majorEastAsia"/>
          <w:color w:val="000000" w:themeColor="text1"/>
          <w:shd w:val="clear" w:color="auto" w:fill="FFFFFF"/>
          <w:lang w:val="en-GB"/>
        </w:rPr>
        <w:t>80</w:t>
      </w:r>
      <w:r w:rsidR="004C77CD" w:rsidRPr="00DA249F">
        <w:rPr>
          <w:rStyle w:val="normaltextrun"/>
          <w:rFonts w:eastAsiaTheme="majorEastAsia"/>
          <w:color w:val="000000" w:themeColor="text1"/>
          <w:shd w:val="clear" w:color="auto" w:fill="FFFFFF"/>
          <w:lang w:val="en-GB"/>
        </w:rPr>
        <w:t xml:space="preserve"> per cent</w:t>
      </w:r>
      <w:r w:rsidR="008C1BF7" w:rsidRPr="00DA249F">
        <w:rPr>
          <w:rStyle w:val="normaltextrun"/>
          <w:rFonts w:eastAsiaTheme="majorEastAsia"/>
          <w:color w:val="000000" w:themeColor="text1"/>
          <w:shd w:val="clear" w:color="auto" w:fill="FFFFFF"/>
          <w:lang w:val="en-GB"/>
        </w:rPr>
        <w:t xml:space="preserve"> of recognized invasive alien </w:t>
      </w:r>
      <w:r w:rsidR="00FA6768" w:rsidRPr="00DA249F">
        <w:rPr>
          <w:rStyle w:val="normaltextrun"/>
          <w:rFonts w:eastAsiaTheme="majorEastAsia"/>
          <w:color w:val="000000" w:themeColor="text1"/>
          <w:shd w:val="clear" w:color="auto" w:fill="FFFFFF"/>
          <w:lang w:val="en-GB"/>
        </w:rPr>
        <w:t xml:space="preserve">plant </w:t>
      </w:r>
      <w:r w:rsidR="008C1BF7" w:rsidRPr="00DA249F">
        <w:rPr>
          <w:rStyle w:val="normaltextrun"/>
          <w:rFonts w:eastAsiaTheme="majorEastAsia"/>
          <w:color w:val="000000" w:themeColor="text1"/>
          <w:shd w:val="clear" w:color="auto" w:fill="FFFFFF"/>
          <w:lang w:val="en-GB"/>
        </w:rPr>
        <w:t>species were detected on auction sites daily</w:t>
      </w:r>
      <w:r w:rsidR="008C1BF7" w:rsidRPr="00DA249F">
        <w:rPr>
          <w:color w:val="000000" w:themeColor="text1"/>
          <w:lang w:val="en-GB"/>
        </w:rPr>
        <w:t xml:space="preserve">, making </w:t>
      </w:r>
      <w:r w:rsidR="008C1BF7" w:rsidRPr="00DA249F">
        <w:rPr>
          <w:lang w:val="en-GB"/>
        </w:rPr>
        <w:t xml:space="preserve">it possible to obtain invasive alien plants from almost anywhere in the world </w:t>
      </w:r>
      <w:r w:rsidR="008C1BF7" w:rsidRPr="00DA249F">
        <w:rPr>
          <w:lang w:val="en-GB"/>
        </w:rPr>
        <w:fldChar w:fldCharType="begin"/>
      </w:r>
      <w:r w:rsidR="00331A79">
        <w:rPr>
          <w:lang w:val="en-GB"/>
        </w:rPr>
        <w:instrText xml:space="preserve"> ADDIN ZOTERO_ITEM CSL_CITATION {"citationID":"MGL4RgnB","properties":{"formattedCitation":"(Humair et al., 2015)","plainCitation":"(Humair et al., 2015)","noteIndex":0},"citationItems":[{"id":28914,"uris":["http://zotero.org/groups/2352922/items/YG8UXVZN"],"itemData":{"id":28914,"type":"article-journal","abstract":"Biological invasions are a major concern in conservation, especially because global transport of species is still increasing rapidly. Conservationists hope to anticipate and thus prevent future invasions by identifying and regulating potentially invasive species through species risk assessments and international trade regulations. Among many introduction pathways of non-native species, horticulture is a particularly important driver of plant invasions. In recent decades, the horticultural industry expanded globally and changed structurally through the emergence of new distribution channels, including internet trade (e-commerce). Using an automated search algorithm, we surveyed, on a daily basis, e-commerce trade on 10 major online auction sites (including eBay) of approximately three-fifths of the world’s spermatophyte flora. Many recognized invasive plant species (&gt;500 species) (i.e., species associated with ecological or socio-economic problems) were traded daily worldwide on the internet. A markedly higher proportion of invasive than non-invasive species were available online. Typically, for a particular plant family, 30–80% of recognized invasive species were detected on an auction site, but only a few percentages of all species in the plant family were detected on a site. Families that were more traded had a higher proportion of invasive species than families that were less traded. For woody species, there was a significant positive relationship between the number of regions where a species was sold and the number of regions where it was invasive. Our results indicate that biosecurity is not effectively regulating online plant trade. In the future, automated monitoring of e-commerce may help prevent the spread of invasive species, provide information on emerging trade connectivity across national borders, and be used in horizon scanning exercises for early detection of new species and their geographic source areas in international trade.","container-title":"Conservation Biology","DOI":"10.1111/cobi.12579","ISSN":"08888892","issue":"6","journalAbbreviation":"Conservation Biology","language":"en","page":"1658-1665","source":"DOI.org (Crossref)","title":"E-commerce trade in invasive plants","title-short":"E-commerce trade in invasive plants","URL":"http://doi.wiley.com/10.1111/cobi.12579","volume":"29","author":[{"family":"Humair","given":"Franziska"},{"family":"Humair","given":"Luc"},{"family":"Kuhn","given":"Fabian"},{"family":"Kueffer","given":"Christoph"}],"accessed":{"date-parts":[["2019",11,1]]},"issued":{"date-parts":[["2015",12]]}}}],"schema":"https://github.com/citation-style-language/schema/raw/master/csl-citation.json"} </w:instrText>
      </w:r>
      <w:r w:rsidR="008C1BF7" w:rsidRPr="00DA249F">
        <w:rPr>
          <w:lang w:val="en-GB"/>
        </w:rPr>
        <w:fldChar w:fldCharType="separate"/>
      </w:r>
      <w:r w:rsidR="00144D96" w:rsidRPr="00144D96">
        <w:t>(Humair et al., 2015)</w:t>
      </w:r>
      <w:r w:rsidR="008C1BF7" w:rsidRPr="00DA249F">
        <w:rPr>
          <w:lang w:val="en-GB"/>
        </w:rPr>
        <w:fldChar w:fldCharType="end"/>
      </w:r>
      <w:r w:rsidR="008C1BF7" w:rsidRPr="00DA249F">
        <w:rPr>
          <w:lang w:val="en-GB"/>
        </w:rPr>
        <w:t>. Due to the difficulty in tracing the contents of express mail, and the increasing vol</w:t>
      </w:r>
      <w:r w:rsidR="00A33C3B" w:rsidRPr="00DA249F">
        <w:rPr>
          <w:lang w:val="en-GB"/>
        </w:rPr>
        <w:t>ume of trade through this route</w:t>
      </w:r>
      <w:r w:rsidR="00DD1289">
        <w:rPr>
          <w:lang w:val="en-GB"/>
        </w:rPr>
        <w:t>,</w:t>
      </w:r>
      <w:r w:rsidR="008C1BF7" w:rsidRPr="00DA249F">
        <w:rPr>
          <w:lang w:val="en-GB"/>
        </w:rPr>
        <w:t xml:space="preserve"> </w:t>
      </w:r>
      <w:r w:rsidR="5AB32593" w:rsidRPr="00DA249F">
        <w:rPr>
          <w:lang w:val="en-GB"/>
        </w:rPr>
        <w:t>the</w:t>
      </w:r>
      <w:r w:rsidR="008C1BF7" w:rsidRPr="00DA249F">
        <w:rPr>
          <w:lang w:val="en-GB"/>
        </w:rPr>
        <w:t xml:space="preserve"> current biosecurity </w:t>
      </w:r>
      <w:r w:rsidR="00886E8E" w:rsidRPr="00DA249F">
        <w:rPr>
          <w:lang w:val="en-GB" w:eastAsia="en-NZ"/>
        </w:rPr>
        <w:t>(</w:t>
      </w:r>
      <w:r w:rsidR="00E23B69">
        <w:rPr>
          <w:b/>
          <w:iCs/>
          <w:lang w:val="en-GB" w:eastAsia="en-NZ"/>
        </w:rPr>
        <w:t>Glossary</w:t>
      </w:r>
      <w:r w:rsidR="00886E8E" w:rsidRPr="00DA249F">
        <w:rPr>
          <w:lang w:val="en-GB" w:eastAsia="en-NZ"/>
        </w:rPr>
        <w:t xml:space="preserve">) </w:t>
      </w:r>
      <w:r w:rsidR="008C1BF7" w:rsidRPr="00DA249F">
        <w:rPr>
          <w:lang w:val="en-GB"/>
        </w:rPr>
        <w:t xml:space="preserve">system </w:t>
      </w:r>
      <w:r w:rsidR="001A5ED6" w:rsidRPr="00DA249F">
        <w:rPr>
          <w:lang w:val="en-GB"/>
        </w:rPr>
        <w:t>cannot</w:t>
      </w:r>
      <w:r w:rsidR="008C1BF7" w:rsidRPr="00DA249F">
        <w:rPr>
          <w:lang w:val="en-GB"/>
        </w:rPr>
        <w:t xml:space="preserve"> adequately manage internet trade </w:t>
      </w:r>
      <w:r w:rsidR="008C1BF7" w:rsidRPr="00DA249F">
        <w:rPr>
          <w:lang w:val="en-GB"/>
        </w:rPr>
        <w:fldChar w:fldCharType="begin"/>
      </w:r>
      <w:r w:rsidR="00331A79">
        <w:rPr>
          <w:lang w:val="en-GB"/>
        </w:rPr>
        <w:instrText xml:space="preserve"> ADDIN ZOTERO_ITEM CSL_CITATION {"citationID":"CzDv6OpW","properties":{"formattedCitation":"(Humair et al., 2015)","plainCitation":"(Humair et al., 2015)","noteIndex":0},"citationItems":[{"id":28914,"uris":["http://zotero.org/groups/2352922/items/YG8UXVZN"],"itemData":{"id":28914,"type":"article-journal","abstract":"Biological invasions are a major concern in conservation, especially because global transport of species is still increasing rapidly. Conservationists hope to anticipate and thus prevent future invasions by identifying and regulating potentially invasive species through species risk assessments and international trade regulations. Among many introduction pathways of non-native species, horticulture is a particularly important driver of plant invasions. In recent decades, the horticultural industry expanded globally and changed structurally through the emergence of new distribution channels, including internet trade (e-commerce). Using an automated search algorithm, we surveyed, on a daily basis, e-commerce trade on 10 major online auction sites (including eBay) of approximately three-fifths of the world’s spermatophyte flora. Many recognized invasive plant species (&gt;500 species) (i.e., species associated with ecological or socio-economic problems) were traded daily worldwide on the internet. A markedly higher proportion of invasive than non-invasive species were available online. Typically, for a particular plant family, 30–80% of recognized invasive species were detected on an auction site, but only a few percentages of all species in the plant family were detected on a site. Families that were more traded had a higher proportion of invasive species than families that were less traded. For woody species, there was a significant positive relationship between the number of regions where a species was sold and the number of regions where it was invasive. Our results indicate that biosecurity is not effectively regulating online plant trade. In the future, automated monitoring of e-commerce may help prevent the spread of invasive species, provide information on emerging trade connectivity across national borders, and be used in horizon scanning exercises for early detection of new species and their geographic source areas in international trade.","container-title":"Conservation Biology","DOI":"10.1111/cobi.12579","ISSN":"08888892","issue":"6","journalAbbreviation":"Conservation Biology","language":"en","page":"1658-1665","source":"DOI.org (Crossref)","title":"E-commerce trade in invasive plants","title-short":"E-commerce trade in invasive plants","URL":"http://doi.wiley.com/10.1111/cobi.12579","volume":"29","author":[{"family":"Humair","given":"Franziska"},{"family":"Humair","given":"Luc"},{"family":"Kuhn","given":"Fabian"},{"family":"Kueffer","given":"Christoph"}],"accessed":{"date-parts":[["2019",11,1]]},"issued":{"date-parts":[["2015",12]]}}}],"schema":"https://github.com/citation-style-language/schema/raw/master/csl-citation.json"} </w:instrText>
      </w:r>
      <w:r w:rsidR="008C1BF7" w:rsidRPr="00DA249F">
        <w:rPr>
          <w:lang w:val="en-GB"/>
        </w:rPr>
        <w:fldChar w:fldCharType="separate"/>
      </w:r>
      <w:r w:rsidR="00144D96" w:rsidRPr="00144D96">
        <w:t>(Humair et al., 2015)</w:t>
      </w:r>
      <w:r w:rsidR="008C1BF7" w:rsidRPr="00DA249F">
        <w:rPr>
          <w:lang w:val="en-GB"/>
        </w:rPr>
        <w:fldChar w:fldCharType="end"/>
      </w:r>
      <w:r w:rsidR="008C1BF7" w:rsidRPr="00DA249F">
        <w:rPr>
          <w:lang w:val="en-GB"/>
        </w:rPr>
        <w:t xml:space="preserve">. In e-commerce, invasive </w:t>
      </w:r>
      <w:r w:rsidR="00A32049" w:rsidRPr="00DA249F">
        <w:rPr>
          <w:lang w:val="en-GB"/>
        </w:rPr>
        <w:t xml:space="preserve">alien </w:t>
      </w:r>
      <w:r w:rsidR="008C1BF7" w:rsidRPr="00DA249F">
        <w:rPr>
          <w:lang w:val="en-GB"/>
        </w:rPr>
        <w:t xml:space="preserve">plants </w:t>
      </w:r>
      <w:r w:rsidR="00233567">
        <w:rPr>
          <w:lang w:val="en-GB"/>
        </w:rPr>
        <w:t>are</w:t>
      </w:r>
      <w:r w:rsidR="00233567" w:rsidRPr="00DA249F">
        <w:rPr>
          <w:lang w:val="en-GB"/>
        </w:rPr>
        <w:t xml:space="preserve"> </w:t>
      </w:r>
      <w:r w:rsidR="008C1BF7" w:rsidRPr="00DA249F">
        <w:rPr>
          <w:lang w:val="en-GB"/>
        </w:rPr>
        <w:t>traded over longer distances than traditional commerce in plants</w:t>
      </w:r>
      <w:r w:rsidR="00233567">
        <w:rPr>
          <w:lang w:val="en-GB"/>
        </w:rPr>
        <w:t>,</w:t>
      </w:r>
      <w:r w:rsidR="008C1BF7" w:rsidRPr="00DA249F">
        <w:rPr>
          <w:lang w:val="en-GB"/>
        </w:rPr>
        <w:t xml:space="preserve"> where </w:t>
      </w:r>
      <w:r w:rsidR="00A32049" w:rsidRPr="00DA249F">
        <w:rPr>
          <w:lang w:val="en-GB"/>
        </w:rPr>
        <w:t xml:space="preserve">people </w:t>
      </w:r>
      <w:r w:rsidR="008C1BF7" w:rsidRPr="00DA249F">
        <w:rPr>
          <w:lang w:val="en-GB"/>
        </w:rPr>
        <w:t>visited horticultural nurseries to make their purchases. In particular, seeds of invasive</w:t>
      </w:r>
      <w:r w:rsidR="00A32049" w:rsidRPr="00DA249F">
        <w:rPr>
          <w:lang w:val="en-GB"/>
        </w:rPr>
        <w:t xml:space="preserve"> alien </w:t>
      </w:r>
      <w:r w:rsidR="008C1BF7" w:rsidRPr="00DA249F">
        <w:rPr>
          <w:lang w:val="en-GB"/>
        </w:rPr>
        <w:t xml:space="preserve">plants were transported </w:t>
      </w:r>
      <w:r w:rsidR="008E492D" w:rsidRPr="00DA249F">
        <w:rPr>
          <w:lang w:val="en-GB"/>
        </w:rPr>
        <w:t xml:space="preserve">further </w:t>
      </w:r>
      <w:r w:rsidR="008C1BF7" w:rsidRPr="00DA249F">
        <w:rPr>
          <w:lang w:val="en-GB"/>
        </w:rPr>
        <w:t>than saplings</w:t>
      </w:r>
      <w:r w:rsidR="0030431C" w:rsidRPr="00DA249F">
        <w:rPr>
          <w:lang w:val="en-GB"/>
        </w:rPr>
        <w:t xml:space="preserve"> of alien plants</w:t>
      </w:r>
      <w:r w:rsidR="008C1BF7" w:rsidRPr="00DA249F">
        <w:rPr>
          <w:lang w:val="en-GB"/>
        </w:rPr>
        <w:t xml:space="preserve"> </w:t>
      </w:r>
      <w:r w:rsidR="008C1BF7" w:rsidRPr="00DA249F">
        <w:rPr>
          <w:lang w:val="en-GB"/>
        </w:rPr>
        <w:fldChar w:fldCharType="begin"/>
      </w:r>
      <w:r w:rsidR="00331A79">
        <w:rPr>
          <w:lang w:val="en-GB"/>
        </w:rPr>
        <w:instrText xml:space="preserve"> ADDIN ZOTERO_ITEM CSL_CITATION {"citationID":"YfD45Ey0","properties":{"formattedCitation":"(Lenda et al., 2014)","plainCitation":"(Lenda et al., 2014)","noteIndex":0},"citationItems":[{"id":28895,"uris":["http://zotero.org/groups/2352922/items/ZPU39BBV"],"itemData":{"id":28895,"type":"article-journal","abstract":"The spread of invasive alien plants has considerable environmental and economic consequences, and is one of the most challenging ecological problems. The spread of invasive alien plant species depends largely on long-distance dispersal, which is typically linked with human activity. The increasing domination of the internet will have impacts upon almost all components of our lives, including potential consequences for the spread of invasive species. To determine whether the rise of Internet commerce has any consequences for the spread of invasive alien plant species, we studied the sale of thirteen of some of the most harmful Europe invasive alien plant species sold as decorative plants from twenty-eight large, well known gardening shops in Poland that sold both via the Internet and through traditional customer sales. We also analyzed temporal changes in the number of invasive plants sold in the largest Polish internet auction portal. When sold through the Internet invasive alien plant species were transported considerably longer distances than for traditional sales. For internet sales, seeds of invasive alien plant species were transported further than were live plants saplings; this was not the case for traditional sales. Also, with e-commerce the shape of distance distribution were flattened with low skewness comparing with traditional sale where the distributions were peaked and right-skewed. Thus, e-commerce created novel modes of long-distance dispersal, while traditional sale resembled more natural dispersal modes. Moreover, analysis of sale in the biggest Polish internet auction portal showed that the number of alien specimens sold via the internet has increased markedly over recent years. Therefore internet commerce is likely to increase the rate at which ecological communities become homogenized and increase spread of invasive species by increasing the rate of long distance dispersal.","container-title":"PLoS ONE","DOI":"10.1371/journal.pone.0099786","ISSN":"1932-6203","issue":"6","journalAbbreviation":"PLoS ONE","language":"en","note":"WOS:000337738600063","page":"e99786","source":"DOI.org (Crossref)","title":"Effect of the Internet Commerce on Dispersal Modes of Invasive Alien Species","URL":"https://dx.plos.org/10.1371/journal.pone.0099786","volume":"9","author":[{"family":"Lenda","given":"Magdalena"},{"family":"Skórka","given":"Piotr"},{"family":"Knops","given":"Johannes M. H."},{"family":"Moroń","given":"Dawid"},{"family":"Sutherland","given":"William J."},{"family":"Kuszewska","given":"Karolina"},{"family":"Woyciechowski","given":"Michal"}],"issued":{"date-parts":[["2014",6,16]]}}}],"schema":"https://github.com/citation-style-language/schema/raw/master/csl-citation.json"} </w:instrText>
      </w:r>
      <w:r w:rsidR="008C1BF7" w:rsidRPr="00DA249F">
        <w:rPr>
          <w:lang w:val="en-GB"/>
        </w:rPr>
        <w:fldChar w:fldCharType="separate"/>
      </w:r>
      <w:r w:rsidR="00144D96" w:rsidRPr="00144D96">
        <w:t>(Lenda et al., 2014)</w:t>
      </w:r>
      <w:r w:rsidR="008C1BF7" w:rsidRPr="00DA249F">
        <w:rPr>
          <w:lang w:val="en-GB"/>
        </w:rPr>
        <w:fldChar w:fldCharType="end"/>
      </w:r>
      <w:r w:rsidR="008C1BF7" w:rsidRPr="00DA249F">
        <w:rPr>
          <w:lang w:val="en-GB"/>
        </w:rPr>
        <w:t xml:space="preserve">. In the aquatic alien plant trade, a variety of invasive or </w:t>
      </w:r>
      <w:r w:rsidR="735F78E0" w:rsidRPr="00DA249F">
        <w:rPr>
          <w:lang w:val="en-GB"/>
        </w:rPr>
        <w:t xml:space="preserve">import </w:t>
      </w:r>
      <w:r w:rsidR="008C1BF7" w:rsidRPr="00DA249F">
        <w:rPr>
          <w:lang w:val="en-GB"/>
        </w:rPr>
        <w:t xml:space="preserve">prohibited plants were sold online, and the </w:t>
      </w:r>
      <w:r w:rsidR="46DB6918" w:rsidRPr="00DA249F">
        <w:rPr>
          <w:lang w:val="en-GB"/>
        </w:rPr>
        <w:t>traders</w:t>
      </w:r>
      <w:r w:rsidR="584CD291" w:rsidRPr="00DA249F">
        <w:rPr>
          <w:lang w:val="en-GB"/>
        </w:rPr>
        <w:t xml:space="preserve"> </w:t>
      </w:r>
      <w:r w:rsidR="008C1BF7" w:rsidRPr="00DA249F">
        <w:rPr>
          <w:lang w:val="en-GB"/>
        </w:rPr>
        <w:t>lack knowledge about species identification and regulation.</w:t>
      </w:r>
      <w:r w:rsidR="006F02BA" w:rsidRPr="00DA249F">
        <w:rPr>
          <w:lang w:val="en-GB"/>
        </w:rPr>
        <w:t xml:space="preserve"> </w:t>
      </w:r>
      <w:r w:rsidR="008C1BF7" w:rsidRPr="00DA249F">
        <w:rPr>
          <w:lang w:val="en-GB"/>
        </w:rPr>
        <w:t>Th</w:t>
      </w:r>
      <w:r w:rsidR="00E523B8">
        <w:rPr>
          <w:lang w:val="en-GB"/>
        </w:rPr>
        <w:t>is</w:t>
      </w:r>
      <w:r w:rsidR="008C1BF7" w:rsidRPr="00DA249F">
        <w:rPr>
          <w:lang w:val="en-GB"/>
        </w:rPr>
        <w:t xml:space="preserve"> is also the case f</w:t>
      </w:r>
      <w:r w:rsidR="00233567">
        <w:rPr>
          <w:lang w:val="en-GB"/>
        </w:rPr>
        <w:t>or</w:t>
      </w:r>
      <w:r w:rsidR="008C1BF7" w:rsidRPr="00DA249F">
        <w:rPr>
          <w:lang w:val="en-GB"/>
        </w:rPr>
        <w:t xml:space="preserve"> the trade </w:t>
      </w:r>
      <w:r w:rsidR="00341105" w:rsidRPr="00DA249F">
        <w:rPr>
          <w:lang w:val="en-GB"/>
        </w:rPr>
        <w:t xml:space="preserve">in </w:t>
      </w:r>
      <w:r w:rsidR="008C1BF7" w:rsidRPr="00DA249F">
        <w:rPr>
          <w:lang w:val="en-GB"/>
        </w:rPr>
        <w:t xml:space="preserve">freshwater aquatic plants for </w:t>
      </w:r>
      <w:r w:rsidR="00341105" w:rsidRPr="00DA249F">
        <w:rPr>
          <w:lang w:val="en-GB"/>
        </w:rPr>
        <w:t xml:space="preserve">aquaria </w:t>
      </w:r>
      <w:r w:rsidR="008C1BF7" w:rsidRPr="00DA249F">
        <w:rPr>
          <w:lang w:val="en-GB"/>
        </w:rPr>
        <w:t xml:space="preserve">in Brazil, where </w:t>
      </w:r>
      <w:r w:rsidR="008C1BF7" w:rsidRPr="00DA249F">
        <w:rPr>
          <w:lang w:val="en-GB"/>
        </w:rPr>
        <w:lastRenderedPageBreak/>
        <w:t>unregulated e-commerce has stimulated illegal trade and contributed to the introduction and spread of invasive</w:t>
      </w:r>
      <w:r w:rsidR="00444F54" w:rsidRPr="00DA249F">
        <w:rPr>
          <w:lang w:val="en-GB"/>
        </w:rPr>
        <w:t xml:space="preserve"> alien</w:t>
      </w:r>
      <w:r w:rsidR="008C1BF7" w:rsidRPr="00DA249F">
        <w:rPr>
          <w:lang w:val="en-GB"/>
        </w:rPr>
        <w:t xml:space="preserve"> macrophytes </w:t>
      </w:r>
      <w:r w:rsidR="008C1BF7" w:rsidRPr="00DA249F">
        <w:rPr>
          <w:lang w:val="en-GB"/>
        </w:rPr>
        <w:fldChar w:fldCharType="begin"/>
      </w:r>
      <w:r w:rsidR="00331A79">
        <w:rPr>
          <w:lang w:val="en-GB"/>
        </w:rPr>
        <w:instrText xml:space="preserve"> ADDIN ZOTERO_ITEM CSL_CITATION {"citationID":"jI6abD7y","properties":{"formattedCitation":"(Peres et al., 2018)","plainCitation":"(Peres et al., 2018)","noteIndex":0},"citationItems":[{"id":22771,"uris":["http://zotero.org/groups/2352922/items/7RU8VJUL"],"itemData":{"id":22771,"type":"article-journal","abstract":"Aquarium market is one of the main causes of exotic species dispersion, as it promotes the introduction of potential invaders on natural environments. In this scenario, e-commerce provides easy access of invasive plants from around the world. Despite the economic importance of this trade, few studies have addressed the patterns and extension of environmental problems associated with this market. Using search engines and specialized literature, we characterized the e-commerce of freshwater aquarium plants in Brazil, including its commercial ﬂow, traded species and invasive potential of exotic species. We observed that Brazilian e-commerce provides easy access to multiple aquatic plants, which are generally sold at low cost and as vegetative parts. From the 287 species of aquatic plants for sale, distributed in 58 families, 188 were exotic species, originated from Oriental biogeographic region. The trade of exotic species is a potential problem if they (1) are recognized as highly invasive in many parts of the world, (2) belong to genera and families very distinct from native species and could occupy empty niches, and (3) may hybridize with native species, creating lineages with increased potential for invasion. Although Brazilian laws regulating the trade of exotic species are adequate, there is a widespread illegal e-commerce of aquatic plants. The invasive potential of aquarium plants species traded via e-commerce should be a major concern and become the focus of increasing inspections and law compliance.","container-title":"Perspectives in Ecology and Conservation","DOI":"10.1016/j.pecon.2018.10.001","ISSN":"25300644","issue":"4","journalAbbreviation":"Perspectives in Ecology and Conservation","language":"en","page":"221-227","source":"DOI.org (Crossref)","title":"Alien Express: The threat of aquarium e-commerce introducing invasive aquatic plants in Brazil","title-short":"Alien Express","URL":"https://linkinghub.elsevier.com/retrieve/pii/S2530064418300798","volume":"16","author":[{"family":"Peres","given":"Cleto Kaveski"},{"family":"Lambrecht","given":"Richard Wilander"},{"family":"Tavares","given":"Diego Alberto"},{"family":"Chiba de Castro","given":"Wagner Antonio"}],"accessed":{"date-parts":[["2019",12,3]]},"issued":{"date-parts":[["2018",10]]}}}],"schema":"https://github.com/citation-style-language/schema/raw/master/csl-citation.json"} </w:instrText>
      </w:r>
      <w:r w:rsidR="008C1BF7" w:rsidRPr="00DA249F">
        <w:rPr>
          <w:lang w:val="en-GB"/>
        </w:rPr>
        <w:fldChar w:fldCharType="separate"/>
      </w:r>
      <w:r w:rsidR="00144D96" w:rsidRPr="00144D96">
        <w:t>(Peres et al., 2018)</w:t>
      </w:r>
      <w:r w:rsidR="008C1BF7" w:rsidRPr="00DA249F">
        <w:rPr>
          <w:lang w:val="en-GB"/>
        </w:rPr>
        <w:fldChar w:fldCharType="end"/>
      </w:r>
      <w:r w:rsidR="008C1BF7" w:rsidRPr="00DA249F">
        <w:rPr>
          <w:lang w:val="en-GB"/>
        </w:rPr>
        <w:t>. In the internet trading of ornamental marine life, unregulated e-commerce has contributed to the introduction and spread of invasive</w:t>
      </w:r>
      <w:r w:rsidR="00201599" w:rsidRPr="00DA249F">
        <w:rPr>
          <w:lang w:val="en-GB"/>
        </w:rPr>
        <w:t xml:space="preserve"> alien</w:t>
      </w:r>
      <w:r w:rsidR="008C1BF7" w:rsidRPr="00DA249F">
        <w:rPr>
          <w:lang w:val="en-GB"/>
        </w:rPr>
        <w:t xml:space="preserve"> macroalgae in Europe, North America and Australia </w:t>
      </w:r>
      <w:r w:rsidR="008C1BF7" w:rsidRPr="00DA249F">
        <w:rPr>
          <w:lang w:val="en-GB"/>
        </w:rPr>
        <w:fldChar w:fldCharType="begin"/>
      </w:r>
      <w:r w:rsidR="00331A79">
        <w:rPr>
          <w:lang w:val="en-GB"/>
        </w:rPr>
        <w:instrText xml:space="preserve"> ADDIN ZOTERO_ITEM CSL_CITATION {"citationID":"R2xPiro0","properties":{"formattedCitation":"(Walters et al., 2006)","plainCitation":"(Walters et al., 2006)","noteIndex":0},"citationItems":[{"id":24487,"uris":["http://zotero.org/groups/2352922/items/FWA4CJD8"],"itemData":{"id":24487,"type":"article-journal","abstract":"Professional aquarists and hobbyists are thought to be the source of invasions of the aquarium strain of the green macroalga Caulerpa taxi folia in the Mediterranean, southern California, and Australia. The US Department of Agriculture, Animal and Plant Health Inspection Service (USDA-APHIS) restricted interstate commerce and importation of the Mediterranean clone of C taxi folia prior to the California invasion and is currently deciding if it should strengthen regulation of this genus as more species of Caulerpa are being described as invasive. Here we document the importance of e-commerce as a mode of dispersal for many species of Caulerpa in the United States. We purchased Caulerpa from 30 internet retailers and 60 internet auction sites representing 25 states and Great Britain. Twelve different Caulerpa species were confirmed using DNA sequencing. Only 10.6% of sellers provided the correct genus and species names with their shipments. Thirty purchases of \"live rock\" provided four species of Caulerpa, as well as 53 additional marine species. Our results confirm the extensive e-commerce availability of this invasive genus and its high dispersal potential via postal services and hobbyists. We recommend that both eBay and the USDA maximize regulation of Caulerpa.","container-title":"Frontiers in Ecology and the Environment","DOI":"10.1890/1540-9295(2006)004[0075:EACUDO]2.0.CO;2","ISSN":"1540-9295","issue":"2","journalAbbreviation":"Frontiers in Ecology and the Environment","language":"en","note":"WOS:000235979500019","page":"75-79","source":"DOI.org (Crossref)","title":"E-commerce and &lt;i&gt;Caulerpa&lt;/i&gt;: unregulated dispersal of invasive species","title-short":"E-commerce and Caulerpa","URL":"http://doi.wiley.com/10.1890/1540-9295(2006)004[0075:EACUDO]2.0.CO;2","volume":"4","author":[{"family":"Walters","given":"Linda J."},{"family":"Brown","given":"Katherine R."},{"family":"Stam","given":"Wytze T."},{"family":"Olsen","given":"Jeanine L."}],"issued":{"date-parts":[["2006",3]]}}}],"schema":"https://github.com/citation-style-language/schema/raw/master/csl-citation.json"} </w:instrText>
      </w:r>
      <w:r w:rsidR="008C1BF7" w:rsidRPr="00DA249F">
        <w:rPr>
          <w:lang w:val="en-GB"/>
        </w:rPr>
        <w:fldChar w:fldCharType="separate"/>
      </w:r>
      <w:r w:rsidR="00144D96" w:rsidRPr="00144D96">
        <w:t>(Walters et al., 2006)</w:t>
      </w:r>
      <w:r w:rsidR="008C1BF7" w:rsidRPr="00DA249F">
        <w:rPr>
          <w:lang w:val="en-GB"/>
        </w:rPr>
        <w:fldChar w:fldCharType="end"/>
      </w:r>
      <w:r w:rsidR="008C1BF7" w:rsidRPr="00DA249F">
        <w:rPr>
          <w:lang w:val="en-GB"/>
        </w:rPr>
        <w:t xml:space="preserve">. </w:t>
      </w:r>
      <w:r w:rsidR="00A872BD" w:rsidRPr="00DA249F">
        <w:rPr>
          <w:lang w:val="en-GB"/>
        </w:rPr>
        <w:t>Many w</w:t>
      </w:r>
      <w:r w:rsidR="008C1BF7" w:rsidRPr="00DA249F">
        <w:rPr>
          <w:lang w:val="en-GB"/>
        </w:rPr>
        <w:t xml:space="preserve">holesalers and retailers </w:t>
      </w:r>
      <w:r w:rsidR="00201599" w:rsidRPr="00DA249F">
        <w:rPr>
          <w:lang w:val="en-GB"/>
        </w:rPr>
        <w:t xml:space="preserve">lack awareness of </w:t>
      </w:r>
      <w:r w:rsidR="008C1BF7" w:rsidRPr="00DA249F">
        <w:rPr>
          <w:lang w:val="en-GB"/>
        </w:rPr>
        <w:t xml:space="preserve">the potential risks of ornamental marine species </w:t>
      </w:r>
      <w:r w:rsidR="008C1BF7" w:rsidRPr="00DA249F">
        <w:rPr>
          <w:lang w:val="en-GB"/>
        </w:rPr>
        <w:fldChar w:fldCharType="begin"/>
      </w:r>
      <w:r w:rsidR="00331A79">
        <w:rPr>
          <w:lang w:val="en-GB"/>
        </w:rPr>
        <w:instrText xml:space="preserve"> ADDIN ZOTERO_ITEM CSL_CITATION {"citationID":"DmpwRnzD","properties":{"formattedCitation":"(Morrisey et al., 2011)","plainCitation":"(Morrisey et al., 2011)","noteIndex":0},"citationItems":[{"id":15715,"uris":["http://zotero.org/groups/2352922/items/AWBYIPR8"],"itemData":{"id":15715,"type":"article-journal","abstract":"Trade in ornamental marine species in Australia, a country with relatively stringent import controls, was investigated using a telephone survey of wholesalers and retailers, and a desktop review of internet import databases and hobbyist trading websites. Information on the regulatory framework was obtained from government and other published or online sources, and from staff of regulatory agencies. Although the trade is small relative to that in the USA, Europe and parts of Asia, Australia imports signiﬁcant numbers of marine ﬁsh each year for the aquarium trade. Many of the more than 200 species imported have the potential to become environmental and/or economic pests. Imported individuals of native species could act as vectors of disease or affect the genetic diversity of native populations if they were released into the wild. Regulatory measures include the use of lists of permitted species of plants and animals, a case-bycase risk assessment process for species not on these lists, and requirements for health certiﬁcation and quarantining of imported stock. Once within Australia, however, translocation is less rigorously controlled, being managed by individual states and based largely on lists of prohibited species, though generally with scope for case-by-case assessment and refusal of permits for unwanted species, such as recognized pests. Wholesalers and retailers interviewed generally showed a responsible attitude to the disposal of dead or unwanted stock, but awareness and understanding of the potential pest risk of ornamental marine species was generally poor. The importance of raising public awareness of the pest potential of ornamental marine species is likely to increase with the growing importance of mail-order and internet trade.","container-title":"Environmental Conservation","DOI":"10.1017/S0376892911000014","ISSN":"0376-8929, 1469-4387","issue":"1","journalAbbreviation":"Envir. Conserv.","language":"en","page":"89-100","source":"DOI.org (Crossref)","title":"Characterization of the marine aquarium trade and management of associated marine pests in Australia, a country with stringent import biosecurity regulation","URL":"https://www.cambridge.org/core/product/identifier/S0376892911000014/type/journal_article","volume":"38","author":[{"family":"Morrisey","given":"Donald"},{"family":"Inglis","given":"Graeme"},{"family":"Neil","given":"Kerry"},{"family":"Bradley","given":"Anna"},{"family":"Fitridge","given":"Isla"}],"accessed":{"date-parts":[["2019",11,1]]},"issued":{"date-parts":[["2011",3]]}}}],"schema":"https://github.com/citation-style-language/schema/raw/master/csl-citation.json"} </w:instrText>
      </w:r>
      <w:r w:rsidR="008C1BF7" w:rsidRPr="00DA249F">
        <w:rPr>
          <w:lang w:val="en-GB"/>
        </w:rPr>
        <w:fldChar w:fldCharType="separate"/>
      </w:r>
      <w:r w:rsidR="00144D96" w:rsidRPr="00144D96">
        <w:t>(Morrisey et al., 2011)</w:t>
      </w:r>
      <w:r w:rsidR="008C1BF7" w:rsidRPr="00DA249F">
        <w:rPr>
          <w:lang w:val="en-GB"/>
        </w:rPr>
        <w:fldChar w:fldCharType="end"/>
      </w:r>
      <w:r w:rsidR="008C1BF7" w:rsidRPr="00DA249F">
        <w:rPr>
          <w:lang w:val="en-GB"/>
        </w:rPr>
        <w:t xml:space="preserve">. Online trading of freshwater invasive </w:t>
      </w:r>
      <w:r w:rsidR="00201599" w:rsidRPr="00DA249F">
        <w:rPr>
          <w:lang w:val="en-GB"/>
        </w:rPr>
        <w:t xml:space="preserve">alien </w:t>
      </w:r>
      <w:r w:rsidR="008C1BF7" w:rsidRPr="00DA249F">
        <w:rPr>
          <w:lang w:val="en-GB"/>
        </w:rPr>
        <w:t xml:space="preserve">crayfish as pets is prevalent and has become a major route of </w:t>
      </w:r>
      <w:r w:rsidR="006B54D7" w:rsidRPr="00DA249F">
        <w:rPr>
          <w:lang w:val="en-GB"/>
        </w:rPr>
        <w:t>biological</w:t>
      </w:r>
      <w:r w:rsidR="008C1BF7" w:rsidRPr="00DA249F">
        <w:rPr>
          <w:lang w:val="en-GB"/>
        </w:rPr>
        <w:t xml:space="preserve"> invasion</w:t>
      </w:r>
      <w:r w:rsidR="00201599" w:rsidRPr="00DA249F">
        <w:rPr>
          <w:lang w:val="en-GB"/>
        </w:rPr>
        <w:t>s</w:t>
      </w:r>
      <w:r w:rsidR="008C1BF7" w:rsidRPr="00DA249F">
        <w:rPr>
          <w:lang w:val="en-GB"/>
        </w:rPr>
        <w:t xml:space="preserve"> </w:t>
      </w:r>
      <w:r w:rsidR="00DE5248" w:rsidRPr="00DA249F">
        <w:rPr>
          <w:lang w:val="en-GB"/>
        </w:rPr>
        <w:t xml:space="preserve">of crayfish and their contaminants and stowaways </w:t>
      </w:r>
      <w:r w:rsidR="008C1BF7" w:rsidRPr="00DA249F">
        <w:rPr>
          <w:lang w:val="en-GB"/>
        </w:rPr>
        <w:t xml:space="preserve">in many parts of the world </w:t>
      </w:r>
      <w:r w:rsidR="008C1BF7" w:rsidRPr="00DA249F">
        <w:rPr>
          <w:lang w:val="en-GB"/>
        </w:rPr>
        <w:fldChar w:fldCharType="begin"/>
      </w:r>
      <w:r w:rsidR="00331A79">
        <w:rPr>
          <w:lang w:val="en-GB"/>
        </w:rPr>
        <w:instrText xml:space="preserve"> ADDIN ZOTERO_ITEM CSL_CITATION {"citationID":"ofMeBKl6","properties":{"formattedCitation":"(Chucholl, 2013; Faulkes, 2010, 2015; Papavlasopoulou et al., 2014)","plainCitation":"(Chucholl, 2013; Faulkes, 2010, 2015; Papavlasopoulou et al., 2014)","noteIndex":0},"citationItems":[{"id":17502,"uris":["http://zotero.org/groups/2352922/items/UK9TZG6M"],"itemData":{"id":17502,"type":"article-journal","abstract":"The parthenogenetic marbled crayfish Marmorkrebs was discovered in the pet trade in Europe in the 1990s. Since then, its distribution through the pet trade has spread from Europe to other continents, including North America. North American pet owners were surveyed online with the aims of trying to track when Marmorkrebs entered the North American pet trade, the ways in which it spread through the pet trade, and how widely distributed Marmorkrebs are throughout the continent. Marmorkrebs have been in the North American pet trade since at least 2004, with the number of people increasing every year. While many Marmorkrebs are sold through online sources, face-to-face personal contacts account for almost as many acquisitions. The increasing spread of Marmorkrebs through the pet trade increases the probability that Marmorkrebs will be released into North American ecosystems.","container-title":"Aquatic Invasions","DOI":"10.3391/ai.2010.5.4.16","ISSN":"18185487","issue":"4","journalAbbreviation":"AI","language":"en","page":"447-450","source":"DOI.org (Crossref)","title":"The spread of the parthenogenetic marbled crayfish, Marmorkrebs (&lt;i&gt;Procambarus&lt;/i&gt; sp.), in the North American pet trade","URL":"http://www.aquaticinvasions.net/2010/index4.html","volume":"5","author":[{"family":"Faulkes","given":"Zen"}],"accessed":{"date-parts":[["2019",12,2]]},"issued":{"date-parts":[["2010",12]]}}},{"id":17017,"uris":["http://zotero.org/groups/2352922/items/HJM7N7Q7"],"itemData":{"id":17017,"type":"article-journal","abstract":"The trade of live ornamental freshwater crayfish has grown rapidly in the last decade and has become the major pathway for new non-indigenous crayfish species (NICS) introductions into Europe. Here, I report on the German ornamental crayfish trade, the main importer of non-indigenous crayfish into Europe. In total, 120 NICS have been available as ornamental aquarium species. One hundred and five species originate from North or Central America and are, therefore, suspected to be crayfish plague vectors. The import rate since 2005 was estimated to be seven new species per year. Despite many species being imported, only eleven species were found to be very common in the trade. In 2009, 16 online shops offered at least 37 NICS. The availability, price, and size of the offered species were used to predict their introduction status. Multiple binary logistic regression analysis showed that species' availability and size were the principal predictors of the likelihood of being recorded as introduced from aquaria. NICS introduced from aquaria were found to be more available and larger than those present only in aquaria, and their potential invasiveness was also higher. The findings are consistent with the propagule pressure hypothesis in that a greater availability is likely related to more release events, and large species may be released more frequently as a result of overpopulating or outgrowing their aquaria. Efforts to mitigate the risk of further harmful crayfish introductions from aquaria should aim to drastically reduce the availability of high-risk species.","container-title":"Biological Invasions","DOI":"10.1007/s10530-012-0273-2","ISSN":"1387-3547, 1573-1464","issue":"1","journalAbbreviation":"Biol Invasions","language":"en","note":"WOS:000312140800011","page":"125-141","source":"DOI.org (Crossref)","title":"Invaders for sale: trade and determinants of introduction of ornamental freshwater crayfish","title-short":"Invaders for sale","URL":"http://link.springer.com/10.1007/s10530-012-0273-2","volume":"15","author":[{"family":"Chucholl","given":"Christoph"}],"accessed":{"date-parts":[["2019",12,3]]},"issued":{"date-parts":[["2013",1]]}}},{"id":53793,"uris":["http://zotero.org/groups/2352922/items/GA8PX8X6","http://zotero.org/groups/2352922/items/SFW29HUN"],"itemData":{"id":53793,"type":"article-journal","abstract":"Abstract\n            Indigenous freshwater crayfish species (ICS) are important biodiversity components and desirable fishery targets. However, ICS populations are increasingly threatened by various anthropogenic stressors. Moreover, established populations of non-indigenous freshwater crayfish species (NICS) and new ‘waves’ of NICS introductions exert significant pressure on ICS populations at a pan-European level. These effects include direct competition for space and resources as well as crayfish ‘plague’ transmission from introduced North American species. Given low public knowledge of this problematic, considerable risk of future introductions exist as a result of conventional and internet-based aquarium trade, which often lead to deliberate and/or accidental releases of NICS into the wild. In 2011, we conducted a survey of freshwater crayfish species in eleven large-size pet shops located in three major cities and in three large internet-based aquarium companies in Greece. Overall, eight species belonging to three genera (Procambarus, Cherax and Cambarellus) were recorded, originating from the USA, Australia, New Guinea and Mexico. The invasion potential of the three most popular species was assessed using the Freshwater Invertebrate Invasiveness Scoring Kit (FI-ISK). Two species were determined to constitute a ‘very high risk’ of invasion. As such, regulatory measures need to be implemented to monitor the ornamental trade of NICS in Greece and a national framework developed for protecting ICS.","container-title":"Open Life Sciences","DOI":"10.2478/s11535-013-0120-6","ISSN":"2391-5412","issue":"1","language":"en","page":"11-18","source":"DOI.org (Crossref)","title":"Enemy at the gates: introduction potential of non-indigenous freshwater crayfish in Greece via the aquarium trade","title-short":"Enemy at the gates","URL":"https://www.degruyter.com/document/doi/10.2478/s11535-013-0120-6/html","volume":"9","author":[{"family":"Papavlasopoulou","given":"Irene"},{"family":"Perdikaris","given":"Costas"},{"family":"Vardakas","given":"Leonidas"},{"family":"Paschos","given":"Ioannis"}],"accessed":{"date-parts":[["2022",10,14]]},"issued":{"date-parts":[["2014",1,1]]}}},{"id":16690,"uris":["http://zotero.org/groups/2352922/items/6WKZN4SN"],"itemData":{"id":16690,"type":"article-journal","abstract":"The sale of crayﬁsh in the pet trade has increased in recent decades, and a substantial fraction of the worldʼs entire range of crayﬁsh species is available in the pet trade. The market for pet crayﬁsh creates two major concerns: the potential for over exploitation of natural populations of crayﬁsh to supply the pet trade, and the negative consequences resulting from the release of non-indigenous crayﬁsh into natural habitats. The chain from the source of crayﬁsh to the ﬁnal owner can be lengthy, and each step in the supply chain needs to be studied by different methods. While there are often regulations intended to limit the trade of crayﬁsh as pets, they differ widely from place to place and seem to have limited success in changing the behaviour of owners of pet crayﬁsh.","container-title":"Crustacean Research","DOI":"10.18353/crustacea.44.0_75","ISSN":"0287-3478, 2189-5317","issue":"0","journalAbbreviation":"Crust Res","language":"en","page":"75-92","source":"DOI.org (Crossref)","title":"The global trade in crayfish as pets","URL":"https://www.jstage.jst.go.jp/article/crustacea/44/0/44_75/_article","volume":"44","author":[{"family":"Faulkes","given":"Zen"}],"accessed":{"date-parts":[["2019",12,3]]},"issued":{"date-parts":[["2015"]]}}}],"schema":"https://github.com/citation-style-language/schema/raw/master/csl-citation.json"} </w:instrText>
      </w:r>
      <w:r w:rsidR="008C1BF7" w:rsidRPr="00DA249F">
        <w:rPr>
          <w:lang w:val="en-GB"/>
        </w:rPr>
        <w:fldChar w:fldCharType="separate"/>
      </w:r>
      <w:r w:rsidR="00144D96" w:rsidRPr="00144D96">
        <w:t>(Chucholl, 2013; Faulkes, 2010, 2015; Papavlasopoulou et al., 2014)</w:t>
      </w:r>
      <w:r w:rsidR="008C1BF7" w:rsidRPr="00DA249F">
        <w:rPr>
          <w:lang w:val="en-GB"/>
        </w:rPr>
        <w:fldChar w:fldCharType="end"/>
      </w:r>
      <w:r w:rsidR="008C1BF7" w:rsidRPr="00DA249F">
        <w:rPr>
          <w:lang w:val="en-GB"/>
        </w:rPr>
        <w:t xml:space="preserve">. E-commerce and social media also have supported an extensive world trade network of </w:t>
      </w:r>
      <w:r w:rsidR="00086A78" w:rsidRPr="00DA249F">
        <w:rPr>
          <w:lang w:val="en-GB"/>
        </w:rPr>
        <w:t>alien</w:t>
      </w:r>
      <w:r w:rsidR="008C1BF7" w:rsidRPr="00DA249F">
        <w:rPr>
          <w:lang w:val="en-GB"/>
        </w:rPr>
        <w:t xml:space="preserve"> ornamental freshwater fishes, where c</w:t>
      </w:r>
      <w:r w:rsidR="00AE02EF" w:rsidRPr="00DA249F">
        <w:rPr>
          <w:lang w:val="en-GB"/>
        </w:rPr>
        <w:t>u</w:t>
      </w:r>
      <w:r w:rsidR="008C1BF7" w:rsidRPr="00DA249F">
        <w:rPr>
          <w:lang w:val="en-GB"/>
        </w:rPr>
        <w:t>st</w:t>
      </w:r>
      <w:r w:rsidR="00AE02EF" w:rsidRPr="00DA249F">
        <w:rPr>
          <w:lang w:val="en-GB"/>
        </w:rPr>
        <w:t>o</w:t>
      </w:r>
      <w:r w:rsidR="008C1BF7" w:rsidRPr="00DA249F">
        <w:rPr>
          <w:lang w:val="en-GB"/>
        </w:rPr>
        <w:t>mers often also have little knowledge of the risks of releas</w:t>
      </w:r>
      <w:r w:rsidR="00201599" w:rsidRPr="00DA249F">
        <w:rPr>
          <w:lang w:val="en-GB"/>
        </w:rPr>
        <w:t>ing these invasive alien species in the wild</w:t>
      </w:r>
      <w:r w:rsidR="008C1BF7" w:rsidRPr="00DA249F">
        <w:rPr>
          <w:lang w:val="en-GB"/>
        </w:rPr>
        <w:t xml:space="preserve"> </w:t>
      </w:r>
      <w:r w:rsidR="008C1BF7" w:rsidRPr="00DA249F">
        <w:rPr>
          <w:lang w:val="en-GB"/>
        </w:rPr>
        <w:fldChar w:fldCharType="begin"/>
      </w:r>
      <w:r w:rsidR="00331A79">
        <w:rPr>
          <w:lang w:val="en-GB"/>
        </w:rPr>
        <w:instrText xml:space="preserve"> ADDIN ZOTERO_ITEM CSL_CITATION {"citationID":"F36qdWVy","properties":{"formattedCitation":"(Magalh\\uc0\\u227{}es &amp; Jacobi, 2010; Mazza et al., 2015)","plainCitation":"(Magalhães &amp; Jacobi, 2010; Mazza et al., 2015)","noteIndex":0},"citationItems":[{"id":16688,"uris":["http://zotero.org/groups/2352922/items/YR7PRXCI"],"itemData":{"id":16688,"type":"article-journal","abstract":"The availability of freshwater aquarium fish species for sale was surveyed from July 2005 to June 2006 in Brazilian electronic commerce and the Orkut website. São Paulo was the leading state regarding virtual shops, auctions on Arremate/Mercado Livre, and hobbyists on Orkut, with 52, 44 and 46%, respectively. The Southeast and South regions led the offer of pest species such as C. carpio, C. auratus and P. reticulata. Among the 207 species for sale, 14 species considered potential pests were identified, contrasting with only one page that warned about the dangers of aquarium dumping. The easy access to fish (especially the potential pest species) through e-commerce and Orkut, together with the low total price (unitary value + shipping and handling ranging from US$ 17.67 to 30.39), and fast interstate delivery (two-four days on average) confirm the widespread e-commerce accessibility and its high dispersal potential via postal services and home hobbyists trade. It is imperative to enforce the use of warnings or alert messages in e-commerce about the dangers of biological invasions.","container-title":"Acta Scientiarum. Biological Sciences","DOI":"10.4025/actascibiolsci.v32i3.3919","ISSN":"1807-863X, 1679-9283","issue":"3","journalAbbreviation":"Acta Sci. Biol. Sci.","language":"en","page":"243-248","source":"DOI.org (Crossref)","title":"E-commerce of freshwater aquarium fishes: potential disseminator of exotic species in Brazil","title-short":"E-commerce of freshwater aquarium fishes","URL":"http://periodicos.uem.br/ojs/index.php/ActaSciBiolSci/article/view/3919","volume":"32","author":[{"family":"Magalhães","given":"André Lincoln Barroso","dropping-particle":"de"},{"family":"Jacobi","given":"Claudia Maria"}],"accessed":{"date-parts":[["2019",12,3]]},"issued":{"date-parts":[["2010",9,15]]}}},{"id":16719,"uris":["http://zotero.org/groups/2352922/items/F76ZKSB9"],"itemData":{"id":16719,"type":"article-journal","abstract":"The aquarium trade moves thousands of species around the globe, opening the door to unwanted organisms being released into fresh and marine waters, with subsequent adverse ecological and economic impacts. Unlike ballast waters, the commerce of ornamental pets and the aquarium trade have only recently been recognized as major pathways for the introduction of fish, invertebrates and plants, with online commerce in particular being a thriving business. Here, we report the results of the first study on the online aquarium trade in Italy. We examined 54 online aquarium shops and collected data about the animals and plants sold. For each species, information about its native range, reproduction, feeding habits, pathways, impacts, status in Italy and price were gathered, in order to identify previously recorded or potentially invasive species for Italy. Freshwater fish and plants represent the most sold taxa, and mainly come from the Americas. Most animals are omnivorous, and the plants can reproduce through both reproduction modalities (asexual/sexual). Half of the traded plants have already been introduced outside their native range; however, the majority of the species sold have not yet been recorded in the wild in Italy. As expected, a high percentage of the sold species are reportedly introduced due to escape/release for ornamental purposes. Data on their impact is scanty and mainly concerns the already known invasive species and their ecological damage. Although the multilevel impact exerted by invasive species is recognized worldwide, in Italy the average price of invaders is quite low, thus favoring their purchase. In addition, considering the nation's growing number of aquarists, the probability of releasing potentially invasive species through the online trade is very high: more information, accurately presented information for buyers and stakeholders, and appropriate regulations may change this trade in order to reduce the risk of new invasions.","container-title":"Management of Biological Invasions","DOI":"10.3391/mbi.2015.6.3.04","ISSN":"1989-8649","issue":"3","journalAbbreviation":"MBI","language":"en","note":"WOS:000422634900004","page":"253-261","source":"DOI.org (Crossref)","title":"Aliens just a click away: the online aquarium trade in Italy","title-short":"Aliens just a click away","URL":"http://www.reabic.net/journals/mbi/2015/Issue3.aspx","volume":"6","author":[{"family":"Mazza","given":"Giuseppe"},{"family":"Aquiloni","given":"Laura"},{"family":"Inghilesi","given":"Alberto Francesco"},{"family":"Giuliani","given":"Claudia"},{"family":"Lazzaro","given":"Lorenzo"},{"family":"Ferretti","given":"Giulio"},{"family":"Lastrucci","given":"Lorenzo"},{"family":"Foggi","given":"Bruno"},{"family":"Tricarico","given":"Elena"}],"issued":{"date-parts":[["2015",9]]}}}],"schema":"https://github.com/citation-style-language/schema/raw/master/csl-citation.json"} </w:instrText>
      </w:r>
      <w:r w:rsidR="008C1BF7" w:rsidRPr="00DA249F">
        <w:rPr>
          <w:lang w:val="en-GB"/>
        </w:rPr>
        <w:fldChar w:fldCharType="separate"/>
      </w:r>
      <w:r w:rsidR="00144D96" w:rsidRPr="00144D96">
        <w:rPr>
          <w:szCs w:val="24"/>
        </w:rPr>
        <w:t>(Magalhães &amp; Jacobi, 2010; Mazza et al., 2015)</w:t>
      </w:r>
      <w:r w:rsidR="008C1BF7" w:rsidRPr="00DA249F">
        <w:rPr>
          <w:lang w:val="en-GB"/>
        </w:rPr>
        <w:fldChar w:fldCharType="end"/>
      </w:r>
      <w:r w:rsidR="008C1BF7" w:rsidRPr="00DA249F">
        <w:rPr>
          <w:lang w:val="en-GB"/>
        </w:rPr>
        <w:t>.</w:t>
      </w:r>
    </w:p>
    <w:p w14:paraId="3E129149" w14:textId="77777777" w:rsidR="008C1BF7" w:rsidRPr="00DA249F" w:rsidRDefault="6DA058E6" w:rsidP="004826A3">
      <w:pPr>
        <w:pStyle w:val="Heading3"/>
        <w:rPr>
          <w:rStyle w:val="eop"/>
          <w:rFonts w:eastAsiaTheme="minorEastAsia"/>
          <w:b w:val="0"/>
          <w:spacing w:val="0"/>
          <w:kern w:val="0"/>
          <w:lang w:val="en-GB"/>
        </w:rPr>
      </w:pPr>
      <w:bookmarkStart w:id="134" w:name="_Toc44317808"/>
      <w:r w:rsidRPr="00DA249F">
        <w:rPr>
          <w:rStyle w:val="normaltextrun"/>
          <w:lang w:val="en-GB"/>
        </w:rPr>
        <w:t xml:space="preserve"> </w:t>
      </w:r>
      <w:r w:rsidR="17373021" w:rsidRPr="00DA249F">
        <w:rPr>
          <w:rStyle w:val="normaltextrun"/>
          <w:lang w:val="en-GB"/>
        </w:rPr>
        <w:t>Breeding and genomic </w:t>
      </w:r>
      <w:r w:rsidR="17373021" w:rsidRPr="00DA249F">
        <w:rPr>
          <w:rStyle w:val="spellingerror"/>
          <w:lang w:val="en-GB"/>
        </w:rPr>
        <w:t>technologies</w:t>
      </w:r>
      <w:bookmarkEnd w:id="134"/>
    </w:p>
    <w:p w14:paraId="695C62C0" w14:textId="26B87D7B" w:rsidR="00D27C10" w:rsidRPr="00DA249F" w:rsidRDefault="115E0F35" w:rsidP="00D27C10">
      <w:pPr>
        <w:rPr>
          <w:lang w:val="en-GB"/>
        </w:rPr>
      </w:pPr>
      <w:r w:rsidRPr="5575EBFC">
        <w:rPr>
          <w:lang w:val="en-GB"/>
        </w:rPr>
        <w:t xml:space="preserve">The modification of phenotypic traits to increase biomass, growth, </w:t>
      </w:r>
      <w:r w:rsidR="2AB075CB" w:rsidRPr="5575EBFC">
        <w:rPr>
          <w:lang w:val="en-GB"/>
        </w:rPr>
        <w:t xml:space="preserve">and </w:t>
      </w:r>
      <w:r w:rsidRPr="5575EBFC">
        <w:rPr>
          <w:lang w:val="en-GB"/>
        </w:rPr>
        <w:t>resistance to pests, diseases</w:t>
      </w:r>
      <w:r w:rsidR="506FFEFA" w:rsidRPr="5575EBFC">
        <w:rPr>
          <w:lang w:val="en-GB"/>
        </w:rPr>
        <w:t xml:space="preserve"> and </w:t>
      </w:r>
      <w:r w:rsidRPr="5575EBFC">
        <w:rPr>
          <w:lang w:val="en-GB"/>
        </w:rPr>
        <w:t>stressors, etc.</w:t>
      </w:r>
      <w:r w:rsidR="004221FA">
        <w:rPr>
          <w:lang w:val="en-GB"/>
        </w:rPr>
        <w:t>,</w:t>
      </w:r>
      <w:r w:rsidRPr="5575EBFC">
        <w:rPr>
          <w:lang w:val="en-GB"/>
        </w:rPr>
        <w:t xml:space="preserve"> can increase the invasion potential of species</w:t>
      </w:r>
      <w:r w:rsidR="2AB075CB" w:rsidRPr="5575EBFC">
        <w:rPr>
          <w:lang w:val="en-GB"/>
        </w:rPr>
        <w:t xml:space="preserve"> that</w:t>
      </w:r>
      <w:r w:rsidRPr="5575EBFC">
        <w:rPr>
          <w:lang w:val="en-GB"/>
        </w:rPr>
        <w:t xml:space="preserve"> otherwise </w:t>
      </w:r>
      <w:r w:rsidR="2AB075CB" w:rsidRPr="5575EBFC">
        <w:rPr>
          <w:lang w:val="en-GB"/>
        </w:rPr>
        <w:t xml:space="preserve">would </w:t>
      </w:r>
      <w:r w:rsidRPr="5575EBFC">
        <w:rPr>
          <w:lang w:val="en-GB"/>
        </w:rPr>
        <w:t xml:space="preserve">not </w:t>
      </w:r>
      <w:r w:rsidR="2AB075CB" w:rsidRPr="5575EBFC">
        <w:rPr>
          <w:lang w:val="en-GB"/>
        </w:rPr>
        <w:t xml:space="preserve">be </w:t>
      </w:r>
      <w:r w:rsidRPr="5575EBFC">
        <w:rPr>
          <w:lang w:val="en-GB"/>
        </w:rPr>
        <w:t xml:space="preserve">invasive (e.g., </w:t>
      </w:r>
      <w:r w:rsidR="00D27C10" w:rsidRPr="5575EBFC">
        <w:rPr>
          <w:lang w:val="en-GB"/>
        </w:rPr>
        <w:fldChar w:fldCharType="begin"/>
      </w:r>
      <w:r w:rsidR="00331A79">
        <w:rPr>
          <w:lang w:val="en-GB"/>
        </w:rPr>
        <w:instrText xml:space="preserve"> ADDIN ZOTERO_ITEM CSL_CITATION {"citationID":"rZ6lykuR","properties":{"formattedCitation":"(Flory et al., 2012)","plainCitation":"(Flory et al., 2012)","dontUpdate":true,"noteIndex":0},"citationItems":[{"id":33010,"uris":["http://zotero.org/groups/2352922/items/YGH6SZYH"],"itemData":{"id":33010,"type":"article-journal","container-title":"Environmental Research Letters","DOI":"10.1088/1748-9326/7/4/045904","ISSN":"1748-9326","issue":"4","journalAbbreviation":"Environ. Res. Lett.","page":"045904","source":"DOI.org (Crossref)","title":"Experimental approaches for evaluating the invasion risk of biofuel crops","URL":"http://stacks.iop.org/1748-9326/7/i=4/a=045904?key=crossref.eff281a5f33a6362751c63b7f260baaa","volume":"7","author":[{"family":"Flory","given":"S Luke"},{"family":"Lorentz","given":"Kimberly A"},{"family":"Gordon","given":"Doria R"},{"family":"Sollenberger","given":"Lynn E"}],"accessed":{"date-parts":[["2019",10,21]]},"issued":{"date-parts":[["2012",12,1]]}}}],"schema":"https://github.com/citation-style-language/schema/raw/master/csl-citation.json"} </w:instrText>
      </w:r>
      <w:r w:rsidR="00D27C10" w:rsidRPr="5575EBFC">
        <w:rPr>
          <w:lang w:val="en-GB"/>
        </w:rPr>
        <w:fldChar w:fldCharType="separate"/>
      </w:r>
      <w:r w:rsidRPr="5575EBFC">
        <w:rPr>
          <w:lang w:val="en-GB"/>
        </w:rPr>
        <w:t>Flory et al., 2012</w:t>
      </w:r>
      <w:r w:rsidR="00D27C10" w:rsidRPr="5575EBFC">
        <w:rPr>
          <w:lang w:val="en-GB"/>
        </w:rPr>
        <w:fldChar w:fldCharType="end"/>
      </w:r>
      <w:r w:rsidRPr="5575EBFC">
        <w:rPr>
          <w:lang w:val="en-GB"/>
        </w:rPr>
        <w:t xml:space="preserve"> and references therein). Plant and animal traits </w:t>
      </w:r>
      <w:r w:rsidR="6AF21AF5" w:rsidRPr="5575EBFC">
        <w:rPr>
          <w:lang w:val="en-GB"/>
        </w:rPr>
        <w:t xml:space="preserve">that </w:t>
      </w:r>
      <w:r w:rsidRPr="5575EBFC">
        <w:rPr>
          <w:lang w:val="en-GB"/>
        </w:rPr>
        <w:t>have traditionally been modified through breeding,</w:t>
      </w:r>
      <w:r w:rsidR="56596397" w:rsidRPr="5575EBFC">
        <w:rPr>
          <w:lang w:val="en-GB"/>
        </w:rPr>
        <w:t xml:space="preserve"> </w:t>
      </w:r>
      <w:r w:rsidRPr="5575EBFC">
        <w:rPr>
          <w:lang w:val="en-GB"/>
        </w:rPr>
        <w:t>selection</w:t>
      </w:r>
      <w:r w:rsidR="009F7404">
        <w:rPr>
          <w:lang w:val="en-GB"/>
        </w:rPr>
        <w:t xml:space="preserve"> and</w:t>
      </w:r>
      <w:r w:rsidRPr="5575EBFC">
        <w:rPr>
          <w:lang w:val="en-GB"/>
        </w:rPr>
        <w:t xml:space="preserve"> hybridization can now be more effectively </w:t>
      </w:r>
      <w:r w:rsidR="6AF21AF5" w:rsidRPr="5575EBFC">
        <w:rPr>
          <w:lang w:val="en-GB"/>
        </w:rPr>
        <w:t>modified</w:t>
      </w:r>
      <w:r w:rsidRPr="5575EBFC">
        <w:rPr>
          <w:lang w:val="en-GB"/>
        </w:rPr>
        <w:t xml:space="preserve"> via </w:t>
      </w:r>
      <w:r w:rsidR="506FFEFA" w:rsidRPr="5575EBFC">
        <w:rPr>
          <w:lang w:val="en-GB"/>
        </w:rPr>
        <w:t>genomic technologie</w:t>
      </w:r>
      <w:r w:rsidR="68213708" w:rsidRPr="5575EBFC">
        <w:rPr>
          <w:lang w:val="en-GB"/>
        </w:rPr>
        <w:t>s. T</w:t>
      </w:r>
      <w:r w:rsidRPr="5575EBFC">
        <w:rPr>
          <w:lang w:val="en-GB"/>
        </w:rPr>
        <w:t xml:space="preserve">he application </w:t>
      </w:r>
      <w:r w:rsidR="6AF21AF5" w:rsidRPr="5575EBFC">
        <w:rPr>
          <w:lang w:val="en-GB"/>
        </w:rPr>
        <w:t xml:space="preserve">of these techniques </w:t>
      </w:r>
      <w:r w:rsidRPr="5575EBFC">
        <w:rPr>
          <w:lang w:val="en-GB"/>
        </w:rPr>
        <w:t>to crop and stock species has catalysed debate</w:t>
      </w:r>
      <w:r w:rsidR="6AF21AF5" w:rsidRPr="5575EBFC">
        <w:rPr>
          <w:lang w:val="en-GB"/>
        </w:rPr>
        <w:t>s over</w:t>
      </w:r>
      <w:r w:rsidRPr="5575EBFC">
        <w:rPr>
          <w:lang w:val="en-GB"/>
        </w:rPr>
        <w:t xml:space="preserve"> the invasive potential of these “novel taxa” and how to adapt </w:t>
      </w:r>
      <w:r w:rsidR="1118FAE9" w:rsidRPr="5575EBFC">
        <w:rPr>
          <w:lang w:val="en-GB"/>
        </w:rPr>
        <w:t>invasive alien species</w:t>
      </w:r>
      <w:r w:rsidR="2ECD58FE" w:rsidRPr="5575EBFC">
        <w:rPr>
          <w:lang w:val="en-GB"/>
        </w:rPr>
        <w:t xml:space="preserve"> </w:t>
      </w:r>
      <w:r w:rsidRPr="5575EBFC">
        <w:rPr>
          <w:lang w:val="en-GB"/>
        </w:rPr>
        <w:t xml:space="preserve">risks assessments and biosafety measures to deal with them </w:t>
      </w:r>
      <w:r w:rsidR="50CE0EAC" w:rsidRPr="5575EBFC">
        <w:rPr>
          <w:lang w:val="en-GB"/>
        </w:rPr>
        <w:t>(</w:t>
      </w:r>
      <w:r w:rsidR="00D27C10" w:rsidRPr="5575EBFC">
        <w:rPr>
          <w:lang w:val="en-GB"/>
        </w:rPr>
        <w:fldChar w:fldCharType="begin"/>
      </w:r>
      <w:r w:rsidR="00331A79">
        <w:rPr>
          <w:lang w:val="en-GB"/>
        </w:rPr>
        <w:instrText xml:space="preserve"> ADDIN ZOTERO_ITEM CSL_CITATION {"citationID":"akuh286gsr","properties":{"formattedCitation":"(Hoenicka &amp; Fladung, 2006; Luke Flory et al., 2012; Quinn et al., 2015)","plainCitation":"(Hoenicka &amp; Fladung, 2006; Luke Flory et al., 2012; Quinn et al., 2015)","dontUpdate":true,"noteIndex":0},"citationItems":[{"id":11448,"uris":["http://zotero.org/groups/2352922/items/ZQVPYMBZ"],"itemData":{"id":11448,"type":"article-journal","abstract":"Forest trees are fundamental components of our environment, mainly due to their long lifetime and important role in forest ecology. In the past, some non-native tree species and taxa from traditional breeding have induced severe environmental impacts such as biological invasion, changes in the ‘gene pool’, and spread of diseases in forestry. Genetically modiﬁed trees obtained in different research groups worldwide are particularly confronted with increased concerns regarding biosafety issues. In the light of current biosafety research worldwide, various threats facing forests and natural tree populations are evaluated in this review: biological invasions, horizontal gene transfer, vertical gene transfer and effects on other organisms. Results available from groups working in biosafety research and risk avoidance using forest trees, with emphasis on transgenic trees, are reviewed. Independent biosafety research as well as the establishment of biosafety research programs for forest trees ﬁnanced by national and international authorities is now more important than ever before. Biosafety problems detected in the past clearly show the importance of a prior case-by-case evaluation of non-native species, new taxa and also genetically modiﬁed trees according to the precautionary principle before their release to avoid risks to the environment and human health.","container-title":"Trees","DOI":"10.1007/s00468-005-0023-5","ISSN":"0931-1890, 1432-2285","issue":"2","journalAbbreviation":"Trees","language":"en","page":"131-144","source":"DOI.org (Crossref)","title":"Biosafety in &lt;i&gt;Populus&lt;/i&gt;spp. and other forest trees: from non-native species to taxa derived from traditional breeding and genetic engineering","title-short":"Biosafety in Populus spp. and other forest trees","URL":"http://link.springer.com/10.1007/s00468-005-0023-5","volume":"20","author":[{"family":"Hoenicka","given":"Hans"},{"family":"Fladung","given":"Matthias"}],"accessed":{"date-parts":[["2019",10,21]]},"issued":{"date-parts":[["2006",3]]}}},{"id":33010,"uris":["http://zotero.org/groups/2352922/items/YGH6SZYH"],"itemData":{"id":33010,"type":"article-journal","container-title":"Environmental Research Letters","DOI":"10.1088/1748-9326/7/4/045904","ISSN":"1748-9326","issue":"4","journalAbbreviation":"Environ. Res. Lett.","page":"045904","source":"DOI.org (Crossref)","title":"Experimental approaches for evaluating the invasion risk of biofuel crops","URL":"http://stacks.iop.org/1748-9326/7/i=4/a=045904?key=crossref.eff281a5f33a6362751c63b7f260baaa","volume":"7","author":[{"family":"Flory","given":"S Luke"},{"family":"Lorentz","given":"Kimberly A"},{"family":"Gordon","given":"Doria R"},{"family":"Sollenberger","given":"Lynn E"}],"accessed":{"date-parts":[["2019",10,21]]},"issued":{"date-parts":[["2012",12,1]]}}},{"id":22742,"uris":["http://zotero.org/groups/2352922/items/RD96JGU8"],"itemData":{"id":22742,"type":"article-journal","abstract":"Proposed introductions of non-native bioenergy feedstocks have resulted in disagreements among industry, regulators, and environmental groups over unintended consequences, including invasion. Attempting to ban or “black list” known or high probability invasive species creates roadblocks without offering clear alternatives to industry representatives wishing to choose low invasion risk feedstocks. Therefore, a “white list” approach may offer a proactive policy solution for federal and state agencies seeking to incentivize the cultivation of promising new feedstocks without increasing the probability of non-native plant invasions in natural systems. We assessed 120 potential bioenergy feedstock taxa using weed risk assessment tools and generated a white list of 25 non-native taxa and 24 native taxa of low invasion risk in the continental USA. The list contains feedstocks that can be grown across various geographic regions in the USA and converted to a wide variety of fuel types. Although the white list is not exhaustive and will change over time as new plants are developed for bioenergy, the list and the methods used to create it should be immediately useful for breeders, regulators, and industry representatives as they seek to find common ground in selecting feedstocks. © 2014, Springer Science+Business Media New York.","container-title":"BioEnergy Research","DOI":"10.1007/s12155-014-9503-z","ISSN":"1939-1234, 1939-1242","issue":"2","journalAbbreviation":"Bioenerg. Res.","language":"en","page":"471-481","source":"DOI.org (Crossref)","title":"Bioenergy Feedstocks at Low Risk for Invasion in the USA: a “White List” Approach","title-short":"Bioenergy Feedstocks at Low Risk for Invasion in the USA","URL":"http://link.springer.com/10.1007/s12155-014-9503-z","volume":"8","author":[{"family":"Quinn","given":"Lauren D."},{"family":"Gordon","given":"Doria R."},{"family":"Glaser","given":"Aviva"},{"family":"Lieurance","given":"Deah"},{"family":"Flory","given":"S. Luke"}],"accessed":{"date-parts":[["2019",10,21]]},"issued":{"date-parts":[["2015",6]]}}}],"schema":"https://github.com/citation-style-language/schema/raw/master/csl-citation.json"} </w:instrText>
      </w:r>
      <w:r w:rsidR="00D27C10" w:rsidRPr="5575EBFC">
        <w:rPr>
          <w:lang w:val="en-GB"/>
        </w:rPr>
        <w:fldChar w:fldCharType="separate"/>
      </w:r>
      <w:r w:rsidRPr="5575EBFC">
        <w:rPr>
          <w:lang w:val="en-GB"/>
        </w:rPr>
        <w:t>Hoenicka &amp; Fladung, 2006; Luke Flory et al., 2012; Quinn et al., 2015</w:t>
      </w:r>
      <w:r w:rsidR="00D27C10" w:rsidRPr="5575EBFC">
        <w:rPr>
          <w:lang w:val="en-GB"/>
        </w:rPr>
        <w:fldChar w:fldCharType="end"/>
      </w:r>
      <w:r w:rsidR="690D0BA8" w:rsidRPr="5575EBFC">
        <w:rPr>
          <w:lang w:val="en-GB"/>
        </w:rPr>
        <w:t>;</w:t>
      </w:r>
      <w:r w:rsidR="58EA5E75" w:rsidRPr="5575EBFC">
        <w:rPr>
          <w:lang w:val="en-GB"/>
        </w:rPr>
        <w:t xml:space="preserve"> </w:t>
      </w:r>
      <w:r w:rsidR="5AC7FBF8" w:rsidRPr="5575EBFC">
        <w:rPr>
          <w:b/>
          <w:bCs/>
          <w:lang w:val="en-GB"/>
        </w:rPr>
        <w:t>C</w:t>
      </w:r>
      <w:r w:rsidRPr="5575EBFC">
        <w:rPr>
          <w:b/>
          <w:bCs/>
          <w:lang w:val="en-GB"/>
        </w:rPr>
        <w:t>hapter 5</w:t>
      </w:r>
      <w:r w:rsidRPr="5575EBFC">
        <w:rPr>
          <w:lang w:val="en-GB"/>
        </w:rPr>
        <w:t>,</w:t>
      </w:r>
      <w:r w:rsidRPr="5575EBFC">
        <w:rPr>
          <w:b/>
          <w:bCs/>
          <w:lang w:val="en-GB"/>
        </w:rPr>
        <w:t xml:space="preserve"> section 5.4.4.2</w:t>
      </w:r>
      <w:r w:rsidRPr="5575EBFC">
        <w:rPr>
          <w:lang w:val="en-GB"/>
        </w:rPr>
        <w:t>).</w:t>
      </w:r>
    </w:p>
    <w:p w14:paraId="184559A9" w14:textId="24555159" w:rsidR="002D22A4" w:rsidRPr="00DA249F" w:rsidRDefault="000A5428" w:rsidP="0090109B">
      <w:pPr>
        <w:rPr>
          <w:rStyle w:val="normaltextrun"/>
          <w:lang w:val="en-GB"/>
        </w:rPr>
      </w:pPr>
      <w:r w:rsidRPr="00DA249F">
        <w:rPr>
          <w:lang w:val="en-GB"/>
        </w:rPr>
        <w:t>S</w:t>
      </w:r>
      <w:r w:rsidR="008C1BF7" w:rsidRPr="00DA249F">
        <w:rPr>
          <w:lang w:val="en-GB"/>
        </w:rPr>
        <w:t>tudies suggest that risk</w:t>
      </w:r>
      <w:r w:rsidR="00677751" w:rsidRPr="00DA249F">
        <w:rPr>
          <w:lang w:val="en-GB"/>
        </w:rPr>
        <w:t xml:space="preserve">s </w:t>
      </w:r>
      <w:r w:rsidR="00944004" w:rsidRPr="00DA249F">
        <w:rPr>
          <w:lang w:val="en-GB"/>
        </w:rPr>
        <w:t xml:space="preserve">posed by </w:t>
      </w:r>
      <w:r w:rsidR="002271F8" w:rsidRPr="00DA249F">
        <w:rPr>
          <w:lang w:val="en-GB"/>
        </w:rPr>
        <w:t xml:space="preserve">novel taxa </w:t>
      </w:r>
      <w:r w:rsidR="002F3D79" w:rsidRPr="00DA249F">
        <w:rPr>
          <w:lang w:val="en-GB"/>
        </w:rPr>
        <w:t>are</w:t>
      </w:r>
      <w:r w:rsidR="008C1BF7" w:rsidRPr="00DA249F">
        <w:rPr>
          <w:lang w:val="en-GB"/>
        </w:rPr>
        <w:t xml:space="preserve"> often inevitable and can vary spatially, temporally and according to the type of organism and the purpose of the trait selection process </w:t>
      </w:r>
      <w:r w:rsidR="008C1BF7" w:rsidRPr="00DA249F">
        <w:rPr>
          <w:lang w:val="en-GB"/>
        </w:rPr>
        <w:fldChar w:fldCharType="begin"/>
      </w:r>
      <w:r w:rsidR="00331A79">
        <w:rPr>
          <w:lang w:val="en-GB"/>
        </w:rPr>
        <w:instrText xml:space="preserve"> ADDIN ZOTERO_ITEM CSL_CITATION {"citationID":"opHD303b","properties":{"formattedCitation":"(e.g. Ellstrand et al., 2013)","plainCitation":"(e.g. Ellstrand et al., 2013)","dontUpdate":true,"noteIndex":0},"citationItems":[{"id":23925,"uris":["http://zotero.org/groups/2352922/items/Y623P4GN"],"itemData":{"id":23925,"type":"article-journal","abstract":"The evolutionary significance of introgression has been discussed for decades. Questions about potential impacts of transgene flow into wild and weedy populations brought renewed attention to the introgression of crop alleles into those populations. In the past two decades, the field has advanced with considerable descriptive, experimental, and theoretical activity on the dynamics of crop gene introgression and its consequences. As illustrated by five case studies employing an array of different approaches, introgression of crop alleles has occurred for a wide array of species, sometimes without significant consequence, but on occasion leading to the evolution of increased weediness. A new theoretical context has emerged for analyzing empirical data, identifying factors that influence introgression, and predicting introgression's progress. With emerging molecular techniques and analyses, research on crop allele introgression into wild and weedy populations is positioned to make contributions to both transgene risk assessment and reticulate evolution.","container-title":"Annual Review of Ecology, Evolution, and Systematics","DOI":"10.1146/annurev-ecolsys-110512-135840","issue":"1","page":"325-345","source":"Annual Reviews","title":"Introgression of Crop Alleles into Wild or Weedy Populations","URL":"https://doi.org/10.1146/annurev-ecolsys-110512-135840","volume":"44","author":[{"family":"Ellstrand","given":"Norman C."},{"family":"Meirmans","given":"Patrick"},{"family":"Rong","given":"Jun"},{"family":"Bartsch","given":"Detlef"},{"family":"Ghosh","given":"Atiyo"},{"family":"Jong","given":"Tom J.","non-dropping-particle":"de"},{"family":"Haccou","given":"Patsy"},{"family":"Lu","given":"Bao-Rong"},{"family":"Snow","given":"Allison A."},{"family":"Neal Stewart","given":"C."},{"family":"Strasburg","given":"Jared L."},{"family":"Tienderen","given":"Peter H.","non-dropping-particle":"van"},{"family":"Vrieling","given":"Klaas"},{"family":"Hooftman","given":"Danny"}],"accessed":{"date-parts":[["2019",11,19]]},"issued":{"date-parts":[["2013"]]}},"prefix":"e.g. "}],"schema":"https://github.com/citation-style-language/schema/raw/master/csl-citation.json"} </w:instrText>
      </w:r>
      <w:r w:rsidR="008C1BF7" w:rsidRPr="00DA249F">
        <w:rPr>
          <w:lang w:val="en-GB"/>
        </w:rPr>
        <w:fldChar w:fldCharType="separate"/>
      </w:r>
      <w:r w:rsidR="00C86A15" w:rsidRPr="00DA249F">
        <w:rPr>
          <w:lang w:val="en-GB"/>
        </w:rPr>
        <w:t>(Ellstrand et al., 2013)</w:t>
      </w:r>
      <w:r w:rsidR="008C1BF7" w:rsidRPr="00DA249F">
        <w:rPr>
          <w:lang w:val="en-GB"/>
        </w:rPr>
        <w:fldChar w:fldCharType="end"/>
      </w:r>
      <w:r w:rsidR="008C1BF7" w:rsidRPr="00DA249F">
        <w:rPr>
          <w:lang w:val="en-GB"/>
        </w:rPr>
        <w:t>.</w:t>
      </w:r>
      <w:r w:rsidR="009041AD" w:rsidRPr="00DA249F">
        <w:rPr>
          <w:lang w:val="en-GB"/>
        </w:rPr>
        <w:t xml:space="preserve"> </w:t>
      </w:r>
      <w:r w:rsidR="008C1BF7" w:rsidRPr="00DA249F">
        <w:rPr>
          <w:rStyle w:val="normaltextrun"/>
          <w:lang w:val="en-GB"/>
        </w:rPr>
        <w:t>There is good evidence that </w:t>
      </w:r>
      <w:r w:rsidR="00257F1D" w:rsidRPr="00DA249F">
        <w:rPr>
          <w:rStyle w:val="normaltextrun"/>
          <w:lang w:val="en-GB"/>
        </w:rPr>
        <w:t xml:space="preserve">traditional </w:t>
      </w:r>
      <w:r w:rsidR="008C1BF7" w:rsidRPr="00DA249F">
        <w:rPr>
          <w:rStyle w:val="contextualspellingandgrammarerror"/>
          <w:lang w:val="en-GB"/>
        </w:rPr>
        <w:t>breeding of</w:t>
      </w:r>
      <w:r w:rsidR="008C1BF7" w:rsidRPr="00DA249F">
        <w:rPr>
          <w:rStyle w:val="normaltextrun"/>
          <w:lang w:val="en-GB"/>
        </w:rPr>
        <w:t xml:space="preserve"> plant species </w:t>
      </w:r>
      <w:r w:rsidR="00085019" w:rsidRPr="00DA249F">
        <w:rPr>
          <w:rStyle w:val="normaltextrun"/>
          <w:lang w:val="en-GB"/>
        </w:rPr>
        <w:t>native to other regions</w:t>
      </w:r>
      <w:r w:rsidR="008C1BF7" w:rsidRPr="00DA249F">
        <w:rPr>
          <w:rStyle w:val="normaltextrun"/>
          <w:lang w:val="en-GB"/>
        </w:rPr>
        <w:t xml:space="preserve"> f</w:t>
      </w:r>
      <w:r w:rsidR="006C60D3" w:rsidRPr="00DA249F">
        <w:rPr>
          <w:rStyle w:val="normaltextrun"/>
          <w:lang w:val="en-GB"/>
        </w:rPr>
        <w:t xml:space="preserve">or ornamental purposes </w:t>
      </w:r>
      <w:r w:rsidR="008C1BF7" w:rsidRPr="00DA249F">
        <w:rPr>
          <w:rStyle w:val="normaltextrun"/>
          <w:lang w:val="en-GB"/>
        </w:rPr>
        <w:t>h</w:t>
      </w:r>
      <w:r w:rsidR="0057331E" w:rsidRPr="00DA249F">
        <w:rPr>
          <w:rStyle w:val="normaltextrun"/>
          <w:lang w:val="en-GB"/>
        </w:rPr>
        <w:t>a</w:t>
      </w:r>
      <w:r w:rsidR="008C1BF7" w:rsidRPr="00DA249F">
        <w:rPr>
          <w:rStyle w:val="normaltextrun"/>
          <w:lang w:val="en-GB"/>
        </w:rPr>
        <w:t>s increased their invasive potential in North America </w:t>
      </w:r>
      <w:r w:rsidR="008C1BF7" w:rsidRPr="00DA249F">
        <w:rPr>
          <w:rStyle w:val="normaltextrun"/>
          <w:lang w:val="en-GB"/>
        </w:rPr>
        <w:fldChar w:fldCharType="begin"/>
      </w:r>
      <w:r w:rsidR="00331A79">
        <w:rPr>
          <w:rStyle w:val="normaltextrun"/>
          <w:lang w:val="en-GB"/>
        </w:rPr>
        <w:instrText xml:space="preserve"> ADDIN ZOTERO_ITEM CSL_CITATION {"citationID":"6JIlGn25","properties":{"formattedCitation":"(C. A. Ross et al., 2008; S. B. Wilson &amp; Mecca, 2003)","plainCitation":"(C. A. Ross et al., 2008; S. B. Wilson &amp; Mecca, 2003)","dontUpdate":true,"noteIndex":0},"citationItems":[{"id":12622,"uris":["http://zotero.org/groups/2352922/items/6QPTYAZ7"],"itemData":{"id":12622,"type":"article-journal","abstract":"Seed production and the influence of light and temperature on germination were determined for eight cultivars and the wild type form of Mexican petunia (Ruellia tweediana Griseb). The wild type form of R. tweediana has been ranked by the Florida Exotic Pest Plant Council as a Category I invasive plant, meaning it has invaded and is disrupting native plant communities in Florida. The cultivar ‘Purple Showers’ did not set any seed. Peak flowering and seed production for other cultivars generally occurred in August with ‘Morado Chi’, ‘Chi Chi’, and the wild type plants producing approximately three times the amount of seed produced by ‘Katie Pink’, ‘Katie Purple’, ‘Katie White’, and ‘Snow White’. For seed germination, significant cultivar × light interactions occurred for each temperature treatment. Some germination was observed at each temperature except for ‘Katie Purple’, ‘Katie Variegated’, and ‘Katie White’ at 33C (91.4F) without light. Regardless of cultivar or provision of light, 94–100% germination occurred at 30/20C (86/68F), with the exception of ‘Katie Purple’ (65%), ‘Katie Variegated’ (54%), and ‘Katie White’ (83%) without light. At 15, 24 or 33C (59, 75.2, and 91.4F), germination was generally greatest for ‘Chi Chi’ (with or without light) and ‘Morado Chi’ (with light). In parallel greenhouse studies, where seeds were germinated in pots containing a soilless medium, highest germination was achieved by ‘Chi Chi’, ‘Katie Pink’, Katie Variegated’ and ‘Morado Chi’, while significantly lower germination was achieved by wild type plants (55%) by day 14. Storage studies demonstrated that germination of seed collected from the wild type and ‘Chi Chi’ plants began to decrease between 6 and 12 months when maintained at 24C (75.2F) but had equal (‘Chi Chi’) or higher (wild type) germination when maintained at 4C (39.2F) for 12 months.","container-title":"Journal of Environmental Horticulture","DOI":"https://doi.org/10.24266/0738-2898-21.3.137","issue":"3","language":"en","page":"137-143","source":"Zotero","title":"Seed Production and Germination of Eight Cultivars and the Wild Type of &lt;i&gt;Ruellia tweediana&lt;/i&gt;: A Potentially Invasive Ornamental","URL":"https://meridian.allenpress.com/jeh/article/21/3/137/80119/Seed-Production-and-Germination-of-Eight-Cultivars","volume":"21","author":[{"family":"Wilson","given":"Sandra B"},{"family":"Mecca","given":"Laurie K"}],"issued":{"date-parts":[["2003"]]}}},{"id":25023,"uris":["http://zotero.org/groups/2352922/items/IBG9HKTP"],"itemData":{"id":25023,"type":"article-journal","abstract":"Horticulture is one of the most important pathways for plant invasion. We used microsatellite markers to reveal the impact of plant breeding on Mahonia aquifolium, an invasive ornamental shrub. Since...","container-title":"Plant Systematics and Evolution","DOI":"10.1007/s00606-008-0066-3","ISSN":"0378-2697, 1615-6110","issue":"3-4","journalAbbreviation":"Plant Syst Evol","language":"en","page":"219-229","source":"link.springer.com","title":"Genetic relationships among three native North-American &lt;i&gt;Mahonia&lt;/i&gt; species, invasive &lt;i&gt;Mahonia&lt;/i&gt; populations from Europe, and commercial cultivars","URL":"https://link.springer.com/article/10.1007/s00606-008-0066-3","volume":"275","author":[{"family":"Ross","given":"Christel A."},{"family":"Auge","given":"Harald"},{"family":"Durka","given":"Walter"}],"accessed":{"date-parts":[["2019",9,26]]},"issued":{"date-parts":[["2008",10,1]]}}}],"schema":"https://github.com/citation-style-language/schema/raw/master/csl-citation.json"} </w:instrText>
      </w:r>
      <w:r w:rsidR="008C1BF7" w:rsidRPr="00DA249F">
        <w:rPr>
          <w:rStyle w:val="normaltextrun"/>
          <w:lang w:val="en-GB"/>
        </w:rPr>
        <w:fldChar w:fldCharType="separate"/>
      </w:r>
      <w:r w:rsidR="009767DD" w:rsidRPr="00DA249F">
        <w:rPr>
          <w:lang w:val="en-GB"/>
        </w:rPr>
        <w:t>(Ross et al., 2008; Wilson &amp; Mecca, 2003)</w:t>
      </w:r>
      <w:r w:rsidR="008C1BF7" w:rsidRPr="00DA249F">
        <w:rPr>
          <w:rStyle w:val="normaltextrun"/>
          <w:lang w:val="en-GB"/>
        </w:rPr>
        <w:fldChar w:fldCharType="end"/>
      </w:r>
      <w:r w:rsidR="008C1BF7" w:rsidRPr="00DA249F">
        <w:rPr>
          <w:rStyle w:val="normaltextrun"/>
          <w:lang w:val="en-GB"/>
        </w:rPr>
        <w:t>. For example, cultivars of the ornamental Asian</w:t>
      </w:r>
      <w:r w:rsidR="00831041" w:rsidRPr="00DA249F">
        <w:rPr>
          <w:rStyle w:val="normaltextrun"/>
          <w:lang w:val="en-GB"/>
        </w:rPr>
        <w:t xml:space="preserve"> </w:t>
      </w:r>
      <w:r w:rsidR="006C60D3" w:rsidRPr="00DA249F">
        <w:rPr>
          <w:rStyle w:val="normaltextrun"/>
          <w:lang w:val="en-GB"/>
        </w:rPr>
        <w:t xml:space="preserve">shrub </w:t>
      </w:r>
      <w:r w:rsidR="008C1BF7" w:rsidRPr="00DA249F">
        <w:rPr>
          <w:rStyle w:val="spellingerror"/>
          <w:i/>
          <w:lang w:val="en-GB"/>
        </w:rPr>
        <w:t>A</w:t>
      </w:r>
      <w:r w:rsidR="008C1BF7" w:rsidRPr="00DA249F">
        <w:rPr>
          <w:rStyle w:val="spellingerror"/>
          <w:i/>
          <w:iCs/>
          <w:lang w:val="en-GB"/>
        </w:rPr>
        <w:t>rdisia</w:t>
      </w:r>
      <w:r w:rsidR="006C60D3" w:rsidRPr="00DA249F">
        <w:rPr>
          <w:rStyle w:val="normaltextrun"/>
          <w:i/>
          <w:iCs/>
          <w:lang w:val="en-GB"/>
        </w:rPr>
        <w:t xml:space="preserve"> </w:t>
      </w:r>
      <w:r w:rsidR="008C1BF7" w:rsidRPr="00DA249F">
        <w:rPr>
          <w:rStyle w:val="spellingerror"/>
          <w:i/>
          <w:iCs/>
          <w:lang w:val="en-GB"/>
        </w:rPr>
        <w:t>crenata</w:t>
      </w:r>
      <w:r w:rsidR="006C60D3" w:rsidRPr="00DA249F">
        <w:rPr>
          <w:rStyle w:val="normaltextrun"/>
          <w:i/>
          <w:iCs/>
          <w:lang w:val="en-GB"/>
        </w:rPr>
        <w:t xml:space="preserve"> </w:t>
      </w:r>
      <w:r w:rsidR="001A2235" w:rsidRPr="00DA249F">
        <w:rPr>
          <w:rStyle w:val="normaltextrun"/>
          <w:iCs/>
          <w:lang w:val="en-GB"/>
        </w:rPr>
        <w:t xml:space="preserve">(coral berry) </w:t>
      </w:r>
      <w:r w:rsidR="008C1BF7" w:rsidRPr="00DA249F">
        <w:rPr>
          <w:rStyle w:val="normaltextrun"/>
          <w:lang w:val="en-GB"/>
        </w:rPr>
        <w:t xml:space="preserve">artificially selected for dense foliage show higher competitive ability and seedling recruitment success than native populations, which likely favours their dominance in the understory of mesic forests in Florida </w:t>
      </w:r>
      <w:r w:rsidR="008C1BF7" w:rsidRPr="00DA249F">
        <w:rPr>
          <w:rStyle w:val="normaltextrun"/>
          <w:lang w:val="en-GB"/>
        </w:rPr>
        <w:fldChar w:fldCharType="begin"/>
      </w:r>
      <w:r w:rsidR="00331A79">
        <w:rPr>
          <w:rStyle w:val="normaltextrun"/>
          <w:lang w:val="en-GB"/>
        </w:rPr>
        <w:instrText xml:space="preserve"> ADDIN ZOTERO_ITEM CSL_CITATION {"citationID":"g4u4E9zY","properties":{"formattedCitation":"(Kitajima et al., 2006)","plainCitation":"(Kitajima et al., 2006)","noteIndex":0},"citationItems":[{"id":15262,"uris":["http://zotero.org/groups/2352922/items/4E7FVGBN"],"itemData":{"id":15262,"type":"article-journal","abstract":"Ardisia crenata (Myrsinaceae), an evergreen shrub with attractive red fruits introduced from Japan to the USA for ornamental purpose, invades the understory of mesic hardwood forests, forming dense patches (up to 300 stems per m2), and competitively displaces native understory plants by creating dense local shade. Comparison of the wild genotype that grows in mature evergreen broadleaf forests in central Kyushu, Japan, with the ecotype invading north central Florida revealed how selection for desirable cultivars might have inadvertently selected for traits that enhance the invasive potential of the species. In Japanese wild populations in deeply shaded evergreen forests, natural selection apparently maintained efficient architecture with a low degree of self-shading and large seed mass to enhance seedling shade tolerance. Cultivar selection for showy appearance can explain the greater fecundity but smaller seed size observed in the Florida populations compared to the Japanese population. Artificial selection for densely foliated appearance can also explain the greater degree of self-shading and less-efficient light use in the Florida genotype compared to the Japanese wild type grown under a common environment. Furthermore, the Florida ecotype allocated more biomass to root carbohydrate storage. These trait modifications resulted in slower growth rates, but greater competitive ability to cast shade upon neighbors and higher resprouting potential in the Florida populations. How traits are modified through the processes of artificial selection and cultivation must be taken into consideration in the evolutionary ecology of many other invasive plants introduced as ornamental plants.","container-title":"Biological Invasions","DOI":"10.1007/s10530-005-5839-9","ISSN":"1573-1464","issue":"7","journalAbbreviation":"Biol Invasions","language":"en","page":"1471","source":"Springer Link","title":"Cultivar selection prior to introduction may increase invasiveness: evidence from &lt;i&gt;Ardisia crenata&lt;/i&gt;","title-short":"Cultivar selection prior to introduction may increase invasiveness","URL":"https://doi.org/10.1007/s10530-005-5839-9","volume":"8","author":[{"family":"Kitajima","given":"Kaoru"},{"family":"Fox","given":"Alison M."},{"family":"Sato","given":"Tamotsu"},{"family":"Nagamatsu","given":"Dai"}],"accessed":{"date-parts":[["2019",9,24]]},"issued":{"date-parts":[["2006",10,1]]}}}],"schema":"https://github.com/citation-style-language/schema/raw/master/csl-citation.json"} </w:instrText>
      </w:r>
      <w:r w:rsidR="008C1BF7" w:rsidRPr="00DA249F">
        <w:rPr>
          <w:rStyle w:val="normaltextrun"/>
          <w:lang w:val="en-GB"/>
        </w:rPr>
        <w:fldChar w:fldCharType="separate"/>
      </w:r>
      <w:r w:rsidR="00144D96" w:rsidRPr="00144D96">
        <w:t>(Kitajima et al., 2006)</w:t>
      </w:r>
      <w:r w:rsidR="008C1BF7" w:rsidRPr="00DA249F">
        <w:rPr>
          <w:rStyle w:val="normaltextrun"/>
          <w:lang w:val="en-GB"/>
        </w:rPr>
        <w:fldChar w:fldCharType="end"/>
      </w:r>
      <w:r w:rsidR="008C1BF7" w:rsidRPr="00DA249F">
        <w:rPr>
          <w:rStyle w:val="normaltextrun"/>
          <w:lang w:val="en-GB"/>
        </w:rPr>
        <w:t>.</w:t>
      </w:r>
      <w:r w:rsidR="00E111A1" w:rsidRPr="00DA249F">
        <w:rPr>
          <w:rStyle w:val="normaltextrun"/>
          <w:lang w:val="en-GB"/>
        </w:rPr>
        <w:t xml:space="preserve"> T</w:t>
      </w:r>
      <w:r w:rsidR="008C1BF7" w:rsidRPr="00DA249F">
        <w:rPr>
          <w:rStyle w:val="normaltextrun"/>
          <w:lang w:val="en-GB"/>
        </w:rPr>
        <w:t xml:space="preserve">he ornamental clonal herb </w:t>
      </w:r>
      <w:r w:rsidR="008C1BF7" w:rsidRPr="00DA249F">
        <w:rPr>
          <w:rStyle w:val="normaltextrun"/>
          <w:i/>
          <w:iCs/>
          <w:lang w:val="en-GB"/>
        </w:rPr>
        <w:t>Kalanchoe</w:t>
      </w:r>
      <w:r w:rsidR="00225FA3" w:rsidRPr="00DA249F">
        <w:rPr>
          <w:rStyle w:val="normaltextrun"/>
          <w:i/>
          <w:iCs/>
          <w:lang w:val="en-GB"/>
        </w:rPr>
        <w:t xml:space="preserve"> </w:t>
      </w:r>
      <w:r w:rsidR="00406D35" w:rsidRPr="00DA249F">
        <w:rPr>
          <w:rStyle w:val="normaltextrun"/>
          <w:i/>
          <w:iCs/>
          <w:lang w:val="en-GB"/>
        </w:rPr>
        <w:t>×</w:t>
      </w:r>
      <w:r w:rsidR="001D1BD6">
        <w:rPr>
          <w:rStyle w:val="normaltextrun"/>
          <w:i/>
          <w:iCs/>
          <w:lang w:val="en-GB"/>
        </w:rPr>
        <w:t xml:space="preserve"> </w:t>
      </w:r>
      <w:r w:rsidR="008C1BF7" w:rsidRPr="00DA249F">
        <w:rPr>
          <w:rStyle w:val="normaltextrun"/>
          <w:i/>
          <w:iCs/>
          <w:lang w:val="en-GB"/>
        </w:rPr>
        <w:t>houghtonii</w:t>
      </w:r>
      <w:r w:rsidR="00BC5465" w:rsidRPr="00DA249F">
        <w:rPr>
          <w:rStyle w:val="normaltextrun"/>
          <w:lang w:val="en-GB"/>
        </w:rPr>
        <w:t xml:space="preserve"> (Houghton's </w:t>
      </w:r>
      <w:r w:rsidR="00201F2E">
        <w:rPr>
          <w:rStyle w:val="normaltextrun"/>
          <w:lang w:val="en-GB"/>
        </w:rPr>
        <w:t>h</w:t>
      </w:r>
      <w:r w:rsidR="00BC5465" w:rsidRPr="00DA249F">
        <w:rPr>
          <w:rStyle w:val="normaltextrun"/>
          <w:lang w:val="en-GB"/>
        </w:rPr>
        <w:t xml:space="preserve">ybrid), </w:t>
      </w:r>
      <w:r w:rsidR="008C1BF7" w:rsidRPr="00DA249F">
        <w:rPr>
          <w:rStyle w:val="normaltextrun"/>
          <w:lang w:val="en-GB"/>
        </w:rPr>
        <w:t>which is an artificial hybrid obtained from the crossing of two species endemic to Madagascar (</w:t>
      </w:r>
      <w:r w:rsidR="008C1BF7" w:rsidRPr="00DA249F">
        <w:rPr>
          <w:rStyle w:val="normaltextrun"/>
          <w:i/>
          <w:iCs/>
          <w:lang w:val="en-GB"/>
        </w:rPr>
        <w:t>Kalanchoe daigremontiana</w:t>
      </w:r>
      <w:r w:rsidR="00BC5465" w:rsidRPr="00DA249F">
        <w:rPr>
          <w:rStyle w:val="normaltextrun"/>
          <w:lang w:val="en-GB"/>
        </w:rPr>
        <w:t xml:space="preserve"> (</w:t>
      </w:r>
      <w:r w:rsidR="00406D35" w:rsidRPr="00DA249F">
        <w:rPr>
          <w:rStyle w:val="normaltextrun"/>
          <w:lang w:val="en-GB"/>
        </w:rPr>
        <w:t>devil’s backbone</w:t>
      </w:r>
      <w:r w:rsidR="00BC5465" w:rsidRPr="00DA249F">
        <w:rPr>
          <w:rStyle w:val="normaltextrun"/>
          <w:lang w:val="en-GB"/>
        </w:rPr>
        <w:t>)</w:t>
      </w:r>
      <w:r w:rsidR="00406D35" w:rsidRPr="00DA249F">
        <w:rPr>
          <w:rStyle w:val="normaltextrun"/>
          <w:lang w:val="en-GB"/>
        </w:rPr>
        <w:t xml:space="preserve"> </w:t>
      </w:r>
      <w:r w:rsidR="008C1BF7" w:rsidRPr="00DA249F">
        <w:rPr>
          <w:rStyle w:val="normaltextrun"/>
          <w:lang w:val="en-GB"/>
        </w:rPr>
        <w:t xml:space="preserve">and </w:t>
      </w:r>
      <w:r w:rsidR="008C1BF7" w:rsidRPr="00DA249F">
        <w:rPr>
          <w:rStyle w:val="normaltextrun"/>
          <w:i/>
          <w:iCs/>
          <w:lang w:val="en-GB"/>
        </w:rPr>
        <w:t xml:space="preserve">Kalanchoe </w:t>
      </w:r>
      <w:r w:rsidR="00406D35" w:rsidRPr="00DA249F">
        <w:rPr>
          <w:rStyle w:val="normaltextrun"/>
          <w:i/>
          <w:iCs/>
          <w:lang w:val="en-GB"/>
        </w:rPr>
        <w:t>delagoensis</w:t>
      </w:r>
      <w:r w:rsidR="00BC5465" w:rsidRPr="00DA249F">
        <w:rPr>
          <w:rStyle w:val="normaltextrun"/>
          <w:i/>
          <w:iCs/>
          <w:lang w:val="en-GB"/>
        </w:rPr>
        <w:t xml:space="preserve"> </w:t>
      </w:r>
      <w:r w:rsidR="00BC5465" w:rsidRPr="00DA249F">
        <w:rPr>
          <w:rStyle w:val="normaltextrun"/>
          <w:lang w:val="en-GB"/>
        </w:rPr>
        <w:t>(c</w:t>
      </w:r>
      <w:r w:rsidR="00406D35" w:rsidRPr="00DA249F">
        <w:rPr>
          <w:rStyle w:val="normaltextrun"/>
          <w:lang w:val="en-GB"/>
        </w:rPr>
        <w:t>handelier plant</w:t>
      </w:r>
      <w:r w:rsidR="00BC5465" w:rsidRPr="00DA249F">
        <w:rPr>
          <w:rStyle w:val="normaltextrun"/>
          <w:lang w:val="en-GB"/>
        </w:rPr>
        <w:t>)</w:t>
      </w:r>
      <w:r w:rsidR="00570E42" w:rsidRPr="00DA249F">
        <w:rPr>
          <w:rStyle w:val="normaltextrun"/>
          <w:lang w:val="en-GB"/>
        </w:rPr>
        <w:t>)</w:t>
      </w:r>
      <w:r w:rsidR="008C1BF7" w:rsidRPr="00DA249F">
        <w:rPr>
          <w:rStyle w:val="normaltextrun"/>
          <w:lang w:val="en-GB"/>
        </w:rPr>
        <w:t xml:space="preserve"> </w:t>
      </w:r>
      <w:r w:rsidR="001D1BD6">
        <w:rPr>
          <w:rStyle w:val="normaltextrun"/>
          <w:lang w:val="en-GB"/>
        </w:rPr>
        <w:t xml:space="preserve">that </w:t>
      </w:r>
      <w:r w:rsidR="008C1BF7" w:rsidRPr="00DA249F">
        <w:rPr>
          <w:rStyle w:val="normaltextrun"/>
          <w:lang w:val="en-GB"/>
        </w:rPr>
        <w:t>exhibits a highly effective c</w:t>
      </w:r>
      <w:r w:rsidR="005A2C2E" w:rsidRPr="00DA249F">
        <w:rPr>
          <w:rStyle w:val="normaltextrun"/>
          <w:lang w:val="en-GB"/>
        </w:rPr>
        <w:t>lonal growth which possibly has</w:t>
      </w:r>
      <w:r w:rsidR="008C1BF7" w:rsidRPr="00DA249F">
        <w:rPr>
          <w:rStyle w:val="normaltextrun"/>
          <w:lang w:val="en-GB"/>
        </w:rPr>
        <w:t xml:space="preserve"> contributed to its wide distribution and local dominance in tropical arid and semi-arid ecosystems </w:t>
      </w:r>
      <w:r w:rsidR="008C1BF7" w:rsidRPr="00DA249F">
        <w:rPr>
          <w:rStyle w:val="normaltextrun"/>
          <w:lang w:val="en-GB"/>
        </w:rPr>
        <w:fldChar w:fldCharType="begin"/>
      </w:r>
      <w:r w:rsidR="00331A79">
        <w:rPr>
          <w:rStyle w:val="normaltextrun"/>
          <w:lang w:val="en-GB"/>
        </w:rPr>
        <w:instrText xml:space="preserve"> ADDIN ZOTERO_ITEM CSL_CITATION {"citationID":"KQuBwlHh","properties":{"formattedCitation":"(Guerra-Garc\\uc0\\u237{}a et al., 2015; Herrando-Moraira et al., 2020)","plainCitation":"(Guerra-García et al., 2015; Herrando-Moraira et al., 2020)","noteIndex":0},"citationItems":[{"id":21850,"uris":["http://zotero.org/groups/2352922/items/ZEQUS9R6"],"itemData":{"id":21850,"type":"article-journal","abstract":"Kalanchoe delagoensis, K. daigremontiana and their hybrid (Houghton’s hybrid) are invasive in tropical regions. One outstanding feature of these Madagascan succulent plants is the growth of clonal propagules from the margin of their leaves. Using eight microsatellite loci, we estimated the genetic diversity of introduced populations of these species and their hybrid in Mexico. For K. daigremontiana and Houghton’s hybrid, we registered one multilocus genotype in all populations, which were separated by several hundred km. The same occurred in K. delagoensis populations where only four multilocus genotypes were present (A, B, C and D), although genotype A accounted for 86 % of all screened individuals of that population. The other three genotypes were in low frequencies and did not present new alleles, indicating that they are very likely derived by sexual recombination. However, sexual reproduction seems not to have occurred in the other populations. The presence of just one genotype of the hybrid suggests that hybridization between K. delagoensis and K. daigremontiana is unlikely, but we cannot discard it because of the absence of private alleles. The lack of genotypic diversity suggests that the invasion by these two species and the hybrid occurred from the introduction of one genotype, and have expanded by clonal growth and human mediated dispersal.","container-title":"Biological Invasions","DOI":"10.1007/s10530-014-0820-0","ISSN":"1573-1464","issue":"6","journalAbbreviation":"Biol Invasions","language":"en","page":"1615-1622","source":"Springer Link","title":"Invasion of &lt;i&gt;Kalanchoe&lt;/i&gt; by clonal spread","URL":"https://doi.org/10.1007/s10530-014-0820-0","volume":"17","author":[{"family":"Guerra-García","given":"Azalea"},{"family":"Golubov","given":"Jordan"},{"family":"C. Mandujano","given":"María"}],"accessed":{"date-parts":[["2020",3,21]]},"issued":{"date-parts":[["2015",6,1]]}}},{"id":21851,"uris":["http://zotero.org/groups/2352922/items/ZGXBTEWK"],"itemData":{"id":21851,"type":"article-journal","abstract":"Invasive alien species are currently considered one of the main threats to global biodiversity. One of the most rapidly expanding invasive plants in recent times is Kalanchoe × houghtonii (Crassulaceae), an artificial hybrid created in the 1930s in the United States by experimental crossings between K. daigremontiana and K. tubiflora, two species endemic to Madagascar. Thanks to its large colonizing capacity (mainly derived from the production of asexual plantlets), K. × houghtonii soon escaped from cultivation and quickly spread in many parts of the world. However, its actual range is not well known due to the lack of a formal description until recent times (2006) and its strong morphological resemblance with one of its parentals (K. daigremontiana). The present study was aimed, in the first instance, to delimit the present distribution area of K. × houghtonii at the global scale by gathering and validating all its occurrences and to track its colonization history. Currently, K. × houghtonii can be found on all continents except Antarctica, although it did not reach a global distribution until the 2000s. Its potential distribution, estimated with MaxEnt modelling software, is mainly centered in subtropical regions, from 20° to 40° of both northern and southern latitudes, mostly in areas with a high anthropogenic activity. Unexpectedly, concomitant to a poleward migration, future niche models suggest a considerable reduction of its range by up to one-third compared to the present, which might be related with the Crassulaceaean Acid Metabolism (CAM) of K. × houghtonii. Further research may shed light as to whether a decrease in potential habitats constitutes a general pattern for Crassulaceae and CAM plants.","container-title":"Scientific Reports","DOI":"10.1038/s41598-020-60079-2","ISSN":"2045-2322","issue":"1","journalAbbreviation":"Sci Rep","language":"en","license":"2020 The Author(s)","note":"number: 1\npublisher: Nature Publishing Group","page":"1-18","source":"www.nature.com","title":"Global distribution patterns and niche modelling of the invasive &lt;i&gt;Kalanchoe&lt;/i&gt; × &lt;i&gt;houghtonii&lt;/i&gt; (Crassulaceae)","URL":"https://www.nature.com/articles/s41598-020-60079-2","volume":"10","author":[{"family":"Herrando-Moraira","given":"Sonia"},{"family":"Vitales","given":"Daniel"},{"family":"Nualart","given":"Neus"},{"family":"Gómez-Bellver","given":"Carlos"},{"family":"Ibáñez","given":"Neus"},{"family":"Massó","given":"Sergi"},{"family":"Cachón-Ferrero","given":"Pilar"},{"family":"González-Gutiérrez","given":"Pedro A."},{"family":"Guillot","given":"Daniel"},{"family":"Herrera","given":"Ileana"},{"family":"Shaw","given":"Daniel"},{"family":"Stinca","given":"Adriano"},{"family":"Wang","given":"Zhiqiang"},{"family":"López-Pujol","given":"Jordi"}],"accessed":{"date-parts":[["2020",3,21]]},"issued":{"date-parts":[["2020",2,21]]}}}],"schema":"https://github.com/citation-style-language/schema/raw/master/csl-citation.json"} </w:instrText>
      </w:r>
      <w:r w:rsidR="008C1BF7" w:rsidRPr="00DA249F">
        <w:rPr>
          <w:rStyle w:val="normaltextrun"/>
          <w:lang w:val="en-GB"/>
        </w:rPr>
        <w:fldChar w:fldCharType="separate"/>
      </w:r>
      <w:r w:rsidR="00144D96" w:rsidRPr="00144D96">
        <w:rPr>
          <w:szCs w:val="24"/>
        </w:rPr>
        <w:t>(Guerra-García et al., 2015; Herrando-Moraira et al., 2020)</w:t>
      </w:r>
      <w:r w:rsidR="008C1BF7" w:rsidRPr="00DA249F">
        <w:rPr>
          <w:rStyle w:val="normaltextrun"/>
          <w:lang w:val="en-GB"/>
        </w:rPr>
        <w:fldChar w:fldCharType="end"/>
      </w:r>
      <w:r w:rsidR="008C1BF7" w:rsidRPr="00DA249F">
        <w:rPr>
          <w:rStyle w:val="normaltextrun"/>
          <w:lang w:val="en-GB"/>
        </w:rPr>
        <w:t>.</w:t>
      </w:r>
      <w:r w:rsidR="006F02BA" w:rsidRPr="00DA249F">
        <w:rPr>
          <w:rStyle w:val="normaltextrun"/>
          <w:lang w:val="en-GB"/>
        </w:rPr>
        <w:t xml:space="preserve"> </w:t>
      </w:r>
      <w:r w:rsidR="00FC0892" w:rsidRPr="00DA249F">
        <w:rPr>
          <w:rStyle w:val="normaltextrun"/>
          <w:lang w:val="en-GB"/>
        </w:rPr>
        <w:t xml:space="preserve">There is concern that the invasive potential of some pasture grasses has increased as a result of intensive artificial selection, which has used multiple tools (e.g., ploidy manipulation and introduction of endophytes) to maximize grass productivity under the specific conditions of each region of interest </w:t>
      </w:r>
      <w:r w:rsidR="00FC0892" w:rsidRPr="00DA249F">
        <w:rPr>
          <w:rStyle w:val="normaltextrun"/>
          <w:lang w:val="en-GB"/>
        </w:rPr>
        <w:fldChar w:fldCharType="begin"/>
      </w:r>
      <w:r w:rsidR="00331A79">
        <w:rPr>
          <w:rStyle w:val="normaltextrun"/>
          <w:lang w:val="en-GB"/>
        </w:rPr>
        <w:instrText xml:space="preserve"> ADDIN ZOTERO_ITEM CSL_CITATION {"citationID":"fBLkao43","properties":{"formattedCitation":"(Driscoll et al., 2014)","plainCitation":"(Driscoll et al., 2014)","noteIndex":0},"citationItems":[{"id":31179,"uris":["http://zotero.org/groups/2352922/items/7WJ3HEZW"],"itemData":{"id":31179,"type":"article-journal","abstract":"Agricultural intensification is critical to meet global food demand, but intensification threatens native species and degrades ecosystems. Sustainable intensification (SI) is heralded as a new approach for enabling growth in agriculture while minimizing environmental impacts. However, the SI literature has overlooked a major environmental risk. Using data from eight countries on six continents, we show that few governments regulate conventionally bred pasture taxa to limit threats to natural areas, even though most agribusinesses promote taxa with substantial weed risk. New pasture taxa (including species, subspecies, varieties, cultivars, and plant-endophyte combinations) are bred with characteristics typical of invasive species and environmental weeds. By introducing novel genetic and endophyte variation, pasture taxa are imbued with additional capacity for invasion and environmental impact. New strategies to prevent future problems are urgently needed. We highlight opportunities for researchers, agribusiness, and consumers to reduce environmental risks associated with new pasture taxa. We also emphasize four main approaches that governments could consider as they build new policies to limit weed risks, including (i) national lists of taxa that are prohibited based on environmental risk; (ii) a weed risk assessment for all new taxa; (iii) a program to rapidly detect and control new taxa that invade natural areas; and (iv) the polluter-pays principle, so that if a taxon becomes an environmental weed, industry pays for its management. There is mounting pressure to increase livestock production. With foresight and planning, growth in agriculture can be achieved sustainably provided that the scope of SI expands to encompass environmental weed risks.","container-title":"Proceedings of the National Academy of Sciences","DOI":"10.1073/pnas.1409347111","ISSN":"0027-8424, 1091-6490","issue":"46","journalAbbreviation":"PNAS","language":"en","note":"publisher: National Academy of Sciences\nsection: Biological Sciences\nPMID: 25368175","page":"16622-16627","source":"www.pnas.org","title":"New pasture plants intensify invasive species risk","URL":"https://www.pnas.org/content/111/46/16622","volume":"111","author":[{"family":"Driscoll","given":"Don A."},{"family":"Catford","given":"Jane A."},{"family":"Barney","given":"Jacob N."},{"family":"Hulme","given":"Philip E."},{"literal":"Inderjit"},{"family":"Martin","given":"Tara G."},{"family":"Pauchard","given":"Aníbal"},{"family":"Pyšek","given":"Petr"},{"family":"Richardson","given":"David M."},{"family":"Riley","given":"Sophie"},{"family":"Visser","given":"Vernon"}],"accessed":{"date-parts":[["2021",10,29]]},"issued":{"date-parts":[["2014",11,18]]}}}],"schema":"https://github.com/citation-style-language/schema/raw/master/csl-citation.json"} </w:instrText>
      </w:r>
      <w:r w:rsidR="00FC0892" w:rsidRPr="00DA249F">
        <w:rPr>
          <w:rStyle w:val="normaltextrun"/>
          <w:lang w:val="en-GB"/>
        </w:rPr>
        <w:fldChar w:fldCharType="separate"/>
      </w:r>
      <w:r w:rsidR="00144D96" w:rsidRPr="00144D96">
        <w:t>(Driscoll et al., 2014)</w:t>
      </w:r>
      <w:r w:rsidR="00FC0892" w:rsidRPr="00DA249F">
        <w:rPr>
          <w:rStyle w:val="normaltextrun"/>
          <w:lang w:val="en-GB"/>
        </w:rPr>
        <w:fldChar w:fldCharType="end"/>
      </w:r>
      <w:r w:rsidR="00FC0892" w:rsidRPr="00DA249F">
        <w:rPr>
          <w:rStyle w:val="normaltextrun"/>
          <w:lang w:val="en-GB"/>
        </w:rPr>
        <w:t xml:space="preserve">. </w:t>
      </w:r>
      <w:r w:rsidR="00D12BF1" w:rsidRPr="00DA249F">
        <w:rPr>
          <w:rStyle w:val="eop"/>
          <w:lang w:val="en-GB"/>
        </w:rPr>
        <w:t>T</w:t>
      </w:r>
      <w:r w:rsidR="00D12BF1" w:rsidRPr="00DA249F">
        <w:rPr>
          <w:rStyle w:val="normaltextrun"/>
          <w:lang w:val="en-GB"/>
        </w:rPr>
        <w:t xml:space="preserve">ransgenes for herbicide resistance present in the genetically modified </w:t>
      </w:r>
      <w:r w:rsidR="00BC5465" w:rsidRPr="00DA249F">
        <w:rPr>
          <w:rStyle w:val="normaltextrun"/>
          <w:i/>
          <w:iCs/>
          <w:lang w:val="en-GB"/>
        </w:rPr>
        <w:t>Agrostis stolonifera</w:t>
      </w:r>
      <w:r w:rsidR="00BC5465" w:rsidRPr="00DA249F">
        <w:rPr>
          <w:rStyle w:val="normaltextrun"/>
          <w:lang w:val="en-GB"/>
        </w:rPr>
        <w:t xml:space="preserve"> (</w:t>
      </w:r>
      <w:r w:rsidR="00D12BF1" w:rsidRPr="00DA249F">
        <w:rPr>
          <w:rStyle w:val="normaltextrun"/>
          <w:lang w:val="en-GB"/>
        </w:rPr>
        <w:t>creeping </w:t>
      </w:r>
      <w:r w:rsidR="00D12BF1" w:rsidRPr="00DA249F">
        <w:rPr>
          <w:rStyle w:val="spellingerror"/>
          <w:lang w:val="en-GB"/>
        </w:rPr>
        <w:t>bentgrass</w:t>
      </w:r>
      <w:r w:rsidR="00BC5465" w:rsidRPr="00DA249F">
        <w:rPr>
          <w:rStyle w:val="spellingerror"/>
          <w:lang w:val="en-GB"/>
        </w:rPr>
        <w:t>)</w:t>
      </w:r>
      <w:r w:rsidR="00D12BF1" w:rsidRPr="00DA249F">
        <w:rPr>
          <w:rStyle w:val="normaltextrun"/>
          <w:lang w:val="en-GB"/>
        </w:rPr>
        <w:t> used as lawn grass were found in wild </w:t>
      </w:r>
      <w:r w:rsidR="00D12BF1" w:rsidRPr="00DA249F">
        <w:rPr>
          <w:rStyle w:val="normaltextrun"/>
          <w:i/>
          <w:iCs/>
          <w:lang w:val="en-GB"/>
        </w:rPr>
        <w:t>Agrostis</w:t>
      </w:r>
      <w:r w:rsidR="00D12BF1" w:rsidRPr="00DA249F">
        <w:rPr>
          <w:rStyle w:val="normaltextrun"/>
          <w:lang w:val="en-GB"/>
        </w:rPr>
        <w:t xml:space="preserve"> populations, suggesting that the resulting novel genotypes may be persistent and possibly favour these </w:t>
      </w:r>
      <w:r w:rsidR="009E31A6">
        <w:rPr>
          <w:rStyle w:val="normaltextrun"/>
          <w:lang w:val="en-GB"/>
        </w:rPr>
        <w:t xml:space="preserve">genetically modified </w:t>
      </w:r>
      <w:r w:rsidR="00D12BF1" w:rsidRPr="00DA249F">
        <w:rPr>
          <w:rStyle w:val="normaltextrun"/>
          <w:lang w:val="en-GB"/>
        </w:rPr>
        <w:t xml:space="preserve">organisms outside cultivation </w:t>
      </w:r>
      <w:r w:rsidR="00D12BF1" w:rsidRPr="00DA249F">
        <w:rPr>
          <w:rStyle w:val="normaltextrun"/>
          <w:lang w:val="en-GB"/>
        </w:rPr>
        <w:fldChar w:fldCharType="begin"/>
      </w:r>
      <w:r w:rsidR="00331A79">
        <w:rPr>
          <w:rStyle w:val="normaltextrun"/>
          <w:lang w:val="en-GB"/>
        </w:rPr>
        <w:instrText xml:space="preserve"> ADDIN ZOTERO_ITEM CSL_CITATION {"citationID":"CfP0wzi1","properties":{"formattedCitation":"(Reichman et al., 2006)","plainCitation":"(Reichman et al., 2006)","noteIndex":0},"citationItems":[{"id":16160,"uris":["http://zotero.org/groups/2352922/items/6KYSXLGM"],"itemData":{"id":16160,"type":"article-journal","abstract":"Concerns about genetically modified (GM) crops include transgene flow to compatible wild species and unintended ecological consequences of potential transgene introgression. However, there has been little empirical documentation of establishment and distribution of transgenic plants in wild populations. We present herein the first evidence for escape of transgenes into wild plant populations within the USA; glyphosate-resistant creeping bentgrass (Agrostis stolonifera L.) plants expressing CP4 EPSPS transgenes were found outside of cultivation area in central Oregon. Resident populations of three compatible Agrostis species were sampled in nonagronomic habitats outside the Oregon Department of Agriculture control area designated for test production of glyphosate-resistant creeping bentgrass. CP4 EPSPS protein and the corresponding transgene were found in nine A. stolonifera plants screened from 20 400 samples (0.04 ± 0.01% SE). CP4 EPSPS-positive plants were located predominantly in mesic habitats downwind and up to 3.8 km beyond the control area perimeter; two plants were found within the USDA Crooked River National Grassland. Spatial distribution and parentage of transgenic plants (as confirmed by analyses of nuclear ITS and chloroplast matK gene trees) suggest that establishment resulted from both pollen-mediated intraspecific hybridizations and from crop seed dispersal. These results demonstrate that transgene flow from short-term production can result in establishment of transgenic plants at multi-kilometre distances from GM source fields or plants. Selective pressure from direct application or drift of glyphosate herbicide could enhance introgression of CP4 EPSPS transgenes and additional establishment. Obligatory outcrossing and vegetative spread could further contribute to persistence of CP4 EPSPS transgenes in wild Agrostis populations, both in the presence or absence of herbicide selection.","container-title":"Molecular Ecology","DOI":"10.1111/j.1365-294X.2006.03072.x","ISSN":"1365-294X","issue":"13","language":"en","page":"4243-4255","source":"Wiley Online Library","title":"Establishment of transgenic herbicide-resistant creeping bentgrass (&lt;i&gt;Agrostis stolonifera&lt;/i&gt; L.) in nonagronomic habitats","URL":"https://onlinelibrary.wiley.com/doi/abs/10.1111/j.1365-294X.2006.03072.x","volume":"15","author":[{"family":"Reichman","given":"Jay R."},{"family":"Watrud","given":"Lidia S."},{"family":"Lee","given":"E. Henry"},{"family":"Burdi</w:instrText>
      </w:r>
      <w:r w:rsidR="00331A79">
        <w:rPr>
          <w:rStyle w:val="normaltextrun"/>
          <w:rFonts w:hint="eastAsia"/>
          <w:lang w:val="en-GB"/>
        </w:rPr>
        <w:instrText>ck","given":"Connie A."},{"family":"Bollman","given":"Mike A."},{"family":"Storm","given":"Marjorie J."},{"family":"King","given":"George A."},{"family":"Mallory</w:instrText>
      </w:r>
      <w:r w:rsidR="00331A79">
        <w:rPr>
          <w:rStyle w:val="normaltextrun"/>
          <w:rFonts w:hint="eastAsia"/>
          <w:lang w:val="en-GB"/>
        </w:rPr>
        <w:instrText>‐</w:instrText>
      </w:r>
      <w:r w:rsidR="00331A79">
        <w:rPr>
          <w:rStyle w:val="normaltextrun"/>
          <w:rFonts w:hint="eastAsia"/>
          <w:lang w:val="en-GB"/>
        </w:rPr>
        <w:instrText>Smith","given":"Carol"}],"accessed":{"date-parts":[["2019",11,19]]},"issued":{"date-parts":[[</w:instrText>
      </w:r>
      <w:r w:rsidR="00331A79">
        <w:rPr>
          <w:rStyle w:val="normaltextrun"/>
          <w:lang w:val="en-GB"/>
        </w:rPr>
        <w:instrText xml:space="preserve">"2006"]]}}}],"schema":"https://github.com/citation-style-language/schema/raw/master/csl-citation.json"} </w:instrText>
      </w:r>
      <w:r w:rsidR="00D12BF1" w:rsidRPr="00DA249F">
        <w:rPr>
          <w:rStyle w:val="normaltextrun"/>
          <w:lang w:val="en-GB"/>
        </w:rPr>
        <w:fldChar w:fldCharType="separate"/>
      </w:r>
      <w:r w:rsidR="00144D96" w:rsidRPr="00144D96">
        <w:t>(Reichman et al., 2006)</w:t>
      </w:r>
      <w:r w:rsidR="00D12BF1" w:rsidRPr="00DA249F">
        <w:rPr>
          <w:rStyle w:val="normaltextrun"/>
          <w:lang w:val="en-GB"/>
        </w:rPr>
        <w:fldChar w:fldCharType="end"/>
      </w:r>
      <w:r w:rsidR="00D12BF1" w:rsidRPr="00DA249F">
        <w:rPr>
          <w:rStyle w:val="normaltextrun"/>
          <w:lang w:val="en-GB"/>
        </w:rPr>
        <w:t xml:space="preserve">. </w:t>
      </w:r>
      <w:r w:rsidR="00FC0892" w:rsidRPr="00DA249F">
        <w:rPr>
          <w:rStyle w:val="normaltextrun"/>
          <w:lang w:val="en-GB"/>
        </w:rPr>
        <w:t xml:space="preserve">Similar or even higher risks may apply to the selection of bioenergy crops </w:t>
      </w:r>
      <w:r w:rsidR="00FC0892" w:rsidRPr="00DA249F">
        <w:rPr>
          <w:rStyle w:val="normaltextrun"/>
          <w:lang w:val="en-GB"/>
        </w:rPr>
        <w:fldChar w:fldCharType="begin"/>
      </w:r>
      <w:r w:rsidR="00331A79">
        <w:rPr>
          <w:rStyle w:val="normaltextrun"/>
          <w:lang w:val="en-GB"/>
        </w:rPr>
        <w:instrText xml:space="preserve"> ADDIN ZOTERO_ITEM CSL_CITATION {"citationID":"epeIkpWG","properties":{"formattedCitation":"(D. M. Richardson &amp; Blanchard, 2011)","plainCitation":"(D. M. Richardson &amp; Blanchard, 2011)","dontUpdate":true,"noteIndex":0},"citationItems":[{"id":32934,"uris":["http://zotero.org/groups/2352922/items/ZIHQX5B2"],"itemData":{"id":32934,"type":"article-journal","container-title":"Current Opinion in Environmental Sustainability","DOI":"10.1016/j.cosust.2010.11.006","ISSN":"18773435","issue":"1-2","journalAbbreviation":"Current Opinion in Environmental Sustainability","language":"en","note":"number: 1-2\ncontainer-title: Current Opinion in Environmental Sustainability","page":"36-42","source":"DOI.org (Crossref)","title":"Learning from our mistakes: minimizing problems with invasive biofuel plants","title-short":"Learning from our mistakes","URL":"https://linkinghub.elsevier.com/retrieve/pii/S187734351000134X","volume":"3","author":[{"family":"Richardson","given":"David M."},{"family":"Blanchard","given":"Ryan"}],"accessed":{"date-parts":[["2019",12,5]]},"issued":{"date-parts":[["2011",3]]}}}],"schema":"https://github.com/citation-style-language/schema/raw/master/csl-citation.json"} </w:instrText>
      </w:r>
      <w:r w:rsidR="00FC0892" w:rsidRPr="00DA249F">
        <w:rPr>
          <w:rStyle w:val="normaltextrun"/>
          <w:lang w:val="en-GB"/>
        </w:rPr>
        <w:fldChar w:fldCharType="separate"/>
      </w:r>
      <w:r w:rsidR="00FC0892" w:rsidRPr="00DA249F">
        <w:rPr>
          <w:lang w:val="en-GB"/>
        </w:rPr>
        <w:t>(Richardson &amp; Blanchard, 2011)</w:t>
      </w:r>
      <w:r w:rsidR="00FC0892" w:rsidRPr="00DA249F">
        <w:rPr>
          <w:rStyle w:val="normaltextrun"/>
          <w:lang w:val="en-GB"/>
        </w:rPr>
        <w:fldChar w:fldCharType="end"/>
      </w:r>
      <w:r w:rsidR="00FC0892" w:rsidRPr="00DA249F">
        <w:rPr>
          <w:rStyle w:val="normaltextrun"/>
          <w:lang w:val="en-GB"/>
        </w:rPr>
        <w:t xml:space="preserve">; for example, selection for fertility in the highly productive </w:t>
      </w:r>
      <w:r w:rsidR="00BC5465" w:rsidRPr="00DA249F">
        <w:rPr>
          <w:rStyle w:val="normaltextrun"/>
          <w:i/>
          <w:iCs/>
          <w:lang w:val="en-GB"/>
        </w:rPr>
        <w:t>Miscanthus</w:t>
      </w:r>
      <w:r w:rsidR="000D571E">
        <w:rPr>
          <w:rStyle w:val="normaltextrun"/>
          <w:i/>
          <w:iCs/>
          <w:lang w:val="en-GB"/>
        </w:rPr>
        <w:t xml:space="preserve"> </w:t>
      </w:r>
      <w:r w:rsidR="000D3D04" w:rsidRPr="00DA249F">
        <w:rPr>
          <w:rStyle w:val="normaltextrun"/>
          <w:i/>
          <w:iCs/>
          <w:lang w:val="en-GB"/>
        </w:rPr>
        <w:t>×</w:t>
      </w:r>
      <w:r w:rsidR="0020558B">
        <w:rPr>
          <w:rStyle w:val="normaltextrun"/>
          <w:i/>
          <w:iCs/>
          <w:lang w:val="en-GB"/>
        </w:rPr>
        <w:t xml:space="preserve"> </w:t>
      </w:r>
      <w:r w:rsidR="000D3D04" w:rsidRPr="00DA249F">
        <w:rPr>
          <w:rStyle w:val="normaltextrun"/>
          <w:i/>
          <w:iCs/>
          <w:lang w:val="en-GB"/>
        </w:rPr>
        <w:t>longiberbis</w:t>
      </w:r>
      <w:r w:rsidR="00BC5465" w:rsidRPr="00DA249F">
        <w:rPr>
          <w:rStyle w:val="normaltextrun"/>
          <w:lang w:val="en-GB"/>
        </w:rPr>
        <w:t xml:space="preserve"> (</w:t>
      </w:r>
      <w:r w:rsidR="00FC0892" w:rsidRPr="00DA249F">
        <w:rPr>
          <w:rStyle w:val="normaltextrun"/>
          <w:lang w:val="en-GB"/>
        </w:rPr>
        <w:t xml:space="preserve">giant miscanthus cultivar) led to a high increase in its potential to escape cultivation </w:t>
      </w:r>
      <w:r w:rsidR="00FC0892" w:rsidRPr="00DA249F">
        <w:rPr>
          <w:rStyle w:val="normaltextrun"/>
          <w:lang w:val="en-GB"/>
        </w:rPr>
        <w:fldChar w:fldCharType="begin"/>
      </w:r>
      <w:r w:rsidR="00230216">
        <w:rPr>
          <w:rStyle w:val="normaltextrun"/>
          <w:lang w:val="en-GB"/>
        </w:rPr>
        <w:instrText xml:space="preserve"> ADDIN ZOTERO_ITEM CSL_CITATION {"citationID":"FP023y1z","properties":{"formattedCitation":"(L. L. Smith et al., 2015)","plainCitation":"(L. L. Smith et al., 2015)","dontUpdate":true,"noteIndex":0},"citationItems":[{"id":"zUkrYEfa/sZnWaa6d","uris":["http://zotero.org/users/5651267/items/P2QJJEFM"],"itemData":{"id":43664,"type":"article-journal","container-title":"NeoBiota","note":"ISBN: 1314-2488\npublisher: Pensoft Publishers","page":"47","title":"The thin green line: sustainable bioenergy feedstocks or invaders in waiting","volume":"25","author":[{"family":"Smith","given":"Larissa L."},{"family":"Allen","given":"Damian J."},{"family":"Barney","given":"Jacob"}],"issued":{"date-parts":[["2015"]]}}}],"schema":"https://github.com/citation-style-language/schema/raw/master/csl-citation.json"} </w:instrText>
      </w:r>
      <w:r w:rsidR="00FC0892" w:rsidRPr="00DA249F">
        <w:rPr>
          <w:rStyle w:val="normaltextrun"/>
          <w:lang w:val="en-GB"/>
        </w:rPr>
        <w:fldChar w:fldCharType="separate"/>
      </w:r>
      <w:r w:rsidR="00FC0892" w:rsidRPr="00DA249F">
        <w:rPr>
          <w:lang w:val="en-GB"/>
        </w:rPr>
        <w:t>(Smith et al., 2015)</w:t>
      </w:r>
      <w:r w:rsidR="00FC0892" w:rsidRPr="00DA249F">
        <w:rPr>
          <w:rStyle w:val="normaltextrun"/>
          <w:lang w:val="en-GB"/>
        </w:rPr>
        <w:fldChar w:fldCharType="end"/>
      </w:r>
      <w:r w:rsidR="00FC0892" w:rsidRPr="00DA249F">
        <w:rPr>
          <w:rStyle w:val="normaltextrun"/>
          <w:lang w:val="en-GB"/>
        </w:rPr>
        <w:t>.</w:t>
      </w:r>
      <w:r w:rsidR="00E63FA9" w:rsidRPr="00DA249F">
        <w:rPr>
          <w:rStyle w:val="normaltextrun"/>
          <w:lang w:val="en-GB"/>
        </w:rPr>
        <w:t xml:space="preserve"> Among invasive alien trees, selection for high timber and forage production may have indirectly increased the invasion potential of a cultivar of the tropical tree </w:t>
      </w:r>
      <w:r w:rsidR="00E63FA9" w:rsidRPr="00DA249F">
        <w:rPr>
          <w:rStyle w:val="normaltextrun"/>
          <w:i/>
          <w:iCs/>
          <w:lang w:val="en-GB"/>
        </w:rPr>
        <w:t>Leucaena leucocephala</w:t>
      </w:r>
      <w:r w:rsidR="00E63FA9" w:rsidRPr="00DA249F">
        <w:rPr>
          <w:rStyle w:val="normaltextrun"/>
          <w:iCs/>
          <w:lang w:val="en-GB"/>
        </w:rPr>
        <w:t xml:space="preserve"> </w:t>
      </w:r>
      <w:r w:rsidR="00005758" w:rsidRPr="00DA249F">
        <w:rPr>
          <w:rStyle w:val="normaltextrun"/>
          <w:iCs/>
          <w:lang w:val="en-GB"/>
        </w:rPr>
        <w:t xml:space="preserve">subsp. </w:t>
      </w:r>
      <w:r w:rsidR="00FA730C" w:rsidRPr="00DA249F">
        <w:rPr>
          <w:rStyle w:val="normaltextrun"/>
          <w:i/>
          <w:iCs/>
          <w:lang w:val="en-GB"/>
        </w:rPr>
        <w:t>g</w:t>
      </w:r>
      <w:r w:rsidR="00E63FA9" w:rsidRPr="00DA249F">
        <w:rPr>
          <w:rStyle w:val="normaltextrun"/>
          <w:i/>
          <w:iCs/>
          <w:lang w:val="en-GB"/>
        </w:rPr>
        <w:t>labrat</w:t>
      </w:r>
      <w:r w:rsidR="00005758" w:rsidRPr="00DA249F">
        <w:rPr>
          <w:rStyle w:val="normaltextrun"/>
          <w:i/>
          <w:iCs/>
          <w:lang w:val="en-GB"/>
        </w:rPr>
        <w:t>a</w:t>
      </w:r>
      <w:r w:rsidR="00E63FA9" w:rsidRPr="00DA249F">
        <w:rPr>
          <w:rStyle w:val="normaltextrun"/>
          <w:lang w:val="en-GB"/>
        </w:rPr>
        <w:t xml:space="preserve"> </w:t>
      </w:r>
      <w:r w:rsidR="00EC75D9" w:rsidRPr="00DA249F">
        <w:rPr>
          <w:rStyle w:val="normaltextrun"/>
          <w:lang w:val="en-GB"/>
        </w:rPr>
        <w:t xml:space="preserve">(white leadtree) </w:t>
      </w:r>
      <w:r w:rsidR="00E63FA9" w:rsidRPr="00DA249F">
        <w:rPr>
          <w:rStyle w:val="normaltextrun"/>
          <w:lang w:val="en-GB"/>
        </w:rPr>
        <w:t xml:space="preserve">in certain areas in Northeast Australia </w:t>
      </w:r>
      <w:r w:rsidR="00E63FA9" w:rsidRPr="00DA249F">
        <w:rPr>
          <w:rStyle w:val="normaltextrun"/>
          <w:lang w:val="en-GB"/>
        </w:rPr>
        <w:fldChar w:fldCharType="begin"/>
      </w:r>
      <w:r w:rsidR="00331A79">
        <w:rPr>
          <w:rStyle w:val="normaltextrun"/>
          <w:lang w:val="en-GB"/>
        </w:rPr>
        <w:instrText xml:space="preserve"> ADDIN ZOTERO_ITEM CSL_CITATION {"citationID":"VPaF4d4p","properties":{"formattedCitation":"(C. S. Walton, 2003)","plainCitation":"(C. S. Walton, 2003)","noteIndex":0},"citationItems":[{"id":21852,"uris":["http://zotero.org/groups/2352922/items/DEUISRGX"],"itemData":{"id":21852,"type":"book","ISBN":"0-7345-2452-8","publisher":"Land Protection, Department of Natural Resources, Mines, and Energy","title":"Leucaena (&lt;i&gt;Leucaena leucocephala&lt;/i&gt;) in Queensland","author":[{"family":"Walton","given":"Craig S."}],"issued":{"date-parts":[["2003"]]}}}],"schema":"https://github.com/citation-style-language/schema/raw/master/csl-citation.json"} </w:instrText>
      </w:r>
      <w:r w:rsidR="00E63FA9" w:rsidRPr="00DA249F">
        <w:rPr>
          <w:rStyle w:val="normaltextrun"/>
          <w:lang w:val="en-GB"/>
        </w:rPr>
        <w:fldChar w:fldCharType="separate"/>
      </w:r>
      <w:r w:rsidR="00144D96" w:rsidRPr="00144D96">
        <w:t>(C. S. Walton, 2003)</w:t>
      </w:r>
      <w:r w:rsidR="00E63FA9" w:rsidRPr="00DA249F">
        <w:rPr>
          <w:rStyle w:val="normaltextrun"/>
          <w:lang w:val="en-GB"/>
        </w:rPr>
        <w:fldChar w:fldCharType="end"/>
      </w:r>
      <w:r w:rsidR="00E63FA9" w:rsidRPr="00DA249F">
        <w:rPr>
          <w:rStyle w:val="normaltextrun"/>
          <w:lang w:val="en-GB"/>
        </w:rPr>
        <w:t xml:space="preserve">. </w:t>
      </w:r>
      <w:r w:rsidR="00E63FA9" w:rsidRPr="00DA249F">
        <w:rPr>
          <w:rFonts w:eastAsia="Times New Roman"/>
          <w:lang w:val="en-GB"/>
        </w:rPr>
        <w:t>Similarly, provenance forestry trials</w:t>
      </w:r>
      <w:r w:rsidR="0020558B">
        <w:rPr>
          <w:rFonts w:eastAsia="Times New Roman"/>
          <w:lang w:val="en-GB"/>
        </w:rPr>
        <w:t xml:space="preserve"> and</w:t>
      </w:r>
      <w:r w:rsidR="00E63FA9" w:rsidRPr="00DA249F">
        <w:rPr>
          <w:rFonts w:eastAsia="Times New Roman"/>
          <w:lang w:val="en-GB"/>
        </w:rPr>
        <w:t xml:space="preserve"> common garden experiments designed to select the seed sources of alien pine species most likely to succeed under distinct conditions in the introduced range possibly contributed to the high invasion success of some of these species in South America </w:t>
      </w:r>
      <w:r w:rsidR="00E63FA9" w:rsidRPr="00DA249F">
        <w:rPr>
          <w:rFonts w:eastAsia="Times New Roman"/>
          <w:lang w:val="en-GB"/>
        </w:rPr>
        <w:fldChar w:fldCharType="begin"/>
      </w:r>
      <w:r w:rsidR="00331A79">
        <w:rPr>
          <w:rFonts w:eastAsia="Times New Roman"/>
          <w:lang w:val="en-GB"/>
        </w:rPr>
        <w:instrText xml:space="preserve"> ADDIN ZOTERO_ITEM CSL_CITATION {"citationID":"XbqUAHRv","properties":{"formattedCitation":"(Zenni, 2014; Zenni et al., 2017)","plainCitation":"(Zenni, 2014; Zenni et al., 2017)","noteIndex":0},"citationItems":[{"id":32691,"uris":["http://zotero.org/groups/2352922/items/KYEPZQJW"],"itemData":{"id":32691,"type":"article-journal","abstract":"Knowledge of historical factors associated with biological invasions in a region can help identify source regions, vectors and pathways more likely to originate potential invaders as well as prioritize resource allocation for selective prevention and early detection strategies. In Brazil, little is known about the introduction history of many invasive plant species, and analyses of historical factors associated with invasions are lacking. To fill this gap, I used a dataset of 117 invasive alien plants across 13 habitats in Brazil to identify potential patterns of continent of origin, reason for introduction, and to test the hypotheses that (i) more Eurasian species are invasive in Brazil than species native from other continents, that (ii) more horticultural species are invasive in Brazil than species introduced for other reasons, and that (iii) continent of origin and reason for introduction are associated. I found that significantly more invasive plant species in Brazil are native to Africa and Asia, were introduced for horticulture and forage, and are part of the families Poaceae, Fabaceae, and Pinaceae. I also found a significant association between continent of origin and reason for introduction, with more invasive species than average being African forage grasses and Asian agroforestry or ornamental plants. In conclusion, the results suggest that the current invasive alien flora of Brazil results from the combination of patterns of recent human migration waves and deliberate species introductions for technological and commercial reasons. These results can help prioritize invasive species and vectors in prevention, early detection, and control strategies.","container-title":"Austral Ecology","DOI":"10.1111/aec.12097","ISSN":"1442-9993","issue":"4","language":"en","license":"© 2013 The Author. Austral Ecology © 2013 Ecological Society of Australia","note":"number: 4\ncontainer-title: Austral Ecology","page":"401-407","source":"Wiley Online Library","title":"Analysis of introduction history of invasive plants in Brazil reveals patterns of association between biogeographical origin and reason for introduction","URL":"https://onlinelibrary.wiley.com/doi/abs/10.1111/aec.12097","volume":"39","author":[{"family":"Zenni","given":"Rafael D."}],"accessed":{"date-parts":[["2020",2,9]]},"issued":{"date-parts":[["2014"]]}}},{"id":10317,"uris":["http://zotero.org/groups/2352922/items/9EFMTHI7"],"itemData":{"id":10317,"type":"article-journal","container-title":"AoB Plants","DOI":"10.1093/aobpla/plw085","issue":"1","journalAbbreviation":"AoB Plants","title":"Evolutionary dynamics of tree invasions: complementing the unified framework for biological invasions","volume":"9","author":[{"family":"Zenni","given":"Rafael D."},{"family":"Dickie","given":"Ian A"},{"family":"Wingfield","given":"Michael J"},{"family":"Hirsch","given":"Heidi"},{"family":"Crous","given":"Casparus J"},{"family":"Meyerson","given":"Laura A"},{"family":"Burgess","given":"Treena I"},{"family":"Zimmermann","given":"Thalita G"},{"family":"Klock","given":"Metha M"},{"family":"Siemann","given":"Evan"},{"family":"Erfmeier","given":"Alexandra"},{"family":"Aragon","given":"Roxana"},{"family":"Montti","given":"Lia"},{"family":"Le Roux","given":"Johannes J."}],"issued":{"date-parts":[["2017"]]}}}],"schema":"https://github.com/citation-style-language/schema/raw/master/csl-citation.json"} </w:instrText>
      </w:r>
      <w:r w:rsidR="00E63FA9" w:rsidRPr="00DA249F">
        <w:rPr>
          <w:rFonts w:eastAsia="Times New Roman"/>
          <w:lang w:val="en-GB"/>
        </w:rPr>
        <w:fldChar w:fldCharType="separate"/>
      </w:r>
      <w:r w:rsidR="00144D96" w:rsidRPr="00144D96">
        <w:t>(Zenni, 2014; Zenni et al., 2017)</w:t>
      </w:r>
      <w:r w:rsidR="00E63FA9" w:rsidRPr="00DA249F">
        <w:rPr>
          <w:rFonts w:eastAsia="Times New Roman"/>
          <w:lang w:val="en-GB"/>
        </w:rPr>
        <w:fldChar w:fldCharType="end"/>
      </w:r>
      <w:r w:rsidR="00E63FA9" w:rsidRPr="00DA249F">
        <w:rPr>
          <w:rFonts w:eastAsia="Times New Roman"/>
          <w:lang w:val="en-GB"/>
        </w:rPr>
        <w:t>.</w:t>
      </w:r>
      <w:r w:rsidR="00416CC9" w:rsidRPr="00DA249F">
        <w:rPr>
          <w:rStyle w:val="normaltextrun"/>
          <w:lang w:val="en-GB"/>
        </w:rPr>
        <w:t xml:space="preserve"> </w:t>
      </w:r>
    </w:p>
    <w:p w14:paraId="378D702D" w14:textId="77777777" w:rsidR="005056F9" w:rsidRPr="00DA249F" w:rsidRDefault="002D22A4" w:rsidP="00B05932">
      <w:pPr>
        <w:spacing w:before="0" w:after="0"/>
        <w:rPr>
          <w:rStyle w:val="eop"/>
          <w:lang w:val="en-GB"/>
        </w:rPr>
      </w:pPr>
      <w:r w:rsidRPr="00DA249F">
        <w:rPr>
          <w:rStyle w:val="normaltextrun"/>
          <w:lang w:val="en-GB"/>
        </w:rPr>
        <w:lastRenderedPageBreak/>
        <w:t>T</w:t>
      </w:r>
      <w:r w:rsidR="00416CC9" w:rsidRPr="00DA249F">
        <w:rPr>
          <w:rStyle w:val="normaltextrun"/>
          <w:lang w:val="en-GB"/>
        </w:rPr>
        <w:t xml:space="preserve">here is evidence that human selection of specific behaviours in </w:t>
      </w:r>
      <w:r w:rsidR="009E2276" w:rsidRPr="00DA249F">
        <w:rPr>
          <w:rStyle w:val="normaltextrun"/>
          <w:lang w:val="en-GB"/>
        </w:rPr>
        <w:t>the </w:t>
      </w:r>
      <w:r w:rsidR="009E2276" w:rsidRPr="00DA249F">
        <w:rPr>
          <w:rStyle w:val="spellingerror"/>
          <w:lang w:val="en-GB"/>
        </w:rPr>
        <w:t>hybrid</w:t>
      </w:r>
      <w:r w:rsidR="009E2276" w:rsidRPr="00DA249F">
        <w:rPr>
          <w:rStyle w:val="normaltextrun"/>
          <w:lang w:val="en-GB"/>
        </w:rPr>
        <w:t> fish </w:t>
      </w:r>
      <w:r w:rsidR="00B05932" w:rsidRPr="00DA249F">
        <w:rPr>
          <w:rFonts w:eastAsia="Yu Gothic"/>
          <w:i/>
          <w:iCs/>
          <w:color w:val="000000"/>
          <w:szCs w:val="24"/>
          <w:lang w:val="en-GB"/>
        </w:rPr>
        <w:t>Xiphophorus hellerii × maculatus</w:t>
      </w:r>
      <w:r w:rsidR="009E2276" w:rsidRPr="00DA249F">
        <w:rPr>
          <w:rStyle w:val="normaltextrun"/>
          <w:lang w:val="en-GB"/>
        </w:rPr>
        <w:t xml:space="preserve"> </w:t>
      </w:r>
      <w:r w:rsidR="00F001A9" w:rsidRPr="00DA249F">
        <w:rPr>
          <w:rStyle w:val="normaltextrun"/>
          <w:lang w:val="en-GB"/>
        </w:rPr>
        <w:t xml:space="preserve">(red swordtail) </w:t>
      </w:r>
      <w:r w:rsidR="00416CC9" w:rsidRPr="00DA249F">
        <w:rPr>
          <w:rStyle w:val="normaltextrun"/>
          <w:lang w:val="en-GB"/>
        </w:rPr>
        <w:t xml:space="preserve">contributed to the emergence of established invasive </w:t>
      </w:r>
      <w:r w:rsidR="00042EA3" w:rsidRPr="00DA249F">
        <w:rPr>
          <w:rStyle w:val="normaltextrun"/>
          <w:lang w:val="en-GB"/>
        </w:rPr>
        <w:t xml:space="preserve">alien </w:t>
      </w:r>
      <w:r w:rsidR="00416CC9" w:rsidRPr="00DA249F">
        <w:rPr>
          <w:rStyle w:val="normaltextrun"/>
          <w:lang w:val="en-GB"/>
        </w:rPr>
        <w:t>populations in Hawaii</w:t>
      </w:r>
      <w:r w:rsidR="00F06DA2">
        <w:rPr>
          <w:rStyle w:val="normaltextrun"/>
          <w:lang w:val="en-GB"/>
        </w:rPr>
        <w:t>,</w:t>
      </w:r>
      <w:r w:rsidR="00416CC9" w:rsidRPr="00DA249F">
        <w:rPr>
          <w:rStyle w:val="normaltextrun"/>
          <w:lang w:val="en-GB"/>
        </w:rPr>
        <w:t xml:space="preserve"> with a behaviour syndrome characterized by high aggression and exploration </w:t>
      </w:r>
      <w:r w:rsidR="00416CC9" w:rsidRPr="00DA249F">
        <w:rPr>
          <w:rStyle w:val="normaltextrun"/>
          <w:lang w:val="en-GB"/>
        </w:rPr>
        <w:fldChar w:fldCharType="begin"/>
      </w:r>
      <w:r w:rsidR="00331A79">
        <w:rPr>
          <w:rStyle w:val="normaltextrun"/>
          <w:lang w:val="en-GB"/>
        </w:rPr>
        <w:instrText xml:space="preserve"> ADDIN ZOTERO_ITEM CSL_CITATION {"citationID":"4Bruznjd","properties":{"formattedCitation":"(D\\uc0\\u8217{}Amore et al., 2019, Figure 1)","plainCitation":"(D’Amore et al., 2019, Figure 1)","dontUpdate":true,"noteIndex":0},"citationItems":[{"id":12346,"uris":["http://zotero.org/groups/2352922/items/KGWSQ2EK"],"itemData":{"id":12346,"type":"article-journal","abstract":"Both intentionally and unintentionally introduced populations vary greatly in their ability to succeed as invasive species. What causes this extreme variability in success largely remains controversial. Understanding the extent to which these differences are due to aspects of the invasive process could lead to better mitigation of invasive species. We investigated the effect of the invasive process in selecting for individual behaviours and behavioural syndromes in the Xiphophorus helleri–maculatus hybrid, an intentionally introduced fish species. We measured three behaviours (boldness, aggression and exploration) known to play a role in invasive success across three populations representing different stages of invasion: fish from commercial breeding pools, from pet stores and from an established invasive population in Hawaii. We detected significant differences in boldness across populations, with a significant decrease from the breeding pool to the pet store and a significant increase from the pet store to the established invasive population. In addition, we detected behavioural syndromes between either two or all three behaviours that were significantly different across populations. Overall variation in behaviours was similar between breeding pool and pet store fish but appeared to decrease in the invasive population when compared to the pet store population, potentially leading to a more defined behavioural syndrome between exploration and aggression. Our results suggest that while aspects of the invasive process influenced boldness and behavioural syndromes, the increased variation, produced either through hybridization or relaxed selection in the pet trade, is at least partly responsible for the success of X. helleri–maculatus as an invasive species. Additional studies are needed to examine the source of the variation in the pet trade and its influence on the formation of behavioural syndromes in invasive populations.","container-title":"Animal Behaviour","DOI":"10.1016/j.anbehav.2019.08.009","ISSN":"0003-3472","journalAbbreviation":"Animal Behaviour","language":"en","page":"79-85","source":"ScienceDirect","title":"The influence of the invasive process on behaviours in an intentionally introduced hybrid, &lt;i&gt;Xiphophorus helleri–maculatus&lt;/i&gt;","URL":"http://www.sciencedirect.com/science/article/pii/S0003347219302544","volume":"156","author":[{"family":"D'Amore","given":"Danny M."},{"family":"Popescu","given":"Viorel D."},{"family":"Morris","given":"Molly R."}],"accessed":{"date-parts":[["2019",11,12]]},"issued":{"date-parts":[["2019",10,1]]}},"suffix":", Figure 1"}],"schema":"https://github.com/citation-style-language/schema/raw/master/csl-citation.json"} </w:instrText>
      </w:r>
      <w:r w:rsidR="00416CC9" w:rsidRPr="00DA249F">
        <w:rPr>
          <w:rStyle w:val="normaltextrun"/>
          <w:lang w:val="en-GB"/>
        </w:rPr>
        <w:fldChar w:fldCharType="separate"/>
      </w:r>
      <w:r w:rsidR="00416CC9" w:rsidRPr="00DA249F">
        <w:rPr>
          <w:lang w:val="en-GB"/>
        </w:rPr>
        <w:t>(D’Amore et al., 2019)</w:t>
      </w:r>
      <w:r w:rsidR="00416CC9" w:rsidRPr="00DA249F">
        <w:rPr>
          <w:rStyle w:val="normaltextrun"/>
          <w:lang w:val="en-GB"/>
        </w:rPr>
        <w:fldChar w:fldCharType="end"/>
      </w:r>
      <w:r w:rsidR="00416CC9" w:rsidRPr="00DA249F">
        <w:rPr>
          <w:rStyle w:val="normaltextrun"/>
          <w:lang w:val="en-GB"/>
        </w:rPr>
        <w:t>.</w:t>
      </w:r>
      <w:r w:rsidR="00416CC9" w:rsidRPr="00DA249F">
        <w:rPr>
          <w:rStyle w:val="eop"/>
          <w:lang w:val="en-GB"/>
        </w:rPr>
        <w:t xml:space="preserve"> Among invertebrates, the artificial hybrid between European and East African honeybee species shows superior pollen extraction ability and higher swarming rate (i.e., the process of colony splitting to generate new colonies) than the European species </w:t>
      </w:r>
      <w:r w:rsidR="00416CC9" w:rsidRPr="00DA249F">
        <w:rPr>
          <w:rStyle w:val="eop"/>
          <w:lang w:val="en-GB"/>
        </w:rPr>
        <w:fldChar w:fldCharType="begin"/>
      </w:r>
      <w:r w:rsidR="00331A79">
        <w:rPr>
          <w:rStyle w:val="eop"/>
          <w:lang w:val="en-GB"/>
        </w:rPr>
        <w:instrText xml:space="preserve"> ADDIN ZOTERO_ITEM CSL_CITATION {"citationID":"GiNGdq3Y","properties":{"formattedCitation":"(Pesante et al., 1987)","plainCitation":"(Pesante et al., 1987)","noteIndex":0},"citationItems":[{"id":21854,"uris":["http://zotero.org/groups/2352922/items/NGCNTBW2"],"itemData":{"id":21854,"type":"article-journal","abstract":"A study of pollen collection by Africanized and European honeybees was conducted in Venezuela. Among the Africanized honeybees a larger proportion of the foraging force foraged for pollen, thus collecting significantly larger quantities of pollen. The larger pollen supply would provide the protein necessary to support increased brood production, thereby increasing the opportunities for Africanized honeybee colonies to cast multiple swarms.","container-title":"Journal of Apicultural Research","DOI":"10.1080/00218839.1987.11100730","ISSN":"0021-8839","issue":"1","note":"publisher: Taylor &amp; Francis\n_eprint: https://doi.org/10.1080/00218839.1987.11100730","page":"24-29","source":"Taylor and Francis+NEJM","title":"Differential Pollen Collection by Africanized and European Honeybees in Venezuela","URL":"https://doi.org/10.1080/00218839.1987.11100730","volume":"26","author":[{"family":"Pesante","given":"Daniel G."},{"family":"Rinderer","given":"Thomas E."},{"family":"Collins","given":"Anita M."}],"accessed":{"date-parts":[["2020",3,21]]},"issued":{"date-parts":[["1987",1,1]]}}}],"schema":"https://github.com/citation-style-language/schema/raw/master/csl-citation.json"} </w:instrText>
      </w:r>
      <w:r w:rsidR="00416CC9" w:rsidRPr="00DA249F">
        <w:rPr>
          <w:rStyle w:val="eop"/>
          <w:lang w:val="en-GB"/>
        </w:rPr>
        <w:fldChar w:fldCharType="separate"/>
      </w:r>
      <w:r w:rsidR="00144D96" w:rsidRPr="00144D96">
        <w:t>(Pesante et al., 1987)</w:t>
      </w:r>
      <w:r w:rsidR="00416CC9" w:rsidRPr="00DA249F">
        <w:rPr>
          <w:rStyle w:val="eop"/>
          <w:lang w:val="en-GB"/>
        </w:rPr>
        <w:fldChar w:fldCharType="end"/>
      </w:r>
      <w:r w:rsidR="00416CC9" w:rsidRPr="00DA249F">
        <w:rPr>
          <w:rStyle w:val="eop"/>
          <w:lang w:val="en-GB"/>
        </w:rPr>
        <w:t xml:space="preserve">, which may have contributed to its spread in the Americas to the detriment of native pollinators </w:t>
      </w:r>
      <w:r w:rsidR="00416CC9" w:rsidRPr="00DA249F">
        <w:rPr>
          <w:rStyle w:val="eop"/>
          <w:lang w:val="en-GB"/>
        </w:rPr>
        <w:fldChar w:fldCharType="begin"/>
      </w:r>
      <w:r w:rsidR="00331A79">
        <w:rPr>
          <w:rStyle w:val="eop"/>
          <w:lang w:val="en-GB"/>
        </w:rPr>
        <w:instrText xml:space="preserve"> ADDIN ZOTERO_ITEM CSL_CITATION {"citationID":"RngxYtdP","properties":{"formattedCitation":"(G. M. Santos et al., 2012)","plainCitation":"(G. M. Santos et al., 2012)","dontUpdate":true,"noteIndex":0},"citationItems":[{"id":21836,"uris":["http://zotero.org/groups/2352922/items/2Y94BESN"],"itemData":{"id":21836,"type":"article-journal","abstract":"The Africanized honeybee Apis mellifera (AHB) is an invasive species spread over all Brazilian biomes, which has negative impacts on native bee populations, but whose impacts on native plants are still controversial. In order to understand how its impacts extend to the pollination service at the community level, we studied the AHB and its interactions in a multi-species context using network theory. We analyzed six pollination networks from the Brazilian Caatinga, a xeric biome where beekeeping is increasing very quickly. The AHB occupied a central position in all networks, as it was responsible for a large share of the interactions observed (14 ± 7 %) and bound together different modules. By simulating the removal of the AHB from each network, we observed no effects on connectance, but a strong decrease in nestedness (−23 ± 19 %) and an increase in modularity (8 ± 5 %). The robustness of networks to cumulative random extinctions was on average not affected. In summary, our evidence points out that the AHB induces significant changes in the structure of native pollination networks, mainly by making them more cohesive and monopolizing many interactions. Although the AHB did not affect network robustness, its net impact on the pollination service may be negative, because this invasive species is very generalistic and may not be an efficient pollinator for some native plants.","container-title":"Biological Invasions","DOI":"10.1007/s10530-012-0235-8","ISSN":"1573-1464","issue":"11","journalAbbreviation":"Biol Invasions","language":"en","page":"2369-2378","source":"Springer Link","title":"Invasive Africanized honeybees change the structure of native pollination networks in Brazil","URL":"https://doi.org/10.1007/s10530-012-0235-8","volume":"14","author":[{"family":"Santos","given":"Gilberto M."},{"family":"Aguiar","given":"Cândida M. L."},{"family":"Genini","given":"Julieta"},{"family":"Martins","given":"Celso F."},{"family":"Zanella","given":"Fernando C. V."},{"family":"Mello","given":"Marco A. R."}],"accessed":{"date-parts":[["2020",3,21]]},"issued":{"date-parts":[["2012",11,1]]}}}],"schema":"https://github.com/citation-style-language/schema/raw/master/csl-citation.json"} </w:instrText>
      </w:r>
      <w:r w:rsidR="00416CC9" w:rsidRPr="00DA249F">
        <w:rPr>
          <w:rStyle w:val="eop"/>
          <w:lang w:val="en-GB"/>
        </w:rPr>
        <w:fldChar w:fldCharType="separate"/>
      </w:r>
      <w:r w:rsidR="00416CC9" w:rsidRPr="00DA249F">
        <w:rPr>
          <w:lang w:val="en-GB"/>
        </w:rPr>
        <w:t>(Santos et al., 2012)</w:t>
      </w:r>
      <w:r w:rsidR="00416CC9" w:rsidRPr="00DA249F">
        <w:rPr>
          <w:rStyle w:val="eop"/>
          <w:lang w:val="en-GB"/>
        </w:rPr>
        <w:fldChar w:fldCharType="end"/>
      </w:r>
      <w:r w:rsidR="00416CC9" w:rsidRPr="00DA249F">
        <w:rPr>
          <w:rStyle w:val="eop"/>
          <w:lang w:val="en-GB"/>
        </w:rPr>
        <w:t>.</w:t>
      </w:r>
      <w:r w:rsidR="006F02BA" w:rsidRPr="00DA249F">
        <w:rPr>
          <w:rStyle w:val="eop"/>
          <w:lang w:val="en-GB"/>
        </w:rPr>
        <w:t xml:space="preserve"> </w:t>
      </w:r>
    </w:p>
    <w:p w14:paraId="481548A3" w14:textId="77777777" w:rsidR="003E3152" w:rsidRPr="00DA249F" w:rsidRDefault="008C1BF7" w:rsidP="0090109B">
      <w:pPr>
        <w:rPr>
          <w:lang w:val="en-GB"/>
        </w:rPr>
      </w:pPr>
      <w:r w:rsidRPr="00DA249F">
        <w:rPr>
          <w:rStyle w:val="normaltextrun"/>
          <w:lang w:val="en-GB"/>
        </w:rPr>
        <w:fldChar w:fldCharType="begin"/>
      </w:r>
      <w:r w:rsidR="00331A79">
        <w:rPr>
          <w:rStyle w:val="normaltextrun"/>
          <w:lang w:val="en-GB"/>
        </w:rPr>
        <w:instrText xml:space="preserve"> ADDIN ZOTERO_ITEM CSL_CITATION {"citationID":"SgyfP5Qk","properties":{"formattedCitation":"(e.g. rapeseed, Pessel et al. 2001)","plainCitation":"(e.g. rapeseed, Pessel et al. 2001)","dontUpdate":true,"noteIndex":0},"citationItems":[{"id":24164,"uris":["http://zotero.org/groups/2352922/items/D3UCASLX"],"itemData":{"id":24164,"type":"article-journal","abstract":"It is widely assumed that most cultivated plants cannot persist in natural or semi-natural habitats. Most people thus assume that the plants growing outside of fields (in particular oilseed rape along roadsides) find their origins in the current or previous year’s cultivation of that crop. One consequence of this assumption is that the identity of plants growing on road verges is thought to reflect one of the cultivars currently or recently cultivated, while another consequence is the widespread belief that transgenic plants can be simply managed and controlled by stopping their cultivation. Our work shows that this assumption is false. We identify relict plants of a now unmarketable cultivar type of oilseed rape which have persisted in a semi-natural habitat (road verges) for at least 8 years according to farmer surveys in the studied area. More generally, we confirm that the dynamics of the feral oilseed rape plants of road verges is more complex than those resulting from spillage from agricultural machines or from neighbouring arable fields cultivated the previous year. Within the scope of transgenic oilseed rape cultivation, these results suggest that more studies on the dynamics of feral oilseed rape are needed in order to assess more precisely the risks of its invasiveness and its potential impact on genetic pollution between GM fields and non-GM fields.","container-title":"Theoretical and Applied Genetics","DOI":"10.1007/s001220100583","ISSN":"1432-2242","issue":"6","journalAbbreviation":"Theor Appl Genet","language":"en","page":"841-846","source":"Springer Link","title":"Persistence of oilseed rape (&lt;i&gt;Brassica napus&lt;/i&gt; L.) outside of cultivated fields","URL":"https://doi.org/10.1007/s001220100583","volume":"102","author":[{"family":"Pessel","given":"D."},{"family":"Lecomte","given":"J."},{"family":"Emeriau","given":"V."},{"family":"Krouti","given":"M."},{"family":"Messean","given":"A."},{"family":"Gouyon","given":"P. H."}],"accessed":{"date-parts":[["2019",11,18]]},"issued":{"date-parts":[["2001",5,1]]}},"prefix":"e.g. rapeseed, "}],"schema":"https://github.com/citation-style-language/schema/raw/master/csl-citation.json"} </w:instrText>
      </w:r>
      <w:r w:rsidRPr="00DA249F">
        <w:rPr>
          <w:rStyle w:val="normaltextrun"/>
          <w:lang w:val="en-GB"/>
        </w:rPr>
        <w:fldChar w:fldCharType="end"/>
      </w:r>
      <w:r w:rsidRPr="00DA249F">
        <w:rPr>
          <w:rStyle w:val="normaltextrun"/>
          <w:lang w:val="en-GB"/>
        </w:rPr>
        <w:t xml:space="preserve">Cultivating genetically modified crops may also indirectly favour the spread of invasive </w:t>
      </w:r>
      <w:r w:rsidR="00136347" w:rsidRPr="00DA249F">
        <w:rPr>
          <w:rStyle w:val="normaltextrun"/>
          <w:lang w:val="en-GB"/>
        </w:rPr>
        <w:t xml:space="preserve">alien </w:t>
      </w:r>
      <w:r w:rsidR="006B5FA4" w:rsidRPr="00DA249F">
        <w:rPr>
          <w:rStyle w:val="normaltextrun"/>
          <w:lang w:val="en-GB"/>
        </w:rPr>
        <w:t xml:space="preserve">pests and </w:t>
      </w:r>
      <w:r w:rsidRPr="00DA249F">
        <w:rPr>
          <w:rStyle w:val="normaltextrun"/>
          <w:lang w:val="en-GB"/>
        </w:rPr>
        <w:t>pathogens; for example, the invasive tomato</w:t>
      </w:r>
      <w:r w:rsidR="00B01FF1" w:rsidRPr="00DA249F">
        <w:rPr>
          <w:rStyle w:val="normaltextrun"/>
          <w:lang w:val="en-GB"/>
        </w:rPr>
        <w:t xml:space="preserve"> </w:t>
      </w:r>
      <w:r w:rsidRPr="00DA249F">
        <w:rPr>
          <w:rStyle w:val="normaltextrun"/>
          <w:lang w:val="en-GB"/>
        </w:rPr>
        <w:t>moth</w:t>
      </w:r>
      <w:r w:rsidR="00424B89">
        <w:rPr>
          <w:rStyle w:val="normaltextrun"/>
          <w:lang w:val="en-GB"/>
        </w:rPr>
        <w:t xml:space="preserve">, </w:t>
      </w:r>
      <w:r w:rsidRPr="00DA249F">
        <w:rPr>
          <w:rStyle w:val="normaltextrun"/>
          <w:i/>
          <w:iCs/>
          <w:lang w:val="en-GB"/>
        </w:rPr>
        <w:t>Tuta </w:t>
      </w:r>
      <w:r w:rsidRPr="00DA249F">
        <w:rPr>
          <w:rStyle w:val="spellingerror"/>
          <w:i/>
          <w:iCs/>
          <w:lang w:val="en-GB"/>
        </w:rPr>
        <w:t>absoluta</w:t>
      </w:r>
      <w:r w:rsidR="006A6894" w:rsidRPr="00DA249F">
        <w:rPr>
          <w:rStyle w:val="normaltextrun"/>
          <w:i/>
          <w:iCs/>
          <w:lang w:val="en-GB"/>
        </w:rPr>
        <w:t xml:space="preserve"> </w:t>
      </w:r>
      <w:r w:rsidR="006A6894" w:rsidRPr="00DA249F">
        <w:rPr>
          <w:rStyle w:val="normaltextrun"/>
          <w:iCs/>
          <w:lang w:val="en-GB"/>
        </w:rPr>
        <w:t>(</w:t>
      </w:r>
      <w:r w:rsidR="002556D6" w:rsidRPr="00DA249F">
        <w:rPr>
          <w:rStyle w:val="normaltextrun"/>
          <w:lang w:val="en-GB"/>
        </w:rPr>
        <w:t>tomato leafminer</w:t>
      </w:r>
      <w:r w:rsidR="006A6894" w:rsidRPr="00DA249F">
        <w:rPr>
          <w:rStyle w:val="normaltextrun"/>
          <w:lang w:val="en-GB"/>
        </w:rPr>
        <w:t>)</w:t>
      </w:r>
      <w:r w:rsidR="00424B89">
        <w:rPr>
          <w:rStyle w:val="normaltextrun"/>
          <w:lang w:val="en-GB"/>
        </w:rPr>
        <w:t>,</w:t>
      </w:r>
      <w:r w:rsidRPr="00DA249F">
        <w:rPr>
          <w:rStyle w:val="normaltextrun"/>
          <w:lang w:val="en-GB"/>
        </w:rPr>
        <w:t xml:space="preserve"> has been found to establish and spread rapidly in farms planted with genetically modified tomato</w:t>
      </w:r>
      <w:r w:rsidR="00D75861" w:rsidRPr="00DA249F">
        <w:rPr>
          <w:rStyle w:val="normaltextrun"/>
          <w:lang w:val="en-GB"/>
        </w:rPr>
        <w:t xml:space="preserve"> </w:t>
      </w:r>
      <w:r w:rsidR="00873D56" w:rsidRPr="00DA249F">
        <w:rPr>
          <w:rStyle w:val="normaltextrun"/>
          <w:lang w:val="en-GB"/>
        </w:rPr>
        <w:t>cultivars</w:t>
      </w:r>
      <w:r w:rsidRPr="00DA249F">
        <w:rPr>
          <w:rStyle w:val="normaltextrun"/>
          <w:lang w:val="en-GB"/>
        </w:rPr>
        <w:t xml:space="preserve">, </w:t>
      </w:r>
      <w:r w:rsidR="003302C9" w:rsidRPr="00DA249F">
        <w:rPr>
          <w:rStyle w:val="normaltextrun"/>
          <w:lang w:val="en-GB"/>
        </w:rPr>
        <w:t>whereas</w:t>
      </w:r>
      <w:r w:rsidRPr="00DA249F">
        <w:rPr>
          <w:rStyle w:val="normaltextrun"/>
          <w:lang w:val="en-GB"/>
        </w:rPr>
        <w:t xml:space="preserve"> </w:t>
      </w:r>
      <w:r w:rsidR="002D6ECA" w:rsidRPr="00DA249F">
        <w:rPr>
          <w:rStyle w:val="normaltextrun"/>
          <w:lang w:val="en-GB"/>
        </w:rPr>
        <w:t>traditiona</w:t>
      </w:r>
      <w:r w:rsidR="00243B93" w:rsidRPr="00DA249F">
        <w:rPr>
          <w:rStyle w:val="normaltextrun"/>
          <w:lang w:val="en-GB"/>
        </w:rPr>
        <w:t>lly bred cultivars</w:t>
      </w:r>
      <w:r w:rsidRPr="00DA249F">
        <w:rPr>
          <w:rStyle w:val="normaltextrun"/>
          <w:lang w:val="en-GB"/>
        </w:rPr>
        <w:t xml:space="preserve"> have been </w:t>
      </w:r>
      <w:r w:rsidR="00682F41" w:rsidRPr="00DA249F">
        <w:rPr>
          <w:rStyle w:val="normaltextrun"/>
          <w:lang w:val="en-GB"/>
        </w:rPr>
        <w:t xml:space="preserve">shown </w:t>
      </w:r>
      <w:r w:rsidRPr="00DA249F">
        <w:rPr>
          <w:rStyle w:val="normaltextrun"/>
          <w:lang w:val="en-GB"/>
        </w:rPr>
        <w:t xml:space="preserve">to be resistant to this pest </w:t>
      </w:r>
      <w:r w:rsidRPr="00DA249F">
        <w:rPr>
          <w:rStyle w:val="normaltextrun"/>
          <w:lang w:val="en-GB"/>
        </w:rPr>
        <w:fldChar w:fldCharType="begin"/>
      </w:r>
      <w:r w:rsidR="00331A79">
        <w:rPr>
          <w:rStyle w:val="normaltextrun"/>
          <w:lang w:val="en-GB"/>
        </w:rPr>
        <w:instrText xml:space="preserve"> ADDIN ZOTERO_ITEM CSL_CITATION {"citationID":"NsfFO9sJ","properties":{"formattedCitation":"(Rakha et al., 2017)","plainCitation":"(Rakha et al., 2017)","noteIndex":0},"citationItems":[{"id":16166,"uris":["http://zotero.org/groups/2352922/items/PPCE67KI"],"itemData":{"id":16166,"type":"article-journal","abstract":"The tomato leaf miner (Tuta absoluta) is a serious pest of tomato (Solanum lycopersicum) in the tropics and subtropics. Previous World Vegetable Center studies identified selected accessions of S. galapagense, S. cheesmaniae and S. pimpinellifolium that were resistant to whitefly (Bemisia tabaci Genn.) and spider mite (Tetranychus urticae Koch). Here, we evaluated these accessions for resistance to T. absoluta based on the number of eggs from choice bioassays, and larval mortality and adults emerged percentages in no-choice feeding bioassays at WorldVeg Eastern and Southern Africa (WorldVeg) and the International Centre for Insect Physiology and Ecology (icipe). At WorldVeg, S. galapagense VI063177 exhibited high resistance in both choice and no-choice bioassays. There was strong negative correlation between larval mortality and adults emerged percentages in the no-choice feeding bioassays. Results from the icipe experiments were consistent with those of the WorldVeg screening, except for S. pimpinellifolium accession VI030462, which was susceptible at icipe. Tuta absoluta is rapidly spreading and the resistance sources reported here will be valuable in breeding tomato varieties resistant to this insect and others.","container-title":"Plant Breeding","DOI":"10.1111/pbr.12503","ISSN":"1439-0523","issue":"4","language":"en","license":"© 2017 The Authors. Plant Breeding Published by Blackwell Verlag GmbH","page":"562-568","source":"Wiley Online Library","title":"Screening recently identified whitefly/spider mite-resistant wild tomato accessions for resistance to &lt;i&gt;Tuta absoluta&lt;/i&gt;","URL":"https://onlinelibrary.wiley.com/doi/abs/10.1111/pbr.12503","volume":"136","author":[{"family":"Rakha","given":"Mohamed"},{"family":"Zekeya","given":"Never"},{"family":"Sevgan","given":"Subramanian"},{"family":"Musembi","given":"Muia"},{"family":"Ramasamy","given":"Srinivasan"},{"family":"Hanson","given":"Peter"}],"accessed":{"date-parts":[["2019",11,19]]},"issued":{"date-parts":[["2017"]]}}}],"schema":"https://github.com/citation-style-language/schema/raw/master/csl-citation.json"} </w:instrText>
      </w:r>
      <w:r w:rsidRPr="00DA249F">
        <w:rPr>
          <w:rStyle w:val="normaltextrun"/>
          <w:lang w:val="en-GB"/>
        </w:rPr>
        <w:fldChar w:fldCharType="separate"/>
      </w:r>
      <w:r w:rsidR="00144D96" w:rsidRPr="00144D96">
        <w:t>(Rakha et al., 2017)</w:t>
      </w:r>
      <w:r w:rsidRPr="00DA249F">
        <w:rPr>
          <w:rStyle w:val="normaltextrun"/>
          <w:lang w:val="en-GB"/>
        </w:rPr>
        <w:fldChar w:fldCharType="end"/>
      </w:r>
      <w:r w:rsidR="00891956" w:rsidRPr="00DA249F">
        <w:rPr>
          <w:rStyle w:val="normaltextrun"/>
          <w:lang w:val="en-GB"/>
        </w:rPr>
        <w:t>.</w:t>
      </w:r>
      <w:r w:rsidR="00E62D81" w:rsidRPr="00DA249F">
        <w:rPr>
          <w:rStyle w:val="normaltextrun"/>
          <w:lang w:val="en-GB"/>
        </w:rPr>
        <w:t xml:space="preserve"> As an example of how a</w:t>
      </w:r>
      <w:r w:rsidR="5DAAB96C" w:rsidRPr="00DA249F">
        <w:rPr>
          <w:rFonts w:eastAsia="Calibri"/>
          <w:lang w:val="en-GB"/>
        </w:rPr>
        <w:t>r</w:t>
      </w:r>
      <w:r w:rsidR="00E62D81" w:rsidRPr="00DA249F">
        <w:rPr>
          <w:rFonts w:eastAsia="Calibri"/>
          <w:lang w:val="en-GB"/>
        </w:rPr>
        <w:t xml:space="preserve">tificial selection may </w:t>
      </w:r>
      <w:r w:rsidR="00BE6CAC" w:rsidRPr="00DA249F">
        <w:rPr>
          <w:rFonts w:eastAsia="Calibri"/>
          <w:lang w:val="en-GB"/>
        </w:rPr>
        <w:t>indirectly favour vertebrate invasions</w:t>
      </w:r>
      <w:r w:rsidR="5DAAB96C" w:rsidRPr="00DA249F">
        <w:rPr>
          <w:rFonts w:eastAsia="Calibri"/>
          <w:lang w:val="en-GB"/>
        </w:rPr>
        <w:t>, intensive artificial selection ha</w:t>
      </w:r>
      <w:r w:rsidR="28970784" w:rsidRPr="00DA249F">
        <w:rPr>
          <w:rFonts w:eastAsia="Calibri"/>
          <w:lang w:val="en-GB"/>
        </w:rPr>
        <w:t xml:space="preserve">s </w:t>
      </w:r>
      <w:r w:rsidR="5DAAB96C" w:rsidRPr="00DA249F">
        <w:rPr>
          <w:rFonts w:eastAsia="Calibri"/>
          <w:lang w:val="en-GB"/>
        </w:rPr>
        <w:t xml:space="preserve">increased the fecundity of domestic pigs, so that hybridization and admixture between populations of domesticated pigs and wild boar have been associated with feral swine genotypes with higher fitness and hence more likely to establish and spread in natural ecosystems </w:t>
      </w:r>
      <w:r w:rsidR="3587AB24" w:rsidRPr="00DA249F">
        <w:rPr>
          <w:rFonts w:eastAsia="Calibri"/>
          <w:lang w:val="en-GB"/>
        </w:rPr>
        <w:t>beyond</w:t>
      </w:r>
      <w:r w:rsidR="00923D4A" w:rsidRPr="00DA249F">
        <w:rPr>
          <w:rFonts w:eastAsia="Calibri"/>
          <w:lang w:val="en-GB"/>
        </w:rPr>
        <w:t xml:space="preserve"> the species’ range </w:t>
      </w:r>
      <w:r w:rsidR="5DAAB96C" w:rsidRPr="00DA249F">
        <w:rPr>
          <w:rFonts w:eastAsia="Calibri"/>
          <w:lang w:val="en-GB"/>
        </w:rPr>
        <w:t>in Europe</w:t>
      </w:r>
      <w:r w:rsidR="5CBF79F3" w:rsidRPr="00DA249F">
        <w:rPr>
          <w:rFonts w:eastAsia="Calibri"/>
          <w:lang w:val="en-GB"/>
        </w:rPr>
        <w:t xml:space="preserve"> </w:t>
      </w:r>
      <w:r w:rsidR="5DAAB96C" w:rsidRPr="00DA249F">
        <w:rPr>
          <w:rStyle w:val="normaltextrun"/>
          <w:lang w:val="en-GB"/>
        </w:rPr>
        <w:fldChar w:fldCharType="begin"/>
      </w:r>
      <w:r w:rsidR="00331A79">
        <w:rPr>
          <w:rStyle w:val="normaltextrun"/>
          <w:lang w:val="en-GB"/>
        </w:rPr>
        <w:instrText xml:space="preserve"> ADDIN ZOTERO_ITEM CSL_CITATION {"citationID":"fQecqKQp","properties":{"formattedCitation":"(Canu et al., 2018; Fulgione et al., 2016; Goedbloed et al., 2013)","plainCitation":"(Canu et al., 2018; Fulgione et al., 2016; Goedbloed et al., 2013)","noteIndex":0},"citationItems":[{"id":16163,"uris":["http://zotero.org/groups/2352922/items/HDUDL8AI"],"itemData":{"id":16163,"type":"article-journal","abstract":"Present-day genetic introgression from domestic pigs into European wild boar has been suggested in various studies. However, no hybrids have been identified beyond doubt mainly because available methods were unable to quantify the extent of introgression and rule out natural processes. Genetic introgression from domestic pigs may have far-reaching ecological consequences by altering traits like the reproduction rate or immunology of wild boar. In this study, we demonstrate a novel approach to investigate genetic introgression in a Northwest (NW) European wild boar data set using a genome-wide single nucleotide polymorphism (SNP) assay developed for domestic pigs. We quantified the extent of introgression using allele frequency spectrum analysis, in silico hybridization simulations and genome distribution patterns of introgressed SNPs. Levels of recent introgression in the study area were expected to be low, as pig farming practices are prevailingly intensive and indoors. However, evidence was found for geographically widespread presence of domestic pig SNPs in 10% of analysed wild boar. This was supported by the identification of two different pig mitochondrial DNA haplotypes in three of the identified hybrid wild boar, suggesting that introgression had occurred from multiple sources (pig breeds). In silico hybridization simulations showed that the level of introgression in the identified hybrid wild boar is equivalent to first-generation hybrids until fifth-generation backcrosses with wild boar. The distribution pattern of introgressed SNPs supported these assignments in four of nine hybrids. The other five hybrids are considered advanced-generation hybrids, resulting from interbreeding among hybrid individuals. Three of nine hybrids were genetically associated with a different wild boar population than the one in which they were sampled. This discrepancy suggests that genetic introgression has occurred through the escape or release of an already hybridized farmed wild boar stock. We conclude that genetic introgression from domestic pigs into NW European wild boar populations is more recent and more common than expected and that genome-wide SNP analysis is a promising tool to quantify recent hybridization in free-living populations.","container-title":"Molecular Ecology","DOI":"10.1111/j.1365-294X.2012.05670.x","ISSN":"1365-294X","issue":"3","language":"en","license":"© 2012 Blackwell Publishing Ltd","page":"856-866","source":"Wiley Online Library","title":"Genome-wide single nucleotide polymorphism analysis reveals recent genetic introgression from domestic pigs into Northwest European wild boar populat</w:instrText>
      </w:r>
      <w:r w:rsidR="00331A79">
        <w:rPr>
          <w:rStyle w:val="normaltextrun"/>
          <w:rFonts w:hint="eastAsia"/>
          <w:lang w:val="en-GB"/>
        </w:rPr>
        <w:instrText>ions","URL":"https://onlinelibrary.wiley.com/doi/abs/10.1111/j.1365-294X.2012.05670.x","volume":"22","author":[{"family":"Goedbloed","given":"D. J."},{"family":"Megens","given":"H. J."},{"family":"Hooft","given":"P. Van"},{"family":"Herrero</w:instrText>
      </w:r>
      <w:r w:rsidR="00331A79">
        <w:rPr>
          <w:rStyle w:val="normaltextrun"/>
          <w:rFonts w:hint="eastAsia"/>
          <w:lang w:val="en-GB"/>
        </w:rPr>
        <w:instrText>‐</w:instrText>
      </w:r>
      <w:r w:rsidR="00331A79">
        <w:rPr>
          <w:rStyle w:val="normaltextrun"/>
          <w:rFonts w:hint="eastAsia"/>
          <w:lang w:val="en-GB"/>
        </w:rPr>
        <w:instrText>Medrano","give</w:instrText>
      </w:r>
      <w:r w:rsidR="00331A79">
        <w:rPr>
          <w:rStyle w:val="normaltextrun"/>
          <w:lang w:val="en-GB"/>
        </w:rPr>
        <w:instrText xml:space="preserve">n":"J. M."},{"family":"Lutz","given":"W."},{"family":"Alexandri","given":"P."},{"family":"Crooijmans","given":"R. P. M. A."},{"family":"Groenen","given":"M."},{"family":"Wieren","given":"S. E. Van"},{"family":"Ydenberg","given":"R. C."},{"family":"Prins","given":"H. H. T."}],"accessed":{"date-parts":[["2019",11,19]]},"issued":{"date-parts":[["2013"]]}}},{"id":16161,"uris":["http://zotero.org/groups/2352922/items/TDKLVYPF"],"itemData":{"id":16161,"type":"article-journal","abstract":"Artificial selection affects phenotypes differently by natural selection. Domestic traits, which pass into the wild, are usually negatively selected. Yet, exceptionally, this axiom may fail to apply if genes, from the domestic animals, increase fertility in the wild. We studied a rare case of a wild boar population under the framework of Wright's interdemic selection model, which could explain gene flow between wild boar and pig, both considered as demes. We analysed the MC1R gene and microsatellite neutral loci in 62 pregnant wild boars as markers of hybridization, and we correlated nucleotide mutations on MC1R (which are common in domestic breeds) to litter size, as an evaluation of fitness in wild sow. Regardless of body size and phyletic effects, wild boar sows bearing nonsynonymous MC1R mutations produced larger litters. This directly suggests that artificially selected traits reaching wild populations, through interdemic gene flow, could bypass natural selection if and only if they increase the fitness in the wild.","container-title":"Evolutionary Applications","DOI":"10.1111/eva.12383","ISSN":"1752-4571","issue":"6","language":"en","license":"© 2016 The Authors. Evolutionary Applications published by John Wiley &amp; Sons Ltd.","page":"769-776","source":"Wiley Online Library","title":"Unexpected but welcome. Artificially selected traits may increase fitness in wild boar","URL":"https://onlinelibrary.wiley.com/doi/abs/10.1111/eva.12383","volume":"9","author":[{"family":"Fulgione","given":"Domenico"},{"family":"Rippa","given":"Daniela"},{"family":"Buglione","given":"Maria"},{"family":"Trapanese","given":"Martina"},{"family":"Petrelli","given":"Simona"},{"family":"Maselli","given":"Valeria"}],"accessed":{"date-parts":[["2019",11,19]]},"issued":{"date-parts":[["2016"]]}}},{"id":16162,"uris":["http://zotero.org/groups/2352922/items/PAMPFQ3D"],"itemData":{"id":16162,"type":"article-journal","abstract":"Introduced invasive species such as the wild boar (Sus scrofa) represent a huge threat to the biodiversity of small islands, in that they may lead to ecological disequilibria and taxa extinctions. Additionally, if introduced populations with an alien or admixed genetic origin disperse from islands, they may jeopardize the endemic genetic diversity of mainland conspecifics through introgressive hybridization. Despite past hybridization with local domestic pigs and introduced continental wild boar, the wild boar population of Sardinia (Italy) maintained a significant amount of genomic diversity and was thus classified as a distinct subspecies (Sus scrofa meridionalis) as it clustered separately from all other European S. scrofa. In the past few decades, however, wild boar populations of uncertain origin have appeared on three islands off the Sardinian coast. We accordingly investigated the genetic composition of these three island wild boar populations by using a panel of 16 autosomal microsatellites and a reference dataset including domestic pig and wild boar populations from Sardinia, mainland Italy and other European regions, in order to reconstruct the history of each colonization and the possible origin of colonizers. The genetic make-up of the three populations was found to diverge from that of Sardinia to such an extent that they could not be classified as Sardinian wild boar. In fact, their genome bore traces of multiple introductions from different source populations, as well as introgression from the domestic pig, followed by the effects of relative isolation and genetic drift. Thus, besides impacting on island biodiversity and human activities, these admixed populations can represent a threat to the endemic subspecies (S. s. meridionalis) inhabiting the major island on account of their proximity to the Sardinian coasts. We thereby argue for a strict control of these populations or, whereby feasible, their eradication.","container-title":"Mammalian Biology","DOI":"10.1016/j.mambio.2018.07.008","ISSN":"1616-5047","journalAbbreviation":"Mammalian Biology","language":"en","page":"29-37","source":"ScienceDirect","title":"Unmasking the invader: Genetic identity of invasive wild boar from three minor islands off Sardinia (Italy)","title-short":"Unmasking the invader","URL":"http://www.sciencedirect.com/science/article/pii/S1616504717303907","volume":"93","author":[{"family":"Canu","given":"Antonio"},{"family":"Apollonio","given":"Marco"},{"family":"Scandura","given":"Massimo"}],"accessed":{"date-parts":[["2019",11,19]]},"issued":{"date-parts":[["2018",11,1]]}}}],"schema":"https://github.com/citation-style-language/schema/raw/master/csl-citation.json"} </w:instrText>
      </w:r>
      <w:r w:rsidR="5DAAB96C" w:rsidRPr="00DA249F">
        <w:rPr>
          <w:rStyle w:val="normaltextrun"/>
          <w:lang w:val="en-GB"/>
        </w:rPr>
        <w:fldChar w:fldCharType="separate"/>
      </w:r>
      <w:r w:rsidR="00144D96" w:rsidRPr="00144D96">
        <w:t>(Canu et al., 2018; Fulgione et al., 2016; Goedbloed et al., 2013)</w:t>
      </w:r>
      <w:r w:rsidR="5DAAB96C" w:rsidRPr="00DA249F">
        <w:rPr>
          <w:rStyle w:val="normaltextrun"/>
          <w:lang w:val="en-GB"/>
        </w:rPr>
        <w:fldChar w:fldCharType="end"/>
      </w:r>
      <w:r w:rsidR="00A81F76" w:rsidRPr="00DA249F">
        <w:rPr>
          <w:rStyle w:val="normaltextrun"/>
          <w:lang w:val="en-GB"/>
        </w:rPr>
        <w:t>,</w:t>
      </w:r>
      <w:r w:rsidR="5DAAB96C" w:rsidRPr="00DA249F">
        <w:rPr>
          <w:rStyle w:val="normaltextrun"/>
          <w:lang w:val="en-GB"/>
        </w:rPr>
        <w:t xml:space="preserve"> North America </w:t>
      </w:r>
      <w:r w:rsidR="5DAAB96C" w:rsidRPr="00DA249F">
        <w:rPr>
          <w:lang w:val="en-GB"/>
        </w:rPr>
        <w:fldChar w:fldCharType="begin"/>
      </w:r>
      <w:r w:rsidR="00331A79">
        <w:rPr>
          <w:lang w:val="en-GB"/>
        </w:rPr>
        <w:instrText xml:space="preserve"> ADDIN ZOTERO_ITEM CSL_CITATION {"citationID":"kFgn3iWz","properties":{"formattedCitation":"(Smyser et al., 2020)","plainCitation":"(Smyser et al., 2020)","noteIndex":0},"citationItems":[{"id":21985,"uris":["http://zotero.org/groups/2352922/items/X5RGGVS6"],"itemData":{"id":21985,"type":"article-journal","abstract":"Invasive alien species are a significant threat to both economic and ecological systems. Identifying the processes that give rise to invasive populations is essential for implementing effective control strategies. We conducted an ancestry analysis of invasive feral swine (Sus scrofa, Linnaeus, 1758), a highly destructive ungulate that is widely distributed throughout the contiguous United States, to describe introduction pathways, sources of newly emergent populations and processes contributing to an ongoing invasion. Comparisons of high-density single nucleotide polymorphism genotypes for 6,566 invasive feral swine to a comprehensive reference set of S. scrofa revealed that the vast majority of feral swine were of mixed ancestry, with dominant genetic associations to Western heritage breeds of domestic pig and European populations of wild boar. Further, the rapid expansion of invasive feral swine over the past 30 years was attributable to secondary introductions from established populations of admixed ancestry as opposed to direct introductions of domestic breeds or wild boar. Spatially widespread genetic associations of invasive feral swine to European wild boar deviated strongly from historical S. scrofa introduction pressure, which was largely restricted to domestic pigs with infrequent, localized wild boar releases. The deviation between historical introduction pressure and contemporary genetic ancestry suggests wild boar-hybridization may contribute to differential fitness in the environment and heightened invasive potential for individuals of admixed domestic pig–wild boar ancestry.","container-title":"Molecular Ecology","DOI":"10.1111/mec.15392","ISSN":"1365-294X","issue":"6","language":"en","license":"© 2020 John Wiley &amp; Sons Ltd","note":"_eprint: https://onlinelibrary.wiley.com/doi/pdf/10.1111/mec.15392","page":"1103-1119","source":"Wiley Online Library","title":"Mixed ancestry from wild and domestic lineages contributes to the rapid expansion of invasive feral swine","URL":"https://onlinelibrary.wiley.com/doi/abs/10.1111/mec.15392","volume":"29","author":[{"family":"Smyser","given":"Timothy J."},{"family":"Tabak","given":"Michael A."},{"family":"Slootmaker","given":"Chris"},{"family":"Robeson","given":"Michael S."},{"family":"Miller","given":"Ryan S."},{"family":"Bosse","given":"Mirte"},{"family":"Megens","given":"Hendrik-Jan"},{"family":"Groenen","given":"Martien A. M."},{"family":"Paiva","given":"Samuel Rezende"},{"family":"Faria","given":"Danielle Assis","dropping-particle":"de"},{"family":"Blackburn","given":"Harvey D."},{"family":"Schmit","given":"Brandon S."},{"family":"Piaggio","given":"Antoinette J."}],"accessed":{"date-parts":[["2020",4,4]]},"issued":{"date-parts":[["2020"]]}}}],"schema":"https://github.com/citation-style-language/schema/raw/master/csl-citation.json"} </w:instrText>
      </w:r>
      <w:r w:rsidR="5DAAB96C" w:rsidRPr="00DA249F">
        <w:rPr>
          <w:lang w:val="en-GB"/>
        </w:rPr>
        <w:fldChar w:fldCharType="separate"/>
      </w:r>
      <w:r w:rsidR="00144D96" w:rsidRPr="00144D96">
        <w:t>(Smyser et al., 2020)</w:t>
      </w:r>
      <w:r w:rsidR="5DAAB96C" w:rsidRPr="00DA249F">
        <w:rPr>
          <w:lang w:val="en-GB"/>
        </w:rPr>
        <w:fldChar w:fldCharType="end"/>
      </w:r>
      <w:r w:rsidR="5DAAB96C" w:rsidRPr="00DA249F">
        <w:rPr>
          <w:rStyle w:val="normaltextrun"/>
          <w:lang w:val="en-GB"/>
        </w:rPr>
        <w:t xml:space="preserve"> and South America </w:t>
      </w:r>
      <w:r w:rsidR="5DAAB96C" w:rsidRPr="00DA249F">
        <w:rPr>
          <w:rStyle w:val="normaltextrun"/>
          <w:lang w:val="en-GB"/>
        </w:rPr>
        <w:fldChar w:fldCharType="begin"/>
      </w:r>
      <w:r w:rsidR="00331A79">
        <w:rPr>
          <w:rStyle w:val="normaltextrun"/>
          <w:lang w:val="en-GB"/>
        </w:rPr>
        <w:instrText xml:space="preserve"> ADDIN ZOTERO_ITEM CSL_CITATION {"citationID":"d2lmNk7a","properties":{"formattedCitation":"(S. V. de Oliveira et al., 2018)","plainCitation":"(S. V. de Oliveira et al., 2018)","dontUpdate":true,"noteIndex":0},"citationItems":[{"id":16158,"uris":["http://zotero.org/groups/2352922/items/FDG7QMMC"],"itemData":{"id":16158,"type":"article-journal","abstract":"Introduction: In Brazil, the wild boar is an exotic invasive species that has been reported as a disease reservoir in several parts of the world. The result of crossing a boar with a domestic pig is called, in Brazil, a ´´javaporco´´. In Brazilian territory, boars and javaporco have been recorded serving as food sources for blood-feeding bats (Desmodus rotundus), and the impacts of such interactions on human health are still unknown. Objetive: Characterize attacks by wild boar and javaporco on human, and anti-rabies treatment that follows such accidents. Methods: Reports and epidemiological investigation records of human rabies treatment from 2007 to 2017 stored in the National System of Notifiable Diseases database were analyzed by descriptive epidemiology. Results: 309 attacks - 271 (87%) by wild boar and 38 (12.3%) by javaporco were reported - an increase in the number of reports in the most recent years of the evaluated time series. Attacks occurred in all regions of the country, in 17 Federated Units and in 252 municipalities. Men were most commonly attacked sex (283 - 91.58%), with the most commonly attacked age group being 35 to 49 years (86 - 27.83%), and occupations being wire fence constructor (31 - 10.03%), retired or pensioner (15 - 4.85 %) and student (13 - 4.20%). Single lesions (197 - 63.75%), deep (248 - 80.25%), produced by bite (292 - 94.49%), in the lower limbs (159 - 51.45) were the most recorded. Most of the individuals attacked had no history of anti-rabies treatment (249 - 80.58%), and the treatment indicated was serum plus vaccine (162 - 52.42%). Conclusion: Given the rising profile of the attacks and the geographical expansion of the wild boar's range in Brazil, with the consequent risk of attacks this study has shown, the health authorities should be alert to episodes of aggression, which should be monitored and, after incidents the medical care guidelines of the National Rabies Control Program should be followed.","container-title":"InterAmerican Journal of Medicine and Health","DOI":"10.31005/iajmh.v1i1.19","ISSN":"2595-6647","language":"en","license":"Copyright (c)","page":"e-201801001","source":"iajmh.com","title":"The nature of attacks by wild boar (&lt;i&gt;Sus scrofa&lt;/i&gt;) and wild boar/domestic pig hybrids (&lt;i&gt;´javaporcos´&lt;/i&gt;) and the conduct of anti-rabies care in Brazil","URL":"https://iajmh.com/iajmh/article/view/19","volume":"1","author":[{"family":"Oliveira","given":"Stefan Vilges","dropping-particle":"de"},{"family":"Vargas","given":"Alexander"},{"family":"Rocha","given":"Silene Manrique"},{"family":"Pereira","given":"Lúcia Regina Montebello"},{"family":"Oliveira","given":"Cristian Gollo","dropping-particle":"de"},{"family":"Silva","given":"Virgínia Santiago"}],"accessed":{"date-parts":[["2019",11,19]]},"issued":{"date-parts":[["2018",9,13]]}}}],"schema":"https://github.com/citation-style-language/schema/raw/master/csl-citation.json"} </w:instrText>
      </w:r>
      <w:r w:rsidR="5DAAB96C" w:rsidRPr="00DA249F">
        <w:rPr>
          <w:rStyle w:val="normaltextrun"/>
          <w:lang w:val="en-GB"/>
        </w:rPr>
        <w:fldChar w:fldCharType="separate"/>
      </w:r>
      <w:r w:rsidR="4C7427AD" w:rsidRPr="00DA249F">
        <w:rPr>
          <w:lang w:val="en-GB"/>
        </w:rPr>
        <w:t>(de Oliveira et al., 2018)</w:t>
      </w:r>
      <w:r w:rsidR="5DAAB96C" w:rsidRPr="00DA249F">
        <w:rPr>
          <w:rStyle w:val="normaltextrun"/>
          <w:lang w:val="en-GB"/>
        </w:rPr>
        <w:fldChar w:fldCharType="end"/>
      </w:r>
      <w:r w:rsidR="00923D4A" w:rsidRPr="00DA249F">
        <w:rPr>
          <w:rStyle w:val="normaltextrun"/>
          <w:lang w:val="en-GB"/>
        </w:rPr>
        <w:t>.</w:t>
      </w:r>
    </w:p>
    <w:p w14:paraId="73906A55" w14:textId="4D2CF59E" w:rsidR="008C1BF7" w:rsidRPr="00DA249F" w:rsidRDefault="17E6F11B" w:rsidP="00375B42">
      <w:pPr>
        <w:pStyle w:val="Heading2"/>
        <w:rPr>
          <w:lang w:val="en-GB"/>
        </w:rPr>
      </w:pPr>
      <w:bookmarkStart w:id="135" w:name="_Toc44317810"/>
      <w:r w:rsidRPr="5575EBFC">
        <w:rPr>
          <w:lang w:val="en-GB"/>
        </w:rPr>
        <w:t xml:space="preserve"> </w:t>
      </w:r>
      <w:bookmarkStart w:id="136" w:name="_Toc146898466"/>
      <w:r w:rsidR="3D04D128" w:rsidRPr="5575EBFC">
        <w:rPr>
          <w:lang w:val="en-GB"/>
        </w:rPr>
        <w:t>Policies, governance</w:t>
      </w:r>
      <w:r w:rsidR="009F7404">
        <w:rPr>
          <w:lang w:val="en-GB"/>
        </w:rPr>
        <w:t xml:space="preserve"> and</w:t>
      </w:r>
      <w:r w:rsidR="3D04D128" w:rsidRPr="5575EBFC">
        <w:rPr>
          <w:lang w:val="en-GB"/>
        </w:rPr>
        <w:t xml:space="preserve"> institutions</w:t>
      </w:r>
      <w:bookmarkEnd w:id="135"/>
      <w:bookmarkEnd w:id="136"/>
    </w:p>
    <w:p w14:paraId="064C25E9" w14:textId="4008E23F" w:rsidR="00B96143" w:rsidRPr="00DA249F" w:rsidRDefault="0FABA3A3">
      <w:pPr>
        <w:rPr>
          <w:lang w:val="en-GB"/>
        </w:rPr>
      </w:pPr>
      <w:r w:rsidRPr="728F2DAF">
        <w:rPr>
          <w:lang w:val="en-GB"/>
        </w:rPr>
        <w:t>Policies, governance</w:t>
      </w:r>
      <w:r w:rsidR="009F7404">
        <w:rPr>
          <w:lang w:val="en-GB"/>
        </w:rPr>
        <w:t xml:space="preserve"> and</w:t>
      </w:r>
      <w:r w:rsidRPr="728F2DAF">
        <w:rPr>
          <w:lang w:val="en-GB"/>
        </w:rPr>
        <w:t xml:space="preserve"> institutions underlie </w:t>
      </w:r>
      <w:r w:rsidR="6DD72256" w:rsidRPr="728F2DAF">
        <w:rPr>
          <w:lang w:val="en-GB"/>
        </w:rPr>
        <w:t xml:space="preserve">most </w:t>
      </w:r>
      <w:r w:rsidRPr="728F2DAF">
        <w:rPr>
          <w:lang w:val="en-GB"/>
        </w:rPr>
        <w:t xml:space="preserve">direct and </w:t>
      </w:r>
      <w:r w:rsidR="53FA02A0" w:rsidRPr="728F2DAF">
        <w:rPr>
          <w:lang w:val="en-GB"/>
        </w:rPr>
        <w:t xml:space="preserve">other </w:t>
      </w:r>
      <w:r w:rsidRPr="728F2DAF">
        <w:rPr>
          <w:lang w:val="en-GB"/>
        </w:rPr>
        <w:t xml:space="preserve">indirect </w:t>
      </w:r>
      <w:r w:rsidR="067C1E4A" w:rsidRPr="728F2DAF">
        <w:rPr>
          <w:lang w:val="en-GB"/>
        </w:rPr>
        <w:t>drivers of change in nature</w:t>
      </w:r>
      <w:r w:rsidR="099592E3" w:rsidRPr="728F2DAF">
        <w:rPr>
          <w:lang w:val="en-GB"/>
        </w:rPr>
        <w:t xml:space="preserve"> </w:t>
      </w:r>
      <w:r w:rsidRPr="728F2DAF">
        <w:rPr>
          <w:lang w:val="en-GB"/>
        </w:rPr>
        <w:t xml:space="preserve">in complex ways. For example, economic drivers </w:t>
      </w:r>
      <w:r w:rsidR="2A9C3418" w:rsidRPr="728F2DAF">
        <w:rPr>
          <w:lang w:val="en-GB"/>
        </w:rPr>
        <w:t>(</w:t>
      </w:r>
      <w:r w:rsidR="335FAD6E" w:rsidRPr="728F2DAF">
        <w:rPr>
          <w:b/>
          <w:bCs/>
          <w:lang w:val="en-GB"/>
        </w:rPr>
        <w:t xml:space="preserve">section </w:t>
      </w:r>
      <w:r w:rsidR="2A9C3418" w:rsidRPr="728F2DAF">
        <w:rPr>
          <w:b/>
          <w:bCs/>
          <w:lang w:val="en-GB"/>
        </w:rPr>
        <w:t>3.2.3</w:t>
      </w:r>
      <w:r w:rsidR="2A9C3418" w:rsidRPr="728F2DAF">
        <w:rPr>
          <w:lang w:val="en-GB"/>
        </w:rPr>
        <w:t xml:space="preserve">) </w:t>
      </w:r>
      <w:r w:rsidRPr="728F2DAF">
        <w:rPr>
          <w:lang w:val="en-GB"/>
        </w:rPr>
        <w:t>are strongly linked to policy and institutional drivers, which govern</w:t>
      </w:r>
      <w:r w:rsidR="2076DD20" w:rsidRPr="728F2DAF">
        <w:rPr>
          <w:lang w:val="en-GB"/>
        </w:rPr>
        <w:t xml:space="preserve"> </w:t>
      </w:r>
      <w:r w:rsidRPr="728F2DAF">
        <w:rPr>
          <w:lang w:val="en-GB"/>
        </w:rPr>
        <w:t>production through regulations, taxes and subsidies</w:t>
      </w:r>
      <w:r w:rsidR="6DD72256" w:rsidRPr="728F2DAF">
        <w:rPr>
          <w:lang w:val="en-GB"/>
        </w:rPr>
        <w:t>, and</w:t>
      </w:r>
      <w:r w:rsidR="2B7B69E8" w:rsidRPr="728F2DAF">
        <w:rPr>
          <w:lang w:val="en-GB"/>
        </w:rPr>
        <w:t xml:space="preserve"> </w:t>
      </w:r>
      <w:r w:rsidR="22A30DFC" w:rsidRPr="728F2DAF">
        <w:rPr>
          <w:lang w:val="en-GB"/>
        </w:rPr>
        <w:t xml:space="preserve">affect </w:t>
      </w:r>
      <w:r w:rsidR="2B7B69E8" w:rsidRPr="728F2DAF">
        <w:rPr>
          <w:lang w:val="en-GB"/>
        </w:rPr>
        <w:t>terrestrial, aquatic</w:t>
      </w:r>
      <w:r w:rsidR="009F7404">
        <w:rPr>
          <w:lang w:val="en-GB"/>
        </w:rPr>
        <w:t xml:space="preserve"> and</w:t>
      </w:r>
      <w:r w:rsidRPr="728F2DAF">
        <w:rPr>
          <w:lang w:val="en-GB"/>
        </w:rPr>
        <w:t xml:space="preserve"> </w:t>
      </w:r>
      <w:r w:rsidR="2B7B69E8" w:rsidRPr="728F2DAF">
        <w:rPr>
          <w:lang w:val="en-GB"/>
        </w:rPr>
        <w:t>marine bioproduction system</w:t>
      </w:r>
      <w:r w:rsidR="3534DD03" w:rsidRPr="728F2DAF">
        <w:rPr>
          <w:lang w:val="en-GB"/>
        </w:rPr>
        <w:t>s</w:t>
      </w:r>
      <w:r w:rsidR="099592E3" w:rsidRPr="728F2DAF">
        <w:rPr>
          <w:lang w:val="en-GB"/>
        </w:rPr>
        <w:t>,</w:t>
      </w:r>
      <w:r w:rsidR="36EB895E" w:rsidRPr="728F2DAF">
        <w:rPr>
          <w:lang w:val="en-GB"/>
        </w:rPr>
        <w:t xml:space="preserve"> </w:t>
      </w:r>
      <w:r w:rsidR="22A30DFC" w:rsidRPr="728F2DAF">
        <w:rPr>
          <w:lang w:val="en-GB"/>
        </w:rPr>
        <w:t xml:space="preserve">which </w:t>
      </w:r>
      <w:r w:rsidR="65124986" w:rsidRPr="728F2DAF">
        <w:rPr>
          <w:lang w:val="en-GB"/>
        </w:rPr>
        <w:t>in turn facilitate</w:t>
      </w:r>
      <w:r w:rsidR="5E21248C" w:rsidRPr="728F2DAF">
        <w:rPr>
          <w:lang w:val="en-GB"/>
        </w:rPr>
        <w:t xml:space="preserve"> </w:t>
      </w:r>
      <w:r w:rsidR="65124986" w:rsidRPr="728F2DAF">
        <w:rPr>
          <w:lang w:val="en-GB"/>
        </w:rPr>
        <w:t>biological invasions</w:t>
      </w:r>
      <w:r w:rsidR="3D1CE9D8" w:rsidRPr="728F2DAF">
        <w:rPr>
          <w:lang w:val="en-GB"/>
        </w:rPr>
        <w:t xml:space="preserve"> </w:t>
      </w:r>
      <w:r w:rsidR="528CD6E2" w:rsidRPr="728F2DAF">
        <w:rPr>
          <w:lang w:val="en-GB"/>
        </w:rPr>
        <w:t>(</w:t>
      </w:r>
      <w:r w:rsidR="3534DD03" w:rsidRPr="728F2DAF">
        <w:rPr>
          <w:b/>
          <w:bCs/>
          <w:lang w:val="en-GB"/>
        </w:rPr>
        <w:t xml:space="preserve">section </w:t>
      </w:r>
      <w:r w:rsidR="25913858" w:rsidRPr="728F2DAF">
        <w:rPr>
          <w:b/>
          <w:bCs/>
          <w:lang w:val="en-GB"/>
        </w:rPr>
        <w:t>3.3.1</w:t>
      </w:r>
      <w:r w:rsidR="65124986" w:rsidRPr="728F2DAF">
        <w:rPr>
          <w:lang w:val="en-GB"/>
        </w:rPr>
        <w:t>)</w:t>
      </w:r>
      <w:r w:rsidRPr="728F2DAF">
        <w:rPr>
          <w:lang w:val="en-GB"/>
        </w:rPr>
        <w:t xml:space="preserve">. </w:t>
      </w:r>
      <w:r w:rsidR="11F370E2" w:rsidRPr="728F2DAF">
        <w:rPr>
          <w:lang w:val="en-GB"/>
        </w:rPr>
        <w:t xml:space="preserve">A common thread </w:t>
      </w:r>
      <w:r w:rsidR="6BBCB4A3" w:rsidRPr="728F2DAF">
        <w:rPr>
          <w:lang w:val="en-GB"/>
        </w:rPr>
        <w:t xml:space="preserve">running through many of these </w:t>
      </w:r>
      <w:r w:rsidR="165081C2" w:rsidRPr="728F2DAF">
        <w:rPr>
          <w:lang w:val="en-GB"/>
        </w:rPr>
        <w:t>systems</w:t>
      </w:r>
      <w:r w:rsidR="6BBCB4A3" w:rsidRPr="728F2DAF">
        <w:rPr>
          <w:lang w:val="en-GB"/>
        </w:rPr>
        <w:t xml:space="preserve"> </w:t>
      </w:r>
      <w:r w:rsidR="39C901DC" w:rsidRPr="728F2DAF">
        <w:rPr>
          <w:lang w:val="en-GB"/>
        </w:rPr>
        <w:t xml:space="preserve">is </w:t>
      </w:r>
      <w:r w:rsidR="6BBCB4A3" w:rsidRPr="728F2DAF">
        <w:rPr>
          <w:lang w:val="en-GB"/>
        </w:rPr>
        <w:t xml:space="preserve">that </w:t>
      </w:r>
      <w:r w:rsidR="165081C2" w:rsidRPr="728F2DAF">
        <w:rPr>
          <w:lang w:val="en-GB"/>
        </w:rPr>
        <w:t>policies, governance</w:t>
      </w:r>
      <w:r w:rsidR="009F7404">
        <w:rPr>
          <w:lang w:val="en-GB"/>
        </w:rPr>
        <w:t xml:space="preserve"> and</w:t>
      </w:r>
      <w:r w:rsidR="165081C2" w:rsidRPr="728F2DAF">
        <w:rPr>
          <w:lang w:val="en-GB"/>
        </w:rPr>
        <w:t xml:space="preserve"> institutions are focussed on the economic </w:t>
      </w:r>
      <w:r w:rsidR="77628799" w:rsidRPr="728F2DAF">
        <w:rPr>
          <w:lang w:val="en-GB"/>
        </w:rPr>
        <w:t xml:space="preserve">and </w:t>
      </w:r>
      <w:r w:rsidR="165081C2" w:rsidRPr="728F2DAF">
        <w:rPr>
          <w:lang w:val="en-GB"/>
        </w:rPr>
        <w:t xml:space="preserve">production systems, with consequences for </w:t>
      </w:r>
      <w:r w:rsidR="1A84A1B9" w:rsidRPr="728F2DAF">
        <w:rPr>
          <w:lang w:val="en-GB"/>
        </w:rPr>
        <w:t>biological invasions</w:t>
      </w:r>
      <w:r w:rsidR="165081C2" w:rsidRPr="728F2DAF">
        <w:rPr>
          <w:lang w:val="en-GB"/>
        </w:rPr>
        <w:t xml:space="preserve"> </w:t>
      </w:r>
      <w:r w:rsidR="6CBD1504" w:rsidRPr="728F2DAF">
        <w:rPr>
          <w:lang w:val="en-GB"/>
        </w:rPr>
        <w:t>receiving</w:t>
      </w:r>
      <w:r w:rsidR="165081C2" w:rsidRPr="728F2DAF">
        <w:rPr>
          <w:lang w:val="en-GB"/>
        </w:rPr>
        <w:t xml:space="preserve"> little attention. These </w:t>
      </w:r>
      <w:r w:rsidR="37A16AF9" w:rsidRPr="728F2DAF">
        <w:rPr>
          <w:lang w:val="en-GB"/>
        </w:rPr>
        <w:t xml:space="preserve">unintended consequences </w:t>
      </w:r>
      <w:r w:rsidR="756926A4" w:rsidRPr="728F2DAF">
        <w:rPr>
          <w:lang w:val="en-GB"/>
        </w:rPr>
        <w:t>are</w:t>
      </w:r>
      <w:r w:rsidR="37A16AF9" w:rsidRPr="728F2DAF">
        <w:rPr>
          <w:lang w:val="en-GB"/>
        </w:rPr>
        <w:t xml:space="preserve"> the focus of </w:t>
      </w:r>
      <w:r w:rsidR="2A455358" w:rsidRPr="728F2DAF">
        <w:rPr>
          <w:lang w:val="en-GB"/>
        </w:rPr>
        <w:t xml:space="preserve">this </w:t>
      </w:r>
      <w:r w:rsidR="65587722" w:rsidRPr="728F2DAF">
        <w:rPr>
          <w:lang w:val="en-GB"/>
        </w:rPr>
        <w:t>section</w:t>
      </w:r>
      <w:r w:rsidR="01611D6C" w:rsidRPr="728F2DAF">
        <w:rPr>
          <w:lang w:val="en-GB"/>
        </w:rPr>
        <w:t>, which deals with</w:t>
      </w:r>
      <w:r w:rsidRPr="728F2DAF">
        <w:rPr>
          <w:lang w:val="en-GB"/>
        </w:rPr>
        <w:t xml:space="preserve"> regulations, taxes and subsidies </w:t>
      </w:r>
      <w:r w:rsidR="756926A4" w:rsidRPr="728F2DAF">
        <w:rPr>
          <w:lang w:val="en-GB"/>
        </w:rPr>
        <w:t xml:space="preserve">that </w:t>
      </w:r>
      <w:r w:rsidRPr="728F2DAF">
        <w:rPr>
          <w:lang w:val="en-GB"/>
        </w:rPr>
        <w:t xml:space="preserve">may result in </w:t>
      </w:r>
      <w:r w:rsidR="2B8703E2" w:rsidRPr="728F2DAF">
        <w:rPr>
          <w:lang w:val="en-GB"/>
        </w:rPr>
        <w:t xml:space="preserve">unintended </w:t>
      </w:r>
      <w:r w:rsidR="20DF28DD" w:rsidRPr="728F2DAF">
        <w:rPr>
          <w:lang w:val="en-GB"/>
        </w:rPr>
        <w:t>facilitat</w:t>
      </w:r>
      <w:r w:rsidR="4F2D716C" w:rsidRPr="728F2DAF">
        <w:rPr>
          <w:lang w:val="en-GB"/>
        </w:rPr>
        <w:t>ion of</w:t>
      </w:r>
      <w:r w:rsidR="20DF28DD" w:rsidRPr="728F2DAF">
        <w:rPr>
          <w:lang w:val="en-GB"/>
        </w:rPr>
        <w:t xml:space="preserve"> the introduction, </w:t>
      </w:r>
      <w:r w:rsidRPr="728F2DAF">
        <w:rPr>
          <w:lang w:val="en-GB"/>
        </w:rPr>
        <w:t xml:space="preserve">establishment and spread of </w:t>
      </w:r>
      <w:r w:rsidR="3D1CE9D8" w:rsidRPr="728F2DAF">
        <w:rPr>
          <w:lang w:val="en-GB"/>
        </w:rPr>
        <w:t>invasive alien species</w:t>
      </w:r>
      <w:r w:rsidR="3B1D3289" w:rsidRPr="728F2DAF">
        <w:rPr>
          <w:lang w:val="en-GB"/>
        </w:rPr>
        <w:t xml:space="preserve"> (</w:t>
      </w:r>
      <w:r w:rsidR="00DC2990">
        <w:rPr>
          <w:b/>
          <w:bCs/>
          <w:lang w:val="en-GB"/>
        </w:rPr>
        <w:t>Figure</w:t>
      </w:r>
      <w:r w:rsidR="3EE49496" w:rsidRPr="728F2DAF">
        <w:rPr>
          <w:b/>
          <w:bCs/>
          <w:lang w:val="en-GB"/>
        </w:rPr>
        <w:t xml:space="preserve"> 3.14</w:t>
      </w:r>
      <w:r w:rsidR="3B1D3289" w:rsidRPr="728F2DAF">
        <w:rPr>
          <w:lang w:val="en-GB"/>
        </w:rPr>
        <w:t>)</w:t>
      </w:r>
      <w:r w:rsidRPr="728F2DAF">
        <w:rPr>
          <w:lang w:val="en-GB"/>
        </w:rPr>
        <w:t>.</w:t>
      </w:r>
      <w:r w:rsidR="01611D6C" w:rsidRPr="728F2DAF">
        <w:rPr>
          <w:lang w:val="en-GB"/>
        </w:rPr>
        <w:t xml:space="preserve"> The role of policies and institutions explicitly tasked with the control</w:t>
      </w:r>
      <w:r w:rsidR="6CD8F566" w:rsidRPr="728F2DAF">
        <w:rPr>
          <w:lang w:val="en-GB"/>
        </w:rPr>
        <w:t xml:space="preserve"> of invasive alien species</w:t>
      </w:r>
      <w:r w:rsidR="01611D6C" w:rsidRPr="728F2DAF">
        <w:rPr>
          <w:lang w:val="en-GB"/>
        </w:rPr>
        <w:t xml:space="preserve"> and management of </w:t>
      </w:r>
      <w:r w:rsidR="68436914" w:rsidRPr="728F2DAF">
        <w:rPr>
          <w:lang w:val="en-GB"/>
        </w:rPr>
        <w:t xml:space="preserve">biological invasions </w:t>
      </w:r>
      <w:r w:rsidR="01611D6C" w:rsidRPr="728F2DAF">
        <w:rPr>
          <w:lang w:val="en-GB"/>
        </w:rPr>
        <w:t xml:space="preserve">are addressed in </w:t>
      </w:r>
      <w:r w:rsidR="77B14B5F" w:rsidRPr="728F2DAF">
        <w:rPr>
          <w:b/>
          <w:bCs/>
          <w:lang w:val="en-GB"/>
        </w:rPr>
        <w:t>C</w:t>
      </w:r>
      <w:r w:rsidR="01611D6C" w:rsidRPr="728F2DAF">
        <w:rPr>
          <w:b/>
          <w:bCs/>
          <w:lang w:val="en-GB"/>
        </w:rPr>
        <w:t>hapter 6</w:t>
      </w:r>
      <w:r w:rsidR="4F2D716C" w:rsidRPr="728F2DAF">
        <w:rPr>
          <w:lang w:val="en-GB"/>
        </w:rPr>
        <w:t xml:space="preserve">. </w:t>
      </w:r>
    </w:p>
    <w:p w14:paraId="325705D5" w14:textId="77777777" w:rsidR="00B96143" w:rsidRPr="00DA249F" w:rsidRDefault="009F2D68" w:rsidP="0090109B">
      <w:pPr>
        <w:rPr>
          <w:lang w:val="en-GB"/>
        </w:rPr>
      </w:pPr>
      <w:r w:rsidRPr="009F2D68">
        <w:rPr>
          <w:noProof/>
          <w:lang w:val="en-GB"/>
        </w:rPr>
        <w:drawing>
          <wp:inline distT="0" distB="0" distL="0" distR="0" wp14:anchorId="12D650E9" wp14:editId="64357BF0">
            <wp:extent cx="6115050" cy="2279015"/>
            <wp:effectExtent l="0" t="0" r="6350" b="0"/>
            <wp:docPr id="40" name="Picture 40" descr="A diagram of a building&#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40" descr="A diagram of a building&#10;&#10;Description automatically generated with medium confidence"/>
                    <pic:cNvPicPr/>
                  </pic:nvPicPr>
                  <pic:blipFill>
                    <a:blip r:embed="rId32"/>
                    <a:stretch>
                      <a:fillRect/>
                    </a:stretch>
                  </pic:blipFill>
                  <pic:spPr>
                    <a:xfrm>
                      <a:off x="0" y="0"/>
                      <a:ext cx="6115050" cy="2279015"/>
                    </a:xfrm>
                    <a:prstGeom prst="rect">
                      <a:avLst/>
                    </a:prstGeom>
                    <a:ln>
                      <a:noFill/>
                    </a:ln>
                  </pic:spPr>
                </pic:pic>
              </a:graphicData>
            </a:graphic>
          </wp:inline>
        </w:drawing>
      </w:r>
    </w:p>
    <w:p w14:paraId="4F8779F8" w14:textId="7F51FBDB" w:rsidR="00B96143" w:rsidRPr="00DA249F" w:rsidRDefault="4240D37D" w:rsidP="00C85F63">
      <w:pPr>
        <w:pStyle w:val="Caption"/>
        <w:rPr>
          <w:b w:val="0"/>
          <w:bCs w:val="0"/>
          <w:lang w:val="en-GB"/>
        </w:rPr>
      </w:pPr>
      <w:bookmarkStart w:id="137" w:name="_Ref104902554"/>
      <w:bookmarkStart w:id="138" w:name="_Toc147500899"/>
      <w:r w:rsidRPr="5575EBFC">
        <w:rPr>
          <w:lang w:val="en-GB"/>
        </w:rPr>
        <w:t>Figure</w:t>
      </w:r>
      <w:r w:rsidR="5198C15D" w:rsidRPr="5575EBFC">
        <w:rPr>
          <w:lang w:val="en-GB"/>
        </w:rPr>
        <w:t xml:space="preserve"> 3.</w:t>
      </w:r>
      <w:r w:rsidR="00B96143" w:rsidRPr="5575EBFC">
        <w:rPr>
          <w:lang w:val="en-GB"/>
        </w:rPr>
        <w:fldChar w:fldCharType="begin"/>
      </w:r>
      <w:r w:rsidR="00B96143" w:rsidRPr="5575EBFC">
        <w:rPr>
          <w:lang w:val="en-GB"/>
        </w:rPr>
        <w:instrText xml:space="preserve"> SEQ Figure_3. \* ARABIC </w:instrText>
      </w:r>
      <w:r w:rsidR="00B96143" w:rsidRPr="5575EBFC">
        <w:rPr>
          <w:lang w:val="en-GB"/>
        </w:rPr>
        <w:fldChar w:fldCharType="separate"/>
      </w:r>
      <w:r w:rsidR="00287BC7">
        <w:rPr>
          <w:noProof/>
          <w:lang w:val="en-GB"/>
        </w:rPr>
        <w:t>14</w:t>
      </w:r>
      <w:r w:rsidR="00B96143" w:rsidRPr="5575EBFC">
        <w:rPr>
          <w:lang w:val="en-GB"/>
        </w:rPr>
        <w:fldChar w:fldCharType="end"/>
      </w:r>
      <w:bookmarkEnd w:id="137"/>
      <w:r w:rsidR="7E2BBEA9" w:rsidRPr="5575EBFC">
        <w:rPr>
          <w:lang w:val="en-GB"/>
        </w:rPr>
        <w:t>.</w:t>
      </w:r>
      <w:r w:rsidRPr="5575EBFC">
        <w:rPr>
          <w:lang w:val="en-GB"/>
        </w:rPr>
        <w:t xml:space="preserve"> </w:t>
      </w:r>
      <w:r w:rsidR="6694FEFB" w:rsidRPr="5575EBFC">
        <w:rPr>
          <w:b w:val="0"/>
          <w:bCs w:val="0"/>
          <w:lang w:val="en-GB"/>
        </w:rPr>
        <w:t xml:space="preserve">Examples of </w:t>
      </w:r>
      <w:r w:rsidR="7E5058E9" w:rsidRPr="5575EBFC">
        <w:rPr>
          <w:b w:val="0"/>
          <w:bCs w:val="0"/>
          <w:lang w:val="en-GB"/>
        </w:rPr>
        <w:t xml:space="preserve">the </w:t>
      </w:r>
      <w:r w:rsidRPr="5575EBFC">
        <w:rPr>
          <w:b w:val="0"/>
          <w:bCs w:val="0"/>
          <w:lang w:val="en-GB"/>
        </w:rPr>
        <w:t xml:space="preserve">role of policies, governance and institutions </w:t>
      </w:r>
      <w:r w:rsidR="6694FEFB" w:rsidRPr="5575EBFC">
        <w:rPr>
          <w:b w:val="0"/>
          <w:bCs w:val="0"/>
          <w:lang w:val="en-GB"/>
        </w:rPr>
        <w:t xml:space="preserve">in </w:t>
      </w:r>
      <w:r w:rsidR="679C69EF" w:rsidRPr="5575EBFC">
        <w:rPr>
          <w:b w:val="0"/>
          <w:bCs w:val="0"/>
          <w:lang w:val="en-GB"/>
        </w:rPr>
        <w:t xml:space="preserve">facilitating </w:t>
      </w:r>
      <w:r w:rsidR="660FA957" w:rsidRPr="5575EBFC">
        <w:rPr>
          <w:b w:val="0"/>
          <w:bCs w:val="0"/>
          <w:lang w:val="en-GB"/>
        </w:rPr>
        <w:t>invasive alien species</w:t>
      </w:r>
      <w:r w:rsidR="679C69EF" w:rsidRPr="5575EBFC">
        <w:rPr>
          <w:b w:val="0"/>
          <w:bCs w:val="0"/>
          <w:lang w:val="en-GB"/>
        </w:rPr>
        <w:t xml:space="preserve"> across </w:t>
      </w:r>
      <w:r w:rsidR="1A5AF5E4" w:rsidRPr="5575EBFC">
        <w:rPr>
          <w:b w:val="0"/>
          <w:bCs w:val="0"/>
          <w:lang w:val="en-GB"/>
        </w:rPr>
        <w:t xml:space="preserve">stages of the </w:t>
      </w:r>
      <w:r w:rsidR="679C69EF" w:rsidRPr="5575EBFC">
        <w:rPr>
          <w:b w:val="0"/>
          <w:bCs w:val="0"/>
          <w:lang w:val="en-GB"/>
        </w:rPr>
        <w:t xml:space="preserve">invasion </w:t>
      </w:r>
      <w:r w:rsidR="2851C1B2" w:rsidRPr="5575EBFC">
        <w:rPr>
          <w:b w:val="0"/>
          <w:bCs w:val="0"/>
          <w:lang w:val="en-GB"/>
        </w:rPr>
        <w:t>process</w:t>
      </w:r>
      <w:r w:rsidR="04283EF9" w:rsidRPr="5575EBFC">
        <w:rPr>
          <w:b w:val="0"/>
          <w:bCs w:val="0"/>
          <w:lang w:val="en-GB"/>
        </w:rPr>
        <w:t>.</w:t>
      </w:r>
      <w:r w:rsidR="04283EF9" w:rsidRPr="5575EBFC">
        <w:rPr>
          <w:lang w:val="en-GB"/>
        </w:rPr>
        <w:t xml:space="preserve"> </w:t>
      </w:r>
      <w:r w:rsidR="04283EF9" w:rsidRPr="5575EBFC">
        <w:rPr>
          <w:b w:val="0"/>
          <w:bCs w:val="0"/>
          <w:lang w:val="en-GB"/>
        </w:rPr>
        <w:t xml:space="preserve">Free trade agreements, finance, </w:t>
      </w:r>
      <w:r w:rsidR="436FDAC6" w:rsidRPr="5575EBFC">
        <w:rPr>
          <w:b w:val="0"/>
          <w:bCs w:val="0"/>
          <w:lang w:val="en-GB"/>
        </w:rPr>
        <w:t xml:space="preserve">promotion of species for use in agriculture, fisheries or forestry outside their native range, lack of regulatory </w:t>
      </w:r>
      <w:r w:rsidR="3C74B460" w:rsidRPr="5575EBFC">
        <w:rPr>
          <w:b w:val="0"/>
          <w:bCs w:val="0"/>
          <w:lang w:val="en-GB"/>
        </w:rPr>
        <w:t>frameworks</w:t>
      </w:r>
      <w:r w:rsidR="436FDAC6" w:rsidRPr="5575EBFC">
        <w:rPr>
          <w:b w:val="0"/>
          <w:bCs w:val="0"/>
          <w:lang w:val="en-GB"/>
        </w:rPr>
        <w:t xml:space="preserve"> and </w:t>
      </w:r>
      <w:r w:rsidR="679C69EF" w:rsidRPr="5575EBFC">
        <w:rPr>
          <w:b w:val="0"/>
          <w:bCs w:val="0"/>
          <w:lang w:val="en-GB"/>
        </w:rPr>
        <w:t>unintended consequences</w:t>
      </w:r>
      <w:r w:rsidR="436FDAC6" w:rsidRPr="5575EBFC">
        <w:rPr>
          <w:b w:val="0"/>
          <w:bCs w:val="0"/>
          <w:lang w:val="en-GB"/>
        </w:rPr>
        <w:t xml:space="preserve"> (active </w:t>
      </w:r>
      <w:r w:rsidR="3D417C4F" w:rsidRPr="5575EBFC">
        <w:rPr>
          <w:b w:val="0"/>
          <w:bCs w:val="0"/>
          <w:lang w:val="en-GB"/>
        </w:rPr>
        <w:t>promotion</w:t>
      </w:r>
      <w:r w:rsidR="436FDAC6" w:rsidRPr="5575EBFC">
        <w:rPr>
          <w:b w:val="0"/>
          <w:bCs w:val="0"/>
          <w:lang w:val="en-GB"/>
        </w:rPr>
        <w:t xml:space="preserve"> of </w:t>
      </w:r>
      <w:r w:rsidR="67C8C3BF" w:rsidRPr="5575EBFC">
        <w:rPr>
          <w:b w:val="0"/>
          <w:bCs w:val="0"/>
          <w:lang w:val="en-GB"/>
        </w:rPr>
        <w:t xml:space="preserve">invasive alien </w:t>
      </w:r>
      <w:r w:rsidR="5F89D823" w:rsidRPr="5575EBFC">
        <w:rPr>
          <w:b w:val="0"/>
          <w:bCs w:val="0"/>
          <w:lang w:val="en-GB"/>
        </w:rPr>
        <w:t>species</w:t>
      </w:r>
      <w:r w:rsidR="67C8C3BF" w:rsidRPr="5575EBFC">
        <w:rPr>
          <w:b w:val="0"/>
          <w:bCs w:val="0"/>
          <w:lang w:val="en-GB"/>
        </w:rPr>
        <w:t xml:space="preserve"> for other </w:t>
      </w:r>
      <w:r w:rsidR="67C8C3BF" w:rsidRPr="5575EBFC">
        <w:rPr>
          <w:b w:val="0"/>
          <w:bCs w:val="0"/>
          <w:lang w:val="en-GB"/>
        </w:rPr>
        <w:lastRenderedPageBreak/>
        <w:t xml:space="preserve">benefits, without </w:t>
      </w:r>
      <w:r w:rsidR="2CBB9CC4" w:rsidRPr="5575EBFC">
        <w:rPr>
          <w:b w:val="0"/>
          <w:bCs w:val="0"/>
          <w:lang w:val="en-GB"/>
        </w:rPr>
        <w:t>cons</w:t>
      </w:r>
      <w:r w:rsidR="50BC8274" w:rsidRPr="5575EBFC">
        <w:rPr>
          <w:b w:val="0"/>
          <w:bCs w:val="0"/>
          <w:lang w:val="en-GB"/>
        </w:rPr>
        <w:t>id</w:t>
      </w:r>
      <w:r w:rsidR="2CBB9CC4" w:rsidRPr="5575EBFC">
        <w:rPr>
          <w:b w:val="0"/>
          <w:bCs w:val="0"/>
          <w:lang w:val="en-GB"/>
        </w:rPr>
        <w:t>eration</w:t>
      </w:r>
      <w:r w:rsidR="67C8C3BF" w:rsidRPr="5575EBFC">
        <w:rPr>
          <w:b w:val="0"/>
          <w:bCs w:val="0"/>
          <w:lang w:val="en-GB"/>
        </w:rPr>
        <w:t xml:space="preserve"> of </w:t>
      </w:r>
      <w:r w:rsidR="55B737ED" w:rsidRPr="5575EBFC">
        <w:rPr>
          <w:b w:val="0"/>
          <w:bCs w:val="0"/>
          <w:lang w:val="en-GB"/>
        </w:rPr>
        <w:t>risks</w:t>
      </w:r>
      <w:r w:rsidR="67C8C3BF" w:rsidRPr="5575EBFC">
        <w:rPr>
          <w:b w:val="0"/>
          <w:bCs w:val="0"/>
          <w:lang w:val="en-GB"/>
        </w:rPr>
        <w:t xml:space="preserve">) </w:t>
      </w:r>
      <w:r w:rsidR="55B737ED" w:rsidRPr="5575EBFC">
        <w:rPr>
          <w:b w:val="0"/>
          <w:bCs w:val="0"/>
          <w:lang w:val="en-GB"/>
        </w:rPr>
        <w:t xml:space="preserve">are some examples of </w:t>
      </w:r>
      <w:r w:rsidR="5629D3C8" w:rsidRPr="5575EBFC">
        <w:rPr>
          <w:b w:val="0"/>
          <w:bCs w:val="0"/>
          <w:lang w:val="en-GB"/>
        </w:rPr>
        <w:t xml:space="preserve">drivers of changes in nature facilitating </w:t>
      </w:r>
      <w:r w:rsidR="03296FCE" w:rsidRPr="5575EBFC">
        <w:rPr>
          <w:b w:val="0"/>
          <w:bCs w:val="0"/>
          <w:lang w:val="en-GB"/>
        </w:rPr>
        <w:t xml:space="preserve">invasive alien species </w:t>
      </w:r>
      <w:r w:rsidR="7AC0C083" w:rsidRPr="5575EBFC">
        <w:rPr>
          <w:b w:val="0"/>
          <w:bCs w:val="0"/>
          <w:lang w:val="en-GB"/>
        </w:rPr>
        <w:t>across invasion stages.</w:t>
      </w:r>
      <w:bookmarkEnd w:id="138"/>
    </w:p>
    <w:p w14:paraId="1B5F04C6" w14:textId="6235222F" w:rsidR="00831041" w:rsidRPr="00DA249F" w:rsidRDefault="0EAA6FBD" w:rsidP="0090109B">
      <w:pPr>
        <w:rPr>
          <w:lang w:val="en-GB"/>
        </w:rPr>
      </w:pPr>
      <w:bookmarkStart w:id="139" w:name="_Toc44317811"/>
      <w:bookmarkEnd w:id="139"/>
      <w:r w:rsidRPr="728F2DAF">
        <w:rPr>
          <w:lang w:val="en-GB"/>
        </w:rPr>
        <w:t xml:space="preserve">In an era of globalization and increasing </w:t>
      </w:r>
      <w:r w:rsidR="5F38B8D3" w:rsidRPr="728F2DAF">
        <w:rPr>
          <w:lang w:val="en-GB"/>
        </w:rPr>
        <w:t>interconnectedness</w:t>
      </w:r>
      <w:r w:rsidRPr="728F2DAF">
        <w:rPr>
          <w:lang w:val="en-GB"/>
        </w:rPr>
        <w:t xml:space="preserve"> between </w:t>
      </w:r>
      <w:r w:rsidR="22D57560" w:rsidRPr="728F2DAF">
        <w:rPr>
          <w:lang w:val="en-GB"/>
        </w:rPr>
        <w:t>people</w:t>
      </w:r>
      <w:r w:rsidRPr="728F2DAF">
        <w:rPr>
          <w:lang w:val="en-GB"/>
        </w:rPr>
        <w:t xml:space="preserve">, states and regions, there is an increasing reliance on supranational arrangements for the organization of human societies, referred to as </w:t>
      </w:r>
      <w:r w:rsidR="1536209B" w:rsidRPr="728F2DAF">
        <w:rPr>
          <w:lang w:val="en-GB"/>
        </w:rPr>
        <w:t>i</w:t>
      </w:r>
      <w:r w:rsidRPr="728F2DAF">
        <w:rPr>
          <w:lang w:val="en-GB"/>
        </w:rPr>
        <w:t xml:space="preserve">nternational </w:t>
      </w:r>
      <w:r w:rsidR="1536209B" w:rsidRPr="728F2DAF">
        <w:rPr>
          <w:lang w:val="en-GB"/>
        </w:rPr>
        <w:t>i</w:t>
      </w:r>
      <w:r w:rsidRPr="728F2DAF">
        <w:rPr>
          <w:lang w:val="en-GB"/>
        </w:rPr>
        <w:t xml:space="preserve">nstitutions and </w:t>
      </w:r>
      <w:r w:rsidR="1536209B" w:rsidRPr="728F2DAF">
        <w:rPr>
          <w:lang w:val="en-GB"/>
        </w:rPr>
        <w:t>o</w:t>
      </w:r>
      <w:r w:rsidRPr="728F2DAF">
        <w:rPr>
          <w:lang w:val="en-GB"/>
        </w:rPr>
        <w:t>rganizations.</w:t>
      </w:r>
      <w:r w:rsidR="179389E9" w:rsidRPr="728F2DAF">
        <w:rPr>
          <w:lang w:val="en-GB"/>
        </w:rPr>
        <w:t xml:space="preserve"> </w:t>
      </w:r>
      <w:r w:rsidR="7AA3EB99" w:rsidRPr="728F2DAF">
        <w:rPr>
          <w:lang w:val="en-GB"/>
        </w:rPr>
        <w:t xml:space="preserve">The </w:t>
      </w:r>
      <w:r w:rsidR="29CC990C" w:rsidRPr="728F2DAF">
        <w:rPr>
          <w:lang w:val="en-GB"/>
        </w:rPr>
        <w:t xml:space="preserve">annual </w:t>
      </w:r>
      <w:r w:rsidR="7AA3EB99" w:rsidRPr="728F2DAF">
        <w:rPr>
          <w:lang w:val="en-GB"/>
        </w:rPr>
        <w:t xml:space="preserve">amount of </w:t>
      </w:r>
      <w:r w:rsidR="76D4D4D5" w:rsidRPr="728F2DAF">
        <w:rPr>
          <w:lang w:val="en-GB"/>
        </w:rPr>
        <w:t xml:space="preserve">international </w:t>
      </w:r>
      <w:r w:rsidR="7AA3EB99" w:rsidRPr="728F2DAF">
        <w:rPr>
          <w:lang w:val="en-GB"/>
        </w:rPr>
        <w:t>o</w:t>
      </w:r>
      <w:r w:rsidR="7E0CE689" w:rsidRPr="728F2DAF">
        <w:rPr>
          <w:lang w:val="en-GB"/>
        </w:rPr>
        <w:t>fficial assistance for development</w:t>
      </w:r>
      <w:r w:rsidR="32AB9A77" w:rsidRPr="728F2DAF">
        <w:rPr>
          <w:lang w:val="en-GB"/>
        </w:rPr>
        <w:t xml:space="preserve"> has increas</w:t>
      </w:r>
      <w:r w:rsidR="51B0AFD1" w:rsidRPr="728F2DAF">
        <w:rPr>
          <w:lang w:val="en-GB"/>
        </w:rPr>
        <w:t xml:space="preserve">ed from </w:t>
      </w:r>
      <w:r w:rsidR="54474AB8" w:rsidRPr="728F2DAF">
        <w:rPr>
          <w:lang w:val="en-GB"/>
        </w:rPr>
        <w:t xml:space="preserve">less than </w:t>
      </w:r>
      <w:r w:rsidR="720D06E8" w:rsidRPr="728F2DAF">
        <w:rPr>
          <w:lang w:val="en-GB"/>
        </w:rPr>
        <w:t>US</w:t>
      </w:r>
      <w:r w:rsidR="54474AB8" w:rsidRPr="728F2DAF">
        <w:rPr>
          <w:lang w:val="en-GB"/>
        </w:rPr>
        <w:t xml:space="preserve">$80 billion in 2000 to over </w:t>
      </w:r>
      <w:r w:rsidR="720D06E8" w:rsidRPr="728F2DAF">
        <w:rPr>
          <w:lang w:val="en-GB"/>
        </w:rPr>
        <w:t>US</w:t>
      </w:r>
      <w:r w:rsidR="23C3FFF9" w:rsidRPr="728F2DAF">
        <w:rPr>
          <w:lang w:val="en-GB"/>
        </w:rPr>
        <w:t>$</w:t>
      </w:r>
      <w:r w:rsidR="54474AB8" w:rsidRPr="728F2DAF">
        <w:rPr>
          <w:lang w:val="en-GB"/>
        </w:rPr>
        <w:t>127 billion in 2010</w:t>
      </w:r>
      <w:r w:rsidR="2499A188" w:rsidRPr="728F2DAF">
        <w:rPr>
          <w:lang w:val="en-GB"/>
        </w:rPr>
        <w:t xml:space="preserve">, particularly as a result of </w:t>
      </w:r>
      <w:r w:rsidR="35E9759D" w:rsidRPr="728F2DAF">
        <w:rPr>
          <w:lang w:val="en-GB"/>
        </w:rPr>
        <w:t xml:space="preserve">increasing </w:t>
      </w:r>
      <w:r w:rsidR="2499A188" w:rsidRPr="728F2DAF">
        <w:rPr>
          <w:lang w:val="en-GB"/>
        </w:rPr>
        <w:t>bilateral disburs</w:t>
      </w:r>
      <w:r w:rsidR="575F0F1B" w:rsidRPr="728F2DAF">
        <w:rPr>
          <w:lang w:val="en-GB"/>
        </w:rPr>
        <w:t xml:space="preserve">ements </w:t>
      </w:r>
      <w:r w:rsidR="48810225" w:rsidRPr="728F2DAF">
        <w:rPr>
          <w:lang w:val="en-GB"/>
        </w:rPr>
        <w:t>to low-income countries</w:t>
      </w:r>
      <w:r w:rsidR="1D1A5790" w:rsidRPr="728F2DAF">
        <w:rPr>
          <w:lang w:val="en-GB"/>
        </w:rPr>
        <w:t xml:space="preserve"> </w:t>
      </w:r>
      <w:r w:rsidR="722AC113" w:rsidRPr="728F2DAF">
        <w:rPr>
          <w:lang w:val="en-GB"/>
        </w:rPr>
        <w:fldChar w:fldCharType="begin"/>
      </w:r>
      <w:r w:rsidR="00230216">
        <w:rPr>
          <w:lang w:val="en-GB"/>
        </w:rPr>
        <w:instrText xml:space="preserve"> ADDIN ZOTERO_ITEM CSL_CITATION {"citationID":"iiGbznBB","properties":{"formattedCitation":"(World Bank &amp; International Monetary Fund, 2012)","plainCitation":"(World Bank &amp; International Monetary Fund, 2012)","noteIndex":0},"citationItems":[{"id":"zUkrYEfa/6NaWGt4e","uris":["http://zotero.org/users/5651267/items/9SZAN9G2"],"itemData":{"id":66192,"type":"book","ISBN":"0-8213-9451-7","publisher":"The World Bank","title":"Global Monitoring Report 2012: Food Prices, Nutrition, and the Millennium Development Goals","author":[{"family":"World Bank","given":""},{"family":"International Monetary Fund","given":""}],"issued":{"date-parts":[["2012"]]}}}],"schema":"https://github.com/citation-style-language/schema/raw/master/csl-citation.json"} </w:instrText>
      </w:r>
      <w:r w:rsidR="722AC113" w:rsidRPr="728F2DAF">
        <w:rPr>
          <w:lang w:val="en-GB"/>
        </w:rPr>
        <w:fldChar w:fldCharType="separate"/>
      </w:r>
      <w:r w:rsidR="73B99EB6">
        <w:t>(World Bank &amp; International Monetary Fund, 2012)</w:t>
      </w:r>
      <w:r w:rsidR="722AC113" w:rsidRPr="728F2DAF">
        <w:rPr>
          <w:lang w:val="en-GB"/>
        </w:rPr>
        <w:fldChar w:fldCharType="end"/>
      </w:r>
      <w:r w:rsidR="1D1A5790" w:rsidRPr="728F2DAF">
        <w:rPr>
          <w:lang w:val="en-GB"/>
        </w:rPr>
        <w:t>.</w:t>
      </w:r>
      <w:r w:rsidR="6072AC72" w:rsidRPr="728F2DAF">
        <w:rPr>
          <w:lang w:val="en-GB"/>
        </w:rPr>
        <w:t xml:space="preserve"> </w:t>
      </w:r>
      <w:r w:rsidRPr="728F2DAF">
        <w:rPr>
          <w:lang w:val="en-GB"/>
        </w:rPr>
        <w:t xml:space="preserve">By providing the regulatory frameworks for transboundary activities, international institutions and organizations may act as indirect drivers </w:t>
      </w:r>
      <w:r w:rsidR="7DC13DD3" w:rsidRPr="728F2DAF">
        <w:rPr>
          <w:lang w:val="en-GB"/>
        </w:rPr>
        <w:t>facilitating</w:t>
      </w:r>
      <w:r w:rsidRPr="728F2DAF">
        <w:rPr>
          <w:lang w:val="en-GB"/>
        </w:rPr>
        <w:t xml:space="preserve"> the uptake</w:t>
      </w:r>
      <w:r w:rsidR="004221FA">
        <w:rPr>
          <w:lang w:val="en-GB"/>
        </w:rPr>
        <w:t xml:space="preserve">, </w:t>
      </w:r>
      <w:r w:rsidRPr="728F2DAF">
        <w:rPr>
          <w:lang w:val="en-GB"/>
        </w:rPr>
        <w:t>transportation</w:t>
      </w:r>
      <w:r w:rsidR="004221FA">
        <w:rPr>
          <w:lang w:val="en-GB"/>
        </w:rPr>
        <w:t xml:space="preserve">, </w:t>
      </w:r>
      <w:r w:rsidRPr="728F2DAF">
        <w:rPr>
          <w:lang w:val="en-GB"/>
        </w:rPr>
        <w:t xml:space="preserve">establishment and spread of </w:t>
      </w:r>
      <w:r w:rsidR="047C7E4B" w:rsidRPr="728F2DAF">
        <w:rPr>
          <w:lang w:val="en-GB"/>
        </w:rPr>
        <w:t>invasive alien species</w:t>
      </w:r>
      <w:r w:rsidRPr="728F2DAF">
        <w:rPr>
          <w:lang w:val="en-GB"/>
        </w:rPr>
        <w:t xml:space="preserve">, due to promotion of other indirect demographic and economic drivers </w:t>
      </w:r>
      <w:r w:rsidR="6EDBED36" w:rsidRPr="728F2DAF">
        <w:rPr>
          <w:lang w:val="en-GB"/>
        </w:rPr>
        <w:t xml:space="preserve">of change in nature </w:t>
      </w:r>
      <w:r w:rsidRPr="728F2DAF">
        <w:rPr>
          <w:lang w:val="en-GB"/>
        </w:rPr>
        <w:t xml:space="preserve">such as </w:t>
      </w:r>
      <w:r w:rsidR="6C4FA7DD" w:rsidRPr="728F2DAF">
        <w:rPr>
          <w:lang w:val="en-GB"/>
        </w:rPr>
        <w:t>m</w:t>
      </w:r>
      <w:r w:rsidRPr="728F2DAF">
        <w:rPr>
          <w:lang w:val="en-GB"/>
        </w:rPr>
        <w:t>igration (</w:t>
      </w:r>
      <w:r w:rsidR="335FAD6E" w:rsidRPr="728F2DAF">
        <w:rPr>
          <w:b/>
          <w:bCs/>
          <w:lang w:val="en-GB"/>
        </w:rPr>
        <w:t xml:space="preserve">section </w:t>
      </w:r>
      <w:r w:rsidRPr="728F2DAF">
        <w:rPr>
          <w:b/>
          <w:bCs/>
          <w:lang w:val="en-GB"/>
        </w:rPr>
        <w:t>3.2.2.2</w:t>
      </w:r>
      <w:r w:rsidRPr="728F2DAF">
        <w:rPr>
          <w:lang w:val="en-GB"/>
        </w:rPr>
        <w:t xml:space="preserve">), </w:t>
      </w:r>
      <w:r w:rsidR="6C4FA7DD" w:rsidRPr="728F2DAF">
        <w:rPr>
          <w:lang w:val="en-GB"/>
        </w:rPr>
        <w:t>t</w:t>
      </w:r>
      <w:r w:rsidRPr="728F2DAF">
        <w:rPr>
          <w:lang w:val="en-GB"/>
        </w:rPr>
        <w:t>rade (</w:t>
      </w:r>
      <w:r w:rsidR="335FAD6E" w:rsidRPr="728F2DAF">
        <w:rPr>
          <w:b/>
          <w:bCs/>
          <w:lang w:val="en-GB"/>
        </w:rPr>
        <w:t xml:space="preserve">section </w:t>
      </w:r>
      <w:r w:rsidRPr="728F2DAF">
        <w:rPr>
          <w:b/>
          <w:bCs/>
          <w:lang w:val="en-GB"/>
        </w:rPr>
        <w:t>3.2.3.1</w:t>
      </w:r>
      <w:r w:rsidR="77B14B5F" w:rsidRPr="728F2DAF">
        <w:rPr>
          <w:b/>
          <w:bCs/>
          <w:lang w:val="en-GB"/>
        </w:rPr>
        <w:t xml:space="preserve"> </w:t>
      </w:r>
      <w:r w:rsidR="77B14B5F" w:rsidRPr="728F2DAF">
        <w:rPr>
          <w:lang w:val="en-GB"/>
        </w:rPr>
        <w:t xml:space="preserve">to </w:t>
      </w:r>
      <w:r w:rsidR="6CBD1504" w:rsidRPr="728F2DAF">
        <w:rPr>
          <w:b/>
          <w:bCs/>
          <w:lang w:val="en-GB"/>
        </w:rPr>
        <w:t>3.2.3.3</w:t>
      </w:r>
      <w:r w:rsidRPr="728F2DAF">
        <w:rPr>
          <w:lang w:val="en-GB"/>
        </w:rPr>
        <w:t xml:space="preserve">) and </w:t>
      </w:r>
      <w:r w:rsidR="6C4FA7DD" w:rsidRPr="728F2DAF">
        <w:rPr>
          <w:lang w:val="en-GB"/>
        </w:rPr>
        <w:t>h</w:t>
      </w:r>
      <w:r w:rsidRPr="728F2DAF">
        <w:rPr>
          <w:lang w:val="en-GB"/>
        </w:rPr>
        <w:t xml:space="preserve">uman </w:t>
      </w:r>
      <w:r w:rsidR="6C4FA7DD" w:rsidRPr="728F2DAF">
        <w:rPr>
          <w:lang w:val="en-GB"/>
        </w:rPr>
        <w:t>t</w:t>
      </w:r>
      <w:r w:rsidRPr="728F2DAF">
        <w:rPr>
          <w:lang w:val="en-GB"/>
        </w:rPr>
        <w:t>ravel (</w:t>
      </w:r>
      <w:r w:rsidR="335FAD6E" w:rsidRPr="728F2DAF">
        <w:rPr>
          <w:b/>
          <w:bCs/>
          <w:lang w:val="en-GB"/>
        </w:rPr>
        <w:t xml:space="preserve">section </w:t>
      </w:r>
      <w:r w:rsidRPr="728F2DAF">
        <w:rPr>
          <w:b/>
          <w:bCs/>
          <w:lang w:val="en-GB"/>
        </w:rPr>
        <w:t>3.2.3.</w:t>
      </w:r>
      <w:r w:rsidR="544FFC71" w:rsidRPr="728F2DAF">
        <w:rPr>
          <w:b/>
          <w:bCs/>
          <w:lang w:val="en-GB"/>
        </w:rPr>
        <w:t>4</w:t>
      </w:r>
      <w:r w:rsidRPr="728F2DAF">
        <w:rPr>
          <w:lang w:val="en-GB"/>
        </w:rPr>
        <w:t xml:space="preserve">). In addition, </w:t>
      </w:r>
      <w:r w:rsidR="3CF171DD" w:rsidRPr="728F2DAF">
        <w:rPr>
          <w:lang w:val="en-GB"/>
        </w:rPr>
        <w:t>international institutions and organizations</w:t>
      </w:r>
      <w:r w:rsidRPr="728F2DAF">
        <w:rPr>
          <w:lang w:val="en-GB"/>
        </w:rPr>
        <w:t xml:space="preserve"> may also influence direct drivers </w:t>
      </w:r>
      <w:r w:rsidR="3CC874C8" w:rsidRPr="728F2DAF">
        <w:rPr>
          <w:lang w:val="en-GB"/>
        </w:rPr>
        <w:t xml:space="preserve">of change in nature, </w:t>
      </w:r>
      <w:r w:rsidRPr="728F2DAF">
        <w:rPr>
          <w:lang w:val="en-GB"/>
        </w:rPr>
        <w:t>including the deployment of infrastructure (</w:t>
      </w:r>
      <w:r w:rsidR="335FAD6E" w:rsidRPr="728F2DAF">
        <w:rPr>
          <w:b/>
          <w:bCs/>
          <w:lang w:val="en-GB"/>
        </w:rPr>
        <w:t xml:space="preserve">section </w:t>
      </w:r>
      <w:r w:rsidRPr="728F2DAF">
        <w:rPr>
          <w:b/>
          <w:bCs/>
          <w:lang w:val="en-GB"/>
        </w:rPr>
        <w:t>3.3.1.4</w:t>
      </w:r>
      <w:r w:rsidRPr="728F2DAF">
        <w:rPr>
          <w:lang w:val="en-GB"/>
        </w:rPr>
        <w:t>), introductions from agriculture, forestry, fisheries</w:t>
      </w:r>
      <w:r w:rsidR="009F7404">
        <w:rPr>
          <w:lang w:val="en-GB"/>
        </w:rPr>
        <w:t xml:space="preserve"> and</w:t>
      </w:r>
      <w:r w:rsidRPr="728F2DAF">
        <w:rPr>
          <w:lang w:val="en-GB"/>
        </w:rPr>
        <w:t xml:space="preserve"> aquaculture (</w:t>
      </w:r>
      <w:r w:rsidR="335FAD6E" w:rsidRPr="728F2DAF">
        <w:rPr>
          <w:b/>
          <w:bCs/>
          <w:lang w:val="en-GB"/>
        </w:rPr>
        <w:t xml:space="preserve">sections </w:t>
      </w:r>
      <w:r w:rsidRPr="728F2DAF">
        <w:rPr>
          <w:b/>
          <w:bCs/>
          <w:lang w:val="en-GB"/>
        </w:rPr>
        <w:t>3.</w:t>
      </w:r>
      <w:r w:rsidR="4B9BCFF9" w:rsidRPr="728F2DAF">
        <w:rPr>
          <w:b/>
          <w:bCs/>
          <w:lang w:val="en-GB"/>
        </w:rPr>
        <w:t>2.3.2</w:t>
      </w:r>
      <w:r w:rsidR="4B9BCFF9" w:rsidRPr="728F2DAF">
        <w:rPr>
          <w:lang w:val="en-GB"/>
        </w:rPr>
        <w:t>;</w:t>
      </w:r>
      <w:r w:rsidR="4B9BCFF9" w:rsidRPr="728F2DAF">
        <w:rPr>
          <w:b/>
          <w:bCs/>
          <w:lang w:val="en-GB"/>
        </w:rPr>
        <w:t xml:space="preserve"> </w:t>
      </w:r>
      <w:r w:rsidRPr="728F2DAF">
        <w:rPr>
          <w:b/>
          <w:bCs/>
          <w:lang w:val="en-GB"/>
        </w:rPr>
        <w:t>3.</w:t>
      </w:r>
      <w:r w:rsidR="2B6DD8F2" w:rsidRPr="728F2DAF">
        <w:rPr>
          <w:b/>
          <w:bCs/>
          <w:lang w:val="en-GB"/>
        </w:rPr>
        <w:t>2.3.</w:t>
      </w:r>
      <w:r w:rsidR="597848FC" w:rsidRPr="728F2DAF">
        <w:rPr>
          <w:b/>
          <w:bCs/>
          <w:lang w:val="en-GB"/>
        </w:rPr>
        <w:t>3</w:t>
      </w:r>
      <w:r w:rsidR="004221FA">
        <w:rPr>
          <w:lang w:val="en-GB"/>
        </w:rPr>
        <w:t xml:space="preserve"> and</w:t>
      </w:r>
      <w:r w:rsidR="4B9BCFF9" w:rsidRPr="728F2DAF">
        <w:rPr>
          <w:b/>
          <w:bCs/>
          <w:lang w:val="en-GB"/>
        </w:rPr>
        <w:t xml:space="preserve"> </w:t>
      </w:r>
      <w:r w:rsidRPr="728F2DAF">
        <w:rPr>
          <w:b/>
          <w:bCs/>
          <w:lang w:val="en-GB"/>
        </w:rPr>
        <w:t>3.3.1.1</w:t>
      </w:r>
      <w:r w:rsidRPr="728F2DAF">
        <w:rPr>
          <w:lang w:val="en-GB"/>
        </w:rPr>
        <w:t>), and multilateral measures against climate change</w:t>
      </w:r>
      <w:r w:rsidR="75CFDDF0" w:rsidRPr="728F2DAF">
        <w:rPr>
          <w:lang w:val="en-GB"/>
        </w:rPr>
        <w:t xml:space="preserve"> which may again facilitate invasive alien species</w:t>
      </w:r>
      <w:r w:rsidRPr="728F2DAF">
        <w:rPr>
          <w:lang w:val="en-GB"/>
        </w:rPr>
        <w:t>. Moreover, international agreements and supranational decisions</w:t>
      </w:r>
      <w:r w:rsidR="228ED542" w:rsidRPr="728F2DAF">
        <w:rPr>
          <w:lang w:val="en-GB"/>
        </w:rPr>
        <w:t xml:space="preserve"> </w:t>
      </w:r>
      <w:r w:rsidR="3742ED18" w:rsidRPr="728F2DAF">
        <w:rPr>
          <w:lang w:val="en-GB"/>
        </w:rPr>
        <w:t>may</w:t>
      </w:r>
      <w:r w:rsidRPr="728F2DAF">
        <w:rPr>
          <w:lang w:val="en-GB"/>
        </w:rPr>
        <w:t xml:space="preserve"> scale down to national governance, </w:t>
      </w:r>
      <w:r w:rsidR="62E0B461" w:rsidRPr="728F2DAF">
        <w:rPr>
          <w:lang w:val="en-GB"/>
        </w:rPr>
        <w:t>a</w:t>
      </w:r>
      <w:r w:rsidR="004221FA">
        <w:rPr>
          <w:lang w:val="en-GB"/>
        </w:rPr>
        <w:t>n</w:t>
      </w:r>
      <w:r w:rsidRPr="728F2DAF">
        <w:rPr>
          <w:lang w:val="en-GB"/>
        </w:rPr>
        <w:t xml:space="preserve"> indirect driver of </w:t>
      </w:r>
      <w:r w:rsidR="59373427" w:rsidRPr="728F2DAF">
        <w:rPr>
          <w:lang w:val="en-GB"/>
        </w:rPr>
        <w:t xml:space="preserve">change </w:t>
      </w:r>
      <w:r w:rsidR="4CC2EFA4" w:rsidRPr="728F2DAF">
        <w:rPr>
          <w:lang w:val="en-GB"/>
        </w:rPr>
        <w:t xml:space="preserve">which </w:t>
      </w:r>
      <w:r w:rsidR="59373427" w:rsidRPr="728F2DAF">
        <w:rPr>
          <w:lang w:val="en-GB"/>
        </w:rPr>
        <w:t xml:space="preserve">may facilitate invasive alien species </w:t>
      </w:r>
      <w:r w:rsidRPr="728F2DAF">
        <w:rPr>
          <w:lang w:val="en-GB"/>
        </w:rPr>
        <w:t>(</w:t>
      </w:r>
      <w:r w:rsidR="335FAD6E" w:rsidRPr="728F2DAF">
        <w:rPr>
          <w:b/>
          <w:bCs/>
          <w:lang w:val="en-GB"/>
        </w:rPr>
        <w:t xml:space="preserve">section </w:t>
      </w:r>
      <w:r w:rsidRPr="728F2DAF">
        <w:rPr>
          <w:b/>
          <w:bCs/>
          <w:lang w:val="en-GB"/>
        </w:rPr>
        <w:t>3.2.5</w:t>
      </w:r>
      <w:r w:rsidRPr="728F2DAF">
        <w:rPr>
          <w:lang w:val="en-GB"/>
        </w:rPr>
        <w:t>). Although the role</w:t>
      </w:r>
      <w:r w:rsidR="759E9819" w:rsidRPr="728F2DAF">
        <w:rPr>
          <w:lang w:val="en-GB"/>
        </w:rPr>
        <w:t xml:space="preserve"> of</w:t>
      </w:r>
      <w:r w:rsidRPr="728F2DAF">
        <w:rPr>
          <w:lang w:val="en-GB"/>
        </w:rPr>
        <w:t xml:space="preserve"> </w:t>
      </w:r>
      <w:r w:rsidR="6CD08C11" w:rsidRPr="728F2DAF">
        <w:rPr>
          <w:lang w:val="en-GB"/>
        </w:rPr>
        <w:t xml:space="preserve">governance </w:t>
      </w:r>
      <w:r w:rsidRPr="728F2DAF">
        <w:rPr>
          <w:lang w:val="en-GB"/>
        </w:rPr>
        <w:t xml:space="preserve">in </w:t>
      </w:r>
      <w:r w:rsidR="0DC3577A" w:rsidRPr="728F2DAF">
        <w:rPr>
          <w:lang w:val="en-GB"/>
        </w:rPr>
        <w:t xml:space="preserve">facilitating invasive alien species </w:t>
      </w:r>
      <w:r w:rsidRPr="728F2DAF">
        <w:rPr>
          <w:lang w:val="en-GB"/>
        </w:rPr>
        <w:t xml:space="preserve">has been </w:t>
      </w:r>
      <w:r w:rsidR="11711443" w:rsidRPr="728F2DAF">
        <w:rPr>
          <w:lang w:val="en-GB"/>
        </w:rPr>
        <w:t xml:space="preserve">occasionally </w:t>
      </w:r>
      <w:r w:rsidRPr="728F2DAF">
        <w:rPr>
          <w:lang w:val="en-GB"/>
        </w:rPr>
        <w:t xml:space="preserve">evaluated </w:t>
      </w:r>
      <w:r w:rsidR="722AC113" w:rsidRPr="728F2DAF">
        <w:rPr>
          <w:lang w:val="en-GB"/>
        </w:rPr>
        <w:fldChar w:fldCharType="begin"/>
      </w:r>
      <w:r w:rsidR="00331A79">
        <w:rPr>
          <w:lang w:val="en-GB"/>
        </w:rPr>
        <w:instrText xml:space="preserve"> ADDIN ZOTERO_ITEM CSL_CITATION {"citationID":"aqagfa4nvk","properties":{"formattedCitation":"(T. Evans et al., 2018)","plainCitation":"(T. Evans et al., 2018)","dontUpdate":true,"noteIndex":0},"citationItems":[{"id":11369,"uris":["http://zotero.org/groups/2352922/items/G6QLGHXL"],"itemData":{"id":11369,"type":"article-journal","abstract":"Invasive alien species (IAS) constitute a major threat to global biological diversity. In order to control their spread, a detailed understanding of the factors influencing their distribution is essential. Although international trade is regarded as a major force structuring spatial patterns of IAS, the role of other social factors remains unclear. Despite studies highlighting the importance of strong governance in slowing drivers of biodiversity loss such as logging, deforestation, and agricultural intensification, no study has yet analyzed its contribution to the issue of IAS. Using estimates of governance quality and comprehensive spatiotemporal IAS data, we performed multiple linear regressions to investigate the effect of governance quality upon the distribution of species listed under “100 of the worst” IAS in 38 Eurasian countries as defined by DASIE. Our model suggested that for countries with higher GDP, stronger governance was associated with a greater number of the worst IAS; in contrast, for the lowest GDP countries under analysis, stronger governance was associated with fewer of these IAS. We elucidate how the quality of governance within a country has implications for trade, tourism, transport, legislation, and economic development, all of which influence the spread of IAS. While our findings support the common assumption that strengthening governance benefits conservation interventions in countries of smaller economy, we find that this effect is not universal. Stronger governance alone cannot adequately address the problem of IAS, and targeted action is required in relatively high-GDP countries in order to stem the influx of IAS associated with high volumes of trade.","container-title":"Ecology and Evolution","DOI":"10.1002/ece3.3744","ISSN":"2045-7758","issue":"4","journalAbbreviation":"Ecol Evol","language":"en","license":"© 2017 The Authors. Ecology and Evolution published by John Wiley &amp; Sons Ltd.","page":"1984-1994","source":"Wiley Online Library","title":"Does governance play a role in the distribution of invasive alien species?","URL":"https://onlinelibrary.wiley.com/doi/abs/10.1002/ece3.3744","volume":"8","author":[{"family":"Evans","given":"Thomas"},{"family":"Ermgassen","given":"Philine","dropping-particle":"zu"},{"family":"Amano","given":"Tatsuya"},{"family":"Peh","given":"Kelvin S.-H."}],"accessed":{"date-parts":[["2019",1,7]]},"issued":{"date-parts":[["2018",1,17]]}}}],"schema":"https://github.com/citation-style-language/schema/raw/master/csl-citation.json"} </w:instrText>
      </w:r>
      <w:r w:rsidR="722AC113" w:rsidRPr="728F2DAF">
        <w:rPr>
          <w:lang w:val="en-GB"/>
        </w:rPr>
        <w:fldChar w:fldCharType="separate"/>
      </w:r>
      <w:r w:rsidR="0BE4ACAA" w:rsidRPr="728F2DAF">
        <w:rPr>
          <w:lang w:val="en-GB"/>
        </w:rPr>
        <w:t>(Evans et al., 2018)</w:t>
      </w:r>
      <w:r w:rsidR="722AC113" w:rsidRPr="728F2DAF">
        <w:rPr>
          <w:lang w:val="en-GB"/>
        </w:rPr>
        <w:fldChar w:fldCharType="end"/>
      </w:r>
      <w:r w:rsidR="0FD2C2F8" w:rsidRPr="728F2DAF">
        <w:rPr>
          <w:lang w:val="en-GB"/>
        </w:rPr>
        <w:t xml:space="preserve">, with a few exceptions </w:t>
      </w:r>
      <w:r w:rsidR="722AC113" w:rsidRPr="728F2DAF">
        <w:rPr>
          <w:lang w:val="en-GB"/>
        </w:rPr>
        <w:fldChar w:fldCharType="begin"/>
      </w:r>
      <w:r w:rsidR="00331A79">
        <w:rPr>
          <w:lang w:val="en-GB"/>
        </w:rPr>
        <w:instrText xml:space="preserve"> ADDIN ZOTERO_ITEM CSL_CITATION {"citationID":"H6sYrwCF","properties":{"formattedCitation":"(Mwangi &amp; Swallow, 2008; P\\uc0\\u233{}rez et al., 2003)","plainCitation":"(Mwangi &amp; Swallow, 2008; Pérez et al., 2003)","noteIndex":0},"citationItems":[{"id":26923,"uris":["http://zotero.org/groups/2352922/items/UEPIXY94"],"itemData":{"id":26923,"type":"article-journal","abstract":"Global concern about deforestation caused by fuelwood shortages prompted the introduction of Prosopis juliflora to many tropical areas in the 1970s and 1980s. P. juliflora is a hardy nitrogen-fixing tree that is now recognised as one of the world’s most invasive alien species. The introduction and subsequent invasion of P. juliflora in the Lake Baringo area of Kenya has attracted national media attention and contradictory responses from responsible agencies. This paper presents an assessment of the livelihood effects, costs of control and local perceptions on P. juliflora of rural residents in the Lake Baringo area. Unlike some other parts of the world where it had been introduced, few of the potential benefits of P. juliflora have been captured and very few people realise the net benefits in places where the invasion is most advanced. Strong local support for eradication and replacement appears to be well justified. Sustainable utilisation will require considerable investment and institutional innovation.","container-title":"Conservation and Society","DOI":"10.4103/0972-4923.49207","ISSN":"0972-4923","issue":"2","journalAbbreviation":"Conservat Soc","language":"en","page":"130-140","source":"DOI.org (Crossref)","title":"&lt;i&gt;Prosopis juliflora&lt;/i&gt; invasion and rural livelihoods in the Lake Baringo area of Kenya","URL":"https://www.jstor.org/stable/26392921","volume":"6","author":[{"family":"Mwangi","given":"Esther"},{"family":"Swallow","given":"Brent"}],"accessed":{"date-parts":[["2019",11,7]]},"issued":{"date-parts":[["2008"]]}}},{"id":16668,"uris":["http://zotero.org/groups/2352922/items/PTUYNJQE"],"itemData":{"id":16668,"type":"article-journal","abstract":"The role of some governments and international organizations in the introduction of alien species in new environments is examined, using the case of aquaculture. Most introductions in Latin America have been made for purely economic reasons, without proper concern for biological, ecological, genetic and socio-economic consequences. Examples include the introduction of Litopenaeus vannamei and...","container-title":"Interciencia","ISSN":"0378-1844","issue":"4","language":"English","page":"234-238","source":"www.cabdirect.org","title":"The introduction of exotic species in aquaculture: a solution or part of the problem?","title-short":"The introduction of exotic species in aquaculture","URL":"https://www.researchgate.net/publication/233808881_The_introduction_of_exotic_species_in_aquaculture_A_solution_or_part_of_the_problem","volume":"28","author":[{"family":"Pérez","given":"Julio E"},{"family":"Alfonsi","given":"Carmen"},{"family":"Nirchio","given":"Mauro"},{"family":"Muñoz","given":"Carlos"},{"family":"Gómez","given":"Juan A"}],"accessed":{"date-parts":[["2019",12,4]]},"issued":{"date-parts":[["2003"]]}}}],"schema":"https://github.com/citation-style-language/schema/raw/master/csl-citation.json"} </w:instrText>
      </w:r>
      <w:r w:rsidR="722AC113" w:rsidRPr="728F2DAF">
        <w:rPr>
          <w:lang w:val="en-GB"/>
        </w:rPr>
        <w:fldChar w:fldCharType="separate"/>
      </w:r>
      <w:r w:rsidR="73B99EB6">
        <w:t>(Mwangi &amp; Swallow, 2008; Pérez et al., 2003)</w:t>
      </w:r>
      <w:r w:rsidR="722AC113" w:rsidRPr="728F2DAF">
        <w:rPr>
          <w:lang w:val="en-GB"/>
        </w:rPr>
        <w:fldChar w:fldCharType="end"/>
      </w:r>
      <w:r w:rsidR="761CB735" w:rsidRPr="728F2DAF">
        <w:rPr>
          <w:lang w:val="en-GB"/>
        </w:rPr>
        <w:t>,</w:t>
      </w:r>
      <w:r w:rsidR="38804ABB" w:rsidRPr="728F2DAF">
        <w:rPr>
          <w:lang w:val="en-GB"/>
        </w:rPr>
        <w:t xml:space="preserve"> there is a paucity of studies specifically addressing the role of international organizations and institutions </w:t>
      </w:r>
      <w:r w:rsidR="649E9745" w:rsidRPr="728F2DAF">
        <w:rPr>
          <w:lang w:val="en-GB"/>
        </w:rPr>
        <w:t>in managing biological invasions</w:t>
      </w:r>
      <w:r w:rsidR="38804ABB" w:rsidRPr="728F2DAF">
        <w:rPr>
          <w:lang w:val="en-GB"/>
        </w:rPr>
        <w:t>.</w:t>
      </w:r>
      <w:r w:rsidR="404F6AEC" w:rsidRPr="728F2DAF">
        <w:rPr>
          <w:lang w:val="en-GB"/>
        </w:rPr>
        <w:t xml:space="preserve"> </w:t>
      </w:r>
      <w:r w:rsidRPr="728F2DAF">
        <w:rPr>
          <w:lang w:val="en-GB"/>
        </w:rPr>
        <w:t>While it is hard to draw overal</w:t>
      </w:r>
      <w:r w:rsidR="639CD19D" w:rsidRPr="728F2DAF">
        <w:rPr>
          <w:lang w:val="en-GB"/>
        </w:rPr>
        <w:t>l geographical patterns</w:t>
      </w:r>
      <w:r w:rsidRPr="728F2DAF">
        <w:rPr>
          <w:lang w:val="en-GB"/>
        </w:rPr>
        <w:t xml:space="preserve"> because of the global scale of this driver, its </w:t>
      </w:r>
      <w:r w:rsidR="57BA1045" w:rsidRPr="728F2DAF">
        <w:rPr>
          <w:lang w:val="en-GB"/>
        </w:rPr>
        <w:t>influence</w:t>
      </w:r>
      <w:r w:rsidRPr="728F2DAF">
        <w:rPr>
          <w:lang w:val="en-GB"/>
        </w:rPr>
        <w:t xml:space="preserve"> is </w:t>
      </w:r>
      <w:r w:rsidR="38804ABB" w:rsidRPr="728F2DAF">
        <w:rPr>
          <w:lang w:val="en-GB"/>
        </w:rPr>
        <w:t xml:space="preserve">expected to </w:t>
      </w:r>
      <w:r w:rsidR="4DBD0439" w:rsidRPr="728F2DAF">
        <w:rPr>
          <w:lang w:val="en-GB"/>
        </w:rPr>
        <w:t xml:space="preserve">be </w:t>
      </w:r>
      <w:r w:rsidR="35EBDBA4" w:rsidRPr="728F2DAF">
        <w:rPr>
          <w:lang w:val="en-GB"/>
        </w:rPr>
        <w:t>global</w:t>
      </w:r>
      <w:r w:rsidRPr="728F2DAF">
        <w:rPr>
          <w:lang w:val="en-GB"/>
        </w:rPr>
        <w:t xml:space="preserve">. </w:t>
      </w:r>
      <w:r w:rsidR="2A455358" w:rsidRPr="728F2DAF">
        <w:rPr>
          <w:lang w:val="en-GB"/>
        </w:rPr>
        <w:t>This section</w:t>
      </w:r>
      <w:r w:rsidRPr="728F2DAF">
        <w:rPr>
          <w:lang w:val="en-GB"/>
        </w:rPr>
        <w:t xml:space="preserve"> illustrate</w:t>
      </w:r>
      <w:r w:rsidR="2A455358" w:rsidRPr="728F2DAF">
        <w:rPr>
          <w:lang w:val="en-GB"/>
        </w:rPr>
        <w:t>s</w:t>
      </w:r>
      <w:r w:rsidRPr="728F2DAF">
        <w:rPr>
          <w:lang w:val="en-GB"/>
        </w:rPr>
        <w:t xml:space="preserve"> </w:t>
      </w:r>
      <w:r w:rsidR="7DE267A8" w:rsidRPr="728F2DAF">
        <w:rPr>
          <w:lang w:val="en-GB"/>
        </w:rPr>
        <w:t>the</w:t>
      </w:r>
      <w:r w:rsidR="39BE2D4F" w:rsidRPr="728F2DAF">
        <w:rPr>
          <w:lang w:val="en-GB"/>
        </w:rPr>
        <w:t xml:space="preserve"> issue of international institutions and organi</w:t>
      </w:r>
      <w:r w:rsidR="4B59F0C4" w:rsidRPr="728F2DAF">
        <w:rPr>
          <w:lang w:val="en-GB"/>
        </w:rPr>
        <w:t>z</w:t>
      </w:r>
      <w:r w:rsidR="39BE2D4F" w:rsidRPr="728F2DAF">
        <w:rPr>
          <w:lang w:val="en-GB"/>
        </w:rPr>
        <w:t xml:space="preserve">ations acting as an indirect driver </w:t>
      </w:r>
      <w:r w:rsidR="49B5D9D9" w:rsidRPr="728F2DAF">
        <w:rPr>
          <w:lang w:val="en-GB"/>
        </w:rPr>
        <w:t xml:space="preserve">promoting invasive alien species by facilitating </w:t>
      </w:r>
      <w:r w:rsidR="51B8FDDF" w:rsidRPr="728F2DAF">
        <w:rPr>
          <w:lang w:val="en-GB"/>
        </w:rPr>
        <w:t>different</w:t>
      </w:r>
      <w:r w:rsidRPr="728F2DAF">
        <w:rPr>
          <w:lang w:val="en-GB"/>
        </w:rPr>
        <w:t xml:space="preserve"> stages of the</w:t>
      </w:r>
      <w:r w:rsidR="5ABC3A88" w:rsidRPr="728F2DAF">
        <w:rPr>
          <w:lang w:val="en-GB"/>
        </w:rPr>
        <w:t xml:space="preserve"> biological</w:t>
      </w:r>
      <w:r w:rsidRPr="728F2DAF">
        <w:rPr>
          <w:lang w:val="en-GB"/>
        </w:rPr>
        <w:t xml:space="preserve"> invasion </w:t>
      </w:r>
      <w:r w:rsidR="33F98829" w:rsidRPr="728F2DAF">
        <w:rPr>
          <w:lang w:val="en-GB"/>
        </w:rPr>
        <w:t>process</w:t>
      </w:r>
      <w:r w:rsidRPr="728F2DAF">
        <w:rPr>
          <w:lang w:val="en-GB"/>
        </w:rPr>
        <w:t>.</w:t>
      </w:r>
    </w:p>
    <w:p w14:paraId="2746E610" w14:textId="3498A084" w:rsidR="00F77620" w:rsidRPr="00DA249F" w:rsidRDefault="3B644563" w:rsidP="0090109B">
      <w:pPr>
        <w:rPr>
          <w:lang w:val="en-GB"/>
        </w:rPr>
      </w:pPr>
      <w:r w:rsidRPr="5575EBFC">
        <w:rPr>
          <w:lang w:val="en-GB"/>
        </w:rPr>
        <w:t>I</w:t>
      </w:r>
      <w:r w:rsidR="2592944D" w:rsidRPr="5575EBFC">
        <w:rPr>
          <w:lang w:val="en-GB"/>
        </w:rPr>
        <w:t>nternational</w:t>
      </w:r>
      <w:r w:rsidR="58FB929E" w:rsidRPr="5575EBFC">
        <w:rPr>
          <w:lang w:val="en-GB"/>
        </w:rPr>
        <w:t xml:space="preserve"> funding a</w:t>
      </w:r>
      <w:r w:rsidR="3D04D128" w:rsidRPr="5575EBFC">
        <w:rPr>
          <w:lang w:val="en-GB"/>
        </w:rPr>
        <w:t>gencie</w:t>
      </w:r>
      <w:r w:rsidR="58FB929E" w:rsidRPr="5575EBFC">
        <w:rPr>
          <w:lang w:val="en-GB"/>
        </w:rPr>
        <w:t>s</w:t>
      </w:r>
      <w:r w:rsidR="3D04D128" w:rsidRPr="5575EBFC">
        <w:rPr>
          <w:lang w:val="en-GB"/>
        </w:rPr>
        <w:t xml:space="preserve"> for economic development and regional integration may </w:t>
      </w:r>
      <w:r w:rsidR="663FAD86" w:rsidRPr="5575EBFC">
        <w:rPr>
          <w:lang w:val="en-GB"/>
        </w:rPr>
        <w:t xml:space="preserve">indirectly </w:t>
      </w:r>
      <w:r w:rsidR="3D04D128" w:rsidRPr="5575EBFC">
        <w:rPr>
          <w:lang w:val="en-GB"/>
        </w:rPr>
        <w:t xml:space="preserve">influence the uptake, and transport of </w:t>
      </w:r>
      <w:r w:rsidR="7EA2C64F" w:rsidRPr="5575EBFC">
        <w:rPr>
          <w:lang w:val="en-GB"/>
        </w:rPr>
        <w:t xml:space="preserve">invasive alien species </w:t>
      </w:r>
      <w:r w:rsidR="3D04D128" w:rsidRPr="5575EBFC">
        <w:rPr>
          <w:lang w:val="en-GB"/>
        </w:rPr>
        <w:t xml:space="preserve">by financing large scale infrastructure that facilitates the unintended movement of </w:t>
      </w:r>
      <w:r w:rsidR="5ECA953C" w:rsidRPr="5575EBFC">
        <w:rPr>
          <w:lang w:val="en-GB"/>
        </w:rPr>
        <w:t>alien</w:t>
      </w:r>
      <w:r w:rsidR="3D04D128" w:rsidRPr="5575EBFC">
        <w:rPr>
          <w:lang w:val="en-GB"/>
        </w:rPr>
        <w:t xml:space="preserve"> species (</w:t>
      </w:r>
      <w:r w:rsidR="451E77B1" w:rsidRPr="5575EBFC">
        <w:rPr>
          <w:lang w:val="en-GB"/>
        </w:rPr>
        <w:t>e.g.,</w:t>
      </w:r>
      <w:r w:rsidR="3D04D128" w:rsidRPr="5575EBFC">
        <w:rPr>
          <w:lang w:val="en-GB"/>
        </w:rPr>
        <w:t xml:space="preserve"> </w:t>
      </w:r>
      <w:r w:rsidR="3D01BD9D" w:rsidRPr="5575EBFC">
        <w:rPr>
          <w:lang w:val="en-GB"/>
        </w:rPr>
        <w:t>navigation channels and tunnels</w:t>
      </w:r>
      <w:r w:rsidR="7563B56A" w:rsidRPr="5575EBFC">
        <w:rPr>
          <w:lang w:val="en-GB"/>
        </w:rPr>
        <w:t>;</w:t>
      </w:r>
      <w:r w:rsidR="3D01BD9D" w:rsidRPr="5575EBFC">
        <w:rPr>
          <w:lang w:val="en-GB"/>
        </w:rPr>
        <w:t xml:space="preserve"> </w:t>
      </w:r>
      <w:r w:rsidR="7E767A2C" w:rsidRPr="5575EBFC">
        <w:rPr>
          <w:lang w:val="en-GB"/>
        </w:rPr>
        <w:fldChar w:fldCharType="begin"/>
      </w:r>
      <w:r w:rsidR="00331A79">
        <w:rPr>
          <w:lang w:val="en-GB"/>
        </w:rPr>
        <w:instrText xml:space="preserve"> ADDIN ZOTERO_ITEM CSL_CITATION {"citationID":"a1tjnet69b3","properties":{"formattedCitation":"(Hulme, 2015b)","plainCitation":"(Hulme, 2015b)","dontUpdate":true,"noteIndex":0},"citationItems":[{"id":30909,"uris":["http://zotero.org/groups/2352922/items/NZFSMFGX"],"itemData":{"id":30909,"type":"article-journal","abstract":"Parties to the Convention on Biological Diversity have agreed that, by 2020, invasion pathways will be identified, prioritized and managed to prevent the introduction of invasive alien species. The challenges facing this target are examined for six primary invasion pathways: assisted colonization as a deliberate release; escape of pets and aquaria species; parasite and pathogen contaminants of wildlife; stowaways on tourist clothing and equipment; navigation corridors; and transboundary implications of unaided spread. Economic drivers such as tourism, the pet trade and infrastructure projects will accelerate invasive alien species introductions, particularly in emerging economies. Mitigation requires polluter pays' legislation combined with improved policy enforcement and compliance.Policy implications. Policymakers require new risk analysis tools to predict the hazards posed by species with no prior invasion history, the vulnerability of native biodiversity to emerging diseases, and the components of regional species pools that become invasive following connection via corridors.","container-title":"Journal of Applied Ecology","DOI":"10.1111/1365-2664.12470","ISSN":"0021-8901","issue":"6","journalAbbreviation":"J Appl Ecol","license":"© 2015 The Author. Journal of Applied Ecology © 2015 British Ecological Society","note":"WOS:000367095400002","page":"1418-1424","source":"DOI.org (Crossref)","title":"Invasion pathways at a crossroad: policy and research challenges for managing alien species introductions","title-short":"Invasion pathways at a crossroad","URL":"http://doi.wiley.com/10.1111/1365-2664.12470","volume":"52","author":[{"family":"Hulme","given":"Philip E."}],"issued":{"date-parts":[["2015",12]]}}}],"schema":"https://github.com/citation-style-language/schema/raw/master/csl-citation.json"} </w:instrText>
      </w:r>
      <w:r w:rsidR="7E767A2C" w:rsidRPr="5575EBFC">
        <w:rPr>
          <w:lang w:val="en-GB"/>
        </w:rPr>
        <w:fldChar w:fldCharType="separate"/>
      </w:r>
      <w:r w:rsidR="0BE50F64" w:rsidRPr="5575EBFC">
        <w:rPr>
          <w:lang w:val="en-GB"/>
        </w:rPr>
        <w:t>Hulme, 2015b)</w:t>
      </w:r>
      <w:r w:rsidR="7E767A2C" w:rsidRPr="5575EBFC">
        <w:rPr>
          <w:lang w:val="en-GB"/>
        </w:rPr>
        <w:fldChar w:fldCharType="end"/>
      </w:r>
      <w:r w:rsidR="3D01BD9D" w:rsidRPr="5575EBFC">
        <w:rPr>
          <w:lang w:val="en-GB"/>
        </w:rPr>
        <w:t xml:space="preserve">. In addition, </w:t>
      </w:r>
      <w:r w:rsidR="23371A76" w:rsidRPr="5575EBFC">
        <w:rPr>
          <w:lang w:val="en-GB"/>
        </w:rPr>
        <w:t xml:space="preserve">international funding agencies </w:t>
      </w:r>
      <w:r w:rsidR="3D01BD9D" w:rsidRPr="5575EBFC">
        <w:rPr>
          <w:lang w:val="en-GB"/>
        </w:rPr>
        <w:t xml:space="preserve">may facilitate the introduction, </w:t>
      </w:r>
      <w:r w:rsidR="5E3CFE30" w:rsidRPr="5575EBFC">
        <w:rPr>
          <w:lang w:val="en-GB"/>
        </w:rPr>
        <w:t>release,</w:t>
      </w:r>
      <w:r w:rsidR="3D01BD9D" w:rsidRPr="5575EBFC">
        <w:rPr>
          <w:lang w:val="en-GB"/>
        </w:rPr>
        <w:t xml:space="preserve"> and establishment of </w:t>
      </w:r>
      <w:r w:rsidR="0E6400F0" w:rsidRPr="5575EBFC">
        <w:rPr>
          <w:lang w:val="en-GB"/>
        </w:rPr>
        <w:t xml:space="preserve">invasive alien species </w:t>
      </w:r>
      <w:r w:rsidR="3D01BD9D" w:rsidRPr="5575EBFC">
        <w:rPr>
          <w:lang w:val="en-GB"/>
        </w:rPr>
        <w:t xml:space="preserve">by actively promoting the use of </w:t>
      </w:r>
      <w:r w:rsidR="5ECA953C" w:rsidRPr="5575EBFC">
        <w:rPr>
          <w:lang w:val="en-GB"/>
        </w:rPr>
        <w:t xml:space="preserve">alien </w:t>
      </w:r>
      <w:r w:rsidR="3D01BD9D" w:rsidRPr="5575EBFC">
        <w:rPr>
          <w:lang w:val="en-GB"/>
        </w:rPr>
        <w:t>species in agriculture, fisheries and forestry and carbon sequestration solutions</w:t>
      </w:r>
      <w:r w:rsidR="526910A5" w:rsidRPr="5575EBFC">
        <w:rPr>
          <w:lang w:val="en-GB"/>
        </w:rPr>
        <w:t xml:space="preserve"> </w:t>
      </w:r>
      <w:r w:rsidR="50CE0EAC" w:rsidRPr="5575EBFC">
        <w:rPr>
          <w:lang w:val="en-GB"/>
        </w:rPr>
        <w:t>(</w:t>
      </w:r>
      <w:r w:rsidR="526910A5" w:rsidRPr="5575EBFC">
        <w:rPr>
          <w:b/>
          <w:bCs/>
          <w:lang w:val="en-GB"/>
        </w:rPr>
        <w:t>section</w:t>
      </w:r>
      <w:r w:rsidR="1D33F77C" w:rsidRPr="5575EBFC">
        <w:rPr>
          <w:b/>
          <w:bCs/>
          <w:lang w:val="en-GB"/>
        </w:rPr>
        <w:t>s</w:t>
      </w:r>
      <w:r w:rsidR="526910A5" w:rsidRPr="5575EBFC">
        <w:rPr>
          <w:b/>
          <w:bCs/>
          <w:lang w:val="en-GB"/>
        </w:rPr>
        <w:t xml:space="preserve"> 3.</w:t>
      </w:r>
      <w:r w:rsidR="12E29110" w:rsidRPr="5575EBFC">
        <w:rPr>
          <w:b/>
          <w:bCs/>
          <w:lang w:val="en-GB"/>
        </w:rPr>
        <w:t>2.3.2</w:t>
      </w:r>
      <w:r w:rsidR="12E29110" w:rsidRPr="5575EBFC">
        <w:rPr>
          <w:lang w:val="en-GB"/>
        </w:rPr>
        <w:t>;</w:t>
      </w:r>
      <w:r w:rsidR="12E29110" w:rsidRPr="5575EBFC">
        <w:rPr>
          <w:b/>
          <w:bCs/>
          <w:lang w:val="en-GB"/>
        </w:rPr>
        <w:t xml:space="preserve"> </w:t>
      </w:r>
      <w:r w:rsidR="526910A5" w:rsidRPr="5575EBFC">
        <w:rPr>
          <w:b/>
          <w:bCs/>
          <w:lang w:val="en-GB"/>
        </w:rPr>
        <w:t>3.3.1.1</w:t>
      </w:r>
      <w:r w:rsidR="526910A5" w:rsidRPr="5575EBFC">
        <w:rPr>
          <w:lang w:val="en-GB"/>
        </w:rPr>
        <w:t>)</w:t>
      </w:r>
      <w:r w:rsidR="3D01BD9D" w:rsidRPr="5575EBFC">
        <w:rPr>
          <w:lang w:val="en-GB"/>
        </w:rPr>
        <w:t xml:space="preserve">. </w:t>
      </w:r>
      <w:r w:rsidR="1FD74BB2" w:rsidRPr="5575EBFC">
        <w:rPr>
          <w:lang w:val="en-GB"/>
        </w:rPr>
        <w:t xml:space="preserve">An emblematic example is the </w:t>
      </w:r>
      <w:r w:rsidR="5A235BDE" w:rsidRPr="5575EBFC">
        <w:rPr>
          <w:lang w:val="en-GB"/>
        </w:rPr>
        <w:t>promotion</w:t>
      </w:r>
      <w:r w:rsidR="1FD74BB2" w:rsidRPr="5575EBFC">
        <w:rPr>
          <w:lang w:val="en-GB"/>
        </w:rPr>
        <w:t xml:space="preserve"> of the highly invasive leguminous tree </w:t>
      </w:r>
      <w:r w:rsidR="1FD74BB2" w:rsidRPr="5575EBFC">
        <w:rPr>
          <w:i/>
          <w:iCs/>
          <w:lang w:val="en-GB"/>
        </w:rPr>
        <w:t xml:space="preserve">Prosopis juliflora </w:t>
      </w:r>
      <w:r w:rsidR="1FD74BB2" w:rsidRPr="5575EBFC">
        <w:rPr>
          <w:lang w:val="en-GB"/>
        </w:rPr>
        <w:t xml:space="preserve">(mesquite; </w:t>
      </w:r>
      <w:r w:rsidR="1FD74BB2" w:rsidRPr="5575EBFC">
        <w:rPr>
          <w:b/>
          <w:bCs/>
          <w:lang w:val="en-GB"/>
        </w:rPr>
        <w:t>section 3.2.3.</w:t>
      </w:r>
      <w:r w:rsidR="27B10D50" w:rsidRPr="5575EBFC">
        <w:rPr>
          <w:b/>
          <w:bCs/>
          <w:lang w:val="en-GB"/>
        </w:rPr>
        <w:t>6</w:t>
      </w:r>
      <w:r w:rsidR="64C34A1B" w:rsidRPr="5575EBFC">
        <w:rPr>
          <w:lang w:val="en-GB"/>
        </w:rPr>
        <w:t>;</w:t>
      </w:r>
      <w:r w:rsidR="64C34A1B" w:rsidRPr="5575EBFC">
        <w:rPr>
          <w:b/>
          <w:bCs/>
          <w:lang w:val="en-GB"/>
        </w:rPr>
        <w:t xml:space="preserve"> </w:t>
      </w:r>
      <w:r w:rsidR="00E23B69">
        <w:rPr>
          <w:b/>
          <w:bCs/>
          <w:lang w:val="en-GB"/>
        </w:rPr>
        <w:t>Box</w:t>
      </w:r>
      <w:r w:rsidR="7EF70BBD" w:rsidRPr="5575EBFC">
        <w:rPr>
          <w:b/>
          <w:bCs/>
          <w:lang w:val="en-GB"/>
        </w:rPr>
        <w:t xml:space="preserve"> </w:t>
      </w:r>
      <w:r w:rsidR="5854D615" w:rsidRPr="5575EBFC">
        <w:rPr>
          <w:b/>
          <w:bCs/>
          <w:lang w:val="en-GB"/>
        </w:rPr>
        <w:t>3.6</w:t>
      </w:r>
      <w:r w:rsidR="1FD74BB2" w:rsidRPr="5575EBFC">
        <w:rPr>
          <w:lang w:val="en-GB"/>
        </w:rPr>
        <w:t xml:space="preserve">) </w:t>
      </w:r>
      <w:r w:rsidR="5A235BDE" w:rsidRPr="5575EBFC">
        <w:rPr>
          <w:lang w:val="en-GB"/>
        </w:rPr>
        <w:t xml:space="preserve">from Central and South America </w:t>
      </w:r>
      <w:r w:rsidR="1FD74BB2" w:rsidRPr="5575EBFC">
        <w:rPr>
          <w:lang w:val="en-GB"/>
        </w:rPr>
        <w:t>in</w:t>
      </w:r>
      <w:r w:rsidR="5A235BDE" w:rsidRPr="5575EBFC">
        <w:rPr>
          <w:lang w:val="en-GB"/>
        </w:rPr>
        <w:t>to</w:t>
      </w:r>
      <w:r w:rsidR="1FD74BB2" w:rsidRPr="5575EBFC">
        <w:rPr>
          <w:lang w:val="en-GB"/>
        </w:rPr>
        <w:t xml:space="preserve"> many arid and semi-arid regions of the world</w:t>
      </w:r>
      <w:r w:rsidR="5A235BDE" w:rsidRPr="5575EBFC">
        <w:rPr>
          <w:lang w:val="en-GB"/>
        </w:rPr>
        <w:t>.</w:t>
      </w:r>
      <w:r w:rsidR="23BF2FFE" w:rsidRPr="5575EBFC">
        <w:rPr>
          <w:lang w:val="en-GB"/>
        </w:rPr>
        <w:t xml:space="preserve"> </w:t>
      </w:r>
      <w:r w:rsidR="1FD74BB2" w:rsidRPr="5575EBFC">
        <w:rPr>
          <w:lang w:val="en-GB"/>
        </w:rPr>
        <w:t>Similarly,</w:t>
      </w:r>
      <w:r w:rsidR="6B2AE141" w:rsidRPr="5575EBFC">
        <w:rPr>
          <w:lang w:val="en-GB"/>
        </w:rPr>
        <w:t xml:space="preserve"> </w:t>
      </w:r>
      <w:r w:rsidR="07D1DAAC" w:rsidRPr="5575EBFC">
        <w:rPr>
          <w:i/>
          <w:iCs/>
          <w:lang w:val="en-GB"/>
        </w:rPr>
        <w:t>Pontederia</w:t>
      </w:r>
      <w:r w:rsidR="6E992D3A" w:rsidRPr="5575EBFC">
        <w:rPr>
          <w:i/>
          <w:iCs/>
          <w:lang w:val="en-GB"/>
        </w:rPr>
        <w:t xml:space="preserve"> </w:t>
      </w:r>
      <w:r w:rsidR="6E992D3A" w:rsidRPr="5575EBFC">
        <w:rPr>
          <w:rStyle w:val="eop"/>
          <w:i/>
          <w:iCs/>
          <w:lang w:val="en-GB"/>
        </w:rPr>
        <w:t>crassipes</w:t>
      </w:r>
      <w:r w:rsidR="6B2AE141" w:rsidRPr="5575EBFC">
        <w:rPr>
          <w:i/>
          <w:iCs/>
          <w:lang w:val="en-GB"/>
        </w:rPr>
        <w:t xml:space="preserve"> </w:t>
      </w:r>
      <w:r w:rsidR="6B2AE141" w:rsidRPr="5575EBFC">
        <w:rPr>
          <w:lang w:val="en-GB"/>
        </w:rPr>
        <w:t>(water hyacinth)</w:t>
      </w:r>
      <w:r w:rsidR="6B2AE141" w:rsidRPr="5575EBFC">
        <w:rPr>
          <w:i/>
          <w:iCs/>
          <w:lang w:val="en-GB"/>
        </w:rPr>
        <w:t xml:space="preserve"> </w:t>
      </w:r>
      <w:r w:rsidR="612F18EC" w:rsidRPr="5575EBFC">
        <w:rPr>
          <w:lang w:val="en-GB"/>
        </w:rPr>
        <w:t>has been</w:t>
      </w:r>
      <w:r w:rsidR="6B2AE141" w:rsidRPr="5575EBFC">
        <w:rPr>
          <w:lang w:val="en-GB"/>
        </w:rPr>
        <w:t xml:space="preserve"> promoted by international aid agencies in Africa for biomass production</w:t>
      </w:r>
      <w:r w:rsidR="3688C2CD" w:rsidRPr="5575EBFC">
        <w:rPr>
          <w:lang w:val="en-GB"/>
        </w:rPr>
        <w:t xml:space="preserve"> (</w:t>
      </w:r>
      <w:r w:rsidR="609621F9" w:rsidRPr="5575EBFC">
        <w:rPr>
          <w:b/>
          <w:bCs/>
          <w:lang w:val="en-GB"/>
        </w:rPr>
        <w:t>section 3.5</w:t>
      </w:r>
      <w:r w:rsidR="2BB13C31" w:rsidRPr="5575EBFC">
        <w:rPr>
          <w:b/>
          <w:bCs/>
          <w:lang w:val="en-GB"/>
        </w:rPr>
        <w:t>.2</w:t>
      </w:r>
      <w:r w:rsidR="2BB13C31" w:rsidRPr="5575EBFC">
        <w:rPr>
          <w:lang w:val="en-GB"/>
        </w:rPr>
        <w:t>,</w:t>
      </w:r>
      <w:r w:rsidR="2BB13C31" w:rsidRPr="5575EBFC">
        <w:rPr>
          <w:b/>
          <w:bCs/>
          <w:lang w:val="en-GB"/>
        </w:rPr>
        <w:t xml:space="preserve"> </w:t>
      </w:r>
      <w:r w:rsidR="00E23B69">
        <w:rPr>
          <w:b/>
          <w:bCs/>
          <w:lang w:val="en-GB"/>
        </w:rPr>
        <w:t>Box</w:t>
      </w:r>
      <w:r w:rsidR="56CA5029" w:rsidRPr="5575EBFC">
        <w:rPr>
          <w:b/>
          <w:bCs/>
          <w:lang w:val="en-GB"/>
        </w:rPr>
        <w:t xml:space="preserve"> 3.12</w:t>
      </w:r>
      <w:r w:rsidR="3688C2CD" w:rsidRPr="5575EBFC">
        <w:rPr>
          <w:lang w:val="en-GB"/>
        </w:rPr>
        <w:t>)</w:t>
      </w:r>
      <w:r w:rsidR="6B2AE141" w:rsidRPr="5575EBFC">
        <w:rPr>
          <w:lang w:val="en-GB"/>
        </w:rPr>
        <w:t>. It</w:t>
      </w:r>
      <w:r w:rsidR="17E79D37" w:rsidRPr="5575EBFC">
        <w:rPr>
          <w:lang w:val="en-GB"/>
        </w:rPr>
        <w:t>s</w:t>
      </w:r>
      <w:r w:rsidR="6B2AE141" w:rsidRPr="5575EBFC">
        <w:rPr>
          <w:lang w:val="en-GB"/>
        </w:rPr>
        <w:t xml:space="preserve"> spread </w:t>
      </w:r>
      <w:r w:rsidR="780B4410" w:rsidRPr="5575EBFC">
        <w:rPr>
          <w:lang w:val="en-GB"/>
        </w:rPr>
        <w:t xml:space="preserve">rapidly </w:t>
      </w:r>
      <w:r w:rsidR="6B2AE141" w:rsidRPr="5575EBFC">
        <w:rPr>
          <w:lang w:val="en-GB"/>
        </w:rPr>
        <w:t>affected water flow regimes, impeding hydroelectric power production, water quality</w:t>
      </w:r>
      <w:r w:rsidR="009F7404">
        <w:rPr>
          <w:lang w:val="en-GB"/>
        </w:rPr>
        <w:t xml:space="preserve"> and</w:t>
      </w:r>
      <w:r w:rsidR="5CC22BD6" w:rsidRPr="5575EBFC">
        <w:rPr>
          <w:lang w:val="en-GB"/>
        </w:rPr>
        <w:t xml:space="preserve"> </w:t>
      </w:r>
      <w:r w:rsidR="6B2AE141" w:rsidRPr="5575EBFC">
        <w:rPr>
          <w:lang w:val="en-GB"/>
        </w:rPr>
        <w:t xml:space="preserve">fisheries </w:t>
      </w:r>
      <w:r w:rsidR="7E767A2C" w:rsidRPr="5575EBFC">
        <w:rPr>
          <w:lang w:val="en-GB"/>
        </w:rPr>
        <w:fldChar w:fldCharType="begin"/>
      </w:r>
      <w:r w:rsidR="00230216">
        <w:rPr>
          <w:lang w:val="en-GB"/>
        </w:rPr>
        <w:instrText xml:space="preserve"> ADDIN ZOTERO_ITEM CSL_CITATION {"citationID":"5k43tDaI","properties":{"formattedCitation":"(Batanouny &amp; El-Fiky, 1984)","plainCitation":"(Batanouny &amp; El-Fiky, 1984)","noteIndex":0},"citationItems":[{"id":"zUkrYEfa/w47VsQvC","uris":["http://zotero.org/users/5891177/items/ERH2W2U3"],"itemData":{"id":16792,"type":"article-journal","container-title":"Proceedings of the International Conference on Water Hyacinth : Hyderabad, India, February 7-11, 1983 / Editor: G. Thyagarajan","language":"English","source":"agris.fao.org","title":"Water hyacinth in Egypt: distribution and problem magnitude","title-short":"Water hyacinth in Egypt","URL":"http://agris.fao.org/agris-search/search.do?recordID=US201301417304","author":[{"family":"Batanouny","given":"K. H."},{"family":"El-Fiky","given":"A. M."}],"accessed":{"date-parts":[["2019",12,5]]},"issued":{"date-parts":[["1984"]]}}}],"schema":"https://github.com/citation-style-language/schema/raw/master/csl-citation.json"} </w:instrText>
      </w:r>
      <w:r w:rsidR="7E767A2C" w:rsidRPr="5575EBFC">
        <w:rPr>
          <w:lang w:val="en-GB"/>
        </w:rPr>
        <w:fldChar w:fldCharType="separate"/>
      </w:r>
      <w:r w:rsidR="6B5F9B9E">
        <w:t>(Batanouny &amp; El-Fiky, 1984)</w:t>
      </w:r>
      <w:r w:rsidR="7E767A2C" w:rsidRPr="5575EBFC">
        <w:rPr>
          <w:lang w:val="en-GB"/>
        </w:rPr>
        <w:fldChar w:fldCharType="end"/>
      </w:r>
      <w:r w:rsidR="6B2AE141" w:rsidRPr="5575EBFC">
        <w:rPr>
          <w:lang w:val="en-GB"/>
        </w:rPr>
        <w:t xml:space="preserve">. In Vanuatu, the Central American woody species </w:t>
      </w:r>
      <w:r w:rsidR="6B2AE141" w:rsidRPr="5575EBFC">
        <w:rPr>
          <w:i/>
          <w:iCs/>
          <w:lang w:val="en-GB"/>
        </w:rPr>
        <w:t>Cordia alliodora</w:t>
      </w:r>
      <w:r w:rsidR="6B2AE141" w:rsidRPr="5575EBFC">
        <w:rPr>
          <w:lang w:val="en-GB"/>
        </w:rPr>
        <w:t xml:space="preserve"> (Ecuador laurel)</w:t>
      </w:r>
      <w:r w:rsidR="6831285B" w:rsidRPr="5575EBFC">
        <w:rPr>
          <w:lang w:val="en-GB"/>
        </w:rPr>
        <w:t xml:space="preserve"> </w:t>
      </w:r>
      <w:r w:rsidR="6B2AE141" w:rsidRPr="5575EBFC">
        <w:rPr>
          <w:lang w:val="en-GB"/>
        </w:rPr>
        <w:t xml:space="preserve">introduced to promote timber production, invaded native </w:t>
      </w:r>
      <w:r w:rsidR="2D019954" w:rsidRPr="5575EBFC">
        <w:rPr>
          <w:lang w:val="en-GB"/>
        </w:rPr>
        <w:t xml:space="preserve">ecosystems </w:t>
      </w:r>
      <w:r w:rsidR="6B2AE141" w:rsidRPr="5575EBFC">
        <w:rPr>
          <w:lang w:val="en-GB"/>
        </w:rPr>
        <w:t>and</w:t>
      </w:r>
      <w:r w:rsidR="6831285B" w:rsidRPr="5575EBFC">
        <w:rPr>
          <w:lang w:val="en-GB"/>
        </w:rPr>
        <w:t xml:space="preserve"> ultimately</w:t>
      </w:r>
      <w:r w:rsidR="6B2AE141" w:rsidRPr="5575EBFC">
        <w:rPr>
          <w:lang w:val="en-GB"/>
        </w:rPr>
        <w:t xml:space="preserve"> turned out to be unsuitable for timber</w:t>
      </w:r>
      <w:r w:rsidR="6831285B" w:rsidRPr="5575EBFC">
        <w:rPr>
          <w:lang w:val="en-GB"/>
        </w:rPr>
        <w:t xml:space="preserve"> production</w:t>
      </w:r>
      <w:r w:rsidR="6B2AE141" w:rsidRPr="5575EBFC">
        <w:rPr>
          <w:lang w:val="en-GB"/>
        </w:rPr>
        <w:t xml:space="preserve"> in that climate </w:t>
      </w:r>
      <w:r w:rsidR="7E767A2C" w:rsidRPr="5575EBFC">
        <w:rPr>
          <w:lang w:val="en-GB"/>
        </w:rPr>
        <w:fldChar w:fldCharType="begin"/>
      </w:r>
      <w:r w:rsidR="00331A79">
        <w:rPr>
          <w:lang w:val="en-GB"/>
        </w:rPr>
        <w:instrText xml:space="preserve"> ADDIN ZOTERO_ITEM CSL_CITATION {"citationID":"gVTyxwHT","properties":{"formattedCitation":"(Tolfts, 1997)","plainCitation":"(Tolfts, 1997)","noteIndex":0},"citationItems":[{"id":30695,"uris":["http://zotero.org/groups/2352922/items/7YHB8968"],"itemData":{"id":30695,"type":"article-journal","container-title":"Alien","note":"No unique identifier","page":"12-13","title":"Cordia alliodora: the best laid plans","volume":"6","author":[{"family":"Tolfts","given":"Andrew"}],"issued":{"date-parts":[["1997"]]}}}],"schema":"https://github.com/citation-style-language/schema/raw/master/csl-citation.json"} </w:instrText>
      </w:r>
      <w:r w:rsidR="7E767A2C" w:rsidRPr="5575EBFC">
        <w:rPr>
          <w:lang w:val="en-GB"/>
        </w:rPr>
        <w:fldChar w:fldCharType="separate"/>
      </w:r>
      <w:r w:rsidR="6B5F9B9E">
        <w:t>(Tolfts, 1997)</w:t>
      </w:r>
      <w:r w:rsidR="7E767A2C" w:rsidRPr="5575EBFC">
        <w:rPr>
          <w:lang w:val="en-GB"/>
        </w:rPr>
        <w:fldChar w:fldCharType="end"/>
      </w:r>
      <w:r w:rsidR="6B2AE141" w:rsidRPr="5575EBFC">
        <w:rPr>
          <w:lang w:val="en-GB"/>
        </w:rPr>
        <w:t xml:space="preserve">. </w:t>
      </w:r>
      <w:r w:rsidR="6DF367CE" w:rsidRPr="5575EBFC">
        <w:rPr>
          <w:lang w:val="en-GB"/>
        </w:rPr>
        <w:t>Alien plants were introduced in many countries for economic development</w:t>
      </w:r>
      <w:r w:rsidR="3BE22994" w:rsidRPr="5575EBFC">
        <w:rPr>
          <w:lang w:val="en-GB"/>
        </w:rPr>
        <w:t xml:space="preserve">, including </w:t>
      </w:r>
      <w:r w:rsidR="6B2AE141" w:rsidRPr="5575EBFC">
        <w:rPr>
          <w:lang w:val="en-GB"/>
        </w:rPr>
        <w:t xml:space="preserve">Tonga </w:t>
      </w:r>
      <w:r w:rsidR="7E767A2C" w:rsidRPr="5575EBFC">
        <w:rPr>
          <w:lang w:val="en-GB"/>
        </w:rPr>
        <w:fldChar w:fldCharType="begin"/>
      </w:r>
      <w:r w:rsidR="00331A79">
        <w:rPr>
          <w:lang w:val="en-GB"/>
        </w:rPr>
        <w:instrText xml:space="preserve"> ADDIN ZOTERO_ITEM CSL_CITATION {"citationID":"Zeza2YZK","properties":{"formattedCitation":"(Space &amp; Flynn, 2001)","plainCitation":"(Space &amp; Flynn, 2001)","noteIndex":0},"citationItems":[{"id":30694,"uris":["http://zotero.org/groups/2352922/items/SRZIQ4QF"],"itemData":{"id":30694,"type":"report","language":"en","page":"79","publisher":"U.S.D.A. Forest Service, Pacific Southwest Research Station Institute of Pacific Islands Forestry Honolulu, Hawai‘i, USA","source":"Zotero","title":"Report to the Kingdom of Tonga on Invasive Plant Species of Environmental Concern","URL":"http://hear.org/pier/pdf/tonga_report.pdf","author":[{"family":"Space","given":"James C"},{"family":"Flynn","given":"Tim"}],"issued":{"date-parts":[["2001",10,18]]}}}],"schema":"https://github.com/citation-style-language/schema/raw/master/csl-citation.json"} </w:instrText>
      </w:r>
      <w:r w:rsidR="7E767A2C" w:rsidRPr="5575EBFC">
        <w:rPr>
          <w:lang w:val="en-GB"/>
        </w:rPr>
        <w:fldChar w:fldCharType="separate"/>
      </w:r>
      <w:r w:rsidR="6B5F9B9E">
        <w:t>(Space &amp; Flynn, 2001)</w:t>
      </w:r>
      <w:r w:rsidR="7E767A2C" w:rsidRPr="5575EBFC">
        <w:rPr>
          <w:lang w:val="en-GB"/>
        </w:rPr>
        <w:fldChar w:fldCharType="end"/>
      </w:r>
      <w:r w:rsidR="6B2AE141" w:rsidRPr="5575EBFC">
        <w:rPr>
          <w:lang w:val="en-GB"/>
        </w:rPr>
        <w:t xml:space="preserve">. </w:t>
      </w:r>
      <w:r w:rsidR="6B2AE141" w:rsidRPr="5575EBFC">
        <w:rPr>
          <w:i/>
          <w:iCs/>
          <w:lang w:val="en-GB"/>
        </w:rPr>
        <w:t>Lates niloticus</w:t>
      </w:r>
      <w:r w:rsidR="6B2AE141" w:rsidRPr="5575EBFC">
        <w:rPr>
          <w:lang w:val="en-GB"/>
        </w:rPr>
        <w:t xml:space="preserve"> (Nile perch; </w:t>
      </w:r>
      <w:r w:rsidR="7C148827" w:rsidRPr="5575EBFC">
        <w:rPr>
          <w:b/>
          <w:bCs/>
          <w:lang w:val="en-GB"/>
        </w:rPr>
        <w:t>C</w:t>
      </w:r>
      <w:r w:rsidR="6B2AE141" w:rsidRPr="5575EBFC">
        <w:rPr>
          <w:b/>
          <w:bCs/>
          <w:lang w:val="en-GB"/>
        </w:rPr>
        <w:t>hapter 4</w:t>
      </w:r>
      <w:r w:rsidR="6B2AE141" w:rsidRPr="5575EBFC">
        <w:rPr>
          <w:lang w:val="en-GB"/>
        </w:rPr>
        <w:t>,</w:t>
      </w:r>
      <w:r w:rsidR="6B2AE141" w:rsidRPr="5575EBFC">
        <w:rPr>
          <w:b/>
          <w:bCs/>
          <w:lang w:val="en-GB"/>
        </w:rPr>
        <w:t xml:space="preserve"> </w:t>
      </w:r>
      <w:r w:rsidR="00E23B69">
        <w:rPr>
          <w:b/>
          <w:bCs/>
          <w:lang w:val="en-GB"/>
        </w:rPr>
        <w:t>Box</w:t>
      </w:r>
      <w:r w:rsidR="7EF70BBD" w:rsidRPr="5575EBFC">
        <w:rPr>
          <w:b/>
          <w:bCs/>
          <w:lang w:val="en-GB"/>
        </w:rPr>
        <w:t xml:space="preserve"> </w:t>
      </w:r>
      <w:r w:rsidR="6B2AE141" w:rsidRPr="5575EBFC">
        <w:rPr>
          <w:b/>
          <w:bCs/>
          <w:lang w:val="en-GB"/>
        </w:rPr>
        <w:t>4.</w:t>
      </w:r>
      <w:r w:rsidR="0AA38802" w:rsidRPr="5575EBFC">
        <w:rPr>
          <w:b/>
          <w:bCs/>
          <w:lang w:val="en-GB"/>
        </w:rPr>
        <w:t>10</w:t>
      </w:r>
      <w:r w:rsidR="6B2AE141" w:rsidRPr="5575EBFC">
        <w:rPr>
          <w:lang w:val="en-GB"/>
        </w:rPr>
        <w:t xml:space="preserve">) is a notable example of an invasive alien species arising from aid-related fish introductions. This species was first introduced into Lake Victoria, East Africa, in the mid-1950s to supplement dwindling fish stocks. The population took 20 years to build up, but the </w:t>
      </w:r>
      <w:r w:rsidR="2127F7F6" w:rsidRPr="5575EBFC">
        <w:rPr>
          <w:lang w:val="en-GB"/>
        </w:rPr>
        <w:t xml:space="preserve">Nile </w:t>
      </w:r>
      <w:r w:rsidR="6B2AE141" w:rsidRPr="5575EBFC">
        <w:rPr>
          <w:lang w:val="en-GB"/>
        </w:rPr>
        <w:t xml:space="preserve">perch has since had a substantial impact on the ecological balance of the lake </w:t>
      </w:r>
      <w:r w:rsidR="7E767A2C" w:rsidRPr="5575EBFC">
        <w:rPr>
          <w:lang w:val="en-GB"/>
        </w:rPr>
        <w:fldChar w:fldCharType="begin"/>
      </w:r>
      <w:r w:rsidR="00331A79">
        <w:rPr>
          <w:lang w:val="en-GB"/>
        </w:rPr>
        <w:instrText xml:space="preserve"> ADDIN ZOTERO_ITEM CSL_CITATION {"citationID":"Q8YhmECf","properties":{"formattedCitation":"(Ogutu-Ohwayo, 1998)","plainCitation":"(Ogutu-Ohwayo, 1998)","noteIndex":0},"citationItems":[{"id":22645,"uris":["http://zotero.org/groups/2352922/items/M3DC8FDT"],"itemData":{"id":22645,"type":"article-journal","container-title":"World Conservation","issue":"1","journalAbbreviation":"World Conserv","language":"eng","note":"PMID: 12295947","page":"11-12","source":"PubMed","title":"Nile perch: the great lake experiment","title-short":"Nile perch","URL":"https://pubmed.ncbi.nlm.nih.gov/12295947/","author":[{"family":"Ogutu-Ohwayo","given":"Richard"}],"issued":{"date-parts":[["1998"]]}}}],"schema":"https://github.com/citation-style-language/schema/raw/master/csl-citation.json"} </w:instrText>
      </w:r>
      <w:r w:rsidR="7E767A2C" w:rsidRPr="5575EBFC">
        <w:rPr>
          <w:lang w:val="en-GB"/>
        </w:rPr>
        <w:fldChar w:fldCharType="separate"/>
      </w:r>
      <w:r w:rsidR="6B5F9B9E">
        <w:t>(Ogutu-Ohwayo, 1998)</w:t>
      </w:r>
      <w:r w:rsidR="7E767A2C" w:rsidRPr="5575EBFC">
        <w:rPr>
          <w:lang w:val="en-GB"/>
        </w:rPr>
        <w:fldChar w:fldCharType="end"/>
      </w:r>
      <w:r w:rsidR="6B2AE141" w:rsidRPr="5575EBFC">
        <w:rPr>
          <w:lang w:val="en-GB"/>
        </w:rPr>
        <w:t xml:space="preserve">, and is implicated in the extinction of more than 200 endemic fish species </w:t>
      </w:r>
      <w:r w:rsidR="7E767A2C" w:rsidRPr="5575EBFC">
        <w:rPr>
          <w:lang w:val="en-GB"/>
        </w:rPr>
        <w:fldChar w:fldCharType="begin"/>
      </w:r>
      <w:r w:rsidR="00331A79">
        <w:rPr>
          <w:lang w:val="en-GB"/>
        </w:rPr>
        <w:instrText xml:space="preserve"> ADDIN ZOTERO_ITEM CSL_CITATION {"citationID":"8tOnFlPD","properties":{"formattedCitation":"(Lowe et al., 2000)","plainCitation":"(Lowe et al., 2000)","noteIndex":0},"citationItems":[{"id":26554,"uris":["http://zotero.org/groups/2352922/items/I3XN7PAC"],"itemData":{"id":26554,"type":"book","number-of-pages":"12","publisher":"Invasive Species Specialist Group Auckland, New Zealand","title":"100 of the world's worst invasive alien species: a selection from the global invasive species database","URL":"www.issg.org/booklet.pdf","author":[{"family":"Lowe","given":"Sarah"},{"family":"Browne","given":"Michael"},{"family":"Boudjelas","given":"Souyad"},{"family":"De Poorter","given":"M"}],"issued":{"date-parts":[["2000"]]}}}],"schema":"https://github.com/citation-style-language/schema/raw/master/csl-citation.json"} </w:instrText>
      </w:r>
      <w:r w:rsidR="7E767A2C" w:rsidRPr="5575EBFC">
        <w:rPr>
          <w:lang w:val="en-GB"/>
        </w:rPr>
        <w:fldChar w:fldCharType="separate"/>
      </w:r>
      <w:r w:rsidR="6B5F9B9E">
        <w:t>(Lowe et al., 2000)</w:t>
      </w:r>
      <w:r w:rsidR="7E767A2C" w:rsidRPr="5575EBFC">
        <w:rPr>
          <w:lang w:val="en-GB"/>
        </w:rPr>
        <w:fldChar w:fldCharType="end"/>
      </w:r>
      <w:r w:rsidR="6B2AE141" w:rsidRPr="5575EBFC">
        <w:rPr>
          <w:lang w:val="en-GB"/>
        </w:rPr>
        <w:t>. Lake Victoria has been described as a major evolutionary and ecological disaster caused by the release o</w:t>
      </w:r>
      <w:r w:rsidR="4FBA2CFD" w:rsidRPr="5575EBFC">
        <w:rPr>
          <w:lang w:val="en-GB"/>
        </w:rPr>
        <w:t>f</w:t>
      </w:r>
      <w:r w:rsidR="6B2AE141" w:rsidRPr="5575EBFC">
        <w:rPr>
          <w:lang w:val="en-GB"/>
        </w:rPr>
        <w:t xml:space="preserve"> an </w:t>
      </w:r>
      <w:r w:rsidR="4FBA2CFD" w:rsidRPr="5575EBFC">
        <w:rPr>
          <w:lang w:val="en-GB"/>
        </w:rPr>
        <w:t xml:space="preserve">invasive </w:t>
      </w:r>
      <w:r w:rsidR="6B2AE141" w:rsidRPr="5575EBFC">
        <w:rPr>
          <w:lang w:val="en-GB"/>
        </w:rPr>
        <w:t xml:space="preserve">alien species, although the relative contributions and cause-effect relations between </w:t>
      </w:r>
      <w:r w:rsidR="0DCB53DD" w:rsidRPr="5575EBFC">
        <w:rPr>
          <w:lang w:val="en-GB"/>
        </w:rPr>
        <w:t>invasive alien species</w:t>
      </w:r>
      <w:r w:rsidR="07277499" w:rsidRPr="5575EBFC">
        <w:rPr>
          <w:lang w:val="en-GB"/>
        </w:rPr>
        <w:t xml:space="preserve"> </w:t>
      </w:r>
      <w:r w:rsidR="6B2AE141" w:rsidRPr="5575EBFC">
        <w:rPr>
          <w:lang w:val="en-GB"/>
        </w:rPr>
        <w:t xml:space="preserve">and other concurrent drivers </w:t>
      </w:r>
      <w:r w:rsidR="1FB7FB66" w:rsidRPr="5575EBFC">
        <w:rPr>
          <w:lang w:val="en-GB"/>
        </w:rPr>
        <w:t xml:space="preserve">of change in nature </w:t>
      </w:r>
      <w:r w:rsidR="6B2AE141" w:rsidRPr="5575EBFC">
        <w:rPr>
          <w:lang w:val="en-GB"/>
        </w:rPr>
        <w:t xml:space="preserve">have been hotly debated </w:t>
      </w:r>
      <w:r w:rsidR="7E767A2C" w:rsidRPr="5575EBFC">
        <w:rPr>
          <w:lang w:val="en-GB"/>
        </w:rPr>
        <w:fldChar w:fldCharType="begin"/>
      </w:r>
      <w:r w:rsidR="00331A79">
        <w:rPr>
          <w:lang w:val="en-GB"/>
        </w:rPr>
        <w:instrText xml:space="preserve"> ADDIN ZOTERO_ITEM CSL_CITATION {"citationID":"3cHeIqYj","properties":{"formattedCitation":"(B. E. Marshall, 2018; van Zwieten et al., 2015)","plainCitation":"(B. E. Marshall, 2018; van Zwieten et al., 2015)","dontUpdate":true,"noteIndex":0},"citationItems":[{"id":22643,"uris":["http://zotero.org/groups/2352922/items/U88T9SS3"],"itemData":{"id":22643,"type":"article-journal","abstract":"Debate on the contribution of Nile perch (Lates niloticus) to the demise of Lake Victoria’s 500+ endemic haplochromine cichlids centers around the “top-down” and “bottom-up” hypotheses. The former ..., Le débat sur le rôle de la perche du Nil (Lates niloticus) dans l’effondrement des plus de 500 cichlidés haplochrominés endémiques du lac Victoria s’articule autour des hypothèses de l’effet descen...","container-title":"Canadian Journal of Fisheries and Aquatic Sciences","DOI":"10.1139/cjfas-2017-0056","ISSN":"0706-652X","issue":"9","journalAbbreviation":"Can. J. Fish. Aquat. Sci.","page":"1542-1559","source":"NRC Research Press","title":"Guilty as charged: Nile perch was the cause of the haplochromine decline in Lake Victoria","title-short":"Guilty as charged","URL":"https://www.nrcresearchpress.com/doi/full/10.1139/cjfas-2017-0056","volume":"75","author":[{"family":"Marshall","given":"Brian E."}],"accessed":{"date-parts":[["2020",6,14]]},"issued":{"date-parts":[["2018",4,24]]}}},{"id":22642,"uris":["http://zotero.org/groups/2352922/items/H5SE7CBY"],"itemData":{"id":22642,"type":"article-journal","abstract":"We review alternative hypotheses and associated mechanisms to explain Lake Victoria’s Nile perch (Lates niloticus) takeover and concurrent reduction in haplochromines through a (re)analysis of long..., Nous examinons différentes hypothèses et les mécanismes associés pour expliquer la prise de contrôle des perches du Nil (Lates niloticus) dans le lac Victoria et la réduction concurrente des haploc...","container-title":"Canadian Journal of Fisheries and Aquatic Sciences","DOI":"10.1139/cjfas-2015-0130","ISSN":"0706-652X","issue":"4","journalAbbreviation":"Can. J. Fish. Aquat. Sci.","page":"622-643","source":"NRC Research Press","title":"The Nile perch invasion in Lake Victoria: cause or consequence of the haplochromine decline?","title-short":"The Nile perch invasion in Lake Victoria","URL":"https://www.nrcresearchpress.com/doi/full/10.1139/cjfas-2015-0130","volume":"73","author":[{"family":"Zwieten","given":"Paul A.M.","non-dropping-particle":"van"},{"family":"Kolding","given":"Jeppe"},{"family":"Plank","given":"Michael J."},{"family":"Hecky","given":"Robert E."},{"family":"Bridgeman","given":"Thomas B."},{"family":"MacIntyre","given":"Sally"},{"family":"Seehausen","given":"Ole"},{"family":"Silsbe","given":"Greg M."}],"accessed":{"date-parts":[["2020",6,14]]},"issued":{"date-parts":[["2015",10,22]]}}}],"schema":"https://github.com/citation-style-language/schema/raw/master/csl-citation.json"} </w:instrText>
      </w:r>
      <w:r w:rsidR="7E767A2C" w:rsidRPr="5575EBFC">
        <w:rPr>
          <w:lang w:val="en-GB"/>
        </w:rPr>
        <w:fldChar w:fldCharType="separate"/>
      </w:r>
      <w:r w:rsidR="6B2AE141" w:rsidRPr="5575EBFC">
        <w:rPr>
          <w:lang w:val="en-GB"/>
        </w:rPr>
        <w:t>(Marshall, 2018; van Zwieten et al., 2015</w:t>
      </w:r>
      <w:r w:rsidR="7E767A2C" w:rsidRPr="5575EBFC">
        <w:rPr>
          <w:lang w:val="en-GB"/>
        </w:rPr>
        <w:fldChar w:fldCharType="end"/>
      </w:r>
      <w:r w:rsidR="666AF3D8" w:rsidRPr="5575EBFC">
        <w:rPr>
          <w:lang w:val="en-GB"/>
        </w:rPr>
        <w:t>;</w:t>
      </w:r>
      <w:r w:rsidR="6B2AE141" w:rsidRPr="5575EBFC">
        <w:rPr>
          <w:lang w:val="en-GB"/>
        </w:rPr>
        <w:t xml:space="preserve"> </w:t>
      </w:r>
      <w:r w:rsidR="7C148827" w:rsidRPr="5575EBFC">
        <w:rPr>
          <w:b/>
          <w:bCs/>
          <w:lang w:val="en-GB"/>
        </w:rPr>
        <w:t>C</w:t>
      </w:r>
      <w:r w:rsidR="6F161BA2" w:rsidRPr="5575EBFC">
        <w:rPr>
          <w:b/>
          <w:bCs/>
          <w:lang w:val="en-GB"/>
        </w:rPr>
        <w:t>hapter 4</w:t>
      </w:r>
      <w:r w:rsidR="6F161BA2" w:rsidRPr="5575EBFC">
        <w:rPr>
          <w:lang w:val="en-GB"/>
        </w:rPr>
        <w:t>,</w:t>
      </w:r>
      <w:r w:rsidR="6F161BA2" w:rsidRPr="5575EBFC">
        <w:rPr>
          <w:b/>
          <w:bCs/>
          <w:lang w:val="en-GB"/>
        </w:rPr>
        <w:t xml:space="preserve"> </w:t>
      </w:r>
      <w:r w:rsidR="00E23B69">
        <w:rPr>
          <w:b/>
          <w:bCs/>
          <w:lang w:val="en-GB"/>
        </w:rPr>
        <w:t>Box</w:t>
      </w:r>
      <w:r w:rsidR="7EF70BBD" w:rsidRPr="5575EBFC">
        <w:rPr>
          <w:b/>
          <w:bCs/>
          <w:lang w:val="en-GB"/>
        </w:rPr>
        <w:t xml:space="preserve"> </w:t>
      </w:r>
      <w:r w:rsidR="6B2AE141" w:rsidRPr="5575EBFC">
        <w:rPr>
          <w:b/>
          <w:bCs/>
          <w:lang w:val="en-GB"/>
        </w:rPr>
        <w:t>4.</w:t>
      </w:r>
      <w:r w:rsidR="0AA38802" w:rsidRPr="5575EBFC">
        <w:rPr>
          <w:b/>
          <w:bCs/>
          <w:lang w:val="en-GB"/>
        </w:rPr>
        <w:t>10</w:t>
      </w:r>
      <w:r w:rsidR="6B2AE141" w:rsidRPr="5575EBFC">
        <w:rPr>
          <w:lang w:val="en-GB"/>
        </w:rPr>
        <w:t xml:space="preserve">). More generally, international aid and assistance programmes have </w:t>
      </w:r>
      <w:r w:rsidR="2B009833" w:rsidRPr="5575EBFC">
        <w:rPr>
          <w:lang w:val="en-GB"/>
        </w:rPr>
        <w:t>actively</w:t>
      </w:r>
      <w:r w:rsidR="6B2AE141" w:rsidRPr="5575EBFC">
        <w:rPr>
          <w:lang w:val="en-GB"/>
        </w:rPr>
        <w:t xml:space="preserve"> promoted the </w:t>
      </w:r>
      <w:r w:rsidR="6B2AE141" w:rsidRPr="5575EBFC">
        <w:rPr>
          <w:lang w:val="en-GB"/>
        </w:rPr>
        <w:lastRenderedPageBreak/>
        <w:t>use of farmed plants, fish</w:t>
      </w:r>
      <w:r w:rsidR="009F7404">
        <w:rPr>
          <w:lang w:val="en-GB"/>
        </w:rPr>
        <w:t xml:space="preserve"> and</w:t>
      </w:r>
      <w:r w:rsidR="6B2AE141" w:rsidRPr="5575EBFC">
        <w:rPr>
          <w:lang w:val="en-GB"/>
        </w:rPr>
        <w:t xml:space="preserve"> animals in new regions, many of which are invasive and/or are hosts of other invasive alien species (</w:t>
      </w:r>
      <w:r w:rsidR="6F161BA2" w:rsidRPr="5575EBFC">
        <w:rPr>
          <w:b/>
          <w:bCs/>
          <w:lang w:val="en-GB"/>
        </w:rPr>
        <w:t xml:space="preserve">sections </w:t>
      </w:r>
      <w:r w:rsidR="6B2AE141" w:rsidRPr="5575EBFC">
        <w:rPr>
          <w:b/>
          <w:bCs/>
          <w:lang w:val="en-GB"/>
        </w:rPr>
        <w:t>3.2.</w:t>
      </w:r>
      <w:r w:rsidR="08169591" w:rsidRPr="5575EBFC">
        <w:rPr>
          <w:b/>
          <w:bCs/>
          <w:lang w:val="en-GB"/>
        </w:rPr>
        <w:t>2.</w:t>
      </w:r>
      <w:r w:rsidR="6B2AE141" w:rsidRPr="5575EBFC">
        <w:rPr>
          <w:b/>
          <w:bCs/>
          <w:lang w:val="en-GB"/>
        </w:rPr>
        <w:t>3</w:t>
      </w:r>
      <w:r w:rsidR="6B2AE141" w:rsidRPr="5575EBFC">
        <w:rPr>
          <w:lang w:val="en-GB"/>
        </w:rPr>
        <w:t>;</w:t>
      </w:r>
      <w:r w:rsidR="6B2AE141" w:rsidRPr="5575EBFC">
        <w:rPr>
          <w:b/>
          <w:bCs/>
          <w:lang w:val="en-GB"/>
        </w:rPr>
        <w:t xml:space="preserve"> 3.3.1.1</w:t>
      </w:r>
      <w:r w:rsidR="6B2AE141" w:rsidRPr="5575EBFC">
        <w:rPr>
          <w:lang w:val="en-GB"/>
        </w:rPr>
        <w:t xml:space="preserve">). </w:t>
      </w:r>
    </w:p>
    <w:p w14:paraId="65F4CE40" w14:textId="7A2AD8FF" w:rsidR="00831041" w:rsidRPr="00DA249F" w:rsidRDefault="3D01BD9D" w:rsidP="0090109B">
      <w:pPr>
        <w:rPr>
          <w:lang w:val="en-GB" w:eastAsia="en-NZ"/>
        </w:rPr>
      </w:pPr>
      <w:r w:rsidRPr="5575EBFC">
        <w:rPr>
          <w:lang w:val="en-GB"/>
        </w:rPr>
        <w:t xml:space="preserve">Free </w:t>
      </w:r>
      <w:r w:rsidR="5FCCDD27" w:rsidRPr="5575EBFC">
        <w:rPr>
          <w:lang w:val="en-GB"/>
        </w:rPr>
        <w:t>trade a</w:t>
      </w:r>
      <w:r w:rsidRPr="5575EBFC">
        <w:rPr>
          <w:lang w:val="en-GB"/>
        </w:rPr>
        <w:t xml:space="preserve">greements, </w:t>
      </w:r>
      <w:r w:rsidR="078209B6" w:rsidRPr="5575EBFC">
        <w:rPr>
          <w:lang w:val="en-GB"/>
        </w:rPr>
        <w:t xml:space="preserve">being </w:t>
      </w:r>
      <w:r w:rsidRPr="5575EBFC">
        <w:rPr>
          <w:lang w:val="en-GB"/>
        </w:rPr>
        <w:t xml:space="preserve">treaties between two or more countries or states to facilitate trade and eliminate trade barriers, </w:t>
      </w:r>
      <w:r w:rsidR="078209B6" w:rsidRPr="5575EBFC">
        <w:rPr>
          <w:lang w:val="en-GB"/>
        </w:rPr>
        <w:t xml:space="preserve">increase </w:t>
      </w:r>
      <w:r w:rsidRPr="5575EBFC">
        <w:rPr>
          <w:lang w:val="en-GB"/>
        </w:rPr>
        <w:t>the flux of goods between regions</w:t>
      </w:r>
      <w:r w:rsidR="078209B6" w:rsidRPr="5575EBFC">
        <w:rPr>
          <w:lang w:val="en-GB"/>
        </w:rPr>
        <w:t xml:space="preserve"> and</w:t>
      </w:r>
      <w:r w:rsidRPr="5575EBFC">
        <w:rPr>
          <w:lang w:val="en-GB"/>
        </w:rPr>
        <w:t xml:space="preserve"> may facilitate the uptake and transportation of </w:t>
      </w:r>
      <w:r w:rsidR="0E6400F0" w:rsidRPr="5575EBFC">
        <w:rPr>
          <w:lang w:val="en-GB"/>
        </w:rPr>
        <w:t>invasive alien species</w:t>
      </w:r>
      <w:r w:rsidRPr="5575EBFC">
        <w:rPr>
          <w:lang w:val="en-GB"/>
        </w:rPr>
        <w:t>, either as subject of commerce (when traded goods are living organisms</w:t>
      </w:r>
      <w:r w:rsidR="1784E82A" w:rsidRPr="5575EBFC">
        <w:rPr>
          <w:lang w:val="en-GB"/>
        </w:rPr>
        <w:t>),</w:t>
      </w:r>
      <w:r w:rsidRPr="5575EBFC">
        <w:rPr>
          <w:lang w:val="en-GB"/>
        </w:rPr>
        <w:t xml:space="preserve"> or more frequently as by-product of transport (</w:t>
      </w:r>
      <w:r w:rsidR="5C59BB1E" w:rsidRPr="5575EBFC">
        <w:rPr>
          <w:lang w:val="en-GB"/>
        </w:rPr>
        <w:t xml:space="preserve">e.g., </w:t>
      </w:r>
      <w:r w:rsidR="36020D58" w:rsidRPr="5575EBFC">
        <w:rPr>
          <w:lang w:val="en-GB"/>
        </w:rPr>
        <w:t>unintentional</w:t>
      </w:r>
      <w:r w:rsidRPr="5575EBFC">
        <w:rPr>
          <w:lang w:val="en-GB"/>
        </w:rPr>
        <w:t xml:space="preserve"> introductions in ballast water, </w:t>
      </w:r>
      <w:r w:rsidR="057B6E9B" w:rsidRPr="5575EBFC">
        <w:rPr>
          <w:lang w:val="en-GB"/>
        </w:rPr>
        <w:t xml:space="preserve">as stowaways in </w:t>
      </w:r>
      <w:r w:rsidRPr="5575EBFC">
        <w:rPr>
          <w:lang w:val="en-GB"/>
        </w:rPr>
        <w:t xml:space="preserve">packaging and cargo, or </w:t>
      </w:r>
      <w:r w:rsidR="074FC99D" w:rsidRPr="5575EBFC">
        <w:rPr>
          <w:lang w:val="en-GB"/>
        </w:rPr>
        <w:t xml:space="preserve">as </w:t>
      </w:r>
      <w:r w:rsidRPr="5575EBFC">
        <w:rPr>
          <w:lang w:val="en-GB"/>
        </w:rPr>
        <w:t xml:space="preserve">contamination of crop products with agricultural pests). </w:t>
      </w:r>
      <w:r w:rsidR="1784E82A" w:rsidRPr="5575EBFC">
        <w:rPr>
          <w:color w:val="000000" w:themeColor="text1"/>
          <w:lang w:val="en-GB" w:eastAsia="en-NZ"/>
        </w:rPr>
        <w:t xml:space="preserve">Furthermore, the World Trade Organisation </w:t>
      </w:r>
      <w:r w:rsidR="09CAB395" w:rsidRPr="5575EBFC">
        <w:rPr>
          <w:color w:val="000000" w:themeColor="text1"/>
          <w:lang w:val="en-GB" w:eastAsia="en-NZ"/>
        </w:rPr>
        <w:t xml:space="preserve">(WTO) </w:t>
      </w:r>
      <w:r w:rsidR="1784E82A" w:rsidRPr="5575EBFC">
        <w:rPr>
          <w:color w:val="000000" w:themeColor="text1"/>
          <w:lang w:val="en-GB" w:eastAsia="en-NZ"/>
        </w:rPr>
        <w:t xml:space="preserve">in </w:t>
      </w:r>
      <w:r w:rsidR="078209B6" w:rsidRPr="5575EBFC">
        <w:rPr>
          <w:color w:val="000000" w:themeColor="text1"/>
          <w:lang w:val="en-GB" w:eastAsia="en-NZ"/>
        </w:rPr>
        <w:t xml:space="preserve">an </w:t>
      </w:r>
      <w:r w:rsidR="1784E82A" w:rsidRPr="5575EBFC">
        <w:rPr>
          <w:color w:val="000000" w:themeColor="text1"/>
          <w:lang w:val="en-GB" w:eastAsia="en-NZ"/>
        </w:rPr>
        <w:t xml:space="preserve">attempt to prevent quarantine laws </w:t>
      </w:r>
      <w:r w:rsidR="078209B6" w:rsidRPr="5575EBFC">
        <w:rPr>
          <w:color w:val="000000" w:themeColor="text1"/>
          <w:lang w:val="en-GB" w:eastAsia="en-NZ"/>
        </w:rPr>
        <w:t>becoming</w:t>
      </w:r>
      <w:r w:rsidR="1784E82A" w:rsidRPr="5575EBFC">
        <w:rPr>
          <w:color w:val="000000" w:themeColor="text1"/>
          <w:lang w:val="en-GB" w:eastAsia="en-NZ"/>
        </w:rPr>
        <w:t xml:space="preserve"> trade barriers has discouraged nations from using </w:t>
      </w:r>
      <w:r w:rsidR="078209B6" w:rsidRPr="5575EBFC">
        <w:rPr>
          <w:color w:val="000000" w:themeColor="text1"/>
          <w:lang w:val="en-GB" w:eastAsia="en-NZ"/>
        </w:rPr>
        <w:t xml:space="preserve">quarantine </w:t>
      </w:r>
      <w:r w:rsidR="1784E82A" w:rsidRPr="5575EBFC">
        <w:rPr>
          <w:color w:val="000000" w:themeColor="text1"/>
          <w:lang w:val="en-GB" w:eastAsia="en-NZ"/>
        </w:rPr>
        <w:t xml:space="preserve">laws to stop the spread of invasive </w:t>
      </w:r>
      <w:r w:rsidR="2F49F818" w:rsidRPr="5575EBFC">
        <w:rPr>
          <w:color w:val="000000" w:themeColor="text1"/>
          <w:lang w:val="en-GB" w:eastAsia="en-NZ"/>
        </w:rPr>
        <w:t xml:space="preserve">alien </w:t>
      </w:r>
      <w:r w:rsidR="1784E82A" w:rsidRPr="5575EBFC">
        <w:rPr>
          <w:color w:val="000000" w:themeColor="text1"/>
          <w:lang w:val="en-GB" w:eastAsia="en-NZ"/>
        </w:rPr>
        <w:t xml:space="preserve">species </w:t>
      </w:r>
      <w:r w:rsidR="5DAAB96C" w:rsidRPr="5575EBFC">
        <w:rPr>
          <w:color w:val="000000" w:themeColor="text1"/>
          <w:lang w:val="en-GB" w:eastAsia="en-NZ"/>
        </w:rPr>
        <w:fldChar w:fldCharType="begin"/>
      </w:r>
      <w:r w:rsidR="00331A79">
        <w:rPr>
          <w:color w:val="000000" w:themeColor="text1"/>
          <w:lang w:val="en-GB" w:eastAsia="en-NZ"/>
        </w:rPr>
        <w:instrText xml:space="preserve"> ADDIN ZOTERO_ITEM CSL_CITATION {"citationID":"CQlDso5s","properties":{"formattedCitation":"(S. Riley, 2005)","plainCitation":"(S. Riley, 2005)","dontUpdate":true,"noteIndex":0},"citationItems":[{"id":22083,"uris":["http://zotero.org/groups/2352922/items/PNTQIHY6"],"itemData":{"id":22083,"type":"article-journal","container-title":"Journal of Environmental Law","DOI":"10.1093/jel/eqi028","ISSN":"0952-8873, 1464-374X","issue":"3","journalAbbreviation":"Journal of Environmental Law","language":"en","page":"323-359","source":"DOI.org (Crossref)","title":"Invasive Alien Species and the Protection of Biodiversity: The Role of Quarantine Laws in Resolving Inadequacies in the International Legal Regime","title-short":"Invasive Alien Species and the Protection of Biodiversity","URL":"https://academic.oup.com/jel/article-lookup/doi/10.1093/jel/eqi028","volume":"17","author":[{"family":"Riley","given":"Sophie"}],"accessed":{"date-parts":[["2020",5,12]]},"issued":{"date-parts":[["2005",11,4]]}}}],"schema":"https://github.com/citation-style-language/schema/raw/master/csl-citation.json"} </w:instrText>
      </w:r>
      <w:r w:rsidR="5DAAB96C" w:rsidRPr="5575EBFC">
        <w:rPr>
          <w:color w:val="000000" w:themeColor="text1"/>
          <w:lang w:val="en-GB" w:eastAsia="en-NZ"/>
        </w:rPr>
        <w:fldChar w:fldCharType="separate"/>
      </w:r>
      <w:r w:rsidR="2FED3A21" w:rsidRPr="5575EBFC">
        <w:rPr>
          <w:lang w:val="en-GB"/>
        </w:rPr>
        <w:t>(Riley, 2005),</w:t>
      </w:r>
      <w:r w:rsidR="5DAAB96C" w:rsidRPr="5575EBFC">
        <w:rPr>
          <w:color w:val="000000" w:themeColor="text1"/>
          <w:lang w:val="en-GB" w:eastAsia="en-NZ"/>
        </w:rPr>
        <w:fldChar w:fldCharType="end"/>
      </w:r>
      <w:r w:rsidR="4297F918" w:rsidRPr="5575EBFC">
        <w:rPr>
          <w:color w:val="000000" w:themeColor="text1"/>
          <w:lang w:val="en-GB" w:eastAsia="en-NZ"/>
        </w:rPr>
        <w:t xml:space="preserve"> </w:t>
      </w:r>
      <w:r w:rsidR="1784E82A" w:rsidRPr="5575EBFC">
        <w:rPr>
          <w:color w:val="000000" w:themeColor="text1"/>
          <w:lang w:val="en-GB" w:eastAsia="en-NZ"/>
        </w:rPr>
        <w:t>illustrating</w:t>
      </w:r>
      <w:r w:rsidR="35FD5DB2" w:rsidRPr="5575EBFC">
        <w:rPr>
          <w:color w:val="000000" w:themeColor="text1"/>
          <w:lang w:val="en-GB" w:eastAsia="en-NZ"/>
        </w:rPr>
        <w:t xml:space="preserve"> </w:t>
      </w:r>
      <w:r w:rsidR="1784E82A" w:rsidRPr="5575EBFC">
        <w:rPr>
          <w:color w:val="000000" w:themeColor="text1"/>
          <w:lang w:val="en-GB" w:eastAsia="en-NZ"/>
        </w:rPr>
        <w:t xml:space="preserve">the </w:t>
      </w:r>
      <w:r w:rsidR="0A476A8C" w:rsidRPr="5575EBFC">
        <w:rPr>
          <w:color w:val="000000" w:themeColor="text1"/>
          <w:lang w:val="en-GB" w:eastAsia="en-NZ"/>
        </w:rPr>
        <w:t>challenge</w:t>
      </w:r>
      <w:r w:rsidR="1BE3FD6B" w:rsidRPr="5575EBFC">
        <w:rPr>
          <w:color w:val="000000" w:themeColor="text1"/>
          <w:lang w:val="en-GB" w:eastAsia="en-NZ"/>
        </w:rPr>
        <w:t xml:space="preserve"> of</w:t>
      </w:r>
      <w:r w:rsidR="1784E82A" w:rsidRPr="5575EBFC">
        <w:rPr>
          <w:color w:val="000000" w:themeColor="text1"/>
          <w:lang w:val="en-GB" w:eastAsia="en-NZ"/>
        </w:rPr>
        <w:t xml:space="preserve"> address</w:t>
      </w:r>
      <w:r w:rsidR="16277503" w:rsidRPr="5575EBFC">
        <w:rPr>
          <w:color w:val="000000" w:themeColor="text1"/>
          <w:lang w:val="en-GB" w:eastAsia="en-NZ"/>
        </w:rPr>
        <w:t>ing</w:t>
      </w:r>
      <w:r w:rsidR="1784E82A" w:rsidRPr="5575EBFC">
        <w:rPr>
          <w:color w:val="000000" w:themeColor="text1"/>
          <w:lang w:val="en-GB" w:eastAsia="en-NZ"/>
        </w:rPr>
        <w:t xml:space="preserve"> national policies that drive </w:t>
      </w:r>
      <w:r w:rsidR="1EBA6130" w:rsidRPr="5575EBFC">
        <w:rPr>
          <w:color w:val="000000" w:themeColor="text1"/>
          <w:lang w:val="en-GB" w:eastAsia="en-NZ"/>
        </w:rPr>
        <w:t xml:space="preserve">biological </w:t>
      </w:r>
      <w:r w:rsidR="1784E82A" w:rsidRPr="5575EBFC">
        <w:rPr>
          <w:color w:val="000000" w:themeColor="text1"/>
          <w:lang w:val="en-GB" w:eastAsia="en-NZ"/>
        </w:rPr>
        <w:t xml:space="preserve">invasions to account for the transboundary aspect of </w:t>
      </w:r>
      <w:r w:rsidR="312DEBC3" w:rsidRPr="5575EBFC">
        <w:rPr>
          <w:color w:val="000000" w:themeColor="text1"/>
          <w:lang w:val="en-GB" w:eastAsia="en-NZ"/>
        </w:rPr>
        <w:t xml:space="preserve">biological </w:t>
      </w:r>
      <w:r w:rsidR="1784E82A" w:rsidRPr="5575EBFC">
        <w:rPr>
          <w:color w:val="000000" w:themeColor="text1"/>
          <w:lang w:val="en-GB" w:eastAsia="en-NZ"/>
        </w:rPr>
        <w:t>invasions </w:t>
      </w:r>
      <w:r w:rsidR="5DAAB96C" w:rsidRPr="5575EBFC">
        <w:rPr>
          <w:color w:val="000000" w:themeColor="text1"/>
          <w:lang w:val="en-GB" w:eastAsia="en-NZ"/>
        </w:rPr>
        <w:fldChar w:fldCharType="begin"/>
      </w:r>
      <w:r w:rsidR="00331A79">
        <w:rPr>
          <w:color w:val="000000" w:themeColor="text1"/>
          <w:lang w:val="en-GB" w:eastAsia="en-NZ"/>
        </w:rPr>
        <w:instrText xml:space="preserve"> ADDIN ZOTERO_ITEM CSL_CITATION {"citationID":"LM3IHRjN","properties":{"formattedCitation":"(Hulme, 2015a)","plainCitation":"(Hulme, 2015a)","noteIndex":0},"citationItems":[{"id":30909,"uris":["http://zotero.org/groups/2352922/items/NZFSMFGX"],"itemData":{"id":30909,"type":"article-journal","abstract":"Parties to the Convention on Biological Diversity have agreed that, by 2020, invasion pathways will be identified, prioritized and managed to prevent the introduction of invasive alien species. The challenges facing this target are examined for six primary invasion pathways: assisted colonization as a deliberate release; escape of pets and aquaria species; parasite and pathogen contaminants of wildlife; stowaways on tourist clothing and equipment; navigation corridors; and transboundary implications of unaided spread. Economic drivers such as tourism, the pet trade and infrastructure projects will accelerate invasive alien species introductions, particularly in emerging economies. Mitigation requires polluter pays' legislation combined with improved policy enforcement and compliance.Policy implications. Policymakers require new risk analysis tools to predict the hazards posed by species with no prior invasion history, the vulnerability of native biodiversity to emerging diseases, and the components of regional species pools that become invasive following connection via corridors.","container-title":"Journal of Applied Ecology","DOI":"10.1111/1365-2664.12470","ISSN":"0021-8901","issue":"6","journalAbbreviation":"J Appl Ecol","license":"© 2015 The Author. Journal of Applied Ecology © 2015 British Ecological Society","note":"WOS:000367095400002","page":"1418-1424","source":"DOI.org (Crossref)","title":"Invasion pathways at a crossroad: policy and research challenges for managing alien species introductions","title-short":"Invasion pathways at a crossroad","URL":"http://doi.wiley.com/10.1111/1365-2664.12470","volume":"52","author":[{"family":"Hulme","given":"Philip E."}],"issued":{"date-parts":[["2015",12]]}}}],"schema":"https://github.com/citation-style-language/schema/raw/master/csl-citation.json"} </w:instrText>
      </w:r>
      <w:r w:rsidR="5DAAB96C" w:rsidRPr="5575EBFC">
        <w:rPr>
          <w:color w:val="000000" w:themeColor="text1"/>
          <w:lang w:val="en-GB" w:eastAsia="en-NZ"/>
        </w:rPr>
        <w:fldChar w:fldCharType="separate"/>
      </w:r>
      <w:r w:rsidR="674745DD">
        <w:t>(Hulme, 2015a)</w:t>
      </w:r>
      <w:r w:rsidR="5DAAB96C" w:rsidRPr="5575EBFC">
        <w:rPr>
          <w:color w:val="000000" w:themeColor="text1"/>
          <w:lang w:val="en-GB" w:eastAsia="en-NZ"/>
        </w:rPr>
        <w:fldChar w:fldCharType="end"/>
      </w:r>
      <w:r w:rsidR="7F78173B" w:rsidRPr="5575EBFC">
        <w:rPr>
          <w:color w:val="000000" w:themeColor="text1"/>
          <w:lang w:val="en-GB" w:eastAsia="en-NZ"/>
        </w:rPr>
        <w:t>.</w:t>
      </w:r>
    </w:p>
    <w:p w14:paraId="7B99504D" w14:textId="22DB6A80" w:rsidR="008C1BF7" w:rsidRPr="00DA249F" w:rsidRDefault="3D04D128">
      <w:pPr>
        <w:rPr>
          <w:lang w:val="en-GB"/>
        </w:rPr>
      </w:pPr>
      <w:r w:rsidRPr="5575EBFC">
        <w:rPr>
          <w:lang w:val="en-GB"/>
        </w:rPr>
        <w:t xml:space="preserve">More recently, </w:t>
      </w:r>
      <w:r w:rsidR="6DF367CE" w:rsidRPr="5575EBFC">
        <w:rPr>
          <w:lang w:val="en-GB"/>
        </w:rPr>
        <w:t xml:space="preserve">as economic multilateral instruments have been developed to </w:t>
      </w:r>
      <w:r w:rsidRPr="5575EBFC">
        <w:rPr>
          <w:lang w:val="en-GB"/>
        </w:rPr>
        <w:t>tackle</w:t>
      </w:r>
      <w:r w:rsidR="5F58C80D" w:rsidRPr="5575EBFC">
        <w:rPr>
          <w:lang w:val="en-GB"/>
        </w:rPr>
        <w:t xml:space="preserve"> </w:t>
      </w:r>
      <w:r w:rsidRPr="5575EBFC">
        <w:rPr>
          <w:lang w:val="en-GB"/>
        </w:rPr>
        <w:t>climate change</w:t>
      </w:r>
      <w:r w:rsidR="36592DD6" w:rsidRPr="5575EBFC">
        <w:rPr>
          <w:lang w:val="en-GB"/>
        </w:rPr>
        <w:t>,</w:t>
      </w:r>
      <w:r w:rsidRPr="5575EBFC">
        <w:rPr>
          <w:lang w:val="en-GB"/>
        </w:rPr>
        <w:t xml:space="preserve"> </w:t>
      </w:r>
      <w:r w:rsidR="375D16D7" w:rsidRPr="5575EBFC">
        <w:rPr>
          <w:lang w:val="en-GB"/>
        </w:rPr>
        <w:t xml:space="preserve">taxes based on </w:t>
      </w:r>
      <w:r w:rsidRPr="5575EBFC">
        <w:rPr>
          <w:lang w:val="en-GB"/>
        </w:rPr>
        <w:t xml:space="preserve">carbon and carbon-trading markets </w:t>
      </w:r>
      <w:r w:rsidR="5066A7BB" w:rsidRPr="5575EBFC">
        <w:rPr>
          <w:lang w:val="en-GB"/>
        </w:rPr>
        <w:t>(e.g.</w:t>
      </w:r>
      <w:r w:rsidR="2982D493" w:rsidRPr="5575EBFC">
        <w:rPr>
          <w:lang w:val="en-GB"/>
        </w:rPr>
        <w:t>,</w:t>
      </w:r>
      <w:r w:rsidR="5066A7BB" w:rsidRPr="5575EBFC">
        <w:rPr>
          <w:lang w:val="en-GB"/>
        </w:rPr>
        <w:t xml:space="preserve"> </w:t>
      </w:r>
      <w:r w:rsidR="3BDA0026" w:rsidRPr="5575EBFC">
        <w:rPr>
          <w:lang w:val="en-GB"/>
        </w:rPr>
        <w:t xml:space="preserve">Reducing </w:t>
      </w:r>
      <w:r w:rsidR="6F9818B1" w:rsidRPr="5575EBFC">
        <w:rPr>
          <w:lang w:val="en-GB"/>
        </w:rPr>
        <w:t>E</w:t>
      </w:r>
      <w:r w:rsidR="3BDA0026" w:rsidRPr="5575EBFC">
        <w:rPr>
          <w:lang w:val="en-GB"/>
        </w:rPr>
        <w:t xml:space="preserve">missions from </w:t>
      </w:r>
      <w:r w:rsidR="6F9818B1" w:rsidRPr="5575EBFC">
        <w:rPr>
          <w:lang w:val="en-GB"/>
        </w:rPr>
        <w:t>D</w:t>
      </w:r>
      <w:r w:rsidR="3BDA0026" w:rsidRPr="5575EBFC">
        <w:rPr>
          <w:lang w:val="en-GB"/>
        </w:rPr>
        <w:t xml:space="preserve">eforestation and forest </w:t>
      </w:r>
      <w:r w:rsidR="6F9818B1" w:rsidRPr="5575EBFC">
        <w:rPr>
          <w:lang w:val="en-GB"/>
        </w:rPr>
        <w:t>D</w:t>
      </w:r>
      <w:r w:rsidR="3BDA0026" w:rsidRPr="5575EBFC">
        <w:rPr>
          <w:lang w:val="en-GB"/>
        </w:rPr>
        <w:t>egradation (</w:t>
      </w:r>
      <w:r w:rsidR="5066A7BB" w:rsidRPr="5575EBFC">
        <w:rPr>
          <w:lang w:val="en-GB"/>
        </w:rPr>
        <w:t>REDD+</w:t>
      </w:r>
      <w:r w:rsidR="3BDA0026" w:rsidRPr="5575EBFC">
        <w:rPr>
          <w:lang w:val="en-GB"/>
        </w:rPr>
        <w:t>)</w:t>
      </w:r>
      <w:r w:rsidR="5066A7BB" w:rsidRPr="5575EBFC">
        <w:rPr>
          <w:lang w:val="en-GB"/>
        </w:rPr>
        <w:t xml:space="preserve">) </w:t>
      </w:r>
      <w:r w:rsidRPr="5575EBFC">
        <w:rPr>
          <w:lang w:val="en-GB"/>
        </w:rPr>
        <w:t>have been implemented under the international governance framework of</w:t>
      </w:r>
      <w:r w:rsidR="078209B6" w:rsidRPr="5575EBFC">
        <w:rPr>
          <w:lang w:val="en-GB"/>
        </w:rPr>
        <w:t xml:space="preserve"> the</w:t>
      </w:r>
      <w:r w:rsidRPr="5575EBFC">
        <w:rPr>
          <w:lang w:val="en-GB"/>
        </w:rPr>
        <w:t xml:space="preserve"> Kyoto Protocol</w:t>
      </w:r>
      <w:r w:rsidR="3D01BD9D" w:rsidRPr="5575EBFC">
        <w:rPr>
          <w:lang w:val="en-GB"/>
        </w:rPr>
        <w:t xml:space="preserve"> </w:t>
      </w:r>
      <w:r w:rsidR="008C1BF7" w:rsidRPr="5575EBFC">
        <w:rPr>
          <w:lang w:val="en-GB"/>
        </w:rPr>
        <w:fldChar w:fldCharType="begin"/>
      </w:r>
      <w:r w:rsidR="00F5121E">
        <w:rPr>
          <w:lang w:val="en-GB"/>
        </w:rPr>
        <w:instrText xml:space="preserve"> ADDIN ZOTERO_ITEM CSL_CITATION {"citationID":"CiXEZVlT","properties":{"formattedCitation":"(United Nations, 1997)","plainCitation":"(United Nations, 1997)","noteIndex":0},"citationItems":[{"id":52708,"uris":["http://zotero.org/groups/2352922/items/DTMKRKYD"],"itemData":{"id":52708,"type":"document","title":"Kyoto Protocol to the United Nations Framework Convention on Climate Change","URL":"https://unfccc.int/sites/default/files/resource/docs/cop3/l07a01.pdf","author":[{"literal":"United Nations"}],"accessed":{"date-parts":[["2022",7,28]]},"issued":{"date-parts":[["1997"]]}}}],"schema":"https://github.com/citation-style-language/schema/raw/master/csl-citation.json"} </w:instrText>
      </w:r>
      <w:r w:rsidR="008C1BF7" w:rsidRPr="5575EBFC">
        <w:rPr>
          <w:lang w:val="en-GB"/>
        </w:rPr>
        <w:fldChar w:fldCharType="separate"/>
      </w:r>
      <w:r w:rsidR="6B5F9B9E">
        <w:t>(United Nations, 1997)</w:t>
      </w:r>
      <w:r w:rsidR="008C1BF7" w:rsidRPr="5575EBFC">
        <w:rPr>
          <w:lang w:val="en-GB"/>
        </w:rPr>
        <w:fldChar w:fldCharType="end"/>
      </w:r>
      <w:r w:rsidR="14A14E66" w:rsidRPr="5575EBFC">
        <w:rPr>
          <w:lang w:val="en-GB"/>
        </w:rPr>
        <w:t>.</w:t>
      </w:r>
      <w:r w:rsidR="3D01BD9D" w:rsidRPr="5575EBFC">
        <w:rPr>
          <w:lang w:val="en-GB"/>
        </w:rPr>
        <w:t xml:space="preserve"> </w:t>
      </w:r>
      <w:r w:rsidR="4998A6F3" w:rsidRPr="5575EBFC">
        <w:rPr>
          <w:lang w:val="en-GB"/>
        </w:rPr>
        <w:t>Such</w:t>
      </w:r>
      <w:r w:rsidR="08CFBF00" w:rsidRPr="5575EBFC">
        <w:rPr>
          <w:lang w:val="en-GB"/>
        </w:rPr>
        <w:t xml:space="preserve"> initiatives are a possible</w:t>
      </w:r>
      <w:r w:rsidR="3D01BD9D" w:rsidRPr="5575EBFC">
        <w:rPr>
          <w:lang w:val="en-GB"/>
        </w:rPr>
        <w:t xml:space="preserve"> driver </w:t>
      </w:r>
      <w:r w:rsidR="74CF3E2E" w:rsidRPr="5575EBFC">
        <w:rPr>
          <w:lang w:val="en-GB"/>
        </w:rPr>
        <w:t>for</w:t>
      </w:r>
      <w:r w:rsidR="3D01BD9D" w:rsidRPr="5575EBFC">
        <w:rPr>
          <w:lang w:val="en-GB"/>
        </w:rPr>
        <w:t xml:space="preserve"> the establishment and spread of </w:t>
      </w:r>
      <w:r w:rsidR="0E6400F0" w:rsidRPr="5575EBFC">
        <w:rPr>
          <w:lang w:val="en-GB"/>
        </w:rPr>
        <w:t>invasive alien species</w:t>
      </w:r>
      <w:r w:rsidR="078209B6" w:rsidRPr="5575EBFC">
        <w:rPr>
          <w:lang w:val="en-GB"/>
        </w:rPr>
        <w:t>,</w:t>
      </w:r>
      <w:r w:rsidR="32824ED7" w:rsidRPr="5575EBFC">
        <w:rPr>
          <w:lang w:val="en-GB"/>
        </w:rPr>
        <w:t xml:space="preserve"> such as </w:t>
      </w:r>
      <w:r w:rsidR="780D6E30" w:rsidRPr="5575EBFC">
        <w:rPr>
          <w:lang w:val="en-GB"/>
        </w:rPr>
        <w:t>fast-</w:t>
      </w:r>
      <w:r w:rsidR="3D01BD9D" w:rsidRPr="5575EBFC">
        <w:rPr>
          <w:lang w:val="en-GB"/>
        </w:rPr>
        <w:t>growing trees</w:t>
      </w:r>
      <w:r w:rsidR="1784E82A" w:rsidRPr="5575EBFC">
        <w:rPr>
          <w:lang w:val="en-GB"/>
        </w:rPr>
        <w:t xml:space="preserve"> from large</w:t>
      </w:r>
      <w:r w:rsidR="0EC8ECFC" w:rsidRPr="5575EBFC">
        <w:rPr>
          <w:lang w:val="en-GB"/>
        </w:rPr>
        <w:t>-</w:t>
      </w:r>
      <w:r w:rsidR="1784E82A" w:rsidRPr="5575EBFC">
        <w:rPr>
          <w:lang w:val="en-GB"/>
        </w:rPr>
        <w:t xml:space="preserve">scale plantations for carbon sequestration </w:t>
      </w:r>
      <w:r w:rsidR="008C1BF7" w:rsidRPr="5575EBFC">
        <w:rPr>
          <w:lang w:val="en-GB"/>
        </w:rPr>
        <w:fldChar w:fldCharType="begin"/>
      </w:r>
      <w:r w:rsidR="00331A79">
        <w:rPr>
          <w:lang w:val="en-GB"/>
        </w:rPr>
        <w:instrText xml:space="preserve"> ADDIN ZOTERO_ITEM CSL_CITATION {"citationID":"a1dakhvkqk","properties":{"formattedCitation":"(Dickie et al., 2014; Lindenmayer et al., 2012)","plainCitation":"(Dickie et al., 2014; Lindenmayer et al., 2012)","noteIndex":0},"citationItems":[{"id":22751,"uris":["http://zotero.org/groups/2352922/items/CR6ZJXID"],"itemData":{"id":22751,"type":"article-journal","abstract":"The development of a new carbon economy has the potential to offer win–win outcomes for environments and economies. Large-scale tree plantations are expected to play a major role in carbon economies but could have negative ecological and economic consequences when key environmental values such as biodiversity conservation are not considered. We discuss three potential “bio-perversities”—negative outcomes for biodiversity—that could result from inappropriate plantation tree programs aimed solely at reducing atmospheric carbon dioxide and mitigating rapid climate change effects. These are: (1) clearing native vegetation to establish tree plantations, (2) planting trees that become invasive taxa, and (3) tree plantations negatively affecting key ecosystem processes such as fire and hydrological regimes. These bio-perversities may result from common mistakes in environmental management: (1) too narrow a focus on a single environmental value, (2) failing to adequately quantify ecological uncertainty, and (3) failing to anticipate how different groups of people respond to an environmental problem. We highlight ways to prevent possible bio-perverse outcomes in large-scale plantation programs. These include requiring that risk assessments precede project establishment, full carbon accounting is undertaken, incentives used to stimulate tree plantation establishment are rigorously examined, and rigorous compliance and ecological monitoring is undertaken.","container-title":"Conservation Letters","DOI":"10.1111/j.1755-263X.2011.00213.x","ISSN":"1755-263X","issue":"1","journalAbbreviation":"Conserv Lett","language":"English","page":"28-36","source":"Wiley Online Library","title":"Avoiding bio-perversity from carbon sequestration solutions","URL":"https://conbio.onlinelibrary.wiley.com/doi/abs/10.1111/j.1755-263X.2011.00213.x","volume":"5","author":[{"family":"Lindenmayer","given":"David B."},{"family":"Hulvey","given":"Kristin B."},{"family":"Hobbs","given":"Richard J."},{"family":"Colyvan","given":"Mark"},{"family":"Felton","given":"Adam"},{"family":"Possingham","given":"Hugh"},{"family":"Steffen","given":"Will"},{"family":"Wilson","given":"Kerrie"},{"family":"Youngentob","given":"Kara"},{"family":"Gibbons","given":"Philip"}],"accessed":{"date-parts":[["2019",10,29]]},"issued":{"date-parts":[["2012",1]]}}},{"id":21659,"uris":["http://zotero.org/groups/2352922/items/UP725ZH7"],"itemData":{"id":21659,"type":"article-journal","container-title":"Biological Invasions","DOI":"10.1007/s10530-013-0609-6","ISSN":"1387-3547, 1573-1464","issue":"3","journalAbbreviation":"Biol Invasions","language":"en","page":"705-719","source":"DOI.org (Crossref)","title":"Conflicting values: ecosystem services and invasive tree management","title-short":"Conflicting values","URL":"http://link.springer.com/10.1007/s10530-013-0609-6","volume":"16","author":[{"family":"Dickie","given":"Ian A."},{"family":"Bennett","given":"Brett M."},{"family":"Burrows","given":"Larry E."},{"family":"Nuñez","given":"Martin A."},{"family":"Peltzer","given":"Duane A."},{"family":"Porté","given":"Annabel"},{"family":"Richardson","given":"David M."},{"family":"Rejmánek","given":"Marcel"},{"family":"Rundel","given":"Philip W."},{"family":"Wilgen","given":"Brian W.","non-dropping-particle":"van"}],"accessed":{"date-parts":[["2019",10,21]]},"issued":{"date-parts":[["2014",3]]}}}],"schema":"https://github.com/citation-style-language/schema/raw/master/csl-citation.json"} </w:instrText>
      </w:r>
      <w:r w:rsidR="008C1BF7" w:rsidRPr="5575EBFC">
        <w:rPr>
          <w:lang w:val="en-GB"/>
        </w:rPr>
        <w:fldChar w:fldCharType="separate"/>
      </w:r>
      <w:r w:rsidR="6B5F9B9E">
        <w:t>(Dickie et al., 2014; Lindenmayer et al., 2012)</w:t>
      </w:r>
      <w:r w:rsidR="008C1BF7" w:rsidRPr="5575EBFC">
        <w:rPr>
          <w:lang w:val="en-GB"/>
        </w:rPr>
        <w:fldChar w:fldCharType="end"/>
      </w:r>
      <w:r w:rsidR="1784E82A" w:rsidRPr="5575EBFC">
        <w:rPr>
          <w:lang w:val="en-GB"/>
        </w:rPr>
        <w:t>. In fact, a global survey of 226 carbon projects shows that 6</w:t>
      </w:r>
      <w:r w:rsidR="4804CF9A" w:rsidRPr="5575EBFC">
        <w:rPr>
          <w:lang w:val="en-GB"/>
        </w:rPr>
        <w:t xml:space="preserve"> per cent</w:t>
      </w:r>
      <w:r w:rsidR="1784E82A" w:rsidRPr="5575EBFC">
        <w:rPr>
          <w:lang w:val="en-GB"/>
        </w:rPr>
        <w:t xml:space="preserve"> use predominantly alien species and 18</w:t>
      </w:r>
      <w:r w:rsidR="4804CF9A" w:rsidRPr="5575EBFC">
        <w:rPr>
          <w:lang w:val="en-GB"/>
        </w:rPr>
        <w:t xml:space="preserve"> per cent</w:t>
      </w:r>
      <w:r w:rsidR="1784E82A" w:rsidRPr="5575EBFC">
        <w:rPr>
          <w:lang w:val="en-GB"/>
        </w:rPr>
        <w:t xml:space="preserve"> use a mixture of native and alien species </w:t>
      </w:r>
      <w:r w:rsidR="008C1BF7" w:rsidRPr="5575EBFC">
        <w:rPr>
          <w:lang w:val="en-GB"/>
        </w:rPr>
        <w:fldChar w:fldCharType="begin"/>
      </w:r>
      <w:r w:rsidR="00331A79">
        <w:rPr>
          <w:lang w:val="en-GB"/>
        </w:rPr>
        <w:instrText xml:space="preserve"> ADDIN ZOTERO_ITEM CSL_CITATION {"citationID":"a23879tjs9v","properties":{"formattedCitation":"(Lindenmayer et al., 2012)","plainCitation":"(Lindenmayer et al., 2012)","noteIndex":0},"citationItems":[{"id":22751,"uris":["http://zotero.org/groups/2352922/items/CR6ZJXID"],"itemData":{"id":22751,"type":"article-journal","abstract":"The development of a new carbon economy has the potential to offer win–win outcomes for environments and economies. Large-scale tree plantations are expected to play a major role in carbon economies but could have negative ecological and economic consequences when key environmental values such as biodiversity conservation are not considered. We discuss three potential “bio-perversities”—negative outcomes for biodiversity—that could result from inappropriate plantation tree programs aimed solely at reducing atmospheric carbon dioxide and mitigating rapid climate change effects. These are: (1) clearing native vegetation to establish tree plantations, (2) planting trees that become invasive taxa, and (3) tree plantations negatively affecting key ecosystem processes such as fire and hydrological regimes. These bio-perversities may result from common mistakes in environmental management: (1) too narrow a focus on a single environmental value, (2) failing to adequately quantify ecological uncertainty, and (3) failing to anticipate how different groups of people respond to an environmental problem. We highlight ways to prevent possible bio-perverse outcomes in large-scale plantation programs. These include requiring that risk assessments precede project establishment, full carbon accounting is undertaken, incentives used to stimulate tree plantation establishment are rigorously examined, and rigorous compliance and ecological monitoring is undertaken.","container-title":"Conservation Letters","DOI":"10.1111/j.1755-263X.2011.00213.x","ISSN":"1755-263X","issue":"1","journalAbbreviation":"Conserv Lett","language":"English","page":"28-36","source":"Wiley Online Library","title":"Avoiding bio-perversity from carbon sequestration solutions","URL":"https://conbio.onlinelibrary.wiley.com/doi/abs/10.1111/j.1755-263X.2011.00213.x","volume":"5","author":[{"family":"Lindenmayer","given":"David B."},{"family":"Hulvey","given":"Kristin B."},{"family":"Hobbs","given":"Richard J."},{"family":"Colyvan","given":"Mark"},{"family":"Felton","given":"Adam"},{"family":"Possingham","given":"Hugh"},{"family":"Steffen","given":"Will"},{"family":"Wilson","given":"Kerrie"},{"family":"Youngentob","given":"Kara"},{"family":"Gibbons","given":"Philip"}],"accessed":{"date-parts":[["2019",10,29]]},"issued":{"date-parts":[["2012",1]]}}}],"schema":"https://github.com/citation-style-language/schema/raw/master/csl-citation.json"} </w:instrText>
      </w:r>
      <w:r w:rsidR="008C1BF7" w:rsidRPr="5575EBFC">
        <w:rPr>
          <w:lang w:val="en-GB"/>
        </w:rPr>
        <w:fldChar w:fldCharType="separate"/>
      </w:r>
      <w:r w:rsidR="6B5F9B9E">
        <w:t>(Lindenmayer et al., 2012)</w:t>
      </w:r>
      <w:r w:rsidR="008C1BF7" w:rsidRPr="5575EBFC">
        <w:rPr>
          <w:lang w:val="en-GB"/>
        </w:rPr>
        <w:fldChar w:fldCharType="end"/>
      </w:r>
      <w:r w:rsidR="078209B6" w:rsidRPr="5575EBFC">
        <w:rPr>
          <w:lang w:val="en-GB"/>
        </w:rPr>
        <w:t>.</w:t>
      </w:r>
      <w:r w:rsidR="4297F918" w:rsidRPr="5575EBFC">
        <w:rPr>
          <w:lang w:val="en-GB"/>
        </w:rPr>
        <w:t xml:space="preserve"> </w:t>
      </w:r>
      <w:r w:rsidR="1BE3A70C" w:rsidRPr="5575EBFC">
        <w:rPr>
          <w:lang w:val="en-GB"/>
        </w:rPr>
        <w:t xml:space="preserve">Dickie et al. </w:t>
      </w:r>
      <w:r w:rsidR="008C1BF7" w:rsidRPr="5575EBFC">
        <w:rPr>
          <w:lang w:val="en-GB"/>
        </w:rPr>
        <w:fldChar w:fldCharType="begin"/>
      </w:r>
      <w:r w:rsidR="00331A79">
        <w:rPr>
          <w:lang w:val="en-GB"/>
        </w:rPr>
        <w:instrText xml:space="preserve"> ADDIN ZOTERO_ITEM CSL_CITATION {"citationID":"GoVPu5pG","properties":{"formattedCitation":"(2014)","plainCitation":"(2014)","noteIndex":0},"citationItems":[{"id":21659,"uris":["http://zotero.org/groups/2352922/items/UP725ZH7"],"itemData":{"id":21659,"type":"article-journal","container-title":"Biological Invasions","DOI":"10.1007/s10530-013-0609-6","ISSN":"1387-3547, 1573-1464","issue":"3","journalAbbreviation":"Biol Invasions","language":"en","page":"705-719","source":"DOI.org (Crossref)","title":"Conflicting values: ecosystem services and invasive tree management","title-short":"Conflicting values","URL":"http://link.springer.com/10.1007/s10530-013-0609-6","volume":"16","author":[{"family":"Dickie","given":"Ian A."},{"family":"Bennett","given":"Brett M."},{"family":"Burrows","given":"Larry E."},{"family":"Nuñez","given":"Martin A."},{"family":"Peltzer","given":"Duane A."},{"family":"Porté","given":"Annabel"},{"family":"Richardson","given":"David M."},{"family":"Rejmánek","given":"Marcel"},{"family":"Rundel","given":"Philip W."},{"family":"Wilgen","given":"Brian W.","non-dropping-particle":"van"}],"accessed":{"date-parts":[["2019",10,21]]},"issued":{"date-parts":[["2014",3]]}},"label":"page","suppress-author":true}],"schema":"https://github.com/citation-style-language/schema/raw/master/csl-citation.json"} </w:instrText>
      </w:r>
      <w:r w:rsidR="008C1BF7" w:rsidRPr="5575EBFC">
        <w:rPr>
          <w:lang w:val="en-GB"/>
        </w:rPr>
        <w:fldChar w:fldCharType="separate"/>
      </w:r>
      <w:r w:rsidR="6B5F9B9E">
        <w:t>(2014)</w:t>
      </w:r>
      <w:r w:rsidR="008C1BF7" w:rsidRPr="5575EBFC">
        <w:rPr>
          <w:lang w:val="en-GB"/>
        </w:rPr>
        <w:fldChar w:fldCharType="end"/>
      </w:r>
      <w:r w:rsidR="1BE3A70C" w:rsidRPr="5575EBFC">
        <w:rPr>
          <w:lang w:val="en-GB"/>
        </w:rPr>
        <w:t xml:space="preserve"> list</w:t>
      </w:r>
      <w:r w:rsidR="4297F918" w:rsidRPr="5575EBFC">
        <w:rPr>
          <w:lang w:val="en-GB"/>
        </w:rPr>
        <w:t xml:space="preserve"> </w:t>
      </w:r>
      <w:r w:rsidR="1BE3A70C" w:rsidRPr="5575EBFC">
        <w:rPr>
          <w:rFonts w:eastAsia="Times New Roman"/>
          <w:i/>
          <w:iCs/>
          <w:lang w:val="en-GB"/>
        </w:rPr>
        <w:t>Acacia</w:t>
      </w:r>
      <w:r w:rsidR="1BE3A70C" w:rsidRPr="5575EBFC">
        <w:rPr>
          <w:rFonts w:eastAsia="Times New Roman"/>
          <w:lang w:val="en-GB"/>
        </w:rPr>
        <w:t xml:space="preserve">, </w:t>
      </w:r>
      <w:r w:rsidR="1BE3A70C" w:rsidRPr="5575EBFC">
        <w:rPr>
          <w:rFonts w:eastAsia="Times New Roman"/>
          <w:i/>
          <w:iCs/>
          <w:lang w:val="en-GB"/>
        </w:rPr>
        <w:t>Casuarina</w:t>
      </w:r>
      <w:r w:rsidR="4A1375CC" w:rsidRPr="5575EBFC">
        <w:rPr>
          <w:rFonts w:eastAsia="Times New Roman"/>
          <w:lang w:val="en-GB"/>
        </w:rPr>
        <w:t xml:space="preserve"> </w:t>
      </w:r>
      <w:r w:rsidR="7983827A" w:rsidRPr="5575EBFC">
        <w:rPr>
          <w:rFonts w:eastAsia="Times New Roman"/>
          <w:lang w:val="en-GB"/>
        </w:rPr>
        <w:t>(beefwood)</w:t>
      </w:r>
      <w:r w:rsidR="1BE3A70C" w:rsidRPr="5575EBFC">
        <w:rPr>
          <w:rFonts w:eastAsia="Times New Roman"/>
          <w:lang w:val="en-GB"/>
        </w:rPr>
        <w:t xml:space="preserve">, </w:t>
      </w:r>
      <w:r w:rsidR="1BE3A70C" w:rsidRPr="5575EBFC">
        <w:rPr>
          <w:rFonts w:eastAsia="Times New Roman"/>
          <w:i/>
          <w:iCs/>
          <w:lang w:val="en-GB"/>
        </w:rPr>
        <w:t>Eucalyptus</w:t>
      </w:r>
      <w:r w:rsidR="1BE3A70C" w:rsidRPr="5575EBFC">
        <w:rPr>
          <w:rFonts w:eastAsia="Times New Roman"/>
          <w:lang w:val="en-GB"/>
        </w:rPr>
        <w:t xml:space="preserve">, </w:t>
      </w:r>
      <w:r w:rsidR="1BE3A70C" w:rsidRPr="5575EBFC">
        <w:rPr>
          <w:rFonts w:eastAsia="Times New Roman"/>
          <w:i/>
          <w:iCs/>
          <w:lang w:val="en-GB"/>
        </w:rPr>
        <w:t>Falcataria</w:t>
      </w:r>
      <w:r w:rsidR="4A1375CC" w:rsidRPr="5575EBFC">
        <w:rPr>
          <w:rFonts w:eastAsia="Times New Roman"/>
          <w:i/>
          <w:iCs/>
          <w:lang w:val="en-GB"/>
        </w:rPr>
        <w:t xml:space="preserve"> </w:t>
      </w:r>
      <w:r w:rsidR="4A1375CC" w:rsidRPr="5575EBFC">
        <w:rPr>
          <w:rFonts w:eastAsia="Times New Roman"/>
          <w:lang w:val="en-GB"/>
        </w:rPr>
        <w:t>(</w:t>
      </w:r>
      <w:r w:rsidR="302E19D6" w:rsidRPr="5575EBFC">
        <w:rPr>
          <w:rFonts w:eastAsia="Times New Roman"/>
          <w:lang w:val="en-GB"/>
        </w:rPr>
        <w:t>p</w:t>
      </w:r>
      <w:r w:rsidR="4A1375CC" w:rsidRPr="5575EBFC">
        <w:rPr>
          <w:rFonts w:eastAsia="Times New Roman"/>
          <w:lang w:val="en-GB"/>
        </w:rPr>
        <w:t>eacocksplume),</w:t>
      </w:r>
      <w:r w:rsidR="1BE3A70C" w:rsidRPr="5575EBFC">
        <w:rPr>
          <w:rFonts w:eastAsia="Times New Roman"/>
          <w:lang w:val="en-GB"/>
        </w:rPr>
        <w:t xml:space="preserve"> </w:t>
      </w:r>
      <w:r w:rsidR="1BE3A70C" w:rsidRPr="5575EBFC">
        <w:rPr>
          <w:rFonts w:eastAsia="Times New Roman"/>
          <w:i/>
          <w:iCs/>
          <w:lang w:val="en-GB"/>
        </w:rPr>
        <w:t>Pinus</w:t>
      </w:r>
      <w:r w:rsidR="2236EDF4" w:rsidRPr="5575EBFC">
        <w:rPr>
          <w:rFonts w:eastAsia="Times New Roman"/>
          <w:i/>
          <w:iCs/>
          <w:lang w:val="en-GB"/>
        </w:rPr>
        <w:t xml:space="preserve"> </w:t>
      </w:r>
      <w:r w:rsidR="2236EDF4" w:rsidRPr="5575EBFC">
        <w:rPr>
          <w:rFonts w:eastAsia="Times New Roman"/>
          <w:lang w:val="en-GB"/>
        </w:rPr>
        <w:t>(</w:t>
      </w:r>
      <w:r w:rsidR="302E19D6" w:rsidRPr="5575EBFC">
        <w:rPr>
          <w:rFonts w:eastAsia="Times New Roman"/>
          <w:lang w:val="en-GB"/>
        </w:rPr>
        <w:t>p</w:t>
      </w:r>
      <w:r w:rsidR="2236EDF4" w:rsidRPr="5575EBFC">
        <w:rPr>
          <w:rFonts w:eastAsia="Times New Roman"/>
          <w:lang w:val="en-GB"/>
        </w:rPr>
        <w:t>ine)</w:t>
      </w:r>
      <w:r w:rsidR="1BE3A70C" w:rsidRPr="5575EBFC">
        <w:rPr>
          <w:rFonts w:eastAsia="Times New Roman"/>
          <w:i/>
          <w:iCs/>
          <w:lang w:val="en-GB"/>
        </w:rPr>
        <w:t xml:space="preserve"> </w:t>
      </w:r>
      <w:r w:rsidR="1BE3A70C" w:rsidRPr="5575EBFC">
        <w:rPr>
          <w:rFonts w:eastAsia="Times New Roman"/>
          <w:lang w:val="en-GB"/>
        </w:rPr>
        <w:t xml:space="preserve">and </w:t>
      </w:r>
      <w:r w:rsidR="1BE3A70C" w:rsidRPr="5575EBFC">
        <w:rPr>
          <w:rFonts w:eastAsia="Times New Roman"/>
          <w:i/>
          <w:iCs/>
          <w:lang w:val="en-GB"/>
        </w:rPr>
        <w:t>Pseudotsuga</w:t>
      </w:r>
      <w:r w:rsidR="44B44A0D" w:rsidRPr="5575EBFC">
        <w:rPr>
          <w:lang w:val="en-GB"/>
        </w:rPr>
        <w:t xml:space="preserve"> </w:t>
      </w:r>
      <w:r w:rsidR="4A1375CC" w:rsidRPr="5575EBFC">
        <w:rPr>
          <w:lang w:val="en-GB"/>
        </w:rPr>
        <w:t xml:space="preserve">(douglas-fir) </w:t>
      </w:r>
      <w:r w:rsidR="44B44A0D" w:rsidRPr="5575EBFC">
        <w:rPr>
          <w:lang w:val="en-GB"/>
        </w:rPr>
        <w:t xml:space="preserve">as major invasive </w:t>
      </w:r>
      <w:r w:rsidR="780B4410" w:rsidRPr="5575EBFC">
        <w:rPr>
          <w:lang w:val="en-GB"/>
        </w:rPr>
        <w:t xml:space="preserve">alien </w:t>
      </w:r>
      <w:r w:rsidR="44B44A0D" w:rsidRPr="5575EBFC">
        <w:rPr>
          <w:lang w:val="en-GB"/>
        </w:rPr>
        <w:t>genera commonly used for carbon sequestration</w:t>
      </w:r>
      <w:r w:rsidR="63971DD4" w:rsidRPr="5575EBFC">
        <w:rPr>
          <w:lang w:val="en-GB"/>
        </w:rPr>
        <w:t xml:space="preserve"> </w:t>
      </w:r>
      <w:r w:rsidR="50CE0EAC" w:rsidRPr="5575EBFC">
        <w:rPr>
          <w:lang w:val="en-GB"/>
        </w:rPr>
        <w:t>(</w:t>
      </w:r>
      <w:r w:rsidR="63971DD4" w:rsidRPr="5575EBFC">
        <w:rPr>
          <w:b/>
          <w:bCs/>
          <w:lang w:val="en-GB"/>
        </w:rPr>
        <w:t>section 3.3.1.1</w:t>
      </w:r>
      <w:r w:rsidR="73557937" w:rsidRPr="5575EBFC">
        <w:rPr>
          <w:b/>
          <w:bCs/>
          <w:lang w:val="en-GB"/>
        </w:rPr>
        <w:t>.2</w:t>
      </w:r>
      <w:r w:rsidR="63971DD4" w:rsidRPr="5575EBFC">
        <w:rPr>
          <w:lang w:val="en-GB"/>
        </w:rPr>
        <w:t>)</w:t>
      </w:r>
      <w:r w:rsidR="44B44A0D" w:rsidRPr="5575EBFC">
        <w:rPr>
          <w:lang w:val="en-GB"/>
        </w:rPr>
        <w:t xml:space="preserve">. </w:t>
      </w:r>
      <w:r w:rsidR="17C7FD84" w:rsidRPr="5575EBFC">
        <w:rPr>
          <w:lang w:val="en-GB" w:eastAsia="en-NZ"/>
        </w:rPr>
        <w:t xml:space="preserve">Similarly, recommendations to introduce alien tree species into British native woodlands as part of adaptive management </w:t>
      </w:r>
      <w:r w:rsidR="45D2F3BE" w:rsidRPr="5575EBFC">
        <w:rPr>
          <w:lang w:val="en-GB" w:eastAsia="en-NZ"/>
        </w:rPr>
        <w:t>(</w:t>
      </w:r>
      <w:r w:rsidR="00E23B69">
        <w:rPr>
          <w:b/>
          <w:bCs/>
          <w:lang w:val="en-GB" w:eastAsia="en-NZ"/>
        </w:rPr>
        <w:t>Glossary</w:t>
      </w:r>
      <w:r w:rsidR="45D2F3BE" w:rsidRPr="5575EBFC">
        <w:rPr>
          <w:lang w:val="en-GB" w:eastAsia="en-NZ"/>
        </w:rPr>
        <w:t xml:space="preserve">) </w:t>
      </w:r>
      <w:r w:rsidR="17C7FD84" w:rsidRPr="5575EBFC">
        <w:rPr>
          <w:lang w:val="en-GB" w:eastAsia="en-NZ"/>
        </w:rPr>
        <w:t xml:space="preserve">strategies </w:t>
      </w:r>
      <w:r w:rsidR="0730EC96" w:rsidRPr="5575EBFC">
        <w:rPr>
          <w:lang w:val="en-GB" w:eastAsia="en-NZ"/>
        </w:rPr>
        <w:t>to mitigate</w:t>
      </w:r>
      <w:r w:rsidR="17C7FD84" w:rsidRPr="5575EBFC">
        <w:rPr>
          <w:lang w:val="en-GB" w:eastAsia="en-NZ"/>
        </w:rPr>
        <w:t xml:space="preserve"> rapid climate change</w:t>
      </w:r>
      <w:r w:rsidR="780B4410" w:rsidRPr="5575EBFC">
        <w:rPr>
          <w:lang w:val="en-GB" w:eastAsia="en-NZ"/>
        </w:rPr>
        <w:t>,</w:t>
      </w:r>
      <w:r w:rsidR="17C7FD84" w:rsidRPr="5575EBFC">
        <w:rPr>
          <w:lang w:val="en-GB" w:eastAsia="en-NZ"/>
        </w:rPr>
        <w:t xml:space="preserve"> and the potential impacts of </w:t>
      </w:r>
      <w:r w:rsidR="55B92270" w:rsidRPr="5575EBFC">
        <w:rPr>
          <w:lang w:val="en-GB" w:eastAsia="en-NZ"/>
        </w:rPr>
        <w:t xml:space="preserve">associated </w:t>
      </w:r>
      <w:r w:rsidR="17C7FD84" w:rsidRPr="5575EBFC">
        <w:rPr>
          <w:lang w:val="en-GB" w:eastAsia="en-NZ"/>
        </w:rPr>
        <w:t>pests and disease</w:t>
      </w:r>
      <w:r w:rsidR="56B0514D" w:rsidRPr="5575EBFC">
        <w:rPr>
          <w:lang w:val="en-GB" w:eastAsia="en-NZ"/>
        </w:rPr>
        <w:t>s</w:t>
      </w:r>
      <w:r w:rsidR="780B4410" w:rsidRPr="5575EBFC">
        <w:rPr>
          <w:lang w:val="en-GB" w:eastAsia="en-NZ"/>
        </w:rPr>
        <w:t>,</w:t>
      </w:r>
      <w:r w:rsidR="17C7FD84" w:rsidRPr="5575EBFC">
        <w:rPr>
          <w:lang w:val="en-GB" w:eastAsia="en-NZ"/>
        </w:rPr>
        <w:t xml:space="preserve"> will increase the risk of biological invasions as well </w:t>
      </w:r>
      <w:r w:rsidR="008C1BF7" w:rsidRPr="5575EBFC">
        <w:rPr>
          <w:lang w:val="en-GB" w:eastAsia="en-NZ"/>
        </w:rPr>
        <w:fldChar w:fldCharType="begin"/>
      </w:r>
      <w:r w:rsidR="00331A79">
        <w:rPr>
          <w:lang w:val="en-GB" w:eastAsia="en-NZ"/>
        </w:rPr>
        <w:instrText xml:space="preserve"> ADDIN ZOTERO_ITEM CSL_CITATION {"citationID":"1L73iIaf","properties":{"formattedCitation":"(Ennos et al., 2019)","plainCitation":"(Ennos et al., 2019)","noteIndex":0},"citationItems":[{"id":16806,"uris":["http://zotero.org/groups/2352922/items/Q52KT3KH"],"itemData":{"id":16806,"type":"article-journal","abstract":"Both plantation forests and native woodlands are currently facing challenges in the form of rapid climatic change and unprecedented increases in damage by exotic pests and diseases. To combat these problems it has been proposed that a range of novel exotic tree species (non-native species that have not yet undergone thorough operational testing or previously been grown at a forestry scale) should be grown as part of an adaptive management strategy, and that non-native (including novel) species should be introduced into native woodland. Justifications for this policy are that novel exotic species are required to maintain forest productivity under climate change, to create a more diverse, and by implication more resilient forest, and to substitute for native species threatened by introduced pests and pathogens. Here we examine these arguments in the context of British forestry, where there is a long history of utilising non-native species. On the basis of this documented experience we conclude that in the commercial sector of British forestry, where production is the main objective, there are strong arguments for undertaking a programme of rigorous testing and domestication of a very limited number of the most promising novel exotics which, in addition to good timber and growth, also have attributes that will allow the development of more naturalistic silvicultural systems and a move away from current clear-fell regimes. However this must be undertaken within a comprehensive risk assessment framework, where candidate species are rigorously screened both for any biosecurity threats, and their potential for causing ecological damage if they become invasive outside their initial planting sites. Widespread planting of candidate species should only be recommended after the completion of full species and provenance trials, and when reliable sources of appropriately adapted seed have been established. Conversely where conservation of biodiversity is an objective we find no support for introduction of any non-native species. This is based on the greater ecological and economic risk they pose compared to the use of native species. Use of non-natives is likely to lead to an increase rather than a decrease in pest and disease problems, and to hinder rather than support the retention of threatened native tree species and their associated biodiversity.","container-title":"Forest Ecology and Management","DOI":"10.1016/j.foreco.2018.10.018","ISSN":"0378-1127","journalAbbreviation":"Forest Ecology and Management","language":"en","page":"718-728","source":"ScienceDirect","title":"Is the introduction of novel exotic forest tree species a rational response to rapid environmental change? – A British perspective","title-short":"Is the introduction of novel exotic forest tree species a rational response to rapid environmental change?","URL":"http://www.sciencedirect.com/science/article/pii/S0378112718310016","volume":"432","author":[{"family":"Ennos","given":"Richard"},{"family":"Cottrell","given":"Joan"},{"family":"Hall","given":"Jeanette"},{"family":"O'Brien","given":"David"}],"accessed":{"date-parts":[["2019",12,8]]},"issued":{"date-parts":[["2019",1,15]]}}}],"schema":"https://github.com/citation-style-language/schema/raw/master/csl-citation.json"} </w:instrText>
      </w:r>
      <w:r w:rsidR="008C1BF7" w:rsidRPr="5575EBFC">
        <w:rPr>
          <w:lang w:val="en-GB" w:eastAsia="en-NZ"/>
        </w:rPr>
        <w:fldChar w:fldCharType="separate"/>
      </w:r>
      <w:r w:rsidR="6B5F9B9E">
        <w:t>(Ennos et al., 2019)</w:t>
      </w:r>
      <w:r w:rsidR="008C1BF7" w:rsidRPr="5575EBFC">
        <w:rPr>
          <w:lang w:val="en-GB" w:eastAsia="en-NZ"/>
        </w:rPr>
        <w:fldChar w:fldCharType="end"/>
      </w:r>
      <w:r w:rsidR="17C7FD84" w:rsidRPr="5575EBFC">
        <w:rPr>
          <w:lang w:val="en-GB" w:eastAsia="en-NZ"/>
        </w:rPr>
        <w:t>.</w:t>
      </w:r>
      <w:r w:rsidR="17C7FD84" w:rsidRPr="5575EBFC">
        <w:rPr>
          <w:lang w:val="en-GB"/>
        </w:rPr>
        <w:t xml:space="preserve"> </w:t>
      </w:r>
      <w:r w:rsidR="1784E82A" w:rsidRPr="5575EBFC">
        <w:rPr>
          <w:lang w:val="en-GB"/>
        </w:rPr>
        <w:t xml:space="preserve">Overall, although the </w:t>
      </w:r>
      <w:r w:rsidR="1F8E62CF" w:rsidRPr="5575EBFC">
        <w:rPr>
          <w:lang w:val="en-GB"/>
        </w:rPr>
        <w:t xml:space="preserve">role of </w:t>
      </w:r>
      <w:r w:rsidR="1784E82A" w:rsidRPr="5575EBFC">
        <w:rPr>
          <w:lang w:val="en-GB"/>
        </w:rPr>
        <w:t xml:space="preserve">international organizations as indirect drivers </w:t>
      </w:r>
      <w:r w:rsidR="0896E239" w:rsidRPr="5575EBFC">
        <w:rPr>
          <w:lang w:val="en-GB"/>
        </w:rPr>
        <w:t>facilitating</w:t>
      </w:r>
      <w:r w:rsidR="1784E82A" w:rsidRPr="5575EBFC">
        <w:rPr>
          <w:lang w:val="en-GB"/>
        </w:rPr>
        <w:t xml:space="preserve"> biological invasions </w:t>
      </w:r>
      <w:r w:rsidR="747771D9" w:rsidRPr="5575EBFC">
        <w:rPr>
          <w:lang w:val="en-GB"/>
        </w:rPr>
        <w:t>has largely been</w:t>
      </w:r>
      <w:r w:rsidR="1784E82A" w:rsidRPr="5575EBFC">
        <w:rPr>
          <w:lang w:val="en-GB"/>
        </w:rPr>
        <w:t xml:space="preserve"> neglected,</w:t>
      </w:r>
      <w:r w:rsidR="4A14D876" w:rsidRPr="5575EBFC">
        <w:rPr>
          <w:lang w:val="en-GB"/>
        </w:rPr>
        <w:t xml:space="preserve"> </w:t>
      </w:r>
      <w:r w:rsidR="1784E82A" w:rsidRPr="5575EBFC">
        <w:rPr>
          <w:lang w:val="en-GB"/>
        </w:rPr>
        <w:t>the evidence to date suggest they may play a role in t</w:t>
      </w:r>
      <w:r w:rsidR="09CAB395" w:rsidRPr="5575EBFC">
        <w:rPr>
          <w:lang w:val="en-GB"/>
        </w:rPr>
        <w:t>ransport and introduction (via trade and i</w:t>
      </w:r>
      <w:r w:rsidR="1784E82A" w:rsidRPr="5575EBFC">
        <w:rPr>
          <w:lang w:val="en-GB"/>
        </w:rPr>
        <w:t>nfrastructure</w:t>
      </w:r>
      <w:r w:rsidR="75BD49A8" w:rsidRPr="5575EBFC">
        <w:rPr>
          <w:lang w:val="en-GB"/>
        </w:rPr>
        <w:t>, se</w:t>
      </w:r>
      <w:r w:rsidR="11CDFB7C" w:rsidRPr="5575EBFC">
        <w:rPr>
          <w:lang w:val="en-GB"/>
        </w:rPr>
        <w:t>e</w:t>
      </w:r>
      <w:r w:rsidR="75BD49A8" w:rsidRPr="5575EBFC">
        <w:rPr>
          <w:lang w:val="en-GB"/>
        </w:rPr>
        <w:t xml:space="preserve"> </w:t>
      </w:r>
      <w:r w:rsidR="75BD49A8" w:rsidRPr="5575EBFC">
        <w:rPr>
          <w:b/>
          <w:bCs/>
          <w:lang w:val="en-GB"/>
        </w:rPr>
        <w:t>section</w:t>
      </w:r>
      <w:r w:rsidR="11CDFB7C" w:rsidRPr="5575EBFC">
        <w:rPr>
          <w:b/>
          <w:bCs/>
          <w:lang w:val="en-GB"/>
        </w:rPr>
        <w:t xml:space="preserve"> 3.2.3.1</w:t>
      </w:r>
      <w:r w:rsidR="1784E82A" w:rsidRPr="5575EBFC">
        <w:rPr>
          <w:lang w:val="en-GB"/>
        </w:rPr>
        <w:t>) and release and establishment (via agriculture, forestry</w:t>
      </w:r>
      <w:r w:rsidR="009F7404">
        <w:rPr>
          <w:lang w:val="en-GB"/>
        </w:rPr>
        <w:t xml:space="preserve"> and</w:t>
      </w:r>
      <w:r w:rsidR="1784E82A" w:rsidRPr="5575EBFC">
        <w:rPr>
          <w:lang w:val="en-GB"/>
        </w:rPr>
        <w:t xml:space="preserve"> aquaculture</w:t>
      </w:r>
      <w:r w:rsidR="33A3880E" w:rsidRPr="5575EBFC">
        <w:rPr>
          <w:lang w:val="en-GB"/>
        </w:rPr>
        <w:t xml:space="preserve">, see </w:t>
      </w:r>
      <w:r w:rsidR="33A3880E" w:rsidRPr="5575EBFC">
        <w:rPr>
          <w:b/>
          <w:bCs/>
          <w:lang w:val="en-GB"/>
        </w:rPr>
        <w:t>section 3.3.1.1</w:t>
      </w:r>
      <w:r w:rsidR="1784E82A" w:rsidRPr="5575EBFC">
        <w:rPr>
          <w:lang w:val="en-GB"/>
        </w:rPr>
        <w:t xml:space="preserve">), which deserves further attention. </w:t>
      </w:r>
    </w:p>
    <w:p w14:paraId="43AA9F1F" w14:textId="5691816C" w:rsidR="005B220E" w:rsidRPr="00DA249F" w:rsidRDefault="00E55A3B" w:rsidP="00BB590B">
      <w:pPr>
        <w:spacing w:before="0" w:after="0"/>
        <w:rPr>
          <w:rFonts w:eastAsia="Times New Roman"/>
          <w:color w:val="000000"/>
          <w:szCs w:val="24"/>
          <w:lang w:val="en-GB" w:eastAsia="zh-CN"/>
        </w:rPr>
      </w:pPr>
      <w:r w:rsidRPr="00DA249F">
        <w:rPr>
          <w:szCs w:val="24"/>
          <w:lang w:val="en-GB" w:eastAsia="en-NZ"/>
        </w:rPr>
        <w:t>Furthermore,</w:t>
      </w:r>
      <w:r w:rsidR="0096147F" w:rsidRPr="00DA249F">
        <w:rPr>
          <w:szCs w:val="24"/>
          <w:lang w:val="en-GB" w:eastAsia="en-NZ"/>
        </w:rPr>
        <w:t xml:space="preserve"> international and national programs targeted</w:t>
      </w:r>
      <w:r w:rsidR="0010756A">
        <w:rPr>
          <w:szCs w:val="24"/>
          <w:lang w:val="en-GB" w:eastAsia="en-NZ"/>
        </w:rPr>
        <w:t xml:space="preserve"> at</w:t>
      </w:r>
      <w:r w:rsidR="0096147F" w:rsidRPr="00DA249F">
        <w:rPr>
          <w:szCs w:val="24"/>
          <w:lang w:val="en-GB" w:eastAsia="en-NZ"/>
        </w:rPr>
        <w:t xml:space="preserve"> biological control of exi</w:t>
      </w:r>
      <w:r w:rsidR="00BD1567" w:rsidRPr="00DA249F">
        <w:rPr>
          <w:szCs w:val="24"/>
          <w:lang w:val="en-GB" w:eastAsia="en-NZ"/>
        </w:rPr>
        <w:t>s</w:t>
      </w:r>
      <w:r w:rsidR="0096147F" w:rsidRPr="00DA249F">
        <w:rPr>
          <w:szCs w:val="24"/>
          <w:lang w:val="en-GB" w:eastAsia="en-NZ"/>
        </w:rPr>
        <w:t>ting pests have resulted in the widespread introduction of invasive alien species.</w:t>
      </w:r>
      <w:r w:rsidR="006F02BA" w:rsidRPr="00DA249F">
        <w:rPr>
          <w:szCs w:val="24"/>
          <w:lang w:val="en-GB" w:eastAsia="en-NZ"/>
        </w:rPr>
        <w:t xml:space="preserve"> </w:t>
      </w:r>
      <w:r w:rsidR="00D8622B" w:rsidRPr="00DA249F">
        <w:rPr>
          <w:iCs/>
          <w:szCs w:val="24"/>
          <w:lang w:val="en-GB" w:eastAsia="en-NZ"/>
        </w:rPr>
        <w:t>S</w:t>
      </w:r>
      <w:r w:rsidR="00D8622B" w:rsidRPr="00DA249F">
        <w:rPr>
          <w:szCs w:val="24"/>
          <w:lang w:val="en-GB" w:eastAsia="en-NZ"/>
        </w:rPr>
        <w:t xml:space="preserve">ince </w:t>
      </w:r>
      <w:r w:rsidR="00730A10" w:rsidRPr="00DA249F">
        <w:rPr>
          <w:szCs w:val="24"/>
          <w:lang w:val="en-GB" w:eastAsia="en-NZ"/>
        </w:rPr>
        <w:t>1955</w:t>
      </w:r>
      <w:r w:rsidR="00BD4C04">
        <w:rPr>
          <w:szCs w:val="24"/>
          <w:lang w:val="en-GB" w:eastAsia="en-NZ"/>
        </w:rPr>
        <w:t>,</w:t>
      </w:r>
      <w:r w:rsidR="00730A10" w:rsidRPr="00DA249F">
        <w:rPr>
          <w:szCs w:val="24"/>
          <w:lang w:val="en-GB" w:eastAsia="en-NZ"/>
        </w:rPr>
        <w:t xml:space="preserve"> </w:t>
      </w:r>
      <w:r w:rsidR="00D8622B" w:rsidRPr="00DA249F">
        <w:rPr>
          <w:i/>
          <w:iCs/>
          <w:szCs w:val="24"/>
          <w:lang w:val="en-GB" w:eastAsia="en-NZ"/>
        </w:rPr>
        <w:t>Euglandina rosea</w:t>
      </w:r>
      <w:r w:rsidR="00D8622B" w:rsidRPr="00DA249F">
        <w:rPr>
          <w:szCs w:val="24"/>
          <w:lang w:val="en-GB" w:eastAsia="en-NZ"/>
        </w:rPr>
        <w:t xml:space="preserve"> </w:t>
      </w:r>
      <w:r w:rsidR="0096147F" w:rsidRPr="00DA249F">
        <w:rPr>
          <w:szCs w:val="24"/>
          <w:lang w:val="en-GB" w:eastAsia="en-NZ"/>
        </w:rPr>
        <w:t>(rosy predator snail)</w:t>
      </w:r>
      <w:r w:rsidR="0096147F" w:rsidRPr="00DA249F">
        <w:rPr>
          <w:i/>
          <w:iCs/>
          <w:szCs w:val="24"/>
          <w:lang w:val="en-GB" w:eastAsia="en-NZ"/>
        </w:rPr>
        <w:t xml:space="preserve"> </w:t>
      </w:r>
      <w:r w:rsidR="00BD4C04">
        <w:rPr>
          <w:szCs w:val="24"/>
          <w:lang w:val="en-GB" w:eastAsia="en-NZ"/>
        </w:rPr>
        <w:t>has been</w:t>
      </w:r>
      <w:r w:rsidR="00730A10" w:rsidRPr="00DA249F">
        <w:rPr>
          <w:szCs w:val="24"/>
          <w:lang w:val="en-GB" w:eastAsia="en-NZ"/>
        </w:rPr>
        <w:t xml:space="preserve"> introduced to at least 27 island groups and continental countries, including many Pacific islands, in most cases </w:t>
      </w:r>
      <w:r w:rsidR="008E07F3">
        <w:rPr>
          <w:szCs w:val="24"/>
          <w:lang w:val="en-GB" w:eastAsia="en-NZ"/>
        </w:rPr>
        <w:t xml:space="preserve">with the aim of </w:t>
      </w:r>
      <w:r w:rsidR="00730A10" w:rsidRPr="00DA249F">
        <w:rPr>
          <w:szCs w:val="24"/>
          <w:lang w:val="en-GB" w:eastAsia="en-NZ"/>
        </w:rPr>
        <w:t xml:space="preserve">controlling </w:t>
      </w:r>
      <w:r w:rsidR="008E07F3">
        <w:rPr>
          <w:szCs w:val="24"/>
          <w:lang w:val="en-GB" w:eastAsia="en-NZ"/>
        </w:rPr>
        <w:t xml:space="preserve">the invasive </w:t>
      </w:r>
      <w:r w:rsidR="00D8622B" w:rsidRPr="00DA249F">
        <w:rPr>
          <w:i/>
          <w:iCs/>
          <w:szCs w:val="24"/>
          <w:lang w:val="en-GB" w:eastAsia="en-NZ"/>
        </w:rPr>
        <w:t>Lissachatina fulica</w:t>
      </w:r>
      <w:r w:rsidR="00D8622B" w:rsidRPr="00DA249F">
        <w:rPr>
          <w:szCs w:val="24"/>
          <w:lang w:val="en-GB" w:eastAsia="en-NZ"/>
        </w:rPr>
        <w:t xml:space="preserve"> (</w:t>
      </w:r>
      <w:r w:rsidR="00730A10" w:rsidRPr="00DA249F">
        <w:rPr>
          <w:szCs w:val="24"/>
          <w:lang w:val="en-GB" w:eastAsia="en-NZ"/>
        </w:rPr>
        <w:t xml:space="preserve">giant African </w:t>
      </w:r>
      <w:r w:rsidR="00D8622B" w:rsidRPr="00DA249F">
        <w:rPr>
          <w:szCs w:val="24"/>
          <w:lang w:val="en-GB" w:eastAsia="en-NZ"/>
        </w:rPr>
        <w:t xml:space="preserve">land </w:t>
      </w:r>
      <w:r w:rsidR="00730A10" w:rsidRPr="00DA249F">
        <w:rPr>
          <w:szCs w:val="24"/>
          <w:lang w:val="en-GB" w:eastAsia="en-NZ"/>
        </w:rPr>
        <w:t xml:space="preserve">snail). The effects in terms of control of the African snail have been limited, but these releases have been catastrophic to many native species; </w:t>
      </w:r>
      <w:r w:rsidR="00D8622B" w:rsidRPr="00DA249F">
        <w:rPr>
          <w:i/>
          <w:iCs/>
          <w:szCs w:val="24"/>
          <w:lang w:val="en-GB" w:eastAsia="en-NZ"/>
        </w:rPr>
        <w:t>Euglandina rosea</w:t>
      </w:r>
      <w:r w:rsidR="00730A10" w:rsidRPr="00DA249F">
        <w:rPr>
          <w:szCs w:val="24"/>
          <w:lang w:val="en-GB" w:eastAsia="en-NZ"/>
        </w:rPr>
        <w:t xml:space="preserve"> has caused the extinction of 134 land snail species and t</w:t>
      </w:r>
      <w:r w:rsidR="00052FF6">
        <w:rPr>
          <w:szCs w:val="24"/>
          <w:lang w:val="en-GB" w:eastAsia="en-NZ"/>
        </w:rPr>
        <w:t>he</w:t>
      </w:r>
      <w:r w:rsidR="00730A10" w:rsidRPr="00DA249F">
        <w:rPr>
          <w:szCs w:val="24"/>
          <w:lang w:val="en-GB" w:eastAsia="en-NZ"/>
        </w:rPr>
        <w:t xml:space="preserve"> declines of many more species </w:t>
      </w:r>
      <w:r w:rsidR="006462C0" w:rsidRPr="00DA249F">
        <w:rPr>
          <w:szCs w:val="24"/>
          <w:lang w:val="en-GB" w:eastAsia="en-NZ"/>
        </w:rPr>
        <w:fldChar w:fldCharType="begin"/>
      </w:r>
      <w:r w:rsidR="00331A79">
        <w:rPr>
          <w:szCs w:val="24"/>
          <w:lang w:val="en-GB" w:eastAsia="en-NZ"/>
        </w:rPr>
        <w:instrText xml:space="preserve"> ADDIN ZOTERO_ITEM CSL_CITATION {"citationID":"17Pm09SD","properties":{"formattedCitation":"(Gerlach et al., 2021)","plainCitation":"(Gerlach et al., 2021)","noteIndex":0},"citationItems":[{"id":53258,"uris":["http://zotero.org/groups/2352922/items/I6EF2DAE"],"itemData":{"id":53258,"type":"article-journal","container-title":"Biological Invasions","DOI":"https://doi.org/10.1007/s10530-020-02436-w","issue":"4","note":"ISBN: 1573-1464\npublisher: Springer","page":"997-1031","title":"Negative impacts of invasive predators used as biological control agents against the pest snail &lt;i&gt;Lissachatina fulica&lt;/i&gt;: the snail &lt;i&gt;Euglandina ‘rosea’&lt;/i&gt;and the flatworm &lt;i&gt;Platydemus manokwari&lt;/i&gt;","URL":"https://link.springer.com/article/10.1007/s10530-020-02436-w","volume":"23","author":[{"family":"Gerlach","given":"Justin"},{"family":"Barker","given":"Gary M."},{"family":"Bick","given":"Cindy S."},{"family":"Bouchet","given":"Philippe"},{"family":"Brodie","given":"Gilianne"},{"family":"Christensen","given":"Carl C."},{"family":"Collins","given":"Timothy"},{"family":"Coote","given":"Trevor"},{"family":"Cowie","given":"Robert H."},{"family":"Fiedler","given":"G. Curt"}],"issued":{"date-parts":[["2021"]]}}}],"schema":"https://github.com/citation-style-language/schema/raw/master/csl-citation.json"} </w:instrText>
      </w:r>
      <w:r w:rsidR="006462C0" w:rsidRPr="00DA249F">
        <w:rPr>
          <w:szCs w:val="24"/>
          <w:lang w:val="en-GB" w:eastAsia="en-NZ"/>
        </w:rPr>
        <w:fldChar w:fldCharType="separate"/>
      </w:r>
      <w:r w:rsidR="00144D96" w:rsidRPr="00144D96">
        <w:t>(Gerlach et al., 2021)</w:t>
      </w:r>
      <w:r w:rsidR="006462C0" w:rsidRPr="00DA249F">
        <w:rPr>
          <w:szCs w:val="24"/>
          <w:lang w:val="en-GB" w:eastAsia="en-NZ"/>
        </w:rPr>
        <w:fldChar w:fldCharType="end"/>
      </w:r>
      <w:r w:rsidR="00730A10" w:rsidRPr="00DA249F">
        <w:rPr>
          <w:szCs w:val="24"/>
          <w:lang w:val="en-GB" w:eastAsia="en-NZ"/>
        </w:rPr>
        <w:t xml:space="preserve">. </w:t>
      </w:r>
      <w:r w:rsidR="0026349C" w:rsidRPr="00DA249F">
        <w:rPr>
          <w:lang w:val="en-GB" w:eastAsia="en-NZ"/>
        </w:rPr>
        <w:t xml:space="preserve">The introduction of </w:t>
      </w:r>
      <w:r w:rsidR="0026349C" w:rsidRPr="00DA249F">
        <w:rPr>
          <w:i/>
          <w:iCs/>
          <w:lang w:val="en-GB" w:eastAsia="en-NZ"/>
        </w:rPr>
        <w:t>Gambusia affinis</w:t>
      </w:r>
      <w:r w:rsidR="0026349C" w:rsidRPr="00DA249F">
        <w:rPr>
          <w:lang w:val="en-GB" w:eastAsia="en-NZ"/>
        </w:rPr>
        <w:t xml:space="preserve"> </w:t>
      </w:r>
      <w:r w:rsidR="00AA1F79" w:rsidRPr="00DA249F">
        <w:rPr>
          <w:lang w:val="en-GB" w:eastAsia="en-NZ"/>
        </w:rPr>
        <w:t>(</w:t>
      </w:r>
      <w:r w:rsidR="00BB590B" w:rsidRPr="00DA249F">
        <w:rPr>
          <w:rFonts w:eastAsia="Times New Roman"/>
          <w:color w:val="000000"/>
          <w:szCs w:val="24"/>
          <w:lang w:val="en-GB" w:eastAsia="zh-CN"/>
        </w:rPr>
        <w:t xml:space="preserve">western mosquitofish) </w:t>
      </w:r>
      <w:r w:rsidR="0026349C" w:rsidRPr="00DA249F">
        <w:rPr>
          <w:lang w:val="en-GB" w:eastAsia="en-NZ"/>
        </w:rPr>
        <w:t xml:space="preserve">and </w:t>
      </w:r>
      <w:r w:rsidR="008E47FE" w:rsidRPr="00DA249F">
        <w:rPr>
          <w:i/>
          <w:iCs/>
          <w:lang w:val="en-GB" w:eastAsia="en-NZ"/>
        </w:rPr>
        <w:t>Gambusia</w:t>
      </w:r>
      <w:r w:rsidR="0026349C" w:rsidRPr="00DA249F">
        <w:rPr>
          <w:i/>
          <w:iCs/>
          <w:lang w:val="en-GB" w:eastAsia="en-NZ"/>
        </w:rPr>
        <w:t xml:space="preserve"> holbrooki</w:t>
      </w:r>
      <w:r w:rsidR="008E47FE" w:rsidRPr="00DA249F">
        <w:rPr>
          <w:lang w:val="en-GB" w:eastAsia="en-NZ"/>
        </w:rPr>
        <w:t xml:space="preserve"> (</w:t>
      </w:r>
      <w:r w:rsidR="00BB590B" w:rsidRPr="00DA249F">
        <w:rPr>
          <w:rFonts w:eastAsia="Times New Roman"/>
          <w:color w:val="000000"/>
          <w:szCs w:val="24"/>
          <w:lang w:val="en-GB" w:eastAsia="zh-CN"/>
        </w:rPr>
        <w:t>eastern mosquitofish</w:t>
      </w:r>
      <w:r w:rsidR="008E47FE" w:rsidRPr="00DA249F">
        <w:rPr>
          <w:lang w:val="en-GB" w:eastAsia="en-NZ"/>
        </w:rPr>
        <w:t>)</w:t>
      </w:r>
      <w:r w:rsidR="0026349C" w:rsidRPr="00DA249F">
        <w:rPr>
          <w:lang w:val="en-GB" w:eastAsia="en-NZ"/>
        </w:rPr>
        <w:t xml:space="preserve"> in most temperate and tropical countries as b</w:t>
      </w:r>
      <w:r w:rsidR="00EC57E4" w:rsidRPr="00DA249F">
        <w:rPr>
          <w:lang w:val="en-GB" w:eastAsia="en-NZ"/>
        </w:rPr>
        <w:t>iological control</w:t>
      </w:r>
      <w:r w:rsidR="0026349C" w:rsidRPr="00DA249F">
        <w:rPr>
          <w:lang w:val="en-GB" w:eastAsia="en-NZ"/>
        </w:rPr>
        <w:t xml:space="preserve"> agents for mosquitoes started in the early 1990s and continues to date</w:t>
      </w:r>
      <w:r w:rsidR="00730A10" w:rsidRPr="00DA249F">
        <w:rPr>
          <w:lang w:val="en-GB" w:eastAsia="en-NZ"/>
        </w:rPr>
        <w:t xml:space="preserve">. These species are now the most widespread fish in the world, recorded in six continents. Mosquito fish have strong negative effects on freshwater ecosystems and on native fish through predation on juveniles and eggs </w:t>
      </w:r>
      <w:r w:rsidR="005570BA">
        <w:rPr>
          <w:lang w:val="en-GB" w:eastAsia="en-NZ"/>
        </w:rPr>
        <w:t>and/</w:t>
      </w:r>
      <w:r w:rsidR="00730A10" w:rsidRPr="00DA249F">
        <w:rPr>
          <w:lang w:val="en-GB" w:eastAsia="en-NZ"/>
        </w:rPr>
        <w:t xml:space="preserve">or through competition with species with similar ecological niches </w:t>
      </w:r>
      <w:r w:rsidR="00DC377F" w:rsidRPr="00DA249F">
        <w:rPr>
          <w:lang w:val="en-GB" w:eastAsia="en-NZ"/>
        </w:rPr>
        <w:fldChar w:fldCharType="begin"/>
      </w:r>
      <w:r w:rsidR="00331A79">
        <w:rPr>
          <w:lang w:val="en-GB" w:eastAsia="en-NZ"/>
        </w:rPr>
        <w:instrText xml:space="preserve"> ADDIN ZOTERO_ITEM CSL_CITATION {"citationID":"pXPnGcf7","properties":{"formattedCitation":"(W. E. Walton et al., 2012)","plainCitation":"(W. E. Walton et al., 2012)","noteIndex":0},"citationItems":[{"id":53816,"uris":["http://zotero.org/groups/2352922/items/LBBYUWMY"],"itemData":{"id":53816,"type":"chapter","container-title":"A handbook of global freshwater invasive species","ISBN":"978-1-84971-228-6","page":"261-273","publisher":"Earthscan London","title":"&lt;i&gt;Gambusia affinis&lt;/i&gt; (Baird and Girard) and &lt;i&gt;Gambusia holbrooki&lt;/i&gt; Girard (Mosquitofish)","author":[{"family":"Walton","given":"William E."},{"family":"Henke","given":"Jennifer A."},{"family":"Why","given":"Adena M."}],"issued":{"date-parts":[["2012"]]}}}],"schema":"https://github.com/citation-style-language/schema/raw/master/csl-citation.json"} </w:instrText>
      </w:r>
      <w:r w:rsidR="00DC377F" w:rsidRPr="00DA249F">
        <w:rPr>
          <w:lang w:val="en-GB" w:eastAsia="en-NZ"/>
        </w:rPr>
        <w:fldChar w:fldCharType="separate"/>
      </w:r>
      <w:r w:rsidR="00144D96" w:rsidRPr="00144D96">
        <w:t>(W. E. Walton et al., 2012)</w:t>
      </w:r>
      <w:r w:rsidR="00DC377F" w:rsidRPr="00DA249F">
        <w:rPr>
          <w:lang w:val="en-GB" w:eastAsia="en-NZ"/>
        </w:rPr>
        <w:fldChar w:fldCharType="end"/>
      </w:r>
      <w:r w:rsidR="00DC377F" w:rsidRPr="00DA249F">
        <w:rPr>
          <w:lang w:val="en-GB" w:eastAsia="en-NZ"/>
        </w:rPr>
        <w:t>.</w:t>
      </w:r>
    </w:p>
    <w:p w14:paraId="03A73990" w14:textId="19776C9E" w:rsidR="00812932" w:rsidRPr="00DA249F" w:rsidRDefault="0068627B" w:rsidP="00C85F63">
      <w:pPr>
        <w:rPr>
          <w:lang w:val="en-GB" w:eastAsia="en-NZ"/>
        </w:rPr>
      </w:pPr>
      <w:r w:rsidRPr="00DA249F">
        <w:rPr>
          <w:lang w:val="en-GB"/>
        </w:rPr>
        <w:t>Indigenous Peoples</w:t>
      </w:r>
      <w:r w:rsidR="00E55A3B" w:rsidRPr="00DA249F">
        <w:rPr>
          <w:lang w:val="en-GB"/>
        </w:rPr>
        <w:t xml:space="preserve"> and local communities have also reported that national pol</w:t>
      </w:r>
      <w:r w:rsidR="00487818" w:rsidRPr="00DA249F">
        <w:rPr>
          <w:lang w:val="en-GB"/>
        </w:rPr>
        <w:t>i</w:t>
      </w:r>
      <w:r w:rsidR="00E55A3B" w:rsidRPr="00DA249F">
        <w:rPr>
          <w:lang w:val="en-GB"/>
        </w:rPr>
        <w:t xml:space="preserve">cies limiting land tenure and access rights </w:t>
      </w:r>
      <w:r w:rsidR="00487818" w:rsidRPr="00DA249F">
        <w:rPr>
          <w:lang w:val="en-GB"/>
        </w:rPr>
        <w:t>can be</w:t>
      </w:r>
      <w:r w:rsidR="00E55A3B" w:rsidRPr="00DA249F">
        <w:rPr>
          <w:lang w:val="en-GB"/>
        </w:rPr>
        <w:t xml:space="preserve"> significant drivers of invasive alien species</w:t>
      </w:r>
      <w:r w:rsidR="00487818" w:rsidRPr="00DA249F">
        <w:rPr>
          <w:lang w:val="en-GB"/>
        </w:rPr>
        <w:t xml:space="preserve"> on their lands</w:t>
      </w:r>
      <w:r w:rsidR="00E55A3B" w:rsidRPr="00DA249F">
        <w:rPr>
          <w:lang w:val="en-GB"/>
        </w:rPr>
        <w:t xml:space="preserve"> </w:t>
      </w:r>
      <w:r w:rsidR="00E55A3B" w:rsidRPr="00DA249F">
        <w:rPr>
          <w:lang w:val="en-GB"/>
        </w:rPr>
        <w:fldChar w:fldCharType="begin"/>
      </w:r>
      <w:r w:rsidR="00F5121E">
        <w:rPr>
          <w:lang w:val="en-GB"/>
        </w:rPr>
        <w:instrText xml:space="preserve"> ADDIN ZOTERO_ITEM CSL_CITATION {"citationID":"5MCrsYzc","properties":{"formattedCitation":"(IPBES, 2022b)","plainCitation":"(IPBES, 2022b)","noteIndex":0},"citationItems":[{"id":53340,"uris":["http://zotero.org/groups/2352922/items/BZSKBXEC"],"itemData":{"id":53340,"type":"report","event-place":"Online, 1-3 February 2022","publisher-place":"Online, 1-3 February 2022","title":"Report of the third Indigenous and local knowledge dialogue workshop for the IPBES thematic assessment of invasive alien species and their control.","URL":"https://ipbes.net/sites/default/files/2023-02/IPBES_IAS_3rdILKDialogue_SPM-SOD_Report_FinalForWeb2.pdf","author":[{"literal":"IPBES"}],"issued":{"date-parts":[["2022"]]}}}],"schema":"https://github.com/citation-style-language/schema/raw/master/csl-citation.json"} </w:instrText>
      </w:r>
      <w:r w:rsidR="00E55A3B" w:rsidRPr="00DA249F">
        <w:rPr>
          <w:lang w:val="en-GB"/>
        </w:rPr>
        <w:fldChar w:fldCharType="separate"/>
      </w:r>
      <w:r w:rsidR="00186371" w:rsidRPr="00186371">
        <w:t>(IPBES, 2022b)</w:t>
      </w:r>
      <w:r w:rsidR="00E55A3B" w:rsidRPr="00DA249F">
        <w:rPr>
          <w:lang w:val="en-GB"/>
        </w:rPr>
        <w:fldChar w:fldCharType="end"/>
      </w:r>
      <w:r w:rsidR="00E55A3B" w:rsidRPr="00DA249F">
        <w:rPr>
          <w:lang w:val="en-GB"/>
        </w:rPr>
        <w:t xml:space="preserve">. </w:t>
      </w:r>
      <w:r w:rsidRPr="00DA249F">
        <w:rPr>
          <w:lang w:val="en-GB"/>
        </w:rPr>
        <w:t>Indigenous Peoples</w:t>
      </w:r>
      <w:r w:rsidR="00E55A3B" w:rsidRPr="00DA249F">
        <w:rPr>
          <w:lang w:val="en-GB"/>
        </w:rPr>
        <w:t xml:space="preserve"> and local communities will often monitor and manage the numbers of invasive alien species and their impacts on their lands and waters </w:t>
      </w:r>
      <w:r w:rsidR="00CA0C6B" w:rsidRPr="00DA249F">
        <w:rPr>
          <w:lang w:val="en-GB"/>
        </w:rPr>
        <w:t>(</w:t>
      </w:r>
      <w:r w:rsidR="00862486">
        <w:rPr>
          <w:b/>
          <w:iCs/>
          <w:lang w:val="en-GB"/>
        </w:rPr>
        <w:t>C</w:t>
      </w:r>
      <w:r w:rsidR="00E55A3B" w:rsidRPr="00862486">
        <w:rPr>
          <w:b/>
          <w:iCs/>
          <w:lang w:val="en-GB"/>
        </w:rPr>
        <w:t>hapter 5</w:t>
      </w:r>
      <w:r w:rsidR="00E55A3B" w:rsidRPr="00DA249F">
        <w:rPr>
          <w:lang w:val="en-GB"/>
        </w:rPr>
        <w:t>), but their ability to do this is greatly reduced if they do not have access or clear ownership of the lands and waters. Access is</w:t>
      </w:r>
      <w:r w:rsidR="00E35746">
        <w:rPr>
          <w:lang w:val="en-GB"/>
        </w:rPr>
        <w:t xml:space="preserve"> indeed</w:t>
      </w:r>
      <w:r w:rsidR="00E55A3B" w:rsidRPr="00DA249F">
        <w:rPr>
          <w:lang w:val="en-GB"/>
        </w:rPr>
        <w:t xml:space="preserve"> crucial for monitoring and management, and land tenure can be essential for </w:t>
      </w:r>
      <w:r w:rsidR="00E55A3B" w:rsidRPr="00DA249F">
        <w:rPr>
          <w:lang w:val="en-GB"/>
        </w:rPr>
        <w:lastRenderedPageBreak/>
        <w:t xml:space="preserve">communities to actively manage their environments. Moreover, many </w:t>
      </w:r>
      <w:r w:rsidRPr="00DA249F">
        <w:rPr>
          <w:lang w:val="en-GB"/>
        </w:rPr>
        <w:t>Indigenous Peoples</w:t>
      </w:r>
      <w:r w:rsidR="00E55A3B" w:rsidRPr="00DA249F">
        <w:rPr>
          <w:lang w:val="en-GB"/>
        </w:rPr>
        <w:t xml:space="preserve"> and local communities actively defend their lands from encroachment by industry and other disruptive influences that can also be drivers for invasive alien species</w:t>
      </w:r>
      <w:r w:rsidR="00E35746">
        <w:rPr>
          <w:lang w:val="en-GB"/>
        </w:rPr>
        <w:t xml:space="preserve"> (e.g.,</w:t>
      </w:r>
      <w:r w:rsidR="00E55A3B" w:rsidRPr="00DA249F">
        <w:rPr>
          <w:lang w:val="en-GB"/>
        </w:rPr>
        <w:t xml:space="preserve"> deforestation</w:t>
      </w:r>
      <w:r w:rsidR="00E35746">
        <w:rPr>
          <w:lang w:val="en-GB"/>
        </w:rPr>
        <w:t>;</w:t>
      </w:r>
      <w:r w:rsidR="00E55A3B" w:rsidRPr="00DA249F">
        <w:rPr>
          <w:lang w:val="en-GB"/>
        </w:rPr>
        <w:t xml:space="preserve"> </w:t>
      </w:r>
      <w:r w:rsidR="00E55A3B" w:rsidRPr="00862486">
        <w:rPr>
          <w:b/>
          <w:iCs/>
          <w:lang w:val="en-GB"/>
        </w:rPr>
        <w:t>section 3.3.1</w:t>
      </w:r>
      <w:r w:rsidR="00E55A3B" w:rsidRPr="00DA249F">
        <w:rPr>
          <w:lang w:val="en-GB"/>
        </w:rPr>
        <w:t xml:space="preserve">). </w:t>
      </w:r>
      <w:r w:rsidR="00E35746">
        <w:rPr>
          <w:lang w:val="en-GB"/>
        </w:rPr>
        <w:t>L</w:t>
      </w:r>
      <w:r w:rsidR="00E55A3B" w:rsidRPr="00DA249F">
        <w:rPr>
          <w:lang w:val="en-GB"/>
        </w:rPr>
        <w:t xml:space="preserve">ack of clear land tenure or access rights can </w:t>
      </w:r>
      <w:r w:rsidR="00E35746">
        <w:rPr>
          <w:lang w:val="en-GB"/>
        </w:rPr>
        <w:t xml:space="preserve">also </w:t>
      </w:r>
      <w:r w:rsidR="00E55A3B" w:rsidRPr="00DA249F">
        <w:rPr>
          <w:lang w:val="en-GB"/>
        </w:rPr>
        <w:t xml:space="preserve">prevent </w:t>
      </w:r>
      <w:r w:rsidRPr="00DA249F">
        <w:rPr>
          <w:lang w:val="en-GB"/>
        </w:rPr>
        <w:t>Indigenous Peoples</w:t>
      </w:r>
      <w:r w:rsidR="00E55A3B" w:rsidRPr="00DA249F">
        <w:rPr>
          <w:lang w:val="en-GB"/>
        </w:rPr>
        <w:t xml:space="preserve"> and local communities from effectively defending their lands against this environmental degradation, which can in turn lead to an increase in invasive alien species. </w:t>
      </w:r>
      <w:r w:rsidRPr="00DA249F">
        <w:rPr>
          <w:lang w:val="en-GB"/>
        </w:rPr>
        <w:t>Indigenous Peoples</w:t>
      </w:r>
      <w:r w:rsidR="00E55A3B" w:rsidRPr="00DA249F">
        <w:rPr>
          <w:lang w:val="en-GB"/>
        </w:rPr>
        <w:t xml:space="preserve"> and local communities have also noted that lack of access to lands and waters and lack of land tenure can lead to communities leaving. </w:t>
      </w:r>
    </w:p>
    <w:p w14:paraId="4157FFDC" w14:textId="19D99503" w:rsidR="00C77186" w:rsidRPr="00DA249F" w:rsidRDefault="00812932" w:rsidP="00FB27C7">
      <w:pPr>
        <w:pStyle w:val="Caption"/>
        <w:keepNext/>
        <w:pBdr>
          <w:top w:val="single" w:sz="4" w:space="1" w:color="auto"/>
          <w:left w:val="single" w:sz="4" w:space="4" w:color="auto"/>
          <w:bottom w:val="single" w:sz="4" w:space="1" w:color="auto"/>
          <w:right w:val="single" w:sz="4" w:space="4" w:color="auto"/>
        </w:pBdr>
        <w:shd w:val="clear" w:color="auto" w:fill="E7E6E6" w:themeFill="background2"/>
        <w:rPr>
          <w:lang w:val="en-GB"/>
        </w:rPr>
      </w:pPr>
      <w:bookmarkStart w:id="140" w:name="_Ref118993432"/>
      <w:bookmarkStart w:id="141" w:name="_Ref118993427"/>
      <w:bookmarkStart w:id="142" w:name="_Toc158373490"/>
      <w:r w:rsidRPr="00DA249F">
        <w:rPr>
          <w:lang w:val="en-GB"/>
        </w:rPr>
        <w:t>Box 3.</w:t>
      </w:r>
      <w:r w:rsidRPr="00DA249F">
        <w:rPr>
          <w:lang w:val="en-GB"/>
        </w:rPr>
        <w:fldChar w:fldCharType="begin"/>
      </w:r>
      <w:r w:rsidRPr="00DA249F">
        <w:rPr>
          <w:lang w:val="en-GB"/>
        </w:rPr>
        <w:instrText xml:space="preserve"> SEQ Box_3. \* ARABIC </w:instrText>
      </w:r>
      <w:r w:rsidRPr="00DA249F">
        <w:rPr>
          <w:lang w:val="en-GB"/>
        </w:rPr>
        <w:fldChar w:fldCharType="separate"/>
      </w:r>
      <w:r w:rsidR="00287BC7">
        <w:rPr>
          <w:noProof/>
          <w:lang w:val="en-GB"/>
        </w:rPr>
        <w:t>6</w:t>
      </w:r>
      <w:r w:rsidRPr="00DA249F">
        <w:rPr>
          <w:lang w:val="en-GB"/>
        </w:rPr>
        <w:fldChar w:fldCharType="end"/>
      </w:r>
      <w:bookmarkEnd w:id="140"/>
      <w:r w:rsidR="00FB27C7" w:rsidRPr="00DA249F">
        <w:rPr>
          <w:lang w:val="en-GB"/>
        </w:rPr>
        <w:t>.</w:t>
      </w:r>
      <w:r w:rsidRPr="00DA249F">
        <w:rPr>
          <w:lang w:val="en-GB"/>
        </w:rPr>
        <w:t xml:space="preserve"> </w:t>
      </w:r>
      <w:r w:rsidR="0013510D" w:rsidRPr="00DA249F">
        <w:rPr>
          <w:lang w:val="en-GB"/>
        </w:rPr>
        <w:t xml:space="preserve">National </w:t>
      </w:r>
      <w:r w:rsidR="00C47EED" w:rsidRPr="00DA249F">
        <w:rPr>
          <w:lang w:val="en-GB"/>
        </w:rPr>
        <w:t xml:space="preserve">and international </w:t>
      </w:r>
      <w:r w:rsidR="0013510D" w:rsidRPr="00DA249F">
        <w:rPr>
          <w:lang w:val="en-GB"/>
        </w:rPr>
        <w:t>policies resulting in the introduction and spread</w:t>
      </w:r>
      <w:r w:rsidRPr="00DA249F">
        <w:rPr>
          <w:lang w:val="en-GB"/>
        </w:rPr>
        <w:t xml:space="preserve"> of </w:t>
      </w:r>
      <w:r w:rsidRPr="00DA249F">
        <w:rPr>
          <w:i/>
          <w:lang w:val="en-GB"/>
        </w:rPr>
        <w:t>Prosopis juliflora</w:t>
      </w:r>
      <w:r w:rsidRPr="00DA249F">
        <w:rPr>
          <w:lang w:val="en-GB"/>
        </w:rPr>
        <w:t xml:space="preserve"> (mesquite</w:t>
      </w:r>
      <w:bookmarkEnd w:id="141"/>
      <w:r w:rsidRPr="00DA249F">
        <w:rPr>
          <w:lang w:val="en-GB"/>
        </w:rPr>
        <w:t>)</w:t>
      </w:r>
      <w:r w:rsidR="00C851D1" w:rsidRPr="00DA249F">
        <w:rPr>
          <w:lang w:val="en-GB"/>
        </w:rPr>
        <w:t>, as reported by</w:t>
      </w:r>
      <w:r w:rsidR="00CB578E" w:rsidRPr="00DA249F">
        <w:rPr>
          <w:lang w:val="en-GB"/>
        </w:rPr>
        <w:t xml:space="preserve"> Indigenous Peoples and local communities</w:t>
      </w:r>
      <w:bookmarkEnd w:id="142"/>
    </w:p>
    <w:p w14:paraId="67FF7DC0" w14:textId="1F966EE2" w:rsidR="00812932" w:rsidRPr="00DA249F" w:rsidRDefault="00812932" w:rsidP="00F63923">
      <w:pPr>
        <w:pBdr>
          <w:top w:val="single" w:sz="4" w:space="1" w:color="auto"/>
          <w:left w:val="single" w:sz="4" w:space="4" w:color="auto"/>
          <w:bottom w:val="single" w:sz="4" w:space="1" w:color="auto"/>
          <w:right w:val="single" w:sz="4" w:space="4" w:color="auto"/>
        </w:pBdr>
        <w:shd w:val="clear" w:color="auto" w:fill="E7E6E6" w:themeFill="background2"/>
        <w:rPr>
          <w:lang w:val="en-GB"/>
        </w:rPr>
      </w:pPr>
      <w:r w:rsidRPr="00DA249F">
        <w:rPr>
          <w:lang w:val="en-GB"/>
        </w:rPr>
        <w:t>In Botswana, Ethiopia, India, Jordan</w:t>
      </w:r>
      <w:r w:rsidR="009F7404">
        <w:rPr>
          <w:lang w:val="en-GB"/>
        </w:rPr>
        <w:t xml:space="preserve"> and</w:t>
      </w:r>
      <w:r w:rsidRPr="00DA249F">
        <w:rPr>
          <w:lang w:val="en-GB"/>
        </w:rPr>
        <w:t xml:space="preserve"> Kenya, </w:t>
      </w:r>
      <w:r w:rsidR="0068627B" w:rsidRPr="00DA249F">
        <w:rPr>
          <w:lang w:val="en-GB"/>
        </w:rPr>
        <w:t>Indigenous Peoples</w:t>
      </w:r>
      <w:r w:rsidRPr="00DA249F">
        <w:rPr>
          <w:lang w:val="en-GB"/>
        </w:rPr>
        <w:t xml:space="preserve"> and local communities</w:t>
      </w:r>
      <w:r w:rsidR="00985C93">
        <w:rPr>
          <w:lang w:val="en-GB"/>
        </w:rPr>
        <w:t xml:space="preserve"> have</w:t>
      </w:r>
      <w:r w:rsidRPr="00DA249F">
        <w:rPr>
          <w:lang w:val="en-GB"/>
        </w:rPr>
        <w:t xml:space="preserve"> report</w:t>
      </w:r>
      <w:r w:rsidR="00985C93">
        <w:rPr>
          <w:lang w:val="en-GB"/>
        </w:rPr>
        <w:t>ed</w:t>
      </w:r>
      <w:r w:rsidRPr="00DA249F">
        <w:rPr>
          <w:lang w:val="en-GB"/>
        </w:rPr>
        <w:t xml:space="preserve"> the intentional introduction of </w:t>
      </w:r>
      <w:r w:rsidRPr="00DA249F">
        <w:rPr>
          <w:i/>
          <w:lang w:val="en-GB"/>
        </w:rPr>
        <w:t xml:space="preserve">Prosopis juliflora </w:t>
      </w:r>
      <w:r w:rsidRPr="00DA249F">
        <w:rPr>
          <w:lang w:val="en-GB"/>
        </w:rPr>
        <w:t>(mesquite)</w:t>
      </w:r>
      <w:r w:rsidRPr="00DA249F">
        <w:rPr>
          <w:i/>
          <w:lang w:val="en-GB"/>
        </w:rPr>
        <w:t xml:space="preserve"> </w:t>
      </w:r>
      <w:r w:rsidRPr="00DA249F">
        <w:rPr>
          <w:lang w:val="en-GB"/>
        </w:rPr>
        <w:t xml:space="preserve">by governments and associated </w:t>
      </w:r>
      <w:r w:rsidR="00C47EED" w:rsidRPr="00DA249F">
        <w:rPr>
          <w:lang w:val="en-GB"/>
        </w:rPr>
        <w:t xml:space="preserve">international </w:t>
      </w:r>
      <w:r w:rsidRPr="00DA249F">
        <w:rPr>
          <w:lang w:val="en-GB"/>
        </w:rPr>
        <w:t xml:space="preserve">programs with the aim of halting land degradation, controlling desertification and deforestation and improving the good quality of life of the local communities </w:t>
      </w:r>
      <w:r w:rsidRPr="00DA249F">
        <w:rPr>
          <w:lang w:val="en-GB"/>
        </w:rPr>
        <w:fldChar w:fldCharType="begin"/>
      </w:r>
      <w:r w:rsidR="00331A79">
        <w:rPr>
          <w:lang w:val="en-GB"/>
        </w:rPr>
        <w:instrText xml:space="preserve"> ADDIN ZOTERO_ITEM CSL_CITATION {"citationID":"u1VDXHeY","properties":{"formattedCitation":"(Al-Assaf et al., 2020; M. Becker et al., 2016; Haregeweyn et al., 2013; Linders et al., 2020)","plainCitation":"(Al-Assaf et al., 2020; M. Becker et al., 2016; Haregeweyn et al., 2013; Linders et al., 2020)","dontUpdate":true,"noteIndex":0},"citationItems":[{"id":24685,"uris":["http://zotero.org/groups/2352922/items/IC5UVBWA"],"itemData":{"id":24685,"type":"article-journal","abstract":"Invasions by invasive alien species (IAS) are recognized as one of the largest threats to earth&amp;rsquo;s ecosystem services and represent rapidly growing economic costs as they damage local ecosystems and force surrounding communities to divert resources towards IAS management and control. The study objectives were to assess the economic impacts of a Prosopis juliflora invasion in Jordan and gauge community preferences for management plans. The study was conducted in Sweimeh, Jordan Valley using a combination of focus groups and randomized interviews with 203 local households. Direct-use values for products derived from P. juliflora and direct costs owing to P. juliflora&amp;rsquo;s presence have been calculated. A binary logistic regression model was then developed to predict the households&amp;rsquo; preferences between two policy responses: P. juliflora management or complete eradication. The results revealed the dualistic role of P. juliflora in household livelihoods: it was widely used for firewood, fodder, and charcoal offering benefits valued at JOD 2165 per household/year (JOD 1 = USD 0.71). At the same time, the invasion reduced household welfare by taking over arable lands and injuring humans and animals. Consequently, the income lost as a result of the invasion was estimated by JOD 1410.5 per household/year. As a result, two-thirds of respondents choose the option of P.juliflora invasion management. Only respondents&amp;rsquo; monthly income and perception of P. juliflora&amp;rsquo;s impact on the prevention of soil erosion were significant predictors of respondents&amp;rsquo; preferences for the management plans. In conclusion, more coordinated responses between policy makers, institutions, and local communities are required to mitigate the negative impact of P. juliflora invasion.","container-title":"Sustainability","DOI":"10.3390/su12208327","issue":"20","language":"en","license":"http://creativecommons.org/licenses/by/3.0/","note":"number: 20\npublisher: Multidisciplinary Digital Publishing Institute","page":"8327","source":"www.mdpi.com","title":"Economic Assessment and Community Management of &lt;i&gt;Prosopis juliflora&lt;/i&gt; Invasion in Sweimeh Village, Jordan","URL":"https://www.mdpi.com/2071-1050/12/20/8327","volume":"12","author":[{"family":"Al-Assaf","given":"Amani"},{"family":"Tadros","given":"Maher J."},{"family":"Al-Shishany","given":"Salsabeel"},{"family":"Stewart","given":"Stephanie"},{"family":"Majdalawi","given":"Mohammad"},{"family":"Tabieh","given":"Mohammad"},{"family":"Othman","given":"Yahia A."}],"accessed":{"date-parts":[["2021",3,12]]},"issued":{"date-parts":[["2020",1]]}}},{"id":15883,"uris":["http://zotero.org/groups/2352922/items/6HFZD3CM"],"itemData":{"id":15883,"type":"article-journal","abstract":"In the semi-arid savannahs around Lake Baringo, Kenya, the recent spread of bush encroachment by the invasive alien species Prosopis juliﬂora and the native Dodonaea viscosa has changed human–environment interactions. This article suggests how the spread dynamics of Prosopis and Dodonaea have operated. It also describes the strategies Baringo’s peoples have adopted in the face of this dramatic bush invasion, relates these dynamics to current invasion theory, and analyses possible implications for Baringo’s social–ecological systems. It is suggested that recent increased climate variability has triggered changes in land management and livelihoods around Lake Baringo, paving the way for bush encroachment and species invasion. The extent and speed of these changes has exceeded the capacity of local communities to adapt their productive systems, destabilizing the socio-ecology of the dryland savannahs around Lake Baringo and placing them in imminent danger of collapse.","container-title":"Journal of Eastern African Studies","DOI":"10.1080/17531055.2016.1138664","ISSN":"1753-1055, 1753-1063","issue":"1","journalAbbreviation":"Journal of Eastern African Studies","language":"en","page":"111-129","source":"DOI.org (Crossref)","title":"Land-use changes and the invasion dynamics of shrubs in Baringo","URL":"http://www.tandfonline.com/doi/full/10.1080/17531055.2016.1138664","volume":"10","author":[{"family":"Becker","given":"Mathias"},{"family":"Alvarez","given":"Miguel"},{"family":"Heller","given":"Gereon"},{"family":"Leparmarai","given":"Paul"},{"family":"Maina","given":"Damaris"},{"family":"Malombe","given":"Itambo"},{"family":"Bollig","given":"Michael"},{"family":"Vehrs","given":"Hauke"}],"accessed":{"date-parts":[["2019",11,10]]},"issued":{"date-parts":[["2016",1,2]]}}},{"id":22595,"uris":["http://zotero.org/groups/2352922/items/JAD3NMKW"],"itemData":{"id":22595,"type":"article-journal","container-title":"Environmental Monitoring and Assessment","DOI":"10.1007/s10661-013-3117-3","ISSN":"0167-6369, 1573-2959","issue":"9","journalAbbreviation":"Environ Monit Assess","language":"en","page":"7527-7542","source":"DOI.org (Crossref)","title":"Analysis of the invasion rate, impacts and control measures of &lt;i&gt;Prosopis juliflora&lt;/i&gt;: a case study of Amibara District, Eastern Ethiopia","title-short":"Analysis of the invasion rate, impacts and control measures of Prosopis juliflora","URL":"http://link.springer.com/10.1007/s10661-013-3117-3","volume":"185","author":[{"family":"Haregeweyn","given":"N."},{"family":"Tsunekawa","given":"A."},{"family":"Tsubo","given":"M."},{"family":"Meshesha","given":"D."},{"family":"Melkie","given":"A."}],"accessed":{"date-parts":[["2020",6,23]]},"issued":{"date-parts":[["2013",9]]}}},{"id":32906,"uris":["http://zotero.org/groups/2352922/items/RD7TIXAA"],"itemData":{"id":32906,"type":"article-journal","abstract":"Understanding the sustainability of social-ecological systems requires quantifying the relationships between ecosystem service supply and use. However, these relationships, and the influence of environmental change on supply and use, are poorly known. Here we apply a nested sampling design to analyse supply-use relationships in ten administrative units in each of two Eastern African regions undergoing invasion by an alien tree, Prosopis juliflora. Ecological data on supply of two key provisioning services, woody and herbaceous biomass, were collected in field plots and the use, defined here as income and livestock numbers, was assessed using household surveys. Supply and use were then up-scaled to the level of the smallest administrative unit. High Prosopis cover affected the supply of both services, with increased woody biomass but reduced herbaceous biomass. We found that supply of woody biomass was positively associated with income from wood sales. Prosopis invasion reduced income from livestock and slightly decreased cattle numbers over the past ten years. We propose that biophysical and socio-economic data collected at the same scale can help to determine supply-use relationships for ecosystem services and we discuss how integration of supply-use data can inform sustainable management of socialecological systems in the context of environmental change.","container-title":"Ecosystem Services","DOI":"10.1016/j.ecoser.2019.101055","ISSN":"18185487","journalAbbreviation":"AI","language":"en","page":"101055","source":"DOI.org (Crossref)","title":"The impact of invasive species on social-ecological systems: Relating supply and use of selected provisioning ecosystem services","URL":"https://citeseerx.ist.psu.edu/document?repid=rep1&amp;type=pdf&amp;doi=21d11fbd6dbe2e8d92affaa88cdde2b1999deba9","volume":"41","author":[{"family":"Linders","given":"Theo EW"},{"family":"Bekele","given":"Ketema"},{"family":"Schaffner","given":"Urs"},{"family":"Allan","given":"Eric"},{"family":"Alamirew","given":"Tena"},{"family":"Choge","given":"Simon K"},{"family":"Haji","given":"Jema"},{"family":"Muturi","given":"Gabriel"},{"family":"Mbaabu","given":"Purity Rima"},{"family":"Shiferaw","given":"Hailu"},{"family":"Eschen","given":"René"}],"accessed":{"date-parts":[["2021",8,10]]},"issued":{"date-parts":[["2020"]]}}}],"schema":"https://github.com/citation-style-language/schema/raw/master/csl-citation.json"} </w:instrText>
      </w:r>
      <w:r w:rsidRPr="00DA249F">
        <w:rPr>
          <w:lang w:val="en-GB"/>
        </w:rPr>
        <w:fldChar w:fldCharType="separate"/>
      </w:r>
      <w:r w:rsidRPr="00DA249F">
        <w:rPr>
          <w:lang w:val="en-GB"/>
        </w:rPr>
        <w:t>(Al-Assaf et al., 2020; Becker et al., 2016; Haregeweyn et al., 2013; Linders et al., 2020)</w:t>
      </w:r>
      <w:r w:rsidRPr="00DA249F">
        <w:rPr>
          <w:lang w:val="en-GB"/>
        </w:rPr>
        <w:fldChar w:fldCharType="end"/>
      </w:r>
      <w:r w:rsidRPr="00DA249F">
        <w:rPr>
          <w:lang w:val="en-GB"/>
        </w:rPr>
        <w:t xml:space="preserve">. In Kenya for instance, the Chamus pastoralists report that </w:t>
      </w:r>
      <w:r w:rsidRPr="00DA249F">
        <w:rPr>
          <w:i/>
          <w:lang w:val="en-GB"/>
        </w:rPr>
        <w:t xml:space="preserve">Prosopis juliflora </w:t>
      </w:r>
      <w:r w:rsidRPr="00DA249F">
        <w:rPr>
          <w:lang w:val="en-GB"/>
        </w:rPr>
        <w:t xml:space="preserve">was introduced twice: first in 1973 through a government initiative; and 10 years later, through the Fuelwood Afforestation Extension Project, a joint initiative from the Food and Agricultural Organization (FAO) and the Government of Kenya </w:t>
      </w:r>
      <w:r w:rsidRPr="00DA249F">
        <w:rPr>
          <w:lang w:val="en-GB"/>
        </w:rPr>
        <w:fldChar w:fldCharType="begin"/>
      </w:r>
      <w:r w:rsidR="00331A79">
        <w:rPr>
          <w:lang w:val="en-GB"/>
        </w:rPr>
        <w:instrText xml:space="preserve"> ADDIN ZOTERO_ITEM CSL_CITATION {"citationID":"cPUaj3rO","properties":{"formattedCitation":"(M. Becker et al., 2016)","plainCitation":"(M. Becker et al., 2016)","dontUpdate":true,"noteIndex":0},"citationItems":[{"id":15883,"uris":["http://zotero.org/groups/2352922/items/6HFZD3CM"],"itemData":{"id":15883,"type":"article-journal","abstract":"In the semi-arid savannahs around Lake Baringo, Kenya, the recent spread of bush encroachment by the invasive alien species Prosopis juliﬂora and the native Dodonaea viscosa has changed human–environment interactions. This article suggests how the spread dynamics of Prosopis and Dodonaea have operated. It also describes the strategies Baringo’s peoples have adopted in the face of this dramatic bush invasion, relates these dynamics to current invasion theory, and analyses possible implications for Baringo’s social–ecological systems. It is suggested that recent increased climate variability has triggered changes in land management and livelihoods around Lake Baringo, paving the way for bush encroachment and species invasion. The extent and speed of these changes has exceeded the capacity of local communities to adapt their productive systems, destabilizing the socio-ecology of the dryland savannahs around Lake Baringo and placing them in imminent danger of collapse.","container-title":"Journal of Eastern African Studies","DOI":"10.1080/17531055.2016.1138664","ISSN":"1753-1055, 1753-1063","issue":"1","journalAbbreviation":"Journal of Eastern African Studies","language":"en","page":"111-129","source":"DOI.org (Crossref)","title":"Land-use changes and the invasion dynamics of shrubs in Baringo","URL":"http://www.tandfonline.com/doi/full/10.1080/17531055.2016.1138664","volume":"10","author":[{"family":"Becker","given":"Mathias"},{"family":"Alvarez","given":"Miguel"},{"family":"Heller","given":"Gereon"},{"family":"Leparmarai","given":"Paul"},{"family":"Maina","given":"Damaris"},{"family":"Malombe","given":"Itambo"},{"family":"Bollig","given":"Michael"},{"family":"Vehrs","given":"Hauke"}],"accessed":{"date-parts":[["2019",11,10]]},"issued":{"date-parts":[["2016",1,2]]}}}],"schema":"https://github.com/citation-style-language/schema/raw/master/csl-citation.json"} </w:instrText>
      </w:r>
      <w:r w:rsidRPr="00DA249F">
        <w:rPr>
          <w:lang w:val="en-GB"/>
        </w:rPr>
        <w:fldChar w:fldCharType="separate"/>
      </w:r>
      <w:r w:rsidRPr="00DA249F">
        <w:rPr>
          <w:lang w:val="en-GB"/>
        </w:rPr>
        <w:t>(Becker et al., 2016)</w:t>
      </w:r>
      <w:r w:rsidRPr="00DA249F">
        <w:rPr>
          <w:lang w:val="en-GB"/>
        </w:rPr>
        <w:fldChar w:fldCharType="end"/>
      </w:r>
      <w:r w:rsidRPr="00DA249F">
        <w:rPr>
          <w:lang w:val="en-GB"/>
        </w:rPr>
        <w:t xml:space="preserve">. In Ethiopia, the Afar recall that </w:t>
      </w:r>
      <w:r w:rsidR="00985C93">
        <w:rPr>
          <w:lang w:val="en-GB"/>
        </w:rPr>
        <w:t>the species</w:t>
      </w:r>
      <w:r w:rsidRPr="00DA249F">
        <w:rPr>
          <w:lang w:val="en-GB"/>
        </w:rPr>
        <w:t xml:space="preserve"> was introduced in the 1980s in state farms and settlements to improve the microclimate, provide shade, halt land degradation, provide fuel wood, as a source of pods for fodder, and</w:t>
      </w:r>
      <w:r w:rsidR="001D164B">
        <w:rPr>
          <w:lang w:val="en-GB"/>
        </w:rPr>
        <w:t xml:space="preserve"> to</w:t>
      </w:r>
      <w:r w:rsidRPr="00DA249F">
        <w:rPr>
          <w:lang w:val="en-GB"/>
        </w:rPr>
        <w:t xml:space="preserve"> increase sustainability of livelihoods in the Afar region</w:t>
      </w:r>
      <w:r w:rsidR="001D164B">
        <w:rPr>
          <w:lang w:val="en-GB"/>
        </w:rPr>
        <w:t xml:space="preserve"> of</w:t>
      </w:r>
      <w:r w:rsidRPr="00DA249F">
        <w:rPr>
          <w:lang w:val="en-GB"/>
        </w:rPr>
        <w:t xml:space="preserve"> Ethiopia </w:t>
      </w:r>
      <w:r w:rsidRPr="00DA249F">
        <w:rPr>
          <w:lang w:val="en-GB"/>
        </w:rPr>
        <w:fldChar w:fldCharType="begin"/>
      </w:r>
      <w:r w:rsidR="00331A79">
        <w:rPr>
          <w:lang w:val="en-GB"/>
        </w:rPr>
        <w:instrText xml:space="preserve"> ADDIN ZOTERO_ITEM CSL_CITATION {"citationID":"5CgyAAVz","properties":{"formattedCitation":"(Linders et al., 2020)","plainCitation":"(Linders et al., 2020)","noteIndex":0},"citationItems":[{"id":32906,"uris":["http://zotero.org/groups/2352922/items/RD7TIXAA"],"itemData":{"id":32906,"type":"article-journal","abstract":"Understanding the sustainability of social-ecological systems requires quantifying the relationships between ecosystem service supply and use. However, these relationships, and the influence of environmental change on supply and use, are poorly known. Here we apply a nested sampling design to analyse supply-use relationships in ten administrative units in each of two Eastern African regions undergoing invasion by an alien tree, Prosopis juliflora. Ecological data on supply of two key provisioning services, woody and herbaceous biomass, were collected in field plots and the use, defined here as income and livestock numbers, was assessed using household surveys. Supply and use were then up-scaled to the level of the smallest administrative unit. High Prosopis cover affected the supply of both services, with increased woody biomass but reduced herbaceous biomass. We found that supply of woody biomass was positively associated with income from wood sales. Prosopis invasion reduced income from livestock and slightly decreased cattle numbers over the past ten years. We propose that biophysical and socio-economic data collected at the same scale can help to determine supply-use relationships for ecosystem services and we discuss how integration of supply-use data can inform sustainable management of socialecological systems in the context of environmental change.","container-title":"Ecosystem Services","DOI":"10.1016/j.ecoser.2019.101055","ISSN":"18185487","journalAbbreviation":"AI","language":"en","page":"101055","source":"DOI.org (Crossref)","title":"The impact of invasive species on social-ecological systems: Relating supply and use of selected provisioning ecosystem services","URL":"https://citeseerx.ist.psu.edu/document?repid=rep1&amp;type=pdf&amp;doi=21d11fbd6dbe2e8d92affaa88cdde2b1999deba9","volume":"41","author":[{"family":"Linders","given":"Theo EW"},{"family":"Bekele","given":"Ketema"},{"family":"Schaffner","given":"Urs"},{"family":"Allan","given":"Eric"},{"family":"Alamirew","given":"Tena"},{"family":"Choge","given":"Simon K"},{"family":"Haji","given":"Jema"},{"family":"Muturi","given":"Gabriel"},{"family":"Mbaabu","given":"Purity Rima"},{"family":"Shiferaw","given":"Hailu"},{"family":"Eschen","given":"René"}],"accessed":{"date-parts":[["2021",8,10]]},"issued":{"date-parts":[["2020"]]}}}],"schema":"https://github.com/citation-style-language/schema/raw/master/csl-citation.json"} </w:instrText>
      </w:r>
      <w:r w:rsidRPr="00DA249F">
        <w:rPr>
          <w:lang w:val="en-GB"/>
        </w:rPr>
        <w:fldChar w:fldCharType="separate"/>
      </w:r>
      <w:r w:rsidR="00836029" w:rsidRPr="00836029">
        <w:t>(Linders et al., 2020)</w:t>
      </w:r>
      <w:r w:rsidRPr="00DA249F">
        <w:rPr>
          <w:lang w:val="en-GB"/>
        </w:rPr>
        <w:fldChar w:fldCharType="end"/>
      </w:r>
      <w:r w:rsidRPr="00DA249F">
        <w:rPr>
          <w:lang w:val="en-GB"/>
        </w:rPr>
        <w:t>. In India,</w:t>
      </w:r>
      <w:r w:rsidRPr="00DA249F">
        <w:rPr>
          <w:i/>
          <w:lang w:val="en-GB"/>
        </w:rPr>
        <w:t xml:space="preserve"> </w:t>
      </w:r>
      <w:r w:rsidR="0068627B" w:rsidRPr="00DA249F">
        <w:rPr>
          <w:lang w:val="en-GB"/>
        </w:rPr>
        <w:t>Indigenous Peoples</w:t>
      </w:r>
      <w:r w:rsidRPr="00DA249F">
        <w:rPr>
          <w:lang w:val="en-GB"/>
        </w:rPr>
        <w:t xml:space="preserve"> and local communities report</w:t>
      </w:r>
      <w:r w:rsidRPr="00DA249F">
        <w:rPr>
          <w:i/>
          <w:lang w:val="en-GB"/>
        </w:rPr>
        <w:t xml:space="preserve"> </w:t>
      </w:r>
      <w:r w:rsidRPr="00DA249F">
        <w:rPr>
          <w:lang w:val="en-GB"/>
        </w:rPr>
        <w:t>that</w:t>
      </w:r>
      <w:r w:rsidRPr="00DA249F">
        <w:rPr>
          <w:i/>
          <w:lang w:val="en-GB"/>
        </w:rPr>
        <w:t xml:space="preserve"> Prosopis juliflora</w:t>
      </w:r>
      <w:r w:rsidRPr="00DA249F">
        <w:rPr>
          <w:lang w:val="en-GB"/>
        </w:rPr>
        <w:t xml:space="preserve"> was introduced to ameliorate saline soils, and as a source of timber, fuelwood</w:t>
      </w:r>
      <w:r w:rsidR="009F7404">
        <w:rPr>
          <w:lang w:val="en-GB"/>
        </w:rPr>
        <w:t xml:space="preserve"> and</w:t>
      </w:r>
      <w:r w:rsidR="00985C93">
        <w:rPr>
          <w:lang w:val="en-GB"/>
        </w:rPr>
        <w:t xml:space="preserve"> </w:t>
      </w:r>
      <w:r w:rsidRPr="00DA249F">
        <w:rPr>
          <w:lang w:val="en-GB"/>
        </w:rPr>
        <w:t xml:space="preserve">fibre in the latter half of </w:t>
      </w:r>
      <w:r w:rsidR="00EF33C9" w:rsidRPr="00DA249F">
        <w:rPr>
          <w:lang w:val="en-GB"/>
        </w:rPr>
        <w:t>nineteenth</w:t>
      </w:r>
      <w:r w:rsidRPr="00DA249F">
        <w:rPr>
          <w:lang w:val="en-GB"/>
        </w:rPr>
        <w:t xml:space="preserve"> century; and</w:t>
      </w:r>
      <w:r w:rsidR="00985C93">
        <w:rPr>
          <w:lang w:val="en-GB"/>
        </w:rPr>
        <w:t xml:space="preserve"> that the species was</w:t>
      </w:r>
      <w:r w:rsidRPr="00DA249F">
        <w:rPr>
          <w:lang w:val="en-GB"/>
        </w:rPr>
        <w:t xml:space="preserve"> later promoted by the government from the 1970s onward to combat desertification and soil salinization in North-West India </w:t>
      </w:r>
      <w:r w:rsidRPr="00DA249F">
        <w:rPr>
          <w:lang w:val="en-GB"/>
        </w:rPr>
        <w:fldChar w:fldCharType="begin"/>
      </w:r>
      <w:r w:rsidR="00E47460">
        <w:rPr>
          <w:lang w:val="en-GB"/>
        </w:rPr>
        <w:instrText xml:space="preserve"> ADDIN ZOTERO_ITEM CSL_CITATION {"citationID":"yaHgkctI","properties":{"formattedCitation":"(Duenn et al., 2017)","plainCitation":"(Duenn et al., 2017)","noteIndex":0},"citationItems":[{"id":11180,"uris":["http://zotero.org/groups/2352922/items/CMYXUZG7"],"itemData":{"id":11180,"type":"article-journal","abstract":"Invasive Alien Species (IAS) are known to be an important driver of environmental changes, yet the social impacts of such invasions are understudied, particularly among vulnerable groups. In this article we study the ways Rabari pastoralists from Kutch (Gujarat, India) deal with the invasion of Prosopis juliflora, a widely-spread, invasive bush tree. First, we analyze how the Rabari pastoralists perceive the presence of P. juliflora among a range of environmental changes and problems they are faced with today. Second, we focus on the dynamics of their Local Ecological Knowledge (LEK) system by studying the knowledge and uses that are implemented in daily interactions with the tree. Our results show that P. juliflora invasion is not perceived as a major problem by the pastoralists, despite being mostly associated with negative impacts. We relate these results to several intertwined factors, such as the importance of other changes, the shifting baseline syndrome, the adaptive capacity of LEK systems, and the slow rate of environmental change directly attributable to P. juliflora invasion. We then suggest that the ability of LEK systems to adapt to environmental change may in turn influence the perception of environmental changes, such as P. juliflora invasion.","container-title":"Journal of Ethnobiology","DOI":"10.2993/0278-0771-37.3.561","issue":"3","page":"561-580","title":"Rabari Shepherds and the Mad Tree: The Dynamics of Local Ecological Knowledge in the Context of &lt;i&gt;Prosopis juliflora&lt;/i&gt; Invasion in Gujarat, India","URL":"https://www.scopus.com/inward/record.uri?eid=2-s2.0-85029576606&amp;doi=10.2993%2f0278-0771-37.3.561&amp;partnerID=40&amp;md5=77d646f87015b90fb401a17de0a3de67","volume":"37","author":[{"family":"Duenn","given":"P."},{"family":"Salpeteur","given":"M."},{"family":"Reyes-García","given":"V."}],"issued":{"date-parts":[["2017"]]}}}],"schema":"https://github.com/citation-style-language/schema/raw/master/csl-citation.json"} </w:instrText>
      </w:r>
      <w:r w:rsidRPr="00DA249F">
        <w:rPr>
          <w:lang w:val="en-GB"/>
        </w:rPr>
        <w:fldChar w:fldCharType="separate"/>
      </w:r>
      <w:r w:rsidR="00144D96" w:rsidRPr="00144D96">
        <w:t>(Duenn et al., 2017)</w:t>
      </w:r>
      <w:r w:rsidRPr="00DA249F">
        <w:rPr>
          <w:lang w:val="en-GB"/>
        </w:rPr>
        <w:fldChar w:fldCharType="end"/>
      </w:r>
      <w:r w:rsidRPr="00DA249F">
        <w:rPr>
          <w:lang w:val="en-GB"/>
        </w:rPr>
        <w:t>.</w:t>
      </w:r>
    </w:p>
    <w:p w14:paraId="4F881EFE" w14:textId="77777777" w:rsidR="006B5524" w:rsidRPr="00DA249F" w:rsidRDefault="006B5524" w:rsidP="009A42BE">
      <w:pPr>
        <w:ind w:left="360"/>
        <w:rPr>
          <w:lang w:val="en-GB" w:eastAsia="en-NZ"/>
        </w:rPr>
      </w:pPr>
      <w:r w:rsidRPr="00DA249F">
        <w:rPr>
          <w:lang w:val="en-GB" w:eastAsia="en-NZ"/>
        </w:rPr>
        <w:br w:type="page"/>
      </w:r>
      <w:bookmarkStart w:id="143" w:name="_Toc44317814"/>
    </w:p>
    <w:p w14:paraId="3419D3DC" w14:textId="5CFDE85C" w:rsidR="00B764A0" w:rsidRPr="00DA249F" w:rsidRDefault="06B0D2BD" w:rsidP="00370C81">
      <w:pPr>
        <w:pStyle w:val="Heading1"/>
        <w:rPr>
          <w:lang w:val="en-GB"/>
        </w:rPr>
      </w:pPr>
      <w:bookmarkStart w:id="144" w:name="_Toc44317815"/>
      <w:bookmarkStart w:id="145" w:name="_Toc116242128"/>
      <w:bookmarkStart w:id="146" w:name="_Toc146898467"/>
      <w:bookmarkEnd w:id="143"/>
      <w:r w:rsidRPr="5575EBFC">
        <w:rPr>
          <w:lang w:val="en-GB"/>
        </w:rPr>
        <w:lastRenderedPageBreak/>
        <w:t xml:space="preserve">The </w:t>
      </w:r>
      <w:r w:rsidR="1D729089" w:rsidRPr="5575EBFC">
        <w:rPr>
          <w:lang w:val="en-GB"/>
        </w:rPr>
        <w:t>role</w:t>
      </w:r>
      <w:r w:rsidRPr="5575EBFC">
        <w:rPr>
          <w:lang w:val="en-GB"/>
        </w:rPr>
        <w:t xml:space="preserve"> of </w:t>
      </w:r>
      <w:r w:rsidR="365BC419" w:rsidRPr="5575EBFC">
        <w:rPr>
          <w:lang w:val="en-GB"/>
        </w:rPr>
        <w:t xml:space="preserve">direct </w:t>
      </w:r>
      <w:r w:rsidR="653902EA" w:rsidRPr="5575EBFC">
        <w:rPr>
          <w:lang w:val="en-GB"/>
        </w:rPr>
        <w:t>drivers of change in nature</w:t>
      </w:r>
      <w:r w:rsidR="365BC419" w:rsidRPr="5575EBFC">
        <w:rPr>
          <w:lang w:val="en-GB"/>
        </w:rPr>
        <w:t xml:space="preserve">, </w:t>
      </w:r>
      <w:r w:rsidR="1D729089" w:rsidRPr="5575EBFC">
        <w:rPr>
          <w:lang w:val="en-GB"/>
        </w:rPr>
        <w:t>natural</w:t>
      </w:r>
      <w:r w:rsidR="435DE485" w:rsidRPr="5575EBFC">
        <w:rPr>
          <w:lang w:val="en-GB"/>
        </w:rPr>
        <w:t xml:space="preserve"> </w:t>
      </w:r>
      <w:bookmarkEnd w:id="144"/>
      <w:r w:rsidR="6FEC57F9" w:rsidRPr="5575EBFC">
        <w:rPr>
          <w:lang w:val="en-GB"/>
        </w:rPr>
        <w:t>drivers</w:t>
      </w:r>
      <w:r w:rsidR="009F7404">
        <w:rPr>
          <w:lang w:val="en-GB"/>
        </w:rPr>
        <w:t xml:space="preserve"> and</w:t>
      </w:r>
      <w:r w:rsidR="365BC419" w:rsidRPr="5575EBFC">
        <w:rPr>
          <w:lang w:val="en-GB"/>
        </w:rPr>
        <w:t xml:space="preserve"> biodiversity loss </w:t>
      </w:r>
      <w:r w:rsidRPr="5575EBFC">
        <w:rPr>
          <w:lang w:val="en-GB"/>
        </w:rPr>
        <w:t xml:space="preserve">on </w:t>
      </w:r>
      <w:r w:rsidR="1D729089" w:rsidRPr="5575EBFC">
        <w:rPr>
          <w:lang w:val="en-GB"/>
        </w:rPr>
        <w:t>invasive alien s</w:t>
      </w:r>
      <w:r w:rsidR="1533594A" w:rsidRPr="5575EBFC">
        <w:rPr>
          <w:lang w:val="en-GB"/>
        </w:rPr>
        <w:t>pecies</w:t>
      </w:r>
      <w:bookmarkEnd w:id="145"/>
      <w:bookmarkEnd w:id="146"/>
    </w:p>
    <w:p w14:paraId="5DE173BD" w14:textId="38F831D9" w:rsidR="0057331E" w:rsidRPr="00DA249F" w:rsidRDefault="0FABA3A3" w:rsidP="0090109B">
      <w:pPr>
        <w:rPr>
          <w:lang w:val="en-GB"/>
        </w:rPr>
      </w:pPr>
      <w:r w:rsidRPr="728F2DAF">
        <w:rPr>
          <w:lang w:val="en-GB"/>
        </w:rPr>
        <w:t xml:space="preserve">This section examines </w:t>
      </w:r>
      <w:r w:rsidR="0ED944C4" w:rsidRPr="728F2DAF">
        <w:rPr>
          <w:lang w:val="en-GB"/>
        </w:rPr>
        <w:t xml:space="preserve">five </w:t>
      </w:r>
      <w:r w:rsidR="431C1A11" w:rsidRPr="728F2DAF">
        <w:rPr>
          <w:lang w:val="en-GB"/>
        </w:rPr>
        <w:t>classes</w:t>
      </w:r>
      <w:r w:rsidRPr="728F2DAF">
        <w:rPr>
          <w:lang w:val="en-GB"/>
        </w:rPr>
        <w:t xml:space="preserve"> of direct </w:t>
      </w:r>
      <w:r w:rsidR="067C1E4A" w:rsidRPr="728F2DAF">
        <w:rPr>
          <w:lang w:val="en-GB"/>
        </w:rPr>
        <w:t>drivers of change in nature</w:t>
      </w:r>
      <w:r w:rsidR="37C2A743" w:rsidRPr="728F2DAF">
        <w:rPr>
          <w:lang w:val="en-GB"/>
        </w:rPr>
        <w:t xml:space="preserve"> </w:t>
      </w:r>
      <w:r w:rsidRPr="728F2DAF">
        <w:rPr>
          <w:lang w:val="en-GB"/>
        </w:rPr>
        <w:t xml:space="preserve">that together encompass major human influences on the distribution and abundance of </w:t>
      </w:r>
      <w:r w:rsidR="0AE5A10A" w:rsidRPr="728F2DAF">
        <w:rPr>
          <w:lang w:val="en-GB"/>
        </w:rPr>
        <w:t xml:space="preserve">invasive alien species </w:t>
      </w:r>
      <w:r w:rsidRPr="728F2DAF">
        <w:rPr>
          <w:lang w:val="en-GB"/>
        </w:rPr>
        <w:t>(</w:t>
      </w:r>
      <w:r w:rsidR="00E23B69">
        <w:rPr>
          <w:b/>
          <w:bCs/>
          <w:lang w:val="en-GB"/>
        </w:rPr>
        <w:t>Table</w:t>
      </w:r>
      <w:r w:rsidR="3EE49496" w:rsidRPr="728F2DAF">
        <w:rPr>
          <w:b/>
          <w:bCs/>
          <w:lang w:val="en-GB"/>
        </w:rPr>
        <w:t xml:space="preserve"> 3.1</w:t>
      </w:r>
      <w:r w:rsidRPr="728F2DAF">
        <w:rPr>
          <w:lang w:val="en-GB"/>
        </w:rPr>
        <w:t xml:space="preserve">). The definition and </w:t>
      </w:r>
      <w:r w:rsidR="431C1A11" w:rsidRPr="728F2DAF">
        <w:rPr>
          <w:lang w:val="en-GB"/>
        </w:rPr>
        <w:t>classes</w:t>
      </w:r>
      <w:r w:rsidR="199C46DC" w:rsidRPr="728F2DAF">
        <w:rPr>
          <w:lang w:val="en-GB"/>
        </w:rPr>
        <w:t xml:space="preserve"> </w:t>
      </w:r>
      <w:r w:rsidRPr="728F2DAF">
        <w:rPr>
          <w:lang w:val="en-GB"/>
        </w:rPr>
        <w:t xml:space="preserve">of drivers are sourced from </w:t>
      </w:r>
      <w:r w:rsidR="1C6EF9A1" w:rsidRPr="728F2DAF">
        <w:rPr>
          <w:lang w:val="en-GB"/>
        </w:rPr>
        <w:t xml:space="preserve">the </w:t>
      </w:r>
      <w:r w:rsidRPr="728F2DAF">
        <w:rPr>
          <w:lang w:val="en-GB"/>
        </w:rPr>
        <w:t xml:space="preserve">IPBES </w:t>
      </w:r>
      <w:r w:rsidR="1C6EF9A1" w:rsidRPr="728F2DAF">
        <w:rPr>
          <w:lang w:val="en-GB"/>
        </w:rPr>
        <w:t>Global A</w:t>
      </w:r>
      <w:r w:rsidR="1CE5B7D4" w:rsidRPr="728F2DAF">
        <w:rPr>
          <w:lang w:val="en-GB"/>
        </w:rPr>
        <w:t>ssessment</w:t>
      </w:r>
      <w:r w:rsidR="1C6EF9A1" w:rsidRPr="728F2DAF">
        <w:rPr>
          <w:lang w:val="en-GB"/>
        </w:rPr>
        <w:t xml:space="preserve"> </w:t>
      </w:r>
      <w:r w:rsidR="008C1BF7" w:rsidRPr="728F2DAF">
        <w:rPr>
          <w:lang w:val="en-GB"/>
        </w:rPr>
        <w:fldChar w:fldCharType="begin"/>
      </w:r>
      <w:r w:rsidR="00F5121E">
        <w:rPr>
          <w:lang w:val="en-GB"/>
        </w:rPr>
        <w:instrText xml:space="preserve"> ADDIN ZOTERO_ITEM CSL_CITATION {"citationID":"vwQgPDbR","properties":{"formattedCitation":"(IPBES, 2019)","plainCitation":"(IPBES, 2019)","noteIndex":0},"citationItems":[{"id":53933,"uris":["http://zotero.org/groups/2352922/items/JYFISR8Z","http://zotero.org/groups/2352922/items/ZACZGHZL"],"itemData":{"id":53933,"type":"report","abstract":"IPBES is to perform regular and timely assessments of knowledge on biodiversity and ecosystem services and their interlinkages at the global level. Also addressing an invitation by the Conference of the Parties of the Convention on Biological Diversity (CBD) to prepare a global assessment of biodiversity and ecosystem services building, inter alia, on its own and other relevant regional, subregional and thematic assessments, as well as on national reports. The overall scope of the assessment is to assess the status and trends with regard to biodiversity and ecosystem services, the impact of biodiversity and ecosystem services on human well-being and the effectiveness of responses, including the Strategic Plan and its Aichi Biodiversity Targets. It is anticipated that this deliverable will contribute to the process for the evaluation and renewal of the Strategic Plan for Biodiversity and its Aichi Biodiversity Targets. The IPBES Global Assessment on Biodiversity and Ecosystem Services is composed of 1) a Summary for Policymakers (SPM), approved by the IPBES Plenary at its 7th session in May 2019 in Paris, France (IPBES-7); and 2) a set of six Chapters, accepted by the IPBES Plenary.","language":"en","license":"Creative Commons Attribution 4.0 International, Open Access","note":"Version Number 1\nDOI: 10.5281/ZENODO.3831673","publisher":"Secretariat of the Intergovernmental Science-Policy Platform on Biodiversity and Ecosystem Services","source":"DOI.org (Datacite)","title":"Global assessment report on biodiversity and ecosystem services of the Intergovernmental Science-Policy Platform on Biodiversity and Ecosystem Services","URL":"https://zenodo.org/record/3831673","author":[{"literal":"IPBES"}],"contributor":[{"family":"Brondizio","given":"Eduardo"},{"family":"Diaz","given":"Sandra"},{"family":"Settele","given":"Josef"},{"family":"Ngo","given":"Hien T."}],"accessed":{"date-parts":[["2023",1,5]]},"issued":{"date-parts":[["2019"]]}},"label":"page"}],"schema":"https://github.com/citation-style-language/schema/raw/master/csl-citation.json"} </w:instrText>
      </w:r>
      <w:r w:rsidR="008C1BF7" w:rsidRPr="728F2DAF">
        <w:rPr>
          <w:lang w:val="en-GB"/>
        </w:rPr>
        <w:fldChar w:fldCharType="separate"/>
      </w:r>
      <w:r w:rsidR="73B99EB6">
        <w:t>(IPBES, 2019)</w:t>
      </w:r>
      <w:r w:rsidR="008C1BF7" w:rsidRPr="728F2DAF">
        <w:rPr>
          <w:lang w:val="en-GB"/>
        </w:rPr>
        <w:fldChar w:fldCharType="end"/>
      </w:r>
      <w:r w:rsidR="27E32DC8" w:rsidRPr="728F2DAF">
        <w:rPr>
          <w:lang w:val="en-GB"/>
        </w:rPr>
        <w:t xml:space="preserve"> </w:t>
      </w:r>
      <w:r w:rsidR="1CE5B7D4" w:rsidRPr="728F2DAF">
        <w:rPr>
          <w:lang w:val="en-GB"/>
        </w:rPr>
        <w:t>but</w:t>
      </w:r>
      <w:r w:rsidRPr="728F2DAF">
        <w:rPr>
          <w:lang w:val="en-GB"/>
        </w:rPr>
        <w:t xml:space="preserve"> adapted for the purposes of </w:t>
      </w:r>
      <w:r w:rsidR="0FC0C1B1" w:rsidRPr="728F2DAF">
        <w:rPr>
          <w:lang w:val="en-GB"/>
        </w:rPr>
        <w:t>invasive alien species</w:t>
      </w:r>
      <w:r w:rsidR="7D6C1240" w:rsidRPr="728F2DAF">
        <w:rPr>
          <w:lang w:val="en-GB"/>
        </w:rPr>
        <w:t xml:space="preserve"> by selecting </w:t>
      </w:r>
      <w:r w:rsidR="3D78E0C5" w:rsidRPr="728F2DAF">
        <w:rPr>
          <w:lang w:val="en-GB"/>
        </w:rPr>
        <w:t xml:space="preserve">drivers of relevance for </w:t>
      </w:r>
      <w:r w:rsidR="448B2E4D" w:rsidRPr="728F2DAF">
        <w:rPr>
          <w:lang w:val="en-GB"/>
        </w:rPr>
        <w:t>biological invasions</w:t>
      </w:r>
      <w:r w:rsidRPr="728F2DAF">
        <w:rPr>
          <w:lang w:val="en-GB"/>
        </w:rPr>
        <w:t>. This sect</w:t>
      </w:r>
      <w:r w:rsidR="6072AC72" w:rsidRPr="728F2DAF">
        <w:rPr>
          <w:lang w:val="en-GB"/>
        </w:rPr>
        <w:t>ion thus considers land-</w:t>
      </w:r>
      <w:r w:rsidR="4B2FFD62" w:rsidRPr="728F2DAF">
        <w:rPr>
          <w:lang w:val="en-GB"/>
        </w:rPr>
        <w:t xml:space="preserve"> and </w:t>
      </w:r>
      <w:r w:rsidR="6072AC72" w:rsidRPr="728F2DAF">
        <w:rPr>
          <w:lang w:val="en-GB"/>
        </w:rPr>
        <w:t>sea</w:t>
      </w:r>
      <w:r w:rsidRPr="728F2DAF">
        <w:rPr>
          <w:lang w:val="en-GB"/>
        </w:rPr>
        <w:t>-use changes, including farming, fishing, logging (</w:t>
      </w:r>
      <w:r w:rsidR="34A6C933" w:rsidRPr="728F2DAF">
        <w:rPr>
          <w:b/>
          <w:bCs/>
          <w:lang w:val="en-GB"/>
        </w:rPr>
        <w:t xml:space="preserve">section </w:t>
      </w:r>
      <w:r w:rsidRPr="728F2DAF">
        <w:rPr>
          <w:b/>
          <w:bCs/>
          <w:lang w:val="en-GB"/>
        </w:rPr>
        <w:t>3.3.1</w:t>
      </w:r>
      <w:r w:rsidRPr="728F2DAF">
        <w:rPr>
          <w:lang w:val="en-GB"/>
        </w:rPr>
        <w:t xml:space="preserve">); </w:t>
      </w:r>
      <w:r w:rsidR="6C0802E1" w:rsidRPr="728F2DAF">
        <w:rPr>
          <w:rStyle w:val="normaltextrun"/>
          <w:color w:val="000000" w:themeColor="text1"/>
          <w:lang w:val="en-GB"/>
        </w:rPr>
        <w:t>direct exploitation of natural resources</w:t>
      </w:r>
      <w:r w:rsidRPr="728F2DAF">
        <w:rPr>
          <w:lang w:val="en-GB"/>
        </w:rPr>
        <w:t>, such as mining and species harvesting (</w:t>
      </w:r>
      <w:r w:rsidR="34A6C933" w:rsidRPr="728F2DAF">
        <w:rPr>
          <w:b/>
          <w:bCs/>
          <w:lang w:val="en-GB"/>
        </w:rPr>
        <w:t xml:space="preserve">section </w:t>
      </w:r>
      <w:r w:rsidRPr="728F2DAF">
        <w:rPr>
          <w:b/>
          <w:bCs/>
          <w:lang w:val="en-GB"/>
        </w:rPr>
        <w:t>3.3.2</w:t>
      </w:r>
      <w:r w:rsidRPr="728F2DAF">
        <w:rPr>
          <w:lang w:val="en-GB"/>
        </w:rPr>
        <w:t xml:space="preserve">); pollution, including both </w:t>
      </w:r>
      <w:r w:rsidR="11B0A2B2" w:rsidRPr="728F2DAF">
        <w:rPr>
          <w:lang w:val="en-GB"/>
        </w:rPr>
        <w:t>aerial</w:t>
      </w:r>
      <w:r w:rsidRPr="728F2DAF">
        <w:rPr>
          <w:lang w:val="en-GB"/>
        </w:rPr>
        <w:t>, soluble</w:t>
      </w:r>
      <w:r w:rsidR="009F7404">
        <w:rPr>
          <w:lang w:val="en-GB"/>
        </w:rPr>
        <w:t xml:space="preserve"> and</w:t>
      </w:r>
      <w:r w:rsidRPr="728F2DAF">
        <w:rPr>
          <w:lang w:val="en-GB"/>
        </w:rPr>
        <w:t xml:space="preserve"> solid waste, with a focus on eutrophication and marine </w:t>
      </w:r>
      <w:r w:rsidR="3D78E0C5" w:rsidRPr="728F2DAF">
        <w:rPr>
          <w:lang w:val="en-GB"/>
        </w:rPr>
        <w:t>debris</w:t>
      </w:r>
      <w:r w:rsidRPr="728F2DAF">
        <w:rPr>
          <w:lang w:val="en-GB"/>
        </w:rPr>
        <w:t xml:space="preserve"> (</w:t>
      </w:r>
      <w:r w:rsidR="34A6C933" w:rsidRPr="728F2DAF">
        <w:rPr>
          <w:b/>
          <w:bCs/>
          <w:lang w:val="en-GB"/>
        </w:rPr>
        <w:t xml:space="preserve">section </w:t>
      </w:r>
      <w:r w:rsidRPr="728F2DAF">
        <w:rPr>
          <w:b/>
          <w:bCs/>
          <w:lang w:val="en-GB"/>
        </w:rPr>
        <w:t>3.3.3</w:t>
      </w:r>
      <w:r w:rsidRPr="728F2DAF">
        <w:rPr>
          <w:lang w:val="en-GB"/>
        </w:rPr>
        <w:t>); climate change</w:t>
      </w:r>
      <w:r w:rsidR="68DC6C56" w:rsidRPr="728F2DAF">
        <w:rPr>
          <w:lang w:val="en-GB"/>
        </w:rPr>
        <w:t xml:space="preserve">, </w:t>
      </w:r>
      <w:r w:rsidR="6F47E0EF" w:rsidRPr="728F2DAF">
        <w:rPr>
          <w:lang w:val="en-GB"/>
        </w:rPr>
        <w:t>including</w:t>
      </w:r>
      <w:r w:rsidRPr="728F2DAF">
        <w:rPr>
          <w:lang w:val="en-GB"/>
        </w:rPr>
        <w:t xml:space="preserve"> both long-term </w:t>
      </w:r>
      <w:r w:rsidR="560AB1A3" w:rsidRPr="728F2DAF">
        <w:rPr>
          <w:lang w:val="en-GB"/>
        </w:rPr>
        <w:t>trends</w:t>
      </w:r>
      <w:r w:rsidRPr="728F2DAF">
        <w:rPr>
          <w:lang w:val="en-GB"/>
        </w:rPr>
        <w:t xml:space="preserve"> and </w:t>
      </w:r>
      <w:r w:rsidR="11DB1CB0" w:rsidRPr="728F2DAF">
        <w:rPr>
          <w:lang w:val="en-GB"/>
        </w:rPr>
        <w:t>climatic</w:t>
      </w:r>
      <w:r w:rsidR="6BEA1534" w:rsidRPr="728F2DAF">
        <w:rPr>
          <w:lang w:val="en-GB"/>
        </w:rPr>
        <w:t xml:space="preserve"> </w:t>
      </w:r>
      <w:r w:rsidR="11DB1CB0" w:rsidRPr="728F2DAF">
        <w:rPr>
          <w:lang w:val="en-GB"/>
        </w:rPr>
        <w:t>variability</w:t>
      </w:r>
      <w:r w:rsidRPr="728F2DAF">
        <w:rPr>
          <w:lang w:val="en-GB"/>
        </w:rPr>
        <w:t xml:space="preserve">, </w:t>
      </w:r>
      <w:r w:rsidR="76A42064" w:rsidRPr="728F2DAF">
        <w:rPr>
          <w:lang w:val="en-GB"/>
        </w:rPr>
        <w:t>as</w:t>
      </w:r>
      <w:r w:rsidRPr="728F2DAF">
        <w:rPr>
          <w:lang w:val="en-GB"/>
        </w:rPr>
        <w:t xml:space="preserve"> well as </w:t>
      </w:r>
      <w:r w:rsidR="7A0AEF5D" w:rsidRPr="728F2DAF">
        <w:rPr>
          <w:lang w:val="en-GB"/>
        </w:rPr>
        <w:t>CO</w:t>
      </w:r>
      <w:r w:rsidR="7A0AEF5D" w:rsidRPr="728F2DAF">
        <w:rPr>
          <w:vertAlign w:val="subscript"/>
          <w:lang w:val="en-GB"/>
        </w:rPr>
        <w:t>2</w:t>
      </w:r>
      <w:r w:rsidR="7A0AEF5D" w:rsidRPr="728F2DAF">
        <w:rPr>
          <w:lang w:val="en-GB"/>
        </w:rPr>
        <w:t xml:space="preserve"> </w:t>
      </w:r>
      <w:r w:rsidR="2EDF43DD" w:rsidRPr="728F2DAF">
        <w:rPr>
          <w:lang w:val="en-GB"/>
        </w:rPr>
        <w:t>fertilization,</w:t>
      </w:r>
      <w:r w:rsidRPr="728F2DAF">
        <w:rPr>
          <w:lang w:val="en-GB"/>
        </w:rPr>
        <w:t xml:space="preserve"> changes </w:t>
      </w:r>
      <w:r w:rsidR="2EDF43DD" w:rsidRPr="728F2DAF">
        <w:rPr>
          <w:lang w:val="en-GB"/>
        </w:rPr>
        <w:t xml:space="preserve">in </w:t>
      </w:r>
      <w:r w:rsidR="13555B89" w:rsidRPr="728F2DAF">
        <w:rPr>
          <w:lang w:val="en-GB"/>
        </w:rPr>
        <w:t>climate-related extremes and</w:t>
      </w:r>
      <w:r w:rsidRPr="728F2DAF">
        <w:rPr>
          <w:lang w:val="en-GB"/>
        </w:rPr>
        <w:t xml:space="preserve"> sea level rise (</w:t>
      </w:r>
      <w:r w:rsidR="34A6C933" w:rsidRPr="728F2DAF">
        <w:rPr>
          <w:b/>
          <w:bCs/>
          <w:lang w:val="en-GB"/>
        </w:rPr>
        <w:t xml:space="preserve">section </w:t>
      </w:r>
      <w:r w:rsidRPr="728F2DAF">
        <w:rPr>
          <w:b/>
          <w:bCs/>
          <w:lang w:val="en-GB"/>
        </w:rPr>
        <w:t>3.3.4</w:t>
      </w:r>
      <w:r w:rsidRPr="728F2DAF">
        <w:rPr>
          <w:lang w:val="en-GB"/>
        </w:rPr>
        <w:t>)</w:t>
      </w:r>
      <w:r w:rsidR="37C2A743" w:rsidRPr="728F2DAF">
        <w:rPr>
          <w:lang w:val="en-GB"/>
        </w:rPr>
        <w:t xml:space="preserve">, and </w:t>
      </w:r>
      <w:r w:rsidRPr="728F2DAF">
        <w:rPr>
          <w:lang w:val="en-GB"/>
        </w:rPr>
        <w:t xml:space="preserve">the role of invasive alien species </w:t>
      </w:r>
      <w:r w:rsidR="37C2A743" w:rsidRPr="728F2DAF">
        <w:rPr>
          <w:lang w:val="en-GB"/>
        </w:rPr>
        <w:t>and th</w:t>
      </w:r>
      <w:r w:rsidR="7CADE5DB" w:rsidRPr="728F2DAF">
        <w:rPr>
          <w:lang w:val="en-GB"/>
        </w:rPr>
        <w:t>e</w:t>
      </w:r>
      <w:r w:rsidR="37C2A743" w:rsidRPr="728F2DAF">
        <w:rPr>
          <w:lang w:val="en-GB"/>
        </w:rPr>
        <w:t xml:space="preserve"> management</w:t>
      </w:r>
      <w:r w:rsidR="42ECC7A0" w:rsidRPr="728F2DAF">
        <w:rPr>
          <w:lang w:val="en-GB"/>
        </w:rPr>
        <w:t xml:space="preserve"> of biological invasions</w:t>
      </w:r>
      <w:r w:rsidRPr="728F2DAF">
        <w:rPr>
          <w:lang w:val="en-GB"/>
        </w:rPr>
        <w:t xml:space="preserve">, through </w:t>
      </w:r>
      <w:r w:rsidR="1BC4DB88" w:rsidRPr="728F2DAF">
        <w:rPr>
          <w:lang w:val="en-GB"/>
        </w:rPr>
        <w:t xml:space="preserve">biotic </w:t>
      </w:r>
      <w:r w:rsidR="7A0B7037" w:rsidRPr="728F2DAF">
        <w:rPr>
          <w:lang w:val="en-GB"/>
        </w:rPr>
        <w:t>facilitation</w:t>
      </w:r>
      <w:r w:rsidRPr="728F2DAF">
        <w:rPr>
          <w:lang w:val="en-GB"/>
        </w:rPr>
        <w:t xml:space="preserve"> and bio</w:t>
      </w:r>
      <w:r w:rsidR="34505233" w:rsidRPr="728F2DAF">
        <w:rPr>
          <w:lang w:val="en-GB"/>
        </w:rPr>
        <w:t xml:space="preserve">logical </w:t>
      </w:r>
      <w:r w:rsidRPr="728F2DAF">
        <w:rPr>
          <w:lang w:val="en-GB"/>
        </w:rPr>
        <w:t>control (</w:t>
      </w:r>
      <w:r w:rsidR="34A6C933" w:rsidRPr="728F2DAF">
        <w:rPr>
          <w:b/>
          <w:bCs/>
          <w:lang w:val="en-GB"/>
        </w:rPr>
        <w:t xml:space="preserve">section </w:t>
      </w:r>
      <w:r w:rsidRPr="728F2DAF">
        <w:rPr>
          <w:b/>
          <w:bCs/>
          <w:lang w:val="en-GB"/>
        </w:rPr>
        <w:t>3.3.5</w:t>
      </w:r>
      <w:r w:rsidR="459C6976" w:rsidRPr="728F2DAF">
        <w:rPr>
          <w:lang w:val="en-GB"/>
        </w:rPr>
        <w:t xml:space="preserve">). </w:t>
      </w:r>
      <w:r w:rsidR="76A42064" w:rsidRPr="728F2DAF">
        <w:rPr>
          <w:lang w:val="en-GB"/>
        </w:rPr>
        <w:t>E</w:t>
      </w:r>
      <w:r w:rsidRPr="728F2DAF">
        <w:rPr>
          <w:lang w:val="en-GB"/>
        </w:rPr>
        <w:t xml:space="preserve">ach </w:t>
      </w:r>
      <w:r w:rsidR="0ED944C4" w:rsidRPr="728F2DAF">
        <w:rPr>
          <w:lang w:val="en-GB"/>
        </w:rPr>
        <w:t>sub</w:t>
      </w:r>
      <w:r w:rsidRPr="728F2DAF">
        <w:rPr>
          <w:lang w:val="en-GB"/>
        </w:rPr>
        <w:t>section first assess</w:t>
      </w:r>
      <w:r w:rsidR="7E6CF854" w:rsidRPr="728F2DAF">
        <w:rPr>
          <w:lang w:val="en-GB"/>
        </w:rPr>
        <w:t>es</w:t>
      </w:r>
      <w:r w:rsidRPr="728F2DAF">
        <w:rPr>
          <w:lang w:val="en-GB"/>
        </w:rPr>
        <w:t xml:space="preserve"> the overall </w:t>
      </w:r>
      <w:r w:rsidR="6D4A7105" w:rsidRPr="728F2DAF">
        <w:rPr>
          <w:lang w:val="en-GB"/>
        </w:rPr>
        <w:t xml:space="preserve">trends in and </w:t>
      </w:r>
      <w:r w:rsidR="405CF727" w:rsidRPr="728F2DAF">
        <w:rPr>
          <w:lang w:val="en-GB"/>
        </w:rPr>
        <w:t>influence</w:t>
      </w:r>
      <w:r w:rsidRPr="728F2DAF">
        <w:rPr>
          <w:lang w:val="en-GB"/>
        </w:rPr>
        <w:t xml:space="preserve"> of the driver on </w:t>
      </w:r>
      <w:r w:rsidR="0AE5A10A" w:rsidRPr="728F2DAF">
        <w:rPr>
          <w:lang w:val="en-GB"/>
        </w:rPr>
        <w:t>invasive alien species</w:t>
      </w:r>
      <w:r w:rsidRPr="728F2DAF">
        <w:rPr>
          <w:lang w:val="en-GB"/>
        </w:rPr>
        <w:t xml:space="preserve">, including </w:t>
      </w:r>
      <w:r w:rsidR="5E5E45C7" w:rsidRPr="728F2DAF">
        <w:rPr>
          <w:lang w:val="en-GB"/>
        </w:rPr>
        <w:t>i</w:t>
      </w:r>
      <w:r w:rsidRPr="728F2DAF">
        <w:rPr>
          <w:lang w:val="en-GB"/>
        </w:rPr>
        <w:t>nterlinkages with other drivers, and then, w</w:t>
      </w:r>
      <w:r w:rsidR="5F993B6D" w:rsidRPr="728F2DAF">
        <w:rPr>
          <w:lang w:val="en-GB"/>
        </w:rPr>
        <w:t>here data allow, note</w:t>
      </w:r>
      <w:r w:rsidR="7E6CF854" w:rsidRPr="728F2DAF">
        <w:rPr>
          <w:lang w:val="en-GB"/>
        </w:rPr>
        <w:t>s</w:t>
      </w:r>
      <w:r w:rsidRPr="728F2DAF">
        <w:rPr>
          <w:lang w:val="en-GB"/>
        </w:rPr>
        <w:t xml:space="preserve"> the specific effects of the drivers on particular </w:t>
      </w:r>
      <w:r w:rsidR="6D4A7105" w:rsidRPr="728F2DAF">
        <w:rPr>
          <w:lang w:val="en-GB"/>
        </w:rPr>
        <w:t>biomes</w:t>
      </w:r>
      <w:r w:rsidR="6E3731D2" w:rsidRPr="728F2DAF">
        <w:rPr>
          <w:lang w:val="en-GB"/>
        </w:rPr>
        <w:t>,</w:t>
      </w:r>
      <w:r w:rsidR="6D4A7105" w:rsidRPr="728F2DAF">
        <w:rPr>
          <w:lang w:val="en-GB"/>
        </w:rPr>
        <w:t xml:space="preserve"> </w:t>
      </w:r>
      <w:r w:rsidR="1CE5B7D4" w:rsidRPr="728F2DAF">
        <w:rPr>
          <w:lang w:val="en-GB"/>
        </w:rPr>
        <w:t xml:space="preserve">taxonomic groups </w:t>
      </w:r>
      <w:r w:rsidRPr="728F2DAF">
        <w:rPr>
          <w:lang w:val="en-GB"/>
        </w:rPr>
        <w:t>and units of analysis.</w:t>
      </w:r>
    </w:p>
    <w:p w14:paraId="2D220B2E" w14:textId="77777777" w:rsidR="008C1BF7" w:rsidRPr="00DA249F" w:rsidRDefault="309C59F1" w:rsidP="00375B42">
      <w:pPr>
        <w:pStyle w:val="Heading2"/>
        <w:rPr>
          <w:lang w:val="en-GB"/>
        </w:rPr>
      </w:pPr>
      <w:bookmarkStart w:id="147" w:name="_Toc44317816"/>
      <w:r w:rsidRPr="5575EBFC">
        <w:rPr>
          <w:lang w:val="en-GB"/>
        </w:rPr>
        <w:t xml:space="preserve"> </w:t>
      </w:r>
      <w:bookmarkStart w:id="148" w:name="_Toc146898468"/>
      <w:r w:rsidR="3D04D128" w:rsidRPr="5575EBFC">
        <w:rPr>
          <w:lang w:val="en-GB"/>
        </w:rPr>
        <w:t xml:space="preserve">Land- and sea-use </w:t>
      </w:r>
      <w:bookmarkEnd w:id="147"/>
      <w:r w:rsidR="3D04D128" w:rsidRPr="5575EBFC">
        <w:rPr>
          <w:lang w:val="en-GB"/>
        </w:rPr>
        <w:t>change</w:t>
      </w:r>
      <w:bookmarkEnd w:id="148"/>
    </w:p>
    <w:p w14:paraId="0E139E4F" w14:textId="587B35E7" w:rsidR="001D200E" w:rsidRPr="00DA249F" w:rsidRDefault="647A0E84" w:rsidP="001D200E">
      <w:pPr>
        <w:rPr>
          <w:lang w:val="en-GB"/>
        </w:rPr>
      </w:pPr>
      <w:r w:rsidRPr="5575EBFC">
        <w:rPr>
          <w:lang w:val="en-GB"/>
        </w:rPr>
        <w:t xml:space="preserve">Land-use change is the major </w:t>
      </w:r>
      <w:r w:rsidR="48542EBC" w:rsidRPr="5575EBFC">
        <w:rPr>
          <w:lang w:val="en-GB"/>
        </w:rPr>
        <w:t>driver of change in nature</w:t>
      </w:r>
      <w:r w:rsidRPr="5575EBFC">
        <w:rPr>
          <w:lang w:val="en-GB"/>
        </w:rPr>
        <w:t xml:space="preserve"> </w:t>
      </w:r>
      <w:r w:rsidR="786AD167" w:rsidRPr="5575EBFC">
        <w:rPr>
          <w:lang w:val="en-GB"/>
        </w:rPr>
        <w:t xml:space="preserve">causing </w:t>
      </w:r>
      <w:r w:rsidR="51761692" w:rsidRPr="5575EBFC">
        <w:rPr>
          <w:lang w:val="en-GB"/>
        </w:rPr>
        <w:t xml:space="preserve">loss of </w:t>
      </w:r>
      <w:r w:rsidR="733D5EE8" w:rsidRPr="5575EBFC">
        <w:rPr>
          <w:lang w:val="en-GB"/>
        </w:rPr>
        <w:t xml:space="preserve">biodiversity and </w:t>
      </w:r>
      <w:r w:rsidR="51761692" w:rsidRPr="5575EBFC">
        <w:rPr>
          <w:lang w:val="en-GB"/>
        </w:rPr>
        <w:t xml:space="preserve">natural habitats </w:t>
      </w:r>
      <w:r w:rsidRPr="5575EBFC">
        <w:rPr>
          <w:lang w:val="en-GB"/>
        </w:rPr>
        <w:t>globally</w:t>
      </w:r>
      <w:r w:rsidR="2B3B48B5" w:rsidRPr="5575EBFC">
        <w:rPr>
          <w:lang w:val="en-GB"/>
        </w:rPr>
        <w:t>, affecting c</w:t>
      </w:r>
      <w:r w:rsidRPr="5575EBFC">
        <w:rPr>
          <w:lang w:val="en-GB"/>
        </w:rPr>
        <w:t>lose to 75</w:t>
      </w:r>
      <w:r w:rsidR="4804CF9A" w:rsidRPr="5575EBFC">
        <w:rPr>
          <w:lang w:val="en-GB"/>
        </w:rPr>
        <w:t xml:space="preserve"> per cent</w:t>
      </w:r>
      <w:r w:rsidRPr="5575EBFC">
        <w:rPr>
          <w:lang w:val="en-GB"/>
        </w:rPr>
        <w:t xml:space="preserve"> of ice-free land areas</w:t>
      </w:r>
      <w:r w:rsidR="7142C0F2" w:rsidRPr="5575EBFC">
        <w:rPr>
          <w:lang w:val="en-GB"/>
        </w:rPr>
        <w:t xml:space="preserve"> </w:t>
      </w:r>
      <w:r w:rsidR="45E759DB" w:rsidRPr="5575EBFC">
        <w:rPr>
          <w:lang w:val="en-GB"/>
        </w:rPr>
        <w:fldChar w:fldCharType="begin"/>
      </w:r>
      <w:r w:rsidR="00F5121E">
        <w:rPr>
          <w:lang w:val="en-GB"/>
        </w:rPr>
        <w:instrText xml:space="preserve"> ADDIN ZOTERO_ITEM CSL_CITATION {"citationID":"Wu9M3W5W","properties":{"formattedCitation":"(IPBES, 2019)","plainCitation":"(IPBES, 2019)","noteIndex":0},"citationItems":[{"id":53933,"uris":["http://zotero.org/groups/2352922/items/JYFISR8Z","http://zotero.org/groups/2352922/items/ZACZGHZL"],"itemData":{"id":53933,"type":"report","abstract":"IPBES is to perform regular and timely assessments of knowledge on biodiversity and ecosystem services and their interlinkages at the global level. Also addressing an invitation by the Conference of the Parties of the Convention on Biological Diversity (CBD) to prepare a global assessment of biodiversity and ecosystem services building, inter alia, on its own and other relevant regional, subregional and thematic assessments, as well as on national reports. The overall scope of the assessment is to assess the status and trends with regard to biodiversity and ecosystem services, the impact of biodiversity and ecosystem services on human well-being and the effectiveness of responses, including the Strategic Plan and its Aichi Biodiversity Targets. It is anticipated that this deliverable will contribute to the process for the evaluation and renewal of the Strategic Plan for Biodiversity and its Aichi Biodiversity Targets. The IPBES Global Assessment on Biodiversity and Ecosystem Services is composed of 1) a Summary for Policymakers (SPM), approved by the IPBES Plenary at its 7th session in May 2019 in Paris, France (IPBES-7); and 2) a set of six Chapters, accepted by the IPBES Plenary.","language":"en","license":"Creative Commons Attribution 4.0 International, Open Access","note":"Version Number 1\nDOI: 10.5281/ZENODO.3831673","publisher":"Secretariat of the Intergovernmental Science-Policy Platform on Biodiversity and Ecosystem Services","source":"DOI.org (Datacite)","title":"Global assessment report on biodiversity and ecosystem services of the Intergovernmental Science-Policy Platform on Biodiversity and Ecosystem Services","URL":"https://zenodo.org/record/3831673","author":[{"literal":"IPBES"}],"contributor":[{"family":"Brondizio","given":"Eduardo"},{"family":"Diaz","given":"Sandra"},{"family":"Settele","given":"Josef"},{"family":"Ngo","given":"Hien T."}],"accessed":{"date-parts":[["2023",1,5]]},"issued":{"date-parts":[["2019"]]}}}],"schema":"https://github.com/citation-style-language/schema/raw/master/csl-citation.json"} </w:instrText>
      </w:r>
      <w:r w:rsidR="45E759DB" w:rsidRPr="5575EBFC">
        <w:rPr>
          <w:lang w:val="en-GB"/>
        </w:rPr>
        <w:fldChar w:fldCharType="separate"/>
      </w:r>
      <w:r w:rsidR="6B5F9B9E">
        <w:t>(IPBES, 2019)</w:t>
      </w:r>
      <w:r w:rsidR="45E759DB" w:rsidRPr="5575EBFC">
        <w:rPr>
          <w:lang w:val="en-GB"/>
        </w:rPr>
        <w:fldChar w:fldCharType="end"/>
      </w:r>
      <w:r w:rsidR="7142C0F2" w:rsidRPr="5575EBFC">
        <w:rPr>
          <w:lang w:val="en-GB"/>
        </w:rPr>
        <w:t xml:space="preserve">. </w:t>
      </w:r>
      <w:r w:rsidR="21556983" w:rsidRPr="5575EBFC">
        <w:rPr>
          <w:lang w:val="en-GB"/>
        </w:rPr>
        <w:t xml:space="preserve">Agriculture and forestry are major </w:t>
      </w:r>
      <w:r w:rsidR="79A1DA7C" w:rsidRPr="5575EBFC">
        <w:rPr>
          <w:lang w:val="en-GB"/>
        </w:rPr>
        <w:t>causes</w:t>
      </w:r>
      <w:r w:rsidR="21556983" w:rsidRPr="5575EBFC">
        <w:rPr>
          <w:lang w:val="en-GB"/>
        </w:rPr>
        <w:t xml:space="preserve"> of land-use change, for example, g</w:t>
      </w:r>
      <w:r w:rsidR="7B23F27A" w:rsidRPr="5575EBFC">
        <w:rPr>
          <w:lang w:val="en-GB"/>
        </w:rPr>
        <w:t xml:space="preserve">lobal </w:t>
      </w:r>
      <w:r w:rsidRPr="5575EBFC">
        <w:rPr>
          <w:lang w:val="en-GB"/>
        </w:rPr>
        <w:t>crop productio</w:t>
      </w:r>
      <w:r w:rsidR="7B4A3488" w:rsidRPr="5575EBFC">
        <w:rPr>
          <w:lang w:val="en-GB"/>
        </w:rPr>
        <w:t>n</w:t>
      </w:r>
      <w:r w:rsidR="14ED23A0" w:rsidRPr="5575EBFC">
        <w:rPr>
          <w:lang w:val="en-GB"/>
        </w:rPr>
        <w:t xml:space="preserve"> </w:t>
      </w:r>
      <w:r w:rsidRPr="5575EBFC">
        <w:rPr>
          <w:lang w:val="en-GB"/>
        </w:rPr>
        <w:t>has increased by about 300</w:t>
      </w:r>
      <w:r w:rsidR="4804CF9A" w:rsidRPr="5575EBFC">
        <w:rPr>
          <w:lang w:val="en-GB"/>
        </w:rPr>
        <w:t xml:space="preserve"> per cent</w:t>
      </w:r>
      <w:r w:rsidRPr="5575EBFC">
        <w:rPr>
          <w:lang w:val="en-GB"/>
        </w:rPr>
        <w:t xml:space="preserve"> since 1970, </w:t>
      </w:r>
      <w:r w:rsidR="1CAA7567" w:rsidRPr="5575EBFC">
        <w:rPr>
          <w:lang w:val="en-GB"/>
        </w:rPr>
        <w:t xml:space="preserve">with crops </w:t>
      </w:r>
      <w:r w:rsidRPr="5575EBFC">
        <w:rPr>
          <w:lang w:val="en-GB"/>
        </w:rPr>
        <w:t xml:space="preserve">now occupying half of the habitable land on Earth </w:t>
      </w:r>
      <w:r w:rsidR="45E759DB" w:rsidRPr="5575EBFC">
        <w:rPr>
          <w:lang w:val="en-GB"/>
        </w:rPr>
        <w:fldChar w:fldCharType="begin"/>
      </w:r>
      <w:r w:rsidR="00F5121E">
        <w:rPr>
          <w:lang w:val="en-GB"/>
        </w:rPr>
        <w:instrText xml:space="preserve"> ADDIN ZOTERO_ITEM CSL_CITATION {"citationID":"XL7kSm3J","properties":{"formattedCitation":"(IPBES, 2019)","plainCitation":"(IPBES, 2019)","noteIndex":0},"citationItems":[{"id":53933,"uris":["http://zotero.org/groups/2352922/items/JYFISR8Z","http://zotero.org/groups/2352922/items/ZACZGHZL"],"itemData":{"id":53933,"type":"report","abstract":"IPBES is to perform regular and timely assessments of knowledge on biodiversity and ecosystem services and their interlinkages at the global level. Also addressing an invitation by the Conference of the Parties of the Convention on Biological Diversity (CBD) to prepare a global assessment of biodiversity and ecosystem services building, inter alia, on its own and other relevant regional, subregional and thematic assessments, as well as on national reports. The overall scope of the assessment is to assess the status and trends with regard to biodiversity and ecosystem services, the impact of biodiversity and ecosystem services on human well-being and the effectiveness of responses, including the Strategic Plan and its Aichi Biodiversity Targets. It is anticipated that this deliverable will contribute to the process for the evaluation and renewal of the Strategic Plan for Biodiversity and its Aichi Biodiversity Targets. The IPBES Global Assessment on Biodiversity and Ecosystem Services is composed of 1) a Summary for Policymakers (SPM), approved by the IPBES Plenary at its 7th session in May 2019 in Paris, France (IPBES-7); and 2) a set of six Chapters, accepted by the IPBES Plenary.","language":"en","license":"Creative Commons Attribution 4.0 International, Open Access","note":"Version Number 1\nDOI: 10.5281/ZENODO.3831673","publisher":"Secretariat of the Intergovernmental Science-Policy Platform on Biodiversity and Ecosystem Services","source":"DOI.org (Datacite)","title":"Global assessment report on biodiversity and ecosystem services of the Intergovernmental Science-Policy Platform on Biodiversity and Ecosystem Services","URL":"https://zenodo.org/record/3831673","author":[{"literal":"IPBES"}],"contributor":[{"family":"Brondizio","given":"Eduardo"},{"family":"Diaz","given":"Sandra"},{"family":"Settele","given":"Josef"},{"family":"Ngo","given":"Hien T."}],"accessed":{"date-parts":[["2023",1,5]]},"issued":{"date-parts":[["2019"]]}}}],"schema":"https://github.com/citation-style-language/schema/raw/master/csl-citation.json"} </w:instrText>
      </w:r>
      <w:r w:rsidR="45E759DB" w:rsidRPr="5575EBFC">
        <w:rPr>
          <w:lang w:val="en-GB"/>
        </w:rPr>
        <w:fldChar w:fldCharType="separate"/>
      </w:r>
      <w:r w:rsidR="6B5F9B9E">
        <w:t>(IPBES, 2019)</w:t>
      </w:r>
      <w:r w:rsidR="45E759DB" w:rsidRPr="5575EBFC">
        <w:rPr>
          <w:lang w:val="en-GB"/>
        </w:rPr>
        <w:fldChar w:fldCharType="end"/>
      </w:r>
      <w:r w:rsidRPr="5575EBFC">
        <w:rPr>
          <w:lang w:val="en-GB"/>
        </w:rPr>
        <w:t xml:space="preserve">. </w:t>
      </w:r>
      <w:r w:rsidR="6D6A9A53" w:rsidRPr="5575EBFC">
        <w:rPr>
          <w:lang w:val="en-GB"/>
        </w:rPr>
        <w:t xml:space="preserve">Much of the </w:t>
      </w:r>
      <w:r w:rsidR="7F3D084D" w:rsidRPr="5575EBFC">
        <w:rPr>
          <w:lang w:val="en-GB"/>
        </w:rPr>
        <w:t xml:space="preserve">information available for sea-use change </w:t>
      </w:r>
      <w:r w:rsidR="758BBB6F" w:rsidRPr="5575EBFC">
        <w:rPr>
          <w:lang w:val="en-GB"/>
        </w:rPr>
        <w:t xml:space="preserve">is within the context of </w:t>
      </w:r>
      <w:r w:rsidR="5155D2E8" w:rsidRPr="5575EBFC">
        <w:rPr>
          <w:lang w:val="en-GB"/>
        </w:rPr>
        <w:t>climate change</w:t>
      </w:r>
      <w:r w:rsidR="758BBB6F" w:rsidRPr="5575EBFC">
        <w:rPr>
          <w:lang w:val="en-GB"/>
        </w:rPr>
        <w:t xml:space="preserve"> and </w:t>
      </w:r>
      <w:r w:rsidR="57111D4A" w:rsidRPr="5575EBFC">
        <w:rPr>
          <w:lang w:val="en-GB"/>
        </w:rPr>
        <w:t>specifically changes in</w:t>
      </w:r>
      <w:r w:rsidR="18C0C5EB" w:rsidRPr="5575EBFC">
        <w:rPr>
          <w:lang w:val="en-GB"/>
        </w:rPr>
        <w:t xml:space="preserve"> physical and biogeochemical properties of the ocean</w:t>
      </w:r>
      <w:r w:rsidR="15FEDA2B" w:rsidRPr="5575EBFC">
        <w:rPr>
          <w:lang w:val="en-GB"/>
        </w:rPr>
        <w:t xml:space="preserve"> in response to climate warming</w:t>
      </w:r>
      <w:r w:rsidR="18C0C5EB" w:rsidRPr="5575EBFC">
        <w:rPr>
          <w:lang w:val="en-GB"/>
        </w:rPr>
        <w:t xml:space="preserve"> </w:t>
      </w:r>
      <w:r w:rsidR="45E759DB" w:rsidRPr="5575EBFC">
        <w:rPr>
          <w:lang w:val="en-GB"/>
        </w:rPr>
        <w:fldChar w:fldCharType="begin"/>
      </w:r>
      <w:r w:rsidR="00331A79">
        <w:rPr>
          <w:lang w:val="en-GB"/>
        </w:rPr>
        <w:instrText xml:space="preserve"> ADDIN ZOTERO_ITEM CSL_CITATION {"citationID":"yjHdyZHc","properties":{"formattedCitation":"(IPCC, 2019)","plainCitation":"(IPCC, 2019)","noteIndex":0},"citationItems":[{"id":54420,"uris":["http://zotero.org/groups/2352922/items/5G69CF9B"],"itemData":{"id":54420,"type":"post-weblog","title":"Changing Ocean, Marine Ecosystems, and Dependent Communities — Special Report on the Ocean and Cryosphere in a Changing Climate","title-short":"Chapter 5","URL":"https://www.ipcc.ch/srocc/chapter/chapter-5/","author":[{"literal":"IPCC"}],"accessed":{"date-parts":[["2023",2,7]]},"issued":{"date-parts":[["2019"]]}},"label":"page"}],"schema":"https://github.com/citation-style-language/schema/raw/master/csl-citation.json"} </w:instrText>
      </w:r>
      <w:r w:rsidR="45E759DB" w:rsidRPr="5575EBFC">
        <w:rPr>
          <w:lang w:val="en-GB"/>
        </w:rPr>
        <w:fldChar w:fldCharType="separate"/>
      </w:r>
      <w:r w:rsidR="6B5F9B9E">
        <w:t>(IPCC, 2019)</w:t>
      </w:r>
      <w:r w:rsidR="45E759DB" w:rsidRPr="5575EBFC">
        <w:rPr>
          <w:lang w:val="en-GB"/>
        </w:rPr>
        <w:fldChar w:fldCharType="end"/>
      </w:r>
      <w:r w:rsidR="577089DF" w:rsidRPr="5575EBFC">
        <w:rPr>
          <w:lang w:val="en-GB"/>
        </w:rPr>
        <w:t xml:space="preserve">. </w:t>
      </w:r>
      <w:r w:rsidR="68368095" w:rsidRPr="5575EBFC">
        <w:rPr>
          <w:lang w:val="en-GB"/>
        </w:rPr>
        <w:t xml:space="preserve">However, </w:t>
      </w:r>
      <w:r w:rsidR="11935CB3" w:rsidRPr="5575EBFC">
        <w:rPr>
          <w:lang w:val="en-GB"/>
        </w:rPr>
        <w:t xml:space="preserve">degradation </w:t>
      </w:r>
      <w:r w:rsidR="62FC752A" w:rsidRPr="5575EBFC">
        <w:rPr>
          <w:lang w:val="en-GB"/>
        </w:rPr>
        <w:t xml:space="preserve">and loss </w:t>
      </w:r>
      <w:r w:rsidR="11935CB3" w:rsidRPr="5575EBFC">
        <w:rPr>
          <w:lang w:val="en-GB"/>
        </w:rPr>
        <w:t xml:space="preserve">of natural habitats can </w:t>
      </w:r>
      <w:r w:rsidR="09586163" w:rsidRPr="5575EBFC">
        <w:rPr>
          <w:lang w:val="en-GB"/>
        </w:rPr>
        <w:t xml:space="preserve">occur with </w:t>
      </w:r>
      <w:r w:rsidR="0738E08C" w:rsidRPr="5575EBFC">
        <w:rPr>
          <w:lang w:val="en-GB"/>
        </w:rPr>
        <w:t xml:space="preserve">many </w:t>
      </w:r>
      <w:r w:rsidR="0857F26B" w:rsidRPr="5575EBFC">
        <w:rPr>
          <w:lang w:val="en-GB"/>
        </w:rPr>
        <w:t>sea-</w:t>
      </w:r>
      <w:r w:rsidR="0E89F05E" w:rsidRPr="5575EBFC">
        <w:rPr>
          <w:lang w:val="en-GB"/>
        </w:rPr>
        <w:t>uses</w:t>
      </w:r>
      <w:r w:rsidR="30BDB073" w:rsidRPr="5575EBFC">
        <w:rPr>
          <w:lang w:val="en-GB"/>
        </w:rPr>
        <w:t>,</w:t>
      </w:r>
      <w:r w:rsidR="0E89F05E" w:rsidRPr="5575EBFC">
        <w:rPr>
          <w:lang w:val="en-GB"/>
        </w:rPr>
        <w:t xml:space="preserve"> </w:t>
      </w:r>
      <w:r w:rsidR="05A27995" w:rsidRPr="5575EBFC">
        <w:rPr>
          <w:lang w:val="en-GB"/>
        </w:rPr>
        <w:t>incl</w:t>
      </w:r>
      <w:r w:rsidR="62FC752A" w:rsidRPr="5575EBFC">
        <w:rPr>
          <w:lang w:val="en-GB"/>
        </w:rPr>
        <w:t>ud</w:t>
      </w:r>
      <w:r w:rsidR="11935CB3" w:rsidRPr="5575EBFC">
        <w:rPr>
          <w:lang w:val="en-GB"/>
        </w:rPr>
        <w:t>ing</w:t>
      </w:r>
      <w:r w:rsidR="62FC752A" w:rsidRPr="5575EBFC">
        <w:rPr>
          <w:lang w:val="en-GB"/>
        </w:rPr>
        <w:t xml:space="preserve"> </w:t>
      </w:r>
      <w:r w:rsidR="284E40A8" w:rsidRPr="5575EBFC">
        <w:rPr>
          <w:lang w:val="en-GB"/>
        </w:rPr>
        <w:t xml:space="preserve">mining and mineral extraction, </w:t>
      </w:r>
      <w:r w:rsidR="4C8049F9" w:rsidRPr="5575EBFC">
        <w:rPr>
          <w:lang w:val="en-GB"/>
        </w:rPr>
        <w:t xml:space="preserve">coastal developments, </w:t>
      </w:r>
      <w:r w:rsidR="16C6186F" w:rsidRPr="5575EBFC">
        <w:rPr>
          <w:lang w:val="en-GB"/>
        </w:rPr>
        <w:t xml:space="preserve">land reclamation, </w:t>
      </w:r>
      <w:r w:rsidR="4C8049F9" w:rsidRPr="5575EBFC">
        <w:rPr>
          <w:lang w:val="en-GB"/>
        </w:rPr>
        <w:t>wind energy</w:t>
      </w:r>
      <w:r w:rsidR="009F7404">
        <w:rPr>
          <w:lang w:val="en-GB"/>
        </w:rPr>
        <w:t xml:space="preserve"> and</w:t>
      </w:r>
      <w:r w:rsidR="0738E08C" w:rsidRPr="5575EBFC">
        <w:rPr>
          <w:lang w:val="en-GB"/>
        </w:rPr>
        <w:t xml:space="preserve"> </w:t>
      </w:r>
      <w:r w:rsidR="4C8049F9" w:rsidRPr="5575EBFC">
        <w:rPr>
          <w:lang w:val="en-GB"/>
        </w:rPr>
        <w:t>recreation</w:t>
      </w:r>
      <w:r w:rsidR="0738E08C" w:rsidRPr="5575EBFC">
        <w:rPr>
          <w:lang w:val="en-GB"/>
        </w:rPr>
        <w:t>al</w:t>
      </w:r>
      <w:r w:rsidR="4C8049F9" w:rsidRPr="5575EBFC">
        <w:rPr>
          <w:lang w:val="en-GB"/>
        </w:rPr>
        <w:t xml:space="preserve"> </w:t>
      </w:r>
      <w:r w:rsidR="16C6186F" w:rsidRPr="5575EBFC">
        <w:rPr>
          <w:lang w:val="en-GB"/>
        </w:rPr>
        <w:t>aquaculture</w:t>
      </w:r>
      <w:r w:rsidR="62FC752A" w:rsidRPr="5575EBFC">
        <w:rPr>
          <w:lang w:val="en-GB"/>
        </w:rPr>
        <w:t xml:space="preserve"> </w:t>
      </w:r>
      <w:r w:rsidR="45E759DB" w:rsidRPr="5575EBFC">
        <w:rPr>
          <w:lang w:val="en-GB"/>
        </w:rPr>
        <w:fldChar w:fldCharType="begin"/>
      </w:r>
      <w:r w:rsidR="00331A79">
        <w:rPr>
          <w:lang w:val="en-GB"/>
        </w:rPr>
        <w:instrText xml:space="preserve"> ADDIN ZOTERO_ITEM CSL_CITATION {"citationID":"NIawNKUZ","properties":{"formattedCitation":"(Vrees, 2021)","plainCitation":"(Vrees, 2021)","noteIndex":0},"citationItems":[{"id":54423,"uris":["http://zotero.org/groups/2352922/items/YNTA76NZ"],"itemData":{"id":54423,"type":"article-journal","abstract":"The territorial waters and the EEZ of the Netherlands form a part of the southern North Sea. The area is intensely used and for several of these uses considerable growth is forecast. For years, industrial freedom and market forces prevailed during discussions on marine spatial planning in the Netherlands. But in 2005 it became clear that this might lead to increasing conflicts with the environment and between users. The introduction of a new spatial planning framework was in response to an increasing interest in new developments and a growing demand for governmental coordination of these developments. During the years after, societal demands changed rapidly, especially with regard to renewable energy and demand for sand to strengthen the coast. At a regular interval of 6 years, revised Marine Spatial Plans have been developed which are adapted to the new knowledge and experience acquired and the new societal demands. Each cycle has a strong stakeholder involvement, both informal and formal.","container-title":"Marine Policy","DOI":"10.1016/j.marpol.2019.01.007","ISSN":"0308-597X","journalAbbreviation":"Marine Policy","language":"en","page":"103418","source":"ScienceDirect","title":"Adaptive marine spatial planning in the Netherlands sector of the North Sea","URL":"https://www.sciencedirect.com/science/article/pii/S0308597X18304597","volume":"132","author":[{"family":"Vrees","given":"Leo","dropping-particle":"de"}],"accessed":{"date-parts":[["2023",2,7]]},"issued":{"date-parts":[["2021",10,1]]}},"label":"page"}],"schema":"https://github.com/citation-style-language/schema/raw/master/csl-citation.json"} </w:instrText>
      </w:r>
      <w:r w:rsidR="45E759DB" w:rsidRPr="5575EBFC">
        <w:rPr>
          <w:lang w:val="en-GB"/>
        </w:rPr>
        <w:fldChar w:fldCharType="separate"/>
      </w:r>
      <w:r w:rsidR="6B5F9B9E">
        <w:t>(Vrees, 2021)</w:t>
      </w:r>
      <w:r w:rsidR="45E759DB" w:rsidRPr="5575EBFC">
        <w:rPr>
          <w:lang w:val="en-GB"/>
        </w:rPr>
        <w:fldChar w:fldCharType="end"/>
      </w:r>
      <w:r w:rsidR="577089DF" w:rsidRPr="5575EBFC">
        <w:rPr>
          <w:lang w:val="en-GB"/>
        </w:rPr>
        <w:t xml:space="preserve">. </w:t>
      </w:r>
      <w:r w:rsidR="1F8E1DB8" w:rsidRPr="5575EBFC">
        <w:rPr>
          <w:lang w:val="en-GB"/>
        </w:rPr>
        <w:t xml:space="preserve">Some of these </w:t>
      </w:r>
      <w:r w:rsidR="7C6E37C4" w:rsidRPr="5575EBFC">
        <w:rPr>
          <w:lang w:val="en-GB"/>
        </w:rPr>
        <w:t>sea-</w:t>
      </w:r>
      <w:r w:rsidR="1F8E1DB8" w:rsidRPr="5575EBFC">
        <w:rPr>
          <w:lang w:val="en-GB"/>
        </w:rPr>
        <w:t xml:space="preserve">uses are anticipated to remain at a constant level </w:t>
      </w:r>
      <w:r w:rsidR="7C6E37C4" w:rsidRPr="5575EBFC">
        <w:rPr>
          <w:lang w:val="en-GB"/>
        </w:rPr>
        <w:t xml:space="preserve">but increases are </w:t>
      </w:r>
      <w:r w:rsidR="59CE1D7B" w:rsidRPr="5575EBFC">
        <w:rPr>
          <w:lang w:val="en-GB"/>
        </w:rPr>
        <w:t>forecast</w:t>
      </w:r>
      <w:r w:rsidR="7C6E37C4" w:rsidRPr="5575EBFC">
        <w:rPr>
          <w:lang w:val="en-GB"/>
        </w:rPr>
        <w:t xml:space="preserve"> </w:t>
      </w:r>
      <w:r w:rsidR="59CE1D7B" w:rsidRPr="5575EBFC">
        <w:rPr>
          <w:lang w:val="en-GB"/>
        </w:rPr>
        <w:t>for</w:t>
      </w:r>
      <w:r w:rsidR="28296BDA" w:rsidRPr="5575EBFC">
        <w:rPr>
          <w:lang w:val="en-GB"/>
        </w:rPr>
        <w:t xml:space="preserve"> others. F</w:t>
      </w:r>
      <w:r w:rsidR="06124827" w:rsidRPr="5575EBFC">
        <w:rPr>
          <w:lang w:val="en-GB"/>
        </w:rPr>
        <w:t xml:space="preserve">or example </w:t>
      </w:r>
      <w:r w:rsidR="621C5424" w:rsidRPr="5575EBFC">
        <w:rPr>
          <w:lang w:val="en-GB"/>
        </w:rPr>
        <w:t>in the North Sea</w:t>
      </w:r>
      <w:r w:rsidR="0BBE1E5D" w:rsidRPr="5575EBFC">
        <w:rPr>
          <w:lang w:val="en-GB"/>
        </w:rPr>
        <w:t>,</w:t>
      </w:r>
      <w:r w:rsidR="621C5424" w:rsidRPr="5575EBFC">
        <w:rPr>
          <w:lang w:val="en-GB"/>
        </w:rPr>
        <w:t xml:space="preserve"> </w:t>
      </w:r>
      <w:r w:rsidR="0689B8BF" w:rsidRPr="5575EBFC">
        <w:rPr>
          <w:lang w:val="en-GB"/>
        </w:rPr>
        <w:t>surface mineral extraction, water sport recreation, wind farms</w:t>
      </w:r>
      <w:r w:rsidR="009F7404">
        <w:rPr>
          <w:lang w:val="en-GB"/>
        </w:rPr>
        <w:t xml:space="preserve"> and</w:t>
      </w:r>
      <w:r w:rsidR="0689B8BF" w:rsidRPr="5575EBFC">
        <w:rPr>
          <w:lang w:val="en-GB"/>
        </w:rPr>
        <w:t xml:space="preserve"> possibly </w:t>
      </w:r>
      <w:hyperlink r:id="rId33">
        <w:r w:rsidR="0689B8BF" w:rsidRPr="5575EBFC">
          <w:rPr>
            <w:lang w:val="en-GB"/>
          </w:rPr>
          <w:t>mariculture</w:t>
        </w:r>
      </w:hyperlink>
      <w:r w:rsidR="0E618136" w:rsidRPr="5575EBFC">
        <w:rPr>
          <w:lang w:val="en-GB"/>
        </w:rPr>
        <w:t xml:space="preserve"> </w:t>
      </w:r>
      <w:r w:rsidR="28296BDA" w:rsidRPr="5575EBFC">
        <w:rPr>
          <w:lang w:val="en-GB"/>
        </w:rPr>
        <w:t xml:space="preserve">are all projected to increase </w:t>
      </w:r>
      <w:r w:rsidR="45E759DB" w:rsidRPr="5575EBFC">
        <w:rPr>
          <w:lang w:val="en-GB"/>
        </w:rPr>
        <w:fldChar w:fldCharType="begin"/>
      </w:r>
      <w:r w:rsidR="00331A79">
        <w:rPr>
          <w:lang w:val="en-GB"/>
        </w:rPr>
        <w:instrText xml:space="preserve"> ADDIN ZOTERO_ITEM CSL_CITATION {"citationID":"VFtF3ldX","properties":{"formattedCitation":"(Vrees, 2021)","plainCitation":"(Vrees, 2021)","noteIndex":0},"citationItems":[{"id":54423,"uris":["http://zotero.org/groups/2352922/items/YNTA76NZ"],"itemData":{"id":54423,"type":"article-journal","abstract":"The territorial waters and the EEZ of the Netherlands form a part of the southern North Sea. The area is intensely used and for several of these uses considerable growth is forecast. For years, industrial freedom and market forces prevailed during discussions on marine spatial planning in the Netherlands. But in 2005 it became clear that this might lead to increasing conflicts with the environment and between users. The introduction of a new spatial planning framework was in response to an increasing interest in new developments and a growing demand for governmental coordination of these developments. During the years after, societal demands changed rapidly, especially with regard to renewable energy and demand for sand to strengthen the coast. At a regular interval of 6 years, revised Marine Spatial Plans have been developed which are adapted to the new knowledge and experience acquired and the new societal demands. Each cycle has a strong stakeholder involvement, both informal and formal.","container-title":"Marine Policy","DOI":"10.1016/j.marpol.2019.01.007","ISSN":"0308-597X","journalAbbreviation":"Marine Policy","language":"en","page":"103418","source":"ScienceDirect","title":"Adaptive marine spatial planning in the Netherlands sector of the North Sea","URL":"https://www.sciencedirect.com/science/article/pii/S0308597X18304597","volume":"132","author":[{"family":"Vrees","given":"Leo","dropping-particle":"de"}],"accessed":{"date-parts":[["2023",2,7]]},"issued":{"date-parts":[["2021",10,1]]}},"label":"page"}],"schema":"https://github.com/citation-style-language/schema/raw/master/csl-citation.json"} </w:instrText>
      </w:r>
      <w:r w:rsidR="45E759DB" w:rsidRPr="5575EBFC">
        <w:rPr>
          <w:lang w:val="en-GB"/>
        </w:rPr>
        <w:fldChar w:fldCharType="separate"/>
      </w:r>
      <w:r w:rsidR="6B5F9B9E">
        <w:t>(Vrees, 2021)</w:t>
      </w:r>
      <w:r w:rsidR="45E759DB" w:rsidRPr="5575EBFC">
        <w:rPr>
          <w:lang w:val="en-GB"/>
        </w:rPr>
        <w:fldChar w:fldCharType="end"/>
      </w:r>
      <w:r w:rsidR="577089DF" w:rsidRPr="5575EBFC">
        <w:rPr>
          <w:lang w:val="en-GB"/>
        </w:rPr>
        <w:t xml:space="preserve">. </w:t>
      </w:r>
      <w:r w:rsidR="049298C6" w:rsidRPr="5575EBFC">
        <w:rPr>
          <w:lang w:val="en-GB"/>
        </w:rPr>
        <w:t>Land- and sea-use change stem from major economic (</w:t>
      </w:r>
      <w:r w:rsidR="049298C6" w:rsidRPr="5575EBFC">
        <w:rPr>
          <w:b/>
          <w:bCs/>
          <w:lang w:val="en-GB"/>
        </w:rPr>
        <w:t>section 3.2.</w:t>
      </w:r>
      <w:r w:rsidR="1E494905" w:rsidRPr="5575EBFC">
        <w:rPr>
          <w:b/>
          <w:bCs/>
          <w:lang w:val="en-GB"/>
        </w:rPr>
        <w:t>3</w:t>
      </w:r>
      <w:r w:rsidR="049298C6" w:rsidRPr="5575EBFC">
        <w:rPr>
          <w:lang w:val="en-GB"/>
        </w:rPr>
        <w:t>) and demographic (</w:t>
      </w:r>
      <w:r w:rsidR="049298C6" w:rsidRPr="5575EBFC">
        <w:rPr>
          <w:b/>
          <w:bCs/>
          <w:lang w:val="en-GB"/>
        </w:rPr>
        <w:t>section 3.2.</w:t>
      </w:r>
      <w:r w:rsidR="1E494905" w:rsidRPr="5575EBFC">
        <w:rPr>
          <w:b/>
          <w:bCs/>
          <w:lang w:val="en-GB"/>
        </w:rPr>
        <w:t>2</w:t>
      </w:r>
      <w:r w:rsidR="049298C6" w:rsidRPr="5575EBFC">
        <w:rPr>
          <w:lang w:val="en-GB"/>
        </w:rPr>
        <w:t xml:space="preserve">) indirect drivers. </w:t>
      </w:r>
    </w:p>
    <w:p w14:paraId="21ACF1D3" w14:textId="43180FF2" w:rsidR="00B77973" w:rsidRPr="00DA249F" w:rsidRDefault="224FFBE3" w:rsidP="00B77973">
      <w:pPr>
        <w:rPr>
          <w:rFonts w:eastAsia="游明朝"/>
          <w:lang w:val="en-GB"/>
        </w:rPr>
      </w:pPr>
      <w:r w:rsidRPr="5575EBFC">
        <w:rPr>
          <w:lang w:val="en-GB"/>
        </w:rPr>
        <w:t xml:space="preserve">According to </w:t>
      </w:r>
      <w:r w:rsidR="30BDB073" w:rsidRPr="5575EBFC">
        <w:rPr>
          <w:lang w:val="en-GB"/>
        </w:rPr>
        <w:t xml:space="preserve">some </w:t>
      </w:r>
      <w:r w:rsidRPr="5575EBFC">
        <w:rPr>
          <w:lang w:val="en-GB"/>
        </w:rPr>
        <w:t>Indigenous Peoples and local communities,</w:t>
      </w:r>
      <w:r w:rsidRPr="5575EBFC">
        <w:rPr>
          <w:b/>
          <w:bCs/>
          <w:lang w:val="en-GB"/>
        </w:rPr>
        <w:t xml:space="preserve"> </w:t>
      </w:r>
      <w:r w:rsidRPr="5575EBFC">
        <w:rPr>
          <w:lang w:val="en-GB"/>
        </w:rPr>
        <w:t>land-</w:t>
      </w:r>
      <w:r w:rsidRPr="5575EBFC">
        <w:rPr>
          <w:rFonts w:eastAsia="Times New Roman"/>
          <w:color w:val="000000" w:themeColor="text1"/>
          <w:lang w:val="en-GB"/>
        </w:rPr>
        <w:t xml:space="preserve"> and sea-use change is the main driver affecting the establishment and spread of invasive alien species on their lands and seas</w:t>
      </w:r>
      <w:r w:rsidR="5ADC2053" w:rsidRPr="5575EBFC">
        <w:rPr>
          <w:rFonts w:eastAsia="Times New Roman"/>
          <w:color w:val="000000" w:themeColor="text1"/>
          <w:lang w:val="en-GB"/>
        </w:rPr>
        <w:t xml:space="preserve"> (</w:t>
      </w:r>
      <w:r w:rsidR="5ADC2053" w:rsidRPr="5575EBFC">
        <w:rPr>
          <w:rFonts w:eastAsia="Times New Roman"/>
          <w:b/>
          <w:bCs/>
          <w:color w:val="000000" w:themeColor="text1"/>
          <w:lang w:val="en-GB"/>
        </w:rPr>
        <w:t>section 3.6.2</w:t>
      </w:r>
      <w:r w:rsidR="5ADC2053" w:rsidRPr="5575EBFC">
        <w:rPr>
          <w:rFonts w:eastAsia="Times New Roman"/>
          <w:color w:val="000000" w:themeColor="text1"/>
          <w:lang w:val="en-GB"/>
        </w:rPr>
        <w:t>,</w:t>
      </w:r>
      <w:r w:rsidR="5ADC2053" w:rsidRPr="5575EBFC">
        <w:rPr>
          <w:rFonts w:eastAsia="Times New Roman"/>
          <w:b/>
          <w:bCs/>
          <w:color w:val="000000" w:themeColor="text1"/>
          <w:lang w:val="en-GB"/>
        </w:rPr>
        <w:t xml:space="preserve"> </w:t>
      </w:r>
      <w:r w:rsidR="00E23B69">
        <w:rPr>
          <w:rFonts w:eastAsia="Times New Roman"/>
          <w:b/>
          <w:bCs/>
          <w:color w:val="000000" w:themeColor="text1"/>
          <w:lang w:val="en-GB"/>
        </w:rPr>
        <w:t>Box</w:t>
      </w:r>
      <w:r w:rsidR="5ADC2053" w:rsidRPr="5575EBFC">
        <w:rPr>
          <w:rFonts w:eastAsia="Times New Roman"/>
          <w:b/>
          <w:bCs/>
          <w:color w:val="000000" w:themeColor="text1"/>
          <w:lang w:val="en-GB"/>
        </w:rPr>
        <w:t xml:space="preserve"> 6.13</w:t>
      </w:r>
      <w:r w:rsidR="5ADC2053" w:rsidRPr="5575EBFC">
        <w:rPr>
          <w:rFonts w:eastAsia="Times New Roman"/>
          <w:color w:val="000000" w:themeColor="text1"/>
          <w:lang w:val="en-GB"/>
        </w:rPr>
        <w:t>)</w:t>
      </w:r>
      <w:r w:rsidRPr="5575EBFC">
        <w:rPr>
          <w:rFonts w:eastAsia="Times New Roman"/>
          <w:color w:val="000000" w:themeColor="text1"/>
          <w:lang w:val="en-GB"/>
        </w:rPr>
        <w:t>.</w:t>
      </w:r>
      <w:r w:rsidRPr="5575EBFC">
        <w:rPr>
          <w:lang w:val="en-GB"/>
        </w:rPr>
        <w:t xml:space="preserve"> A recent review of native and invasive alien plant, vertebrate and invertebrate biodiversity on islands revealed that number and abundance of alien species are generally higher in areas affected by land-use (plantation forests, agricultural or urban sites) as compared to native habitat (794 alien taxa</w:t>
      </w:r>
      <w:r w:rsidR="53744558" w:rsidRPr="5575EBFC">
        <w:rPr>
          <w:lang w:val="en-GB"/>
        </w:rPr>
        <w:t xml:space="preserve"> assessed</w:t>
      </w:r>
      <w:r w:rsidRPr="5575EBFC">
        <w:rPr>
          <w:lang w:val="en-GB"/>
        </w:rPr>
        <w:t>), whereas the opposite is the case for native biodiversity (5517 native taxa</w:t>
      </w:r>
      <w:r w:rsidR="53744558" w:rsidRPr="5575EBFC">
        <w:rPr>
          <w:lang w:val="en-GB"/>
        </w:rPr>
        <w:t xml:space="preserve"> assessed</w:t>
      </w:r>
      <w:r w:rsidRPr="5575EBFC">
        <w:rPr>
          <w:lang w:val="en-GB"/>
        </w:rPr>
        <w:t xml:space="preserve">; </w:t>
      </w:r>
      <w:r w:rsidR="00B77973" w:rsidRPr="5575EBFC">
        <w:rPr>
          <w:lang w:val="en-GB"/>
        </w:rPr>
        <w:fldChar w:fldCharType="begin"/>
      </w:r>
      <w:r w:rsidR="00331A79">
        <w:rPr>
          <w:lang w:val="en-GB"/>
        </w:rPr>
        <w:instrText xml:space="preserve"> ADDIN ZOTERO_ITEM CSL_CITATION {"citationID":"51K1lhmq","properties":{"formattedCitation":"(S\\uc0\\u225{}nchez-Ortiz et al., 2020)","plainCitation":"(Sánchez-Ortiz et al., 2020)","dontUpdate":true,"noteIndex":0},"citationItems":[{"id":33032,"uris":["http://zotero.org/groups/2352922/items/MCB4QRGU"],"itemData":{"id":33032,"type":"article-journal","abstract":"Island species and habitats are particularly vulnerable to human disturbances, and anthropogenic changes are increasingly overwriting natural island biogeographic patterns. However, quantitative comparisons of how native and alien assemblages respond to human disturbances are scarce. Using data from 6,242 species of vertebrates, invertebrates and plants, from 7,718 sites on 81 islands, we model how land-use change, human population density and distance to the nearest road affect local assemblages of alien and native species on islands. We found that land-use change reduces both richness and abundance of native species, whereas the number and abundance of alien species are high in plantation forests and agricultural or urban sites. In contrast to the long-established pattern for native species (i.e., decline in species number with island isolation), more isolated islands have more alien species across most land uses than do less isolated islands. We show that alien species play a major role in the turnover of island assemblages: our models show that aliens outnumber natives among the species present at disturbed sites but absent from minimally-disturbed primary vegetation. Finally, we found a homogenization pattern for both native and alien assemblages across sites within most land uses. The declines of native species on islands in the face of human pressures, and the particular proneness to invasions of the more remote islands, highlight the need to reduce the intensity of human pressures on islands and to prevent the introduction and establishment of alien species.","container-title":"PLoS ONE","DOI":"10.1371/journal.pone.0227169","ISSN":"1932-6203","issue":"12","journalAbbreviation":"PLOS ONE","language":"en","note":"number: 12\npublisher: Public Library of Science","page":"e0227169","source":"PLoS Journals","title":"Effects of land-use change and related pressures on alien and native subsets of island communities","URL":"https://journals.plos.org/plosone/article?id=10.1371/journal.pone.0227169","volume":"15","author":[{"family":"Sánchez-Ortiz","given":"Katia"},{"family":"Taylor","given":"Kara J. M."},{"family":"Palma","given":"Adriana De"},{"family":"Essl","given":"Franz"},{"family":"Dawson","given":"Wayne"},{"family":"Kreft","given":"Holger"},{"family":"Pergl","given":"Jan"},{"family":"Pyšek","given":"Petr"},{"family":"Kleunen","given":"Mark","dropping-particle":"van"},{"family":"Weigelt","given":"Patrick"},{"family":"Purvis","given":"Andy"}],"accessed":{"date-parts":[["2021",12,7]]},"issued":{"date-parts":[["2020",12,3]]}}}],"schema":"https://github.com/citation-style-language/schema/raw/master/csl-citation.json"} </w:instrText>
      </w:r>
      <w:r w:rsidR="00B77973" w:rsidRPr="5575EBFC">
        <w:rPr>
          <w:lang w:val="en-GB"/>
        </w:rPr>
        <w:fldChar w:fldCharType="separate"/>
      </w:r>
      <w:r w:rsidRPr="5575EBFC">
        <w:rPr>
          <w:lang w:val="en-GB"/>
        </w:rPr>
        <w:t>Sánchez-Ortiz et al., 2020)</w:t>
      </w:r>
      <w:r w:rsidR="00B77973" w:rsidRPr="5575EBFC">
        <w:rPr>
          <w:lang w:val="en-GB"/>
        </w:rPr>
        <w:fldChar w:fldCharType="end"/>
      </w:r>
      <w:r w:rsidRPr="5575EBFC">
        <w:rPr>
          <w:lang w:val="en-GB"/>
        </w:rPr>
        <w:t xml:space="preserve">. Habitat fragmentation and agricultural intensification </w:t>
      </w:r>
      <w:r w:rsidR="7461E316" w:rsidRPr="5575EBFC">
        <w:rPr>
          <w:lang w:val="en-GB"/>
        </w:rPr>
        <w:t xml:space="preserve">were found to be </w:t>
      </w:r>
      <w:r w:rsidRPr="5575EBFC">
        <w:rPr>
          <w:lang w:val="en-GB"/>
        </w:rPr>
        <w:t xml:space="preserve">the most commonly studied drivers </w:t>
      </w:r>
      <w:r w:rsidR="5D6A2624" w:rsidRPr="5575EBFC">
        <w:rPr>
          <w:lang w:val="en-GB"/>
        </w:rPr>
        <w:t xml:space="preserve">facilitating </w:t>
      </w:r>
      <w:r w:rsidRPr="5575EBFC">
        <w:rPr>
          <w:lang w:val="en-GB"/>
        </w:rPr>
        <w:t>plant invasions in a review by</w:t>
      </w:r>
      <w:r w:rsidR="25A229F3" w:rsidRPr="5575EBFC">
        <w:rPr>
          <w:lang w:val="en-GB"/>
        </w:rPr>
        <w:t xml:space="preserve"> Vilà &amp; Ibáñez</w:t>
      </w:r>
      <w:r w:rsidRPr="5575EBFC">
        <w:rPr>
          <w:lang w:val="en-GB"/>
        </w:rPr>
        <w:t xml:space="preserve"> </w:t>
      </w:r>
      <w:r w:rsidR="00B77973" w:rsidRPr="5575EBFC">
        <w:rPr>
          <w:lang w:val="en-GB"/>
        </w:rPr>
        <w:fldChar w:fldCharType="begin"/>
      </w:r>
      <w:r w:rsidR="00331A79">
        <w:rPr>
          <w:lang w:val="en-GB"/>
        </w:rPr>
        <w:instrText xml:space="preserve"> ADDIN ZOTERO_ITEM CSL_CITATION {"citationID":"Rg1L28eR","properties":{"formattedCitation":"(2011)","plainCitation":"(2011)","noteIndex":0},"citationItems":[{"id":32871,"uris":["http://zotero.org/groups/2352922/items/UWVPQ6H9"],"itemData":{"id":32871,"type":"article-journal","container-title":"Landscape Ecology","DOI":"10.1007/s10980-011-9585-3","ISSN":"0921-2973, 1572-9761","issue":"4","journalAbbreviation":"Landscape Ecol","language":"en","note":"number: 4\ncontainer-title: Landscape Ecology","page":"461-472","source":"DOI.org (Crossref)","title":"Plant invasions in the landscape","URL":"http://link.springer.com/10.1007/s10980-011-9585-3","volume":"26","author":[{"family":"Vilà","given":"Montserrat"},{"family":"Ibáñez","given":"Inés"}],"accessed":{"date-parts":[["2019",12,5]]},"issued":{"date-parts":[["2011",4]]}},"label":"page","suppress-author":true}],"schema":"https://github.com/citation-style-language/schema/raw/master/csl-citation.json"} </w:instrText>
      </w:r>
      <w:r w:rsidR="00B77973" w:rsidRPr="5575EBFC">
        <w:rPr>
          <w:lang w:val="en-GB"/>
        </w:rPr>
        <w:fldChar w:fldCharType="separate"/>
      </w:r>
      <w:r w:rsidR="6B5F9B9E">
        <w:t>(2011)</w:t>
      </w:r>
      <w:r w:rsidR="00B77973" w:rsidRPr="5575EBFC">
        <w:rPr>
          <w:lang w:val="en-GB"/>
        </w:rPr>
        <w:fldChar w:fldCharType="end"/>
      </w:r>
      <w:r w:rsidRPr="5575EBFC">
        <w:rPr>
          <w:lang w:val="en-GB"/>
        </w:rPr>
        <w:t xml:space="preserve">, with few studies focusing on the roles of habitat loss, land abandonment and afforestation. Land-use changes, in particular agricultural practices, are an important driver </w:t>
      </w:r>
      <w:r w:rsidR="4AAA245C" w:rsidRPr="5575EBFC">
        <w:rPr>
          <w:lang w:val="en-GB"/>
        </w:rPr>
        <w:t xml:space="preserve">facilitating </w:t>
      </w:r>
      <w:r w:rsidRPr="5575EBFC">
        <w:rPr>
          <w:lang w:val="en-GB"/>
        </w:rPr>
        <w:t xml:space="preserve">the spread of fungal and bacterial plant pathogens </w:t>
      </w:r>
      <w:r w:rsidR="00B77973" w:rsidRPr="5575EBFC">
        <w:rPr>
          <w:lang w:val="en-GB"/>
        </w:rPr>
        <w:fldChar w:fldCharType="begin"/>
      </w:r>
      <w:r w:rsidR="00331A79">
        <w:rPr>
          <w:lang w:val="en-GB"/>
        </w:rPr>
        <w:instrText xml:space="preserve"> ADDIN ZOTERO_ITEM CSL_CITATION {"citationID":"04muxTpa","properties":{"formattedCitation":"(P. K. Anderson et al., 2004)","plainCitation":"(P. K. Anderson et al., 2004)","dontUpdate":true,"noteIndex":0},"citationItems":[{"id":32795,"uris":["http://zotero.org/groups/2352922/items/L4XXRST6"],"itemData":{"id":32795,"type":"article-journal","container-title":"Trends in Ecology &amp; Evolution","DOI":"10.1016/j.tree.2004.07.021","ISSN":"01695347","issue":"10","journalAbbreviation":"Trends in Ecology &amp; Evolution","language":"en","page":"535-544","source":"DOI.org (Crossref)","title":"Emerging infectious diseases of plants: pathogen pollution, climate change and agrotechnology drivers","title-short":"Emerging infectious diseases of plants","URL":"https://linkinghub.elsevier.com/retrieve/pii/S0169534704002186","volume":"19","author":[{"family":"Anderson","given":"Pamela K."},{"family":"Cunningham","given":"Andrew A."},{"family":"Patel","given":"Nikkita G."},{"family":"Morales","given":"Francisco J."},{"family":"Epstein","given":"Paul R."},{"family":"Daszak","given":"Peter"}],"accessed":{"date-parts":[["2021",7,8]]},"issued":{"date-parts":[["2004",10]]}}}],"schema":"https://github.com/citation-style-language/schema/raw/master/csl-citation.json"} </w:instrText>
      </w:r>
      <w:r w:rsidR="00B77973" w:rsidRPr="5575EBFC">
        <w:rPr>
          <w:lang w:val="en-GB"/>
        </w:rPr>
        <w:fldChar w:fldCharType="separate"/>
      </w:r>
      <w:r w:rsidRPr="5575EBFC">
        <w:rPr>
          <w:lang w:val="en-GB"/>
        </w:rPr>
        <w:t>(Anderson et al., 2004)</w:t>
      </w:r>
      <w:r w:rsidR="00B77973" w:rsidRPr="5575EBFC">
        <w:rPr>
          <w:lang w:val="en-GB"/>
        </w:rPr>
        <w:fldChar w:fldCharType="end"/>
      </w:r>
      <w:r w:rsidRPr="5575EBFC">
        <w:rPr>
          <w:lang w:val="en-GB"/>
        </w:rPr>
        <w:t xml:space="preserve">. Studies on alien pathogens tend to highlight their role within agricultural, horticultural or forestry systems, however, with less focus on spread to native systems </w:t>
      </w:r>
      <w:r w:rsidR="00B77973" w:rsidRPr="5575EBFC">
        <w:rPr>
          <w:lang w:val="en-GB"/>
        </w:rPr>
        <w:fldChar w:fldCharType="begin"/>
      </w:r>
      <w:r w:rsidR="00331A79">
        <w:rPr>
          <w:lang w:val="en-GB"/>
        </w:rPr>
        <w:instrText xml:space="preserve"> ADDIN ZOTERO_ITEM CSL_CITATION {"citationID":"ttTpb8vi","properties":{"formattedCitation":"(P. K. Anderson et al., 2004; Panzavolta et al., 2021)","plainCitation":"(P. K. Anderson et al., 2004; Panzavolta et al., 2021)","dontUpdate":true,"noteIndex":0},"citationItems":[{"id":32795,"uris":["http://zotero.org/groups/2352922/items/L4XXRST6"],"itemData":{"id":32795,"type":"article-journal","container-title":"Trends in Ecology &amp; Evolution","DOI":"10.1016/j.tree.2004.07.021","ISSN":"01695347","issue":"10","journalAbbreviation":"Trends in Ecology &amp; Evolution","language":"en","page":"535-544","source":"DOI.org (Crossref)","title":"Emerging infectious diseases of plants: pathogen pollution, climate change and agrotechnology drivers","title-short":"Emerging infectious diseases of plants","URL":"https://linkinghub.elsevier.com/retrieve/pii/S0169534704002186","volume":"19","author":[{"family":"Anderson","given":"Pamela K."},{"family":"Cunningham","given":"Andrew A."},{"family":"Patel","given":"Nikkita G."},{"family":"Morales","given":"Francisco J."},{"family":"Epstein","given":"Paul R."},{"family":"Daszak","given":"Peter"}],"accessed":{"date-parts":[["2021",7,8]]},"issued":{"date-parts":[["2004",10]]}},"label":"page"},{"id":32706,"uris":["http://zotero.org/groups/2352922/items/576K27R6"],"itemData":{"id":32706,"type":"article-journal","abstract":"Forest health worldwide is impacted by many invasive alien pathogens and pests (IAPPs) that cause significant harm, with severe economic losses and environmental alterations. Destructive tree pathogens and pests have in the past devastated our forests, natural landscapes and cityscapes and still continue to represent a serious threat. The main driver of pathogen and pest invasions is human activities, above all global trade, which allows these invasive species to overstep their natural distribution ranges. While natural transport occurs according to a regular, expected colonization pattern (based on the dispersive capacity of the organism), human-mediated transport takes place on a larger, unpredictable scale. In order for a pathogen or pest species to become invasive in a new territory it must overcome distinct stages (barriers) that strongly affect the outcome of the invasion. Early detection is crucial to enabling successful eradication and containment. Although sophisticated diagnostic techniques are now available for disease and pest surveillance and monitoring, few control and mitigation options are usable in forestry; of these, biological control is one of the most frequently adopted. Since invasion by pathogens and pests is an economic and ecological problem of supranational relevance, governments should endorse all necessary preventive and corrective actions. To this end, establishing and harmonizing measures among countries is essential, both for preventing new introductions and for diminishing the eventual range expansion of IAPPs present at a local scale. Research is fundamental for: (i) developing effective and rapid diagnostic tools; (ii) investigating the epidemiology and ecology of IAPPs in newly introduced areas; and (iii) supporting policymakers in the implementation of quarantine regulations.","container-title":"Forests","DOI":"10.3390/f12101364","issue":"10","language":"en","license":"http://creativecommons.org/licenses/by/3.0/","note":"number: 10\npublisher: Multidisciplinary Digital Publishing Institute","page":"1364","source":"www.mdpi.com","title":"Alien Invasive Pathogens and Pests Harming Trees, Forests, and Plantations: Pathways, Global Consequences and Management","title-short":"Alien Invasive Pathogens and Pests Harming Trees, Forests, and Plantations","URL":"https://www.mdpi.com/1999-4907/12/10/1364","volume":"12","author":[{"family":"Panzavolta","given":"Tiziana"},{"family":"Bracalini","given":"Matteo"},{"family":"Benigno","given":"Alessandra"},{"family":"Moricca","given":"Salvatore"}],"accessed":{"date-parts":[["2021",12,10]]},"issued":{"date-parts":[["2021",10]]}},"label":"page"}],"schema":"https://github.com/citation-style-language/schema/raw/master/csl-citation.json"} </w:instrText>
      </w:r>
      <w:r w:rsidR="00B77973" w:rsidRPr="5575EBFC">
        <w:rPr>
          <w:lang w:val="en-GB"/>
        </w:rPr>
        <w:fldChar w:fldCharType="separate"/>
      </w:r>
      <w:r w:rsidRPr="5575EBFC">
        <w:rPr>
          <w:lang w:val="en-GB"/>
        </w:rPr>
        <w:t>(Anderson et al., 2004; Panzavolta et al., 2021)</w:t>
      </w:r>
      <w:r w:rsidR="00B77973" w:rsidRPr="5575EBFC">
        <w:rPr>
          <w:lang w:val="en-GB"/>
        </w:rPr>
        <w:fldChar w:fldCharType="end"/>
      </w:r>
      <w:r w:rsidRPr="5575EBFC">
        <w:rPr>
          <w:lang w:val="en-GB"/>
        </w:rPr>
        <w:t>.</w:t>
      </w:r>
    </w:p>
    <w:p w14:paraId="02C5FD2E" w14:textId="12797448" w:rsidR="00165A2F" w:rsidRPr="00DA249F" w:rsidRDefault="29CFEBDD" w:rsidP="0090109B">
      <w:pPr>
        <w:rPr>
          <w:lang w:val="en-GB"/>
        </w:rPr>
      </w:pPr>
      <w:r w:rsidRPr="5575EBFC">
        <w:rPr>
          <w:lang w:val="en-GB"/>
        </w:rPr>
        <w:t>L</w:t>
      </w:r>
      <w:r w:rsidR="3D04D128" w:rsidRPr="5575EBFC">
        <w:rPr>
          <w:lang w:val="en-GB"/>
        </w:rPr>
        <w:t xml:space="preserve">and- and sea-use change can affect </w:t>
      </w:r>
      <w:r w:rsidR="7EA2C64F" w:rsidRPr="5575EBFC">
        <w:rPr>
          <w:lang w:val="en-GB"/>
        </w:rPr>
        <w:t xml:space="preserve">invasive alien species </w:t>
      </w:r>
      <w:r w:rsidR="4017B66F" w:rsidRPr="5575EBFC">
        <w:rPr>
          <w:lang w:val="en-GB"/>
        </w:rPr>
        <w:t>in two main ways</w:t>
      </w:r>
      <w:r w:rsidR="686B4DB9" w:rsidRPr="5575EBFC">
        <w:rPr>
          <w:lang w:val="en-GB"/>
        </w:rPr>
        <w:t>, f</w:t>
      </w:r>
      <w:r w:rsidR="4017B66F" w:rsidRPr="5575EBFC">
        <w:rPr>
          <w:lang w:val="en-GB"/>
        </w:rPr>
        <w:t xml:space="preserve">irstly, </w:t>
      </w:r>
      <w:r w:rsidR="686B4DB9" w:rsidRPr="5575EBFC">
        <w:rPr>
          <w:lang w:val="en-GB"/>
        </w:rPr>
        <w:t xml:space="preserve">by </w:t>
      </w:r>
      <w:r w:rsidR="12786E26" w:rsidRPr="5575EBFC">
        <w:rPr>
          <w:lang w:val="en-GB"/>
        </w:rPr>
        <w:t xml:space="preserve">directly </w:t>
      </w:r>
      <w:r w:rsidR="3D04D128" w:rsidRPr="5575EBFC">
        <w:rPr>
          <w:lang w:val="en-GB"/>
        </w:rPr>
        <w:t xml:space="preserve">increasing </w:t>
      </w:r>
      <w:r w:rsidR="12786E26" w:rsidRPr="5575EBFC">
        <w:rPr>
          <w:lang w:val="en-GB"/>
        </w:rPr>
        <w:t xml:space="preserve">the rate of </w:t>
      </w:r>
      <w:r w:rsidR="3D04D128" w:rsidRPr="5575EBFC">
        <w:rPr>
          <w:lang w:val="en-GB"/>
        </w:rPr>
        <w:t>introduction of alien species (</w:t>
      </w:r>
      <w:r w:rsidR="1D33F77C" w:rsidRPr="5575EBFC">
        <w:rPr>
          <w:b/>
          <w:bCs/>
          <w:lang w:val="en-GB"/>
        </w:rPr>
        <w:t xml:space="preserve">section </w:t>
      </w:r>
      <w:r w:rsidR="3D04D128" w:rsidRPr="5575EBFC">
        <w:rPr>
          <w:b/>
          <w:bCs/>
          <w:lang w:val="en-GB"/>
        </w:rPr>
        <w:t>3.3.1.1</w:t>
      </w:r>
      <w:r w:rsidR="3D04D128" w:rsidRPr="5575EBFC">
        <w:rPr>
          <w:lang w:val="en-GB"/>
        </w:rPr>
        <w:t xml:space="preserve">), either </w:t>
      </w:r>
      <w:r w:rsidR="3E24D2AB" w:rsidRPr="5575EBFC">
        <w:rPr>
          <w:lang w:val="en-GB"/>
        </w:rPr>
        <w:t>intentionally</w:t>
      </w:r>
      <w:r w:rsidR="3D04D128" w:rsidRPr="5575EBFC">
        <w:rPr>
          <w:lang w:val="en-GB"/>
        </w:rPr>
        <w:t xml:space="preserve"> </w:t>
      </w:r>
      <w:r w:rsidR="4D9B57C6" w:rsidRPr="5575EBFC">
        <w:rPr>
          <w:lang w:val="en-GB"/>
        </w:rPr>
        <w:t xml:space="preserve">(e.g., </w:t>
      </w:r>
      <w:r w:rsidR="3D04D128" w:rsidRPr="5575EBFC">
        <w:rPr>
          <w:lang w:val="en-GB"/>
        </w:rPr>
        <w:t>through the specific use of alien crops and livestock</w:t>
      </w:r>
      <w:r w:rsidR="4D9B57C6" w:rsidRPr="5575EBFC">
        <w:rPr>
          <w:lang w:val="en-GB"/>
        </w:rPr>
        <w:t>)</w:t>
      </w:r>
      <w:r w:rsidR="12786E26" w:rsidRPr="5575EBFC">
        <w:rPr>
          <w:lang w:val="en-GB"/>
        </w:rPr>
        <w:t>,</w:t>
      </w:r>
      <w:r w:rsidR="3D04D128" w:rsidRPr="5575EBFC">
        <w:rPr>
          <w:lang w:val="en-GB"/>
        </w:rPr>
        <w:t xml:space="preserve"> or </w:t>
      </w:r>
      <w:r w:rsidR="3DCA5662" w:rsidRPr="5575EBFC">
        <w:rPr>
          <w:lang w:val="en-GB"/>
        </w:rPr>
        <w:t xml:space="preserve">unintentionally </w:t>
      </w:r>
      <w:r w:rsidR="4D9B57C6" w:rsidRPr="5575EBFC">
        <w:rPr>
          <w:lang w:val="en-GB"/>
        </w:rPr>
        <w:t xml:space="preserve">(e.g., </w:t>
      </w:r>
      <w:r w:rsidR="3D04D128" w:rsidRPr="5575EBFC">
        <w:rPr>
          <w:lang w:val="en-GB"/>
        </w:rPr>
        <w:t xml:space="preserve">as contaminants of </w:t>
      </w:r>
      <w:r w:rsidR="3D04D128" w:rsidRPr="5575EBFC">
        <w:rPr>
          <w:lang w:val="en-GB"/>
        </w:rPr>
        <w:lastRenderedPageBreak/>
        <w:t>agricultural or aquacultural commodities</w:t>
      </w:r>
      <w:r w:rsidR="4D9B57C6" w:rsidRPr="5575EBFC">
        <w:rPr>
          <w:lang w:val="en-GB"/>
        </w:rPr>
        <w:t>)</w:t>
      </w:r>
      <w:r w:rsidR="3D04D128" w:rsidRPr="5575EBFC">
        <w:rPr>
          <w:lang w:val="en-GB"/>
        </w:rPr>
        <w:t xml:space="preserve">. Secondly, </w:t>
      </w:r>
      <w:r w:rsidR="4017B66F" w:rsidRPr="5575EBFC">
        <w:rPr>
          <w:lang w:val="en-GB"/>
        </w:rPr>
        <w:t xml:space="preserve">a variety of </w:t>
      </w:r>
      <w:r w:rsidR="3D04D128" w:rsidRPr="5575EBFC">
        <w:rPr>
          <w:lang w:val="en-GB"/>
        </w:rPr>
        <w:t xml:space="preserve">land- </w:t>
      </w:r>
      <w:r w:rsidR="62255F4D" w:rsidRPr="5575EBFC">
        <w:rPr>
          <w:lang w:val="en-GB"/>
        </w:rPr>
        <w:t xml:space="preserve">and sea-use </w:t>
      </w:r>
      <w:r w:rsidR="3D04D128" w:rsidRPr="5575EBFC">
        <w:rPr>
          <w:lang w:val="en-GB"/>
        </w:rPr>
        <w:t xml:space="preserve">change </w:t>
      </w:r>
      <w:r w:rsidR="6EE9ED66" w:rsidRPr="5575EBFC">
        <w:rPr>
          <w:lang w:val="en-GB"/>
        </w:rPr>
        <w:t xml:space="preserve">related </w:t>
      </w:r>
      <w:r w:rsidR="3D04D128" w:rsidRPr="5575EBFC">
        <w:rPr>
          <w:lang w:val="en-GB"/>
        </w:rPr>
        <w:t xml:space="preserve">processes increase the vulnerability of native ecosystems to </w:t>
      </w:r>
      <w:r w:rsidR="0FFBFAFF" w:rsidRPr="5575EBFC">
        <w:rPr>
          <w:lang w:val="en-GB"/>
        </w:rPr>
        <w:t>invasive alien species</w:t>
      </w:r>
      <w:r w:rsidR="375C58C9" w:rsidRPr="5575EBFC">
        <w:rPr>
          <w:lang w:val="en-GB"/>
        </w:rPr>
        <w:t xml:space="preserve"> </w:t>
      </w:r>
      <w:r w:rsidR="006A2C23" w:rsidRPr="5575EBFC">
        <w:rPr>
          <w:lang w:val="en-GB"/>
        </w:rPr>
        <w:fldChar w:fldCharType="begin"/>
      </w:r>
      <w:r w:rsidR="00331A79">
        <w:rPr>
          <w:lang w:val="en-GB"/>
        </w:rPr>
        <w:instrText xml:space="preserve"> ADDIN ZOTERO_ITEM CSL_CITATION {"citationID":"KTs66qkq","properties":{"formattedCitation":"(Vil\\uc0\\u224{} &amp; Ib\\uc0\\u225{}\\uc0\\u241{}ez, 2011)","plainCitation":"(Vilà &amp; Ibáñez, 2011)","noteIndex":0},"citationItems":[{"id":32871,"uris":["http://zotero.org/groups/2352922/items/UWVPQ6H9"],"itemData":{"id":32871,"type":"article-journal","container-title":"Landscape Ecology","DOI":"10.1007/s10980-011-9585-3","ISSN":"0921-2973, 1572-9761","issue":"4","journalAbbreviation":"Landscape Ecol","language":"en","note":"number: 4\ncontainer-title: Landscape Ecology","page":"461-472","source":"DOI.org (Crossref)","title":"Plant invasions in the landscape","URL":"http://link.springer.com/10.1007/s10980-011-9585-3","volume":"26","author":[{"family":"Vilà","given":"Montserrat"},{"family":"Ibáñez","given":"Inés"}],"accessed":{"date-parts":[["2019",12,5]]},"issued":{"date-parts":[["2011",4]]}}}],"schema":"https://github.com/citation-style-language/schema/raw/master/csl-citation.json"} </w:instrText>
      </w:r>
      <w:r w:rsidR="006A2C23" w:rsidRPr="5575EBFC">
        <w:rPr>
          <w:lang w:val="en-GB"/>
        </w:rPr>
        <w:fldChar w:fldCharType="separate"/>
      </w:r>
      <w:r w:rsidR="6B5F9B9E">
        <w:t>(Vilà &amp; Ibáñez, 2011)</w:t>
      </w:r>
      <w:r w:rsidR="006A2C23" w:rsidRPr="5575EBFC">
        <w:rPr>
          <w:lang w:val="en-GB"/>
        </w:rPr>
        <w:fldChar w:fldCharType="end"/>
      </w:r>
      <w:r w:rsidR="36592DD6" w:rsidRPr="5575EBFC">
        <w:rPr>
          <w:lang w:val="en-GB"/>
        </w:rPr>
        <w:t>, including habitat fragmentation (</w:t>
      </w:r>
      <w:r w:rsidR="1D33F77C" w:rsidRPr="5575EBFC">
        <w:rPr>
          <w:b/>
          <w:bCs/>
          <w:lang w:val="en-GB"/>
        </w:rPr>
        <w:t xml:space="preserve">section </w:t>
      </w:r>
      <w:r w:rsidR="36592DD6" w:rsidRPr="5575EBFC">
        <w:rPr>
          <w:b/>
          <w:bCs/>
          <w:lang w:val="en-GB"/>
        </w:rPr>
        <w:t>3.3.1.2</w:t>
      </w:r>
      <w:r w:rsidR="36592DD6" w:rsidRPr="5575EBFC">
        <w:rPr>
          <w:lang w:val="en-GB"/>
        </w:rPr>
        <w:t xml:space="preserve">), establishment of corridors </w:t>
      </w:r>
      <w:r w:rsidR="49190ED7" w:rsidRPr="5575EBFC">
        <w:rPr>
          <w:lang w:val="en-GB"/>
        </w:rPr>
        <w:t xml:space="preserve">of disturbed habitat </w:t>
      </w:r>
      <w:r w:rsidR="36592DD6" w:rsidRPr="5575EBFC">
        <w:rPr>
          <w:lang w:val="en-GB"/>
        </w:rPr>
        <w:t>through which alien species can spread (</w:t>
      </w:r>
      <w:r w:rsidR="1D33F77C" w:rsidRPr="5575EBFC">
        <w:rPr>
          <w:b/>
          <w:bCs/>
          <w:lang w:val="en-GB"/>
        </w:rPr>
        <w:t xml:space="preserve">section </w:t>
      </w:r>
      <w:r w:rsidR="36592DD6" w:rsidRPr="5575EBFC">
        <w:rPr>
          <w:b/>
          <w:bCs/>
          <w:lang w:val="en-GB"/>
        </w:rPr>
        <w:t>3.3.1.3</w:t>
      </w:r>
      <w:r w:rsidR="36592DD6" w:rsidRPr="5575EBFC">
        <w:rPr>
          <w:lang w:val="en-GB"/>
        </w:rPr>
        <w:t>), deployment of infrastructure (</w:t>
      </w:r>
      <w:r w:rsidR="1D33F77C" w:rsidRPr="5575EBFC">
        <w:rPr>
          <w:b/>
          <w:bCs/>
          <w:lang w:val="en-GB"/>
        </w:rPr>
        <w:t xml:space="preserve">section </w:t>
      </w:r>
      <w:r w:rsidR="36592DD6" w:rsidRPr="5575EBFC">
        <w:rPr>
          <w:b/>
          <w:bCs/>
          <w:lang w:val="en-GB"/>
        </w:rPr>
        <w:t>3.3.1.4</w:t>
      </w:r>
      <w:r w:rsidR="36592DD6" w:rsidRPr="5575EBFC">
        <w:rPr>
          <w:lang w:val="en-GB"/>
        </w:rPr>
        <w:t xml:space="preserve">), </w:t>
      </w:r>
      <w:r w:rsidR="1621D5AD" w:rsidRPr="5575EBFC">
        <w:rPr>
          <w:lang w:val="en-GB"/>
        </w:rPr>
        <w:t>altering disturbance regimes (</w:t>
      </w:r>
      <w:r w:rsidR="1D33F77C" w:rsidRPr="5575EBFC">
        <w:rPr>
          <w:b/>
          <w:bCs/>
          <w:lang w:val="en-GB"/>
        </w:rPr>
        <w:t xml:space="preserve">section </w:t>
      </w:r>
      <w:r w:rsidR="1621D5AD" w:rsidRPr="5575EBFC">
        <w:rPr>
          <w:b/>
          <w:bCs/>
          <w:lang w:val="en-GB"/>
        </w:rPr>
        <w:t>3.3.1.5</w:t>
      </w:r>
      <w:r w:rsidR="1621D5AD" w:rsidRPr="5575EBFC">
        <w:rPr>
          <w:lang w:val="en-GB"/>
        </w:rPr>
        <w:t xml:space="preserve">), or other forms of anthropogenic </w:t>
      </w:r>
      <w:r w:rsidR="36592DD6" w:rsidRPr="5575EBFC">
        <w:rPr>
          <w:lang w:val="en-GB"/>
        </w:rPr>
        <w:t>landscape</w:t>
      </w:r>
      <w:r w:rsidR="1621D5AD" w:rsidRPr="5575EBFC">
        <w:rPr>
          <w:lang w:val="en-GB"/>
        </w:rPr>
        <w:t xml:space="preserve"> degradation</w:t>
      </w:r>
      <w:r w:rsidR="36592DD6" w:rsidRPr="5575EBFC">
        <w:rPr>
          <w:lang w:val="en-GB"/>
        </w:rPr>
        <w:t xml:space="preserve"> (</w:t>
      </w:r>
      <w:r w:rsidR="1D33F77C" w:rsidRPr="5575EBFC">
        <w:rPr>
          <w:b/>
          <w:bCs/>
          <w:lang w:val="en-GB"/>
        </w:rPr>
        <w:t xml:space="preserve">section </w:t>
      </w:r>
      <w:r w:rsidR="36592DD6" w:rsidRPr="5575EBFC">
        <w:rPr>
          <w:b/>
          <w:bCs/>
          <w:lang w:val="en-GB"/>
        </w:rPr>
        <w:t>3.3.1.</w:t>
      </w:r>
      <w:r w:rsidR="1621D5AD" w:rsidRPr="5575EBFC">
        <w:rPr>
          <w:b/>
          <w:bCs/>
          <w:lang w:val="en-GB"/>
        </w:rPr>
        <w:t>6</w:t>
      </w:r>
      <w:r w:rsidR="36592DD6" w:rsidRPr="5575EBFC">
        <w:rPr>
          <w:lang w:val="en-GB"/>
        </w:rPr>
        <w:t>)</w:t>
      </w:r>
      <w:r w:rsidR="1621D5AD" w:rsidRPr="5575EBFC">
        <w:rPr>
          <w:lang w:val="en-GB"/>
        </w:rPr>
        <w:t>.</w:t>
      </w:r>
      <w:r w:rsidR="36592DD6" w:rsidRPr="5575EBFC">
        <w:rPr>
          <w:lang w:val="en-GB"/>
        </w:rPr>
        <w:t xml:space="preserve"> </w:t>
      </w:r>
      <w:r w:rsidR="36592DD6" w:rsidRPr="009B3E7F">
        <w:rPr>
          <w:b/>
          <w:lang w:val="en-GB"/>
        </w:rPr>
        <w:t>Section 3.3.1</w:t>
      </w:r>
      <w:r w:rsidR="36592DD6" w:rsidRPr="5575EBFC">
        <w:rPr>
          <w:lang w:val="en-GB"/>
        </w:rPr>
        <w:t xml:space="preserve"> thus describes evidence for links between specific land- and sea-use </w:t>
      </w:r>
      <w:r w:rsidR="426316D7" w:rsidRPr="5575EBFC">
        <w:rPr>
          <w:lang w:val="en-GB"/>
        </w:rPr>
        <w:t xml:space="preserve">change </w:t>
      </w:r>
      <w:r w:rsidR="36592DD6" w:rsidRPr="5575EBFC">
        <w:rPr>
          <w:lang w:val="en-GB"/>
        </w:rPr>
        <w:t xml:space="preserve">drivers and </w:t>
      </w:r>
      <w:r w:rsidR="4A3D3606" w:rsidRPr="5575EBFC">
        <w:rPr>
          <w:lang w:val="en-GB"/>
        </w:rPr>
        <w:t xml:space="preserve">invasive alien species </w:t>
      </w:r>
      <w:r w:rsidR="5B21AD21" w:rsidRPr="5575EBFC">
        <w:rPr>
          <w:lang w:val="en-GB"/>
        </w:rPr>
        <w:t>(</w:t>
      </w:r>
      <w:r w:rsidR="00DC2990">
        <w:rPr>
          <w:b/>
          <w:bCs/>
          <w:lang w:val="en-GB"/>
        </w:rPr>
        <w:t>Figure</w:t>
      </w:r>
      <w:r w:rsidR="56CA5029" w:rsidRPr="5575EBFC">
        <w:rPr>
          <w:b/>
          <w:bCs/>
          <w:lang w:val="en-GB"/>
        </w:rPr>
        <w:t xml:space="preserve"> 3.15</w:t>
      </w:r>
      <w:r w:rsidR="5B21AD21" w:rsidRPr="5575EBFC">
        <w:rPr>
          <w:lang w:val="en-GB"/>
        </w:rPr>
        <w:t>)</w:t>
      </w:r>
      <w:r w:rsidR="36592DD6" w:rsidRPr="5575EBFC">
        <w:rPr>
          <w:lang w:val="en-GB"/>
        </w:rPr>
        <w:t xml:space="preserve">, </w:t>
      </w:r>
      <w:r w:rsidR="22E3564A" w:rsidRPr="5575EBFC">
        <w:rPr>
          <w:lang w:val="en-GB"/>
        </w:rPr>
        <w:t xml:space="preserve">and makes </w:t>
      </w:r>
      <w:r w:rsidR="36592DD6" w:rsidRPr="5575EBFC">
        <w:rPr>
          <w:lang w:val="en-GB"/>
        </w:rPr>
        <w:t>reference made to other indirect and direct drivers when relevant</w:t>
      </w:r>
      <w:r w:rsidR="22E3564A" w:rsidRPr="5575EBFC">
        <w:rPr>
          <w:lang w:val="en-GB"/>
        </w:rPr>
        <w:t>.</w:t>
      </w:r>
      <w:r w:rsidR="00BC3E6B">
        <w:rPr>
          <w:lang w:val="en-GB"/>
        </w:rPr>
        <w:t xml:space="preserve"> </w:t>
      </w:r>
      <w:r w:rsidR="22E3564A" w:rsidRPr="5575EBFC">
        <w:rPr>
          <w:lang w:val="en-GB"/>
        </w:rPr>
        <w:t>T</w:t>
      </w:r>
      <w:r w:rsidR="36592DD6" w:rsidRPr="5575EBFC">
        <w:rPr>
          <w:lang w:val="en-GB"/>
        </w:rPr>
        <w:t>he demogr</w:t>
      </w:r>
      <w:r w:rsidR="62B8D094" w:rsidRPr="5575EBFC">
        <w:rPr>
          <w:lang w:val="en-GB"/>
        </w:rPr>
        <w:t xml:space="preserve">aphic and economic </w:t>
      </w:r>
      <w:r w:rsidR="7097B90F" w:rsidRPr="5575EBFC">
        <w:rPr>
          <w:lang w:val="en-GB"/>
        </w:rPr>
        <w:t>indirect drivers behind</w:t>
      </w:r>
      <w:r w:rsidR="36592DD6" w:rsidRPr="5575EBFC">
        <w:rPr>
          <w:lang w:val="en-GB"/>
        </w:rPr>
        <w:t xml:space="preserve"> these </w:t>
      </w:r>
      <w:r w:rsidR="365BC419" w:rsidRPr="5575EBFC">
        <w:rPr>
          <w:lang w:val="en-GB"/>
        </w:rPr>
        <w:t>land</w:t>
      </w:r>
      <w:r w:rsidR="73FF60E7" w:rsidRPr="5575EBFC">
        <w:rPr>
          <w:lang w:val="en-GB"/>
        </w:rPr>
        <w:t>-</w:t>
      </w:r>
      <w:r w:rsidR="365BC419" w:rsidRPr="5575EBFC">
        <w:rPr>
          <w:lang w:val="en-GB"/>
        </w:rPr>
        <w:t xml:space="preserve"> and sea</w:t>
      </w:r>
      <w:r w:rsidR="73FF60E7" w:rsidRPr="5575EBFC">
        <w:rPr>
          <w:lang w:val="en-GB"/>
        </w:rPr>
        <w:t>-</w:t>
      </w:r>
      <w:r w:rsidR="365BC419" w:rsidRPr="5575EBFC">
        <w:rPr>
          <w:lang w:val="en-GB"/>
        </w:rPr>
        <w:t xml:space="preserve">use </w:t>
      </w:r>
      <w:r w:rsidR="52D5B1D2" w:rsidRPr="5575EBFC">
        <w:rPr>
          <w:lang w:val="en-GB"/>
        </w:rPr>
        <w:t>c</w:t>
      </w:r>
      <w:r w:rsidR="36592DD6" w:rsidRPr="5575EBFC">
        <w:rPr>
          <w:lang w:val="en-GB"/>
        </w:rPr>
        <w:t xml:space="preserve">hange are described in </w:t>
      </w:r>
      <w:r w:rsidR="36592DD6" w:rsidRPr="5575EBFC">
        <w:rPr>
          <w:b/>
          <w:bCs/>
          <w:lang w:val="en-GB"/>
        </w:rPr>
        <w:t>section 3.2</w:t>
      </w:r>
      <w:r w:rsidR="36592DD6" w:rsidRPr="5575EBFC">
        <w:rPr>
          <w:lang w:val="en-GB"/>
        </w:rPr>
        <w:t xml:space="preserve">. </w:t>
      </w:r>
    </w:p>
    <w:p w14:paraId="008E72CE" w14:textId="77777777" w:rsidR="00AF1856" w:rsidRPr="00DA249F" w:rsidRDefault="009F2D68" w:rsidP="0090109B">
      <w:pPr>
        <w:rPr>
          <w:lang w:val="en-GB"/>
        </w:rPr>
      </w:pPr>
      <w:r w:rsidRPr="009F2D68">
        <w:rPr>
          <w:noProof/>
          <w:lang w:val="en-GB"/>
        </w:rPr>
        <w:drawing>
          <wp:inline distT="0" distB="0" distL="0" distR="0" wp14:anchorId="1F4CC9BF" wp14:editId="29C49C68">
            <wp:extent cx="6115050" cy="2287905"/>
            <wp:effectExtent l="0" t="0" r="6350" b="0"/>
            <wp:docPr id="44" name="Picture 44" descr="A diagram of a variety of types of speci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44" descr="A diagram of a variety of types of species&#10;&#10;Description automatically generated with medium confidence"/>
                    <pic:cNvPicPr/>
                  </pic:nvPicPr>
                  <pic:blipFill>
                    <a:blip r:embed="rId34"/>
                    <a:stretch>
                      <a:fillRect/>
                    </a:stretch>
                  </pic:blipFill>
                  <pic:spPr>
                    <a:xfrm>
                      <a:off x="0" y="0"/>
                      <a:ext cx="6115050" cy="2287905"/>
                    </a:xfrm>
                    <a:prstGeom prst="rect">
                      <a:avLst/>
                    </a:prstGeom>
                    <a:ln>
                      <a:noFill/>
                    </a:ln>
                  </pic:spPr>
                </pic:pic>
              </a:graphicData>
            </a:graphic>
          </wp:inline>
        </w:drawing>
      </w:r>
    </w:p>
    <w:p w14:paraId="73D6F8F0" w14:textId="73403164" w:rsidR="008C1BF7" w:rsidRPr="00DA249F" w:rsidRDefault="43F2954A" w:rsidP="00C85F63">
      <w:pPr>
        <w:pStyle w:val="Caption"/>
        <w:rPr>
          <w:lang w:val="en-GB"/>
        </w:rPr>
      </w:pPr>
      <w:bookmarkStart w:id="149" w:name="_Ref104902573"/>
      <w:bookmarkStart w:id="150" w:name="_Toc147500900"/>
      <w:r w:rsidRPr="728F2DAF">
        <w:rPr>
          <w:lang w:val="en-GB"/>
        </w:rPr>
        <w:t>Figure</w:t>
      </w:r>
      <w:r w:rsidR="5AA69B6C" w:rsidRPr="728F2DAF">
        <w:rPr>
          <w:lang w:val="en-GB"/>
        </w:rPr>
        <w:t xml:space="preserve"> 3.</w:t>
      </w:r>
      <w:r w:rsidR="00AF1856" w:rsidRPr="728F2DAF">
        <w:rPr>
          <w:lang w:val="en-GB"/>
        </w:rPr>
        <w:fldChar w:fldCharType="begin"/>
      </w:r>
      <w:r w:rsidR="00AF1856" w:rsidRPr="728F2DAF">
        <w:rPr>
          <w:lang w:val="en-GB"/>
        </w:rPr>
        <w:instrText xml:space="preserve"> SEQ Figure_3. \* ARABIC </w:instrText>
      </w:r>
      <w:r w:rsidR="00AF1856" w:rsidRPr="728F2DAF">
        <w:rPr>
          <w:lang w:val="en-GB"/>
        </w:rPr>
        <w:fldChar w:fldCharType="separate"/>
      </w:r>
      <w:r w:rsidR="00287BC7">
        <w:rPr>
          <w:noProof/>
          <w:lang w:val="en-GB"/>
        </w:rPr>
        <w:t>15</w:t>
      </w:r>
      <w:r w:rsidR="00AF1856" w:rsidRPr="728F2DAF">
        <w:rPr>
          <w:lang w:val="en-GB"/>
        </w:rPr>
        <w:fldChar w:fldCharType="end"/>
      </w:r>
      <w:bookmarkEnd w:id="149"/>
      <w:r w:rsidR="7CE0AD6D" w:rsidRPr="728F2DAF">
        <w:rPr>
          <w:lang w:val="en-GB"/>
        </w:rPr>
        <w:t>.</w:t>
      </w:r>
      <w:r w:rsidRPr="728F2DAF">
        <w:rPr>
          <w:lang w:val="en-GB"/>
        </w:rPr>
        <w:t xml:space="preserve"> </w:t>
      </w:r>
      <w:r w:rsidR="137121DB" w:rsidRPr="728F2DAF">
        <w:rPr>
          <w:b w:val="0"/>
          <w:bCs w:val="0"/>
          <w:lang w:val="en-GB"/>
        </w:rPr>
        <w:t>Examples of t</w:t>
      </w:r>
      <w:r w:rsidRPr="728F2DAF">
        <w:rPr>
          <w:b w:val="0"/>
          <w:bCs w:val="0"/>
          <w:lang w:val="en-GB"/>
        </w:rPr>
        <w:t>he role of land</w:t>
      </w:r>
      <w:r w:rsidR="4871C878" w:rsidRPr="728F2DAF">
        <w:rPr>
          <w:b w:val="0"/>
          <w:bCs w:val="0"/>
          <w:lang w:val="en-GB"/>
        </w:rPr>
        <w:t>- and sea</w:t>
      </w:r>
      <w:r w:rsidRPr="728F2DAF">
        <w:rPr>
          <w:b w:val="0"/>
          <w:bCs w:val="0"/>
          <w:lang w:val="en-GB"/>
        </w:rPr>
        <w:t xml:space="preserve">-use change </w:t>
      </w:r>
      <w:r w:rsidR="3954A92F" w:rsidRPr="728F2DAF">
        <w:rPr>
          <w:b w:val="0"/>
          <w:bCs w:val="0"/>
          <w:lang w:val="en-GB"/>
        </w:rPr>
        <w:t>in facilitating</w:t>
      </w:r>
      <w:r w:rsidR="2B4B7D1A" w:rsidRPr="728F2DAF">
        <w:rPr>
          <w:b w:val="0"/>
          <w:bCs w:val="0"/>
          <w:lang w:val="en-GB"/>
        </w:rPr>
        <w:t xml:space="preserve"> </w:t>
      </w:r>
      <w:r w:rsidR="71B31002" w:rsidRPr="728F2DAF">
        <w:rPr>
          <w:b w:val="0"/>
          <w:bCs w:val="0"/>
          <w:lang w:val="en-GB"/>
        </w:rPr>
        <w:t>invasive alien species</w:t>
      </w:r>
      <w:r w:rsidR="3954A92F" w:rsidRPr="728F2DAF">
        <w:rPr>
          <w:b w:val="0"/>
          <w:bCs w:val="0"/>
          <w:lang w:val="en-GB"/>
        </w:rPr>
        <w:t xml:space="preserve"> across</w:t>
      </w:r>
      <w:r w:rsidR="2B4B7D1A" w:rsidRPr="728F2DAF">
        <w:rPr>
          <w:b w:val="0"/>
          <w:bCs w:val="0"/>
          <w:lang w:val="en-GB"/>
        </w:rPr>
        <w:t xml:space="preserve"> </w:t>
      </w:r>
      <w:r w:rsidR="6F41D4D4" w:rsidRPr="728F2DAF">
        <w:rPr>
          <w:b w:val="0"/>
          <w:bCs w:val="0"/>
          <w:lang w:val="en-GB"/>
        </w:rPr>
        <w:t xml:space="preserve">stages of the biological </w:t>
      </w:r>
      <w:r w:rsidRPr="728F2DAF">
        <w:rPr>
          <w:b w:val="0"/>
          <w:bCs w:val="0"/>
          <w:lang w:val="en-GB"/>
        </w:rPr>
        <w:t>invasion</w:t>
      </w:r>
      <w:r w:rsidR="7409E517" w:rsidRPr="728F2DAF">
        <w:rPr>
          <w:b w:val="0"/>
          <w:bCs w:val="0"/>
          <w:lang w:val="en-GB"/>
        </w:rPr>
        <w:t xml:space="preserve"> process</w:t>
      </w:r>
      <w:r w:rsidR="6C431690" w:rsidRPr="728F2DAF">
        <w:rPr>
          <w:b w:val="0"/>
          <w:bCs w:val="0"/>
          <w:lang w:val="en-GB"/>
        </w:rPr>
        <w:t>.</w:t>
      </w:r>
      <w:r w:rsidR="2B4B7D1A" w:rsidRPr="728F2DAF">
        <w:rPr>
          <w:lang w:val="en-GB"/>
        </w:rPr>
        <w:t xml:space="preserve"> </w:t>
      </w:r>
      <w:r w:rsidR="39C2583D" w:rsidRPr="728F2DAF">
        <w:rPr>
          <w:b w:val="0"/>
          <w:bCs w:val="0"/>
          <w:lang w:val="en-GB"/>
        </w:rPr>
        <w:t xml:space="preserve">Anthropogenic </w:t>
      </w:r>
      <w:r w:rsidR="672CDFC4" w:rsidRPr="728F2DAF">
        <w:rPr>
          <w:b w:val="0"/>
          <w:bCs w:val="0"/>
          <w:lang w:val="en-GB"/>
        </w:rPr>
        <w:t>corridors</w:t>
      </w:r>
      <w:r w:rsidR="39C2583D" w:rsidRPr="728F2DAF">
        <w:rPr>
          <w:b w:val="0"/>
          <w:bCs w:val="0"/>
          <w:lang w:val="en-GB"/>
        </w:rPr>
        <w:t xml:space="preserve"> </w:t>
      </w:r>
      <w:r w:rsidR="0C6DDEB1" w:rsidRPr="728F2DAF">
        <w:rPr>
          <w:b w:val="0"/>
          <w:bCs w:val="0"/>
          <w:lang w:val="en-GB"/>
        </w:rPr>
        <w:t xml:space="preserve">can </w:t>
      </w:r>
      <w:r w:rsidR="62252B2B" w:rsidRPr="728F2DAF">
        <w:rPr>
          <w:b w:val="0"/>
          <w:bCs w:val="0"/>
          <w:lang w:val="en-GB"/>
        </w:rPr>
        <w:t xml:space="preserve">facilitate </w:t>
      </w:r>
      <w:r w:rsidR="0C6DDEB1" w:rsidRPr="728F2DAF">
        <w:rPr>
          <w:b w:val="0"/>
          <w:bCs w:val="0"/>
          <w:lang w:val="en-GB"/>
        </w:rPr>
        <w:t xml:space="preserve">both the intentional and unintentional transport </w:t>
      </w:r>
      <w:r w:rsidR="68647E63" w:rsidRPr="728F2DAF">
        <w:rPr>
          <w:b w:val="0"/>
          <w:bCs w:val="0"/>
          <w:lang w:val="en-GB"/>
        </w:rPr>
        <w:t>o</w:t>
      </w:r>
      <w:r w:rsidR="5A1858B2" w:rsidRPr="728F2DAF">
        <w:rPr>
          <w:b w:val="0"/>
          <w:bCs w:val="0"/>
          <w:lang w:val="en-GB"/>
        </w:rPr>
        <w:t xml:space="preserve">f </w:t>
      </w:r>
      <w:r w:rsidR="7801E9F3" w:rsidRPr="728F2DAF">
        <w:rPr>
          <w:b w:val="0"/>
          <w:bCs w:val="0"/>
          <w:lang w:val="en-GB"/>
        </w:rPr>
        <w:t>invasive</w:t>
      </w:r>
      <w:r w:rsidR="5A1858B2" w:rsidRPr="728F2DAF">
        <w:rPr>
          <w:b w:val="0"/>
          <w:bCs w:val="0"/>
          <w:lang w:val="en-GB"/>
        </w:rPr>
        <w:t xml:space="preserve"> alien species</w:t>
      </w:r>
      <w:r w:rsidR="736FB381" w:rsidRPr="728F2DAF">
        <w:rPr>
          <w:b w:val="0"/>
          <w:bCs w:val="0"/>
          <w:lang w:val="en-GB"/>
        </w:rPr>
        <w:t xml:space="preserve">, </w:t>
      </w:r>
      <w:r w:rsidR="38284215" w:rsidRPr="728F2DAF">
        <w:rPr>
          <w:b w:val="0"/>
          <w:bCs w:val="0"/>
          <w:lang w:val="en-GB"/>
        </w:rPr>
        <w:t xml:space="preserve">primary industries </w:t>
      </w:r>
      <w:r w:rsidR="28B742EF" w:rsidRPr="728F2DAF">
        <w:rPr>
          <w:b w:val="0"/>
          <w:bCs w:val="0"/>
          <w:lang w:val="en-GB"/>
        </w:rPr>
        <w:t>can</w:t>
      </w:r>
      <w:r w:rsidR="140773B1" w:rsidRPr="728F2DAF">
        <w:rPr>
          <w:b w:val="0"/>
          <w:bCs w:val="0"/>
          <w:lang w:val="en-GB"/>
        </w:rPr>
        <w:t xml:space="preserve"> facilitate their introduction, </w:t>
      </w:r>
      <w:r w:rsidR="02C7A1CC" w:rsidRPr="728F2DAF">
        <w:rPr>
          <w:b w:val="0"/>
          <w:bCs w:val="0"/>
          <w:lang w:val="en-GB"/>
        </w:rPr>
        <w:t xml:space="preserve">and </w:t>
      </w:r>
      <w:r w:rsidR="140773B1" w:rsidRPr="728F2DAF">
        <w:rPr>
          <w:b w:val="0"/>
          <w:bCs w:val="0"/>
          <w:lang w:val="en-GB"/>
        </w:rPr>
        <w:t xml:space="preserve">disturbance </w:t>
      </w:r>
      <w:r w:rsidR="6E0EDAC3" w:rsidRPr="728F2DAF">
        <w:rPr>
          <w:b w:val="0"/>
          <w:bCs w:val="0"/>
          <w:lang w:val="en-GB"/>
        </w:rPr>
        <w:t xml:space="preserve">can facilitate their </w:t>
      </w:r>
      <w:r w:rsidR="4989E858" w:rsidRPr="728F2DAF">
        <w:rPr>
          <w:b w:val="0"/>
          <w:bCs w:val="0"/>
          <w:lang w:val="en-GB"/>
        </w:rPr>
        <w:t>establishment</w:t>
      </w:r>
      <w:r w:rsidR="6E0EDAC3" w:rsidRPr="728F2DAF">
        <w:rPr>
          <w:b w:val="0"/>
          <w:bCs w:val="0"/>
          <w:lang w:val="en-GB"/>
        </w:rPr>
        <w:t xml:space="preserve"> and spread.</w:t>
      </w:r>
      <w:bookmarkEnd w:id="150"/>
    </w:p>
    <w:p w14:paraId="1919178E" w14:textId="77777777" w:rsidR="008C1BF7" w:rsidRPr="00DA249F" w:rsidRDefault="008818D8" w:rsidP="004826A3">
      <w:pPr>
        <w:pStyle w:val="Heading3"/>
        <w:rPr>
          <w:lang w:val="en-GB"/>
        </w:rPr>
      </w:pPr>
      <w:bookmarkStart w:id="151" w:name="_Toc44317817"/>
      <w:r w:rsidRPr="00DA249F">
        <w:rPr>
          <w:lang w:val="en-GB"/>
        </w:rPr>
        <w:t xml:space="preserve">Intentional or </w:t>
      </w:r>
      <w:r w:rsidR="003E2727" w:rsidRPr="00DA249F">
        <w:rPr>
          <w:lang w:val="en-GB"/>
        </w:rPr>
        <w:t xml:space="preserve">unintentional </w:t>
      </w:r>
      <w:r w:rsidRPr="00DA249F">
        <w:rPr>
          <w:lang w:val="en-GB"/>
        </w:rPr>
        <w:t>introductions from the use of alien species</w:t>
      </w:r>
      <w:r w:rsidRPr="00DA249F" w:rsidDel="008818D8">
        <w:rPr>
          <w:lang w:val="en-GB"/>
        </w:rPr>
        <w:t xml:space="preserve"> </w:t>
      </w:r>
      <w:r w:rsidRPr="00DA249F">
        <w:rPr>
          <w:lang w:val="en-GB"/>
        </w:rPr>
        <w:t xml:space="preserve">in </w:t>
      </w:r>
      <w:r w:rsidR="00E103C8" w:rsidRPr="00DA249F">
        <w:rPr>
          <w:lang w:val="en-GB"/>
        </w:rPr>
        <w:t>terrestrial and marine biopr</w:t>
      </w:r>
      <w:r w:rsidR="00A81252" w:rsidRPr="00DA249F">
        <w:rPr>
          <w:lang w:val="en-GB"/>
        </w:rPr>
        <w:t>oduction systems</w:t>
      </w:r>
      <w:r w:rsidR="2095EB55" w:rsidRPr="00DA249F">
        <w:rPr>
          <w:lang w:val="en-GB"/>
        </w:rPr>
        <w:t xml:space="preserve"> </w:t>
      </w:r>
      <w:bookmarkEnd w:id="151"/>
    </w:p>
    <w:p w14:paraId="72A95981" w14:textId="3587465D" w:rsidR="007917A9" w:rsidRPr="00DA249F" w:rsidRDefault="000A6690" w:rsidP="7DBEC757">
      <w:pPr>
        <w:rPr>
          <w:rFonts w:eastAsia="DengXian"/>
          <w:lang w:val="en-GB"/>
        </w:rPr>
      </w:pPr>
      <w:r w:rsidRPr="00DA249F">
        <w:rPr>
          <w:lang w:val="en-GB"/>
        </w:rPr>
        <w:t xml:space="preserve">Industries </w:t>
      </w:r>
      <w:r w:rsidR="007917A9" w:rsidRPr="00DA249F">
        <w:rPr>
          <w:lang w:val="en-GB"/>
        </w:rPr>
        <w:t xml:space="preserve">based </w:t>
      </w:r>
      <w:r w:rsidRPr="00DA249F">
        <w:rPr>
          <w:lang w:val="en-GB"/>
        </w:rPr>
        <w:t xml:space="preserve">around </w:t>
      </w:r>
      <w:r w:rsidR="004176F6" w:rsidRPr="00DA249F">
        <w:rPr>
          <w:lang w:val="en-GB"/>
        </w:rPr>
        <w:t xml:space="preserve">the </w:t>
      </w:r>
      <w:r w:rsidR="000B756A" w:rsidRPr="00DA249F">
        <w:rPr>
          <w:lang w:val="en-GB"/>
        </w:rPr>
        <w:t xml:space="preserve">growth and </w:t>
      </w:r>
      <w:r w:rsidR="00930B90" w:rsidRPr="00DA249F">
        <w:rPr>
          <w:lang w:val="en-GB"/>
        </w:rPr>
        <w:t>harvest</w:t>
      </w:r>
      <w:r w:rsidR="000B756A" w:rsidRPr="00DA249F">
        <w:rPr>
          <w:lang w:val="en-GB"/>
        </w:rPr>
        <w:t xml:space="preserve"> of </w:t>
      </w:r>
      <w:r w:rsidR="00FA1EDE" w:rsidRPr="00DA249F">
        <w:rPr>
          <w:lang w:val="en-GB"/>
        </w:rPr>
        <w:t>bio</w:t>
      </w:r>
      <w:r w:rsidR="00BC7B9B" w:rsidRPr="00DA249F">
        <w:rPr>
          <w:lang w:val="en-GB"/>
        </w:rPr>
        <w:t>logical</w:t>
      </w:r>
      <w:r w:rsidR="007917A9" w:rsidRPr="00DA249F">
        <w:rPr>
          <w:lang w:val="en-GB"/>
        </w:rPr>
        <w:t xml:space="preserve"> resource</w:t>
      </w:r>
      <w:r w:rsidR="00FA1EDE" w:rsidRPr="00DA249F">
        <w:rPr>
          <w:lang w:val="en-GB"/>
        </w:rPr>
        <w:t>s,</w:t>
      </w:r>
      <w:r w:rsidR="000B756A" w:rsidRPr="00DA249F">
        <w:rPr>
          <w:lang w:val="en-GB"/>
        </w:rPr>
        <w:t xml:space="preserve"> </w:t>
      </w:r>
      <w:r w:rsidR="00BC7B9B" w:rsidRPr="00DA249F">
        <w:rPr>
          <w:lang w:val="en-GB"/>
        </w:rPr>
        <w:t>including</w:t>
      </w:r>
      <w:r w:rsidR="007917A9" w:rsidRPr="00DA249F">
        <w:rPr>
          <w:lang w:val="en-GB"/>
        </w:rPr>
        <w:t xml:space="preserve"> agriculture, </w:t>
      </w:r>
      <w:r w:rsidR="008D63A7" w:rsidRPr="00DA249F">
        <w:rPr>
          <w:lang w:val="en-GB"/>
        </w:rPr>
        <w:t>a</w:t>
      </w:r>
      <w:r w:rsidR="00510A6B" w:rsidRPr="00DA249F">
        <w:rPr>
          <w:lang w:val="en-GB"/>
        </w:rPr>
        <w:t>quaculture,</w:t>
      </w:r>
      <w:r w:rsidR="00B01FF1" w:rsidRPr="00DA249F">
        <w:rPr>
          <w:lang w:val="en-GB"/>
        </w:rPr>
        <w:t xml:space="preserve"> </w:t>
      </w:r>
      <w:r w:rsidR="007917A9" w:rsidRPr="00DA249F">
        <w:rPr>
          <w:lang w:val="en-GB"/>
        </w:rPr>
        <w:t>forestry</w:t>
      </w:r>
      <w:r w:rsidR="0064233D" w:rsidRPr="00DA249F">
        <w:rPr>
          <w:lang w:val="en-GB"/>
        </w:rPr>
        <w:t xml:space="preserve">, biofuel and carbon </w:t>
      </w:r>
      <w:r w:rsidR="00A74EC9" w:rsidRPr="00DA249F">
        <w:rPr>
          <w:lang w:val="en-GB"/>
        </w:rPr>
        <w:t xml:space="preserve">sequestration, </w:t>
      </w:r>
      <w:r w:rsidR="00045DEC" w:rsidRPr="00DA249F">
        <w:rPr>
          <w:lang w:val="en-GB"/>
        </w:rPr>
        <w:t>forage p</w:t>
      </w:r>
      <w:r w:rsidR="00F22BBF" w:rsidRPr="00DA249F">
        <w:rPr>
          <w:lang w:val="en-GB"/>
        </w:rPr>
        <w:t>ro</w:t>
      </w:r>
      <w:r w:rsidR="00045DEC" w:rsidRPr="00DA249F">
        <w:rPr>
          <w:lang w:val="en-GB"/>
        </w:rPr>
        <w:t>duction and agriculture</w:t>
      </w:r>
      <w:r w:rsidR="007917A9" w:rsidRPr="00DA249F">
        <w:rPr>
          <w:lang w:val="en-GB"/>
        </w:rPr>
        <w:t>, are a</w:t>
      </w:r>
      <w:r w:rsidR="00F72124" w:rsidRPr="00DA249F">
        <w:rPr>
          <w:lang w:val="en-GB"/>
        </w:rPr>
        <w:t>n</w:t>
      </w:r>
      <w:r w:rsidR="007917A9" w:rsidRPr="00DA249F">
        <w:rPr>
          <w:lang w:val="en-GB"/>
        </w:rPr>
        <w:t xml:space="preserve"> </w:t>
      </w:r>
      <w:r w:rsidR="00513061" w:rsidRPr="00DA249F">
        <w:rPr>
          <w:lang w:val="en-GB"/>
        </w:rPr>
        <w:t xml:space="preserve">important </w:t>
      </w:r>
      <w:r w:rsidR="007917A9" w:rsidRPr="00DA249F">
        <w:rPr>
          <w:lang w:val="en-GB"/>
        </w:rPr>
        <w:t>cause of the introduction of invasive alien species, both intentional</w:t>
      </w:r>
      <w:r w:rsidR="008B7B5D" w:rsidRPr="00DA249F">
        <w:rPr>
          <w:lang w:val="en-GB"/>
        </w:rPr>
        <w:t>ly</w:t>
      </w:r>
      <w:r w:rsidR="007917A9" w:rsidRPr="00DA249F">
        <w:rPr>
          <w:lang w:val="en-GB"/>
        </w:rPr>
        <w:t xml:space="preserve"> (e.g., release of </w:t>
      </w:r>
      <w:r w:rsidR="00510A6B" w:rsidRPr="00DA249F">
        <w:rPr>
          <w:lang w:val="en-GB"/>
        </w:rPr>
        <w:t xml:space="preserve">plants, </w:t>
      </w:r>
      <w:r w:rsidR="007917A9" w:rsidRPr="00DA249F">
        <w:rPr>
          <w:lang w:val="en-GB"/>
        </w:rPr>
        <w:t xml:space="preserve">animals, </w:t>
      </w:r>
      <w:r w:rsidR="00510A6B" w:rsidRPr="00DA249F">
        <w:rPr>
          <w:lang w:val="en-GB"/>
        </w:rPr>
        <w:t>or</w:t>
      </w:r>
      <w:r w:rsidR="007917A9" w:rsidRPr="00DA249F">
        <w:rPr>
          <w:lang w:val="en-GB"/>
        </w:rPr>
        <w:t xml:space="preserve"> organisms used for pest or weed control</w:t>
      </w:r>
      <w:r w:rsidR="00510A6B" w:rsidRPr="00DA249F">
        <w:rPr>
          <w:lang w:val="en-GB"/>
        </w:rPr>
        <w:t xml:space="preserve"> into </w:t>
      </w:r>
      <w:r w:rsidR="35B1E616" w:rsidRPr="00DA249F">
        <w:rPr>
          <w:lang w:val="en-GB"/>
        </w:rPr>
        <w:t>terrestrial</w:t>
      </w:r>
      <w:r w:rsidR="00510A6B" w:rsidRPr="00DA249F">
        <w:rPr>
          <w:lang w:val="en-GB"/>
        </w:rPr>
        <w:t xml:space="preserve"> or aquatic environments</w:t>
      </w:r>
      <w:r w:rsidR="007917A9" w:rsidRPr="00DA249F">
        <w:rPr>
          <w:lang w:val="en-GB"/>
        </w:rPr>
        <w:t xml:space="preserve">) and unintentionally (e.g., </w:t>
      </w:r>
      <w:r w:rsidR="003A2F4C" w:rsidRPr="00DA249F">
        <w:rPr>
          <w:lang w:val="en-GB"/>
        </w:rPr>
        <w:t xml:space="preserve">spread of </w:t>
      </w:r>
      <w:r w:rsidR="007917A9" w:rsidRPr="00DA249F">
        <w:rPr>
          <w:lang w:val="en-GB"/>
        </w:rPr>
        <w:t>weeds, pathogens, pests</w:t>
      </w:r>
      <w:r w:rsidR="009F7404">
        <w:rPr>
          <w:lang w:val="en-GB"/>
        </w:rPr>
        <w:t xml:space="preserve"> and</w:t>
      </w:r>
      <w:r w:rsidR="008D63A7" w:rsidRPr="00DA249F">
        <w:rPr>
          <w:lang w:val="en-GB"/>
        </w:rPr>
        <w:t xml:space="preserve"> </w:t>
      </w:r>
      <w:r w:rsidR="007917A9" w:rsidRPr="00DA249F">
        <w:rPr>
          <w:lang w:val="en-GB"/>
        </w:rPr>
        <w:t xml:space="preserve">escape from </w:t>
      </w:r>
      <w:r w:rsidR="008D63A7" w:rsidRPr="00DA249F">
        <w:rPr>
          <w:lang w:val="en-GB"/>
        </w:rPr>
        <w:t xml:space="preserve">fields/plantations or other </w:t>
      </w:r>
      <w:r w:rsidR="007917A9" w:rsidRPr="00DA249F">
        <w:rPr>
          <w:lang w:val="en-GB"/>
        </w:rPr>
        <w:t>containment</w:t>
      </w:r>
      <w:r w:rsidR="001A0E22" w:rsidRPr="00DA249F">
        <w:rPr>
          <w:lang w:val="en-GB"/>
        </w:rPr>
        <w:t>)</w:t>
      </w:r>
      <w:r w:rsidR="007917A9" w:rsidRPr="00DA249F">
        <w:rPr>
          <w:lang w:val="en-GB"/>
        </w:rPr>
        <w:t xml:space="preserve"> </w:t>
      </w:r>
      <w:r w:rsidR="007917A9" w:rsidRPr="00DA249F">
        <w:rPr>
          <w:lang w:val="en-GB"/>
        </w:rPr>
        <w:fldChar w:fldCharType="begin"/>
      </w:r>
      <w:r w:rsidR="00331A79">
        <w:rPr>
          <w:lang w:val="en-GB"/>
        </w:rPr>
        <w:instrText xml:space="preserve"> ADDIN ZOTERO_ITEM CSL_CITATION {"citationID":"2Hyc3ccQ","properties":{"formattedCitation":"(P. E. Hulme et al., 2008)","plainCitation":"(P. E. Hulme et al., 2008)","dontUpdate":true,"noteIndex":0},"citationItems":[{"id":30462,"uris":["http://zotero.org/groups/2352922/items/WXMFBV44"],"itemData":{"id":30462,"type":"article-journal","container-title":"Journal of Applied Ecology","DOI":"10.1111/j.1365-2664.2007.01442.x","ISSN":"00218901, 13652664","issue":"2","language":"en","page":"403-414","source":"DOI.org (Crossref)","title":"Grasping at the routes of biological invasions: a framework for integrating pathways into policy","title-short":"Grasping at the routes of biological invasions","URL":"https://onlinelibrary.wiley.com/doi/10.1111/j.1365-2664.2007.01442.x","volume":"45","author":[{"family":"Hulme","given":"Philip E."},{"family":"Bacher","given":"S."},{"family":"Kenis","given":"M."},{"family":"Klotz","given":"S."},{"family":"Kühn","given":"I."},{"family":"Minchin","given":"D."},{"family":"Nentwig","given":"W."},{"family":"Olenin","given":"S."},{"family":"Panov","given":"V."},{"family":"Pergl","given":"J."},{"family":"Pyšek","given":"P."},{"family":"Roques","given":"A."},{"family":"Sol","given":"D."},{"family":"Solarz","given":"W."},{"family":"Vilà","given":"M."}],"accessed":{"date-parts":[["2021",8,23]]},"issued":{"date-parts":[["2008",4]]}}}],"schema":"https://github.com/citation-style-language/schema/raw/master/csl-citation.json"} </w:instrText>
      </w:r>
      <w:r w:rsidR="007917A9" w:rsidRPr="00DA249F">
        <w:rPr>
          <w:lang w:val="en-GB"/>
        </w:rPr>
        <w:fldChar w:fldCharType="separate"/>
      </w:r>
      <w:r w:rsidR="007917A9" w:rsidRPr="00DA249F">
        <w:rPr>
          <w:lang w:val="en-GB"/>
        </w:rPr>
        <w:t>(Hulme et al., 2008)</w:t>
      </w:r>
      <w:r w:rsidR="007917A9" w:rsidRPr="00DA249F">
        <w:rPr>
          <w:lang w:val="en-GB"/>
        </w:rPr>
        <w:fldChar w:fldCharType="end"/>
      </w:r>
      <w:r w:rsidR="007917A9" w:rsidRPr="00DA249F">
        <w:rPr>
          <w:lang w:val="en-GB"/>
        </w:rPr>
        <w:t xml:space="preserve">. </w:t>
      </w:r>
      <w:r w:rsidR="29736836" w:rsidRPr="00DA249F">
        <w:rPr>
          <w:lang w:val="en-GB"/>
        </w:rPr>
        <w:t>Invasive alien species</w:t>
      </w:r>
      <w:r w:rsidR="001A0E22" w:rsidRPr="00DA249F">
        <w:rPr>
          <w:lang w:val="en-GB"/>
        </w:rPr>
        <w:t>,</w:t>
      </w:r>
      <w:r w:rsidR="29736836" w:rsidRPr="00DA249F">
        <w:rPr>
          <w:lang w:val="en-GB"/>
        </w:rPr>
        <w:t xml:space="preserve"> particularly those from agricultural </w:t>
      </w:r>
      <w:r w:rsidR="003E2727" w:rsidRPr="00DA249F">
        <w:rPr>
          <w:lang w:val="en-GB"/>
        </w:rPr>
        <w:t>systems</w:t>
      </w:r>
      <w:r w:rsidR="29736836" w:rsidRPr="00DA249F">
        <w:rPr>
          <w:lang w:val="en-GB"/>
        </w:rPr>
        <w:t xml:space="preserve">, </w:t>
      </w:r>
      <w:r w:rsidR="003A2F4C" w:rsidRPr="00DA249F">
        <w:rPr>
          <w:lang w:val="en-GB"/>
        </w:rPr>
        <w:t>can facilitate</w:t>
      </w:r>
      <w:r w:rsidR="29736836" w:rsidRPr="00DA249F">
        <w:rPr>
          <w:lang w:val="en-GB"/>
        </w:rPr>
        <w:t xml:space="preserve"> the spread and establishment of pathogens that would otherwise be absent from</w:t>
      </w:r>
      <w:r w:rsidR="004C24DE" w:rsidRPr="00DA249F">
        <w:rPr>
          <w:lang w:val="en-GB"/>
        </w:rPr>
        <w:t xml:space="preserve"> </w:t>
      </w:r>
      <w:r w:rsidR="008A4075" w:rsidRPr="00DA249F">
        <w:rPr>
          <w:lang w:val="en-GB"/>
        </w:rPr>
        <w:t xml:space="preserve">the </w:t>
      </w:r>
      <w:r w:rsidR="02FBB8BC" w:rsidRPr="00DA249F">
        <w:rPr>
          <w:lang w:val="en-GB"/>
        </w:rPr>
        <w:t>introduced range</w:t>
      </w:r>
      <w:r w:rsidR="009F7404">
        <w:rPr>
          <w:lang w:val="en-GB"/>
        </w:rPr>
        <w:t xml:space="preserve"> and</w:t>
      </w:r>
      <w:r w:rsidR="29736836" w:rsidRPr="00DA249F">
        <w:rPr>
          <w:lang w:val="en-GB"/>
        </w:rPr>
        <w:t xml:space="preserve"> may pose risks for disease transmission for humans, domestic animals</w:t>
      </w:r>
      <w:r w:rsidR="009F7404">
        <w:rPr>
          <w:lang w:val="en-GB"/>
        </w:rPr>
        <w:t xml:space="preserve"> and</w:t>
      </w:r>
      <w:r w:rsidR="29736836" w:rsidRPr="00DA249F">
        <w:rPr>
          <w:lang w:val="en-GB"/>
        </w:rPr>
        <w:t xml:space="preserve"> other native wildlife </w:t>
      </w:r>
      <w:r w:rsidR="007917A9" w:rsidRPr="00DA249F">
        <w:rPr>
          <w:lang w:val="en-GB"/>
        </w:rPr>
        <w:fldChar w:fldCharType="begin"/>
      </w:r>
      <w:r w:rsidR="00331A79">
        <w:rPr>
          <w:lang w:val="en-GB"/>
        </w:rPr>
        <w:instrText xml:space="preserve"> ADDIN ZOTERO_ITEM CSL_CITATION {"citationID":"EgX3jBgv","properties":{"formattedCitation":"(Chinchio et al., 2020)","plainCitation":"(Chinchio et al., 2020)","noteIndex":0},"citationItems":[{"id":32923,"uris":["http://zotero.org/groups/2352922/items/VCFEBNIX"],"itemData":{"id":32923,"type":"article-journal","container-title":"PLoS Pathogens","DOI":"10.1371/journal.ppat.1008922","ISSN":"1553-7374","issue":"10","journalAbbreviation":"PLoS Pathog","language":"en","page":"e1008922","source":"DOI.org (Crossref)","title":"Invasive alien species and disease risk: An open challenge in public and animal health","title-short":"Invasive alien species and disease risk","URL":"https://dx.plos.org/10.1371/journal.ppat.1008922","volume":"16","author":[{"family":"Chinchio","given":"Eleonora"},{"family":"Crotta","given":"Matteo"},{"family":"Romeo","given":"Claudia"},{"family":"Drewe","given":"Julian A."},{"family":"Guitian","given":"Javier"},{"family":"Ferrari","given":"Nicola"}],"editor":[{"family":"Knoll","given":"Laura J."}],"accessed":{"date-parts":[["2021",11,8]]},"issued":{"date-parts":[["2020",10,22]]}}}],"schema":"https://github.com/citation-style-language/schema/raw/master/csl-citation.json"} </w:instrText>
      </w:r>
      <w:r w:rsidR="007917A9" w:rsidRPr="00DA249F">
        <w:rPr>
          <w:lang w:val="en-GB"/>
        </w:rPr>
        <w:fldChar w:fldCharType="separate"/>
      </w:r>
      <w:r w:rsidR="00144D96" w:rsidRPr="00144D96">
        <w:t>(Chinchio et al., 2020)</w:t>
      </w:r>
      <w:r w:rsidR="007917A9" w:rsidRPr="00DA249F">
        <w:rPr>
          <w:lang w:val="en-GB"/>
        </w:rPr>
        <w:fldChar w:fldCharType="end"/>
      </w:r>
      <w:r w:rsidR="29736836" w:rsidRPr="00DA249F">
        <w:rPr>
          <w:lang w:val="en-GB"/>
        </w:rPr>
        <w:t>.</w:t>
      </w:r>
    </w:p>
    <w:p w14:paraId="65DBAF89" w14:textId="77777777" w:rsidR="00883E76" w:rsidRPr="00DA249F" w:rsidRDefault="00645209" w:rsidP="00973597">
      <w:pPr>
        <w:pStyle w:val="Heading3"/>
        <w:numPr>
          <w:ilvl w:val="4"/>
          <w:numId w:val="30"/>
        </w:numPr>
        <w:rPr>
          <w:lang w:val="en-GB"/>
        </w:rPr>
      </w:pPr>
      <w:r w:rsidRPr="00DA249F">
        <w:rPr>
          <w:lang w:val="en-GB"/>
        </w:rPr>
        <w:t xml:space="preserve"> </w:t>
      </w:r>
      <w:r w:rsidR="00843982" w:rsidRPr="00DA249F">
        <w:rPr>
          <w:lang w:val="en-GB"/>
        </w:rPr>
        <w:t>A</w:t>
      </w:r>
      <w:r w:rsidR="00883E76" w:rsidRPr="00DA249F">
        <w:rPr>
          <w:lang w:val="en-GB"/>
        </w:rPr>
        <w:t>quaculture</w:t>
      </w:r>
    </w:p>
    <w:p w14:paraId="37E9F668" w14:textId="0BF619AF" w:rsidR="3B92FA4B" w:rsidRPr="00DA249F" w:rsidRDefault="00A2664E" w:rsidP="00F217BA">
      <w:pPr>
        <w:spacing w:before="0" w:after="0"/>
        <w:rPr>
          <w:rFonts w:eastAsia="Times New Roman"/>
          <w:color w:val="000000"/>
          <w:szCs w:val="24"/>
          <w:lang w:val="en-GB" w:eastAsia="zh-CN"/>
        </w:rPr>
      </w:pPr>
      <w:r w:rsidRPr="00DA249F">
        <w:rPr>
          <w:lang w:val="en-GB"/>
        </w:rPr>
        <w:t>Aquaculture</w:t>
      </w:r>
      <w:r w:rsidR="007B3464">
        <w:rPr>
          <w:lang w:val="en-GB"/>
        </w:rPr>
        <w:t xml:space="preserve"> </w:t>
      </w:r>
      <w:r w:rsidR="00A3729C">
        <w:rPr>
          <w:lang w:val="en-GB"/>
        </w:rPr>
        <w:t>(</w:t>
      </w:r>
      <w:r w:rsidRPr="00DA249F">
        <w:rPr>
          <w:lang w:val="en-GB"/>
        </w:rPr>
        <w:t>f</w:t>
      </w:r>
      <w:r w:rsidR="3B92FA4B" w:rsidRPr="00DA249F">
        <w:rPr>
          <w:lang w:val="en-GB"/>
        </w:rPr>
        <w:t>arming of marine organisms</w:t>
      </w:r>
      <w:r w:rsidR="00A3729C">
        <w:rPr>
          <w:lang w:val="en-GB"/>
        </w:rPr>
        <w:t>)</w:t>
      </w:r>
      <w:r w:rsidRPr="00DA249F">
        <w:rPr>
          <w:lang w:val="en-GB"/>
        </w:rPr>
        <w:t xml:space="preserve"> </w:t>
      </w:r>
      <w:r w:rsidR="3B92FA4B" w:rsidRPr="00DA249F">
        <w:rPr>
          <w:lang w:val="en-GB"/>
        </w:rPr>
        <w:t xml:space="preserve">is the largest sector worldwide, after shipping, responsible for introduction of marine alien species </w:t>
      </w:r>
      <w:r w:rsidR="3B92FA4B" w:rsidRPr="00DA249F">
        <w:rPr>
          <w:lang w:val="en-GB"/>
        </w:rPr>
        <w:fldChar w:fldCharType="begin"/>
      </w:r>
      <w:r w:rsidR="00331A79">
        <w:rPr>
          <w:lang w:val="en-GB"/>
        </w:rPr>
        <w:instrText xml:space="preserve"> ADDIN ZOTERO_ITEM CSL_CITATION {"citationID":"tYcAkHpy","properties":{"unsorted":true,"formattedCitation":"(Ojaveer et al., 2018; Bailey et al., 2020)","plainCitation":"(Ojaveer et al., 2018; Bailey et al., 2020)","noteIndex":0},"citationItems":[{"id":32731,"uris":["http://zotero.org/groups/2352922/items/FGQS5W9X"],"itemData":{"id":32731,"type":"article-journal","abstract":"The human-mediated introduction of marine non-indigenous species is a centuries- if not millennia-old phenomenon, but was only recently acknowledged as a potent driver of change in the sea. We provide a synopsis of key historical milestones for marine bioinvasions, including timelines of (a) discovery and understanding of the invasion process, focusing on transfer mechanisms and outcomes, (b) methodologies used for detection and monitoring, (c) approaches to ecological impacts research, and (d) management and policy responses. Early (until the mid-1900s) marine bioinvasions were given little attention, and in a number of cases actively and routinely facilitated. Beginning in the second half of the 20th century, several conspicuous non-indigenous species outbreaks with strong environmental, economic, and public health impacts raised widespread concerns and initiated shifts in public and scientific perceptions. These high-profile invasions led to policy documents and strategies to reduce the introduction and spread of non-indigenous species, although with significant time lags and limited success and focused on only a subset of transfer mechanisms. Integrated, multi-vector management within an ecosystem-based marine management context is urgently needed to address the complex interactions of natural and human pressures that drive invasions in marine ecosystems.","container-title":"PLoS ONE","DOI":"10.1371/journal.pone.0202383","ISSN":"1932-6203","issue":"8","journalAbbreviation":"PLoS ONE","language":"en","page":"e0202383","source":"DOI.org (Crossref)","title":"Historical baselines in marine bioinvasions: Implications for policy and management","title-short":"Historical baselines in marine bioinvasions","URL":"https://dx.plos.org/10.1371/journal.pone.0202383","volume":"13","author":[{"family":"Ojaveer","given":"Henn"},{"family":"Galil","given":"Bella S."},{"family":"Carlton","given":"James T."},{"family":"Alleway","given":"Heidi"},{"family":"Goulletquer","given":"Philippe"},{"family":"Lehtiniemi","given":"Maiju"},{"family":"Marchini","given":"Agnese"},{"family":"Miller","given":"Whitman"},{"family":"Occhipinti-Ambrogi","given":"Anna"},{"family":"Peharda","given":"Melita"},{"family":"Ruiz","given":"Gregory M."},{"family":"Williams","given":"Susan L."},{"family":"Zaiko","given":"Anastasija"}],"editor":[{"family":"Bianchi","given":"Carlo Nike"}],"accessed":{"date-parts":[["2020",3,24]]},"issued":{"date-parts":[["2018",8,16]]}}},{"id":32396,"uris":["http://zotero.org/groups/2352922/items/4EUK3YLP"],"itemData":{"id":32396,"type":"article-journal","container-title":"Diversity and Distributions","DOI":"10.1111/ddi.13167","ISSN":"1366-9516, 147</w:instrText>
      </w:r>
      <w:r w:rsidR="00331A79">
        <w:rPr>
          <w:rFonts w:hint="eastAsia"/>
          <w:lang w:val="en-GB"/>
        </w:rPr>
        <w:instrText>2-4642","issue":"12","journalAbbreviation":"Divers Distrib","language":"en","page":"1780-1797","source":"DOI.org (Crossref)","title":"Trends in the detection of aquatic non</w:instrText>
      </w:r>
      <w:r w:rsidR="00331A79">
        <w:rPr>
          <w:rFonts w:hint="eastAsia"/>
          <w:lang w:val="en-GB"/>
        </w:rPr>
        <w:instrText>‐</w:instrText>
      </w:r>
      <w:r w:rsidR="00331A79">
        <w:rPr>
          <w:rFonts w:hint="eastAsia"/>
          <w:lang w:val="en-GB"/>
        </w:rPr>
        <w:instrText>indigenous species across global marine, estuarine and freshwater ecosystems: A 50</w:instrText>
      </w:r>
      <w:r w:rsidR="00331A79">
        <w:rPr>
          <w:rFonts w:hint="eastAsia"/>
          <w:lang w:val="en-GB"/>
        </w:rPr>
        <w:instrText>‐</w:instrText>
      </w:r>
      <w:r w:rsidR="00331A79">
        <w:rPr>
          <w:rFonts w:hint="eastAsia"/>
          <w:lang w:val="en-GB"/>
        </w:rPr>
        <w:instrText>year perspective","title-short":"Trends in the detection of aquatic non</w:instrText>
      </w:r>
      <w:r w:rsidR="00331A79">
        <w:rPr>
          <w:rFonts w:hint="eastAsia"/>
          <w:lang w:val="en-GB"/>
        </w:rPr>
        <w:instrText>‐</w:instrText>
      </w:r>
      <w:r w:rsidR="00331A79">
        <w:rPr>
          <w:rFonts w:hint="eastAsia"/>
          <w:lang w:val="en-GB"/>
        </w:rPr>
        <w:instrText>indigenous species across global marine, estuarine and freshwater ecosystems","URL":"https://onlinelibrary.wiley.com/doi/10.1111/ddi.13167","volume":"26","author":[{"family":"Bailey","given":"Sarah A."},{"family":"Brown","given":"Lyndsay"},{"family":"Campbell","given":"Marnie L."},{"family":"Canning</w:instrText>
      </w:r>
      <w:r w:rsidR="00331A79">
        <w:rPr>
          <w:rFonts w:hint="eastAsia"/>
          <w:lang w:val="en-GB"/>
        </w:rPr>
        <w:instrText>‐</w:instrText>
      </w:r>
      <w:r w:rsidR="00331A79">
        <w:rPr>
          <w:rFonts w:hint="eastAsia"/>
          <w:lang w:val="en-GB"/>
        </w:rPr>
        <w:instrText>Clode","given":"João"},{"family":"Carlton","given":"James T."},{"family":"Castro","given":"Nuno"},{"family":"Chainho","given":"Paula"},{</w:instrText>
      </w:r>
      <w:r w:rsidR="00331A79">
        <w:rPr>
          <w:lang w:val="en-GB"/>
        </w:rPr>
        <w:instrText>"family":"Chan","given":"Farrah T."},{"family":"Creed","given":"Joel C."},{"family":"Curd","given":"Amelia"},{"family":"Darling","given":"John"},{"family":"Fofonoff","given":"Paul"},{"family":"Galil","given":"Bella S."},{"family":"Hewitt","given":"Chad L.</w:instrText>
      </w:r>
      <w:r w:rsidR="00331A79">
        <w:rPr>
          <w:rFonts w:hint="eastAsia"/>
          <w:lang w:val="en-GB"/>
        </w:rPr>
        <w:instrText>"},{"family":"Inglis","given":"Graeme J."},{"family":"Keith","given":"Inti"},{"family":"Mandrak","given":"Nicholas E."},{"family":"Marchini","given":"Agnese"},{"family":"McKenzie","given":"Cynthia H."},{"family":"Occhipinti</w:instrText>
      </w:r>
      <w:r w:rsidR="00331A79">
        <w:rPr>
          <w:rFonts w:hint="eastAsia"/>
          <w:lang w:val="en-GB"/>
        </w:rPr>
        <w:instrText>‐</w:instrText>
      </w:r>
      <w:r w:rsidR="00331A79">
        <w:rPr>
          <w:rFonts w:hint="eastAsia"/>
          <w:lang w:val="en-GB"/>
        </w:rPr>
        <w:instrText>Ambrogi","given":"Anna"},{"family":"Ojaveer","given":"Henn"},{"family":"Pires</w:instrText>
      </w:r>
      <w:r w:rsidR="00331A79">
        <w:rPr>
          <w:rFonts w:hint="eastAsia"/>
          <w:lang w:val="en-GB"/>
        </w:rPr>
        <w:instrText>‐</w:instrText>
      </w:r>
      <w:r w:rsidR="00331A79">
        <w:rPr>
          <w:rFonts w:hint="eastAsia"/>
          <w:lang w:val="en-GB"/>
        </w:rPr>
        <w:instrText>Teixeira","given":"Larissa M."},{"family":"Robinson","given":"Tamara B."},{"family":"Ruiz","given":"Gregory M."},{"family":"Seaward","given":"Kimberley"},{"family":"Schwindt","given":"Evangelina"},{"family":"</w:instrText>
      </w:r>
      <w:r w:rsidR="00331A79">
        <w:rPr>
          <w:lang w:val="en-GB"/>
        </w:rPr>
        <w:instrText xml:space="preserve">Son","given":"Mikhail O."},{"family":"Therriault","given":"Thomas W."},{"family":"Zhan","given":"Aibin"}],"editor":[{"family":"Hussey","given":"Nigel"}],"accessed":{"date-parts":[["2021",7,30]]},"issued":{"date-parts":[["2020",12]]}}}],"schema":"https://github.com/citation-style-language/schema/raw/master/csl-citation.json"} </w:instrText>
      </w:r>
      <w:r w:rsidR="3B92FA4B" w:rsidRPr="00DA249F">
        <w:rPr>
          <w:lang w:val="en-GB"/>
        </w:rPr>
        <w:fldChar w:fldCharType="separate"/>
      </w:r>
      <w:r w:rsidR="00144D96" w:rsidRPr="00144D96">
        <w:t>(Ojaveer et al., 2018; Bailey et al., 2020)</w:t>
      </w:r>
      <w:r w:rsidR="3B92FA4B" w:rsidRPr="00DA249F">
        <w:rPr>
          <w:lang w:val="en-GB"/>
        </w:rPr>
        <w:fldChar w:fldCharType="end"/>
      </w:r>
      <w:r w:rsidR="3B92FA4B" w:rsidRPr="00DA249F">
        <w:rPr>
          <w:lang w:val="en-GB"/>
        </w:rPr>
        <w:t xml:space="preserve">. Although the production of marine fish and crustaceans has grown since the </w:t>
      </w:r>
      <w:r w:rsidR="554D68EC" w:rsidRPr="00DA249F">
        <w:rPr>
          <w:lang w:val="en-GB"/>
        </w:rPr>
        <w:t>millennium</w:t>
      </w:r>
      <w:r w:rsidR="3B92FA4B" w:rsidRPr="00DA249F">
        <w:rPr>
          <w:lang w:val="en-GB"/>
        </w:rPr>
        <w:t xml:space="preserve">, it </w:t>
      </w:r>
      <w:r w:rsidR="00354C15" w:rsidRPr="00DA249F">
        <w:rPr>
          <w:lang w:val="en-GB"/>
        </w:rPr>
        <w:t>is now</w:t>
      </w:r>
      <w:r w:rsidR="3B92FA4B" w:rsidRPr="00DA249F">
        <w:rPr>
          <w:lang w:val="en-GB"/>
        </w:rPr>
        <w:t xml:space="preserve"> eclipsed by the live-weight volume of marine bivalves and seaweeds which has grown</w:t>
      </w:r>
      <w:r w:rsidR="00706F62" w:rsidRPr="00DA249F">
        <w:rPr>
          <w:lang w:val="en-GB"/>
        </w:rPr>
        <w:t>, respectively,</w:t>
      </w:r>
      <w:r w:rsidR="3B92FA4B" w:rsidRPr="00DA249F">
        <w:rPr>
          <w:lang w:val="en-GB"/>
        </w:rPr>
        <w:t xml:space="preserve"> from 10 and 11 to 18 and 32 million tonnes per annum between 2000 and 2018 </w:t>
      </w:r>
      <w:r w:rsidR="00457E73" w:rsidRPr="00DA249F">
        <w:rPr>
          <w:lang w:val="en-GB"/>
        </w:rPr>
        <w:fldChar w:fldCharType="begin"/>
      </w:r>
      <w:r w:rsidR="00331A79">
        <w:rPr>
          <w:lang w:val="en-GB"/>
        </w:rPr>
        <w:instrText xml:space="preserve"> ADDIN ZOTERO_ITEM CSL_CITATION {"citationID":"hy4HE65E","properties":{"formattedCitation":"(FAO, 2021)","plainCitation":"(FAO, 2021)","noteIndex":0},"citationItems":[{"id":52956,"uris":["http://zotero.org/groups/2352922/items/XED85CGS"],"itemData":{"id":52956,"type":"webpage","abstract":"What does the ideal aquatic food system look like? For starters, it would be able to provide sufficient aquatic food for our growing population in a sustainable way.Check out the @FAO interactive story to learn more: https://www.fao.org/state-of-fisheries-aquaculture/en/","container-title":"www.fao.org","language":"en","note":"DOI: 10.4060/cc0461en","title":"Towards Blue Transformation","URL":"https://www.fao.org/state-of-fisheries-aquaculture/tr/","author":[{"literal":"FAO"}],"accessed":{"date-parts":[["2021",11,27]]},"issued":{"date-parts":[["2021"]]}},"label":"page"}],"schema":"https://github.com/citation-style-language/schema/raw/master/csl-citation.json"} </w:instrText>
      </w:r>
      <w:r w:rsidR="00457E73" w:rsidRPr="00DA249F">
        <w:rPr>
          <w:lang w:val="en-GB"/>
        </w:rPr>
        <w:fldChar w:fldCharType="separate"/>
      </w:r>
      <w:r w:rsidR="00144D96" w:rsidRPr="00144D96">
        <w:t>(FAO, 2021)</w:t>
      </w:r>
      <w:r w:rsidR="00457E73" w:rsidRPr="00DA249F">
        <w:rPr>
          <w:lang w:val="en-GB"/>
        </w:rPr>
        <w:fldChar w:fldCharType="end"/>
      </w:r>
      <w:r w:rsidR="3B92FA4B" w:rsidRPr="00DA249F">
        <w:rPr>
          <w:lang w:val="en-GB"/>
        </w:rPr>
        <w:t xml:space="preserve">. </w:t>
      </w:r>
      <w:r w:rsidR="00A76ED0" w:rsidRPr="00DA249F">
        <w:rPr>
          <w:lang w:val="en-GB"/>
        </w:rPr>
        <w:t xml:space="preserve">Both the </w:t>
      </w:r>
      <w:r w:rsidR="00BB5D6D" w:rsidRPr="00DA249F">
        <w:rPr>
          <w:lang w:val="en-GB"/>
        </w:rPr>
        <w:t>farmed</w:t>
      </w:r>
      <w:r w:rsidR="00A76ED0" w:rsidRPr="00DA249F">
        <w:rPr>
          <w:lang w:val="en-GB"/>
        </w:rPr>
        <w:t xml:space="preserve"> species and/or storage (and other) infrastructures (e.g., cages, nets, floats and ropes) serve as agents of</w:t>
      </w:r>
      <w:r w:rsidR="00066BF9" w:rsidRPr="00DA249F">
        <w:rPr>
          <w:lang w:val="en-GB"/>
        </w:rPr>
        <w:t xml:space="preserve"> </w:t>
      </w:r>
      <w:r w:rsidR="00A76ED0" w:rsidRPr="00DA249F">
        <w:rPr>
          <w:lang w:val="en-GB"/>
        </w:rPr>
        <w:t>intentional and unintentional introductions and spread of invasive alien species</w:t>
      </w:r>
      <w:r w:rsidR="00A76ED0" w:rsidRPr="00DA249F">
        <w:rPr>
          <w:color w:val="FF0000"/>
          <w:lang w:val="en-GB"/>
        </w:rPr>
        <w:t xml:space="preserve"> </w:t>
      </w:r>
      <w:r w:rsidR="3B92FA4B" w:rsidRPr="00DA249F">
        <w:rPr>
          <w:color w:val="FF0000"/>
          <w:lang w:val="en-GB"/>
        </w:rPr>
        <w:fldChar w:fldCharType="begin"/>
      </w:r>
      <w:r w:rsidR="00331A79">
        <w:rPr>
          <w:color w:val="FF0000"/>
          <w:lang w:val="en-GB"/>
        </w:rPr>
        <w:instrText xml:space="preserve"> ADDIN ZOTERO_ITEM CSL_CITATION {"citationID":"2OvznI0W","properties":{"formattedCitation":"(Campbell et al., 2017)","plainCitation":"(Campbell et al., 2017)","noteIndex":0},"citationItems":[{"id":10552,"uris":["http://zotero.org/groups/2352922/items/N29TQYJB"],"itemData":{"id":10552,"type":"article-journal","abstract":"Both the invasion of non-indigenous marine species (NIMS) and the generation and accumulation of anthropogenic marine debris (AMD) are pervasive problems in coastal urban ecosystems. The biosecurity risks associated with AMD rafting NIMS have been described, but the role of aquaculture derived AMD has not yet been investigated as a biosecurity vector and pathway. This preliminary study targeted 27 beaches along the Coromandel Peninsula, New Zealand, collecting debris from belt transects. Plastic (specifically plastic rope) was the dominant AMD present on beaches. The most common biofouling taxa were hydroids, bryozoans, algae and polychaetes, with one NIMS pest species, Sabella spallanzanii, detected fouling plastic rope. Our findings demonstrate that aquaculture is an AMD (plastic rope) generating activity that creates biosecurity risk by enhancing the spread of NIMS. The rafting of S. spallanzanii on AMD generated at aquaculture facilities is currently an unmanaged pathway within New Zealand that needs attention.","container-title":"Marine Pollution Bulletin","DOI":"10.1016/j.marpolbul.2017.08.040","ISSN":"18793363","issue":"1-2","page":"304-312","title":"Aquaculture and urban marine structures facilitate native and non-indigenous species transfer through generation and accumulation of marine debris","volume":"123","author":[{"family":"Campbell","given":"Marnie L."},{"family":"King","given":"Staci"},{"family":"Heppenstall","given":"Lara D."},{"family":"Gool","given":"Ella","non-dropping-particle":"van"},{"family":"Martin","given":"Ross"},{"family":"Hewitt","given":"Chad L."}],"issued":{"date-parts":[["2017"]]}},"label":"page"}],"schema":"https://github.com/citation-style-language/schema/raw/master/csl-citation.json"} </w:instrText>
      </w:r>
      <w:r w:rsidR="3B92FA4B" w:rsidRPr="00DA249F">
        <w:rPr>
          <w:color w:val="FF0000"/>
          <w:lang w:val="en-GB"/>
        </w:rPr>
        <w:fldChar w:fldCharType="separate"/>
      </w:r>
      <w:r w:rsidR="00144D96" w:rsidRPr="00144D96">
        <w:t>(Campbell et al., 2017)</w:t>
      </w:r>
      <w:r w:rsidR="3B92FA4B" w:rsidRPr="00DA249F">
        <w:rPr>
          <w:color w:val="FF0000"/>
          <w:lang w:val="en-GB"/>
        </w:rPr>
        <w:fldChar w:fldCharType="end"/>
      </w:r>
      <w:r w:rsidR="00A76ED0" w:rsidRPr="00DA249F">
        <w:rPr>
          <w:lang w:val="en-GB"/>
        </w:rPr>
        <w:t xml:space="preserve">. </w:t>
      </w:r>
      <w:r w:rsidR="3B92FA4B" w:rsidRPr="00DA249F">
        <w:rPr>
          <w:lang w:val="en-GB"/>
        </w:rPr>
        <w:t xml:space="preserve">Farmed species are </w:t>
      </w:r>
      <w:r w:rsidR="00A76ED0" w:rsidRPr="00DA249F">
        <w:rPr>
          <w:lang w:val="en-GB"/>
        </w:rPr>
        <w:t xml:space="preserve">either </w:t>
      </w:r>
      <w:r w:rsidR="3B92FA4B" w:rsidRPr="00DA249F">
        <w:rPr>
          <w:lang w:val="en-GB"/>
        </w:rPr>
        <w:t xml:space="preserve">placed in the sea in enclosures (cages, net pens, rafts), or </w:t>
      </w:r>
      <w:r w:rsidR="00A76ED0" w:rsidRPr="00DA249F">
        <w:rPr>
          <w:lang w:val="en-GB"/>
        </w:rPr>
        <w:t xml:space="preserve">intentionally </w:t>
      </w:r>
      <w:r w:rsidR="3B92FA4B" w:rsidRPr="00DA249F">
        <w:rPr>
          <w:lang w:val="en-GB"/>
        </w:rPr>
        <w:t xml:space="preserve">released </w:t>
      </w:r>
      <w:r w:rsidR="00A76ED0" w:rsidRPr="00DA249F">
        <w:rPr>
          <w:lang w:val="en-GB"/>
        </w:rPr>
        <w:t>into the environment</w:t>
      </w:r>
      <w:r w:rsidR="3B92FA4B" w:rsidRPr="00DA249F">
        <w:rPr>
          <w:lang w:val="en-GB"/>
        </w:rPr>
        <w:t xml:space="preserve"> </w:t>
      </w:r>
      <w:r w:rsidR="3B92FA4B" w:rsidRPr="00DA249F">
        <w:rPr>
          <w:lang w:val="en-GB"/>
        </w:rPr>
        <w:fldChar w:fldCharType="begin"/>
      </w:r>
      <w:r w:rsidR="00331A79">
        <w:rPr>
          <w:lang w:val="en-GB"/>
        </w:rPr>
        <w:instrText xml:space="preserve"> ADDIN ZOTERO_ITEM CSL_CITATION {"citationID":"vO6tbtiD","properties":{"formattedCitation":"(Naylor et al., 2001)","plainCitation":"(Naylor et al., 2001)","noteIndex":0},"citationItems":[{"id":32687,"uris":["http://zotero.org/groups/2352922/items/82L9HTVV"],"itemData":{"id":32687,"type":"article-journal","container-title":"Science","DOI":"10.1126/science.1064875","issue":"5547","note":"publisher: American Association for the Advancement of Science","page":"1655-1656","source":"science.org (Atypon)","title":"Aquaculture--A Gateway for Exotic Species","URL":"https://www.science.org/doi/10.1126/science.1064875","volume":"294","author":[{"family":"Naylor","given":"Rosamond L."},{"family":"Williams","given":"Susan L."},{"family":"Strong","given":"Donald R."}],"accessed":{"date-parts":[["2021",12,3]]},"issued":{"date-parts":[["2001",11,23]]}},"label":"page"}],"schema":"https://github.com/citation-style-language/schema/raw/master/csl-citation.json"} </w:instrText>
      </w:r>
      <w:r w:rsidR="3B92FA4B" w:rsidRPr="00DA249F">
        <w:rPr>
          <w:lang w:val="en-GB"/>
        </w:rPr>
        <w:fldChar w:fldCharType="separate"/>
      </w:r>
      <w:r w:rsidR="00144D96" w:rsidRPr="00144D96">
        <w:t>(Naylor et al., 2001)</w:t>
      </w:r>
      <w:r w:rsidR="3B92FA4B" w:rsidRPr="00DA249F">
        <w:rPr>
          <w:lang w:val="en-GB"/>
        </w:rPr>
        <w:fldChar w:fldCharType="end"/>
      </w:r>
      <w:r w:rsidR="3B92FA4B" w:rsidRPr="00DA249F">
        <w:rPr>
          <w:lang w:val="en-GB"/>
        </w:rPr>
        <w:t>.</w:t>
      </w:r>
      <w:r w:rsidR="00066BF9" w:rsidRPr="00DA249F">
        <w:rPr>
          <w:lang w:val="en-GB"/>
        </w:rPr>
        <w:t xml:space="preserve"> </w:t>
      </w:r>
      <w:r w:rsidR="3B92FA4B" w:rsidRPr="00DA249F">
        <w:rPr>
          <w:lang w:val="en-GB"/>
        </w:rPr>
        <w:lastRenderedPageBreak/>
        <w:t xml:space="preserve">Intentional introductions comprise both legal and clandestine translocations </w:t>
      </w:r>
      <w:r w:rsidR="3B92FA4B" w:rsidRPr="00DA249F">
        <w:rPr>
          <w:lang w:val="en-GB"/>
        </w:rPr>
        <w:fldChar w:fldCharType="begin"/>
      </w:r>
      <w:r w:rsidR="00331A79">
        <w:rPr>
          <w:lang w:val="en-GB"/>
        </w:rPr>
        <w:instrText xml:space="preserve"> ADDIN ZOTERO_ITEM CSL_CITATION {"citationID":"YErM4H4z","properties":{"unsorted":true,"formattedCitation":"(\\uc0\\u214{}zcan &amp; Galil, 2006; Stentiford &amp; Lightner, 2011; Megahed, 2014)","plainCitation":"(Özcan &amp; Galil, 2006; Stentiford &amp; Lightner, 2011; Megahed, 2014)","noteIndex":0},"citationItems":[{"id":32189,"uris":["http://zotero.org/groups/2352922/items/NZKDEJWJ"],"itemData":{"id":32189,"type":"article-journal","abstract":"A bilaterally ablated female banana prawn collected in the Bay of Iskenderun, southeastern Turkey on 6 October 2006, is likely an escape or an inadvertent release from an aquaculture facility. A bilaterally ablated female banana prawn, Fenneropenaeus merguiensis, collected in the Bay of Iskenderun, southeastern Turkey on 6 October 2006, is likely an escape or an inadvertent release from an aquaculture facility. Because of the high permeability of aquaculture facilities, all introductions should be administered as to avoid unintentional releases or escapes into the wild.","DOI":"10.3391/AI.2006.1.4.13","source":"Semantic Scholar","title":"The first record of the banana prawn &lt;i&gt;Fenneropenaeus merguiensis&lt;/i&gt; (De Man, 1888) (Crustacea: Decapoda: Penaeidae) from the Mediterranean Sea","title-short":"The first record of the banana prawn Fenneropenaeus merguiensis (De Man, 1888) (Crustacea","author":[{"family":"Özcan","given":"Tahir"},{"family":"Galil","given":"B."}],"issued":{"date-parts":[["2006"]]}},"label":"page"},{"id":32187,"uris":["http://zotero.org/groups/2352922/items/RSDGGQDQ"],"itemData":{"id":32187,"type":"article-journal","abstract":"White Spot Disease (WSD) caused by White Spot Syndrome Virus (WSSV) is listed as ‘non-exotic’ to the European Union in EC Directive 2006/88. Two other viral diseases (Taura Syndrome and Yellowhead Disease) are listed as exotic. Despite the listing of WSD as a non-exotic disease, definitive case reports have not been officially reported, or published in the peer-reviewed literature. Here we report on a series of outbreaks of WSD in three European Union (EU) Member States (Greece, Italy and Spain) and in one non-EU European country (Turkey) over the period 1995 to 2001. Samples were submitted by industry representatives over this period and were therefore not officially reported to the Competent Authorities of respective European Member States. At least one of the cases appeared to be associated with the feeding of imported shrimp carcasses from Asia to broodstock while other cases were associated with the importation of post-larvae between hatcheries and on-growing facilities from outside of Europe and further movements within Europe. These case reports demonstrate the ability for WSSV to cause disease and mortality in penaeid shrimp farmed at European ambient temperatures. Furthermore, they demonstrate potential for the introduction of WSSV to new geographic areas via the movement of live crustaceans and their products, both from outside of the EU, and between EU Member and non-member countries within the European region.","container-title":"Aquaculture","DOI":"10.1016/j.aquaculture.2011.06.032","ISSN":"0044-8486","issue":"1","journalAbbreviation":"Aquaculture","language":"en","page":"302-306","source":"ScienceDirect","title":"Cases of White Spot Disease (WSD) in European shrimp farms","URL":"https://www.sciencedirect.com/science/article/pii/S0044848611005126","volume":"319","author":[{"family":"Stentiford","given":"G. D."},{"family":"Lightner","given":"D. V."}],"accessed":{"date-parts":[["2021",12,3]]},"issued":{"date-parts":[["2011",9,1]]}},"label":"page"},{"id":32188,"uris":["http://zotero.org/groups/2352922/items/7P3AI52P"],"itemData":{"id":32188,"type":"article-journal","container-title":"Aquaculture America","title":"Design breeding program for the Indian white shrimp &lt;i&gt;Fenneropenaeus indicus&lt;/i&gt; in Egypt","URL":"https://www.researchgate.net/publication/310509811_DESIGN_BREEDING_PROGRAM_FOR_THE_INDIAN_WHITE_SHRIMP_Fenneropenaeus_indicus_IN_EGYPT","author":[{"family":"Megahed","given":"M. E."}],"issued":{"date-parts":[["2014"]]}},"label":"page"}],"schema":"https://github.com/citation-style-language/schema/raw/master/csl-citation.json"} </w:instrText>
      </w:r>
      <w:r w:rsidR="3B92FA4B" w:rsidRPr="00DA249F">
        <w:rPr>
          <w:lang w:val="en-GB"/>
        </w:rPr>
        <w:fldChar w:fldCharType="separate"/>
      </w:r>
      <w:r w:rsidR="00144D96" w:rsidRPr="00144D96">
        <w:rPr>
          <w:szCs w:val="24"/>
        </w:rPr>
        <w:t>(Özcan &amp; Galil, 2006; Stentiford &amp; Lightner, 2011; Megahed, 2014)</w:t>
      </w:r>
      <w:r w:rsidR="3B92FA4B" w:rsidRPr="00DA249F">
        <w:rPr>
          <w:lang w:val="en-GB"/>
        </w:rPr>
        <w:fldChar w:fldCharType="end"/>
      </w:r>
      <w:r w:rsidR="3B92FA4B" w:rsidRPr="00DA249F">
        <w:rPr>
          <w:lang w:val="en-GB"/>
        </w:rPr>
        <w:t xml:space="preserve">. Unintentional introductions consist of “spillover” from crops farmed or stocked in natural </w:t>
      </w:r>
      <w:r w:rsidR="00B16801" w:rsidRPr="00DA249F">
        <w:rPr>
          <w:lang w:val="en-GB"/>
        </w:rPr>
        <w:t>habitats</w:t>
      </w:r>
      <w:r w:rsidR="3B92FA4B" w:rsidRPr="00DA249F">
        <w:rPr>
          <w:lang w:val="en-GB"/>
        </w:rPr>
        <w:t xml:space="preserve"> (e.g., marine algae farming, marine stock enhancement); escape, </w:t>
      </w:r>
      <w:r w:rsidR="007E3DB6" w:rsidRPr="00DA249F">
        <w:rPr>
          <w:lang w:val="en-GB"/>
        </w:rPr>
        <w:t xml:space="preserve">unintentional </w:t>
      </w:r>
      <w:r w:rsidR="3B92FA4B" w:rsidRPr="00DA249F">
        <w:rPr>
          <w:lang w:val="en-GB"/>
        </w:rPr>
        <w:t xml:space="preserve">release, or spawning from culture facilities </w:t>
      </w:r>
      <w:r w:rsidR="3B92FA4B" w:rsidRPr="00DA249F">
        <w:rPr>
          <w:lang w:val="en-GB"/>
        </w:rPr>
        <w:fldChar w:fldCharType="begin"/>
      </w:r>
      <w:r w:rsidR="00331A79">
        <w:rPr>
          <w:rFonts w:hint="eastAsia"/>
          <w:lang w:val="en-GB"/>
        </w:rPr>
        <w:instrText xml:space="preserve"> ADDIN ZOTERO_ITEM CSL_CITATION {"citationID":"A614qOzH","properties":{"formattedCitation":"(Arechavala-Lopez et al., 2018; Arechavala\\uc0\\u8208{}Lopez et al., 2017)","plainCitation":"(Arechavala-Lopez et al., 2018; Arechavala</w:instrText>
      </w:r>
      <w:r w:rsidR="00331A79">
        <w:rPr>
          <w:rFonts w:hint="eastAsia"/>
          <w:lang w:val="en-GB"/>
        </w:rPr>
        <w:instrText>‐</w:instrText>
      </w:r>
      <w:r w:rsidR="00331A79">
        <w:rPr>
          <w:rFonts w:hint="eastAsia"/>
          <w:lang w:val="en-GB"/>
        </w:rPr>
        <w:instrText>Lopez et al., 2017)","dont</w:instrText>
      </w:r>
      <w:r w:rsidR="00331A79">
        <w:rPr>
          <w:lang w:val="en-GB"/>
        </w:rPr>
        <w:instrText xml:space="preserve">Update":true,"noteIndex":0},"citationItems":[{"id":32186,"uris":["http://zotero.org/groups/2352922/items/8ZCBLXFK"],"itemData":{"id":32186,"type":"article-journal","abstract":"Gilthead sea bream and European sea bass aquaculture is widely established in the Mediterranean and North-eastern Atlantic regions, and rearing is mainly in coastal net-pen facilities. The rapid growth of the fish farming industry increases the potential number of farmed fish in the wild. Escape-related issues are likely to increase unless escape-management policies are included into the aquaculture legislation in the near future. This review summarizes the potential direct interactions among escaped fish and nearby farmed fish stocks, wild conspecifics, and coastal fish populations, since these interactions could compromise sustainability in coastal areas. Socioeconomic implications are also addressed, given that escape events can also lead to economic losses for farmers and may alter local fishery landings. Fish markets and consumers might be also affected. This review compiles the current knowledge on the potential effects of escapees in coastal areas, and contributes to the existing risks analyses regarding sea bream and sea bass escapes. Eventually, the need to design management policies to prevent or minimize escape events and to mitigate further impacts, applicable to Mediterranean countries and of special interest in areas where these species are locally absent, is discussed in the context of sustainable fin-fish aquaculture.","container-title":"Reviews in Fisheries Science &amp; Aquaculture","DOI":"10.1080/23308249.2017.1384789","ISSN":"2330-8249","issue":"2","note":"publisher: Taylor &amp; Francis\n_eprint: https://doi.org/10.1080/23308249.2017.1384789","page":"214-234","source":"Taylor and Francis+NEJM","title":"Implications of Sea Bream and Sea Bass Escapes for Sustainable Aquaculture Management: A Review of Interactions, Risks and Consequences","title-short":"Implications of Sea Bream and Sea Bass Escapes for Sustainable Aquaculture Management","URL":"https://doi.org/10.1080/23308249.2017.1384789","volume":"26","author":[{"family":"Arechavala-Lopez","given":"Pablo"},{"family":"Toledo-Guedes","given":"K."},{"family":"Izquierdo-Gomez","given":"D."},{"family":"Šegvić-Bubić","given":"T."},{"family":"Sanchez-Jerez","given":"P."}],"accessed":{"date-parts":[["2021",12,3]]},"issued":{"date-parts":[["2018",4,3]]}}},{"id":32167,"uris":["http://zotero.org/groups/2352922/items/FF68BRT9"],"itemData":{"id":32167,"type":"article-journal","container-title":"Aquaculture research","DOI":"https://doi.org/10.1111/are.12986","issue":"4","note":"ISBN: 1355-557X\npublisher: Wiley Online Library","page":"1502-1512","title":"Rapid dispersion of escaped meagre (&lt;i&gt;Argyrosomus regius&lt;/i&gt;) from a coastal </w:instrText>
      </w:r>
      <w:r w:rsidR="00331A79">
        <w:rPr>
          <w:rFonts w:hint="eastAsia"/>
          <w:lang w:val="en-GB"/>
        </w:rPr>
        <w:instrText>Mediterranean fish farm","volume":"48","author":[{"family":"Arechavala-Lopez","given":"Pablo"},{"family":"Uglem","given":"Ingebrigt"},{"family":"Izquierdo</w:instrText>
      </w:r>
      <w:r w:rsidR="00331A79">
        <w:rPr>
          <w:rFonts w:hint="eastAsia"/>
          <w:lang w:val="en-GB"/>
        </w:rPr>
        <w:instrText>‐</w:instrText>
      </w:r>
      <w:r w:rsidR="00331A79">
        <w:rPr>
          <w:rFonts w:hint="eastAsia"/>
          <w:lang w:val="en-GB"/>
        </w:rPr>
        <w:instrText>Gomez","given":"David"},{"family":"Fernandez</w:instrText>
      </w:r>
      <w:r w:rsidR="00331A79">
        <w:rPr>
          <w:rFonts w:hint="eastAsia"/>
          <w:lang w:val="en-GB"/>
        </w:rPr>
        <w:instrText>‐</w:instrText>
      </w:r>
      <w:r w:rsidR="00331A79">
        <w:rPr>
          <w:rFonts w:hint="eastAsia"/>
          <w:lang w:val="en-GB"/>
        </w:rPr>
        <w:instrText>Jover","given":"Damian"},{"family":"Sanchez</w:instrText>
      </w:r>
      <w:r w:rsidR="00331A79">
        <w:rPr>
          <w:rFonts w:hint="eastAsia"/>
          <w:lang w:val="en-GB"/>
        </w:rPr>
        <w:instrText>‐</w:instrText>
      </w:r>
      <w:r w:rsidR="00331A79">
        <w:rPr>
          <w:rFonts w:hint="eastAsia"/>
          <w:lang w:val="en-GB"/>
        </w:rPr>
        <w:instrText>Jerez","giv</w:instrText>
      </w:r>
      <w:r w:rsidR="00331A79">
        <w:rPr>
          <w:lang w:val="en-GB"/>
        </w:rPr>
        <w:instrText xml:space="preserve">en":"Pablo"}],"issued":{"date-parts":[["2017"]]}}}],"schema":"https://github.com/citation-style-language/schema/raw/master/csl-citation.json"} </w:instrText>
      </w:r>
      <w:r w:rsidR="3B92FA4B" w:rsidRPr="00DA249F">
        <w:rPr>
          <w:lang w:val="en-GB"/>
        </w:rPr>
        <w:fldChar w:fldCharType="separate"/>
      </w:r>
      <w:r w:rsidR="00BB01E1" w:rsidRPr="00DA249F">
        <w:rPr>
          <w:lang w:val="en-GB"/>
        </w:rPr>
        <w:t>(Arechavala-Lopez et al., 2018, 2017)</w:t>
      </w:r>
      <w:r w:rsidR="3B92FA4B" w:rsidRPr="00DA249F">
        <w:rPr>
          <w:lang w:val="en-GB"/>
        </w:rPr>
        <w:fldChar w:fldCharType="end"/>
      </w:r>
      <w:r w:rsidR="00B3622B">
        <w:rPr>
          <w:lang w:val="en-GB"/>
        </w:rPr>
        <w:t>;</w:t>
      </w:r>
      <w:r w:rsidR="3B92FA4B" w:rsidRPr="00DA249F">
        <w:rPr>
          <w:lang w:val="en-GB"/>
        </w:rPr>
        <w:t xml:space="preserve"> and </w:t>
      </w:r>
      <w:r w:rsidR="007E3DB6" w:rsidRPr="00DA249F">
        <w:rPr>
          <w:lang w:val="en-GB"/>
        </w:rPr>
        <w:t xml:space="preserve">alien </w:t>
      </w:r>
      <w:r w:rsidR="3B92FA4B" w:rsidRPr="00DA249F">
        <w:rPr>
          <w:lang w:val="en-GB"/>
        </w:rPr>
        <w:t xml:space="preserve">species associated with </w:t>
      </w:r>
      <w:r w:rsidR="00D77492" w:rsidRPr="00DA249F">
        <w:rPr>
          <w:lang w:val="en-GB"/>
        </w:rPr>
        <w:t>the farmed</w:t>
      </w:r>
      <w:r w:rsidR="3B92FA4B" w:rsidRPr="00DA249F">
        <w:rPr>
          <w:lang w:val="en-GB"/>
        </w:rPr>
        <w:t xml:space="preserve"> species, </w:t>
      </w:r>
      <w:r w:rsidR="00B3622B">
        <w:rPr>
          <w:lang w:val="en-GB"/>
        </w:rPr>
        <w:t>or</w:t>
      </w:r>
      <w:r w:rsidR="3B92FA4B" w:rsidRPr="00DA249F">
        <w:rPr>
          <w:lang w:val="en-GB"/>
        </w:rPr>
        <w:t xml:space="preserve"> equipment used for culture or transportation of the </w:t>
      </w:r>
      <w:r w:rsidR="00D77492" w:rsidRPr="00DA249F">
        <w:rPr>
          <w:lang w:val="en-GB"/>
        </w:rPr>
        <w:t>farmed</w:t>
      </w:r>
      <w:r w:rsidR="3B92FA4B" w:rsidRPr="00DA249F">
        <w:rPr>
          <w:lang w:val="en-GB"/>
        </w:rPr>
        <w:t xml:space="preserve"> species </w:t>
      </w:r>
      <w:r w:rsidR="3B92FA4B" w:rsidRPr="00DA249F">
        <w:rPr>
          <w:lang w:val="en-GB"/>
        </w:rPr>
        <w:fldChar w:fldCharType="begin"/>
      </w:r>
      <w:r w:rsidR="00331A79">
        <w:rPr>
          <w:lang w:val="en-GB"/>
        </w:rPr>
        <w:instrText xml:space="preserve"> ADDIN ZOTERO_ITEM CSL_CITATION {"citationID":"NmhpxmBj","properties":{"unsorted":true,"formattedCitation":"(Reise et al., 1998; Mineur et al., 2007)","plainCitation":"(Reise et al., 1998; Mineur et al., 2007)","noteIndex":0},"citationItems":[{"id":28607,"uris":["http://zotero.org/groups/2352922/items/KYGA7NXH"],"itemData":{"id":28607,"type":"article-journal","container-title":"Helgolander Meeresunters","DOI":"10.1007/BF02908898","issue":"3-4","journalAbbreviation":"Helgoland Mar. Res.","page":"219-234","title":"Introduced marine species of the North Sea coasts","volume":"52","author":[{"family":"Reise","given":"K"},{"family":"Gollasch","given":"S"},{"family":"Wolff","given":"W J"}],"issued":{"date-parts":[["1998"]]}},"label":"page"},{"id":32783,"uris":["http://zotero.org/groups/2352922/items/TK2LDM9Y"],"itemData":{"id":32783,"type":"article-journal","container-title":"Biological Conservation","DOI":"10.1016/j.biocon.2007.02.001","ISSN":"00063207","issue":"2","journalAbbreviation":"Biological Conservation","language":"en","page":"237-247","source":"DOI.org (Crossref)","title":"Experimental assessment of oyster transfers as a vector for macroalgal introductions","URL":"https://linkinghub.elsevier.com/retrieve/pii/S0006320707000638","volume":"137","author":[{"family":"Mineur","given":"Frédéric"},{"family":"Belsher","given":"Thomas"},{"family":"Johnson","given":"Mark P."},{"family":"Maggs","given":"Christine A."},{"family":"Verlaque","given":"Marc"}],"accessed":{"date-parts":[["2020",8,7]]},"issued":{"date-parts":[["2007",6]]}},"label":"page"}],"schema":"https://github.com/citation-style-language/schema/raw/master/csl-citation.json"} </w:instrText>
      </w:r>
      <w:r w:rsidR="3B92FA4B" w:rsidRPr="00DA249F">
        <w:rPr>
          <w:lang w:val="en-GB"/>
        </w:rPr>
        <w:fldChar w:fldCharType="separate"/>
      </w:r>
      <w:r w:rsidR="00144D96" w:rsidRPr="00144D96">
        <w:t>(Reise et al., 1998; Mineur et al., 2007)</w:t>
      </w:r>
      <w:r w:rsidR="3B92FA4B" w:rsidRPr="00DA249F">
        <w:rPr>
          <w:lang w:val="en-GB"/>
        </w:rPr>
        <w:fldChar w:fldCharType="end"/>
      </w:r>
      <w:r w:rsidR="3B92FA4B" w:rsidRPr="00DA249F">
        <w:rPr>
          <w:lang w:val="en-GB"/>
        </w:rPr>
        <w:t xml:space="preserve">. </w:t>
      </w:r>
      <w:r w:rsidR="002F1EAE" w:rsidRPr="00DA249F">
        <w:rPr>
          <w:lang w:val="en-GB"/>
        </w:rPr>
        <w:t>Arguably, d</w:t>
      </w:r>
      <w:r w:rsidR="3B92FA4B" w:rsidRPr="00DA249F">
        <w:rPr>
          <w:lang w:val="en-GB"/>
        </w:rPr>
        <w:t xml:space="preserve">ue to the high permeability of </w:t>
      </w:r>
      <w:r w:rsidR="000E3501" w:rsidRPr="00DA249F">
        <w:rPr>
          <w:lang w:val="en-GB"/>
        </w:rPr>
        <w:t>m</w:t>
      </w:r>
      <w:r w:rsidR="005774F8" w:rsidRPr="00DA249F">
        <w:rPr>
          <w:lang w:val="en-GB"/>
        </w:rPr>
        <w:t>a</w:t>
      </w:r>
      <w:r w:rsidR="00E479AC" w:rsidRPr="00DA249F">
        <w:rPr>
          <w:lang w:val="en-GB"/>
        </w:rPr>
        <w:t xml:space="preserve">rine </w:t>
      </w:r>
      <w:r w:rsidR="3B92FA4B" w:rsidRPr="00DA249F">
        <w:rPr>
          <w:lang w:val="en-GB"/>
        </w:rPr>
        <w:t xml:space="preserve">farming facilities, </w:t>
      </w:r>
      <w:r w:rsidR="00E479AC" w:rsidRPr="00DA249F">
        <w:rPr>
          <w:lang w:val="en-GB"/>
        </w:rPr>
        <w:t xml:space="preserve">the use of alien species in these settings </w:t>
      </w:r>
      <w:r w:rsidR="001F4C3A" w:rsidRPr="00DA249F">
        <w:rPr>
          <w:lang w:val="en-GB"/>
        </w:rPr>
        <w:t>are essentially</w:t>
      </w:r>
      <w:r w:rsidR="00066BF9" w:rsidRPr="00DA249F">
        <w:rPr>
          <w:lang w:val="en-GB"/>
        </w:rPr>
        <w:t xml:space="preserve"> </w:t>
      </w:r>
      <w:r w:rsidR="3B92FA4B" w:rsidRPr="00DA249F">
        <w:rPr>
          <w:lang w:val="en-GB"/>
        </w:rPr>
        <w:t>intentional introductions to the wild</w:t>
      </w:r>
      <w:r w:rsidR="002F1EAE" w:rsidRPr="00DA249F">
        <w:rPr>
          <w:lang w:val="en-GB"/>
        </w:rPr>
        <w:t xml:space="preserve"> </w:t>
      </w:r>
      <w:r w:rsidR="0072192B" w:rsidRPr="00DA249F">
        <w:rPr>
          <w:lang w:val="en-GB"/>
        </w:rPr>
        <w:fldChar w:fldCharType="begin"/>
      </w:r>
      <w:r w:rsidR="00331A79">
        <w:rPr>
          <w:lang w:val="en-GB"/>
        </w:rPr>
        <w:instrText xml:space="preserve"> ADDIN ZOTERO_ITEM CSL_CITATION {"citationID":"phiMTKu6","properties":{"formattedCitation":"(FAO, 1995; Grosholz et al., 2015)","plainCitation":"(FAO, 1995; Grosholz et al., 2015)","noteIndex":0},"citationItems":[{"id":12464,"uris":["http://zotero.org/groups/2352922/items/X6643G3S"],"itemData":{"id":12464,"type":"document","publisher":"International standards for phytosanitary measures (ISPM). No. 2. Food and Agriculture Organization of the United Nations","title":"Guidelines for pest risk analysis","URL":"https://www.ippc.int/largefiles/adopted_ISPMs_previousversions/en/ISPM_02_1995_En_2006-05-03.pdf","author":[{"literal":"FAO"}],"issued":{"date-parts":[["1995"]]}}},{"id":16692,"uris":["http://zotero.org/groups/2352922/items/DIYZ7FGY"],"itemData":{"id":16692,"type":"article-journal","container-title":"Biological Invasions","DOI":"10.1007/s10530-014-0808-9","ISSN":"1387-3547, 1573-1464","issue":"5","journalAbbreviation":"Biol Invasions","language":"en","page":"1471-1484","source":"DOI.org (Crossref)","title":"Aquaculture as a vector for marine invasions in California","URL":"http://link.springer.com/10.1007/s10530-014-0808-9","volume":"17","author":[{"family":"Grosholz","given":"Edwin D."},{"family":"Crafton","given":"R. Eliot"},{"family":"Fontana","given":"Rachel E."},{"family":"Pasari","given":"Jae R."},{"family":"Williams","given":"Susan L."},{"family":"Zabin","given":"Chela J."}],"accessed":{"date-parts":[["2019",12,2]]},"issued":{"date-parts":[["2015",5]]}},"label":"page"}],"schema":"https://github.com/citation-style-language/schema/raw/master/csl-citation.json"} </w:instrText>
      </w:r>
      <w:r w:rsidR="0072192B" w:rsidRPr="00DA249F">
        <w:rPr>
          <w:lang w:val="en-GB"/>
        </w:rPr>
        <w:fldChar w:fldCharType="separate"/>
      </w:r>
      <w:r w:rsidR="00144D96" w:rsidRPr="00144D96">
        <w:t>(FAO, 1995; Grosholz et al., 2015)</w:t>
      </w:r>
      <w:r w:rsidR="0072192B" w:rsidRPr="00DA249F">
        <w:rPr>
          <w:lang w:val="en-GB"/>
        </w:rPr>
        <w:fldChar w:fldCharType="end"/>
      </w:r>
      <w:r w:rsidR="0072192B" w:rsidRPr="00DA249F">
        <w:rPr>
          <w:lang w:val="en-GB"/>
        </w:rPr>
        <w:t xml:space="preserve">. </w:t>
      </w:r>
      <w:r w:rsidR="0072192B" w:rsidRPr="00DA249F">
        <w:rPr>
          <w:i/>
          <w:iCs/>
          <w:lang w:val="en-GB"/>
        </w:rPr>
        <w:t>Tilapia</w:t>
      </w:r>
      <w:r w:rsidR="0072192B" w:rsidRPr="00DA249F">
        <w:rPr>
          <w:lang w:val="en-GB"/>
        </w:rPr>
        <w:t xml:space="preserve"> </w:t>
      </w:r>
      <w:r w:rsidR="001A0E22" w:rsidRPr="00DA249F">
        <w:rPr>
          <w:lang w:val="en-GB"/>
        </w:rPr>
        <w:t>species are</w:t>
      </w:r>
      <w:r w:rsidR="0072192B" w:rsidRPr="00DA249F">
        <w:rPr>
          <w:lang w:val="en-GB"/>
        </w:rPr>
        <w:t xml:space="preserve"> the third most important fish in aquaculture globally, and have established as alien in every country where they have been introduced </w:t>
      </w:r>
      <w:r w:rsidR="0072192B" w:rsidRPr="00DA249F">
        <w:rPr>
          <w:lang w:val="en-GB"/>
        </w:rPr>
        <w:fldChar w:fldCharType="begin"/>
      </w:r>
      <w:r w:rsidR="00331A79">
        <w:rPr>
          <w:lang w:val="en-GB"/>
        </w:rPr>
        <w:instrText xml:space="preserve"> ADDIN ZOTERO_ITEM CSL_CITATION {"citationID":"yH6sJyDr","properties":{"formattedCitation":"(Canonico et al., 2005)","plainCitation":"(Canonico et al., 2005)","noteIndex":0},"citationItems":[{"id":30432,"uris":["http://zotero.org/groups/2352922/items/K9IXJA29"],"itemData":{"id":30432,"type":"article-journal","abstract":"1. The common name ‘tilapia’ refers to a group of tropical freshwater fish in the family Cichlidae (Oreochromis, Tilapia, and Sarotherodon spp.) that are indigenous to Africa and the southwestern Middle East. Since the 1930s, tilapias have been intentionally dispersed worldwide for the biological control of aquatic weeds and insects, as baitfish for certain capture fisheries, for aquaria, and as a food fish. They have most recently been promoted as an important source of protein that could provide food security for developing countries without the environmental problems associated with terrestrial agriculture. In addition, market demand for tilapia in developed countries such as the United States is growing rapidly. 2. Tilapias are well-suited to aquaculture because they are highly prolific and tolerant to a range of environmental conditions. They have come to be known as the ‘aquatic chicken’ because of their potential as an affordable, high-yield source of protein that can be easily raised in a range of environments — from subsistence or ‘backyard’ units to intensive fish hatcheries. In some countries, particularly in Asia, nearly all of the introduced tilapias produced are consumed domestically; tilapias have contributed to basic food security for such societies. 3. This review indicates that tilapia species are highly invasive and exist under feral conditions in every nation in which they have been cultured or introduced. Thus, the authors have concluded that, despite potential or observed benefits to human society, tilapia aquaculture and open-water introductions cannot continue unchecked without further exacerbating damage to native fish species and biodiversity. Recommendations include restricting tilapia culture to carefully managed, contained ponds, although exclusion is preferred when it is feasible. Research into culture of indigenous species is also recommended. Copyright © 2005 John Wiley &amp; Sons, Ltd.","container-title":"Aquatic Conservation: Marine and Freshwater Ecosystems","DOI":"10.1002/aqc.699","ISSN":"1099-0755","issue":"5","journalAbbreviation":"Aquatic Conserv: Mar. Freshw. Ecosyst.","language":"en","license":"Copyright © 2005 John Wiley &amp; Sons, Ltd.","page":"463-483","source":"Wiley Online Library","title":"The effects of introduced tilapias on native biodiversity","URL":"https://onlinelibrary.wiley.com/doi/abs/10.1002/aqc.699","volume":"15","author":[{"family":"Canonico","given":"Gabrielle C."},{"family":"Arthington","given":"Angela"},{"family":"McCrary","given":"Jeffrey K."},{"family":"Thieme","given":"Michele L."}],"accessed":{"date-parts":[["2019",11,28]]},"issued":{"date-parts":[["2005"]]}},"label":"page"}],"schema":"https://github.com/citation-style-language/schema/raw/master/csl-citation.json"} </w:instrText>
      </w:r>
      <w:r w:rsidR="0072192B" w:rsidRPr="00DA249F">
        <w:rPr>
          <w:lang w:val="en-GB"/>
        </w:rPr>
        <w:fldChar w:fldCharType="separate"/>
      </w:r>
      <w:r w:rsidR="00144D96" w:rsidRPr="00144D96">
        <w:t>(Canonico et al., 2005)</w:t>
      </w:r>
      <w:r w:rsidR="0072192B" w:rsidRPr="00DA249F">
        <w:rPr>
          <w:lang w:val="en-GB"/>
        </w:rPr>
        <w:fldChar w:fldCharType="end"/>
      </w:r>
      <w:r w:rsidR="0072192B" w:rsidRPr="00DA249F">
        <w:rPr>
          <w:lang w:val="en-GB"/>
        </w:rPr>
        <w:t xml:space="preserve">. </w:t>
      </w:r>
      <w:r w:rsidR="0072192B" w:rsidRPr="00DA249F">
        <w:rPr>
          <w:i/>
          <w:iCs/>
          <w:lang w:val="en-GB"/>
        </w:rPr>
        <w:t>Magallana gigas</w:t>
      </w:r>
      <w:r w:rsidR="0072192B" w:rsidRPr="00DA249F">
        <w:rPr>
          <w:lang w:val="en-GB"/>
        </w:rPr>
        <w:t xml:space="preserve"> (Pacific oyster) is one of the most </w:t>
      </w:r>
      <w:r w:rsidR="00C24FA2" w:rsidRPr="00DA249F">
        <w:rPr>
          <w:lang w:val="en-GB"/>
        </w:rPr>
        <w:t>widely used</w:t>
      </w:r>
      <w:r w:rsidR="0072192B" w:rsidRPr="00DA249F">
        <w:rPr>
          <w:lang w:val="en-GB"/>
        </w:rPr>
        <w:t xml:space="preserve"> marine invertebrates, introduced primarily for aquaculture in 66 countries, </w:t>
      </w:r>
      <w:r w:rsidR="00C24FA2" w:rsidRPr="00DA249F">
        <w:rPr>
          <w:lang w:val="en-GB"/>
        </w:rPr>
        <w:t>of which</w:t>
      </w:r>
      <w:r w:rsidR="0072192B" w:rsidRPr="00DA249F">
        <w:rPr>
          <w:lang w:val="en-GB"/>
        </w:rPr>
        <w:t xml:space="preserve"> </w:t>
      </w:r>
      <w:r w:rsidR="00C24FA2" w:rsidRPr="00DA249F">
        <w:rPr>
          <w:lang w:val="en-GB"/>
        </w:rPr>
        <w:t>alien</w:t>
      </w:r>
      <w:r w:rsidR="0072192B" w:rsidRPr="00DA249F">
        <w:rPr>
          <w:lang w:val="en-GB"/>
        </w:rPr>
        <w:t xml:space="preserve"> populations have established in at least 17 </w:t>
      </w:r>
      <w:r w:rsidR="0072192B" w:rsidRPr="00DA249F">
        <w:rPr>
          <w:lang w:val="en-GB"/>
        </w:rPr>
        <w:fldChar w:fldCharType="begin"/>
      </w:r>
      <w:r w:rsidR="00331A79">
        <w:rPr>
          <w:lang w:val="en-GB"/>
        </w:rPr>
        <w:instrText xml:space="preserve"> ADDIN ZOTERO_ITEM CSL_CITATION {"citationID":"z0e6No2K","properties":{"formattedCitation":"(Herbert et al., 2016)","plainCitation":"(Herbert et al., 2016)","noteIndex":0},"citationItems":[{"id":22602,"uris":["http://zotero.org/groups/2352922/items/8ZW2EQHS"],"itemData":{"id":22602,"type":"article-journal","container-title":"Biodiversity and Conservation","DOI":"10.1007/s10531-016-1209-4","ISSN":"0960-3115, 1572-9710","issue":"14","journalAbbreviation":"Biodivers Conserv","language":"en","page":"2835-2865","source":"DOI.org (Crossref)","title":"Ecological impacts of non-native Pacific oysters (&lt;i&gt;Crassostrea gigas&lt;/i&gt;) and management measures for protected areas in Europe","URL":"http://link.springer.com/10.1007/s10531-016-1209-4","volume":"25","author":[{"family":"Herbert","given":"Roger J. H."},{"family":"Humphreys","given":"John"},{"family":"Davies","given":"Clare. J."},{"family":"Roberts","given":"Caroline"},{"family":"Fletcher","given":"Steve"},{"family":"Crowe","given":"Tasman. P."}],"accessed":{"date-parts":[["2020",6,22]]},"issued":{"date-parts":[["2016",12]]}},"label":"page"}],"schema":"https://github.com/citation-style-language/schema/raw/master/csl-citation.json"} </w:instrText>
      </w:r>
      <w:r w:rsidR="0072192B" w:rsidRPr="00DA249F">
        <w:rPr>
          <w:lang w:val="en-GB"/>
        </w:rPr>
        <w:fldChar w:fldCharType="separate"/>
      </w:r>
      <w:r w:rsidR="00144D96" w:rsidRPr="00144D96">
        <w:t>(Herbert et al., 2016)</w:t>
      </w:r>
      <w:r w:rsidR="0072192B" w:rsidRPr="00DA249F">
        <w:rPr>
          <w:lang w:val="en-GB"/>
        </w:rPr>
        <w:fldChar w:fldCharType="end"/>
      </w:r>
      <w:r w:rsidR="0072192B" w:rsidRPr="00DA249F">
        <w:rPr>
          <w:lang w:val="en-GB"/>
        </w:rPr>
        <w:t xml:space="preserve">. The open sea farming of </w:t>
      </w:r>
      <w:r w:rsidR="0072192B" w:rsidRPr="00DA249F">
        <w:rPr>
          <w:i/>
          <w:iCs/>
          <w:lang w:val="en-GB"/>
        </w:rPr>
        <w:t>Undaria pinnatifida</w:t>
      </w:r>
      <w:r w:rsidR="0072192B" w:rsidRPr="00DA249F">
        <w:rPr>
          <w:lang w:val="en-GB"/>
        </w:rPr>
        <w:t xml:space="preserve"> (Asian kelp)</w:t>
      </w:r>
      <w:r w:rsidR="00774819">
        <w:rPr>
          <w:lang w:val="en-GB"/>
        </w:rPr>
        <w:t xml:space="preserve"> and</w:t>
      </w:r>
      <w:r w:rsidR="0072192B" w:rsidRPr="00DA249F">
        <w:rPr>
          <w:lang w:val="en-GB"/>
        </w:rPr>
        <w:t xml:space="preserve"> carrageenan-producing </w:t>
      </w:r>
      <w:r w:rsidR="0001743A" w:rsidRPr="00DA249F">
        <w:rPr>
          <w:lang w:val="en-GB"/>
        </w:rPr>
        <w:t xml:space="preserve">seaweeds </w:t>
      </w:r>
      <w:r w:rsidR="0072192B" w:rsidRPr="00DA249F">
        <w:rPr>
          <w:i/>
          <w:iCs/>
          <w:lang w:val="en-GB"/>
        </w:rPr>
        <w:t>Kappaphycus alvarezii</w:t>
      </w:r>
      <w:r w:rsidR="0072192B" w:rsidRPr="00DA249F">
        <w:rPr>
          <w:lang w:val="en-GB"/>
        </w:rPr>
        <w:t xml:space="preserve"> </w:t>
      </w:r>
      <w:r w:rsidR="00F217BA" w:rsidRPr="00DA249F">
        <w:rPr>
          <w:lang w:val="en-GB"/>
        </w:rPr>
        <w:t>(</w:t>
      </w:r>
      <w:r w:rsidR="00F816CA" w:rsidRPr="00DA249F">
        <w:rPr>
          <w:rFonts w:eastAsia="Times New Roman"/>
          <w:color w:val="000000"/>
          <w:szCs w:val="24"/>
          <w:lang w:val="en-GB" w:eastAsia="zh-CN"/>
        </w:rPr>
        <w:t>elkhorn sea moss</w:t>
      </w:r>
      <w:r w:rsidR="00F217BA" w:rsidRPr="00DA249F">
        <w:rPr>
          <w:lang w:val="en-GB"/>
        </w:rPr>
        <w:t xml:space="preserve">) </w:t>
      </w:r>
      <w:r w:rsidR="0072192B" w:rsidRPr="00DA249F">
        <w:rPr>
          <w:lang w:val="en-GB"/>
        </w:rPr>
        <w:t xml:space="preserve">and </w:t>
      </w:r>
      <w:r w:rsidR="0072192B" w:rsidRPr="00DA249F">
        <w:rPr>
          <w:i/>
          <w:iCs/>
          <w:lang w:val="en-GB"/>
        </w:rPr>
        <w:t>Eucheuma denticulatum</w:t>
      </w:r>
      <w:r w:rsidR="00F217BA" w:rsidRPr="00DA249F">
        <w:rPr>
          <w:i/>
          <w:iCs/>
          <w:lang w:val="en-GB"/>
        </w:rPr>
        <w:t xml:space="preserve"> </w:t>
      </w:r>
      <w:r w:rsidR="00F217BA" w:rsidRPr="00DA249F">
        <w:rPr>
          <w:iCs/>
          <w:lang w:val="en-GB"/>
        </w:rPr>
        <w:t>(</w:t>
      </w:r>
      <w:r w:rsidR="00F217BA" w:rsidRPr="00DA249F">
        <w:rPr>
          <w:rFonts w:eastAsia="Times New Roman"/>
          <w:color w:val="000000"/>
          <w:szCs w:val="24"/>
          <w:lang w:val="en-GB" w:eastAsia="zh-CN"/>
        </w:rPr>
        <w:t>eucheuma seaweed)</w:t>
      </w:r>
      <w:r w:rsidR="0072192B" w:rsidRPr="00DA249F">
        <w:rPr>
          <w:lang w:val="en-GB"/>
        </w:rPr>
        <w:t xml:space="preserve">, </w:t>
      </w:r>
      <w:r w:rsidR="00C24FA2" w:rsidRPr="00DA249F">
        <w:rPr>
          <w:lang w:val="en-GB"/>
        </w:rPr>
        <w:t>has</w:t>
      </w:r>
      <w:r w:rsidR="0072192B" w:rsidRPr="00DA249F">
        <w:rPr>
          <w:lang w:val="en-GB"/>
        </w:rPr>
        <w:t xml:space="preserve"> facilitated their spread to surrounding areas, including marine protected areas, in European, Indian, South America</w:t>
      </w:r>
      <w:r w:rsidR="00774819">
        <w:rPr>
          <w:lang w:val="en-GB"/>
        </w:rPr>
        <w:t xml:space="preserve"> and</w:t>
      </w:r>
      <w:r w:rsidR="0072192B" w:rsidRPr="00DA249F">
        <w:rPr>
          <w:lang w:val="en-GB"/>
        </w:rPr>
        <w:t xml:space="preserve"> African coastal waters </w:t>
      </w:r>
      <w:r w:rsidR="0072192B" w:rsidRPr="00DA249F">
        <w:rPr>
          <w:lang w:val="en-GB"/>
        </w:rPr>
        <w:fldChar w:fldCharType="begin"/>
      </w:r>
      <w:r w:rsidR="00331A79">
        <w:rPr>
          <w:lang w:val="en-GB"/>
        </w:rPr>
        <w:instrText xml:space="preserve"> ADDIN ZOTERO_ITEM CSL_CITATION {"citationID":"BKPDucEJ","properties":{"unsorted":true,"formattedCitation":"(Floc\\uc0\\u8217{}h et al., 1991; Chandrasekaran et al., 2008; Barrios et al., 2007; Tano et al., 2015)","plainCitation":"(Floc’h et al., 1991; Chandrasekaran et al., 2008; Barrios et al., 2007; Tano et al., 2015)","noteIndex":0},"citationItems":[{"id":32183,"uris":["http://zotero.org/groups/2352922/items/JUXEXRPH"],"itemData":{"id":32183,"type":"article-journal","abstract":"The first observations of the seaweed Undaria pinnalifida (Harv.) Sur. in France were made in 1971 in the Etang de Thau in the Mediterranean, after the alga had been accidentally introduced with oysters from Japan. Since the species is of commercial interest, the prospect of cultivating it on the French Atlantic coast was explored. The risk of its dispersal from the farm site was considered minimal by the French authorities. Field experiments with farming on ropes have been conducted by IFREMER at three sites since 1983, two of which were soon abandoned. On the island of Ouessant, Brittany, the experiments with rope cultivation in the field have continued with plantules raised in a local hatchery. Based on the literature, an evaluation of the possible establishment of the species on the European Atlantic coast was made by the ICES Working Group on Introductions and Transfers of Marine Organisms. It was suggested that a control programme including a study of the main grazers should be carried out by French algologists. Since 1987, after a visit to the Asian seaweed communities including Undaria (in Korea, Japan, and China), a survey of fertile plants and naturally settled sporophytes has been undertaken by the first two authors at Ouessant. In 1987, Undaria sporophytes were found in the bay of Lampaul on the west coast of Brittany, growing vigorously on immersed supporting structures of a mussel farm, both old and newly built. A few plants were also recorded from rocks down to a depth of 5 m, occasionally down to 18 m. The occurrence of mature sporophytes and the colonization in the autumn of 1987 on structures built that summer indicated that the species had reproduced on the French Atlantic coast. However, the significance of natural reproduction for the native seaweed communities in the area will depend also on competition with other species and on the grazing pressure. An experimental control programme was begun in May 1988 to check the competition between the newly introduced Undaria and the native seaweed communities on the rocky shore of Ouessant. Thus the ecological importance of the species in these waters will have to be evaluated after the final results of the control programme are available.","container-title":"ICES Journal of Marine Science","DOI":"10.1093/icesjms/47.3.379","ISSN":"1054-3139","issue":"3","journalAbbreviation":"ICES Journal of Marine Science","page":"379-390","source":"Silverchair","title":"The Japanese brown alga &lt;i&gt;Undaria pinnatifida&lt;/i&gt; on the coast of France and its possible establishment in European waters","URL":"https://doi.org/10.1093/icesjms/47.3.379","volume":"47","author":[{"family":"Floc'h","given":"J. Y."},{"family":"Pajot","given":"R."},{"family":"Wallentinus","given":"I."}],"accessed":{"date-parts":[["2021",12,3]]},"issued":{"date-parts":[["1991",1,1]]}},"label":"page"},{"id":24571,"uris":["http://zotero.org/groups/2352922/items/JRAW6M9V"],"itemData":{"id":24571,"type":"article-journal","abstract":"Kappaphycus alvarezii (Doty) Doty (Rhodophyta: Solieriaceae)\nis a Philippine-derived macroalga introduced\ninto the Gulf of Mannar Marine Biosphere Reserve,\nSouth India for mariculture in 2000. Here we report\nits bioinvasion on branching corals (Acropora sp.) in\nthe Kurusadai Island. Qualitative data collected using\nunderwater photography clearly indicated its invasion\nand establishment on live and dead corals as well as\ncoral rubbles and pavements. It specifically invaded\nAcropora sp. as monospecific beds with extraordinary\nphenotypic plasticity in the form of thallus, thickness\nof its major axis and lateral branching. It shows remarkable\nshadowing and smothering effects over the\ncoral colonies. The primary and secondary branches\nare much reduced in the invaded algal colonies. Quantitative\ndata on its live cover on corals and biomass\nproduction are also reported. These observations are\ndiscussed with available limited information on bioinvasion\nof K. alvarezii on coral reefs. Our findings disprove\nall arguments and misapprehensions reported\nearlier about this species as coral-friendly and as a\nsafe candidate for mariculture for the production of\ncarrageenan under wild conditions in the Gulf of\nMannar. Our observations underscore the need for\nurgent reconsideration of its cultivation in a biologically\ndiverse ecosystem, the Gulf of Mannar.","container-title":"Current Science","issue":"9","language":"en","page":"1167-1172","source":"www.researchgate.net","title":"Bioinvasion of &lt;i&gt;Kappaphycus alvarezii&lt;/i&gt; on corals in the Gulf of Mannar, India","URL":"https://www.jstor.org/stable/24100697","volume":"94","author":[{"family":"Chandrasekaran","given":"S"},{"family":"Nagendran","given":"N. Arun"},{"family":"Pandiaraja","given":"D."},{"family":"Krishnankutty","given":"N."},{"family":"Kamalakannan","given":"B."}],"accessed":{"date-parts":[["2020",8,6]]},"issued":{"date-parts":[["2008",5,10]]}},"label":"page"},{"id":11198,"uris":["http://zotero.org/groups/2352922/items/MIPWFAB6"],"itemData":{"id":11198,"type":"article-journal","container-title":"Boletín del Instituto Oceanográfico de Venezuela","issue":"2","note":"ISBN: 0798-0639","page":"147-152","title":"Blanqueamiento de arrecifes coralinos por la invasión de &lt;i&gt;Kappaphycus alvarezii&lt;/i&gt; (rhodophyta) en isla cubagua, estado nueva esparta, Venezuela","URL":"https://repositorioslatinoamericanos.uchile.cl/handle/2250/227223","volume":"46","author":[{"family":"Barrios","given":"Jorge"},{"family":"Bolaños","given":"Juan"},{"family":"López","given":"Régulo"}],"issued":{"date-parts":[["2007"]]}},"label":"page"},{"id":52981,"uris":["http://zotero.org/groups/2352922/items/LQ9PRJYK"],"itemData":{"id":52981,"type":"article-journal","container-title":"Marine Biology","DOI":"10.1007/s00227-015-2724-7","ISSN":"0025-3162, 1432-1793","issue":"10","journalAbbreviation":"Mar Biol","language":"en","page":"1983-1992","source":"DOI.org (Crossref)","title":"Extensive spread of farmed seaweeds causes a shift from native to non-native haplotypes in natural seaweed beds","URL":"http://link.springer.com/10.1007/s00227-015-2724-7","volume":"162","author":[{"family":"Tano","given":"S. A."},{"family":"Halling","given":"C."},{"family":"Lind","given":"E."},{"family":"Buriyo","given":"A."},{"family":"Wikström","given":"S. A."}],"accessed":{"date-parts":[["2022",8,19]]},"issued":{"date-parts":[["2015",10]]}},"label":"page"}],"schema":"https://github.com/citation-style-language/schema/raw/master/csl-citation.json"} </w:instrText>
      </w:r>
      <w:r w:rsidR="0072192B" w:rsidRPr="00DA249F">
        <w:rPr>
          <w:lang w:val="en-GB"/>
        </w:rPr>
        <w:fldChar w:fldCharType="separate"/>
      </w:r>
      <w:r w:rsidR="00144D96" w:rsidRPr="00144D96">
        <w:rPr>
          <w:szCs w:val="24"/>
        </w:rPr>
        <w:t>(Floc’h et al., 1991; Chandrasekaran et al., 2008; Barrios et al., 2007; Tano et al., 2015)</w:t>
      </w:r>
      <w:r w:rsidR="0072192B" w:rsidRPr="00DA249F">
        <w:rPr>
          <w:lang w:val="en-GB"/>
        </w:rPr>
        <w:fldChar w:fldCharType="end"/>
      </w:r>
      <w:r w:rsidR="0072192B" w:rsidRPr="00DA249F">
        <w:rPr>
          <w:lang w:val="en-GB"/>
        </w:rPr>
        <w:t xml:space="preserve">. </w:t>
      </w:r>
    </w:p>
    <w:p w14:paraId="259ED33E" w14:textId="3C50C966" w:rsidR="007E3DB6" w:rsidRPr="00DA249F" w:rsidRDefault="2EC9EA8F" w:rsidP="7DBEC757">
      <w:pPr>
        <w:rPr>
          <w:lang w:val="en-GB"/>
        </w:rPr>
      </w:pPr>
      <w:r w:rsidRPr="5575EBFC">
        <w:rPr>
          <w:lang w:val="en-GB"/>
        </w:rPr>
        <w:t xml:space="preserve">Freshwater aquaculture involves mainly fish </w:t>
      </w:r>
      <w:r w:rsidR="4353C42E" w:rsidRPr="5575EBFC">
        <w:rPr>
          <w:lang w:val="en-GB"/>
        </w:rPr>
        <w:fldChar w:fldCharType="begin"/>
      </w:r>
      <w:r w:rsidR="00331A79">
        <w:rPr>
          <w:lang w:val="en-GB"/>
        </w:rPr>
        <w:instrText xml:space="preserve"> ADDIN ZOTERO_ITEM CSL_CITATION {"citationID":"vmBKz2l9","properties":{"formattedCitation":"(De Silva et al., 2009; Teletchea, 2019)","plainCitation":"(De Silva et al., 2009; Teletchea, 2019)","noteIndex":0},"citationItems":[{"id":31158,"uris":["http://zotero.org/groups/2352922/items/NJJF9G4P"],"itemData":{"id":31158,"type":"article-journal","abstract":"The ﬁsheries sector in the course of the last three decades have been transformed from a developed country to a developing country dominance. Aquaculture, the farming of waters, though a millennia old tradition during this period has become a signiﬁcant contributor to food ﬁsh production, currently accounting for nearly 50 % of global food ﬁsh consumption; in effect transforming our dependence from a hunted to a farmed supply as for all our staple food types. Aquaculture and indeed the ﬁsheries sector as a whole is predominated in the developing countries, and accordingly the development strategies adopted by the sector are inﬂuenced by this. Aquaculture also being a newly emerged food production sector has being subjected to an increased level of public scrutiny, and one of the most contentious aspects has been its impacts on biodiversity. In this synthesis an attempt is made to assess the impacts of aquaculture on biodiversity. Instances of major impacts on biodiversity conservation arising from aquaculture, such as land use, efﬂuent discharge, effects on wild populations, alien species among others are highlighted and critically examined. The inﬂuence of paradigm changes in development strategies and modern day market forces have begun to impact on aquaculture developments. Consequently, improvements in practices and adoption of more environmentally friendly approaches that have a decreasing negative inﬂuence on biodiversity conservation are highlighted. An attempt is also made to demonstrate direct and or indirect beneﬁts of aquaculture, such as through being a substitute to meet human needs for food, particularly over-exploited and vulnerable ﬁsh stocks, and for other purposes (e.g. medicinal ingredients), on biodiversity conservation, often a neglected entity.","container-title":"AMBIO: A Journal of the Human Environment","DOI":"10.1579/0044-7447-38.1.24","ISSN":"0044-7447","issue":"1","journalAbbreviation":"AMBIO: A Journal of the Human Environment","language":"en","page":"24-28","source":"DOI.org (Crossref)","title":"Alien Species in Aquaculture and Biodiversity: A Paradox in Food Production","title-short":"Alien Species in Aquaculture and Biodiversity","URL":"http://www.bioone.org/doi/abs/10.1579/0044-7447-38.1.24","volume":"38","author":[{"family":"De Silva","given":"Sena S."},{"family":"Nguyen","given":"Thuy T. T."},{"family":"Turchini","given":"Giovanni M."},{"family":"Amarasinghe","given":"Upali S."},{"family":"Abery","given":"Nigel W."}],"accessed":{"date-parts":[["2021",10,31]]},"issued":{"date-parts":[["2009",2]]}},"label":"page"},{"id":28864,"uris":["http://zotero.org/groups/2352922/items/3PDUJFAN"],"itemData":{"id":28864,"type":"article-journal","container-title":"Cybium","DOI":"10.26028/cybium/2019-431-001","issue":"1","page":"7-15","title":"Fish domestication in aquaculture: reassessment and emerging questions","URL":"https://sfi-cybium.fr/fr/fish-domestication-aquaculture-reassessment-and-emerging-questions","volume":"43","author":[{"family":"Teletchea","given":"Fabrice"}],"issued":{"date-parts":[["2019"]]}},"label":"page"}],"schema":"https://github.com/citation-style-language/schema/raw/master/csl-citation.json"} </w:instrText>
      </w:r>
      <w:r w:rsidR="4353C42E" w:rsidRPr="5575EBFC">
        <w:rPr>
          <w:lang w:val="en-GB"/>
        </w:rPr>
        <w:fldChar w:fldCharType="separate"/>
      </w:r>
      <w:r w:rsidR="6B5F9B9E">
        <w:t>(De Silva et al., 2009; Teletchea, 2019)</w:t>
      </w:r>
      <w:r w:rsidR="4353C42E" w:rsidRPr="5575EBFC">
        <w:rPr>
          <w:lang w:val="en-GB"/>
        </w:rPr>
        <w:fldChar w:fldCharType="end"/>
      </w:r>
      <w:r w:rsidR="7E270B30" w:rsidRPr="5575EBFC">
        <w:rPr>
          <w:lang w:val="en-GB"/>
        </w:rPr>
        <w:t xml:space="preserve"> </w:t>
      </w:r>
      <w:r w:rsidR="7D1C57AE" w:rsidRPr="5575EBFC">
        <w:rPr>
          <w:lang w:val="en-GB"/>
        </w:rPr>
        <w:t xml:space="preserve">and </w:t>
      </w:r>
      <w:r w:rsidRPr="5575EBFC">
        <w:rPr>
          <w:lang w:val="en-GB"/>
        </w:rPr>
        <w:t xml:space="preserve">crayfish </w:t>
      </w:r>
      <w:r w:rsidR="4353C42E" w:rsidRPr="5575EBFC">
        <w:rPr>
          <w:lang w:val="en-GB"/>
        </w:rPr>
        <w:fldChar w:fldCharType="begin"/>
      </w:r>
      <w:r w:rsidR="00331A79">
        <w:rPr>
          <w:lang w:val="en-GB"/>
        </w:rPr>
        <w:instrText xml:space="preserve"> ADDIN ZOTERO_ITEM CSL_CITATION {"citationID":"irXDhawB","properties":{"formattedCitation":"(Lodge et al., 2012; Madzivanzira et al., 2021)","plainCitation":"(Lodge et al., 2012; Madzivanzira et al., 2021)","noteIndex":0},"citationItems":[{"id":52701,"uris":["http://zotero.org/groups/2352922/items/KMIDB5FN"],"itemData":{"id":52701,"type":"article-journal","abstract":"Impacts of nonindigenous crayfishes on ecosystem services exemplify the mixture of positive and negative effects of intentionally introduced species. Global introductions for aquaculture and ornamental purposes have begun to homogenize naturally disjunct global distributions of crayfish families. Negative impacts include the loss of provisioning (e.g., reductions in edible native species, reproductive interference or hybridization with native crayfishes), regulatory (e.g., lethal disease spread, increased costs to agriculture and water management), supporting (e.g., large changes in ecological communities), and cultural (e.g., loss of festivals celebrating native crayfish) services. Where quantification of impacts exists (e.g., Procambarus clarkii and Pacifastacus leniusculus in Europe), regulations now prohibit introduction and spread of crayfishes, indicating that losses of ecosystem services have outweighed gains. Recent research advances such as predicting invasiveness, predicting spread, improved detection and control, and bioeconomic analysis to increase cost-effectiveness of management could be employed to reduce future losses of ecosystem services.","container-title":"Annual Review of Ecology, Evolution, and Systematics","DOI":"10.1146/annurev-ecolsys-111511-103919","ISSN":"1543-592X","issue":"1","journalAbbreviation":"Annu. Rev. Ecol. Evol. Syst.","note":"publisher: Annual Reviews","page":"449-472","title":"Global introductions of crayfishes: evaluating the impact of species invasions on ecosystem services","URL":"https://doi.org/10.1146/annurev-ecolsys-111511-103919","volume":"43","author":[{"family":"Lodge","given":"David M."},{"family":"Deines","given":"Andrew"},{"family":"Gherardi","given":"Francesca"},{"family":"Yeo","given":"Darren C.J."},{"family":"Arcella","given":"Tracy"},{"family":"Baldridge","given":"Ashley K."},{"family":"Barnes","given":"Matthew A."},{"family":"Chadderton","given":"W. Lindsay"},{"family":"Feder","given":"Jeffrey L."},{"family":"Gantz","given":"Crysta A."},{"family":"Howard","given":"Geoffrey W."},{"family":"Jerde","given":"Christopher L."},{"family":"Peters","given":"Brett W."},{"family":"Peters","given":"Jody A."},{"family":"Sargent","given":"Lindsey W."},{"family":"Turner","given":"Cameron R."},{"family":"Wittmann","given":"Marion E."},{"family":"Zeng","given":"Yiwen"}],"accessed":{"date-parts":[["2021",12,5]]},"issued":{"date-parts":[["2012",12,1]]}},"label":"page"},{"id":30896,"uris":["http://zotero.org/groups/2352922/items/UGJDLFQK"],"itemData":{"id":30896,"type":"article-journal","container-title":"Reviews in Fisheries Science &amp; Aquaculture","DOI":"10.1080/23308249.2020.1802405","ISSN":"2330-8249, 2330-8257","issue":"2","journalAbbreviation":"Reviews in Fisheries Science &amp; Aquaculture","language":"en","page":"218-241","source":"DOI.org (Crossref)","title":"A Review of Freshwater Crayfish Introductions in Africa","URL":"https://www.tandfonline.com/doi/full/10.1080/23308249.2020.1802405","volume":"29","author":[{"family":"Madzivanzira","given":"Takudzwa C."},{"family":"South","given":"Josie"},{"family":"Wood","given":"Louisa E."},{"family":"Nunes","given":"Ana L."},{"family":"Weyl","given":"Olaf L. F."}],"accessed":{"date-parts":[["2021",7,30]]},"issued":{"date-parts":[["2021",4,3]]}},"label":"page"}],"schema":"https://github.com/citation-style-language/schema/raw/master/csl-citation.json"} </w:instrText>
      </w:r>
      <w:r w:rsidR="4353C42E" w:rsidRPr="5575EBFC">
        <w:rPr>
          <w:lang w:val="en-GB"/>
        </w:rPr>
        <w:fldChar w:fldCharType="separate"/>
      </w:r>
      <w:r w:rsidR="6B5F9B9E">
        <w:t>(Lodge et al., 2012; Madzivanzira et al., 2021)</w:t>
      </w:r>
      <w:r w:rsidR="4353C42E" w:rsidRPr="5575EBFC">
        <w:rPr>
          <w:lang w:val="en-GB"/>
        </w:rPr>
        <w:fldChar w:fldCharType="end"/>
      </w:r>
      <w:r w:rsidR="365BC419" w:rsidRPr="5575EBFC">
        <w:rPr>
          <w:lang w:val="en-GB"/>
        </w:rPr>
        <w:t xml:space="preserve">. </w:t>
      </w:r>
      <w:r w:rsidR="70FC628E" w:rsidRPr="5575EBFC">
        <w:rPr>
          <w:lang w:val="en-GB"/>
        </w:rPr>
        <w:t xml:space="preserve">Globally, the number of alien freshwater fish species is positively correlated with aquaculture production </w:t>
      </w:r>
      <w:r w:rsidR="4353C42E" w:rsidRPr="5575EBFC">
        <w:rPr>
          <w:lang w:val="en-GB"/>
        </w:rPr>
        <w:fldChar w:fldCharType="begin"/>
      </w:r>
      <w:r w:rsidR="00331A79">
        <w:rPr>
          <w:lang w:val="en-GB"/>
        </w:rPr>
        <w:instrText xml:space="preserve"> ADDIN ZOTERO_ITEM CSL_CITATION {"citationID":"CmQm8sUi","properties":{"formattedCitation":"(Gozlan, 2008)","plainCitation":"(Gozlan, 2008)","noteIndex":0},"citationItems":[{"id":27265,"uris":["http://zotero.org/groups/2352922/items/UR79SB5Z"],"itemData":{"id":27265,"type":"article-journal","abstract":"Abstract Risk perceptions are important to the policy process, but there is often a well-established pattern of small risks being over assessed. This is also true with the issue of non-native freshwater fish introductions, where a great majority of research focuses on the few negative cases. The attitude towards ?non-natives? is a continually evolving process and varies according to current societal values. Here I show that on the global scale, the majority of freshwater fish introductions are not identified as having an ecological impact while having great societal benefits. Case studies from the African lakes are discussed in order to illustrate contrasting outcomes following fish introductions. Looking into the future, the environmental changes that freshwater ecosystems may encounter will have inevitable implications on the distribution of our native freshwater fish species and the need to rely on non-native introductions may become a growing reality. Aquaculture production is regularly increasing and our dependence on it is likely to become greater as it provides an important substitute for the declining production of capture fisheries. With it the number of freshwater fish introductions will increase and a more realistic attitude, albeit controversial, will need to be debated. This would mean protecting some introductions that present beneficial outcomes for biodiversity alongside a more systematic ban of species or families of fish presenting a higher historical ecological risk. The public perception of risk is something which cannot be ignored by any government or ruling body, but in order to gain public support in the fight for conservation of freshwater fish biodiversity, the message needs to be clear, detailed and educational.","container-title":"Fish and Fisheries","DOI":"10.1111/j.1467-2979.2007.00267.x","issue":"1","note":"publisher: John Wiley &amp; Sons, Ltd","page":"106-115","title":"Introduction of non-native freshwater fish: is it all bad?","URL":"https://doi.org/10.1111/j.1467-2979.2007.00267.x","volume":"9","author":[{"family":"Gozlan","given":"Rodolphe Elie"}],"issued":{"date-parts":[["2008",3]]}},"label":"page"}],"schema":"https://github.com/citation-style-language/schema/raw/master/csl-citation.json"} </w:instrText>
      </w:r>
      <w:r w:rsidR="4353C42E" w:rsidRPr="5575EBFC">
        <w:rPr>
          <w:lang w:val="en-GB"/>
        </w:rPr>
        <w:fldChar w:fldCharType="separate"/>
      </w:r>
      <w:r w:rsidR="6B5F9B9E">
        <w:t>(Gozlan, 2008)</w:t>
      </w:r>
      <w:r w:rsidR="4353C42E" w:rsidRPr="5575EBFC">
        <w:rPr>
          <w:lang w:val="en-GB"/>
        </w:rPr>
        <w:fldChar w:fldCharType="end"/>
      </w:r>
      <w:r w:rsidR="70FC628E" w:rsidRPr="5575EBFC">
        <w:rPr>
          <w:lang w:val="en-GB"/>
        </w:rPr>
        <w:t xml:space="preserve">, </w:t>
      </w:r>
      <w:r w:rsidR="256EEAD2" w:rsidRPr="5575EBFC">
        <w:rPr>
          <w:lang w:val="en-GB"/>
        </w:rPr>
        <w:t xml:space="preserve">and the </w:t>
      </w:r>
      <w:r w:rsidR="4D624F95" w:rsidRPr="5575EBFC">
        <w:rPr>
          <w:lang w:val="en-GB"/>
        </w:rPr>
        <w:t xml:space="preserve">establishment of </w:t>
      </w:r>
      <w:r w:rsidR="4B438AC1" w:rsidRPr="5575EBFC">
        <w:rPr>
          <w:lang w:val="en-GB"/>
        </w:rPr>
        <w:t>alien species from a</w:t>
      </w:r>
      <w:r w:rsidR="74F4C925" w:rsidRPr="5575EBFC">
        <w:rPr>
          <w:lang w:val="en-GB"/>
        </w:rPr>
        <w:t>q</w:t>
      </w:r>
      <w:r w:rsidR="4B438AC1" w:rsidRPr="5575EBFC">
        <w:rPr>
          <w:lang w:val="en-GB"/>
        </w:rPr>
        <w:t>u</w:t>
      </w:r>
      <w:r w:rsidR="74F4C925" w:rsidRPr="5575EBFC">
        <w:rPr>
          <w:lang w:val="en-GB"/>
        </w:rPr>
        <w:t xml:space="preserve">aculture has been documented </w:t>
      </w:r>
      <w:r w:rsidR="0D02A78E" w:rsidRPr="5575EBFC">
        <w:rPr>
          <w:lang w:val="en-GB"/>
        </w:rPr>
        <w:t>for all</w:t>
      </w:r>
      <w:r w:rsidR="4D624F95" w:rsidRPr="5575EBFC">
        <w:rPr>
          <w:lang w:val="en-GB"/>
        </w:rPr>
        <w:t xml:space="preserve"> continents</w:t>
      </w:r>
      <w:r w:rsidR="0F75216C" w:rsidRPr="5575EBFC">
        <w:rPr>
          <w:lang w:val="en-GB"/>
        </w:rPr>
        <w:t xml:space="preserve"> where </w:t>
      </w:r>
      <w:r w:rsidR="490F08A9" w:rsidRPr="5575EBFC">
        <w:rPr>
          <w:lang w:val="en-GB"/>
        </w:rPr>
        <w:t>introductions</w:t>
      </w:r>
      <w:r w:rsidR="0F75216C" w:rsidRPr="5575EBFC">
        <w:rPr>
          <w:lang w:val="en-GB"/>
        </w:rPr>
        <w:t xml:space="preserve"> have </w:t>
      </w:r>
      <w:r w:rsidR="63A3E7CF" w:rsidRPr="5575EBFC">
        <w:rPr>
          <w:lang w:val="en-GB"/>
        </w:rPr>
        <w:t>o</w:t>
      </w:r>
      <w:r w:rsidR="734A13AD" w:rsidRPr="5575EBFC">
        <w:rPr>
          <w:lang w:val="en-GB"/>
        </w:rPr>
        <w:t>ccurred</w:t>
      </w:r>
      <w:r w:rsidR="4D624F95" w:rsidRPr="5575EBFC">
        <w:rPr>
          <w:lang w:val="en-GB"/>
        </w:rPr>
        <w:t xml:space="preserve"> </w:t>
      </w:r>
      <w:r w:rsidR="4353C42E" w:rsidRPr="5575EBFC">
        <w:rPr>
          <w:lang w:val="en-GB"/>
        </w:rPr>
        <w:fldChar w:fldCharType="begin"/>
      </w:r>
      <w:r w:rsidR="008E202A">
        <w:rPr>
          <w:lang w:val="en-GB"/>
        </w:rPr>
        <w:instrText xml:space="preserve"> ADDIN ZOTERO_ITEM CSL_CITATION {"citationID":"UOqGeCCN","properties":{"formattedCitation":"(Britton &amp; Orsi, 2012; De Silva et al., 2006; De Silva, 2012; Gozlan, 2008; Lin et al., 2015; J. Liu &amp; Li, 2010; Luo et al., 2019; Nunes et al., 2015; Ortega et al., 2015; Saba et al., 2020; Shelton &amp; Rothbard, 2006; Q. Wang et al., 2015)","plainCitation":"(Britton &amp; Orsi, 2012; De Silva et al., 2006; De Silva, 2012; Gozlan, 2008; Lin et al., 2015; J. Liu &amp; Li, 2010; Luo et al., 2019; Nunes et al., 2015; Ortega et al., 2015; Saba et al., 2020; Shelton &amp; Rothbard, 2006; Q. Wang et al., 2015)","noteIndex":0},"citationItems":[{"id":53789,"uris":["http://zotero.org/groups/2352922/items/44ATFED5","http://zotero.org/groups/2352922/items/C2MM6TBU"],"itemData":{"id":53789,"type":"article-journal","container-title":"Reviews in Fish Biology and Fisheries","DOI":"10.1007/s11160-012-9254-x","ISSN":"0960-3166, 1573-5184","issue":"3","journalAbbreviation":"Rev Fish Biol Fisheries","language":"en","page":"555-565","source":"DOI.org (Crossref)","title":"Non-native fish in aquaculture and sport fishing in Brazil: economic benefits versus risks to fish diversity in the upper River Paraná Basin","title-short":"Non-native fish in aquaculture and sport fishing in Brazil","URL":"http://link.springer.com/10.1007/s11160-012-9254-x","volume":"22","author":[{"family":"Britton","given":"J. Robert"},{"family":"Orsi","given":"Mário Luís"}],"accessed":{"date-parts":[["2022",10,17]]},"issued":{"date-parts":[["2012",9]]}},"label":"page"},{"id":32686,"uris":["http://zotero.org/groups/2352922/items/772W7J55"],"itemData":{"id":32686,"type":"article-journal","abstract":"The fisheries sector in the course of the last three decades have been transformed from a developed country to a developing country dominance. Aquaculture, the farming of waters, though a millennia old tradition during this period has become a significant contributor to food fish production, currently accounting for nearly 50 % of global food fish consumption; in effect transforming our dependence from a hunted to a farmed supply as for all our staple food types. Aquaculture and indeed the fisheries sector as a whole is predominated in the developing countries, and accordingly the development strategies adopted by the sector are influenced by this. Aquaculture also being a newly emerged food production sector has being subjected to an increased level of public scrutiny, and one of the most contentious aspects has been its impacts on biodiversity. In this synthesis an attempt is made to assess the impacts of aquaculture on biodiversity. Instances of major impacts on biodiversity conservation arising from aquaculture, such as land use, effluent discharge, effects on wild populations, alien species among others are highlighted and critically examined. The influence of paradigm changes in development strategies and modern day market forces have begun to impact on aquaculture developments. Consequently, improvements in practices and adoption of more environmentally friendly approaches that have a decreasing negative influence on biodiversity conservation are highlighted. An attempt is also made to demonstrate direct and or indirect benefits of aquaculture, such as through being a substitute to meet human needs for food, particularly over-exploited and vulnerable fish stocks, and for other purposes (e.g. medicinal ingredients), on biodiversity conservation, often a neglected entity.","container-title":"Biodiversity and Conservation","DOI":"10.1007/s10531-012-0360-9","ISSN":"0960-3115, 1572-9710","issue":"12","journalAbbreviation":"Biodivers Conserv","language":"en","page":"3187-3220","source":"DOI.org (Crossref)","title":"Aquaculture: a newly emergent food production sector—and perspectives of its impacts on biodiversity and conservation","title-short":"Aquaculture","URL":"http://link.springer.com/10.1007/s10531-012-0360-9","volume":"21","author":[{"family":"De Silva","given":"Sena S."}],"accessed":{"date-parts":[["2021",4,14]]},"issued":{"date-parts":[["2012",11]]}},"label":"page"},{"id":53776,"uris":["http://zotero.org/groups/2352922/items/F7UG6ZHU","http://zotero.org/groups/2352922/items/E8Z659SH"],"itemData":{"id":53776,"type":"article-journal","abstract":"Asia dominates global aquaculture production accounting for over 80% of the total and the mainstay in Asian aquaculture is ¢n¢sh. Over the years, Asia has experienced a number of inter-continental and intra-continental transfers/introductions/translocation of ¢n¢sh species, between nations and watersheds, beyond their natural range of distribution, primarily for aquaculture development. In this article all such species are referred to as alien species. An attempt is made to evaluate the importance of the production of alien species in selected Asian nations, using statistics of the Food and Agriculture Organization. Also, negative e¡ects, if any, based on literature surveys, of alien species in relation to displacement of indigenous species, and on biodiversity and/or genetic diversity together with associated pathogen transfers are evaluated. The major alien species, based on their signi¢cance to Asian inland aquaculture considered, are the tilapias, cat¢sh, Chinese and Indian major carps and common carp. It is estimated that currently alien species account for nearly 12% of the cultured ¢n¢sh production (2.6 million tonnes) in Asia, valued at US$ 2.59 billion, and the contribution exceeds 40% when Asian countries excluding China are taken into consideration. Inland ¢n¢sh aquaculture in some Asian nations, such as Indonesia and the Philippines, is predominated by alien species, and in some others, e.g. Bangladesh and India, the contribution from alien species has been increasing steadily. It is suggested that overall alien ¢n¢sh species have done little ecological harm to native £ora and fauna. However, in the wake of increasing anthropogenic development taking place in watersheds the resulting environments are often made unconducive to indigenous species but not to some alien species, thereby potentially and indirectly making the latter invasive.","container-title":"Aquaculture Research","DOI":"10.1111/j.1365-2109.2005.01369.x","ISSN":"1355-557X, 1365-2109","issue":"1","journalAbbreviation":"Aquaculture Res","language":"en","page":"1-17","source":"DOI.org (Crossref)","title":"An evaluation of the role and impacts of alien finfish in Asian inland aquaculture","URL":"https://onlinelibrary.wiley.com/doi/10.1111/j.1365-2109.2005.01369.x","volume":"37","author":[{"family":"De Silva","given":"Sena S."},{"family":"Nguyen","given":"Thuy T. T."},{"family":"Abery","given":"Nigel W"},{"family":"Amarasinghe","given":"Upali S"}],"accessed":{"date-parts":[["2022",10,12]]},"issued":{"date-parts":[["2006",1]]}},"label":"page"},{"id":27265,"uris":["http://zotero.org/groups/2352922/items/UR79SB5Z"],"itemData":{"id":27265,"type":"article-journal","abstract":"Abstract Risk perceptions are important to the policy process, but there is often a well-established pattern of small risks being over assessed. This is also true with the issue of non-native freshwater fish introductions, where a great majority of research focuses on the few negative cases. The attitude towards ?non-natives? is a continually evolving process and varies according to current societal values. Here I show that on the global scale, the majority of freshwater fish introductions are not identified as having an ecological impact while having great societal benefits. Case studies from the African lakes are discussed in order to illustrate contrasting outcomes following fish introductions. Looking into the future, the environmental changes that freshwater ecosystems may encounter will have inevitable implications on the distribution of our native freshwater fish species and the need to rely on non-native introductions may become a growing reality. Aquaculture production is regularly increasing and our dependence on it is likely to become greater as it provides an important substitute for the declining production of capture fisheries. With it the number of freshwater fish introductions will increase and a more realistic attitude, albeit controversial, will need to be debated. This would mean protecting some introductions that present beneficial outcomes for biodiversity alongside a more systematic ban of species or families of fish presenting a higher historical ecological risk. The public perception of risk is something which cannot be ignored by any government or ruling body, but in order to gain public support in the fight for conservation of freshwater fish biodiversity, the message needs to be clear, detailed and educational.","container-title":"Fish and Fisheries","DOI":"10.1111/j.1467-2979.2007.00267.x","issue":"1","note":"publisher: John Wiley &amp; Sons, Ltd","page":"106-115","title":"Introduction of non-native freshwater fish: is it all bad?","URL":"https://doi.org/10.1111/j.1467-2979.2007.00267.x","volume":"9","author":[{"family":"Gozlan","given":"Rodolphe Elie"}],"issued":{"date-parts":[["2008",3]]}},"label":"page"},{"id":29145,"uris":["http://zotero.org/groups/2352922/items/K2E7W8Z5"],"itemData":{"id":29145,"type":"article-journal","abstract":"Aquaculture is one of the fast-growing industries in the past decades. The fast expansion of aquaculture largely relies on the introduction and use of non-native species. This forms a paradox: some species signiﬁcantly contribute to the fast expansion of aquaculture, while negative effects associated with unregulated introduction and irresponsible use of non-native species are increasing in number and area affected. However, lessons from reported disasters are slowly learned, and risks raised have been highly overlooked. Here, we discuss the known and potential risks derived from the introduction and use of non-native species in China to urge the necessity of incorporating sound management into sustainable aquaculture. Sound management needs to be performed based on the characteristics of each aquaculture activity or related event. We discuss risks based on aquaculture activities or related events popularly employed in the past decades in China, including (i) transfers of non-native species; (ii) fellow travellers, accidental introductions; (iii) artiﬁcial hybridization; and (iv) mass release of non-native species for ranching. For each aquaculture activity or related event, we provide general background, status of this activity, risks raised and recommendations for management. Finally, we call for the collaboration of researchers from academia, government and aquaculture industry for proper risk assessment and sound management for sustainable development of aquaculture.","container-title":"Reviews in Aquaculture","DOI":"10.1111/raq.12052","ISSN":"17535123","issue":"1","journalAbbreviation":"Rev Aquacult","language":"en","page":"28-58","source":"DOI.org (Crossref)","title":"Introduction and use of non-native species for aquaculture in China: status, risks and management solutions","title-short":"Introduction and use of non-native species for aquaculture in China","URL":"http://doi.wiley.com/10.1111/raq.12052","volume":"7","author":[{"family":"Lin","given":"Yaping"},{"family":"Gao","given":"Zexia"},{"family":"Zhan","given":"Aibin"}],"accessed":{"date-parts":[["2019",11,30]]},"issued":{"date-parts":[["2015",3]]}},"label":"page"},{"id":28931,"uris":["http://zotero.org/groups/2352922/items/F9NMAUKG"],"itemData":{"id":28931,"type":"chapter","container-title":"Success Stories in Asian Aquaculture","event-place":"Dordrecht","note":"DOI: 10.1007/978-90-481-3087-0_9","page":"173–185","publisher":"Springer","publisher-place":"Dordrecht","title":"The Role of Exotics in Chinese Inland Aquaculture","URL":"https://link.springer.com/chapter/10.1007/978-90-481-3087-0_9","author":[{"family":"Liu","given":"Jiashou"},{"family":"Li","given":"Zhongjie"}],"editor":[{"family":"De Silva","given":"S S"},{"family":"Davy","given":"F B"}],"issued":{"date-parts":[["2010"]]}},"label":"page"},{"id":28669,"uris":["http://zotero.org/groups/2352922/items/8PYZ72MM"],"itemData":{"id":28669,"type":"article-journal","container-title":"Aquatic Ecosystem Health &amp; Management","DOI":"10.1080/14634988.2019.1693226","ISSN":"1463-4988","issue":"4","journalAbbreviation":"Aquatic Ecosystem Health &amp; Management","note":"publisher: Taylor &amp; Francis","page":"371-384","title":"Current status and potential risks of established alien fish species in China","URL":"https://scholarlypublishingcollective.org/msup/aehm/article-abstract/22/4/371/168113/Current-status-and-potential-risks-of-established","volume":"22","author":[{"family":"Luo","given":"Du"},{"family":"Wei","given":"Hui"},{"family":"Chaichana","given":"Ratcha"},{"family":"Yang","given":"Dingtian"},{"family":"Gu","given":"Dangen"},{"family":"Mu","given":"Xidong"},{"family":"Xu","given":"Meng"},{"family":"Yang","given":"Yexin"},{"family":"Jin","given":"Shurui"},{"family":"Hu","given":"Yinchang"}],"issued":{"date-parts":[["2019"]]}},"label":"page"},{"id":10525,"uris":["http://zotero.org/groups/2352922/items/3UDFU76J"],"itemData":{"id":10525,"type":"article-journal","container-title":"Aquatic Invasions","DOI":"10.3391/ai.2015.10.4.01","ISSN":"18185487","issue":"4","journalAbbreviation":"AI","page":"359-370","source":"DOI.org (Crossref)","title":"Pathways and gateways of freshwater invasions in Europe","URL":"http://www.aquaticinvasions.net/2015/issue4.html","volume":"10","author":[{"family":"Nunes","given":"Ana L."},{"family":"Tricarico","given":"Elena"},{"family":"Panov","given":"Vadim E"},{"family":"Cardoso","given":"Ana C"},{"family":"Katsanevakis","given":"Stelios"}],"accessed":{"date-parts":[["2020",4,6]]},"issued":{"date-parts":[["2015"]]}},"label":"page"},{"id":52700,"uris":["http://zotero.org/groups/2352922/items/I3DB4AUC"],"itemData":{"id":52700,"type":"article-journal","abstract":"Several human activities may result in or facilitate species introductions. In aquatic environments, species introductions are often associated with the construction of dams. In this study, we use reservoirs of the Neotropical region as a model to determine the main causes of fish species introductions. We compiled information on non-native fish species present in reservoir ichthyofauna surveys in the past 14 years and classified these species based on their probable reason for introduction (vector). Fish farming activities introduced approximately 7.6-fold more species in reservoirs than the other vectors identified. The matrix of the number of fish species per vectors explained the greatest proportion of the composition of non-native assemblages, whereas the geographic distance and age of the reservoir explained few of these variations. The non-native ichthyofauna composition varied among Neotropical basins and can be explained by the different sets of species introduced by the companies managing the reservoirs. Although power companies have banned stocking with non-natives, fish farming in the Neotropical region continues to use non-native species, and these species are occupying water bodies, especially reservoirs.","container-title":"Hydrobiologia","DOI":"10.1007/s10750-014-2025-z","ISSN":"1573-5117","issue":"1","journalAbbreviation":"Hydrobiologia","page":"147-158","title":"Fish farming as the main driver of fish introductions in Neotropical reservoirs","URL":"https://doi.org/10.1007/s10750-014-2025-z","volume":"746","author":[{"family":"Ortega","given":"Jean C. G."},{"family":"Júlio","given":"Horácio F."},{"family":"Gomes","given":"Luiz C."},{"family":"Agostinho","given":"Angelo A."}],"issued":{"date-parts":[["2015",3,1]]}},"label":"page"},{"id":53787,"uris":["http://zotero.org/groups/2352922/items/YRJ8BR33","http://zotero.org/groups/2352922/items/KNZL4LBW"],"itemData":{"id":53787,"type":"article-journal","abstract":"The culture of exotic fishes contributes about 17% to global food aquaculture production. Transplanted native species add substantially to the aquatic harvest of food and sport fishes in many countries. Some countries are very dependent on the cultivation of non-native species; yields of exotics exceed 25% of the total harvest in China, 60% of the freshwater harvest in the Philippines, and 50% of the production in Brazil. Aquatic food production in Israel is predominately from introduced fishes. In the USA, transplanted species are economically important as food and sport fish and exotics are used in resource management as well as a major food source. Countries of origin for globally important fishes include China (endemic carps), USA (Atlantic salmon and rainbow trout), Europe (common carp), and Africa (tilapias). The aquaculture production of food fish will become increasingly vital as oceanic capture fisheries continue to stagnate. Exotic and transplanted fishes that are widespread today will represent a greater proportion of future aquaculture production because technology for their culture is already well known and can readily be applied, and because these species are more easily domesticated and genetically improved.","container-title":"Israeli Journal of Aquaculture - Bamidgeh","DOI":"10.46989/001c.20429","ISSN":"0792-156X, 0792-156X","issue":"1","language":"en","page":"3-28","source":"DOI.org (Crossref)","title":"Exotic species in global aquaculture - a review","URL":"https://ija.scholasticahq.com/article/20429-exotic-species-in-global-aquaculture-a-review.pdf","volume":"58","author":[{"family":"Shelton","given":"William L."},{"family":"Rothbard","given":"Shmuel"}],"accessed":{"date-parts":[["2022",10,18]]},"issued":{"date-parts":[["2006",1,1]]}},"label":"page"},{"id":28662,"uris":["http://zotero.org/groups/2352922/items/KRQ9QGDJ"],"itemData":{"id":28662,"type":"article-journal","container-title":"Aquatic Invasions","DOI":"10.3391/ai.2020.15.4.07","ISSN":"1798-6540","issue":"4","journalAbbreviation":"Aquatic Invasions","page":"646-670","title":"Checklists, production trends, and potential ecological and socioeconomic impacts of non-native freshwater fishes in Malaysia: a review","volume":"15","author":[{"family":"Saba","given":"Abdulwakil Olawale"},{"family":"Ismail","given":"Ahmad"},{"family":"Zulkifli","given":"Syaizwan Zahmir"},{"family":"Shohaimi","given":"Shamarina"},{"family":"Jamil","given":"Nor Rohaizah"},{"family":"Nawi","given":"Nolila Mohd"},{"family":"Ghani","given":"Intan Faraha A"},{"family":"Halim","given":"Muhammad Rasul Abdullah"},{"family":"Amal","given":"Mohammad Noor Azmai"}],"issued":{"date-parts":[["2020"]]}},"label":"page"},{"id":52954,"uris":["http://zotero.org/groups/2352922/items/DKF8LPUY"],"itemData":{"id":52954,"type":"article-journal","abstract":"Abstract It is acknowledged that China is the mainstay in global aquaculture, contributing for example, 65.7 (of 76 321 310 t) and 63.6 (of 38 994 913 t) per cent to total global and freshwater aquaculture production, respectively, in 2011, significantly increasing the corresponding contributions from 36.1 and 38.5% of the global total (7 359 881 t) and global freshwater (2 342 706 t) aquaculture production in 1980. Overall, aquaculture production in China in turn has enabled to reduce our dependence on food fish supplies from a hunted to a farmed origin, like all the other staples. However, there are very few accounts on different subsectors of aquaculture in China and even less on variations in aquaculture developments within the country. This review attempts to trace the development trends in inland aquaculture in China in time and space and includes aspects on production, types and modes of culture, species cultured and marketing. It is evident that though inland aquaculture is practised in most provinces of China, the great bulk of it occurs in the area that lies approximately between 110 and 120 °E and 19 and 35 °N, in the Yangtze and Pearl River basins. The review also addresses emerging issues on freshwater aquaculture and possible ways of achieving sustainability in the long term.","container-title":"Reviews in Aquaculture","DOI":"10.1111/raq.12086","ISSN":"1753-5123","issue":"4","journalAbbreviation":"Reviews in Aquaculture","note":"publisher: John Wiley &amp; Sons, Ltd","page":"283-302","title":"Freshwater aquaculture in PR China: trends and prospects","URL":"https://doi.org/10.1111/raq.12086","volume":"7","author":[{"family":"Wang","given":"Qidong"},{"family":"Cheng","given":"Lin"},{"family":"Liu","given":"Jiashou"},{"family":"Li","given":"Zhongjie"},{"family":"Xie","given":"Shouqi"},{"family":"De Silva","given":"Sena S."}],"accessed":{"date-parts":[["2022",8,17]]},"issued":{"date-parts":[["2015",12,1]]}},"label":"page"}],"schema":"https://github.com/citation-style-language/schema/raw/master/csl-citation.json"} </w:instrText>
      </w:r>
      <w:r w:rsidR="4353C42E" w:rsidRPr="5575EBFC">
        <w:rPr>
          <w:lang w:val="en-GB"/>
        </w:rPr>
        <w:fldChar w:fldCharType="separate"/>
      </w:r>
      <w:r w:rsidR="008E202A" w:rsidRPr="008E202A">
        <w:t>(Britton &amp; Orsi, 2012; De Silva et al., 2006; De Silva, 2012; Gozlan, 2008; Lin et al., 2015; J. Liu &amp; Li, 2010; Luo et al., 2019; Nunes et al., 2015; Ortega et al., 2015; Saba et al., 2020; Shelton &amp; Rothbard, 2006; Q. Wang et al., 2015)</w:t>
      </w:r>
      <w:r w:rsidR="4353C42E" w:rsidRPr="5575EBFC">
        <w:rPr>
          <w:lang w:val="en-GB"/>
        </w:rPr>
        <w:fldChar w:fldCharType="end"/>
      </w:r>
      <w:r w:rsidR="4D624F95" w:rsidRPr="5575EBFC">
        <w:rPr>
          <w:lang w:val="en-GB"/>
        </w:rPr>
        <w:t>.</w:t>
      </w:r>
      <w:r w:rsidR="734A13AD" w:rsidRPr="5575EBFC">
        <w:rPr>
          <w:lang w:val="en-GB"/>
        </w:rPr>
        <w:t xml:space="preserve"> Aquaculture is a</w:t>
      </w:r>
      <w:r w:rsidR="392C894D" w:rsidRPr="5575EBFC">
        <w:rPr>
          <w:lang w:val="en-GB"/>
        </w:rPr>
        <w:t xml:space="preserve"> major </w:t>
      </w:r>
      <w:r w:rsidR="734A13AD" w:rsidRPr="5575EBFC">
        <w:rPr>
          <w:lang w:val="en-GB"/>
        </w:rPr>
        <w:t xml:space="preserve">source of </w:t>
      </w:r>
      <w:r w:rsidR="20ED13A9" w:rsidRPr="5575EBFC">
        <w:rPr>
          <w:lang w:val="en-GB"/>
        </w:rPr>
        <w:t>invasive alien species</w:t>
      </w:r>
      <w:r w:rsidR="74C07265" w:rsidRPr="5575EBFC">
        <w:rPr>
          <w:lang w:val="en-GB"/>
        </w:rPr>
        <w:t xml:space="preserve"> </w:t>
      </w:r>
      <w:r w:rsidR="734A13AD" w:rsidRPr="5575EBFC">
        <w:rPr>
          <w:lang w:val="en-GB"/>
        </w:rPr>
        <w:t>at national and region</w:t>
      </w:r>
      <w:r w:rsidR="3ABC9AA4" w:rsidRPr="5575EBFC">
        <w:rPr>
          <w:lang w:val="en-GB"/>
        </w:rPr>
        <w:t>al</w:t>
      </w:r>
      <w:r w:rsidR="734A13AD" w:rsidRPr="5575EBFC">
        <w:rPr>
          <w:lang w:val="en-GB"/>
        </w:rPr>
        <w:t xml:space="preserve"> scales</w:t>
      </w:r>
      <w:r w:rsidR="3ABC9AA4" w:rsidRPr="5575EBFC">
        <w:rPr>
          <w:lang w:val="en-GB"/>
        </w:rPr>
        <w:t>.</w:t>
      </w:r>
      <w:r w:rsidR="734A13AD" w:rsidRPr="5575EBFC">
        <w:rPr>
          <w:lang w:val="en-GB"/>
        </w:rPr>
        <w:t xml:space="preserve"> </w:t>
      </w:r>
      <w:r w:rsidR="3ABC9AA4" w:rsidRPr="5575EBFC">
        <w:rPr>
          <w:lang w:val="en-GB"/>
        </w:rPr>
        <w:t>O</w:t>
      </w:r>
      <w:r w:rsidR="2C649110" w:rsidRPr="5575EBFC">
        <w:rPr>
          <w:lang w:val="en-GB"/>
        </w:rPr>
        <w:t>f</w:t>
      </w:r>
      <w:r w:rsidR="41D3C30C" w:rsidRPr="5575EBFC">
        <w:rPr>
          <w:lang w:val="en-GB"/>
        </w:rPr>
        <w:t xml:space="preserve"> the </w:t>
      </w:r>
      <w:r w:rsidR="75A67E95" w:rsidRPr="5575EBFC">
        <w:rPr>
          <w:lang w:val="en-GB"/>
        </w:rPr>
        <w:t>approximately</w:t>
      </w:r>
      <w:r w:rsidR="41D3C30C" w:rsidRPr="5575EBFC">
        <w:rPr>
          <w:lang w:val="en-GB"/>
        </w:rPr>
        <w:t xml:space="preserve"> </w:t>
      </w:r>
      <w:r w:rsidR="772054E4" w:rsidRPr="5575EBFC">
        <w:rPr>
          <w:lang w:val="en-GB"/>
        </w:rPr>
        <w:t xml:space="preserve">500 </w:t>
      </w:r>
      <w:r w:rsidR="41D3C30C" w:rsidRPr="5575EBFC">
        <w:rPr>
          <w:lang w:val="en-GB"/>
        </w:rPr>
        <w:t xml:space="preserve">documented </w:t>
      </w:r>
      <w:r w:rsidR="772054E4" w:rsidRPr="5575EBFC">
        <w:rPr>
          <w:lang w:val="en-GB"/>
        </w:rPr>
        <w:t>intr</w:t>
      </w:r>
      <w:r w:rsidR="1523F130" w:rsidRPr="5575EBFC">
        <w:rPr>
          <w:lang w:val="en-GB"/>
        </w:rPr>
        <w:t>o</w:t>
      </w:r>
      <w:r w:rsidR="772054E4" w:rsidRPr="5575EBFC">
        <w:rPr>
          <w:lang w:val="en-GB"/>
        </w:rPr>
        <w:t xml:space="preserve">ductions of </w:t>
      </w:r>
      <w:r w:rsidR="1523F130" w:rsidRPr="5575EBFC">
        <w:rPr>
          <w:lang w:val="en-GB"/>
        </w:rPr>
        <w:t xml:space="preserve">freshwater </w:t>
      </w:r>
      <w:r w:rsidR="772054E4" w:rsidRPr="5575EBFC">
        <w:rPr>
          <w:lang w:val="en-GB"/>
        </w:rPr>
        <w:t xml:space="preserve">fishes </w:t>
      </w:r>
      <w:r w:rsidR="41D3C30C" w:rsidRPr="5575EBFC">
        <w:rPr>
          <w:lang w:val="en-GB"/>
        </w:rPr>
        <w:t>in the Mediterranean basin</w:t>
      </w:r>
      <w:r w:rsidR="1523F130" w:rsidRPr="5575EBFC">
        <w:rPr>
          <w:lang w:val="en-GB"/>
        </w:rPr>
        <w:t>,</w:t>
      </w:r>
      <w:r w:rsidR="772054E4" w:rsidRPr="5575EBFC">
        <w:rPr>
          <w:lang w:val="en-GB"/>
        </w:rPr>
        <w:t xml:space="preserve"> </w:t>
      </w:r>
      <w:r w:rsidR="606CEA98" w:rsidRPr="5575EBFC">
        <w:rPr>
          <w:lang w:val="en-GB"/>
        </w:rPr>
        <w:t xml:space="preserve">more than </w:t>
      </w:r>
      <w:r w:rsidR="56750EE0" w:rsidRPr="5575EBFC">
        <w:rPr>
          <w:lang w:val="en-GB"/>
        </w:rPr>
        <w:t>35</w:t>
      </w:r>
      <w:r w:rsidR="4804CF9A" w:rsidRPr="5575EBFC">
        <w:rPr>
          <w:lang w:val="en-GB"/>
        </w:rPr>
        <w:t xml:space="preserve"> per cent</w:t>
      </w:r>
      <w:r w:rsidR="56750EE0" w:rsidRPr="5575EBFC">
        <w:rPr>
          <w:lang w:val="en-GB"/>
        </w:rPr>
        <w:t xml:space="preserve"> are associated with </w:t>
      </w:r>
      <w:r w:rsidR="772054E4" w:rsidRPr="5575EBFC">
        <w:rPr>
          <w:lang w:val="en-GB"/>
        </w:rPr>
        <w:t xml:space="preserve">aquaculture </w:t>
      </w:r>
      <w:r w:rsidR="4353C42E" w:rsidRPr="5575EBFC">
        <w:rPr>
          <w:lang w:val="en-GB"/>
        </w:rPr>
        <w:fldChar w:fldCharType="begin"/>
      </w:r>
      <w:r w:rsidR="00331A79">
        <w:rPr>
          <w:lang w:val="en-GB"/>
        </w:rPr>
        <w:instrText xml:space="preserve"> ADDIN ZOTERO_ITEM CSL_CITATION {"citationID":"mhOZWcCu","properties":{"formattedCitation":"(Tricarico, 2012)","plainCitation":"(Tricarico, 2012)","noteIndex":0},"citationItems":[{"id":15707,"uris":["http://zotero.org/groups/2352922/items/PYHM4R35"],"itemData":{"id":15707,"type":"article-journal","abstract":"The Mediterranean region is considered one of the six global invasion hotspots, with non-native freshwater ﬁshes representing more than a quarter of all ﬁsh species in drainage basins. Existing literature is reviewed to identify the main pathways and drivers of non-native ﬁsh introductions. In the Mediterranean region, non-native ﬁshes were introduced through aquaculture and stocking activities for commercial and angling purposes. Introductions doubled from the 1950s, involving mostly Perciformes and Cypriniformes, with species coming from other parts of Europe, Asia and North America. Some diﬀerences between the northern and the south-eastern areas of the Mediterranean region were found, although data from the latter area were scanty. Greater eﬀort should be exerted to improve controls on aquaculture and stocking activities, as well as public awareness of the risks posed by non-native species introductions.","container-title":"Fisheries Management and Ecology","DOI":"10.1111/j.1365-2400.2011.00834.x","ISSN":"0969997X","issue":"2","language":"en","page":"133-141","source":"DOI.org (Crossref)","title":"A review on pathways and drivers of use regarding non-native freshwater fish introductions in the Mediterranean region","title-short":"A review on pathways and drivers of use regarding non-native freshwater fish introductions in the Mediterranean region","URL":"http://doi.wiley.com/10.1111/j.1365-2400.2011.00834.x","volume":"19","author":[{"family":"Tricarico","given":"E."}],"accessed":{"date-parts":[["2019",11,1]]},"issued":{"date-parts":[["2012",4]]}},"label":"page"}],"schema":"https://github.com/citation-style-language/schema/raw/master/csl-citation.json"} </w:instrText>
      </w:r>
      <w:r w:rsidR="4353C42E" w:rsidRPr="5575EBFC">
        <w:rPr>
          <w:lang w:val="en-GB"/>
        </w:rPr>
        <w:fldChar w:fldCharType="separate"/>
      </w:r>
      <w:r w:rsidR="6B5F9B9E">
        <w:t>(Tricarico, 2012)</w:t>
      </w:r>
      <w:r w:rsidR="4353C42E" w:rsidRPr="5575EBFC">
        <w:rPr>
          <w:lang w:val="en-GB"/>
        </w:rPr>
        <w:fldChar w:fldCharType="end"/>
      </w:r>
      <w:r w:rsidR="772054E4" w:rsidRPr="5575EBFC">
        <w:rPr>
          <w:lang w:val="en-GB"/>
        </w:rPr>
        <w:t xml:space="preserve">. </w:t>
      </w:r>
      <w:r w:rsidR="664C6217" w:rsidRPr="5575EBFC">
        <w:rPr>
          <w:lang w:val="en-GB"/>
        </w:rPr>
        <w:t>In the Balkans, 36 species of freshwater fish have been introduced in</w:t>
      </w:r>
      <w:r w:rsidR="176B06A4" w:rsidRPr="5575EBFC">
        <w:rPr>
          <w:lang w:val="en-GB"/>
        </w:rPr>
        <w:t>to</w:t>
      </w:r>
      <w:r w:rsidR="664C6217" w:rsidRPr="5575EBFC">
        <w:rPr>
          <w:lang w:val="en-GB"/>
        </w:rPr>
        <w:t xml:space="preserve"> inland waters via aquaculture </w:t>
      </w:r>
      <w:r w:rsidR="4353C42E" w:rsidRPr="5575EBFC">
        <w:rPr>
          <w:lang w:val="en-GB"/>
        </w:rPr>
        <w:fldChar w:fldCharType="begin"/>
      </w:r>
      <w:r w:rsidR="00331A79">
        <w:rPr>
          <w:lang w:val="en-GB"/>
        </w:rPr>
        <w:instrText xml:space="preserve"> ADDIN ZOTERO_ITEM CSL_CITATION {"citationID":"5k7g3u1d","properties":{"formattedCitation":"(Piria et al., 2018)","plainCitation":"(Piria et al., 2018)","noteIndex":0},"citationItems":[{"id":15709,"uris":["http://zotero.org/groups/2352922/items/VF4BT4WY"],"itemData":{"id":15709,"type":"article-journal","container-title":"Fish and Fisheries","DOI":"10.1111/faf.12242","ISSN":"14672960","issue":"1","journalAbbreviation":"Fish Fish","language":"en","page":"138-169","source":"DOI.org (Crossref)","title":"Alien freshwater fish species in the Balkans-Vectors and pathways of introduction","URL":"http://doi.wiley.com/10.1111/faf.12242","volume":"19","author":[{"family":"Piria","given":"Marina"},{"family":"Simonović","given":"Predrag"},{"family":"Kalogianni","given":"Eleni"},{"family":"Vardakas","given":"Leonidas"},{"family":"Koutsikos","given":"Nicholas"},{"family":"Zanella","given":"Davor"},{"family":"Ristovska","given":"Milica"},{"family":"Apostolou","given":"Apostolos"},{"family":"Adrović","given":"Avdul"},{"family":"Mrdak","given":"Danilo"},{"family":"Tarkan","given":"Ali Serhan"},{"family":"Milošević","given":"Dragana"},{"family":"Zanella","given":"Linda N"},{"family":"Bakiu","given":"Rigers"},{"family":"Ekmekçi","given":"F Güler"},{"family":"Povž","given":"Metka"},{"family":"Korro","given":"Kastriot"},{"family":"Nikolić","given":"Vera"},{"family":"Škrijelj","given":"Rifat"},{"family":"Kostov","given":"Vasil"},{"family":"Gregori","given":"Andrej"},{"family":"Joy","given":"Michael K"}],"accessed":{"date-parts":[["2019",11,1]]},"issued":{"date-parts":[["2018",1]]}},"label":"page"}],"schema":"https://github.com/citation-style-language/schema/raw/master/csl-citation.json"} </w:instrText>
      </w:r>
      <w:r w:rsidR="4353C42E" w:rsidRPr="5575EBFC">
        <w:rPr>
          <w:lang w:val="en-GB"/>
        </w:rPr>
        <w:fldChar w:fldCharType="separate"/>
      </w:r>
      <w:r w:rsidR="6B5F9B9E">
        <w:t>(Piria et al., 2018)</w:t>
      </w:r>
      <w:r w:rsidR="4353C42E" w:rsidRPr="5575EBFC">
        <w:rPr>
          <w:lang w:val="en-GB"/>
        </w:rPr>
        <w:fldChar w:fldCharType="end"/>
      </w:r>
      <w:r w:rsidR="664C6217" w:rsidRPr="5575EBFC">
        <w:rPr>
          <w:lang w:val="en-GB"/>
        </w:rPr>
        <w:t>. In California, 126</w:t>
      </w:r>
      <w:r w:rsidR="3AE7A080" w:rsidRPr="5575EBFC">
        <w:rPr>
          <w:lang w:val="en-GB"/>
        </w:rPr>
        <w:t xml:space="preserve"> alien</w:t>
      </w:r>
      <w:r w:rsidR="664C6217" w:rsidRPr="5575EBFC">
        <w:rPr>
          <w:lang w:val="en-GB"/>
        </w:rPr>
        <w:t xml:space="preserve"> species associated with commercial aquaculture have been reported, of which 106 have </w:t>
      </w:r>
      <w:r w:rsidR="3AE7A080" w:rsidRPr="5575EBFC">
        <w:rPr>
          <w:lang w:val="en-GB"/>
        </w:rPr>
        <w:t xml:space="preserve">become </w:t>
      </w:r>
      <w:r w:rsidR="664C6217" w:rsidRPr="5575EBFC">
        <w:rPr>
          <w:lang w:val="en-GB"/>
        </w:rPr>
        <w:t xml:space="preserve">established and </w:t>
      </w:r>
      <w:r w:rsidR="734A13AD" w:rsidRPr="5575EBFC">
        <w:rPr>
          <w:lang w:val="en-GB"/>
        </w:rPr>
        <w:t xml:space="preserve">are </w:t>
      </w:r>
      <w:r w:rsidR="664C6217" w:rsidRPr="5575EBFC">
        <w:rPr>
          <w:lang w:val="en-GB"/>
        </w:rPr>
        <w:t>ne</w:t>
      </w:r>
      <w:r w:rsidR="2AF09B05" w:rsidRPr="5575EBFC">
        <w:rPr>
          <w:lang w:val="en-GB"/>
        </w:rPr>
        <w:t>g</w:t>
      </w:r>
      <w:r w:rsidR="664C6217" w:rsidRPr="5575EBFC">
        <w:rPr>
          <w:lang w:val="en-GB"/>
        </w:rPr>
        <w:t>atively affect</w:t>
      </w:r>
      <w:r w:rsidR="734A13AD" w:rsidRPr="5575EBFC">
        <w:rPr>
          <w:lang w:val="en-GB"/>
        </w:rPr>
        <w:t>ing</w:t>
      </w:r>
      <w:r w:rsidR="664C6217" w:rsidRPr="5575EBFC">
        <w:rPr>
          <w:lang w:val="en-GB"/>
        </w:rPr>
        <w:t xml:space="preserve"> native species</w:t>
      </w:r>
      <w:r w:rsidR="365BC419" w:rsidRPr="5575EBFC">
        <w:rPr>
          <w:lang w:val="en-GB"/>
        </w:rPr>
        <w:t>.</w:t>
      </w:r>
      <w:r w:rsidR="664C6217" w:rsidRPr="5575EBFC">
        <w:rPr>
          <w:lang w:val="en-GB"/>
        </w:rPr>
        <w:t xml:space="preserve"> </w:t>
      </w:r>
    </w:p>
    <w:p w14:paraId="591AB4BC" w14:textId="2ED2C783" w:rsidR="3B92FA4B" w:rsidRPr="00DA249F" w:rsidRDefault="3B92FA4B" w:rsidP="00763B54">
      <w:pPr>
        <w:spacing w:before="0" w:after="0"/>
        <w:rPr>
          <w:rFonts w:eastAsia="Yu Gothic"/>
          <w:i/>
          <w:iCs/>
          <w:color w:val="000000"/>
          <w:szCs w:val="24"/>
          <w:lang w:val="en-GB"/>
        </w:rPr>
      </w:pPr>
      <w:r w:rsidRPr="00DA249F">
        <w:rPr>
          <w:lang w:val="en-GB"/>
        </w:rPr>
        <w:t xml:space="preserve">Parasites of a wide range of farmed marine organisms </w:t>
      </w:r>
      <w:r w:rsidR="00C404EB" w:rsidRPr="00DA249F">
        <w:rPr>
          <w:lang w:val="en-GB"/>
        </w:rPr>
        <w:t xml:space="preserve">also </w:t>
      </w:r>
      <w:r w:rsidRPr="00DA249F">
        <w:rPr>
          <w:lang w:val="en-GB"/>
        </w:rPr>
        <w:t xml:space="preserve">appear as invasive </w:t>
      </w:r>
      <w:r w:rsidR="002A0EE8" w:rsidRPr="00DA249F">
        <w:rPr>
          <w:lang w:val="en-GB"/>
        </w:rPr>
        <w:t xml:space="preserve">alien </w:t>
      </w:r>
      <w:r w:rsidRPr="00DA249F">
        <w:rPr>
          <w:lang w:val="en-GB"/>
        </w:rPr>
        <w:t xml:space="preserve">species </w:t>
      </w:r>
      <w:r w:rsidR="00F22E5E" w:rsidRPr="00DA249F">
        <w:rPr>
          <w:lang w:val="en-GB"/>
        </w:rPr>
        <w:t>worldwide</w:t>
      </w:r>
      <w:r w:rsidRPr="00DA249F">
        <w:rPr>
          <w:lang w:val="en-GB"/>
        </w:rPr>
        <w:t xml:space="preserve">. </w:t>
      </w:r>
      <w:r w:rsidR="00FD1A90" w:rsidRPr="00DA249F">
        <w:rPr>
          <w:i/>
          <w:iCs/>
          <w:lang w:val="en-GB"/>
        </w:rPr>
        <w:t>Haplosporidium nelsoni</w:t>
      </w:r>
      <w:r w:rsidR="00FD1A90" w:rsidRPr="00DA249F">
        <w:rPr>
          <w:lang w:val="en-GB"/>
        </w:rPr>
        <w:t xml:space="preserve"> (</w:t>
      </w:r>
      <w:r w:rsidR="00FD1A90" w:rsidRPr="00DA249F">
        <w:rPr>
          <w:rFonts w:eastAsia="Times New Roman"/>
          <w:color w:val="000000"/>
          <w:szCs w:val="24"/>
          <w:lang w:val="en-GB" w:eastAsia="zh-CN"/>
        </w:rPr>
        <w:t>MSX oyster pathogen</w:t>
      </w:r>
      <w:r w:rsidR="00FD1A90" w:rsidRPr="00DA249F">
        <w:rPr>
          <w:lang w:val="en-GB"/>
        </w:rPr>
        <w:t>), a</w:t>
      </w:r>
      <w:r w:rsidR="00042E4B" w:rsidRPr="00DA249F">
        <w:rPr>
          <w:lang w:val="en-GB"/>
        </w:rPr>
        <w:t xml:space="preserve"> parasite of the Pacific oyster,</w:t>
      </w:r>
      <w:r w:rsidR="00042E4B" w:rsidRPr="00DA249F">
        <w:rPr>
          <w:i/>
          <w:iCs/>
          <w:lang w:val="en-GB"/>
        </w:rPr>
        <w:t xml:space="preserve"> </w:t>
      </w:r>
      <w:r w:rsidR="007E3DB6" w:rsidRPr="00DA249F">
        <w:rPr>
          <w:lang w:val="en-GB"/>
        </w:rPr>
        <w:t>has</w:t>
      </w:r>
      <w:r w:rsidRPr="00DA249F">
        <w:rPr>
          <w:lang w:val="en-GB"/>
        </w:rPr>
        <w:t xml:space="preserve"> spread to estuaries from Maine to Florida, affecting the native </w:t>
      </w:r>
      <w:r w:rsidRPr="00DA249F">
        <w:rPr>
          <w:i/>
          <w:iCs/>
          <w:lang w:val="en-GB"/>
        </w:rPr>
        <w:t>Crassostrea virginica</w:t>
      </w:r>
      <w:r w:rsidRPr="00DA249F">
        <w:rPr>
          <w:lang w:val="en-GB"/>
        </w:rPr>
        <w:t xml:space="preserve"> </w:t>
      </w:r>
      <w:r w:rsidR="006743C0" w:rsidRPr="00DA249F">
        <w:rPr>
          <w:lang w:val="en-GB"/>
        </w:rPr>
        <w:t>(</w:t>
      </w:r>
      <w:r w:rsidR="005B3994" w:rsidRPr="00DA249F">
        <w:rPr>
          <w:lang w:val="en-GB"/>
        </w:rPr>
        <w:t>e</w:t>
      </w:r>
      <w:r w:rsidR="006743C0" w:rsidRPr="00DA249F">
        <w:rPr>
          <w:lang w:val="en-GB"/>
        </w:rPr>
        <w:t>astern oyster</w:t>
      </w:r>
      <w:r w:rsidR="00B57328" w:rsidRPr="00DA249F">
        <w:rPr>
          <w:lang w:val="en-GB"/>
        </w:rPr>
        <w:t>;</w:t>
      </w:r>
      <w:r w:rsidR="006743C0" w:rsidRPr="00DA249F">
        <w:rPr>
          <w:lang w:val="en-GB"/>
        </w:rPr>
        <w:t xml:space="preserve"> </w:t>
      </w:r>
      <w:r w:rsidRPr="00DA249F">
        <w:rPr>
          <w:lang w:val="en-GB"/>
        </w:rPr>
        <w:fldChar w:fldCharType="begin"/>
      </w:r>
      <w:r w:rsidR="00331A79">
        <w:rPr>
          <w:lang w:val="en-GB"/>
        </w:rPr>
        <w:instrText xml:space="preserve"> ADDIN ZOTERO_ITEM CSL_CITATION {"citationID":"qTbimKzJ","properties":{"formattedCitation":"(Andrews, 1984; Burreson et al., 2000)","plainCitation":"(Andrews, 1984; Burreson et al., 2000)","dontUpdate":true,"noteIndex":0},"citationItems":[{"id":11201,"uris":["http://zotero.org/groups/2352922/items/S89E7Q5T"],"itemData":{"id":11201,"type":"article-journal","abstract":"Haplosporidan parasites of oysters have been reported from four continents. Those of the generalMinchinia, Haplosporidium, andMarteilia, which cause serious diseases of oysters, have been intensively studied. Epizootiology of these highly pathogenic species is well known. Life cycles are obscure for all haplosporidans because artificial infections have not been achieved. The high pathogenicity of newly-discovered haplosporidan diseases to native oysters in eastern North America and western Europe may indicate that these are exotic pathogens parasitizing susceptible oysters not previously exposed to these disease agents. Epizootiology of two haplosporidan pathogens along the middle Atlantic Coast of North America during 25 years of disease activity is discussed.Haplosporidium nelsoni sporulates only rarely and its life cycle remains unconfirmed. Resistant oysters were developed in nature and from laboratory breeding.Haplosporidium costale which causes “Seaside Disease” in high-salinity waters appears to be a more acclimated disease with regular patterns of infection and mortality. Several minor parasites whose life cycles and host species need more study are mentioned.","container-title":"Helgoländer Meeresuntersuchungen","DOI":"10.1007/BF01989300","issue":"149-166","source":"Semantic Scholar","title":"Epizootiology of diseases of oysters (&lt;i&gt;Crassostrea virginica&lt;/i&gt;), and parasites of associated organisms in eastern North America","volume":"37","author":[{"family":"Andrews","given":"Jay D."}],"issued":{"date-parts":[["1984"]]}},"label":"page"},{"id":33073,"uris":["http://zotero.org/groups/2352922/items/B4LKGDYS"],"itemData":{"id":33073,"type":"article-journal","abstract":"The protistan parasite Haplosporidium nelsoni has caused extensive mortality in the eastern oyster Crassostrea virginica along the mid-Atlantic coast of the United States since 1957. The origin of H. nelsoni has remained unresolved. Molecular diagnostic tools were used to examine the hypothesis that a haplosporidian parasite in the Pacific oyster C. gigas is H. nelsoni. A DNA probe specific for H. nelsoni reacted positively in in situ hybridizations with haplosporidian plasmodia from C. gigas collected in Korea, Japan, and California. Primers that specifically amplify H. nelsoni DNA in the polymerase chain reaction amplified product from Californian C. gigas infected with the haplosporidian parasite. The DNA sequence of the 565-base pair amplified product was identical to the H. nelsoni sequence except for a single nucleotide transition, a similarity of 99.8%. These results are conclusive evidence that the parasite in C. gigas is H. nelsoni and strongly support previous speculation that the parasite was introduced into Californian populations of C. gigas from Japan. Results also support previous speculation that H. nelsoni was introduced from the Pacific Ocean to C. virginica on the East Coast of the United States, likely with known importations of C. gigas. These results document greatly increased virulence in a naive host-parasite association and reinforce potential dangers of intentional, but improper, introductions of exotic marine organisms for aquaculture or resource restoration.","container-title":"Journal of Aquatic Animal Health","DOI":"10.1577/1548-8667(2000)012&lt;0001:IVIAIP&gt;2.0.CO;2","ISSN":"1548-8667","issue":"1","journalAbbreviation":"J. Aquat. Anim. Health","language":"eng","note":"PMID: 28880782","page":"1-8","source":"PubMed","title":"Increased Virulence in an Introduced Pathogen: &lt;i&gt;Haplosporidium nelsoni&lt;/i&gt; (MSX) in the Eastern Oyster &lt;i&gt;Crassostrea virginica&lt;/i&gt;","title-short":"Increased Virulence in an Introduced Pathogen","URL":"https://doi.org/10.1577/1548-8667(2000)012&lt;0001:IVIAIP&gt;2.0.CO;2","volume":"12","author":[{"family":"Burreson","given":"E. M."},{"family":"Stokes","given":"N. A."},{"family":"Friedman","given":"C. S."}],"issued":{"date-parts":[["2000",3,1]]}},"label":"page"}],"schema":"https://github.com/citation-style-language/schema/raw/master/csl-citation.json"} </w:instrText>
      </w:r>
      <w:r w:rsidRPr="00DA249F">
        <w:rPr>
          <w:lang w:val="en-GB"/>
        </w:rPr>
        <w:fldChar w:fldCharType="separate"/>
      </w:r>
      <w:r w:rsidR="00322C99" w:rsidRPr="00DA249F">
        <w:rPr>
          <w:lang w:val="en-GB"/>
        </w:rPr>
        <w:t>Andrews, 1984; Burreson et al., 2000)</w:t>
      </w:r>
      <w:r w:rsidRPr="00DA249F">
        <w:rPr>
          <w:lang w:val="en-GB"/>
        </w:rPr>
        <w:fldChar w:fldCharType="end"/>
      </w:r>
      <w:r w:rsidRPr="00DA249F">
        <w:rPr>
          <w:lang w:val="en-GB"/>
        </w:rPr>
        <w:t xml:space="preserve">. Outbreaks of the </w:t>
      </w:r>
      <w:r w:rsidR="00C31A89" w:rsidRPr="00DA249F">
        <w:rPr>
          <w:lang w:val="en-GB"/>
        </w:rPr>
        <w:t>intrahemocytic parasite</w:t>
      </w:r>
      <w:r w:rsidR="00C31A89" w:rsidRPr="00DA249F">
        <w:rPr>
          <w:i/>
          <w:iCs/>
          <w:lang w:val="en-GB"/>
        </w:rPr>
        <w:t xml:space="preserve"> </w:t>
      </w:r>
      <w:r w:rsidRPr="00DA249F">
        <w:rPr>
          <w:i/>
          <w:iCs/>
          <w:lang w:val="en-GB"/>
        </w:rPr>
        <w:t>Bonamia ostreae</w:t>
      </w:r>
      <w:r w:rsidR="00F217BA" w:rsidRPr="00DA249F">
        <w:rPr>
          <w:lang w:val="en-GB"/>
        </w:rPr>
        <w:t xml:space="preserve">, </w:t>
      </w:r>
      <w:r w:rsidR="00C31A89" w:rsidRPr="00DA249F">
        <w:rPr>
          <w:lang w:val="en-GB"/>
        </w:rPr>
        <w:t>protozoan parasite</w:t>
      </w:r>
      <w:r w:rsidR="00C31A89" w:rsidRPr="00DA249F">
        <w:rPr>
          <w:i/>
          <w:iCs/>
          <w:lang w:val="en-GB"/>
        </w:rPr>
        <w:t xml:space="preserve"> </w:t>
      </w:r>
      <w:r w:rsidRPr="00DA249F">
        <w:rPr>
          <w:i/>
          <w:iCs/>
          <w:lang w:val="en-GB"/>
        </w:rPr>
        <w:t>Marteilia refringens</w:t>
      </w:r>
      <w:r w:rsidRPr="00DA249F">
        <w:rPr>
          <w:lang w:val="en-GB"/>
        </w:rPr>
        <w:t xml:space="preserve">, </w:t>
      </w:r>
      <w:r w:rsidR="00C31A89" w:rsidRPr="00DA249F">
        <w:rPr>
          <w:lang w:val="en-GB"/>
        </w:rPr>
        <w:t xml:space="preserve">two species of parasitic copepods </w:t>
      </w:r>
      <w:r w:rsidR="00C31A89" w:rsidRPr="00DA249F">
        <w:rPr>
          <w:i/>
          <w:iCs/>
          <w:lang w:val="en-GB"/>
        </w:rPr>
        <w:t>Mytilicola orientalis</w:t>
      </w:r>
      <w:r w:rsidR="00C31A89" w:rsidRPr="00DA249F">
        <w:rPr>
          <w:lang w:val="en-GB"/>
        </w:rPr>
        <w:t xml:space="preserve"> </w:t>
      </w:r>
      <w:r w:rsidR="00D4691A" w:rsidRPr="00DA249F">
        <w:rPr>
          <w:lang w:val="en-GB"/>
        </w:rPr>
        <w:t xml:space="preserve">(oyster redworm) </w:t>
      </w:r>
      <w:r w:rsidR="00C31A89" w:rsidRPr="00DA249F">
        <w:rPr>
          <w:lang w:val="en-GB"/>
        </w:rPr>
        <w:t xml:space="preserve">and </w:t>
      </w:r>
      <w:r w:rsidR="00C31A89" w:rsidRPr="00DA249F">
        <w:rPr>
          <w:i/>
          <w:iCs/>
          <w:lang w:val="en-GB"/>
        </w:rPr>
        <w:t>Myicola ostreae</w:t>
      </w:r>
      <w:r w:rsidR="00774819">
        <w:rPr>
          <w:lang w:val="en-GB"/>
        </w:rPr>
        <w:t xml:space="preserve"> and</w:t>
      </w:r>
      <w:r w:rsidRPr="00DA249F">
        <w:rPr>
          <w:lang w:val="en-GB"/>
        </w:rPr>
        <w:t xml:space="preserve"> the ostreid herpesvirus (OsHV-1), affect farmed Pacific oysters</w:t>
      </w:r>
      <w:r w:rsidR="001151DE">
        <w:rPr>
          <w:lang w:val="en-GB"/>
        </w:rPr>
        <w:t xml:space="preserve"> and</w:t>
      </w:r>
      <w:r w:rsidRPr="00DA249F">
        <w:rPr>
          <w:lang w:val="en-GB"/>
        </w:rPr>
        <w:t xml:space="preserve"> all originate from imports of stock </w:t>
      </w:r>
      <w:r w:rsidRPr="00DA249F">
        <w:rPr>
          <w:lang w:val="en-GB"/>
        </w:rPr>
        <w:fldChar w:fldCharType="begin"/>
      </w:r>
      <w:r w:rsidR="00331A79">
        <w:rPr>
          <w:lang w:val="en-GB"/>
        </w:rPr>
        <w:instrText xml:space="preserve"> ADDIN ZOTERO_ITEM CSL_CITATION {"citationID":"C6sBaiL8","properties":{"formattedCitation":"(Mineur et al., 2014)","plainCitation":"(Mineur et al., 2014)","noteIndex":0},"citationItems":[{"id":33086,"uris":["http://zotero.org/groups/2352922/items/MBB7FRZW"],"itemData":{"id":33086,"type":"article-journal","abstract":"With globalization, agriculture and aquaculture activities are increasingly affected by diseases that are spread through movement of crops and stock. Such movements are also associated with the introduction of non-native species via hitchhiking individual organisms. The oyster industry, one of the most important forms of marine aquaculture, embodies these issues. In Europe disease outbreaks affecting cultivated populations of the naturalized oyster Crassostrea gigas caused a major disruption of production in the late 1960s and early 1970s. Mitigation procedures involved massive imports of stock from the species' native range in the northwestern Pacific from 1971 to 1977. We assessed the role stock imports played in the introduction of non-native marine species (including pathogens) from the northwestern Pacific to Europe through a methodological and critical appraisal of record data. The discovery rate of non-native species (a proxy for the introduction rate) from 1966 to 2012 suggests a continuous vector activity over the entire period. Disease outbreaks that have been affecting oyster production since 2008 may be a result of imports from the northwestern Pacific, and such imports are again being considered as an answer to the crisis. Although successful as a remedy in the short and medium terms, such translocations may bring new diseases that may trigger yet more imports (self-reinforcing or positive feedback loop) and lead to the introduction of more hitchhikers. Although there is a legal framework to prevent or reduce these introductions, existing procedures should be improved.","container-title":"Conservation Biology: The Journal of the Society for Conservation Biology","DOI":"https://doi.org/10.1111/cobi.12363","ISSN":"1523-1739","issue":"6","journalAbbreviation":"Conserv Biol","language":"eng","note":"PMID: 25047099","page":"1667-1676","source":"PubMed","title":"Positive feedback loop between introductions of non-native marine species and cultivation of oysters in Europe","volume":"28","author":[{"family":"Mineur","given":"Frédéric"},{"family":"Le Roux","given":"Auguste"},{"family":"Maggs","given":"Christine A."},{"family":"Verlaque","given":"Marc"}],"issued":{"date-parts":[["2014",12]]}},"label":"page"}],"schema":"https://github.com/citation-style-language/schema/raw/master/csl-citation.json"} </w:instrText>
      </w:r>
      <w:r w:rsidRPr="00DA249F">
        <w:rPr>
          <w:lang w:val="en-GB"/>
        </w:rPr>
        <w:fldChar w:fldCharType="separate"/>
      </w:r>
      <w:r w:rsidR="00144D96" w:rsidRPr="00144D96">
        <w:t>(Mineur et al., 2014)</w:t>
      </w:r>
      <w:r w:rsidRPr="00DA249F">
        <w:rPr>
          <w:lang w:val="en-GB"/>
        </w:rPr>
        <w:fldChar w:fldCharType="end"/>
      </w:r>
      <w:r w:rsidRPr="00DA249F">
        <w:rPr>
          <w:lang w:val="en-GB"/>
        </w:rPr>
        <w:t xml:space="preserve">. </w:t>
      </w:r>
      <w:r w:rsidR="009A66AD" w:rsidRPr="00DA249F">
        <w:rPr>
          <w:i/>
          <w:iCs/>
          <w:lang w:val="en-GB"/>
        </w:rPr>
        <w:t>Anguillicol</w:t>
      </w:r>
      <w:r w:rsidR="00AB29E0">
        <w:rPr>
          <w:i/>
          <w:iCs/>
          <w:lang w:val="en-GB"/>
        </w:rPr>
        <w:t>a</w:t>
      </w:r>
      <w:r w:rsidR="009A66AD" w:rsidRPr="00DA249F">
        <w:rPr>
          <w:i/>
          <w:iCs/>
          <w:lang w:val="en-GB"/>
        </w:rPr>
        <w:t xml:space="preserve"> crassus</w:t>
      </w:r>
      <w:r w:rsidR="009A66AD" w:rsidRPr="00DA249F">
        <w:rPr>
          <w:lang w:val="en-GB"/>
        </w:rPr>
        <w:t>, a</w:t>
      </w:r>
      <w:r w:rsidRPr="00DA249F">
        <w:rPr>
          <w:lang w:val="en-GB"/>
        </w:rPr>
        <w:t xml:space="preserve"> blood feeding swimbladder </w:t>
      </w:r>
      <w:r w:rsidR="000A2EB8" w:rsidRPr="00DA249F">
        <w:rPr>
          <w:lang w:val="en-GB"/>
        </w:rPr>
        <w:t>parasitic nematode</w:t>
      </w:r>
      <w:r w:rsidR="000A2EB8" w:rsidRPr="00DA249F">
        <w:rPr>
          <w:iCs/>
          <w:lang w:val="en-GB"/>
        </w:rPr>
        <w:t xml:space="preserve"> in eels</w:t>
      </w:r>
      <w:r w:rsidR="000A2EB8" w:rsidRPr="00DA249F">
        <w:rPr>
          <w:i/>
          <w:iCs/>
          <w:lang w:val="en-GB"/>
        </w:rPr>
        <w:t xml:space="preserve"> </w:t>
      </w:r>
      <w:r w:rsidRPr="00DA249F">
        <w:rPr>
          <w:lang w:val="en-GB"/>
        </w:rPr>
        <w:t>native to eastern Asia, was widely introduced with its host</w:t>
      </w:r>
      <w:r w:rsidR="007E3DB6" w:rsidRPr="00DA249F">
        <w:rPr>
          <w:lang w:val="en-GB"/>
        </w:rPr>
        <w:t>,</w:t>
      </w:r>
      <w:r w:rsidRPr="00DA249F">
        <w:rPr>
          <w:lang w:val="en-GB"/>
        </w:rPr>
        <w:t xml:space="preserve"> </w:t>
      </w:r>
      <w:r w:rsidRPr="00DA249F">
        <w:rPr>
          <w:i/>
          <w:iCs/>
          <w:lang w:val="en-GB"/>
        </w:rPr>
        <w:t>Anguilla japonica</w:t>
      </w:r>
      <w:r w:rsidR="006F7FBA" w:rsidRPr="00DA249F">
        <w:rPr>
          <w:i/>
          <w:iCs/>
          <w:lang w:val="en-GB"/>
        </w:rPr>
        <w:t xml:space="preserve"> </w:t>
      </w:r>
      <w:r w:rsidR="006F7FBA" w:rsidRPr="00DA249F">
        <w:rPr>
          <w:lang w:val="en-GB"/>
        </w:rPr>
        <w:t>(Japanese eel)</w:t>
      </w:r>
      <w:r w:rsidR="007E3DB6" w:rsidRPr="00DA249F">
        <w:rPr>
          <w:lang w:val="en-GB"/>
        </w:rPr>
        <w:t>,</w:t>
      </w:r>
      <w:r w:rsidRPr="00DA249F">
        <w:rPr>
          <w:lang w:val="en-GB"/>
        </w:rPr>
        <w:t xml:space="preserve"> to Europe and North America, where it is now widespread in native eel</w:t>
      </w:r>
      <w:r w:rsidR="006F7FBA" w:rsidRPr="00DA249F">
        <w:rPr>
          <w:lang w:val="en-GB"/>
        </w:rPr>
        <w:t xml:space="preserve"> population</w:t>
      </w:r>
      <w:r w:rsidRPr="00DA249F">
        <w:rPr>
          <w:lang w:val="en-GB"/>
        </w:rPr>
        <w:t>s sometimes at</w:t>
      </w:r>
      <w:r w:rsidR="00A637B1">
        <w:rPr>
          <w:lang w:val="en-GB"/>
        </w:rPr>
        <w:t xml:space="preserve"> a</w:t>
      </w:r>
      <w:r w:rsidRPr="00DA249F">
        <w:rPr>
          <w:lang w:val="en-GB"/>
        </w:rPr>
        <w:t xml:space="preserve"> prevalence up to 82</w:t>
      </w:r>
      <w:r w:rsidR="004C77CD" w:rsidRPr="00DA249F">
        <w:rPr>
          <w:lang w:val="en-GB"/>
        </w:rPr>
        <w:t xml:space="preserve"> per cent</w:t>
      </w:r>
      <w:r w:rsidRPr="00DA249F">
        <w:rPr>
          <w:lang w:val="en-GB"/>
        </w:rPr>
        <w:t xml:space="preserve"> </w:t>
      </w:r>
      <w:r w:rsidR="008F2E4D">
        <w:rPr>
          <w:lang w:val="en-GB"/>
        </w:rPr>
        <w:t xml:space="preserve">of adult and juvenile eels </w:t>
      </w:r>
      <w:r w:rsidRPr="00DA249F">
        <w:rPr>
          <w:lang w:val="en-GB"/>
        </w:rPr>
        <w:fldChar w:fldCharType="begin"/>
      </w:r>
      <w:r w:rsidR="00F5121E">
        <w:rPr>
          <w:lang w:val="en-GB"/>
        </w:rPr>
        <w:instrText xml:space="preserve"> ADDIN ZOTERO_ITEM CSL_CITATION {"citationID":"i2PJMet7","properties":{"unsorted":true,"formattedCitation":"(Barse et al., 2001; Aieta &amp; Oliveira, 2009; T. C. Pratt et al., 2019; Warshafsky et al., 2019)","plainCitation":"(Barse et al., 2001; Aieta &amp; Oliveira, 2009; T. C. Pratt et al., 2019; Warshafsky et al., 2019)","noteIndex":0},"citationItems":[{"id":9822,"uris":["http://zotero.org/groups/2352922/items/SCATM7WD"],"itemData":{"id":9822,"type":"article-journal","container-title":"Journal of Parasitology","DOI":"10.1645/0022-3395(2001)087[1366:TSNACI]2.0.CO;2","ISSN":"0022-3395, 1937-2345","issue":"6","journalAbbreviation":"Journal of Parasitology","language":"en","page":"1366-1370","source":"DOI.org (Crossref)","title":"The swimbladder nematode &lt;i&gt;Anguillicola crassus&lt;/i&gt; in american eels (&lt;i&gt;Anguilla rostrata&lt;/i&gt;) from middle and upper regions of Chesapeake Bay","URL":"http://www.bioone.org/doi/abs/10.1645/0022-3395%282001%29087%5B1366%3ATSNACI%5D2.0.CO%3B2","volume":"87","author":[{"family":"Barse","given":"Ann M."},{"family":"McGuire","given":"Scott A."},{"family":"Vinores","given":"Melissa A."},{"family":"Eierman","given":"Laura E."},{"family":"Weeder","given":"Julie A."}],"accessed":{"date-parts":[["2020",8,5]]},"issued":{"date-parts":[["2001",12]]}},"label":"page"},{"id":32815,"uris":["http://zotero.org/groups/2352922/items/TP2PLLZY"],"itemData":{"id":32815,"type":"article-journal","container-title":"Diseases of Aquatic Organisms","DOI":"10.3354/dao02049","ISSN":"0177-5103, 1616-1580","journalAbbreviation":"Dis. Aquat. Org.","language":"en","page":"229-235","source":"DOI.org (Crossref)","title":"Distribution, prevalence, and intensity of the swim bladder parasite &lt;i&gt;Anguillicola crassus&lt;/i&gt; in New England and eastern Canada","URL":"http://www.int-res.com/abstracts/dao/v84/n3/p229-235/","volume":"84","author":[{"family":"Aieta","given":"Ae"},{"family":"Oliveira","given":"K"}],"accessed":{"date-parts":[["2020",8,5]]},"issued":{"date-parts":[["2009",4,27]]}},"label":"page"},{"id":33056,"uris":["http://zotero.org/groups/2352922/items/EW8ZESMD"],"itemData":{"id":33056,"type":"article-journal","abstract":"The non-native swim bladder nematode Anguillicoloides crassus was first documented in wild American eel (Anguilla rostrata) in South Carolina in 1996, and has since spread through rivers and estuaries along the east coast of the United States and Canada. American eel in Canada are a species of conservation concern, primarily due to a severe decline in recruitment within the St. Lawrence River watershed. We report the first occurrence of A. crassus in American eel in the St. Lawrence River watershed in 2010. Prevalence of A. crassus infection remained low through 2014, but has since increased to approximately 30% over the past 3 years. Infection intensity has also increased from only a single nematode up to 2013 to an average of 6.5 nematodes per infected eel in 2018. In outmigrating silver-stage eels sampled in the St. Lawrence estuary, the first occurrence of A. crassus was noted in 2015 and prevalence has fluctuated from a low 0.2% in 2015 to a high of 3.6% in 2017. In 2018, A. crassus was first identified in an eel recruiting to the upper St. Lawrence River. A. crassus was likely inadvertently introduced to the St. Lawrence River watershed during a conservation stocking research project in which glass-stage eels from infected areas were translocated to the region to supplement natural recruitment. It is not clear at this time what harm this additional threat will pose to an already declining contingent of this panmictic species.","container-title":"Journal of Great Lakes Research","DOI":"10.1016/j.jglr.2019.06.005","ISSN":"0380-1330","issue":"5","journalAbbreviation":"Journal of Great Lakes Research","language":"en","page":"991-997","source":"ScienceDirect","title":"Pattern of &lt;i&gt;Anguillicoloides crassus&lt;/i&gt; infestation in the St. Lawrence River watershed","URL":"http://www.sciencedirect.com/science/article/pii/S0380133019301145","volume":"45","author":[{"family":"Pratt","given":"T. C."},{"family":"O'Connor","given":"L. M."},{"family":"Stacey","given":"J. A."},{"family":"Stanley","given":"D. R."},{"family":"Mathers","given":"A."},{"family":"Johnson","given":"L. E."},{"family":"Reid","given":"S. M."},{"family":"Verreault","given":"G."},{"family":"Pearce","given":"J."}],"accessed":{"date-parts":[["2020",8,5]]},"issued":{"date-parts":[["2019",10,1]]}},"label":"page"},{"id":32177,"uris":["http://zotero.org/groups/2352922/items/CPIYLX9J"],"itemData":{"id":32177,"type":"article-journal","container-title":"Canadian Journal of Fisheries and Aquatic Sciences","DOI":"https://doi.org/10.1139/cjfas-2018-0136","issue":"10","note":"ISBN: 0706-652X\npublisher: NRC Research Press","page":"1808-1818","title":"Temporal, spatial, and biological variation of nematode epidemiology in American eels","URL":"https://cdnsciencepub.com/doi/abs/10.1139/cjfas-2018-0136","volume":"76","author":[{"family":"Warshafsky","given":"Zoemma T."},{"family":"Tuckey","given":"Troy D."},{"family":"Vogelbein","given":"Wolfgang K."},{"family":"Latour","given":"Robert J."},{"family":"Wargo","given":"Andrew R."}],"issued":{"date-parts":[["2019"]]}},"label":"page"}],"schema":"https://github.com/citation-style-language/schema/raw/master/csl-citation.json"} </w:instrText>
      </w:r>
      <w:r w:rsidRPr="00DA249F">
        <w:rPr>
          <w:lang w:val="en-GB"/>
        </w:rPr>
        <w:fldChar w:fldCharType="separate"/>
      </w:r>
      <w:r w:rsidR="00144D96" w:rsidRPr="00144D96">
        <w:t>(Barse et al., 2001; Aieta &amp; Oliveira, 2009; T. C. Pratt et al., 2019; Warshafsky et al., 2019)</w:t>
      </w:r>
      <w:r w:rsidRPr="00DA249F">
        <w:rPr>
          <w:lang w:val="en-GB"/>
        </w:rPr>
        <w:fldChar w:fldCharType="end"/>
      </w:r>
      <w:r w:rsidRPr="00DA249F">
        <w:rPr>
          <w:lang w:val="en-GB"/>
        </w:rPr>
        <w:t xml:space="preserve">. The </w:t>
      </w:r>
      <w:r w:rsidR="3B3A0789" w:rsidRPr="00DA249F">
        <w:rPr>
          <w:lang w:val="en-GB"/>
        </w:rPr>
        <w:t>illegal</w:t>
      </w:r>
      <w:r w:rsidRPr="00DA249F">
        <w:rPr>
          <w:lang w:val="en-GB"/>
        </w:rPr>
        <w:t xml:space="preserve"> importation of penaeid prawns from Turkey into Italy was revealed only when </w:t>
      </w:r>
      <w:r w:rsidR="00104C83" w:rsidRPr="00DA249F">
        <w:rPr>
          <w:lang w:val="en-GB"/>
        </w:rPr>
        <w:t>the w</w:t>
      </w:r>
      <w:r w:rsidRPr="00DA249F">
        <w:rPr>
          <w:lang w:val="en-GB"/>
        </w:rPr>
        <w:t xml:space="preserve">hite </w:t>
      </w:r>
      <w:r w:rsidR="00104C83" w:rsidRPr="00DA249F">
        <w:rPr>
          <w:lang w:val="en-GB"/>
        </w:rPr>
        <w:t>s</w:t>
      </w:r>
      <w:r w:rsidRPr="00DA249F">
        <w:rPr>
          <w:lang w:val="en-GB"/>
        </w:rPr>
        <w:t xml:space="preserve">pot </w:t>
      </w:r>
      <w:r w:rsidR="00104C83" w:rsidRPr="00DA249F">
        <w:rPr>
          <w:lang w:val="en-GB"/>
        </w:rPr>
        <w:t>d</w:t>
      </w:r>
      <w:r w:rsidR="006870B8" w:rsidRPr="00DA249F">
        <w:rPr>
          <w:lang w:val="en-GB"/>
        </w:rPr>
        <w:t>isease</w:t>
      </w:r>
      <w:r w:rsidRPr="00DA249F">
        <w:rPr>
          <w:lang w:val="en-GB"/>
        </w:rPr>
        <w:t xml:space="preserve"> </w:t>
      </w:r>
      <w:r w:rsidR="007E3DB6" w:rsidRPr="00DA249F">
        <w:rPr>
          <w:lang w:val="en-GB"/>
        </w:rPr>
        <w:t>was detected</w:t>
      </w:r>
      <w:r w:rsidR="004608B8" w:rsidRPr="00DA249F">
        <w:rPr>
          <w:lang w:val="en-GB"/>
        </w:rPr>
        <w:t xml:space="preserve"> </w:t>
      </w:r>
      <w:r w:rsidRPr="00DA249F">
        <w:rPr>
          <w:lang w:val="en-GB"/>
        </w:rPr>
        <w:fldChar w:fldCharType="begin"/>
      </w:r>
      <w:r w:rsidR="00331A79">
        <w:rPr>
          <w:lang w:val="en-GB"/>
        </w:rPr>
        <w:instrText xml:space="preserve"> ADDIN ZOTERO_ITEM CSL_CITATION {"citationID":"yqC7ZhoW","properties":{"formattedCitation":"(Stentiford &amp; Lightner, 2011)","plainCitation":"(Stentiford &amp; Lightner, 2011)","noteIndex":0},"citationItems":[{"id":32187,"uris":["http://zotero.org/groups/2352922/items/RSDGGQDQ"],"itemData":{"id":32187,"type":"article-journal","abstract":"White Spot Disease (WSD) caused by White Spot Syndrome Virus (WSSV) is listed as ‘non-exotic’ to the European Union in EC Directive 2006/88. Two other viral diseases (Taura Syndrome and Yellowhead Disease) are listed as exotic. Despite the listing of WSD as a non-exotic disease, definitive case reports have not been officially reported, or published in the peer-reviewed literature. Here we report on a series of outbreaks of WSD in three European Union (EU) Member States (Greece, Italy and Spain) and in one non-EU European country (Turkey) over the period 1995 to 2001. Samples were submitted by industry representatives over this period and were therefore not officially reported to the Competent Authorities of respective European Member States. At least one of the cases appeared to be associated with the feeding of imported shrimp carcasses from Asia to broodstock while other cases were associated with the importation of post-larvae between hatcheries and on-growing facilities from outside of Europe and further movements within Europe. These case reports demonstrate the ability for WSSV to cause disease and mortality in penaeid shrimp farmed at European ambient temperatures. Furthermore, they demonstrate potential for the introduction of WSSV to new geographic areas via the movement of live crustaceans and their products, both from outside of the EU, and between EU Member and non-member countries within the European region.","container-title":"Aquaculture","DOI":"10.1016/j.aquaculture.2011.06.032","ISSN":"0044-8486","issue":"1","journalAbbreviation":"Aquaculture","language":"en","page":"302-306","source":"ScienceDirect","title":"Cases of White Spot Disease (WSD) in European shrimp farms","URL":"https://www.sciencedirect.com/science/article/pii/S0044848611005126","volume":"319","author":[{"family":"Stentiford","given":"G. D."},{"family":"Lightner","given":"D. V."}],"accessed":{"date-parts":[["2021",12,3]]},"issued":{"date-parts":[["2011",9,1]]}}}],"schema":"https://github.com/citation-style-language/schema/raw/master/csl-citation.json"} </w:instrText>
      </w:r>
      <w:r w:rsidRPr="00DA249F">
        <w:rPr>
          <w:lang w:val="en-GB"/>
        </w:rPr>
        <w:fldChar w:fldCharType="separate"/>
      </w:r>
      <w:r w:rsidR="00144D96" w:rsidRPr="00144D96">
        <w:t>(Stentiford &amp; Lightner, 2011)</w:t>
      </w:r>
      <w:r w:rsidRPr="00DA249F">
        <w:rPr>
          <w:lang w:val="en-GB"/>
        </w:rPr>
        <w:fldChar w:fldCharType="end"/>
      </w:r>
      <w:r w:rsidRPr="00DA249F">
        <w:rPr>
          <w:lang w:val="en-GB"/>
        </w:rPr>
        <w:t xml:space="preserve">. </w:t>
      </w:r>
      <w:r w:rsidR="00C404EB" w:rsidRPr="00DA249F">
        <w:rPr>
          <w:lang w:val="en-GB"/>
        </w:rPr>
        <w:t xml:space="preserve">The high concentration of salmon farming </w:t>
      </w:r>
      <w:r w:rsidR="00A637B1">
        <w:rPr>
          <w:lang w:val="en-GB"/>
        </w:rPr>
        <w:t xml:space="preserve">in </w:t>
      </w:r>
      <w:r w:rsidR="00A637B1" w:rsidRPr="00DA249F">
        <w:rPr>
          <w:lang w:val="en-GB"/>
        </w:rPr>
        <w:t>sea</w:t>
      </w:r>
      <w:r w:rsidR="00A637B1">
        <w:rPr>
          <w:lang w:val="en-GB"/>
        </w:rPr>
        <w:t>s</w:t>
      </w:r>
      <w:r w:rsidR="00A637B1" w:rsidRPr="00DA249F">
        <w:rPr>
          <w:lang w:val="en-GB"/>
        </w:rPr>
        <w:t xml:space="preserve"> </w:t>
      </w:r>
      <w:r w:rsidR="00C404EB" w:rsidRPr="00DA249F">
        <w:rPr>
          <w:lang w:val="en-GB"/>
        </w:rPr>
        <w:t xml:space="preserve">off Europe and Canada has been </w:t>
      </w:r>
      <w:r w:rsidR="000429AA" w:rsidRPr="00DA249F">
        <w:rPr>
          <w:lang w:val="en-GB"/>
        </w:rPr>
        <w:t xml:space="preserve">implicated in </w:t>
      </w:r>
      <w:r w:rsidR="00E4311C" w:rsidRPr="00DA249F">
        <w:rPr>
          <w:lang w:val="en-GB"/>
        </w:rPr>
        <w:t>outbreaks of sea lice (</w:t>
      </w:r>
      <w:r w:rsidR="00E4311C" w:rsidRPr="00DA249F">
        <w:rPr>
          <w:i/>
          <w:iCs/>
          <w:lang w:val="en-GB"/>
        </w:rPr>
        <w:t>Lepeophtheirus salmonis</w:t>
      </w:r>
      <w:r w:rsidR="00E4311C" w:rsidRPr="00DA249F">
        <w:rPr>
          <w:iCs/>
          <w:lang w:val="en-GB"/>
        </w:rPr>
        <w:t xml:space="preserve"> (salmon louse)</w:t>
      </w:r>
      <w:r w:rsidR="00E4311C" w:rsidRPr="00DA249F">
        <w:rPr>
          <w:lang w:val="en-GB"/>
        </w:rPr>
        <w:t xml:space="preserve">, </w:t>
      </w:r>
      <w:r w:rsidR="00E4311C" w:rsidRPr="00DA249F">
        <w:rPr>
          <w:i/>
          <w:iCs/>
          <w:lang w:val="en-GB"/>
        </w:rPr>
        <w:t>Caligus</w:t>
      </w:r>
      <w:r w:rsidR="00E4311C" w:rsidRPr="00DA249F">
        <w:rPr>
          <w:lang w:val="en-GB"/>
        </w:rPr>
        <w:t xml:space="preserve"> spp.) in wild salmon (</w:t>
      </w:r>
      <w:r w:rsidR="00E4311C" w:rsidRPr="00DA249F">
        <w:rPr>
          <w:i/>
          <w:iCs/>
          <w:lang w:val="en-GB"/>
        </w:rPr>
        <w:t>Oncorhynchus gorbuscha</w:t>
      </w:r>
      <w:r w:rsidR="00E4311C" w:rsidRPr="00DA249F">
        <w:rPr>
          <w:iCs/>
          <w:lang w:val="en-GB"/>
        </w:rPr>
        <w:t xml:space="preserve"> (pink salmon)</w:t>
      </w:r>
      <w:r w:rsidR="00E4311C" w:rsidRPr="00DA249F">
        <w:rPr>
          <w:lang w:val="en-GB"/>
        </w:rPr>
        <w:t xml:space="preserve">, </w:t>
      </w:r>
      <w:r w:rsidR="00E4311C" w:rsidRPr="00DA249F">
        <w:rPr>
          <w:i/>
          <w:iCs/>
          <w:lang w:val="en-GB"/>
        </w:rPr>
        <w:t>Oncorhynchus keta</w:t>
      </w:r>
      <w:r w:rsidR="00E4311C" w:rsidRPr="00DA249F">
        <w:rPr>
          <w:iCs/>
          <w:lang w:val="en-GB"/>
        </w:rPr>
        <w:t xml:space="preserve"> </w:t>
      </w:r>
      <w:r w:rsidR="00E4311C" w:rsidRPr="00DA249F">
        <w:rPr>
          <w:lang w:val="en-GB"/>
        </w:rPr>
        <w:t xml:space="preserve">(chum salmon)) in these waters </w:t>
      </w:r>
      <w:r w:rsidR="00E4311C" w:rsidRPr="00DA249F">
        <w:rPr>
          <w:lang w:val="en-GB"/>
        </w:rPr>
        <w:fldChar w:fldCharType="begin"/>
      </w:r>
      <w:r w:rsidR="00331A79">
        <w:rPr>
          <w:lang w:val="en-GB"/>
        </w:rPr>
        <w:instrText xml:space="preserve"> ADDIN ZOTERO_ITEM CSL_CITATION {"citationID":"SpxIfHWo","properties":{"formattedCitation":"(Krko\\uc0\\u353{}ek et al., 2005)","plainCitation":"(Krkošek et al., 2005)","noteIndex":0},"citationItems":[{"id":32176,"uris":["http://zotero.org/groups/2352922/items/BRQY5WQ4"],"itemData":{"id":32176,"type":"article-journal","abstract":"Marine salmon farming has been correlated with parasitic sea lice infestations and concurrent declines of wild salmonids. Here, we report a quantitative analysis of how a single salmon farm altered the natural transmission dynamics of sea lice to juvenile Pacific salmon. We studied infections of sea lice (Lepeophtheirus salmonis and Caligus clemensi) on juvenile pink salmon (Oncorhynchus gorbuscha) and chum salmon (Oncorhynchus keta) as they passed an isolated salmon farm during their seaward migration down two long and narrow corridors. Our calculations suggest the infection pressure imposed by the farm was four orders of magnitude greater than ambient levels, resulting in a maximum infection pressure near the farm that was 73 times greater than ambient levels and exceeded ambient levels for 30 km along the two wild salmon migration corridors. The farm-produced cohort of lice parasitizing the wild juvenile hosts reached reproductive maturity and produced a second generation of lice that re-infected the juvenile salmon. This raises the infection pressure from the farm by an additional order of magnitude, with a composite infection pressure that exceeds ambient levels for 75 km of the two migration routes. Amplified sea lice infestations due to salmon farms are a potential limiting factor to wild salmonid conservation.","container-title":"Proceedings. Biological Sciences","DOI":"10.1098/rspb.2004.3027","ISSN":"0962-8452","issue":"1564","journalAbbreviation":"Proc Biol Sci","language":"eng","note":"PMID: 15870031\nPMCID: PMC1602048","page":"689-696","source":"PubMed","title":"Transmission dynamics of parasitic sea lice from farm to wild salmon","volume":"272","author":[{"family":"Krkošek","given":"Martin"},{"family":"Lewis","given":"Mark A."},{"family":"Volpe","given":"John P."}],"issued":{"date-parts":[["2005",4,7]]}},"label":"page"}],"schema":"https://github.com/citation-style-language/schema/raw/master/csl-citation.json"} </w:instrText>
      </w:r>
      <w:r w:rsidR="00E4311C" w:rsidRPr="00DA249F">
        <w:rPr>
          <w:lang w:val="en-GB"/>
        </w:rPr>
        <w:fldChar w:fldCharType="separate"/>
      </w:r>
      <w:r w:rsidR="00144D96" w:rsidRPr="00144D96">
        <w:rPr>
          <w:szCs w:val="24"/>
        </w:rPr>
        <w:t>(Krkošek et al., 2005)</w:t>
      </w:r>
      <w:r w:rsidR="00E4311C" w:rsidRPr="00DA249F">
        <w:rPr>
          <w:lang w:val="en-GB"/>
        </w:rPr>
        <w:fldChar w:fldCharType="end"/>
      </w:r>
      <w:r w:rsidRPr="00DA249F">
        <w:rPr>
          <w:lang w:val="en-GB"/>
        </w:rPr>
        <w:t>.</w:t>
      </w:r>
      <w:r w:rsidR="00345AFC">
        <w:rPr>
          <w:lang w:val="en-GB"/>
        </w:rPr>
        <w:t xml:space="preserve"> </w:t>
      </w:r>
      <w:r w:rsidR="000429AA" w:rsidRPr="00DA249F">
        <w:rPr>
          <w:lang w:val="en-GB"/>
        </w:rPr>
        <w:t>Farmed p</w:t>
      </w:r>
      <w:r w:rsidR="00E901BB" w:rsidRPr="00DA249F">
        <w:rPr>
          <w:lang w:val="en-GB"/>
        </w:rPr>
        <w:t xml:space="preserve">acific oysters have served as primary and secondary vectors for </w:t>
      </w:r>
      <w:r w:rsidR="000429AA" w:rsidRPr="00DA249F">
        <w:rPr>
          <w:lang w:val="en-GB"/>
        </w:rPr>
        <w:t>the</w:t>
      </w:r>
      <w:r w:rsidR="00E901BB" w:rsidRPr="00DA249F">
        <w:rPr>
          <w:lang w:val="en-GB"/>
        </w:rPr>
        <w:t xml:space="preserve"> introduction for algae, invertebrates and pathogens affecting both farmed and native oysters </w:t>
      </w:r>
      <w:r w:rsidR="00E901BB" w:rsidRPr="00DA249F">
        <w:rPr>
          <w:lang w:val="en-GB"/>
        </w:rPr>
        <w:fldChar w:fldCharType="begin"/>
      </w:r>
      <w:r w:rsidR="002535C9">
        <w:rPr>
          <w:lang w:val="en-GB"/>
        </w:rPr>
        <w:instrText xml:space="preserve"> ADDIN ZOTERO_ITEM CSL_CITATION {"citationID":"7z5foQql","properties":{"unsorted":true,"formattedCitation":"(Wolff &amp; Reise, 2002; Mineur et al., 2007, 2014; Verlaque et al., 2015)","plainCitation":"(Wolff &amp; Reise, 2002; Mineur et al., 2007, 2014; Verlaque et al., 2015)","noteIndex":0},"citationItems":[{"id":32884,"uris":["http://zotero.org/groups/2352922/items/NKMUDBJ7"],"itemData":{"id":32884,"type":"chapter","abstract":"In western and northern Europe there have been deliberate introductions of European flat oyster (Ostrea edulis), American oyster (Crassostrea virginica), Pacific oyster (C. gigas, including the so-called Portuguese oyster ‘C. angulata’), New Zealand oyster (Tiostrea lurida), hard clam (Mercenaria mercenaria), and Manila clam (Tapes philippinarum). Between about 1870 and 1939 tens of millions of Crassostrea virginica were introduced from the Atlantic coast of North America. However, C. virginica has been unable to establish itself in Europe. For 5 other species it is very likely that they have been introduced with American oysters. Between 1964 and about 1980 C. gigas was imported on a large scale from Japan and the Pacific coast of Canada and the USA. It has established itself in Europe permanently. C gigas brought its own parasites and the imports were accompanied by the import of more than 20 species of animals. Most of these observed imports failed, however, and only about 5–6 species seem to have established themselves in European waters. As a vector for the introduction of exotic species into the North Sea area, oyster imports are slightly more important than transport on ship’s hulls, and clearly more important than introductions through ballast water. In the Dutch Oosterschelde estuary Japanese oysters interfere with the recreational use of the estuary because of their razor-sharp shells. They also seem to have changed the ecological conditions in the estuary: coinciding with the increase of the oysters, mussels and cockles decrease, as does the oystercatcher (Haematopus ostralegus). It is not yet clear if this is a causal relationship. In the Wadden Sea near the island of Sylt, C. gigas established itself as an epibiont on mussel beds, and seems to be at the verge of transforming mussel beds into oyster reefs.","container-title":"Invasive Aquatic Species of Europe. Distribution, Impacts and Management","event-place":"Dordrecht","ISBN":"978-94-015-9956-6","language":"en","note":"DOI: 10.1007/978-94-015-9956-6_21","page":"193-205","publisher":"Springer Netherlands","publisher-place":"Dordrecht","source":"Springer Link","title":"Oyster Imports as a Vector for the Introduction of Alien Species into Northern and Western European Coastal Waters","URL":"https://doi.org/10.1007/978-94-015-9956-6_21","author":[{"family":"Wolff","given":"Wim J."},{"family":"Reise","given":"Karsten"}],"editor":[{"family":"Leppäkoski","given":"Erkki"},{"family":"Gollasch","given":"Stephan"},{"family":"Olenin","given":"Sergej"}],"accessed":{"date-parts":[["2020",8,7]]},"issued":{"date-parts":[["2002"]]}},"label":"page"},{"id":32783,"uris":["http://zotero.org/groups/2352922/items/TK2LDM9Y"],"itemData":{"id":32783,"type":"article-journal","container-title":"Biological Conservation","DOI":"10.1016/j.biocon.2007.02.001","ISSN":"00063207","issue":"2","journalAbbreviation":"Biological Conservation","language":"en","page":"237-247","source":"DOI.org (Crossref)","title":"Experimental assessment of oyster transfers as a vector for macroalgal introductions","URL":"https://linkinghub.elsevier.com/retrieve/pii/S0006320707000638","volume":"137","author":[{"family":"Mineur","given":"Frédéric"},{"family":"Belsher","given":"Thomas"},{"family":"Johnson","given":"Mark P."},{"family":"Maggs","given":"Christine A."},{"family":"Verlaque","given":"Marc"}],"accessed":{"date-parts":[["2020",8,7]]},"issued":{"date-parts":[["2007",6]]}},"label":"page"},{"id":33086,"uris":["http://zotero.org/groups/2352922/items/MBB7FRZW"],"itemData":{"id":33086,"type":"article-journal","abstract":"With globalization, agriculture and aquaculture activities are increasingly affected by diseases that are spread through movement of crops and stock. Such movements are also associated with the introduction of non-native species via hitchhiking individual organisms. The oyster industry, one of the most important forms of marine aquaculture, embodies these issues. In Europe disease outbreaks affecting cultivated populations of the naturalized oyster Crassostrea gigas caused a major disruption of production in the late 1960s and early 1970s. Mitigation procedures involved massive imports of stock from the species' native range in the northwestern Pacific from 1971 to 1977. We assessed the role stock imports played in the introduction of non-native marine species (including pathogens) from the northwestern Pacific to Europe through a methodological and critical appraisal of record data. The discovery rate of non-native species (a proxy for the introduction rate) from 1966 to 2012 suggests a continuous vector activity over the entire period. Disease outbreaks that have been affecting oyster production since 2008 may be a result of imports from the northwestern Pacific, and such imports are again being considered as an answer to the crisis. Although successful as a remedy in the short and medium terms, such translocations may bring new diseases that may trigger yet more imports (self-reinforcing or positive feedback loop) and lead to the introduction of more hitchhikers. Although there is a legal framework to prevent or reduce these introductions, existing procedures should be improved.","container-title":"Conservation Biology: The Journal of the Society for Conservation Biology","DOI":"https://doi.org/10.1111/cobi.12363","ISSN":"1523-1739","issue":"6","journalAbbreviation":"Conserv Biol","language":"eng","note":"PMID: 25047099","page":"1667-1676","source":"PubMed","title":"Positive feedback loop between introductions of non-native marine species and cultivation of oysters in Europe","volume":"28","author":[{"family":"Mineur","given":"Frédéric"},{"family":"Le Roux","given":"Auguste"},{"family":"Maggs","given":"Christine A."},{"family":"Verlaque","given":"Marc"}],"issued":{"date-parts":[["2014",12]]}},"label":"page"},{"id":32180,"uris":["http://zotero.org/groups/2352922/items/LKD8L3WQ"],"itemData":{"id":32180,"type":"book","ISBN":"92-990003-4-4","title":"CIESM Atlas of Exotic species in the Mediterranean Sea","URL":"https://www.ciesm.org/online/archives/abstracts/pdf/38/CIESM_Congress_2007_Istanbul_article_0014.pdf","author":[{"family":"Verlaque","given":"Marc"},{"family":"Ruitton","given":"Sandrine"},{"family":"Mineur","given":"Frédéric"},{"family":"Boudouresque","given":"C.-F."}],"issued":{"date-parts":[["2015"]]}},"label":"page"}],"schema":"https://github.com/citation-style-language/schema/raw/master/csl-citation.json"} </w:instrText>
      </w:r>
      <w:r w:rsidR="00E901BB" w:rsidRPr="00DA249F">
        <w:rPr>
          <w:lang w:val="en-GB"/>
        </w:rPr>
        <w:fldChar w:fldCharType="separate"/>
      </w:r>
      <w:r w:rsidR="002535C9" w:rsidRPr="002535C9">
        <w:t>(Wolff &amp; Reise, 2002; Mineur et al., 2007, 2014; Verlaque et al., 2015)</w:t>
      </w:r>
      <w:r w:rsidR="00E901BB" w:rsidRPr="00DA249F">
        <w:rPr>
          <w:lang w:val="en-GB"/>
        </w:rPr>
        <w:fldChar w:fldCharType="end"/>
      </w:r>
      <w:r w:rsidR="00E901BB" w:rsidRPr="00DA249F">
        <w:rPr>
          <w:lang w:val="en-GB"/>
        </w:rPr>
        <w:t xml:space="preserve">, including invasive alien species such as </w:t>
      </w:r>
      <w:r w:rsidR="00B9054F" w:rsidRPr="00DA249F">
        <w:rPr>
          <w:rFonts w:eastAsia="Yu Gothic"/>
          <w:i/>
          <w:iCs/>
          <w:color w:val="000000"/>
          <w:szCs w:val="24"/>
          <w:lang w:val="en-GB"/>
        </w:rPr>
        <w:t>Gracilaria vermiculophylla</w:t>
      </w:r>
      <w:r w:rsidR="00763B54" w:rsidRPr="00DA249F">
        <w:rPr>
          <w:i/>
          <w:iCs/>
          <w:lang w:val="en-GB"/>
        </w:rPr>
        <w:t xml:space="preserve"> </w:t>
      </w:r>
      <w:r w:rsidR="00763B54" w:rsidRPr="00DA249F">
        <w:rPr>
          <w:iCs/>
          <w:lang w:val="en-GB"/>
        </w:rPr>
        <w:t>(</w:t>
      </w:r>
      <w:r w:rsidR="00763B54" w:rsidRPr="00DA249F">
        <w:rPr>
          <w:rFonts w:eastAsia="Times New Roman"/>
          <w:color w:val="000000"/>
          <w:szCs w:val="24"/>
          <w:lang w:val="en-GB" w:eastAsia="zh-CN"/>
        </w:rPr>
        <w:t>black wart weed)</w:t>
      </w:r>
      <w:r w:rsidR="00E901BB" w:rsidRPr="00DA249F">
        <w:rPr>
          <w:lang w:val="en-GB"/>
        </w:rPr>
        <w:t xml:space="preserve">, </w:t>
      </w:r>
      <w:r w:rsidR="00E901BB" w:rsidRPr="00DA249F">
        <w:rPr>
          <w:i/>
          <w:iCs/>
          <w:lang w:val="en-GB"/>
        </w:rPr>
        <w:t>Codium fragile</w:t>
      </w:r>
      <w:r w:rsidR="00441457" w:rsidRPr="00DA249F">
        <w:rPr>
          <w:i/>
          <w:iCs/>
          <w:lang w:val="en-GB"/>
        </w:rPr>
        <w:t xml:space="preserve"> </w:t>
      </w:r>
      <w:r w:rsidR="00441457" w:rsidRPr="00DA249F">
        <w:rPr>
          <w:lang w:val="en-GB"/>
        </w:rPr>
        <w:t>(</w:t>
      </w:r>
      <w:r w:rsidR="005B3994" w:rsidRPr="00DA249F">
        <w:rPr>
          <w:lang w:val="en-GB"/>
        </w:rPr>
        <w:t>dead man’s fingers</w:t>
      </w:r>
      <w:r w:rsidR="00441457" w:rsidRPr="00DA249F">
        <w:rPr>
          <w:lang w:val="en-GB"/>
        </w:rPr>
        <w:t>)</w:t>
      </w:r>
      <w:r w:rsidR="00E901BB" w:rsidRPr="00DA249F">
        <w:rPr>
          <w:lang w:val="en-GB"/>
        </w:rPr>
        <w:t xml:space="preserve">, </w:t>
      </w:r>
      <w:r w:rsidR="00E901BB" w:rsidRPr="00DA249F">
        <w:rPr>
          <w:i/>
          <w:iCs/>
          <w:lang w:val="en-GB"/>
        </w:rPr>
        <w:t>Sargassum muticum</w:t>
      </w:r>
      <w:r w:rsidR="005C6CA1" w:rsidRPr="00DA249F">
        <w:rPr>
          <w:i/>
          <w:iCs/>
          <w:lang w:val="en-GB"/>
        </w:rPr>
        <w:t xml:space="preserve"> </w:t>
      </w:r>
      <w:r w:rsidR="005C6CA1" w:rsidRPr="00DA249F">
        <w:rPr>
          <w:lang w:val="en-GB"/>
        </w:rPr>
        <w:t xml:space="preserve">(wire </w:t>
      </w:r>
      <w:r w:rsidR="005C6CA1" w:rsidRPr="00DA249F">
        <w:rPr>
          <w:lang w:val="en-GB"/>
        </w:rPr>
        <w:lastRenderedPageBreak/>
        <w:t>weed)</w:t>
      </w:r>
      <w:r w:rsidR="00E901BB" w:rsidRPr="00DA249F">
        <w:rPr>
          <w:lang w:val="en-GB"/>
        </w:rPr>
        <w:t xml:space="preserve">, </w:t>
      </w:r>
      <w:r w:rsidR="00E901BB" w:rsidRPr="00DA249F">
        <w:rPr>
          <w:i/>
          <w:iCs/>
          <w:lang w:val="en-GB"/>
        </w:rPr>
        <w:t>Undaria pinnatifida</w:t>
      </w:r>
      <w:r w:rsidR="00ED0C1B" w:rsidRPr="00DA249F">
        <w:rPr>
          <w:i/>
          <w:iCs/>
          <w:lang w:val="en-GB"/>
        </w:rPr>
        <w:t xml:space="preserve"> </w:t>
      </w:r>
      <w:r w:rsidR="00ED0C1B" w:rsidRPr="00DA249F">
        <w:rPr>
          <w:lang w:val="en-GB"/>
        </w:rPr>
        <w:t>(Asian kelp)</w:t>
      </w:r>
      <w:r w:rsidR="00E901BB" w:rsidRPr="00DA249F">
        <w:rPr>
          <w:lang w:val="en-GB"/>
        </w:rPr>
        <w:t xml:space="preserve">, the sea squirts </w:t>
      </w:r>
      <w:r w:rsidR="00E901BB" w:rsidRPr="00DA249F">
        <w:rPr>
          <w:i/>
          <w:iCs/>
          <w:lang w:val="en-GB"/>
        </w:rPr>
        <w:t>Botrylloides violaceus</w:t>
      </w:r>
      <w:r w:rsidR="00EF5090" w:rsidRPr="00DA249F">
        <w:rPr>
          <w:i/>
          <w:iCs/>
          <w:lang w:val="en-GB"/>
        </w:rPr>
        <w:t xml:space="preserve"> </w:t>
      </w:r>
      <w:r w:rsidR="00EF5090" w:rsidRPr="00DA249F">
        <w:rPr>
          <w:lang w:val="en-GB"/>
        </w:rPr>
        <w:t>(violet tunicate)</w:t>
      </w:r>
      <w:r w:rsidR="00E901BB" w:rsidRPr="00DA249F">
        <w:rPr>
          <w:lang w:val="en-GB"/>
        </w:rPr>
        <w:t xml:space="preserve">, </w:t>
      </w:r>
      <w:r w:rsidR="00E901BB" w:rsidRPr="00DA249F">
        <w:rPr>
          <w:i/>
          <w:iCs/>
          <w:lang w:val="en-GB"/>
        </w:rPr>
        <w:t>Didemnum vexillum</w:t>
      </w:r>
      <w:r w:rsidR="00E901BB" w:rsidRPr="00DA249F">
        <w:rPr>
          <w:lang w:val="en-GB"/>
        </w:rPr>
        <w:t xml:space="preserve"> </w:t>
      </w:r>
      <w:r w:rsidR="00D213D1" w:rsidRPr="00DA249F">
        <w:rPr>
          <w:lang w:val="en-GB"/>
        </w:rPr>
        <w:t>(carpet sea squirt)</w:t>
      </w:r>
      <w:r w:rsidR="00774819">
        <w:rPr>
          <w:lang w:val="en-GB"/>
        </w:rPr>
        <w:t xml:space="preserve"> and</w:t>
      </w:r>
      <w:r w:rsidR="00E901BB" w:rsidRPr="00DA249F">
        <w:rPr>
          <w:lang w:val="en-GB"/>
        </w:rPr>
        <w:t xml:space="preserve"> </w:t>
      </w:r>
      <w:r w:rsidR="00E901BB" w:rsidRPr="00DA249F">
        <w:rPr>
          <w:i/>
          <w:iCs/>
          <w:lang w:val="en-GB"/>
        </w:rPr>
        <w:t>Styela clava</w:t>
      </w:r>
      <w:r w:rsidR="00876DBF" w:rsidRPr="00DA249F">
        <w:rPr>
          <w:i/>
          <w:iCs/>
          <w:lang w:val="en-GB"/>
        </w:rPr>
        <w:t xml:space="preserve"> </w:t>
      </w:r>
      <w:r w:rsidR="00876DBF" w:rsidRPr="00DA249F">
        <w:rPr>
          <w:lang w:val="en-GB"/>
        </w:rPr>
        <w:t>(Asian tunicate)</w:t>
      </w:r>
      <w:r w:rsidR="00E901BB" w:rsidRPr="00DA249F">
        <w:rPr>
          <w:lang w:val="en-GB"/>
        </w:rPr>
        <w:t>.</w:t>
      </w:r>
    </w:p>
    <w:p w14:paraId="70946783" w14:textId="42542568" w:rsidR="002E3CEA" w:rsidRPr="00DA249F" w:rsidRDefault="00345AFC" w:rsidP="002E3CEA">
      <w:pPr>
        <w:rPr>
          <w:lang w:val="en-GB"/>
        </w:rPr>
      </w:pPr>
      <w:r>
        <w:rPr>
          <w:lang w:val="en-GB"/>
        </w:rPr>
        <w:t>F</w:t>
      </w:r>
      <w:r w:rsidR="00AB1526" w:rsidRPr="00DA249F">
        <w:rPr>
          <w:lang w:val="en-GB"/>
        </w:rPr>
        <w:t xml:space="preserve">ish </w:t>
      </w:r>
      <w:r w:rsidR="00E901BB" w:rsidRPr="00DA249F">
        <w:rPr>
          <w:lang w:val="en-GB"/>
        </w:rPr>
        <w:t xml:space="preserve">breeds </w:t>
      </w:r>
      <w:r w:rsidR="0073394E" w:rsidRPr="00DA249F">
        <w:rPr>
          <w:lang w:val="en-GB"/>
        </w:rPr>
        <w:t>such as</w:t>
      </w:r>
      <w:r w:rsidR="0D42D987" w:rsidRPr="00DA249F">
        <w:rPr>
          <w:lang w:val="en-GB"/>
        </w:rPr>
        <w:t xml:space="preserve"> </w:t>
      </w:r>
      <w:r w:rsidR="0067617C" w:rsidRPr="00DA249F">
        <w:rPr>
          <w:lang w:val="en-GB"/>
        </w:rPr>
        <w:t xml:space="preserve">farmed </w:t>
      </w:r>
      <w:r w:rsidR="0067617C" w:rsidRPr="00DA249F">
        <w:rPr>
          <w:i/>
          <w:iCs/>
          <w:lang w:val="en-GB"/>
        </w:rPr>
        <w:t>Salmo salar</w:t>
      </w:r>
      <w:r w:rsidR="0067617C" w:rsidRPr="00DA249F">
        <w:rPr>
          <w:lang w:val="en-GB"/>
        </w:rPr>
        <w:t xml:space="preserve"> (</w:t>
      </w:r>
      <w:r w:rsidR="3B92FA4B" w:rsidRPr="00DA249F">
        <w:rPr>
          <w:lang w:val="en-GB"/>
        </w:rPr>
        <w:t>Atlantic salmon</w:t>
      </w:r>
      <w:r w:rsidR="0067617C" w:rsidRPr="00DA249F">
        <w:rPr>
          <w:lang w:val="en-GB"/>
        </w:rPr>
        <w:t>)</w:t>
      </w:r>
      <w:r w:rsidR="3B92FA4B" w:rsidRPr="00DA249F">
        <w:rPr>
          <w:lang w:val="en-GB"/>
        </w:rPr>
        <w:t xml:space="preserve"> have undergone domestication, i.e.</w:t>
      </w:r>
      <w:r w:rsidR="00C14EEB" w:rsidRPr="00DA249F">
        <w:rPr>
          <w:lang w:val="en-GB"/>
        </w:rPr>
        <w:t>,</w:t>
      </w:r>
      <w:r w:rsidR="3B92FA4B" w:rsidRPr="00DA249F">
        <w:rPr>
          <w:lang w:val="en-GB"/>
        </w:rPr>
        <w:t xml:space="preserve"> intensive selective breeding, and a limited pool of domesticated broodstock, eggs and sperm is shared worldwide </w:t>
      </w:r>
      <w:r w:rsidR="00E901BB" w:rsidRPr="00DA249F">
        <w:rPr>
          <w:lang w:val="en-GB"/>
        </w:rPr>
        <w:fldChar w:fldCharType="begin"/>
      </w:r>
      <w:r w:rsidR="00331A79">
        <w:rPr>
          <w:lang w:val="en-GB"/>
        </w:rPr>
        <w:instrText xml:space="preserve"> ADDIN ZOTERO_ITEM CSL_CITATION {"citationID":"1NDfuAh3","properties":{"formattedCitation":"(Roberge et al., 2008; Solberg et al., 2020)","plainCitation":"(Roberge et al., 2008; Solberg et al., 2020)","noteIndex":0},"citationItems":[{"id":32174,"uris":["http://zotero.org/groups/2352922/items/2DFK55V4"],"itemData":{"id":32174,"type":"article-journal","abstract":"Large annual escapees of farmed Atlantic salmon enhance the risk of extinction of wild populations through genetic and ecological interactions. Recently, we documented evolutionary change in gene transcription between farmed and wild Atlantic salmon after only five generations of artificial selection. While differences for most quantitative traits are expected to gradually dilute through repeated backcrossing to wild populations, the genetic basis of gene transcription has been shown to be largely nonadditive and hybrid crosses may display unexpected inheritance patterns. This makes it difficult to predict to what extent interbreeding between farmed and wild individuals will change the genetic makeup of wild salmon populations. Here, we compare the genome-wide gene transcription profiles of Norwegian wild salmon to that of a second generation hybrid cross [backcross: (Farmed X Wild) X Wild]. Over 6% (298, q-value &lt; 0.01) of the detected genes exhibited highly significantly different transcription levels, and the range and average magnitude of those differences was strikingly higher than previously described between pure farmed and wild strains. Most differences appear to result from nonadditive gene interactions. These results suggest that interbreeding of fugitive farmed salmon and wild individuals could substantially modify the genetic control of gene transcription in natural populations exposed to high migration from fish farms, resulting in potentially detrimental effects on the survival of these populations. This further supports the idea that measures to considerably reduce the number of escaped farmed salmon and their reproduction in the wild are urgently needed.","container-title":"Molecular Ecology","DOI":"10.1111/j.1365-294X.2007.03438.x","ISSN":"1365-294X","issue":"1","language":"en","note":"_eprint: https://onlinelibrary.wiley.com/doi/pdf/10.1111/j.1365-294X.2007.03438.x","page":"314-324","source":"Wiley Online Library","title":"Genetic consequences of interbreeding between farmed and wild Atlantic salmon: insights from the transcriptome","title-short":"Genetic consequences of interbreeding between farmed and wild Atlantic salmon","URL":"https://onlinelibrary.wiley.com/doi/abs/10.1111/j.1365-294X.2007.03438.x","volume":"17","author":[{"family":"Roberge","given":"Christian"},{"family":"Normandeau","given":"Éric"},{"family":"Einum","given":"Sigurd"},{"family":"Guderley","given":"Helga"},{"family":"Bernatchez","given":"Louis"}],"accessed":{"date-parts":[["2021",12,3]]},"issued":{"date-parts":[["2008"]]}},"label":"page"},{"id":32175,"uris":["http://zotero.org/groups/2352922/items/WYUVCRT3"],"itemData":{"id":32175,"type":"article-journal","abstract":"Domestication involves adapting animals to the human-controlled environment. Genetic changes occurring during the domestication process may manifest themselves in phenotypes that render domesticated animals maladaptive for life in the wild. Domesticated Atlantic salmon frequently interbreed with wild conspecifics, and their offspring display reduced survival in the wild. However, the mechanism(s) contributing to their lower survival in the wild remains a subject of conjecture. Here, we document higher susceptibility to predation by brown trout in fast-growing domesticated salmon, as compared to their slow-growing wild conspecifics, demonstrating that directional selection for increased growth comes at a cost of decreased survival when under the risk of predation, as predicted by the growth/predation risk trade-off. Despite earlier documentation of altered risk-taking behavior, this study demonstrates for the first time that domestication of Atlantic salmon has lead to increased predation susceptibility, and that this consitutes a mechanism underpinning the observed survial differences in the wild.","container-title":"Scientific Reports","DOI":"10.1038/s41598-020-58661-9","ISSN":"2045-2322","issue":"1","journalAbbreviation":"Sci Rep","language":"eng","note":"PMID: 32029847\nPMCID: PMC7005312","page":"1929","source":"PubMed","title":"Domestication leads to increased predation susceptibility","volume":"10","author":[{"family":"Solberg","given":"Monica F."},{"family":"Robertsen","given":"Grethe"},{"family":"Sundt-Hansen","given":"Line E."},{"family":"Hindar","given":"Kjetil"},{"family":"Glover","given":"Kevin A."}],"issued":{"date-parts":[["2020",2,6]]}},"label":"page"}],"schema":"https://github.com/citation-style-language/schema/raw/master/csl-citation.json"} </w:instrText>
      </w:r>
      <w:r w:rsidR="00E901BB" w:rsidRPr="00DA249F">
        <w:rPr>
          <w:lang w:val="en-GB"/>
        </w:rPr>
        <w:fldChar w:fldCharType="separate"/>
      </w:r>
      <w:r w:rsidR="00144D96" w:rsidRPr="00144D96">
        <w:t>(Roberge et al., 2008; Solberg et al., 2020)</w:t>
      </w:r>
      <w:r w:rsidR="00E901BB" w:rsidRPr="00DA249F">
        <w:rPr>
          <w:lang w:val="en-GB"/>
        </w:rPr>
        <w:fldChar w:fldCharType="end"/>
      </w:r>
      <w:r w:rsidR="3B92FA4B" w:rsidRPr="00DA249F">
        <w:rPr>
          <w:lang w:val="en-GB"/>
        </w:rPr>
        <w:t xml:space="preserve">. In the past half century tens of millions of farmed salmon have escaped into the wild </w:t>
      </w:r>
      <w:r w:rsidR="00E901BB" w:rsidRPr="00DA249F">
        <w:rPr>
          <w:lang w:val="en-GB"/>
        </w:rPr>
        <w:fldChar w:fldCharType="begin"/>
      </w:r>
      <w:r w:rsidR="00331A79">
        <w:rPr>
          <w:lang w:val="en-GB"/>
        </w:rPr>
        <w:instrText xml:space="preserve"> ADDIN ZOTERO_ITEM CSL_CITATION {"citationID":"XvVhBW5v","properties":{"formattedCitation":"(Wringe et al., 2018)","plainCitation":"(Wringe et al., 2018)","noteIndex":0},"citationItems":[{"id":32173,"uris":["http://zotero.org/groups/2352922/items/8VHCIPEY"],"itemData":{"id":32173,"type":"article-journal","abstract":"Domestication is rife with episodes of interbreeding between cultured and wild populations, potentially challenging adaptive variation in the wild. In Atlantic salmon, Salmo salar, the number of domesticated individuals far exceeds wild individuals, and escape events occur regularly, yet evidence of the magnitude and geographic scale of interbreeding resulting from individual escape events is lacking. We screened juvenile Atlantic salmon using 95 single nucleotide polymorphisms following a single, large aquaculture escape in the Northwest Atlantic and report the landscape-scale detection of hybrid and feral salmon (27.1%, 17/18 rivers). Hybrids were reproductively viable, and observed at higher frequency in smaller wild populations. Repeated annual sampling of this cohort revealed decreases in the presence of hybrid and feral offspring over time. These results link previous observations of escaped salmon in rivers with reports of population genetic change, and demonstrate the potential negative consequences of escapes from net-pen aquaculture on wild populations.","container-title":"Communications Biology","DOI":"10.1038/s42003-018-0112-9","ISSN":"2399-3642","issue":"1","journalAbbreviation":"Commun Biol","language":"en","license":"2018 The Author(s)","note":"Bandiera_abtest: a\nCc_license_type: cc_by\nCg_type: Nature Research Journals\nnumber: 1\nPrimary_atype: Research\npublisher: Nature Publishing Group\nSubject_term: Conservation biology;Molecular ecology;Population genetics\nSubject_term_id: conservation;molecular-ecology;population-genetics","page":"1-9","source":"www.nature.com","title":"Extensive hybridization following a large escape of domesticated Atlantic salmon in the Northwest Atlantic","URL":"https://www.nature.com/articles/s42003-018-0112-9","volume":"1","author":[{"family":"Wringe","given":"Brendan F."},{"family":"Jeffery","given":"Nicholas W."},{"family":"Stanley","given":"Ryan R. E."},{"family":"Hamilton","given":"Lorraine C."},{"family":"Anderson","given":"Eric C."},{"family":"Fleming","given":"Ian A."},{"family":"Grant","given":"Carole"},{"family":"Dempson","given":"J. Brian"},{"family":"Veinott","given":"Geoff"},{"family":"Duffy","given":"Steven J."},{"family":"Bradbury","given":"Ian R."}],"accessed":{"date-parts":[["2021",12,3]]},"issued":{"date-parts":[["2018",8,9]]}},"label":"page"}],"schema":"https://github.com/citation-style-language/schema/raw/master/csl-citation.json"} </w:instrText>
      </w:r>
      <w:r w:rsidR="00E901BB" w:rsidRPr="00DA249F">
        <w:rPr>
          <w:lang w:val="en-GB"/>
        </w:rPr>
        <w:fldChar w:fldCharType="separate"/>
      </w:r>
      <w:r w:rsidR="00144D96" w:rsidRPr="00144D96">
        <w:t>(Wringe et al., 2018)</w:t>
      </w:r>
      <w:r w:rsidR="00E901BB" w:rsidRPr="00DA249F">
        <w:rPr>
          <w:lang w:val="en-GB"/>
        </w:rPr>
        <w:fldChar w:fldCharType="end"/>
      </w:r>
      <w:r w:rsidR="3B92FA4B" w:rsidRPr="00DA249F">
        <w:rPr>
          <w:lang w:val="en-GB"/>
        </w:rPr>
        <w:t>. Interbreeding between farmed and wild Atlantic salmon in Norwegian waters ha</w:t>
      </w:r>
      <w:r w:rsidR="00CF530C">
        <w:rPr>
          <w:lang w:val="en-GB"/>
        </w:rPr>
        <w:t>s</w:t>
      </w:r>
      <w:r w:rsidR="3B92FA4B" w:rsidRPr="00DA249F">
        <w:rPr>
          <w:lang w:val="en-GB"/>
        </w:rPr>
        <w:t xml:space="preserve"> altered age and size at maturation in 62 wild salmon populations, caused widespread changes to fitness-related life-history traits, thus threatening already vulnerable wild populations </w:t>
      </w:r>
      <w:r w:rsidR="00E901BB" w:rsidRPr="00DA249F">
        <w:rPr>
          <w:lang w:val="en-GB"/>
        </w:rPr>
        <w:fldChar w:fldCharType="begin"/>
      </w:r>
      <w:r w:rsidR="00331A79">
        <w:rPr>
          <w:lang w:val="en-GB"/>
        </w:rPr>
        <w:instrText xml:space="preserve"> ADDIN ZOTERO_ITEM CSL_CITATION {"citationID":"5pnzpH0P","properties":{"unsorted":true,"formattedCitation":"(Karlsson et al., 2016; Bolstad et al., 2017)","plainCitation":"(Karlsson et al., 2016; Bolstad et al., 2017)","noteIndex":0},"citationItems":[{"id":32171,"uris":["http://zotero.org/groups/2352922/items/33A672VQ"],"itemData":{"id":32171,"type":"article-journal","abstract":"Farmed Atlantic salmon (Salmo salar) escape from net pens and enter rivers to spawn, potentially resulting in genetic introgression and reduced fitness of wild salmon. Here, we quantify genetic introgression of farmed to wild salmon, using molecular genetic markers, in populations from 147 salmon rivers, representing three-quarters of the total wild salmon spawning population in Norway. For 109 rivers with adult modern samples and sample sizes of 20 or more, the average level of farmed genetic introgression was 6.4% (median = 2.3%), with a range between 0.0% and 42.2%. Fifty-one of these rivers showed significant farmed genetic introgression when compared with historical reference samples. We observed a highly significant correlation between estimated farmed introgression and average proportion of escaped farmed salmon. We quantify levels of introgression as unweighted averages or weighted by population sizes, to compare geographical regions and to compare levels of introgression in rivers and fjords designated as locations deserving a high level of protection. We found a generally lower level of introgression in National Salmon Rivers and National Salmon Fjords subjected to formal protection by parliament. We conclude that farmed to wild genetic introgression is high in a large proportion of Norwegian salmon rivers, with the highest levels found in the most intensive areas of salmon farming. The extensive genetic introgression documented here poses a serious challenge to the management of farmed and wild Atlantic salmon in Norway and, in all likelihood, in other regions where farmed-salmon escape events occur with regularity","container-title":"ICES Journal of Marine Science","DOI":"10.1093/icesjms/fsw121","ISSN":"1054-3139","issue":"10","journalAbbreviation":"ICES Journal of Marine Science","page":"2488-2498","source":"Silverchair","title":"Widespread genetic introgression of escaped farmed Atlantic salmon in wild salmon populations","URL":"https://doi.org/10.1093/icesjms/fsw121","volume":"73","author":[{"family":"Karlsson","given":"Sten"},{"family":"Diserud","given":"Ola H."},{"family":"Fiske","given":"Peder"},{"family":"Hindar","given":"Kjetil"},{"literal":"Handling editor: W. Stewart Grant"}],"accessed":{"date-parts":[["2021",12,3]]},"issued":{"date-parts":[["2016",11,1]]}},"label":"page"},{"id":32172,"uris":["http://zotero.org/groups/2352922/items/8FQDH65C"],"itemData":{"id":32172,"type":"article-journal","abstract":"Interbreeding between domesticated and wild animals occurs in several species. This gene flow has long been anticipated to induce genetic changes in life-history traits of wild populations, thereby influencing population dynamics and viability. Here, we show that individuals with high levels of introgression (domesticated ancestry) have altered age and size at maturation in 62 wild Atlantic salmon Salmo salar populations, including seven ancestral populations to breeding lines of the domesticated salmon. This study documents widespread changes to life-history traits in wild animal populations following gene flow from selectively bred, domesticated conspecifics. The continued high abundance of escaped, domesticated Atlantic salmon thus threatens wild Atlantic salmon populations by inducing genetic changes in fitness-related traits. Our results represent key evidence and a timely warning concerning the potential ecological impacts of the globally increasing use of domesticated animals.","container-title":"Nature Ecology &amp; Evolution","DOI":"10.1038/s41559-017-0124","ISSN":"2397-334X","issue":"5","journalAbbreviation":"Nat Ecol Evol","language":"eng","note":"PMID: 28812692","page":"124","source":"PubMed","title":"Gene flow from domesticated escapes alters the life history of wild Atlantic salmon","volume":"1","author":[{"family":"Bolstad","given":"Geir H."},{"family":"Hindar","given":"Kjetil"},{"family":"Robertsen","given":"Grethe"},{"family":"Jonsson","given":"Bror"},{"family":"Sægrov","given":"Harald"},{"family":"Diserud","given":"Ola H."},{"family":"Fiske","given":"Peder"},{"family":"Jensen","given":"Arne J."},{"family":"Urdal","given":"Kurt"},{"family":"Næsje","given":"Tor F."},{"family":"Barlaup","given":"Bjørn T."},{"family":"Florø-Larsen","given":"Bjørn"},{"family":"Lo","given":"Håvard"},{"family":"Niemelä","given":"Eero"},{"family":"Karlsson","given":"Sten"}],"issued":{"date-parts":[["2017",4,10]]}},"label":"page"}],"schema":"https://github.com/citation-style-language/schema/raw/master/csl-citation.json"} </w:instrText>
      </w:r>
      <w:r w:rsidR="00E901BB" w:rsidRPr="00DA249F">
        <w:rPr>
          <w:lang w:val="en-GB"/>
        </w:rPr>
        <w:fldChar w:fldCharType="separate"/>
      </w:r>
      <w:r w:rsidR="00144D96" w:rsidRPr="00144D96">
        <w:t>(Karlsson et al., 2016; Bolstad et al., 2017)</w:t>
      </w:r>
      <w:r w:rsidR="00E901BB" w:rsidRPr="00DA249F">
        <w:rPr>
          <w:lang w:val="en-GB"/>
        </w:rPr>
        <w:fldChar w:fldCharType="end"/>
      </w:r>
      <w:r w:rsidR="3B92FA4B" w:rsidRPr="00DA249F">
        <w:rPr>
          <w:lang w:val="en-GB"/>
        </w:rPr>
        <w:t xml:space="preserve">. Interbreeding between farmed and wild conspecific populations is also found in </w:t>
      </w:r>
      <w:r w:rsidR="0067617C" w:rsidRPr="00DA249F">
        <w:rPr>
          <w:lang w:val="en-GB"/>
        </w:rPr>
        <w:t>S</w:t>
      </w:r>
      <w:r w:rsidR="0067617C" w:rsidRPr="00DA249F">
        <w:rPr>
          <w:i/>
          <w:iCs/>
          <w:lang w:val="en-GB"/>
        </w:rPr>
        <w:t>parus aurata</w:t>
      </w:r>
      <w:r w:rsidR="0067617C" w:rsidRPr="00DA249F">
        <w:rPr>
          <w:lang w:val="en-GB"/>
        </w:rPr>
        <w:t xml:space="preserve"> (</w:t>
      </w:r>
      <w:r w:rsidR="00C85CC5">
        <w:rPr>
          <w:lang w:val="en-GB"/>
        </w:rPr>
        <w:t>g</w:t>
      </w:r>
      <w:r w:rsidR="3B92FA4B" w:rsidRPr="00DA249F">
        <w:rPr>
          <w:lang w:val="en-GB"/>
        </w:rPr>
        <w:t>ilthead sea bream</w:t>
      </w:r>
      <w:r w:rsidR="0067617C" w:rsidRPr="00DA249F">
        <w:rPr>
          <w:lang w:val="en-GB"/>
        </w:rPr>
        <w:t>)</w:t>
      </w:r>
      <w:r w:rsidR="3B92FA4B" w:rsidRPr="00DA249F">
        <w:rPr>
          <w:lang w:val="en-GB"/>
        </w:rPr>
        <w:t xml:space="preserve">, </w:t>
      </w:r>
      <w:r w:rsidR="0067617C" w:rsidRPr="00DA249F">
        <w:rPr>
          <w:i/>
          <w:iCs/>
          <w:lang w:val="en-GB"/>
        </w:rPr>
        <w:t>Dicentrarchus labrax</w:t>
      </w:r>
      <w:r w:rsidR="0067617C" w:rsidRPr="00DA249F">
        <w:rPr>
          <w:lang w:val="en-GB"/>
        </w:rPr>
        <w:t xml:space="preserve"> (</w:t>
      </w:r>
      <w:r w:rsidR="3B92FA4B" w:rsidRPr="00DA249F">
        <w:rPr>
          <w:lang w:val="en-GB"/>
        </w:rPr>
        <w:t>European sea bass</w:t>
      </w:r>
      <w:r w:rsidR="0067617C" w:rsidRPr="00DA249F">
        <w:rPr>
          <w:lang w:val="en-GB"/>
        </w:rPr>
        <w:t>)</w:t>
      </w:r>
      <w:r w:rsidR="3B92FA4B" w:rsidRPr="00DA249F">
        <w:rPr>
          <w:lang w:val="en-GB"/>
        </w:rPr>
        <w:t xml:space="preserve">, </w:t>
      </w:r>
      <w:r w:rsidR="0067617C" w:rsidRPr="00DA249F">
        <w:rPr>
          <w:i/>
          <w:iCs/>
          <w:lang w:val="en-GB"/>
        </w:rPr>
        <w:t>Argyrosomus regius</w:t>
      </w:r>
      <w:r w:rsidR="0067617C" w:rsidRPr="00DA249F">
        <w:rPr>
          <w:lang w:val="en-GB"/>
        </w:rPr>
        <w:t xml:space="preserve"> (</w:t>
      </w:r>
      <w:r w:rsidR="009E22FB" w:rsidRPr="00DA249F">
        <w:rPr>
          <w:lang w:val="en-GB"/>
        </w:rPr>
        <w:t>brown meagre</w:t>
      </w:r>
      <w:r w:rsidR="0067617C" w:rsidRPr="00DA249F">
        <w:rPr>
          <w:lang w:val="en-GB"/>
        </w:rPr>
        <w:t>)</w:t>
      </w:r>
      <w:r w:rsidR="00774819">
        <w:rPr>
          <w:lang w:val="en-GB"/>
        </w:rPr>
        <w:t xml:space="preserve"> and</w:t>
      </w:r>
      <w:r w:rsidR="3B92FA4B" w:rsidRPr="00DA249F">
        <w:rPr>
          <w:lang w:val="en-GB"/>
        </w:rPr>
        <w:t xml:space="preserve"> </w:t>
      </w:r>
      <w:r w:rsidR="0067617C" w:rsidRPr="00DA249F">
        <w:rPr>
          <w:i/>
          <w:iCs/>
          <w:lang w:val="en-GB"/>
        </w:rPr>
        <w:t>Gadus morhua</w:t>
      </w:r>
      <w:r w:rsidR="0067617C" w:rsidRPr="00DA249F">
        <w:rPr>
          <w:lang w:val="en-GB"/>
        </w:rPr>
        <w:t xml:space="preserve"> </w:t>
      </w:r>
      <w:r w:rsidR="00A224C3" w:rsidRPr="00DA249F">
        <w:rPr>
          <w:lang w:val="en-GB"/>
        </w:rPr>
        <w:t>(</w:t>
      </w:r>
      <w:r w:rsidR="3B92FA4B" w:rsidRPr="00DA249F">
        <w:rPr>
          <w:lang w:val="en-GB"/>
        </w:rPr>
        <w:t>Atlantic cod</w:t>
      </w:r>
      <w:r w:rsidR="00A224C3" w:rsidRPr="00DA249F">
        <w:rPr>
          <w:lang w:val="en-GB"/>
        </w:rPr>
        <w:t>)</w:t>
      </w:r>
      <w:r w:rsidR="3B92FA4B" w:rsidRPr="00DA249F">
        <w:rPr>
          <w:lang w:val="en-GB"/>
        </w:rPr>
        <w:t xml:space="preserve"> </w:t>
      </w:r>
      <w:r w:rsidR="00E901BB" w:rsidRPr="00DA249F">
        <w:rPr>
          <w:lang w:val="en-GB"/>
        </w:rPr>
        <w:fldChar w:fldCharType="begin"/>
      </w:r>
      <w:r w:rsidR="00F5121E">
        <w:rPr>
          <w:lang w:val="en-GB"/>
        </w:rPr>
        <w:instrText xml:space="preserve"> ADDIN ZOTERO_ITEM CSL_CITATION {"citationID":"LM8dBu4T","properties":{"unsorted":true,"formattedCitation":"(Somarakis et al., 2013; J\\uc0\\u248{}rstad et al., 2014; Izquierdo\\uc0\\u8208{}G\\uc0\\u243{}mez et al., 2017; Arechavala-Lopez et al., 2017, 20</w:instrText>
      </w:r>
      <w:r w:rsidR="00F5121E">
        <w:rPr>
          <w:rFonts w:hint="eastAsia"/>
          <w:lang w:val="en-GB"/>
        </w:rPr>
        <w:instrText>18)","plainCitation":"(Somarakis et al., 2013; Jørstad et al., 2014; Izquierdo</w:instrText>
      </w:r>
      <w:r w:rsidR="00F5121E">
        <w:rPr>
          <w:rFonts w:hint="eastAsia"/>
          <w:lang w:val="en-GB"/>
        </w:rPr>
        <w:instrText>‐</w:instrText>
      </w:r>
      <w:r w:rsidR="00F5121E">
        <w:rPr>
          <w:rFonts w:hint="eastAsia"/>
          <w:lang w:val="en-GB"/>
        </w:rPr>
        <w:instrText>Gómez et al., 2017; Arechavala-Lopez et al., 2017, 2018)","noteIndex":0},"citationItems":[{"id":32170,"uris":["http://zotero.org/groups/2352922/items/M8MZ3KNX"],"itemData":{"id</w:instrText>
      </w:r>
      <w:r w:rsidR="00F5121E">
        <w:rPr>
          <w:lang w:val="en-GB"/>
        </w:rPr>
        <w:instrText>":32170,"type":"article-journal","container-title":"Aquaculture Environment Interactions","DOI":"10.3354/aei00057","issue":"2","note":"ISBN: 1869-215X","page":"135-152","title":"Evidence for ‘escape through spawning’in large gilthead sea bream &lt;i&gt;Sparus aurata&lt;/i&gt; reared in commercial sea-cages","URL":"https://www.int-res.com/abstracts/aei/v3/n2/p135-152/","volume":"3","author":[{"family":"Somarakis","given":"Stylianos"},{"family":"Pavlidis","given":"Michail"},{"family":"Saapoglou","given":"Christina"},{"family":"Tsigenopoulos","given":"Costas S."},{"family":"Dempster","given":"Tim"}],"issued":{"date-parts":[["2013"]]}},"label":"page"},{"id":32169,"uris":["http://zotero.org/groups/2352922/items/A4TRNY5C"],"itemData":{"id":32169,"type":"article-journal","abstract":"A genetically marked Atlantic cod (Gadus morhua L.) strain was used to identify escapes from commercial cod farms, and to investigate the potential interbreeding between farmed and wild cod. This farmed cod was homozygote for a rare allele (30) in the GPI-1 locus expressed in white muscle tissue. Juveniles were produced from this strain in 2007 and 2008, and 500 000 individuals of each year class were transported to a cod farm in western Norway, where they were raised under commercial conditions. A monitoring fishing program was established from spring 2007 to detect escapees during the farming period. The first farmed cod escapees, identified to the 2007 year class through the genetic mark, age and body size, were detected during the fishing survey in November 2008. The second escape of the same year class was detected during the natural spawning season in early April 2009. A third escape was detected in November 2009, and this time the farmed cod were identified to the 2008 year class. The escapees were spreading through the whole fjord system, including local spawning sites for wild cod. Detailed examination of the escaped cod revealed a substantial degree of sexual maturation, and nearly 1000 cod larvae and early juveniles were therefore collected through spring 2009. The genetic analyses identified eight of these as genetically marked, demonstrating successful reproduction either in the cage or after escape. Interbreeding between escaped and wild cod may also have occurred, but cannot be proven from our material. In all years after the three identified escapes, genetically marked cod were found in the fjord area. In addition, several specimens were observed in adjacent fjord systems, demonstrating long-term survival in the local spawning areas as well as substantial spread over larger distances.","container-title":"ICES Journal of Marine Science","DOI":"10.1093/icesjms/fst171","ISSN":"1054-3139","issue":"3","journalAbbreviation":"ICES Journal of Marine Science","page":"574-584","source":"Silverchair","title":"Genetic marking of farmed Atlantic cod (&lt;i&gt;Gadus morhua&lt;/i&gt; l.) and detection of escapes from a commercial cod farm","URL":"https://doi.org/10.1093/icesjms/fst171","volume":"71","author":[{"family":"Jørstad","given":"Knut E."},{"family":"Otterå","given":"Håkon"},{"family":"Meeren","given":"Terje","non-dropping-particle":"van der"},{"family":"Dahle","given":"Geir"},{"family":"Paulsen","given":"Ole I."},{"family":"Bakke","given":"Gunnar"},{"family":"Svåsand","given":"Terje"}],"accessed":{"date-parts":[["2021",12,3]]},"issued":{"date-parts":[["2014",4,1]]}},"label":"page"},{"id":32168,"uris":["http://zotero.org/groups/2352922/items/N7HXJ9IW"],"itemData":{"id":32168,"type":"article-journal","container-title":"Fisheries Management and Ecolo</w:instrText>
      </w:r>
      <w:r w:rsidR="00F5121E">
        <w:rPr>
          <w:rFonts w:hint="eastAsia"/>
          <w:lang w:val="en-GB"/>
        </w:rPr>
        <w:instrText>gy","DOI":"10.1111/fme.12202","issue":"1","note":"ISBN: 0969-997X\npublisher: Wiley Online Library","page":"62-72","title":"Assessing the influence of gilthead sea bream escapees in landings of Mediterranean fisheries through a scale</w:instrText>
      </w:r>
      <w:r w:rsidR="00F5121E">
        <w:rPr>
          <w:rFonts w:hint="eastAsia"/>
          <w:lang w:val="en-GB"/>
        </w:rPr>
        <w:instrText>‐</w:instrText>
      </w:r>
      <w:r w:rsidR="00F5121E">
        <w:rPr>
          <w:rFonts w:hint="eastAsia"/>
          <w:lang w:val="en-GB"/>
        </w:rPr>
        <w:instrText>based methodology","volume":"24","author":[{"family":"Izquierdo</w:instrText>
      </w:r>
      <w:r w:rsidR="00F5121E">
        <w:rPr>
          <w:rFonts w:hint="eastAsia"/>
          <w:lang w:val="en-GB"/>
        </w:rPr>
        <w:instrText>‐</w:instrText>
      </w:r>
      <w:r w:rsidR="00F5121E">
        <w:rPr>
          <w:rFonts w:hint="eastAsia"/>
          <w:lang w:val="en-GB"/>
        </w:rPr>
        <w:instrText>Gómez","given":"David"},{"family":"Arechavala</w:instrText>
      </w:r>
      <w:r w:rsidR="00F5121E">
        <w:rPr>
          <w:rFonts w:hint="eastAsia"/>
          <w:lang w:val="en-GB"/>
        </w:rPr>
        <w:instrText>‐</w:instrText>
      </w:r>
      <w:r w:rsidR="00F5121E">
        <w:rPr>
          <w:rFonts w:hint="eastAsia"/>
          <w:lang w:val="en-GB"/>
        </w:rPr>
        <w:instrText>Lopez","given":"Pablo"},{"family":"Bayle</w:instrText>
      </w:r>
      <w:r w:rsidR="00F5121E">
        <w:rPr>
          <w:rFonts w:hint="eastAsia"/>
          <w:lang w:val="en-GB"/>
        </w:rPr>
        <w:instrText>‐</w:instrText>
      </w:r>
      <w:r w:rsidR="00F5121E">
        <w:rPr>
          <w:rFonts w:hint="eastAsia"/>
          <w:lang w:val="en-GB"/>
        </w:rPr>
        <w:instrText>Sempere","given":"Just T."},{"family":"Sánchez</w:instrText>
      </w:r>
      <w:r w:rsidR="00F5121E">
        <w:rPr>
          <w:rFonts w:hint="eastAsia"/>
          <w:lang w:val="en-GB"/>
        </w:rPr>
        <w:instrText>‐</w:instrText>
      </w:r>
      <w:r w:rsidR="00F5121E">
        <w:rPr>
          <w:rFonts w:hint="eastAsia"/>
          <w:lang w:val="en-GB"/>
        </w:rPr>
        <w:instrText>Jerez","given":"Pablo"}],"issued":{"date-parts":[["2017"]]}},"label":"page"},{</w:instrText>
      </w:r>
      <w:r w:rsidR="00F5121E">
        <w:rPr>
          <w:lang w:val="en-GB"/>
        </w:rPr>
        <w:instrText>"id":32167,"uris":["http://zotero.org/groups/2352922/items/FF68BRT9"],"itemData":{"id":32167,"type":"article-journal","container-title":"Aquaculture research","DOI":"https://doi.org/10.1111/are.12986","issue":"4","note":"ISBN: 1355-557X\npublisher: Wiley Online Library","page":"1502-1512","title":"Rapid dispersion of escaped meagre (&lt;i&gt;Argyrosomus regius&lt;/i&gt;) from a coastal Mediterranean fish farm","volume":"48","author":[{"family":"Arechavala-Lopez","given":"Pablo"},{"family":"Uglem","given":"Ingebrigt"}</w:instrText>
      </w:r>
      <w:r w:rsidR="00F5121E">
        <w:rPr>
          <w:rFonts w:hint="eastAsia"/>
          <w:lang w:val="en-GB"/>
        </w:rPr>
        <w:instrText>,{"family":"Izquierdo</w:instrText>
      </w:r>
      <w:r w:rsidR="00F5121E">
        <w:rPr>
          <w:rFonts w:hint="eastAsia"/>
          <w:lang w:val="en-GB"/>
        </w:rPr>
        <w:instrText>‐</w:instrText>
      </w:r>
      <w:r w:rsidR="00F5121E">
        <w:rPr>
          <w:rFonts w:hint="eastAsia"/>
          <w:lang w:val="en-GB"/>
        </w:rPr>
        <w:instrText>Gomez","given":"David"},{"family":"Fernandez</w:instrText>
      </w:r>
      <w:r w:rsidR="00F5121E">
        <w:rPr>
          <w:rFonts w:hint="eastAsia"/>
          <w:lang w:val="en-GB"/>
        </w:rPr>
        <w:instrText>‐</w:instrText>
      </w:r>
      <w:r w:rsidR="00F5121E">
        <w:rPr>
          <w:rFonts w:hint="eastAsia"/>
          <w:lang w:val="en-GB"/>
        </w:rPr>
        <w:instrText>Jover","given":"Damian"},{"family":"Sanchez</w:instrText>
      </w:r>
      <w:r w:rsidR="00F5121E">
        <w:rPr>
          <w:rFonts w:hint="eastAsia"/>
          <w:lang w:val="en-GB"/>
        </w:rPr>
        <w:instrText>‐</w:instrText>
      </w:r>
      <w:r w:rsidR="00F5121E">
        <w:rPr>
          <w:rFonts w:hint="eastAsia"/>
          <w:lang w:val="en-GB"/>
        </w:rPr>
        <w:instrText>Jerez","given":"Pablo"}],"issued":{"date-parts":[["2017"]]}},"label":"page"},{"id":32186,"uris":["http://zotero.org/groups/2352922/items/8ZCBLXF</w:instrText>
      </w:r>
      <w:r w:rsidR="00F5121E">
        <w:rPr>
          <w:lang w:val="en-GB"/>
        </w:rPr>
        <w:instrText xml:space="preserve">K"],"itemData":{"id":32186,"type":"article-journal","abstract":"Gilthead sea bream and European sea bass aquaculture is widely established in the Mediterranean and North-eastern Atlantic regions, and rearing is mainly in coastal net-pen facilities. The rapid growth of the fish farming industry increases the potential number of farmed fish in the wild. Escape-related issues are likely to increase unless escape-management policies are included into the aquaculture legislation in the near future. This review summarizes the potential direct interactions among escaped fish and nearby farmed fish stocks, wild conspecifics, and coastal fish populations, since these interactions could compromise sustainability in coastal areas. Socioeconomic implications are also addressed, given that escape events can also lead to economic losses for farmers and may alter local fishery landings. Fish markets and consumers might be also affected. This review compiles the current knowledge on the potential effects of escapees in coastal areas, and contributes to the existing risks analyses regarding sea bream and sea bass escapes. Eventually, the need to design management policies to prevent or minimize escape events and to mitigate further impacts, applicable to Mediterranean countries and of special interest in areas where these species are locally absent, is discussed in the context of sustainable fin-fish aquaculture.","container-title":"Reviews in Fisheries Science &amp; Aquaculture","DOI":"10.1080/23308249.2017.1384789","ISSN":"2330-8249","issue":"2","note":"publisher: Taylor &amp; Francis\n_eprint: https://doi.org/10.1080/23308249.2017.1384789","page":"214-234","source":"Taylor and Francis+NEJM","title":"Implications of Sea Bream and Sea Bass Escapes for Sustainable Aquaculture Management: A Review of Interactions, Risks and Consequences","title-short":"Implications of Sea Bream and Sea Bass Escapes for Sustainable Aquaculture Management","URL":"https://doi.org/10.1080/23308249.2017.1384789","volume":"26","author":[{"family":"Arechavala-Lopez","given":"Pablo"},{"family":"Toledo-Guedes","given":"K."},{"family":"Izquierdo-Gomez","given":"D."},{"family":"Šegvić-Bubić","given":"T."},{"family":"Sanchez-Jerez","given":"P."}],"accessed":{"date-parts":[["2021",12,3]]},"issued":{"date-parts":[["2018",4,3]]}},"label":"page"}],"schema":"https://github.com/citation-style-language/schema/raw/master/csl-citation.json"} </w:instrText>
      </w:r>
      <w:r w:rsidR="00E901BB" w:rsidRPr="00DA249F">
        <w:rPr>
          <w:lang w:val="en-GB"/>
        </w:rPr>
        <w:fldChar w:fldCharType="separate"/>
      </w:r>
      <w:r w:rsidR="00144D96" w:rsidRPr="00144D96">
        <w:rPr>
          <w:szCs w:val="24"/>
        </w:rPr>
        <w:t>(Somarakis et al., 2013; Jørstad et al., 2014; Izquierdo‐Gómez et al., 2017; Arechavala-Lopez et al., 2017, 2018)</w:t>
      </w:r>
      <w:r w:rsidR="00E901BB" w:rsidRPr="00DA249F">
        <w:rPr>
          <w:lang w:val="en-GB"/>
        </w:rPr>
        <w:fldChar w:fldCharType="end"/>
      </w:r>
      <w:r w:rsidR="3B92FA4B" w:rsidRPr="00DA249F">
        <w:rPr>
          <w:lang w:val="en-GB"/>
        </w:rPr>
        <w:t xml:space="preserve">. </w:t>
      </w:r>
      <w:r w:rsidR="0067617C" w:rsidRPr="00DA249F">
        <w:rPr>
          <w:i/>
          <w:iCs/>
          <w:lang w:val="en-GB"/>
        </w:rPr>
        <w:t>Symphodus melops</w:t>
      </w:r>
      <w:r w:rsidR="0067617C" w:rsidRPr="00DA249F">
        <w:rPr>
          <w:lang w:val="en-GB"/>
        </w:rPr>
        <w:t xml:space="preserve"> (</w:t>
      </w:r>
      <w:r w:rsidR="3B92FA4B" w:rsidRPr="00DA249F">
        <w:rPr>
          <w:lang w:val="en-GB"/>
        </w:rPr>
        <w:t>corkwing wrasse</w:t>
      </w:r>
      <w:r w:rsidR="0067617C" w:rsidRPr="00DA249F">
        <w:rPr>
          <w:lang w:val="en-GB"/>
        </w:rPr>
        <w:t>)</w:t>
      </w:r>
      <w:r w:rsidR="3B92FA4B" w:rsidRPr="00DA249F">
        <w:rPr>
          <w:lang w:val="en-GB"/>
        </w:rPr>
        <w:t xml:space="preserve">, used to control sea lice in salmon farms, </w:t>
      </w:r>
      <w:r w:rsidR="00972F96">
        <w:rPr>
          <w:lang w:val="en-GB"/>
        </w:rPr>
        <w:t xml:space="preserve">also </w:t>
      </w:r>
      <w:r w:rsidR="3B92FA4B" w:rsidRPr="00DA249F">
        <w:rPr>
          <w:lang w:val="en-GB"/>
        </w:rPr>
        <w:t>escapes and hybridize</w:t>
      </w:r>
      <w:r w:rsidR="0024469C" w:rsidRPr="00DA249F">
        <w:rPr>
          <w:lang w:val="en-GB"/>
        </w:rPr>
        <w:t>s</w:t>
      </w:r>
      <w:r w:rsidR="3B92FA4B" w:rsidRPr="00DA249F">
        <w:rPr>
          <w:lang w:val="en-GB"/>
        </w:rPr>
        <w:t xml:space="preserve"> with</w:t>
      </w:r>
      <w:r w:rsidR="0024469C" w:rsidRPr="00DA249F">
        <w:rPr>
          <w:lang w:val="en-GB"/>
        </w:rPr>
        <w:t xml:space="preserve"> individuals in</w:t>
      </w:r>
      <w:r w:rsidR="3B92FA4B" w:rsidRPr="00DA249F">
        <w:rPr>
          <w:lang w:val="en-GB"/>
        </w:rPr>
        <w:t xml:space="preserve"> local populations </w:t>
      </w:r>
      <w:r w:rsidR="00E901BB" w:rsidRPr="00DA249F">
        <w:rPr>
          <w:lang w:val="en-GB"/>
        </w:rPr>
        <w:fldChar w:fldCharType="begin"/>
      </w:r>
      <w:r w:rsidR="00331A79">
        <w:rPr>
          <w:lang w:val="en-GB"/>
        </w:rPr>
        <w:instrText xml:space="preserve"> ADDIN ZOTERO_ITEM CSL_CITATION {"citationID":"y6ok2Fw4","properties":{"formattedCitation":"(Faust et al., 2018)","plainCitation":"(Faust et al., 2018)","noteIndex":0},"citationItems":[{"id":32166,"uris":["http://zotero.org/groups/2352922/items/4J2JYL37"],"itemData":{"id":32166,"type":"article-journal","container-title":"Royal Society Open Science","DOI":"10.1098/rsos.171752","issue":"3","note":"ISBN: 2054-5703\npublisher: The Royal Society Publishing","page":"171752","title":"Cleaner fish escape salmon farms and hybridize with local wrasse populations","volume":"5","author":[{"family":"Faust","given":"Ellika"},{"family":"Halvorsen","given":"Kim Tallaksen"},{"family":"Andersen","given":"Per"},{"family":"Knutsen","given":"Halvor"},{"family":"André","given":"Carl"}],"issued":{"date-parts":[["2018"]]}},"label":"page"}],"schema":"https://github.com/citation-style-language/schema/raw/master/csl-citation.json"} </w:instrText>
      </w:r>
      <w:r w:rsidR="00E901BB" w:rsidRPr="00DA249F">
        <w:rPr>
          <w:lang w:val="en-GB"/>
        </w:rPr>
        <w:fldChar w:fldCharType="separate"/>
      </w:r>
      <w:r w:rsidR="00144D96" w:rsidRPr="00144D96">
        <w:t>(Faust et al., 2018)</w:t>
      </w:r>
      <w:r w:rsidR="00E901BB" w:rsidRPr="00DA249F">
        <w:rPr>
          <w:lang w:val="en-GB"/>
        </w:rPr>
        <w:fldChar w:fldCharType="end"/>
      </w:r>
      <w:r w:rsidR="3B92FA4B" w:rsidRPr="00DA249F">
        <w:rPr>
          <w:lang w:val="en-GB"/>
        </w:rPr>
        <w:t>.</w:t>
      </w:r>
    </w:p>
    <w:p w14:paraId="0853F6EB" w14:textId="78AEA3F4" w:rsidR="002E3CEA" w:rsidRPr="00DA249F" w:rsidRDefault="00843982" w:rsidP="00973597">
      <w:pPr>
        <w:pStyle w:val="Heading3"/>
        <w:numPr>
          <w:ilvl w:val="4"/>
          <w:numId w:val="30"/>
        </w:numPr>
        <w:rPr>
          <w:rStyle w:val="normaltextrun"/>
          <w:lang w:val="en-GB"/>
        </w:rPr>
      </w:pPr>
      <w:r w:rsidRPr="00DA249F">
        <w:rPr>
          <w:lang w:val="en-GB"/>
        </w:rPr>
        <w:t>F</w:t>
      </w:r>
      <w:r w:rsidR="002E3CEA" w:rsidRPr="00DA249F">
        <w:rPr>
          <w:rStyle w:val="normaltextrun"/>
          <w:lang w:val="en-GB"/>
        </w:rPr>
        <w:t xml:space="preserve">orestry, </w:t>
      </w:r>
      <w:r w:rsidR="00540D1A" w:rsidRPr="00DA249F">
        <w:rPr>
          <w:rStyle w:val="normaltextrun"/>
          <w:lang w:val="en-GB"/>
        </w:rPr>
        <w:t xml:space="preserve">agroforestry, </w:t>
      </w:r>
      <w:r w:rsidR="002E3CEA" w:rsidRPr="00DA249F">
        <w:rPr>
          <w:rStyle w:val="normaltextrun"/>
          <w:lang w:val="en-GB"/>
        </w:rPr>
        <w:t>biofuel</w:t>
      </w:r>
      <w:r w:rsidR="00774819">
        <w:rPr>
          <w:rStyle w:val="normaltextrun"/>
          <w:lang w:val="en-GB"/>
        </w:rPr>
        <w:t xml:space="preserve"> and</w:t>
      </w:r>
      <w:r w:rsidR="00CC1B29" w:rsidRPr="00DA249F">
        <w:rPr>
          <w:rStyle w:val="normaltextrun"/>
          <w:lang w:val="en-GB"/>
        </w:rPr>
        <w:t xml:space="preserve"> </w:t>
      </w:r>
      <w:r w:rsidR="002E3CEA" w:rsidRPr="00DA249F">
        <w:rPr>
          <w:rStyle w:val="normaltextrun"/>
          <w:lang w:val="en-GB"/>
        </w:rPr>
        <w:t>carbon sequestration</w:t>
      </w:r>
    </w:p>
    <w:p w14:paraId="18343F42" w14:textId="1742E587" w:rsidR="7DBEC757" w:rsidRPr="00DA249F" w:rsidRDefault="008D6F68" w:rsidP="7DBEC757">
      <w:pPr>
        <w:rPr>
          <w:rStyle w:val="normaltextrun"/>
          <w:lang w:val="en-GB"/>
        </w:rPr>
      </w:pPr>
      <w:r w:rsidRPr="00DA249F">
        <w:rPr>
          <w:rStyle w:val="normaltextrun"/>
          <w:lang w:val="en-GB"/>
        </w:rPr>
        <w:t>Trees and shrubs have been introduced globally for wood production, fruit and seed crops,</w:t>
      </w:r>
      <w:r w:rsidR="00066BF9" w:rsidRPr="00DA249F">
        <w:rPr>
          <w:rStyle w:val="normaltextrun"/>
          <w:lang w:val="en-GB"/>
        </w:rPr>
        <w:t xml:space="preserve"> </w:t>
      </w:r>
      <w:r w:rsidRPr="00DA249F">
        <w:rPr>
          <w:rStyle w:val="normaltextrun"/>
          <w:lang w:val="en-GB"/>
        </w:rPr>
        <w:t>erosion control, live fences</w:t>
      </w:r>
      <w:r w:rsidR="00774819">
        <w:rPr>
          <w:rStyle w:val="normaltextrun"/>
          <w:lang w:val="en-GB"/>
        </w:rPr>
        <w:t xml:space="preserve"> and</w:t>
      </w:r>
      <w:r w:rsidRPr="00DA249F">
        <w:rPr>
          <w:rStyle w:val="normaltextrun"/>
          <w:lang w:val="en-GB"/>
        </w:rPr>
        <w:t> building material</w:t>
      </w:r>
      <w:r w:rsidR="009620B7" w:rsidRPr="00DA249F">
        <w:rPr>
          <w:rStyle w:val="normaltextrun"/>
          <w:lang w:val="en-GB"/>
        </w:rPr>
        <w:t xml:space="preserve"> </w:t>
      </w:r>
      <w:r w:rsidR="009620B7" w:rsidRPr="00DA249F">
        <w:rPr>
          <w:rStyle w:val="normaltextrun"/>
          <w:lang w:val="en-GB"/>
        </w:rPr>
        <w:fldChar w:fldCharType="begin"/>
      </w:r>
      <w:r w:rsidR="00331A79">
        <w:rPr>
          <w:rStyle w:val="normaltextrun"/>
          <w:lang w:val="en-GB"/>
        </w:rPr>
        <w:instrText xml:space="preserve"> ADDIN ZOTERO_ITEM CSL_CITATION {"citationID":"JzccDXxc","properties":{"formattedCitation":"(Richardson, 1998; Richardson &amp; Rejm\\uc0\\u225{}nek, 2011; van Kleunen et al., 2020)","plainCitation":"(Richardson, 1998; Richardson &amp; Rejmánek, 2011; van Kleunen et al., 2020)","noteIndex":0},"citationItems":[{"id":56605,"uris":["http://zotero.org/groups/2352922/items/TDHVB5KG","http://zotero.org/groups/2352922/items/XKNMZCCZ"],"itemData":{"id":56605,"type":"article-journal","container-title":"Conservation Biology","DOI":"10.1046/j.1523-1739.1998.96392.x","ISSN":"0888-8892, 1523-1739","issue":"1","journalAbbreviation":"Conservation Biology","language":"en","page":"18-26","source":"DOI.org (Crossref)","title":"Forestry Trees as Invasive Aliens","URL":"https://www.jstor.org/stable/2387458","volume":"12","author":[{"family":"Richardson","given":"David M."}],"accessed":{"date-parts":[["2023",6,8]]},"issued":{"date-parts":[["1998",2,11]]}},"label":"page"},{"id":32391,"uris":["http://zotero.org/groups/2352922/items/UJ6GZG4X"],"itemData":{"id":32391,"type":"article-journal","container-title":"Diversity and Distributions","DOI":"10.1111/j.1472-4642.2011.00782.x","ISSN":"13669516","issue":"5","language":"en","note":"number: 5\ncontainer-title: Diversity and Distributions","page":"788-809","source":"DOI.org (Crossref)","title":"Trees and shrubs as invasive alien species - a global review: Global review of invasive trees &amp; shrubs","title-short":"Trees and shrubs as invasive alien species - a global review","URL":"http://doi.wiley.com/10.1111/j.1472-4642.2011.00782.x","volume":"17","author":[{"family":"Richardson","given":"David M."},{"family":"Rejmánek","given":"Marcel"}],"accessed":{"date-parts":[["2019",12,5]]},"issued":{"date-parts":[["2011",9]]}},"label":"page"},{"id":11109,"uris":["http://zotero.org/groups/2352922/items/NHKSHCXY"],"itemData":{"id":11109,"type":"article-journal","container-title":"Nature Communications","DOI":"10.1038/s41467-020-16982-3","ISSN":"2041-1723","issue":"1","journalAbbreviation":"Nat Commun","language":"en","page":"3201","source":"DOI.org (Crossref)","title":"Economic use of plants is key to their naturalization success","URL":"http://www.nature.com/articles/s41467-020-16982-3","volume":"11","author":[{"family":"Kleunen","given":"Mark","non-dropping-particle":"van"},{"family":"Xu","given":"Xinyi"},{"family":"Yang","given":"Qiang"},{"family":"Maurel","given":"Noëlie"},{"family":"Zhang","given":"Zhijie"},{"family":"Dawson","given":"Wayne"},{"family":"Essl","given":"Franz"},{"family":"Kreft","given":"Holger"},{"family":"Pergl","given":"Jan"},{"family":"Pyšek","given":"Petr"},{"family":"Weigelt","given":"Patrick"},{"family":"Moser","given":"Dietmar"},{"family":"Lenzner","given":"Bernd"},{"family":"Fristoe","given":"Trevor S."}],"accessed":{"date-parts":[["2021",4,13]]},"issued":{"date-parts":[["2020",12]]}},"label":"page"}],"schema":"https://github.com/citation-style-language/schema/raw/master/csl-citation.json"} </w:instrText>
      </w:r>
      <w:r w:rsidR="009620B7" w:rsidRPr="00DA249F">
        <w:rPr>
          <w:rStyle w:val="normaltextrun"/>
          <w:lang w:val="en-GB"/>
        </w:rPr>
        <w:fldChar w:fldCharType="separate"/>
      </w:r>
      <w:r w:rsidR="00144D96" w:rsidRPr="00144D96">
        <w:rPr>
          <w:szCs w:val="24"/>
        </w:rPr>
        <w:t>(Richardson, 1998; Richardson &amp; Rejmánek, 2011; van Kleunen et al., 2020)</w:t>
      </w:r>
      <w:r w:rsidR="009620B7" w:rsidRPr="00DA249F">
        <w:rPr>
          <w:rStyle w:val="normaltextrun"/>
          <w:lang w:val="en-GB"/>
        </w:rPr>
        <w:fldChar w:fldCharType="end"/>
      </w:r>
      <w:r w:rsidRPr="00DA249F">
        <w:rPr>
          <w:rStyle w:val="normaltextrun"/>
          <w:lang w:val="en-GB"/>
        </w:rPr>
        <w:t>. Of introduc</w:t>
      </w:r>
      <w:r w:rsidR="009C4EB6">
        <w:rPr>
          <w:rStyle w:val="normaltextrun"/>
          <w:lang w:val="en-GB"/>
        </w:rPr>
        <w:t>tions of</w:t>
      </w:r>
      <w:r w:rsidRPr="00DA249F">
        <w:rPr>
          <w:rStyle w:val="normaltextrun"/>
          <w:lang w:val="en-GB"/>
        </w:rPr>
        <w:t xml:space="preserve"> invasive </w:t>
      </w:r>
      <w:r w:rsidR="009C4D4A" w:rsidRPr="00DA249F">
        <w:rPr>
          <w:rStyle w:val="normaltextrun"/>
          <w:lang w:val="en-GB"/>
        </w:rPr>
        <w:t xml:space="preserve">alien </w:t>
      </w:r>
      <w:r w:rsidRPr="00DA249F">
        <w:rPr>
          <w:rStyle w:val="normaltextrun"/>
          <w:lang w:val="en-GB"/>
        </w:rPr>
        <w:t>trees and shrubs, 13</w:t>
      </w:r>
      <w:r w:rsidR="004C77CD" w:rsidRPr="00DA249F">
        <w:rPr>
          <w:rStyle w:val="normaltextrun"/>
          <w:lang w:val="en-GB"/>
        </w:rPr>
        <w:t xml:space="preserve"> per cent</w:t>
      </w:r>
      <w:r w:rsidRPr="00DA249F">
        <w:rPr>
          <w:rStyle w:val="normaltextrun"/>
          <w:lang w:val="en-GB"/>
        </w:rPr>
        <w:t xml:space="preserve"> were attributed to forestry, 10</w:t>
      </w:r>
      <w:r w:rsidR="004C77CD" w:rsidRPr="00DA249F">
        <w:rPr>
          <w:rStyle w:val="normaltextrun"/>
          <w:lang w:val="en-GB"/>
        </w:rPr>
        <w:t xml:space="preserve"> per cent</w:t>
      </w:r>
      <w:r w:rsidRPr="00DA249F">
        <w:rPr>
          <w:rStyle w:val="normaltextrun"/>
          <w:lang w:val="en-GB"/>
        </w:rPr>
        <w:t xml:space="preserve"> </w:t>
      </w:r>
      <w:r w:rsidR="009C4EB6">
        <w:rPr>
          <w:rStyle w:val="normaltextrun"/>
          <w:lang w:val="en-GB"/>
        </w:rPr>
        <w:t xml:space="preserve">to </w:t>
      </w:r>
      <w:r w:rsidRPr="00DA249F">
        <w:rPr>
          <w:rStyle w:val="normaltextrun"/>
          <w:lang w:val="en-GB"/>
        </w:rPr>
        <w:t xml:space="preserve">food, and </w:t>
      </w:r>
      <w:r w:rsidR="009C4EB6">
        <w:rPr>
          <w:rStyle w:val="normaltextrun"/>
          <w:lang w:val="en-GB"/>
        </w:rPr>
        <w:t>seven</w:t>
      </w:r>
      <w:r w:rsidR="004C77CD" w:rsidRPr="00DA249F">
        <w:rPr>
          <w:rStyle w:val="normaltextrun"/>
          <w:lang w:val="en-GB"/>
        </w:rPr>
        <w:t xml:space="preserve"> per cent</w:t>
      </w:r>
      <w:r w:rsidRPr="00DA249F">
        <w:rPr>
          <w:rStyle w:val="normaltextrun"/>
          <w:lang w:val="en-GB"/>
        </w:rPr>
        <w:t xml:space="preserve"> </w:t>
      </w:r>
      <w:r w:rsidR="009C4EB6">
        <w:rPr>
          <w:rStyle w:val="normaltextrun"/>
          <w:lang w:val="en-GB"/>
        </w:rPr>
        <w:t xml:space="preserve">to </w:t>
      </w:r>
      <w:r w:rsidRPr="00DA249F">
        <w:rPr>
          <w:rStyle w:val="normaltextrun"/>
          <w:lang w:val="en-GB"/>
        </w:rPr>
        <w:t xml:space="preserve">agroforestry </w:t>
      </w:r>
      <w:r w:rsidR="001F7F99" w:rsidRPr="00DA249F">
        <w:rPr>
          <w:rStyle w:val="normaltextrun"/>
          <w:lang w:val="en-GB"/>
        </w:rPr>
        <w:fldChar w:fldCharType="begin"/>
      </w:r>
      <w:r w:rsidR="00331A79">
        <w:rPr>
          <w:rStyle w:val="normaltextrun"/>
          <w:lang w:val="en-GB"/>
        </w:rPr>
        <w:instrText xml:space="preserve"> ADDIN ZOTERO_ITEM CSL_CITATION {"citationID":"OkTOMitR","properties":{"formattedCitation":"(Richardson &amp; Rejm\\uc0\\u225{}nek, 2011)","plainCitation":"(Richardson &amp; Rejmánek, 2011)","noteIndex":0},"citationItems":[{"id":32391,"uris":["http://zotero.org/groups/2352922/items/UJ6GZG4X"],"itemData":{"id":32391,"type":"article-journal","container-title":"Diversity and Distributions","DOI":"10.1111/j.1472-4642.2011.00782.x","ISSN":"13669516","issue":"5","language":"en","note":"number: 5\ncontainer-title: Diversity and Distributions","page":"788-809","source":"DOI.org (Crossref)","title":"Trees and shrubs as invasive alien species - a global review: Global review of invasive trees &amp; shrubs","title-short":"Trees and shrubs as invasive alien species - a global review","URL":"http://doi.wiley.com/10.1111/j.1472-4642.2011.00782.x","volume":"17","author":[{"family":"Richardson","given":"David M."},{"family":"Rejmánek","given":"Marcel"}],"accessed":{"date-parts":[["2019",12,5]]},"issued":{"date-parts":[["2011",9]]}},"label":"page"}],"schema":"https://github.com/citation-style-language/schema/raw/master/csl-citation.json"} </w:instrText>
      </w:r>
      <w:r w:rsidR="001F7F99" w:rsidRPr="00DA249F">
        <w:rPr>
          <w:rStyle w:val="normaltextrun"/>
          <w:lang w:val="en-GB"/>
        </w:rPr>
        <w:fldChar w:fldCharType="separate"/>
      </w:r>
      <w:r w:rsidR="00144D96" w:rsidRPr="00144D96">
        <w:rPr>
          <w:szCs w:val="24"/>
        </w:rPr>
        <w:t>(Richardson &amp; Rejmánek, 2011)</w:t>
      </w:r>
      <w:r w:rsidR="001F7F99" w:rsidRPr="00DA249F">
        <w:rPr>
          <w:rStyle w:val="normaltextrun"/>
          <w:lang w:val="en-GB"/>
        </w:rPr>
        <w:fldChar w:fldCharType="end"/>
      </w:r>
      <w:r w:rsidRPr="00DA249F">
        <w:rPr>
          <w:rStyle w:val="normaltextrun"/>
          <w:lang w:val="en-GB"/>
        </w:rPr>
        <w:t>.</w:t>
      </w:r>
      <w:r w:rsidR="003562CD" w:rsidRPr="00DA249F">
        <w:rPr>
          <w:rStyle w:val="normaltextrun"/>
          <w:lang w:val="en-GB"/>
        </w:rPr>
        <w:t xml:space="preserve"> </w:t>
      </w:r>
      <w:r w:rsidRPr="00DA249F">
        <w:rPr>
          <w:rStyle w:val="normaltextrun"/>
          <w:lang w:val="en-GB"/>
        </w:rPr>
        <w:t xml:space="preserve">Many trees extensively used in forestry have high </w:t>
      </w:r>
      <w:r w:rsidR="001E1EED" w:rsidRPr="00DA249F">
        <w:rPr>
          <w:rStyle w:val="normaltextrun"/>
          <w:lang w:val="en-GB"/>
        </w:rPr>
        <w:t>potential to become invasive alien species</w:t>
      </w:r>
      <w:r w:rsidRPr="00DA249F">
        <w:rPr>
          <w:rStyle w:val="normaltextrun"/>
          <w:lang w:val="en-GB"/>
        </w:rPr>
        <w:t xml:space="preserve">, including the genera </w:t>
      </w:r>
      <w:r w:rsidRPr="00DA249F">
        <w:rPr>
          <w:rStyle w:val="normaltextrun"/>
          <w:i/>
          <w:iCs/>
          <w:lang w:val="en-GB"/>
        </w:rPr>
        <w:t>Pinus</w:t>
      </w:r>
      <w:r w:rsidR="009620B7" w:rsidRPr="00DA249F">
        <w:rPr>
          <w:rStyle w:val="normaltextrun"/>
          <w:i/>
          <w:iCs/>
          <w:lang w:val="en-GB"/>
        </w:rPr>
        <w:t xml:space="preserve"> </w:t>
      </w:r>
      <w:r w:rsidR="009620B7" w:rsidRPr="00DA249F">
        <w:rPr>
          <w:rStyle w:val="normaltextrun"/>
          <w:i/>
          <w:iCs/>
          <w:lang w:val="en-GB"/>
        </w:rPr>
        <w:fldChar w:fldCharType="begin"/>
      </w:r>
      <w:r w:rsidR="00331A79">
        <w:rPr>
          <w:rStyle w:val="normaltextrun"/>
          <w:i/>
          <w:iCs/>
          <w:lang w:val="en-GB"/>
        </w:rPr>
        <w:instrText xml:space="preserve"> ADDIN ZOTERO_ITEM CSL_CITATION {"citationID":"b71dUMwt","properties":{"unsorted":true,"formattedCitation":"(Richardson, 2006; Fernandes et al., 2016; Brundu et al., 2020)","plainCitation":"(Richardson, 2006; Fernandes et al., 2016; Brundu et al., 2020)","noteIndex":0},"citationItems":[{"id":33044,"uris":["http://zotero.org/groups/2352922/items/487VS5AU"],"itemData":{"id":33044,"type":"article-journal","abstract":"Enhanced understanding of the ecology of pine invasions has improved the authors&amp;#39; ability to manage these invasions, and no other speciose genus of plants has yielded important insights on so many facets of invasion ecology. The global-scale natural experiment created by the widespread dissemination of most of the 111 species of pines (genus Pinus, family Pinaceae) has shed light on many aspects of plant invasion ecology. Introductions and the fate of alien pines have been well documented worldwide, facilitating the accurate labelling of species as “naturalized”, “invasive”, or “non-invasive</w:instrText>
      </w:r>
      <w:r w:rsidR="00331A79">
        <w:rPr>
          <w:rStyle w:val="normaltextrun"/>
          <w:rFonts w:hint="eastAsia"/>
          <w:i/>
          <w:iCs/>
          <w:lang w:val="en-GB"/>
        </w:rPr>
        <w:instrText>”</w:instrText>
      </w:r>
      <w:r w:rsidR="00331A79">
        <w:rPr>
          <w:rStyle w:val="normaltextrun"/>
          <w:i/>
          <w:iCs/>
          <w:lang w:val="en-GB"/>
        </w:rPr>
        <w:instrText xml:space="preserve"> using objective criteria. Thirty species are naturalized and 21 are invasive. Three life-history traits that clearly separate invasive from non-invasive taxa define the inherent ability of species to disperse over long distances, win in competition against other plants, and to survive or proliferate under a range of disturbance regimes. The realization of colonization opportunities for potentially invasive pines is determined by extrinsic factors, especially those that mediate seedling establishment. Meta-analysis of many introduction/invasion events revealed the interplay of factors. Detailed studies of pine invasions have elucidated the roles of long-distance seed dispersal and propagule pressure in driving invasions. Enhanced understanding of the ecology of pine invasions has improved our ability to manage these invasions. No other speciose genus of plants has yielded important insights on so many facets of invasion ecology.","container-title":"Preslia","language":"en","page":"375-388","source":"www.semanticscholar.org","title":"&lt;i&gt;Pinus&lt;/i&gt;: a model group for unlocking the secrets of alien plant invasions?","title-short":"Pinus","URL":"https://www.preslia.cz/P064CRic.pdf","volume":"78","author":[{"family":"Richardson","given":"David M."}],"accessed":{"date-parts":[["2021",12,7]]},"issued":{"date-parts":[["2006"]]}},"label":"page"},{"id":32422,"uris":["http://zotero.org/groups/2352922/items/3I79GZCM"],"itemData":{"id":32422,"type":"article-journal","abstract":"The tree species used in planted forests are highly productive and have an important role in countries economy but the expansion of these trees into habitats outside plantations is a concern for managers and conservationists. Among the most planted forest species worldwide, we can find eucalypts and pines species. Understanding spatial patterns and the factors that influence these species...","container-title":"Forest Ecology and Management","DOI":"10.1016/j.foreco.2016.07.027","ISSN":"0378-1127","language":"English","note":"publisher: Elsevier Ltd","page":"91-102","source":"www.cabdirect.org","title":"Natural regeneration of &lt;i&gt;Pinus pinaster&lt;/i&gt; and &lt;i&gt;Eucalyptus globulus&lt;/i&gt; from plantation into adjacent natural habitats.","URL":"https://www.sciencedirect.com/science/article/abs/pii/S0378112716303838","volume":"378","author":[{"family":"Fernandes","given":"P."},{"family":"Antunes","given":"C."},{"family":"Pinho","given":"P."},{"family":"Máguas","given":"C."},{"family":"Correia","given":"O."}],"accessed":{"date-parts":[["2021",12,7]]},"issued":{"date-parts":[["2016"]]}},"label":"page"},{"id":32410,"uris":["http://zotero.org/groups/2352922/items/ELAF7FIV"],"itemData":{"id":32410,"type":"article-journal","container-title":"NeoBiota","DOI":"https://doi.org/10.3897/neobiota.61.58380","page":"65-116","title":"Global guidelines for the sustainable use of non-native trees to prevent tree invasions and mitigate their negative impacts","volume":"61","author":[{"family":"Brundu","given":"Giuseppe"},{"family":"Pauchard","given":"Aníbal"},{"family":"Pyšek","given":"Petr"},{"family":"Pergl","given":"Jan"},{"family":"Bindewald","given":"Anja"},{"family":"Brunori","given":"Antonio"},{"family":"Canavan","given":"Susan"},{"family":"Campagnaro","given":"Thomas"},{"family":"Celesti-Grapow","given":"Laura"},{"family":"Sá Dechoum","given":"Michele","non-dropping-particle":"de"},{"family":"Dufour-Dror","given":"Jean-Marc"},{"family":"Essl","given":"Franz"},{"family":"Flory","given":"S. Luke"},{"family":"Genovesi","given":"Piero"},{"family":"Guarino","given":"Francesco"},{"family":"Guangzhe","given":"Liu"},{"family":"Hulme","given":"Philip E."},{"family":"Jäger","given":"Heinke"},{"family":"Kettle","given":"Christopher J."},{"family":"Krumm","given":"Frank"},{"family":"Langdon","given":"Barbara"},{"family":"Lapin","given":"Katharina"},{"family":"Lozano","given":"Vanessa"},{"family":"Le Roux","given":"Johannes J."},{"family":"Novoa","given":"Ana"},{"family":"Nuñez","given":"Martín A."},{"family":"Porté","given":"Annabel J."},{"family":"Silva","given":"Joaquim S."},{"family":"Schaffner","given":"Urs"},{"family":"Sitzia","given":"Tommaso"},{"family":"Tanner","given":"Rob"},{"family":"Tshidada","given":"Ntakadzeni"},{"family":"Vítková","given":"Michaela"},{"family":"Westergren","given":"Marjana"},{"family":"Wilson","given":"John R. U."},{"family":"Richardson","given":"David M."}],"issued":{"date-parts":[["2020"]]}},"label":"page"}],"schema":"https://github.com/citation-style-language/schema/raw/master/csl-citation.json"} </w:instrText>
      </w:r>
      <w:r w:rsidR="009620B7" w:rsidRPr="00DA249F">
        <w:rPr>
          <w:rStyle w:val="normaltextrun"/>
          <w:i/>
          <w:iCs/>
          <w:lang w:val="en-GB"/>
        </w:rPr>
        <w:fldChar w:fldCharType="separate"/>
      </w:r>
      <w:r w:rsidR="00144D96" w:rsidRPr="00144D96">
        <w:t>(Richardson, 2006; Fernandes et al., 2016; Brundu et al., 2020)</w:t>
      </w:r>
      <w:r w:rsidR="009620B7" w:rsidRPr="00DA249F">
        <w:rPr>
          <w:rStyle w:val="normaltextrun"/>
          <w:i/>
          <w:iCs/>
          <w:lang w:val="en-GB"/>
        </w:rPr>
        <w:fldChar w:fldCharType="end"/>
      </w:r>
      <w:r w:rsidRPr="00DA249F">
        <w:rPr>
          <w:rStyle w:val="normaltextrun"/>
          <w:lang w:val="en-GB"/>
        </w:rPr>
        <w:t xml:space="preserve">, </w:t>
      </w:r>
      <w:r w:rsidRPr="00DA249F">
        <w:rPr>
          <w:rStyle w:val="normaltextrun"/>
          <w:i/>
          <w:iCs/>
          <w:lang w:val="en-GB"/>
        </w:rPr>
        <w:t>Acacia</w:t>
      </w:r>
      <w:r w:rsidR="008F1379" w:rsidRPr="00DA249F">
        <w:rPr>
          <w:rStyle w:val="normaltextrun"/>
          <w:i/>
          <w:iCs/>
          <w:lang w:val="en-GB"/>
        </w:rPr>
        <w:t xml:space="preserve"> </w:t>
      </w:r>
      <w:r w:rsidR="008F1379" w:rsidRPr="00DA249F">
        <w:rPr>
          <w:rStyle w:val="normaltextrun"/>
          <w:i/>
          <w:iCs/>
          <w:lang w:val="en-GB"/>
        </w:rPr>
        <w:fldChar w:fldCharType="begin"/>
      </w:r>
      <w:r w:rsidR="00331A79">
        <w:rPr>
          <w:rStyle w:val="normaltextrun"/>
          <w:i/>
          <w:iCs/>
          <w:lang w:val="en-GB"/>
        </w:rPr>
        <w:instrText xml:space="preserve"> ADDIN ZOTERO_ITEM CSL_CITATION {"citationID":"YAn6nuID","properties":{"formattedCitation":"(Donaldson et al., 2014; Richardson et al., 2011, 2015)","plainCitation":"(Donaldson et al., 2014; Richardson et al., 2011, 2015)","noteIndex":0},"citationItems":[{"id":32907,"uris":["http://zotero.org/groups/2352922/items/CILF57JJ"],"itemData":{"id":32907,"type":"article-journal","container-title":"Global Change Biology","DOI":"10.1111/gcb.12486","ISSN":"13541013","issue":"5","journalAbbreviation":"Glob Change Biol","language":"en","page":"1527-1537","source":"DOI.org (Crossref)","title":"Invasion trajectory of alien trees: the role of introduction pathway and planting history","title-short":"Invasion trajectory of alien trees","URL":"https://onlinelibrary.wiley.com/doi/10.1111/gcb.12486","volume":"20","author":[{"family":"Donaldson","given":"Jason E."},{"family":"Hui","given":"Cang"},{"family":"Richardson","given":"David M."},{"family":"Robertson","given":"Mark P."},{"family":"Webber","given":"Bruce L."},{"family":"Wilson","given":"John R.U."}],"accessed":{"date-parts":[["2021",12,9]]},"issued":{"date-parts":[["2014",5]]}},"label":"page"},{"id":24270,"uris":["http://zotero.org/groups/2352922/items/YLYYGP6X"],"itemData":{"id":24270,"type":"article-journal","abstract":"Aim Australian acacias (1012 recognized species native to Australia, which were previously grouped in Acacia subgenus Phyllodineae) have been moved extensively around the world by humans over the past 250 years. This has created the opportunity to explore how evolutionary, ecological, historical and sociological factors interact to affect the distribution, usage, invasiveness and perceptions of a globally important group of plants. This editorial provides the background for the 20 papers in this special issue of Diversity and Distributions that focusses on the global cross-disciplinary experiment of introduced Australian acacias. Location Australia and global. Methods The papers of the special issue are discussed in the context of a unified framework for biological invasions. Distributions of species were mapped across Australia, their representation in bioclimatic zones examined and the potential global distribution of the group modelled. By collating a variety of different lists, we determined which Australian acacias have reached different stages in the introduction-naturalization-invasion continuum in different parts of the world. Paradigms and key research questions relating to barriers to invasion, stages of invasion and management perceptions are sketched. Results According to our global database of Australian acacia records, 386 species have been moved outside Australia by human agency, 71 species are naturalized or weedy, and 23 are unequivocally invasive. Climatic models suggest that about a third of the world’s land surface is climatically suitable for Australian acacias. Many species are commercially important crops or are useful for other purposes and have been extensively planted, and many different human perceptions of Australian acacias exist in different parts of the world. The papers in the special issue cover all the barriers, stages and processes that define biological invasions and touch on many aspects: history and the human dimension; aspects of the species pool; species traits; biotic interactions; climate and niche; and management. Main conclusions Australian acacias are an excellent model group for examining interactions between evolutionary, ecological and socio-economic drivers of species introductions. New insights have emerged on the biological, ecological and evolutionary correlates of naturalization and invasion, but human usage factors permeate all explanatory models. Understanding and managing introduced Australian acacias requires a fundamental and integrative appreciation of both intrinsic (e.g. species traits) and extrinsic (e.g. human usage and perceptions) aspects.","container-title":"Diversity and Distributions","DOI":"10.1111/j.1472-4642.2011.00824.x","ISSN":"1472-4642","issue":"5","language":"en","license":"© 2011 Blackwell Publishing Ltd","page":"771-787","source":"Wiley Online Library","title":"Human-mediated introductions of Australian acacias – a global experiment in biogeography","URL":"http://doi.wiley.com/10.1111/j.1472-4642.2011.00824.x","volume":"17","author":[{"family":"Richardson","given":"David M."},{"family":"Carruthers","given":"Jane"},{"family":"Hui","given":"Cang"},{"family":"Impson","given":"Fiona A. C."},{"family":"Miller","given":"Joseph T."},{"family":"Robertson","given":"Mark P."},{"family":"Rouget","given":"Mathieu"},{"family":"Le Roux","given":"Johannes J."},{"family":"Wilson","given":"John R. U."}],"accessed":{"date-parts":[["2019",12,9]]},"issued":{"date-parts":[["2011"]]}},"label":"page"},{"id":32421,"uris":["http://zotero.org/groups/2352922/items/HLSGY7HQ"],"itemData":{"id":32421,"type":"article-journal","abstract":"Problems associated with invasiveness of non-native tree species used in forestry are increasing rapidly worldwide and are most severe in areas with a long history of plantings. Lessons learnt in areas with long histories of plantings and invasions may be applicable to areas with shorter planting histories. Most research towards understanding such tree invasions has focused on Pinus species, though all groups of trees that have been widely used in forestry are invasive to some extent. This paper explores the experience of Australian Acacia species (wattles). Unlike some other groups of trees, no particular set of traits clearly separates highly invasive from less- or non-invasive wattles. All species that have been widely planted over a long period have become invasive; the extent of invasions is largely a function of human usage. These findings imply that propagule pressure in concert with residence times are the main drivers of invasiveness in wattles (many factors mediate these drivers, including fire, forest clearance and soil disturbance). The massive extent of recent plantings of Australian Acacia species in South-east Asia is therefore likely to result in large-scale invasions unless proactive management is implemented. The history of wattles in South Africa highlights the need for such proactive management. Wattles were of considerable net value to the South African economy immediately after introduction. However, the costs of wattle invasions increased over time to such an extent that (certainly over the last few decades) these costs exceed the benefits derived from the forestry industry. Wattles now dominate many natural ecosystems. We recommend several interventions to prevent a similar pattern in South-east Asia and to ensure the sustainability of plantation forestry based on wattles in the region. A spatially explicit assessment of invasion risk is required, and a monitoring system should be implemented. Cost–benefit analyses (that consider the full suite of perspectives relating to costs and benefits) need to be applied to determine the need for sustainable mitigation methods. Options for reducing potential invasiveness should be implemented; these include biological control targeting seed production (very good success has been achieved in South Africa) and the use of sterile cultivars.","container-title":"Southern Forests: a Journal of Forest Science","DOI":"10.2989/20702620.2014.999305","ISSN":"2070-2620","issue":"1","note":"number: 1\npublisher: Taylor &amp; Francis\n_eprint: https://doi.org/10.2989/20702620.2014.999305","page":"31-39","source":"Taylor and Francis+NEJM","title":"Australian acacias as invasive species: lessons to be learnt from regions with long planting histories","title-short":"Australian acacias as invasive species","URL":"https://doi.org/10.2989/20702620.2014.999305","volume":"77","author":[{"family":"Richardson","given":"David M."},{"family":"Le Roux","given":"Johannes J"},{"family":"Wilson","given":"John RU"}],"accessed":{"date-parts":[["2021",12,7]]},"issued":{"date-parts":[["2015",1,2]]}},"label":"page"}],"schema":"https://github.com/citation-style-language/schema/raw/master/csl-citation.json"} </w:instrText>
      </w:r>
      <w:r w:rsidR="008F1379" w:rsidRPr="00DA249F">
        <w:rPr>
          <w:rStyle w:val="normaltextrun"/>
          <w:i/>
          <w:iCs/>
          <w:lang w:val="en-GB"/>
        </w:rPr>
        <w:fldChar w:fldCharType="separate"/>
      </w:r>
      <w:r w:rsidR="00144D96" w:rsidRPr="00144D96">
        <w:t>(Donaldson et al., 2014; Richardson et al., 2011, 2015)</w:t>
      </w:r>
      <w:r w:rsidR="008F1379" w:rsidRPr="00DA249F">
        <w:rPr>
          <w:rStyle w:val="normaltextrun"/>
          <w:i/>
          <w:iCs/>
          <w:lang w:val="en-GB"/>
        </w:rPr>
        <w:fldChar w:fldCharType="end"/>
      </w:r>
      <w:r w:rsidRPr="00DA249F">
        <w:rPr>
          <w:rStyle w:val="normaltextrun"/>
          <w:i/>
          <w:iCs/>
          <w:lang w:val="en-GB"/>
        </w:rPr>
        <w:t xml:space="preserve"> </w:t>
      </w:r>
      <w:r w:rsidRPr="00DA249F">
        <w:rPr>
          <w:rStyle w:val="normaltextrun"/>
          <w:lang w:val="en-GB"/>
        </w:rPr>
        <w:t>and </w:t>
      </w:r>
      <w:r w:rsidRPr="00DA249F">
        <w:rPr>
          <w:rStyle w:val="normaltextrun"/>
          <w:i/>
          <w:iCs/>
          <w:lang w:val="en-GB"/>
        </w:rPr>
        <w:t>Eucalyptus</w:t>
      </w:r>
      <w:r w:rsidRPr="00DA249F">
        <w:rPr>
          <w:rStyle w:val="normaltextrun"/>
          <w:lang w:val="en-GB"/>
        </w:rPr>
        <w:t> </w:t>
      </w:r>
      <w:r w:rsidR="0075524E" w:rsidRPr="00DA249F">
        <w:rPr>
          <w:rStyle w:val="normaltextrun"/>
          <w:lang w:val="en-GB"/>
        </w:rPr>
        <w:fldChar w:fldCharType="begin"/>
      </w:r>
      <w:r w:rsidR="00331A79">
        <w:rPr>
          <w:rStyle w:val="normaltextrun"/>
          <w:lang w:val="en-GB"/>
        </w:rPr>
        <w:instrText xml:space="preserve"> ADDIN ZOTERO_ITEM CSL_CITATION {"citationID":"laFEdA5z","properties":{"formattedCitation":"(Bennett, 2010; Forsyth et al., 2004; Hirsch et al., 2020; Simberloff &amp; Rejmanek, 2011)","plainCitation":"(Bennett, 2010; Forsyth et al., 2004; Hirsch et al., 2020; Simberloff &amp; Rejmanek, 2011)","noteIndex":0},"citationItems":[{"id":32376,"uris":["http://zotero.org/groups/2352922/items/7JHW6U2Z"],"itemData":{"id":32376,"type":"article-journal","abstract":"Summary\n            \n              This article argues that because of the perceived and real biological characteristics of the different species of the genus\n              Eucalyptus\n              , imperialists and settlers, and later governments and the elites of developing nations, planted eucalypts widely and created new socio-ecological systems that encouraged and reinforced divergent patterns of economic, social, and ecological development. Planting eucalypts changed local ecologies and encouraged a movement towards market-based capitalism that benefited settlers, large landowners, urban elites and middle classes, and capital-intensive industries at the expense of indigenous groups living in and near forests. This article analyses the globalization of eucalypts in four broad phases: first, an enthusiastic expansion and planting from 1850–1900; secondly, failure in the tropics from 1850–1960; thirdly, increased planting and success rates in the tropics from 1960–2000, and fourthly, a growing criticism of eucalypts that began in the late nineteenth century and blossomed in the 1980s during an intense period of planting in India and Thailand.","container-title":"International Review of Social History","DOI":"10.1017/S0020859010000489","ISSN":"0020-8590, 1469-512X","issue":"S18","journalAbbreviation":"Int Rev of Soc His","language":"en","page":"27-50","source":"DOI.org (Crossref)","title":"The El Dorado of Forestry: The Eucalyptus in India, South Africa, and Thailand, 1850–2000","title-short":"The El Dorado of Forestry","URL":"https://www.cambridge.org/core/product/identifier/S0020859010000489/type/journal_article","volume":"55","author":[{"family":"Bennett","given":"Brett M."}],"accessed":{"date-parts":[["2021",12,10]]},"issued":{"date-parts":[["2010",12]]}},"label":"page"},{"id":32375,"uris":["http://zotero.org/groups/2352922/items/5AZFYCWN"],"itemData":{"id":32375,"type":"article-journal","abstract":"Gum trees, or eucalypts (Eucalyptus species), have been targeted for invasive alien plant clearing programmes in many parts of South Africa. This has caused some dissatisfaction where the species concerned also have useful characteristics, and stakeholders contend that some of these useful species are not invasive. A rapid assessment of the invasive status of Eucalyptus species at 82 sites in South Africa (54 in the Western Cape and 28 in Mpumalanga) indicated that only Red River gum (E. camaldulensis) and flooded gum (E. grandis) are clearly invasive. Surveys were not undertaken in parts of the Western Cape known to be invaded by spider gum (E. lehmannii); the invasive status of this species is well known and is not contested. Red River gum has transformed long stretches of rivers and its importance as a major weed has been underestimated in previous reviews of alien plant invasions in South Africa. Most other species were naturalized. We recommend that projects aimed at clearing eucalypts should focus on riparian areas and nature reserves (where all eucalypts have deleterious effects), but that clearing projects outside these areas should only target species known to be invasive until such time as the invasive status of the other eucalypts (notably sugar gum, E. cladocalyx, and karri, E. diversicolor) can be ascertained with a greater degree of confidence.","container-title":"South African Journal of Science","language":"eng","note":"Accepted: 2017-05-16T10:59:59Z\npublisher: University of Cape Town","source":"open.uct.ac.za","title":"A rapid assessment of the invasive status of &lt;i&gt;Eucalyptus&lt;/i&gt; species in two South African provinces","URL":"https://open.uct.ac.za/handle/11427/24328","author":[{"family":"Forsyth","given":"G. G."},{"family":"Richardson","given":"D. M."},{"family":"Brown","given":"P. J."},{"family":"Wilgen","given":"B. W.","non-dropping-particle":"van"}],"accessed":{"date-parts":[["2021",12,10]]},"issued":{"date-parts":[["2004"]]}},"label":"page"},{"id":32374,"uris":["http://zotero.org/groups/2352922/items/53JV9EUL"],"itemData":{"id":32374,"type":"article-journal","abstract":"Eucalyptus camaldulensis can be seen as an iconic tree of superlatives. It is the eucalypt with the widest native range, and one of the most widely planted eucalypts around the globe. In South Africa, it is the most widespread and the most aggressively invasive eucalypt. It has many uses, but also causes major impacts. However, little is known about key aspects of its ecology in South Africa, including its invasion history, invasion processes and dynamics, and people’s perceptions of its positive and negative effects on ecosystems. Such knowledge is crucial for developing robust and defendable guidelines for sustainable management of the species. This paper provides a comprehensive dossier of the species in South Africa. It reviews what is known of its introduction and planting history, its current distribution, its value for commercial forestry and other uses, its impacts as an invasive species, pests and pathogens associated with the species, people’s perceptions of the species and conflicts of interest, and the options for management and restoration. The review reveals that E. camaldulensis is a tree of many contradictions in South Africa, making it a poster-child example of a conflict-generating non-native species. Based on available knowledge, we assess options for improved management. We highlight several knowledge gaps which need to be addressed in more detail through future research. It is hoped that this species profile will serve as a model for the types of information that are needed for developing objective management strategies for non-native tree species in different parts of the world.","container-title":"Transactions of the Royal Society of South Africa","DOI":"10.1080/0035919X.2019.1669732","ISSN":"0035-919X","issue":"1","note":"publisher: Taylor &amp; Francis\n_eprint: https://doi.org/10.1080/0035919X.2019.1669732","page":"1-22","source":"Taylor and Francis+NEJM","title":"&lt;i&gt;Eucalyptus camaldulensis&lt;/i&gt; in South Africa – past, present, future","URL":"https://doi.org/10.1080/0035919X.2019.1669732","volume":"75","author":[{"family":"Hirsch","given":"Heidi"},{"family":"Allsopp","given":"Michael H."},{"family":"Canavan","given":"Susan"},{"family":"Cheek","given":"Michael"},{"family":"Geerts","given":"Sjirk"},{"family":"Geldenhuys","given":"Coert J."},{"family":"Harding","given":"Graham"},{"family":"Hurley","given":"Brett P."},{"family":"Jones","given":"Wayne"},{"family":"Keet","given":"Jan-Hendrik"},{"family":"Klein","given":"Hildegard"},{"family":"Ruwanza","given":"Sheunesu"},{"family":"Wilgen","given":"Brian W.","non-dropping-particle":"van"},{"family":"Wingfield","given":"Michael J."},{"family":"Richardson","given":"David M."}],"accessed":{"date-parts":[["2021",12,10]]},"issued":{"date-parts":[["2020",1,2]]}},"label":"page"},{"id":32792,"uris":["http://zotero.org/groups/2352922/items/BDWIGJLS"],"itemData":{"id":32792,"type":"book","abstract":"\"This work will be of great value in ecology and conservation science. Invasive species are a severe and exponentially growing problem of the environment, and one difficult even to characterize, much less contain.\"—Edward O. Wilson, author and scientist\"Second only to habitat loss mixed with climate disruption, invasive species represent the next most serious threat to biodiversity. The Encyclopedia of Biological Invasions, written by an impressive group of experts, now makes available to conservation biologists, managers, decision makers, and concerned citizens a comprehensive single source of this key topic.\"—Paul R. Ehrlich, co-author of The Dominant Animal\"This magnificent collection of well-selected essays will immediately become a standard guide to understanding one of the key biological problems of our times. With contributions from virtually every active participant, and thus collectively telling the story of biological invasion well; such invasions pose severe threats to the survival of biological diversity and are a complicating factor in virtually every human activity based on maintaining or managing the functioning of biological systems. This book belongs in every biological library and will be an asset to many individuals in their work, whether fundamental science or the many practical applications associated with invasion, its management and control.\"—Peter H. Raven, President, Missouri Botanical Garden\"This volume brings an extraordinarily useful and authoritative compilation of our current knowledge on biological invasions. The invasion biology research area is undergoing explosive development and thus this encyclopedia is timely, bringing a single source of information, by leading experts, in a well-organized, beautifully illustrated, and thoughtfully produced format. No doubt this work will stimulate further progress, and integration, in this critical but complex research area.\"—Harold Mooney, Stanford University","ISBN":"978-0-520-26421-2","language":"en","note":"DOI: 10.1525/9780520948433","number-of-pages":"792","publisher":"University of California Press","source":"Google Books","title":"Encyclopedia of Biological Invasions","volume":"3","editor":[{"family":"Simberloff","given":"Daniel"},{"family":"Rejmanek","given":"Marcel"}],"issued":{"date-parts":[["2011",1,2]]}},"label":"page"}],"schema":"https://github.com/citation-style-language/schema/raw/master/csl-citation.json"} </w:instrText>
      </w:r>
      <w:r w:rsidR="0075524E" w:rsidRPr="00DA249F">
        <w:rPr>
          <w:rStyle w:val="normaltextrun"/>
          <w:lang w:val="en-GB"/>
        </w:rPr>
        <w:fldChar w:fldCharType="separate"/>
      </w:r>
      <w:r w:rsidR="00144D96" w:rsidRPr="00144D96">
        <w:t>(Bennett, 2010; Forsyth et al., 2004; Hirsch et al., 2020; Simberloff &amp; Rejmanek, 2011)</w:t>
      </w:r>
      <w:r w:rsidR="0075524E" w:rsidRPr="00DA249F">
        <w:rPr>
          <w:rStyle w:val="normaltextrun"/>
          <w:lang w:val="en-GB"/>
        </w:rPr>
        <w:fldChar w:fldCharType="end"/>
      </w:r>
      <w:r w:rsidRPr="00DA249F">
        <w:rPr>
          <w:rStyle w:val="normaltextrun"/>
          <w:lang w:val="en-GB"/>
        </w:rPr>
        <w:t xml:space="preserve">. Of the roughly 100 </w:t>
      </w:r>
      <w:r w:rsidRPr="00DA249F">
        <w:rPr>
          <w:rStyle w:val="normaltextrun"/>
          <w:i/>
          <w:iCs/>
          <w:lang w:val="en-GB"/>
        </w:rPr>
        <w:t xml:space="preserve">Pinus </w:t>
      </w:r>
      <w:r w:rsidRPr="00DA249F">
        <w:rPr>
          <w:rStyle w:val="normaltextrun"/>
          <w:lang w:val="en-GB"/>
        </w:rPr>
        <w:t xml:space="preserve">species, at least 17 species are now considered </w:t>
      </w:r>
      <w:r w:rsidR="007E3DB6" w:rsidRPr="00DA249F">
        <w:rPr>
          <w:rStyle w:val="normaltextrun"/>
          <w:lang w:val="en-GB"/>
        </w:rPr>
        <w:t xml:space="preserve">as invasive alien species in </w:t>
      </w:r>
      <w:r w:rsidRPr="00DA249F">
        <w:rPr>
          <w:rStyle w:val="normaltextrun"/>
          <w:lang w:val="en-GB"/>
        </w:rPr>
        <w:t xml:space="preserve">natural ecosystems, particularly in the southern hemisphere </w:t>
      </w:r>
      <w:r w:rsidR="001B587B" w:rsidRPr="00DA249F">
        <w:rPr>
          <w:rStyle w:val="normaltextrun"/>
          <w:lang w:val="en-GB"/>
        </w:rPr>
        <w:fldChar w:fldCharType="begin"/>
      </w:r>
      <w:r w:rsidR="00331A79">
        <w:rPr>
          <w:rStyle w:val="normaltextrun"/>
          <w:lang w:val="en-GB"/>
        </w:rPr>
        <w:instrText xml:space="preserve"> ADDIN ZOTERO_ITEM CSL_CITATION {"citationID":"OpTLjmyF","properties":{"formattedCitation":"(Richardson &amp; Blanchard, 2011; Richardson &amp; Nsikani, 2021)","plainCitation":"(Richardson &amp; Blanchard, 2011; Richardson &amp; Nsikani, 2021)","noteIndex":0},"citationItems":[{"id":32934,"uris":["http://zotero.org/groups/2352922/items/ZIHQX5B2"],"itemData":{"id":32934,"type":"article-journal","container-title":"Current Opinion in Environmental Sustainability","DOI":"10.1016/j.cosust.2010.11.006","ISSN":"18773435","issue":"1-2","journalAbbreviation":"Current Opinion in Environmental Sustainability","language":"en","note":"number: 1-2\ncontainer-title: Current Opinion in Environmental Sustainability","page":"36-42","source":"DOI.org (Crossref)","title":"Learning from our mistakes: minimizing problems with invasive biofuel plants","title-short":"Learning from our mistakes","URL":"https://linkinghub.elsevier.com/retrieve/pii/S187734351000134X","volume":"3","author":[{"family":"Richardson","given":"David M."},{"family":"Blanchard","given":"Ryan"}],"accessed":{"date-parts":[["2019",12,5]]},"issued":{"date-parts":[["2011",3]]}},"label":"page"},{"id":32420,"uris":["http://zotero.org/groups/2352922/items/AMASF5IK"],"itemData":{"id":32420,"type":"chapter","abstract":"This chapter reviews the increasing importance of Mediterranean pines as invasive non-native species outside the natural range of the genus, especially in temperate parts of the Southern Hemisphere where several species are important weeds. It first discusses human-mediated changes to the ranges of Mediterranean pines and their colonization and persistence ability within and immediately adjoining their natural ranges. Next, it reviews the history of plantings and emergence of invasions of these pines in the Southern Hemisphere. Aspects of the ecology of the most widespread invaders (P. halepensis and P. pinaster) are discussed by considering the factors that influence invasive success. The impacts of the invasive pines are discussed, and management approaches and challenges are reviewed.","collection-title":"Managing Forest Ecosystems","container-title":"Pines and Their Mixed Forest Ecosystems in the Mediterranean Basin","event-place":"Cham","ISBN":"978-3-030-63625-8","language":"en","note":"DOI: 10.1007/978-3-030-63625-8_5","page":"83-99","publisher":"Springer International Publishing","publisher-place":"Cham","source":"Springer Link","title":"Mediterranean Pines as Invasive Species in the Southern Hemisphere","URL":"https://doi.org/10.1007/978-3-030-63625-8_5","author":[{"family":"Richardson","given":"David M."},{"family":"Nsikani","given":"Mlungele M."}],"editor":[{"family":"Ne'eman","given":"Gidi"},{"family":"Osem","given":"Yagil"}],"accessed":{"date-parts":[["2021",12,7]]},"issued":{"date-parts":[["2021"]]}},"label":"page"}],"schema":"https://github.com/citation-style-language/schema/raw/master/csl-citation.json"} </w:instrText>
      </w:r>
      <w:r w:rsidR="001B587B" w:rsidRPr="00DA249F">
        <w:rPr>
          <w:rStyle w:val="normaltextrun"/>
          <w:lang w:val="en-GB"/>
        </w:rPr>
        <w:fldChar w:fldCharType="separate"/>
      </w:r>
      <w:r w:rsidR="00144D96" w:rsidRPr="00144D96">
        <w:t>(Richardson &amp; Blanchard, 2011; Richardson &amp; Nsikani, 2021)</w:t>
      </w:r>
      <w:r w:rsidR="001B587B" w:rsidRPr="00DA249F">
        <w:rPr>
          <w:rStyle w:val="normaltextrun"/>
          <w:lang w:val="en-GB"/>
        </w:rPr>
        <w:fldChar w:fldCharType="end"/>
      </w:r>
      <w:r w:rsidRPr="00DA249F">
        <w:rPr>
          <w:rStyle w:val="normaltextrun"/>
          <w:lang w:val="en-GB"/>
        </w:rPr>
        <w:t xml:space="preserve">. Of the </w:t>
      </w:r>
      <w:r w:rsidR="00E2569B" w:rsidRPr="00DA249F">
        <w:rPr>
          <w:rStyle w:val="normaltextrun"/>
          <w:lang w:val="en-GB"/>
        </w:rPr>
        <w:t>approximately</w:t>
      </w:r>
      <w:r w:rsidRPr="00DA249F">
        <w:rPr>
          <w:rStyle w:val="normaltextrun"/>
          <w:lang w:val="en-GB"/>
        </w:rPr>
        <w:t xml:space="preserve"> 200 </w:t>
      </w:r>
      <w:r w:rsidRPr="00DA249F">
        <w:rPr>
          <w:rStyle w:val="normaltextrun"/>
          <w:i/>
          <w:iCs/>
          <w:lang w:val="en-GB"/>
        </w:rPr>
        <w:t xml:space="preserve">Eucalyptus </w:t>
      </w:r>
      <w:r w:rsidRPr="00DA249F">
        <w:rPr>
          <w:rStyle w:val="normaltextrun"/>
          <w:lang w:val="en-GB"/>
        </w:rPr>
        <w:t>species cultivated within South Africa</w:t>
      </w:r>
      <w:r w:rsidR="007F068B" w:rsidRPr="00DA249F">
        <w:rPr>
          <w:rStyle w:val="normaltextrun"/>
          <w:lang w:val="en-GB"/>
        </w:rPr>
        <w:t xml:space="preserve"> </w:t>
      </w:r>
      <w:r w:rsidR="007F068B" w:rsidRPr="00DA249F">
        <w:rPr>
          <w:rStyle w:val="normaltextrun"/>
          <w:lang w:val="en-GB"/>
        </w:rPr>
        <w:fldChar w:fldCharType="begin"/>
      </w:r>
      <w:r w:rsidR="00F5121E">
        <w:rPr>
          <w:rStyle w:val="normaltextrun"/>
          <w:lang w:val="en-GB"/>
        </w:rPr>
        <w:instrText xml:space="preserve"> ADDIN ZOTERO_ITEM CSL_CITATION {"citationID":"lne7Zj6Z","properties":{"formattedCitation":"(Henderson, 2009)","plainCitation":"(Henderson, 2009)","noteIndex":0},"citationItems":[{"id":32373,"uris":["http://zotero.org/groups/2352922/items/PFMFWFXG"],"itemData":{"id":32373,"type":"article-magazine","container-title":"Sapia News (Southern African Plant Invaders Atlas)","page":"3","title":"Features used in identification of Eucalyptus species","URL":"https://www.midlandsconservancies.org.za/documents/problemplants/sapia/SAPIA_NEWS_No._12.pdf","volume":"12","author":[{"family":"Henderson","given":"Lesley"}],"accessed":{"date-parts":[["2021",12,10]]},"issued":{"date-parts":[["2009",7]]}},"label":"page"}],"schema":"https://github.com/citation-style-language/schema/raw/master/csl-citation.json"} </w:instrText>
      </w:r>
      <w:r w:rsidR="007F068B" w:rsidRPr="00DA249F">
        <w:rPr>
          <w:rStyle w:val="normaltextrun"/>
          <w:lang w:val="en-GB"/>
        </w:rPr>
        <w:fldChar w:fldCharType="separate"/>
      </w:r>
      <w:r w:rsidR="00144D96" w:rsidRPr="00144D96">
        <w:t>(Henderson, 2009)</w:t>
      </w:r>
      <w:r w:rsidR="007F068B" w:rsidRPr="00DA249F">
        <w:rPr>
          <w:rStyle w:val="normaltextrun"/>
          <w:lang w:val="en-GB"/>
        </w:rPr>
        <w:fldChar w:fldCharType="end"/>
      </w:r>
      <w:r w:rsidRPr="00DA249F">
        <w:rPr>
          <w:rStyle w:val="normaltextrun"/>
          <w:lang w:val="en-GB"/>
        </w:rPr>
        <w:t xml:space="preserve">, six are listed as invasive </w:t>
      </w:r>
      <w:r w:rsidR="00B119ED" w:rsidRPr="00DA249F">
        <w:rPr>
          <w:rStyle w:val="normaltextrun"/>
          <w:lang w:val="en-GB"/>
        </w:rPr>
        <w:t xml:space="preserve">alien species </w:t>
      </w:r>
      <w:r w:rsidRPr="00DA249F">
        <w:rPr>
          <w:rStyle w:val="normaltextrun"/>
          <w:lang w:val="en-GB"/>
        </w:rPr>
        <w:t>by the National Environmental Management Biodiversity Act</w:t>
      </w:r>
      <w:r w:rsidR="00840146" w:rsidRPr="00DA249F">
        <w:rPr>
          <w:rStyle w:val="normaltextrun"/>
          <w:lang w:val="en-GB"/>
        </w:rPr>
        <w:t>.</w:t>
      </w:r>
      <w:r w:rsidR="006F02BA" w:rsidRPr="00DA249F">
        <w:rPr>
          <w:rStyle w:val="normaltextrun"/>
          <w:lang w:val="en-GB"/>
        </w:rPr>
        <w:t xml:space="preserve"> </w:t>
      </w:r>
      <w:r w:rsidRPr="00DA249F">
        <w:rPr>
          <w:rStyle w:val="normaltextrun"/>
          <w:lang w:val="en-GB"/>
        </w:rPr>
        <w:t xml:space="preserve">Studies in the Iberian Peninsula also show </w:t>
      </w:r>
      <w:r w:rsidRPr="00DA249F">
        <w:rPr>
          <w:rStyle w:val="normaltextrun"/>
          <w:i/>
          <w:iCs/>
          <w:lang w:val="en-GB"/>
        </w:rPr>
        <w:t xml:space="preserve">Eucalyptus globulus </w:t>
      </w:r>
      <w:r w:rsidR="00202041" w:rsidRPr="00DA249F">
        <w:rPr>
          <w:rStyle w:val="normaltextrun"/>
          <w:iCs/>
          <w:lang w:val="en-GB"/>
        </w:rPr>
        <w:t xml:space="preserve">(Tasmanian blue gum) </w:t>
      </w:r>
      <w:r w:rsidRPr="00DA249F">
        <w:rPr>
          <w:rStyle w:val="normaltextrun"/>
          <w:lang w:val="en-GB"/>
        </w:rPr>
        <w:t xml:space="preserve">can spread from plantations </w:t>
      </w:r>
      <w:r w:rsidR="00AE7FE2" w:rsidRPr="00DA249F">
        <w:rPr>
          <w:rStyle w:val="normaltextrun"/>
          <w:lang w:val="en-GB"/>
        </w:rPr>
        <w:fldChar w:fldCharType="begin"/>
      </w:r>
      <w:r w:rsidR="00331A79">
        <w:rPr>
          <w:rStyle w:val="normaltextrun"/>
          <w:lang w:val="en-GB"/>
        </w:rPr>
        <w:instrText xml:space="preserve"> ADDIN ZOTERO_ITEM CSL_CITATION {"citationID":"BGJV2RXM","properties":{"formattedCitation":"(Fernandes et al., 2016)","plainCitation":"(Fernandes et al., 2016)","noteIndex":0},"citationItems":[{"id":32422,"uris":["http://zotero.org/groups/2352922/items/3I79GZCM"],"itemData":{"id":32422,"type":"article-journal","abstract":"The tree species used in planted forests are highly productive and have an important role in countries economy but the expansion of these trees into habitats outside plantations is a concern for managers and conservationists. Among the most planted forest species worldwide, we can find eucalypts and pines species. Understanding spatial patterns and the factors that influence these species...","container-title":"Forest Ecology and Management","DOI":"10.1016/j.foreco.2016.07.027","ISSN":"0378-1127","language":"English","note":"publisher: Elsevier Ltd","page":"91-102","source":"www.cabdirect.org","title":"Natural regeneration of &lt;i&gt;Pinus pinaster&lt;/i&gt; and &lt;i&gt;Eucalyptus globulus&lt;/i&gt; from plantation into adjacent natural habitats.","URL":"https://www.sciencedirect.com/science/article/abs/pii/S0378112716303838","volume":"378","author":[{"family":"Fernandes","given":"P."},{"family":"Antunes","given":"C."},{"family":"Pinho","given":"P."},{"family":"Máguas","given":"C."},{"family":"Correia","given":"O."}],"accessed":{"date-parts":[["2021",12,7]]},"issued":{"date-parts":[["2016"]]}},"label":"page"}],"schema":"https://github.com/citation-style-language/schema/raw/master/csl-citation.json"} </w:instrText>
      </w:r>
      <w:r w:rsidR="00AE7FE2" w:rsidRPr="00DA249F">
        <w:rPr>
          <w:rStyle w:val="normaltextrun"/>
          <w:lang w:val="en-GB"/>
        </w:rPr>
        <w:fldChar w:fldCharType="separate"/>
      </w:r>
      <w:r w:rsidR="00144D96" w:rsidRPr="00144D96">
        <w:t>(Fernandes et al., 2016)</w:t>
      </w:r>
      <w:r w:rsidR="00AE7FE2" w:rsidRPr="00DA249F">
        <w:rPr>
          <w:rStyle w:val="normaltextrun"/>
          <w:lang w:val="en-GB"/>
        </w:rPr>
        <w:fldChar w:fldCharType="end"/>
      </w:r>
      <w:r w:rsidRPr="00DA249F">
        <w:rPr>
          <w:rStyle w:val="normaltextrun"/>
          <w:lang w:val="en-GB"/>
        </w:rPr>
        <w:t xml:space="preserve">. </w:t>
      </w:r>
      <w:r w:rsidRPr="00DA249F">
        <w:rPr>
          <w:rStyle w:val="normaltextrun"/>
          <w:i/>
          <w:iCs/>
          <w:lang w:val="en-GB"/>
        </w:rPr>
        <w:t>Acacia</w:t>
      </w:r>
      <w:r w:rsidRPr="00DA249F">
        <w:rPr>
          <w:rStyle w:val="normaltextrun"/>
          <w:lang w:val="en-GB"/>
        </w:rPr>
        <w:t xml:space="preserve"> species from Australia are widely distributed invasive alien species </w:t>
      </w:r>
      <w:r w:rsidR="007F068B" w:rsidRPr="00DA249F">
        <w:rPr>
          <w:rStyle w:val="normaltextrun"/>
          <w:lang w:val="en-GB"/>
        </w:rPr>
        <w:fldChar w:fldCharType="begin"/>
      </w:r>
      <w:r w:rsidR="00F5121E">
        <w:rPr>
          <w:rStyle w:val="normaltextrun"/>
          <w:lang w:val="en-GB"/>
        </w:rPr>
        <w:instrText xml:space="preserve"> ADDIN ZOTERO_ITEM CSL_CITATION {"citationID":"HpXRsPUX","properties":{"formattedCitation":"(Le Maitre et al., 2011)","plainCitation":"(Le Maitre et al., 2011)","noteIndex":0},"citationItems":[{"id":56511,"uris":["http://zotero.org/groups/2352922/items/HBE9KQW9","http://zotero.org/groups/2352922/items/IRMRIZF3"],"itemData":{"id":56511,"type":"article-journal","container-title":"Diversity and Distributions","DOI":"10.1111/j.1472-4642.2011.00816.x","ISSN":"13669516","issue":"5","language":"en","page":"1015-1029","source":"DOI.org (Crossref)","title":"Impacts of invasive Australian acacias: implications for management and restoration: Australian acacias: linking impacts and restoration","title-short":"Impacts of invasive Australian acacias","URL":"https://onlinelibrary.wiley.com/doi/10.1111/j.1472-4642.2011.00816.x","volume":"17","author":[{"family":"Le Maitre","given":"David C."},{"family":"Gaertner","given":"Mirijam"},{"family":"Marchante","given":"Elizabete"},{"family":"Ens","given":"Emilie-Jane"},{"family":"Holmes","given":"Patricia M."},{"family":"Pauchard","given":"Aníbal"},{"family":"O’Farrell","given":"Patrick J."},{"family":"Rogers","given":"Andrew M."},{"family":"Blanchard","given":"Ryan"},{"family":"Blignaut","given":"James"},{"family":"Richardson","given":"David M."}],"accessed":{"date-parts":[["2023",6,8]]},"issued":{"date-parts":[["2011",9]]}},"label":"page"}],"schema":"https://github.com/citation-style-language/schema/raw/master/csl-citation.json"} </w:instrText>
      </w:r>
      <w:r w:rsidR="007F068B" w:rsidRPr="00DA249F">
        <w:rPr>
          <w:rStyle w:val="normaltextrun"/>
          <w:lang w:val="en-GB"/>
        </w:rPr>
        <w:fldChar w:fldCharType="separate"/>
      </w:r>
      <w:r w:rsidR="00F5121E" w:rsidRPr="00F5121E">
        <w:t>(Le Maitre et al., 2011)</w:t>
      </w:r>
      <w:r w:rsidR="007F068B" w:rsidRPr="00DA249F">
        <w:rPr>
          <w:rStyle w:val="normaltextrun"/>
          <w:lang w:val="en-GB"/>
        </w:rPr>
        <w:fldChar w:fldCharType="end"/>
      </w:r>
      <w:r w:rsidRPr="00DA249F">
        <w:rPr>
          <w:rStyle w:val="normaltextrun"/>
          <w:lang w:val="en-GB"/>
        </w:rPr>
        <w:t xml:space="preserve">. Over 70 </w:t>
      </w:r>
      <w:r w:rsidRPr="00DA249F">
        <w:rPr>
          <w:rStyle w:val="normaltextrun"/>
          <w:i/>
          <w:lang w:val="en-GB"/>
        </w:rPr>
        <w:t>Acacia</w:t>
      </w:r>
      <w:r w:rsidRPr="00DA249F">
        <w:rPr>
          <w:rStyle w:val="normaltextrun"/>
          <w:lang w:val="en-GB"/>
        </w:rPr>
        <w:t xml:space="preserve"> species were introduced throughout South Africa for forestry, dune stabilization and ornamental use during the 19</w:t>
      </w:r>
      <w:r w:rsidRPr="00DA249F">
        <w:rPr>
          <w:rStyle w:val="normaltextrun"/>
          <w:vertAlign w:val="superscript"/>
          <w:lang w:val="en-GB"/>
        </w:rPr>
        <w:t>th</w:t>
      </w:r>
      <w:r w:rsidRPr="00DA249F">
        <w:rPr>
          <w:rStyle w:val="normaltextrun"/>
          <w:lang w:val="en-GB"/>
        </w:rPr>
        <w:t xml:space="preserve"> and 20</w:t>
      </w:r>
      <w:r w:rsidRPr="00DA249F">
        <w:rPr>
          <w:rStyle w:val="normaltextrun"/>
          <w:vertAlign w:val="superscript"/>
          <w:lang w:val="en-GB"/>
        </w:rPr>
        <w:t>th</w:t>
      </w:r>
      <w:r w:rsidRPr="00DA249F">
        <w:rPr>
          <w:rStyle w:val="normaltextrun"/>
          <w:lang w:val="en-GB"/>
        </w:rPr>
        <w:t xml:space="preserve"> centuries </w:t>
      </w:r>
      <w:r w:rsidR="007F068B" w:rsidRPr="00DA249F">
        <w:rPr>
          <w:rStyle w:val="normaltextrun"/>
          <w:lang w:val="en-GB"/>
        </w:rPr>
        <w:fldChar w:fldCharType="begin"/>
      </w:r>
      <w:r w:rsidR="00331A79">
        <w:rPr>
          <w:rStyle w:val="normaltextrun"/>
          <w:lang w:val="en-GB"/>
        </w:rPr>
        <w:instrText xml:space="preserve"> ADDIN ZOTERO_ITEM CSL_CITATION {"citationID":"tb6P0n4v","properties":{"formattedCitation":"(Bennett, 2011)","plainCitation":"(Bennett, 2011)","noteIndex":0},"citationItems":[{"id":32418,"uris":["http://zotero.org/groups/2352922/items/NXWYS3CZ"],"itemData":{"id":32418,"type":"article-journal","abstract":"This article explains how South African foresters have selected, experimented with and successfully grown Australian genera and species of trees in plantations during the past 130 years. First in the Cape Colony in the 1880s and 1890s, and later elsewhere in South Africa in the twentieth century, foresters developed theoretical techniques to find climates similar to those in southern Africa in order to select exotic species of trees from those regions. They then tested these species in experimental arboreta and plantations across South Africa to select the most successful and valuable species to grow commercially in each area. This globally unique and ultimately successful research programme arose in response to local environmental constraints, an increasing demand for timber, and the difficulties that foresters and white settlers faced when trying to select and grow Australian trees. This article revises historical understandings of the development of silviculture in South Africa and intervenes in current scientific and popular debates over Australian trees in South Africa.","container-title":"Journal of Southern African Studies","DOI":"10.1080/03057070.2011.579434","ISSN":"0305-7070","issue":"2","note":"number: 2\npublisher: Routledge\n_eprint: https://doi.org/10.1080/03057070.2011.579434","page":"265-280","source":"Taylor and Francis+NEJM","title":"Naturalising Australian Trees in South Africa: Climate, Exotics and Experimentation","title-short":"Naturalising Australian Trees in South Africa","URL":"https://doi.org/10.1080/03057070.2011.579434","volume":"37","author":[{"family":"Bennett","given":"Brett M."}],"accessed":{"date-parts":[["2021",12,7]]},"issued":{"date-parts":[["2011",6,1]]}},"label":"page"}],"schema":"https://github.com/citation-style-language/schema/raw/master/csl-citation.json"} </w:instrText>
      </w:r>
      <w:r w:rsidR="007F068B" w:rsidRPr="00DA249F">
        <w:rPr>
          <w:rStyle w:val="normaltextrun"/>
          <w:lang w:val="en-GB"/>
        </w:rPr>
        <w:fldChar w:fldCharType="separate"/>
      </w:r>
      <w:r w:rsidR="00144D96" w:rsidRPr="00144D96">
        <w:t>(Bennett, 2011)</w:t>
      </w:r>
      <w:r w:rsidR="007F068B" w:rsidRPr="00DA249F">
        <w:rPr>
          <w:rStyle w:val="normaltextrun"/>
          <w:lang w:val="en-GB"/>
        </w:rPr>
        <w:fldChar w:fldCharType="end"/>
      </w:r>
      <w:r w:rsidRPr="00DA249F">
        <w:rPr>
          <w:rStyle w:val="normaltextrun"/>
          <w:lang w:val="en-GB"/>
        </w:rPr>
        <w:t>. Of these</w:t>
      </w:r>
      <w:r w:rsidR="00A13D61">
        <w:rPr>
          <w:rStyle w:val="normaltextrun"/>
          <w:lang w:val="en-GB"/>
        </w:rPr>
        <w:t xml:space="preserve"> 70 introduced species,</w:t>
      </w:r>
      <w:r w:rsidRPr="00DA249F">
        <w:rPr>
          <w:rStyle w:val="normaltextrun"/>
          <w:lang w:val="en-GB"/>
        </w:rPr>
        <w:t xml:space="preserve"> 14</w:t>
      </w:r>
      <w:r w:rsidR="00F26E2B">
        <w:rPr>
          <w:rStyle w:val="normaltextrun"/>
          <w:lang w:val="en-GB"/>
        </w:rPr>
        <w:t xml:space="preserve"> </w:t>
      </w:r>
      <w:r w:rsidR="0027582F" w:rsidRPr="00DA249F">
        <w:rPr>
          <w:rStyle w:val="normaltextrun"/>
          <w:lang w:val="en-GB"/>
        </w:rPr>
        <w:t xml:space="preserve">are </w:t>
      </w:r>
      <w:r w:rsidRPr="00DA249F">
        <w:rPr>
          <w:rStyle w:val="normaltextrun"/>
          <w:lang w:val="en-GB"/>
        </w:rPr>
        <w:t xml:space="preserve">now considered </w:t>
      </w:r>
      <w:r w:rsidR="00007AD0" w:rsidRPr="00DA249F">
        <w:rPr>
          <w:rStyle w:val="normaltextrun"/>
          <w:lang w:val="en-GB"/>
        </w:rPr>
        <w:t xml:space="preserve">to be </w:t>
      </w:r>
      <w:r w:rsidRPr="00DA249F">
        <w:rPr>
          <w:rStyle w:val="normaltextrun"/>
          <w:lang w:val="en-GB"/>
        </w:rPr>
        <w:t>invasive</w:t>
      </w:r>
      <w:r w:rsidR="00007AD0" w:rsidRPr="00DA249F">
        <w:rPr>
          <w:rStyle w:val="normaltextrun"/>
          <w:lang w:val="en-GB"/>
        </w:rPr>
        <w:t xml:space="preserve"> alien species</w:t>
      </w:r>
      <w:r w:rsidRPr="00DA249F">
        <w:rPr>
          <w:rStyle w:val="normaltextrun"/>
          <w:lang w:val="en-GB"/>
        </w:rPr>
        <w:t>, four</w:t>
      </w:r>
      <w:r w:rsidR="00A13D61">
        <w:rPr>
          <w:rStyle w:val="normaltextrun"/>
          <w:lang w:val="en-GB"/>
        </w:rPr>
        <w:t xml:space="preserve"> of which</w:t>
      </w:r>
      <w:r w:rsidRPr="00DA249F">
        <w:rPr>
          <w:rStyle w:val="normaltextrun"/>
          <w:lang w:val="en-GB"/>
        </w:rPr>
        <w:t xml:space="preserve"> arose from commercial forestry plantations </w:t>
      </w:r>
      <w:r w:rsidR="007F068B" w:rsidRPr="00DA249F">
        <w:rPr>
          <w:rStyle w:val="normaltextrun"/>
          <w:lang w:val="en-GB"/>
        </w:rPr>
        <w:fldChar w:fldCharType="begin"/>
      </w:r>
      <w:r w:rsidR="00331A79">
        <w:rPr>
          <w:rStyle w:val="normaltextrun"/>
          <w:lang w:val="en-GB"/>
        </w:rPr>
        <w:instrText xml:space="preserve"> ADDIN ZOTERO_ITEM CSL_CITATION {"citationID":"RupDntyE","properties":{"formattedCitation":"(Van Wilgen et al., 2011)","plainCitation":"(Van Wilgen et al., 2011)","noteIndex":0},"citationItems":[{"id":56638,"uris":["http://zotero.org/groups/2352922/items/K2UT8AFL","http://zotero.org/groups/2352922/items/ACIXXJYN"],"itemData":{"id":56638,"type":"article-journal","container-title":"Diversity and Distributions","DOI":"10.1111/j.1472-4642.2011.00785.x","ISSN":"13669516","issue":"5","language":"en","page":"1060-1075","source":"DOI.org (Crossref)","title":"National-scale strategic approaches for managing introduced plants: insights from Australian acacias in South Africa: Strategic approaches for managing introduced acacias","title-short":"National-scale strategic approaches for managing introduced plants","URL":"https://onlinelibrary.wiley.com/doi/10.1111/j.1472-4642.2011.00785.x","volume":"17","author":[{"family":"Van Wilgen","given":"Brian W."},{"family":"Dyer","given":"Colin"},{"family":"Hoffmann","given":"John H."},{"family":"Ivey","given":"Philip"},{"family":"Le Maitre","given":"David C."},{"family":"Moore","given":"Joslin L."},{"family":"Richardson","given":"David M."},{"family":"Rouget","given":"Mathieu"},{"family":"Wannenburgh","given":"Andrew"},{"family":"Wilson","given":"John R. U."}],"accessed":{"date-parts":[["2023",6,8]]},"issued":{"date-parts":[["2011",9]]}},"label":"page"}],"schema":"https://github.com/citation-style-language/schema/raw/master/csl-citation.json"} </w:instrText>
      </w:r>
      <w:r w:rsidR="007F068B" w:rsidRPr="00DA249F">
        <w:rPr>
          <w:rStyle w:val="normaltextrun"/>
          <w:lang w:val="en-GB"/>
        </w:rPr>
        <w:fldChar w:fldCharType="separate"/>
      </w:r>
      <w:r w:rsidR="00186371" w:rsidRPr="00186371">
        <w:t>(Van Wilgen et al., 2011)</w:t>
      </w:r>
      <w:r w:rsidR="007F068B" w:rsidRPr="00DA249F">
        <w:rPr>
          <w:rStyle w:val="normaltextrun"/>
          <w:lang w:val="en-GB"/>
        </w:rPr>
        <w:fldChar w:fldCharType="end"/>
      </w:r>
      <w:r w:rsidRPr="00DA249F">
        <w:rPr>
          <w:rStyle w:val="normaltextrun"/>
          <w:lang w:val="en-GB"/>
        </w:rPr>
        <w:t xml:space="preserve">. </w:t>
      </w:r>
      <w:r w:rsidR="007E3DB6" w:rsidRPr="00DA249F">
        <w:rPr>
          <w:rStyle w:val="normaltextrun"/>
          <w:lang w:val="en-GB"/>
        </w:rPr>
        <w:t>T</w:t>
      </w:r>
      <w:r w:rsidR="38BF5CC0" w:rsidRPr="00DA249F">
        <w:rPr>
          <w:rStyle w:val="normaltextrun"/>
          <w:lang w:val="en-GB"/>
        </w:rPr>
        <w:t>he southern hemisphere (</w:t>
      </w:r>
      <w:r w:rsidR="00C14EEB" w:rsidRPr="00DA249F">
        <w:rPr>
          <w:rStyle w:val="normaltextrun"/>
          <w:lang w:val="en-GB"/>
        </w:rPr>
        <w:t xml:space="preserve">e.g., </w:t>
      </w:r>
      <w:r w:rsidR="38BF5CC0" w:rsidRPr="00DA249F">
        <w:rPr>
          <w:rStyle w:val="normaltextrun"/>
          <w:lang w:val="en-GB"/>
        </w:rPr>
        <w:t xml:space="preserve">South America, Oceania) has been particularly affected by </w:t>
      </w:r>
      <w:r w:rsidR="2CDD5B3E" w:rsidRPr="00DA249F">
        <w:rPr>
          <w:rStyle w:val="normaltextrun"/>
          <w:lang w:val="en-GB"/>
        </w:rPr>
        <w:t xml:space="preserve">tree </w:t>
      </w:r>
      <w:r w:rsidR="38BF5CC0" w:rsidRPr="00DA249F">
        <w:rPr>
          <w:rStyle w:val="normaltextrun"/>
          <w:lang w:val="en-GB"/>
        </w:rPr>
        <w:t>invasions,</w:t>
      </w:r>
      <w:r w:rsidR="00066BF9" w:rsidRPr="00DA249F">
        <w:rPr>
          <w:rStyle w:val="normaltextrun"/>
          <w:lang w:val="en-GB"/>
        </w:rPr>
        <w:t xml:space="preserve"> </w:t>
      </w:r>
      <w:r w:rsidR="38BF5CC0" w:rsidRPr="00DA249F">
        <w:rPr>
          <w:rStyle w:val="normaltextrun"/>
          <w:lang w:val="en-GB"/>
        </w:rPr>
        <w:t>because of the massive scale of commercial plantations and the absence of competi</w:t>
      </w:r>
      <w:r w:rsidR="00F22E5E" w:rsidRPr="00DA249F">
        <w:rPr>
          <w:rStyle w:val="normaltextrun"/>
          <w:lang w:val="en-GB"/>
        </w:rPr>
        <w:t>ti</w:t>
      </w:r>
      <w:r w:rsidR="38BF5CC0" w:rsidRPr="00DA249F">
        <w:rPr>
          <w:rStyle w:val="normaltextrun"/>
          <w:lang w:val="en-GB"/>
        </w:rPr>
        <w:t xml:space="preserve">on by native </w:t>
      </w:r>
      <w:r w:rsidR="614C64A0" w:rsidRPr="00DA249F">
        <w:rPr>
          <w:rStyle w:val="normaltextrun"/>
          <w:lang w:val="en-GB"/>
        </w:rPr>
        <w:t xml:space="preserve">tree </w:t>
      </w:r>
      <w:r w:rsidR="38BF5CC0" w:rsidRPr="00DA249F">
        <w:rPr>
          <w:rStyle w:val="normaltextrun"/>
          <w:lang w:val="en-GB"/>
        </w:rPr>
        <w:t xml:space="preserve">species </w:t>
      </w:r>
      <w:r w:rsidR="007F068B" w:rsidRPr="00DA249F">
        <w:rPr>
          <w:rStyle w:val="normaltextrun"/>
          <w:lang w:val="en-GB"/>
        </w:rPr>
        <w:fldChar w:fldCharType="begin"/>
      </w:r>
      <w:r w:rsidR="00E47460">
        <w:rPr>
          <w:rStyle w:val="normaltextrun"/>
          <w:lang w:val="en-GB"/>
        </w:rPr>
        <w:instrText xml:space="preserve"> ADDIN ZOTERO_ITEM CSL_CITATION {"citationID":"QJkPrzmG","properties":{"formattedCitation":"(Garc\\uc0\\u237{}a et al., 2018; Nu\\uc0\\u241{}ez et al., 2017; Richardson et al., 2021)","plainCitation":"(García et al., 2018; Nuñez et al., 2017; Richardson et al., 2021)","noteIndex":0},"citationItems":[{"id":21597,"uris":["http://zotero.org/groups/2352922/items/2C3WTA2P"],"itemData":{"id":21597,"type":"chapter","container-title":"From Biocultural Homogenization to Biocultural Conservation","event-place":"Cham","ISBN":"978-3-319-99512-0","language":"en","note":"collection-title: Ecology and Ethics\nDOI: 10.1007/978-3-319-99513-7_15","page":"245-263","publisher":"Springer International Publishing","publisher-place":"Cham","source":"DOI.org (Crossref)","title":"Non-native Pines Are Homogenizing the Ecosystems of South America","URL":"http://link.springer.com/10.1007/978-3-319-99513-7_15","volume":"3","editor":[{"family":"Rozzi","given":"Ricardo"},{"family":"May","given":"Roy H."},{"family":"Chapin III","given":"F. Stuart"},{"family":"Massardo","given":"Francisca"},{"family":"Gavin","given":"Michael C."},{"family":"Klaver","given":"Irene J."},{"family":"Pauchard","given":"Aníbal"},{"family":"Nuñez","given":"Martin A."},{"family":"Simberloff","given":"Daniel"}],"author":[{"family":"García","given":"Rafael A."},{"family":"Franzese","given":"Jorgelina"},{"family":"Policelli","given":"Nahuel"},{"family":"Sasal","given":"Yamila"},{"family":"Zenni","given":"Rafael D."},{"family":"Nuñez","given":"Martin A."},{"family":"Taylor","given":"Kimberley"},{"family":"Pauchard","given":"Aníbal"}],"accessed":{"date-parts":[["2020",3,28]]},"issued":{"date-parts":[["2018"]]}},"label":"page"},{"id":10857,"uris":["http://zotero.org/groups/2352922/items/DLQZUNPX"],"itemData":{"id":10857,"type":"article-journal","container-title":"Biological Invasions","DOI":"10.1007/s10530-017-1483-4","ISSN":"1387-3547, 1573-1464","issue":"11","journalAbbreviation":"Biol Invasions","language":"en","page":"3099-3120","source":"DOI.org (Crossref)","title":"Ecology and management of invasive Pinaceae around the world: progress and challenges","title-short":"Ecology and management of invasive Pinaceae around the world","URL":"http://link.springer.com/10.1007/s10530-017-1483-4","volume":"19","author":[{"family":"Nuñez","given":"Martin A."},{"family":"Chiuffo","given":"Mariana C."},{"family":"Torres","given":"Agostina"},{"family":"Paul","given":"Thomas"},{"family":"Dimarco","given":"Romina D."},{"family":"Raal","given":"Peter"},{"family":"Policelli","given":"Nahuel"},{"family":"Moyano","given":"Jaime"},{"family":"García","given":"Rafael A."},{"family":"Wilgen","given":"Brian W.","non-dropping-particle":"van"},{"family":"Pauchard","given":"Aníbal"},{"family":"Richardson","given":"David M."}],"accessed":{"date-parts":[["2019",10,7]]},"issued":{"date-parts":[["2017",11]]}},"label":"page"},{"id":31731,"uris":["http://zotero.org/groups/2352922/items/KGCQ4IPH"],"itemData":{"id":31731,"type":"chapter","container-title":"Global Plant Invasions","language":"en","note":"DOI: 10.1007/978-3-030-89684-3_11","page":"225-252","publisher":"Springer","source":"link.springer.com","title":"Plant invasions in Africa","URL":"https://link.springer.com/book/9783030896836","author":[{"family":"Richardson","given":"David M."},{"family":"Witt","given":"A. B. R."},{"family":"Pergl","given":"J"},{"family":"Dawson","given":"W"},{"family":"Essl","given":"F"},{"family":"Kreft","given":"H"},{"family":"Kleunen","given":"M","non-dropping-particle":"van"},{"family":"Weigelt","given":"P"},{"family":"Winter","given":"M"},{"family":"Pyšek","given":"P"}],"editor":[{"family":"Clements","given":"D R"},{"family":"Upadhyaya","given":"M. K."},{"family":"Joshi","given":"S."},{"family":"Shrestha","given":"A"}],"accessed":{"date-parts":[["2021",11,19]]},"issued":{"date-parts":[["2021"]]}},"label":"page"}],"schema":"https://github.com/citation-style-language/schema/raw/master/csl-citation.json"} </w:instrText>
      </w:r>
      <w:r w:rsidR="007F068B" w:rsidRPr="00DA249F">
        <w:rPr>
          <w:rStyle w:val="normaltextrun"/>
          <w:lang w:val="en-GB"/>
        </w:rPr>
        <w:fldChar w:fldCharType="separate"/>
      </w:r>
      <w:r w:rsidR="00E47460" w:rsidRPr="00E47460">
        <w:rPr>
          <w:szCs w:val="24"/>
        </w:rPr>
        <w:t>(García et al., 2018; Nuñez et al., 2017; Richardson et al., 2021)</w:t>
      </w:r>
      <w:r w:rsidR="007F068B" w:rsidRPr="00DA249F">
        <w:rPr>
          <w:rStyle w:val="normaltextrun"/>
          <w:lang w:val="en-GB"/>
        </w:rPr>
        <w:fldChar w:fldCharType="end"/>
      </w:r>
      <w:r w:rsidR="38BF5CC0" w:rsidRPr="00DA249F">
        <w:rPr>
          <w:rStyle w:val="normaltextrun"/>
          <w:lang w:val="en-GB"/>
        </w:rPr>
        <w:t xml:space="preserve">. </w:t>
      </w:r>
    </w:p>
    <w:p w14:paraId="276B8F0F" w14:textId="534C2768" w:rsidR="001A0E22" w:rsidRPr="00DA249F" w:rsidRDefault="17DF1E1E" w:rsidP="7DBEC757">
      <w:pPr>
        <w:rPr>
          <w:lang w:val="en-GB"/>
        </w:rPr>
      </w:pPr>
      <w:r w:rsidRPr="5575EBFC">
        <w:rPr>
          <w:rStyle w:val="normaltextrun"/>
          <w:lang w:val="en-GB"/>
        </w:rPr>
        <w:t>I</w:t>
      </w:r>
      <w:r w:rsidR="68DAC812" w:rsidRPr="5575EBFC">
        <w:rPr>
          <w:rStyle w:val="normaltextrun"/>
          <w:lang w:val="en-GB"/>
        </w:rPr>
        <w:t xml:space="preserve">ncreased interest in biomass-based energy </w:t>
      </w:r>
      <w:r w:rsidRPr="5575EBFC">
        <w:rPr>
          <w:rStyle w:val="normaltextrun"/>
          <w:lang w:val="en-GB"/>
        </w:rPr>
        <w:t>has</w:t>
      </w:r>
      <w:r w:rsidR="23D0E82A" w:rsidRPr="5575EBFC">
        <w:rPr>
          <w:rStyle w:val="normaltextrun"/>
          <w:lang w:val="en-GB"/>
        </w:rPr>
        <w:t xml:space="preserve"> </w:t>
      </w:r>
      <w:r w:rsidR="1DC9C826" w:rsidRPr="5575EBFC">
        <w:rPr>
          <w:rStyle w:val="normaltextrun"/>
          <w:lang w:val="en-GB"/>
        </w:rPr>
        <w:t xml:space="preserve">increased the use of </w:t>
      </w:r>
      <w:r w:rsidR="109337DE" w:rsidRPr="5575EBFC">
        <w:rPr>
          <w:rStyle w:val="normaltextrun"/>
          <w:lang w:val="en-GB"/>
        </w:rPr>
        <w:t xml:space="preserve">alien </w:t>
      </w:r>
      <w:r w:rsidR="68DAC812" w:rsidRPr="5575EBFC">
        <w:rPr>
          <w:rStyle w:val="normaltextrun"/>
          <w:lang w:val="en-GB"/>
        </w:rPr>
        <w:t>species with rapid growth rates, eas</w:t>
      </w:r>
      <w:r w:rsidR="4B739732" w:rsidRPr="5575EBFC">
        <w:rPr>
          <w:rStyle w:val="normaltextrun"/>
          <w:lang w:val="en-GB"/>
        </w:rPr>
        <w:t>e</w:t>
      </w:r>
      <w:r w:rsidR="68DAC812" w:rsidRPr="5575EBFC">
        <w:rPr>
          <w:rStyle w:val="normaltextrun"/>
          <w:lang w:val="en-GB"/>
        </w:rPr>
        <w:t xml:space="preserve"> of establishment, wide environmental tolerances, and prolific seed production in plantations, characteristics </w:t>
      </w:r>
      <w:r w:rsidR="7B06014D" w:rsidRPr="5575EBFC">
        <w:rPr>
          <w:rStyle w:val="normaltextrun"/>
          <w:lang w:val="en-GB"/>
        </w:rPr>
        <w:t xml:space="preserve">that </w:t>
      </w:r>
      <w:r w:rsidR="68DAC812" w:rsidRPr="5575EBFC">
        <w:rPr>
          <w:rStyle w:val="normaltextrun"/>
          <w:lang w:val="en-GB"/>
        </w:rPr>
        <w:t>also promot</w:t>
      </w:r>
      <w:r w:rsidR="7B06014D" w:rsidRPr="5575EBFC">
        <w:rPr>
          <w:rStyle w:val="normaltextrun"/>
          <w:lang w:val="en-GB"/>
        </w:rPr>
        <w:t xml:space="preserve">e </w:t>
      </w:r>
      <w:r w:rsidR="68DAC812" w:rsidRPr="5575EBFC">
        <w:rPr>
          <w:rStyle w:val="normaltextrun"/>
          <w:lang w:val="en-GB"/>
        </w:rPr>
        <w:t xml:space="preserve">them as </w:t>
      </w:r>
      <w:r w:rsidR="6A444288" w:rsidRPr="5575EBFC">
        <w:rPr>
          <w:rStyle w:val="normaltextrun"/>
          <w:lang w:val="en-GB"/>
        </w:rPr>
        <w:t xml:space="preserve">potential </w:t>
      </w:r>
      <w:r w:rsidR="68DAC812" w:rsidRPr="5575EBFC">
        <w:rPr>
          <w:rStyle w:val="normaltextrun"/>
          <w:lang w:val="en-GB"/>
        </w:rPr>
        <w:t xml:space="preserve">invasive </w:t>
      </w:r>
      <w:r w:rsidR="64DE4BFA" w:rsidRPr="5575EBFC">
        <w:rPr>
          <w:rStyle w:val="normaltextrun"/>
          <w:lang w:val="en-GB"/>
        </w:rPr>
        <w:t xml:space="preserve">alien </w:t>
      </w:r>
      <w:r w:rsidR="68DAC812" w:rsidRPr="5575EBFC">
        <w:rPr>
          <w:rStyle w:val="normaltextrun"/>
          <w:lang w:val="en-GB"/>
        </w:rPr>
        <w:t xml:space="preserve">species </w:t>
      </w:r>
      <w:r w:rsidR="007E23F6" w:rsidRPr="5575EBFC">
        <w:rPr>
          <w:rStyle w:val="normaltextrun"/>
          <w:lang w:val="en-GB"/>
        </w:rPr>
        <w:fldChar w:fldCharType="begin"/>
      </w:r>
      <w:r w:rsidR="00331A79">
        <w:rPr>
          <w:rStyle w:val="normaltextrun"/>
          <w:lang w:val="en-GB"/>
        </w:rPr>
        <w:instrText xml:space="preserve"> ADDIN ZOTERO_ITEM CSL_CITATION {"citationID":"W5tBP1CA","properties":{"formattedCitation":"(Barney &amp; DiTomaso, 2008; Leakey, 2009; Richardson &amp; Blanchard, 2011)","plainCitation":"(Barney &amp; DiTomaso, 2008; Leakey, 2009; Richardson &amp; Blanchard, 2011)","noteIndex":0},"citationItems":[{"id":32615,"uris":["http://zotero.org/groups/2352922/items/IXN6BJEN"],"itemData":{"id":32615,"type":"article-journal","abstract":"Biofuel feedstocks are being selected, bred, and engineered from nonnative taxa to have few resident pests, to tolerate poor growing conditions, and to produce highly competitive monospecific stands—traits that typify much of our invasive flora. We used a weed risk-assessment protocol, which categorizes the risk of becoming invasive on the basis of biogeography, history, biology, and ecology, to qualify the potential invasiveness of three leading biofuel candidate crops—switchgrass, giant reed, and miscanthus (a sterile hybrid)—under various assumptions. Switchgrass was found to have a high invasive potential in California, unless sterility is introduced; giant reed has a high invasive potential in Florida, where large plantations are proposed; miscanthus poses little threat of escape in the United States. Each biofuel crop shares many characteristics with established invasive weeds with a similar life history. We propose genotype-specific preintroduction screening for a target region, which consists of risk analysis, climate-matching modeling, and ecological studies of fitness responses to various environmental scenarios. This screening procedure will provide reasonable assurance that economically beneficial biofuel crops will pose a minimal risk of damaging native and managed environs.","container-title":"BioScience","DOI":"10.1641/B580111","ISSN":"0006-3568","issue":"1","journalAbbreviation":"BioScience","note":"number: 1","page":"64-70","source":"Silverchair","title":"Nonnative Species and Bioenergy: Are We Cultivating the Next Invader?","title-short":"Nonnative Species and Bioenergy","URL":"https://doi.org/10.1641/B580111","volume":"58","author":[{"family":"Barney","given":"Jacob N."},{"family":"DiTomaso","given":"Joseph M."}],"accessed":{"date-parts":[["2021",12,7]]},"issued":{"date-parts":[["2008",1,1]]}},"label":"page"},{"id":32613,"uris":["http://zotero.org/groups/2352922/items/ICAL5I2I"],"itemData":{"id":32613,"type":"article-journal","abstract":"Crops with the C4 photosynthetic pathway are vital to global food supply, particularly in the tropical regions where human well-being and agricultural productivity are most closely linked. While rising atmospheric [CO2] is the driving force behind the greater temperatures and water stress, which threaten to reduce future crop yields, it also has the potential to directly benefit crop physiology. The nature of C4 plant responses to elevated [CO2] has been controversial. Recent evidence from free-air CO2 enrichment (FACE) experiments suggests that elevated [CO2] does not directly stimulate C4 photosynthesis. Nonetheless, drought stress can be ameliorated at elevated [CO2] as a result of lower stomatal conductance and greater intercellular [CO2]. Therefore, unlike C3 crops for which there is a direct enhancement of photosynthesis by elevated [CO2], C4 crops will only benefit from elevated [CO2] in times and places of drought stress. Current projections of future crop yields have assumed that rising [CO2] will directly enhance photosynthesis in all situations and, therefore, are likely to be overly optimistic. Additional experiments are needed to evaluate the extent to which amelioration of drought stress by elevated [CO2] will improve C4 crop yields for food and fuel over the range of C4 crop growing conditions and genotypes.","container-title":"Proceedings of the Royal Society B: Biological Sciences","DOI":"10.1098/rspb.2008.1517","issue":"1666","note":"number: 1666\npublisher: Royal Society","page":"2333-2343","source":"royalsocietypublishing.org (Atypon)","title":"Rising atmospheric carbon dioxide concentration and the future of C4 crops for food and fuel","URL":"https://royalsocietypublishing.org/doi/10.1098/rspb.2008.1517","volume":"276","author":[{"family":"Leakey","given":"Andrew D.B."}],"accessed":{"date-parts":[["2021",12,7]]},"issued":{"date-parts":[["2009",7,7]]}},"label":"page"},{"id":32934,"uris":["http://zotero.org/groups/2352922/items/ZIHQX5B2"],"itemData":{"id":32934,"type":"article-journal","container-title":"Current Opinion in Environmental Sustainability","DOI":"10.1016/j.cosust.2010.11.006","ISSN":"18773435","issue":"1-2","journalAbbreviation":"Current Opinion in Environmental Sustainability","language":"en","note":"number: 1-2\ncontainer-title: Current Opinion in Environmental Sustainability","page":"36-42","source":"DOI.org (Crossref)","title":"Learning from our mistakes: minimizing problems with invasive biofuel plants","title-short":"Learning from our mistakes","URL":"https://linkinghub.elsevier.com/retrieve/pii/S187734351000134X","volume":"3","author":[{"family":"Richardson","given":"David M."},{"family":"Blanchard","given":"Ryan"}],"accessed":{"date-parts":[["2019",12,5]]},"issued":{"date-parts":[["2011",3]]}},"label":"page"}],"schema":"https://github.com/citation-style-language/schema/raw/master/csl-citation.json"} </w:instrText>
      </w:r>
      <w:r w:rsidR="007E23F6" w:rsidRPr="5575EBFC">
        <w:rPr>
          <w:rStyle w:val="normaltextrun"/>
          <w:lang w:val="en-GB"/>
        </w:rPr>
        <w:fldChar w:fldCharType="separate"/>
      </w:r>
      <w:r w:rsidR="6B5F9B9E">
        <w:t>(Barney &amp; DiTomaso, 2008; Leakey, 2009; Richardson &amp; Blanchard, 2011)</w:t>
      </w:r>
      <w:r w:rsidR="007E23F6" w:rsidRPr="5575EBFC">
        <w:rPr>
          <w:rStyle w:val="normaltextrun"/>
          <w:lang w:val="en-GB"/>
        </w:rPr>
        <w:fldChar w:fldCharType="end"/>
      </w:r>
      <w:r w:rsidR="68DAC812" w:rsidRPr="5575EBFC">
        <w:rPr>
          <w:rStyle w:val="normaltextrun"/>
          <w:lang w:val="en-GB"/>
        </w:rPr>
        <w:t>. Across the south</w:t>
      </w:r>
      <w:r w:rsidR="155C1677" w:rsidRPr="5575EBFC">
        <w:rPr>
          <w:rStyle w:val="normaltextrun"/>
          <w:lang w:val="en-GB"/>
        </w:rPr>
        <w:t>-</w:t>
      </w:r>
      <w:r w:rsidR="68DAC812" w:rsidRPr="5575EBFC">
        <w:rPr>
          <w:rStyle w:val="normaltextrun"/>
          <w:lang w:val="en-GB"/>
        </w:rPr>
        <w:t>eastern U</w:t>
      </w:r>
      <w:r w:rsidR="5C9EF537" w:rsidRPr="5575EBFC">
        <w:rPr>
          <w:rStyle w:val="normaltextrun"/>
          <w:lang w:val="en-GB"/>
        </w:rPr>
        <w:t xml:space="preserve">nited </w:t>
      </w:r>
      <w:r w:rsidR="68DAC812" w:rsidRPr="5575EBFC">
        <w:rPr>
          <w:rStyle w:val="normaltextrun"/>
          <w:lang w:val="en-GB"/>
        </w:rPr>
        <w:t>S</w:t>
      </w:r>
      <w:r w:rsidR="5C9EF537" w:rsidRPr="5575EBFC">
        <w:rPr>
          <w:rStyle w:val="normaltextrun"/>
          <w:lang w:val="en-GB"/>
        </w:rPr>
        <w:t>tates</w:t>
      </w:r>
      <w:r w:rsidR="68DAC812" w:rsidRPr="5575EBFC">
        <w:rPr>
          <w:rStyle w:val="normaltextrun"/>
          <w:lang w:val="en-GB"/>
        </w:rPr>
        <w:t xml:space="preserve">, </w:t>
      </w:r>
      <w:r w:rsidR="68DAC812" w:rsidRPr="5575EBFC">
        <w:rPr>
          <w:rStyle w:val="normaltextrun"/>
          <w:i/>
          <w:iCs/>
          <w:lang w:val="en-GB"/>
        </w:rPr>
        <w:t>Eucalyptus</w:t>
      </w:r>
      <w:r w:rsidR="68DAC812" w:rsidRPr="5575EBFC">
        <w:rPr>
          <w:rStyle w:val="normaltextrun"/>
          <w:lang w:val="en-GB"/>
        </w:rPr>
        <w:t xml:space="preserve"> species are commonly utilized for bio-energy </w:t>
      </w:r>
      <w:r w:rsidR="007E23F6" w:rsidRPr="5575EBFC">
        <w:rPr>
          <w:rStyle w:val="normaltextrun"/>
          <w:lang w:val="en-GB"/>
        </w:rPr>
        <w:fldChar w:fldCharType="begin"/>
      </w:r>
      <w:r w:rsidR="00FF0069">
        <w:rPr>
          <w:rStyle w:val="normaltextrun"/>
          <w:lang w:val="en-GB"/>
        </w:rPr>
        <w:instrText xml:space="preserve"> ADDIN ZOTERO_ITEM CSL_CITATION {"citationID":"FyJQfoaT","properties":{"formattedCitation":"(Callaham et al., 2013; Lorentz &amp; Minogue, 2015)","plainCitation":"(Callaham et al., 2013; Lorentz &amp; Minogue, 2015)","noteIndex":0},"citationItems":[{"id":32612,"uris":["http://zotero.org/groups/2352922/items/XBULZD3B"],"itemData":{"id":32612,"type":"article-journal","abstract":"Interest in biomass-based energy in the southeastern Unites States has led to increased need for fast-growing tree species. Several Eucalyptus species exhibit characteristics that make them attractive in the bioenergy context. However, some of these also possess traits that suggest they could become invasive. To make a preliminary assessment of the risk of seedling establishment in the vicinity of Eucalyptus plantations, we conducted surveys at 3 sites in South Carolina and 16 sites in Florida. In South Carolina, no seedlings were detected in any sample transect. In Florida, we found seedlings within the boundaries of Eucalyptus plantations at 4 of the 16 sites surveyed. We also detected seedlings outside the boundaries of these same four plantations, but only two seedlings were detected at distances &gt;45 m from plantation boundaries. All seedlings from Florida were either E. amplifolia, E. robusta, or E. grandis. The most predictive variable evaluated was latitude, with 27°N being the highest latitude at which seedlings established with regularity. Results of this survey indicate that, under current conditions, the spread of Eucalyptus spp. from plantations should be possible to manage with appropriate monitoring, but this should be evaluated further before Eucalyptus spp. are adopted for widespread planting.","container-title":"International Journal of Forestry Research","DOI":"10.1155/2013/946374","ISSN":"1687-9368","language":"en","note":"publisher: Hindawi","page":"e946374","source":"www.hindawi.com","title":"Survey to Evaluate Escape of &lt;i&gt;Eucalyptus&lt;/i&gt; spp. Seedlings from Plantations in Southeastern USA","URL":"https://www.hindawi.com/journals/ijfr/2013/946374/","volume":"2013","author":[{"family":"Callaham","given":"Mac A."},{"family":"Stanturf","given":"John A."},{"family":"Hammond","given":"William J."},{"family":"Rockwood","given":"Donald L."},{"family":"Wenk","given":"Evelyn S."},{"family":"O'Brien","given":"Joseph J."}],"accessed":{"date-parts":[["2021",12,7]]},"issued":{"date-parts":[["2013",1,17]]}},"label":"page"},{"id":32614,"uris":["http://zotero.org/groups/2352922/items/ZXK44AUZ"],"itemData":{"id":32614,"type":"article-journal","abstract":"As eucalyptus cultivation increases in the southeastern United States to provide feedstock for pulpwood, landscape mulch and an emerging bioenergy market, there is concern regarding potential invasiveness. Recently, models to predict the likelihood of invasiveness have produced conflicting results. Our uncertainty about invasion risk and the relative values we hold for environmental and industry protection will influence which management options and policies are pursued. Here we synthesize the essential practices and barriers to potential eucalyptus spread relative to different stages of the invasion process. Additionally, we offer a discussion of social and economic implications of the possible policies and regulatory techniques for mitigating future problems, with an emphasis on the often-recommended precautionary approach. We highlight future research needs and emphasize a landscape level, collaborative adaptive management approach.","container-title":"Biological Invasions","DOI":"10.1007/s10530-015-0844-0","ISSN":"1573-1464","issue":"6","journalAbbreviation":"Biol Invasions","language":"en","note":"number: 6","page":"1581-1593","source":"Springer Link","title":"Exotic &lt;i&gt;Eucalyptus&lt;/i&gt; plantations in the southeastern US: risk assessment, management and policy approaches","title-short":"Exotic Eucalyptus plantations in the southeastern US","URL":"https://doi.org/10.1007/s10530-015-0844-0","volume":"17","author":[{"family":"Lorentz","given":"Kimberly A."},{"family":"Minogue","given":"Patrick J."}],"accessed":{"date-parts":[["2021",12,7]]},"issued":{"date-parts":[["2015",6,1]]}},"label":"page"}],"schema":"https://github.com/citation-style-language/schema/raw/master/csl-citation.json"} </w:instrText>
      </w:r>
      <w:r w:rsidR="007E23F6" w:rsidRPr="5575EBFC">
        <w:rPr>
          <w:rStyle w:val="normaltextrun"/>
          <w:lang w:val="en-GB"/>
        </w:rPr>
        <w:fldChar w:fldCharType="separate"/>
      </w:r>
      <w:r w:rsidR="6B5F9B9E">
        <w:t>(Callaham et al., 2013; Lorentz &amp; Minogue, 2015)</w:t>
      </w:r>
      <w:r w:rsidR="007E23F6" w:rsidRPr="5575EBFC">
        <w:rPr>
          <w:rStyle w:val="normaltextrun"/>
          <w:lang w:val="en-GB"/>
        </w:rPr>
        <w:fldChar w:fldCharType="end"/>
      </w:r>
      <w:r w:rsidR="68DAC812" w:rsidRPr="5575EBFC">
        <w:rPr>
          <w:rStyle w:val="normaltextrun"/>
          <w:lang w:val="en-GB"/>
        </w:rPr>
        <w:t xml:space="preserve">, </w:t>
      </w:r>
      <w:r w:rsidR="3CB6747B" w:rsidRPr="5575EBFC">
        <w:rPr>
          <w:rStyle w:val="normaltextrun"/>
          <w:lang w:val="en-GB"/>
        </w:rPr>
        <w:t xml:space="preserve">and have the </w:t>
      </w:r>
      <w:r w:rsidR="68DAC812" w:rsidRPr="5575EBFC">
        <w:rPr>
          <w:rStyle w:val="normaltextrun"/>
          <w:lang w:val="en-GB"/>
        </w:rPr>
        <w:t>potential to invade surroundings</w:t>
      </w:r>
      <w:r w:rsidR="00F26E2B">
        <w:rPr>
          <w:rStyle w:val="normaltextrun"/>
          <w:lang w:val="en-GB"/>
        </w:rPr>
        <w:t xml:space="preserve"> </w:t>
      </w:r>
      <w:r w:rsidR="68DAC812" w:rsidRPr="5575EBFC">
        <w:rPr>
          <w:rStyle w:val="normaltextrun"/>
          <w:lang w:val="en-GB"/>
        </w:rPr>
        <w:t xml:space="preserve">woodlands </w:t>
      </w:r>
      <w:r w:rsidR="007E23F6" w:rsidRPr="5575EBFC">
        <w:rPr>
          <w:rStyle w:val="normaltextrun"/>
          <w:lang w:val="en-GB"/>
        </w:rPr>
        <w:fldChar w:fldCharType="begin"/>
      </w:r>
      <w:r w:rsidR="00FF0069">
        <w:rPr>
          <w:rStyle w:val="normaltextrun"/>
          <w:lang w:val="en-GB"/>
        </w:rPr>
        <w:instrText xml:space="preserve"> ADDIN ZOTERO_ITEM CSL_CITATION {"citationID":"xMxJaoYU","properties":{"formattedCitation":"(Callaham et al., 2013)","plainCitation":"(Callaham et al., 2013)","noteIndex":0},"citationItems":[{"id":32612,"uris":["http://zotero.org/groups/2352922/items/XBULZD3B"],"itemData":{"id":32612,"type":"article-journal","abstract":"Interest in biomass-based energy in the southeastern Unites States has led to increased need for fast-growing tree species. Several Eucalyptus species exhibit characteristics that make them attractive in the bioenergy context. However, some of these also possess traits that suggest they could become invasive. To make a preliminary assessment of the risk of seedling establishment in the vicinity of Eucalyptus plantations, we conducted surveys at 3 sites in South Carolina and 16 sites in Florida. In South Carolina, no seedlings were detected in any sample transect. In Florida, we found seedlings within the boundaries of Eucalyptus plantations at 4 of the 16 sites surveyed. We also detected seedlings outside the boundaries of these same four plantations, but only two seedlings were detected at distances &gt;45 m from plantation boundaries. All seedlings from Florida were either E. amplifolia, E. robusta, or E. grandis. The most predictive variable evaluated was latitude, with 27°N being the highest latitude at which seedlings established with regularity. Results of this survey indicate that, under current conditions, the spread of Eucalyptus spp. from plantations should be possible to manage with appropriate monitoring, but this should be evaluated further before Eucalyptus spp. are adopted for widespread planting.","container-title":"International Journal of Forestry Research","DOI":"10.1155/2013/946374","ISSN":"1687-9368","language":"en","note":"publisher: Hindawi","page":"e946374","source":"www.hindawi.com","title":"Survey to Evaluate Escape of &lt;i&gt;Eucalyptus&lt;/i&gt; spp. Seedlings from Plantations in Southeastern USA","URL":"https://www.hindawi.com/journals/ijfr/2013/946374/","volume":"2013","author":[{"family":"Callaham","given":"Mac A."},{"family":"Stanturf","given":"John A."},{"family":"Hammond","given":"William J."},{"family":"Rockwood","given":"Donald L."},{"family":"Wenk","given":"Evelyn S."},{"family":"O'Brien","given":"Joseph J."}],"accessed":{"date-parts":[["2021",12,7]]},"issued":{"date-parts":[["2013",1,17]]}}}],"schema":"https://github.com/citation-style-language/schema/raw/master/csl-citation.json"} </w:instrText>
      </w:r>
      <w:r w:rsidR="007E23F6" w:rsidRPr="5575EBFC">
        <w:rPr>
          <w:rStyle w:val="normaltextrun"/>
          <w:lang w:val="en-GB"/>
        </w:rPr>
        <w:fldChar w:fldCharType="separate"/>
      </w:r>
      <w:r w:rsidR="6B5F9B9E">
        <w:t>(Callaham et al., 2013)</w:t>
      </w:r>
      <w:r w:rsidR="007E23F6" w:rsidRPr="5575EBFC">
        <w:rPr>
          <w:rStyle w:val="normaltextrun"/>
          <w:lang w:val="en-GB"/>
        </w:rPr>
        <w:fldChar w:fldCharType="end"/>
      </w:r>
      <w:r w:rsidR="68DAC812" w:rsidRPr="5575EBFC">
        <w:rPr>
          <w:rStyle w:val="normaltextrun"/>
          <w:lang w:val="en-GB"/>
        </w:rPr>
        <w:t>. Large stature grasses</w:t>
      </w:r>
      <w:r w:rsidR="75A67E95" w:rsidRPr="5575EBFC">
        <w:rPr>
          <w:rStyle w:val="normaltextrun"/>
          <w:lang w:val="en-GB"/>
        </w:rPr>
        <w:t>,</w:t>
      </w:r>
      <w:r w:rsidR="68DAC812" w:rsidRPr="5575EBFC">
        <w:rPr>
          <w:rStyle w:val="normaltextrun"/>
          <w:lang w:val="en-GB"/>
        </w:rPr>
        <w:t xml:space="preserve"> such as bamboo</w:t>
      </w:r>
      <w:r w:rsidR="75A67E95" w:rsidRPr="5575EBFC">
        <w:rPr>
          <w:rStyle w:val="normaltextrun"/>
          <w:lang w:val="en-GB"/>
        </w:rPr>
        <w:t>,</w:t>
      </w:r>
      <w:r w:rsidR="68DAC812" w:rsidRPr="5575EBFC">
        <w:rPr>
          <w:rStyle w:val="normaltextrun"/>
          <w:lang w:val="en-GB"/>
        </w:rPr>
        <w:t xml:space="preserve"> are also used as common biofuel crops, with </w:t>
      </w:r>
      <w:r w:rsidR="21879DD1" w:rsidRPr="5575EBFC">
        <w:rPr>
          <w:rStyle w:val="normaltextrun"/>
          <w:lang w:val="en-GB"/>
        </w:rPr>
        <w:t>“</w:t>
      </w:r>
      <w:r w:rsidR="68DAC812" w:rsidRPr="5575EBFC">
        <w:rPr>
          <w:rStyle w:val="normaltextrun"/>
          <w:lang w:val="en-GB"/>
        </w:rPr>
        <w:t>running</w:t>
      </w:r>
      <w:r w:rsidR="21879DD1" w:rsidRPr="5575EBFC">
        <w:rPr>
          <w:rStyle w:val="normaltextrun"/>
          <w:lang w:val="en-GB"/>
        </w:rPr>
        <w:t>”</w:t>
      </w:r>
      <w:r w:rsidR="68DAC812" w:rsidRPr="5575EBFC">
        <w:rPr>
          <w:rStyle w:val="normaltextrun"/>
          <w:lang w:val="en-GB"/>
        </w:rPr>
        <w:t xml:space="preserve"> bamboo species noted to present a significantly higher risk of </w:t>
      </w:r>
      <w:r w:rsidR="44B8703D" w:rsidRPr="5575EBFC">
        <w:rPr>
          <w:rStyle w:val="normaltextrun"/>
          <w:lang w:val="en-GB"/>
        </w:rPr>
        <w:t xml:space="preserve">biological </w:t>
      </w:r>
      <w:r w:rsidR="68DAC812" w:rsidRPr="5575EBFC">
        <w:rPr>
          <w:rStyle w:val="normaltextrun"/>
          <w:lang w:val="en-GB"/>
        </w:rPr>
        <w:t xml:space="preserve">invasion than </w:t>
      </w:r>
      <w:r w:rsidR="21879DD1" w:rsidRPr="5575EBFC">
        <w:rPr>
          <w:rStyle w:val="normaltextrun"/>
          <w:lang w:val="en-GB"/>
        </w:rPr>
        <w:t>“</w:t>
      </w:r>
      <w:r w:rsidR="68DAC812" w:rsidRPr="5575EBFC">
        <w:rPr>
          <w:rStyle w:val="normaltextrun"/>
          <w:lang w:val="en-GB"/>
        </w:rPr>
        <w:t>clumping</w:t>
      </w:r>
      <w:r w:rsidR="21879DD1" w:rsidRPr="5575EBFC">
        <w:rPr>
          <w:rStyle w:val="normaltextrun"/>
          <w:lang w:val="en-GB"/>
        </w:rPr>
        <w:t>”</w:t>
      </w:r>
      <w:r w:rsidR="68DAC812" w:rsidRPr="5575EBFC">
        <w:rPr>
          <w:rStyle w:val="normaltextrun"/>
          <w:lang w:val="en-GB"/>
        </w:rPr>
        <w:t xml:space="preserve"> species </w:t>
      </w:r>
      <w:r w:rsidR="007E23F6" w:rsidRPr="5575EBFC">
        <w:rPr>
          <w:rStyle w:val="normaltextrun"/>
          <w:lang w:val="en-GB"/>
        </w:rPr>
        <w:fldChar w:fldCharType="begin"/>
      </w:r>
      <w:r w:rsidR="00331A79">
        <w:rPr>
          <w:rStyle w:val="normaltextrun"/>
          <w:lang w:val="en-GB"/>
        </w:rPr>
        <w:instrText xml:space="preserve"> ADDIN ZOTERO_ITEM CSL_CITATION {"citationID":"xXNKu7ua","properties":{"formattedCitation":"(Lieurance et al., 2018)","plainCitation":"(Lieurance et al., 2018)","noteIndex":0},"citationItems":[{"id":33104,"uris":["http://zotero.org/groups/2352922/items/A5VUQC2U"],"itemData":{"id":33104,"type":"article-journal","abstract":"Bamboo species have been promoted for utility in both biomass and pulp production because of their high productivity. However, some bamboo species are known to be problematic invaders. Our goal was to use a weed risk assessment (WRA) tool to evaluate and compare invasion risk of non-native running and clumping bamboo species, many of which are under consideration as paper pulp and bioenergy crops...","container-title":"Journal for Nature Conservation","DOI":"10.1016/j.jnc.2018.02.012","ISSN":"1617-1381","language":"English","note":"publisher: Elsevier GmbH","page":"39-45","source":"www.cabdirect.org","title":"Running bamboo species pose a greater invasion risk than clumping bamboo species in the continental United States.","URL":"https://www.sciencedirect.com/science/article/abs/pii/S1617138117301243","volume":"43","author":[{"family":"Lieurance","given":"Deah"},{"family":"Cooper","given":"Aimee"},{"family":"Young","given":"Austin L."},{"family":"Gordon","given":"Doria R."},{"family":"Flory","given":"S. Luke"}],"accessed":{"date-parts":[["2021",12,7]]},"issued":{"date-parts":[["2018"]]}},"label":"page"}],"schema":"https://github.com/citation-style-language/schema/raw/master/csl-citation.json"} </w:instrText>
      </w:r>
      <w:r w:rsidR="007E23F6" w:rsidRPr="5575EBFC">
        <w:rPr>
          <w:rStyle w:val="normaltextrun"/>
          <w:lang w:val="en-GB"/>
        </w:rPr>
        <w:fldChar w:fldCharType="separate"/>
      </w:r>
      <w:r w:rsidR="6B5F9B9E">
        <w:t>(Lieurance et al., 2018)</w:t>
      </w:r>
      <w:r w:rsidR="007E23F6" w:rsidRPr="5575EBFC">
        <w:rPr>
          <w:rStyle w:val="normaltextrun"/>
          <w:lang w:val="en-GB"/>
        </w:rPr>
        <w:fldChar w:fldCharType="end"/>
      </w:r>
      <w:r w:rsidR="68DAC812" w:rsidRPr="5575EBFC">
        <w:rPr>
          <w:rStyle w:val="normaltextrun"/>
          <w:lang w:val="en-GB"/>
        </w:rPr>
        <w:t xml:space="preserve">. The perennial grasses </w:t>
      </w:r>
      <w:r w:rsidR="68DAC812" w:rsidRPr="5575EBFC">
        <w:rPr>
          <w:rStyle w:val="normaltextrun"/>
          <w:i/>
          <w:iCs/>
          <w:lang w:val="en-GB"/>
        </w:rPr>
        <w:t xml:space="preserve">Miscanthus sinensis </w:t>
      </w:r>
      <w:r w:rsidR="3C39229D" w:rsidRPr="5575EBFC">
        <w:rPr>
          <w:rStyle w:val="normaltextrun"/>
          <w:lang w:val="en-GB"/>
        </w:rPr>
        <w:t>(eulalia)</w:t>
      </w:r>
      <w:r w:rsidR="3C39229D" w:rsidRPr="5575EBFC">
        <w:rPr>
          <w:rStyle w:val="normaltextrun"/>
          <w:i/>
          <w:iCs/>
          <w:lang w:val="en-GB"/>
        </w:rPr>
        <w:t xml:space="preserve"> </w:t>
      </w:r>
      <w:r w:rsidR="68DAC812" w:rsidRPr="5575EBFC">
        <w:rPr>
          <w:rStyle w:val="normaltextrun"/>
          <w:lang w:val="en-GB"/>
        </w:rPr>
        <w:t xml:space="preserve">and </w:t>
      </w:r>
      <w:r w:rsidR="68DAC812" w:rsidRPr="5575EBFC">
        <w:rPr>
          <w:rStyle w:val="normaltextrun"/>
          <w:i/>
          <w:iCs/>
          <w:lang w:val="en-GB"/>
        </w:rPr>
        <w:t>Miscanthus sacchariflorus</w:t>
      </w:r>
      <w:r w:rsidR="3C39229D" w:rsidRPr="5575EBFC">
        <w:rPr>
          <w:rStyle w:val="normaltextrun"/>
          <w:i/>
          <w:iCs/>
          <w:lang w:val="en-GB"/>
        </w:rPr>
        <w:t xml:space="preserve"> </w:t>
      </w:r>
      <w:r w:rsidR="3C39229D" w:rsidRPr="5575EBFC">
        <w:rPr>
          <w:rStyle w:val="normaltextrun"/>
          <w:lang w:val="en-GB"/>
        </w:rPr>
        <w:t>(Amur silvergrass)</w:t>
      </w:r>
      <w:r w:rsidR="68DAC812" w:rsidRPr="5575EBFC">
        <w:rPr>
          <w:rStyle w:val="normaltextrun"/>
          <w:lang w:val="en-GB"/>
        </w:rPr>
        <w:t>,</w:t>
      </w:r>
      <w:r w:rsidR="68DAC812" w:rsidRPr="5575EBFC">
        <w:rPr>
          <w:rStyle w:val="normaltextrun"/>
          <w:i/>
          <w:iCs/>
          <w:lang w:val="en-GB"/>
        </w:rPr>
        <w:t xml:space="preserve"> </w:t>
      </w:r>
      <w:r w:rsidR="68DAC812" w:rsidRPr="5575EBFC">
        <w:rPr>
          <w:rStyle w:val="normaltextrun"/>
          <w:lang w:val="en-GB"/>
        </w:rPr>
        <w:t>planted for ornamental and biofuel uses, also pose high risks across Europe and North America, especially in grassland and tall herb vegetation, ruderal habitats</w:t>
      </w:r>
      <w:r w:rsidR="00774819">
        <w:rPr>
          <w:rStyle w:val="normaltextrun"/>
          <w:lang w:val="en-GB"/>
        </w:rPr>
        <w:t xml:space="preserve"> </w:t>
      </w:r>
      <w:r w:rsidR="00774819">
        <w:rPr>
          <w:rStyle w:val="normaltextrun"/>
          <w:lang w:val="en-GB"/>
        </w:rPr>
        <w:lastRenderedPageBreak/>
        <w:t>and</w:t>
      </w:r>
      <w:r w:rsidR="68DAC812" w:rsidRPr="5575EBFC">
        <w:rPr>
          <w:rStyle w:val="normaltextrun"/>
          <w:lang w:val="en-GB"/>
        </w:rPr>
        <w:t xml:space="preserve"> roadsides </w:t>
      </w:r>
      <w:r w:rsidR="007E23F6" w:rsidRPr="5575EBFC">
        <w:rPr>
          <w:rStyle w:val="normaltextrun"/>
          <w:lang w:val="en-GB"/>
        </w:rPr>
        <w:fldChar w:fldCharType="begin"/>
      </w:r>
      <w:r w:rsidR="00331A79">
        <w:rPr>
          <w:rStyle w:val="normaltextrun"/>
          <w:lang w:val="en-GB"/>
        </w:rPr>
        <w:instrText xml:space="preserve"> ADDIN ZOTERO_ITEM CSL_CITATION {"citationID":"hNO4Pwmp","properties":{"formattedCitation":"(Schnitzler &amp; Essl, 2015)","plainCitation":"(Schnitzler &amp; Essl, 2015)","noteIndex":0},"citationItems":[{"id":32611,"uris":["http://zotero.org/groups/2352922/items/2D8PJLRX"],"itemData":{"id":32611,"type":"article-journal","abstract":"Species of the genus Miscanthus (Poaceae) have recently become widely planted for ornamental and industrial uses. Yet these large perennial grasses have several traits that suggest a high invasion potential. To inform the debate on the benefits and risks of introducing these new biofuel crops, this publication summarises the invasion of Miscanthus species in Europe and the USA. Databases from North America were interrogated, and occurrence data from a variety of European sources were examined. In both continents, M. sinensis and M. sacchariflorus have recently spread rapidly, although invasion started earlier in the USA and both species are more widespread there. Both species mostly colonise grasslands and ruderal habitats. In addition, some escapes of the hybrid M. × giganteus, which has a particularly strong invasion potential because of its vigorous growth and greater capacity to establish in cool climates, have already been recorded. We conclude that the invasion potential of Miscanthus species needs to be thoroughly tested, the incipient invasions in Europe and the USA monitored and, if required, planting restrictions should be adopted.","container-title":"Weed Research","DOI":"10.1111/wre.12141","ISSN":"1365-3180","issue":"3","language":"en","note":"number: 3\n_eprint: https://onlinelibrary.wiley.com/doi/pdf/10.1111/wre.12141","page":"221-225","source":"Wiley Online Library","title":"From horticulture and biofuel to invasion: the spread of &lt;i&gt;Miscanthus&lt;/i&gt; taxa in the USA and Europe","title-short":"From horticulture and biofuel to invasion","URL":"https://onlinelibrary.wiley.com/doi/abs/10.1111/wre.12141","volume":"55","author":[{"family":"Schnitzler","given":"A"},{"family":"Essl","given":"F"}],"accessed":{"date-parts":[["2021",12,7]]},"issued":{"date-parts":[["2015"]]}},"label":"page"}],"schema":"https://github.com/citation-style-language/schema/raw/master/csl-citation.json"} </w:instrText>
      </w:r>
      <w:r w:rsidR="007E23F6" w:rsidRPr="5575EBFC">
        <w:rPr>
          <w:rStyle w:val="normaltextrun"/>
          <w:lang w:val="en-GB"/>
        </w:rPr>
        <w:fldChar w:fldCharType="separate"/>
      </w:r>
      <w:r w:rsidR="6B5F9B9E">
        <w:t>(Schnitzler &amp; Essl, 2015)</w:t>
      </w:r>
      <w:r w:rsidR="007E23F6" w:rsidRPr="5575EBFC">
        <w:rPr>
          <w:rStyle w:val="normaltextrun"/>
          <w:lang w:val="en-GB"/>
        </w:rPr>
        <w:fldChar w:fldCharType="end"/>
      </w:r>
      <w:r w:rsidR="68DAC812" w:rsidRPr="5575EBFC">
        <w:rPr>
          <w:rStyle w:val="normaltextrun"/>
          <w:lang w:val="en-GB"/>
        </w:rPr>
        <w:t xml:space="preserve">. Climate modelling indicates </w:t>
      </w:r>
      <w:r w:rsidR="68DAC812" w:rsidRPr="5575EBFC">
        <w:rPr>
          <w:rStyle w:val="normaltextrun"/>
          <w:i/>
          <w:iCs/>
          <w:lang w:val="en-GB"/>
        </w:rPr>
        <w:t xml:space="preserve">Miscanthus </w:t>
      </w:r>
      <w:r w:rsidR="26E40C6A" w:rsidRPr="5575EBFC">
        <w:rPr>
          <w:rStyle w:val="normaltextrun"/>
          <w:lang w:val="en-GB"/>
        </w:rPr>
        <w:t>(silvergrass)</w:t>
      </w:r>
      <w:r w:rsidR="26E40C6A" w:rsidRPr="5575EBFC">
        <w:rPr>
          <w:rStyle w:val="normaltextrun"/>
          <w:i/>
          <w:iCs/>
          <w:lang w:val="en-GB"/>
        </w:rPr>
        <w:t xml:space="preserve"> </w:t>
      </w:r>
      <w:r w:rsidR="68DAC812" w:rsidRPr="5575EBFC">
        <w:rPr>
          <w:rStyle w:val="normaltextrun"/>
          <w:lang w:val="en-GB"/>
        </w:rPr>
        <w:t xml:space="preserve">species have </w:t>
      </w:r>
      <w:r w:rsidR="000A062E" w:rsidRPr="5575EBFC">
        <w:rPr>
          <w:rStyle w:val="normaltextrun"/>
          <w:lang w:val="en-GB"/>
        </w:rPr>
        <w:t>already</w:t>
      </w:r>
      <w:r w:rsidR="68DAC812" w:rsidRPr="5575EBFC">
        <w:rPr>
          <w:rStyle w:val="normaltextrun"/>
          <w:lang w:val="en-GB"/>
        </w:rPr>
        <w:t xml:space="preserve"> been introduced to most of the suitab</w:t>
      </w:r>
      <w:r w:rsidR="68DAC812" w:rsidRPr="5575EBFC">
        <w:rPr>
          <w:lang w:val="en-GB"/>
        </w:rPr>
        <w:t xml:space="preserve">le </w:t>
      </w:r>
      <w:r w:rsidR="000A062E" w:rsidRPr="5575EBFC">
        <w:rPr>
          <w:lang w:val="en-GB"/>
        </w:rPr>
        <w:t xml:space="preserve">regions in the </w:t>
      </w:r>
      <w:r w:rsidR="68DAC812" w:rsidRPr="5575EBFC">
        <w:rPr>
          <w:lang w:val="en-GB"/>
        </w:rPr>
        <w:t xml:space="preserve">northern hemisphere, </w:t>
      </w:r>
      <w:r w:rsidR="000A062E" w:rsidRPr="5575EBFC">
        <w:rPr>
          <w:lang w:val="en-GB"/>
        </w:rPr>
        <w:t>whereas there is climatic potential for further expansion</w:t>
      </w:r>
      <w:r w:rsidR="327DEDDD" w:rsidRPr="5575EBFC">
        <w:rPr>
          <w:lang w:val="en-GB"/>
        </w:rPr>
        <w:t xml:space="preserve"> in the</w:t>
      </w:r>
      <w:r w:rsidR="68DAC812" w:rsidRPr="5575EBFC">
        <w:rPr>
          <w:lang w:val="en-GB"/>
        </w:rPr>
        <w:t xml:space="preserve"> southern hemisphere, suggesting </w:t>
      </w:r>
      <w:r w:rsidR="000A062E" w:rsidRPr="5575EBFC">
        <w:rPr>
          <w:lang w:val="en-GB"/>
        </w:rPr>
        <w:t xml:space="preserve">increased </w:t>
      </w:r>
      <w:r w:rsidR="68DAC812" w:rsidRPr="5575EBFC">
        <w:rPr>
          <w:lang w:val="en-GB"/>
        </w:rPr>
        <w:t xml:space="preserve">future </w:t>
      </w:r>
      <w:r w:rsidR="44B8703D" w:rsidRPr="5575EBFC">
        <w:rPr>
          <w:lang w:val="en-GB"/>
        </w:rPr>
        <w:t xml:space="preserve">biological </w:t>
      </w:r>
      <w:r w:rsidR="68DAC812" w:rsidRPr="5575EBFC">
        <w:rPr>
          <w:lang w:val="en-GB"/>
        </w:rPr>
        <w:t xml:space="preserve">invasion threat </w:t>
      </w:r>
      <w:r w:rsidR="000A062E" w:rsidRPr="5575EBFC">
        <w:rPr>
          <w:lang w:val="en-GB"/>
        </w:rPr>
        <w:t>there</w:t>
      </w:r>
      <w:r w:rsidR="68DAC812" w:rsidRPr="5575EBFC">
        <w:rPr>
          <w:lang w:val="en-GB"/>
        </w:rPr>
        <w:t xml:space="preserve"> </w:t>
      </w:r>
      <w:r w:rsidR="007E23F6" w:rsidRPr="5575EBFC">
        <w:rPr>
          <w:lang w:val="en-GB"/>
        </w:rPr>
        <w:fldChar w:fldCharType="begin"/>
      </w:r>
      <w:r w:rsidR="00331A79">
        <w:rPr>
          <w:lang w:val="en-GB"/>
        </w:rPr>
        <w:instrText xml:space="preserve"> ADDIN ZOTERO_ITEM CSL_CITATION {"citationID":"8bazDYw8","properties":{"formattedCitation":"(Hager et al., 2014)","plainCitation":"(Hager et al., 2014)","noteIndex":0},"citationItems":[{"id":9757,"uris":["http://zotero.org/groups/2352922/items/4DP8FYXJ"],"itemData":{"id":9757,"type":"article-journal","container-title":"PLoS ONE","DOI":"10.1371/journal.pone.0100032","ISSN":"1932-6203","issue":"6","journalAbbreviation":"PLoS ONE","language":"en","page":"e100032","source":"DOI.org (Crossref)","title":"Predicting Potential Global Distributions of Two &lt;i&gt;Miscanthus&lt;/i&gt; Grasses: Implications for Horticulture, Biofuel Production, and Biological Invasions","title-short":"Predicting Potential Global Distributions of Two Miscanthus Grasses","URL":"https://dx.plos.org/10.1371/journal.pone.0100032","volume":"9","author":[{"family":"Hager","given":"Heather A."},{"family":"Sinasac","given":"Sarah E."},{"family":"Gedalof","given":"Ze’ev"},{"family":"Newman","given":"Jonathan A."}],"editor":[{"family":"Gonzalez-Andujar","given":"Jose L."}],"accessed":{"date-parts":[["2021",12,10]]},"issued":{"date-parts":[["2014",6,19]]}},"label":"page"}],"schema":"https://github.com/citation-style-language/schema/raw/master/csl-citation.json"} </w:instrText>
      </w:r>
      <w:r w:rsidR="007E23F6" w:rsidRPr="5575EBFC">
        <w:rPr>
          <w:lang w:val="en-GB"/>
        </w:rPr>
        <w:fldChar w:fldCharType="separate"/>
      </w:r>
      <w:r w:rsidR="6B5F9B9E">
        <w:t>(Hager et al., 2014)</w:t>
      </w:r>
      <w:r w:rsidR="007E23F6" w:rsidRPr="5575EBFC">
        <w:rPr>
          <w:lang w:val="en-GB"/>
        </w:rPr>
        <w:fldChar w:fldCharType="end"/>
      </w:r>
      <w:r w:rsidR="68DAC812" w:rsidRPr="5575EBFC">
        <w:rPr>
          <w:lang w:val="en-GB"/>
        </w:rPr>
        <w:t>.</w:t>
      </w:r>
    </w:p>
    <w:p w14:paraId="645C023F" w14:textId="2DEB92D5" w:rsidR="001A0E22" w:rsidRPr="00DA249F" w:rsidRDefault="001A0E22" w:rsidP="000028CE">
      <w:pPr>
        <w:spacing w:before="0" w:after="0"/>
        <w:rPr>
          <w:rStyle w:val="normaltextrun"/>
          <w:rFonts w:ascii="Calibri" w:eastAsia="Times New Roman" w:hAnsi="Calibri" w:cs="Calibri"/>
          <w:color w:val="000000"/>
          <w:sz w:val="22"/>
          <w:lang w:val="en-GB" w:eastAsia="zh-CN"/>
        </w:rPr>
      </w:pPr>
      <w:r w:rsidRPr="00DA249F">
        <w:rPr>
          <w:rStyle w:val="normaltextrun"/>
          <w:lang w:val="en-GB"/>
        </w:rPr>
        <w:t xml:space="preserve">Food forestry, whereby a diversity of food plants </w:t>
      </w:r>
      <w:r w:rsidR="00E37B0C" w:rsidRPr="00DA249F">
        <w:rPr>
          <w:rStyle w:val="normaltextrun"/>
          <w:lang w:val="en-GB"/>
        </w:rPr>
        <w:t>is</w:t>
      </w:r>
      <w:r w:rsidRPr="00DA249F">
        <w:rPr>
          <w:rStyle w:val="normaltextrun"/>
          <w:lang w:val="en-GB"/>
        </w:rPr>
        <w:t xml:space="preserve"> planted in natural or seminatural forested </w:t>
      </w:r>
      <w:r w:rsidR="00556E00" w:rsidRPr="00DA249F">
        <w:rPr>
          <w:rStyle w:val="normaltextrun"/>
          <w:lang w:val="en-GB"/>
        </w:rPr>
        <w:t>ecosystems</w:t>
      </w:r>
      <w:r w:rsidR="00857E29" w:rsidRPr="00DA249F">
        <w:rPr>
          <w:rStyle w:val="normaltextrun"/>
          <w:lang w:val="en-GB"/>
        </w:rPr>
        <w:t>,</w:t>
      </w:r>
      <w:r w:rsidRPr="00DA249F">
        <w:rPr>
          <w:rStyle w:val="normaltextrun"/>
          <w:lang w:val="en-GB"/>
        </w:rPr>
        <w:t xml:space="preserve"> may represent an emerging pathway for the introduction, establishment</w:t>
      </w:r>
      <w:r w:rsidR="00774819">
        <w:rPr>
          <w:rStyle w:val="normaltextrun"/>
          <w:lang w:val="en-GB"/>
        </w:rPr>
        <w:t xml:space="preserve"> and</w:t>
      </w:r>
      <w:r w:rsidRPr="00DA249F">
        <w:rPr>
          <w:rStyle w:val="normaltextrun"/>
          <w:lang w:val="en-GB"/>
        </w:rPr>
        <w:t xml:space="preserve"> spread of alien species into natural or near-natural </w:t>
      </w:r>
      <w:r w:rsidR="00556E00" w:rsidRPr="00DA249F">
        <w:rPr>
          <w:rStyle w:val="normaltextrun"/>
          <w:lang w:val="en-GB"/>
        </w:rPr>
        <w:t>ecosystems</w:t>
      </w:r>
      <w:r w:rsidRPr="00DA249F">
        <w:rPr>
          <w:rStyle w:val="normaltextrun"/>
          <w:lang w:val="en-GB"/>
        </w:rPr>
        <w:t>. For example, a recent study identified almost 500 alien species used in the fast-growing food forestry sector in the Netherlands alone, including a number of high -risk invasive aliens including</w:t>
      </w:r>
      <w:r w:rsidR="006F02BA" w:rsidRPr="00DA249F">
        <w:rPr>
          <w:rStyle w:val="normaltextrun"/>
          <w:lang w:val="en-GB"/>
        </w:rPr>
        <w:t xml:space="preserve"> </w:t>
      </w:r>
      <w:r w:rsidRPr="00DA249F">
        <w:rPr>
          <w:rStyle w:val="normaltextrun"/>
          <w:i/>
          <w:iCs/>
          <w:lang w:val="en-GB"/>
        </w:rPr>
        <w:t>Akebia quinat</w:t>
      </w:r>
      <w:r w:rsidR="000028CE" w:rsidRPr="00DA249F">
        <w:rPr>
          <w:rStyle w:val="normaltextrun"/>
          <w:i/>
          <w:iCs/>
          <w:lang w:val="en-GB"/>
        </w:rPr>
        <w:t>a</w:t>
      </w:r>
      <w:r w:rsidRPr="00DA249F">
        <w:rPr>
          <w:rStyle w:val="normaltextrun"/>
          <w:lang w:val="en-GB"/>
        </w:rPr>
        <w:t xml:space="preserve"> (</w:t>
      </w:r>
      <w:r w:rsidR="000028CE" w:rsidRPr="00DA249F">
        <w:rPr>
          <w:rFonts w:eastAsia="Times New Roman"/>
          <w:color w:val="000000"/>
          <w:sz w:val="23"/>
          <w:szCs w:val="23"/>
          <w:lang w:val="en-GB" w:eastAsia="zh-CN"/>
        </w:rPr>
        <w:t>five-leaf akebia</w:t>
      </w:r>
      <w:r w:rsidRPr="00DA249F">
        <w:rPr>
          <w:rStyle w:val="normaltextrun"/>
          <w:lang w:val="en-GB"/>
        </w:rPr>
        <w:t xml:space="preserve">), </w:t>
      </w:r>
      <w:r w:rsidRPr="00DA249F">
        <w:rPr>
          <w:rStyle w:val="normaltextrun"/>
          <w:i/>
          <w:iCs/>
          <w:lang w:val="en-GB"/>
        </w:rPr>
        <w:t xml:space="preserve">Helianthus tuberosus </w:t>
      </w:r>
      <w:r w:rsidRPr="00DA249F">
        <w:rPr>
          <w:rStyle w:val="normaltextrun"/>
          <w:lang w:val="en-GB"/>
        </w:rPr>
        <w:t xml:space="preserve">(Jerusalem artichoke), </w:t>
      </w:r>
      <w:r w:rsidRPr="00DA249F">
        <w:rPr>
          <w:rStyle w:val="normaltextrun"/>
          <w:i/>
          <w:iCs/>
          <w:lang w:val="en-GB"/>
        </w:rPr>
        <w:t xml:space="preserve">Rhus typhina </w:t>
      </w:r>
      <w:r w:rsidRPr="00DA249F">
        <w:rPr>
          <w:rStyle w:val="normaltextrun"/>
          <w:lang w:val="en-GB"/>
        </w:rPr>
        <w:t xml:space="preserve">(staghorn sumac), </w:t>
      </w:r>
      <w:r w:rsidRPr="00DA249F">
        <w:rPr>
          <w:rStyle w:val="normaltextrun"/>
          <w:i/>
          <w:iCs/>
          <w:lang w:val="en-GB"/>
        </w:rPr>
        <w:t xml:space="preserve">Rosa rugosa </w:t>
      </w:r>
      <w:r w:rsidRPr="00DA249F">
        <w:rPr>
          <w:rStyle w:val="normaltextrun"/>
          <w:szCs w:val="24"/>
          <w:lang w:val="en-GB"/>
        </w:rPr>
        <w:t>(</w:t>
      </w:r>
      <w:r w:rsidR="009830C3" w:rsidRPr="00DA249F">
        <w:rPr>
          <w:rFonts w:eastAsia="Times New Roman"/>
          <w:color w:val="000000"/>
          <w:szCs w:val="24"/>
          <w:lang w:val="en-GB" w:eastAsia="zh-CN"/>
        </w:rPr>
        <w:t>rugosa rose</w:t>
      </w:r>
      <w:r w:rsidRPr="00DA249F">
        <w:rPr>
          <w:rStyle w:val="normaltextrun"/>
          <w:szCs w:val="24"/>
          <w:lang w:val="en-GB"/>
        </w:rPr>
        <w:t>)</w:t>
      </w:r>
      <w:r w:rsidR="00774819">
        <w:rPr>
          <w:rStyle w:val="normaltextrun"/>
          <w:szCs w:val="24"/>
          <w:lang w:val="en-GB"/>
        </w:rPr>
        <w:t xml:space="preserve"> and</w:t>
      </w:r>
      <w:r w:rsidRPr="00DA249F">
        <w:rPr>
          <w:rStyle w:val="normaltextrun"/>
          <w:lang w:val="en-GB"/>
        </w:rPr>
        <w:t xml:space="preserve"> </w:t>
      </w:r>
      <w:r w:rsidRPr="00DA249F">
        <w:rPr>
          <w:rStyle w:val="normaltextrun"/>
          <w:i/>
          <w:iCs/>
          <w:lang w:val="en-GB"/>
        </w:rPr>
        <w:t xml:space="preserve">Vaccinium macrocarpon </w:t>
      </w:r>
      <w:r w:rsidRPr="00DA249F">
        <w:rPr>
          <w:rStyle w:val="normaltextrun"/>
          <w:lang w:val="en-GB"/>
        </w:rPr>
        <w:t xml:space="preserve">(cranberry) </w:t>
      </w:r>
      <w:r w:rsidRPr="00DA249F">
        <w:rPr>
          <w:rStyle w:val="normaltextrun"/>
          <w:lang w:val="en-GB"/>
        </w:rPr>
        <w:fldChar w:fldCharType="begin"/>
      </w:r>
      <w:r w:rsidR="00331A79">
        <w:rPr>
          <w:rStyle w:val="normaltextrun"/>
          <w:lang w:val="en-GB"/>
        </w:rPr>
        <w:instrText xml:space="preserve"> ADDIN ZOTERO_ITEM CSL_CITATION {"citationID":"eoP9mTd9","properties":{"formattedCitation":"(Hoppenreijs et al., 2019)","plainCitation":"(Hoppenreijs et al., 2019)","noteIndex":0},"citationItems":[{"id":52693,"uris":["http://zotero.org/groups/2352922/items/VR2JILX2"],"itemData":{"id":52693,"type":"report","collection-title":"Rapport Afdeling Dierecologie en Fysiologie ; 2019-2","genre":"External research report","note":"publisher: Nijmegen: Radboud Universiteit, Floron &amp; NVWA","page":"193p","publisher":"Nijmegen : Radboud Universiteit, Floron &amp; NVWA","title":"Risicobeoordeling van voedselbosbouw als introductieroute voor invasieve plantensoorten","URL":"https://hdl.handle.net/2066/215963","author":[{"family":"Hoppenreijs","given":"J. H. T."},{"family":"Beringen","given":"R."},{"family":"Collas","given":"F. P. L."},{"family":"Eeuwes","given":"D. D. M."},{"family":"Odé","given":"B."},{"family":"Leuven","given":"RSEW"}],"issued":{"date-parts":[["2019"]]}},"label":"page"}],"schema":"https://github.com/citation-style-language/schema/raw/master/csl-citation.json"} </w:instrText>
      </w:r>
      <w:r w:rsidRPr="00DA249F">
        <w:rPr>
          <w:rStyle w:val="normaltextrun"/>
          <w:lang w:val="en-GB"/>
        </w:rPr>
        <w:fldChar w:fldCharType="separate"/>
      </w:r>
      <w:r w:rsidR="00144D96" w:rsidRPr="00144D96">
        <w:t>(Hoppenreijs et al., 2019)</w:t>
      </w:r>
      <w:r w:rsidRPr="00DA249F">
        <w:rPr>
          <w:rStyle w:val="normaltextrun"/>
          <w:lang w:val="en-GB"/>
        </w:rPr>
        <w:fldChar w:fldCharType="end"/>
      </w:r>
      <w:r w:rsidRPr="00DA249F">
        <w:rPr>
          <w:rStyle w:val="normaltextrun"/>
          <w:lang w:val="en-GB"/>
        </w:rPr>
        <w:t>.</w:t>
      </w:r>
    </w:p>
    <w:p w14:paraId="38CF15E3" w14:textId="0D54F1A2" w:rsidR="002E3CEA" w:rsidRPr="00DA249F" w:rsidRDefault="365BC419" w:rsidP="002E3CEA">
      <w:pPr>
        <w:rPr>
          <w:lang w:val="en-GB"/>
        </w:rPr>
      </w:pPr>
      <w:r w:rsidRPr="5575EBFC">
        <w:rPr>
          <w:rStyle w:val="normaltextrun"/>
          <w:lang w:val="en-GB"/>
        </w:rPr>
        <w:t xml:space="preserve">Plantation forests are also hotspots </w:t>
      </w:r>
      <w:r w:rsidR="00E8038A" w:rsidRPr="5575EBFC">
        <w:rPr>
          <w:lang w:val="en-GB" w:eastAsia="en-NZ"/>
        </w:rPr>
        <w:t>(</w:t>
      </w:r>
      <w:r w:rsidR="4F190329" w:rsidRPr="5575EBFC">
        <w:rPr>
          <w:lang w:val="en-GB" w:eastAsia="en-NZ"/>
        </w:rPr>
        <w:t xml:space="preserve">invasion hotspot in </w:t>
      </w:r>
      <w:r w:rsidR="3415420C" w:rsidRPr="5575EBFC">
        <w:rPr>
          <w:lang w:val="en-GB" w:eastAsia="en-NZ"/>
        </w:rPr>
        <w:t xml:space="preserve">the </w:t>
      </w:r>
      <w:r w:rsidR="00E23B69">
        <w:rPr>
          <w:b/>
          <w:bCs/>
          <w:lang w:val="en-GB" w:eastAsia="en-NZ"/>
        </w:rPr>
        <w:t>Glossary</w:t>
      </w:r>
      <w:r w:rsidR="00E8038A" w:rsidRPr="5575EBFC">
        <w:rPr>
          <w:lang w:val="en-GB" w:eastAsia="en-NZ"/>
        </w:rPr>
        <w:t xml:space="preserve">) </w:t>
      </w:r>
      <w:r w:rsidRPr="5575EBFC">
        <w:rPr>
          <w:rStyle w:val="normaltextrun"/>
          <w:lang w:val="en-GB"/>
        </w:rPr>
        <w:t xml:space="preserve">for unintentional </w:t>
      </w:r>
      <w:r w:rsidR="3A349978" w:rsidRPr="5575EBFC">
        <w:rPr>
          <w:rStyle w:val="normaltextrun"/>
          <w:lang w:val="en-GB"/>
        </w:rPr>
        <w:t>introductions of invasive alien species</w:t>
      </w:r>
      <w:r w:rsidRPr="5575EBFC">
        <w:rPr>
          <w:rStyle w:val="normaltextrun"/>
          <w:lang w:val="en-GB"/>
        </w:rPr>
        <w:t xml:space="preserve"> In a global review of </w:t>
      </w:r>
      <w:r w:rsidRPr="5575EBFC">
        <w:rPr>
          <w:lang w:val="en-GB"/>
        </w:rPr>
        <w:t xml:space="preserve">invasive </w:t>
      </w:r>
      <w:r w:rsidR="557CC3A0" w:rsidRPr="5575EBFC">
        <w:rPr>
          <w:lang w:val="en-GB"/>
        </w:rPr>
        <w:t xml:space="preserve">alien </w:t>
      </w:r>
      <w:r w:rsidRPr="5575EBFC">
        <w:rPr>
          <w:lang w:val="en-GB"/>
        </w:rPr>
        <w:t>plants, vertebrates</w:t>
      </w:r>
      <w:r w:rsidR="00774819">
        <w:rPr>
          <w:lang w:val="en-GB"/>
        </w:rPr>
        <w:t xml:space="preserve"> and</w:t>
      </w:r>
      <w:r w:rsidRPr="5575EBFC">
        <w:rPr>
          <w:lang w:val="en-GB"/>
        </w:rPr>
        <w:t xml:space="preserve"> invertebrates on islands</w:t>
      </w:r>
      <w:r w:rsidR="6826BBA5" w:rsidRPr="5575EBFC">
        <w:rPr>
          <w:lang w:val="en-GB"/>
        </w:rPr>
        <w:t xml:space="preserve"> (794 alien species)</w:t>
      </w:r>
      <w:r w:rsidRPr="5575EBFC">
        <w:rPr>
          <w:lang w:val="en-GB"/>
        </w:rPr>
        <w:t xml:space="preserve">, plantation forests had consistently higher numbers and abundances of alien species as compared to native habitat </w:t>
      </w:r>
      <w:r w:rsidR="001A0E22" w:rsidRPr="5575EBFC">
        <w:rPr>
          <w:lang w:val="en-GB"/>
        </w:rPr>
        <w:fldChar w:fldCharType="begin"/>
      </w:r>
      <w:r w:rsidR="00331A79">
        <w:rPr>
          <w:lang w:val="en-GB"/>
        </w:rPr>
        <w:instrText xml:space="preserve"> ADDIN ZOTERO_ITEM CSL_CITATION {"citationID":"jlBrg8dW","properties":{"formattedCitation":"(S\\uc0\\u225{}nchez-Ortiz et al., 2020)","plainCitation":"(Sánchez-Ortiz et al., 2020)","noteIndex":0},"citationItems":[{"id":33032,"uris":["http://zotero.org/groups/2352922/items/MCB4QRGU"],"itemData":{"id":33032,"type":"article-journal","abstract":"Island species and habitats are particularly vulnerable to human disturbances, and anthropogenic changes are increasingly overwriting natural island biogeographic patterns. However, quantitative comparisons of how native and alien assemblages respond to human disturbances are scarce. Using data from 6,242 species of vertebrates, invertebrates and plants, from 7,718 sites on 81 islands, we model how land-use change, human population density and distance to the nearest road affect local assemblages of alien and native species on islands. We found that land-use change reduces both richness and abundance of native species, whereas the number and abundance of alien species are high in plantation forests and agricultural or urban sites. In contrast to the long-established pattern for native species (i.e., decline in species number with island isolation), more isolated islands have more alien species across most land uses than do less isolated islands. We show that alien species play a major role in the turnover of island assemblages: our models show that aliens outnumber natives among the species present at disturbed sites but absent from minimally-disturbed primary vegetation. Finally, we found a homogenization pattern for both native and alien assemblages across sites within most land uses. The declines of native species on islands in the face of human pressures, and the particular proneness to invasions of the more remote islands, highlight the need to reduce the intensity of human pressures on islands and to prevent the introduction and establishment of alien species.","container-title":"PLoS ONE","DOI":"10.1371/journal.pone.0227169","ISSN":"1932-6203","issue":"12","journalAbbreviation":"PLOS ONE","language":"en","note":"number: 12\npublisher: Public Library of Science","page":"e0227169","source":"PLoS Journals","title":"Effects of land-use change and related pressures on alien and native subsets of island communities","URL":"https://journals.plos.org/plosone/article?id=10.1371/journal.pone.0227169","volume":"15","author":[{"family":"Sánchez-Ortiz","given":"Katia"},{"family":"Taylor","given":"Kara J. M."},{"family":"Palma","given":"Adriana De"},{"family":"Essl","given":"Franz"},{"family":"Dawson","given":"Wayne"},{"family":"Kreft","given":"Holger"},{"family":"Pergl","given":"Jan"},{"family":"Pyšek","given":"Petr"},{"family":"Kleunen","given":"Mark","dropping-particle":"van"},{"family":"Weigelt","given":"Patrick"},{"family":"Purvis","given":"Andy"}],"accessed":{"date-parts":[["2021",12,7]]},"issued":{"date-parts":[["2020",12,3]]}},"label":"page"}],"schema":"https://github.com/citation-style-language/schema/raw/master/csl-citation.json"} </w:instrText>
      </w:r>
      <w:r w:rsidR="001A0E22" w:rsidRPr="5575EBFC">
        <w:rPr>
          <w:lang w:val="en-GB"/>
        </w:rPr>
        <w:fldChar w:fldCharType="separate"/>
      </w:r>
      <w:r w:rsidR="6B5F9B9E">
        <w:t>(Sánchez-Ortiz et al., 2020)</w:t>
      </w:r>
      <w:r w:rsidR="001A0E22" w:rsidRPr="5575EBFC">
        <w:rPr>
          <w:lang w:val="en-GB"/>
        </w:rPr>
        <w:fldChar w:fldCharType="end"/>
      </w:r>
      <w:r w:rsidRPr="5575EBFC">
        <w:rPr>
          <w:lang w:val="en-GB"/>
        </w:rPr>
        <w:t xml:space="preserve">. Invasive forest pathogens have been responsible for many disease outbreaks across commercial, natural and urban forest </w:t>
      </w:r>
      <w:r w:rsidR="36543F84" w:rsidRPr="5575EBFC">
        <w:rPr>
          <w:lang w:val="en-GB"/>
        </w:rPr>
        <w:t>eco</w:t>
      </w:r>
      <w:r w:rsidRPr="5575EBFC">
        <w:rPr>
          <w:lang w:val="en-GB"/>
        </w:rPr>
        <w:t xml:space="preserve">systems, and generally occur as a result of unintentional introductions via containment or stowaway </w:t>
      </w:r>
      <w:r w:rsidR="001A0E22" w:rsidRPr="5575EBFC">
        <w:rPr>
          <w:lang w:val="en-GB"/>
        </w:rPr>
        <w:fldChar w:fldCharType="begin"/>
      </w:r>
      <w:r w:rsidR="00331A79">
        <w:rPr>
          <w:lang w:val="en-GB"/>
        </w:rPr>
        <w:instrText xml:space="preserve"> ADDIN ZOTERO_ITEM CSL_CITATION {"citationID":"MXqnYyH1","properties":{"formattedCitation":"(Burgess et al., 2016; Migliorini et al., 2015; Paap et al., 2020)","plainCitation":"(Burgess et al., 2016; Migliorini et al., 2015; Paap et al., 2020)","noteIndex":0},"citationItems":[{"id":32588,"uris":["http://zotero.org/groups/2352922/items/JZB7G4V8"],"itemData":{"id":32588,"type":"article-journal","abstract":"When non-native plants reach novel environments, they typically arrive with\nhidden microbiomes. In general, most of these hitchhikers remain on their\nco-evolved hosts, some contribute to the invasiveness of their hosts, and a\nsmall number can undergo host shifts and move onto native hosts. Invasion\nsuccess can vary depending upon the different categories of fungal associates.\nWhen an invader tree relies on a fungal mutualism to survive in the new\nenvironment, there is a fundamentally lower likelihood of either the tree, or\nthe fungus, establishing novel associations. In contrast, parasitic hitchhikers\ncould merely use their host plants to move through the landscape and to become\nestablished on new hosts (host shifts). Evidence suggests the frequency of these\nhost shifts is low and depends upon the fungal functional group. However,\nepidemics caused by invasive pathogens in native ecosystems have occurred\nglobally. Thus, elucidating the potential for hidden non-native fungi to form\nnovel host associations in a new environment is important for biodiversity\nconservation.","container-title":"AoB PLANTS","DOI":"10.1093/aobpla/plw076","ISSN":"2041-2851","journalAbbreviation":"AoB PLANTS","page":"plw076","source":"Silverchair","title":"Tree invasions and biosecurity: eco-evolutionary dynamics of hitchhiking fungi","title-short":"Tree invasions and biosecurity","URL":"https://doi.org/10.1093/aobpla/plw076","volume":"8","author":[{"family":"Burgess","given":"Treena I."},{"family":"Crous","given":"Casparus J."},{"family":"Slippers","given":"Bernard"},{"family":"Hantula","given":"Jarkko"},{"family":"Wingfield","given":"Michael J."}],"accessed":{"date-parts":[["2021",12,7]]},"issued":{"date-parts":[["2016",1,1]]}},"label":"page"},{"id":32372,"uris":["http://zotero.org/groups/2352922/items/9R8GK4RT"],"itemData":{"id":32372,"type":"article-journal","container-title":"Diversity and Distributions","DOI":"10.1111/ddi.12347","ISSN":"13669516","issue":"10","journalAbbreviation":"Diversity Distrib.","language":"en","page":"1218-1229","source":"DOI.org (Crossref)","title":"The potential of symptomless potted plants for carrying invasive soilborne plant pathogens","URL":"https://onlinelibrary.wiley.com/doi/10.1111/ddi.12347","volume":"21","author":[{"family":"Migliorini","given":"Duccio"},{"family":"Ghelardini","given":"Luisa"},{"family":"Tondini","given":"Elena"},{"family":"Luchi","given":"Nicola"},{"family":"Santini","given":"Alberto"}],"editor":[{"family":"Richardson","given":"David M."}],"accessed":{"date-parts":[["2021",12,10]]},"issued":{"date-parts":[["2015",10]]}},"label":"page"},{"id":25113,"uris":["http://zotero.org/groups/2352922/items/SW58MMQK"],"itemData":{"id":25113,"type":"article-journal","abstract":"Invasive alien species are widely recognised as significant drivers of global environmental change, with far reaching ecological and socio-economic impacts. The trend of continuous increases in first records, with no apparent sign of saturation, is consistent across all taxonomic groups. However, taxonomic biases exist in the extent to which invasion processes have been studied. Invasive forest pathogens have caused, and they continue to result in dramatic damage to natural forests and woody ecosystems, yet their impacts are substantially underrepresented in the invasion science literature. Conversely, most studies of forest pathogens have been undertaken in the absence of a connection to the frameworks developed and used to study biological invasions. We believe this is, in part, a consequence of the mechanistic approach of the discipline of forest pathology; one that has been inherited from the broader discipline of plant pathology. Rather than investigating the origins of, and the processes driving the arrival of invasive microorganisms, the focus of pathologists is generally to investigate specific interactions between hosts and pathogens, with an emphasis on controlling the resulting disease problems. In contrast, central to the field of invasion science, which finds its roots in ecology, is the development and testing of general concepts and frameworks. The lack of knowledge of microbial biodiversity and ecology, speciation and geographic origin present challenges in understanding invasive forest pathogens under existing frameworks, and there is a need to address this shortfall. Advances in molecular technologies such as gene and genome sequencing and metagenomics studies have increased the “visibility” of microorganisms. We consider whether these technologies are being adequately applied to address the gaps between forest pathology and invasion science. We also interrogate the extent to which the two fields stand to gain by becoming more closely linked.","container-title":"NeoBiota","DOI":"10.3897/neobiota.62.52991","ISSN":"1314-2488, 1619-0033","journalAbbreviation":"NB","page":"301-332","source":"DOI.org (Crossref)","title":"Harmonising the fields of invasion science and forest pathology","URL":"https://neobiota.pensoft.net/article/52991/","volume":"62","author":[{"family":"Paap","given":"Trudy"},{"family":"Wingfield","given":"Michael J."},{"family":"Burgess","given":"Treena I."},{"family":"Hulbert","given":"Joseph M."},{"family":"Santini","given":"Alberto"}],"accessed":{"date-parts":[["2021",3,16]]},"issued":{"date-parts":[["2020",10,15]]}},"label":"page"}],"schema":"https://github.com/citation-style-language/schema/raw/master/csl-citation.json"} </w:instrText>
      </w:r>
      <w:r w:rsidR="001A0E22" w:rsidRPr="5575EBFC">
        <w:rPr>
          <w:lang w:val="en-GB"/>
        </w:rPr>
        <w:fldChar w:fldCharType="separate"/>
      </w:r>
      <w:r w:rsidR="6B5F9B9E">
        <w:t>(Burgess et al., 2016; Migliorini et al., 2015; Paap et al., 2020)</w:t>
      </w:r>
      <w:r w:rsidR="001A0E22" w:rsidRPr="5575EBFC">
        <w:rPr>
          <w:lang w:val="en-GB"/>
        </w:rPr>
        <w:fldChar w:fldCharType="end"/>
      </w:r>
      <w:r w:rsidRPr="5575EBFC">
        <w:rPr>
          <w:lang w:val="en-GB"/>
        </w:rPr>
        <w:t xml:space="preserve">. Notable examples include; </w:t>
      </w:r>
      <w:r w:rsidRPr="5575EBFC">
        <w:rPr>
          <w:i/>
          <w:iCs/>
          <w:lang w:val="en-GB"/>
        </w:rPr>
        <w:t>Cryphonectria parasitica</w:t>
      </w:r>
      <w:r w:rsidRPr="5575EBFC">
        <w:rPr>
          <w:lang w:val="en-GB"/>
        </w:rPr>
        <w:t xml:space="preserve"> (blight of chestnut), </w:t>
      </w:r>
      <w:r w:rsidRPr="5575EBFC">
        <w:rPr>
          <w:i/>
          <w:iCs/>
          <w:lang w:val="en-GB"/>
        </w:rPr>
        <w:t>Ophiostoma novo-ulmi</w:t>
      </w:r>
      <w:r w:rsidRPr="5575EBFC">
        <w:rPr>
          <w:lang w:val="en-GB"/>
        </w:rPr>
        <w:t xml:space="preserve"> (Dutch elm disease),</w:t>
      </w:r>
      <w:r w:rsidRPr="5575EBFC">
        <w:rPr>
          <w:i/>
          <w:iCs/>
          <w:lang w:val="en-GB"/>
        </w:rPr>
        <w:t xml:space="preserve"> Phytophthora cinnamomi </w:t>
      </w:r>
      <w:r w:rsidRPr="5575EBFC">
        <w:rPr>
          <w:lang w:val="en-GB"/>
        </w:rPr>
        <w:t>(Phytophthora dieback),</w:t>
      </w:r>
      <w:r w:rsidRPr="5575EBFC">
        <w:rPr>
          <w:i/>
          <w:iCs/>
          <w:lang w:val="en-GB"/>
        </w:rPr>
        <w:t xml:space="preserve"> Phytophthora ramorum</w:t>
      </w:r>
      <w:r w:rsidRPr="5575EBFC">
        <w:rPr>
          <w:lang w:val="en-GB"/>
        </w:rPr>
        <w:t xml:space="preserve"> (</w:t>
      </w:r>
      <w:r w:rsidR="2EC3F603" w:rsidRPr="5575EBFC">
        <w:rPr>
          <w:lang w:val="en-GB"/>
        </w:rPr>
        <w:t>s</w:t>
      </w:r>
      <w:r w:rsidRPr="5575EBFC">
        <w:rPr>
          <w:lang w:val="en-GB"/>
        </w:rPr>
        <w:t xml:space="preserve">udden </w:t>
      </w:r>
      <w:r w:rsidR="2EC3F603" w:rsidRPr="5575EBFC">
        <w:rPr>
          <w:lang w:val="en-GB"/>
        </w:rPr>
        <w:t>o</w:t>
      </w:r>
      <w:r w:rsidRPr="5575EBFC">
        <w:rPr>
          <w:lang w:val="en-GB"/>
        </w:rPr>
        <w:t xml:space="preserve">ak </w:t>
      </w:r>
      <w:r w:rsidR="2EC3F603" w:rsidRPr="5575EBFC">
        <w:rPr>
          <w:lang w:val="en-GB"/>
        </w:rPr>
        <w:t>d</w:t>
      </w:r>
      <w:r w:rsidRPr="5575EBFC">
        <w:rPr>
          <w:lang w:val="en-GB"/>
        </w:rPr>
        <w:t>eath)</w:t>
      </w:r>
      <w:r w:rsidR="00774819">
        <w:rPr>
          <w:lang w:val="en-GB"/>
        </w:rPr>
        <w:t xml:space="preserve"> and</w:t>
      </w:r>
      <w:r w:rsidRPr="5575EBFC">
        <w:rPr>
          <w:lang w:val="en-GB"/>
        </w:rPr>
        <w:t xml:space="preserve"> </w:t>
      </w:r>
      <w:r w:rsidRPr="5575EBFC">
        <w:rPr>
          <w:i/>
          <w:iCs/>
          <w:lang w:val="en-GB"/>
        </w:rPr>
        <w:t>Hymenoscyphus fraxineus</w:t>
      </w:r>
      <w:r w:rsidRPr="5575EBFC">
        <w:rPr>
          <w:lang w:val="en-GB"/>
        </w:rPr>
        <w:t xml:space="preserve"> (ash dieback) </w:t>
      </w:r>
      <w:r w:rsidR="001A0E22" w:rsidRPr="5575EBFC">
        <w:rPr>
          <w:lang w:val="en-GB"/>
        </w:rPr>
        <w:fldChar w:fldCharType="begin"/>
      </w:r>
      <w:r w:rsidR="00331A79">
        <w:rPr>
          <w:lang w:val="en-GB"/>
        </w:rPr>
        <w:instrText xml:space="preserve"> ADDIN ZOTERO_ITEM CSL_CITATION {"citationID":"eTaq4g0f","properties":{"formattedCitation":"(Brasier &amp; Buck, 2001; Pautasso et al., 2013; Rigling &amp; Prospero, 2018; Rizzo &amp; Garbelotto, 2003; Shearer et al., 2007)","plainCitation":"(Brasier &amp; Buck, 2001; Pautasso et al., 2013; Rigling &amp; Prospero, 2018; Rizzo &amp; Garbelotto, 2003; Shearer et al., 2007)","noteIndex":0},"citationItems":[{"id":52692,"uris":["http://zotero.org/groups/2352922/items/4XZY3442"],"itemData":{"id":52692,"type":"article-journal","abstract":"Two enormously destructive pandemics of Dutch elm disease occurred in the 20th century, resulting in the death of a majority of mature elms across much of the northern hemisphere. The first pandemic, caused by Ophiostoma ulmi, occurred as this pathogen spread across Europe, North America and Southwest and Central Asia during the 1920s–1940s. The current pandemic is caused by another Ophiostoma species, O. novo-ulmi. Since the 1940s, O. novo-ulmi has been spreading into the regions previously affected by O. ulmi. It has also spread as two distinct subspecies, termed subsp. americana and subsp. novo-ulmi. This sequence of events has resulted in competitive interactions between these previously geographically isolated pathogens. This article summarizes the biological properties of the Dutch elm disease pathogens and their history of spread. It reviews the remarkable series of genetic events that have occurred during their migrations; including the emergence of genetic clones, the spread of deleterious fungal viruses within the pathogen clones, and the rapid and continuing evolution of O. novo-ulmi via horizontal gene flow. The wider role of horizontal gene flow in the evolutionary potential of migratory plant pathogens is discussed.","container-title":"Biological Invasions","DOI":"10.1023/A:1015248819864","ISSN":"1573-1464","issue":"3","journalAbbreviation":"Biological Invasions","language":"en","page":"223-233","source":"Springer Link","title":"Rapid Evolutionary Changes in a Globally Invading Fungal Pathogen (Dutch Elm Disease)","URL":"https://doi.org/10.1023/A:1015248819864","volume":"3","author":[{"family":"Brasier","given":"C.M."},{"family":"Buck","given":"K.W."}],"accessed":{"date-parts":[["2022",7,28]]},"issued":{"date-parts":[["2001",9,1]]}},"label":"page"},{"id":52960,"uris":["http://zotero.org/groups/2352922/items/S4WK62CF"],"itemData":{"id":52960,"type":"article-journal","container-title":"Biological conservation","note":"ISBN: 0006-3207\npublisher: Elsevier","page":"37-49","title":"European ash (&lt;i&gt;Fraxinus excelsior&lt;/i&gt;) dieback–A conservation biology challenge","volume":"158","author":[{"family":"Pautasso","given":"Marco"},{"family":"Aas","given":"Gregor"},{"family":"Queloz","given":"Valentin"},{"family":"Holdenrieder","given":"Ottmar"}],"issued":{"date-parts":[["2013"]]}},"label":"page"},{"id":52690,"uris":["http://zotero.org/groups/2352922/items/WY852FHF"],"itemData":{"id":52690,"type":"article-journal","container-title":"Molecular Plant Pathology","issue":"1","note":"ISBN: 1464-6722\npublisher: Wiley Online Library","page":"7-20","title":"&lt;i&gt;Cryphonectria parasitica&lt;/i&gt;, the causal agent of chestnut blight: invasion history, population biology and disease control","volume":"19","author":[{"family":"Rigling","given":"Daniel"},{"family":"Prospero","given":"Simone"}],"issued":{"date-parts":[["2018"]]}},"label":"page"},{"id":52691,"uris":["http://zotero.org/groups/2352922/items/H3NKGIYL"],"itemData":{"id":52691,"type":"article-journal","container-title":"Frontiers in Ecology and the Environment","DOI":"10.1890/1540-9295(2003)001[0197:SODECA]2.0.CO;2","issue":"4","note":"ISBN: 1540-9309\npublisher: Wiley Online Library","page":"197-204","title":"Sudden oak death: endangering California and Oregon forest ecosystems","URL":"https://esajournals.onlinelibrary.wiley.com/doi/abs/10.1890/1540-9295(2003)001[0197:SODECA]2.0.CO;2","volume":"1","author":[{"family":"Rizzo","given":"David M."},{"family":"Garbelotto","given":"Matteo"}],"issued":{"date-parts":[["2003"]]}},"label":"page"},{"id":52959,"uris":["http://zotero.org/groups/2352922/items/QXRC7MDL"],"itemData":{"id":52959,"type":"article-journal","container-title":"Australian Journal of Botany","DOI":"10.1071/BT06019","issue":"3","note":"ISBN: 1444-9862\npublisher: CSIRO Publishing","page":"225-238","title":"&lt;i&gt;Phytophthora cinnamomi&lt;/i&gt; invasion, a major threatening process to conservation of flora diversity in the South-west Botanical Province of Western Australia","URL":"https://www.publish.csiro.au/bt/BT06019","volume":"55","author":[{"family":"Shearer","given":"B. L."},{"family":"Crane","given":"C. E."},{"family":"Barrett","given":"S."},{"family":"Cochrane","given":"A."}],"issued":{"date-parts":[["2007"]]}},"label":"page"}],"schema":"https://github.com/citation-style-language/schema/raw/master/csl-citation.json"} </w:instrText>
      </w:r>
      <w:r w:rsidR="001A0E22" w:rsidRPr="5575EBFC">
        <w:rPr>
          <w:lang w:val="en-GB"/>
        </w:rPr>
        <w:fldChar w:fldCharType="separate"/>
      </w:r>
      <w:r w:rsidR="6B5F9B9E">
        <w:t>(Brasier &amp; Buck, 2001; Pautasso et al., 2013; Rigling &amp; Prospero, 2018; Rizzo &amp; Garbelotto, 2003; Shearer et al., 2007)</w:t>
      </w:r>
      <w:r w:rsidR="001A0E22" w:rsidRPr="5575EBFC">
        <w:rPr>
          <w:lang w:val="en-GB"/>
        </w:rPr>
        <w:fldChar w:fldCharType="end"/>
      </w:r>
      <w:r w:rsidRPr="5575EBFC">
        <w:rPr>
          <w:lang w:val="en-GB"/>
        </w:rPr>
        <w:t>.</w:t>
      </w:r>
    </w:p>
    <w:p w14:paraId="7B8767A0" w14:textId="77777777" w:rsidR="002E3CEA" w:rsidRPr="00DA249F" w:rsidRDefault="00843982" w:rsidP="00973597">
      <w:pPr>
        <w:pStyle w:val="Heading3"/>
        <w:numPr>
          <w:ilvl w:val="4"/>
          <w:numId w:val="30"/>
        </w:numPr>
        <w:rPr>
          <w:rStyle w:val="normaltextrun"/>
          <w:lang w:val="en-GB"/>
        </w:rPr>
      </w:pPr>
      <w:r w:rsidRPr="00DA249F">
        <w:rPr>
          <w:rStyle w:val="normaltextrun"/>
          <w:lang w:val="en-GB"/>
        </w:rPr>
        <w:t>F</w:t>
      </w:r>
      <w:r w:rsidR="002E3CEA" w:rsidRPr="00DA249F">
        <w:rPr>
          <w:rStyle w:val="normaltextrun"/>
          <w:lang w:val="en-GB"/>
        </w:rPr>
        <w:t xml:space="preserve">orage production and livestock grazing </w:t>
      </w:r>
    </w:p>
    <w:p w14:paraId="149F4DE1" w14:textId="5D1B5D1D" w:rsidR="004364CC" w:rsidRPr="00DA249F" w:rsidRDefault="00CC74A9" w:rsidP="000C61EB">
      <w:pPr>
        <w:spacing w:before="0" w:after="0"/>
        <w:rPr>
          <w:rStyle w:val="normaltextrun"/>
          <w:rFonts w:eastAsia="Times New Roman"/>
          <w:color w:val="000000"/>
          <w:szCs w:val="24"/>
          <w:lang w:val="en-GB" w:eastAsia="zh-CN"/>
        </w:rPr>
      </w:pPr>
      <w:r w:rsidRPr="00DA249F">
        <w:rPr>
          <w:rStyle w:val="normaltextrun"/>
          <w:lang w:val="en-GB"/>
        </w:rPr>
        <w:t>F</w:t>
      </w:r>
      <w:r w:rsidR="001D0171" w:rsidRPr="00DA249F">
        <w:rPr>
          <w:rStyle w:val="normaltextrun"/>
          <w:lang w:val="en-GB"/>
        </w:rPr>
        <w:t>orage production and p</w:t>
      </w:r>
      <w:r w:rsidR="2351C693" w:rsidRPr="00DA249F">
        <w:rPr>
          <w:rStyle w:val="normaltextrun"/>
          <w:lang w:val="en-GB"/>
        </w:rPr>
        <w:t>asture</w:t>
      </w:r>
      <w:r w:rsidR="006C5758" w:rsidRPr="00DA249F">
        <w:rPr>
          <w:rStyle w:val="normaltextrun"/>
          <w:lang w:val="en-GB"/>
        </w:rPr>
        <w:t>s</w:t>
      </w:r>
      <w:r w:rsidR="2351C693" w:rsidRPr="00DA249F">
        <w:rPr>
          <w:rStyle w:val="normaltextrun"/>
          <w:lang w:val="en-GB"/>
        </w:rPr>
        <w:t xml:space="preserve"> for domestic </w:t>
      </w:r>
      <w:r w:rsidR="0B160F32" w:rsidRPr="00DA249F">
        <w:rPr>
          <w:rStyle w:val="normaltextrun"/>
          <w:lang w:val="en-GB"/>
        </w:rPr>
        <w:t xml:space="preserve">herbivores </w:t>
      </w:r>
      <w:r w:rsidRPr="00DA249F">
        <w:rPr>
          <w:rStyle w:val="normaltextrun"/>
          <w:lang w:val="en-GB"/>
        </w:rPr>
        <w:t>is a major land</w:t>
      </w:r>
      <w:r w:rsidR="00D43B89" w:rsidRPr="00DA249F">
        <w:rPr>
          <w:rStyle w:val="normaltextrun"/>
          <w:lang w:val="en-GB"/>
        </w:rPr>
        <w:t>-</w:t>
      </w:r>
      <w:r w:rsidRPr="00DA249F">
        <w:rPr>
          <w:rStyle w:val="normaltextrun"/>
          <w:lang w:val="en-GB"/>
        </w:rPr>
        <w:t xml:space="preserve">use </w:t>
      </w:r>
      <w:r w:rsidR="2351C693" w:rsidRPr="00DA249F">
        <w:rPr>
          <w:rStyle w:val="normaltextrun"/>
          <w:lang w:val="en-GB"/>
        </w:rPr>
        <w:t>in almost all biomes of the world</w:t>
      </w:r>
      <w:r w:rsidR="00E03B17" w:rsidRPr="00DA249F">
        <w:rPr>
          <w:rStyle w:val="normaltextrun"/>
          <w:lang w:val="en-GB"/>
        </w:rPr>
        <w:t xml:space="preserve"> </w:t>
      </w:r>
      <w:r w:rsidR="00D4425D" w:rsidRPr="00DA249F">
        <w:rPr>
          <w:rStyle w:val="normaltextrun"/>
          <w:lang w:val="en-GB"/>
        </w:rPr>
        <w:fldChar w:fldCharType="begin"/>
      </w:r>
      <w:r w:rsidR="00F5121E">
        <w:rPr>
          <w:rStyle w:val="normaltextrun"/>
          <w:lang w:val="en-GB"/>
        </w:rPr>
        <w:instrText xml:space="preserve"> ADDIN ZOTERO_ITEM CSL_CITATION {"citationID":"PUI6ICI8","properties":{"formattedCitation":"(Brondizio et al., 2019)","plainCitation":"(Brondizio et al., 2019)","noteIndex":0},"citationItems":[{"id":32141,"uris":["http://zotero.org/groups/2352922/items/AMVUGFNN"],"itemData":{"id":32141,"type":"chapter","abstract":"This document contains the draft Chapter 1 of the IPBES Global Assessment on Biodiversity and Ecosystem Services. Governments and all observers at IPBES-7 had access to these draft chapters eight weeks prior to IPBES-7. Governments accepted the Chapters at IPBES-7 based on the understanding that revisions made to the SPM during the Plenary, as a result of the dialogue between Governments and scientists, would be reflected in the final Chapters. IPBES typically releases its Chapters publicly only in their final form, which implies a delay of several months post Plenary. However, in light of the high interest for the Chapters, IPBES is releasing the six Chapters early (31 May 2019) in a draft form. Authors of the reports are currently working to reflect all the changes made to the Summary for Policymakers during the Plenary to the Chapters, and to perform final copy editing.","container-title":"IPBES Global Assessment on Biodiversity and Ecosystem Services","language":"en","license":"Creative Commons Attribution 4.0 International, Open Access","note":"DOI: 10.5281/ZENODO.3831852","publisher":"Zenodo","source":"DOI.org (Datacite)","title":"IPBES Global Assessment Report on Biodiversity and Ecosystem Services Chapter 1 Assessing a planet in transformation: Rationale and approach","title-short":"Chapter 1 Assessing a planet in transformation","URL":"https://doi.org/10.5281/zenodo.3831852","author":[{"family":"Brondizio","given":"Eduardo"},{"family":"Diaz","given":"Sandra"},{"family":"Settele","given":"Josef"},{"family":"Ngo","given":"Hien T."},{"family":"Gueze","given":"Maximilien"},{"family":"Aumeeruddy-Thomas","given":"Yildiz"},{"family":"Bai","given":"Xuemei"},{"family":"Geschke,","given":"Arne"},{"family":"Molnár","given":"Zsolt"},{"family":"Niamir","given":"Aidin"},{"family":"Pascual","given":"Unai"},{"family":"Simcock","given":"Alan"},{"family":"Jaureguiberry","given":"Pedro"}],"accessed":{"date-parts":[["2021",6,18]]},"issued":{"date-parts":[["2019",5,31]]}},"label":"page"}],"schema":"https://github.com/citation-style-language/schema/raw/master/csl-citation.json"} </w:instrText>
      </w:r>
      <w:r w:rsidR="00D4425D" w:rsidRPr="00DA249F">
        <w:rPr>
          <w:rStyle w:val="normaltextrun"/>
          <w:lang w:val="en-GB"/>
        </w:rPr>
        <w:fldChar w:fldCharType="separate"/>
      </w:r>
      <w:r w:rsidR="00144D96" w:rsidRPr="00144D96">
        <w:t>(Brondizio et al., 2019)</w:t>
      </w:r>
      <w:r w:rsidR="00D4425D" w:rsidRPr="00DA249F">
        <w:rPr>
          <w:rStyle w:val="normaltextrun"/>
          <w:lang w:val="en-GB"/>
        </w:rPr>
        <w:fldChar w:fldCharType="end"/>
      </w:r>
      <w:r w:rsidR="008C333A" w:rsidRPr="00DA249F">
        <w:rPr>
          <w:rStyle w:val="normaltextrun"/>
          <w:lang w:val="en-GB"/>
        </w:rPr>
        <w:t>. M</w:t>
      </w:r>
      <w:r w:rsidR="006C5758" w:rsidRPr="00DA249F">
        <w:rPr>
          <w:rStyle w:val="normaltextrun"/>
          <w:lang w:val="en-GB"/>
        </w:rPr>
        <w:t xml:space="preserve">anagement </w:t>
      </w:r>
      <w:r w:rsidR="001D0171" w:rsidRPr="00DA249F">
        <w:rPr>
          <w:rStyle w:val="normaltextrun"/>
          <w:lang w:val="en-GB"/>
        </w:rPr>
        <w:t xml:space="preserve">of such lands </w:t>
      </w:r>
      <w:r w:rsidR="2DA9C073" w:rsidRPr="00DA249F">
        <w:rPr>
          <w:rStyle w:val="normaltextrun"/>
          <w:lang w:val="en-GB"/>
        </w:rPr>
        <w:t xml:space="preserve">is a major source of </w:t>
      </w:r>
      <w:r w:rsidR="001D50AC" w:rsidRPr="00DA249F">
        <w:rPr>
          <w:rStyle w:val="normaltextrun"/>
          <w:lang w:val="en-GB"/>
        </w:rPr>
        <w:t xml:space="preserve">biological </w:t>
      </w:r>
      <w:r w:rsidR="2DA9C073" w:rsidRPr="00DA249F">
        <w:rPr>
          <w:rStyle w:val="normaltextrun"/>
          <w:lang w:val="en-GB"/>
        </w:rPr>
        <w:t>introductions</w:t>
      </w:r>
      <w:r w:rsidR="009E5034" w:rsidRPr="00DA249F">
        <w:rPr>
          <w:rStyle w:val="normaltextrun"/>
          <w:lang w:val="en-GB"/>
        </w:rPr>
        <w:t xml:space="preserve">, </w:t>
      </w:r>
      <w:r w:rsidR="008C333A" w:rsidRPr="00DA249F">
        <w:rPr>
          <w:rStyle w:val="normaltextrun"/>
          <w:lang w:val="en-GB"/>
        </w:rPr>
        <w:t>because</w:t>
      </w:r>
      <w:r w:rsidR="009E5034" w:rsidRPr="00DA249F">
        <w:rPr>
          <w:rStyle w:val="normaltextrun"/>
          <w:lang w:val="en-GB"/>
        </w:rPr>
        <w:t xml:space="preserve"> species </w:t>
      </w:r>
      <w:r w:rsidR="006C5758" w:rsidRPr="00DA249F">
        <w:rPr>
          <w:rStyle w:val="normaltextrun"/>
          <w:lang w:val="en-GB"/>
        </w:rPr>
        <w:t xml:space="preserve">sown or planted </w:t>
      </w:r>
      <w:r w:rsidRPr="00DA249F">
        <w:rPr>
          <w:rStyle w:val="normaltextrun"/>
          <w:lang w:val="en-GB"/>
        </w:rPr>
        <w:t>for forage</w:t>
      </w:r>
      <w:r w:rsidR="00D07C59">
        <w:rPr>
          <w:rStyle w:val="normaltextrun"/>
          <w:lang w:val="en-GB"/>
        </w:rPr>
        <w:t>,</w:t>
      </w:r>
      <w:r w:rsidR="001D0171" w:rsidRPr="00DA249F">
        <w:rPr>
          <w:rStyle w:val="normaltextrun"/>
          <w:lang w:val="en-GB"/>
        </w:rPr>
        <w:t xml:space="preserve"> or weeds associated with </w:t>
      </w:r>
      <w:r w:rsidRPr="00DA249F">
        <w:rPr>
          <w:rStyle w:val="normaltextrun"/>
          <w:lang w:val="en-GB"/>
        </w:rPr>
        <w:t>these land</w:t>
      </w:r>
      <w:r w:rsidR="00D43B89" w:rsidRPr="00DA249F">
        <w:rPr>
          <w:rStyle w:val="normaltextrun"/>
          <w:lang w:val="en-GB"/>
        </w:rPr>
        <w:t>-</w:t>
      </w:r>
      <w:r w:rsidRPr="00DA249F">
        <w:rPr>
          <w:rStyle w:val="normaltextrun"/>
          <w:lang w:val="en-GB"/>
        </w:rPr>
        <w:t>uses</w:t>
      </w:r>
      <w:r w:rsidR="001D0171" w:rsidRPr="00DA249F">
        <w:rPr>
          <w:rStyle w:val="normaltextrun"/>
          <w:lang w:val="en-GB"/>
        </w:rPr>
        <w:t>,</w:t>
      </w:r>
      <w:r w:rsidR="009E5034" w:rsidRPr="00DA249F">
        <w:rPr>
          <w:rStyle w:val="normaltextrun"/>
          <w:lang w:val="en-GB"/>
        </w:rPr>
        <w:t xml:space="preserve"> </w:t>
      </w:r>
      <w:r w:rsidR="008C333A" w:rsidRPr="00DA249F">
        <w:rPr>
          <w:rStyle w:val="normaltextrun"/>
          <w:lang w:val="en-GB"/>
        </w:rPr>
        <w:t xml:space="preserve">may </w:t>
      </w:r>
      <w:r w:rsidR="009E5034" w:rsidRPr="00DA249F">
        <w:rPr>
          <w:rStyle w:val="normaltextrun"/>
          <w:lang w:val="en-GB"/>
        </w:rPr>
        <w:t>escape and spread into natural ecosystems</w:t>
      </w:r>
      <w:r w:rsidR="00066BF9" w:rsidRPr="00DA249F">
        <w:rPr>
          <w:rStyle w:val="normaltextrun"/>
          <w:lang w:val="en-GB"/>
        </w:rPr>
        <w:t xml:space="preserve"> </w:t>
      </w:r>
      <w:r w:rsidRPr="00DA249F">
        <w:rPr>
          <w:rStyle w:val="normaltextrun"/>
          <w:lang w:val="en-GB"/>
        </w:rPr>
        <w:fldChar w:fldCharType="begin"/>
      </w:r>
      <w:r w:rsidR="00331A79">
        <w:rPr>
          <w:rStyle w:val="normaltextrun"/>
          <w:lang w:val="en-GB"/>
        </w:rPr>
        <w:instrText xml:space="preserve"> ADDIN ZOTERO_ITEM CSL_CITATION {"citationID":"tFJVgzYP","properties":{"formattedCitation":"(Nu\\uc0\\u241{}ez et al., 2017; O\\uc0\\u8217{}Connor &amp; van Wilgen, 2020; P\\uc0\\u225{}ndi et al., 2014)","plainCitation":"(Nuñez et al., 2017; O’Connor &amp; van Wilgen, 2020; Pándi et al., 2014)","noteIndex":0},"citationItems":[{"id":10857,"uris":["http://zotero.org/groups/2352922/items/DLQZUNPX"],"itemData":{"id":10857,"type":"article-journal","container-title":"Biological Invasions","DOI":"10.1007/s10530-017-1483-4","ISSN":"1387-3547, 1573-1464","issue":"11","journalAbbreviation":"Biol Invasions","language":"en","page":"3099-3120","source":"DOI.org (Crossref)","title":"Ecology and management of invasive Pinaceae around the world: progress and challenges","title-short":"Ecology and management of invasive Pinaceae around the world","URL":"http://link.springer.com/10.1007/s10530-017-1483-4","volume":"19","author":[{"family":"Nuñez","given":"Martin A."},{"family":"Chiuffo","given":"Mariana C."},{"family":"Torres","given":"Agostina"},{"family":"Paul","given":"Thomas"},{"family":"Dimarco","given":"Romina D."},{"family":"Raal","given":"Peter"},{"family":"Policelli","given":"Nahuel"},{"family":"Moyano","given":"Jaime"},{"family":"García","given":"Rafael A."},{"family":"Wilgen","given":"Brian W.","non-dropping-particle":"van"},{"family":"Pauchard","given":"Aníbal"},{"family":"Richardson","given":"David M."}],"accessed":{"date-parts":[["2019",10,7]]},"issued":{"date-parts":[["2017",11]]}},"label":"page"},{"id":24702,"uris":["http://zotero.org/groups/2352922/items/MLYTPGXE"],"itemData":{"id":24702,"type":"chapter","abstract":"Rangeland covers &gt;70% of the land surface of South Africa, and includes grassland, savanna, thicket, and karroid shrubland vegetation. These rangelands support domestic livestock and wildlife whose economic value is around ZAR 30 billion annually. They are invaded by hundreds of alien plant species, of which 71 have been identified as being of special importance in South African rangelands. These species are able to proliferate in response to disturbances, of which grazing and fire are the two most important for South African rangelands; changes to fire and grazing regimes can therefore promote invasion, especially by alien trees. These trees replace palatable grasses and are generally unpalatable themselves. At a national scale, invasive alien plants are estimated to reduce the value of livestock production by ZAR 340 million annually, but this is expected to increase dramatically as plant invasions spread, and as additional alien species become invasive. Invasive species that have increased their range dramatically by up to 671% between 2006 and 2016 include Campuloclinium macrocephalum (Pompom Weed), Opuntia engelmannii (Small Round-leaved Prickly Pear),Opuntia humifusa (Large-Flowered Prickly Pear), Parthenium hysterophorus (Parthenium Weed), Trichocereus spachianus (Torch Cactus), and Verbena bonariensis (Wild Verbena). Studies that document the impacts of individual species on rangeland composition and structure cover only a few species, including Prosopis species (Mesquite), Acacia mearnsii (Black Wattle) and Parthenium hysterophorus, all of which can dramatically reduce grass cover and the capacity to support livestock, especially at high densities. Invasive plants in rangelands can also be beneficial as sources of firewood, fodder, shade and medicinal products. Some species may offer considerable value when at low abundance but their detrimental impact far outweighs advantages as their abundance increases, resulting in a net negative value. An escalating threat of alien plants to rangelands demands innovative responses in addition to biological control and clearing programmes.","collection-title":"Invading Nature - Springer Series in Invasion Ecology","container-title":"Biological Invasions in South Africa","event-place":"Cham","ISBN":"978-3-030-32394-3","language":"en","note":"DOI: 10.1007/978-3-030-32394-3_16","page":"459-487","publisher":"Springer International Publishing","publisher-place":"Cham","source":"Springer Link","title":"The Impact of Invasive Alien Plants on Rangelands in South Africa","URL":"https://doi.org/10.1007/978-3-030-32394-3_16","author":[{"family":"O’Connor","given":"Timothy G."},{"family":"Wilgen","given":"Brian W.","non-dropping-particle":"van"}],"editor":[{"family":"Wilgen","given":"Brian W.","non-dropping-particle":"van"},{"family":"Measey","given":"John"},{"family":"Richardson","given":"David M."},{"family":"Wilson","given":"John R."},{"family":"Zengeya","given":"Tsungai A."}],"accessed":{"date-parts":[["2021",3,10]]},"issued":{"date-parts":[["2020"]]}},"label":"page"},{"id":32370,"uris":["http://zotero.org/groups/2352922/items/W7TAZP4J"],"itemData":{"id":32370,"type":"article-journal","container-title":"Biodiversity and Conservation","DOI":"10.1007/s10531-014-0665-y","ISSN":"0960-3115, 1572-9710","issue":"5","journalAbbreviation":"Biodivers Conserv","language":"en","page":"1289-1302","source":"DOI.org (Crossref)","title":"People move but cultivated plants stay: abandoned farmsteads support the persistence and spread of alien plants","title-short":"People move but cultivated plants stay","URL":"http://link.springer.com/10.1007/s10531-014-0665-y","volume":"23","author":[{"family":"Pándi","given":"Ildikó"},{"family":"Penksza","given":"Károly"},{"family":"Botta-Dukát","given":"Zoltán"},{"family":"Kröel-Dulay","given":"György"}],"accessed":{"date-parts":[["2021",12,10]]},"issued":{"date-parts":[["2014",5]]}},"label":"page"}],"schema":"https://github.com/citation-style-language/schema/raw/master/csl-citation.json"} </w:instrText>
      </w:r>
      <w:r w:rsidRPr="00DA249F">
        <w:rPr>
          <w:rStyle w:val="normaltextrun"/>
          <w:lang w:val="en-GB"/>
        </w:rPr>
        <w:fldChar w:fldCharType="separate"/>
      </w:r>
      <w:r w:rsidR="00144D96" w:rsidRPr="00144D96">
        <w:rPr>
          <w:szCs w:val="24"/>
        </w:rPr>
        <w:t>(Nuñez et al., 2017; O’Connor &amp; van Wilgen, 2020; Pándi et al., 2014)</w:t>
      </w:r>
      <w:r w:rsidRPr="00DA249F">
        <w:rPr>
          <w:rStyle w:val="normaltextrun"/>
          <w:lang w:val="en-GB"/>
        </w:rPr>
        <w:fldChar w:fldCharType="end"/>
      </w:r>
      <w:r w:rsidR="6B28960D" w:rsidRPr="00DA249F">
        <w:rPr>
          <w:rStyle w:val="normaltextrun"/>
          <w:lang w:val="en-GB"/>
        </w:rPr>
        <w:t>.</w:t>
      </w:r>
      <w:r w:rsidR="74220AAC" w:rsidRPr="00DA249F">
        <w:rPr>
          <w:rStyle w:val="normaltextrun"/>
          <w:lang w:val="en-GB"/>
        </w:rPr>
        <w:t xml:space="preserve"> </w:t>
      </w:r>
      <w:r w:rsidR="000D3538" w:rsidRPr="00DA249F">
        <w:rPr>
          <w:rStyle w:val="normaltextrun"/>
          <w:lang w:val="en-GB"/>
        </w:rPr>
        <w:t xml:space="preserve">In a survey by Driscoll et al. </w:t>
      </w:r>
      <w:r w:rsidRPr="00DA249F">
        <w:rPr>
          <w:rStyle w:val="normaltextrun"/>
          <w:lang w:val="en-GB"/>
        </w:rPr>
        <w:fldChar w:fldCharType="begin"/>
      </w:r>
      <w:r w:rsidR="00331A79">
        <w:rPr>
          <w:rStyle w:val="normaltextrun"/>
          <w:lang w:val="en-GB"/>
        </w:rPr>
        <w:instrText xml:space="preserve"> ADDIN ZOTERO_ITEM CSL_CITATION {"citationID":"wwfijzSH","properties":{"formattedCitation":"(2014)","plainCitation":"(2014)","noteIndex":0},"citationItems":[{"id":31179,"uris":["http://zotero.org/groups/2352922/items/7WJ3HEZW"],"itemData":{"id":31179,"type":"article-journal","abstract":"Agricultural intensification is critical to meet global food demand, but intensification threatens native species and degrades ecosystems. Sustainable intensification (SI) is heralded as a new approach for enabling growth in agriculture while minimizing environmental impacts. However, the SI literature has overlooked a major environmental risk. Using data from eight countries on six continents, we show that few governments regulate conventionally bred pasture taxa to limit threats to natural areas, even though most agribusinesses promote taxa with substantial weed risk. New pasture taxa (including species, subspecies, varieties, cultivars, and plant-endophyte combinations) are bred with characteristics typical of invasive species and environmental weeds. By introducing novel genetic and endophyte variation, pasture taxa are imbued with additional capacity for invasion and environmental impact. New strategies to prevent future problems are urgently needed. We highlight opportunities for researchers, agribusiness, and consumers to reduce environmental risks associated with new pasture taxa. We also emphasize four main approaches that governments could consider as they build new policies to limit weed risks, including (i) national lists of taxa that are prohibited based on environmental risk; (ii) a weed risk assessment for all new taxa; (iii) a program to rapidly detect and control new taxa that invade natural areas; and (iv) the polluter-pays principle, so that if a taxon becomes an environmental weed, industry pays for its management. There is mounting pressure to increase livestock production. With foresight and planning, growth in agriculture can be achieved sustainably provided that the scope of SI expands to encompass environmental weed risks.","container-title":"Proceedings of the National Academy of Sciences","DOI":"10.1073/pnas.1409347111","ISSN":"0027-8424, 1091-6490","issue":"46","journalAbbreviation":"PNAS","language":"en","note":"publisher: National Academy of Sciences\nsection: Biological Sciences\nPMID: 25368175","page":"16622-16627","source":"www.pnas.org","title":"New pasture plants intensify invasive species risk","URL":"https://www.pnas.org/content/111/46/16622","volume":"111","author":[{"family":"Driscoll","given":"Don A."},{"family":"Catford","given":"Jane A."},{"family":"Barney","given":"Jacob N."},{"family":"Hulme","given":"Philip E."},{"literal":"Inderjit"},{"family":"Martin","given":"Tara G."},{"family":"Pauchard","given":"Aníbal"},{"family":"Pyšek","given":"Petr"},{"family":"Richardson","given":"David M."},{"family":"Riley","given":"Sophie"},{"family":"Visser","given":"Vernon"}],"accessed":{"date-parts":[["2021",10,29]]},"issued":{"date-parts":[["2014",11,18]]}},"label":"page","suppress-author":true}],"schema":"https://github.com/citation-style-language/schema/raw/master/csl-citation.json"} </w:instrText>
      </w:r>
      <w:r w:rsidRPr="00DA249F">
        <w:rPr>
          <w:rStyle w:val="normaltextrun"/>
          <w:lang w:val="en-GB"/>
        </w:rPr>
        <w:fldChar w:fldCharType="separate"/>
      </w:r>
      <w:r w:rsidR="00144D96" w:rsidRPr="00144D96">
        <w:t>(2014)</w:t>
      </w:r>
      <w:r w:rsidRPr="00DA249F">
        <w:rPr>
          <w:rStyle w:val="normaltextrun"/>
          <w:lang w:val="en-GB"/>
        </w:rPr>
        <w:fldChar w:fldCharType="end"/>
      </w:r>
      <w:r w:rsidR="00064ED1" w:rsidRPr="00DA249F">
        <w:rPr>
          <w:rStyle w:val="normaltextrun"/>
          <w:lang w:val="en-GB"/>
        </w:rPr>
        <w:t xml:space="preserve">, </w:t>
      </w:r>
      <w:r w:rsidR="000D3538" w:rsidRPr="00DA249F">
        <w:rPr>
          <w:rStyle w:val="normaltextrun"/>
          <w:lang w:val="en-GB"/>
        </w:rPr>
        <w:t>91</w:t>
      </w:r>
      <w:r w:rsidR="004C77CD" w:rsidRPr="00DA249F">
        <w:rPr>
          <w:rStyle w:val="normaltextrun"/>
          <w:lang w:val="en-GB"/>
        </w:rPr>
        <w:t xml:space="preserve"> per cent</w:t>
      </w:r>
      <w:r w:rsidR="000D3538" w:rsidRPr="00DA249F">
        <w:rPr>
          <w:rStyle w:val="normaltextrun"/>
          <w:lang w:val="en-GB"/>
        </w:rPr>
        <w:t xml:space="preserve"> of </w:t>
      </w:r>
      <w:r w:rsidR="003703CC" w:rsidRPr="00DA249F">
        <w:rPr>
          <w:rStyle w:val="normaltextrun"/>
          <w:lang w:val="en-GB"/>
        </w:rPr>
        <w:t xml:space="preserve">grasses </w:t>
      </w:r>
      <w:r w:rsidR="000D3538" w:rsidRPr="00DA249F">
        <w:rPr>
          <w:rStyle w:val="normaltextrun"/>
          <w:lang w:val="en-GB"/>
        </w:rPr>
        <w:t xml:space="preserve">developed by agribusiness </w:t>
      </w:r>
      <w:r w:rsidR="003703CC" w:rsidRPr="00DA249F">
        <w:rPr>
          <w:rStyle w:val="normaltextrun"/>
          <w:lang w:val="en-GB"/>
        </w:rPr>
        <w:t xml:space="preserve">for pasture </w:t>
      </w:r>
      <w:r w:rsidR="000D3538" w:rsidRPr="00DA249F">
        <w:rPr>
          <w:rStyle w:val="normaltextrun"/>
          <w:lang w:val="en-GB"/>
        </w:rPr>
        <w:t xml:space="preserve">were listed as weeds somewhere in the world, and often in the same countries </w:t>
      </w:r>
      <w:r w:rsidR="00D07C59">
        <w:rPr>
          <w:rStyle w:val="normaltextrun"/>
          <w:lang w:val="en-GB"/>
        </w:rPr>
        <w:t xml:space="preserve">where </w:t>
      </w:r>
      <w:r w:rsidR="000D3538" w:rsidRPr="00DA249F">
        <w:rPr>
          <w:rStyle w:val="normaltextrun"/>
          <w:lang w:val="en-GB"/>
        </w:rPr>
        <w:t>they were actively been developed and markete</w:t>
      </w:r>
      <w:r w:rsidR="00BE69E5" w:rsidRPr="00DA249F">
        <w:rPr>
          <w:rStyle w:val="normaltextrun"/>
          <w:lang w:val="en-GB"/>
        </w:rPr>
        <w:t>d</w:t>
      </w:r>
      <w:r w:rsidR="000D3538" w:rsidRPr="00DA249F">
        <w:rPr>
          <w:rStyle w:val="normaltextrun"/>
          <w:lang w:val="en-GB"/>
        </w:rPr>
        <w:t xml:space="preserve">. </w:t>
      </w:r>
      <w:r w:rsidR="007D142E" w:rsidRPr="00DA249F">
        <w:rPr>
          <w:rStyle w:val="normaltextrun"/>
          <w:lang w:val="en-GB"/>
        </w:rPr>
        <w:t>P</w:t>
      </w:r>
      <w:r w:rsidR="000D3538" w:rsidRPr="00DA249F">
        <w:rPr>
          <w:rStyle w:val="normaltextrun"/>
          <w:lang w:val="en-GB"/>
        </w:rPr>
        <w:t>olicies aiming to facilitate pastoral development can also be responsible for introductions, such as</w:t>
      </w:r>
      <w:r w:rsidR="00253EBB">
        <w:rPr>
          <w:rStyle w:val="normaltextrun"/>
          <w:lang w:val="en-GB"/>
        </w:rPr>
        <w:t xml:space="preserve"> occurred for</w:t>
      </w:r>
      <w:r w:rsidR="000D3538" w:rsidRPr="00DA249F">
        <w:rPr>
          <w:rStyle w:val="normaltextrun"/>
          <w:lang w:val="en-GB"/>
        </w:rPr>
        <w:t xml:space="preserve"> the pasture grass </w:t>
      </w:r>
      <w:r w:rsidR="00FD49C8" w:rsidRPr="00DA249F">
        <w:rPr>
          <w:rStyle w:val="normaltextrun"/>
          <w:i/>
          <w:iCs/>
          <w:lang w:val="en-GB"/>
        </w:rPr>
        <w:t>Andropogon gayanus</w:t>
      </w:r>
      <w:r w:rsidR="00FD49C8" w:rsidRPr="00DA249F">
        <w:rPr>
          <w:rStyle w:val="normaltextrun"/>
          <w:lang w:val="en-GB"/>
        </w:rPr>
        <w:t xml:space="preserve"> (</w:t>
      </w:r>
      <w:r w:rsidR="003E008F">
        <w:rPr>
          <w:rFonts w:eastAsia="Times New Roman"/>
          <w:color w:val="000000"/>
          <w:szCs w:val="24"/>
          <w:lang w:val="en-GB" w:eastAsia="zh-CN"/>
        </w:rPr>
        <w:t>t</w:t>
      </w:r>
      <w:r w:rsidR="000C61EB" w:rsidRPr="00DA249F">
        <w:rPr>
          <w:rFonts w:eastAsia="Times New Roman"/>
          <w:color w:val="000000"/>
          <w:szCs w:val="24"/>
          <w:lang w:val="en-GB" w:eastAsia="zh-CN"/>
        </w:rPr>
        <w:t>ambuki grass</w:t>
      </w:r>
      <w:r w:rsidR="000D3538" w:rsidRPr="00DA249F">
        <w:rPr>
          <w:rStyle w:val="normaltextrun"/>
          <w:iCs/>
          <w:lang w:val="en-GB"/>
        </w:rPr>
        <w:t>)</w:t>
      </w:r>
      <w:r w:rsidR="000D3538" w:rsidRPr="00DA249F">
        <w:rPr>
          <w:rStyle w:val="normaltextrun"/>
          <w:i/>
          <w:iCs/>
          <w:lang w:val="en-GB"/>
        </w:rPr>
        <w:t xml:space="preserve"> </w:t>
      </w:r>
      <w:r w:rsidR="000D3538" w:rsidRPr="00DA249F">
        <w:rPr>
          <w:rStyle w:val="normaltextrun"/>
          <w:lang w:val="en-GB"/>
        </w:rPr>
        <w:t xml:space="preserve">in Australia </w:t>
      </w:r>
      <w:r w:rsidRPr="00DA249F">
        <w:rPr>
          <w:rStyle w:val="normaltextrun"/>
          <w:lang w:val="en-GB"/>
        </w:rPr>
        <w:fldChar w:fldCharType="begin"/>
      </w:r>
      <w:r w:rsidR="00331A79">
        <w:rPr>
          <w:rStyle w:val="normaltextrun"/>
          <w:lang w:val="en-GB"/>
        </w:rPr>
        <w:instrText xml:space="preserve"> ADDIN ZOTERO_ITEM CSL_CITATION {"citationID":"CFSaDVn3","properties":{"formattedCitation":"(Cook &amp; Dias, 2006)","plainCitation":"(Cook &amp; Dias, 2006)","noteIndex":0},"citationItems":[{"id":32944,"uris":["http://zotero.org/groups/2352922/items/QGKNGZRV"],"itemData":{"id":32944,"type":"article-journal","abstract":"The weedy potential of deliberately introduced plants has been a growing concern in Australia since the late 1980s. Although introduced plants are critical to Australia’s agricultural and livestock production, many species that were praised in the past are now declared agricultural and environmental weeds. Nevertheless, weeds researchers appear largely ignorant of the magnitude and intent of plant introductions for agricultural purposes as well as the legacy of unwanted plants. Across more than 70 years, Commonwealth Plant Introductions comprised 145 000 accessions of more than 8200 species. These species include more than 2200 grass (Poaceae) and 2200 legume species (Fabaceae sensu stricto), representing about twice the indigenous flora in those families and about 22 and 18%, respectively, of the global flora of grasses and legumes. For most of the 20th century, these and other introductions supported research into continental-scale transformation of Australian landscapes to support greatly increased pastoral productivity in order to achieve policy goals of maximum density of human population. This paper documents some of the scientific developments and debates that affected the plant-introduction program. We argue that recent developments in weed science and policy need to be informed by a better understanding of plant-introduction history.","container-title":"Australian Journal of Botany","DOI":"10.1071/BT05157","ISSN":"0067-1924","issue":"7","journalAbbreviation":"Aust. J. Bot.","language":"en","page":"601-625","source":"DOI.org (Crossref)","title":"It was no accident: deliberate plant introductions by Australian government agencies during the 20th century","title-short":"It was no accident","URL":"http://www.publish.csiro.au/?paper=BT05157","volume":"54","author":[{"family":"Cook","given":"Garry D."},{"family":"Dias","given":"Lesley"}],"accessed":{"date-parts":[["2021",11,18]]},"issued":{"date-parts":[["2006"]]}},"label":"page"}],"schema":"https://github.com/citation-style-language/schema/raw/master/csl-citation.json"} </w:instrText>
      </w:r>
      <w:r w:rsidRPr="00DA249F">
        <w:rPr>
          <w:rStyle w:val="normaltextrun"/>
          <w:lang w:val="en-GB"/>
        </w:rPr>
        <w:fldChar w:fldCharType="separate"/>
      </w:r>
      <w:r w:rsidR="00144D96" w:rsidRPr="00144D96">
        <w:t>(Cook &amp; Dias, 2006)</w:t>
      </w:r>
      <w:r w:rsidRPr="00DA249F">
        <w:rPr>
          <w:rStyle w:val="normaltextrun"/>
          <w:lang w:val="en-GB"/>
        </w:rPr>
        <w:fldChar w:fldCharType="end"/>
      </w:r>
      <w:r w:rsidR="000D3538" w:rsidRPr="00DA249F">
        <w:rPr>
          <w:rStyle w:val="normaltextrun"/>
          <w:lang w:val="en-GB"/>
        </w:rPr>
        <w:t xml:space="preserve">, which is now </w:t>
      </w:r>
      <w:r w:rsidR="00253EBB">
        <w:rPr>
          <w:rStyle w:val="normaltextrun"/>
          <w:lang w:val="en-GB"/>
        </w:rPr>
        <w:t xml:space="preserve">known </w:t>
      </w:r>
      <w:r w:rsidR="000D3538" w:rsidRPr="00DA249F">
        <w:rPr>
          <w:rStyle w:val="normaltextrun"/>
          <w:lang w:val="en-GB"/>
        </w:rPr>
        <w:t xml:space="preserve">to increase wildfire intensity, and transform species-rich savannah systems into </w:t>
      </w:r>
      <w:r w:rsidR="00170A3E" w:rsidRPr="00DA249F">
        <w:rPr>
          <w:rStyle w:val="normaltextrun"/>
          <w:lang w:val="en-GB"/>
        </w:rPr>
        <w:t>alien</w:t>
      </w:r>
      <w:r w:rsidR="000D3538" w:rsidRPr="00DA249F">
        <w:rPr>
          <w:rStyle w:val="normaltextrun"/>
          <w:lang w:val="en-GB"/>
        </w:rPr>
        <w:t xml:space="preserve">-dominated grasslands </w:t>
      </w:r>
      <w:r w:rsidRPr="00DA249F">
        <w:rPr>
          <w:rStyle w:val="normaltextrun"/>
          <w:lang w:val="en-GB"/>
        </w:rPr>
        <w:fldChar w:fldCharType="begin"/>
      </w:r>
      <w:r w:rsidR="00331A79">
        <w:rPr>
          <w:rStyle w:val="normaltextrun"/>
          <w:lang w:val="en-GB"/>
        </w:rPr>
        <w:instrText xml:space="preserve"> ADDIN ZOTERO_ITEM CSL_CITATION {"citationID":"typajM3N","properties":{"formattedCitation":"(Driscoll et al., 2014)","plainCitation":"(Driscoll et al., 2014)","dontUpdate":true,"noteIndex":0},"citationItems":[{"id":31179,"uris":["http://zotero.org/groups/2352922/items/7WJ3HEZW"],"itemData":{"id":31179,"type":"article-journal","abstract":"Agricultural intensification is critical to meet global food demand, but intensification threatens native species and degrades ecosystems. Sustainable intensification (SI) is heralded as a new approach for enabling growth in agriculture while minimizing environmental impacts. However, the SI literature has overlooked a major environmental risk. Using data from eight countries on six continents, we show that few governments regulate conventionally bred pasture taxa to limit threats to natural areas, even though most agribusinesses promote taxa with substantial weed risk. New pasture taxa (including species, subspecies, varieties, cultivars, and plant-endophyte combinations) are bred with characteristics typical of invasive species and environmental weeds. By introducing novel genetic and endophyte variation, pasture taxa are imbued with additional capacity for invasion and environmental impact. New strategies to prevent future problems are urgently needed. We highlight opportunities for researchers, agribusiness, and consumers to reduce environmental risks associated with new pasture taxa. We also emphasize four main approaches that governments could consider as they build new policies to limit weed risks, including (i) national lists of taxa that are prohibited based on environmental risk; (ii) a weed risk assessment for all new taxa; (iii) a program to rapidly detect and control new taxa that invade natural areas; and (iv) the polluter-pays principle, so that if a taxon becomes an environmental weed, industry pays for its management. There is mounting pressure to increase livestock production. With foresight and planning, growth in agriculture can be achieved sustainably provided that the scope of SI expands to encompass environmental weed risks.","container-title":"Proceedings of the National Academy of Sciences","DOI":"10.1073/pnas.1409347111","ISSN":"0027-8424, 1091-6490","issue":"46","journalAbbreviation":"PNAS","language":"en","note":"publisher: National Academy of Sciences\nsection: Biological Sciences\nPMID: 25368175","page":"16622-16627","source":"www.pnas.org","title":"New pasture plants intensify invasive species risk","URL":"https://www.pnas.org/content/111/46/16622","volume":"111","author":[{"family":"Driscoll","given":"Don A."},{"family":"Catford","given":"Jane A."},{"family":"Barney","given":"Jacob N."},{"family":"Hulme","given":"Philip E."},{"literal":"Inderjit"},{"family":"Martin","given":"Tara G."},{"family":"Pauchard","given":"Aníbal"},{"family":"Pyšek","given":"Petr"},{"family":"Richardson","given":"David M."},{"family":"Riley","given":"Sophie"},{"family":"Visser","given":"Vernon"}],"accessed":{"date-parts":[["2021",10,29]]},"issued":{"date-parts":[["2014",11,18]]}}}],"schema":"https://github.com/citation-style-language/schema/raw/master/csl-citation.json"} </w:instrText>
      </w:r>
      <w:r w:rsidRPr="00DA249F">
        <w:rPr>
          <w:rStyle w:val="normaltextrun"/>
          <w:lang w:val="en-GB"/>
        </w:rPr>
        <w:fldChar w:fldCharType="separate"/>
      </w:r>
      <w:r w:rsidR="004A414B" w:rsidRPr="00DA249F">
        <w:rPr>
          <w:lang w:val="en-GB"/>
        </w:rPr>
        <w:t>(Driscoll et al., 2014</w:t>
      </w:r>
      <w:r w:rsidRPr="00DA249F">
        <w:rPr>
          <w:rStyle w:val="normaltextrun"/>
          <w:lang w:val="en-GB"/>
        </w:rPr>
        <w:fldChar w:fldCharType="end"/>
      </w:r>
      <w:r w:rsidR="00906111">
        <w:rPr>
          <w:rStyle w:val="normaltextrun"/>
          <w:lang w:val="en-GB"/>
        </w:rPr>
        <w:t xml:space="preserve">; </w:t>
      </w:r>
      <w:r w:rsidR="00906111" w:rsidRPr="00031C70">
        <w:rPr>
          <w:rStyle w:val="normaltextrun"/>
          <w:b/>
          <w:bCs/>
          <w:lang w:val="en-GB"/>
        </w:rPr>
        <w:t>section 3.2.5</w:t>
      </w:r>
      <w:r w:rsidR="00906111">
        <w:rPr>
          <w:rStyle w:val="normaltextrun"/>
          <w:lang w:val="en-GB"/>
        </w:rPr>
        <w:t>)</w:t>
      </w:r>
      <w:r w:rsidR="000D3538" w:rsidRPr="00DA249F">
        <w:rPr>
          <w:rStyle w:val="normaltextrun"/>
          <w:lang w:val="en-GB"/>
        </w:rPr>
        <w:t>. In Texas, U</w:t>
      </w:r>
      <w:r w:rsidR="007E2C45" w:rsidRPr="00DA249F">
        <w:rPr>
          <w:rStyle w:val="normaltextrun"/>
          <w:lang w:val="en-GB"/>
        </w:rPr>
        <w:t xml:space="preserve">nited </w:t>
      </w:r>
      <w:r w:rsidR="000D3538" w:rsidRPr="00DA249F">
        <w:rPr>
          <w:rStyle w:val="normaltextrun"/>
          <w:lang w:val="en-GB"/>
        </w:rPr>
        <w:t>S</w:t>
      </w:r>
      <w:r w:rsidR="007E2C45" w:rsidRPr="00DA249F">
        <w:rPr>
          <w:rStyle w:val="normaltextrun"/>
          <w:lang w:val="en-GB"/>
        </w:rPr>
        <w:t>tates</w:t>
      </w:r>
      <w:r w:rsidR="000D3538" w:rsidRPr="00DA249F">
        <w:rPr>
          <w:rStyle w:val="normaltextrun"/>
          <w:lang w:val="en-GB"/>
        </w:rPr>
        <w:t xml:space="preserve">, </w:t>
      </w:r>
      <w:r w:rsidR="00170A3E" w:rsidRPr="00DA249F">
        <w:rPr>
          <w:rStyle w:val="normaltextrun"/>
          <w:lang w:val="en-GB"/>
        </w:rPr>
        <w:t>alien</w:t>
      </w:r>
      <w:r w:rsidR="000D3538" w:rsidRPr="00DA249F">
        <w:rPr>
          <w:rStyle w:val="normaltextrun"/>
          <w:lang w:val="en-GB"/>
        </w:rPr>
        <w:t xml:space="preserve"> grass species were seen as the future of forage production during the early </w:t>
      </w:r>
      <w:r w:rsidR="00EF33C9" w:rsidRPr="00DA249F">
        <w:rPr>
          <w:rStyle w:val="normaltextrun"/>
          <w:lang w:val="en-GB"/>
        </w:rPr>
        <w:t>twentieth</w:t>
      </w:r>
      <w:r w:rsidR="000D3538" w:rsidRPr="00DA249F">
        <w:rPr>
          <w:rStyle w:val="normaltextrun"/>
          <w:lang w:val="en-GB"/>
        </w:rPr>
        <w:t xml:space="preserve"> </w:t>
      </w:r>
      <w:r w:rsidR="00A53043" w:rsidRPr="00DA249F">
        <w:rPr>
          <w:rStyle w:val="normaltextrun"/>
          <w:lang w:val="en-GB"/>
        </w:rPr>
        <w:t>century</w:t>
      </w:r>
      <w:r w:rsidR="000D3538" w:rsidRPr="00DA249F">
        <w:rPr>
          <w:rStyle w:val="normaltextrun"/>
          <w:lang w:val="en-GB"/>
        </w:rPr>
        <w:t xml:space="preserve">, and several introduced species have since escaped pasture cultivation: </w:t>
      </w:r>
      <w:r w:rsidR="00FD49C8" w:rsidRPr="00DA249F">
        <w:rPr>
          <w:rStyle w:val="normaltextrun"/>
          <w:i/>
          <w:iCs/>
          <w:lang w:val="en-GB"/>
        </w:rPr>
        <w:t>Bothriochloa ischaemum</w:t>
      </w:r>
      <w:r w:rsidR="00FD49C8" w:rsidRPr="00DA249F">
        <w:rPr>
          <w:rStyle w:val="normaltextrun"/>
          <w:lang w:val="en-GB"/>
        </w:rPr>
        <w:t xml:space="preserve"> (</w:t>
      </w:r>
      <w:r w:rsidR="0079286F" w:rsidRPr="00DA249F">
        <w:rPr>
          <w:rStyle w:val="normaltextrun"/>
          <w:lang w:val="en-GB"/>
        </w:rPr>
        <w:t>yellow bluestem</w:t>
      </w:r>
      <w:r w:rsidR="000D3538" w:rsidRPr="00DA249F">
        <w:rPr>
          <w:rStyle w:val="normaltextrun"/>
          <w:lang w:val="en-GB"/>
        </w:rPr>
        <w:t xml:space="preserve">), </w:t>
      </w:r>
      <w:r w:rsidR="00FD49C8" w:rsidRPr="00DA249F">
        <w:rPr>
          <w:rStyle w:val="normaltextrun"/>
          <w:i/>
          <w:iCs/>
          <w:lang w:val="en-GB"/>
        </w:rPr>
        <w:t>Dichanthium annulatum</w:t>
      </w:r>
      <w:r w:rsidR="00FD49C8" w:rsidRPr="00DA249F">
        <w:rPr>
          <w:rStyle w:val="normaltextrun"/>
          <w:lang w:val="en-GB"/>
        </w:rPr>
        <w:t xml:space="preserve"> (</w:t>
      </w:r>
      <w:r w:rsidR="000D3538" w:rsidRPr="00DA249F">
        <w:rPr>
          <w:rStyle w:val="normaltextrun"/>
          <w:lang w:val="en-GB"/>
        </w:rPr>
        <w:t>Kleberg</w:t>
      </w:r>
      <w:r w:rsidR="0049291C" w:rsidRPr="00DA249F">
        <w:rPr>
          <w:rStyle w:val="normaltextrun"/>
          <w:lang w:val="en-GB"/>
        </w:rPr>
        <w:t>’s</w:t>
      </w:r>
      <w:r w:rsidR="000D3538" w:rsidRPr="00DA249F">
        <w:rPr>
          <w:rStyle w:val="normaltextrun"/>
          <w:lang w:val="en-GB"/>
        </w:rPr>
        <w:t xml:space="preserve"> bluestem), </w:t>
      </w:r>
      <w:r w:rsidR="00FD49C8" w:rsidRPr="00DA249F">
        <w:rPr>
          <w:rStyle w:val="normaltextrun"/>
          <w:i/>
          <w:iCs/>
          <w:lang w:val="en-GB"/>
        </w:rPr>
        <w:t>Dichanthium aristatum</w:t>
      </w:r>
      <w:r w:rsidR="00FD49C8" w:rsidRPr="00DA249F">
        <w:rPr>
          <w:rStyle w:val="normaltextrun"/>
          <w:lang w:val="en-GB"/>
        </w:rPr>
        <w:t xml:space="preserve"> (</w:t>
      </w:r>
      <w:r w:rsidR="00F95706">
        <w:rPr>
          <w:rStyle w:val="normaltextrun"/>
          <w:lang w:val="en-GB"/>
        </w:rPr>
        <w:t>a</w:t>
      </w:r>
      <w:r w:rsidR="000D3538" w:rsidRPr="00DA249F">
        <w:rPr>
          <w:rStyle w:val="normaltextrun"/>
          <w:lang w:val="en-GB"/>
        </w:rPr>
        <w:t>ngelton bluestem</w:t>
      </w:r>
      <w:r w:rsidR="00FD49C8" w:rsidRPr="00DA249F">
        <w:rPr>
          <w:rStyle w:val="normaltextrun"/>
          <w:lang w:val="en-GB"/>
        </w:rPr>
        <w:t>)</w:t>
      </w:r>
      <w:r w:rsidR="000D3538" w:rsidRPr="00DA249F">
        <w:rPr>
          <w:rStyle w:val="normaltextrun"/>
          <w:lang w:val="en-GB"/>
        </w:rPr>
        <w:t xml:space="preserve">, </w:t>
      </w:r>
      <w:r w:rsidR="00DD5D87" w:rsidRPr="00DA249F">
        <w:rPr>
          <w:rStyle w:val="normaltextrun"/>
          <w:i/>
          <w:iCs/>
          <w:lang w:val="en-GB"/>
        </w:rPr>
        <w:t xml:space="preserve">Cenchrus ciliaris </w:t>
      </w:r>
      <w:r w:rsidR="000D3538" w:rsidRPr="00DA249F">
        <w:rPr>
          <w:rStyle w:val="normaltextrun"/>
          <w:lang w:val="en-GB"/>
        </w:rPr>
        <w:t>(</w:t>
      </w:r>
      <w:r w:rsidR="003E008F">
        <w:rPr>
          <w:rStyle w:val="normaltextrun"/>
          <w:lang w:val="en-GB"/>
        </w:rPr>
        <w:t>b</w:t>
      </w:r>
      <w:r w:rsidR="00FD49C8" w:rsidRPr="00DA249F">
        <w:rPr>
          <w:rStyle w:val="normaltextrun"/>
          <w:lang w:val="en-GB"/>
        </w:rPr>
        <w:t>uffel</w:t>
      </w:r>
      <w:r w:rsidR="00600792" w:rsidRPr="00DA249F">
        <w:rPr>
          <w:rStyle w:val="normaltextrun"/>
          <w:lang w:val="en-GB"/>
        </w:rPr>
        <w:t xml:space="preserve"> </w:t>
      </w:r>
      <w:r w:rsidR="00FD49C8" w:rsidRPr="00DA249F">
        <w:rPr>
          <w:rStyle w:val="normaltextrun"/>
          <w:lang w:val="en-GB"/>
        </w:rPr>
        <w:t>grass</w:t>
      </w:r>
      <w:r w:rsidR="000D3538" w:rsidRPr="00DA249F">
        <w:rPr>
          <w:rStyle w:val="normaltextrun"/>
          <w:lang w:val="en-GB"/>
        </w:rPr>
        <w:t xml:space="preserve">), </w:t>
      </w:r>
      <w:r w:rsidR="00C250AA" w:rsidRPr="00DA249F">
        <w:rPr>
          <w:rStyle w:val="normaltextrun"/>
          <w:i/>
          <w:iCs/>
          <w:lang w:val="en-GB"/>
        </w:rPr>
        <w:t>Megathyrsus maximus</w:t>
      </w:r>
      <w:r w:rsidR="00FD49C8" w:rsidRPr="00DA249F">
        <w:rPr>
          <w:rStyle w:val="normaltextrun"/>
          <w:lang w:val="en-GB"/>
        </w:rPr>
        <w:t xml:space="preserve"> (</w:t>
      </w:r>
      <w:r w:rsidR="00937AC5" w:rsidRPr="00DA249F">
        <w:rPr>
          <w:rStyle w:val="normaltextrun"/>
          <w:lang w:val="en-GB"/>
        </w:rPr>
        <w:t>G</w:t>
      </w:r>
      <w:r w:rsidR="000D3538" w:rsidRPr="00DA249F">
        <w:rPr>
          <w:rStyle w:val="normaltextrun"/>
          <w:lang w:val="en-GB"/>
        </w:rPr>
        <w:t>uinea grass</w:t>
      </w:r>
      <w:r w:rsidR="00FD49C8" w:rsidRPr="00DA249F">
        <w:rPr>
          <w:rStyle w:val="normaltextrun"/>
          <w:lang w:val="en-GB"/>
        </w:rPr>
        <w:t>)</w:t>
      </w:r>
      <w:r w:rsidR="00D927AF" w:rsidRPr="00DA249F">
        <w:rPr>
          <w:rStyle w:val="normaltextrun"/>
          <w:lang w:val="en-GB"/>
        </w:rPr>
        <w:t>,</w:t>
      </w:r>
      <w:r w:rsidR="000D3538" w:rsidRPr="00DA249F">
        <w:rPr>
          <w:rStyle w:val="normaltextrun"/>
          <w:lang w:val="en-GB"/>
        </w:rPr>
        <w:t xml:space="preserve"> </w:t>
      </w:r>
      <w:r w:rsidR="00FD49C8" w:rsidRPr="00DA249F">
        <w:rPr>
          <w:rStyle w:val="normaltextrun"/>
          <w:i/>
          <w:iCs/>
          <w:lang w:val="en-GB"/>
        </w:rPr>
        <w:t>Eragrostis lehmanniana</w:t>
      </w:r>
      <w:r w:rsidR="00FD49C8" w:rsidRPr="00DA249F">
        <w:rPr>
          <w:rStyle w:val="normaltextrun"/>
          <w:lang w:val="en-GB"/>
        </w:rPr>
        <w:t xml:space="preserve"> (</w:t>
      </w:r>
      <w:r w:rsidR="000D3538" w:rsidRPr="00DA249F">
        <w:rPr>
          <w:rStyle w:val="normaltextrun"/>
          <w:lang w:val="en-GB"/>
        </w:rPr>
        <w:t>Lehmann lovegrass)</w:t>
      </w:r>
      <w:r w:rsidR="00774819">
        <w:rPr>
          <w:rStyle w:val="normaltextrun"/>
          <w:lang w:val="en-GB"/>
        </w:rPr>
        <w:t xml:space="preserve"> and</w:t>
      </w:r>
      <w:r w:rsidR="000D3538" w:rsidRPr="00DA249F">
        <w:rPr>
          <w:rStyle w:val="normaltextrun"/>
          <w:lang w:val="en-GB"/>
        </w:rPr>
        <w:t xml:space="preserve"> </w:t>
      </w:r>
      <w:r w:rsidR="00FD49C8" w:rsidRPr="00DA249F">
        <w:rPr>
          <w:rStyle w:val="normaltextrun"/>
          <w:i/>
          <w:iCs/>
          <w:lang w:val="en-GB"/>
        </w:rPr>
        <w:t>Cynodon dactylon</w:t>
      </w:r>
      <w:r w:rsidR="00FD49C8" w:rsidRPr="00DA249F">
        <w:rPr>
          <w:rStyle w:val="normaltextrun"/>
          <w:lang w:val="en-GB"/>
        </w:rPr>
        <w:t xml:space="preserve"> (</w:t>
      </w:r>
      <w:r w:rsidR="000D3538" w:rsidRPr="00DA249F">
        <w:rPr>
          <w:rStyle w:val="normaltextrun"/>
          <w:lang w:val="en-GB"/>
        </w:rPr>
        <w:t>Bermuda</w:t>
      </w:r>
      <w:r w:rsidR="00BD146A" w:rsidRPr="00DA249F">
        <w:rPr>
          <w:rStyle w:val="normaltextrun"/>
          <w:lang w:val="en-GB"/>
        </w:rPr>
        <w:t xml:space="preserve"> </w:t>
      </w:r>
      <w:r w:rsidR="000D3538" w:rsidRPr="00DA249F">
        <w:rPr>
          <w:rStyle w:val="normaltextrun"/>
          <w:lang w:val="en-GB"/>
        </w:rPr>
        <w:t>grass</w:t>
      </w:r>
      <w:r w:rsidR="006743C0" w:rsidRPr="00DA249F">
        <w:rPr>
          <w:rStyle w:val="normaltextrun"/>
          <w:lang w:val="en-GB"/>
        </w:rPr>
        <w:t>)</w:t>
      </w:r>
      <w:r w:rsidR="000D3538" w:rsidRPr="00DA249F">
        <w:rPr>
          <w:rStyle w:val="normaltextrun"/>
          <w:lang w:val="en-GB"/>
        </w:rPr>
        <w:t xml:space="preserve"> </w:t>
      </w:r>
      <w:r w:rsidRPr="00DA249F">
        <w:rPr>
          <w:rStyle w:val="normaltextrun"/>
          <w:lang w:val="en-GB"/>
        </w:rPr>
        <w:fldChar w:fldCharType="begin"/>
      </w:r>
      <w:r w:rsidR="00331A79">
        <w:rPr>
          <w:rStyle w:val="normaltextrun"/>
          <w:lang w:val="en-GB"/>
        </w:rPr>
        <w:instrText xml:space="preserve"> ADDIN ZOTERO_ITEM CSL_CITATION {"citationID":"L3wjAq1L","properties":{"formattedCitation":"(Wied et al., 2020)","plainCitation":"(Wied et al., 2020)","noteIndex":0},"citationItems":[{"id":32919,"uris":["http://zotero.org/groups/2352922/items/6UBP47RK"],"itemData":{"id":32919,"type":"article-journal","abstract":"South Texas is home to a high diversity of species due to its location at the confluence of subtropical, desert, and coastal ecoregions. Historical overgrazing of South Texas rangelands transformed the savanna and prairie to a landscape dominated by woody plants and shrubs interspersed with low seral grass species and bare ground. During the first half of the 20th century, exotic grass species, coupled with the application of industrial agricultural practices appeared to be the future of forage production in South Texas and elsewhere. Several of these exotic species, namely King Ranch bluestem [Bothriochloa ischaemum (L.) Keng], Kleberg bluestem [Dichanthium annulatum (Forssk.) Stapf], Angelton bluestem [Dichanthium aristatum (Poir.) C.E. Hubbard], buffelgrass [Pennisetum ciliare (L.) Link], guineagrass [Urochloa maxima (Jacq.) R. Webster], Lehmann lovegrass (Eragrostis lehmanniana Nees), and Bermudagrass [Cynodon dactylon (L.) Pers.], have escaped pasture cultivation. Additionally, the native grass tanglehead [Heteropogon contortus (L.) P. Beauv. ex Roem. &amp; Schult.] has begun displaying invasive behaviors. The monoculture growth habit of these species simplifies vegetation structure, reduces biodiversity, and decreases habitat for many species of wildlife. These grasses also alter natural fire regimes and nutrient cycling. This landscape-level transformation of vegetation composition and structure requires monitoring to quantify and assess the spatial and temporal distributions of invasive species as a basis to inform management practices. Current advances in remote sensing technologies, such as very high spatial resolution coupled with daily satellite imagery and unmanned aerial vehicles, are providing tools for invasive vegetation monitoring. We provide a synthesis of the natural history of these grasses, including their introductions, an overview of remote sensing applications in South Texas, and recommendations for future management practices.","container-title":"Invasive Plant Science and Management","DOI":"10.1017/inp.2020.11","ISSN":"1939-7291, 1939-747X","issue":"2","language":"en","note":"number: 2\npublisher: Cambridge University Press","page":"41-58","source":"Cambridge University Press","title":"Invasive grasses in South Texas rangelands: historical perspectives and future directions","title-short":"Invasive grasses in South Texas rangelands","URL":"https://www.cambridge.org/core/journals/invasive-plant-science-and-management/article/invasive-grasses-in-south-texas-rangelands-historical-perspectives-and-future-directions/AB711DEC025CC60139C9601A08AAA148","volume":"13","author":[{"family":"Wied","given":"Justin P."},{"family":"Perotto-Baldivieso","given":"Humberto L."},{"family":"Conkey","given":"April A. T."},{"family":"Brennan","given":"Leonard A."},{"family":"Mata","given":"José M."}],"accessed":{"date-parts":[["2021",12,7]]},"issued":{"date-parts":[["2020",6]]}},"label":"page"}],"schema":"https://github.com/citation-style-language/schema/raw/master/csl-citation.json"} </w:instrText>
      </w:r>
      <w:r w:rsidRPr="00DA249F">
        <w:rPr>
          <w:rStyle w:val="normaltextrun"/>
          <w:lang w:val="en-GB"/>
        </w:rPr>
        <w:fldChar w:fldCharType="separate"/>
      </w:r>
      <w:r w:rsidR="00144D96" w:rsidRPr="00144D96">
        <w:t>(Wied et al., 2020)</w:t>
      </w:r>
      <w:r w:rsidRPr="00DA249F">
        <w:rPr>
          <w:rStyle w:val="normaltextrun"/>
          <w:lang w:val="en-GB"/>
        </w:rPr>
        <w:fldChar w:fldCharType="end"/>
      </w:r>
      <w:r w:rsidR="000D3538" w:rsidRPr="00DA249F">
        <w:rPr>
          <w:rStyle w:val="normaltextrun"/>
          <w:lang w:val="en-GB"/>
        </w:rPr>
        <w:t>. Several of these economically important pasture grass</w:t>
      </w:r>
      <w:r w:rsidR="00D975F3" w:rsidRPr="00DA249F">
        <w:rPr>
          <w:rStyle w:val="normaltextrun"/>
          <w:lang w:val="en-GB"/>
        </w:rPr>
        <w:t>es</w:t>
      </w:r>
      <w:r w:rsidR="000D3538" w:rsidRPr="00DA249F">
        <w:rPr>
          <w:rStyle w:val="normaltextrun"/>
          <w:lang w:val="en-GB"/>
        </w:rPr>
        <w:t xml:space="preserve"> are invasive</w:t>
      </w:r>
      <w:r w:rsidR="00D975F3" w:rsidRPr="00DA249F">
        <w:rPr>
          <w:rStyle w:val="normaltextrun"/>
          <w:lang w:val="en-GB"/>
        </w:rPr>
        <w:t xml:space="preserve"> alien species</w:t>
      </w:r>
      <w:r w:rsidR="000D3538" w:rsidRPr="00DA249F">
        <w:rPr>
          <w:rStyle w:val="normaltextrun"/>
          <w:lang w:val="en-GB"/>
        </w:rPr>
        <w:t xml:space="preserve"> throughout several countries</w:t>
      </w:r>
      <w:r w:rsidR="008D379D">
        <w:rPr>
          <w:rStyle w:val="normaltextrun"/>
          <w:lang w:val="en-GB"/>
        </w:rPr>
        <w:t>.</w:t>
      </w:r>
      <w:r w:rsidR="000D3538" w:rsidRPr="00DA249F">
        <w:rPr>
          <w:rStyle w:val="normaltextrun"/>
          <w:lang w:val="en-GB"/>
        </w:rPr>
        <w:t xml:space="preserve"> </w:t>
      </w:r>
      <w:r w:rsidR="00906111" w:rsidRPr="00DA249F">
        <w:rPr>
          <w:rStyle w:val="normaltextrun"/>
          <w:i/>
          <w:iCs/>
          <w:lang w:val="en-GB"/>
        </w:rPr>
        <w:t>Megathyrsus maximus</w:t>
      </w:r>
      <w:r w:rsidR="008D379D">
        <w:rPr>
          <w:rStyle w:val="normaltextrun"/>
          <w:lang w:val="en-GB"/>
        </w:rPr>
        <w:t>,</w:t>
      </w:r>
      <w:r w:rsidR="000D3538" w:rsidRPr="00DA249F">
        <w:rPr>
          <w:rStyle w:val="normaltextrun"/>
          <w:lang w:val="en-GB"/>
        </w:rPr>
        <w:t xml:space="preserve"> with</w:t>
      </w:r>
      <w:r w:rsidR="008D379D">
        <w:rPr>
          <w:rStyle w:val="normaltextrun"/>
          <w:lang w:val="en-GB"/>
        </w:rPr>
        <w:t xml:space="preserve"> its</w:t>
      </w:r>
      <w:r w:rsidR="000D3538" w:rsidRPr="00DA249F">
        <w:rPr>
          <w:rStyle w:val="normaltextrun"/>
          <w:lang w:val="en-GB"/>
        </w:rPr>
        <w:t xml:space="preserve"> high yield, palatability and tolerance of herbivory is now considered a weed species throughout Africa, America, Australia and Asia </w:t>
      </w:r>
      <w:r w:rsidRPr="00DA249F">
        <w:rPr>
          <w:rStyle w:val="normaltextrun"/>
          <w:lang w:val="en-GB"/>
        </w:rPr>
        <w:fldChar w:fldCharType="begin"/>
      </w:r>
      <w:r w:rsidR="00331A79">
        <w:rPr>
          <w:rStyle w:val="normaltextrun"/>
          <w:lang w:val="en-GB"/>
        </w:rPr>
        <w:instrText xml:space="preserve"> ADDIN ZOTERO_ITEM CSL_CITATION {"citationID":"RewbPdMx","properties":{"formattedCitation":"(Randall, 2017; Rhodes et al., 2021)","plainCitation":"(Randall, 2017; Rhodes et al., 2021)","noteIndex":0},"citationItems":[{"id":32609,"uris":["http://zotero.org/groups/2352922/items/HCULA2WC"],"itemData":{"id":32609,"type":"book","abstract":"This book focuses on the problems caused by weeds on primary industries and biodiversity conservation (both terrestrial and aquatic) as well as communities, human health, infrastructure and culture. An accurate summary of global information and reference details on the 'weedy' status of any plant is presented and information on weed risk assessment and management outcomes, policy and legislative...","event-place":"Perth, Australia","ISBN":"978-0-646-96749-3","language":"English","note":"number: Ed.3","publisher":"R. P. Randall","publisher-place":"Perth, Australia","source":"www.cabdirect.org","title":"A global compendium of weeds.","URL":"https://www.cabdirect.org/cabdirect/abstract/20173071957","author":[{"family":"Randall","given":"R. P."}],"accessed":{"date-parts":[["2021",12,7]]},"issued":{"date-parts":[["2017"]]}},"label":"page"},{"id":32610,"uris":["http://zotero.org/groups/2352922/items/YUJ5LIB6"],"itemData":{"id":32610,"type":"article-journal","abstract":"On a global scale, invasive grasses threaten biodiversity and ecosystem function. Nevertheless, the importation of forage grasses is a significant economic force driven by globalization. Pastureland and rangeland are of critical economic and ecological importance, but novel grass species may lead to invasion. Recognizing that economically important species can also be ecologically damaging creates a contentious debate for land managers, policymakers, and ecologists alike. Many Afrotropical perennial grass species have been intentionally introduced pantropically given their high forage production and resistance to stress. However, these traits may also confer competitive ability, increasing the possibility of unintended escape and invasion. Further, these traits have posed challenges for traditional control methods using chemicals, prescribed fire, and mowing. The use of classic biological control may alleviate the ecological impact in invaded areas. In this literature synthesis we examine Guinea grass (Megathyrsus maximus); whose economic value in many countries is undeniable, yet its impact on native ecosystems is a mounting concern. First, we introduce Guinea grass taxonomy, general biology and ecology, and the geographic and genetic origins. Second, we review the economic value and the ecological impacts. Third, we review the control of Guinea grass in undesired areas using chemical and mechanical means. Finally, we review current efforts to use biological control.","container-title":"Biological Invasions","DOI":"10.1007/s10530-021-02607-3","ISSN":"1573-1464","issue":"12","journalAbbreviation":"Biol Invasions","language":"en","note":"number: 12","page":"3653-3669","source":"Springer Link","title":"The dilemma of Guinea grass (&lt;i&gt;Megathyrsus maximus&lt;/i&gt;): a valued pasture grass and a highly invasive species","title-short":"The dilemma of Guinea grass (Megathyrsus maximus)","URL":"https://doi.org/10.1007/s10530-021-02607-3","volume":"23","author":[{"family":"Rhodes","given":"Aaron C."},{"family":"Plowes","given":"Robert M."},{"family":"Goolsby","given":"John A."},{"family":"Gaskin","given":"John F."},{"family":"Musyoka","given":"Boaz"},{"family":"Calatayud","given":"Paul-André"},{"family":"Cristofaro","given":"Massimo"},{"family":"Grahmann","given":"Eric D."},{"family":"Martins","given":"Dino J."},{"family":"Gilbert","given":"Lawrence E."}],"accessed":{"date-parts":[["2021",12,7]]},"issued":{"date-parts":[["2021",12,1]]}},"label":"page"}],"schema":"https://github.com/citation-style-language/schema/raw/master/csl-citation.json"} </w:instrText>
      </w:r>
      <w:r w:rsidRPr="00DA249F">
        <w:rPr>
          <w:rStyle w:val="normaltextrun"/>
          <w:lang w:val="en-GB"/>
        </w:rPr>
        <w:fldChar w:fldCharType="separate"/>
      </w:r>
      <w:r w:rsidR="00144D96" w:rsidRPr="00144D96">
        <w:t>(Randall, 2017; Rhodes et al., 2021)</w:t>
      </w:r>
      <w:r w:rsidRPr="00DA249F">
        <w:rPr>
          <w:rStyle w:val="normaltextrun"/>
          <w:lang w:val="en-GB"/>
        </w:rPr>
        <w:fldChar w:fldCharType="end"/>
      </w:r>
      <w:r w:rsidR="000D3538" w:rsidRPr="00DA249F">
        <w:rPr>
          <w:rStyle w:val="normaltextrun"/>
          <w:lang w:val="en-GB"/>
        </w:rPr>
        <w:t xml:space="preserve">. </w:t>
      </w:r>
      <w:r w:rsidR="00906111" w:rsidRPr="00DA249F">
        <w:rPr>
          <w:rStyle w:val="normaltextrun"/>
          <w:i/>
          <w:iCs/>
          <w:lang w:val="en-GB"/>
        </w:rPr>
        <w:t>Cenchrus ciliaris</w:t>
      </w:r>
      <w:r w:rsidR="000D3538" w:rsidRPr="00DA249F">
        <w:rPr>
          <w:rStyle w:val="normaltextrun"/>
          <w:lang w:val="en-GB"/>
        </w:rPr>
        <w:t xml:space="preserve"> has become a problematic species across Australia, the U</w:t>
      </w:r>
      <w:r w:rsidR="00617AFB" w:rsidRPr="00DA249F">
        <w:rPr>
          <w:rStyle w:val="normaltextrun"/>
          <w:lang w:val="en-GB"/>
        </w:rPr>
        <w:t xml:space="preserve">nited </w:t>
      </w:r>
      <w:r w:rsidR="000D3538" w:rsidRPr="00DA249F">
        <w:rPr>
          <w:rStyle w:val="normaltextrun"/>
          <w:lang w:val="en-GB"/>
        </w:rPr>
        <w:t>S</w:t>
      </w:r>
      <w:r w:rsidR="00617AFB" w:rsidRPr="00DA249F">
        <w:rPr>
          <w:rStyle w:val="normaltextrun"/>
          <w:lang w:val="en-GB"/>
        </w:rPr>
        <w:t>tates</w:t>
      </w:r>
      <w:r w:rsidR="000D3538" w:rsidRPr="00DA249F">
        <w:rPr>
          <w:rStyle w:val="normaltextrun"/>
          <w:lang w:val="en-GB"/>
        </w:rPr>
        <w:t xml:space="preserve">, Mexico and South America </w:t>
      </w:r>
      <w:r w:rsidRPr="00DA249F">
        <w:rPr>
          <w:rStyle w:val="normaltextrun"/>
          <w:lang w:val="en-GB"/>
        </w:rPr>
        <w:fldChar w:fldCharType="begin"/>
      </w:r>
      <w:r w:rsidR="00331A79">
        <w:rPr>
          <w:rStyle w:val="normaltextrun"/>
          <w:lang w:val="en-GB"/>
        </w:rPr>
        <w:instrText xml:space="preserve"> ADDIN ZOTERO_ITEM CSL_CITATION {"citationID":"CFbDYjxA","properties":{"formattedCitation":"(V. M. Marshall et al., 2012)","plainCitation":"(V. M. Marshall et al., 2012)","noteIndex":0},"citationItems":[{"id":32656,"uris":["http://zotero.org/groups/2352922/items/YYFRH7JT"],"itemData":{"id":32656,"type":"article-journal","abstract":"Popular pastoral species, Buffel grass (Cenchrus ciliaris) is receiving long overdue attention as an invasive weed that poses serious threats to biodiversity conservation worldwide. Most research focuses on the species as forage plant and is largely published in agricultural and grey literature. Meanwhile, there is a dearth of information about the species ecology in natural landscapes despite strong evidence from field workers and managers that the species is an aggressive invader and threat to biodiversity in many environments. We present a comprehensive review of the ecology, distribution and biodiversity impacts of Buffel grass when behaving as an invasive species. Foundations are laid for research into localised habitat requirements of the species that will aid in the management of Buffel grass invasions now and into the future.","container-title":"Journal of Arid Environments","DOI":"10.1016/j.jaridenv.2011.11.005","ISSN":"0140-1963","journalAbbreviation":"Journal of Arid Environments","language":"en","page":"1-12","source":"ScienceDirect","title":"Buffel grass (&lt;i&gt;Cenchrus ciliaris&lt;/i&gt;) as an invader and threat to biodiversity in arid environments: A review","title-short":"Buffel grass (Cenchrus ciliaris) as an invader and threat to biodiversity in arid environments","URL":"https://www.sciencedirect.com/science/article/pii/S0140196311003399","volume":"78","author":[{"family":"Marshall","given":"V. M."},{"family":"Lewis","given":"M. M."},{"family":"Ostendorf","given":"B."}],"accessed":{"date-parts":[["2021",12,7]]},"issued":{"date-parts":[["2012",3,1]]}},"label":"page"}],"schema":"https://github.com/citation-style-language/schema/raw/master/csl-citation.json"} </w:instrText>
      </w:r>
      <w:r w:rsidRPr="00DA249F">
        <w:rPr>
          <w:rStyle w:val="normaltextrun"/>
          <w:lang w:val="en-GB"/>
        </w:rPr>
        <w:fldChar w:fldCharType="separate"/>
      </w:r>
      <w:r w:rsidR="00144D96" w:rsidRPr="00144D96">
        <w:t>(V. M. Marshall et al., 2012)</w:t>
      </w:r>
      <w:r w:rsidRPr="00DA249F">
        <w:rPr>
          <w:rStyle w:val="normaltextrun"/>
          <w:lang w:val="en-GB"/>
        </w:rPr>
        <w:fldChar w:fldCharType="end"/>
      </w:r>
      <w:r w:rsidR="00774819">
        <w:rPr>
          <w:rStyle w:val="normaltextrun"/>
          <w:lang w:val="en-GB"/>
        </w:rPr>
        <w:t xml:space="preserve"> and</w:t>
      </w:r>
      <w:r w:rsidR="000D3538" w:rsidRPr="00DA249F">
        <w:rPr>
          <w:rStyle w:val="normaltextrun"/>
          <w:lang w:val="en-GB"/>
        </w:rPr>
        <w:t xml:space="preserve"> Bermuda grass now also has a cosmopolitan distribution</w:t>
      </w:r>
      <w:r w:rsidR="00774819">
        <w:rPr>
          <w:rStyle w:val="normaltextrun"/>
          <w:lang w:val="en-GB"/>
        </w:rPr>
        <w:t xml:space="preserve"> and</w:t>
      </w:r>
      <w:r w:rsidR="000D3538" w:rsidRPr="00DA249F">
        <w:rPr>
          <w:rStyle w:val="normaltextrun"/>
          <w:lang w:val="en-GB"/>
        </w:rPr>
        <w:t xml:space="preserve"> is considered one of the </w:t>
      </w:r>
      <w:r w:rsidR="00A2624F" w:rsidRPr="00DA249F">
        <w:rPr>
          <w:rStyle w:val="normaltextrun"/>
          <w:lang w:val="en-GB"/>
        </w:rPr>
        <w:t>world’s</w:t>
      </w:r>
      <w:r w:rsidR="000D3538" w:rsidRPr="00DA249F">
        <w:rPr>
          <w:rStyle w:val="normaltextrun"/>
          <w:lang w:val="en-GB"/>
        </w:rPr>
        <w:t xml:space="preserve"> worst weeds </w:t>
      </w:r>
      <w:r w:rsidRPr="00DA249F">
        <w:rPr>
          <w:rStyle w:val="normaltextrun"/>
          <w:lang w:val="en-GB"/>
        </w:rPr>
        <w:fldChar w:fldCharType="begin"/>
      </w:r>
      <w:r w:rsidR="00331A79">
        <w:rPr>
          <w:rStyle w:val="normaltextrun"/>
          <w:lang w:val="en-GB"/>
        </w:rPr>
        <w:instrText xml:space="preserve"> ADDIN ZOTERO_ITEM CSL_CITATION {"citationID":"koPZXABb","properties":{"formattedCitation":"(Randall, 2017; Way, 2014)","plainCitation":"(Randall, 2017; Way, 2014)","noteIndex":0},"citationItems":[{"id":32609,"uris":["http://zotero.org/groups/2352922/items/HCULA2WC"],"itemData":{"id":32609,"type":"book","abstract":"This book focuses on the problems caused by weeds on primary industries and biodiversity conservation (both terrestrial and aquatic) as well as communities, human health, infrastructure and culture. An accurate summary of global information and reference details on the 'weedy' status of any plant is presented and information on weed risk assessment and management outcomes, policy and legislative...","event-place":"Perth, Australia","ISBN":"978-0-646-96749-3","language":"English","note":"number: Ed.3","publisher":"R. P. Randall","publisher-place":"Perth, Australia","source":"www.cabdirect.org","title":"A global compendium of weeds.","URL":"https://www.cabdirect.org/cabdirect/abstract/20173071957","author":[{"family":"Randall","given":"R. P."}],"accessed":{"date-parts":[["2021",12,7]]},"issued":{"date-parts":[["2017"]]}},"label":"page"},{"id":32369,"uris":["http://zotero.org/groups/2352922/items/ZX32NSNA"],"itemData":{"id":32369,"type":"article-journal","container-title":"Agricultural History","DOI":"10.3098/ah.2014.88.3.354","ISSN":"0002-1482, 1533-8290","issue":"3","journalAbbreviation":"Agricultural History","page":"354-367","source":"DOI.org (Crossref)","title":"\"A Cosmopolitan Weed of the World\": Following Bermudagrass","title-short":"A Cosmopolitan Weed of the World","URL":"http://www.jstor.org/stable/10.3098/ah.2014.88.3.354","volume":"88","author":[{"family":"Way","given":"Albert G."}],"accessed":{"date-parts":[["2021",12,10]]},"issued":{"date-parts":[["2014",7,1]]}},"label":"page"}],"schema":"https://github.com/citation-style-language/schema/raw/master/csl-citation.json"} </w:instrText>
      </w:r>
      <w:r w:rsidRPr="00DA249F">
        <w:rPr>
          <w:rStyle w:val="normaltextrun"/>
          <w:lang w:val="en-GB"/>
        </w:rPr>
        <w:fldChar w:fldCharType="separate"/>
      </w:r>
      <w:r w:rsidR="00144D96" w:rsidRPr="00144D96">
        <w:t>(Randall, 2017; Way, 2014)</w:t>
      </w:r>
      <w:r w:rsidRPr="00DA249F">
        <w:rPr>
          <w:rStyle w:val="normaltextrun"/>
          <w:lang w:val="en-GB"/>
        </w:rPr>
        <w:fldChar w:fldCharType="end"/>
      </w:r>
      <w:r w:rsidR="000D3538" w:rsidRPr="00DA249F">
        <w:rPr>
          <w:rStyle w:val="normaltextrun"/>
          <w:lang w:val="en-GB"/>
        </w:rPr>
        <w:t>.</w:t>
      </w:r>
      <w:r w:rsidR="00066BF9" w:rsidRPr="00DA249F">
        <w:rPr>
          <w:rStyle w:val="normaltextrun"/>
          <w:lang w:val="en-GB"/>
        </w:rPr>
        <w:t xml:space="preserve"> </w:t>
      </w:r>
      <w:r w:rsidR="00B525B8">
        <w:rPr>
          <w:rStyle w:val="normaltextrun"/>
          <w:lang w:val="en-GB"/>
        </w:rPr>
        <w:t>S</w:t>
      </w:r>
      <w:r w:rsidR="004364CC" w:rsidRPr="00DA249F">
        <w:rPr>
          <w:rStyle w:val="normaltextrun"/>
          <w:lang w:val="en-GB"/>
        </w:rPr>
        <w:t xml:space="preserve">ome invasive </w:t>
      </w:r>
      <w:r w:rsidR="002A0EE8" w:rsidRPr="00DA249F">
        <w:rPr>
          <w:rStyle w:val="normaltextrun"/>
          <w:lang w:val="en-GB"/>
        </w:rPr>
        <w:t xml:space="preserve">alien </w:t>
      </w:r>
      <w:r w:rsidR="004364CC" w:rsidRPr="00DA249F">
        <w:rPr>
          <w:rStyle w:val="normaltextrun"/>
          <w:lang w:val="en-GB"/>
        </w:rPr>
        <w:t>species</w:t>
      </w:r>
      <w:r w:rsidR="00B525B8">
        <w:rPr>
          <w:rStyle w:val="normaltextrun"/>
          <w:lang w:val="en-GB"/>
        </w:rPr>
        <w:t xml:space="preserve"> i</w:t>
      </w:r>
      <w:r w:rsidR="00B525B8" w:rsidRPr="00DA249F">
        <w:rPr>
          <w:rStyle w:val="normaltextrun"/>
          <w:lang w:val="en-GB"/>
        </w:rPr>
        <w:t>n agricultural systems</w:t>
      </w:r>
      <w:r w:rsidR="004364CC" w:rsidRPr="00DA249F">
        <w:rPr>
          <w:rStyle w:val="normaltextrun"/>
          <w:lang w:val="en-GB"/>
        </w:rPr>
        <w:t xml:space="preserve"> </w:t>
      </w:r>
      <w:r w:rsidR="00B525B8">
        <w:rPr>
          <w:rStyle w:val="normaltextrun"/>
          <w:lang w:val="en-GB"/>
        </w:rPr>
        <w:t>were introduced</w:t>
      </w:r>
      <w:r w:rsidR="00B525B8" w:rsidRPr="00DA249F">
        <w:rPr>
          <w:rStyle w:val="normaltextrun"/>
          <w:lang w:val="en-GB"/>
        </w:rPr>
        <w:t xml:space="preserve"> </w:t>
      </w:r>
      <w:r w:rsidR="004364CC" w:rsidRPr="00DA249F">
        <w:rPr>
          <w:rStyle w:val="normaltextrun"/>
          <w:lang w:val="en-GB"/>
        </w:rPr>
        <w:t>through planting of windbreaks</w:t>
      </w:r>
      <w:r w:rsidR="00B525B8">
        <w:rPr>
          <w:rStyle w:val="normaltextrun"/>
          <w:lang w:val="en-GB"/>
        </w:rPr>
        <w:t xml:space="preserve"> and</w:t>
      </w:r>
      <w:r w:rsidR="004364CC" w:rsidRPr="00DA249F">
        <w:rPr>
          <w:rStyle w:val="normaltextrun"/>
          <w:lang w:val="en-GB"/>
        </w:rPr>
        <w:t xml:space="preserve"> hedgerows</w:t>
      </w:r>
      <w:r w:rsidR="00B525B8">
        <w:rPr>
          <w:rStyle w:val="normaltextrun"/>
          <w:lang w:val="en-GB"/>
        </w:rPr>
        <w:t>,</w:t>
      </w:r>
      <w:r w:rsidR="004364CC" w:rsidRPr="00DA249F">
        <w:rPr>
          <w:rStyle w:val="normaltextrun"/>
          <w:lang w:val="en-GB"/>
        </w:rPr>
        <w:t xml:space="preserve"> including the globally versatile </w:t>
      </w:r>
      <w:r w:rsidR="00FD49C8" w:rsidRPr="00DA249F">
        <w:rPr>
          <w:rStyle w:val="normaltextrun"/>
          <w:i/>
          <w:iCs/>
          <w:lang w:val="en-GB"/>
        </w:rPr>
        <w:t>Ulex europaeus</w:t>
      </w:r>
      <w:r w:rsidR="00FD49C8" w:rsidRPr="00DA249F">
        <w:rPr>
          <w:rStyle w:val="normaltextrun"/>
          <w:lang w:val="en-GB"/>
        </w:rPr>
        <w:t xml:space="preserve"> </w:t>
      </w:r>
      <w:r w:rsidR="004364CC" w:rsidRPr="00DA249F">
        <w:rPr>
          <w:rStyle w:val="normaltextrun"/>
          <w:lang w:val="en-GB"/>
        </w:rPr>
        <w:t>(</w:t>
      </w:r>
      <w:r w:rsidR="00937AC5" w:rsidRPr="00DA249F">
        <w:rPr>
          <w:rStyle w:val="normaltextrun"/>
          <w:lang w:val="en-GB"/>
        </w:rPr>
        <w:t>g</w:t>
      </w:r>
      <w:r w:rsidR="00FD49C8" w:rsidRPr="00DA249F">
        <w:rPr>
          <w:rStyle w:val="normaltextrun"/>
          <w:lang w:val="en-GB"/>
        </w:rPr>
        <w:t>orse</w:t>
      </w:r>
      <w:r w:rsidR="004364CC" w:rsidRPr="00DA249F">
        <w:rPr>
          <w:rStyle w:val="normaltextrun"/>
          <w:iCs/>
          <w:lang w:val="en-GB"/>
        </w:rPr>
        <w:t>)</w:t>
      </w:r>
      <w:r w:rsidR="004364CC" w:rsidRPr="00DA249F">
        <w:rPr>
          <w:rStyle w:val="normaltextrun"/>
          <w:lang w:val="en-GB"/>
        </w:rPr>
        <w:t>, one of the most invasive</w:t>
      </w:r>
      <w:r w:rsidR="002A0EE8" w:rsidRPr="00DA249F">
        <w:rPr>
          <w:rStyle w:val="normaltextrun"/>
          <w:lang w:val="en-GB"/>
        </w:rPr>
        <w:t xml:space="preserve"> alien</w:t>
      </w:r>
      <w:r w:rsidR="004364CC" w:rsidRPr="00DA249F">
        <w:rPr>
          <w:rStyle w:val="normaltextrun"/>
          <w:lang w:val="en-GB"/>
        </w:rPr>
        <w:t xml:space="preserve"> species in the world, introduced from Europe to Australia, Chile, New Zealand, Sri Lanka and the United States </w:t>
      </w:r>
      <w:r w:rsidRPr="00DA249F">
        <w:rPr>
          <w:rStyle w:val="normaltextrun"/>
          <w:lang w:val="en-GB"/>
        </w:rPr>
        <w:fldChar w:fldCharType="begin"/>
      </w:r>
      <w:r w:rsidR="00331A79">
        <w:rPr>
          <w:rStyle w:val="normaltextrun"/>
          <w:lang w:val="en-GB"/>
        </w:rPr>
        <w:instrText xml:space="preserve"> ADDIN ZOTERO_ITEM CSL_CITATION {"citationID":"DxycS35s","properties":{"formattedCitation":"(Roberts &amp; Florentine, 2021)","plainCitation":"(Roberts &amp; Florentine, 2021)","noteIndex":0},"citationItems":[{"id":32608,"uris":["http://zotero.org/groups/2352922/items/6CK8L6RZ"],"itemData":{"id":32608,"type":"article-journal","abstract":"Ulex europaeus (Gorse) is one of the most invasive shrubs in the world, being now found in more than 50 countries where it economically and environmentally degrades the land. This highly versatile shrub can live more than 30 years and produce over 18,000 fertile seeds annually that can remain viable for over 30 years. Ulex europaeus spread is facilitated by its ability to germinate in a wide range of conditions, quick growth and maturing rate and several seed dispersal mechanisms. Despite extensive research and attempts at managing U. europaeus, current rates of control are not adequate to limit the species’ competitiveness and impact on the environment. This has resulted in the species altering soil and landscape dynamics in areas of major invasion, inhibiting the growth of agricultural and native species, creating shelter for pest species and reducing the richness of competing species at a site, all of which contribute to the economic and environmental degradation of the land. This review highlights that herbicide application is the most successful technique used to control U. europaeus, although it has shown varying success across different climatic regions. In this regard, future research should investigate the possibility of integrating a range of techniques (competition, fire management, grazing, manual removal and mycoherbicides) to increase control success and reduce any potential risk of herbicide resistance. Further research is also required on the maintenance of longer-term viable populations of biological control agents to limit the success of this invasive species. Bridging the identified research gaps will help to facilitate the improved long-term management of U. europaeus and help land managers confidently to maintain sustainable land systems.","container-title":"Weed Research","DOI":"10.1111/wre.12491","ISSN":"1365-3180","issue":"4","language":"en","note":"number: 4\n_eprint: https://onlinelibrary.wiley.com/doi/pdf/10.1111/wre.12491","page":"272-281","source":"Wiley Online Library","title":"Biology, distribution and control of the invasive species &lt;i&gt;Ulex europaeus&lt;/i&gt; (Gorse): A global synthesis of current and future management challenges and research gaps","title-short":"Biology, distribution and control of the invasive species Ulex europaeus (Gorse)","URL":"https://onlinelibrary.wiley.com/doi/abs/10.1111/wre.12491","volume":"61","author":[{"family":"Roberts","given":"Jason"},{"family":"Florentine","given":"Singarayer"}],"accessed":{"date-parts":[["2021",12,7]]},"issued":{"date-parts":[["2021"]]}},"label":"page"}],"schema":"https://github.com/citation-style-language/schema/raw/master/csl-citation.json"} </w:instrText>
      </w:r>
      <w:r w:rsidRPr="00DA249F">
        <w:rPr>
          <w:rStyle w:val="normaltextrun"/>
          <w:lang w:val="en-GB"/>
        </w:rPr>
        <w:fldChar w:fldCharType="separate"/>
      </w:r>
      <w:r w:rsidR="00144D96" w:rsidRPr="00144D96">
        <w:t>(Roberts &amp; Florentine, 2021)</w:t>
      </w:r>
      <w:r w:rsidRPr="00DA249F">
        <w:rPr>
          <w:rStyle w:val="normaltextrun"/>
          <w:lang w:val="en-GB"/>
        </w:rPr>
        <w:fldChar w:fldCharType="end"/>
      </w:r>
      <w:r w:rsidR="004364CC" w:rsidRPr="00DA249F">
        <w:rPr>
          <w:rStyle w:val="normaltextrun"/>
          <w:lang w:val="en-GB"/>
        </w:rPr>
        <w:t>. In Southern Africa,</w:t>
      </w:r>
      <w:r w:rsidR="00B525B8">
        <w:rPr>
          <w:rStyle w:val="normaltextrun"/>
          <w:lang w:val="en-GB"/>
        </w:rPr>
        <w:t xml:space="preserve"> invasive alien</w:t>
      </w:r>
      <w:r w:rsidR="004364CC" w:rsidRPr="00DA249F">
        <w:rPr>
          <w:rStyle w:val="normaltextrun"/>
          <w:lang w:val="en-GB"/>
        </w:rPr>
        <w:t xml:space="preserve"> </w:t>
      </w:r>
      <w:r w:rsidR="004364CC" w:rsidRPr="00DA249F">
        <w:rPr>
          <w:rStyle w:val="normaltextrun"/>
          <w:i/>
          <w:iCs/>
          <w:lang w:val="en-GB"/>
        </w:rPr>
        <w:lastRenderedPageBreak/>
        <w:t>Opuntia</w:t>
      </w:r>
      <w:r w:rsidR="004364CC" w:rsidRPr="00DA249F">
        <w:rPr>
          <w:rStyle w:val="normaltextrun"/>
          <w:iCs/>
          <w:lang w:val="en-GB"/>
        </w:rPr>
        <w:t xml:space="preserve"> </w:t>
      </w:r>
      <w:r w:rsidR="009841B8" w:rsidRPr="00DA249F">
        <w:rPr>
          <w:rStyle w:val="normaltextrun"/>
          <w:iCs/>
          <w:lang w:val="en-GB"/>
        </w:rPr>
        <w:t xml:space="preserve">(pricklypear) </w:t>
      </w:r>
      <w:r w:rsidR="004364CC" w:rsidRPr="00DA249F">
        <w:rPr>
          <w:rStyle w:val="normaltextrun"/>
          <w:lang w:val="en-GB"/>
        </w:rPr>
        <w:t>species</w:t>
      </w:r>
      <w:r w:rsidR="004364CC" w:rsidRPr="00DA249F">
        <w:rPr>
          <w:rStyle w:val="normaltextrun"/>
          <w:i/>
          <w:iCs/>
          <w:lang w:val="en-GB"/>
        </w:rPr>
        <w:t xml:space="preserve"> </w:t>
      </w:r>
      <w:r w:rsidR="004364CC" w:rsidRPr="00DA249F">
        <w:rPr>
          <w:rStyle w:val="normaltextrun"/>
          <w:lang w:val="en-GB"/>
        </w:rPr>
        <w:t xml:space="preserve">were initially grown as wind-breaks, fences, and also supplementary fodder sources </w:t>
      </w:r>
      <w:r w:rsidRPr="00DA249F">
        <w:rPr>
          <w:rStyle w:val="normaltextrun"/>
          <w:lang w:val="en-GB"/>
        </w:rPr>
        <w:fldChar w:fldCharType="begin"/>
      </w:r>
      <w:r w:rsidR="00331A79">
        <w:rPr>
          <w:rStyle w:val="normaltextrun"/>
          <w:lang w:val="en-GB"/>
        </w:rPr>
        <w:instrText xml:space="preserve"> ADDIN ZOTERO_ITEM CSL_CITATION {"citationID":"LcKNTto6","properties":{"formattedCitation":"(S. E. Shackleton &amp; Shackleton, 2018)","plainCitation":"(S. E. Shackleton &amp; Shackleton, 2018)","noteIndex":0},"citationItems":[{"id":32930,"uris":["http://zotero.org/groups/2352922/items/6W3QCUI4"],"itemData":{"id":32930,"type":"article-journal","abstract":"Across the globe, many invasive alien plants were purposefully introduced because of their usefulness. These plants continue to provide multiple goods and services, such as fodder, fuelwood, medicines, fruits, shade and aesthetic appeal. However, as they invade negative impacts arise. This often leads to conﬂicts of interests and trade-offs between the beneﬁts and costs of these species and, ultimately, the environment and local livelihoods. Traditionally, invasive plant species research in dryland systems has tended to focus on the impacts of these species on large-scale natural systems, primarily rangelands and river courses. Limited work has been undertaken regarding the role of these species in providing services and disservices within homesteads and settlements in these harsh environments. Such knowledge is important with regards to management. The primary aim of this study was therefore to assess the assimilation of invasive plant species into the lives of households in several small farming settlements in the arid Kalahari region of the Northern Cape, South Africa. Speciﬁc objectives were to: 1) assess the diversity, prevalence and size structure of invasive plants in resident's homesteads; 2) identify sources, local practices, knowledge and beliefs related to the invasive plants present as well as local management practices; and 3) understand residents' perceptions of the ecosystem services and disservices these species deliver. To do this, we used household and ‘drive-past’ surveys, in-depth interviews and measurement of plants in homesteads. From the ‘drive-past’ survey, we identiﬁed 12 ofﬁcially listed and one proposed invasive plant species in the settlements, 10 of which were covered in the household survey. Eight native tree species were also present, but these were at much lower frequency and density than introduced species. Thirteen different goods and services from the invasive plants were recognised with the most common being shade, aesthetics and fuelwood. Some species, such as Morus alba and Opuntia ﬁcus-indica, were important for fruit, while eight species were mentioned as being used for fodder. Respondents also mentioned that O. ﬁcus-indica, Prosopis spp., Leucaena leucocephala and Melia azedarach imposed costs. These disservices included reductions in water supply, damage to buildings and human health impacts. Some of these species were also perceived to be spreading beyond homesteads in some settlements and invading rangeland. Less than a quarter of households had no invasive plants in their yards, and these were mainly new dwellings in the growing informal areas around the settlements. Invasive plants were obtained from variety of sources suggesting various pathways of introduction. We conclude by discussing some options for management focusing on Prosopis, as the invasive plant perceived to most rapidly expanding and generating the most disservices. We also highlight what further research is needed with regard to ﬁlling research gaps on invasive plant species within social-ecological systems in arid areas.","container-title":"Journal of Arid Environments","DOI":"10.1016/j.jaridenv.2017.07.001","ISSN":"01401963","journalAbbreviation":"Journal of Arid Environments","language":"en","page":"22-33","source":"DOI.org (Crossref)","title":"Local knowledge regarding ecosystem services and disservices from invasive alien plants in the arid Kalahari, South Africa","URL":"https://linkinghub.elsevier.com/retrieve/pii/S0140196317301337","volume":"159","author":[{"family":"Shackleton","given":"Sheona E."},{"family":"Shackleton","given":"Ross T."}],"accessed":{"date-parts":[["2021",12,7]]},"issued":{"date-parts":[["2018",12]]}},"label":"page"}],"schema":"https://github.com/citation-style-language/schema/raw/master/csl-citation.json"} </w:instrText>
      </w:r>
      <w:r w:rsidRPr="00DA249F">
        <w:rPr>
          <w:rStyle w:val="normaltextrun"/>
          <w:lang w:val="en-GB"/>
        </w:rPr>
        <w:fldChar w:fldCharType="separate"/>
      </w:r>
      <w:r w:rsidR="00144D96" w:rsidRPr="00144D96">
        <w:t>(S. E. Shackleton &amp; Shackleton, 2018)</w:t>
      </w:r>
      <w:r w:rsidRPr="00DA249F">
        <w:rPr>
          <w:rStyle w:val="normaltextrun"/>
          <w:lang w:val="en-GB"/>
        </w:rPr>
        <w:fldChar w:fldCharType="end"/>
      </w:r>
      <w:r w:rsidR="004364CC" w:rsidRPr="00DA249F">
        <w:rPr>
          <w:rStyle w:val="normaltextrun"/>
          <w:lang w:val="en-GB"/>
        </w:rPr>
        <w:t>.</w:t>
      </w:r>
      <w:r w:rsidR="00CF08FC" w:rsidRPr="00DA249F">
        <w:rPr>
          <w:rStyle w:val="normaltextrun"/>
          <w:lang w:val="en-GB"/>
        </w:rPr>
        <w:t xml:space="preserve"> </w:t>
      </w:r>
    </w:p>
    <w:p w14:paraId="3E7B61D1" w14:textId="30C2CE57" w:rsidR="002E3CEA" w:rsidRPr="00DA249F" w:rsidRDefault="7E58E251" w:rsidP="002E3CEA">
      <w:pPr>
        <w:rPr>
          <w:lang w:val="en-GB"/>
        </w:rPr>
      </w:pPr>
      <w:r w:rsidRPr="5575EBFC">
        <w:rPr>
          <w:rStyle w:val="normaltextrun"/>
          <w:lang w:val="en-GB"/>
        </w:rPr>
        <w:t xml:space="preserve">Some introduced species also act as hosts of further </w:t>
      </w:r>
      <w:r w:rsidR="5BB55CED" w:rsidRPr="5575EBFC">
        <w:rPr>
          <w:rStyle w:val="normaltextrun"/>
          <w:lang w:val="en-GB"/>
        </w:rPr>
        <w:t>invasive alien species</w:t>
      </w:r>
      <w:r w:rsidR="19A5F95F" w:rsidRPr="5575EBFC">
        <w:rPr>
          <w:rStyle w:val="normaltextrun"/>
          <w:lang w:val="en-GB"/>
        </w:rPr>
        <w:t>.</w:t>
      </w:r>
      <w:r w:rsidR="23BF2FFE" w:rsidRPr="5575EBFC">
        <w:rPr>
          <w:rStyle w:val="normaltextrun"/>
          <w:lang w:val="en-GB"/>
        </w:rPr>
        <w:t xml:space="preserve"> </w:t>
      </w:r>
      <w:r w:rsidR="19A5F95F" w:rsidRPr="5575EBFC">
        <w:rPr>
          <w:rStyle w:val="normaltextrun"/>
          <w:lang w:val="en-GB"/>
        </w:rPr>
        <w:t>F</w:t>
      </w:r>
      <w:r w:rsidRPr="5575EBFC">
        <w:rPr>
          <w:rStyle w:val="normaltextrun"/>
          <w:lang w:val="en-GB"/>
        </w:rPr>
        <w:t>or example</w:t>
      </w:r>
      <w:r w:rsidR="1DBA2098" w:rsidRPr="5575EBFC">
        <w:rPr>
          <w:rStyle w:val="normaltextrun"/>
          <w:lang w:val="en-GB"/>
        </w:rPr>
        <w:t>,</w:t>
      </w:r>
      <w:r w:rsidRPr="5575EBFC">
        <w:rPr>
          <w:rStyle w:val="normaltextrun"/>
          <w:lang w:val="en-GB"/>
        </w:rPr>
        <w:t xml:space="preserve"> in the U</w:t>
      </w:r>
      <w:r w:rsidR="26A748CE" w:rsidRPr="5575EBFC">
        <w:rPr>
          <w:rStyle w:val="normaltextrun"/>
          <w:lang w:val="en-GB"/>
        </w:rPr>
        <w:t xml:space="preserve">nited </w:t>
      </w:r>
      <w:r w:rsidRPr="5575EBFC">
        <w:rPr>
          <w:rStyle w:val="normaltextrun"/>
          <w:lang w:val="en-GB"/>
        </w:rPr>
        <w:t>S</w:t>
      </w:r>
      <w:r w:rsidR="26A748CE" w:rsidRPr="5575EBFC">
        <w:rPr>
          <w:rStyle w:val="normaltextrun"/>
          <w:lang w:val="en-GB"/>
        </w:rPr>
        <w:t>tates</w:t>
      </w:r>
      <w:r w:rsidRPr="5575EBFC">
        <w:rPr>
          <w:rStyle w:val="normaltextrun"/>
          <w:lang w:val="en-GB"/>
        </w:rPr>
        <w:t xml:space="preserve">, </w:t>
      </w:r>
      <w:r w:rsidR="0AB00077" w:rsidRPr="5575EBFC">
        <w:rPr>
          <w:rStyle w:val="normaltextrun"/>
          <w:i/>
          <w:iCs/>
          <w:lang w:val="en-GB"/>
        </w:rPr>
        <w:t>Festuca arundinacea</w:t>
      </w:r>
      <w:r w:rsidR="0AB00077" w:rsidRPr="5575EBFC">
        <w:rPr>
          <w:rStyle w:val="normaltextrun"/>
          <w:lang w:val="en-GB"/>
        </w:rPr>
        <w:t xml:space="preserve"> (</w:t>
      </w:r>
      <w:r w:rsidRPr="5575EBFC">
        <w:rPr>
          <w:rStyle w:val="normaltextrun"/>
          <w:lang w:val="en-GB"/>
        </w:rPr>
        <w:t>tall fescue</w:t>
      </w:r>
      <w:r w:rsidR="0E03E42E" w:rsidRPr="5575EBFC">
        <w:rPr>
          <w:rStyle w:val="normaltextrun"/>
          <w:lang w:val="en-GB"/>
        </w:rPr>
        <w:t>)</w:t>
      </w:r>
      <w:r w:rsidR="19A5F95F" w:rsidRPr="5575EBFC">
        <w:rPr>
          <w:rStyle w:val="normaltextrun"/>
          <w:lang w:val="en-GB"/>
        </w:rPr>
        <w:t>,</w:t>
      </w:r>
      <w:r w:rsidRPr="5575EBFC">
        <w:rPr>
          <w:rStyle w:val="normaltextrun"/>
          <w:lang w:val="en-GB"/>
        </w:rPr>
        <w:t xml:space="preserve"> a cool season-grass introduced from Europe</w:t>
      </w:r>
      <w:r w:rsidR="19A5F95F" w:rsidRPr="5575EBFC">
        <w:rPr>
          <w:rStyle w:val="normaltextrun"/>
          <w:lang w:val="en-GB"/>
        </w:rPr>
        <w:t>,</w:t>
      </w:r>
      <w:r w:rsidRPr="5575EBFC">
        <w:rPr>
          <w:rStyle w:val="normaltextrun"/>
          <w:lang w:val="en-GB"/>
        </w:rPr>
        <w:t xml:space="preserve"> dominates grasslands and is considered </w:t>
      </w:r>
      <w:r w:rsidR="127AAF15" w:rsidRPr="5575EBFC">
        <w:rPr>
          <w:rStyle w:val="normaltextrun"/>
          <w:lang w:val="en-GB"/>
        </w:rPr>
        <w:t xml:space="preserve">an </w:t>
      </w:r>
      <w:r w:rsidRPr="5575EBFC">
        <w:rPr>
          <w:rStyle w:val="normaltextrun"/>
          <w:lang w:val="en-GB"/>
        </w:rPr>
        <w:t>invasive</w:t>
      </w:r>
      <w:r w:rsidR="127AAF15" w:rsidRPr="5575EBFC">
        <w:rPr>
          <w:rStyle w:val="normaltextrun"/>
          <w:lang w:val="en-GB"/>
        </w:rPr>
        <w:t xml:space="preserve"> alien species</w:t>
      </w:r>
      <w:r w:rsidRPr="5575EBFC">
        <w:rPr>
          <w:rStyle w:val="normaltextrun"/>
          <w:lang w:val="en-GB"/>
        </w:rPr>
        <w:t xml:space="preserve"> across multiple states </w:t>
      </w:r>
      <w:r w:rsidR="000D3538" w:rsidRPr="5575EBFC">
        <w:rPr>
          <w:rStyle w:val="normaltextrun"/>
          <w:lang w:val="en-GB"/>
        </w:rPr>
        <w:fldChar w:fldCharType="begin"/>
      </w:r>
      <w:r w:rsidR="00331A79">
        <w:rPr>
          <w:rStyle w:val="normaltextrun"/>
          <w:lang w:val="en-GB"/>
        </w:rPr>
        <w:instrText xml:space="preserve"> ADDIN ZOTERO_ITEM CSL_CITATION {"citationID":"yX1YmPfK","properties":{"formattedCitation":"(Barnes et al., 2013; Pfeifer-Meister et al., 2008)","plainCitation":"(Barnes et al., 2013; Pfeifer-Meister et al., 2008)","noteIndex":0},"citationItems":[{"id":32368,"uris":["http://zotero.org/groups/2352922/items/GJUXK27Y"],"itemData":{"id":32368,"type":"article-journal","container-title":"Wildlife Society Bulletin","DOI":"10.1002/wsb.316","ISSN":"19385463","journalAbbreviation":"Wildl. Soc. Bull.","language":"en","page":"497-502","source":"DOI.org (Crossref)","title":"The Impact of 3 exotic, invasive grasses in the Southeastern United States on wildlife: Exotic Grass Management in the Southeast","title-short":"The Impact of 3 exotic, invasive grasses in the Southeastern United States on wildlife","URL":"https://onlinelibrary.wiley.com/doi/10.1002/wsb.316","author":[{"family":"Barnes","given":"Thomas G."},{"family":"DeMaso","given":"Stephen J."},{"family":"Bahm","given":"Matt A."}],"accessed":{"date-parts":[["2021",12,10]]},"issued":{"date-parts":[["2013",7]]}},"label":"page"},{"id":32672,"uris":["http://zotero.org/groups/2352922/items/JJHD8XUN"],"itemData":{"id":32672,"type":"article-journal","container-title":"Oecologia","DOI":"10.1007/s00442-007-0909-6","ISSN":"0029-8549, 1432-1939","issue":"2","journalAbbreviation":"Oecologia","language":"en","page":"357-366","source":"DOI.org (Crossref)","title":"Abiotic constraints on the competitive ability of exotic and native grasses in a Pacific Northwest prairie","URL":"http://link.springer.com/10.1007/s00442-007-0909-6","volume":"155","author":[{"family":"Pfeifer-Meister","given":"Laurel"},{"family":"Cole","given":"Esther M."},{"family":"Roy","given":"Bitty A."},{"family":"Bridgham","given":"Scott D."}],"accessed":{"date-parts":[["2021",12,10]]},"issued":{"date-parts":[["2008",3]]}},"label":"page"}],"schema":"https://github.com/citation-style-language/schema/raw/master/csl-citation.json"} </w:instrText>
      </w:r>
      <w:r w:rsidR="000D3538" w:rsidRPr="5575EBFC">
        <w:rPr>
          <w:rStyle w:val="normaltextrun"/>
          <w:lang w:val="en-GB"/>
        </w:rPr>
        <w:fldChar w:fldCharType="separate"/>
      </w:r>
      <w:r w:rsidR="6B5F9B9E">
        <w:t>(Barnes et al., 2013; Pfeifer-Meister et al., 2008)</w:t>
      </w:r>
      <w:r w:rsidR="000D3538" w:rsidRPr="5575EBFC">
        <w:rPr>
          <w:rStyle w:val="normaltextrun"/>
          <w:lang w:val="en-GB"/>
        </w:rPr>
        <w:fldChar w:fldCharType="end"/>
      </w:r>
      <w:r w:rsidR="19A5F95F" w:rsidRPr="5575EBFC">
        <w:rPr>
          <w:rStyle w:val="normaltextrun"/>
          <w:lang w:val="en-GB"/>
        </w:rPr>
        <w:t>. T</w:t>
      </w:r>
      <w:r w:rsidRPr="5575EBFC">
        <w:rPr>
          <w:rStyle w:val="normaltextrun"/>
          <w:lang w:val="en-GB"/>
        </w:rPr>
        <w:t xml:space="preserve">he spread of tall fescue is concerning as it also may act as a reservoir host for </w:t>
      </w:r>
      <w:r w:rsidRPr="5575EBFC">
        <w:rPr>
          <w:rStyle w:val="normaltextrun"/>
          <w:i/>
          <w:iCs/>
          <w:lang w:val="en-GB"/>
        </w:rPr>
        <w:t>Alternaria</w:t>
      </w:r>
      <w:r w:rsidR="2052EFBC" w:rsidRPr="5575EBFC">
        <w:rPr>
          <w:rStyle w:val="normaltextrun"/>
          <w:lang w:val="en-GB"/>
        </w:rPr>
        <w:t xml:space="preserve"> (fungal pathogen)</w:t>
      </w:r>
      <w:r w:rsidRPr="5575EBFC">
        <w:rPr>
          <w:rStyle w:val="normaltextrun"/>
          <w:lang w:val="en-GB"/>
        </w:rPr>
        <w:t>,</w:t>
      </w:r>
      <w:r w:rsidRPr="5575EBFC">
        <w:rPr>
          <w:rStyle w:val="normaltextrun"/>
          <w:i/>
          <w:iCs/>
          <w:lang w:val="en-GB"/>
        </w:rPr>
        <w:t xml:space="preserve"> </w:t>
      </w:r>
      <w:r w:rsidRPr="5575EBFC">
        <w:rPr>
          <w:rStyle w:val="normaltextrun"/>
          <w:lang w:val="en-GB"/>
        </w:rPr>
        <w:t xml:space="preserve">which produces crop damaging mycotoxins </w:t>
      </w:r>
      <w:r w:rsidR="000D3538" w:rsidRPr="5575EBFC">
        <w:rPr>
          <w:rStyle w:val="normaltextrun"/>
          <w:lang w:val="en-GB"/>
        </w:rPr>
        <w:fldChar w:fldCharType="begin"/>
      </w:r>
      <w:r w:rsidR="00331A79">
        <w:rPr>
          <w:rStyle w:val="normaltextrun"/>
          <w:lang w:val="en-GB"/>
        </w:rPr>
        <w:instrText xml:space="preserve"> ADDIN ZOTERO_ITEM CSL_CITATION {"citationID":"lFTsfmM5","properties":{"formattedCitation":"(H. E. Wilson et al., 2014)","plainCitation":"(H. E. Wilson et al., 2014)","noteIndex":0},"citationItems":[{"id":32606,"uris":["http://zotero.org/groups/2352922/items/ZAESTHWT"],"itemData":{"id":32606,"type":"article-journal","abstract":"The spread of invasive species is complicated and multifaceted. Enemy spillover (i.e. the transfer of a natural enemy from a reservoir host to a novel host) is one mechanism that facilitates the spread of non-native species. The reservoir host is a species that harbors high abundance of the enemy with little cost to fitness. We asked whether Schedonorus arundinaceus (tall fescue), a highly invasive grass species in North America, is a potential reservoir host for the ubiquitous genus of fungi, Alternaria. We also asked whether spillover of Alternaria is possible among grasses that commonly occur with S. arundinaceus in grassland ecosystems. We performed a greenhouse cross inoculation of three isolates of Alternaria and six grass species (three native, three invasive, including S. arundinaceus). We determined that spillover is possible because the fungal isolates infected and caused disease symptoms on all six grasses and decreased biomass in two of the grass species. We also determined that the invasive grass species appear to be more competent hosts than the native species and that S. arundinaceus could be a likely reservoir host for Alternaria spp. because it can harbor the pathogen with no apparent fitness cost.","container-title":"Mycologia","DOI":"10.3852/12-330","ISSN":"0027-5514","issue":"1","note":"number: 1\npublisher: Taylor &amp; Francis\n_eprint: https://doi.org/10.3852/12-330","page":"22-31","source":"Taylor and Francis+NEJM","title":"Tall fescue is a potential spillover reservoir host for Alternaria species","URL":"https://doi.org/10.3852/12-330","volume":"106","author":[{"family":"Wilson","given":"Hannah E."},{"family":"Carroll","given":"George C."},{"family":"Roy","given":"Bitty A."},{"family":"Blaisdell","given":"G. Kai"}],"accessed":{"date-parts":[["2021",12,7]]},"issued":{"date-parts":[["2014",1,1]]}},"label":"page"}],"schema":"https://github.com/citation-style-language/schema/raw/master/csl-citation.json"} </w:instrText>
      </w:r>
      <w:r w:rsidR="000D3538" w:rsidRPr="5575EBFC">
        <w:rPr>
          <w:rStyle w:val="normaltextrun"/>
          <w:lang w:val="en-GB"/>
        </w:rPr>
        <w:fldChar w:fldCharType="separate"/>
      </w:r>
      <w:r w:rsidR="6B5F9B9E">
        <w:t>(H. E. Wilson et al., 2014)</w:t>
      </w:r>
      <w:r w:rsidR="000D3538" w:rsidRPr="5575EBFC">
        <w:rPr>
          <w:rStyle w:val="normaltextrun"/>
          <w:lang w:val="en-GB"/>
        </w:rPr>
        <w:fldChar w:fldCharType="end"/>
      </w:r>
      <w:r w:rsidRPr="5575EBFC">
        <w:rPr>
          <w:rStyle w:val="normaltextrun"/>
          <w:lang w:val="en-GB"/>
        </w:rPr>
        <w:t xml:space="preserve">. </w:t>
      </w:r>
    </w:p>
    <w:p w14:paraId="1E6467CB" w14:textId="77777777" w:rsidR="002E3CEA" w:rsidRPr="00DA249F" w:rsidRDefault="00843982" w:rsidP="00973597">
      <w:pPr>
        <w:pStyle w:val="Heading3"/>
        <w:numPr>
          <w:ilvl w:val="4"/>
          <w:numId w:val="30"/>
        </w:numPr>
        <w:rPr>
          <w:rStyle w:val="normaltextrun"/>
          <w:lang w:val="en-GB"/>
        </w:rPr>
      </w:pPr>
      <w:r w:rsidRPr="00DA249F">
        <w:rPr>
          <w:rStyle w:val="normaltextrun"/>
          <w:lang w:val="en-GB"/>
        </w:rPr>
        <w:t>A</w:t>
      </w:r>
      <w:r w:rsidR="00C033C3" w:rsidRPr="00DA249F">
        <w:rPr>
          <w:rStyle w:val="normaltextrun"/>
          <w:lang w:val="en-GB"/>
        </w:rPr>
        <w:t>griculture</w:t>
      </w:r>
      <w:r w:rsidR="002E3CEA" w:rsidRPr="00DA249F">
        <w:rPr>
          <w:rStyle w:val="normaltextrun"/>
          <w:lang w:val="en-GB"/>
        </w:rPr>
        <w:t xml:space="preserve"> </w:t>
      </w:r>
    </w:p>
    <w:p w14:paraId="0CEE9A8F" w14:textId="3DD1169F" w:rsidR="00D3598D" w:rsidRPr="00DA249F" w:rsidRDefault="001A0E22" w:rsidP="00751A66">
      <w:pPr>
        <w:spacing w:before="0" w:after="0"/>
        <w:rPr>
          <w:rFonts w:eastAsia="Times New Roman"/>
          <w:color w:val="000000"/>
          <w:szCs w:val="24"/>
          <w:lang w:val="en-GB" w:eastAsia="zh-CN"/>
        </w:rPr>
      </w:pPr>
      <w:r w:rsidRPr="00DA249F">
        <w:rPr>
          <w:rStyle w:val="normaltextrun"/>
          <w:lang w:val="en-GB"/>
        </w:rPr>
        <w:t>In a global study of terrestrial plant invasions</w:t>
      </w:r>
      <w:r w:rsidR="00A314D2" w:rsidRPr="00DA249F">
        <w:rPr>
          <w:rStyle w:val="normaltextrun"/>
          <w:lang w:val="en-GB"/>
        </w:rPr>
        <w:t xml:space="preserve"> 407 (46</w:t>
      </w:r>
      <w:r w:rsidR="007F3C32" w:rsidRPr="00DA249F">
        <w:rPr>
          <w:rStyle w:val="normaltextrun"/>
          <w:lang w:val="en-GB"/>
        </w:rPr>
        <w:t xml:space="preserve"> </w:t>
      </w:r>
      <w:r w:rsidR="004C77CD" w:rsidRPr="00DA249F">
        <w:rPr>
          <w:rStyle w:val="normaltextrun"/>
          <w:lang w:val="en-GB"/>
        </w:rPr>
        <w:t>per cent</w:t>
      </w:r>
      <w:r w:rsidR="00A314D2" w:rsidRPr="00DA249F">
        <w:rPr>
          <w:rStyle w:val="normaltextrun"/>
          <w:lang w:val="en-GB"/>
        </w:rPr>
        <w:t>) of 886</w:t>
      </w:r>
      <w:r w:rsidR="006F02BA" w:rsidRPr="00DA249F">
        <w:rPr>
          <w:rStyle w:val="normaltextrun"/>
          <w:lang w:val="en-GB"/>
        </w:rPr>
        <w:t xml:space="preserve"> </w:t>
      </w:r>
      <w:r w:rsidR="00A314D2" w:rsidRPr="00DA249F">
        <w:rPr>
          <w:rStyle w:val="normaltextrun"/>
          <w:lang w:val="en-GB"/>
        </w:rPr>
        <w:t xml:space="preserve">alien plants were introduced intentionally through </w:t>
      </w:r>
      <w:r w:rsidR="00BE2F87" w:rsidRPr="00DA249F">
        <w:rPr>
          <w:rStyle w:val="normaltextrun"/>
          <w:lang w:val="en-GB"/>
        </w:rPr>
        <w:t>agricultural</w:t>
      </w:r>
      <w:r w:rsidR="00A314D2" w:rsidRPr="00DA249F">
        <w:rPr>
          <w:rStyle w:val="normaltextrun"/>
          <w:lang w:val="en-GB"/>
        </w:rPr>
        <w:t xml:space="preserve"> pathways </w:t>
      </w:r>
      <w:r w:rsidRPr="00DA249F">
        <w:rPr>
          <w:rStyle w:val="normaltextrun"/>
          <w:lang w:val="en-GB"/>
        </w:rPr>
        <w:fldChar w:fldCharType="begin"/>
      </w:r>
      <w:r w:rsidR="00230216">
        <w:rPr>
          <w:rStyle w:val="normaltextrun"/>
          <w:lang w:val="en-GB"/>
        </w:rPr>
        <w:instrText xml:space="preserve"> ADDIN ZOTERO_ITEM CSL_CITATION {"citationID":"lJ22fUgo","properties":{"formattedCitation":"(Turbelin et al., 2017)","plainCitation":"(Turbelin et al., 2017)","noteIndex":0},"citationItems":[{"id":54813,"uris":["http://zotero.org/groups/2352922/items/82VQQQD2","http://zotero.org/groups/2352922/items/3RRFJITZ","http://zotero.org/groups/2352922/items/UJJ4ZERC"],"itemData":{"id":54813,"type":"article-journal","container-title":"Global Ecology and Biogeography","DOI":"10.1111/geb.12517","ISSN":"1466822X","issue":"1","journalAbbreviation":"Global Ecol. Biogeogr.","language":"en","page":"78-92","source":"DOI.org (Crossref)","title":"Mapping the global state of invasive alien species: patterns of invasion and policy responses: Mapping the global state of invasive alien species","title-short":"Mapping the global state of invasive alien species","URL":"https://onlinelibrary.wiley.com/doi/10.1111/geb.12517","volume":"26","author":[{"family":"Turbelin","given":"Anna J."},{"family":"Malamud","given":"Bruce D."},{"family":"Francis","given":"Robert A."}],"accessed":{"date-parts":[["2023",3,28]]},"issued":{"date-parts":[["2017",1]]}},"label":"page"}],"schema":"https://github.com/citation-style-language/schema/raw/master/csl-citation.json"} </w:instrText>
      </w:r>
      <w:r w:rsidRPr="00DA249F">
        <w:rPr>
          <w:rStyle w:val="normaltextrun"/>
          <w:lang w:val="en-GB"/>
        </w:rPr>
        <w:fldChar w:fldCharType="separate"/>
      </w:r>
      <w:r w:rsidR="00144D96" w:rsidRPr="00144D96">
        <w:t>(Turbelin et al., 2017)</w:t>
      </w:r>
      <w:r w:rsidRPr="00DA249F">
        <w:rPr>
          <w:rStyle w:val="normaltextrun"/>
          <w:lang w:val="en-GB"/>
        </w:rPr>
        <w:fldChar w:fldCharType="end"/>
      </w:r>
      <w:r w:rsidR="00A314D2" w:rsidRPr="00DA249F">
        <w:rPr>
          <w:rStyle w:val="normaltextrun"/>
          <w:lang w:val="en-GB"/>
        </w:rPr>
        <w:t xml:space="preserve">. This study reports </w:t>
      </w:r>
      <w:r w:rsidR="007F3C32" w:rsidRPr="00DA249F">
        <w:rPr>
          <w:rStyle w:val="normaltextrun"/>
          <w:lang w:val="en-GB"/>
        </w:rPr>
        <w:t>three</w:t>
      </w:r>
      <w:r w:rsidR="00A314D2" w:rsidRPr="00DA249F">
        <w:rPr>
          <w:rStyle w:val="normaltextrun"/>
          <w:lang w:val="en-GB"/>
        </w:rPr>
        <w:t xml:space="preserve"> of the top </w:t>
      </w:r>
      <w:r w:rsidR="007F3C32" w:rsidRPr="00DA249F">
        <w:rPr>
          <w:rStyle w:val="normaltextrun"/>
          <w:lang w:val="en-GB"/>
        </w:rPr>
        <w:t>five</w:t>
      </w:r>
      <w:r w:rsidR="006F02BA" w:rsidRPr="00DA249F">
        <w:rPr>
          <w:rStyle w:val="normaltextrun"/>
          <w:lang w:val="en-GB"/>
        </w:rPr>
        <w:t xml:space="preserve"> </w:t>
      </w:r>
      <w:r w:rsidR="007F3C32" w:rsidRPr="00DA249F">
        <w:rPr>
          <w:rStyle w:val="normaltextrun"/>
          <w:lang w:val="en-GB"/>
        </w:rPr>
        <w:t xml:space="preserve">terrestrial </w:t>
      </w:r>
      <w:r w:rsidR="00A314D2" w:rsidRPr="00DA249F">
        <w:rPr>
          <w:rStyle w:val="normaltextrun"/>
          <w:lang w:val="en-GB"/>
        </w:rPr>
        <w:t xml:space="preserve">invasive alien </w:t>
      </w:r>
      <w:r w:rsidR="007F3C32" w:rsidRPr="00DA249F">
        <w:rPr>
          <w:rStyle w:val="normaltextrun"/>
          <w:lang w:val="en-GB"/>
        </w:rPr>
        <w:t xml:space="preserve">plant </w:t>
      </w:r>
      <w:r w:rsidR="00A314D2" w:rsidRPr="00DA249F">
        <w:rPr>
          <w:rStyle w:val="normaltextrun"/>
          <w:lang w:val="en-GB"/>
        </w:rPr>
        <w:t>species globally to have</w:t>
      </w:r>
      <w:r w:rsidR="007F3C32" w:rsidRPr="00DA249F">
        <w:rPr>
          <w:rStyle w:val="normaltextrun"/>
          <w:lang w:val="en-GB"/>
        </w:rPr>
        <w:t xml:space="preserve"> their</w:t>
      </w:r>
      <w:r w:rsidR="00A314D2" w:rsidRPr="00DA249F">
        <w:rPr>
          <w:rStyle w:val="normaltextrun"/>
          <w:lang w:val="en-GB"/>
        </w:rPr>
        <w:t xml:space="preserve"> main introduction pathways associated with agricultural practices</w:t>
      </w:r>
      <w:r w:rsidR="004221FA">
        <w:rPr>
          <w:rStyle w:val="normaltextrun"/>
          <w:lang w:val="en-GB"/>
        </w:rPr>
        <w:t>:</w:t>
      </w:r>
      <w:r w:rsidR="00A314D2" w:rsidRPr="00DA249F">
        <w:rPr>
          <w:rStyle w:val="normaltextrun"/>
          <w:lang w:val="en-GB"/>
        </w:rPr>
        <w:t xml:space="preserve"> </w:t>
      </w:r>
      <w:r w:rsidR="00A314D2" w:rsidRPr="00DA249F">
        <w:rPr>
          <w:rStyle w:val="normaltextrun"/>
          <w:i/>
          <w:iCs/>
          <w:lang w:val="en-GB"/>
        </w:rPr>
        <w:t>Cyperus rotund</w:t>
      </w:r>
      <w:r w:rsidR="005B3994" w:rsidRPr="00DA249F">
        <w:rPr>
          <w:rStyle w:val="normaltextrun"/>
          <w:i/>
          <w:iCs/>
          <w:lang w:val="en-GB"/>
        </w:rPr>
        <w:t>u</w:t>
      </w:r>
      <w:r w:rsidR="00A314D2" w:rsidRPr="00DA249F">
        <w:rPr>
          <w:rStyle w:val="normaltextrun"/>
          <w:i/>
          <w:iCs/>
          <w:lang w:val="en-GB"/>
        </w:rPr>
        <w:t xml:space="preserve">s </w:t>
      </w:r>
      <w:r w:rsidR="00A314D2" w:rsidRPr="00DA249F">
        <w:rPr>
          <w:rStyle w:val="normaltextrun"/>
          <w:lang w:val="en-GB"/>
        </w:rPr>
        <w:t>(</w:t>
      </w:r>
      <w:r w:rsidR="00751A66" w:rsidRPr="00DA249F">
        <w:rPr>
          <w:rStyle w:val="normaltextrun"/>
          <w:lang w:val="en-GB"/>
        </w:rPr>
        <w:t>purple nutsedge</w:t>
      </w:r>
      <w:r w:rsidR="0049291C" w:rsidRPr="00DA249F">
        <w:rPr>
          <w:rStyle w:val="normaltextrun"/>
          <w:lang w:val="en-GB"/>
        </w:rPr>
        <w:t>;</w:t>
      </w:r>
      <w:r w:rsidR="00751A66" w:rsidRPr="00DA249F">
        <w:rPr>
          <w:rStyle w:val="normaltextrun"/>
          <w:lang w:val="en-GB"/>
        </w:rPr>
        <w:t xml:space="preserve"> </w:t>
      </w:r>
      <w:r w:rsidR="00346C18">
        <w:rPr>
          <w:rStyle w:val="normaltextrun"/>
          <w:lang w:val="en-GB"/>
        </w:rPr>
        <w:t xml:space="preserve">found in </w:t>
      </w:r>
      <w:r w:rsidR="00A314D2" w:rsidRPr="00DA249F">
        <w:rPr>
          <w:rStyle w:val="normaltextrun"/>
          <w:lang w:val="en-GB"/>
        </w:rPr>
        <w:t>37</w:t>
      </w:r>
      <w:r w:rsidR="000F7339" w:rsidRPr="00DA249F">
        <w:rPr>
          <w:rStyle w:val="normaltextrun"/>
          <w:lang w:val="en-GB"/>
        </w:rPr>
        <w:t xml:space="preserve"> </w:t>
      </w:r>
      <w:r w:rsidR="004C77CD" w:rsidRPr="00DA249F">
        <w:rPr>
          <w:rStyle w:val="normaltextrun"/>
          <w:lang w:val="en-GB"/>
        </w:rPr>
        <w:t>per cent</w:t>
      </w:r>
      <w:r w:rsidR="006F02BA" w:rsidRPr="00DA249F">
        <w:rPr>
          <w:rStyle w:val="normaltextrun"/>
          <w:lang w:val="en-GB"/>
        </w:rPr>
        <w:t xml:space="preserve"> </w:t>
      </w:r>
      <w:r w:rsidR="00346C18">
        <w:rPr>
          <w:rStyle w:val="normaltextrun"/>
          <w:lang w:val="en-GB"/>
        </w:rPr>
        <w:t xml:space="preserve">of </w:t>
      </w:r>
      <w:r w:rsidR="00A314D2" w:rsidRPr="00DA249F">
        <w:rPr>
          <w:rStyle w:val="normaltextrun"/>
          <w:lang w:val="en-GB"/>
        </w:rPr>
        <w:t>countries),</w:t>
      </w:r>
      <w:r w:rsidR="00A314D2" w:rsidRPr="00DA249F">
        <w:rPr>
          <w:rStyle w:val="normaltextrun"/>
          <w:i/>
          <w:iCs/>
          <w:lang w:val="en-GB"/>
        </w:rPr>
        <w:t xml:space="preserve"> Ricinus communis </w:t>
      </w:r>
      <w:r w:rsidR="00A314D2" w:rsidRPr="00DA249F">
        <w:rPr>
          <w:rStyle w:val="normaltextrun"/>
          <w:lang w:val="en-GB"/>
        </w:rPr>
        <w:t>(</w:t>
      </w:r>
      <w:r w:rsidR="00751A66" w:rsidRPr="00DA249F">
        <w:rPr>
          <w:rStyle w:val="normaltextrun"/>
          <w:lang w:val="en-GB"/>
        </w:rPr>
        <w:t>castor bean</w:t>
      </w:r>
      <w:r w:rsidR="0049291C" w:rsidRPr="00DA249F">
        <w:rPr>
          <w:rStyle w:val="normaltextrun"/>
          <w:lang w:val="en-GB"/>
        </w:rPr>
        <w:t>;</w:t>
      </w:r>
      <w:r w:rsidR="00751A66" w:rsidRPr="00DA249F">
        <w:rPr>
          <w:rStyle w:val="normaltextrun"/>
          <w:lang w:val="en-GB"/>
        </w:rPr>
        <w:t xml:space="preserve"> </w:t>
      </w:r>
      <w:r w:rsidR="00A314D2" w:rsidRPr="00DA249F">
        <w:rPr>
          <w:rStyle w:val="normaltextrun"/>
          <w:lang w:val="en-GB"/>
        </w:rPr>
        <w:t>31</w:t>
      </w:r>
      <w:r w:rsidR="000F7339" w:rsidRPr="00DA249F">
        <w:rPr>
          <w:rStyle w:val="normaltextrun"/>
          <w:lang w:val="en-GB"/>
        </w:rPr>
        <w:t xml:space="preserve"> </w:t>
      </w:r>
      <w:r w:rsidR="004C77CD" w:rsidRPr="00DA249F">
        <w:rPr>
          <w:rStyle w:val="normaltextrun"/>
          <w:lang w:val="en-GB"/>
        </w:rPr>
        <w:t>per cent</w:t>
      </w:r>
      <w:r w:rsidR="00A314D2" w:rsidRPr="00DA249F">
        <w:rPr>
          <w:rStyle w:val="normaltextrun"/>
          <w:lang w:val="en-GB"/>
        </w:rPr>
        <w:t>)</w:t>
      </w:r>
      <w:r w:rsidR="00774819">
        <w:rPr>
          <w:rStyle w:val="normaltextrun"/>
          <w:lang w:val="en-GB"/>
        </w:rPr>
        <w:t xml:space="preserve"> and</w:t>
      </w:r>
      <w:r w:rsidR="00A314D2" w:rsidRPr="00DA249F">
        <w:rPr>
          <w:rStyle w:val="normaltextrun"/>
          <w:i/>
          <w:iCs/>
          <w:lang w:val="en-GB"/>
        </w:rPr>
        <w:t xml:space="preserve"> Leucaena leucocephala </w:t>
      </w:r>
      <w:r w:rsidR="00A314D2" w:rsidRPr="00DA249F">
        <w:rPr>
          <w:rStyle w:val="normaltextrun"/>
          <w:lang w:val="en-GB"/>
        </w:rPr>
        <w:t>(</w:t>
      </w:r>
      <w:r w:rsidR="00107A89" w:rsidRPr="00DA249F">
        <w:rPr>
          <w:rFonts w:eastAsia="Times New Roman"/>
          <w:color w:val="000000"/>
          <w:szCs w:val="24"/>
          <w:lang w:val="en-GB" w:eastAsia="zh-CN"/>
        </w:rPr>
        <w:t>l</w:t>
      </w:r>
      <w:r w:rsidR="0049291C" w:rsidRPr="00DA249F">
        <w:rPr>
          <w:rFonts w:eastAsia="Times New Roman"/>
          <w:color w:val="000000"/>
          <w:szCs w:val="24"/>
          <w:lang w:val="en-GB" w:eastAsia="zh-CN"/>
        </w:rPr>
        <w:t>eucaena</w:t>
      </w:r>
      <w:r w:rsidR="0049291C" w:rsidRPr="00DA249F">
        <w:rPr>
          <w:rStyle w:val="normaltextrun"/>
          <w:lang w:val="en-GB"/>
        </w:rPr>
        <w:t>;</w:t>
      </w:r>
      <w:r w:rsidR="00751A66" w:rsidRPr="00DA249F">
        <w:rPr>
          <w:rStyle w:val="normaltextrun"/>
          <w:lang w:val="en-GB"/>
        </w:rPr>
        <w:t xml:space="preserve"> </w:t>
      </w:r>
      <w:r w:rsidR="00A314D2" w:rsidRPr="00DA249F">
        <w:rPr>
          <w:rStyle w:val="normaltextrun"/>
          <w:lang w:val="en-GB"/>
        </w:rPr>
        <w:t>27</w:t>
      </w:r>
      <w:r w:rsidR="000F7339" w:rsidRPr="00DA249F">
        <w:rPr>
          <w:rStyle w:val="normaltextrun"/>
          <w:lang w:val="en-GB"/>
        </w:rPr>
        <w:t xml:space="preserve"> </w:t>
      </w:r>
      <w:r w:rsidR="004C77CD" w:rsidRPr="00DA249F">
        <w:rPr>
          <w:rStyle w:val="normaltextrun"/>
          <w:lang w:val="en-GB"/>
        </w:rPr>
        <w:t>per cent</w:t>
      </w:r>
      <w:r w:rsidR="00A314D2" w:rsidRPr="00DA249F">
        <w:rPr>
          <w:rStyle w:val="normaltextrun"/>
          <w:lang w:val="en-GB"/>
        </w:rPr>
        <w:t xml:space="preserve">). </w:t>
      </w:r>
      <w:r w:rsidR="00BE2F87" w:rsidRPr="00DA249F">
        <w:rPr>
          <w:lang w:val="en-GB"/>
        </w:rPr>
        <w:t xml:space="preserve">Agricultural use is also a major source of aquatic plant invasions. </w:t>
      </w:r>
      <w:r w:rsidR="00BE2F87" w:rsidRPr="00DA249F">
        <w:rPr>
          <w:rStyle w:val="eop"/>
          <w:lang w:val="en-GB"/>
        </w:rPr>
        <w:t xml:space="preserve">In China, </w:t>
      </w:r>
      <w:r w:rsidR="00CA5434" w:rsidRPr="00DA249F">
        <w:rPr>
          <w:rStyle w:val="eop"/>
          <w:lang w:val="en-GB"/>
        </w:rPr>
        <w:t>several</w:t>
      </w:r>
      <w:r w:rsidR="006F02BA" w:rsidRPr="00DA249F">
        <w:rPr>
          <w:rStyle w:val="eop"/>
          <w:lang w:val="en-GB"/>
        </w:rPr>
        <w:t xml:space="preserve"> </w:t>
      </w:r>
      <w:r w:rsidR="00BE2F87" w:rsidRPr="00DA249F">
        <w:rPr>
          <w:rStyle w:val="eop"/>
          <w:lang w:val="en-GB"/>
        </w:rPr>
        <w:t>alien freshwater aquatic plants have been introduced for landscaping, water purification</w:t>
      </w:r>
      <w:r w:rsidR="00774819">
        <w:rPr>
          <w:rStyle w:val="eop"/>
          <w:lang w:val="en-GB"/>
        </w:rPr>
        <w:t xml:space="preserve"> and</w:t>
      </w:r>
      <w:r w:rsidR="008929C2" w:rsidRPr="00DA249F">
        <w:rPr>
          <w:rStyle w:val="eop"/>
          <w:lang w:val="en-GB"/>
        </w:rPr>
        <w:t xml:space="preserve"> </w:t>
      </w:r>
      <w:r w:rsidR="00BE2F87" w:rsidRPr="00DA249F">
        <w:rPr>
          <w:rStyle w:val="eop"/>
          <w:lang w:val="en-GB"/>
        </w:rPr>
        <w:t>forage purposes</w:t>
      </w:r>
      <w:r w:rsidR="00F60B2E">
        <w:rPr>
          <w:rStyle w:val="eop"/>
          <w:lang w:val="en-GB"/>
        </w:rPr>
        <w:t>,</w:t>
      </w:r>
      <w:r w:rsidR="00EC78CA" w:rsidRPr="00DA249F">
        <w:rPr>
          <w:rStyle w:val="eop"/>
          <w:lang w:val="en-GB"/>
        </w:rPr>
        <w:t xml:space="preserve"> </w:t>
      </w:r>
      <w:r w:rsidR="007F3C32" w:rsidRPr="00DA249F">
        <w:rPr>
          <w:rStyle w:val="eop"/>
          <w:lang w:val="en-GB"/>
        </w:rPr>
        <w:t>five</w:t>
      </w:r>
      <w:r w:rsidR="00BE2F87" w:rsidRPr="00DA249F">
        <w:rPr>
          <w:rStyle w:val="eop"/>
          <w:lang w:val="en-GB"/>
        </w:rPr>
        <w:t xml:space="preserve"> of which are now considered </w:t>
      </w:r>
      <w:r w:rsidR="007F3C32" w:rsidRPr="00DA249F">
        <w:rPr>
          <w:rStyle w:val="eop"/>
          <w:lang w:val="en-GB"/>
        </w:rPr>
        <w:t xml:space="preserve">to be </w:t>
      </w:r>
      <w:r w:rsidR="00BE2F87" w:rsidRPr="00DA249F">
        <w:rPr>
          <w:rStyle w:val="eop"/>
          <w:lang w:val="en-GB"/>
        </w:rPr>
        <w:t>invasive</w:t>
      </w:r>
      <w:r w:rsidR="007F3C32" w:rsidRPr="00DA249F">
        <w:rPr>
          <w:rStyle w:val="eop"/>
          <w:lang w:val="en-GB"/>
        </w:rPr>
        <w:t xml:space="preserve"> alien species</w:t>
      </w:r>
      <w:r w:rsidR="00BE2F87" w:rsidRPr="00DA249F">
        <w:rPr>
          <w:rStyle w:val="eop"/>
          <w:lang w:val="en-GB"/>
        </w:rPr>
        <w:t>:</w:t>
      </w:r>
      <w:r w:rsidR="00CC4FCF" w:rsidRPr="00DA249F">
        <w:rPr>
          <w:lang w:val="en-GB"/>
        </w:rPr>
        <w:t xml:space="preserve"> </w:t>
      </w:r>
      <w:r w:rsidR="00CC4FCF" w:rsidRPr="00DA249F">
        <w:rPr>
          <w:rStyle w:val="eop"/>
          <w:i/>
          <w:iCs/>
          <w:lang w:val="en-GB"/>
        </w:rPr>
        <w:t>Sporobolus alterniflorus</w:t>
      </w:r>
      <w:r w:rsidR="00751A66" w:rsidRPr="00DA249F">
        <w:rPr>
          <w:rStyle w:val="eop"/>
          <w:i/>
          <w:iCs/>
          <w:lang w:val="en-GB"/>
        </w:rPr>
        <w:t xml:space="preserve"> </w:t>
      </w:r>
      <w:r w:rsidR="00751A66" w:rsidRPr="00DA249F">
        <w:rPr>
          <w:rStyle w:val="eop"/>
          <w:iCs/>
          <w:lang w:val="en-GB"/>
        </w:rPr>
        <w:t>(smooth cordgrass)</w:t>
      </w:r>
      <w:r w:rsidR="00BE2F87" w:rsidRPr="00DA249F">
        <w:rPr>
          <w:rStyle w:val="eop"/>
          <w:lang w:val="en-GB"/>
        </w:rPr>
        <w:t xml:space="preserve">, </w:t>
      </w:r>
      <w:r w:rsidR="007F449C" w:rsidRPr="00DA249F">
        <w:rPr>
          <w:rStyle w:val="eop"/>
          <w:i/>
          <w:iCs/>
          <w:lang w:val="en-GB"/>
        </w:rPr>
        <w:t>Azolla filiculoides</w:t>
      </w:r>
      <w:r w:rsidR="00751A66" w:rsidRPr="00DA249F">
        <w:rPr>
          <w:rStyle w:val="eop"/>
          <w:i/>
          <w:iCs/>
          <w:lang w:val="en-GB"/>
        </w:rPr>
        <w:t xml:space="preserve"> </w:t>
      </w:r>
      <w:r w:rsidR="00751A66" w:rsidRPr="00DA249F">
        <w:rPr>
          <w:rStyle w:val="eop"/>
          <w:iCs/>
          <w:lang w:val="en-GB"/>
        </w:rPr>
        <w:t>(water fern)</w:t>
      </w:r>
      <w:r w:rsidR="007F449C" w:rsidRPr="00DA249F">
        <w:rPr>
          <w:rStyle w:val="eop"/>
          <w:iCs/>
          <w:lang w:val="en-GB"/>
        </w:rPr>
        <w:t>,</w:t>
      </w:r>
      <w:r w:rsidR="007F449C" w:rsidRPr="00DA249F">
        <w:rPr>
          <w:rStyle w:val="eop"/>
          <w:i/>
          <w:iCs/>
          <w:lang w:val="en-GB"/>
        </w:rPr>
        <w:t xml:space="preserve"> </w:t>
      </w:r>
      <w:r w:rsidR="00A17F8C" w:rsidRPr="00DA249F">
        <w:rPr>
          <w:rStyle w:val="eop"/>
          <w:i/>
          <w:iCs/>
          <w:lang w:val="en-GB"/>
        </w:rPr>
        <w:t>Alternanthera philoxeroides</w:t>
      </w:r>
      <w:r w:rsidR="00751A66" w:rsidRPr="00DA249F">
        <w:rPr>
          <w:rStyle w:val="eop"/>
          <w:i/>
          <w:iCs/>
          <w:lang w:val="en-GB"/>
        </w:rPr>
        <w:t xml:space="preserve"> </w:t>
      </w:r>
      <w:r w:rsidR="00751A66" w:rsidRPr="00DA249F">
        <w:rPr>
          <w:rStyle w:val="eop"/>
          <w:iCs/>
          <w:lang w:val="en-GB"/>
        </w:rPr>
        <w:t>(alligator weed)</w:t>
      </w:r>
      <w:r w:rsidR="00BE2F87" w:rsidRPr="00DA249F">
        <w:rPr>
          <w:rStyle w:val="eop"/>
          <w:lang w:val="en-GB"/>
        </w:rPr>
        <w:t>,</w:t>
      </w:r>
      <w:r w:rsidR="00BE2F87" w:rsidRPr="00DA249F">
        <w:rPr>
          <w:rStyle w:val="eop"/>
          <w:i/>
          <w:iCs/>
          <w:lang w:val="en-GB"/>
        </w:rPr>
        <w:t xml:space="preserve"> </w:t>
      </w:r>
      <w:r w:rsidR="0079286F" w:rsidRPr="00DA249F">
        <w:rPr>
          <w:rStyle w:val="eop"/>
          <w:i/>
          <w:iCs/>
          <w:lang w:val="en-GB"/>
        </w:rPr>
        <w:t>Urochloa</w:t>
      </w:r>
      <w:r w:rsidR="00BE2F87" w:rsidRPr="00DA249F">
        <w:rPr>
          <w:rStyle w:val="eop"/>
          <w:i/>
          <w:iCs/>
          <w:lang w:val="en-GB"/>
        </w:rPr>
        <w:t xml:space="preserve"> brizantha</w:t>
      </w:r>
      <w:r w:rsidR="00751A66" w:rsidRPr="00DA249F">
        <w:rPr>
          <w:rStyle w:val="eop"/>
          <w:i/>
          <w:iCs/>
          <w:lang w:val="en-GB"/>
        </w:rPr>
        <w:t xml:space="preserve"> </w:t>
      </w:r>
      <w:r w:rsidR="00751A66" w:rsidRPr="00DA249F">
        <w:rPr>
          <w:rStyle w:val="eop"/>
          <w:iCs/>
          <w:lang w:val="en-GB"/>
        </w:rPr>
        <w:t>(palisadegrass)</w:t>
      </w:r>
      <w:r w:rsidR="00774819">
        <w:rPr>
          <w:rStyle w:val="eop"/>
          <w:lang w:val="en-GB"/>
        </w:rPr>
        <w:t xml:space="preserve"> and</w:t>
      </w:r>
      <w:r w:rsidR="00BE2F87" w:rsidRPr="00DA249F">
        <w:rPr>
          <w:rStyle w:val="eop"/>
          <w:lang w:val="en-GB"/>
        </w:rPr>
        <w:t xml:space="preserve"> </w:t>
      </w:r>
      <w:r w:rsidR="0079286F" w:rsidRPr="00DA249F">
        <w:rPr>
          <w:rStyle w:val="eop"/>
          <w:i/>
          <w:iCs/>
          <w:lang w:val="en-GB"/>
        </w:rPr>
        <w:t>Urochloa</w:t>
      </w:r>
      <w:r w:rsidR="00BE2F87" w:rsidRPr="00DA249F">
        <w:rPr>
          <w:rStyle w:val="eop"/>
          <w:i/>
          <w:iCs/>
          <w:lang w:val="en-GB"/>
        </w:rPr>
        <w:t xml:space="preserve"> mutica</w:t>
      </w:r>
      <w:r w:rsidR="00751A66" w:rsidRPr="00DA249F">
        <w:rPr>
          <w:rStyle w:val="eop"/>
          <w:i/>
          <w:iCs/>
          <w:lang w:val="en-GB"/>
        </w:rPr>
        <w:t xml:space="preserve"> </w:t>
      </w:r>
      <w:r w:rsidR="00751A66" w:rsidRPr="00DA249F">
        <w:rPr>
          <w:rStyle w:val="eop"/>
          <w:iCs/>
          <w:lang w:val="en-GB"/>
        </w:rPr>
        <w:t>(para grass)</w:t>
      </w:r>
      <w:r w:rsidR="00BE2F87" w:rsidRPr="00DA249F">
        <w:rPr>
          <w:rStyle w:val="eop"/>
          <w:lang w:val="en-GB"/>
        </w:rPr>
        <w:t xml:space="preserve"> </w:t>
      </w:r>
      <w:r w:rsidRPr="00DA249F">
        <w:rPr>
          <w:rStyle w:val="eop"/>
          <w:lang w:val="en-GB"/>
        </w:rPr>
        <w:fldChar w:fldCharType="begin"/>
      </w:r>
      <w:r w:rsidR="00331A79">
        <w:rPr>
          <w:rStyle w:val="eop"/>
          <w:lang w:val="en-GB"/>
        </w:rPr>
        <w:instrText xml:space="preserve"> ADDIN ZOTERO_ITEM CSL_CITATION {"citationID":"UYAULcRR","properties":{"formattedCitation":"(Wu &amp; Ding, 2019)","plainCitation":"(Wu &amp; Ding, 2019)","noteIndex":0},"citationItems":[{"id":32763,"uris":["http://zotero.org/groups/2352922/items/GNF7SUJ5"],"itemData":{"id":32763,"type":"article-journal","abstract":"Many alien aquatic plants are deliberately introduced because they have economic, ornamental, or environmental values; however, they may also negatively affect aquatic ecosystems, by blocking rivers, restricting aquatic animals and plants by decreasing dissolved oxygen, and reducing native biodiversity. These positive and/or negative ecological effects may be enhanced under global change. Here, we examine the impacts of global change on aquatic alien plant introduction and/or invasions by reviewing their introduction pathways, distributions, and ecological effects. We focus on how climate change, aquatic environmental pollution, and China’s rapid economic growth in recent decades affect their uses and invasiveness in China. Among 55 species of alien aquatic plants in China, 10 species are invasive, such as Eichhornia crassipes, Alternanthera philoxeroides, and Pistia stratiotes. Most of these invaders were intentionally introduced and dispersed across the country but are now widely distributed and invasive. Under climate warming, many species have expanded their distributions to areas where it was originally too cold for their survival. Thus, these species are (and will be) considered to be beneﬁcial plants in aquaculture and for the restoration of aquatic ecosystems (for water puriﬁcation) across larger areas. However, for potential invasive species, climate warming is (and will be) increasing their invasion risk in more areas. In addition, nitrogen deposition and phosphorus inputs may also alter the status of some alien species. Furthermore, climate warming has shifted the interactions between alien aquatic plants and herbivores, thus impacting their future spreads. Under climate change, more precipitation in North China and more frequent ﬂooding in South China will increase the uncertainties of ecological effects of alien aquatic plants in these regions. We also predict that, under the continuing booming economy in China, more and more alien aquatic plants will be used for aquatic landscaping and water puriﬁcation. In conclusion, our study indicates that both human activities under rapid economic growth and climate change can either increase the potential uses of alien aquatic plants or make the aquatic invaders worse in China and other areas in the world. These ﬁndings are critical for future risk assessment of aquatic plant introduction and aquatic ecosystem restoration.","container-title":"Frontiers in Plant Science","DOI":"10.3389/fpls.2019.00787","ISSN":"1664-462X","journalAbbreviation":"Front. Plant Sci.","language":"en","page":"787","source":"DOI.org (Crossref)","title":"Global Change Sharpens the Double-Edged Sword Effect of Aquatic Alien Plants in China and Beyond","URL":"https://www.frontiersin.org/article/10.3389/fpls.2019.00787/full","volume":"10","author":[{"family":"Wu","given":"Hao"},{"family":"Ding","given":"Jianqing"}],"accessed":{"date-parts":[["2019",11,1]]},"issued":{"date-parts":[["2019",6,12]]}},"label":"page"}],"schema":"https://github.com/citation-style-language/schema/raw/master/csl-citation.json"} </w:instrText>
      </w:r>
      <w:r w:rsidRPr="00DA249F">
        <w:rPr>
          <w:rStyle w:val="eop"/>
          <w:lang w:val="en-GB"/>
        </w:rPr>
        <w:fldChar w:fldCharType="separate"/>
      </w:r>
      <w:r w:rsidR="00144D96" w:rsidRPr="00144D96">
        <w:t>(Wu &amp; Ding, 2019)</w:t>
      </w:r>
      <w:r w:rsidRPr="00DA249F">
        <w:rPr>
          <w:rStyle w:val="eop"/>
          <w:lang w:val="en-GB"/>
        </w:rPr>
        <w:fldChar w:fldCharType="end"/>
      </w:r>
      <w:r w:rsidR="00BE2F87" w:rsidRPr="00DA249F">
        <w:rPr>
          <w:rStyle w:val="eop"/>
          <w:lang w:val="en-GB"/>
        </w:rPr>
        <w:t>.</w:t>
      </w:r>
    </w:p>
    <w:p w14:paraId="38AC2230" w14:textId="17631C3B" w:rsidR="00F4367C" w:rsidRPr="00DA249F" w:rsidRDefault="5D15AB07" w:rsidP="00F4367C">
      <w:pPr>
        <w:rPr>
          <w:lang w:val="en-GB"/>
        </w:rPr>
      </w:pPr>
      <w:r w:rsidRPr="5575EBFC">
        <w:rPr>
          <w:lang w:val="en-GB"/>
        </w:rPr>
        <w:t>The occurrence of s</w:t>
      </w:r>
      <w:r w:rsidR="2427DF7B" w:rsidRPr="5575EBFC">
        <w:rPr>
          <w:lang w:val="en-GB"/>
        </w:rPr>
        <w:t>ome ungulate</w:t>
      </w:r>
      <w:r w:rsidRPr="5575EBFC">
        <w:rPr>
          <w:lang w:val="en-GB"/>
        </w:rPr>
        <w:t>s as invasive alien</w:t>
      </w:r>
      <w:r w:rsidR="2427DF7B" w:rsidRPr="5575EBFC">
        <w:rPr>
          <w:lang w:val="en-GB"/>
        </w:rPr>
        <w:t xml:space="preserve"> species arose from agricultural practices </w:t>
      </w:r>
      <w:r w:rsidR="00A47333" w:rsidRPr="5575EBFC">
        <w:rPr>
          <w:lang w:val="en-GB"/>
        </w:rPr>
        <w:fldChar w:fldCharType="begin"/>
      </w:r>
      <w:r w:rsidR="00331A79">
        <w:rPr>
          <w:lang w:val="en-GB"/>
        </w:rPr>
        <w:instrText xml:space="preserve"> ADDIN ZOTERO_ITEM CSL_CITATION {"citationID":"NY92VAHj","properties":{"formattedCitation":"(Spear &amp; Chown, 2009)","plainCitation":"(Spear &amp; Chown, 2009)","noteIndex":0},"citationItems":[{"id":28508,"uris":["http://zotero.org/groups/2352922/items/BTYMDYMT"],"itemData":{"id":28508,"type":"article-journal","abstract":"Despite the apparent risks of the introduction of non-indigenous ungulates to biodiversity, relatively little is known globally about the pathways of introduction, propagule pressure and realized impacts of ungulate introductions. These issues were examined here by investigating ungulate introductions to South Africa within a global context. Across countries globally, introduced ungulate richness is not related to indigenous ungulate richness, and several countries are clear outliers. South Africa is second only to the USA in the number of ungulate species introduced to date. Zoos have traded more ungulate species and individuals to non-zoo recipients than to other zoos, highlighting the tensions that exist between in situ and ex situ conservation goals. Introductions to, and extralimital introductions within South Africa have increased through time, with propagule pressure being highest in areas with high human population density. The long distances ungulates have been translocated raise concerns for genetic homogenization. Translocations of indigenous ungulate species extralimitally have significantly altered range sizes, typically to a greater extent than is expected from range shifts associated with global climate change. Although ungulate introductions and translocations are likely to have impacts on biodiversity, evidence for such impacts in South Africa, and elsewhere, is limited. Whilst arguments may be made for a precautionary approach to ungulate introductions, an evidence-based one is much more likely to deliver efficient and convincing conservation decision-making. © 2008 Elsevier Ltd. All rights reserved.","container-title":"Biological Conservation","DOI":"10.1016/j.biocon.2008.10.031","ISSN":"00063207","issue":"2","note":"publisher: Elsevier Ltd","page":"353–363","title":"The extent and impacts of ungulate translocations: South Africa in a global context","URL":"http://dx.doi.org/10.1016/j.biocon.2008.10.031","volume":"142","author":[{"family":"Spear","given":"Dian"},{"family":"Chown","given":"Steven L."}],"issued":{"date-parts":[["2009"]]}},"label":"page"}],"schema":"https://github.com/citation-style-language/schema/raw/master/csl-citation.json"} </w:instrText>
      </w:r>
      <w:r w:rsidR="00A47333" w:rsidRPr="5575EBFC">
        <w:rPr>
          <w:lang w:val="en-GB"/>
        </w:rPr>
        <w:fldChar w:fldCharType="separate"/>
      </w:r>
      <w:r w:rsidR="6B5F9B9E">
        <w:t>(Spear &amp; Chown, 2009)</w:t>
      </w:r>
      <w:r w:rsidR="00A47333" w:rsidRPr="5575EBFC">
        <w:rPr>
          <w:lang w:val="en-GB"/>
        </w:rPr>
        <w:fldChar w:fldCharType="end"/>
      </w:r>
      <w:r w:rsidR="2427DF7B" w:rsidRPr="5575EBFC">
        <w:rPr>
          <w:lang w:val="en-GB"/>
        </w:rPr>
        <w:t xml:space="preserve">. Farms or hunting of species for </w:t>
      </w:r>
      <w:r w:rsidR="2427DF7B" w:rsidRPr="5575EBFC">
        <w:rPr>
          <w:rStyle w:val="eop"/>
          <w:lang w:val="en-GB"/>
        </w:rPr>
        <w:t>fur has resulted in the intentional introduction</w:t>
      </w:r>
      <w:r w:rsidR="6BA43941" w:rsidRPr="5575EBFC">
        <w:rPr>
          <w:rStyle w:val="eop"/>
          <w:lang w:val="en-GB"/>
        </w:rPr>
        <w:t>,</w:t>
      </w:r>
      <w:r w:rsidR="2427DF7B" w:rsidRPr="5575EBFC">
        <w:rPr>
          <w:rStyle w:val="eop"/>
          <w:lang w:val="en-GB"/>
        </w:rPr>
        <w:t xml:space="preserve"> or escape from farms</w:t>
      </w:r>
      <w:r w:rsidR="2B454083" w:rsidRPr="5575EBFC">
        <w:rPr>
          <w:rStyle w:val="eop"/>
          <w:lang w:val="en-GB"/>
        </w:rPr>
        <w:t xml:space="preserve"> or </w:t>
      </w:r>
      <w:r w:rsidR="2427DF7B" w:rsidRPr="5575EBFC">
        <w:rPr>
          <w:rStyle w:val="eop"/>
          <w:lang w:val="en-GB"/>
        </w:rPr>
        <w:t>captivity</w:t>
      </w:r>
      <w:r w:rsidR="6BA43941" w:rsidRPr="5575EBFC">
        <w:rPr>
          <w:rStyle w:val="eop"/>
          <w:lang w:val="en-GB"/>
        </w:rPr>
        <w:t>,</w:t>
      </w:r>
      <w:r w:rsidR="2427DF7B" w:rsidRPr="5575EBFC">
        <w:rPr>
          <w:rStyle w:val="eop"/>
          <w:lang w:val="en-GB"/>
        </w:rPr>
        <w:t xml:space="preserve"> of</w:t>
      </w:r>
      <w:r w:rsidR="5310AFF1" w:rsidRPr="5575EBFC">
        <w:rPr>
          <w:rStyle w:val="eop"/>
          <w:lang w:val="en-GB"/>
        </w:rPr>
        <w:t>:</w:t>
      </w:r>
      <w:r w:rsidR="2427DF7B" w:rsidRPr="5575EBFC">
        <w:rPr>
          <w:rStyle w:val="eop"/>
          <w:lang w:val="en-GB"/>
        </w:rPr>
        <w:t xml:space="preserve"> </w:t>
      </w:r>
      <w:r w:rsidR="27D67C7B" w:rsidRPr="5575EBFC">
        <w:rPr>
          <w:rStyle w:val="eop"/>
          <w:i/>
          <w:iCs/>
          <w:lang w:val="en-GB"/>
        </w:rPr>
        <w:t>Mustela</w:t>
      </w:r>
      <w:r w:rsidR="3E2687FF" w:rsidRPr="5575EBFC">
        <w:rPr>
          <w:rStyle w:val="eop"/>
          <w:i/>
          <w:iCs/>
          <w:lang w:val="en-GB"/>
        </w:rPr>
        <w:t xml:space="preserve"> vison</w:t>
      </w:r>
      <w:r w:rsidR="365BC419" w:rsidRPr="5575EBFC">
        <w:rPr>
          <w:rStyle w:val="eop"/>
          <w:lang w:val="en-GB"/>
        </w:rPr>
        <w:t xml:space="preserve"> (</w:t>
      </w:r>
      <w:r w:rsidR="2427DF7B" w:rsidRPr="5575EBFC">
        <w:rPr>
          <w:lang w:val="en-GB"/>
        </w:rPr>
        <w:t>American mink</w:t>
      </w:r>
      <w:r w:rsidR="365BC419" w:rsidRPr="5575EBFC">
        <w:rPr>
          <w:lang w:val="en-GB"/>
        </w:rPr>
        <w:t>)</w:t>
      </w:r>
      <w:r w:rsidR="2427DF7B" w:rsidRPr="5575EBFC">
        <w:rPr>
          <w:lang w:val="en-GB"/>
        </w:rPr>
        <w:t xml:space="preserve"> in Europe </w:t>
      </w:r>
      <w:r w:rsidR="00A47333" w:rsidRPr="5575EBFC">
        <w:rPr>
          <w:lang w:val="en-GB"/>
        </w:rPr>
        <w:fldChar w:fldCharType="begin"/>
      </w:r>
      <w:r w:rsidR="00331A79">
        <w:rPr>
          <w:lang w:val="en-GB"/>
        </w:rPr>
        <w:instrText xml:space="preserve"> ADDIN ZOTERO_ITEM CSL_CITATION {"citationID":"yBO7OATb","properties":{"formattedCitation":"(Bonesi &amp; Palazon, 2007; E. J. Fraser et al., 2017)","plainCitation":"(Bonesi &amp; Palazon, 2007; E. J. Fraser et al., 2017)","noteIndex":0},"citationItems":[{"id":9810,"uris":["http://zotero.org/groups/2352922/items/LRJ33MVU"],"itemData":{"id":9810,"type":"article-journal","abstract":"We examine the distribution of American mink Mustela vison in 28 European countries, and we review the impacts of this invasive species and the efforts made so far in controlling it. Our study reveals that, although mink farms are mostly concentrated in northern countries, mink are widely distributed across Europe, and that in some countries mink are apparently declining, although in most cases the causes are unknown. Countries for which the impact of mink on native species has been studied show that mink can have a signiﬁcant effect on ground-nesting birds, rodents, amphibians and mustelids. The overall economic impact of feral mink seems to be relatively small but can be signiﬁcant in speciﬁc regions. Recently, a number of eradication and local control projects have been carried out throughout Europe, indicating that these actions could be effective to protect native species. A consistent body of knowledge is starting to accumulate on issues concerning the American mink as an invasive alien species, but, as this review highlights, for most European countries there is currently a limited knowledge about its distribution or impacts. Taking all these observations together, we present some of the actions that have recently emerged as effective for dealing with this species and discuss which considerations may further encourage competent European authorities to take action to prevent and mitigate impacts of American mink.","container-title":"Biological Conservation","DOI":"10.1016/j.biocon.2006.09.006","ISSN":"00063207","issue":"4","journalAbbreviation":"Biological Conservation","language":"en","page":"470-483","source":"DOI.org (Crossref)","title":"The American mink in Europe: Status, impacts, and control","title-short":"The American mink in Europe","URL":"https://linkinghub.elsevier.com/retrieve/pii/S0006320706003855","volume":"134","author":[{"family":"Bonesi","given":"Laura"},{"family":"Palazon","given":"Santiago"}],"accessed":{"date-parts":[["2020",7,17]]},"issued":{"date-parts":[["2007",2]]}},"label":"page"},{"id":32976,"uris":["http://zotero.org/groups/2352922/items/M4VW8FV9"],"itemData":{"id":32976,"type":"chapter","abstract":"American mink, native to North America, have been transported around the world for fur farming – inevitably some individuals escaped, and they now occur in the wild across Eurasia and in South America, where they have had devastating impacts on native prey and competitors. This chapter gives an overview of a research project focusing on mink management in the north of Scotland, UK. It assesses, first, how mink have spread across Scotland, and, specifically, to what extent habitat suitability and food availability has influenced the current distribution of mink. It then considers how we might use knowledge of population structure across the landscape to target control efforts, and, finally, whether volunteers can play a useful role in mink control in this area. The chapter is concluded with a discussion of what we might learn from this Scottish case study with respect to the wider issue of invasive American mink elsewhere.","container-title":"Biology and Conservation of Musteloids","event-place":"Oxford","ISBN":"978-0-19-875980-5","language":"eng","note":"DOI: 10.1093/oso/9780198759805.003.0016","publisher":"Oxford University Press","publisher-place":"Oxford","source":"University Press Scholarship","title":"Control of an invasive species: the American mink in Great Britain","title-short":"Control of an invasive species","URL":"https://oxford.universitypressscholarship.com/10.1093/oso/9780198759805.001.0001/oso-9780198759805-chapter-16","author":[{"family":"Fraser","given":"Elaine J."},{"family":"Harrington","given":"Lauren A."},{"family":"Macdonald","given":"David W."},{"family":"Lambin","given":"Xavier"}],"accessed":{"date-parts":[["2021",12,7]]},"issued":{"date-parts":[["2017"]]}},"label":"page"}],"schema":"https://github.com/citation-style-language/schema/raw/master/csl-citation.json"} </w:instrText>
      </w:r>
      <w:r w:rsidR="00A47333" w:rsidRPr="5575EBFC">
        <w:rPr>
          <w:lang w:val="en-GB"/>
        </w:rPr>
        <w:fldChar w:fldCharType="separate"/>
      </w:r>
      <w:r w:rsidR="6B5F9B9E">
        <w:t>(Bonesi &amp; Palazon, 2007; E. J. Fraser et al., 2017)</w:t>
      </w:r>
      <w:r w:rsidR="00A47333" w:rsidRPr="5575EBFC">
        <w:rPr>
          <w:lang w:val="en-GB"/>
        </w:rPr>
        <w:fldChar w:fldCharType="end"/>
      </w:r>
      <w:r w:rsidR="36A8D120" w:rsidRPr="5575EBFC">
        <w:rPr>
          <w:lang w:val="en-GB"/>
        </w:rPr>
        <w:t>;</w:t>
      </w:r>
      <w:r w:rsidR="2427DF7B" w:rsidRPr="5575EBFC">
        <w:rPr>
          <w:lang w:val="en-GB"/>
        </w:rPr>
        <w:t xml:space="preserve"> </w:t>
      </w:r>
      <w:r w:rsidR="365BC419" w:rsidRPr="5575EBFC">
        <w:rPr>
          <w:i/>
          <w:iCs/>
          <w:lang w:val="en-GB"/>
        </w:rPr>
        <w:t>Procyon lotor</w:t>
      </w:r>
      <w:r w:rsidR="365BC419" w:rsidRPr="5575EBFC">
        <w:rPr>
          <w:lang w:val="en-GB"/>
        </w:rPr>
        <w:t xml:space="preserve"> (</w:t>
      </w:r>
      <w:r w:rsidR="5F645BEE" w:rsidRPr="5575EBFC">
        <w:rPr>
          <w:lang w:val="en-GB"/>
        </w:rPr>
        <w:t>r</w:t>
      </w:r>
      <w:r w:rsidR="2427DF7B" w:rsidRPr="5575EBFC">
        <w:rPr>
          <w:lang w:val="en-GB"/>
        </w:rPr>
        <w:t>acoon</w:t>
      </w:r>
      <w:r w:rsidR="365BC419" w:rsidRPr="5575EBFC">
        <w:rPr>
          <w:lang w:val="en-GB"/>
        </w:rPr>
        <w:t>)</w:t>
      </w:r>
      <w:r w:rsidR="2427DF7B" w:rsidRPr="5575EBFC">
        <w:rPr>
          <w:lang w:val="en-GB"/>
        </w:rPr>
        <w:t xml:space="preserve"> in Europe </w:t>
      </w:r>
      <w:r w:rsidR="00A47333" w:rsidRPr="5575EBFC">
        <w:rPr>
          <w:lang w:val="en-GB"/>
        </w:rPr>
        <w:fldChar w:fldCharType="begin"/>
      </w:r>
      <w:r w:rsidR="00331A79">
        <w:rPr>
          <w:lang w:val="en-GB"/>
        </w:rPr>
        <w:instrText xml:space="preserve"> ADDIN ZOTERO_ITEM CSL_CITATION {"citationID":"G2ljHYuV","properties":{"formattedCitation":"(Beltr\\uc0\\u225{}n-Beck et al., 2012)","plainCitation":"(Beltrán-Beck et al., 2012)","noteIndex":0},"citationItems":[{"id":9819,"uris":["http://zotero.org/groups/2352922/items/TWNFT3HH"],"itemData":{"id":9819,"type":"article-journal","container-title":"European Journal of Wildlife Research","DOI":"10.1007/s10344-011-0600-4","ISSN":"1612-4642, 1439-0574","issue":"1","journalAbbreviation":"Eur J Wildl Res","language":"en","page":"5-15","source":"DOI.org (Crossref)","title":"Raccoons in Europe: disease hazards due to the establishment of an invasive species","title-short":"Raccoons in Europe","URL":"http://link.springer.com/10.1007/s10344-011-0600-4","volume":"58","author":[{"family":"Beltrán-Beck","given":"Beatriz"},{"family":"García","given":"Francisco José"},{"family":"Gortázar","given":"Christian"}],"accessed":{"date-parts":[["2021",12,12]]},"issued":{"date-parts":[["2012",2]]}},"label":"page"}],"schema":"https://github.com/citation-style-language/schema/raw/master/csl-citation.json"} </w:instrText>
      </w:r>
      <w:r w:rsidR="00A47333" w:rsidRPr="5575EBFC">
        <w:rPr>
          <w:lang w:val="en-GB"/>
        </w:rPr>
        <w:fldChar w:fldCharType="separate"/>
      </w:r>
      <w:r w:rsidR="6B5F9B9E">
        <w:t>(Beltrán-Beck et al., 2012)</w:t>
      </w:r>
      <w:r w:rsidR="00A47333" w:rsidRPr="5575EBFC">
        <w:rPr>
          <w:lang w:val="en-GB"/>
        </w:rPr>
        <w:fldChar w:fldCharType="end"/>
      </w:r>
      <w:r w:rsidR="36A8D120" w:rsidRPr="5575EBFC">
        <w:rPr>
          <w:lang w:val="en-GB"/>
        </w:rPr>
        <w:t>;</w:t>
      </w:r>
      <w:r w:rsidR="2427DF7B" w:rsidRPr="5575EBFC">
        <w:rPr>
          <w:lang w:val="en-GB"/>
        </w:rPr>
        <w:t xml:space="preserve"> </w:t>
      </w:r>
      <w:r w:rsidR="365BC419" w:rsidRPr="5575EBFC">
        <w:rPr>
          <w:i/>
          <w:iCs/>
          <w:lang w:val="en-GB"/>
        </w:rPr>
        <w:t>Oryctolagus cuniculus</w:t>
      </w:r>
      <w:r w:rsidR="365BC419" w:rsidRPr="5575EBFC">
        <w:rPr>
          <w:lang w:val="en-GB"/>
        </w:rPr>
        <w:t xml:space="preserve"> (</w:t>
      </w:r>
      <w:r w:rsidR="2427DF7B" w:rsidRPr="5575EBFC">
        <w:rPr>
          <w:lang w:val="en-GB"/>
        </w:rPr>
        <w:t>rabbit</w:t>
      </w:r>
      <w:r w:rsidR="5E1DA56C" w:rsidRPr="5575EBFC">
        <w:rPr>
          <w:lang w:val="en-GB"/>
        </w:rPr>
        <w:t>s</w:t>
      </w:r>
      <w:r w:rsidR="365BC419" w:rsidRPr="5575EBFC">
        <w:rPr>
          <w:lang w:val="en-GB"/>
        </w:rPr>
        <w:t>)</w:t>
      </w:r>
      <w:r w:rsidR="2427DF7B" w:rsidRPr="5575EBFC">
        <w:rPr>
          <w:lang w:val="en-GB"/>
        </w:rPr>
        <w:t xml:space="preserve"> throughout the world </w:t>
      </w:r>
      <w:r w:rsidR="00A47333" w:rsidRPr="5575EBFC">
        <w:rPr>
          <w:lang w:val="en-GB"/>
        </w:rPr>
        <w:fldChar w:fldCharType="begin"/>
      </w:r>
      <w:r w:rsidR="00331A79">
        <w:rPr>
          <w:lang w:val="en-GB"/>
        </w:rPr>
        <w:instrText xml:space="preserve"> ADDIN ZOTERO_ITEM CSL_CITATION {"citationID":"IA1JZL9p","properties":{"formattedCitation":"(Lees &amp; Bell, 2008)","plainCitation":"(Lees &amp; Bell, 2008)","noteIndex":0},"citationItems":[{"id":32326,"uris":["http://zotero.org/groups/2352922/items/I6FKJ767"],"itemData":{"id":32326,"type":"article-journal","container-title":"Mammal Review","DOI":"10.1111/j.1365-2907.2008.00116.x","ISSN":"03051838, 13652907","issue":"4","language":"en","note":"number: 4","page":"304-320","source":"DOI.org (Crossref)","title":"A conservation paradox for the 21st century: the European wild rabbit &lt;i&gt;Oryctolagus cuniculus&lt;/i&gt; , an invasive alien and an endangered native species","title-short":"A conservation paradox for the 21st century","URL":"http://doi.wiley.com/10.1111/j.1365-2907.2008.00116.x","volume":"38","author":[{"family":"Lees","given":"Alexander C."},{"family":"Bell","given":"Diana J."}],"accessed":{"date-parts":[["2020",8,20]]},"issued":{"date-parts":[["2008",10]]}},"label":"page"}],"schema":"https://github.com/citation-style-language/schema/raw/master/csl-citation.json"} </w:instrText>
      </w:r>
      <w:r w:rsidR="00A47333" w:rsidRPr="5575EBFC">
        <w:rPr>
          <w:lang w:val="en-GB"/>
        </w:rPr>
        <w:fldChar w:fldCharType="separate"/>
      </w:r>
      <w:r w:rsidR="6B5F9B9E">
        <w:t>(Lees &amp; Bell, 2008)</w:t>
      </w:r>
      <w:r w:rsidR="00A47333" w:rsidRPr="5575EBFC">
        <w:rPr>
          <w:lang w:val="en-GB"/>
        </w:rPr>
        <w:fldChar w:fldCharType="end"/>
      </w:r>
      <w:r w:rsidR="2427DF7B" w:rsidRPr="5575EBFC">
        <w:rPr>
          <w:lang w:val="en-GB"/>
        </w:rPr>
        <w:t xml:space="preserve"> and particularly in New Zealand </w:t>
      </w:r>
      <w:r w:rsidR="00A47333" w:rsidRPr="5575EBFC">
        <w:rPr>
          <w:lang w:val="en-GB"/>
        </w:rPr>
        <w:fldChar w:fldCharType="begin"/>
      </w:r>
      <w:r w:rsidR="00331A79">
        <w:rPr>
          <w:lang w:val="en-GB"/>
        </w:rPr>
        <w:instrText xml:space="preserve"> ADDIN ZOTERO_ITEM CSL_CITATION {"citationID":"CzIfzp7N","properties":{"formattedCitation":"(C. M. King &amp; Forsyth, 2021)","plainCitation":"(C. M. King &amp; Forsyth, 2021)","noteIndex":0},"citationItems":[{"id":32347,"uris":["http://zotero.org/groups/2352922/items/FP88HUIB"],"itemData":{"id":32347,"type":"book","edition":"Third edition","ISBN":"1-4863-0630-6","publisher":"Csiro Publishing","title":"The Handbook of New Zealand Mammals","URL":"https://www.otago.ac.nz/press/books/otago756055.html","author":[{"family":"King","given":"Carolyn M."},{"family":"Forsyth","given":"David M."}],"issued":{"date-parts":[["2021"]]}},"label":"page"}],"schema":"https://github.com/citation-style-language/schema/raw/master/csl-citation.json"} </w:instrText>
      </w:r>
      <w:r w:rsidR="00A47333" w:rsidRPr="5575EBFC">
        <w:rPr>
          <w:lang w:val="en-GB"/>
        </w:rPr>
        <w:fldChar w:fldCharType="separate"/>
      </w:r>
      <w:r w:rsidR="6B5F9B9E">
        <w:t>(C. M. King &amp; Forsyth, 2021)</w:t>
      </w:r>
      <w:r w:rsidR="00A47333" w:rsidRPr="5575EBFC">
        <w:rPr>
          <w:lang w:val="en-GB"/>
        </w:rPr>
        <w:fldChar w:fldCharType="end"/>
      </w:r>
      <w:r w:rsidR="2427DF7B" w:rsidRPr="5575EBFC">
        <w:rPr>
          <w:lang w:val="en-GB"/>
        </w:rPr>
        <w:t xml:space="preserve">, Australia </w:t>
      </w:r>
      <w:r w:rsidR="00A47333" w:rsidRPr="5575EBFC">
        <w:rPr>
          <w:lang w:val="en-GB"/>
        </w:rPr>
        <w:fldChar w:fldCharType="begin"/>
      </w:r>
      <w:r w:rsidR="00331A79">
        <w:rPr>
          <w:lang w:val="en-GB"/>
        </w:rPr>
        <w:instrText xml:space="preserve"> ADDIN ZOTERO_ITEM CSL_CITATION {"citationID":"rCoEJOFd","properties":{"formattedCitation":"(Myers et al., 1994)","plainCitation":"(Myers et al., 1994)","noteIndex":0},"citationItems":[{"id":32346,"uris":["http://zotero.org/groups/2352922/items/RZ8DZKRW"],"itemData":{"id":32346,"type":"chapter","container-title":"The European Rabbit: the History and Biology of a Successful Coloniser","publisher":"Oxford University Press: New York","title":"The rabbit in Australia","URL":"https://edepot.wur.nl/469421#page=476","author":[{"family":"Myers","given":"K."},{"family":"Parer","given":"I."},{"family":"Wood","given":"D."},{"family":"Cooke","given":"B. D."}],"editor":[{"family":"Thompson","given":"H."},{"family":"King","given":"C."}],"issued":{"date-parts":[["1994"]]}},"label":"page"}],"schema":"https://github.com/citation-style-language/schema/raw/master/csl-citation.json"} </w:instrText>
      </w:r>
      <w:r w:rsidR="00A47333" w:rsidRPr="5575EBFC">
        <w:rPr>
          <w:lang w:val="en-GB"/>
        </w:rPr>
        <w:fldChar w:fldCharType="separate"/>
      </w:r>
      <w:r w:rsidR="6B5F9B9E">
        <w:t>(Myers et al., 1994)</w:t>
      </w:r>
      <w:r w:rsidR="00A47333" w:rsidRPr="5575EBFC">
        <w:rPr>
          <w:lang w:val="en-GB"/>
        </w:rPr>
        <w:fldChar w:fldCharType="end"/>
      </w:r>
      <w:r w:rsidR="00774819">
        <w:rPr>
          <w:lang w:val="en-GB"/>
        </w:rPr>
        <w:t xml:space="preserve"> and</w:t>
      </w:r>
      <w:r w:rsidR="5310AFF1" w:rsidRPr="5575EBFC">
        <w:rPr>
          <w:lang w:val="en-GB"/>
        </w:rPr>
        <w:t xml:space="preserve"> </w:t>
      </w:r>
      <w:r w:rsidR="2427DF7B" w:rsidRPr="5575EBFC">
        <w:rPr>
          <w:lang w:val="en-GB"/>
        </w:rPr>
        <w:t xml:space="preserve">South America </w:t>
      </w:r>
      <w:r w:rsidR="00A47333" w:rsidRPr="5575EBFC">
        <w:rPr>
          <w:lang w:val="en-GB"/>
        </w:rPr>
        <w:fldChar w:fldCharType="begin"/>
      </w:r>
      <w:r w:rsidR="00E47460">
        <w:rPr>
          <w:lang w:val="en-GB"/>
        </w:rPr>
        <w:instrText xml:space="preserve"> ADDIN ZOTERO_ITEM CSL_CITATION {"citationID":"LTBHE2BW","properties":{"formattedCitation":"(Howard &amp; Amaya, 1975; Iriarte et al., 2005)","plainCitation":"(Howard &amp; Amaya, 1975; Iriarte et al., 2005)","noteIndex":0},"citationItems":[{"id":32345,"uris":["http://zotero.org/groups/2352922/items/IB2Z237B"],"itemData":{"id":32345,"type":"article-journal","container-title":"The Journal of Wildlife Management","DOI":"https://doi.org/10.2307/3800238","issue":"4","note":"ISBN: 0022-541X\npublisher: JSTOR","page":"757-761","title":"European rabbit invades western Argentina","URL":"https://www.jstor.org/stable/3800238","volume":"39","author":[{"family":"Howard","given":"Walter E."},{"family":"Amaya","given":"Jorge N."}],"issued":{"date-parts":[["1975"]]}},"label":"page"},{"id":32950,"uris":["http://zotero.org/groups/2352922/items/FPPTYDBU"],"itemData":{"id":32950,"type":"article-journal","abstract":"We provide an overview of the current status of vertebrate invasive species throughout Chile, updating information on terrestrial exotics and reporting for the first time the situation of exotic freshwater fishes. In addition, we document the legislation and programs that the Chilean government has implemented to limit the entry of exotics to the country or minimize their impact on native wild flora and fauna and on natural ecosystems. We document what is known about the introduction of 26 exotic fish species to continental waters of the country, discussing the distribution and putative effects of those 11 species that may be considered invasive. From a previous list of 24 terrestrial vertebrate invaders, we withdraw the Argentine tortoise (Chelonoidis chilensis), reindeer (Rangifer tarandus) and mouflon (Ovis ammon) because there are no data on their subsistence in the wild. On the other hand, we add three new species: red-eared freshwater turtle (Trachemys scripta), monk parakeet (Myiopsitta rnonachus), and red-crested cardinal (Paroaria coronata), thus keeping the total number of terrestrial invaders unchanged at 24 species. The chief agency in charge of existing laws and regulations regarding the import of exotic freshwater species is the National Fisheries Service (SERNAPESCA, in Spanish), a dependency of the Ministry of Economy. The main agency in charge of enforcing existing laws and regulations regarding the import of exotic terrestrial species to Chile is the Agriculture and Livestock Service (SAG, in Spanish), a dependency of the Ministry of Agriculture. Currently, SAG is not only controlling major border passes, seaports and airports, but also is funding studies to monitor and control already existing invaders. In addition, the Chilean Forest Service (CONAF, in Spanish) is also concerned about invasive species, but only if they enter national parks and reserves within the National System of Protected Wildlife Areas (SNASPE, in Spanish).","container-title":"Revista Chilena de Historia Natural","ISSN":"0716078X","issue":"1","page":"143-154","title":"Invasive vertebrate species in Chile and their control and monitoring by governmental agencies","URL":"https://www.scopus.com/inward/record.uri?eid=2-s2.0-19844372796&amp;partnerID=40&amp;md5=60b90e72810e001a8f4ebd8f0693954c","volume":"78","author":[{"family":"Iriarte","given":"J.A."},{"family":"Lobos","given":"G.A."},{"family":"Jaksic","given":"F.M."}],"issued":{"date-parts":[["2005"]]}},"label":"page"}],"schema":"https://github.com/citation-style-language/schema/raw/master/csl-citation.json"} </w:instrText>
      </w:r>
      <w:r w:rsidR="00A47333" w:rsidRPr="5575EBFC">
        <w:rPr>
          <w:lang w:val="en-GB"/>
        </w:rPr>
        <w:fldChar w:fldCharType="separate"/>
      </w:r>
      <w:r w:rsidR="6B5F9B9E">
        <w:t>(Howard &amp; Amaya, 1975; Iriarte et al., 2005)</w:t>
      </w:r>
      <w:r w:rsidR="00A47333" w:rsidRPr="5575EBFC">
        <w:rPr>
          <w:lang w:val="en-GB"/>
        </w:rPr>
        <w:fldChar w:fldCharType="end"/>
      </w:r>
      <w:r w:rsidR="2427DF7B" w:rsidRPr="5575EBFC">
        <w:rPr>
          <w:lang w:val="en-GB"/>
        </w:rPr>
        <w:t xml:space="preserve">; </w:t>
      </w:r>
      <w:r w:rsidR="0AB00077" w:rsidRPr="5575EBFC">
        <w:rPr>
          <w:i/>
          <w:iCs/>
          <w:lang w:val="en-GB"/>
        </w:rPr>
        <w:t>Vulpes vulpes</w:t>
      </w:r>
      <w:r w:rsidR="0AB00077" w:rsidRPr="5575EBFC">
        <w:rPr>
          <w:lang w:val="en-GB"/>
        </w:rPr>
        <w:t xml:space="preserve"> (</w:t>
      </w:r>
      <w:r w:rsidR="2427DF7B" w:rsidRPr="5575EBFC">
        <w:rPr>
          <w:lang w:val="en-GB"/>
        </w:rPr>
        <w:t>red fox</w:t>
      </w:r>
      <w:r w:rsidR="36A8D120" w:rsidRPr="5575EBFC">
        <w:rPr>
          <w:lang w:val="en-GB"/>
        </w:rPr>
        <w:t>)</w:t>
      </w:r>
      <w:r w:rsidR="2427DF7B" w:rsidRPr="5575EBFC">
        <w:rPr>
          <w:lang w:val="en-GB"/>
        </w:rPr>
        <w:t xml:space="preserve"> in Australia </w:t>
      </w:r>
      <w:r w:rsidR="00A47333" w:rsidRPr="5575EBFC">
        <w:rPr>
          <w:lang w:val="en-GB"/>
        </w:rPr>
        <w:fldChar w:fldCharType="begin"/>
      </w:r>
      <w:r w:rsidR="00331A79">
        <w:rPr>
          <w:lang w:val="en-GB"/>
        </w:rPr>
        <w:instrText xml:space="preserve"> ADDIN ZOTERO_ITEM CSL_CITATION {"citationID":"8Wkt0Dt2","properties":{"formattedCitation":"(Saunders et al., 2010)","plainCitation":"(Saunders et al., 2010)","noteIndex":0},"citationItems":[{"id":24151,"uris":["http://zotero.org/groups/2352922/items/J63EGLJX"],"itemData":{"id":24151,"type":"article-journal","abstract":"Vertebrate pests cost Australia at least $1 billion annually in lost agricultural production and environmental damage. The spectacular success of myxomatosis in the 1950s and more recently, rabbit hemorrhagic disease, in the biological control of European rabbits has led to ongoing research into similar solutions for other vertebrate pests. There are significant barriers to the successful employment of biological control options including the obvious technological ones, such as host-specificity, as well as the investment required, public concerns and regulatory requirements. The role of biological control in vertebrate pest management and the attempts to develop such strategies in Australia is reviewed with emphasis on species specific case studies for rabbits, cane toads and carp, and the generic approaches of immunocontraception and daughterless genes.","collection-title":"Australia and New Zealand Biocontrol Conference","container-title":"Biological Control","DOI":"10.1016/j.biocontrol.2009.06.014","ISSN":"1049-9644","issue":"3","note":"publisher: Elsevier","page":"288–295","source":"Google Scholar","title":"Modern approaches for the biological control of vertebrate pests: an Australian perspective","title-short":"Modern approaches for the biological control of vertebrate pests","URL":"http://www.sciencedirect.com/science/article/pii/S1049964409001753","volume":"52","author":[{"family":"Saunders","given":"Glen"},{"family":"Cooke","given":"Brian"},{"family":"McColl","given":"Ken"},{"family":"Shine","given":"Richard"},{"family":"Peacock","given":"Tony"}],"issued":{"date-parts":[["2010"]]}},"label":"page"}],"schema":"https://github.com/citation-style-language/schema/raw/master/csl-citation.json"} </w:instrText>
      </w:r>
      <w:r w:rsidR="00A47333" w:rsidRPr="5575EBFC">
        <w:rPr>
          <w:lang w:val="en-GB"/>
        </w:rPr>
        <w:fldChar w:fldCharType="separate"/>
      </w:r>
      <w:r w:rsidR="6B5F9B9E">
        <w:t>(Saunders et al., 2010)</w:t>
      </w:r>
      <w:r w:rsidR="00A47333" w:rsidRPr="5575EBFC">
        <w:rPr>
          <w:lang w:val="en-GB"/>
        </w:rPr>
        <w:fldChar w:fldCharType="end"/>
      </w:r>
      <w:r w:rsidR="2427DF7B" w:rsidRPr="5575EBFC">
        <w:rPr>
          <w:lang w:val="en-GB"/>
        </w:rPr>
        <w:t xml:space="preserve">; and </w:t>
      </w:r>
      <w:r w:rsidR="0AB00077" w:rsidRPr="5575EBFC">
        <w:rPr>
          <w:i/>
          <w:iCs/>
          <w:lang w:val="en-GB"/>
        </w:rPr>
        <w:t>Trichosurus vulpecula</w:t>
      </w:r>
      <w:r w:rsidR="0AB00077" w:rsidRPr="5575EBFC">
        <w:rPr>
          <w:lang w:val="en-GB"/>
        </w:rPr>
        <w:t xml:space="preserve"> (</w:t>
      </w:r>
      <w:r w:rsidR="2427DF7B" w:rsidRPr="5575EBFC">
        <w:rPr>
          <w:lang w:val="en-GB"/>
        </w:rPr>
        <w:t xml:space="preserve">brushtail possum) in New Zealand </w:t>
      </w:r>
      <w:r w:rsidR="00A47333" w:rsidRPr="5575EBFC">
        <w:rPr>
          <w:lang w:val="en-GB"/>
        </w:rPr>
        <w:fldChar w:fldCharType="begin"/>
      </w:r>
      <w:r w:rsidR="00331A79">
        <w:rPr>
          <w:lang w:val="en-GB"/>
        </w:rPr>
        <w:instrText xml:space="preserve"> ADDIN ZOTERO_ITEM CSL_CITATION {"citationID":"9w3LQcVG","properties":{"formattedCitation":"(Clout, 2006; C. Jones et al., 2012)","plainCitation":"(Clout, 2006; C. Jones et al., 2012)","noteIndex":0},"citationItems":[{"id":32344,"uris":["http://zotero.org/groups/2352922/items/I4MSN3RS"],"itemData":{"id":32344,"type":"chapter","container-title":"Biological Invasions in New Zealand","note":"DOI 10.1007/3-540-30023-6_17","page":"265-279","publisher":"Springer","title":"Keystone aliens? The multiple impacts of brushtail possums","URL":"https://link.springer.com/chapter/10.1007/3-540-30023-6_17","author":[{"family":"Clout","given":"M. N."}],"editor":[{"family":"Allen","given":"Robert B."},{"family":"Lee","given":"William G."}],"issued":{"date-parts":[["2006"]]}},"label":"page"},{"id":33114,"uris":["http://zotero.org/groups/2352922/items/D37WZXLD"],"itemData":{"id":33114,"type":"article-journal","abstract":"Introduced brushtail possums (Trichosurus vulpecula) cause significant damage to biodiversity values in New Zealand native forests, but their fur and skins also represent an economic resource, particularly to small, predominantly rural Māori (indigenous people of New Zealand) communities. We used harvester interviews, trapping data and a combination of economic and spatial population models to ask whether the seemingly contradictory goals of economically-sustainable harvest and biodiversity protection can both be accommodated in native podocarp-dominated forests in the North Island of New Zealand. Harvesters expected trap-catch indices (TCIs) of 50–70% when initiating a trap-line, stopped trapping when pull-out trap-catch index (POTCI) was 26% (range 20–30%), and left trapped areas for at least 1year before returning. The effective trapping distance around a trap-line was 200m and the decline in possum captures on a line over 24 harvest-days declined exponentially from an initial 63% on day 2 to under 8% from day 21 on. The optimum strategy for sustaining an income of NZ$30,000 from harvest required access to 8–10 lines of 80 traps per year, ceasing trapping at 25% POTCI and leaving possums to recover for 3years, but this is unlikely to achieve conservation gains. Harvesters could trap to the levels required to achieve these outcomes if subsidized by management agencies that, in return, would benefit from possum control to the same degree, but at lower cost, than current standard ground-control methods.","container-title":"Biological Conservation","DOI":"10.1016/j.biocon.2012.04.016","ISSN":"0006-3207","journalAbbreviation":"Biological Conservation","language":"en","page":"143-152","source":"ScienceDirect","title":"Serving two masters: Reconciling economic and biodiversity outcomes of brushtail possum (&lt;i&gt;Trichosurus vulpecula&lt;/i&gt;) fur harvest in an indigenous New Zealand forest","title-short":"Serving two masters","URL":"https://www.sciencedirect.com/science/article/pii/S000632071200198X","volume":"153","author":[{"family":"Jones","given":"Christopher"},{"family":"Barron","given":"Mandy"},{"family":"Warburton","given":"Bruce"},{"family":"Coleman","given":"Morgan"},{"family":"Lyver","given":"Philip O’B."},{"family":"Nugent","given":"Graham"}],"accessed":{"date-parts":[["2021",12,7]]},"issued":{"date-parts":[["2012",9,1]]}},"label":"page"}],"schema":"https://github.com/citation-style-language/schema/raw/master/csl-citation.json"} </w:instrText>
      </w:r>
      <w:r w:rsidR="00A47333" w:rsidRPr="5575EBFC">
        <w:rPr>
          <w:lang w:val="en-GB"/>
        </w:rPr>
        <w:fldChar w:fldCharType="separate"/>
      </w:r>
      <w:r w:rsidR="6B5F9B9E">
        <w:t>(Clout, 2006; C. Jones et al., 2012)</w:t>
      </w:r>
      <w:r w:rsidR="00A47333" w:rsidRPr="5575EBFC">
        <w:rPr>
          <w:lang w:val="en-GB"/>
        </w:rPr>
        <w:fldChar w:fldCharType="end"/>
      </w:r>
      <w:r w:rsidR="2427DF7B" w:rsidRPr="5575EBFC">
        <w:rPr>
          <w:lang w:val="en-GB"/>
        </w:rPr>
        <w:t xml:space="preserve">. </w:t>
      </w:r>
      <w:r w:rsidR="2C649110" w:rsidRPr="009B3E7F">
        <w:rPr>
          <w:b/>
          <w:lang w:val="en-GB"/>
        </w:rPr>
        <w:t>S</w:t>
      </w:r>
      <w:r w:rsidR="6FAE1C94" w:rsidRPr="009B3E7F">
        <w:rPr>
          <w:b/>
          <w:lang w:val="en-GB"/>
        </w:rPr>
        <w:t>ection</w:t>
      </w:r>
      <w:r w:rsidR="204C253B" w:rsidRPr="009B3E7F">
        <w:rPr>
          <w:b/>
          <w:i/>
          <w:iCs/>
          <w:lang w:val="en-GB"/>
        </w:rPr>
        <w:t xml:space="preserve"> </w:t>
      </w:r>
      <w:r w:rsidR="30EE0E58" w:rsidRPr="009B3E7F">
        <w:rPr>
          <w:b/>
          <w:lang w:val="en-GB"/>
        </w:rPr>
        <w:t>3.3.2.1</w:t>
      </w:r>
      <w:r w:rsidR="30EE0E58" w:rsidRPr="5575EBFC">
        <w:rPr>
          <w:lang w:val="en-GB"/>
        </w:rPr>
        <w:t xml:space="preserve"> </w:t>
      </w:r>
      <w:r w:rsidR="2C649110" w:rsidRPr="5575EBFC">
        <w:rPr>
          <w:lang w:val="en-GB"/>
        </w:rPr>
        <w:t>on</w:t>
      </w:r>
      <w:r w:rsidR="30EE0E58" w:rsidRPr="5575EBFC">
        <w:rPr>
          <w:lang w:val="en-GB"/>
        </w:rPr>
        <w:t xml:space="preserve"> stocking for hunting</w:t>
      </w:r>
      <w:r w:rsidR="2C649110" w:rsidRPr="5575EBFC">
        <w:rPr>
          <w:lang w:val="en-GB"/>
        </w:rPr>
        <w:t xml:space="preserve"> </w:t>
      </w:r>
      <w:r w:rsidR="3AE73247" w:rsidRPr="5575EBFC">
        <w:rPr>
          <w:lang w:val="en-GB"/>
        </w:rPr>
        <w:t xml:space="preserve">and </w:t>
      </w:r>
      <w:r w:rsidR="30EE0E58" w:rsidRPr="009B3E7F">
        <w:rPr>
          <w:b/>
          <w:lang w:val="en-GB"/>
        </w:rPr>
        <w:t>section 3.2.</w:t>
      </w:r>
      <w:r w:rsidR="6ACA3FF4" w:rsidRPr="009B3E7F">
        <w:rPr>
          <w:b/>
          <w:lang w:val="en-GB"/>
        </w:rPr>
        <w:t>3.3</w:t>
      </w:r>
      <w:r w:rsidR="30EE0E58" w:rsidRPr="5575EBFC">
        <w:rPr>
          <w:lang w:val="en-GB"/>
        </w:rPr>
        <w:t xml:space="preserve"> </w:t>
      </w:r>
      <w:r w:rsidR="2C649110" w:rsidRPr="5575EBFC">
        <w:rPr>
          <w:lang w:val="en-GB"/>
        </w:rPr>
        <w:t>on</w:t>
      </w:r>
      <w:r w:rsidR="3988DE2E" w:rsidRPr="5575EBFC">
        <w:rPr>
          <w:lang w:val="en-GB"/>
        </w:rPr>
        <w:t xml:space="preserve"> pet trade</w:t>
      </w:r>
      <w:r w:rsidR="2C649110" w:rsidRPr="5575EBFC">
        <w:rPr>
          <w:lang w:val="en-GB"/>
        </w:rPr>
        <w:t xml:space="preserve"> also discuss how these drivers</w:t>
      </w:r>
      <w:r w:rsidR="3988DE2E" w:rsidRPr="5575EBFC">
        <w:rPr>
          <w:lang w:val="en-GB"/>
        </w:rPr>
        <w:t xml:space="preserve"> have facilitated </w:t>
      </w:r>
      <w:r w:rsidR="566B08B2" w:rsidRPr="5575EBFC">
        <w:rPr>
          <w:lang w:val="en-GB"/>
        </w:rPr>
        <w:t>invasive alien species</w:t>
      </w:r>
      <w:r w:rsidR="3988DE2E" w:rsidRPr="5575EBFC">
        <w:rPr>
          <w:lang w:val="en-GB"/>
        </w:rPr>
        <w:t>.</w:t>
      </w:r>
      <w:r w:rsidR="2427DF7B" w:rsidRPr="5575EBFC">
        <w:rPr>
          <w:lang w:val="en-GB"/>
        </w:rPr>
        <w:t xml:space="preserve"> </w:t>
      </w:r>
    </w:p>
    <w:p w14:paraId="3EA854CB" w14:textId="1C2892E7" w:rsidR="001F067A" w:rsidRPr="00DA249F" w:rsidRDefault="32846111" w:rsidP="5575EBFC">
      <w:pPr>
        <w:rPr>
          <w:lang w:val="en-GB"/>
        </w:rPr>
      </w:pPr>
      <w:r w:rsidRPr="00DA249F">
        <w:rPr>
          <w:lang w:val="en-GB"/>
        </w:rPr>
        <w:t>Agriculture</w:t>
      </w:r>
      <w:r w:rsidR="4D35B9E4" w:rsidRPr="00DA249F">
        <w:rPr>
          <w:lang w:val="en-GB"/>
        </w:rPr>
        <w:t xml:space="preserve"> has also </w:t>
      </w:r>
      <w:r w:rsidR="30AF37DC" w:rsidRPr="5575EBFC">
        <w:rPr>
          <w:lang w:val="en-GB"/>
        </w:rPr>
        <w:t xml:space="preserve">facilitated </w:t>
      </w:r>
      <w:r w:rsidR="0C7E6B7C" w:rsidRPr="00DA249F">
        <w:rPr>
          <w:lang w:val="en-GB"/>
        </w:rPr>
        <w:t xml:space="preserve">biological </w:t>
      </w:r>
      <w:r w:rsidR="4D35B9E4" w:rsidRPr="00DA249F">
        <w:rPr>
          <w:lang w:val="en-GB"/>
        </w:rPr>
        <w:t xml:space="preserve">invasions </w:t>
      </w:r>
      <w:r w:rsidR="1BF4F9AB" w:rsidRPr="5575EBFC">
        <w:rPr>
          <w:lang w:val="en-GB"/>
        </w:rPr>
        <w:t xml:space="preserve">by </w:t>
      </w:r>
      <w:r w:rsidR="4D35B9E4" w:rsidRPr="00DA249F">
        <w:rPr>
          <w:lang w:val="en-GB"/>
        </w:rPr>
        <w:t xml:space="preserve">plant and animal </w:t>
      </w:r>
      <w:r w:rsidR="55D2939D" w:rsidRPr="00DA249F">
        <w:rPr>
          <w:lang w:val="en-GB"/>
        </w:rPr>
        <w:t>pathogens, parasites</w:t>
      </w:r>
      <w:r w:rsidR="00774819">
        <w:rPr>
          <w:lang w:val="en-GB"/>
        </w:rPr>
        <w:t xml:space="preserve"> and</w:t>
      </w:r>
      <w:r w:rsidR="55D2939D" w:rsidRPr="00DA249F">
        <w:rPr>
          <w:lang w:val="en-GB"/>
        </w:rPr>
        <w:t xml:space="preserve"> diseases. </w:t>
      </w:r>
      <w:r w:rsidR="2427DF7B" w:rsidRPr="00DA249F">
        <w:rPr>
          <w:lang w:val="en-GB"/>
        </w:rPr>
        <w:t xml:space="preserve">Alien plant pathogens may be introduced via seeds and </w:t>
      </w:r>
      <w:r w:rsidR="245CE624" w:rsidRPr="00DA249F">
        <w:rPr>
          <w:lang w:val="en-GB"/>
        </w:rPr>
        <w:t>soil</w:t>
      </w:r>
      <w:r w:rsidR="2427DF7B" w:rsidRPr="00DA249F">
        <w:rPr>
          <w:lang w:val="en-GB"/>
        </w:rPr>
        <w:t xml:space="preserve"> </w:t>
      </w:r>
      <w:r w:rsidR="365BC419" w:rsidRPr="00DA249F">
        <w:rPr>
          <w:lang w:val="en-GB"/>
        </w:rPr>
        <w:t>used</w:t>
      </w:r>
      <w:r w:rsidR="2427DF7B" w:rsidRPr="00DA249F">
        <w:rPr>
          <w:lang w:val="en-GB"/>
        </w:rPr>
        <w:t xml:space="preserve"> in agriculture </w:t>
      </w:r>
      <w:r w:rsidR="00F4367C" w:rsidRPr="00DA249F">
        <w:rPr>
          <w:lang w:val="en-GB"/>
        </w:rPr>
        <w:fldChar w:fldCharType="begin"/>
      </w:r>
      <w:r w:rsidR="00331A79">
        <w:rPr>
          <w:lang w:val="en-GB"/>
        </w:rPr>
        <w:instrText xml:space="preserve"> ADDIN ZOTERO_ITEM CSL_CITATION {"citationID":"gfzOztDG","properties":{"formattedCitation":"(Pimentel et al., 2001)","plainCitation":"(Pimentel et al., 2001)","noteIndex":0},"citationItems":[{"id":33012,"uris":["http://zotero.org/groups/2352922/items/XJ6YRCW4"],"itemData":{"id":33012,"type":"article-journal","abstract":"Over 120,000 non-native species of plants, animals and microbes have invaded the United States, United Kingdom, Australia, South Africa, India, and Brazil, and many have caused major economic losses in agriculture and forestry as well as negatively impacting ecological integrity. Some introduced species, like corn (Zea mays L.), wheat (Triticum spp.), rice (Oryza sativa L.), plantation forests, domestic chicken (Gallus spp.), cattle (Bos taurus), and others, are beneficial and provide more than 98% of the world’s food supply. Precise economic costs associated with some of the most ecologically damaging alien species are not available. Cats (Felis cattus) and pigs (Sus scrofa), for example, are responsible for the extinction of various animal species, however, it is impossible to assign monetary values to species forced to extinction. The estimate is that non-native species invasions in the six nations are causing more than US$ 314 billion per year in damages.","container-title":"Agriculture, Ecosystems &amp; Environment","DOI":"10.1016/S0167-8809(00)00178-X","ISSN":"0167-8809","issue":"1","journalAbbreviation":"Agriculture, Ecosystems &amp; Environment","language":"en","note":"number: 1","page":"1-20","source":"ScienceDirect","title":"Economic and environmental threats of alien plant, animal, and microbe invasions","URL":"https://www.sciencedirect.com/science/article/pii/S016788090000178X","volume":"84","author":[{"family":"Pimentel","given":"David"},{"family":"McNair","given":"S."},{"family":"Janecka","given":"J."},{"family":"Wightman","given":"J."},{"family":"Simmonds","given":"C."},{"family":"O’Connell","given":"C."},{"family":"Wong","given":"E."},{"family":"Russel","given":"L."},{"family":"Zern","given":"J."},{"family":"Aquino","given":"T."},{"family":"Tsomondo","given":"T."}],"accessed":{"date-parts":[["2021",12,7]]},"issued":{"date-parts":[["2001",3,1]]}},"label":"page"}],"schema":"https://github.com/citation-style-language/schema/raw/master/csl-citation.json"} </w:instrText>
      </w:r>
      <w:r w:rsidR="00F4367C" w:rsidRPr="00DA249F">
        <w:rPr>
          <w:lang w:val="en-GB"/>
        </w:rPr>
        <w:fldChar w:fldCharType="separate"/>
      </w:r>
      <w:r w:rsidR="6B5F9B9E" w:rsidRPr="00144D96">
        <w:t>(Pimentel et al., 2001)</w:t>
      </w:r>
      <w:r w:rsidR="00F4367C" w:rsidRPr="00DA249F">
        <w:rPr>
          <w:lang w:val="en-GB"/>
        </w:rPr>
        <w:fldChar w:fldCharType="end"/>
      </w:r>
      <w:r w:rsidR="283F960B" w:rsidRPr="00DA249F">
        <w:rPr>
          <w:lang w:val="en-GB"/>
        </w:rPr>
        <w:t>.</w:t>
      </w:r>
      <w:r w:rsidR="19A5F95F" w:rsidRPr="00DA249F">
        <w:rPr>
          <w:lang w:val="en-GB"/>
        </w:rPr>
        <w:t xml:space="preserve"> F</w:t>
      </w:r>
      <w:r w:rsidR="2427DF7B" w:rsidRPr="00DA249F">
        <w:rPr>
          <w:lang w:val="en-GB"/>
        </w:rPr>
        <w:t>or example, 65</w:t>
      </w:r>
      <w:r w:rsidR="19A5F95F" w:rsidRPr="00DA249F">
        <w:rPr>
          <w:lang w:val="en-GB"/>
        </w:rPr>
        <w:t xml:space="preserve"> </w:t>
      </w:r>
      <w:r w:rsidR="4804CF9A" w:rsidRPr="00DA249F">
        <w:rPr>
          <w:lang w:val="en-GB"/>
        </w:rPr>
        <w:t>per cent</w:t>
      </w:r>
      <w:r w:rsidR="2427DF7B" w:rsidRPr="00DA249F">
        <w:rPr>
          <w:lang w:val="en-GB"/>
        </w:rPr>
        <w:t xml:space="preserve"> of plant pathogens</w:t>
      </w:r>
      <w:r w:rsidR="2682C424" w:rsidRPr="00DA249F">
        <w:rPr>
          <w:lang w:val="en-GB"/>
        </w:rPr>
        <w:t xml:space="preserve"> in the United States</w:t>
      </w:r>
      <w:r w:rsidR="2427DF7B" w:rsidRPr="00DA249F">
        <w:rPr>
          <w:lang w:val="en-GB"/>
        </w:rPr>
        <w:t xml:space="preserve"> were considered alien species </w:t>
      </w:r>
      <w:r w:rsidR="004C28E9" w:rsidRPr="00DA249F">
        <w:rPr>
          <w:lang w:val="en-GB"/>
        </w:rPr>
        <w:fldChar w:fldCharType="begin"/>
      </w:r>
      <w:r w:rsidR="00331A79">
        <w:rPr>
          <w:lang w:val="en-GB"/>
        </w:rPr>
        <w:instrText xml:space="preserve"> ADDIN ZOTERO_ITEM CSL_CITATION {"citationID":"fHIsEqcM","properties":{"formattedCitation":"(Pimentel et al., 1992)","plainCitation":"(Pimentel et al., 1992)","noteIndex":0},"citationItems":[{"id":30966,"uris":["http://zotero.org/groups/2352922/items/HVYNCVVA"],"itemData":{"id":30966,"type":"article-journal","container-title":"BioScience","DOI":"10.2307/1311994","ISSN":"0006-3568","issue":"10","note":"publisher: [American Institute of Biological Sciences, Oxford University Press]","page":"750-760","source":"JSTOR","title":"Environmental and Economic Costs of Pesticide Use","URL":"https://www.jstor.org/stable/1311994","volume":"42","author":[{"family":"Pimentel","given":"David"},{"family":"Acquay","given":"H."},{"family":"Biltonen","given":"M."},{"family":"Rice","given":"P."},{"family":"Silva","given":"M."},{"family":"Nelson","given":"J."},{"family":"Lipner","given":"V."},{"family":"Giordano","given":"S."},{"family":"Horowitz","given":"A."},{"family":"D'Amore","given":"M."}],"accessed":{"date-parts":[["2021",11,8]]},"issued":{"date-parts":[["1992"]]}},"label":"page"}],"schema":"https://github.com/citation-style-language/schema/raw/master/csl-citation.json"} </w:instrText>
      </w:r>
      <w:r w:rsidR="004C28E9" w:rsidRPr="00DA249F">
        <w:rPr>
          <w:lang w:val="en-GB"/>
        </w:rPr>
        <w:fldChar w:fldCharType="separate"/>
      </w:r>
      <w:r w:rsidR="6B5F9B9E" w:rsidRPr="00144D96">
        <w:t>(Pimentel et al., 1992)</w:t>
      </w:r>
      <w:r w:rsidR="004C28E9" w:rsidRPr="00DA249F">
        <w:rPr>
          <w:lang w:val="en-GB"/>
        </w:rPr>
        <w:fldChar w:fldCharType="end"/>
      </w:r>
      <w:r w:rsidR="611FFBE8" w:rsidRPr="00DA249F">
        <w:rPr>
          <w:lang w:val="en-GB"/>
        </w:rPr>
        <w:t xml:space="preserve">, </w:t>
      </w:r>
      <w:r w:rsidR="2427DF7B" w:rsidRPr="00DA249F">
        <w:rPr>
          <w:lang w:val="en-GB"/>
        </w:rPr>
        <w:t>74</w:t>
      </w:r>
      <w:r w:rsidR="19A5F95F" w:rsidRPr="00DA249F">
        <w:rPr>
          <w:lang w:val="en-GB"/>
        </w:rPr>
        <w:t xml:space="preserve"> </w:t>
      </w:r>
      <w:r w:rsidR="4804CF9A" w:rsidRPr="00DA249F">
        <w:rPr>
          <w:lang w:val="en-GB"/>
        </w:rPr>
        <w:t>per cent</w:t>
      </w:r>
      <w:r w:rsidR="2427DF7B" w:rsidRPr="00DA249F">
        <w:rPr>
          <w:lang w:val="en-GB"/>
        </w:rPr>
        <w:t xml:space="preserve"> in the United Kingdom </w:t>
      </w:r>
      <w:r w:rsidR="0029102D" w:rsidRPr="00DA249F">
        <w:rPr>
          <w:lang w:val="en-GB"/>
        </w:rPr>
        <w:fldChar w:fldCharType="begin"/>
      </w:r>
      <w:r w:rsidR="00331A79">
        <w:rPr>
          <w:lang w:val="en-GB"/>
        </w:rPr>
        <w:instrText xml:space="preserve"> ADDIN ZOTERO_ITEM CSL_CITATION {"citationID":"RW6nuO19","properties":{"formattedCitation":"(Carlile, 1988)","plainCitation":"(Carlile, 1988)","noteIndex":0},"citationItems":[{"id":54655,"uris":["http://zotero.org/groups/2352922/items/WT9RY88J"],"itemData":{"id":54655,"type":"book","collection-title":"New studies in biology","ISBN":"0-7131-2954-9","title":"Fungicides. Control of crop diseases.","author":[{"family":"Carlile","given":"W. R."}],"issued":{"date-parts":[["1988"]]}}}],"schema":"https://github.com/citation-style-language/schema/raw/master/csl-citation.json"} </w:instrText>
      </w:r>
      <w:r w:rsidR="0029102D" w:rsidRPr="00DA249F">
        <w:rPr>
          <w:lang w:val="en-GB"/>
        </w:rPr>
        <w:fldChar w:fldCharType="separate"/>
      </w:r>
      <w:r w:rsidR="6B5F9B9E" w:rsidRPr="00144D96">
        <w:t>(Carlile, 1988)</w:t>
      </w:r>
      <w:r w:rsidR="0029102D" w:rsidRPr="00DA249F">
        <w:rPr>
          <w:lang w:val="en-GB"/>
        </w:rPr>
        <w:fldChar w:fldCharType="end"/>
      </w:r>
      <w:r w:rsidR="6127D193" w:rsidRPr="00DA249F">
        <w:rPr>
          <w:lang w:val="en-GB"/>
        </w:rPr>
        <w:t xml:space="preserve">, </w:t>
      </w:r>
      <w:r w:rsidR="2427DF7B" w:rsidRPr="00DA249F">
        <w:rPr>
          <w:lang w:val="en-GB"/>
        </w:rPr>
        <w:t>82</w:t>
      </w:r>
      <w:r w:rsidR="19A5F95F" w:rsidRPr="00DA249F">
        <w:rPr>
          <w:lang w:val="en-GB"/>
        </w:rPr>
        <w:t xml:space="preserve"> </w:t>
      </w:r>
      <w:r w:rsidR="4804CF9A" w:rsidRPr="00DA249F">
        <w:rPr>
          <w:lang w:val="en-GB"/>
        </w:rPr>
        <w:t>per cent</w:t>
      </w:r>
      <w:r w:rsidR="2427DF7B" w:rsidRPr="00DA249F">
        <w:rPr>
          <w:lang w:val="en-GB"/>
        </w:rPr>
        <w:t xml:space="preserve"> in Australia </w:t>
      </w:r>
      <w:r w:rsidR="00F4367C" w:rsidRPr="00DA249F">
        <w:rPr>
          <w:lang w:val="en-GB"/>
        </w:rPr>
        <w:fldChar w:fldCharType="begin"/>
      </w:r>
      <w:r w:rsidR="00331A79">
        <w:rPr>
          <w:lang w:val="en-GB"/>
        </w:rPr>
        <w:instrText xml:space="preserve"> ADDIN ZOTERO_ITEM CSL_CITATION {"citationID":"EONnr4F9","properties":{"formattedCitation":"(Persley &amp; Syme, 1990)","plainCitation":"(Persley &amp; Syme, 1990)","noteIndex":0},"citationItems":[{"id":32362,"uris":["http://zotero.org/groups/2352922/items/GFGY624S"],"itemData":{"id":32362,"type":"book","ISBN":"978-0-7242-3234-5","publisher":"Queensland Department of Primary Industries, Brisbane, Australia","title":"Field Crops and Pastures: A Disease Management Guide","author":[{"family":"Persley","given":"Denis M."},{"family":"Syme","given":"Jim R."}],"issued":{"date-parts":[["1990"]]}},"label":"page"}],"schema":"https://github.com/citation-style-language/schema/raw/master/csl-citation.json"} </w:instrText>
      </w:r>
      <w:r w:rsidR="00F4367C" w:rsidRPr="00DA249F">
        <w:rPr>
          <w:lang w:val="en-GB"/>
        </w:rPr>
        <w:fldChar w:fldCharType="separate"/>
      </w:r>
      <w:r w:rsidR="6B5F9B9E" w:rsidRPr="00144D96">
        <w:t>(Persley &amp; Syme, 1990)</w:t>
      </w:r>
      <w:r w:rsidR="00F4367C" w:rsidRPr="00DA249F">
        <w:rPr>
          <w:lang w:val="en-GB"/>
        </w:rPr>
        <w:fldChar w:fldCharType="end"/>
      </w:r>
      <w:r w:rsidR="26921CD9" w:rsidRPr="00DA249F">
        <w:rPr>
          <w:lang w:val="en-GB"/>
        </w:rPr>
        <w:t>,</w:t>
      </w:r>
      <w:r w:rsidR="2427DF7B" w:rsidRPr="00DA249F">
        <w:rPr>
          <w:lang w:val="en-GB"/>
        </w:rPr>
        <w:t xml:space="preserve"> 85</w:t>
      </w:r>
      <w:r w:rsidR="19A5F95F" w:rsidRPr="00DA249F">
        <w:rPr>
          <w:lang w:val="en-GB"/>
        </w:rPr>
        <w:t xml:space="preserve"> </w:t>
      </w:r>
      <w:r w:rsidR="4804CF9A" w:rsidRPr="00DA249F">
        <w:rPr>
          <w:lang w:val="en-GB"/>
        </w:rPr>
        <w:t>per cent</w:t>
      </w:r>
      <w:r w:rsidR="2427DF7B" w:rsidRPr="00DA249F">
        <w:rPr>
          <w:lang w:val="en-GB"/>
        </w:rPr>
        <w:t xml:space="preserve"> in South Africa </w:t>
      </w:r>
      <w:r w:rsidR="00F4367C" w:rsidRPr="00DA249F">
        <w:rPr>
          <w:lang w:val="en-GB"/>
        </w:rPr>
        <w:fldChar w:fldCharType="begin"/>
      </w:r>
      <w:r w:rsidR="00230216">
        <w:rPr>
          <w:lang w:val="en-GB"/>
        </w:rPr>
        <w:instrText xml:space="preserve"> ADDIN ZOTERO_ITEM CSL_CITATION {"citationID":"cQoHWC76","properties":{"formattedCitation":"(Nel, 1983)","plainCitation":"(Nel, 1983)","noteIndex":0},"citationItems":[{"id":32361,"uris":["http://zotero.org/groups/2352922/items/K2IHRAK4"],"itemData":{"id":32361,"type":"book","ISBN":"0-908396-68-6","publisher":"David Philip, Cape Town, South Africa","title":"Deciduous Fruits and Vines: Pests and Diseases and Their Control","author":[{"family":"Nel","given":"P. J."}],"issued":{"date-parts":[["1983"]]}},"label":"page"}],"schema":"https://github.com/citation-style-language/schema/raw/master/csl-citation.json"} </w:instrText>
      </w:r>
      <w:r w:rsidR="00F4367C" w:rsidRPr="00DA249F">
        <w:rPr>
          <w:lang w:val="en-GB"/>
        </w:rPr>
        <w:fldChar w:fldCharType="separate"/>
      </w:r>
      <w:r w:rsidR="6B5F9B9E" w:rsidRPr="00144D96">
        <w:t>(Nel, 1983)</w:t>
      </w:r>
      <w:r w:rsidR="00F4367C" w:rsidRPr="00DA249F">
        <w:rPr>
          <w:lang w:val="en-GB"/>
        </w:rPr>
        <w:fldChar w:fldCharType="end"/>
      </w:r>
      <w:r w:rsidR="26921CD9" w:rsidRPr="00DA249F">
        <w:rPr>
          <w:lang w:val="en-GB"/>
        </w:rPr>
        <w:t>,</w:t>
      </w:r>
      <w:r w:rsidR="2427DF7B" w:rsidRPr="00DA249F">
        <w:rPr>
          <w:lang w:val="en-GB"/>
        </w:rPr>
        <w:t xml:space="preserve"> 74</w:t>
      </w:r>
      <w:r w:rsidR="19A5F95F" w:rsidRPr="00DA249F">
        <w:rPr>
          <w:lang w:val="en-GB"/>
        </w:rPr>
        <w:t xml:space="preserve"> </w:t>
      </w:r>
      <w:r w:rsidR="4804CF9A" w:rsidRPr="00DA249F">
        <w:rPr>
          <w:lang w:val="en-GB"/>
        </w:rPr>
        <w:t>per cent</w:t>
      </w:r>
      <w:r w:rsidR="2427DF7B" w:rsidRPr="00DA249F">
        <w:rPr>
          <w:lang w:val="en-GB"/>
        </w:rPr>
        <w:t xml:space="preserve"> in India </w:t>
      </w:r>
      <w:r w:rsidR="00F4367C" w:rsidRPr="00DA249F">
        <w:rPr>
          <w:lang w:val="en-GB"/>
        </w:rPr>
        <w:fldChar w:fldCharType="begin"/>
      </w:r>
      <w:r w:rsidR="00331A79">
        <w:rPr>
          <w:lang w:val="en-GB"/>
        </w:rPr>
        <w:instrText xml:space="preserve"> ADDIN ZOTERO_ITEM CSL_CITATION {"citationID":"YxMeNFZ8","properties":{"formattedCitation":"(Singh, 1985)","plainCitation":"(Singh, 1985)","noteIndex":0},"citationItems":[{"id":32360,"uris":["http://zotero.org/groups/2352922/items/JXY6YB5B"],"itemData":{"id":32360,"type":"book","event-place":"New Delhi, India","ISBN":"81-204-0010-0","publisher":"Oxford &amp; IBH Publishers","publisher-place":"New Delhi, India","title":"Diseases of Vegetable Crops","author":[{"family":"Singh","given":"R. S."}],"issued":{"date-parts":[["1985"]]}},"label":"page"}],"schema":"https://github.com/citation-style-language/schema/raw/master/csl-citation.json"} </w:instrText>
      </w:r>
      <w:r w:rsidR="00F4367C" w:rsidRPr="00DA249F">
        <w:rPr>
          <w:lang w:val="en-GB"/>
        </w:rPr>
        <w:fldChar w:fldCharType="separate"/>
      </w:r>
      <w:r w:rsidR="6B5F9B9E" w:rsidRPr="00144D96">
        <w:t>(Singh, 1985)</w:t>
      </w:r>
      <w:r w:rsidR="00F4367C" w:rsidRPr="00DA249F">
        <w:rPr>
          <w:lang w:val="en-GB"/>
        </w:rPr>
        <w:fldChar w:fldCharType="end"/>
      </w:r>
      <w:r w:rsidR="26921CD9" w:rsidRPr="00DA249F">
        <w:rPr>
          <w:lang w:val="en-GB"/>
        </w:rPr>
        <w:t>,</w:t>
      </w:r>
      <w:r w:rsidR="2427DF7B" w:rsidRPr="00DA249F">
        <w:rPr>
          <w:lang w:val="en-GB"/>
        </w:rPr>
        <w:t xml:space="preserve"> and 75</w:t>
      </w:r>
      <w:r w:rsidR="19A5F95F" w:rsidRPr="00DA249F">
        <w:rPr>
          <w:lang w:val="en-GB"/>
        </w:rPr>
        <w:t xml:space="preserve"> </w:t>
      </w:r>
      <w:r w:rsidR="4804CF9A" w:rsidRPr="00DA249F">
        <w:rPr>
          <w:lang w:val="en-GB"/>
        </w:rPr>
        <w:t>per cent</w:t>
      </w:r>
      <w:r w:rsidR="2427DF7B" w:rsidRPr="00DA249F">
        <w:rPr>
          <w:lang w:val="en-GB"/>
        </w:rPr>
        <w:t xml:space="preserve"> in Brazil </w:t>
      </w:r>
      <w:r w:rsidR="00F4367C" w:rsidRPr="00DA249F">
        <w:rPr>
          <w:lang w:val="en-GB"/>
        </w:rPr>
        <w:fldChar w:fldCharType="begin"/>
      </w:r>
      <w:r w:rsidR="00331A79">
        <w:rPr>
          <w:lang w:val="en-GB"/>
        </w:rPr>
        <w:instrText xml:space="preserve"> ADDIN ZOTERO_ITEM CSL_CITATION {"citationID":"0X73OsZc","properties":{"formattedCitation":"(Echandi et al., 1972)","plainCitation":"(Echandi et al., 1972)","noteIndex":0},"citationItems":[{"id":32359,"uris":["http://zotero.org/groups/2352922/items/2CH6D69X"],"itemData":{"id":32359,"type":"book","publisher":"United States Agency for International Development, Washington, DC","title":"Crop Protection in Brazil, Uruguay, Bolivia, Ecuador, and Dominican Republic","URL":"https://agris.fao.org/agris-search/search.do?recordID=XF2016078207","author":[{"family":"Echandi","given":"E."},{"family":"Knoke","given":"J. K."},{"family":"Nigh","given":"E. L."},{"family":"Shenk","given":"M."},{"family":"Weekman","given":"G. T."}],"issued":{"date-parts":[["1972"]]}},"label":"page"}],"schema":"https://github.com/citation-style-language/schema/raw/master/csl-citation.json"} </w:instrText>
      </w:r>
      <w:r w:rsidR="00F4367C" w:rsidRPr="00DA249F">
        <w:rPr>
          <w:lang w:val="en-GB"/>
        </w:rPr>
        <w:fldChar w:fldCharType="separate"/>
      </w:r>
      <w:r w:rsidR="6B5F9B9E" w:rsidRPr="00144D96">
        <w:t>(Echandi et al., 1972)</w:t>
      </w:r>
      <w:r w:rsidR="00F4367C" w:rsidRPr="00DA249F">
        <w:rPr>
          <w:lang w:val="en-GB"/>
        </w:rPr>
        <w:fldChar w:fldCharType="end"/>
      </w:r>
      <w:r w:rsidR="2427DF7B" w:rsidRPr="00DA249F">
        <w:rPr>
          <w:lang w:val="en-GB"/>
        </w:rPr>
        <w:t>.</w:t>
      </w:r>
      <w:r w:rsidR="365BC419" w:rsidRPr="00DA249F">
        <w:rPr>
          <w:lang w:val="en-GB"/>
        </w:rPr>
        <w:t xml:space="preserve"> </w:t>
      </w:r>
      <w:r w:rsidR="2427DF7B" w:rsidRPr="00DA249F">
        <w:rPr>
          <w:lang w:val="en-GB"/>
        </w:rPr>
        <w:t xml:space="preserve">Many microbes and other parasites accompany livestock as they are introduced into new countries </w:t>
      </w:r>
      <w:r w:rsidR="00F4367C" w:rsidRPr="00DA249F">
        <w:rPr>
          <w:lang w:val="en-GB"/>
        </w:rPr>
        <w:fldChar w:fldCharType="begin"/>
      </w:r>
      <w:r w:rsidR="00331A79">
        <w:rPr>
          <w:lang w:val="en-GB"/>
        </w:rPr>
        <w:instrText xml:space="preserve"> ADDIN ZOTERO_ITEM CSL_CITATION {"citationID":"ZsZuu1IO","properties":{"formattedCitation":"(Pimentel et al., 2001)","plainCitation":"(Pimentel et al., 2001)","noteIndex":0},"citationItems":[{"id":33012,"uris":["http://zotero.org/groups/2352922/items/XJ6YRCW4"],"itemData":{"id":33012,"type":"article-journal","abstract":"Over 120,000 non-native species of plants, animals and microbes have invaded the United States, United Kingdom, Australia, South Africa, India, and Brazil, and many have caused major economic losses in agriculture and forestry as well as negatively impacting ecological integrity. Some introduced species, like corn (Zea mays L.), wheat (Triticum spp.), rice (Oryza sativa L.), plantation forests, domestic chicken (Gallus spp.), cattle (Bos taurus), and others, are beneficial and provide more than 98% of the world’s food supply. Precise economic costs associated with some of the most ecologically damaging alien species are not available. Cats (Felis cattus) and pigs (Sus scrofa), for example, are responsible for the extinction of various animal species, however, it is impossible to assign monetary values to species forced to extinction. The estimate is that non-native species invasions in the six nations are causing more than US$ 314 billion per year in damages.","container-title":"Agriculture, Ecosystems &amp; Environment","DOI":"10.1016/S0167-8809(00)00178-X","ISSN":"0167-8809","issue":"1","journalAbbreviation":"Agriculture, Ecosystems &amp; Environment","language":"en","note":"number: 1","page":"1-20","source":"ScienceDirect","title":"Economic and environmental threats of alien plant, animal, and microbe invasions","URL":"https://www.sciencedirect.com/science/article/pii/S016788090000178X","volume":"84","author":[{"family":"Pimentel","given":"David"},{"family":"McNair","given":"S."},{"family":"Janecka","given":"J."},{"family":"Wightman","given":"J."},{"family":"Simmonds","given":"C."},{"family":"O’Connell","given":"C."},{"family":"Wong","given":"E."},{"family":"Russel","given":"L."},{"family":"Zern","given":"J."},{"family":"Aquino","given":"T."},{"family":"Tsomondo","given":"T."}],"accessed":{"date-parts":[["2021",12,7]]},"issued":{"date-parts":[["2001",3,1]]}},"label":"page"}],"schema":"https://github.com/citation-style-language/schema/raw/master/csl-citation.json"} </w:instrText>
      </w:r>
      <w:r w:rsidR="00F4367C" w:rsidRPr="00DA249F">
        <w:rPr>
          <w:lang w:val="en-GB"/>
        </w:rPr>
        <w:fldChar w:fldCharType="separate"/>
      </w:r>
      <w:r w:rsidR="6B5F9B9E" w:rsidRPr="00144D96">
        <w:t>(Pimentel et al., 2001)</w:t>
      </w:r>
      <w:r w:rsidR="00F4367C" w:rsidRPr="00DA249F">
        <w:rPr>
          <w:lang w:val="en-GB"/>
        </w:rPr>
        <w:fldChar w:fldCharType="end"/>
      </w:r>
      <w:r w:rsidR="2427DF7B" w:rsidRPr="00DA249F">
        <w:rPr>
          <w:lang w:val="en-GB"/>
        </w:rPr>
        <w:t xml:space="preserve">. </w:t>
      </w:r>
      <w:r w:rsidR="2427DF7B" w:rsidRPr="5575EBFC">
        <w:rPr>
          <w:i/>
          <w:iCs/>
          <w:lang w:val="en-GB"/>
        </w:rPr>
        <w:t>Mycobacterium bovis</w:t>
      </w:r>
      <w:r w:rsidR="4205F97E" w:rsidRPr="5575EBFC">
        <w:rPr>
          <w:i/>
          <w:iCs/>
          <w:lang w:val="en-GB"/>
        </w:rPr>
        <w:t xml:space="preserve"> </w:t>
      </w:r>
      <w:r w:rsidR="365BC419" w:rsidRPr="00DA249F">
        <w:rPr>
          <w:lang w:val="en-GB"/>
        </w:rPr>
        <w:t>(</w:t>
      </w:r>
      <w:r w:rsidR="6A235B61" w:rsidRPr="00DA249F">
        <w:rPr>
          <w:lang w:val="en-GB"/>
        </w:rPr>
        <w:t>b</w:t>
      </w:r>
      <w:r w:rsidR="365BC419" w:rsidRPr="00DA249F">
        <w:rPr>
          <w:lang w:val="en-GB"/>
        </w:rPr>
        <w:t>ovine tub</w:t>
      </w:r>
      <w:r w:rsidR="6A235B61" w:rsidRPr="00DA249F">
        <w:rPr>
          <w:lang w:val="en-GB"/>
        </w:rPr>
        <w:t>er</w:t>
      </w:r>
      <w:r w:rsidR="365BC419" w:rsidRPr="00DA249F">
        <w:rPr>
          <w:lang w:val="en-GB"/>
        </w:rPr>
        <w:t xml:space="preserve">culosis) </w:t>
      </w:r>
      <w:r w:rsidR="2427DF7B" w:rsidRPr="00DA249F">
        <w:rPr>
          <w:lang w:val="en-GB"/>
        </w:rPr>
        <w:t xml:space="preserve">was introduced to many places, including New Zealand, as cattle were transported out of Europe during the </w:t>
      </w:r>
      <w:r w:rsidR="0CE42B8F" w:rsidRPr="00DA249F">
        <w:rPr>
          <w:lang w:val="en-GB"/>
        </w:rPr>
        <w:t>nineteenth</w:t>
      </w:r>
      <w:r w:rsidR="2427DF7B" w:rsidRPr="00DA249F">
        <w:rPr>
          <w:lang w:val="en-GB"/>
        </w:rPr>
        <w:t xml:space="preserve"> </w:t>
      </w:r>
      <w:r w:rsidR="0CE42B8F" w:rsidRPr="00DA249F">
        <w:rPr>
          <w:lang w:val="en-GB"/>
        </w:rPr>
        <w:t>c</w:t>
      </w:r>
      <w:r w:rsidR="2427DF7B" w:rsidRPr="00DA249F">
        <w:rPr>
          <w:lang w:val="en-GB"/>
        </w:rPr>
        <w:t xml:space="preserve">entury </w:t>
      </w:r>
      <w:r w:rsidR="00F4367C" w:rsidRPr="00DA249F">
        <w:rPr>
          <w:lang w:val="en-GB"/>
        </w:rPr>
        <w:fldChar w:fldCharType="begin"/>
      </w:r>
      <w:r w:rsidR="00331A79">
        <w:rPr>
          <w:lang w:val="en-GB"/>
        </w:rPr>
        <w:instrText xml:space="preserve"> ADDIN ZOTERO_ITEM CSL_CITATION {"citationID":"j66SivK4","properties":{"formattedCitation":"(N. H. Smith, 2012)","plainCitation":"(N. H. Smith, 2012)","noteIndex":0},"citationItems":[{"id":32587,"uris":["http://zotero.org/groups/2352922/items/NGIZY9AQ"],"itemData":{"id":32587,"type":"article-journal","abstract":"The consequences of the clonality of the Mycobacterium tuberculosis complex are described and, in particular, the identification of clonal complexes. Clonal complexes are groups of strains all descended from a single cell that was the most recent common ancestor (MRCA) of the clonal complex and all bearing characteristics derived from the MRCA. Three clonal complexes of Mycobacterium bovis have been identified and called African 1, African 2 and European 1. Members of each clonal complex have a distinct spoligotype signature and are identified by a unique deletion present in each member of the clonal complex. The African 1 and African 2 clonal complexes are geographically localised to Central-West Africa and East Africa, respectively and have not been found in cattle outside of these regions. However, the European 1 clonal complex is globally distributed and has been identified in the British Isles, former British colonies, The Americas as well as Kazakhstan and Korea. It is suggested that modern cattle breeds, such as Herefords, bred in the UK in the 18th Century, would provide a good vehicle for the global distribution of this closely related group of strains. The phylogeography of M. bovis and M. tuberculosis are compared and in particular the diversity of M. tuberculosis in Africa, compared with the localised dominance of M. bovis clonal complexes, is highlighted. Finally, the practical use of M. bovis clonal complexes is reviewed, however, a more significant use of M. bovis clonal complexes is to generate testable hypotheses to understand the pathogenicity and spread of this important veterinary pathogen. This first look at the phylogeography of M. bovis clonal complexes has shown surprising geographical localisation of molecular types but also hints strongly that much of the worldwide distribution of bovine pathogen resulted from human trade in cattle within the last 200years.","collection-title":"Special Issue on Molecular evolution, epidemiology and pathogenesis of Mycobacterium tuberculosis and other mycobacteria","container-title":"Infection, Genetics and Evolution","DOI":"10.1016/j.meegid.2011.09.007","ISSN":"1567-1348","issue":"4","journalAbbreviation":"Infection, Genetics and Evolution","language":"en","note":"number: 4","page":"857-865","source":"ScienceDirect","title":"The global distribution and phylogeography of &lt;i&gt;Mycobacterium bovis&lt;/i&gt; clonal complexes","URL":"https://www.sciencedirect.com/science/article/pii/S1567134811003170","volume":"12","author":[{"family":"Smith","given":"Noel H."}],"accessed":{"date-parts":[["2021",12,7]]},"issued":{"date-parts":[["2012",6,1]]}},"label":"page"}],"schema":"https://github.com/citation-style-language/schema/raw/master/csl-citation.json"} </w:instrText>
      </w:r>
      <w:r w:rsidR="00F4367C" w:rsidRPr="00DA249F">
        <w:rPr>
          <w:lang w:val="en-GB"/>
        </w:rPr>
        <w:fldChar w:fldCharType="separate"/>
      </w:r>
      <w:r w:rsidR="6B5F9B9E" w:rsidRPr="00144D96">
        <w:t>(N. H. Smith, 2012)</w:t>
      </w:r>
      <w:r w:rsidR="00F4367C" w:rsidRPr="00DA249F">
        <w:rPr>
          <w:lang w:val="en-GB"/>
        </w:rPr>
        <w:fldChar w:fldCharType="end"/>
      </w:r>
      <w:r w:rsidR="2427DF7B" w:rsidRPr="00DA249F">
        <w:rPr>
          <w:lang w:val="en-GB"/>
        </w:rPr>
        <w:t xml:space="preserve">. In New Zealand, bovine </w:t>
      </w:r>
      <w:r w:rsidR="0E4BF47D" w:rsidRPr="00DA249F">
        <w:rPr>
          <w:lang w:val="en-GB"/>
        </w:rPr>
        <w:t>tuberculosis</w:t>
      </w:r>
      <w:r w:rsidR="2427DF7B" w:rsidRPr="00DA249F">
        <w:rPr>
          <w:lang w:val="en-GB"/>
        </w:rPr>
        <w:t xml:space="preserve"> is now also </w:t>
      </w:r>
      <w:r w:rsidR="19A5F95F" w:rsidRPr="00DA249F">
        <w:rPr>
          <w:lang w:val="en-GB"/>
        </w:rPr>
        <w:t>prevalent in</w:t>
      </w:r>
      <w:r w:rsidR="2427DF7B" w:rsidRPr="00DA249F">
        <w:rPr>
          <w:lang w:val="en-GB"/>
        </w:rPr>
        <w:t xml:space="preserve"> other invasive</w:t>
      </w:r>
      <w:r w:rsidR="64DE4BFA" w:rsidRPr="00DA249F">
        <w:rPr>
          <w:lang w:val="en-GB"/>
        </w:rPr>
        <w:t xml:space="preserve"> alien</w:t>
      </w:r>
      <w:r w:rsidR="2427DF7B" w:rsidRPr="00DA249F">
        <w:rPr>
          <w:lang w:val="en-GB"/>
        </w:rPr>
        <w:t xml:space="preserve"> species including </w:t>
      </w:r>
      <w:r w:rsidR="07FC52F5" w:rsidRPr="5575EBFC">
        <w:rPr>
          <w:i/>
          <w:iCs/>
          <w:lang w:val="en-GB"/>
        </w:rPr>
        <w:t>Trichosurus vulpecula</w:t>
      </w:r>
      <w:r w:rsidR="07FC52F5" w:rsidRPr="00DA249F">
        <w:rPr>
          <w:lang w:val="en-GB"/>
        </w:rPr>
        <w:t xml:space="preserve"> (</w:t>
      </w:r>
      <w:r w:rsidR="2427DF7B" w:rsidRPr="00DA249F">
        <w:rPr>
          <w:lang w:val="en-GB"/>
        </w:rPr>
        <w:t>brushtail possum</w:t>
      </w:r>
      <w:r w:rsidR="07FC52F5" w:rsidRPr="00DA249F">
        <w:rPr>
          <w:lang w:val="en-GB"/>
        </w:rPr>
        <w:t>)</w:t>
      </w:r>
      <w:r w:rsidR="2427DF7B" w:rsidRPr="00DA249F">
        <w:rPr>
          <w:lang w:val="en-GB"/>
        </w:rPr>
        <w:t xml:space="preserve">, </w:t>
      </w:r>
      <w:r w:rsidR="5698FD33" w:rsidRPr="5575EBFC">
        <w:rPr>
          <w:i/>
          <w:iCs/>
          <w:lang w:val="en-GB"/>
        </w:rPr>
        <w:t>Sus scrofa</w:t>
      </w:r>
      <w:r w:rsidR="5698FD33" w:rsidRPr="00DA249F">
        <w:rPr>
          <w:lang w:val="en-GB"/>
        </w:rPr>
        <w:t xml:space="preserve"> (</w:t>
      </w:r>
      <w:r w:rsidR="11214828" w:rsidRPr="00DA249F">
        <w:rPr>
          <w:lang w:val="en-GB"/>
        </w:rPr>
        <w:t xml:space="preserve">feral </w:t>
      </w:r>
      <w:r w:rsidR="2427DF7B" w:rsidRPr="00DA249F">
        <w:rPr>
          <w:lang w:val="en-GB"/>
        </w:rPr>
        <w:t>pig</w:t>
      </w:r>
      <w:r w:rsidR="5698FD33" w:rsidRPr="00DA249F">
        <w:rPr>
          <w:lang w:val="en-GB"/>
        </w:rPr>
        <w:t>)</w:t>
      </w:r>
      <w:r w:rsidR="2427DF7B" w:rsidRPr="00DA249F">
        <w:rPr>
          <w:lang w:val="en-GB"/>
        </w:rPr>
        <w:t xml:space="preserve">, </w:t>
      </w:r>
      <w:r w:rsidR="78DC8E72" w:rsidRPr="5575EBFC">
        <w:rPr>
          <w:i/>
          <w:iCs/>
          <w:lang w:val="en-GB"/>
        </w:rPr>
        <w:t xml:space="preserve">Mustela </w:t>
      </w:r>
      <w:r w:rsidR="26E40C6A" w:rsidRPr="5575EBFC">
        <w:rPr>
          <w:i/>
          <w:iCs/>
          <w:color w:val="1D1C1D"/>
          <w:sz w:val="23"/>
          <w:szCs w:val="23"/>
          <w:shd w:val="clear" w:color="auto" w:fill="FFFFFF"/>
          <w:lang w:val="en-GB"/>
        </w:rPr>
        <w:t>putorius</w:t>
      </w:r>
      <w:r w:rsidR="26E40C6A" w:rsidRPr="5575EBFC">
        <w:rPr>
          <w:rFonts w:ascii="Arial" w:hAnsi="Arial" w:cs="Arial"/>
          <w:i/>
          <w:iCs/>
          <w:color w:val="1D1C1D"/>
          <w:sz w:val="23"/>
          <w:szCs w:val="23"/>
          <w:shd w:val="clear" w:color="auto" w:fill="FFFFFF"/>
          <w:lang w:val="en-GB"/>
        </w:rPr>
        <w:t xml:space="preserve"> </w:t>
      </w:r>
      <w:r w:rsidR="78DC8E72" w:rsidRPr="5575EBFC">
        <w:rPr>
          <w:i/>
          <w:iCs/>
          <w:lang w:val="en-GB"/>
        </w:rPr>
        <w:t>furo</w:t>
      </w:r>
      <w:r w:rsidR="78DC8E72" w:rsidRPr="00DA249F">
        <w:rPr>
          <w:lang w:val="en-GB"/>
        </w:rPr>
        <w:t xml:space="preserve"> (</w:t>
      </w:r>
      <w:r w:rsidR="2427DF7B" w:rsidRPr="00DA249F">
        <w:rPr>
          <w:lang w:val="en-GB"/>
        </w:rPr>
        <w:t>ferret</w:t>
      </w:r>
      <w:r w:rsidR="78DC8E72" w:rsidRPr="00DA249F">
        <w:rPr>
          <w:lang w:val="en-GB"/>
        </w:rPr>
        <w:t>)</w:t>
      </w:r>
      <w:r w:rsidR="2427DF7B" w:rsidRPr="00DA249F">
        <w:rPr>
          <w:lang w:val="en-GB"/>
        </w:rPr>
        <w:t xml:space="preserve">, </w:t>
      </w:r>
      <w:r w:rsidR="55FB8AE5" w:rsidRPr="5575EBFC">
        <w:rPr>
          <w:i/>
          <w:iCs/>
          <w:lang w:val="en-GB"/>
        </w:rPr>
        <w:t xml:space="preserve">Mustela erminea </w:t>
      </w:r>
      <w:r w:rsidR="55FB8AE5" w:rsidRPr="00DA249F">
        <w:rPr>
          <w:lang w:val="en-GB"/>
        </w:rPr>
        <w:t>(</w:t>
      </w:r>
      <w:r w:rsidR="26E40C6A" w:rsidRPr="00DA249F">
        <w:rPr>
          <w:lang w:val="en-GB"/>
        </w:rPr>
        <w:t>ermine</w:t>
      </w:r>
      <w:r w:rsidR="55FB8AE5" w:rsidRPr="00DA249F">
        <w:rPr>
          <w:lang w:val="en-GB"/>
        </w:rPr>
        <w:t>)</w:t>
      </w:r>
      <w:r w:rsidR="4E337BE2" w:rsidRPr="00DA249F">
        <w:rPr>
          <w:lang w:val="en-GB"/>
        </w:rPr>
        <w:t>,</w:t>
      </w:r>
      <w:r w:rsidR="2427DF7B" w:rsidRPr="00DA249F">
        <w:rPr>
          <w:lang w:val="en-GB"/>
        </w:rPr>
        <w:t xml:space="preserve"> </w:t>
      </w:r>
      <w:r w:rsidR="6EFAE8E4" w:rsidRPr="5575EBFC">
        <w:rPr>
          <w:i/>
          <w:iCs/>
          <w:lang w:val="en-GB"/>
        </w:rPr>
        <w:t>Erinaceus europaeus</w:t>
      </w:r>
      <w:r w:rsidR="6EFAE8E4" w:rsidRPr="00DA249F">
        <w:rPr>
          <w:lang w:val="en-GB"/>
        </w:rPr>
        <w:t xml:space="preserve"> (</w:t>
      </w:r>
      <w:r w:rsidR="6E7DDC07" w:rsidRPr="00DA249F">
        <w:rPr>
          <w:lang w:val="en-GB"/>
        </w:rPr>
        <w:t xml:space="preserve">European </w:t>
      </w:r>
      <w:r w:rsidR="2427DF7B" w:rsidRPr="00DA249F">
        <w:rPr>
          <w:lang w:val="en-GB"/>
        </w:rPr>
        <w:t>hedgehog</w:t>
      </w:r>
      <w:r w:rsidR="6EFAE8E4" w:rsidRPr="00DA249F">
        <w:rPr>
          <w:lang w:val="en-GB"/>
        </w:rPr>
        <w:t>)</w:t>
      </w:r>
      <w:r w:rsidR="00774819">
        <w:rPr>
          <w:lang w:val="en-GB"/>
        </w:rPr>
        <w:t xml:space="preserve"> and</w:t>
      </w:r>
      <w:r w:rsidR="6EFAE8E4" w:rsidRPr="00DA249F">
        <w:rPr>
          <w:lang w:val="en-GB"/>
        </w:rPr>
        <w:t xml:space="preserve"> deer </w:t>
      </w:r>
      <w:r w:rsidR="2CDE0B0A">
        <w:rPr>
          <w:lang w:val="en-GB"/>
        </w:rPr>
        <w:t xml:space="preserve">species </w:t>
      </w:r>
      <w:r w:rsidR="00F4367C" w:rsidRPr="00DA249F">
        <w:rPr>
          <w:lang w:val="en-GB"/>
        </w:rPr>
        <w:fldChar w:fldCharType="begin"/>
      </w:r>
      <w:r w:rsidR="00331A79">
        <w:rPr>
          <w:lang w:val="en-GB"/>
        </w:rPr>
        <w:instrText xml:space="preserve"> ADDIN ZOTERO_ITEM CSL_CITATION {"citationID":"peg1KkRI","properties":{"formattedCitation":"(Livingstone et al., 2015)","plainCitation":"(Livingstone et al., 2015)","noteIndex":0},"citationItems":[{"id":32586,"uris":["http://zotero.org/groups/2352922/items/V7U5GPA7"],"itemData":{"id":32586,"type":"article-journal","abstract":"New Zealand's bovine tuberculosis (TB) control programme has greatly reduced the burden of tuberculosis on the farming industry, from 11% of mature cattle found with TB at slaughter in 1905 to &lt;0.003% in 2012/13. New Zealand implemented TB control measures in cattle from the mid-twentieth century, and later in farmed deer. Control was based on established methods of tuberculin testing of herds, slaughter of suspect cases, and livestock movement control. Unexplained regional control failures and serious disease outbreaks were eventually linked to wildlife-vectored infection from the introduced Australian brushtail possum (Trichosurus vulpecula), which also triggered a wildlife disease complex involving a range of introduced species. This paper reviews the progressive elucidation of the epidemiology of Mycobacterium bovis in New Zealand's wildlife and farmed livestock, and the parallel development of research-led, multi-faceted TB control strategies required to protect New Zealand's livestock industries from damaging infection levels. The adoption of coordinated national pest management strategies, with increasingly ambitious objectives agreed between government and industry funders, has driven a costly but very successful management regime targeted at controlling TB in the possum maintenance host. This success has led to initiation of a strategy designed to eradicate TB from New Zealand's livestock and wildlife, which is considered a realistic long-term prospect.","container-title":"New Zealand Veterinary Journal","DOI":"10.1080/00480169.2014.971082","ISSN":"0048-0169","issue":"sup1","note":"number: sup1\npublisher: Taylor &amp; Francis\n_eprint: https://doi.org/10.1080/00480169.2014.971082\nPMID: 25273888","page":"4-18","source":"Taylor and Francis+NEJM","title":"Toward eradication: the effect of &lt;i&gt;Mycobacterium bovis&lt;/i&gt; infection in wildlife on the evolution and future direction of bovine tuberculosis management in New Zealand","title-short":"Toward eradication","URL":"https://doi.org/10.1080/00480169.2014.971082","volume":"63","author":[{"family":"Livingstone","given":"PG"},{"family":"Hancox","given":"N"},{"family":"Nugent","given":"G"},{"family":"Lisle","given":"GW","non-dropping-particle":"de"}],"accessed":{"date-parts":[["2021",12,7]]},"issued":{"date-parts":[["2015",3,25]]}},"label":"page"}],"schema":"https://github.com/citation-style-language/schema/raw/master/csl-citation.json"} </w:instrText>
      </w:r>
      <w:r w:rsidR="00F4367C" w:rsidRPr="00DA249F">
        <w:rPr>
          <w:lang w:val="en-GB"/>
        </w:rPr>
        <w:fldChar w:fldCharType="separate"/>
      </w:r>
      <w:r w:rsidR="6B5F9B9E" w:rsidRPr="00144D96">
        <w:t>(Livingstone et al., 2015)</w:t>
      </w:r>
      <w:r w:rsidR="00F4367C" w:rsidRPr="00DA249F">
        <w:rPr>
          <w:lang w:val="en-GB"/>
        </w:rPr>
        <w:fldChar w:fldCharType="end"/>
      </w:r>
      <w:r w:rsidR="2427DF7B" w:rsidRPr="00DA249F">
        <w:rPr>
          <w:lang w:val="en-GB"/>
        </w:rPr>
        <w:t xml:space="preserve">. In Europe, the introduction of </w:t>
      </w:r>
      <w:r w:rsidR="0AB00077" w:rsidRPr="5575EBFC">
        <w:rPr>
          <w:i/>
          <w:iCs/>
          <w:lang w:val="en-GB"/>
        </w:rPr>
        <w:t>Procyon lotor</w:t>
      </w:r>
      <w:r w:rsidR="0AB00077" w:rsidRPr="00DA249F">
        <w:rPr>
          <w:lang w:val="en-GB"/>
        </w:rPr>
        <w:t xml:space="preserve"> (</w:t>
      </w:r>
      <w:r w:rsidR="2427DF7B" w:rsidRPr="00DA249F">
        <w:rPr>
          <w:lang w:val="en-GB"/>
        </w:rPr>
        <w:t>racoon</w:t>
      </w:r>
      <w:r w:rsidR="365BC419" w:rsidRPr="00DA249F">
        <w:rPr>
          <w:lang w:val="en-GB"/>
        </w:rPr>
        <w:t>)</w:t>
      </w:r>
      <w:r w:rsidR="2427DF7B" w:rsidRPr="5575EBFC">
        <w:rPr>
          <w:i/>
          <w:iCs/>
          <w:lang w:val="en-GB"/>
        </w:rPr>
        <w:t xml:space="preserve"> </w:t>
      </w:r>
      <w:r w:rsidR="2427DF7B" w:rsidRPr="00DA249F">
        <w:rPr>
          <w:lang w:val="en-GB"/>
        </w:rPr>
        <w:t xml:space="preserve">also established </w:t>
      </w:r>
      <w:r w:rsidR="2427DF7B" w:rsidRPr="5575EBFC">
        <w:rPr>
          <w:i/>
          <w:iCs/>
          <w:lang w:val="en-GB"/>
        </w:rPr>
        <w:t xml:space="preserve">Baylisascaris procyonis </w:t>
      </w:r>
      <w:r w:rsidR="7912B728" w:rsidRPr="5575EBFC">
        <w:rPr>
          <w:lang w:val="en-GB"/>
        </w:rPr>
        <w:t>(</w:t>
      </w:r>
      <w:r w:rsidR="0C422979" w:rsidRPr="5575EBFC">
        <w:rPr>
          <w:lang w:val="en-GB"/>
        </w:rPr>
        <w:t>raccoon roundworm</w:t>
      </w:r>
      <w:r w:rsidR="7912B728" w:rsidRPr="5575EBFC">
        <w:rPr>
          <w:lang w:val="en-GB"/>
        </w:rPr>
        <w:t>)</w:t>
      </w:r>
      <w:r w:rsidR="418FF5AA" w:rsidRPr="5575EBFC">
        <w:rPr>
          <w:lang w:val="en-GB"/>
        </w:rPr>
        <w:t>,</w:t>
      </w:r>
      <w:r w:rsidR="7912B728" w:rsidRPr="5575EBFC">
        <w:rPr>
          <w:i/>
          <w:iCs/>
          <w:lang w:val="en-GB"/>
        </w:rPr>
        <w:t xml:space="preserve"> </w:t>
      </w:r>
      <w:r w:rsidR="2427DF7B" w:rsidRPr="00DA249F">
        <w:rPr>
          <w:lang w:val="en-GB"/>
        </w:rPr>
        <w:t xml:space="preserve">which </w:t>
      </w:r>
      <w:r w:rsidR="418FF5AA">
        <w:rPr>
          <w:lang w:val="en-GB"/>
        </w:rPr>
        <w:t xml:space="preserve">may </w:t>
      </w:r>
      <w:r w:rsidR="2427DF7B" w:rsidRPr="00DA249F">
        <w:rPr>
          <w:lang w:val="en-GB"/>
        </w:rPr>
        <w:t xml:space="preserve">potentially induce central nervous system disease in humans </w:t>
      </w:r>
      <w:r w:rsidR="00F4367C" w:rsidRPr="00DA249F">
        <w:rPr>
          <w:lang w:val="en-GB"/>
        </w:rPr>
        <w:fldChar w:fldCharType="begin"/>
      </w:r>
      <w:r w:rsidR="00331A79">
        <w:rPr>
          <w:lang w:val="en-GB"/>
        </w:rPr>
        <w:instrText xml:space="preserve"> ADDIN ZOTERO_ITEM CSL_CITATION {"citationID":"2P43TPIW","properties":{"formattedCitation":"(Chinchio et al., 2020)","plainCitation":"(Chinchio et al., 2020)","noteIndex":0},"citationItems":[{"id":32923,"uris":["http://zotero.org/groups/2352922/items/VCFEBNIX"],"itemData":{"id":32923,"type":"article-journal","container-title":"PLoS Pathogens","DOI":"10.1371/journal.ppat.1008922","ISSN":"1553-7374","issue":"10","journalAbbreviation":"PLoS Pathog","language":"en","page":"e1008922","source":"DOI.org (Crossref)","title":"Invasive alien species and disease risk: An open challenge in public and animal health","title-short":"Invasive alien species and disease risk","URL":"https://dx.plos.org/10.1371/journal.ppat.1008922","volume":"16","author":[{"family":"Chinchio","given":"Eleonora"},{"family":"Crotta","given":"Matteo"},{"family":"Romeo","given":"Claudia"},{"family":"Drewe","given":"Julian A."},{"family":"Guitian","given":"Javier"},{"family":"Ferrari","given":"Nicola"}],"editor":[{"family":"Knoll","given":"Laura J."}],"accessed":{"date-parts":[["2021",11,8]]},"issued":{"date-parts":[["2020",10,22]]}},"label":"page"}],"schema":"https://github.com/citation-style-language/schema/raw/master/csl-citation.json"} </w:instrText>
      </w:r>
      <w:r w:rsidR="00F4367C" w:rsidRPr="00DA249F">
        <w:rPr>
          <w:lang w:val="en-GB"/>
        </w:rPr>
        <w:fldChar w:fldCharType="separate"/>
      </w:r>
      <w:r w:rsidR="6B5F9B9E" w:rsidRPr="00144D96">
        <w:t>(Chinchio et al., 2020)</w:t>
      </w:r>
      <w:r w:rsidR="00F4367C" w:rsidRPr="00DA249F">
        <w:rPr>
          <w:lang w:val="en-GB"/>
        </w:rPr>
        <w:fldChar w:fldCharType="end"/>
      </w:r>
      <w:r w:rsidR="2427DF7B" w:rsidRPr="00DA249F">
        <w:rPr>
          <w:lang w:val="en-GB"/>
        </w:rPr>
        <w:t xml:space="preserve">. </w:t>
      </w:r>
    </w:p>
    <w:p w14:paraId="5AC9C2EA" w14:textId="77777777" w:rsidR="008C1BF7" w:rsidRPr="00DA249F" w:rsidRDefault="00645209" w:rsidP="004826A3">
      <w:pPr>
        <w:pStyle w:val="Heading3"/>
        <w:rPr>
          <w:lang w:val="en-GB"/>
        </w:rPr>
      </w:pPr>
      <w:bookmarkStart w:id="152" w:name="_Toc44317818"/>
      <w:r w:rsidRPr="00DA249F">
        <w:rPr>
          <w:lang w:val="en-GB"/>
        </w:rPr>
        <w:t xml:space="preserve"> </w:t>
      </w:r>
      <w:r w:rsidR="17373021" w:rsidRPr="00DA249F">
        <w:rPr>
          <w:lang w:val="en-GB"/>
        </w:rPr>
        <w:t>Fragmentation of ecosystems</w:t>
      </w:r>
      <w:bookmarkEnd w:id="152"/>
    </w:p>
    <w:p w14:paraId="09477CAD" w14:textId="28301989" w:rsidR="00040AB1" w:rsidRPr="00DA249F" w:rsidRDefault="0B8D8F85">
      <w:pPr>
        <w:rPr>
          <w:lang w:val="en-GB"/>
        </w:rPr>
      </w:pPr>
      <w:r w:rsidRPr="00DA249F">
        <w:rPr>
          <w:lang w:val="en-GB"/>
        </w:rPr>
        <w:t xml:space="preserve">Increasing </w:t>
      </w:r>
      <w:r w:rsidR="0078316A" w:rsidRPr="00DA249F">
        <w:rPr>
          <w:rStyle w:val="normaltextrun"/>
          <w:color w:val="000000" w:themeColor="text1"/>
          <w:lang w:val="en-GB"/>
        </w:rPr>
        <w:t>exploitation of natural resources</w:t>
      </w:r>
      <w:r w:rsidR="0078316A" w:rsidRPr="00DA249F">
        <w:rPr>
          <w:lang w:val="en-GB"/>
        </w:rPr>
        <w:t xml:space="preserve"> </w:t>
      </w:r>
      <w:r w:rsidRPr="00DA249F">
        <w:rPr>
          <w:lang w:val="en-GB"/>
        </w:rPr>
        <w:t>and land-use change</w:t>
      </w:r>
      <w:r w:rsidR="4F2EAE64" w:rsidRPr="00DA249F">
        <w:rPr>
          <w:lang w:val="en-GB"/>
        </w:rPr>
        <w:t>s</w:t>
      </w:r>
      <w:r w:rsidRPr="00DA249F">
        <w:rPr>
          <w:lang w:val="en-GB"/>
        </w:rPr>
        <w:t xml:space="preserve"> have led to widespread fragmentation of terrestrial ecosystems, so that </w:t>
      </w:r>
      <w:r w:rsidR="00B15A12">
        <w:rPr>
          <w:lang w:val="en-GB"/>
        </w:rPr>
        <w:t>70</w:t>
      </w:r>
      <w:r w:rsidR="00B15A12" w:rsidRPr="00DA249F">
        <w:rPr>
          <w:lang w:val="en-GB"/>
        </w:rPr>
        <w:t xml:space="preserve"> </w:t>
      </w:r>
      <w:r w:rsidR="004C77CD" w:rsidRPr="00DA249F">
        <w:rPr>
          <w:lang w:val="en-GB"/>
        </w:rPr>
        <w:t>per cent</w:t>
      </w:r>
      <w:r w:rsidRPr="00DA249F">
        <w:rPr>
          <w:lang w:val="en-GB"/>
        </w:rPr>
        <w:t xml:space="preserve"> of remaining forest</w:t>
      </w:r>
      <w:r w:rsidR="00B15A12">
        <w:rPr>
          <w:lang w:val="en-GB"/>
        </w:rPr>
        <w:t xml:space="preserve"> area</w:t>
      </w:r>
      <w:r w:rsidRPr="00DA249F">
        <w:rPr>
          <w:lang w:val="en-GB"/>
        </w:rPr>
        <w:t xml:space="preserve">s </w:t>
      </w:r>
      <w:r w:rsidR="00877832" w:rsidRPr="00DA249F">
        <w:rPr>
          <w:lang w:val="en-GB"/>
        </w:rPr>
        <w:t xml:space="preserve">globally </w:t>
      </w:r>
      <w:r w:rsidRPr="00DA249F">
        <w:rPr>
          <w:lang w:val="en-GB"/>
        </w:rPr>
        <w:t xml:space="preserve">are </w:t>
      </w:r>
      <w:r w:rsidR="00877832" w:rsidRPr="00DA249F">
        <w:rPr>
          <w:lang w:val="en-GB"/>
        </w:rPr>
        <w:lastRenderedPageBreak/>
        <w:t>now</w:t>
      </w:r>
      <w:r w:rsidRPr="00DA249F">
        <w:rPr>
          <w:lang w:val="en-GB"/>
        </w:rPr>
        <w:t xml:space="preserve"> within 1 km distance of </w:t>
      </w:r>
      <w:r w:rsidR="00B15A12">
        <w:rPr>
          <w:lang w:val="en-GB"/>
        </w:rPr>
        <w:t>a forest edge</w:t>
      </w:r>
      <w:r w:rsidR="3C921A17" w:rsidRPr="00DA249F">
        <w:rPr>
          <w:lang w:val="en-GB"/>
        </w:rPr>
        <w:t xml:space="preserve"> </w:t>
      </w:r>
      <w:r w:rsidR="0014684B" w:rsidRPr="00DA249F">
        <w:rPr>
          <w:lang w:val="en-GB"/>
        </w:rPr>
        <w:fldChar w:fldCharType="begin"/>
      </w:r>
      <w:r w:rsidR="00F5121E">
        <w:rPr>
          <w:lang w:val="en-GB"/>
        </w:rPr>
        <w:instrText xml:space="preserve"> ADDIN ZOTERO_ITEM CSL_CITATION {"citationID":"Ntle1Kl4","properties":{"formattedCitation":"(IPBES, 2019)","plainCitation":"(IPBES, 2019)","noteIndex":0},"citationItems":[{"id":53933,"uris":["http://zotero.org/groups/2352922/items/JYFISR8Z","http://zotero.org/groups/2352922/items/ZACZGHZL"],"itemData":{"id":53933,"type":"report","abstract":"IPBES is to perform regular and timely assessments of knowledge on biodiversity and ecosystem services and their interlinkages at the global level. Also addressing an invitation by the Conference of the Parties of the Convention on Biological Diversity (CBD) to prepare a global assessment of biodiversity and ecosystem services building, inter alia, on its own and other relevant regional, subregional and thematic assessments, as well as on national reports. The overall scope of the assessment is to assess the status and trends with regard to biodiversity and ecosystem services, the impact of biodiversity and ecosystem services on human well-being and the effectiveness of responses, including the Strategic Plan and its Aichi Biodiversity Targets. It is anticipated that this deliverable will contribute to the process for the evaluation and renewal of the Strategic Plan for Biodiversity and its Aichi Biodiversity Targets. The IPBES Global Assessment on Biodiversity and Ecosystem Services is composed of 1) a Summary for Policymakers (SPM), approved by the IPBES Plenary at its 7th session in May 2019 in Paris, France (IPBES-7); and 2) a set of six Chapters, accepted by the IPBES Plenary.","language":"en","license":"Creative Commons Attribution 4.0 International, Open Access","note":"Version Number 1\nDOI: 10.5281/ZENODO.3831673","publisher":"Secretariat of the Intergovernmental Science-Policy Platform on Biodiversity and Ecosystem Services","source":"DOI.org (Datacite)","title":"Global assessment report on biodiversity and ecosystem services of the Intergovernmental Science-Policy Platform on Biodiversity and Ecosystem Services","URL":"https://zenodo.org/record/3831673","author":[{"literal":"IPBES"}],"contributor":[{"family":"Brondizio","given":"Eduardo"},{"family":"Diaz","given":"Sandra"},{"family":"Settele","given":"Josef"},{"family":"Ngo","given":"Hien T."}],"accessed":{"date-parts":[["2023",1,5]]},"issued":{"date-parts":[["2019"]]}}}],"schema":"https://github.com/citation-style-language/schema/raw/master/csl-citation.json"} </w:instrText>
      </w:r>
      <w:r w:rsidR="0014684B" w:rsidRPr="00DA249F">
        <w:rPr>
          <w:lang w:val="en-GB"/>
        </w:rPr>
        <w:fldChar w:fldCharType="separate"/>
      </w:r>
      <w:r w:rsidR="00144D96" w:rsidRPr="00144D96">
        <w:t>(IPBES, 2019)</w:t>
      </w:r>
      <w:r w:rsidR="0014684B" w:rsidRPr="00DA249F">
        <w:rPr>
          <w:lang w:val="en-GB"/>
        </w:rPr>
        <w:fldChar w:fldCharType="end"/>
      </w:r>
      <w:r w:rsidR="3C921A17" w:rsidRPr="00DA249F">
        <w:rPr>
          <w:lang w:val="en-GB"/>
        </w:rPr>
        <w:t>.</w:t>
      </w:r>
      <w:r w:rsidRPr="00DA249F">
        <w:rPr>
          <w:lang w:val="en-GB"/>
        </w:rPr>
        <w:t xml:space="preserve"> </w:t>
      </w:r>
      <w:r w:rsidR="009D554F" w:rsidRPr="00DA249F">
        <w:rPr>
          <w:lang w:val="en-GB"/>
        </w:rPr>
        <w:t xml:space="preserve">Fragmentation is usually associated with loss of total habitat area, changes in habitat quality, and increased biotic and abiotic influence from the surrounding landscape </w:t>
      </w:r>
      <w:r w:rsidR="009D554F" w:rsidRPr="00DA249F">
        <w:rPr>
          <w:lang w:val="en-GB"/>
        </w:rPr>
        <w:fldChar w:fldCharType="begin"/>
      </w:r>
      <w:r w:rsidR="00331A79">
        <w:rPr>
          <w:lang w:val="en-GB"/>
        </w:rPr>
        <w:instrText xml:space="preserve"> ADDIN ZOTERO_ITEM CSL_CITATION {"citationID":"6FVFNZDD","properties":{"formattedCitation":"(Eriksson et al., 2002; Sodhi et al., 2010; Vil\\uc0\\u224{} &amp; Ib\\uc0\\u225{}\\uc0\\u241{}ez, 2011)","plainCitation":"(Eriksson et al., 2002; Sodhi et al., 2010; Vilà &amp; Ibáñez, 2011)","noteIndex":0},"citationItems":[{"id":15560,"uris":["http://zotero.org/groups/2352922/items/XL573AY9"],"itemData":{"id":15560,"type":"article-journal","abstract":"Abstract. Plants associated with traditional agricultural landscapes in northern Europe and Scandinavia are subjected to drastic habitat fragmentation. In this paper we discuss species response to fragmentation, against a background of vegetation and land-use history. Recent evidence suggests that grassland-forest mosaics have been prevalent long before the onset of human agriculture. We suggest that the creation of infield meadows and outland grazing (during the Iron Age) increased the amount and spatial predictability of grasslands, resulting in plant communities with exceptionally high species densities. Thus, distribution of plant species in the present-day landscape reflects historical land-use. This holds also when traditional management has ceased, due to a slow response by many species to abandonment and fragmentation. The distribution patterns are thus not in equilibrium with the present habitat distribution. Fragmentation influences remaining semi-natural grasslands such that species density is likely to decline as a result of local extinctions and invasion by habitat generalists. However, species that for a long time have been subjected to changing mosaic landscapes may be more resistant to fragmentation than is usually believed. Conservation should focus not only on ‘hot-spots’ with high species richness, but al</w:instrText>
      </w:r>
      <w:r w:rsidR="00331A79">
        <w:rPr>
          <w:rFonts w:hint="eastAsia"/>
          <w:lang w:val="en-GB"/>
        </w:rPr>
        <w:instrText xml:space="preserve">so consider species dynamics in a landscape context.","container-title":"Journal of Vegetation Science","DOI":"10.1111/j.1654-1103.2002.tb02102.x","ISSN":"1654-1103","issue":"5","language":"en","license":"2002 IAVS </w:instrText>
      </w:r>
      <w:r w:rsidR="00331A79">
        <w:rPr>
          <w:rFonts w:hint="eastAsia"/>
          <w:lang w:val="en-GB"/>
        </w:rPr>
        <w:instrText>‐</w:instrText>
      </w:r>
      <w:r w:rsidR="00331A79">
        <w:rPr>
          <w:rFonts w:hint="eastAsia"/>
          <w:lang w:val="en-GB"/>
        </w:rPr>
        <w:instrText xml:space="preserve"> the International Association of Veget</w:instrText>
      </w:r>
      <w:r w:rsidR="00331A79">
        <w:rPr>
          <w:lang w:val="en-GB"/>
        </w:rPr>
        <w:instrText xml:space="preserve">ation Science","page":"743-748","source":"Wiley Online Library","title":"Land-use history and fragmentation of traditionally managed grasslands in Scandinavia","URL":"https://onlinelibrary.wiley.com/doi/abs/10.1111/j.1654-1103.2002.tb02102.x","volume":"13","author":[{"family":"Eriksson","given":"Ove"},{"family":"Cousins","given":"Sara A. O."},{"family":"Bruun","given":"Hans Henrik"}],"accessed":{"date-parts":[["2019",10,11]]},"issued":{"date-parts":[["2002"]]}},"label":"page"},{"id":15559,"uris":["http://zotero.org/groups/2352922/items/HEVCR6ZG"],"itemData":{"id":15559,"type":"article-journal","abstract":"Southeast Asia experiences one of the highest rates of deforestation in the tropics due to agricultural expansion, logging, habitat fragmentation and urbanization, which are expected to result in species declines and extinctions. In particular, growing global demands for food, biofuel and other commodities are driving the rapid expansion of oil palm and paper-and-pulp industries at the expense of lowland dipterocarp forests, further jeopardizing Southeast Asian forest biotas. We synthesize recent findings on the effects of land-use changes on plants, invertebrates, vertebrates and ecosystem functioning/services in Southeast Asia. We find that species richness and abundance/density of forest-dependent taxa generally declined in disturbed compared to mature forests. Species with restricted ranges and those with habitat and foraging specialization were particularly vulnerable. Forest loss also disrupted vital ecosystem services (e.g. crop pollination). Long-term studies are needed to understand biotic sustainability in regenerating and degraded forests, particularly in the context of the synergistic or additive effects of multiple agents of biodiversity loss (e.g. invasive species and climate change). The preservation of large tracts of mature forests should remain the principal conservation strategy in the tropics. In addition, reforestation and reintroductions of native species, as well as improved connectivity among forest patches could enhance the conservation value of forest remnants in human-dominated landscapes. (C) 2009 Elsevier Ltd. All rights reserved.","container-title":"Biological Conservation","DOI":"10.1016/j.biocon.2009.12.029","ISSN":"0006-3207","issue":"10","journalAbbreviation":"Biol. Conserv.","language":"English","note":"WOS:000282076800013","page":"2375-2384","source":"Web of Science","title":"Conserving Southeast Asian forest biodiversity in human-modified landscapes","URL":"https://www.sciencedirect.com/science/article/abs/pii/S0006320709005370?via%3Dihub","volume":"143","author":[{"family":"Sodhi","given":"Navjot S."},{"family":"Koh","given":"Lian Pin"},{"family":"Clements","given":"Reuben"},{"family":"Wanger","given":"Thomas C."},{"family":"Hill","given":"Jane K."},{"family":"Hamer","given":"Keith C."},{"family":"Clough","given":"Yann"},{"family":"Tscharntke","given":"Teja"},{"family":"Posa","given":"Mary Rose C."},{"family":"Lee","given":"Tien Ming"}],"issued":{"date-parts":[["2010",10]]}},"label":"page"},{"id":32871,"uris":["http://zotero.org/groups/2352922/items/UWVPQ6H9"],"itemData":{"id":32871,"type":"article-journal","container-title":"Landscape Ecology","DOI":"10.1007/s10980-011-9585-3","ISSN":"0921-2973, 1572-9761","issue":"4","journalAbbreviation":"Landscape Ecol","language":"en","note":"number: 4\ncontainer-title: Landscape Ecology","page":"461-472","source":"DOI.org (Crossref)","title":"Plant invasions in the landscape","URL":"http://link.springer.com/10.1007/s10980-011-9585-3","volume":"26","author":[{"family":"Vilà","given":"Montserrat"},{"family":"Ibáñez","given":"Inés"}],"accessed":{"date-parts":[["2019",12,5]]},"issued":{"date-parts":[["2011",4]]}},"label":"page"}],"schema":"https://github.com/citation-style-language/schema/raw/master/csl-citation.json"} </w:instrText>
      </w:r>
      <w:r w:rsidR="009D554F" w:rsidRPr="00DA249F">
        <w:rPr>
          <w:lang w:val="en-GB"/>
        </w:rPr>
        <w:fldChar w:fldCharType="separate"/>
      </w:r>
      <w:r w:rsidR="00144D96" w:rsidRPr="00144D96">
        <w:rPr>
          <w:szCs w:val="24"/>
        </w:rPr>
        <w:t>(Eriksson et al., 2002; Sodhi et al., 2010; Vilà &amp; Ibáñez, 2011)</w:t>
      </w:r>
      <w:r w:rsidR="009D554F" w:rsidRPr="00DA249F">
        <w:rPr>
          <w:lang w:val="en-GB"/>
        </w:rPr>
        <w:fldChar w:fldCharType="end"/>
      </w:r>
      <w:r w:rsidR="009D554F" w:rsidRPr="00DA249F">
        <w:rPr>
          <w:lang w:val="en-GB"/>
        </w:rPr>
        <w:t xml:space="preserve">. </w:t>
      </w:r>
      <w:r w:rsidR="004F20BF" w:rsidRPr="00DA249F">
        <w:rPr>
          <w:lang w:val="en-GB"/>
        </w:rPr>
        <w:t xml:space="preserve">Fragmentation of landscapes and habitats is one of the most significant process driving decrease of native biodiversity and species richness globally </w:t>
      </w:r>
      <w:r w:rsidR="004F20BF" w:rsidRPr="00DA249F">
        <w:rPr>
          <w:lang w:val="en-GB"/>
        </w:rPr>
        <w:fldChar w:fldCharType="begin"/>
      </w:r>
      <w:r w:rsidR="00F5121E">
        <w:rPr>
          <w:lang w:val="en-GB"/>
        </w:rPr>
        <w:instrText xml:space="preserve"> ADDIN ZOTERO_ITEM CSL_CITATION {"citationID":"xX7bx7AT","properties":{"formattedCitation":"(IPBES, 2019; Millennium Ecosystem Assessment, 2005b)","plainCitation":"(IPBES, 2019; Millennium Ecosystem Assessment, 2005b)","noteIndex":0},"citationItems":[{"id":53933,"uris":["http://zotero.org/groups/2352922/items/JYFISR8Z","http://zotero.org/groups/2352922/items/ZACZGHZL"],"itemData":{"id":53933,"type":"report","abstract":"IPBES is to perform regular and timely assessments of knowledge on biodiversity and ecosystem services and their interlinkages at the global level. Also addressing an invitation by the Conference of the Parties of the Convention on Biological Diversity (CBD) to prepare a global assessment of biodiversity and ecosystem services building, inter alia, on its own and other relevant regional, subregional and thematic assessments, as well as on national reports. The overall scope of the assessment is to assess the status and trends with regard to biodiversity and ecosystem services, the impact of biodiversity and ecosystem services on human well-being and the effectiveness of responses, including the Strategic Plan and its Aichi Biodiversity Targets. It is anticipated that this deliverable will contribute to the process for the evaluation and renewal of the Strategic Plan for Biodiversity and its Aichi Biodiversity Targets. The IPBES Global Assessment on Biodiversity and Ecosystem Services is composed of 1) a Summary for Policymakers (SPM), approved by the IPBES Plenary at its 7th session in May 2019 in Paris, France (IPBES-7); and 2) a set of six Chapters, accepted by the IPBES Plenary.","language":"en","license":"Creative Commons Attribution 4.0 International, Open Access","note":"Version Number 1\nDOI: 10.5281/ZENODO.3831673","publisher":"Secretariat of the Intergovernmental Science-Policy Platform on Biodiversity and Ecosystem Services","source":"DOI.org (Datacite)","title":"Global assessment report on biodiversity and ecosystem services of the Intergovernmental Science-Policy Platform on Biodiversity and Ecosystem Services","URL":"https://zenodo.org/record/3831673","author":[{"literal":"IPBES"}],"contributor":[{"family":"Brondizio","given":"Eduardo"},{"family":"Diaz","given":"Sandra"},{"family":"Settele","given":"Josef"},{"family":"Ngo","given":"Hien T."}],"accessed":{"date-parts":[["2023",1,5]]},"issued":{"date-parts":[["2019"]]}},"label":"page"},{"id":30337,"uris":["http://zotero.org/groups/2352922/items/SETS6VGD"],"itemData":{"id":30337,"type":"book","abstract":"Our Human Planet summarizes the findings of the four working groups and serves as a reference guide to the four volumes in the Millennium Ecosystem Assessment series. It presents the key findings of each working group and meets the needs of policy-makers and other professionals. The summary also provides an overview of the framework used by the assessment, and will serve as a guide for assessment, planning, and management for the future. It also gives the nonspecialist the means of navigating the detailed findings of the Millennium Ecosystem Assessment.","call-number":"GF50 .E269 2005","event-place":"Washington, DC","ISBN":"1-59726-040-1","language":"en","note":"OCLC: ocm59279709","number-of-pages":"137","publisher":"Island Press","publisher-place":"Washington, DC","source":"Library of Congress ISBN","title":"Ecosystems and Human Well-being: Synthesis","title-short":"Ecosystems and human well-being","author":[{"literal":"Millennium Ecosystem Assessment"}],"issued":{"date-parts":[["2005"]]}},"label":"page"}],"schema":"https://github.com/citation-style-language/schema/raw/master/csl-citation.json"} </w:instrText>
      </w:r>
      <w:r w:rsidR="004F20BF" w:rsidRPr="00DA249F">
        <w:rPr>
          <w:lang w:val="en-GB"/>
        </w:rPr>
        <w:fldChar w:fldCharType="separate"/>
      </w:r>
      <w:r w:rsidR="00186371" w:rsidRPr="00186371">
        <w:t>(IPBES, 2019; Millennium Ecosystem Assessment, 2005b)</w:t>
      </w:r>
      <w:r w:rsidR="004F20BF" w:rsidRPr="00DA249F">
        <w:rPr>
          <w:lang w:val="en-GB"/>
        </w:rPr>
        <w:fldChar w:fldCharType="end"/>
      </w:r>
      <w:r w:rsidR="004F20BF" w:rsidRPr="00DA249F">
        <w:rPr>
          <w:lang w:val="en-GB"/>
        </w:rPr>
        <w:t>.</w:t>
      </w:r>
    </w:p>
    <w:p w14:paraId="1686C162" w14:textId="7899BE0D" w:rsidR="00321AF1" w:rsidRPr="00DA249F" w:rsidRDefault="008C1BF7" w:rsidP="00F816CA">
      <w:pPr>
        <w:spacing w:before="0" w:after="0"/>
        <w:rPr>
          <w:rFonts w:eastAsia="Times New Roman"/>
          <w:color w:val="000000"/>
          <w:szCs w:val="24"/>
          <w:lang w:val="en-GB" w:eastAsia="zh-CN"/>
        </w:rPr>
      </w:pPr>
      <w:r w:rsidRPr="00DA249F">
        <w:rPr>
          <w:lang w:val="en-GB"/>
        </w:rPr>
        <w:t xml:space="preserve">Fragmentation </w:t>
      </w:r>
      <w:r w:rsidR="19AE4B7B" w:rsidRPr="00DA249F">
        <w:rPr>
          <w:lang w:val="en-GB"/>
        </w:rPr>
        <w:t>increase</w:t>
      </w:r>
      <w:r w:rsidR="5AEF51B0" w:rsidRPr="00DA249F">
        <w:rPr>
          <w:lang w:val="en-GB"/>
        </w:rPr>
        <w:t>s</w:t>
      </w:r>
      <w:r w:rsidRPr="00DA249F">
        <w:rPr>
          <w:lang w:val="en-GB"/>
        </w:rPr>
        <w:t xml:space="preserve"> the proportion of </w:t>
      </w:r>
      <w:r w:rsidR="78287FF4" w:rsidRPr="00DA249F">
        <w:rPr>
          <w:lang w:val="en-GB"/>
        </w:rPr>
        <w:t xml:space="preserve">the </w:t>
      </w:r>
      <w:r w:rsidR="00C83D6A" w:rsidRPr="00DA249F">
        <w:rPr>
          <w:lang w:val="en-GB"/>
        </w:rPr>
        <w:t>native</w:t>
      </w:r>
      <w:r w:rsidRPr="00DA249F">
        <w:rPr>
          <w:lang w:val="en-GB"/>
        </w:rPr>
        <w:t xml:space="preserve"> </w:t>
      </w:r>
      <w:r w:rsidR="19AE4B7B" w:rsidRPr="00DA249F">
        <w:rPr>
          <w:lang w:val="en-GB"/>
        </w:rPr>
        <w:t>habitat</w:t>
      </w:r>
      <w:r w:rsidRPr="00DA249F">
        <w:rPr>
          <w:lang w:val="en-GB"/>
        </w:rPr>
        <w:t xml:space="preserve"> exposed to edge effects, </w:t>
      </w:r>
      <w:r w:rsidR="007C4055" w:rsidRPr="00DA249F">
        <w:rPr>
          <w:lang w:val="en-GB"/>
        </w:rPr>
        <w:t xml:space="preserve">where </w:t>
      </w:r>
      <w:r w:rsidRPr="00DA249F">
        <w:rPr>
          <w:lang w:val="en-GB"/>
        </w:rPr>
        <w:t xml:space="preserve">higher propagule pressure </w:t>
      </w:r>
      <w:r w:rsidR="009D554F" w:rsidRPr="00DA249F">
        <w:rPr>
          <w:lang w:val="en-GB"/>
        </w:rPr>
        <w:t xml:space="preserve">and faster growth of </w:t>
      </w:r>
      <w:r w:rsidR="00A2624F" w:rsidRPr="00DA249F">
        <w:rPr>
          <w:lang w:val="en-GB"/>
        </w:rPr>
        <w:t>pioneer</w:t>
      </w:r>
      <w:r w:rsidR="001C4819" w:rsidRPr="00DA249F">
        <w:rPr>
          <w:lang w:val="en-GB"/>
        </w:rPr>
        <w:t xml:space="preserve"> and generalist</w:t>
      </w:r>
      <w:r w:rsidR="007C4055" w:rsidRPr="00DA249F">
        <w:rPr>
          <w:lang w:val="en-GB"/>
        </w:rPr>
        <w:t xml:space="preserve"> species</w:t>
      </w:r>
      <w:r w:rsidR="009D554F" w:rsidRPr="00DA249F">
        <w:rPr>
          <w:lang w:val="en-GB"/>
        </w:rPr>
        <w:t>,</w:t>
      </w:r>
      <w:r w:rsidR="001C4819" w:rsidRPr="00DA249F">
        <w:rPr>
          <w:lang w:val="en-GB"/>
        </w:rPr>
        <w:t xml:space="preserve"> </w:t>
      </w:r>
      <w:r w:rsidR="009D554F" w:rsidRPr="00DA249F">
        <w:rPr>
          <w:lang w:val="en-GB"/>
        </w:rPr>
        <w:t xml:space="preserve">many of which are </w:t>
      </w:r>
      <w:r w:rsidR="00086A78" w:rsidRPr="00DA249F">
        <w:rPr>
          <w:lang w:val="en-GB"/>
        </w:rPr>
        <w:t>alien</w:t>
      </w:r>
      <w:r w:rsidR="009D554F" w:rsidRPr="00DA249F">
        <w:rPr>
          <w:lang w:val="en-GB"/>
        </w:rPr>
        <w:t xml:space="preserve">, can </w:t>
      </w:r>
      <w:r w:rsidR="5AEF51B0" w:rsidRPr="00DA249F">
        <w:rPr>
          <w:lang w:val="en-GB"/>
        </w:rPr>
        <w:t>drive</w:t>
      </w:r>
      <w:r w:rsidR="19AE4B7B" w:rsidRPr="00DA249F">
        <w:rPr>
          <w:lang w:val="en-GB"/>
        </w:rPr>
        <w:t xml:space="preserve"> </w:t>
      </w:r>
      <w:r w:rsidRPr="00DA249F">
        <w:rPr>
          <w:lang w:val="en-GB"/>
        </w:rPr>
        <w:t xml:space="preserve">replacement </w:t>
      </w:r>
      <w:r w:rsidR="001C4819" w:rsidRPr="00DA249F">
        <w:rPr>
          <w:lang w:val="en-GB"/>
        </w:rPr>
        <w:t xml:space="preserve">of native </w:t>
      </w:r>
      <w:r w:rsidR="151B27F1" w:rsidRPr="00DA249F">
        <w:rPr>
          <w:lang w:val="en-GB"/>
        </w:rPr>
        <w:t>habitat</w:t>
      </w:r>
      <w:r w:rsidR="001C4819" w:rsidRPr="00DA249F">
        <w:rPr>
          <w:lang w:val="en-GB"/>
        </w:rPr>
        <w:t xml:space="preserve"> specialists </w:t>
      </w:r>
      <w:r w:rsidRPr="00DA249F">
        <w:rPr>
          <w:lang w:val="en-GB"/>
        </w:rPr>
        <w:fldChar w:fldCharType="begin"/>
      </w:r>
      <w:r w:rsidR="00331A79">
        <w:rPr>
          <w:lang w:val="en-GB"/>
        </w:rPr>
        <w:instrText xml:space="preserve"> ADDIN ZOTERO_ITEM CSL_CITATION {"citationID":"EKZ9HsyU","properties":{"formattedCitation":"(Laurance &amp; Peres, 2006; Lobo et al., 2011; B. A. Santos et al., 2008; Tabarelli et al., 2008)","plainCitation":"(Laurance &amp; Peres, 2006; Lobo et al., 2011; B. A. Santos et al., 2008; Tabarelli et al., 2008)","noteIndex":0},"citationItems":[{"id":15558,"uris":["http://zotero.org/groups/2352922/items/7SNM45YC"],"itemData":{"id":15558,"type":"book","event-place":"Chicago","ISBN":"978-0-226-47021-4","publisher":"University of Chicago Press,","publisher-place":"Chicago","title":"Emerging threats to tropical forests.","author":[{"family":"Laurance","given":"W.F."},{"family":"Peres","given":"C.A."}],"issued":{"date-parts":[["2006"]]}},"label":"page"},{"id":15554,"uris":["http://zotero.org/groups/2352922/items/PMLWA7JR"],"itemData":{"id":15554,"type":"article-journal","abstract":"Aim To examine whether the tree flora of the Atlantic forest of northeastern Brazil has experienced detectable taxonomic homogenization via the proliferation of native pioneer species in response to habitat loss and fragmentation. Location Biotic homogenization (BH) was examined across the Atlantic forest of northeast Brazil, i.e. a 56,000 km2 piece of tropical forest and a distinct centre of species endemism in South America. Methods We assessed a dataset consisting of 5122 tree records and compared the similarity of tree floras from 12 semi-natural sub-regions of the Atlantic forest between two time periods: pre-1980 (plant records between 1902 and 1980), and post-1980 (between 1981 and 2006). To understand the mechanisms leading to BH (1) tree floras were ordered (via non-metric multidimensional scaling - NMDS) by date (pre/post 1980) based on species occurrence and frequency, (2) NMDS axes were regressed against the proportion of those species that increased their occurrence post-1980 (i.e. the winner species), and (3) patterns of geographic distribution and frequency of particular life-history traits were examined across winner species and a control group. Results Tree floras across the Atlantic forest became c. 20-40% more similar to each other post-1980, but patterns of species similarity were also influenced by between-plot geographical distance. NMDS ordination clearly segregated pre- and post-1980 floras with a clear signal of floristic convergence. Furthermore, winner tree species were largely composed of short-lived and small-seeded pioneer species that exhibit wide geographic distributions. Main conclusions Our results suggest that tropical forest biotas are susceptible to taxonomic homogenization (i.e. increasing levels of similarity) in the context of severe human-disturbance via the proliferation of particular groups of native species comprised mainly by ecologically-plastic, generalist species. We are thus extending the concept of homogenization to address and highlight a pervasive biological shift in the structure of tropical forest communities currently taking place across hyper-fragmented landscapes.","container-title":"Diversity and Distributions","DOI":"10.1111/j.1472-4642.2010.00739.x","ISSN":"1366-9516","issue":"2","journalAbbreviation":"Divers. Distrib.","language":"English","note":"WOS:000287448100010","page":"287-296","source":"Web of Science","title":"Forest fragmentation drives Atlantic forest of northeastern Brazil to biotic homogenization","volume":"17","author":[{"family":"Lobo","given":"Diele"},{"family":"Leao","given":"Tarciso"},{"family":"Melo","given":"Felipe P. L."},{"family":"Santos","given":"Andre M. M."},{"family":"Tabarelli","given":"Marcelo"}],"issued":{"date-parts":[["2011",3]]}},"label":"page"},{"id":15556,"uris":["http://zotero.org/groups/2352922/items/UFCHS2ZF"],"itemData":{"id":15556,"type":"article-journal","abstract":"The long-term dynamics of plant communities remain poorly understood in isolated tropical forest fragments. Here we test the hypothesis that tropical tree assemblages in both small forest fragments and along forest edges of very large fragments are functionally much more similar to stands of secondary growth (5-65-yr old) than to core primary forest patches. The study was carried out in a severely fragmented landscape of the Brazilian Atlantic forest. Nine functional attributes of tree assemblages were quantified by sampling all trees (DBH &gt;= 10 cm) within 75 plots of 0.1 ha distributed in four forest habitats: small forest fragments (3.4-79.6 ha), forest edges, second-growth patches, and primary forest interior areas within a large forest fragment (3500 ha). These habitats were markedly different in terms of tree species richness, and in the proportion of pioneer, large-seeded, and emergent species. Age of second-growth stands explained between 31.4% and 88.2% of the variation in the functional attributes of tree assemblages in this habitat. As expected, most traits associated with forest edges and small forest fragments fell within the range shown by early (&lt;25-yr old) and intermediate-aged secondary forest stands (25-45-yr old). In contrast to habitat type, tree assemblage attributes were not affected by vegetation type, soil type and the spatial location of plots. An ordination analysis documented a striking floristic drift in edge-affected habitats. Our results suggest that conservation policy guidelines will fail to protect aging, hyper-fragmented landscapes from drastic impoverishment if the remaining forest patches are heavily dominated by edge habitat. (C) 2007 Elsevier Ltd. All rights reserved.","container-title":"Biological Conservation","DOI":"10.1016/j.biocon.2007.09.018","ISSN":"0006-3207","issue":"1","journalAbbreviation":"Biol. Conserv.","language":"English","note":"WOS:000252206900026","page":"249-260","source":"Web of Science","title":"Drastic erosion in functional attributes of tree assemblages in Atlantic forest fragments of northeastern Brazil","volume":"141","author":[{"family":"Santos","given":"Braulio A."},{"family":"Peres","given":"Carlos A."},{"family":"Oliveira","given":"Marcondes A."},{"family":"Grillo","given":"Alexandre"},{"family":"Alves-Costa","given":"Cecilia P."},{"family":"Tabarelli","given":"Marcelo"}],"issued":{"date-parts":[["2008",1]]}},"label":"page"},{"id":15555,"uris":["http://zotero.org/groups/2352922/items/RNVAT2QS"],"itemData":{"id":15555,"type":"article-journal","container-title":"Biotropica","DOI":"10.1111/j.1744-7429.2008.00454.x","ISSN":"0006-3606","issue":"6","journalAbbreviation":"Biotropica","language":"English","note":"WOS:000260132700001","page":"657-661","source":"Web of Science","title":"Edge-effects Drive Tropical Forest Fragments Towards an Early-Successional System","URL":"https://onlinelibrary.wiley.com/doi/10.1111/j.1744-7429.2008.00454.x","volume":"40","author":[{"family":"Tabarelli","given":"Marcelo"},{"family":"Lopes","given":"Ariadna V."},{"family":"Peres","given":"Carlos A."}],"issued":{"date-parts":[["2008",11]]}},"label":"page"}],"schema":"https://github.com/citation-style-language/schema/raw/master/csl-citation.json"} </w:instrText>
      </w:r>
      <w:r w:rsidRPr="00DA249F">
        <w:rPr>
          <w:lang w:val="en-GB"/>
        </w:rPr>
        <w:fldChar w:fldCharType="separate"/>
      </w:r>
      <w:r w:rsidR="00144D96" w:rsidRPr="00144D96">
        <w:t>(Laurance &amp; Peres, 2006; Lobo et al., 2011; B. A. Santos et al., 2008; Tabarelli et al., 2008)</w:t>
      </w:r>
      <w:r w:rsidRPr="00DA249F">
        <w:rPr>
          <w:lang w:val="en-GB"/>
        </w:rPr>
        <w:fldChar w:fldCharType="end"/>
      </w:r>
      <w:r w:rsidR="19AE4B7B" w:rsidRPr="00DA249F">
        <w:rPr>
          <w:lang w:val="en-GB"/>
        </w:rPr>
        <w:t xml:space="preserve">. </w:t>
      </w:r>
      <w:r w:rsidR="006B5ED9" w:rsidRPr="00DA249F">
        <w:rPr>
          <w:lang w:val="en-GB"/>
        </w:rPr>
        <w:t>The increased edge-to-interior ratio of fragmented landscapes increases the prevalence of invasive</w:t>
      </w:r>
      <w:r w:rsidR="002A0EE8" w:rsidRPr="00DA249F">
        <w:rPr>
          <w:lang w:val="en-GB"/>
        </w:rPr>
        <w:t xml:space="preserve"> alien</w:t>
      </w:r>
      <w:r w:rsidR="006B5ED9" w:rsidRPr="00DA249F">
        <w:rPr>
          <w:lang w:val="en-GB"/>
        </w:rPr>
        <w:t xml:space="preserve"> species</w:t>
      </w:r>
      <w:r w:rsidR="007C4055" w:rsidRPr="00DA249F">
        <w:rPr>
          <w:lang w:val="en-GB"/>
        </w:rPr>
        <w:t xml:space="preserve"> in fragments</w:t>
      </w:r>
      <w:r w:rsidR="0050516C" w:rsidRPr="00DA249F">
        <w:rPr>
          <w:lang w:val="en-GB"/>
        </w:rPr>
        <w:t xml:space="preserve">, as shown for </w:t>
      </w:r>
      <w:r w:rsidR="006B5ED9" w:rsidRPr="00DA249F">
        <w:rPr>
          <w:lang w:val="en-GB"/>
        </w:rPr>
        <w:t xml:space="preserve">plant and lepidopteran diversity in South Texas </w:t>
      </w:r>
      <w:r w:rsidR="003C1976" w:rsidRPr="00DA249F">
        <w:rPr>
          <w:lang w:val="en-GB"/>
        </w:rPr>
        <w:fldChar w:fldCharType="begin"/>
      </w:r>
      <w:r w:rsidR="00331A79">
        <w:rPr>
          <w:lang w:val="en-GB"/>
        </w:rPr>
        <w:instrText xml:space="preserve"> ADDIN ZOTERO_ITEM CSL_CITATION {"citationID":"JXTzN6Wv","properties":{"formattedCitation":"(Stilley &amp; Gabler, 2021)","plainCitation":"(Stilley &amp; Gabler, 2021)","noteIndex":0},"citationItems":[{"id":9940,"uris":["http://zotero.org/groups/2352922/items/6HCSHK36"],"itemData":{"id":9940,"type":"article-journal","abstract":"Habitat loss, fragmentation, and invasive species are major threats to biodiversity. In the Lower Rio Grande Valley (LRGV) of southern Texas, a conservation hotspot, few studies have examined how land use change and biotic disturbance influence biodiversity, particularly among Lepidoptera. We surveyed 24 habitat fragments on private lands in the LRGV and examined how patch size, edge to interior ratio (EIR), prevalence of invasive, exotic, and pest (IEP) plant species, and other environmental factors influenced plant and Lepidoptera communities within four habitat classes. Biotic disturbance was widespread and intense. IEP plants represented three of the four most common species in all but one habitat class; yet, classes largely had distinctive plant and Lepidoptera communities. Larger habitat patches had lower IEP prevalence but also lower plant richness and lower Lepidoptera richness and abundance. Conversely, patches with higher EIRs had greater IEP prevalence, plant richness, and Lepidoptera richness and abundance. IEP prevalence was negatively related to plant diversity and positively related to woody dominance, blooming plant abundance, and, surprisingly, both plant cover and richness. However, plant richness, abundance, and diversity were higher where a greater proportion of the plants were native. Lepidoptera diversity increased with plant cover, and Lepidoptera richness and abundance increased with plant richness. More individual Lepidoptera species were influenced by habitat attributes than by availability of resources such as host plants or nectar sources. Our results illustrate extensive landscape alteration and biotic disturbance and suggest that most regional habitats are at early successional stages and populated by a novel species pool heavy in IEP species; these factors must be considered together to develop effective and realistic management plans for the LRGV.","container-title":"Insects","DOI":"10.3390/insects12090777","ISSN":"2075-4450","issue":"9","journalAbbreviation":"Insects","language":"en","page":"777","source":"DOI.org (Crossref)","title":"Effects of Patch Size, Fragmentation, and Invasive Species on Plant and Lepidoptera Communities in Southern Texas","URL":"https://www.mdpi.com/2075-4450/12/9/777","volume":"12","author":[{"family":"Stilley","given":"James A."},{"family":"Gabler","given":"Christopher A."}],"accessed":{"date-parts":[["2021",11,29]]},"issued":{"date-parts":[["2021",8,29]]}},"label":"page"}],"schema":"https://github.com/citation-style-language/schema/raw/master/csl-citation.json"} </w:instrText>
      </w:r>
      <w:r w:rsidR="003C1976" w:rsidRPr="00DA249F">
        <w:rPr>
          <w:lang w:val="en-GB"/>
        </w:rPr>
        <w:fldChar w:fldCharType="separate"/>
      </w:r>
      <w:r w:rsidR="00144D96" w:rsidRPr="00144D96">
        <w:t>(Stilley &amp; Gabler, 2021)</w:t>
      </w:r>
      <w:r w:rsidR="003C1976" w:rsidRPr="00DA249F">
        <w:rPr>
          <w:lang w:val="en-GB"/>
        </w:rPr>
        <w:fldChar w:fldCharType="end"/>
      </w:r>
      <w:r w:rsidR="006B5ED9" w:rsidRPr="00DA249F">
        <w:rPr>
          <w:lang w:val="en-GB"/>
        </w:rPr>
        <w:t xml:space="preserve">, woody plant diversity in New England </w:t>
      </w:r>
      <w:r w:rsidR="003C1976" w:rsidRPr="00DA249F">
        <w:rPr>
          <w:lang w:val="en-GB"/>
        </w:rPr>
        <w:fldChar w:fldCharType="begin"/>
      </w:r>
      <w:r w:rsidR="00230216">
        <w:rPr>
          <w:lang w:val="en-GB"/>
        </w:rPr>
        <w:instrText xml:space="preserve"> ADDIN ZOTERO_ITEM CSL_CITATION {"citationID":"htEDXoUR","properties":{"formattedCitation":"(J. M. Allen et al., 2013)","plainCitation":"(J. M. Allen et al., 2013)","noteIndex":0},"citationItems":[{"id":9947,"uris":["http://zotero.org/groups/2352922/items/632ZC95V"],"itemData":{"id":9947,"type":"article-journal","container-title":"Landscape Ecology","DOI":"10.1007/s10980-013-9916-7","ISSN":"0921-2973, 1572-9761","issue":"9","journalAbbreviation":"Landscape Ecol","language":"en","page":"1671-1686","source":"DOI.org (Crossref)","title":"Socioeconomics drive woody invasive plant richness in New England, USA through forest fragmentation","URL":"http://link.springer.com/10.1007/s10980-013-9916-7","volume":"28","author":[{"family":"Allen","given":"Jenica M."},{"family":"Leininger","given":"Thomas J."},{"family":"Hurd","given":"James D."},{"family":"Civco","given":"Daniel L."},{"family":"Gelfand","given":"Alan E."},{"family":"Silander","given":"John A."}],"accessed":{"date-parts":[["2021",11,29]]},"issued":{"date-parts":[["2013",11]]}},"label":"page"}],"schema":"https://github.com/citation-style-language/schema/raw/master/csl-citation.json"} </w:instrText>
      </w:r>
      <w:r w:rsidR="003C1976" w:rsidRPr="00DA249F">
        <w:rPr>
          <w:lang w:val="en-GB"/>
        </w:rPr>
        <w:fldChar w:fldCharType="separate"/>
      </w:r>
      <w:r w:rsidR="00230216" w:rsidRPr="00230216">
        <w:t>(J. M. Allen et al., 2013)</w:t>
      </w:r>
      <w:r w:rsidR="003C1976" w:rsidRPr="00DA249F">
        <w:rPr>
          <w:lang w:val="en-GB"/>
        </w:rPr>
        <w:fldChar w:fldCharType="end"/>
      </w:r>
      <w:r w:rsidR="006B5ED9" w:rsidRPr="00DA249F">
        <w:rPr>
          <w:lang w:val="en-GB"/>
        </w:rPr>
        <w:t xml:space="preserve">, </w:t>
      </w:r>
      <w:r w:rsidR="006B5ED9" w:rsidRPr="00DA249F">
        <w:rPr>
          <w:i/>
          <w:iCs/>
          <w:lang w:val="en-GB"/>
        </w:rPr>
        <w:t>Hovenia dulcis</w:t>
      </w:r>
      <w:r w:rsidR="006B5ED9" w:rsidRPr="00DA249F">
        <w:rPr>
          <w:lang w:val="en-GB"/>
        </w:rPr>
        <w:t xml:space="preserve"> (</w:t>
      </w:r>
      <w:r w:rsidR="00F816CA" w:rsidRPr="00DA249F">
        <w:rPr>
          <w:rFonts w:eastAsia="Times New Roman"/>
          <w:color w:val="000000"/>
          <w:szCs w:val="24"/>
          <w:lang w:val="en-GB" w:eastAsia="zh-CN"/>
        </w:rPr>
        <w:t>Japanese raisin tree</w:t>
      </w:r>
      <w:r w:rsidR="006B5ED9" w:rsidRPr="00DA249F">
        <w:rPr>
          <w:lang w:val="en-GB"/>
        </w:rPr>
        <w:t xml:space="preserve">) in </w:t>
      </w:r>
      <w:r w:rsidR="00A2624F" w:rsidRPr="00DA249F">
        <w:rPr>
          <w:lang w:val="en-GB"/>
        </w:rPr>
        <w:t>Brazilian</w:t>
      </w:r>
      <w:r w:rsidR="006B5ED9" w:rsidRPr="00DA249F">
        <w:rPr>
          <w:lang w:val="en-GB"/>
        </w:rPr>
        <w:t xml:space="preserve"> Atlantic forest patches</w:t>
      </w:r>
      <w:r w:rsidR="003C1976" w:rsidRPr="00DA249F">
        <w:rPr>
          <w:lang w:val="en-GB"/>
        </w:rPr>
        <w:t xml:space="preserve"> </w:t>
      </w:r>
      <w:r w:rsidR="003C1976" w:rsidRPr="00DA249F">
        <w:rPr>
          <w:lang w:val="en-GB"/>
        </w:rPr>
        <w:fldChar w:fldCharType="begin"/>
      </w:r>
      <w:r w:rsidR="00331A79">
        <w:rPr>
          <w:lang w:val="en-GB"/>
        </w:rPr>
        <w:instrText xml:space="preserve"> ADDIN ZOTERO_ITEM CSL_CITATION {"citationID":"LjJrwqF2","properties":{"formattedCitation":"(Padilha et al., 2015)","plainCitation":"(Padilha et al., 2015)","noteIndex":0},"citationItems":[{"id":9941,"uris":["http://zotero.org/groups/2352922/items/KI2W5LBN"],"itemData":{"id":9941,"type":"article-journal","container-title":"Biodiversity and Conservation","DOI":"10.1007/s10531-015-0930-8","ISSN":"0960-3115, 1572-9710","issue":"9","journalAbbreviation":"Biodivers Conserv","language":"en","page":"2293-2304","source":"DOI.org (Crossref)","title":"Forest fragmentation does not matter to invasions by &lt;i&gt;Hovenia dulcis&lt;/i&gt;","URL":"http://link.springer.com/10.1007/s10531-015-0930-8","volume":"24","author":[{"family":"Padilha","given":"Danira Letícia"},{"family":"Loregian","given":"Alexandre Copatti"},{"family":"Budke","given":"Jean Carlos"}],"accessed":{"date-parts":[["2021",11,29]]},"issued":{"date-parts":[["2015",9]]}},"label":"page"}],"schema":"https://github.com/citation-style-language/schema/raw/master/csl-citation.json"} </w:instrText>
      </w:r>
      <w:r w:rsidR="003C1976" w:rsidRPr="00DA249F">
        <w:rPr>
          <w:lang w:val="en-GB"/>
        </w:rPr>
        <w:fldChar w:fldCharType="separate"/>
      </w:r>
      <w:r w:rsidR="00144D96" w:rsidRPr="00144D96">
        <w:t>(Padilha et al., 2015)</w:t>
      </w:r>
      <w:r w:rsidR="003C1976" w:rsidRPr="00DA249F">
        <w:rPr>
          <w:lang w:val="en-GB"/>
        </w:rPr>
        <w:fldChar w:fldCharType="end"/>
      </w:r>
      <w:r w:rsidR="00774819">
        <w:rPr>
          <w:lang w:val="en-GB"/>
        </w:rPr>
        <w:t xml:space="preserve"> and</w:t>
      </w:r>
      <w:r w:rsidR="006B5ED9" w:rsidRPr="00DA249F">
        <w:rPr>
          <w:lang w:val="en-GB"/>
        </w:rPr>
        <w:t xml:space="preserve"> </w:t>
      </w:r>
      <w:r w:rsidR="00637585" w:rsidRPr="00DA249F">
        <w:rPr>
          <w:i/>
          <w:iCs/>
          <w:lang w:val="en-GB"/>
        </w:rPr>
        <w:t>Sporobolus alterniflorus</w:t>
      </w:r>
      <w:r w:rsidR="006B5ED9" w:rsidRPr="00DA249F">
        <w:rPr>
          <w:lang w:val="en-GB"/>
        </w:rPr>
        <w:t xml:space="preserve"> (s</w:t>
      </w:r>
      <w:r w:rsidR="00C4455B" w:rsidRPr="00DA249F">
        <w:rPr>
          <w:lang w:val="en-GB"/>
        </w:rPr>
        <w:t>mooth</w:t>
      </w:r>
      <w:r w:rsidR="006B5ED9" w:rsidRPr="00DA249F">
        <w:rPr>
          <w:lang w:val="en-GB"/>
        </w:rPr>
        <w:t xml:space="preserve"> cordgrass) in mangroves along the coast of China </w:t>
      </w:r>
      <w:r w:rsidR="003C1976" w:rsidRPr="00DA249F">
        <w:rPr>
          <w:lang w:val="en-GB"/>
        </w:rPr>
        <w:fldChar w:fldCharType="begin"/>
      </w:r>
      <w:r w:rsidR="00331A79">
        <w:rPr>
          <w:lang w:val="en-GB"/>
        </w:rPr>
        <w:instrText xml:space="preserve"> ADDIN ZOTERO_ITEM CSL_CITATION {"citationID":"9Pj3vck6","properties":{"formattedCitation":"(Z. Zhang et al., 2021)","plainCitation":"(Z. Zhang et al., 2021)","noteIndex":0},"citationItems":[{"id":32015,"uris":["http://zotero.org/groups/2352922/items/F9ZR3HXR"],"itemData":{"id":32015,"type":"article-journal","container-title":"Forest Ecology and Management","DOI":"10.1016/j.foreco.2021.119611","ISSN":"03781127","journalAbbreviation":"Forest Ecology and Management","language":"en","page":"119611","source":"DOI.org (Crossref)","title":"Spatially discontinuous relationships between salt marsh invasion and mangrove forest fragmentation","URL":"https://linkinghub.elsevier.com/retrieve/pii/S0378112721007015","volume":"499","author":[{"family":"Zhang","given":"Zhen"},{"family":"Li","given":"Jing"},{"family":"Li","given":"Yi"},{"family":"Liu","given":"Wenwen"},{"family":"Chen","given":"Yuxin"},{"family":"Zhang","given":"Yihui"},{"family":"Li","given":"Yangfan"}],"accessed":{"date-parts":[["2021",11,29]]},"issued":{"date-parts":[["2021",11]]}},"label":"page"}],"schema":"https://github.com/citation-style-language/schema/raw/master/csl-citation.json"} </w:instrText>
      </w:r>
      <w:r w:rsidR="003C1976" w:rsidRPr="00DA249F">
        <w:rPr>
          <w:lang w:val="en-GB"/>
        </w:rPr>
        <w:fldChar w:fldCharType="separate"/>
      </w:r>
      <w:r w:rsidR="00144D96" w:rsidRPr="00144D96">
        <w:t>(Z. Zhang et al., 2021)</w:t>
      </w:r>
      <w:r w:rsidR="003C1976" w:rsidRPr="00DA249F">
        <w:rPr>
          <w:lang w:val="en-GB"/>
        </w:rPr>
        <w:fldChar w:fldCharType="end"/>
      </w:r>
      <w:r w:rsidR="006B5ED9" w:rsidRPr="00DA249F">
        <w:rPr>
          <w:lang w:val="en-GB"/>
        </w:rPr>
        <w:t xml:space="preserve">. Recent </w:t>
      </w:r>
      <w:r w:rsidR="0050516C" w:rsidRPr="00DA249F">
        <w:rPr>
          <w:lang w:val="en-GB"/>
        </w:rPr>
        <w:t xml:space="preserve">studies </w:t>
      </w:r>
      <w:r w:rsidR="007C4055" w:rsidRPr="00DA249F">
        <w:rPr>
          <w:lang w:val="en-GB"/>
        </w:rPr>
        <w:t xml:space="preserve">also </w:t>
      </w:r>
      <w:r w:rsidR="0050516C" w:rsidRPr="00DA249F">
        <w:rPr>
          <w:lang w:val="en-GB"/>
        </w:rPr>
        <w:t xml:space="preserve">document increased </w:t>
      </w:r>
      <w:r w:rsidR="006B5ED9" w:rsidRPr="00DA249F">
        <w:rPr>
          <w:lang w:val="en-GB"/>
        </w:rPr>
        <w:t xml:space="preserve">spread </w:t>
      </w:r>
      <w:r w:rsidR="007C4055" w:rsidRPr="00DA249F">
        <w:rPr>
          <w:lang w:val="en-GB"/>
        </w:rPr>
        <w:t xml:space="preserve">of invasive alien species </w:t>
      </w:r>
      <w:r w:rsidR="0050516C" w:rsidRPr="00DA249F">
        <w:rPr>
          <w:lang w:val="en-GB"/>
        </w:rPr>
        <w:t>in fragmented landscapes</w:t>
      </w:r>
      <w:r w:rsidR="00CF4DA9" w:rsidRPr="00CF4DA9">
        <w:rPr>
          <w:lang w:val="en-GB"/>
        </w:rPr>
        <w:t xml:space="preserve"> </w:t>
      </w:r>
      <w:r w:rsidR="00CF4DA9" w:rsidRPr="00DA249F">
        <w:rPr>
          <w:lang w:val="en-GB"/>
        </w:rPr>
        <w:t>over time</w:t>
      </w:r>
      <w:r w:rsidR="007C4055" w:rsidRPr="00DA249F">
        <w:rPr>
          <w:lang w:val="en-GB"/>
        </w:rPr>
        <w:t>, such as</w:t>
      </w:r>
      <w:r w:rsidR="000D060F" w:rsidRPr="00DA249F">
        <w:rPr>
          <w:lang w:val="en-GB"/>
        </w:rPr>
        <w:t xml:space="preserve"> the study from</w:t>
      </w:r>
      <w:r w:rsidR="006B5ED9" w:rsidRPr="00DA249F">
        <w:rPr>
          <w:lang w:val="en-GB"/>
        </w:rPr>
        <w:t xml:space="preserve"> Achury et al. </w:t>
      </w:r>
      <w:r w:rsidR="00AF095E" w:rsidRPr="00DA249F">
        <w:rPr>
          <w:lang w:val="en-GB"/>
        </w:rPr>
        <w:fldChar w:fldCharType="begin"/>
      </w:r>
      <w:r w:rsidR="00331A79">
        <w:rPr>
          <w:lang w:val="en-GB"/>
        </w:rPr>
        <w:instrText xml:space="preserve"> ADDIN ZOTERO_ITEM CSL_CITATION {"citationID":"4Cv2M6GK","properties":{"formattedCitation":"(2021)","plainCitation":"(2021)","noteIndex":0},"citationItems":[{"id":9949,"uris":["http://zotero.org/groups/2352922/items/PBNT4B5T"],"itemData":{"id":9949,"type":"article-journal","container-title":"Ecology","DOI":"10.1002/ecy.3257","ISSN":"0012-9658, 1939-9170","issue":"3","journalAbbreviation":"Ecology","language":"en","source":"DOI.org (Crossref)","title":"Pervasive and persistent effects of ant invasion and fragmentation on native ant assemblages","URL":"https://onlinelibrary.wiley.com/doi/10.1002/ecy.3257","volume":"102","author":[{"family":"Achury","given":"Rafael"},{"family":"Holway","given":"David A."},{"family":"Suarez","given":"Andrew V."}],"accessed":{"date-parts":[["2021",11,29]]},"issued":{"date-parts":[["2021",3]]}},"label":"page","suppress-author":true}],"schema":"https://github.com/citation-style-language/schema/raw/master/csl-citation.json"} </w:instrText>
      </w:r>
      <w:r w:rsidR="00AF095E" w:rsidRPr="00DA249F">
        <w:rPr>
          <w:lang w:val="en-GB"/>
        </w:rPr>
        <w:fldChar w:fldCharType="separate"/>
      </w:r>
      <w:r w:rsidR="00144D96" w:rsidRPr="00144D96">
        <w:t>(2021)</w:t>
      </w:r>
      <w:r w:rsidR="00AF095E" w:rsidRPr="00DA249F">
        <w:rPr>
          <w:lang w:val="en-GB"/>
        </w:rPr>
        <w:fldChar w:fldCharType="end"/>
      </w:r>
      <w:r w:rsidR="006B5ED9" w:rsidRPr="00DA249F">
        <w:rPr>
          <w:lang w:val="en-GB"/>
        </w:rPr>
        <w:t xml:space="preserve"> of </w:t>
      </w:r>
      <w:r w:rsidR="000D060F" w:rsidRPr="00DA249F">
        <w:rPr>
          <w:i/>
          <w:iCs/>
          <w:lang w:val="en-GB"/>
        </w:rPr>
        <w:t>Linepithema humile</w:t>
      </w:r>
      <w:r w:rsidR="000D060F" w:rsidRPr="00DA249F">
        <w:rPr>
          <w:lang w:val="en-GB"/>
        </w:rPr>
        <w:t xml:space="preserve"> (</w:t>
      </w:r>
      <w:r w:rsidR="006B5ED9" w:rsidRPr="00DA249F">
        <w:rPr>
          <w:lang w:val="en-GB"/>
        </w:rPr>
        <w:t>Argentine ant</w:t>
      </w:r>
      <w:r w:rsidR="000D060F" w:rsidRPr="00DA249F">
        <w:rPr>
          <w:lang w:val="en-GB"/>
        </w:rPr>
        <w:t>)</w:t>
      </w:r>
      <w:r w:rsidR="006B5ED9" w:rsidRPr="00DA249F">
        <w:rPr>
          <w:lang w:val="en-GB"/>
        </w:rPr>
        <w:t xml:space="preserve"> invading coastal southern California.</w:t>
      </w:r>
      <w:r w:rsidR="00066BF9" w:rsidRPr="00DA249F">
        <w:rPr>
          <w:lang w:val="en-GB"/>
        </w:rPr>
        <w:t xml:space="preserve"> </w:t>
      </w:r>
      <w:r w:rsidR="00CF4DA9">
        <w:rPr>
          <w:lang w:val="en-GB"/>
        </w:rPr>
        <w:t>Similarly</w:t>
      </w:r>
      <w:r w:rsidR="00321AF1" w:rsidRPr="00DA249F">
        <w:rPr>
          <w:lang w:val="en-GB"/>
        </w:rPr>
        <w:t xml:space="preserve">, </w:t>
      </w:r>
      <w:r w:rsidR="00321AF1" w:rsidRPr="00DA249F">
        <w:rPr>
          <w:i/>
          <w:iCs/>
          <w:lang w:val="en-GB"/>
        </w:rPr>
        <w:t>Ulex europaeus</w:t>
      </w:r>
      <w:r w:rsidR="00321AF1" w:rsidRPr="00DA249F">
        <w:rPr>
          <w:lang w:val="en-GB"/>
        </w:rPr>
        <w:t xml:space="preserve"> (gorse) spread widely in fragmented landscapes of south-central Chile </w:t>
      </w:r>
      <w:r w:rsidR="00CF4DA9" w:rsidRPr="00DA249F">
        <w:rPr>
          <w:lang w:val="en-GB"/>
        </w:rPr>
        <w:t>wh</w:t>
      </w:r>
      <w:r w:rsidR="00CF4DA9">
        <w:rPr>
          <w:lang w:val="en-GB"/>
        </w:rPr>
        <w:t>ile</w:t>
      </w:r>
      <w:r w:rsidR="00CF4DA9" w:rsidRPr="00DA249F">
        <w:rPr>
          <w:lang w:val="en-GB"/>
        </w:rPr>
        <w:t xml:space="preserve"> </w:t>
      </w:r>
      <w:r w:rsidR="00321AF1" w:rsidRPr="00DA249F">
        <w:rPr>
          <w:lang w:val="en-GB"/>
        </w:rPr>
        <w:t xml:space="preserve">large intact forest areas </w:t>
      </w:r>
      <w:r w:rsidR="00A2624F" w:rsidRPr="00DA249F">
        <w:rPr>
          <w:lang w:val="en-GB"/>
        </w:rPr>
        <w:t>experienced</w:t>
      </w:r>
      <w:r w:rsidR="00321AF1" w:rsidRPr="00DA249F">
        <w:rPr>
          <w:lang w:val="en-GB"/>
        </w:rPr>
        <w:t xml:space="preserve"> lower rates of invasion over th</w:t>
      </w:r>
      <w:r w:rsidR="00CF4DA9">
        <w:rPr>
          <w:lang w:val="en-GB"/>
        </w:rPr>
        <w:t>e same</w:t>
      </w:r>
      <w:r w:rsidR="00321AF1" w:rsidRPr="00DA249F">
        <w:rPr>
          <w:lang w:val="en-GB"/>
        </w:rPr>
        <w:t xml:space="preserve"> time period</w:t>
      </w:r>
      <w:r w:rsidR="003C1976" w:rsidRPr="00DA249F">
        <w:rPr>
          <w:lang w:val="en-GB"/>
        </w:rPr>
        <w:t xml:space="preserve"> </w:t>
      </w:r>
      <w:r w:rsidR="003C1976" w:rsidRPr="00DA249F">
        <w:rPr>
          <w:lang w:val="en-GB"/>
        </w:rPr>
        <w:fldChar w:fldCharType="begin"/>
      </w:r>
      <w:r w:rsidR="00331A79">
        <w:rPr>
          <w:lang w:val="en-GB"/>
        </w:rPr>
        <w:instrText xml:space="preserve"> ADDIN ZOTERO_ITEM CSL_CITATION {"citationID":"PQPOMYvr","properties":{"formattedCitation":"(Altamirano et al., 2016)","plainCitation":"(Altamirano et al., 2016)","noteIndex":0},"citationItems":[{"id":9946,"uris":["http://zotero.org/groups/2352922/items/KKAS9TA6"],"itemData":{"id":9946,"type":"article-journal","container-title":"Environmental Monitoring and Assessment","DOI":"10.1007/s10661-016-5498-6","ISSN":"0167-6369, 1573-2959","issue":"8","journalAbbreviation":"Environ Monit Assess","language":"en","page":"495","source":"DOI.org (Crossref)","title":"The invasive species &lt;i&gt;Ulex europaeus&lt;/i&gt; (Fabaceae) shows high dynamism in a fragmented landscape of south-central Chile","URL":"http://link.springer.com/10.1007/s10661-016-5498-6","volume":"188","author":[{"family":"Altamirano","given":"Adison"},{"family":"Cely","given":"Jenny Paola"},{"family":"Etter","given":"Andrés"},{"family":"Miranda","given":"Alejandro"},{"family":"Fuentes-Ramirez","given":"Andres"},{"family":"Acevedo","given":"Patricio"},{"family":"Salas","given":"Christian"},{"family":"Vargas","given":"Rodrigo"}],"accessed":{"date-parts":[["2021",11,29]]},"issued":{"date-parts":[["2016",8]]}},"label":"page"}],"schema":"https://github.com/citation-style-language/schema/raw/master/csl-citation.json"} </w:instrText>
      </w:r>
      <w:r w:rsidR="003C1976" w:rsidRPr="00DA249F">
        <w:rPr>
          <w:lang w:val="en-GB"/>
        </w:rPr>
        <w:fldChar w:fldCharType="separate"/>
      </w:r>
      <w:r w:rsidR="00144D96" w:rsidRPr="00144D96">
        <w:t>(Altamirano et al., 2016)</w:t>
      </w:r>
      <w:r w:rsidR="003C1976" w:rsidRPr="00DA249F">
        <w:rPr>
          <w:lang w:val="en-GB"/>
        </w:rPr>
        <w:fldChar w:fldCharType="end"/>
      </w:r>
      <w:r w:rsidR="00321AF1" w:rsidRPr="00DA249F">
        <w:rPr>
          <w:lang w:val="en-GB"/>
        </w:rPr>
        <w:t xml:space="preserve">. </w:t>
      </w:r>
    </w:p>
    <w:p w14:paraId="4AB5797C" w14:textId="126F2042" w:rsidR="006810B7" w:rsidRPr="00DA249F" w:rsidRDefault="4EDFED6B" w:rsidP="0090109B">
      <w:pPr>
        <w:rPr>
          <w:lang w:val="en-GB"/>
        </w:rPr>
      </w:pPr>
      <w:r w:rsidRPr="00DA249F">
        <w:rPr>
          <w:lang w:val="en-GB"/>
        </w:rPr>
        <w:t xml:space="preserve">As fragmentation increases, </w:t>
      </w:r>
      <w:r w:rsidR="6199CD2D" w:rsidRPr="00DA249F">
        <w:rPr>
          <w:lang w:val="en-GB"/>
        </w:rPr>
        <w:t xml:space="preserve">the remaining </w:t>
      </w:r>
      <w:r w:rsidR="63D93F02">
        <w:rPr>
          <w:lang w:val="en-GB"/>
        </w:rPr>
        <w:t>fragment</w:t>
      </w:r>
      <w:r w:rsidR="63D93F02" w:rsidRPr="00DA249F">
        <w:rPr>
          <w:lang w:val="en-GB"/>
        </w:rPr>
        <w:t xml:space="preserve">s </w:t>
      </w:r>
      <w:r w:rsidR="6199CD2D" w:rsidRPr="00DA249F">
        <w:rPr>
          <w:lang w:val="en-GB"/>
        </w:rPr>
        <w:t>are more isolated from each other</w:t>
      </w:r>
      <w:r w:rsidR="7C2359FC" w:rsidRPr="00DA249F">
        <w:rPr>
          <w:lang w:val="en-GB"/>
        </w:rPr>
        <w:t xml:space="preserve">, which may both promote and </w:t>
      </w:r>
      <w:r w:rsidR="31539342" w:rsidRPr="00DA249F">
        <w:rPr>
          <w:lang w:val="en-GB"/>
        </w:rPr>
        <w:t>hinder</w:t>
      </w:r>
      <w:r w:rsidR="7C2359FC" w:rsidRPr="00DA249F">
        <w:rPr>
          <w:lang w:val="en-GB"/>
        </w:rPr>
        <w:t xml:space="preserve"> </w:t>
      </w:r>
      <w:r w:rsidR="6CE7A75F" w:rsidRPr="728F2DAF">
        <w:rPr>
          <w:lang w:val="en-GB"/>
        </w:rPr>
        <w:t>biological invasions</w:t>
      </w:r>
      <w:r w:rsidR="6199CD2D" w:rsidRPr="00DA249F">
        <w:rPr>
          <w:lang w:val="en-GB"/>
        </w:rPr>
        <w:t xml:space="preserve">. </w:t>
      </w:r>
      <w:r w:rsidR="31539342" w:rsidRPr="00DA249F">
        <w:rPr>
          <w:lang w:val="en-GB"/>
        </w:rPr>
        <w:t>Increased</w:t>
      </w:r>
      <w:r w:rsidR="5B5364D3" w:rsidRPr="00DA249F">
        <w:rPr>
          <w:lang w:val="en-GB"/>
        </w:rPr>
        <w:t xml:space="preserve"> patch isolation</w:t>
      </w:r>
      <w:r w:rsidR="10F5AFF9" w:rsidRPr="00DA249F">
        <w:rPr>
          <w:lang w:val="en-GB"/>
        </w:rPr>
        <w:t xml:space="preserve"> </w:t>
      </w:r>
      <w:r w:rsidR="5CA2FC13" w:rsidRPr="00DA249F">
        <w:rPr>
          <w:lang w:val="en-GB"/>
        </w:rPr>
        <w:t xml:space="preserve">may </w:t>
      </w:r>
      <w:r w:rsidR="1B78B061" w:rsidRPr="00DA249F">
        <w:rPr>
          <w:lang w:val="en-GB"/>
        </w:rPr>
        <w:t>promote</w:t>
      </w:r>
      <w:r w:rsidR="5CA2FC13" w:rsidRPr="00DA249F">
        <w:rPr>
          <w:lang w:val="en-GB"/>
        </w:rPr>
        <w:t xml:space="preserve"> </w:t>
      </w:r>
      <w:r w:rsidR="43A6A638" w:rsidRPr="00DA249F">
        <w:rPr>
          <w:lang w:val="en-GB"/>
        </w:rPr>
        <w:t>biological</w:t>
      </w:r>
      <w:r w:rsidR="5CA2FC13" w:rsidRPr="00DA249F">
        <w:rPr>
          <w:lang w:val="en-GB"/>
        </w:rPr>
        <w:t xml:space="preserve"> </w:t>
      </w:r>
      <w:r w:rsidR="1B78B061" w:rsidRPr="00DA249F">
        <w:rPr>
          <w:lang w:val="en-GB"/>
        </w:rPr>
        <w:t>invasions</w:t>
      </w:r>
      <w:r w:rsidR="5B5364D3" w:rsidRPr="00DA249F">
        <w:rPr>
          <w:lang w:val="en-GB"/>
        </w:rPr>
        <w:t xml:space="preserve"> </w:t>
      </w:r>
      <w:r w:rsidR="1B78B061" w:rsidRPr="00DA249F">
        <w:rPr>
          <w:lang w:val="en-GB"/>
        </w:rPr>
        <w:t>if</w:t>
      </w:r>
      <w:r w:rsidR="5B5364D3" w:rsidRPr="00DA249F">
        <w:rPr>
          <w:lang w:val="en-GB"/>
        </w:rPr>
        <w:t xml:space="preserve"> invasive</w:t>
      </w:r>
      <w:r w:rsidR="12BD40DF" w:rsidRPr="00DA249F">
        <w:rPr>
          <w:lang w:val="en-GB"/>
        </w:rPr>
        <w:t xml:space="preserve"> alien</w:t>
      </w:r>
      <w:r w:rsidR="5B5364D3" w:rsidRPr="00DA249F">
        <w:rPr>
          <w:lang w:val="en-GB"/>
        </w:rPr>
        <w:t xml:space="preserve"> species </w:t>
      </w:r>
      <w:r w:rsidR="1B78B061" w:rsidRPr="00DA249F">
        <w:rPr>
          <w:lang w:val="en-GB"/>
        </w:rPr>
        <w:t>are</w:t>
      </w:r>
      <w:r w:rsidR="5B5364D3" w:rsidRPr="00DA249F">
        <w:rPr>
          <w:lang w:val="en-GB"/>
        </w:rPr>
        <w:t xml:space="preserve"> more common in the habitats surrounding </w:t>
      </w:r>
      <w:r w:rsidR="6199CD2D" w:rsidRPr="00DA249F">
        <w:rPr>
          <w:lang w:val="en-GB"/>
        </w:rPr>
        <w:t xml:space="preserve">the </w:t>
      </w:r>
      <w:r w:rsidR="5B5364D3" w:rsidRPr="00DA249F">
        <w:rPr>
          <w:lang w:val="en-GB"/>
        </w:rPr>
        <w:t>patches</w:t>
      </w:r>
      <w:r w:rsidR="10F5AFF9" w:rsidRPr="00DA249F">
        <w:rPr>
          <w:lang w:val="en-GB"/>
        </w:rPr>
        <w:t xml:space="preserve">, as </w:t>
      </w:r>
      <w:r w:rsidR="6199CD2D" w:rsidRPr="00DA249F">
        <w:rPr>
          <w:lang w:val="en-GB"/>
        </w:rPr>
        <w:t>has been shown</w:t>
      </w:r>
      <w:r w:rsidR="10F5AFF9" w:rsidRPr="00DA249F">
        <w:rPr>
          <w:lang w:val="en-GB"/>
        </w:rPr>
        <w:t xml:space="preserve"> for </w:t>
      </w:r>
      <w:r w:rsidR="5B5364D3" w:rsidRPr="00DA249F">
        <w:rPr>
          <w:lang w:val="en-GB"/>
        </w:rPr>
        <w:t xml:space="preserve">alien pasture grasses which frequently occur in Australian forest fragments </w:t>
      </w:r>
      <w:r w:rsidR="72AB1232">
        <w:rPr>
          <w:lang w:val="en-GB"/>
        </w:rPr>
        <w:t>surrounded by</w:t>
      </w:r>
      <w:r w:rsidR="72AB1232" w:rsidRPr="00DA249F">
        <w:rPr>
          <w:lang w:val="en-GB"/>
        </w:rPr>
        <w:t xml:space="preserve"> </w:t>
      </w:r>
      <w:r w:rsidR="5B5364D3" w:rsidRPr="00DA249F">
        <w:rPr>
          <w:lang w:val="en-GB"/>
        </w:rPr>
        <w:t>landscapes with high pasture cover</w:t>
      </w:r>
      <w:r w:rsidR="10F5AFF9" w:rsidRPr="00DA249F">
        <w:rPr>
          <w:lang w:val="en-GB"/>
        </w:rPr>
        <w:t xml:space="preserve"> </w:t>
      </w:r>
      <w:r w:rsidR="00D44592" w:rsidRPr="00DA249F">
        <w:rPr>
          <w:lang w:val="en-GB"/>
        </w:rPr>
        <w:fldChar w:fldCharType="begin"/>
      </w:r>
      <w:r w:rsidR="00331A79">
        <w:rPr>
          <w:lang w:val="en-GB"/>
        </w:rPr>
        <w:instrText xml:space="preserve"> ADDIN ZOTERO_ITEM CSL_CITATION {"citationID":"ZDrExtdZ","properties":{"formattedCitation":"(S. Butler et al., 2014)","plainCitation":"(S. Butler et al., 2014)","noteIndex":0},"citationItems":[{"id":31918,"uris":["http://zotero.org/groups/2352922/items/DHVVXZZI"],"itemData":{"id":31918,"type":"article-journal","container-title":"Journal of Applied Ecology","DOI":"10.1111/1365-2664.12160","ISSN":"00218901","issue":"1","journalAbbreviation":"J Appl Ecol","language":"en","page":"114-123","source":"DOI.org (Crossref)","title":"Climate and exotic pasture area in landscape determines invasion of forest fragments by two invasive grasses","URL":"http://doi.wiley.com/10.1111/1365-2664.12160","volume":"51","author":[{"family":"Butler","given":"Sarah"},{"family":"McAlpine","given":"Clive"},{"family":"Fensham","given":"Rod"},{"family":"House","given":"Alan"}],"editor":[{"family":"Paynter","given":"Quentin"}],"accessed":{"date-parts":[["2020",6,22]]},"issued":{"date-parts":[["2014",2]]}},"label":"page"}],"schema":"https://github.com/citation-style-language/schema/raw/master/csl-citation.json"} </w:instrText>
      </w:r>
      <w:r w:rsidR="00D44592" w:rsidRPr="00DA249F">
        <w:rPr>
          <w:lang w:val="en-GB"/>
        </w:rPr>
        <w:fldChar w:fldCharType="separate"/>
      </w:r>
      <w:r w:rsidR="73B99EB6" w:rsidRPr="00144D96">
        <w:t>(S. Butler et al., 2014)</w:t>
      </w:r>
      <w:r w:rsidR="00D44592" w:rsidRPr="00DA249F">
        <w:rPr>
          <w:lang w:val="en-GB"/>
        </w:rPr>
        <w:fldChar w:fldCharType="end"/>
      </w:r>
      <w:r w:rsidR="5B5364D3" w:rsidRPr="00DA249F">
        <w:rPr>
          <w:lang w:val="en-GB"/>
        </w:rPr>
        <w:t>. A</w:t>
      </w:r>
      <w:r w:rsidR="10F5AFF9" w:rsidRPr="00DA249F">
        <w:rPr>
          <w:lang w:val="en-GB"/>
        </w:rPr>
        <w:t>nother</w:t>
      </w:r>
      <w:r w:rsidR="5B5364D3" w:rsidRPr="00DA249F">
        <w:rPr>
          <w:lang w:val="en-GB"/>
        </w:rPr>
        <w:t xml:space="preserve"> example is the </w:t>
      </w:r>
      <w:r w:rsidR="13041D24" w:rsidRPr="00DA249F">
        <w:rPr>
          <w:lang w:val="en-GB"/>
        </w:rPr>
        <w:t>prevalence of</w:t>
      </w:r>
      <w:r w:rsidR="2CA08C3D" w:rsidRPr="00DA249F">
        <w:rPr>
          <w:lang w:val="en-GB"/>
        </w:rPr>
        <w:t> </w:t>
      </w:r>
      <w:r w:rsidR="2CA08C3D" w:rsidRPr="728F2DAF">
        <w:rPr>
          <w:i/>
          <w:iCs/>
          <w:lang w:val="en-GB"/>
        </w:rPr>
        <w:t>Aulacaspis yasumatsui</w:t>
      </w:r>
      <w:r w:rsidR="50BB2EED" w:rsidRPr="00DA249F">
        <w:rPr>
          <w:rFonts w:ascii="Arial" w:hAnsi="Arial" w:cs="Arial"/>
          <w:color w:val="222222"/>
          <w:sz w:val="20"/>
          <w:szCs w:val="20"/>
          <w:shd w:val="clear" w:color="auto" w:fill="FFFFFF"/>
          <w:lang w:val="en-GB"/>
        </w:rPr>
        <w:t xml:space="preserve"> </w:t>
      </w:r>
      <w:r w:rsidR="50BB2EED" w:rsidRPr="5575EBFC">
        <w:rPr>
          <w:color w:val="222222"/>
          <w:shd w:val="clear" w:color="auto" w:fill="FFFFFF"/>
          <w:lang w:val="en-GB"/>
        </w:rPr>
        <w:t>(</w:t>
      </w:r>
      <w:r w:rsidR="1A935948" w:rsidRPr="00D527D3">
        <w:rPr>
          <w:lang w:val="en-GB"/>
        </w:rPr>
        <w:t>cycad aulacaspis scale</w:t>
      </w:r>
      <w:r w:rsidR="50BB2EED" w:rsidRPr="00D527D3">
        <w:rPr>
          <w:lang w:val="en-GB"/>
        </w:rPr>
        <w:t>)</w:t>
      </w:r>
      <w:r w:rsidR="2CA08C3D" w:rsidRPr="00DA249F">
        <w:rPr>
          <w:rFonts w:ascii="Arial" w:hAnsi="Arial" w:cs="Arial"/>
          <w:color w:val="222222"/>
          <w:sz w:val="20"/>
          <w:szCs w:val="20"/>
          <w:shd w:val="clear" w:color="auto" w:fill="FFFFFF"/>
          <w:lang w:val="en-GB"/>
        </w:rPr>
        <w:t xml:space="preserve"> </w:t>
      </w:r>
      <w:r w:rsidR="13041D24" w:rsidRPr="00DA249F">
        <w:rPr>
          <w:lang w:val="en-GB"/>
        </w:rPr>
        <w:t>on</w:t>
      </w:r>
      <w:r w:rsidR="5B5364D3" w:rsidRPr="00DA249F">
        <w:rPr>
          <w:lang w:val="en-GB"/>
        </w:rPr>
        <w:t xml:space="preserve"> cycads in Guam, where isolated fragments suffered greater damage from </w:t>
      </w:r>
      <w:r w:rsidR="2CA08C3D" w:rsidRPr="00DA249F">
        <w:rPr>
          <w:lang w:val="en-GB"/>
        </w:rPr>
        <w:t xml:space="preserve">these </w:t>
      </w:r>
      <w:r w:rsidR="13041D24" w:rsidRPr="00DA249F">
        <w:rPr>
          <w:lang w:val="en-GB"/>
        </w:rPr>
        <w:t xml:space="preserve">alien </w:t>
      </w:r>
      <w:r w:rsidR="5B5364D3" w:rsidRPr="00DA249F">
        <w:rPr>
          <w:lang w:val="en-GB"/>
        </w:rPr>
        <w:t xml:space="preserve">scale insects </w:t>
      </w:r>
      <w:r w:rsidR="72AB1232">
        <w:rPr>
          <w:lang w:val="en-GB"/>
        </w:rPr>
        <w:t>than did fragments with high</w:t>
      </w:r>
      <w:r w:rsidR="5BB05D52">
        <w:rPr>
          <w:lang w:val="en-GB"/>
        </w:rPr>
        <w:t>er</w:t>
      </w:r>
      <w:r w:rsidR="72AB1232">
        <w:rPr>
          <w:lang w:val="en-GB"/>
        </w:rPr>
        <w:t xml:space="preserve"> connectivity </w:t>
      </w:r>
      <w:r w:rsidR="00D44592" w:rsidRPr="00DA249F">
        <w:rPr>
          <w:lang w:val="en-GB"/>
        </w:rPr>
        <w:fldChar w:fldCharType="begin"/>
      </w:r>
      <w:r w:rsidR="00331A79">
        <w:rPr>
          <w:lang w:val="en-GB"/>
        </w:rPr>
        <w:instrText xml:space="preserve"> ADDIN ZOTERO_ITEM CSL_CITATION {"citationID":"YeiZy6Nv","properties":{"formattedCitation":"(Marler &amp; Krishnapillai, 2020)","plainCitation":"(Marler &amp; Krishnapillai, 2020)","noteIndex":0},"citationItems":[{"id":9942,"uris":["http://zotero.org/groups/2352922/items/FS37YVSF"],"itemData":{"id":9942,"type":"article-journal","abstract":"Island invasions may cause severe changes in biodiversity, but the factors that influence these changes are not well understood. We established 120 plots in Cycas micronesica habitats throughout Guam in 2005 following the invasion of the armored scale Aulacaspis yasumatsui, then observed plant mortality through 2020. We used transects in Yap as benchmarks, as the Yap C. micronesica population is not threatened. The initial Guam plots contained about 1600 seedlings, 1160 juveniles, and 1240 mature plants per ha. Seedling mortality was 100% by 2006, juvenile mortality was 100% by 2014, and the 2020 census revealed 96% mortality of the plant population. Localities in western Guam and isolated forest fragments exhibited the greatest mortality, with 100% extirpation from two fragmented western localities. The juvenile and mature trees in Yap were unchanged from 2010 to 2018, but the seedling count was heterogeneous among the years. Constrained recruitment from seedlings to juveniles explained these dynamics. Yap transects contained about 6120 seedlings, 3400 juveniles, and 1250 mature plants per ha. Biological control of the invasive insects remains the acute conservation action needed for the Guam population. Lessons learned may be useful in other regions where invasions of non-native pests threaten biodiversity.","container-title":"Diversity","DOI":"10.3390/d12050194","ISSN":"1424-2818","issue":"5","journalAbbreviation":"Diversity","language":"en","page":"194","source":"DOI.org (Crossref)","title":"Longitude, Forest Fragmentation, and Plant Size Influence &lt;i&gt;Cycas micronesica&lt;/i&gt; Mortality Following Island Insect Invasions","URL":"https://www.mdpi.com/1424-2818/12/5/194","volume":"12","author":[{"family":"Marler","given":"Thomas E."},{"family":"Krishnapillai","given":"Murukesan V."}],"accessed":{"date-parts":[["2021",11,29]]},"issued":{"date-parts":[["2020",5,14]]}},"label":"page"}],"schema":"https://github.com/citation-style-language/schema/raw/master/csl-citation.json"} </w:instrText>
      </w:r>
      <w:r w:rsidR="00D44592" w:rsidRPr="00DA249F">
        <w:rPr>
          <w:lang w:val="en-GB"/>
        </w:rPr>
        <w:fldChar w:fldCharType="separate"/>
      </w:r>
      <w:r w:rsidR="73B99EB6" w:rsidRPr="00144D96">
        <w:t>(Marler &amp; Krishnapillai, 2020)</w:t>
      </w:r>
      <w:r w:rsidR="00D44592" w:rsidRPr="00DA249F">
        <w:rPr>
          <w:lang w:val="en-GB"/>
        </w:rPr>
        <w:fldChar w:fldCharType="end"/>
      </w:r>
      <w:r w:rsidR="5B5364D3" w:rsidRPr="00DA249F">
        <w:rPr>
          <w:lang w:val="en-GB"/>
        </w:rPr>
        <w:t xml:space="preserve">. </w:t>
      </w:r>
      <w:r w:rsidR="41AD7D81" w:rsidRPr="00DA249F">
        <w:rPr>
          <w:lang w:val="en-GB"/>
        </w:rPr>
        <w:t xml:space="preserve">Connectivity of native habitats may also be promoting the spread of invasive alien species which are dependent upon native dispersal vector species that depend on this habitat (e.g., </w:t>
      </w:r>
      <w:r w:rsidR="006810B7" w:rsidRPr="00DA249F">
        <w:rPr>
          <w:lang w:val="en-GB"/>
        </w:rPr>
        <w:fldChar w:fldCharType="begin"/>
      </w:r>
      <w:r w:rsidR="00331A79">
        <w:rPr>
          <w:lang w:val="en-GB"/>
        </w:rPr>
        <w:instrText xml:space="preserve"> ADDIN ZOTERO_ITEM CSL_CITATION {"citationID":"aDyskAvd","properties":{"formattedCitation":"(Guiden et al., 2015)","plainCitation":"(Guiden et al., 2015)","dontUpdate":true,"noteIndex":0},"citationItems":[{"id":9944,"uris":["http://zotero.org/groups/2352922/items/PY4IFIYP"],"itemData":{"id":9944,"type":"article-journal","container-title":"Plant Ecology","DOI":"10.1007/s11258-015-0480-x","ISSN":"1385-0237, 1573-5052","issue":"7","journalAbbreviation":"Plant Ecol","language":"en","page":"939-950","source":"DOI.org (Crossref)","title":"Seed dispersal of an invasive shrub, Amur honeysuckle (&lt;i&gt;Lonicera maackii&lt;/i&gt;), by white-tailed deer in a fragmented agricultural-forest matrix","URL":"http://link.springer.com/10.1007/s11258-015-0480-x","volume":"216","author":[{"family":"Guiden","given":"Peter"},{"family":"Gorchov","given":"David L."},{"family":"Nielsen","given":"Clay"},{"family":"Schauber","given":"Eric"}],"accessed":{"date-parts":[["2021",11,29]]},"issued":{"date-parts":[["2015",7]]}},"label":"page"}],"schema":"https://github.com/citation-style-language/schema/raw/master/csl-citation.json"} </w:instrText>
      </w:r>
      <w:r w:rsidR="006810B7" w:rsidRPr="00DA249F">
        <w:rPr>
          <w:lang w:val="en-GB"/>
        </w:rPr>
        <w:fldChar w:fldCharType="separate"/>
      </w:r>
      <w:r w:rsidR="4CA2683B" w:rsidRPr="00DA249F">
        <w:rPr>
          <w:lang w:val="en-GB"/>
        </w:rPr>
        <w:t>Guiden et al., 2015)</w:t>
      </w:r>
      <w:r w:rsidR="006810B7" w:rsidRPr="00DA249F">
        <w:rPr>
          <w:lang w:val="en-GB"/>
        </w:rPr>
        <w:fldChar w:fldCharType="end"/>
      </w:r>
      <w:r w:rsidR="41AD7D81" w:rsidRPr="00DA249F">
        <w:rPr>
          <w:lang w:val="en-GB"/>
        </w:rPr>
        <w:t>.</w:t>
      </w:r>
    </w:p>
    <w:p w14:paraId="2F025C52" w14:textId="77777777" w:rsidR="00FA5B48" w:rsidRPr="00DA249F" w:rsidRDefault="008C7A59" w:rsidP="0090109B">
      <w:pPr>
        <w:rPr>
          <w:lang w:val="en-GB"/>
        </w:rPr>
      </w:pPr>
      <w:r w:rsidRPr="00DA249F">
        <w:rPr>
          <w:lang w:val="en-GB"/>
        </w:rPr>
        <w:t>Some cases exist in which the fragmented habitat is less favourable to invasive alien species</w:t>
      </w:r>
      <w:r w:rsidR="00405EAF" w:rsidRPr="00DA249F">
        <w:rPr>
          <w:lang w:val="en-GB"/>
        </w:rPr>
        <w:t xml:space="preserve">. </w:t>
      </w:r>
      <w:r w:rsidR="00E910A2" w:rsidRPr="00DA249F">
        <w:rPr>
          <w:lang w:val="en-GB"/>
        </w:rPr>
        <w:t>Insect pests and specialist pathogens of forest trees are less common in counties of the U</w:t>
      </w:r>
      <w:r w:rsidR="003C1976" w:rsidRPr="00DA249F">
        <w:rPr>
          <w:lang w:val="en-GB"/>
        </w:rPr>
        <w:t xml:space="preserve">nited </w:t>
      </w:r>
      <w:r w:rsidR="00E910A2" w:rsidRPr="00DA249F">
        <w:rPr>
          <w:lang w:val="en-GB"/>
        </w:rPr>
        <w:t>S</w:t>
      </w:r>
      <w:r w:rsidR="003C1976" w:rsidRPr="00DA249F">
        <w:rPr>
          <w:lang w:val="en-GB"/>
        </w:rPr>
        <w:t>tates</w:t>
      </w:r>
      <w:r w:rsidR="00E910A2" w:rsidRPr="00DA249F">
        <w:rPr>
          <w:lang w:val="en-GB"/>
        </w:rPr>
        <w:t xml:space="preserve"> which have more fragmented forests</w:t>
      </w:r>
      <w:r w:rsidR="003C1976" w:rsidRPr="00DA249F">
        <w:rPr>
          <w:lang w:val="en-GB"/>
        </w:rPr>
        <w:t xml:space="preserve"> </w:t>
      </w:r>
      <w:r w:rsidR="00D44592" w:rsidRPr="00DA249F">
        <w:rPr>
          <w:lang w:val="en-GB"/>
        </w:rPr>
        <w:fldChar w:fldCharType="begin"/>
      </w:r>
      <w:r w:rsidR="00331A79">
        <w:rPr>
          <w:lang w:val="en-GB"/>
        </w:rPr>
        <w:instrText xml:space="preserve"> ADDIN ZOTERO_ITEM CSL_CITATION {"citationID":"pih5JB7M","properties":{"formattedCitation":"(Guo, Riitters, et al., 2018)","plainCitation":"(Guo, Riitters, et al., 2018)","noteIndex":0},"citationItems":[{"id":9943,"uris":["http://zotero.org/groups/2352922/items/25F6IK2K"],"itemData":{"id":9943,"type":"article-journal","abstract":"The influences of human and physical factors on species invasions have been extensively examined by ecologists across many regions. However, how habitat fragmentation per se may affect forest insect and disease invasion has not been well studied, especially the related patterns over regional or subcontinental scales. Here, using national survey data on forest pest richness and fragmentation data across United States forest ecosystems, we examine how forest fragmentation and edge types (neighboring land cover) may affect pest richness at the county level. Our results show that habitat fragmentation and edge types both affected pest richness. In general, specialist insects and pathogens were more sensitive to fragmentation and edge types than generalists, while pathogens were much less sensitive to fragmentation and edge types than insect pests. Most importantly, the developed land edge type contributed the most to the richness of nonnative insects and diseases, whether measured by the combination of all pest species or by separate guilds or species groups (i.e., generalists vs. specialists, insects vs. pathogens). This observation may largely reflect anthropogenic effects, including propagule pressure associated with human activities. These results shed new insights into the patterns of forest pest invasions, and it may have significant implications for forest restoration and management.","container-title":"Forests","DOI":"10.3390/f9120744","ISSN":"1999-4907","issue":"12","journalAbbreviation":"Forests","language":"en","page":"744","source":"DOI.org (Crossref)","title":"A Subcontinental Analysis of Forest Fragmentation Effects on Insect and Disease Invasion","URL":"http://www.mdpi.com/1999-4907/9/12/744","volume":"9","author":[{"family":"Guo","given":"Qinfeng"},{"family":"Riitters","given":"Kurt"},{"family":"Potter","given":"Kevin"}],"accessed":{"date-parts":[["2021",11,29]]},"issued":{"date-parts":[["2018",11,29]]}},"label":"page"}],"schema":"https://github.com/citation-style-language/schema/raw/master/csl-citation.json"} </w:instrText>
      </w:r>
      <w:r w:rsidR="00D44592" w:rsidRPr="00DA249F">
        <w:rPr>
          <w:lang w:val="en-GB"/>
        </w:rPr>
        <w:fldChar w:fldCharType="separate"/>
      </w:r>
      <w:r w:rsidR="00144D96" w:rsidRPr="00144D96">
        <w:t>(Guo, Riitters, et al., 2018)</w:t>
      </w:r>
      <w:r w:rsidR="00D44592" w:rsidRPr="00DA249F">
        <w:rPr>
          <w:lang w:val="en-GB"/>
        </w:rPr>
        <w:fldChar w:fldCharType="end"/>
      </w:r>
      <w:r w:rsidR="00E910A2" w:rsidRPr="00DA249F">
        <w:rPr>
          <w:lang w:val="en-GB"/>
        </w:rPr>
        <w:t xml:space="preserve">. </w:t>
      </w:r>
      <w:r w:rsidR="00382722" w:rsidRPr="00DA249F">
        <w:rPr>
          <w:lang w:val="en-GB"/>
        </w:rPr>
        <w:t>In the case of animals, patches further apart than</w:t>
      </w:r>
      <w:r w:rsidR="001C16D9" w:rsidRPr="00DA249F">
        <w:rPr>
          <w:lang w:val="en-GB"/>
        </w:rPr>
        <w:t xml:space="preserve"> the organism </w:t>
      </w:r>
      <w:r w:rsidR="004F20BF" w:rsidRPr="00DA249F">
        <w:rPr>
          <w:lang w:val="en-GB"/>
        </w:rPr>
        <w:t>is able to</w:t>
      </w:r>
      <w:r w:rsidR="00382722" w:rsidRPr="00DA249F">
        <w:rPr>
          <w:lang w:val="en-GB"/>
        </w:rPr>
        <w:t xml:space="preserve"> </w:t>
      </w:r>
      <w:r w:rsidR="004F20BF" w:rsidRPr="00DA249F">
        <w:rPr>
          <w:lang w:val="en-GB"/>
        </w:rPr>
        <w:t>cross may</w:t>
      </w:r>
      <w:r w:rsidR="00382722" w:rsidRPr="00DA249F">
        <w:rPr>
          <w:lang w:val="en-GB"/>
        </w:rPr>
        <w:t xml:space="preserve"> hinder the spread of invasive </w:t>
      </w:r>
      <w:r w:rsidR="002A0EE8" w:rsidRPr="00DA249F">
        <w:rPr>
          <w:lang w:val="en-GB"/>
        </w:rPr>
        <w:t xml:space="preserve">alien </w:t>
      </w:r>
      <w:r w:rsidR="00382722" w:rsidRPr="00DA249F">
        <w:rPr>
          <w:lang w:val="en-GB"/>
        </w:rPr>
        <w:t>species (</w:t>
      </w:r>
      <w:r w:rsidR="00930403" w:rsidRPr="00DA249F">
        <w:rPr>
          <w:lang w:val="en-GB"/>
        </w:rPr>
        <w:t xml:space="preserve">e.g., </w:t>
      </w:r>
      <w:r w:rsidR="00D44592" w:rsidRPr="00DA249F">
        <w:rPr>
          <w:lang w:val="en-GB"/>
        </w:rPr>
        <w:fldChar w:fldCharType="begin"/>
      </w:r>
      <w:r w:rsidR="00331A79">
        <w:rPr>
          <w:lang w:val="en-GB"/>
        </w:rPr>
        <w:instrText xml:space="preserve"> ADDIN ZOTERO_ITEM CSL_CITATION {"citationID":"51ykYl6S","properties":{"formattedCitation":"(Bridgman et al., 2012)","plainCitation":"(Bridgman et al., 2012)","dontUpdate":true,"noteIndex":0},"citationItems":[{"id":9945,"uris":["http://zotero.org/groups/2352922/items/G33AACAB"],"itemData":{"id":9945,"type":"article-journal","container-title":"Landscape Ecology","DOI":"10.1007/s10980-012-9727-2","ISSN":"0921-2973, 1572-9761","issue":"5","journalAbbreviation":"Landscape Ecol","language":"en","page":"633-640","source":"DOI.org (Crossref)","title":"Short perceptual range and yet successful invasion of a fragmented landscape: the case of the red-bellied tree squirrel (&lt;i&gt;Callosciurus erythraeus&lt;/i&gt;) in Argentina","title-short":"Short perceptual range and yet successful invasion of a fragmented landscape","URL":"http://link.springer.com/10.1007/s10980-012-9727-2","volume":"27","author":[{"family":"Bridgman","given":"Lucy J."},{"family":"Benitez","given":"Verónica V."},{"family":"Graña Grilli","given":"Maricel"},{"family":"Mufato","given":"Natalia"},{"family":"Acosta","given":"Daniela"},{"family":"Guichón","given":"M. Laura"}],"accessed":{"date-parts":[["2021",11,29]]},"issued":{"date-parts":[["2012",5]]}},"label":"page"}],"schema":"https://github.com/citation-style-language/schema/raw/master/csl-citation.json"} </w:instrText>
      </w:r>
      <w:r w:rsidR="00D44592" w:rsidRPr="00DA249F">
        <w:rPr>
          <w:lang w:val="en-GB"/>
        </w:rPr>
        <w:fldChar w:fldCharType="separate"/>
      </w:r>
      <w:r w:rsidR="004A3F14" w:rsidRPr="00DA249F">
        <w:rPr>
          <w:lang w:val="en-GB"/>
        </w:rPr>
        <w:t>Bridgman et al., 2012)</w:t>
      </w:r>
      <w:r w:rsidR="00D44592" w:rsidRPr="00DA249F">
        <w:rPr>
          <w:lang w:val="en-GB"/>
        </w:rPr>
        <w:fldChar w:fldCharType="end"/>
      </w:r>
      <w:r w:rsidR="00382722" w:rsidRPr="00DA249F">
        <w:rPr>
          <w:lang w:val="en-GB"/>
        </w:rPr>
        <w:t xml:space="preserve">. </w:t>
      </w:r>
      <w:r w:rsidRPr="00DA249F">
        <w:rPr>
          <w:lang w:val="en-GB"/>
        </w:rPr>
        <w:t>T</w:t>
      </w:r>
      <w:r w:rsidR="00FA5B48" w:rsidRPr="00DA249F">
        <w:rPr>
          <w:lang w:val="en-GB"/>
        </w:rPr>
        <w:t xml:space="preserve">he reproductive success of the </w:t>
      </w:r>
      <w:r w:rsidR="00005758" w:rsidRPr="00DA249F">
        <w:rPr>
          <w:lang w:val="en-GB"/>
        </w:rPr>
        <w:t xml:space="preserve">invasive alien tree </w:t>
      </w:r>
      <w:r w:rsidR="00FA5B48" w:rsidRPr="00DA249F">
        <w:rPr>
          <w:i/>
          <w:lang w:val="en-GB"/>
        </w:rPr>
        <w:t>Ligustrum lucidum</w:t>
      </w:r>
      <w:r w:rsidR="00FA5B48" w:rsidRPr="00DA249F">
        <w:rPr>
          <w:lang w:val="en-GB"/>
        </w:rPr>
        <w:t xml:space="preserve"> </w:t>
      </w:r>
      <w:r w:rsidR="008E5DCB" w:rsidRPr="00DA249F">
        <w:rPr>
          <w:lang w:val="en-GB"/>
        </w:rPr>
        <w:t>(</w:t>
      </w:r>
      <w:r w:rsidR="00C406BA" w:rsidRPr="00DA249F">
        <w:rPr>
          <w:lang w:val="en-GB"/>
        </w:rPr>
        <w:t>broad-leaf privet</w:t>
      </w:r>
      <w:r w:rsidR="008E5DCB" w:rsidRPr="00DA249F">
        <w:rPr>
          <w:lang w:val="en-GB"/>
        </w:rPr>
        <w:t xml:space="preserve">) </w:t>
      </w:r>
      <w:r w:rsidR="00FA5B48" w:rsidRPr="00DA249F">
        <w:rPr>
          <w:lang w:val="en-GB"/>
        </w:rPr>
        <w:t>is lower in forest fragments than continuous forests, not due to lower seed production but due to unfavourable soil conditions for seedling establishment</w:t>
      </w:r>
      <w:r w:rsidR="00AB3DF2" w:rsidRPr="00DA249F">
        <w:rPr>
          <w:lang w:val="en-GB"/>
        </w:rPr>
        <w:t xml:space="preserve"> in fragments</w:t>
      </w:r>
      <w:r w:rsidR="003C1976" w:rsidRPr="00DA249F">
        <w:rPr>
          <w:lang w:val="en-GB"/>
        </w:rPr>
        <w:t xml:space="preserve"> </w:t>
      </w:r>
      <w:r w:rsidR="003C1976" w:rsidRPr="00DA249F">
        <w:rPr>
          <w:lang w:val="en-GB"/>
        </w:rPr>
        <w:fldChar w:fldCharType="begin"/>
      </w:r>
      <w:r w:rsidR="00331A79">
        <w:rPr>
          <w:lang w:val="en-GB"/>
        </w:rPr>
        <w:instrText xml:space="preserve"> ADDIN ZOTERO_ITEM CSL_CITATION {"citationID":"rDwhK5iO","properties":{"formattedCitation":"(Aguirre-Acosta et al., 2014)","plainCitation":"(Aguirre-Acosta et al., 2014)","noteIndex":0},"citationItems":[{"id":9948,"uris":["http://zotero.org/groups/2352922/items/58E4T2QJ"],"itemData":{"id":9948,"type":"article-journal","container-title":"Biological Invasions","DOI":"10.1007/s10530-013-0577-x","ISSN":"1387-3547, 1573-1464","issue":"7","journalAbbreviation":"Biol Invasions","language":"en","page":"1397-1410","source":"DOI.org (Crossref)","title":"Reproductive performance of the invasive tree &lt;i&gt;Ligustrum lucidum&lt;/i&gt; in a subtropical dry forest: does habitat fragmentation boost or limit invasion?","title-short":"Reproductive performance of the invasive tree Ligustrum lucidum in a subtropical dry forest","URL":"http://link.springer.com/10.1007/s10530-013-0577-x","volume":"16","author":[{"family":"Aguirre-Acosta","given":"Natalia"},{"family":"Kowaljow","given":"Esteban"},{"family":"Aguilar","given":"Ramiro"}],"accessed":{"date-parts":[["2021",11,29]]},"issued":{"date-parts":[["2014",7]]}},"label":"page"}],"schema":"https://github.com/citation-style-language/schema/raw/master/csl-citation.json"} </w:instrText>
      </w:r>
      <w:r w:rsidR="003C1976" w:rsidRPr="00DA249F">
        <w:rPr>
          <w:lang w:val="en-GB"/>
        </w:rPr>
        <w:fldChar w:fldCharType="separate"/>
      </w:r>
      <w:r w:rsidR="00144D96" w:rsidRPr="00144D96">
        <w:t>(Aguirre-Acosta et al., 2014)</w:t>
      </w:r>
      <w:r w:rsidR="003C1976" w:rsidRPr="00DA249F">
        <w:rPr>
          <w:lang w:val="en-GB"/>
        </w:rPr>
        <w:fldChar w:fldCharType="end"/>
      </w:r>
      <w:r w:rsidR="00FA5B48" w:rsidRPr="00DA249F">
        <w:rPr>
          <w:lang w:val="en-GB"/>
        </w:rPr>
        <w:t xml:space="preserve">. In aquatic environments, artificial fragmentation </w:t>
      </w:r>
      <w:r w:rsidR="009E0BF1">
        <w:rPr>
          <w:lang w:val="en-GB"/>
        </w:rPr>
        <w:t xml:space="preserve">(e.g., </w:t>
      </w:r>
      <w:r w:rsidR="00E824A6">
        <w:rPr>
          <w:lang w:val="en-GB"/>
        </w:rPr>
        <w:t xml:space="preserve">underwater </w:t>
      </w:r>
      <w:r w:rsidR="009E0BF1">
        <w:rPr>
          <w:lang w:val="en-GB"/>
        </w:rPr>
        <w:t xml:space="preserve">barriers) </w:t>
      </w:r>
      <w:r w:rsidR="00FA5B48" w:rsidRPr="00DA249F">
        <w:rPr>
          <w:lang w:val="en-GB"/>
        </w:rPr>
        <w:t xml:space="preserve">may slow down the spread of </w:t>
      </w:r>
      <w:r w:rsidR="00F156B4" w:rsidRPr="00DA249F">
        <w:rPr>
          <w:lang w:val="en-GB"/>
        </w:rPr>
        <w:t>alien</w:t>
      </w:r>
      <w:r w:rsidR="00FA5B48" w:rsidRPr="00DA249F">
        <w:rPr>
          <w:lang w:val="en-GB"/>
        </w:rPr>
        <w:t xml:space="preserve"> species, even though some barriers may be more effective for native species than for alien</w:t>
      </w:r>
      <w:r w:rsidR="00F156B4" w:rsidRPr="00DA249F">
        <w:rPr>
          <w:lang w:val="en-GB"/>
        </w:rPr>
        <w:t xml:space="preserve"> </w:t>
      </w:r>
      <w:r w:rsidR="00FA5B48" w:rsidRPr="00DA249F">
        <w:rPr>
          <w:lang w:val="en-GB"/>
        </w:rPr>
        <w:t>s</w:t>
      </w:r>
      <w:r w:rsidR="00F156B4" w:rsidRPr="00DA249F">
        <w:rPr>
          <w:lang w:val="en-GB"/>
        </w:rPr>
        <w:t>pecies</w:t>
      </w:r>
      <w:r w:rsidR="00FA5B48" w:rsidRPr="00DA249F">
        <w:rPr>
          <w:lang w:val="en-GB"/>
        </w:rPr>
        <w:t xml:space="preserve"> </w:t>
      </w:r>
      <w:r w:rsidR="003C1976" w:rsidRPr="00DA249F">
        <w:rPr>
          <w:lang w:val="en-GB"/>
        </w:rPr>
        <w:fldChar w:fldCharType="begin"/>
      </w:r>
      <w:r w:rsidR="00331A79">
        <w:rPr>
          <w:lang w:val="en-GB"/>
        </w:rPr>
        <w:instrText xml:space="preserve"> ADDIN ZOTERO_ITEM CSL_CITATION {"citationID":"akJ995Mj","properties":{"formattedCitation":"(Airoldi et al., 2015)","plainCitation":"(Airoldi et al., 2015)","noteIndex":0},"citationItems":[{"id":17040,"uris":["http://zotero.org/groups/2352922/items/65FNGCMV"],"itemData":{"id":17040,"type":"article-journal","abstract":"Aim The global sprawl of marine hard infrastructure (e.g. breakwaters, sea walls and jetties) can extensively modify coastal seascapes, but the knowledge of such impacts remains limited to local scales. We examined the regional-scale effects of marine artiﬁcial habitats on the distribution and abundance of assemblages of ascidians, a key group of ecosystem engineer species in benthic fouling systems.","container-title":"Diversity and Distributions","DOI":"10.1111/ddi.12301","ISSN":"13669516","issue":"7","journalAbbreviation":"Diversity Distrib.","language":"en","page":"755-768","source":"DOI.org (Crossref)","title":"Corridors for aliens but not for natives: effects of marine urban sprawl at a regional scale","title-short":"Corridors for aliens but not for natives","URL":"http://doi.wiley.com/10.1111/ddi.12301","volume":"21","author":[{"family":"Airoldi","given":"Laura"},{"family":"Turon","given":"Xavier"},{"family":"Perkol-Finkel","given":"Shimrit"},{"family":"Rius","given":"Marc"}],"editor":[{"family":"Keller","given":"Reuben"}],"accessed":{"date-parts":[["2019",10,15]]},"issued":{"date-parts":[["2015",7]]}},"label":"page"}],"schema":"https://github.com/citation-style-language/schema/raw/master/csl-citation.json"} </w:instrText>
      </w:r>
      <w:r w:rsidR="003C1976" w:rsidRPr="00DA249F">
        <w:rPr>
          <w:lang w:val="en-GB"/>
        </w:rPr>
        <w:fldChar w:fldCharType="separate"/>
      </w:r>
      <w:r w:rsidR="00144D96" w:rsidRPr="00144D96">
        <w:t>(Airoldi et al., 2015)</w:t>
      </w:r>
      <w:r w:rsidR="003C1976" w:rsidRPr="00DA249F">
        <w:rPr>
          <w:lang w:val="en-GB"/>
        </w:rPr>
        <w:fldChar w:fldCharType="end"/>
      </w:r>
      <w:r w:rsidR="00FA5B48" w:rsidRPr="00DA249F">
        <w:rPr>
          <w:lang w:val="en-GB"/>
        </w:rPr>
        <w:t>.</w:t>
      </w:r>
    </w:p>
    <w:p w14:paraId="089C7A34" w14:textId="49257500" w:rsidR="008C1BF7" w:rsidRPr="00DA249F" w:rsidRDefault="0631D1C0" w:rsidP="0090109B">
      <w:pPr>
        <w:rPr>
          <w:lang w:val="en-GB"/>
        </w:rPr>
      </w:pPr>
      <w:r w:rsidRPr="5575EBFC">
        <w:rPr>
          <w:lang w:val="en-GB"/>
        </w:rPr>
        <w:t xml:space="preserve">Fragmentation of native habitat also creates corridors for </w:t>
      </w:r>
      <w:r w:rsidR="3B3FD328" w:rsidRPr="5575EBFC">
        <w:rPr>
          <w:lang w:val="en-GB"/>
        </w:rPr>
        <w:t>invasive alien species</w:t>
      </w:r>
      <w:r w:rsidR="5F6D3DEB" w:rsidRPr="5575EBFC">
        <w:rPr>
          <w:lang w:val="en-GB"/>
        </w:rPr>
        <w:t xml:space="preserve"> </w:t>
      </w:r>
      <w:r w:rsidR="54C4C5AA" w:rsidRPr="5575EBFC">
        <w:rPr>
          <w:lang w:val="en-GB"/>
        </w:rPr>
        <w:t>(</w:t>
      </w:r>
      <w:r w:rsidRPr="5575EBFC">
        <w:rPr>
          <w:b/>
          <w:bCs/>
          <w:lang w:val="en-GB"/>
        </w:rPr>
        <w:t xml:space="preserve">section </w:t>
      </w:r>
      <w:r w:rsidR="274286AE" w:rsidRPr="5575EBFC">
        <w:rPr>
          <w:b/>
          <w:bCs/>
          <w:lang w:val="en-GB"/>
        </w:rPr>
        <w:t>3.3.1.3</w:t>
      </w:r>
      <w:r w:rsidR="54C4C5AA" w:rsidRPr="5575EBFC">
        <w:rPr>
          <w:lang w:val="en-GB"/>
        </w:rPr>
        <w:t>)</w:t>
      </w:r>
      <w:r w:rsidRPr="5575EBFC">
        <w:rPr>
          <w:lang w:val="en-GB"/>
        </w:rPr>
        <w:t xml:space="preserve">, increased disturbance </w:t>
      </w:r>
      <w:r w:rsidR="54C4C5AA" w:rsidRPr="5575EBFC">
        <w:rPr>
          <w:lang w:val="en-GB"/>
        </w:rPr>
        <w:t>(</w:t>
      </w:r>
      <w:r w:rsidRPr="5575EBFC">
        <w:rPr>
          <w:b/>
          <w:bCs/>
          <w:lang w:val="en-GB"/>
        </w:rPr>
        <w:t xml:space="preserve">section </w:t>
      </w:r>
      <w:r w:rsidR="75EEBA0C" w:rsidRPr="5575EBFC">
        <w:rPr>
          <w:b/>
          <w:bCs/>
          <w:lang w:val="en-GB"/>
        </w:rPr>
        <w:t>3.3.1.</w:t>
      </w:r>
      <w:r w:rsidR="038BC858" w:rsidRPr="5575EBFC">
        <w:rPr>
          <w:b/>
          <w:bCs/>
          <w:lang w:val="en-GB"/>
        </w:rPr>
        <w:t>5</w:t>
      </w:r>
      <w:r w:rsidR="54C4C5AA" w:rsidRPr="5575EBFC">
        <w:rPr>
          <w:lang w:val="en-GB"/>
        </w:rPr>
        <w:t>)</w:t>
      </w:r>
      <w:r w:rsidR="00774819">
        <w:rPr>
          <w:lang w:val="en-GB"/>
        </w:rPr>
        <w:t xml:space="preserve"> and</w:t>
      </w:r>
      <w:r w:rsidRPr="5575EBFC">
        <w:rPr>
          <w:lang w:val="en-GB"/>
        </w:rPr>
        <w:t xml:space="preserve"> lower patch habitat quality</w:t>
      </w:r>
      <w:r w:rsidR="54C4C5AA" w:rsidRPr="5575EBFC">
        <w:rPr>
          <w:lang w:val="en-GB"/>
        </w:rPr>
        <w:t xml:space="preserve"> (</w:t>
      </w:r>
      <w:r w:rsidR="54C4C5AA" w:rsidRPr="5575EBFC">
        <w:rPr>
          <w:b/>
          <w:bCs/>
          <w:lang w:val="en-GB"/>
        </w:rPr>
        <w:t>section 3.3.1.</w:t>
      </w:r>
      <w:r w:rsidR="761867B1" w:rsidRPr="5575EBFC">
        <w:rPr>
          <w:b/>
          <w:bCs/>
          <w:lang w:val="en-GB"/>
        </w:rPr>
        <w:t>6</w:t>
      </w:r>
      <w:r w:rsidR="54C4C5AA" w:rsidRPr="5575EBFC">
        <w:rPr>
          <w:lang w:val="en-GB"/>
        </w:rPr>
        <w:t>)</w:t>
      </w:r>
      <w:r w:rsidRPr="5575EBFC">
        <w:rPr>
          <w:lang w:val="en-GB"/>
        </w:rPr>
        <w:t xml:space="preserve">. </w:t>
      </w:r>
      <w:r w:rsidR="0A091639" w:rsidRPr="5575EBFC">
        <w:rPr>
          <w:lang w:val="en-GB"/>
        </w:rPr>
        <w:t xml:space="preserve">A mechanism by which fragmentation promotes biological invasion may be through rendering native populations more vulnerable to local extinction </w:t>
      </w:r>
      <w:r w:rsidR="00FA5B48" w:rsidRPr="5575EBFC">
        <w:rPr>
          <w:lang w:val="en-GB"/>
        </w:rPr>
        <w:fldChar w:fldCharType="begin"/>
      </w:r>
      <w:r w:rsidR="00331A79">
        <w:rPr>
          <w:lang w:val="en-GB"/>
        </w:rPr>
        <w:instrText xml:space="preserve"> ADDIN ZOTERO_ITEM CSL_CITATION {"citationID":"SmPmBUX6","properties":{"formattedCitation":"(Hanski, 1999)","plainCitation":"(Hanski, 1999)","noteIndex":0},"citationItems":[{"id":15562,"uris":["http://zotero.org/groups/2352922/items/HCTIHQ58"],"itemData":{"id":15562,"type":"article-journal","abstract":"Landscape ecology and metapopulation ecology share a common interest in developing measures that describe the structure of heterogeneous landscapes, but the specific aim in metapopulation ecology is to construct measures that help predict the dynamics of species with information about the structure of fragmented landscapes. The amount of habitat that individuals in a metapopulation have access to can be divided into four components, the amount of habitat in the present habitat parch (A(i)), the amount of connected habitat in other patches available via migration (Gamma(i)), the amount of presented habitat in the present patch after time period Delta t(A(i)'). and the amount of linked habitat in other patches after time period Delta t(Gamma(i)'). Deterministic threshold conditions for metapopulation persistence in patch networks can be approximated with these quantities. For instance, in a version of the Levins model with er;tinction risk proportional to the inverse of patch area and colonization probability proportional to patch connectivity, the threshold condition for metapopulation persistence is given by &lt;(Gamma A)over bar&gt; +Var(Gamma A)/&lt;(Gamma A)over bar&gt; &gt; e/c, where e and c are the species-specific extinction and colonization parameters. I conjecture that with measures A' and Gamma' the threshold condition for metapopulation persistence can be extended to dynamic landscapes, in which all or part of population turnover is caused by turnover in the habitat patches themselves. The measures of habitat availability described in this paper can be used to rank dissimilar fragmented landscapes in terms of their capacity to support a viable metapopulation.","container-title":"Oikos","DOI":"10.2307/3546736","ISSN":"0030-1299","issue":"2","journalAbbreviation":"Oikos","language":"English","note":"WOS:000084048400001","page":"209-219","source":"Web of Science","title":"Habitat connectivity, habitat continuity, and metapopulations in dynamic landscapes","volume":"87","author":[{"family":"Hanski","given":"I."}],"issued":{"date-parts":[["1999",11]]}},"label":"page"}],"schema":"https://github.com/citation-style-language/schema/raw/master/csl-citation.json"} </w:instrText>
      </w:r>
      <w:r w:rsidR="00FA5B48" w:rsidRPr="5575EBFC">
        <w:rPr>
          <w:lang w:val="en-GB"/>
        </w:rPr>
        <w:fldChar w:fldCharType="separate"/>
      </w:r>
      <w:r w:rsidR="6B5F9B9E">
        <w:t>(Hanski, 1999)</w:t>
      </w:r>
      <w:r w:rsidR="00FA5B48" w:rsidRPr="5575EBFC">
        <w:rPr>
          <w:lang w:val="en-GB"/>
        </w:rPr>
        <w:fldChar w:fldCharType="end"/>
      </w:r>
      <w:r w:rsidR="0A091639" w:rsidRPr="5575EBFC">
        <w:rPr>
          <w:lang w:val="en-GB"/>
        </w:rPr>
        <w:t xml:space="preserve">, leaving vacant niches and hence decreasing biotic resistance to invasions and ecosystem resilience </w:t>
      </w:r>
      <w:r w:rsidR="50CE0EAC" w:rsidRPr="5575EBFC">
        <w:rPr>
          <w:lang w:val="en-GB"/>
        </w:rPr>
        <w:t>(</w:t>
      </w:r>
      <w:r w:rsidR="0A091639" w:rsidRPr="5575EBFC">
        <w:rPr>
          <w:b/>
          <w:bCs/>
          <w:lang w:val="en-GB"/>
        </w:rPr>
        <w:t>section 3.</w:t>
      </w:r>
      <w:r w:rsidR="46A622EF" w:rsidRPr="5575EBFC">
        <w:rPr>
          <w:b/>
          <w:bCs/>
          <w:lang w:val="en-GB"/>
        </w:rPr>
        <w:t>4.2</w:t>
      </w:r>
      <w:r w:rsidR="0A091639" w:rsidRPr="5575EBFC">
        <w:rPr>
          <w:lang w:val="en-GB"/>
        </w:rPr>
        <w:t xml:space="preserve">). </w:t>
      </w:r>
      <w:r w:rsidRPr="5575EBFC">
        <w:rPr>
          <w:lang w:val="en-GB"/>
        </w:rPr>
        <w:t xml:space="preserve">Most of the evidence for the effects of fragmentation </w:t>
      </w:r>
      <w:r w:rsidR="0A091639" w:rsidRPr="5575EBFC">
        <w:rPr>
          <w:lang w:val="en-GB"/>
        </w:rPr>
        <w:t xml:space="preserve">on biological invasions </w:t>
      </w:r>
      <w:r w:rsidRPr="5575EBFC">
        <w:rPr>
          <w:lang w:val="en-GB"/>
        </w:rPr>
        <w:t xml:space="preserve">comes from </w:t>
      </w:r>
      <w:r w:rsidR="0E77D0C8" w:rsidRPr="5575EBFC">
        <w:rPr>
          <w:lang w:val="en-GB"/>
        </w:rPr>
        <w:t xml:space="preserve">invasive alien </w:t>
      </w:r>
      <w:r w:rsidRPr="5575EBFC">
        <w:rPr>
          <w:lang w:val="en-GB"/>
        </w:rPr>
        <w:t>plant</w:t>
      </w:r>
      <w:r w:rsidR="0E77D0C8" w:rsidRPr="5575EBFC">
        <w:rPr>
          <w:lang w:val="en-GB"/>
        </w:rPr>
        <w:t>s</w:t>
      </w:r>
      <w:r w:rsidRPr="5575EBFC">
        <w:rPr>
          <w:lang w:val="en-GB"/>
        </w:rPr>
        <w:t xml:space="preserve"> or plant pest </w:t>
      </w:r>
      <w:r w:rsidR="75EEBA0C" w:rsidRPr="5575EBFC">
        <w:rPr>
          <w:lang w:val="en-GB"/>
        </w:rPr>
        <w:t xml:space="preserve">species, and </w:t>
      </w:r>
      <w:r w:rsidR="4D6AD3F9" w:rsidRPr="5575EBFC">
        <w:rPr>
          <w:lang w:val="en-GB"/>
        </w:rPr>
        <w:t xml:space="preserve">specifically in relation to the spread </w:t>
      </w:r>
      <w:r w:rsidR="44B8703D" w:rsidRPr="5575EBFC">
        <w:rPr>
          <w:lang w:val="en-GB"/>
        </w:rPr>
        <w:t xml:space="preserve">stage </w:t>
      </w:r>
      <w:r w:rsidRPr="5575EBFC">
        <w:rPr>
          <w:lang w:val="en-GB"/>
        </w:rPr>
        <w:t xml:space="preserve">of </w:t>
      </w:r>
      <w:r w:rsidR="4D6AD3F9" w:rsidRPr="5575EBFC">
        <w:rPr>
          <w:lang w:val="en-GB"/>
        </w:rPr>
        <w:t xml:space="preserve">the biological </w:t>
      </w:r>
      <w:r w:rsidRPr="5575EBFC">
        <w:rPr>
          <w:lang w:val="en-GB"/>
        </w:rPr>
        <w:t>invasion</w:t>
      </w:r>
      <w:r w:rsidR="4D6AD3F9" w:rsidRPr="5575EBFC">
        <w:rPr>
          <w:lang w:val="en-GB"/>
        </w:rPr>
        <w:t xml:space="preserve"> process</w:t>
      </w:r>
      <w:r w:rsidR="20CE2AA6" w:rsidRPr="5575EBFC">
        <w:rPr>
          <w:lang w:val="en-GB"/>
        </w:rPr>
        <w:t xml:space="preserve"> </w:t>
      </w:r>
      <w:r w:rsidR="50CE0EAC" w:rsidRPr="5575EBFC">
        <w:rPr>
          <w:lang w:val="en-GB"/>
        </w:rPr>
        <w:t>(</w:t>
      </w:r>
      <w:r w:rsidR="5AC7FBF8" w:rsidRPr="5575EBFC">
        <w:rPr>
          <w:b/>
          <w:bCs/>
          <w:lang w:val="en-GB"/>
        </w:rPr>
        <w:t>C</w:t>
      </w:r>
      <w:r w:rsidR="20CE2AA6" w:rsidRPr="5575EBFC">
        <w:rPr>
          <w:b/>
          <w:bCs/>
          <w:lang w:val="en-GB"/>
        </w:rPr>
        <w:t>hapter 1</w:t>
      </w:r>
      <w:r w:rsidR="20CE2AA6" w:rsidRPr="5575EBFC">
        <w:rPr>
          <w:lang w:val="en-GB"/>
        </w:rPr>
        <w:t>,</w:t>
      </w:r>
      <w:r w:rsidR="20CE2AA6" w:rsidRPr="5575EBFC">
        <w:rPr>
          <w:b/>
          <w:bCs/>
          <w:lang w:val="en-GB"/>
        </w:rPr>
        <w:t xml:space="preserve"> section 1.4</w:t>
      </w:r>
      <w:r w:rsidR="2EDBB96A" w:rsidRPr="5575EBFC">
        <w:rPr>
          <w:b/>
          <w:bCs/>
          <w:lang w:val="en-GB"/>
        </w:rPr>
        <w:t>.4</w:t>
      </w:r>
      <w:r w:rsidR="20CE2AA6" w:rsidRPr="5575EBFC">
        <w:rPr>
          <w:lang w:val="en-GB"/>
        </w:rPr>
        <w:t>)</w:t>
      </w:r>
      <w:r w:rsidRPr="5575EBFC">
        <w:rPr>
          <w:lang w:val="en-GB"/>
        </w:rPr>
        <w:t>.</w:t>
      </w:r>
    </w:p>
    <w:p w14:paraId="7608CA25" w14:textId="77777777" w:rsidR="008C1BF7" w:rsidRPr="00DA249F" w:rsidRDefault="6DA058E6" w:rsidP="004826A3">
      <w:pPr>
        <w:pStyle w:val="Heading3"/>
        <w:rPr>
          <w:lang w:val="en-GB"/>
        </w:rPr>
      </w:pPr>
      <w:bookmarkStart w:id="153" w:name="_Toc44317819"/>
      <w:r w:rsidRPr="00DA249F">
        <w:rPr>
          <w:lang w:val="en-GB"/>
        </w:rPr>
        <w:lastRenderedPageBreak/>
        <w:t xml:space="preserve"> </w:t>
      </w:r>
      <w:r w:rsidR="17373021" w:rsidRPr="00DA249F">
        <w:rPr>
          <w:lang w:val="en-GB"/>
        </w:rPr>
        <w:t>Creation of anthropogenic corridors</w:t>
      </w:r>
      <w:bookmarkEnd w:id="153"/>
    </w:p>
    <w:p w14:paraId="4A3FE28E" w14:textId="77777777" w:rsidR="00574ABD" w:rsidRPr="00DA249F" w:rsidRDefault="00B13033" w:rsidP="0090109B">
      <w:pPr>
        <w:rPr>
          <w:lang w:val="en-GB"/>
        </w:rPr>
      </w:pPr>
      <w:r w:rsidRPr="00DA249F">
        <w:rPr>
          <w:lang w:val="en-GB"/>
        </w:rPr>
        <w:t xml:space="preserve">Different types of </w:t>
      </w:r>
      <w:r w:rsidR="3F5976A0" w:rsidRPr="00DA249F">
        <w:rPr>
          <w:lang w:val="en-GB"/>
        </w:rPr>
        <w:t>a</w:t>
      </w:r>
      <w:r w:rsidR="19AE4B7B" w:rsidRPr="00DA249F">
        <w:rPr>
          <w:lang w:val="en-GB"/>
        </w:rPr>
        <w:t>nthropogenic</w:t>
      </w:r>
      <w:r w:rsidR="008C1BF7" w:rsidRPr="00DA249F">
        <w:rPr>
          <w:lang w:val="en-GB"/>
        </w:rPr>
        <w:t xml:space="preserve"> corridors act as major </w:t>
      </w:r>
      <w:r w:rsidRPr="00DA249F">
        <w:rPr>
          <w:lang w:val="en-GB"/>
        </w:rPr>
        <w:t>routes</w:t>
      </w:r>
      <w:r w:rsidR="00924200" w:rsidRPr="00DA249F">
        <w:rPr>
          <w:lang w:val="en-GB"/>
        </w:rPr>
        <w:t xml:space="preserve"> </w:t>
      </w:r>
      <w:r w:rsidR="3F5976A0" w:rsidRPr="00DA249F">
        <w:rPr>
          <w:lang w:val="en-GB"/>
        </w:rPr>
        <w:t>for</w:t>
      </w:r>
      <w:r w:rsidR="008C1BF7" w:rsidRPr="00DA249F" w:rsidDel="00B13033">
        <w:rPr>
          <w:lang w:val="en-GB"/>
        </w:rPr>
        <w:t xml:space="preserve"> </w:t>
      </w:r>
      <w:r w:rsidRPr="00DA249F">
        <w:rPr>
          <w:lang w:val="en-GB"/>
        </w:rPr>
        <w:t xml:space="preserve">the transport and spread </w:t>
      </w:r>
      <w:r w:rsidR="008C1BF7" w:rsidRPr="00DA249F">
        <w:rPr>
          <w:lang w:val="en-GB"/>
        </w:rPr>
        <w:t xml:space="preserve">of </w:t>
      </w:r>
      <w:r w:rsidR="00084671" w:rsidRPr="00DA249F">
        <w:rPr>
          <w:lang w:val="en-GB"/>
        </w:rPr>
        <w:t xml:space="preserve">invasive alien species </w:t>
      </w:r>
      <w:r w:rsidR="008C1BF7" w:rsidRPr="00DA249F">
        <w:rPr>
          <w:lang w:val="en-GB"/>
        </w:rPr>
        <w:t>(</w:t>
      </w:r>
      <w:r w:rsidR="00930403" w:rsidRPr="00DA249F">
        <w:rPr>
          <w:lang w:val="en-GB"/>
        </w:rPr>
        <w:t xml:space="preserve">e.g., </w:t>
      </w:r>
      <w:r w:rsidR="008C1BF7" w:rsidRPr="00DA249F">
        <w:rPr>
          <w:lang w:val="en-GB"/>
        </w:rPr>
        <w:fldChar w:fldCharType="begin"/>
      </w:r>
      <w:r w:rsidR="00331A79">
        <w:rPr>
          <w:lang w:val="en-GB"/>
        </w:rPr>
        <w:instrText xml:space="preserve"> ADDIN ZOTERO_ITEM CSL_CITATION {"citationID":"JGSgjgsS","properties":{"formattedCitation":"(Galil et al., 2015; Hulme et al., 2008)","plainCitation":"(Galil et al., 2015; Hulme et al., 2008)","dontUpdate":true,"noteIndex":0},"citationItems":[{"id":31164,"uris":["http://zotero.org/groups/2352922/items/MQVTVGM3"],"itemData":{"id":31164,"type":"article-journal","container-title":"Biological Invasions","DOI":"10.1007/s10530-014-0778-y","ISSN":"1573-1464","issue":"4","journalAbbreviation":"Biol Invasions","language":"en","page":"973-976","source":"Springer Link","title":"‘Double trouble’: the expansion of the Suez Canal and marine bioinvasions in the Mediterranean Sea","title-short":"‘Double trouble’","URL":"https://doi.org/10.1007/s10530-014-0778-y","volume":"17","author":[{"family":"Galil","given":"Bella S."},{"family":"Boero","given":"Ferdinando"},{"family":"Campbell","given":"Marnie L."},{"family":"Carlton","given":"James T."},{"family":"Cook","given":"Elizabeth"},{"family":"Fraschetti","given":"Simonetta"},{"family":"Gollasch","given":"Stephan"},{"family":"Hewitt","given":"Chad L."},{"family":"Jelmert","given":"Anders"},{"family":"Macpherson","given":"Enrique"},{"family":"Marchini","given":"Agnese"},{"family":"McKenzie","given":"Cynthia"},{"family":"Minchin","given":"Dan"},{"family":"Occhipinti-Ambrogi","given":"Anna"},{"family":"Ojaveer","given":"Henn"},{"family":"Olenin","given":"Sergej"},{"family":"Piraino","given":"Stefano"},{"family":"Ruiz","given":"Gregory M."}],"accessed":{"date-parts":[["2021",6,8]]},"issued":{"date-parts":[["2015",4,1]]}},"label":"page"},{"id":30462,"uris":["http://zotero.org/groups/2352922/items/WXMFBV44"],"itemData":{"id":30462,"type":"article-journal","container-title":"Journal of Applied Ecology","DOI":"10.1111/j.1365-2664.2007.01442.x","ISSN":"00218901, 13652664","issue":"2","language":"en","page":"403-414","source":"DOI.org (Crossref)","title":"Grasping at the routes of biological invasions: a framework for integrating pathways into policy","title-short":"Grasping at the routes of biological invasions","URL":"https://onlinelibrary.wiley.com/doi/10.1111/j.1365-2664.2007.01442.x","volume":"45","author":[{"family":"Hulme","given":"Philip E."},{"family":"Bacher","given":"S."},{"family":"Kenis","given":"M."},{"family":"Klotz","given":"S."},{"family":"Kühn","given":"I."},{"family":"Minchin","given":"D."},{"family":"Nentwig","given":"W."},{"family":"Olenin","given":"S."},{"family":"Panov","given":"V."},{"family":"Pergl","given":"J."},{"family":"Pyšek","given":"P."},{"family":"Roques","given":"A."},{"family":"Sol","given":"D."},{"family":"Solarz","given":"W."},{"family":"Vilà","given":"M."}],"accessed":{"date-parts":[["2021",8,23]]},"issued":{"date-parts":[["2008",4]]}},"label":"page"}],"schema":"https://github.com/citation-style-language/schema/raw/master/csl-citation.json"} </w:instrText>
      </w:r>
      <w:r w:rsidR="008C1BF7" w:rsidRPr="00DA249F">
        <w:rPr>
          <w:lang w:val="en-GB"/>
        </w:rPr>
        <w:fldChar w:fldCharType="separate"/>
      </w:r>
      <w:r w:rsidR="0012730A" w:rsidRPr="00DA249F">
        <w:rPr>
          <w:lang w:val="en-GB"/>
        </w:rPr>
        <w:t>Galil et al., 2015; Hulme et al., 2008)</w:t>
      </w:r>
      <w:r w:rsidR="008C1BF7" w:rsidRPr="00DA249F">
        <w:rPr>
          <w:lang w:val="en-GB"/>
        </w:rPr>
        <w:fldChar w:fldCharType="end"/>
      </w:r>
      <w:r w:rsidR="008C1BF7" w:rsidRPr="00DA249F">
        <w:rPr>
          <w:lang w:val="en-GB"/>
        </w:rPr>
        <w:t xml:space="preserve">, although these </w:t>
      </w:r>
      <w:r w:rsidRPr="00DA249F">
        <w:rPr>
          <w:lang w:val="en-GB"/>
        </w:rPr>
        <w:t xml:space="preserve">are often not explicitly considered in </w:t>
      </w:r>
      <w:r w:rsidR="008C1BF7" w:rsidRPr="00DA249F">
        <w:rPr>
          <w:lang w:val="en-GB"/>
        </w:rPr>
        <w:t xml:space="preserve">pathway assessments </w:t>
      </w:r>
      <w:r w:rsidR="008C1BF7" w:rsidRPr="00DA249F">
        <w:rPr>
          <w:lang w:val="en-GB"/>
        </w:rPr>
        <w:fldChar w:fldCharType="begin"/>
      </w:r>
      <w:r w:rsidR="00331A79">
        <w:rPr>
          <w:lang w:val="en-GB"/>
        </w:rPr>
        <w:instrText xml:space="preserve"> ADDIN ZOTERO_ITEM CSL_CITATION {"citationID":"5R38kVY2","properties":{"formattedCitation":"(CBD, 2014; Leclerc et al., 2018)","plainCitation":"(CBD, 2014; Leclerc et al., 2018)","noteIndex":0},"citationItems":[{"id":32137,"uris":["http://zotero.org/groups/2352922/items/JUHVB9UU"],"itemData":{"id":32137,"type":"paper-conference","collection-title":"UNEP/CBD/SBSTTA/18/9/Add.1","event-place":"Montreal, Canada","event-title":"Eighteenth meeting of Subsidiary Body on Scientific, Technical and Technological Advice","page":"18","publisher":"Convention on Biodiversity, United Nations Environment Programme","publisher-place":"Montreal, Canada","title":"Pathways of introduction of invasive species, their prioritization and management","URL":"https://www.cbd.int/doc/meetings/sbstta/sbstta-18/official/sbstta-18-09-add1-en.pdf","author":[{"literal":"CBD"}],"accessed":{"date-parts":[["2019",10,22]]},"issued":{"date-parts":[["2014"]]}},"label":"page"},{"id":29161,"uris":["http://zotero.org/groups/2352922/items/49ZGWQIB"],"itemData":{"id":29161,"type":"article-journal","container-title":"Scientific Reports","DOI":"10.1038/s41598-018-24733-0","ISSN":"2045-2322","issue":"1","journalAbbreviation":"Sci Rep","language":"en","page":"6393","source":"DOI.org (Crossref)","title":"Insular threat associations within taxa worldwide","URL":"http://www.nature.com/articles/s41598-018-24733-0","volume":"8","author":[{"family":"Leclerc","given":"Camille"},{"family":"Courchamp","given":"Franck"},{"family":"Bellard","given":"Céline"}],"accessed":{"date-parts":[["2019",12,2]]},"issued":{"date-parts":[["2018",12]]}},"label":"page"}],"schema":"https://github.com/citation-style-language/schema/raw/master/csl-citation.json"} </w:instrText>
      </w:r>
      <w:r w:rsidR="008C1BF7" w:rsidRPr="00DA249F">
        <w:rPr>
          <w:lang w:val="en-GB"/>
        </w:rPr>
        <w:fldChar w:fldCharType="separate"/>
      </w:r>
      <w:r w:rsidR="00144D96" w:rsidRPr="00144D96">
        <w:t>(CBD, 2014; Leclerc et al., 2018)</w:t>
      </w:r>
      <w:r w:rsidR="008C1BF7" w:rsidRPr="00DA249F">
        <w:rPr>
          <w:lang w:val="en-GB"/>
        </w:rPr>
        <w:fldChar w:fldCharType="end"/>
      </w:r>
      <w:r w:rsidR="008C1BF7" w:rsidRPr="00DA249F">
        <w:rPr>
          <w:lang w:val="en-GB"/>
        </w:rPr>
        <w:t>. Anthropogenic corridors</w:t>
      </w:r>
      <w:r w:rsidRPr="00DA249F">
        <w:rPr>
          <w:lang w:val="en-GB"/>
        </w:rPr>
        <w:t>,</w:t>
      </w:r>
      <w:r w:rsidR="008C1BF7" w:rsidRPr="00DA249F">
        <w:rPr>
          <w:lang w:val="en-GB"/>
        </w:rPr>
        <w:t xml:space="preserve"> including roads, highways, railways, </w:t>
      </w:r>
      <w:r w:rsidR="00CD48AD" w:rsidRPr="00DA249F">
        <w:rPr>
          <w:lang w:val="en-GB"/>
        </w:rPr>
        <w:t xml:space="preserve">hiking trails, </w:t>
      </w:r>
      <w:r w:rsidR="008C1BF7" w:rsidRPr="00DA249F">
        <w:rPr>
          <w:lang w:val="en-GB"/>
        </w:rPr>
        <w:t>tunnels, pipelines, power</w:t>
      </w:r>
      <w:r w:rsidR="0001027A" w:rsidRPr="00DA249F">
        <w:rPr>
          <w:lang w:val="en-GB"/>
        </w:rPr>
        <w:t xml:space="preserve"> lines</w:t>
      </w:r>
      <w:r w:rsidR="00CD48AD" w:rsidRPr="00DA249F">
        <w:rPr>
          <w:lang w:val="en-GB"/>
        </w:rPr>
        <w:t>,</w:t>
      </w:r>
      <w:r w:rsidR="008C1BF7" w:rsidRPr="00DA249F">
        <w:rPr>
          <w:lang w:val="en-GB"/>
        </w:rPr>
        <w:t xml:space="preserve"> </w:t>
      </w:r>
      <w:r w:rsidR="00CD48AD" w:rsidRPr="00DA249F">
        <w:rPr>
          <w:lang w:val="en-GB"/>
        </w:rPr>
        <w:t xml:space="preserve">canals </w:t>
      </w:r>
      <w:r w:rsidR="008C1BF7" w:rsidRPr="00DA249F">
        <w:rPr>
          <w:lang w:val="en-GB"/>
        </w:rPr>
        <w:t>and bridges, are</w:t>
      </w:r>
      <w:r w:rsidR="008C1BF7" w:rsidRPr="00DA249F" w:rsidDel="008316F6">
        <w:rPr>
          <w:lang w:val="en-GB"/>
        </w:rPr>
        <w:t xml:space="preserve"> </w:t>
      </w:r>
      <w:r w:rsidR="008316F6" w:rsidRPr="00DA249F">
        <w:rPr>
          <w:lang w:val="en-GB"/>
        </w:rPr>
        <w:t xml:space="preserve">rapidly </w:t>
      </w:r>
      <w:r w:rsidR="19AE4B7B" w:rsidRPr="00DA249F">
        <w:rPr>
          <w:lang w:val="en-GB"/>
        </w:rPr>
        <w:t>expand</w:t>
      </w:r>
      <w:r w:rsidR="7457AA8F" w:rsidRPr="00DA249F">
        <w:rPr>
          <w:lang w:val="en-GB"/>
        </w:rPr>
        <w:t>ing</w:t>
      </w:r>
      <w:r w:rsidR="008C1BF7" w:rsidRPr="00DA249F">
        <w:rPr>
          <w:lang w:val="en-GB"/>
        </w:rPr>
        <w:t xml:space="preserve"> for trade</w:t>
      </w:r>
      <w:r w:rsidRPr="00DA249F">
        <w:rPr>
          <w:lang w:val="en-GB"/>
        </w:rPr>
        <w:t>, travel</w:t>
      </w:r>
      <w:r w:rsidR="008C1BF7" w:rsidRPr="00DA249F">
        <w:rPr>
          <w:lang w:val="en-GB"/>
        </w:rPr>
        <w:t xml:space="preserve"> and transport</w:t>
      </w:r>
      <w:r w:rsidRPr="00DA249F">
        <w:rPr>
          <w:lang w:val="en-GB"/>
        </w:rPr>
        <w:t xml:space="preserve"> (</w:t>
      </w:r>
      <w:r w:rsidR="00CD13E9" w:rsidRPr="003F71DB">
        <w:rPr>
          <w:b/>
          <w:iCs/>
          <w:lang w:val="en-GB"/>
        </w:rPr>
        <w:t xml:space="preserve">sections </w:t>
      </w:r>
      <w:r w:rsidR="00781F7B" w:rsidRPr="003F71DB">
        <w:rPr>
          <w:b/>
          <w:iCs/>
          <w:lang w:val="en-GB"/>
        </w:rPr>
        <w:t>3.2.3.1</w:t>
      </w:r>
      <w:r w:rsidR="00DB46E8" w:rsidRPr="003F71DB">
        <w:rPr>
          <w:b/>
          <w:iCs/>
          <w:lang w:val="en-GB"/>
        </w:rPr>
        <w:t xml:space="preserve"> </w:t>
      </w:r>
      <w:r w:rsidR="00DB46E8" w:rsidRPr="003F71DB">
        <w:rPr>
          <w:lang w:val="en-GB"/>
        </w:rPr>
        <w:t>to</w:t>
      </w:r>
      <w:r w:rsidR="00781F7B" w:rsidRPr="003F71DB">
        <w:rPr>
          <w:b/>
          <w:iCs/>
          <w:lang w:val="en-GB"/>
        </w:rPr>
        <w:t xml:space="preserve"> 3.2.3.</w:t>
      </w:r>
      <w:r w:rsidR="0042250E" w:rsidRPr="003F71DB">
        <w:rPr>
          <w:b/>
          <w:iCs/>
          <w:lang w:val="en-GB"/>
        </w:rPr>
        <w:t>4</w:t>
      </w:r>
      <w:r w:rsidR="18E489B7" w:rsidRPr="00DA249F">
        <w:rPr>
          <w:lang w:val="en-GB"/>
        </w:rPr>
        <w:t>)</w:t>
      </w:r>
      <w:r w:rsidR="00C21735">
        <w:rPr>
          <w:lang w:val="en-GB"/>
        </w:rPr>
        <w:t>.</w:t>
      </w:r>
      <w:r w:rsidR="008316F6" w:rsidRPr="00DA249F">
        <w:rPr>
          <w:lang w:val="en-GB"/>
        </w:rPr>
        <w:t xml:space="preserve"> </w:t>
      </w:r>
      <w:r w:rsidR="00C21735">
        <w:rPr>
          <w:lang w:val="en-GB"/>
        </w:rPr>
        <w:t>I</w:t>
      </w:r>
      <w:r w:rsidR="008316F6" w:rsidRPr="00DA249F">
        <w:rPr>
          <w:lang w:val="en-GB"/>
        </w:rPr>
        <w:t xml:space="preserve">t is projected that length of roads will increase by </w:t>
      </w:r>
      <w:r w:rsidR="00803E43" w:rsidRPr="00DA249F">
        <w:rPr>
          <w:lang w:val="en-GB"/>
        </w:rPr>
        <w:t xml:space="preserve">over </w:t>
      </w:r>
      <w:r w:rsidR="008316F6" w:rsidRPr="00DA249F">
        <w:rPr>
          <w:lang w:val="en-GB"/>
        </w:rPr>
        <w:t>60</w:t>
      </w:r>
      <w:r w:rsidR="006835D5" w:rsidRPr="00DA249F">
        <w:rPr>
          <w:lang w:val="en-GB"/>
        </w:rPr>
        <w:t xml:space="preserve"> </w:t>
      </w:r>
      <w:r w:rsidR="004C77CD" w:rsidRPr="00DA249F">
        <w:rPr>
          <w:lang w:val="en-GB"/>
        </w:rPr>
        <w:t>per cent</w:t>
      </w:r>
      <w:r w:rsidR="008316F6" w:rsidRPr="00DA249F">
        <w:rPr>
          <w:lang w:val="en-GB"/>
        </w:rPr>
        <w:t xml:space="preserve"> </w:t>
      </w:r>
      <w:r w:rsidR="00E824A6">
        <w:rPr>
          <w:lang w:val="en-GB"/>
        </w:rPr>
        <w:t xml:space="preserve">(or to between 3 and 4.7 million km) </w:t>
      </w:r>
      <w:r w:rsidR="008316F6" w:rsidRPr="00DA249F">
        <w:rPr>
          <w:lang w:val="en-GB"/>
        </w:rPr>
        <w:t>globally from 2010 to 2050</w:t>
      </w:r>
      <w:r w:rsidR="008C1BF7" w:rsidRPr="00DA249F" w:rsidDel="008316F6">
        <w:rPr>
          <w:lang w:val="en-GB"/>
        </w:rPr>
        <w:t xml:space="preserve"> </w:t>
      </w:r>
      <w:r w:rsidR="008C1BF7" w:rsidRPr="00DA249F">
        <w:rPr>
          <w:lang w:val="en-GB"/>
        </w:rPr>
        <w:fldChar w:fldCharType="begin"/>
      </w:r>
      <w:r w:rsidR="00331A79">
        <w:rPr>
          <w:lang w:val="en-GB"/>
        </w:rPr>
        <w:instrText xml:space="preserve"> ADDIN ZOTERO_ITEM CSL_CITATION {"citationID":"thwIkvog","properties":{"formattedCitation":"(Dulac, 2013)","plainCitation":"(Dulac, 2013)","noteIndex":0},"citationItems":[{"id":15553,"uris":["http://zotero.org/groups/2352922/items/PDU9THQ7"],"itemData":{"id":15553,"type":"document","publisher":"International Energy Agency","title":"Global land transport infrastructure requirements. Estimating road and railway infrastructure capacity and costs to 2050","URL":"https://www.ctc-n.org/sites/www.ctc-n.org/files/resources/transportinfrastructureinsights_final_web.pdf","author":[{"family":"Dulac","given":"J"}],"issued":{"date-parts":[["2013"]]}},"label":"page"}],"schema":"https://github.com/citation-style-language/schema/raw/master/csl-citation.json"} </w:instrText>
      </w:r>
      <w:r w:rsidR="008C1BF7" w:rsidRPr="00DA249F">
        <w:rPr>
          <w:lang w:val="en-GB"/>
        </w:rPr>
        <w:fldChar w:fldCharType="separate"/>
      </w:r>
      <w:r w:rsidR="00144D96" w:rsidRPr="00144D96">
        <w:t>(Dulac, 2013)</w:t>
      </w:r>
      <w:r w:rsidR="008C1BF7" w:rsidRPr="00DA249F">
        <w:rPr>
          <w:lang w:val="en-GB"/>
        </w:rPr>
        <w:fldChar w:fldCharType="end"/>
      </w:r>
      <w:r w:rsidR="009710A6" w:rsidRPr="00DA249F">
        <w:rPr>
          <w:lang w:val="en-GB"/>
        </w:rPr>
        <w:t xml:space="preserve">, </w:t>
      </w:r>
      <w:r w:rsidR="00362B03" w:rsidRPr="00DA249F">
        <w:rPr>
          <w:lang w:val="en-GB"/>
        </w:rPr>
        <w:t xml:space="preserve">a large fraction of which is projected </w:t>
      </w:r>
      <w:r w:rsidR="00C21735">
        <w:rPr>
          <w:lang w:val="en-GB"/>
        </w:rPr>
        <w:t>to be built in</w:t>
      </w:r>
      <w:r w:rsidR="00C21735" w:rsidRPr="00DA249F">
        <w:rPr>
          <w:lang w:val="en-GB"/>
        </w:rPr>
        <w:t xml:space="preserve"> </w:t>
      </w:r>
      <w:r w:rsidR="00362B03" w:rsidRPr="00DA249F">
        <w:rPr>
          <w:lang w:val="en-GB"/>
        </w:rPr>
        <w:t xml:space="preserve">developing </w:t>
      </w:r>
      <w:r w:rsidR="00081F8D" w:rsidRPr="00DA249F">
        <w:rPr>
          <w:lang w:val="en-GB"/>
        </w:rPr>
        <w:t>countries</w:t>
      </w:r>
      <w:r w:rsidR="00362B03" w:rsidRPr="00DA249F">
        <w:rPr>
          <w:lang w:val="en-GB"/>
        </w:rPr>
        <w:t xml:space="preserve"> in some of the world</w:t>
      </w:r>
      <w:r w:rsidR="00C21735">
        <w:rPr>
          <w:lang w:val="en-GB"/>
        </w:rPr>
        <w:t>’</w:t>
      </w:r>
      <w:r w:rsidR="00362B03" w:rsidRPr="00DA249F">
        <w:rPr>
          <w:lang w:val="en-GB"/>
        </w:rPr>
        <w:t>s last remaining wilderness areas, such as the Amazon, the Congo basin and New Guinea</w:t>
      </w:r>
      <w:r w:rsidR="00253FBF" w:rsidRPr="00DA249F">
        <w:rPr>
          <w:lang w:val="en-GB"/>
        </w:rPr>
        <w:t xml:space="preserve"> </w:t>
      </w:r>
      <w:r w:rsidR="001726DE" w:rsidRPr="00DA249F">
        <w:rPr>
          <w:lang w:val="en-GB"/>
        </w:rPr>
        <w:fldChar w:fldCharType="begin"/>
      </w:r>
      <w:r w:rsidR="00331A79">
        <w:rPr>
          <w:lang w:val="en-GB"/>
        </w:rPr>
        <w:instrText xml:space="preserve"> ADDIN ZOTERO_ITEM CSL_CITATION {"citationID":"83XLBZye","properties":{"formattedCitation":"(Meijer et al., 2018)","plainCitation":"(Meijer et al., 2018)","noteIndex":0},"citationItems":[{"id":10735,"uris":["http://zotero.org/groups/2352922/items/VMS4P25M"],"itemData":{"id":10735,"type":"article-journal","abstract":"Georeferenced information on road infrastructure is essential for spatial planning, socio-economic assessments and environmental impact analyses. Yet current global road maps are typically outdated or characterized by spatial bias in coverage. In the Global Roads Inventory Project we gathered, harmonized and integrated nearly 60 geospatial datasets on road infrastructure into a global roads dataset. The resulting dataset covers 222 countries and includes over 21 million km of roads, which is two to three times the total length in the currently best available country-based global roads datasets. We then related total road length per country to country area, population density, GDP and OECD membership, resulting in a regression model with adjusted R 2 of 0.90, and found that that the highest road densities are associated with densely populated and wealthier countries. Applying our regression model to future population densities and GDP estimates from the Shared Socioeconomic Pathway (SSP) scenarios, we obtained a tentative estimate of 3.0–4.7 million km additional road length for the year 2050. Large increases in road length were projected for developing nations in some of the world’s last remaining wilderness areas, such as the Amazon, the Congo basin and New Guinea. This highlights the need for accurate spatial road datasets to underpin strategic spatial planning in order to reduce the impacts of roads in remaining pristine ecosystems.","container-title":"Environmental Research Letters","DOI":"10.1088/1748-9326/aabd42","issue":"6","note":"number: 6","page":"064006-064006","title":"Global patterns of current and future road infrastructure","URL":"http://stacks.iop.org/1748-9326/13/i=6/a=064006?key=crossref.739fad3c09eca6232f3ea91d921571f5","volume":"13","author":[{"family":"Meijer","given":"Johan R."},{"family":"Huijbregts","given":"Mark A J"},{"family":"Schotten","given":"Kees C G J"},{"family":"Schipper","given":"Aafke M."}],"issued":{"date-parts":[["2018",6]]}},"label":"page"}],"schema":"https://github.com/citation-style-language/schema/raw/master/csl-citation.json"} </w:instrText>
      </w:r>
      <w:r w:rsidR="001726DE" w:rsidRPr="00DA249F">
        <w:rPr>
          <w:lang w:val="en-GB"/>
        </w:rPr>
        <w:fldChar w:fldCharType="separate"/>
      </w:r>
      <w:r w:rsidR="00144D96" w:rsidRPr="00144D96">
        <w:t>(Meijer et al., 2018)</w:t>
      </w:r>
      <w:r w:rsidR="001726DE" w:rsidRPr="00DA249F">
        <w:rPr>
          <w:lang w:val="en-GB"/>
        </w:rPr>
        <w:fldChar w:fldCharType="end"/>
      </w:r>
      <w:r w:rsidR="00285790" w:rsidRPr="00DA249F">
        <w:rPr>
          <w:lang w:val="en-GB"/>
        </w:rPr>
        <w:t>.</w:t>
      </w:r>
      <w:r w:rsidR="008C1BF7" w:rsidRPr="00DA249F">
        <w:rPr>
          <w:lang w:val="en-GB"/>
        </w:rPr>
        <w:t xml:space="preserve"> The volume of freight transported via anthropogenic corridors has consistently grown since the 1960s especially in Europe and North America</w:t>
      </w:r>
      <w:r w:rsidR="00781F7B" w:rsidRPr="00DA249F">
        <w:rPr>
          <w:lang w:val="en-GB"/>
        </w:rPr>
        <w:t xml:space="preserve"> (</w:t>
      </w:r>
      <w:r w:rsidR="00CD13E9" w:rsidRPr="003F71DB">
        <w:rPr>
          <w:b/>
          <w:iCs/>
          <w:lang w:val="en-GB"/>
        </w:rPr>
        <w:t xml:space="preserve">section </w:t>
      </w:r>
      <w:r w:rsidR="00FD3CDC" w:rsidRPr="003F71DB">
        <w:rPr>
          <w:b/>
          <w:iCs/>
          <w:lang w:val="en-GB"/>
        </w:rPr>
        <w:t>3.</w:t>
      </w:r>
      <w:r w:rsidR="00C85F6D" w:rsidRPr="003F71DB">
        <w:rPr>
          <w:b/>
          <w:iCs/>
          <w:lang w:val="en-GB"/>
        </w:rPr>
        <w:t>1</w:t>
      </w:r>
      <w:r w:rsidR="00FD3CDC" w:rsidRPr="003F71DB">
        <w:rPr>
          <w:b/>
          <w:iCs/>
          <w:lang w:val="en-GB"/>
        </w:rPr>
        <w:t>.1</w:t>
      </w:r>
      <w:r w:rsidR="00C85F6D" w:rsidRPr="00DA249F">
        <w:rPr>
          <w:lang w:val="en-GB"/>
        </w:rPr>
        <w:t>;</w:t>
      </w:r>
      <w:r w:rsidR="008C1BF7" w:rsidRPr="00DA249F">
        <w:rPr>
          <w:lang w:val="en-GB"/>
        </w:rPr>
        <w:t xml:space="preserve"> </w:t>
      </w:r>
      <w:r w:rsidR="008C1BF7" w:rsidRPr="00DA249F">
        <w:rPr>
          <w:lang w:val="en-GB"/>
        </w:rPr>
        <w:fldChar w:fldCharType="begin"/>
      </w:r>
      <w:r w:rsidR="00331A79">
        <w:rPr>
          <w:lang w:val="en-GB"/>
        </w:rPr>
        <w:instrText xml:space="preserve"> ADDIN ZOTERO_ITEM CSL_CITATION {"citationID":"ItH9j4Fe","properties":{"formattedCitation":"(Hulme, 2009a)","plainCitation":"(Hulme, 2009a)","dontUpdate":true,"noteIndex":0},"citationItems":[{"id":32387,"uris":["http://zotero.org/groups/2352922/items/M3KQUD2U"],"itemData":{"id":32387,"type":"article-journal","abstract":"1 Humans have traded and transported alien species for millennia with two notable step-changes: the end of the Middle Ages and beginning of the Industrial Revolution. However, in recent decades the world has entered a new phase in the magnitude and diversity of biological invasions: the Era of Globalization. This Special Profile reviews the links between the main drivers of globalization and biological invasions and examines state-of-the-art approaches to pathway risk assessment to illustrate new opportunities for managing invasive species. 2 Income growth is a primary driver of globalization and a clear association exists between Gross Domestic Product and the richness of alien floras and faunas for many regions of the world. In many cases, the exposure of these economies to trade is highlighted by the significant role of merchandise imports in biological invasions, especially for island ecosystems. 3 Post-1950, technical and logistic improvements have accelerated the ease with which commodities are transported across the globe and hindered the traceability of goods and the ease of intercepting pests. New sea, land and air links in international trade and human transport have established novel pathways for the spread of alien species. Increasingly, the science advances underpinning invasive species management must move at the speed of commerce. 4 Increasing transport networks and demand for commodities have led to pathway risk assessments becoming the frontline in the prevention of biological invasions. The diverse routes of introduction arising from contaminant, stowaway, corridor and unaided pathways, in both aquatic and terrestrial biomes are complex. Nevertheless, common features enable comparable approaches to risk assessment. By bringing together spatial data on climate suitability, habitat availability and points of entry, as well a demographic models that include species dispersal (both natural and human-mediated) and measures of propagule pressure, it is possible to generate risk maps highlighting potential invasion hotspots that can inform prevention strategies. 5 Synthesis and applications. To date, most attempts to model pathways have focused on describing the likelihood of invader establishment. Few have modelled explicit management strategies such as optimal detection and inspection strategies and assessments of the effectiveness of different management measures. A future focus in these areas will ensure research informs response.","container-title":"Journal of Applied Ecology","DOI":"10.1111/j.1365-2664.2008.01600.x","ISSN":"1365-2664","issue":"1","language":"en","license":"© 2009 The Author. Journal compilation © 2009 British Ecological Society","page":"10-18","source":"Wiley Online Library","title":"Trade, transport and trouble: managing invasive species pathways in an era of globalization","title-short":"Trade, transport and trouble","URL":"https://besjournals.onlinelibrary.wiley.com/doi/abs/10.1111/j.1365-2664.2008.01600.x","volume":"46","author":[{"family":"Hulme","given":"Philip E."}],"accessed":{"date-parts":[["2019",12,5]]},"issued":{"date-parts":[["2009"]]}},"label":"page"}],"schema":"https://github.com/citation-style-language/schema/raw/master/csl-citation.json"} </w:instrText>
      </w:r>
      <w:r w:rsidR="008C1BF7" w:rsidRPr="00DA249F">
        <w:rPr>
          <w:lang w:val="en-GB"/>
        </w:rPr>
        <w:fldChar w:fldCharType="separate"/>
      </w:r>
      <w:r w:rsidR="0012730A" w:rsidRPr="00DA249F">
        <w:rPr>
          <w:lang w:val="en-GB"/>
        </w:rPr>
        <w:t>Hulme, 2009a)</w:t>
      </w:r>
      <w:r w:rsidR="008C1BF7" w:rsidRPr="00DA249F">
        <w:rPr>
          <w:lang w:val="en-GB"/>
        </w:rPr>
        <w:fldChar w:fldCharType="end"/>
      </w:r>
      <w:r w:rsidR="008C1BF7" w:rsidRPr="00DA249F">
        <w:rPr>
          <w:lang w:val="en-GB"/>
        </w:rPr>
        <w:t xml:space="preserve">. </w:t>
      </w:r>
    </w:p>
    <w:p w14:paraId="0FE337D5" w14:textId="52DD5861" w:rsidR="00831041" w:rsidRPr="00DA249F" w:rsidRDefault="2A1A66F1" w:rsidP="0090109B">
      <w:pPr>
        <w:rPr>
          <w:lang w:val="en-GB"/>
        </w:rPr>
      </w:pPr>
      <w:r w:rsidRPr="728F2DAF">
        <w:rPr>
          <w:lang w:val="en-GB"/>
        </w:rPr>
        <w:t>Anthropogenic corridors allow both intentional and unintentional transport</w:t>
      </w:r>
      <w:r w:rsidR="14B040D6" w:rsidRPr="728F2DAF">
        <w:rPr>
          <w:lang w:val="en-GB"/>
        </w:rPr>
        <w:t xml:space="preserve"> of invasive alien species</w:t>
      </w:r>
      <w:r w:rsidRPr="728F2DAF">
        <w:rPr>
          <w:lang w:val="en-GB"/>
        </w:rPr>
        <w:t xml:space="preserve">, and </w:t>
      </w:r>
      <w:r w:rsidR="14B040D6" w:rsidRPr="728F2DAF">
        <w:rPr>
          <w:lang w:val="en-GB"/>
        </w:rPr>
        <w:t xml:space="preserve">they </w:t>
      </w:r>
      <w:r w:rsidR="3A647DF7" w:rsidRPr="728F2DAF">
        <w:rPr>
          <w:lang w:val="en-GB"/>
        </w:rPr>
        <w:t>create</w:t>
      </w:r>
      <w:r w:rsidR="14B040D6" w:rsidRPr="728F2DAF">
        <w:rPr>
          <w:lang w:val="en-GB"/>
        </w:rPr>
        <w:t xml:space="preserve"> </w:t>
      </w:r>
      <w:r w:rsidR="3A647DF7" w:rsidRPr="728F2DAF">
        <w:rPr>
          <w:lang w:val="en-GB"/>
        </w:rPr>
        <w:t xml:space="preserve">disturbed and transformed habitat </w:t>
      </w:r>
      <w:r w:rsidR="0BCF681A" w:rsidRPr="728F2DAF">
        <w:rPr>
          <w:lang w:val="en-GB"/>
        </w:rPr>
        <w:t xml:space="preserve">such as road and canal verges </w:t>
      </w:r>
      <w:r w:rsidR="3A647DF7" w:rsidRPr="728F2DAF">
        <w:rPr>
          <w:lang w:val="en-GB"/>
        </w:rPr>
        <w:t xml:space="preserve">that allow </w:t>
      </w:r>
      <w:r w:rsidRPr="728F2DAF">
        <w:rPr>
          <w:lang w:val="en-GB"/>
        </w:rPr>
        <w:t xml:space="preserve">subsequent establishment and spread of </w:t>
      </w:r>
      <w:r w:rsidR="4B00806F" w:rsidRPr="728F2DAF">
        <w:rPr>
          <w:lang w:val="en-GB"/>
        </w:rPr>
        <w:t xml:space="preserve">invasive alien species </w:t>
      </w:r>
      <w:r w:rsidR="3A647DF7" w:rsidRPr="728F2DAF">
        <w:rPr>
          <w:lang w:val="en-GB"/>
        </w:rPr>
        <w:t xml:space="preserve">into </w:t>
      </w:r>
      <w:r w:rsidRPr="728F2DAF">
        <w:rPr>
          <w:lang w:val="en-GB"/>
        </w:rPr>
        <w:t xml:space="preserve">otherwise impassable regions. The mechanism of the </w:t>
      </w:r>
      <w:r w:rsidR="0C799DF1" w:rsidRPr="728F2DAF">
        <w:rPr>
          <w:lang w:val="en-GB"/>
        </w:rPr>
        <w:t>influence</w:t>
      </w:r>
      <w:r w:rsidRPr="728F2DAF">
        <w:rPr>
          <w:lang w:val="en-GB"/>
        </w:rPr>
        <w:t xml:space="preserve"> of anthropogenic corridors on the </w:t>
      </w:r>
      <w:r w:rsidR="6DE4EBCB" w:rsidRPr="728F2DAF">
        <w:rPr>
          <w:lang w:val="en-GB"/>
        </w:rPr>
        <w:t xml:space="preserve">stages of the </w:t>
      </w:r>
      <w:r w:rsidR="7E6E2558" w:rsidRPr="728F2DAF">
        <w:rPr>
          <w:lang w:val="en-GB"/>
        </w:rPr>
        <w:t xml:space="preserve">biological </w:t>
      </w:r>
      <w:r w:rsidRPr="728F2DAF">
        <w:rPr>
          <w:lang w:val="en-GB"/>
        </w:rPr>
        <w:t xml:space="preserve">invasion </w:t>
      </w:r>
      <w:r w:rsidR="7286E6B4" w:rsidRPr="728F2DAF">
        <w:rPr>
          <w:lang w:val="en-GB"/>
        </w:rPr>
        <w:t xml:space="preserve">process </w:t>
      </w:r>
      <w:r w:rsidR="0BCF681A" w:rsidRPr="728F2DAF">
        <w:rPr>
          <w:lang w:val="en-GB"/>
        </w:rPr>
        <w:t>can be summar</w:t>
      </w:r>
      <w:r w:rsidR="55DFD73D" w:rsidRPr="728F2DAF">
        <w:rPr>
          <w:lang w:val="en-GB"/>
        </w:rPr>
        <w:t>ize</w:t>
      </w:r>
      <w:r w:rsidR="0BCF681A" w:rsidRPr="728F2DAF">
        <w:rPr>
          <w:lang w:val="en-GB"/>
        </w:rPr>
        <w:t xml:space="preserve">d </w:t>
      </w:r>
      <w:r w:rsidRPr="728F2DAF">
        <w:rPr>
          <w:lang w:val="en-GB"/>
        </w:rPr>
        <w:t>as follows</w:t>
      </w:r>
      <w:r w:rsidR="0BCF681A" w:rsidRPr="728F2DAF">
        <w:rPr>
          <w:lang w:val="en-GB"/>
        </w:rPr>
        <w:t>;</w:t>
      </w:r>
      <w:r w:rsidRPr="728F2DAF">
        <w:rPr>
          <w:lang w:val="en-GB"/>
        </w:rPr>
        <w:t xml:space="preserve"> 1) allowing easier transport and spread of </w:t>
      </w:r>
      <w:r w:rsidR="4B00806F" w:rsidRPr="728F2DAF">
        <w:rPr>
          <w:lang w:val="en-GB"/>
        </w:rPr>
        <w:t xml:space="preserve">invasive alien species </w:t>
      </w:r>
      <w:r w:rsidRPr="728F2DAF">
        <w:rPr>
          <w:lang w:val="en-GB"/>
        </w:rPr>
        <w:t>by natural (</w:t>
      </w:r>
      <w:r w:rsidR="6693D004" w:rsidRPr="728F2DAF">
        <w:rPr>
          <w:lang w:val="en-GB"/>
        </w:rPr>
        <w:t xml:space="preserve">e.g., </w:t>
      </w:r>
      <w:r w:rsidRPr="728F2DAF">
        <w:rPr>
          <w:lang w:val="en-GB"/>
        </w:rPr>
        <w:t xml:space="preserve">wind, </w:t>
      </w:r>
      <w:r w:rsidR="03232C29" w:rsidRPr="728F2DAF">
        <w:rPr>
          <w:lang w:val="en-GB"/>
        </w:rPr>
        <w:t xml:space="preserve">water, </w:t>
      </w:r>
      <w:r w:rsidRPr="728F2DAF">
        <w:rPr>
          <w:lang w:val="en-GB"/>
        </w:rPr>
        <w:t xml:space="preserve">animals) or human </w:t>
      </w:r>
      <w:r w:rsidR="636BE5EB" w:rsidRPr="728F2DAF">
        <w:rPr>
          <w:lang w:val="en-GB"/>
        </w:rPr>
        <w:t xml:space="preserve">mediated </w:t>
      </w:r>
      <w:r w:rsidRPr="728F2DAF">
        <w:rPr>
          <w:lang w:val="en-GB"/>
        </w:rPr>
        <w:t>(e.g., cars, trains, ships</w:t>
      </w:r>
      <w:r w:rsidR="03232C29" w:rsidRPr="728F2DAF">
        <w:rPr>
          <w:lang w:val="en-GB"/>
        </w:rPr>
        <w:t>, people</w:t>
      </w:r>
      <w:r w:rsidRPr="728F2DAF">
        <w:rPr>
          <w:lang w:val="en-GB"/>
        </w:rPr>
        <w:t xml:space="preserve">) vectors, 2) facilitating establishment of </w:t>
      </w:r>
      <w:r w:rsidR="4B00806F" w:rsidRPr="728F2DAF">
        <w:rPr>
          <w:lang w:val="en-GB"/>
        </w:rPr>
        <w:t xml:space="preserve">invasive alien species </w:t>
      </w:r>
      <w:r w:rsidRPr="728F2DAF">
        <w:rPr>
          <w:lang w:val="en-GB"/>
        </w:rPr>
        <w:t xml:space="preserve">by </w:t>
      </w:r>
      <w:r w:rsidR="03232C29" w:rsidRPr="728F2DAF">
        <w:rPr>
          <w:lang w:val="en-GB"/>
        </w:rPr>
        <w:t xml:space="preserve">disturbing, </w:t>
      </w:r>
      <w:r w:rsidRPr="728F2DAF">
        <w:rPr>
          <w:lang w:val="en-GB"/>
        </w:rPr>
        <w:t>stressing or removing native species</w:t>
      </w:r>
      <w:r w:rsidR="723A93E8" w:rsidRPr="728F2DAF">
        <w:rPr>
          <w:lang w:val="en-GB"/>
        </w:rPr>
        <w:t xml:space="preserve"> </w:t>
      </w:r>
      <w:r w:rsidR="0164D895" w:rsidRPr="728F2DAF">
        <w:rPr>
          <w:lang w:val="en-GB"/>
        </w:rPr>
        <w:t xml:space="preserve">and ecosystems </w:t>
      </w:r>
      <w:r w:rsidR="03232C29" w:rsidRPr="728F2DAF">
        <w:rPr>
          <w:lang w:val="en-GB"/>
        </w:rPr>
        <w:t>along corridor verges</w:t>
      </w:r>
      <w:r w:rsidRPr="728F2DAF">
        <w:rPr>
          <w:lang w:val="en-GB"/>
        </w:rPr>
        <w:t xml:space="preserve">, 3) providing new </w:t>
      </w:r>
      <w:r w:rsidR="03232C29" w:rsidRPr="728F2DAF">
        <w:rPr>
          <w:lang w:val="en-GB"/>
        </w:rPr>
        <w:t xml:space="preserve">corridor verge </w:t>
      </w:r>
      <w:r w:rsidRPr="728F2DAF">
        <w:rPr>
          <w:lang w:val="en-GB"/>
        </w:rPr>
        <w:t xml:space="preserve">habitats for </w:t>
      </w:r>
      <w:r w:rsidR="4451AB0B" w:rsidRPr="728F2DAF">
        <w:rPr>
          <w:lang w:val="en-GB"/>
        </w:rPr>
        <w:t xml:space="preserve">invasive alien species </w:t>
      </w:r>
      <w:r w:rsidRPr="728F2DAF">
        <w:rPr>
          <w:lang w:val="en-GB"/>
        </w:rPr>
        <w:t xml:space="preserve">to establish and spread by altering </w:t>
      </w:r>
      <w:r w:rsidR="0164D895" w:rsidRPr="728F2DAF">
        <w:rPr>
          <w:lang w:val="en-GB"/>
        </w:rPr>
        <w:t xml:space="preserve">abiotic </w:t>
      </w:r>
      <w:r w:rsidRPr="728F2DAF">
        <w:rPr>
          <w:lang w:val="en-GB"/>
        </w:rPr>
        <w:t>environmental conditions</w:t>
      </w:r>
      <w:r w:rsidR="03232C29" w:rsidRPr="728F2DAF">
        <w:rPr>
          <w:lang w:val="en-GB"/>
        </w:rPr>
        <w:t xml:space="preserve"> (</w:t>
      </w:r>
      <w:r w:rsidR="0164D895" w:rsidRPr="728F2DAF">
        <w:rPr>
          <w:lang w:val="en-GB"/>
        </w:rPr>
        <w:t xml:space="preserve">e.g., </w:t>
      </w:r>
      <w:r w:rsidR="03232C29" w:rsidRPr="728F2DAF">
        <w:rPr>
          <w:lang w:val="en-GB"/>
        </w:rPr>
        <w:t xml:space="preserve">soils, </w:t>
      </w:r>
      <w:r w:rsidR="0164D895" w:rsidRPr="728F2DAF">
        <w:rPr>
          <w:lang w:val="en-GB"/>
        </w:rPr>
        <w:t>hydrology, wind</w:t>
      </w:r>
      <w:r w:rsidR="7E9CF6C3" w:rsidRPr="728F2DAF">
        <w:rPr>
          <w:lang w:val="en-GB"/>
        </w:rPr>
        <w:t>;</w:t>
      </w:r>
      <w:r w:rsidRPr="728F2DAF">
        <w:rPr>
          <w:lang w:val="en-GB"/>
        </w:rPr>
        <w:t xml:space="preserve"> </w:t>
      </w:r>
      <w:r w:rsidR="008C1BF7" w:rsidRPr="728F2DAF">
        <w:rPr>
          <w:lang w:val="en-GB"/>
        </w:rPr>
        <w:fldChar w:fldCharType="begin"/>
      </w:r>
      <w:r w:rsidR="00331A79">
        <w:rPr>
          <w:lang w:val="en-GB"/>
        </w:rPr>
        <w:instrText xml:space="preserve"> ADDIN ZOTERO_ITEM CSL_CITATION {"citationID":"nkPVAepJ","properties":{"formattedCitation":"(Trombulak &amp; Frissell, 2000)","plainCitation":"(Trombulak &amp; Frissell, 2000)","dontUpdate":true,"noteIndex":0},"citationItems":[{"id":16991,"uris":["http://zotero.org/groups/2352922/items/PGBUDNXY"],"itemData":{"id":16991,"type":"article-journal","abstract":"Roads are a widespread and increasing feature of most landscapes. We reviewed the scientific literature on the ecological effects of roads and found support for the general conclusion that they are associated with negative effects on biotic integrity in both terrestrial and aquatic ecosystems. Roads of all kinds have seven general effects: mortality from road construction, mortality from collision with vehicles, modification of animal behavior, alteration of the physical environment, alteration of the chemical environment, spread of exotics, and increased use of areas by humans. Road construction kills sessile and slow-moving organisms, injuries organisms adjacent to a road, and alters physical conditions beneath a road. Vehicle collisions affect the demography of many species, both vertebrates and invertebrates; mitigation measures to reduce roadkill have been only partly successful. Roads alter animal behavior by causing changes in home ranges, movement, reproductive success, escape response, and physiological state. Roads chang soil density, temperature, soil water content, light levels, dust, surface waters, patterns of runoff, and sedimentation, as well as adding heavy metals (especially lead), salts, organic molecules, ozone, and nutrients to roadside environments. Roads promote the dispersal of exotic species by altering habitats, stressing native species, and providing movement corridors. Roads also promote increased hunting, fishing, passive harassment of animals, and landscape modifications. Not all species and ecosystems are equally affected by roads, but overall the presence of roads is highly correlated with changes in species composition, population sizes, and hydrologic and geomorphic processes that shape aquatic and riparian systems. More experimental research is needed to complement post-hoc correlative studies. Our review underscores the importance to conservation of avoiding construction of new roads in roadless or sparsely roaded areas and of removal or restoration of existing roads to benefit both terrestrial and aquatic biota.","container-title":"Conservation Biology","DOI":"10.1046/j.1523-1739.2000.99084.x","ISSN":"1523-1739","issue":"1","language":"en","page":"18-30","source":"Wiley Online Library","title":"Review of Ecological Effects of Roads on Terrestrial and Aquatic Communities","URL":"https://conbio.onlinelibrary.wiley.com/doi/abs/10.1046/j.1523-1739.2000.99084.x","volume":"14","author":[{"family":"Trombulak","given":"Stephen C."},{"family":"Frissell","given":"Christopher A."}],"accessed":{"date-parts":[["2019",9,18]]},"issued":{"date-parts":[["2000",2]]}},"label":"page"}],"schema":"https://github.com/citation-style-language/schema/raw/master/csl-citation.json"} </w:instrText>
      </w:r>
      <w:r w:rsidR="008C1BF7" w:rsidRPr="728F2DAF">
        <w:rPr>
          <w:lang w:val="en-GB"/>
        </w:rPr>
        <w:fldChar w:fldCharType="separate"/>
      </w:r>
      <w:r w:rsidR="2DEF58DB" w:rsidRPr="728F2DAF">
        <w:rPr>
          <w:lang w:val="en-GB"/>
        </w:rPr>
        <w:t>Trombulak &amp; Frissell, 2000)</w:t>
      </w:r>
      <w:r w:rsidR="008C1BF7" w:rsidRPr="728F2DAF">
        <w:rPr>
          <w:lang w:val="en-GB"/>
        </w:rPr>
        <w:fldChar w:fldCharType="end"/>
      </w:r>
      <w:r w:rsidRPr="728F2DAF">
        <w:rPr>
          <w:lang w:val="en-GB"/>
        </w:rPr>
        <w:t>.</w:t>
      </w:r>
    </w:p>
    <w:p w14:paraId="1AE19C7B" w14:textId="75847276" w:rsidR="00831041" w:rsidRPr="00DA249F" w:rsidRDefault="008C1BF7" w:rsidP="00937AC5">
      <w:pPr>
        <w:spacing w:before="0" w:after="0"/>
        <w:rPr>
          <w:rFonts w:ascii="Calibri" w:eastAsia="Times New Roman" w:hAnsi="Calibri" w:cs="Calibri"/>
          <w:color w:val="000000"/>
          <w:sz w:val="22"/>
          <w:lang w:val="en-GB" w:eastAsia="zh-CN"/>
        </w:rPr>
      </w:pPr>
      <w:r w:rsidRPr="00DA249F">
        <w:rPr>
          <w:lang w:val="en-GB"/>
        </w:rPr>
        <w:t xml:space="preserve">In terrestrial biomes, several global surveys </w:t>
      </w:r>
      <w:r w:rsidR="6389492C" w:rsidRPr="00DA249F">
        <w:rPr>
          <w:lang w:val="en-GB"/>
        </w:rPr>
        <w:t>provide</w:t>
      </w:r>
      <w:r w:rsidRPr="00DA249F">
        <w:rPr>
          <w:lang w:val="en-GB"/>
        </w:rPr>
        <w:t xml:space="preserve"> evidence that </w:t>
      </w:r>
      <w:r w:rsidR="00D6400C" w:rsidRPr="00DA249F">
        <w:rPr>
          <w:lang w:val="en-GB"/>
        </w:rPr>
        <w:t xml:space="preserve">the abundance and diversity of alien plants is </w:t>
      </w:r>
      <w:r w:rsidR="00672B25" w:rsidRPr="00DA249F">
        <w:rPr>
          <w:lang w:val="en-GB"/>
        </w:rPr>
        <w:t>higher</w:t>
      </w:r>
      <w:r w:rsidR="00D6400C" w:rsidRPr="00DA249F">
        <w:rPr>
          <w:lang w:val="en-GB"/>
        </w:rPr>
        <w:t xml:space="preserve"> along </w:t>
      </w:r>
      <w:r w:rsidRPr="00DA249F">
        <w:rPr>
          <w:lang w:val="en-GB"/>
        </w:rPr>
        <w:t xml:space="preserve">roads </w:t>
      </w:r>
      <w:r w:rsidR="00672B25" w:rsidRPr="00DA249F">
        <w:rPr>
          <w:lang w:val="en-GB"/>
        </w:rPr>
        <w:t xml:space="preserve">compared to </w:t>
      </w:r>
      <w:r w:rsidR="001A6B4E" w:rsidRPr="00DA249F">
        <w:rPr>
          <w:lang w:val="en-GB"/>
        </w:rPr>
        <w:t xml:space="preserve">adjacent </w:t>
      </w:r>
      <w:r w:rsidR="00672B25" w:rsidRPr="00DA249F">
        <w:rPr>
          <w:lang w:val="en-GB"/>
        </w:rPr>
        <w:t xml:space="preserve">native habitat, </w:t>
      </w:r>
      <w:r w:rsidRPr="00DA249F">
        <w:rPr>
          <w:lang w:val="en-GB"/>
        </w:rPr>
        <w:t xml:space="preserve">and </w:t>
      </w:r>
      <w:r w:rsidR="00D6400C" w:rsidRPr="00DA249F">
        <w:rPr>
          <w:lang w:val="en-GB"/>
        </w:rPr>
        <w:t>decrease</w:t>
      </w:r>
      <w:r w:rsidR="00672B25" w:rsidRPr="00DA249F">
        <w:rPr>
          <w:lang w:val="en-GB"/>
        </w:rPr>
        <w:t>s</w:t>
      </w:r>
      <w:r w:rsidR="00D6400C" w:rsidRPr="00DA249F">
        <w:rPr>
          <w:lang w:val="en-GB"/>
        </w:rPr>
        <w:t xml:space="preserve"> with </w:t>
      </w:r>
      <w:r w:rsidRPr="00DA249F">
        <w:rPr>
          <w:lang w:val="en-GB"/>
        </w:rPr>
        <w:t xml:space="preserve">distance </w:t>
      </w:r>
      <w:r w:rsidR="001A6B4E" w:rsidRPr="00DA249F">
        <w:rPr>
          <w:lang w:val="en-GB"/>
        </w:rPr>
        <w:t xml:space="preserve">away </w:t>
      </w:r>
      <w:r w:rsidRPr="00DA249F">
        <w:rPr>
          <w:lang w:val="en-GB"/>
        </w:rPr>
        <w:t xml:space="preserve">from </w:t>
      </w:r>
      <w:r w:rsidR="001A6B4E" w:rsidRPr="00DA249F">
        <w:rPr>
          <w:lang w:val="en-GB"/>
        </w:rPr>
        <w:t xml:space="preserve">the </w:t>
      </w:r>
      <w:r w:rsidRPr="00DA249F">
        <w:rPr>
          <w:lang w:val="en-GB"/>
        </w:rPr>
        <w:t xml:space="preserve">roads </w:t>
      </w:r>
      <w:r w:rsidRPr="00DA249F">
        <w:rPr>
          <w:lang w:val="en-GB"/>
        </w:rPr>
        <w:fldChar w:fldCharType="begin"/>
      </w:r>
      <w:r w:rsidR="00331A79">
        <w:rPr>
          <w:lang w:val="en-GB"/>
        </w:rPr>
        <w:instrText xml:space="preserve"> ADDIN ZOTERO_ITEM CSL_CITATION {"citationID":"AjcD76IZ","properties":{"formattedCitation":"(L\\uc0\\u225{}zaro-Lobo &amp; Ervin, 2019; Su\\uc0\\u225{}rez-Esteban et al., 2016)","plainCitation":"(Lázaro-Lobo &amp; Ervin, 2019; Suárez-Esteban et al., 2016)","noteIndex":0},"citationItems":[{"id":15119,"uris":["http://zotero.org/groups/2352922/items/LYC3VYAJ"],"itemData":{"id":15119,"type":"article-journal","abstract":"ContextSeed-dispersing animals often move along “linear gaps” (linear anthropogenic features such as roads and trails that contain little vegetation), especially in densely-vegetated landscapes. As a result, linear gaps and their verges may receive more seeds than adjacent habitats. In addition, linear gap verges may provide more suitable conditions for plant establishment than neighboring habitats. In this way, linear gaps may increase plant abundance and diversity, and facilitate connectivity of native and non-native plant populations, ultimately increasing plant diversity in the landscape.ObjectivesWe reviewed current evidence for the potential of anthropogenic linear gaps to increase plant abundance and diversity, and for the mechanisms involved.MethodsWe reviewed peer-reviewed literature published up to December 31st, 2014.ResultsMost (69.2 %) studies found significantly higher plant abundance and/or diversity in linear gap verges than in adjacent habitats. This suggests that linear gaps can increase plant abundance and diversity, and possibly facilitate population spread. However, there was a strong bias toward the study of exotic species. In addition, there were few mechanistic studies to allow estimation of the relative contributions of dispersal and post-dispersal mechanisms operating in linear gaps.ConclusionsFuture studies should focus on entire plant communities, not just exotic species, and should allow identification of the mechanisms by which linear gaps increase plant abundance and diversity. With this knowledge in hand, we will be in a better position to understand whether the net benefit of linear gaps for plant diversity in general outweigh their facilitation of the spread of exotic species.","container-title":"Landscape Ecology","DOI":"10.1007/s10980-015-0329-7","ISSN":"1572-9761","issue":"4","journalAbbreviation":"Landscape Ecol","language":"en","page":"721-729","source":"Springer Link","title":"Can anthropogenic linear gaps increase plant abundance and diversity?","URL":"https://doi.org/10.1007/s10980-015-0329-7","volume":"31","author":[{"family":"Suárez-Esteban","given":"Alberto"},{"family":"Fahrig","given":"Lenore"},{"family":"Delibes","given":"Miguel"},{"family":"Fedriani","given":"José M."}],"accessed":{"date-parts":[["2019",9,18]]},"issued":{"date-parts":[["2016",5,1]]}},"label":"page"},{"id":15238,"uris":["http://zotero.org/groups/2352922/items/M7478KIH"],"itemData":{"id":15238,"type":"article-journal","abstract":"Roads cause multiple ecological impacts by altering biotic and abiotic conditions that affect ecosystem structure and functioning from local to regional scales. Roadside plant assemblages are driven by the interplay between propagule arrival and seedling establishment, which are highly influenced by roadside characteristics, landscape configuration and road management and maintenance practices. Multiple plant species with different growth forms use roadsides as temporary or permanent habitats and/or dispersal corridors. Over the past seven decades, numerous studies have documented how roadsides affect the distribution and dispersal of plant species; however, a comprehensive review of those is lacking in the literature. Here, we addressed this issue and found 1,098 studies that met all the study eligibility criteria. Over half of the studies reported the effects of roadsides on the distribution and dispersal of exotic/weed species only, of which all but one indicated a positive effect, and around three quarters of the studies that considered native species showed a positive effect of roadsides on such species. Only 10 studies corroborated the use of roadsides as linear corridors by some native species to expand their distributional ranges. Generally, roadsides had the most positive effects for native species in landscapes that are greatly impacted by intensive agriculture, urbanization and forest management, while negative effects were concentrated in areas that have not been highly altered by humans. Furthermore, studies regarding exotic/weed species were concentrated within a few regions of the world. We conclude that roadsides are key to maintain native biodiversity, especially in highly modified anthropogenic landscapes, but also serve as landscape corridors for exotic species.","container-title":"Global Ecology and Conservation","DOI":"10.1016/j.gecco.2019.e00555","ISSN":"2351-9894","journalAbbreviation":"Global Ecology and Conservation","page":"e00555","source":"ScienceDirect","title":"A global examination on the differential impacts of roadsides on native vs. exotic and weedy plant species","URL":"http://www.sciencedirect.com/science/article/pii/S2351989418304797","volume":"17","author":[{"family":"Lázaro-Lobo","given":"Adrián"},{"family":"Ervin","given":"Gary N."}],"accessed":{"date-parts":[["2019",9,24]]},"issued":{"date-parts":[["2019",1,1]]}},"label":"page"}],"schema":"https://github.com/citation-style-language/schema/raw/master/csl-citation.json"} </w:instrText>
      </w:r>
      <w:r w:rsidRPr="00DA249F">
        <w:rPr>
          <w:lang w:val="en-GB"/>
        </w:rPr>
        <w:fldChar w:fldCharType="separate"/>
      </w:r>
      <w:r w:rsidR="00144D96" w:rsidRPr="00144D96">
        <w:rPr>
          <w:szCs w:val="24"/>
        </w:rPr>
        <w:t>(Lázaro-Lobo &amp; Ervin, 2019; Suárez-Esteban et al., 2016)</w:t>
      </w:r>
      <w:r w:rsidRPr="00DA249F">
        <w:rPr>
          <w:lang w:val="en-GB"/>
        </w:rPr>
        <w:fldChar w:fldCharType="end"/>
      </w:r>
      <w:r w:rsidRPr="00DA249F">
        <w:rPr>
          <w:lang w:val="en-GB"/>
        </w:rPr>
        <w:t xml:space="preserve">. The long linear features of roads and railways facilitate the long-distance dispersal of alien seeds </w:t>
      </w:r>
      <w:r w:rsidRPr="00DA249F">
        <w:rPr>
          <w:lang w:val="en-GB"/>
        </w:rPr>
        <w:fldChar w:fldCharType="begin"/>
      </w:r>
      <w:r w:rsidR="00331A79">
        <w:rPr>
          <w:lang w:val="en-GB"/>
        </w:rPr>
        <w:instrText xml:space="preserve"> ADDIN ZOTERO_ITEM CSL_CITATION {"citationID":"s4qYngDf","properties":{"formattedCitation":"(Hulme, 2006)","plainCitation":"(Hulme, 2006)","noteIndex":0},"citationItems":[{"id":32675,"uris":["http://zotero.org/groups/2352922/items/NVSTIA5W"],"itemData":{"id":32675,"type":"article-journal","abstract":"1 Government departments, environmental managers and conservationists are all facing escalating pressure to address and resolve a diversity of invasive alien species (IAS) problems. Yet much research to date is primarily concerned with quantifying the scale of the problem rather than delivering robust solutions and has not adequately addressed all stages of the invasion process, and only a few studies embrace the ecosystem approach. 2 Three successive steps, prevention, eradication and control, form the cornerstones of recommended best practices aimed at managing IAS. The goal of such actions is the restoration of ecosystems to preserve or re-establish native biodiversity and functions. 3 Prevention is widely promoted as being a more environmentally desirable strategy than actions undertaken after IAS establishment, yet is hindered by the difficulty in separating invasive from non-invasive alien species. Furthermore, the high number of candidate IAS, the investment required in taxonomic support and inspection capacity, and the expense of individual risk assessments may act against the net benefits of prevention. More rewarding avenues may be found by pursuing neural networks to predict the potential composition of pest assemblages in different regions and/or model introduction pathways to identify likely invasion hubs. 4 Rapid response should be consequent on early detection but, when IAS are rare, detection rates are compromised by low occurrence and limited power to discern significant changes in abundance. Power could be increased by developing composite indicators that track trends in a suite of IAS with similar life histories, shared pathways and/or habitat preferences. 5 The assessment of management options will benefit from an ecosystem perspective that considers the manipulation of native competitors, consumers and mutualists, and reviews existing management practices as well as mitigates other environmental pressures. The ease with which an IAS can be targeted should not only address the direct management effects on population dynamics but also indirect effects on community diversity and structure. Where the goal is to safeguard native biodiversity, such activities should take into account the need to re-establish native species and/or restore ecosystem function in the previously affected area. 6 Synthesis and applications. A comprehensive approach to IAS management should include consideration of the: (i) expected impacts; (ii) technical options available; (iii) ease with which the species can be targeted; (iv) risks associated with management; (v) likelihood of success; and (vi) extent of public concern and stakeholder interest. For each of these issues, in addition to targeting an individual species, the management of biological invasions must also incorporate an appreciation of other environmental pressures, the importance of landscape structure, and the role of existing management activities and restoration efforts.","container-title":"Journal of Applied Ecology","DOI":"10.1111/j.1365-2664.2006.01227.x","ISSN":"1365-2664","issue":"5","language":"en","note":"_eprint: https://onlinelibrary.wiley.com/doi/pdf/10.1111/j.1365-2664.2006.01227.x","page":"835-847","source":"Wiley Online Library","title":"Beyond control: wider implications for the management of biological invasions","title-short":"Beyond control","URL":"https://onlinelibrary.wiley.com/doi/abs/10.1111/j.1365-2664.2006.01227.x","volume":"43","author":[{"family":"Hulme","given":"Philip E."}],"accessed":{"date-parts":[["2021",12,8]]},"issued":{"date-parts":[["2006"]]}},"label":"page"}],"schema":"https://github.com/citation-style-language/schema/raw/master/csl-citation.json"} </w:instrText>
      </w:r>
      <w:r w:rsidRPr="00DA249F">
        <w:rPr>
          <w:lang w:val="en-GB"/>
        </w:rPr>
        <w:fldChar w:fldCharType="separate"/>
      </w:r>
      <w:r w:rsidR="00144D96" w:rsidRPr="00144D96">
        <w:t>(Hulme, 2006)</w:t>
      </w:r>
      <w:r w:rsidRPr="00DA249F">
        <w:rPr>
          <w:lang w:val="en-GB"/>
        </w:rPr>
        <w:fldChar w:fldCharType="end"/>
      </w:r>
      <w:r w:rsidRPr="00DA249F">
        <w:rPr>
          <w:lang w:val="en-GB"/>
        </w:rPr>
        <w:t xml:space="preserve">. In a selectively logged tropical forest </w:t>
      </w:r>
      <w:r w:rsidR="00755DE4">
        <w:rPr>
          <w:lang w:val="en-GB"/>
        </w:rPr>
        <w:t>in</w:t>
      </w:r>
      <w:r w:rsidRPr="00DA249F">
        <w:rPr>
          <w:lang w:val="en-GB"/>
        </w:rPr>
        <w:t xml:space="preserve"> Bolivia, logging vehicles spread the seeds of </w:t>
      </w:r>
      <w:r w:rsidR="00310188">
        <w:rPr>
          <w:lang w:val="en-GB"/>
        </w:rPr>
        <w:t>the</w:t>
      </w:r>
      <w:r w:rsidRPr="00DA249F">
        <w:rPr>
          <w:lang w:val="en-GB"/>
        </w:rPr>
        <w:t xml:space="preserve"> alien </w:t>
      </w:r>
      <w:r w:rsidR="00B45C36" w:rsidRPr="00DA249F">
        <w:rPr>
          <w:i/>
          <w:iCs/>
          <w:lang w:val="en-GB"/>
        </w:rPr>
        <w:t>Megathyrsus maximus</w:t>
      </w:r>
      <w:r w:rsidR="002B5583" w:rsidRPr="00DA249F">
        <w:rPr>
          <w:lang w:val="en-GB"/>
        </w:rPr>
        <w:t xml:space="preserve"> </w:t>
      </w:r>
      <w:r w:rsidR="002B5583" w:rsidRPr="00DA249F">
        <w:rPr>
          <w:szCs w:val="24"/>
          <w:lang w:val="en-GB"/>
        </w:rPr>
        <w:t>(</w:t>
      </w:r>
      <w:r w:rsidR="00937AC5" w:rsidRPr="00DA249F">
        <w:rPr>
          <w:rFonts w:eastAsia="Times New Roman"/>
          <w:color w:val="000000"/>
          <w:szCs w:val="24"/>
          <w:lang w:val="en-GB" w:eastAsia="zh-CN"/>
        </w:rPr>
        <w:t>Guinea grass</w:t>
      </w:r>
      <w:r w:rsidR="002B5583" w:rsidRPr="00DA249F">
        <w:rPr>
          <w:szCs w:val="24"/>
          <w:lang w:val="en-GB"/>
        </w:rPr>
        <w:t>)</w:t>
      </w:r>
      <w:r w:rsidRPr="00DA249F">
        <w:rPr>
          <w:lang w:val="en-GB"/>
        </w:rPr>
        <w:t xml:space="preserve"> at least 500 m from the established populations </w:t>
      </w:r>
      <w:r w:rsidRPr="00DA249F">
        <w:rPr>
          <w:lang w:val="en-GB"/>
        </w:rPr>
        <w:fldChar w:fldCharType="begin"/>
      </w:r>
      <w:r w:rsidR="00331A79">
        <w:rPr>
          <w:lang w:val="en-GB"/>
        </w:rPr>
        <w:instrText xml:space="preserve"> ADDIN ZOTERO_ITEM CSL_CITATION {"citationID":"8DFinepC","properties":{"formattedCitation":"(Veldman &amp; Putz, 2010)","plainCitation":"(Veldman &amp; Putz, 2010)","noteIndex":0},"citationItems":[{"id":21868,"uris":["http://zotero.org/groups/2352922/items/MEWWU4ZQ"],"itemData":{"id":21868,"type":"article-journal","abstract":"Predicting responses of vegetation to environmental factors in human-altered tropical ecosystems requires an understanding of the controls on plant population expansion across landscapes (i.e., long-distance dispersal) as well as of factors affecting recruitment at local scales (i.e., microsite conditions). We studied the roles of light availability, habitat type, soil disturbance, and seed dispersal in a selectively logged forest in lowland Bolivia where the exotic forage grass Urochloa (Panicum) maxima is abundant on roads and log landings but does not invade felling gaps or unlogged forest. Shade-house trials and seed addition experiments with U. maxima revealed that this C₄ grass thrives in high light but also grows in partial shade (10% full sun, but not 1% full sun), and that felling gaps, but not undisturbed forest, are suitable for grass establishment. To determine if seed dispersal by logging vehicles explains the discrepancy between actual and potential grass recruitment sites, we collected grass seeds that fell from trucks onto log landings located long distances (&gt; 500 m) from established grass populations. Trucks dispersed an estimated 1800 alien grass seeds per log landing during the early dry season; automobiles also transported seeds of grass (135 seeds/vehicle). The seeds collected (and relative abundances) were the exotics U. (Panicum) maxima (97%) and Urochloa (Brachiaria) brizantha (2%), and the pan-tropical weeds Sorghum halapense (1%) and Rottboellia cochinchinensis (0.2%). Grasses invade this forest where disturbance coincides with seed dispersal by motor vehicles, while dispersal limitation apparently prevents invasion of many sites otherwise suitable for grass recruitment (i.e., felling and natural gaps).","archive":"JSTOR","container-title":"Biotropica","DOI":"10.1111/j.1744-7429.201 0.00647.x","ISSN":"0006-3606","issue":"6","page":"697-703","source":"JSTOR","title":"Long-distance Dispersal of Invasive Grasses by Logging Vehicles in a Tropical Dry Forest","URL":"https://www.jstor.org/stable/40891350","volume":"42","author":[{"family":"Veldman","given":"Joseph W."},{"family":"Putz","given":"Francis E."}],"accessed":{"date-parts":[["2020",3,6]]},"issued":{"date-parts":[["2010"]]}},"label":"page"}],"schema":"https://github.com/citation-style-language/schema/raw/master/csl-citation.json"} </w:instrText>
      </w:r>
      <w:r w:rsidRPr="00DA249F">
        <w:rPr>
          <w:lang w:val="en-GB"/>
        </w:rPr>
        <w:fldChar w:fldCharType="separate"/>
      </w:r>
      <w:r w:rsidR="00144D96" w:rsidRPr="00144D96">
        <w:t>(Veldman &amp; Putz, 2010)</w:t>
      </w:r>
      <w:r w:rsidRPr="00DA249F">
        <w:rPr>
          <w:lang w:val="en-GB"/>
        </w:rPr>
        <w:fldChar w:fldCharType="end"/>
      </w:r>
      <w:r w:rsidRPr="00DA249F">
        <w:rPr>
          <w:lang w:val="en-GB"/>
        </w:rPr>
        <w:t>. Road density and road age also positively correlate with</w:t>
      </w:r>
      <w:r w:rsidRPr="00DA249F" w:rsidDel="00EE0D7E">
        <w:rPr>
          <w:lang w:val="en-GB"/>
        </w:rPr>
        <w:t xml:space="preserve"> </w:t>
      </w:r>
      <w:r w:rsidRPr="00DA249F">
        <w:rPr>
          <w:lang w:val="en-GB"/>
        </w:rPr>
        <w:t xml:space="preserve">alien </w:t>
      </w:r>
      <w:r w:rsidR="00CD48AD" w:rsidRPr="00DA249F">
        <w:rPr>
          <w:lang w:val="en-GB"/>
        </w:rPr>
        <w:t>species</w:t>
      </w:r>
      <w:r w:rsidR="00EA2F31">
        <w:rPr>
          <w:lang w:val="en-GB"/>
        </w:rPr>
        <w:t>’</w:t>
      </w:r>
      <w:r w:rsidRPr="00DA249F">
        <w:rPr>
          <w:lang w:val="en-GB"/>
        </w:rPr>
        <w:t xml:space="preserve"> distributions </w:t>
      </w:r>
      <w:r w:rsidRPr="00DA249F">
        <w:rPr>
          <w:lang w:val="en-GB"/>
        </w:rPr>
        <w:fldChar w:fldCharType="begin"/>
      </w:r>
      <w:r w:rsidR="008E202A">
        <w:rPr>
          <w:lang w:val="en-GB"/>
        </w:rPr>
        <w:instrText xml:space="preserve"> ADDIN ZOTERO_ITEM CSL_CITATION {"citationID":"TzGyf682","properties":{"formattedCitation":"(Hulme, 2009)","plainCitation":"(Hulme, 2009)","noteIndex":0},"citationItems":[{"id":32387,"uris":["http://zotero.org/groups/2352922/items/M3KQUD2U"],"itemData":{"id":32387,"type":"article-journal","abstract":"1 Humans have traded and transported alien species for millennia with two notable step-changes: the end of the Middle Ages and beginning of the Industrial Revolution. However, in recent decades the world has entered a new phase in the magnitude and diversity of biological invasions: the Era of Globalization. This Special Profile reviews the links between the main drivers of globalization and biological invasions and examines state-of-the-art approaches to pathway risk assessment to illustrate new opportunities for managing invasive species. 2 Income growth is a primary driver of globalization and a clear association exists between Gross Domestic Product and the richness of alien floras and faunas for many regions of the world. In many cases, the exposure of these economies to trade is highlighted by the significant role of merchandise imports in biological invasions, especially for island ecosystems. 3 Post-1950, technical and logistic improvements have accelerated the ease with which commodities are transported across the globe and hindered the traceability of goods and the ease of intercepting pests. New sea, land and air links in international trade and human transport have established novel pathways for the spread of alien species. Increasingly, the science advances underpinning invasive species management must move at the speed of commerce. 4 Increasing transport networks and demand for commodities have led to pathway risk assessments becoming the frontline in the prevention of biological invasions. The diverse routes of introduction arising from contaminant, stowaway, corridor and unaided pathways, in both aquatic and terrestrial biomes are complex. Nevertheless, common features enable comparable approaches to risk assessment. By bringing together spatial data on climate suitability, habitat availability and points of entry, as well a demographic models that include species dispersal (both natural and human-mediated) and measures of propagule pressure, it is possible to generate risk maps highlighting potential invasion hotspots that can inform prevention strategies. 5 Synthesis and applications. To date, most attempts to model pathways have focused on describing the likelihood of invader establishment. Few have modelled explicit management strategies such as optimal detection and inspection strategies and assessments of the effectiveness of different management measures. A future focus in these areas will ensure research informs response.","container-title":"Journal of Applied Ecology","DOI":"10.1111/j.1365-2664.2008.01600.x","ISSN":"1365-2664","issue":"1","language":"en","license":"© 2009 The Author. Journal compilation © 2009 British Ecological Society","page":"10-18","source":"Wiley Online Library","title":"Trade, transport and trouble: managing invasive species pathways in an era of globalization","title-short":"Trade, transport and trouble","URL":"https://besjournals.onlinelibrary.wiley.com/doi/abs/10.1111/j.1365-2664.2008.01600.x","volume":"46","author":[{"family":"Hulme","given":"Philip E."}],"accessed":{"date-parts":[["2019",12,5]]},"issued":{"date-parts":[["2009"]]}},"label":"page"}],"schema":"https://github.com/citation-style-language/schema/raw/master/csl-citation.json"} </w:instrText>
      </w:r>
      <w:r w:rsidRPr="00DA249F">
        <w:rPr>
          <w:lang w:val="en-GB"/>
        </w:rPr>
        <w:fldChar w:fldCharType="separate"/>
      </w:r>
      <w:r w:rsidR="008E202A" w:rsidRPr="008E202A">
        <w:t>(Hulme, 2009)</w:t>
      </w:r>
      <w:r w:rsidRPr="00DA249F">
        <w:rPr>
          <w:lang w:val="en-GB"/>
        </w:rPr>
        <w:fldChar w:fldCharType="end"/>
      </w:r>
      <w:r w:rsidRPr="00DA249F">
        <w:rPr>
          <w:lang w:val="en-GB"/>
        </w:rPr>
        <w:t xml:space="preserve">. For example, alien earthworms </w:t>
      </w:r>
      <w:r w:rsidR="00EE0D7E" w:rsidRPr="00DA249F">
        <w:rPr>
          <w:lang w:val="en-GB"/>
        </w:rPr>
        <w:t xml:space="preserve">have </w:t>
      </w:r>
      <w:r w:rsidRPr="00DA249F">
        <w:rPr>
          <w:lang w:val="en-GB"/>
        </w:rPr>
        <w:t xml:space="preserve">spread farther from older roads in boreal forests of Canada </w:t>
      </w:r>
      <w:r w:rsidRPr="00DA249F">
        <w:rPr>
          <w:lang w:val="en-GB"/>
        </w:rPr>
        <w:fldChar w:fldCharType="begin"/>
      </w:r>
      <w:r w:rsidR="00331A79">
        <w:rPr>
          <w:lang w:val="en-GB"/>
        </w:rPr>
        <w:instrText xml:space="preserve"> ADDIN ZOTERO_ITEM CSL_CITATION {"citationID":"KdHOlvbX","properties":{"formattedCitation":"(Cameron &amp; Bayne, 2009)","plainCitation":"(Cameron &amp; Bayne, 2009)","noteIndex":0},"citationItems":[{"id":15248,"uris":["http://zotero.org/groups/2352922/items/9ZP9MKBY"],"itemData":{"id":15248,"type":"article-journal","abstract":"1 Roads are an important conduit for the spread of invasive species. Road age is a key factor that could influence the susceptibility of roads to invasion as older roads are typically subject to higher cumulative levels of human disturbance and propagule pressure than younger roads. We investigated the effects of road age on the spread of non-native earthworms, which act as ecosystem engineers. 2 We sampled earthworms and habitat variables at 98 roads in the boreal forest of Alberta, Canada, to determine the influence of road age on non-native earthworm occurrence at the landscape level. The extent and rate of local spread were also assessed at seven sites adjacent to old and young roads. Generalized estimating equations and zero-inflated negative binomial regression were used to analyze landscape- and local-level results, respectively. We used our models to create maps that predict the current and potential future extent of earthworms in north-eastern Alberta. 3 Probability of earthworm occurrence and extent of spread increased as road age increased. Areas closer to agriculture and towards the south and west of our study area were also significantly more likely to be invaded by earthworms. 4 Our spread model indicated that approximately 9% of the boreal forest of north-eastern Alberta is likely invaded by earthworms currently. This is projected to increase to 49% of suitable forest habitat over the next 50 years as human development intensifies in this region. 5 Synthesis and applications. Although the effects of roads and linear features are commonly investigated in relation to native species, our results emphasize the importance of considering the impacts of linear feature creation on the spread of invasive species. We demonstrate that road age in particular can be an important factor affecting the spread of invasive species. In the boreal forest, reducing the number of roads being constructed, restricting traffic, and reclaiming temporary roads will be critical to reduce the future extent of earthworm invasions.","container-title":"Journal of Applied Ecology","DOI":"10.1111/j.1365-2664.2008.01535.x","ISSN":"1365-2664","issue":"1","language":"en","license":"© 2008 The Authors. Journal compilation © 2008 British Ecological Society","page":"28-36","source":"Wiley Online Library","title":"Road age and its importance in earthworm invasion of northern boreal forests","URL":"https://besjournals.onlinelibrary.wiley.com/doi/abs/10.1111/j.1365-2664.2008.01535.x","volume":"46","author":[{"family":"Cameron","given":"Erin K."},{"family":"Bayne","given":"Erin M."}],"accessed":{"date-parts":[["2019",9,24]]},"issued":{"date-parts":[["2009"]]}},"label":"page"}],"schema":"https://github.com/citation-style-language/schema/raw/master/csl-citation.json"} </w:instrText>
      </w:r>
      <w:r w:rsidRPr="00DA249F">
        <w:rPr>
          <w:lang w:val="en-GB"/>
        </w:rPr>
        <w:fldChar w:fldCharType="separate"/>
      </w:r>
      <w:r w:rsidR="00144D96" w:rsidRPr="00144D96">
        <w:t>(Cameron &amp; Bayne, 2009)</w:t>
      </w:r>
      <w:r w:rsidRPr="00DA249F">
        <w:rPr>
          <w:lang w:val="en-GB"/>
        </w:rPr>
        <w:fldChar w:fldCharType="end"/>
      </w:r>
      <w:r w:rsidR="00EE0D7E" w:rsidRPr="00DA249F">
        <w:rPr>
          <w:lang w:val="en-GB"/>
        </w:rPr>
        <w:t xml:space="preserve">, suggesting roads </w:t>
      </w:r>
      <w:r w:rsidR="009E1BBE" w:rsidRPr="00DA249F">
        <w:rPr>
          <w:lang w:val="en-GB"/>
        </w:rPr>
        <w:t xml:space="preserve">provide </w:t>
      </w:r>
      <w:r w:rsidR="00A41843" w:rsidRPr="00DA249F">
        <w:rPr>
          <w:lang w:val="en-GB"/>
        </w:rPr>
        <w:t>fringe sources</w:t>
      </w:r>
      <w:r w:rsidR="000F08EF" w:rsidRPr="00DA249F">
        <w:rPr>
          <w:lang w:val="en-GB"/>
        </w:rPr>
        <w:t xml:space="preserve"> </w:t>
      </w:r>
      <w:r w:rsidR="009E1BBE" w:rsidRPr="00DA249F">
        <w:rPr>
          <w:lang w:val="en-GB"/>
        </w:rPr>
        <w:t xml:space="preserve">for </w:t>
      </w:r>
      <w:r w:rsidR="066EF6C1" w:rsidRPr="00DA249F">
        <w:rPr>
          <w:lang w:val="en-GB"/>
        </w:rPr>
        <w:t>coloni</w:t>
      </w:r>
      <w:r w:rsidR="00E22ADC" w:rsidRPr="00DA249F">
        <w:rPr>
          <w:lang w:val="en-GB"/>
        </w:rPr>
        <w:t>z</w:t>
      </w:r>
      <w:r w:rsidR="066EF6C1" w:rsidRPr="00DA249F">
        <w:rPr>
          <w:lang w:val="en-GB"/>
        </w:rPr>
        <w:t>ation</w:t>
      </w:r>
      <w:r w:rsidR="009E1BBE" w:rsidRPr="00DA249F">
        <w:rPr>
          <w:lang w:val="en-GB"/>
        </w:rPr>
        <w:t xml:space="preserve"> of native habitat</w:t>
      </w:r>
      <w:r w:rsidRPr="00DA249F">
        <w:rPr>
          <w:lang w:val="en-GB"/>
        </w:rPr>
        <w:t xml:space="preserve">. </w:t>
      </w:r>
      <w:r w:rsidR="28DA77B9" w:rsidRPr="00DA249F">
        <w:rPr>
          <w:lang w:val="en-GB"/>
        </w:rPr>
        <w:t>A</w:t>
      </w:r>
      <w:r w:rsidRPr="00DA249F">
        <w:rPr>
          <w:lang w:val="en-GB"/>
        </w:rPr>
        <w:t xml:space="preserve">nthropogenic corridors </w:t>
      </w:r>
      <w:r w:rsidR="28DA77B9" w:rsidRPr="00DA249F">
        <w:rPr>
          <w:lang w:val="en-GB"/>
        </w:rPr>
        <w:t xml:space="preserve">also </w:t>
      </w:r>
      <w:r w:rsidRPr="00DA249F">
        <w:rPr>
          <w:lang w:val="en-GB"/>
        </w:rPr>
        <w:t xml:space="preserve">drastically alter the surrounding </w:t>
      </w:r>
      <w:r w:rsidR="00133C6F" w:rsidRPr="00DA249F">
        <w:rPr>
          <w:lang w:val="en-GB"/>
        </w:rPr>
        <w:t xml:space="preserve">biotic, </w:t>
      </w:r>
      <w:r w:rsidRPr="00DA249F">
        <w:rPr>
          <w:lang w:val="en-GB"/>
        </w:rPr>
        <w:t>physical and chemical environments. The edges of anthropogenic corridors (</w:t>
      </w:r>
      <w:r w:rsidR="00930403" w:rsidRPr="00DA249F">
        <w:rPr>
          <w:lang w:val="en-GB"/>
        </w:rPr>
        <w:t xml:space="preserve">e.g., </w:t>
      </w:r>
      <w:r w:rsidRPr="00DA249F">
        <w:rPr>
          <w:lang w:val="en-GB"/>
        </w:rPr>
        <w:t>roadsides, highways, railways) provide favourable habitats for the establishment of alien plants (</w:t>
      </w:r>
      <w:r w:rsidR="00930403" w:rsidRPr="00DA249F">
        <w:rPr>
          <w:lang w:val="en-GB"/>
        </w:rPr>
        <w:t xml:space="preserve">e.g., </w:t>
      </w:r>
      <w:r w:rsidRPr="00DA249F">
        <w:rPr>
          <w:lang w:val="en-GB"/>
        </w:rPr>
        <w:fldChar w:fldCharType="begin"/>
      </w:r>
      <w:r w:rsidR="00331A79">
        <w:rPr>
          <w:lang w:val="en-GB"/>
        </w:rPr>
        <w:instrText xml:space="preserve"> ADDIN ZOTERO_ITEM CSL_CITATION {"citationID":"SEc5Ev78","properties":{"formattedCitation":"(M. J. Hansen &amp; Clevenger, 2005; Jodoin et al., 2008; Sullivan et al., 2009)","plainCitation":"(M. J. Hansen &amp; Clevenger, 2005; Jodoin et al., 2008; Sullivan et al., 2009)","dontUpdate":true,"noteIndex":0},"citationItems":[{"id":28950,"uris":["http://zotero.org/groups/2352922/items/IBIV2ATJ"],"itemData":{"id":28950,"type":"article-journal","abstract":"The impact from transportation corridors on surrounding habitat often reaches far beyond the edge of the corridor. The altered disturbance regime in plant communities along corridor edges and vehicle traffic facilitate the spread and establishment of invasive non-native plant species. We compared the frequency of non-native plant species along highways and railways and the ability of these species to invade grasslands and dense forests along these corridors. We measured the frequency of several non-native plant species along transects 0–150m from the edge of highways and railways in grasslands and forests, as well as at control sites away from corridors. Both transportation corridors had higher frequency of non-native species than respective control sites. Grasslands had higher frequency of non-native species than forested habitats, but the frequency did not differ between the highways and the railways. The frequency of non-native species in grasslands along highways and railways was higher than at grassland control sites up to 150m from the corridor edge, whereas the frequency in forested habitats along corridors was higher than at forested control sites up to only 10m from the corridor edge. There was a significant decrease in the frequency of non-native species with increasing distance from both corridors in the forest, while grasslands showed no significant change in non-native species frequency with distance from corridors. This suggests that corridor edges and grassland habitats act as microhabitats for non-native species and are more prone to invasion than forests, especially if disturbed. Our results emphasize the importance of minimizing the disturbance of adjacent plant communities along highways and railways during construction and maintenance, particularly in grassland habitats and in areas sensitive to additional fragmentation and habitat loss.","container-title":"Biological Conservation","DOI":"10.1016/j.biocon.2005.03.024","ISSN":"0006-3207","issue":"2","journalAbbreviation":"Biological Conservation","language":"English","page":"249-259","source":"ScienceDirect","title":"The influence of disturbance and habitat on the presence of non-native plant species along transport corridors","URL":"http://www.sciencedirect.com/science/article/pii/S0006320705001680","volume":"125","author":[{"family":"Hansen","given":"Malin J."},{"family":"Clevenger","given":"Anthony P."}],"accessed":{"date-parts":[["2019",9,24]]},"issued":{"date-parts":[["2005",9,1]]}},"label":"page"},{"id":15249,"uris":["http://zotero.org/groups/2352922/items/NDRZUC7W"],"itemData":{"id":15249,"type":"article-journal","abstract":"1 Roads provide suitable conditions for the establishment and growth of exotic species. Most roads are bordered by drainage ditches forming a network of linear wetlands. Drainage ditches may serve as habitats and corridors facilitating the spread of aquatic invaders into the intersected ecosystems. The common reed Phragmites australis is one of these aquatic invaders frequently found in marshes and drainage ditches along roads. We hypothesized that highways have acted as corridors for the dispersal of the common reed and have contributed to the invasion of North American wetlands by this species. 2 We mapped the spatial distribution of the common reed along the highway network of the province of Quebec, Canada, where a large-scale invasion of this plant species has been reported since the 1960s. We also identified the genotype of common reed colonies using molecular tools and the main characteristics that favour the presence of the common reed in road ditches. 3 Approximately 67% of the 1359 1-km highway sections surveyed during summer 2003 in Quebec had at least one common reed colony. End to end, common reed colonies totalled 324 km, i.e. 24% of the 1359 km surveyed. 4 Common reed colonies located along the highways wer</w:instrText>
      </w:r>
      <w:r w:rsidR="00331A79">
        <w:rPr>
          <w:rFonts w:hint="eastAsia"/>
          <w:lang w:val="en-GB"/>
        </w:rPr>
        <w:instrText xml:space="preserve">e largely (99%) dominated by the exotic (Eurasian) genotype (haplotype M). 5 The common reed was more abundant along highways located in warm regions, with a sum of growing degree-days (&gt; 5 </w:instrText>
      </w:r>
      <w:r w:rsidR="00331A79">
        <w:rPr>
          <w:rFonts w:hint="eastAsia"/>
          <w:lang w:val="en-GB"/>
        </w:rPr>
        <w:instrText>°</w:instrText>
      </w:r>
      <w:r w:rsidR="00331A79">
        <w:rPr>
          <w:rFonts w:hint="eastAsia"/>
          <w:lang w:val="en-GB"/>
        </w:rPr>
        <w:instrText xml:space="preserve">C, 12-month period) </w:instrText>
      </w:r>
      <w:r w:rsidR="00331A79">
        <w:rPr>
          <w:rFonts w:hint="eastAsia"/>
          <w:lang w:val="en-GB"/>
        </w:rPr>
        <w:instrText>≥</w:instrText>
      </w:r>
      <w:r w:rsidR="00331A79">
        <w:rPr>
          <w:rFonts w:hint="eastAsia"/>
          <w:lang w:val="en-GB"/>
        </w:rPr>
        <w:instrText xml:space="preserve"> 1885, along highways built before the 1970</w:instrText>
      </w:r>
      <w:r w:rsidR="00331A79">
        <w:rPr>
          <w:lang w:val="en-GB"/>
        </w:rPr>
        <w:instrText>s and in agricultural regions dominated by corn and soybean crops. Common reed colonies were larger when located along highways that were wide, built before the 1970s or in warm regions. This was particularly apparent if the roadside was bordered by a wetland. On the other hand, common reed colonies were more likely to be narrow when located near a woodland. 6 Synthesis and applications. Several disturbances (de-icing salts, ditch digging and agricultural nitrogen input) favour the development of large common reed colonies along roads, some of them expanding out of roadsides, particularly in wetlands. Reducing disturbances, leaving (or planting) a narrow (a few metres) hedge of trees or shrubs along highways or planting salt-resistant shrubs in roadside ditches could be efficient ways to slow the expansion of common reed or to confine the species to roadsides.","container-title":"Journal of Applied Ecology","DOI":"10.1111/j.1365-2664.2007.01362.x","ISSN":"1365-2664","issue":"2","language":"en","license":"</w:instrText>
      </w:r>
      <w:r w:rsidR="00331A79">
        <w:rPr>
          <w:rFonts w:hint="eastAsia"/>
          <w:lang w:val="en-GB"/>
        </w:rPr>
        <w:instrText>©</w:instrText>
      </w:r>
      <w:r w:rsidR="00331A79">
        <w:rPr>
          <w:lang w:val="en-GB"/>
        </w:rPr>
        <w:instrText xml:space="preserve"> 2007 The Authors. Journal compilation © 2007 British Ecological Society","page":"459-466","source":"Wiley Online Library","title":"Highways as corridors and habitats for the invasive common reed &lt;i&gt;Phragmites australis&lt;/i&gt; in Quebec, Canada","URL":"https://besjournals.onlinelibrary.wiley.com/doi/abs/10.1111/j.1365-2664.2007.01362.x","volume":"45","author":[{"family":"Jodoin","given":"Yvon"},{"family":"Lavoie","given":"Claude"},{"family":"Villeneuve","given":"Paul"},{"family":"Theriault","given":"Marius"},{"family":"Beaulieu","given":"Julien"},{"family":"Belzile","given":"François"}],"accessed":{"date-parts":[["2019",9,24]]},"issued":{"date-parts":[["2008"]]}},"label":"page"},{"id":15241,"uris":["http://zotero.org/groups/2352922/items/YBIVNLIL"],"itemData":{"id":15241,"type":"article-journal","abstract":"Most non-native weeds and other naturalised plants are in the early stages of invasion into New Zealand landscapes. For this invasion to be controlled, even partially, it is important to understand the dominant routes, mechanisms, and rates of weed spread across landscapes. With their linear corridors of disturbed habitats, roadsides are thought to play a large role in the spread of some weeds. We used both new surveys and existing data to assess which of the 328 environmental weeds listed by the Department of Conservation are most frequently found on roadsides, where, and whether distribution patterns are consistent with linear dispersal. We also analysed historical survey data for relationships between reserve weediness and proximity to roads. We surveyed 340 plots of 100-m-long stretches of roadside across four regions and found between 2 and 19 environmental weeds per plot; 128 species in total (Chao estimate 148). Especially abundant were agricultural species (weeds and cultivated), species that have been naturalised for well over 50 years, and species that disperse externally attached to vertebrates. While we purposefully sampled within 10 km of town limits, we found no strong effect of distance from town on roadside weed richness, including richness of just ornamentally sourced weeds. Instead, number of houses within 250 m and presence of an adjacent house or other residential structure were both important, as was presence of woody vegetation on and adjacent to roadsides. Reserves adjacent to roads had significantly higher weed richness than reserves further from roads, although the causal mechanisms are unclear. Our results suggest that while roadsides include suitable habitats for most environmental weeds, distributions are patchy and roads show little sign of acting as linear dispersal corridors, instead largely reflecting neighbouring land uses. As such, roadside weeds should best be managed as part of the wider landscape.","container-title":"New Zealand Journal of Ecology","ISSN":"0110-6465","issue":"2","language":"en","page":"190-204","source":"dspace.lincoln.ac.nz","title":"Distribution and spread of environmental weeds along New Zealand roadsides","URL":"https://researcharchive.lincoln.ac.nz/handle/10182/4962","volume":"33","author":[{"family":"Sullivan","given":"Jon J."},{"family":"Williams","given":"Peter A"},{"family":"Timmins","given":"Susan M"},{"family":"Smale","given":"Mark C"}],"accessed":{"date-parts":[["2019",9,24]]},"issued":{"date-parts":[["2009"]]}},"label":"page"}],"schema":"https://github.com/citation-style-language/schema/raw/master/csl-citation.json"} </w:instrText>
      </w:r>
      <w:r w:rsidRPr="00DA249F">
        <w:rPr>
          <w:lang w:val="en-GB"/>
        </w:rPr>
        <w:fldChar w:fldCharType="separate"/>
      </w:r>
      <w:r w:rsidR="0012730A" w:rsidRPr="00DA249F">
        <w:rPr>
          <w:lang w:val="en-GB"/>
        </w:rPr>
        <w:t>M. J. Hansen &amp; Clevenger, 2005; Jodoin et al., 2008; Sullivan et al., 2009)</w:t>
      </w:r>
      <w:r w:rsidRPr="00DA249F">
        <w:rPr>
          <w:lang w:val="en-GB"/>
        </w:rPr>
        <w:fldChar w:fldCharType="end"/>
      </w:r>
      <w:r w:rsidRPr="00DA249F">
        <w:rPr>
          <w:lang w:val="en-GB"/>
        </w:rPr>
        <w:t>. Rural roads, mountainside highways and powerlines change the surrounding plant</w:t>
      </w:r>
      <w:r w:rsidR="00133C6F" w:rsidRPr="00DA249F">
        <w:rPr>
          <w:lang w:val="en-GB"/>
        </w:rPr>
        <w:t xml:space="preserve"> </w:t>
      </w:r>
      <w:r w:rsidRPr="00DA249F">
        <w:rPr>
          <w:lang w:val="en-GB"/>
        </w:rPr>
        <w:t xml:space="preserve">species composition, and enhance the establishment of </w:t>
      </w:r>
      <w:r w:rsidR="3DFBDB34" w:rsidRPr="00DA249F">
        <w:rPr>
          <w:lang w:val="en-GB"/>
        </w:rPr>
        <w:t xml:space="preserve">invasive alien species </w:t>
      </w:r>
      <w:r w:rsidR="005D54D1">
        <w:rPr>
          <w:lang w:val="en-GB"/>
        </w:rPr>
        <w:t>in</w:t>
      </w:r>
      <w:r w:rsidRPr="00DA249F">
        <w:rPr>
          <w:lang w:val="en-GB"/>
        </w:rPr>
        <w:t xml:space="preserve"> mountainous and protected areas </w:t>
      </w:r>
      <w:r w:rsidRPr="00DA249F">
        <w:rPr>
          <w:lang w:val="en-GB"/>
        </w:rPr>
        <w:fldChar w:fldCharType="begin"/>
      </w:r>
      <w:r w:rsidR="00331A79">
        <w:rPr>
          <w:lang w:val="en-GB"/>
        </w:rPr>
        <w:instrText xml:space="preserve"> ADDIN ZOTERO_ITEM CSL_CITATION {"citationID":"3gGTQsCW","properties":{"formattedCitation":"(L. G. Anderson et al., 2015; Mortensen et al., 2009; Rentch et al., 2005; Spooner, 2015; Wagner et al., 2014)","plainCitation":"(L. G. Anderson et al., 2015; Mortensen et al., 2009; Rentch et al., 2005; Spooner, 2015; Wagner et al., 2014)","noteIndex":0},"citationItems":[{"id":15233,"uris":["http://zotero.org/groups/2352922/items/BKITIZ3H"],"itemData":{"id":15233,"type":"article-journal","abstract":"1 In mountainous regions, road construction is accompanied by large-scale physical disturbance associated with cut and fill operations that drastically alter the landscape. Cut operations remove soil and rock from the hillside above the proposed road, while soil and rock are deposited on the down-slope area in fill operations. The resultant roadsides are highly disturbed habitats characterized by plant communities maintained at an early successional stage. They are often planted with non-native species and frequently provide vectors for the introduction and spread of invasive species. Public transportation managers need to balance the rapid revegetation of roadsides with the goal of maximizing use of native species and minimizing the introduction of non-native species. 2 This study examined vegetation–site relationships along 13 major four-lane highways in West Virginia, USA, using analysis of variance, multiresponse permutation procedures and indicator species analysis. 3 Mean soil nutrient values showed some differences with respect to highway, but fewer when highway positions were compared. Similarly, when highway position was considered, there were no significant differences in mean plant species richness, evenness or diversity. 4 Results of multiresponse permutation procedures suggested that different highways may be characterized by distinct vegetation assemblages. This hypothesis was supported by indicator species analysis: 54 species showed a statistically significant (P &lt; 0·05) affinity to one highway over all others. More than half of these were classified as non-native and exotic invasive species. When highway position was considered, no significant differences in community composition were found, and indicator species analysis found only 25 species that exhibited a significant affinity to one type of position. Of these, only eight were exotic. 5 Of the 33 most abundant herbaceous species, 11 showed a significant relationship between cover and distance from pavement. For all but one, average cover declined in a linear fashion with increasing distance. 6 Synthesis and applications. Despite extensive topographic disturbance associated with highway construction, the resultant vegetative communities do not differ with respect to type of construction or resultant landform. This suggests that highway agencies can manage roadside vegetation using similar, standard techniques. Roadsides are optimal growing sites for exotic invasive species that out-compete native vegetation. Management goals should therefore include techniques for limiting the establishment of these species, and substitution of non-native species planted for erosion control with suitable native species.","container-title":"Journal of Applied Ecology","DOI":"10.1111/j.1365-2664.2004.00993.x","ISSN":"1365-2664","issue":"1","language":"en","page":"129-138","source":"Wiley Online Library","title":"Vegetation–site relationships of roadside plant communities in West Virginia, USA","URL":"https://besjournals.onlinelibrary.wiley.com/doi/abs/10.1111/j.1365-2664.2004.00993.x","volume":"42","author":[{"family":"Rentch","given":"J. S."},{"family":"Fortney","given":"R. H."},{"family":"Stephenson","given":"S. L."},{"family":"Adams","given":"H. S."},{"family":"Grafton","given":"W. N."},{"family":"Anderson","given":"J. T."}],"accessed":{"date-parts":[["2019",9,24]]},"issued":{"date-parts":[["2005"]]}},"label":"page"},{"id":15250,"uris":["http://zotero.org/groups/2352922/items/AKTPEKP3"],"itemData":{"id":15250,"type":"article-journal","abstract":"The distribution and abundance of invasive species can be strongly influenced by habitat suitability and by corridors that facilitate dispersal. We synthesize results from a large-scale invasive plant survey with a patch-scale expansion experiment. The large-scale survey involved transects up to 250 m away from of all roads in a 32,000 ha forest. The patch experiment involved initiating invasions in different habitat types (roadside, wetland, disturbed, and intact forests), and then fitting statistical models to patch spread rates. The large-scale survey highlighted the importance of roads in predicting the presence of invasive plants, also revealing that one invasive plant, Microstegium vimineum, has spread rapidly since its purported introduction in 1994. The patch-scale experiments focused on Microstegium and demonstrated that spread rates are higher in roadsides than in forested and wetland patches, even in the absence of major disturbances. These results highlight the importance of landscape features when designing prevention and management practices aimed at limiting invasive plant abundance and spread.","container-title":"Invasive Plant Science and Management","DOI":"10.1614/IPSM-08-125.1","ISSN":"1939-7291, 1939-747X","issue":"3","language":"en","page":"191-199","source":"Cambridge Core","title":"Forest Roads Facilitate the Spread of Invasive Plants","URL":"https://www.cambridge.org/core/journals/invasive-plant-science-and-management/article/forest-roads-facilitate-the-spread-of-invasive-plants/994A8E5CA5C007A4CB37CA5895FE1547","volume":"2","author":[{"family":"Mortensen","given":"David A."},{"family":"Rauschert","given":"Emily S. J."},{"family":"Nord","given":"Andrea N."},{"family":"Jones","given":"Brian P."}],"accessed":{"date-parts":[["2019",9,24]]},"issued":{"date-parts":[["2009",7]]}},"label":"page"},{"id":15243,"uris":["http://zotero.org/groups/2352922/items/DALATHIF"],"itemData":{"id":15243,"type":"article-journal","abstract":"Transmission line corridors in forested landscapes provide important early successional habitats for a taxonomically rich array of native plant and animal life, including populations of rare species. We measured plant diversity and cover for 27 randomly selected paired powerline and woodland plots along a 140-km rights-of-way corridor that extended from northern Connecticut into southern New Hampshire. Mean plant richness was significantly higher in powerline plots (x¯=49.8 species) than in woodland plots (x¯=29.5 species). Powerline plots with the greatest richness were those that included a maintenance road or other areas of disturbed, open soil. Three hundred and twenty-six plant species were recorded in powerline plots, more than twice the number found in woodland plots (n=157). Powerline plots had higher invasive plant cover than the woodland plots, but non-native invasive species cover was low (&lt;2%) in both powerline and woodland plots. Cover of clonal species was greater in the powerline plots (mean values of 12.0% ±1.2 vs. 4.0% ±0.6). Northern powerline plots in our study, maintained exclusively by mowing, had a higher proportion of tree cover than southern plots that were maintained by mowing plus spot-application of herbicides. No differences were found in the proportional cover of all woody plants, clonal species, or invasive species among the two management types. We include a discussion of host-specialized Lepidoptera, oligolectic bees, and other wildlife that are dependent on vegetation composition and structure found along transmission line corridors in the Northeast.","container-title":"Forest Ecology and Management","DOI":"10.1016/j.foreco.2014.04.026","ISSN":"0378-1127","journalAbbreviation":"Forest Ecology and Management","page":"231-239","source":"ScienceDirect","title":"Vegetation composition along a New England transmission line corridor and its implications for other trophic levels","URL":"http://www.sciencedirect.com/science/article/pii/S0378112714002655","volume":"327","author":[{"family":"Wagner","given":"David L."},{"family":"Metzler","given":"Kenneth J."},{"family":"Leicht-Young","given":"Stacey A."},{"family":"Motzkin","given":"Glenn"}],"accessed":{"date-parts":[["2019",9,24]]},"issued":{"date-parts":[["2014",9,1]]}},"label":"page"},{"id":9824,"uris":["http://zotero.org/groups/2352922/items/T24ULC9R"],"itemData":{"id":9824,"type":"article-journal","container-title":"PLoS ONE","DOI":"10.1371/journal.pone.0140833","ISSN":"1932-6203","issue":"10","journalAbbreviation":"PLoS ONE","language":"en","note":"container-title: PLOS ONE","page":"e0140833","source":"DOI.org (Crossref)","title":"The Role of Tourism and Recreation in the Spread of Non-Native Species: A Systematic Review and Meta-Analysis","title-short":"The Role of Tourism and Recreation in the Spread of Non-Native Species","URL":"https://journals.plos.org/plosone/article/file?id=10.1371/journal.pone.0140833&amp;type=printable","volume":"10","author":[{"family":"Anderson","given":"L. G."},{"family":"Rocliffe","given":"Steve"},{"family":"Haddaway","given":"Neal R."},{"family":"Dunn","given":"Alison M."}],"editor":[{"family":"Britton","given":"Robert"}],"accessed":{"date-parts":[["2019",12,5]]},"issued":{"date-parts":[["2015",10,20]]}},"label":"page"},{"id":12617,"uris":["http://zotero.org/groups/2352922/items/QQVCSNE8"],"itemData":{"id":12617,"type":"article-journal","abstract":"Roads corridors are a conspicuous part of most landscapes, which are gaining greater recognition for their role in nature conservation. However roads cause wildlife mortality, alter water and nutrient flows, change local microclimatic conditions, act as vectors for weeds and pest animals, and have other far-reaching effects. Not surprisingly, there is much attention from both road and conservation managers to lessen these impacts, with an emphasis on developing solutions to mitigate the barrier effects of major roads to wildlife movements. However in many anthropogenic landscapes, road corridors can also provide key habitat and connectivity for local biodiversity. In particular, where traffic volumes are low, minor roads often provide critical habitat and refuge for many native species. Knowledge of the ecology and biodiversity conservation values of minor rural road verges has been underpinned by studies in various contexts, such as sunken roads, field margins and hedgerow networks in Europe, to stock routes in Spain and Australia. Despite their different histories and management constructs, important commonalties have been highlighted in terms of their biodiversity values, and the factors which influence these values. As such, minor rural road networks can be vital in providing connected, functioning ecosystems within rural landscapes. The importance of vegetated minor rural road networks will only become more pressing with future climate change. In Australia, road management authorities are tasked with the dual roles of maintaining road transport needs (i.e. priorities for road maintenance and safety concerns), whilst maintaining the environmental values of roads. This paper reviews the biodiversity values of minor rural roads, discusses the challenges and constraints in managing these values, and describes the case of identifying historic roads as an example of enhancing conservation management of these important habitats in rural landscapes.","container-title":"Nature Conservation","DOI":"10.3897/natureconservation.11.4434","ISSN":"1314-3301, 1314-6947","journalAbbreviation":"NC","language":"en","page":"129-142","source":"DOI.org (Crossref)","title":"Minor rural road networks: values, challenges, and opportunities for biodiversity conservation","title-short":"Minor rural road networks","URL":"http://natureconservation.pensoft.net/articles.php?id=4434","volume":"11","author":[{"family":"Spooner","given":"Peter G."}],"accessed":{"date-parts":[["2019",10,21]]},"issued":{"date-parts":[["2015",7,28]]}},"label":"page"}],"schema":"https://github.com/citation-style-language/schema/raw/master/csl-citation.json"} </w:instrText>
      </w:r>
      <w:r w:rsidRPr="00DA249F">
        <w:rPr>
          <w:lang w:val="en-GB"/>
        </w:rPr>
        <w:fldChar w:fldCharType="separate"/>
      </w:r>
      <w:r w:rsidR="00144D96" w:rsidRPr="00144D96">
        <w:t>(L. G. Anderson et al., 2015; Mortensen et al., 2009; Rentch et al., 2005; Spooner, 2015; Wagner et al., 2014)</w:t>
      </w:r>
      <w:r w:rsidRPr="00DA249F">
        <w:rPr>
          <w:lang w:val="en-GB"/>
        </w:rPr>
        <w:fldChar w:fldCharType="end"/>
      </w:r>
      <w:r w:rsidRPr="00DA249F">
        <w:rPr>
          <w:lang w:val="en-GB"/>
        </w:rPr>
        <w:t xml:space="preserve">. </w:t>
      </w:r>
      <w:r w:rsidR="00040AB1" w:rsidRPr="00DA249F">
        <w:rPr>
          <w:lang w:val="en-GB"/>
        </w:rPr>
        <w:t xml:space="preserve">Some </w:t>
      </w:r>
      <w:r w:rsidR="0068627B" w:rsidRPr="00DA249F">
        <w:rPr>
          <w:lang w:val="en-GB"/>
        </w:rPr>
        <w:t>Indigenous Peoples</w:t>
      </w:r>
      <w:r w:rsidR="00040AB1" w:rsidRPr="00DA249F">
        <w:rPr>
          <w:lang w:val="en-GB"/>
        </w:rPr>
        <w:t xml:space="preserve"> and local communi</w:t>
      </w:r>
      <w:r w:rsidR="00040AB1" w:rsidRPr="00DA249F">
        <w:rPr>
          <w:rFonts w:eastAsia="游明朝"/>
          <w:lang w:val="en-GB"/>
        </w:rPr>
        <w:t>ti</w:t>
      </w:r>
      <w:r w:rsidR="00040AB1" w:rsidRPr="00DA249F">
        <w:rPr>
          <w:lang w:val="en-GB"/>
        </w:rPr>
        <w:t>es also observe the</w:t>
      </w:r>
      <w:r w:rsidR="00040AB1" w:rsidRPr="00DA249F">
        <w:rPr>
          <w:rFonts w:eastAsia="游明朝"/>
          <w:lang w:val="en-GB"/>
        </w:rPr>
        <w:t xml:space="preserve"> </w:t>
      </w:r>
      <w:r w:rsidR="00EC2C3D" w:rsidRPr="00DA249F">
        <w:rPr>
          <w:lang w:val="en-GB"/>
        </w:rPr>
        <w:t>role</w:t>
      </w:r>
      <w:r w:rsidR="00040AB1" w:rsidRPr="00DA249F">
        <w:rPr>
          <w:lang w:val="en-GB"/>
        </w:rPr>
        <w:t xml:space="preserve"> of anthropogenic corridors </w:t>
      </w:r>
      <w:r w:rsidR="00EC2C3D" w:rsidRPr="00DA249F">
        <w:rPr>
          <w:rFonts w:eastAsia="游明朝"/>
          <w:lang w:val="en-GB"/>
        </w:rPr>
        <w:t>in facilitating</w:t>
      </w:r>
      <w:r w:rsidR="00040AB1" w:rsidRPr="00DA249F">
        <w:rPr>
          <w:rFonts w:eastAsia="游明朝"/>
          <w:lang w:val="en-GB"/>
        </w:rPr>
        <w:t xml:space="preserve"> </w:t>
      </w:r>
      <w:r w:rsidR="00040AB1" w:rsidRPr="00DA249F">
        <w:rPr>
          <w:lang w:val="en-GB"/>
        </w:rPr>
        <w:t xml:space="preserve">biological invasions, for instance, </w:t>
      </w:r>
      <w:r w:rsidR="00E97F57" w:rsidRPr="00DA249F">
        <w:rPr>
          <w:lang w:val="en-GB"/>
        </w:rPr>
        <w:t>people</w:t>
      </w:r>
      <w:r w:rsidR="00040AB1" w:rsidRPr="00DA249F">
        <w:rPr>
          <w:lang w:val="en-GB"/>
        </w:rPr>
        <w:t xml:space="preserve"> in Arunachal Himalayas in India view road construction and road use as the drivers facilitating biological invasion, as well as introduction of cattle which brought alien seeds </w:t>
      </w:r>
      <w:r w:rsidR="00040AB1" w:rsidRPr="00DA249F">
        <w:rPr>
          <w:lang w:val="en-GB"/>
        </w:rPr>
        <w:fldChar w:fldCharType="begin"/>
      </w:r>
      <w:r w:rsidR="00331A79">
        <w:rPr>
          <w:lang w:val="en-GB"/>
        </w:rPr>
        <w:instrText xml:space="preserve"> ADDIN ZOTERO_ITEM CSL_CITATION {"citationID":"YnDqJKlR","properties":{"formattedCitation":"(Kosaka et al., 2010)","plainCitation":"(Kosaka et al., 2010)","noteIndex":0},"citationItems":[{"id":12431,"uris":["http://zotero.org/groups/2352922/items/7CMQP4QS"],"itemData":{"id":12431,"type":"article-journal","container-title":"Mountain Research and Development","DOI":"10.1659/MRD-JOURNAL-D-10-00036.1","ISSN":"0276-4741, 1994-7151","issue":"3","journalAbbreviation":"Mountain Research and Development","language":"en","page":"252-258","source":"DOI.org (Crossref)","title":"Roadside Distribution Patterns of Invasive Alien Plants Along an Altitudinal Gradient in Arunachal Himalaya, India","URL":"http://www.bioone.org/doi/10.1659/MRD-JOURNAL-D-10-00036.1","volume":"30","author":[{"family":"Kosaka","given":"Yasuyuki"},{"family":"Saikia","given":"Bhaskar"},{"family":"Mingki","given":"Tasong"},{"family":"Tag","given":"Hui"},{"family":"Riba","given":"Tomo"},{"family":"Ando","given":"Kazuo"}],"accessed":{"date-parts":[["2019",11,18]]},"issued":{"date-parts":[["2010",8]]}},"label":"page"}],"schema":"https://github.com/citation-style-language/schema/raw/master/csl-citation.json"} </w:instrText>
      </w:r>
      <w:r w:rsidR="00040AB1" w:rsidRPr="00DA249F">
        <w:rPr>
          <w:lang w:val="en-GB"/>
        </w:rPr>
        <w:fldChar w:fldCharType="separate"/>
      </w:r>
      <w:r w:rsidR="00144D96" w:rsidRPr="00144D96">
        <w:t>(Kosaka et al., 2010)</w:t>
      </w:r>
      <w:r w:rsidR="00040AB1" w:rsidRPr="00DA249F">
        <w:rPr>
          <w:lang w:val="en-GB"/>
        </w:rPr>
        <w:fldChar w:fldCharType="end"/>
      </w:r>
      <w:r w:rsidR="00040AB1" w:rsidRPr="00DA249F">
        <w:rPr>
          <w:lang w:val="en-GB"/>
        </w:rPr>
        <w:t xml:space="preserve">. </w:t>
      </w:r>
      <w:r w:rsidRPr="00DA249F">
        <w:rPr>
          <w:lang w:val="en-GB"/>
        </w:rPr>
        <w:t xml:space="preserve">In </w:t>
      </w:r>
      <w:r w:rsidR="00CD48AD" w:rsidRPr="00DA249F">
        <w:rPr>
          <w:lang w:val="en-GB"/>
        </w:rPr>
        <w:t xml:space="preserve">alpine and </w:t>
      </w:r>
      <w:r w:rsidR="004221FA">
        <w:rPr>
          <w:lang w:val="en-GB"/>
        </w:rPr>
        <w:t>A</w:t>
      </w:r>
      <w:r w:rsidRPr="00DA249F">
        <w:rPr>
          <w:lang w:val="en-GB"/>
        </w:rPr>
        <w:t xml:space="preserve">rctic ecosystems, </w:t>
      </w:r>
      <w:r w:rsidR="00FB7624" w:rsidRPr="00DA249F">
        <w:rPr>
          <w:lang w:val="en-GB"/>
        </w:rPr>
        <w:t xml:space="preserve">the establishment and subsequent spread of alien plants is increased along </w:t>
      </w:r>
      <w:r w:rsidR="00CD48AD" w:rsidRPr="00DA249F">
        <w:rPr>
          <w:lang w:val="en-GB"/>
        </w:rPr>
        <w:t xml:space="preserve">mountain roads, hiking trails and </w:t>
      </w:r>
      <w:r w:rsidRPr="00DA249F">
        <w:rPr>
          <w:lang w:val="en-GB"/>
        </w:rPr>
        <w:t xml:space="preserve">buried oil pipelines </w:t>
      </w:r>
      <w:r w:rsidRPr="00DA249F">
        <w:rPr>
          <w:lang w:val="en-GB"/>
        </w:rPr>
        <w:fldChar w:fldCharType="begin"/>
      </w:r>
      <w:r w:rsidR="00331A79">
        <w:rPr>
          <w:lang w:val="en-GB"/>
        </w:rPr>
        <w:instrText xml:space="preserve"> ADDIN ZOTERO_ITEM CSL_CITATION {"citationID":"bO6D9YRJ","properties":{"formattedCitation":"(Alexander et al., 2016; Langor et al., 2014; Liedtke et al., 2020)","plainCitation":"(Alexander et al., 2016; Langor et al., 2014; Liedtke et al., 2020)","dontUpdate":true,"noteIndex":0},"citationItems":[{"id":28803,"uris":["http://zotero.org/groups/2352922/items/7XX4XM5T"],"itemData":{"id":28803,"type":"article-journal","container-title":"Alpine Botany","DOI":"10.1007/s00035-016-0172-8","ISSN":"1664-2201, 1664-221X","issue":"2","journalAbbreviation":"Alp Botany","language":"en","page":"89-103","source":"DOI.org (Crossref)","title":"Plant invasions into mountains and alpine ecosystems: current status and future challenges","title-short":"Plant invasions into mountains and alpine ecosystems","URL":"http://link.springer.com/10.1007/s00035-016-0172-8","volume":"126","author":[{"family":"Alexander","given":"Jake M."},{"family":"Lembrechts","given":"Jonas J."},{"family":"Cavieres","given":"Lohengrin A."},{"family":"Daehler","given":"Curtis"},{"family":"Haider","given":"Sylvia"},{"family":"Kueffer","given":"Christoph"},{"family":"Liu","given":"Gang"},{"family":"McDougall","given":"Keith"},{"family":"Milbau","given":"Ann"},{"family":"Pauchard","given":"Aníbal"},{"family":"Rew","given":"Lisa J."},{"family":"Seipel","given":"Tim"}],"accessed":{"date-parts":[["2020",4,23]]},"issued":{"date-parts":[["2016",10]]}},"label":"page"},{"id":15246,"uris":["http://zotero.org/groups/2352922/items/VARXGTID"],"itemData":{"id":15246,"type":"article-journal","abstract":"More than 1180 non-native species, mostly of Palaearctic origin, have been recorded from the boreal zone of Canada, with the highest diversity on the island of Newfoundland and in the southern bore..., On a enregistré plus de 1180 espèces non indigènes, surtout d’origine paléarctique, dans la zone de la forêt boréale du Canada, dont la plus grande diversité se retrouve sur l’île de Terre-Neuve et...","container-title":"Environmental Reviews","DOI":"10.1139/er-2013-0083","ISSN":"1181-8700","issue":"4","journalAbbreviation":"Environ. Rev.","page":"372-420","source":"NRC Research Press","title":"Non-native species in Canada’s boreal zone: diversity, impacts, and risk","title-short":"Non-native species in Canada’s boreal zone","URL":"https://www.nrcresearchpress.com/doi/full/10.1139/er-2013-0083","volume":"22","author":[{"family":"Langor","given":"David W."},{"family":"Cameron","given":"Erin K."},{"family":"MacQuarrie","given":"Chris J.K."},{"family":"McBeath","given":"Alec"},{"family":"McClay","given":"Alec"},{"family":"Peter","given":"Brian"},{"family":"Pybus","given":"Margo"},{"family":"Ramsfield","given":"Tod"},{"family":"Ryall","given":"Krista"},{"family":"Scarr","given":"Taylor"},{"family":"Yemshanov","given":"Denys"},{"family":"DeMerchant","given":"Ian"},{"family":"Foottit","given":"Robert"},{"family":"Pohl","given":"Greg R."}],"accessed":{"date-parts":[["2019",9,24]]},"issued":{"date-parts":[["2014",7,23]]}},"label":"page"},{"id":26895,"uris":["http://zotero.org/groups/2352922/items/B7VZHG2Y"],"itemData":{"id":26895,"type":"article-journal","abstract":"Roadsides are major pathways of plant invasions in mountain regions. However, the increasing importance of tourism may also turn hiking trails into conduits of non-native plant spread to remote mountain landscapes. Here, we evaluated the importance of such trails for plant invasion in five protected mountain areas of southern central Chile. We therefore sampled native and non-native species along 17 trails and in the adjacent undisturbed vegetation. We analyzed whether the number and cover of non-native species in local plant assemblages is related to distance to trail and a number of additional variables that characterize the abiotic and biotic environment as well as the usage of the trail. We found that non-native species at higher elevations are a subset of the lowland source pool and that their number and cover decreases with increasing elevation and with distance to trails, although this latter variable only explained 4–8% of the variation in the data. In addition, non-native richness and cover were positively correlated with signs of livestock presence but negatively with the presence of intact forest vegetation. These results suggest that, at least in the region studied, hiking trails have indeed fostered non-native species spread to higher elevations, although less efficiently than roadsides. As a corollary, appropriate planning and management of trails could become increasingly important to control plant invasions into mountains in a world which is warming and where visitation and recreational use of mountainous areas is expected to increase.","container-title":"Biological Invasions","DOI":"10.1007/s10530-019-02165-9","ISSN":"1573-1464","issue":"3","journalAbbreviation":"Biol Invasions","language":"en","page":"1121-1134","source":"Springer Link","title":"Hiking trails as conduits for the spread of non-native species in mountain areas","URL":"https://doi.org/10.1007/s10530-019-02165-9","volume":"22","author":[{"family":"Liedtke","given":"Rebecca"},{"family":"Barros","given":"Agustina"},{"family":"Essl","given":"Franz"},{"family":"Lembrechts","given":"Jonas J."},{"family":"Wedegärtner","given":"Ronja E. M."},{"family":"Pauchard","given":"Aníbal"},{"family":"Dullinger","given":"Stefan"}],"accessed":{"date-parts":[["2021",6,8]]},"issued":{"date-parts":[["2020",3,1]]}},"label":"page"}],"schema":"https://github.com/citation-style-language/schema/raw/master/csl-citation.json"} </w:instrText>
      </w:r>
      <w:r w:rsidRPr="00DA249F">
        <w:rPr>
          <w:lang w:val="en-GB"/>
        </w:rPr>
        <w:fldChar w:fldCharType="separate"/>
      </w:r>
      <w:r w:rsidR="002765ED" w:rsidRPr="00DA249F">
        <w:rPr>
          <w:lang w:val="en-GB"/>
        </w:rPr>
        <w:t>(Alexander et al., 2016; Langor et al., 2014; Liedtke et al., 2020</w:t>
      </w:r>
      <w:r w:rsidRPr="00DA249F">
        <w:rPr>
          <w:lang w:val="en-GB"/>
        </w:rPr>
        <w:fldChar w:fldCharType="end"/>
      </w:r>
      <w:r w:rsidR="00647B86" w:rsidRPr="00DA249F">
        <w:rPr>
          <w:lang w:val="en-GB"/>
        </w:rPr>
        <w:t>;</w:t>
      </w:r>
      <w:r w:rsidR="003C63AD" w:rsidRPr="00DA249F">
        <w:rPr>
          <w:lang w:val="en-GB"/>
        </w:rPr>
        <w:t xml:space="preserve"> </w:t>
      </w:r>
      <w:r w:rsidR="00061E86" w:rsidRPr="003F71DB">
        <w:rPr>
          <w:b/>
          <w:iCs/>
          <w:lang w:val="en-GB"/>
        </w:rPr>
        <w:t>section 3.3.5.1</w:t>
      </w:r>
      <w:r w:rsidR="00061E86" w:rsidRPr="003F71DB">
        <w:rPr>
          <w:iCs/>
          <w:lang w:val="en-GB"/>
        </w:rPr>
        <w:t>,</w:t>
      </w:r>
      <w:r w:rsidR="00061E86" w:rsidRPr="003F71DB">
        <w:rPr>
          <w:b/>
          <w:lang w:val="en-GB"/>
        </w:rPr>
        <w:t xml:space="preserve"> </w:t>
      </w:r>
      <w:r w:rsidR="00E23B69">
        <w:rPr>
          <w:b/>
          <w:iCs/>
          <w:lang w:val="en-GB"/>
        </w:rPr>
        <w:t>Box</w:t>
      </w:r>
      <w:r w:rsidR="002B5AFC" w:rsidRPr="003F71DB">
        <w:rPr>
          <w:b/>
          <w:iCs/>
          <w:lang w:val="en-GB"/>
        </w:rPr>
        <w:t xml:space="preserve"> </w:t>
      </w:r>
      <w:r w:rsidR="003C63AD" w:rsidRPr="003F71DB">
        <w:rPr>
          <w:b/>
          <w:iCs/>
          <w:lang w:val="en-GB"/>
        </w:rPr>
        <w:t>3.10</w:t>
      </w:r>
      <w:r w:rsidR="003C63AD" w:rsidRPr="00DA249F">
        <w:rPr>
          <w:lang w:val="en-GB"/>
        </w:rPr>
        <w:t>)</w:t>
      </w:r>
      <w:r w:rsidRPr="00DA249F">
        <w:rPr>
          <w:lang w:val="en-GB"/>
        </w:rPr>
        <w:t>.</w:t>
      </w:r>
    </w:p>
    <w:p w14:paraId="5C3CD3B4" w14:textId="4C70B345" w:rsidR="00F2111B" w:rsidRPr="00DA249F" w:rsidRDefault="008C1BF7" w:rsidP="00F2111B">
      <w:pPr>
        <w:rPr>
          <w:lang w:val="en-GB"/>
        </w:rPr>
      </w:pPr>
      <w:r w:rsidRPr="00DA249F">
        <w:rPr>
          <w:lang w:val="en-GB"/>
        </w:rPr>
        <w:t xml:space="preserve">In freshwater and marine biomes, canals </w:t>
      </w:r>
      <w:r w:rsidR="00F710F6" w:rsidRPr="00DA249F">
        <w:rPr>
          <w:lang w:val="en-GB"/>
        </w:rPr>
        <w:t xml:space="preserve">facilitate </w:t>
      </w:r>
      <w:r w:rsidRPr="00DA249F">
        <w:rPr>
          <w:lang w:val="en-GB"/>
        </w:rPr>
        <w:t>the transport</w:t>
      </w:r>
      <w:r w:rsidR="00D056D4" w:rsidRPr="00DA249F">
        <w:rPr>
          <w:lang w:val="en-GB"/>
        </w:rPr>
        <w:t>,</w:t>
      </w:r>
      <w:r w:rsidRPr="00DA249F">
        <w:rPr>
          <w:lang w:val="en-GB"/>
        </w:rPr>
        <w:t xml:space="preserve"> </w:t>
      </w:r>
      <w:r w:rsidR="00D056D4" w:rsidRPr="00DA249F">
        <w:rPr>
          <w:lang w:val="en-GB"/>
        </w:rPr>
        <w:t xml:space="preserve">introduction </w:t>
      </w:r>
      <w:r w:rsidRPr="00DA249F">
        <w:rPr>
          <w:lang w:val="en-GB"/>
        </w:rPr>
        <w:t xml:space="preserve">and spread of </w:t>
      </w:r>
      <w:r w:rsidR="00084671" w:rsidRPr="00DA249F">
        <w:rPr>
          <w:lang w:val="en-GB"/>
        </w:rPr>
        <w:t xml:space="preserve">invasive alien species </w:t>
      </w:r>
      <w:r w:rsidR="00F710F6" w:rsidRPr="00DA249F">
        <w:rPr>
          <w:lang w:val="en-GB"/>
        </w:rPr>
        <w:t xml:space="preserve">at </w:t>
      </w:r>
      <w:r w:rsidR="3C4AC940" w:rsidRPr="00DA249F">
        <w:rPr>
          <w:lang w:val="en-GB"/>
        </w:rPr>
        <w:t>global</w:t>
      </w:r>
      <w:r w:rsidR="00CD48AD" w:rsidRPr="00DA249F">
        <w:rPr>
          <w:lang w:val="en-GB"/>
        </w:rPr>
        <w:t xml:space="preserve"> and regional</w:t>
      </w:r>
      <w:r w:rsidR="00F710F6" w:rsidRPr="00DA249F">
        <w:rPr>
          <w:lang w:val="en-GB"/>
        </w:rPr>
        <w:t xml:space="preserve"> </w:t>
      </w:r>
      <w:r w:rsidR="640E0D2B" w:rsidRPr="00DA249F">
        <w:rPr>
          <w:lang w:val="en-GB"/>
        </w:rPr>
        <w:t>scales</w:t>
      </w:r>
      <w:r w:rsidR="00CD48AD" w:rsidRPr="00DA249F">
        <w:rPr>
          <w:lang w:val="en-GB"/>
        </w:rPr>
        <w:t xml:space="preserve"> </w:t>
      </w:r>
      <w:r w:rsidRPr="00DA249F">
        <w:rPr>
          <w:lang w:val="en-GB"/>
        </w:rPr>
        <w:fldChar w:fldCharType="begin"/>
      </w:r>
      <w:r w:rsidR="00331A79">
        <w:rPr>
          <w:lang w:val="en-GB"/>
        </w:rPr>
        <w:instrText xml:space="preserve"> ADDIN ZOTERO_ITEM CSL_CITATION {"citationID":"0dOzXq8U","properties":{"formattedCitation":"(Asth et al., 2021; Bij de Vaate et al., 2002; Boudouresque &amp; Verlaque, 2012)","plainCitation":"(Asth et al., 2021; Bij de Vaate et al., 2002; Boudouresque &amp; Verlaque, 2012)","noteIndex":0},"citationItems":[{"id":30605,"uris":["http://zotero.org/groups/2352922/items/B3GDCZUP"],"itemData":{"id":30605,"type":"article-journal","abstract":"Linear infrastructure intrusions are common around the world to meet the needs of a growing and interconnected human population. The implementation of linear infrastructures involves numerous forms and mechanisms of land-use transformation that can facilitate and serve as pathways to the spread of invasive non-native species. However, the type and intensity of land transformations change over time and this can affect the frequency and intensity in which linear infrastructures route the spread of invasive species. Here, we present results collected over 5 years of monitoring surveys (2015–2019) to assess the relationship between the construction of one of the largest canals to date in Brazil and the spread of non-native species. We studied the Integration Project of the São Francisco River (PISF), a canal fully inserted in the Caatinga biome, a tropical dry forest ecosystem for which information on invasion dynamics are little known. Our results confirmed PISF canals served as habitat and dispersal corridors for non-native plant species. Monitoring surveys recorded 26 non-native species established along the 83.2 km2 PISF deployment area. Eleven years after the canal deployment area was completely cleared of vegetation, 92.3% of its extension had non-native plant populations. Of the 10 species assessed for their population status, 8 had invasive populations. The time immediately after construction work finished was the critical stage for the spread of non-native woody plants, which increased their distributions with reduced levels of construction intervention, whereas most of the herbaceous species reduced their distributions. When human intervention was drastically reduced, many populations of non-native plants rapidly formed at the deployment area. Policy implications. Man-made linear infrastructures can remove biogeographical barriers and serve as pathways for the spread of invasive species over long distances and across ecosystems. Thus, the planning, construction and management of such infrastructures should include measures and funding for risk assessment, prevention, monitoring and control of biological invasions. Agencies responsible for environmental licensing should mandate invasive species management as part of the installation and operation licensing conditions.","container-title":"Journal of Applied Ecology","DOI":"10.1111/1365-2664.13950","ISSN":"1365-2664","issue":"9","language":"en","note":"_eprint: https://onlinelibrary.wiley.com/doi/pdf/10.1111/1365-2664.13950","page":"2004-2014","source":"Wiley Online Library","title":"Canals as invasion pathways in tropical dry forest and the need for monitoring and management","URL":"https://onlinelibrary.wiley.com/doi/abs/10.1111/1365-2664.13950","volume":"58","author":[{"family":"Asth","given":"Matheus da Silva"},{"family":"Rodrigues","given":"Renato Garcia"},{"family":"Zenni","given":"Rafael Dudeque"}],"accessed":{"date-parts":[["2021",10,13]]},"issued":{"date-parts":[["2021"]]}},"label":"page"},{"id":52849,"uris":["http://zotero.org/groups/2352922/items/EQFC7G5B"],"itemData":{"id":52849,"type":"article-journal","container-title":"Canadian Journal of Fisheries and Aquatic Sciences","DOI":"10.1139/f02-098","ISSN":"0706-652X","issue":"7","journalAbbreviation":"Can. J. Fish. Aquat. Sci.","note":"publisher: NRC Research Press","page":"1159-1174","source":"cdnsciencepub.com (Atypon)","title":"Geographical patterns in range extension of Ponto-Caspian macroinvertebrate species in Europe","URL":"https://cdnsciencepub.com/doi/10.1139/f02-098","volume":"59","author":[{"family":"Bij de Vaate","given":"A"},{"family":"Jazdzewski","given":"K"},{"family":"Ketelaars","given":"H A.M"},{"family":"Gollasch","given":"S"},{"family":"Van der Velde","given":"G"}],"accessed":{"date-parts":[["2022",8,8]]},"issued":{"date-parts":[["2002",7]]}},"label":"page"},{"id":24862,"uris":["http://zotero.org/groups/2352922/items/IKM6ZSW9"],"itemData":{"id":24862,"type":"article-journal","abstract":"The species introduction process involves a donor region, a vector, a corridor, a recipient region, a candidate species and a variety of filters that hinder the process. All these parameters are of importance for understanding the success or the failure of a non-native species. Some characteristics of the recipient area, such as low species diversity, disturbances and climate warming, which are often said to facilitate the introduction process in the terrestrial realm, may be of far lesser importance in the marine environment. In contrast, the role of the vector and of the corridor might have been underestimated.","container-title":"Cahiers de Biologie Marine","language":"en","page":"309-317","source":"Zotero","title":"An overview of species introduction and invasion processes in marine and coastal lagoon habitats","volume":"53","author":[{"family":"Boudouresque","given":"Charles-François"},{"family":"Verlaque","given":"Marc"}],"issued":{"date-parts":[["2012"]]}},"label":"page"}],"schema":"https://github.com/citation-style-language/schema/raw/master/csl-citation.json"} </w:instrText>
      </w:r>
      <w:r w:rsidRPr="00DA249F">
        <w:rPr>
          <w:lang w:val="en-GB"/>
        </w:rPr>
        <w:fldChar w:fldCharType="separate"/>
      </w:r>
      <w:r w:rsidR="00144D96" w:rsidRPr="00144D96">
        <w:t>(Asth et al., 2021; Bij de Vaate et al., 2002; Boudouresque &amp; Verlaque, 2012)</w:t>
      </w:r>
      <w:r w:rsidRPr="00DA249F">
        <w:rPr>
          <w:lang w:val="en-GB"/>
        </w:rPr>
        <w:fldChar w:fldCharType="end"/>
      </w:r>
      <w:r w:rsidRPr="00DA249F">
        <w:rPr>
          <w:lang w:val="en-GB"/>
        </w:rPr>
        <w:t xml:space="preserve">. The </w:t>
      </w:r>
      <w:r w:rsidR="00EC2C3D" w:rsidRPr="00DA249F">
        <w:rPr>
          <w:lang w:val="en-GB"/>
        </w:rPr>
        <w:t>role</w:t>
      </w:r>
      <w:r w:rsidRPr="00DA249F">
        <w:rPr>
          <w:lang w:val="en-GB"/>
        </w:rPr>
        <w:t xml:space="preserve"> of these water corridors </w:t>
      </w:r>
      <w:r w:rsidR="00EC2C3D" w:rsidRPr="00DA249F">
        <w:rPr>
          <w:lang w:val="en-GB"/>
        </w:rPr>
        <w:t>i</w:t>
      </w:r>
      <w:r w:rsidR="001A1BF2" w:rsidRPr="00DA249F">
        <w:rPr>
          <w:lang w:val="en-GB"/>
        </w:rPr>
        <w:t>n facilitating</w:t>
      </w:r>
      <w:r w:rsidRPr="00DA249F">
        <w:rPr>
          <w:lang w:val="en-GB"/>
        </w:rPr>
        <w:t xml:space="preserve"> </w:t>
      </w:r>
      <w:r w:rsidR="004B2956" w:rsidRPr="00DA249F">
        <w:rPr>
          <w:lang w:val="en-GB"/>
        </w:rPr>
        <w:t>biological</w:t>
      </w:r>
      <w:r w:rsidRPr="00DA249F">
        <w:rPr>
          <w:lang w:val="en-GB"/>
        </w:rPr>
        <w:t xml:space="preserve"> invasion</w:t>
      </w:r>
      <w:r w:rsidR="00F710F6" w:rsidRPr="00DA249F">
        <w:rPr>
          <w:lang w:val="en-GB"/>
        </w:rPr>
        <w:t>s</w:t>
      </w:r>
      <w:r w:rsidRPr="00DA249F">
        <w:rPr>
          <w:lang w:val="en-GB"/>
        </w:rPr>
        <w:t xml:space="preserve"> are well studied </w:t>
      </w:r>
      <w:r w:rsidR="00F710F6" w:rsidRPr="00DA249F">
        <w:rPr>
          <w:lang w:val="en-GB"/>
        </w:rPr>
        <w:t xml:space="preserve">for </w:t>
      </w:r>
      <w:r w:rsidR="19AE4B7B" w:rsidRPr="00DA249F">
        <w:rPr>
          <w:lang w:val="en-GB"/>
        </w:rPr>
        <w:t>fish</w:t>
      </w:r>
      <w:r w:rsidRPr="00DA249F">
        <w:rPr>
          <w:lang w:val="en-GB"/>
        </w:rPr>
        <w:t xml:space="preserve"> and aquatic invertebrates </w:t>
      </w:r>
      <w:r w:rsidRPr="00DA249F">
        <w:rPr>
          <w:lang w:val="en-GB"/>
        </w:rPr>
        <w:fldChar w:fldCharType="begin"/>
      </w:r>
      <w:r w:rsidR="00331A79">
        <w:rPr>
          <w:lang w:val="en-GB"/>
        </w:rPr>
        <w:instrText xml:space="preserve"> ADDIN ZOTERO_ITEM CSL_CITATION {"citationID":"LPCJ7f4L","properties":{"formattedCitation":"(Devin et al., 2005; Karatayev et al., 2008; Rakauskas et al., 2016)","plainCitation":"(Devin et al., 2005; Karatayev et al., 2008; Rakauskas et al., 2016)","noteIndex":0},"citationItems":[{"id":15234,"uris":["http://zotero.org/groups/2352922/items/7MDA7IQR"],"itemData":{"id":15234,"type":"article-journal","abstract":"Freshwater biodiversity is threatened by several mechanisms, of which the introduction of non-indigenous species and habitat alteration are the two most important. Exotic species act at various levels of organisation of macroinvertebrate communities, and are involved in different processes mediating their impacts on biodiversity, such as habitat modification or negative interactions with autochthonous fauna. The present work gives a list of the 43 French freshwater non-indigenous species, which represent 1.2% of the French freshwater macroinvertebrates. We provide their geographic origins, their distributions among zoological units by comparison with the native fauna and their functional characteristics according to a recent typology based on bio/ecological traits. An exponential trend of the cumulated number of non-indigenous species was evidenced, with a clumping of invaders within crustaceans and molluscs. Donor areas of non-indigenous species are in majority European, and the Ponto-Caspian basin is identified as the principal one. This pattern could be explained by a spread along waterways but its origin lies in a process of recolonisation of defaunated areas following several episodes of glaciation/deglaciation in Western Europe during the last 80,000 years. Finally, from a functional point of view, non-indigenous species exhibit a limited diversity, with two functional groups representing 80% of them.","container-title":"Hydrobiologia","DOI":"10.1007/s10750-005-4456-z","ISSN":"1573-5117","issue":"1","journalAbbreviation":"Hydrobiologia","language":"en","page":"137-146","source":"Springer Link","title":"Patterns of Biological Invasions in French Freshwater Systems by Non-Indigenous Macroinvertebrates","URL":"https://doi.org/10.1007/s10750-005-4456-z","volume":"551","author":[{"family":"Devin","given":"Simon"},{"family":"Bollache","given":"Loïc"},{"family":"Noël","given":"Pierre-Yves"},{"family":"Beisel","given":"Jean-Nicolas"}],"accessed":{"date-parts":[["2019",9,24]]},"issued":{"date-parts":[["2005",11,1]]}},"label":"page"},{"id":15245,"uris":["http://zotero.org/groups/2352922/items/FSHY562Z"],"itemData":{"id":15245,"type":"article-journal","abstract":"We analyzed the role of the waterways of Belarus in the spread of aquatic exotic invertebrates through the central European invasion corridor. Present day Belarus became critically important when in the end of the 18th—beginning of the 19th century three interbasin canals connecting rivers from the Black and Baltic seas basins were constructed for international trade. These canals became important pathways facilitating the spread of aquatic alien species. For more than a hundred years, only Ponto-Caspian species colonized Belarus using ships and especially timber in rafts exported by Russia into Western Europe. In the second half of the 20th century, new vectors of spread appeared in Belarus, such as stocking of economically important invertebrates and accidental introductions. This paper is the first comprehensive review of aquatic exotic invertebrates in Belarus. Currently, 19 exotic aquatic invertebrates are known in Belarus, including 14 species of Ponto-Caspian origin. The rate of spread of aquatic invasive species in the second half of the 20th century increased 7-fold compared to the 19th—beginning of the 20th century. We found a significant positive correlation between the time since initial invasion and number of waterbodies colonized. We predict a further increase in the rate of colonization of Belarus by exotic invertebrates as well as an increase in the diversity of vectors of spread and donor areas of alien species, especially when the ongoing reconstruction of the interbasin canals will be completed and the hydrological connection between Black Sea and Baltic Sea basins will be reestablished after an interruption that has lasted for almost a century.","container-title":"Biological Invasions","DOI":"10.1007/s10530-007-9124-y","ISSN":"1573-1464","issue":"2","journalAbbreviation":"Biol Invasions","language":"en","page":"215-232","source":"Springer Link","title":"Past, current, and future of the central European corridor for aquatic invasions in Belarus","URL":"https://doi.org/10.1007/s10530-007-9124-y","volume":"10","author":[{"family":"Karatayev","given":"Alexander Y."},{"family":"Mastitsky","given":"Sergey E."},{"family":"Burlakova","given":"Lyubov E."},{"family":"Olenin","given":"Sergej"}],"accessed":{"date-parts":[["2019",9,24]]},"issued":{"date-parts":[["2008",2,1]]}},"label":"page"},{"id":15239,"uris":["http://zotero.org/groups/2352922/items/PWTFKR9Y"],"itemData":{"id":15239,"type":"article-journal","abstract":"The assessment of risks associated with non-indigenous species implies a detailed knowledge of their taxonomical composition and distribution within a certain region. The northern branch of the central European ‘invasion corridor’—a series of canals connecting different watersheds—has formed an important migratory route for Ponto-Caspian fish (i.e. fish from the Black Sea, the Sea of Azov and the Caspian Sea). However, the current status of non-indigenous fish species in this region is very scarce. This article presents a comprehensive overview of recent distribution data of non-indigenous fish species in the northern branch of the central European invasion corridor. Here, extensive data are integrated based on studies performed during 2003–2014 comprising reliable published and unpublished records from the last 12 years. Altogether, ten non-indigenous fish species were currently found in the northern branch of the central European invasion corridor, constituting 19 % of its freshwater fish diversity. Three species, including the Prussian carp (Carassius gibelio), the round goby (Neogobius melanostomus), and the Chinese sleeper (Perccottus glenii), are considered invasive species. Eight species may potentially invade this region in the near future. A comparison of the history of non-indigenous fish species introduction in the inland waters of the northern branch and other countries of the central European invasion corridor revealed similar introduction trends. Potential expansion of non-indigenous fish species across the central European invasion corridor has international implications that require awareness, cooperation, and government support from each individual country. Disclosure of recently operating vectors for non-indigenous fish introductions within the central European invasion corridor will help predict and prevent their further spread and establishment in this region.","container-title":"Reviews in Fish Biology and Fisheries","DOI":"10.1007/s11160-016-9438-x","ISSN":"1573-5184","issue":"3","journalAbbreviation":"Rev Fish Biol Fisheries","language":"en","page":"491-508","source":"Springer Link","title":"Non-indigenous fish in the northern branch of the central European invasion corridor","URL":"https://doi.org/10.1007/s11160-016-9438-x","volume":"26","author":[{"family":"Rakauskas","given":"Vytautas"},{"family":"Stakėnas","given":"Saulius"},{"family":"Virbickas","given":"Tomas"},{"family":"Bukelskis","given":"Egidijus"}],"accessed":{"date-parts":[["2019",9,24]]},"issued":{"date-parts":[["2016",9,1]]}},"label":"page"}],"schema":"https://github.com/citation-style-language/schema/raw/master/csl-citation.json"} </w:instrText>
      </w:r>
      <w:r w:rsidRPr="00DA249F">
        <w:rPr>
          <w:lang w:val="en-GB"/>
        </w:rPr>
        <w:fldChar w:fldCharType="separate"/>
      </w:r>
      <w:r w:rsidR="00144D96" w:rsidRPr="00144D96">
        <w:t xml:space="preserve">(Devin et al., 2005; Karatayev et al., </w:t>
      </w:r>
      <w:r w:rsidR="00144D96" w:rsidRPr="00144D96">
        <w:lastRenderedPageBreak/>
        <w:t>2008; Rakauskas et al., 2016)</w:t>
      </w:r>
      <w:r w:rsidRPr="00DA249F">
        <w:rPr>
          <w:lang w:val="en-GB"/>
        </w:rPr>
        <w:fldChar w:fldCharType="end"/>
      </w:r>
      <w:r w:rsidR="00B32DDC">
        <w:rPr>
          <w:lang w:val="en-GB"/>
        </w:rPr>
        <w:t>,</w:t>
      </w:r>
      <w:r w:rsidRPr="00DA249F">
        <w:rPr>
          <w:lang w:val="en-GB"/>
        </w:rPr>
        <w:t xml:space="preserve"> </w:t>
      </w:r>
      <w:r w:rsidR="00B32DDC" w:rsidRPr="00DA249F">
        <w:rPr>
          <w:lang w:val="en-GB"/>
        </w:rPr>
        <w:t xml:space="preserve">especially in Europe (e.g., </w:t>
      </w:r>
      <w:r w:rsidR="00B32DDC" w:rsidRPr="00DA249F">
        <w:rPr>
          <w:lang w:val="en-GB"/>
        </w:rPr>
        <w:fldChar w:fldCharType="begin"/>
      </w:r>
      <w:r w:rsidR="00331A79">
        <w:rPr>
          <w:lang w:val="en-GB"/>
        </w:rPr>
        <w:instrText xml:space="preserve"> ADDIN ZOTERO_ITEM CSL_CITATION {"citationID":"77DNPtGB","properties":{"formattedCitation":"(Katsanevakis et al., 2013)","plainCitation":"(Katsanevakis et al., 2013)","dontUpdate":true,"noteIndex":0},"citationItems":[{"id":32152,"uris":["http://zotero.org/groups/2352922/items/Z3QY7YIT"],"itemData":{"id":32152,"type":"article-journal","abstract":"Assessing pathways of introduction of marine alien species is essential to identify management options and evaluate management decisions to regulate and prevent new introductions. By critically reviewing related information in scientiﬁc/grey literature and online resources, 1369 alien marine species in European seas were identiﬁed, of which 1257 were linked to the most probable pathway(s)/vector(s) of introduction. Based on their reported year of introduction, trends in the numbers of introduced species per pathway/vector were assessed on a decadal basis and invasion patterns were described for each pathway. The trend of new introductions of alien species in Europe has been increasing, with more than half of the species probably being introduced by shipping. Marine and inland corridors (primarily because of the Suez Canal) were the second most common pathway of introduction followed by aquaculture and aquarium trade. Aquaculture was the only pathway for which there was a marked decrease in new introductions during the last decade, presumably due to compulsory measures implemented at a national or European level. Introductions via all the other pathways have been increasing, aquarium trade being the pathway with the most striking observed increase. Many more species are expected to invade the Mediterranean Sea through the Suez Canal, as it has been continuously enlarged and the barriers for the invasion of Red Sea species have been substantially decreased. In addition to the existing regulations on aquaculture, the implementation of appropriate management measures on shipping and aquarium trade, e.g. the implementation of the Ballast Water Management Convention, awareness raising among aquarium hobbyists, and also implementation of a stricter legislative framework on the import of non-native aquarium species, could reverse the increasing trend in new introductions.","container-title":"Ocean &amp; Coastal Management","DOI":"10.1016/j.ocecoaman.2013.02.024","ISSN":"09645691","journalAbbreviation":"Ocean &amp; Coastal Management","language":"en","page":"64-74","source":"DOI.org (Crossref)","title":"Invading European Seas: Assessing pathways of introduction of marine aliens","title-short":"Invading European Seas","URL":"https://linkinghub.elsevier.com/retrieve/pii/S0964569113000562","volume":"76","author":[{"family":"Katsanevakis","given":"Stelios"},{"family":"Zenetos","given":"Argyro"},{"family":"Belchior","given":"Constança"},{"family":"Cardoso","given":"Ana Cristina"}],"accessed":{"date-parts":[["2021",12,6]]},"issued":{"date-parts":[["2013",5]]}},"label":"page"}],"schema":"https://github.com/citation-style-language/schema/raw/master/csl-citation.json"} </w:instrText>
      </w:r>
      <w:r w:rsidR="00B32DDC" w:rsidRPr="00DA249F">
        <w:rPr>
          <w:lang w:val="en-GB"/>
        </w:rPr>
        <w:fldChar w:fldCharType="separate"/>
      </w:r>
      <w:r w:rsidR="00B32DDC" w:rsidRPr="00DA249F">
        <w:rPr>
          <w:lang w:val="en-GB"/>
        </w:rPr>
        <w:t>Katsanevakis et al., 2013)</w:t>
      </w:r>
      <w:r w:rsidR="00B32DDC" w:rsidRPr="00DA249F">
        <w:rPr>
          <w:lang w:val="en-GB"/>
        </w:rPr>
        <w:fldChar w:fldCharType="end"/>
      </w:r>
      <w:r w:rsidR="00B32DDC">
        <w:rPr>
          <w:lang w:val="en-GB"/>
        </w:rPr>
        <w:t>.</w:t>
      </w:r>
      <w:r w:rsidR="00B15A12">
        <w:rPr>
          <w:lang w:val="en-GB"/>
        </w:rPr>
        <w:t xml:space="preserve"> </w:t>
      </w:r>
      <w:r w:rsidRPr="00DA249F">
        <w:rPr>
          <w:lang w:val="en-GB"/>
        </w:rPr>
        <w:t xml:space="preserve">For example, 507 marine alien species have arrived in European Seas through </w:t>
      </w:r>
      <w:r w:rsidR="00D056D4" w:rsidRPr="00DA249F">
        <w:rPr>
          <w:lang w:val="en-GB"/>
        </w:rPr>
        <w:t>canals, such as</w:t>
      </w:r>
      <w:r w:rsidR="00B1749C" w:rsidRPr="00DA249F">
        <w:rPr>
          <w:lang w:val="en-GB"/>
        </w:rPr>
        <w:t xml:space="preserve"> </w:t>
      </w:r>
      <w:r w:rsidRPr="00DA249F">
        <w:rPr>
          <w:lang w:val="en-GB"/>
        </w:rPr>
        <w:t xml:space="preserve">the Suez Canal </w:t>
      </w:r>
      <w:r w:rsidR="002765ED" w:rsidRPr="00DA249F">
        <w:rPr>
          <w:lang w:val="en-GB"/>
        </w:rPr>
        <w:t>(</w:t>
      </w:r>
      <w:r w:rsidR="00E23B69">
        <w:rPr>
          <w:b/>
          <w:lang w:val="en-GB"/>
        </w:rPr>
        <w:t>Box</w:t>
      </w:r>
      <w:r w:rsidR="002765ED" w:rsidRPr="003F71DB">
        <w:rPr>
          <w:b/>
          <w:lang w:val="en-GB"/>
        </w:rPr>
        <w:t xml:space="preserve"> 3.7</w:t>
      </w:r>
      <w:r w:rsidR="002765ED" w:rsidRPr="00DA249F">
        <w:rPr>
          <w:lang w:val="en-GB"/>
        </w:rPr>
        <w:t>;</w:t>
      </w:r>
      <w:r w:rsidRPr="00DA249F">
        <w:rPr>
          <w:lang w:val="en-GB"/>
        </w:rPr>
        <w:fldChar w:fldCharType="begin"/>
      </w:r>
      <w:r w:rsidR="00331A79">
        <w:rPr>
          <w:lang w:val="en-GB"/>
        </w:rPr>
        <w:instrText xml:space="preserve"> ADDIN ZOTERO_ITEM CSL_CITATION {"citationID":"WCXX4Ikk","properties":{"formattedCitation":"(Katsanevakis et al., 2013)","plainCitation":"(Katsanevakis et al., 2013)","dontUpdate":true,"noteIndex":0},"citationItems":[{"id":32152,"uris":["http://zotero.org/groups/2352922/items/Z3QY7YIT"],"itemData":{"id":32152,"type":"article-journal","abstract":"Assessing pathways of introduction of marine alien species is essential to identify management options and evaluate management decisions to regulate and prevent new introductions. By critically reviewing related information in scientiﬁc/grey literature and online resources, 1369 alien marine species in European seas were identiﬁed, of which 1257 were linked to the most probable pathway(s)/vector(s) of introduction. Based on their reported year of introduction, trends in the numbers of introduced species per pathway/vector were assessed on a decadal basis and invasion patterns were described for each pathway. The trend of new introductions of alien species in Europe has been increasing, with more than half of the species probably being introduced by shipping. Marine and inland corridors (primarily because of the Suez Canal) were the second most common pathway of introduction followed by aquaculture and aquarium trade. Aquaculture was the only pathway for which there was a marked decrease in new introductions during the last decade, presumably due to compulsory measures implemented at a national or European level. Introductions via all the other pathways have been increasing, aquarium trade being the pathway with the most striking observed increase. Many more species are expected to invade the Mediterranean Sea through the Suez Canal, as it has been continuously enlarged and the barriers for the invasion of Red Sea species have been substantially decreased. In addition to the existing regulations on aquaculture, the implementation of appropriate management measures on shipping and aquarium trade, e.g. the implementation of the Ballast Water Management Convention, awareness raising among aquarium hobbyists, and also implementation of a stricter legislative framework on the import of non-native aquarium species, could reverse the increasing trend in new introductions.","container-title":"Ocean &amp; Coastal Management","DOI":"10.1016/j.ocecoaman.2013.02.024","ISSN":"09645691","journalAbbreviation":"Ocean &amp; Coastal Management","language":"en","page":"64-74","source":"DOI.org (Crossref)","title":"Invading European Seas: Assessing pathways of introduction of marine aliens","title-short":"Invading European Seas","URL":"https://linkinghub.elsevier.com/retrieve/pii/S0964569113000562","volume":"76","author":[{"family":"Katsanevakis","given":"Stelios"},{"family":"Zenetos","given":"Argyro"},{"family":"Belchior","given":"Constança"},{"family":"Cardoso","given":"Ana Cristina"}],"accessed":{"date-parts":[["2021",12,6]]},"issued":{"date-parts":[["2013",5]]}},"label":"page"}],"schema":"https://github.com/citation-style-language/schema/raw/master/csl-citation.json"} </w:instrText>
      </w:r>
      <w:r w:rsidRPr="00DA249F">
        <w:rPr>
          <w:lang w:val="en-GB"/>
        </w:rPr>
        <w:fldChar w:fldCharType="separate"/>
      </w:r>
      <w:r w:rsidR="002765ED" w:rsidRPr="00DA249F">
        <w:rPr>
          <w:lang w:val="en-GB"/>
        </w:rPr>
        <w:t xml:space="preserve"> Katsanevakis et al., 2013)</w:t>
      </w:r>
      <w:r w:rsidRPr="00DA249F">
        <w:rPr>
          <w:lang w:val="en-GB"/>
        </w:rPr>
        <w:fldChar w:fldCharType="end"/>
      </w:r>
      <w:r w:rsidRPr="00DA249F">
        <w:rPr>
          <w:lang w:val="en-GB"/>
        </w:rPr>
        <w:t xml:space="preserve">. </w:t>
      </w:r>
      <w:r w:rsidR="00D056D4" w:rsidRPr="00DA249F">
        <w:rPr>
          <w:lang w:val="en-GB"/>
        </w:rPr>
        <w:t>Since the eighteenth ce</w:t>
      </w:r>
      <w:r w:rsidR="000F7339" w:rsidRPr="00DA249F">
        <w:rPr>
          <w:lang w:val="en-GB"/>
        </w:rPr>
        <w:t>n</w:t>
      </w:r>
      <w:r w:rsidR="00D056D4" w:rsidRPr="00DA249F">
        <w:rPr>
          <w:lang w:val="en-GB"/>
        </w:rPr>
        <w:t>tury</w:t>
      </w:r>
      <w:r w:rsidR="00D056D4" w:rsidRPr="00DA249F">
        <w:rPr>
          <w:rFonts w:eastAsia="游明朝"/>
          <w:lang w:val="en-GB"/>
        </w:rPr>
        <w:t xml:space="preserve">, </w:t>
      </w:r>
      <w:r w:rsidR="00D056D4" w:rsidRPr="00DA249F">
        <w:rPr>
          <w:lang w:val="en-GB"/>
        </w:rPr>
        <w:t>the</w:t>
      </w:r>
      <w:r w:rsidR="00D056D4" w:rsidRPr="00DA249F">
        <w:rPr>
          <w:rFonts w:eastAsia="游明朝"/>
          <w:lang w:val="en-GB"/>
        </w:rPr>
        <w:t xml:space="preserve"> </w:t>
      </w:r>
      <w:r w:rsidR="00D056D4" w:rsidRPr="00DA249F">
        <w:rPr>
          <w:lang w:val="en-GB"/>
        </w:rPr>
        <w:t>connection of the European seas and rivers to the Eurasian waterways via canals showed a stepwise increase, and the extensive network of inland</w:t>
      </w:r>
      <w:r w:rsidR="00D056D4" w:rsidRPr="00DA249F">
        <w:rPr>
          <w:rFonts w:eastAsia="游明朝"/>
          <w:lang w:val="en-GB"/>
        </w:rPr>
        <w:t xml:space="preserve"> </w:t>
      </w:r>
      <w:r w:rsidR="00D056D4" w:rsidRPr="00DA249F">
        <w:rPr>
          <w:lang w:val="en-GB"/>
        </w:rPr>
        <w:t xml:space="preserve">waterways has allowed </w:t>
      </w:r>
      <w:r w:rsidR="00A03837">
        <w:rPr>
          <w:lang w:val="en-GB"/>
        </w:rPr>
        <w:t xml:space="preserve">the </w:t>
      </w:r>
      <w:r w:rsidR="00B15A12">
        <w:rPr>
          <w:lang w:val="en-GB"/>
        </w:rPr>
        <w:t xml:space="preserve">biological invasion </w:t>
      </w:r>
      <w:r w:rsidR="00A03837">
        <w:rPr>
          <w:lang w:val="en-GB"/>
        </w:rPr>
        <w:t xml:space="preserve">of </w:t>
      </w:r>
      <w:r w:rsidR="00D056D4" w:rsidRPr="00DA249F">
        <w:rPr>
          <w:lang w:val="en-GB"/>
        </w:rPr>
        <w:t>aquatic alien species</w:t>
      </w:r>
      <w:r w:rsidR="00D056D4" w:rsidRPr="00DA249F">
        <w:rPr>
          <w:rFonts w:eastAsia="游明朝"/>
          <w:lang w:val="en-GB"/>
        </w:rPr>
        <w:t xml:space="preserve"> </w:t>
      </w:r>
      <w:r w:rsidR="00D056D4" w:rsidRPr="00DA249F">
        <w:rPr>
          <w:lang w:val="en-GB"/>
        </w:rPr>
        <w:t xml:space="preserve">from different biogeographical regions </w:t>
      </w:r>
      <w:r w:rsidRPr="00DA249F">
        <w:rPr>
          <w:lang w:val="en-GB"/>
        </w:rPr>
        <w:fldChar w:fldCharType="begin"/>
      </w:r>
      <w:r w:rsidR="00331A79">
        <w:rPr>
          <w:lang w:val="en-GB"/>
        </w:rPr>
        <w:instrText xml:space="preserve"> ADDIN ZOTERO_ITEM CSL_CITATION {"citationID":"Z5fqmQAa","properties":{"formattedCitation":"(Leuven et al., 2009)","plainCitation":"(Leuven et al., 2009)","noteIndex":0},"citationItems":[{"id":28933,"uris":["http://zotero.org/groups/2352922/items/H3JY8WLL"],"itemData":{"id":28933,"type":"article-journal","abstract":"The river Rhine is heavily influenced by human activities and suffers from a series of environmental constraints which hamper a complete recovery of biodiversity. These constraints comprise intensive navigation and habitat modification by hydraulic engineering. Improving water quality while these constraints remain in place has led to increased colonization by aquatic invasive species. This tendency has been accelerated by the construction of canals connecting river basins. Over the last two centuries, the total surface area of river catchments connected to the river Rhine via inland waterways has been increased by a factor 21.6. Six principal invasion corridors for aquatic species to the river Rhine are discerned. The extensive network of inland waterways has allowed macroinvertebrate species from different bio-geographical regions to mix, changing communities, affecting the food webs and forming new constraints on the recovery of the native biodiversity. From the eighteenth century onward, in the freshwater sections of the river Rhine, a total of 45 non-indigenous macroinvertebrate species have been recorded. The average number of invasions per decade shows a sharp increase from &lt;1 to 13 species. Currently, the contribution of non-indigenous species to the total species richness of macroinvertebrates in the river Rhine is 11.3%. The Delta Rhine and Upper Rhine exhibit higher numbers of non-indigenous species than other river sections, because the sea ports in the Delta Rhine and the Main-Danube canal function as invasion gateways. Important donor areas are the Ponto-Caspian area and North America (44.4 and 26.7% of the non-indigenous macroinvertebrate species, respectively). Transport via shipping and dispersal via man made waterways are the most important dispersal vectors. Intentional and unintentional introductions are highest for the period 1950–1992. The cumulative number of non-indigenous species in time is significantly correlated with the increase in total surface area of other river catchments connected to the river Rhine by means of networks of canals. The species richness of non-indigenous macroinvertebrates is strongly dominated by crustaceans and molluscs. Invasive species often tolerate higher salt content, temperature, organic pollution and current flow than native species. Spatiotemporal analyses of distribution patterns reveal that average and maximum dispersal rates of six invasive species vary between 44–112 and 137–461 km</w:instrText>
      </w:r>
      <w:r w:rsidR="00331A79">
        <w:rPr>
          <w:rFonts w:hint="eastAsia"/>
          <w:lang w:val="en-GB"/>
        </w:rPr>
        <w:instrText> </w:instrText>
      </w:r>
      <w:r w:rsidR="00331A79">
        <w:rPr>
          <w:lang w:val="en-GB"/>
        </w:rPr>
        <w:instrText xml:space="preserve">year−1, respectively. Species arriving in upstream sections first show a shorter time lag between colonisation of the Delta and Upper Rhine than species initially arriving in downstream areas. Temporal analyses of macroinvertebrate assemblages in the littoral zones indicate that native species are displaced by non-indigenous species. However, established non-indigenous species are also displaced by more recent mass invaders.","container-title":"Biological Invasions","DOI":"10.1007/s10530-009-9491-7","ISSN":"1573-1464","issue":"9","journalAbbreviation":"Biol Invasions","language":"en","page":"1989-2008","source":"Springer Link","title":"The river Rhine: a global highway for dispersal of aquatic invasive species","title-short":"The river Rhine","URL":"https://doi.org/10.1007/s10530-009-9491-7","volume":"11","author":[{"family":"Leuven","given":"Rob S. E. W."},{"family":"Velde","given":"Gerard","non-dropping-particle":"van der"},{"family":"Baijens","given":"Iris"},{"family":"Snijders","given":"Janneke"},{"family":"Zwart","given":"Christien","non-dropping-particle":"van der"},{"family":"Lenders","given":"H. J. Rob"},{"family":"Vaate","given":"Abraham","non-dropping-particle":"bij de"}],"accessed":{"date-parts":[["2021",1,22]]},"issued":{"date-parts":[["2009",6,25]]}},"label":"page"}],"schema":"https://github.com/citation-style-language/schema/raw/master/csl-citation.json"} </w:instrText>
      </w:r>
      <w:r w:rsidRPr="00DA249F">
        <w:rPr>
          <w:lang w:val="en-GB"/>
        </w:rPr>
        <w:fldChar w:fldCharType="separate"/>
      </w:r>
      <w:r w:rsidR="00144D96" w:rsidRPr="00144D96">
        <w:t>(Leuven et al., 2009)</w:t>
      </w:r>
      <w:r w:rsidRPr="00DA249F">
        <w:rPr>
          <w:lang w:val="en-GB"/>
        </w:rPr>
        <w:fldChar w:fldCharType="end"/>
      </w:r>
      <w:r w:rsidR="00D056D4" w:rsidRPr="00DA249F">
        <w:rPr>
          <w:lang w:val="en-GB"/>
        </w:rPr>
        <w:t xml:space="preserve">, </w:t>
      </w:r>
      <w:r w:rsidR="00A03837">
        <w:rPr>
          <w:lang w:val="en-GB"/>
        </w:rPr>
        <w:t>such as</w:t>
      </w:r>
      <w:r w:rsidR="00D056D4" w:rsidRPr="00DA249F">
        <w:rPr>
          <w:lang w:val="en-GB"/>
        </w:rPr>
        <w:t xml:space="preserve"> the establishment of Ponto-Caspian invertebrates through</w:t>
      </w:r>
      <w:r w:rsidR="00A03837">
        <w:rPr>
          <w:lang w:val="en-GB"/>
        </w:rPr>
        <w:t>out</w:t>
      </w:r>
      <w:r w:rsidR="00D056D4" w:rsidRPr="00DA249F">
        <w:rPr>
          <w:lang w:val="en-GB"/>
        </w:rPr>
        <w:t xml:space="preserve"> the central European corridors </w:t>
      </w:r>
      <w:r w:rsidRPr="00DA249F">
        <w:rPr>
          <w:lang w:val="en-GB"/>
        </w:rPr>
        <w:fldChar w:fldCharType="begin"/>
      </w:r>
      <w:r w:rsidR="00331A79">
        <w:rPr>
          <w:lang w:val="en-GB"/>
        </w:rPr>
        <w:instrText xml:space="preserve"> ADDIN ZOTERO_ITEM CSL_CITATION {"citationID":"bzz3RDaT","properties":{"formattedCitation":"(Karatayev et al., 2008)","plainCitation":"(Karatayev et al., 2008)","noteIndex":0},"citationItems":[{"id":15245,"uris":["http://zotero.org/groups/2352922/items/FSHY562Z"],"itemData":{"id":15245,"type":"article-journal","abstract":"We analyzed the role of the waterways of Belarus in the spread of aquatic exotic invertebrates through the central European invasion corridor. Present day Belarus became critically important when in the end of the 18th—beginning of the 19th century three interbasin canals connecting rivers from the Black and Baltic seas basins were constructed for international trade. These canals became important pathways facilitating the spread of aquatic alien species. For more than a hundred years, only Ponto-Caspian species colonized Belarus using ships and especially timber in rafts exported by Russia into Western Europe. In the second half of the 20th century, new vectors of spread appeared in Belarus, such as stocking of economically important invertebrates and accidental introductions. This paper is the first comprehensive review of aquatic exotic invertebrates in Belarus. Currently, 19 exotic aquatic invertebrates are known in Belarus, including 14 species of Ponto-Caspian origin. The rate of spread of aquatic invasive species in the second half of the 20th century increased 7-fold compared to the 19th—beginning of the 20th century. We found a significant positive correlation between the time since initial invasion and number of waterbodies colonized. We predict a further increase in the rate of colonization of Belarus by exotic invertebrates as well as an increase in the diversity of vectors of spread and donor areas of alien species, especially when the ongoing reconstruction of the interbasin canals will be completed and the hydrological connection between Black Sea and Baltic Sea basins will be reestablished after an interruption that has lasted for almost a century.","container-title":"Biological Invasions","DOI":"10.1007/s10530-007-9124-y","ISSN":"1573-1464","issue":"2","journalAbbreviation":"Biol Invasions","language":"en","page":"215-232","source":"Springer Link","title":"Past, current, and future of the central European corridor for aquatic invasions in Belarus","URL":"https://doi.org/10.1007/s10530-007-9124-y","volume":"10","author":[{"family":"Karatayev","given":"Alexander Y."},{"family":"Mastitsky","given":"Sergey E."},{"family":"Burlakova","given":"Lyubov E."},{"family":"Olenin","given":"Sergej"}],"accessed":{"date-parts":[["2019",9,24]]},"issued":{"date-parts":[["2008",2,1]]}},"label":"page"}],"schema":"https://github.com/citation-style-language/schema/raw/master/csl-citation.json"} </w:instrText>
      </w:r>
      <w:r w:rsidRPr="00DA249F">
        <w:rPr>
          <w:lang w:val="en-GB"/>
        </w:rPr>
        <w:fldChar w:fldCharType="separate"/>
      </w:r>
      <w:r w:rsidR="00144D96" w:rsidRPr="00144D96">
        <w:t>(Karatayev et al., 2008)</w:t>
      </w:r>
      <w:r w:rsidRPr="00DA249F">
        <w:rPr>
          <w:lang w:val="en-GB"/>
        </w:rPr>
        <w:fldChar w:fldCharType="end"/>
      </w:r>
      <w:r w:rsidR="00D056D4" w:rsidRPr="00DA249F">
        <w:rPr>
          <w:lang w:val="en-GB"/>
        </w:rPr>
        <w:t xml:space="preserve">. </w:t>
      </w:r>
      <w:r w:rsidR="00F10F6E" w:rsidRPr="00DA249F">
        <w:rPr>
          <w:lang w:val="en-GB"/>
        </w:rPr>
        <w:t xml:space="preserve">Another example is the shipping canals near Chicago, Illinois that link the Great Lakes with the Mississippi River, which have allowed the exchange of 15 species of fish and invertebrates formerly confined to just one of the basins </w:t>
      </w:r>
      <w:r w:rsidR="00F10F6E" w:rsidRPr="00DA249F">
        <w:rPr>
          <w:lang w:val="en-GB"/>
        </w:rPr>
        <w:fldChar w:fldCharType="begin"/>
      </w:r>
      <w:r w:rsidR="00331A79">
        <w:rPr>
          <w:lang w:val="en-GB"/>
        </w:rPr>
        <w:instrText xml:space="preserve"> ADDIN ZOTERO_ITEM CSL_CITATION {"citationID":"MKbc4ILo","properties":{"formattedCitation":"(Rahel, 2002)","plainCitation":"(Rahel, 2002)","noteIndex":0},"citationItems":[{"id":12566,"uris":["http://zotero.org/groups/2352922/items/IKUCSZUC"],"itemData":{"id":12566,"type":"article-journal","abstract":"Biotic homogenization is the increased similarity of biotas over time caused by the replacement of native species with nonindigenous species, usually as a result of introductions by humans. Homogenization is the outcome of three interacting processes: introductions of nonnative species, extirpation of native species, and habitat alterations that facilitate these two processes. A central aspect of the homogenization process is the ability of species to overcome natural biogeographic barriers either through intentional transport by humans or through colonization routes created by human activities. Habitat homogenization through reservoir construction contributes to biotic homogenization as local riverine faunas are replaced with cosmopolitan lentic species. The homogenization process has generally increased biodiversity in most freshwater faunas, as the establishment of new species has outpaced the extinction of native species. There are important exceptions, however, where the establishment of nonindigenous species has had devastating impacts on endemic species. The homogenization process appears likely to continue, although it could be slowed through reductions in the rate of invasions and extirpations and by rehabilitating aquatic habitats so as to favor native species.","container-title":"Annual Review of Ecology and Systematics","DOI":"10.1146/annurev.ecolsys.33.010802.150429","issue":"1","page":"291-315","source":"Annual Reviews","title":"Homogenization of Freshwater Faunas","URL":"https://doi.org/10.1146/annurev.ecolsys.33.010802.150429","volume":"33","author":[{"family":"Rahel","given":"Frank J."}],"accessed":{"date-parts":[["2019",10,23]]},"issued":{"date-parts":[["2002"]]}},"label":"page"}],"schema":"https://github.com/citation-style-language/schema/raw/master/csl-citation.json"} </w:instrText>
      </w:r>
      <w:r w:rsidR="00F10F6E" w:rsidRPr="00DA249F">
        <w:rPr>
          <w:lang w:val="en-GB"/>
        </w:rPr>
        <w:fldChar w:fldCharType="separate"/>
      </w:r>
      <w:r w:rsidR="00144D96" w:rsidRPr="00144D96">
        <w:t>(Rahel, 2002)</w:t>
      </w:r>
      <w:r w:rsidR="00F10F6E" w:rsidRPr="00DA249F">
        <w:rPr>
          <w:lang w:val="en-GB"/>
        </w:rPr>
        <w:fldChar w:fldCharType="end"/>
      </w:r>
      <w:r w:rsidR="00F10F6E" w:rsidRPr="00DA249F">
        <w:rPr>
          <w:lang w:val="en-GB"/>
        </w:rPr>
        <w:t xml:space="preserve">. </w:t>
      </w:r>
      <w:r w:rsidRPr="00DA249F">
        <w:rPr>
          <w:lang w:val="en-GB"/>
        </w:rPr>
        <w:t xml:space="preserve">Additionally, </w:t>
      </w:r>
      <w:r w:rsidR="00A2624F" w:rsidRPr="00DA249F">
        <w:rPr>
          <w:lang w:val="en-GB"/>
        </w:rPr>
        <w:t>inter</w:t>
      </w:r>
      <w:r w:rsidR="000F7339" w:rsidRPr="00DA249F">
        <w:rPr>
          <w:lang w:val="en-GB"/>
        </w:rPr>
        <w:t>-</w:t>
      </w:r>
      <w:r w:rsidR="00A2624F" w:rsidRPr="00DA249F">
        <w:rPr>
          <w:lang w:val="en-GB"/>
        </w:rPr>
        <w:t>basin</w:t>
      </w:r>
      <w:r w:rsidRPr="00DA249F">
        <w:rPr>
          <w:lang w:val="en-GB"/>
        </w:rPr>
        <w:t xml:space="preserve"> water transfers provide a direct link between previously isolated catchments and thereby modify the water flow, chemistry and temperature of receiving waters. Water inflow via canals </w:t>
      </w:r>
      <w:r w:rsidR="00AC00CF" w:rsidRPr="00DA249F">
        <w:rPr>
          <w:lang w:val="en-GB"/>
        </w:rPr>
        <w:t xml:space="preserve">can </w:t>
      </w:r>
      <w:r w:rsidR="19AE4B7B" w:rsidRPr="00DA249F">
        <w:rPr>
          <w:lang w:val="en-GB"/>
        </w:rPr>
        <w:t>result</w:t>
      </w:r>
      <w:r w:rsidRPr="00DA249F">
        <w:rPr>
          <w:lang w:val="en-GB"/>
        </w:rPr>
        <w:t xml:space="preserve"> in eutrophication and </w:t>
      </w:r>
      <w:r w:rsidR="00D056D4" w:rsidRPr="00DA249F">
        <w:rPr>
          <w:lang w:val="en-GB"/>
        </w:rPr>
        <w:t>changes in</w:t>
      </w:r>
      <w:r w:rsidRPr="00DA249F">
        <w:rPr>
          <w:lang w:val="en-GB"/>
        </w:rPr>
        <w:t xml:space="preserve"> salinity, thereby allow</w:t>
      </w:r>
      <w:r w:rsidR="00AC00CF" w:rsidRPr="00DA249F">
        <w:rPr>
          <w:lang w:val="en-GB"/>
        </w:rPr>
        <w:t>ing</w:t>
      </w:r>
      <w:r w:rsidRPr="00DA249F">
        <w:rPr>
          <w:lang w:val="en-GB"/>
        </w:rPr>
        <w:t xml:space="preserve"> the establishment of </w:t>
      </w:r>
      <w:r w:rsidR="00DE7F73" w:rsidRPr="00DA249F">
        <w:rPr>
          <w:lang w:val="en-GB"/>
        </w:rPr>
        <w:t xml:space="preserve">invasive alien species </w:t>
      </w:r>
      <w:r w:rsidRPr="00DA249F">
        <w:rPr>
          <w:lang w:val="en-GB"/>
        </w:rPr>
        <w:t>(e.g.</w:t>
      </w:r>
      <w:r w:rsidR="00B3730A" w:rsidRPr="00DA249F">
        <w:rPr>
          <w:lang w:val="en-GB"/>
        </w:rPr>
        <w:t>,</w:t>
      </w:r>
      <w:r w:rsidRPr="00DA249F">
        <w:rPr>
          <w:lang w:val="en-GB"/>
        </w:rPr>
        <w:t xml:space="preserve"> </w:t>
      </w:r>
      <w:r w:rsidRPr="00DA249F">
        <w:rPr>
          <w:lang w:val="en-GB"/>
        </w:rPr>
        <w:fldChar w:fldCharType="begin"/>
      </w:r>
      <w:r w:rsidR="00331A79">
        <w:rPr>
          <w:lang w:val="en-GB"/>
        </w:rPr>
        <w:instrText xml:space="preserve"> ADDIN ZOTERO_ITEM CSL_CITATION {"citationID":"kfcuGeDY","properties":{"formattedCitation":"(Pienim\\uc0\\u228{}ki &amp; Lepp\\uc0\\u228{}koski, 2004; Sar\\uc0\\u224{} et al., 2018)","plainCitation":"(Pienimäki &amp; Leppäkoski, 2004; Sarà et al., 2018)","dontUpdate":true,"noteIndex":0},"citationItems":[{"id":15242,"uris":["http://zotero.org/groups/2352922/items/QDN3DIRI"],"itemData":{"id":15242,"type":"article-journal","abstract":"In a literature-based study, 29 non-indigenous species present in northeastern European waters were assessed for their potential for introduction and establishment in Finnish inland lakes. Their physiological and ecological demands were compared to abiotic and biotic lake conditions. The availability of adequate vectors was surveyed from shipping statistics for the Saimaa Canal, which connects the Finnish Lake District to the Baltic Sea. There exists a high probability for the introduction of six non-indigenous invertebrate species, i.e., Anguillicola crassus, Potamothrix heuscheri, Potamothrix vejdovskyi, Hemimysis anomala, Cercopagis pengoi and Gmelinoides fasciatus, with the Gulf of Finland as the main donor area. Barriers against new species introductions, which maintain the biological integrity of Finnish inland lakes, include low water temperature, northern isolated location, and low concentration of nutrients and major ions.","container-title":"Biological Invasions","DOI":"10.1023/B:BINV.0000034607.00490.95","ISSN":"1573-1464","issue":"3","journalAbbreviation":"Biological Invasions","language":"en","page":"331-346","source":"Springer Link","title":"Invasion Pressure on the Finnish Lake District: Invasion Corridors and Barriers","title-short":"Invasion Pressure on the Finnish Lake District","URL":"https://doi.org/10.1023/B:BINV.0000034607.00490.95","volume":"6","author":[{"family":"Pienimäki","given":"Marjo"},{"family":"Leppäkoski","given":"Erkki"}],"accessed":{"date-parts":[["2019",9,24]]},"issued":{"date-parts":[["2004",9,1]]}},"label":"page"},{"id":27465,"uris":["http://zotero.org/groups/2352922/items/KZIK6U3C"],"itemData":{"id":27465,"type":"article-journal","abstract":"Aim The introduction of non-indigenous species (NIS) via man-made corridors connecting previously disparate oceanic regions is increasing globally. However, the environmental and anthropogenic factors facilitating invasion dynamics and their interactions are still largely unknown. This study compiles and inputs available data for the NIS bivalve Brachidontes pharaonis across the invaded biogeographic range in the Mediterranean basin into a species distribution model to predict future spread under a range of marine scenarios. Location Mediterranean Sea. Methods A systematic review produced the largest presence database ever assembled to inform the selection of biological, chemical and physical factors linked to the spread of B. pharaonis through the Suez Canal. We carried out a sensitivity analysis to simulate current and future trophic and salinity scenarios. A species distribution model was run to determine key drivers of invasion, quantify interactive impacts arising from a range of trophic states, salinity conditions and climatic scenarios and forecast future trajectories for the spread of NIS into new regions under multiple-parameter scenarios (based on the main factors identified from the systematic review). Results Impacts on invasion trajectory arising from climate change and interactions with increasing salinity from the new opening of the canal were the primary drivers of expansion across the basin, the effects of which were further enhanced by eutrophication. Predictions of the current distribution were most accurate when multiple stressors were used to drive the model. A habitat suitability index developed at a subcontinental scale from model outputs identified novel favourable conditions for future colonization at specific locations under 2030 and 2050 climatic scenarios. Main conclusions Future expansion of B. pharaonis will be enhanced by climate-facilitated increased sea temperature, interacting with increasing pressures from salinity and eutrophication. The spatially explicit risk output maps of invasions represent a powerful visual product for use in communication of the spread of NIS and decision-support tools for scientists and policymakers. The suggested approach, the observed distribution pattern and driving processes can be applied to other NIS species and regions by providing novel forecasts of species occurrences under future multiple stressor scenarios and the location of suitable recipient habitats with respect to anthropogenic and environmental parameters.","container-title":"Journal of Biogeography","DOI":"10.1111/jbi.13184","ISSN":"1365-2699","issue":"5","language":"en","license":"© 2018 The Authors. Journal of Biogeography Published by John Wiley &amp; Sons Ltd","page":"1090-1103","source":"Wiley Online Library","title":"Multiple stressors facilitate the spread of a non-indigenous bivalve in the Mediterranean Sea","URL":"https://onlinelibrary.wiley.com/doi/abs/10.1111/jbi.13184","volume":"45","author":[{"family":"Sarà","given":"Gianluca"},{"family":"Porporato","given":"Erika M. D."},{"family":"Mangano","given":"Maria Cristina"},{"family":"Mieszkowska","given":"Nova"}],"accessed":{"date-parts":[["2019",9,24]]},"issued":{"date-parts":[["2018"]]}},"label":"page"}],"schema":"https://github.com/citation-style-language/schema/raw/master/csl-citation.json"} </w:instrText>
      </w:r>
      <w:r w:rsidRPr="00DA249F">
        <w:rPr>
          <w:lang w:val="en-GB"/>
        </w:rPr>
        <w:fldChar w:fldCharType="separate"/>
      </w:r>
      <w:r w:rsidR="00BC3B27" w:rsidRPr="00DA249F">
        <w:rPr>
          <w:szCs w:val="24"/>
          <w:lang w:val="en-GB"/>
        </w:rPr>
        <w:t>Pienimäki &amp; Leppäkoski, 2004; Sarà et al., 2018)</w:t>
      </w:r>
      <w:r w:rsidRPr="00DA249F">
        <w:rPr>
          <w:lang w:val="en-GB"/>
        </w:rPr>
        <w:fldChar w:fldCharType="end"/>
      </w:r>
      <w:r w:rsidRPr="00DA249F">
        <w:rPr>
          <w:lang w:val="en-GB"/>
        </w:rPr>
        <w:t>.</w:t>
      </w:r>
      <w:r w:rsidR="00CD48AD" w:rsidRPr="00DA249F">
        <w:rPr>
          <w:lang w:val="en-GB"/>
        </w:rPr>
        <w:t xml:space="preserve"> </w:t>
      </w:r>
    </w:p>
    <w:p w14:paraId="24928300" w14:textId="77777777" w:rsidR="00C908FB" w:rsidRPr="00DA249F" w:rsidRDefault="00F2111B" w:rsidP="0090109B">
      <w:pPr>
        <w:rPr>
          <w:b/>
          <w:lang w:val="en-GB"/>
        </w:rPr>
      </w:pPr>
      <w:r w:rsidRPr="00DA249F">
        <w:rPr>
          <w:lang w:val="en-GB"/>
        </w:rPr>
        <w:t xml:space="preserve">Thus, creation of anthropogenic corridors </w:t>
      </w:r>
      <w:r w:rsidR="000F7339" w:rsidRPr="00DA249F">
        <w:rPr>
          <w:lang w:val="en-GB"/>
        </w:rPr>
        <w:t xml:space="preserve">is an important driver across all stages of the biological invasion process </w:t>
      </w:r>
      <w:r w:rsidRPr="00DA249F">
        <w:rPr>
          <w:lang w:val="en-GB"/>
        </w:rPr>
        <w:t>(transport, introduction, establishment and spread) for various taxa (e.g., plants, vertebrates and invertebrates) in terrestrial, freshwater and marine biomes.</w:t>
      </w:r>
    </w:p>
    <w:p w14:paraId="23B84BFA" w14:textId="34BED0B0" w:rsidR="001B2B19" w:rsidRPr="00DA249F" w:rsidRDefault="001B2B19" w:rsidP="00F63923">
      <w:pPr>
        <w:pStyle w:val="Caption"/>
        <w:pBdr>
          <w:top w:val="single" w:sz="4" w:space="1" w:color="auto"/>
          <w:left w:val="single" w:sz="4" w:space="1" w:color="auto"/>
          <w:bottom w:val="single" w:sz="4" w:space="0" w:color="auto"/>
          <w:right w:val="single" w:sz="4" w:space="1" w:color="auto"/>
        </w:pBdr>
        <w:shd w:val="clear" w:color="auto" w:fill="E7E6E6" w:themeFill="background2"/>
        <w:rPr>
          <w:lang w:val="en-GB"/>
        </w:rPr>
      </w:pPr>
      <w:bookmarkStart w:id="154" w:name="_Ref104903438"/>
      <w:bookmarkStart w:id="155" w:name="_Toc44317823"/>
      <w:bookmarkStart w:id="156" w:name="_Toc158373491"/>
      <w:r w:rsidRPr="00DA249F">
        <w:rPr>
          <w:lang w:val="en-GB"/>
        </w:rPr>
        <w:t>Box 3.</w:t>
      </w:r>
      <w:r w:rsidRPr="00DA249F">
        <w:rPr>
          <w:lang w:val="en-GB"/>
        </w:rPr>
        <w:fldChar w:fldCharType="begin"/>
      </w:r>
      <w:r w:rsidRPr="00DA249F">
        <w:rPr>
          <w:lang w:val="en-GB"/>
        </w:rPr>
        <w:instrText xml:space="preserve"> SEQ Box_3. \* ARABIC </w:instrText>
      </w:r>
      <w:r w:rsidRPr="00DA249F">
        <w:rPr>
          <w:lang w:val="en-GB"/>
        </w:rPr>
        <w:fldChar w:fldCharType="separate"/>
      </w:r>
      <w:r w:rsidR="00287BC7">
        <w:rPr>
          <w:noProof/>
          <w:lang w:val="en-GB"/>
        </w:rPr>
        <w:t>7</w:t>
      </w:r>
      <w:r w:rsidRPr="00DA249F">
        <w:rPr>
          <w:lang w:val="en-GB"/>
        </w:rPr>
        <w:fldChar w:fldCharType="end"/>
      </w:r>
      <w:bookmarkEnd w:id="154"/>
      <w:r w:rsidR="00772C0F" w:rsidRPr="00DA249F">
        <w:rPr>
          <w:lang w:val="en-GB"/>
        </w:rPr>
        <w:t>.</w:t>
      </w:r>
      <w:r w:rsidRPr="00DA249F">
        <w:rPr>
          <w:lang w:val="en-GB"/>
        </w:rPr>
        <w:t xml:space="preserve"> The Suez Canal and invasive alien species</w:t>
      </w:r>
      <w:bookmarkEnd w:id="155"/>
      <w:bookmarkEnd w:id="156"/>
    </w:p>
    <w:p w14:paraId="70477967" w14:textId="2AAA6E5D" w:rsidR="00F2111B" w:rsidRPr="00DA249F" w:rsidRDefault="64314269" w:rsidP="5575EBFC">
      <w:pPr>
        <w:pBdr>
          <w:top w:val="single" w:sz="4" w:space="1" w:color="auto"/>
          <w:left w:val="single" w:sz="4" w:space="1" w:color="auto"/>
          <w:bottom w:val="single" w:sz="4" w:space="0" w:color="auto"/>
          <w:right w:val="single" w:sz="4" w:space="1" w:color="auto"/>
        </w:pBdr>
        <w:shd w:val="clear" w:color="auto" w:fill="E7E6E6" w:themeFill="background2"/>
        <w:rPr>
          <w:i/>
          <w:iCs/>
          <w:lang w:val="en-GB"/>
        </w:rPr>
      </w:pPr>
      <w:r w:rsidRPr="5575EBFC">
        <w:rPr>
          <w:lang w:val="en-GB" w:bidi="he-IL"/>
        </w:rPr>
        <w:t>The Suez Canal, a linchpin</w:t>
      </w:r>
      <w:r w:rsidR="00F26E2B">
        <w:rPr>
          <w:lang w:val="en-GB" w:bidi="he-IL"/>
        </w:rPr>
        <w:t xml:space="preserve"> </w:t>
      </w:r>
      <w:r w:rsidRPr="5575EBFC">
        <w:rPr>
          <w:rFonts w:eastAsia="AdvTimes_new"/>
          <w:lang w:val="en-GB" w:bidi="he-IL"/>
        </w:rPr>
        <w:t xml:space="preserve">of transportation </w:t>
      </w:r>
      <w:r w:rsidR="503C401B" w:rsidRPr="5575EBFC">
        <w:rPr>
          <w:rFonts w:eastAsia="AdvTimes_new"/>
          <w:lang w:val="en-GB" w:bidi="he-IL"/>
        </w:rPr>
        <w:t xml:space="preserve">networks </w:t>
      </w:r>
      <w:r w:rsidRPr="5575EBFC">
        <w:rPr>
          <w:rFonts w:eastAsia="AdvTimes_new"/>
          <w:lang w:val="en-GB" w:bidi="he-IL"/>
        </w:rPr>
        <w:t>between Europe and Asia</w:t>
      </w:r>
      <w:r w:rsidRPr="5575EBFC">
        <w:rPr>
          <w:lang w:val="en-GB"/>
        </w:rPr>
        <w:t>,</w:t>
      </w:r>
      <w:r w:rsidRPr="5575EBFC">
        <w:rPr>
          <w:lang w:val="en-GB" w:bidi="he-IL"/>
        </w:rPr>
        <w:t xml:space="preserve"> </w:t>
      </w:r>
      <w:r w:rsidRPr="5575EBFC">
        <w:rPr>
          <w:lang w:val="en-GB"/>
        </w:rPr>
        <w:t>carries over 10</w:t>
      </w:r>
      <w:r w:rsidR="56E18C3C" w:rsidRPr="5575EBFC">
        <w:rPr>
          <w:lang w:val="en-GB"/>
        </w:rPr>
        <w:t xml:space="preserve"> </w:t>
      </w:r>
      <w:r w:rsidR="4804CF9A" w:rsidRPr="5575EBFC">
        <w:rPr>
          <w:lang w:val="en-GB"/>
        </w:rPr>
        <w:t>per cent</w:t>
      </w:r>
      <w:r w:rsidRPr="5575EBFC">
        <w:rPr>
          <w:lang w:val="en-GB"/>
        </w:rPr>
        <w:t xml:space="preserve"> of global trade</w:t>
      </w:r>
      <w:r w:rsidR="45B1E0B3" w:rsidRPr="5575EBFC">
        <w:rPr>
          <w:lang w:val="en-GB"/>
        </w:rPr>
        <w:t>, with</w:t>
      </w:r>
      <w:r w:rsidRPr="5575EBFC">
        <w:rPr>
          <w:lang w:val="en-GB" w:bidi="he-IL"/>
        </w:rPr>
        <w:t>19,000 vessels transit</w:t>
      </w:r>
      <w:r w:rsidR="45B1E0B3" w:rsidRPr="5575EBFC">
        <w:rPr>
          <w:lang w:val="en-GB" w:bidi="he-IL"/>
        </w:rPr>
        <w:t>ing</w:t>
      </w:r>
      <w:r w:rsidRPr="5575EBFC">
        <w:rPr>
          <w:lang w:val="en-GB" w:bidi="he-IL"/>
        </w:rPr>
        <w:t xml:space="preserve"> the Canal </w:t>
      </w:r>
      <w:r w:rsidR="45B1E0B3" w:rsidRPr="5575EBFC">
        <w:rPr>
          <w:lang w:val="en-GB"/>
        </w:rPr>
        <w:t>i</w:t>
      </w:r>
      <w:r w:rsidR="45B1E0B3" w:rsidRPr="5575EBFC">
        <w:rPr>
          <w:lang w:val="en-GB" w:bidi="he-IL"/>
        </w:rPr>
        <w:t xml:space="preserve">n 2020 </w:t>
      </w:r>
      <w:r w:rsidR="001B2B19" w:rsidRPr="5575EBFC">
        <w:rPr>
          <w:lang w:val="en-GB" w:bidi="he-IL"/>
        </w:rPr>
        <w:fldChar w:fldCharType="begin"/>
      </w:r>
      <w:r w:rsidR="00331A79">
        <w:rPr>
          <w:lang w:val="en-GB" w:bidi="he-IL"/>
        </w:rPr>
        <w:instrText xml:space="preserve"> ADDIN ZOTERO_ITEM CSL_CITATION {"citationID":"xrNx9Fg3","properties":{"formattedCitation":"(Veiga, 2021)","plainCitation":"(Veiga, 2021)","noteIndex":0},"citationItems":[{"id":29661,"uris":["http://zotero.org/groups/2352922/items/L7CV8WNY"],"itemData":{"id":29661,"type":"webpage","abstract":"The plight of a mammoth container ship stuck in Egypt’s Suez Canal has highlighted still more pressure points in global trade, a year after supply chains were disrupted by the coronavirus pandemic.","container-title":"AP NEWS","language":"en","note":"section: Global trade","title":"Suez Canal blockage adds to pressure points in global trade","URL":"https://apnews.com/article/europe-global-trade-egypt-coronavirus-pandemic-suez-canal-166bc8f21e9705f2921a67ef2dea176c","author":[{"family":"Veiga","given":"Alex"}],"accessed":{"date-parts":[["2021",7,30]]},"issued":{"date-parts":[["2021",3,30]]}},"label":"page"}],"schema":"https://github.com/citation-style-language/schema/raw/master/csl-citation.json"} </w:instrText>
      </w:r>
      <w:r w:rsidR="001B2B19" w:rsidRPr="5575EBFC">
        <w:rPr>
          <w:lang w:val="en-GB" w:bidi="he-IL"/>
        </w:rPr>
        <w:fldChar w:fldCharType="separate"/>
      </w:r>
      <w:r w:rsidR="6B5F9B9E">
        <w:t>(Veiga, 2021)</w:t>
      </w:r>
      <w:r w:rsidR="001B2B19" w:rsidRPr="5575EBFC">
        <w:rPr>
          <w:lang w:val="en-GB" w:bidi="he-IL"/>
        </w:rPr>
        <w:fldChar w:fldCharType="end"/>
      </w:r>
      <w:r w:rsidRPr="5575EBFC">
        <w:rPr>
          <w:lang w:val="en-GB" w:bidi="he-IL"/>
        </w:rPr>
        <w:t xml:space="preserve">. </w:t>
      </w:r>
      <w:r w:rsidR="0BA850A1" w:rsidRPr="5575EBFC">
        <w:rPr>
          <w:lang w:val="en-GB"/>
        </w:rPr>
        <w:t>The Canal</w:t>
      </w:r>
      <w:r w:rsidRPr="5575EBFC">
        <w:rPr>
          <w:lang w:val="en-GB"/>
        </w:rPr>
        <w:t xml:space="preserve"> is also the main pathway of alien species introduction into the Mediterranean Sea</w:t>
      </w:r>
      <w:r w:rsidRPr="5575EBFC">
        <w:rPr>
          <w:rFonts w:eastAsia="AdvTimes_new"/>
          <w:color w:val="000000" w:themeColor="text1"/>
          <w:lang w:val="en-GB" w:bidi="he-IL"/>
        </w:rPr>
        <w:t>.</w:t>
      </w:r>
      <w:r w:rsidR="2F96EE2F" w:rsidRPr="5575EBFC">
        <w:rPr>
          <w:rFonts w:eastAsia="AdvTimes_new"/>
          <w:color w:val="000000" w:themeColor="text1"/>
          <w:lang w:val="en-GB" w:bidi="he-IL"/>
        </w:rPr>
        <w:t xml:space="preserve"> </w:t>
      </w:r>
      <w:r w:rsidRPr="5575EBFC">
        <w:rPr>
          <w:lang w:val="en-GB" w:bidi="he-IL"/>
        </w:rPr>
        <w:t>The Suez Canal was opened over 150 years ago, yet Erythraean species are newly recorded in the Mediterranean to this very day (</w:t>
      </w:r>
      <w:r w:rsidR="00DC2990">
        <w:rPr>
          <w:b/>
          <w:bCs/>
          <w:lang w:val="en-GB" w:bidi="he-IL"/>
        </w:rPr>
        <w:t>Figure</w:t>
      </w:r>
      <w:r w:rsidR="7EF70BBD" w:rsidRPr="00FC1BA2">
        <w:rPr>
          <w:b/>
          <w:bCs/>
          <w:lang w:val="en-GB" w:bidi="he-IL"/>
        </w:rPr>
        <w:t xml:space="preserve"> 3.16</w:t>
      </w:r>
      <w:r w:rsidRPr="5575EBFC">
        <w:rPr>
          <w:lang w:val="en-GB" w:bidi="he-IL"/>
        </w:rPr>
        <w:t xml:space="preserve">). </w:t>
      </w:r>
      <w:r w:rsidR="1AB3508A" w:rsidRPr="5575EBFC">
        <w:rPr>
          <w:lang w:val="en-GB" w:bidi="he-IL"/>
        </w:rPr>
        <w:t xml:space="preserve">Biological invasions by </w:t>
      </w:r>
      <w:r w:rsidRPr="5575EBFC">
        <w:rPr>
          <w:lang w:val="en-GB" w:bidi="he-IL"/>
        </w:rPr>
        <w:t xml:space="preserve">Erythraean </w:t>
      </w:r>
      <w:r w:rsidR="1AB3508A" w:rsidRPr="5575EBFC">
        <w:rPr>
          <w:lang w:val="en-GB" w:bidi="he-IL"/>
        </w:rPr>
        <w:t>species are</w:t>
      </w:r>
      <w:r w:rsidRPr="5575EBFC">
        <w:rPr>
          <w:lang w:val="en-GB" w:bidi="he-IL"/>
        </w:rPr>
        <w:t xml:space="preserve"> driven by the region’s environmental characteristics and anthropogenic activities. The latter include</w:t>
      </w:r>
      <w:r w:rsidR="0BA850A1" w:rsidRPr="5575EBFC">
        <w:rPr>
          <w:lang w:val="en-GB" w:bidi="he-IL"/>
        </w:rPr>
        <w:t>:</w:t>
      </w:r>
      <w:r w:rsidRPr="5575EBFC">
        <w:rPr>
          <w:lang w:val="en-GB" w:bidi="he-IL"/>
        </w:rPr>
        <w:t xml:space="preserve"> physical changes to the Canal that </w:t>
      </w:r>
      <w:r w:rsidR="2373D30E" w:rsidRPr="5575EBFC">
        <w:rPr>
          <w:lang w:val="en-GB" w:bidi="he-IL"/>
        </w:rPr>
        <w:t xml:space="preserve">have </w:t>
      </w:r>
      <w:r w:rsidRPr="5575EBFC">
        <w:rPr>
          <w:lang w:val="en-GB" w:bidi="he-IL"/>
        </w:rPr>
        <w:t xml:space="preserve">impacted its hydrography and hydrology, and increased its potential as a “corridor”; and changes to the Levantine marine environment that have made it more susceptible to biological invasion by modifying its hydrological properties and species diversity, and destabilizing the shelf community structure </w:t>
      </w:r>
      <w:r w:rsidR="001B2B19" w:rsidRPr="5575EBFC">
        <w:rPr>
          <w:lang w:val="en-GB" w:bidi="he-IL"/>
        </w:rPr>
        <w:fldChar w:fldCharType="begin"/>
      </w:r>
      <w:r w:rsidR="00331A79">
        <w:rPr>
          <w:lang w:val="en-GB" w:bidi="he-IL"/>
        </w:rPr>
        <w:instrText xml:space="preserve"> ADDIN ZOTERO_ITEM CSL_CITATION {"citationID":"ccwOhuLj","properties":{"formattedCitation":"(Galil, 2006)","plainCitation":"(Galil, 2006)","noteIndex":0},"citationItems":[{"id":29928,"uris":["http://zotero.org/groups/2352922/items/TJAE4VUA"],"itemData":{"id":29928,"type":"chapter","container-title":"Bridging divides: Maritime canals as invasion corridors","ISBN":"978-1-4020-5046-6","language":"en","note":"DOI: 10.1007/978-1-4020-5047-3_6","page":"207-300","publisher":"Springer Netherlands","source":"DOI.org (Crossref)","title":"The Marine Caravan – The Suez Canal and the Erythrean Invasion","URL":"http://link.springer.com/10.1007/978-1-4020-5047-3_6","author":[{"family":"Galil","given":"Bella S."}],"editor":[{"family":"Gollasch","given":"Stephan"},{"family":"Galil","given":"Bella S."},{"family":"Cohen","given":"Andrew N."}],"accessed":{"date-parts":[["2021",6,23]]},"issued":{"date-parts":[["2006"]]}},"label":"page"}],"schema":"https://github.com/citation-style-language/schema/raw/master/csl-citation.json"} </w:instrText>
      </w:r>
      <w:r w:rsidR="001B2B19" w:rsidRPr="5575EBFC">
        <w:rPr>
          <w:lang w:val="en-GB" w:bidi="he-IL"/>
        </w:rPr>
        <w:fldChar w:fldCharType="separate"/>
      </w:r>
      <w:r w:rsidR="6B5F9B9E">
        <w:t>(Galil, 2006)</w:t>
      </w:r>
      <w:r w:rsidR="001B2B19" w:rsidRPr="5575EBFC">
        <w:rPr>
          <w:lang w:val="en-GB" w:bidi="he-IL"/>
        </w:rPr>
        <w:fldChar w:fldCharType="end"/>
      </w:r>
      <w:r w:rsidR="0A091639" w:rsidRPr="5575EBFC">
        <w:rPr>
          <w:lang w:val="en-GB" w:bidi="he-IL"/>
        </w:rPr>
        <w:t>.</w:t>
      </w:r>
    </w:p>
    <w:p w14:paraId="01095E7B" w14:textId="77777777" w:rsidR="00C908FB" w:rsidRPr="00DA249F" w:rsidRDefault="7E27909B" w:rsidP="5575EBFC">
      <w:pPr>
        <w:pBdr>
          <w:top w:val="single" w:sz="4" w:space="1" w:color="auto"/>
          <w:left w:val="single" w:sz="4" w:space="1" w:color="auto"/>
          <w:bottom w:val="single" w:sz="4" w:space="0" w:color="auto"/>
          <w:right w:val="single" w:sz="4" w:space="1" w:color="auto"/>
        </w:pBdr>
        <w:shd w:val="clear" w:color="auto" w:fill="E7E6E6" w:themeFill="background2"/>
        <w:rPr>
          <w:lang w:val="en-GB"/>
        </w:rPr>
      </w:pPr>
      <w:r w:rsidRPr="5575EBFC">
        <w:rPr>
          <w:lang w:val="en-GB"/>
        </w:rPr>
        <w:t xml:space="preserve">The </w:t>
      </w:r>
      <w:r w:rsidR="3C3F6E60" w:rsidRPr="5575EBFC">
        <w:rPr>
          <w:lang w:val="en-GB"/>
        </w:rPr>
        <w:t xml:space="preserve">Suez </w:t>
      </w:r>
      <w:r w:rsidRPr="5575EBFC">
        <w:rPr>
          <w:lang w:val="en-GB"/>
        </w:rPr>
        <w:t xml:space="preserve">Canal </w:t>
      </w:r>
      <w:r w:rsidR="40D65A65" w:rsidRPr="5575EBFC">
        <w:rPr>
          <w:lang w:val="en-GB"/>
        </w:rPr>
        <w:t>(</w:t>
      </w:r>
      <w:r w:rsidRPr="5575EBFC">
        <w:rPr>
          <w:lang w:val="en-GB"/>
        </w:rPr>
        <w:t xml:space="preserve">8 m deep, </w:t>
      </w:r>
      <w:r w:rsidR="40D65A65" w:rsidRPr="5575EBFC">
        <w:rPr>
          <w:lang w:val="en-GB"/>
        </w:rPr>
        <w:t xml:space="preserve">with </w:t>
      </w:r>
      <w:r w:rsidRPr="5575EBFC">
        <w:rPr>
          <w:lang w:val="en-GB"/>
        </w:rPr>
        <w:t>cross-section area 304 m²</w:t>
      </w:r>
      <w:r w:rsidR="38184236" w:rsidRPr="5575EBFC">
        <w:rPr>
          <w:lang w:val="en-GB"/>
        </w:rPr>
        <w:t xml:space="preserve">, </w:t>
      </w:r>
      <w:r w:rsidR="004221FA">
        <w:rPr>
          <w:lang w:val="en-GB"/>
        </w:rPr>
        <w:t xml:space="preserve">when </w:t>
      </w:r>
      <w:r w:rsidR="38184236" w:rsidRPr="5575EBFC">
        <w:rPr>
          <w:lang w:val="en-GB"/>
        </w:rPr>
        <w:t>built in 1869</w:t>
      </w:r>
      <w:r w:rsidR="40D65A65" w:rsidRPr="5575EBFC">
        <w:rPr>
          <w:lang w:val="en-GB"/>
        </w:rPr>
        <w:t>)</w:t>
      </w:r>
      <w:r w:rsidRPr="5575EBFC">
        <w:rPr>
          <w:lang w:val="en-GB"/>
        </w:rPr>
        <w:t xml:space="preserve"> </w:t>
      </w:r>
      <w:r w:rsidR="3C3F6E60" w:rsidRPr="5575EBFC">
        <w:rPr>
          <w:lang w:val="en-GB"/>
        </w:rPr>
        <w:t>i</w:t>
      </w:r>
      <w:r w:rsidRPr="5575EBFC">
        <w:rPr>
          <w:lang w:val="en-GB"/>
        </w:rPr>
        <w:t xml:space="preserve">s </w:t>
      </w:r>
      <w:r w:rsidR="5E3CFE30" w:rsidRPr="5575EBFC">
        <w:rPr>
          <w:lang w:val="en-GB"/>
        </w:rPr>
        <w:t>hydrographically complex</w:t>
      </w:r>
      <w:r w:rsidRPr="5575EBFC">
        <w:rPr>
          <w:lang w:val="en-GB"/>
        </w:rPr>
        <w:t xml:space="preserve">, passing </w:t>
      </w:r>
      <w:r w:rsidR="3C3F6E60" w:rsidRPr="5575EBFC">
        <w:rPr>
          <w:lang w:val="en-GB"/>
        </w:rPr>
        <w:t xml:space="preserve">through </w:t>
      </w:r>
      <w:r w:rsidRPr="5575EBFC">
        <w:rPr>
          <w:lang w:val="en-GB"/>
        </w:rPr>
        <w:t xml:space="preserve">five </w:t>
      </w:r>
      <w:r w:rsidR="5CC68010" w:rsidRPr="5575EBFC">
        <w:rPr>
          <w:lang w:val="en-GB"/>
        </w:rPr>
        <w:t>anthropogenic</w:t>
      </w:r>
      <w:r w:rsidRPr="5575EBFC">
        <w:rPr>
          <w:lang w:val="en-GB"/>
        </w:rPr>
        <w:t xml:space="preserve"> lakes of widely diverse salinity (Menzalah, Ballah, Timsah, Large and Small Bitter Lakes). The dissolution of the Bitter Lakes’ salt bed, complete by the 1960s, removed the early Canal’s salinity barrier. A recent study of the Canal’s flow intensity and direction (1923–2016) supports unidirectional biological invasion</w:t>
      </w:r>
      <w:r w:rsidR="6A1EAF2F" w:rsidRPr="5575EBFC">
        <w:rPr>
          <w:lang w:val="en-GB"/>
        </w:rPr>
        <w:t>s</w:t>
      </w:r>
      <w:r w:rsidRPr="5575EBFC">
        <w:rPr>
          <w:lang w:val="en-GB"/>
        </w:rPr>
        <w:t xml:space="preserve"> into the Mediterranean, with significant increase in northward flow during the early 1980s following a major expansion (depth from</w:t>
      </w:r>
      <w:r w:rsidR="70AF8E45" w:rsidRPr="5575EBFC">
        <w:rPr>
          <w:lang w:val="en-GB"/>
        </w:rPr>
        <w:t xml:space="preserve"> </w:t>
      </w:r>
      <w:r w:rsidRPr="5575EBFC">
        <w:rPr>
          <w:lang w:val="en-GB"/>
        </w:rPr>
        <w:t>15.5 to 19.5 m, doubling cross-section area), and a second</w:t>
      </w:r>
      <w:r w:rsidR="3C3F6E60" w:rsidRPr="5575EBFC">
        <w:rPr>
          <w:lang w:val="en-GB"/>
        </w:rPr>
        <w:t xml:space="preserve"> expansion</w:t>
      </w:r>
      <w:r w:rsidRPr="5575EBFC">
        <w:rPr>
          <w:lang w:val="en-GB"/>
        </w:rPr>
        <w:t xml:space="preserve"> in 2015 after the opening of the </w:t>
      </w:r>
      <w:r w:rsidR="0C2EB0AC" w:rsidRPr="5575EBFC">
        <w:rPr>
          <w:lang w:val="en-GB"/>
        </w:rPr>
        <w:t>“</w:t>
      </w:r>
      <w:r w:rsidRPr="5575EBFC">
        <w:rPr>
          <w:lang w:val="en-GB"/>
        </w:rPr>
        <w:t>new</w:t>
      </w:r>
      <w:r w:rsidR="0C2EB0AC" w:rsidRPr="5575EBFC">
        <w:rPr>
          <w:lang w:val="en-GB"/>
        </w:rPr>
        <w:t>”</w:t>
      </w:r>
      <w:r w:rsidRPr="5575EBFC">
        <w:rPr>
          <w:lang w:val="en-GB"/>
        </w:rPr>
        <w:t xml:space="preserve"> Suez Canal </w:t>
      </w:r>
      <w:r w:rsidR="00AE20F8" w:rsidRPr="5575EBFC">
        <w:rPr>
          <w:lang w:val="en-GB"/>
        </w:rPr>
        <w:fldChar w:fldCharType="begin"/>
      </w:r>
      <w:r w:rsidR="00331A79">
        <w:rPr>
          <w:lang w:val="en-GB"/>
        </w:rPr>
        <w:instrText xml:space="preserve"> ADDIN ZOTERO_ITEM CSL_CITATION {"citationID":"Id3bRW4e","properties":{"formattedCitation":"(Biton, 2020)","plainCitation":"(Biton, 2020)","noteIndex":0},"citationItems":[{"id":29649,"uris":["http://zotero.org/groups/2352922/items/L4J4Z94K"],"itemData":{"id":29649,"type":"article-journal","abstract":"Abstract\n            The Mediterranean and Red Sea, which were connected via the Suez Canal during the 19th century after eons of separation, host two distinctive ecosystems. Species invasion through the Suez Canal from the Red Sea vastly influences the ecology of the Mediterranean, but the level of reverse migration is assumed to be negligible. We present the first reconstructed flow transport record through the canal during the period 1923–2016. According to this reconstruction, the flow intensity and direction through the canal are strongly influenced by seasonal and long-term sea-level changes, which could also play a role in the characteristics of species migration through it. Our record not only supports previous observations of the unidirectional invasion until the 1980s and the accelerated species migration rates to the Mediterranean ever since, but also suggest that southward migration could have become possible since the early 1980s. The southward flow was primarily enhanced by Indian Ocean cooling and the Eastern Mediterranean Transition in deep water formation during the period 1980–2000. It was then gradually reduced by accelerated sea-level rise in the northern Indian Ocean.","container-title":"Scientific Reports","DOI":"10.1038/s41598-020-78313-2","ISSN":"2045-2322","issue":"1","journalAbbreviation":"Sci Rep","language":"en","page":"21195","source":"DOI.org (Crossref)","title":"Possible implications of sea level changes for species migration through the Suez Canal","URL":"http://www.nature.com/articles/s41598-020-78313-2","volume":"10","author":[{"family":"Biton","given":"Eli"}],"accessed":{"date-parts":[["2021",8,12]]},"issued":{"date-parts":[["2020",12]]}},"label":"page"}],"schema":"https://github.com/citation-style-language/schema/raw/master/csl-citation.json"} </w:instrText>
      </w:r>
      <w:r w:rsidR="00AE20F8" w:rsidRPr="5575EBFC">
        <w:rPr>
          <w:lang w:val="en-GB"/>
        </w:rPr>
        <w:fldChar w:fldCharType="separate"/>
      </w:r>
      <w:r w:rsidR="6B5F9B9E">
        <w:t>(Biton, 2020)</w:t>
      </w:r>
      <w:r w:rsidR="00AE20F8" w:rsidRPr="5575EBFC">
        <w:rPr>
          <w:lang w:val="en-GB"/>
        </w:rPr>
        <w:fldChar w:fldCharType="end"/>
      </w:r>
      <w:r w:rsidRPr="5575EBFC">
        <w:rPr>
          <w:lang w:val="en-GB"/>
        </w:rPr>
        <w:t xml:space="preserve">. A larger Canal accommodates transit of more and larger vessels, many in ballast and befouled, and discharges a larger volume of Red Sea waters with their entrained biota into the Mediterranean Sea. </w:t>
      </w:r>
    </w:p>
    <w:p w14:paraId="5F7A441D" w14:textId="25BE8375" w:rsidR="008B2BFC" w:rsidRPr="00DA249F" w:rsidRDefault="00CB5CAA" w:rsidP="00E97F57">
      <w:pPr>
        <w:pBdr>
          <w:top w:val="single" w:sz="4" w:space="1" w:color="auto"/>
          <w:left w:val="single" w:sz="4" w:space="1" w:color="auto"/>
          <w:bottom w:val="single" w:sz="4" w:space="0" w:color="auto"/>
          <w:right w:val="single" w:sz="4" w:space="1" w:color="auto"/>
        </w:pBdr>
        <w:shd w:val="clear" w:color="auto" w:fill="E7E6E6" w:themeFill="background2"/>
        <w:jc w:val="center"/>
        <w:rPr>
          <w:lang w:val="en-GB"/>
        </w:rPr>
      </w:pPr>
      <w:bookmarkStart w:id="157" w:name="_Ref104902601"/>
      <w:r w:rsidRPr="00CB5CAA">
        <w:rPr>
          <w:noProof/>
          <w:lang w:val="en-GB"/>
        </w:rPr>
        <w:lastRenderedPageBreak/>
        <w:drawing>
          <wp:inline distT="0" distB="0" distL="0" distR="0" wp14:anchorId="18C5F274" wp14:editId="48458121">
            <wp:extent cx="5687003" cy="5194998"/>
            <wp:effectExtent l="0" t="0" r="3175" b="0"/>
            <wp:docPr id="9" name="Picture 9" descr="A map of the worl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A map of the world&#10;&#10;Description automatically generated"/>
                    <pic:cNvPicPr/>
                  </pic:nvPicPr>
                  <pic:blipFill>
                    <a:blip r:embed="rId35"/>
                    <a:stretch>
                      <a:fillRect/>
                    </a:stretch>
                  </pic:blipFill>
                  <pic:spPr>
                    <a:xfrm>
                      <a:off x="0" y="0"/>
                      <a:ext cx="5705661" cy="5212042"/>
                    </a:xfrm>
                    <a:prstGeom prst="rect">
                      <a:avLst/>
                    </a:prstGeom>
                  </pic:spPr>
                </pic:pic>
              </a:graphicData>
            </a:graphic>
          </wp:inline>
        </w:drawing>
      </w:r>
    </w:p>
    <w:p w14:paraId="7093E58C" w14:textId="2EB4DFA9" w:rsidR="001B2B19" w:rsidRPr="00DA249F" w:rsidRDefault="001B2B19" w:rsidP="6A2A8CB1">
      <w:pPr>
        <w:pStyle w:val="Caption"/>
        <w:pBdr>
          <w:top w:val="single" w:sz="4" w:space="1" w:color="auto"/>
          <w:left w:val="single" w:sz="4" w:space="1" w:color="auto"/>
          <w:bottom w:val="single" w:sz="4" w:space="0" w:color="auto"/>
          <w:right w:val="single" w:sz="4" w:space="1" w:color="auto"/>
        </w:pBdr>
        <w:shd w:val="clear" w:color="auto" w:fill="E7E6E6" w:themeFill="background2"/>
        <w:rPr>
          <w:lang w:val="en-GB"/>
        </w:rPr>
      </w:pPr>
      <w:bookmarkStart w:id="158" w:name="_Toc147500901"/>
      <w:r w:rsidRPr="00DA249F">
        <w:rPr>
          <w:lang w:val="en-GB"/>
        </w:rPr>
        <w:t>Figure 3.</w:t>
      </w:r>
      <w:r w:rsidRPr="00DA249F">
        <w:rPr>
          <w:lang w:val="en-GB"/>
        </w:rPr>
        <w:fldChar w:fldCharType="begin"/>
      </w:r>
      <w:r w:rsidRPr="00DA249F">
        <w:rPr>
          <w:lang w:val="en-GB"/>
        </w:rPr>
        <w:instrText xml:space="preserve"> SEQ Figure_3. \* ARABIC </w:instrText>
      </w:r>
      <w:r w:rsidRPr="00DA249F">
        <w:rPr>
          <w:lang w:val="en-GB"/>
        </w:rPr>
        <w:fldChar w:fldCharType="separate"/>
      </w:r>
      <w:r w:rsidR="00287BC7">
        <w:rPr>
          <w:noProof/>
          <w:lang w:val="en-GB"/>
        </w:rPr>
        <w:t>16</w:t>
      </w:r>
      <w:r w:rsidRPr="00DA249F">
        <w:rPr>
          <w:lang w:val="en-GB"/>
        </w:rPr>
        <w:fldChar w:fldCharType="end"/>
      </w:r>
      <w:bookmarkEnd w:id="157"/>
      <w:r w:rsidR="00E66F5E" w:rsidRPr="00DA249F">
        <w:rPr>
          <w:rFonts w:eastAsia="Calibri"/>
          <w:lang w:val="en-GB"/>
        </w:rPr>
        <w:t>.</w:t>
      </w:r>
      <w:r w:rsidRPr="00DA249F">
        <w:rPr>
          <w:rFonts w:eastAsia="Calibri"/>
          <w:lang w:val="en-GB"/>
        </w:rPr>
        <w:t xml:space="preserve"> </w:t>
      </w:r>
      <w:r w:rsidRPr="00DA249F">
        <w:rPr>
          <w:b w:val="0"/>
          <w:bCs w:val="0"/>
          <w:lang w:val="en-GB"/>
        </w:rPr>
        <w:t>Number of multicellular marine alien species in peri-Mediterranean countries, and their means of introduction, 1959, 1989, 2019.</w:t>
      </w:r>
      <w:r w:rsidR="00E97F57" w:rsidRPr="00DA249F">
        <w:rPr>
          <w:b w:val="0"/>
          <w:bCs w:val="0"/>
          <w:lang w:val="en-GB"/>
        </w:rPr>
        <w:t xml:space="preserve"> </w:t>
      </w:r>
      <w:r w:rsidR="39125168" w:rsidRPr="00DA249F">
        <w:rPr>
          <w:b w:val="0"/>
          <w:bCs w:val="0"/>
          <w:lang w:val="en-GB"/>
        </w:rPr>
        <w:t xml:space="preserve">Lighter </w:t>
      </w:r>
      <w:r w:rsidR="00DD3BC6" w:rsidRPr="00DA249F">
        <w:rPr>
          <w:b w:val="0"/>
          <w:bCs w:val="0"/>
          <w:lang w:val="en-GB"/>
        </w:rPr>
        <w:t>tone</w:t>
      </w:r>
      <w:r w:rsidR="00DE4840" w:rsidRPr="00DA249F">
        <w:rPr>
          <w:b w:val="0"/>
          <w:bCs w:val="0"/>
          <w:lang w:val="en-GB"/>
        </w:rPr>
        <w:t>:</w:t>
      </w:r>
      <w:r w:rsidRPr="00DA249F">
        <w:rPr>
          <w:b w:val="0"/>
          <w:bCs w:val="0"/>
          <w:lang w:val="en-GB"/>
        </w:rPr>
        <w:t xml:space="preserve"> Erythraean aliens (i.e., introduced through the Suez Canal), </w:t>
      </w:r>
      <w:r w:rsidR="5DD72BA7" w:rsidRPr="00DA249F">
        <w:rPr>
          <w:b w:val="0"/>
          <w:bCs w:val="0"/>
          <w:lang w:val="en-GB"/>
        </w:rPr>
        <w:t xml:space="preserve">darker </w:t>
      </w:r>
      <w:r w:rsidR="469E79FA" w:rsidRPr="00DA249F">
        <w:rPr>
          <w:b w:val="0"/>
          <w:bCs w:val="0"/>
          <w:lang w:val="en-GB"/>
        </w:rPr>
        <w:t>tone</w:t>
      </w:r>
      <w:r w:rsidR="00DE4840" w:rsidRPr="00DA249F">
        <w:rPr>
          <w:b w:val="0"/>
          <w:bCs w:val="0"/>
          <w:lang w:val="en-GB"/>
        </w:rPr>
        <w:t>:</w:t>
      </w:r>
      <w:r w:rsidRPr="00DA249F">
        <w:rPr>
          <w:b w:val="0"/>
          <w:bCs w:val="0"/>
          <w:lang w:val="en-GB"/>
        </w:rPr>
        <w:t xml:space="preserve"> </w:t>
      </w:r>
      <w:r w:rsidR="00E6602B" w:rsidRPr="00DA249F">
        <w:rPr>
          <w:b w:val="0"/>
          <w:bCs w:val="0"/>
          <w:lang w:val="en-GB"/>
        </w:rPr>
        <w:t xml:space="preserve">alien species introduced via </w:t>
      </w:r>
      <w:r w:rsidRPr="00DA249F">
        <w:rPr>
          <w:b w:val="0"/>
          <w:bCs w:val="0"/>
          <w:lang w:val="en-GB"/>
        </w:rPr>
        <w:t>other vectors</w:t>
      </w:r>
      <w:r w:rsidRPr="00DA249F">
        <w:rPr>
          <w:rFonts w:eastAsia="Calibri"/>
          <w:b w:val="0"/>
          <w:bCs w:val="0"/>
          <w:lang w:val="en-GB"/>
        </w:rPr>
        <w:t>.</w:t>
      </w:r>
      <w:r w:rsidR="00763CA8" w:rsidRPr="00DA249F">
        <w:rPr>
          <w:rFonts w:eastAsia="Calibri"/>
          <w:b w:val="0"/>
          <w:bCs w:val="0"/>
          <w:lang w:val="en-GB"/>
        </w:rPr>
        <w:t xml:space="preserve"> </w:t>
      </w:r>
      <w:r w:rsidR="00763CA8" w:rsidRPr="00DA249F">
        <w:rPr>
          <w:b w:val="0"/>
          <w:bCs w:val="0"/>
          <w:lang w:val="en-GB"/>
        </w:rPr>
        <w:t xml:space="preserve">A data management report for this figure is available at: </w:t>
      </w:r>
      <w:hyperlink r:id="rId36" w:history="1">
        <w:r w:rsidR="00A13B65" w:rsidRPr="008A141D">
          <w:rPr>
            <w:rStyle w:val="Hyperlink"/>
            <w:b w:val="0"/>
            <w:bCs w:val="0"/>
            <w:lang w:val="en-GB"/>
          </w:rPr>
          <w:t>https://doi.org/10.5281/zenodo.7861139</w:t>
        </w:r>
        <w:bookmarkEnd w:id="158"/>
      </w:hyperlink>
    </w:p>
    <w:p w14:paraId="74DA2F6E" w14:textId="77777777" w:rsidR="008C1BF7" w:rsidRPr="00DA249F" w:rsidRDefault="00B0501A" w:rsidP="00E97F57">
      <w:pPr>
        <w:pStyle w:val="Heading3"/>
        <w:rPr>
          <w:lang w:val="en-GB"/>
        </w:rPr>
      </w:pPr>
      <w:bookmarkStart w:id="159" w:name="_Toc18405828"/>
      <w:bookmarkStart w:id="160" w:name="_Toc44317820"/>
      <w:r w:rsidRPr="00DA249F">
        <w:rPr>
          <w:lang w:val="en-GB"/>
        </w:rPr>
        <w:t xml:space="preserve"> </w:t>
      </w:r>
      <w:r w:rsidR="1B275AEF" w:rsidRPr="00DA249F">
        <w:rPr>
          <w:lang w:val="en-GB"/>
        </w:rPr>
        <w:t xml:space="preserve">Deployment of </w:t>
      </w:r>
      <w:r w:rsidR="259DF231" w:rsidRPr="00DA249F">
        <w:rPr>
          <w:lang w:val="en-GB"/>
        </w:rPr>
        <w:t xml:space="preserve">marine </w:t>
      </w:r>
      <w:r w:rsidR="1B275AEF" w:rsidRPr="00DA249F">
        <w:rPr>
          <w:lang w:val="en-GB"/>
        </w:rPr>
        <w:t>infrastructure</w:t>
      </w:r>
      <w:bookmarkEnd w:id="159"/>
      <w:bookmarkEnd w:id="160"/>
    </w:p>
    <w:p w14:paraId="715A8DA9" w14:textId="77777777" w:rsidR="00961074" w:rsidRPr="00DA249F" w:rsidRDefault="00961074" w:rsidP="0090109B">
      <w:pPr>
        <w:rPr>
          <w:lang w:val="en-GB"/>
        </w:rPr>
      </w:pPr>
      <w:r w:rsidRPr="00DA249F">
        <w:rPr>
          <w:lang w:val="en-GB"/>
        </w:rPr>
        <w:t xml:space="preserve">Coastal landscapes are being transformed through marine urban sprawl with an increase in construction of artificial structures to support commercial, residential and tourist activities </w:t>
      </w:r>
      <w:r w:rsidR="000A2206" w:rsidRPr="00DA249F">
        <w:rPr>
          <w:lang w:val="en-GB"/>
        </w:rPr>
        <w:fldChar w:fldCharType="begin"/>
      </w:r>
      <w:r w:rsidR="00331A79">
        <w:rPr>
          <w:lang w:val="en-GB"/>
        </w:rPr>
        <w:instrText xml:space="preserve"> ADDIN ZOTERO_ITEM CSL_CITATION {"citationID":"NXKRXl1n","properties":{"unsorted":true,"formattedCitation":"(Dafforn et al., 2015; Bulleri &amp; Chapman, 2010)","plainCitation":"(Dafforn et al., 2015; Bulleri &amp; Chapman, 2010)","noteIndex":0},"citationItems":[{"id":9797,"uris":["http://zotero.org/groups/2352922/items/2CPSDGU4"],"itemData":{"id":9797,"type":"article-journal","abstract":"Underwater cities have long been the subject of science fiction novels and movies, but the “urban sprawl” of artificial structures being developed in marine environments has widespread ecological consequences. The practice of combining ecological principles with the planning, design, and operation of marine artificial structures is gaining in popularity, and examples of successful engineering applications are accumulating. Here we use case studies to explore marine ecological engineering in practice, and introduce a conceptual framework for designing artificial structures with multiple functions. The rate of marine urbanization will almost certainly escalate as “aquatourism” drives the development of underwater accommodations. We show that current and future marine developments could be designed to reduce negative ecological impacts while promoting ecosystem services.","container-title":"Frontiers in Ecology and the Environment","DOI":"10.1890/140050","ISSN":"1540-9309","issue":"2","language":"en","note":"_eprint: https://onlinelibrary.wiley.com/doi/pdf/10.1890/140050","page":"82-90","source":"Wiley Online Library","title":"Marine urbanization: an ecological framework for designing multifunctional artificial structures","title-short":"Marine urbanization","URL":"https://onlinelibrary.wiley.com/doi/abs/10.1890/140050","volume":"13","author":[{"family":"Dafforn","given":"Katherine A"},{"family":"Glasby","given":"Tim M"},{"family":"Airoldi","given":"Laura"},{"family":"Rivero","given":"Natalie K"},{"family":"Mayer-Pinto","given":"Mariana"},{"family":"Johnston","given":"Emma L"}],"accessed":{"date-parts":[["2021",12,12]]},"issued":{"date-parts":[["2015"]]}},"label":"page"},{"id":29530,"uris":["http://zotero.org/groups/2352922/items/U7JC3DL5"],"itemData":{"id":29530,"type":"article-journal","container-title":"Journal of Applied Ecology","DOI":"https://doi.org/10.1111/j.1365-2664.2009.01751.x","language":"en","page":"26–35","title":"The introduction of coastal infrastructure as a driver of change in marine environments","volume":"47","author":[{"family":"Bulleri","given":"Fabio"},{"family":"Chapman","given":"Maura G."}],"issued":{"date-parts":[["2010"]]}},"label":"page"}],"schema":"https://github.com/citation-style-language/schema/raw/master/csl-citation.json"} </w:instrText>
      </w:r>
      <w:r w:rsidR="000A2206" w:rsidRPr="00DA249F">
        <w:rPr>
          <w:lang w:val="en-GB"/>
        </w:rPr>
        <w:fldChar w:fldCharType="separate"/>
      </w:r>
      <w:r w:rsidR="00144D96" w:rsidRPr="00144D96">
        <w:t>(Dafforn et al., 2015; Bulleri &amp; Chapman, 2010)</w:t>
      </w:r>
      <w:r w:rsidR="000A2206" w:rsidRPr="00DA249F">
        <w:rPr>
          <w:lang w:val="en-GB"/>
        </w:rPr>
        <w:fldChar w:fldCharType="end"/>
      </w:r>
      <w:r w:rsidRPr="00DA249F">
        <w:rPr>
          <w:lang w:val="en-GB"/>
        </w:rPr>
        <w:t>. Indeed, more than 50</w:t>
      </w:r>
      <w:r w:rsidR="00684668" w:rsidRPr="00DA249F">
        <w:rPr>
          <w:lang w:val="en-GB"/>
        </w:rPr>
        <w:t xml:space="preserve"> </w:t>
      </w:r>
      <w:r w:rsidR="004C77CD" w:rsidRPr="00DA249F">
        <w:rPr>
          <w:lang w:val="en-GB"/>
        </w:rPr>
        <w:t>per cent</w:t>
      </w:r>
      <w:r w:rsidRPr="00DA249F">
        <w:rPr>
          <w:lang w:val="en-GB"/>
        </w:rPr>
        <w:t xml:space="preserve"> of the shorelines of </w:t>
      </w:r>
      <w:r w:rsidR="008C767F" w:rsidRPr="00DA249F">
        <w:rPr>
          <w:lang w:val="en-GB"/>
        </w:rPr>
        <w:t xml:space="preserve">some regions of </w:t>
      </w:r>
      <w:r w:rsidRPr="00DA249F">
        <w:rPr>
          <w:lang w:val="en-GB"/>
        </w:rPr>
        <w:t>Europe, U</w:t>
      </w:r>
      <w:r w:rsidR="00A2624F" w:rsidRPr="00DA249F">
        <w:rPr>
          <w:lang w:val="en-GB"/>
        </w:rPr>
        <w:t xml:space="preserve">nited </w:t>
      </w:r>
      <w:r w:rsidRPr="00DA249F">
        <w:rPr>
          <w:lang w:val="en-GB"/>
        </w:rPr>
        <w:t>S</w:t>
      </w:r>
      <w:r w:rsidR="00A2624F" w:rsidRPr="00DA249F">
        <w:rPr>
          <w:lang w:val="en-GB"/>
        </w:rPr>
        <w:t>tates</w:t>
      </w:r>
      <w:r w:rsidRPr="00DA249F">
        <w:rPr>
          <w:lang w:val="en-GB"/>
        </w:rPr>
        <w:t>, Australia</w:t>
      </w:r>
      <w:r w:rsidR="00A262E9" w:rsidRPr="00DA249F">
        <w:rPr>
          <w:lang w:val="en-GB"/>
        </w:rPr>
        <w:t>,</w:t>
      </w:r>
      <w:r w:rsidRPr="00DA249F">
        <w:rPr>
          <w:lang w:val="en-GB"/>
        </w:rPr>
        <w:t xml:space="preserve"> and Asia are modified by hard engineering. Offshore aquaculture facilities and offshore energy infrastructures are also increasing</w:t>
      </w:r>
      <w:r w:rsidR="00BC4E41">
        <w:rPr>
          <w:lang w:val="en-GB"/>
        </w:rPr>
        <w:t xml:space="preserve"> in prevalence</w:t>
      </w:r>
      <w:r w:rsidRPr="00DA249F">
        <w:rPr>
          <w:lang w:val="en-GB"/>
        </w:rPr>
        <w:t xml:space="preserve">. Marine </w:t>
      </w:r>
      <w:r w:rsidR="00CA62D5" w:rsidRPr="00DA249F">
        <w:rPr>
          <w:lang w:val="en-GB"/>
        </w:rPr>
        <w:t>urbanization</w:t>
      </w:r>
      <w:r w:rsidRPr="00DA249F">
        <w:rPr>
          <w:lang w:val="en-GB"/>
        </w:rPr>
        <w:t xml:space="preserve"> is predicted to escalate in the future as sea-level rises and extreme climate events, including storms, increase in frequency </w:t>
      </w:r>
      <w:r w:rsidR="005C43C9" w:rsidRPr="00DA249F">
        <w:rPr>
          <w:lang w:val="en-GB"/>
        </w:rPr>
        <w:fldChar w:fldCharType="begin"/>
      </w:r>
      <w:r w:rsidR="00331A79">
        <w:rPr>
          <w:lang w:val="en-GB"/>
        </w:rPr>
        <w:instrText xml:space="preserve"> ADDIN ZOTERO_ITEM CSL_CITATION {"citationID":"oymnpGLc","properties":{"formattedCitation":"(Dafforn et al., 2015)","plainCitation":"(Dafforn et al., 2015)","noteIndex":0},"citationItems":[{"id":9797,"uris":["http://zotero.org/groups/2352922/items/2CPSDGU4"],"itemData":{"id":9797,"type":"article-journal","abstract":"Underwater cities have long been the subject of science fiction novels and movies, but the “urban sprawl” of artificial structures being developed in marine environments has widespread ecological consequences. The practice of combining ecological principles with the planning, design, and operation of marine artificial structures is gaining in popularity, and examples of successful engineering applications are accumulating. Here we use case studies to explore marine ecological engineering in practice, and introduce a conceptual framework for designing artificial structures with multiple functions. The rate of marine urbanization will almost certainly escalate as “aquatourism” drives the development of underwater accommodations. We show that current and future marine developments could be designed to reduce negative ecological impacts while promoting ecosystem services.","container-title":"Frontiers in Ecology and the Environment","DOI":"10.1890/140050","ISSN":"1540-9309","issue":"2","language":"en","note":"_eprint: https://onlinelibrary.wiley.com/doi/pdf/10.1890/140050","page":"82-90","source":"Wiley Online Library","title":"Marine urbanization: an ecological framework for designing multifunctional artificial structures","title-short":"Marine urbanization","URL":"https://onlinelibrary.wiley.com/doi/abs/10.1890/140050","volume":"13","author":[{"family":"Dafforn","given":"Katherine A"},{"family":"Glasby","given":"Tim M"},{"family":"Airoldi","given":"Laura"},{"family":"Rivero","given":"Natalie K"},{"family":"Mayer-Pinto","given":"Mariana"},{"family":"Johnston","given":"Emma L"}],"accessed":{"date-parts":[["2021",12,12]]},"issued":{"date-parts":[["2015"]]}},"label":"page"}],"schema":"https://github.com/citation-style-language/schema/raw/master/csl-citation.json"} </w:instrText>
      </w:r>
      <w:r w:rsidR="005C43C9" w:rsidRPr="00DA249F">
        <w:rPr>
          <w:lang w:val="en-GB"/>
        </w:rPr>
        <w:fldChar w:fldCharType="separate"/>
      </w:r>
      <w:r w:rsidR="00144D96" w:rsidRPr="00144D96">
        <w:t>(Dafforn et al., 2015)</w:t>
      </w:r>
      <w:r w:rsidR="005C43C9" w:rsidRPr="00DA249F">
        <w:rPr>
          <w:lang w:val="en-GB"/>
        </w:rPr>
        <w:fldChar w:fldCharType="end"/>
      </w:r>
      <w:r w:rsidRPr="00DA249F">
        <w:rPr>
          <w:lang w:val="en-GB"/>
        </w:rPr>
        <w:t xml:space="preserve">. </w:t>
      </w:r>
      <w:r w:rsidR="0046670A">
        <w:rPr>
          <w:lang w:val="en-GB"/>
        </w:rPr>
        <w:t>A</w:t>
      </w:r>
      <w:r w:rsidRPr="00DA249F">
        <w:rPr>
          <w:lang w:val="en-GB"/>
        </w:rPr>
        <w:t xml:space="preserve">rtificial structures alter seascapes and </w:t>
      </w:r>
      <w:r w:rsidR="0046670A">
        <w:rPr>
          <w:lang w:val="en-GB"/>
        </w:rPr>
        <w:t xml:space="preserve">the </w:t>
      </w:r>
      <w:r w:rsidRPr="00DA249F">
        <w:rPr>
          <w:lang w:val="en-GB"/>
        </w:rPr>
        <w:t>function</w:t>
      </w:r>
      <w:r w:rsidR="0046670A">
        <w:rPr>
          <w:lang w:val="en-GB"/>
        </w:rPr>
        <w:t>ing</w:t>
      </w:r>
      <w:r w:rsidRPr="00DA249F">
        <w:rPr>
          <w:lang w:val="en-GB"/>
        </w:rPr>
        <w:t xml:space="preserve"> </w:t>
      </w:r>
      <w:r w:rsidR="0046670A">
        <w:rPr>
          <w:lang w:val="en-GB"/>
        </w:rPr>
        <w:t xml:space="preserve">of </w:t>
      </w:r>
      <w:r w:rsidR="0046670A" w:rsidRPr="00DA249F">
        <w:rPr>
          <w:lang w:val="en-GB"/>
        </w:rPr>
        <w:t xml:space="preserve">marine ecosystems </w:t>
      </w:r>
      <w:r w:rsidRPr="00DA249F">
        <w:rPr>
          <w:lang w:val="en-GB"/>
        </w:rPr>
        <w:t xml:space="preserve">through local and regional effects </w:t>
      </w:r>
      <w:r w:rsidR="003B6AE2" w:rsidRPr="00DA249F">
        <w:rPr>
          <w:lang w:val="en-GB"/>
        </w:rPr>
        <w:fldChar w:fldCharType="begin"/>
      </w:r>
      <w:r w:rsidR="00331A79">
        <w:rPr>
          <w:lang w:val="en-GB"/>
        </w:rPr>
        <w:instrText xml:space="preserve"> ADDIN ZOTERO_ITEM CSL_CITATION {"citationID":"fFVV58ib","properties":{"unsorted":true,"formattedCitation":"(Bulleri &amp; Chapman, 2010; Todd et al., 2019)","plainCitation":"(Bulleri &amp; Chapman, 2010; Todd et al., 2019)","noteIndex":0},"citationItems":[{"id":29530,"uris":["http://zotero.org/groups/2352922/items/U7JC3DL5"],"itemData":{"id":29530,"type":"article-journal","container-title":"Journal of Applied Ecology","DOI":"https://doi.org/10.1111/j.1365-2664.2009.01751.x","language":"en","page":"26–35","title":"The introduction of coastal infrastructure as a driver of change in marine environments","volume":"47","author":[{"family":"Bulleri","given":"Fabio"},{"family":"Chapman","given":"Maura G."}],"issued":{"date-parts":[["2010"]]}},"label":"page"},{"id":32343,"uris":["http://zotero.org/groups/2352922/items/WNZQ2BQD"],"itemData":{"id":32343,"type":"article-journal","abstract":"Human population density within 100 km of the sea is approximately three times higher than the global average. People in this zone are concentrated in coastal cities that are hubs for transport and trade – which transform the marine environment. Here, we review the impacts of three interacting drivers of marine urbanization (resource exploitation, pollution pathways and ocean sprawl) and discuss key characteristics that are symptomatic of urban marine ecosystems. Current evidence suggests these systems comprise spatially heterogeneous mosaics with respect to artificial structures, pollutants and community composition, while also undergoing biotic homogenization over time. Urban marine ecosystem dynamics are often influenced by several commonly observed patterns and processes, including the loss of foundation species, changes in biodiversity and productivity, and the establishment of ruderal species, synanthropes and novel assemblages. We discuss potential urban acclimatization and adaptation among marine taxa, interactive effects of climate change and marine urbanization, and ecological engineering strategies for enhancing urban marine ecosystems. By assimilating research findings across disparate disciplines, we aim to build the groundwork for urban marine ecology – a nascent field; we also discuss research challenges and future directions for this new field as it advances and matures. Ultimately, all sides of coastal city design: architecture, urban planning and civil and municipal engineering, will need to prioritize the marine environment if negative effects of urbanization are to be minimized. In particular, planning strategies that account for the interactive effects of urban drivers and accommodate complex system dynamics could enhance the ecological and human functions of future urban marine ecosystems.","container-title":"Oikos","DOI":"10.1111/oik.05946","ISSN":"1600-0706","issue":"9","language":"en","note":"_eprint: https://onlinelibrary.wiley.com/doi/pdf/10.1111/oik.05946","page":"1215-1242","source":"Wiley Online Library","title":"Towards an urban marine ecology: characterizing the drivers, patterns and processes of marine ecosystems in coastal cities","title-short":"Towards an urban marine ecology","URL":"https://onlinelibrary.wiley.com/doi/abs/10.1111/oik.05946","volume":"128","author":[{"family":"Todd","given":"Peter A."},{"family":"Heery","given":"Eliza C."},{"family":"Loke","given":"Lynette H. L."},{"family":"Thurstan","given":"Ruth H."},{"family":"Kotze","given":"D. Johan"},{"family":"Swan","given":"Christopher"}],"accessed":{"date-parts":[["2021",12,12]]},"issued":{"date-parts":[["2019"]]}},"label":"page"}],"schema":"https://github.com/citation-style-language/schema/raw/master/csl-citation.json"} </w:instrText>
      </w:r>
      <w:r w:rsidR="003B6AE2" w:rsidRPr="00DA249F">
        <w:rPr>
          <w:lang w:val="en-GB"/>
        </w:rPr>
        <w:fldChar w:fldCharType="separate"/>
      </w:r>
      <w:r w:rsidR="00144D96" w:rsidRPr="00144D96">
        <w:t>(Bulleri &amp; Chapman, 2010; Todd et al., 2019)</w:t>
      </w:r>
      <w:r w:rsidR="003B6AE2" w:rsidRPr="00DA249F">
        <w:rPr>
          <w:lang w:val="en-GB"/>
        </w:rPr>
        <w:fldChar w:fldCharType="end"/>
      </w:r>
      <w:r w:rsidR="003B6AE2" w:rsidRPr="00DA249F">
        <w:rPr>
          <w:lang w:val="en-GB"/>
        </w:rPr>
        <w:t xml:space="preserve"> </w:t>
      </w:r>
      <w:r w:rsidRPr="00DA249F">
        <w:rPr>
          <w:lang w:val="en-GB"/>
        </w:rPr>
        <w:t xml:space="preserve">including the establishment and spread of invasive alien species. </w:t>
      </w:r>
    </w:p>
    <w:p w14:paraId="39F99298" w14:textId="16F8D136" w:rsidR="00F23507" w:rsidRPr="00DA249F" w:rsidRDefault="3B4491F3" w:rsidP="0090109B">
      <w:pPr>
        <w:rPr>
          <w:lang w:val="en-GB"/>
        </w:rPr>
      </w:pPr>
      <w:r w:rsidRPr="728F2DAF">
        <w:rPr>
          <w:lang w:val="en-GB"/>
        </w:rPr>
        <w:t xml:space="preserve">The potential for invasive alien species to </w:t>
      </w:r>
      <w:r w:rsidR="064129C4" w:rsidRPr="728F2DAF">
        <w:rPr>
          <w:lang w:val="en-GB"/>
        </w:rPr>
        <w:t>u</w:t>
      </w:r>
      <w:r w:rsidR="00759A78" w:rsidRPr="728F2DAF">
        <w:rPr>
          <w:lang w:val="en-GB"/>
        </w:rPr>
        <w:t>tilize</w:t>
      </w:r>
      <w:r w:rsidRPr="728F2DAF">
        <w:rPr>
          <w:lang w:val="en-GB"/>
        </w:rPr>
        <w:t xml:space="preserve"> marine infrastructure is widely </w:t>
      </w:r>
      <w:r w:rsidR="7C1557D3" w:rsidRPr="728F2DAF">
        <w:rPr>
          <w:lang w:val="en-GB"/>
        </w:rPr>
        <w:t>recognized</w:t>
      </w:r>
      <w:r w:rsidRPr="728F2DAF">
        <w:rPr>
          <w:lang w:val="en-GB"/>
        </w:rPr>
        <w:t xml:space="preserve"> </w:t>
      </w:r>
      <w:r w:rsidR="00961074" w:rsidRPr="728F2DAF">
        <w:rPr>
          <w:lang w:val="en-GB"/>
        </w:rPr>
        <w:fldChar w:fldCharType="begin"/>
      </w:r>
      <w:r w:rsidR="00331A79">
        <w:rPr>
          <w:lang w:val="en-GB"/>
        </w:rPr>
        <w:instrText xml:space="preserve"> ADDIN ZOTERO_ITEM CSL_CITATION {"citationID":"l2wUm9ut","properties":{"unsorted":true,"formattedCitation":"(Bulleri &amp; Chapman, 2010; Bulleri &amp; Airoldi, 2005; Vaselli et al., 2008)","plainCitation":"(Bulleri &amp; Chapman, 2010; Bulleri &amp; Airoldi, 2005; Vaselli et al., 2008)","noteIndex":0},"citationItems":[{"id":29530,"uris":["http://zotero.org/groups/2352922/items/U7JC3DL5"],"itemData":{"id":29530,"type":"article-journal","container-title":"Journal of Applied Ecology","DOI":"https://doi.org/10.1111/j.1365-2664.2009.01751.x","language":"en","page":"26–35","title":"The introduction of coastal infrastructure as a driver of change in marine environments","volume":"47","author":[{"family":"Bulleri","given":"Fabio"},{"family":"Chapman","given":"Maura G."}],"issued":{"date-parts":[["2010"]]}},"label":"page"},{"id":30200,"uris":["http://zotero.org/groups/2352922/items/CKER6FG9"],"itemData":{"id":30200,"type":"article-journal","container-title":"Journal of Applied Ecology","DOI":"10.1111/j.1365-2664.2005.01096.x","ISSN":"00218901","issue":"6","language":"en","page":"1063-1072","source":"DOI.org (Crossref)","title":"Artificial marine structures facilitate the spread of a non-indigenous green alga, &lt;i&gt;Codium fragile&lt;/i&gt; ssp. &lt;i&gt;tomentosoides&lt;/i&gt;, in the north Adriatic Sea","title-short":"Artificial marine structures facilitate the spread of a non-indigenous green alga, &lt;i&gt;Codium fragile&lt;/i&gt; ssp. &lt;i&gt;tomentosoides&lt;/i&gt; , in the north Adriatic Sea","URL":"https://onlinelibrary.wiley.com/doi/10.1111/j.1365-2664.2005.01096.x","volume":"42","author":[{"family":"Bulleri","given":"Fabio"},{"family":"Airoldi","given":"Laura"}],"accessed":{"date-parts":[["2021",8,2]]},"issued":{"date-parts":[["2005",12]]}},"label":"page"},{"id":32342,"uris":["http://zotero.org/groups/2352922/items/ZNVEYZP2"],"itemData":{"id":32342,"type":"article-journal","container-title":"Marine Environmental Research","DOI":"https://doi.org/10.1016/j.marenvres.2008.06.002","issue":"4","note":"ISBN: 0141-1136\npublisher: Elsevier","page":"395-403","title":"Hard coastal-defence structures as habitats for native and exotic rocky-bottom species","URL":"https://www.sciencedirect.com/science/article/abs/pii/S0141113608001670","volume":"66","author":[{"family":"Vaselli","given":"Stefano"},{"family":"Bulleri","given":"Fabio"},{"family":"Benedetti-Cecchi","given":"Lisandro"}],"issued":{"date-parts":[["2008"]]}},"label":"page"}],"schema":"https://github.com/citation-style-language/schema/raw/master/csl-citation.json"} </w:instrText>
      </w:r>
      <w:r w:rsidR="00961074" w:rsidRPr="728F2DAF">
        <w:rPr>
          <w:lang w:val="en-GB"/>
        </w:rPr>
        <w:fldChar w:fldCharType="separate"/>
      </w:r>
      <w:r w:rsidR="73B99EB6">
        <w:t>(Bulleri &amp; Chapman, 2010; Bulleri &amp; Airoldi, 2005; Vaselli et al., 2008)</w:t>
      </w:r>
      <w:r w:rsidR="00961074" w:rsidRPr="728F2DAF">
        <w:rPr>
          <w:lang w:val="en-GB"/>
        </w:rPr>
        <w:fldChar w:fldCharType="end"/>
      </w:r>
      <w:r w:rsidR="3B41F177" w:rsidRPr="728F2DAF">
        <w:rPr>
          <w:lang w:val="en-GB"/>
        </w:rPr>
        <w:t xml:space="preserve">. </w:t>
      </w:r>
      <w:r w:rsidR="5A01C7A1" w:rsidRPr="728F2DAF">
        <w:rPr>
          <w:lang w:val="en-GB"/>
        </w:rPr>
        <w:t xml:space="preserve">Marine </w:t>
      </w:r>
      <w:r w:rsidRPr="728F2DAF">
        <w:rPr>
          <w:lang w:val="en-GB"/>
        </w:rPr>
        <w:t xml:space="preserve">infrastructure can facilitate </w:t>
      </w:r>
      <w:r w:rsidR="24EF9A5F" w:rsidRPr="728F2DAF">
        <w:rPr>
          <w:lang w:val="en-GB"/>
        </w:rPr>
        <w:t>invasive alien species</w:t>
      </w:r>
      <w:r w:rsidR="5E8D275E" w:rsidRPr="728F2DAF">
        <w:rPr>
          <w:lang w:val="en-GB"/>
        </w:rPr>
        <w:t xml:space="preserve"> </w:t>
      </w:r>
      <w:r w:rsidRPr="728F2DAF">
        <w:rPr>
          <w:lang w:val="en-GB"/>
        </w:rPr>
        <w:t xml:space="preserve">by providing artificial hard substrates that some invasive alien species </w:t>
      </w:r>
      <w:r w:rsidR="5A01C7A1" w:rsidRPr="728F2DAF">
        <w:rPr>
          <w:lang w:val="en-GB"/>
        </w:rPr>
        <w:t xml:space="preserve">can </w:t>
      </w:r>
      <w:r w:rsidR="3BD35FD2" w:rsidRPr="728F2DAF">
        <w:rPr>
          <w:lang w:val="en-GB"/>
        </w:rPr>
        <w:t>colonize</w:t>
      </w:r>
      <w:r w:rsidR="4AE7303E" w:rsidRPr="728F2DAF">
        <w:rPr>
          <w:lang w:val="en-GB"/>
        </w:rPr>
        <w:t xml:space="preserve"> </w:t>
      </w:r>
      <w:r w:rsidR="00961074" w:rsidRPr="728F2DAF">
        <w:rPr>
          <w:lang w:val="en-GB"/>
        </w:rPr>
        <w:fldChar w:fldCharType="begin"/>
      </w:r>
      <w:r w:rsidR="00331A79">
        <w:rPr>
          <w:lang w:val="en-GB"/>
        </w:rPr>
        <w:instrText xml:space="preserve"> ADDIN ZOTERO_ITEM CSL_CITATION {"citationID":"uIBEyxiM","properties":{"formattedCitation":"(Farr et al., 2021)","plainCitation":"(Farr et al., 2021)","noteIndex":0},"citationItems":[{"id":32341,"uris":["http://zotero.org/groups/2352922/items/RMQXB7AJ"],"itemData":{"id":32341,"type":"article-journal","abstract":"Over the last few decades, the offshore wind energy industry has expanded its scope from turbines mounted on foundations driven into the seafloor and standing in less than 60 m of water, to floating turbines moored in 120 m of water, to prospecting the development of floating turbines moored in ~1,000 m of water. Since there are few prototype turbines and mooring systems of these deepwater, floating offshore wind energy facilities (OWFs) currently deployed, their effects on the marine environment are speculative. Using the available scientific literature concerning appropriate analogs, including fixed-bottom OWFs, land-based wind energy facilities, wave and tidal energy devices, and oil and gas platforms, we conducted a qualitative systematic review to estimate the potential environmental effects of deepwater, floating OWFs during operation, as well as potential mitigation measures to address some of the effects. We evaluated six categories of potential effects: changes to atmospheric and oceanic dynamics due to energy removal and modifications, electromagnetic field effects on marine species from power cables, habitat alterations to benthic and pelagic fish and invertebrate communities, underwater noise effects on marine species, structural impediments to wildlife, and changes to water quality. Our synthesis of 89 articles selected for the review suggests that many of these potential effects could be mitigated to pose a low risk to the marine environment if developers adopt appropriate mitigation strategies and best-practice protocols. This review takes the necessary first steps in summarizing the available information on the potential environmental effects of deepwater, floating OWFs and can serve as a reference document for marine scientists and engineers, the energy industry, permitting agencies and regulators of the energy industry, project developers, and concerned stakeholders such as coastal residents, conservationists, and fisheries.","container-title":"Ocean &amp; Coastal Management","DOI":"10.1016/j.ocecoaman.2021.105611","ISSN":"0964-5691","journalAbbreviation":"Ocean &amp; Coastal Management","language":"en","page":"105611","source":"ScienceDirect","title":"Potential environmental effects of deepwater floating offshore wind energy facilities","URL":"https://www.sciencedirect.com/science/article/pii/S096456912100096X","volume":"207","author":[{"family":"Farr","given":"Hayley"},{"family":"Ruttenberg","given":"Benjamin"},{"family":"Walter","given":"Ryan K."},{"family":"Wang","given":"Yi-Hui"},{"family":"White","given":"Crow"}],"accessed":{"date-parts":[["2021",12,12]]},"issued":{"date-parts":[["2021",6,15]]}},"label":"page"}],"schema":"https://github.com/citation-style-language/schema/raw/master/csl-citation.json"} </w:instrText>
      </w:r>
      <w:r w:rsidR="00961074" w:rsidRPr="728F2DAF">
        <w:rPr>
          <w:lang w:val="en-GB"/>
        </w:rPr>
        <w:fldChar w:fldCharType="separate"/>
      </w:r>
      <w:r w:rsidR="73B99EB6">
        <w:t>(Farr et al., 2021)</w:t>
      </w:r>
      <w:r w:rsidR="00961074" w:rsidRPr="728F2DAF">
        <w:rPr>
          <w:lang w:val="en-GB"/>
        </w:rPr>
        <w:fldChar w:fldCharType="end"/>
      </w:r>
      <w:r w:rsidRPr="728F2DAF">
        <w:rPr>
          <w:lang w:val="en-GB"/>
        </w:rPr>
        <w:t>. Indeed</w:t>
      </w:r>
      <w:r w:rsidR="68A4708B" w:rsidRPr="728F2DAF">
        <w:rPr>
          <w:lang w:val="en-GB"/>
        </w:rPr>
        <w:t>,</w:t>
      </w:r>
      <w:r w:rsidRPr="728F2DAF">
        <w:rPr>
          <w:lang w:val="en-GB"/>
        </w:rPr>
        <w:t xml:space="preserve"> artificial hard structures such as breakwaters, jetties, seawalls, floating pontoons and pier pilings provide suitable habitats for alien species </w:t>
      </w:r>
      <w:r w:rsidR="00961074" w:rsidRPr="728F2DAF">
        <w:rPr>
          <w:lang w:val="en-GB"/>
        </w:rPr>
        <w:fldChar w:fldCharType="begin"/>
      </w:r>
      <w:r w:rsidR="00331A79">
        <w:rPr>
          <w:lang w:val="en-GB"/>
        </w:rPr>
        <w:instrText xml:space="preserve"> ADDIN ZOTERO_ITEM CSL_CITATION {"citationID":"4EHwBTOk","properties":{"unsorted":true,"formattedCitation":"(Bulleri &amp; Airoldi, 2005; S. L. Williams &amp; Smith, 2007)","plainCitation":"(Bulleri &amp; Airoldi, 2005; S. L. Williams &amp; Smith, 2007)","noteIndex":0},"citationItems":[{"id":30200,"uris":["http://zotero.org/groups/2352922/items/CKER6FG9"],"itemData":{"id":30200,"type":"article-journal","container-title":"Journal of Applied Ecology","DOI":"10.1111/j.1365-2664.2005.01096.x","ISSN":"00218901","issue":"6","language":"en","page":"1063-1072","source":"DOI.org (Crossref)","title":"Artificial marine structures facilitate the spread of a non-indigenous green alga, &lt;i&gt;Codium fragile&lt;/i&gt; ssp. &lt;i&gt;tomentosoides&lt;/i&gt;, in the north Adriatic Sea","title-short":"Artificial marine structures facilitate the spread of a non-indigenous green alga, &lt;i&gt;Codium fragile&lt;/i&gt; ssp. &lt;i&gt;tomentosoides&lt;/i&gt; , in the north Adriatic Sea","URL":"https://onlinelibrary.wiley.com/doi/10.1111/j.1365-2664.2005.01096.x","volume":"42","author":[{"family":"Bulleri","given":"Fabio"},{"family":"Airoldi","given":"Laura"}],"accessed":{"date-parts":[["2021",8,2]]},"issued":{"date-parts":[["2005",12]]}},"label":"page"},{"id":32320,"uris":["http://zotero.org/groups/2352922/items/JTEWD4KM"],"itemData":{"id":32320,"type":"article-journal","container-title":"Annual Review of Ecology, Evolution, and Systematics","DOI":"10.1146/annurev.ecolsys.38.091206.095543","ISSN":"1543-592X, 1545-2069","issue":"1","journalAbbreviation":"Annu. Rev. Ecol. Evol. Syst.","language":"en","page":"327-359","source":"DOI.org (Crossref)","title":"A global review of the distribution, taxonomy, and impacts of introduced seaweeds","URL":"http://www.annualreviews.org/doi/10.1146/annurev.ecolsys.38.091206.095543","volume":"38","author":[{"family":"Williams","given":"Susan L."},{"family":"Smith","given":"Jennifer E."}],"accessed":{"date-parts":[["2021",7,8]]},"issued":{"date-parts":[["2007",12]]}},"label":"page"}],"schema":"https://github.com/citation-style-language/schema/raw/master/csl-citation.json"} </w:instrText>
      </w:r>
      <w:r w:rsidR="00961074" w:rsidRPr="728F2DAF">
        <w:rPr>
          <w:lang w:val="en-GB"/>
        </w:rPr>
        <w:fldChar w:fldCharType="separate"/>
      </w:r>
      <w:r w:rsidR="73B99EB6">
        <w:t xml:space="preserve">(Bulleri &amp; </w:t>
      </w:r>
      <w:r w:rsidR="73B99EB6">
        <w:lastRenderedPageBreak/>
        <w:t>Airoldi, 2005; S. L. Williams &amp; Smith, 2007)</w:t>
      </w:r>
      <w:r w:rsidR="00961074" w:rsidRPr="728F2DAF">
        <w:rPr>
          <w:lang w:val="en-GB"/>
        </w:rPr>
        <w:fldChar w:fldCharType="end"/>
      </w:r>
      <w:r w:rsidRPr="728F2DAF">
        <w:rPr>
          <w:lang w:val="en-GB"/>
        </w:rPr>
        <w:t xml:space="preserve"> and can also function as corridors through unsuitable habitats </w:t>
      </w:r>
      <w:r w:rsidR="00961074" w:rsidRPr="728F2DAF">
        <w:rPr>
          <w:lang w:val="en-GB"/>
        </w:rPr>
        <w:fldChar w:fldCharType="begin"/>
      </w:r>
      <w:r w:rsidR="00331A79">
        <w:rPr>
          <w:lang w:val="en-GB"/>
        </w:rPr>
        <w:instrText xml:space="preserve"> ADDIN ZOTERO_ITEM CSL_CITATION {"citationID":"8z1Snv3B","properties":{"formattedCitation":"(Bulleri &amp; Airoldi, 2005)","plainCitation":"(Bulleri &amp; Airoldi, 2005)","noteIndex":0},"citationItems":[{"id":30200,"uris":["http://zotero.org/groups/2352922/items/CKER6FG9"],"itemData":{"id":30200,"type":"article-journal","container-title":"Journal of Applied Ecology","DOI":"10.1111/j.1365-2664.2005.01096.x","ISSN":"00218901","issue":"6","language":"en","page":"1063-1072","source":"DOI.org (Crossref)","title":"Artificial marine structures facilitate the spread of a non-indigenous green alga, &lt;i&gt;Codium fragile&lt;/i&gt; ssp. &lt;i&gt;tomentosoides&lt;/i&gt;, in the north Adriatic Sea","title-short":"Artificial marine structures facilitate the spread of a non-indigenous green alga, &lt;i&gt;Codium fragile&lt;/i&gt; ssp. &lt;i&gt;tomentosoides&lt;/i&gt; , in the north Adriatic Sea","URL":"https://onlinelibrary.wiley.com/doi/10.1111/j.1365-2664.2005.01096.x","volume":"42","author":[{"family":"Bulleri","given":"Fabio"},{"family":"Airoldi","given":"Laura"}],"accessed":{"date-parts":[["2021",8,2]]},"issued":{"date-parts":[["2005",12]]}},"label":"page"}],"schema":"https://github.com/citation-style-language/schema/raw/master/csl-citation.json"} </w:instrText>
      </w:r>
      <w:r w:rsidR="00961074" w:rsidRPr="728F2DAF">
        <w:rPr>
          <w:lang w:val="en-GB"/>
        </w:rPr>
        <w:fldChar w:fldCharType="separate"/>
      </w:r>
      <w:r w:rsidR="73B99EB6">
        <w:t>(Bulleri &amp; Airoldi, 2005)</w:t>
      </w:r>
      <w:r w:rsidR="00961074" w:rsidRPr="728F2DAF">
        <w:rPr>
          <w:lang w:val="en-GB"/>
        </w:rPr>
        <w:fldChar w:fldCharType="end"/>
      </w:r>
      <w:r w:rsidRPr="728F2DAF">
        <w:rPr>
          <w:lang w:val="en-GB"/>
        </w:rPr>
        <w:t xml:space="preserve">. Nearshore infrastructure </w:t>
      </w:r>
      <w:r w:rsidR="5A01C7A1" w:rsidRPr="728F2DAF">
        <w:rPr>
          <w:lang w:val="en-GB"/>
        </w:rPr>
        <w:t>is</w:t>
      </w:r>
      <w:r w:rsidRPr="728F2DAF">
        <w:rPr>
          <w:lang w:val="en-GB"/>
        </w:rPr>
        <w:t xml:space="preserve"> considered to </w:t>
      </w:r>
      <w:r w:rsidR="6F568F0F" w:rsidRPr="728F2DAF">
        <w:rPr>
          <w:lang w:val="en-GB"/>
        </w:rPr>
        <w:t>provide</w:t>
      </w:r>
      <w:r w:rsidRPr="728F2DAF">
        <w:rPr>
          <w:lang w:val="en-GB"/>
        </w:rPr>
        <w:t xml:space="preserve"> entry points for </w:t>
      </w:r>
      <w:r w:rsidR="675B3520" w:rsidRPr="728F2DAF">
        <w:rPr>
          <w:lang w:val="en-GB"/>
        </w:rPr>
        <w:t>invasive alien species</w:t>
      </w:r>
      <w:r w:rsidR="6F568F0F" w:rsidRPr="728F2DAF">
        <w:rPr>
          <w:lang w:val="en-GB"/>
        </w:rPr>
        <w:t>,</w:t>
      </w:r>
      <w:r w:rsidRPr="728F2DAF">
        <w:rPr>
          <w:lang w:val="en-GB"/>
        </w:rPr>
        <w:t xml:space="preserve"> with </w:t>
      </w:r>
      <w:r w:rsidR="6F568F0F" w:rsidRPr="728F2DAF">
        <w:rPr>
          <w:lang w:val="en-GB"/>
        </w:rPr>
        <w:t xml:space="preserve">the </w:t>
      </w:r>
      <w:r w:rsidRPr="728F2DAF">
        <w:rPr>
          <w:lang w:val="en-GB"/>
        </w:rPr>
        <w:t xml:space="preserve">numbers of invasive alien species on pontoons and pilings being 1.5-2.5 times higher than on natural rocky reefs </w:t>
      </w:r>
      <w:r w:rsidR="00961074" w:rsidRPr="728F2DAF">
        <w:rPr>
          <w:lang w:val="en-GB"/>
        </w:rPr>
        <w:fldChar w:fldCharType="begin"/>
      </w:r>
      <w:r w:rsidR="00331A79">
        <w:rPr>
          <w:lang w:val="en-GB"/>
        </w:rPr>
        <w:instrText xml:space="preserve"> ADDIN ZOTERO_ITEM CSL_CITATION {"citationID":"9wXMhzZH","properties":{"formattedCitation":"(Glasby et al., 2007)","plainCitation":"(Glasby et al., 2007)","noteIndex":0},"citationItems":[{"id":32340,"uris":["http://zotero.org/groups/2352922/items/G7U7J6VX"],"itemData":{"id":32340,"type":"article-journal","abstract":"We identified different distributions of marine nonindigenous species (NIS) and native species on some artificial structures versus natural reefs and using experimental manipulations, revealed some possible causal mechanisms. In well-established subtidal assemblages, numbers of NIS were 1.5–2.5 times greater on pontoons or pilings than on rocky reefs, despite the local species pool of natives being up to 2.5 times greater than that of NIS. Conversely, on reefs and seawalls, numbers of native species were up to three times greater than numbers of NIS. Differential recruitment to different positions and types of surfaces appeared to influence distribution patterns. NIS recruited well to most surfaces, particularly concrete surfaces near the surface of the water, whilst natives occurred infrequently on wooden surfaces. The position of rocky reefs and seawalls close to the shore and to the seabed appeared to make them favourable for the recruitment of natives, but this positioning alone does not hinder the recruitment of NIS. We argue that pontoons and pilings represent beachheads (i.e. entry points for invasion) for many nonindigenous epibiota and so enhance the spread and establishment of NIS in estuaries. Habitat creation in estuaries may, therefore, be a serious threat to native biodiversity.","container-title":"Marine Biology","DOI":"10.1007/s00227-006-0552-5","ISSN":"1432-1793","issue":"3","journalAbbreviation":"Mar Biol","language":"en","page":"887-895","source":"Springer Link","title":"Nonindigenous biota on artificial structures: could habitat creation facilitate biological invasions?","title-short":"Nonindigenous biota on artificial structures","URL":"https://doi.org/10.1007/s00227-006-0552-5","volume":"151","author":[{"family":"Glasby","given":"Tim M."},{"family":"Connell","given":"Sean D."},{"family":"Holloway","given":"Michael G."},{"family":"Hewitt","given":"Chad L."}],"accessed":{"date-parts":[["2021",12,12]]},"issued":{"date-parts":[["2007",5,1]]}},"label":"page"}],"schema":"https://github.com/citation-style-language/schema/raw/master/csl-citation.json"} </w:instrText>
      </w:r>
      <w:r w:rsidR="00961074" w:rsidRPr="728F2DAF">
        <w:rPr>
          <w:lang w:val="en-GB"/>
        </w:rPr>
        <w:fldChar w:fldCharType="separate"/>
      </w:r>
      <w:r w:rsidR="73B99EB6">
        <w:t>(Glasby et al., 2007)</w:t>
      </w:r>
      <w:r w:rsidR="00961074" w:rsidRPr="728F2DAF">
        <w:rPr>
          <w:lang w:val="en-GB"/>
        </w:rPr>
        <w:fldChar w:fldCharType="end"/>
      </w:r>
      <w:r w:rsidRPr="728F2DAF">
        <w:rPr>
          <w:lang w:val="en-GB"/>
        </w:rPr>
        <w:t>.</w:t>
      </w:r>
      <w:r w:rsidR="179389E9" w:rsidRPr="728F2DAF">
        <w:rPr>
          <w:lang w:val="en-GB"/>
        </w:rPr>
        <w:t xml:space="preserve"> </w:t>
      </w:r>
      <w:r w:rsidRPr="728F2DAF">
        <w:rPr>
          <w:i/>
          <w:iCs/>
          <w:lang w:val="en-GB"/>
        </w:rPr>
        <w:t>Codium fragile</w:t>
      </w:r>
      <w:r w:rsidR="50BB2EED" w:rsidRPr="728F2DAF">
        <w:rPr>
          <w:i/>
          <w:iCs/>
          <w:lang w:val="en-GB"/>
        </w:rPr>
        <w:t xml:space="preserve"> </w:t>
      </w:r>
      <w:r w:rsidR="50BB2EED" w:rsidRPr="728F2DAF">
        <w:rPr>
          <w:lang w:val="en-GB"/>
        </w:rPr>
        <w:t>(</w:t>
      </w:r>
      <w:r w:rsidR="67A3C6EC" w:rsidRPr="728F2DAF">
        <w:rPr>
          <w:lang w:val="en-GB"/>
        </w:rPr>
        <w:t>dead man’s fingers</w:t>
      </w:r>
      <w:r w:rsidR="50BB2EED" w:rsidRPr="728F2DAF">
        <w:rPr>
          <w:lang w:val="en-GB"/>
        </w:rPr>
        <w:t>),</w:t>
      </w:r>
      <w:r w:rsidRPr="728F2DAF">
        <w:rPr>
          <w:i/>
          <w:iCs/>
          <w:lang w:val="en-GB"/>
        </w:rPr>
        <w:t xml:space="preserve"> </w:t>
      </w:r>
      <w:r w:rsidRPr="728F2DAF">
        <w:rPr>
          <w:lang w:val="en-GB"/>
        </w:rPr>
        <w:t xml:space="preserve">an invasive alien </w:t>
      </w:r>
      <w:r w:rsidR="6F568F0F" w:rsidRPr="728F2DAF">
        <w:rPr>
          <w:lang w:val="en-GB"/>
        </w:rPr>
        <w:t xml:space="preserve">seaweed </w:t>
      </w:r>
      <w:r w:rsidR="50BB2EED" w:rsidRPr="728F2DAF">
        <w:rPr>
          <w:lang w:val="en-GB"/>
        </w:rPr>
        <w:t xml:space="preserve">species </w:t>
      </w:r>
      <w:r w:rsidRPr="728F2DAF">
        <w:rPr>
          <w:lang w:val="en-GB"/>
        </w:rPr>
        <w:t xml:space="preserve">native to east Asia, </w:t>
      </w:r>
      <w:r w:rsidR="162A3277" w:rsidRPr="728F2DAF">
        <w:rPr>
          <w:lang w:val="en-GB"/>
        </w:rPr>
        <w:t>colonized</w:t>
      </w:r>
      <w:r w:rsidRPr="728F2DAF">
        <w:rPr>
          <w:lang w:val="en-GB"/>
        </w:rPr>
        <w:t xml:space="preserve"> hard structures installed to provide coastal protection in the northern Adriatic Sea and is now found on temperate rocky shores around the world </w:t>
      </w:r>
      <w:r w:rsidR="00961074" w:rsidRPr="728F2DAF">
        <w:rPr>
          <w:lang w:val="en-GB"/>
        </w:rPr>
        <w:fldChar w:fldCharType="begin"/>
      </w:r>
      <w:r w:rsidR="00331A79">
        <w:rPr>
          <w:lang w:val="en-GB"/>
        </w:rPr>
        <w:instrText xml:space="preserve"> ADDIN ZOTERO_ITEM CSL_CITATION {"citationID":"hjObAyWj","properties":{"formattedCitation":"(Bulleri &amp; Airoldi, 2005)","plainCitation":"(Bulleri &amp; Airoldi, 2005)","noteIndex":0},"citationItems":[{"id":30200,"uris":["http://zotero.org/groups/2352922/items/CKER6FG9"],"itemData":{"id":30200,"type":"article-journal","container-title":"Journal of Applied Ecology","DOI":"10.1111/j.1365-2664.2005.01096.x","ISSN":"00218901","issue":"6","language":"en","page":"1063-1072","source":"DOI.org (Crossref)","title":"Artificial marine structures facilitate the spread of a non-indigenous green alga, &lt;i&gt;Codium fragile&lt;/i&gt; ssp. &lt;i&gt;tomentosoides&lt;/i&gt;, in the north Adriatic Sea","title-short":"Artificial marine structures facilitate the spread of a non-indigenous green alga, &lt;i&gt;Codium fragile&lt;/i&gt; ssp. &lt;i&gt;tomentosoides&lt;/i&gt; , in the north Adriatic Sea","URL":"https://onlinelibrary.wiley.com/doi/10.1111/j.1365-2664.2005.01096.x","volume":"42","author":[{"family":"Bulleri","given":"Fabio"},{"family":"Airoldi","given":"Laura"}],"accessed":{"date-parts":[["2021",8,2]]},"issued":{"date-parts":[["2005",12]]}},"label":"page"}],"schema":"https://github.com/citation-style-language/schema/raw/master/csl-citation.json"} </w:instrText>
      </w:r>
      <w:r w:rsidR="00961074" w:rsidRPr="728F2DAF">
        <w:rPr>
          <w:lang w:val="en-GB"/>
        </w:rPr>
        <w:fldChar w:fldCharType="separate"/>
      </w:r>
      <w:r w:rsidR="73B99EB6">
        <w:t>(Bulleri &amp; Airoldi, 2005)</w:t>
      </w:r>
      <w:r w:rsidR="00961074" w:rsidRPr="728F2DAF">
        <w:rPr>
          <w:lang w:val="en-GB"/>
        </w:rPr>
        <w:fldChar w:fldCharType="end"/>
      </w:r>
      <w:r w:rsidR="6F568F0F" w:rsidRPr="728F2DAF">
        <w:rPr>
          <w:lang w:val="en-GB"/>
        </w:rPr>
        <w:t>,</w:t>
      </w:r>
      <w:r w:rsidRPr="728F2DAF">
        <w:rPr>
          <w:lang w:val="en-GB"/>
        </w:rPr>
        <w:t xml:space="preserve"> and has</w:t>
      </w:r>
      <w:r w:rsidR="6F568F0F" w:rsidRPr="728F2DAF">
        <w:rPr>
          <w:lang w:val="en-GB"/>
        </w:rPr>
        <w:t xml:space="preserve"> also</w:t>
      </w:r>
      <w:r w:rsidRPr="728F2DAF">
        <w:rPr>
          <w:lang w:val="en-GB"/>
        </w:rPr>
        <w:t xml:space="preserve"> replaced native kelp on the leeward shores of the United States </w:t>
      </w:r>
      <w:r w:rsidR="00961074" w:rsidRPr="728F2DAF">
        <w:rPr>
          <w:lang w:val="en-GB"/>
        </w:rPr>
        <w:fldChar w:fldCharType="begin"/>
      </w:r>
      <w:r w:rsidR="00331A79">
        <w:rPr>
          <w:lang w:val="en-GB"/>
        </w:rPr>
        <w:instrText xml:space="preserve"> ADDIN ZOTERO_ITEM CSL_CITATION {"citationID":"ohPFEdDH","properties":{"formattedCitation":"(Levin et al., 2002)","plainCitation":"(Levin et al., 2002)","noteIndex":0},"citationItems":[{"id":32339,"uris":["http://zotero.org/groups/2352922/items/6KCHSPD6"]</w:instrText>
      </w:r>
      <w:r w:rsidR="00331A79">
        <w:rPr>
          <w:rFonts w:hint="eastAsia"/>
          <w:lang w:val="en-GB"/>
        </w:rPr>
        <w:instrText>,"itemData":{"id":32339,"type":"article-journal","container-title":"Ecology","DOI":"10.2307/3071852","issue":"11","note":"ISBN: 1939-9170\npublisher: Wiley Online Library","page":"3182-3193","title":"Community</w:instrText>
      </w:r>
      <w:r w:rsidR="00331A79">
        <w:rPr>
          <w:rFonts w:hint="eastAsia"/>
          <w:lang w:val="en-GB"/>
        </w:rPr>
        <w:instrText>‐</w:instrText>
      </w:r>
      <w:r w:rsidR="00331A79">
        <w:rPr>
          <w:rFonts w:hint="eastAsia"/>
          <w:lang w:val="en-GB"/>
        </w:rPr>
        <w:instrText>wide effects of nonindigenous species on temp</w:instrText>
      </w:r>
      <w:r w:rsidR="00331A79">
        <w:rPr>
          <w:lang w:val="en-GB"/>
        </w:rPr>
        <w:instrText xml:space="preserve">erate rocky reefs","volume":"83","author":[{"family":"Levin","given":"Phillip S."},{"family":"Coyer","given":"James A."},{"family":"Petrik","given":"Rachel"},{"family":"Good","given":"Thomas P."}],"issued":{"date-parts":[["2002"]]}},"label":"page"}],"schema":"https://github.com/citation-style-language/schema/raw/master/csl-citation.json"} </w:instrText>
      </w:r>
      <w:r w:rsidR="00961074" w:rsidRPr="728F2DAF">
        <w:rPr>
          <w:lang w:val="en-GB"/>
        </w:rPr>
        <w:fldChar w:fldCharType="separate"/>
      </w:r>
      <w:r w:rsidR="73B99EB6">
        <w:t>(Levin et al., 2002)</w:t>
      </w:r>
      <w:r w:rsidR="00961074" w:rsidRPr="728F2DAF">
        <w:rPr>
          <w:lang w:val="en-GB"/>
        </w:rPr>
        <w:fldChar w:fldCharType="end"/>
      </w:r>
      <w:r w:rsidRPr="728F2DAF">
        <w:rPr>
          <w:lang w:val="en-GB"/>
        </w:rPr>
        <w:t xml:space="preserve">. </w:t>
      </w:r>
      <w:r w:rsidR="3F3BF203" w:rsidRPr="728F2DAF">
        <w:rPr>
          <w:lang w:val="en-GB"/>
        </w:rPr>
        <w:t>Similarly,</w:t>
      </w:r>
      <w:r w:rsidR="38A712B3" w:rsidRPr="728F2DAF">
        <w:rPr>
          <w:lang w:val="en-GB"/>
        </w:rPr>
        <w:t xml:space="preserve"> </w:t>
      </w:r>
      <w:r w:rsidRPr="728F2DAF">
        <w:rPr>
          <w:lang w:val="en-GB"/>
        </w:rPr>
        <w:t>a study on invasive alien ascidian</w:t>
      </w:r>
      <w:r w:rsidR="6F568F0F" w:rsidRPr="728F2DAF">
        <w:rPr>
          <w:lang w:val="en-GB"/>
        </w:rPr>
        <w:t>s</w:t>
      </w:r>
      <w:r w:rsidRPr="728F2DAF">
        <w:rPr>
          <w:lang w:val="en-GB"/>
        </w:rPr>
        <w:t xml:space="preserve"> demonstrated that </w:t>
      </w:r>
      <w:r w:rsidR="6F568F0F" w:rsidRPr="728F2DAF">
        <w:rPr>
          <w:lang w:val="en-GB"/>
        </w:rPr>
        <w:t xml:space="preserve">ascidian </w:t>
      </w:r>
      <w:r w:rsidR="07F266FB" w:rsidRPr="728F2DAF">
        <w:rPr>
          <w:lang w:val="en-GB"/>
        </w:rPr>
        <w:t>species spread onto na</w:t>
      </w:r>
      <w:r w:rsidR="0BD491DE" w:rsidRPr="728F2DAF">
        <w:rPr>
          <w:lang w:val="en-GB"/>
        </w:rPr>
        <w:t>t</w:t>
      </w:r>
      <w:r w:rsidR="07F266FB" w:rsidRPr="728F2DAF">
        <w:rPr>
          <w:lang w:val="en-GB"/>
        </w:rPr>
        <w:t xml:space="preserve">ural habitats from </w:t>
      </w:r>
      <w:r w:rsidR="5565CECF" w:rsidRPr="728F2DAF">
        <w:rPr>
          <w:lang w:val="en-GB"/>
        </w:rPr>
        <w:t>marine infrastructure</w:t>
      </w:r>
      <w:r w:rsidR="4612D251" w:rsidRPr="728F2DAF">
        <w:rPr>
          <w:lang w:val="en-GB"/>
        </w:rPr>
        <w:t xml:space="preserve">, </w:t>
      </w:r>
      <w:r w:rsidR="6F568F0F" w:rsidRPr="728F2DAF">
        <w:rPr>
          <w:lang w:val="en-GB"/>
        </w:rPr>
        <w:t>and</w:t>
      </w:r>
      <w:r w:rsidR="4612D251" w:rsidRPr="728F2DAF">
        <w:rPr>
          <w:lang w:val="en-GB"/>
        </w:rPr>
        <w:t xml:space="preserve"> </w:t>
      </w:r>
      <w:r w:rsidRPr="728F2DAF">
        <w:rPr>
          <w:lang w:val="en-GB"/>
        </w:rPr>
        <w:t xml:space="preserve">that species </w:t>
      </w:r>
      <w:r w:rsidR="30574024" w:rsidRPr="728F2DAF">
        <w:rPr>
          <w:lang w:val="en-GB"/>
        </w:rPr>
        <w:t xml:space="preserve">differ in the </w:t>
      </w:r>
      <w:r w:rsidR="0178AAA3" w:rsidRPr="728F2DAF">
        <w:rPr>
          <w:lang w:val="en-GB"/>
        </w:rPr>
        <w:t xml:space="preserve">rate and success </w:t>
      </w:r>
      <w:r w:rsidR="17396C6D" w:rsidRPr="728F2DAF">
        <w:rPr>
          <w:lang w:val="en-GB"/>
        </w:rPr>
        <w:t>of</w:t>
      </w:r>
      <w:r w:rsidR="0178AAA3" w:rsidRPr="728F2DAF">
        <w:rPr>
          <w:lang w:val="en-GB"/>
        </w:rPr>
        <w:t xml:space="preserve"> </w:t>
      </w:r>
      <w:r w:rsidR="17396C6D" w:rsidRPr="728F2DAF">
        <w:rPr>
          <w:lang w:val="en-GB"/>
        </w:rPr>
        <w:t xml:space="preserve">this secondary </w:t>
      </w:r>
      <w:r w:rsidRPr="728F2DAF">
        <w:rPr>
          <w:lang w:val="en-GB"/>
        </w:rPr>
        <w:t xml:space="preserve">spread </w:t>
      </w:r>
      <w:r w:rsidR="00961074" w:rsidRPr="728F2DAF">
        <w:rPr>
          <w:lang w:val="en-GB"/>
        </w:rPr>
        <w:fldChar w:fldCharType="begin"/>
      </w:r>
      <w:r w:rsidR="00331A79">
        <w:rPr>
          <w:lang w:val="en-GB"/>
        </w:rPr>
        <w:instrText xml:space="preserve"> ADDIN ZOTERO_ITEM CSL_CITATION {"citationID":"ElmxQ3zt","properties":{"formattedCitation":"(Simkanin et al., 2012)","plainCitation":"(Simkanin et al., 2012)","noteIndex":0},"citationItems":[{"id":32338,"uris":["http://zotero.org/groups/2352922/items/C7RLVBHC"],"itemData":{"id":32338,"type":"article-journal","container-title":"Marine Ecology","DOI":"10.1111/j.1439-0485.2012.00516.x","issue":"4","note":"ISBN: 0173-9565\npublisher: Wiley Online Library","page":"499-511","title":"Anthropogenic structures and the infiltration of natural benthos by invasive ascidians","URL":"https://onlinelibrary.wiley.com/doi/abs/10.1111/j.1439-0485.2012.00516.x","volume":"33","author":[{"family":"Simkanin","given":"Christina"},{"family":"Davidson","given":"Ian C."},{"family":"Dower","given":"John F."},{"family":"Jamieson","given":"Glen"},{"family":"Therriault","given":"Thomas W."}],"issued":{"date-parts":[["2012"]]}},"label":"page"}],"schema":"https://github.com/citation-style-language/schema/raw/master/csl-citation.json"} </w:instrText>
      </w:r>
      <w:r w:rsidR="00961074" w:rsidRPr="728F2DAF">
        <w:rPr>
          <w:lang w:val="en-GB"/>
        </w:rPr>
        <w:fldChar w:fldCharType="separate"/>
      </w:r>
      <w:r w:rsidR="73B99EB6">
        <w:t>(Simkanin et al., 2012)</w:t>
      </w:r>
      <w:r w:rsidR="00961074" w:rsidRPr="728F2DAF">
        <w:rPr>
          <w:lang w:val="en-GB"/>
        </w:rPr>
        <w:fldChar w:fldCharType="end"/>
      </w:r>
      <w:r w:rsidRPr="728F2DAF">
        <w:rPr>
          <w:lang w:val="en-GB"/>
        </w:rPr>
        <w:t xml:space="preserve">. </w:t>
      </w:r>
      <w:r w:rsidR="0CA182E7" w:rsidRPr="728F2DAF">
        <w:rPr>
          <w:lang w:val="en-GB"/>
        </w:rPr>
        <w:t xml:space="preserve">In </w:t>
      </w:r>
      <w:r w:rsidR="5AD3ED03" w:rsidRPr="728F2DAF">
        <w:rPr>
          <w:lang w:val="en-GB"/>
        </w:rPr>
        <w:t>a</w:t>
      </w:r>
      <w:r w:rsidR="0CA182E7" w:rsidRPr="728F2DAF">
        <w:rPr>
          <w:lang w:val="en-GB"/>
        </w:rPr>
        <w:t xml:space="preserve"> global literature survey, t</w:t>
      </w:r>
      <w:r w:rsidRPr="728F2DAF">
        <w:rPr>
          <w:lang w:val="en-GB"/>
        </w:rPr>
        <w:t xml:space="preserve">he alien ascidians </w:t>
      </w:r>
      <w:r w:rsidRPr="728F2DAF">
        <w:rPr>
          <w:i/>
          <w:iCs/>
          <w:lang w:val="en-GB"/>
        </w:rPr>
        <w:t>Botrylloides violaceus</w:t>
      </w:r>
      <w:r w:rsidRPr="728F2DAF">
        <w:rPr>
          <w:lang w:val="en-GB"/>
        </w:rPr>
        <w:t xml:space="preserve"> </w:t>
      </w:r>
      <w:r w:rsidR="758DEB2C" w:rsidRPr="728F2DAF">
        <w:rPr>
          <w:lang w:val="en-GB"/>
        </w:rPr>
        <w:t xml:space="preserve">(violet tunicate) </w:t>
      </w:r>
      <w:r w:rsidRPr="728F2DAF">
        <w:rPr>
          <w:lang w:val="en-GB"/>
        </w:rPr>
        <w:t xml:space="preserve">and </w:t>
      </w:r>
      <w:r w:rsidRPr="728F2DAF">
        <w:rPr>
          <w:i/>
          <w:iCs/>
          <w:lang w:val="en-GB"/>
        </w:rPr>
        <w:t>Botryllus schlosseri</w:t>
      </w:r>
      <w:r w:rsidRPr="728F2DAF">
        <w:rPr>
          <w:lang w:val="en-GB"/>
        </w:rPr>
        <w:t xml:space="preserve"> </w:t>
      </w:r>
      <w:r w:rsidR="758DEB2C" w:rsidRPr="728F2DAF">
        <w:rPr>
          <w:lang w:val="en-GB"/>
        </w:rPr>
        <w:t xml:space="preserve">(star ascidian) </w:t>
      </w:r>
      <w:r w:rsidR="7E1C3B21" w:rsidRPr="728F2DAF">
        <w:rPr>
          <w:lang w:val="en-GB"/>
        </w:rPr>
        <w:t xml:space="preserve">were reported four times as often in </w:t>
      </w:r>
      <w:r w:rsidRPr="728F2DAF">
        <w:rPr>
          <w:lang w:val="en-GB"/>
        </w:rPr>
        <w:t xml:space="preserve">anthropogenic marine habitats </w:t>
      </w:r>
      <w:r w:rsidR="7E1C3B21" w:rsidRPr="728F2DAF">
        <w:rPr>
          <w:lang w:val="en-GB"/>
        </w:rPr>
        <w:t xml:space="preserve">relative </w:t>
      </w:r>
      <w:r w:rsidRPr="728F2DAF">
        <w:rPr>
          <w:lang w:val="en-GB"/>
        </w:rPr>
        <w:t>to natural habitats</w:t>
      </w:r>
      <w:r w:rsidR="7E1C3B21" w:rsidRPr="728F2DAF">
        <w:rPr>
          <w:lang w:val="en-GB"/>
        </w:rPr>
        <w:t>,</w:t>
      </w:r>
      <w:r w:rsidRPr="728F2DAF">
        <w:rPr>
          <w:lang w:val="en-GB"/>
        </w:rPr>
        <w:t xml:space="preserve"> </w:t>
      </w:r>
      <w:r w:rsidR="6F568F0F" w:rsidRPr="728F2DAF">
        <w:rPr>
          <w:lang w:val="en-GB"/>
        </w:rPr>
        <w:t xml:space="preserve">while </w:t>
      </w:r>
      <w:r w:rsidRPr="728F2DAF">
        <w:rPr>
          <w:lang w:val="en-GB"/>
        </w:rPr>
        <w:t xml:space="preserve">two other alien ascidians, </w:t>
      </w:r>
      <w:r w:rsidRPr="728F2DAF">
        <w:rPr>
          <w:i/>
          <w:iCs/>
          <w:lang w:val="en-GB"/>
        </w:rPr>
        <w:t>Didemnum vexillum</w:t>
      </w:r>
      <w:r w:rsidRPr="728F2DAF">
        <w:rPr>
          <w:lang w:val="en-GB"/>
        </w:rPr>
        <w:t xml:space="preserve"> </w:t>
      </w:r>
      <w:r w:rsidR="758DEB2C" w:rsidRPr="728F2DAF">
        <w:rPr>
          <w:lang w:val="en-GB"/>
        </w:rPr>
        <w:t xml:space="preserve">(carpet sea squirt) </w:t>
      </w:r>
      <w:r w:rsidRPr="728F2DAF">
        <w:rPr>
          <w:lang w:val="en-GB"/>
        </w:rPr>
        <w:t xml:space="preserve">and </w:t>
      </w:r>
      <w:r w:rsidRPr="728F2DAF">
        <w:rPr>
          <w:i/>
          <w:iCs/>
          <w:lang w:val="en-GB"/>
        </w:rPr>
        <w:t>Styela clava</w:t>
      </w:r>
      <w:r w:rsidR="758DEB2C" w:rsidRPr="728F2DAF">
        <w:rPr>
          <w:i/>
          <w:iCs/>
          <w:lang w:val="en-GB"/>
        </w:rPr>
        <w:t xml:space="preserve"> </w:t>
      </w:r>
      <w:r w:rsidR="758DEB2C" w:rsidRPr="728F2DAF">
        <w:rPr>
          <w:lang w:val="en-GB"/>
        </w:rPr>
        <w:t>(Asian tunicate)</w:t>
      </w:r>
      <w:r w:rsidRPr="728F2DAF">
        <w:rPr>
          <w:lang w:val="en-GB"/>
        </w:rPr>
        <w:t xml:space="preserve">, were encountered on floating docks, pilings and aquaculture installations </w:t>
      </w:r>
      <w:r w:rsidR="7E1C3B21" w:rsidRPr="728F2DAF">
        <w:rPr>
          <w:lang w:val="en-GB"/>
        </w:rPr>
        <w:t xml:space="preserve">eight times as often as they </w:t>
      </w:r>
      <w:r w:rsidRPr="728F2DAF">
        <w:rPr>
          <w:lang w:val="en-GB"/>
        </w:rPr>
        <w:t xml:space="preserve">were found in nearby natural habitats </w:t>
      </w:r>
      <w:r w:rsidR="00961074" w:rsidRPr="728F2DAF">
        <w:rPr>
          <w:lang w:val="en-GB"/>
        </w:rPr>
        <w:fldChar w:fldCharType="begin"/>
      </w:r>
      <w:r w:rsidR="00331A79">
        <w:rPr>
          <w:lang w:val="en-GB"/>
        </w:rPr>
        <w:instrText xml:space="preserve"> ADDIN ZOTERO_ITEM CSL_CITATION {"citationID":"AN2KEKea","properties":{"formattedCitation":"(Simkanin et al., 2012)","plainCitation":"(Simkanin et al., 2012)","noteIndex":0},"citationItems":[{"id":32338,"uris":["http://zotero.org/groups/2352922/items/C7RLVBHC"],"itemData":{"id":32338,"type":"article-journal","container-title":"Marine Ecology","DOI":"10.1111/j.1439-0485.2012.00516.x","issue":"4","note":"ISBN: 0173-9565\npublisher: Wiley Online Library","page":"499-511","title":"Anthropogenic structures and the infiltration of natural benthos by invasive ascidians","URL":"https://onlinelibrary.wiley.com/doi/abs/10.1111/j.1439-0485.2012.00516.x","volume":"33","author":[{"family":"Simkanin","given":"Christina"},{"family":"Davidson","given":"Ian C."},{"family":"Dower","given":"John F."},{"family":"Jamieson","given":"Glen"},{"family":"Therriault","given":"Thomas W."}],"issued":{"date-parts":[["2012"]]}},"label":"page"}],"schema":"https://github.com/citation-style-language/schema/raw/master/csl-citation.json"} </w:instrText>
      </w:r>
      <w:r w:rsidR="00961074" w:rsidRPr="728F2DAF">
        <w:rPr>
          <w:lang w:val="en-GB"/>
        </w:rPr>
        <w:fldChar w:fldCharType="separate"/>
      </w:r>
      <w:r w:rsidR="73B99EB6">
        <w:t>(Simkanin et al., 2012)</w:t>
      </w:r>
      <w:r w:rsidR="00961074" w:rsidRPr="728F2DAF">
        <w:rPr>
          <w:lang w:val="en-GB"/>
        </w:rPr>
        <w:fldChar w:fldCharType="end"/>
      </w:r>
      <w:r w:rsidR="58E10AB2" w:rsidRPr="728F2DAF">
        <w:rPr>
          <w:lang w:val="en-GB"/>
        </w:rPr>
        <w:t>.</w:t>
      </w:r>
      <w:r w:rsidR="7E1C3B21" w:rsidRPr="728F2DAF">
        <w:rPr>
          <w:lang w:val="en-GB"/>
        </w:rPr>
        <w:t xml:space="preserve"> Th</w:t>
      </w:r>
      <w:r w:rsidR="6F568F0F" w:rsidRPr="728F2DAF">
        <w:rPr>
          <w:lang w:val="en-GB"/>
        </w:rPr>
        <w:t>ese findings</w:t>
      </w:r>
      <w:r w:rsidR="7E1C3B21" w:rsidRPr="728F2DAF">
        <w:rPr>
          <w:lang w:val="en-GB"/>
        </w:rPr>
        <w:t xml:space="preserve"> illustrate</w:t>
      </w:r>
      <w:r w:rsidR="6F568F0F" w:rsidRPr="728F2DAF">
        <w:rPr>
          <w:lang w:val="en-GB"/>
        </w:rPr>
        <w:t xml:space="preserve"> the</w:t>
      </w:r>
      <w:r w:rsidR="7E1C3B21" w:rsidRPr="728F2DAF">
        <w:rPr>
          <w:lang w:val="en-GB"/>
        </w:rPr>
        <w:t xml:space="preserve"> differences in </w:t>
      </w:r>
      <w:r w:rsidR="18D0060C" w:rsidRPr="728F2DAF">
        <w:rPr>
          <w:lang w:val="en-GB"/>
        </w:rPr>
        <w:t xml:space="preserve">biological </w:t>
      </w:r>
      <w:r w:rsidR="7E1C3B21" w:rsidRPr="728F2DAF">
        <w:rPr>
          <w:lang w:val="en-GB"/>
        </w:rPr>
        <w:t xml:space="preserve">invasion potential and/or rate between closely related species. </w:t>
      </w:r>
    </w:p>
    <w:p w14:paraId="367990FC" w14:textId="77777777" w:rsidR="06D2DEBA" w:rsidRPr="00DA249F" w:rsidRDefault="00C10632" w:rsidP="0090109B">
      <w:pPr>
        <w:rPr>
          <w:lang w:val="en-GB"/>
        </w:rPr>
      </w:pPr>
      <w:r w:rsidRPr="00DA249F">
        <w:rPr>
          <w:lang w:val="en-GB"/>
        </w:rPr>
        <w:t xml:space="preserve">Offshore floating structures, such as wind facilities, can </w:t>
      </w:r>
      <w:r w:rsidR="004F48CE">
        <w:rPr>
          <w:lang w:val="en-GB"/>
        </w:rPr>
        <w:t xml:space="preserve">provide </w:t>
      </w:r>
      <w:r w:rsidRPr="00DA249F">
        <w:rPr>
          <w:lang w:val="en-GB"/>
        </w:rPr>
        <w:t xml:space="preserve">substrate for introduced </w:t>
      </w:r>
      <w:r w:rsidR="00336737" w:rsidRPr="00DA249F">
        <w:rPr>
          <w:lang w:val="en-GB"/>
        </w:rPr>
        <w:t xml:space="preserve">hard-substrate </w:t>
      </w:r>
      <w:r w:rsidR="2FA20898" w:rsidRPr="00DA249F">
        <w:rPr>
          <w:lang w:val="en-GB"/>
        </w:rPr>
        <w:t>benthic</w:t>
      </w:r>
      <w:r w:rsidR="00336737" w:rsidRPr="00DA249F">
        <w:rPr>
          <w:lang w:val="en-GB"/>
        </w:rPr>
        <w:t xml:space="preserve"> org</w:t>
      </w:r>
      <w:r w:rsidR="005302D7" w:rsidRPr="00DA249F">
        <w:rPr>
          <w:lang w:val="en-GB"/>
        </w:rPr>
        <w:t>anisms</w:t>
      </w:r>
      <w:r w:rsidR="00CD4BC5" w:rsidRPr="00DA249F">
        <w:rPr>
          <w:lang w:val="en-GB"/>
        </w:rPr>
        <w:t xml:space="preserve"> </w:t>
      </w:r>
      <w:r w:rsidR="004F48CE">
        <w:rPr>
          <w:lang w:val="en-GB"/>
        </w:rPr>
        <w:t xml:space="preserve">to colonise, </w:t>
      </w:r>
      <w:r w:rsidR="00CD4BC5" w:rsidRPr="00DA249F">
        <w:rPr>
          <w:lang w:val="en-GB"/>
        </w:rPr>
        <w:t xml:space="preserve">and </w:t>
      </w:r>
      <w:r w:rsidR="001A3BFF" w:rsidRPr="00DA249F">
        <w:rPr>
          <w:lang w:val="en-GB"/>
        </w:rPr>
        <w:t xml:space="preserve">thus </w:t>
      </w:r>
      <w:r w:rsidR="004F48CE">
        <w:rPr>
          <w:lang w:val="en-GB"/>
        </w:rPr>
        <w:t xml:space="preserve">can </w:t>
      </w:r>
      <w:r w:rsidR="00CD4BC5" w:rsidRPr="00DA249F">
        <w:rPr>
          <w:lang w:val="en-GB"/>
        </w:rPr>
        <w:t xml:space="preserve">contribute to </w:t>
      </w:r>
      <w:r w:rsidR="001A3BFF" w:rsidRPr="00DA249F">
        <w:rPr>
          <w:lang w:val="en-GB"/>
        </w:rPr>
        <w:t xml:space="preserve">the further spread of invasive </w:t>
      </w:r>
      <w:r w:rsidR="002A0EE8" w:rsidRPr="00DA249F">
        <w:rPr>
          <w:lang w:val="en-GB"/>
        </w:rPr>
        <w:t xml:space="preserve">alien </w:t>
      </w:r>
      <w:r w:rsidR="001A3BFF" w:rsidRPr="00DA249F">
        <w:rPr>
          <w:lang w:val="en-GB"/>
        </w:rPr>
        <w:t xml:space="preserve">species, especially </w:t>
      </w:r>
      <w:r w:rsidR="004F48CE">
        <w:rPr>
          <w:lang w:val="en-GB"/>
        </w:rPr>
        <w:t>in</w:t>
      </w:r>
      <w:r w:rsidR="001A3BFF" w:rsidRPr="00DA249F">
        <w:rPr>
          <w:lang w:val="en-GB"/>
        </w:rPr>
        <w:t xml:space="preserve"> the intertidal zone</w:t>
      </w:r>
      <w:r w:rsidR="004B1B64" w:rsidRPr="00DA249F">
        <w:rPr>
          <w:lang w:val="en-GB"/>
        </w:rPr>
        <w:t xml:space="preserve"> </w:t>
      </w:r>
      <w:r w:rsidR="004B1B64" w:rsidRPr="00DA249F">
        <w:rPr>
          <w:lang w:val="en-GB"/>
        </w:rPr>
        <w:fldChar w:fldCharType="begin"/>
      </w:r>
      <w:r w:rsidR="00331A79">
        <w:rPr>
          <w:lang w:val="en-GB"/>
        </w:rPr>
        <w:instrText xml:space="preserve"> ADDIN ZOTERO_ITEM CSL_CITATION {"citationID":"2vdAM73x","properties":{"formattedCitation":"(Kerckhof et al., 2016)","plainCitation":"(Kerckhof et al., 2016)","noteIndex":0},"citationItems":[{"id":52855,"uris":["http://zotero.org/groups/2352922/items/2YP9YQC2"],"itemData":{"id":52855,"type":"chapter","collection-title":"Environmental impact monitoring reloaded","container-title":"Environmental impacts of offshore wind farms in the Belgian part of the North Sea","page":"61-75","publisher":"Royal Belgian Institute of Natural Sciences","title":"Do wind farms favour introduced hard substrata species?","URL":"https://core.ac.uk/download/pdf/80852935.pdf","author":[{"family":"Kerckhof","given":"F."},{"family":"De Mesel","given":"I."},{"family":"Degraer","given":"S."}],"editor":[{"family":"Degraer","given":"S."},{"family":"Brabant","given":"R."},{"family":"Rumes","given":"B."},{"family":"Vigin","given":"L."}],"issued":{"date-parts":[["2016"]]}},"label":"page"}],"schema":"https://github.com/citation-style-language/schema/raw/master/csl-citation.json"} </w:instrText>
      </w:r>
      <w:r w:rsidR="004B1B64" w:rsidRPr="00DA249F">
        <w:rPr>
          <w:lang w:val="en-GB"/>
        </w:rPr>
        <w:fldChar w:fldCharType="separate"/>
      </w:r>
      <w:r w:rsidR="00144D96" w:rsidRPr="00144D96">
        <w:t>(Kerckhof et al., 2016)</w:t>
      </w:r>
      <w:r w:rsidR="004B1B64" w:rsidRPr="00DA249F">
        <w:rPr>
          <w:lang w:val="en-GB"/>
        </w:rPr>
        <w:fldChar w:fldCharType="end"/>
      </w:r>
      <w:r w:rsidR="007936E2" w:rsidRPr="00DA249F">
        <w:rPr>
          <w:lang w:val="en-GB"/>
        </w:rPr>
        <w:t>. D</w:t>
      </w:r>
      <w:r w:rsidR="00961074" w:rsidRPr="00DA249F">
        <w:rPr>
          <w:lang w:val="en-GB"/>
        </w:rPr>
        <w:t xml:space="preserve">eepwater and offshore floating infrastructures </w:t>
      </w:r>
      <w:r w:rsidR="007936E2" w:rsidRPr="00DA249F">
        <w:rPr>
          <w:lang w:val="en-GB"/>
        </w:rPr>
        <w:t xml:space="preserve">generally </w:t>
      </w:r>
      <w:r w:rsidR="00961074" w:rsidRPr="00DA249F">
        <w:rPr>
          <w:lang w:val="en-GB"/>
        </w:rPr>
        <w:t xml:space="preserve">are considered less likely to be </w:t>
      </w:r>
      <w:r w:rsidR="7CCEB98F" w:rsidRPr="00DA249F">
        <w:rPr>
          <w:lang w:val="en-GB"/>
        </w:rPr>
        <w:t>colonized</w:t>
      </w:r>
      <w:r w:rsidR="00961074" w:rsidRPr="00DA249F">
        <w:rPr>
          <w:lang w:val="en-GB"/>
        </w:rPr>
        <w:t xml:space="preserve"> by invasive alien species than nearshore infrastructures </w:t>
      </w:r>
      <w:r w:rsidR="00E4355E" w:rsidRPr="00DA249F">
        <w:rPr>
          <w:lang w:val="en-GB"/>
        </w:rPr>
        <w:fldChar w:fldCharType="begin"/>
      </w:r>
      <w:r w:rsidR="00331A79">
        <w:rPr>
          <w:lang w:val="en-GB"/>
        </w:rPr>
        <w:instrText xml:space="preserve"> ADDIN ZOTERO_ITEM CSL_CITATION {"citationID":"quekZw7Y","properties":{"formattedCitation":"(Farr et al., 2021)","plainCitation":"(Farr et al., 2021)","noteIndex":0},"citationItems":[{"id":32341,"uris":["http://zotero.org/groups/2352922/items/RMQXB7AJ"],"itemData":{"id":32341,"type":"article-journal","abstract":"Over the last few decades, the offshore wind energy industry has expanded its scope from turbines mounted on foundations driven into the seafloor and standing in less than 60 m of water, to floating turbines moored in 120 m of water, to prospecting the development of floating turbines moored in ~1,000 m of water. Since there are few prototype turbines and mooring systems of these deepwater, floating offshore wind energy facilities (OWFs) currently deployed, their effects on the marine environment are speculative. Using the available scientific literature concerning appropriate analogs, including fixed-bottom OWFs, land-based wind energy facilities, wave and tidal energy devices, and oil and gas platforms, we conducted a qualitative systematic review to estimate the potential environmental effects of deepwater, floating OWFs during operation, as well as potential mitigation measures to address some of the effects. We evaluated six categories of potential effects: changes to atmospheric and oceanic dynamics due to energy removal and modifications, electromagnetic field effects on marine species from power cables, habitat alterations to benthic and pelagic fish and invertebrate communities, underwater noise effects on marine species, structural impediments to wildlife, and changes to water quality. Our synthesis of 89 articles selected for the review suggests that many of these potential effects could be mitigated to pose a low risk to the marine environment if developers adopt appropriate mitigation strategies and best-practice protocols. This review takes the necessary first steps in summarizing the available information on the potential environmental effects of deepwater, floating OWFs and can serve as a reference document for marine scientists and engineers, the energy industry, permitting agencies and regulators of the energy industry, project developers, and concerned stakeholders such as coastal residents, conservationists, and fisheries.","container-title":"Ocean &amp; Coastal Management","DOI":"10.1016/j.ocecoaman.2021.105611","ISSN":"0964-5691","journalAbbreviation":"Ocean &amp; Coastal Management","language":"en","page":"105611","source":"ScienceDirect","title":"Potential environmental effects of deepwater floating offshore wind energy facilities","URL":"https://www.sciencedirect.com/science/article/pii/S096456912100096X","volume":"207","author":[{"family":"Farr","given":"Hayley"},{"family":"Ruttenberg","given":"Benjamin"},{"family":"Walter","given":"Ryan K."},{"family":"Wang","given":"Yi-Hui"},{"family":"White","given":"Crow"}],"accessed":{"date-parts":[["2021",12,12]]},"issued":{"date-parts":[["2021",6,15]]}}}],"schema":"https://github.com/citation-style-language/schema/raw/master/csl-citation.json"} </w:instrText>
      </w:r>
      <w:r w:rsidR="00E4355E" w:rsidRPr="00DA249F">
        <w:rPr>
          <w:lang w:val="en-GB"/>
        </w:rPr>
        <w:fldChar w:fldCharType="separate"/>
      </w:r>
      <w:r w:rsidR="00144D96" w:rsidRPr="00144D96">
        <w:t>(Farr et al., 2021)</w:t>
      </w:r>
      <w:r w:rsidR="00E4355E" w:rsidRPr="00DA249F">
        <w:rPr>
          <w:lang w:val="en-GB"/>
        </w:rPr>
        <w:fldChar w:fldCharType="end"/>
      </w:r>
      <w:r w:rsidR="002450C8" w:rsidRPr="00DA249F">
        <w:rPr>
          <w:lang w:val="en-GB"/>
        </w:rPr>
        <w:t xml:space="preserve"> </w:t>
      </w:r>
      <w:r w:rsidR="007936E2" w:rsidRPr="00DA249F">
        <w:rPr>
          <w:lang w:val="en-GB"/>
        </w:rPr>
        <w:t>because</w:t>
      </w:r>
      <w:r w:rsidR="002B5583" w:rsidRPr="00DA249F">
        <w:rPr>
          <w:lang w:val="en-GB"/>
        </w:rPr>
        <w:t xml:space="preserve"> </w:t>
      </w:r>
      <w:r w:rsidR="007936E2" w:rsidRPr="00DA249F">
        <w:rPr>
          <w:lang w:val="en-GB"/>
        </w:rPr>
        <w:t>t</w:t>
      </w:r>
      <w:r w:rsidR="00961074" w:rsidRPr="00DA249F">
        <w:rPr>
          <w:lang w:val="en-GB"/>
        </w:rPr>
        <w:t>he nearshore is often associated with higher human activity and consequently increased pathways of introduction in comparison to offshore locations.</w:t>
      </w:r>
    </w:p>
    <w:p w14:paraId="70BBDD20" w14:textId="77777777" w:rsidR="00D132A7" w:rsidRPr="00DA249F" w:rsidRDefault="025D8B60" w:rsidP="004826A3">
      <w:pPr>
        <w:pStyle w:val="Heading3"/>
        <w:rPr>
          <w:lang w:val="en-GB" w:eastAsia="fr-FR"/>
        </w:rPr>
      </w:pPr>
      <w:bookmarkStart w:id="161" w:name="_Toc44317822"/>
      <w:r w:rsidRPr="00DA249F">
        <w:rPr>
          <w:lang w:val="en-GB" w:eastAsia="fr-FR"/>
        </w:rPr>
        <w:t xml:space="preserve"> Changes in landscape</w:t>
      </w:r>
      <w:r w:rsidR="0071649A" w:rsidRPr="00DA249F">
        <w:rPr>
          <w:lang w:val="en-GB" w:eastAsia="fr-FR"/>
        </w:rPr>
        <w:t>-</w:t>
      </w:r>
      <w:r w:rsidRPr="00DA249F">
        <w:rPr>
          <w:lang w:val="en-GB"/>
        </w:rPr>
        <w:t>seascape</w:t>
      </w:r>
      <w:r w:rsidRPr="00DA249F">
        <w:rPr>
          <w:lang w:val="en-GB" w:eastAsia="fr-FR"/>
        </w:rPr>
        <w:t xml:space="preserve"> disturbance regimes (intensification and reduction)</w:t>
      </w:r>
      <w:bookmarkEnd w:id="161"/>
    </w:p>
    <w:p w14:paraId="721EFCB3" w14:textId="3537ED90" w:rsidR="00D132A7" w:rsidRPr="00DA249F" w:rsidRDefault="00D132A7" w:rsidP="0090109B">
      <w:pPr>
        <w:rPr>
          <w:i/>
          <w:iCs/>
          <w:lang w:val="en-GB"/>
        </w:rPr>
      </w:pPr>
      <w:r w:rsidRPr="00DA249F">
        <w:rPr>
          <w:lang w:val="en-GB"/>
        </w:rPr>
        <w:t>Changes in landscape</w:t>
      </w:r>
      <w:r w:rsidR="0071649A" w:rsidRPr="00DA249F">
        <w:rPr>
          <w:lang w:val="en-GB"/>
        </w:rPr>
        <w:t>-</w:t>
      </w:r>
      <w:r w:rsidRPr="00DA249F">
        <w:rPr>
          <w:lang w:val="en-GB"/>
        </w:rPr>
        <w:t>seascape disturbance regimes,</w:t>
      </w:r>
      <w:r w:rsidR="00DB2B44">
        <w:rPr>
          <w:lang w:val="en-GB"/>
        </w:rPr>
        <w:t xml:space="preserve"> including</w:t>
      </w:r>
      <w:r w:rsidRPr="00DA249F">
        <w:rPr>
          <w:lang w:val="en-GB"/>
        </w:rPr>
        <w:t xml:space="preserve"> both intensification and reduction in disturbance intensity,</w:t>
      </w:r>
      <w:r w:rsidR="00066BF9" w:rsidRPr="00DA249F">
        <w:rPr>
          <w:lang w:val="en-GB"/>
        </w:rPr>
        <w:t xml:space="preserve"> </w:t>
      </w:r>
      <w:r w:rsidR="02997228" w:rsidRPr="00DA249F">
        <w:rPr>
          <w:lang w:val="en-GB"/>
        </w:rPr>
        <w:t xml:space="preserve">have </w:t>
      </w:r>
      <w:r w:rsidR="68262737" w:rsidRPr="00DA249F">
        <w:rPr>
          <w:lang w:val="en-GB"/>
        </w:rPr>
        <w:t>been</w:t>
      </w:r>
      <w:r w:rsidR="6DDAE3B4" w:rsidRPr="00DA249F">
        <w:rPr>
          <w:lang w:val="en-GB"/>
        </w:rPr>
        <w:t xml:space="preserve"> </w:t>
      </w:r>
      <w:r w:rsidR="02997228" w:rsidRPr="00DA249F">
        <w:rPr>
          <w:lang w:val="en-GB"/>
        </w:rPr>
        <w:t>u</w:t>
      </w:r>
      <w:r w:rsidR="30FD4D0A" w:rsidRPr="00DA249F">
        <w:rPr>
          <w:lang w:val="en-GB"/>
        </w:rPr>
        <w:t xml:space="preserve">biquitous </w:t>
      </w:r>
      <w:r w:rsidR="6D68FE62" w:rsidRPr="00DA249F">
        <w:rPr>
          <w:lang w:val="en-GB"/>
        </w:rPr>
        <w:t>in natural</w:t>
      </w:r>
      <w:r w:rsidR="00066BF9" w:rsidRPr="00DA249F">
        <w:rPr>
          <w:lang w:val="en-GB"/>
        </w:rPr>
        <w:t xml:space="preserve"> </w:t>
      </w:r>
      <w:r w:rsidR="15E4E080" w:rsidRPr="00DA249F">
        <w:rPr>
          <w:lang w:val="en-GB"/>
        </w:rPr>
        <w:t>ecosystems</w:t>
      </w:r>
      <w:r w:rsidR="34869409" w:rsidRPr="00DA249F">
        <w:rPr>
          <w:lang w:val="en-GB"/>
        </w:rPr>
        <w:t xml:space="preserve"> as a result of human activities</w:t>
      </w:r>
      <w:r w:rsidR="71AB8EC8" w:rsidRPr="00DA249F">
        <w:rPr>
          <w:lang w:val="en-GB"/>
        </w:rPr>
        <w:t>; for example o</w:t>
      </w:r>
      <w:r w:rsidR="18C0241D" w:rsidRPr="00DA249F">
        <w:rPr>
          <w:lang w:val="en-GB"/>
        </w:rPr>
        <w:t>ver 50</w:t>
      </w:r>
      <w:r w:rsidR="00DC74B5" w:rsidRPr="00DA249F">
        <w:rPr>
          <w:lang w:val="en-GB"/>
        </w:rPr>
        <w:t xml:space="preserve"> </w:t>
      </w:r>
      <w:r w:rsidR="004C77CD" w:rsidRPr="00DA249F">
        <w:rPr>
          <w:lang w:val="en-GB"/>
        </w:rPr>
        <w:t>per cent</w:t>
      </w:r>
      <w:r w:rsidR="18C0241D" w:rsidRPr="00DA249F">
        <w:rPr>
          <w:lang w:val="en-GB"/>
        </w:rPr>
        <w:t xml:space="preserve"> of the global land area ha</w:t>
      </w:r>
      <w:r w:rsidR="00DB2B44">
        <w:rPr>
          <w:lang w:val="en-GB"/>
        </w:rPr>
        <w:t>s</w:t>
      </w:r>
      <w:r w:rsidR="18C0241D" w:rsidRPr="00DA249F">
        <w:rPr>
          <w:lang w:val="en-GB"/>
        </w:rPr>
        <w:t xml:space="preserve"> experienced changed fire regimes, </w:t>
      </w:r>
      <w:r w:rsidR="5839539D" w:rsidRPr="00DA249F">
        <w:rPr>
          <w:lang w:val="en-GB"/>
        </w:rPr>
        <w:t>and fires are expect</w:t>
      </w:r>
      <w:r w:rsidR="00DB2B44">
        <w:rPr>
          <w:lang w:val="en-GB"/>
        </w:rPr>
        <w:t>ed</w:t>
      </w:r>
      <w:r w:rsidR="5839539D" w:rsidRPr="00DA249F">
        <w:rPr>
          <w:lang w:val="en-GB"/>
        </w:rPr>
        <w:t xml:space="preserve"> to become more common in </w:t>
      </w:r>
      <w:r w:rsidR="00DB2B44">
        <w:rPr>
          <w:lang w:val="en-GB"/>
        </w:rPr>
        <w:t>coming</w:t>
      </w:r>
      <w:r w:rsidR="5839539D" w:rsidRPr="00DA249F">
        <w:rPr>
          <w:lang w:val="en-GB"/>
        </w:rPr>
        <w:t xml:space="preserve"> decades as</w:t>
      </w:r>
      <w:r w:rsidR="18C0241D" w:rsidRPr="00DA249F">
        <w:rPr>
          <w:lang w:val="en-GB"/>
        </w:rPr>
        <w:t xml:space="preserve"> a </w:t>
      </w:r>
      <w:r w:rsidR="5839539D" w:rsidRPr="00DA249F">
        <w:rPr>
          <w:lang w:val="en-GB"/>
        </w:rPr>
        <w:t>result</w:t>
      </w:r>
      <w:r w:rsidR="18C0241D" w:rsidRPr="00DA249F">
        <w:rPr>
          <w:lang w:val="en-GB"/>
        </w:rPr>
        <w:t xml:space="preserve"> of </w:t>
      </w:r>
      <w:r w:rsidR="5839539D" w:rsidRPr="00DA249F">
        <w:rPr>
          <w:lang w:val="en-GB"/>
        </w:rPr>
        <w:t>climate change and increasing human occupation</w:t>
      </w:r>
      <w:r w:rsidR="59B3B2CF" w:rsidRPr="00DA249F">
        <w:rPr>
          <w:lang w:val="en-GB"/>
        </w:rPr>
        <w:t xml:space="preserve"> </w:t>
      </w:r>
      <w:r w:rsidR="006C5F97" w:rsidRPr="00DA249F">
        <w:rPr>
          <w:lang w:val="en-GB"/>
        </w:rPr>
        <w:fldChar w:fldCharType="begin"/>
      </w:r>
      <w:r w:rsidR="00331A79">
        <w:rPr>
          <w:lang w:val="en-GB"/>
        </w:rPr>
        <w:instrText xml:space="preserve"> ADDIN ZOTERO_ITEM CSL_CITATION {"citationID":"7bFLc3N8","properties":{"formattedCitation":"(IPBES, 2018b)","plainCitation":"(IPBES, 2018b)","noteIndex":0},"citationItems":[{"id":26990,"uris":["http://zotero.org/groups/2352922/items/GAJA8JQR"],"itemData":{"id":26990,"type":"report","abstract":"The Assessment Report on Land Degradation and Restoration by the Intergovernmental Science-Policy Platform on Biodiversity and Ecosystem Services (IPBES) provides a critical analysis of the state of knowledge regarding the importance, drivers, status, and trends of terrestrial ecosystems. The Report recognizes that combatting land degradation, which is a pervasive, systemic phenomenon occurring in all parts of the world, is an urgent priority in order to protect the biodiversity and ecosystem services that are vital to all life on Earth and to ensure human well-being. The Report identifies a mix of governance options, policies and management practices that can help support stakeholders working at all levels to reduce the negative environmental, social and economic consequences of land degradation and to rehabilitate and restore degraded land. The Report encompasses all the terrestrial regions and biomes of the world, recognizing that land degradation drivers and processes can vary in severity within regions and countries as much as between them, and includes the full range of human-altered systems, including but not limited to drylands, agricultural and agroforestry systems, savannahs and forests and aquatic systems associated with these areas.","event-place":"Bonn, Germany","language":"en","license":"Creative Commons Attribution 4.0 International, Open Access","note":"DOI: 10.5281/ZENODO.3237392","page":"744","publisher":"Secretariat of the Intergovernmental Science-Policy Platform on Biodiversity and Ecosystem Services","publisher-place":"Bonn, Germany","source":"DOI.org (Datacite)","title":"The IPBES assessment report on land degradation and restoration.","URL":"https://zenodo.org/record/3237392","author":[{"literal":"IPBES"}],"collection-editor":[{"family":"Montanarella","given":"Luca"},{"family":"Scholes","given":"Robert"},{"family":"Brainich","given":"Anastasia"}],"accessed":{"date-parts":[["2021",2,22]]},"issued":{"date-parts":[["2018"]]}},"label":"page"}],"schema":"https://github.com/citation-style-language/schema/raw/master/csl-citation.json"} </w:instrText>
      </w:r>
      <w:r w:rsidR="006C5F97" w:rsidRPr="00DA249F">
        <w:rPr>
          <w:lang w:val="en-GB"/>
        </w:rPr>
        <w:fldChar w:fldCharType="separate"/>
      </w:r>
      <w:r w:rsidR="00186371" w:rsidRPr="00186371">
        <w:t>(IPBES, 2018b)</w:t>
      </w:r>
      <w:r w:rsidR="006C5F97" w:rsidRPr="00DA249F">
        <w:rPr>
          <w:lang w:val="en-GB"/>
        </w:rPr>
        <w:fldChar w:fldCharType="end"/>
      </w:r>
      <w:r w:rsidR="164702C2" w:rsidRPr="00DA249F">
        <w:rPr>
          <w:lang w:val="en-GB"/>
        </w:rPr>
        <w:t>. Such changes</w:t>
      </w:r>
      <w:r w:rsidR="18C0241D" w:rsidRPr="00DA249F">
        <w:rPr>
          <w:lang w:val="en-GB"/>
        </w:rPr>
        <w:t xml:space="preserve"> </w:t>
      </w:r>
      <w:r w:rsidRPr="00DA249F">
        <w:rPr>
          <w:lang w:val="en-GB"/>
        </w:rPr>
        <w:t xml:space="preserve">may affect the capacity </w:t>
      </w:r>
      <w:r w:rsidR="004221FA">
        <w:rPr>
          <w:lang w:val="en-GB"/>
        </w:rPr>
        <w:t>of</w:t>
      </w:r>
      <w:r w:rsidR="004221FA" w:rsidRPr="00DA249F">
        <w:rPr>
          <w:lang w:val="en-GB"/>
        </w:rPr>
        <w:t xml:space="preserve"> </w:t>
      </w:r>
      <w:r w:rsidRPr="00DA249F">
        <w:rPr>
          <w:lang w:val="en-GB"/>
        </w:rPr>
        <w:t xml:space="preserve">invasive alien species to establish and thrive through direct effects of changes in disturbances. Effects may also be more indirect, through interfering with native competitors, </w:t>
      </w:r>
      <w:r w:rsidR="00735244" w:rsidRPr="00DA249F">
        <w:rPr>
          <w:lang w:val="en-GB"/>
        </w:rPr>
        <w:t>grazers,</w:t>
      </w:r>
      <w:r w:rsidRPr="00DA249F">
        <w:rPr>
          <w:lang w:val="en-GB"/>
        </w:rPr>
        <w:t xml:space="preserve"> or predators, or through the modification of fire frequencies or nutrient and water regimes </w:t>
      </w:r>
      <w:r w:rsidR="00CA0C6B" w:rsidRPr="00DA249F">
        <w:rPr>
          <w:rFonts w:eastAsia="Times New Roman"/>
          <w:lang w:val="en-GB"/>
        </w:rPr>
        <w:t>(</w:t>
      </w:r>
      <w:r w:rsidRPr="008C45CB">
        <w:rPr>
          <w:rFonts w:eastAsia="Times New Roman"/>
          <w:b/>
          <w:lang w:val="en-GB"/>
        </w:rPr>
        <w:t>section</w:t>
      </w:r>
      <w:r w:rsidR="00CD13E9" w:rsidRPr="008C45CB">
        <w:rPr>
          <w:rFonts w:eastAsia="Times New Roman"/>
          <w:b/>
          <w:lang w:val="en-GB"/>
        </w:rPr>
        <w:t>s</w:t>
      </w:r>
      <w:r w:rsidRPr="008C45CB">
        <w:rPr>
          <w:rFonts w:eastAsia="Times New Roman"/>
          <w:b/>
          <w:lang w:val="en-GB"/>
        </w:rPr>
        <w:t xml:space="preserve"> 3.3.4.</w:t>
      </w:r>
      <w:r w:rsidR="00945C67" w:rsidRPr="008C45CB">
        <w:rPr>
          <w:rFonts w:eastAsia="Times New Roman"/>
          <w:b/>
          <w:lang w:val="en-GB"/>
        </w:rPr>
        <w:t>5</w:t>
      </w:r>
      <w:r w:rsidRPr="008C45CB">
        <w:rPr>
          <w:rFonts w:eastAsia="Times New Roman"/>
          <w:lang w:val="en-GB"/>
        </w:rPr>
        <w:t>,</w:t>
      </w:r>
      <w:r w:rsidRPr="008C45CB">
        <w:rPr>
          <w:rFonts w:eastAsia="Times New Roman"/>
          <w:b/>
          <w:lang w:val="en-GB"/>
        </w:rPr>
        <w:t xml:space="preserve"> 3.3.3.1 </w:t>
      </w:r>
      <w:r w:rsidRPr="00DA249F">
        <w:rPr>
          <w:rFonts w:eastAsia="Times New Roman"/>
          <w:lang w:val="en-GB"/>
        </w:rPr>
        <w:t xml:space="preserve">and </w:t>
      </w:r>
      <w:r w:rsidRPr="008C45CB">
        <w:rPr>
          <w:rFonts w:eastAsia="Times New Roman"/>
          <w:b/>
          <w:lang w:val="en-GB"/>
        </w:rPr>
        <w:t>3.3</w:t>
      </w:r>
      <w:r w:rsidR="00983551" w:rsidRPr="008C45CB">
        <w:rPr>
          <w:rFonts w:eastAsia="Times New Roman"/>
          <w:b/>
          <w:lang w:val="en-GB"/>
        </w:rPr>
        <w:t>.1.5</w:t>
      </w:r>
      <w:r w:rsidRPr="00DA249F">
        <w:rPr>
          <w:rFonts w:eastAsia="Times New Roman"/>
          <w:lang w:val="en-GB"/>
        </w:rPr>
        <w:t xml:space="preserve"> respectively).</w:t>
      </w:r>
      <w:r w:rsidRPr="00DA249F">
        <w:rPr>
          <w:lang w:val="en-GB"/>
        </w:rPr>
        <w:t xml:space="preserve"> </w:t>
      </w:r>
      <w:r w:rsidR="00DB2B44">
        <w:rPr>
          <w:lang w:val="en-GB"/>
        </w:rPr>
        <w:t>At</w:t>
      </w:r>
      <w:r w:rsidRPr="00DA249F">
        <w:rPr>
          <w:lang w:val="en-GB"/>
        </w:rPr>
        <w:t xml:space="preserve"> broader spatial scales, changes in landscape-seascape disturbance regimes may affect invasive alien species through fragmenting landscapes, creating corridors, </w:t>
      </w:r>
      <w:r w:rsidR="00DB2B44">
        <w:rPr>
          <w:lang w:val="en-GB"/>
        </w:rPr>
        <w:t xml:space="preserve">the </w:t>
      </w:r>
      <w:r w:rsidRPr="00DA249F">
        <w:rPr>
          <w:lang w:val="en-GB"/>
        </w:rPr>
        <w:t>deploy</w:t>
      </w:r>
      <w:r w:rsidR="00DB2B44">
        <w:rPr>
          <w:lang w:val="en-GB"/>
        </w:rPr>
        <w:t>ment of</w:t>
      </w:r>
      <w:r w:rsidRPr="00DA249F">
        <w:rPr>
          <w:lang w:val="en-GB"/>
        </w:rPr>
        <w:t xml:space="preserve"> infrastructure, or degrading habitats</w:t>
      </w:r>
      <w:r w:rsidR="00DB2B44">
        <w:rPr>
          <w:lang w:val="en-GB"/>
        </w:rPr>
        <w:t>,</w:t>
      </w:r>
      <w:r w:rsidRPr="00DA249F">
        <w:rPr>
          <w:i/>
          <w:iCs/>
          <w:lang w:val="en-GB"/>
        </w:rPr>
        <w:t xml:space="preserve"> </w:t>
      </w:r>
      <w:r w:rsidRPr="00DA249F">
        <w:rPr>
          <w:lang w:val="en-GB"/>
        </w:rPr>
        <w:t xml:space="preserve">but also through protecting areas from disturbance, for example </w:t>
      </w:r>
      <w:r w:rsidR="00DB2B44">
        <w:rPr>
          <w:lang w:val="en-GB"/>
        </w:rPr>
        <w:t>in</w:t>
      </w:r>
      <w:r w:rsidRPr="00DA249F">
        <w:rPr>
          <w:lang w:val="en-GB"/>
        </w:rPr>
        <w:t xml:space="preserve"> </w:t>
      </w:r>
      <w:r w:rsidR="00DB2B44" w:rsidRPr="00DA249F">
        <w:rPr>
          <w:lang w:val="en-GB"/>
        </w:rPr>
        <w:t>designat</w:t>
      </w:r>
      <w:r w:rsidR="00DB2B44">
        <w:rPr>
          <w:lang w:val="en-GB"/>
        </w:rPr>
        <w:t>ed</w:t>
      </w:r>
      <w:r w:rsidR="00DB2B44" w:rsidRPr="00DA249F">
        <w:rPr>
          <w:lang w:val="en-GB"/>
        </w:rPr>
        <w:t xml:space="preserve"> </w:t>
      </w:r>
      <w:r w:rsidRPr="00DA249F">
        <w:rPr>
          <w:lang w:val="en-GB"/>
        </w:rPr>
        <w:t xml:space="preserve">protected areas </w:t>
      </w:r>
      <w:r w:rsidR="00EF3607" w:rsidRPr="00DA249F">
        <w:rPr>
          <w:lang w:val="en-GB"/>
        </w:rPr>
        <w:t>(</w:t>
      </w:r>
      <w:r w:rsidR="00EF3607" w:rsidRPr="008C45CB">
        <w:rPr>
          <w:b/>
          <w:lang w:val="en-GB"/>
        </w:rPr>
        <w:t xml:space="preserve">sections 3.3.1.2 </w:t>
      </w:r>
      <w:r w:rsidR="00983551" w:rsidRPr="008C45CB">
        <w:rPr>
          <w:iCs/>
          <w:lang w:val="en-GB"/>
        </w:rPr>
        <w:t>to</w:t>
      </w:r>
      <w:r w:rsidR="00EF3607" w:rsidRPr="008C45CB">
        <w:rPr>
          <w:b/>
          <w:lang w:val="en-GB"/>
        </w:rPr>
        <w:t xml:space="preserve"> 3.3.1.5</w:t>
      </w:r>
      <w:r w:rsidR="00EF3607" w:rsidRPr="00DA249F">
        <w:rPr>
          <w:lang w:val="en-GB"/>
        </w:rPr>
        <w:t>).</w:t>
      </w:r>
    </w:p>
    <w:p w14:paraId="29D14468" w14:textId="77777777" w:rsidR="00DC74B5" w:rsidRPr="00DA249F" w:rsidRDefault="00D132A7" w:rsidP="000D6CE1">
      <w:pPr>
        <w:rPr>
          <w:lang w:val="en-GB"/>
        </w:rPr>
      </w:pPr>
      <w:r w:rsidRPr="00DA249F">
        <w:rPr>
          <w:lang w:val="en-GB"/>
        </w:rPr>
        <w:t xml:space="preserve">In an observational study spanning 200 sites around the world, disturbance </w:t>
      </w:r>
      <w:r w:rsidRPr="00DA249F">
        <w:rPr>
          <w:i/>
          <w:iCs/>
          <w:lang w:val="en-GB"/>
        </w:rPr>
        <w:t>per se</w:t>
      </w:r>
      <w:r w:rsidRPr="00DA249F">
        <w:rPr>
          <w:lang w:val="en-GB"/>
        </w:rPr>
        <w:t xml:space="preserve"> </w:t>
      </w:r>
      <w:r w:rsidR="00DA300C" w:rsidRPr="00DA249F">
        <w:rPr>
          <w:lang w:val="en-GB"/>
        </w:rPr>
        <w:t xml:space="preserve">was found to be </w:t>
      </w:r>
      <w:r w:rsidRPr="00DA249F">
        <w:rPr>
          <w:lang w:val="en-GB"/>
        </w:rPr>
        <w:t>a weak predictor of plant invasion</w:t>
      </w:r>
      <w:r w:rsidR="00DA300C" w:rsidRPr="00DA249F">
        <w:rPr>
          <w:lang w:val="en-GB"/>
        </w:rPr>
        <w:t xml:space="preserve">s </w:t>
      </w:r>
      <w:r w:rsidR="00DA300C" w:rsidRPr="00DA249F">
        <w:rPr>
          <w:lang w:val="en-GB"/>
        </w:rPr>
        <w:fldChar w:fldCharType="begin"/>
      </w:r>
      <w:r w:rsidR="00331A79">
        <w:rPr>
          <w:lang w:val="en-GB"/>
        </w:rPr>
        <w:instrText xml:space="preserve"> ADDIN ZOTERO_ITEM CSL_CITATION {"citationID":"XAzaJFJA","properties":{"formattedCitation":"(Moles et al., 2012)","plainCitation":"(Moles et al., 2012)","noteIndex":0},"citationItems":[{"id":33084,"uris":["http://zotero.org/groups/2352922/items/8K9AKRQ7"],"itemData":{"id":33084,"type":"article-journal","container-title":"Journal of Ecology","DOI":"10.1111/j.1365-2745.2011.01915.x","ISSN":"00220477","issue":"1","language":"en","note":"number: 1\ncontainer-title: Journal of Ecology","page":"116-127","source":"DOI.org (Crossref)","title":"Invasions: the trail behind, the path ahead, and a test of a disturbing idea","title-short":"Invasions","URL":"http://doi.wiley.com/10.1111/j.1365-2745.2011.01915.x","volume":"100","author":[{"family":"Moles","given":"Angela T."},{"family":"Flores-Moreno","given":"Habacuc"},{"family":"Bonser","given":"Stephen P."},{"family":"Warton","given":"David I."},{"family":"Helm","given":"Aveliina"},{"family":"Warman","given":"Laura"},{"family":"Eldridge","given":"David J."},{"family":"Jurado","given":"Enrique"},{"family":"Hemmings","given":"Frank A."},{"family":"Reich","given":"Peter B."},{"family":"Cavender-Bares","given":"Jeannine"},{"family":"Seabloom","given":"Eric W."},{"family":"Mayfield","given":"Margaret M."},{"family":"Sheil","given":"Douglas"},{"family":"Djietror","given":"Jonathan C."},{"family":"Peri","given":"Pablo L."},{"family":"Enrico","given":"Lucas"},{"family":"Cabido","given":"Marcelo R."},{"family":"Setterfield","given":"Samantha A."},{"family":"Lehmann","given":"Caroline E. R."},{"family":"Thomson","given":"Fiona J."}],"accessed":{"date-parts":[["2019",12,5]]},"issued":{"date-parts":[["2012",1]]}},"label":"page"}],"schema":"https://github.com/citation-style-language/schema/raw/master/csl-citation.json"} </w:instrText>
      </w:r>
      <w:r w:rsidR="00DA300C" w:rsidRPr="00DA249F">
        <w:rPr>
          <w:lang w:val="en-GB"/>
        </w:rPr>
        <w:fldChar w:fldCharType="separate"/>
      </w:r>
      <w:r w:rsidR="00144D96" w:rsidRPr="00144D96">
        <w:t>(Moles et al., 2012)</w:t>
      </w:r>
      <w:r w:rsidR="00DA300C" w:rsidRPr="00DA249F">
        <w:rPr>
          <w:lang w:val="en-GB"/>
        </w:rPr>
        <w:fldChar w:fldCharType="end"/>
      </w:r>
      <w:r w:rsidRPr="00DA249F">
        <w:rPr>
          <w:lang w:val="en-GB"/>
        </w:rPr>
        <w:t xml:space="preserve">. </w:t>
      </w:r>
      <w:r w:rsidR="00DD3683" w:rsidRPr="00DA249F">
        <w:rPr>
          <w:lang w:val="en-GB"/>
        </w:rPr>
        <w:t xml:space="preserve">An older literature survey </w:t>
      </w:r>
      <w:r w:rsidR="00DD3683" w:rsidRPr="00DA249F">
        <w:rPr>
          <w:lang w:val="en-GB"/>
        </w:rPr>
        <w:fldChar w:fldCharType="begin"/>
      </w:r>
      <w:r w:rsidR="00331A79">
        <w:rPr>
          <w:lang w:val="en-GB"/>
        </w:rPr>
        <w:instrText xml:space="preserve"> ADDIN ZOTERO_ITEM CSL_CITATION {"citationID":"YDI5VKYp","properties":{"formattedCitation":"(Lozon &amp; MacIsaac, 1997)","plainCitation":"(Lozon &amp; MacIsaac, 1997)","noteIndex":0},"citationItems":[{"id":27176,"uris":["http://zotero.org/groups/2352922/items/RNGH3ZB6"],"itemData":{"id":27176,"type":"article-journal","abstract":"We utilize literature surveys to examine the relationship between establishment of exotic species and human or natural disturbances of ecosystems. Of the 133 papers published in 10 ecological journals between 1993 and 1995, 63 reported on field studies involving 299 and 103 successful, nonredundant plant and animal introductions, respectively. Invasions of terrestrial ecosystems dominated (&gt;&gt;97%) the surveyed literature. Disturbance was associated with establishment of exotic species in 56% of these studies, though its importance differed among papers describing plants (68%) and animals (28%). Plants species (86%) were significantly more dependent on disturbance for establishment than were animals (12%). However, animals and plants that were dependent on disturbance for establishment were almost equally dependent (58 versus 68%) on it for range expansion. In a second survey, 402 plant and 103 animal taxa were identified that explicitly linked establishment of exotic species to disturbance. Human activities were attributed with establishment of species in 97 and 57% of these cases, respectively. Common mechanisms associated with establishment of exotic animals included ballast water discharge, intentional releases, and residential development. Establishment of exotic plants was associated with animal activities (e.g., grazing, seed introduction), soil disturbance, forestry, fire, agriculture, and human activities. In contrast to invasions theory, our survey indicates that the association between establishment and spread of exotic species and disturbance ought not be assumed a priori. Some animals repeatedly invade new habitats once geographic barriers are circumvented, indicating that communities may be more receptive to exotic species than previously acknowledged. By contrast, introduced plants established most often in disturbed habitats.","container-title":"Environmental Reviews","DOI":"10.1139/a97-007","ISSN":"1181-8700, 1208-6053","issue":"2","journalAbbreviation":"Environ. Rev.","language":"en","page":"131-144","source":"DOI.org (Crossref)","title":"Biological invasions: are they dependent on disturbance?","title-short":"Biological invasions","URL":"http://www.nrcresearchpress.com/doi/10.1139/a97-007","volume":"5","author":[{"family":"Lozon","given":"J D"},{"family":"MacIsaac","given":"H J"}],"accessed":{"date-parts":[["2021",6,21]]},"issued":{"date-parts":[["1997",6,2]]}},"label":"page"}],"schema":"https://github.com/citation-style-language/schema/raw/master/csl-citation.json"} </w:instrText>
      </w:r>
      <w:r w:rsidR="00DD3683" w:rsidRPr="00DA249F">
        <w:rPr>
          <w:lang w:val="en-GB"/>
        </w:rPr>
        <w:fldChar w:fldCharType="separate"/>
      </w:r>
      <w:r w:rsidR="00144D96" w:rsidRPr="00144D96">
        <w:t>(Lozon &amp; MacIsaac, 1997)</w:t>
      </w:r>
      <w:r w:rsidR="00DD3683" w:rsidRPr="00DA249F">
        <w:rPr>
          <w:lang w:val="en-GB"/>
        </w:rPr>
        <w:fldChar w:fldCharType="end"/>
      </w:r>
      <w:r w:rsidR="00DD3683" w:rsidRPr="00DA249F">
        <w:rPr>
          <w:lang w:val="en-GB"/>
        </w:rPr>
        <w:t xml:space="preserve"> found a greater importance of disturbance for successful </w:t>
      </w:r>
      <w:r w:rsidR="00DA300C" w:rsidRPr="00DA249F">
        <w:rPr>
          <w:lang w:val="en-GB"/>
        </w:rPr>
        <w:t xml:space="preserve">plant </w:t>
      </w:r>
      <w:r w:rsidR="00DD3683" w:rsidRPr="00DA249F">
        <w:rPr>
          <w:lang w:val="en-GB"/>
        </w:rPr>
        <w:t>invasion</w:t>
      </w:r>
      <w:r w:rsidR="00DA300C" w:rsidRPr="00DA249F">
        <w:rPr>
          <w:lang w:val="en-GB"/>
        </w:rPr>
        <w:t>s</w:t>
      </w:r>
      <w:r w:rsidR="00DD3683" w:rsidRPr="00DA249F">
        <w:rPr>
          <w:lang w:val="en-GB"/>
        </w:rPr>
        <w:t xml:space="preserve"> (</w:t>
      </w:r>
      <w:r w:rsidR="003564E6">
        <w:rPr>
          <w:lang w:val="en-GB"/>
        </w:rPr>
        <w:t xml:space="preserve">implicated in </w:t>
      </w:r>
      <w:r w:rsidR="00DD3683" w:rsidRPr="00DA249F">
        <w:rPr>
          <w:lang w:val="en-GB"/>
        </w:rPr>
        <w:t>67</w:t>
      </w:r>
      <w:r w:rsidR="00DC74B5" w:rsidRPr="00DA249F">
        <w:rPr>
          <w:lang w:val="en-GB"/>
        </w:rPr>
        <w:t xml:space="preserve"> </w:t>
      </w:r>
      <w:r w:rsidR="004C77CD" w:rsidRPr="00DA249F">
        <w:rPr>
          <w:lang w:val="en-GB"/>
        </w:rPr>
        <w:t>per cent</w:t>
      </w:r>
      <w:r w:rsidR="003564E6">
        <w:rPr>
          <w:lang w:val="en-GB"/>
        </w:rPr>
        <w:t xml:space="preserve"> of disturbance caused by invasive alien species</w:t>
      </w:r>
      <w:r w:rsidR="00DD3683" w:rsidRPr="00DA249F">
        <w:rPr>
          <w:lang w:val="en-GB"/>
        </w:rPr>
        <w:t>) than by animals (</w:t>
      </w:r>
      <w:r w:rsidR="003564E6">
        <w:rPr>
          <w:lang w:val="en-GB"/>
        </w:rPr>
        <w:t xml:space="preserve">implicated in </w:t>
      </w:r>
      <w:r w:rsidR="00DD3683" w:rsidRPr="00DA249F">
        <w:rPr>
          <w:lang w:val="en-GB"/>
        </w:rPr>
        <w:t>28</w:t>
      </w:r>
      <w:r w:rsidR="00DC74B5" w:rsidRPr="00DA249F">
        <w:rPr>
          <w:lang w:val="en-GB"/>
        </w:rPr>
        <w:t xml:space="preserve"> </w:t>
      </w:r>
      <w:r w:rsidR="004C77CD" w:rsidRPr="00DA249F">
        <w:rPr>
          <w:lang w:val="en-GB"/>
        </w:rPr>
        <w:t>per cent</w:t>
      </w:r>
      <w:r w:rsidR="003564E6">
        <w:rPr>
          <w:lang w:val="en-GB"/>
        </w:rPr>
        <w:t xml:space="preserve"> of disturbance caused by invasive alien species</w:t>
      </w:r>
      <w:r w:rsidR="00DD3683" w:rsidRPr="00DA249F">
        <w:rPr>
          <w:lang w:val="en-GB"/>
        </w:rPr>
        <w:t>), particularly during the establishment phase (86</w:t>
      </w:r>
      <w:r w:rsidR="00DC74B5" w:rsidRPr="00DA249F">
        <w:rPr>
          <w:lang w:val="en-GB"/>
        </w:rPr>
        <w:t xml:space="preserve"> </w:t>
      </w:r>
      <w:r w:rsidR="004C77CD" w:rsidRPr="00DA249F">
        <w:rPr>
          <w:lang w:val="en-GB"/>
        </w:rPr>
        <w:t>per cent</w:t>
      </w:r>
      <w:r w:rsidR="00DD3683" w:rsidRPr="00DA249F">
        <w:rPr>
          <w:lang w:val="en-GB"/>
        </w:rPr>
        <w:t xml:space="preserve"> vs. 12</w:t>
      </w:r>
      <w:r w:rsidR="00DC74B5" w:rsidRPr="00DA249F">
        <w:rPr>
          <w:lang w:val="en-GB"/>
        </w:rPr>
        <w:t xml:space="preserve"> </w:t>
      </w:r>
      <w:r w:rsidR="004C77CD" w:rsidRPr="00DA249F">
        <w:rPr>
          <w:lang w:val="en-GB"/>
        </w:rPr>
        <w:t>per cent</w:t>
      </w:r>
      <w:r w:rsidR="00DD3683" w:rsidRPr="00DA249F">
        <w:rPr>
          <w:lang w:val="en-GB"/>
        </w:rPr>
        <w:t xml:space="preserve"> relied on disturbance for plants vs. animals)</w:t>
      </w:r>
      <w:r w:rsidR="00040AB1" w:rsidRPr="00DA249F">
        <w:rPr>
          <w:lang w:val="en-GB"/>
        </w:rPr>
        <w:t xml:space="preserve">. </w:t>
      </w:r>
      <w:r w:rsidR="00DD3683" w:rsidRPr="00DA249F">
        <w:rPr>
          <w:lang w:val="en-GB"/>
        </w:rPr>
        <w:t xml:space="preserve">The </w:t>
      </w:r>
      <w:r w:rsidR="00465D53" w:rsidRPr="00DA249F">
        <w:rPr>
          <w:lang w:val="en-GB"/>
        </w:rPr>
        <w:t>role</w:t>
      </w:r>
      <w:r w:rsidR="00DD3683" w:rsidRPr="00DA249F">
        <w:rPr>
          <w:lang w:val="en-GB"/>
        </w:rPr>
        <w:t xml:space="preserve"> of landscape disturbance </w:t>
      </w:r>
      <w:r w:rsidR="00465D53" w:rsidRPr="00DA249F">
        <w:rPr>
          <w:lang w:val="en-GB"/>
        </w:rPr>
        <w:t>in influencing</w:t>
      </w:r>
      <w:r w:rsidR="00DD3683" w:rsidRPr="00DA249F">
        <w:rPr>
          <w:lang w:val="en-GB"/>
        </w:rPr>
        <w:t xml:space="preserve"> microbial </w:t>
      </w:r>
      <w:r w:rsidR="00DC74B5" w:rsidRPr="00DA249F">
        <w:rPr>
          <w:lang w:val="en-GB"/>
        </w:rPr>
        <w:t xml:space="preserve">invasive alien species </w:t>
      </w:r>
      <w:r w:rsidR="00DD3683" w:rsidRPr="00DA249F">
        <w:rPr>
          <w:lang w:val="en-GB"/>
        </w:rPr>
        <w:t>is far less understood than for macro-organisms,</w:t>
      </w:r>
      <w:r w:rsidR="00B01FF1" w:rsidRPr="00DA249F">
        <w:rPr>
          <w:lang w:val="en-GB"/>
        </w:rPr>
        <w:t xml:space="preserve"> </w:t>
      </w:r>
      <w:r w:rsidR="00DD3683" w:rsidRPr="00DA249F">
        <w:rPr>
          <w:lang w:val="en-GB"/>
        </w:rPr>
        <w:t xml:space="preserve">but the literature that exists suggests patterns remain similar with sites of high disturbance, anthropogenic impact, fluctuating resource supplies and release from predators resulting in increased establishment of invasive </w:t>
      </w:r>
      <w:r w:rsidR="00DC74B5" w:rsidRPr="00DA249F">
        <w:rPr>
          <w:lang w:val="en-GB"/>
        </w:rPr>
        <w:t xml:space="preserve">alien </w:t>
      </w:r>
      <w:r w:rsidR="00DD3683" w:rsidRPr="00DA249F">
        <w:rPr>
          <w:lang w:val="en-GB"/>
        </w:rPr>
        <w:t xml:space="preserve">microbial species </w:t>
      </w:r>
      <w:r w:rsidR="00DD3683" w:rsidRPr="00DA249F">
        <w:rPr>
          <w:lang w:val="en-GB"/>
        </w:rPr>
        <w:fldChar w:fldCharType="begin"/>
      </w:r>
      <w:r w:rsidR="00331A79">
        <w:rPr>
          <w:lang w:val="en-GB"/>
        </w:rPr>
        <w:instrText xml:space="preserve"> ADDIN ZOTERO_ITEM CSL_CITATION {"citationID":"Zr4dnsbZ","properties":{"formattedCitation":"(Litchman, 2010)","plainCitation":"(Litchman, 2010)","noteIndex":0},"citationItems":[{"id":32946,"uris":["http://zotero.org/groups/2352922/items/HGYK6JKU"],"itemData":{"id":32946,"type":"article-journal","abstract":"Although the number of studies on invasive plants and animals has risen exponentially, little is known about invasive microbes, especially non-pathogenic ones. Microbial invasions by viruses, bacteria, fungi and protists occur worldwide but are much harder to detect than invasions by macroorganisms. Invasive microbes have the potential to signiﬁcantly alter community structure and ecosystem functioning in diverse terrestrial and aquatic ecosystems. Consequently, increased attention is needed on non-pathogenic invasive microbes, both free-living and symbiotic, and their impacts on communities and ecosystems. Major unknowns include the characteristics that make microbes invasive and properties of the resident communities and the environment that facilitate invasions. A comparison of microbial invasions with invasions of macroorganisms should provide valuable insights into general principles that apply to invasions across all domains of life and to taxon-speciﬁc invasion patterns. Invasive microbes appear to possess traits thought to be common in many invasive macroorganisms: high growth rate and resource utilization efﬁciency, and superior competitive abilities. Invading microorganisms are often similar to native species, but with enhanced performance traits, and tend to spread in lower diversity communities. Global change can exacerbate microbial invasions; therefore, they will likely increase in the future.","container-title":"Ecology Letters","DOI":"10.1111/j.1461-0248.2010.01544.x","ISSN":"1461023X","issue":"12","language":"en","page":"1560-1572","source":"DOI.org (Crossref)","title":"Invisible invaders: non-pathogenic invasive microbes in aquatic and terrestrial ecosystems","title-short":"Invisible invaders","URL":"http://doi.wiley.com/10.1111/j.1461-0248.2010.01544.x","volume":"13","author":[{"family":"Litchman","given":"Elena"}],"accessed":{"date-parts":[["2020",8,15]]},"issued":{"date-parts":[["2010",12]]}},"label":"page"}],"schema":"https://github.com/citation-style-language/schema/raw/master/csl-citation.json"} </w:instrText>
      </w:r>
      <w:r w:rsidR="00DD3683" w:rsidRPr="00DA249F">
        <w:rPr>
          <w:lang w:val="en-GB"/>
        </w:rPr>
        <w:fldChar w:fldCharType="separate"/>
      </w:r>
      <w:r w:rsidR="00144D96" w:rsidRPr="00144D96">
        <w:t>(Litchman, 2010)</w:t>
      </w:r>
      <w:r w:rsidR="00DD3683" w:rsidRPr="00DA249F">
        <w:rPr>
          <w:lang w:val="en-GB"/>
        </w:rPr>
        <w:fldChar w:fldCharType="end"/>
      </w:r>
      <w:r w:rsidR="00DD3683" w:rsidRPr="00DA249F">
        <w:rPr>
          <w:lang w:val="en-GB"/>
        </w:rPr>
        <w:t xml:space="preserve">. </w:t>
      </w:r>
      <w:r w:rsidR="0055030B" w:rsidRPr="00DA249F">
        <w:rPr>
          <w:lang w:val="en-GB"/>
        </w:rPr>
        <w:t xml:space="preserve">Overall, </w:t>
      </w:r>
      <w:r w:rsidR="006E18B3" w:rsidRPr="00DA249F">
        <w:rPr>
          <w:lang w:val="en-GB"/>
        </w:rPr>
        <w:t xml:space="preserve">increased landscape </w:t>
      </w:r>
      <w:r w:rsidR="003C0E29" w:rsidRPr="00DA249F">
        <w:rPr>
          <w:lang w:val="en-GB"/>
        </w:rPr>
        <w:t xml:space="preserve">disturbance </w:t>
      </w:r>
      <w:r w:rsidR="006E18B3" w:rsidRPr="00DA249F">
        <w:rPr>
          <w:i/>
          <w:iCs/>
          <w:lang w:val="en-GB"/>
        </w:rPr>
        <w:t>per se</w:t>
      </w:r>
      <w:r w:rsidR="006E18B3" w:rsidRPr="00DA249F">
        <w:rPr>
          <w:lang w:val="en-GB"/>
        </w:rPr>
        <w:t xml:space="preserve"> </w:t>
      </w:r>
      <w:r w:rsidR="00D82126" w:rsidRPr="00DA249F">
        <w:rPr>
          <w:lang w:val="en-GB"/>
        </w:rPr>
        <w:t xml:space="preserve">hence seems to have a weak but positive </w:t>
      </w:r>
      <w:r w:rsidR="00F46F5B" w:rsidRPr="00DA249F">
        <w:rPr>
          <w:lang w:val="en-GB"/>
        </w:rPr>
        <w:t>role in facilitating</w:t>
      </w:r>
      <w:r w:rsidR="00D82126" w:rsidRPr="00DA249F">
        <w:rPr>
          <w:lang w:val="en-GB"/>
        </w:rPr>
        <w:t xml:space="preserve"> invasions. </w:t>
      </w:r>
    </w:p>
    <w:p w14:paraId="5C3A1A7A" w14:textId="7DDD284B" w:rsidR="005C0CC7" w:rsidRPr="00DA249F" w:rsidRDefault="01C5CFA9" w:rsidP="5575EBFC">
      <w:pPr>
        <w:rPr>
          <w:lang w:val="en-GB"/>
        </w:rPr>
      </w:pPr>
      <w:r w:rsidRPr="5575EBFC">
        <w:rPr>
          <w:lang w:val="en-GB"/>
        </w:rPr>
        <w:lastRenderedPageBreak/>
        <w:t xml:space="preserve">A more nuanced analysis focusing on changes in disturbance regimes, however, </w:t>
      </w:r>
      <w:r w:rsidR="21A322D3" w:rsidRPr="5575EBFC">
        <w:rPr>
          <w:lang w:val="en-GB"/>
        </w:rPr>
        <w:t xml:space="preserve">can </w:t>
      </w:r>
      <w:r w:rsidRPr="5575EBFC">
        <w:rPr>
          <w:lang w:val="en-GB"/>
        </w:rPr>
        <w:t>provide better predictive power</w:t>
      </w:r>
      <w:r w:rsidR="21A322D3" w:rsidRPr="5575EBFC">
        <w:rPr>
          <w:lang w:val="en-GB"/>
        </w:rPr>
        <w:t xml:space="preserve"> than disturbance regime </w:t>
      </w:r>
      <w:r w:rsidR="21A322D3" w:rsidRPr="5575EBFC">
        <w:rPr>
          <w:i/>
          <w:iCs/>
          <w:lang w:val="en-GB"/>
        </w:rPr>
        <w:t>per se</w:t>
      </w:r>
      <w:r w:rsidRPr="5575EBFC">
        <w:rPr>
          <w:lang w:val="en-GB"/>
        </w:rPr>
        <w:t xml:space="preserve">. </w:t>
      </w:r>
      <w:r w:rsidR="533DFEB8" w:rsidRPr="5575EBFC">
        <w:rPr>
          <w:lang w:val="en-GB"/>
        </w:rPr>
        <w:t>S</w:t>
      </w:r>
      <w:r w:rsidR="022D6864" w:rsidRPr="5575EBFC">
        <w:rPr>
          <w:lang w:val="en-GB"/>
        </w:rPr>
        <w:t>everal reviews</w:t>
      </w:r>
      <w:r w:rsidRPr="5575EBFC">
        <w:rPr>
          <w:lang w:val="en-GB"/>
        </w:rPr>
        <w:t xml:space="preserve"> </w:t>
      </w:r>
      <w:r w:rsidR="62446EB9" w:rsidRPr="5575EBFC">
        <w:rPr>
          <w:lang w:val="en-GB"/>
        </w:rPr>
        <w:t>have found</w:t>
      </w:r>
      <w:r w:rsidRPr="5575EBFC">
        <w:rPr>
          <w:lang w:val="en-GB"/>
        </w:rPr>
        <w:t xml:space="preserve"> that changes in land-use regimes, and in particular in human-mediated disturbance regimes</w:t>
      </w:r>
      <w:r w:rsidR="61D02FA9" w:rsidRPr="5575EBFC">
        <w:rPr>
          <w:lang w:val="en-GB"/>
        </w:rPr>
        <w:t xml:space="preserve"> related to fire, grazing</w:t>
      </w:r>
      <w:r w:rsidR="00774819">
        <w:rPr>
          <w:lang w:val="en-GB"/>
        </w:rPr>
        <w:t xml:space="preserve"> and</w:t>
      </w:r>
      <w:r w:rsidR="61D02FA9" w:rsidRPr="5575EBFC">
        <w:rPr>
          <w:lang w:val="en-GB"/>
        </w:rPr>
        <w:t xml:space="preserve"> agriculture</w:t>
      </w:r>
      <w:r w:rsidRPr="5575EBFC">
        <w:rPr>
          <w:lang w:val="en-GB"/>
        </w:rPr>
        <w:t xml:space="preserve">, facilitate plant invasions through both direct and indirect pathways </w:t>
      </w:r>
      <w:r w:rsidR="00D132A7" w:rsidRPr="5575EBFC">
        <w:rPr>
          <w:lang w:val="en-GB"/>
        </w:rPr>
        <w:fldChar w:fldCharType="begin"/>
      </w:r>
      <w:r w:rsidR="00331A79">
        <w:rPr>
          <w:lang w:val="en-GB"/>
        </w:rPr>
        <w:instrText xml:space="preserve"> ADDIN ZOTERO_ITEM CSL_CITATION {"citationID":"XBYIMkEi","properties":{"formattedCitation":"(Jauni et al., 2015; Moore, 2005; Vil\\uc0\\u224{} &amp; Ib\\uc0\\u225{}\\uc0\\u241{}ez, 2011)","plainCitation":"(Jauni et al., 2015; Moore, 2005; Vilà &amp; Ibáñez, 2011)","noteIndex":0},"citationItems":[{"id":9742,"uris":["http://zotero.org/groups/2352922/items/8FCFNBJQ"],"itemData":{"id":9742,"type":"article-journal","abstract":"Disturbances, such as fire and grazing, are often claimed to facilitate plant species richness and plant invasions in particular, although empirical evidence is contradictory. We conducted a meta-analysis to synthesize the literature on how non-native plant species are affected by disturbances. We explored whether the observed impact of disturbance on non-native plant communities is related to its type and frequency, to habitat type, study approach (observational or experimental), and to the temporal and spatial scales of the study. To put the results in a broader context, we also conducted a set of parallel analyses on a data set involving native plant species. The diversity and abundance of non-native plant species were significantly higher at disturbed sites than at undisturbed sites, while the diversity and abundance of native plant species did not differ between the two types of sites. The effect of disturbance on non-native plant species depended on the measure used to evaluate the impact (species diversity or abundance) and on disturbance type, with grazing and anthropogenic disturbances leading to higher diversity and abundance of non-native plant species than other disturbance types examined. The impact of disturbance on non-natives was also associated with study approach, habitat type and temporal scale, but these factors covaried with disturbance type, complicating the interpretation of the results. Overall, our results indicate that disturbance has a positive impact particularly on non-native plant species (at least when they are already present in the community), and that the strength of this impact depends primarily on the disturbance type. Synthesis Empirical evidence of the effect of disturbances on plant species richness is contradictory. Here we use a meta-analysis to synthesize the published literature on how different types of disturbances influence the diversity and abundance of plant species, focusing in particular on non-native plants. Our study supports the hypothesis that disturbances generally facilitate the diversity and abundance of non-native plant species, although the strength of this facilitation depends primarily on the disturbance type.","container-title":"Oikos","DOI":"10.1111/oik.01416","ISSN":"1600-0706","issue":"2","language":"en","license":"© 2014 The Authors","page":"122-129","source":"Wiley Online Library","title":"Non-native plant species benefit from disturbance: a meta-analysis","title-short":"Non-native plant species benefit from disturbance","URL":"https://onlinelibrary.wiley.com/doi/abs/10.1111/oik.01416","volume":"124","author":[{"family":"Jauni","given":"Miia"},{"family":"Gripenberg","given":"Sofia"},{"family":"Ramula","given":"Satu"}],"accessed":{"date-parts":[["2019",9,25]]},"issued":{"date-parts":[["2015"]]}},"label":"page"},{"id":30843,"uris":["http://zotero.org/groups/2352922/items/C2P42ZX8"],"itemData":{"id":30843,"type":"report","collection-title":"Forest Resources Development Service Working Paper FBS/8E","event-place":"Rome, Italy","genre":"Working Paper","number":"8","publisher":"Forest Resources Division FAO","publisher-place":"Rome, Italy","title":"Alien Invasive Species: Impacts on Forests and Forestry - A Review","URL":"https://www.fao.org/3/j6854e/j6854e00.htm","author":[{"family":"Moore","given":"Beverly A."}],"accessed":{"date-parts":[["2021",10,22]]},"issued":{"date-parts":[["2005",11]]}},"label":"page"},{"id":32871,"uris":["http://zotero.org/groups/2352922/items/UWVPQ6H9"],"itemData":{"id":32871,"type":"article-journal","container-title":"Landscape Ecology","DOI":"10.1007/s10980-011-9585-3","ISSN":"0921-2973, 1572-9761","issue":"4","journalAbbreviation":"Landscape Ecol","language":"en","note":"number: 4\ncontainer-title: Landscape Ecology","page":"461-472","source":"DOI.org (Crossref)","title":"Plant invasions in the landscape","URL":"http://link.springer.com/10.1007/s10980-011-9585-3","volume":"26","author":[{"family":"Vilà","given":"Montserrat"},{"family":"Ibáñez","given":"Inés"}],"accessed":{"date-parts":[["2019",12,5]]},"issued":{"date-parts":[["2011",4]]}},"label":"page"}],"schema":"https://github.com/citation-style-language/schema/raw/master/csl-citation.json"} </w:instrText>
      </w:r>
      <w:r w:rsidR="00D132A7" w:rsidRPr="5575EBFC">
        <w:rPr>
          <w:lang w:val="en-GB"/>
        </w:rPr>
        <w:fldChar w:fldCharType="separate"/>
      </w:r>
      <w:r w:rsidR="6B5F9B9E">
        <w:t>(Jauni et al., 2015; Moore, 2005; Vilà &amp; Ibáñez, 2011)</w:t>
      </w:r>
      <w:r w:rsidR="00D132A7" w:rsidRPr="5575EBFC">
        <w:rPr>
          <w:lang w:val="en-GB"/>
        </w:rPr>
        <w:fldChar w:fldCharType="end"/>
      </w:r>
      <w:r w:rsidRPr="5575EBFC">
        <w:rPr>
          <w:lang w:val="en-GB"/>
        </w:rPr>
        <w:t>. Experimental studies support these o</w:t>
      </w:r>
      <w:r w:rsidR="42625A7D" w:rsidRPr="5575EBFC">
        <w:rPr>
          <w:lang w:val="en-GB"/>
        </w:rPr>
        <w:t>bservations, frequently indicat</w:t>
      </w:r>
      <w:r w:rsidRPr="5575EBFC">
        <w:rPr>
          <w:lang w:val="en-GB"/>
        </w:rPr>
        <w:t xml:space="preserve">ing that changes </w:t>
      </w:r>
      <w:r w:rsidR="688B7716" w:rsidRPr="5575EBFC">
        <w:rPr>
          <w:lang w:val="en-GB"/>
        </w:rPr>
        <w:t>to</w:t>
      </w:r>
      <w:r w:rsidRPr="5575EBFC">
        <w:rPr>
          <w:lang w:val="en-GB"/>
        </w:rPr>
        <w:t xml:space="preserve"> disturbance regimes, both increases and decreases in disturbance frequency and intensity</w:t>
      </w:r>
      <w:r w:rsidR="49222F42" w:rsidRPr="5575EBFC">
        <w:rPr>
          <w:lang w:val="en-GB"/>
        </w:rPr>
        <w:t xml:space="preserve"> relative to natural or historic levels</w:t>
      </w:r>
      <w:r w:rsidRPr="5575EBFC">
        <w:rPr>
          <w:lang w:val="en-GB"/>
        </w:rPr>
        <w:t xml:space="preserve">, and in particular the introduction of novel </w:t>
      </w:r>
      <w:r w:rsidR="1E96E386" w:rsidRPr="5575EBFC">
        <w:rPr>
          <w:lang w:val="en-GB"/>
        </w:rPr>
        <w:t>disturbance</w:t>
      </w:r>
      <w:r w:rsidR="7ADFFE51" w:rsidRPr="5575EBFC">
        <w:rPr>
          <w:lang w:val="en-GB"/>
        </w:rPr>
        <w:t xml:space="preserve"> types</w:t>
      </w:r>
      <w:r w:rsidRPr="5575EBFC">
        <w:rPr>
          <w:lang w:val="en-GB"/>
        </w:rPr>
        <w:t xml:space="preserve">, provide opportunities for alien plant species to establish </w:t>
      </w:r>
      <w:r w:rsidR="00D132A7" w:rsidRPr="5575EBFC">
        <w:rPr>
          <w:lang w:val="en-GB"/>
        </w:rPr>
        <w:fldChar w:fldCharType="begin"/>
      </w:r>
      <w:r w:rsidR="00331A79">
        <w:rPr>
          <w:lang w:val="en-GB"/>
        </w:rPr>
        <w:instrText xml:space="preserve"> ADDIN ZOTERO_ITEM CSL_CITATION {"citationID":"rqIMGOsF","properties":{"formattedCitation":"(Kempel et al., 2013)","plainCitation":"(Kempel et al., 2013)","noteIndex":0},"citationItems":[{"id":25318,"uris":["http://zotero.org/groups/2352922/items/U6KI6AJW"],"itemData":{"id":25318,"type":"article-journal","abstract":"Determinants of plant establishment and invasion are a key issue in ecology and evolution. Although establishment success varies substantially among species, the importance of species traits and extrinsic factors as determinants of establishment in existing communities has remained difficult to prove in observational studies because they can be confounded and mask each other. Therefore, we conducted a large multispecies field experiment to disentangle the relative importance of extrinsic factors vs. species characteristics for the establishment success of plants in grasslands. We introduced 48 alien and 45 native plant species at different seed numbers into multiple grassland sites with or without experimental soil disturbance and related their establishment success to species traits assessed in five independent multispecies greenhouse experiments. High propagule pressure and high seed mass were the most important factors increasing establishment success in the very beginning of the experiment. However, after 3 y, propagule pressure became less important, and species traits related to biotic interactions (including herbivore resistance and responses to shading and competition) became the most important drivers of success or failure. The relative importance of different traits was environment-dependent and changed over time. Our approach of combining a multispecies introduction experiment in the field with trait data from independent multispecies experiments in the greenhouse allowed us to detect the relative importance of species traits for early establishment and provided evidence that species traits—fine-tuned by environmental factors—determine success or failure of alien and native plants in temperate grasslands.","container-title":"Proceedings of the National Academy of Sciences","DOI":"10.1073/pnas.1300481110","ISSN":"0027-8424, 1091-6490","issue":"31","journalAbbreviation":"PNAS","language":"en","note":"PMID: 23858466","page":"12727-12732","source":"www.pnas.org","title":"Determinants of plant establishment success in a multispecies introduction experiment with native and alien species","URL":"https://www.pnas.org/content/110/31/12727","volume":"110","author":[{"family":"Kempel","given":"Anne"},{"family":"Chrobock","given":"Thomas"},{"family":"Fischer","given":"Markus"},{"family":"Rohr","given":"Rudolf Philippe"},{"family":"Kleunen","given":"Mark","dropping-particle":"van"}],"accessed":{"date-parts":[["2021",4,12]]},"issued":{"date-parts":[["2013",7,30]]}},"label":"page"}],"schema":"https://github.com/citation-style-language/schema/raw/master/csl-citation.json"} </w:instrText>
      </w:r>
      <w:r w:rsidR="00D132A7" w:rsidRPr="5575EBFC">
        <w:rPr>
          <w:lang w:val="en-GB"/>
        </w:rPr>
        <w:fldChar w:fldCharType="separate"/>
      </w:r>
      <w:r w:rsidR="6B5F9B9E">
        <w:t>(Kempel et al., 2013)</w:t>
      </w:r>
      <w:r w:rsidR="00D132A7" w:rsidRPr="5575EBFC">
        <w:rPr>
          <w:lang w:val="en-GB"/>
        </w:rPr>
        <w:fldChar w:fldCharType="end"/>
      </w:r>
      <w:r w:rsidR="1E96E386" w:rsidRPr="5575EBFC">
        <w:rPr>
          <w:lang w:val="en-GB"/>
        </w:rPr>
        <w:t xml:space="preserve">. </w:t>
      </w:r>
      <w:r w:rsidR="52A6EE3B" w:rsidRPr="5575EBFC">
        <w:rPr>
          <w:b/>
          <w:bCs/>
          <w:lang w:val="en-GB"/>
        </w:rPr>
        <w:t>Sections 3.3.1.5.1</w:t>
      </w:r>
      <w:r w:rsidR="52A6EE3B" w:rsidRPr="5575EBFC">
        <w:rPr>
          <w:lang w:val="en-GB"/>
        </w:rPr>
        <w:t xml:space="preserve">, </w:t>
      </w:r>
      <w:r w:rsidR="52A6EE3B" w:rsidRPr="5575EBFC">
        <w:rPr>
          <w:b/>
          <w:bCs/>
          <w:lang w:val="en-GB"/>
        </w:rPr>
        <w:t>3.3.1.5.2</w:t>
      </w:r>
      <w:r w:rsidR="004221FA">
        <w:rPr>
          <w:lang w:val="en-GB"/>
        </w:rPr>
        <w:t xml:space="preserve"> and</w:t>
      </w:r>
      <w:r w:rsidR="52A6EE3B" w:rsidRPr="5575EBFC">
        <w:rPr>
          <w:b/>
          <w:bCs/>
          <w:lang w:val="en-GB"/>
        </w:rPr>
        <w:t xml:space="preserve"> 3.3.1.5.3</w:t>
      </w:r>
      <w:r w:rsidR="52A6EE3B" w:rsidRPr="5575EBFC">
        <w:rPr>
          <w:lang w:val="en-GB"/>
        </w:rPr>
        <w:t xml:space="preserve"> </w:t>
      </w:r>
      <w:r w:rsidR="533DFEB8" w:rsidRPr="5575EBFC">
        <w:rPr>
          <w:lang w:val="en-GB"/>
        </w:rPr>
        <w:t xml:space="preserve">therefore </w:t>
      </w:r>
      <w:r w:rsidR="0A091639" w:rsidRPr="5575EBFC">
        <w:rPr>
          <w:lang w:val="en-GB"/>
        </w:rPr>
        <w:t>summar</w:t>
      </w:r>
      <w:r w:rsidR="4E7A0F31" w:rsidRPr="5575EBFC">
        <w:rPr>
          <w:lang w:val="en-GB"/>
        </w:rPr>
        <w:t>ize</w:t>
      </w:r>
      <w:r w:rsidR="0A091639" w:rsidRPr="5575EBFC">
        <w:rPr>
          <w:lang w:val="en-GB"/>
        </w:rPr>
        <w:t xml:space="preserve"> </w:t>
      </w:r>
      <w:r w:rsidR="0A9D6C09" w:rsidRPr="5575EBFC">
        <w:rPr>
          <w:lang w:val="en-GB"/>
        </w:rPr>
        <w:t>the ways in which</w:t>
      </w:r>
      <w:r w:rsidR="0A091639" w:rsidRPr="5575EBFC">
        <w:rPr>
          <w:lang w:val="en-GB"/>
        </w:rPr>
        <w:t xml:space="preserve"> change</w:t>
      </w:r>
      <w:r w:rsidR="6BDC91BA" w:rsidRPr="5575EBFC">
        <w:rPr>
          <w:lang w:val="en-GB"/>
        </w:rPr>
        <w:t>s,</w:t>
      </w:r>
      <w:r w:rsidR="0A091639" w:rsidRPr="5575EBFC">
        <w:rPr>
          <w:lang w:val="en-GB"/>
        </w:rPr>
        <w:t xml:space="preserve"> and </w:t>
      </w:r>
      <w:r w:rsidR="0A9D6C09" w:rsidRPr="5575EBFC">
        <w:rPr>
          <w:lang w:val="en-GB"/>
        </w:rPr>
        <w:t xml:space="preserve">particularly </w:t>
      </w:r>
      <w:r w:rsidR="0A091639" w:rsidRPr="5575EBFC">
        <w:rPr>
          <w:lang w:val="en-GB"/>
        </w:rPr>
        <w:t>intensification of human disturbance regimes</w:t>
      </w:r>
      <w:r w:rsidR="6BDC91BA" w:rsidRPr="5575EBFC">
        <w:rPr>
          <w:lang w:val="en-GB"/>
        </w:rPr>
        <w:t>,</w:t>
      </w:r>
      <w:r w:rsidR="0A091639" w:rsidRPr="5575EBFC">
        <w:rPr>
          <w:lang w:val="en-GB"/>
        </w:rPr>
        <w:t xml:space="preserve"> increase the establishment and spread of invasive alien species. There is stronger evidence for disturbance effects on terrestrial systems and plants</w:t>
      </w:r>
      <w:r w:rsidR="4816502F" w:rsidRPr="5575EBFC">
        <w:rPr>
          <w:lang w:val="en-GB"/>
        </w:rPr>
        <w:t xml:space="preserve"> than other systems and taxonomic groups</w:t>
      </w:r>
      <w:r w:rsidR="0A091639" w:rsidRPr="5575EBFC">
        <w:rPr>
          <w:lang w:val="en-GB"/>
        </w:rPr>
        <w:t xml:space="preserve">, but </w:t>
      </w:r>
      <w:r w:rsidR="4816502F" w:rsidRPr="5575EBFC">
        <w:rPr>
          <w:lang w:val="en-GB"/>
        </w:rPr>
        <w:t xml:space="preserve">some </w:t>
      </w:r>
      <w:r w:rsidR="533DFEB8" w:rsidRPr="5575EBFC">
        <w:rPr>
          <w:lang w:val="en-GB"/>
        </w:rPr>
        <w:t xml:space="preserve">evidence </w:t>
      </w:r>
      <w:r w:rsidR="0A091639" w:rsidRPr="5575EBFC">
        <w:rPr>
          <w:lang w:val="en-GB"/>
        </w:rPr>
        <w:t xml:space="preserve">also </w:t>
      </w:r>
      <w:r w:rsidR="533DFEB8" w:rsidRPr="5575EBFC">
        <w:rPr>
          <w:lang w:val="en-GB"/>
        </w:rPr>
        <w:t>exists</w:t>
      </w:r>
      <w:r w:rsidR="0A091639" w:rsidRPr="5575EBFC">
        <w:rPr>
          <w:lang w:val="en-GB"/>
        </w:rPr>
        <w:t xml:space="preserve"> from aquatic and marine systems and for vertebrates, </w:t>
      </w:r>
      <w:r w:rsidR="5B1AE08F" w:rsidRPr="5575EBFC">
        <w:rPr>
          <w:lang w:val="en-GB"/>
        </w:rPr>
        <w:t>invertebrates</w:t>
      </w:r>
      <w:r w:rsidR="00774819">
        <w:rPr>
          <w:lang w:val="en-GB"/>
        </w:rPr>
        <w:t xml:space="preserve"> and</w:t>
      </w:r>
      <w:r w:rsidR="0A091639" w:rsidRPr="5575EBFC">
        <w:rPr>
          <w:lang w:val="en-GB"/>
        </w:rPr>
        <w:t xml:space="preserve"> microorganisms. All IPBES regions are represented, with </w:t>
      </w:r>
      <w:r w:rsidR="0A9D6C09" w:rsidRPr="5575EBFC">
        <w:rPr>
          <w:lang w:val="en-GB"/>
        </w:rPr>
        <w:t>much of the</w:t>
      </w:r>
      <w:r w:rsidR="0A091639" w:rsidRPr="5575EBFC">
        <w:rPr>
          <w:lang w:val="en-GB"/>
        </w:rPr>
        <w:t xml:space="preserve"> evidence from Australia and the United States. The literature on disturbance regimes as a driver </w:t>
      </w:r>
      <w:r w:rsidR="7E7324E4" w:rsidRPr="5575EBFC">
        <w:rPr>
          <w:lang w:val="en-GB"/>
        </w:rPr>
        <w:t xml:space="preserve">that facilitates </w:t>
      </w:r>
      <w:r w:rsidR="7152A86D" w:rsidRPr="5575EBFC">
        <w:rPr>
          <w:lang w:val="en-GB"/>
        </w:rPr>
        <w:t>invasive alien species</w:t>
      </w:r>
      <w:r w:rsidR="0A091639" w:rsidRPr="5575EBFC">
        <w:rPr>
          <w:lang w:val="en-GB"/>
        </w:rPr>
        <w:t xml:space="preserve"> covers all stages of </w:t>
      </w:r>
      <w:r w:rsidR="010B4527" w:rsidRPr="5575EBFC">
        <w:rPr>
          <w:lang w:val="en-GB"/>
        </w:rPr>
        <w:t xml:space="preserve">the biological </w:t>
      </w:r>
      <w:r w:rsidR="0A091639" w:rsidRPr="5575EBFC">
        <w:rPr>
          <w:lang w:val="en-GB"/>
        </w:rPr>
        <w:t>invasion</w:t>
      </w:r>
      <w:r w:rsidR="5FB5D4CF" w:rsidRPr="5575EBFC">
        <w:rPr>
          <w:lang w:val="en-GB"/>
        </w:rPr>
        <w:t xml:space="preserve"> process</w:t>
      </w:r>
      <w:r w:rsidR="0A091639" w:rsidRPr="5575EBFC">
        <w:rPr>
          <w:lang w:val="en-GB"/>
        </w:rPr>
        <w:t xml:space="preserve">, </w:t>
      </w:r>
      <w:r w:rsidR="0A9D6C09" w:rsidRPr="5575EBFC">
        <w:rPr>
          <w:lang w:val="en-GB"/>
        </w:rPr>
        <w:t>but with</w:t>
      </w:r>
      <w:r w:rsidR="0A091639" w:rsidRPr="5575EBFC">
        <w:rPr>
          <w:lang w:val="en-GB"/>
        </w:rPr>
        <w:t xml:space="preserve"> more evidence on the establishment and spread </w:t>
      </w:r>
      <w:r w:rsidR="644A979F" w:rsidRPr="5575EBFC">
        <w:rPr>
          <w:lang w:val="en-GB"/>
        </w:rPr>
        <w:t>stages</w:t>
      </w:r>
      <w:r w:rsidR="0A091639" w:rsidRPr="5575EBFC">
        <w:rPr>
          <w:lang w:val="en-GB"/>
        </w:rPr>
        <w:t xml:space="preserve">, the latter often associated with documentation of the impact on native biodiversity and human livelihoods </w:t>
      </w:r>
      <w:r w:rsidR="50CE0EAC" w:rsidRPr="5575EBFC">
        <w:rPr>
          <w:lang w:val="en-GB"/>
        </w:rPr>
        <w:t>(</w:t>
      </w:r>
      <w:r w:rsidR="2F3A9E67" w:rsidRPr="5575EBFC">
        <w:rPr>
          <w:b/>
          <w:bCs/>
          <w:lang w:val="en-GB"/>
        </w:rPr>
        <w:t>C</w:t>
      </w:r>
      <w:r w:rsidR="0A091639" w:rsidRPr="5575EBFC">
        <w:rPr>
          <w:b/>
          <w:bCs/>
          <w:lang w:val="en-GB"/>
        </w:rPr>
        <w:t>hapter 4</w:t>
      </w:r>
      <w:r w:rsidR="0A091639" w:rsidRPr="5575EBFC">
        <w:rPr>
          <w:lang w:val="en-GB"/>
        </w:rPr>
        <w:t xml:space="preserve">). </w:t>
      </w:r>
    </w:p>
    <w:p w14:paraId="3C16AC36" w14:textId="77777777" w:rsidR="005C0CC7" w:rsidRPr="00DA249F" w:rsidRDefault="005C0CC7" w:rsidP="00973597">
      <w:pPr>
        <w:pStyle w:val="Heading3"/>
        <w:numPr>
          <w:ilvl w:val="4"/>
          <w:numId w:val="30"/>
        </w:numPr>
        <w:rPr>
          <w:rStyle w:val="normaltextrun"/>
          <w:lang w:val="en-GB"/>
        </w:rPr>
      </w:pPr>
      <w:r w:rsidRPr="00DA249F">
        <w:rPr>
          <w:rStyle w:val="normaltextrun"/>
          <w:lang w:val="en-GB"/>
        </w:rPr>
        <w:t>Agricultural disturbance regimes</w:t>
      </w:r>
      <w:r w:rsidR="00B01FF1" w:rsidRPr="00DA249F">
        <w:rPr>
          <w:rStyle w:val="normaltextrun"/>
          <w:lang w:val="en-GB"/>
        </w:rPr>
        <w:t xml:space="preserve"> </w:t>
      </w:r>
    </w:p>
    <w:p w14:paraId="4CD9710D" w14:textId="4726832E" w:rsidR="00F2700C" w:rsidRPr="00DA249F" w:rsidRDefault="1885574A" w:rsidP="0090109B">
      <w:pPr>
        <w:rPr>
          <w:lang w:val="en-GB"/>
        </w:rPr>
      </w:pPr>
      <w:r w:rsidRPr="5575EBFC">
        <w:rPr>
          <w:lang w:val="en-GB"/>
        </w:rPr>
        <w:t xml:space="preserve">In terrestrial biomes, a global meta-analysis </w:t>
      </w:r>
      <w:r w:rsidR="2CACC517" w:rsidRPr="5575EBFC">
        <w:rPr>
          <w:lang w:val="en-GB"/>
        </w:rPr>
        <w:fldChar w:fldCharType="begin"/>
      </w:r>
      <w:r w:rsidR="00331A79">
        <w:rPr>
          <w:lang w:val="en-GB"/>
        </w:rPr>
        <w:instrText xml:space="preserve"> ADDIN ZOTERO_ITEM CSL_CITATION {"citationID":"iVKdhazU","properties":{"formattedCitation":"(Jauni et al., 2015)","plainCitation":"(Jauni et al., 2015)","noteIndex":0},"citationItems":[{"id":9742,"uris":["http://zotero.org/groups/2352922/items/8FCFNBJQ"],"itemData":{"id":9742,"type":"article-journal","abstract":"Disturbances, such as fire and grazing, are often claimed to facilitate plant species richness and plant invasions in particular, although empirical evidence is contradictory. We conducted a meta-analysis to synthesize the literature on how non-native plant species are affected by disturbances. We explored whether the observed impact of disturbance on non-native plant communities is related to its type and frequency, to habitat type, study approach (observational or experimental), and to the temporal and spatial scales of the study. To put the results in a broader context, we also conducted a set of parallel analyses on a data set involving native plant species. The diversity and abundance of non-native plant species were significantly higher at disturbed sites than at undisturbed sites, while the diversity and abundance of native plant species did not differ between the two types of sites. The effect of disturbance on non-native plant species depended on the measure used to evaluate the impact (species diversity or abundance) and on disturbance type, with grazing and anthropogenic disturbances leading to higher diversity and abundance of non-native plant species than other disturbance types examined. The impact of disturbance on non-natives was also associated with study approach, habitat type and temporal scale, but these factors covaried with disturbance type, complicating the interpretation of the results. Overall, our results indicate that disturbance has a positive impact particularly on non-native plant species (at least when they are already present in the community), and that the strength of this impact depends primarily on the disturbance type. Synthesis Empirical evidence of the effect of disturbances on plant species richness is contradictory. Here we use a meta-analysis to synthesize the published literature on how different types of disturbances influence the diversity and abundance of plant species, focusing in particular on non-native plants. Our study supports the hypothesis that disturbances generally facilitate the diversity and abundance of non-native plant species, although the strength of this facilitation depends primarily on the disturbance type.","container-title":"Oikos","DOI":"10.1111/oik.01416","ISSN":"1600-0706","issue":"2","language":"en","license":"© 2014 The Authors","page":"122-129","source":"Wiley Online Library","title":"Non-native plant species benefit from disturbance: a meta-analysis","title-short":"Non-native plant species benefit from disturbance","URL":"https://onlinelibrary.wiley.com/doi/abs/10.1111/oik.01416","volume":"124","author":[{"family":"Jauni","given":"Miia"},{"family":"Gripenberg","given":"Sofia"},{"family":"Ramula","given":"Satu"}],"accessed":{"date-parts":[["2019",9,25]]},"issued":{"date-parts":[["2015"]]}},"label":"page"}],"schema":"https://github.com/citation-style-language/schema/raw/master/csl-citation.json"} </w:instrText>
      </w:r>
      <w:r w:rsidR="2CACC517" w:rsidRPr="5575EBFC">
        <w:rPr>
          <w:lang w:val="en-GB"/>
        </w:rPr>
        <w:fldChar w:fldCharType="separate"/>
      </w:r>
      <w:r w:rsidR="6B5F9B9E">
        <w:t>(Jauni et al., 2015)</w:t>
      </w:r>
      <w:r w:rsidR="2CACC517" w:rsidRPr="5575EBFC">
        <w:rPr>
          <w:lang w:val="en-GB"/>
        </w:rPr>
        <w:fldChar w:fldCharType="end"/>
      </w:r>
      <w:r w:rsidR="1E96E386" w:rsidRPr="5575EBFC">
        <w:rPr>
          <w:lang w:val="en-GB"/>
        </w:rPr>
        <w:t xml:space="preserve"> found that plant invasions </w:t>
      </w:r>
      <w:r w:rsidR="6F2A4477" w:rsidRPr="5575EBFC">
        <w:rPr>
          <w:lang w:val="en-GB"/>
        </w:rPr>
        <w:t>can</w:t>
      </w:r>
      <w:r w:rsidR="1E96E386" w:rsidRPr="5575EBFC">
        <w:rPr>
          <w:lang w:val="en-GB"/>
        </w:rPr>
        <w:t xml:space="preserve"> </w:t>
      </w:r>
      <w:r w:rsidR="6F2A4477" w:rsidRPr="5575EBFC">
        <w:rPr>
          <w:lang w:val="en-GB"/>
        </w:rPr>
        <w:t xml:space="preserve">be </w:t>
      </w:r>
      <w:r w:rsidR="1E96E386" w:rsidRPr="5575EBFC">
        <w:rPr>
          <w:lang w:val="en-GB"/>
        </w:rPr>
        <w:t xml:space="preserve">facilitated by discrete disturbance events such as fire, agricultural activity, and more generally broad shifts in anthropogenic activity. Specifically, they found that increased domestic grazer activity and general anthropogenic disturbance events increased both the diversity and abundance of </w:t>
      </w:r>
      <w:r w:rsidR="5ECA953C" w:rsidRPr="5575EBFC">
        <w:rPr>
          <w:lang w:val="en-GB"/>
        </w:rPr>
        <w:t xml:space="preserve">alien </w:t>
      </w:r>
      <w:r w:rsidR="1E96E386" w:rsidRPr="5575EBFC">
        <w:rPr>
          <w:lang w:val="en-GB"/>
        </w:rPr>
        <w:t>species, whilst fire- or soil-based disturbance activities</w:t>
      </w:r>
      <w:r w:rsidR="192839FC" w:rsidRPr="5575EBFC">
        <w:rPr>
          <w:lang w:val="en-GB"/>
        </w:rPr>
        <w:t xml:space="preserve"> </w:t>
      </w:r>
      <w:r w:rsidR="196D1928" w:rsidRPr="5575EBFC">
        <w:rPr>
          <w:lang w:val="en-GB"/>
        </w:rPr>
        <w:t>led</w:t>
      </w:r>
      <w:r w:rsidR="1E96E386" w:rsidRPr="5575EBFC">
        <w:rPr>
          <w:lang w:val="en-GB"/>
        </w:rPr>
        <w:t xml:space="preserve"> only</w:t>
      </w:r>
      <w:r w:rsidR="196D1928" w:rsidRPr="5575EBFC">
        <w:rPr>
          <w:lang w:val="en-GB"/>
        </w:rPr>
        <w:t xml:space="preserve"> to increases in</w:t>
      </w:r>
      <w:r w:rsidR="1E96E386" w:rsidRPr="5575EBFC">
        <w:rPr>
          <w:lang w:val="en-GB"/>
        </w:rPr>
        <w:t xml:space="preserve"> diversity of </w:t>
      </w:r>
      <w:r w:rsidR="5ECA953C" w:rsidRPr="5575EBFC">
        <w:rPr>
          <w:lang w:val="en-GB"/>
        </w:rPr>
        <w:t xml:space="preserve">alien </w:t>
      </w:r>
      <w:r w:rsidR="1E96E386" w:rsidRPr="5575EBFC">
        <w:rPr>
          <w:lang w:val="en-GB"/>
        </w:rPr>
        <w:t xml:space="preserve">species. </w:t>
      </w:r>
      <w:r w:rsidRPr="5575EBFC">
        <w:rPr>
          <w:lang w:val="en-GB"/>
        </w:rPr>
        <w:t xml:space="preserve">This trend </w:t>
      </w:r>
      <w:r w:rsidR="0568D96C" w:rsidRPr="5575EBFC">
        <w:rPr>
          <w:lang w:val="en-GB"/>
        </w:rPr>
        <w:t>was</w:t>
      </w:r>
      <w:r w:rsidRPr="5575EBFC">
        <w:rPr>
          <w:lang w:val="en-GB"/>
        </w:rPr>
        <w:t xml:space="preserve"> st</w:t>
      </w:r>
      <w:r w:rsidR="7DDA658C" w:rsidRPr="5575EBFC">
        <w:rPr>
          <w:lang w:val="en-GB"/>
        </w:rPr>
        <w:t>ronger in forest ecosystems than</w:t>
      </w:r>
      <w:r w:rsidRPr="5575EBFC">
        <w:rPr>
          <w:lang w:val="en-GB"/>
        </w:rPr>
        <w:t xml:space="preserve"> in wetland</w:t>
      </w:r>
      <w:r w:rsidR="05AA96A8" w:rsidRPr="5575EBFC">
        <w:rPr>
          <w:lang w:val="en-GB"/>
        </w:rPr>
        <w:t>s</w:t>
      </w:r>
      <w:r w:rsidRPr="5575EBFC">
        <w:rPr>
          <w:lang w:val="en-GB"/>
        </w:rPr>
        <w:t xml:space="preserve"> and grassland</w:t>
      </w:r>
      <w:r w:rsidR="7D389A48" w:rsidRPr="5575EBFC">
        <w:rPr>
          <w:lang w:val="en-GB"/>
        </w:rPr>
        <w:t>s</w:t>
      </w:r>
      <w:r w:rsidRPr="5575EBFC">
        <w:rPr>
          <w:lang w:val="en-GB"/>
        </w:rPr>
        <w:t xml:space="preserve">. </w:t>
      </w:r>
      <w:r w:rsidR="1E96E386" w:rsidRPr="5575EBFC">
        <w:rPr>
          <w:lang w:val="en-GB"/>
        </w:rPr>
        <w:t xml:space="preserve">Importantly, time </w:t>
      </w:r>
      <w:r w:rsidR="40E24622" w:rsidRPr="5575EBFC">
        <w:rPr>
          <w:lang w:val="en-GB"/>
        </w:rPr>
        <w:t xml:space="preserve">elapsed </w:t>
      </w:r>
      <w:r w:rsidR="1E96E386" w:rsidRPr="5575EBFC">
        <w:rPr>
          <w:lang w:val="en-GB"/>
        </w:rPr>
        <w:t xml:space="preserve">since </w:t>
      </w:r>
      <w:r w:rsidR="40E24622" w:rsidRPr="5575EBFC">
        <w:rPr>
          <w:lang w:val="en-GB"/>
        </w:rPr>
        <w:t xml:space="preserve">the </w:t>
      </w:r>
      <w:r w:rsidR="1E96E386" w:rsidRPr="5575EBFC">
        <w:rPr>
          <w:lang w:val="en-GB"/>
        </w:rPr>
        <w:t xml:space="preserve">disturbance </w:t>
      </w:r>
      <w:r w:rsidR="40E24622" w:rsidRPr="5575EBFC">
        <w:rPr>
          <w:lang w:val="en-GB"/>
        </w:rPr>
        <w:t xml:space="preserve">occurred </w:t>
      </w:r>
      <w:r w:rsidR="1E96E386" w:rsidRPr="5575EBFC">
        <w:rPr>
          <w:lang w:val="en-GB"/>
        </w:rPr>
        <w:t xml:space="preserve">was considered critical, with significant responses only observed in cases where communities were monitored more than five years post-disturbance. </w:t>
      </w:r>
      <w:r w:rsidR="450A6FF4" w:rsidRPr="5575EBFC">
        <w:rPr>
          <w:lang w:val="en-GB"/>
        </w:rPr>
        <w:t xml:space="preserve">In </w:t>
      </w:r>
      <w:r w:rsidR="4A434B35" w:rsidRPr="5575EBFC">
        <w:rPr>
          <w:lang w:val="en-GB"/>
        </w:rPr>
        <w:t>line with these findings,</w:t>
      </w:r>
      <w:r w:rsidR="0A091639" w:rsidRPr="5575EBFC">
        <w:rPr>
          <w:lang w:val="en-GB"/>
        </w:rPr>
        <w:t xml:space="preserve"> in Ghana, conversion to maize production resulted in increasing removal of fallow trees, which has encouraged land degradation and facilitated </w:t>
      </w:r>
      <w:r w:rsidR="65E83763" w:rsidRPr="5575EBFC">
        <w:rPr>
          <w:lang w:val="en-GB"/>
        </w:rPr>
        <w:t xml:space="preserve">establishment and spread </w:t>
      </w:r>
      <w:r w:rsidR="0A091639" w:rsidRPr="5575EBFC">
        <w:rPr>
          <w:lang w:val="en-GB"/>
        </w:rPr>
        <w:t xml:space="preserve">of </w:t>
      </w:r>
      <w:r w:rsidR="0A091639" w:rsidRPr="5575EBFC">
        <w:rPr>
          <w:i/>
          <w:iCs/>
          <w:lang w:val="en-GB"/>
        </w:rPr>
        <w:t>Chromolaena odorata</w:t>
      </w:r>
      <w:r w:rsidR="0A091639" w:rsidRPr="5575EBFC">
        <w:rPr>
          <w:lang w:val="en-GB"/>
        </w:rPr>
        <w:t xml:space="preserve"> (Siam weed</w:t>
      </w:r>
      <w:r w:rsidR="028055EE" w:rsidRPr="5575EBFC">
        <w:rPr>
          <w:lang w:val="en-GB"/>
        </w:rPr>
        <w:t>;</w:t>
      </w:r>
      <w:r w:rsidR="0A091639" w:rsidRPr="5575EBFC">
        <w:rPr>
          <w:lang w:val="en-GB"/>
        </w:rPr>
        <w:t xml:space="preserve"> </w:t>
      </w:r>
      <w:r w:rsidR="2CACC517" w:rsidRPr="5575EBFC">
        <w:rPr>
          <w:lang w:val="en-GB"/>
        </w:rPr>
        <w:fldChar w:fldCharType="begin"/>
      </w:r>
      <w:r w:rsidR="00331A79">
        <w:rPr>
          <w:lang w:val="en-GB"/>
        </w:rPr>
        <w:instrText xml:space="preserve"> ADDIN ZOTERO_ITEM CSL_CITATION {"citationID":"YdKcZ8PA","properties":{"formattedCitation":"(Amanor, 1991)","plainCitation":"(Amanor, 1991)","dontUpdate":true,"noteIndex":0},"citationItems":[{"id":10814,"uris":["http://zotero.org/groups/2352922/items/XIF4ZMCZ"],"itemData":{"id":10814,"type":"article-journal","container-title":"Agriculture and Human Values","DOI":"10.1007/BF01579651","ISSN":"0889-048X, 1572-8366","issue":"1-2","journalAbbreviation":"Agric Hum Values","language":"en","page":"5-13","source":"DOI.org (Crossref)","title":"Managing the Fallow: Weeding Technology and Environmental Knowledge in the Krobo District of Ghana","title-short":"Managing the fallow","URL":"http://link.springer.com/10.1007/BF01579651","volume":"8","author":[{"family":"Amanor","given":"Kojo Sebastian"}],"accessed":{"date-parts":[["2021",6,3]]},"issued":{"date-parts":[["1991",12]]}},"label":"page"}],"schema":"https://github.com/citation-style-language/schema/raw/master/csl-citation.json"} </w:instrText>
      </w:r>
      <w:r w:rsidR="2CACC517" w:rsidRPr="5575EBFC">
        <w:rPr>
          <w:lang w:val="en-GB"/>
        </w:rPr>
        <w:fldChar w:fldCharType="separate"/>
      </w:r>
      <w:r w:rsidR="24A263E7" w:rsidRPr="5575EBFC">
        <w:rPr>
          <w:lang w:val="en-GB"/>
        </w:rPr>
        <w:t>Amanor, 1991)</w:t>
      </w:r>
      <w:r w:rsidR="2CACC517" w:rsidRPr="5575EBFC">
        <w:rPr>
          <w:lang w:val="en-GB"/>
        </w:rPr>
        <w:fldChar w:fldCharType="end"/>
      </w:r>
      <w:r w:rsidR="0A091639" w:rsidRPr="5575EBFC">
        <w:rPr>
          <w:lang w:val="en-GB"/>
        </w:rPr>
        <w:t>. I</w:t>
      </w:r>
      <w:r w:rsidR="4A434B35" w:rsidRPr="5575EBFC">
        <w:rPr>
          <w:lang w:val="en-GB"/>
        </w:rPr>
        <w:t xml:space="preserve">n </w:t>
      </w:r>
      <w:r w:rsidR="450A6FF4" w:rsidRPr="5575EBFC">
        <w:rPr>
          <w:lang w:val="en-GB"/>
        </w:rPr>
        <w:t xml:space="preserve">arid and semi-arid rangelands of the United States, livestock overgrazing decreases the plant cover of native palatable grasses and accelerates the dominance of alien annual grasses (e.g., </w:t>
      </w:r>
      <w:r w:rsidR="450A6FF4" w:rsidRPr="5575EBFC">
        <w:rPr>
          <w:i/>
          <w:iCs/>
          <w:lang w:val="en-GB"/>
        </w:rPr>
        <w:t>Bromus tectorum</w:t>
      </w:r>
      <w:r w:rsidR="7AC4AC39" w:rsidRPr="5575EBFC">
        <w:rPr>
          <w:rFonts w:ascii="游明朝" w:eastAsia="游明朝" w:hAnsi="游明朝"/>
          <w:lang w:val="en-GB"/>
        </w:rPr>
        <w:t xml:space="preserve"> </w:t>
      </w:r>
      <w:r w:rsidR="4266B4FA" w:rsidRPr="5575EBFC">
        <w:rPr>
          <w:lang w:val="en-GB"/>
        </w:rPr>
        <w:t>(</w:t>
      </w:r>
      <w:r w:rsidR="7AC4AC39" w:rsidRPr="5575EBFC">
        <w:rPr>
          <w:lang w:val="en-GB"/>
        </w:rPr>
        <w:t>downy brome</w:t>
      </w:r>
      <w:r w:rsidR="4266B4FA" w:rsidRPr="5575EBFC">
        <w:rPr>
          <w:lang w:val="en-GB"/>
        </w:rPr>
        <w:t>)</w:t>
      </w:r>
      <w:r w:rsidR="7AC4AC39" w:rsidRPr="5575EBFC">
        <w:rPr>
          <w:lang w:val="en-GB"/>
        </w:rPr>
        <w:t>;</w:t>
      </w:r>
      <w:r w:rsidR="450A6FF4" w:rsidRPr="5575EBFC">
        <w:rPr>
          <w:lang w:val="en-GB"/>
        </w:rPr>
        <w:t xml:space="preserve"> </w:t>
      </w:r>
      <w:r w:rsidR="2CACC517" w:rsidRPr="5575EBFC">
        <w:rPr>
          <w:lang w:val="en-GB"/>
        </w:rPr>
        <w:fldChar w:fldCharType="begin"/>
      </w:r>
      <w:r w:rsidR="00331A79">
        <w:rPr>
          <w:lang w:val="en-GB"/>
        </w:rPr>
        <w:instrText xml:space="preserve"> ADDIN ZOTERO_ITEM CSL_CITATION {"citationID":"IkjT4ieV","properties":{"formattedCitation":"(Chambers et al., 2007; Keeley et al., 2003)","plainCitation":"(Chambers et al., 2007; Keeley et al., 2003)","dontUpdate":true,"noteIndex":0},"citationItems":[{"id":12478,"uris":["http://zotero.org/groups/2352922/items/4V4STE85"],"itemData":{"id":12478,"type":"article-journal","container-title":"Ecological Applications","DOI":"https://doi.org/10.1890/02-5002","issue":"5","page":"1355-1374","title":"Fire and grazing impacts on plant diversity and alien plant invasions in the southern Sierra Nevada","URL":"https://esajournals.onlinelibrary.wiley.com/doi/abs/10.1890/02-5002","volume":"13","author":[{"family":"Keeley","given":"Jon E."},{"family":"Lubin","given":"D."},{"family":"Fotheringham","given":"C. J."}],"accessed":{"date-parts":[["2019",10,24]]},"issued":{"date-parts":[["2003"]]}},"label":"page"},{"id":12565,"uris":["http://zotero.org/groups/2352922/items/7ZD4MLZT"],"itemData":{"id":12565,"type":"article-journal","container-title":"Ecological Monographs. 77(1): 117-145.","DOI":"https://doi.org/10.1890/05-1991","language":"en","source":"www.fs.usda.gov","title":"What makes Great Basin sagebrush ecosystems invasible by &lt;i&gt;Bromus tectorum&lt;/i&gt;?","URL":"https://www.fs.usda.gov/treesearch/pubs/27711","author":[{"family":"Chambers","given":"Jeanne C."},{"family":"Roundy","given":"Bruce A."},{"family":"Blank","given":"Robert R."},{"family":"Meyer","given":"Susan E."},{"family":"Whittaker","given":"A."}],"accessed":{"date-parts":[["2019",10,23]]},"issued":{"date-parts":[["2007"]]}},"label":"page"}],"schema":"https://github.com/citation-style-language/schema/raw/master/csl-citation.json"} </w:instrText>
      </w:r>
      <w:r w:rsidR="2CACC517" w:rsidRPr="5575EBFC">
        <w:rPr>
          <w:lang w:val="en-GB"/>
        </w:rPr>
        <w:fldChar w:fldCharType="separate"/>
      </w:r>
      <w:r w:rsidR="24A263E7" w:rsidRPr="5575EBFC">
        <w:rPr>
          <w:lang w:val="en-GB"/>
        </w:rPr>
        <w:t>Chambers et al., 2007; Keeley et al., 2003)</w:t>
      </w:r>
      <w:r w:rsidR="2CACC517" w:rsidRPr="5575EBFC">
        <w:rPr>
          <w:lang w:val="en-GB"/>
        </w:rPr>
        <w:fldChar w:fldCharType="end"/>
      </w:r>
      <w:r w:rsidR="450A6FF4" w:rsidRPr="5575EBFC">
        <w:rPr>
          <w:lang w:val="en-GB"/>
        </w:rPr>
        <w:t xml:space="preserve">. </w:t>
      </w:r>
      <w:r w:rsidR="4E695DBE" w:rsidRPr="5575EBFC">
        <w:rPr>
          <w:lang w:val="en-GB"/>
        </w:rPr>
        <w:t>In the grasslands of the Austral And</w:t>
      </w:r>
      <w:r w:rsidR="7DDA658C" w:rsidRPr="5575EBFC">
        <w:rPr>
          <w:lang w:val="en-GB"/>
        </w:rPr>
        <w:t xml:space="preserve">ean Mountains in Argentina, </w:t>
      </w:r>
      <w:r w:rsidR="4E695DBE" w:rsidRPr="5575EBFC">
        <w:rPr>
          <w:lang w:val="en-GB"/>
        </w:rPr>
        <w:t xml:space="preserve">establishment of </w:t>
      </w:r>
      <w:r w:rsidR="7DDA658C" w:rsidRPr="5575EBFC">
        <w:rPr>
          <w:lang w:val="en-GB"/>
        </w:rPr>
        <w:t xml:space="preserve">the </w:t>
      </w:r>
      <w:r w:rsidR="2CC8DCDA" w:rsidRPr="5575EBFC">
        <w:rPr>
          <w:lang w:val="en-GB"/>
        </w:rPr>
        <w:t xml:space="preserve">invasive alien </w:t>
      </w:r>
      <w:r w:rsidR="4E695DBE" w:rsidRPr="5575EBFC">
        <w:rPr>
          <w:i/>
          <w:iCs/>
          <w:lang w:val="en-GB"/>
        </w:rPr>
        <w:t>Pinus halepensis</w:t>
      </w:r>
      <w:r w:rsidR="4E695DBE" w:rsidRPr="5575EBFC">
        <w:rPr>
          <w:lang w:val="en-GB"/>
        </w:rPr>
        <w:t xml:space="preserve"> </w:t>
      </w:r>
      <w:r w:rsidR="57510AE5" w:rsidRPr="5575EBFC">
        <w:rPr>
          <w:lang w:val="en-GB"/>
        </w:rPr>
        <w:t xml:space="preserve">(Aleppo pine) </w:t>
      </w:r>
      <w:r w:rsidR="4E695DBE" w:rsidRPr="5575EBFC">
        <w:rPr>
          <w:lang w:val="en-GB"/>
        </w:rPr>
        <w:t>was considerably higher in areas grazed by feral horses, where perennial grasses were negatively affected by defoliation, giving advantage to the alien</w:t>
      </w:r>
      <w:r w:rsidR="2CC8DCDA" w:rsidRPr="5575EBFC">
        <w:rPr>
          <w:lang w:val="en-GB"/>
        </w:rPr>
        <w:t xml:space="preserve"> plant</w:t>
      </w:r>
      <w:r w:rsidR="4E695DBE" w:rsidRPr="5575EBFC">
        <w:rPr>
          <w:lang w:val="en-GB"/>
        </w:rPr>
        <w:t xml:space="preserve"> </w:t>
      </w:r>
      <w:r w:rsidR="4E695DBE" w:rsidRPr="5575EBFC">
        <w:rPr>
          <w:i/>
          <w:iCs/>
          <w:lang w:val="en-GB"/>
        </w:rPr>
        <w:t>Echium plantagineum</w:t>
      </w:r>
      <w:r w:rsidR="4E695DBE" w:rsidRPr="5575EBFC">
        <w:rPr>
          <w:lang w:val="en-GB"/>
        </w:rPr>
        <w:t xml:space="preserve"> </w:t>
      </w:r>
      <w:r w:rsidR="57510AE5" w:rsidRPr="5575EBFC">
        <w:rPr>
          <w:lang w:val="en-GB"/>
        </w:rPr>
        <w:t xml:space="preserve">(Paterson’s curse) </w:t>
      </w:r>
      <w:r w:rsidR="2CACC517" w:rsidRPr="5575EBFC">
        <w:rPr>
          <w:lang w:val="en-GB"/>
        </w:rPr>
        <w:fldChar w:fldCharType="begin"/>
      </w:r>
      <w:r w:rsidR="00331A79">
        <w:rPr>
          <w:lang w:val="en-GB"/>
        </w:rPr>
        <w:instrText xml:space="preserve"> ADDIN ZOTERO_ITEM CSL_CITATION {"citationID":"NZIesOy9","properties":{"formattedCitation":"(de Villalobos &amp; Schwerdt, 2020; de Villalobos &amp; Zalba, 2010)","plainCitation":"(de Villalobos &amp; Schwerdt, 2020; de Villalobos &amp; Zalba, 2010)","noteIndex":0},"citationItems":[{"id":30298,"uris":["http://zotero.org/groups/2352922/items/VHU3PPAU"],"itemData":{"id":30298,"type":"article-journal","container-title":"Biological Invasions","DOI":"https://doi.org/10.1007/s10530-020-02300-x","issue":"10","note":"ISBN: 1573-1464\npublisher: Springer","page":"2941-2955","title":"Seasonality of feral horse grazing and invasion of &lt;i&gt;Pinus halepensis&lt;/i&gt; in grasslands of the Austral Pampean Mountains (Argentina): management considerations","volume":"22","author":[{"family":"Villalobos","given":"Ana E.","non-dropping-particle":"de"},{"family":"Schwerdt","given":"Leonela"}],"issued":{"date-parts":[["2020"]]}},"label":"page"},{"id":9794,"uris":["http://zotero.org/groups/2352922/items/JCRJJXLA"],"itemData":{"id":9794,"type":"article-journal","container-title":"Acta Oecologica","DOI":"10.1016/j.actao.2010.07.004","ISSN":"1146609X","issue":"5","journalAbbreviation":"Acta Oecologica","language":"en","page":"514-519","source":"DOI.org (Crossref)","title":"Continuous feral horse grazing and grazing exclusion in mountain pampean grasslands in Argentina","URL":"https://linkinghub.elsevier.com/retrieve/pii/S1146609X10000792","volume":"36","author":[{"family":"Villalobos","given":"Ana E.","non-dropping-particle":"de"},{"family":"Zalba","given":"S.M."}],"accessed":{"date-parts":[["2021",4,13]]},"issued":{"date-parts":[["2010",9]]}},"label":"page"}],"schema":"https://github.com/citation-style-language/schema/raw/master/csl-citation.json"} </w:instrText>
      </w:r>
      <w:r w:rsidR="2CACC517" w:rsidRPr="5575EBFC">
        <w:rPr>
          <w:lang w:val="en-GB"/>
        </w:rPr>
        <w:fldChar w:fldCharType="separate"/>
      </w:r>
      <w:r w:rsidR="6B5F9B9E">
        <w:t>(de Villalobos &amp; Schwerdt, 2020; de Villalobos &amp; Zalba, 2010)</w:t>
      </w:r>
      <w:r w:rsidR="2CACC517" w:rsidRPr="5575EBFC">
        <w:rPr>
          <w:lang w:val="en-GB"/>
        </w:rPr>
        <w:fldChar w:fldCharType="end"/>
      </w:r>
      <w:r w:rsidR="4E695DBE" w:rsidRPr="5575EBFC">
        <w:rPr>
          <w:lang w:val="en-GB"/>
        </w:rPr>
        <w:t xml:space="preserve">. In Australia, overgrazing by </w:t>
      </w:r>
      <w:r w:rsidR="5BB16D05" w:rsidRPr="5575EBFC">
        <w:rPr>
          <w:lang w:val="en-GB"/>
        </w:rPr>
        <w:t xml:space="preserve">introduced </w:t>
      </w:r>
      <w:r w:rsidR="7C06D8D2" w:rsidRPr="5575EBFC">
        <w:rPr>
          <w:lang w:val="en-GB"/>
        </w:rPr>
        <w:t xml:space="preserve">feral </w:t>
      </w:r>
      <w:r w:rsidR="4E695DBE" w:rsidRPr="5575EBFC">
        <w:rPr>
          <w:lang w:val="en-GB"/>
        </w:rPr>
        <w:t>camels, buffalo</w:t>
      </w:r>
      <w:r w:rsidR="00774819">
        <w:rPr>
          <w:lang w:val="en-GB"/>
        </w:rPr>
        <w:t xml:space="preserve"> and</w:t>
      </w:r>
      <w:r w:rsidR="4E695DBE" w:rsidRPr="5575EBFC">
        <w:rPr>
          <w:lang w:val="en-GB"/>
        </w:rPr>
        <w:t xml:space="preserve"> pigs has facilitated invasive alien species establishment in arid and semi-arid ecosystems through</w:t>
      </w:r>
      <w:r w:rsidR="69283297" w:rsidRPr="5575EBFC">
        <w:rPr>
          <w:lang w:val="en-GB"/>
        </w:rPr>
        <w:t>out</w:t>
      </w:r>
      <w:r w:rsidR="4E695DBE" w:rsidRPr="5575EBFC">
        <w:rPr>
          <w:lang w:val="en-GB"/>
        </w:rPr>
        <w:t xml:space="preserve"> the country </w:t>
      </w:r>
      <w:r w:rsidR="2CACC517" w:rsidRPr="5575EBFC">
        <w:rPr>
          <w:lang w:val="en-GB"/>
        </w:rPr>
        <w:fldChar w:fldCharType="begin"/>
      </w:r>
      <w:r w:rsidR="00331A79">
        <w:rPr>
          <w:lang w:val="en-GB"/>
        </w:rPr>
        <w:instrText xml:space="preserve"> ADDIN ZOTERO_ITEM CSL_CITATION {"citationID":"eHZRUJJd","properties":{"formattedCitation":"(Burrows, 2018; Sloane et al., 2021)","plainCitation":"(Burrows, 2018; Sloane et al., 2021)","noteIndex":0},"citationItems":[{"id":32914,"uris":["http://zotero.org/groups/2352922/items/49WHDNXZ"],"itemData":{"id":32914,"type":"chapter","abstract":"For millions of years, Australia’s terrestrial fauna and flora, driven by climatic oscillations and geomorphological processes, co-evolved in isolation. The result was a rich diversity of unusual wildlife, high levels of endemism and, prior to the arrival of humans, a pristine wilderness existing in a dynamic equilibrium. Following the arrival of Aborigines some 40–60 ka, Australia ceased to exist as a wilderness. Largely through hunting and burning the vegetation, Aborigines changed the structure and composition of the biota (Roberts et al. 1995; Bowman 1998; Flannery 2002; Gammage 2011; Jurskis 2014). This was further exacerbated by the introduction of the first feral animal to the Australian continent, the dingo (Canis lupus dingo), some 3500–4000 years ago from neighbouring Indonesia or New Guinea (Gollan 1984; Clarkson et al. 2015). The dingo established across the entire mainland, including the arid zone, and asserted itself as a top-order predator (Glen and Dickman 2005; Moseby et al. 2012). It is thought to have caused the extinction of at least three vertebrates on the mainland: the thylacine (Thylacinus cynocephalus), the Tasmanian devil (Sarcophilus harrisii) and the Tasmanian native hen (Gallinula mortierii) (Corbett 1995; Johnson and Wroe 2003).","container-title":"On the Ecology of Australia’s Arid Zone","event-place":"Cham","ISBN":"978-3-319-93943-8","language":"en","note":"DOI: 10.1007/978-3-319-93943-8_13","page":"331-373","publisher":"Springer International Publishing","publisher-place":"Cham","source":"Springer Link","title":"Feral Animals in the Semi-arid and Arid Regions of Australia: Origins, Impacts and Control","title-short":"Feral Animals in the Semi-arid and Arid Regions of Australia","URL":"https://doi.org/10.1007/978-3-319-93943-8_13","author":[{"family":"Burrows","given":"Neil D."}],"editor":[{"family":"Lambers","given":"Hans"}],"accessed":{"date-parts":[["2021",10,31]]},"issued":{"date-parts":[["2018"]]}},"label":"page"},{"id":30767,"uris":["http://zotero.org/groups/2352922/items/DNQGDYCT"],"itemData":{"id":30767,"type":"article-journal","container-title":"Ecological Management &amp; Restoration","DOI":"https://doi.org/10.1111/emr.12464","issue":</w:instrText>
      </w:r>
      <w:r w:rsidR="00331A79">
        <w:rPr>
          <w:rFonts w:hint="eastAsia"/>
          <w:lang w:val="en-GB"/>
        </w:rPr>
        <w:instrText>"2","note":"ISBN: 1442-7001\npublisher: Wiley Online Library","page":"191-203","title":"Lessons from old fenced plots: Eco</w:instrText>
      </w:r>
      <w:r w:rsidR="00331A79">
        <w:rPr>
          <w:rFonts w:hint="eastAsia"/>
          <w:lang w:val="en-GB"/>
        </w:rPr>
        <w:instrText>‐</w:instrText>
      </w:r>
      <w:r w:rsidR="00331A79">
        <w:rPr>
          <w:rFonts w:hint="eastAsia"/>
          <w:lang w:val="en-GB"/>
        </w:rPr>
        <w:instrText>cultural Impacts of feral ungulates and potential decline in sea</w:instrText>
      </w:r>
      <w:r w:rsidR="00331A79">
        <w:rPr>
          <w:rFonts w:hint="eastAsia"/>
          <w:lang w:val="en-GB"/>
        </w:rPr>
        <w:instrText>‐</w:instrText>
      </w:r>
      <w:r w:rsidR="00331A79">
        <w:rPr>
          <w:rFonts w:hint="eastAsia"/>
          <w:lang w:val="en-GB"/>
        </w:rPr>
        <w:instrText>level rise resilience of coastal floodplains in northern Australia"</w:instrText>
      </w:r>
      <w:r w:rsidR="00331A79">
        <w:rPr>
          <w:lang w:val="en-GB"/>
        </w:rPr>
        <w:instrText xml:space="preserve">,"URL":"https://onlinelibrary.wiley.com/doi/abs/10.1111/emr.12464","volume":"22","author":[{"family":"Sloane","given":"Daniel R."},{"family":"Ens","given":"Emilie"},{"family":"Wunungmurra","given":"Yumutjin"},{"family":"Gumana","given":"Yinimala"},{"family":"Wunungmurra","given":"Bandibandi"},{"family":"Wirrpanda","given":"Manman"},{"family":"Towler","given":"Gillian"},{"family":"Preece","given":"David"},{"family":"Rangers","given":"Yirralka"}],"issued":{"date-parts":[["2021"]]}},"label":"page"}],"schema":"https://github.com/citation-style-language/schema/raw/master/csl-citation.json"} </w:instrText>
      </w:r>
      <w:r w:rsidR="2CACC517" w:rsidRPr="5575EBFC">
        <w:rPr>
          <w:lang w:val="en-GB"/>
        </w:rPr>
        <w:fldChar w:fldCharType="separate"/>
      </w:r>
      <w:r w:rsidR="6B5F9B9E">
        <w:t>(Burrows, 2018; Sloane et al., 2021)</w:t>
      </w:r>
      <w:r w:rsidR="2CACC517" w:rsidRPr="5575EBFC">
        <w:rPr>
          <w:lang w:val="en-GB"/>
        </w:rPr>
        <w:fldChar w:fldCharType="end"/>
      </w:r>
      <w:r w:rsidR="4E695DBE" w:rsidRPr="5575EBFC">
        <w:rPr>
          <w:lang w:val="en-GB"/>
        </w:rPr>
        <w:t xml:space="preserve">. </w:t>
      </w:r>
      <w:r w:rsidR="2A42318C" w:rsidRPr="5575EBFC">
        <w:rPr>
          <w:lang w:val="en-GB"/>
        </w:rPr>
        <w:t>Invasive alien plant</w:t>
      </w:r>
      <w:r w:rsidR="2CC8DCDA" w:rsidRPr="5575EBFC">
        <w:rPr>
          <w:lang w:val="en-GB"/>
        </w:rPr>
        <w:t>s</w:t>
      </w:r>
      <w:r w:rsidR="2A42318C" w:rsidRPr="5575EBFC">
        <w:rPr>
          <w:lang w:val="en-GB"/>
        </w:rPr>
        <w:t xml:space="preserve"> often have higher performance and higher resource use efficiency than coexisting native species, suggesting a higher ability to benefit from increased resource availability resulting from changes in disturbance regimes as a potential mechanism (e.g., </w:t>
      </w:r>
      <w:r w:rsidR="2CACC517" w:rsidRPr="5575EBFC">
        <w:rPr>
          <w:lang w:val="en-GB"/>
        </w:rPr>
        <w:fldChar w:fldCharType="begin"/>
      </w:r>
      <w:r w:rsidR="00331A79">
        <w:rPr>
          <w:lang w:val="en-GB"/>
        </w:rPr>
        <w:instrText xml:space="preserve"> ADDIN ZOTERO_ITEM CSL_CITATION {"citationID":"2yoFlVWm","properties":{"formattedCitation":"(Daehler, 2003; Kolar &amp; Lodge, 2001; Leishman &amp; Thomson, 2005)","plainCitation":"(Daehler, 2003; Kolar &amp; Lodge, 2001; Leishman &amp; Thomson, 2005)","dontUpdate":true,"noteIndex":0},"citationItems":[{"id":10521,"uris":["http://zotero.org/groups/2352922/items/TSJCM85U"],"itemData":{"id":10521,"type":"article-journal","abstract":"In the search to identify factors that make some plant species troublesome invaders, many studies have compared various measures of native and alien invasive plant performance. These comparative studies provide insights into the more general question “Do alien invasive plants usually outperform co-occurring native species, and to what degree does the answer depend on growing conditions?” Based on 79 independent native-invasive plant comparisons, the alien invaders were not statistically more likely to have higher growth rates, competitive ability, or fecundity. Rather, the relative performance of invaders and co-occurring natives often depended on growing conditions. In 94% of 55 comparisons involving more than one growing condition, the native's performance was equal or superior to that of the invader, at least for some key performance measures in some growing conditions. Most commonly, these conditions involved reduced resources (nutrients, light, water) and/or specific disturbance regimes. Independently of growing conditions, invaders were more likely to have higher leaf area and lower tissue construction costs (advantageous under high light and nutrient conditions) and greater phenotypic plasticity (particularly advantageous in disturbed environments where conditions are in frequent flux). There appear to be few “super invaders” that have universal performance advantages over co-occurring natives; rather, increased resource availability and altered disturbance regimes associated with human activities often differentially increase the performance of invaders over that of natives.","container-title":"Annual Review of Ecology, Evolution, and Systematics","DOI":"10.1146/annurev.ecolsys.34.011802.132403","ISSN":"1543-592X, 1545-2069","issue":"1","journalAbbreviation":"Annu. Rev. Ecol. Evol. Syst.","language":"en","page":"183-211","source":"DOI.org (Crossref)","title":"Performance Comparisons of Co-Occurring Native and Alien Invasive Plants: Implications for Conservation and Restoration","title-short":"Performance Comparisons of Co-Occurring Native and Alien Invasive Plants","URL":"http://www.annualreviews.org/doi/10.1146/annurev.ecolsys.34.011802.132403","volume":"34","author":[{"family":"Daehler","given":"Curtis C."}],"accessed":{"date-parts":[["2020",8,14]]},"issued":{"date-parts":[["2003",11]]}},"label":"page"},{"id":15412,"uris":["http://zotero.org/groups/2352922/items/JKZ42BXA"],"itemData":{"id":15412,"type":"article-journal","abstract":"1 The environmental conditions of a site are thought to influence its invasibility by exotic plants. We tested the effects of physical disturbance, water and nutrient addition on growth and survival of a total of 28 plant species from urban bushland remnants on low fertility Hawkesbury Sandstone soils in Sydney, Australia. Species were classified as native (to Australia, including the local community) or exotic (from outside Australia) and as non-invasive or invasive. 2 In a glasshouse experiment the treatments were control (natural soil), added water, added nutrients and added water and nutrients. We found significant differences in response of the plant types to additional nutrients but not to water. Under additional nutrients, exotic invasive species had better survival than all other plant types. There were strong biomass responses to added nutrients for all plant types except native non-invasives. In contrast, the survival and growth of all plant types were similar under control and additional water treatments. 3 In a field experiment the factors were site (high and low nutrient soils) and physical disturbance but survival differed between plant types only in relation to site. Exotic species had much better survival than native species at the high nutrient site only. Exotic invasive species had the strongest biomass responses to the high nutrient site while native and exotic non-invasive species showed relatively smaller growth responses. 4 Differences between invasive and non-invasive plants were not consistent between exotic and native species. Exotic invasives had greater survival than exotic non-invasives under high nutrient conditions in both experiments, and only exotic invasives showed consistently strong biomass responses to nutrient addition. For native species, there were no differences between invasives and non-invasives in survival in high nutrient conditions in the glasshouse or field; however, only invasive species showed a positive growth response to high nutrient conditions. 5 This study provides clear evidence that the success of exotic invasive species in this low fertility vegetation community is facilitated by the addition of nutrients. It would appear that on relatively infertile (particularly phosphorus-limited) sites, invasive species cannot take advantage of additional resources provided by physical disturbance or water addition due to overwhelming nutrient-limitation. We suggest that a combination of the environmental conditions (nutrient-enrichment) and invading species having traits that allow high survival and faster growth in response to nutrients, may allow successful invasion in Hawkesbury Sandstone communities.","container-title":"Journal of Ecology","DOI":"10.1111/j.1365-2745.2004.00938.x","ISSN":"1365-2745","issue":"1","language":"en","page":"38-49","source":"Wiley Online Library","title":"Experimental evidence for the effects of additional water, nutrients and physical disturbance on invasive plants in low fertility Hawkesbury Sandstone soils, Sydney, Australia","URL":"https://besjournals.onlinelibrary.wiley.com/doi/abs/10.1111/j.1365-2745.2004.00938.x","volume":"93","author":[{"family":"Leishman","given":"Michelle R."},{"family":"Thomson","given":"Vivien P."}],"accessed":{"date-parts":[["2019",9,25]]},"issued":{"date-parts":[["2005"]]}},"label":"page"},{"id":10467,"uris":["http://zotero.org/groups/2352922/items/J8NDT5NJ"],"itemData":{"id":10467,"type":"article-journal","abstract":"Predicting which species are probable invaders has been a long-standing goal of ecologists, but only recently have quantitative methods been used to achieve such a goal. Although restricted to few taxa, these studies reveal clear relationships between the characteristics of releases and the species involved, and the successful establishment and spread of invaders. For example, the probability of bird establishment increases with the number of individuals released and the number of release events. Also, the probability of plant invasiveness increases if the species has a history of invasion and reproduces vegetatively. These promising quantitative approaches should be more widely applied to allow us to predict patterns of invading species more successfully.","container-title":"Trends in Ecology &amp; Evolution","DOI":"10.1016/S0169-5347(01)02101-2","ISSN":"0169-5347","issue":"4","journalAbbreviation":"Trends in Ecology &amp; Evolution","language":"en","page":"199-204","source":"ScienceDirect","title":"Progress in invasion biology: predicting invaders","title-short":"Progress in invasion biology","URL":"http://www.sciencedirect.com/science/article/pii/S0169534701021012","volume":"16","author":[{"family":"Kolar","given":"Cynthia S."},{"family":"Lodge","given":"David M."}],"accessed":{"date-parts":[["2020",3,26]]},"issued":{"date-parts":[["2001",4,1]]}},"label":"page"}],"schema":"https://github.com/citation-style-language/schema/raw/master/csl-citation.json"} </w:instrText>
      </w:r>
      <w:r w:rsidR="2CACC517" w:rsidRPr="5575EBFC">
        <w:rPr>
          <w:lang w:val="en-GB"/>
        </w:rPr>
        <w:fldChar w:fldCharType="separate"/>
      </w:r>
      <w:r w:rsidR="24A263E7" w:rsidRPr="5575EBFC">
        <w:rPr>
          <w:lang w:val="en-GB"/>
        </w:rPr>
        <w:t>Daehler, 2003; Kolar &amp; Lodge, 2001; Leishman &amp; Thomson, 2005)</w:t>
      </w:r>
      <w:r w:rsidR="2CACC517" w:rsidRPr="5575EBFC">
        <w:rPr>
          <w:lang w:val="en-GB"/>
        </w:rPr>
        <w:fldChar w:fldCharType="end"/>
      </w:r>
      <w:r w:rsidR="2A42318C" w:rsidRPr="5575EBFC">
        <w:rPr>
          <w:lang w:val="en-GB"/>
        </w:rPr>
        <w:t xml:space="preserve">. </w:t>
      </w:r>
      <w:r w:rsidR="0A091639" w:rsidRPr="5575EBFC">
        <w:rPr>
          <w:lang w:val="en-GB"/>
        </w:rPr>
        <w:t xml:space="preserve">Among </w:t>
      </w:r>
      <w:r w:rsidR="01C5CFA9" w:rsidRPr="5575EBFC">
        <w:rPr>
          <w:lang w:val="en-GB"/>
        </w:rPr>
        <w:t>animals,</w:t>
      </w:r>
      <w:r w:rsidR="01C5CFA9" w:rsidRPr="5575EBFC">
        <w:rPr>
          <w:i/>
          <w:iCs/>
          <w:lang w:val="en-GB"/>
        </w:rPr>
        <w:t xml:space="preserve"> </w:t>
      </w:r>
      <w:r w:rsidR="523700B8" w:rsidRPr="5575EBFC">
        <w:rPr>
          <w:i/>
          <w:iCs/>
          <w:lang w:val="en-GB"/>
        </w:rPr>
        <w:t>Solenopsis invicta</w:t>
      </w:r>
      <w:r w:rsidR="523700B8" w:rsidRPr="5575EBFC">
        <w:rPr>
          <w:lang w:val="en-GB"/>
        </w:rPr>
        <w:t xml:space="preserve"> (</w:t>
      </w:r>
      <w:r w:rsidR="11214828" w:rsidRPr="5575EBFC">
        <w:rPr>
          <w:lang w:val="en-GB"/>
        </w:rPr>
        <w:t xml:space="preserve">red imported </w:t>
      </w:r>
      <w:r w:rsidR="01C5CFA9" w:rsidRPr="5575EBFC">
        <w:rPr>
          <w:lang w:val="en-GB"/>
        </w:rPr>
        <w:t>fire ant</w:t>
      </w:r>
      <w:r w:rsidR="523700B8" w:rsidRPr="5575EBFC">
        <w:rPr>
          <w:lang w:val="en-GB"/>
        </w:rPr>
        <w:t>)</w:t>
      </w:r>
      <w:r w:rsidR="01C5CFA9" w:rsidRPr="5575EBFC">
        <w:rPr>
          <w:lang w:val="en-GB"/>
        </w:rPr>
        <w:t xml:space="preserve"> </w:t>
      </w:r>
      <w:r w:rsidR="57FADCAD" w:rsidRPr="5575EBFC">
        <w:rPr>
          <w:lang w:val="en-GB"/>
        </w:rPr>
        <w:t xml:space="preserve">was </w:t>
      </w:r>
      <w:r w:rsidR="01C5CFA9" w:rsidRPr="5575EBFC">
        <w:rPr>
          <w:lang w:val="en-GB"/>
        </w:rPr>
        <w:t>characterized as</w:t>
      </w:r>
      <w:r w:rsidR="57FADCAD" w:rsidRPr="5575EBFC">
        <w:rPr>
          <w:lang w:val="en-GB"/>
        </w:rPr>
        <w:t xml:space="preserve"> a</w:t>
      </w:r>
      <w:r w:rsidR="01C5CFA9" w:rsidRPr="5575EBFC">
        <w:rPr>
          <w:lang w:val="en-GB"/>
        </w:rPr>
        <w:t xml:space="preserve"> </w:t>
      </w:r>
      <w:r w:rsidR="004221FA">
        <w:rPr>
          <w:lang w:val="en-GB"/>
        </w:rPr>
        <w:t>“</w:t>
      </w:r>
      <w:r w:rsidR="01C5CFA9" w:rsidRPr="5575EBFC">
        <w:rPr>
          <w:lang w:val="en-GB"/>
        </w:rPr>
        <w:t>disturbance specialist</w:t>
      </w:r>
      <w:r w:rsidR="004221FA">
        <w:rPr>
          <w:lang w:val="en-GB"/>
        </w:rPr>
        <w:t>”</w:t>
      </w:r>
      <w:r w:rsidR="01C5CFA9" w:rsidRPr="5575EBFC">
        <w:rPr>
          <w:lang w:val="en-GB"/>
        </w:rPr>
        <w:t xml:space="preserve"> when subjected to mowing and </w:t>
      </w:r>
      <w:r w:rsidR="0DDA9864" w:rsidRPr="5575EBFC">
        <w:rPr>
          <w:lang w:val="en-GB"/>
        </w:rPr>
        <w:t>ploughing</w:t>
      </w:r>
      <w:r w:rsidR="01C5CFA9" w:rsidRPr="5575EBFC">
        <w:rPr>
          <w:lang w:val="en-GB"/>
        </w:rPr>
        <w:t xml:space="preserve"> regimes, to the extent that </w:t>
      </w:r>
      <w:r w:rsidR="57FADCAD" w:rsidRPr="5575EBFC">
        <w:rPr>
          <w:lang w:val="en-GB"/>
        </w:rPr>
        <w:t xml:space="preserve">the species </w:t>
      </w:r>
      <w:r w:rsidR="01C5CFA9" w:rsidRPr="5575EBFC">
        <w:rPr>
          <w:lang w:val="en-GB"/>
        </w:rPr>
        <w:t>w</w:t>
      </w:r>
      <w:r w:rsidR="57FADCAD" w:rsidRPr="5575EBFC">
        <w:rPr>
          <w:lang w:val="en-GB"/>
        </w:rPr>
        <w:t>as</w:t>
      </w:r>
      <w:r w:rsidR="01C5CFA9" w:rsidRPr="5575EBFC">
        <w:rPr>
          <w:lang w:val="en-GB"/>
        </w:rPr>
        <w:t xml:space="preserve"> found not to invade forest habitats of native ants in the absence of such disturbances </w:t>
      </w:r>
      <w:r w:rsidR="2CACC517" w:rsidRPr="5575EBFC">
        <w:rPr>
          <w:lang w:val="en-GB"/>
        </w:rPr>
        <w:fldChar w:fldCharType="begin"/>
      </w:r>
      <w:r w:rsidR="00331A79">
        <w:rPr>
          <w:lang w:val="en-GB"/>
        </w:rPr>
        <w:instrText xml:space="preserve"> ADDIN ZOTERO_ITEM CSL_CITATION {"citationID":"SOb6gbog","properties":{"formattedCitation":"(J. R. King &amp; Tschinkel, 2008)","plainCitation":"(J. R. King &amp; Tschinkel, 2008)","noteIndex":0},"citationItems":[{"id":27188,"uris":["http://zotero.org/groups/2352922/items/QGAPD5H3"],"itemData":{"id":27188,"type":"article-journal","container-title":"Proceedings of the National Academy of Sciences","DOI":"10.1073/pnas.0809423105","ISSN":"0027-8424, 1091-6490","issue":"51","journalAbbreviation":"Proceedings of the National Academy of Sciences","language":"en","page":"20339-20343","source":"DOI.org (Crossref)","title":"Experimental evidence that human impacts drive fire ant invasions and ecological change","URL":"http://www.pnas.org/cgi/doi/10.1073/pnas.0809423105","volume":"105","author":[{"family":"King","given":"J. R."},{"family":"Tschinkel","given":"W. R."}],"accessed":{"date-parts":[["2021",6,18]]},"issued":{"date-parts":[["2008",12,23]]}},"label":"page"}],"schema":"https://github.com/citation-style-language/schema/raw/master/csl-citation.json"} </w:instrText>
      </w:r>
      <w:r w:rsidR="2CACC517" w:rsidRPr="5575EBFC">
        <w:rPr>
          <w:lang w:val="en-GB"/>
        </w:rPr>
        <w:fldChar w:fldCharType="separate"/>
      </w:r>
      <w:r w:rsidR="6B5F9B9E">
        <w:t>(J. R. King &amp; Tschinkel, 2008)</w:t>
      </w:r>
      <w:r w:rsidR="2CACC517" w:rsidRPr="5575EBFC">
        <w:rPr>
          <w:lang w:val="en-GB"/>
        </w:rPr>
        <w:fldChar w:fldCharType="end"/>
      </w:r>
      <w:r w:rsidR="01C5CFA9" w:rsidRPr="5575EBFC">
        <w:rPr>
          <w:lang w:val="en-GB"/>
        </w:rPr>
        <w:t>. Increasing agricultural disturbance also benefited alien predatory</w:t>
      </w:r>
      <w:r w:rsidR="17B9FB85" w:rsidRPr="5575EBFC">
        <w:rPr>
          <w:lang w:val="en-GB"/>
        </w:rPr>
        <w:t xml:space="preserve"> Coccinellidae</w:t>
      </w:r>
      <w:r w:rsidR="01C5CFA9" w:rsidRPr="5575EBFC">
        <w:rPr>
          <w:lang w:val="en-GB"/>
        </w:rPr>
        <w:t xml:space="preserve"> </w:t>
      </w:r>
      <w:r w:rsidR="175393A6" w:rsidRPr="5575EBFC">
        <w:rPr>
          <w:lang w:val="en-GB"/>
        </w:rPr>
        <w:t>(</w:t>
      </w:r>
      <w:r w:rsidR="01C5CFA9" w:rsidRPr="5575EBFC">
        <w:rPr>
          <w:lang w:val="en-GB"/>
        </w:rPr>
        <w:t xml:space="preserve">ladybeetles) in Chile, and these alien </w:t>
      </w:r>
      <w:r w:rsidR="2CC8DCDA" w:rsidRPr="5575EBFC">
        <w:rPr>
          <w:lang w:val="en-GB"/>
        </w:rPr>
        <w:t xml:space="preserve">ladybeetles </w:t>
      </w:r>
      <w:r w:rsidR="01C5CFA9" w:rsidRPr="5575EBFC">
        <w:rPr>
          <w:lang w:val="en-GB"/>
        </w:rPr>
        <w:t xml:space="preserve">could be considered </w:t>
      </w:r>
      <w:r w:rsidR="0C2EB0AC" w:rsidRPr="5575EBFC">
        <w:rPr>
          <w:lang w:val="en-GB"/>
        </w:rPr>
        <w:t>“</w:t>
      </w:r>
      <w:r w:rsidR="01C5CFA9" w:rsidRPr="5575EBFC">
        <w:rPr>
          <w:lang w:val="en-GB"/>
        </w:rPr>
        <w:t>disturbance specialists</w:t>
      </w:r>
      <w:r w:rsidR="0C2EB0AC" w:rsidRPr="5575EBFC">
        <w:rPr>
          <w:lang w:val="en-GB"/>
        </w:rPr>
        <w:t>”</w:t>
      </w:r>
      <w:r w:rsidR="01C5CFA9" w:rsidRPr="5575EBFC">
        <w:rPr>
          <w:lang w:val="en-GB"/>
        </w:rPr>
        <w:t xml:space="preserve"> </w:t>
      </w:r>
      <w:r w:rsidR="2CACC517" w:rsidRPr="5575EBFC">
        <w:rPr>
          <w:lang w:val="en-GB"/>
        </w:rPr>
        <w:fldChar w:fldCharType="begin"/>
      </w:r>
      <w:r w:rsidR="00331A79">
        <w:rPr>
          <w:lang w:val="en-GB"/>
        </w:rPr>
        <w:instrText xml:space="preserve"> ADDIN ZOTERO_ITEM CSL_CITATION {"citationID":"QtFs6YRJ","properties":{"formattedCitation":"(Grez et al., 2013)","plainCitation":"(Grez et al., 2013)","noteIndex":0},"citationItems":[{"id":32939,"uris":["http://zotero.org/groups/2352922/items/FPIU67KN"],"itemData":{"id":32939,"type":"article-journal","container-title":"Diversity and Distributions","DOI":"10.1111/ddi.12027","ISSN":"13669516","issue":"7","journalAbbreviation":"Diversity Distrib.","language":"en","note":"number: 7\ncontainer-title: Diversity and Distributions","page":"749-759","source":"DOI.org (Crossref)","title":"Land use intensification differentially benefits alien over native predators in agricultural landscape mosaics","URL":"http://doi.wiley.com/10.1111/ddi.12027","volume":"19","author":[{"family":"Grez","given":"Audrey A."},{"family":"Rand","given":"Tatyana A."},{"family":"Zaviezo","given":"Tania"},{"family":"Castillo-Serey","given":"Francisca"}],"editor":[{"family":"Bradley","given":"Bethany"}],"accessed":{"date-parts":[["2019",12,5]]},"issued":{"date-parts":[["2013",7]]}},"label":"page"}],"schema":"https://github.com/citation-style-language/schema/raw/master/csl-citation.json"} </w:instrText>
      </w:r>
      <w:r w:rsidR="2CACC517" w:rsidRPr="5575EBFC">
        <w:rPr>
          <w:lang w:val="en-GB"/>
        </w:rPr>
        <w:fldChar w:fldCharType="separate"/>
      </w:r>
      <w:r w:rsidR="6B5F9B9E">
        <w:t>(Grez et al., 2013)</w:t>
      </w:r>
      <w:r w:rsidR="2CACC517" w:rsidRPr="5575EBFC">
        <w:rPr>
          <w:lang w:val="en-GB"/>
        </w:rPr>
        <w:fldChar w:fldCharType="end"/>
      </w:r>
      <w:r w:rsidR="01C5CFA9" w:rsidRPr="5575EBFC">
        <w:rPr>
          <w:lang w:val="en-GB"/>
        </w:rPr>
        <w:t xml:space="preserve">. Modified landscapes may also support higher abundances of invasive </w:t>
      </w:r>
      <w:r w:rsidR="2CC8DCDA" w:rsidRPr="5575EBFC">
        <w:rPr>
          <w:lang w:val="en-GB"/>
        </w:rPr>
        <w:t xml:space="preserve">alien </w:t>
      </w:r>
      <w:r w:rsidR="01C5CFA9" w:rsidRPr="5575EBFC">
        <w:rPr>
          <w:lang w:val="en-GB"/>
        </w:rPr>
        <w:t>animals</w:t>
      </w:r>
      <w:r w:rsidR="2CC8DCDA" w:rsidRPr="5575EBFC">
        <w:rPr>
          <w:lang w:val="en-GB"/>
        </w:rPr>
        <w:t xml:space="preserve"> than </w:t>
      </w:r>
      <w:r w:rsidR="01DA6F83" w:rsidRPr="5575EBFC">
        <w:rPr>
          <w:lang w:val="en-GB"/>
        </w:rPr>
        <w:t>unmodified landscapes</w:t>
      </w:r>
      <w:r w:rsidR="01C5CFA9" w:rsidRPr="5575EBFC">
        <w:rPr>
          <w:lang w:val="en-GB"/>
        </w:rPr>
        <w:t xml:space="preserve">, for example introduced </w:t>
      </w:r>
      <w:r w:rsidR="4130C879" w:rsidRPr="5575EBFC">
        <w:rPr>
          <w:i/>
          <w:iCs/>
          <w:lang w:val="en-GB"/>
        </w:rPr>
        <w:t>Vulpes vulpes</w:t>
      </w:r>
      <w:r w:rsidR="4130C879" w:rsidRPr="5575EBFC">
        <w:rPr>
          <w:lang w:val="en-GB"/>
        </w:rPr>
        <w:t xml:space="preserve"> (</w:t>
      </w:r>
      <w:r w:rsidR="01C5CFA9" w:rsidRPr="5575EBFC">
        <w:rPr>
          <w:lang w:val="en-GB"/>
        </w:rPr>
        <w:t>red fox</w:t>
      </w:r>
      <w:r w:rsidR="4130C879" w:rsidRPr="5575EBFC">
        <w:rPr>
          <w:lang w:val="en-GB"/>
        </w:rPr>
        <w:t>)</w:t>
      </w:r>
      <w:r w:rsidR="01C5CFA9" w:rsidRPr="5575EBFC">
        <w:rPr>
          <w:lang w:val="en-GB"/>
        </w:rPr>
        <w:t xml:space="preserve"> thrive within Australian agricultural systems </w:t>
      </w:r>
      <w:r w:rsidR="2CACC517" w:rsidRPr="5575EBFC">
        <w:rPr>
          <w:lang w:val="en-GB"/>
        </w:rPr>
        <w:fldChar w:fldCharType="begin"/>
      </w:r>
      <w:r w:rsidR="00331A79">
        <w:rPr>
          <w:lang w:val="en-GB"/>
        </w:rPr>
        <w:instrText xml:space="preserve"> ADDIN ZOTERO_ITEM CSL_CITATION {"citationID":"bGg06QdP","properties":{"formattedCitation":"(Graham et al., 2012; Towerton et al., 2011)","plainCitation":"(Graham et al., 2012; Towerton et al., 2011)","noteIndex":0},"citationItems":[{"id":27189,"uris":["http://zotero.org/groups/2352922/items/UR3U9SNA"],"itemData":{"id":27189,"type":"article-journal","abstract":"Context Invasive mammalian predators are often associated with fragmented landscapes, and can compound the impacts of habitat loss and fragmentation on native fauna. Knowledge of how invasive predators are influenced by different landscape structures can assist in the mitigation of their impacts. Aims The aim of the present study was to investigate the influence of landscape structure and site-scale habitat attributes on the frequency of feral-cat and red-fox detections in fragmented agricultural landscapes. Methods Field surveys of the frequency of red-fox and feral-cat visitation at a site scale were stratified for six different habitat types in six study subregions. The habitat types were large remnant patch interior, large remnant patch edge, small remnant patch, roadside verge, regrowth patch and open agricultural land adjacent to a remnant patch. Sites were centred in a 1-km buffer area from which landscape composition and configuration were calculated. We applied a generalised linear model and an information-theoretic approach to determine the effect size and importance and rank of the explanatory variables on red-fox, feral-cat and pooled cat and fox detection rates. Key results The most important factors influencing detection rates had a positive effect and included: the dominance of cropping in the landscape (cat, fox, pooled cat and fox); and the density of vegetation at a site scale (fox, pooled cat and fox). The number of native habitat patches was also an important factor in the models of red foxes and pooled invasive predators. Conclusion Spatially heterogeneous cropping landscapes incur higher rates of invasive-predator detections than do intact native-woodland and pasture landscapes at the 1-km scale. At a site scale, elevated invasive-predator detections occurred at sites with dense vegetation, characteristic of narrow woodland and the edges of large woodland patches. Implications The research findings highlight that vertebrate pest management needs to target highly fragmented agricultural landscapes that are more likely to have elevated levels of invasive-predator activity. Landscape restoration efforts need to consider the redesign of landscapes to make them less suitable for predators and more hospitable for native wildlife.","container-title":"Wildlife Research","DOI":"10.1071/WR12008","ISSN":"1448-5494","issue":"8","journalAbbreviation":"Wildl. Res.","language":"en","page":"661-676","source":"www.publish.csiro.au","title":"Influence of landscape structure on invasive predators: feral cats and red foxes in the brigalow landscapes, Queensland, Australia","title-short":"Influence of landscape structure on invasive predators","URL":"https://www.publish.csiro.au/wr/WR12008","volume":"39","author":[{"family":"Graham","given":"Cameron A."},{"family":"Maron","given":"Martine"},{"family":"McAlpine","given":"Clive A."}],"accessed":{"date-parts":[["2021",6,16]]},"issued":{"date-parts":[["2012",10,16]]}},"label":"page"},{"id":27047,"uris":["http://zotero.org/groups/2352922/items/J6QX8GFR"],"itemData":{"id":27047,"type":"article-journal","abstract":"Context The red fox (Vulpes vulpes) is a widespread pest in southern Australia and is subject to control over large areas using poison baits to protect both agricultural and ecological assets. Foxes and their prey are often cryptic or in low densities, making it difficult to quantify the efficacy of control programs. Aims We explore the use of remote cameras to estimate the activity and spatial occupancy of foxes and potential mammalian and avian prey species before and after poison baiting in the Goonoo region, central New South Wales. Methods In the first of two studies, we set camera traps at 48 sites in forest and cleared areas, on and off tracks, during autumn 2009. In the second study, we placed camera traps in forest and cleared areas, on tracks only, at 100 sites covering an area of ~441 500 ha during winter 2009. We examined camera-trap rates of all species detected and the activity and site occupancy of a selected subset of species before and after poison baiting. Key results Camera traps indicated greater levels of fox activity on vehicular tracks than off them, with this difference being more marked in forest than in cleared agricultural land. Fox activity and occupancy were greater in agricultural land than in forest, with no effect of baiting detected at the landscape scale. Thirty-five other mammal and bird species were identified from photos, with activity for most being greater on than off tracks. Conclusions No clear effects of fox-baiting were detected on foxes or potential prey species in either study by either activity or occupancy. The lack of a baiting effect may reflect rapid recolonisation by foxes from unbaited areas, as bait placement is generally clustered in agricultural land, or the ready availability of alternative food (lambs or lamb carcasses) in some cleared areas. Implications Our results demonstrate that remote cameras provide a simple means of monitoring changes in fox activity and occupancy at the landscape level, and that these measures have great potential to quantify the success or otherwise of fox-control campaigns on both pest and prey species.","container-title":"Wildlife Research","DOI":"10.1071/WR10213","ISSN":"1035-3712","issue":"3","journalAbbreviation":"Wildl. Res.","language":"en","page":"208","source":"DOI.org (Crossref)","title":"Detecting pest and prey responses to fox control across the landscape using remote cameras","URL":"http://www.publish.csiro.au/?paper=WR10213","volume":"38","author":[{"family":"Towerton","given":"Alison L."},{"family":"Penman","given":"Trent D."},{"family":"Kavanagh","given":"Rodney P."},{"family":"Dickman","given":"Christopher R."}],"accessed":{"date-parts":[["2021",6,18]]},"issued":{"date-parts":[["2011"]]}},"label":"page"}],"schema":"https://github.com/citation-style-language/schema/raw/master/csl-citation.json"} </w:instrText>
      </w:r>
      <w:r w:rsidR="2CACC517" w:rsidRPr="5575EBFC">
        <w:rPr>
          <w:lang w:val="en-GB"/>
        </w:rPr>
        <w:fldChar w:fldCharType="separate"/>
      </w:r>
      <w:r w:rsidR="6B5F9B9E">
        <w:t>(Graham et al., 2012; Towerton et al., 2011)</w:t>
      </w:r>
      <w:r w:rsidR="2CACC517" w:rsidRPr="5575EBFC">
        <w:rPr>
          <w:lang w:val="en-GB"/>
        </w:rPr>
        <w:fldChar w:fldCharType="end"/>
      </w:r>
      <w:r w:rsidR="01C5CFA9" w:rsidRPr="5575EBFC">
        <w:rPr>
          <w:lang w:val="en-GB"/>
        </w:rPr>
        <w:t xml:space="preserve">. </w:t>
      </w:r>
    </w:p>
    <w:p w14:paraId="4CD2ECF8" w14:textId="6A6B4742" w:rsidR="005C0CC7" w:rsidRPr="00DA249F" w:rsidRDefault="0C888DD7" w:rsidP="005C0CC7">
      <w:pPr>
        <w:rPr>
          <w:lang w:val="en-GB"/>
        </w:rPr>
      </w:pPr>
      <w:r w:rsidRPr="5575EBFC">
        <w:rPr>
          <w:lang w:val="en-GB"/>
        </w:rPr>
        <w:lastRenderedPageBreak/>
        <w:t>Biological i</w:t>
      </w:r>
      <w:r w:rsidR="01C5CFA9" w:rsidRPr="5575EBFC">
        <w:rPr>
          <w:lang w:val="en-GB"/>
        </w:rPr>
        <w:t xml:space="preserve">nvasions in terrestrial systems may </w:t>
      </w:r>
      <w:r w:rsidR="6920EBBD" w:rsidRPr="5575EBFC">
        <w:rPr>
          <w:lang w:val="en-GB"/>
        </w:rPr>
        <w:t>be affected by</w:t>
      </w:r>
      <w:r w:rsidR="35CA52C8" w:rsidRPr="5575EBFC">
        <w:rPr>
          <w:lang w:val="en-GB"/>
        </w:rPr>
        <w:t xml:space="preserve"> </w:t>
      </w:r>
      <w:r w:rsidR="01C5CFA9" w:rsidRPr="5575EBFC">
        <w:rPr>
          <w:lang w:val="en-GB"/>
        </w:rPr>
        <w:t>land abandonment</w:t>
      </w:r>
      <w:r w:rsidR="35CA52C8" w:rsidRPr="5575EBFC">
        <w:rPr>
          <w:lang w:val="en-GB"/>
        </w:rPr>
        <w:t xml:space="preserve"> </w:t>
      </w:r>
      <w:r w:rsidR="31E53854" w:rsidRPr="5575EBFC">
        <w:rPr>
          <w:lang w:val="en-GB"/>
        </w:rPr>
        <w:t>as well as</w:t>
      </w:r>
      <w:r w:rsidR="35CA52C8" w:rsidRPr="5575EBFC">
        <w:rPr>
          <w:lang w:val="en-GB"/>
        </w:rPr>
        <w:t xml:space="preserve"> land-use intensification</w:t>
      </w:r>
      <w:r w:rsidR="01C5CFA9" w:rsidRPr="5575EBFC">
        <w:rPr>
          <w:lang w:val="en-GB"/>
        </w:rPr>
        <w:t xml:space="preserve">. </w:t>
      </w:r>
      <w:r w:rsidR="77BB6A6A" w:rsidRPr="5575EBFC">
        <w:rPr>
          <w:lang w:val="en-GB"/>
        </w:rPr>
        <w:t>After abandonment</w:t>
      </w:r>
      <w:r w:rsidR="53C3200C" w:rsidRPr="5575EBFC">
        <w:rPr>
          <w:lang w:val="en-GB"/>
        </w:rPr>
        <w:t xml:space="preserve">, </w:t>
      </w:r>
      <w:r w:rsidR="77BB6A6A" w:rsidRPr="5575EBFC">
        <w:rPr>
          <w:lang w:val="en-GB"/>
        </w:rPr>
        <w:t>the succession from agricultural to forested landscapes is generally associated with</w:t>
      </w:r>
      <w:r w:rsidR="23BF2FFE" w:rsidRPr="5575EBFC">
        <w:rPr>
          <w:lang w:val="en-GB"/>
        </w:rPr>
        <w:t xml:space="preserve"> </w:t>
      </w:r>
      <w:r w:rsidR="46E1195F" w:rsidRPr="5575EBFC">
        <w:rPr>
          <w:lang w:val="en-GB"/>
        </w:rPr>
        <w:t xml:space="preserve">an </w:t>
      </w:r>
      <w:r w:rsidR="77BB6A6A" w:rsidRPr="5575EBFC">
        <w:rPr>
          <w:lang w:val="en-GB"/>
        </w:rPr>
        <w:t xml:space="preserve">increased </w:t>
      </w:r>
      <w:r w:rsidR="46E1195F" w:rsidRPr="5575EBFC">
        <w:rPr>
          <w:lang w:val="en-GB"/>
        </w:rPr>
        <w:t xml:space="preserve">spread in </w:t>
      </w:r>
      <w:r w:rsidR="77BB6A6A" w:rsidRPr="5575EBFC">
        <w:rPr>
          <w:lang w:val="en-GB"/>
        </w:rPr>
        <w:t>plant invasions, particularly after crop abandonment</w:t>
      </w:r>
      <w:r w:rsidR="2CC8DCDA" w:rsidRPr="5575EBFC">
        <w:rPr>
          <w:lang w:val="en-GB"/>
        </w:rPr>
        <w:t xml:space="preserve"> </w:t>
      </w:r>
      <w:r w:rsidR="004B2956" w:rsidRPr="5575EBFC">
        <w:rPr>
          <w:lang w:val="en-GB"/>
        </w:rPr>
        <w:fldChar w:fldCharType="begin"/>
      </w:r>
      <w:r w:rsidR="00331A79">
        <w:rPr>
          <w:lang w:val="en-GB"/>
        </w:rPr>
        <w:instrText xml:space="preserve"> ADDIN ZOTERO_ITEM CSL_CITATION {"citationID":"DlWpAxKC","properties":{"formattedCitation":"(Vil\\uc0\\u224{} &amp; Ib\\uc0\\u225{}\\uc0\\u241{}ez, 2011)","plainCitation":"(Vilà &amp; Ibáñez, 2011)","noteIndex":0},"citationItems":[{"id":32871,"uris":["http://zotero.org/groups/2352922/items/UWVPQ6H9"],"itemData":{"id":32871,"type":"article-journal","container-title":"Landscape Ecology","DOI":"10.1007/s10980-011-9585-3","ISSN":"0921-2973, 1572-9761","issue":"4","journalAbbreviation":"Landscape Ecol","language":"en","note":"number: 4\ncontainer-title: Landscape Ecology","page":"461-472","source":"DOI.org (Crossref)","title":"Plant invasions in the landscape","URL":"http://link.springer.com/10.1007/s10980-011-9585-3","volume":"26","author":[{"family":"Vilà","given":"Montserrat"},{"family":"Ibáñez","given":"Inés"}],"accessed":{"date-parts":[["2019",12,5]]},"issued":{"date-parts":[["2011",4]]}},"label":"page"}],"schema":"https://github.com/citation-style-language/schema/raw/master/csl-citation.json"} </w:instrText>
      </w:r>
      <w:r w:rsidR="004B2956" w:rsidRPr="5575EBFC">
        <w:rPr>
          <w:lang w:val="en-GB"/>
        </w:rPr>
        <w:fldChar w:fldCharType="separate"/>
      </w:r>
      <w:r w:rsidR="6B5F9B9E">
        <w:t>(Vilà &amp; Ibáñez, 2011)</w:t>
      </w:r>
      <w:r w:rsidR="004B2956" w:rsidRPr="5575EBFC">
        <w:rPr>
          <w:lang w:val="en-GB"/>
        </w:rPr>
        <w:fldChar w:fldCharType="end"/>
      </w:r>
      <w:r w:rsidR="77BB6A6A" w:rsidRPr="5575EBFC">
        <w:rPr>
          <w:lang w:val="en-GB"/>
        </w:rPr>
        <w:t xml:space="preserve">, </w:t>
      </w:r>
      <w:r w:rsidR="78D090A6" w:rsidRPr="5575EBFC">
        <w:rPr>
          <w:lang w:val="en-GB"/>
        </w:rPr>
        <w:t>which may be linked to higher competitive ability and hence establishment and spread of some invasive alien species under the reduced disturbance intensity and frequency in post-abandonment vegetation </w:t>
      </w:r>
      <w:r w:rsidR="004B2956" w:rsidRPr="5575EBFC">
        <w:rPr>
          <w:lang w:val="en-GB"/>
        </w:rPr>
        <w:fldChar w:fldCharType="begin"/>
      </w:r>
      <w:r w:rsidR="00331A79">
        <w:rPr>
          <w:lang w:val="en-GB"/>
        </w:rPr>
        <w:instrText xml:space="preserve"> ADDIN ZOTERO_ITEM CSL_CITATION {"citationID":"y3DJVh9o","properties":{"formattedCitation":"(van der Zanden et al., 2017)","plainCitation":"(van der Zanden et al., 2017)","noteIndex":0},"citationItems":[{"id":31895,"uris":["http://zotero.org/groups/2352922/items/RAKX5NG5"],"itemData":{"id":31895,"type":"article-journal","container-title":"Land Use Policy","DOI":"10.1016/j.landusepol.2017.01.003","ISSN":"02648377","journalAbbreviation":"Land Use Policy","language":"en","note":"container-title: Land Use Policy","page":"290-301","source":"DOI.org (Crossref)","title":"Trade-offs of European agricultural abandonment","URL":"https://linkinghub.elsevier.com/retrieve/pii/S0264837716314417","volume":"62","author":[{"family":"Zanden","given":"Emma H.","non-dropping-particle":"van der"},{"family":"Verburg","given":"Peter H."},{"family":"Schulp","given":"Catharina J.E."},{"family":"Verkerk","given":"Pieter Johannes"}],"accessed":{"date-parts":[["2019",12,5]]},"issued":{"date-parts":[["2017",3]]}},"label":"page"}],"schema":"https://github.com/citation-style-language/schema/raw/master/csl-citation.json"} </w:instrText>
      </w:r>
      <w:r w:rsidR="004B2956" w:rsidRPr="5575EBFC">
        <w:rPr>
          <w:lang w:val="en-GB"/>
        </w:rPr>
        <w:fldChar w:fldCharType="separate"/>
      </w:r>
      <w:r w:rsidR="6B5F9B9E">
        <w:t>(van der Zanden et al., 2017)</w:t>
      </w:r>
      <w:r w:rsidR="004B2956" w:rsidRPr="5575EBFC">
        <w:rPr>
          <w:lang w:val="en-GB"/>
        </w:rPr>
        <w:fldChar w:fldCharType="end"/>
      </w:r>
      <w:r w:rsidR="77BB6A6A" w:rsidRPr="5575EBFC">
        <w:rPr>
          <w:lang w:val="en-GB"/>
        </w:rPr>
        <w:t xml:space="preserve">. </w:t>
      </w:r>
      <w:r w:rsidR="212BEF0E" w:rsidRPr="5575EBFC">
        <w:rPr>
          <w:lang w:val="en-GB"/>
        </w:rPr>
        <w:t xml:space="preserve">The role of abandonment in facilitating </w:t>
      </w:r>
      <w:r w:rsidR="63556711" w:rsidRPr="5575EBFC">
        <w:rPr>
          <w:lang w:val="en-GB"/>
        </w:rPr>
        <w:t>invasive alien species</w:t>
      </w:r>
      <w:r w:rsidR="03ED3B70" w:rsidRPr="5575EBFC">
        <w:rPr>
          <w:lang w:val="en-GB"/>
        </w:rPr>
        <w:t xml:space="preserve"> </w:t>
      </w:r>
      <w:r w:rsidR="212BEF0E" w:rsidRPr="5575EBFC">
        <w:rPr>
          <w:lang w:val="en-GB"/>
        </w:rPr>
        <w:t xml:space="preserve">is well known among </w:t>
      </w:r>
      <w:r w:rsidR="2CC8DCDA" w:rsidRPr="5575EBFC">
        <w:rPr>
          <w:lang w:val="en-GB"/>
        </w:rPr>
        <w:t>I</w:t>
      </w:r>
      <w:r w:rsidR="212BEF0E" w:rsidRPr="5575EBFC">
        <w:rPr>
          <w:lang w:val="en-GB"/>
        </w:rPr>
        <w:t xml:space="preserve">ndigenous </w:t>
      </w:r>
      <w:r w:rsidR="09E59FAA" w:rsidRPr="5575EBFC">
        <w:rPr>
          <w:lang w:val="en-GB"/>
        </w:rPr>
        <w:t>P</w:t>
      </w:r>
      <w:r w:rsidR="212BEF0E" w:rsidRPr="5575EBFC">
        <w:rPr>
          <w:lang w:val="en-GB"/>
        </w:rPr>
        <w:t>eople</w:t>
      </w:r>
      <w:r w:rsidR="6841034E" w:rsidRPr="5575EBFC">
        <w:rPr>
          <w:lang w:val="en-GB"/>
        </w:rPr>
        <w:t>s</w:t>
      </w:r>
      <w:r w:rsidR="212BEF0E" w:rsidRPr="5575EBFC">
        <w:rPr>
          <w:lang w:val="en-GB"/>
        </w:rPr>
        <w:t xml:space="preserve"> and local communities in several </w:t>
      </w:r>
      <w:r w:rsidR="0270A823" w:rsidRPr="5575EBFC">
        <w:rPr>
          <w:lang w:val="en-GB"/>
        </w:rPr>
        <w:t>parts</w:t>
      </w:r>
      <w:r w:rsidR="212BEF0E" w:rsidRPr="5575EBFC">
        <w:rPr>
          <w:lang w:val="en-GB"/>
        </w:rPr>
        <w:t xml:space="preserve"> of the world. In the Panchase area of Nepal, </w:t>
      </w:r>
      <w:r w:rsidR="2CC8DCDA" w:rsidRPr="5575EBFC">
        <w:rPr>
          <w:lang w:val="en-GB"/>
        </w:rPr>
        <w:t>I</w:t>
      </w:r>
      <w:r w:rsidR="212BEF0E" w:rsidRPr="5575EBFC">
        <w:rPr>
          <w:lang w:val="en-GB"/>
        </w:rPr>
        <w:t xml:space="preserve">ndigenous communities report that land-abandonment has led to the establishment and spread of invasive alien species </w:t>
      </w:r>
      <w:r w:rsidR="004B2956" w:rsidRPr="5575EBFC">
        <w:rPr>
          <w:lang w:val="en-GB"/>
        </w:rPr>
        <w:fldChar w:fldCharType="begin"/>
      </w:r>
      <w:r w:rsidR="00331A79">
        <w:rPr>
          <w:lang w:val="en-GB"/>
        </w:rPr>
        <w:instrText xml:space="preserve"> ADDIN ZOTERO_ITEM CSL_CITATION {"citationID":"j6gLAMTl","properties":{"formattedCitation":"(Schwilch et al., 2017)","plainCitation":"(Schwilch et al., 2017)","noteIndex":0},"citationItems":[{"id":53785,"uris":["http://zotero.org/groups/2352922/items/PCBUGLAD","http://zotero.org/groups/2352922/items/HQ9NGU4H"],"itemData":{"id":53785,"type":"chapter","container-title":"Identifying Emerging Issues in Disaster Risk Reduction, Migration, Climate Change and Sustainable Development","event-place":"Cham","ISBN":"978-3-319-33878-1","language":"en","note":"DOI: 10.1007/978-3-319-33880-4_11","page":"177-194","publisher":"Springer International Publishing","publisher-place":"Cham","source":"DOI.org (Crossref)","title":"Impacts of Outmigration on Land Management in a Nepali Mountain Area","URL":"http://link.springer.com/10.1007/978-3-319-33880-4_11","editor":[{"family":"Sudmeier-Rieux","given":"Karen"},{"family":"Fernández","given":"Manuela"},{"family":"Penna","given":"Ivanna M."},{"family":"Jaboyedoff","given":"Michel"},{"family":"Gaillard","given":"J.C."}],"author":[{"family":"Schwilch","given":"Gudrun"},{"family":"Adhikari","given":"Anu"},{"family":"Jaboyedoff","given":"Michel"},{"family":"Jaquet","given":"Stéphanie"},{"family":"Kaenzig","given":"Raoul"},{"family":"Liniger","given":"Hanspeter"},{"family":"Penna","given":"Ivanna M."},{"family":"Sudmeier-Rieux","given":"Karen"},{"family":"Upreti","given":"Bishnu Raj"}],"accessed":{"date-parts":[["2022",10,18]]},"issued":{"date-parts":[["2017"]]}},"label":"page"}],"schema":"https://github.com/citation-style-language/schema/raw/master/csl-citation.json"} </w:instrText>
      </w:r>
      <w:r w:rsidR="004B2956" w:rsidRPr="5575EBFC">
        <w:rPr>
          <w:lang w:val="en-GB"/>
        </w:rPr>
        <w:fldChar w:fldCharType="separate"/>
      </w:r>
      <w:r w:rsidR="6B5F9B9E">
        <w:t>(Schwilch et al., 2017)</w:t>
      </w:r>
      <w:r w:rsidR="004B2956" w:rsidRPr="5575EBFC">
        <w:rPr>
          <w:lang w:val="en-GB"/>
        </w:rPr>
        <w:fldChar w:fldCharType="end"/>
      </w:r>
      <w:r w:rsidR="212BEF0E" w:rsidRPr="5575EBFC">
        <w:rPr>
          <w:lang w:val="en-GB"/>
        </w:rPr>
        <w:t xml:space="preserve">. In the Amatole District of the Eastern Cape, South Africa, local communities noticed that the abandonment of arable fields coupled with the dispersal of seeds by local birds have led to invasion by </w:t>
      </w:r>
      <w:r w:rsidR="212BEF0E" w:rsidRPr="5575EBFC">
        <w:rPr>
          <w:i/>
          <w:iCs/>
          <w:lang w:val="en-GB"/>
        </w:rPr>
        <w:t xml:space="preserve">Lantana camara </w:t>
      </w:r>
      <w:r w:rsidR="212BEF0E" w:rsidRPr="5575EBFC">
        <w:rPr>
          <w:lang w:val="en-GB"/>
        </w:rPr>
        <w:t>(lantana</w:t>
      </w:r>
      <w:r w:rsidR="028055EE" w:rsidRPr="5575EBFC">
        <w:rPr>
          <w:lang w:val="en-GB"/>
        </w:rPr>
        <w:t>;</w:t>
      </w:r>
      <w:r w:rsidR="212BEF0E" w:rsidRPr="5575EBFC">
        <w:rPr>
          <w:lang w:val="en-GB"/>
        </w:rPr>
        <w:t xml:space="preserve"> </w:t>
      </w:r>
      <w:r w:rsidR="004B2956" w:rsidRPr="5575EBFC">
        <w:rPr>
          <w:lang w:val="en-GB"/>
        </w:rPr>
        <w:fldChar w:fldCharType="begin"/>
      </w:r>
      <w:r w:rsidR="00331A79">
        <w:rPr>
          <w:lang w:val="en-GB"/>
        </w:rPr>
        <w:instrText xml:space="preserve"> ADDIN ZOTERO_ITEM CSL_CITATION {"citationID":"SwQefYQu","properties":{"formattedCitation":"(Jevon &amp; Shackleton, 2015)","plainCitation":"(Jevon &amp; Shackleton, 2015)","dontUpdate":true,"noteIndex":0},"citationItems":[{"id":24542,"uris":["http://zotero.org/groups/2352922/items/ABB3QS5Y"],"itemData":{"id":24542,"type":"article-journal","abstract":"Invasive alien species have variable impacts on peoples’ livelihoods, plant communities and species at the local scale. Local people often have deeper insights into and experiences of these impacts than can be measured by scientific surveys. Here we examine the impacts of Lantana camara on the recruitment of indigenous forest species, many of which are used by local people. We integrate findings from conversations with elderly respondents with standard ecological surveys. Both sources of information indicate that the increasing presence of Lantana suppresses the number and species richness of recruits of indigenous forest species, which may retard forest succession. Dense thickets of Lantana also restricted access to non-timber forest products and species of cultural significance. The origin and date of the Lantana introduction in the area was identified by respondents as the 1960s and it escaped into the wild in the early 1970s. These findings can be incorporated into locally based management considerations.","container-title":"Human Ecology","DOI":"10.1007/s10745-015-9748-y","ISSN":"0300-7839, 1572-9915","issue":"2","journalAbbreviation":"Hum Ecol","language":"en","page":"247-254","source":"DOI.org (Crossref)","title":"Integrating Local Knowledge and Forest Surveys to Assess &lt;i&gt;Lantana camara&lt;/i&gt; Impacts on Indigenous Species Recruitment in Mazeppa Bay, South Africa","URL":"http://link.springer.com/10.1007/s10745-015-9748-y","volume":"43","author":[{"family":"Jevon","given":"Tui"},{"family":"Shackleton","given":"Charlie M."}],"accessed":{"date-parts":[["2019",11,7]]},"issued":{"date-parts":[["2015",4]]}},"label":"page"}],"schema":"https://github.com/citation-style-language/schema/raw/master/csl-citation.json"} </w:instrText>
      </w:r>
      <w:r w:rsidR="004B2956" w:rsidRPr="5575EBFC">
        <w:rPr>
          <w:lang w:val="en-GB"/>
        </w:rPr>
        <w:fldChar w:fldCharType="separate"/>
      </w:r>
      <w:r w:rsidR="4FE29079" w:rsidRPr="5575EBFC">
        <w:rPr>
          <w:lang w:val="en-GB"/>
        </w:rPr>
        <w:t>Jevon &amp; Shackleton, 2015)</w:t>
      </w:r>
      <w:r w:rsidR="004B2956" w:rsidRPr="5575EBFC">
        <w:rPr>
          <w:lang w:val="en-GB"/>
        </w:rPr>
        <w:fldChar w:fldCharType="end"/>
      </w:r>
      <w:r w:rsidR="212BEF0E" w:rsidRPr="5575EBFC">
        <w:rPr>
          <w:lang w:val="en-GB"/>
        </w:rPr>
        <w:t xml:space="preserve">. </w:t>
      </w:r>
      <w:r w:rsidR="228C588A" w:rsidRPr="5575EBFC">
        <w:rPr>
          <w:lang w:val="en-GB"/>
        </w:rPr>
        <w:t>Indigenous Peoples</w:t>
      </w:r>
      <w:r w:rsidR="212BEF0E" w:rsidRPr="5575EBFC">
        <w:rPr>
          <w:lang w:val="en-GB"/>
        </w:rPr>
        <w:t xml:space="preserve"> and local communities in South Africa have also observed that some abandoned agricultural lands can become hotspots of </w:t>
      </w:r>
      <w:r w:rsidR="788D1295" w:rsidRPr="5575EBFC">
        <w:rPr>
          <w:lang w:val="en-GB"/>
        </w:rPr>
        <w:t>invasive alien species</w:t>
      </w:r>
      <w:r w:rsidR="445E4BB2" w:rsidRPr="5575EBFC">
        <w:rPr>
          <w:lang w:val="en-GB"/>
        </w:rPr>
        <w:t xml:space="preserve"> </w:t>
      </w:r>
      <w:r w:rsidR="004B2956" w:rsidRPr="5575EBFC">
        <w:rPr>
          <w:lang w:val="en-GB"/>
        </w:rPr>
        <w:fldChar w:fldCharType="begin"/>
      </w:r>
      <w:r w:rsidR="00F5121E">
        <w:rPr>
          <w:lang w:val="en-GB"/>
        </w:rPr>
        <w:instrText xml:space="preserve"> ADDIN ZOTERO_ITEM CSL_CITATION {"citationID":"VRMRmeeJ","properties":{"formattedCitation":"(C. M. Shackleton &amp; Gambiza, 2008)","plainCitation":"(C. M. Shackleton &amp; Gambiza, 2008)","noteIndex":0},"citationItems":[{"id":53784,"uris":["http://zotero.org/groups/2352922/items/7I48RJEG","http://zotero.org/groups/2352922/items/DZNWVIX5"],"itemData":{"id":53784,"type":"article-journal","abstract":"Woody plant invasions, either of alien or indigenous species, are deemed to result in loss of ecosystem goods and services in many areas throughout the world, resulting in signiﬁcant degradation and economic costs. Invasion of Euryops ﬂoribundus, a species indigenous to South Africa, is perceived to have reduced the grazing available for domestic livestock. Consequently, a programme of manual eradication has been implemented to improve the grazing resource and provide jobs for poverty alleviation. However, there is potential for a conﬂict of interest as our study shows that almost all households rely on Euryops for fuel and at times fencing material, whereas only a minority of households own livestock. Moreover, comparison of invaded and non-invaded sites indicated that the invaded sites harbour greater plant species richness and higher grass culm density per unit area of grass cover, as well as higher forb and litter cover. While invaded sites had lower grass cover, overall plant cover was no different between invaded and non-invaded sites. Multivariate analysis indicated no obvious differentiation in community composition between invaded and non-invaded areas, suggesting stronger drivers of community composition other than Euryops invasion presumed to be facilitated by the effects of high livestock densities. Overall, our study suggests that the clearing operation may well beneﬁt from a better understanding of the social needs, perceptions of degradation by the various stakeholders and ecological dynamics of the area, especially local reliance on the resources, and the dynamics of the invasion, particularly its extent, rate of spread and susceptibility for re-invasion in the cleared areas. Copyright # 2008 John Wiley &amp; Sons, Ltd.","container-title":"Land Degradation &amp; Development","DOI":"10.1002/ldr.849","ISSN":"10853278, 1099145X","issue":"4","journalAbbreviation":"Land Degrad. Dev.","language":"en","page":"454-464","source":"DOI.org (Crossref)","title":"Social and ecological trade offs in combating land degradation: the case of invasion by a woody shrub (&lt;i&gt;Euryops Floribundus&lt;/i&gt;) at Macubeni, South Africa","title-short":"Social and ecological trade offs in combating land degradation","URL":"https://onlinelibrary.wiley.com/doi/10.1002/ldr.849","volume":"19","author":[{"family":"Shackleton","given":"C. M."},{"family":"Gambiza","given":"J."}],"accessed":{"date-parts":[["2022",10,18]]},"issued":{"date-parts":[["2008",7]]}},"label":"page"}],"schema":"https://github.com/citation-style-language/schema/raw/master/csl-citation.json"} </w:instrText>
      </w:r>
      <w:r w:rsidR="004B2956" w:rsidRPr="5575EBFC">
        <w:rPr>
          <w:lang w:val="en-GB"/>
        </w:rPr>
        <w:fldChar w:fldCharType="separate"/>
      </w:r>
      <w:r w:rsidR="6B5F9B9E">
        <w:t>(C. M. Shackleton &amp; Gambiza, 2008)</w:t>
      </w:r>
      <w:r w:rsidR="004B2956" w:rsidRPr="5575EBFC">
        <w:rPr>
          <w:lang w:val="en-GB"/>
        </w:rPr>
        <w:fldChar w:fldCharType="end"/>
      </w:r>
      <w:r w:rsidR="212BEF0E" w:rsidRPr="5575EBFC">
        <w:rPr>
          <w:lang w:val="en-GB"/>
        </w:rPr>
        <w:t>.</w:t>
      </w:r>
      <w:r w:rsidR="23BF2FFE" w:rsidRPr="5575EBFC">
        <w:rPr>
          <w:lang w:val="en-GB"/>
        </w:rPr>
        <w:t xml:space="preserve"> </w:t>
      </w:r>
    </w:p>
    <w:p w14:paraId="52D9B97D" w14:textId="77777777" w:rsidR="005C0CC7" w:rsidRPr="00DA249F" w:rsidRDefault="00F877AE" w:rsidP="00973597">
      <w:pPr>
        <w:pStyle w:val="Heading3"/>
        <w:numPr>
          <w:ilvl w:val="4"/>
          <w:numId w:val="30"/>
        </w:numPr>
        <w:rPr>
          <w:rStyle w:val="normaltextrun"/>
          <w:lang w:val="en-GB"/>
        </w:rPr>
      </w:pPr>
      <w:r w:rsidRPr="00DA249F">
        <w:rPr>
          <w:rStyle w:val="normaltextrun"/>
          <w:lang w:val="en-GB"/>
        </w:rPr>
        <w:t>Changes to f</w:t>
      </w:r>
      <w:r w:rsidR="005C0CC7" w:rsidRPr="00DA249F">
        <w:rPr>
          <w:rStyle w:val="normaltextrun"/>
          <w:lang w:val="en-GB"/>
        </w:rPr>
        <w:t>ire regimes</w:t>
      </w:r>
      <w:r w:rsidR="00B01FF1" w:rsidRPr="00DA249F">
        <w:rPr>
          <w:rStyle w:val="normaltextrun"/>
          <w:lang w:val="en-GB"/>
        </w:rPr>
        <w:t xml:space="preserve"> </w:t>
      </w:r>
    </w:p>
    <w:p w14:paraId="05ADD09F" w14:textId="1A55F911" w:rsidR="00AE3DAC" w:rsidRPr="00DA249F" w:rsidRDefault="01C5CFA9" w:rsidP="0090109B">
      <w:pPr>
        <w:rPr>
          <w:lang w:val="en-GB"/>
        </w:rPr>
      </w:pPr>
      <w:r w:rsidRPr="5575EBFC">
        <w:rPr>
          <w:lang w:val="en-GB"/>
        </w:rPr>
        <w:t xml:space="preserve">Fire is a key natural disturbance process </w:t>
      </w:r>
      <w:r w:rsidR="089FF1E1" w:rsidRPr="5575EBFC">
        <w:rPr>
          <w:lang w:val="en-GB"/>
        </w:rPr>
        <w:t xml:space="preserve">that plays an important role in </w:t>
      </w:r>
      <w:r w:rsidRPr="5575EBFC">
        <w:rPr>
          <w:lang w:val="en-GB"/>
        </w:rPr>
        <w:t>regulating community composition and ecosystem function</w:t>
      </w:r>
      <w:r w:rsidR="3267DD57" w:rsidRPr="5575EBFC">
        <w:rPr>
          <w:lang w:val="en-GB"/>
        </w:rPr>
        <w:t>ing</w:t>
      </w:r>
      <w:r w:rsidR="7606C94C" w:rsidRPr="5575EBFC">
        <w:rPr>
          <w:lang w:val="en-GB"/>
        </w:rPr>
        <w:t xml:space="preserve"> </w:t>
      </w:r>
      <w:r w:rsidR="3267DD57" w:rsidRPr="5575EBFC">
        <w:rPr>
          <w:lang w:val="en-GB"/>
        </w:rPr>
        <w:t xml:space="preserve">in a </w:t>
      </w:r>
      <w:r w:rsidR="089FF1E1" w:rsidRPr="5575EBFC">
        <w:rPr>
          <w:lang w:val="en-GB"/>
        </w:rPr>
        <w:t>diversity of ecological systems</w:t>
      </w:r>
      <w:r w:rsidR="3267DD57" w:rsidRPr="5575EBFC">
        <w:rPr>
          <w:lang w:val="en-GB"/>
        </w:rPr>
        <w:t xml:space="preserve"> worldwide</w:t>
      </w:r>
      <w:r w:rsidRPr="5575EBFC">
        <w:rPr>
          <w:lang w:val="en-GB"/>
        </w:rPr>
        <w:t xml:space="preserve"> </w:t>
      </w:r>
      <w:r w:rsidR="00D132A7" w:rsidRPr="5575EBFC">
        <w:rPr>
          <w:lang w:val="en-GB"/>
        </w:rPr>
        <w:fldChar w:fldCharType="begin"/>
      </w:r>
      <w:r w:rsidR="00331A79">
        <w:rPr>
          <w:lang w:val="en-GB"/>
        </w:rPr>
        <w:instrText xml:space="preserve"> ADDIN ZOTERO_ITEM CSL_CITATION {"citationID":"ABNhyuTv","properties":{"formattedCitation":"(He et al., 2019; Keeley et al., 2011; Pausas &amp; Keeley, 2019)","plainCitation":"(He et al., 2019; Keeley et al., 2011; Pausas &amp; Keeley, 2019)","noteIndex":0},"citationItems":[{"id":32777,"uris":["http://zotero.org/groups/2352922/items/8ZPFQVGG"],"itemData":{"id":32777,"type":"article-journal","abstract":"Many terrestrial ecosystems are fire prone, such that their composition and structure are largely due to their fire regime. Regions subject to regular fire have exceptionally high levels of species richness and endemism, and fire has been proposed as a major driver of their diversity, within the context of climate, resource availability and environmental heterogeneity. However, current fire-management practices rarely take into account the ecological and evolutionary roles of fire in maintaining biodiversity. Here, we focus on the mechanisms that enable fire to act as a major ecological and evolutionary force that promotes and maintains biodiversity over numerous spatiotemporal scales. From an ecological perspective, the vegetation, topography and local weather conditions during a fire generate a landscape with spatial and temporal variation in fire-related patches (pyrodiversity), and these produce the biotic and environmental heterogeneity that drives biodiversity across local and regional scales. There have been few empirical tests of the proposition that ‘pyrodiversity begets biodiversity’ but we show that biodiversity should peak at moderately high levels of pyrodiversity. Overall species richness is greatest immediately after fire and declines monotonically over time, with postfire successional pathways dictated by animal habitat preferences and varying lifespans among resident plants. Theory and data support the ‘intermediate disturbance hypothesis’ when mean patch species diversity is correlated with mean fire intervals. Postfire persistence, recruitment and immigration allow species with different life histories to coexist. From an evolutionary perspective, fire drives population turnover and diversification by promoting a wide range of adaptive responses to particular fire regimes. Among 39 comparisons, the number of species in 26 fire-prone lineages is much higher than that in their non-fire-prone sister lineages. Fire and its byproducts may have direct mutagenic effects, producing novel genotypes that can lead to trait innovation and even speciation. A paradigm shift aimed at restoring biodiversity-maintaining fire regimes across broad landscapes is required among the fire research and management communities. This will require ecologists and other professionals to spread the burgeoning fire-science knowledge beyond scientific publications to the broader public, politicians and media.","container-title":"Biological Reviews","DOI":"10.1111/brv.12544","ISSN":"1469-185X","issue":"6","language":"en","license":"© 2019 Cambridge Philosophical Society","note":"number: 6\ncontainer-title: Biological Reviews","page":"1983-2010","source":"Wiley Online Library","title":"Fire as a key driver of Earth's biodiversity","URL":"https://onlinelibrary.wiley.com/doi/abs/10.1111/brv.12544","volume":"94","author":[{"family":"He","given":"Tianhua"},{"family":"Lamont","given":"Byron B."},{"family":"Pausas","given":"Juli G."}],"accessed":{"date-parts":[["2019",12,6]]},"issued":{"date-parts":[["2019"]]}},"label":"page"},{"id":31892,"uris":["http://zotero.org/groups/2352922/items/SRWT2N8Z"],"itemData":{"id":31892,"type":"article-journal","abstract":"Traits, such as resprouting, serotiny and germination by heat and smoke, are adaptive in fire-prone environments. However, plants are not adapted to fire per se but to fire regimes. Species can be threatened when humans alter the regime, often by increasing or decreasing fire frequency. Fire-adaptive traits are potentially the result of different evolutionary pathways. Distinguishing between traits that are adaptations originating in response to fire or exaptations originating in response to other factors might not always be possible. However, fire has been a factor throughout the history of land-plant evolution and is not strictly a Neogene phenomenon. Mesozoic fossils show evidence of fire-adaptive traits and, in some lineages, these might have persisted to the present as fire adaptations.","container-title":"Trends in Plant Science","DOI":"10.1016/j.tplants.2011.04.002","ISSN":"1360-1385","issue":"8","journalAbbreviation":"Trends in Plant Science","language":"en","note":"number: 8\ncontainer-title: Trends in Plant Science","page":"406-411","source":"ScienceDirect","title":"Fire as an evolutionary pressure shaping plant traits","URL":"http://www.sciencedirect.com/science/article/pii/S1360138511000835","volume":"16","author":[{"family":"Keeley","given":"Jon E."},{"family":"Pausas","given":"Juli G."},{"family":"Rundel","given":"Philip W."},{"family":"Bond","given":"William J."},{"family":"Bradstock","given":"Ross A."}],"accessed":{"date-parts":[["2019",12,6]]},"issued":{"date-parts":[["2011",8,1]]}},"label":"page"},{"id":31893,"uris":["http://zotero.org/groups/2352922/items/RS29NH4A"],"itemData":{"id":31893,"type":"article-journal","abstract":"Wildfires are often perceived as destructive disturbances, but we propose that when integrating evolutionary and socioecological factors, fires in most ecosystems can be understood as natural processes that provide a variety of benefits to humankind. Wildfires generate open habitats that enable the evolution of a diversity of shade-intolerant plants and animals that have long benefited humans. There are many provisioning, regulating, and cultural services that people obtain from wildfires, and prescribed fires and wildfire management are tools for mimicking the ancestral role of wildfires in an increasingly populated world.","container-title":"Frontiers in Ecology and the Environment","DOI":"10.1002/fee.2044","ISSN":"1540-9309","issue":"5","language":"en","license":"© The Ecological Society of America","note":"number: 5\ncontainer-title: Frontiers in Ecology and the Environment","page":"289-295","source":"Wiley Online Library","title":"Wildfires as an ecosystem service","URL":"https://esajournals.onlinelibrary.wiley.com/doi/abs/10.1002/fee.2044","volume":"17","author":[{"family":"Pausas","given":"Juli G."},{"family":"Keeley","given":"Jon E."}],"accessed":{"date-parts":[["2019",12,6]]},"issued":{"date-parts":[["2019"]]}},"label":"page"}],"schema":"https://github.com/citation-style-language/schema/raw/master/csl-citation.json"} </w:instrText>
      </w:r>
      <w:r w:rsidR="00D132A7" w:rsidRPr="5575EBFC">
        <w:rPr>
          <w:lang w:val="en-GB"/>
        </w:rPr>
        <w:fldChar w:fldCharType="separate"/>
      </w:r>
      <w:r w:rsidR="6B5F9B9E">
        <w:t>(He et al., 2019; Keeley et al., 2011; Pausas &amp; Keeley, 2019)</w:t>
      </w:r>
      <w:r w:rsidR="00D132A7" w:rsidRPr="5575EBFC">
        <w:rPr>
          <w:lang w:val="en-GB"/>
        </w:rPr>
        <w:fldChar w:fldCharType="end"/>
      </w:r>
      <w:r w:rsidRPr="5575EBFC">
        <w:rPr>
          <w:lang w:val="en-GB"/>
        </w:rPr>
        <w:t>.</w:t>
      </w:r>
      <w:r w:rsidR="35F521D7" w:rsidRPr="5575EBFC">
        <w:rPr>
          <w:lang w:val="en-GB"/>
        </w:rPr>
        <w:t xml:space="preserve"> </w:t>
      </w:r>
      <w:r w:rsidR="65C737A6" w:rsidRPr="5575EBFC">
        <w:rPr>
          <w:lang w:val="en-GB"/>
        </w:rPr>
        <w:t xml:space="preserve">In </w:t>
      </w:r>
      <w:r w:rsidR="3CD3EA44" w:rsidRPr="5575EBFC">
        <w:rPr>
          <w:lang w:val="en-GB"/>
        </w:rPr>
        <w:t xml:space="preserve">fire-adapted </w:t>
      </w:r>
      <w:r w:rsidR="65C737A6" w:rsidRPr="5575EBFC">
        <w:rPr>
          <w:lang w:val="en-GB"/>
        </w:rPr>
        <w:t xml:space="preserve">systems, </w:t>
      </w:r>
      <w:r w:rsidR="22900AB3" w:rsidRPr="5575EBFC">
        <w:rPr>
          <w:lang w:val="en-GB"/>
        </w:rPr>
        <w:t xml:space="preserve">continuation of </w:t>
      </w:r>
      <w:r w:rsidR="060211E0" w:rsidRPr="5575EBFC">
        <w:rPr>
          <w:lang w:val="en-GB"/>
        </w:rPr>
        <w:t xml:space="preserve">the historic </w:t>
      </w:r>
      <w:r w:rsidR="6EE6086F" w:rsidRPr="5575EBFC">
        <w:rPr>
          <w:lang w:val="en-GB"/>
        </w:rPr>
        <w:t xml:space="preserve">natural or anthropogenic </w:t>
      </w:r>
      <w:r w:rsidR="17A7497F" w:rsidRPr="5575EBFC">
        <w:rPr>
          <w:lang w:val="en-GB"/>
        </w:rPr>
        <w:t>fire regimes</w:t>
      </w:r>
      <w:r w:rsidR="3331D8B3" w:rsidRPr="5575EBFC">
        <w:rPr>
          <w:lang w:val="en-GB"/>
        </w:rPr>
        <w:t xml:space="preserve"> </w:t>
      </w:r>
      <w:r w:rsidR="6CB91D64" w:rsidRPr="5575EBFC">
        <w:rPr>
          <w:lang w:val="en-GB"/>
        </w:rPr>
        <w:t xml:space="preserve">generally </w:t>
      </w:r>
      <w:r w:rsidR="2DAFB9FA" w:rsidRPr="5575EBFC">
        <w:rPr>
          <w:lang w:val="en-GB"/>
        </w:rPr>
        <w:t>has</w:t>
      </w:r>
      <w:r w:rsidR="6F5E01E4" w:rsidRPr="5575EBFC">
        <w:rPr>
          <w:lang w:val="en-GB"/>
        </w:rPr>
        <w:t xml:space="preserve"> </w:t>
      </w:r>
      <w:r w:rsidRPr="5575EBFC">
        <w:rPr>
          <w:lang w:val="en-GB"/>
        </w:rPr>
        <w:t>relatively little influence on either native species performance or the establishment of alien species</w:t>
      </w:r>
      <w:r w:rsidR="29284A9D" w:rsidRPr="5575EBFC">
        <w:rPr>
          <w:lang w:val="en-GB"/>
        </w:rPr>
        <w:t xml:space="preserve"> whereas</w:t>
      </w:r>
      <w:r w:rsidRPr="5575EBFC">
        <w:rPr>
          <w:lang w:val="en-GB"/>
        </w:rPr>
        <w:t xml:space="preserve"> </w:t>
      </w:r>
      <w:r w:rsidR="2DB6DC4E" w:rsidRPr="5575EBFC">
        <w:rPr>
          <w:lang w:val="en-GB"/>
        </w:rPr>
        <w:t>loss of traditional fire regimes</w:t>
      </w:r>
      <w:r w:rsidR="23BF2FFE" w:rsidRPr="5575EBFC">
        <w:rPr>
          <w:lang w:val="en-GB"/>
        </w:rPr>
        <w:t xml:space="preserve"> </w:t>
      </w:r>
      <w:r w:rsidR="2DB6DC4E" w:rsidRPr="5575EBFC">
        <w:rPr>
          <w:lang w:val="en-GB"/>
        </w:rPr>
        <w:t xml:space="preserve">may benefit </w:t>
      </w:r>
      <w:r w:rsidR="4868DBB2" w:rsidRPr="5575EBFC">
        <w:rPr>
          <w:lang w:val="en-GB"/>
        </w:rPr>
        <w:t>invasive alien species</w:t>
      </w:r>
      <w:r w:rsidR="65751155" w:rsidRPr="5575EBFC">
        <w:rPr>
          <w:lang w:val="en-GB"/>
        </w:rPr>
        <w:t xml:space="preserve"> </w:t>
      </w:r>
      <w:r w:rsidR="00D132A7" w:rsidRPr="5575EBFC">
        <w:rPr>
          <w:lang w:val="en-GB"/>
        </w:rPr>
        <w:fldChar w:fldCharType="begin"/>
      </w:r>
      <w:r w:rsidR="00331A79">
        <w:rPr>
          <w:lang w:val="en-GB"/>
        </w:rPr>
        <w:instrText xml:space="preserve"> ADDIN ZOTERO_ITEM CSL_CITATION {"citationID":"ktmnarcA","properties":{"formattedCitation":"(Alba et al., 2015; L. T. Kelly et al., 2020; Velle et al., 2014)","plainCitation":"(Alba et al., 2015; L. T. Kelly et al., 2020; Velle et al., 2014)","noteIndex":0},"citationItems":[{"id":9831,"uris":["http://zotero.org/groups/2352922/items/RMN7SZ68"],"itemData":{"id":9831,"type":"article-journal","abstract":"Methods: We used meta-analysis to (1) test whether native and exotic species composition (richness or diversity) and performance (cover, density and biomass) differ in response to wildﬁre and prescribed ﬁre, and (2) assess how the composition and performance of these species groups vary with time elapsed since ﬁre and habitat types.\nResults: Most community-level research on how native and exotic species respond to ﬁre has been conducted in the US and Australia, typically over short time scales, and with a focus on temperate forest and grassland ecosystems. Prescribed ﬁre beneﬁted native composition over short time scales (&lt;1 yr) but, on average, had no effect on native performance, nor on exotic composition or performance. In contrast, wildﬁre consistently enhanced exotic composition and performance over all time scales, while having no effect on native species composition and signiﬁcantly reducing native performance. Additionally, responses varied by habitat: native species groups responded positively to prescribed ﬁre in heathlands and to a lesser extent in temperate grasslands, while responding negatively to wildﬁre in arid shrublands and heathlands, and to a more modest degree in tropical savannas. Exotic species groups responded positively to wildﬁre in arid shrublands, temperate forests and heathlands.\nConclusions: This quantitative assessment of the literature revealed strong evidence for a positive response of exotics to wildﬁre, coupled with a striking near-absence of negative responses. The assessment additionally suggests that while prescribed ﬁre does beneﬁt native composition, on average, it does not appear to greatly facilitate native performance; however site-speciﬁc variation in how communities responded to ﬁre was pronounced, underscoring the importance of local assessments in determining mechanistic drivers and management policy.","container-title":"Journal of Vegetation Science","DOI":"10.1111/jvs.12212","ISSN":"11009233","issue":"1","journalAbbreviation":"J Veg Sci","language":"en","page":"102-113","source":"DOI.org (Crossref)","title":"Native and exotic plant species respond differently to wildfire and prescribed fire as revealed by meta-analysis","URL":"http://doi.wiley.com/10.1111/jvs.12212","volume":"26","author":[{"family":"Alba","given":"Christina"},{"family":"Skálová","given":"Hana"},{"family":"McGregor","given":"Kirsty F."},{"family":"D'Antonio","given":"Carla"},{"family":"Pyšek","given":"Petr"}],"editor":[{"family":"Morgan","given":"John"}],"accessed":{"date-parts":[["2019",11,3]]},"issued":{"date-parts":[["2015",1]]}},"label":"page"},{"id":56461,"uris":["http://zotero.org/groups/2352922/items/3FDNSA6Q","http://zotero.org/groups/2352922/items/Q4GIWM9S"],"itemData":{"id":56461,"type":"article-journal","abstract":"Fire's growing impacts on ecosystems\n            \n              Fire has played a prominent role in the evolution of biodiversity and is a natural factor shaping many ecological communities. However, the incidence of fire has been exacerbated by human activity, and this is now affecting ecosystems and habitats that have never been fire prone or fire adapted. Kelly\n              et al.\n              review how such changes are already threatening species with extinction and transforming terrestrial ecosystems and discuss the trends causing changes in fire regimes. They also consider actions that could be taken by conservationists and policy-makers to help sustain biodiversity in a time of changing fire activity.\n            \n            \n              Science\n              , this issue p.\n              eabb0355\n            \n          , \n            \n              BACKGROUND\n              Fire has shaped the diversity of life on Earth for millions of years. Variation in fire regimes continues to be a source of biodiversity across the globe, and many plants, animals, and ecosystems depend on particular temporal and spatial patterns of fire. Although people have been using fire to modify environments for millennia, the combined effects of human activities are now changing patterns of fire at a global scale—to the detriment of human society, biodiversity, and ecosystems. These changes pose a global challenge for understanding how to sustain biodiversity in a new era of fire. We synthesize how changes in fire activity are threatening species with extinction across the globe, highlight forward-looking methods for predicting the combined effects of human drivers and fire on biodiversity, and foreshadow emerging actions and strategies that could revolutionize how society manages fire for biodiversity in the Anthropocene.\n            \n            \n              ADVANCES\n              Our synthesis shows that interactions with anthropogenic drivers such as global climate change, land use, and biotic invasions are transforming fire activity and its impacts on biodiversity. More than 4400 terrestrial and freshwater species from a wide range of taxa and habitats face threats associated with modified fire regimes. Many species are threatened by an increase in fire frequency or intensity, but exclusion of fire in ecosystems that need it can also be harmful. The prominent role of human activity in shaping global ecosystems is the hallmark of the Anthropocene and sets the context in which models and actions must be developed. Advances in predictive modeling deliver new opportunities to couple fire and biodiversity data and to link them with forecasts of multiple drivers including drought, invasive plants, and urban growth. Making these connections also provides an opportunity for new actions that could revolutionize how society manages fire. Emerging actions include reintroduction of mammals that reduce fuels, green fire breaks comprising low-flammability plants, strategically letting wildfires burn under the right conditions, managed evolution of populations aided by new genomics tools, and deployment of rapid response teams to protect biodiversity assets. Indigenous fire stewardship and reinstatement of cultural burning in a modern context will enhance biodiversity and human well-being in many regions of the world. At the same time, international efforts to reduce greenhouse gas emissions are crucial to reduce the risk of extreme fire events that contribute to declines in biodiversity.\n            \n            \n              OUTLOOK\n              Conservation of Earth’s biological diversity will be achieved only by recognition of and response to the critical role of fire in shaping ecosystems. Global changes in fire regimes will continue to amplify interactions between anthropogenic drivers and create difficult trade-offs between environmental and social objectives. Scientific input will be crucial for navigating major decisions about novel and changing ecosystems. Strategic collection of data on fire, biodiversity, and socioeconomic variables will be essential for developing models to capture the feedbacks, tipping points, and regime shifts characteristic of the Anthropocene. New partnerships are also needed to meet the challenges ahead. At the local and regional scale, getting more of the “right” type of fire in landscapes that need it requires new alliances and networks to build and apply knowledge. At the national and global scale, biodiversity conservation will benefit from greater integration of fire into national biodiversity strategies and action plans and in the implementation of international agreements and initiatives such as the UN Convention on Biological Diversity. Placing the increasingly important role of people at the forefront of efforts to understand and adapt to changes in fire regimes is central to these endeavors.\n              \n                \n                  Interactions between fire and anthropogenic drivers such as global climate change, land use, and invasive species are reshaping ecosystems worldwide.\n                  A hotter and drier climate causes more extreme fire weather in southeastern Australia and significant loss of biota. Human-caused ignitions at the interface of urban areas and forests increase the risk of large, severe fires in the western United States, with growing human and ecological costs. In South Africa, fynbos shrublands depend on recurrent fire, yet invasive woody species can promote high-intensity fires that harm native plants and seedbanks. Changes in climate, land use, and species redistributions are underpinned by socioeconomic drivers. In many parts of the world, cessation of traditional fire practices has been linked with detrimental outcomes for biodiversity. In the fire-dependent savannas (cerrado) of Brazil, deliberate use of fire by Indigenous and local peoples, such as the Xavante, can have positive effects on biodiversity.\n                \n                \n                PHOTO CREDITS: J. CARMODY / AUSTRALIAN BROADCASTING CORPORATION (TOP LEFT), AAP PHOTOS (TOP RIGHT), A. DE LANGE (BOTTOM LEFT), J. R. WELCH (BOTTOM RIGHT)\n              \n            \n          , \n            Fire has been a source of global biodiversity for millions of years. However, interactions with anthropogenic drivers such as climate change, land use, and invasive species are changing the nature of fire activity and its impacts. We review how such changes are threatening species with extinction and transforming terrestrial ecosystems. Conservation of Earth’s biological diversity will be achieved only by recognizing and responding to the critical role of fire. In the Anthropocene, this requires that conservation planning explicitly includes the combined effects of human activities and fire regimes. Improved forecasts for biodiversity must also integrate the connections among people, fire, and ecosystems. Such integration provides an opportunity for new actions that could revolutionize how society sustains biodiversity in a time of changing fire activity.","container-title":"Science","DOI":"10.1126/science.abb0355","ISSN":"0036-8075, 1095-9203","issue":"6519","journalAbbreviation":"Science","language":"en","page":"eabb0355","source":"DOI.org (Crossref)","title":"Fire and biodiversity in the Anthropocene","URL":"https://www.science.org/doi/10.1126/science.abb0355","volume":"370","author":[{"family":"Kelly","given":"Luke T."},{"family":"Giljohann","given":"Katherine M."},{"family":"Duane","given":"Andrea"},{"family":"Aquilué","given":"Núria"},{"family":"Archibald","given":"Sally"},{"family":"Batllori","given":"Enric"},{"family":"Bennett","given":"Andrew F."},{"family":"Buckland","given":"Stephen T."},{"family":"Canelles","given":"Quim"},{"family":"Clarke","given":"Michael F."},{"family":"Fortin","given":"Marie-Josée"},{"family":"Hermoso","given":"Virgilio"},{"family":"Herrando","given":"Sergi"},{"family":"Keane","given":"Robert E."},{"family":"Lake","given":"Frank K."},{"family":"McCarthy","given":"Michael A."},{"family":"Morán-Ordóñez","given":"Alejandra"},{"family":"Parr","given":"Catherine L."},{"family":"Pausas","given":"Juli G."},{"family":"Penman","given":"Trent D."},{"family":"Regos","given":"Adrián"},{"family":"Rumpff","given":"Libby"},{"family":"Santos","given":"Julianna L."},{"family":"Smith","given":"Annabel L."},{"family":"Syphard","given":"Alexandra D."},{"family":"Tingley","given":"Morgan W."},{"family":"Brotons","given":"Lluís"}],"accessed":{"date-parts":[["2023",6,8]]},"issued":{"date-parts":[["2020",11,20]]}},"label":"page"},{"id":52909,"uris":["http://zotero.org/groups/2352922/items/NG8I74Q4"],"itemData":{"id":52909,"type":"article-journal","container-title":"Global Change Biology","DOI":"10.1111/gcb.12448","ISSN":"13541013","issue":"5","journalAbbreviation":"Glob Change Biol","language":"en","page":"1429-1440","source":"DOI.org (Crossref)","title":"Does prescribed burning result in biotic homogenization of coastal heathlands?","URL":"https://onlinelibrary.wiley.com/doi/10.1111/gcb.12448","volume":"20","author":[{"family":"Velle","given":"Liv Guri"},{"family":"Nilsen","given":"Liv Sigrid"},{"family":"Norderhaug","given":"Ann"},{"family":"Vandvik","given":"Vigdis"}],"accessed":{"date-parts":[["2022",8,16]]},"issued":{"date-parts":[["2014",5]]}},"label":"page"}],"schema":"https://github.com/citation-style-language/schema/raw/master/csl-citation.json"} </w:instrText>
      </w:r>
      <w:r w:rsidR="00D132A7" w:rsidRPr="5575EBFC">
        <w:rPr>
          <w:lang w:val="en-GB"/>
        </w:rPr>
        <w:fldChar w:fldCharType="separate"/>
      </w:r>
      <w:r w:rsidR="6B5F9B9E">
        <w:t>(Alba et al., 2015; L. T. Kelly et al., 2020; Velle et al., 2014)</w:t>
      </w:r>
      <w:r w:rsidR="00D132A7" w:rsidRPr="5575EBFC">
        <w:rPr>
          <w:lang w:val="en-GB"/>
        </w:rPr>
        <w:fldChar w:fldCharType="end"/>
      </w:r>
      <w:r w:rsidR="1E96E386" w:rsidRPr="5575EBFC">
        <w:rPr>
          <w:lang w:val="en-GB"/>
        </w:rPr>
        <w:t xml:space="preserve">. </w:t>
      </w:r>
      <w:r w:rsidR="4CB60325" w:rsidRPr="5575EBFC">
        <w:rPr>
          <w:lang w:val="en-GB"/>
        </w:rPr>
        <w:t>A</w:t>
      </w:r>
      <w:r w:rsidR="72BD2B92" w:rsidRPr="5575EBFC">
        <w:rPr>
          <w:lang w:val="en-GB"/>
        </w:rPr>
        <w:t xml:space="preserve"> meta</w:t>
      </w:r>
      <w:r w:rsidR="030941CF" w:rsidRPr="5575EBFC">
        <w:rPr>
          <w:lang w:val="en-GB"/>
        </w:rPr>
        <w:t>-</w:t>
      </w:r>
      <w:r w:rsidR="72BD2B92" w:rsidRPr="5575EBFC">
        <w:rPr>
          <w:lang w:val="en-GB"/>
        </w:rPr>
        <w:t xml:space="preserve">analysis of </w:t>
      </w:r>
      <w:r w:rsidR="6EA394ED" w:rsidRPr="5575EBFC">
        <w:rPr>
          <w:lang w:val="en-GB"/>
        </w:rPr>
        <w:t xml:space="preserve">the role of </w:t>
      </w:r>
      <w:r w:rsidR="72BD2B92" w:rsidRPr="5575EBFC">
        <w:rPr>
          <w:lang w:val="en-GB"/>
        </w:rPr>
        <w:t xml:space="preserve">fire on native and invasive </w:t>
      </w:r>
      <w:r w:rsidR="0788445F" w:rsidRPr="5575EBFC">
        <w:rPr>
          <w:lang w:val="en-GB"/>
        </w:rPr>
        <w:t>alien species</w:t>
      </w:r>
      <w:r w:rsidR="33F84C33" w:rsidRPr="5575EBFC">
        <w:rPr>
          <w:lang w:val="en-GB"/>
        </w:rPr>
        <w:t xml:space="preserve"> found that </w:t>
      </w:r>
      <w:r w:rsidR="72BD2B92" w:rsidRPr="5575EBFC">
        <w:rPr>
          <w:lang w:val="en-GB"/>
        </w:rPr>
        <w:t xml:space="preserve">prescribed low-intensity burns may benefit native </w:t>
      </w:r>
      <w:r w:rsidR="0788445F" w:rsidRPr="5575EBFC">
        <w:rPr>
          <w:lang w:val="en-GB"/>
        </w:rPr>
        <w:t xml:space="preserve">species </w:t>
      </w:r>
      <w:r w:rsidR="72BD2B92" w:rsidRPr="5575EBFC">
        <w:rPr>
          <w:lang w:val="en-GB"/>
        </w:rPr>
        <w:t xml:space="preserve">but generally do </w:t>
      </w:r>
      <w:r w:rsidR="36251BD7" w:rsidRPr="5575EBFC">
        <w:rPr>
          <w:lang w:val="en-GB"/>
        </w:rPr>
        <w:t xml:space="preserve">not </w:t>
      </w:r>
      <w:r w:rsidR="72BD2B92" w:rsidRPr="5575EBFC">
        <w:rPr>
          <w:lang w:val="en-GB"/>
        </w:rPr>
        <w:t>affect alien</w:t>
      </w:r>
      <w:r w:rsidR="0788445F" w:rsidRPr="5575EBFC">
        <w:rPr>
          <w:lang w:val="en-GB"/>
        </w:rPr>
        <w:t xml:space="preserve"> </w:t>
      </w:r>
      <w:r w:rsidR="36251BD7" w:rsidRPr="5575EBFC">
        <w:rPr>
          <w:lang w:val="en-GB"/>
        </w:rPr>
        <w:t>s</w:t>
      </w:r>
      <w:r w:rsidR="0788445F" w:rsidRPr="5575EBFC">
        <w:rPr>
          <w:lang w:val="en-GB"/>
        </w:rPr>
        <w:t>pecies</w:t>
      </w:r>
      <w:r w:rsidR="72BD2B92" w:rsidRPr="5575EBFC">
        <w:rPr>
          <w:lang w:val="en-GB"/>
        </w:rPr>
        <w:t>, whereas wildfires consistently enhanced alien</w:t>
      </w:r>
      <w:r w:rsidR="36251BD7" w:rsidRPr="5575EBFC">
        <w:rPr>
          <w:lang w:val="en-GB"/>
        </w:rPr>
        <w:t xml:space="preserve"> </w:t>
      </w:r>
      <w:r w:rsidR="0788445F" w:rsidRPr="5575EBFC">
        <w:rPr>
          <w:lang w:val="en-GB"/>
        </w:rPr>
        <w:t xml:space="preserve">species </w:t>
      </w:r>
      <w:r w:rsidR="36251BD7" w:rsidRPr="5575EBFC">
        <w:rPr>
          <w:lang w:val="en-GB"/>
        </w:rPr>
        <w:t>performance and diversity</w:t>
      </w:r>
      <w:r w:rsidR="72BD2B92" w:rsidRPr="5575EBFC">
        <w:rPr>
          <w:lang w:val="en-GB"/>
        </w:rPr>
        <w:t xml:space="preserve">, and especially </w:t>
      </w:r>
      <w:r w:rsidR="36251BD7" w:rsidRPr="5575EBFC">
        <w:rPr>
          <w:lang w:val="en-GB"/>
        </w:rPr>
        <w:t xml:space="preserve">so </w:t>
      </w:r>
      <w:r w:rsidR="72BD2B92" w:rsidRPr="5575EBFC">
        <w:rPr>
          <w:lang w:val="en-GB"/>
        </w:rPr>
        <w:t>in arid shrublands, temperate forests and heathlands</w:t>
      </w:r>
      <w:r w:rsidR="785C05F3" w:rsidRPr="5575EBFC">
        <w:rPr>
          <w:lang w:val="en-GB"/>
        </w:rPr>
        <w:t xml:space="preserve"> </w:t>
      </w:r>
      <w:r w:rsidR="00D132A7" w:rsidRPr="5575EBFC">
        <w:rPr>
          <w:lang w:val="en-GB"/>
        </w:rPr>
        <w:fldChar w:fldCharType="begin"/>
      </w:r>
      <w:r w:rsidR="00331A79">
        <w:rPr>
          <w:lang w:val="en-GB"/>
        </w:rPr>
        <w:instrText xml:space="preserve"> ADDIN ZOTERO_ITEM CSL_CITATION {"citationID":"rzyn4IV3","properties":{"formattedCitation":"(Alba et al., 2015)","plainCitation":"(Alba et al., 2015)","noteIndex":0},"citationItems":[{"id":9831,"uris":["http://zotero.org/groups/2352922/items/RMN7SZ68"],"itemData":{"id":9831,"type":"article-journal","abstract":"Methods: We used meta-analysis to (1) test whether native and exotic species composition (richness or diversity) and performance (cover, density and biomass) differ in response to wildﬁre and prescribed ﬁre, and (2) assess how the composition and performance of these species groups vary with time elapsed since ﬁre and habitat types.\nResults: Most community-level research on how native and exotic species respond to ﬁre has been conducted in the US and Australia, typically over short time scales, and with a focus on temperate forest and grassland ecosystems. Prescribed ﬁre beneﬁted native composition over short time scales (&lt;1 yr) but, on average, had no effect on native performance, nor on exotic composition or performance. In contrast, wildﬁre consistently enhanced exotic composition and performance over all time scales, while having no effect on native species composition and signiﬁcantly reducing native performance. Additionally, responses varied by habitat: native species groups responded positively to prescribed ﬁre in heathlands and to a lesser extent in temperate grasslands, while responding negatively to wildﬁre in arid shrublands and heathlands, and to a more modest degree in tropical savannas. Exotic species groups responded positively to wildﬁre in arid shrublands, temperate forests and heathlands.\nConclusions: This quantitative assessment of the literature revealed strong evidence for a positive response of exotics to wildﬁre, coupled with a striking near-absence of negative responses. The assessment additionally suggests that while prescribed ﬁre does beneﬁt native composition, on average, it does not appear to greatly facilitate native performance; however site-speciﬁc variation in how communities responded to ﬁre was pronounced, underscoring the importance of local assessments in determining mechanistic drivers and management policy.","container-title":"Journal of Vegetation Science","DOI":"10.1111/jvs.12212","ISSN":"11009233","issue":"1","journalAbbreviation":"J Veg Sci","language":"en","page":"102-113","source":"DOI.org (Crossref)","title":"Native and exotic plant species respond differently to wildfire and prescribed fire as revealed by meta-analysis","URL":"http://doi.wiley.com/10.1111/jvs.12212","volume":"26","author":[{"family":"Alba","given":"Christina"},{"family":"Skálová","given":"Hana"},{"family":"McGregor","given":"Kirsty F."},{"family":"D'Antonio","given":"Carla"},{"family":"Pyšek","given":"Petr"}],"editor":[{"family":"Morgan","given":"John"}],"accessed":{"date-parts":[["2019",11,3]]},"issued":{"date-parts":[["2015",1]]}}}],"schema":"https://github.com/citation-style-language/schema/raw/master/csl-citation.json"} </w:instrText>
      </w:r>
      <w:r w:rsidR="00D132A7" w:rsidRPr="5575EBFC">
        <w:rPr>
          <w:lang w:val="en-GB"/>
        </w:rPr>
        <w:fldChar w:fldCharType="separate"/>
      </w:r>
      <w:r w:rsidR="6B5F9B9E">
        <w:t>(Alba et al., 2015)</w:t>
      </w:r>
      <w:r w:rsidR="00D132A7" w:rsidRPr="5575EBFC">
        <w:rPr>
          <w:lang w:val="en-GB"/>
        </w:rPr>
        <w:fldChar w:fldCharType="end"/>
      </w:r>
      <w:r w:rsidR="72BD2B92" w:rsidRPr="5575EBFC">
        <w:rPr>
          <w:lang w:val="en-GB"/>
        </w:rPr>
        <w:t>.</w:t>
      </w:r>
      <w:r w:rsidR="785C05F3" w:rsidRPr="5575EBFC">
        <w:rPr>
          <w:lang w:val="en-GB"/>
        </w:rPr>
        <w:t xml:space="preserve"> </w:t>
      </w:r>
      <w:r w:rsidR="78199D62" w:rsidRPr="5575EBFC">
        <w:rPr>
          <w:lang w:val="en-GB"/>
        </w:rPr>
        <w:t>T</w:t>
      </w:r>
      <w:r w:rsidR="33F84C33" w:rsidRPr="5575EBFC">
        <w:rPr>
          <w:lang w:val="en-GB"/>
        </w:rPr>
        <w:t>h</w:t>
      </w:r>
      <w:r w:rsidR="5F4292ED" w:rsidRPr="5575EBFC">
        <w:rPr>
          <w:lang w:val="en-GB"/>
        </w:rPr>
        <w:t xml:space="preserve">e evidence </w:t>
      </w:r>
      <w:r w:rsidR="0788445F" w:rsidRPr="5575EBFC">
        <w:rPr>
          <w:lang w:val="en-GB"/>
        </w:rPr>
        <w:t>from</w:t>
      </w:r>
      <w:r w:rsidR="5F4292ED" w:rsidRPr="5575EBFC">
        <w:rPr>
          <w:lang w:val="en-GB"/>
        </w:rPr>
        <w:t xml:space="preserve"> this </w:t>
      </w:r>
      <w:r w:rsidR="78199D62" w:rsidRPr="5575EBFC">
        <w:rPr>
          <w:lang w:val="en-GB"/>
        </w:rPr>
        <w:t>g</w:t>
      </w:r>
      <w:r w:rsidR="33F84C33" w:rsidRPr="5575EBFC">
        <w:rPr>
          <w:lang w:val="en-GB"/>
        </w:rPr>
        <w:t>lobal study</w:t>
      </w:r>
      <w:r w:rsidR="78199D62" w:rsidRPr="5575EBFC">
        <w:rPr>
          <w:lang w:val="en-GB"/>
        </w:rPr>
        <w:t xml:space="preserve"> </w:t>
      </w:r>
      <w:r w:rsidR="5F4292ED" w:rsidRPr="5575EBFC">
        <w:rPr>
          <w:lang w:val="en-GB"/>
        </w:rPr>
        <w:t xml:space="preserve">was largely </w:t>
      </w:r>
      <w:r w:rsidR="33F84C33" w:rsidRPr="5575EBFC">
        <w:rPr>
          <w:lang w:val="en-GB"/>
        </w:rPr>
        <w:t>from the United States and Australia</w:t>
      </w:r>
      <w:r w:rsidR="42012E3D" w:rsidRPr="5575EBFC">
        <w:rPr>
          <w:lang w:val="en-GB"/>
        </w:rPr>
        <w:t>, pointing to regional knowledge gaps</w:t>
      </w:r>
      <w:r w:rsidR="33F84C33" w:rsidRPr="5575EBFC">
        <w:rPr>
          <w:lang w:val="en-GB"/>
        </w:rPr>
        <w:t xml:space="preserve">. </w:t>
      </w:r>
      <w:r w:rsidR="7F552785" w:rsidRPr="5575EBFC">
        <w:rPr>
          <w:lang w:val="en-GB"/>
        </w:rPr>
        <w:t>Invasive alien species</w:t>
      </w:r>
      <w:r w:rsidR="139C90FB" w:rsidRPr="5575EBFC">
        <w:rPr>
          <w:lang w:val="en-GB"/>
        </w:rPr>
        <w:t xml:space="preserve"> </w:t>
      </w:r>
      <w:r w:rsidR="0254703F" w:rsidRPr="5575EBFC">
        <w:rPr>
          <w:lang w:val="en-GB"/>
        </w:rPr>
        <w:t xml:space="preserve">may </w:t>
      </w:r>
      <w:r w:rsidR="18943592" w:rsidRPr="5575EBFC">
        <w:rPr>
          <w:lang w:val="en-GB"/>
        </w:rPr>
        <w:t xml:space="preserve">benefit from both reduction and enhancement </w:t>
      </w:r>
      <w:r w:rsidR="0254703F" w:rsidRPr="5575EBFC">
        <w:rPr>
          <w:lang w:val="en-GB"/>
        </w:rPr>
        <w:t>of fire regimes</w:t>
      </w:r>
      <w:r w:rsidR="18943592" w:rsidRPr="5575EBFC">
        <w:rPr>
          <w:lang w:val="en-GB"/>
        </w:rPr>
        <w:t xml:space="preserve"> relative to historic levels</w:t>
      </w:r>
      <w:r w:rsidR="0254703F" w:rsidRPr="5575EBFC">
        <w:rPr>
          <w:lang w:val="en-GB"/>
        </w:rPr>
        <w:t xml:space="preserve">. For example, </w:t>
      </w:r>
      <w:r w:rsidR="18943592" w:rsidRPr="5575EBFC">
        <w:rPr>
          <w:lang w:val="en-GB"/>
        </w:rPr>
        <w:t>i</w:t>
      </w:r>
      <w:r w:rsidR="053AA683" w:rsidRPr="5575EBFC">
        <w:rPr>
          <w:lang w:val="en-GB"/>
        </w:rPr>
        <w:t xml:space="preserve">n </w:t>
      </w:r>
      <w:r w:rsidR="65521E2D" w:rsidRPr="5575EBFC">
        <w:rPr>
          <w:lang w:val="en-GB"/>
        </w:rPr>
        <w:t xml:space="preserve">naturally </w:t>
      </w:r>
      <w:r w:rsidR="053AA683" w:rsidRPr="5575EBFC">
        <w:rPr>
          <w:lang w:val="en-GB"/>
        </w:rPr>
        <w:t>fire-</w:t>
      </w:r>
      <w:r w:rsidR="65521E2D" w:rsidRPr="5575EBFC">
        <w:rPr>
          <w:lang w:val="en-GB"/>
        </w:rPr>
        <w:t>prone</w:t>
      </w:r>
      <w:r w:rsidR="053AA683" w:rsidRPr="5575EBFC">
        <w:rPr>
          <w:lang w:val="en-GB"/>
        </w:rPr>
        <w:t xml:space="preserve"> </w:t>
      </w:r>
      <w:r w:rsidR="214CCA59" w:rsidRPr="5575EBFC">
        <w:rPr>
          <w:lang w:val="en-GB"/>
        </w:rPr>
        <w:t>prairies</w:t>
      </w:r>
      <w:r w:rsidR="053AA683" w:rsidRPr="5575EBFC">
        <w:rPr>
          <w:lang w:val="en-GB"/>
        </w:rPr>
        <w:t xml:space="preserve"> in the U</w:t>
      </w:r>
      <w:r w:rsidR="4BE54DAB" w:rsidRPr="5575EBFC">
        <w:rPr>
          <w:lang w:val="en-GB"/>
        </w:rPr>
        <w:t xml:space="preserve">nited </w:t>
      </w:r>
      <w:r w:rsidR="053AA683" w:rsidRPr="5575EBFC">
        <w:rPr>
          <w:lang w:val="en-GB"/>
        </w:rPr>
        <w:t>S</w:t>
      </w:r>
      <w:r w:rsidR="4BE54DAB" w:rsidRPr="5575EBFC">
        <w:rPr>
          <w:lang w:val="en-GB"/>
        </w:rPr>
        <w:t>tates</w:t>
      </w:r>
      <w:r w:rsidR="053AA683" w:rsidRPr="5575EBFC">
        <w:rPr>
          <w:lang w:val="en-GB"/>
        </w:rPr>
        <w:t xml:space="preserve">, </w:t>
      </w:r>
      <w:r w:rsidR="5B6990D2" w:rsidRPr="5575EBFC">
        <w:rPr>
          <w:lang w:val="en-GB"/>
        </w:rPr>
        <w:t xml:space="preserve">fire suppression led to the dominance of </w:t>
      </w:r>
      <w:r w:rsidR="053AA683" w:rsidRPr="5575EBFC">
        <w:rPr>
          <w:lang w:val="en-GB"/>
        </w:rPr>
        <w:t xml:space="preserve">invasive </w:t>
      </w:r>
      <w:r w:rsidR="0788445F" w:rsidRPr="5575EBFC">
        <w:rPr>
          <w:lang w:val="en-GB"/>
        </w:rPr>
        <w:t xml:space="preserve">alien </w:t>
      </w:r>
      <w:r w:rsidR="053AA683" w:rsidRPr="5575EBFC">
        <w:rPr>
          <w:lang w:val="en-GB"/>
        </w:rPr>
        <w:t>earthworm</w:t>
      </w:r>
      <w:r w:rsidR="0788445F" w:rsidRPr="5575EBFC">
        <w:rPr>
          <w:lang w:val="en-GB"/>
        </w:rPr>
        <w:t>s</w:t>
      </w:r>
      <w:r w:rsidR="053AA683" w:rsidRPr="5575EBFC">
        <w:rPr>
          <w:lang w:val="en-GB"/>
        </w:rPr>
        <w:t xml:space="preserve"> </w:t>
      </w:r>
      <w:r w:rsidR="00D132A7" w:rsidRPr="5575EBFC">
        <w:rPr>
          <w:lang w:val="en-GB"/>
        </w:rPr>
        <w:fldChar w:fldCharType="begin"/>
      </w:r>
      <w:r w:rsidR="00331A79">
        <w:rPr>
          <w:lang w:val="en-GB"/>
        </w:rPr>
        <w:instrText xml:space="preserve"> ADDIN ZOTERO_ITEM CSL_CITATION {"citationID":"ywgLSPGo","properties":{"formattedCitation":"(Callaham et al., 2003; Callaham &amp; Blair, 1999)","plainCitation":"(Callaham et al., 2003; Callaham &amp; Blair, 1999)","noteIndex":0},"citationItems":[{"id":27192,"uris":["http://zotero.org/groups/2352922/items/NT32QAVZ"],"itemData":{"id":27192,"type":"article-journal","abstract":"The responses of tallgrass prairie plant communities and ecosystem processes to fire and grazing are well characterized. However, responses of invertebrate consumer groups, and particularly soil-dwelling organisms, to these disturbances are not well known. At Konza Prairie Biological Station, we sampled soil macroinvertebrates in 1994 and 1999 as part of a long-term experiment designed to examine the effects and interactions of annual fire, mowing, and fertilization (N and P) on prairie soil communities and processes. For nearly all taxa, in both years, responses were characterized by significant treatment interactions, but some general patterns were evident. Introduced European earthworms (Aporrectodea spp. and Octolasion spp.) were most abundant in plots where fire was excluded, and the proportion of the total earthworm community consisting of introduced earthworms was greater in unburned, unmowed, and fertilized plots. Nymphs of two Cicada genera were collected (Cicadetta spp. and Tibicen spp.). Cicadetta nymphs were more abundant in burned plots, but mowing reduced their abundance. Tibicen nymphs were collected almost exclusively from unburned plots. Treatment effects on herbivorous beetle larvae (Scarabaeidae, Elateridae, and Curculionidae) were variable, but nutrient additions (N or P) usually resulted in greater densities, whereas mowing usually resulted in lower densities. Our results suggest that departures from historical disturbance regimes (i.e. frequent fire and grazing) may render soils more susceptible to increased numbers of European earthworms, and that interactions between fire, aboveground biomass removal, and vegetation responses affect the structure and composition of invertebrate communities in tallgrass prairie soils.","container-title":"Soil Biology and Biochemistry","DOI":"10.1016/S0038-0717(03)00153-6","ISSN":"0038-0717","issue":"8","journalAbbreviation":"Soil Biology and Biochemistry","language":"en","page":"1079-1093","source":"ScienceDirect","title":"Macroinvertebrates in North American tallgrass prairie soils: effects of fire, mowing, and fertilization on density and biomass","title-short":"Macroinvertebrates in North American tallgrass prairie soils","URL":"https://www.sciencedirect.com/science/article/pii/S0038071703001536","volume":"35","author":[{"family":"Callaham","given":"Mac A."},{"family":"Blair","given":"J. M."},{"family":"Todd","given":"T. C."},{"family":"Kitchen","given":"D. J."},{"family":"Whiles","given":"M. R."}],"accessed":{"date-parts":[["2021",6,16]]},"issued":{"date-parts":[["2003",8,1]]}},"label":"page"},{"id":27191,"uris":["http://zotero.org/groups/2352922/items/TVPCSBMJ"],"itemData":{"id":27191,"type":"article-journal","container-title":"Pedobiologia","page":"507-512","title":"Influence of differing land management on the invasion of North American tallgrass prairie soils by European earthworms","URL":"http://lter.konza.ksu.edu/content/influence-differing-land-management-invasion-north-american-tallgrass-prairie-soils-european","volume":"43","author":[{"family":"Callaham","given":"Mac A."},{"family":"Blair","given":"J. M."}],"issued":{"date-parts":[["1999"]]}},"label":"page"}],"schema":"https://github.com/citation-style-language/schema/raw/master/csl-citation.json"} </w:instrText>
      </w:r>
      <w:r w:rsidR="00D132A7" w:rsidRPr="5575EBFC">
        <w:rPr>
          <w:lang w:val="en-GB"/>
        </w:rPr>
        <w:fldChar w:fldCharType="separate"/>
      </w:r>
      <w:r w:rsidR="6B5F9B9E">
        <w:t>(Callaham et al., 2003; Callaham &amp; Blair, 1999)</w:t>
      </w:r>
      <w:r w:rsidR="00D132A7" w:rsidRPr="5575EBFC">
        <w:rPr>
          <w:lang w:val="en-GB"/>
        </w:rPr>
        <w:fldChar w:fldCharType="end"/>
      </w:r>
      <w:r w:rsidR="2C4D0179" w:rsidRPr="5575EBFC">
        <w:rPr>
          <w:lang w:val="en-GB"/>
        </w:rPr>
        <w:t xml:space="preserve">, </w:t>
      </w:r>
      <w:r w:rsidR="133A4815" w:rsidRPr="5575EBFC">
        <w:rPr>
          <w:lang w:val="en-GB"/>
        </w:rPr>
        <w:t>and</w:t>
      </w:r>
      <w:r w:rsidR="0788445F" w:rsidRPr="5575EBFC">
        <w:rPr>
          <w:lang w:val="en-GB"/>
        </w:rPr>
        <w:t xml:space="preserve"> </w:t>
      </w:r>
      <w:r w:rsidR="2BE32674" w:rsidRPr="5575EBFC">
        <w:rPr>
          <w:lang w:val="en-GB"/>
        </w:rPr>
        <w:t xml:space="preserve">increased frequency or intensity </w:t>
      </w:r>
      <w:r w:rsidR="08D561FB" w:rsidRPr="5575EBFC">
        <w:rPr>
          <w:lang w:val="en-GB"/>
        </w:rPr>
        <w:t xml:space="preserve">of </w:t>
      </w:r>
      <w:r w:rsidR="1E96E386" w:rsidRPr="5575EBFC">
        <w:rPr>
          <w:lang w:val="en-GB"/>
        </w:rPr>
        <w:t>fire</w:t>
      </w:r>
      <w:r w:rsidRPr="5575EBFC">
        <w:rPr>
          <w:lang w:val="en-GB"/>
        </w:rPr>
        <w:t xml:space="preserve"> </w:t>
      </w:r>
      <w:r w:rsidR="3C1BD68D" w:rsidRPr="5575EBFC">
        <w:rPr>
          <w:lang w:val="en-GB"/>
        </w:rPr>
        <w:t>relative to historic f</w:t>
      </w:r>
      <w:r w:rsidR="0788445F" w:rsidRPr="5575EBFC">
        <w:rPr>
          <w:lang w:val="en-GB"/>
        </w:rPr>
        <w:t>i</w:t>
      </w:r>
      <w:r w:rsidR="3C1BD68D" w:rsidRPr="5575EBFC">
        <w:rPr>
          <w:lang w:val="en-GB"/>
        </w:rPr>
        <w:t xml:space="preserve">re regimes </w:t>
      </w:r>
      <w:r w:rsidRPr="5575EBFC">
        <w:rPr>
          <w:lang w:val="en-GB"/>
        </w:rPr>
        <w:t>tend</w:t>
      </w:r>
      <w:r w:rsidR="13AF40AC" w:rsidRPr="5575EBFC">
        <w:rPr>
          <w:lang w:val="en-GB"/>
        </w:rPr>
        <w:t>ed</w:t>
      </w:r>
      <w:r w:rsidRPr="5575EBFC">
        <w:rPr>
          <w:lang w:val="en-GB"/>
        </w:rPr>
        <w:t xml:space="preserve"> to increase diversity and performance </w:t>
      </w:r>
      <w:r w:rsidR="0788445F" w:rsidRPr="5575EBFC">
        <w:rPr>
          <w:lang w:val="en-GB"/>
        </w:rPr>
        <w:t>of</w:t>
      </w:r>
      <w:r w:rsidR="23BF2FFE" w:rsidRPr="5575EBFC">
        <w:rPr>
          <w:lang w:val="en-GB"/>
        </w:rPr>
        <w:t xml:space="preserve"> </w:t>
      </w:r>
      <w:r w:rsidRPr="5575EBFC">
        <w:rPr>
          <w:lang w:val="en-GB"/>
        </w:rPr>
        <w:t>alien</w:t>
      </w:r>
      <w:r w:rsidR="2C4D0179" w:rsidRPr="5575EBFC">
        <w:rPr>
          <w:lang w:val="en-GB"/>
        </w:rPr>
        <w:t xml:space="preserve"> plants</w:t>
      </w:r>
      <w:r w:rsidRPr="5575EBFC">
        <w:rPr>
          <w:lang w:val="en-GB"/>
        </w:rPr>
        <w:t xml:space="preserve">, </w:t>
      </w:r>
      <w:r w:rsidR="0C177342" w:rsidRPr="5575EBFC">
        <w:rPr>
          <w:lang w:val="en-GB"/>
        </w:rPr>
        <w:t>whereas</w:t>
      </w:r>
      <w:r w:rsidRPr="5575EBFC">
        <w:rPr>
          <w:lang w:val="en-GB"/>
        </w:rPr>
        <w:t xml:space="preserve"> native</w:t>
      </w:r>
      <w:r w:rsidR="3331D8B3" w:rsidRPr="5575EBFC">
        <w:rPr>
          <w:lang w:val="en-GB"/>
        </w:rPr>
        <w:t xml:space="preserve"> biodiversity</w:t>
      </w:r>
      <w:r w:rsidRPr="5575EBFC">
        <w:rPr>
          <w:lang w:val="en-GB"/>
        </w:rPr>
        <w:t xml:space="preserve"> </w:t>
      </w:r>
      <w:r w:rsidR="0C177342" w:rsidRPr="5575EBFC">
        <w:rPr>
          <w:lang w:val="en-GB"/>
        </w:rPr>
        <w:t xml:space="preserve">was highest </w:t>
      </w:r>
      <w:r w:rsidR="737C3513" w:rsidRPr="5575EBFC">
        <w:rPr>
          <w:lang w:val="en-GB"/>
        </w:rPr>
        <w:t>when</w:t>
      </w:r>
      <w:r w:rsidR="0C177342" w:rsidRPr="5575EBFC">
        <w:rPr>
          <w:lang w:val="en-GB"/>
        </w:rPr>
        <w:t xml:space="preserve"> </w:t>
      </w:r>
      <w:r w:rsidR="737C3513" w:rsidRPr="5575EBFC">
        <w:rPr>
          <w:lang w:val="en-GB"/>
        </w:rPr>
        <w:t>historic fire regimes were maintained</w:t>
      </w:r>
      <w:r w:rsidRPr="5575EBFC">
        <w:rPr>
          <w:lang w:val="en-GB"/>
        </w:rPr>
        <w:t xml:space="preserve"> </w:t>
      </w:r>
      <w:r w:rsidR="00D132A7" w:rsidRPr="5575EBFC">
        <w:rPr>
          <w:lang w:val="en-GB"/>
        </w:rPr>
        <w:fldChar w:fldCharType="begin"/>
      </w:r>
      <w:r w:rsidR="00331A79">
        <w:rPr>
          <w:lang w:val="en-GB"/>
        </w:rPr>
        <w:instrText xml:space="preserve"> ADDIN ZOTERO_ITEM CSL_CITATION {"citationID":"BEF4LPLr","properties":{"formattedCitation":"(D\\uc0\\u8217{}Antonio, 2000)","plainCitation":"(D’Antonio, 2000)","noteIndex":0},"citationItems":[{"id":26975,"uris":["http://zotero.org/groups/2352922/items/TD8NZSXC"],"itemData":{"id":26975,"type":"chapter","container-title":"Invasive species in a changing world","ISBN":"978-1-55963-782-4","page":"65-93","publisher":"Island PRess","title":"Fire, plant invasions, and global changes","author":[{"family":"D’Antonio","given":"Carla M."}],"editor":[{"family":"Mooney","given":"Harold A."},{"family":"Hobbs","given":"Richard J."}],"issued":{"date-parts":[["2000"]]}},"label":"page"}],"schema":"https://github.com/citation-style-language/schema/raw/master/csl-citation.json"} </w:instrText>
      </w:r>
      <w:r w:rsidR="00D132A7" w:rsidRPr="5575EBFC">
        <w:rPr>
          <w:lang w:val="en-GB"/>
        </w:rPr>
        <w:fldChar w:fldCharType="separate"/>
      </w:r>
      <w:r w:rsidR="6B5F9B9E">
        <w:t>(D’Antonio, 2000)</w:t>
      </w:r>
      <w:r w:rsidR="00D132A7" w:rsidRPr="5575EBFC">
        <w:rPr>
          <w:lang w:val="en-GB"/>
        </w:rPr>
        <w:fldChar w:fldCharType="end"/>
      </w:r>
      <w:r w:rsidRPr="5575EBFC">
        <w:rPr>
          <w:lang w:val="en-GB"/>
        </w:rPr>
        <w:t xml:space="preserve">. </w:t>
      </w:r>
      <w:r w:rsidR="73F7652C" w:rsidRPr="5575EBFC">
        <w:rPr>
          <w:lang w:val="en-GB"/>
        </w:rPr>
        <w:t xml:space="preserve">In tussock grasslands in New Zealand, </w:t>
      </w:r>
      <w:r w:rsidR="5AC4F0D2" w:rsidRPr="5575EBFC">
        <w:rPr>
          <w:lang w:val="en-GB"/>
        </w:rPr>
        <w:t>alien</w:t>
      </w:r>
      <w:r w:rsidR="73F7652C" w:rsidRPr="5575EBFC">
        <w:rPr>
          <w:lang w:val="en-GB"/>
        </w:rPr>
        <w:t xml:space="preserve"> spiders were more successful at colonizing after burning, which provided an initial advantage in resource competition for these invasive </w:t>
      </w:r>
      <w:r w:rsidR="0788445F" w:rsidRPr="5575EBFC">
        <w:rPr>
          <w:lang w:val="en-GB"/>
        </w:rPr>
        <w:t xml:space="preserve">alien </w:t>
      </w:r>
      <w:r w:rsidR="73F7652C" w:rsidRPr="5575EBFC">
        <w:rPr>
          <w:lang w:val="en-GB"/>
        </w:rPr>
        <w:t xml:space="preserve">arthropods </w:t>
      </w:r>
      <w:r w:rsidR="00D132A7" w:rsidRPr="5575EBFC">
        <w:rPr>
          <w:lang w:val="en-GB"/>
        </w:rPr>
        <w:fldChar w:fldCharType="begin"/>
      </w:r>
      <w:r w:rsidR="00331A79">
        <w:rPr>
          <w:lang w:val="en-GB"/>
        </w:rPr>
        <w:instrText xml:space="preserve"> ADDIN ZOTERO_ITEM CSL_CITATION {"citationID":"zBm4py3H","properties":{"formattedCitation":"(Malumbres-Olarte et al., 2014)","plainCitation":"(Malumbres-Olarte et al., 2014)","noteIndex":0},"citationItems":[{"id":30299,"uris":["http://zotero.org/groups/2352922/items/4HRI5ZAB"],"itemData":{"id":30299,"type":"article-journal","container-title":"Biological Invasions","DOI":"https://doi.org/10.1007/s10530-014-0666-5","issue":"11","note":"ISBN: 1573-1464\npublisher: Springer","page":"2311-2322","title":"Big and aerial invaders: Dominance of exotic spiders in burned New Zealand tussock grasslands","volume":"16","author":[{"family":"Malumbres-Olarte","given":"Jagoba"},{"family":"Barratt","given":"Barbara IP"},{"family":"Vink","given":"Cor J."},{"family":"Paterson","given":"Adrian M."},{"family":"Cruickshank","given":"Robert H."},{"family":"Ferguson","given":"Colin M."},{"family":"Barton","given":"Diane M."}],"issued":{"date-parts":[["2014"]]}},"label":"page"}],"schema":"https://github.com/citation-style-language/schema/raw/master/csl-citation.json"} </w:instrText>
      </w:r>
      <w:r w:rsidR="00D132A7" w:rsidRPr="5575EBFC">
        <w:rPr>
          <w:lang w:val="en-GB"/>
        </w:rPr>
        <w:fldChar w:fldCharType="separate"/>
      </w:r>
      <w:r w:rsidR="6B5F9B9E">
        <w:t>(Malumbres-Olarte et al., 2014)</w:t>
      </w:r>
      <w:r w:rsidR="00D132A7" w:rsidRPr="5575EBFC">
        <w:rPr>
          <w:lang w:val="en-GB"/>
        </w:rPr>
        <w:fldChar w:fldCharType="end"/>
      </w:r>
      <w:r w:rsidR="73F7652C" w:rsidRPr="5575EBFC">
        <w:rPr>
          <w:lang w:val="en-GB"/>
        </w:rPr>
        <w:t>.</w:t>
      </w:r>
      <w:r w:rsidR="5C2EC35B" w:rsidRPr="5575EBFC">
        <w:rPr>
          <w:lang w:val="en-GB"/>
        </w:rPr>
        <w:t xml:space="preserve"> </w:t>
      </w:r>
      <w:r w:rsidR="1FD8279C" w:rsidRPr="5575EBFC">
        <w:rPr>
          <w:lang w:val="en-GB"/>
        </w:rPr>
        <w:t>I</w:t>
      </w:r>
      <w:r w:rsidR="5DB93938" w:rsidRPr="5575EBFC">
        <w:rPr>
          <w:lang w:val="en-GB"/>
        </w:rPr>
        <w:t xml:space="preserve">ntensified </w:t>
      </w:r>
      <w:r w:rsidR="5C2EC35B" w:rsidRPr="5575EBFC">
        <w:rPr>
          <w:lang w:val="en-GB"/>
        </w:rPr>
        <w:t xml:space="preserve">fires </w:t>
      </w:r>
      <w:r w:rsidR="6A6D7F23" w:rsidRPr="5575EBFC">
        <w:rPr>
          <w:lang w:val="en-GB"/>
        </w:rPr>
        <w:t xml:space="preserve">along with overgrazing </w:t>
      </w:r>
      <w:r w:rsidR="1FD8279C" w:rsidRPr="5575EBFC">
        <w:rPr>
          <w:lang w:val="en-GB"/>
        </w:rPr>
        <w:t>led to the</w:t>
      </w:r>
      <w:r w:rsidR="5C2EC35B" w:rsidRPr="5575EBFC">
        <w:rPr>
          <w:lang w:val="en-GB"/>
        </w:rPr>
        <w:t xml:space="preserve"> loss of fire-intolerant trees and shrub species </w:t>
      </w:r>
      <w:r w:rsidR="1FD8279C" w:rsidRPr="5575EBFC">
        <w:rPr>
          <w:lang w:val="en-GB"/>
        </w:rPr>
        <w:t xml:space="preserve">and </w:t>
      </w:r>
      <w:r w:rsidR="5C2EC35B" w:rsidRPr="5575EBFC">
        <w:rPr>
          <w:lang w:val="en-GB"/>
        </w:rPr>
        <w:t>facilitat</w:t>
      </w:r>
      <w:r w:rsidR="2BD70F70" w:rsidRPr="5575EBFC">
        <w:rPr>
          <w:lang w:val="en-GB"/>
        </w:rPr>
        <w:t>ed</w:t>
      </w:r>
      <w:r w:rsidR="5C2EC35B" w:rsidRPr="5575EBFC">
        <w:rPr>
          <w:lang w:val="en-GB"/>
        </w:rPr>
        <w:t xml:space="preserve"> the establishment of the alien grass </w:t>
      </w:r>
      <w:r w:rsidR="5C2EC35B" w:rsidRPr="5575EBFC">
        <w:rPr>
          <w:i/>
          <w:iCs/>
          <w:lang w:val="en-GB"/>
        </w:rPr>
        <w:t>Bromus tectorum</w:t>
      </w:r>
      <w:r w:rsidR="5C2EC35B" w:rsidRPr="5575EBFC">
        <w:rPr>
          <w:lang w:val="en-GB"/>
        </w:rPr>
        <w:t xml:space="preserve"> </w:t>
      </w:r>
      <w:r w:rsidR="57510AE5" w:rsidRPr="5575EBFC">
        <w:rPr>
          <w:lang w:val="en-GB"/>
        </w:rPr>
        <w:t xml:space="preserve">(downy brome) </w:t>
      </w:r>
      <w:r w:rsidR="5C2EC35B" w:rsidRPr="5575EBFC">
        <w:rPr>
          <w:lang w:val="en-GB"/>
        </w:rPr>
        <w:t xml:space="preserve">in shrublands and </w:t>
      </w:r>
      <w:r w:rsidR="51A1201F" w:rsidRPr="5575EBFC">
        <w:rPr>
          <w:lang w:val="en-GB"/>
        </w:rPr>
        <w:t xml:space="preserve">increased </w:t>
      </w:r>
      <w:r w:rsidR="0596B012" w:rsidRPr="5575EBFC">
        <w:rPr>
          <w:lang w:val="en-GB"/>
        </w:rPr>
        <w:t>establishment</w:t>
      </w:r>
      <w:r w:rsidR="43C44869" w:rsidRPr="5575EBFC">
        <w:rPr>
          <w:lang w:val="en-GB"/>
        </w:rPr>
        <w:t xml:space="preserve"> and spread of </w:t>
      </w:r>
      <w:r w:rsidR="5C2EC35B" w:rsidRPr="5575EBFC">
        <w:rPr>
          <w:lang w:val="en-GB"/>
        </w:rPr>
        <w:t xml:space="preserve">invasive alien species in coniferous forests </w:t>
      </w:r>
      <w:r w:rsidR="00D132A7" w:rsidRPr="5575EBFC">
        <w:rPr>
          <w:lang w:val="en-GB"/>
        </w:rPr>
        <w:fldChar w:fldCharType="begin"/>
      </w:r>
      <w:r w:rsidR="00331A79">
        <w:rPr>
          <w:lang w:val="en-GB"/>
        </w:rPr>
        <w:instrText xml:space="preserve"> ADDIN ZOTERO_ITEM CSL_CITATION {"citationID":"HWgZPWjY","properties":{"formattedCitation":"(Chambers et al., 2007, 2014; Keeley et al., 2003; Roundy et al., 2014)","plainCitation":"(Chambers et al., 2007, 2014; Keeley et al., 2003; Roundy et al., 2014)","noteIndex":0},"citationItems":[{"id":12565,"uris":["http://zotero.org/groups/2352922/items/7ZD4MLZT"],"itemData":{"id":12565,"type":"article-journal","container-title":"Ecological Monographs. 77(1): 117-145.","DOI":"https://doi.org/10.1890/05-1991","language":"en","source":"www.fs.usda.gov","title":"What makes Great Basin sagebrush ecosystems invasible by &lt;i&gt;Bromus tectorum&lt;/i&gt;?","URL":"https://www.fs.usda.gov/treesearch/pubs/27711","author":[{"family":"Chambers","given":"Jeanne C."},{"family":"Roundy","given":"Bruce A."},{"family":"Blank","given":"Robert R."},{"family":"Meyer","given":"Susan E."},{"family":"Whittaker","given":"A."}],"accessed":{"date-parts":[["2019",10,23]]},"issued":{"date-parts":[["2007"]]}},"label":"page"},{"id":23982,"uris":["http://zotero.org/groups/2352922/items/AXDRMD92"],"itemData":{"id":23982,"type":"article-journal","abstract":"Alien grass invasions in arid and semi-arid ecosystems are resulting in grass-fire cycles and ecosystem-level transformations that severely diminish ecosystem services. Our capacity to address the rapid and complex changes occurring in these ecosystems can be enhanced by developing an understanding of the environmental factors and ecosystem attributes that determine resilience of native ecosystems to stress and disturbance, and resistance to invasion. Cold desert shrublands occur over strong environmental gradients and exhibit significant differences in resilience and resistance. They provide an excellent opportunity to increase our understanding of these concepts. Herein, we examine a series of linked questions about (a) ecosystem attributes that determine resilience and resistance along environmental gradients, (b) effects of disturbances like livestock grazing and altered fire regimes and of stressors like rapid climate change, rising CO2, and N deposition on resilience and resistance, and (c) interacting effects of resilience and resistance on ecosystems with different environmental conditions. We conclude by providing strategies for the use of resilience and resistance concepts in a management context. At ecological site scales, state and transition models are used to illustrate how differences in resilience and resistance influence potential alternative vegetation states, transitions among states, and thresholds. At landscape scales management strategies based on resilience and resistance-protection, prevention, restoration, and monitoring and adaptive management-are used to determine priority management areas and appropriate actions.","container-title":"Ecosystems","DOI":"10.1007/s10021-013-9725-5","ISSN":"1432-9840","issue":"2","journalAbbreviation":"Ecosystems","language":"English","note":"WOS:000332001500012","page":"360-375","source":"Web of Science","title":"Resilience to Stress and Disturbance, and Resistance to &lt;i&gt;Bromus tectorum&lt;/i&gt; L. Invasion in Cold Desert Shrublands of Western North America","URL":"http://link.springer.com/10.1007/s10021-013-9725-5","volume":"17","author":[{"family":"Chambers","given":"Jeanne C."},{"family":"Bradley","given":"Bethany A."},{"family":"Brown","given":"Cynthia S."},{"family":"D'Antonio","given":"Carla"},{"family":"Germino","given":"Matthew J."},{"family":"Grace","given":"James B."},{"family":"Hardegree","given":"Stuart P."},{"family":"Miller","given":"Richard F."},{"family":"Pyke","given":"David A."}],"issued":{"date-parts":[["2014",3]]}},"label":"page"},{"id":12478,"uris":["http://zotero.org/groups/2352922/items/4V4STE85"],"itemData":{"id":12478,"type":"article-journal","container-title":"Ecological Applications","DOI":"https://doi.org/10.1890/02-5002","issue":"5","page":"1355-1374","title":"Fire and grazing impacts on plant diversity and alien plant invasions in the southern Sierra Nevada","URL":"https://esajournals.onlinelibrary.wiley.com/doi/abs/10.1890/02-5002","volume":"13","author":[{"family":"Keeley","given":"Jon E."},{"family":"Lubin","given":"D."},{"family":"Fotheringham","given":"C. J."}],"accessed":{"date-parts":[["2019",10,24]]},"issued":{"date-parts":[["2003"]]}},"label":"page"},{"id":26258,"uris":["http://zotero.org/groups/2352922/items/SAPYVYKL"],"itemData":{"id":26258,"type":"article-journal","container-title":"Rangeland Ecology &amp; Management","DOI":"10.2111/REM-D-13-00022.1","ISSN":"15507424","issue":"5","journalAbbreviation":"Rangeland Ecology &amp; Management","language":"en","page":"495-505","source":"DOI.org (Crossref)","title":"Piñon–Juniper Reduction Increases Soil Water Availability of the Resource Growth Pool","URL":"https://linkinghub.elsevier.com/retrieve/pii/S155074241450084X","volume":"67","author":[{"family":"Roundy","given":"Bruce A."},{"family":"Young","given":"Kert"},{"family":"Cline","given":"Nathan"},{"family":"Hulet","given":"April"},{"family":"Miller","given":"Richard F."},{"family":"Tausch","given":"Robin J."},{"family":"Chambers","given":"Jeanne C."},{"family":"Rau","given":"Ben"}],"accessed":{"date-parts":[["2021",4,13]]},"issued":{"date-parts":[["2014",9]]}},"label":"page"}],"schema":"https://github.com/citation-style-language/schema/raw/master/csl-citation.json"} </w:instrText>
      </w:r>
      <w:r w:rsidR="00D132A7" w:rsidRPr="5575EBFC">
        <w:rPr>
          <w:lang w:val="en-GB"/>
        </w:rPr>
        <w:fldChar w:fldCharType="separate"/>
      </w:r>
      <w:r w:rsidR="6B5F9B9E">
        <w:t>(Chambers et al., 2007, 2014; Keeley et al., 2003; Roundy et al., 2014)</w:t>
      </w:r>
      <w:r w:rsidR="00D132A7" w:rsidRPr="5575EBFC">
        <w:rPr>
          <w:lang w:val="en-GB"/>
        </w:rPr>
        <w:fldChar w:fldCharType="end"/>
      </w:r>
      <w:r w:rsidR="5C2EC35B" w:rsidRPr="5575EBFC">
        <w:rPr>
          <w:lang w:val="en-GB"/>
        </w:rPr>
        <w:t>.</w:t>
      </w:r>
      <w:r w:rsidRPr="5575EBFC">
        <w:rPr>
          <w:lang w:val="en-GB"/>
        </w:rPr>
        <w:t xml:space="preserve"> </w:t>
      </w:r>
    </w:p>
    <w:p w14:paraId="78291FED" w14:textId="77777777" w:rsidR="005C0CC7" w:rsidRPr="00DA249F" w:rsidRDefault="007A798A" w:rsidP="005C0CC7">
      <w:pPr>
        <w:rPr>
          <w:lang w:val="en-GB"/>
        </w:rPr>
      </w:pPr>
      <w:r w:rsidRPr="00DA249F">
        <w:rPr>
          <w:lang w:val="en-GB"/>
        </w:rPr>
        <w:t>Some i</w:t>
      </w:r>
      <w:r w:rsidR="00D132A7" w:rsidRPr="00DA249F">
        <w:rPr>
          <w:lang w:val="en-GB"/>
        </w:rPr>
        <w:t xml:space="preserve">nvasive </w:t>
      </w:r>
      <w:r w:rsidR="00813DA6" w:rsidRPr="00DA249F">
        <w:rPr>
          <w:lang w:val="en-GB"/>
        </w:rPr>
        <w:t xml:space="preserve">alien </w:t>
      </w:r>
      <w:r w:rsidR="00D132A7" w:rsidRPr="00DA249F">
        <w:rPr>
          <w:lang w:val="en-GB"/>
        </w:rPr>
        <w:t xml:space="preserve">species not only benefit from modified fire regimes, but </w:t>
      </w:r>
      <w:r w:rsidR="001B0364">
        <w:rPr>
          <w:lang w:val="en-GB"/>
        </w:rPr>
        <w:t>once</w:t>
      </w:r>
      <w:r w:rsidR="001B0364" w:rsidRPr="00DA249F">
        <w:rPr>
          <w:lang w:val="en-GB"/>
        </w:rPr>
        <w:t xml:space="preserve"> </w:t>
      </w:r>
      <w:r w:rsidR="00D132A7" w:rsidRPr="00DA249F">
        <w:rPr>
          <w:lang w:val="en-GB"/>
        </w:rPr>
        <w:t xml:space="preserve">established, may in turn further modify fire </w:t>
      </w:r>
      <w:r w:rsidR="000C4698" w:rsidRPr="00DA249F">
        <w:rPr>
          <w:lang w:val="en-GB"/>
        </w:rPr>
        <w:t>behaviour</w:t>
      </w:r>
      <w:r w:rsidR="00D132A7" w:rsidRPr="00DA249F">
        <w:rPr>
          <w:lang w:val="en-GB"/>
        </w:rPr>
        <w:t xml:space="preserve"> and community composition </w:t>
      </w:r>
      <w:r w:rsidR="00D132A7" w:rsidRPr="00DA249F">
        <w:rPr>
          <w:lang w:val="en-GB"/>
        </w:rPr>
        <w:fldChar w:fldCharType="begin"/>
      </w:r>
      <w:r w:rsidR="00331A79">
        <w:rPr>
          <w:lang w:val="en-GB"/>
        </w:rPr>
        <w:instrText xml:space="preserve"> ADDIN ZOTERO_ITEM CSL_CITATION {"citationID":"2mEChcRB","properties":{"formattedCitation":"(Grace et al., 2001)","plainCitation":"(Grace et al., 2001)","noteIndex":0},"citationItems":[{"id":27163,"uris":["http://zotero.org/groups/2352922/items/H6VCDSN8"],"itemData":{"id":27163,"type":"paper-conference","abstract":"A substantial number of invasive grasses, forbs and woody plants have invaded temperate grasslands in North America. Among the invading species are winter annuals, biennials, cool-season perennials, warm-season perennials, vines, shrubs, and trees. Many of these species have been deliberately introduced and widely planted; some are still used for range improvement, pastures, lawns, and as ornamentals, though many are listed as state or federal noxious weeds. Others have been greatly facilitated by widespread land disturbance. Historically, fire has been a major selective force in the evolution of temperate grasslands. Further, prescribed fire is commonly used as a method of ecological management for native grassland communities as well as in conjunction with restoration efforts. Within this context, it is important to understand how invasive species will interact with natural and prescribed fire regimes. In this paper, we consider what is known about how exotic species that invade temperate grasslands relate to...","event-title":"Workshop held at Fire Conference 2000: the First National ‍Congress on Fire Ecology, Prevention, and Management","page":"40-65","source":"pubs.er.usgs.gov","title":"Interactions between fire and invasive plants in temperate grasslands of North America","URL":"https://pubs.er.usgs.gov/publication/70208006","author":[{"family":"Grace","given":"James B."},{"family":"Smith","given":"Melinda D."},{"family":"Grace","given":"S. L."},{"family":"Collins","given":"Scott L."},{"family":"Stohlgren","given":"Thomas J."}],"accessed":{"date-parts":[["2021",6,21]]},"issued":{"date-parts":[["2001"]]}},"label":"page"}],"schema":"https://github.com/citation-style-language/schema/raw/master/csl-citation.json"} </w:instrText>
      </w:r>
      <w:r w:rsidR="00D132A7" w:rsidRPr="00DA249F">
        <w:rPr>
          <w:lang w:val="en-GB"/>
        </w:rPr>
        <w:fldChar w:fldCharType="separate"/>
      </w:r>
      <w:r w:rsidR="00144D96" w:rsidRPr="00144D96">
        <w:t>(Grace et al., 2001)</w:t>
      </w:r>
      <w:r w:rsidR="00D132A7" w:rsidRPr="00DA249F">
        <w:rPr>
          <w:lang w:val="en-GB"/>
        </w:rPr>
        <w:fldChar w:fldCharType="end"/>
      </w:r>
      <w:r w:rsidR="00D132A7" w:rsidRPr="00DA249F">
        <w:rPr>
          <w:lang w:val="en-GB"/>
        </w:rPr>
        <w:t xml:space="preserve">. For example, some alien species increase the fuel load or flammability of </w:t>
      </w:r>
      <w:r w:rsidR="00A91E0A" w:rsidRPr="00DA249F">
        <w:rPr>
          <w:lang w:val="en-GB"/>
        </w:rPr>
        <w:t>the eco</w:t>
      </w:r>
      <w:r w:rsidR="00D132A7" w:rsidRPr="00DA249F">
        <w:rPr>
          <w:lang w:val="en-GB"/>
        </w:rPr>
        <w:t xml:space="preserve">system, </w:t>
      </w:r>
      <w:r w:rsidR="00C47A83" w:rsidRPr="00DA249F">
        <w:rPr>
          <w:lang w:val="en-GB"/>
        </w:rPr>
        <w:t xml:space="preserve">resulting in </w:t>
      </w:r>
      <w:r w:rsidR="00D132A7" w:rsidRPr="00DA249F">
        <w:rPr>
          <w:lang w:val="en-GB"/>
        </w:rPr>
        <w:t>increas</w:t>
      </w:r>
      <w:r w:rsidR="00C47A83" w:rsidRPr="00DA249F">
        <w:rPr>
          <w:lang w:val="en-GB"/>
        </w:rPr>
        <w:t>ed</w:t>
      </w:r>
      <w:r w:rsidR="00D132A7" w:rsidRPr="00DA249F">
        <w:rPr>
          <w:lang w:val="en-GB"/>
        </w:rPr>
        <w:t xml:space="preserve"> fire frequency or intensity </w:t>
      </w:r>
      <w:r w:rsidR="00D132A7" w:rsidRPr="00DA249F">
        <w:rPr>
          <w:lang w:val="en-GB"/>
        </w:rPr>
        <w:fldChar w:fldCharType="begin"/>
      </w:r>
      <w:r w:rsidR="00331A79">
        <w:rPr>
          <w:lang w:val="en-GB"/>
        </w:rPr>
        <w:instrText xml:space="preserve"> ADDIN ZOTERO_ITEM CSL_CITATION {"citationID":"VVIIl4it","properties":{"formattedCitation":"(Brooks et al., 2004; Mandle et al., 2011)","plainCitation":"(Brooks et al., 2004; Mandle et al., 2011)","noteIndex":0},"citationItems":[{"id":33016,"uris":["http://zotero.org/groups/2352922/items/LWE6PBMS"],"itemData":{"id":33016,"type":"article-journal","abstract":"Abstract.  Plant invasions are widely recognized as significant threats to biodiversity conservation worldwide. One way invasions can affect native ecosystems i","container-title":"BioScience","DOI":"10.1641/0006-3568(2004)054[0677:EOIAPO]2.0.CO;2","ISSN":"0006-3568","issue":"7","journalAbbreviation":"BioScience","language":"en","note":"number: 7\ncontainer-title: BioScience","page":"677-688","source":"academic.oup.com","title":"Effects of Invasive Alien Plants on Fire Regimes","URL":"https://academic.oup.com/bioscience/article/54/7/677/223532","volume":"54","author":[{"family":"Brooks","given":"Matthew L."},{"family":"D'Antonio","given":"Carla M."},{"family":"Richardson","given":"David M."},{"family":"Grace","given":"James B."},{"family":"Keeley","given":"Jon E."},{"family":"DiTomaso","given":"Joseph M."},{"family":"Hobbs","given":"Richard J."},{"family":"Pellant","given":"Mike"},{"family":"Pyke","given":"David"}],"accessed":{"date-parts":[["2019",12,6]]},"issued":{"date-parts":[["2004",7,1]]}},"label":"page"},{"id":27190,"uris":["http://zotero.org/groups/2352922/items/2QPXNPNK"],"itemData":{"id":27190,"type":"article-journal","container-title":"Biological Invasions","DOI":"10.1007/s10530-011-0001-3","ISSN":"1387-3547, 1573-1464","issue":"8","journalAbbreviation":"Biol Invasions","language":"en","page":"1815-1827","source":"DOI.org (Crossref)","title":"Woody exotic plant invasions and fire: reciprocal impacts and consequences for native ecosystems","title-short":"Woody exotic plant invasions and fire","URL":"http://link.springer.com/10.1007/s10530-011-0001-3","volume":"13","author":[{"family":"Mandle","given":"Lisa"},{"family":"Bufford","given":"Jennifer L."},{"family":"Schmidt","given":"Isabel B."},{"family":"Daehler","given":"Curtis C."}],"accessed":{"date-parts":[["2021",6,21]]},"issued":{"date-parts":[["2011",8]]}},"label":"page"}],"schema":"https://github.com/citation-style-language/schema/raw/master/csl-citation.json"} </w:instrText>
      </w:r>
      <w:r w:rsidR="00D132A7" w:rsidRPr="00DA249F">
        <w:rPr>
          <w:lang w:val="en-GB"/>
        </w:rPr>
        <w:fldChar w:fldCharType="separate"/>
      </w:r>
      <w:r w:rsidR="00144D96" w:rsidRPr="00144D96">
        <w:t>(Brooks et al., 2004; Mandle et al., 2011)</w:t>
      </w:r>
      <w:r w:rsidR="00D132A7" w:rsidRPr="00DA249F">
        <w:rPr>
          <w:lang w:val="en-GB"/>
        </w:rPr>
        <w:fldChar w:fldCharType="end"/>
      </w:r>
      <w:r w:rsidR="00D132A7" w:rsidRPr="00DA249F">
        <w:rPr>
          <w:lang w:val="en-GB"/>
        </w:rPr>
        <w:t xml:space="preserve">. Alternatively, burned environments may be more susceptible to </w:t>
      </w:r>
      <w:r w:rsidR="00813DA6" w:rsidRPr="00DA249F">
        <w:rPr>
          <w:lang w:val="en-GB"/>
        </w:rPr>
        <w:t xml:space="preserve">biological </w:t>
      </w:r>
      <w:r w:rsidR="00D132A7" w:rsidRPr="00DA249F">
        <w:rPr>
          <w:lang w:val="en-GB"/>
        </w:rPr>
        <w:t xml:space="preserve">invasion by species with fire specific traits, such as seed release contingent upon fire or smoke </w:t>
      </w:r>
      <w:r w:rsidR="00D132A7" w:rsidRPr="00DA249F">
        <w:rPr>
          <w:lang w:val="en-GB"/>
        </w:rPr>
        <w:fldChar w:fldCharType="begin"/>
      </w:r>
      <w:r w:rsidR="00331A79">
        <w:rPr>
          <w:lang w:val="en-GB"/>
        </w:rPr>
        <w:instrText xml:space="preserve"> ADDIN ZOTERO_ITEM CSL_CITATION {"citationID":"qoOzdwSg","properties":{"formattedCitation":"(Franzese &amp; Raffaele, 2017; Gaertner et al., 2014)","plainCitation":"(Franzese &amp; Raffaele, 2017; Gaertner et al., 2014)","noteIndex":0},"citationItems":[{"id":31899,"uris":["http://zotero.org/groups/2352922/items/2Y3L92YS"],"itemData":{"id":31899,"type":"article-journal","container-title":"Biological Invasions","DOI":"10.1007/s10530-017-1435-z","ISSN":"1387-3547, 1573-1464","issue":"8","journalAbbreviation":"Biol Invasions","language":"en","note":"number: 8\ncontainer-title: Biological Invasions","page":"2237-2246","source":"DOI.org (Crossref)","title":"Fire as a driver of pine invasions in the Southern Hemisphere: a review","title-short":"Fire as a driver of pine invasions in the Southern Hemisphere","URL":"http://link.springer.com/10.1007/s10530-017-1435-z","volume":"19","author":[{"family":"Franzese","given":"Jorgelina"},{"family":"Raffaele","given":"Estela"}],"accessed":{"date-parts":[["2019",12,5]]},"issued":{"date-parts":[["2017",8]]}},"label":"page"},{"id":30454,"uris":["http://zotero.org/groups/2352922/items/4S6AVSNH"],"itemData":{"id":30454,"type":"article-journal","container-title":"Diversity and Distributions","DOI":"10.1111/ddi.12182","ISSN":"13669516","issue":"7","journalAbbreviation":"Diversity Distrib.","language":"en","page":"733-744","source":"DOI.org (Crossref)","title":"Invasive plants as drivers of regime shifts: identifying high-priority invaders that alter feedback relationships","title-short":"Invasive plants as drivers of regime shifts","URL":"https://onlinelibrary.wiley.com/doi/10.1111/ddi.12182","volume":"20","author":[{"family":"Gaertner","given":"Mirijam"},{"family":"Biggs","given":"Reinette"},{"family":"Te Beest","given":"Mariska"},{"family":"Hui","given":"Cang"},{"family":"Molofsky","given":"Jane"},{"family":"Richardson","given":"David M."}],"editor":[{"family":"Kühn","given":"Ingolf"}],"accessed":{"date-parts":[["2021",8,23]]},"issued":{"date-parts":[["2014",7]]}}}],"schema":"https://github.com/citation-style-language/schema/raw/master/csl-citation.json"} </w:instrText>
      </w:r>
      <w:r w:rsidR="00D132A7" w:rsidRPr="00DA249F">
        <w:rPr>
          <w:lang w:val="en-GB"/>
        </w:rPr>
        <w:fldChar w:fldCharType="separate"/>
      </w:r>
      <w:r w:rsidR="00144D96" w:rsidRPr="00144D96">
        <w:t>(Franzese &amp; Raffaele, 2017; Gaertner et al., 2014)</w:t>
      </w:r>
      <w:r w:rsidR="00D132A7" w:rsidRPr="00DA249F">
        <w:rPr>
          <w:lang w:val="en-GB"/>
        </w:rPr>
        <w:fldChar w:fldCharType="end"/>
      </w:r>
      <w:r w:rsidR="00D132A7" w:rsidRPr="00DA249F">
        <w:rPr>
          <w:lang w:val="en-GB"/>
        </w:rPr>
        <w:t>. In many cases, f</w:t>
      </w:r>
      <w:r w:rsidR="00D132A7" w:rsidRPr="003564E6">
        <w:rPr>
          <w:lang w:val="en-GB"/>
        </w:rPr>
        <w:t xml:space="preserve">ire primarily influences </w:t>
      </w:r>
      <w:r w:rsidR="00813DA6" w:rsidRPr="003564E6">
        <w:rPr>
          <w:lang w:val="en-GB"/>
        </w:rPr>
        <w:t xml:space="preserve">native and alien animal species </w:t>
      </w:r>
      <w:r w:rsidR="00D132A7" w:rsidRPr="003564E6">
        <w:rPr>
          <w:lang w:val="en-GB"/>
        </w:rPr>
        <w:t>through effects on vegetation structure and composition</w:t>
      </w:r>
      <w:r w:rsidR="00D132A7" w:rsidRPr="00DA249F">
        <w:rPr>
          <w:lang w:val="en-GB"/>
        </w:rPr>
        <w:t>. For example</w:t>
      </w:r>
      <w:r w:rsidR="00392D95" w:rsidRPr="00DA249F">
        <w:rPr>
          <w:lang w:val="en-GB"/>
        </w:rPr>
        <w:t>,</w:t>
      </w:r>
      <w:r w:rsidR="00D132A7" w:rsidRPr="00DA249F">
        <w:rPr>
          <w:lang w:val="en-GB"/>
        </w:rPr>
        <w:t xml:space="preserve"> within Australian tropical savanna</w:t>
      </w:r>
      <w:r w:rsidR="00474D4E" w:rsidRPr="00DA249F">
        <w:rPr>
          <w:lang w:val="en-GB"/>
        </w:rPr>
        <w:t>h</w:t>
      </w:r>
      <w:r w:rsidR="00D132A7" w:rsidRPr="00DA249F">
        <w:rPr>
          <w:lang w:val="en-GB"/>
        </w:rPr>
        <w:t xml:space="preserve">s, invasive alien predators such as feral cats, </w:t>
      </w:r>
      <w:r w:rsidR="1236B0E7" w:rsidRPr="00DA249F">
        <w:rPr>
          <w:lang w:val="en-GB"/>
        </w:rPr>
        <w:t>dingoes</w:t>
      </w:r>
      <w:r w:rsidR="00D132A7" w:rsidRPr="00DA249F">
        <w:rPr>
          <w:lang w:val="en-GB"/>
        </w:rPr>
        <w:t xml:space="preserve"> and snakes may be attracted to burnt landscapes, where they may hunt more effectively</w:t>
      </w:r>
      <w:r w:rsidR="00D132A7" w:rsidRPr="00031C70">
        <w:rPr>
          <w:lang w:val="en-GB"/>
        </w:rPr>
        <w:t xml:space="preserve"> </w:t>
      </w:r>
      <w:r w:rsidR="00D132A7" w:rsidRPr="00031C70">
        <w:rPr>
          <w:lang w:val="en-GB"/>
        </w:rPr>
        <w:fldChar w:fldCharType="begin"/>
      </w:r>
      <w:r w:rsidR="00331A79">
        <w:rPr>
          <w:lang w:val="en-GB"/>
        </w:rPr>
        <w:instrText xml:space="preserve"> ADDIN ZOTERO_ITEM CSL_CITATION {"citationID":"zZfbc4SV","properties":{"formattedCitation":"(Lozon &amp; MacIsaac, 1997; H. W. McGregor et al., 2014, 2016)","plainCitation":"(Lozon &amp; MacIsaac, 1997; H. W. McGregor et al., 2014, 2016)","noteIndex":0},"citationItems":[{"id":27176,"uris":["http://zotero.org/groups/2352922/items/RNGH3ZB6"],"itemData":{"id":27176,"type":"article-journal","abstract":"We utilize literature surveys to examine the relationship between establishment of exotic species and human or natural disturbances of ecosystems. Of the 133 papers published in 10 ecological journals between 1993 and 1995, 63 reported on field studies involving 299 and 103 successful, nonredundant plant and animal introductions, respectively. Invasions of terrestrial ecosystems dominated (&gt;&gt;97%) the surveyed literature. Disturbance was associated with establishment of exotic species in 56% of these studies, though its importance differed among papers describing plants (68%) and animals (28%). Plants species (86%) were significantly more dependent on disturbance for establishment than were animals (12%). However, animals and plants that were dependent on disturbance for establishment were almost equally dependent (58 versus 68%) on it for range expansion. In a second survey, 402 plant and 103 animal taxa were identified that explicitly linked establishment of exotic species to disturbance. Human activities were attributed with establishment of species in 97 and 57% of these cases, respectively. Common mechanisms associated with establishment of exotic animals included ballast water discharge, intentional releases, and residential development. Establishment of exotic plants was associated with animal activities (e.g., grazing, seed introduction), soil disturbance, forestry, fire, agriculture, and human activities. In contrast to invasions theory, our survey indicates that the association between establishment and spread of exotic species and disturbance ought not be assumed a priori. Some animals repeatedly invade new habitats once geographic barriers are circumvented, indicating that communities may be more receptive to exotic species than previously acknowledged. By contrast, introduced plants established most often in disturbed habitats.","container-title":"Environmental Reviews","DOI":"10.1139/a97-007","ISSN":"1181-8700, 1208-6053","issue":"2","journalAbbreviation":"Environ. Rev.","language":"en","page":"131-144","source":"DOI.org (Crossref)","title":"Biological invasions: are they dependent on disturbance?","title-short":"Biological invasions","URL":"http://www.nrcresearchpress.com/doi/10.1139/a97-007","volume":"5","author":[{"family":"Lozon","given":"J D"},{"family":"MacIsaac","given":"H J"}],"accessed":{"date-parts":[["2021",6,21]]},"issued":{"date-parts":[["1997",6,2]]}},"label":"page"},{"id":27193,"uris":["http://zotero.org/groups/2352922/items/3BMBB4CH"],"itemData":{"id":27193,"type":"article-journal","container-title":"PLoS ONE","DOI":"10.1371/journal.pone.0109097","ISSN":"1932-6203","issue":"10","journalAbbreviation":"PLoS ONE","language":"en","page":"e109097","source":"DOI.org (Crossref)","title":"Landscape Management of Fire and Grazing Regimes Alters the Fine-Scale Habitat Utilisation by Feral Cats","URL":"https://dx.plos.org/10.1371/journal.pone.0109097","volume":"9","author":[{"family":"McGregor","given":"Hugh W."},{"family":"Legge","given":"Sarah"},{"family":"Jones","given":"Menna E."},{"family":"Johnson","given":"Christopher N."}],"editor":[{"family":"Adam","given":"Paul"}],"accessed":{"date-parts":[["2021",6,21]]},"issued":{"date-parts":[["2014",10,15]]}},"label":"page"},{"id":21530,"uris":["http://zotero.org/groups/2352922/items/6B78RLZK"],"itemData":{"id":21530,"type":"article-journal","abstract":"Feral cats are normally territorial in Australia’s tropical savannahs and hunt intensively with home-ranges only two to three kilometres across. Here we report that they also undertake expeditions of up to 12.5 km from their home ranges to hunt for short periods over recently burned areas. Cats are especially likely to travel to areas burned at high intensity, probably in response to vulnerability of prey soon after such fires. The movements of journeying cats are highly directed to specific destinations. We argue that the effect of this behaviour is to increase the aggregate impact of cats on vulnerable prey. This has profound implications for conservation, considering the ubiquity of feral cats and global trends of intensified fire regimes.","container-title":"Scientific Reports","DOI":"10.1038/srep22559","ISSN":"2045-2322","issue":"1","journalAbbreviation":"Sci Rep","language":"en","license":"2016 The Author(s)","note":"number: 1\npublisher: Nature Publishing Group","page":"1-7","source":"www.nature.com","title":"Extraterritorial hunting expeditions to intense fire scars by feral cats","URL":"https://www.nature.com/articles/srep22559","volume":"6","author":[{"family":"McGregor","given":"Hugh W."},{"family":"Legge","given":"Sarah"},{"family":"Jones","given":"Menna E."},{"family":"Johnson","given":"Christopher N."}],"accessed":{"date-parts":[["2020",4,7]]},"issued":{"date-parts":[["2016",3,2]]}},"label":"page"}],"schema":"https://github.com/citation-style-language/schema/raw/master/csl-citation.json"} </w:instrText>
      </w:r>
      <w:r w:rsidR="00D132A7" w:rsidRPr="00031C70">
        <w:rPr>
          <w:lang w:val="en-GB"/>
        </w:rPr>
        <w:fldChar w:fldCharType="separate"/>
      </w:r>
      <w:r w:rsidR="00144D96" w:rsidRPr="00144D96">
        <w:t>(Lozon &amp; MacIsaac, 1997; H. W. McGregor et al., 2014, 2016)</w:t>
      </w:r>
      <w:r w:rsidR="00D132A7" w:rsidRPr="00031C70">
        <w:rPr>
          <w:lang w:val="en-GB"/>
        </w:rPr>
        <w:fldChar w:fldCharType="end"/>
      </w:r>
      <w:r w:rsidR="00D132A7" w:rsidRPr="00DA249F">
        <w:rPr>
          <w:lang w:val="en-GB"/>
        </w:rPr>
        <w:t xml:space="preserve">. </w:t>
      </w:r>
      <w:r w:rsidR="09CCD078" w:rsidRPr="00DA249F">
        <w:rPr>
          <w:lang w:val="en-GB"/>
        </w:rPr>
        <w:t>In</w:t>
      </w:r>
      <w:r w:rsidR="00D132A7" w:rsidRPr="00DA249F">
        <w:rPr>
          <w:lang w:val="en-GB"/>
        </w:rPr>
        <w:t xml:space="preserve"> Australian forests, prescribed forest fires reduced understory cover by more than 80</w:t>
      </w:r>
      <w:r w:rsidR="00813DA6" w:rsidRPr="00DA249F">
        <w:rPr>
          <w:lang w:val="en-GB"/>
        </w:rPr>
        <w:t xml:space="preserve"> </w:t>
      </w:r>
      <w:r w:rsidR="004C77CD" w:rsidRPr="00DA249F">
        <w:rPr>
          <w:lang w:val="en-GB"/>
        </w:rPr>
        <w:t>per cent</w:t>
      </w:r>
      <w:r w:rsidR="004143F7" w:rsidRPr="00DA249F">
        <w:rPr>
          <w:lang w:val="en-GB"/>
        </w:rPr>
        <w:t xml:space="preserve"> </w:t>
      </w:r>
      <w:r w:rsidR="00E70885" w:rsidRPr="00DA249F">
        <w:rPr>
          <w:lang w:val="en-GB"/>
        </w:rPr>
        <w:t xml:space="preserve">and </w:t>
      </w:r>
      <w:r w:rsidR="003F776E">
        <w:rPr>
          <w:lang w:val="en-GB"/>
        </w:rPr>
        <w:t xml:space="preserve">the </w:t>
      </w:r>
      <w:r w:rsidR="00592DC6">
        <w:rPr>
          <w:lang w:val="en-GB"/>
        </w:rPr>
        <w:lastRenderedPageBreak/>
        <w:t>occurrence</w:t>
      </w:r>
      <w:r w:rsidR="0007374E">
        <w:rPr>
          <w:lang w:val="en-GB"/>
        </w:rPr>
        <w:t xml:space="preserve"> of</w:t>
      </w:r>
      <w:r w:rsidR="003F776E">
        <w:rPr>
          <w:lang w:val="en-GB"/>
        </w:rPr>
        <w:t xml:space="preserve"> </w:t>
      </w:r>
      <w:r w:rsidR="00D132A7" w:rsidRPr="00DA249F">
        <w:rPr>
          <w:lang w:val="en-GB"/>
        </w:rPr>
        <w:t xml:space="preserve">invasive </w:t>
      </w:r>
      <w:r w:rsidR="00813DA6" w:rsidRPr="00DA249F">
        <w:rPr>
          <w:lang w:val="en-GB"/>
        </w:rPr>
        <w:t xml:space="preserve">alien </w:t>
      </w:r>
      <w:r w:rsidR="00D132A7" w:rsidRPr="00DA249F">
        <w:rPr>
          <w:lang w:val="en-GB"/>
        </w:rPr>
        <w:t xml:space="preserve">predators increased </w:t>
      </w:r>
      <w:r w:rsidR="00813DA6" w:rsidRPr="00DA249F">
        <w:rPr>
          <w:lang w:val="en-GB"/>
        </w:rPr>
        <w:t>five</w:t>
      </w:r>
      <w:r w:rsidR="00D132A7" w:rsidRPr="00DA249F">
        <w:rPr>
          <w:lang w:val="en-GB"/>
        </w:rPr>
        <w:t xml:space="preserve">-fold, whereas medium-sized native mammalian prey were disadvantaged </w:t>
      </w:r>
      <w:r w:rsidR="00D132A7" w:rsidRPr="00DA249F">
        <w:rPr>
          <w:lang w:val="en-GB"/>
        </w:rPr>
        <w:fldChar w:fldCharType="begin"/>
      </w:r>
      <w:r w:rsidR="00331A79">
        <w:rPr>
          <w:lang w:val="en-GB"/>
        </w:rPr>
        <w:instrText xml:space="preserve"> ADDIN ZOTERO_ITEM CSL_CITATION {"citationID":"fNFPu3QG","properties":{"formattedCitation":"(Hradsky et al., 2017)","plainCitation":"(Hradsky et al., 2017)","noteIndex":0},"citationItems":[{"id":27194,"uris":["http://zotero.org/groups/2352922/items/HCSRR3LB"],"itemData":{"id":27194,"type":"article-journal","container-title":"Journal of Mammalogy","DOI":"10.1093/jmammal/gyx010","ISSN":"0022-2372, 1545-1542","issue":"3","language":"en","page":"835-847","source":"DOI.org (Crossref)","title":"Responses of invasive predators and native prey to a prescribed forest fire","URL":"http://academic.oup.com/jmammal/article/98/3/835/3063279/Responses-of-invasive-predators-and-native-prey-to","volume":"98","author":[{"family":"Hradsky","given":"Bronwyn A."},{"family":"Mildwaters","given":"Craig"},{"family":"Ritchie","given":"Euan G."},{"family":"Christie","given":"Fiona"},{"family":"Di Stefano","given":"Julian"}],"accessed":{"date-parts":[["2021",6,21]]},"issued":{"date-parts":[["2017",5,29]]}},"label":"page"}],"schema":"https://github.com/citation-style-language/schema/raw/master/csl-citation.json"} </w:instrText>
      </w:r>
      <w:r w:rsidR="00D132A7" w:rsidRPr="00DA249F">
        <w:rPr>
          <w:lang w:val="en-GB"/>
        </w:rPr>
        <w:fldChar w:fldCharType="separate"/>
      </w:r>
      <w:r w:rsidR="00144D96" w:rsidRPr="00144D96">
        <w:t>(Hradsky et al., 2017)</w:t>
      </w:r>
      <w:r w:rsidR="00D132A7" w:rsidRPr="00DA249F">
        <w:rPr>
          <w:lang w:val="en-GB"/>
        </w:rPr>
        <w:fldChar w:fldCharType="end"/>
      </w:r>
      <w:r w:rsidR="00D132A7" w:rsidRPr="00DA249F">
        <w:rPr>
          <w:lang w:val="en-GB"/>
        </w:rPr>
        <w:t xml:space="preserve">. </w:t>
      </w:r>
      <w:r w:rsidR="2BB5D30E" w:rsidRPr="00DA249F">
        <w:rPr>
          <w:lang w:val="en-GB"/>
        </w:rPr>
        <w:t>Climate</w:t>
      </w:r>
      <w:r w:rsidR="008961BB" w:rsidRPr="00DA249F">
        <w:rPr>
          <w:lang w:val="en-GB"/>
        </w:rPr>
        <w:t xml:space="preserve"> and land</w:t>
      </w:r>
      <w:r w:rsidR="0017306A" w:rsidRPr="00DA249F">
        <w:rPr>
          <w:lang w:val="en-GB"/>
        </w:rPr>
        <w:t>-</w:t>
      </w:r>
      <w:r w:rsidR="008961BB" w:rsidRPr="00DA249F">
        <w:rPr>
          <w:lang w:val="en-GB"/>
        </w:rPr>
        <w:t xml:space="preserve">use change </w:t>
      </w:r>
      <w:r w:rsidR="00D3262D" w:rsidRPr="00DA249F">
        <w:rPr>
          <w:lang w:val="en-GB"/>
        </w:rPr>
        <w:t>are</w:t>
      </w:r>
      <w:r w:rsidR="008961BB" w:rsidRPr="00DA249F">
        <w:rPr>
          <w:lang w:val="en-GB"/>
        </w:rPr>
        <w:t xml:space="preserve"> </w:t>
      </w:r>
      <w:r w:rsidR="00D3262D" w:rsidRPr="00DA249F">
        <w:rPr>
          <w:lang w:val="en-GB"/>
        </w:rPr>
        <w:t xml:space="preserve">now </w:t>
      </w:r>
      <w:r w:rsidR="008961BB" w:rsidRPr="00DA249F">
        <w:rPr>
          <w:lang w:val="en-GB"/>
        </w:rPr>
        <w:t xml:space="preserve">driving changes in </w:t>
      </w:r>
      <w:r w:rsidR="009242BE" w:rsidRPr="00DA249F">
        <w:rPr>
          <w:lang w:val="en-GB"/>
        </w:rPr>
        <w:t xml:space="preserve">global fire regimes, pointing to </w:t>
      </w:r>
      <w:r w:rsidR="00594D03" w:rsidRPr="00DA249F">
        <w:rPr>
          <w:lang w:val="en-GB"/>
        </w:rPr>
        <w:t xml:space="preserve">potentially </w:t>
      </w:r>
      <w:r w:rsidR="009242BE" w:rsidRPr="00DA249F">
        <w:rPr>
          <w:lang w:val="en-GB"/>
        </w:rPr>
        <w:t>importan</w:t>
      </w:r>
      <w:r w:rsidR="00594D03" w:rsidRPr="00DA249F">
        <w:rPr>
          <w:lang w:val="en-GB"/>
        </w:rPr>
        <w:t>t</w:t>
      </w:r>
      <w:r w:rsidR="009242BE" w:rsidRPr="00DA249F">
        <w:rPr>
          <w:lang w:val="en-GB"/>
        </w:rPr>
        <w:t xml:space="preserve"> interacti</w:t>
      </w:r>
      <w:r w:rsidR="00D3262D" w:rsidRPr="00DA249F">
        <w:rPr>
          <w:lang w:val="en-GB"/>
        </w:rPr>
        <w:t xml:space="preserve">ve effects </w:t>
      </w:r>
      <w:r w:rsidR="00CA0C6B" w:rsidRPr="00DA249F">
        <w:rPr>
          <w:lang w:val="en-GB"/>
        </w:rPr>
        <w:t>(</w:t>
      </w:r>
      <w:r w:rsidR="00130EDB" w:rsidRPr="009C4200">
        <w:rPr>
          <w:b/>
          <w:iCs/>
          <w:lang w:val="en-GB"/>
        </w:rPr>
        <w:t xml:space="preserve">section </w:t>
      </w:r>
      <w:r w:rsidR="00E56ED1" w:rsidRPr="009C4200">
        <w:rPr>
          <w:b/>
          <w:iCs/>
          <w:lang w:val="en-GB"/>
        </w:rPr>
        <w:t>3</w:t>
      </w:r>
      <w:r w:rsidR="002605D1" w:rsidRPr="009C4200">
        <w:rPr>
          <w:b/>
          <w:iCs/>
          <w:lang w:val="en-GB"/>
        </w:rPr>
        <w:t>.3</w:t>
      </w:r>
      <w:r w:rsidR="00E56ED1" w:rsidRPr="009C4200">
        <w:rPr>
          <w:b/>
          <w:iCs/>
          <w:lang w:val="en-GB"/>
        </w:rPr>
        <w:t>.4</w:t>
      </w:r>
      <w:r w:rsidR="00E56ED1" w:rsidRPr="00DA249F">
        <w:rPr>
          <w:lang w:val="en-GB"/>
        </w:rPr>
        <w:t>).</w:t>
      </w:r>
      <w:r w:rsidR="00066BF9" w:rsidRPr="00DA249F">
        <w:rPr>
          <w:lang w:val="en-GB"/>
        </w:rPr>
        <w:t xml:space="preserve"> </w:t>
      </w:r>
    </w:p>
    <w:p w14:paraId="5CBAC1D4" w14:textId="77777777" w:rsidR="005C0CC7" w:rsidRPr="00DA249F" w:rsidRDefault="005C0CC7" w:rsidP="00973597">
      <w:pPr>
        <w:pStyle w:val="Heading3"/>
        <w:numPr>
          <w:ilvl w:val="4"/>
          <w:numId w:val="30"/>
        </w:numPr>
        <w:rPr>
          <w:rStyle w:val="normaltextrun"/>
          <w:lang w:val="en-GB"/>
        </w:rPr>
      </w:pPr>
      <w:r w:rsidRPr="00DA249F">
        <w:rPr>
          <w:rStyle w:val="normaltextrun"/>
          <w:lang w:val="en-GB"/>
        </w:rPr>
        <w:t xml:space="preserve">Aquatic and marine </w:t>
      </w:r>
      <w:r w:rsidR="00040AB1" w:rsidRPr="00DA249F">
        <w:rPr>
          <w:rStyle w:val="normaltextrun"/>
          <w:lang w:val="en-GB"/>
        </w:rPr>
        <w:t>disturbance regime changes</w:t>
      </w:r>
      <w:r w:rsidR="00B01FF1" w:rsidRPr="00DA249F">
        <w:rPr>
          <w:rStyle w:val="normaltextrun"/>
          <w:lang w:val="en-GB"/>
        </w:rPr>
        <w:t xml:space="preserve"> </w:t>
      </w:r>
    </w:p>
    <w:p w14:paraId="03AAD03D" w14:textId="0E2613E9" w:rsidR="00586F6E" w:rsidRPr="00DA249F" w:rsidRDefault="4C84266D" w:rsidP="5575EBFC">
      <w:pPr>
        <w:spacing w:before="0" w:after="0"/>
        <w:rPr>
          <w:rFonts w:eastAsia="Yu Gothic"/>
          <w:color w:val="000000"/>
          <w:lang w:val="en-GB"/>
        </w:rPr>
      </w:pPr>
      <w:r w:rsidRPr="728F2DAF">
        <w:rPr>
          <w:lang w:val="en-GB"/>
        </w:rPr>
        <w:t xml:space="preserve">The </w:t>
      </w:r>
      <w:r w:rsidR="2BA94D7E" w:rsidRPr="728F2DAF">
        <w:rPr>
          <w:lang w:val="en-GB"/>
        </w:rPr>
        <w:t xml:space="preserve">biological </w:t>
      </w:r>
      <w:r w:rsidRPr="728F2DAF">
        <w:rPr>
          <w:lang w:val="en-GB"/>
        </w:rPr>
        <w:t>invasion of a</w:t>
      </w:r>
      <w:r w:rsidR="09E511E8" w:rsidRPr="728F2DAF">
        <w:rPr>
          <w:lang w:val="en-GB"/>
        </w:rPr>
        <w:t>quatic</w:t>
      </w:r>
      <w:r w:rsidR="12BD40DF" w:rsidRPr="728F2DAF">
        <w:rPr>
          <w:lang w:val="en-GB"/>
        </w:rPr>
        <w:t xml:space="preserve"> alien</w:t>
      </w:r>
      <w:r w:rsidR="09E511E8" w:rsidRPr="728F2DAF">
        <w:rPr>
          <w:lang w:val="en-GB"/>
        </w:rPr>
        <w:t xml:space="preserve"> </w:t>
      </w:r>
      <w:r w:rsidR="7A83D04B" w:rsidRPr="728F2DAF">
        <w:rPr>
          <w:lang w:val="en-GB"/>
        </w:rPr>
        <w:t xml:space="preserve">species may </w:t>
      </w:r>
      <w:r w:rsidR="09E511E8" w:rsidRPr="728F2DAF">
        <w:rPr>
          <w:lang w:val="en-GB"/>
        </w:rPr>
        <w:t>be</w:t>
      </w:r>
      <w:r w:rsidR="7A83D04B" w:rsidRPr="728F2DAF">
        <w:rPr>
          <w:lang w:val="en-GB"/>
        </w:rPr>
        <w:t xml:space="preserve"> </w:t>
      </w:r>
      <w:r w:rsidRPr="728F2DAF">
        <w:rPr>
          <w:lang w:val="en-GB"/>
        </w:rPr>
        <w:t xml:space="preserve">facilitated </w:t>
      </w:r>
      <w:r w:rsidR="7A83D04B" w:rsidRPr="728F2DAF">
        <w:rPr>
          <w:lang w:val="en-GB"/>
        </w:rPr>
        <w:t>through land-use intensification</w:t>
      </w:r>
      <w:r w:rsidR="681175FA" w:rsidRPr="728F2DAF">
        <w:rPr>
          <w:lang w:val="en-GB"/>
        </w:rPr>
        <w:t xml:space="preserve"> in the watershed</w:t>
      </w:r>
      <w:r w:rsidR="1CC6A3B0" w:rsidRPr="728F2DAF">
        <w:rPr>
          <w:lang w:val="en-GB"/>
        </w:rPr>
        <w:t xml:space="preserve">. There is an increased likelihood of invasive alien species establishing within </w:t>
      </w:r>
      <w:r w:rsidR="4F51E3EA" w:rsidRPr="728F2DAF">
        <w:rPr>
          <w:lang w:val="en-GB"/>
        </w:rPr>
        <w:t xml:space="preserve">impacted </w:t>
      </w:r>
      <w:r w:rsidR="09E511E8" w:rsidRPr="728F2DAF">
        <w:rPr>
          <w:lang w:val="en-GB"/>
        </w:rPr>
        <w:t>watersheds</w:t>
      </w:r>
      <w:r w:rsidR="7A83D04B" w:rsidRPr="728F2DAF">
        <w:rPr>
          <w:lang w:val="en-GB"/>
        </w:rPr>
        <w:t xml:space="preserve"> </w:t>
      </w:r>
      <w:r w:rsidR="1CC6A3B0" w:rsidRPr="728F2DAF">
        <w:rPr>
          <w:lang w:val="en-GB"/>
        </w:rPr>
        <w:t>where</w:t>
      </w:r>
      <w:r w:rsidR="02C1FFC6" w:rsidRPr="728F2DAF">
        <w:rPr>
          <w:lang w:val="en-GB"/>
        </w:rPr>
        <w:t xml:space="preserve"> </w:t>
      </w:r>
      <w:r w:rsidR="7A83D04B" w:rsidRPr="728F2DAF">
        <w:rPr>
          <w:lang w:val="en-GB"/>
        </w:rPr>
        <w:t xml:space="preserve">increased sedimentation, altered flow rates, increased pollution and habitat destruction lower intrinsic biotic resistance </w:t>
      </w:r>
      <w:r w:rsidR="003E45F7" w:rsidRPr="728F2DAF">
        <w:rPr>
          <w:lang w:val="en-GB"/>
        </w:rPr>
        <w:fldChar w:fldCharType="begin"/>
      </w:r>
      <w:r w:rsidR="00331A79">
        <w:rPr>
          <w:lang w:val="en-GB"/>
        </w:rPr>
        <w:instrText xml:space="preserve"> ADDIN ZOTERO_ITEM CSL_CITATION {"citationID":"ddxW5K0X","properties":{"formattedCitation":"(Havel et al., 2015)","plainCitation":"(Havel et al., 2015)","noteIndex":0},"citationItems":[{"id":32683,"uris":["http://zotero.org/groups/2352922/items/698GF6AW"],"itemData":{"id":32683,"type":"article-journal","container-title":"Hydrobiologia","DOI":"10.1007/s10750-014-2166-0","ISSN":"0018-8158, 1573-5117","issue":"1","journalAbbreviation":"Hydrobiologia","language":"en","note":"number: 1\ncontainer-title: Hydrobiologia","page":"147-170","source":"DOI.org (Crossref)","title":"Aquatic invasive species: challenges for the future","title-short":"Aquatic invasive species","URL":"http://link.springer.com/10.1007/s10750-014-2166-0","volume":"750","author":[{"family":"Havel","given":"John E."},{"family":"Kovalenko","given":"Katya E."},{"family":"Thomaz","given":"Sidinei Magela"},{"family":"Amalfitano","given":"Stefano"},{"family":"Kats","given":"Lee B."}],"accessed":{"date-parts":[["2019",12,5]]},"issued":{"date-parts":[["2015",5]]}},"label":"page"}],"schema":"https://github.com/citation-style-language/schema/raw/master/csl-citation.json"} </w:instrText>
      </w:r>
      <w:r w:rsidR="003E45F7" w:rsidRPr="728F2DAF">
        <w:rPr>
          <w:lang w:val="en-GB"/>
        </w:rPr>
        <w:fldChar w:fldCharType="separate"/>
      </w:r>
      <w:r w:rsidR="73B99EB6">
        <w:t>(Havel et al., 2015)</w:t>
      </w:r>
      <w:r w:rsidR="003E45F7" w:rsidRPr="728F2DAF">
        <w:rPr>
          <w:lang w:val="en-GB"/>
        </w:rPr>
        <w:fldChar w:fldCharType="end"/>
      </w:r>
      <w:r w:rsidR="7A83D04B" w:rsidRPr="728F2DAF">
        <w:rPr>
          <w:lang w:val="en-GB"/>
        </w:rPr>
        <w:t xml:space="preserve">. In New Zealand braided river systems, alien and native </w:t>
      </w:r>
      <w:r w:rsidR="51C190AE" w:rsidRPr="728F2DAF">
        <w:rPr>
          <w:lang w:val="en-GB"/>
        </w:rPr>
        <w:t xml:space="preserve">aquatic </w:t>
      </w:r>
      <w:r w:rsidR="7A83D04B" w:rsidRPr="728F2DAF">
        <w:rPr>
          <w:lang w:val="en-GB"/>
        </w:rPr>
        <w:t>plant</w:t>
      </w:r>
      <w:r w:rsidR="1CC6A3B0" w:rsidRPr="728F2DAF">
        <w:rPr>
          <w:lang w:val="en-GB"/>
        </w:rPr>
        <w:t>s</w:t>
      </w:r>
      <w:r w:rsidR="7A83D04B" w:rsidRPr="728F2DAF">
        <w:rPr>
          <w:lang w:val="en-GB"/>
        </w:rPr>
        <w:t xml:space="preserve"> respond to different drivers</w:t>
      </w:r>
      <w:r w:rsidR="47F5A014" w:rsidRPr="728F2DAF">
        <w:rPr>
          <w:lang w:val="en-GB"/>
        </w:rPr>
        <w:t xml:space="preserve"> of change in nature</w:t>
      </w:r>
      <w:r w:rsidR="7A83D04B" w:rsidRPr="728F2DAF">
        <w:rPr>
          <w:lang w:val="en-GB"/>
        </w:rPr>
        <w:t xml:space="preserve">, </w:t>
      </w:r>
      <w:r w:rsidR="1D2070B4" w:rsidRPr="728F2DAF">
        <w:rPr>
          <w:lang w:val="en-GB"/>
        </w:rPr>
        <w:t xml:space="preserve">and in </w:t>
      </w:r>
      <w:r w:rsidR="48295D39" w:rsidRPr="728F2DAF">
        <w:rPr>
          <w:lang w:val="en-GB"/>
        </w:rPr>
        <w:t>particular</w:t>
      </w:r>
      <w:r w:rsidR="1D2070B4" w:rsidRPr="728F2DAF">
        <w:rPr>
          <w:lang w:val="en-GB"/>
        </w:rPr>
        <w:t xml:space="preserve"> disturbances to </w:t>
      </w:r>
      <w:r w:rsidR="7A83D04B" w:rsidRPr="728F2DAF">
        <w:rPr>
          <w:lang w:val="en-GB"/>
        </w:rPr>
        <w:t>flow regimes</w:t>
      </w:r>
      <w:r w:rsidR="2CF2F962" w:rsidRPr="728F2DAF">
        <w:rPr>
          <w:lang w:val="en-GB"/>
        </w:rPr>
        <w:t xml:space="preserve">. For example, </w:t>
      </w:r>
      <w:r w:rsidR="7A83D04B" w:rsidRPr="728F2DAF">
        <w:rPr>
          <w:lang w:val="en-GB"/>
        </w:rPr>
        <w:t xml:space="preserve">winter flow variability may increase alien species, while flow stabilization may promote coverage of </w:t>
      </w:r>
      <w:r w:rsidR="678D87A8" w:rsidRPr="728F2DAF">
        <w:rPr>
          <w:lang w:val="en-GB"/>
        </w:rPr>
        <w:t xml:space="preserve">such </w:t>
      </w:r>
      <w:r w:rsidR="7A83D04B" w:rsidRPr="728F2DAF">
        <w:rPr>
          <w:lang w:val="en-GB"/>
        </w:rPr>
        <w:t xml:space="preserve">species </w:t>
      </w:r>
      <w:r w:rsidR="003E45F7" w:rsidRPr="728F2DAF">
        <w:rPr>
          <w:lang w:val="en-GB"/>
        </w:rPr>
        <w:fldChar w:fldCharType="begin"/>
      </w:r>
      <w:r w:rsidR="00331A79">
        <w:rPr>
          <w:lang w:val="en-GB"/>
        </w:rPr>
        <w:instrText xml:space="preserve"> ADDIN ZOTERO_ITEM CSL_CITATION {"citationID":"dWFDmZB3","properties":{"formattedCitation":"(Brummer et al., 2016)","plainCitation":"(Brummer et al., 2016)","noteIndex":0},"citationItems":[{"id":25322,"uris":["http://zotero.org/groups/2352922/items/SWLIVDV4"],"itemData":{"id":25322,"type":"article-journal","abstract":"Aim To assess whether native and alien plant cover and richness respond similarly to flow regime, propagule pressure, climate and floodplain characteristics in highly dynamic braided river ecosystems. Location Canterbury, New Zealand. Methods A regional, multiscale survey was conducted across 19 braided river floodplains in multiple catchments. We measured alien and native cover and richness across gradients of flow regime (flow magnitude, variability and high/low-flow events), propagule pressure (inferred from land cover), climate and local-scale floodplain substrate and topography. Boosted regression trees were used to determine the relative and absolute importance of these variables on plant cover and richness. Results The floodplain ecosystems were highly invaded with 154 alien species and only 31 natives. Alien cover was higher in rivers with larger maximum flows, in plots with fine substrate texture, and at higher local river bed elevations. Alien richness increased as the variability of winter flows increased and followed a hump-shaped relationship with river bed elevation. In contrast, native species richness and cover were both shaped primarily by climate and by land cover, higher in cooler and wetter areas with more adjacent native vegetation. Main conclusions Alien and native richness and cover were shaped by different variables, so managing the ecosystem (e.g. flow regime) to mitigate aliens would not necessarily promote natives. Promotion of natives will require considerations of propagule supply and whether extant native species are suited to low-elevation climatic conditions. Aliens were associated with predictors that approximate disturbance processes. Increased flow variability in winter could lead to an increase in the number of aliens; conversely, flow stabilization is likely to allow problematic invaders to increase in cover locally.","container-title":"Diversity and Distributions","DOI":"10.1111/ddi.12448","ISSN":"1472-4642","issue":"7","language":"en","license":"© 2016 John Wiley &amp; Sons Ltd","note":"_eprint: https://onlinelibrary.wiley.com/doi/pdf/10.1111/ddi.12448","page":"823-835","source":"Wiley Online Library","title":"Alien and native plant richness and abundance respond to different environmental drivers across multiple gravel floodplain ecosystems","URL":"https://onlinelibrary.wiley.com/doi/abs/10.1111/ddi.12448","volume":"22","author":[{"family":"Brummer","given":"T. J."},{"family":"Byrom","given":"A. E."},{"family":"Sullivan","given":"J. J."},{"family":"Hulme","given":"Philip E."}],"accessed":{"date-parts":[["2020",5,12]]},"issued":{"date-parts":[["2016"]]}},"label":"page"}],"schema":"https://github.com/citation-style-language/schema/raw/master/csl-citation.json"} </w:instrText>
      </w:r>
      <w:r w:rsidR="003E45F7" w:rsidRPr="728F2DAF">
        <w:rPr>
          <w:lang w:val="en-GB"/>
        </w:rPr>
        <w:fldChar w:fldCharType="separate"/>
      </w:r>
      <w:r w:rsidR="73B99EB6">
        <w:t>(Brummer et al., 2016)</w:t>
      </w:r>
      <w:r w:rsidR="003E45F7" w:rsidRPr="728F2DAF">
        <w:rPr>
          <w:lang w:val="en-GB"/>
        </w:rPr>
        <w:fldChar w:fldCharType="end"/>
      </w:r>
      <w:r w:rsidR="7A83D04B" w:rsidRPr="728F2DAF">
        <w:rPr>
          <w:lang w:val="en-GB"/>
        </w:rPr>
        <w:t xml:space="preserve">. Regulated flow regimes, including floods, also mediate invasive </w:t>
      </w:r>
      <w:r w:rsidR="1CC6A3B0" w:rsidRPr="728F2DAF">
        <w:rPr>
          <w:lang w:val="en-GB"/>
        </w:rPr>
        <w:t xml:space="preserve">alien </w:t>
      </w:r>
      <w:r w:rsidR="7A83D04B" w:rsidRPr="728F2DAF">
        <w:rPr>
          <w:lang w:val="en-GB"/>
        </w:rPr>
        <w:t>plant</w:t>
      </w:r>
      <w:r w:rsidR="1CC6A3B0" w:rsidRPr="728F2DAF">
        <w:rPr>
          <w:lang w:val="en-GB"/>
        </w:rPr>
        <w:t>s</w:t>
      </w:r>
      <w:r w:rsidR="7A83D04B" w:rsidRPr="728F2DAF">
        <w:rPr>
          <w:lang w:val="en-GB"/>
        </w:rPr>
        <w:t xml:space="preserve"> in the Australian Murray-Darling river catchments </w:t>
      </w:r>
      <w:r w:rsidR="003E45F7" w:rsidRPr="728F2DAF">
        <w:rPr>
          <w:lang w:val="en-GB"/>
        </w:rPr>
        <w:fldChar w:fldCharType="begin"/>
      </w:r>
      <w:r w:rsidR="00331A79">
        <w:rPr>
          <w:lang w:val="en-GB"/>
        </w:rPr>
        <w:instrText xml:space="preserve"> ADDIN ZOTERO_ITEM CSL_CITATION {"citationID":"gjR5s1Yc","properties":{"formattedCitation":"(Catford et al., 2011, 2014)","plainCitation":"(Catford et al., 2011, 2014)","noteIndex":0},"citationItems":[{"id":32412,"uris":["http://zotero.org/groups/2352922/items/BB3KS8CT"],"itemData":{"id":32412,"type":"article-journal","container-title":"Journal of Applied Ecology","DOI":"10.1111/j.1365-2664.2010.01945.x","ISSN":"00218901","issue":"2","language":"en","page":"432-442","source":"DOI.org (Crossref)","title":"Flow regulation reduces native plant cover and facilitates exotic invasion in riparian wetlands","title-short":"Flow regulation reduces native plant cover and facilitates exotic invasion in riparian wetlands","URL":"http://doi.wiley.com/10.1111/j.1365-2664.2010.01945.x","volume":"48","author":[{"family":"Catford","given":"Jane A."},{"family":"Downes","given":"Barbara J."},{"family":"Gippel","given":"Christopher J."},{"family":"Vesk","given":"Peter A."}],"accessed":{"date-parts":[["2021",2,9]]},"issued":{"date-parts":[["2011",4]]}},"label":"page"},{"id":25320,"uris":["http://zotero.org/groups/2352922/items/RFZJRAIP"],"itemData":{"id":25320,"type":"article-journal","abstract":"Aim Many factors facilitate biological invasions, making it difficult to determine their relative importance, especially when relying on survey data that include confounded variables. Incorporating information about species characteristics can improve inferences drawn from species–environment relationships, which can inform management. We seek to understand why the abundance of exotic, and not native, terrestrial plants is higher in riparian wetlands most impacted by flow regulation. Location River Murray, SE Australia. Methods We use variance components analysis and hierarchical generalised linear models to examine whether the positive relationship between flow regulation and proportional cover of exotic plants is driven by altered hydrological regimes, wetland drying and drought, superior colonisation ability of exotic species following disturbance or human-increased propagule pressure. Results Of the four hypotheses, hydrological modification (indicated by flood magnitude) most likely drives invasion. Flow regulation may inhibit native species adapted to the historical hydrological regime, facilitating exotic species with different environmental ranges. A symptom of environmental change, invasion may have been exacerbated by drought, although it is unclear why. There was no indication that human-increased propagule pressure or colonisation ability facilitated invasion. Exotic cover was unrelated to proximity to towns, recent flood frequency and cattle grazing intensity. Additionally, similar proportions of exotic and native species were used in cultivation and, despite a higher proportion of exotics being known weeds, weed status was unrelated to exotic species occupancy. Overall, colonisation ability was unrelated to species' origin or response to water depth and hydrological change. Although exotics had higher specific leaf area and shorter longevity (indicative of higher colonisation ability), they had heavier (not lighter) seeds and did not differ in height from natives. Main conclusions Using environmental flows to reinstate mid-range floods and augmenting the propagule supply of native species with characteristics suitable for modified conditions may help limit invasion in these wetlands.","container-title":"Diversity and Distributions","DOI":"https://doi.org/10.1111/ddi.12225","ISSN":"1472-4642","issue":"9","language":"en","license":"© 2014 John Wiley &amp; Sons Ltd","page":"1084-1096","source":"Wiley Online Library","title":"Species and environmental characteristics point to flow regulation and drought as drivers of riparian plant invasion","URL":"https://onlinelibrary.wiley.com/doi/abs/10.1111/ddi.12225","volume":"20","author":[{"family":"Catford","given":"Jane A."},{"family":"Morris","given":"William K."},{"family":"Vesk","given":"Peter A."},{"family":"Gippel","given":"Christopher J."},{"family":"Downes","given":"Barbara J."}],"accessed":{"date-parts":[["2021",4,12]]},"issued":{"date-parts":[["2014"]]}},"label":"page"}],"schema":"https://github.com/citation-style-language/schema/raw/master/csl-citation.json"} </w:instrText>
      </w:r>
      <w:r w:rsidR="003E45F7" w:rsidRPr="728F2DAF">
        <w:rPr>
          <w:lang w:val="en-GB"/>
        </w:rPr>
        <w:fldChar w:fldCharType="separate"/>
      </w:r>
      <w:r w:rsidR="73B99EB6">
        <w:t>(Catford et al., 2011, 2014)</w:t>
      </w:r>
      <w:r w:rsidR="003E45F7" w:rsidRPr="728F2DAF">
        <w:rPr>
          <w:lang w:val="en-GB"/>
        </w:rPr>
        <w:fldChar w:fldCharType="end"/>
      </w:r>
      <w:r w:rsidR="7A83D04B" w:rsidRPr="728F2DAF">
        <w:rPr>
          <w:lang w:val="en-GB"/>
        </w:rPr>
        <w:t xml:space="preserve">, with impacts mediated by seasonality along with species’ life-history strategies </w:t>
      </w:r>
      <w:r w:rsidR="003E45F7" w:rsidRPr="728F2DAF">
        <w:rPr>
          <w:lang w:val="en-GB"/>
        </w:rPr>
        <w:fldChar w:fldCharType="begin"/>
      </w:r>
      <w:r w:rsidR="00331A79">
        <w:rPr>
          <w:lang w:val="en-GB"/>
        </w:rPr>
        <w:instrText xml:space="preserve"> ADDIN ZOTERO_ITEM CSL_CITATION {"citationID":"WTYT1cHL","properties":{"formattedCitation":"(Greet et al., 2013)","plainCitation":"(Greet et al., 2013)","noteIndex":0},"citationItems":[{"id":25326,"uris":["http://zotero.org/groups/2352922/items/7HPJWEGG"],"itemData":{"id":25326,"type":"article-journal","abstract":"Natural flow regimes are important for sustaining riverine vegetation. The regulation of river flows to provide water for agriculture often results in changes to flow timing. This study assesses the impact of altered seasonal flow patterns on riverine flora. Within temperate Australia, we surveyed the vegetation of five lowland rivers, three of which have large dams that alter their seasonal flow patterns; the other two are unregulated. From four to six sites were selected on each river, and these were classified into three levels of regulation based on the extent to which the timing of their seasonal flow patterns were altered. Sites were surveyed in winter and the following summer. Permanent quadrats were also established at a number of the surveyed sites and resurveyed every 3 months. Of the 267 plant taxa identified, 145 were exotic (non-native). More exotic taxa and fewer native taxa were associated with increasing level of seasonal flow inversion (regulation). In particular, greater numbers of short-lived exotic terrestrial taxa and fewer native woody taxa were associated with increasing level of regulation. Some exotic woody species (e.g. willows) were more common in the unregulated rivers and may have life-history traits favoured by the natural seasonal flow patterns of study area. Multivariate analyses showed that level of regulation had a significant effect on the overall composition of the riverine vegetation. Our results provide support for the hypotheses that flow regulation adversely affects native species diversity and increases the vulnerability of riparian zones to invasion by exotic species; however, these effects are dependent on plant species' life-history strategies. Our study highlights the importance of natural seasonal flow patterns for sustaining native riverine plant communities. Flow management aimed at maintaining or restoring ecological values should consider seasonal flow patterns. Winter/spring flow peaks may be particularly important for the recruitment of native riverine plants, especially trees and shrubs, and reducing the extent of exotic annuals and grasses. Copyright © 2012 John Wiley &amp; Sons, Ltd.","container-title":"River Research and Applications","DOI":"https://doi.org/10.1002/rra.2571","ISSN":"1535-1467","issue":"6","language":"en","license":"Copyright © 2012 John Wiley &amp; Sons, Ltd.","page":"686-706","source":"Wiley Online Library","title":"More Exotic and Fewer Native Plant Species: Riverine Vegetation Patterns Associated with Altered Seasonal Flow Patterns","title-short":"More Exotic and Fewer Native Plant Species","URL":"https://onlinelibrary.wiley.com/doi/abs/10.1002/rra.2571","volume":"29","author":[{"family":"Greet","given":"J."},{"family":"Cousens","given":"R. D."},{"family":"Webb","given":"J. A."}],"accessed":{"date-parts":[["2021",4,12]]},"issued":{"date-parts":[["2013"]]}},"label":"page"}],"schema":"https://github.com/citation-style-language/schema/raw/master/csl-citation.json"} </w:instrText>
      </w:r>
      <w:r w:rsidR="003E45F7" w:rsidRPr="728F2DAF">
        <w:rPr>
          <w:lang w:val="en-GB"/>
        </w:rPr>
        <w:fldChar w:fldCharType="separate"/>
      </w:r>
      <w:r w:rsidR="73B99EB6">
        <w:t>(Greet et al., 2013)</w:t>
      </w:r>
      <w:r w:rsidR="003E45F7" w:rsidRPr="728F2DAF">
        <w:rPr>
          <w:lang w:val="en-GB"/>
        </w:rPr>
        <w:fldChar w:fldCharType="end"/>
      </w:r>
      <w:r w:rsidR="7A83D04B" w:rsidRPr="728F2DAF">
        <w:rPr>
          <w:lang w:val="en-GB"/>
        </w:rPr>
        <w:t xml:space="preserve">. </w:t>
      </w:r>
      <w:r w:rsidR="385D5F08" w:rsidRPr="728F2DAF">
        <w:rPr>
          <w:lang w:val="en-GB"/>
        </w:rPr>
        <w:t xml:space="preserve">In </w:t>
      </w:r>
      <w:r w:rsidR="76736291" w:rsidRPr="728F2DAF">
        <w:rPr>
          <w:lang w:val="en-GB"/>
        </w:rPr>
        <w:t>China,</w:t>
      </w:r>
      <w:r w:rsidR="385D5F08" w:rsidRPr="728F2DAF">
        <w:rPr>
          <w:lang w:val="en-GB"/>
        </w:rPr>
        <w:t xml:space="preserve"> the rate of onward spread and establishment of </w:t>
      </w:r>
      <w:r w:rsidR="385D5F08" w:rsidRPr="728F2DAF">
        <w:rPr>
          <w:i/>
          <w:iCs/>
          <w:lang w:val="en-GB"/>
        </w:rPr>
        <w:t xml:space="preserve">Lithobates catesbeianus </w:t>
      </w:r>
      <w:r w:rsidR="385D5F08" w:rsidRPr="728F2DAF">
        <w:rPr>
          <w:lang w:val="en-GB"/>
        </w:rPr>
        <w:t xml:space="preserve">(American bullfrog) from the points of introduction (for aquaculture) throughout the local watershed was facilitated by native habitat loss and land-use change </w:t>
      </w:r>
      <w:r w:rsidR="003E45F7" w:rsidRPr="728F2DAF">
        <w:rPr>
          <w:lang w:val="en-GB"/>
        </w:rPr>
        <w:fldChar w:fldCharType="begin"/>
      </w:r>
      <w:r w:rsidR="00331A79">
        <w:rPr>
          <w:lang w:val="en-GB"/>
        </w:rPr>
        <w:instrText xml:space="preserve"> ADDIN ZOTERO_ITEM CSL_CITATION {"citationID":"ueRlACNZ","properties":{"formattedCitation":"(X. Wang et al., 2022)","plainCitation":"(X. Wang et al., 2022)","noteIndex":0},"citationItems":[{"id":52689,"uris":["http://zotero.org/groups/2352922/items/TGIQ2R6E"],"itemData":{"id":52689,"type":"article-journal","container-title":"Diversity and Distributions","DOI":"10.1111/ddi.13359","ISSN":"1366-9516, 1472-4642","issue":"8","journalAbbreviation":"Diversity and Distributions","language":"en","page":"1610-1619","source":"DOI.org (Crossref)","title":"Anthropogenic habitat loss accelerates the range expansion of a global invader","URL":"https://onlinelibrary.wiley.com/doi/10.1111/ddi.13359","volume":"28","author":[{"family":"Wang","given":"Xuyu"},{"family":"Yi","given":"Tao"},{"family":"Li","given":"Wenhao"},{"family":"Xu","given":"Chunxia"},{"family":"Wang","given":"Supen"},{"family":"Wang","given":"Yanping"},{"family":"Li","given":"Yiming"},{"family":"Liu","given":"Xuan"}],"editor":[{"family":"Zhang","given":"Zhixin"}],"accessed":{"date-parts":[["2022",7,28]]},"issued":{"date-parts":[["2022",8]]}},"label":"page"}],"schema":"https://github.com/citation-style-language/schema/raw/master/csl-citation.json"} </w:instrText>
      </w:r>
      <w:r w:rsidR="003E45F7" w:rsidRPr="728F2DAF">
        <w:rPr>
          <w:lang w:val="en-GB"/>
        </w:rPr>
        <w:fldChar w:fldCharType="separate"/>
      </w:r>
      <w:r w:rsidR="73B99EB6">
        <w:t>(X. Wang et al., 2022)</w:t>
      </w:r>
      <w:r w:rsidR="003E45F7" w:rsidRPr="728F2DAF">
        <w:rPr>
          <w:lang w:val="en-GB"/>
        </w:rPr>
        <w:fldChar w:fldCharType="end"/>
      </w:r>
      <w:r w:rsidR="385D5F08" w:rsidRPr="728F2DAF">
        <w:rPr>
          <w:lang w:val="en-GB"/>
        </w:rPr>
        <w:t>.</w:t>
      </w:r>
      <w:r w:rsidR="79408892" w:rsidRPr="728F2DAF">
        <w:rPr>
          <w:lang w:val="en-GB"/>
        </w:rPr>
        <w:t xml:space="preserve"> </w:t>
      </w:r>
      <w:r w:rsidR="574519D3" w:rsidRPr="728F2DAF">
        <w:rPr>
          <w:lang w:val="en-GB"/>
        </w:rPr>
        <w:t xml:space="preserve">In the Mediterranean </w:t>
      </w:r>
      <w:r w:rsidR="0BDA135C" w:rsidRPr="728F2DAF">
        <w:rPr>
          <w:lang w:val="en-GB"/>
        </w:rPr>
        <w:t>S</w:t>
      </w:r>
      <w:r w:rsidR="574519D3" w:rsidRPr="728F2DAF">
        <w:rPr>
          <w:lang w:val="en-GB"/>
        </w:rPr>
        <w:t xml:space="preserve">ea, fish overgrazing and sediment disturbance </w:t>
      </w:r>
      <w:r w:rsidR="1315060B" w:rsidRPr="728F2DAF">
        <w:rPr>
          <w:lang w:val="en-GB"/>
        </w:rPr>
        <w:t xml:space="preserve">caused </w:t>
      </w:r>
      <w:r w:rsidR="574519D3" w:rsidRPr="728F2DAF">
        <w:rPr>
          <w:lang w:val="en-GB"/>
        </w:rPr>
        <w:t>by vessel anchoring decrease the resistance of native seagrass bed</w:t>
      </w:r>
      <w:r w:rsidR="437C8D7A" w:rsidRPr="728F2DAF">
        <w:rPr>
          <w:lang w:val="en-GB"/>
        </w:rPr>
        <w:t>s</w:t>
      </w:r>
      <w:r w:rsidR="574519D3" w:rsidRPr="728F2DAF">
        <w:rPr>
          <w:lang w:val="en-GB"/>
        </w:rPr>
        <w:t xml:space="preserve">, and thereby allow the establishment and spread of invasive alien </w:t>
      </w:r>
      <w:r w:rsidR="574519D3" w:rsidRPr="728F2DAF">
        <w:rPr>
          <w:i/>
          <w:iCs/>
          <w:lang w:val="en-GB"/>
        </w:rPr>
        <w:t xml:space="preserve">Caulerpa </w:t>
      </w:r>
      <w:r w:rsidR="2C351FC9" w:rsidRPr="728F2DAF">
        <w:rPr>
          <w:i/>
          <w:iCs/>
          <w:lang w:val="en-GB"/>
        </w:rPr>
        <w:t>racemos</w:t>
      </w:r>
      <w:r w:rsidR="118C2687" w:rsidRPr="728F2DAF">
        <w:rPr>
          <w:i/>
          <w:iCs/>
          <w:lang w:val="en-GB"/>
        </w:rPr>
        <w:t>a</w:t>
      </w:r>
      <w:r w:rsidR="2C351FC9" w:rsidRPr="728F2DAF">
        <w:rPr>
          <w:lang w:val="en-GB"/>
        </w:rPr>
        <w:t xml:space="preserve"> (</w:t>
      </w:r>
      <w:r w:rsidR="78CD3DA2" w:rsidRPr="728F2DAF">
        <w:rPr>
          <w:lang w:val="en-GB"/>
        </w:rPr>
        <w:t xml:space="preserve">green </w:t>
      </w:r>
      <w:r w:rsidR="2C351FC9" w:rsidRPr="728F2DAF">
        <w:rPr>
          <w:lang w:val="en-GB"/>
        </w:rPr>
        <w:t>alga</w:t>
      </w:r>
      <w:r w:rsidR="7B940459" w:rsidRPr="728F2DAF">
        <w:rPr>
          <w:lang w:val="en-GB"/>
        </w:rPr>
        <w:t>e</w:t>
      </w:r>
      <w:r w:rsidR="539B6168" w:rsidRPr="728F2DAF">
        <w:rPr>
          <w:lang w:val="en-GB"/>
        </w:rPr>
        <w:t>;</w:t>
      </w:r>
      <w:r w:rsidR="574519D3" w:rsidRPr="728F2DAF">
        <w:rPr>
          <w:lang w:val="en-GB"/>
        </w:rPr>
        <w:t xml:space="preserve"> </w:t>
      </w:r>
      <w:r w:rsidR="003E45F7" w:rsidRPr="728F2DAF">
        <w:rPr>
          <w:lang w:val="en-GB"/>
        </w:rPr>
        <w:fldChar w:fldCharType="begin"/>
      </w:r>
      <w:r w:rsidR="00331A79">
        <w:rPr>
          <w:lang w:val="en-GB"/>
        </w:rPr>
        <w:instrText xml:space="preserve"> ADDIN ZOTERO_ITEM CSL_CITATION {"citationID":"6gZNDCVZ","properties":{"formattedCitation":"(Tamburello et al., 2014)","plainCitation":"(Tamburello et al., 2014)","dontUpdate":true,"noteIndex":0},"citationItems":[{"id":15414,"uris":["http://zotero.org/groups/2352922/items/6P4E3A5V"],"itemData":{"id":15414,"type":"article-journal","abstract":"Natural and human-generated disturbances are widely acknowledged as key drivers of biological invasions. Understanding the role of spatial patterns of compounded disturbances in determining invader establishment and spread can enhance the effectiveness of control strategies. Using the framework of 1/f noise models and by means of a field experiment, we evaluated how the simultaneous exposure of Posidonia oceanica meadows to disturbances (namely overgrazing and rhizome uprooting from vessel anchoring) differing in spatial extent and degree of autocorrelation influenced the establishment and spread of the invasive seaweed, Caulerpa racemosa. Effects on invader establishment and spread were evaluated by means of mixed-effect models relating spatial patterns of disturbance and presence or abundance of C. racemosa, quantified through spectral coefficients. The spatial distribution of C. racemosa mimicked that of overgrazing, both variables showing positive autocorrelation. Yet, C. racemosa was unable to disperse from disturbed patches into adjacent intact areas. The uprooting of rhizomes did not promote the establishment of C. racemosa, but magnified (</w:instrText>
      </w:r>
      <w:r w:rsidR="00331A79">
        <w:rPr>
          <w:rFonts w:ascii="Cambria Math" w:hAnsi="Cambria Math" w:cs="Cambria Math"/>
          <w:lang w:val="en-GB"/>
        </w:rPr>
        <w:instrText>≃</w:instrText>
      </w:r>
      <w:r w:rsidR="00331A79">
        <w:rPr>
          <w:lang w:val="en-GB"/>
        </w:rPr>
        <w:instrText>18 times) the proliferation of the exotic seaweed when coupled with overgrazing. Synthesis and applications. Fish overgrazing of Posidonia oceanica lessens the resistance of seagrass beds to invasion by Caulerpa racemosa. Thus, conservation strategies (e.g. marine protected areas) aiming to restore over-exploited fish populations may indirectly enhance the susceptibility of P. oceanica meadows to invasion by C. racemosa. Uprooting of P. oceanica rhizomes, such as that caused by boat anchoring, exacerbates the effects of overgrazing. The anchoring of recreational vessels should be, therefore, strictly regulated in areas characterized by intense grazing of P. oceanica leaves. More generally, our study shows that native herbivores may indirectly facilitate invasion by reducing the resistance of resident plant communities and suggests that sounded strategies for controlling the establishment and spread of invasive species require taking into account the interactive effects of natural and anthropogenic disturbances.","container-title":"Journal of Applied Ecology","DOI":"10.1111/1365-2664.12199","ISSN":"1365-2664","issue":"2","language":"en","license":"© 2013 The Authors. Journal of Applied Ecology © 2013 British Ecological Society","page":"406-414","source":"Wiley Online Library","title":"The role of overgrazing and anthropogenic disturbance in shaping spatial patterns of distribution of an invasive seaweed","URL":"https://besjournals.onlinelibrary.wiley.com/doi/abs/10.1111/1365-2664.12199","volume":"51","author":[{"family":"Tamb</w:instrText>
      </w:r>
      <w:r w:rsidR="00331A79">
        <w:rPr>
          <w:rFonts w:hint="eastAsia"/>
          <w:lang w:val="en-GB"/>
        </w:rPr>
        <w:instrText>urello","given":"Laura"},{"family":"Bulleri","given":"Fabio"},{"family":"Balata","given":"David"},{"family":"Benedetti</w:instrText>
      </w:r>
      <w:r w:rsidR="00331A79">
        <w:rPr>
          <w:rFonts w:hint="eastAsia"/>
          <w:lang w:val="en-GB"/>
        </w:rPr>
        <w:instrText>‐</w:instrText>
      </w:r>
      <w:r w:rsidR="00331A79">
        <w:rPr>
          <w:rFonts w:hint="eastAsia"/>
          <w:lang w:val="en-GB"/>
        </w:rPr>
        <w:instrText>Cecchi","given":"Lisandro"}],"accessed":{"date-parts":[["2019",9,25]]},"issued":{"date-parts":[["2014"]]}},"label":"page"}],"schema":"ht</w:instrText>
      </w:r>
      <w:r w:rsidR="00331A79">
        <w:rPr>
          <w:lang w:val="en-GB"/>
        </w:rPr>
        <w:instrText xml:space="preserve">tps://github.com/citation-style-language/schema/raw/master/csl-citation.json"} </w:instrText>
      </w:r>
      <w:r w:rsidR="003E45F7" w:rsidRPr="728F2DAF">
        <w:rPr>
          <w:lang w:val="en-GB"/>
        </w:rPr>
        <w:fldChar w:fldCharType="separate"/>
      </w:r>
      <w:r w:rsidR="7C5F9A75" w:rsidRPr="728F2DAF">
        <w:rPr>
          <w:lang w:val="en-GB"/>
        </w:rPr>
        <w:t>Tamburello et al., 2014)</w:t>
      </w:r>
      <w:r w:rsidR="003E45F7" w:rsidRPr="728F2DAF">
        <w:rPr>
          <w:lang w:val="en-GB"/>
        </w:rPr>
        <w:fldChar w:fldCharType="end"/>
      </w:r>
      <w:r w:rsidR="574519D3" w:rsidRPr="728F2DAF">
        <w:rPr>
          <w:lang w:val="en-GB"/>
        </w:rPr>
        <w:t>.</w:t>
      </w:r>
      <w:r w:rsidR="0F94BD80" w:rsidRPr="728F2DAF">
        <w:rPr>
          <w:lang w:val="en-GB"/>
        </w:rPr>
        <w:t xml:space="preserve"> In Italy, however, clearance of </w:t>
      </w:r>
      <w:r w:rsidR="0F32FFB0" w:rsidRPr="728F2DAF">
        <w:rPr>
          <w:lang w:val="en-GB"/>
        </w:rPr>
        <w:t xml:space="preserve">seagrass </w:t>
      </w:r>
      <w:r w:rsidR="0F94BD80" w:rsidRPr="728F2DAF">
        <w:rPr>
          <w:i/>
          <w:iCs/>
          <w:lang w:val="en-GB"/>
        </w:rPr>
        <w:t>Posidonia oceanica</w:t>
      </w:r>
      <w:r w:rsidR="0F94BD80" w:rsidRPr="728F2DAF">
        <w:rPr>
          <w:lang w:val="en-GB"/>
        </w:rPr>
        <w:t xml:space="preserve"> </w:t>
      </w:r>
      <w:r w:rsidR="2C351FC9" w:rsidRPr="728F2DAF">
        <w:rPr>
          <w:lang w:val="en-GB"/>
        </w:rPr>
        <w:t>(</w:t>
      </w:r>
      <w:r w:rsidR="0F32FFB0" w:rsidRPr="728F2DAF">
        <w:rPr>
          <w:rFonts w:eastAsia="Yu Gothic"/>
          <w:color w:val="000000" w:themeColor="text1"/>
          <w:lang w:val="en-GB"/>
        </w:rPr>
        <w:t>Neptune grass</w:t>
      </w:r>
      <w:r w:rsidR="2C351FC9" w:rsidRPr="728F2DAF">
        <w:rPr>
          <w:lang w:val="en-GB"/>
        </w:rPr>
        <w:t xml:space="preserve">) </w:t>
      </w:r>
      <w:r w:rsidR="0F94BD80" w:rsidRPr="728F2DAF">
        <w:rPr>
          <w:lang w:val="en-GB"/>
        </w:rPr>
        <w:t xml:space="preserve">led to a reduction in the apparent ecological resistance towards the </w:t>
      </w:r>
      <w:r w:rsidR="0F94BD80" w:rsidRPr="728F2DAF">
        <w:rPr>
          <w:i/>
          <w:iCs/>
          <w:lang w:val="en-GB"/>
        </w:rPr>
        <w:t>Caulerpa cylindracea</w:t>
      </w:r>
      <w:r w:rsidR="0F94BD80" w:rsidRPr="728F2DAF">
        <w:rPr>
          <w:lang w:val="en-GB"/>
        </w:rPr>
        <w:t xml:space="preserve"> </w:t>
      </w:r>
      <w:r w:rsidR="2C351FC9" w:rsidRPr="728F2DAF">
        <w:rPr>
          <w:lang w:val="en-GB"/>
        </w:rPr>
        <w:t xml:space="preserve">(green algae) </w:t>
      </w:r>
      <w:r w:rsidR="0F94BD80" w:rsidRPr="728F2DAF">
        <w:rPr>
          <w:lang w:val="en-GB"/>
        </w:rPr>
        <w:t xml:space="preserve">invasion </w:t>
      </w:r>
      <w:r w:rsidR="003E45F7" w:rsidRPr="728F2DAF">
        <w:rPr>
          <w:lang w:val="en-GB"/>
        </w:rPr>
        <w:fldChar w:fldCharType="begin"/>
      </w:r>
      <w:r w:rsidR="00331A79">
        <w:rPr>
          <w:lang w:val="en-GB"/>
        </w:rPr>
        <w:instrText xml:space="preserve"> ADDIN ZOTERO_ITEM CSL_CITATION {"citationID":"Sv1SsEWC","properties":{"formattedCitation":"(Casoli et al., 2021; Mar\\uc0\\u237{}n-Guirao et al., 2015)","plainCitation":"(Casoli et al., 2021; Marín-Guirao et al., 2015)","noteIndex":0},"citationItems":[{"id":30296,"uris":["http://zotero.org/groups/2352922/items/BMB54I3L"],"itemData":{"id":30296,"type":"article-journal","container-title":"Water","issue":"10","note":"publisher: Multidisciplinary Digital Publishing Institute","page":"1342","title":"Double Trouble: Synergy between Habitat Loss and the Spread of the Alien Species &lt;i&gt;Caulerpa cylindracea&lt;/i&gt; (Sonder) in Three Mediterranean Habitats","volume":"13","author":[{"family":"Casoli","given":"Edoardo"},{"family":"Mancini","given":"Gianluca"},{"family":"Ventura","given":"Daniele"},{"family":"Belluscio","given":"Andrea"},{"family":"Ardizzone","given":"Giandomenico"}],"issued":{"date-parts":[["2021"]]}},"label":"page"},{"id":30297,"uris":["http://zotero.org/groups/2352922/items/BVLFEZD3"],"itemData":{"id":30297,"type":"article-journal","container-title":"Biological Invasions","DOI":"https://doi.org/10.1007/s10530-015-0852-0","issue":"7","note":"ISBN: 1573-1464\npublisher: Springer","page":"1989-2009","title":"Resistance of &lt;i&gt;Posidonia oceanica&lt;/i&gt; seagrass meadows to the spread of the introduced green alga &lt;i&gt;Caulerpa cylindracea&lt;/i&gt;: assessment of the role of light","volume":"17","author":[{"family":"Marín-Guirao","given":"Lázaro"},{"family":"Bernardeau-Esteller","given":"Jaime"},{"family":"Ruiz","given":"Juan Manuel"},{"family":"Sandoval-Gil","given":"José Miguel"}],"issued":{"date-parts":[["2015"]]}},"label":"page"}],"schema":"https://github.com/citation-style-language/schema/raw/master/csl-citation.json"} </w:instrText>
      </w:r>
      <w:r w:rsidR="003E45F7" w:rsidRPr="728F2DAF">
        <w:rPr>
          <w:lang w:val="en-GB"/>
        </w:rPr>
        <w:fldChar w:fldCharType="separate"/>
      </w:r>
      <w:r w:rsidR="73B99EB6">
        <w:t>(Casoli et al., 2021; Marín-Guirao et al., 2015)</w:t>
      </w:r>
      <w:r w:rsidR="003E45F7" w:rsidRPr="728F2DAF">
        <w:rPr>
          <w:lang w:val="en-GB"/>
        </w:rPr>
        <w:fldChar w:fldCharType="end"/>
      </w:r>
      <w:r w:rsidR="1CC6A3B0" w:rsidRPr="728F2DAF">
        <w:rPr>
          <w:lang w:val="en-GB"/>
        </w:rPr>
        <w:t>.</w:t>
      </w:r>
    </w:p>
    <w:p w14:paraId="4B036F0E" w14:textId="77777777" w:rsidR="008C1BF7" w:rsidRPr="00DA249F" w:rsidRDefault="3BAEC23B" w:rsidP="004826A3">
      <w:pPr>
        <w:pStyle w:val="Heading3"/>
        <w:rPr>
          <w:lang w:val="en-GB"/>
        </w:rPr>
      </w:pPr>
      <w:bookmarkStart w:id="162" w:name="_Toc44317821"/>
      <w:r w:rsidRPr="00DA249F">
        <w:rPr>
          <w:lang w:val="en-GB"/>
        </w:rPr>
        <w:t xml:space="preserve"> </w:t>
      </w:r>
      <w:r w:rsidR="6619E8BF" w:rsidRPr="00DA249F">
        <w:rPr>
          <w:lang w:val="en-GB"/>
        </w:rPr>
        <w:t>Landscape and seascape degradation</w:t>
      </w:r>
      <w:bookmarkEnd w:id="162"/>
    </w:p>
    <w:p w14:paraId="5DC83D15" w14:textId="21251B9F" w:rsidR="00831041" w:rsidRPr="00DA249F" w:rsidRDefault="03BAFCD4" w:rsidP="0090109B">
      <w:pPr>
        <w:rPr>
          <w:lang w:val="en-GB"/>
        </w:rPr>
      </w:pPr>
      <w:r w:rsidRPr="728F2DAF">
        <w:rPr>
          <w:lang w:val="en-GB"/>
        </w:rPr>
        <w:t>Anthropogenic</w:t>
      </w:r>
      <w:r w:rsidR="3BED460A" w:rsidRPr="728F2DAF">
        <w:rPr>
          <w:lang w:val="en-GB"/>
        </w:rPr>
        <w:t xml:space="preserve"> d</w:t>
      </w:r>
      <w:r w:rsidR="1E8738AD" w:rsidRPr="728F2DAF">
        <w:rPr>
          <w:lang w:val="en-GB"/>
        </w:rPr>
        <w:t>egradation</w:t>
      </w:r>
      <w:r w:rsidR="538316EA" w:rsidRPr="728F2DAF">
        <w:rPr>
          <w:lang w:val="en-GB"/>
        </w:rPr>
        <w:t xml:space="preserve"> of </w:t>
      </w:r>
      <w:r w:rsidR="0763907C" w:rsidRPr="728F2DAF">
        <w:rPr>
          <w:lang w:val="en-GB"/>
        </w:rPr>
        <w:t xml:space="preserve">terrestrial </w:t>
      </w:r>
      <w:r w:rsidR="538316EA" w:rsidRPr="728F2DAF">
        <w:rPr>
          <w:lang w:val="en-GB"/>
        </w:rPr>
        <w:t>ecosystems</w:t>
      </w:r>
      <w:r w:rsidR="1786D311" w:rsidRPr="728F2DAF">
        <w:rPr>
          <w:lang w:val="en-GB"/>
        </w:rPr>
        <w:t xml:space="preserve"> occurs</w:t>
      </w:r>
      <w:r w:rsidR="1E8738AD" w:rsidRPr="728F2DAF">
        <w:rPr>
          <w:lang w:val="en-GB"/>
        </w:rPr>
        <w:t xml:space="preserve"> in nearly all </w:t>
      </w:r>
      <w:r w:rsidR="2E3F0CFA" w:rsidRPr="728F2DAF">
        <w:rPr>
          <w:lang w:val="en-GB"/>
        </w:rPr>
        <w:t>t</w:t>
      </w:r>
      <w:r w:rsidR="6D2B9306" w:rsidRPr="728F2DAF">
        <w:rPr>
          <w:lang w:val="en-GB"/>
        </w:rPr>
        <w:t xml:space="preserve">ypes of </w:t>
      </w:r>
      <w:r w:rsidR="0763907C" w:rsidRPr="728F2DAF">
        <w:rPr>
          <w:lang w:val="en-GB"/>
        </w:rPr>
        <w:t>landscapes</w:t>
      </w:r>
      <w:r w:rsidR="30E85614" w:rsidRPr="728F2DAF">
        <w:rPr>
          <w:lang w:val="en-GB"/>
        </w:rPr>
        <w:t xml:space="preserve"> </w:t>
      </w:r>
      <w:r w:rsidR="0763907C" w:rsidRPr="728F2DAF">
        <w:rPr>
          <w:lang w:val="en-GB"/>
        </w:rPr>
        <w:t>around</w:t>
      </w:r>
      <w:r w:rsidR="6D2B9306" w:rsidRPr="728F2DAF">
        <w:rPr>
          <w:lang w:val="en-GB"/>
        </w:rPr>
        <w:t xml:space="preserve"> the world, although there are no consistent global figures </w:t>
      </w:r>
      <w:r w:rsidR="4BBBAA16" w:rsidRPr="728F2DAF">
        <w:rPr>
          <w:lang w:val="en-GB"/>
        </w:rPr>
        <w:t>about</w:t>
      </w:r>
      <w:r w:rsidR="6D2B9306" w:rsidRPr="728F2DAF">
        <w:rPr>
          <w:lang w:val="en-GB"/>
        </w:rPr>
        <w:t xml:space="preserve"> the extent of this phenomenon </w:t>
      </w:r>
      <w:r w:rsidR="0012509E" w:rsidRPr="728F2DAF">
        <w:rPr>
          <w:lang w:val="en-GB"/>
        </w:rPr>
        <w:fldChar w:fldCharType="begin"/>
      </w:r>
      <w:r w:rsidR="00331A79">
        <w:rPr>
          <w:lang w:val="en-GB"/>
        </w:rPr>
        <w:instrText xml:space="preserve"> ADDIN ZOTERO_ITEM CSL_CITATION {"citationID":"65w4rPOx","properties":{"formattedCitation":"(IPBES, 2018b)","plainCitation":"(IPBES, 2018b)","noteIndex":0},"citationItems":[{"id":26990,"uris":["http://zotero.org/groups/2352922/items/GAJA8JQR"],"itemData":{"id":26990,"type":"report","abstract":"The Assessment Report on Land Degradation and Restoration by the Intergovernmental Science-Policy Platform on Biodiversity and Ecosystem Services (IPBES) provides a critical analysis of the state of knowledge regarding the importance, drivers, status, and trends of terrestrial ecosystems. The Report recognizes that combatting land degradation, which is a pervasive, systemic phenomenon occurring in all parts of the world, is an urgent priority in order to protect the biodiversity and ecosystem services that are vital to all life on Earth and to ensure human well-being. The Report identifies a mix of governance options, policies and management practices that can help support stakeholders working at all levels to reduce the negative environmental, social and economic consequences of land degradation and to rehabilitate and restore degraded land. The Report encompasses all the terrestrial regions and biomes of the world, recognizing that land degradation drivers and processes can vary in severity within regions and countries as much as between them, and includes the full range of human-altered systems, including but not limited to drylands, agricultural and agroforestry systems, savannahs and forests and aquatic systems associated with these areas.","event-place":"Bonn, Germany","language":"en","license":"Creative Commons Attribution 4.0 International, Open Access","note":"DOI: 10.5281/ZENODO.3237392","page":"744","publisher":"Secretariat of the Intergovernmental Science-Policy Platform on Biodiversity and Ecosystem Services","publisher-place":"Bonn, Germany","source":"DOI.org (Datacite)","title":"The IPBES assessment report on land degradation and restoration.","URL":"https://zenodo.org/record/3237392","author":[{"literal":"IPBES"}],"collection-editor":[{"family":"Montanarella","given":"Luca"},{"family":"Scholes","given":"Robert"},{"family":"Brainich","given":"Anastasia"}],"accessed":{"date-parts":[["2021",2,22]]},"issued":{"date-parts":[["2018"]]}},"label":"page"}],"schema":"https://github.com/citation-style-language/schema/raw/master/csl-citation.json"} </w:instrText>
      </w:r>
      <w:r w:rsidR="0012509E" w:rsidRPr="728F2DAF">
        <w:rPr>
          <w:lang w:val="en-GB"/>
        </w:rPr>
        <w:fldChar w:fldCharType="separate"/>
      </w:r>
      <w:r w:rsidR="59992841">
        <w:t>(IPBES, 2018b)</w:t>
      </w:r>
      <w:r w:rsidR="0012509E" w:rsidRPr="728F2DAF">
        <w:rPr>
          <w:lang w:val="en-GB"/>
        </w:rPr>
        <w:fldChar w:fldCharType="end"/>
      </w:r>
      <w:r w:rsidR="28B18EDA" w:rsidRPr="728F2DAF">
        <w:rPr>
          <w:lang w:val="en-GB"/>
        </w:rPr>
        <w:t xml:space="preserve">. </w:t>
      </w:r>
      <w:r w:rsidR="4D34F943" w:rsidRPr="728F2DAF">
        <w:rPr>
          <w:lang w:val="en-GB"/>
        </w:rPr>
        <w:t>Landscape and seascape degradation involves many processes that drive the decline of biodiversity</w:t>
      </w:r>
      <w:r w:rsidR="4BC555BB" w:rsidRPr="728F2DAF">
        <w:rPr>
          <w:lang w:val="en-GB"/>
        </w:rPr>
        <w:t xml:space="preserve"> and</w:t>
      </w:r>
      <w:r w:rsidR="4D34F943" w:rsidRPr="728F2DAF">
        <w:rPr>
          <w:lang w:val="en-GB"/>
        </w:rPr>
        <w:t xml:space="preserve"> ecosystem </w:t>
      </w:r>
      <w:r w:rsidR="6073336D" w:rsidRPr="728F2DAF">
        <w:rPr>
          <w:lang w:val="en-GB"/>
        </w:rPr>
        <w:t>function</w:t>
      </w:r>
      <w:r w:rsidR="0AC4AAB5" w:rsidRPr="728F2DAF">
        <w:rPr>
          <w:lang w:val="en-GB"/>
        </w:rPr>
        <w:t>ing</w:t>
      </w:r>
      <w:r w:rsidR="6019C235" w:rsidRPr="728F2DAF">
        <w:rPr>
          <w:lang w:val="en-GB"/>
        </w:rPr>
        <w:t>,</w:t>
      </w:r>
      <w:r w:rsidR="4D34F943" w:rsidRPr="728F2DAF">
        <w:rPr>
          <w:lang w:val="en-GB"/>
        </w:rPr>
        <w:t xml:space="preserve"> </w:t>
      </w:r>
      <w:r w:rsidR="69325E59" w:rsidRPr="728F2DAF">
        <w:rPr>
          <w:lang w:val="en-GB"/>
        </w:rPr>
        <w:t>and</w:t>
      </w:r>
      <w:r w:rsidR="4D34F943" w:rsidRPr="728F2DAF">
        <w:rPr>
          <w:lang w:val="en-GB"/>
        </w:rPr>
        <w:t xml:space="preserve"> </w:t>
      </w:r>
      <w:r w:rsidR="34BF90F0" w:rsidRPr="728F2DAF">
        <w:rPr>
          <w:lang w:val="en-GB"/>
        </w:rPr>
        <w:t xml:space="preserve">in some cases </w:t>
      </w:r>
      <w:r w:rsidR="164A1D34" w:rsidRPr="728F2DAF">
        <w:rPr>
          <w:lang w:val="en-GB"/>
        </w:rPr>
        <w:t xml:space="preserve">nature’s contributions to </w:t>
      </w:r>
      <w:r w:rsidR="0192B4B1" w:rsidRPr="728F2DAF">
        <w:rPr>
          <w:lang w:val="en-GB"/>
        </w:rPr>
        <w:t>pe</w:t>
      </w:r>
      <w:r w:rsidR="2669D235" w:rsidRPr="728F2DAF">
        <w:rPr>
          <w:lang w:val="en-GB"/>
        </w:rPr>
        <w:t>o</w:t>
      </w:r>
      <w:r w:rsidR="0192B4B1" w:rsidRPr="728F2DAF">
        <w:rPr>
          <w:lang w:val="en-GB"/>
        </w:rPr>
        <w:t>ple</w:t>
      </w:r>
      <w:r w:rsidR="4D34F943" w:rsidRPr="728F2DAF">
        <w:rPr>
          <w:lang w:val="en-GB"/>
        </w:rPr>
        <w:t xml:space="preserve"> in many parts of the world </w:t>
      </w:r>
      <w:r w:rsidR="0012509E" w:rsidRPr="728F2DAF">
        <w:rPr>
          <w:lang w:val="en-GB"/>
        </w:rPr>
        <w:fldChar w:fldCharType="begin"/>
      </w:r>
      <w:r w:rsidR="00331A79">
        <w:rPr>
          <w:lang w:val="en-GB"/>
        </w:rPr>
        <w:instrText xml:space="preserve"> ADDIN ZOTERO_ITEM CSL_CITATION {"citationID":"QQEAlopO","properties":{"formattedCitation":"(IPBES, 2018b; Millennium Ecosystem Assessment, 2005a; United Nations Convention to Combat Desertification, 2017)","plainCitation":"(IPBES, 2018b; Millennium Ecosystem Assessment, 2005a; United Nations Convention to Combat Desertification, 2017)","noteIndex":0},"citationItems":[{"id":26990,"uris":["http://zotero.org/groups/2352922/items/GAJA8JQR"],"itemData":{"id":26990,"type":"report","abstract":"The Assessment Report on Land Degradation and Restoration by the Intergovernmental Science-Policy Platform on Biodiversity and Ecosystem Services (IPBES) provides a critical analysis of the state of knowledge regarding the importance, drivers, status, and trends of terrestrial ecosystems. The Report recognizes that combatting land degradation, which is a pervasive, systemic phenomenon occurring in all parts of the world, is an urgent priority in order to protect the biodiversity and ecosystem services that are vital to all life on Earth and to ensure human well-being. The Report identifies a mix of governance options, policies and management practices that can help support stakeholders working at all levels to reduce the negative environmental, social and economic consequences of land degradation and to rehabilitate and restore degraded land. The Report encompasses all the terrestrial regions and biomes of the world, recognizing that land degradation drivers and processes can vary in severity within regions and countries as much as between them, and includes the full range of human-altered systems, including but not limited to drylands, agricultural and agroforestry systems, savannahs and forests and aquatic systems associated with these areas.","event-place":"Bonn, Germany","language":"en","license":"Creative Commons Attribution 4.0 International, Open Access","note":"DOI: 10.5281/ZENODO.3237392","page":"744","publisher":"Secretariat of the Intergovernmental Science-Policy Platform on Biodiversity and Ecosystem Services","publisher-place":"Bonn, Germany","source":"DOI.org (Datacite)","title":"The IPBES assessment report on land degradation and restoration.","URL":"https://zenodo.org/record/3237392","author":[{"literal":"IPBES"}],"collection-editor":[{"family":"Montanarella","given":"Luca"},{"family":"Scholes","given":"Robert"},{"family":"Brainich","given":"Anastasia"}],"accessed":{"date-parts":[["2021",2,22]]},"issued":{"date-parts":[["2018"]]}},"label":"page"},{"id":30336,"uris":["http://zotero.org/groups/2352922/items/34NITA66"],"itemData":{"id":30336,"type":"book","call-number":"HC79.E5 E297 2005","event-place":"Washington, D.C","ISBN":"1-56973-590-5","language":"en","number-of-pages":"26","publisher":"Island Press","publisher-place":"Washington, D.C","source":"Library of Congress ISBN","title":"Ecosystems and human well-being: desertification synthesis","title-short":"Ecosystems and human well-being","editor":[{"literal":"Millennium Ecosystem Assessment"}],"issued":{"date-parts":[["2005"]]}},"label":"page"},{"id":19733,"uris":["http://zotero.org/groups/2352922/items/TX8GRIUW"],"itemData":{"id":19733,"type":"book","abstract":"An outlook is a vantage point, a platform, a perspective; it broadens our vistas and allows us to examine our prospects, both present and future. It is within this broader frame of thinking that the Global Land Outlook (GLO) aims to present a unique perspective on one of the Earth's most precious assets: land. Land, literally the ground beneath our feet, is a finite resource composed of soil, water, minerals, plants, and animals. It is an essential part of our life support system and the key building block of our societies and economies. As we grapple with the current state of land resources – a sober reminder of past misuse and mismanagement – the first edition of the GLO presents both grounds for concern and opportunities for action. The health and resilience of our land resources are largely determined by management practices, governance systems, and environmental changes. The transformation of our natural ecosystems, the inefficient use of water resources, and the excessive use and misuse of agrochemicals1 contributes to land degradation at the local level as well as increased greenhouse gas emissions, reduced biodiversity, and changes in rainfall on regional and global scales.2 Land degradation, biodiversity loss, and climate change are now recognized as intertwined threats to multiple dimensions of human security and contribute to a downward spiral in the productivity and availability of land resources.","ISBN":"978-92-95110-48-9","title":"Global Land Outlook","author":[{"literal":"United Nations Convention to Combat Desertification"}],"issued":{"date-parts":[["2017"]]}},"label":"page"}],"schema":"https://github.com/citation-style-language/schema/raw/master/csl-citation.json"} </w:instrText>
      </w:r>
      <w:r w:rsidR="0012509E" w:rsidRPr="728F2DAF">
        <w:rPr>
          <w:lang w:val="en-GB"/>
        </w:rPr>
        <w:fldChar w:fldCharType="separate"/>
      </w:r>
      <w:r w:rsidR="59992841">
        <w:t>(IPBES, 2018b; Millennium Ecosystem Assessment, 2005a; United Nations Convention to Combat Desertification, 2017)</w:t>
      </w:r>
      <w:r w:rsidR="0012509E" w:rsidRPr="728F2DAF">
        <w:rPr>
          <w:lang w:val="en-GB"/>
        </w:rPr>
        <w:fldChar w:fldCharType="end"/>
      </w:r>
      <w:r w:rsidR="4D34F943" w:rsidRPr="728F2DAF">
        <w:rPr>
          <w:lang w:val="en-GB"/>
        </w:rPr>
        <w:t xml:space="preserve">. </w:t>
      </w:r>
      <w:r w:rsidR="6A46F446" w:rsidRPr="728F2DAF">
        <w:rPr>
          <w:lang w:val="en-GB"/>
        </w:rPr>
        <w:t>This section</w:t>
      </w:r>
      <w:r w:rsidR="335B4B2A" w:rsidRPr="728F2DAF">
        <w:rPr>
          <w:lang w:val="en-GB"/>
        </w:rPr>
        <w:t xml:space="preserve"> summarize</w:t>
      </w:r>
      <w:r w:rsidR="6A46F446" w:rsidRPr="728F2DAF">
        <w:rPr>
          <w:lang w:val="en-GB"/>
        </w:rPr>
        <w:t>s</w:t>
      </w:r>
      <w:r w:rsidR="4D34F943" w:rsidRPr="728F2DAF">
        <w:rPr>
          <w:lang w:val="en-GB"/>
        </w:rPr>
        <w:t xml:space="preserve"> </w:t>
      </w:r>
      <w:r w:rsidR="21EA6DD1" w:rsidRPr="728F2DAF">
        <w:rPr>
          <w:lang w:val="en-GB"/>
        </w:rPr>
        <w:t xml:space="preserve">the </w:t>
      </w:r>
      <w:r w:rsidR="3BE4C8BA" w:rsidRPr="728F2DAF">
        <w:rPr>
          <w:lang w:val="en-GB"/>
        </w:rPr>
        <w:t>role</w:t>
      </w:r>
      <w:r w:rsidR="21EA6DD1" w:rsidRPr="728F2DAF">
        <w:rPr>
          <w:lang w:val="en-GB"/>
        </w:rPr>
        <w:t>s</w:t>
      </w:r>
      <w:r w:rsidR="3BE4C8BA" w:rsidRPr="728F2DAF">
        <w:rPr>
          <w:lang w:val="en-GB"/>
        </w:rPr>
        <w:t xml:space="preserve"> of</w:t>
      </w:r>
      <w:r w:rsidR="36A8DD68" w:rsidRPr="728F2DAF">
        <w:rPr>
          <w:lang w:val="en-GB"/>
        </w:rPr>
        <w:t xml:space="preserve"> desertification,</w:t>
      </w:r>
      <w:r w:rsidR="723A93E8" w:rsidRPr="728F2DAF">
        <w:rPr>
          <w:lang w:val="en-GB"/>
        </w:rPr>
        <w:t xml:space="preserve"> </w:t>
      </w:r>
      <w:r w:rsidR="4D34F943" w:rsidRPr="728F2DAF">
        <w:rPr>
          <w:lang w:val="en-GB"/>
        </w:rPr>
        <w:t>soil/water salinization, soil/water erosion and soil/water acidification</w:t>
      </w:r>
      <w:r w:rsidR="24061F01" w:rsidRPr="728F2DAF">
        <w:rPr>
          <w:lang w:val="en-GB"/>
        </w:rPr>
        <w:t xml:space="preserve"> in affecting </w:t>
      </w:r>
      <w:r w:rsidR="5D9B852A" w:rsidRPr="728F2DAF">
        <w:rPr>
          <w:lang w:val="en-GB"/>
        </w:rPr>
        <w:t xml:space="preserve">biological </w:t>
      </w:r>
      <w:r w:rsidR="24061F01" w:rsidRPr="728F2DAF">
        <w:rPr>
          <w:lang w:val="en-GB"/>
        </w:rPr>
        <w:t>invasi</w:t>
      </w:r>
      <w:r w:rsidR="60598DE1" w:rsidRPr="728F2DAF">
        <w:rPr>
          <w:lang w:val="en-GB"/>
        </w:rPr>
        <w:t>ons</w:t>
      </w:r>
      <w:r w:rsidR="4D34F943" w:rsidRPr="728F2DAF">
        <w:rPr>
          <w:lang w:val="en-GB"/>
        </w:rPr>
        <w:t xml:space="preserve">. </w:t>
      </w:r>
    </w:p>
    <w:p w14:paraId="65DC3607" w14:textId="77777777" w:rsidR="00B142C7" w:rsidRPr="00DA249F" w:rsidRDefault="19AE4B7B" w:rsidP="0090109B">
      <w:pPr>
        <w:rPr>
          <w:lang w:val="en-GB"/>
        </w:rPr>
      </w:pPr>
      <w:r w:rsidRPr="00DA249F">
        <w:rPr>
          <w:lang w:val="en-GB"/>
        </w:rPr>
        <w:t xml:space="preserve">Land degradation </w:t>
      </w:r>
      <w:r w:rsidR="00191B2F" w:rsidRPr="00DA249F">
        <w:rPr>
          <w:lang w:val="en-GB"/>
        </w:rPr>
        <w:t xml:space="preserve">related to </w:t>
      </w:r>
      <w:r w:rsidRPr="00DA249F">
        <w:rPr>
          <w:lang w:val="en-GB"/>
        </w:rPr>
        <w:t xml:space="preserve">desertification </w:t>
      </w:r>
      <w:r w:rsidR="00191B2F" w:rsidRPr="00DA249F">
        <w:rPr>
          <w:lang w:val="en-GB"/>
        </w:rPr>
        <w:t xml:space="preserve">is a </w:t>
      </w:r>
      <w:r w:rsidRPr="00DA249F">
        <w:rPr>
          <w:lang w:val="en-GB"/>
        </w:rPr>
        <w:t>pervasive</w:t>
      </w:r>
      <w:r w:rsidR="01B8E964" w:rsidRPr="00DA249F">
        <w:rPr>
          <w:lang w:val="en-GB"/>
        </w:rPr>
        <w:t xml:space="preserve"> global phenomen</w:t>
      </w:r>
      <w:r w:rsidR="00191B2F" w:rsidRPr="00DA249F">
        <w:rPr>
          <w:lang w:val="en-GB"/>
        </w:rPr>
        <w:t>on</w:t>
      </w:r>
      <w:r w:rsidR="008C1BF7" w:rsidRPr="00DA249F">
        <w:rPr>
          <w:lang w:val="en-GB"/>
        </w:rPr>
        <w:t xml:space="preserve"> in arid and semiarid ecosystems </w:t>
      </w:r>
      <w:r w:rsidR="27A907A2" w:rsidRPr="00DA249F">
        <w:rPr>
          <w:lang w:val="en-GB"/>
        </w:rPr>
        <w:t>subjected to</w:t>
      </w:r>
      <w:r w:rsidR="008C1BF7" w:rsidRPr="00DA249F" w:rsidDel="007A4FAC">
        <w:rPr>
          <w:lang w:val="en-GB"/>
        </w:rPr>
        <w:t xml:space="preserve"> </w:t>
      </w:r>
      <w:r w:rsidR="008C1BF7" w:rsidRPr="00DA249F">
        <w:rPr>
          <w:lang w:val="en-GB"/>
        </w:rPr>
        <w:t>overgrazing</w:t>
      </w:r>
      <w:r w:rsidR="003B2946" w:rsidRPr="00DA249F">
        <w:rPr>
          <w:lang w:val="en-GB"/>
        </w:rPr>
        <w:t xml:space="preserve"> (</w:t>
      </w:r>
      <w:r w:rsidR="00C36D76" w:rsidRPr="009C4200">
        <w:rPr>
          <w:b/>
          <w:iCs/>
          <w:lang w:val="en-GB"/>
        </w:rPr>
        <w:t xml:space="preserve">section </w:t>
      </w:r>
      <w:r w:rsidR="00F97C5F" w:rsidRPr="009C4200">
        <w:rPr>
          <w:b/>
          <w:iCs/>
          <w:lang w:val="en-GB"/>
        </w:rPr>
        <w:t>3.3.1.5</w:t>
      </w:r>
      <w:r w:rsidR="00F97C5F" w:rsidRPr="00DA249F">
        <w:rPr>
          <w:lang w:val="en-GB"/>
        </w:rPr>
        <w:t>)</w:t>
      </w:r>
      <w:r w:rsidR="008C1BF7" w:rsidRPr="00DA249F">
        <w:rPr>
          <w:lang w:val="en-GB"/>
        </w:rPr>
        <w:t xml:space="preserve">, fire </w:t>
      </w:r>
      <w:r w:rsidR="00F97C5F" w:rsidRPr="00DA249F">
        <w:rPr>
          <w:lang w:val="en-GB"/>
        </w:rPr>
        <w:t>(</w:t>
      </w:r>
      <w:r w:rsidR="00C36D76" w:rsidRPr="009C4200">
        <w:rPr>
          <w:b/>
          <w:iCs/>
          <w:lang w:val="en-GB"/>
        </w:rPr>
        <w:t xml:space="preserve">section </w:t>
      </w:r>
      <w:r w:rsidR="00C31A31" w:rsidRPr="009C4200">
        <w:rPr>
          <w:b/>
          <w:iCs/>
          <w:lang w:val="en-GB"/>
        </w:rPr>
        <w:t>3.3.4.</w:t>
      </w:r>
      <w:r w:rsidR="00414EFC" w:rsidRPr="009C4200">
        <w:rPr>
          <w:b/>
          <w:iCs/>
          <w:lang w:val="en-GB"/>
        </w:rPr>
        <w:t>5</w:t>
      </w:r>
      <w:r w:rsidR="00C31A31" w:rsidRPr="00DA249F">
        <w:rPr>
          <w:lang w:val="en-GB"/>
        </w:rPr>
        <w:t xml:space="preserve">) </w:t>
      </w:r>
      <w:r w:rsidR="008C1BF7" w:rsidRPr="00DA249F">
        <w:rPr>
          <w:lang w:val="en-GB"/>
        </w:rPr>
        <w:t>and drought</w:t>
      </w:r>
      <w:r w:rsidR="00C31A31" w:rsidRPr="00DA249F">
        <w:rPr>
          <w:lang w:val="en-GB"/>
        </w:rPr>
        <w:t xml:space="preserve"> (</w:t>
      </w:r>
      <w:r w:rsidR="00CD13E9" w:rsidRPr="009C4200">
        <w:rPr>
          <w:b/>
          <w:iCs/>
          <w:lang w:val="en-GB"/>
        </w:rPr>
        <w:t xml:space="preserve">section </w:t>
      </w:r>
      <w:r w:rsidR="00C31A31" w:rsidRPr="009C4200">
        <w:rPr>
          <w:b/>
          <w:iCs/>
          <w:lang w:val="en-GB"/>
        </w:rPr>
        <w:t>3.3.4.2</w:t>
      </w:r>
      <w:r w:rsidR="00C31A31" w:rsidRPr="00DA249F">
        <w:rPr>
          <w:lang w:val="en-GB"/>
        </w:rPr>
        <w:t>)</w:t>
      </w:r>
      <w:r w:rsidR="00B67BA0" w:rsidRPr="00DA249F">
        <w:rPr>
          <w:lang w:val="en-GB"/>
        </w:rPr>
        <w:t>. S</w:t>
      </w:r>
      <w:r w:rsidR="00BF2FDE" w:rsidRPr="00DA249F">
        <w:rPr>
          <w:lang w:val="en-GB"/>
        </w:rPr>
        <w:t>eparating</w:t>
      </w:r>
      <w:r w:rsidR="003D4FAE" w:rsidRPr="00DA249F">
        <w:rPr>
          <w:lang w:val="en-GB"/>
        </w:rPr>
        <w:t xml:space="preserve"> </w:t>
      </w:r>
      <w:r w:rsidR="00C31A31" w:rsidRPr="00DA249F">
        <w:rPr>
          <w:lang w:val="en-GB"/>
        </w:rPr>
        <w:t>out</w:t>
      </w:r>
      <w:r w:rsidR="003D4FAE" w:rsidRPr="00DA249F">
        <w:rPr>
          <w:lang w:val="en-GB"/>
        </w:rPr>
        <w:t xml:space="preserve"> the </w:t>
      </w:r>
      <w:r w:rsidR="00B2705F" w:rsidRPr="00DA249F">
        <w:rPr>
          <w:lang w:val="en-GB"/>
        </w:rPr>
        <w:t>influence</w:t>
      </w:r>
      <w:r w:rsidR="003D4FAE" w:rsidRPr="00DA249F">
        <w:rPr>
          <w:lang w:val="en-GB"/>
        </w:rPr>
        <w:t xml:space="preserve"> of</w:t>
      </w:r>
      <w:r w:rsidR="00C31A31" w:rsidRPr="00DA249F">
        <w:rPr>
          <w:lang w:val="en-GB"/>
        </w:rPr>
        <w:t xml:space="preserve"> land degradation </w:t>
      </w:r>
      <w:r w:rsidR="003D4FAE" w:rsidRPr="00DA249F">
        <w:rPr>
          <w:i/>
          <w:iCs/>
          <w:lang w:val="en-GB"/>
        </w:rPr>
        <w:t>per se</w:t>
      </w:r>
      <w:r w:rsidR="003D4FAE" w:rsidRPr="00DA249F">
        <w:rPr>
          <w:lang w:val="en-GB"/>
        </w:rPr>
        <w:t xml:space="preserve"> </w:t>
      </w:r>
      <w:r w:rsidR="00C31A31" w:rsidRPr="00DA249F">
        <w:rPr>
          <w:lang w:val="en-GB"/>
        </w:rPr>
        <w:t xml:space="preserve">from </w:t>
      </w:r>
      <w:r w:rsidR="003A4171" w:rsidRPr="00DA249F">
        <w:rPr>
          <w:lang w:val="en-GB"/>
        </w:rPr>
        <w:t xml:space="preserve">other interlinked drivers </w:t>
      </w:r>
      <w:r w:rsidR="00191B2F" w:rsidRPr="00DA249F">
        <w:rPr>
          <w:lang w:val="en-GB"/>
        </w:rPr>
        <w:t>responsib</w:t>
      </w:r>
      <w:r w:rsidR="00337D47" w:rsidRPr="00DA249F">
        <w:rPr>
          <w:lang w:val="en-GB"/>
        </w:rPr>
        <w:t>l</w:t>
      </w:r>
      <w:r w:rsidR="00191B2F" w:rsidRPr="00DA249F">
        <w:rPr>
          <w:lang w:val="en-GB"/>
        </w:rPr>
        <w:t xml:space="preserve">e for biological invasions </w:t>
      </w:r>
      <w:r w:rsidR="003A4171" w:rsidRPr="00DA249F">
        <w:rPr>
          <w:lang w:val="en-GB"/>
        </w:rPr>
        <w:t xml:space="preserve">is difficult </w:t>
      </w:r>
      <w:r w:rsidR="008C1BF7" w:rsidRPr="00DA249F">
        <w:rPr>
          <w:lang w:val="en-GB"/>
        </w:rPr>
        <w:fldChar w:fldCharType="begin"/>
      </w:r>
      <w:r w:rsidR="00331A79">
        <w:rPr>
          <w:lang w:val="en-GB"/>
        </w:rPr>
        <w:instrText xml:space="preserve"> ADDIN ZOTERO_ITEM CSL_CITATION {"citationID":"RJ0D4y5D","properties":{"formattedCitation":"(IPBES, 2018b; Ravi et al., 2009)","plainCitation":"(IPBES, 2018b; Ravi et al., 2009)","noteIndex":0},"citationItems":[{"id":26990,"uris":["http://zotero.org/groups/2352922/items/GAJA8JQR"],"itemData":{"id":26990,"type":"report","abstract":"The Assessment Report on Land Degradation and Restoration by the Intergovernmental Science-Policy Platform on Biodiversity and Ecosystem Services (IPBES) provides a critical analysis of the state of knowledge regarding the importance, drivers, status, and trends of terrestrial ecosystems. The Report recognizes that combatting land degradation, which is a pervasive, systemic phenomenon occurring in all parts of the world, is an urgent priority in order to protect the biodiversity and ecosystem services that are vital to all life on Earth and to ensure human well-being. The Report identifies a mix of governance options, policies and management practices that can help support stakeholders working at all levels to reduce the negative environmental, social and economic consequences of land degradation and to rehabilitate and restore degraded land. The Report encompasses all the terrestrial regions and biomes of the world, recognizing that land degradation drivers and processes can vary in severity within regions and countries as much as between them, and includes the full range of human-altered systems, including but not limited to drylands, agricultural and agroforestry systems, savannahs and forests and aquatic systems associated with these areas.","event-place":"Bonn, Germany","language":"en","license":"Creative Commons Attribution 4.0 International, Open Access","note":"DOI: 10.5281/ZENODO.3237392","page":"744","publisher":"Secretariat of the Intergovernmental Science-Policy Platform on Biodiversity and Ecosystem Services","publisher-place":"Bonn, Germany","source":"DOI.org (Datacite)","title":"The IPBES assessment report on land degradation and restoration.","URL":"https://zenodo.org/record/3237392","author":[{"literal":"IPBES"}],"collection-editor":[{"family":"Montanarella","given":"Luca"},{"family":"Scholes","given":"Robert"},{"family":"Brainich","given":"Anastasia"}],"accessed":{"date-parts":[["2021",2,22]]},"issued":{"date-parts":[["2018"]]}}},{"id":12614,"uris":["http://zotero.org/groups/2352922/items/68LXSRKX"],"itemData":{"id":12614,"type":"article-journal","container-title":"The New Phytologist","issue":"3","page":"512-515","source":"JSTOR","title":"Can Biological Invasions Induce Desertification?","URL":"https://www.jstor.org/stable/30224699","volume":"181","author":[{"family":"Ravi","given":"Sujith"},{"family":"D'Odorico","given":"Paolo"},{"family":"Collins","given":"Scott L."},{"family":"Huxman","given":"Travis E."}],"accessed":{"date-parts":[["2019",10,21]]},"issued":{"date-parts":[["2009"]]}},"label":"page"}],"schema":"https://github.com/citation-style-language/schema/raw/master/csl-citation.json"} </w:instrText>
      </w:r>
      <w:r w:rsidR="008C1BF7" w:rsidRPr="00DA249F">
        <w:rPr>
          <w:lang w:val="en-GB"/>
        </w:rPr>
        <w:fldChar w:fldCharType="separate"/>
      </w:r>
      <w:r w:rsidR="00186371" w:rsidRPr="00186371">
        <w:t>(IPBES, 2018b; Ravi et al., 2009)</w:t>
      </w:r>
      <w:r w:rsidR="008C1BF7" w:rsidRPr="00DA249F">
        <w:rPr>
          <w:lang w:val="en-GB"/>
        </w:rPr>
        <w:fldChar w:fldCharType="end"/>
      </w:r>
      <w:r w:rsidR="008C1BF7" w:rsidRPr="00DA249F">
        <w:rPr>
          <w:lang w:val="en-GB"/>
        </w:rPr>
        <w:t xml:space="preserve">. </w:t>
      </w:r>
      <w:r w:rsidR="7615120B" w:rsidRPr="00DA249F">
        <w:rPr>
          <w:lang w:val="en-GB"/>
        </w:rPr>
        <w:t>Acceleration</w:t>
      </w:r>
      <w:r w:rsidR="00950046" w:rsidRPr="00DA249F">
        <w:rPr>
          <w:lang w:val="en-GB"/>
        </w:rPr>
        <w:t xml:space="preserve"> of s</w:t>
      </w:r>
      <w:r w:rsidR="008C1BF7" w:rsidRPr="00DA249F">
        <w:rPr>
          <w:lang w:val="en-GB"/>
        </w:rPr>
        <w:t xml:space="preserve">oil erosion </w:t>
      </w:r>
      <w:r w:rsidR="00950046" w:rsidRPr="00DA249F">
        <w:rPr>
          <w:lang w:val="en-GB"/>
        </w:rPr>
        <w:t>due to</w:t>
      </w:r>
      <w:r w:rsidR="008C1BF7" w:rsidRPr="00DA249F">
        <w:rPr>
          <w:lang w:val="en-GB"/>
        </w:rPr>
        <w:t xml:space="preserve"> agriculture and mismanagement </w:t>
      </w:r>
      <w:r w:rsidR="00950046" w:rsidRPr="00DA249F">
        <w:rPr>
          <w:lang w:val="en-GB"/>
        </w:rPr>
        <w:t xml:space="preserve">is </w:t>
      </w:r>
      <w:r w:rsidR="328EAA6F" w:rsidRPr="00DA249F">
        <w:rPr>
          <w:lang w:val="en-GB"/>
        </w:rPr>
        <w:t>widely</w:t>
      </w:r>
      <w:r w:rsidR="00950046" w:rsidRPr="00DA249F">
        <w:rPr>
          <w:lang w:val="en-GB"/>
        </w:rPr>
        <w:t xml:space="preserve"> reported, </w:t>
      </w:r>
      <w:r w:rsidR="008C1BF7" w:rsidRPr="00DA249F">
        <w:rPr>
          <w:lang w:val="en-GB"/>
        </w:rPr>
        <w:t>especially</w:t>
      </w:r>
      <w:r w:rsidR="000159D3" w:rsidRPr="00DA249F">
        <w:rPr>
          <w:lang w:val="en-GB"/>
        </w:rPr>
        <w:t xml:space="preserve"> </w:t>
      </w:r>
      <w:r w:rsidR="00950046" w:rsidRPr="00DA249F">
        <w:rPr>
          <w:lang w:val="en-GB"/>
        </w:rPr>
        <w:t>from</w:t>
      </w:r>
      <w:r w:rsidR="000159D3" w:rsidRPr="00DA249F">
        <w:rPr>
          <w:lang w:val="en-GB"/>
        </w:rPr>
        <w:t xml:space="preserve"> Asia, Latin America and </w:t>
      </w:r>
      <w:r w:rsidR="008C1BF7" w:rsidRPr="00DA249F">
        <w:rPr>
          <w:lang w:val="en-GB"/>
        </w:rPr>
        <w:t xml:space="preserve">Africa </w:t>
      </w:r>
      <w:r w:rsidR="008C1BF7" w:rsidRPr="00DA249F">
        <w:rPr>
          <w:lang w:val="en-GB"/>
        </w:rPr>
        <w:fldChar w:fldCharType="begin"/>
      </w:r>
      <w:r w:rsidR="00331A79">
        <w:rPr>
          <w:lang w:val="en-GB"/>
        </w:rPr>
        <w:instrText xml:space="preserve"> ADDIN ZOTERO_ITEM CSL_CITATION {"citationID":"XsZMAunf","properties":{"formattedCitation":"(FAO, 2015; IPBES, 2018b)","plainCitation":"(FAO, 2015; IPBES, 2018b)","noteIndex":0},"citationItems":[{"id":24336,"uris":["http://zotero.org/groups/2352922/items/A8GVBXWK"],"itemData":{"id":24336,"type":"book","abstract":"The SWSR is a reference document on the status of global soil resources that provides regional assessments of soil change. The information is based on peer-reviewed scientific literature, complemented with expert knowledge and project outputs. It provides a description and a ranking of ten major soil threats that endanger ecosystem functions, goods and services globally and in each region separately. Additionally, it describes direct and indirect pressures on soils and ways and means to combat s oil degradation. The report contains a Synthesis report for policy makers that summarizes its findings, conclusions and recommendations.  \n\nThe full report has been divided into sections and individual chapters for ease of downloading:\n\n \n\nIntroductory information Chapter 1: Introduction Chapter 2: The role of soils in ecosystem pr ocesses  Chapter 3: Global Soil Resources Chapter 4: Soils and Humans Chapter 5: Drivers of global soil change Chapter 6: Global soil status, processes and trends Chapter 7: Soil change: impacts and responses Chapter 8: Governance and policy responses to soil change Chapter 9: Regional Assessment of Soil Changes in Africa South of the Sahara Chapter 10: Regional Assessment of Soil Change in Asia Chapter 11: Regional Assessment of Soil Changes in Europe and Eurasia Chapter 12: Regional Assessment of Soil Changes in Latin America and the Caribbean Chapter 13: Regional Assessment of Soil Changes in the Near East and North Africa Chapter 14: Regional Assessment of Soil Changes in North America Chapter 15: Regional Assessment of Soil Change in the Southw est Pacific Chapter 16: Regional Assessment of Soil Change in Antarctica Annex: Soil groups, characteristics, distribution and ecosystem services Glossary of Technical Terms Authors and affiliations\n\n \n\nAlso available is the  Technical Summary of the Status of the World’s Soil Resources.","event-place":"Rome, Italy","ISBN":"978-92-5-109004-6","language":"en","number-of-pages":"650","publisher":"FAO","publisher-place":"Rome, Italy","source":"FAO Publications","title":"Status of the World's Soil Resources: Main Report","title-short":"Status of the World's Soil Resources","URL":"http://www.fao.org/documents/card/fr/c/c6814873-efc3-41db-b7d3-2081a10ede50/","author":[{"literal":"FAO"}],"accessed":{"date-parts":[["2021",2,9]]},"issued":{"date-parts":[["2015"]]}},"label":"page"},{"id":26990,"uris":["http://zotero.org/groups/2352922/items/GAJA8JQR"],"itemData":{"id":26990,"type":"report","abstract":"The Assessment Report on Land Degradation and Restoration by the Intergovernmental Science-Policy Platform on Biodiversity and Ecosystem Services (IPBES) provides a critical analysis of the state of knowledge regarding the importance, drivers, status, and trends of terrestrial ecosystems. The Report recognizes that combatting land degradation, which is a pervasive, systemic phenomenon occurring in all parts of the world, is an urgent priority in order to protect the biodiversity and ecosystem services that are vital to all life on Earth and to ensure human well-being. The Report identifies a mix of governance options, policies and management practices that can help support stakeholders working at all levels to reduce the negative environmental, social and economic consequences of land degradation and to rehabilitate and restore degraded land. The Report encompasses all the terrestrial regions and biomes of the world, recognizing that land degradation drivers and processes can vary in severity within regions and countries as much as between them, and includes the full range of human-altered systems, including but not limited to drylands, agricultural and agroforestry systems, savannahs and forests and aquatic systems associated with these areas.","event-place":"Bonn, Germany","language":"en","license":"Creative Commons Attribution 4.0 International, Open Access","note":"DOI: 10.5281/ZENODO.3237392","page":"744","publisher":"Secretariat of the Intergovernmental Science-Policy Platform on Biodiversity and Ecosystem Services","publisher-place":"Bonn, Germany","source":"DOI.org (Datacite)","title":"The IPBES assessment report on land degradation and restoration.","URL":"https://zenodo.org/record/3237392","author":[{"literal":"IPBES"}],"collection-editor":[{"family":"Montanarella","given":"Luca"},{"family":"Scholes","given":"Robert"},{"family":"Brainich","given":"Anastasia"}],"accessed":{"date-parts":[["2021",2,22]]},"issued":{"date-parts":[["2018"]]}}}],"schema":"https://github.com/citation-style-language/schema/raw/master/csl-citation.json"} </w:instrText>
      </w:r>
      <w:r w:rsidR="008C1BF7" w:rsidRPr="00DA249F">
        <w:rPr>
          <w:lang w:val="en-GB"/>
        </w:rPr>
        <w:fldChar w:fldCharType="separate"/>
      </w:r>
      <w:r w:rsidR="00186371" w:rsidRPr="00186371">
        <w:t>(FAO, 2015; IPBES, 2018b)</w:t>
      </w:r>
      <w:r w:rsidR="008C1BF7" w:rsidRPr="00DA249F">
        <w:rPr>
          <w:lang w:val="en-GB"/>
        </w:rPr>
        <w:fldChar w:fldCharType="end"/>
      </w:r>
      <w:r w:rsidR="008C1BF7" w:rsidRPr="00DA249F">
        <w:rPr>
          <w:lang w:val="en-GB"/>
        </w:rPr>
        <w:t xml:space="preserve">. Soil erosion </w:t>
      </w:r>
      <w:r w:rsidR="00793927" w:rsidRPr="00DA249F">
        <w:rPr>
          <w:lang w:val="en-GB"/>
        </w:rPr>
        <w:t xml:space="preserve">can </w:t>
      </w:r>
      <w:r w:rsidR="008C1BF7" w:rsidRPr="00DA249F">
        <w:rPr>
          <w:lang w:val="en-GB"/>
        </w:rPr>
        <w:t xml:space="preserve">increase the establishment of alien </w:t>
      </w:r>
      <w:r w:rsidR="007B77D7" w:rsidRPr="00DA249F">
        <w:rPr>
          <w:lang w:val="en-GB"/>
        </w:rPr>
        <w:t xml:space="preserve">species, as exemplified by </w:t>
      </w:r>
      <w:r w:rsidR="0008703D" w:rsidRPr="00DA249F">
        <w:rPr>
          <w:lang w:val="en-GB"/>
        </w:rPr>
        <w:t xml:space="preserve">annual </w:t>
      </w:r>
      <w:r w:rsidR="008C1BF7" w:rsidRPr="00DA249F">
        <w:rPr>
          <w:i/>
          <w:iCs/>
          <w:lang w:val="en-GB"/>
        </w:rPr>
        <w:t>Bromus</w:t>
      </w:r>
      <w:r w:rsidR="008C1BF7" w:rsidRPr="00DA249F">
        <w:rPr>
          <w:lang w:val="en-GB"/>
        </w:rPr>
        <w:t xml:space="preserve"> </w:t>
      </w:r>
      <w:r w:rsidR="0008703D" w:rsidRPr="00DA249F">
        <w:rPr>
          <w:lang w:val="en-GB"/>
        </w:rPr>
        <w:t>grass</w:t>
      </w:r>
      <w:r w:rsidR="008C1BF7" w:rsidRPr="00DA249F">
        <w:rPr>
          <w:lang w:val="en-GB"/>
        </w:rPr>
        <w:t xml:space="preserve"> in arid and semiarid grasslands of </w:t>
      </w:r>
      <w:r w:rsidR="000159D3" w:rsidRPr="00DA249F">
        <w:rPr>
          <w:lang w:val="en-GB"/>
        </w:rPr>
        <w:t xml:space="preserve">the </w:t>
      </w:r>
      <w:r w:rsidR="00BB24B2" w:rsidRPr="00DA249F">
        <w:rPr>
          <w:lang w:val="en-GB"/>
        </w:rPr>
        <w:t>United States</w:t>
      </w:r>
      <w:r w:rsidR="00B1749C" w:rsidRPr="00DA249F">
        <w:rPr>
          <w:lang w:val="en-GB"/>
        </w:rPr>
        <w:t xml:space="preserve"> </w:t>
      </w:r>
      <w:r w:rsidR="008C1BF7" w:rsidRPr="00DA249F">
        <w:rPr>
          <w:lang w:val="en-GB"/>
        </w:rPr>
        <w:fldChar w:fldCharType="begin"/>
      </w:r>
      <w:r w:rsidR="00331A79">
        <w:rPr>
          <w:lang w:val="en-GB"/>
        </w:rPr>
        <w:instrText xml:space="preserve"> ADDIN ZOTERO_ITEM CSL_CITATION {"citationID":"k8IuQwy6","properties":{"formattedCitation":"(Germino et al., 2016)","plainCitation":"(Germino et al., 2016)","noteIndex":0},"citationItems":[{"id":21832,"uris":["http://zotero.org/groups/2352922/items/VMSY27DG"],"itemData":{"id":21832,"type":"chapter","container-title":"Exotic Brome-Grasses in Arid and Semiarid Ecosystems of the Western US","event-place":"Cham","ISBN":"978-3-319-24928-5","language":"en","note":"collection-title: Springer Series on Environmental Management\nDOI: 10.1007/978-3-319-24930-8_3","page":"61-95","publisher":"Springer International Publishing","publisher-place":"Cham","source":"DOI.org (Crossref)","title":"Ecosystem Impacts of Exotic Annual Invaders in the Genus &lt;i&gt;Bromus&lt;/i&gt;","URL":"http://link.springer.com/10.1007/978-3-319-24930-8_3","editor":[{"family":"Germino","given":"Matthew J."},{"family":"Chambers","given":"Jeanne C."},{"family":"Brown","given":"Cynthia S."}],"author":[{"family":"Germino","given":"Matthew J."},{"family":"Belnap","given":"Jayne"},{"family":"Stark","given":"John M."},{"family":"Allen","given":"Edith B."},{"family":"Rau","given":"Benjamin M."}],"accessed":{"date-parts":[["2020",3,26]]},"issued":{"date-parts":[["2016"]]}},"label":"page"}],"schema":"https://github.com/citation-style-language/schema/raw/master/csl-citation.json"} </w:instrText>
      </w:r>
      <w:r w:rsidR="008C1BF7" w:rsidRPr="00DA249F">
        <w:rPr>
          <w:lang w:val="en-GB"/>
        </w:rPr>
        <w:fldChar w:fldCharType="separate"/>
      </w:r>
      <w:r w:rsidR="00144D96" w:rsidRPr="00144D96">
        <w:t>(Germino et al., 2016)</w:t>
      </w:r>
      <w:r w:rsidR="008C1BF7" w:rsidRPr="00DA249F">
        <w:rPr>
          <w:lang w:val="en-GB"/>
        </w:rPr>
        <w:fldChar w:fldCharType="end"/>
      </w:r>
      <w:r w:rsidR="008C1BF7" w:rsidRPr="00DA249F">
        <w:rPr>
          <w:lang w:val="en-GB"/>
        </w:rPr>
        <w:t>.</w:t>
      </w:r>
      <w:r w:rsidR="006F02BA" w:rsidRPr="00DA249F">
        <w:rPr>
          <w:lang w:val="en-GB"/>
        </w:rPr>
        <w:t xml:space="preserve"> </w:t>
      </w:r>
    </w:p>
    <w:p w14:paraId="4C119DDB" w14:textId="00B928B7" w:rsidR="00D95189" w:rsidRPr="00DA249F" w:rsidRDefault="00CD48AD" w:rsidP="0090109B">
      <w:pPr>
        <w:rPr>
          <w:lang w:val="en-GB"/>
        </w:rPr>
      </w:pPr>
      <w:r w:rsidRPr="00DA249F">
        <w:rPr>
          <w:lang w:val="en-GB"/>
        </w:rPr>
        <w:t xml:space="preserve">Additionally, invasive alien species </w:t>
      </w:r>
      <w:r w:rsidR="000642C6" w:rsidRPr="00DA249F">
        <w:rPr>
          <w:lang w:val="en-GB"/>
        </w:rPr>
        <w:t>may be</w:t>
      </w:r>
      <w:r w:rsidRPr="00DA249F">
        <w:rPr>
          <w:lang w:val="en-GB"/>
        </w:rPr>
        <w:t xml:space="preserve"> intentionally introduced to restore degraded land</w:t>
      </w:r>
      <w:r w:rsidR="0008703D" w:rsidRPr="00DA249F">
        <w:rPr>
          <w:lang w:val="en-GB"/>
        </w:rPr>
        <w:t xml:space="preserve">, for example </w:t>
      </w:r>
      <w:r w:rsidR="007B77D7" w:rsidRPr="00DA249F">
        <w:rPr>
          <w:lang w:val="en-GB"/>
        </w:rPr>
        <w:t>Indigenous Peoples and local communi</w:t>
      </w:r>
      <w:r w:rsidR="007B77D7" w:rsidRPr="00DA249F">
        <w:rPr>
          <w:rFonts w:eastAsia="Times New Roman"/>
          <w:lang w:val="en-GB"/>
        </w:rPr>
        <w:t>ti</w:t>
      </w:r>
      <w:r w:rsidR="007B77D7" w:rsidRPr="00DA249F">
        <w:rPr>
          <w:lang w:val="en-GB"/>
        </w:rPr>
        <w:t xml:space="preserve">es </w:t>
      </w:r>
      <w:r w:rsidR="0008703D" w:rsidRPr="00DA249F">
        <w:rPr>
          <w:lang w:val="en-GB"/>
        </w:rPr>
        <w:t>report</w:t>
      </w:r>
      <w:r w:rsidR="007B77D7" w:rsidRPr="00DA249F">
        <w:rPr>
          <w:lang w:val="en-GB"/>
        </w:rPr>
        <w:t xml:space="preserve"> </w:t>
      </w:r>
      <w:r w:rsidR="00CE42AD">
        <w:rPr>
          <w:lang w:val="en-GB"/>
        </w:rPr>
        <w:t xml:space="preserve">the </w:t>
      </w:r>
      <w:r w:rsidR="007B77D7" w:rsidRPr="00DA249F">
        <w:rPr>
          <w:lang w:val="en-GB"/>
        </w:rPr>
        <w:t>intentional introduc</w:t>
      </w:r>
      <w:r w:rsidR="00CE42AD">
        <w:rPr>
          <w:lang w:val="en-GB"/>
        </w:rPr>
        <w:t>tion of</w:t>
      </w:r>
      <w:r w:rsidR="007B77D7" w:rsidRPr="00DA249F">
        <w:rPr>
          <w:lang w:val="en-GB"/>
        </w:rPr>
        <w:t xml:space="preserve"> invasive alien species to manage land degradation (</w:t>
      </w:r>
      <w:r w:rsidR="007472D5" w:rsidRPr="009C4200">
        <w:rPr>
          <w:b/>
          <w:iCs/>
          <w:lang w:val="en-GB"/>
        </w:rPr>
        <w:t>section 3.2.5</w:t>
      </w:r>
      <w:r w:rsidR="007472D5" w:rsidRPr="009C4200">
        <w:rPr>
          <w:iCs/>
          <w:lang w:val="en-GB"/>
        </w:rPr>
        <w:t>,</w:t>
      </w:r>
      <w:r w:rsidR="007472D5" w:rsidRPr="009C4200">
        <w:rPr>
          <w:b/>
          <w:iCs/>
          <w:lang w:val="en-GB"/>
        </w:rPr>
        <w:t xml:space="preserve"> </w:t>
      </w:r>
      <w:r w:rsidR="00E23B69">
        <w:rPr>
          <w:b/>
          <w:iCs/>
          <w:lang w:val="en-GB"/>
        </w:rPr>
        <w:t>Box</w:t>
      </w:r>
      <w:r w:rsidR="002B5AFC" w:rsidRPr="009C4200">
        <w:rPr>
          <w:b/>
          <w:iCs/>
          <w:lang w:val="en-GB"/>
        </w:rPr>
        <w:t xml:space="preserve"> </w:t>
      </w:r>
      <w:r w:rsidR="007B77D7" w:rsidRPr="009C4200">
        <w:rPr>
          <w:b/>
          <w:iCs/>
          <w:lang w:val="en-GB"/>
        </w:rPr>
        <w:t>3.6</w:t>
      </w:r>
      <w:r w:rsidR="007B77D7" w:rsidRPr="00DA249F">
        <w:rPr>
          <w:lang w:val="en-GB"/>
        </w:rPr>
        <w:t>).</w:t>
      </w:r>
      <w:r w:rsidRPr="00DA249F">
        <w:rPr>
          <w:lang w:val="en-GB"/>
        </w:rPr>
        <w:t xml:space="preserve"> Stress-tolerant alien plants are often planted in degraded areas for ecosystem restoration</w:t>
      </w:r>
      <w:r w:rsidR="00681278" w:rsidRPr="00DA249F">
        <w:rPr>
          <w:lang w:val="en-GB"/>
        </w:rPr>
        <w:t xml:space="preserve"> (</w:t>
      </w:r>
      <w:r w:rsidR="00E23B69">
        <w:rPr>
          <w:b/>
          <w:iCs/>
          <w:lang w:val="en-GB" w:eastAsia="en-NZ"/>
        </w:rPr>
        <w:t>Glossary</w:t>
      </w:r>
      <w:r w:rsidR="00681278" w:rsidRPr="00DA249F">
        <w:rPr>
          <w:lang w:val="en-GB" w:eastAsia="en-NZ"/>
        </w:rPr>
        <w:t>)</w:t>
      </w:r>
      <w:r w:rsidRPr="00DA249F">
        <w:rPr>
          <w:lang w:val="en-GB"/>
        </w:rPr>
        <w:t xml:space="preserve">, and can spread from the planted areas </w:t>
      </w:r>
      <w:r w:rsidRPr="00DA249F">
        <w:rPr>
          <w:lang w:val="en-GB"/>
        </w:rPr>
        <w:fldChar w:fldCharType="begin"/>
      </w:r>
      <w:r w:rsidR="00331A79">
        <w:rPr>
          <w:lang w:val="en-GB"/>
        </w:rPr>
        <w:instrText xml:space="preserve"> ADDIN ZOTERO_ITEM CSL_CITATION {"citationID":"3aYcOCry","properties":{"formattedCitation":"(Hobbs et al., 2006)","plainCitation":"(Hobbs et al., 2006)","noteIndex":0},"citationItems":[{"id":56399,"uris":["http://zotero.org/groups/2352922/items/T6WXMZ3K","http://zotero.org/groups/2352922/items/FCVNL7LU"],"itemData":{"id":56399,"type":"article-journal","container-title":"Global Ecology and Biogeography","DOI":"10.1111/j.1466-822X.2006.00212.x","ISSN":"1466822X","issue":"1","language":"en","page":"1-7","source":"DOI.org (Crossref)","title":"Novel ecosystems: theoretical and management aspects of the new ecological world order: Novel ecosystems","title-short":"Novel ecosystems","URL":"https://onlinelibrary.wiley.com/doi/10.1111/j.1466-822X.2006.00212.x","volume":"15","author":[{"family":"Hobbs","given":"Richard J."},{"family":"Arico","given":"Salvatore"},{"family":"Aronson","given":"James"},{"family":"Baron","given":"Jill S."},{"family":"Bridgewater","given":"Peter"},{"family":"Cramer","given":"Viki A."},{"family":"Epstein","given":"Paul R."},{"family":"Ewel","given":"John J."},{"family":"Klink","given":"Carlos A."},{"family":"Lugo","given":"Ariel E."},{"family":"Norton","given":"David"},{"family":"Ojima","given":"Dennis"},{"family":"Richardson","given":"David M."},{"family":"Sanderson","given":"Eric W."},{"family":"Valladares","given":"Fernando"},{"family":"Vilà","given":"Montserrat"},{"family":"Zamora","given":"Regino"},{"family":"Zobel","given":"Martin"}],"accessed":{"date-parts":[["2023",6,8]]},"issued":{"date-parts":[["2006",1]]}},"label":"page"}],"schema":"https://github.com/citation-style-language/schema/raw/master/csl-citation.json"} </w:instrText>
      </w:r>
      <w:r w:rsidRPr="00DA249F">
        <w:rPr>
          <w:lang w:val="en-GB"/>
        </w:rPr>
        <w:fldChar w:fldCharType="separate"/>
      </w:r>
      <w:r w:rsidR="00144D96" w:rsidRPr="00144D96">
        <w:t>(Hobbs et al., 2006)</w:t>
      </w:r>
      <w:r w:rsidRPr="00DA249F">
        <w:rPr>
          <w:lang w:val="en-GB"/>
        </w:rPr>
        <w:fldChar w:fldCharType="end"/>
      </w:r>
      <w:r w:rsidRPr="00DA249F">
        <w:rPr>
          <w:lang w:val="en-GB"/>
        </w:rPr>
        <w:t>, for instance, alien grasses (</w:t>
      </w:r>
      <w:r w:rsidR="00930403" w:rsidRPr="00DA249F">
        <w:rPr>
          <w:lang w:val="en-GB"/>
        </w:rPr>
        <w:t xml:space="preserve">e.g., </w:t>
      </w:r>
      <w:r w:rsidRPr="00DA249F">
        <w:rPr>
          <w:i/>
          <w:iCs/>
          <w:lang w:val="en-GB"/>
        </w:rPr>
        <w:t>Bromus tectorum</w:t>
      </w:r>
      <w:r w:rsidR="00C668CD" w:rsidRPr="00DA249F">
        <w:rPr>
          <w:lang w:val="en-GB"/>
        </w:rPr>
        <w:t xml:space="preserve"> (</w:t>
      </w:r>
      <w:r w:rsidR="00632A72" w:rsidRPr="00DA249F">
        <w:rPr>
          <w:lang w:val="en-GB"/>
        </w:rPr>
        <w:t>downy brome</w:t>
      </w:r>
      <w:r w:rsidR="00C668CD" w:rsidRPr="00DA249F">
        <w:rPr>
          <w:lang w:val="en-GB"/>
        </w:rPr>
        <w:t>)</w:t>
      </w:r>
      <w:r w:rsidRPr="00DA249F">
        <w:rPr>
          <w:lang w:val="en-GB"/>
        </w:rPr>
        <w:t xml:space="preserve">) seeded for preventing soil erosion in degraded grasslands or for livestock forage in overgrazed rangelands </w:t>
      </w:r>
      <w:r w:rsidRPr="00DA249F">
        <w:rPr>
          <w:lang w:val="en-GB"/>
        </w:rPr>
        <w:fldChar w:fldCharType="begin"/>
      </w:r>
      <w:r w:rsidR="00331A79">
        <w:rPr>
          <w:lang w:val="en-GB"/>
        </w:rPr>
        <w:instrText xml:space="preserve"> ADDIN ZOTERO_ITEM CSL_CITATION {"citationID":"H6LhFdx6","properties":{"formattedCitation":"(D\\uc0\\u8217{}Antonio &amp; Meyerson, 2002; D\\uc0\\u8217{}Antonio &amp; Vitousek, 1992)","plainCitation":"(D’Antonio &amp; Meyerson, 2002; D’Antonio &amp; Vitousek, 1992)","noteIndex":0},"citationItems":[{"id":25932,"uris":["http://zotero.org/groups/2352922/items/FYJYPZ7I"],"itemData":{"id":25932,"type":"article-journal","archive":"JSTOR","container-title":"Annual Review of Ecology and Systematics","DOI":"annurev.es.23.110192.000431","ISSN":"0066-4162","language":"en","page":"63-87","source":"Zotero","title":"Biological Invasions by Exotic Grasses, the Grass/Fire Cycle, and Global Change","URL":"https://www.jstor.org/stable/2097282","volume":"23","author":[{"family":"D'Antonio","given":"Carla M."},{"family":"Vitousek","given":"Peter M"}],"issued":{"date-parts":[["1992"]]}},"label":"page"},{"id":23839,"uris":["http://zotero.org/groups/2352922/items/AXI4B7YE"],"itemData":{"id":23839,"type":"article-journal","abstract":"Exotic species have become increasingly significant management problems in parks and reserves and frequently complicate restoration projects. At the same time there may be circumstances in which their removal may have unforeseen negative consequences or their use in restoration is desirable. We review the types of effects exotic species may have that are important during restoration and suggest research that could increase our ability to set realistic management goals. Their control and use may be controversial; therefore we advocate consideration of exotic species in the greater context of community structure and succession and emphasize areas where ecological research could bring insight to management dilemmas surrounding exotic species and restoration. For example, an understanding of the potential transience of exotics in a site and the role particular exotics might play in changing processes that influence the course of succession is essential to setting removal priorities and realistic management goals. Likewise, a greater understanding of the ecological role of introduced species might help to reduce controversy surrounding their purposeful use in restoration. Here we link generalizations emerging from the invasion ecology literature with practical restoration concerns, including circumstances when it is practical to use exotic species in restoration.","container-title":"Restoration Ecology","DOI":"10.1046/j.1526-100X.2002.01051.x","ISSN":"1526-100X","issue":"4","language":"en","note":"_eprint: https://onlinelibrary.wiley.com/doi/pdf/10.1046/j.1526-100X.2002.01051.x","page":"703-713","source":"Wiley Online Library","title":"Exotic plant species as problems and solutions in ecological restoration: A synthesis","title-short":"Exotic Plant Species as Problems and Solutions in Ecological Restoration","URL":"https://onlinelibrary.wiley.com/doi/abs/10.1046/j.1526-100X.2002.01051.x","volume":"10","author":[{"family":"D'Antonio","given":"Carla M."},{"family":"Meyerson","given":"Laura A."}],"accessed":{"date-parts":[["2020",5,12]]},"issued":{"date-parts":[["2002"]]}},"label":"page"}],"schema":"https://github.com/citation-style-language/schema/raw/master/csl-citation.json"} </w:instrText>
      </w:r>
      <w:r w:rsidRPr="00DA249F">
        <w:rPr>
          <w:lang w:val="en-GB"/>
        </w:rPr>
        <w:fldChar w:fldCharType="separate"/>
      </w:r>
      <w:r w:rsidR="00144D96" w:rsidRPr="00144D96">
        <w:rPr>
          <w:szCs w:val="24"/>
        </w:rPr>
        <w:t>(D’Antonio &amp; Meyerson, 2002; D’Antonio &amp; Vitousek, 1992)</w:t>
      </w:r>
      <w:r w:rsidRPr="00DA249F">
        <w:rPr>
          <w:lang w:val="en-GB"/>
        </w:rPr>
        <w:fldChar w:fldCharType="end"/>
      </w:r>
      <w:r w:rsidRPr="00DA249F">
        <w:rPr>
          <w:lang w:val="en-GB"/>
        </w:rPr>
        <w:t xml:space="preserve"> and alien </w:t>
      </w:r>
      <w:r w:rsidRPr="00DA249F">
        <w:rPr>
          <w:lang w:val="en-GB"/>
        </w:rPr>
        <w:lastRenderedPageBreak/>
        <w:t xml:space="preserve">trees </w:t>
      </w:r>
      <w:r w:rsidR="00C520CB" w:rsidRPr="00DA249F">
        <w:rPr>
          <w:lang w:val="en-GB"/>
        </w:rPr>
        <w:t xml:space="preserve">have been </w:t>
      </w:r>
      <w:r w:rsidRPr="00DA249F">
        <w:rPr>
          <w:lang w:val="en-GB"/>
        </w:rPr>
        <w:t xml:space="preserve">planted </w:t>
      </w:r>
      <w:r w:rsidR="00C520CB" w:rsidRPr="00DA249F">
        <w:rPr>
          <w:lang w:val="en-GB"/>
        </w:rPr>
        <w:t xml:space="preserve">to </w:t>
      </w:r>
      <w:r w:rsidR="00BF2FDE" w:rsidRPr="00DA249F">
        <w:rPr>
          <w:lang w:val="en-GB"/>
        </w:rPr>
        <w:t>stabilize</w:t>
      </w:r>
      <w:r w:rsidR="00C520CB" w:rsidRPr="00DA249F">
        <w:rPr>
          <w:lang w:val="en-GB"/>
        </w:rPr>
        <w:t xml:space="preserve"> </w:t>
      </w:r>
      <w:r w:rsidRPr="00DA249F">
        <w:rPr>
          <w:lang w:val="en-GB"/>
        </w:rPr>
        <w:t>riparian zones.</w:t>
      </w:r>
      <w:r w:rsidR="00463FB8" w:rsidRPr="00DA249F">
        <w:rPr>
          <w:lang w:val="en-GB"/>
        </w:rPr>
        <w:t xml:space="preserve"> Irrigated land damaged by salinization is estimated globally to be 60 million ha </w:t>
      </w:r>
      <w:r w:rsidR="00463FB8" w:rsidRPr="00DA249F">
        <w:rPr>
          <w:lang w:val="en-GB"/>
        </w:rPr>
        <w:fldChar w:fldCharType="begin"/>
      </w:r>
      <w:r w:rsidR="00331A79">
        <w:rPr>
          <w:lang w:val="en-GB"/>
        </w:rPr>
        <w:instrText xml:space="preserve"> ADDIN ZOTERO_ITEM CSL_CITATION {"citationID":"TVwhL5El","properties":{"formattedCitation":"(FAO, 2015; IPBES, 2018b; Squires &amp; Glenn, 2011)","plainCitation":"(FAO, 2015; IPBES, 2018b; Squires &amp; Glenn, 2011)","noteIndex":0},"citationItems":[{"id":24336,"uris":["http://zotero.org/groups/2352922/items/A8GVBXWK"],"itemData":{"id":24336,"type":"book","abstract":"The SWSR is a reference document on the status of global soil resources that provides regional assessments of soil change. The information is based on peer-reviewed scientific literature, complemented with expert knowledge and project outputs. It provides a description and a ranking of ten major soil threats that endanger ecosystem functions, goods and services globally and in each region separately. Additionally, it describes direct and indirect pressures on soils and ways and means to combat s oil degradation. The report contains a Synthesis report for policy makers that summarizes its findings, conclusions and recommendations.  \n\nThe full report has been divided into sections and individual chapters for ease of downloading:\n\n \n\nIntroductory information Chapter 1: Introduction Chapter 2: The role of soils in ecosystem pr ocesses  Chapter 3: Global Soil Resources Chapter 4: Soils and Humans Chapter 5: Drivers of global soil change Chapter 6: Global soil status, processes and trends Chapter 7: Soil change: impacts and responses Chapter 8: Governance and policy responses to soil change Chapter 9: Regional Assessment of Soil Changes in Africa South of the Sahara Chapter 10: Regional Assessment of Soil Change in Asia Chapter 11: Regional Assessment of Soil Changes in Europe and Eurasia Chapter 12: Regional Assessment of Soil Changes in Latin America and the Caribbean Chapter 13: Regional Assessment of Soil Changes in the Near East and North Africa Chapter 14: Regional Assessment of Soil Changes in North America Chapter 15: Regional Assessment of Soil Change in the Southw est Pacific Chapter 16: Regional Assessment of Soil Change in Antarctica Annex: Soil groups, characteristics, distribution and ecosystem services Glossary of Technical Terms Authors and affiliations\n\n \n\nAlso available is the  Technical Summary of the Status of the World’s Soil Resources.","event-place":"Rome, Italy","ISBN":"978-92-5-109004-6","language":"en","number-of-pages":"650","publisher":"FAO","publisher-place":"Rome, Italy","source":"FAO Publications","title":"Status of the World's Soil Resources: Main Report","title-short":"Status of the World's Soil Resources","URL":"http://www.fao.org/documents/card/fr/c/c6814873-efc3-41db-b7d3-2081a10ede50/","author":[{"literal":"FAO"}],"accessed":{"date-parts":[["2021",2,9]]},"issued":{"date-parts":[["2015"]]}},"label":"page"},{"id":26990,"uris":["http://zotero.org/groups/2352922/items/GAJA8JQR"],"itemData":{"id":26990,"type":"report","abstract":"The Assessment Report on Land Degradation and Restoration by the Intergovernmental Science-Policy Platform on Biodiversity and Ecosystem Services (IPBES) provides a critical analysis of the state of knowledge regarding the importance, drivers, status, and trends of terrestrial ecosystems. The Report recognizes that combatting land degradation, which is a pervasive, systemic phenomenon occurring in all parts of the world, is an urgent priority in order to protect the biodiversity and ecosystem services that are vital to all life on Earth and to ensure human well-being. The Report identifies a mix of governance options, policies and management practices that can help support stakeholders working at all levels to reduce the negative environmental, social and economic consequences of land degradation and to rehabilitate and restore degraded land. The Report encompasses all the terrestrial regions and biomes of the world, recognizing that land degradation drivers and processes can vary in severity within regions and countries as much as between them, and includes the full range of human-altered systems, including but not limited to drylands, agricultural and agroforestry systems, savannahs and forests and aquatic systems associated with these areas.","event-place":"Bonn, Germany","language":"en","license":"Creative Commons Attribution 4.0 International, Open Access","note":"DOI: 10.5281/ZENODO.3237392","page":"744","publisher":"Secretariat of the Intergovernmental Science-Policy Platform on Biodiversity and Ecosystem Services","publisher-place":"Bonn, Germany","source":"DOI.org (Datacite)","title":"The IPBES assessment report on land degradation and restoration.","URL":"https://zenodo.org/record/3237392","author":[{"literal":"IPBES"}],"collection-editor":[{"family":"Montanarella","given":"Luca"},{"family":"Scholes","given":"Robert"},{"family":"Brainich","given":"Anastasia"}],"accessed":{"date-parts":[["2021",2,22]]},"issued":{"date-parts":[["2018"]]}}},{"id":25022,"uris":["http://zotero.org/groups/2352922/items/RT5LZ7SV"],"itemData":{"id":25022,"type":"article-journal","abstract":"Land degradation is a collective term that describes the loss of productivity which results from soil erosion, increases in soil salinity, loss of soil structure, and so on. Various formal definitions have been offered but most include the notion of loss of productive potential, loss of biodiversity, and a move toward unsustainability and instability.","container-title":"EOLSS Publications","language":"en","page":"9","source":"Zotero","title":"Salination, Desertification, and Soil Erosion","URL":"https://www.eolss.net/sample-chapters/C10/E5-01A-04-05.pdf","volume":"3","author":[{"family":"Squires","given":"Victor R"},{"family":"Glenn","given":"Edward P"}],"issued":{"date-parts":[["2011"]]}},"label":"page"}],"schema":"https://github.com/citation-style-language/schema/raw/master/csl-citation.json"} </w:instrText>
      </w:r>
      <w:r w:rsidR="00463FB8" w:rsidRPr="00DA249F">
        <w:rPr>
          <w:lang w:val="en-GB"/>
        </w:rPr>
        <w:fldChar w:fldCharType="separate"/>
      </w:r>
      <w:r w:rsidR="00186371" w:rsidRPr="00186371">
        <w:t>(FAO, 2015; IPBES, 2018b; Squires &amp; Glenn, 2011)</w:t>
      </w:r>
      <w:r w:rsidR="00463FB8" w:rsidRPr="00DA249F">
        <w:rPr>
          <w:lang w:val="en-GB"/>
        </w:rPr>
        <w:fldChar w:fldCharType="end"/>
      </w:r>
      <w:r w:rsidR="00463FB8" w:rsidRPr="00DA249F">
        <w:rPr>
          <w:lang w:val="en-GB"/>
        </w:rPr>
        <w:t xml:space="preserve">. Soil salinization associated with waterlogging leads to the replacement of pre-existing native perennial herbaceous plants with salinity-tolerant alien annual plants in southern Australia </w:t>
      </w:r>
      <w:r w:rsidR="00463FB8" w:rsidRPr="00DA249F">
        <w:rPr>
          <w:lang w:val="en-GB"/>
        </w:rPr>
        <w:fldChar w:fldCharType="begin"/>
      </w:r>
      <w:r w:rsidR="00331A79">
        <w:rPr>
          <w:lang w:val="en-GB"/>
        </w:rPr>
        <w:instrText xml:space="preserve"> ADDIN ZOTERO_ITEM CSL_CITATION {"citationID":"MKTR9aY5","properties":{"formattedCitation":"(Hobbs et al., 2006)","plainCitation":"(Hobbs et al., 2006)","noteIndex":0},"citationItems":[{"id":56399,"uris":["http://zotero.org/groups/2352922/items/T6WXMZ3K","http://zotero.org/groups/2352922/items/FCVNL7LU"],"itemData":{"id":56399,"type":"article-journal","container-title":"Global Ecology and Biogeography","DOI":"10.1111/j.1466-822X.2006.00212.x","ISSN":"1466822X","issue":"1","language":"en","page":"1-7","source":"DOI.org (Crossref)","title":"Novel ecosystems: theoretical and management aspects of the new ecological world order: Novel ecosystems","title-short":"Novel ecosystems","URL":"https://onlinelibrary.wiley.com/doi/10.1111/j.1466-822X.2006.00212.x","volume":"15","author":[{"family":"Hobbs","given":"Richard J."},{"family":"Arico","given":"Salvatore"},{"family":"Aronson","given":"James"},{"family":"Baron","given":"Jill S."},{"family":"Bridgewater","given":"Peter"},{"family":"Cramer","given":"Viki A."},{"family":"Epstein","given":"Paul R."},{"family":"Ewel","given":"John J."},{"family":"Klink","given":"Carlos A."},{"family":"Lugo","given":"Ariel E."},{"family":"Norton","given":"David"},{"family":"Ojima","given":"Dennis"},{"family":"Richardson","given":"David M."},{"family":"Sanderson","given":"Eric W."},{"family":"Valladares","given":"Fernando"},{"family":"Vilà","given":"Montserrat"},{"family":"Zamora","given":"Regino"},{"family":"Zobel","given":"Martin"}],"accessed":{"date-parts":[["2023",6,8]]},"issued":{"date-parts":[["2006",1]]}},"label":"page"}],"schema":"https://github.com/citation-style-language/schema/raw/master/csl-citation.json"} </w:instrText>
      </w:r>
      <w:r w:rsidR="00463FB8" w:rsidRPr="00DA249F">
        <w:rPr>
          <w:lang w:val="en-GB"/>
        </w:rPr>
        <w:fldChar w:fldCharType="separate"/>
      </w:r>
      <w:r w:rsidR="00144D96" w:rsidRPr="00144D96">
        <w:t>(Hobbs et al., 2006)</w:t>
      </w:r>
      <w:r w:rsidR="00463FB8" w:rsidRPr="00DA249F">
        <w:rPr>
          <w:lang w:val="en-GB"/>
        </w:rPr>
        <w:fldChar w:fldCharType="end"/>
      </w:r>
      <w:r w:rsidR="00463FB8" w:rsidRPr="00DA249F">
        <w:rPr>
          <w:lang w:val="en-GB"/>
        </w:rPr>
        <w:t xml:space="preserve">. </w:t>
      </w:r>
    </w:p>
    <w:p w14:paraId="5AE1C94D" w14:textId="1D74303F" w:rsidR="00183F19" w:rsidRPr="00DA249F" w:rsidRDefault="3D04D128" w:rsidP="0090109B">
      <w:pPr>
        <w:rPr>
          <w:lang w:val="en-GB"/>
        </w:rPr>
      </w:pPr>
      <w:r w:rsidRPr="5575EBFC">
        <w:rPr>
          <w:lang w:val="en-GB"/>
        </w:rPr>
        <w:t>Especially in North America, Europe</w:t>
      </w:r>
      <w:r w:rsidR="00774819">
        <w:rPr>
          <w:lang w:val="en-GB"/>
        </w:rPr>
        <w:t xml:space="preserve"> and</w:t>
      </w:r>
      <w:r w:rsidRPr="5575EBFC">
        <w:rPr>
          <w:lang w:val="en-GB"/>
        </w:rPr>
        <w:t xml:space="preserve"> Australia, estuarine and coastal areas </w:t>
      </w:r>
      <w:r w:rsidR="6F6FB0C0" w:rsidRPr="5575EBFC">
        <w:rPr>
          <w:lang w:val="en-GB"/>
        </w:rPr>
        <w:t>have</w:t>
      </w:r>
      <w:r w:rsidRPr="5575EBFC">
        <w:rPr>
          <w:lang w:val="en-GB"/>
        </w:rPr>
        <w:t xml:space="preserve"> been dramatically </w:t>
      </w:r>
      <w:r w:rsidR="1BCF5706" w:rsidRPr="5575EBFC">
        <w:rPr>
          <w:lang w:val="en-GB"/>
        </w:rPr>
        <w:t>transformed</w:t>
      </w:r>
      <w:r w:rsidRPr="5575EBFC">
        <w:rPr>
          <w:lang w:val="en-GB"/>
        </w:rPr>
        <w:t xml:space="preserve"> over the past 150 to 300 years</w:t>
      </w:r>
      <w:r w:rsidR="337AA00C" w:rsidRPr="5575EBFC">
        <w:rPr>
          <w:lang w:val="en-GB"/>
        </w:rPr>
        <w:t>.</w:t>
      </w:r>
      <w:r w:rsidR="23BF2FFE" w:rsidRPr="5575EBFC">
        <w:rPr>
          <w:lang w:val="en-GB"/>
        </w:rPr>
        <w:t xml:space="preserve"> </w:t>
      </w:r>
      <w:r w:rsidR="337AA00C" w:rsidRPr="5575EBFC">
        <w:rPr>
          <w:lang w:val="en-GB"/>
        </w:rPr>
        <w:t>D</w:t>
      </w:r>
      <w:r w:rsidR="01FCD5A4" w:rsidRPr="5575EBFC">
        <w:rPr>
          <w:lang w:val="en-GB"/>
        </w:rPr>
        <w:t xml:space="preserve">egradation linked to </w:t>
      </w:r>
      <w:r w:rsidR="2982D493" w:rsidRPr="5575EBFC">
        <w:rPr>
          <w:lang w:val="en-GB"/>
        </w:rPr>
        <w:t>i</w:t>
      </w:r>
      <w:r w:rsidRPr="5575EBFC">
        <w:rPr>
          <w:lang w:val="en-GB"/>
        </w:rPr>
        <w:t>ndustrialization/urbanization (</w:t>
      </w:r>
      <w:r w:rsidRPr="5575EBFC">
        <w:rPr>
          <w:b/>
          <w:bCs/>
          <w:lang w:val="en-GB"/>
        </w:rPr>
        <w:t>section</w:t>
      </w:r>
      <w:r w:rsidR="2FA21BCF" w:rsidRPr="5575EBFC">
        <w:rPr>
          <w:b/>
          <w:bCs/>
          <w:lang w:val="en-GB"/>
        </w:rPr>
        <w:t>s</w:t>
      </w:r>
      <w:r w:rsidRPr="5575EBFC">
        <w:rPr>
          <w:b/>
          <w:bCs/>
          <w:lang w:val="en-GB"/>
        </w:rPr>
        <w:t xml:space="preserve"> 3.2.2.4</w:t>
      </w:r>
      <w:r w:rsidR="2FA21BCF" w:rsidRPr="5575EBFC">
        <w:rPr>
          <w:b/>
          <w:bCs/>
          <w:lang w:val="en-GB"/>
        </w:rPr>
        <w:t xml:space="preserve"> </w:t>
      </w:r>
      <w:r w:rsidR="2FA21BCF" w:rsidRPr="5575EBFC">
        <w:rPr>
          <w:lang w:val="en-GB"/>
        </w:rPr>
        <w:t>and</w:t>
      </w:r>
      <w:r w:rsidRPr="5575EBFC">
        <w:rPr>
          <w:lang w:val="en-GB"/>
        </w:rPr>
        <w:t xml:space="preserve"> </w:t>
      </w:r>
      <w:r w:rsidRPr="5575EBFC">
        <w:rPr>
          <w:b/>
          <w:bCs/>
          <w:lang w:val="en-GB"/>
        </w:rPr>
        <w:t>3.3.1.4</w:t>
      </w:r>
      <w:r w:rsidRPr="5575EBFC">
        <w:rPr>
          <w:lang w:val="en-GB"/>
        </w:rPr>
        <w:t>)</w:t>
      </w:r>
      <w:r w:rsidR="302E041C" w:rsidRPr="5575EBFC">
        <w:rPr>
          <w:lang w:val="en-GB"/>
        </w:rPr>
        <w:t xml:space="preserve"> has</w:t>
      </w:r>
      <w:r w:rsidRPr="5575EBFC">
        <w:rPr>
          <w:lang w:val="en-GB"/>
        </w:rPr>
        <w:t xml:space="preserve"> result</w:t>
      </w:r>
      <w:r w:rsidR="44D0BFFA" w:rsidRPr="5575EBFC">
        <w:rPr>
          <w:lang w:val="en-GB"/>
        </w:rPr>
        <w:t>ed</w:t>
      </w:r>
      <w:r w:rsidRPr="5575EBFC">
        <w:rPr>
          <w:lang w:val="en-GB"/>
        </w:rPr>
        <w:t xml:space="preserve"> in accelerated establishment and spread of </w:t>
      </w:r>
      <w:r w:rsidR="222906A1" w:rsidRPr="5575EBFC">
        <w:rPr>
          <w:lang w:val="en-GB"/>
        </w:rPr>
        <w:t xml:space="preserve">invasive alien species </w:t>
      </w:r>
      <w:r w:rsidRPr="5575EBFC">
        <w:rPr>
          <w:lang w:val="en-GB"/>
        </w:rPr>
        <w:t xml:space="preserve">in once diverse and productive areas </w:t>
      </w:r>
      <w:r w:rsidR="008C1BF7" w:rsidRPr="5575EBFC">
        <w:rPr>
          <w:lang w:val="en-GB"/>
        </w:rPr>
        <w:fldChar w:fldCharType="begin"/>
      </w:r>
      <w:r w:rsidR="00331A79">
        <w:rPr>
          <w:lang w:val="en-GB"/>
        </w:rPr>
        <w:instrText xml:space="preserve"> ADDIN ZOTERO_ITEM CSL_CITATION {"citationID":"7BIsCcwm","properties":{"formattedCitation":"(Lotze et al., 2006)","plainCitation":"(Lotze et al., 2006)","noteIndex":0},"citationItems":[{"id":12532,"uris":["http://zotero.org/groups/2352922/items/XDQDTMVG"],"itemData":{"id":12532,"type":"article-journal","abstract":"Estuarine and coastal transformation is as old as civilization yet has dramatically accelerated over the past 150 to 300 years. Reconstructed time lines, causes, and consequences of change in 12 once diverse and productive estuaries and coastal seas worldwide show similar patterns: Human impacts have depleted &gt;90% of formerly important species, destroyed &gt;65% of seagrass and wetland habitat, degraded water quality, and accelerated species invasions. Twentieth-century conservation efforts achieved partial recovery of upper trophic levels but have so far failed to restore former ecosystem structure and function. Our results provide detailed historical baselines and quantitative targets for ecosystem-based management and marine conservation.","container-title":"Science","DOI":"10.1126/science.1128035","ISSN":"0036-8075, 1095-9203","issue":"5781","language":"en","license":"American Association for the Advancement of Science","note":"PMID: 16794081","page":"1806-1809","source":"science.sciencemag.org","title":"Depletion, Degradation, and Recovery Potential of Estuaries and Coastal Seas","URL":"https://science.sciencemag.org/content/312/5781/1806","volume":"312","author":[{"family":"Lotze","given":"Heike K."},{"family":"Lenihan","given":"Hunter S."},{"family":"Bourque","given":"Bruce J."},{"family":"Bradbury","given":"Roger H."},{"family":"Cooke","given":"Richard G."},{"family":"Kay","given":"Matthew C."},{"family":"Kidwell","given":"Susan M."},{"family":"Kirby","given":"Michael X."},{"family":"Peterson","given":"Charles H."},{"family":"Jackson","given":"Jeremy B. C."}],"accessed":{"date-parts":[["2019",11,25]]},"issued":{"date-parts":[["2006",6,23]]}},"label":"page"}],"schema":"https://github.com/citation-style-language/schema/raw/master/csl-citation.json"} </w:instrText>
      </w:r>
      <w:r w:rsidR="008C1BF7" w:rsidRPr="5575EBFC">
        <w:rPr>
          <w:lang w:val="en-GB"/>
        </w:rPr>
        <w:fldChar w:fldCharType="separate"/>
      </w:r>
      <w:r w:rsidR="6B5F9B9E">
        <w:t>(Lotze et al., 2006)</w:t>
      </w:r>
      <w:r w:rsidR="008C1BF7" w:rsidRPr="5575EBFC">
        <w:rPr>
          <w:lang w:val="en-GB"/>
        </w:rPr>
        <w:fldChar w:fldCharType="end"/>
      </w:r>
      <w:r w:rsidRPr="5575EBFC">
        <w:rPr>
          <w:lang w:val="en-GB"/>
        </w:rPr>
        <w:t xml:space="preserve">. For example, creation of </w:t>
      </w:r>
      <w:r w:rsidR="0E2339EF" w:rsidRPr="5575EBFC">
        <w:rPr>
          <w:lang w:val="en-GB"/>
        </w:rPr>
        <w:t xml:space="preserve">a </w:t>
      </w:r>
      <w:r w:rsidRPr="5575EBFC">
        <w:rPr>
          <w:lang w:val="en-GB"/>
        </w:rPr>
        <w:t>metropolitan coastal front in</w:t>
      </w:r>
      <w:r w:rsidR="73D903B2" w:rsidRPr="5575EBFC">
        <w:rPr>
          <w:lang w:val="en-GB"/>
        </w:rPr>
        <w:t xml:space="preserve"> Athens and the Piraeus port le</w:t>
      </w:r>
      <w:r w:rsidRPr="5575EBFC">
        <w:rPr>
          <w:lang w:val="en-GB"/>
        </w:rPr>
        <w:t xml:space="preserve">d to the occupancy of an alien </w:t>
      </w:r>
      <w:r w:rsidR="5CD1F587" w:rsidRPr="5575EBFC">
        <w:rPr>
          <w:lang w:val="en-GB"/>
        </w:rPr>
        <w:t>scleractinian coral,</w:t>
      </w:r>
      <w:r w:rsidR="5CD1F587" w:rsidRPr="5575EBFC">
        <w:rPr>
          <w:i/>
          <w:iCs/>
          <w:lang w:val="en-GB"/>
        </w:rPr>
        <w:t xml:space="preserve"> </w:t>
      </w:r>
      <w:r w:rsidRPr="5575EBFC">
        <w:rPr>
          <w:i/>
          <w:iCs/>
          <w:lang w:val="en-GB"/>
        </w:rPr>
        <w:t>Oculina patagonica</w:t>
      </w:r>
      <w:r w:rsidR="5CD1F587" w:rsidRPr="5575EBFC">
        <w:rPr>
          <w:lang w:val="en-GB"/>
        </w:rPr>
        <w:t>,</w:t>
      </w:r>
      <w:r w:rsidRPr="5575EBFC">
        <w:rPr>
          <w:lang w:val="en-GB"/>
        </w:rPr>
        <w:t xml:space="preserve"> in shallow coastal habitats of the Mediterranean Sea </w:t>
      </w:r>
      <w:r w:rsidR="008C1BF7" w:rsidRPr="5575EBFC">
        <w:rPr>
          <w:lang w:val="en-GB"/>
        </w:rPr>
        <w:fldChar w:fldCharType="begin"/>
      </w:r>
      <w:r w:rsidR="00331A79">
        <w:rPr>
          <w:lang w:val="en-GB"/>
        </w:rPr>
        <w:instrText xml:space="preserve"> ADDIN ZOTERO_ITEM CSL_CITATION {"citationID":"iBIDoUXS","properties":{"formattedCitation":"(Salomidi et al., 2013)","plainCitation":"(Salomidi et al., 2013)","noteIndex":0},"citationItems":[{"id":12533,"uris":["http://zotero.org/groups/2352922/items/C9BF6VZI"],"itemData":{"id":12533,"type":"article-journal","abstract":"The extensive human-mediated modifications of shallow coastal habitats drastically alter selection regimes and may assist alien invasions. The preferential presence of a non-indigenous scleractinian coral (Oculina patagonica) on anthropogenic hard substrata was investigated in a highly disturbed coastal area, along the eastern Saronikos Gulf (Aegean Sea, Eastern Mediterranean). Although the species occurred on both natural and anthropogenic substrata at similar frequencies, its abundance was substantially higher on the latter. The species was present all along the shallow (0.5–5 m) infralittoral zone of the studied coastline, and its percent cover even exceeded 50 % at a site of anthropogenic hard substratum. The occupancy of the species declined with distance from a highly disturbed industrialized/urbanized area (Athens metropolitan coastal front and the port of Piraeus). Space availability as a result of habitat modification appears to have been an important factor enhancing the coral’s abundance in this area. The ongoing degradation of the coastal zone, as a combined effect of coastal pollution, proliferation of artificial substrata and overgrazing seems to be paving the way to this new invasion in the Aegean Sea.","container-title":"Biological Invasions","DOI":"10.1007/s10530-013-0424-0","ISSN":"1573-1464","issue":"9","journalAbbreviation":"Biol Invasions","language":"en","page":"1961-1971","source":"Springer Link","title":"Anthropogenic disturbance of coastal habitats promotes the spread of the introduced scleractinian coral &lt;i&gt;Oculina patagonica&lt;/i&gt; in the Mediterranean Sea","URL":"https://doi.org/10.1007/s10530-013-0424-0","volume":"15","author":[{"family":"Salomidi","given":"Maria"},{"family":"Katsanevakis","given":"Stelios"},{"family":"Issaris","given":"Yiannis"},{"family":"Tsiamis","given":"Konstantinos"},{"family":"Katsiaras","given":"Nikos"}],"accessed":{"date-parts":[["2019",11,25]]},"issued":{"date-parts":[["2013",9,1]]}},"label":"page"}],"schema":"https://github.com/citation-style-language/schema/raw/master/csl-citation.json"} </w:instrText>
      </w:r>
      <w:r w:rsidR="008C1BF7" w:rsidRPr="5575EBFC">
        <w:rPr>
          <w:lang w:val="en-GB"/>
        </w:rPr>
        <w:fldChar w:fldCharType="separate"/>
      </w:r>
      <w:r w:rsidR="6B5F9B9E">
        <w:t>(Salomidi et al., 2013)</w:t>
      </w:r>
      <w:r w:rsidR="008C1BF7" w:rsidRPr="5575EBFC">
        <w:rPr>
          <w:lang w:val="en-GB"/>
        </w:rPr>
        <w:fldChar w:fldCharType="end"/>
      </w:r>
      <w:r w:rsidRPr="5575EBFC">
        <w:rPr>
          <w:lang w:val="en-GB"/>
        </w:rPr>
        <w:t xml:space="preserve">. </w:t>
      </w:r>
      <w:r w:rsidR="3287BE60" w:rsidRPr="5575EBFC">
        <w:rPr>
          <w:lang w:val="en-GB"/>
        </w:rPr>
        <w:t>Overexploitation, pollution, disease and climate change are causing global declines of c</w:t>
      </w:r>
      <w:r w:rsidRPr="5575EBFC">
        <w:rPr>
          <w:lang w:val="en-GB"/>
        </w:rPr>
        <w:t xml:space="preserve">oastal lagoons and coral reefs, especially on the Great Barrier Reef </w:t>
      </w:r>
      <w:r w:rsidR="008C1BF7" w:rsidRPr="5575EBFC">
        <w:rPr>
          <w:lang w:val="en-GB"/>
        </w:rPr>
        <w:fldChar w:fldCharType="begin"/>
      </w:r>
      <w:r w:rsidR="00F5121E">
        <w:rPr>
          <w:lang w:val="en-GB"/>
        </w:rPr>
        <w:instrText xml:space="preserve"> ADDIN ZOTERO_ITEM CSL_CITATION {"citationID":"OkSNLuFN","properties":{"formattedCitation":"(IPBES, 2018d)","plainCitation":"(IPBES, 2018d)","noteIndex":0},"citationItems":[{"id":26989,"uris":["http://zotero.org/groups/2352922/items/HNN39TBD","http://zotero.org/groups/2352922/items/BF3N3YYK"],"itemData":{"id":26989,"type":"report","abstract":"The Regional Assessment Report on Biodiversity and Ecosystem Services for Asia and the Pacific produced by the Intergovernmental Science-Policy Platform on Biodiversity and Ecosystem Services (IPBES) provides a critical analysis of the state of knowledge regarding the importance, status, and trends of biodiversity and nature’s contributions to people. The assessment analyses the direct and underlying causes for the observed changes in biodiversity and in nature’s contributions to people, and the impact that these changes have on the quality of life of people. The assessment, finally, identifies a mix of governance options, policies and management practices that are currently available to reduce the loss of biodiversity and of nature’s contributions to people in that region. The assessment addresses terrestrial, freshwater, and coastal biodiversity and covers current status and trends, going back in time several decades, and future projections, with a focus on the 2020-2050 period.","event-place":"Bonn, Germany","language":"en","license":"Creative Commons Attribution 4.0 International, Open Access","note":"version: Report\nDOI: 10.5281/ZENODO.3237374","publisher":"Secretariat of the Intergovernmental Science-Policy Platform on Biodiversity and Ecosystem Services","publisher-place":"Bonn, Germany","source":"DOI.org (Datacite)","title":"The IPBES regional assessment report on biodiversity and ecosystem services for Asia and the Pacific","URL":"https://zenodo.org/record/3237374","author":[{"literal":"IPBES"}],"collection-editor":[{"family":"Karki","given":"Madhav"},{"family":"Sellamuttu","given":"Sonali Senaratna"},{"family":"Okayasu","given":"Sana"},{"family":"Suzuki","given":"Wataru"}],"accessed":{"date-parts":[["2020",8,25]]},"issued":{"date-parts":[["2018"]]}},"label":"page"}],"schema":"https://github.com/citation-style-language/schema/raw/master/csl-citation.json"} </w:instrText>
      </w:r>
      <w:r w:rsidR="008C1BF7" w:rsidRPr="5575EBFC">
        <w:rPr>
          <w:lang w:val="en-GB"/>
        </w:rPr>
        <w:fldChar w:fldCharType="separate"/>
      </w:r>
      <w:r w:rsidR="6B5F9B9E">
        <w:t>(IPBES, 2018d)</w:t>
      </w:r>
      <w:r w:rsidR="008C1BF7" w:rsidRPr="5575EBFC">
        <w:rPr>
          <w:lang w:val="en-GB"/>
        </w:rPr>
        <w:fldChar w:fldCharType="end"/>
      </w:r>
      <w:r w:rsidRPr="5575EBFC">
        <w:rPr>
          <w:lang w:val="en-GB"/>
        </w:rPr>
        <w:t xml:space="preserve">. </w:t>
      </w:r>
      <w:r w:rsidR="004221FA">
        <w:rPr>
          <w:lang w:val="en-GB"/>
        </w:rPr>
        <w:t>T</w:t>
      </w:r>
      <w:r w:rsidRPr="5575EBFC">
        <w:rPr>
          <w:lang w:val="en-GB"/>
        </w:rPr>
        <w:t xml:space="preserve">here </w:t>
      </w:r>
      <w:r w:rsidR="004221FA">
        <w:rPr>
          <w:lang w:val="en-GB"/>
        </w:rPr>
        <w:t xml:space="preserve">however </w:t>
      </w:r>
      <w:r w:rsidRPr="5575EBFC">
        <w:rPr>
          <w:lang w:val="en-GB"/>
        </w:rPr>
        <w:t>seems to be clear evidence that coastal disturbance (e.g., harbour constructions) could be a</w:t>
      </w:r>
      <w:r w:rsidR="5F58C80D" w:rsidRPr="5575EBFC">
        <w:rPr>
          <w:lang w:val="en-GB"/>
        </w:rPr>
        <w:t xml:space="preserve"> </w:t>
      </w:r>
      <w:r w:rsidR="6E63BB8B" w:rsidRPr="5575EBFC">
        <w:rPr>
          <w:lang w:val="en-GB"/>
        </w:rPr>
        <w:t xml:space="preserve">driver </w:t>
      </w:r>
      <w:r w:rsidR="54DB1EA2" w:rsidRPr="5575EBFC">
        <w:rPr>
          <w:lang w:val="en-GB"/>
        </w:rPr>
        <w:t xml:space="preserve">facilitating </w:t>
      </w:r>
      <w:r w:rsidR="1EBA6130" w:rsidRPr="5575EBFC">
        <w:rPr>
          <w:lang w:val="en-GB"/>
        </w:rPr>
        <w:t>biological</w:t>
      </w:r>
      <w:r w:rsidR="222906A1" w:rsidRPr="5575EBFC">
        <w:rPr>
          <w:lang w:val="en-GB"/>
        </w:rPr>
        <w:t xml:space="preserve"> </w:t>
      </w:r>
      <w:r w:rsidRPr="5575EBFC">
        <w:rPr>
          <w:lang w:val="en-GB"/>
        </w:rPr>
        <w:t xml:space="preserve">invasions </w:t>
      </w:r>
      <w:r w:rsidR="008C1BF7" w:rsidRPr="5575EBFC">
        <w:rPr>
          <w:lang w:val="en-GB"/>
        </w:rPr>
        <w:fldChar w:fldCharType="begin"/>
      </w:r>
      <w:r w:rsidR="00331A79">
        <w:rPr>
          <w:lang w:val="en-GB"/>
        </w:rPr>
        <w:instrText xml:space="preserve"> ADDIN ZOTERO_ITEM CSL_CITATION {"citationID":"IcMcqx8k","properties":{"formattedCitation":"(Boudouresque &amp; Verlaque, 2012; J. Klein et al., 2005)","plainCitation":"(Boudouresque &amp; Verlaque, 2012; J. Klein et al., 2005)","noteIndex":0},"citationItems":[{"id":21830,"uris":["http://zotero.org/groups/2352922/items/AJ4TSBYL"],"itemData":{"id":21830,"type":"article-journal","abstract":"In the process of species introduction, the traits that enable a species to establish and spread in a new habitat, and the habitat characteristics that determine the susceptibility to introduced species play a major role. Among the habitat characteristics that render a habitat resistant or susceptible to introductions, species diversity and disturbance are believed to be the most important. It is generally assumed that high species richness renders a habitat resistant to introductions, while disturbances enhance their susceptibility. In the present study, these 2 hypotheses were tested on NW Mediterranean shallow subtidal macrophyte assemblages. Data collection was carried out in early summer 2002 on sub-horizontal rocky substrate at 9 sites along the French Mediterranean coast, 4 undisturbed and 5 highly disturbed. Disturbances include cargo, naval and passenger harbours, and industrial and urban pollution. Relationships between species richness (point diversity), disturbances and the number of introduced macrophytes were analysed. The following conclusions were drawn: (1) there is no relationship between species introductions, diversity and disturbance for the macrophyte assemblages; (2) multifactorial analyses only revealed the biogeographical relationships between the native flora of the sites.","container-title":"Marine Ecology Progress Series","DOI":"10.3354/meps290079","ISSN":"0171-8630, 1616-1599","journalAbbreviation":"Mar. Ecol. Prog. Ser.","language":"en","page":"79-88","source":"DOI.org (Crossref)","title":"Species introductions, diversity and disturbances in marine macrophyte assemblages of the northwestern Mediterranean Sea","URL":"http://www.int-res.com/abstracts/meps/v290/p79-88/","volume":"290","author":[{"family":"Klein","given":"J"},{"family":"Ruitton","given":"S"},{"family":"Verlaque","given":"M"},{"family":"Boudouresque","given":"Cf"}],"accessed":{"date-parts":[["2020",3,26]]},"issued":{"date-parts":[["2005"]]}},"label":"page"},{"id":24862,"uris":["http://zotero.org/groups/2352922/items/IKM6ZSW9"],"itemData":{"id":24862,"type":"article-journal","abstract":"The species introduction process involves a donor region, a vector, a corridor, a recipient region, a candidate species and a variety of filters that hinder the process. All these parameters are of importance for understanding the success or the failure of a non-native species. Some characteristics of the recipient area, such as low species diversity, disturbances and climate warming, which are often said to facilitate the introduction process in the terrestrial realm, may be of far lesser importance in the marine environment. In contrast, the role of the vector and of the corridor might have been underestimated.","container-title":"Cahiers de Biologie Marine","language":"en","page":"309-317","source":"Zotero","title":"An overview of species introduction and invasion processes in marine and coastal lagoon habitats","volume":"53","author":[{"family":"Boudouresque","given":"Charles-François"},{"family":"Verlaque","given":"Marc"}],"issued":{"date-parts":[["2012"]]}},"label":"page"}],"schema":"https://github.com/citation-style-language/schema/raw/master/csl-citation.json"} </w:instrText>
      </w:r>
      <w:r w:rsidR="008C1BF7" w:rsidRPr="5575EBFC">
        <w:rPr>
          <w:lang w:val="en-GB"/>
        </w:rPr>
        <w:fldChar w:fldCharType="separate"/>
      </w:r>
      <w:r w:rsidR="6B5F9B9E">
        <w:t>(Boudouresque &amp; Verlaque, 2012; J. Klein et al., 2005)</w:t>
      </w:r>
      <w:r w:rsidR="008C1BF7" w:rsidRPr="5575EBFC">
        <w:rPr>
          <w:lang w:val="en-GB"/>
        </w:rPr>
        <w:fldChar w:fldCharType="end"/>
      </w:r>
      <w:r w:rsidRPr="5575EBFC">
        <w:rPr>
          <w:lang w:val="en-GB"/>
        </w:rPr>
        <w:t>.</w:t>
      </w:r>
    </w:p>
    <w:p w14:paraId="22F47AA6" w14:textId="3AEBC634" w:rsidR="000753C1" w:rsidRPr="00DA249F" w:rsidRDefault="6E7E84ED" w:rsidP="5575EBFC">
      <w:pPr>
        <w:spacing w:before="0" w:after="0"/>
        <w:rPr>
          <w:rFonts w:eastAsia="Times New Roman"/>
          <w:color w:val="000000"/>
          <w:lang w:val="en-GB" w:eastAsia="zh-CN"/>
        </w:rPr>
      </w:pPr>
      <w:r w:rsidRPr="5575EBFC">
        <w:rPr>
          <w:lang w:val="en-GB"/>
        </w:rPr>
        <w:t>In</w:t>
      </w:r>
      <w:r w:rsidR="01FCD5A4" w:rsidRPr="5575EBFC">
        <w:rPr>
          <w:lang w:val="en-GB"/>
        </w:rPr>
        <w:t xml:space="preserve"> </w:t>
      </w:r>
      <w:r w:rsidRPr="5575EBFC">
        <w:rPr>
          <w:lang w:val="en-GB"/>
        </w:rPr>
        <w:t xml:space="preserve">aquatic systems, </w:t>
      </w:r>
      <w:r w:rsidR="01FCD5A4" w:rsidRPr="5575EBFC">
        <w:rPr>
          <w:lang w:val="en-GB"/>
        </w:rPr>
        <w:t xml:space="preserve">invasive alien </w:t>
      </w:r>
      <w:r w:rsidRPr="5575EBFC">
        <w:rPr>
          <w:lang w:val="en-GB"/>
        </w:rPr>
        <w:t xml:space="preserve">species may become more prevalent as construction of water storage infrastructure increases </w:t>
      </w:r>
      <w:r w:rsidR="50CE0EAC" w:rsidRPr="5575EBFC">
        <w:rPr>
          <w:lang w:val="en-GB"/>
        </w:rPr>
        <w:t>(</w:t>
      </w:r>
      <w:r w:rsidR="2FA21BCF" w:rsidRPr="5575EBFC">
        <w:rPr>
          <w:b/>
          <w:bCs/>
          <w:lang w:val="en-GB"/>
        </w:rPr>
        <w:t xml:space="preserve">section </w:t>
      </w:r>
      <w:r w:rsidRPr="5575EBFC">
        <w:rPr>
          <w:b/>
          <w:bCs/>
          <w:lang w:val="en-GB"/>
        </w:rPr>
        <w:t>3.3.</w:t>
      </w:r>
      <w:r w:rsidR="4477E450" w:rsidRPr="5575EBFC">
        <w:rPr>
          <w:b/>
          <w:bCs/>
          <w:lang w:val="en-GB"/>
        </w:rPr>
        <w:t>1.4</w:t>
      </w:r>
      <w:r w:rsidRPr="5575EBFC">
        <w:rPr>
          <w:lang w:val="en-GB"/>
        </w:rPr>
        <w:t xml:space="preserve">), and in many cases, the </w:t>
      </w:r>
      <w:r w:rsidR="214CCA59" w:rsidRPr="5575EBFC">
        <w:rPr>
          <w:lang w:val="en-GB"/>
        </w:rPr>
        <w:t>mechanisms</w:t>
      </w:r>
      <w:r w:rsidRPr="5575EBFC">
        <w:rPr>
          <w:lang w:val="en-GB"/>
        </w:rPr>
        <w:t xml:space="preserve"> are linked to changes in disturbance regimes. Features such as reservoirs may act as stepping stones for invasive alien species by providing a homogenous, species-poor, early successional habitat providing little biotic resistance for initial occupation </w:t>
      </w:r>
      <w:r w:rsidR="00183F19" w:rsidRPr="5575EBFC">
        <w:rPr>
          <w:lang w:val="en-GB"/>
        </w:rPr>
        <w:fldChar w:fldCharType="begin"/>
      </w:r>
      <w:r w:rsidR="00331A79">
        <w:rPr>
          <w:lang w:val="en-GB"/>
        </w:rPr>
        <w:instrText xml:space="preserve"> ADDIN ZOTERO_ITEM CSL_CITATION {"citationID":"bzwqpLiP","properties":{"formattedCitation":"(Havel et al., 2005, 2015)","plainCitation":"(Havel et al., 2005, 2015)","dontUpdate":true,"noteIndex":0},"citationItems":[{"id":27195,"uris":["http://zotero.org/groups/2352922/items/DVSZLWH6"],"itemData":{"id":27195,"type":"article-journal","container-title":"BioScience","DOI":"10.1641/0006-3568(2005)055[0518:DRFIIL]2.0.CO;2","ISSN":"0006-3568","issue":"6","journalAbbreviation":"BioScience","language":"en","page":"518","source":"DOI.org (Crossref)","title":"Do Reservoirs Facilitate Invasions into Landscapes?","URL":"https://academic.oup.com/bioscience/article/55/6/518-525/363697","volume":"55","author":[{"family":"Havel","given":"John E."},{"family":"Lee","given":"Carol Eunmi"},{"family":"Vander Zanden","given":"M. Jake"}],"accessed":{"date-parts":[["2021",6,21]]},"issued":{"date-parts":[["2005"]]}},"label":"page"},{"id":32683,"uris":["http://zotero.org/groups/2352922/items/698GF6AW"],"itemData":{"id":32683,"type":"article-journal","container-title":"Hydrobiologia","DOI":"10.1007/s10750-014-2166-0","ISSN":"0018-8158, 1573-5117","issue":"1","journalAbbreviation":"Hydrobiologia","language":"en","note":"number: 1\ncontainer-title: Hydrobiologia","page":"147-170","source":"DOI.org (Crossref)","title":"Aquatic invasive species: challenges for the future","title-short":"Aquatic invasive species","URL":"http://link.springer.com/10.1007/s10750-014-2166-0","volume":"750","author":[{"family":"Havel","given":"John E."},{"family":"Kovalenko","given":"Katya E."},{"family":"Thomaz","given":"Sidinei Magela"},{"family":"Amalfitano","given":"Stefano"},{"family":"Kats","given":"Lee B."}],"accessed":{"date-parts":[["2019",12,5]]},"issued":{"date-parts":[["2015",5]]}},"label":"page"}],"schema":"https://github.com/citation-style-language/schema/raw/master/csl-citation.json"} </w:instrText>
      </w:r>
      <w:r w:rsidR="00183F19" w:rsidRPr="5575EBFC">
        <w:rPr>
          <w:lang w:val="en-GB"/>
        </w:rPr>
        <w:fldChar w:fldCharType="separate"/>
      </w:r>
      <w:r w:rsidR="2A766D50" w:rsidRPr="5575EBFC">
        <w:rPr>
          <w:lang w:val="en-GB"/>
        </w:rPr>
        <w:t>(Havel et al., 2005, 2015</w:t>
      </w:r>
      <w:r w:rsidR="00183F19" w:rsidRPr="5575EBFC">
        <w:rPr>
          <w:lang w:val="en-GB"/>
        </w:rPr>
        <w:fldChar w:fldCharType="end"/>
      </w:r>
      <w:r w:rsidR="26BF7EF2" w:rsidRPr="5575EBFC">
        <w:rPr>
          <w:lang w:val="en-GB"/>
        </w:rPr>
        <w:t>;</w:t>
      </w:r>
      <w:r w:rsidRPr="5575EBFC">
        <w:rPr>
          <w:lang w:val="en-GB"/>
        </w:rPr>
        <w:t xml:space="preserve"> </w:t>
      </w:r>
      <w:r w:rsidR="1D33F77C" w:rsidRPr="5575EBFC">
        <w:rPr>
          <w:b/>
          <w:bCs/>
          <w:lang w:val="en-GB"/>
        </w:rPr>
        <w:t xml:space="preserve">section </w:t>
      </w:r>
      <w:r w:rsidRPr="5575EBFC">
        <w:rPr>
          <w:b/>
          <w:bCs/>
          <w:lang w:val="en-GB"/>
        </w:rPr>
        <w:t>3.</w:t>
      </w:r>
      <w:r w:rsidR="2CE4DA32" w:rsidRPr="5575EBFC">
        <w:rPr>
          <w:b/>
          <w:bCs/>
          <w:lang w:val="en-GB"/>
        </w:rPr>
        <w:t>4.2</w:t>
      </w:r>
      <w:r w:rsidRPr="5575EBFC">
        <w:rPr>
          <w:lang w:val="en-GB"/>
        </w:rPr>
        <w:t xml:space="preserve">). In the Laurentian Great Lakes region of Wisconsin, United States, Johnson et al. </w:t>
      </w:r>
      <w:r w:rsidR="00183F19" w:rsidRPr="5575EBFC">
        <w:rPr>
          <w:lang w:val="en-GB"/>
        </w:rPr>
        <w:fldChar w:fldCharType="begin"/>
      </w:r>
      <w:r w:rsidR="00331A79">
        <w:rPr>
          <w:lang w:val="en-GB"/>
        </w:rPr>
        <w:instrText xml:space="preserve"> ADDIN ZOTERO_ITEM CSL_CITATION {"citationID":"hIkHwG46","properties":{"formattedCitation":"(2008)","plainCitation":"(2008)","noteIndex":0},"citationItems":[{"id":27187,"uris":["http://zotero.org/groups/2352922/items/NKSXJG67"],"itemData":{"id":27187,"type":"article-journal","abstract":"Freshwater ecosystems are at the forefront of the global biodiversity crisis, with more declining and extinct species than in terrestrial or marine environments. Hydrologic alterations and biological invasions represent two of the greatest threats to freshwater biota, yet the importance of linkages between these drivers of environmental change remains uncertain. Here, we quantitatively test the hypothesis that impoundments facilitate the introduction and establishment of aquatic invasive species in lake ecosystems. By combining data on boating activity, water body physicochemistry, and geographical distribution of five nuisance invaders in the Laurentian Great Lakes region, we show that non-indigenous species are 2.4 to 300 times more likely to occur in impoundments than in natural lakes, and that impoundments frequently support multiple invaders. Furthermore, comparisons of the contemporary and historical landscapes revealed that impoundments enhance the invasion risk of natural lakes by increasing their proximity to invaded water bodies, highlighting the role of human-altered ecosystems as “stepping-stone” habitats for the continued spread of freshwater invaders.","container-title":"Frontiers in Ecology and the Environment","DOI":"10.1890/070156","ISSN":"1540-9309","issue":"7","language":"en","license":"© The Ecological Society of America","page":"357-363","source":"Wiley Online Library","title":"Dam invaders: impoundments facilitate biological invasions into freshwaters","title-short":"Dam invaders","URL":"https://esajournals.onlinelibrary.wiley.com/doi/abs/10.1890/070156","volume":"6","author":[{"family":"Johnson","given":"Pieter TJ"},{"family":"Olden","given":"Julian D."},{"family":"Zanden","given":"M. Jake Vander"}],"accessed":{"date-parts":[["2021",6,17]]},"issued":{"date-parts":[["2008"]]}},"label":"page","suppress-author":true}],"schema":"https://github.com/citation-style-language/schema/raw/master/csl-citation.json"} </w:instrText>
      </w:r>
      <w:r w:rsidR="00183F19" w:rsidRPr="5575EBFC">
        <w:rPr>
          <w:lang w:val="en-GB"/>
        </w:rPr>
        <w:fldChar w:fldCharType="separate"/>
      </w:r>
      <w:r w:rsidR="6B5F9B9E">
        <w:t>(2008)</w:t>
      </w:r>
      <w:r w:rsidR="00183F19" w:rsidRPr="5575EBFC">
        <w:rPr>
          <w:lang w:val="en-GB"/>
        </w:rPr>
        <w:fldChar w:fldCharType="end"/>
      </w:r>
      <w:r w:rsidRPr="5575EBFC">
        <w:rPr>
          <w:lang w:val="en-GB"/>
        </w:rPr>
        <w:t xml:space="preserve"> found dams and impoundments to be a significant predictor of </w:t>
      </w:r>
      <w:r w:rsidR="214CCA59" w:rsidRPr="5575EBFC">
        <w:rPr>
          <w:lang w:val="en-GB"/>
        </w:rPr>
        <w:t>occurrence</w:t>
      </w:r>
      <w:r w:rsidRPr="5575EBFC">
        <w:rPr>
          <w:lang w:val="en-GB"/>
        </w:rPr>
        <w:t xml:space="preserve"> for </w:t>
      </w:r>
      <w:r w:rsidR="185221F9" w:rsidRPr="5575EBFC">
        <w:rPr>
          <w:lang w:val="en-GB"/>
        </w:rPr>
        <w:t xml:space="preserve">the </w:t>
      </w:r>
      <w:r w:rsidR="30DD6874" w:rsidRPr="5575EBFC">
        <w:rPr>
          <w:lang w:val="en-GB"/>
        </w:rPr>
        <w:t xml:space="preserve">invasive </w:t>
      </w:r>
      <w:r w:rsidR="185221F9" w:rsidRPr="5575EBFC">
        <w:rPr>
          <w:lang w:val="en-GB"/>
        </w:rPr>
        <w:t xml:space="preserve">alien species </w:t>
      </w:r>
      <w:r w:rsidRPr="5575EBFC">
        <w:rPr>
          <w:i/>
          <w:iCs/>
          <w:lang w:val="en-GB"/>
        </w:rPr>
        <w:t>Bythotr</w:t>
      </w:r>
      <w:r w:rsidR="5424E7D2" w:rsidRPr="5575EBFC">
        <w:rPr>
          <w:i/>
          <w:iCs/>
          <w:lang w:val="en-GB"/>
        </w:rPr>
        <w:t>e</w:t>
      </w:r>
      <w:r w:rsidRPr="5575EBFC">
        <w:rPr>
          <w:i/>
          <w:iCs/>
          <w:lang w:val="en-GB"/>
        </w:rPr>
        <w:t xml:space="preserve">phes longimanus </w:t>
      </w:r>
      <w:r w:rsidRPr="5575EBFC">
        <w:rPr>
          <w:lang w:val="en-GB"/>
        </w:rPr>
        <w:t>(spiny water flea),</w:t>
      </w:r>
      <w:r w:rsidRPr="5575EBFC">
        <w:rPr>
          <w:i/>
          <w:iCs/>
          <w:lang w:val="en-GB"/>
        </w:rPr>
        <w:t xml:space="preserve"> Dreissena polymorpha </w:t>
      </w:r>
      <w:r w:rsidRPr="5575EBFC">
        <w:rPr>
          <w:lang w:val="en-GB"/>
        </w:rPr>
        <w:t>(</w:t>
      </w:r>
      <w:r w:rsidR="1A1328FF" w:rsidRPr="5575EBFC">
        <w:rPr>
          <w:lang w:val="en-GB"/>
        </w:rPr>
        <w:t>zebra mussel</w:t>
      </w:r>
      <w:r w:rsidRPr="5575EBFC">
        <w:rPr>
          <w:lang w:val="en-GB"/>
        </w:rPr>
        <w:t xml:space="preserve">), </w:t>
      </w:r>
      <w:r w:rsidRPr="5575EBFC">
        <w:rPr>
          <w:i/>
          <w:iCs/>
          <w:lang w:val="en-GB"/>
        </w:rPr>
        <w:t>Osmerus mord</w:t>
      </w:r>
      <w:r w:rsidR="5E1DA56C" w:rsidRPr="5575EBFC">
        <w:rPr>
          <w:i/>
          <w:iCs/>
          <w:lang w:val="en-GB"/>
        </w:rPr>
        <w:t>a</w:t>
      </w:r>
      <w:r w:rsidRPr="5575EBFC">
        <w:rPr>
          <w:i/>
          <w:iCs/>
          <w:lang w:val="en-GB"/>
        </w:rPr>
        <w:t xml:space="preserve">x </w:t>
      </w:r>
      <w:r w:rsidRPr="5575EBFC">
        <w:rPr>
          <w:lang w:val="en-GB"/>
        </w:rPr>
        <w:t xml:space="preserve">(rainbow smelt), </w:t>
      </w:r>
      <w:r w:rsidRPr="5575EBFC">
        <w:rPr>
          <w:i/>
          <w:iCs/>
          <w:lang w:val="en-GB"/>
        </w:rPr>
        <w:t>Orconectes r</w:t>
      </w:r>
      <w:r w:rsidR="6A235B61" w:rsidRPr="5575EBFC">
        <w:rPr>
          <w:i/>
          <w:iCs/>
          <w:lang w:val="en-GB"/>
        </w:rPr>
        <w:t>u</w:t>
      </w:r>
      <w:r w:rsidRPr="5575EBFC">
        <w:rPr>
          <w:i/>
          <w:iCs/>
          <w:lang w:val="en-GB"/>
        </w:rPr>
        <w:t xml:space="preserve">sticus </w:t>
      </w:r>
      <w:r w:rsidRPr="5575EBFC">
        <w:rPr>
          <w:lang w:val="en-GB"/>
        </w:rPr>
        <w:t>(rusty crayfish)</w:t>
      </w:r>
      <w:r w:rsidR="00774819">
        <w:rPr>
          <w:lang w:val="en-GB"/>
        </w:rPr>
        <w:t xml:space="preserve"> and</w:t>
      </w:r>
      <w:r w:rsidRPr="5575EBFC">
        <w:rPr>
          <w:lang w:val="en-GB"/>
        </w:rPr>
        <w:t xml:space="preserve"> </w:t>
      </w:r>
      <w:r w:rsidRPr="5575EBFC">
        <w:rPr>
          <w:i/>
          <w:iCs/>
          <w:lang w:val="en-GB"/>
        </w:rPr>
        <w:t xml:space="preserve">Myriophyllum spicatum </w:t>
      </w:r>
      <w:r w:rsidRPr="5575EBFC">
        <w:rPr>
          <w:lang w:val="en-GB"/>
        </w:rPr>
        <w:t>(</w:t>
      </w:r>
      <w:r w:rsidR="6A235B61" w:rsidRPr="5575EBFC">
        <w:rPr>
          <w:rFonts w:eastAsia="Times New Roman"/>
          <w:color w:val="000000" w:themeColor="text1"/>
          <w:lang w:val="en-GB" w:eastAsia="zh-CN"/>
        </w:rPr>
        <w:t>spiked watermilfoil</w:t>
      </w:r>
      <w:r w:rsidRPr="5575EBFC">
        <w:rPr>
          <w:lang w:val="en-GB"/>
        </w:rPr>
        <w:t>)</w:t>
      </w:r>
      <w:r w:rsidRPr="5575EBFC">
        <w:rPr>
          <w:i/>
          <w:iCs/>
          <w:lang w:val="en-GB"/>
        </w:rPr>
        <w:t xml:space="preserve"> – </w:t>
      </w:r>
      <w:r w:rsidRPr="5575EBFC">
        <w:rPr>
          <w:lang w:val="en-GB"/>
        </w:rPr>
        <w:t>ranging between 2.4 to 300 times more likely to occur in impoundments than natural lakes, even after taking into account other environmental and anthropogenic factors</w:t>
      </w:r>
      <w:r w:rsidRPr="5575EBFC">
        <w:rPr>
          <w:i/>
          <w:iCs/>
          <w:lang w:val="en-GB"/>
        </w:rPr>
        <w:t xml:space="preserve">. </w:t>
      </w:r>
      <w:r w:rsidRPr="5575EBFC">
        <w:rPr>
          <w:lang w:val="en-GB"/>
        </w:rPr>
        <w:t xml:space="preserve">In the same systems, impoundments were also more likely to support multiple </w:t>
      </w:r>
      <w:r w:rsidR="0C6A11F5" w:rsidRPr="5575EBFC">
        <w:rPr>
          <w:lang w:val="en-GB"/>
        </w:rPr>
        <w:t>invasive alien species</w:t>
      </w:r>
      <w:r w:rsidR="494DDE17" w:rsidRPr="5575EBFC">
        <w:rPr>
          <w:lang w:val="en-GB"/>
        </w:rPr>
        <w:t xml:space="preserve"> </w:t>
      </w:r>
      <w:r w:rsidR="00183F19" w:rsidRPr="5575EBFC">
        <w:rPr>
          <w:lang w:val="en-GB"/>
        </w:rPr>
        <w:fldChar w:fldCharType="begin"/>
      </w:r>
      <w:r w:rsidR="00331A79">
        <w:rPr>
          <w:lang w:val="en-GB"/>
        </w:rPr>
        <w:instrText xml:space="preserve"> ADDIN ZOTERO_ITEM CSL_CITATION {"citationID":"i1tsJJc1","properties":{"formattedCitation":"(P. T. Johnson et al., 2008)","plainCitation":"(P. T. Johnson et al., 2008)","noteIndex":0},"citationItems":[{"id":27187,"uris":["http://zotero.org/groups/2352922/items/NKSXJG67"],"itemData":{"id":27187,"type":"article-journal","abstract":"Freshwater ecosystems are at the forefront of the global biodiversity crisis, with more declining and extinct species than in terrestrial or marine environments. Hydrologic alterations and biological invasions represent two of the greatest threats to freshwater biota, yet the importance of linkages between these drivers of environmental change remains uncertain. Here, we quantitatively test the hypothesis that impoundments facilitate the introduction and establishment of aquatic invasive species in lake ecosystems. By combining data on boating activity, water body physicochemistry, and geographical distribution of five nuisance invaders in the Laurentian Great Lakes region, we show that non-indigenous species are 2.4 to 300 times more likely to occur in impoundments than in natural lakes, and that impoundments frequently support multiple invaders. Furthermore, comparisons of the contemporary and historical landscapes revealed that impoundments enhance the invasion risk of natural lakes by increasing their proximity to invaded water bodies, highlighting the role of human-altered ecosystems as “stepping-stone” habitats for the continued spread of freshwater invaders.","container-title":"Frontiers in Ecology and the Environment","DOI":"10.1890/070156","ISSN":"1540-9309","issue":"7","language":"en","license":"© The Ecological Society of America","page":"357-363","source":"Wiley Online Library","title":"Dam invaders: impoundments facilitate biological invasions into freshwaters","title-short":"Dam invaders","URL":"https://esajournals.onlinelibrary.wiley.com/doi/abs/10.1890/070156","volume":"6","author":[{"family":"Johnson","given":"Pieter TJ"},{"family":"Olden","given":"Julian D."},{"family":"Zanden","given":"M. Jake Vander"}],"accessed":{"date-parts":[["2021",6,17]]},"issued":{"date-parts":[["2008"]]}},"label":"page"}],"schema":"https://github.com/citation-style-language/schema/raw/master/csl-citation.json"} </w:instrText>
      </w:r>
      <w:r w:rsidR="00183F19" w:rsidRPr="5575EBFC">
        <w:rPr>
          <w:lang w:val="en-GB"/>
        </w:rPr>
        <w:fldChar w:fldCharType="separate"/>
      </w:r>
      <w:r w:rsidR="6B5F9B9E">
        <w:t>(P. T. Johnson et al., 2008)</w:t>
      </w:r>
      <w:r w:rsidR="00183F19" w:rsidRPr="5575EBFC">
        <w:rPr>
          <w:lang w:val="en-GB"/>
        </w:rPr>
        <w:fldChar w:fldCharType="end"/>
      </w:r>
      <w:r w:rsidRPr="5575EBFC">
        <w:rPr>
          <w:lang w:val="en-GB"/>
        </w:rPr>
        <w:t>.</w:t>
      </w:r>
      <w:r w:rsidRPr="5575EBFC">
        <w:rPr>
          <w:i/>
          <w:iCs/>
          <w:lang w:val="en-GB"/>
        </w:rPr>
        <w:t xml:space="preserve"> </w:t>
      </w:r>
    </w:p>
    <w:p w14:paraId="1811E675" w14:textId="77777777" w:rsidR="000753C1" w:rsidRPr="00DA249F" w:rsidRDefault="249E7A20" w:rsidP="00375B42">
      <w:pPr>
        <w:pStyle w:val="Heading2"/>
        <w:rPr>
          <w:lang w:val="en-GB"/>
        </w:rPr>
      </w:pPr>
      <w:bookmarkStart w:id="163" w:name="_Toc146898469"/>
      <w:r w:rsidRPr="5575EBFC">
        <w:rPr>
          <w:lang w:val="en-GB"/>
        </w:rPr>
        <w:t>Direct</w:t>
      </w:r>
      <w:r w:rsidR="39280FDC" w:rsidRPr="5575EBFC">
        <w:rPr>
          <w:rStyle w:val="normaltextrun"/>
          <w:color w:val="000000" w:themeColor="text1"/>
          <w:lang w:val="en-GB"/>
        </w:rPr>
        <w:t xml:space="preserve"> exploitation of natural resources</w:t>
      </w:r>
      <w:bookmarkEnd w:id="163"/>
    </w:p>
    <w:p w14:paraId="01C2DA2B" w14:textId="0E3079EC" w:rsidR="00240F2D" w:rsidRPr="00DA249F" w:rsidRDefault="39280FDC" w:rsidP="0090109B">
      <w:pPr>
        <w:rPr>
          <w:lang w:val="en-GB"/>
        </w:rPr>
      </w:pPr>
      <w:r w:rsidRPr="5575EBFC">
        <w:rPr>
          <w:rStyle w:val="normaltextrun"/>
          <w:color w:val="000000" w:themeColor="text1"/>
          <w:lang w:val="en-GB"/>
        </w:rPr>
        <w:t>Direct exploitation of natural resources</w:t>
      </w:r>
      <w:r w:rsidRPr="5575EBFC">
        <w:rPr>
          <w:lang w:val="en-GB"/>
        </w:rPr>
        <w:t xml:space="preserve"> </w:t>
      </w:r>
      <w:r w:rsidR="3D04D128" w:rsidRPr="5575EBFC">
        <w:rPr>
          <w:lang w:val="en-GB"/>
        </w:rPr>
        <w:t>includes both the exploitation of biotic resources through species harvesting (</w:t>
      </w:r>
      <w:r w:rsidR="2FA21BCF" w:rsidRPr="5575EBFC">
        <w:rPr>
          <w:b/>
          <w:bCs/>
          <w:lang w:val="en-GB"/>
        </w:rPr>
        <w:t xml:space="preserve">section </w:t>
      </w:r>
      <w:r w:rsidR="3D04D128" w:rsidRPr="5575EBFC">
        <w:rPr>
          <w:b/>
          <w:bCs/>
          <w:lang w:val="en-GB"/>
        </w:rPr>
        <w:t>3.3.2.1</w:t>
      </w:r>
      <w:r w:rsidR="3D04D128" w:rsidRPr="5575EBFC">
        <w:rPr>
          <w:lang w:val="en-GB"/>
        </w:rPr>
        <w:t xml:space="preserve">) as well as </w:t>
      </w:r>
      <w:r w:rsidR="397BBB10" w:rsidRPr="5575EBFC">
        <w:rPr>
          <w:lang w:val="en-GB"/>
        </w:rPr>
        <w:t xml:space="preserve">of </w:t>
      </w:r>
      <w:r w:rsidR="3D04D128" w:rsidRPr="5575EBFC">
        <w:rPr>
          <w:lang w:val="en-GB"/>
        </w:rPr>
        <w:t>abiotic resources such as water (</w:t>
      </w:r>
      <w:r w:rsidR="2FA21BCF" w:rsidRPr="5575EBFC">
        <w:rPr>
          <w:b/>
          <w:bCs/>
          <w:lang w:val="en-GB"/>
        </w:rPr>
        <w:t xml:space="preserve">section </w:t>
      </w:r>
      <w:r w:rsidR="3D04D128" w:rsidRPr="5575EBFC">
        <w:rPr>
          <w:b/>
          <w:bCs/>
          <w:lang w:val="en-GB"/>
        </w:rPr>
        <w:t>3.3.2.</w:t>
      </w:r>
      <w:r w:rsidR="46DA051E" w:rsidRPr="5575EBFC">
        <w:rPr>
          <w:b/>
          <w:bCs/>
          <w:lang w:val="en-GB"/>
        </w:rPr>
        <w:t>2</w:t>
      </w:r>
      <w:r w:rsidR="3D04D128" w:rsidRPr="5575EBFC">
        <w:rPr>
          <w:lang w:val="en-GB"/>
        </w:rPr>
        <w:t xml:space="preserve">) and </w:t>
      </w:r>
      <w:r w:rsidR="7A33DFD3" w:rsidRPr="5575EBFC">
        <w:rPr>
          <w:lang w:val="en-GB"/>
        </w:rPr>
        <w:t xml:space="preserve">mining for </w:t>
      </w:r>
      <w:r w:rsidR="3D04D128" w:rsidRPr="5575EBFC">
        <w:rPr>
          <w:lang w:val="en-GB"/>
        </w:rPr>
        <w:t xml:space="preserve">minerals </w:t>
      </w:r>
      <w:r w:rsidR="7A33DFD3" w:rsidRPr="5575EBFC">
        <w:rPr>
          <w:lang w:val="en-GB"/>
        </w:rPr>
        <w:t xml:space="preserve">and fossil fuels </w:t>
      </w:r>
      <w:r w:rsidR="3D04D128" w:rsidRPr="5575EBFC">
        <w:rPr>
          <w:lang w:val="en-GB"/>
        </w:rPr>
        <w:t>(</w:t>
      </w:r>
      <w:r w:rsidR="2FA21BCF" w:rsidRPr="5575EBFC">
        <w:rPr>
          <w:b/>
          <w:bCs/>
          <w:lang w:val="en-GB"/>
        </w:rPr>
        <w:t xml:space="preserve">section </w:t>
      </w:r>
      <w:r w:rsidR="3D04D128" w:rsidRPr="5575EBFC">
        <w:rPr>
          <w:b/>
          <w:bCs/>
          <w:lang w:val="en-GB"/>
        </w:rPr>
        <w:t>3.3.2.</w:t>
      </w:r>
      <w:r w:rsidR="46DA051E" w:rsidRPr="5575EBFC">
        <w:rPr>
          <w:b/>
          <w:bCs/>
          <w:lang w:val="en-GB"/>
        </w:rPr>
        <w:t>3</w:t>
      </w:r>
      <w:r w:rsidR="3D04D128" w:rsidRPr="5575EBFC">
        <w:rPr>
          <w:lang w:val="en-GB"/>
        </w:rPr>
        <w:t xml:space="preserve">). These changes </w:t>
      </w:r>
      <w:r w:rsidR="3287BE60" w:rsidRPr="5575EBFC">
        <w:rPr>
          <w:lang w:val="en-GB"/>
        </w:rPr>
        <w:t xml:space="preserve">are </w:t>
      </w:r>
      <w:r w:rsidR="7A33DFD3" w:rsidRPr="5575EBFC">
        <w:rPr>
          <w:lang w:val="en-GB"/>
        </w:rPr>
        <w:t xml:space="preserve">closely </w:t>
      </w:r>
      <w:r w:rsidR="73D903B2" w:rsidRPr="5575EBFC">
        <w:rPr>
          <w:lang w:val="en-GB"/>
        </w:rPr>
        <w:t>link</w:t>
      </w:r>
      <w:r w:rsidR="3287BE60" w:rsidRPr="5575EBFC">
        <w:rPr>
          <w:lang w:val="en-GB"/>
        </w:rPr>
        <w:t>ed with</w:t>
      </w:r>
      <w:r w:rsidR="3D04D128" w:rsidRPr="5575EBFC">
        <w:rPr>
          <w:lang w:val="en-GB"/>
        </w:rPr>
        <w:t xml:space="preserve"> major economic (</w:t>
      </w:r>
      <w:r w:rsidR="2FA21BCF" w:rsidRPr="5575EBFC">
        <w:rPr>
          <w:b/>
          <w:bCs/>
          <w:lang w:val="en-GB"/>
        </w:rPr>
        <w:t xml:space="preserve">section </w:t>
      </w:r>
      <w:r w:rsidR="3D04D128" w:rsidRPr="5575EBFC">
        <w:rPr>
          <w:b/>
          <w:bCs/>
          <w:lang w:val="en-GB"/>
        </w:rPr>
        <w:t>3.2.</w:t>
      </w:r>
      <w:r w:rsidR="27E0D8F1" w:rsidRPr="5575EBFC">
        <w:rPr>
          <w:b/>
          <w:bCs/>
          <w:lang w:val="en-GB"/>
        </w:rPr>
        <w:t>3</w:t>
      </w:r>
      <w:r w:rsidR="3D04D128" w:rsidRPr="5575EBFC">
        <w:rPr>
          <w:lang w:val="en-GB"/>
        </w:rPr>
        <w:t>) and demographic (</w:t>
      </w:r>
      <w:r w:rsidR="2FA21BCF" w:rsidRPr="5575EBFC">
        <w:rPr>
          <w:b/>
          <w:bCs/>
          <w:lang w:val="en-GB"/>
        </w:rPr>
        <w:t xml:space="preserve">section </w:t>
      </w:r>
      <w:r w:rsidR="3D04D128" w:rsidRPr="5575EBFC">
        <w:rPr>
          <w:b/>
          <w:bCs/>
          <w:lang w:val="en-GB"/>
        </w:rPr>
        <w:t>3.2.</w:t>
      </w:r>
      <w:r w:rsidR="27E0D8F1" w:rsidRPr="5575EBFC">
        <w:rPr>
          <w:b/>
          <w:bCs/>
          <w:lang w:val="en-GB"/>
        </w:rPr>
        <w:t>2</w:t>
      </w:r>
      <w:r w:rsidR="3D04D128" w:rsidRPr="5575EBFC">
        <w:rPr>
          <w:lang w:val="en-GB"/>
        </w:rPr>
        <w:t xml:space="preserve">) indirect </w:t>
      </w:r>
      <w:r w:rsidR="653902EA" w:rsidRPr="5575EBFC">
        <w:rPr>
          <w:lang w:val="en-GB"/>
        </w:rPr>
        <w:t>drivers of change in nature</w:t>
      </w:r>
      <w:r w:rsidR="42A8E6C3" w:rsidRPr="5575EBFC">
        <w:rPr>
          <w:lang w:val="en-GB"/>
        </w:rPr>
        <w:t xml:space="preserve"> and</w:t>
      </w:r>
      <w:r w:rsidR="0464A0C7" w:rsidRPr="5575EBFC">
        <w:rPr>
          <w:lang w:val="en-GB"/>
        </w:rPr>
        <w:t xml:space="preserve"> may </w:t>
      </w:r>
      <w:r w:rsidR="1D54AC90" w:rsidRPr="5575EBFC">
        <w:rPr>
          <w:lang w:val="en-GB"/>
        </w:rPr>
        <w:t>lead</w:t>
      </w:r>
      <w:r w:rsidR="0464A0C7" w:rsidRPr="5575EBFC">
        <w:rPr>
          <w:lang w:val="en-GB"/>
        </w:rPr>
        <w:t xml:space="preserve"> to a </w:t>
      </w:r>
      <w:r w:rsidR="3287BE60" w:rsidRPr="5575EBFC">
        <w:rPr>
          <w:lang w:val="en-GB"/>
        </w:rPr>
        <w:t xml:space="preserve">range </w:t>
      </w:r>
      <w:r w:rsidR="0464A0C7" w:rsidRPr="5575EBFC">
        <w:rPr>
          <w:lang w:val="en-GB"/>
        </w:rPr>
        <w:t xml:space="preserve">of wider ecosystem impacts, including habitat degradation and loss as well as changes in landscape and seascape </w:t>
      </w:r>
      <w:r w:rsidR="0313CF92" w:rsidRPr="5575EBFC">
        <w:rPr>
          <w:lang w:val="en-GB"/>
        </w:rPr>
        <w:t>disturbance</w:t>
      </w:r>
      <w:r w:rsidR="0464A0C7" w:rsidRPr="5575EBFC">
        <w:rPr>
          <w:lang w:val="en-GB"/>
        </w:rPr>
        <w:t xml:space="preserve"> regimes (</w:t>
      </w:r>
      <w:r w:rsidR="2FA21BCF" w:rsidRPr="5575EBFC">
        <w:rPr>
          <w:b/>
          <w:bCs/>
          <w:lang w:val="en-GB"/>
        </w:rPr>
        <w:t xml:space="preserve">section </w:t>
      </w:r>
      <w:r w:rsidR="0464A0C7" w:rsidRPr="5575EBFC">
        <w:rPr>
          <w:b/>
          <w:bCs/>
          <w:lang w:val="en-GB"/>
        </w:rPr>
        <w:t>3.3.1</w:t>
      </w:r>
      <w:r w:rsidR="0464A0C7" w:rsidRPr="5575EBFC">
        <w:rPr>
          <w:lang w:val="en-GB"/>
        </w:rPr>
        <w:t>)</w:t>
      </w:r>
      <w:r w:rsidR="3D04D128" w:rsidRPr="5575EBFC">
        <w:rPr>
          <w:lang w:val="en-GB"/>
        </w:rPr>
        <w:t xml:space="preserve">. Section 3.3.2 thus describes evidence for links between the extraction of specific resources and </w:t>
      </w:r>
      <w:r w:rsidR="222906A1" w:rsidRPr="5575EBFC">
        <w:rPr>
          <w:lang w:val="en-GB"/>
        </w:rPr>
        <w:t>invasive alien species</w:t>
      </w:r>
      <w:r w:rsidR="5198C15D" w:rsidRPr="5575EBFC">
        <w:rPr>
          <w:lang w:val="en-GB"/>
        </w:rPr>
        <w:t xml:space="preserve"> (</w:t>
      </w:r>
      <w:r w:rsidR="00DC2990">
        <w:rPr>
          <w:b/>
          <w:bCs/>
          <w:lang w:val="en-GB"/>
        </w:rPr>
        <w:t>Figure</w:t>
      </w:r>
      <w:r w:rsidR="56CA5029" w:rsidRPr="5575EBFC">
        <w:rPr>
          <w:b/>
          <w:bCs/>
          <w:lang w:val="en-GB"/>
        </w:rPr>
        <w:t xml:space="preserve"> 3.17</w:t>
      </w:r>
      <w:r w:rsidR="5198C15D" w:rsidRPr="5575EBFC">
        <w:rPr>
          <w:lang w:val="en-GB"/>
        </w:rPr>
        <w:t>)</w:t>
      </w:r>
      <w:r w:rsidR="3D04D128" w:rsidRPr="5575EBFC">
        <w:rPr>
          <w:lang w:val="en-GB"/>
        </w:rPr>
        <w:t xml:space="preserve">, </w:t>
      </w:r>
      <w:r w:rsidR="397BBB10" w:rsidRPr="5575EBFC">
        <w:rPr>
          <w:lang w:val="en-GB"/>
        </w:rPr>
        <w:t xml:space="preserve">and makes </w:t>
      </w:r>
      <w:r w:rsidR="3D04D128" w:rsidRPr="5575EBFC">
        <w:rPr>
          <w:lang w:val="en-GB"/>
        </w:rPr>
        <w:t>reference to other indirect and direct drivers when relevant</w:t>
      </w:r>
      <w:r w:rsidR="219BEE4D" w:rsidRPr="5575EBFC">
        <w:rPr>
          <w:lang w:val="en-GB"/>
        </w:rPr>
        <w:t>.</w:t>
      </w:r>
      <w:r w:rsidR="3D04D128" w:rsidRPr="5575EBFC">
        <w:rPr>
          <w:lang w:val="en-GB"/>
        </w:rPr>
        <w:t xml:space="preserve"> </w:t>
      </w:r>
      <w:r w:rsidR="219BEE4D" w:rsidRPr="5575EBFC">
        <w:rPr>
          <w:lang w:val="en-GB"/>
        </w:rPr>
        <w:t>T</w:t>
      </w:r>
      <w:r w:rsidR="3D04D128" w:rsidRPr="5575EBFC">
        <w:rPr>
          <w:lang w:val="en-GB"/>
        </w:rPr>
        <w:t>he demographic an</w:t>
      </w:r>
      <w:r w:rsidR="17E6F11B" w:rsidRPr="5575EBFC">
        <w:rPr>
          <w:lang w:val="en-GB"/>
        </w:rPr>
        <w:t>d economic background o</w:t>
      </w:r>
      <w:r w:rsidR="004221FA">
        <w:rPr>
          <w:lang w:val="en-GB"/>
        </w:rPr>
        <w:t>f</w:t>
      </w:r>
      <w:r w:rsidR="17E6F11B" w:rsidRPr="5575EBFC">
        <w:rPr>
          <w:lang w:val="en-GB"/>
        </w:rPr>
        <w:t xml:space="preserve"> these c</w:t>
      </w:r>
      <w:r w:rsidR="3D04D128" w:rsidRPr="5575EBFC">
        <w:rPr>
          <w:lang w:val="en-GB"/>
        </w:rPr>
        <w:t xml:space="preserve">hanges are described in </w:t>
      </w:r>
      <w:r w:rsidR="3D04D128" w:rsidRPr="5575EBFC">
        <w:rPr>
          <w:b/>
          <w:bCs/>
          <w:lang w:val="en-GB"/>
        </w:rPr>
        <w:t>section 3.2</w:t>
      </w:r>
      <w:r w:rsidR="6CBD2621" w:rsidRPr="5575EBFC">
        <w:rPr>
          <w:i/>
          <w:iCs/>
          <w:lang w:val="en-GB"/>
        </w:rPr>
        <w:t xml:space="preserve"> </w:t>
      </w:r>
      <w:r w:rsidR="6CBD2621" w:rsidRPr="5575EBFC">
        <w:rPr>
          <w:lang w:val="en-GB"/>
        </w:rPr>
        <w:t xml:space="preserve">and consequences of land degradation more generally is described in </w:t>
      </w:r>
      <w:r w:rsidR="41FB70DB" w:rsidRPr="5575EBFC">
        <w:rPr>
          <w:b/>
          <w:bCs/>
          <w:lang w:val="en-GB"/>
        </w:rPr>
        <w:t>section 3.3.1</w:t>
      </w:r>
      <w:r w:rsidR="56596397" w:rsidRPr="5575EBFC">
        <w:rPr>
          <w:i/>
          <w:iCs/>
          <w:lang w:val="en-GB"/>
        </w:rPr>
        <w:t>.</w:t>
      </w:r>
      <w:r w:rsidR="3D04D128" w:rsidRPr="5575EBFC">
        <w:rPr>
          <w:lang w:val="en-GB"/>
        </w:rPr>
        <w:t xml:space="preserve"> </w:t>
      </w:r>
    </w:p>
    <w:p w14:paraId="2B3857EC" w14:textId="77777777" w:rsidR="00240F2D" w:rsidRPr="00DA249F" w:rsidRDefault="009F2D68" w:rsidP="0090109B">
      <w:pPr>
        <w:rPr>
          <w:lang w:val="en-GB"/>
        </w:rPr>
      </w:pPr>
      <w:r w:rsidRPr="009F2D68">
        <w:rPr>
          <w:noProof/>
          <w:lang w:val="en-GB"/>
        </w:rPr>
        <w:lastRenderedPageBreak/>
        <w:drawing>
          <wp:inline distT="0" distB="0" distL="0" distR="0" wp14:anchorId="3B86920D" wp14:editId="64FBC303">
            <wp:extent cx="6115050" cy="2294255"/>
            <wp:effectExtent l="0" t="0" r="6350" b="4445"/>
            <wp:docPr id="47" name="Picture 47" descr="A diagram of a 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Picture 47" descr="A diagram of a diagram&#10;&#10;Description automatically generated with medium confidence"/>
                    <pic:cNvPicPr/>
                  </pic:nvPicPr>
                  <pic:blipFill>
                    <a:blip r:embed="rId37"/>
                    <a:stretch>
                      <a:fillRect/>
                    </a:stretch>
                  </pic:blipFill>
                  <pic:spPr>
                    <a:xfrm>
                      <a:off x="0" y="0"/>
                      <a:ext cx="6115050" cy="2294255"/>
                    </a:xfrm>
                    <a:prstGeom prst="rect">
                      <a:avLst/>
                    </a:prstGeom>
                    <a:ln>
                      <a:noFill/>
                    </a:ln>
                  </pic:spPr>
                </pic:pic>
              </a:graphicData>
            </a:graphic>
          </wp:inline>
        </w:drawing>
      </w:r>
    </w:p>
    <w:p w14:paraId="2B91CA56" w14:textId="488B2850" w:rsidR="00612881" w:rsidRPr="00DA249F" w:rsidRDefault="4C88EF80" w:rsidP="00344144">
      <w:pPr>
        <w:pStyle w:val="Caption"/>
        <w:rPr>
          <w:b w:val="0"/>
          <w:bCs w:val="0"/>
          <w:lang w:val="en-GB"/>
        </w:rPr>
      </w:pPr>
      <w:bookmarkStart w:id="164" w:name="_Ref104902617"/>
      <w:bookmarkStart w:id="165" w:name="_Toc147500902"/>
      <w:r w:rsidRPr="5575EBFC">
        <w:rPr>
          <w:lang w:val="en-GB"/>
        </w:rPr>
        <w:t>Figure</w:t>
      </w:r>
      <w:r w:rsidR="5198C15D" w:rsidRPr="5575EBFC">
        <w:rPr>
          <w:lang w:val="en-GB"/>
        </w:rPr>
        <w:t xml:space="preserve"> 3.</w:t>
      </w:r>
      <w:r w:rsidR="00240F2D" w:rsidRPr="5575EBFC">
        <w:rPr>
          <w:b w:val="0"/>
          <w:bCs w:val="0"/>
          <w:lang w:val="en-GB"/>
        </w:rPr>
        <w:fldChar w:fldCharType="begin"/>
      </w:r>
      <w:r w:rsidR="00240F2D" w:rsidRPr="5575EBFC">
        <w:rPr>
          <w:lang w:val="en-GB"/>
        </w:rPr>
        <w:instrText xml:space="preserve"> SEQ Figure_3. \* ARABIC </w:instrText>
      </w:r>
      <w:r w:rsidR="00240F2D" w:rsidRPr="5575EBFC">
        <w:rPr>
          <w:b w:val="0"/>
          <w:bCs w:val="0"/>
          <w:lang w:val="en-GB"/>
        </w:rPr>
        <w:fldChar w:fldCharType="separate"/>
      </w:r>
      <w:r w:rsidR="00287BC7">
        <w:rPr>
          <w:noProof/>
          <w:lang w:val="en-GB"/>
        </w:rPr>
        <w:t>17</w:t>
      </w:r>
      <w:r w:rsidR="00240F2D" w:rsidRPr="5575EBFC">
        <w:rPr>
          <w:b w:val="0"/>
          <w:bCs w:val="0"/>
          <w:lang w:val="en-GB"/>
        </w:rPr>
        <w:fldChar w:fldCharType="end"/>
      </w:r>
      <w:bookmarkEnd w:id="164"/>
      <w:r w:rsidR="769A031C" w:rsidRPr="5575EBFC">
        <w:rPr>
          <w:lang w:val="en-GB"/>
        </w:rPr>
        <w:t>.</w:t>
      </w:r>
      <w:r w:rsidRPr="5575EBFC">
        <w:rPr>
          <w:lang w:val="en-GB"/>
        </w:rPr>
        <w:t xml:space="preserve"> </w:t>
      </w:r>
      <w:r w:rsidR="313D4754" w:rsidRPr="5575EBFC">
        <w:rPr>
          <w:b w:val="0"/>
          <w:bCs w:val="0"/>
          <w:lang w:val="en-GB"/>
        </w:rPr>
        <w:t xml:space="preserve">Examples of the </w:t>
      </w:r>
      <w:r w:rsidRPr="5575EBFC">
        <w:rPr>
          <w:b w:val="0"/>
          <w:bCs w:val="0"/>
          <w:lang w:val="en-GB"/>
        </w:rPr>
        <w:t xml:space="preserve">role of </w:t>
      </w:r>
      <w:r w:rsidR="39280FDC" w:rsidRPr="5575EBFC">
        <w:rPr>
          <w:rStyle w:val="normaltextrun"/>
          <w:b w:val="0"/>
          <w:bCs w:val="0"/>
          <w:color w:val="000000" w:themeColor="text1"/>
          <w:lang w:val="en-GB"/>
        </w:rPr>
        <w:t>direct exploitation of natural resources</w:t>
      </w:r>
      <w:r w:rsidR="39280FDC" w:rsidRPr="5575EBFC">
        <w:rPr>
          <w:lang w:val="en-GB"/>
        </w:rPr>
        <w:t xml:space="preserve"> </w:t>
      </w:r>
      <w:r w:rsidR="024BE040" w:rsidRPr="5575EBFC">
        <w:rPr>
          <w:b w:val="0"/>
          <w:bCs w:val="0"/>
          <w:lang w:val="en-GB"/>
        </w:rPr>
        <w:t>as a driver</w:t>
      </w:r>
      <w:r w:rsidR="5A353532" w:rsidRPr="5575EBFC">
        <w:rPr>
          <w:b w:val="0"/>
          <w:bCs w:val="0"/>
          <w:lang w:val="en-GB"/>
        </w:rPr>
        <w:t xml:space="preserve"> facilitating </w:t>
      </w:r>
      <w:r w:rsidR="1BB75F75" w:rsidRPr="5575EBFC">
        <w:rPr>
          <w:b w:val="0"/>
          <w:bCs w:val="0"/>
          <w:lang w:val="en-GB"/>
        </w:rPr>
        <w:t xml:space="preserve">invasive alien species </w:t>
      </w:r>
      <w:r w:rsidR="5198C15D" w:rsidRPr="5575EBFC">
        <w:rPr>
          <w:b w:val="0"/>
          <w:bCs w:val="0"/>
          <w:lang w:val="en-GB"/>
        </w:rPr>
        <w:t>across</w:t>
      </w:r>
      <w:r w:rsidRPr="5575EBFC">
        <w:rPr>
          <w:b w:val="0"/>
          <w:bCs w:val="0"/>
          <w:lang w:val="en-GB"/>
        </w:rPr>
        <w:t xml:space="preserve"> stage</w:t>
      </w:r>
      <w:r w:rsidR="5198C15D" w:rsidRPr="5575EBFC">
        <w:rPr>
          <w:b w:val="0"/>
          <w:bCs w:val="0"/>
          <w:lang w:val="en-GB"/>
        </w:rPr>
        <w:t>s</w:t>
      </w:r>
      <w:r w:rsidR="787E43A7" w:rsidRPr="5575EBFC">
        <w:rPr>
          <w:b w:val="0"/>
          <w:bCs w:val="0"/>
          <w:lang w:val="en-GB"/>
        </w:rPr>
        <w:t xml:space="preserve"> of the biological invasion process</w:t>
      </w:r>
      <w:r w:rsidR="4BE54DAB" w:rsidRPr="5575EBFC">
        <w:rPr>
          <w:b w:val="0"/>
          <w:bCs w:val="0"/>
          <w:lang w:val="en-GB"/>
        </w:rPr>
        <w:t>.</w:t>
      </w:r>
      <w:r w:rsidR="7AC0C083" w:rsidRPr="5575EBFC">
        <w:rPr>
          <w:lang w:val="en-GB"/>
        </w:rPr>
        <w:t xml:space="preserve"> </w:t>
      </w:r>
      <w:r w:rsidR="5A353532" w:rsidRPr="5575EBFC">
        <w:rPr>
          <w:b w:val="0"/>
          <w:bCs w:val="0"/>
          <w:lang w:val="en-GB"/>
        </w:rPr>
        <w:t xml:space="preserve">Transport of harvested species </w:t>
      </w:r>
      <w:r w:rsidR="64769E50" w:rsidRPr="5575EBFC">
        <w:rPr>
          <w:b w:val="0"/>
          <w:bCs w:val="0"/>
          <w:lang w:val="en-GB"/>
        </w:rPr>
        <w:t xml:space="preserve">and efforts to restore degraded areas are examples of activities that can lead to the transport and introduction of alien species, the on-site activities related to extraction can facilitate establishment and spread. </w:t>
      </w:r>
      <w:r w:rsidR="01FDB909" w:rsidRPr="5575EBFC">
        <w:rPr>
          <w:b w:val="0"/>
          <w:bCs w:val="0"/>
          <w:lang w:val="en-GB"/>
        </w:rPr>
        <w:t xml:space="preserve">Introductions of alien species for harvesting often </w:t>
      </w:r>
      <w:r w:rsidR="31456F47" w:rsidRPr="5575EBFC">
        <w:rPr>
          <w:b w:val="0"/>
          <w:bCs w:val="0"/>
          <w:lang w:val="en-GB"/>
        </w:rPr>
        <w:t>occur</w:t>
      </w:r>
      <w:r w:rsidR="01FDB909" w:rsidRPr="5575EBFC">
        <w:rPr>
          <w:b w:val="0"/>
          <w:bCs w:val="0"/>
          <w:lang w:val="en-GB"/>
        </w:rPr>
        <w:t xml:space="preserve"> at a massive scale, increasing the risk of feedbacks facilitating further introductions</w:t>
      </w:r>
      <w:r w:rsidR="7B0E5058" w:rsidRPr="5575EBFC">
        <w:rPr>
          <w:b w:val="0"/>
          <w:bCs w:val="0"/>
          <w:lang w:val="en-GB"/>
        </w:rPr>
        <w:t>.</w:t>
      </w:r>
      <w:bookmarkEnd w:id="165"/>
    </w:p>
    <w:p w14:paraId="130C084E" w14:textId="77777777" w:rsidR="008C1BF7" w:rsidRPr="00DA249F" w:rsidRDefault="3A32AF89" w:rsidP="004826A3">
      <w:pPr>
        <w:pStyle w:val="Heading3"/>
        <w:rPr>
          <w:lang w:val="en-GB"/>
        </w:rPr>
      </w:pPr>
      <w:bookmarkStart w:id="166" w:name="_Toc44317825"/>
      <w:bookmarkStart w:id="167" w:name="_Toc18405833"/>
      <w:r w:rsidRPr="00DA249F">
        <w:rPr>
          <w:lang w:val="en-GB"/>
        </w:rPr>
        <w:t xml:space="preserve">Species harvesting </w:t>
      </w:r>
      <w:bookmarkEnd w:id="166"/>
      <w:bookmarkEnd w:id="167"/>
    </w:p>
    <w:p w14:paraId="4FA7619D" w14:textId="00187E78" w:rsidR="00686F71" w:rsidRDefault="6CD53E81" w:rsidP="0090109B">
      <w:pPr>
        <w:rPr>
          <w:lang w:val="en-GB"/>
        </w:rPr>
      </w:pPr>
      <w:r w:rsidRPr="00DA249F">
        <w:rPr>
          <w:lang w:val="en-GB"/>
        </w:rPr>
        <w:t xml:space="preserve">Globally, the extraction of biological </w:t>
      </w:r>
      <w:r w:rsidR="4B2DDC4C" w:rsidRPr="00DA249F">
        <w:rPr>
          <w:lang w:val="en-GB"/>
        </w:rPr>
        <w:t>resources</w:t>
      </w:r>
      <w:r w:rsidRPr="00DA249F">
        <w:rPr>
          <w:lang w:val="en-GB"/>
        </w:rPr>
        <w:t xml:space="preserve"> for human use for food, fibre</w:t>
      </w:r>
      <w:r w:rsidR="00774819">
        <w:rPr>
          <w:lang w:val="en-GB"/>
        </w:rPr>
        <w:t xml:space="preserve"> and</w:t>
      </w:r>
      <w:r w:rsidRPr="00DA249F">
        <w:rPr>
          <w:lang w:val="en-GB"/>
        </w:rPr>
        <w:t xml:space="preserve"> fuel has doubled since 1970, now </w:t>
      </w:r>
      <w:r w:rsidR="528E477E" w:rsidRPr="00DA249F">
        <w:rPr>
          <w:lang w:val="en-GB"/>
        </w:rPr>
        <w:t>cons</w:t>
      </w:r>
      <w:r w:rsidR="55EC3DD4" w:rsidRPr="00DA249F">
        <w:rPr>
          <w:lang w:val="en-GB"/>
        </w:rPr>
        <w:t>tituting</w:t>
      </w:r>
      <w:r w:rsidR="528E477E" w:rsidRPr="00DA249F">
        <w:rPr>
          <w:lang w:val="en-GB"/>
        </w:rPr>
        <w:t xml:space="preserve"> more than 22 </w:t>
      </w:r>
      <w:r w:rsidR="00BF2FDE" w:rsidRPr="00DA249F">
        <w:rPr>
          <w:lang w:val="en-GB"/>
        </w:rPr>
        <w:t>billion</w:t>
      </w:r>
      <w:r w:rsidR="528E477E" w:rsidRPr="00DA249F">
        <w:rPr>
          <w:lang w:val="en-GB"/>
        </w:rPr>
        <w:t xml:space="preserve"> tonnes per year </w:t>
      </w:r>
      <w:r w:rsidR="00C36D76" w:rsidRPr="00DA249F">
        <w:rPr>
          <w:lang w:val="en-GB"/>
        </w:rPr>
        <w:fldChar w:fldCharType="begin"/>
      </w:r>
      <w:r w:rsidR="00F5121E">
        <w:rPr>
          <w:lang w:val="en-GB"/>
        </w:rPr>
        <w:instrText xml:space="preserve"> ADDIN ZOTERO_ITEM CSL_CITATION {"citationID":"YXqQHvpD","properties":{"formattedCitation":"(IPBES, 2019)","plainCitation":"(IPBES, 2019)","noteIndex":0},"citationItems":[{"id":53933,"uris":["http://zotero.org/groups/2352922/items/JYFISR8Z","http://zotero.org/groups/2352922/items/ZACZGHZL"],"itemData":{"id":53933,"type":"report","abstract":"IPBES is to perform regular and timely assessments of knowledge on biodiversity and ecosystem services and their interlinkages at the global level. Also addressing an invitation by the Conference of the Parties of the Convention on Biological Diversity (CBD) to prepare a global assessment of biodiversity and ecosystem services building, inter alia, on its own and other relevant regional, subregional and thematic assessments, as well as on national reports. The overall scope of the assessment is to assess the status and trends with regard to biodiversity and ecosystem services, the impact of biodiversity and ecosystem services on human well-being and the effectiveness of responses, including the Strategic Plan and its Aichi Biodiversity Targets. It is anticipated that this deliverable will contribute to the process for the evaluation and renewal of the Strategic Plan for Biodiversity and its Aichi Biodiversity Targets. The IPBES Global Assessment on Biodiversity and Ecosystem Services is composed of 1) a Summary for Policymakers (SPM), approved by the IPBES Plenary at its 7th session in May 2019 in Paris, France (IPBES-7); and 2) a set of six Chapters, accepted by the IPBES Plenary.","language":"en","license":"Creative Commons Attribution 4.0 International, Open Access","note":"Version Number 1\nDOI: 10.5281/ZENODO.3831673","publisher":"Secretariat of the Intergovernmental Science-Policy Platform on Biodiversity and Ecosystem Services","source":"DOI.org (Datacite)","title":"Global assessment report on biodiversity and ecosystem services of the Intergovernmental Science-Policy Platform on Biodiversity and Ecosystem Services","URL":"https://zenodo.org/record/3831673","author":[{"literal":"IPBES"}],"contributor":[{"family":"Brondizio","given":"Eduardo"},{"family":"Diaz","given":"Sandra"},{"family":"Settele","given":"Josef"},{"family":"Ngo","given":"Hien T."}],"accessed":{"date-parts":[["2023",1,5]]},"issued":{"date-parts":[["2019"]]}},"label":"page"}],"schema":"https://github.com/citation-style-language/schema/raw/master/csl-citation.json"} </w:instrText>
      </w:r>
      <w:r w:rsidR="00C36D76" w:rsidRPr="00DA249F">
        <w:rPr>
          <w:lang w:val="en-GB"/>
        </w:rPr>
        <w:fldChar w:fldCharType="separate"/>
      </w:r>
      <w:r w:rsidR="00144D96" w:rsidRPr="00144D96">
        <w:t>(IPBES, 2019)</w:t>
      </w:r>
      <w:r w:rsidR="00C36D76" w:rsidRPr="00DA249F">
        <w:rPr>
          <w:lang w:val="en-GB"/>
        </w:rPr>
        <w:fldChar w:fldCharType="end"/>
      </w:r>
      <w:r w:rsidR="528E477E" w:rsidRPr="00DA249F">
        <w:rPr>
          <w:lang w:val="en-GB"/>
        </w:rPr>
        <w:t xml:space="preserve">. </w:t>
      </w:r>
      <w:r w:rsidR="25C8F90A" w:rsidRPr="00DA249F">
        <w:rPr>
          <w:lang w:val="en-GB"/>
        </w:rPr>
        <w:t>The</w:t>
      </w:r>
      <w:r w:rsidR="00C03E9C">
        <w:rPr>
          <w:lang w:val="en-GB"/>
        </w:rPr>
        <w:t xml:space="preserve"> </w:t>
      </w:r>
      <w:r w:rsidR="25C8F90A" w:rsidRPr="00DA249F">
        <w:rPr>
          <w:lang w:val="en-GB"/>
        </w:rPr>
        <w:t>livelihood of over 350 million people depends on the extraction of non-timber forest resources</w:t>
      </w:r>
      <w:r w:rsidR="0BF476B1" w:rsidRPr="00DA249F">
        <w:rPr>
          <w:lang w:val="en-GB"/>
        </w:rPr>
        <w:t xml:space="preserve">, and over </w:t>
      </w:r>
      <w:r w:rsidR="00564598">
        <w:rPr>
          <w:lang w:val="en-GB"/>
        </w:rPr>
        <w:t>six</w:t>
      </w:r>
      <w:r w:rsidR="0BF476B1" w:rsidRPr="00DA249F">
        <w:rPr>
          <w:lang w:val="en-GB"/>
        </w:rPr>
        <w:t xml:space="preserve"> million tons of medium to large wild animals are harvested every year in </w:t>
      </w:r>
      <w:r w:rsidR="125B0D15" w:rsidRPr="00DA249F">
        <w:rPr>
          <w:lang w:val="en-GB"/>
        </w:rPr>
        <w:t>the tropics</w:t>
      </w:r>
      <w:r w:rsidR="5FCB0D89" w:rsidRPr="00DA249F">
        <w:rPr>
          <w:lang w:val="en-GB"/>
        </w:rPr>
        <w:t xml:space="preserve">, where they </w:t>
      </w:r>
      <w:r w:rsidR="0B538593" w:rsidRPr="00DA249F">
        <w:rPr>
          <w:lang w:val="en-GB"/>
        </w:rPr>
        <w:t xml:space="preserve">are </w:t>
      </w:r>
      <w:r w:rsidR="5FCB0D89" w:rsidRPr="00DA249F">
        <w:rPr>
          <w:lang w:val="en-GB"/>
        </w:rPr>
        <w:t xml:space="preserve">often </w:t>
      </w:r>
      <w:r w:rsidR="0B538593" w:rsidRPr="00DA249F">
        <w:rPr>
          <w:lang w:val="en-GB"/>
        </w:rPr>
        <w:t>an</w:t>
      </w:r>
      <w:r w:rsidR="5FCB0D89" w:rsidRPr="00DA249F">
        <w:rPr>
          <w:lang w:val="en-GB"/>
        </w:rPr>
        <w:t xml:space="preserve"> important food source</w:t>
      </w:r>
      <w:r w:rsidR="22EDAB5A" w:rsidRPr="00DA249F">
        <w:rPr>
          <w:lang w:val="en-GB"/>
        </w:rPr>
        <w:t xml:space="preserve"> </w:t>
      </w:r>
      <w:r w:rsidR="00E4052A" w:rsidRPr="00DA249F">
        <w:rPr>
          <w:lang w:val="en-GB"/>
        </w:rPr>
        <w:fldChar w:fldCharType="begin"/>
      </w:r>
      <w:r w:rsidR="00F5121E">
        <w:rPr>
          <w:lang w:val="en-GB"/>
        </w:rPr>
        <w:instrText xml:space="preserve"> ADDIN ZOTERO_ITEM CSL_CITATION {"citationID":"kDgCMFbU","properties":{"formattedCitation":"(IPBES, 2019)","plainCitation":"(IPBES, 2019)","noteIndex":0},"citationItems":[{"id":53933,"uris":["http://zotero.org/groups/2352922/items/JYFISR8Z","http://zotero.org/groups/2352922/items/ZACZGHZL"],"itemData":{"id":53933,"type":"report","abstract":"IPBES is to perform regular and timely assessments of knowledge on biodiversity and ecosystem services and their interlinkages at the global level. Also addressing an invitation by the Conference of the Parties of the Convention on Biological Diversity (CBD) to prepare a global assessment of biodiversity and ecosystem services building, inter alia, on its own and other relevant regional, subregional and thematic assessments, as well as on national reports. The overall scope of the assessment is to assess the status and trends with regard to biodiversity and ecosystem services, the impact of biodiversity and ecosystem services on human well-being and the effectiveness of responses, including the Strategic Plan and its Aichi Biodiversity Targets. It is anticipated that this deliverable will contribute to the process for the evaluation and renewal of the Strategic Plan for Biodiversity and its Aichi Biodiversity Targets. The IPBES Global Assessment on Biodiversity and Ecosystem Services is composed of 1) a Summary for Policymakers (SPM), approved by the IPBES Plenary at its 7th session in May 2019 in Paris, France (IPBES-7); and 2) a set of six Chapters, accepted by the IPBES Plenary.","language":"en","license":"Creative Commons Attribution 4.0 International, Open Access","note":"Version Number 1\nDOI: 10.5281/ZENODO.3831673","publisher":"Secretariat of the Intergovernmental Science-Policy Platform on Biodiversity and Ecosystem Services","source":"DOI.org (Datacite)","title":"Global assessment report on biodiversity and ecosystem services of the Intergovernmental Science-Policy Platform on Biodiversity and Ecosystem Services","URL":"https://zenodo.org/record/3831673","author":[{"literal":"IPBES"}],"contributor":[{"family":"Brondizio","given":"Eduardo"},{"family":"Diaz","given":"Sandra"},{"family":"Settele","given":"Josef"},{"family":"Ngo","given":"Hien T."}],"accessed":{"date-parts":[["2023",1,5]]},"issued":{"date-parts":[["2019"]]}},"label":"page"}],"schema":"https://github.com/citation-style-language/schema/raw/master/csl-citation.json"} </w:instrText>
      </w:r>
      <w:r w:rsidR="00E4052A" w:rsidRPr="00DA249F">
        <w:rPr>
          <w:lang w:val="en-GB"/>
        </w:rPr>
        <w:fldChar w:fldCharType="separate"/>
      </w:r>
      <w:r w:rsidR="00144D96" w:rsidRPr="00144D96">
        <w:t>(IPBES, 2019)</w:t>
      </w:r>
      <w:r w:rsidR="00E4052A" w:rsidRPr="00DA249F">
        <w:rPr>
          <w:lang w:val="en-GB"/>
        </w:rPr>
        <w:fldChar w:fldCharType="end"/>
      </w:r>
      <w:r w:rsidR="00E4052A" w:rsidRPr="00DA249F">
        <w:rPr>
          <w:lang w:val="en-GB"/>
        </w:rPr>
        <w:t>.</w:t>
      </w:r>
      <w:r w:rsidR="007D778A" w:rsidRPr="00DA249F">
        <w:rPr>
          <w:lang w:val="en-GB"/>
        </w:rPr>
        <w:t xml:space="preserve"> </w:t>
      </w:r>
      <w:r w:rsidR="00AB7B2B" w:rsidRPr="00DA249F">
        <w:rPr>
          <w:lang w:val="en-GB"/>
        </w:rPr>
        <w:t xml:space="preserve">Both terrestrial and freshwater ecosystems are affected by species harvesting in different ways. </w:t>
      </w:r>
      <w:r w:rsidR="009B655E">
        <w:rPr>
          <w:lang w:val="en-GB"/>
        </w:rPr>
        <w:t>About</w:t>
      </w:r>
      <w:r w:rsidR="00FB03F8" w:rsidRPr="00DA249F">
        <w:rPr>
          <w:lang w:val="en-GB"/>
        </w:rPr>
        <w:t xml:space="preserve"> 50</w:t>
      </w:r>
      <w:r w:rsidR="004664AC" w:rsidRPr="00DA249F">
        <w:rPr>
          <w:lang w:val="en-GB"/>
        </w:rPr>
        <w:t>,</w:t>
      </w:r>
      <w:r w:rsidR="00FB03F8" w:rsidRPr="00DA249F">
        <w:rPr>
          <w:lang w:val="en-GB"/>
        </w:rPr>
        <w:t>000 wild species</w:t>
      </w:r>
      <w:r w:rsidR="00564598">
        <w:rPr>
          <w:lang w:val="en-GB"/>
        </w:rPr>
        <w:t xml:space="preserve"> are</w:t>
      </w:r>
      <w:r w:rsidR="00FB03F8" w:rsidRPr="00DA249F">
        <w:rPr>
          <w:lang w:val="en-GB"/>
        </w:rPr>
        <w:t xml:space="preserve"> harvested for food, energy, medicine, materials, income generation, or other uses globally,</w:t>
      </w:r>
      <w:r w:rsidR="00B96300">
        <w:rPr>
          <w:lang w:val="en-GB"/>
        </w:rPr>
        <w:t xml:space="preserve"> and</w:t>
      </w:r>
      <w:r w:rsidR="00FB03F8" w:rsidRPr="00DA249F">
        <w:rPr>
          <w:lang w:val="en-GB"/>
        </w:rPr>
        <w:t xml:space="preserve"> </w:t>
      </w:r>
      <w:r w:rsidR="00686F71">
        <w:rPr>
          <w:lang w:val="en-GB"/>
        </w:rPr>
        <w:t xml:space="preserve">an assessment of 10,098 species across 10 taxonomic groups shows that </w:t>
      </w:r>
      <w:r w:rsidR="00FB03F8" w:rsidRPr="00DA249F">
        <w:rPr>
          <w:lang w:val="en-GB"/>
        </w:rPr>
        <w:t>at least 34</w:t>
      </w:r>
      <w:r w:rsidR="004664AC" w:rsidRPr="00DA249F">
        <w:rPr>
          <w:lang w:val="en-GB"/>
        </w:rPr>
        <w:t xml:space="preserve"> </w:t>
      </w:r>
      <w:r w:rsidR="004C77CD" w:rsidRPr="00DA249F">
        <w:rPr>
          <w:lang w:val="en-GB"/>
        </w:rPr>
        <w:t>per cent</w:t>
      </w:r>
      <w:r w:rsidR="00FB03F8" w:rsidRPr="00DA249F">
        <w:rPr>
          <w:lang w:val="en-GB"/>
        </w:rPr>
        <w:t xml:space="preserve"> are used sustainably</w:t>
      </w:r>
      <w:r w:rsidR="0015505B">
        <w:rPr>
          <w:lang w:val="en-GB"/>
        </w:rPr>
        <w:t>,</w:t>
      </w:r>
      <w:r w:rsidR="00FB03F8" w:rsidRPr="00DA249F">
        <w:rPr>
          <w:lang w:val="en-GB"/>
        </w:rPr>
        <w:t xml:space="preserve"> whereas unsustainable harvesting contributes towards elevated extinction risk for 28-29</w:t>
      </w:r>
      <w:r w:rsidR="004664AC" w:rsidRPr="00DA249F">
        <w:rPr>
          <w:lang w:val="en-GB"/>
        </w:rPr>
        <w:t xml:space="preserve"> </w:t>
      </w:r>
      <w:r w:rsidR="004C77CD" w:rsidRPr="00DA249F">
        <w:rPr>
          <w:lang w:val="en-GB"/>
        </w:rPr>
        <w:t>per cent</w:t>
      </w:r>
      <w:r w:rsidR="00FB03F8" w:rsidRPr="00DA249F">
        <w:rPr>
          <w:lang w:val="en-GB"/>
        </w:rPr>
        <w:t xml:space="preserve"> of </w:t>
      </w:r>
      <w:r w:rsidR="0015505B">
        <w:rPr>
          <w:lang w:val="en-GB"/>
        </w:rPr>
        <w:t xml:space="preserve">near-threatened and </w:t>
      </w:r>
      <w:r w:rsidR="00FB03F8" w:rsidRPr="00DA249F">
        <w:rPr>
          <w:lang w:val="en-GB"/>
        </w:rPr>
        <w:t xml:space="preserve">threatened species </w:t>
      </w:r>
      <w:r w:rsidR="00E4052A" w:rsidRPr="00DA249F">
        <w:rPr>
          <w:lang w:val="en-GB"/>
        </w:rPr>
        <w:fldChar w:fldCharType="begin"/>
      </w:r>
      <w:r w:rsidR="00331A79">
        <w:rPr>
          <w:lang w:val="en-GB"/>
        </w:rPr>
        <w:instrText xml:space="preserve"> ADDIN ZOTERO_ITEM CSL_CITATION {"citationID":"5tLsoljJ","properties":{"formattedCitation":"(IPBES, 2022c)","plainCitation":"(IPBES, 2022c)","noteIndex":0},"citationItems":[{"id":56440,"uris":["http://zotero.org/groups/2352922/items/FE232VBH","http://zotero.org/groups/2352922/items/Z2RKHB8F"],"itemData":{"id":56440,"type":"report","abstract":"The thematic assessment of the sustainable use of wild species of the Intergovernmental Science-Policy Platform on Biodiversity and Ecosystem Services is composed of 1) a Summary for Policymakers (SPM), approved by the IPBES Plenary at its 9th session in July 2022 in Bonn, Germany (IPBES-9); and 2) a set of six Chapters, accepted by the IPBES Plenary. All products of the assessment are available on Zenodo. Find all the links on https://ipbes.net/sustainable-use-assessment and on the side bar \"has part\". The laid-out version and translations will be made available in the next months.","language":"en","license":"Creative Commons Attribution 4.0 International, Open Access","note":"DOI: 10.5281/ZENODO.6448568","publisher":"Zenodo","source":"DOI.org (Datacite)","title":"Thematic assessment of the sustainable use of wild species of the Intergovernmental Science-Policy Platform on Biodiversity and Ecosystem Services","URL":"https://zenodo.org/record/6448568","author":[{"literal":"IPBES"}],"contributor":[{"family":"Fromentin","given":"Jean-Marc"},{"family":"Emery","given":"Marla R."},{"family":"Donaldson","given":"John"},{"family":"Danner","given":"Marie-Claire"},{"family":"Hallosserie","given":"Agnès"},{"family":"Kieling","given":"Daniel"}],"accessed":{"date-parts":[["2023",6,8]]},"issued":{"date-parts":[["2022",7,8]]}}}],"schema":"https://github.com/citation-style-language/schema/raw/master/csl-citation.json"} </w:instrText>
      </w:r>
      <w:r w:rsidR="00E4052A" w:rsidRPr="00DA249F">
        <w:rPr>
          <w:lang w:val="en-GB"/>
        </w:rPr>
        <w:fldChar w:fldCharType="separate"/>
      </w:r>
      <w:r w:rsidR="00186371" w:rsidRPr="00186371">
        <w:t>(IPBES, 2022c)</w:t>
      </w:r>
      <w:r w:rsidR="00E4052A" w:rsidRPr="00DA249F">
        <w:rPr>
          <w:lang w:val="en-GB"/>
        </w:rPr>
        <w:fldChar w:fldCharType="end"/>
      </w:r>
      <w:r w:rsidR="00E4052A" w:rsidRPr="00DA249F">
        <w:rPr>
          <w:lang w:val="en-GB"/>
        </w:rPr>
        <w:t>.</w:t>
      </w:r>
    </w:p>
    <w:p w14:paraId="6358B699" w14:textId="4FE2FE4F" w:rsidR="00FB03F8" w:rsidRPr="00DA249F" w:rsidRDefault="3D04D128" w:rsidP="0090109B">
      <w:pPr>
        <w:rPr>
          <w:lang w:val="en-GB"/>
        </w:rPr>
      </w:pPr>
      <w:r w:rsidRPr="5575EBFC">
        <w:rPr>
          <w:lang w:val="en-GB"/>
        </w:rPr>
        <w:t xml:space="preserve">The loss of </w:t>
      </w:r>
      <w:r w:rsidR="7FA3F670" w:rsidRPr="5575EBFC">
        <w:rPr>
          <w:lang w:val="en-GB"/>
        </w:rPr>
        <w:t>native biomass and biodiversity</w:t>
      </w:r>
      <w:r w:rsidRPr="5575EBFC">
        <w:rPr>
          <w:lang w:val="en-GB"/>
        </w:rPr>
        <w:t xml:space="preserve"> in an ecosystem through harvesting has been directly and indirectly linked to </w:t>
      </w:r>
      <w:r w:rsidR="218DD5C4" w:rsidRPr="5575EBFC">
        <w:rPr>
          <w:lang w:val="en-GB"/>
        </w:rPr>
        <w:t>increased</w:t>
      </w:r>
      <w:r w:rsidRPr="5575EBFC">
        <w:rPr>
          <w:lang w:val="en-GB"/>
        </w:rPr>
        <w:t xml:space="preserve"> </w:t>
      </w:r>
      <w:r w:rsidR="32CE456B" w:rsidRPr="5575EBFC">
        <w:rPr>
          <w:lang w:val="en-GB"/>
        </w:rPr>
        <w:t xml:space="preserve">susceptibility to </w:t>
      </w:r>
      <w:r w:rsidR="49E87807" w:rsidRPr="5575EBFC">
        <w:rPr>
          <w:lang w:val="en-GB"/>
        </w:rPr>
        <w:t xml:space="preserve">biological </w:t>
      </w:r>
      <w:r w:rsidR="32CE456B" w:rsidRPr="5575EBFC">
        <w:rPr>
          <w:lang w:val="en-GB"/>
        </w:rPr>
        <w:t xml:space="preserve">invasions by a wide range of alien species and </w:t>
      </w:r>
      <w:r w:rsidRPr="5575EBFC">
        <w:rPr>
          <w:lang w:val="en-GB"/>
        </w:rPr>
        <w:t xml:space="preserve">in </w:t>
      </w:r>
      <w:r w:rsidR="32CE456B" w:rsidRPr="5575EBFC">
        <w:rPr>
          <w:lang w:val="en-GB"/>
        </w:rPr>
        <w:t xml:space="preserve">a </w:t>
      </w:r>
      <w:r w:rsidRPr="5575EBFC">
        <w:rPr>
          <w:lang w:val="en-GB"/>
        </w:rPr>
        <w:t xml:space="preserve">wide range of terrestrial and aquatic environments </w:t>
      </w:r>
      <w:r w:rsidR="008C1BF7" w:rsidRPr="5575EBFC">
        <w:rPr>
          <w:lang w:val="en-GB"/>
        </w:rPr>
        <w:fldChar w:fldCharType="begin"/>
      </w:r>
      <w:r w:rsidR="00331A79">
        <w:rPr>
          <w:lang w:val="en-GB"/>
        </w:rPr>
        <w:instrText xml:space="preserve"> ADDIN ZOTERO_ITEM CSL_CITATION {"citationID":"fAc8HXoy","properties":{"formattedCitation":"(IPBES, 2022c; Iverson et al., 2019; Kota et al., 2007; Rebbeck et al., 2017; Schrama &amp; Bardgett, 2016)","plainCitation":"(IPBES, 2022c; Iverson et al., 2019; Kota et al., 2007; Rebbeck et al., 2017; Schrama &amp; Bardgett, 2016)","noteIndex":0},"citationItems":[{"id":56440,"uris":["http://zotero.org/groups/2352922/items/FE232VBH","http://zotero.org/groups/2352922/items/Z2RKHB8F"],"itemData":{"id":56440,"type":"report","abstract":"The thematic assessment of the sustainable use of wild species of the Intergovernmental Science-Policy Platform on Biodiversity and Ecosystem Services is composed of 1) a Summary for Policymakers (SPM), approved by the IPBES Plenary at its 9th session in July 2022 in Bonn, Germany (IPBES-9); and 2) a set of six Chapters, accepted by the IPBES Plenary. All products of the assessment are available on Zenodo. Find all the links on https://ipbes.net/sustainable-use-assessment and on the side bar \"has part\". The laid-out version and translations will be made available in the next months.","language":"en","license":"Creative Commons Attribution 4.0 International, Open Access","note":"DOI: 10.5281/ZENODO.6448568","publisher":"Zenodo","source":"DOI.org (Datacite)","title":"Thematic assessment of the sustainable use of wild species of the Intergovernmental Science-Policy Platform on Biodiversity and Ecosystem Services","URL":"https://zenodo.org/record/6448568","author":[{"literal":"IPBES"}],"contributor":[{"family":"Fromentin","given":"Jean-Marc"},{"family":"Emery","given":"Marla R."},{"family":"Donaldson","given":"John"},{"family":"Danner","given":"Marie-Claire"},{"family":"Hallosserie","given":"Agnès"},{"family":"Kieling","given":"Daniel"}],"accessed":{"date-parts":[["2023",6,8]]},"issued":{"date-parts":[["2022",7,8]]}},"label":"page"},{"id":10920,"uris":["http://zotero.org/groups/2352922/items/WBMBQDTI"],"itemData":{"id":10920,"type":"article-journal","abstract":"The negative impacts of the exotic tree, Ailanthus altissima (tree-of-heaven, stink tree), is spreading throughout much of the Eastern United States. When forests are disturbed, it can invade and expand quickly if seed sources are nearby.","container-title":"Forest Ecosystems","DOI":"10.1186/s40663-019-0198-7","ISSN":"2197-5620","issue":"1","journalAbbreviation":"For. Ecosyst.","language":"en","page":"41","source":"Springer Link","title":"Predicting &lt;i&gt;Ailanthus altissima&lt;/i&gt; presence across a managed forest landscape in southeast Ohio","URL":"https://doi.org/10.1186/s40663-019-0198-7","volume":"6","author":[{"family":"Iverson","given":"Louis R."},{"family":"Rebbeck","given":"Joanne"},{"family":"Peters","given":"Matthew P."},{"family":"Hutchinson","given":"Todd"},{"family":"Fox","given":"Timothy"}],"accessed":{"date-parts":[["2020",7,15]]},"issued":{"date-parts":[["2019",10,2]]}},"label":"page"},{"id":15477,"uris":["http://zotero.org/groups/2352922/items/I7F8M7T2"],"itemData":{"id":15477,"type":"article-journal","container-title":"Biological Invasions","DOI":"10.1007/s10530-006-9026-4","ISSN":"1387-3547, 1573-1464","issue":"2","journalAbbreviation":"Biol Invasions","language":"en","page":"197-211","source":"DOI.org (Crossref)","title":"Germination and early growth of &lt;i&gt;Ailanthus&lt;/i&gt; and tulip poplar in three levels of forest disturbance","URL":"http://link.springer.com/10.1007/s10530-006-9026-4","volume":"9","author":[{"family":"Kota","given":"Nathan L."},{"family":"Landenberger","given":"Rick E."},{"family":"McGraw","given":"James B."}],"accessed":{"date-parts":[["2019",10,9]]},"issued":{"date-parts":[["2007",3,1]]}},"label":"page"},{"id":30353,"uris":["http://zotero.org/groups/2352922/items/9YDRE6C7"],"itemData":{"id":30353,"type":"article-journal","abstract":"Ailanthus altissima ((Mill.) Swingle, tree-of-heaven), an exotic invasive tree that is common throughout much of the eastern United States, can invade and expand dramatically when forests are disturbed. Anecdotal evidence suggests that fire facilitates its spread, but the relationship between fire and this prolific invasive tree is poorly understood. To better understand the impacts of fire on Ailanthus, we conducted studies at Tar Hollow State Forest in southeastern Ohio, where Ailanthus is widely distributed and where, since 2001, prescribed fire has been applied to 25% of the 3885-ha study area. Our objective was to gain a better understanding of how the distribution and abundance of Ailanthus is related to recent fires, harvesting activity, and site characteristics. We quantified the abundance and demography of Ailanthus, as well as prescribed fire, harvesting, aspect, slope, and available light, using a systematic grid (400m) of sample plots (N=267). From these data, we identified time since last timber harvest, not prescribed fire history, as the major driver of both Ailanthus seedling and tree presence and density. Two site factors, aspect index (a transformation of aspect) and photosynthetically active radiation, were also significant predictors of seedling presence or density. These findings to demonstrate that dormant-season prescribed fire has a limited impact on the distribution of Ailanthus within forested landscapes and that recent timber harvesting (within 20years) is the primary predictor. Thus, care in harvesting to prevent soil disturbance and spread of Ailanthus seed is paramount when managing for this aggressive species.","container-title":"Forest Ecology and Management","DOI":"10.1016/j.foreco.2017.06.050","ISSN":"0378-1127","journalAbbreviation":"Forest Ecology and Management","language":"en","page":"233-241","source":"ScienceDirect","title":"Distribution and demographics of &lt;i&gt;Ailanthus altissima&lt;/i&gt; in an oak forest landscape managed with timber harvesting and prescribed fire","URL":"http://www.sciencedirect.com/science/article/pii/S0378112717301433","volume":"401","author":[{"family":"Rebbeck","given":"Joanne"},{"family":"Hutchinson","given":"Todd"},{"family":"Iverson","given":"Louis"},{"family":"Yaussy","given":"Daniel"},{"family":"Fox","given":"Timothy"}],"accessed":{"date-parts":[["2020",7,15]]},"issued":{"date-parts":[["2017",10,1]]}},"label":"page"},{"id":26225,"uris":["http://zotero.org/groups/2352922/items/Y5CSW5U5"],"itemData":{"id":26225,"type":"article-journal","abstract":"Although it is known that ecosystems are more susceptible to invasion when disturbed, our knowledge of the mechanisms involved remains limited. Recent studies indicate that disturbance-induced changes in soil nutrient availability could influence community invasibility, but the importance of this mechanism in the real world is not known. We tested the hypotheses that (i) exotic plant species profit from drought effects on soil functioning more than do natives; and (ii) grassland invasibility depends on soil responses to drought disturbance, which are greater in soils that exhibit a larger nutrient pulse following drought. This was tested in a series of grassland sites of contrasting management intensity which we subjected to an extreme (40-day) drought, after which seeds from four different plant families of native species and related exotics were added to soils originating from the drought and control treatments under greenhouse conditions. We also examined the performance of seeded native species in the field. We expected that intensively managed grasslands with bacterial-dominated soils would exhibit a larger nutrient pulse following drought, and hence a greater window of opportunity for invasion, than in extensively managed grassland soils with fungal-dominated microbial communities. Results from the greenhouse experiment indicated that exotic species grew better in soil that had experienced drought, and had higher survival and growth rates than natives in both grassland types. Field results showed that drought increased invasibility in intensively managed grasslands, but had little impact on survival and growth of seeded species on extensively managed grassland soils. Increased invasibility of intensively managed grassland soils was associated with a significant soil nitrogen pulse following rewetting, which was not detected in the extensively managed grasslands. Synthesis. Our results indicate that intensively managed grasslands are more prone to invasion following drought than are extensively managed grasslands and that this response is in part related to differences in microbial community composition which regulate nutrient availability in soil following disturbance events. Given that extreme climate events are predicted to increase, our findings suggest that invasion of exotic species will increase in ecosystems with soils that are less resilient to disturbance.","container-title":"Journal of Ecology","DOI":"10.1111/1365-2745.12606","ISSN":"1365-2745","issue":"5","language":"en","license":"© 2016 The Authors. Journal of Ecology © 2016 British Ecological Society","page":"1250-1258","source":"Wiley Online Library","title":"Grassland invasibility varies with drought effects on soil functioning","URL":"https://besjournals.onlinelibrary.wiley.com/doi/abs/10.1111/1365-2745.12606","volume":"104","author":[{"family":"Schrama","given":"Maarten"},{"family":"Bardgett","given":"Richard D."}],"accessed":{"date-parts":[["2019",9,24]]},"issued":{"date-parts":[["2016"]]}},"label":"page"}],"schema":"https://github.com/citation-style-language/schema/raw/master/csl-citation.json"} </w:instrText>
      </w:r>
      <w:r w:rsidR="008C1BF7" w:rsidRPr="5575EBFC">
        <w:rPr>
          <w:lang w:val="en-GB"/>
        </w:rPr>
        <w:fldChar w:fldCharType="separate"/>
      </w:r>
      <w:r w:rsidR="674745DD">
        <w:t>(IPBES, 2022c; Iverson et al., 2019; Kota et al., 2007; Rebbeck et al., 2017; Schrama &amp; Bardgett, 2016)</w:t>
      </w:r>
      <w:r w:rsidR="008C1BF7" w:rsidRPr="5575EBFC">
        <w:rPr>
          <w:lang w:val="en-GB"/>
        </w:rPr>
        <w:fldChar w:fldCharType="end"/>
      </w:r>
      <w:r w:rsidR="2BC77503" w:rsidRPr="5575EBFC">
        <w:rPr>
          <w:lang w:val="en-GB"/>
        </w:rPr>
        <w:t>.</w:t>
      </w:r>
      <w:r w:rsidRPr="5575EBFC">
        <w:rPr>
          <w:lang w:val="en-GB"/>
        </w:rPr>
        <w:t xml:space="preserve"> </w:t>
      </w:r>
      <w:r w:rsidR="67D51D28" w:rsidRPr="5575EBFC">
        <w:rPr>
          <w:lang w:val="en-GB"/>
        </w:rPr>
        <w:t>M</w:t>
      </w:r>
      <w:r w:rsidR="68C3DAC4" w:rsidRPr="5575EBFC">
        <w:rPr>
          <w:lang w:val="en-GB"/>
        </w:rPr>
        <w:t>any</w:t>
      </w:r>
      <w:r w:rsidR="67D51D28" w:rsidRPr="5575EBFC">
        <w:rPr>
          <w:lang w:val="en-GB"/>
        </w:rPr>
        <w:t xml:space="preserve"> studies of</w:t>
      </w:r>
      <w:r w:rsidRPr="5575EBFC">
        <w:rPr>
          <w:lang w:val="en-GB"/>
        </w:rPr>
        <w:t xml:space="preserve"> the role of overharvesting on </w:t>
      </w:r>
      <w:r w:rsidR="0523A782" w:rsidRPr="5575EBFC">
        <w:rPr>
          <w:lang w:val="en-GB"/>
        </w:rPr>
        <w:t xml:space="preserve">the success of invasive alien species </w:t>
      </w:r>
      <w:r w:rsidRPr="5575EBFC">
        <w:rPr>
          <w:lang w:val="en-GB"/>
        </w:rPr>
        <w:t xml:space="preserve">explore indirect effects through trophic changes </w:t>
      </w:r>
      <w:r w:rsidR="008C1BF7" w:rsidRPr="5575EBFC">
        <w:rPr>
          <w:lang w:val="en-GB"/>
        </w:rPr>
        <w:fldChar w:fldCharType="begin"/>
      </w:r>
      <w:r w:rsidR="00331A79">
        <w:rPr>
          <w:lang w:val="en-GB"/>
        </w:rPr>
        <w:instrText xml:space="preserve"> ADDIN ZOTERO_ITEM CSL_CITATION {"citationID":"fn9dUnAu","properties":{"formattedCitation":"(Barrios-O\\uc0\\u8217{}Neill et al., 2016; Kota et al., 2007; Rand &amp; Tscharntke, 2007)","plainCitation":"(Barrios-O’Neill et al., 2016; Kota et al., 2007; Rand &amp; Tscharntke, 2007)","noteIndex":0},"citationItems":[{"id":15569,"uris":["http://zotero.org/groups/2352922/items/MR8F3SFH"],"itemData":{"id":15569,"type":"article-journal","abstract":"The stability of consumer–resource systems can depend on the form of feeding interactions (i.e. functional responses). Size-based models predict interactions – and thus stability – based on consumer–resource size ratios. However, little is known about how interaction contexts (e.g. simple or complex habitats) might alter scaling relationships. Addressing this, we experimentally measured interactions between a large size range of aquatic predators (4–6400 mg over 1347 feeding trials) and an invasive prey that transitions among habitats: from the water column (3D interactions) to simple and complex benthic substrates (2D interactions). Simple and complex substrates mediated successive reductions in capture rates – particularly around the unimodal optimum –and promoted prey population stability in model simulations. Many real consumer–resource systems transition between 2D and 3D interactions, and along complexity gradients. Thus, ContextDependent Scaling (CDS) of feeding interactions could represent an unrecognised aspect of food webs, and quantifying the extent of CDS might enhance predictive ecology.","container-title":"Ecology Letters","DOI":"10.1111/ele.12605","ISSN":"1461023X","issue":"6","journalAbbreviation":"Ecol Lett","language":"en","page":"668-678","source":"DOI.org (Crossref)","title":"On the context-dependent scaling of consumer feeding rates","URL":"http://doi.wiley.com/10.1111/ele.12605","volume":"19","author":[{"family":"Barrios-O'Neill","given":"Daniel"},{"family":"Kelly","given":"Ruth"},{"family":"Dick","given":"Jaimie T. A."},{"family":"Ricciardi","given":"Anthony"},{"family":"MacIsaac","given":"Hugh J."},{"family":"Emmerson","given":"Mark C."}],"editor":[{"family":"Grether","given":"Greg"}],"accessed":{"date-parts":[["2019",10,25]]},"issued":{"date-parts":[["2016",6]]}},"label":"page"},{"id":15477,"uris":["http://zotero.org/groups/2352922/items/I7F8M7T2"],"itemData":{"id":15477,"type":"article-journal","container-title":"Biological Invasions","DOI":"10.1007/s10530-006-9026-4","ISSN":"1387-3547, 1573-1464","issue":"2","journalAbbreviation":"Biol Invasions","language":"en","page":"197-211","source":"DOI.org (Crossref)","title":"Germination and early growth of &lt;i&gt;Ailanthus&lt;/i&gt; and tulip poplar in three levels of forest disturbance","URL":"http://link.springer.com/10.1007/s10530-006-9026-4","volume":"9","author":[{"family":"Kota","given":"Nathan L."},{"family":"Landenberger","given":"Rick E."},{"family":"McGraw","given":"James B."}],"accessed":{"date-parts":[["2019",10,9]]},"issued":{"date-parts":[["2007",3,1]]}},"label":"page"},{"id":15615,"uris":["http://zotero.org/groups/2352922/items/3T3HCQ5S"],"itemData":{"id":15615,"type":"article-journal","abstract":"The greater susceptibility of higher trophic levels to habitat loss has been demonstrated to disrupt important trophic interactions such as consumer control of prey populations. This pattern is predicted to break down for generalist species that can use matrix habitats, yet empirical studies comparing generalist and specialist enemy pressure in response to natural habitat loss are lacking. Here we examined the effects of landscape simplification resulting from habitat conversion to agriculture on nettles, Urtica dioica, their specialized aphid herbivore, Microlophium carnosum, and associated natural enemies that varied broadly in their degree of specialization. Both nettles and their specialized aphid herbivore were significantly more abundant in complex than simple landscapes. Different enemy groups showed contrasting responses. Aphid specialists (parasitic wasps and cecidomyiid midges) reached higher densities in complex than simple landscapes, and this effect was primarily related to shifts in local resource abundance (i.e. nettle aphid densities). In contrast, densities of generalists (coccinellid beetles and spiders) were significantly higher in simple landscapes, presumably due to spillover of generalists from surrounding cropland habitats. Natural enemy-prey ratios did not differ significantly across landscape types for specialist groups but were significantly higher in simple than complex landscapes for generalist groups, suggesting that enemy pressure on nettle aphids likely increases with landscape simplification. This was supported by our finding that aphid population growth rates were lower in simple than complex landscapes, and declined significantly with increasing coccinellid densities. Thus, in marked contrast to previous work, our results suggest that natural habitat loss may augment rather than disrupt consumer–prey interactions, and this will depend greatly on the degree of specialization of functionally dominant natural enemies.","container-title":"Oikos","DOI":"10.1111/j.0030-1299.2007.15871.x","ISSN":"1600-0706","issue":"8","language":"en","page":"1353-1362","source":"Wiley Online Library","title":"Contrasting effects of natural habitat loss on generalist and specialist aphid natural enemies","URL":"https://onlinelibrary.wiley.com/doi/abs/10.1111/j.0030-1299.2007.15871.x","volume":"116","author":[{"family":"Rand","given":"Tatyana A."},{"family":"Tscharntke","given":"Teja"}],"accessed":{"date-parts":[["2019",10,23]]},"issued":{"date-parts":[["2007"]]}},"label":"page"}],"schema":"https://github.com/citation-style-language/schema/raw/master/csl-citation.json"} </w:instrText>
      </w:r>
      <w:r w:rsidR="008C1BF7" w:rsidRPr="5575EBFC">
        <w:rPr>
          <w:lang w:val="en-GB"/>
        </w:rPr>
        <w:fldChar w:fldCharType="separate"/>
      </w:r>
      <w:r w:rsidR="6B5F9B9E">
        <w:t>(Barrios-O’Neill et al., 2016; Kota et al., 2007; Rand &amp; Tscharntke, 2007)</w:t>
      </w:r>
      <w:r w:rsidR="008C1BF7" w:rsidRPr="5575EBFC">
        <w:rPr>
          <w:lang w:val="en-GB"/>
        </w:rPr>
        <w:fldChar w:fldCharType="end"/>
      </w:r>
      <w:r w:rsidRPr="5575EBFC">
        <w:rPr>
          <w:lang w:val="en-GB"/>
        </w:rPr>
        <w:t xml:space="preserve">. </w:t>
      </w:r>
      <w:r w:rsidR="5BF087C8" w:rsidRPr="5575EBFC">
        <w:rPr>
          <w:lang w:val="en-GB"/>
        </w:rPr>
        <w:t>For example,</w:t>
      </w:r>
      <w:r w:rsidR="004221FA">
        <w:rPr>
          <w:lang w:val="en-GB"/>
        </w:rPr>
        <w:t xml:space="preserve"> </w:t>
      </w:r>
      <w:r w:rsidR="5BF087C8" w:rsidRPr="5575EBFC">
        <w:rPr>
          <w:lang w:val="en-GB"/>
        </w:rPr>
        <w:t>an extensive study in the Mediterranean Sea</w:t>
      </w:r>
      <w:r w:rsidR="004221FA">
        <w:rPr>
          <w:lang w:val="en-GB"/>
        </w:rPr>
        <w:t xml:space="preserve"> shows that</w:t>
      </w:r>
      <w:r w:rsidR="5BF087C8" w:rsidRPr="5575EBFC">
        <w:rPr>
          <w:lang w:val="en-GB"/>
        </w:rPr>
        <w:t xml:space="preserve"> the loss of predators through overfishing resulted in an increase in alien invertebrate</w:t>
      </w:r>
      <w:r w:rsidR="23C9B494" w:rsidRPr="5575EBFC">
        <w:rPr>
          <w:lang w:val="en-GB"/>
        </w:rPr>
        <w:t xml:space="preserve">s in the prey </w:t>
      </w:r>
      <w:r w:rsidR="5BF087C8" w:rsidRPr="5575EBFC">
        <w:rPr>
          <w:lang w:val="en-GB"/>
        </w:rPr>
        <w:t xml:space="preserve">fauna </w:t>
      </w:r>
      <w:r w:rsidR="008C1BF7" w:rsidRPr="5575EBFC">
        <w:rPr>
          <w:lang w:val="en-GB"/>
        </w:rPr>
        <w:fldChar w:fldCharType="begin"/>
      </w:r>
      <w:r w:rsidR="00331A79">
        <w:rPr>
          <w:lang w:val="en-GB"/>
        </w:rPr>
        <w:instrText xml:space="preserve"> ADDIN ZOTERO_ITEM CSL_CITATION {"citationID":"Uyz13aKu","properties":{"formattedCitation":"(Rilov et al., 2018)","plainCitation":"(Rilov et al., 2018)","noteIndex":0},"citationItems":[{"id":30137,"uris":["http://zotero.org/groups/2352922/items/ZKLN7TAR"]</w:instrText>
      </w:r>
      <w:r w:rsidR="00331A79">
        <w:rPr>
          <w:rFonts w:hint="eastAsia"/>
          <w:lang w:val="en-GB"/>
        </w:rPr>
        <w:instrText>,"itemData":{"id":30137,"type":"article-journal","abstract":"Coastal reefs are highly diverse marine ecosystems that in many regions suffer today from growing pressures by human activities. Among the most highly</w:instrText>
      </w:r>
      <w:r w:rsidR="00331A79">
        <w:rPr>
          <w:rFonts w:hint="eastAsia"/>
          <w:lang w:val="en-GB"/>
        </w:rPr>
        <w:instrText>‐</w:instrText>
      </w:r>
      <w:r w:rsidR="00331A79">
        <w:rPr>
          <w:rFonts w:hint="eastAsia"/>
          <w:lang w:val="en-GB"/>
        </w:rPr>
        <w:instrText>stressed are those found in the Levantine b</w:instrText>
      </w:r>
      <w:r w:rsidR="00331A79">
        <w:rPr>
          <w:lang w:val="en-GB"/>
        </w:rPr>
        <w:instrText>asi...","container-title":"Aquatic Conservation: Marine and Freshwater Ecosystems","DOI":"10.1002/aqc.2862","ISSN":"1099-0755","issue":"2","language":"en","page":"351-369","source":"onlinelibrary.wiley.com","title":"Alien turf: Overfishing, overgrazing an</w:instrText>
      </w:r>
      <w:r w:rsidR="00331A79">
        <w:rPr>
          <w:rFonts w:hint="eastAsia"/>
          <w:lang w:val="en-GB"/>
        </w:rPr>
        <w:instrText>d invader domination in south</w:instrText>
      </w:r>
      <w:r w:rsidR="00331A79">
        <w:rPr>
          <w:rFonts w:hint="eastAsia"/>
          <w:lang w:val="en-GB"/>
        </w:rPr>
        <w:instrText>‐</w:instrText>
      </w:r>
      <w:r w:rsidR="00331A79">
        <w:rPr>
          <w:rFonts w:hint="eastAsia"/>
          <w:lang w:val="en-GB"/>
        </w:rPr>
        <w:instrText>eastern Levant reef ecosystems","title-short":"Alien turf","URL":"https://onlinelibrary.wiley.com/doi/10.1002/aqc.2862","volume":"28","author":[{"family":"Rilov","given":"Gil"},{"family":"Peleg","given":"Ohad"},{"family":"Yer</w:instrText>
      </w:r>
      <w:r w:rsidR="00331A79">
        <w:rPr>
          <w:lang w:val="en-GB"/>
        </w:rPr>
        <w:instrText xml:space="preserve">uham","given":"Erez"},{"family":"Garval","given":"Tal"},{"family":"Vichik","given":"Ania"},{"family":"Raveh","given":"Ofrat"}],"accessed":{"date-parts":[["2019",10,26]]},"issued":{"date-parts":[["2018",4,1]]}},"label":"page"}],"schema":"https://github.com/citation-style-language/schema/raw/master/csl-citation.json"} </w:instrText>
      </w:r>
      <w:r w:rsidR="008C1BF7" w:rsidRPr="5575EBFC">
        <w:rPr>
          <w:lang w:val="en-GB"/>
        </w:rPr>
        <w:fldChar w:fldCharType="separate"/>
      </w:r>
      <w:r w:rsidR="6B5F9B9E">
        <w:t>(Rilov et al., 2018)</w:t>
      </w:r>
      <w:r w:rsidR="008C1BF7" w:rsidRPr="5575EBFC">
        <w:rPr>
          <w:lang w:val="en-GB"/>
        </w:rPr>
        <w:fldChar w:fldCharType="end"/>
      </w:r>
      <w:r w:rsidR="5BF087C8" w:rsidRPr="5575EBFC">
        <w:rPr>
          <w:lang w:val="en-GB"/>
        </w:rPr>
        <w:t xml:space="preserve">. </w:t>
      </w:r>
      <w:r w:rsidR="49E87807" w:rsidRPr="5575EBFC">
        <w:rPr>
          <w:lang w:val="en-GB"/>
        </w:rPr>
        <w:t xml:space="preserve">Success of </w:t>
      </w:r>
      <w:r w:rsidR="62D1D837" w:rsidRPr="5575EBFC">
        <w:rPr>
          <w:lang w:val="en-GB"/>
        </w:rPr>
        <w:t>invasive alien species</w:t>
      </w:r>
      <w:r w:rsidR="37F28B6F" w:rsidRPr="5575EBFC">
        <w:rPr>
          <w:lang w:val="en-GB"/>
        </w:rPr>
        <w:t xml:space="preserve"> </w:t>
      </w:r>
      <w:r w:rsidR="59690C14" w:rsidRPr="5575EBFC">
        <w:rPr>
          <w:lang w:val="en-GB"/>
        </w:rPr>
        <w:t xml:space="preserve">and </w:t>
      </w:r>
      <w:r w:rsidR="49E87807" w:rsidRPr="5575EBFC">
        <w:rPr>
          <w:lang w:val="en-GB"/>
        </w:rPr>
        <w:t xml:space="preserve">their impacts </w:t>
      </w:r>
      <w:r w:rsidR="23C9B494" w:rsidRPr="5575EBFC">
        <w:rPr>
          <w:lang w:val="en-GB"/>
        </w:rPr>
        <w:t xml:space="preserve">may </w:t>
      </w:r>
      <w:r w:rsidRPr="5575EBFC">
        <w:rPr>
          <w:lang w:val="en-GB"/>
        </w:rPr>
        <w:t>var</w:t>
      </w:r>
      <w:r w:rsidR="23C9B494" w:rsidRPr="5575EBFC">
        <w:rPr>
          <w:lang w:val="en-GB"/>
        </w:rPr>
        <w:t>y</w:t>
      </w:r>
      <w:r w:rsidR="5BF087C8" w:rsidRPr="5575EBFC">
        <w:rPr>
          <w:lang w:val="en-GB"/>
        </w:rPr>
        <w:t>, however,</w:t>
      </w:r>
      <w:r w:rsidRPr="5575EBFC">
        <w:rPr>
          <w:lang w:val="en-GB"/>
        </w:rPr>
        <w:t xml:space="preserve"> depending on whether the harvested </w:t>
      </w:r>
      <w:r w:rsidR="23C9B494" w:rsidRPr="5575EBFC">
        <w:rPr>
          <w:lang w:val="en-GB"/>
        </w:rPr>
        <w:t xml:space="preserve">native </w:t>
      </w:r>
      <w:r w:rsidRPr="5575EBFC">
        <w:rPr>
          <w:lang w:val="en-GB"/>
        </w:rPr>
        <w:t>predators are generalists or specialists</w:t>
      </w:r>
      <w:r w:rsidR="09D409CB" w:rsidRPr="5575EBFC">
        <w:rPr>
          <w:lang w:val="en-GB"/>
        </w:rPr>
        <w:t>,</w:t>
      </w:r>
      <w:r w:rsidR="16EEC463" w:rsidRPr="5575EBFC">
        <w:rPr>
          <w:lang w:val="en-GB"/>
        </w:rPr>
        <w:t xml:space="preserve"> and on</w:t>
      </w:r>
      <w:r w:rsidRPr="5575EBFC">
        <w:rPr>
          <w:lang w:val="en-GB"/>
        </w:rPr>
        <w:t xml:space="preserve"> </w:t>
      </w:r>
      <w:r w:rsidR="23C9B494" w:rsidRPr="5575EBFC">
        <w:rPr>
          <w:lang w:val="en-GB"/>
        </w:rPr>
        <w:t xml:space="preserve">the intensity </w:t>
      </w:r>
      <w:r w:rsidR="59690C14" w:rsidRPr="5575EBFC">
        <w:rPr>
          <w:lang w:val="en-GB"/>
        </w:rPr>
        <w:t xml:space="preserve">and nature </w:t>
      </w:r>
      <w:r w:rsidR="23C9B494" w:rsidRPr="5575EBFC">
        <w:rPr>
          <w:lang w:val="en-GB"/>
        </w:rPr>
        <w:t xml:space="preserve">of the interaction </w:t>
      </w:r>
      <w:r w:rsidR="008C1BF7" w:rsidRPr="5575EBFC">
        <w:rPr>
          <w:lang w:val="en-GB"/>
        </w:rPr>
        <w:fldChar w:fldCharType="begin"/>
      </w:r>
      <w:r w:rsidR="00331A79">
        <w:rPr>
          <w:lang w:val="en-GB"/>
        </w:rPr>
        <w:instrText xml:space="preserve"> ADDIN ZOTERO_ITEM CSL_CITATION {"citationID":"Hl3d1e4v","properties":{"formattedCitation":"(Rand &amp; Tscharntke, 2007; W. E. Snyder &amp; Evans, 2006; Tylianakis et al., 2008)","plainCitation":"(Rand &amp; Tscharntke, 2007; W. E. Snyder &amp; Evans, 2006; Tylianakis et al., 2008)","noteIndex":0},"citationItems":[{"id":15581,"uris":["http://zotero.org/groups/2352922/items/K37W3IHT"],"itemData":{"id":15581,"type":"article-journal","abstract":"AbstractArthropod generalist predators (AGP) are widespread and abundant in both aquatic and terrestrial ecosystems. They feed upon herbivores, detritivores, and predators, and also on plant material and detritus. In turn, AGP serve as prey for larger predators. Several prominent AGP have become invasive when moved by humans beyond their native range. With complex trophic roles, AGP have diverse effects on other species in their introduced ranges. The invaders displace similar native species, primarily through competition, intraguild predation, transmission of disease, and escape from predation and/or parasites. Invasive AGP often reach higher densities and/or biomass than the native predators they replace, sometimes strengthening herbivore regulation when invasive AGP feed on key herbivores, but sometimes weakening herbivore suppression when they eat key predators. The complexity and unpredictability of ecological effects of invasive AGP underscores the high risk of adverse consequences of intentional introductions of these species (e.g., for biological control or aquaculture).","container-title":"Annual Review of Ecology, Evolution, and Systematics","DOI":"10.1146/annurev.ecolsys.37.091305.110107","issue":"1","page":"95-122","source":"Annual Reviews","title":"Ecological Effects of Invasive Arthropod Generalist Predators","URL":"https://doi.org/10.1146/annurev.ecolsys.37.091305.110107","volume":"37","author":[{"family":"Snyder","given":"William E."},{"family":"Evans","given":"Edward W."}],"accessed":{"date-parts":[["2019",10,24]]},"issued":{"date-parts":[["2006"]]}},"label":"page"},{"id":15615,"uris":["http://zotero.org/groups/2352922/items/3T3HCQ5S"],"itemData":{"id":15615,"type":"article-journal","abstract":"The greater susceptibility of higher trophic levels to habitat loss has been demonstrated to disrupt important trophic interactions such as consumer control of prey populations. This pattern is predicted to break down for generalist species that can use matrix habitats, yet empirical studies comparing generalist and specialist enemy pressure in response to natural habitat loss are lacking. Here we examined the effects of landscape simplification resulting from habitat conversion to agriculture on nettles, Urtica dioica, their specialized aphid herbivore, Microlophium carnosum, and associated natural enemies that varied broadly in their degree of specialization. Both nettles and their specialized aphid herbivore were significantly more abundant in complex than simple landscapes. Different enemy groups showed contrasting responses. Aphid specialists (parasitic wasps and cecidomyiid midges) reached higher densities in complex than simple landscapes, and this effect was primarily related to shifts in local resource abundance (i.e. nettle aphid densities). In contrast, densities of generalists (coccinellid beetles and spiders) were significantly higher in simple landscapes, presumably due to spillover of generalists from surrounding cropland habitats. Natural enemy-prey ratios did not differ significantly across landscape types for specialist groups but were significantly higher in simple than complex landscapes for generalist groups, suggesting that enemy pressure on nettle aphids likely increases with landscape simplification. This was supported by our finding that aphid population growth rates were lower in simple than complex landscapes, and declined significantly with increasing coccinellid densities. Thus, in marked contrast to previous work, our results suggest that natural habitat loss may augment rather than disrupt consumer–prey interactions, and this will depend greatly on the degree of specialization of functionally dominant natural enemies.","container-title":"Oikos","DOI":"10.1111/j.0030-1299.2007.15871.x","ISSN":"1600-0706","issue":"8","language":"en","page":"1353-1362","source":"Wiley Online Library","title":"Contrasting effects of natural habitat loss on generalist and specialist aphid natural enemies","URL":"https://onlinelibrary.wiley.com/doi/abs/10.1111/j.0030-1299.2007.15871.x","volume":"116","author":[{"family":"Rand","given":"Tatyana A."},{"family":"Tscharntke","given":"Teja"}],"accessed":{"date-parts":[["2019",10,23]]},"issued":{"date-parts":[["2007"]]}},"label":"page"},{"id":32769,"uris":["http://zotero.org/groups/2352922/items/ZW9527MJ"],"itemData":{"id":32769,"type":"article-journal","abstract":"The main drivers of global environmental change (CO2 enrichment, nitrogen deposition, climate, biotic invasions and land use) cause extinctions and alter species distributions, and recent evidence shows that they exert pervasive impacts on various antagonistic and mutualistic interactions among species. In this review, we synthesize data from 688 published studies to show that these drivers often alter competitive interactions among plants and animals, exert multitrophic effects on the decomposer food web, increase intensity of pathogen infection, weaken mutualisms involving plants, and enhance herbivory while having variable effects on predation. A recurrent finding is that there is substantial variability among studies in both the magnitude and direction of effects of any given GEC driver on any given type of biotic interaction. Further, we show that higher order effects among multiple drivers acting simultaneously create challenges in predicting future responses to global environmental change, and that extrapolating these complex impacts across entire networks of species interactions yields unanticipated effects on ecosystems. Finally, we conclude that in order to reliably predict the effects of GEC on community and ecosystem processes, the greatest single challenge will be to determine how biotic and abiotic context alters the direction and magnitude of GEC effects on biotic interactions.","container-title":"Ecology Letters","DOI":"10.1111/j.1461-0248.2008.01250.x","ISSN":"1461-0248","issue":"12","journalAbbreviation":"Ecol. Lett.","language":"en","license":"© 2008 Blackwell Publishing Ltd/CNRS","page":"1351-1363","source":"Wiley Online Library","title":"Global change and species interactions in terrestrial ecosystems","URL":"https://onlinelibrary.wiley.com/doi/abs/10.1111/j.1461-0248.2008.01250.x","volume":"11","author":[{"family":"Tylianakis","given":"Jason M."},{"family":"Didham","given":"Raphael K."},{"family":"Bascompte","given":"Jordi"},{"family":"Wardle","given":"David A."}],"accessed":{"date-parts":[["2019",10,23]]},"issued":{"date-parts":[["2008"]]}},"label":"page"}],"schema":"https://github.com/citation-style-language/schema/raw/master/csl-citation.json"} </w:instrText>
      </w:r>
      <w:r w:rsidR="008C1BF7" w:rsidRPr="5575EBFC">
        <w:rPr>
          <w:lang w:val="en-GB"/>
        </w:rPr>
        <w:fldChar w:fldCharType="separate"/>
      </w:r>
      <w:r w:rsidR="6B5F9B9E">
        <w:t>(Rand &amp; Tscharntke, 2007; W. E. Snyder &amp; Evans, 2006; Tylianakis et al., 2008)</w:t>
      </w:r>
      <w:r w:rsidR="008C1BF7" w:rsidRPr="5575EBFC">
        <w:rPr>
          <w:lang w:val="en-GB"/>
        </w:rPr>
        <w:fldChar w:fldCharType="end"/>
      </w:r>
      <w:r w:rsidRPr="5575EBFC">
        <w:rPr>
          <w:lang w:val="en-GB"/>
        </w:rPr>
        <w:t xml:space="preserve">. </w:t>
      </w:r>
      <w:r w:rsidR="4FC4B166" w:rsidRPr="5575EBFC">
        <w:rPr>
          <w:lang w:val="en-GB"/>
        </w:rPr>
        <w:t xml:space="preserve">Loss of hunted and fished native species may also motivate </w:t>
      </w:r>
      <w:r w:rsidR="23549995" w:rsidRPr="5575EBFC">
        <w:rPr>
          <w:lang w:val="en-GB"/>
        </w:rPr>
        <w:t xml:space="preserve">the release of alien species as alternative </w:t>
      </w:r>
      <w:r w:rsidR="146B5B21" w:rsidRPr="5575EBFC">
        <w:rPr>
          <w:lang w:val="en-GB"/>
        </w:rPr>
        <w:t>species for ha</w:t>
      </w:r>
      <w:r w:rsidR="31456F47" w:rsidRPr="5575EBFC">
        <w:rPr>
          <w:lang w:val="en-GB"/>
        </w:rPr>
        <w:t>r</w:t>
      </w:r>
      <w:r w:rsidR="146B5B21" w:rsidRPr="5575EBFC">
        <w:rPr>
          <w:lang w:val="en-GB"/>
        </w:rPr>
        <w:t>vest, as discussed below for terrestrial and a</w:t>
      </w:r>
      <w:r w:rsidR="725B545F" w:rsidRPr="5575EBFC">
        <w:rPr>
          <w:lang w:val="en-GB"/>
        </w:rPr>
        <w:t>q</w:t>
      </w:r>
      <w:r w:rsidR="146B5B21" w:rsidRPr="5575EBFC">
        <w:rPr>
          <w:lang w:val="en-GB"/>
        </w:rPr>
        <w:t xml:space="preserve">uatic settings. </w:t>
      </w:r>
    </w:p>
    <w:p w14:paraId="5D62015E" w14:textId="77777777" w:rsidR="008D63B3" w:rsidRPr="00DA249F" w:rsidRDefault="008D63B3" w:rsidP="00B361D5">
      <w:pPr>
        <w:pStyle w:val="Heading3"/>
        <w:numPr>
          <w:ilvl w:val="4"/>
          <w:numId w:val="30"/>
        </w:numPr>
        <w:rPr>
          <w:rStyle w:val="normaltextrun"/>
          <w:lang w:val="en-GB"/>
        </w:rPr>
      </w:pPr>
      <w:r w:rsidRPr="00DA249F">
        <w:rPr>
          <w:rStyle w:val="normaltextrun"/>
          <w:lang w:val="en-GB"/>
        </w:rPr>
        <w:t>Introduction of game</w:t>
      </w:r>
      <w:r w:rsidR="00883084" w:rsidRPr="00DA249F">
        <w:rPr>
          <w:rStyle w:val="normaltextrun"/>
          <w:lang w:val="en-GB"/>
        </w:rPr>
        <w:t xml:space="preserve"> for hunting</w:t>
      </w:r>
    </w:p>
    <w:p w14:paraId="13DB61AC" w14:textId="3B8C2585" w:rsidR="008D63B3" w:rsidRPr="00DA249F" w:rsidRDefault="7C73785F" w:rsidP="008D63B3">
      <w:pPr>
        <w:rPr>
          <w:lang w:val="en-GB"/>
        </w:rPr>
      </w:pPr>
      <w:r w:rsidRPr="728F2DAF">
        <w:rPr>
          <w:rStyle w:val="eop"/>
          <w:lang w:val="en-GB"/>
        </w:rPr>
        <w:t>S</w:t>
      </w:r>
      <w:r w:rsidR="72B02DF3" w:rsidRPr="728F2DAF">
        <w:rPr>
          <w:rStyle w:val="eop"/>
          <w:lang w:val="en-GB"/>
        </w:rPr>
        <w:t xml:space="preserve">tocking of game for hunting purposes is a common practice in many parts of the </w:t>
      </w:r>
      <w:r w:rsidR="0B667B13" w:rsidRPr="728F2DAF">
        <w:rPr>
          <w:rStyle w:val="eop"/>
          <w:lang w:val="en-GB"/>
        </w:rPr>
        <w:t>world</w:t>
      </w:r>
      <w:r w:rsidR="2DEB94C6" w:rsidRPr="728F2DAF">
        <w:rPr>
          <w:rStyle w:val="eop"/>
          <w:lang w:val="en-GB"/>
        </w:rPr>
        <w:t xml:space="preserve">, </w:t>
      </w:r>
      <w:r w:rsidR="7D54A11C" w:rsidRPr="728F2DAF">
        <w:rPr>
          <w:rStyle w:val="eop"/>
          <w:lang w:val="en-GB"/>
        </w:rPr>
        <w:t>for</w:t>
      </w:r>
      <w:r w:rsidR="2DEB94C6" w:rsidRPr="728F2DAF">
        <w:rPr>
          <w:rStyle w:val="eop"/>
          <w:lang w:val="en-GB"/>
        </w:rPr>
        <w:t xml:space="preserve"> </w:t>
      </w:r>
      <w:r w:rsidR="4BE66ED8" w:rsidRPr="728F2DAF">
        <w:rPr>
          <w:rStyle w:val="eop"/>
          <w:lang w:val="en-GB"/>
        </w:rPr>
        <w:t>both recreational</w:t>
      </w:r>
      <w:r w:rsidR="0B667B13" w:rsidRPr="728F2DAF">
        <w:rPr>
          <w:rStyle w:val="eop"/>
          <w:lang w:val="en-GB"/>
        </w:rPr>
        <w:t xml:space="preserve"> and</w:t>
      </w:r>
      <w:r w:rsidRPr="728F2DAF">
        <w:rPr>
          <w:rStyle w:val="eop"/>
          <w:lang w:val="en-GB"/>
        </w:rPr>
        <w:t xml:space="preserve"> </w:t>
      </w:r>
      <w:r w:rsidR="4BE66ED8" w:rsidRPr="728F2DAF">
        <w:rPr>
          <w:rStyle w:val="eop"/>
          <w:lang w:val="en-GB"/>
        </w:rPr>
        <w:t>subsistence uses</w:t>
      </w:r>
      <w:r w:rsidR="44E7580E" w:rsidRPr="728F2DAF">
        <w:rPr>
          <w:rStyle w:val="eop"/>
          <w:lang w:val="en-GB"/>
        </w:rPr>
        <w:t xml:space="preserve"> (</w:t>
      </w:r>
      <w:r w:rsidR="4BE66ED8" w:rsidRPr="728F2DAF">
        <w:rPr>
          <w:rStyle w:val="eop"/>
          <w:b/>
          <w:bCs/>
          <w:lang w:val="en-GB"/>
        </w:rPr>
        <w:t xml:space="preserve">section </w:t>
      </w:r>
      <w:r w:rsidR="716345DB" w:rsidRPr="728F2DAF">
        <w:rPr>
          <w:rStyle w:val="eop"/>
          <w:b/>
          <w:bCs/>
          <w:lang w:val="en-GB"/>
        </w:rPr>
        <w:t>3.2.1</w:t>
      </w:r>
      <w:r w:rsidR="716345DB" w:rsidRPr="728F2DAF">
        <w:rPr>
          <w:rStyle w:val="eop"/>
          <w:lang w:val="en-GB"/>
        </w:rPr>
        <w:t>,</w:t>
      </w:r>
      <w:r w:rsidR="716345DB" w:rsidRPr="728F2DAF">
        <w:rPr>
          <w:rStyle w:val="eop"/>
          <w:b/>
          <w:bCs/>
          <w:lang w:val="en-GB"/>
        </w:rPr>
        <w:t xml:space="preserve"> </w:t>
      </w:r>
      <w:r w:rsidR="00E23B69">
        <w:rPr>
          <w:rStyle w:val="eop"/>
          <w:b/>
          <w:bCs/>
          <w:lang w:val="en-GB"/>
        </w:rPr>
        <w:t>Box</w:t>
      </w:r>
      <w:r w:rsidR="73FFE888" w:rsidRPr="728F2DAF">
        <w:rPr>
          <w:rStyle w:val="eop"/>
          <w:b/>
          <w:bCs/>
          <w:lang w:val="en-GB"/>
        </w:rPr>
        <w:t xml:space="preserve"> </w:t>
      </w:r>
      <w:r w:rsidR="716345DB" w:rsidRPr="728F2DAF">
        <w:rPr>
          <w:rStyle w:val="eop"/>
          <w:b/>
          <w:bCs/>
          <w:lang w:val="en-GB"/>
        </w:rPr>
        <w:t>3.2</w:t>
      </w:r>
      <w:r w:rsidR="716345DB" w:rsidRPr="728F2DAF">
        <w:rPr>
          <w:rStyle w:val="eop"/>
          <w:lang w:val="en-GB"/>
        </w:rPr>
        <w:t>)</w:t>
      </w:r>
      <w:r w:rsidR="44E7580E" w:rsidRPr="728F2DAF">
        <w:rPr>
          <w:rStyle w:val="eop"/>
          <w:lang w:val="en-GB"/>
        </w:rPr>
        <w:t>,</w:t>
      </w:r>
      <w:r w:rsidR="716345DB" w:rsidRPr="728F2DAF">
        <w:rPr>
          <w:rStyle w:val="eop"/>
          <w:lang w:val="en-GB"/>
        </w:rPr>
        <w:t xml:space="preserve"> </w:t>
      </w:r>
      <w:r w:rsidR="0B667B13" w:rsidRPr="728F2DAF">
        <w:rPr>
          <w:rStyle w:val="eop"/>
          <w:lang w:val="en-GB"/>
        </w:rPr>
        <w:t>and</w:t>
      </w:r>
      <w:r w:rsidRPr="728F2DAF">
        <w:rPr>
          <w:rStyle w:val="eop"/>
          <w:lang w:val="en-GB"/>
        </w:rPr>
        <w:t xml:space="preserve"> can be an important </w:t>
      </w:r>
      <w:r w:rsidR="2281CD1F" w:rsidRPr="728F2DAF">
        <w:rPr>
          <w:rStyle w:val="eop"/>
          <w:lang w:val="en-GB"/>
        </w:rPr>
        <w:t xml:space="preserve">driver </w:t>
      </w:r>
      <w:r w:rsidR="6EB69298" w:rsidRPr="728F2DAF">
        <w:rPr>
          <w:rStyle w:val="eop"/>
          <w:lang w:val="en-GB"/>
        </w:rPr>
        <w:t>facilitating invasive alien species</w:t>
      </w:r>
      <w:r w:rsidR="261F5718" w:rsidRPr="728F2DAF">
        <w:rPr>
          <w:rStyle w:val="eop"/>
          <w:lang w:val="en-GB"/>
        </w:rPr>
        <w:t xml:space="preserve"> in many different contexts</w:t>
      </w:r>
      <w:r w:rsidR="2281CD1F" w:rsidRPr="728F2DAF">
        <w:rPr>
          <w:rStyle w:val="eop"/>
          <w:lang w:val="en-GB"/>
        </w:rPr>
        <w:t xml:space="preserve">. </w:t>
      </w:r>
      <w:r w:rsidR="72B02DF3" w:rsidRPr="728F2DAF">
        <w:rPr>
          <w:rStyle w:val="eop"/>
          <w:lang w:val="en-GB"/>
        </w:rPr>
        <w:t xml:space="preserve">A European study </w:t>
      </w:r>
      <w:r w:rsidR="00461056" w:rsidRPr="728F2DAF">
        <w:rPr>
          <w:rStyle w:val="eop"/>
          <w:lang w:val="en-GB"/>
        </w:rPr>
        <w:fldChar w:fldCharType="begin"/>
      </w:r>
      <w:r w:rsidR="00331A79">
        <w:rPr>
          <w:rStyle w:val="eop"/>
          <w:lang w:val="en-GB"/>
        </w:rPr>
        <w:instrText xml:space="preserve"> ADDIN ZOTERO_ITEM CSL_CITATION {"citationID":"j5f4lklX","properties":{"formattedCitation":"(Carpio et al., 2017)","plainCitation":"(Carpio et al., 2017)","noteIndex":0},"citationItems":[{"id":30460,"uris":["http://zotero.org/groups/2352922/items/AS96IHE2"],"itemData":{"id":30460,"type":"article-journal","container-title":"Biological Invasions","DOI":"10.1007/s10530-016-1313-0","ISSN":"1387-3547, 1573-1464","issue":"4","journalAbbreviation":"Biol Invasions","language":"en","page":"1197-1211","source":"DOI.org (Crossref)","title":"Hunting as a source of alien species: a European review","title-short":"Hunting as a source of alien species","URL":"http://link.springer.com/10.1007/s10530-016-1313-0","volume":"19","author":[{"family":"Carpio","given":"Antonio J."},{"family":"Guerrero-Casado","given":"José"},{"family":"Barasona","given":"José A."},{"family":"Tortosa","given":"Francisco S."},{"family":"Vicente","given":"Joaquín"},{"family":"Hillström","given":"Lars"},{"family":"Delibes-Mateos","given":"Miguel"}],"accessed":{"date-parts":[["2020",8,9]]},"issued":{"date-parts":[["2017",4]]}},"label":"page"}],"schema":"https://github.com/citation-style-language/schema/raw/master/csl-citation.json"} </w:instrText>
      </w:r>
      <w:r w:rsidR="00461056" w:rsidRPr="728F2DAF">
        <w:rPr>
          <w:rStyle w:val="eop"/>
          <w:lang w:val="en-GB"/>
        </w:rPr>
        <w:fldChar w:fldCharType="separate"/>
      </w:r>
      <w:r w:rsidR="73B99EB6">
        <w:t>(Carpio et al., 2017)</w:t>
      </w:r>
      <w:r w:rsidR="00461056" w:rsidRPr="728F2DAF">
        <w:rPr>
          <w:rStyle w:val="eop"/>
          <w:lang w:val="en-GB"/>
        </w:rPr>
        <w:fldChar w:fldCharType="end"/>
      </w:r>
      <w:r w:rsidR="72B02DF3" w:rsidRPr="728F2DAF">
        <w:rPr>
          <w:rStyle w:val="eop"/>
          <w:lang w:val="en-GB"/>
        </w:rPr>
        <w:t xml:space="preserve"> </w:t>
      </w:r>
      <w:r w:rsidR="72B02DF3" w:rsidRPr="728F2DAF">
        <w:rPr>
          <w:rStyle w:val="eop"/>
          <w:lang w:val="en-GB"/>
        </w:rPr>
        <w:lastRenderedPageBreak/>
        <w:t xml:space="preserve">found stocking for hunting </w:t>
      </w:r>
      <w:r w:rsidR="621E5E7B" w:rsidRPr="728F2DAF">
        <w:rPr>
          <w:rStyle w:val="eop"/>
          <w:lang w:val="en-GB"/>
        </w:rPr>
        <w:t>to be</w:t>
      </w:r>
      <w:r w:rsidR="72B02DF3" w:rsidRPr="728F2DAF">
        <w:rPr>
          <w:rStyle w:val="eop"/>
          <w:lang w:val="en-GB"/>
        </w:rPr>
        <w:t xml:space="preserve"> a dominant source of mammal</w:t>
      </w:r>
      <w:r w:rsidR="00DDCCD3" w:rsidRPr="728F2DAF">
        <w:rPr>
          <w:rStyle w:val="eop"/>
          <w:lang w:val="en-GB"/>
        </w:rPr>
        <w:t xml:space="preserve"> </w:t>
      </w:r>
      <w:r w:rsidR="72B02DF3" w:rsidRPr="728F2DAF">
        <w:rPr>
          <w:rStyle w:val="eop"/>
          <w:lang w:val="en-GB"/>
        </w:rPr>
        <w:t>introductions (24</w:t>
      </w:r>
      <w:r w:rsidR="0B667B13" w:rsidRPr="728F2DAF">
        <w:rPr>
          <w:rStyle w:val="eop"/>
          <w:lang w:val="en-GB"/>
        </w:rPr>
        <w:t xml:space="preserve"> </w:t>
      </w:r>
      <w:r w:rsidR="6085BAA6" w:rsidRPr="728F2DAF">
        <w:rPr>
          <w:rStyle w:val="eop"/>
          <w:lang w:val="en-GB"/>
        </w:rPr>
        <w:t>per cent</w:t>
      </w:r>
      <w:r w:rsidR="2FA2D7C1" w:rsidRPr="728F2DAF">
        <w:rPr>
          <w:rStyle w:val="eop"/>
          <w:lang w:val="en-GB"/>
        </w:rPr>
        <w:t xml:space="preserve"> of </w:t>
      </w:r>
      <w:r w:rsidR="00DDCCD3" w:rsidRPr="728F2DAF">
        <w:rPr>
          <w:rStyle w:val="eop"/>
          <w:lang w:val="en-GB"/>
        </w:rPr>
        <w:t xml:space="preserve">all </w:t>
      </w:r>
      <w:r w:rsidR="24A723EB" w:rsidRPr="728F2DAF">
        <w:rPr>
          <w:rStyle w:val="eop"/>
          <w:lang w:val="en-GB"/>
        </w:rPr>
        <w:t xml:space="preserve">known </w:t>
      </w:r>
      <w:r w:rsidR="2FA2D7C1" w:rsidRPr="728F2DAF">
        <w:rPr>
          <w:rStyle w:val="eop"/>
          <w:lang w:val="en-GB"/>
        </w:rPr>
        <w:t>introductions</w:t>
      </w:r>
      <w:r w:rsidR="72B02DF3" w:rsidRPr="728F2DAF">
        <w:rPr>
          <w:rStyle w:val="eop"/>
          <w:lang w:val="en-GB"/>
        </w:rPr>
        <w:t>) and birds (30</w:t>
      </w:r>
      <w:r w:rsidR="0B667B13" w:rsidRPr="728F2DAF">
        <w:rPr>
          <w:rStyle w:val="eop"/>
          <w:lang w:val="en-GB"/>
        </w:rPr>
        <w:t xml:space="preserve"> </w:t>
      </w:r>
      <w:r w:rsidR="6085BAA6" w:rsidRPr="728F2DAF">
        <w:rPr>
          <w:rStyle w:val="eop"/>
          <w:lang w:val="en-GB"/>
        </w:rPr>
        <w:t>per cent</w:t>
      </w:r>
      <w:r w:rsidR="72B02DF3" w:rsidRPr="728F2DAF">
        <w:rPr>
          <w:rStyle w:val="eop"/>
          <w:lang w:val="en-GB"/>
        </w:rPr>
        <w:t>). Similar patterns were observed in Latin America, where 39</w:t>
      </w:r>
      <w:r w:rsidR="0B667B13" w:rsidRPr="728F2DAF">
        <w:rPr>
          <w:rStyle w:val="eop"/>
          <w:lang w:val="en-GB"/>
        </w:rPr>
        <w:t xml:space="preserve"> </w:t>
      </w:r>
      <w:r w:rsidR="6085BAA6" w:rsidRPr="728F2DAF">
        <w:rPr>
          <w:rStyle w:val="eop"/>
          <w:lang w:val="en-GB"/>
        </w:rPr>
        <w:t>per cent</w:t>
      </w:r>
      <w:r w:rsidR="72B02DF3" w:rsidRPr="728F2DAF">
        <w:rPr>
          <w:rStyle w:val="eop"/>
          <w:lang w:val="en-GB"/>
        </w:rPr>
        <w:t xml:space="preserve"> and 22</w:t>
      </w:r>
      <w:r w:rsidR="0B667B13" w:rsidRPr="728F2DAF">
        <w:rPr>
          <w:rStyle w:val="eop"/>
          <w:lang w:val="en-GB"/>
        </w:rPr>
        <w:t xml:space="preserve"> </w:t>
      </w:r>
      <w:r w:rsidR="6085BAA6" w:rsidRPr="728F2DAF">
        <w:rPr>
          <w:rStyle w:val="eop"/>
          <w:lang w:val="en-GB"/>
        </w:rPr>
        <w:t>per cent</w:t>
      </w:r>
      <w:r w:rsidR="0B667B13" w:rsidRPr="728F2DAF">
        <w:rPr>
          <w:rStyle w:val="eop"/>
          <w:lang w:val="en-GB"/>
        </w:rPr>
        <w:t xml:space="preserve"> </w:t>
      </w:r>
      <w:r w:rsidR="101BB4DE" w:rsidRPr="728F2DAF">
        <w:rPr>
          <w:rStyle w:val="eop"/>
          <w:lang w:val="en-GB"/>
        </w:rPr>
        <w:t xml:space="preserve">respectively, </w:t>
      </w:r>
      <w:r w:rsidR="72B02DF3" w:rsidRPr="728F2DAF">
        <w:rPr>
          <w:rStyle w:val="eop"/>
          <w:lang w:val="en-GB"/>
        </w:rPr>
        <w:t xml:space="preserve">of </w:t>
      </w:r>
      <w:r w:rsidR="1AF57C53" w:rsidRPr="728F2DAF">
        <w:rPr>
          <w:rStyle w:val="eop"/>
          <w:lang w:val="en-GB"/>
        </w:rPr>
        <w:t xml:space="preserve">the </w:t>
      </w:r>
      <w:r w:rsidR="74B8D1CB" w:rsidRPr="728F2DAF">
        <w:rPr>
          <w:rStyle w:val="eop"/>
          <w:lang w:val="en-GB"/>
        </w:rPr>
        <w:t xml:space="preserve">introduced </w:t>
      </w:r>
      <w:r w:rsidR="72B02DF3" w:rsidRPr="728F2DAF">
        <w:rPr>
          <w:rStyle w:val="eop"/>
          <w:lang w:val="en-GB"/>
        </w:rPr>
        <w:t>mammals</w:t>
      </w:r>
      <w:r w:rsidR="74B8D1CB" w:rsidRPr="728F2DAF">
        <w:rPr>
          <w:rStyle w:val="eop"/>
          <w:lang w:val="en-GB"/>
        </w:rPr>
        <w:t xml:space="preserve"> (69 species in total)</w:t>
      </w:r>
      <w:r w:rsidR="72B02DF3" w:rsidRPr="728F2DAF">
        <w:rPr>
          <w:rStyle w:val="eop"/>
          <w:lang w:val="en-GB"/>
        </w:rPr>
        <w:t xml:space="preserve"> and birds</w:t>
      </w:r>
      <w:r w:rsidR="74B8D1CB" w:rsidRPr="728F2DAF">
        <w:rPr>
          <w:rStyle w:val="eop"/>
          <w:lang w:val="en-GB"/>
        </w:rPr>
        <w:t xml:space="preserve"> (62</w:t>
      </w:r>
      <w:r w:rsidR="0B875B4D" w:rsidRPr="728F2DAF">
        <w:rPr>
          <w:rStyle w:val="eop"/>
          <w:lang w:val="en-GB"/>
        </w:rPr>
        <w:t xml:space="preserve"> </w:t>
      </w:r>
      <w:r w:rsidR="74B8D1CB" w:rsidRPr="728F2DAF">
        <w:rPr>
          <w:rStyle w:val="eop"/>
          <w:lang w:val="en-GB"/>
        </w:rPr>
        <w:t>species)</w:t>
      </w:r>
      <w:r w:rsidR="72B02DF3" w:rsidRPr="728F2DAF">
        <w:rPr>
          <w:rStyle w:val="eop"/>
          <w:lang w:val="en-GB"/>
        </w:rPr>
        <w:t>, were introduced intentionally for hunting purposes, compared to</w:t>
      </w:r>
      <w:r w:rsidR="101BB4DE" w:rsidRPr="728F2DAF">
        <w:rPr>
          <w:rStyle w:val="eop"/>
          <w:lang w:val="en-GB"/>
        </w:rPr>
        <w:t xml:space="preserve"> an overall</w:t>
      </w:r>
      <w:r w:rsidR="72B02DF3" w:rsidRPr="728F2DAF">
        <w:rPr>
          <w:rStyle w:val="eop"/>
          <w:lang w:val="en-GB"/>
        </w:rPr>
        <w:t xml:space="preserve"> 11.2</w:t>
      </w:r>
      <w:r w:rsidR="0B667B13" w:rsidRPr="728F2DAF">
        <w:rPr>
          <w:rStyle w:val="eop"/>
          <w:lang w:val="en-GB"/>
        </w:rPr>
        <w:t xml:space="preserve"> </w:t>
      </w:r>
      <w:r w:rsidR="6085BAA6" w:rsidRPr="728F2DAF">
        <w:rPr>
          <w:rStyle w:val="eop"/>
          <w:lang w:val="en-GB"/>
        </w:rPr>
        <w:t>per cent</w:t>
      </w:r>
      <w:r w:rsidR="72B02DF3" w:rsidRPr="728F2DAF">
        <w:rPr>
          <w:rStyle w:val="eop"/>
          <w:lang w:val="en-GB"/>
        </w:rPr>
        <w:t xml:space="preserve"> for </w:t>
      </w:r>
      <w:r w:rsidR="0D05CEF9" w:rsidRPr="728F2DAF">
        <w:rPr>
          <w:rStyle w:val="eop"/>
          <w:lang w:val="en-GB"/>
        </w:rPr>
        <w:t>food and feed</w:t>
      </w:r>
      <w:r w:rsidR="72B02DF3" w:rsidRPr="728F2DAF">
        <w:rPr>
          <w:rStyle w:val="eop"/>
          <w:lang w:val="en-GB"/>
        </w:rPr>
        <w:t>, 5.3</w:t>
      </w:r>
      <w:r w:rsidR="0B667B13" w:rsidRPr="728F2DAF">
        <w:rPr>
          <w:rStyle w:val="eop"/>
          <w:lang w:val="en-GB"/>
        </w:rPr>
        <w:t xml:space="preserve"> </w:t>
      </w:r>
      <w:r w:rsidR="6085BAA6" w:rsidRPr="728F2DAF">
        <w:rPr>
          <w:rStyle w:val="eop"/>
          <w:lang w:val="en-GB"/>
        </w:rPr>
        <w:t>per cent</w:t>
      </w:r>
      <w:r w:rsidR="72B02DF3" w:rsidRPr="728F2DAF">
        <w:rPr>
          <w:rStyle w:val="eop"/>
          <w:lang w:val="en-GB"/>
        </w:rPr>
        <w:t xml:space="preserve"> for biological control, and 4.2</w:t>
      </w:r>
      <w:r w:rsidR="0B667B13" w:rsidRPr="728F2DAF">
        <w:rPr>
          <w:rStyle w:val="eop"/>
          <w:lang w:val="en-GB"/>
        </w:rPr>
        <w:t xml:space="preserve"> </w:t>
      </w:r>
      <w:r w:rsidR="6085BAA6" w:rsidRPr="728F2DAF">
        <w:rPr>
          <w:rStyle w:val="eop"/>
          <w:lang w:val="en-GB"/>
        </w:rPr>
        <w:t>per cent</w:t>
      </w:r>
      <w:r w:rsidR="72B02DF3" w:rsidRPr="728F2DAF">
        <w:rPr>
          <w:rStyle w:val="eop"/>
          <w:lang w:val="en-GB"/>
        </w:rPr>
        <w:t xml:space="preserve"> for fur industry </w:t>
      </w:r>
      <w:r w:rsidR="00461056" w:rsidRPr="728F2DAF">
        <w:rPr>
          <w:rStyle w:val="eop"/>
          <w:lang w:val="en-GB"/>
        </w:rPr>
        <w:fldChar w:fldCharType="begin"/>
      </w:r>
      <w:r w:rsidR="00331A79">
        <w:rPr>
          <w:rStyle w:val="eop"/>
          <w:lang w:val="en-GB"/>
        </w:rPr>
        <w:instrText xml:space="preserve"> ADDIN ZOTERO_ITEM CSL_CITATION {"citationID":"JufuQOVq","properties":{"formattedCitation":"(Carpio et al., 2020)","plainCitation":"(Carpio et al., 2020)","noteIndex":0},"citationItems":[{"id":32964,"uris":["http://zotero.org/groups/2352922/items/97QE4N6L"],"itemData":{"id":32964,"type":"article-journal","abstract":"Assessing the pathways by which alien species are introduced is essential if we are to identify potential risks and evaluate management decisions. Intentional introductions are responsible for the introductions of millions of animals throughout Latin America. We explore: (1) the relative role of several intentional introduction pathways (hunting, feeding, fur, biological control, the pet trade and others) in the general context of introductions of alien species; (2) the relative importance of the intentional pathways across the different taxa; (3) similar patterns as regards the composition of alien species across countries, (4) the underlying factors that drive the richness of alien species in Latin America, and (5) the potential impacts of alien species on the region. According to our results, 69 species of mammals and 62 species of birds were introduced into Latin America by means of intentional pathways, of which the most important taxa were Artiodactyls, Primates, Passeriformes and Psittaciformes. The main introductions pathways were the pet/ornamental trades (70.9%) for birds, and hunting (39.1%) and pet trade/ornamental purposes (37.7%) for mammals. The composition of species differed among countries, with a higher richness of species in those countries with a high percentage of urban populations, with a higher native species biodiversity, with a high % of GDP owing to imports (birds) and in those with a high number of trafﬁcked species (mammals). This review stresses that the pet trade and hunting are important pathways for the introduction of alien species, some of which have had severe impacts on many countries.","container-title":"Global Ecology and Conservation","DOI":"10.1016/j.gecco.2020.e00949","ISSN":"23519894","journalAbbreviation":"Global Ecology and Conservation","language":"en","page":"e00949","source":"DOI.org (Crossref)","title":"Intentional introduction pathways of alien birds and mammals in Latin America","URL":"https://linkinghub.elsevier.com/retrieve/pii/S2351989419306419","volume":"22","author":[{"family":"Carpio","given":"Antonio .J."},{"family":"Álvarez","given":"Y."},{"family":"Oteros","given":"J."},{"family":"León","given":"F."},{"family":"Tortosa","given":"F.S."}],"accessed":{"date-parts":[["2020",8,9]]},"issued":{"date-parts":[["2020",6]]}},"label":"page"}],"schema":"https://github.com/citation-style-language/schema/raw/master/csl-citation.json"} </w:instrText>
      </w:r>
      <w:r w:rsidR="00461056" w:rsidRPr="728F2DAF">
        <w:rPr>
          <w:rStyle w:val="eop"/>
          <w:lang w:val="en-GB"/>
        </w:rPr>
        <w:fldChar w:fldCharType="separate"/>
      </w:r>
      <w:r w:rsidR="73B99EB6">
        <w:t>(Carpio et al., 2020)</w:t>
      </w:r>
      <w:r w:rsidR="00461056" w:rsidRPr="728F2DAF">
        <w:rPr>
          <w:rStyle w:val="eop"/>
          <w:lang w:val="en-GB"/>
        </w:rPr>
        <w:fldChar w:fldCharType="end"/>
      </w:r>
      <w:r w:rsidR="72B02DF3" w:rsidRPr="728F2DAF">
        <w:rPr>
          <w:rStyle w:val="eop"/>
          <w:lang w:val="en-GB"/>
        </w:rPr>
        <w:t xml:space="preserve">. </w:t>
      </w:r>
      <w:r w:rsidR="4ECA33F3" w:rsidRPr="728F2DAF">
        <w:rPr>
          <w:rStyle w:val="eop"/>
          <w:lang w:val="en-GB"/>
        </w:rPr>
        <w:t>I</w:t>
      </w:r>
      <w:r w:rsidR="72B02DF3" w:rsidRPr="728F2DAF">
        <w:rPr>
          <w:rStyle w:val="eop"/>
          <w:lang w:val="en-GB"/>
        </w:rPr>
        <w:t>n the U</w:t>
      </w:r>
      <w:r w:rsidR="438F3D96" w:rsidRPr="728F2DAF">
        <w:rPr>
          <w:rStyle w:val="eop"/>
          <w:lang w:val="en-GB"/>
        </w:rPr>
        <w:t xml:space="preserve">nited </w:t>
      </w:r>
      <w:r w:rsidR="72B02DF3" w:rsidRPr="728F2DAF">
        <w:rPr>
          <w:rStyle w:val="eop"/>
          <w:lang w:val="en-GB"/>
        </w:rPr>
        <w:t>S</w:t>
      </w:r>
      <w:r w:rsidR="438F3D96" w:rsidRPr="728F2DAF">
        <w:rPr>
          <w:rStyle w:val="eop"/>
          <w:lang w:val="en-GB"/>
        </w:rPr>
        <w:t>tates</w:t>
      </w:r>
      <w:r w:rsidR="4ECA33F3" w:rsidRPr="728F2DAF">
        <w:rPr>
          <w:rStyle w:val="eop"/>
          <w:lang w:val="en-GB"/>
        </w:rPr>
        <w:t>, game ranches are</w:t>
      </w:r>
      <w:r w:rsidR="0D05CEF9" w:rsidRPr="728F2DAF">
        <w:rPr>
          <w:rStyle w:val="eop"/>
          <w:lang w:val="en-GB"/>
        </w:rPr>
        <w:t xml:space="preserve"> also</w:t>
      </w:r>
      <w:r w:rsidR="72B02DF3" w:rsidRPr="728F2DAF">
        <w:rPr>
          <w:rStyle w:val="eop"/>
          <w:lang w:val="en-GB"/>
        </w:rPr>
        <w:t xml:space="preserve"> sources of invasive </w:t>
      </w:r>
      <w:r w:rsidR="12BD40DF" w:rsidRPr="728F2DAF">
        <w:rPr>
          <w:rStyle w:val="eop"/>
          <w:lang w:val="en-GB"/>
        </w:rPr>
        <w:t xml:space="preserve">alien </w:t>
      </w:r>
      <w:r w:rsidR="72B02DF3" w:rsidRPr="728F2DAF">
        <w:rPr>
          <w:rStyle w:val="eop"/>
          <w:lang w:val="en-GB"/>
        </w:rPr>
        <w:t xml:space="preserve">species </w:t>
      </w:r>
      <w:r w:rsidR="00461056" w:rsidRPr="728F2DAF">
        <w:rPr>
          <w:rStyle w:val="eop"/>
          <w:lang w:val="en-GB"/>
        </w:rPr>
        <w:fldChar w:fldCharType="begin"/>
      </w:r>
      <w:r w:rsidR="00331A79">
        <w:rPr>
          <w:rStyle w:val="eop"/>
          <w:lang w:val="en-GB"/>
        </w:rPr>
        <w:instrText xml:space="preserve"> ADDIN ZOTERO_ITEM CSL_CITATION {"citationID":"28SNLShV","properties":{"formattedCitation":"(Geist, 1985)","plainCitation":"(Geist, 1985)","noteIndex":0},"citationItems":[{"id":54654,"uris":["http://zotero.org/groups/2352922/items/DRVQJN8Z"],"itemData":{"id":54654,"type":"article-journal","container-title":"Wildlife Society Bulletin (1973-2006)","ISSN":"0091-7648","issue":"4","note":"publisher: [Wiley, Wildlife Society]","page":"594-598","source":"JSTOR","title":"Game Ranching: Threat to Wildlife Conservation in North America","title-short":"Game Ranching","URL":"https://www.jstor.org/stable/3782696","volume":"13","author":[{"family":"Geist","given":"Valerius"}],"accessed":{"date-parts":[["2023",3,7]]},"issued":{"date-parts":[["1985"]]}}}],"schema":"https://github.com/citation-style-language/schema/raw/master/csl-citation.json"} </w:instrText>
      </w:r>
      <w:r w:rsidR="00461056" w:rsidRPr="728F2DAF">
        <w:rPr>
          <w:rStyle w:val="eop"/>
          <w:lang w:val="en-GB"/>
        </w:rPr>
        <w:fldChar w:fldCharType="separate"/>
      </w:r>
      <w:r w:rsidR="73B99EB6">
        <w:t>(Geist, 1985)</w:t>
      </w:r>
      <w:r w:rsidR="00461056" w:rsidRPr="728F2DAF">
        <w:rPr>
          <w:rStyle w:val="eop"/>
          <w:lang w:val="en-GB"/>
        </w:rPr>
        <w:fldChar w:fldCharType="end"/>
      </w:r>
      <w:r w:rsidR="3D962544" w:rsidRPr="728F2DAF">
        <w:rPr>
          <w:rStyle w:val="eop"/>
          <w:lang w:val="en-GB"/>
        </w:rPr>
        <w:t xml:space="preserve">. </w:t>
      </w:r>
      <w:r w:rsidR="72B02DF3" w:rsidRPr="728F2DAF">
        <w:rPr>
          <w:rStyle w:val="eop"/>
          <w:lang w:val="en-GB"/>
        </w:rPr>
        <w:t xml:space="preserve">Common </w:t>
      </w:r>
      <w:r w:rsidR="7B829D95" w:rsidRPr="728F2DAF">
        <w:rPr>
          <w:rStyle w:val="eop"/>
          <w:lang w:val="en-GB"/>
        </w:rPr>
        <w:t xml:space="preserve">alien </w:t>
      </w:r>
      <w:r w:rsidR="72B02DF3" w:rsidRPr="728F2DAF">
        <w:rPr>
          <w:rStyle w:val="eop"/>
          <w:lang w:val="en-GB"/>
        </w:rPr>
        <w:t>species</w:t>
      </w:r>
      <w:r w:rsidR="72B02DF3" w:rsidRPr="728F2DAF">
        <w:rPr>
          <w:lang w:val="en-GB"/>
        </w:rPr>
        <w:t xml:space="preserve"> introduced for sport or game hunting include: deer</w:t>
      </w:r>
      <w:r w:rsidR="22AEF98D" w:rsidRPr="728F2DAF">
        <w:rPr>
          <w:lang w:val="en-GB"/>
        </w:rPr>
        <w:t xml:space="preserve"> species</w:t>
      </w:r>
      <w:r w:rsidR="72B02DF3" w:rsidRPr="728F2DAF">
        <w:rPr>
          <w:i/>
          <w:iCs/>
          <w:lang w:val="en-GB"/>
        </w:rPr>
        <w:t xml:space="preserve"> </w:t>
      </w:r>
      <w:r w:rsidR="72B02DF3" w:rsidRPr="728F2DAF">
        <w:rPr>
          <w:lang w:val="en-GB"/>
        </w:rPr>
        <w:t xml:space="preserve">in New Zealand </w:t>
      </w:r>
      <w:r w:rsidR="00461056" w:rsidRPr="728F2DAF">
        <w:rPr>
          <w:rStyle w:val="eop"/>
          <w:lang w:val="en-GB"/>
        </w:rPr>
        <w:fldChar w:fldCharType="begin"/>
      </w:r>
      <w:r w:rsidR="00331A79">
        <w:rPr>
          <w:rStyle w:val="eop"/>
          <w:lang w:val="en-GB"/>
        </w:rPr>
        <w:instrText xml:space="preserve"> ADDIN ZOTERO_ITEM CSL_CITATION {"citationID":"rxFfqKYH","properties":{"formattedCitation":"(C. M. King &amp; Barrett, 2005)","plainCitation":"(C. M. King &amp; Barrett, 2005)","noteIndex":0},"citationItems":[{"id":32352,"uris":["http://zotero.org/groups/2352922/items/6YLD7PNR"],"itemData":{"id":32352,"type":"book","edition":"Second edition","event-place":"Melbourne","ISBN":"0-19-558477-5","number-of-pages":"610","publisher":"Oxford University Press","publisher-place":"Melbourne","title":"The Handbook of New Zealand Mammals","URL":"https://natlib.govt.nz/records/22051977?search%5Bpath%5D=items&amp;search%5Btext%5D=Jones%252C+Carolyn","author":[{"family":"King","given":"Carolyn M."},{"family":"Barrett","given":"Priscilla"}],"issued":{"date-parts":[["2005"]]}},"label":"page"}],"schema":"https://github.com/citation-style-language/schema/raw/master/csl-citation.json"} </w:instrText>
      </w:r>
      <w:r w:rsidR="00461056" w:rsidRPr="728F2DAF">
        <w:rPr>
          <w:rStyle w:val="eop"/>
          <w:lang w:val="en-GB"/>
        </w:rPr>
        <w:fldChar w:fldCharType="separate"/>
      </w:r>
      <w:r w:rsidR="73B99EB6">
        <w:t>(C. M. King &amp; Barrett, 2005)</w:t>
      </w:r>
      <w:r w:rsidR="00461056" w:rsidRPr="728F2DAF">
        <w:rPr>
          <w:rStyle w:val="eop"/>
          <w:lang w:val="en-GB"/>
        </w:rPr>
        <w:fldChar w:fldCharType="end"/>
      </w:r>
      <w:r w:rsidR="3D758FE3" w:rsidRPr="728F2DAF">
        <w:rPr>
          <w:lang w:val="en-GB"/>
        </w:rPr>
        <w:t>,</w:t>
      </w:r>
      <w:r w:rsidR="72B02DF3" w:rsidRPr="728F2DAF">
        <w:rPr>
          <w:lang w:val="en-GB"/>
        </w:rPr>
        <w:t xml:space="preserve"> Australia </w:t>
      </w:r>
      <w:r w:rsidR="00461056" w:rsidRPr="728F2DAF">
        <w:rPr>
          <w:lang w:val="en-GB"/>
        </w:rPr>
        <w:fldChar w:fldCharType="begin"/>
      </w:r>
      <w:r w:rsidR="00331A79">
        <w:rPr>
          <w:lang w:val="en-GB"/>
        </w:rPr>
        <w:instrText xml:space="preserve"> ADDIN ZOTERO_ITEM CSL_CITATION {"citationID":"twPxMyRL","properties":{"formattedCitation":"(N. E. Davis et al., 2016)","plainCitation":"(N. E. Davis et al., 2016)","noteIndex":0},"citationItems":[{"id":32593,"uris":["http://zotero.org/groups/2352922/items/JF64FFSK"],"itemData":{"id":32593,"type":"article-journal","abstract":"Deer are among the world’s most successful invasive mammals and can have substantial deleterious impacts on natural and agricultural ecosystems. Six species have established wild populations in Australia, and the distributions and abundances of some species are increasing. Approaches to managing wild deer in Australia are diverse and complex, with some populations managed as ‘game’ and others as ‘pests’. Implementation of cost-effective management strategies that account for this complexity is hindered by a lack of knowledge of the nature, extent and severity of deer impacts. To clarify the knowledge base and identify research needs, we conducted a systematic review of the impacts and management of wild deer in Australia. Most wild deer are in south-eastern Australia, but bioclimatic analysis suggested that four species are well suited to the tropical and subtropical climates of northern Australia. Deer could potentially occupy most of the continent, including parts of the arid interior. The most significant impacts are likely to occur through direct effects of herbivory, with potentially cascading indirect effects on fauna and ecosystem processes. However, evidence of impacts in Australia is largely observational, and few studies have experimentally partitioned the impacts of deer from those of sympatric native and other introduced herbivores. Furthermore, there has been little rigorous testing of the efficacy of deer management in Australia, and our understanding of the deer ecology required to guide deer management is limited. We identified the following six priority research areas: (i) identifying long-term changes in plant communities caused by deer; (ii) understanding interactions with other fauna; (iii) measuring impacts on water quality; (iv) assessing economic impacts on agriculture (including as disease vectors); (v) evaluating efficacy of management for mitigating deer impacts; and (vi) quantifying changes in distribution and abundance. Addressing these knowledge gaps will assist the development and prioritisation of cost-effective management strategies and help increase stakeholder support for managing the impacts of deer on Australian ecosystems.","container-title":"Wildlife Research","DOI":"10.1071/WR16148","ISSN":"1448-5494, 1448-5494","issue":"6","journalAbbreviation":"Wildl. Res.","language":"en","note":"number: 6\npublisher: CSIRO PUBLISHING","page":"515-532","source":"www.publish.csiro.au","title":"A systematic review of the impacts and management of introduced deer (family Cervidae) in Australia","URL":"https://www.publish.csiro.au/wr/WR16148","volume":"43","author":[{"family":"Davis","given":"Naomi E."},{"family":"Bennett","given":"Ami"},{"family":"Forsyth","given":"David M."},{"family":"Bowman","given":"David M. J. S."},{"family":"Lefroy","given":"Edward C."},{"family":"Wood","given":"Samuel W."},{"family":"Woolnough","given":"Andrew P."},{"family":"West","given":"Peter"},{"family":"Hampton","given":"Jordan O."},{"family":"Johnson","given":"Christopher N."},{"family":"Davis","given":"Naomi E."},{"family":"Bennett","given":"Ami"},{"family":"Forsyth","given":"David M."},{"family":"Bowman","given":"David M. J. S."},{"family":"Lefroy","given":"Edward C."},{"family":"Wood","given":"Samuel W."},{"family":"Woolnough","given":"Andrew P."},{"family":"West","given":"Peter"},{"family":"Hampton","given":"Jordan O."},{"family":"Johnson","given":"Christopher N."}],"accessed":{"date-parts":[["2021",12,7]]},"issued":{"date-parts":[["2016",10,26]]}},"label":"page"}],"schema":"https://github.com/citation-style-language/schema/raw/master/csl-citation.json"} </w:instrText>
      </w:r>
      <w:r w:rsidR="00461056" w:rsidRPr="728F2DAF">
        <w:rPr>
          <w:lang w:val="en-GB"/>
        </w:rPr>
        <w:fldChar w:fldCharType="separate"/>
      </w:r>
      <w:r w:rsidR="73B99EB6">
        <w:t>(N. E. Davis et al., 2016)</w:t>
      </w:r>
      <w:r w:rsidR="00461056" w:rsidRPr="728F2DAF">
        <w:rPr>
          <w:lang w:val="en-GB"/>
        </w:rPr>
        <w:fldChar w:fldCharType="end"/>
      </w:r>
      <w:r w:rsidR="72B02DF3" w:rsidRPr="728F2DAF">
        <w:rPr>
          <w:lang w:val="en-GB"/>
        </w:rPr>
        <w:t xml:space="preserve">, Latin America </w:t>
      </w:r>
      <w:r w:rsidR="00461056" w:rsidRPr="728F2DAF">
        <w:rPr>
          <w:lang w:val="en-GB"/>
        </w:rPr>
        <w:fldChar w:fldCharType="begin"/>
      </w:r>
      <w:r w:rsidR="00331A79">
        <w:rPr>
          <w:lang w:val="en-GB"/>
        </w:rPr>
        <w:instrText xml:space="preserve"> ADDIN ZOTERO_ITEM CSL_CITATION {"citationID":"a9wSf4Iu","properties":{"formattedCitation":"(Petrides, 1975)","plainCitation":"(Petrides, 1975)","noteIndex":0},"citationItems":[{"id":32351,"uris":["http://zotero.org/groups/2352922/items/ZJZNL4A4"],"itemData":{"id":32351,"type":"article-journal","container-title":"Environmental Conservation","DOI":"10.1017/S0376892900000667","issue":"1","note":"ISBN: 1469-4387\npublisher: Cambridge University Press","page":"47-51","title":"The importation of wild ungulates into Latin America, with remarks on their environmental effects","volume":"2","author":[{"family":"Petrides","given":"George A."}],"issued":{"date-parts":[["1975"]]}},"label":"page"}],"schema":"https://github.com/citation-style-language/schema/raw/master/csl-citation.json"} </w:instrText>
      </w:r>
      <w:r w:rsidR="00461056" w:rsidRPr="728F2DAF">
        <w:rPr>
          <w:lang w:val="en-GB"/>
        </w:rPr>
        <w:fldChar w:fldCharType="separate"/>
      </w:r>
      <w:r w:rsidR="73B99EB6">
        <w:t>(Petrides, 1975)</w:t>
      </w:r>
      <w:r w:rsidR="00461056" w:rsidRPr="728F2DAF">
        <w:rPr>
          <w:lang w:val="en-GB"/>
        </w:rPr>
        <w:fldChar w:fldCharType="end"/>
      </w:r>
      <w:r w:rsidR="00774819">
        <w:rPr>
          <w:lang w:val="en-GB"/>
        </w:rPr>
        <w:t xml:space="preserve"> and</w:t>
      </w:r>
      <w:r w:rsidR="3D758FE3" w:rsidRPr="728F2DAF">
        <w:rPr>
          <w:lang w:val="en-GB"/>
        </w:rPr>
        <w:t xml:space="preserve"> </w:t>
      </w:r>
      <w:r w:rsidR="72B02DF3" w:rsidRPr="728F2DAF">
        <w:rPr>
          <w:lang w:val="en-GB"/>
        </w:rPr>
        <w:t xml:space="preserve">Europe </w:t>
      </w:r>
      <w:r w:rsidR="00461056" w:rsidRPr="728F2DAF">
        <w:rPr>
          <w:lang w:val="en-GB"/>
        </w:rPr>
        <w:fldChar w:fldCharType="begin"/>
      </w:r>
      <w:r w:rsidR="00331A79">
        <w:rPr>
          <w:lang w:val="en-GB"/>
        </w:rPr>
        <w:instrText xml:space="preserve"> ADDIN ZOTERO_ITEM CSL_CITATION {"citationID":"qTEIG8Is","properties":{"formattedCitation":"(Carpio et al., 2017)","plainCitation":"(Carpio et al., 2017)","noteIndex":0},"citationItems":[{"id":30460,"uris":["http://zotero.org/groups/2352922/items/AS96IHE2"],"itemData":{"id":30460,"type":"article-journal","container-title":"Biological Invasions","DOI":"10.1007/s10530-016-1313-0","ISSN":"1387-3547, 1573-1464","issue":"4","journalAbbreviation":"Biol Invasions","language":"en","page":"1197-1211","source":"DOI.org (Crossref)","title":"Hunting as a source of alien species: a European review","title-short":"Hunting as a source of alien species","URL":"http://link.springer.com/10.1007/s10530-016-1313-0","volume":"19","author":[{"family":"Carpio","given":"Antonio J."},{"family":"Guerrero-Casado","given":"José"},{"family":"Barasona","given":"José A."},{"family":"Tortosa","given":"Francisco S."},{"family":"Vicente","given":"Joaquín"},{"family":"Hillström","given":"Lars"},{"family":"Delibes-Mateos","given":"Miguel"}],"accessed":{"date-parts":[["2020",8,9]]},"issued":{"date-parts":[["2017",4]]}},"label":"page"}],"schema":"https://github.com/citation-style-language/schema/raw/master/csl-citation.json"} </w:instrText>
      </w:r>
      <w:r w:rsidR="00461056" w:rsidRPr="728F2DAF">
        <w:rPr>
          <w:lang w:val="en-GB"/>
        </w:rPr>
        <w:fldChar w:fldCharType="separate"/>
      </w:r>
      <w:r w:rsidR="73B99EB6">
        <w:t>(Carpio et al., 2017)</w:t>
      </w:r>
      <w:r w:rsidR="00461056" w:rsidRPr="728F2DAF">
        <w:rPr>
          <w:lang w:val="en-GB"/>
        </w:rPr>
        <w:fldChar w:fldCharType="end"/>
      </w:r>
      <w:r w:rsidR="72B02DF3" w:rsidRPr="728F2DAF">
        <w:rPr>
          <w:lang w:val="en-GB"/>
        </w:rPr>
        <w:t xml:space="preserve">; </w:t>
      </w:r>
      <w:r w:rsidR="5F518D6E" w:rsidRPr="728F2DAF">
        <w:rPr>
          <w:i/>
          <w:iCs/>
          <w:lang w:val="en-GB"/>
        </w:rPr>
        <w:t>Sus scrofa</w:t>
      </w:r>
      <w:r w:rsidR="5F518D6E" w:rsidRPr="728F2DAF">
        <w:rPr>
          <w:lang w:val="en-GB"/>
        </w:rPr>
        <w:t xml:space="preserve"> (</w:t>
      </w:r>
      <w:r w:rsidR="0E8707E1" w:rsidRPr="728F2DAF">
        <w:rPr>
          <w:lang w:val="en-GB"/>
        </w:rPr>
        <w:t>feral</w:t>
      </w:r>
      <w:r w:rsidR="22AEF98D" w:rsidRPr="728F2DAF">
        <w:rPr>
          <w:lang w:val="en-GB"/>
        </w:rPr>
        <w:t xml:space="preserve"> </w:t>
      </w:r>
      <w:r w:rsidR="0E8707E1" w:rsidRPr="728F2DAF">
        <w:rPr>
          <w:lang w:val="en-GB"/>
        </w:rPr>
        <w:t>pig</w:t>
      </w:r>
      <w:r w:rsidR="22AEF98D" w:rsidRPr="728F2DAF">
        <w:rPr>
          <w:lang w:val="en-GB"/>
        </w:rPr>
        <w:t xml:space="preserve">) </w:t>
      </w:r>
      <w:r w:rsidR="72B02DF3" w:rsidRPr="728F2DAF">
        <w:rPr>
          <w:lang w:val="en-GB"/>
        </w:rPr>
        <w:t xml:space="preserve">native to Eurasia and now present on all continents but Antarctica, along with many oceanic islands </w:t>
      </w:r>
      <w:r w:rsidR="00461056" w:rsidRPr="728F2DAF">
        <w:rPr>
          <w:lang w:val="en-GB"/>
        </w:rPr>
        <w:fldChar w:fldCharType="begin"/>
      </w:r>
      <w:r w:rsidR="00331A79">
        <w:rPr>
          <w:lang w:val="en-GB"/>
        </w:rPr>
        <w:instrText xml:space="preserve"> ADDIN ZOTERO_ITEM CSL_CITATION {"citationID":"fJviTpLs","properties":{"formattedCitation":"(Barrios-Garcia &amp; Ballari, 2012; Long, 2003)","plainCitation":"(Barrios-Garcia &amp; Ballari, 2012; Long, 2003)","noteIndex":0},"citationItems":[{"id":32722,"uris":["http://zotero.org/groups/2352922/items/MNV3DI4S"],"itemData":{"id":32722,"type":"article-journal","abstract":"Wild boar are now present on all continents except Antarctica and can greatly affect community structure and ecosystem function. Their destructive feeding habits, primarily rooting disturbance, can reduce plant cover, diversity, and regeneration. Furthermore, predation and habitat destruction by boar can greatly affect animal communities. Effects of wild boar on fungi and aquatic communities are scarcely studied, and soil properties and processes seem more resistant to disturbance. Wild boar also affect humans’ economy as they cause crop damage and transmit diseases to livestock and wildlife. In this review, we found that most of the published literature examines boar effects in their introduced range and little is available from the native distribution. Because most of the research describes direct effects of wild boar on plant communities and predation on some animal communities, less is known about indirect effects on ecosystem function. Finally, predictive research and information on ecosystem recovery after wild boar removal are scarce. We identified research gaps and urge the need to lower wild boar densities. Identifying commonalities among wild boar impacts on native ecosystems across its introduced range will help in the design of management strategies.","container-title":"Biological Invasions","DOI":"10.1007/s10530-012-0229-6","ISSN":"1573-1464","issue":"11","journalAbbreviation":"Biol Invasions","language":"en","note":"number: 11","page":"2283-2300","source":"Springer Link","title":"Impact of wild boar (&lt;i&gt;Sus scrofa&lt;/i&gt;) in its introduced and native range: a review","title-short":"Impact of wild boar (Sus scrofa) in its introduced and native range","URL":"https://doi.org/10.1007/s10530-012-0229-6","volume":"14","author":[{"family":"Barrios-Garcia","given":"M. Noelia"},{"family":"Ballari","given":"Sebastian A."}],"accessed":{"date-parts":[["2021",12,7]]},"issued":{"date-parts":[["2012",11,1]]}},"label":"page"},{"id":29150,"uris":["http://zotero.org/groups/2352922/items/ICDMZJFL"],"itemData":{"id":29150,"type":"book","abstract":"Introduced Mammals of the World provides a concise and extensive source of information on the range of introductions of mammals conducted by humans, and an indication as to which have resulted in adverse outcomes. It provides a very valuable tool by which scientists can assess future potential introductions (or re-introductions) to avoid costly mistakes. It also provides tangible proof of the need for political decision makers to consider good advice and make wise and cautious decisions. Introduced Mammals of the World also provides a comprehensive reference to students of ecological systems management and biological conservation. This book is a companion volume to Introduced Birds of the World, by the same author, published in 1981, and which remains the premier text of its kind in the world more than twenty years after it was published. Introduced Mammals of the World provides the most comprehensive account of the movement of mammals around the world providing details on the date(s) of introduction, the person/agency responsible, the source populations, the location(s) of release, the fate of the introductions, and the impact if known, for over 300 species of mammal.","event-place":"Wallingford","ISBN":"978-0-643-09916-6","note":"DOI: 10.1071/9780643090156","number-of-pages":"589","publisher":"CABI Publishing","publisher-place":"Wallingford","title":"Introduced Mammals of the World: Their History, Distribution and Influence","URL":"http://educypedia.karadimov.info/library/IntroducedMammalsSample.pdf","author":[{"family":"Long","given":"John L"}],"issued":{"date-parts":[["2003"]]}},"label":"page"}],"schema":"https://github.com/citation-style-language/schema/raw/master/csl-citation.json"} </w:instrText>
      </w:r>
      <w:r w:rsidR="00461056" w:rsidRPr="728F2DAF">
        <w:rPr>
          <w:lang w:val="en-GB"/>
        </w:rPr>
        <w:fldChar w:fldCharType="separate"/>
      </w:r>
      <w:r w:rsidR="73B99EB6">
        <w:t>(Barrios-Garcia &amp; Ballari, 2012; Long, 2003)</w:t>
      </w:r>
      <w:r w:rsidR="00461056" w:rsidRPr="728F2DAF">
        <w:rPr>
          <w:lang w:val="en-GB"/>
        </w:rPr>
        <w:fldChar w:fldCharType="end"/>
      </w:r>
      <w:r w:rsidR="72B02DF3" w:rsidRPr="728F2DAF">
        <w:rPr>
          <w:lang w:val="en-GB"/>
        </w:rPr>
        <w:t xml:space="preserve">; and various bird species such as pheasants </w:t>
      </w:r>
      <w:r w:rsidR="00461056" w:rsidRPr="728F2DAF">
        <w:rPr>
          <w:lang w:val="en-GB"/>
        </w:rPr>
        <w:fldChar w:fldCharType="begin"/>
      </w:r>
      <w:r w:rsidR="00331A79">
        <w:rPr>
          <w:lang w:val="en-GB"/>
        </w:rPr>
        <w:instrText xml:space="preserve"> ADDIN ZOTERO_ITEM CSL_CITATION {"citationID":"14T2Rrok","properties":{"formattedCitation":"(Blanco-Aguiar et al., 2008)","plainCitation":"(Blanco-Aguiar et al., 2008)","noteIndex":0},"citationItems":[{"id":30022,"uris":["http://zotero.org/groups/2352922/items/B3TCAMLG"],"itemData":{"id":30022,"type":"article-journal","abstract":"Anthropogenic hybridization in wildlife has been identiﬁed as one of the main causes of genetic homogenization, highlighting the need for identiﬁcation and evaluation of populations at risk. Relocation of wildlife for game management purposes is a widespread practice that may promote the admixing of genetically different populations, subspecies or species. We undertook a large-scale study on the Iberian Peninsula to assess the extent of hybridization in red-legged partridge Alectoris rufa populations, which have been subject to extensive restocking of farm-reared individuals. Using a polymerase chain reaction-restriction fragment length polymorphism technique to assess the prevalence of individuals with mtDNA from other species, we examined samples of A. rufa from museum specimens (229), extant wild populations (955) and game farms (530). We found widespread occurrence of chukar partridge Alectoris chukar mtDNA lineages in samples obtained from game farm partridges (63% of game farms) and from wild partridges (45% of populations), but no allochthonous mtDNA lineages were found in museum partridges. We also found that the probability of occurrence and the number of partridges with allochthonous lineages was higher in localities where recent restocking had occurred. In addition, investigation of trends in bag records and the numbers of game farms over the past 30 years suggests that the general decline of wild populations has been accompanied by an increase in game farm facilities. These results suggest that supplemental stocking practices are threatening the integrity of the wild population gene pool. We recommend that rural development policies and associated wildlife management programs focused on maintaining high stock densities for hunting also need to consider the impact of game management on the genetic integrity of game populations.","container-title":"Animal Conservation","DOI":"10.1111/j.1469-1795.2008.00212.x","ISSN":"13679430, 14691795","issue":"6","language":"en","page":"535-545","source":"DOI.org (Crossref)","title":"Assessment of game restocking contributions to anthropogenic hybridization: the case of the Iberian red-legged partridge","title-short":"Assessment of game restocking contributions to anthropogenic hybridization","URL":"https://onlinelibrary.wiley.com/doi/10.1111/j.1469-1795.2008.00212.x","volume":"11","author":[{"family":"Blanco-Aguiar","given":"J. A."},{"family":"González-Jara","given":"P."},{"family":"Ferrero","given":"M. E."},{"family":"Sánchez-Barbudo","given":"I."},{"family":"Virgós","given":"E."},{"family":"Villafuerte","given":"R."},{"family":"Dávila","given":"J. A."}],"accessed":{"date-parts":[["2021",8,23]]},"issued":{"date-parts":[["2008",12]]}},"label":"page"}],"schema":"https://github.com/citation-style-language/schema/raw/master/csl-citation.json"} </w:instrText>
      </w:r>
      <w:r w:rsidR="00461056" w:rsidRPr="728F2DAF">
        <w:rPr>
          <w:lang w:val="en-GB"/>
        </w:rPr>
        <w:fldChar w:fldCharType="separate"/>
      </w:r>
      <w:r w:rsidR="73B99EB6">
        <w:t>(Blanco-Aguiar et al., 2008)</w:t>
      </w:r>
      <w:r w:rsidR="00461056" w:rsidRPr="728F2DAF">
        <w:rPr>
          <w:lang w:val="en-GB"/>
        </w:rPr>
        <w:fldChar w:fldCharType="end"/>
      </w:r>
      <w:r w:rsidR="72B02DF3" w:rsidRPr="728F2DAF">
        <w:rPr>
          <w:lang w:val="en-GB"/>
        </w:rPr>
        <w:t xml:space="preserve"> and </w:t>
      </w:r>
      <w:r w:rsidR="051F01F3" w:rsidRPr="728F2DAF">
        <w:rPr>
          <w:i/>
          <w:iCs/>
          <w:lang w:val="en-GB"/>
        </w:rPr>
        <w:t>Anas platyrhynchos</w:t>
      </w:r>
      <w:r w:rsidR="051F01F3" w:rsidRPr="728F2DAF">
        <w:rPr>
          <w:lang w:val="en-GB"/>
        </w:rPr>
        <w:t xml:space="preserve"> (</w:t>
      </w:r>
      <w:r w:rsidR="1D0764BF" w:rsidRPr="728F2DAF">
        <w:rPr>
          <w:lang w:val="en-GB"/>
        </w:rPr>
        <w:t>m</w:t>
      </w:r>
      <w:r w:rsidR="72B02DF3" w:rsidRPr="728F2DAF">
        <w:rPr>
          <w:lang w:val="en-GB"/>
        </w:rPr>
        <w:t>allard</w:t>
      </w:r>
      <w:r w:rsidR="051F01F3" w:rsidRPr="728F2DAF">
        <w:rPr>
          <w:lang w:val="en-GB"/>
        </w:rPr>
        <w:t>)</w:t>
      </w:r>
      <w:r w:rsidR="72B02DF3" w:rsidRPr="728F2DAF">
        <w:rPr>
          <w:lang w:val="en-GB"/>
        </w:rPr>
        <w:t xml:space="preserve"> in Australia, New Zealand, South Africa</w:t>
      </w:r>
      <w:r w:rsidR="00774819">
        <w:rPr>
          <w:lang w:val="en-GB"/>
        </w:rPr>
        <w:t xml:space="preserve"> and</w:t>
      </w:r>
      <w:r w:rsidR="72B02DF3" w:rsidRPr="728F2DAF">
        <w:rPr>
          <w:lang w:val="en-GB"/>
        </w:rPr>
        <w:t xml:space="preserve"> Hawaii </w:t>
      </w:r>
      <w:r w:rsidR="00461056" w:rsidRPr="728F2DAF">
        <w:rPr>
          <w:lang w:val="en-GB"/>
        </w:rPr>
        <w:fldChar w:fldCharType="begin"/>
      </w:r>
      <w:r w:rsidR="00331A79">
        <w:rPr>
          <w:lang w:val="en-GB"/>
        </w:rPr>
        <w:instrText xml:space="preserve"> ADDIN ZOTERO_ITEM CSL_CITATION {"citationID":"xxKtYG3G","properties":{"unsorted":true,"formattedCitation":"(Rhymer et al., 1994; Fowler et al., 2009; Guay &amp; Tracey, 2009; Government of the Republic of South Africa, 2016)","plainCitation":"(Rhymer et al., 1994; Fowler et al., 2009; Guay &amp; Tracey, 2009; Government of the Republic of South Africa, 2016)","noteIndex":0},"citationItems":[{"id":33038,"uris":["http://zotero.org/groups/2352922/items/A34V4C95"],"itemData":{"id":33038,"type":"article-journal","abstract":"One of the more well-known examples of hybridization in birds is the frequently documented occurrence between sexually dimorphic Mallards (Anas platyrhynchos) and several closely related nondimorphic species in the mallard complex. In New Zealand, the Grey Duck (Anas superciliosa superciliosa) is the indigenous, nondimorphic Mallardlike species, and extensive hybridization with introduced Mallards has been implicated in the population decline of Grey Ducks. Individuals from throughout the country were classified phenotypically as parentals or hybrids based on variation in plumage, bill color, and leg color. We confirmed species-specific mitochondrial DNA haplotypes by comparing restriction-enzyme fragment patterns in Grey Ducks and New Zealand Mallards to those of Pacific Black Ducks (A. superciliosa rogersi) from Australia and Mallards from North America, respectively. Our data indicate that hybridization has led not only to introgression of Grey Duck mtDNA into Mallard populations (the predicted direction of gene flow), but also to significant introgression of Mallard mtDNA into Grey Duck populations. Thus, the contention that hybridization between Mallards and nondimorphic species involves primarily Mallard males with females of the other species is not upheld for this example from New Zealand. The speciation process appears to be undergoing reversal.","container-title":"The Auk","DOI":"10.2307/4088829","ISSN":"1938-4254","issue":"4","journalAbbreviation":"The Auk","note":"number: 4","page":"970-978","source":"Silverchair","title":"Mitochondrial Analysis of Gene Flow between New Zealand Mallards (&lt;i&gt;Anas Platyrhynchos&lt;/i&gt;) and Grey Ducks (&lt;i&gt;A. Superciliosa&lt;/i&gt;)","URL":"https://doi.org/10.2307/4088829","volume":"111","author":[{"family":"Rhymer","given":"Judith M."},{"family":"Williams","given":"Murray J."},{"family":"Braun","given":"Michael J."}],"accessed":{"date-parts":[["2021",12,7]]},"issued":{"date-parts":[["1994",10,1]]}},"label":"page"},{"id":32973,"uris":["http://zotero.org/groups/2352922/items/ZLN2D2ZF"],"itemData":{"id":32973,"type":"article-journal","container-title":"Conservation Genetics","DOI":"10.1007/s10592-008-9778-8","ISSN":"1566-0621, 1572-9737","issue":"6","journalAbbreviation":"Conserv Genet","language":"en","page":"1747","source":"DOI.org (Crossref)","title":"Identification of endangered Hawaiian ducks (&lt;i&gt;Anas wyvilliana&lt;/i&gt;), introduced North American mallards (&lt;i&gt;A. platyrhynchos&lt;/i&gt;) and their hybrids using multilocus genotypes","URL":"http://link.springer.com/10.1007/s10592-008-9778-8","volume":"10","author":[{"family":"Fowler","given":"Ada C."},{"family":"Eadie","given":"John M."},{"family":"Engilis","given":"Andrew"}],"accessed":{"date-parts":[["2021",12,12]]},"issued":{"date-parts":[["2009",12]]}},"label":"page"},{"id":32350,"uris":["http://zotero.org/groups/2352922/items/PYQQCD7L"],"itemData":{"id":32350,"type":"article-journal","container-title":"Victorian Naturalist, The","ISSN":"0042-5184","issue":"3","note":"ISBN: 0042-5184","page":"87-91","title":"Feral Mallards: a risk for hybridisation with wild Pacific Black Ducks in Australia?","URL":"https://search.informit.org/doi/epdf/10.3316/informit.669302995398699","volume":"126","author":[{"family":"Guay","given":"Patrick-Jean"},{"family":"Tracey","given":"J. P."}],"issued":{"date-parts":[["2009"]]}},"label":"page"},{"id":32348,"uris":["http://zotero.org/groups/2352922/items/QJIK6FAH"],"itemData":{"id":32348,"type":"document","title":"National Environmental Management: Biodiversity Act (10/2004): Alien and Invasive Species Lists","URL":"https://www.gov.za/sites/default/files/gcis_document/201607/40166gon864.pdf","author":[{"literal":"Government of the Republic of South Africa"}],"issued":{"date-parts":[["2016"]]}},"label":"page"}],"schema":"https://github.com/citation-style-language/schema/raw/master/csl-citation.json"} </w:instrText>
      </w:r>
      <w:r w:rsidR="00461056" w:rsidRPr="728F2DAF">
        <w:rPr>
          <w:lang w:val="en-GB"/>
        </w:rPr>
        <w:fldChar w:fldCharType="separate"/>
      </w:r>
      <w:r w:rsidR="73B99EB6">
        <w:t>(Rhymer et al., 1994; Fowler et al., 2009; Guay &amp; Tracey, 2009; Government of the Republic of South Africa, 2016)</w:t>
      </w:r>
      <w:r w:rsidR="00461056" w:rsidRPr="728F2DAF">
        <w:rPr>
          <w:lang w:val="en-GB"/>
        </w:rPr>
        <w:fldChar w:fldCharType="end"/>
      </w:r>
      <w:r w:rsidR="72B02DF3" w:rsidRPr="728F2DAF">
        <w:rPr>
          <w:lang w:val="en-GB"/>
        </w:rPr>
        <w:t xml:space="preserve">. </w:t>
      </w:r>
      <w:r w:rsidR="73A0762F" w:rsidRPr="728F2DAF">
        <w:rPr>
          <w:lang w:val="en-GB"/>
        </w:rPr>
        <w:t>A</w:t>
      </w:r>
      <w:r w:rsidR="72B02DF3" w:rsidRPr="728F2DAF">
        <w:rPr>
          <w:lang w:val="en-GB"/>
        </w:rPr>
        <w:t xml:space="preserve">ttempts </w:t>
      </w:r>
      <w:r w:rsidR="152E3DD4" w:rsidRPr="728F2DAF">
        <w:rPr>
          <w:lang w:val="en-GB"/>
        </w:rPr>
        <w:t xml:space="preserve">to </w:t>
      </w:r>
      <w:r w:rsidR="0C99082F" w:rsidRPr="728F2DAF">
        <w:rPr>
          <w:lang w:val="en-GB"/>
        </w:rPr>
        <w:t>control</w:t>
      </w:r>
      <w:r w:rsidR="0BD86066" w:rsidRPr="728F2DAF">
        <w:rPr>
          <w:lang w:val="en-GB"/>
        </w:rPr>
        <w:t xml:space="preserve"> </w:t>
      </w:r>
      <w:r w:rsidR="72B02DF3" w:rsidRPr="728F2DAF">
        <w:rPr>
          <w:lang w:val="en-GB"/>
        </w:rPr>
        <w:t>invasive</w:t>
      </w:r>
      <w:r w:rsidR="12BD40DF" w:rsidRPr="728F2DAF">
        <w:rPr>
          <w:lang w:val="en-GB"/>
        </w:rPr>
        <w:t xml:space="preserve"> alien</w:t>
      </w:r>
      <w:r w:rsidR="72B02DF3" w:rsidRPr="728F2DAF">
        <w:rPr>
          <w:lang w:val="en-GB"/>
        </w:rPr>
        <w:t xml:space="preserve"> species </w:t>
      </w:r>
      <w:r w:rsidR="4EDAA416" w:rsidRPr="728F2DAF">
        <w:rPr>
          <w:lang w:val="en-GB"/>
        </w:rPr>
        <w:t xml:space="preserve">introduced for </w:t>
      </w:r>
      <w:r w:rsidR="07BB5230" w:rsidRPr="728F2DAF">
        <w:rPr>
          <w:lang w:val="en-GB"/>
        </w:rPr>
        <w:t xml:space="preserve">hunting </w:t>
      </w:r>
      <w:r w:rsidR="152E3DD4" w:rsidRPr="728F2DAF">
        <w:rPr>
          <w:lang w:val="en-GB"/>
        </w:rPr>
        <w:t xml:space="preserve">using biological control have </w:t>
      </w:r>
      <w:r w:rsidR="07BB5230" w:rsidRPr="728F2DAF">
        <w:rPr>
          <w:lang w:val="en-GB"/>
        </w:rPr>
        <w:t>led to</w:t>
      </w:r>
      <w:r w:rsidR="72B02DF3" w:rsidRPr="728F2DAF">
        <w:rPr>
          <w:lang w:val="en-GB"/>
        </w:rPr>
        <w:t xml:space="preserve"> further </w:t>
      </w:r>
      <w:r w:rsidR="152E3DD4" w:rsidRPr="728F2DAF">
        <w:rPr>
          <w:lang w:val="en-GB"/>
        </w:rPr>
        <w:t xml:space="preserve">biological </w:t>
      </w:r>
      <w:r w:rsidR="07BB5230" w:rsidRPr="728F2DAF">
        <w:rPr>
          <w:lang w:val="en-GB"/>
        </w:rPr>
        <w:t>invasions</w:t>
      </w:r>
      <w:r w:rsidR="72B02DF3" w:rsidRPr="728F2DAF">
        <w:rPr>
          <w:lang w:val="en-GB"/>
        </w:rPr>
        <w:t>, for example the introduction of mustelids to control rabbits</w:t>
      </w:r>
      <w:r w:rsidR="00774819">
        <w:rPr>
          <w:lang w:val="en-GB"/>
        </w:rPr>
        <w:t xml:space="preserve"> and</w:t>
      </w:r>
      <w:r w:rsidR="72B02DF3" w:rsidRPr="728F2DAF">
        <w:rPr>
          <w:lang w:val="en-GB"/>
        </w:rPr>
        <w:t xml:space="preserve"> hedgehogs to control garden pests </w:t>
      </w:r>
      <w:r w:rsidR="07BB5230" w:rsidRPr="728F2DAF">
        <w:rPr>
          <w:lang w:val="en-GB"/>
        </w:rPr>
        <w:t xml:space="preserve">in New Zealand </w:t>
      </w:r>
      <w:r w:rsidR="00461056" w:rsidRPr="728F2DAF">
        <w:rPr>
          <w:lang w:val="en-GB"/>
        </w:rPr>
        <w:fldChar w:fldCharType="begin"/>
      </w:r>
      <w:r w:rsidR="00331A79">
        <w:rPr>
          <w:lang w:val="en-GB"/>
        </w:rPr>
        <w:instrText xml:space="preserve"> ADDIN ZOTERO_ITEM CSL_CITATION {"citationID":"dku3fSB5","properties":{"formattedCitation":"(C. M. King &amp; Forsyth, 2021)","plainCitation":"(C. M. King &amp; Forsyth, 2021)","noteIndex":0},"citationItems":[{"id":32347,"uris":["http://zotero.org/groups/2352922/items/FP88HUIB"],"itemData":{"id":32347,"type":"book","edition":"Third edition","ISBN":"1-4863-0630-6","publisher":"Csiro Publishing","title":"The Handbook of New Zealand Mammals","URL":"https://www.otago.ac.nz/press/books/otago756055.html","author":[{"family":"King","given":"Carolyn M."},{"family":"Forsyth","given":"David M."}],"issued":{"date-parts":[["2021"]]}},"label":"page"}],"schema":"https://github.com/citation-style-language/schema/raw/master/csl-citation.json"} </w:instrText>
      </w:r>
      <w:r w:rsidR="00461056" w:rsidRPr="728F2DAF">
        <w:rPr>
          <w:lang w:val="en-GB"/>
        </w:rPr>
        <w:fldChar w:fldCharType="separate"/>
      </w:r>
      <w:r w:rsidR="73B99EB6">
        <w:t>(C. M. King &amp; Forsyth, 2021)</w:t>
      </w:r>
      <w:r w:rsidR="00461056" w:rsidRPr="728F2DAF">
        <w:rPr>
          <w:lang w:val="en-GB"/>
        </w:rPr>
        <w:fldChar w:fldCharType="end"/>
      </w:r>
      <w:r w:rsidR="23C1A318" w:rsidRPr="728F2DAF">
        <w:rPr>
          <w:lang w:val="en-GB"/>
        </w:rPr>
        <w:t xml:space="preserve">. </w:t>
      </w:r>
    </w:p>
    <w:p w14:paraId="623EB3E3" w14:textId="77777777" w:rsidR="008D63B3" w:rsidRPr="00DA249F" w:rsidRDefault="008D63B3" w:rsidP="00B361D5">
      <w:pPr>
        <w:pStyle w:val="Heading3"/>
        <w:numPr>
          <w:ilvl w:val="4"/>
          <w:numId w:val="30"/>
        </w:numPr>
        <w:rPr>
          <w:rStyle w:val="normaltextrun"/>
          <w:lang w:val="en-GB"/>
        </w:rPr>
      </w:pPr>
      <w:r w:rsidRPr="00DA249F">
        <w:rPr>
          <w:rStyle w:val="normaltextrun"/>
          <w:lang w:val="en-GB"/>
        </w:rPr>
        <w:t xml:space="preserve">Introductions </w:t>
      </w:r>
      <w:r w:rsidR="00106318" w:rsidRPr="00DA249F">
        <w:rPr>
          <w:rStyle w:val="normaltextrun"/>
          <w:lang w:val="en-GB"/>
        </w:rPr>
        <w:t>of aquatic and marine species</w:t>
      </w:r>
      <w:r w:rsidRPr="00DA249F">
        <w:rPr>
          <w:rStyle w:val="normaltextrun"/>
          <w:lang w:val="en-GB"/>
        </w:rPr>
        <w:t xml:space="preserve"> for fisheries and angling purposes</w:t>
      </w:r>
    </w:p>
    <w:p w14:paraId="1A87F258" w14:textId="3402E765" w:rsidR="00FA3E46" w:rsidRPr="00DA249F" w:rsidRDefault="00482F4F" w:rsidP="0090109B">
      <w:pPr>
        <w:rPr>
          <w:lang w:val="en-GB"/>
        </w:rPr>
      </w:pPr>
      <w:r w:rsidRPr="00DA249F">
        <w:rPr>
          <w:lang w:val="en-GB"/>
        </w:rPr>
        <w:t>Intention</w:t>
      </w:r>
      <w:r w:rsidR="00404F63" w:rsidRPr="00DA249F">
        <w:rPr>
          <w:lang w:val="en-GB"/>
        </w:rPr>
        <w:t>a</w:t>
      </w:r>
      <w:r w:rsidRPr="00DA249F">
        <w:rPr>
          <w:lang w:val="en-GB"/>
        </w:rPr>
        <w:t xml:space="preserve">l </w:t>
      </w:r>
      <w:r w:rsidR="00404F63" w:rsidRPr="00DA249F">
        <w:rPr>
          <w:lang w:val="en-GB"/>
        </w:rPr>
        <w:t>release</w:t>
      </w:r>
      <w:r w:rsidR="00922368" w:rsidRPr="00DA249F">
        <w:rPr>
          <w:lang w:val="en-GB"/>
        </w:rPr>
        <w:t xml:space="preserve"> of fishes and other marine organisms into rivers, lakes</w:t>
      </w:r>
      <w:r w:rsidR="00774819">
        <w:rPr>
          <w:lang w:val="en-GB"/>
        </w:rPr>
        <w:t xml:space="preserve"> and</w:t>
      </w:r>
      <w:r w:rsidR="007C1F29" w:rsidRPr="00DA249F">
        <w:rPr>
          <w:lang w:val="en-GB"/>
        </w:rPr>
        <w:t xml:space="preserve"> seas</w:t>
      </w:r>
      <w:r w:rsidR="00C94E3F" w:rsidRPr="00DA249F">
        <w:rPr>
          <w:lang w:val="en-GB"/>
        </w:rPr>
        <w:t xml:space="preserve"> </w:t>
      </w:r>
      <w:r w:rsidR="007C1F29" w:rsidRPr="00DA249F">
        <w:rPr>
          <w:lang w:val="en-GB"/>
        </w:rPr>
        <w:t>to enhance</w:t>
      </w:r>
      <w:r w:rsidR="00C94E3F" w:rsidRPr="00DA249F">
        <w:rPr>
          <w:lang w:val="en-GB"/>
        </w:rPr>
        <w:t xml:space="preserve"> recreational </w:t>
      </w:r>
      <w:r w:rsidR="007C1F29" w:rsidRPr="00DA249F">
        <w:rPr>
          <w:lang w:val="en-GB"/>
        </w:rPr>
        <w:t xml:space="preserve">fishing </w:t>
      </w:r>
      <w:r w:rsidRPr="00DA249F">
        <w:rPr>
          <w:lang w:val="en-GB"/>
        </w:rPr>
        <w:t>as well as</w:t>
      </w:r>
      <w:r w:rsidR="007C1F29" w:rsidRPr="00DA249F">
        <w:rPr>
          <w:lang w:val="en-GB"/>
        </w:rPr>
        <w:t xml:space="preserve"> livelihoods</w:t>
      </w:r>
      <w:r w:rsidR="006751F1" w:rsidRPr="00DA249F">
        <w:rPr>
          <w:lang w:val="en-GB"/>
        </w:rPr>
        <w:t xml:space="preserve"> is both wides</w:t>
      </w:r>
      <w:r w:rsidR="00B51126" w:rsidRPr="00DA249F">
        <w:rPr>
          <w:lang w:val="en-GB"/>
        </w:rPr>
        <w:t>p</w:t>
      </w:r>
      <w:r w:rsidR="006751F1" w:rsidRPr="00DA249F">
        <w:rPr>
          <w:lang w:val="en-GB"/>
        </w:rPr>
        <w:t>read and common</w:t>
      </w:r>
      <w:r w:rsidR="00B51126" w:rsidRPr="00DA249F">
        <w:rPr>
          <w:lang w:val="en-GB"/>
        </w:rPr>
        <w:t xml:space="preserve"> </w:t>
      </w:r>
      <w:r w:rsidR="00CA0C6B" w:rsidRPr="00DA249F">
        <w:rPr>
          <w:lang w:val="en-GB"/>
        </w:rPr>
        <w:t>(</w:t>
      </w:r>
      <w:r w:rsidR="00C94E3F" w:rsidRPr="00C84D82">
        <w:rPr>
          <w:rStyle w:val="eop"/>
          <w:b/>
          <w:iCs/>
          <w:lang w:val="en-GB"/>
        </w:rPr>
        <w:t>section 3.2.1</w:t>
      </w:r>
      <w:r w:rsidR="00C94E3F" w:rsidRPr="00DA249F">
        <w:rPr>
          <w:rStyle w:val="eop"/>
          <w:lang w:val="en-GB"/>
        </w:rPr>
        <w:t>)</w:t>
      </w:r>
      <w:r w:rsidR="00B51126" w:rsidRPr="00DA249F">
        <w:rPr>
          <w:rStyle w:val="eop"/>
          <w:lang w:val="en-GB"/>
        </w:rPr>
        <w:t>. T</w:t>
      </w:r>
      <w:r w:rsidR="00C51B49" w:rsidRPr="00DA249F">
        <w:rPr>
          <w:rStyle w:val="eop"/>
          <w:lang w:val="en-GB"/>
        </w:rPr>
        <w:t>he</w:t>
      </w:r>
      <w:r w:rsidR="006751F1" w:rsidRPr="00DA249F">
        <w:rPr>
          <w:rStyle w:val="eop"/>
          <w:lang w:val="en-GB"/>
        </w:rPr>
        <w:t xml:space="preserve">se introductions can be </w:t>
      </w:r>
      <w:r w:rsidR="009A2AC1" w:rsidRPr="00DA249F">
        <w:rPr>
          <w:rStyle w:val="eop"/>
          <w:lang w:val="en-GB"/>
        </w:rPr>
        <w:t>distingui</w:t>
      </w:r>
      <w:r w:rsidR="00B51126" w:rsidRPr="00DA249F">
        <w:rPr>
          <w:rStyle w:val="eop"/>
          <w:lang w:val="en-GB"/>
        </w:rPr>
        <w:t>s</w:t>
      </w:r>
      <w:r w:rsidR="009A2AC1" w:rsidRPr="00DA249F">
        <w:rPr>
          <w:rStyle w:val="eop"/>
          <w:lang w:val="en-GB"/>
        </w:rPr>
        <w:t xml:space="preserve">hed from </w:t>
      </w:r>
      <w:r w:rsidR="00B51126" w:rsidRPr="00DA249F">
        <w:rPr>
          <w:rStyle w:val="eop"/>
          <w:lang w:val="en-GB"/>
        </w:rPr>
        <w:t xml:space="preserve">those linked to </w:t>
      </w:r>
      <w:r w:rsidR="00C51B49" w:rsidRPr="00DA249F">
        <w:rPr>
          <w:rStyle w:val="eop"/>
          <w:lang w:val="en-GB"/>
        </w:rPr>
        <w:t>aquaculture by being intentional</w:t>
      </w:r>
      <w:r w:rsidR="00AA1E8E">
        <w:rPr>
          <w:rStyle w:val="eop"/>
          <w:lang w:val="en-GB"/>
        </w:rPr>
        <w:t>ly</w:t>
      </w:r>
      <w:r w:rsidR="008A2D92" w:rsidRPr="00DA249F">
        <w:rPr>
          <w:rStyle w:val="eop"/>
          <w:lang w:val="en-GB"/>
        </w:rPr>
        <w:t xml:space="preserve"> release</w:t>
      </w:r>
      <w:r w:rsidR="00BE31DD">
        <w:rPr>
          <w:rStyle w:val="eop"/>
          <w:lang w:val="en-GB"/>
        </w:rPr>
        <w:t>d</w:t>
      </w:r>
      <w:r w:rsidR="008A2D92" w:rsidRPr="00DA249F">
        <w:rPr>
          <w:rStyle w:val="eop"/>
          <w:lang w:val="en-GB"/>
        </w:rPr>
        <w:t xml:space="preserve"> into the wild</w:t>
      </w:r>
      <w:r w:rsidR="00B51126" w:rsidRPr="00DA249F">
        <w:rPr>
          <w:rStyle w:val="eop"/>
          <w:lang w:val="en-GB"/>
        </w:rPr>
        <w:t xml:space="preserve">, </w:t>
      </w:r>
      <w:r w:rsidR="0093611A" w:rsidRPr="00DA249F">
        <w:rPr>
          <w:rStyle w:val="eop"/>
          <w:lang w:val="en-GB"/>
        </w:rPr>
        <w:t xml:space="preserve">although the </w:t>
      </w:r>
      <w:r w:rsidR="00264C03" w:rsidRPr="00DA249F">
        <w:rPr>
          <w:rStyle w:val="eop"/>
          <w:lang w:val="en-GB"/>
        </w:rPr>
        <w:t>high permeab</w:t>
      </w:r>
      <w:r w:rsidR="00FC4115" w:rsidRPr="00DA249F">
        <w:rPr>
          <w:rStyle w:val="eop"/>
          <w:lang w:val="en-GB"/>
        </w:rPr>
        <w:t>i</w:t>
      </w:r>
      <w:r w:rsidR="00264C03" w:rsidRPr="00DA249F">
        <w:rPr>
          <w:rStyle w:val="eop"/>
          <w:lang w:val="en-GB"/>
        </w:rPr>
        <w:t xml:space="preserve">lity of </w:t>
      </w:r>
      <w:r w:rsidR="00FC4115" w:rsidRPr="00DA249F">
        <w:rPr>
          <w:rStyle w:val="eop"/>
          <w:lang w:val="en-GB"/>
        </w:rPr>
        <w:t>aquaculture installations suggests the distinction is somewhat arbitrary</w:t>
      </w:r>
      <w:r w:rsidR="0093611A" w:rsidRPr="00DA249F">
        <w:rPr>
          <w:rStyle w:val="eop"/>
          <w:lang w:val="en-GB"/>
        </w:rPr>
        <w:t xml:space="preserve"> (</w:t>
      </w:r>
      <w:r w:rsidR="0093611A" w:rsidRPr="00C84D82">
        <w:rPr>
          <w:rStyle w:val="eop"/>
          <w:b/>
          <w:iCs/>
          <w:lang w:val="en-GB"/>
        </w:rPr>
        <w:t xml:space="preserve">section </w:t>
      </w:r>
      <w:r w:rsidR="00BB6D62" w:rsidRPr="00C84D82">
        <w:rPr>
          <w:rStyle w:val="eop"/>
          <w:b/>
          <w:iCs/>
          <w:lang w:val="en-GB"/>
        </w:rPr>
        <w:t>3.3.1.1.1</w:t>
      </w:r>
      <w:r w:rsidR="00BB6D62" w:rsidRPr="00DA249F">
        <w:rPr>
          <w:rStyle w:val="eop"/>
          <w:lang w:val="en-GB"/>
        </w:rPr>
        <w:t xml:space="preserve">, </w:t>
      </w:r>
      <w:r w:rsidR="00585AE0" w:rsidRPr="00DA249F">
        <w:rPr>
          <w:lang w:val="en-GB"/>
        </w:rPr>
        <w:fldChar w:fldCharType="begin"/>
      </w:r>
      <w:r w:rsidR="008C0CAB">
        <w:rPr>
          <w:lang w:val="en-GB"/>
        </w:rPr>
        <w:instrText xml:space="preserve"> ADDIN ZOTERO_ITEM CSL_CITATION {"citationID":"oVgPmpI0","properties":{"formattedCitation":"(FAO, 1995; Grosholz et al., 2015)","plainCitation":"(FAO, 1995; Grosholz et al., 2015)","dontUpdate":true,"noteIndex":0},"citationItems":[{"id":12464,"uris":["http://zotero.org/groups/2352922/items/X6643G3S"],"itemData":{"id":12464,"type":"document","publisher":"International standards for phytosanitary measures (ISPM). No. 2. Food and Agriculture Organization of the United Nations","title":"Guidelines for pest risk analysis","URL":"https://www.ippc.int/largefiles/adopted_ISPMs_previousversions/en/ISPM_02_1995_En_2006-05-03.pdf","author":[{"literal":"FAO"}],"issued":{"date-parts":[["1995"]]}}},{"id":16692,"uris":["http://zotero.org/groups/2352922/items/DIYZ7FGY"],"itemData":{"id":16692,"type":"article-journal","container-title":"Biological Invasions","DOI":"10.1007/s10530-014-0808-9","ISSN":"1387-3547, 1573-1464","issue":"5","journalAbbreviation":"Biol Invasions","language":"en","page":"1471-1484","source":"DOI.org (Crossref)","title":"Aquaculture as a vector for marine invasions in California","URL":"http://link.springer.com/10.1007/s10530-014-0808-9","volume":"17","author":[{"family":"Grosholz","given":"Edwin D."},{"family":"Crafton","given":"R. Eliot"},{"family":"Fontana","given":"Rachel E."},{"family":"Pasari","given":"Jae R."},{"family":"Williams","given":"Susan L."},{"family":"Zabin","given":"Chela J."}],"accessed":{"date-parts":[["2019",12,2]]},"issued":{"date-parts":[["2015",5]]}},"label":"page"}],"schema":"https://github.com/citation-style-language/schema/raw/master/csl-citation.json"} </w:instrText>
      </w:r>
      <w:r w:rsidR="00585AE0" w:rsidRPr="00DA249F">
        <w:rPr>
          <w:lang w:val="en-GB"/>
        </w:rPr>
        <w:fldChar w:fldCharType="separate"/>
      </w:r>
      <w:r w:rsidR="002535C9" w:rsidRPr="002535C9">
        <w:t>FAO, 1995; Grosholz et al., 2015)</w:t>
      </w:r>
      <w:r w:rsidR="00585AE0" w:rsidRPr="00DA249F">
        <w:rPr>
          <w:lang w:val="en-GB"/>
        </w:rPr>
        <w:fldChar w:fldCharType="end"/>
      </w:r>
      <w:r w:rsidR="00585AE0" w:rsidRPr="00DA249F">
        <w:rPr>
          <w:lang w:val="en-GB"/>
        </w:rPr>
        <w:t xml:space="preserve">. </w:t>
      </w:r>
      <w:r w:rsidR="0059516E" w:rsidRPr="00DA249F">
        <w:rPr>
          <w:rStyle w:val="eop"/>
          <w:lang w:val="en-GB"/>
        </w:rPr>
        <w:t>G</w:t>
      </w:r>
      <w:r w:rsidR="0059516E" w:rsidRPr="00DA249F">
        <w:rPr>
          <w:lang w:val="en-GB"/>
        </w:rPr>
        <w:t xml:space="preserve">lobally, hatchery-reared juveniles of more than 180 species of fish and shellfish </w:t>
      </w:r>
      <w:r w:rsidR="002F664B" w:rsidRPr="00DA249F">
        <w:rPr>
          <w:lang w:val="en-GB"/>
        </w:rPr>
        <w:t xml:space="preserve">have been </w:t>
      </w:r>
      <w:r w:rsidR="0059516E" w:rsidRPr="00DA249F">
        <w:rPr>
          <w:lang w:val="en-GB"/>
        </w:rPr>
        <w:t>released in the wild</w:t>
      </w:r>
      <w:r w:rsidR="008711B0" w:rsidRPr="00DA249F">
        <w:rPr>
          <w:lang w:val="en-GB"/>
        </w:rPr>
        <w:t xml:space="preserve"> for various purposes</w:t>
      </w:r>
      <w:r w:rsidR="00BE31DD">
        <w:rPr>
          <w:lang w:val="en-GB"/>
        </w:rPr>
        <w:t>,</w:t>
      </w:r>
      <w:r w:rsidR="007E74E3" w:rsidRPr="00DA249F">
        <w:rPr>
          <w:lang w:val="en-GB"/>
        </w:rPr>
        <w:t xml:space="preserve"> including</w:t>
      </w:r>
      <w:r w:rsidR="0059516E" w:rsidRPr="00DA249F">
        <w:rPr>
          <w:lang w:val="en-GB"/>
        </w:rPr>
        <w:t xml:space="preserve"> replacing locally extinct stock</w:t>
      </w:r>
      <w:r w:rsidR="007965B9" w:rsidRPr="00DA249F">
        <w:rPr>
          <w:lang w:val="en-GB"/>
        </w:rPr>
        <w:t>s</w:t>
      </w:r>
      <w:r w:rsidR="0059516E" w:rsidRPr="00DA249F">
        <w:rPr>
          <w:lang w:val="en-GB"/>
        </w:rPr>
        <w:t xml:space="preserve"> (restocking), augmenting a viable fishery (stock enhancement)</w:t>
      </w:r>
      <w:r w:rsidR="00774819">
        <w:rPr>
          <w:lang w:val="en-GB"/>
        </w:rPr>
        <w:t xml:space="preserve"> and</w:t>
      </w:r>
      <w:r w:rsidR="0059516E" w:rsidRPr="00DA249F">
        <w:rPr>
          <w:lang w:val="en-GB"/>
        </w:rPr>
        <w:t xml:space="preserve"> creating new fisheries (sea ranching)</w:t>
      </w:r>
      <w:r w:rsidR="00883084" w:rsidRPr="00DA249F">
        <w:rPr>
          <w:lang w:val="en-GB"/>
        </w:rPr>
        <w:t xml:space="preserve"> </w:t>
      </w:r>
      <w:r w:rsidR="0059516E" w:rsidRPr="00DA249F">
        <w:rPr>
          <w:lang w:val="en-GB"/>
        </w:rPr>
        <w:fldChar w:fldCharType="begin"/>
      </w:r>
      <w:r w:rsidR="00331A79">
        <w:rPr>
          <w:lang w:val="en-GB"/>
        </w:rPr>
        <w:instrText xml:space="preserve"> ADDIN ZOTERO_ITEM CSL_CITATION {"citationID":"oHqF8ghL","properties":{"formattedCitation":"(Bartley &amp; Bell, 2008; Kitada, 2018; Q. Wang et al., 2006)","plainCitation":"(Bartley &amp; Bell, 2008; Kitada, 2018; Q. Wang et al., 2006)","noteIndex":0},"citationItems":[{"id":32158,"uris":["http://zotero.org/groups/2352922/items/LDQNVIEE"],"itemData":{"id":32158,"type":"article-journal","abstract":"There are concerns about the sustainability of the world's capture fisheries at the current total level of </w:instrText>
      </w:r>
      <w:r w:rsidR="00331A79">
        <w:rPr>
          <w:rFonts w:ascii="ＭＳ 明朝" w:eastAsia="ＭＳ 明朝" w:hAnsi="ＭＳ 明朝" w:cs="ＭＳ 明朝" w:hint="eastAsia"/>
          <w:lang w:val="en-GB"/>
        </w:rPr>
        <w:instrText>∼</w:instrText>
      </w:r>
      <w:r w:rsidR="00331A79">
        <w:rPr>
          <w:lang w:val="en-GB"/>
        </w:rPr>
        <w:instrText xml:space="preserve"> 96 million tons per year. The warning signals are an increase in the proportion of depleted or recovering stocks, from about 10% in 1974 to 28% in 2004, and a corresponding decrease of under-to moderately exploited stocks from about 40% to 24%. It is widely acknowledged that reductions in fishing effort and restoration of fish habitats are needed to improve resilience of capture fisheries. Nevertheless, for some coastal fisheries, application of aquaculture technology through restocking, stock enhancement, and sea ranching also promises to help restore lost production and possibly increase harvests beyond historical levels. However, application of this technology still has a long way to go before integrated management systems are in place that successfully address all the biological, ecological, social, cultural, and economic issues. The main challenges include identifying when and where to use the interventions to add value to other forms of management; integrating these initiatives with institutional and fisheries management regimes; monitoring success of the interventions; producing cultured juveniles cost-effectively; and releasing them in the wild so that they survive in high proportions. We summarize progress to date by describing the main lessons learned from 30 years of research into the potential for releasing cultured juveniles into coastal fisheries, and from application of this technology at various scales. We also describe other lessons to be learned from stocking freshwater habitats and other emerging issues for enhanced coastal fisheries, such as market opportunities and the need to develop widely accepted definitions for “restocking,” “stock enhancement,” and “sea ranching.” These definitions are needed so that nations can report and monitor different strategies used to improve productivity of capture fisheries.","container-title":"Reviews in Fisheries Science","DOI":"10.1080/10641260701678058","ISSN":"1064-1262","issue":"1-3","note":"publisher: Taylor &amp; Francis\n_eprint: https://doi.org/10.1080/10641260701678058","page":"357-365","source":"Taylor and Francis+NEJM","title":"Restocking, Stock Enhancement, and Sea Ranching: Arenas of Progress","title-short":"Restocking, Stock Enhancement, and Sea Ranching","URL":"https://doi.org/10.1080/10641260701678058","volume":"16","author":[{"family":"Bartley","given":"Devin   M."},{"family":"Bell","given":"Johann D."}],"accessed":{"date-parts":[["2021",12,3]]},"issued":{"date-parts":[["2008",2,20]]}},"label":"page"},{"id":32164,"uris":["http://zotero.org/groups/2352922/items/2NHEFNHP"],"itemData":{"id":32164,"type":"article-journal","abstract":"Hatchery release is one of the most popular management tools in fisheries, forestry and wild life management, while its negative impacts on wild populations are a global concern. Research and monitoring of its impacts are generally lacking, and the usefulness of hatchery release for fisheries and conservation objectives is unclear. Here, I evaluated positive and negative impacts of worldwide marine stock enhancement and sea ranching programmes in a systematic review associated with meta-analyses with the goal of reducing bias of the review. Vast numbers of individuals of more than 180 species are released into the wild each year, but most studies are at experimental stages to assess its potential, and empirical studies are sparse for evaluating the impact on fishery production. Most cases are economically unprofitable except for a few successful cases or unevaluated. The effects of releasing juveniles can be dwarfed by the magnitude of natural recruitment when the spawning stock produces much larger recruitment than released juveniles. Density-dependent growth caused by competition of food can be substantial, and growth rates of hatchery and wild fish and other competitive species can simultaneously be reduced when stocking exceeded the carrying capacity. Relative reproductive success can vary depending on the species, seed quality and environmental factors. Empirical studies show evidence of substantial gene flow from hatcheries, but fitness reduction in stocked populations has not been reported. The results represent the current state of worldwide marine stock enhancement and sea ranching activity and provide key information for growing fields of artificial propagation and conservation.","container-title":"Fish and Fisheries","DOI":"10.1111/faf.12271","ISSN":"1467-2979","issue":"3","language":"en","note":"_eprint: https://onlinelibrary.wiley.com/doi/pdf/10.1111/faf.12271","page":"511-532","source":"Wiley Online Library","title":"Economic, ecological and genetic impacts of marine stock enhancement and sea ranching: A systematic review","title-short":"Economic, ecological and genetic impacts of marine stock enhancement and sea ranching","URL":"https://onlinelibrary.wiley.com/doi/abs/10.1111/faf.12271","volume":"19","author":[{"family":"Kitada","given":"Shuichi"}],"accessed":{"date-parts":[["2021",12,3]]},"issued":{"date-parts":[["2018"]]}},"label":"page"},{"id":32165,"uris":["http://zotero.org/groups/2352922/items/A2ZJ4SUP"],"itemData":{"id":32165,"type":"article-journal","container-title":"Fisheries Research","DOI":"10.1016/j.fishres.2006.03.015","issue":"1","note":"ISBN: 0165-7836\npublisher: Elsevier","page":"67-79","title":"Stock enhancement and translocation of the shrimp &lt;i&gt;Penaeus chinensis&lt;/i&gt; in China","URL":"https://www.sciencedirect.com/science/article/abs/pii/S0165783606001226","volume":"80","author":[{"family":"Wang","given":"Qingyin"},{"family":"Zhuang","given":"Zhimeng"},{"family":"Deng","given":"Jingyao"},{"family":"Ye","given":"Yimin"}],"issued":{"date-parts":[["2006"]]}},"label":"page"}],"schema":"https://github.com/citation-style-language/schema/raw/master/csl-citation.json"} </w:instrText>
      </w:r>
      <w:r w:rsidR="0059516E" w:rsidRPr="00DA249F">
        <w:rPr>
          <w:lang w:val="en-GB"/>
        </w:rPr>
        <w:fldChar w:fldCharType="separate"/>
      </w:r>
      <w:r w:rsidR="00144D96" w:rsidRPr="00144D96">
        <w:t>(Bartley &amp; Bell, 2008; Kitada, 2018; Q. Wang et al., 2006)</w:t>
      </w:r>
      <w:r w:rsidR="0059516E" w:rsidRPr="00DA249F">
        <w:rPr>
          <w:lang w:val="en-GB"/>
        </w:rPr>
        <w:fldChar w:fldCharType="end"/>
      </w:r>
      <w:r w:rsidR="0059516E" w:rsidRPr="00DA249F">
        <w:rPr>
          <w:lang w:val="en-GB"/>
        </w:rPr>
        <w:t xml:space="preserve">. </w:t>
      </w:r>
      <w:r w:rsidR="00883084" w:rsidRPr="00DA249F">
        <w:rPr>
          <w:lang w:val="en-GB"/>
        </w:rPr>
        <w:t xml:space="preserve">As many of these releases are occurring at massive scales either outside the </w:t>
      </w:r>
      <w:r w:rsidR="00BD3919" w:rsidRPr="00DA249F">
        <w:rPr>
          <w:lang w:val="en-GB"/>
        </w:rPr>
        <w:t>native</w:t>
      </w:r>
      <w:r w:rsidR="00883084" w:rsidRPr="00DA249F">
        <w:rPr>
          <w:lang w:val="en-GB"/>
        </w:rPr>
        <w:t xml:space="preserve"> distribution</w:t>
      </w:r>
      <w:r w:rsidR="007E74E3" w:rsidRPr="00DA249F">
        <w:rPr>
          <w:lang w:val="en-GB"/>
        </w:rPr>
        <w:t xml:space="preserve"> of the species</w:t>
      </w:r>
      <w:r w:rsidR="00883084" w:rsidRPr="00DA249F">
        <w:rPr>
          <w:lang w:val="en-GB"/>
        </w:rPr>
        <w:t xml:space="preserve"> or facilitat</w:t>
      </w:r>
      <w:r w:rsidR="000A58C3" w:rsidRPr="00DA249F">
        <w:rPr>
          <w:lang w:val="en-GB"/>
        </w:rPr>
        <w:t>ing</w:t>
      </w:r>
      <w:r w:rsidR="00883084" w:rsidRPr="00DA249F">
        <w:rPr>
          <w:lang w:val="en-GB"/>
        </w:rPr>
        <w:t xml:space="preserve"> spread outside the </w:t>
      </w:r>
      <w:r w:rsidR="00BD3919" w:rsidRPr="00DA249F">
        <w:rPr>
          <w:lang w:val="en-GB"/>
        </w:rPr>
        <w:t>native</w:t>
      </w:r>
      <w:r w:rsidR="00883084" w:rsidRPr="00DA249F">
        <w:rPr>
          <w:lang w:val="en-GB"/>
        </w:rPr>
        <w:t xml:space="preserve"> range, this constitutes a substantial pathway for </w:t>
      </w:r>
      <w:r w:rsidR="00941ED6" w:rsidRPr="00DA249F">
        <w:rPr>
          <w:lang w:val="en-GB"/>
        </w:rPr>
        <w:t>aquatic</w:t>
      </w:r>
      <w:r w:rsidR="00883084" w:rsidRPr="00DA249F">
        <w:rPr>
          <w:lang w:val="en-GB"/>
        </w:rPr>
        <w:t xml:space="preserve"> introductions. </w:t>
      </w:r>
      <w:r w:rsidR="00C71910" w:rsidRPr="00DA249F">
        <w:rPr>
          <w:lang w:val="en-GB"/>
        </w:rPr>
        <w:t>Introductions, unintentional as well as intentional (e.g., live bait) and legal as well as illegal, have led to the establishment and spread of alien</w:t>
      </w:r>
      <w:r w:rsidR="00FD0E24" w:rsidRPr="00DA249F">
        <w:rPr>
          <w:lang w:val="en-GB"/>
        </w:rPr>
        <w:t xml:space="preserve"> </w:t>
      </w:r>
      <w:r w:rsidR="00C71910" w:rsidRPr="00DA249F">
        <w:rPr>
          <w:lang w:val="en-GB"/>
        </w:rPr>
        <w:t>s</w:t>
      </w:r>
      <w:r w:rsidR="00FD0E24" w:rsidRPr="00DA249F">
        <w:rPr>
          <w:lang w:val="en-GB"/>
        </w:rPr>
        <w:t>pecies</w:t>
      </w:r>
      <w:r w:rsidR="00C71910" w:rsidRPr="00DA249F">
        <w:rPr>
          <w:lang w:val="en-GB"/>
        </w:rPr>
        <w:t xml:space="preserve"> in freshwater systems in Europe, North America, South America, South Africa</w:t>
      </w:r>
      <w:r w:rsidR="00774819">
        <w:rPr>
          <w:lang w:val="en-GB"/>
        </w:rPr>
        <w:t xml:space="preserve"> and</w:t>
      </w:r>
      <w:r w:rsidR="00C71910" w:rsidRPr="00DA249F">
        <w:rPr>
          <w:lang w:val="en-GB"/>
        </w:rPr>
        <w:t xml:space="preserve"> Oceania </w:t>
      </w:r>
      <w:r w:rsidR="00C71910" w:rsidRPr="00DA249F">
        <w:rPr>
          <w:lang w:val="en-GB"/>
        </w:rPr>
        <w:fldChar w:fldCharType="begin"/>
      </w:r>
      <w:r w:rsidR="00331A79">
        <w:rPr>
          <w:lang w:val="en-GB"/>
        </w:rPr>
        <w:instrText xml:space="preserve"> ADDIN ZOTERO_ITEM CSL_CITATION {"citationID":"W8nos5dz","properties":{"formattedCitation":"(Britton &amp; Orsi, 2012; Cambray, 2003; Carpio et al., 2019; Cerri et al., 2018; A. J. S. Davis &amp; Darling, 2017; Ellender &amp; Weyl, 2014; Gherardi et al., 2009; Lintermans, 2004; V. R. Ribeiro et al., 2017; E. R. C. Smith et al., 2020; M. R. Snyder et al., 2020; Weyl et al., 2020)","plainCitation":"(Britton &amp; Orsi, 2012; Cambray, 2003; Carpio et al., 2019; Cerri et al., 2018; A. J. S. Davis &amp; Darling, 2017; Ellender &amp; Weyl, 2014; Gherardi et al., 2009; Lintermans, 2004; V. R. Ribeiro et al., 2017; E. R. C. Smith et al., 2020; M. R. Snyder et al., 2020; Weyl et al., 2020)","noteIndex":0},"citationItems":[{"id":53789,"uris":["http://zotero.org/groups/2352922/items/44ATFED5","http://zotero.org/groups/2352922/items/C2MM6TBU"],"itemData":{"id":53789,"type":"article-journal","container-title":"Reviews in Fish Biology and Fisheries","DOI":"10.1007/s11160-012-9254-x","ISSN":"0960-3166, 1573-5184","issue":"3","journalAbbreviation":"Rev Fish Biol Fisheries","language":"en","page":"555-565","source":"DOI.org (Crossref)","title":"Non-native fish in aquaculture and sport fishing in Brazil: economic benefits versus risks to fish diversity in the upper River Paraná Basin","title-short":"Non-native fish in aquaculture and sport fishing in Brazil","URL":"http://link.springer.com/10.1007/s11160-012-9254-x","volume":"22","author":[{"family":"Britton","given":"J. Robert"},{"family":"Orsi","given":"Mário Luís"}],"accessed":{"date-parts":[["2022",10,17]]},"issued":{"date-parts":[["2012",9]]}},"label":"page"},{"id":23576,"uris":["http://zotero.org/groups/2352922/items/GUSYDYBQ"],"itemData":{"id":23576,"type":"article-journal","abstract":"One of the most insidious threats to fish conservation around the world is deliberate or accidental introduction of fish species. The impact of alien invasive sport fish is for the most part unpredictable in time and space, with the introduction of relatively few species having resulted in many extirpations of indigenous fish species worldwide. More nations need to quantify biodiversity loss caused by alien sport fishes. The spread of alien invasive fishes does not respect political boundaries. Therefore total global costs to aquatic biodiversity and ecosystem functioning resulting from these introductions need to be assessed. The global invasive species database of the Global Invasive Species Programme, highlights eight fish species among the one hundred `World's Worst Invasive Alien Species'. Three of these fish species (two trout and one bass species) were introduced solely for sport. Historically the social value of recreational fishing was usually more important than conserving biodiversity. Globalisation of alien fish species for sport is best illustrated by rainbow trout – now in 82 countries, and still spreading, along with the associated expensive angling gear, magazines and accommodation infrastructure. Such sport species have become part of the global consumer society. The nature and extent of the globalisation phenomenon is addressed with regard to how introduction of alien fish for recreational angling has impacted on biodiversity; trophic cascades at a local level and the unassessed total cumulative global trophic cascades; and some of the motives that underlie promotion of this sport within the complexity of globalisation as we know it today. Alien invasive recreational fish species are now recognised as a global environmental degradation problem resulting in loss of biodiversity and therefore require a global solution. Parallel trends such as globalisation of environmental education and the internet must be encouraged to counteract the damage caused and reverse the trend. This globally concerted campaign requires utilizing environmental education forums aimed at the angling community, general public and policy makers; networking with existing alien invasive groups; legislation; better understanding of processes; development of environmental economic evaluation tools; international bio-invasion control; wider use of the precautionary approach and utilization of the present globalisation of ecological thought.","container-title":"Hydrobiologia","DOI":"10.1023/A:1024648719995","ISSN":"1573-5117","issue":"1","journalAbbreviation":"Hydrobiologia","language":"en","page":"217-230","source":"Springer Link","title":"Impact on indigenous species biodiversity caused by the globalisation of alien recreational freshwater fisheries","URL":"https://doi.org/10.1023/A:1024648719995","volume":"500","author":[{"family":"Cambray","given":"J.A."}],"accessed":{"date-parts":[["2020",8,17]]},"issued":{"date-parts":[["2003",6,1]]}},"label":"page"},{"id":31193,"uris":["http://zotero.org/groups/2352922/items/XW5B88LV"],"itemData":{"id":31193,"type":"article-journal","container-title":"Biological Invasions","DOI":"10.1007/s10530-019-02042-5","ISSN":"1387-3547, 1573-1464","issue":"11","journalAbbreviation":"Biol Invasions","language":"en","page":"3233-3248","source":"DOI.org (Crossref)","title":"Angling as a source of non-native freshwater fish: a European review","title-short":"Angling as a source of non-native freshwater fish","URL":"http://link.springer.com/10.1007/s10530-019-02042-5","volume":"21","author":[{"family":"Carpio","given":"Antonio J."},{"family":"De Miguel","given":"R. J."},{"family":"Oteros","given":"J."},{"family":"Hillström","given":"L."},{"family":"Tortosa","given":"F. S."}],"accessed":{"date-parts":[["2021",11,3]]},"issued":{"date-parts":[["2019",11]]}},"label":"page"},{"id":52704,"uris":["http://zotero.org/groups/2352922/items/DVQHWJRT"],"itemData":{"id":52704,"type":"article-journal","container-title":"Knowledge and Management of Aquatic Ecosystems","DOI":"10.1051/kmae/2018028","issue":"419","title":"Recreational angling as a vector of freshwater invasions in Central Italy: perceptions and prevalence of illegal fish restocking","URL":"https://doi.org/10.1051/kmae/2018028","author":[{"family":"Cerri","given":"Jacopo"},{"family":"Ciappelli","given":"Alessandro"},{"family":"Lenuzza","given":"Andrea"},{"family":"Zaccaroni","given":"Marco"},{"family":"Nocita","given":"Annamaria"}],"issued":{"date-parts":[["2018"]]}},"label":"page"},{"id":10456,"uris":["http://zotero.org/groups/2352922/items/5UKI9NWP"],"itemData":{"id":10456,"type":"article-journal","abstract":"Aim: Mapping the geographic distribution of non-native aquatic species is a critically important precursor to understanding the anthropogenic and environmental factors that drive freshwater biological invasions. Such efforts are often limited to local scales and/or to single species, due to the challenges of data acquisition at larger scales. Here, we map the distribution of non-native freshwater species richness across the continental United States and investigate the role of human activity in driving macroscale patterns of aquatic invasion. Location: The continental United States. Methods: We assembled maps of non-native aquatic species richness by compiling occurrence data on exotic animal and plant species from publicly accessible databases. Using a dasymetric model of human population density and a spatially explicit model of recreational freshwater fishing demand, we analysed the effect of these metrics of human influence on the degree of invasion at the watershed scale, while controlling for spatial and sampling bias. We also assessed the effects that a temporal mismatch between occurrence data (collected since 1815) and cross-sectional predictors (developed using 2010 data) may have on model fit. Results: Non-native aquatic species richness exhibits a highly patchy distribution, with hotspots in the Northeast, Great Lakes, Florida, and human population centres on the Pacific coast. These richness patterns are correlated with population density, but are much more strongly predicted by patterns of recreational fishing demand. These relationships are strengthened by temporal matching of datasets and are robust to corrections for sampling effort. Main conclusions: Distributions of aquatic non-native species across the continental US are better predicted by freshwater recreational fishing than by human population density. This suggests that observed patterns are driven by a mechanistic link between recreational activity and aquatic non-native species richness and are not merely the outcome of sampling bias associated with human population density.","container-title":"Diversity and Distributions","DOI":"10.1111/ddi.12557","ISSN":"13669516","issue":"6","journalAbbreviation":"Diversity Distrib.","language":"en","page":"692-702","source":"DOI.org (Crossref)","title":"Recreational freshwater fishing drives non-native aquatic species richness patterns at a continental scale","URL":"http://doi.wiley.com/10.1111/ddi.12557","volume":"23","author":[{"family":"Davis","given":"A. J. S."},{"family":"Darling","given":"J. A."}],"editor":[{"family":"Leung","given":"Brian"}],"accessed":{"date-parts":[["2021",4,14]]},"issued":{"date-parts":[["2017",6]]}},"label":"page"},{"id":30152,"uris":["http://zotero.org/groups/2352922/items/FHP7DBHU"],"itemData":{"id":30152,"type":"article-journal","container-title":"Aquatic Invasions","DOI":"10.3391/ai.2014.9.2.01","ISSN":"18185487","issue":"2","journalAbbreviation":"AI","page":"117-132","source":"DOI.org (Crossref)","title":"A review of current knowledge, risk and ecological impacts associated with non-native freshwater fish introductions in South Africa","URL":"http://www.aquaticinvasions.net/2014/AI_2014_Ellender_Weyl.pdf","volume":"9","author":[{"family":"Ellender","given":"Bruce R."},{"family":"Weyl","given":"Olaf L F"}],"accessed":{"date-parts":[["2020",8,18]]},"issued":{"date-parts":[["2014",6]]}},"label":"page"},{"id":11450,"uris":["http://zotero.org/groups/2352922/items/G2FZI8VD"],"itemData":{"id":11450,"type":"chapter","collection-title":"Invading Nature - Springer Series in Invasion Ecology","container-title":"Handbook of Alien Species in Europe","event-place":"Dordrecht","ISBN":"978-1-4020-8280-1","language":"EN","note":"DOI: 10.1007/978-1-4020-8280-1_6","page":"81-92","publisher":"Springer","publisher-place":"Dordrecht","title":"Alien Invertebrates and Fish in European Inland Waters","URL":"https://doi.org/10.1007/978-1-4020-8280-1_6","volume":"3","author":[{"family":"Gherardi","given":"Francesca"},{"family":"Gollasch","given":"S"},{"family":"Minchin","given":"D"},{"family":"Olenin","given":"S"},{"family":"Panov","given":"VE"}],"issued":{"date-parts":[["2009"]]}},"label":"page"},{"id":52706,"uris":["http://zotero.org/groups/2352922/items/W6FQCJF9"],"itemData":{"id":52706,"type":"article-journal","container-tit</w:instrText>
      </w:r>
      <w:r w:rsidR="00331A79">
        <w:rPr>
          <w:rFonts w:hint="eastAsia"/>
          <w:lang w:val="en-GB"/>
        </w:rPr>
        <w:instrText>le":"New Zealand Journal of Marine and Freshwater Research","DOI":"10.1080/00288330.2004.9517255","ISSN":"0028-8330","issue":"3","journalAbbreviation":"null","note":"publisher: Taylor &amp; Francis","page":"481-501","title":"Human</w:instrText>
      </w:r>
      <w:r w:rsidR="00331A79">
        <w:rPr>
          <w:rFonts w:hint="eastAsia"/>
          <w:lang w:val="en-GB"/>
        </w:rPr>
        <w:instrText>‐</w:instrText>
      </w:r>
      <w:r w:rsidR="00331A79">
        <w:rPr>
          <w:rFonts w:hint="eastAsia"/>
          <w:lang w:val="en-GB"/>
        </w:rPr>
        <w:instrText xml:space="preserve">assisted dispersal of alien </w:instrText>
      </w:r>
      <w:r w:rsidR="00331A79">
        <w:rPr>
          <w:lang w:val="en-GB"/>
        </w:rPr>
        <w:instrText xml:space="preserve">freshwater fish in Australia","URL":"https://doi.org/10.1080/00288330.2004.9517255","volume":"38","author":[{"family":"Lintermans","given":"Mark"}],"issued":{"date-parts":[["2004",8,1]]}},"label":"page"},{"id":52699,"uris":["http://zotero.org/groups/2352922/items/KXKCRG6R"],"itemData":{"id":52699,"type":"article-journal","abstract":"Sport fishing is an activity responsible for moving millions of dollars around the world. However, this activity is also considered to cause habitat degradation and promoting several negative effects on the ichthyofauna. The ``Iguaçu Dourado'' project, presented here, seeks to intensify the potential of sport fishing in the Iguaçu River Basin. Although not explicit, the project intends to introduce Dourado (Salminus brasiliensis), as well as to encourage sport fishing of the species in the Iguaçu River Basin. Twenty specimens were captured in the Salto Santiago and Salto Osório reservoirs from 2003 to 2016, thus indicating that the invasion of S. brasiliensis can be successful and extremely harmful to the endemic fauna of the basin. We believe that the so-called project is characterized by an attitude of eco-vandalism, promoting the illegal release of species outside its area of occurrence. Awareness-raising measures as well as educational programs should be addressed so that the population can be informed about the issue of invasion of non-native species.","container-title":"Perspectives in Ecology and Conservation","DOI":"10.1016/j.pecon.2017.03.004","ISSN":"2530-0644","issue":"2","journalAbbreviation":"Perspectives in Ecology and Conservation","page":"132-135","title":"Imminent threat of the predator fish invasion &lt;i&gt;Salminus brasiliensis&lt;/i&gt; in a Neotropical ecoregion: eco-vandalism masked as an environmental project","URL":"https://www.sciencedirect.com/science/article/pii/S1679007316300755","volume":"15","author":[{"family":"Ribeiro","given":"Vinícius Ricardo"},{"family":"Silva","given":"Pedro Rogério Leandro","dropping-particle":"da"},{"family":"Gubiani","given":"Éder André"},{"family":"Faria","given":"Larissa"},{"family":"Daga","given":"Vanessa Salete"},{"family":"Vitule","given":"Jean Ricardo Simões"}],"issued":{"date-parts":[["2017",4,1]]}},"label":"page"},{"id":11146,"uris":["http://zotero.org/groups/2352922/items/DIZDMYEN"],"itemData":{"id":11146,"type":"article-journal","abstract":"Abstract\n            Identifying and establishing the relative importance of different anthropogenic pathways of invasive non-native species (INNS) introduction is critical for effective management of their establishment and spread in the long-term. Angling has been identified as one of these pathways. An online survey of 680 British anglers was conducted to establish patterns of movement by British anglers abroad, and to establish their awareness and use of biosecurity practices. The survey revealed that 44% of British anglers travelled abroad for fishing, visiting 72 different countries. France was the most frequently visited country, accounting for one-third of all trips abroad. The estimated time taken to travel from Western Europe into Great Britain (GB) is within the time frame that INNS have been shown to survive on damp angling equipment. Without biosecurity, it is therefore highly likely that INNS could be unintentionally transported into GB on damp angling gear. Since the launch of the Check, Clean Dry biosecurity campaign in GB in 2011, the number of anglers cleaning their equipment after every trip has increased by 15%, and 80% of anglers now undertake some form of biosecurity. However, a significant proportion of the angling population is still not implementing sufficient, or the correct biosecurity measures to minimize the risk of INNS dispersal on damp angling equipment. With the increase in movement of anglers abroad for fishing, further work is required to establish the potential for INNS introduction through this pathway.","container-title":"Biological Invasions","DOI":"10.1007/s10530-019-02169-5","ISSN":"1387-3547, 1573-1464","issue":"3","journalAbbreviation":"Biol Invasions","language":"en","page":"1135-1159","source":"DOI.org (Crossref)","title":"Recreational angling as a pathway for invasive non-native species spread: awareness of biosecurity and the risk of long distance movement into Great Britain","title-short":"Recreational angling as a pathway for invasive non-native species spread","URL":"http://link.springer.com/10.1007/s10530-019-02169-5","volume":"22","author":[{"family":"Smith","given":"E. R. C."},{"family":"Bennion","given":"H."},{"family":"Sayer","given":"C. D."},{"family":"Aldridge","given":"D. C."},{"family":"Owen","given":"M."}],"accessed":{"date-parts":[["2021",3,16]]},"issued":{"date-parts":[["2020",3]]}},"label":"page"},{"id":52697,"uris":["http://zotero.org/groups/2352922/items/G8TUWBTI"],"itemData":{"id":52697,"type":"article-journal","abstract":"Bait and pond stores comprise potential, yet poorly understood, vectors for aquatic invasive species (AIS). We tested for AIS and illegal native species in 51 bait and 21 pond stores from the central Great Lakes (Lake Erie, Ohio and Lake St. Clair, Michigan) and the adjacent Wabash River (Indiana) using environmental DNA (eDNA) metabarcode assays of water samples and morphological identifications. Retailers were questioned about supply chains, and anglers surveyed about baitfish use and disposal. Assays revealed unadvertised species eDNA in 100% of bait stores, with 61% containing illegal native non-bait (totaling 13 species) and 88% having AIS (11 species). Illegal native non-bait species included juvenile walleye, yellow perch, and white sucker eDNA. AIS eDNA included Eurasian ruffe in seven stores (all states), silver carp in five (including a Lake Erie store in two separate years), and bighead carp in two Lake Erie stores that also had silver carp. Among pond stores, two in Lake St. Clair had bighead carp eDNA, one also contained silver carp, and a Wabash River location showed European ide. Unadvertised invasive snails were discerned in 55% of pond stores. Four contained zebra mussel eDNA and two had invasive bryozoans. Illegal native species and AIS were widespread, but showed little relationship to the retailers' variable and extensive supply chains. Live baitfish releases were reported by 50% of Lake Erie anglers and 35% in Lake St. Clair. Consumer behavior and AIS prevalence in the bait and pond trades thus pose serious risks for introductions and spread.","container-title":"Biological Conservation","DOI":"10.1016/j.biocon.2020.108430","ISSN":"0006-3207","journalAbbreviation":"Biological Conservation","page":"108430","title":"Detecting aquatic invasive species in bait and pond stores with targeted environmental (e)DNA high-throughput sequencing metabarcode assays: Angler, retailer, and manager implications","URL":"https://www.sciencedirect.com/science/article/pii/S0006320719314508","volume":"245","author":[{"family":"Snyder","given":"Matthew R."},{"family":"Stepien","given":"Carol A."},{"family":"Marshall","given":"Nathaniel T."},{"family":"Scheppler","given":"Hannah B."},{"family":"Black","given":"Christopher L."},{"family":"Czajkowski","given":"Kevin P."}],"issued":{"date-parts":[["2020",5,1]]}},"label":"page"},{"id":28742,"uris":["http://zotero.org/groups/2352922/items/BD22HB6K"],"itemData":{"id":28742,"type":"chapter","collection-title":"Invading Nature - Springer Series in Invasion Ecology","container-title":"Biological invasions in South Africa","event-place":"Berlin","language":"English","note":"DOI: 10.1007/978-3-030-32394-3_6","page":"151–182","publisher":"Springer","publisher-place":"Berlin","title":"Alien freshwater fauna in South Africa","URL":"https://link.springer.com/chapter/10.1007/978-3-030-32394-3_6","volume":"14","author":[{"family":"Weyl","given":"Olaf L. F"},{"family":"Ellender","given":"Bruce R"},{"family":"Wassermann","given":"Ryan J"},{"family":"Truter","given":"Marliese"},{"family":"Dalu","given":"Tatenda"},{"family":"Zengeya","given":"Tsungai A"},{"family":"Smit","given":"Nico J"}],"issued":{"date-parts":[["2020"]]}},"label":"page"}],"schema":"https://github.com/citation-style-language/schema/raw/master/csl-citation.json"} </w:instrText>
      </w:r>
      <w:r w:rsidR="00C71910" w:rsidRPr="00DA249F">
        <w:rPr>
          <w:lang w:val="en-GB"/>
        </w:rPr>
        <w:fldChar w:fldCharType="separate"/>
      </w:r>
      <w:r w:rsidR="00144D96" w:rsidRPr="00144D96">
        <w:t>(Britton &amp; Orsi, 2012; Cambray, 2003; Carpio et al., 2019; Cerri et al., 2018; A. J. S. Davis &amp; Darling, 2017; Ellender &amp; Weyl, 2014; Gherardi et al., 2009; Lintermans, 2004; V. R. Ribeiro et al., 2017; E. R. C. Smith et al., 2020; M. R. Snyder et al., 2020; Weyl et al., 2020)</w:t>
      </w:r>
      <w:r w:rsidR="00C71910" w:rsidRPr="00DA249F">
        <w:rPr>
          <w:lang w:val="en-GB"/>
        </w:rPr>
        <w:fldChar w:fldCharType="end"/>
      </w:r>
      <w:r w:rsidR="00CD18BB" w:rsidRPr="00DA249F">
        <w:rPr>
          <w:lang w:val="en-GB"/>
        </w:rPr>
        <w:t xml:space="preserve">. </w:t>
      </w:r>
      <w:r w:rsidR="0059516E" w:rsidRPr="00DA249F">
        <w:rPr>
          <w:lang w:val="en-GB"/>
        </w:rPr>
        <w:t xml:space="preserve">In the Mediterranean basin alone, stocking (for angling, commercial purposes, or </w:t>
      </w:r>
      <w:r w:rsidR="008711B0" w:rsidRPr="00DA249F">
        <w:rPr>
          <w:lang w:val="en-GB"/>
        </w:rPr>
        <w:t>biological control</w:t>
      </w:r>
      <w:r w:rsidR="0059516E" w:rsidRPr="00DA249F">
        <w:rPr>
          <w:lang w:val="en-GB"/>
        </w:rPr>
        <w:t xml:space="preserve">) is implicated in </w:t>
      </w:r>
      <w:r w:rsidR="00292BC3" w:rsidRPr="00DA249F">
        <w:rPr>
          <w:lang w:val="en-GB"/>
        </w:rPr>
        <w:t xml:space="preserve">over </w:t>
      </w:r>
      <w:r w:rsidR="0059516E" w:rsidRPr="00DA249F">
        <w:rPr>
          <w:lang w:val="en-GB"/>
        </w:rPr>
        <w:t>35</w:t>
      </w:r>
      <w:r w:rsidR="008711B0" w:rsidRPr="00DA249F">
        <w:rPr>
          <w:lang w:val="en-GB"/>
        </w:rPr>
        <w:t xml:space="preserve"> </w:t>
      </w:r>
      <w:r w:rsidR="004C77CD" w:rsidRPr="00DA249F">
        <w:rPr>
          <w:rStyle w:val="eop"/>
          <w:lang w:val="en-GB"/>
        </w:rPr>
        <w:t>per cent</w:t>
      </w:r>
      <w:r w:rsidR="008711B0" w:rsidRPr="00DA249F">
        <w:rPr>
          <w:lang w:val="en-GB"/>
        </w:rPr>
        <w:t xml:space="preserve"> </w:t>
      </w:r>
      <w:r w:rsidR="0059516E" w:rsidRPr="00DA249F">
        <w:rPr>
          <w:lang w:val="en-GB"/>
        </w:rPr>
        <w:t xml:space="preserve">of more than 500 documented freshwater fish introductions </w:t>
      </w:r>
      <w:r w:rsidR="0059516E" w:rsidRPr="00DA249F">
        <w:rPr>
          <w:lang w:val="en-GB"/>
        </w:rPr>
        <w:fldChar w:fldCharType="begin"/>
      </w:r>
      <w:r w:rsidR="00331A79">
        <w:rPr>
          <w:lang w:val="en-GB"/>
        </w:rPr>
        <w:instrText xml:space="preserve"> ADDIN ZOTERO_ITEM CSL_CITATION {"citationID":"9N8kh0hv","properties":{"formattedCitation":"(Tricarico, 2012)","plainCitation":"(Tricarico, 2012)","noteIndex":0},"citationItems":[{"id":15707,"uris":["http://zotero.org/groups/2352922/items/PYHM4R35"],"itemData":{"id":15707,"type":"article-journal","abstract":"The Mediterranean region is considered one of the six global invasion hotspots, with non-native freshwater ﬁshes representing more than a quarter of all ﬁsh species in drainage basins. Existing literature is reviewed to identify the main pathways and drivers of non-native ﬁsh introductions. In the Mediterranean region, non-native ﬁshes were introduced through aquaculture and stocking activities for commercial and angling purposes. Introductions doubled from the 1950s, involving mostly Perciformes and Cypriniformes, with species coming from other parts of Europe, Asia and North America. Some diﬀerences between the northern and the south-eastern areas of the Mediterranean region were found, although data from the latter area were scanty. Greater eﬀort should be exerted to improve controls on aquaculture and stocking activities, as well as public awareness of the risks posed by non-native species introductions.","container-title":"Fisheries Management and Ecology","DOI":"10.1111/j.1365-2400.2011.00834.x","ISSN":"0969997X","issue":"2","language":"en","page":"133-141","source":"DOI.org (Crossref)","title":"A review on pathways and drivers of use regarding non-native freshwater fish introductions in the Mediterranean region","title-short":"A review on pathways and drivers of use regarding non-native freshwater fish introductions in the Mediterranean region","URL":"http://doi.wiley.com/10.1111/j.1365-2400.2011.00834.x","volume":"19","author":[{"family":"Tricarico","given":"E."}],"accessed":{"date-parts":[["2019",11,1]]},"issued":{"date-parts":[["2012",4]]}},"label":"page"}],"schema":"https://github.com/citation-style-language/schema/raw/master/csl-citation.json"} </w:instrText>
      </w:r>
      <w:r w:rsidR="0059516E" w:rsidRPr="00DA249F">
        <w:rPr>
          <w:lang w:val="en-GB"/>
        </w:rPr>
        <w:fldChar w:fldCharType="separate"/>
      </w:r>
      <w:r w:rsidR="00144D96" w:rsidRPr="00144D96">
        <w:t>(Tricarico, 2012)</w:t>
      </w:r>
      <w:r w:rsidR="0059516E" w:rsidRPr="00DA249F">
        <w:rPr>
          <w:lang w:val="en-GB"/>
        </w:rPr>
        <w:fldChar w:fldCharType="end"/>
      </w:r>
      <w:r w:rsidR="0059516E" w:rsidRPr="00DA249F">
        <w:rPr>
          <w:lang w:val="en-GB"/>
        </w:rPr>
        <w:t xml:space="preserve">. </w:t>
      </w:r>
      <w:r w:rsidR="00D822A2" w:rsidRPr="00DA249F">
        <w:rPr>
          <w:lang w:val="en-GB"/>
        </w:rPr>
        <w:t xml:space="preserve">In the Arctic, </w:t>
      </w:r>
      <w:r w:rsidR="0059516E" w:rsidRPr="00DA249F">
        <w:rPr>
          <w:i/>
          <w:iCs/>
          <w:lang w:val="en-GB"/>
        </w:rPr>
        <w:t>Paralithodes camtschaticus</w:t>
      </w:r>
      <w:r w:rsidR="0059516E" w:rsidRPr="00DA249F">
        <w:rPr>
          <w:lang w:val="en-GB"/>
        </w:rPr>
        <w:t xml:space="preserve"> </w:t>
      </w:r>
      <w:r w:rsidR="004D27DD" w:rsidRPr="00DA249F">
        <w:rPr>
          <w:lang w:val="en-GB"/>
        </w:rPr>
        <w:t>(</w:t>
      </w:r>
      <w:r w:rsidR="00D822A2" w:rsidRPr="00DA249F">
        <w:rPr>
          <w:lang w:val="en-GB"/>
        </w:rPr>
        <w:t>red king crab</w:t>
      </w:r>
      <w:r w:rsidR="004D27DD" w:rsidRPr="00DA249F">
        <w:rPr>
          <w:lang w:val="en-GB"/>
        </w:rPr>
        <w:t>)</w:t>
      </w:r>
      <w:r w:rsidR="00D822A2" w:rsidRPr="00DA249F">
        <w:rPr>
          <w:lang w:val="en-GB"/>
        </w:rPr>
        <w:t xml:space="preserve"> was </w:t>
      </w:r>
      <w:r w:rsidR="0059516E" w:rsidRPr="00DA249F">
        <w:rPr>
          <w:lang w:val="en-GB"/>
        </w:rPr>
        <w:t xml:space="preserve">intentionally introduced from the Sea of Okhotsk to the Barents Sea in the 1960s to establish a new commercial fishery, </w:t>
      </w:r>
      <w:r w:rsidR="00382952" w:rsidRPr="00DA249F">
        <w:rPr>
          <w:lang w:val="en-GB"/>
        </w:rPr>
        <w:t xml:space="preserve">and it </w:t>
      </w:r>
      <w:r w:rsidR="0059516E" w:rsidRPr="00DA249F">
        <w:rPr>
          <w:lang w:val="en-GB"/>
        </w:rPr>
        <w:t xml:space="preserve">is currently established </w:t>
      </w:r>
      <w:r w:rsidR="00BD62AC" w:rsidRPr="00DA249F">
        <w:rPr>
          <w:lang w:val="en-GB"/>
        </w:rPr>
        <w:t>and is spreading</w:t>
      </w:r>
      <w:r w:rsidR="0059516E" w:rsidRPr="00DA249F">
        <w:rPr>
          <w:lang w:val="en-GB"/>
        </w:rPr>
        <w:t xml:space="preserve"> to the extent that it is commercially harvested by Russian and Norwegian fisheries </w:t>
      </w:r>
      <w:r w:rsidR="0059516E" w:rsidRPr="00DA249F">
        <w:rPr>
          <w:lang w:val="en-GB"/>
        </w:rPr>
        <w:fldChar w:fldCharType="begin"/>
      </w:r>
      <w:r w:rsidR="00331A79">
        <w:rPr>
          <w:lang w:val="en-GB"/>
        </w:rPr>
        <w:instrText xml:space="preserve"> ADDIN ZOTERO_ITEM CSL_CITATION {"citationID":"mE9iDYtQ","properties":{"formattedCitation":"(Hindar et al., 2020)","plainCitation":"(Hindar et al., 2020)","noteIndex":0},"citationItems":[{"id":54464,"uris":["http://zotero.org/groups/2352922/items/G7RNBTCM"],"itemData":{"id":54464,"type":"report","event-place":"Oslo, Norway","note":"ISBN: 2535-4019","number":"VKM report 2020:0","publisher":"Norwegian Scientific  Committee for Food and Environment (VKM)","publisher-place":"Oslo, Norway","title":"Assessment of the risk to Norwegian biodiversity and aquaculture from pink salmon (&lt;i&gt;Oncorhynchus gorbuscha&lt;/i&gt;). Scientific Opinion of the Panel on Alien Organisms and Trade in Endangered Species of the Norwegian Scientific Committee for Food and Environment","URL":"https://vetinst.brage.unit.no/vetinst-xmlui/bitstream/handle/11250/2828612/HindarAssessmentVKMrapport01_2020.pdf?sequence=2","author":[{"family":"Hindar","given":"Kjetil"},{"family":"Hole","given":"Lars Robert"},{"family":"Kausrud","given":"Kyrre Linné"},{"family":"Malmstrøm","given":"Martin"},{"family":"Rimstad","given":"Espen"},{"family":"Robertson","given":"Lucy"},{"family":"Sandlund","given":"Odd Terje"},{"family":"Thorstad","given":"Eva Bonsak"},{"family":"Vollset","given":"Knut"},{"family":"Boer","given":"Hugo","non-dropping-particle":"de"}],"issued":{"date-parts":[["2020"]]}}}],"schema":"https://github.com/citation-style-language/schema/raw/master/csl-citation.json"} </w:instrText>
      </w:r>
      <w:r w:rsidR="0059516E" w:rsidRPr="00DA249F">
        <w:rPr>
          <w:lang w:val="en-GB"/>
        </w:rPr>
        <w:fldChar w:fldCharType="separate"/>
      </w:r>
      <w:r w:rsidR="00144D96" w:rsidRPr="00144D96">
        <w:t>(Hindar et al., 2020)</w:t>
      </w:r>
      <w:r w:rsidR="0059516E" w:rsidRPr="00DA249F">
        <w:rPr>
          <w:lang w:val="en-GB"/>
        </w:rPr>
        <w:fldChar w:fldCharType="end"/>
      </w:r>
      <w:r w:rsidR="0059516E" w:rsidRPr="00DA249F">
        <w:rPr>
          <w:lang w:val="en-GB"/>
        </w:rPr>
        <w:t xml:space="preserve">. </w:t>
      </w:r>
      <w:r w:rsidR="00D822A2" w:rsidRPr="00DA249F">
        <w:rPr>
          <w:i/>
          <w:iCs/>
          <w:lang w:val="en-GB"/>
        </w:rPr>
        <w:t>Oncorhynchus gorbuscha</w:t>
      </w:r>
      <w:r w:rsidR="004D27DD" w:rsidRPr="00DA249F">
        <w:rPr>
          <w:i/>
          <w:iCs/>
          <w:lang w:val="en-GB"/>
        </w:rPr>
        <w:t xml:space="preserve"> </w:t>
      </w:r>
      <w:r w:rsidR="004D27DD" w:rsidRPr="00DA249F">
        <w:rPr>
          <w:iCs/>
          <w:lang w:val="en-GB"/>
        </w:rPr>
        <w:t>(</w:t>
      </w:r>
      <w:r w:rsidR="00620214" w:rsidRPr="00DA249F">
        <w:rPr>
          <w:lang w:val="en-GB"/>
        </w:rPr>
        <w:t>pink salmon</w:t>
      </w:r>
      <w:r w:rsidR="004D27DD" w:rsidRPr="00DA249F">
        <w:rPr>
          <w:lang w:val="en-GB"/>
        </w:rPr>
        <w:t>)</w:t>
      </w:r>
      <w:r w:rsidR="00620214" w:rsidRPr="00DA249F">
        <w:rPr>
          <w:lang w:val="en-GB"/>
        </w:rPr>
        <w:t xml:space="preserve"> </w:t>
      </w:r>
      <w:r w:rsidR="00CC7BC2" w:rsidRPr="00DA249F">
        <w:rPr>
          <w:lang w:val="en-GB"/>
        </w:rPr>
        <w:t xml:space="preserve">was introduced to </w:t>
      </w:r>
      <w:r w:rsidR="00D94573" w:rsidRPr="00DA249F">
        <w:rPr>
          <w:lang w:val="en-GB"/>
        </w:rPr>
        <w:t xml:space="preserve">several </w:t>
      </w:r>
      <w:r w:rsidR="00CC7BC2" w:rsidRPr="00DA249F">
        <w:rPr>
          <w:lang w:val="en-GB"/>
        </w:rPr>
        <w:t xml:space="preserve">rivers in </w:t>
      </w:r>
      <w:r w:rsidR="00D94573" w:rsidRPr="00DA249F">
        <w:rPr>
          <w:lang w:val="en-GB"/>
        </w:rPr>
        <w:t>N</w:t>
      </w:r>
      <w:r w:rsidR="00CC7BC2" w:rsidRPr="00DA249F">
        <w:rPr>
          <w:lang w:val="en-GB"/>
        </w:rPr>
        <w:t>orth</w:t>
      </w:r>
      <w:r w:rsidR="00342C05" w:rsidRPr="00DA249F">
        <w:rPr>
          <w:lang w:val="en-GB"/>
        </w:rPr>
        <w:t xml:space="preserve">-west Russia </w:t>
      </w:r>
      <w:r w:rsidR="001E5001" w:rsidRPr="00DA249F">
        <w:rPr>
          <w:lang w:val="en-GB"/>
        </w:rPr>
        <w:t>in the 19</w:t>
      </w:r>
      <w:r w:rsidR="00EE3B23" w:rsidRPr="00DA249F">
        <w:rPr>
          <w:lang w:val="en-GB"/>
        </w:rPr>
        <w:t>5</w:t>
      </w:r>
      <w:r w:rsidR="001E5001" w:rsidRPr="00DA249F">
        <w:rPr>
          <w:lang w:val="en-GB"/>
        </w:rPr>
        <w:t>0s</w:t>
      </w:r>
      <w:r w:rsidR="00EE3B23" w:rsidRPr="00DA249F">
        <w:rPr>
          <w:lang w:val="en-GB"/>
        </w:rPr>
        <w:t xml:space="preserve">, and </w:t>
      </w:r>
      <w:r w:rsidR="00727887" w:rsidRPr="00DA249F">
        <w:rPr>
          <w:lang w:val="en-GB"/>
        </w:rPr>
        <w:t xml:space="preserve">while the first return to </w:t>
      </w:r>
      <w:r w:rsidR="00AE46D6" w:rsidRPr="00DA249F">
        <w:rPr>
          <w:lang w:val="en-GB"/>
        </w:rPr>
        <w:t>rivers in Russia</w:t>
      </w:r>
      <w:r w:rsidR="00727887" w:rsidRPr="00DA249F">
        <w:rPr>
          <w:lang w:val="en-GB"/>
        </w:rPr>
        <w:t xml:space="preserve"> and Northern Norway was recorded in the </w:t>
      </w:r>
      <w:r w:rsidR="00105D7B" w:rsidRPr="00DA249F">
        <w:rPr>
          <w:lang w:val="en-GB"/>
        </w:rPr>
        <w:t>1960s,</w:t>
      </w:r>
      <w:r w:rsidR="00EB5BC1" w:rsidRPr="00DA249F">
        <w:rPr>
          <w:lang w:val="en-GB"/>
        </w:rPr>
        <w:t xml:space="preserve"> a self-sustaining population did not </w:t>
      </w:r>
      <w:r w:rsidR="00842592" w:rsidRPr="00DA249F">
        <w:rPr>
          <w:lang w:val="en-GB"/>
        </w:rPr>
        <w:t>establish until several decades later.</w:t>
      </w:r>
      <w:r w:rsidR="005B6A85" w:rsidRPr="00DA249F">
        <w:rPr>
          <w:lang w:val="en-GB"/>
        </w:rPr>
        <w:t xml:space="preserve"> From 2017 onwards, </w:t>
      </w:r>
      <w:r w:rsidR="00A549F9" w:rsidRPr="00DA249F">
        <w:rPr>
          <w:lang w:val="en-GB"/>
        </w:rPr>
        <w:t>rapid establishment and spread occurred, to the ext</w:t>
      </w:r>
      <w:r w:rsidR="00D05A65" w:rsidRPr="00DA249F">
        <w:rPr>
          <w:lang w:val="en-GB"/>
        </w:rPr>
        <w:t>e</w:t>
      </w:r>
      <w:r w:rsidR="00A549F9" w:rsidRPr="00DA249F">
        <w:rPr>
          <w:lang w:val="en-GB"/>
        </w:rPr>
        <w:t xml:space="preserve">nt that the pink salmon </w:t>
      </w:r>
      <w:r w:rsidR="002D5075" w:rsidRPr="00DA249F">
        <w:rPr>
          <w:lang w:val="en-GB"/>
        </w:rPr>
        <w:t>was</w:t>
      </w:r>
      <w:r w:rsidR="00A549F9" w:rsidRPr="00DA249F">
        <w:rPr>
          <w:lang w:val="en-GB"/>
        </w:rPr>
        <w:t xml:space="preserve"> a dominant fish species in several rivers in Northern Norway </w:t>
      </w:r>
      <w:r w:rsidR="002D5075" w:rsidRPr="00DA249F">
        <w:rPr>
          <w:lang w:val="en-GB"/>
        </w:rPr>
        <w:t>in 2021</w:t>
      </w:r>
      <w:r w:rsidR="00542BEC" w:rsidRPr="00DA249F">
        <w:rPr>
          <w:lang w:val="en-GB"/>
        </w:rPr>
        <w:t xml:space="preserve"> (</w:t>
      </w:r>
      <w:r w:rsidR="006E68FA" w:rsidRPr="00DA249F">
        <w:rPr>
          <w:lang w:val="en-GB"/>
        </w:rPr>
        <w:t xml:space="preserve">with </w:t>
      </w:r>
      <w:r w:rsidR="00542BEC" w:rsidRPr="00DA249F">
        <w:rPr>
          <w:lang w:val="en-GB"/>
        </w:rPr>
        <w:t xml:space="preserve">up to 23-fold increase </w:t>
      </w:r>
      <w:r w:rsidR="00E4130E" w:rsidRPr="00DA249F">
        <w:rPr>
          <w:lang w:val="en-GB"/>
        </w:rPr>
        <w:t xml:space="preserve">in population </w:t>
      </w:r>
      <w:r w:rsidR="005F38F0" w:rsidRPr="00DA249F">
        <w:rPr>
          <w:lang w:val="en-GB"/>
        </w:rPr>
        <w:t xml:space="preserve">size </w:t>
      </w:r>
      <w:r w:rsidR="00E4130E" w:rsidRPr="00DA249F">
        <w:rPr>
          <w:lang w:val="en-GB"/>
        </w:rPr>
        <w:t>from 2019-2021)</w:t>
      </w:r>
      <w:r w:rsidR="00E63ADB" w:rsidRPr="00DA249F">
        <w:rPr>
          <w:lang w:val="en-GB"/>
        </w:rPr>
        <w:t>,</w:t>
      </w:r>
      <w:r w:rsidR="002D5075" w:rsidRPr="00DA249F">
        <w:rPr>
          <w:lang w:val="en-GB"/>
        </w:rPr>
        <w:t xml:space="preserve"> </w:t>
      </w:r>
      <w:r w:rsidR="00A549F9" w:rsidRPr="00DA249F">
        <w:rPr>
          <w:lang w:val="en-GB"/>
        </w:rPr>
        <w:t xml:space="preserve">and </w:t>
      </w:r>
      <w:r w:rsidR="002D5075" w:rsidRPr="00DA249F">
        <w:rPr>
          <w:lang w:val="en-GB"/>
        </w:rPr>
        <w:t xml:space="preserve">it </w:t>
      </w:r>
      <w:r w:rsidR="00487F95" w:rsidRPr="00DA249F">
        <w:rPr>
          <w:lang w:val="en-GB"/>
        </w:rPr>
        <w:t xml:space="preserve">had </w:t>
      </w:r>
      <w:r w:rsidR="00B96776" w:rsidRPr="00DA249F">
        <w:rPr>
          <w:lang w:val="en-GB"/>
        </w:rPr>
        <w:t xml:space="preserve">spread </w:t>
      </w:r>
      <w:r w:rsidR="00A549F9" w:rsidRPr="00DA249F">
        <w:rPr>
          <w:lang w:val="en-GB"/>
        </w:rPr>
        <w:t>along the entire Norwegian coast</w:t>
      </w:r>
      <w:r w:rsidR="007612A9" w:rsidRPr="00DA249F">
        <w:rPr>
          <w:lang w:val="en-GB"/>
        </w:rPr>
        <w:t xml:space="preserve"> </w:t>
      </w:r>
      <w:r w:rsidR="00B94D5B" w:rsidRPr="00DA249F">
        <w:rPr>
          <w:lang w:val="en-GB"/>
        </w:rPr>
        <w:fldChar w:fldCharType="begin"/>
      </w:r>
      <w:r w:rsidR="00331A79">
        <w:rPr>
          <w:lang w:val="en-GB"/>
        </w:rPr>
        <w:instrText xml:space="preserve"> ADDIN ZOTERO_ITEM CSL_CITATION {"citationID":"NLsi3nQ7","properties":{"formattedCitation":"(Berntsen et al., 2022; Hindar et al., 2020)","plainCitation":"(Berntsen et al., 2022; Hindar et al., 2020)","noteIndex":0},"citationItems":[{"id":54462,"uris":["http://zotero.org/groups/2352922/items/BHNSKPQS"],"itemData":{"id":54462,"type":"book","abstract":"Berntsen, H.H., Sandlund, O.T. &amp; Thorstad, E.B. 2022. Pukkellaks i Norge, 2021. NINA Rapport 2160. Norsk institutt for naturforskning. \nEtter invasjonen av pukkellaks i norske elver i 2017 og 2019 var det knyttet stor spenning til hvordan invasjonen i 2021 ville se ut. Registreringene i 2021 viser at det totale antallet pukkellaks langs norskekysten og i norske elver var åtte ganger høyere enn i 2019, og hele 17 ganger høyere enn i 2017. Som i de foregående årene var fangsten av pukkellaks aller størst i Finnmark og Troms. \nFangststatistikken fra sjøen og elvene fra 2021 viser i likhet med tidligere år at 1) det fremdeles fanges størst antall pukkellaks i Øst-Finnmark, 2) det var en fortsatt økning i antall pukkellaks i Vest-Finnmark og Nord-Troms, og 3) det var få pukkellaks i elvene fra Nordland og sørover selv om antallet var høyere enn i noe år før 2017. \nTotalt ble 208 000 pukkellaks registrert fanget og observert i norske elver og kystfarvann i 2021. Til sammenligning ble 12 000 pukkellaks registrert i 2017 og 25 000 pukkellaks i 2019. Av fisken fanget i 2021 ble 13 700 fanget ved sportsfiske i elv, 104 000 ved uttaksfiske i elv, 1700 ved sportsfiske i sjøen og 39 000 i kilenot- og krokgarnfiske i sjøen. I tillegg ble 49 000 pukkellaks observert under drivtelling eller kameraovervåking i elver. \nRapportert fangst av pukkellaks i sjølaksefiske (kilenot- og krokgarnfiske) var syv ganger høyere i 2021 enn i 2019. Denne økningen skyldes hovedsakelig økning i fangstene i kilenot- og krokgarnfisket i Finnmark og Troms. Den aller største økningen i antall pukkellaks var i Vest-Finnmark, mellom Nordkapp og Troms, hvor fangsten var hele 23 ganger høyere i 2021 enn i 2019. \nI sportsfisket i elv i 2021 ble det fanget over dobbelt så mange pukkellaks som i 2019, mens antallet pukkellaks fanget i uttaksfisket i elv var hele 11 ganger høyere enn i 2019. I likhet med i både 2017 og 2019 var det elvene i Øst-Finnmark, fra Grense Jakobselv til Nordkapp, som i 2021 mottok flest pukkellaks. I dette området var det samlet sett en ni ganger økning av fangstene fra 2019. Den største økningen i totalt antall fanget pukkellaks fra 2019 til 2021 finner vi imidlertid i elvene i Vest-Finnmark (fra Nordkapp til Troms), med en økning på nesten 11 ganger. Også i Nord-Troms var det en stor økning i antall pukkellaks, med en åtte ganger større totalfangst i 2021 enn i 2019. \nØkningen i antall pukkellaks i 2021 i forhold til tidligere år skyldes at utbredelsen av elver med mye pukkellaks økte vest- og sørover i Troms og Finnmark, men også at det var svært store fangster i noen elver i Øst-Finnmark. I fem elver i Øst-Finnmark (Vestre Jakobselv, Vesterelva i Nesseby, Munkelva, Neiden og Tana) ble det til sammen registrert 109 000 pukkellaks, noe som utgjør 66 % av det totale antallet pukkellaks i elv og 53 % av den totale fangsten i både elv og sjø i Norge i 2021. I Vesterelva alene ble fanget over 20 000 pukkellaks. I Tanaelva ble registrert totalt 49 500 pukkellaks. Fangsten i elvene fra Nordland og sørover var høyere i 2021 enn i 2017 og 2019, men utgjorde fremdeles en liten andel (1,7 %) av den totale elvefangsten i Norge. \nDen første pukkellaksen i en norsk elv ble i 2021 fanget 1. juni, og den siste 14. september. Median fangstperiode for hele landet var uke 30 (26. juli-1. august), det vil si at halvparten av fangstene ble registrert før denne datoen og halvparten etter. Dette er lik median fangstuke som i 2019 (uke 30), men tidligere enn i 2017 (uke 32, 7.-13. august). Datoen for median oppvandring i ulike deler av landet i 2021 varierte lite, men pukkellaksen så ut til å ankomme elvene rundt Varangerfjorden noe tidligere enn i resten av Troms og Finnmark.","ISBN":"978-82-426-4953-9","language":"nob","license":"© Norsk institutt for naturforskning. Publikasjonen kan siteres fritt med kildeangivelse","note":"Accepted: 2022-09-19T11:00:21Z\nISSN: 1504-3312\ncontainer-title: 34","publisher":"Norsk institutt for naturforskning (NINA)","source":"brage.nina.no","title":"Pukkellaks i Norge 2021","URL":"https://brage.nina.no/nina-xmlui/handle/11250/3018858","author":[{"family":"Berntsen","given":"Henrik Hårdensson"},{"family":"Sandlund","given":"Odd Terje"},{"family":"Thorstad","given":"Eva B."}],"accessed":{"date-parts":[["2023",2,9]]},"issued":{"date-parts":[["2022"]]}},"label":"page"},{"id":54464,"uris":["http://zotero.org/groups/2352922/items/G7RNBTCM"],"itemData":{"id":54464,"type":"report","event-place":"Oslo, Norway","note":"ISBN: 2535-4019","number":"VKM report 2020:0","publisher":"Norwegian Scientific  Committee for Food and Environment (VKM)","publisher-place":"Oslo, Norway","title":"Assessment of the risk to Norwegian biodiversity and aquaculture from pink salmon (&lt;i&gt;Oncorhynchus gorbuscha&lt;/i&gt;). Scientific Opinion of the Panel on Alien Organisms and Trade in Endangered Species of the Norwegian Scientific Committee for Food and Environment","URL":"https://vetinst.brage.unit.no/vetinst-xmlui/bitstream/handle/11250/2828612/HindarAssessmentVKMrapport01_2020.pdf?sequence=2","author":[{"family":"Hindar","given":"Kjetil"},{"family":"Hole","given":"Lars Robert"},{"family":"Kausrud","given":"Kyrre Linné"},{"family":"Malmstrøm","given":"Martin"},{"family":"Rimstad","given":"Espen"},{"family":"Robertson","given":"Lucy"},{"family":"Sandlund","given":"Odd Terje"},{"family":"Thorstad","given":"Eva Bonsak"},{"family":"Vollset","given":"Knut"},{"family":"Boer","given":"Hugo","non-dropping-particle":"de"}],"issued":{"date-parts":[["2020"]]}},"label":"page"}],"schema":"https://github.com/citation-style-language/schema/raw/master/csl-citation.json"} </w:instrText>
      </w:r>
      <w:r w:rsidR="00B94D5B" w:rsidRPr="00DA249F">
        <w:rPr>
          <w:lang w:val="en-GB"/>
        </w:rPr>
        <w:fldChar w:fldCharType="separate"/>
      </w:r>
      <w:r w:rsidR="00144D96" w:rsidRPr="00144D96">
        <w:t>(Berntsen et al., 2022; Hindar et al., 2020)</w:t>
      </w:r>
      <w:r w:rsidR="00B94D5B" w:rsidRPr="00DA249F">
        <w:rPr>
          <w:lang w:val="en-GB"/>
        </w:rPr>
        <w:fldChar w:fldCharType="end"/>
      </w:r>
      <w:r w:rsidR="00E87C52" w:rsidRPr="00DA249F">
        <w:rPr>
          <w:lang w:val="en-GB"/>
        </w:rPr>
        <w:t>.</w:t>
      </w:r>
    </w:p>
    <w:p w14:paraId="6C68DC81" w14:textId="6C00B44D" w:rsidR="00C6257A" w:rsidRDefault="004B3243" w:rsidP="00186681">
      <w:pPr>
        <w:rPr>
          <w:lang w:val="en-GB"/>
        </w:rPr>
      </w:pPr>
      <w:r w:rsidRPr="00DA249F">
        <w:rPr>
          <w:color w:val="242424"/>
          <w:bdr w:val="none" w:sz="0" w:space="0" w:color="auto" w:frame="1"/>
          <w:shd w:val="clear" w:color="auto" w:fill="FFFFFF"/>
          <w:lang w:val="en-GB"/>
        </w:rPr>
        <w:t>A compel</w:t>
      </w:r>
      <w:r w:rsidR="00AC648C" w:rsidRPr="00DA249F">
        <w:rPr>
          <w:color w:val="242424"/>
          <w:bdr w:val="none" w:sz="0" w:space="0" w:color="auto" w:frame="1"/>
          <w:shd w:val="clear" w:color="auto" w:fill="FFFFFF"/>
          <w:lang w:val="en-GB"/>
        </w:rPr>
        <w:t>l</w:t>
      </w:r>
      <w:r w:rsidRPr="00DA249F">
        <w:rPr>
          <w:color w:val="242424"/>
          <w:bdr w:val="none" w:sz="0" w:space="0" w:color="auto" w:frame="1"/>
          <w:shd w:val="clear" w:color="auto" w:fill="FFFFFF"/>
          <w:lang w:val="en-GB"/>
        </w:rPr>
        <w:t>ing example of the cascading effect of species harvesting is the loss of almost 200 species of endemic cichlids following overfishing and introduction of the predatory</w:t>
      </w:r>
      <w:r w:rsidR="00734A37" w:rsidRPr="00DA249F">
        <w:rPr>
          <w:color w:val="242424"/>
          <w:bdr w:val="none" w:sz="0" w:space="0" w:color="auto" w:frame="1"/>
          <w:shd w:val="clear" w:color="auto" w:fill="FFFFFF"/>
          <w:lang w:val="en-GB"/>
        </w:rPr>
        <w:t xml:space="preserve"> alien fish</w:t>
      </w:r>
      <w:r w:rsidRPr="00DA249F">
        <w:rPr>
          <w:color w:val="242424"/>
          <w:bdr w:val="none" w:sz="0" w:space="0" w:color="auto" w:frame="1"/>
          <w:shd w:val="clear" w:color="auto" w:fill="FFFFFF"/>
          <w:lang w:val="en-GB"/>
        </w:rPr>
        <w:t xml:space="preserve"> </w:t>
      </w:r>
      <w:r w:rsidRPr="00DA249F">
        <w:rPr>
          <w:i/>
          <w:iCs/>
          <w:color w:val="242424"/>
          <w:bdr w:val="none" w:sz="0" w:space="0" w:color="auto" w:frame="1"/>
          <w:shd w:val="clear" w:color="auto" w:fill="FFFFFF"/>
          <w:lang w:val="en-GB"/>
        </w:rPr>
        <w:t xml:space="preserve">Lates niloticus </w:t>
      </w:r>
      <w:r w:rsidRPr="00DA249F">
        <w:rPr>
          <w:color w:val="242424"/>
          <w:bdr w:val="none" w:sz="0" w:space="0" w:color="auto" w:frame="1"/>
          <w:shd w:val="clear" w:color="auto" w:fill="FFFFFF"/>
          <w:lang w:val="en-GB"/>
        </w:rPr>
        <w:t>(Nile perch)</w:t>
      </w:r>
      <w:r w:rsidRPr="00DA249F">
        <w:rPr>
          <w:i/>
          <w:iCs/>
          <w:color w:val="242424"/>
          <w:bdr w:val="none" w:sz="0" w:space="0" w:color="auto" w:frame="1"/>
          <w:shd w:val="clear" w:color="auto" w:fill="FFFFFF"/>
          <w:lang w:val="en-GB"/>
        </w:rPr>
        <w:t> </w:t>
      </w:r>
      <w:r w:rsidRPr="00DA249F">
        <w:rPr>
          <w:color w:val="242424"/>
          <w:bdr w:val="none" w:sz="0" w:space="0" w:color="auto" w:frame="1"/>
          <w:shd w:val="clear" w:color="auto" w:fill="FFFFFF"/>
          <w:lang w:val="en-GB"/>
        </w:rPr>
        <w:t xml:space="preserve">into Lake Nabugabo and </w:t>
      </w:r>
      <w:r w:rsidR="00734A37" w:rsidRPr="00DA249F">
        <w:rPr>
          <w:color w:val="242424"/>
          <w:bdr w:val="none" w:sz="0" w:space="0" w:color="auto" w:frame="1"/>
          <w:shd w:val="clear" w:color="auto" w:fill="FFFFFF"/>
          <w:lang w:val="en-GB"/>
        </w:rPr>
        <w:t xml:space="preserve">Lake </w:t>
      </w:r>
      <w:r w:rsidRPr="00DA249F">
        <w:rPr>
          <w:color w:val="242424"/>
          <w:bdr w:val="none" w:sz="0" w:space="0" w:color="auto" w:frame="1"/>
          <w:shd w:val="clear" w:color="auto" w:fill="FFFFFF"/>
          <w:lang w:val="en-GB"/>
        </w:rPr>
        <w:t xml:space="preserve">Victoria in Africa </w:t>
      </w:r>
      <w:r w:rsidRPr="00DA249F">
        <w:rPr>
          <w:lang w:val="en-GB"/>
        </w:rPr>
        <w:fldChar w:fldCharType="begin"/>
      </w:r>
      <w:r w:rsidR="00331A79">
        <w:rPr>
          <w:lang w:val="en-GB"/>
        </w:rPr>
        <w:instrText xml:space="preserve"> ADDIN ZOTERO_ITEM CSL_CITATION {"citationID":"LvBKyZz0","properties":{"formattedCitation":"(Bwanika et al., 2006; Rahel, 2002)","plainCitation":"(Bwanika et al., 2006; Rahel, 2002)","noteIndex":0},"citationItems":[{"id":12566,"uris":["http://zotero.org/groups/2352922/items/IKUCSZUC"],"itemData":{"id":12566,"type":"article-journal","abstract":"Biotic homogenization is the increased similarity of biotas over time caused by the replacement of native species with nonindigenous species, usually as a result of introductions by humans. Homogenization is the outcome of three interacting processes: introductions of nonnative species, extirpation of native species, and habitat alterations that facilitate these two processes. A central aspect of the homogenization process is the ability of species to overcome natural biogeographic barriers either through intentional transport by humans or through colonization routes created by human activities. Habitat homogenization through reservoir construction contributes to biotic homogenization as local riverine faunas are replaced with cosmopolitan lentic species. The homogenization process has generally increased biodiversity in most freshwater faunas, as the establishment of new species has outpaced the extinction of native species. There are important exceptions, however, where the establishment of nonindigenous species has had devastating impacts on endemic species. The homogenization process appears likely to continue, although it could be slowed through reductions in the rate of invasions and extirpations and by rehabilitating aquatic habitats so as to favor native species.","container-title":"Annual Review of Ecology and Systematics","DOI":"10.1146/annurev.ecolsys.33.010802.150429","issue":"1","page":"291-315","source":"Annual Reviews","title":"Homogenization of Freshwater Faunas","URL":"https://doi.org/10.1146/annurev.ecolsys.33.010802.150429","volume":"33","author":[{"family":"Rahel","given":"Frank J."}],"accessed":{"date-parts":[["2019",10,23]]},"issued":{"date-parts":[["2002"]]}},"label":"page"},{"id":24853,"uris":["http://zotero.org/groups/2352922/items/22WY77Z7"],"itemData":{"id":24853,"type":"article-journal","container-title":"Ecology of Freshwater Fish","DOI":"10.1111/j.1600-0633.2006.00185.x","ISSN":"0906-6691, 1600-0633","issue":"4","journalAbbreviation":"Ecol Freshwater Fish","language":"en","page":"470-481","source":"DOI.org (Crossref)","title":"Cascading effects of introduced Nile perch (&lt;i&gt;Lates niloticus&lt;/i&gt;) on the foraging ecology of Nile tilapia (&lt;i&gt;Oreochromis niloticus&lt;/i&gt;)","URL":"http://doi.wiley.com/10.1111/j.1600-0633.2006.00185.x","volume":"15","author":[{"family":"Bwanika","given":"G. N."},{"family":"Chapman","given":"L. J."},{"family":"Kizito","given":"Y."},{"family":"Balirwa","given":"J."}],"accessed":{"date-parts":[["2021",3,16]]},"issued":{"date-parts":[["2006",12]]}},"label":"page"}],"schema":"https://github.com/citation-style-language/schema/raw/master/csl-citation.json"} </w:instrText>
      </w:r>
      <w:r w:rsidRPr="00DA249F">
        <w:rPr>
          <w:lang w:val="en-GB"/>
        </w:rPr>
        <w:fldChar w:fldCharType="separate"/>
      </w:r>
      <w:r w:rsidR="00144D96" w:rsidRPr="00144D96">
        <w:t>(Bwanika et al., 2006; Rahel, 2002)</w:t>
      </w:r>
      <w:r w:rsidRPr="00DA249F">
        <w:rPr>
          <w:lang w:val="en-GB"/>
        </w:rPr>
        <w:fldChar w:fldCharType="end"/>
      </w:r>
      <w:r w:rsidRPr="00DA249F">
        <w:rPr>
          <w:color w:val="242424"/>
          <w:bdr w:val="none" w:sz="0" w:space="0" w:color="auto" w:frame="1"/>
          <w:shd w:val="clear" w:color="auto" w:fill="FFFFFF"/>
          <w:lang w:val="en-GB"/>
        </w:rPr>
        <w:t>. Both overharvesting of native species and altered abiotic conditions allowed alien fishes to become established in the lake</w:t>
      </w:r>
      <w:r w:rsidR="001B2B32" w:rsidRPr="00DA249F">
        <w:rPr>
          <w:color w:val="242424"/>
          <w:bdr w:val="none" w:sz="0" w:space="0" w:color="auto" w:frame="1"/>
          <w:shd w:val="clear" w:color="auto" w:fill="FFFFFF"/>
          <w:lang w:val="en-GB"/>
        </w:rPr>
        <w:t>s</w:t>
      </w:r>
      <w:r w:rsidRPr="00DA249F">
        <w:rPr>
          <w:color w:val="242424"/>
          <w:bdr w:val="none" w:sz="0" w:space="0" w:color="auto" w:frame="1"/>
          <w:shd w:val="clear" w:color="auto" w:fill="FFFFFF"/>
          <w:lang w:val="en-GB"/>
        </w:rPr>
        <w:t xml:space="preserve">, which then eliminated the native species through </w:t>
      </w:r>
      <w:r w:rsidRPr="00DA249F">
        <w:rPr>
          <w:color w:val="242424"/>
          <w:bdr w:val="none" w:sz="0" w:space="0" w:color="auto" w:frame="1"/>
          <w:shd w:val="clear" w:color="auto" w:fill="FFFFFF"/>
          <w:lang w:val="en-GB"/>
        </w:rPr>
        <w:lastRenderedPageBreak/>
        <w:t>competition or predation </w:t>
      </w:r>
      <w:r w:rsidRPr="00DA249F">
        <w:rPr>
          <w:lang w:val="en-GB"/>
        </w:rPr>
        <w:fldChar w:fldCharType="begin"/>
      </w:r>
      <w:r w:rsidR="00331A79">
        <w:rPr>
          <w:lang w:val="en-GB"/>
        </w:rPr>
        <w:instrText xml:space="preserve"> ADDIN ZOTERO_ITEM CSL_CITATION {"citationID":"4IGpbyC5","properties":{"formattedCitation":"(B. E. Marshall, 2018; Rahel, 2002)","plainCitation":"(B. E. Marshall, 2018; Rahel, 2002)","noteIndex":0},"citationItems":[{"id":22643,"uris":["http://zotero.org/groups/2352922/items/U88T9SS3"],"itemData":{"id":22643,"type":"article-journal","abstract":"Debate on the contribution of Nile perch (Lates niloticus) to the demise of Lake Victoria’s 500+ endemic haplochromine cichlids centers around the “top-down” and “bottom-up” hypotheses. The former ..., Le débat sur le rôle de la perche du Nil (Lates niloticus) dans l’effondrement des plus de 500 cichlidés haplochrominés endémiques du lac Victoria s’articule autour des hypothèses de l’effet descen...","container-title":"Canadian Journal of Fisheries and Aquatic Sciences","DOI":"10.1139/cjfas-2017-0056","ISSN":"0706-652X","issue":"9","journalAbbreviation":"Can. J. Fish. Aquat. Sci.","page":"1542-1559","source":"NRC Research Press","title":"Guilty as charged: Nile perch was the cause of the haplochromine decline in Lake Victoria","title-short":"Guilty as charged","URL":"https://www.nrcresearchpress.com/doi/full/10.1139/cjfas-2017-0056","volume":"75","author":[{"family":"Marshall","given":"Brian E."}],"accessed":{"date-parts":[["2020",6,14]]},"issued":{"date-parts":[["2018",4,24]]}},"label":"page"},{"id":12566,"uris":["http://zotero.org/groups/2352922/items/IKUCSZUC"],"itemData":{"id":12566,"type":"article-journal","abstract":"Biotic homogenization is the increased similarity of biotas over time caused by the replacement of native species with nonindigenous species, usually as a result of introductions by humans. Homogenization is the outcome of three interacting processes: introductions of nonnative species, extirpation of native species, and habitat alterations that facilitate these two processes. A central aspect of the homogenization process is the ability of species to overcome natural biogeographic barriers either through intentional transport by humans or through colonization routes created by human activities. Habitat homogenization through reservoir construction contributes to biotic homogenization as local riverine faunas are replaced with cosmopolitan lentic species. The homogenization process has generally increased biodiversity in most freshwater faunas, as the establishment of new species has outpaced the extinction of native species. There are important exceptions, however, where the establishment of nonindigenous species has had devastating impacts on endemic species. The homogenization process appears likely to continue, although it could be slowed through reductions in the rate of invasions and extirpations and by rehabilitating aquatic habitats so as to favor native species.","container-title":"Annual Review of Ecology and Systematics","DOI":"10.1146/annurev.ecolsys.33.010802.150429","issue":"1","page":"291-315","source":"Annual Reviews","title":"Homogenization of Freshwater Faunas","URL":"https://doi.org/10.1146/annurev.ecolsys.33.010802.150429","volume":"33","author":[{"family":"Rahel","given":"Frank J."}],"accessed":{"date-parts":[["2019",10,23]]},"issued":{"date-parts":[["2002"]]}},"label":"page"}],"schema":"https://github.com/citation-style-language/schema/raw/master/csl-citation.json"} </w:instrText>
      </w:r>
      <w:r w:rsidRPr="00DA249F">
        <w:rPr>
          <w:lang w:val="en-GB"/>
        </w:rPr>
        <w:fldChar w:fldCharType="separate"/>
      </w:r>
      <w:r w:rsidR="00144D96" w:rsidRPr="00144D96">
        <w:t>(B. E. Marshall, 2018; Rahel, 2002)</w:t>
      </w:r>
      <w:r w:rsidRPr="00DA249F">
        <w:rPr>
          <w:lang w:val="en-GB"/>
        </w:rPr>
        <w:fldChar w:fldCharType="end"/>
      </w:r>
      <w:r w:rsidRPr="00DA249F">
        <w:rPr>
          <w:lang w:val="en-GB"/>
        </w:rPr>
        <w:t>.</w:t>
      </w:r>
      <w:r w:rsidRPr="00DA249F">
        <w:rPr>
          <w:color w:val="242424"/>
          <w:bdr w:val="none" w:sz="0" w:space="0" w:color="auto" w:frame="1"/>
          <w:shd w:val="clear" w:color="auto" w:fill="FFFFFF"/>
          <w:lang w:val="en-GB"/>
        </w:rPr>
        <w:t xml:space="preserve"> The cascade</w:t>
      </w:r>
      <w:r w:rsidR="00AC4DFB" w:rsidRPr="00DA249F">
        <w:rPr>
          <w:color w:val="242424"/>
          <w:bdr w:val="none" w:sz="0" w:space="0" w:color="auto" w:frame="1"/>
          <w:shd w:val="clear" w:color="auto" w:fill="FFFFFF"/>
          <w:lang w:val="en-GB"/>
        </w:rPr>
        <w:t xml:space="preserve"> of ecological interactions leading to the demise of native fish</w:t>
      </w:r>
      <w:r w:rsidRPr="00DA249F">
        <w:rPr>
          <w:color w:val="242424"/>
          <w:bdr w:val="none" w:sz="0" w:space="0" w:color="auto" w:frame="1"/>
          <w:shd w:val="clear" w:color="auto" w:fill="FFFFFF"/>
          <w:lang w:val="en-GB"/>
        </w:rPr>
        <w:t xml:space="preserve"> in Lake Victoria started </w:t>
      </w:r>
      <w:r w:rsidR="00AC4DFB" w:rsidRPr="00DA249F">
        <w:rPr>
          <w:color w:val="242424"/>
          <w:bdr w:val="none" w:sz="0" w:space="0" w:color="auto" w:frame="1"/>
          <w:shd w:val="clear" w:color="auto" w:fill="FFFFFF"/>
          <w:lang w:val="en-GB"/>
        </w:rPr>
        <w:t>with overfishing</w:t>
      </w:r>
      <w:r w:rsidRPr="00DA249F">
        <w:rPr>
          <w:color w:val="242424"/>
          <w:bdr w:val="none" w:sz="0" w:space="0" w:color="auto" w:frame="1"/>
          <w:shd w:val="clear" w:color="auto" w:fill="FFFFFF"/>
          <w:lang w:val="en-GB"/>
        </w:rPr>
        <w:t xml:space="preserve"> in the first half of the </w:t>
      </w:r>
      <w:r w:rsidR="00EF33C9" w:rsidRPr="00DA249F">
        <w:rPr>
          <w:color w:val="242424"/>
          <w:bdr w:val="none" w:sz="0" w:space="0" w:color="auto" w:frame="1"/>
          <w:shd w:val="clear" w:color="auto" w:fill="FFFFFF"/>
          <w:lang w:val="en-GB"/>
        </w:rPr>
        <w:t>twentie</w:t>
      </w:r>
      <w:r w:rsidRPr="00DA249F">
        <w:rPr>
          <w:color w:val="242424"/>
          <w:bdr w:val="none" w:sz="0" w:space="0" w:color="auto" w:frame="1"/>
          <w:shd w:val="clear" w:color="auto" w:fill="FFFFFF"/>
          <w:lang w:val="en-GB"/>
        </w:rPr>
        <w:t xml:space="preserve">th </w:t>
      </w:r>
      <w:r w:rsidRPr="00DA249F">
        <w:rPr>
          <w:lang w:val="en-GB"/>
        </w:rPr>
        <w:t xml:space="preserve">century </w:t>
      </w:r>
      <w:r w:rsidRPr="00DA249F">
        <w:rPr>
          <w:lang w:val="en-GB"/>
        </w:rPr>
        <w:fldChar w:fldCharType="begin"/>
      </w:r>
      <w:r w:rsidR="00331A79">
        <w:rPr>
          <w:lang w:val="en-GB"/>
        </w:rPr>
        <w:instrText xml:space="preserve"> ADDIN ZOTERO_ITEM CSL_CITATION {"citationID":"X1DKZrIp","properties":{"formattedCitation":"(Aloo et al., 2017)","plainCitation":"(Aloo et al., 2017)","noteIndex":0},"citationItems":[{"id":54442,"uris":["http://zotero.org/groups/2352922/items/G37AJFSK"],"itemData":{"id":54442,"type":"article-journal","container-title":"Lakes &amp; Reservoirs: Science, Policy and Management for Sustainable Use","DOI":"10.1111/lre.12192","ISSN":"1320-5331, 1440-1770","issue":"4","journalAbbreviation":"Lakes &amp;amp; Reservoirs","language":"en","page":"320-333","source":"DOI.org (Crossref)","title":"Impacts of Nile Perch, &lt;i&gt;Lates niloticus&lt;/i&gt;, introduction on the ecology, economy and conservation of Lake Victoria, East Africa","URL":"https://onlinelibrary.wiley.com/doi/10.1111/lre.12192","volume":"22","author":[{"family":"Aloo","given":"Peninah A."},{"family":"Njiru","given":"J."},{"family":"Balirwa","given":"J. S."},{"family":"Nyamweya","given":"C. S."}],"accessed":{"date-parts":[["2023",2,8]]},"issued":{"date-parts":[["2017",12]]}},"label":"page"}],"schema":"https://github.com/citation-style-language/schema/raw/master/csl-citation.json"} </w:instrText>
      </w:r>
      <w:r w:rsidRPr="00DA249F">
        <w:rPr>
          <w:lang w:val="en-GB"/>
        </w:rPr>
        <w:fldChar w:fldCharType="separate"/>
      </w:r>
      <w:r w:rsidR="00144D96" w:rsidRPr="00144D96">
        <w:t>(Aloo et al., 2017)</w:t>
      </w:r>
      <w:r w:rsidRPr="00DA249F">
        <w:rPr>
          <w:lang w:val="en-GB"/>
        </w:rPr>
        <w:fldChar w:fldCharType="end"/>
      </w:r>
      <w:r w:rsidRPr="00DA249F">
        <w:rPr>
          <w:color w:val="242424"/>
          <w:bdr w:val="none" w:sz="0" w:space="0" w:color="auto" w:frame="1"/>
          <w:shd w:val="clear" w:color="auto" w:fill="FFFFFF"/>
          <w:lang w:val="en-GB"/>
        </w:rPr>
        <w:t>, followed by a series of introductions of the invasive alien</w:t>
      </w:r>
      <w:r w:rsidR="00AC4DFB" w:rsidRPr="00DA249F">
        <w:rPr>
          <w:color w:val="242424"/>
          <w:bdr w:val="none" w:sz="0" w:space="0" w:color="auto" w:frame="1"/>
          <w:shd w:val="clear" w:color="auto" w:fill="FFFFFF"/>
          <w:lang w:val="en-GB"/>
        </w:rPr>
        <w:t xml:space="preserve"> fish</w:t>
      </w:r>
      <w:r w:rsidRPr="00DA249F">
        <w:rPr>
          <w:color w:val="242424"/>
          <w:bdr w:val="none" w:sz="0" w:space="0" w:color="auto" w:frame="1"/>
          <w:shd w:val="clear" w:color="auto" w:fill="FFFFFF"/>
          <w:lang w:val="en-GB"/>
        </w:rPr>
        <w:t> </w:t>
      </w:r>
      <w:r w:rsidRPr="00DA249F">
        <w:rPr>
          <w:i/>
          <w:iCs/>
          <w:color w:val="242424"/>
          <w:bdr w:val="none" w:sz="0" w:space="0" w:color="auto" w:frame="1"/>
          <w:shd w:val="clear" w:color="auto" w:fill="FFFFFF"/>
          <w:lang w:val="en-GB"/>
        </w:rPr>
        <w:t>Lates niloticus</w:t>
      </w:r>
      <w:r w:rsidRPr="00DA249F">
        <w:rPr>
          <w:color w:val="242424"/>
          <w:bdr w:val="none" w:sz="0" w:space="0" w:color="auto" w:frame="1"/>
          <w:shd w:val="clear" w:color="auto" w:fill="FFFFFF"/>
          <w:lang w:val="en-GB"/>
        </w:rPr>
        <w:t xml:space="preserve">. </w:t>
      </w:r>
      <w:r w:rsidR="00E45FF0">
        <w:rPr>
          <w:color w:val="242424"/>
          <w:bdr w:val="none" w:sz="0" w:space="0" w:color="auto" w:frame="1"/>
          <w:shd w:val="clear" w:color="auto" w:fill="FFFFFF"/>
          <w:lang w:val="en-GB"/>
        </w:rPr>
        <w:t xml:space="preserve">The </w:t>
      </w:r>
      <w:r w:rsidR="004D27DD" w:rsidRPr="00DA249F">
        <w:rPr>
          <w:i/>
          <w:iCs/>
          <w:color w:val="242424"/>
          <w:bdr w:val="none" w:sz="0" w:space="0" w:color="auto" w:frame="1"/>
          <w:shd w:val="clear" w:color="auto" w:fill="FFFFFF"/>
          <w:lang w:val="en-GB"/>
        </w:rPr>
        <w:t>Lates niloticus</w:t>
      </w:r>
      <w:r w:rsidRPr="00DA249F">
        <w:rPr>
          <w:color w:val="242424"/>
          <w:bdr w:val="none" w:sz="0" w:space="0" w:color="auto" w:frame="1"/>
          <w:shd w:val="clear" w:color="auto" w:fill="FFFFFF"/>
          <w:lang w:val="en-GB"/>
        </w:rPr>
        <w:t xml:space="preserve"> population</w:t>
      </w:r>
      <w:r w:rsidR="00E45FF0">
        <w:rPr>
          <w:color w:val="242424"/>
          <w:bdr w:val="none" w:sz="0" w:space="0" w:color="auto" w:frame="1"/>
          <w:shd w:val="clear" w:color="auto" w:fill="FFFFFF"/>
          <w:lang w:val="en-GB"/>
        </w:rPr>
        <w:t xml:space="preserve"> in Lake Victoria</w:t>
      </w:r>
      <w:r w:rsidRPr="00DA249F">
        <w:rPr>
          <w:color w:val="242424"/>
          <w:bdr w:val="none" w:sz="0" w:space="0" w:color="auto" w:frame="1"/>
          <w:shd w:val="clear" w:color="auto" w:fill="FFFFFF"/>
          <w:lang w:val="en-GB"/>
        </w:rPr>
        <w:t xml:space="preserve"> peaked </w:t>
      </w:r>
      <w:r w:rsidR="008D1C4B" w:rsidRPr="00DA249F">
        <w:rPr>
          <w:color w:val="242424"/>
          <w:bdr w:val="none" w:sz="0" w:space="0" w:color="auto" w:frame="1"/>
          <w:shd w:val="clear" w:color="auto" w:fill="FFFFFF"/>
          <w:lang w:val="en-GB"/>
        </w:rPr>
        <w:t xml:space="preserve">at around 2.3 million tonnes in 1999, when it accounted for </w:t>
      </w:r>
      <w:r w:rsidR="00B200A2" w:rsidRPr="00DA249F">
        <w:rPr>
          <w:color w:val="242424"/>
          <w:bdr w:val="none" w:sz="0" w:space="0" w:color="auto" w:frame="1"/>
          <w:shd w:val="clear" w:color="auto" w:fill="FFFFFF"/>
          <w:lang w:val="en-GB"/>
        </w:rPr>
        <w:t>92</w:t>
      </w:r>
      <w:r w:rsidR="00F322A0">
        <w:rPr>
          <w:color w:val="242424"/>
          <w:bdr w:val="none" w:sz="0" w:space="0" w:color="auto" w:frame="1"/>
          <w:shd w:val="clear" w:color="auto" w:fill="FFFFFF"/>
          <w:lang w:val="en-GB"/>
        </w:rPr>
        <w:t xml:space="preserve"> per cent</w:t>
      </w:r>
      <w:r w:rsidR="00B200A2" w:rsidRPr="00DA249F">
        <w:rPr>
          <w:color w:val="242424"/>
          <w:bdr w:val="none" w:sz="0" w:space="0" w:color="auto" w:frame="1"/>
          <w:shd w:val="clear" w:color="auto" w:fill="FFFFFF"/>
          <w:lang w:val="en-GB"/>
        </w:rPr>
        <w:t xml:space="preserve"> of the total fish biomass</w:t>
      </w:r>
      <w:r w:rsidR="00E45FF0">
        <w:rPr>
          <w:color w:val="242424"/>
          <w:bdr w:val="none" w:sz="0" w:space="0" w:color="auto" w:frame="1"/>
          <w:shd w:val="clear" w:color="auto" w:fill="FFFFFF"/>
          <w:lang w:val="en-GB"/>
        </w:rPr>
        <w:t>,</w:t>
      </w:r>
      <w:r w:rsidR="00B200A2" w:rsidRPr="00DA249F">
        <w:rPr>
          <w:color w:val="242424"/>
          <w:bdr w:val="none" w:sz="0" w:space="0" w:color="auto" w:frame="1"/>
          <w:shd w:val="clear" w:color="auto" w:fill="FFFFFF"/>
          <w:lang w:val="en-GB"/>
        </w:rPr>
        <w:t xml:space="preserve"> but fell to less than 300 000 tonnes in 2008, </w:t>
      </w:r>
      <w:r w:rsidR="00E04381" w:rsidRPr="00DA249F">
        <w:rPr>
          <w:color w:val="242424"/>
          <w:bdr w:val="none" w:sz="0" w:space="0" w:color="auto" w:frame="1"/>
          <w:shd w:val="clear" w:color="auto" w:fill="FFFFFF"/>
          <w:lang w:val="en-GB"/>
        </w:rPr>
        <w:t>of which the majority were be</w:t>
      </w:r>
      <w:r w:rsidR="001663EC" w:rsidRPr="00DA249F">
        <w:rPr>
          <w:color w:val="242424"/>
          <w:bdr w:val="none" w:sz="0" w:space="0" w:color="auto" w:frame="1"/>
          <w:shd w:val="clear" w:color="auto" w:fill="FFFFFF"/>
          <w:lang w:val="en-GB"/>
        </w:rPr>
        <w:t>l</w:t>
      </w:r>
      <w:r w:rsidR="00E04381" w:rsidRPr="00DA249F">
        <w:rPr>
          <w:color w:val="242424"/>
          <w:bdr w:val="none" w:sz="0" w:space="0" w:color="auto" w:frame="1"/>
          <w:shd w:val="clear" w:color="auto" w:fill="FFFFFF"/>
          <w:lang w:val="en-GB"/>
        </w:rPr>
        <w:t xml:space="preserve">ow the required length for </w:t>
      </w:r>
      <w:r w:rsidR="001663EC" w:rsidRPr="00DA249F">
        <w:rPr>
          <w:color w:val="242424"/>
          <w:bdr w:val="none" w:sz="0" w:space="0" w:color="auto" w:frame="1"/>
          <w:shd w:val="clear" w:color="auto" w:fill="FFFFFF"/>
          <w:lang w:val="en-GB"/>
        </w:rPr>
        <w:t>export</w:t>
      </w:r>
      <w:r w:rsidR="00E04381" w:rsidRPr="00DA249F">
        <w:rPr>
          <w:color w:val="242424"/>
          <w:bdr w:val="none" w:sz="0" w:space="0" w:color="auto" w:frame="1"/>
          <w:shd w:val="clear" w:color="auto" w:fill="FFFFFF"/>
          <w:lang w:val="en-GB"/>
        </w:rPr>
        <w:t xml:space="preserve">. </w:t>
      </w:r>
      <w:r w:rsidR="002E7B44" w:rsidRPr="00DA249F">
        <w:rPr>
          <w:i/>
          <w:iCs/>
          <w:color w:val="242424"/>
          <w:bdr w:val="none" w:sz="0" w:space="0" w:color="auto" w:frame="1"/>
          <w:shd w:val="clear" w:color="auto" w:fill="FFFFFF"/>
          <w:lang w:val="en-GB"/>
        </w:rPr>
        <w:t>Lates niloticus</w:t>
      </w:r>
      <w:r w:rsidR="002E7B44" w:rsidRPr="00DA249F">
        <w:rPr>
          <w:color w:val="242424"/>
          <w:bdr w:val="none" w:sz="0" w:space="0" w:color="auto" w:frame="1"/>
          <w:shd w:val="clear" w:color="auto" w:fill="FFFFFF"/>
          <w:lang w:val="en-GB"/>
        </w:rPr>
        <w:t> </w:t>
      </w:r>
      <w:r w:rsidR="00E04381" w:rsidRPr="00DA249F">
        <w:rPr>
          <w:color w:val="242424"/>
          <w:bdr w:val="none" w:sz="0" w:space="0" w:color="auto" w:frame="1"/>
          <w:shd w:val="clear" w:color="auto" w:fill="FFFFFF"/>
          <w:lang w:val="en-GB"/>
        </w:rPr>
        <w:t xml:space="preserve">has </w:t>
      </w:r>
      <w:r w:rsidR="005A1A77" w:rsidRPr="00DA249F">
        <w:rPr>
          <w:color w:val="242424"/>
          <w:bdr w:val="none" w:sz="0" w:space="0" w:color="auto" w:frame="1"/>
          <w:shd w:val="clear" w:color="auto" w:fill="FFFFFF"/>
          <w:lang w:val="en-GB"/>
        </w:rPr>
        <w:t>subsequently</w:t>
      </w:r>
      <w:r w:rsidR="00E04381" w:rsidRPr="00DA249F">
        <w:rPr>
          <w:color w:val="242424"/>
          <w:bdr w:val="none" w:sz="0" w:space="0" w:color="auto" w:frame="1"/>
          <w:shd w:val="clear" w:color="auto" w:fill="FFFFFF"/>
          <w:lang w:val="en-GB"/>
        </w:rPr>
        <w:t xml:space="preserve"> </w:t>
      </w:r>
      <w:r w:rsidRPr="00DA249F">
        <w:rPr>
          <w:color w:val="242424"/>
          <w:bdr w:val="none" w:sz="0" w:space="0" w:color="auto" w:frame="1"/>
          <w:shd w:val="clear" w:color="auto" w:fill="FFFFFF"/>
          <w:lang w:val="en-GB"/>
        </w:rPr>
        <w:t>depleted its native prey, hypochromine cichlid fishes</w:t>
      </w:r>
      <w:r w:rsidR="002621D9" w:rsidRPr="00DA249F">
        <w:rPr>
          <w:color w:val="242424"/>
          <w:bdr w:val="none" w:sz="0" w:space="0" w:color="auto" w:frame="1"/>
          <w:shd w:val="clear" w:color="auto" w:fill="FFFFFF"/>
          <w:lang w:val="en-GB"/>
        </w:rPr>
        <w:t xml:space="preserve"> </w:t>
      </w:r>
      <w:r w:rsidR="00186681" w:rsidRPr="00DA249F">
        <w:rPr>
          <w:lang w:val="en-GB"/>
        </w:rPr>
        <w:fldChar w:fldCharType="begin"/>
      </w:r>
      <w:r w:rsidR="00F5121E">
        <w:rPr>
          <w:lang w:val="en-GB"/>
        </w:rPr>
        <w:instrText xml:space="preserve"> ADDIN ZOTERO_ITEM CSL_CITATION {"citationID":"nu6yo3X7","properties":{"formattedCitation":"(IPBES, 2019)","plainCitation":"(IPBES, 2019)","noteIndex":0},"citationItems":[{"id":53933,"uris":["http://zotero.org/groups/2352922/items/JYFISR8Z","http://zotero.org/groups/2352922/items/ZACZGHZL"],"itemData":{"id":53933,"type":"report","abstract":"IPBES is to perform regular and timely assessments of knowledge on biodiversity and ecosystem services and their interlinkages at the global level. Also addressing an invitation by the Conference of the Parties of the Convention on Biological Diversity (CBD) to prepare a global assessment of biodiversity and ecosystem services building, inter alia, on its own and other relevant regional, subregional and thematic assessments, as well as on national reports. The overall scope of the assessment is to assess the status and trends with regard to biodiversity and ecosystem services, the impact of biodiversity and ecosystem services on human well-being and the effectiveness of responses, including the Strategic Plan and its Aichi Biodiversity Targets. It is anticipated that this deliverable will contribute to the process for the evaluation and renewal of the Strategic Plan for Biodiversity and its Aichi Biodiversity Targets. The IPBES Global Assessment on Biodiversity and Ecosystem Services is composed of 1) a Summary for Policymakers (SPM), approved by the IPBES Plenary at its 7th session in May 2019 in Paris, France (IPBES-7); and 2) a set of six Chapters, accepted by the IPBES Plenary.","language":"en","license":"Creative Commons Attribution 4.0 International, Open Access","note":"Version Number 1\nDOI: 10.5281/ZENODO.3831673","publisher":"Secretariat of the Intergovernmental Science-Policy Platform on Biodiversity and Ecosystem Services","source":"DOI.org (Datacite)","title":"Global assessment report on biodiversity and ecosystem services of the Intergovernmental Science-Policy Platform on Biodiversity and Ecosystem Services","URL":"https://zenodo.org/record/3831673","author":[{"literal":"IPBES"}],"contributor":[{"family":"Brondizio","given":"Eduardo"},{"family":"Diaz","given":"Sandra"},{"family":"Settele","given":"Josef"},{"family":"Ngo","given":"Hien T."}],"accessed":{"date-parts":[["2023",1,5]]},"issued":{"date-parts":[["2019"]]}},"label":"page"}],"schema":"https://github.com/citation-style-language/schema/raw/master/csl-citation.json"} </w:instrText>
      </w:r>
      <w:r w:rsidR="00186681" w:rsidRPr="00DA249F">
        <w:rPr>
          <w:lang w:val="en-GB"/>
        </w:rPr>
        <w:fldChar w:fldCharType="separate"/>
      </w:r>
      <w:r w:rsidR="00144D96" w:rsidRPr="00144D96">
        <w:t>(IPBES, 2019)</w:t>
      </w:r>
      <w:r w:rsidR="00186681" w:rsidRPr="00DA249F">
        <w:rPr>
          <w:lang w:val="en-GB"/>
        </w:rPr>
        <w:fldChar w:fldCharType="end"/>
      </w:r>
      <w:r w:rsidR="00186681" w:rsidRPr="00DA249F">
        <w:rPr>
          <w:lang w:val="en-GB"/>
        </w:rPr>
        <w:t xml:space="preserve">, </w:t>
      </w:r>
      <w:r w:rsidRPr="00DA249F">
        <w:rPr>
          <w:color w:val="242424"/>
          <w:bdr w:val="none" w:sz="0" w:space="0" w:color="auto" w:frame="1"/>
          <w:shd w:val="clear" w:color="auto" w:fill="FFFFFF"/>
          <w:lang w:val="en-GB"/>
        </w:rPr>
        <w:t>and unsustainable fishing in the lake continued </w:t>
      </w:r>
      <w:r w:rsidRPr="00DA249F">
        <w:rPr>
          <w:lang w:val="en-GB"/>
        </w:rPr>
        <w:fldChar w:fldCharType="begin"/>
      </w:r>
      <w:r w:rsidR="00331A79">
        <w:rPr>
          <w:lang w:val="en-GB"/>
        </w:rPr>
        <w:instrText xml:space="preserve"> ADDIN ZOTERO_ITEM CSL_CITATION {"citationID":"GuM2NrYk","properties":{"formattedCitation":"(Luomba, 2016)","plainCitation":"(Luomba, 2016)","noteIndex":0},"citationItems":[{"id":54441,"uris":["http://zotero.org/groups/2352922/items/7RHMK8SV"],"itemData":{"id":54441,"type":"thesis","abstract":"This thesis employs interactive governance theory and governability assessment framework to examine why illegal, unreported and unregulated (IUU) fishing is persistent in Lake Victoria, despite efforts to combat it. IUU fishing threatens sustainable management of fish stocks and livelihoods of fisheries dependent communities. At the same time, inadequacies of the technical and regulatory measures implemented to control it have resulted in calls for alternative approaches. This thesis takes a whole system approach to examine underlying governance issues that pose challenges to tackling IUU problems. The study involved two parts. First, it evaluated the extent to which the properties of the system-to-be-governed, the governing system and the governing interactions contribute to fisheries governance challenges. Second, a survey using paired comparison questionnaires was undertaken to determine fisheries stakeholders’ judgements about the level of damages associated with different fishing-related activities. The investigation reveals that diversity, complexity, dynamics and scale issues in the system-to-be-governed, the governing system and the governing interaction challenges efforts to tackle IUU fishing. In addition, the study shows that there are some inconsistencies in the way fishers and managers judge the impact of some fishing-related activities including those that are officially considered IUU fishing. For example, managers consider IUU fishing activities such as ‘fishing without license’ and ‘landing fish in non-gazetted site’ to be least damaging while fishers consider them to have higher impact. These mismatches between the system-to-be-governed and the governing system need to be addressed, before IUU fishing can be tackled. The thesis offers alternative explanations about why IUU problem persists in Lake Victoria, broadening thus the possibility on how to combat it. The methodological approach and findings of the thesis can be applied in other fisheries to help understand and address similar governance challenges.","genre":"masters","language":"en","license":"thesis_license","publisher":"Memorial University of Newfoundland","source":"research.library.mun.ca","title":"Illegal, unreported and unregulated (IUU) fishing as a governability problem: a case study of Lake Victoria, Tanzania","title-short":"Illegal, unreported and unregulated (IUU) fishing as a governability problem","URL":"https://research.library.mun.ca/12424/","author":[{"family":"Luomba","given":"Joseph Onyango"}],"accessed":{"date-parts":[["2023",2,8]]},"issued":{"date-parts":[["2016",9]]}},"label":"page"}],"schema":"https://github.com/citation-style-language/schema/raw/master/csl-citation.json"} </w:instrText>
      </w:r>
      <w:r w:rsidRPr="00DA249F">
        <w:rPr>
          <w:lang w:val="en-GB"/>
        </w:rPr>
        <w:fldChar w:fldCharType="separate"/>
      </w:r>
      <w:r w:rsidR="00144D96" w:rsidRPr="00144D96">
        <w:t>(Luomba, 2016)</w:t>
      </w:r>
      <w:r w:rsidRPr="00DA249F">
        <w:rPr>
          <w:lang w:val="en-GB"/>
        </w:rPr>
        <w:fldChar w:fldCharType="end"/>
      </w:r>
      <w:r w:rsidRPr="00DA249F">
        <w:rPr>
          <w:color w:val="242424"/>
          <w:bdr w:val="none" w:sz="0" w:space="0" w:color="auto" w:frame="1"/>
          <w:shd w:val="clear" w:color="auto" w:fill="FFFFFF"/>
          <w:lang w:val="en-GB"/>
        </w:rPr>
        <w:t xml:space="preserve">. This top-down cascade led to profound changes in the lake ecosystem, resulting in further reduction </w:t>
      </w:r>
      <w:r w:rsidR="00E45FF0">
        <w:rPr>
          <w:color w:val="242424"/>
          <w:bdr w:val="none" w:sz="0" w:space="0" w:color="auto" w:frame="1"/>
          <w:shd w:val="clear" w:color="auto" w:fill="FFFFFF"/>
          <w:lang w:val="en-GB"/>
        </w:rPr>
        <w:t xml:space="preserve">in population size </w:t>
      </w:r>
      <w:r w:rsidRPr="00DA249F">
        <w:rPr>
          <w:color w:val="242424"/>
          <w:bdr w:val="none" w:sz="0" w:space="0" w:color="auto" w:frame="1"/>
          <w:shd w:val="clear" w:color="auto" w:fill="FFFFFF"/>
          <w:lang w:val="en-GB"/>
        </w:rPr>
        <w:t>and extinction of a number of endemic fishes</w:t>
      </w:r>
      <w:r w:rsidR="00186681" w:rsidRPr="00DA249F">
        <w:rPr>
          <w:color w:val="242424"/>
          <w:bdr w:val="none" w:sz="0" w:space="0" w:color="auto" w:frame="1"/>
          <w:shd w:val="clear" w:color="auto" w:fill="FFFFFF"/>
          <w:lang w:val="en-GB"/>
        </w:rPr>
        <w:t xml:space="preserve"> </w:t>
      </w:r>
      <w:r w:rsidR="00CA0C6B" w:rsidRPr="00DA249F">
        <w:rPr>
          <w:color w:val="242424"/>
          <w:bdr w:val="none" w:sz="0" w:space="0" w:color="auto" w:frame="1"/>
          <w:shd w:val="clear" w:color="auto" w:fill="FFFFFF"/>
          <w:lang w:val="en-GB"/>
        </w:rPr>
        <w:t>(</w:t>
      </w:r>
      <w:r w:rsidR="008C1731">
        <w:rPr>
          <w:b/>
          <w:color w:val="242424"/>
          <w:bdr w:val="none" w:sz="0" w:space="0" w:color="auto" w:frame="1"/>
          <w:shd w:val="clear" w:color="auto" w:fill="FFFFFF"/>
          <w:lang w:val="en-GB"/>
        </w:rPr>
        <w:t>C</w:t>
      </w:r>
      <w:r w:rsidR="00186681" w:rsidRPr="008C1731">
        <w:rPr>
          <w:b/>
          <w:color w:val="242424"/>
          <w:bdr w:val="none" w:sz="0" w:space="0" w:color="auto" w:frame="1"/>
          <w:shd w:val="clear" w:color="auto" w:fill="FFFFFF"/>
          <w:lang w:val="en-GB"/>
        </w:rPr>
        <w:t>hapter 4</w:t>
      </w:r>
      <w:r w:rsidR="00186681" w:rsidRPr="008C1731">
        <w:rPr>
          <w:color w:val="242424"/>
          <w:bdr w:val="none" w:sz="0" w:space="0" w:color="auto" w:frame="1"/>
          <w:shd w:val="clear" w:color="auto" w:fill="FFFFFF"/>
          <w:lang w:val="en-GB"/>
        </w:rPr>
        <w:t>,</w:t>
      </w:r>
      <w:r w:rsidR="00186681" w:rsidRPr="008C1731">
        <w:rPr>
          <w:b/>
          <w:color w:val="242424"/>
          <w:bdr w:val="none" w:sz="0" w:space="0" w:color="auto" w:frame="1"/>
          <w:shd w:val="clear" w:color="auto" w:fill="FFFFFF"/>
          <w:lang w:val="en-GB"/>
        </w:rPr>
        <w:t xml:space="preserve"> </w:t>
      </w:r>
      <w:r w:rsidR="00E23B69">
        <w:rPr>
          <w:b/>
          <w:color w:val="242424"/>
          <w:bdr w:val="none" w:sz="0" w:space="0" w:color="auto" w:frame="1"/>
          <w:shd w:val="clear" w:color="auto" w:fill="FFFFFF"/>
          <w:lang w:val="en-GB"/>
        </w:rPr>
        <w:t>Box</w:t>
      </w:r>
      <w:r w:rsidR="002B5AFC" w:rsidRPr="008C1731">
        <w:rPr>
          <w:b/>
          <w:color w:val="242424"/>
          <w:bdr w:val="none" w:sz="0" w:space="0" w:color="auto" w:frame="1"/>
          <w:shd w:val="clear" w:color="auto" w:fill="FFFFFF"/>
          <w:lang w:val="en-GB"/>
        </w:rPr>
        <w:t xml:space="preserve"> </w:t>
      </w:r>
      <w:r w:rsidR="00186681" w:rsidRPr="008C1731">
        <w:rPr>
          <w:b/>
          <w:color w:val="242424"/>
          <w:bdr w:val="none" w:sz="0" w:space="0" w:color="auto" w:frame="1"/>
          <w:shd w:val="clear" w:color="auto" w:fill="FFFFFF"/>
          <w:lang w:val="en-GB"/>
        </w:rPr>
        <w:t>4.</w:t>
      </w:r>
      <w:r w:rsidR="001A4652" w:rsidRPr="008C1731">
        <w:rPr>
          <w:b/>
          <w:color w:val="242424"/>
          <w:bdr w:val="none" w:sz="0" w:space="0" w:color="auto" w:frame="1"/>
          <w:shd w:val="clear" w:color="auto" w:fill="FFFFFF"/>
          <w:lang w:val="en-GB"/>
        </w:rPr>
        <w:t>10</w:t>
      </w:r>
      <w:r w:rsidR="002B5AFC">
        <w:rPr>
          <w:color w:val="242424"/>
          <w:bdr w:val="none" w:sz="0" w:space="0" w:color="auto" w:frame="1"/>
          <w:shd w:val="clear" w:color="auto" w:fill="FFFFFF"/>
          <w:lang w:val="en-GB"/>
        </w:rPr>
        <w:t>;</w:t>
      </w:r>
      <w:r w:rsidRPr="00DA249F">
        <w:rPr>
          <w:color w:val="242424"/>
          <w:bdr w:val="none" w:sz="0" w:space="0" w:color="auto" w:frame="1"/>
          <w:shd w:val="clear" w:color="auto" w:fill="FFFFFF"/>
          <w:lang w:val="en-GB"/>
        </w:rPr>
        <w:t xml:space="preserve"> </w:t>
      </w:r>
      <w:bookmarkStart w:id="168" w:name="_Toc18405834"/>
      <w:bookmarkStart w:id="169" w:name="_Toc44317826"/>
      <w:r w:rsidR="00186681" w:rsidRPr="00DA249F">
        <w:rPr>
          <w:color w:val="242424"/>
          <w:bdr w:val="none" w:sz="0" w:space="0" w:color="auto" w:frame="1"/>
          <w:shd w:val="clear" w:color="auto" w:fill="FFFFFF"/>
          <w:lang w:val="en-GB"/>
        </w:rPr>
        <w:fldChar w:fldCharType="begin"/>
      </w:r>
      <w:r w:rsidR="00331A79">
        <w:rPr>
          <w:color w:val="242424"/>
          <w:bdr w:val="none" w:sz="0" w:space="0" w:color="auto" w:frame="1"/>
          <w:shd w:val="clear" w:color="auto" w:fill="FFFFFF"/>
          <w:lang w:val="en-GB"/>
        </w:rPr>
        <w:instrText xml:space="preserve"> ADDIN ZOTERO_ITEM CSL_CITATION {"citationID":"gBy5fZI9","properties":{"formattedCitation":"(B. E. Marshall, 2018)","plainCitation":"(B. E. Marshall, 2018)","dontUpdate":true,"noteIndex":0},"citationItems":[{"id":22643,"uris":["http://zotero.org/groups/2352922/items/U88T9SS3"],"itemData":{"id":22643,"type":"article-journal","abstract":"Debate on the contribution of Nile perch (Lates niloticus) to the demise of Lake Victoria’s 500+ endemic haplochromine cichlids centers around the “top-down” and “bottom-up</w:instrText>
      </w:r>
      <w:r w:rsidR="00331A79">
        <w:rPr>
          <w:rFonts w:hint="eastAsia"/>
          <w:color w:val="242424"/>
          <w:bdr w:val="none" w:sz="0" w:space="0" w:color="auto" w:frame="1"/>
          <w:shd w:val="clear" w:color="auto" w:fill="FFFFFF"/>
          <w:lang w:val="en-GB"/>
        </w:rPr>
        <w:instrText>”</w:instrText>
      </w:r>
      <w:r w:rsidR="00331A79">
        <w:rPr>
          <w:color w:val="242424"/>
          <w:bdr w:val="none" w:sz="0" w:space="0" w:color="auto" w:frame="1"/>
          <w:shd w:val="clear" w:color="auto" w:fill="FFFFFF"/>
          <w:lang w:val="en-GB"/>
        </w:rPr>
        <w:instrText xml:space="preserve"> hypotheses. The former ..., Le débat sur le rôle de la perche du Nil (Lates niloticus) dans l’effondrement des plus de 500 cichlidés haplochrominés endémiques du lac Victoria s’articule autour des hypothèses de l’effet descen...","container-title":"Canadian Journal of Fisheries and Aquatic Sciences","DOI":"10.1139/cjfas-2017-0056","ISSN":"0706-652X","issue":"9","journalAbbreviation":"Can. J. Fish. Aquat. Sci.","page":"1542-1559","source":"NRC Research Press","title":"Guilty as charged: Nile perch was the cause of the haplochromine decline in Lake Victoria","title-short":"Guilty as charged","URL":"https://www.nrcresearchpress.com/doi/full/10.1139/cjfas-2017-0056","volume":"75","author":[{"family":"Marshall","given":"Brian E."}],"accessed":{"date-parts":[["2020",6,14]]},"issued":{"date-parts":[["2018",4,24]]}}}],"schema":"https://github.com/citation-style-language/schema/raw/master/csl-citation.json"} </w:instrText>
      </w:r>
      <w:r w:rsidR="00186681" w:rsidRPr="00DA249F">
        <w:rPr>
          <w:color w:val="242424"/>
          <w:bdr w:val="none" w:sz="0" w:space="0" w:color="auto" w:frame="1"/>
          <w:shd w:val="clear" w:color="auto" w:fill="FFFFFF"/>
          <w:lang w:val="en-GB"/>
        </w:rPr>
        <w:fldChar w:fldCharType="separate"/>
      </w:r>
      <w:r w:rsidR="00186681" w:rsidRPr="00DA249F">
        <w:rPr>
          <w:lang w:val="en-GB"/>
        </w:rPr>
        <w:t>B. E. Marshall, 2018)</w:t>
      </w:r>
      <w:r w:rsidR="00186681" w:rsidRPr="00DA249F">
        <w:rPr>
          <w:color w:val="242424"/>
          <w:bdr w:val="none" w:sz="0" w:space="0" w:color="auto" w:frame="1"/>
          <w:shd w:val="clear" w:color="auto" w:fill="FFFFFF"/>
          <w:lang w:val="en-GB"/>
        </w:rPr>
        <w:fldChar w:fldCharType="end"/>
      </w:r>
      <w:r w:rsidR="00E45FF0">
        <w:rPr>
          <w:color w:val="242424"/>
          <w:bdr w:val="none" w:sz="0" w:space="0" w:color="auto" w:frame="1"/>
          <w:shd w:val="clear" w:color="auto" w:fill="FFFFFF"/>
          <w:lang w:val="en-GB"/>
        </w:rPr>
        <w:t>.</w:t>
      </w:r>
      <w:r w:rsidR="08916FA3" w:rsidRPr="00DA249F">
        <w:rPr>
          <w:lang w:val="en-GB"/>
        </w:rPr>
        <w:t xml:space="preserve"> </w:t>
      </w:r>
    </w:p>
    <w:p w14:paraId="0DE02618" w14:textId="77777777" w:rsidR="008C1BF7" w:rsidRPr="0015750E" w:rsidRDefault="3A32AF89" w:rsidP="00B361D5">
      <w:pPr>
        <w:pStyle w:val="Heading3"/>
        <w:rPr>
          <w:bCs/>
          <w:shd w:val="clear" w:color="auto" w:fill="FFFFFF"/>
          <w:lang w:val="en-GB"/>
        </w:rPr>
      </w:pPr>
      <w:r w:rsidRPr="00B361D5">
        <w:rPr>
          <w:shd w:val="clear" w:color="auto" w:fill="FFFFFF"/>
          <w:lang w:val="en-GB"/>
        </w:rPr>
        <w:t>Hydrological</w:t>
      </w:r>
      <w:r w:rsidRPr="0015750E">
        <w:rPr>
          <w:b w:val="0"/>
          <w:shd w:val="clear" w:color="auto" w:fill="FFFFFF"/>
          <w:lang w:val="en-GB"/>
        </w:rPr>
        <w:t xml:space="preserve"> </w:t>
      </w:r>
      <w:bookmarkEnd w:id="168"/>
      <w:bookmarkEnd w:id="169"/>
      <w:r w:rsidRPr="0015750E">
        <w:rPr>
          <w:shd w:val="clear" w:color="auto" w:fill="FFFFFF"/>
          <w:lang w:val="en-GB"/>
        </w:rPr>
        <w:t>resource</w:t>
      </w:r>
      <w:r w:rsidR="6A08F07B" w:rsidRPr="0015750E">
        <w:rPr>
          <w:shd w:val="clear" w:color="auto" w:fill="FFFFFF"/>
          <w:lang w:val="en-GB"/>
        </w:rPr>
        <w:t xml:space="preserve"> harvesting</w:t>
      </w:r>
    </w:p>
    <w:p w14:paraId="6B22297A" w14:textId="1EFB65E5" w:rsidR="00125028" w:rsidRPr="00DA249F" w:rsidRDefault="007965B9" w:rsidP="0090109B">
      <w:pPr>
        <w:rPr>
          <w:lang w:val="en-GB"/>
        </w:rPr>
      </w:pPr>
      <w:r w:rsidRPr="00DA249F">
        <w:rPr>
          <w:lang w:val="en-GB"/>
        </w:rPr>
        <w:t>G</w:t>
      </w:r>
      <w:r w:rsidR="4E153646" w:rsidRPr="00DA249F">
        <w:rPr>
          <w:lang w:val="en-GB"/>
        </w:rPr>
        <w:t>lobal water use</w:t>
      </w:r>
      <w:r w:rsidR="2AB17342" w:rsidRPr="00DA249F">
        <w:rPr>
          <w:lang w:val="en-GB"/>
        </w:rPr>
        <w:t xml:space="preserve"> </w:t>
      </w:r>
      <w:r w:rsidR="008711B0" w:rsidRPr="00DA249F">
        <w:rPr>
          <w:lang w:val="en-GB"/>
        </w:rPr>
        <w:t xml:space="preserve">has </w:t>
      </w:r>
      <w:r w:rsidR="4E153646" w:rsidRPr="00DA249F">
        <w:rPr>
          <w:lang w:val="en-GB"/>
        </w:rPr>
        <w:t>increased si</w:t>
      </w:r>
      <w:r w:rsidR="62541351" w:rsidRPr="00DA249F">
        <w:rPr>
          <w:lang w:val="en-GB"/>
        </w:rPr>
        <w:t>x</w:t>
      </w:r>
      <w:r w:rsidRPr="00DA249F">
        <w:rPr>
          <w:lang w:val="en-GB"/>
        </w:rPr>
        <w:t>-fold</w:t>
      </w:r>
      <w:r w:rsidR="4E153646" w:rsidRPr="00DA249F">
        <w:rPr>
          <w:lang w:val="en-GB"/>
        </w:rPr>
        <w:t xml:space="preserve"> over the last 100 year</w:t>
      </w:r>
      <w:r w:rsidR="020DD38F" w:rsidRPr="00DA249F">
        <w:rPr>
          <w:lang w:val="en-GB"/>
        </w:rPr>
        <w:t>s</w:t>
      </w:r>
      <w:r w:rsidR="4E153646" w:rsidRPr="00DA249F">
        <w:rPr>
          <w:lang w:val="en-GB"/>
        </w:rPr>
        <w:t xml:space="preserve"> and </w:t>
      </w:r>
      <w:r w:rsidR="5CFB0B66" w:rsidRPr="00DA249F">
        <w:rPr>
          <w:lang w:val="en-GB"/>
        </w:rPr>
        <w:t xml:space="preserve">recent </w:t>
      </w:r>
      <w:r w:rsidR="4E153646" w:rsidRPr="00DA249F">
        <w:rPr>
          <w:lang w:val="en-GB"/>
        </w:rPr>
        <w:t>increase</w:t>
      </w:r>
      <w:r w:rsidR="009B40DC" w:rsidRPr="00DA249F">
        <w:rPr>
          <w:lang w:val="en-GB"/>
        </w:rPr>
        <w:t xml:space="preserve">s </w:t>
      </w:r>
      <w:r w:rsidR="0081720C" w:rsidRPr="00DA249F">
        <w:rPr>
          <w:lang w:val="en-GB"/>
        </w:rPr>
        <w:t xml:space="preserve">in water use </w:t>
      </w:r>
      <w:r w:rsidR="009B40DC" w:rsidRPr="00DA249F">
        <w:rPr>
          <w:lang w:val="en-GB"/>
        </w:rPr>
        <w:t xml:space="preserve">have been </w:t>
      </w:r>
      <w:r w:rsidR="54FFFECC" w:rsidRPr="00DA249F">
        <w:rPr>
          <w:lang w:val="en-GB"/>
        </w:rPr>
        <w:t>at a rate of 1</w:t>
      </w:r>
      <w:r w:rsidR="008711B0" w:rsidRPr="00DA249F">
        <w:rPr>
          <w:rStyle w:val="eop"/>
          <w:lang w:val="en-GB"/>
        </w:rPr>
        <w:t xml:space="preserve"> </w:t>
      </w:r>
      <w:r w:rsidR="004C77CD" w:rsidRPr="00DA249F">
        <w:rPr>
          <w:rStyle w:val="eop"/>
          <w:lang w:val="en-GB"/>
        </w:rPr>
        <w:t>per cent</w:t>
      </w:r>
      <w:r w:rsidR="54FFFECC" w:rsidRPr="00DA249F">
        <w:rPr>
          <w:lang w:val="en-GB"/>
        </w:rPr>
        <w:t xml:space="preserve"> per year</w:t>
      </w:r>
      <w:r w:rsidR="2E8055E5" w:rsidRPr="00DA249F">
        <w:rPr>
          <w:lang w:val="en-GB"/>
        </w:rPr>
        <w:t xml:space="preserve"> </w:t>
      </w:r>
      <w:r w:rsidR="007D778A" w:rsidRPr="00DA249F">
        <w:rPr>
          <w:lang w:val="en-GB"/>
        </w:rPr>
        <w:fldChar w:fldCharType="begin"/>
      </w:r>
      <w:r w:rsidR="00230216">
        <w:rPr>
          <w:lang w:val="en-GB"/>
        </w:rPr>
        <w:instrText xml:space="preserve"> ADDIN ZOTERO_ITEM CSL_CITATION {"citationID":"CKpfLm3c","properties":{"formattedCitation":"(United Nations, 2020)","plainCitation":"(United Nations, 2020)","noteIndex":0},"citationItems":[{"id":"zUkrYEfa/pzFjGJqx","uris":["http://zotero.org/users/5651267/items/CBNPQFPA"],"itemData":{"id":66223,"type":"post-weblog","abstract":"Water and Climate Change UN WORLD WATER DEVELOPMENT REPORT The 2020 edition of the United Nations World Water Development Report (UN WWDR 2020) entitled ‘Water and Climate Change’ aims at … Read more","container-title":"UN-Water","language":"en-US","note":"source: www.unwater.org","title":"UN World Water Development Report 2020","URL":"https://www.unwater.org/publications/world-water-development-report-2020/","author":[{"family":"United Nations","given":""}],"accessed":{"date-parts":[["2021",12,1]]},"issued":{"date-parts":[["2020"]]}}}],"schema":"https://github.com/citation-style-language/schema/raw/master/csl-citation.json"} </w:instrText>
      </w:r>
      <w:r w:rsidR="007D778A" w:rsidRPr="00DA249F">
        <w:rPr>
          <w:lang w:val="en-GB"/>
        </w:rPr>
        <w:fldChar w:fldCharType="separate"/>
      </w:r>
      <w:r w:rsidR="00144D96" w:rsidRPr="00144D96">
        <w:t>(United Nations, 2020)</w:t>
      </w:r>
      <w:r w:rsidR="007D778A" w:rsidRPr="00DA249F">
        <w:rPr>
          <w:lang w:val="en-GB"/>
        </w:rPr>
        <w:fldChar w:fldCharType="end"/>
      </w:r>
      <w:r w:rsidR="00173FC2" w:rsidRPr="00DA249F">
        <w:rPr>
          <w:lang w:val="en-GB"/>
        </w:rPr>
        <w:t>.</w:t>
      </w:r>
      <w:r w:rsidR="0ACEE5E7" w:rsidRPr="00DA249F">
        <w:rPr>
          <w:lang w:val="en-GB"/>
        </w:rPr>
        <w:t xml:space="preserve"> This increasing water </w:t>
      </w:r>
      <w:r w:rsidR="4B31C5F0" w:rsidRPr="00DA249F">
        <w:rPr>
          <w:lang w:val="en-GB"/>
        </w:rPr>
        <w:t>use</w:t>
      </w:r>
      <w:r w:rsidR="0ACEE5E7" w:rsidRPr="00DA249F">
        <w:rPr>
          <w:lang w:val="en-GB"/>
        </w:rPr>
        <w:t xml:space="preserve"> </w:t>
      </w:r>
      <w:r w:rsidR="008711B0" w:rsidRPr="00DA249F">
        <w:rPr>
          <w:lang w:val="en-GB"/>
        </w:rPr>
        <w:t>has required</w:t>
      </w:r>
      <w:r w:rsidR="554DFD14" w:rsidRPr="00DA249F">
        <w:rPr>
          <w:lang w:val="en-GB"/>
        </w:rPr>
        <w:t xml:space="preserve"> large investments in infrastructure, including 50</w:t>
      </w:r>
      <w:r w:rsidR="00157341" w:rsidRPr="00DA249F">
        <w:rPr>
          <w:lang w:val="en-GB"/>
        </w:rPr>
        <w:t>,</w:t>
      </w:r>
      <w:r w:rsidR="554DFD14" w:rsidRPr="00DA249F">
        <w:rPr>
          <w:lang w:val="en-GB"/>
        </w:rPr>
        <w:t xml:space="preserve">000 </w:t>
      </w:r>
      <w:r w:rsidR="00BF2FDE" w:rsidRPr="00DA249F">
        <w:rPr>
          <w:lang w:val="en-GB"/>
        </w:rPr>
        <w:t>dams</w:t>
      </w:r>
      <w:r w:rsidR="554DFD14" w:rsidRPr="00DA249F">
        <w:rPr>
          <w:lang w:val="en-GB"/>
        </w:rPr>
        <w:t xml:space="preserve"> and over 16 </w:t>
      </w:r>
      <w:r w:rsidR="00BF2FDE" w:rsidRPr="00DA249F">
        <w:rPr>
          <w:lang w:val="en-GB"/>
        </w:rPr>
        <w:t>million</w:t>
      </w:r>
      <w:r w:rsidR="554DFD14" w:rsidRPr="00DA249F">
        <w:rPr>
          <w:lang w:val="en-GB"/>
        </w:rPr>
        <w:t xml:space="preserve"> reservoirs</w:t>
      </w:r>
      <w:r w:rsidR="00B361D5">
        <w:rPr>
          <w:lang w:val="en-GB"/>
        </w:rPr>
        <w:t xml:space="preserve"> worldwide</w:t>
      </w:r>
      <w:r w:rsidR="004468BE" w:rsidRPr="00DA249F">
        <w:rPr>
          <w:lang w:val="en-GB"/>
        </w:rPr>
        <w:t xml:space="preserve"> </w:t>
      </w:r>
      <w:r w:rsidR="00173FC2" w:rsidRPr="00DA249F">
        <w:rPr>
          <w:lang w:val="en-GB"/>
        </w:rPr>
        <w:fldChar w:fldCharType="begin"/>
      </w:r>
      <w:r w:rsidR="00F5121E">
        <w:rPr>
          <w:lang w:val="en-GB"/>
        </w:rPr>
        <w:instrText xml:space="preserve"> ADDIN ZOTERO_ITEM CSL_CITATION {"citationID":"HkzBdIhj","properties":{"formattedCitation":"(IPBES, 2019)","plainCitation":"(IPBES, 2019)","noteIndex":0},"citationItems":[{"id":53933,"uris":["http://zotero.org/groups/2352922/items/JYFISR8Z","http://zotero.org/groups/2352922/items/ZACZGHZL"],"itemData":{"id":53933,"type":"report","abstract":"IPBES is to perform regular and timely assessments of knowledge on biodiversity and ecosystem services and their interlinkages at the global level. Also addressing an invitation by the Conference of the Parties of the Convention on Biological Diversity (CBD) to prepare a global assessment of biodiversity and ecosystem services building, inter alia, on its own and other relevant regional, subregional and thematic assessments, as well as on national reports. The overall scope of the assessment is to assess the status and trends with regard to biodiversity and ecosystem services, the impact of biodiversity and ecosystem services on human well-being and the effectiveness of responses, including the Strategic Plan and its Aichi Biodiversity Targets. It is anticipated that this deliverable will contribute to the process for the evaluation and renewal of the Strategic Plan for Biodiversity and its Aichi Biodiversity Targets. The IPBES Global Assessment on Biodiversity and Ecosystem Services is composed of 1) a Summary for Policymakers (SPM), approved by the IPBES Plenary at its 7th session in May 2019 in Paris, France (IPBES-7); and 2) a set of six Chapters, accepted by the IPBES Plenary.","language":"en","license":"Creative Commons Attribution 4.0 International, Open Access","note":"Version Number 1\nDOI: 10.5281/ZENODO.3831673","publisher":"Secretariat of the Intergovernmental Science-Policy Platform on Biodiversity and Ecosystem Services","source":"DOI.org (Datacite)","title":"Global assessment report on biodiversity and ecosystem services of the Intergovernmental Science-Policy Platform on Biodiversity and Ecosystem Services","URL":"https://zenodo.org/record/3831673","author":[{"literal":"IPBES"}],"contributor":[{"family":"Brondizio","given":"Eduardo"},{"family":"Diaz","given":"Sandra"},{"family":"Settele","given":"Josef"},{"family":"Ngo","given":"Hien T."}],"accessed":{"date-parts":[["2023",1,5]]},"issued":{"date-parts":[["2019"]]}}}],"schema":"https://github.com/citation-style-language/schema/raw/master/csl-citation.json"} </w:instrText>
      </w:r>
      <w:r w:rsidR="00173FC2" w:rsidRPr="00DA249F">
        <w:rPr>
          <w:lang w:val="en-GB"/>
        </w:rPr>
        <w:fldChar w:fldCharType="separate"/>
      </w:r>
      <w:r w:rsidR="00144D96" w:rsidRPr="00144D96">
        <w:t>(IPBES, 2019)</w:t>
      </w:r>
      <w:r w:rsidR="00173FC2" w:rsidRPr="00DA249F">
        <w:rPr>
          <w:lang w:val="en-GB"/>
        </w:rPr>
        <w:fldChar w:fldCharType="end"/>
      </w:r>
      <w:r w:rsidR="554DFD14" w:rsidRPr="00DA249F">
        <w:rPr>
          <w:lang w:val="en-GB"/>
        </w:rPr>
        <w:t>, as well as</w:t>
      </w:r>
      <w:r w:rsidR="158B7EF1" w:rsidRPr="00DA249F">
        <w:rPr>
          <w:lang w:val="en-GB"/>
        </w:rPr>
        <w:t xml:space="preserve"> extensive </w:t>
      </w:r>
      <w:r w:rsidR="15AB6366" w:rsidRPr="00DA249F">
        <w:rPr>
          <w:lang w:val="en-GB"/>
        </w:rPr>
        <w:t>extraction of gro</w:t>
      </w:r>
      <w:r w:rsidR="23F660BB" w:rsidRPr="00DA249F">
        <w:rPr>
          <w:lang w:val="en-GB"/>
        </w:rPr>
        <w:t>u</w:t>
      </w:r>
      <w:r w:rsidR="15AB6366" w:rsidRPr="00DA249F">
        <w:rPr>
          <w:lang w:val="en-GB"/>
        </w:rPr>
        <w:t>ndwater resources</w:t>
      </w:r>
      <w:r w:rsidR="7320B007" w:rsidRPr="00DA249F">
        <w:rPr>
          <w:lang w:val="en-GB"/>
        </w:rPr>
        <w:t xml:space="preserve"> </w:t>
      </w:r>
      <w:r w:rsidR="005F3C61" w:rsidRPr="00DA249F">
        <w:rPr>
          <w:lang w:val="en-GB"/>
        </w:rPr>
        <w:fldChar w:fldCharType="begin"/>
      </w:r>
      <w:r w:rsidR="00230216">
        <w:rPr>
          <w:lang w:val="en-GB"/>
        </w:rPr>
        <w:instrText xml:space="preserve"> ADDIN ZOTERO_ITEM CSL_CITATION {"citationID":"eQOcVRLG","properties":{"formattedCitation":"(International Groundwater Resources Assessment Centre, 2018)","plainCitation":"(International Groundwater Resources Assessment Centre, 2018)","noteIndex":0},"citationItems":[{"id":"zUkrYEfa/aJ6PGTi6","uris":["http://zotero.org/users/5651267/items/S2DQ7NKR"],"itemData":{"id":66226,"type":"article-journal","container-title":"UN WATER","journalAbbreviation":"UN WATER","title":"Groundwater Overview: Making the invisible Visible","author":[{"literal":"International Groundwater Resources Assessment Centre"}],"issued":{"date-parts":[["2018"]]}}}],"schema":"https://github.com/citation-style-language/schema/raw/master/csl-citation.json"} </w:instrText>
      </w:r>
      <w:r w:rsidR="005F3C61" w:rsidRPr="00DA249F">
        <w:rPr>
          <w:lang w:val="en-GB"/>
        </w:rPr>
        <w:fldChar w:fldCharType="separate"/>
      </w:r>
      <w:r w:rsidR="00144D96" w:rsidRPr="00144D96">
        <w:t>(International Groundwater Resources Assessment Centre, 2018)</w:t>
      </w:r>
      <w:r w:rsidR="005F3C61" w:rsidRPr="00DA249F">
        <w:rPr>
          <w:lang w:val="en-GB"/>
        </w:rPr>
        <w:fldChar w:fldCharType="end"/>
      </w:r>
      <w:r w:rsidR="7F1B8ADA" w:rsidRPr="00DA249F">
        <w:rPr>
          <w:lang w:val="en-GB"/>
        </w:rPr>
        <w:t>.</w:t>
      </w:r>
      <w:r w:rsidR="00AC1836" w:rsidRPr="00DA249F">
        <w:rPr>
          <w:lang w:val="en-GB"/>
        </w:rPr>
        <w:t xml:space="preserve"> </w:t>
      </w:r>
      <w:r w:rsidR="008C1BF7" w:rsidRPr="00DA249F">
        <w:rPr>
          <w:lang w:val="en-GB"/>
        </w:rPr>
        <w:t xml:space="preserve">There is an increasing recognition </w:t>
      </w:r>
      <w:r w:rsidR="00B51691" w:rsidRPr="00DA249F">
        <w:rPr>
          <w:lang w:val="en-GB"/>
        </w:rPr>
        <w:t>that</w:t>
      </w:r>
      <w:r w:rsidR="008C1BF7" w:rsidRPr="00DA249F">
        <w:rPr>
          <w:lang w:val="en-GB"/>
        </w:rPr>
        <w:t xml:space="preserve"> human-mediated hydrological disturbances</w:t>
      </w:r>
      <w:r w:rsidR="00B51691" w:rsidRPr="00DA249F">
        <w:rPr>
          <w:lang w:val="en-GB"/>
        </w:rPr>
        <w:t xml:space="preserve"> directly or indirectly facilitate </w:t>
      </w:r>
      <w:r w:rsidR="008C1BF7" w:rsidRPr="00DA249F">
        <w:rPr>
          <w:lang w:val="en-GB"/>
        </w:rPr>
        <w:t xml:space="preserve">plant and animal invasions </w:t>
      </w:r>
      <w:r w:rsidR="008C1BF7" w:rsidRPr="00DA249F">
        <w:rPr>
          <w:lang w:val="en-GB"/>
        </w:rPr>
        <w:fldChar w:fldCharType="begin"/>
      </w:r>
      <w:r w:rsidR="00331A79">
        <w:rPr>
          <w:lang w:val="en-GB"/>
        </w:rPr>
        <w:instrText xml:space="preserve"> ADDIN ZOTERO_ITEM CSL_CITATION {"citationID":"BMIjcztr","properties":{"formattedCitation":"(Brummer et al., 2016; Richardson, Holmes, et al., 2007; Truscott et al., 2006)","plainCitation":"(Brummer et al., 2016; Richardson, Holmes, et al., 2007; Truscott et al., 2006)","noteIndex":0},"citationItems":[{"id":25322,"uris":["http://zotero.org/groups/2352922/items/SWLIVDV4"],"itemData":{"id":25322,"type":"article-journal","abstract":"Aim To assess whether native and alien plant cover and richness respond similarly to flow regime, propagule pressure, climate and floodplain characteristics in highly dynamic braided river ecosystems. Location Canterbury, New Zealand. Methods A regional, multiscale survey was conducted across 19 braided river floodplains in multiple catchments. We measured alien and native cover and richness across gradients of flow regime (flow magnitude, variability and high/low-flow events), propagule pressure (inferred from land cover), climate and local-scale floodplain substrate and topography. Boosted regression trees were used to determine the relative and absolute importance of these variables on plant cover and richness. Results The floodplain ecosystems were highly invaded with 154 alien species and only 31 natives. Alien cover was higher in rivers with larger maximum flows, in plots with fine substrate texture, and at higher local river bed elevations. Alien richness increased as the variability of winter flows increased and followed a hump-shaped relationship with river bed elevation. In contrast, native species richness and cover were both shaped primarily by climate and by land cover, higher in cooler and wetter areas with more adjacent native vegetation. Main conclusions Alien and native richness and cover were shaped by different variables, so managing the ecosystem (e.g. flow regime) to mitigate aliens would not necessarily promote natives. Promotion of natives will require considerations of propagule supply and whether extant native species are suited to low-elevation climatic conditions. Aliens were associated with predictors that approximate disturbance processes. Increased flow variability in winter could lead to an increase in the number of aliens; conversely, flow stabilization is likely to allow problematic invaders to increase in cover locally.","container-title":"Diversity and Distributions","DOI":"10.1111/ddi.12448","ISSN":"1472-4642","issue":"7","language":"en","license":"© 2016 John Wiley &amp; Sons Ltd","note":"_eprint: https://onlinelibrary.wiley.com/doi/pdf/10.1111/ddi.12448","page":"823-835","source":"Wiley Online Library","title":"Alien and native plant richness and abundance respond to different environmental drivers across multiple gravel floodplain ecosystems","URL":"https://onlinelibrary.wiley.com/doi/abs/10.1111/ddi.12448","volume":"22","author":[{"family":"Brummer","given":"T. J."},{"family":"Byrom","given":"A. E."},{"family":"Sullivan","given":"J. J."},{"family":"Hulme","given":"Philip E."}],"accessed":{"date-parts":[["2020",5,12]]},"issued":{"date-parts":[["2016"]]}},"label":"page"},{"id":29323,"uris":["http://zotero.org/groups/2352922/items/TILJIUZ4"],"itemData":{"id":29323,"type":"article-journal","abstract":"1 Increased occurrence of high-flow events as a result of climate change may affect the dispersal success of an invasive plant species Mimulus guttatus and may result in range expansion. Predicted changes in climate point to a continuation of the recent observed trends in increased precipitation and high-flow events in Northern Europe. 2 The study focused on the dispersal characteristics of M. guttatus, and especially the roles of vegetative fragmentation with increasing water velocities, subsequent fragment survival, regeneration and colonization, as well as the buoyancy, survival and germination success of seeds. 3 M. guttatus was found to fragment readily under velocities typical of high flow conditions and even small fragments had high survival, regeneration and colonization capacity. 4 Large numbers of small (&lt; 0.02 mg) seeds are produced; however, seeds have a short buoyancy period so the timing and magnitude of high-flow events is crucial in determining potential dispersal distances. Seeds germinate readily both in water and on sand with an average 33% germination within 9 days. 5 The dual strategy of dispersal by vegetative fragments and seeds, together with the opportunity of dispersing the two types of propagules during different periods of the year, facilitates local dominance by M. guttatus as well as long-distance colonization. As a result, the rate of spread of M. guttatus into inundation communities along rivers is likely to increase with more frequent high-flow events, especially if these coincide with the growing season. Thus, predicting the response of riparian invasive species to environmental change requires not only an understanding of the role of climate in plant demography but also the impact of changes in hydrology on rates of spread.","container-title":"Journal of Ecology","DOI":"10.1111/j.1365-2745.2006.01171.x","ISSN":"1365-2745","issue":"6","language":"en","page":"1080-1091","source":"Wiley Online Library","title":"The dispersal characteristics of the invasive plant &lt;i&gt;Mimulus guttatus&lt;/i&gt; and the ecological significance of increased occurrence of high-flow events","URL":"https://besjournals.onlinelibrary.wiley.com/doi/abs/10.1111/j.1365-2745.2006.01171.x","volume":"94","author":[{"family":"Truscott","given":"A.-M."},{"family":"Soulsby","given":"C."},{"family":"Palmer","given":"S. C. F."},{"family":"Newell","given":"L."},{"family":"Hulme","given":"Philip E."}],"accessed":{"date-parts":[["2019",9,19]]},"issued":{"date-parts":[["2006"]]}},"label":"page"},{"id":30198,"uris":["http://zotero.org/groups/2352922/items/KMX87PEK"],"itemData":{"id":30198,"type":"article-journal","container-title":"Diversity and Distributions","DOI":"10.1111/j.1366-9516.2006.00314.x","ISSN":"13669516","issue":"1","language":"en","page":"126-139","source":"DOI.org (Crossref)","title":"Riparian vegetation: degradation, alien plant invasions, and restoration prospects","title-short":"Riparian vegetation","URL":"https://onlinelibrary.wiley.com/doi/10.1111/j.1366-9516.2006.00314.x","volume":"13","author":[{"family":"Richardson","given":"David M."},{"family":"Holmes","given":"Patricia M."},{"family":"Esler","given":"Karen J."},{"family":"Galatowitsch","given":"Susan M."},{"family":"Stromberg","given":"Juliet C."},{"family":"Kirkman","given":"Steven P."},{"family":"Pyšek","given":"Petr"},{"family":"Hobbs","given":"Richard J."}],"accessed":{"date-parts":[["2021",8,22]]},"issued":{"date-parts":[["2007",1,10]]}},"label":"page"}],"schema":"https://github.com/citation-style-language/schema/raw/master/csl-citation.json"} </w:instrText>
      </w:r>
      <w:r w:rsidR="008C1BF7" w:rsidRPr="00DA249F">
        <w:rPr>
          <w:lang w:val="en-GB"/>
        </w:rPr>
        <w:fldChar w:fldCharType="separate"/>
      </w:r>
      <w:r w:rsidR="00144D96" w:rsidRPr="00144D96">
        <w:t>(Brummer et al., 2016; Richardson, Holmes, et al., 2007; Truscott et al., 2006)</w:t>
      </w:r>
      <w:r w:rsidR="008C1BF7" w:rsidRPr="00DA249F">
        <w:rPr>
          <w:lang w:val="en-GB"/>
        </w:rPr>
        <w:fldChar w:fldCharType="end"/>
      </w:r>
      <w:r w:rsidR="008C1BF7" w:rsidRPr="00DA249F">
        <w:rPr>
          <w:lang w:val="en-GB"/>
        </w:rPr>
        <w:t xml:space="preserve">. </w:t>
      </w:r>
      <w:r w:rsidR="00FE4E5F" w:rsidRPr="00DA249F">
        <w:rPr>
          <w:lang w:val="en-GB"/>
        </w:rPr>
        <w:t xml:space="preserve">As many alien species thrive in low-competition environments created by hydrological disturbances, biological invasions are often positively associated with the level of hydrological and other disturbances </w:t>
      </w:r>
      <w:r w:rsidR="00FE4E5F" w:rsidRPr="00DA249F">
        <w:rPr>
          <w:lang w:val="en-GB"/>
        </w:rPr>
        <w:fldChar w:fldCharType="begin"/>
      </w:r>
      <w:r w:rsidR="00331A79">
        <w:rPr>
          <w:lang w:val="en-GB"/>
        </w:rPr>
        <w:instrText xml:space="preserve"> ADDIN ZOTERO_ITEM CSL_CITATION {"citationID":"w43QtBXg","properties":{"formattedCitation":"(M. A. Davis et al., 2000; Ricciardi et al., 2017)","plainCitation":"(M. A. Davis et al., 2000; Ricciardi et al., 2017)","noteIndex":0},"citationItems":[{"id":9795,"uris":["http://zotero.org/groups/2352922/items/X6SPGRPG"],"itemData":{"id":9795,"type":"article-journal","abstract":"1 The invasion of habitats by non-native plant and animal species is a global phenomenon with potentially grave consequences for ecological, economic, and social systems. Unfortunately, to date, the study of invasions has been primarily anecdotal and resistant to generalization. 2 Here, we use insights from experiments and from long-term monitoring studies of vegetation to propose a new theory in which fluctuation in resource availability is identified as the key factor controlling invasibility, the susceptibility of an environment to invasion by non-resident species. The theory is mechanistic and quantitative in nature leading to a variety of testable predictions. 3 We conclude that the elusive nature of the invasion process arises from the fact that it depends upon conditions of resource enrichment or release that have a variety of causes but which occur only intermittently and, to result in invasion, must coincide with availability of invading propagules.","container-title":"Journal of Ecology","DOI":"10.1046/j.1365-2745.2000.00473.x","ISSN":"1365-2745","issue":"3","language":"en","note":"_eprint: https://onlinelibrary.wiley.com/doi/pdf/10.1046/j.1365-2745.2000.00473.x","page":"528-534","source":"Wiley Online Library","title":"Fluctuating resources in plant communities: a general theory of invasibility","title-short":"Fluctuating resources in plant communities","URL":"https://onlinelibrary.wiley.com/doi/abs/10.1046/j.1365-2745.2000.00473.x","volume":"88","author":[{"family":"Davis","given":"Mark A."},{"family":"Grime","given":"J. Philip"},{"family":"Thompson","given":"Ken"}],"accessed":{"date-parts":[["2022",4,5]]},"issued":{"date-parts":[["2000"]]}},"label":"page"},{"id":29130,"uris":["http://zotero.org/groups/2352922/items/RFIVYNSF"],"itemData":{"id":29130,"type":"article-journal","abstract":"We identified emerging scientific, technological, and sociopolitical issues likely to affect how biological invasions are studied and managed over the next two decades. Issues were ranked according to their probability of emergence, pervasiveness, potential impact, and novelty. Top-ranked issues include the application of genomic modification tools to control invasions, effects of Arctic globalization on invasion risk in the Northern Hemisphere, commercial use of microbes to facilitate crop production, the emergence of invasive microbial pathogens, and the fate of intercontinental trade agreements. These diverse issues suggest an expanding interdisciplinary role for invasion science in biosecurity and ecosystem management, burgeoning applications of biotechnology in alien species detection and control, and new frontiers in the microbial ecology of invasions.","container-title":"Trends in Ecology &amp; Evolution","DOI":"10.1016/j.tree.2017.03.007","ISSN":"0169-5347","issue":"6","journalAbbreviation":"Trends in Ecology &amp; Evolution","language":"en","page":"464-474","source":"ScienceDirect","title":"Invasion Science: A Horizon Scan of Emerging Challenges and Opportunities","title-short":"Invasion Science","URL":"http://www.sciencedirect.com/science/article/pii/S0169534717300794","volume":"32","author":[{"family":"Ricciardi","given":"Anthony"},{"family":"Blackburn","given":"Tim M."},{"family":"Carlton","given":"James T."},{"family":"Dick","given":"Jaimie T. A."},{"family":"Hulme","given":"Philip E."},{"family":"Iacarella","given":"Josephine C."},{"family":"Jeschke","given":"Jonathan M."},{"family":"Liebhold","given":"Andrew M."},{"family":"Lockwood","given":"Julie L."},{"family":"MacIsaac","given":"Hugh J."},{"family":"Pyšek","given":"Petr"},{"family":"Richardson","given":"David M."},{"family":"Ruiz","given":"Gregory M."},{"family":"Simberloff","given":"Daniel"},{"family":"Sutherland","given":"William J."},{"family":"Wardle","given":"David A."},{"family":"Aldridge","given":"David C."}],"accessed":{"date-parts":[["2019",10,21]]},"issued":{"date-parts":[["2017",6,1]]}},"label":"page"}],"schema":"https://github.com/citation-style-language/schema/raw/master/csl-citation.json"} </w:instrText>
      </w:r>
      <w:r w:rsidR="00FE4E5F" w:rsidRPr="00DA249F">
        <w:rPr>
          <w:lang w:val="en-GB"/>
        </w:rPr>
        <w:fldChar w:fldCharType="separate"/>
      </w:r>
      <w:r w:rsidR="00144D96" w:rsidRPr="00144D96">
        <w:t>(M. A. Davis et al., 2000; Ricciardi et al., 2017)</w:t>
      </w:r>
      <w:r w:rsidR="00FE4E5F" w:rsidRPr="00DA249F">
        <w:rPr>
          <w:lang w:val="en-GB"/>
        </w:rPr>
        <w:fldChar w:fldCharType="end"/>
      </w:r>
      <w:r w:rsidR="00FE4E5F" w:rsidRPr="00DA249F">
        <w:rPr>
          <w:lang w:val="en-GB"/>
        </w:rPr>
        <w:t xml:space="preserve">. </w:t>
      </w:r>
    </w:p>
    <w:p w14:paraId="189E2775" w14:textId="7211CCE7" w:rsidR="00831041" w:rsidRPr="00DA249F" w:rsidRDefault="0D30932C" w:rsidP="0090109B">
      <w:pPr>
        <w:rPr>
          <w:lang w:val="en-GB"/>
        </w:rPr>
      </w:pPr>
      <w:r w:rsidRPr="5575EBFC">
        <w:rPr>
          <w:lang w:val="en-GB"/>
        </w:rPr>
        <w:t xml:space="preserve">Damming and channelization of freshwaters (streams and rivers) and their associated reservoirs can </w:t>
      </w:r>
      <w:r w:rsidR="66A181D3" w:rsidRPr="5575EBFC">
        <w:rPr>
          <w:lang w:val="en-GB"/>
        </w:rPr>
        <w:t>facilitate</w:t>
      </w:r>
      <w:r w:rsidRPr="5575EBFC">
        <w:rPr>
          <w:lang w:val="en-GB"/>
        </w:rPr>
        <w:t xml:space="preserve"> </w:t>
      </w:r>
      <w:r w:rsidR="66A181D3" w:rsidRPr="5575EBFC">
        <w:rPr>
          <w:lang w:val="en-GB"/>
        </w:rPr>
        <w:t>biological invasions through several m</w:t>
      </w:r>
      <w:r w:rsidR="7A61D1C1" w:rsidRPr="5575EBFC">
        <w:rPr>
          <w:lang w:val="en-GB"/>
        </w:rPr>
        <w:t>e</w:t>
      </w:r>
      <w:r w:rsidR="66A181D3" w:rsidRPr="5575EBFC">
        <w:rPr>
          <w:lang w:val="en-GB"/>
        </w:rPr>
        <w:t>chanisms.</w:t>
      </w:r>
      <w:r w:rsidR="373455DA" w:rsidRPr="5575EBFC">
        <w:rPr>
          <w:lang w:val="en-GB"/>
        </w:rPr>
        <w:t xml:space="preserve"> </w:t>
      </w:r>
      <w:r w:rsidR="66A181D3" w:rsidRPr="5575EBFC">
        <w:rPr>
          <w:lang w:val="en-GB"/>
        </w:rPr>
        <w:t>First, h</w:t>
      </w:r>
      <w:r w:rsidR="74412632" w:rsidRPr="5575EBFC">
        <w:rPr>
          <w:lang w:val="en-GB"/>
        </w:rPr>
        <w:t>ydrological</w:t>
      </w:r>
      <w:r w:rsidRPr="5575EBFC">
        <w:rPr>
          <w:lang w:val="en-GB"/>
        </w:rPr>
        <w:t xml:space="preserve"> alterations through dam constructions may act as reservoirs for invasive alien species </w:t>
      </w:r>
      <w:r w:rsidR="10514BBB" w:rsidRPr="5575EBFC">
        <w:rPr>
          <w:lang w:val="en-GB"/>
        </w:rPr>
        <w:t>and</w:t>
      </w:r>
      <w:r w:rsidRPr="5575EBFC">
        <w:rPr>
          <w:lang w:val="en-GB"/>
        </w:rPr>
        <w:t xml:space="preserve"> create new habitat</w:t>
      </w:r>
      <w:r w:rsidR="3828C430" w:rsidRPr="5575EBFC">
        <w:rPr>
          <w:lang w:val="en-GB"/>
        </w:rPr>
        <w:t>s which may be</w:t>
      </w:r>
      <w:r w:rsidRPr="5575EBFC">
        <w:rPr>
          <w:lang w:val="en-GB"/>
        </w:rPr>
        <w:t xml:space="preserve"> coloniz</w:t>
      </w:r>
      <w:r w:rsidR="3828C430" w:rsidRPr="5575EBFC">
        <w:rPr>
          <w:lang w:val="en-GB"/>
        </w:rPr>
        <w:t>ed by</w:t>
      </w:r>
      <w:r w:rsidRPr="5575EBFC">
        <w:rPr>
          <w:lang w:val="en-GB"/>
        </w:rPr>
        <w:t xml:space="preserve"> invasive alien species </w:t>
      </w:r>
      <w:r w:rsidR="00125028" w:rsidRPr="5575EBFC">
        <w:rPr>
          <w:lang w:val="en-GB"/>
        </w:rPr>
        <w:fldChar w:fldCharType="begin"/>
      </w:r>
      <w:r w:rsidR="00331A79">
        <w:rPr>
          <w:lang w:val="en-GB"/>
        </w:rPr>
        <w:instrText xml:space="preserve"> ADDIN ZOTERO_ITEM CSL_CITATION {"citationID":"eK78MuqZ","properties":{"formattedCitation":"(Richardson, Holmes, et al., 2007)","plainCitation":"(Richardson, Holmes, et al., 2007)","noteIndex":0},"citationItems":[{"id":30198,"uris":["http://zotero.org/groups/2352922/items/KMX87PEK"],"itemData":{"id":30198,"type":"article-journal","container-title":"Diversity and Distributions","DOI":"10.1111/j.1366-9516.2006.00314.x","ISSN":"13669516","issue":"1","language":"en","page":"126-139","source":"DOI.org (Crossref)","title":"Riparian vegetation: degradation, alien plant invasions, and restoration prospects","title-short":"Riparian vegetation","URL":"https://onlinelibrary.wiley.com/doi/10.1111/j.1366-9516.2006.00314.x","volume":"13","author":[{"family":"Richardson","given":"David M."},{"family":"Holmes","given":"Patricia M."},{"family":"Esler","given":"Karen J."},{"family":"Galatowitsch","given":"Susan M."},{"family":"Stromberg","given":"Juliet C."},{"family":"Kirkman","given":"Steven P."},{"family":"Pyšek","given":"Petr"},{"family":"Hobbs","given":"Richard J."}],"accessed":{"date-parts":[["2021",8,22]]},"issued":{"date-parts":[["2007",1,10]]}},"label":"page"}],"schema":"https://github.com/citation-style-language/schema/raw/master/csl-citation.json"} </w:instrText>
      </w:r>
      <w:r w:rsidR="00125028" w:rsidRPr="5575EBFC">
        <w:rPr>
          <w:lang w:val="en-GB"/>
        </w:rPr>
        <w:fldChar w:fldCharType="separate"/>
      </w:r>
      <w:r w:rsidR="6B5F9B9E">
        <w:t>(Richardson, Holmes, et al., 2007)</w:t>
      </w:r>
      <w:r w:rsidR="00125028" w:rsidRPr="5575EBFC">
        <w:rPr>
          <w:lang w:val="en-GB"/>
        </w:rPr>
        <w:fldChar w:fldCharType="end"/>
      </w:r>
      <w:r w:rsidRPr="5575EBFC">
        <w:rPr>
          <w:lang w:val="en-GB"/>
        </w:rPr>
        <w:t>.</w:t>
      </w:r>
      <w:r w:rsidR="6FCC7B54" w:rsidRPr="5575EBFC">
        <w:rPr>
          <w:lang w:val="en-GB"/>
        </w:rPr>
        <w:t xml:space="preserve"> </w:t>
      </w:r>
      <w:r w:rsidR="3ECE3FF7" w:rsidRPr="5575EBFC">
        <w:rPr>
          <w:lang w:val="en-GB"/>
        </w:rPr>
        <w:t>Second, w</w:t>
      </w:r>
      <w:r w:rsidR="3D04D128" w:rsidRPr="5575EBFC">
        <w:rPr>
          <w:lang w:val="en-GB"/>
        </w:rPr>
        <w:t xml:space="preserve">ater diversions create new hydrological connections that can facilitate the transfer of a broad suite of aquatic </w:t>
      </w:r>
      <w:r w:rsidR="27C1D99F" w:rsidRPr="5575EBFC">
        <w:rPr>
          <w:lang w:val="en-GB"/>
        </w:rPr>
        <w:t xml:space="preserve">species </w:t>
      </w:r>
      <w:r w:rsidR="3D04D128" w:rsidRPr="5575EBFC">
        <w:rPr>
          <w:lang w:val="en-GB"/>
        </w:rPr>
        <w:t>(including invasive</w:t>
      </w:r>
      <w:r w:rsidR="5BA21A04" w:rsidRPr="5575EBFC">
        <w:rPr>
          <w:lang w:val="en-GB"/>
        </w:rPr>
        <w:t xml:space="preserve"> alien</w:t>
      </w:r>
      <w:r w:rsidR="27C1D99F" w:rsidRPr="5575EBFC">
        <w:rPr>
          <w:lang w:val="en-GB"/>
        </w:rPr>
        <w:t xml:space="preserve"> species</w:t>
      </w:r>
      <w:r w:rsidR="3D04D128" w:rsidRPr="5575EBFC">
        <w:rPr>
          <w:lang w:val="en-GB"/>
        </w:rPr>
        <w:t>) into new regions.</w:t>
      </w:r>
      <w:r w:rsidR="36A8B473" w:rsidRPr="5575EBFC">
        <w:rPr>
          <w:lang w:val="en-GB"/>
        </w:rPr>
        <w:t xml:space="preserve"> </w:t>
      </w:r>
      <w:r w:rsidR="6177F821" w:rsidRPr="5575EBFC">
        <w:rPr>
          <w:lang w:val="en-GB"/>
        </w:rPr>
        <w:t xml:space="preserve">For example, the Chicago Area Waterway </w:t>
      </w:r>
      <w:r w:rsidR="5BA21A04" w:rsidRPr="5575EBFC">
        <w:rPr>
          <w:lang w:val="en-GB"/>
        </w:rPr>
        <w:t xml:space="preserve">was </w:t>
      </w:r>
      <w:r w:rsidR="6177F821" w:rsidRPr="5575EBFC">
        <w:rPr>
          <w:lang w:val="en-GB"/>
        </w:rPr>
        <w:t xml:space="preserve">constructed more than 100 years ago </w:t>
      </w:r>
      <w:r w:rsidR="5BA21A04" w:rsidRPr="5575EBFC">
        <w:rPr>
          <w:lang w:val="en-GB"/>
        </w:rPr>
        <w:t xml:space="preserve">to </w:t>
      </w:r>
      <w:r w:rsidR="5134B437" w:rsidRPr="5575EBFC">
        <w:rPr>
          <w:lang w:val="en-GB"/>
        </w:rPr>
        <w:t>connect</w:t>
      </w:r>
      <w:r w:rsidR="6177F821" w:rsidRPr="5575EBFC">
        <w:rPr>
          <w:lang w:val="en-GB"/>
        </w:rPr>
        <w:t xml:space="preserve"> Lake Michigan and the Mississippi River, and has permitted invasive</w:t>
      </w:r>
      <w:r w:rsidR="64DE4BFA" w:rsidRPr="5575EBFC">
        <w:rPr>
          <w:lang w:val="en-GB"/>
        </w:rPr>
        <w:t xml:space="preserve"> alien</w:t>
      </w:r>
      <w:r w:rsidR="6177F821" w:rsidRPr="5575EBFC">
        <w:rPr>
          <w:lang w:val="en-GB"/>
        </w:rPr>
        <w:t xml:space="preserve"> species to move south from the Great Lakes, and may allow invasive</w:t>
      </w:r>
      <w:r w:rsidR="3828C430" w:rsidRPr="5575EBFC">
        <w:rPr>
          <w:lang w:val="en-GB"/>
        </w:rPr>
        <w:t xml:space="preserve"> alien</w:t>
      </w:r>
      <w:r w:rsidR="6177F821" w:rsidRPr="5575EBFC">
        <w:rPr>
          <w:lang w:val="en-GB"/>
        </w:rPr>
        <w:t xml:space="preserve"> </w:t>
      </w:r>
      <w:r w:rsidR="6177F821" w:rsidRPr="5575EBFC">
        <w:rPr>
          <w:i/>
          <w:iCs/>
          <w:lang w:val="en-GB"/>
        </w:rPr>
        <w:t xml:space="preserve">Hypophthalmichthys molitrix </w:t>
      </w:r>
      <w:r w:rsidR="6177F821" w:rsidRPr="5575EBFC">
        <w:rPr>
          <w:lang w:val="en-GB"/>
        </w:rPr>
        <w:t xml:space="preserve">(silver carp) and </w:t>
      </w:r>
      <w:r w:rsidR="6177F821" w:rsidRPr="5575EBFC">
        <w:rPr>
          <w:i/>
          <w:iCs/>
          <w:lang w:val="en-GB"/>
        </w:rPr>
        <w:t>Hypophthalmichthys nobilis</w:t>
      </w:r>
      <w:r w:rsidR="6177F821" w:rsidRPr="5575EBFC">
        <w:rPr>
          <w:lang w:val="en-GB"/>
        </w:rPr>
        <w:t xml:space="preserve"> (bighead carp) to spread in the opposite direction (e.g.</w:t>
      </w:r>
      <w:r w:rsidR="2D1380E8" w:rsidRPr="5575EBFC">
        <w:rPr>
          <w:lang w:val="en-GB"/>
        </w:rPr>
        <w:t>,</w:t>
      </w:r>
      <w:r w:rsidR="49DB60DE" w:rsidRPr="5575EBFC">
        <w:rPr>
          <w:lang w:val="en-GB"/>
        </w:rPr>
        <w:t xml:space="preserve"> </w:t>
      </w:r>
      <w:r w:rsidR="00125028" w:rsidRPr="5575EBFC">
        <w:rPr>
          <w:lang w:val="en-GB"/>
        </w:rPr>
        <w:fldChar w:fldCharType="begin"/>
      </w:r>
      <w:r w:rsidR="00331A79">
        <w:rPr>
          <w:lang w:val="en-GB"/>
        </w:rPr>
        <w:instrText xml:space="preserve"> ADDIN ZOTERO_ITEM CSL_CITATION {"citationID":"bYSRo4F0","properties":{"formattedCitation":"(Jerde et al., 2013)","plainCitation":"(Jerde et al., 2013)","dontUpdate":true,"noteIndex":0},"citationItems":[{"id":52688,"uris":["http://zotero.org/groups/2352922/items/6SYSQBLH"],"itemData":{"id":52688,"type":"article-journal","container-title":"Canadian Journal of Fisheries and Aquatic Sciences","DOI":"10.1139/cjfas-2012-0478","ISSN":"0706-652X","issue":"4","journalAbbreviation":"Can. J. Fish. Aquat. Sci.","note":"publisher: NRC Research Press","page":"522-526","source":"cdnsciencepub.com (Atypon)","title":"Detection of Asian carp DNA as part of a Great Lakes basin-wide surveillance program","URL":"https://cdnsciencepub.com/doi/full/10.1139/cjfas-2012-0478","volume":"70","author":[{"family":"Jerde","given":"Christopher L."},{"family":"Chadderton","given":"W. Lindsay"},{"family":"Mahon","given":"Andrew R."},{"family":"Renshaw","given":"Mark A."},{"family":"Corush","given":"Joel"},{"family":"Budny","given":"Michelle L."},{"family":"Mysorekar","given":"Sagar"},{"family":"Lodge","given":"David M."}],"accessed":{"date-parts":[["2022",7,28]]},"issued":{"date-parts":[["2013",4]]}},"label":"page"}],"schema":"https://github.com/citation-style-language/schema/raw/master/csl-citation.json"} </w:instrText>
      </w:r>
      <w:r w:rsidR="00125028" w:rsidRPr="5575EBFC">
        <w:rPr>
          <w:lang w:val="en-GB"/>
        </w:rPr>
        <w:fldChar w:fldCharType="separate"/>
      </w:r>
      <w:r w:rsidR="508AC9BE" w:rsidRPr="5575EBFC">
        <w:rPr>
          <w:lang w:val="en-GB"/>
        </w:rPr>
        <w:t>Jerde et al., 2013)</w:t>
      </w:r>
      <w:r w:rsidR="00125028" w:rsidRPr="5575EBFC">
        <w:rPr>
          <w:lang w:val="en-GB"/>
        </w:rPr>
        <w:fldChar w:fldCharType="end"/>
      </w:r>
      <w:r w:rsidR="6177F821" w:rsidRPr="5575EBFC">
        <w:rPr>
          <w:lang w:val="en-GB"/>
        </w:rPr>
        <w:t xml:space="preserve">. Similarly, the water supply to both Los Angeles and San Diego from the lower Colorado River below Lake Mead </w:t>
      </w:r>
      <w:r w:rsidR="015153F1" w:rsidRPr="5575EBFC">
        <w:rPr>
          <w:lang w:val="en-GB"/>
        </w:rPr>
        <w:t xml:space="preserve">has been </w:t>
      </w:r>
      <w:r w:rsidR="6177F821" w:rsidRPr="5575EBFC">
        <w:rPr>
          <w:lang w:val="en-GB"/>
        </w:rPr>
        <w:t>colonized by</w:t>
      </w:r>
      <w:r w:rsidR="1F54A4DA" w:rsidRPr="5575EBFC">
        <w:rPr>
          <w:lang w:val="en-GB"/>
        </w:rPr>
        <w:t xml:space="preserve"> </w:t>
      </w:r>
      <w:r w:rsidR="015153F1" w:rsidRPr="5575EBFC">
        <w:rPr>
          <w:lang w:val="en-GB"/>
        </w:rPr>
        <w:t xml:space="preserve">the </w:t>
      </w:r>
      <w:r w:rsidR="1F54A4DA" w:rsidRPr="5575EBFC">
        <w:rPr>
          <w:lang w:val="en-GB"/>
        </w:rPr>
        <w:t>biofouling</w:t>
      </w:r>
      <w:r w:rsidR="6177F821" w:rsidRPr="5575EBFC">
        <w:rPr>
          <w:lang w:val="en-GB"/>
        </w:rPr>
        <w:t xml:space="preserve"> </w:t>
      </w:r>
      <w:r w:rsidR="6177F821" w:rsidRPr="5575EBFC">
        <w:rPr>
          <w:i/>
          <w:iCs/>
          <w:lang w:val="en-GB"/>
        </w:rPr>
        <w:t xml:space="preserve">Dreissena </w:t>
      </w:r>
      <w:r w:rsidR="74A66DB7" w:rsidRPr="5575EBFC">
        <w:rPr>
          <w:i/>
          <w:iCs/>
          <w:lang w:val="en-GB"/>
        </w:rPr>
        <w:t xml:space="preserve">rostriformis </w:t>
      </w:r>
      <w:r w:rsidR="6177F821" w:rsidRPr="5575EBFC">
        <w:rPr>
          <w:i/>
          <w:iCs/>
          <w:lang w:val="en-GB"/>
        </w:rPr>
        <w:t xml:space="preserve">bugensis </w:t>
      </w:r>
      <w:r w:rsidR="6177F821" w:rsidRPr="5575EBFC">
        <w:rPr>
          <w:lang w:val="en-GB"/>
        </w:rPr>
        <w:t>(quagga mussel</w:t>
      </w:r>
      <w:r w:rsidR="028055EE" w:rsidRPr="5575EBFC">
        <w:rPr>
          <w:lang w:val="en-GB"/>
        </w:rPr>
        <w:t>;</w:t>
      </w:r>
      <w:r w:rsidR="6177F821" w:rsidRPr="5575EBFC">
        <w:rPr>
          <w:lang w:val="en-GB"/>
        </w:rPr>
        <w:t xml:space="preserve"> e.g.</w:t>
      </w:r>
      <w:r w:rsidR="7628E4DC" w:rsidRPr="5575EBFC">
        <w:rPr>
          <w:lang w:val="en-GB"/>
        </w:rPr>
        <w:t>,</w:t>
      </w:r>
      <w:r w:rsidR="6177F821" w:rsidRPr="5575EBFC">
        <w:rPr>
          <w:lang w:val="en-GB"/>
        </w:rPr>
        <w:t xml:space="preserve"> </w:t>
      </w:r>
      <w:r w:rsidR="00125028" w:rsidRPr="5575EBFC">
        <w:rPr>
          <w:lang w:val="en-GB"/>
        </w:rPr>
        <w:fldChar w:fldCharType="begin"/>
      </w:r>
      <w:r w:rsidR="00331A79">
        <w:rPr>
          <w:lang w:val="en-GB"/>
        </w:rPr>
        <w:instrText xml:space="preserve"> ADDIN ZOTERO_ITEM CSL_CITATION {"citationID":"i7rzmfAR","properties":{"formattedCitation":"(Hickey, 2010)","plainCitation":"(Hickey, 2010)","dontUpdate":true,"noteIndex":0},"citationItems":[{"id":52687,"uris":["http://zotero.org/groups/2352922/items/MAF4EZPK"],"itemData":{"id":52687,"type":"article-journal","abstract":"Parks are cornerstones of conservation; and non-native invasive species drive extensive changes to biological diversity in parks. Knowing this, national park staff at Lake Mead National Recreation Area in the southwestern United States had a program in place for early detection of the non-native, invasive quagga mussel (Dreissena rostriformis bugensis). Upon finding the mussel in January 2007, managers moved quickly to access funding and the best available science to implement a response. Managers considered four options--doing nothing, closing the park, restricting movement on the lakes, and educating and enforcing park visitors--and decided to focus on education and enforcing existing laws. Nonetheless, quagga spread throughout the park and soon began to appear throughout the western United States. I examined why efforts to control the expansion failed and determined the general lessons to be learned from this case. Concentrating human visitation on the lakes through land-use zoning opened a pathway for invasion, reduced management options, and led to the rapid spread of quagga. To reconcile competing mandates to protect nature and provide recreation, zoning in parks has become a common practice worldwide. It reduces stress on some areas of a park by restricting and thus concentrating human activity in particular areas. Concentrating the human activity in one area does three things: cements pathways that repeatedly import and export vectors of non-native invasive species; creates the disturbed area necessary to enable non-native invasive species to gain a foothold; and, establishes a source of invasions that, without appropriate controls, can quickly spread to a park's wilderness areas.","container-title":"Conservation Biology: The Journal of the Society for Conservation Biology","DOI":"10.1111/j.1523-1739.2010.01490.x","ISSN":"1523-1739","issue":"4","journalAbbreviation":"Conserv Biol","language":"eng","note":"PMID: 20337691","page":"931-937","source":"PubMed","title":"The quagga mussel crisis at Lake Mead National Recreation Area, Nevada (U.S.A.)","volume":"24","author":[{"family":"Hickey","given":"Valerie"}],"issued":{"date-parts":[["2010",8]]}},"label":"page"}],"schema":"https://github.com/citation-style-language/schema/raw/master/csl-citation.json"} </w:instrText>
      </w:r>
      <w:r w:rsidR="00125028" w:rsidRPr="5575EBFC">
        <w:rPr>
          <w:lang w:val="en-GB"/>
        </w:rPr>
        <w:fldChar w:fldCharType="separate"/>
      </w:r>
      <w:r w:rsidR="508AC9BE" w:rsidRPr="5575EBFC">
        <w:rPr>
          <w:lang w:val="en-GB"/>
        </w:rPr>
        <w:t>Hickey, 2010)</w:t>
      </w:r>
      <w:r w:rsidR="00125028" w:rsidRPr="5575EBFC">
        <w:rPr>
          <w:lang w:val="en-GB"/>
        </w:rPr>
        <w:fldChar w:fldCharType="end"/>
      </w:r>
      <w:r w:rsidR="6177F821" w:rsidRPr="5575EBFC">
        <w:rPr>
          <w:lang w:val="en-GB"/>
        </w:rPr>
        <w:t xml:space="preserve">. </w:t>
      </w:r>
      <w:r w:rsidR="5BA21A04" w:rsidRPr="5575EBFC">
        <w:rPr>
          <w:lang w:val="en-GB"/>
        </w:rPr>
        <w:t>Further</w:t>
      </w:r>
      <w:r w:rsidR="3D04D128" w:rsidRPr="5575EBFC">
        <w:rPr>
          <w:lang w:val="en-GB"/>
        </w:rPr>
        <w:t xml:space="preserve">, the South-to-North Water Transfer Project, which diverts water from the Yangtze River to northern China, </w:t>
      </w:r>
      <w:r w:rsidR="70B98395" w:rsidRPr="5575EBFC">
        <w:rPr>
          <w:lang w:val="en-GB"/>
        </w:rPr>
        <w:t>is predicted to</w:t>
      </w:r>
      <w:r w:rsidR="3D04D128" w:rsidRPr="5575EBFC">
        <w:rPr>
          <w:lang w:val="en-GB"/>
        </w:rPr>
        <w:t xml:space="preserve"> promote the </w:t>
      </w:r>
      <w:r w:rsidR="70B98395" w:rsidRPr="5575EBFC">
        <w:rPr>
          <w:lang w:val="en-GB"/>
        </w:rPr>
        <w:t>further</w:t>
      </w:r>
      <w:r w:rsidR="3D04D128" w:rsidRPr="5575EBFC">
        <w:rPr>
          <w:lang w:val="en-GB"/>
        </w:rPr>
        <w:t xml:space="preserve"> spread of an array of </w:t>
      </w:r>
      <w:r w:rsidR="3828C430" w:rsidRPr="5575EBFC">
        <w:rPr>
          <w:lang w:val="en-GB"/>
        </w:rPr>
        <w:t xml:space="preserve">aquatic </w:t>
      </w:r>
      <w:r w:rsidR="3D04D128" w:rsidRPr="5575EBFC">
        <w:rPr>
          <w:lang w:val="en-GB"/>
        </w:rPr>
        <w:t xml:space="preserve">invasive </w:t>
      </w:r>
      <w:r w:rsidR="3828C430" w:rsidRPr="5575EBFC">
        <w:rPr>
          <w:lang w:val="en-GB"/>
        </w:rPr>
        <w:t xml:space="preserve">alien </w:t>
      </w:r>
      <w:r w:rsidR="3D04D128" w:rsidRPr="5575EBFC">
        <w:rPr>
          <w:lang w:val="en-GB"/>
        </w:rPr>
        <w:t>plants</w:t>
      </w:r>
      <w:r w:rsidR="70B98395" w:rsidRPr="5575EBFC">
        <w:rPr>
          <w:lang w:val="en-GB"/>
        </w:rPr>
        <w:t>,</w:t>
      </w:r>
      <w:r w:rsidR="3D04D128" w:rsidRPr="5575EBFC">
        <w:rPr>
          <w:lang w:val="en-GB"/>
        </w:rPr>
        <w:t xml:space="preserve"> including </w:t>
      </w:r>
      <w:r w:rsidR="76E4F20C" w:rsidRPr="5575EBFC">
        <w:rPr>
          <w:i/>
          <w:iCs/>
          <w:lang w:val="en-GB"/>
        </w:rPr>
        <w:t>Alternanthera philoxeroides</w:t>
      </w:r>
      <w:r w:rsidR="76E4F20C" w:rsidRPr="5575EBFC">
        <w:rPr>
          <w:lang w:val="en-GB"/>
        </w:rPr>
        <w:t xml:space="preserve"> (</w:t>
      </w:r>
      <w:r w:rsidR="3D04D128" w:rsidRPr="5575EBFC">
        <w:rPr>
          <w:lang w:val="en-GB"/>
        </w:rPr>
        <w:t xml:space="preserve">alligator weed), </w:t>
      </w:r>
      <w:r w:rsidR="5FF27C93" w:rsidRPr="5575EBFC">
        <w:rPr>
          <w:i/>
          <w:iCs/>
          <w:lang w:val="en-GB"/>
        </w:rPr>
        <w:t>Pontederia</w:t>
      </w:r>
      <w:r w:rsidR="6E992D3A" w:rsidRPr="5575EBFC">
        <w:rPr>
          <w:i/>
          <w:iCs/>
          <w:lang w:val="en-GB"/>
        </w:rPr>
        <w:t xml:space="preserve"> </w:t>
      </w:r>
      <w:r w:rsidR="6E992D3A" w:rsidRPr="5575EBFC">
        <w:rPr>
          <w:rStyle w:val="eop"/>
          <w:i/>
          <w:iCs/>
          <w:lang w:val="en-GB"/>
        </w:rPr>
        <w:t>crassipes</w:t>
      </w:r>
      <w:r w:rsidR="23BF2FFE" w:rsidRPr="5575EBFC">
        <w:rPr>
          <w:i/>
          <w:iCs/>
          <w:lang w:val="en-GB"/>
        </w:rPr>
        <w:t xml:space="preserve"> </w:t>
      </w:r>
      <w:r w:rsidR="21A37414" w:rsidRPr="5575EBFC">
        <w:rPr>
          <w:lang w:val="en-GB"/>
        </w:rPr>
        <w:t>(</w:t>
      </w:r>
      <w:r w:rsidR="3D04D128" w:rsidRPr="5575EBFC">
        <w:rPr>
          <w:lang w:val="en-GB"/>
        </w:rPr>
        <w:t>water hyacinth</w:t>
      </w:r>
      <w:r w:rsidR="21A37414" w:rsidRPr="5575EBFC">
        <w:rPr>
          <w:lang w:val="en-GB"/>
        </w:rPr>
        <w:t>)</w:t>
      </w:r>
      <w:r w:rsidR="00774819">
        <w:rPr>
          <w:lang w:val="en-GB"/>
        </w:rPr>
        <w:t xml:space="preserve"> and</w:t>
      </w:r>
      <w:r w:rsidR="3D04D128" w:rsidRPr="5575EBFC">
        <w:rPr>
          <w:lang w:val="en-GB"/>
        </w:rPr>
        <w:t xml:space="preserve"> </w:t>
      </w:r>
      <w:r w:rsidR="76E4F20C" w:rsidRPr="5575EBFC">
        <w:rPr>
          <w:i/>
          <w:iCs/>
          <w:lang w:val="en-GB"/>
        </w:rPr>
        <w:t>Pistia stratiotes</w:t>
      </w:r>
      <w:r w:rsidR="76E4F20C" w:rsidRPr="5575EBFC">
        <w:rPr>
          <w:lang w:val="en-GB"/>
        </w:rPr>
        <w:t xml:space="preserve"> (</w:t>
      </w:r>
      <w:r w:rsidR="3D04D128" w:rsidRPr="5575EBFC">
        <w:rPr>
          <w:lang w:val="en-GB"/>
        </w:rPr>
        <w:t xml:space="preserve">water lettuce) into northern waterbodies </w:t>
      </w:r>
      <w:r w:rsidR="00125028" w:rsidRPr="5575EBFC">
        <w:rPr>
          <w:lang w:val="en-GB"/>
        </w:rPr>
        <w:fldChar w:fldCharType="begin"/>
      </w:r>
      <w:r w:rsidR="00331A79">
        <w:rPr>
          <w:lang w:val="en-GB"/>
        </w:rPr>
        <w:instrText xml:space="preserve"> ADDIN ZOTERO_ITEM CSL_CITATION {"citationID":"sF1sNm1U","properties":{"formattedCitation":"(D. Liu et al., 2017)","plainCitation":"(D. Liu et al., 2017)","noteIndex":0},"citationItems":[{"id":16684,"uris":["http://zotero.org/groups/2352922/items/IMSKDLZI"],"itemData":{"id":16684,"type":"article-journal","abstract":"China’s South to North Water Diversion (SNWD) project connects portions of the Yangtze River in the south to the Yellow River system in the north, overcoming biogeographic barriers to water movement. The diversion will supply potable water to over 110 million people and provide multiple other socioeconomic benefits. However, an inadvertent negative impact of this connection includes creation of conduits for species invasions. Alligator weed (Alternanthera philoxeroides), water hyacinth (Eichhornia crassipes), and water lettuce (Pistia stratiotes) are the only aquatic plant species on China’s shortlists for special control. These species are mainly invasive in the Yangtze River basin. If these species are able to invade the SNWD and further spread via the SNWD, they have the potential to alter water supply, including water quantity and quality, as well as local ecology and agriculture, threatening the goals of the diversion. Understanding the full potential for these species to invade northern China is critical to early management decisions to avoid costly negative impacts. We used Maxent modeling to evaluate the probability that each of these species might become invasive in the receiving water regions. The models predict that all three species will be able to expand their ranges northward, with alligator weed and water hyacinth having the greatest potential for range expansion. These results suggest the need for prevention, monitoring, and management strategies for these species to reduce the risk and costs of impacts.","container-title":"Environmental Science &amp; Technology","DOI":"10.1021/acs.est.6b05577","ISSN":"0013-936X","issue":"3","journalAbbreviation":"Environ. Sci. Technol.","page":"1450-1457","source":"ACS Publications","title":"Predicting Plant Invasions Following China’s Water Diversion Project","URL":"https://doi.org/10.1021/acs.est.6b05577","volume":"51","author":[{"family":"Liu","given":"Dasheng"},{"family":"Wang","given":"Rui"},{"family":"Gordon","given":"Doria R."},{"family":"Sun","given":"Xihua"},{"family":"Chen","given":"Lu"},{"family":"Wang","given":"Yanwen"}],"accessed":{"date-parts":[["2019",12,3]]},"issued":{"date-parts":[["2017",2,7]]}},"label":"page"}],"schema":"https://github.com/citation-style-language/schema/raw/master/csl-citation.json"} </w:instrText>
      </w:r>
      <w:r w:rsidR="00125028" w:rsidRPr="5575EBFC">
        <w:rPr>
          <w:lang w:val="en-GB"/>
        </w:rPr>
        <w:fldChar w:fldCharType="separate"/>
      </w:r>
      <w:r w:rsidR="6B5F9B9E">
        <w:t>(D. Liu et al., 2017)</w:t>
      </w:r>
      <w:r w:rsidR="00125028" w:rsidRPr="5575EBFC">
        <w:rPr>
          <w:lang w:val="en-GB"/>
        </w:rPr>
        <w:fldChar w:fldCharType="end"/>
      </w:r>
      <w:r w:rsidR="3D04D128" w:rsidRPr="5575EBFC">
        <w:rPr>
          <w:lang w:val="en-GB"/>
        </w:rPr>
        <w:t xml:space="preserve">. </w:t>
      </w:r>
    </w:p>
    <w:p w14:paraId="065C69FB" w14:textId="77777777" w:rsidR="00125028" w:rsidRPr="00B671E2" w:rsidRDefault="00D97935" w:rsidP="0090109B">
      <w:pPr>
        <w:rPr>
          <w:lang w:val="en-GB"/>
        </w:rPr>
      </w:pPr>
      <w:r w:rsidRPr="00DA249F">
        <w:rPr>
          <w:lang w:val="en-GB"/>
        </w:rPr>
        <w:t>Hydrological resource use that causes p</w:t>
      </w:r>
      <w:r w:rsidR="008C1BF7" w:rsidRPr="00DA249F">
        <w:rPr>
          <w:lang w:val="en-GB"/>
        </w:rPr>
        <w:t xml:space="preserve">eriodic rise and fall of (surface and ground) water levels </w:t>
      </w:r>
      <w:r w:rsidR="00356452" w:rsidRPr="00DA249F">
        <w:rPr>
          <w:lang w:val="en-GB"/>
        </w:rPr>
        <w:t xml:space="preserve">can </w:t>
      </w:r>
      <w:r w:rsidR="008C1BF7" w:rsidRPr="00DA249F">
        <w:rPr>
          <w:lang w:val="en-GB"/>
        </w:rPr>
        <w:t xml:space="preserve">make space and resources available for </w:t>
      </w:r>
      <w:r w:rsidR="00B33723" w:rsidRPr="00DA249F">
        <w:rPr>
          <w:lang w:val="en-GB"/>
        </w:rPr>
        <w:t xml:space="preserve">invasive alien species </w:t>
      </w:r>
      <w:r w:rsidR="008C1BF7" w:rsidRPr="00DA249F">
        <w:rPr>
          <w:lang w:val="en-GB"/>
        </w:rPr>
        <w:t xml:space="preserve">to establish and spread in aquatic and adjacent terrestrial habitats. An example is </w:t>
      </w:r>
      <w:r w:rsidR="0021351F">
        <w:rPr>
          <w:lang w:val="en-GB"/>
        </w:rPr>
        <w:t xml:space="preserve">the </w:t>
      </w:r>
      <w:r w:rsidR="008C1BF7" w:rsidRPr="00DA249F">
        <w:rPr>
          <w:lang w:val="en-GB"/>
        </w:rPr>
        <w:t>invasion</w:t>
      </w:r>
      <w:r w:rsidR="0021351F">
        <w:rPr>
          <w:lang w:val="en-GB"/>
        </w:rPr>
        <w:t>s</w:t>
      </w:r>
      <w:r w:rsidR="008C1BF7" w:rsidRPr="00DA249F">
        <w:rPr>
          <w:lang w:val="en-GB"/>
        </w:rPr>
        <w:t xml:space="preserve"> </w:t>
      </w:r>
      <w:r w:rsidR="0021351F">
        <w:rPr>
          <w:lang w:val="en-GB"/>
        </w:rPr>
        <w:t>of</w:t>
      </w:r>
      <w:r w:rsidR="008C1BF7" w:rsidRPr="00DA249F">
        <w:rPr>
          <w:lang w:val="en-GB"/>
        </w:rPr>
        <w:t xml:space="preserve"> African grasses</w:t>
      </w:r>
      <w:r w:rsidR="0057053D">
        <w:rPr>
          <w:lang w:val="en-GB"/>
        </w:rPr>
        <w:t xml:space="preserve">, </w:t>
      </w:r>
      <w:r w:rsidR="008C1BF7" w:rsidRPr="00DA249F">
        <w:rPr>
          <w:lang w:val="en-GB"/>
        </w:rPr>
        <w:t xml:space="preserve">including </w:t>
      </w:r>
      <w:r w:rsidR="008C1BF7" w:rsidRPr="00DA249F">
        <w:rPr>
          <w:i/>
          <w:iCs/>
          <w:lang w:val="en-GB"/>
        </w:rPr>
        <w:t>Melinis minutiflora</w:t>
      </w:r>
      <w:r w:rsidR="00CF487E" w:rsidRPr="00DA249F">
        <w:rPr>
          <w:lang w:val="en-GB"/>
        </w:rPr>
        <w:t xml:space="preserve"> </w:t>
      </w:r>
      <w:r w:rsidR="002E7B44" w:rsidRPr="00DA249F">
        <w:rPr>
          <w:lang w:val="en-GB"/>
        </w:rPr>
        <w:t>(</w:t>
      </w:r>
      <w:r w:rsidR="00CF487E" w:rsidRPr="00DA249F">
        <w:rPr>
          <w:lang w:val="en-GB"/>
        </w:rPr>
        <w:t>molasses grass</w:t>
      </w:r>
      <w:r w:rsidR="002E7B44" w:rsidRPr="00DA249F">
        <w:rPr>
          <w:lang w:val="en-GB"/>
        </w:rPr>
        <w:t>)</w:t>
      </w:r>
      <w:r w:rsidR="0057053D">
        <w:rPr>
          <w:lang w:val="en-GB"/>
        </w:rPr>
        <w:t>,</w:t>
      </w:r>
      <w:r w:rsidR="008C1BF7" w:rsidRPr="00DA249F">
        <w:rPr>
          <w:lang w:val="en-GB"/>
        </w:rPr>
        <w:t xml:space="preserve"> in waterlogged Neotropical savanna</w:t>
      </w:r>
      <w:r w:rsidR="00474D4E" w:rsidRPr="00DA249F">
        <w:rPr>
          <w:lang w:val="en-GB"/>
        </w:rPr>
        <w:t>h</w:t>
      </w:r>
      <w:r w:rsidR="008C1BF7" w:rsidRPr="00DA249F">
        <w:rPr>
          <w:lang w:val="en-GB"/>
        </w:rPr>
        <w:t xml:space="preserve">s which were driven by changes in the groundwater depth from hydrological disturbance </w:t>
      </w:r>
      <w:r w:rsidR="008C1BF7" w:rsidRPr="00DA249F">
        <w:rPr>
          <w:lang w:val="en-GB"/>
        </w:rPr>
        <w:fldChar w:fldCharType="begin"/>
      </w:r>
      <w:r w:rsidR="00331A79">
        <w:rPr>
          <w:lang w:val="en-GB"/>
        </w:rPr>
        <w:instrText xml:space="preserve"> ADDIN ZOTERO_ITEM CSL_CITATION {"citationID":"V2I0U9T4","properties":{"formattedCitation":"(Xavier et al., 2017)","plainCitation":"(Xavier et al., 2017)","noteIndex":0},"citationItems":[{"id":22184,"uris":["http://zotero.org/groups/2352922/items/E4XXFQ7Z"],"itemData":{"id":22184,"type":"article-journal","abstract":"Communities subject to stress, including those with low invasibility, may be dominated by exotic generalist species. African grasses are aggressive invasive species in Neotropical savannas, where their response to abiotic stress remains unknown. We assessed the role of waterlogging and canopy closure on the presence, abundance and reproductive tillering of African and native grasses in a Neotropical savanna in southeastern Brazil. We obtained abundance and reproductive tillering data of exotic (Melinis minutiflora, Melinis repens and Urochloa decumbens) and common native grasses in 20 sites. We also determined the groundwater depth, soil surface water potential and canopy cover at these sites. The grass species generally had a low frequency and performed poorly where soil remained waterlogged throughout the year, except for two native species. Most native species were exclusive to either well-drained savannas or better drained wet grasslands. However, two species (Loudetiopsis chrysothrix and Trachypogon spicatus) occurred in both vegetation types. Two exotic species (M. minutiflora and M. repens) were less common but demonstrated reasonable performance in wet grasslands, possibly due to their root system plasticity. Furthermore, U. decumbens had a lower occurrence, density and reproductive tillering at these sites, but was successful at sites where the groundwater level was slightly deeper. Although the favourable water regime in the savannas increases their invasibility in general, resistance to invasion by African grasses may be greater at microsites with high canopy closure, where these species showed lower performance and did not affect the abundance of co-occurring native grasses. In summary, the Brazilian savanna becomes more susceptible to the spread of African grasses when disturbances decrease canopy closure or lower rainfall associated with climate change reduces the average groundwater depth and consequently releases invasive species from soil waterlogging in grasslands.","container-title":"Austral Ecology","DOI":"10.1111/aec.12475","ISSN":"1442-9993","issue":"5","language":"en","license":"© 2016 Ecological Society of Australia","note":"_eprint: https://onlinelibrary.wiley.com/doi/pdf/10.1111/aec.12475","page":"562-576","source":"Wiley Online Library","title":"Stress responses of native and exotic grasses in a Neotropical savanna predict impacts of global change on invasion spread","URL":"https://onlinelibrary.wiley.com/doi/abs/10.</w:instrText>
      </w:r>
      <w:r w:rsidR="00331A79">
        <w:rPr>
          <w:rFonts w:hint="eastAsia"/>
          <w:lang w:val="en-GB"/>
        </w:rPr>
        <w:instrText>1111/aec.12475","volume":"42","author":[{"family":"Xavier","given":"Rafael de Oliveira"},{"family":"Leite","given":"Marcelo Boccia"},{"family":"Silva</w:instrText>
      </w:r>
      <w:r w:rsidR="00331A79">
        <w:rPr>
          <w:rFonts w:hint="eastAsia"/>
          <w:lang w:val="en-GB"/>
        </w:rPr>
        <w:instrText>‐</w:instrText>
      </w:r>
      <w:r w:rsidR="00331A79">
        <w:rPr>
          <w:rFonts w:hint="eastAsia"/>
          <w:lang w:val="en-GB"/>
        </w:rPr>
        <w:instrText>Matos","given":"Dalva Maria","dropping-particle":"da"}],"accessed":{"date-parts":[["2020",5,15]]},"issued</w:instrText>
      </w:r>
      <w:r w:rsidR="00331A79">
        <w:rPr>
          <w:lang w:val="en-GB"/>
        </w:rPr>
        <w:instrText xml:space="preserve">":{"date-parts":[["2017"]]}},"label":"page"}],"schema":"https://github.com/citation-style-language/schema/raw/master/csl-citation.json"} </w:instrText>
      </w:r>
      <w:r w:rsidR="008C1BF7" w:rsidRPr="00DA249F">
        <w:rPr>
          <w:lang w:val="en-GB"/>
        </w:rPr>
        <w:fldChar w:fldCharType="separate"/>
      </w:r>
      <w:r w:rsidR="00144D96" w:rsidRPr="00144D96">
        <w:t>(Xavier et al., 2017)</w:t>
      </w:r>
      <w:r w:rsidR="008C1BF7" w:rsidRPr="00DA249F">
        <w:rPr>
          <w:lang w:val="en-GB"/>
        </w:rPr>
        <w:fldChar w:fldCharType="end"/>
      </w:r>
      <w:r w:rsidR="008C1BF7" w:rsidRPr="00DA249F">
        <w:rPr>
          <w:lang w:val="en-GB"/>
        </w:rPr>
        <w:t xml:space="preserve">. Once </w:t>
      </w:r>
      <w:r w:rsidR="0021351F">
        <w:rPr>
          <w:lang w:val="en-GB"/>
        </w:rPr>
        <w:t>an</w:t>
      </w:r>
      <w:r w:rsidR="0021351F" w:rsidRPr="00DA249F">
        <w:rPr>
          <w:lang w:val="en-GB"/>
        </w:rPr>
        <w:t xml:space="preserve"> </w:t>
      </w:r>
      <w:r w:rsidR="0061653D" w:rsidRPr="00DA249F">
        <w:rPr>
          <w:lang w:val="en-GB"/>
        </w:rPr>
        <w:t xml:space="preserve">invasive alien species </w:t>
      </w:r>
      <w:r w:rsidR="008C1BF7" w:rsidRPr="00DA249F">
        <w:rPr>
          <w:lang w:val="en-GB"/>
        </w:rPr>
        <w:t>establishe</w:t>
      </w:r>
      <w:r w:rsidR="00305F73" w:rsidRPr="00DA249F">
        <w:rPr>
          <w:lang w:val="en-GB"/>
        </w:rPr>
        <w:t>s</w:t>
      </w:r>
      <w:r w:rsidR="008C1BF7" w:rsidRPr="00DA249F">
        <w:rPr>
          <w:lang w:val="en-GB"/>
        </w:rPr>
        <w:t>, positive feedback mechanisms</w:t>
      </w:r>
      <w:r w:rsidR="00305F73" w:rsidRPr="00DA249F">
        <w:rPr>
          <w:lang w:val="en-GB"/>
        </w:rPr>
        <w:t>,</w:t>
      </w:r>
      <w:r w:rsidR="008C1BF7" w:rsidRPr="00DA249F">
        <w:rPr>
          <w:lang w:val="en-GB"/>
        </w:rPr>
        <w:t xml:space="preserve"> </w:t>
      </w:r>
      <w:r w:rsidR="00F73252" w:rsidRPr="00DA249F">
        <w:rPr>
          <w:lang w:val="en-GB"/>
        </w:rPr>
        <w:t xml:space="preserve">occurring via biotic facilitation </w:t>
      </w:r>
      <w:r w:rsidR="00CF487E" w:rsidRPr="00DA249F">
        <w:rPr>
          <w:lang w:val="en-GB"/>
        </w:rPr>
        <w:t>by</w:t>
      </w:r>
      <w:r w:rsidR="00F73252" w:rsidRPr="00DA249F">
        <w:rPr>
          <w:lang w:val="en-GB"/>
        </w:rPr>
        <w:t xml:space="preserve"> the </w:t>
      </w:r>
      <w:r w:rsidR="00CF487E" w:rsidRPr="00DA249F">
        <w:rPr>
          <w:lang w:val="en-GB"/>
        </w:rPr>
        <w:t>invasive</w:t>
      </w:r>
      <w:r w:rsidR="002A0EE8" w:rsidRPr="00DA249F">
        <w:rPr>
          <w:lang w:val="en-GB"/>
        </w:rPr>
        <w:t xml:space="preserve"> alien</w:t>
      </w:r>
      <w:r w:rsidR="00CF487E" w:rsidRPr="00DA249F">
        <w:rPr>
          <w:lang w:val="en-GB"/>
        </w:rPr>
        <w:t xml:space="preserve"> </w:t>
      </w:r>
      <w:r w:rsidR="000C33A9" w:rsidRPr="00DA249F">
        <w:rPr>
          <w:lang w:val="en-GB"/>
        </w:rPr>
        <w:t>species</w:t>
      </w:r>
      <w:r w:rsidR="00CF487E" w:rsidRPr="00DA249F">
        <w:rPr>
          <w:lang w:val="en-GB"/>
        </w:rPr>
        <w:t xml:space="preserve"> </w:t>
      </w:r>
      <w:r w:rsidR="00CA0C6B" w:rsidRPr="00DA249F">
        <w:rPr>
          <w:lang w:val="en-GB"/>
        </w:rPr>
        <w:t>(</w:t>
      </w:r>
      <w:r w:rsidR="009A0850" w:rsidRPr="008C1731">
        <w:rPr>
          <w:b/>
          <w:iCs/>
          <w:lang w:val="en-GB"/>
        </w:rPr>
        <w:t>section</w:t>
      </w:r>
      <w:r w:rsidR="0061653D" w:rsidRPr="008C1731">
        <w:rPr>
          <w:b/>
          <w:iCs/>
          <w:lang w:val="en-GB"/>
        </w:rPr>
        <w:t xml:space="preserve"> </w:t>
      </w:r>
      <w:r w:rsidR="00F73252" w:rsidRPr="008C1731">
        <w:rPr>
          <w:b/>
          <w:iCs/>
          <w:lang w:val="en-GB"/>
        </w:rPr>
        <w:t>3.3.5.1</w:t>
      </w:r>
      <w:r w:rsidR="00F73252" w:rsidRPr="00DA249F">
        <w:rPr>
          <w:lang w:val="en-GB"/>
        </w:rPr>
        <w:t>)</w:t>
      </w:r>
      <w:r w:rsidR="00305F73" w:rsidRPr="00DA249F">
        <w:rPr>
          <w:lang w:val="en-GB"/>
        </w:rPr>
        <w:t>,</w:t>
      </w:r>
      <w:r w:rsidR="00F73252" w:rsidRPr="00DA249F">
        <w:rPr>
          <w:lang w:val="en-GB"/>
        </w:rPr>
        <w:t xml:space="preserve"> </w:t>
      </w:r>
      <w:r w:rsidR="008C1BF7" w:rsidRPr="00B671E2">
        <w:rPr>
          <w:lang w:val="en-GB"/>
        </w:rPr>
        <w:t xml:space="preserve">can promote subsequent </w:t>
      </w:r>
      <w:r w:rsidR="00305F73" w:rsidRPr="00B671E2">
        <w:rPr>
          <w:lang w:val="en-GB"/>
        </w:rPr>
        <w:t xml:space="preserve">biological </w:t>
      </w:r>
      <w:r w:rsidR="008C1BF7" w:rsidRPr="00B671E2">
        <w:rPr>
          <w:lang w:val="en-GB"/>
        </w:rPr>
        <w:t>invasion</w:t>
      </w:r>
      <w:r w:rsidR="00305F73" w:rsidRPr="00B671E2">
        <w:rPr>
          <w:lang w:val="en-GB"/>
        </w:rPr>
        <w:t>s</w:t>
      </w:r>
      <w:r w:rsidR="008C1BF7" w:rsidRPr="00B671E2">
        <w:rPr>
          <w:lang w:val="en-GB"/>
        </w:rPr>
        <w:t xml:space="preserve"> and promote further spread of </w:t>
      </w:r>
      <w:r w:rsidR="00B33723" w:rsidRPr="00B671E2">
        <w:rPr>
          <w:lang w:val="en-GB"/>
        </w:rPr>
        <w:t>invasive alien species</w:t>
      </w:r>
      <w:r w:rsidR="00CF487E" w:rsidRPr="00B671E2">
        <w:rPr>
          <w:lang w:val="en-GB"/>
        </w:rPr>
        <w:t>,</w:t>
      </w:r>
      <w:r w:rsidR="00B33723" w:rsidRPr="00B671E2">
        <w:rPr>
          <w:lang w:val="en-GB"/>
        </w:rPr>
        <w:t xml:space="preserve"> </w:t>
      </w:r>
      <w:r w:rsidR="008C1BF7" w:rsidRPr="00B671E2">
        <w:rPr>
          <w:lang w:val="en-GB"/>
        </w:rPr>
        <w:t xml:space="preserve">as has been observed </w:t>
      </w:r>
      <w:r w:rsidR="00DD5D87" w:rsidRPr="00B671E2">
        <w:rPr>
          <w:lang w:val="en-GB"/>
        </w:rPr>
        <w:t xml:space="preserve">for </w:t>
      </w:r>
      <w:r w:rsidR="008C1BF7" w:rsidRPr="00B671E2">
        <w:rPr>
          <w:lang w:val="en-GB"/>
        </w:rPr>
        <w:t xml:space="preserve">riparian habitats in Czech Republic in which an invasive plant, </w:t>
      </w:r>
      <w:r w:rsidR="008C1BF7" w:rsidRPr="00B671E2">
        <w:rPr>
          <w:i/>
          <w:iCs/>
          <w:lang w:val="en-GB"/>
        </w:rPr>
        <w:t>Heracleum mantegazzianum</w:t>
      </w:r>
      <w:r w:rsidR="000D3D04" w:rsidRPr="00B671E2">
        <w:rPr>
          <w:i/>
          <w:iCs/>
          <w:lang w:val="en-GB"/>
        </w:rPr>
        <w:t xml:space="preserve"> </w:t>
      </w:r>
      <w:r w:rsidR="002E7B44" w:rsidRPr="00B671E2">
        <w:rPr>
          <w:iCs/>
          <w:lang w:val="en-GB"/>
        </w:rPr>
        <w:t>(giant hogweed)</w:t>
      </w:r>
      <w:r w:rsidR="0055111A" w:rsidRPr="00B671E2">
        <w:rPr>
          <w:iCs/>
          <w:lang w:val="en-GB"/>
        </w:rPr>
        <w:t>,</w:t>
      </w:r>
      <w:r w:rsidR="008C1BF7" w:rsidRPr="00B671E2">
        <w:rPr>
          <w:lang w:val="en-GB"/>
        </w:rPr>
        <w:t xml:space="preserve"> resulted in extensive spread in adjacent terrestrial landscapes </w:t>
      </w:r>
      <w:r w:rsidR="008C1BF7" w:rsidRPr="00B671E2">
        <w:rPr>
          <w:lang w:val="en-GB"/>
        </w:rPr>
        <w:fldChar w:fldCharType="begin"/>
      </w:r>
      <w:r w:rsidR="00331A79">
        <w:rPr>
          <w:lang w:val="en-GB"/>
        </w:rPr>
        <w:instrText xml:space="preserve"> ADDIN ZOTERO_ITEM CSL_CITATION {"citationID":"moo0MRYA","properties":{"formattedCitation":"(Py\\uc0\\u353{}ek et al., 2008)","plainCitation":"(Pyšek et al., 2008)","noteIndex":0},"citationItems":[{"id":22185,"uris":["http://zotero.org/groups/2352922/items/2NHI2JKW"],"itemData":{"id":22185,"type":"article-journal","abstract":"This paper compares the rate of invasion of Heracleum mantegazzianum (Apiaceae), a Caucasian species invading Europe, at three spatial scales (continental, regional, and local). The rate of invasion was evaluated using inclusion curves, by plotting the cumulative number of invaded countries against time on the continental scale of Europe, number of occupied grid cells at the regional scale of the Czech Republic, and invaded area inferred from a series of aerial photographs taken at the local scale over a period of 49 years in the Slavkovký les region, Czech Republic. Time of 50% inclusion (with 95% confidence intervals, CI) of invaded countries, occupied grid cells, and invaded area was assessed. The invasion was slowest at the continental scale (62 years, CI = 53–70) and did not differ significantly between regional (16 years, CI = 10–20) and local (22 years, CI = 19–24) scales. Our results indicate that there are two different mechanisms of spread acting together in this system, namely human influences and natural spread, and the relative influence of these mechanisms appears to change in an inverse proportion from the largest to the smallest scale. At the local scale, under suitable habitat conditions, the process is driven by biological traits of the species related to dispersal. At the continental and regional scales, humans played a crucial role in the invasion of H. mantegazzianum by planting it as a garden ornamental. At these scales, human-mediated dispersal seems to have been the major driver of spread, responsible for creating dispersal foci in the initial phases of invasion. Species traits played an important role in local spread, resulting in the colonization of new sites.","container-title":"Diversity and Distributions","DOI":"10.1111/j.1472-4642.2007.00431.x","ISSN":"1472-4642","issue":"2","language":"en","license":"© 2007 The Authors","note":"_eprint: https://onlinelibrary.wiley.com/doi/pdf/10.1111/j.1472-4642.2007.00431.x","page":"355-363","source":"Wiley Online Library","title":"Comparing the rate of invasion by &lt;i&gt;Heracleum mantegazzianum&lt;/i&gt; at continental, regional, and local scales","URL":"https://onlinelibrary.wiley.com/doi/abs/10.1111/j.1472-4642.2007.00431.x","volume":"14","author":[{"family":"Pyšek","given":"Petr"},{"family":"Jarošík","given":"Vojtêch"},{"family":"Müllerová","given":"Jana"},{"family":"Pergl","given":"Jan"},{"family":"Wild","given":"Jan"}],"accessed":{"date-parts":[["2020",5,15]]},"issued":{"date-parts":[["2008"]]}},"label":"page"}],"schema":"https://github.com/citation-style-language/schema/raw/master/csl-citation.json"} </w:instrText>
      </w:r>
      <w:r w:rsidR="008C1BF7" w:rsidRPr="00B671E2">
        <w:rPr>
          <w:lang w:val="en-GB"/>
        </w:rPr>
        <w:fldChar w:fldCharType="separate"/>
      </w:r>
      <w:r w:rsidR="00144D96" w:rsidRPr="00144D96">
        <w:rPr>
          <w:szCs w:val="24"/>
        </w:rPr>
        <w:t>(Pyšek et al., 2008)</w:t>
      </w:r>
      <w:r w:rsidR="008C1BF7" w:rsidRPr="00B671E2">
        <w:rPr>
          <w:lang w:val="en-GB"/>
        </w:rPr>
        <w:fldChar w:fldCharType="end"/>
      </w:r>
      <w:r w:rsidR="00EF275F" w:rsidRPr="00B671E2">
        <w:rPr>
          <w:lang w:val="en-GB"/>
        </w:rPr>
        <w:t>.</w:t>
      </w:r>
      <w:r w:rsidR="00B1749C" w:rsidRPr="00B671E2">
        <w:rPr>
          <w:lang w:val="en-GB"/>
        </w:rPr>
        <w:t xml:space="preserve"> </w:t>
      </w:r>
    </w:p>
    <w:p w14:paraId="225A77AF" w14:textId="77777777" w:rsidR="00FA3E46" w:rsidRPr="00DA249F" w:rsidRDefault="008C1BF7" w:rsidP="007E3D58">
      <w:pPr>
        <w:spacing w:before="0" w:after="0"/>
        <w:rPr>
          <w:rFonts w:ascii="Calibri" w:eastAsia="Times New Roman" w:hAnsi="Calibri" w:cs="Calibri"/>
          <w:color w:val="000000"/>
          <w:sz w:val="22"/>
          <w:lang w:val="en-GB" w:eastAsia="zh-CN"/>
        </w:rPr>
      </w:pPr>
      <w:r w:rsidRPr="00B671E2">
        <w:rPr>
          <w:lang w:val="en-GB"/>
        </w:rPr>
        <w:lastRenderedPageBreak/>
        <w:t>Hydrological alterations</w:t>
      </w:r>
      <w:r w:rsidR="00626462">
        <w:rPr>
          <w:lang w:val="en-GB"/>
        </w:rPr>
        <w:t xml:space="preserve"> or </w:t>
      </w:r>
      <w:r w:rsidRPr="00B671E2">
        <w:rPr>
          <w:lang w:val="en-GB"/>
        </w:rPr>
        <w:t>disturbance (</w:t>
      </w:r>
      <w:r w:rsidR="00930403" w:rsidRPr="00B671E2">
        <w:rPr>
          <w:lang w:val="en-GB"/>
        </w:rPr>
        <w:t xml:space="preserve">e.g., </w:t>
      </w:r>
      <w:r w:rsidRPr="00B671E2">
        <w:rPr>
          <w:lang w:val="en-GB"/>
        </w:rPr>
        <w:t>water abstraction) sometimes occur concurrently with other</w:t>
      </w:r>
      <w:r w:rsidR="00AD3EB1">
        <w:rPr>
          <w:lang w:val="en-GB"/>
        </w:rPr>
        <w:t xml:space="preserve"> altered</w:t>
      </w:r>
      <w:r w:rsidRPr="00B671E2">
        <w:rPr>
          <w:lang w:val="en-GB"/>
        </w:rPr>
        <w:t xml:space="preserve"> habitat conditions (</w:t>
      </w:r>
      <w:r w:rsidR="00930403" w:rsidRPr="00B671E2">
        <w:rPr>
          <w:lang w:val="en-GB"/>
        </w:rPr>
        <w:t xml:space="preserve">e.g., </w:t>
      </w:r>
      <w:r w:rsidRPr="00B671E2">
        <w:rPr>
          <w:lang w:val="en-GB"/>
        </w:rPr>
        <w:t xml:space="preserve">dryness, salinization, erosion and land and sea degradation) </w:t>
      </w:r>
      <w:r w:rsidR="00305F73" w:rsidRPr="00B671E2">
        <w:rPr>
          <w:lang w:val="en-GB"/>
        </w:rPr>
        <w:t>that also</w:t>
      </w:r>
      <w:r w:rsidRPr="00B671E2">
        <w:rPr>
          <w:lang w:val="en-GB"/>
        </w:rPr>
        <w:t xml:space="preserve"> </w:t>
      </w:r>
      <w:r w:rsidR="4A380B43" w:rsidRPr="00B671E2">
        <w:rPr>
          <w:lang w:val="en-GB"/>
        </w:rPr>
        <w:t>favour</w:t>
      </w:r>
      <w:r w:rsidRPr="00B671E2">
        <w:rPr>
          <w:lang w:val="en-GB"/>
        </w:rPr>
        <w:t xml:space="preserve"> the introduction and further establishment</w:t>
      </w:r>
      <w:r w:rsidRPr="00DA249F">
        <w:rPr>
          <w:lang w:val="en-GB"/>
        </w:rPr>
        <w:t xml:space="preserve"> of </w:t>
      </w:r>
      <w:r w:rsidR="00B33723" w:rsidRPr="00DA249F">
        <w:rPr>
          <w:lang w:val="en-GB"/>
        </w:rPr>
        <w:t>invasive alien species</w:t>
      </w:r>
      <w:r w:rsidRPr="00DA249F">
        <w:rPr>
          <w:lang w:val="en-GB"/>
        </w:rPr>
        <w:t>. Such alterations in aquatic habitat have favo</w:t>
      </w:r>
      <w:r w:rsidR="00EC31F3">
        <w:rPr>
          <w:lang w:val="en-GB"/>
        </w:rPr>
        <w:t>u</w:t>
      </w:r>
      <w:r w:rsidRPr="00DA249F">
        <w:rPr>
          <w:lang w:val="en-GB"/>
        </w:rPr>
        <w:t xml:space="preserve">red establishment of </w:t>
      </w:r>
      <w:r w:rsidR="00B33723" w:rsidRPr="00DA249F">
        <w:rPr>
          <w:lang w:val="en-GB"/>
        </w:rPr>
        <w:t xml:space="preserve">invasive alien species </w:t>
      </w:r>
      <w:r w:rsidRPr="00DA249F">
        <w:rPr>
          <w:lang w:val="en-GB"/>
        </w:rPr>
        <w:t xml:space="preserve">such </w:t>
      </w:r>
      <w:r w:rsidR="0055111A" w:rsidRPr="00DA249F">
        <w:rPr>
          <w:lang w:val="en-GB"/>
        </w:rPr>
        <w:t xml:space="preserve">as </w:t>
      </w:r>
      <w:r w:rsidR="00504A1E" w:rsidRPr="00DA249F">
        <w:rPr>
          <w:i/>
          <w:iCs/>
          <w:lang w:val="en-GB"/>
        </w:rPr>
        <w:t xml:space="preserve">Dreissena </w:t>
      </w:r>
      <w:r w:rsidR="00AC6291" w:rsidRPr="00DA249F">
        <w:rPr>
          <w:i/>
          <w:iCs/>
          <w:lang w:val="en-GB"/>
        </w:rPr>
        <w:t>p</w:t>
      </w:r>
      <w:r w:rsidR="00504A1E" w:rsidRPr="00DA249F">
        <w:rPr>
          <w:i/>
          <w:iCs/>
          <w:lang w:val="en-GB"/>
        </w:rPr>
        <w:t xml:space="preserve">olymorpha </w:t>
      </w:r>
      <w:r w:rsidR="00504A1E" w:rsidRPr="00DA249F">
        <w:rPr>
          <w:lang w:val="en-GB"/>
        </w:rPr>
        <w:t>(</w:t>
      </w:r>
      <w:r w:rsidR="000E210F" w:rsidRPr="00DA249F">
        <w:rPr>
          <w:lang w:val="en-GB"/>
        </w:rPr>
        <w:t>zebra mussel</w:t>
      </w:r>
      <w:r w:rsidR="00504A1E" w:rsidRPr="00DA249F">
        <w:rPr>
          <w:lang w:val="en-GB"/>
        </w:rPr>
        <w:t>)</w:t>
      </w:r>
      <w:r w:rsidRPr="00DA249F">
        <w:rPr>
          <w:lang w:val="en-GB"/>
        </w:rPr>
        <w:t xml:space="preserve"> and </w:t>
      </w:r>
      <w:r w:rsidRPr="00DA249F">
        <w:rPr>
          <w:i/>
          <w:iCs/>
          <w:lang w:val="en-GB"/>
        </w:rPr>
        <w:t xml:space="preserve">Potamocorbula </w:t>
      </w:r>
      <w:r w:rsidRPr="00DA249F">
        <w:rPr>
          <w:i/>
          <w:iCs/>
          <w:szCs w:val="24"/>
          <w:lang w:val="en-GB"/>
        </w:rPr>
        <w:t>amurensis</w:t>
      </w:r>
      <w:r w:rsidR="008F1B24" w:rsidRPr="00DA249F">
        <w:rPr>
          <w:i/>
          <w:iCs/>
          <w:szCs w:val="24"/>
          <w:lang w:val="en-GB"/>
        </w:rPr>
        <w:t xml:space="preserve"> </w:t>
      </w:r>
      <w:r w:rsidR="008F1B24" w:rsidRPr="00DA249F">
        <w:rPr>
          <w:szCs w:val="24"/>
          <w:lang w:val="en-GB"/>
        </w:rPr>
        <w:t>(</w:t>
      </w:r>
      <w:r w:rsidR="007E3D58" w:rsidRPr="00DA249F">
        <w:rPr>
          <w:rFonts w:eastAsia="Times New Roman"/>
          <w:color w:val="000000"/>
          <w:szCs w:val="24"/>
          <w:lang w:val="en-GB" w:eastAsia="zh-CN"/>
        </w:rPr>
        <w:t>Amur River clam</w:t>
      </w:r>
      <w:r w:rsidR="008F1B24" w:rsidRPr="00DA249F">
        <w:rPr>
          <w:szCs w:val="24"/>
          <w:lang w:val="en-GB"/>
        </w:rPr>
        <w:t>)</w:t>
      </w:r>
      <w:r w:rsidRPr="00DA249F">
        <w:rPr>
          <w:i/>
          <w:iCs/>
          <w:szCs w:val="24"/>
          <w:lang w:val="en-GB"/>
        </w:rPr>
        <w:t xml:space="preserve"> </w:t>
      </w:r>
      <w:r w:rsidRPr="00DA249F">
        <w:rPr>
          <w:szCs w:val="24"/>
          <w:lang w:val="en-GB"/>
        </w:rPr>
        <w:t>in</w:t>
      </w:r>
      <w:r w:rsidRPr="00DA249F">
        <w:rPr>
          <w:lang w:val="en-GB"/>
        </w:rPr>
        <w:t xml:space="preserve"> high numbers, with negative consequences for many pelagic and benthic fauna species, especially native mussels in those ecosystems </w:t>
      </w:r>
      <w:r w:rsidRPr="00DA249F">
        <w:rPr>
          <w:lang w:val="en-GB"/>
        </w:rPr>
        <w:fldChar w:fldCharType="begin"/>
      </w:r>
      <w:r w:rsidR="00331A79">
        <w:rPr>
          <w:lang w:val="en-GB"/>
        </w:rPr>
        <w:instrText xml:space="preserve"> ADDIN ZOTERO_ITEM CSL_CITATION {"citationID":"ncqILc6d","properties":{"formattedCitation":"(Grosholz, 2002)","plainCitation":"(Grosholz, 2002)","noteIndex":0},"citationItems":[{"id":11257,"uris":["http://zotero.org/groups/2352922/items/IXYDBC5F"],"itemData":{"id":11257,"type":"article-journal","abstract":"Although coastal estuarine and marine systems are among the most heavily invaded systems in the world, the study of nonindigenous species in these systems has, historically, lagged behind that of terrestrial and freshwater systems. However, in the past decade, a rapid increase in studies of coastal invasions has provided important insight into the invasion process in these systems and how these invasions might differ qualitatively from invasions elsewhere. Based on new evidence for cryptic species invasions, hybridization among invaders and native species, impacts on multiple species and ecosystems, and the rapid and extensive geographical spread of invaders, it is clear that the ecological and evolutionary consequences of invasions in heavily invaded coastal habitats might be more extensive than previously realized. Although these studies have produced important new advances, many other areas remain relatively unexplored and are ripe for future investigation.","container-title":"Trends in Ecology &amp; Evolution","DOI":"10.1016/S0169-5347(01)02358-8","ISSN":"0169-5347","issue":"1","journalAbbreviation":"Trends in Ecology &amp; Evolution","language":"en","page":"22-27","source":"ScienceDirect","title":"Ecological and evolutionary consequences of coastal invasions","URL":"https://www.sciencedirect.com/science/article/abs/pii/S0169534701023588","volume":"17","author":[{"family":"Grosholz","given":"Edwin D."}],"accessed":{"date-parts":[["2020",7,15]]},"issued":{"date-parts":[["2002",1,1]]}},"label":"page"}],"schema":"https://github.com/citation-style-language/schema/raw/master/csl-citation.json"} </w:instrText>
      </w:r>
      <w:r w:rsidRPr="00DA249F">
        <w:rPr>
          <w:lang w:val="en-GB"/>
        </w:rPr>
        <w:fldChar w:fldCharType="separate"/>
      </w:r>
      <w:r w:rsidR="00144D96" w:rsidRPr="00144D96">
        <w:t>(Grosholz, 2002)</w:t>
      </w:r>
      <w:r w:rsidRPr="00DA249F">
        <w:rPr>
          <w:lang w:val="en-GB"/>
        </w:rPr>
        <w:fldChar w:fldCharType="end"/>
      </w:r>
      <w:r w:rsidRPr="00DA249F">
        <w:rPr>
          <w:lang w:val="en-GB"/>
        </w:rPr>
        <w:t>.</w:t>
      </w:r>
    </w:p>
    <w:p w14:paraId="03AE4294" w14:textId="77777777" w:rsidR="008C1BF7" w:rsidRPr="00DA249F" w:rsidRDefault="467EB24F" w:rsidP="004826A3">
      <w:pPr>
        <w:pStyle w:val="Heading3"/>
        <w:rPr>
          <w:shd w:val="clear" w:color="auto" w:fill="FFFFFF"/>
          <w:lang w:val="en-GB"/>
        </w:rPr>
      </w:pPr>
      <w:bookmarkStart w:id="170" w:name="_Toc44317827"/>
      <w:r w:rsidRPr="00DA249F">
        <w:rPr>
          <w:shd w:val="clear" w:color="auto" w:fill="FFFFFF"/>
          <w:lang w:val="en-GB"/>
        </w:rPr>
        <w:t xml:space="preserve"> </w:t>
      </w:r>
      <w:r w:rsidR="6619E8BF" w:rsidRPr="00DA249F">
        <w:rPr>
          <w:shd w:val="clear" w:color="auto" w:fill="FFFFFF"/>
          <w:lang w:val="en-GB"/>
        </w:rPr>
        <w:t xml:space="preserve">Mining </w:t>
      </w:r>
      <w:r w:rsidR="43EBE281" w:rsidRPr="00DA249F">
        <w:rPr>
          <w:shd w:val="clear" w:color="auto" w:fill="FFFFFF"/>
          <w:lang w:val="en-GB"/>
        </w:rPr>
        <w:t>(minerals, metal</w:t>
      </w:r>
      <w:r w:rsidR="00DC228B" w:rsidRPr="00DA249F">
        <w:rPr>
          <w:shd w:val="clear" w:color="auto" w:fill="FFFFFF"/>
          <w:lang w:val="en-GB"/>
        </w:rPr>
        <w:t>, fossils</w:t>
      </w:r>
      <w:r w:rsidR="56E55280" w:rsidRPr="00DA249F">
        <w:rPr>
          <w:shd w:val="clear" w:color="auto" w:fill="FFFFFF"/>
          <w:lang w:val="en-GB"/>
        </w:rPr>
        <w:t xml:space="preserve"> fuels) </w:t>
      </w:r>
      <w:bookmarkEnd w:id="170"/>
    </w:p>
    <w:p w14:paraId="4F3CDE9D" w14:textId="0000E86D" w:rsidR="008F2D86" w:rsidRPr="00DA249F" w:rsidRDefault="00B3262D" w:rsidP="00651F0A">
      <w:pPr>
        <w:rPr>
          <w:rFonts w:eastAsia="Arial"/>
          <w:lang w:val="en-GB" w:eastAsia="en-ZA"/>
        </w:rPr>
      </w:pPr>
      <w:r w:rsidRPr="00DA249F">
        <w:rPr>
          <w:lang w:val="en-GB"/>
        </w:rPr>
        <w:t>M</w:t>
      </w:r>
      <w:r w:rsidR="4C29E0B2" w:rsidRPr="00DA249F">
        <w:rPr>
          <w:lang w:val="en-GB"/>
        </w:rPr>
        <w:t xml:space="preserve">ining </w:t>
      </w:r>
      <w:r w:rsidR="00977ACE" w:rsidRPr="00DA249F">
        <w:rPr>
          <w:lang w:val="en-GB"/>
        </w:rPr>
        <w:t>for</w:t>
      </w:r>
      <w:r w:rsidR="4C29E0B2" w:rsidRPr="00DA249F">
        <w:rPr>
          <w:lang w:val="en-GB"/>
        </w:rPr>
        <w:t xml:space="preserve"> minerals</w:t>
      </w:r>
      <w:r w:rsidR="00100BA6" w:rsidRPr="00DA249F">
        <w:rPr>
          <w:lang w:val="en-GB"/>
        </w:rPr>
        <w:t>,</w:t>
      </w:r>
      <w:r w:rsidR="4C29E0B2" w:rsidRPr="00DA249F">
        <w:rPr>
          <w:lang w:val="en-GB"/>
        </w:rPr>
        <w:t xml:space="preserve"> metals</w:t>
      </w:r>
      <w:r w:rsidR="00977ACE" w:rsidRPr="00DA249F">
        <w:rPr>
          <w:lang w:val="en-GB"/>
        </w:rPr>
        <w:t>,</w:t>
      </w:r>
      <w:r w:rsidR="4C29E0B2" w:rsidRPr="00DA249F">
        <w:rPr>
          <w:lang w:val="en-GB"/>
        </w:rPr>
        <w:t xml:space="preserve"> </w:t>
      </w:r>
      <w:r w:rsidR="00100BA6" w:rsidRPr="00DA249F">
        <w:rPr>
          <w:lang w:val="en-GB"/>
        </w:rPr>
        <w:t xml:space="preserve">oil and </w:t>
      </w:r>
      <w:r w:rsidR="00977ACE" w:rsidRPr="00DA249F">
        <w:rPr>
          <w:lang w:val="en-GB"/>
        </w:rPr>
        <w:t xml:space="preserve">other </w:t>
      </w:r>
      <w:r w:rsidR="00100BA6" w:rsidRPr="00DA249F">
        <w:rPr>
          <w:lang w:val="en-GB"/>
        </w:rPr>
        <w:t xml:space="preserve">fossil fuels </w:t>
      </w:r>
      <w:r w:rsidR="4C29E0B2" w:rsidRPr="00DA249F">
        <w:rPr>
          <w:lang w:val="en-GB"/>
        </w:rPr>
        <w:t xml:space="preserve">is driven by the </w:t>
      </w:r>
      <w:r w:rsidR="00305F73" w:rsidRPr="00DA249F">
        <w:rPr>
          <w:lang w:val="en-GB"/>
        </w:rPr>
        <w:t xml:space="preserve">energy </w:t>
      </w:r>
      <w:r w:rsidR="4C29E0B2" w:rsidRPr="00DA249F">
        <w:rPr>
          <w:lang w:val="en-GB"/>
        </w:rPr>
        <w:t xml:space="preserve">demands of modern society </w:t>
      </w:r>
      <w:r w:rsidR="004F32CF" w:rsidRPr="00DA249F">
        <w:rPr>
          <w:lang w:val="en-GB"/>
        </w:rPr>
        <w:fldChar w:fldCharType="begin"/>
      </w:r>
      <w:r w:rsidR="00331A79">
        <w:rPr>
          <w:lang w:val="en-GB"/>
        </w:rPr>
        <w:instrText xml:space="preserve"> ADDIN ZOTERO_ITEM CSL_CITATION {"citationID":"KcOsMELA","properties":{"formattedCitation":"(Ali et al., 2017)","plainCitation":"(Ali et al., 2017)","noteIndex":0},"citationItems":[{"id":24328,"uris":["http://zotero.org/groups/2352922/items/4X5N3T8Q"],"itemData":{"id":24328,"type":"article-journal","abstract":"Successful delivery of the United Nations sustainable development goals and implementation of the Paris Agreement requires technologies that utilize a wide range of minerals in vast quantities. Metal recycling and technological change will contribute to sustaining supply, but mining must continue and grow for the foreseeable future to ensure that such minerals remain available to industry. New links are needed between existing institutional frameworks to oversee responsible sourcing of minerals, trajectories for mineral exploration, environmental practices, and consumer awareness of the effects of consumption. Here we present, through analysis of a comprehensive set of data and demand forecasts, an interdisciplinary perspective on how best to ensure ecologically viable continuity of global mineral supply over the coming decades.","container-title":"Nature","DOI":"10.1038/nature21359","ISSN":"1476-4687","issue":"7645","language":"en","license":"2017 Macmillan Publishers Limited, part of Springer Nature. All rights reserved.","note":"number: 7645\npublisher: Nature Publishing Group","page":"367-372","source":"www.nature.com","title":"Mineral supply for sustainable development requires resource governance","URL":"https://www.nature.com/articles/nature21359","volume":"543","author":[{"family":"Ali","given":"Saleem H."},{"family":"Giurco","given":"Damien"},{"family":"Arndt","given":"Nicholas"},{"family":"Nickless","given":"Edmund"},{"family":"Brown","given":"Graham"},{"family":"Demetriades","given":"Alecos"},{"family":"Durrheim","given":"Ray"},{"family":"Enriquez","given":"Maria Amélia"},{"family":"Kinnaird","given":"Judith"},{"family":"Littleboy","given":"Anna"},{"family":"Meinert","given":"Lawrence D."},{"family":"Oberhänsli","given":"Roland"},{"family":"Salem","given":"Janet"},{"family":"Schodde","given":"Richard"},{"family":"Schneider","given":"Gabi"},{"family":"Vidal","given":"Olivier"},{"family":"Yakovleva","given":"Natalia"}],"accessed":{"date-parts":[["2021",2,10]]},"issued":{"date-parts":[["2017",3]]}},"label":"page"}],"schema":"https://github.com/citation-style-language/schema/raw/master/csl-citation.json"} </w:instrText>
      </w:r>
      <w:r w:rsidR="004F32CF" w:rsidRPr="00DA249F">
        <w:rPr>
          <w:lang w:val="en-GB"/>
        </w:rPr>
        <w:fldChar w:fldCharType="separate"/>
      </w:r>
      <w:r w:rsidR="00144D96" w:rsidRPr="00144D96">
        <w:t>(Ali et al., 2017)</w:t>
      </w:r>
      <w:r w:rsidR="004F32CF" w:rsidRPr="00DA249F">
        <w:rPr>
          <w:lang w:val="en-GB"/>
        </w:rPr>
        <w:fldChar w:fldCharType="end"/>
      </w:r>
      <w:r w:rsidR="4C29E0B2" w:rsidRPr="00DA249F">
        <w:rPr>
          <w:lang w:val="en-GB"/>
        </w:rPr>
        <w:t xml:space="preserve"> and the transport of </w:t>
      </w:r>
      <w:r w:rsidR="4055BE77" w:rsidRPr="00DA249F">
        <w:rPr>
          <w:lang w:val="en-GB"/>
        </w:rPr>
        <w:t>these materials</w:t>
      </w:r>
      <w:r w:rsidR="4C29E0B2" w:rsidRPr="00DA249F">
        <w:rPr>
          <w:lang w:val="en-GB"/>
        </w:rPr>
        <w:t xml:space="preserve"> accounts for 30</w:t>
      </w:r>
      <w:r w:rsidR="00AC6291" w:rsidRPr="00DA249F">
        <w:rPr>
          <w:lang w:val="en-GB"/>
        </w:rPr>
        <w:t xml:space="preserve"> </w:t>
      </w:r>
      <w:r w:rsidR="004C77CD" w:rsidRPr="00DA249F">
        <w:rPr>
          <w:lang w:val="en-GB"/>
        </w:rPr>
        <w:t>per cent</w:t>
      </w:r>
      <w:r w:rsidR="4C29E0B2" w:rsidRPr="00DA249F">
        <w:rPr>
          <w:lang w:val="en-GB"/>
        </w:rPr>
        <w:t xml:space="preserve"> of maritime traffic </w:t>
      </w:r>
      <w:r w:rsidR="4C29E0B2" w:rsidRPr="00DA249F">
        <w:rPr>
          <w:lang w:val="en-GB"/>
        </w:rPr>
        <w:fldChar w:fldCharType="begin"/>
      </w:r>
      <w:r w:rsidR="00331A79">
        <w:rPr>
          <w:lang w:val="en-GB"/>
        </w:rPr>
        <w:instrText xml:space="preserve"> ADDIN ZOTERO_ITEM CSL_CITATION {"citationID":"HnOQrNIA","properties":{"formattedCitation":"(IUCN, 2020)","plainCitation":"(IUCN, 2020)","noteIndex":0},"citationItems":[{"id":24931,"uris":["http://zotero.org/groups/2352922/items/B9P9XDAF"],"itemData":{"id":24931,"type":"webpage","abstract":"Held every four years, the IUCN Congress is the world's largest conservation event. It brings together leaders from government, civil society, indigenous peoples' organisations, business and academia to determine the world's most pressing environmental and development challenges, and actions to address them.","container-title":"IUCN World Conservation Congress 2020","language":"en","title":"Motion 67 - Reducing the impacts of the mining industry on biodiversity","URL":"https://www.iucncongress2020.org/motion/067","author":[{"literal":"IUCN"}],"accessed":{"date-parts":[["2021",4,7]]},"issued":{"date-parts":[["2020",9]]}},"label":"page"}],"schema":"https://github.com/citation-style-language/schema/raw/master/csl-citation.json"} </w:instrText>
      </w:r>
      <w:r w:rsidR="4C29E0B2" w:rsidRPr="00DA249F">
        <w:rPr>
          <w:lang w:val="en-GB"/>
        </w:rPr>
        <w:fldChar w:fldCharType="separate"/>
      </w:r>
      <w:r w:rsidR="00144D96" w:rsidRPr="00144D96">
        <w:t>(IUCN, 2020)</w:t>
      </w:r>
      <w:r w:rsidR="4C29E0B2" w:rsidRPr="00DA249F">
        <w:rPr>
          <w:lang w:val="en-GB"/>
        </w:rPr>
        <w:fldChar w:fldCharType="end"/>
      </w:r>
      <w:r w:rsidR="09995F7B" w:rsidRPr="00DA249F">
        <w:rPr>
          <w:lang w:val="en-GB"/>
        </w:rPr>
        <w:t xml:space="preserve"> contributing to 60</w:t>
      </w:r>
      <w:r w:rsidR="00AC6291" w:rsidRPr="00DA249F">
        <w:rPr>
          <w:lang w:val="en-GB"/>
        </w:rPr>
        <w:t xml:space="preserve"> </w:t>
      </w:r>
      <w:r w:rsidR="004C77CD" w:rsidRPr="00DA249F">
        <w:rPr>
          <w:lang w:val="en-GB"/>
        </w:rPr>
        <w:t>per cent</w:t>
      </w:r>
      <w:r w:rsidR="00AC6291" w:rsidRPr="00DA249F" w:rsidDel="00AC6291">
        <w:rPr>
          <w:lang w:val="en-GB"/>
        </w:rPr>
        <w:t xml:space="preserve"> </w:t>
      </w:r>
      <w:r w:rsidR="09995F7B" w:rsidRPr="00DA249F">
        <w:rPr>
          <w:lang w:val="en-GB"/>
        </w:rPr>
        <w:t xml:space="preserve">of global </w:t>
      </w:r>
      <w:r w:rsidR="007F30B0" w:rsidRPr="00DA249F">
        <w:rPr>
          <w:lang w:val="en-GB"/>
        </w:rPr>
        <w:t>GDP</w:t>
      </w:r>
      <w:r w:rsidR="09995F7B" w:rsidRPr="00DA249F">
        <w:rPr>
          <w:lang w:val="en-GB"/>
        </w:rPr>
        <w:t xml:space="preserve"> </w:t>
      </w:r>
      <w:r w:rsidR="00C36D76" w:rsidRPr="00DA249F">
        <w:rPr>
          <w:lang w:val="en-GB"/>
        </w:rPr>
        <w:fldChar w:fldCharType="begin"/>
      </w:r>
      <w:r w:rsidR="00F5121E">
        <w:rPr>
          <w:lang w:val="en-GB"/>
        </w:rPr>
        <w:instrText xml:space="preserve"> ADDIN ZOTERO_ITEM CSL_CITATION {"citationID":"dHYpvTxK","properties":{"formattedCitation":"(IPBES, 2019)","plainCitation":"(IPBES, 2019)","noteIndex":0},"citationItems":[{"id":53933,"uris":["http://zotero.org/groups/2352922/items/JYFISR8Z","http://zotero.org/groups/2352922/items/ZACZGHZL"],"itemData":{"id":53933,"type":"report","abstract":"IPBES is to perform regular and timely assessments of knowledge on biodiversity and ecosystem services and their interlinkages at the global level. Also addressing an invitation by the Conference of the Parties of the Convention on Biological Diversity (CBD) to prepare a global assessment of biodiversity and ecosystem services building, inter alia, on its own and other relevant regional, subregional and thematic assessments, as well as on national reports. The overall scope of the assessment is to assess the status and trends with regard to biodiversity and ecosystem services, the impact of biodiversity and ecosystem services on human well-being and the effectiveness of responses, including the Strategic Plan and its Aichi Biodiversity Targets. It is anticipated that this deliverable will contribute to the process for the evaluation and renewal of the Strategic Plan for Biodiversity and its Aichi Biodiversity Targets. The IPBES Global Assessment on Biodiversity and Ecosystem Services is composed of 1) a Summary for Policymakers (SPM), approved by the IPBES Plenary at its 7th session in May 2019 in Paris, France (IPBES-7); and 2) a set of six Chapters, accepted by the IPBES Plenary.","language":"en","license":"Creative Commons Attribution 4.0 International, Open Access","note":"Version Number 1\nDOI: 10.5281/ZENODO.3831673","publisher":"Secretariat of the Intergovernmental Science-Policy Platform on Biodiversity and Ecosystem Services","source":"DOI.org (Datacite)","title":"Global assessment report on biodiversity and ecosystem services of the Intergovernmental Science-Policy Platform on Biodiversity and Ecosystem Services","URL":"https://zenodo.org/record/3831673","author":[{"literal":"IPBES"}],"contributor":[{"family":"Brondizio","given":"Eduardo"},{"family":"Diaz","given":"Sandra"},{"family":"Settele","given":"Josef"},{"family":"Ngo","given":"Hien T."}],"accessed":{"date-parts":[["2023",1,5]]},"issued":{"date-parts":[["2019"]]}},"label":"page"}],"schema":"https://github.com/citation-style-language/schema/raw/master/csl-citation.json"} </w:instrText>
      </w:r>
      <w:r w:rsidR="00C36D76" w:rsidRPr="00DA249F">
        <w:rPr>
          <w:lang w:val="en-GB"/>
        </w:rPr>
        <w:fldChar w:fldCharType="separate"/>
      </w:r>
      <w:r w:rsidR="00144D96" w:rsidRPr="00144D96">
        <w:t>(IPBES, 2019)</w:t>
      </w:r>
      <w:r w:rsidR="00C36D76" w:rsidRPr="00DA249F">
        <w:rPr>
          <w:lang w:val="en-GB"/>
        </w:rPr>
        <w:fldChar w:fldCharType="end"/>
      </w:r>
      <w:r w:rsidR="09995F7B" w:rsidRPr="00DA249F">
        <w:rPr>
          <w:lang w:val="en-GB"/>
        </w:rPr>
        <w:t xml:space="preserve">. </w:t>
      </w:r>
      <w:r w:rsidR="008C1BF7" w:rsidRPr="00DA249F">
        <w:rPr>
          <w:rFonts w:eastAsia="Arial"/>
          <w:lang w:val="en-GB" w:eastAsia="en-ZA"/>
        </w:rPr>
        <w:t xml:space="preserve">Resource extraction activities </w:t>
      </w:r>
      <w:r w:rsidR="12E03A87" w:rsidRPr="00DA249F">
        <w:rPr>
          <w:rFonts w:eastAsia="Arial"/>
          <w:lang w:val="en-GB" w:eastAsia="en-ZA"/>
        </w:rPr>
        <w:t xml:space="preserve">also </w:t>
      </w:r>
      <w:r w:rsidR="008C1BF7" w:rsidRPr="00DA249F">
        <w:rPr>
          <w:rFonts w:eastAsia="Arial"/>
          <w:lang w:val="en-GB" w:eastAsia="en-ZA"/>
        </w:rPr>
        <w:t>assist</w:t>
      </w:r>
      <w:r w:rsidR="25167C74" w:rsidRPr="00DA249F">
        <w:rPr>
          <w:rFonts w:eastAsia="Arial"/>
          <w:lang w:val="en-GB" w:eastAsia="en-ZA"/>
        </w:rPr>
        <w:t xml:space="preserve"> in</w:t>
      </w:r>
      <w:r w:rsidR="008C1BF7" w:rsidRPr="00DA249F">
        <w:rPr>
          <w:rFonts w:eastAsia="Arial"/>
          <w:lang w:val="en-GB" w:eastAsia="en-ZA"/>
        </w:rPr>
        <w:t xml:space="preserve"> the introduction of </w:t>
      </w:r>
      <w:r w:rsidR="43E9F18D" w:rsidRPr="00DA249F">
        <w:rPr>
          <w:rFonts w:eastAsia="Arial"/>
          <w:lang w:val="en-GB" w:eastAsia="en-ZA"/>
        </w:rPr>
        <w:t>invasive</w:t>
      </w:r>
      <w:r w:rsidR="008C1BF7" w:rsidRPr="00DA249F">
        <w:rPr>
          <w:rFonts w:eastAsia="Arial"/>
          <w:lang w:val="en-GB" w:eastAsia="en-ZA"/>
        </w:rPr>
        <w:t xml:space="preserve"> </w:t>
      </w:r>
      <w:r w:rsidR="002A0EE8" w:rsidRPr="00DA249F">
        <w:rPr>
          <w:rFonts w:eastAsia="Arial"/>
          <w:lang w:val="en-GB" w:eastAsia="en-ZA"/>
        </w:rPr>
        <w:t xml:space="preserve">alien </w:t>
      </w:r>
      <w:r w:rsidR="008C1BF7" w:rsidRPr="00DA249F">
        <w:rPr>
          <w:rFonts w:eastAsia="Arial"/>
          <w:lang w:val="en-GB" w:eastAsia="en-ZA"/>
        </w:rPr>
        <w:t xml:space="preserve">species </w:t>
      </w:r>
      <w:r w:rsidR="024AC8E0" w:rsidRPr="00DA249F">
        <w:rPr>
          <w:rFonts w:eastAsia="Arial"/>
          <w:lang w:val="en-GB" w:eastAsia="en-ZA"/>
        </w:rPr>
        <w:t xml:space="preserve">to new locations. </w:t>
      </w:r>
      <w:r w:rsidR="00C92C62" w:rsidRPr="00DA249F">
        <w:rPr>
          <w:rFonts w:eastAsia="Arial"/>
          <w:lang w:val="en-GB" w:eastAsia="en-ZA"/>
        </w:rPr>
        <w:t>While</w:t>
      </w:r>
      <w:r w:rsidR="008C1BF7" w:rsidRPr="00DA249F">
        <w:rPr>
          <w:rFonts w:eastAsia="Arial"/>
          <w:lang w:val="en-GB" w:eastAsia="en-ZA"/>
        </w:rPr>
        <w:t xml:space="preserve"> </w:t>
      </w:r>
      <w:r w:rsidR="7087CEE0" w:rsidRPr="00DA249F">
        <w:rPr>
          <w:rFonts w:eastAsia="Arial"/>
          <w:lang w:val="en-GB" w:eastAsia="en-ZA"/>
        </w:rPr>
        <w:t>mining ha</w:t>
      </w:r>
      <w:r w:rsidR="00C92C62" w:rsidRPr="00DA249F">
        <w:rPr>
          <w:rFonts w:eastAsia="Arial"/>
          <w:lang w:val="en-GB" w:eastAsia="en-ZA"/>
        </w:rPr>
        <w:t>s</w:t>
      </w:r>
      <w:r w:rsidR="008C1BF7" w:rsidRPr="00DA249F">
        <w:rPr>
          <w:rFonts w:eastAsia="Arial"/>
          <w:lang w:val="en-GB" w:eastAsia="en-ZA"/>
        </w:rPr>
        <w:t xml:space="preserve"> a relatively small contribution to overall land</w:t>
      </w:r>
      <w:r w:rsidR="00DE124F" w:rsidRPr="00DA249F">
        <w:rPr>
          <w:rFonts w:eastAsia="Arial"/>
          <w:lang w:val="en-GB" w:eastAsia="en-ZA"/>
        </w:rPr>
        <w:t>-</w:t>
      </w:r>
      <w:r w:rsidR="008C1BF7" w:rsidRPr="00DA249F">
        <w:rPr>
          <w:rFonts w:eastAsia="Arial"/>
          <w:lang w:val="en-GB" w:eastAsia="en-ZA"/>
        </w:rPr>
        <w:t>use change</w:t>
      </w:r>
      <w:r w:rsidR="006C60D3" w:rsidRPr="00DA249F">
        <w:rPr>
          <w:rFonts w:eastAsia="Arial"/>
          <w:lang w:val="en-GB" w:eastAsia="en-ZA"/>
        </w:rPr>
        <w:t xml:space="preserve"> (less than about </w:t>
      </w:r>
      <w:r w:rsidR="1ADE7292" w:rsidRPr="00DA249F">
        <w:rPr>
          <w:rFonts w:eastAsia="Arial"/>
          <w:lang w:val="en-GB" w:eastAsia="en-ZA"/>
        </w:rPr>
        <w:t>1</w:t>
      </w:r>
      <w:r w:rsidR="00AC6291" w:rsidRPr="00DA249F">
        <w:rPr>
          <w:lang w:val="en-GB"/>
        </w:rPr>
        <w:t xml:space="preserve"> </w:t>
      </w:r>
      <w:r w:rsidR="004C77CD" w:rsidRPr="00DA249F">
        <w:rPr>
          <w:lang w:val="en-GB"/>
        </w:rPr>
        <w:t>per cent</w:t>
      </w:r>
      <w:r w:rsidR="00C26E50" w:rsidRPr="00DA249F">
        <w:rPr>
          <w:lang w:val="en-GB"/>
        </w:rPr>
        <w:t xml:space="preserve"> of the area</w:t>
      </w:r>
      <w:r w:rsidR="00AC6291" w:rsidRPr="00DA249F">
        <w:rPr>
          <w:lang w:val="en-GB"/>
        </w:rPr>
        <w:t>;</w:t>
      </w:r>
      <w:r w:rsidR="00AC6291" w:rsidRPr="00DA249F" w:rsidDel="00AC6291">
        <w:rPr>
          <w:rFonts w:eastAsia="Arial"/>
          <w:lang w:val="en-GB" w:eastAsia="en-ZA"/>
        </w:rPr>
        <w:t xml:space="preserve"> </w:t>
      </w:r>
      <w:r w:rsidR="008C1BF7" w:rsidRPr="00DA249F">
        <w:rPr>
          <w:lang w:val="en-GB"/>
        </w:rPr>
        <w:fldChar w:fldCharType="begin"/>
      </w:r>
      <w:r w:rsidR="00331A79">
        <w:rPr>
          <w:lang w:val="en-GB"/>
        </w:rPr>
        <w:instrText xml:space="preserve"> ADDIN ZOTERO_ITEM CSL_CITATION {"citationID":"9Zu6Ao0Q","properties":{"formattedCitation":"(Maus et al., 2020)","plainCitation":"(Maus et al., 2020)","dontUpdate":true,"noteIndex":0},"citationItems":[{"id":24972,"uris":["http://zotero.org/groups/2352922/items/BJLSIGV8"],"itemData":{"id":24972,"type":"article-journal","abstract":"The area used for mineral extraction is a key indicator for understanding and mitigating the environmental impacts caused by the extractive sector. To date, worldwide data products on mineral extraction do not report the area used by mining activities. In this paper, we contribute to filling this gap by presenting a new data set of mining extents derived by visual interpretation of satellite images. We delineated mining areas within a 10 km buffer from the approximate geographical coordinates of more than six thousand active mining sites across the globe. The result is a global-scale data set consisting of 21,060 polygons that add up to 57,277 km2. The polygons cover all mining above-ground features that could be identified from the satellite images, including open cuts, tailings dams, waste rock dumps, water ponds, and processing infrastructure. The data set is available for download from https://doi.org/10.1594/PANGAEA.910894and visualization at www.fineprint.global/viewer.","container-title":"Scientific Data","DOI":"10.1038/s41597-020-00624-w","ISSN":"2052-4463","issue":"1","language":"en","license":"2020 The Author(s)","note":"number: 1\npublisher: Nature Publishing Group","page":"289","source":"www.nature.com","title":"A global-scale data set of mining areas","URL":"https://www.nature.com/articles/s41597-020-00624-w","volume":"7","author":[{"family":"Maus","given":"Victor"},{"family":"Giljum","given":"Stefan"},{"family":"Gutschlhofer","given":"Jakob"},{"family":"Silva","given":"Dieison M.","non-dropping-particle":"da"},{"family":"Probst","given":"Michael"},{"family":"Gass","given":"Sidnei L. B."},{"family":"Luckeneder","given":"Sebastian"},{"family":"Lieber","given":"Mirko"},{"family":"McCallum","given":"Ian"}],"accessed":{"date-parts":[["2021",4,7]]},"issued":{"date-parts":[["2020",9,8]]}},"label":"page"}],"schema":"https://github.com/citation-style-language/schema/raw/master/csl-citation.json"} </w:instrText>
      </w:r>
      <w:r w:rsidR="008C1BF7" w:rsidRPr="00DA249F">
        <w:rPr>
          <w:lang w:val="en-GB"/>
        </w:rPr>
        <w:fldChar w:fldCharType="separate"/>
      </w:r>
      <w:r w:rsidR="00FD59BC" w:rsidRPr="00DA249F">
        <w:rPr>
          <w:lang w:val="en-GB"/>
        </w:rPr>
        <w:t>Maus et al., 2020)</w:t>
      </w:r>
      <w:r w:rsidR="008C1BF7" w:rsidRPr="00DA249F">
        <w:rPr>
          <w:lang w:val="en-GB"/>
        </w:rPr>
        <w:fldChar w:fldCharType="end"/>
      </w:r>
      <w:r w:rsidR="7A6C15AA" w:rsidRPr="00DA249F">
        <w:rPr>
          <w:rFonts w:eastAsia="Arial"/>
          <w:lang w:val="en-GB" w:eastAsia="en-ZA"/>
        </w:rPr>
        <w:t xml:space="preserve">, </w:t>
      </w:r>
      <w:r w:rsidR="73DD1A44" w:rsidRPr="00DA249F">
        <w:rPr>
          <w:rFonts w:eastAsia="Arial"/>
          <w:lang w:val="en-GB" w:eastAsia="en-ZA"/>
        </w:rPr>
        <w:t xml:space="preserve">its ecological footprint is large </w:t>
      </w:r>
      <w:r w:rsidR="008C1BF7" w:rsidRPr="00DA249F">
        <w:rPr>
          <w:rFonts w:eastAsia="Arial"/>
          <w:lang w:val="en-GB" w:eastAsia="en-ZA"/>
        </w:rPr>
        <w:fldChar w:fldCharType="begin"/>
      </w:r>
      <w:r w:rsidR="00331A79">
        <w:rPr>
          <w:rFonts w:eastAsia="Arial"/>
          <w:lang w:val="en-GB" w:eastAsia="en-ZA"/>
        </w:rPr>
        <w:instrText xml:space="preserve"> ADDIN ZOTERO_ITEM CSL_CITATION {"citationID":"cE0K4cQ1","properties":{"formattedCitation":"(Sonter et al., 2014)","plainCitation":"(Sonter et al., 2014)","noteIndex":0},"citationItems":[{"id":24332,"uris":["http://zotero.org/groups/2352922/items/L8SKHACS"],"itemData":{"id":24332,"type":"article-journal","abstract":"Mining regions undergo abrupt and extensive land use change, the impacts of which pose management challenges for mining companies and regulatory agencies. In this study we investigated 20 years of land use change in Brazil's Iron Quadrangle (QF) mining region. We classified remote sensing images to produce land use maps and conducted a Land Change analysis to investigate the causes and consequences of observed changes. The QF underwent extensive land use change between 1990 and 2010, including deforestation, plantation expansion, urbanization and mine expansion. Comparing our results with those of surrounding non-mining landscapes illustrated important differences. For example, QF contained additional highly profitable land uses, including mining and plantation forestry, which were driven by globalized markets for mineral resources. This finding suggests processes of land use change within mining regions are distinct from those found elsewhere and, as such, land management policies should reflect this. We also hypothesized four generalizations regarding these processes: 1) the direct footprints of mining expands over time, 2) the offsite footprints of mining are extensive and also often expanding, 3) the direct and indirect land used by mines causes environmental and social impacts, some of which are not captured by current management approaches, and 4) the footprints of mining (and associated impacts) are driven by global factors, many of which are uncontrollable by local land holders and regional land management plans and policies. We describe and discuss these generalizations, drawing on published evidence from other mining regions to illustrate both their generality and implications for land management.","collection-title":"Special Volume: The sustainability agenda of the minerals and energy supply and demand network: an integrative analysis of ecological, ethical, economic, and technological dimensions","container-title":"Journal of Cleaner Production","DOI":"10.1016/j.jclepro.2014.03.084","ISSN":"0959-6526","journalAbbreviation":"Journal of Cleaner Production","language":"en","page":"494-501","source":"ScienceDirect","title":"Processes of land use change in mining regions","URL":"https://www.sciencedirect.com/science/article/pii/S0959652614003175","volume":"84","author":[{"family":"Sonter","given":"Laura J."},{"family":"Moran","given":"Chris J."},{"family":"Barrett","given":"Damian J."},{"family":"Soares-Filho","given":"Britaldo S."}],"accessed":{"date-parts":[["2021",2,10]]},"issued":{"date-parts":[["2014",12,1]]}},"label":"page"}],"schema":"https://github.com/citation-style-language/schema/raw/master/csl-citation.json"} </w:instrText>
      </w:r>
      <w:r w:rsidR="008C1BF7" w:rsidRPr="00DA249F">
        <w:rPr>
          <w:rFonts w:eastAsia="Arial"/>
          <w:lang w:val="en-GB" w:eastAsia="en-ZA"/>
        </w:rPr>
        <w:fldChar w:fldCharType="separate"/>
      </w:r>
      <w:r w:rsidR="00144D96" w:rsidRPr="00144D96">
        <w:t>(Sonter et al., 2014)</w:t>
      </w:r>
      <w:r w:rsidR="008C1BF7" w:rsidRPr="00DA249F">
        <w:rPr>
          <w:rFonts w:eastAsia="Arial"/>
          <w:lang w:val="en-GB" w:eastAsia="en-ZA"/>
        </w:rPr>
        <w:fldChar w:fldCharType="end"/>
      </w:r>
      <w:r w:rsidR="00651F0A" w:rsidRPr="00DA249F">
        <w:rPr>
          <w:rFonts w:eastAsia="Arial"/>
          <w:lang w:val="en-GB" w:eastAsia="en-ZA"/>
        </w:rPr>
        <w:t xml:space="preserve">. </w:t>
      </w:r>
    </w:p>
    <w:p w14:paraId="6D350560" w14:textId="339F3A37" w:rsidR="008C1BF7" w:rsidRPr="00DA249F" w:rsidRDefault="4910BD64" w:rsidP="5575EBFC">
      <w:pPr>
        <w:spacing w:before="0" w:after="0"/>
        <w:rPr>
          <w:rFonts w:ascii="Calibri" w:eastAsia="Times New Roman" w:hAnsi="Calibri" w:cs="Calibri"/>
          <w:color w:val="000000"/>
          <w:sz w:val="22"/>
          <w:lang w:val="en-GB" w:eastAsia="zh-CN"/>
        </w:rPr>
      </w:pPr>
      <w:r w:rsidRPr="5575EBFC">
        <w:rPr>
          <w:rFonts w:eastAsia="Arial"/>
          <w:lang w:val="en-GB" w:eastAsia="en-ZA"/>
        </w:rPr>
        <w:t xml:space="preserve">The transport of equipment, the construction of roads </w:t>
      </w:r>
      <w:r w:rsidR="6D1F7832" w:rsidRPr="5575EBFC">
        <w:rPr>
          <w:rFonts w:eastAsia="Arial"/>
          <w:lang w:val="en-GB" w:eastAsia="en-ZA"/>
        </w:rPr>
        <w:t xml:space="preserve">or harbours </w:t>
      </w:r>
      <w:r w:rsidRPr="5575EBFC">
        <w:rPr>
          <w:rFonts w:eastAsia="Arial"/>
          <w:lang w:val="en-GB" w:eastAsia="en-ZA"/>
        </w:rPr>
        <w:t>to access mining sites</w:t>
      </w:r>
      <w:r w:rsidR="027E803D" w:rsidRPr="5575EBFC">
        <w:rPr>
          <w:rFonts w:eastAsia="Arial"/>
          <w:lang w:val="en-GB" w:eastAsia="en-ZA"/>
        </w:rPr>
        <w:t>,</w:t>
      </w:r>
      <w:r w:rsidRPr="5575EBFC">
        <w:rPr>
          <w:rFonts w:eastAsia="Arial"/>
          <w:lang w:val="en-GB" w:eastAsia="en-ZA"/>
        </w:rPr>
        <w:t xml:space="preserve"> </w:t>
      </w:r>
      <w:r w:rsidR="699E55BF" w:rsidRPr="5575EBFC">
        <w:rPr>
          <w:rFonts w:eastAsia="Arial"/>
          <w:lang w:val="en-GB" w:eastAsia="en-ZA"/>
        </w:rPr>
        <w:t xml:space="preserve">and </w:t>
      </w:r>
      <w:r w:rsidR="027E803D" w:rsidRPr="5575EBFC">
        <w:rPr>
          <w:rFonts w:eastAsia="Arial"/>
          <w:lang w:val="en-GB" w:eastAsia="en-ZA"/>
        </w:rPr>
        <w:t>the</w:t>
      </w:r>
      <w:r w:rsidR="699E55BF" w:rsidRPr="5575EBFC">
        <w:rPr>
          <w:rFonts w:eastAsia="Arial"/>
          <w:lang w:val="en-GB" w:eastAsia="en-ZA"/>
        </w:rPr>
        <w:t xml:space="preserve"> associated increase in vehicles or ships for </w:t>
      </w:r>
      <w:r w:rsidR="027E803D" w:rsidRPr="5575EBFC">
        <w:rPr>
          <w:rFonts w:eastAsia="Arial"/>
          <w:lang w:val="en-GB" w:eastAsia="en-ZA"/>
        </w:rPr>
        <w:t>construction</w:t>
      </w:r>
      <w:r w:rsidR="6A2DAF30" w:rsidRPr="5575EBFC">
        <w:rPr>
          <w:rFonts w:eastAsia="Arial"/>
          <w:lang w:val="en-GB" w:eastAsia="en-ZA"/>
        </w:rPr>
        <w:t xml:space="preserve"> of infrastructure</w:t>
      </w:r>
      <w:r w:rsidR="027E803D" w:rsidRPr="5575EBFC">
        <w:rPr>
          <w:rFonts w:eastAsia="Arial"/>
          <w:lang w:val="en-GB" w:eastAsia="en-ZA"/>
        </w:rPr>
        <w:t xml:space="preserve"> and for </w:t>
      </w:r>
      <w:r w:rsidR="699E55BF" w:rsidRPr="5575EBFC">
        <w:rPr>
          <w:rFonts w:eastAsia="Arial"/>
          <w:lang w:val="en-GB" w:eastAsia="en-ZA"/>
        </w:rPr>
        <w:t xml:space="preserve">transport of mining products </w:t>
      </w:r>
      <w:r w:rsidRPr="5575EBFC">
        <w:rPr>
          <w:rFonts w:eastAsia="Arial"/>
          <w:lang w:val="en-GB" w:eastAsia="en-ZA"/>
        </w:rPr>
        <w:t>can act as pathways and vectors for the introduction of invasive alien species and pathogens</w:t>
      </w:r>
      <w:r w:rsidR="03B95A5D" w:rsidRPr="5575EBFC">
        <w:rPr>
          <w:rFonts w:eastAsia="Arial"/>
          <w:lang w:val="en-GB" w:eastAsia="en-ZA"/>
        </w:rPr>
        <w:t>,</w:t>
      </w:r>
      <w:r w:rsidR="4582AC8D" w:rsidRPr="5575EBFC">
        <w:rPr>
          <w:rFonts w:eastAsia="Arial"/>
          <w:lang w:val="en-GB" w:eastAsia="en-ZA"/>
        </w:rPr>
        <w:t xml:space="preserve"> while also facilitating </w:t>
      </w:r>
      <w:r w:rsidR="06BBD893" w:rsidRPr="5575EBFC">
        <w:rPr>
          <w:rFonts w:eastAsia="Arial"/>
          <w:lang w:val="en-GB" w:eastAsia="en-ZA"/>
        </w:rPr>
        <w:t>the establishment and spread of invasive alien species</w:t>
      </w:r>
      <w:r w:rsidR="0BE76685" w:rsidRPr="5575EBFC">
        <w:rPr>
          <w:rFonts w:eastAsia="Arial"/>
          <w:lang w:val="en-GB" w:eastAsia="en-ZA"/>
        </w:rPr>
        <w:t xml:space="preserve"> </w:t>
      </w:r>
      <w:r w:rsidR="4582AC8D" w:rsidRPr="5575EBFC">
        <w:rPr>
          <w:rFonts w:eastAsia="Arial"/>
          <w:lang w:val="en-GB" w:eastAsia="en-ZA"/>
        </w:rPr>
        <w:t xml:space="preserve">due to increased disturbance </w:t>
      </w:r>
      <w:r w:rsidR="00651F0A" w:rsidRPr="5575EBFC">
        <w:rPr>
          <w:rFonts w:eastAsia="Arial"/>
          <w:lang w:val="en-GB" w:eastAsia="en-ZA"/>
        </w:rPr>
        <w:fldChar w:fldCharType="begin"/>
      </w:r>
      <w:r w:rsidR="00331A79">
        <w:rPr>
          <w:rFonts w:eastAsia="Arial"/>
          <w:lang w:val="en-GB" w:eastAsia="en-ZA"/>
        </w:rPr>
        <w:instrText xml:space="preserve"> ADDIN ZOTERO_ITEM CSL_CITATION {"citationID":"wgBjta0c","properties":{"formattedCitation":"(F. Bell &amp; Donnelly, 2006; Gelbard &amp; Belnap, 2003)","plainCitation":"(F. Bell &amp; Donnelly, 2006; Gelbard &amp; Belnap, 2003)","dontUpdate":true,"noteIndex":0},"citationItems":[{"id":16216,"uris":["http://zotero.org/groups/2352922/items/6X5D5WSF"],"itemData":{"id":16216,"type":"book","ISBN":"ISBN 9780367390792","publisher":"CRC Press, Boca Raton, FL","title":"Mining and its Impact on the Environment","URL":"https://www.crcpress.com/Mining-and-its-Impact-on-the-Environment/Bell-Donnelly/p/book/9780367390792","author":[{"family":"Bell","given":"Fred"},{"family":"Donnelly","given":"Laurance"}],"accessed":{"date-parts":[["2019",11,11]]},"issued":{"date-parts":[["2006"]]}},"label":"page"},{"id":29413,"uris":["http://zotero.org/groups/2352922/items/AJIPWZI9"],"itemData":{"id":29413,"type":"article-journal","abstract":"Abstract: Roads are believed to be a major contributing factor to the ongoing spread of exotic plants. We examined the effect of road improvement and environmental variables on exotic and native plant diversity in roadside verges and adjacent semiarid grassland, shrubland, and woodland communities of southern Utah ( U.S.A. ). We measured the cover of exotic and native species in roadside verges and both the richness and cover of exotic and native species in adjacent interior communities ( 50 m beyond the edge of the road cut ) along 42 roads stratified by level of road improvement ( paved, improved surface, graded, and four-wheel-drive track ). In roadside verges along paved roads, the cover of Bromus tectorum was three times as great ( 27% ) as in verges along four-wheel-drive tracks ( 9% ). The cover of five common exotic forb species tended to be lower in verges along four-wheel-drive tracks than in verges along more improved roads. The richness and cover of exotic species were both more than 50% greater, and the richness of native species was 30% lower, at interior sites adjacent to paved roads than at those adjacent to four-wheel-drive tracks. In addition, environmental variables relating to dominant vegetation, disturbance, and topography were significantly correlated with exotic and native species richness and cover. Improved roads can act as conduits for the invasion of adjacent ecosystems by converting natural habitats to those highly vulnerable to invasion. However, variation in dominant vegetation, soil moisture, nutrient levels, soil depth, disturbance, and topography may render interior communities differentially susceptible to invasions originating from roadside verges. Plant communities that are both physically invasible ( e.g., characterized by deep or fertile soils ) and disturbed appear most vulnerable. Decision-makers considering whether to build, improve, and maintain roads should take into account the potential spread of exotic plants.","container-title":"Conservation Biology","DOI":"10.1046/j.1523-1739.2003.01408.x","ISSN":"1523-1739","issue":"2","language":"en","page":"420-432","source":"Wiley Online Library","title":"Roads as Conduits for Exotic Plant Invasions in a Semiarid Landscape","URL":"https://conbio.onlinelibrary.wiley.com/doi/abs/10.1046/j.1523-1739.2003.01408.x","volume":"17","author":[{"family":"Gelbard","given":"Jonathan L."},{"family":"Belnap","given":"Jayne"}],"accessed":{"date-parts":[["2019",9,24]]},"issued":{"date-parts":[["2003"]]}},"label":"page"}],"schema":"https://github.com/citation-style-language/schema/raw/master/csl-citation.json"} </w:instrText>
      </w:r>
      <w:r w:rsidR="00651F0A" w:rsidRPr="5575EBFC">
        <w:rPr>
          <w:rFonts w:eastAsia="Arial"/>
          <w:lang w:val="en-GB" w:eastAsia="en-ZA"/>
        </w:rPr>
        <w:fldChar w:fldCharType="separate"/>
      </w:r>
      <w:r w:rsidR="508AC9BE" w:rsidRPr="5575EBFC">
        <w:rPr>
          <w:lang w:val="en-GB"/>
        </w:rPr>
        <w:t>(F. Bell &amp; Donnelly, 2006; Gelbard &amp; Belnap, 2003</w:t>
      </w:r>
      <w:r w:rsidR="00651F0A" w:rsidRPr="5575EBFC">
        <w:rPr>
          <w:rFonts w:eastAsia="Arial"/>
          <w:lang w:val="en-GB" w:eastAsia="en-ZA"/>
        </w:rPr>
        <w:fldChar w:fldCharType="end"/>
      </w:r>
      <w:r w:rsidR="6985A07F" w:rsidRPr="5575EBFC">
        <w:rPr>
          <w:rFonts w:eastAsia="Arial"/>
          <w:lang w:val="en-GB" w:eastAsia="en-ZA"/>
        </w:rPr>
        <w:t>;</w:t>
      </w:r>
      <w:r w:rsidRPr="5575EBFC">
        <w:rPr>
          <w:rFonts w:eastAsia="Arial"/>
          <w:lang w:val="en-GB"/>
        </w:rPr>
        <w:t xml:space="preserve"> </w:t>
      </w:r>
      <w:r w:rsidRPr="5575EBFC">
        <w:rPr>
          <w:rFonts w:eastAsia="Arial"/>
          <w:b/>
          <w:bCs/>
          <w:lang w:val="en-GB"/>
        </w:rPr>
        <w:t>sections 3.3.1.3</w:t>
      </w:r>
      <w:r w:rsidRPr="5575EBFC">
        <w:rPr>
          <w:rFonts w:eastAsia="Arial"/>
          <w:lang w:val="en-GB"/>
        </w:rPr>
        <w:t>,</w:t>
      </w:r>
      <w:r w:rsidRPr="5575EBFC">
        <w:rPr>
          <w:rFonts w:eastAsia="Arial"/>
          <w:b/>
          <w:bCs/>
          <w:lang w:val="en-GB"/>
        </w:rPr>
        <w:t xml:space="preserve"> 3</w:t>
      </w:r>
      <w:r w:rsidR="3254F585" w:rsidRPr="5575EBFC">
        <w:rPr>
          <w:rFonts w:eastAsia="Arial"/>
          <w:b/>
          <w:bCs/>
          <w:lang w:val="en-GB"/>
        </w:rPr>
        <w:t>.3.1.4</w:t>
      </w:r>
      <w:r w:rsidR="3254F585" w:rsidRPr="5575EBFC">
        <w:rPr>
          <w:rFonts w:eastAsia="Arial"/>
          <w:lang w:val="en-GB"/>
        </w:rPr>
        <w:t>,</w:t>
      </w:r>
      <w:r w:rsidR="3254F585" w:rsidRPr="5575EBFC">
        <w:rPr>
          <w:rFonts w:eastAsia="Arial"/>
          <w:b/>
          <w:bCs/>
          <w:lang w:val="en-GB"/>
        </w:rPr>
        <w:t xml:space="preserve"> 3.3.1.5</w:t>
      </w:r>
      <w:r w:rsidR="004221FA">
        <w:rPr>
          <w:rFonts w:eastAsia="Arial"/>
          <w:lang w:val="en-GB"/>
        </w:rPr>
        <w:t xml:space="preserve"> and</w:t>
      </w:r>
      <w:r w:rsidR="3254F585" w:rsidRPr="5575EBFC">
        <w:rPr>
          <w:rFonts w:eastAsia="Arial"/>
          <w:b/>
          <w:bCs/>
          <w:lang w:val="en-GB"/>
        </w:rPr>
        <w:t xml:space="preserve"> 3.3.1.</w:t>
      </w:r>
      <w:r w:rsidR="6D05EFEE" w:rsidRPr="5575EBFC">
        <w:rPr>
          <w:rFonts w:eastAsia="Arial"/>
          <w:b/>
          <w:bCs/>
          <w:lang w:val="en-GB"/>
        </w:rPr>
        <w:t>6</w:t>
      </w:r>
      <w:r w:rsidRPr="5575EBFC">
        <w:rPr>
          <w:rFonts w:eastAsia="Arial"/>
          <w:lang w:val="en-GB"/>
        </w:rPr>
        <w:t>)</w:t>
      </w:r>
      <w:r w:rsidRPr="5575EBFC">
        <w:rPr>
          <w:rFonts w:eastAsia="Arial"/>
          <w:lang w:val="en-GB" w:eastAsia="en-ZA"/>
        </w:rPr>
        <w:t xml:space="preserve">. </w:t>
      </w:r>
      <w:r w:rsidR="20E36249" w:rsidRPr="5575EBFC">
        <w:rPr>
          <w:rFonts w:eastAsia="Arial"/>
          <w:lang w:val="en-GB" w:eastAsia="en-ZA"/>
        </w:rPr>
        <w:t>For example, vehicles and road drainage assist</w:t>
      </w:r>
      <w:r w:rsidR="763E3EBD" w:rsidRPr="5575EBFC">
        <w:rPr>
          <w:rFonts w:eastAsia="Arial"/>
          <w:lang w:val="en-GB" w:eastAsia="en-ZA"/>
        </w:rPr>
        <w:t>ed</w:t>
      </w:r>
      <w:r w:rsidR="20E36249" w:rsidRPr="5575EBFC">
        <w:rPr>
          <w:rFonts w:eastAsia="Arial"/>
          <w:lang w:val="en-GB" w:eastAsia="en-ZA"/>
        </w:rPr>
        <w:t xml:space="preserve"> in the dispersal of spores of </w:t>
      </w:r>
      <w:r w:rsidR="11F70AF0" w:rsidRPr="5575EBFC">
        <w:rPr>
          <w:rFonts w:eastAsia="Arial"/>
          <w:i/>
          <w:iCs/>
          <w:lang w:val="en-GB" w:eastAsia="en-ZA"/>
        </w:rPr>
        <w:t>Phytophthora lateralis</w:t>
      </w:r>
      <w:r w:rsidR="11F70AF0" w:rsidRPr="5575EBFC">
        <w:rPr>
          <w:rFonts w:eastAsia="Arial"/>
          <w:lang w:val="en-GB" w:eastAsia="en-ZA"/>
        </w:rPr>
        <w:t xml:space="preserve">, </w:t>
      </w:r>
      <w:r w:rsidR="20E36249" w:rsidRPr="5575EBFC">
        <w:rPr>
          <w:rFonts w:eastAsia="Arial"/>
          <w:lang w:val="en-GB" w:eastAsia="en-ZA"/>
        </w:rPr>
        <w:t xml:space="preserve">an </w:t>
      </w:r>
      <w:r w:rsidR="5AC4F0D2" w:rsidRPr="5575EBFC">
        <w:rPr>
          <w:rFonts w:eastAsia="Arial"/>
          <w:lang w:val="en-GB" w:eastAsia="en-ZA"/>
        </w:rPr>
        <w:t xml:space="preserve">alien </w:t>
      </w:r>
      <w:r w:rsidR="20E36249" w:rsidRPr="5575EBFC">
        <w:rPr>
          <w:rFonts w:eastAsia="Arial"/>
          <w:lang w:val="en-GB" w:eastAsia="en-ZA"/>
        </w:rPr>
        <w:t>root disease</w:t>
      </w:r>
      <w:r w:rsidR="11F70AF0" w:rsidRPr="5575EBFC">
        <w:rPr>
          <w:rFonts w:eastAsia="Arial"/>
          <w:lang w:val="en-GB" w:eastAsia="en-ZA"/>
        </w:rPr>
        <w:t>,</w:t>
      </w:r>
      <w:r w:rsidR="20E36249" w:rsidRPr="5575EBFC">
        <w:rPr>
          <w:rFonts w:eastAsia="Arial"/>
          <w:lang w:val="en-GB" w:eastAsia="en-ZA"/>
        </w:rPr>
        <w:t xml:space="preserve"> </w:t>
      </w:r>
      <w:r w:rsidR="21730859" w:rsidRPr="5575EBFC">
        <w:rPr>
          <w:rFonts w:eastAsia="Arial"/>
          <w:lang w:val="en-GB" w:eastAsia="en-ZA"/>
        </w:rPr>
        <w:t>known to</w:t>
      </w:r>
      <w:r w:rsidR="763E3EBD" w:rsidRPr="5575EBFC">
        <w:rPr>
          <w:rFonts w:eastAsia="Arial"/>
          <w:lang w:val="en-GB" w:eastAsia="en-ZA"/>
        </w:rPr>
        <w:t xml:space="preserve"> </w:t>
      </w:r>
      <w:r w:rsidR="20E36249" w:rsidRPr="5575EBFC">
        <w:rPr>
          <w:rFonts w:eastAsia="Arial"/>
          <w:lang w:val="en-GB" w:eastAsia="en-ZA"/>
        </w:rPr>
        <w:t xml:space="preserve">infect the native </w:t>
      </w:r>
      <w:r w:rsidR="11F70AF0" w:rsidRPr="5575EBFC">
        <w:rPr>
          <w:rFonts w:eastAsia="Arial"/>
          <w:i/>
          <w:iCs/>
          <w:lang w:val="en-GB" w:eastAsia="en-ZA"/>
        </w:rPr>
        <w:t>Chamaecyparis lawsoniana</w:t>
      </w:r>
      <w:r w:rsidR="11F70AF0" w:rsidRPr="5575EBFC">
        <w:rPr>
          <w:rFonts w:eastAsia="Arial"/>
          <w:lang w:val="en-GB" w:eastAsia="en-ZA"/>
        </w:rPr>
        <w:t xml:space="preserve"> </w:t>
      </w:r>
      <w:r w:rsidR="20E36249" w:rsidRPr="5575EBFC">
        <w:rPr>
          <w:rFonts w:eastAsia="Arial"/>
          <w:lang w:val="en-GB" w:eastAsia="en-ZA"/>
        </w:rPr>
        <w:t>(Port Orford cedar</w:t>
      </w:r>
      <w:r w:rsidR="42CE9AAA" w:rsidRPr="5575EBFC">
        <w:rPr>
          <w:rFonts w:eastAsia="Arial"/>
          <w:lang w:val="en-GB" w:eastAsia="en-ZA"/>
        </w:rPr>
        <w:t>) in coal mining areas</w:t>
      </w:r>
      <w:r w:rsidR="20E36249" w:rsidRPr="5575EBFC">
        <w:rPr>
          <w:rFonts w:eastAsia="Arial"/>
          <w:lang w:val="en-GB" w:eastAsia="en-ZA"/>
        </w:rPr>
        <w:t xml:space="preserve"> </w:t>
      </w:r>
      <w:r w:rsidR="42CE9AAA" w:rsidRPr="5575EBFC">
        <w:rPr>
          <w:rFonts w:eastAsia="Arial"/>
          <w:lang w:val="en-GB" w:eastAsia="en-ZA"/>
        </w:rPr>
        <w:t>in the United States</w:t>
      </w:r>
      <w:r w:rsidR="5EB8291C" w:rsidRPr="5575EBFC">
        <w:rPr>
          <w:rFonts w:eastAsia="Arial"/>
          <w:lang w:val="en-GB" w:eastAsia="en-ZA"/>
        </w:rPr>
        <w:t xml:space="preserve"> </w:t>
      </w:r>
      <w:r w:rsidR="00651F0A" w:rsidRPr="5575EBFC">
        <w:rPr>
          <w:rFonts w:eastAsia="Arial"/>
          <w:lang w:val="en-GB" w:eastAsia="en-ZA"/>
        </w:rPr>
        <w:fldChar w:fldCharType="begin"/>
      </w:r>
      <w:r w:rsidR="00331A79">
        <w:rPr>
          <w:rFonts w:eastAsia="Arial"/>
          <w:lang w:val="en-GB" w:eastAsia="en-ZA"/>
        </w:rPr>
        <w:instrText xml:space="preserve"> ADDIN ZOTERO_ITEM CSL_CITATION {"citationID":"TXlStz1H","properties":{"formattedCitation":"(Zobel et al., 1985)","plainCitation":"(Zobel et al., 1985)","noteIndex":0},"citationItems":[{"id":24989,"uris":["http://zotero.org/groups/2352922/items/RMNCXXGB"],"itemData":{"id":24989,"type":"book","collection-title":"General Technical Report (GTR)","language":"en","note":"Google-Books-ID: MhhgddsXmDUC","number-of-pages":"172","publisher":"U.S. Department of Agriculture, Forest Service, Pacific Northwest Forest and Range Experiment Station","source":"Google Books","title":"Ecology, Pathology, and Management of Port-Orford-cedar (Chamaecyparis lawsoniana)","URL":"https://doi.org/10.2737/PNW-GTR-184","author":[{"family":"Zobel","given":"Donald B."},{"family":"Roroth","given":"Lewis"},{"family":"Hawk","given":"Glen"}],"issued":{"date-parts":[["1985"]]}},"label":"page"}],"schema":"https://github.com/citation-style-language/schema/raw/master/csl-citation.json"} </w:instrText>
      </w:r>
      <w:r w:rsidR="00651F0A" w:rsidRPr="5575EBFC">
        <w:rPr>
          <w:rFonts w:eastAsia="Arial"/>
          <w:lang w:val="en-GB" w:eastAsia="en-ZA"/>
        </w:rPr>
        <w:fldChar w:fldCharType="separate"/>
      </w:r>
      <w:r w:rsidR="6B5F9B9E">
        <w:t>(Zobel et al., 1985)</w:t>
      </w:r>
      <w:r w:rsidR="00651F0A" w:rsidRPr="5575EBFC">
        <w:rPr>
          <w:rFonts w:eastAsia="Arial"/>
          <w:lang w:val="en-GB" w:eastAsia="en-ZA"/>
        </w:rPr>
        <w:fldChar w:fldCharType="end"/>
      </w:r>
      <w:r w:rsidR="20E36249" w:rsidRPr="5575EBFC">
        <w:rPr>
          <w:rFonts w:eastAsia="Arial"/>
          <w:lang w:val="en-GB" w:eastAsia="en-ZA"/>
        </w:rPr>
        <w:t xml:space="preserve">. </w:t>
      </w:r>
      <w:r w:rsidR="29911914" w:rsidRPr="5575EBFC">
        <w:rPr>
          <w:rFonts w:eastAsia="Arial"/>
          <w:lang w:val="en-GB" w:eastAsia="en-ZA"/>
        </w:rPr>
        <w:t>Similarly, the introduction of marine</w:t>
      </w:r>
      <w:r w:rsidR="7515C646" w:rsidRPr="5575EBFC">
        <w:rPr>
          <w:rFonts w:eastAsia="Arial"/>
          <w:lang w:val="en-GB" w:eastAsia="en-ZA"/>
        </w:rPr>
        <w:t xml:space="preserve"> invasive alien</w:t>
      </w:r>
      <w:r w:rsidR="29911914" w:rsidRPr="5575EBFC">
        <w:rPr>
          <w:rFonts w:eastAsia="Arial"/>
          <w:lang w:val="en-GB" w:eastAsia="en-ZA"/>
        </w:rPr>
        <w:t xml:space="preserve"> </w:t>
      </w:r>
      <w:r w:rsidR="603E657A" w:rsidRPr="5575EBFC">
        <w:rPr>
          <w:rFonts w:eastAsia="Arial"/>
          <w:i/>
          <w:iCs/>
          <w:lang w:val="en-GB" w:eastAsia="en-ZA"/>
        </w:rPr>
        <w:t>Tubastraea</w:t>
      </w:r>
      <w:r w:rsidR="603E657A" w:rsidRPr="5575EBFC">
        <w:rPr>
          <w:rFonts w:eastAsia="Arial"/>
          <w:lang w:val="en-GB" w:eastAsia="en-ZA"/>
        </w:rPr>
        <w:t xml:space="preserve"> spp. (</w:t>
      </w:r>
      <w:r w:rsidR="11214828" w:rsidRPr="5575EBFC">
        <w:rPr>
          <w:rFonts w:eastAsia="Times New Roman"/>
          <w:color w:val="000000" w:themeColor="text1"/>
          <w:lang w:val="en-GB" w:eastAsia="zh-CN"/>
        </w:rPr>
        <w:t>sun corals</w:t>
      </w:r>
      <w:r w:rsidR="603E657A" w:rsidRPr="5575EBFC">
        <w:rPr>
          <w:rFonts w:eastAsia="Arial"/>
          <w:lang w:val="en-GB" w:eastAsia="en-ZA"/>
        </w:rPr>
        <w:t>)</w:t>
      </w:r>
      <w:r w:rsidR="29911914" w:rsidRPr="5575EBFC">
        <w:rPr>
          <w:rFonts w:eastAsia="Arial"/>
          <w:lang w:val="en-GB" w:eastAsia="en-ZA"/>
        </w:rPr>
        <w:t xml:space="preserve"> to Brazil was associated with towing and anchoring of oil platforms in coastal waters </w:t>
      </w:r>
      <w:r w:rsidR="00651F0A" w:rsidRPr="5575EBFC">
        <w:rPr>
          <w:rFonts w:eastAsia="Arial"/>
          <w:lang w:val="en-GB" w:eastAsia="en-ZA"/>
        </w:rPr>
        <w:fldChar w:fldCharType="begin"/>
      </w:r>
      <w:r w:rsidR="00331A79">
        <w:rPr>
          <w:rFonts w:eastAsia="Arial"/>
          <w:lang w:val="en-GB" w:eastAsia="en-ZA"/>
        </w:rPr>
        <w:instrText xml:space="preserve"> ADDIN ZOTERO_ITEM CSL_CITATION {"citationID":"THHj0uCK","properties":{"formattedCitation":"(Capel et al., 2019)","plainCitation":"(Capel et al., 2019)","noteIndex":0},"citationItems":[{"id":30879,"uris":["http://zotero.org/groups/2352922/items/KKN6983L"],"itemData":{"id":30879,"type":"article-journal","abstract":"Accidental introduction through ballast water and biofouling are currently the main factors responsible for spreading non-indigenous species in the marine realm. In the Southwestern Atlantic, two scleractinian corals, Tubastraea coccinea and T. tagusensis, have been introduced by opportunistic colonization in 1980 and are now widespread along more than 3,500 km of coastline. To better understand the invasion process and the role of vectors in spreading these species, we sampled 306 and 173 colonies of T. coccinea and T. tagusensis from invaded sites, possible vectors and one native population. Analyses revealed a higher diversity of multi-locus genotypes (MLGs) on vectors, suggesting that they were contaminated prior to their arrival in the Southwestern Atlantic, and a high proportion of clones at invaded sites, with few genotypes spread over ~2,000 km. This broad distribution is most likely a result of secondary introductions through the transport of contaminated vectors. Results also suggest the occurrence of multiple invasions, mainly in the northernmost sites. In summary, clonality, secondary introductions, and multiple invasions are the main reasons for the broad spread and invasive success of Tubastraea spp. in the Southwestern Atlantic. Consequently, the correct control of vectors is the most effective approach for management and prevention of new invasions.","container-title":"Scientific Reports","DOI":"10.1038/s41598-019-50442-3","ISSN":"2045-2322","issue":"1","journalAbbreviation":"Sci Rep","language":"en","license":"2019 The Author(s)","note":"Bandiera_abtest: a\nCc_license_type: cc_by\nCg_type: Nature Research Journals\nnumber: 1\nPrimary_atype: Research\npublisher: Nature Publishing Group\nSubject_term: Invasive species;Molecular ecology;Population genetics\nSubject_term_id: invasive-species;molecular-ecology;population-genetics","page":"13978","source":"www.nature.com","title":"Multiple introductions and secondary dispersion of &lt;i&gt;Tubastraea&lt;/i&gt; spp. in the Southwestern Atlantic","URL":"https://www.nature.com/articles/s41598-019-50442-3","volume":"9","author":[{"family":"Capel","given":"K. C. C."},{"family":"Creed","given":"J."},{"family":"Kitahara","given":"M. V."},{"family":"Chen","given":"C. A."},{"family":"Zilberberg","given":"C."}],"accessed":{"date-parts":[["2021",10,15]]},"issued":{"date-parts":[["2019",9,27]]}},"label":"page"}],"schema":"https://github.com/citation-style-language/schema/raw/master/csl-citation.json"} </w:instrText>
      </w:r>
      <w:r w:rsidR="00651F0A" w:rsidRPr="5575EBFC">
        <w:rPr>
          <w:rFonts w:eastAsia="Arial"/>
          <w:lang w:val="en-GB" w:eastAsia="en-ZA"/>
        </w:rPr>
        <w:fldChar w:fldCharType="separate"/>
      </w:r>
      <w:r w:rsidR="6B5F9B9E">
        <w:t>(Capel et al., 2019)</w:t>
      </w:r>
      <w:r w:rsidR="00651F0A" w:rsidRPr="5575EBFC">
        <w:rPr>
          <w:rFonts w:eastAsia="Arial"/>
          <w:lang w:val="en-GB" w:eastAsia="en-ZA"/>
        </w:rPr>
        <w:fldChar w:fldCharType="end"/>
      </w:r>
      <w:r w:rsidR="29911914" w:rsidRPr="5575EBFC">
        <w:rPr>
          <w:rFonts w:eastAsia="Arial"/>
          <w:lang w:val="en-GB" w:eastAsia="en-ZA"/>
        </w:rPr>
        <w:t xml:space="preserve">. </w:t>
      </w:r>
      <w:r w:rsidR="4D0EA3D3" w:rsidRPr="5575EBFC">
        <w:rPr>
          <w:lang w:val="en-GB"/>
        </w:rPr>
        <w:t xml:space="preserve">The </w:t>
      </w:r>
      <w:r w:rsidR="61AA88E3" w:rsidRPr="5575EBFC">
        <w:rPr>
          <w:lang w:val="en-GB"/>
        </w:rPr>
        <w:t>d</w:t>
      </w:r>
      <w:r w:rsidR="3D04D128" w:rsidRPr="5575EBFC">
        <w:rPr>
          <w:lang w:val="en-GB"/>
        </w:rPr>
        <w:t xml:space="preserve">isturbance and disruption </w:t>
      </w:r>
      <w:r w:rsidR="472BCA9C" w:rsidRPr="5575EBFC">
        <w:rPr>
          <w:lang w:val="en-GB"/>
        </w:rPr>
        <w:t xml:space="preserve">to landscapes </w:t>
      </w:r>
      <w:r w:rsidR="3D04D128" w:rsidRPr="5575EBFC">
        <w:rPr>
          <w:lang w:val="en-GB"/>
        </w:rPr>
        <w:t xml:space="preserve">caused by mining </w:t>
      </w:r>
      <w:r w:rsidR="1F6383C3" w:rsidRPr="5575EBFC">
        <w:rPr>
          <w:lang w:val="en-GB"/>
        </w:rPr>
        <w:t xml:space="preserve">and resource extraction </w:t>
      </w:r>
      <w:r w:rsidR="3D04D128" w:rsidRPr="5575EBFC">
        <w:rPr>
          <w:lang w:val="en-GB"/>
        </w:rPr>
        <w:t>create</w:t>
      </w:r>
      <w:r w:rsidR="67EE86BD" w:rsidRPr="5575EBFC">
        <w:rPr>
          <w:lang w:val="en-GB"/>
        </w:rPr>
        <w:t>s</w:t>
      </w:r>
      <w:r w:rsidR="3D04D128" w:rsidRPr="5575EBFC">
        <w:rPr>
          <w:lang w:val="en-GB"/>
        </w:rPr>
        <w:t xml:space="preserve"> suitable habitats for </w:t>
      </w:r>
      <w:r w:rsidR="5B3BF221" w:rsidRPr="5575EBFC">
        <w:rPr>
          <w:lang w:val="en-GB"/>
        </w:rPr>
        <w:t xml:space="preserve">alien </w:t>
      </w:r>
      <w:r w:rsidR="11BF7A75" w:rsidRPr="5575EBFC">
        <w:rPr>
          <w:lang w:val="en-GB"/>
        </w:rPr>
        <w:t>grasses, shrubs and trees to</w:t>
      </w:r>
      <w:r w:rsidR="3D04D128" w:rsidRPr="5575EBFC">
        <w:rPr>
          <w:lang w:val="en-GB"/>
        </w:rPr>
        <w:t xml:space="preserve"> establish and spread </w:t>
      </w:r>
      <w:r w:rsidR="00651F0A" w:rsidRPr="5575EBFC">
        <w:rPr>
          <w:lang w:val="en-GB"/>
        </w:rPr>
        <w:fldChar w:fldCharType="begin"/>
      </w:r>
      <w:r w:rsidR="00331A79">
        <w:rPr>
          <w:lang w:val="en-GB"/>
        </w:rPr>
        <w:instrText xml:space="preserve"> ADDIN ZOTERO_ITEM CSL_CITATION {"citationID":"x6cxSyPQ","properties":{"formattedCitation":"(Franklin et al., 2012; Lemke et al., 2013)","plainCitation":"(Franklin et al., 2012; Lemke et al., 2013)","noteIndex":0},"citationItems":[{"id":24329,"uris":["http://zotero.org/groups/2352922/items/5UVRJQHZ"],"itemData":{"id":24329,"type":"article-journal","abstract":"Competitive effects of dense herbaceous vegetation (ground cover) can inhibit forest restoration on mine sites. Here we review the evidence of ground cover interactions with planted tree seedlings on coal surface mines of the eastern US, discuss recent research into these interactions, and draw conclusions concerning ground cover management when restoring forests on reclaimed coal mines. Reclaimed mine sites have a high potential to support productive forests, however forest establishment is inhibited by reclamation practices that included soil compaction, and the seeding of competitive ground covers. In the first few years after tree planting, a dense ground cover of grass and legume species commonly seeded on mine sites often affect growth and survival negatively. Herbaceous vegetation providing less extensive and competitive ground coverage may either facilitate or inhibit tree establishment, depending on site conditions. The use of quality planting stock promotes the competitive ability of seedlings by improving nutrient status and the ability to capture available resources. Herbaceous species have contrasting functional characteristics, and thus compete differently with trees for available resources. Negative interactions with trees are more frequently reported for non-native cool-season grasses than for native warm-season grasses, while the effects of legumes change over time. Further research is needed to fully understand the mechanisms of tree/ground cover interactions. The development of seeding mixes that can control erosion, facilitate survival and growth of planted trees, and allow establishment by unplanted native species would aid forest restoration on eastern US, coal mines.","container-title":"New Forests","DOI":"10.1007/s11056-012-9342-8","ISSN":"1573-5095","issue":"5","journalAbbreviation":"New Forests","language":"en","page":"905-924","source":"Springer Link","title":"Influence of herbaceous ground cover on forest restoration of eastern US coal surface mines","URL":"https://doi.org/10.1007/s11056-012-9342-8","volume":"43","author":[{"family":"Franklin","given":"Jennifer A."},{"family":"Zipper","given":"Carl E."},{"family":"Burger","given":"James A."},{"family":"Skousen","given":"Jeffrey G."},{"family":"Jacobs","given":"Douglass F."}],"accessed":{"date-parts":[["2021",2,10]]},"issued":{"date-parts":[["2012",9,1]]}},"label":"page"},{"id":24331,"uris":["http://zotero.org/groups/2352922/items/K4264ZKG"],"itemData":{"id":24331,"type":"article-journal","abstract":"Throughout the world, the invasion of nonnative plants is an increasing threat to native biodiversity and ecosystem sustainability. Invasion is especially prevalent in areas affected by land transformation and disturbance. Surface mines are a major land transformation, and thus may promote the establishment and persistence of invasive plant communities. Using the Shale Hills region of Alabama as a case study, we assessed the use of landscape characteristics in predicting the probability of occurrence of six invasive plant species: sericea lespedeza, Japanese honeysuckle, Chinese privet, autumn-olive, royal paulownia, and sawtooth oak. Models were generated for invasive species occurrence using logistic regression and maximum entropy methods. The predicted probabilities of species occurrence were applied to the mined landscape to assess the probable prevalence of each species across the landscape. Japanese honeysuckle had the highest probable prevalence on the landscape (48% of the area), with royal paulownia having the lowest (less than 1%). Overall, 67% of the landscape was predicted to have at least one invasive plant species, with 20% of the landscape predicted to have two or more species, and 3% of the landscape predicted to have three or more species. Japanese honeysuckle, sericea lespedeza, privet, and autumn-olive showed higher occurrence on the reclaimed sites than across the broader region. We found that geospatial modeling of these invasive plants at this scale offered potential for management, both for identifying habitat types at risk and areas that need management attention. However, the most immediate action for reducing the prevalence of invasive plants on reclaimed mines is to remove invasive plants from the reclamation planting list. Three (sericea lespedeza, autumn-olive, and sawtooth oak) out of the six most common invasive plants in this study were planted as part of reclamation activities.Nomenclature: Autumn-olive, Elaeagnus umbellata Thunb., Chinese privet, Ligustrum sinense Lour., Japanese honeysuckle, Lonicera japonica Thunb., royal paulownia, Paulownia tomentosa (Thunb.) Sieb. &amp; Zucc. ex Steud., sawtooth oak, Quercus acutissima Carruthers, sericea lespedeza, Lespedeza cuneata (Dumont) G. DonManagement Implications: Geospatial modeling of the invasive plants studied, at this project scale, is useful and offers the potential for management both in terms of identifying habitat types most at risk and identifying areas that need management attention. At an individual species level we did not determine the need for strong active management for Japanese honeysuckle (ubiquitous), or royal paulownia (very low prevalence), both volunteer species. The only species not planted for which we suggest active management is Chinese privet. This species is considered to be the second most abundant invasive plant in the South and possibly the most detrimental. We would suggest that privet is of management concern in the Shale Hills region (SHR) given its potential distribution, and that as forest regenerates that it would be advisable to manage for privet, particularly in the depressions and low-lying areas that are more hydric and closer to water. The most immediate action for reducing the prevalence of invasive plants on reclaimed mines would be to remove invasive plants from the reclamation planting list. Three out of the six most common invasive plants have been planted as part of reclamation activities. For the planted species, sericea lespedeza was the most prevalent; however, it may be competitively excluded as forest reestablishes. For the management of this species, increased canopy cover with a diverse forest structure seems to be the best long-term approach, but the best management practice to assist in eliminating this species from the reclaimed sites would be to remove it from allowable seeding mixtures. Autumn-olive, also planted, is not at high densities throughout the larger region; it is very likely that","container-title":"Invasive Plant Science and Management","DOI":"10.1614/IPSM-D-12-00045.1","ISSN":"1939-7291, 1939-747X","issue":"3","journalAbbreviation":"ipsm","note":"publisher: Weed Science Society of America","page":"401-410","source":"bioone.org","title":"Geospatial Assessment of Invasive Plants on Reclaimed Mines in Alabama","URL":"https://bioone.org/journals/invasive-plant-science-and-management/volume-6/issue-3/IPSM-D-12-00045.1/Geospatial-Assessment-of-Invasive-Plants-on-Reclaimed-Mines-in-Alabama/10.1614/IPSM-D-12-00045.1.full","volume":"6","author":[{"family":"Lemke","given":"Dawn"},{"family":"Schweitzer","given":"Callie J."},{"family":"Tadesse","given":"Wubishet"},{"family":"Wang","given":"Yong"},{"family":"Brown","given":"Jennifer A."}],"accessed":{"date-parts":[["2021",2,10]]},"issued":{"date-parts":[["2013",9]]}},"label":"page"}],"schema":"https://github.com/citation-style-language/schema/raw/master/csl-citation.json"} </w:instrText>
      </w:r>
      <w:r w:rsidR="00651F0A" w:rsidRPr="5575EBFC">
        <w:rPr>
          <w:lang w:val="en-GB"/>
        </w:rPr>
        <w:fldChar w:fldCharType="separate"/>
      </w:r>
      <w:r w:rsidR="6B5F9B9E">
        <w:t>(Franklin et al., 2012; Lemke et al., 2013)</w:t>
      </w:r>
      <w:r w:rsidR="00651F0A" w:rsidRPr="5575EBFC">
        <w:rPr>
          <w:lang w:val="en-GB"/>
        </w:rPr>
        <w:fldChar w:fldCharType="end"/>
      </w:r>
      <w:r w:rsidR="3D04D128" w:rsidRPr="5575EBFC">
        <w:rPr>
          <w:lang w:val="en-GB"/>
        </w:rPr>
        <w:t xml:space="preserve">. </w:t>
      </w:r>
      <w:r w:rsidR="3D26394E" w:rsidRPr="5575EBFC">
        <w:rPr>
          <w:lang w:val="en-GB"/>
        </w:rPr>
        <w:t xml:space="preserve">This can occur </w:t>
      </w:r>
      <w:r w:rsidR="3D04D128" w:rsidRPr="5575EBFC">
        <w:rPr>
          <w:lang w:val="en-GB"/>
        </w:rPr>
        <w:t xml:space="preserve">across several different types of mining such as </w:t>
      </w:r>
      <w:r w:rsidR="0E1AE976" w:rsidRPr="5575EBFC">
        <w:rPr>
          <w:lang w:val="en-GB"/>
        </w:rPr>
        <w:t xml:space="preserve">coal bed mining </w:t>
      </w:r>
      <w:r w:rsidR="00651F0A" w:rsidRPr="5575EBFC">
        <w:rPr>
          <w:rFonts w:eastAsia="Arial"/>
          <w:lang w:val="en-GB"/>
        </w:rPr>
        <w:fldChar w:fldCharType="begin"/>
      </w:r>
      <w:r w:rsidR="00331A79">
        <w:rPr>
          <w:rFonts w:eastAsia="Arial"/>
          <w:lang w:val="en-GB"/>
        </w:rPr>
        <w:instrText xml:space="preserve"> ADDIN ZOTERO_ITEM CSL_CITATION {"citationID":"MmVoA8yF","properties":{"unsorted":true,"formattedCitation":"(Bergquist et al., 2007; Oliphant et al., 2017)","plainCitation":"(Bergquist et al., 2007; Oliphant et al., 2017)","noteIndex":0},"citationItems":[{"id":11507,"uris":["http://zotero.org/groups/2352922/items/Z9W8VEZC"],"itemData":{"id":11507,"type":"article-journal","abstract":"One of the fastest growing areas of natural gas production is coal bed methane (CBM) due to the large monetary returns and increased demand for energy from consumers. The Powder River Basin, Wyoming is one of the most rapidly expanding areas of CBM development with projections of the establishment of up to 50,000 wells. CBM disturbances may make the native ecosystem more susceptible to invasion by non-native species, but there are few studies that have been conducted on the environmental impacts of this type of resource extraction. To evaluate the potential effects of CBM development on native plant species distribution and patterns of non-native plant invasion, 36 modified Forest Inventory and Analysis plots (each comprised of four 168-m(2) subplots) were established in the Powder River Basin, Wyoming. There were 73 168-m(2) subplots on control sites; 42 subplots on secondary disturbances; 14 on major surface disturbances; eight on well pads; and seven on sites downslope of CBM wells water discharge points. Native plant species cover ranged from 39.5 +/- 2.7{%} (mean +/- 1 SE) in the secondary disturbance subplots to 17.7 +/- 7.5{%} in the pad subplots. Non-native plant species cover ranged from 31.0 +/- 8.4{%} in the discharge areas to 14.7 +/- 8.9{%} in the pad subplots. The control subplots had significantly less non-native species richness than the combined disturbance types. The combined disturbance subplots had significantly greater soil salinity than the control sites. These results suggest that CBM development and associated disturbances may facilitate the establishment of non-native plants. Future research and management decisions should consider the accumulative landscape-scale effects of CBM development on preserving native plant diversity.","container-title":"Environmental Monitoring and Assessment","DOI":"10.1007/s10661-006-9321-7","ISSN":"0167-6369","issue":"1-3","page":"381-394","title":"Invasive Species and Coal Bed Methane Development in the Powder River Basin, Wyoming","volume":"128","author":[{"family":"Bergquist","given":"E"},{"family":"Evangelista","given":"P"},{"family":"Stohlgren","given":"T J"},{"family":"Alley","given":"N"}],"issued":{"date-parts":[["2007",4]]}},"label":"page"},{"id":16211,"uris":["http://zotero.org/groups/2352922/items/WK3N6XER"],"itemData":{"id":16211,"type":"article-journal","abstract":"Invasive plants threaten native plant communities. Surface coal mines in the Appalachian Mountains are among the most disturbed landscapes in North America, but information about land cover characteristics of Appalachian mined lands is lacking. The invasive shrub autumn olive (Elaeagnus umbellata) occurs on these sites and interferes with ecosystem recovery by outcompeting native trees, thus inhibiting re-establishment of the native woody-plant community. We analyzed Landsat 8 satellite imagery to describe autumn olive’s distribution on post-mined lands in southwestern Virginia within the Appalachian coalfield. Eight images from April 2013 through January 2015 served as input data. Calibration and validation data obtained from high-resolution aerial imagery were used to develop a land cover classification model that identified areas where autumn olive was a primary component of land cover. Results indicate that autumn olive cover was sufficiently dense to enable detection on approximately 12.6 % of post-mined lands within the study area. The classified map had user’s and producer’s accuracies of 85.3 and 78.6 %, respectively, for the autumn olive coverage class. Overall accuracy was assessed in reference to an independent validation dataset at 96.8 %. Autumn olive was detected more frequently on mines disturbed prior to 2003, the last year of known plantings, than on lands disturbed by more recent mining. These results indicate that autumn olive growing on reclaimed coal mines in Virginia and elsewhere in eastern USA can be mapped using Landsat 8 Operational Land Imager imagery; and that autumn olive occurrence is a significant landscape vegetation feature on former surface coal mines in the southwestern Virginia segment of the Appalachian coalfield.","container-title":"Biological Invasions","DOI":"10.1007/s10530-016-1271-6","ISSN":"1573-1464","issue":"1","journalAbbreviation":"Biol Invasions","language":"en","page":"179-195","source":"Springer Link","title":"Autumn olive (&lt;i&gt;Elaeagnus umbellata&lt;/i&gt;) presence and proliferation on former surface coal mines in Eastern USA","URL":"https://doi.org/10.1007/s10530-016-1271-6","volume":"19","author":[{"family":"Oliphant","given":"Adam J."},{"family":"Wynne","given":"R. H."},{"family":"Zipper","given":"C. E."},{"family":"Ford","given":"W. M."},{"family":"Donovan","given":"P. F."},{"family":"Li","given":"Jing"}],"accessed":{"date-parts":[["2019",10,30]]},"issued":{"date-parts":[["2017",1,1]]}},"label":"page"}],"schema":"https://github.com/citation-style-language/schema/raw/master/csl-citation.json"} </w:instrText>
      </w:r>
      <w:r w:rsidR="00651F0A" w:rsidRPr="5575EBFC">
        <w:rPr>
          <w:rFonts w:eastAsia="Arial"/>
          <w:lang w:val="en-GB"/>
        </w:rPr>
        <w:fldChar w:fldCharType="separate"/>
      </w:r>
      <w:r w:rsidR="6B5F9B9E">
        <w:t>(Bergquist et al., 2007; Oliphant et al., 2017)</w:t>
      </w:r>
      <w:r w:rsidR="00651F0A" w:rsidRPr="5575EBFC">
        <w:rPr>
          <w:rFonts w:eastAsia="Arial"/>
          <w:lang w:val="en-GB"/>
        </w:rPr>
        <w:fldChar w:fldCharType="end"/>
      </w:r>
      <w:r w:rsidR="3D04D128" w:rsidRPr="5575EBFC">
        <w:rPr>
          <w:lang w:val="en-GB"/>
        </w:rPr>
        <w:t xml:space="preserve">, </w:t>
      </w:r>
      <w:r w:rsidR="0E1AE976" w:rsidRPr="5575EBFC">
        <w:rPr>
          <w:lang w:val="en-GB"/>
        </w:rPr>
        <w:t xml:space="preserve">open pit mines </w:t>
      </w:r>
      <w:r w:rsidR="00651F0A" w:rsidRPr="5575EBFC">
        <w:rPr>
          <w:rFonts w:eastAsia="Arial"/>
          <w:lang w:val="en-GB" w:eastAsia="en-ZA"/>
        </w:rPr>
        <w:fldChar w:fldCharType="begin"/>
      </w:r>
      <w:r w:rsidR="00331A79">
        <w:rPr>
          <w:rFonts w:eastAsia="Arial"/>
          <w:lang w:val="en-GB" w:eastAsia="en-ZA"/>
        </w:rPr>
        <w:instrText xml:space="preserve"> ADDIN ZOTERO_ITEM CSL_CITATION {"citationID":"WEYNNfCY","properties":{"formattedCitation":"(Hou et al., 2019)","plainCitation":"(Hou et al., 2019)","noteIndex":0},"citationItems":[{"id":16217,"uris":["http://zotero.org/groups/2352922/items/WIQNT83E"],"itemData":{"id":16217,"type":"article-journal","abstract":"Open-pit mining causes severe land degradation in Yunnan Province, Southwest China. Vegetation restoration on the degraded land with open-pit mining is challenging due to great physical and chemical condition changes of the post-mined landscape. In this study, we compared the vegetation community composition and environmental factors along three disturbance gradients (mining area, restoration area, and control area) in four typical open-pit mine types (phosphate, zinc, tin, and iron sites). Nonmetric multidimensional scaling analysis revealed that there are significant differences in the vegetation communities along three gradients for these mine sites. Quality species were selected by indicator species analysis for vegetation restoration as follows: Chloris virgata Sw. and Artemisia princeps Pamp at the phosphate site; Coriaria nepalensis Wall., Artemisia princeps Pamp, and Picris hieracioides L. at the zinc site; Artemisia princeps Pamp at the tin site; and Panicum brevifolium L. at the iron site. Canonical Correspondence Analysis ordination and Monte Carlo permutation tests were further used to determine the effects of environmental factors on vegetation diversity. The results showed that Cd, As, Zn, Pb, TC, and altitude all had significant effects on vegetation diversity (P &lt; 0.05). Additionally, we found that the integrated effects of these variables on vegetation were greater in the mining area than in the other two gradients based on the model with the lowest Akaike Information Criterion. These results suggest that any plans for vegetation restoration in open-pit mining areas should take disturbance intensity, mine types, and critical environmental variables into account.","container-title":"Land Degradation &amp; Development","DOI":"10.1002/ldr.3234","ISSN":"1099-145X","issue":"4","language":"en","license":"© 2018 John Wiley &amp; Sons, Ltd.","page":"437-447","source":"Wiley Online Library","title":"Vegetation community composition along disturbance gradients of four typical open-pit mines in Yunnan Province of southwest China","URL":"https://onlinelibrary.wiley.com/doi/abs/10.1002/ldr.3234","volume":"30","author":[{"family":"Hou","given":"Xiao-yun"},{"family":"Liu","given":"Shi-liang"},{"family":"Cheng","given":"Fang-yan"},{"family":"Zhang","given":"Yue-qiu"},{"family":"Dong","given":"Shi-kui"},{"family":"Su","given":"Xu-kun"},{"family":"Liu","given":"Guo-hua"}],"accessed":{"date-parts":[["2019",10,30]]},"issued":{"date-parts":[["2019"]]}},"label":"page"}],"schema":"https://github.com/citation-style-language/schema/raw/master/csl-citation.json"} </w:instrText>
      </w:r>
      <w:r w:rsidR="00651F0A" w:rsidRPr="5575EBFC">
        <w:rPr>
          <w:rFonts w:eastAsia="Arial"/>
          <w:lang w:val="en-GB" w:eastAsia="en-ZA"/>
        </w:rPr>
        <w:fldChar w:fldCharType="separate"/>
      </w:r>
      <w:r w:rsidR="6B5F9B9E">
        <w:t>(Hou et al., 2019)</w:t>
      </w:r>
      <w:r w:rsidR="00651F0A" w:rsidRPr="5575EBFC">
        <w:rPr>
          <w:rFonts w:eastAsia="Arial"/>
          <w:lang w:val="en-GB" w:eastAsia="en-ZA"/>
        </w:rPr>
        <w:fldChar w:fldCharType="end"/>
      </w:r>
      <w:r w:rsidR="3D04D128" w:rsidRPr="5575EBFC">
        <w:rPr>
          <w:lang w:val="en-GB"/>
        </w:rPr>
        <w:t xml:space="preserve"> and </w:t>
      </w:r>
      <w:r w:rsidR="0E1AE976" w:rsidRPr="5575EBFC">
        <w:rPr>
          <w:lang w:val="en-GB"/>
        </w:rPr>
        <w:t xml:space="preserve">fossil fuel extraction </w:t>
      </w:r>
      <w:r w:rsidR="164BA11F" w:rsidRPr="5575EBFC">
        <w:rPr>
          <w:lang w:val="en-GB"/>
        </w:rPr>
        <w:t>activities</w:t>
      </w:r>
      <w:r w:rsidR="3D04D128" w:rsidRPr="5575EBFC">
        <w:rPr>
          <w:lang w:val="en-GB"/>
        </w:rPr>
        <w:t xml:space="preserve"> </w:t>
      </w:r>
      <w:r w:rsidR="00651F0A" w:rsidRPr="5575EBFC">
        <w:rPr>
          <w:rFonts w:eastAsia="Arial"/>
          <w:lang w:val="en-GB" w:eastAsia="en-ZA"/>
        </w:rPr>
        <w:fldChar w:fldCharType="begin"/>
      </w:r>
      <w:r w:rsidR="00331A79">
        <w:rPr>
          <w:rFonts w:eastAsia="Arial"/>
          <w:lang w:val="en-GB" w:eastAsia="en-ZA"/>
        </w:rPr>
        <w:instrText xml:space="preserve"> ADDIN ZOTERO_ITEM CSL_CITATION {"citationID":"uF7VFpD0","properties":{"formattedCitation":"(Butt et al., 2013)","plainCitation":"(Butt et al., 2013)","noteIndex":0},"citationItems":[{"id":16215,"uris":["http://zotero.org/groups/2352922/items/ZB3NQ956"],"itemData":{"id":16215,"type":"article-journal","abstract":"The overlapping of biodiverse areas and fossil fuel reserves indicates high-risk regions.\nThe overlapping of biodiverse areas and fossil fuel reserves indicates high-risk regions.","container-title":"Science","DOI":"10.1126/science.1237261","ISSN":"0036-8075, 1095-9203","issue":"6157","language":"en","license":"Copyright © 2013, American Association for the Advancement of Science","note":"PMID: 24159031","page":"425-426","source":"science.sciencemag.org","title":"Biodiversity Risks from Fossil Fuel Extraction","URL":"https://science.sciencemag.org/content/342/6157/425","volume":"342","author":[{"family":"Butt","given":"N."},{"family":"Beyer","given":"H. L."},{"family":"Bennett","given":"J. R."},{"family":"Biggs","given":"D."},{"family":"Maggini","given":"R."},{"family":"Mills","given":"M."},{"family":"Renwick","given":"A. R."},{"family":"Seabrook","given":"L. M."},{"family":"Possingham","given":"H. P."}],"accessed":{"date-parts":[["2019",10,30]]},"issued":{"date-parts":[["2013",10,25]]}},"label":"page"}],"schema":"https://github.com/citation-style-language/schema/raw/master/csl-citation.json"} </w:instrText>
      </w:r>
      <w:r w:rsidR="00651F0A" w:rsidRPr="5575EBFC">
        <w:rPr>
          <w:rFonts w:eastAsia="Arial"/>
          <w:lang w:val="en-GB" w:eastAsia="en-ZA"/>
        </w:rPr>
        <w:fldChar w:fldCharType="separate"/>
      </w:r>
      <w:r w:rsidR="6B5F9B9E">
        <w:t>(Butt et al., 2013)</w:t>
      </w:r>
      <w:r w:rsidR="00651F0A" w:rsidRPr="5575EBFC">
        <w:rPr>
          <w:rFonts w:eastAsia="Arial"/>
          <w:lang w:val="en-GB" w:eastAsia="en-ZA"/>
        </w:rPr>
        <w:fldChar w:fldCharType="end"/>
      </w:r>
      <w:r w:rsidR="3D04D128" w:rsidRPr="5575EBFC">
        <w:rPr>
          <w:lang w:val="en-GB"/>
        </w:rPr>
        <w:t xml:space="preserve">. </w:t>
      </w:r>
      <w:r w:rsidR="06AF0540" w:rsidRPr="5575EBFC">
        <w:rPr>
          <w:lang w:val="en-GB"/>
        </w:rPr>
        <w:t>In the context of mining, i</w:t>
      </w:r>
      <w:r w:rsidR="58BE5DAD" w:rsidRPr="5575EBFC">
        <w:rPr>
          <w:lang w:val="en-GB"/>
        </w:rPr>
        <w:t xml:space="preserve">ncreased </w:t>
      </w:r>
      <w:r w:rsidR="6E239875" w:rsidRPr="5575EBFC">
        <w:rPr>
          <w:lang w:val="en-GB"/>
        </w:rPr>
        <w:t xml:space="preserve">abundance of established </w:t>
      </w:r>
      <w:r w:rsidR="58BE5DAD" w:rsidRPr="5575EBFC">
        <w:rPr>
          <w:lang w:val="en-GB"/>
        </w:rPr>
        <w:t>invasive</w:t>
      </w:r>
      <w:r w:rsidR="64DE4BFA" w:rsidRPr="5575EBFC">
        <w:rPr>
          <w:lang w:val="en-GB"/>
        </w:rPr>
        <w:t xml:space="preserve"> alien</w:t>
      </w:r>
      <w:r w:rsidR="58BE5DAD" w:rsidRPr="5575EBFC">
        <w:rPr>
          <w:lang w:val="en-GB"/>
        </w:rPr>
        <w:t xml:space="preserve"> sp</w:t>
      </w:r>
      <w:r w:rsidR="0721AE00" w:rsidRPr="5575EBFC">
        <w:rPr>
          <w:lang w:val="en-GB"/>
        </w:rPr>
        <w:t>e</w:t>
      </w:r>
      <w:r w:rsidR="58BE5DAD" w:rsidRPr="5575EBFC">
        <w:rPr>
          <w:lang w:val="en-GB"/>
        </w:rPr>
        <w:t xml:space="preserve">cies </w:t>
      </w:r>
      <w:r w:rsidR="0DD2CB7E" w:rsidRPr="5575EBFC">
        <w:rPr>
          <w:lang w:val="en-GB"/>
        </w:rPr>
        <w:t xml:space="preserve">are </w:t>
      </w:r>
      <w:r w:rsidR="0721AE00" w:rsidRPr="5575EBFC">
        <w:rPr>
          <w:lang w:val="en-GB"/>
        </w:rPr>
        <w:t>associated with</w:t>
      </w:r>
      <w:r w:rsidR="4E8A6E70" w:rsidRPr="5575EBFC">
        <w:rPr>
          <w:lang w:val="en-GB"/>
        </w:rPr>
        <w:t xml:space="preserve"> </w:t>
      </w:r>
      <w:r w:rsidR="059ECC24" w:rsidRPr="5575EBFC">
        <w:rPr>
          <w:lang w:val="en-GB"/>
        </w:rPr>
        <w:t>disturb</w:t>
      </w:r>
      <w:r w:rsidR="0721AE00" w:rsidRPr="5575EBFC">
        <w:rPr>
          <w:lang w:val="en-GB"/>
        </w:rPr>
        <w:t>ed</w:t>
      </w:r>
      <w:r w:rsidR="059ECC24" w:rsidRPr="5575EBFC">
        <w:rPr>
          <w:lang w:val="en-GB"/>
        </w:rPr>
        <w:t xml:space="preserve"> </w:t>
      </w:r>
      <w:r w:rsidR="3B14E59A" w:rsidRPr="5575EBFC">
        <w:rPr>
          <w:lang w:val="en-GB"/>
        </w:rPr>
        <w:t>and fragment</w:t>
      </w:r>
      <w:r w:rsidR="0721AE00" w:rsidRPr="5575EBFC">
        <w:rPr>
          <w:lang w:val="en-GB"/>
        </w:rPr>
        <w:t>ed</w:t>
      </w:r>
      <w:r w:rsidR="3B14E59A" w:rsidRPr="5575EBFC">
        <w:rPr>
          <w:lang w:val="en-GB"/>
        </w:rPr>
        <w:t xml:space="preserve"> </w:t>
      </w:r>
      <w:r w:rsidR="059ECC24" w:rsidRPr="5575EBFC">
        <w:rPr>
          <w:lang w:val="en-GB"/>
        </w:rPr>
        <w:t>of habitat</w:t>
      </w:r>
      <w:r w:rsidR="623F2D11" w:rsidRPr="5575EBFC">
        <w:rPr>
          <w:lang w:val="en-GB"/>
        </w:rPr>
        <w:t>s</w:t>
      </w:r>
      <w:r w:rsidR="059ECC24" w:rsidRPr="5575EBFC">
        <w:rPr>
          <w:lang w:val="en-GB"/>
        </w:rPr>
        <w:t xml:space="preserve">, </w:t>
      </w:r>
      <w:r w:rsidR="54E64171" w:rsidRPr="5575EBFC">
        <w:rPr>
          <w:lang w:val="en-GB"/>
        </w:rPr>
        <w:t xml:space="preserve">the </w:t>
      </w:r>
      <w:r w:rsidR="059ECC24" w:rsidRPr="5575EBFC">
        <w:rPr>
          <w:lang w:val="en-GB"/>
        </w:rPr>
        <w:t xml:space="preserve">removal of native vegetation cover or </w:t>
      </w:r>
      <w:r w:rsidR="711B66EC" w:rsidRPr="5575EBFC">
        <w:rPr>
          <w:lang w:val="en-GB"/>
        </w:rPr>
        <w:t xml:space="preserve">through the </w:t>
      </w:r>
      <w:r w:rsidR="059ECC24" w:rsidRPr="5575EBFC">
        <w:rPr>
          <w:lang w:val="en-GB"/>
        </w:rPr>
        <w:t>alter</w:t>
      </w:r>
      <w:r w:rsidR="623F2D11" w:rsidRPr="5575EBFC">
        <w:rPr>
          <w:lang w:val="en-GB"/>
        </w:rPr>
        <w:t>ed</w:t>
      </w:r>
      <w:r w:rsidR="059ECC24" w:rsidRPr="5575EBFC">
        <w:rPr>
          <w:lang w:val="en-GB"/>
        </w:rPr>
        <w:t xml:space="preserve"> soil nutrients </w:t>
      </w:r>
      <w:r w:rsidR="454D4DB2" w:rsidRPr="5575EBFC">
        <w:rPr>
          <w:lang w:val="en-GB"/>
        </w:rPr>
        <w:t>from mine-</w:t>
      </w:r>
      <w:r w:rsidR="059ECC24" w:rsidRPr="5575EBFC">
        <w:rPr>
          <w:lang w:val="en-GB"/>
        </w:rPr>
        <w:t xml:space="preserve">water discharge </w:t>
      </w:r>
      <w:r w:rsidR="00651F0A" w:rsidRPr="5575EBFC">
        <w:rPr>
          <w:lang w:val="en-GB"/>
        </w:rPr>
        <w:fldChar w:fldCharType="begin"/>
      </w:r>
      <w:r w:rsidR="00331A79">
        <w:rPr>
          <w:lang w:val="en-GB"/>
        </w:rPr>
        <w:instrText xml:space="preserve"> ADDIN ZOTERO_ITEM CSL_CITATION {"citationID":"SYOXSaFY","properties":{"formattedCitation":"(Bergquist et al., 2007)","plainCitation":"(Bergquist et al., 2007)","noteIndex":0},"citationItems":[{"id":11507,"uris":["http://zotero.org/groups/2352922/items/Z9W8VEZC"],"itemData":{"id":11507,"type":"article-journal","abstract":"One of the fastest growing areas of natural gas production is coal bed methane (CBM) due to the large monetary returns and increased demand for energy from consumers. The Powder River Basin, Wyoming is one of the most rapidly expanding areas of CBM development with projections of the establishment of up to 50,000 wells. CBM disturbances may make the native ecosystem more susceptible to invasion by non-native species, but there are few studies that have been conducted on the environmental impacts of this type of resource extraction. To evaluate the potential effects of CBM development on native plant species distribution and patterns of non-native plant invasion, 36 modified Forest Inventory and Analysis plots (each comprised of four 168-m(2) subplots) were established in the Powder River Basin, Wyoming. There were 73 168-m(2) subplots on control sites; 42 subplots on secondary disturbances; 14 on major surface disturbances; eight on well pads; and seven on sites downslope of CBM wells water discharge points. Native plant species cover ranged from 39.5 +/- 2.7{%} (mean +/- 1 SE) in the secondary disturbance subplots to 17.7 +/- 7.5{%} in the pad subplots. Non-native plant species cover ranged from 31.0 +/- 8.4{%} in the discharge areas to 14.7 +/- 8.9{%} in the pad subplots. The control subplots had significantly less non-native species richness than the combined disturbance types. The combined disturbance subplots had significantly greater soil salinity than the control sites. These results suggest that CBM development and associated disturbances may facilitate the establishment of non-native plants. Future research and management decisions should consider the accumulative landscape-scale effects of CBM development on preserving native plant diversity.","container-title":"Environmental Monitoring and Assessment","DOI":"10.1007/s10661-006-9321-7","ISSN":"0167-6369","issue":"1-3","page":"381-394","title":"Invasive Species and Coal Bed Methane Development in the Powder River Basin, Wyoming","volume":"128","author":[{"family":"Bergquist","given":"E"},{"family":"Evangelista","given":"P"},{"family":"Stohlgren","given":"T J"},{"family":"Alley","given":"N"}],"issued":{"date-parts":[["2007",4]]}},"label":"page"}],"schema":"https://github.com/citation-style-language/schema/raw/master/csl-citation.json"} </w:instrText>
      </w:r>
      <w:r w:rsidR="00651F0A" w:rsidRPr="5575EBFC">
        <w:rPr>
          <w:lang w:val="en-GB"/>
        </w:rPr>
        <w:fldChar w:fldCharType="separate"/>
      </w:r>
      <w:r w:rsidR="6B5F9B9E">
        <w:t>(Bergquist et al., 2007)</w:t>
      </w:r>
      <w:r w:rsidR="00651F0A" w:rsidRPr="5575EBFC">
        <w:rPr>
          <w:lang w:val="en-GB"/>
        </w:rPr>
        <w:fldChar w:fldCharType="end"/>
      </w:r>
      <w:r w:rsidR="438DE068" w:rsidRPr="5575EBFC">
        <w:rPr>
          <w:lang w:val="en-GB"/>
        </w:rPr>
        <w:t>.</w:t>
      </w:r>
      <w:r w:rsidR="17866B59" w:rsidRPr="5575EBFC">
        <w:rPr>
          <w:lang w:val="en-GB"/>
        </w:rPr>
        <w:t xml:space="preserve"> </w:t>
      </w:r>
    </w:p>
    <w:p w14:paraId="261C13A3" w14:textId="77777777" w:rsidR="00EB7F8E" w:rsidRPr="00B671E2" w:rsidRDefault="6384D9CF" w:rsidP="00EB7F8E">
      <w:pPr>
        <w:rPr>
          <w:lang w:val="en-GB"/>
        </w:rPr>
      </w:pPr>
      <w:r w:rsidRPr="5575EBFC">
        <w:rPr>
          <w:rFonts w:eastAsia="Arial"/>
          <w:lang w:val="en-GB" w:eastAsia="en-ZA"/>
        </w:rPr>
        <w:t xml:space="preserve">Mining increasingly tends to occur in remote and previously undisturbed areas </w:t>
      </w:r>
      <w:r w:rsidR="00EB7F8E" w:rsidRPr="5575EBFC">
        <w:rPr>
          <w:rFonts w:eastAsia="Arial"/>
          <w:lang w:val="en-GB" w:eastAsia="en-ZA"/>
        </w:rPr>
        <w:fldChar w:fldCharType="begin"/>
      </w:r>
      <w:r w:rsidR="00331A79">
        <w:rPr>
          <w:rFonts w:eastAsia="Arial"/>
          <w:lang w:val="en-GB" w:eastAsia="en-ZA"/>
        </w:rPr>
        <w:instrText xml:space="preserve"> ADDIN ZOTERO_ITEM CSL_CITATION {"citationID":"b5G6qpXT","properties":{"formattedCitation":"(Butt et al., 2013)","plainCitation":"(Butt et al., 2013)","noteIndex":0},"citationItems":[{"id":16215,"uris":["http://zotero.org/groups/2352922/items/ZB3NQ956"],"itemData":{"id":16215,"type":"article-journal","abstract":"The overlapping of biodiverse areas and fossil fuel reserves indicates high-risk regions.\nThe overlapping of biodiverse areas and fossil fuel reserves indicates high-risk regions.","container-title":"Science","DOI":"10.1126/science.1237261","ISSN":"0036-8075, 1095-9203","issue":"6157","language":"en","license":"Copyright © 2013, American Association for the Advancement of Science","note":"PMID: 24159031","page":"425-426","source":"science.sciencemag.org","title":"Biodiversity Risks from Fossil Fuel Extraction","URL":"https://science.sciencemag.org/content/342/6157/425","volume":"342","author":[{"family":"Butt","given":"N."},{"family":"Beyer","given":"H. L."},{"family":"Bennett","given":"J. R."},{"family":"Biggs","given":"D."},{"family":"Maggini","given":"R."},{"family":"Mills","given":"M."},{"family":"Renwick","given":"A. R."},{"family":"Seabrook","given":"L. M."},{"family":"Possingham","given":"H. P."}],"accessed":{"date-parts":[["2019",10,30]]},"issued":{"date-parts":[["2013",10,25]]}},"label":"page"}],"schema":"https://github.com/citation-style-language/schema/raw/master/csl-citation.json"} </w:instrText>
      </w:r>
      <w:r w:rsidR="00EB7F8E" w:rsidRPr="5575EBFC">
        <w:rPr>
          <w:rFonts w:eastAsia="Arial"/>
          <w:lang w:val="en-GB" w:eastAsia="en-ZA"/>
        </w:rPr>
        <w:fldChar w:fldCharType="separate"/>
      </w:r>
      <w:r w:rsidR="6B5F9B9E">
        <w:t>(Butt et al., 2013)</w:t>
      </w:r>
      <w:r w:rsidR="00EB7F8E" w:rsidRPr="5575EBFC">
        <w:rPr>
          <w:rFonts w:eastAsia="Arial"/>
          <w:lang w:val="en-GB" w:eastAsia="en-ZA"/>
        </w:rPr>
        <w:fldChar w:fldCharType="end"/>
      </w:r>
      <w:r w:rsidRPr="5575EBFC">
        <w:rPr>
          <w:rFonts w:eastAsia="Arial"/>
          <w:lang w:val="en-GB"/>
        </w:rPr>
        <w:t xml:space="preserve">, </w:t>
      </w:r>
      <w:r w:rsidR="606DF1A7" w:rsidRPr="5575EBFC">
        <w:rPr>
          <w:rFonts w:eastAsia="Arial"/>
          <w:lang w:val="en-GB"/>
        </w:rPr>
        <w:t xml:space="preserve">which may </w:t>
      </w:r>
      <w:r w:rsidR="2916661C" w:rsidRPr="5575EBFC">
        <w:rPr>
          <w:rFonts w:eastAsia="Arial"/>
          <w:lang w:val="en-GB"/>
        </w:rPr>
        <w:t>enhance</w:t>
      </w:r>
      <w:r w:rsidR="62AF62C7" w:rsidRPr="5575EBFC">
        <w:rPr>
          <w:rFonts w:eastAsia="Arial"/>
          <w:lang w:val="en-GB"/>
        </w:rPr>
        <w:t xml:space="preserve"> the potential </w:t>
      </w:r>
      <w:r w:rsidR="606DF1A7" w:rsidRPr="5575EBFC">
        <w:rPr>
          <w:rFonts w:eastAsia="Arial"/>
          <w:lang w:val="en-GB"/>
        </w:rPr>
        <w:t xml:space="preserve">contribution of mining to </w:t>
      </w:r>
      <w:r w:rsidR="54B5DC83" w:rsidRPr="5575EBFC">
        <w:rPr>
          <w:rFonts w:eastAsia="Arial"/>
          <w:lang w:val="en-GB"/>
        </w:rPr>
        <w:t xml:space="preserve">invasive </w:t>
      </w:r>
      <w:r w:rsidR="06AF0540" w:rsidRPr="5575EBFC">
        <w:rPr>
          <w:rFonts w:eastAsia="Arial"/>
          <w:lang w:val="en-GB"/>
        </w:rPr>
        <w:t>alien</w:t>
      </w:r>
      <w:r w:rsidR="54B5DC83" w:rsidRPr="5575EBFC">
        <w:rPr>
          <w:rFonts w:eastAsia="Arial"/>
          <w:lang w:val="en-GB"/>
        </w:rPr>
        <w:t xml:space="preserve"> species coloni</w:t>
      </w:r>
      <w:r w:rsidR="5A153BF2" w:rsidRPr="5575EBFC">
        <w:rPr>
          <w:rFonts w:eastAsia="Arial"/>
          <w:lang w:val="en-GB"/>
        </w:rPr>
        <w:t>z</w:t>
      </w:r>
      <w:r w:rsidR="54B5DC83" w:rsidRPr="5575EBFC">
        <w:rPr>
          <w:rFonts w:eastAsia="Arial"/>
          <w:lang w:val="en-GB"/>
        </w:rPr>
        <w:t xml:space="preserve">ation and establishment in new areas </w:t>
      </w:r>
      <w:r w:rsidR="2916661C" w:rsidRPr="5575EBFC">
        <w:rPr>
          <w:rFonts w:eastAsia="Arial"/>
          <w:lang w:val="en-GB"/>
        </w:rPr>
        <w:t>globally</w:t>
      </w:r>
      <w:r w:rsidR="62AF62C7" w:rsidRPr="5575EBFC">
        <w:rPr>
          <w:rFonts w:eastAsia="Arial"/>
          <w:lang w:val="en-GB"/>
        </w:rPr>
        <w:t xml:space="preserve">. </w:t>
      </w:r>
      <w:r w:rsidR="2DEAE8EB" w:rsidRPr="5575EBFC">
        <w:rPr>
          <w:rFonts w:eastAsia="Arial"/>
          <w:lang w:val="en-GB"/>
        </w:rPr>
        <w:t>F</w:t>
      </w:r>
      <w:r w:rsidRPr="5575EBFC">
        <w:rPr>
          <w:rFonts w:eastAsia="Arial"/>
          <w:lang w:val="en-GB"/>
        </w:rPr>
        <w:t xml:space="preserve">or example, there has been a </w:t>
      </w:r>
      <w:r w:rsidRPr="5575EBFC">
        <w:rPr>
          <w:lang w:val="en-GB"/>
        </w:rPr>
        <w:t xml:space="preserve">significant increase in the exploration of oil and gas in marine environments </w:t>
      </w:r>
      <w:r w:rsidR="00EB7F8E" w:rsidRPr="5575EBFC">
        <w:rPr>
          <w:lang w:val="en-GB"/>
        </w:rPr>
        <w:fldChar w:fldCharType="begin"/>
      </w:r>
      <w:r w:rsidR="00331A79">
        <w:rPr>
          <w:lang w:val="en-GB"/>
        </w:rPr>
        <w:instrText xml:space="preserve"> ADDIN ZOTERO_ITEM CSL_CITATION {"citationID":"cVSbbQR2","properties":{"formattedCitation":"(Jouffray et al., 2020)","plainCitation":"(Jouffray et al., 2020)","noteIndex":0},"citationItems":[{"id":24326,"uris":["http://zotero.org/groups/2352922/items/G2FV3D7P"],"itemData":{"id":24326,"type":"article-journal","abstract":"Does humanity's future lie in the ocean? As demand for resources continues to grow and land-based sources decline, expectations for the ocean as an engine of human development are increasing. Claiming marine resources and space is not new to humanity, but the extent, intensity, and diversity of today's aspirations are unprecedented. We describe this as the blue acceleration—a race among diverse and often competing interests for ocean food, material, and space. Exploring what this new reality means for the global ocean and how to steer it in a sustainable and equitable way represents an urgent challenge.","container-title":"One Earth","DOI":"10.1016/j.oneear.2019.12.016","ISSN":"2590-3322","issue":"1","journalAbbreviation":"One Earth","language":"en","page":"43-54","source":"ScienceDirect","title":"The Blue Acceleration: The Trajectory of Human Expansion into the Ocean","title-short":"The Blue Acceleration","URL":"https://www.sciencedirect.com/science/article/pii/S2590332219302751","volume":"2","author":[{"family":"Jouffray","given":"Jean-Baptiste"},{"family":"Blasiak","given":"Robert"},{"family":"Norström","given":"Albert V."},{"family":"Österblom","given":"Henrik"},{"family":"Nyström","given":"Magnus"}],"accessed":{"date-parts":[["2021",2,10]]},"issued":{"date-parts":[["2020",1,24]]}},"label":"page"}],"schema":"https://github.com/citation-style-language/schema/raw/master/csl-citation.json"} </w:instrText>
      </w:r>
      <w:r w:rsidR="00EB7F8E" w:rsidRPr="5575EBFC">
        <w:rPr>
          <w:lang w:val="en-GB"/>
        </w:rPr>
        <w:fldChar w:fldCharType="separate"/>
      </w:r>
      <w:r w:rsidR="6B5F9B9E">
        <w:t>(Jouffray et al., 2020)</w:t>
      </w:r>
      <w:r w:rsidR="00EB7F8E" w:rsidRPr="5575EBFC">
        <w:rPr>
          <w:lang w:val="en-GB"/>
        </w:rPr>
        <w:fldChar w:fldCharType="end"/>
      </w:r>
      <w:r w:rsidRPr="5575EBFC">
        <w:rPr>
          <w:lang w:val="en-GB"/>
        </w:rPr>
        <w:t xml:space="preserve">, particularly in Africa </w:t>
      </w:r>
      <w:r w:rsidR="00EB7F8E" w:rsidRPr="5575EBFC">
        <w:rPr>
          <w:lang w:val="en-GB"/>
        </w:rPr>
        <w:fldChar w:fldCharType="begin"/>
      </w:r>
      <w:r w:rsidR="00331A79">
        <w:rPr>
          <w:lang w:val="en-GB"/>
        </w:rPr>
        <w:instrText xml:space="preserve"> ADDIN ZOTERO_ITEM CSL_CITATION {"citationID":"BnRSTfR4","properties":{"formattedCitation":"(G. Zhang et al., 2019)","plainCitation":"(G. Zhang et al., 2019)","noteIndex":0},"citationItems":[{"id":24325,"uris":["http://zotero.org/groups/2352922/items/LMEKIPCW"],"itemData":{"id":24325,"type":"article-journal","abstract":"Deepwater exploration has been developed for more than 40 years since 1975; generally, its exploration history can be divided into the beginning stage (1975–1984), the early stage (1985–1995) and the rapid development stage (1996-now). Currently, deepwater areas have become the hotspot of global oil and gas exploration, and they are also one of the most important fields of oil and gas increase in reserves and production all over the world. In 40 years, global deepwater oil and gas discoveries are mainly distributed along five deepwater basin groups which are characterized by “three vertical and two horizontal” groups: (1) In deepwater basins of the Atlantic Ocean, giant discoveries of oil are mainly concentrated in Brazil, West Africa and the Gulf of Mexico, and significant discoveries of natural gas are mainly on the west coast of Norway in the northern part of the Atlantic Ocean; (2) In deepwater basins of the East African continental margin, a group of giant gas fields has been found in the Rovuma Basin and Tanzania Basin; (3) In deepwater basins of the West Pacific Ocean, giant discoveries of oil and gas are mainly concentrated in the South China Sea and Southeast Asian waters; (4) The deepwater basins of the Neo-Tethys Region are rich in gas, and the most important gas discoveries are mainly distributed in the northwest shelf of Australia and the eastern Mediterranean; and (5) In deepwater basins around the Arctic Pole, major discoveries of oil and gas have been only found in deepwater areas of the Barents sea. Global deepwater oil resources are mainly concentrated in the middle and south sections of the Atlantic Ocean. Deepwater gas resources are relatively widely spread and mainly distributed in the northern part of Atlantic Ocean deepwater basins, the deepwater basins of East Africa, the deepwater basins of the Neo-Tethys region and the deepwater basins around the Arctic Pole. There will be six domains for future oil-gas exploration of global deepwater basins which are characterized by “two old and four new” domains; specifically, “two old” domains referring to the Atlantic offshore deepwater basins and offshore deepwater basins of the Neo-Tethys structural domain, where the exploration degree is relatively high, and the potential is still great. While the “four new” domains stand for pre-salt and ultra deepwater basin formations, offshore deepwater basins surrounding the North Pole area and West Pacific offshore deepwater basins and the new fields will be the main fields of deepwater oil and gas exploration in the future.","container-title":"Journal of Natural Gas Geoscience","DOI":"10.1016/j.jnggs.2019.03.002","ISSN":"2468-256X","issue":"1","journalAbbreviation":"Journal of Natural Gas Geoscience","language":"en","page":"1-28","source":"ScienceDirect","title":"Giant discoveries of oil and gas fields in global deepwaters in the past 40 years and the prospect of exploration","URL":"https://www.sciencedirect.com/science/article/pii/S2468256X19300033","volume":"4","author":[{"family":"Zhang","given":"Gongcheng"},{"family":"Qu","given":"Hongjun"},{"family":"Chen","given":"Guojun"},{"family":"Zhao","given":"Chong"},{"family":"Zhang","given":"Fenglian"},{"family":"Yang","given":"Haizhang"},{"family":"Zhao","given":"Zhao"},{"family":"Ma","given":"Ming"}],"accessed":{"date-parts":[["2021",2,10]]},"issued":{"date-parts":[["2019",2,1]]}},"label":"page"}],"schema":"https://github.com/citation-style-language/schema/raw/master/csl-citation.json"} </w:instrText>
      </w:r>
      <w:r w:rsidR="00EB7F8E" w:rsidRPr="5575EBFC">
        <w:rPr>
          <w:lang w:val="en-GB"/>
        </w:rPr>
        <w:fldChar w:fldCharType="separate"/>
      </w:r>
      <w:r w:rsidR="6B5F9B9E">
        <w:t>(G. Zhang et al., 2019)</w:t>
      </w:r>
      <w:r w:rsidR="00EB7F8E" w:rsidRPr="5575EBFC">
        <w:rPr>
          <w:lang w:val="en-GB"/>
        </w:rPr>
        <w:fldChar w:fldCharType="end"/>
      </w:r>
      <w:r w:rsidRPr="5575EBFC">
        <w:rPr>
          <w:lang w:val="en-GB"/>
        </w:rPr>
        <w:t xml:space="preserve"> and the Arctic and Antarctic regions </w:t>
      </w:r>
      <w:r w:rsidR="00EB7F8E" w:rsidRPr="5575EBFC">
        <w:rPr>
          <w:lang w:val="en-GB"/>
        </w:rPr>
        <w:fldChar w:fldCharType="begin"/>
      </w:r>
      <w:r w:rsidR="00331A79">
        <w:rPr>
          <w:lang w:val="en-GB"/>
        </w:rPr>
        <w:instrText xml:space="preserve"> ADDIN ZOTERO_ITEM CSL_CITATION {"citationID":"Uckt0boF","properties":{"formattedCitation":"(Petrick et al., 2017)","plainCitation":"(Petrick et al., 2017)","noteIndex":0},"citationItems":[{"id":24327,"uris":["http://zotero.org/groups/2352922/items/9XEV5N4V"],"itemData":{"id":24327,"type":"article-journal","abstract":"A significant share of the world’s undiscovered oil and natural gas resources are assumed to lie under the seabed of the Arctic Ocean. Up until now, the exploitation of the resources especially under the European Arctic has largely been prevented by the challenges posed by sea ice coverage, harsh weather conditions, darkness, remoteness of the fields, and lack of infrastructure. Gradual warming has, however, improved the accessibility of the Arctic Ocean. We show for the most resource-abundant European Arctic Seas whether and how a climate induced reduction in sea ice might impact future accessibility of offshore natural gas and crude oil resources. Based on this analysis we show for a number of illustrative but representative locations which technology options exist based on a cost-minimization assessment. We find that under current hydrocarbon prices, oil and gas from the European offshore Arctic is not competitive on world markets.","container-title":"Ambio","DOI":"10.1007/s13280-017-0957-z","ISSN":"1654-7209","issue":"3","journalAbbreviation":"Ambio","language":"en","page":"410-422","source":"Springer Link","title":"Climate change, future Arctic Sea ice, and the competitiveness of European Arctic offshore oil and gas production on world markets","URL":"https://doi.org/10.1007/s13280-017-0957-z","volume":"46","author":[{"family":"Petrick","given":"Sebastian"},{"family":"Riemann-Campe","given":"Kathrin"},{"family":"Hoog","given":"Sven"},{"family":"Growitsch","given":"Christian"},{"family":"Schwind","given":"Hannah"},{"family":"Gerdes","given":"Rüdiger"},{"family":"Rehdanz","given":"Katrin"}],"accessed":{"date-parts":[["2021",2,10]]},"issued":{"date-parts":[["2017",12,1]]}},"label":"page"}],"schema":"https://github.com/citation-style-language/schema/raw/master/csl-citation.json"} </w:instrText>
      </w:r>
      <w:r w:rsidR="00EB7F8E" w:rsidRPr="5575EBFC">
        <w:rPr>
          <w:lang w:val="en-GB"/>
        </w:rPr>
        <w:fldChar w:fldCharType="separate"/>
      </w:r>
      <w:r w:rsidR="6B5F9B9E">
        <w:t>(Petrick et al., 2017)</w:t>
      </w:r>
      <w:r w:rsidR="00EB7F8E" w:rsidRPr="5575EBFC">
        <w:rPr>
          <w:lang w:val="en-GB"/>
        </w:rPr>
        <w:fldChar w:fldCharType="end"/>
      </w:r>
      <w:r w:rsidRPr="5575EBFC">
        <w:rPr>
          <w:lang w:val="en-GB"/>
        </w:rPr>
        <w:t xml:space="preserve">, increasing the risk of biological invasions in the marine realm, across multiple taxa, from shipping </w:t>
      </w:r>
      <w:r w:rsidR="00EB7F8E" w:rsidRPr="5575EBFC">
        <w:rPr>
          <w:rFonts w:eastAsia="Arial"/>
          <w:lang w:val="en-GB"/>
        </w:rPr>
        <w:fldChar w:fldCharType="begin"/>
      </w:r>
      <w:r w:rsidR="00331A79">
        <w:rPr>
          <w:rFonts w:eastAsia="Arial"/>
          <w:lang w:val="en-GB"/>
        </w:rPr>
        <w:instrText xml:space="preserve"> ADDIN ZOTERO_ITEM CSL_CITATION {"citationID":"ZbAgDEyX","properties":{"formattedCitation":"(Seebens et al., 2013)","plainCitation":"(Seebens et al., 2013)","noteIndex":0},"citationItems":[{"id":28934,"uris":["http://zotero.org/groups/2352922/items/W3HY8YI7"],"itemData":{"id":28934,"type":"article-journal","abstract":"The rate of biological invasions has strongly increased during the last decades, mostly due to the accelerated spread of species by increasing global trade and transport. Here, we combine the network of global cargo ship movements with port environmental conditions and biogeography to quantify the probability of new primary invasions through the release of ballast water. We find that invasion risks vary widely between coastal ecosystems and classify marine ecoregions according to their total invasion risk and the diversity of their invasion sources. Thereby, we identify high-risk invasion routes, hot spots of bioinvasion and major source regions from which bioinvasion is likely to occur. Our predictions agree with observations in the field and reveal that the invasion probability is highest for intermediate geographic distances between donor and recipient ports. Our findings suggest that network-based invasion models may serve as a basis for the development of effective, targeted bioinvasion management strategies.","container-title":"Ecology Letters","DOI":"10.1111/ele.12111","ISSN":"1461-0248","issue":"6","language":"en","license":"© 2013 John Wiley &amp; Sons Ltd/CNRS","page":"782-790","source":"Wiley Online Library","title":"The risk of marine bioinvasion caused by global shipping","URL":"https://onlinelibrary.wiley.com/doi/abs/10.1111/ele.12111","volume":"16","author":[{"family":"Seebens","given":"Hanno"},{"family":"Gastner","given":"M. T."},{"family":"Blasius","given":"B."}],"accessed":{"date-parts":[["2019",11,12]]},"issued":{"date-parts":[["2013"]]}},"label":"page"}],"schema":"https://github.com/citation-style-language/schema/raw/master/csl-citation.json"} </w:instrText>
      </w:r>
      <w:r w:rsidR="00EB7F8E" w:rsidRPr="5575EBFC">
        <w:rPr>
          <w:rFonts w:eastAsia="Arial"/>
          <w:lang w:val="en-GB"/>
        </w:rPr>
        <w:fldChar w:fldCharType="separate"/>
      </w:r>
      <w:r w:rsidR="6B5F9B9E">
        <w:t>(Seebens et al., 2013)</w:t>
      </w:r>
      <w:r w:rsidR="00EB7F8E" w:rsidRPr="5575EBFC">
        <w:rPr>
          <w:rFonts w:eastAsia="Arial"/>
          <w:lang w:val="en-GB"/>
        </w:rPr>
        <w:fldChar w:fldCharType="end"/>
      </w:r>
      <w:r w:rsidRPr="5575EBFC">
        <w:rPr>
          <w:rFonts w:eastAsia="Arial"/>
          <w:lang w:val="en-GB"/>
        </w:rPr>
        <w:t xml:space="preserve"> and discharges of ballast water </w:t>
      </w:r>
      <w:r w:rsidR="00EB7F8E" w:rsidRPr="5575EBFC">
        <w:rPr>
          <w:rFonts w:eastAsia="Arial"/>
          <w:lang w:val="en-GB"/>
        </w:rPr>
        <w:fldChar w:fldCharType="begin"/>
      </w:r>
      <w:r w:rsidR="00331A79">
        <w:rPr>
          <w:rFonts w:eastAsia="Arial"/>
          <w:lang w:val="en-GB"/>
        </w:rPr>
        <w:instrText xml:space="preserve"> ADDIN ZOTERO_ITEM CSL_CITATION {"citationID":"FgEe9gAO","properties":{"formattedCitation":"(Holbech &amp; Pedersen, 2018)","plainCitation":"(Holbech &amp; Pedersen, 2018)","noteIndex":0},"citationItems":[{"id":30842,"uris":["http://zotero.org/groups/2352922/items/YRUJPL6F"],"itemData":{"id":30842,"type":"chapter","abstract":"Flanders Marine Institute - Platform for marine research","container-title":"Arctic marine resource governance and development","ISBN":"978-3-319-67365-3","language":"en","page":"115-137","source":"www.vliz.be","title":"Ballast water and invasive species in the Arctic","URL":"http://www.vliz.be/en/search-persons?module=ref&amp;refid=292858","author":[{"family":"Holbech","given":"H."},{"family":"Pedersen","given":"K. L."}],"accessed":{"date-parts":[["2021",10,22]]},"issued":{"date-parts":[["2018"]]}},"label":"page"}],"schema":"https://github.com/citation-style-language/schema/raw/master/csl-citation.json"} </w:instrText>
      </w:r>
      <w:r w:rsidR="00EB7F8E" w:rsidRPr="5575EBFC">
        <w:rPr>
          <w:rFonts w:eastAsia="Arial"/>
          <w:lang w:val="en-GB"/>
        </w:rPr>
        <w:fldChar w:fldCharType="separate"/>
      </w:r>
      <w:r w:rsidR="6B5F9B9E">
        <w:t>(Holbech &amp; Pedersen, 2018)</w:t>
      </w:r>
      <w:r w:rsidR="00EB7F8E" w:rsidRPr="5575EBFC">
        <w:rPr>
          <w:rFonts w:eastAsia="Arial"/>
          <w:lang w:val="en-GB"/>
        </w:rPr>
        <w:fldChar w:fldCharType="end"/>
      </w:r>
      <w:r w:rsidRPr="5575EBFC">
        <w:rPr>
          <w:lang w:val="en-GB"/>
        </w:rPr>
        <w:t xml:space="preserve">. Multiple regions and ecosystems across the world are at risk of increased mining activity, including forests </w:t>
      </w:r>
      <w:r w:rsidR="00EB7F8E" w:rsidRPr="5575EBFC">
        <w:rPr>
          <w:rFonts w:eastAsia="Arial"/>
          <w:lang w:val="en-GB"/>
        </w:rPr>
        <w:fldChar w:fldCharType="begin"/>
      </w:r>
      <w:r w:rsidR="00331A79">
        <w:rPr>
          <w:rFonts w:eastAsia="Arial"/>
          <w:lang w:val="en-GB"/>
        </w:rPr>
        <w:instrText xml:space="preserve"> ADDIN ZOTERO_ITEM CSL_CITATION {"citationID":"LhT8x5dg","properties":{"formattedCitation":"(Macdonald et al., 2015)","plainCitation":"(Macdonald et al., 2015)","noteIndex":0},"citationItems":[{"id":16212,"uris":["http://zotero.org/groups/2352922/items/VNRH4SKQ"],"itemData":{"id":16212,"type":"article-journal","abstract":"Many forested landscapes around the world are severely altered during mining for their rich mineral and energy reserves. Herein we provide an overview of the challenges inherent in efforts to restore mined landscapes to functioning forest ecosystems and present a synthesis of recent progress using examples from North America, Europe and Australia. We end with recommendations for further elaboration of the Forestry Reclamation Approach emphasizing: (1) Landform reconstruction modelled on natural systems and creation of topographic heterogeneity at a variety of scales; (2) Use and placement of overburden, capping materials and organic amendments to facilitate soil development processes and create a suitable rooting medium for trees; (3) Alignment of landform, topography, overburden, soil and tree species to create a diversity of target ecosystem types; (4) Combining optimization of stock type and planting techniques with early planting of a diversity of tree species; (5) Encouraging natural regeneration as much as possible; (6) Utilizing direct placement of forest floor material combined with seeding of native species to rapidly re-establish native forest understory vegetation; (7) Selective on-going management to encourage development along the desired successional trajectory. Successful restoration of forest ecosystems after severe mining disturbance will be facilitated by a regulatory framework that acknowledges and accepts variation in objectives and outcomes.","container-title":"New Forests","DOI":"10.1007/s11056-015-9506-4","ISSN":"1573-5095","issue":"5","journalAbbreviation":"New Forests","language":"en","page":"703-732","source":"Springer Link","title":"Forest restoration following surface mining disturbance: challenges and solutions","title-short":"Forest restoration following surface mining disturbance","URL":"https://doi.org/10.1007/s11056-015-9506-4","volume":"46","author":[{"family":"Macdonald","given":"S. Ellen"},{"family":"Landhäusser","given":"Simon M."},{"family":"Skousen","given":"Jeff"},{"family":"Franklin","given":"Jennifer"},{"family":"Frouz","given":"Jan"},{"family":"Hall","given":"Sarah"},{"family":"Jacobs","given":"Douglass F."},{"family":"Quideau","given":"Sylvie"}],"accessed":{"date-parts":[["2019",10,30]]},"issued":{"date-parts":[["2015",11,1]]}},"label":"page"}],"schema":"https://github.com/citation-style-language/schema/raw/master/csl-citation.json"} </w:instrText>
      </w:r>
      <w:r w:rsidR="00EB7F8E" w:rsidRPr="5575EBFC">
        <w:rPr>
          <w:rFonts w:eastAsia="Arial"/>
          <w:lang w:val="en-GB"/>
        </w:rPr>
        <w:fldChar w:fldCharType="separate"/>
      </w:r>
      <w:r w:rsidR="6B5F9B9E">
        <w:t>(Macdonald et al., 2015)</w:t>
      </w:r>
      <w:r w:rsidR="00EB7F8E" w:rsidRPr="5575EBFC">
        <w:rPr>
          <w:rFonts w:eastAsia="Arial"/>
          <w:lang w:val="en-GB"/>
        </w:rPr>
        <w:fldChar w:fldCharType="end"/>
      </w:r>
      <w:r w:rsidRPr="5575EBFC">
        <w:rPr>
          <w:lang w:val="en-GB"/>
        </w:rPr>
        <w:t xml:space="preserve">, mangroves </w:t>
      </w:r>
      <w:r w:rsidR="00EB7F8E" w:rsidRPr="5575EBFC">
        <w:rPr>
          <w:lang w:val="en-GB"/>
        </w:rPr>
        <w:fldChar w:fldCharType="begin"/>
      </w:r>
      <w:r w:rsidR="00331A79">
        <w:rPr>
          <w:lang w:val="en-GB"/>
        </w:rPr>
        <w:instrText xml:space="preserve"> ADDIN ZOTERO_ITEM CSL_CITATION {"citationID":"bP1YDhJW","properties":{"formattedCitation":"(Numbere, 2019)","plainCitation":"(Numbere, 2019)","noteIndex":0},"citationItems":[{"id":24959,"uris":["http://zotero.org/groups/2352922/items/Y5EYIZBJ"],"itemData":{"id":24959,"type":"chapter","abstract":"Invasive nypa palms (Nypa fruticans) are a major threat to mangroves and coastal systems in the Niger Delta region in Nigeria, apart from oil and gas exploration. The palms were first introduced as foreign species to curb coastal erosion over a century ago (i.e. 1906). They later became invasive and started multiplying in the last 30 years. The palms have acclimatized to the coastal environment by developing superior root system, which they use to tap available nutrients. They also have tough and buoyant seeds, which aid in their wide dispersal. These qualities of the palms had made them to have an edge over the mangroves. Oil and gas exploration, which is responsible for numerous oil spillages, is a major cause of mangrove decimation. The establishment of open waste disposal sites in coastal areas have also contributed to the changes in soil and water qualities, leading to further decline in mangroves, with a resultant increase in invasive nypa palms. The palms change the pedology, hydrology and landscape architecture of the coastal environment once they are established. Therefore, a threat to the mangroves is a threat to the entire coastal system, which benefits from the ecosystem services provided by the mangroves. Mangroves may disappear completely from the Niger Delta in the next 50 years if the encroachment of the palms continue unabated. However, this problem can be resolved by the removal of the palms through mechanical, physical or chemical means. Soils on which the palms grow can be excavated to remove the allelopathic properties, after which the palm soil should be replaced with mangrove soil. To ensure smooth re-colonization of the coast, mangroves propagules with good genetic quality should be selected, nurtured and transplanted from the nursery to the coastal areas. The mangrove propagules should be monitored and protected from further invasion by nypa palm after planting.","collection-title":"Coastal Research Library","container-title":"Impacts of Invasive Species on Coastal Environments: Coasts in Crisis","event-place":"Cham","ISBN":"978-3-319-91382-7","language":"en","note":"DOI: 10.1007/978-3-319-91382-7_13","page":"425-454","publisher":"Springer International Publishing","publisher-place":"Cham","source":"Springer Link","title":"Impact of Invasive Nypa Palm (&lt;i&gt;Nypa Fruticans&lt;/i&gt;) on Mangroves in Coastal Areas of the Niger Delta Region, Nigeria","URL":"https://doi.org/10.1007/978-3-319-91382-7_13","author":[{"family":"Numbere","given":"Aroloye O."}],"editor":[{"family":"Makowski","given":"Christopher"},{"family":"Finkl","given":"Charles W."}],"accessed":{"date-parts":[["2019",10,18]]},"issued":{"date-parts":[["2019"]]}},"label":"page"}],"schema":"https://github.com/citation-style-language/schema/raw/master/csl-citation.json"} </w:instrText>
      </w:r>
      <w:r w:rsidR="00EB7F8E" w:rsidRPr="5575EBFC">
        <w:rPr>
          <w:lang w:val="en-GB"/>
        </w:rPr>
        <w:fldChar w:fldCharType="separate"/>
      </w:r>
      <w:r w:rsidR="6B5F9B9E">
        <w:t>(Numbere, 2019)</w:t>
      </w:r>
      <w:r w:rsidR="00EB7F8E" w:rsidRPr="5575EBFC">
        <w:rPr>
          <w:lang w:val="en-GB"/>
        </w:rPr>
        <w:fldChar w:fldCharType="end"/>
      </w:r>
      <w:r w:rsidRPr="5575EBFC">
        <w:rPr>
          <w:lang w:val="en-GB"/>
        </w:rPr>
        <w:t xml:space="preserve">, the Arctic </w:t>
      </w:r>
      <w:r w:rsidR="00EB7F8E" w:rsidRPr="5575EBFC">
        <w:rPr>
          <w:rFonts w:eastAsia="Arial"/>
          <w:lang w:val="en-GB"/>
        </w:rPr>
        <w:fldChar w:fldCharType="begin"/>
      </w:r>
      <w:r w:rsidR="00331A79">
        <w:rPr>
          <w:rFonts w:eastAsia="Arial"/>
          <w:lang w:val="en-GB"/>
        </w:rPr>
        <w:instrText xml:space="preserve"> ADDIN ZOTERO_ITEM CSL_CITATION {"citationID":"90TpDCg6","properties":{"formattedCitation":"(Vestergaard et al., 2018)","plainCitation":"(Vestergaard et al., 2018)","noteIndex":0},"citationItems":[{"id":25021,"uris":["http://zotero.org/groups/2352922/items/8ASPDY2L"],"itemData":{"id":25021,"type":"book","ISBN":"978-3-319-67364-6","language":"English","note":"DOI: 10.1007/978-3-319-67365-3","publisher":"Springer","source":"portal.findresearcher.sdu.dk","title":"Arctic Marine Resource Governance and Development","URL":"https://portal.findresearcher.sdu.dk/en/publications/arctic-marine-resource-governance-and-development","editor":[{"family":"Vestergaard","given":"Niels"},{"family":"Kaiser","given":"Brooks"},{"family":"Fernandez","given":"Linda"},{"family":"Larsen","given":"Joan N."}],"accessed":{"date-parts":[["2019",11,12]]},"issued":{"date-parts":[["2018",4,1]]}},"label":"page"}],"schema":"https://github.com/citation-style-language/schema/raw/master/csl-citation.json"} </w:instrText>
      </w:r>
      <w:r w:rsidR="00EB7F8E" w:rsidRPr="5575EBFC">
        <w:rPr>
          <w:rFonts w:eastAsia="Arial"/>
          <w:lang w:val="en-GB"/>
        </w:rPr>
        <w:fldChar w:fldCharType="separate"/>
      </w:r>
      <w:r w:rsidR="6B5F9B9E">
        <w:t>(Vestergaard et al., 2018)</w:t>
      </w:r>
      <w:r w:rsidR="00EB7F8E" w:rsidRPr="5575EBFC">
        <w:rPr>
          <w:rFonts w:eastAsia="Arial"/>
          <w:lang w:val="en-GB"/>
        </w:rPr>
        <w:fldChar w:fldCharType="end"/>
      </w:r>
      <w:r w:rsidRPr="5575EBFC">
        <w:rPr>
          <w:lang w:val="en-GB"/>
        </w:rPr>
        <w:t xml:space="preserve"> and oceans </w:t>
      </w:r>
      <w:r w:rsidR="00EB7F8E" w:rsidRPr="5575EBFC">
        <w:rPr>
          <w:rFonts w:eastAsia="Arial"/>
          <w:lang w:val="en-GB"/>
        </w:rPr>
        <w:fldChar w:fldCharType="begin"/>
      </w:r>
      <w:r w:rsidR="00331A79">
        <w:rPr>
          <w:rFonts w:eastAsia="Arial"/>
          <w:lang w:val="en-GB"/>
        </w:rPr>
        <w:instrText xml:space="preserve"> ADDIN ZOTERO_ITEM CSL_CITATION {"citationID":"bf9ChQD7","properties":{"formattedCitation":"(Pirotta et al., 2019)","plainCitation":"(Pirotta et al., 2019)","noteIndex":0},"citationItems":[{"id":16209,"uris":["http://zotero.org/groups/2352922/items/R5TL5A6F"],"itemData":{"id":16209,"type":"article-journal","abstract":"Shipping routes in the ocean are analogous to terrestrial roads, in that they are regularly used thoroughfares that concentrate the movement of vessels between multiple locations. We applied a terrestrial road ecology framework to examine the ecological impacts of increased global shipping on “marine giants” (ie great whales, basking sharks [Cetorhinus maximus], and whale sharks [Rhincodon typus]). This framework aided in identifying where such “marine roads” and marine giants are likely to interact and the consequences of those interactions. We also reviewed known impacts of shipping routes on these species, and then applied the road ecology framework to detect unknown and potentially threatening processes. In the marine environment, such a framework can be used to incorporate knowledge of existing shipping impacts into management practices, thereby reducing the detrimental effects of future expansion of shipping routes on marine giants.","container-title":"Frontiers in Ecology and the Environment","DOI":"10.1002/fee.1987","ISSN":"1540-9309","issue":"1","language":"en","license":"© The Ecological Society of America","page":"39-47","source":"Wiley Online Library","title":"Consequences of global shipping traffic for marine giants","URL":"https://esajournals.onlinelibrary.wiley.com/doi/abs/10.1002/fee.1987","volume":"17","author":[{"family":"Pirotta","given":"Vanessa"},{"family":"Grech","given":"Alana"},{"family":"Jonsen","given":"Ian D."},{"family":"Laurance","given":"William F."},{"family":"Harcourt","given":"Robert G."}],"accessed":{"date-parts":[["2019",10,30]]},"issued":{"date-parts":[["2019"]]}},"label":"page"}],"schema":"https://github.com/citation-style-language/schema/raw/master/csl-citation.json"} </w:instrText>
      </w:r>
      <w:r w:rsidR="00EB7F8E" w:rsidRPr="5575EBFC">
        <w:rPr>
          <w:rFonts w:eastAsia="Arial"/>
          <w:lang w:val="en-GB"/>
        </w:rPr>
        <w:fldChar w:fldCharType="separate"/>
      </w:r>
      <w:r w:rsidR="6B5F9B9E">
        <w:t>(Pirotta et al., 2019)</w:t>
      </w:r>
      <w:r w:rsidR="00EB7F8E" w:rsidRPr="5575EBFC">
        <w:rPr>
          <w:rFonts w:eastAsia="Arial"/>
          <w:lang w:val="en-GB"/>
        </w:rPr>
        <w:fldChar w:fldCharType="end"/>
      </w:r>
      <w:r w:rsidRPr="5575EBFC">
        <w:rPr>
          <w:lang w:val="en-GB"/>
        </w:rPr>
        <w:t xml:space="preserve">. </w:t>
      </w:r>
    </w:p>
    <w:p w14:paraId="1E2A0D16" w14:textId="77777777" w:rsidR="008C1BF7" w:rsidRPr="00DA249F" w:rsidRDefault="003632B8" w:rsidP="00C47490">
      <w:pPr>
        <w:spacing w:before="0" w:after="0"/>
        <w:rPr>
          <w:rFonts w:eastAsia="Times New Roman"/>
          <w:color w:val="000000"/>
          <w:szCs w:val="24"/>
          <w:lang w:val="en-GB" w:eastAsia="zh-CN"/>
        </w:rPr>
      </w:pPr>
      <w:r w:rsidRPr="00B671E2">
        <w:rPr>
          <w:lang w:val="en-GB" w:eastAsia="en-ZA"/>
        </w:rPr>
        <w:t xml:space="preserve">The restoration of post-mining landscapes may </w:t>
      </w:r>
      <w:r w:rsidR="003A1E36" w:rsidRPr="00B671E2">
        <w:rPr>
          <w:lang w:val="en-GB" w:eastAsia="en-ZA"/>
        </w:rPr>
        <w:t>also</w:t>
      </w:r>
      <w:r w:rsidRPr="00B671E2">
        <w:rPr>
          <w:lang w:val="en-GB" w:eastAsia="en-ZA"/>
        </w:rPr>
        <w:t xml:space="preserve"> act as a potential pathway for the introduction of alien and invasive </w:t>
      </w:r>
      <w:r w:rsidR="002A0EE8" w:rsidRPr="00B671E2">
        <w:rPr>
          <w:lang w:val="en-GB" w:eastAsia="en-ZA"/>
        </w:rPr>
        <w:t xml:space="preserve">alien </w:t>
      </w:r>
      <w:r w:rsidRPr="00B671E2">
        <w:rPr>
          <w:lang w:val="en-GB" w:eastAsia="en-ZA"/>
        </w:rPr>
        <w:t xml:space="preserve">species. For example, several studies highlight the use of alien species in restoration activities </w:t>
      </w:r>
      <w:r w:rsidRPr="00B671E2">
        <w:rPr>
          <w:lang w:val="en-GB"/>
        </w:rPr>
        <w:fldChar w:fldCharType="begin"/>
      </w:r>
      <w:r w:rsidR="00331A79">
        <w:rPr>
          <w:lang w:val="en-GB"/>
        </w:rPr>
        <w:instrText xml:space="preserve"> ADDIN ZOTERO_ITEM CSL_CITATION {"citationID":"i6KwUX0i","properties":{"unsorted":true,"formattedCitation":"(Mayonde et al., 2015; Oliphant et al., 2017)","plainCitation":"(Mayonde et al., 2015; Oliphant et al., 2017)","noteIndex":0},"citationItems":[{"id":16210,"uris":["http://zotero.org/groups/2352922/items/5YQUYQM4"],"itemData":{"id":16210,"type":"article-journal","abstract":"Tamarix usneoides (Tamaricaceae) is a species native to southern Africa where it is currently being used in the mines for phytoremediation. Tamarix aphylla, Tamarix ramosissima, Tamarix chinensis, and Tamarix parviflora have been reported as exotic species in South Africa, with T. ramosissima declared invasive. The alien invasive T. ramosissima is hypothesized to be hybridizing with the indigenous T. usneoides. Accurate identification of Tamarix is of great importance in southern Africa because of the invasive potential of T. ramosissima and also the potential usefulness of T. usneoides. In this study, nuclear DNA sequence markers (ITS1 and ITS2 regions), together with the plastid marker trnS–trnG, are used to identify the genetic distinctiveness of Tamarix species and their putative hybrids. Phylogenies based on the ITS and trnS–trnG regions revealed that the indigenous T. usneoides is genetically distinct from the exotic species, which, however, could not clearly be separated from their closely related hybrids. The lack of congruence (p&gt;0.0001) between the ITS and trnS–trnG phylogenies suggests that there is high incidence of hybridization in Tamarix populations in South Africa. Importantly, molecular diagnosis of Tamarix was able to identify hybrids using polymorphisms and phylogenetic signals. Close to 45% of Tamarix genotypes were hybrids with more than 50% of them occurring on the mines. Spread of Tamarix hybrids in South Africa through phytoremediation could enhance invasiveness. Therefore, the outcome of this study will ensure that only pure indigenous T. usneoides is propagated for planting on the mines in South Africa and that a proper control measure for the alien invasive Tamarix is used. Interestingly, the molecular diagnosis of Tamarix species supported the preliminary morphological identification of the species using eight key characters. However, the molecular markers used were not informative enough to separate hybrids from their closely related parent species. Hybrids were more reliably identified using polymorphisms than morphological features.","container-title":"South African Journal of Botany","DOI":"10.1016/j.sajb.2014.10.011","ISSN":"0254-6299","journalAbbreviation":"South African Journal of Botany","language":"en","page":"122-131","source":"ScienceDirect","title":"Evidence of &lt;i&gt;Tamarix&lt;/i&gt; hybrids in South Africa, as inferred by nuclear ITS and plastid &lt;i&gt;trn&lt;/i&gt;S–&lt;i&gt;trn&lt;/i&gt;G DNA sequences","URL":"http://www.sciencedirect.com/science/article/pii/S0254629914001896","volume":"96","author":[{"family":"Mayonde","given":"S. G."},{"family":"Cron","given":"G. V."},{"family":"Gaskin","given":"J. F."},{"family":"Byrne","given":"M. J."}],"accessed":{"date-parts":[["2019",11,8]]},"issued":{"date-parts":[["2015",1,1]]}},"label":"page"},{"id":16211,"uris":["http://zotero.org/groups/2352922/items/WK3N6XER"],"itemData":{"id":16211,"type":"article-journal","abstract":"Invasive plants threaten native plant communities. Surface coal mines in the Appalachian Mountains are among the most disturbed landscapes in North America, but information about land cover characteristics of Appalachian mined lands is lacking. The invasive shrub autumn olive (Elaeagnus umbellata) occurs on these sites and interferes with ecosystem recovery by outcompeting native trees, thus inhibiting re-establishment of the native woody-plant community. We analyzed Landsat 8 satellite imagery to describe autumn olive’s distribution on post-mined lands in southwestern Virginia within the Appalachian coalfield. Eight images from April 2013 through January 2015 served as input data. Calibration and validation data obtained from high-resolution aerial imagery were used to develop a land cover classification model that identified areas where autumn olive was a primary component of land cover. Results indicate that autumn olive cover was sufficiently dense to enable detection on approximately 12.6 % of post-mined lands within the study area. The classified map had user’s and producer’s accuracies of 85.3 and 78.6 %, respectively, for the autumn olive coverage class. Overall accuracy was assessed in reference to an independent validation dataset at 96.8 %. Autumn olive was detected more frequently on mines disturbed prior to 2003, the last year of known plantings, than on lands disturbed by more recent mining. These results indicate that autumn olive growing on reclaimed coal mines in Virginia and elsewhere in eastern USA can be mapped using Landsat 8 Operational Land Imager imagery; and that autumn olive occurrence is a significant landscape vegetation feature on former surface coal mines in the southwestern Virginia segment of the Appalachian coalfield.","container-title":"Biological Invasions","DOI":"10.1007/s10530-016-1271-6","ISSN":"1573-1464","issue":"1","journalAbbreviation":"Biol Invasions","language":"en","page":"179-195","source":"Springer Link","title":"Autumn olive (&lt;i&gt;Elaeagnus umbellata&lt;/i&gt;) presence and proliferation on former surface coal mines in Eastern USA","URL":"https://doi.org/10.1007/s10530-016-1271-6","volume":"19","author":[{"family":"Oliphant","given":"Adam J."},{"family":"Wynne","given":"R. H."},{"family":"Zipper","given":"C. E."},{"family":"Ford","given":"W. M."},{"family":"Donovan","given":"P. F."},{"family":"Li","given":"Jing"}],"accessed":{"date-parts":[["2019",10,30]]},"issued":{"date-parts":[["2017",1,1]]}},"label":"page"}],"schema":"https://github.com/citation-style-language/schema/raw/master/csl-citation.json"} </w:instrText>
      </w:r>
      <w:r w:rsidRPr="00B671E2">
        <w:rPr>
          <w:lang w:val="en-GB"/>
        </w:rPr>
        <w:fldChar w:fldCharType="separate"/>
      </w:r>
      <w:r w:rsidR="00144D96" w:rsidRPr="00144D96">
        <w:t>(Mayonde et al., 2015; Oliphant et al., 2017)</w:t>
      </w:r>
      <w:r w:rsidRPr="00B671E2">
        <w:rPr>
          <w:lang w:val="en-GB"/>
        </w:rPr>
        <w:fldChar w:fldCharType="end"/>
      </w:r>
      <w:r w:rsidRPr="00B671E2">
        <w:rPr>
          <w:lang w:val="en-GB" w:eastAsia="en-ZA"/>
        </w:rPr>
        <w:t>. In South Africa</w:t>
      </w:r>
      <w:r w:rsidR="0055111A" w:rsidRPr="00B671E2">
        <w:rPr>
          <w:lang w:val="en-GB" w:eastAsia="en-ZA"/>
        </w:rPr>
        <w:t>,</w:t>
      </w:r>
      <w:r w:rsidRPr="00B671E2">
        <w:rPr>
          <w:lang w:val="en-GB" w:eastAsia="en-ZA"/>
        </w:rPr>
        <w:t xml:space="preserve"> alien </w:t>
      </w:r>
      <w:r w:rsidRPr="00B671E2">
        <w:rPr>
          <w:i/>
          <w:iCs/>
          <w:lang w:val="en-GB" w:eastAsia="en-ZA"/>
        </w:rPr>
        <w:t>Tamarix</w:t>
      </w:r>
      <w:r w:rsidRPr="00B671E2">
        <w:rPr>
          <w:lang w:val="en-GB" w:eastAsia="en-ZA"/>
        </w:rPr>
        <w:t xml:space="preserve"> </w:t>
      </w:r>
      <w:r w:rsidR="00A577BD" w:rsidRPr="00B671E2">
        <w:rPr>
          <w:lang w:val="en-GB" w:eastAsia="en-ZA"/>
        </w:rPr>
        <w:t>(</w:t>
      </w:r>
      <w:r w:rsidR="00A577BD" w:rsidRPr="00B671E2">
        <w:rPr>
          <w:rFonts w:eastAsia="Times New Roman"/>
          <w:color w:val="000000"/>
          <w:szCs w:val="24"/>
          <w:lang w:val="en-GB" w:eastAsia="zh-CN"/>
        </w:rPr>
        <w:t xml:space="preserve">tamarisk) </w:t>
      </w:r>
      <w:r w:rsidRPr="00B671E2">
        <w:rPr>
          <w:lang w:val="en-GB" w:eastAsia="en-ZA"/>
        </w:rPr>
        <w:t>species</w:t>
      </w:r>
      <w:r w:rsidR="00EF321C" w:rsidRPr="00B671E2">
        <w:rPr>
          <w:lang w:val="en-GB" w:eastAsia="en-ZA"/>
        </w:rPr>
        <w:t xml:space="preserve">, </w:t>
      </w:r>
      <w:r w:rsidR="005D6474" w:rsidRPr="00B671E2">
        <w:rPr>
          <w:lang w:val="en-GB" w:eastAsia="en-ZA"/>
        </w:rPr>
        <w:t xml:space="preserve">which </w:t>
      </w:r>
      <w:r w:rsidR="00EF321C" w:rsidRPr="00B671E2">
        <w:rPr>
          <w:lang w:val="en-GB" w:eastAsia="en-ZA"/>
        </w:rPr>
        <w:t xml:space="preserve">have been used in the </w:t>
      </w:r>
      <w:r w:rsidR="00246BA7" w:rsidRPr="00B671E2">
        <w:rPr>
          <w:lang w:val="en-GB" w:eastAsia="en-ZA"/>
        </w:rPr>
        <w:t>restoration</w:t>
      </w:r>
      <w:r w:rsidR="00EF321C" w:rsidRPr="00B671E2">
        <w:rPr>
          <w:lang w:val="en-GB" w:eastAsia="en-ZA"/>
        </w:rPr>
        <w:t xml:space="preserve"> </w:t>
      </w:r>
      <w:r w:rsidR="006B78B8" w:rsidRPr="00B671E2">
        <w:rPr>
          <w:lang w:val="en-GB" w:eastAsia="en-ZA"/>
        </w:rPr>
        <w:t xml:space="preserve">of </w:t>
      </w:r>
      <w:r w:rsidR="00EF321C" w:rsidRPr="00B671E2">
        <w:rPr>
          <w:lang w:val="en-GB" w:eastAsia="en-ZA"/>
        </w:rPr>
        <w:t xml:space="preserve">post-mining landscapes, </w:t>
      </w:r>
      <w:r w:rsidRPr="00B671E2">
        <w:rPr>
          <w:lang w:val="en-GB" w:eastAsia="en-ZA"/>
        </w:rPr>
        <w:t>have since hybrid</w:t>
      </w:r>
      <w:r w:rsidR="00247CC3" w:rsidRPr="00B671E2">
        <w:rPr>
          <w:lang w:val="en-GB" w:eastAsia="en-ZA"/>
        </w:rPr>
        <w:t>ize</w:t>
      </w:r>
      <w:r w:rsidRPr="00B671E2">
        <w:rPr>
          <w:lang w:val="en-GB" w:eastAsia="en-ZA"/>
        </w:rPr>
        <w:t xml:space="preserve">d with indigenous </w:t>
      </w:r>
      <w:r w:rsidRPr="00B671E2">
        <w:rPr>
          <w:i/>
          <w:iCs/>
          <w:lang w:val="en-GB" w:eastAsia="en-ZA"/>
        </w:rPr>
        <w:t>Tamarix</w:t>
      </w:r>
      <w:r w:rsidRPr="00B671E2">
        <w:rPr>
          <w:lang w:val="en-GB" w:eastAsia="en-ZA"/>
        </w:rPr>
        <w:t xml:space="preserve"> species</w:t>
      </w:r>
      <w:r w:rsidR="00B768B7" w:rsidRPr="00B671E2">
        <w:rPr>
          <w:lang w:val="en-GB" w:eastAsia="en-ZA"/>
        </w:rPr>
        <w:t>,</w:t>
      </w:r>
      <w:r w:rsidRPr="00B671E2">
        <w:rPr>
          <w:lang w:val="en-GB" w:eastAsia="en-ZA"/>
        </w:rPr>
        <w:t xml:space="preserve"> </w:t>
      </w:r>
      <w:r w:rsidR="00B768B7" w:rsidRPr="00B671E2">
        <w:rPr>
          <w:lang w:val="en-GB" w:eastAsia="en-ZA"/>
        </w:rPr>
        <w:t xml:space="preserve">posing a </w:t>
      </w:r>
      <w:r w:rsidRPr="00B671E2">
        <w:rPr>
          <w:lang w:val="en-GB" w:eastAsia="en-ZA"/>
        </w:rPr>
        <w:t xml:space="preserve">potential </w:t>
      </w:r>
      <w:r w:rsidR="00B768B7" w:rsidRPr="00B671E2">
        <w:rPr>
          <w:lang w:val="en-GB" w:eastAsia="en-ZA"/>
        </w:rPr>
        <w:t xml:space="preserve">risk </w:t>
      </w:r>
      <w:r w:rsidRPr="00B671E2">
        <w:rPr>
          <w:lang w:val="en-GB" w:eastAsia="en-ZA"/>
        </w:rPr>
        <w:t xml:space="preserve">for future </w:t>
      </w:r>
      <w:r w:rsidR="007472AD" w:rsidRPr="00B671E2">
        <w:rPr>
          <w:lang w:val="en-GB" w:eastAsia="en-ZA"/>
        </w:rPr>
        <w:t xml:space="preserve">biological </w:t>
      </w:r>
      <w:r w:rsidRPr="00B671E2">
        <w:rPr>
          <w:lang w:val="en-GB" w:eastAsia="en-ZA"/>
        </w:rPr>
        <w:t xml:space="preserve">invasions by hybrids </w:t>
      </w:r>
      <w:r w:rsidRPr="00B671E2">
        <w:rPr>
          <w:lang w:val="en-GB" w:eastAsia="en-ZA"/>
        </w:rPr>
        <w:fldChar w:fldCharType="begin"/>
      </w:r>
      <w:r w:rsidR="00331A79">
        <w:rPr>
          <w:lang w:val="en-GB" w:eastAsia="en-ZA"/>
        </w:rPr>
        <w:instrText xml:space="preserve"> ADDIN ZOTERO_ITEM CSL_CITATION {"citationID":"OUooxM42","properties":{"formattedCitation":"(Mayonde et al., 2015)","plainCitation":"(Mayonde et al., 2015)","dontUpdate":true,"noteIndex":0},"citationItems":[{"id":16210,"uris":["http://zotero.org/groups/2352922/items/5YQUYQM4"],"itemData":{"id":16210,"type":"article-journal","abstract":"Tamarix usneoides (Tamaricaceae) is a species native to southern Africa where it is currently being used in the mines for phytoremediation. Tamarix aphylla, Tamarix ramosissima, Tamarix chinensis, and Tamarix parviflora have been reported as exotic species in South Africa, with T. ramosissima declared invasive. The alien invasive T. ramosissima is hypothesized to be hybridizing with the indigenous T. usneoides. Accurate identification of Tamarix is of great importance in southern Africa because of the invasive potential of T. ramosissima and also the potential usefulness of T. usneoides. In this study, nuclear DNA sequence markers (ITS1 and ITS2 regions), together with the plastid marker trnS–trnG, are used to identify the genetic distinctiveness of Tamarix species and their putative hybrids. Phylogenies based on the ITS and trnS–trnG regions revealed that the indigenous T. usneoides is genetically distinct from the exotic species, which, however, could not clearly be separated from their closely related hybrids. The lack of congruence (p&gt;0.0001) between the ITS and trnS–trnG phylogenies suggests that there is high incidence of hybridization in Tamarix populations in South Africa. Importantly, molecular diagnosis of Tamarix was able to identify hybrids using polymorphisms and phylogenetic signals. Close to 45% of Tamarix genotypes were hybrids with more than 50% of them occurring on the mines. Spread of Tamarix hybrids in South Africa through phytoremediation could enhance invasiveness. Therefore, the outcome of this study will ensure that only pure indigenous T. usneoides is propagated for planting on the mines in South Africa and that a proper control measure for the alien invasive Tamarix is used. Interestingly, the molecular diagnosis of Tamarix species supported the preliminary morphological identification of the species using eight key characters. However, the molecular markers used were not informative enough to separate hybrids from their closely related parent species. Hybrids were more reliably identified using polymorphisms than morphological features.","container-title":"South African Journal of Botany","DOI":"10.1016/j.sajb.2014.10.011","ISSN":"0254-6299","journalAbbreviation":"South African Journal of Botany","language":"en","page":"122-131","source":"ScienceDirect","title":"Evidence of &lt;i&gt;Tamarix&lt;/i&gt; hybrids in South Africa, as inferred by nuclear ITS and plastid &lt;i&gt;trn&lt;/i&gt;S–&lt;i&gt;trn&lt;/i&gt;G DNA sequences","URL":"http://www.sciencedirect.com/science/article/pii/S0254629914001896","volume":"96","author":[{"family":"Mayonde","given":"S. G."},{"family":"Cron","given":"G. V."},{"family":"Gaskin","given":"J. F."},{"family":"Byrne","given":"M. J."}],"accessed":{"date-parts":[["2019",11,8]]},"issued":{"date-parts":[["2015",1,1]]}},"label":"page"}],"schema":"https://github.com/citation-style-language/schema/raw/master/csl-citation.json"} </w:instrText>
      </w:r>
      <w:r w:rsidRPr="00B671E2">
        <w:rPr>
          <w:lang w:val="en-GB" w:eastAsia="en-ZA"/>
        </w:rPr>
        <w:fldChar w:fldCharType="separate"/>
      </w:r>
      <w:r w:rsidR="00020669" w:rsidRPr="00B671E2">
        <w:rPr>
          <w:lang w:val="en-GB"/>
        </w:rPr>
        <w:t>(Mayonde et al., 2015</w:t>
      </w:r>
      <w:r w:rsidRPr="00B671E2">
        <w:rPr>
          <w:lang w:val="en-GB" w:eastAsia="en-ZA"/>
        </w:rPr>
        <w:fldChar w:fldCharType="end"/>
      </w:r>
      <w:r w:rsidR="003C5F1E" w:rsidRPr="00B671E2">
        <w:rPr>
          <w:lang w:val="en-GB" w:eastAsia="en-ZA"/>
        </w:rPr>
        <w:t>;</w:t>
      </w:r>
      <w:r w:rsidRPr="00B671E2">
        <w:rPr>
          <w:lang w:val="en-GB"/>
        </w:rPr>
        <w:t xml:space="preserve"> </w:t>
      </w:r>
      <w:r w:rsidRPr="008C1731">
        <w:rPr>
          <w:b/>
          <w:iCs/>
          <w:lang w:val="en-GB"/>
        </w:rPr>
        <w:t>section 3.3.5.1</w:t>
      </w:r>
      <w:r w:rsidRPr="00DA249F">
        <w:rPr>
          <w:lang w:val="en-GB"/>
        </w:rPr>
        <w:t>)</w:t>
      </w:r>
      <w:r w:rsidRPr="00DA249F">
        <w:rPr>
          <w:lang w:val="en-GB" w:eastAsia="en-ZA"/>
        </w:rPr>
        <w:t>. In the United States</w:t>
      </w:r>
      <w:r w:rsidR="00B768B7" w:rsidRPr="00DA249F">
        <w:rPr>
          <w:lang w:val="en-GB" w:eastAsia="en-ZA"/>
        </w:rPr>
        <w:t>,</w:t>
      </w:r>
      <w:r w:rsidRPr="00DA249F">
        <w:rPr>
          <w:lang w:val="en-GB" w:eastAsia="en-ZA"/>
        </w:rPr>
        <w:t xml:space="preserve"> the planting of the alien shrub </w:t>
      </w:r>
      <w:r w:rsidR="00523E8F" w:rsidRPr="00DA249F">
        <w:rPr>
          <w:i/>
          <w:iCs/>
          <w:lang w:val="en-GB" w:eastAsia="en-ZA"/>
        </w:rPr>
        <w:t xml:space="preserve">Elaeagnus </w:t>
      </w:r>
      <w:r w:rsidR="00642211" w:rsidRPr="00DA249F">
        <w:rPr>
          <w:i/>
          <w:iCs/>
          <w:lang w:val="en-GB" w:eastAsia="en-ZA"/>
        </w:rPr>
        <w:t>umbellata</w:t>
      </w:r>
      <w:r w:rsidR="00523E8F" w:rsidRPr="00DA249F">
        <w:rPr>
          <w:lang w:val="en-GB" w:eastAsia="en-ZA"/>
        </w:rPr>
        <w:t xml:space="preserve"> </w:t>
      </w:r>
      <w:r w:rsidRPr="00DA249F">
        <w:rPr>
          <w:lang w:val="en-GB" w:eastAsia="en-ZA"/>
        </w:rPr>
        <w:t>(</w:t>
      </w:r>
      <w:r w:rsidR="000E210F" w:rsidRPr="00DA249F">
        <w:rPr>
          <w:lang w:val="en-GB" w:eastAsia="en-ZA"/>
        </w:rPr>
        <w:t>a</w:t>
      </w:r>
      <w:r w:rsidR="00523E8F" w:rsidRPr="00DA249F">
        <w:rPr>
          <w:lang w:val="en-GB" w:eastAsia="en-ZA"/>
        </w:rPr>
        <w:t>utumn olive</w:t>
      </w:r>
      <w:r w:rsidRPr="00DA249F">
        <w:rPr>
          <w:lang w:val="en-GB" w:eastAsia="en-ZA"/>
        </w:rPr>
        <w:t>) has resulted i</w:t>
      </w:r>
      <w:r w:rsidR="009C6399" w:rsidRPr="00DA249F">
        <w:rPr>
          <w:lang w:val="en-GB" w:eastAsia="en-ZA"/>
        </w:rPr>
        <w:t>n</w:t>
      </w:r>
      <w:r w:rsidRPr="00DA249F">
        <w:rPr>
          <w:lang w:val="en-GB" w:eastAsia="en-ZA"/>
        </w:rPr>
        <w:t xml:space="preserve"> spread of the species</w:t>
      </w:r>
      <w:r w:rsidR="00686B61" w:rsidRPr="00DA249F">
        <w:rPr>
          <w:lang w:val="en-GB" w:eastAsia="en-ZA"/>
        </w:rPr>
        <w:t xml:space="preserve"> beyond the sites of introduction</w:t>
      </w:r>
      <w:r w:rsidR="0055111A" w:rsidRPr="00DA249F">
        <w:rPr>
          <w:lang w:val="en-GB" w:eastAsia="en-ZA"/>
        </w:rPr>
        <w:t>,</w:t>
      </w:r>
      <w:r w:rsidRPr="00DA249F">
        <w:rPr>
          <w:lang w:val="en-GB" w:eastAsia="en-ZA"/>
        </w:rPr>
        <w:t xml:space="preserve"> which hinders vegetation recovery </w:t>
      </w:r>
      <w:r w:rsidRPr="00DA249F">
        <w:rPr>
          <w:lang w:val="en-GB"/>
        </w:rPr>
        <w:fldChar w:fldCharType="begin"/>
      </w:r>
      <w:r w:rsidR="00331A79">
        <w:rPr>
          <w:lang w:val="en-GB"/>
        </w:rPr>
        <w:instrText xml:space="preserve"> ADDIN ZOTERO_ITEM CSL_CITATION {"citationID":"bJlzHgJB","properties":{"formattedCitation":"(Oliphant et al., 2017)","plainCitation":"(Oliphant et al., 2017)","noteIndex":0},"citationItems":[{"id":16211,"uris":["http://zotero.org/groups/2352922/items/WK3N6XER"],"itemData":{"id":16211,"type":"article-journal","abstract":"Invasive plants threaten native plant communities. Surface coal mines in the Appalachian Mountains are among the most disturbed landscapes in North America, but information about land cover characteristics of Appalachian mined lands is lacking. The invasive shrub autumn olive (Elaeagnus umbellata) occurs on these sites and interferes with ecosystem recovery by outcompeting native trees, thus inhibiting re-establishment of the native woody-plant community. We analyzed Landsat 8 satellite imagery to describe autumn olive’s distribution on post-mined lands in southwestern Virginia within the Appalachian coalfield. Eight images from April 2013 through January 2015 served as input data. Calibration and validation data obtained from high-resolution aerial imagery were used to develop a land cover classification model that identified areas where autumn olive was a primary component of land cover. Results indicate that autumn olive cover was sufficiently dense to enable detection on approximately 12.6 % of post-mined lands within the study area. The classified map had user’s and producer’s accuracies of 85.3 and 78.6 %, respectively, for the autumn olive coverage class. Overall accuracy was assessed in reference to an independent validation dataset at 96.8 %. Autumn olive was detected more frequently on mines disturbed prior to 2003, the last year of known plantings, than on lands disturbed by more recent mining. These results indicate that autumn olive growing on reclaimed coal mines in Virginia and elsewhere in eastern USA can be mapped using Landsat 8 Operational Land Imager imagery; and that autumn olive occurrence is a significant landscape vegetation feature on former surface coal mines in the southwestern Virginia segment of the Appalachian coalfield.","container-title":"Biological Invasions","DOI":"10.1007/s10530-016-1271-6","ISSN":"1573-1464","issue":"1","journalAbbreviation":"Biol Invasions","language":"en","page":"179-195","source":"Springer Link","title":"Autumn olive (&lt;i&gt;Elaeagnus umbellata&lt;/i&gt;) presence and proliferation on former surface coal mines in Eastern USA","URL":"https://doi.org/10.1007/s10530-016-1271-6","volume":"19","author":[{"family":"Oliphant","given":"Adam J."},{"family":"Wynne","given":"R. H."},{"family":"Zipper","given":"C. E."},{"family":"Ford","given":"W. M."},{"family":"Donovan","given":"P. F."},{"family":"Li","given":"Jing"}],"accessed":{"date-parts":[["2019",10,30]]},"issued":{"date-parts":[["2017",1,1]]}},"label":"page"}],"schema":"https://github.com/citation-style-language/schema/raw/master/csl-citation.json"} </w:instrText>
      </w:r>
      <w:r w:rsidRPr="00DA249F">
        <w:rPr>
          <w:lang w:val="en-GB"/>
        </w:rPr>
        <w:fldChar w:fldCharType="separate"/>
      </w:r>
      <w:r w:rsidR="00144D96" w:rsidRPr="00144D96">
        <w:t>(Oliphant et al., 2017)</w:t>
      </w:r>
      <w:r w:rsidRPr="00DA249F">
        <w:rPr>
          <w:lang w:val="en-GB"/>
        </w:rPr>
        <w:fldChar w:fldCharType="end"/>
      </w:r>
      <w:r w:rsidRPr="00DA249F">
        <w:rPr>
          <w:lang w:val="en-GB" w:eastAsia="en-ZA"/>
        </w:rPr>
        <w:t xml:space="preserve">. </w:t>
      </w:r>
      <w:r w:rsidR="00D2481E" w:rsidRPr="00DA249F">
        <w:rPr>
          <w:lang w:val="en-GB" w:eastAsia="en-ZA"/>
        </w:rPr>
        <w:t xml:space="preserve">Post-mining areas </w:t>
      </w:r>
      <w:r w:rsidR="00DD2E66" w:rsidRPr="00DA249F">
        <w:rPr>
          <w:lang w:val="en-GB" w:eastAsia="en-ZA"/>
        </w:rPr>
        <w:t xml:space="preserve">may </w:t>
      </w:r>
      <w:r w:rsidR="00D2481E" w:rsidRPr="00DA249F">
        <w:rPr>
          <w:lang w:val="en-GB" w:eastAsia="en-ZA"/>
        </w:rPr>
        <w:t xml:space="preserve">also </w:t>
      </w:r>
      <w:r w:rsidR="00584A28" w:rsidRPr="00DA249F">
        <w:rPr>
          <w:lang w:val="en-GB" w:eastAsia="en-ZA"/>
        </w:rPr>
        <w:lastRenderedPageBreak/>
        <w:t xml:space="preserve">be </w:t>
      </w:r>
      <w:r w:rsidR="00DD2E66" w:rsidRPr="00DA249F">
        <w:rPr>
          <w:lang w:val="en-GB" w:eastAsia="en-ZA"/>
        </w:rPr>
        <w:t xml:space="preserve">considered as </w:t>
      </w:r>
      <w:r w:rsidR="00D2481E" w:rsidRPr="00DA249F">
        <w:rPr>
          <w:lang w:val="en-GB" w:eastAsia="en-ZA"/>
        </w:rPr>
        <w:t>potential</w:t>
      </w:r>
      <w:r w:rsidR="00DD2E66" w:rsidRPr="00DA249F">
        <w:rPr>
          <w:lang w:val="en-GB" w:eastAsia="en-ZA"/>
        </w:rPr>
        <w:t>ly suitable</w:t>
      </w:r>
      <w:r w:rsidR="00D2481E" w:rsidRPr="00DA249F">
        <w:rPr>
          <w:lang w:val="en-GB" w:eastAsia="en-ZA"/>
        </w:rPr>
        <w:t xml:space="preserve"> sites for the</w:t>
      </w:r>
      <w:r w:rsidR="00CE576A" w:rsidRPr="00DA249F">
        <w:rPr>
          <w:lang w:val="en-GB" w:eastAsia="en-ZA"/>
        </w:rPr>
        <w:t xml:space="preserve"> cultivation</w:t>
      </w:r>
      <w:r w:rsidR="00D2481E" w:rsidRPr="00DA249F">
        <w:rPr>
          <w:lang w:val="en-GB" w:eastAsia="en-ZA"/>
        </w:rPr>
        <w:t xml:space="preserve"> of</w:t>
      </w:r>
      <w:r w:rsidR="008B7BC0" w:rsidRPr="00DA249F">
        <w:rPr>
          <w:lang w:val="en-GB" w:eastAsia="en-ZA"/>
        </w:rPr>
        <w:t xml:space="preserve"> biofuel</w:t>
      </w:r>
      <w:r w:rsidR="00584A28" w:rsidRPr="00DA249F">
        <w:rPr>
          <w:lang w:val="en-GB" w:eastAsia="en-ZA"/>
        </w:rPr>
        <w:t xml:space="preserve"> feedstock</w:t>
      </w:r>
      <w:r w:rsidR="008B7BC0" w:rsidRPr="00DA249F">
        <w:rPr>
          <w:lang w:val="en-GB" w:eastAsia="en-ZA"/>
        </w:rPr>
        <w:t xml:space="preserve">s from </w:t>
      </w:r>
      <w:r w:rsidR="00DD2E66" w:rsidRPr="00DA249F">
        <w:rPr>
          <w:lang w:val="en-GB" w:eastAsia="en-ZA"/>
        </w:rPr>
        <w:t xml:space="preserve">known </w:t>
      </w:r>
      <w:r w:rsidR="008B7BC0" w:rsidRPr="00DA249F">
        <w:rPr>
          <w:lang w:val="en-GB" w:eastAsia="en-ZA"/>
        </w:rPr>
        <w:t xml:space="preserve">invasive </w:t>
      </w:r>
      <w:r w:rsidR="002A0EE8" w:rsidRPr="00DA249F">
        <w:rPr>
          <w:lang w:val="en-GB" w:eastAsia="en-ZA"/>
        </w:rPr>
        <w:t xml:space="preserve">alien </w:t>
      </w:r>
      <w:r w:rsidR="008B7BC0" w:rsidRPr="00DA249F">
        <w:rPr>
          <w:lang w:val="en-GB" w:eastAsia="en-ZA"/>
        </w:rPr>
        <w:t>species</w:t>
      </w:r>
      <w:r w:rsidR="00584A28" w:rsidRPr="00DA249F">
        <w:rPr>
          <w:lang w:val="en-GB" w:eastAsia="en-ZA"/>
        </w:rPr>
        <w:t>, which may spread beyond the area of introdu</w:t>
      </w:r>
      <w:r w:rsidR="004975F9" w:rsidRPr="00DA249F">
        <w:rPr>
          <w:lang w:val="en-GB" w:eastAsia="en-ZA"/>
        </w:rPr>
        <w:t>c</w:t>
      </w:r>
      <w:r w:rsidR="00584A28" w:rsidRPr="00DA249F">
        <w:rPr>
          <w:lang w:val="en-GB" w:eastAsia="en-ZA"/>
        </w:rPr>
        <w:t>tion</w:t>
      </w:r>
      <w:r w:rsidR="004975F9" w:rsidRPr="00DA249F">
        <w:rPr>
          <w:lang w:val="en-GB" w:eastAsia="en-ZA"/>
        </w:rPr>
        <w:t xml:space="preserve"> due to the inherent invasive traits of the species</w:t>
      </w:r>
      <w:r w:rsidR="008B7BC0" w:rsidRPr="00DA249F">
        <w:rPr>
          <w:lang w:val="en-GB" w:eastAsia="en-ZA"/>
        </w:rPr>
        <w:t>.</w:t>
      </w:r>
      <w:r w:rsidR="006F02BA" w:rsidRPr="00DA249F">
        <w:rPr>
          <w:lang w:val="en-GB" w:eastAsia="en-ZA"/>
        </w:rPr>
        <w:t xml:space="preserve"> </w:t>
      </w:r>
      <w:r w:rsidR="00007545" w:rsidRPr="00DA249F">
        <w:rPr>
          <w:lang w:val="en-GB"/>
        </w:rPr>
        <w:t>While the outcomes of introducing known invasive alien species to improve soil conditions where nat</w:t>
      </w:r>
      <w:r w:rsidR="00C272FE" w:rsidRPr="00DA249F">
        <w:rPr>
          <w:lang w:val="en-GB"/>
        </w:rPr>
        <w:t>ive</w:t>
      </w:r>
      <w:r w:rsidR="00007545" w:rsidRPr="00DA249F">
        <w:rPr>
          <w:lang w:val="en-GB"/>
        </w:rPr>
        <w:t xml:space="preserve"> vegetation is unable </w:t>
      </w:r>
      <w:r w:rsidR="002C099D" w:rsidRPr="00DA249F">
        <w:rPr>
          <w:lang w:val="en-GB"/>
        </w:rPr>
        <w:t xml:space="preserve">to </w:t>
      </w:r>
      <w:r w:rsidR="00007545" w:rsidRPr="00DA249F">
        <w:rPr>
          <w:lang w:val="en-GB"/>
        </w:rPr>
        <w:t>grow due to contamination is beneficial,</w:t>
      </w:r>
      <w:r w:rsidR="006F02BA" w:rsidRPr="00DA249F">
        <w:rPr>
          <w:lang w:val="en-GB"/>
        </w:rPr>
        <w:t xml:space="preserve"> </w:t>
      </w:r>
      <w:r w:rsidR="00007545" w:rsidRPr="00DA249F">
        <w:rPr>
          <w:lang w:val="en-GB"/>
        </w:rPr>
        <w:t xml:space="preserve">introducing new species to areas where they were not before </w:t>
      </w:r>
      <w:r w:rsidR="00007545" w:rsidRPr="00DA249F">
        <w:rPr>
          <w:lang w:val="en-GB"/>
        </w:rPr>
        <w:fldChar w:fldCharType="begin"/>
      </w:r>
      <w:r w:rsidR="00331A79">
        <w:rPr>
          <w:lang w:val="en-GB"/>
        </w:rPr>
        <w:instrText xml:space="preserve"> ADDIN ZOTERO_ITEM CSL_CITATION {"citationID":"d1CD5JCg","properties":{"formattedCitation":"(Prabakaran et al., 2019)","plainCitation":"(Prabakaran et al., 2019)","noteIndex":0},"citationItems":[{"id":12589,"uris":["http://zotero.org/groups/2352922/items/RWVR7NBI"],"itemData":{"id":12589,"type":"article-journal","abstract":"Environmental degradation by contaminants is a serious concern in the developing world. The remediation strategies to overcome the problem of environmental degradation should be assorted for its ecological impacts. Phytoremediation is a green technology for the removal of pollutants from various environmental compartments by employing green plants. An ideal phytoremediation plant candidate should possess some characteristic features such as exhibiting stronger growth traits with high biomass, unpalatable nature, exuberant root system, hyper accumulation of target contaminants accompanied with stress tolerance attributes. The growth of natural vegetation is prevented by the barren and uncongenial conditions prevailing in the contaminated sites, but however invasive plants are capable of establishing themselves on those sites due to their opportunistic incursive nature. Since, it is hard to eradicate an invasive species once after their establishment in a new habitat or ecosystem, they can possibly be controlled by sustainable management through the way of exploiting them in contaminant remediation, thus phytoremediation. Therefore, it is of foremost requisite to determine the ability of invasive species in offering various ecologically viable services including contaminant remediation through scientific exploration. In this review, the implications of using invasive plants in contaminant remediation with accompanying challenges and scopes involved are discussed with the available volume of literatures in contaminant remediation using plants, especially the invasive plants.","container-title":"Ecological Engineering","DOI":"10.1016/j.ecoleng.2019.07.002","ISSN":"0925-8574","language":"English","page":"28-37","title":"Managing environmental contamination through phytoremediation by invasive plants: A review","volume":"138","author":[{"family":"Prabakaran","given":"K."},{"family":"Li","given":"Jian"},{"family":"Anandkumar","given":"A."},{"family":"Leng","given":"Zhanrui"},{"family":"Zou","given":"Chris B."},{"family":"Du","given":"Daolin"}],"issued":{"date-parts":[["2019",11]]}},"label":"page"}],"schema":"https://github.com/citation-style-language/schema/raw/master/csl-citation.json"} </w:instrText>
      </w:r>
      <w:r w:rsidR="00007545" w:rsidRPr="00DA249F">
        <w:rPr>
          <w:lang w:val="en-GB"/>
        </w:rPr>
        <w:fldChar w:fldCharType="separate"/>
      </w:r>
      <w:r w:rsidR="00144D96" w:rsidRPr="00144D96">
        <w:t>(Prabakaran et al., 2019)</w:t>
      </w:r>
      <w:r w:rsidR="00007545" w:rsidRPr="00DA249F">
        <w:rPr>
          <w:lang w:val="en-GB"/>
        </w:rPr>
        <w:fldChar w:fldCharType="end"/>
      </w:r>
      <w:r w:rsidR="00007545" w:rsidRPr="00DA249F">
        <w:rPr>
          <w:lang w:val="en-GB"/>
        </w:rPr>
        <w:t xml:space="preserve"> may increase the risk of </w:t>
      </w:r>
      <w:r w:rsidR="00305F73" w:rsidRPr="00DA249F">
        <w:rPr>
          <w:lang w:val="en-GB"/>
        </w:rPr>
        <w:t xml:space="preserve">alien </w:t>
      </w:r>
      <w:r w:rsidR="00007545" w:rsidRPr="00DA249F">
        <w:rPr>
          <w:lang w:val="en-GB"/>
        </w:rPr>
        <w:t>species spreading to new areas</w:t>
      </w:r>
      <w:r w:rsidR="003A1E36" w:rsidRPr="00DA249F">
        <w:rPr>
          <w:lang w:val="en-GB"/>
        </w:rPr>
        <w:t>.</w:t>
      </w:r>
      <w:r w:rsidR="7A6C15AA" w:rsidRPr="00DA249F">
        <w:rPr>
          <w:lang w:val="en-GB"/>
        </w:rPr>
        <w:t xml:space="preserve"> </w:t>
      </w:r>
      <w:r w:rsidR="2EF55581" w:rsidRPr="00DA249F">
        <w:rPr>
          <w:lang w:val="en-GB"/>
        </w:rPr>
        <w:t>A meta-analysis</w:t>
      </w:r>
      <w:r w:rsidR="7A6C15AA" w:rsidRPr="00DA249F">
        <w:rPr>
          <w:lang w:val="en-GB"/>
        </w:rPr>
        <w:t xml:space="preserve"> of small mammal recovery in </w:t>
      </w:r>
      <w:r w:rsidR="48D8C68D" w:rsidRPr="00DA249F">
        <w:rPr>
          <w:lang w:val="en-GB"/>
        </w:rPr>
        <w:t xml:space="preserve">passive and actively </w:t>
      </w:r>
      <w:r w:rsidR="7A6C15AA" w:rsidRPr="00DA249F">
        <w:rPr>
          <w:lang w:val="en-GB"/>
        </w:rPr>
        <w:t xml:space="preserve">restored </w:t>
      </w:r>
      <w:r w:rsidR="6FAB7D98" w:rsidRPr="00DA249F">
        <w:rPr>
          <w:lang w:val="en-GB"/>
        </w:rPr>
        <w:t xml:space="preserve">mining </w:t>
      </w:r>
      <w:r w:rsidR="5D54E566" w:rsidRPr="00DA249F">
        <w:rPr>
          <w:lang w:val="en-GB"/>
        </w:rPr>
        <w:t xml:space="preserve">areas </w:t>
      </w:r>
      <w:r w:rsidR="7A6C15AA" w:rsidRPr="00DA249F">
        <w:rPr>
          <w:rFonts w:eastAsia="Arial"/>
          <w:lang w:val="en-GB" w:eastAsia="en-ZA"/>
        </w:rPr>
        <w:fldChar w:fldCharType="begin"/>
      </w:r>
      <w:r w:rsidR="00331A79">
        <w:rPr>
          <w:rFonts w:eastAsia="Arial"/>
          <w:lang w:val="en-GB" w:eastAsia="en-ZA"/>
        </w:rPr>
        <w:instrText xml:space="preserve"> ADDIN ZOTERO_ITEM CSL_CITATION {"citationID":"H7hTIF53","properties":{"formattedCitation":"(Lawer et al., 2019)","plainCitation":"(Lawer et al., 2019)","noteIndex":0},"citationItems":[{"id":16213,"uris":["http://zotero.org/groups/2352922/items/7YUDSLFV"],"itemData":{"id":16213,"type":"article-journal","abstract":"ContextLand degradation from mining influences biodiversity and ecosystem functioning. However, comparative studies using small mammal functional groups within rehabilitated mining sites are missing, despite their significant ecological contributions.ObjectivesWe investigated the recovery of small mammals according to their trophic guild and terrestriality in restored mining sites and analyzed whether they were influenced by restoration scheme (active or passive), restoration time, mineral type, body mass and invasive species. We were especially interested in whether functional groups showed different recovery patterns across time.MethodsWe classified small mammals into functional groups according to trophic levels distinguishing carnivores, herbivores and omnivores, and according to their terrestriality categorized as above ground-dwelling (AGD) and fossorial and/or ground-dwelling individuals (FGD). We studied small mammal recovery globally following restoration of mining sites based on a meta-analysis using effect sizes. Influences of environmental variables were investigated with linear mixed models using effect sizes as response variable.ResultsWe did not find significant differences for restoration scheme and time but we did for mineral type, body mass and invasive species in terms of population (abundance) recovery. Trajectories of functional group recoveries differed: FGD and herbivores quickly recovered after mining activities stopped, but declined later, whereas AGD, carnivores and omnivores recovered within the first few years or decades.ConclusionsOur results highlight the different vulnerability of functional groups, and the importance of considering this in conservation interventions.","container-title":"Landscape Ecology","DOI":"10.1007/s10980-019-00785-z","ISSN":"1572-9761","issue":"3","journalAbbreviation":"Landscape Ecol","language":"en","page":"473-485","source":"Springer Link","title":"Responses of small mammals to land restoration after mining","URL":"https://doi.org/10.1007/s10980-019-00785-z","volume":"34","author":[{"family":"Lawer","given":"Eric Adjei"},{"family":"Mupepele","given":"Anne-Christine"},{"family":"Klein","given":"Alexandra-Maria"}],"accessed":{"date-parts":[["2019",10,30]]},"issued":{"date-parts":[["2019",3,1]]}},"label":"page"}],"schema":"https://github.com/citation-style-language/schema/raw/master/csl-citation.json"} </w:instrText>
      </w:r>
      <w:r w:rsidR="7A6C15AA" w:rsidRPr="00DA249F">
        <w:rPr>
          <w:rFonts w:eastAsia="Arial"/>
          <w:lang w:val="en-GB" w:eastAsia="en-ZA"/>
        </w:rPr>
        <w:fldChar w:fldCharType="separate"/>
      </w:r>
      <w:r w:rsidR="00144D96" w:rsidRPr="00144D96">
        <w:t>(Lawer et al., 2019)</w:t>
      </w:r>
      <w:r w:rsidR="7A6C15AA" w:rsidRPr="00DA249F">
        <w:rPr>
          <w:rFonts w:eastAsia="Arial"/>
          <w:lang w:val="en-GB" w:eastAsia="en-ZA"/>
        </w:rPr>
        <w:fldChar w:fldCharType="end"/>
      </w:r>
      <w:r w:rsidR="6FAB7D98" w:rsidRPr="00DA249F">
        <w:rPr>
          <w:lang w:val="en-GB"/>
        </w:rPr>
        <w:t xml:space="preserve"> </w:t>
      </w:r>
      <w:r w:rsidR="7A6C15AA" w:rsidRPr="00DA249F">
        <w:rPr>
          <w:lang w:val="en-GB"/>
        </w:rPr>
        <w:t>found that</w:t>
      </w:r>
      <w:r w:rsidR="0002097C">
        <w:rPr>
          <w:lang w:val="en-GB"/>
        </w:rPr>
        <w:t xml:space="preserve"> the </w:t>
      </w:r>
      <w:r w:rsidR="00B361D5">
        <w:rPr>
          <w:lang w:val="en-GB"/>
        </w:rPr>
        <w:t>abundance</w:t>
      </w:r>
      <w:r w:rsidR="0002097C">
        <w:rPr>
          <w:lang w:val="en-GB"/>
        </w:rPr>
        <w:t xml:space="preserve"> of</w:t>
      </w:r>
      <w:r w:rsidR="7A6C15AA" w:rsidRPr="00DA249F">
        <w:rPr>
          <w:lang w:val="en-GB"/>
        </w:rPr>
        <w:t xml:space="preserve"> invasive alien species </w:t>
      </w:r>
      <w:r w:rsidR="0002097C" w:rsidRPr="00DA249F">
        <w:rPr>
          <w:lang w:val="en-GB"/>
        </w:rPr>
        <w:t>w</w:t>
      </w:r>
      <w:r w:rsidR="0002097C">
        <w:rPr>
          <w:lang w:val="en-GB"/>
        </w:rPr>
        <w:t>as</w:t>
      </w:r>
      <w:r w:rsidR="0002097C" w:rsidRPr="00DA249F">
        <w:rPr>
          <w:lang w:val="en-GB"/>
        </w:rPr>
        <w:t xml:space="preserve"> </w:t>
      </w:r>
      <w:r w:rsidR="7A6C15AA" w:rsidRPr="00DA249F">
        <w:rPr>
          <w:lang w:val="en-GB"/>
        </w:rPr>
        <w:t xml:space="preserve">significantly higher in actively restored areas compared to native species. Similarly, </w:t>
      </w:r>
      <w:r w:rsidR="0011675E" w:rsidRPr="00DA249F">
        <w:rPr>
          <w:lang w:val="en-GB"/>
        </w:rPr>
        <w:t xml:space="preserve">studies on the vegetation </w:t>
      </w:r>
      <w:r w:rsidR="003A2347" w:rsidRPr="00DA249F">
        <w:rPr>
          <w:lang w:val="en-GB"/>
        </w:rPr>
        <w:t>composition</w:t>
      </w:r>
      <w:r w:rsidR="0011675E" w:rsidRPr="00DA249F">
        <w:rPr>
          <w:lang w:val="en-GB"/>
        </w:rPr>
        <w:t xml:space="preserve"> of four </w:t>
      </w:r>
      <w:r w:rsidR="005D3AD9" w:rsidRPr="00DA249F">
        <w:rPr>
          <w:lang w:val="en-GB"/>
        </w:rPr>
        <w:t xml:space="preserve">coal mines in the </w:t>
      </w:r>
      <w:r w:rsidR="00291410" w:rsidRPr="00DA249F">
        <w:rPr>
          <w:lang w:val="en-GB"/>
        </w:rPr>
        <w:t>Yunnan Province</w:t>
      </w:r>
      <w:r w:rsidR="005D3AD9" w:rsidRPr="00DA249F">
        <w:rPr>
          <w:lang w:val="en-GB"/>
        </w:rPr>
        <w:t>,</w:t>
      </w:r>
      <w:r w:rsidR="00291410" w:rsidRPr="00DA249F">
        <w:rPr>
          <w:lang w:val="en-GB"/>
        </w:rPr>
        <w:t xml:space="preserve"> </w:t>
      </w:r>
      <w:r w:rsidR="7A6C15AA" w:rsidRPr="00DA249F">
        <w:rPr>
          <w:lang w:val="en-GB"/>
        </w:rPr>
        <w:t xml:space="preserve">China, </w:t>
      </w:r>
      <w:r w:rsidR="00DE1E4A" w:rsidRPr="00DA249F">
        <w:rPr>
          <w:lang w:val="en-GB"/>
        </w:rPr>
        <w:t>found</w:t>
      </w:r>
      <w:r w:rsidR="0011675E" w:rsidRPr="00DA249F">
        <w:rPr>
          <w:lang w:val="en-GB"/>
        </w:rPr>
        <w:t xml:space="preserve"> that </w:t>
      </w:r>
      <w:r w:rsidR="7A6C15AA" w:rsidRPr="00DA249F">
        <w:rPr>
          <w:lang w:val="en-GB"/>
        </w:rPr>
        <w:t>invasive</w:t>
      </w:r>
      <w:r w:rsidR="002A0EE8" w:rsidRPr="00DA249F">
        <w:rPr>
          <w:lang w:val="en-GB"/>
        </w:rPr>
        <w:t xml:space="preserve"> alien</w:t>
      </w:r>
      <w:r w:rsidR="7A6C15AA" w:rsidRPr="00DA249F">
        <w:rPr>
          <w:lang w:val="en-GB"/>
        </w:rPr>
        <w:t xml:space="preserve"> species </w:t>
      </w:r>
      <w:r w:rsidR="00685A40" w:rsidRPr="00DA249F">
        <w:rPr>
          <w:lang w:val="en-GB"/>
        </w:rPr>
        <w:t xml:space="preserve">occur mainly in degraded areas where active mining or restoration activities are taking place </w:t>
      </w:r>
      <w:r w:rsidR="7A6C15AA" w:rsidRPr="00DA249F">
        <w:rPr>
          <w:lang w:val="en-GB"/>
        </w:rPr>
        <w:fldChar w:fldCharType="begin"/>
      </w:r>
      <w:r w:rsidR="00331A79">
        <w:rPr>
          <w:lang w:val="en-GB"/>
        </w:rPr>
        <w:instrText xml:space="preserve"> ADDIN ZOTERO_ITEM CSL_CITATION {"citationID":"bDr3ta0d","properties":{"formattedCitation":"(Hou et al., 2019)","plainCitation":"(Hou et al., 2019)","noteIndex":0},"citationItems":[{"id":16217,"uris":["http://zotero.org/groups/2352922/items/WIQNT83E"],"itemData":{"id":16217,"type":"article-journal","abstract":"Open-pit mining causes severe land degradation in Yunnan Province, Southwest China. Vegetation restoration on the degraded land with open-pit mining is challenging due to great physical and chemical condition changes of the post-mined landscape. In this study, we compared the vegetation community composition and environmental factors along three disturbance gradients (mining area, restoration area, and control area) in four typical open-pit mine types (phosphate, zinc, tin, and iron sites). Nonmetric multidimensional scaling analysis revealed that there are significant differences in the vegetation communities along three gradients for these mine sites. Quality species were selected by indicator species analysis for vegetation restoration as follows: Chloris virgata Sw. and Artemisia princeps Pamp at the phosphate site; Coriaria nepalensis Wall., Artemisia princeps Pamp, and Picris hieracioides L. at the zinc site; Artemisia princeps Pamp at the tin site; and Panicum brevifolium L. at the iron site. Canonical Correspondence Analysis ordination and Monte Carlo permutation tests were further used to determine the effects of environmental factors on vegetation diversity. The results showed that Cd, As, Zn, Pb, TC, and altitude all had significant effects on vegetation diversity (P &lt; 0.05). Additionally, we found that the integrated effects of these variables on vegetation were greater in the mining area than in the other two gradients based on the model with the lowest Akaike Information Criterion. These results suggest that any plans for vegetation restoration in open-pit mining areas should take disturbance intensity, mine types, and critical environmental variables into account.","container-title":"Land Degradation &amp; Development","DOI":"10.1002/ldr.3234","ISSN":"1099-145X","issue":"4","language":"en","license":"© 2018 John Wiley &amp; Sons, Ltd.","page":"437-447","source":"Wiley Online Library","title":"Vegetation community composition along disturbance gradients of four typical open-pit mines in Yunnan Province of southwest China","URL":"https://onlinelibrary.wiley.com/doi/abs/10.1002/ldr.3234","volume":"30","author":[{"family":"Hou","given":"Xiao-yun"},{"family":"Liu","given":"Shi-liang"},{"family":"Cheng","given":"Fang-yan"},{"family":"Zhang","given":"Yue-qiu"},{"family":"Dong","given":"Shi-kui"},{"family":"Su","given":"Xu-kun"},{"family":"Liu","given":"Guo-hua"}],"accessed":{"date-parts":[["2019",10,30]]},"issued":{"date-parts":[["2019"]]}},"label":"page"}],"schema":"https://github.com/citation-style-language/schema/raw/master/csl-citation.json"} </w:instrText>
      </w:r>
      <w:r w:rsidR="7A6C15AA" w:rsidRPr="00DA249F">
        <w:rPr>
          <w:lang w:val="en-GB"/>
        </w:rPr>
        <w:fldChar w:fldCharType="separate"/>
      </w:r>
      <w:r w:rsidR="00144D96" w:rsidRPr="00144D96">
        <w:t>(Hou et al., 2019)</w:t>
      </w:r>
      <w:r w:rsidR="7A6C15AA" w:rsidRPr="00DA249F">
        <w:rPr>
          <w:lang w:val="en-GB"/>
        </w:rPr>
        <w:fldChar w:fldCharType="end"/>
      </w:r>
      <w:r w:rsidR="7A6C15AA" w:rsidRPr="00DA249F">
        <w:rPr>
          <w:lang w:val="en-GB"/>
        </w:rPr>
        <w:t xml:space="preserve">. </w:t>
      </w:r>
      <w:r w:rsidR="45630473" w:rsidRPr="00DA249F">
        <w:rPr>
          <w:lang w:val="en-GB"/>
        </w:rPr>
        <w:t>However, invasive</w:t>
      </w:r>
      <w:r w:rsidR="002A0EE8" w:rsidRPr="00DA249F">
        <w:rPr>
          <w:lang w:val="en-GB"/>
        </w:rPr>
        <w:t xml:space="preserve"> alien</w:t>
      </w:r>
      <w:r w:rsidR="45630473" w:rsidRPr="00DA249F">
        <w:rPr>
          <w:lang w:val="en-GB"/>
        </w:rPr>
        <w:t xml:space="preserve"> species occurrence</w:t>
      </w:r>
      <w:r w:rsidR="7A6C15AA" w:rsidRPr="00DA249F">
        <w:rPr>
          <w:lang w:val="en-GB"/>
        </w:rPr>
        <w:t xml:space="preserve"> can also be influenced by the type of mine and the material extracted </w:t>
      </w:r>
      <w:r w:rsidR="00020669" w:rsidRPr="00DA249F">
        <w:rPr>
          <w:lang w:val="en-GB"/>
        </w:rPr>
        <w:fldChar w:fldCharType="begin"/>
      </w:r>
      <w:r w:rsidR="00331A79">
        <w:rPr>
          <w:lang w:val="en-GB"/>
        </w:rPr>
        <w:instrText xml:space="preserve"> ADDIN ZOTERO_ITEM CSL_CITATION {"citationID":"rNPstkEc","properties":{"formattedCitation":"(Hou et al., 2019)","plainCitation":"(Hou et al., 2019)","noteIndex":0},"citationItems":[{"id":16217,"uris":["http://zotero.org/groups/2352922/items/WIQNT83E"],"itemData":{"id":16217,"type":"article-journal","abstract":"Open-pit mining causes severe land degradation in Yunnan Province, Southwest China. Vegetation restoration on the degraded land with open-pit mining is challenging due to great physical and chemical condition changes of the post-mined landscape. In this study, we compared the vegetation community composition and environmental factors along three disturbance gradients (mining area, restoration area, and control area) in four typical open-pit mine types (phosphate, zinc, tin, and iron sites). Nonmetric multidimensional scaling analysis revealed that there are significant differences in the vegetation communities along three gradients for these mine sites. Quality species were selected by indicator species analysis for vegetation restoration as follows: Chloris virgata Sw. and Artemisia princeps Pamp at the phosphate site; Coriaria nepalensis Wall., Artemisia princeps Pamp, and Picris hieracioides L. at the zinc site; Artemisia princeps Pamp at the tin site; and Panicum brevifolium L. at the iron site. Canonical Correspondence Analysis ordination and Monte Carlo permutation tests were further used to determine the effects of environmental factors on vegetation diversity. The results showed that Cd, As, Zn, Pb, TC, and altitude all had significant effects on vegetation diversity (P &lt; 0.05). Additionally, we found that the integrated effects of these variables on vegetation were greater in the mining area than in the other two gradients based on the model with the lowest Akaike Information Criterion. These results suggest that any plans for vegetation restoration in open-pit mining areas should take disturbance intensity, mine types, and critical environmental variables into account.","container-title":"Land Degradation &amp; Development","DOI":"10.1002/ldr.3234","ISSN":"1099-145X","issue":"4","language":"en","license":"© 2018 John Wiley &amp; Sons, Ltd.","page":"437-447","source":"Wiley Online Library","title":"Vegetation community composition along disturbance gradients of four typical open-pit mines in Yunnan Province of southwest China","URL":"https://onlinelibrary.wiley.com/doi/abs/10.1002/ldr.3234","volume":"30","author":[{"family":"Hou","given":"Xiao-yun"},{"family":"Liu","given":"Shi-liang"},{"family":"Cheng","given":"Fang-yan"},{"family":"Zhang","given":"Yue-qiu"},{"family":"Dong","given":"Shi-kui"},{"family":"Su","given":"Xu-kun"},{"family":"Liu","given":"Guo-hua"}],"accessed":{"date-parts":[["2019",10,30]]},"issued":{"date-parts":[["2019"]]}},"label":"page"}],"schema":"https://github.com/citation-style-language/schema/raw/master/csl-citation.json"} </w:instrText>
      </w:r>
      <w:r w:rsidR="00020669" w:rsidRPr="00DA249F">
        <w:rPr>
          <w:lang w:val="en-GB"/>
        </w:rPr>
        <w:fldChar w:fldCharType="separate"/>
      </w:r>
      <w:r w:rsidR="00144D96" w:rsidRPr="00144D96">
        <w:t>(Hou et al., 2019)</w:t>
      </w:r>
      <w:r w:rsidR="00020669" w:rsidRPr="00DA249F">
        <w:rPr>
          <w:lang w:val="en-GB"/>
        </w:rPr>
        <w:fldChar w:fldCharType="end"/>
      </w:r>
      <w:r w:rsidR="7A6C15AA" w:rsidRPr="00DA249F">
        <w:rPr>
          <w:lang w:val="en-GB"/>
        </w:rPr>
        <w:t>. In a review of the recovery of post</w:t>
      </w:r>
      <w:r w:rsidR="1CB50E2B" w:rsidRPr="00DA249F">
        <w:rPr>
          <w:lang w:val="en-GB"/>
        </w:rPr>
        <w:t>-</w:t>
      </w:r>
      <w:r w:rsidR="7A6C15AA" w:rsidRPr="00DA249F">
        <w:rPr>
          <w:lang w:val="en-GB"/>
        </w:rPr>
        <w:t>mining landscapes</w:t>
      </w:r>
      <w:r w:rsidR="007C0219" w:rsidRPr="00DA249F">
        <w:rPr>
          <w:lang w:val="en-GB"/>
        </w:rPr>
        <w:t xml:space="preserve"> from North America, Europe and Australia</w:t>
      </w:r>
      <w:r w:rsidR="7A6C15AA" w:rsidRPr="00DA249F">
        <w:rPr>
          <w:lang w:val="en-GB"/>
        </w:rPr>
        <w:t xml:space="preserve">, </w:t>
      </w:r>
      <w:r w:rsidR="34071EB4" w:rsidRPr="00DA249F">
        <w:rPr>
          <w:lang w:val="en-GB"/>
        </w:rPr>
        <w:t>Macdonald et al</w:t>
      </w:r>
      <w:r w:rsidR="004221FA">
        <w:rPr>
          <w:lang w:val="en-GB"/>
        </w:rPr>
        <w:t>.</w:t>
      </w:r>
      <w:r w:rsidR="34071EB4" w:rsidRPr="00DA249F">
        <w:rPr>
          <w:lang w:val="en-GB"/>
        </w:rPr>
        <w:t xml:space="preserve"> </w:t>
      </w:r>
      <w:r w:rsidR="7A6C15AA" w:rsidRPr="00DA249F">
        <w:rPr>
          <w:rFonts w:eastAsia="Arial"/>
          <w:lang w:val="en-GB" w:eastAsia="en-ZA"/>
        </w:rPr>
        <w:fldChar w:fldCharType="begin"/>
      </w:r>
      <w:r w:rsidR="00331A79">
        <w:rPr>
          <w:rFonts w:eastAsia="Arial"/>
          <w:lang w:val="en-GB" w:eastAsia="en-ZA"/>
        </w:rPr>
        <w:instrText xml:space="preserve"> ADDIN ZOTERO_ITEM CSL_CITATION {"citationID":"7TZ4nHVo","properties":{"formattedCitation":"(2015)","plainCitation":"(2015)","noteIndex":0},"citationItems":[{"id":16212,"uris":["http://zotero.org/groups/2352922/items/VNRH4SKQ"],"itemData":{"id":16212,"type":"article-journal","abstract":"Many forested landscapes around the world are severely altered during mining for their rich mineral and energy reserves. Herein we provide an overview of the challenges inherent in efforts to restore mined landscapes to functioning forest ecosystems and present a synthesis of recent progress using examples from North America, Europe and Australia. We end with recommendations for further elaboration of the Forestry Reclamation Approach emphasizing: (1) Landform reconstruction modelled on natural systems and creation of topographic heterogeneity at a variety of scales; (2) Use and placement of overburden, capping materials and organic amendments to facilitate soil development processes and create a suitable rooting medium for trees; (3) Alignment of landform, topography, overburden, soil and tree species to create a diversity of target ecosystem types; (4) Combining optimization of stock type and planting techniques with early planting of a diversity of tree species; (5) Encouraging natural regeneration as much as possible; (6) Utilizing direct placement of forest floor material combined with seeding of native species to rapidly re-establish native forest understory vegetation; (7) Selective on-going management to encourage development along the desired successional trajectory. Successful restoration of forest ecosystems after severe mining disturbance will be facilitated by a regulatory framework that acknowledges and accepts variation in objectives and outcomes.","container-title":"New Forests","DOI":"10.1007/s11056-015-9506-4","ISSN":"1573-5095","issue":"5","journalAbbreviation":"New Forests","language":"en","page":"703-732","source":"Springer Link","title":"Forest restoration following surface mining disturbance: challenges and solutions","title-short":"Forest restoration following surface mining disturbance","URL":"https://doi.org/10.1007/s11056-015-9506-4","volume":"46","author":[{"family":"Macdonald","given":"S. Ellen"},{"family":"Landhäusser","given":"Simon M."},{"family":"Skousen","given":"Jeff"},{"family":"Franklin","given":"Jennifer"},{"family":"Frouz","given":"Jan"},{"family":"Hall","given":"Sarah"},{"family":"Jacobs","given":"Douglass F."},{"family":"Quideau","given":"Sylvie"}],"accessed":{"date-parts":[["2019",10,30]]},"issued":{"date-parts":[["2015",11,1]]}},"label":"page","suppress-author":true}],"schema":"https://github.com/citation-style-language/schema/raw/master/csl-citation.json"} </w:instrText>
      </w:r>
      <w:r w:rsidR="7A6C15AA" w:rsidRPr="00DA249F">
        <w:rPr>
          <w:rFonts w:eastAsia="Arial"/>
          <w:lang w:val="en-GB" w:eastAsia="en-ZA"/>
        </w:rPr>
        <w:fldChar w:fldCharType="separate"/>
      </w:r>
      <w:r w:rsidR="00144D96" w:rsidRPr="00144D96">
        <w:t>(2015)</w:t>
      </w:r>
      <w:r w:rsidR="7A6C15AA" w:rsidRPr="00DA249F">
        <w:rPr>
          <w:rFonts w:eastAsia="Arial"/>
          <w:lang w:val="en-GB" w:eastAsia="en-ZA"/>
        </w:rPr>
        <w:fldChar w:fldCharType="end"/>
      </w:r>
      <w:r w:rsidR="7A6C15AA" w:rsidRPr="00DA249F">
        <w:rPr>
          <w:lang w:val="en-GB"/>
        </w:rPr>
        <w:t xml:space="preserve"> </w:t>
      </w:r>
      <w:r w:rsidR="004106D2" w:rsidRPr="00DA249F">
        <w:rPr>
          <w:lang w:val="en-GB"/>
        </w:rPr>
        <w:t>found</w:t>
      </w:r>
      <w:r w:rsidR="00B1749C" w:rsidRPr="00DA249F">
        <w:rPr>
          <w:lang w:val="en-GB"/>
        </w:rPr>
        <w:t xml:space="preserve"> </w:t>
      </w:r>
      <w:r w:rsidR="7A6C15AA" w:rsidRPr="00DA249F">
        <w:rPr>
          <w:lang w:val="en-GB"/>
        </w:rPr>
        <w:t xml:space="preserve">that </w:t>
      </w:r>
      <w:r w:rsidR="2AACF4C4" w:rsidRPr="00DA249F">
        <w:rPr>
          <w:lang w:val="en-GB"/>
        </w:rPr>
        <w:t xml:space="preserve">native species recovery </w:t>
      </w:r>
      <w:r w:rsidR="004106D2" w:rsidRPr="00DA249F">
        <w:rPr>
          <w:lang w:val="en-GB"/>
        </w:rPr>
        <w:t>was</w:t>
      </w:r>
      <w:r w:rsidR="2AACF4C4" w:rsidRPr="00DA249F">
        <w:rPr>
          <w:lang w:val="en-GB"/>
        </w:rPr>
        <w:t xml:space="preserve"> </w:t>
      </w:r>
      <w:r w:rsidR="7A6C15AA" w:rsidRPr="00DA249F">
        <w:rPr>
          <w:lang w:val="en-GB"/>
        </w:rPr>
        <w:t>slow</w:t>
      </w:r>
      <w:r w:rsidR="4571EA8F" w:rsidRPr="00DA249F">
        <w:rPr>
          <w:lang w:val="en-GB"/>
        </w:rPr>
        <w:t>ed</w:t>
      </w:r>
      <w:r w:rsidR="00B1749C" w:rsidRPr="00DA249F">
        <w:rPr>
          <w:lang w:val="en-GB"/>
        </w:rPr>
        <w:t xml:space="preserve"> </w:t>
      </w:r>
      <w:r w:rsidR="5C4E6FF8" w:rsidRPr="00DA249F">
        <w:rPr>
          <w:lang w:val="en-GB"/>
        </w:rPr>
        <w:t>by</w:t>
      </w:r>
      <w:r w:rsidR="7A6C15AA" w:rsidRPr="00DA249F">
        <w:rPr>
          <w:lang w:val="en-GB"/>
        </w:rPr>
        <w:t xml:space="preserve"> the establishment of invasive alien plants. </w:t>
      </w:r>
    </w:p>
    <w:p w14:paraId="4E44D9A9" w14:textId="7E890ED8" w:rsidR="008C1BF7" w:rsidRPr="00DA249F" w:rsidRDefault="02D6F739" w:rsidP="0090109B">
      <w:pPr>
        <w:rPr>
          <w:lang w:val="en-GB"/>
        </w:rPr>
      </w:pPr>
      <w:r w:rsidRPr="5575EBFC">
        <w:rPr>
          <w:lang w:val="en-GB"/>
        </w:rPr>
        <w:t xml:space="preserve">The evidence </w:t>
      </w:r>
      <w:r w:rsidR="6084E0F0" w:rsidRPr="5575EBFC">
        <w:rPr>
          <w:lang w:val="en-GB"/>
        </w:rPr>
        <w:t xml:space="preserve">for mining </w:t>
      </w:r>
      <w:r w:rsidR="7BB0CCD7" w:rsidRPr="5575EBFC">
        <w:rPr>
          <w:lang w:val="en-GB"/>
        </w:rPr>
        <w:t>as a driver</w:t>
      </w:r>
      <w:r w:rsidR="371A3D92" w:rsidRPr="5575EBFC">
        <w:rPr>
          <w:lang w:val="en-GB"/>
        </w:rPr>
        <w:t xml:space="preserve"> of change in nature </w:t>
      </w:r>
      <w:r w:rsidR="2374738F" w:rsidRPr="5575EBFC">
        <w:rPr>
          <w:lang w:val="en-GB"/>
        </w:rPr>
        <w:t xml:space="preserve">that facilitates </w:t>
      </w:r>
      <w:r w:rsidR="7BB0CCD7" w:rsidRPr="5575EBFC">
        <w:rPr>
          <w:lang w:val="en-GB"/>
        </w:rPr>
        <w:t>biological</w:t>
      </w:r>
      <w:r w:rsidR="6084E0F0" w:rsidRPr="5575EBFC">
        <w:rPr>
          <w:lang w:val="en-GB"/>
        </w:rPr>
        <w:t xml:space="preserve"> invasions </w:t>
      </w:r>
      <w:r w:rsidR="1F2B521C" w:rsidRPr="5575EBFC">
        <w:rPr>
          <w:lang w:val="en-GB"/>
        </w:rPr>
        <w:t xml:space="preserve">reported in this section </w:t>
      </w:r>
      <w:r w:rsidR="4B5E5B83" w:rsidRPr="5575EBFC">
        <w:rPr>
          <w:lang w:val="en-GB"/>
        </w:rPr>
        <w:t xml:space="preserve">stems mainly </w:t>
      </w:r>
      <w:r w:rsidR="35D73B37" w:rsidRPr="5575EBFC">
        <w:rPr>
          <w:lang w:val="en-GB"/>
        </w:rPr>
        <w:t xml:space="preserve">from </w:t>
      </w:r>
      <w:r w:rsidR="6084E0F0" w:rsidRPr="5575EBFC">
        <w:rPr>
          <w:lang w:val="en-GB"/>
        </w:rPr>
        <w:t xml:space="preserve">terrestrial </w:t>
      </w:r>
      <w:r w:rsidR="4B5E5B83" w:rsidRPr="5575EBFC">
        <w:rPr>
          <w:lang w:val="en-GB"/>
        </w:rPr>
        <w:t>and m</w:t>
      </w:r>
      <w:r w:rsidR="6084E0F0" w:rsidRPr="5575EBFC">
        <w:rPr>
          <w:lang w:val="en-GB"/>
        </w:rPr>
        <w:t>arine</w:t>
      </w:r>
      <w:r w:rsidR="4B5E5B83" w:rsidRPr="5575EBFC">
        <w:rPr>
          <w:lang w:val="en-GB"/>
        </w:rPr>
        <w:t xml:space="preserve"> realms</w:t>
      </w:r>
      <w:r w:rsidR="1D182806" w:rsidRPr="5575EBFC">
        <w:rPr>
          <w:lang w:val="en-GB"/>
        </w:rPr>
        <w:t xml:space="preserve"> </w:t>
      </w:r>
      <w:r w:rsidR="70D684FA" w:rsidRPr="5575EBFC">
        <w:rPr>
          <w:lang w:val="en-GB"/>
        </w:rPr>
        <w:t>and</w:t>
      </w:r>
      <w:r w:rsidR="1D182806" w:rsidRPr="5575EBFC">
        <w:rPr>
          <w:lang w:val="en-GB"/>
        </w:rPr>
        <w:t xml:space="preserve"> from E</w:t>
      </w:r>
      <w:r w:rsidR="64D9499F" w:rsidRPr="5575EBFC">
        <w:rPr>
          <w:lang w:val="en-GB"/>
        </w:rPr>
        <w:t>u</w:t>
      </w:r>
      <w:r w:rsidR="1D182806" w:rsidRPr="5575EBFC">
        <w:rPr>
          <w:lang w:val="en-GB"/>
        </w:rPr>
        <w:t>r</w:t>
      </w:r>
      <w:r w:rsidR="64D9499F" w:rsidRPr="5575EBFC">
        <w:rPr>
          <w:lang w:val="en-GB"/>
        </w:rPr>
        <w:t>o</w:t>
      </w:r>
      <w:r w:rsidR="1D182806" w:rsidRPr="5575EBFC">
        <w:rPr>
          <w:lang w:val="en-GB"/>
        </w:rPr>
        <w:t>pe and the Americas</w:t>
      </w:r>
      <w:r w:rsidR="4B5E5B83" w:rsidRPr="5575EBFC">
        <w:rPr>
          <w:lang w:val="en-GB"/>
        </w:rPr>
        <w:t>.</w:t>
      </w:r>
      <w:r w:rsidR="6084E0F0" w:rsidRPr="5575EBFC">
        <w:rPr>
          <w:lang w:val="en-GB"/>
        </w:rPr>
        <w:t xml:space="preserve"> Most evidence </w:t>
      </w:r>
      <w:r w:rsidR="4F03BA26" w:rsidRPr="5575EBFC">
        <w:rPr>
          <w:lang w:val="en-GB"/>
        </w:rPr>
        <w:t>exists for the introduction</w:t>
      </w:r>
      <w:r w:rsidR="463F4517" w:rsidRPr="5575EBFC">
        <w:rPr>
          <w:lang w:val="en-GB"/>
        </w:rPr>
        <w:t xml:space="preserve">, </w:t>
      </w:r>
      <w:r w:rsidR="30E787B2" w:rsidRPr="5575EBFC">
        <w:rPr>
          <w:lang w:val="en-GB"/>
        </w:rPr>
        <w:t>establishment</w:t>
      </w:r>
      <w:r w:rsidR="463F4517" w:rsidRPr="5575EBFC">
        <w:rPr>
          <w:lang w:val="en-GB"/>
        </w:rPr>
        <w:t xml:space="preserve"> and spread</w:t>
      </w:r>
      <w:r w:rsidR="4F03BA26" w:rsidRPr="5575EBFC">
        <w:rPr>
          <w:lang w:val="en-GB"/>
        </w:rPr>
        <w:t xml:space="preserve"> of </w:t>
      </w:r>
      <w:r w:rsidR="6084E0F0" w:rsidRPr="5575EBFC">
        <w:rPr>
          <w:lang w:val="en-GB"/>
        </w:rPr>
        <w:t xml:space="preserve">plants </w:t>
      </w:r>
      <w:r w:rsidR="4F03BA26" w:rsidRPr="5575EBFC">
        <w:rPr>
          <w:lang w:val="en-GB"/>
        </w:rPr>
        <w:t>and trees</w:t>
      </w:r>
      <w:r w:rsidR="065D0891" w:rsidRPr="5575EBFC">
        <w:rPr>
          <w:lang w:val="en-GB"/>
        </w:rPr>
        <w:t xml:space="preserve">, with little representation </w:t>
      </w:r>
      <w:r w:rsidR="44BAC177" w:rsidRPr="5575EBFC">
        <w:rPr>
          <w:lang w:val="en-GB"/>
        </w:rPr>
        <w:t>of othe</w:t>
      </w:r>
      <w:r w:rsidR="7485F7C3" w:rsidRPr="5575EBFC">
        <w:rPr>
          <w:lang w:val="en-GB"/>
        </w:rPr>
        <w:t>r</w:t>
      </w:r>
      <w:r w:rsidR="065D0891" w:rsidRPr="5575EBFC">
        <w:rPr>
          <w:lang w:val="en-GB"/>
        </w:rPr>
        <w:t xml:space="preserve"> taxa apart from mammals.</w:t>
      </w:r>
      <w:r w:rsidR="4F03BA26" w:rsidRPr="5575EBFC">
        <w:rPr>
          <w:lang w:val="en-GB"/>
        </w:rPr>
        <w:t xml:space="preserve"> </w:t>
      </w:r>
    </w:p>
    <w:p w14:paraId="425F0BF9" w14:textId="77777777" w:rsidR="008C1BF7" w:rsidRPr="00DA249F" w:rsidRDefault="17E6F11B" w:rsidP="00375B42">
      <w:pPr>
        <w:pStyle w:val="Heading2"/>
        <w:rPr>
          <w:lang w:val="en-GB"/>
        </w:rPr>
      </w:pPr>
      <w:bookmarkStart w:id="171" w:name="_Toc44317829"/>
      <w:r w:rsidRPr="5575EBFC">
        <w:rPr>
          <w:lang w:val="en-GB"/>
        </w:rPr>
        <w:t xml:space="preserve"> </w:t>
      </w:r>
      <w:bookmarkStart w:id="172" w:name="_Toc146898470"/>
      <w:r w:rsidR="3D04D128" w:rsidRPr="5575EBFC">
        <w:rPr>
          <w:lang w:val="en-GB"/>
        </w:rPr>
        <w:t>Pollution</w:t>
      </w:r>
      <w:bookmarkEnd w:id="171"/>
      <w:bookmarkEnd w:id="172"/>
    </w:p>
    <w:p w14:paraId="535B38A8" w14:textId="6B0B5D84" w:rsidR="003E50FB" w:rsidRPr="00DA249F" w:rsidRDefault="008C1BF7" w:rsidP="0090109B">
      <w:pPr>
        <w:rPr>
          <w:lang w:val="en-GB"/>
        </w:rPr>
      </w:pPr>
      <w:r w:rsidRPr="00DA249F">
        <w:rPr>
          <w:lang w:val="en-GB"/>
        </w:rPr>
        <w:t xml:space="preserve">Pollution entails </w:t>
      </w:r>
      <w:r w:rsidR="001D66B2" w:rsidRPr="00DA249F">
        <w:rPr>
          <w:lang w:val="en-GB"/>
        </w:rPr>
        <w:t>releasing</w:t>
      </w:r>
      <w:r w:rsidRPr="00DA249F">
        <w:rPr>
          <w:lang w:val="en-GB"/>
        </w:rPr>
        <w:t xml:space="preserve"> new chemical or physical substances or increasing the level or concentration of already-existing substances in</w:t>
      </w:r>
      <w:r w:rsidR="001D66B2" w:rsidRPr="00DA249F">
        <w:rPr>
          <w:lang w:val="en-GB"/>
        </w:rPr>
        <w:t>to</w:t>
      </w:r>
      <w:r w:rsidRPr="00DA249F">
        <w:rPr>
          <w:lang w:val="en-GB"/>
        </w:rPr>
        <w:t xml:space="preserve"> ecosystems.</w:t>
      </w:r>
      <w:r w:rsidRPr="00DA249F" w:rsidDel="00B1749C">
        <w:rPr>
          <w:lang w:val="en-GB"/>
        </w:rPr>
        <w:t xml:space="preserve"> </w:t>
      </w:r>
      <w:r w:rsidR="4DF2702A" w:rsidRPr="00DA249F">
        <w:rPr>
          <w:lang w:val="en-GB"/>
        </w:rPr>
        <w:t xml:space="preserve">Although there are </w:t>
      </w:r>
      <w:r w:rsidR="35DB2719" w:rsidRPr="00DA249F">
        <w:rPr>
          <w:lang w:val="en-GB"/>
        </w:rPr>
        <w:t xml:space="preserve">no </w:t>
      </w:r>
      <w:r w:rsidR="4DF2702A" w:rsidRPr="00DA249F">
        <w:rPr>
          <w:lang w:val="en-GB"/>
        </w:rPr>
        <w:t xml:space="preserve">consistent </w:t>
      </w:r>
      <w:r w:rsidR="3E790C31" w:rsidRPr="00DA249F">
        <w:rPr>
          <w:lang w:val="en-GB"/>
        </w:rPr>
        <w:t xml:space="preserve">global </w:t>
      </w:r>
      <w:r w:rsidR="4DF2702A" w:rsidRPr="00DA249F">
        <w:rPr>
          <w:lang w:val="en-GB"/>
        </w:rPr>
        <w:t>assessment</w:t>
      </w:r>
      <w:r w:rsidR="33B574E8" w:rsidRPr="00DA249F">
        <w:rPr>
          <w:lang w:val="en-GB"/>
        </w:rPr>
        <w:t>s</w:t>
      </w:r>
      <w:r w:rsidR="4DF2702A" w:rsidRPr="00DA249F">
        <w:rPr>
          <w:lang w:val="en-GB"/>
        </w:rPr>
        <w:t xml:space="preserve"> </w:t>
      </w:r>
      <w:r w:rsidR="295BBD91" w:rsidRPr="00DA249F">
        <w:rPr>
          <w:lang w:val="en-GB"/>
        </w:rPr>
        <w:t>on</w:t>
      </w:r>
      <w:r w:rsidR="4DF2702A" w:rsidRPr="00DA249F">
        <w:rPr>
          <w:lang w:val="en-GB"/>
        </w:rPr>
        <w:t xml:space="preserve"> the </w:t>
      </w:r>
      <w:r w:rsidR="00415EDE">
        <w:rPr>
          <w:lang w:val="en-GB"/>
        </w:rPr>
        <w:t>increase</w:t>
      </w:r>
      <w:r w:rsidR="00415EDE" w:rsidRPr="00DA249F">
        <w:rPr>
          <w:lang w:val="en-GB"/>
        </w:rPr>
        <w:t xml:space="preserve"> </w:t>
      </w:r>
      <w:r w:rsidR="4DF2702A" w:rsidRPr="00DA249F">
        <w:rPr>
          <w:lang w:val="en-GB"/>
        </w:rPr>
        <w:t xml:space="preserve">and </w:t>
      </w:r>
      <w:r w:rsidR="0FEF9FF8" w:rsidRPr="00DA249F">
        <w:rPr>
          <w:lang w:val="en-GB"/>
        </w:rPr>
        <w:t xml:space="preserve">impacts </w:t>
      </w:r>
      <w:r w:rsidR="6EA4E4C8" w:rsidRPr="00DA249F">
        <w:rPr>
          <w:lang w:val="en-GB"/>
        </w:rPr>
        <w:t xml:space="preserve">of pollution, </w:t>
      </w:r>
      <w:r w:rsidR="0055111A" w:rsidRPr="00DA249F">
        <w:rPr>
          <w:lang w:val="en-GB"/>
        </w:rPr>
        <w:t xml:space="preserve">it is believed that </w:t>
      </w:r>
      <w:r w:rsidR="00893A93">
        <w:rPr>
          <w:lang w:val="en-GB"/>
        </w:rPr>
        <w:t>pollution</w:t>
      </w:r>
      <w:r w:rsidR="0055111A" w:rsidRPr="00DA249F">
        <w:rPr>
          <w:lang w:val="en-GB"/>
        </w:rPr>
        <w:t xml:space="preserve"> has</w:t>
      </w:r>
      <w:r w:rsidR="39847C12" w:rsidRPr="00DA249F">
        <w:rPr>
          <w:lang w:val="en-GB"/>
        </w:rPr>
        <w:t xml:space="preserve"> increased at rates similar to the total </w:t>
      </w:r>
      <w:r w:rsidR="00BF2FDE" w:rsidRPr="00DA249F">
        <w:rPr>
          <w:lang w:val="en-GB"/>
        </w:rPr>
        <w:t>population</w:t>
      </w:r>
      <w:r w:rsidR="39847C12" w:rsidRPr="00DA249F">
        <w:rPr>
          <w:lang w:val="en-GB"/>
        </w:rPr>
        <w:t xml:space="preserve"> growth </w:t>
      </w:r>
      <w:r w:rsidR="00FC6002" w:rsidRPr="00DA249F">
        <w:rPr>
          <w:lang w:val="en-GB"/>
        </w:rPr>
        <w:fldChar w:fldCharType="begin"/>
      </w:r>
      <w:r w:rsidR="00F5121E">
        <w:rPr>
          <w:lang w:val="en-GB"/>
        </w:rPr>
        <w:instrText xml:space="preserve"> ADDIN ZOTERO_ITEM CSL_CITATION {"citationID":"D1H6Pb9Y","properties":{"formattedCitation":"(IPBES, 2019)","plainCitation":"(IPBES, 2019)","noteIndex":0},"citationItems":[{"id":53933,"uris":["http://zotero.org/groups/2352922/items/JYFISR8Z","http://zotero.org/groups/2352922/items/ZACZGHZL"],"itemData":{"id":53933,"type":"report","abstract":"IPBES is to perform regular and timely assessments of knowledge on biodiversity and ecosystem services and their interlinkages at the global level. Also addressing an invitation by the Conference of the Parties of the Convention on Biological Diversity (CBD) to prepare a global assessment of biodiversity and ecosystem services building, inter alia, on its own and other relevant regional, subregional and thematic assessments, as well as on national reports. The overall scope of the assessment is to assess the status and trends with regard to biodiversity and ecosystem services, the impact of biodiversity and ecosystem services on human well-being and the effectiveness of responses, including the Strategic Plan and its Aichi Biodiversity Targets. It is anticipated that this deliverable will contribute to the process for the evaluation and renewal of the Strategic Plan for Biodiversity and its Aichi Biodiversity Targets. The IPBES Global Assessment on Biodiversity and Ecosystem Services is composed of 1) a Summary for Policymakers (SPM), approved by the IPBES Plenary at its 7th session in May 2019 in Paris, France (IPBES-7); and 2) a set of six Chapters, accepted by the IPBES Plenary.","language":"en","license":"Creative Commons Attribution 4.0 International, Open Access","note":"Version Number 1\nDOI: 10.5281/ZENODO.3831673","publisher":"Secretariat of the Intergovernmental Science-Policy Platform on Biodiversity and Ecosystem Services","source":"DOI.org (Datacite)","title":"Global assessment report on biodiversity and ecosystem services of the Intergovernmental Science-Policy Platform on Biodiversity and Ecosystem Services","URL":"https://zenodo.org/record/3831673","author":[{"literal":"IPBES"}],"contributor":[{"family":"Brondizio","given":"Eduardo"},{"family":"Diaz","given":"Sandra"},{"family":"Settele","given":"Josef"},{"family":"Ngo","given":"Hien T."}],"accessed":{"date-parts":[["2023",1,5]]},"issued":{"date-parts":[["2019"]]}}}],"schema":"https://github.com/citation-style-language/schema/raw/master/csl-citation.json"} </w:instrText>
      </w:r>
      <w:r w:rsidR="00FC6002" w:rsidRPr="00DA249F">
        <w:rPr>
          <w:lang w:val="en-GB"/>
        </w:rPr>
        <w:fldChar w:fldCharType="separate"/>
      </w:r>
      <w:r w:rsidR="00144D96" w:rsidRPr="00144D96">
        <w:t>(IPBES, 2019)</w:t>
      </w:r>
      <w:r w:rsidR="00FC6002" w:rsidRPr="00DA249F">
        <w:rPr>
          <w:lang w:val="en-GB"/>
        </w:rPr>
        <w:fldChar w:fldCharType="end"/>
      </w:r>
      <w:r w:rsidR="1B35FD05" w:rsidRPr="00DA249F">
        <w:rPr>
          <w:lang w:val="en-GB"/>
        </w:rPr>
        <w:t>.</w:t>
      </w:r>
      <w:r w:rsidR="00B1749C" w:rsidRPr="00DA249F">
        <w:rPr>
          <w:lang w:val="en-GB"/>
        </w:rPr>
        <w:t xml:space="preserve"> </w:t>
      </w:r>
      <w:r w:rsidRPr="00DA249F">
        <w:rPr>
          <w:lang w:val="en-GB"/>
        </w:rPr>
        <w:t xml:space="preserve">Pollution can </w:t>
      </w:r>
      <w:r w:rsidR="00E938F8" w:rsidRPr="00DA249F">
        <w:rPr>
          <w:lang w:val="en-GB"/>
        </w:rPr>
        <w:t>facilitate</w:t>
      </w:r>
      <w:r w:rsidRPr="00DA249F">
        <w:rPr>
          <w:lang w:val="en-GB"/>
        </w:rPr>
        <w:t xml:space="preserve"> </w:t>
      </w:r>
      <w:r w:rsidR="00B33723" w:rsidRPr="00DA249F">
        <w:rPr>
          <w:lang w:val="en-GB"/>
        </w:rPr>
        <w:t xml:space="preserve">invasive alien species </w:t>
      </w:r>
      <w:r w:rsidRPr="00DA249F">
        <w:rPr>
          <w:lang w:val="en-GB"/>
        </w:rPr>
        <w:t>through increasing nutrient and resource levels available in ecosystems, such as is the case with eutrophication (</w:t>
      </w:r>
      <w:r w:rsidR="00642211" w:rsidRPr="008C1731">
        <w:rPr>
          <w:b/>
          <w:iCs/>
          <w:lang w:val="en-GB"/>
        </w:rPr>
        <w:t xml:space="preserve">section </w:t>
      </w:r>
      <w:r w:rsidRPr="008C1731">
        <w:rPr>
          <w:b/>
          <w:iCs/>
          <w:lang w:val="en-GB"/>
        </w:rPr>
        <w:t>3.3.3.1</w:t>
      </w:r>
      <w:r w:rsidRPr="0031470A">
        <w:rPr>
          <w:lang w:val="en-GB"/>
        </w:rPr>
        <w:t>),</w:t>
      </w:r>
      <w:r w:rsidRPr="00DA249F">
        <w:rPr>
          <w:lang w:val="en-GB"/>
        </w:rPr>
        <w:t xml:space="preserve"> through introducing new chemical substances in water or soil (</w:t>
      </w:r>
      <w:r w:rsidR="00642211" w:rsidRPr="008C1731">
        <w:rPr>
          <w:b/>
          <w:iCs/>
          <w:lang w:val="en-GB"/>
        </w:rPr>
        <w:t xml:space="preserve">section </w:t>
      </w:r>
      <w:r w:rsidRPr="008C1731">
        <w:rPr>
          <w:b/>
          <w:iCs/>
          <w:lang w:val="en-GB"/>
        </w:rPr>
        <w:t>3.3.3.2</w:t>
      </w:r>
      <w:r w:rsidRPr="00DA249F">
        <w:rPr>
          <w:lang w:val="en-GB"/>
        </w:rPr>
        <w:t>) and through dispersal of solids (</w:t>
      </w:r>
      <w:r w:rsidR="00642211" w:rsidRPr="008C1731">
        <w:rPr>
          <w:b/>
          <w:iCs/>
          <w:lang w:val="en-GB"/>
        </w:rPr>
        <w:t xml:space="preserve">section </w:t>
      </w:r>
      <w:r w:rsidRPr="008C1731">
        <w:rPr>
          <w:b/>
          <w:iCs/>
          <w:lang w:val="en-GB"/>
        </w:rPr>
        <w:t>3.3.3.</w:t>
      </w:r>
      <w:r w:rsidR="005B1C2C" w:rsidRPr="008C1731">
        <w:rPr>
          <w:b/>
          <w:iCs/>
          <w:lang w:val="en-GB"/>
        </w:rPr>
        <w:t>4</w:t>
      </w:r>
      <w:r w:rsidRPr="00DA249F">
        <w:rPr>
          <w:lang w:val="en-GB"/>
        </w:rPr>
        <w:t>).</w:t>
      </w:r>
      <w:r w:rsidR="00BC17DD" w:rsidRPr="00DA249F">
        <w:rPr>
          <w:lang w:val="en-GB"/>
        </w:rPr>
        <w:t xml:space="preserve"> M</w:t>
      </w:r>
      <w:r w:rsidRPr="00DA249F">
        <w:rPr>
          <w:lang w:val="en-GB"/>
        </w:rPr>
        <w:t xml:space="preserve">arine </w:t>
      </w:r>
      <w:r w:rsidR="00B22A91" w:rsidRPr="00DA249F">
        <w:rPr>
          <w:lang w:val="en-GB"/>
        </w:rPr>
        <w:t>debris (notably,</w:t>
      </w:r>
      <w:r w:rsidRPr="00DA249F">
        <w:rPr>
          <w:lang w:val="en-GB"/>
        </w:rPr>
        <w:t xml:space="preserve"> plastics</w:t>
      </w:r>
      <w:r w:rsidR="00B22A91" w:rsidRPr="00DA249F">
        <w:rPr>
          <w:lang w:val="en-GB"/>
        </w:rPr>
        <w:t>)</w:t>
      </w:r>
      <w:r w:rsidRPr="00DA249F">
        <w:rPr>
          <w:lang w:val="en-GB"/>
        </w:rPr>
        <w:t xml:space="preserve"> </w:t>
      </w:r>
      <w:r w:rsidR="00BC17DD" w:rsidRPr="00DA249F">
        <w:rPr>
          <w:lang w:val="en-GB"/>
        </w:rPr>
        <w:t xml:space="preserve">are treated </w:t>
      </w:r>
      <w:r w:rsidRPr="00DA249F">
        <w:rPr>
          <w:lang w:val="en-GB"/>
        </w:rPr>
        <w:t>separately (</w:t>
      </w:r>
      <w:r w:rsidR="00642211" w:rsidRPr="008C1731">
        <w:rPr>
          <w:b/>
          <w:iCs/>
          <w:lang w:val="en-GB"/>
        </w:rPr>
        <w:t xml:space="preserve">section </w:t>
      </w:r>
      <w:r w:rsidRPr="008C1731">
        <w:rPr>
          <w:b/>
          <w:iCs/>
          <w:lang w:val="en-GB"/>
        </w:rPr>
        <w:t>3.3.3.</w:t>
      </w:r>
      <w:r w:rsidR="005B1C2C" w:rsidRPr="008C1731">
        <w:rPr>
          <w:b/>
          <w:iCs/>
          <w:lang w:val="en-GB"/>
        </w:rPr>
        <w:t>3</w:t>
      </w:r>
      <w:r w:rsidRPr="00DA249F">
        <w:rPr>
          <w:lang w:val="en-GB"/>
        </w:rPr>
        <w:t xml:space="preserve">) because they are a major emerging issue in </w:t>
      </w:r>
      <w:r w:rsidR="001E3FA3" w:rsidRPr="00DA249F">
        <w:rPr>
          <w:lang w:val="en-GB"/>
        </w:rPr>
        <w:t>the context of biological invasions</w:t>
      </w:r>
      <w:r w:rsidRPr="00DA249F">
        <w:rPr>
          <w:lang w:val="en-GB"/>
        </w:rPr>
        <w:t>. These pollution sources stem from major economic (</w:t>
      </w:r>
      <w:r w:rsidR="00642211" w:rsidRPr="008C1731">
        <w:rPr>
          <w:b/>
          <w:iCs/>
          <w:lang w:val="en-GB"/>
        </w:rPr>
        <w:t xml:space="preserve">section </w:t>
      </w:r>
      <w:r w:rsidRPr="008C1731">
        <w:rPr>
          <w:b/>
          <w:iCs/>
          <w:lang w:val="en-GB"/>
        </w:rPr>
        <w:t>3.2.</w:t>
      </w:r>
      <w:r w:rsidR="00E12162" w:rsidRPr="008C1731">
        <w:rPr>
          <w:b/>
          <w:iCs/>
          <w:lang w:val="en-GB"/>
        </w:rPr>
        <w:t>3</w:t>
      </w:r>
      <w:r w:rsidRPr="00DA249F">
        <w:rPr>
          <w:lang w:val="en-GB"/>
        </w:rPr>
        <w:t>) and demographic (</w:t>
      </w:r>
      <w:r w:rsidR="00642211" w:rsidRPr="008C1731">
        <w:rPr>
          <w:b/>
          <w:iCs/>
          <w:lang w:val="en-GB"/>
        </w:rPr>
        <w:t xml:space="preserve">section </w:t>
      </w:r>
      <w:r w:rsidRPr="008C1731">
        <w:rPr>
          <w:b/>
          <w:iCs/>
          <w:lang w:val="en-GB"/>
        </w:rPr>
        <w:t>3.2.</w:t>
      </w:r>
      <w:r w:rsidR="00E12162" w:rsidRPr="008C1731">
        <w:rPr>
          <w:b/>
          <w:iCs/>
          <w:lang w:val="en-GB"/>
        </w:rPr>
        <w:t>2</w:t>
      </w:r>
      <w:r w:rsidRPr="00DA249F">
        <w:rPr>
          <w:lang w:val="en-GB"/>
        </w:rPr>
        <w:t xml:space="preserve">) indirect drivers. </w:t>
      </w:r>
      <w:r w:rsidRPr="008C1731">
        <w:rPr>
          <w:iCs/>
          <w:lang w:val="en-GB"/>
        </w:rPr>
        <w:t>Section 3.3.3</w:t>
      </w:r>
      <w:r w:rsidRPr="00DA249F">
        <w:rPr>
          <w:lang w:val="en-GB"/>
        </w:rPr>
        <w:t xml:space="preserve"> thus describes evidence for links between specific pollutants and </w:t>
      </w:r>
      <w:r w:rsidR="00B33723" w:rsidRPr="00DA249F">
        <w:rPr>
          <w:lang w:val="en-GB"/>
        </w:rPr>
        <w:t>invasive alien species</w:t>
      </w:r>
      <w:r w:rsidR="00E26336" w:rsidRPr="00DA249F">
        <w:rPr>
          <w:lang w:val="en-GB"/>
        </w:rPr>
        <w:t xml:space="preserve"> (</w:t>
      </w:r>
      <w:r w:rsidR="00DC2990">
        <w:rPr>
          <w:b/>
          <w:bCs/>
          <w:iCs/>
          <w:lang w:val="en-GB"/>
        </w:rPr>
        <w:t>Figure</w:t>
      </w:r>
      <w:r w:rsidR="009F2D68">
        <w:rPr>
          <w:b/>
          <w:bCs/>
          <w:iCs/>
          <w:lang w:val="en-GB"/>
        </w:rPr>
        <w:t xml:space="preserve"> 3.18</w:t>
      </w:r>
      <w:r w:rsidR="00E26336" w:rsidRPr="00DA249F">
        <w:rPr>
          <w:lang w:val="en-GB"/>
        </w:rPr>
        <w:t>)</w:t>
      </w:r>
      <w:r w:rsidRPr="00DA249F">
        <w:rPr>
          <w:lang w:val="en-GB"/>
        </w:rPr>
        <w:t xml:space="preserve">, </w:t>
      </w:r>
      <w:r w:rsidR="004D0029">
        <w:rPr>
          <w:lang w:val="en-GB"/>
        </w:rPr>
        <w:t>and makes</w:t>
      </w:r>
      <w:r w:rsidR="004D0029" w:rsidRPr="00DA249F">
        <w:rPr>
          <w:lang w:val="en-GB"/>
        </w:rPr>
        <w:t xml:space="preserve"> </w:t>
      </w:r>
      <w:r w:rsidRPr="00DA249F">
        <w:rPr>
          <w:lang w:val="en-GB"/>
        </w:rPr>
        <w:t>reference to other indirect and direct drivers when relevant, whereas the demographic and economic background o</w:t>
      </w:r>
      <w:r w:rsidR="0055111A" w:rsidRPr="00DA249F">
        <w:rPr>
          <w:lang w:val="en-GB"/>
        </w:rPr>
        <w:t>f</w:t>
      </w:r>
      <w:r w:rsidRPr="00DA249F">
        <w:rPr>
          <w:lang w:val="en-GB"/>
        </w:rPr>
        <w:t xml:space="preserve"> these changes are described in </w:t>
      </w:r>
      <w:r w:rsidR="00642211" w:rsidRPr="008C1731">
        <w:rPr>
          <w:b/>
          <w:iCs/>
          <w:lang w:val="en-GB"/>
        </w:rPr>
        <w:t>section</w:t>
      </w:r>
      <w:r w:rsidRPr="008C1731">
        <w:rPr>
          <w:b/>
          <w:iCs/>
          <w:lang w:val="en-GB"/>
        </w:rPr>
        <w:t xml:space="preserve"> 3.2</w:t>
      </w:r>
      <w:r w:rsidRPr="008C1731">
        <w:rPr>
          <w:b/>
          <w:lang w:val="en-GB"/>
        </w:rPr>
        <w:t>.</w:t>
      </w:r>
      <w:r w:rsidRPr="00DA249F">
        <w:rPr>
          <w:lang w:val="en-GB"/>
        </w:rPr>
        <w:t xml:space="preserve"> </w:t>
      </w:r>
    </w:p>
    <w:p w14:paraId="6D995FC4" w14:textId="77777777" w:rsidR="003E50FB" w:rsidRPr="00DA249F" w:rsidRDefault="009F2D68" w:rsidP="0090109B">
      <w:pPr>
        <w:rPr>
          <w:lang w:val="en-GB"/>
        </w:rPr>
      </w:pPr>
      <w:r w:rsidRPr="009F2D68">
        <w:rPr>
          <w:noProof/>
          <w:lang w:val="en-GB"/>
        </w:rPr>
        <w:drawing>
          <wp:inline distT="0" distB="0" distL="0" distR="0" wp14:anchorId="081AE2BC" wp14:editId="0DF03323">
            <wp:extent cx="6115050" cy="2305050"/>
            <wp:effectExtent l="0" t="0" r="6350" b="6350"/>
            <wp:docPr id="51" name="Picture 51" descr="A diagram of a variety of types of pollution&#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Picture 51" descr="A diagram of a variety of types of pollution&#10;&#10;Description automatically generated with medium confidence"/>
                    <pic:cNvPicPr/>
                  </pic:nvPicPr>
                  <pic:blipFill>
                    <a:blip r:embed="rId38"/>
                    <a:stretch>
                      <a:fillRect/>
                    </a:stretch>
                  </pic:blipFill>
                  <pic:spPr>
                    <a:xfrm>
                      <a:off x="0" y="0"/>
                      <a:ext cx="6115050" cy="2305050"/>
                    </a:xfrm>
                    <a:prstGeom prst="rect">
                      <a:avLst/>
                    </a:prstGeom>
                    <a:ln>
                      <a:noFill/>
                    </a:ln>
                  </pic:spPr>
                </pic:pic>
              </a:graphicData>
            </a:graphic>
          </wp:inline>
        </w:drawing>
      </w:r>
    </w:p>
    <w:p w14:paraId="2FFBE122" w14:textId="13106D3E" w:rsidR="008C1BF7" w:rsidRPr="00DA249F" w:rsidRDefault="6457DE8F" w:rsidP="00344144">
      <w:pPr>
        <w:pStyle w:val="Caption"/>
        <w:rPr>
          <w:lang w:val="en-GB"/>
        </w:rPr>
      </w:pPr>
      <w:bookmarkStart w:id="173" w:name="_Ref104902629"/>
      <w:bookmarkStart w:id="174" w:name="_Toc147500903"/>
      <w:r w:rsidRPr="5575EBFC">
        <w:rPr>
          <w:lang w:val="en-GB"/>
        </w:rPr>
        <w:t>Figure</w:t>
      </w:r>
      <w:r w:rsidR="224A1F15" w:rsidRPr="5575EBFC">
        <w:rPr>
          <w:lang w:val="en-GB"/>
        </w:rPr>
        <w:t xml:space="preserve"> 3.</w:t>
      </w:r>
      <w:r w:rsidR="003E50FB" w:rsidRPr="5575EBFC">
        <w:rPr>
          <w:lang w:val="en-GB"/>
        </w:rPr>
        <w:fldChar w:fldCharType="begin"/>
      </w:r>
      <w:r w:rsidR="003E50FB" w:rsidRPr="5575EBFC">
        <w:rPr>
          <w:lang w:val="en-GB"/>
        </w:rPr>
        <w:instrText xml:space="preserve"> SEQ Figure_3. \* ARABIC </w:instrText>
      </w:r>
      <w:r w:rsidR="003E50FB" w:rsidRPr="5575EBFC">
        <w:rPr>
          <w:lang w:val="en-GB"/>
        </w:rPr>
        <w:fldChar w:fldCharType="separate"/>
      </w:r>
      <w:r w:rsidR="00287BC7">
        <w:rPr>
          <w:noProof/>
          <w:lang w:val="en-GB"/>
        </w:rPr>
        <w:t>18</w:t>
      </w:r>
      <w:r w:rsidR="003E50FB" w:rsidRPr="5575EBFC">
        <w:rPr>
          <w:lang w:val="en-GB"/>
        </w:rPr>
        <w:fldChar w:fldCharType="end"/>
      </w:r>
      <w:bookmarkEnd w:id="173"/>
      <w:r w:rsidR="769A031C" w:rsidRPr="5575EBFC">
        <w:rPr>
          <w:lang w:val="en-GB"/>
        </w:rPr>
        <w:t>.</w:t>
      </w:r>
      <w:r w:rsidRPr="5575EBFC">
        <w:rPr>
          <w:lang w:val="en-GB"/>
        </w:rPr>
        <w:t xml:space="preserve"> </w:t>
      </w:r>
      <w:r w:rsidR="1637B4DE" w:rsidRPr="5575EBFC">
        <w:rPr>
          <w:b w:val="0"/>
          <w:bCs w:val="0"/>
          <w:lang w:val="en-GB"/>
        </w:rPr>
        <w:t>Examples of the r</w:t>
      </w:r>
      <w:r w:rsidRPr="5575EBFC">
        <w:rPr>
          <w:b w:val="0"/>
          <w:bCs w:val="0"/>
          <w:lang w:val="en-GB"/>
        </w:rPr>
        <w:t xml:space="preserve">ole of pollution </w:t>
      </w:r>
      <w:r w:rsidR="0F134BAF" w:rsidRPr="5575EBFC">
        <w:rPr>
          <w:b w:val="0"/>
          <w:bCs w:val="0"/>
          <w:lang w:val="en-GB"/>
        </w:rPr>
        <w:t xml:space="preserve">as a driver of change in nature that </w:t>
      </w:r>
      <w:r w:rsidR="0072595E" w:rsidRPr="5575EBFC">
        <w:rPr>
          <w:b w:val="0"/>
          <w:bCs w:val="0"/>
          <w:lang w:val="en-GB"/>
        </w:rPr>
        <w:t>facilitat</w:t>
      </w:r>
      <w:r w:rsidR="4B77492C" w:rsidRPr="5575EBFC">
        <w:rPr>
          <w:b w:val="0"/>
          <w:bCs w:val="0"/>
          <w:lang w:val="en-GB"/>
        </w:rPr>
        <w:t>es</w:t>
      </w:r>
      <w:r w:rsidR="0072595E" w:rsidRPr="5575EBFC">
        <w:rPr>
          <w:b w:val="0"/>
          <w:bCs w:val="0"/>
          <w:lang w:val="en-GB"/>
        </w:rPr>
        <w:t xml:space="preserve"> </w:t>
      </w:r>
      <w:r w:rsidR="46E11AB2" w:rsidRPr="5575EBFC">
        <w:rPr>
          <w:b w:val="0"/>
          <w:bCs w:val="0"/>
          <w:lang w:val="en-GB"/>
        </w:rPr>
        <w:t xml:space="preserve">invasive alien species </w:t>
      </w:r>
      <w:r w:rsidR="224A1F15" w:rsidRPr="5575EBFC">
        <w:rPr>
          <w:b w:val="0"/>
          <w:bCs w:val="0"/>
          <w:lang w:val="en-GB"/>
        </w:rPr>
        <w:t>across</w:t>
      </w:r>
      <w:r w:rsidRPr="5575EBFC">
        <w:rPr>
          <w:b w:val="0"/>
          <w:bCs w:val="0"/>
          <w:lang w:val="en-GB"/>
        </w:rPr>
        <w:t xml:space="preserve"> stage</w:t>
      </w:r>
      <w:r w:rsidR="224A1F15" w:rsidRPr="5575EBFC">
        <w:rPr>
          <w:b w:val="0"/>
          <w:bCs w:val="0"/>
          <w:lang w:val="en-GB"/>
        </w:rPr>
        <w:t>s</w:t>
      </w:r>
      <w:r w:rsidR="1FFCF482" w:rsidRPr="5575EBFC">
        <w:rPr>
          <w:b w:val="0"/>
          <w:bCs w:val="0"/>
          <w:lang w:val="en-GB"/>
        </w:rPr>
        <w:t xml:space="preserve"> of the biological invasion process</w:t>
      </w:r>
      <w:r w:rsidR="4BE54DAB" w:rsidRPr="5575EBFC">
        <w:rPr>
          <w:b w:val="0"/>
          <w:bCs w:val="0"/>
          <w:lang w:val="en-GB"/>
        </w:rPr>
        <w:t>.</w:t>
      </w:r>
      <w:r w:rsidR="7AC0C083" w:rsidRPr="5575EBFC">
        <w:rPr>
          <w:lang w:val="en-GB"/>
        </w:rPr>
        <w:t xml:space="preserve"> </w:t>
      </w:r>
      <w:r w:rsidR="16D8341D" w:rsidRPr="5575EBFC">
        <w:rPr>
          <w:b w:val="0"/>
          <w:bCs w:val="0"/>
          <w:lang w:val="en-GB"/>
        </w:rPr>
        <w:t xml:space="preserve">Solids (marine </w:t>
      </w:r>
      <w:r w:rsidR="46CE208F" w:rsidRPr="5575EBFC">
        <w:rPr>
          <w:b w:val="0"/>
          <w:bCs w:val="0"/>
          <w:lang w:val="en-GB"/>
        </w:rPr>
        <w:t>debris</w:t>
      </w:r>
      <w:r w:rsidR="16D8341D" w:rsidRPr="5575EBFC">
        <w:rPr>
          <w:b w:val="0"/>
          <w:bCs w:val="0"/>
          <w:lang w:val="en-GB"/>
        </w:rPr>
        <w:t xml:space="preserve">, solid </w:t>
      </w:r>
      <w:r w:rsidR="16D8341D" w:rsidRPr="5575EBFC">
        <w:rPr>
          <w:b w:val="0"/>
          <w:bCs w:val="0"/>
          <w:lang w:val="en-GB"/>
        </w:rPr>
        <w:lastRenderedPageBreak/>
        <w:t xml:space="preserve">waste) </w:t>
      </w:r>
      <w:r w:rsidR="511BFD78" w:rsidRPr="5575EBFC">
        <w:rPr>
          <w:b w:val="0"/>
          <w:bCs w:val="0"/>
          <w:lang w:val="en-GB"/>
        </w:rPr>
        <w:t xml:space="preserve">can facilitate the transport and introduction of invasive alien </w:t>
      </w:r>
      <w:r w:rsidR="42A8E6C3" w:rsidRPr="5575EBFC">
        <w:rPr>
          <w:b w:val="0"/>
          <w:bCs w:val="0"/>
          <w:lang w:val="en-GB"/>
        </w:rPr>
        <w:t>species and</w:t>
      </w:r>
      <w:r w:rsidR="2C128C75" w:rsidRPr="5575EBFC">
        <w:rPr>
          <w:b w:val="0"/>
          <w:bCs w:val="0"/>
          <w:lang w:val="en-GB"/>
        </w:rPr>
        <w:t xml:space="preserve"> provide habitat and surfaces where alien species can </w:t>
      </w:r>
      <w:r w:rsidR="04F2E671" w:rsidRPr="5575EBFC">
        <w:rPr>
          <w:b w:val="0"/>
          <w:bCs w:val="0"/>
          <w:lang w:val="en-GB"/>
        </w:rPr>
        <w:t xml:space="preserve">establish </w:t>
      </w:r>
      <w:r w:rsidR="2C128C75" w:rsidRPr="5575EBFC">
        <w:rPr>
          <w:b w:val="0"/>
          <w:bCs w:val="0"/>
          <w:lang w:val="en-GB"/>
        </w:rPr>
        <w:t xml:space="preserve">and spread. Nutrient </w:t>
      </w:r>
      <w:r w:rsidR="5A9A2B3D" w:rsidRPr="5575EBFC">
        <w:rPr>
          <w:b w:val="0"/>
          <w:bCs w:val="0"/>
          <w:lang w:val="en-GB"/>
        </w:rPr>
        <w:t xml:space="preserve">and chemical pollution can change habitat quality, making </w:t>
      </w:r>
      <w:r w:rsidR="78BEC826" w:rsidRPr="5575EBFC">
        <w:rPr>
          <w:b w:val="0"/>
          <w:bCs w:val="0"/>
          <w:lang w:val="en-GB"/>
        </w:rPr>
        <w:t xml:space="preserve">sites more </w:t>
      </w:r>
      <w:r w:rsidR="0511070C" w:rsidRPr="5575EBFC">
        <w:rPr>
          <w:b w:val="0"/>
          <w:bCs w:val="0"/>
          <w:lang w:val="en-GB"/>
        </w:rPr>
        <w:t>hospitable</w:t>
      </w:r>
      <w:r w:rsidR="78BEC826" w:rsidRPr="5575EBFC">
        <w:rPr>
          <w:b w:val="0"/>
          <w:bCs w:val="0"/>
          <w:lang w:val="en-GB"/>
        </w:rPr>
        <w:t xml:space="preserve"> to invasive alien species.</w:t>
      </w:r>
      <w:bookmarkEnd w:id="174"/>
    </w:p>
    <w:p w14:paraId="6CF8A3CD" w14:textId="77777777" w:rsidR="008C1BF7" w:rsidRPr="00DA249F" w:rsidRDefault="3BAEC23B" w:rsidP="004826A3">
      <w:pPr>
        <w:pStyle w:val="Heading3"/>
        <w:rPr>
          <w:lang w:val="en-GB"/>
        </w:rPr>
      </w:pPr>
      <w:bookmarkStart w:id="175" w:name="_Toc44317830"/>
      <w:r w:rsidRPr="00DA249F">
        <w:rPr>
          <w:lang w:val="en-GB"/>
        </w:rPr>
        <w:t xml:space="preserve"> </w:t>
      </w:r>
      <w:r w:rsidR="6619E8BF" w:rsidRPr="00DA249F">
        <w:rPr>
          <w:lang w:val="en-GB"/>
        </w:rPr>
        <w:t>Eutrophication and nutrient deposition</w:t>
      </w:r>
      <w:bookmarkEnd w:id="175"/>
    </w:p>
    <w:p w14:paraId="19B0D022" w14:textId="021FA51C" w:rsidR="00881888" w:rsidRPr="00DA249F" w:rsidRDefault="008C1BF7" w:rsidP="0090109B">
      <w:pPr>
        <w:rPr>
          <w:lang w:val="en-GB"/>
        </w:rPr>
      </w:pPr>
      <w:r w:rsidRPr="00DA249F">
        <w:rPr>
          <w:lang w:val="en-GB"/>
        </w:rPr>
        <w:t>Eutrophication refers to the increase of macronutrients, primarily nitrogen and/or phosphorus</w:t>
      </w:r>
      <w:r w:rsidR="006036D8" w:rsidRPr="00DA249F">
        <w:rPr>
          <w:lang w:val="en-GB"/>
        </w:rPr>
        <w:t xml:space="preserve"> in the environment</w:t>
      </w:r>
      <w:r w:rsidRPr="00DA249F">
        <w:rPr>
          <w:lang w:val="en-GB"/>
        </w:rPr>
        <w:t>.</w:t>
      </w:r>
      <w:r w:rsidR="00066BF9" w:rsidRPr="00DA249F">
        <w:rPr>
          <w:lang w:val="en-GB"/>
        </w:rPr>
        <w:t xml:space="preserve"> </w:t>
      </w:r>
      <w:r w:rsidR="472E355A" w:rsidRPr="00DA249F">
        <w:rPr>
          <w:lang w:val="en-GB"/>
        </w:rPr>
        <w:t>Major sources are fertilizer use, runoff from animal husbandry</w:t>
      </w:r>
      <w:r w:rsidR="00774819">
        <w:rPr>
          <w:lang w:val="en-GB"/>
        </w:rPr>
        <w:t xml:space="preserve"> and</w:t>
      </w:r>
      <w:r w:rsidR="472E355A" w:rsidRPr="00DA249F">
        <w:rPr>
          <w:lang w:val="en-GB"/>
        </w:rPr>
        <w:t xml:space="preserve"> combustion by</w:t>
      </w:r>
      <w:r w:rsidR="00DF6545">
        <w:rPr>
          <w:lang w:val="en-GB"/>
        </w:rPr>
        <w:t>-</w:t>
      </w:r>
      <w:r w:rsidR="472E355A" w:rsidRPr="00DA249F">
        <w:rPr>
          <w:lang w:val="en-GB"/>
        </w:rPr>
        <w:t xml:space="preserve">products </w:t>
      </w:r>
      <w:r w:rsidRPr="00DA249F">
        <w:rPr>
          <w:lang w:val="en-GB"/>
        </w:rPr>
        <w:fldChar w:fldCharType="begin"/>
      </w:r>
      <w:r w:rsidR="00331A79">
        <w:rPr>
          <w:lang w:val="en-GB"/>
        </w:rPr>
        <w:instrText xml:space="preserve"> ADDIN ZOTERO_ITEM CSL_CITATION {"citationID":"4xR52LBN","properties":{"formattedCitation":"(Stevens, 2019)","plainCitation":"(Stevens, 2019)","noteIndex":0},"citationItems":[{"id":33018,"uris":["http://zotero.org/groups/2352922/items/XAWH849G"],"itemData":{"id":33018,"type":"article-journal","abstract":"Excess nitrogen causes problems in developed nations, but nitrogen-poor soils threaten food security elsewhere\nExcess nitrogen causes problems in developed nations, but nitrogen-poor soils threaten food security elsewhere","container-title":"Science","DOI":"10.1126/science.aav8215","ISSN":"0036-8075, 1095-9203","issue":"6427","language":"en","license":"Copyright © 2019 The Authors, some rights reserved; exclusive licensee American Association for the Advancement of Science. No claim to original U.S. Government Works. http://www.sciencemag.org/about/science-licenses-journal-article-reuseThis is an article distributed under the terms of the Science Journals Default License.","note":"PMID: 30733401","page":"578-580","source":"science.sciencemag.org","title":"Nitrogen in the environment","URL":"https://science.sciencemag.org/content/363/6427/578","volume":"363","author":[{"family":"Stevens","given":"Carly J."}],"accessed":{"date-parts":[["2021",4,12]]},"issued":{"date-parts":[["2019",2,8]]}},"label":"page"}],"schema":"https://github.com/citation-style-language/schema/raw/master/csl-citation.json"} </w:instrText>
      </w:r>
      <w:r w:rsidRPr="00DA249F">
        <w:rPr>
          <w:lang w:val="en-GB"/>
        </w:rPr>
        <w:fldChar w:fldCharType="separate"/>
      </w:r>
      <w:r w:rsidR="00144D96" w:rsidRPr="00144D96">
        <w:t>(Stevens, 2019)</w:t>
      </w:r>
      <w:r w:rsidRPr="00DA249F">
        <w:rPr>
          <w:lang w:val="en-GB"/>
        </w:rPr>
        <w:fldChar w:fldCharType="end"/>
      </w:r>
      <w:r w:rsidR="472E355A" w:rsidRPr="00DA249F">
        <w:rPr>
          <w:lang w:val="en-GB"/>
        </w:rPr>
        <w:t>.</w:t>
      </w:r>
      <w:r w:rsidR="00B1749C" w:rsidRPr="00DA249F">
        <w:rPr>
          <w:lang w:val="en-GB"/>
        </w:rPr>
        <w:t xml:space="preserve"> </w:t>
      </w:r>
      <w:r w:rsidRPr="00DA249F">
        <w:rPr>
          <w:lang w:val="en-GB"/>
        </w:rPr>
        <w:t>Common pathways for eutrophication are atmospheric deposition (</w:t>
      </w:r>
      <w:r w:rsidR="387DFC72" w:rsidRPr="00DA249F">
        <w:rPr>
          <w:lang w:val="en-GB"/>
        </w:rPr>
        <w:t xml:space="preserve">a major source of oxidized </w:t>
      </w:r>
      <w:r w:rsidRPr="00DA249F">
        <w:rPr>
          <w:lang w:val="en-GB"/>
        </w:rPr>
        <w:t>nitrogen) and run</w:t>
      </w:r>
      <w:r w:rsidR="00AD6597" w:rsidRPr="00DA249F">
        <w:rPr>
          <w:lang w:val="en-GB"/>
        </w:rPr>
        <w:t>-</w:t>
      </w:r>
      <w:r w:rsidRPr="00DA249F">
        <w:rPr>
          <w:lang w:val="en-GB"/>
        </w:rPr>
        <w:t>off (</w:t>
      </w:r>
      <w:r w:rsidR="75EF2896" w:rsidRPr="00DA249F">
        <w:rPr>
          <w:lang w:val="en-GB"/>
        </w:rPr>
        <w:t>nitrogen, phosphorous</w:t>
      </w:r>
      <w:r w:rsidR="00774819">
        <w:rPr>
          <w:lang w:val="en-GB"/>
        </w:rPr>
        <w:t xml:space="preserve"> and</w:t>
      </w:r>
      <w:r w:rsidR="75EF2896" w:rsidRPr="00DA249F">
        <w:rPr>
          <w:lang w:val="en-GB"/>
        </w:rPr>
        <w:t xml:space="preserve"> other macronutrients, </w:t>
      </w:r>
      <w:r w:rsidRPr="00DA249F">
        <w:rPr>
          <w:lang w:val="en-GB"/>
        </w:rPr>
        <w:t xml:space="preserve">particularly </w:t>
      </w:r>
      <w:r w:rsidR="63422F67" w:rsidRPr="00DA249F">
        <w:rPr>
          <w:lang w:val="en-GB"/>
        </w:rPr>
        <w:t xml:space="preserve">affecting </w:t>
      </w:r>
      <w:r w:rsidRPr="00DA249F">
        <w:rPr>
          <w:lang w:val="en-GB"/>
        </w:rPr>
        <w:t>freshwater and coastal systems).</w:t>
      </w:r>
      <w:r w:rsidR="002E6F78" w:rsidRPr="00DA249F">
        <w:rPr>
          <w:lang w:val="en-GB"/>
        </w:rPr>
        <w:t xml:space="preserve"> The global use of fertilizers increased linearly during the second half of the </w:t>
      </w:r>
      <w:r w:rsidR="00EF33C9" w:rsidRPr="00DA249F">
        <w:rPr>
          <w:lang w:val="en-GB"/>
        </w:rPr>
        <w:t>twentieth</w:t>
      </w:r>
      <w:r w:rsidR="002E6F78" w:rsidRPr="00DA249F">
        <w:rPr>
          <w:lang w:val="en-GB"/>
        </w:rPr>
        <w:t xml:space="preserve"> century </w:t>
      </w:r>
      <w:r w:rsidR="002E6F78" w:rsidRPr="00DA249F">
        <w:rPr>
          <w:lang w:val="en-GB"/>
        </w:rPr>
        <w:fldChar w:fldCharType="begin"/>
      </w:r>
      <w:r w:rsidR="00F5121E">
        <w:rPr>
          <w:lang w:val="en-GB"/>
        </w:rPr>
        <w:instrText xml:space="preserve"> ADDIN ZOTERO_ITEM CSL_CITATION {"citationID":"jTOwO23L","properties":{"formattedCitation":"(IPBES, 2019)","plainCitation":"(IPBES, 2019)","noteIndex":0},"citationItems":[{"id":53933,"uris":["http://zotero.org/groups/2352922/items/JYFISR8Z","http://zotero.org/groups/2352922/items/ZACZGHZL"],"itemData":{"id":53933,"type":"report","abstract":"IPBES is to perform regular and timely assessments of knowledge on biodiversity and ecosystem services and their interlinkages at the global level. Also addressing an invitation by the Conference of the Parties of the Convention on Biological Diversity (CBD) to prepare a global assessment of biodiversity and ecosystem services building, inter alia, on its own and other relevant regional, subregional and thematic assessments, as well as on national reports. The overall scope of the assessment is to assess the status and trends with regard to biodiversity and ecosystem services, the impact of biodiversity and ecosystem services on human well-being and the effectiveness of responses, including the Strategic Plan and its Aichi Biodiversity Targets. It is anticipated that this deliverable will contribute to the process for the evaluation and renewal of the Strategic Plan for Biodiversity and its Aichi Biodiversity Targets. The IPBES Global Assessment on Biodiversity and Ecosystem Services is composed of 1) a Summary for Policymakers (SPM), approved by the IPBES Plenary at its 7th session in May 2019 in Paris, France (IPBES-7); and 2) a set of six Chapters, accepted by the IPBES Plenary.","language":"en","license":"Creative Commons Attribution 4.0 International, Open Access","note":"Version Number 1\nDOI: 10.5281/ZENODO.3831673","publisher":"Secretariat of the Intergovernmental Science-Policy Platform on Biodiversity and Ecosystem Services","source":"DOI.org (Datacite)","title":"Global assessment report on biodiversity and ecosystem services of the Intergovernmental Science-Policy Platform on Biodiversity and Ecosystem Services","URL":"https://zenodo.org/record/3831673","author":[{"literal":"IPBES"}],"contributor":[{"family":"Brondizio","given":"Eduardo"},{"family":"Diaz","given":"Sandra"},{"family":"Settele","given":"Josef"},{"family":"Ngo","given":"Hien T."}],"accessed":{"date-parts":[["2023",1,5]]},"issued":{"date-parts":[["2019"]]}}}],"schema":"https://github.com/citation-style-language/schema/raw/master/csl-citation.json"} </w:instrText>
      </w:r>
      <w:r w:rsidR="002E6F78" w:rsidRPr="00DA249F">
        <w:rPr>
          <w:lang w:val="en-GB"/>
        </w:rPr>
        <w:fldChar w:fldCharType="separate"/>
      </w:r>
      <w:r w:rsidR="00144D96" w:rsidRPr="00144D96">
        <w:t>(IPBES, 2019)</w:t>
      </w:r>
      <w:r w:rsidR="002E6F78" w:rsidRPr="00DA249F">
        <w:rPr>
          <w:lang w:val="en-GB"/>
        </w:rPr>
        <w:fldChar w:fldCharType="end"/>
      </w:r>
      <w:r w:rsidR="002E6F78" w:rsidRPr="00DA249F">
        <w:rPr>
          <w:lang w:val="en-GB"/>
        </w:rPr>
        <w:t xml:space="preserve">, and for many regions a further increase in the balance of both nitrogen and phosphorus in the soil is expected in the following decades </w:t>
      </w:r>
      <w:r w:rsidR="002E6F78" w:rsidRPr="00DA249F">
        <w:rPr>
          <w:lang w:val="en-GB"/>
        </w:rPr>
        <w:fldChar w:fldCharType="begin"/>
      </w:r>
      <w:r w:rsidR="005A3F85">
        <w:rPr>
          <w:lang w:val="en-GB"/>
        </w:rPr>
        <w:instrText xml:space="preserve"> ADDIN ZOTERO_ITEM CSL_CITATION {"citationID":"KfQk6ei8","properties":{"formattedCitation":"(FAO, 2015)","plainCitation":"(FAO, 2015)","noteIndex":0},"citationItems":[{"id":24336,"uris":["http://zotero.org/groups/2352922/items/A8GVBXWK"],"itemData":{"id":24336,"type":"book","abstract":"The SWSR is a reference document on the status of global soil resources that provides regional assessments of soil change. The information is based on peer-reviewed scientific literature, complemented with expert knowledge and project outputs. It provides a description and a ranking of ten major soil threats that endanger ecosystem functions, goods and services globally and in each region separately. Additionally, it describes direct and indirect pressures on soils and ways and means to combat s oil degradation. The report contains a Synthesis report for policy makers that summarizes its findings, conclusions and recommendations.  \n\nThe full report has been divided into sections and individual chapters for ease of downloading:\n\n \n\nIntroductory information Chapter 1: Introduction Chapter 2: The role of soils in ecosystem pr ocesses  Chapter 3: Global Soil Resources Chapter 4: Soils and Humans Chapter 5: Drivers of global soil change Chapter 6: Global soil status, processes and trends Chapter 7: Soil change: impacts and responses Chapter 8: Governance and policy responses to soil change Chapter 9: Regional Assessment of Soil Changes in Africa South of the Sahara Chapter 10: Regional Assessment of Soil Change in Asia Chapter 11: Regional Assessment of Soil Changes in Europe and Eurasia Chapter 12: Regional Assessment of Soil Changes in Latin America and the Caribbean Chapter 13: Regional Assessment of Soil Changes in the Near East and North Africa Chapter 14: Regional Assessment of Soil Changes in North America Chapter 15: Regional Assessment of Soil Change in the Southw est Pacific Chapter 16: Regional Assessment of Soil Change in Antarctica Annex: Soil groups, characteristics, distribution and ecosystem services Glossary of Technical Terms Authors and affiliations\n\n \n\nAlso available is the  Technical Summary of the Status of the World’s Soil Resources.","event-place":"Rome, Italy","ISBN":"978-92-5-109004-6","language":"en","number-of-pages":"650","publisher":"FAO","publisher-place":"Rome, Italy","source":"FAO Publications","title":"Status of the World's Soil Resources: Main Report","title-short":"Status of the World's Soil Resources","URL":"http://www.fao.org/documents/card/fr/c/c6814873-efc3-41db-b7d3-2081a10ede50/","author":[{"literal":"FAO"}],"accessed":{"date-parts":[["2021",2,9]]},"issued":{"date-parts":[["2015"]]}}}],"schema":"https://github.com/citation-style-language/schema/raw/master/csl-citation.json"} </w:instrText>
      </w:r>
      <w:r w:rsidR="002E6F78" w:rsidRPr="00DA249F">
        <w:rPr>
          <w:lang w:val="en-GB"/>
        </w:rPr>
        <w:fldChar w:fldCharType="separate"/>
      </w:r>
      <w:r w:rsidR="005A3F85" w:rsidRPr="005A3F85">
        <w:t>(FAO, 2015)</w:t>
      </w:r>
      <w:r w:rsidR="002E6F78" w:rsidRPr="00DA249F">
        <w:rPr>
          <w:lang w:val="en-GB"/>
        </w:rPr>
        <w:fldChar w:fldCharType="end"/>
      </w:r>
      <w:r w:rsidR="002E6F78" w:rsidRPr="00DA249F">
        <w:rPr>
          <w:lang w:val="en-GB"/>
        </w:rPr>
        <w:t xml:space="preserve">. Accordingly, during the last decade alone, there was a four to 20 fold increase in nitrogen flux in aquatic ecosystems </w:t>
      </w:r>
      <w:r w:rsidR="002E6F78" w:rsidRPr="00DA249F">
        <w:rPr>
          <w:lang w:val="en-GB"/>
        </w:rPr>
        <w:fldChar w:fldCharType="begin"/>
      </w:r>
      <w:r w:rsidR="00F5121E">
        <w:rPr>
          <w:lang w:val="en-GB"/>
        </w:rPr>
        <w:instrText xml:space="preserve"> ADDIN ZOTERO_ITEM CSL_CITATION {"citationID":"JgQhpcQu","properties":{"formattedCitation":"(IPBES, 2019)","plainCitation":"(IPBES, 2019)","noteIndex":0},"citationItems":[{"id":53933,"uris":["http://zotero.org/groups/2352922/items/JYFISR8Z","http://zotero.org/groups/2352922/items/ZACZGHZL"],"itemData":{"id":53933,"type":"report","abstract":"IPBES is to perform regular and timely assessments of knowledge on biodiversity and ecosystem services and their interlinkages at the global level. Also addressing an invitation by the Conference of the Parties of the Convention on Biological Diversity (CBD) to prepare a global assessment of biodiversity and ecosystem services building, inter alia, on its own and other relevant regional, subregional and thematic assessments, as well as on national reports. The overall scope of the assessment is to assess the status and trends with regard to biodiversity and ecosystem services, the impact of biodiversity and ecosystem services on human well-being and the effectiveness of responses, including the Strategic Plan and its Aichi Biodiversity Targets. It is anticipated that this deliverable will contribute to the process for the evaluation and renewal of the Strategic Plan for Biodiversity and its Aichi Biodiversity Targets. The IPBES Global Assessment on Biodiversity and Ecosystem Services is composed of 1) a Summary for Policymakers (SPM), approved by the IPBES Plenary at its 7th session in May 2019 in Paris, France (IPBES-7); and 2) a set of six Chapters, accepted by the IPBES Plenary.","language":"en","license":"Creative Commons Attribution 4.0 International, Open Access","note":"Version Number 1\nDOI: 10.5281/ZENODO.3831673","publisher":"Secretariat of the Intergovernmental Science-Policy Platform on Biodiversity and Ecosystem Services","source":"DOI.org (Datacite)","title":"Global assessment report on biodiversity and ecosystem services of the Intergovernmental Science-Policy Platform on Biodiversity and Ecosystem Services","URL":"https://zenodo.org/record/3831673","author":[{"literal":"IPBES"}],"contributor":[{"family":"Brondizio","given":"Eduardo"},{"family":"Diaz","given":"Sandra"},{"family":"Settele","given":"Josef"},{"family":"Ngo","given":"Hien T."}],"accessed":{"date-parts":[["2023",1,5]]},"issued":{"date-parts":[["2019"]]}}}],"schema":"https://github.com/citation-style-language/schema/raw/master/csl-citation.json"} </w:instrText>
      </w:r>
      <w:r w:rsidR="002E6F78" w:rsidRPr="00DA249F">
        <w:rPr>
          <w:lang w:val="en-GB"/>
        </w:rPr>
        <w:fldChar w:fldCharType="separate"/>
      </w:r>
      <w:r w:rsidR="00144D96" w:rsidRPr="00144D96">
        <w:t>(IPBES, 2019)</w:t>
      </w:r>
      <w:r w:rsidR="002E6F78" w:rsidRPr="00DA249F">
        <w:rPr>
          <w:lang w:val="en-GB"/>
        </w:rPr>
        <w:fldChar w:fldCharType="end"/>
      </w:r>
      <w:r w:rsidR="002E6F78" w:rsidRPr="00DA249F">
        <w:rPr>
          <w:lang w:val="en-GB"/>
        </w:rPr>
        <w:t xml:space="preserve">. </w:t>
      </w:r>
      <w:r w:rsidR="27BEC79B" w:rsidRPr="00DA249F">
        <w:rPr>
          <w:lang w:val="en-GB"/>
        </w:rPr>
        <w:t xml:space="preserve">Initial emissions </w:t>
      </w:r>
      <w:r w:rsidR="5D238F40" w:rsidRPr="00DA249F">
        <w:rPr>
          <w:lang w:val="en-GB"/>
        </w:rPr>
        <w:t>are</w:t>
      </w:r>
      <w:r w:rsidRPr="00DA249F">
        <w:rPr>
          <w:lang w:val="en-GB"/>
        </w:rPr>
        <w:t xml:space="preserve"> driven by economic (</w:t>
      </w:r>
      <w:r w:rsidR="003D285A" w:rsidRPr="008C1731">
        <w:rPr>
          <w:b/>
          <w:iCs/>
          <w:lang w:val="en-GB"/>
        </w:rPr>
        <w:t xml:space="preserve">section </w:t>
      </w:r>
      <w:r w:rsidRPr="008C1731">
        <w:rPr>
          <w:b/>
          <w:iCs/>
          <w:lang w:val="en-GB"/>
        </w:rPr>
        <w:t>3.2.3</w:t>
      </w:r>
      <w:r w:rsidRPr="00DA249F">
        <w:rPr>
          <w:lang w:val="en-GB"/>
        </w:rPr>
        <w:t>) and demographic</w:t>
      </w:r>
      <w:r w:rsidR="00B20526" w:rsidRPr="00DA249F">
        <w:rPr>
          <w:lang w:val="en-GB"/>
        </w:rPr>
        <w:t xml:space="preserve"> drivers</w:t>
      </w:r>
      <w:r w:rsidRPr="00DA249F">
        <w:rPr>
          <w:lang w:val="en-GB"/>
        </w:rPr>
        <w:t xml:space="preserve"> </w:t>
      </w:r>
      <w:r w:rsidRPr="00F42028">
        <w:rPr>
          <w:lang w:val="en-GB"/>
        </w:rPr>
        <w:t>(</w:t>
      </w:r>
      <w:r w:rsidR="003D285A" w:rsidRPr="008C1731">
        <w:rPr>
          <w:b/>
          <w:iCs/>
          <w:lang w:val="en-GB"/>
        </w:rPr>
        <w:t xml:space="preserve">section </w:t>
      </w:r>
      <w:r w:rsidRPr="008C1731">
        <w:rPr>
          <w:b/>
          <w:iCs/>
          <w:lang w:val="en-GB"/>
        </w:rPr>
        <w:t>3.2.2</w:t>
      </w:r>
      <w:r w:rsidRPr="00DA249F">
        <w:rPr>
          <w:lang w:val="en-GB"/>
        </w:rPr>
        <w:t xml:space="preserve">), </w:t>
      </w:r>
      <w:r w:rsidR="7B4700FD" w:rsidRPr="00DA249F">
        <w:rPr>
          <w:lang w:val="en-GB"/>
        </w:rPr>
        <w:t>as described in the IPBES Global Assessment</w:t>
      </w:r>
      <w:r w:rsidR="002621D9" w:rsidRPr="00DA249F">
        <w:rPr>
          <w:lang w:val="en-GB"/>
        </w:rPr>
        <w:t xml:space="preserve"> </w:t>
      </w:r>
      <w:r w:rsidR="00EA5067" w:rsidRPr="00DA249F">
        <w:rPr>
          <w:lang w:val="en-GB"/>
        </w:rPr>
        <w:fldChar w:fldCharType="begin"/>
      </w:r>
      <w:r w:rsidR="00F5121E">
        <w:rPr>
          <w:lang w:val="en-GB"/>
        </w:rPr>
        <w:instrText xml:space="preserve"> ADDIN ZOTERO_ITEM CSL_CITATION {"citationID":"39Gn84XB","properties":{"formattedCitation":"(IPBES, 2019)","plainCitation":"(IPBES, 2019)","noteIndex":0},"citationItems":[{"id":53933,"uris":["http://zotero.org/groups/2352922/items/JYFISR8Z","http://zotero.org/groups/2352922/items/ZACZGHZL"],"itemData":{"id":53933,"type":"report","abstract":"IPBES is to perform regular and timely assessments of knowledge on biodiversity and ecosystem services and their interlinkages at the global level. Also addressing an invitation by the Conference of the Parties of the Convention on Biological Diversity (CBD) to prepare a global assessment of biodiversity and ecosystem services building, inter alia, on its own and other relevant regional, subregional and thematic assessments, as well as on national reports. The overall scope of the assessment is to assess the status and trends with regard to biodiversity and ecosystem services, the impact of biodiversity and ecosystem services on human well-being and the effectiveness of responses, including the Strategic Plan and its Aichi Biodiversity Targets. It is anticipated that this deliverable will contribute to the process for the evaluation and renewal of the Strategic Plan for Biodiversity and its Aichi Biodiversity Targets. The IPBES Global Assessment on Biodiversity and Ecosystem Services is composed of 1) a Summary for Policymakers (SPM), approved by the IPBES Plenary at its 7th session in May 2019 in Paris, France (IPBES-7); and 2) a set of six Chapters, accepted by the IPBES Plenary.","language":"en","license":"Creative Commons Attribution 4.0 International, Open Access","note":"Version Number 1\nDOI: 10.5281/ZENODO.3831673","publisher":"Secretariat of the Intergovernmental Science-Policy Platform on Biodiversity and Ecosystem Services","source":"DOI.org (Datacite)","title":"Global assessment report on biodiversity and ecosystem services of the Intergovernmental Science-Policy Platform on Biodiversity and Ecosystem Services","URL":"https://zenodo.org/record/3831673","author":[{"literal":"IPBES"}],"contributor":[{"family":"Brondizio","given":"Eduardo"},{"family":"Diaz","given":"Sandra"},{"family":"Settele","given":"Josef"},{"family":"Ngo","given":"Hien T."}],"accessed":{"date-parts":[["2023",1,5]]},"issued":{"date-parts":[["2019"]]}}}],"schema":"https://github.com/citation-style-language/schema/raw/master/csl-citation.json"} </w:instrText>
      </w:r>
      <w:r w:rsidR="00EA5067" w:rsidRPr="00DA249F">
        <w:rPr>
          <w:lang w:val="en-GB"/>
        </w:rPr>
        <w:fldChar w:fldCharType="separate"/>
      </w:r>
      <w:r w:rsidR="00144D96" w:rsidRPr="00144D96">
        <w:t>(IPBES, 2019)</w:t>
      </w:r>
      <w:r w:rsidR="00EA5067" w:rsidRPr="00DA249F">
        <w:rPr>
          <w:lang w:val="en-GB"/>
        </w:rPr>
        <w:fldChar w:fldCharType="end"/>
      </w:r>
      <w:r w:rsidR="00FC6002" w:rsidRPr="00DA249F">
        <w:rPr>
          <w:lang w:val="en-GB"/>
        </w:rPr>
        <w:t xml:space="preserve">. </w:t>
      </w:r>
      <w:r w:rsidR="00881888" w:rsidRPr="00DA249F">
        <w:rPr>
          <w:lang w:val="en-GB"/>
        </w:rPr>
        <w:t>Pollution may</w:t>
      </w:r>
      <w:r w:rsidR="7B4700FD" w:rsidRPr="00DA249F">
        <w:rPr>
          <w:lang w:val="en-GB"/>
        </w:rPr>
        <w:t xml:space="preserve"> </w:t>
      </w:r>
      <w:r w:rsidRPr="00DA249F">
        <w:rPr>
          <w:lang w:val="en-GB"/>
        </w:rPr>
        <w:t xml:space="preserve">interact with land- and sea-use </w:t>
      </w:r>
      <w:r w:rsidR="00881888" w:rsidRPr="00DA249F">
        <w:rPr>
          <w:lang w:val="en-GB"/>
        </w:rPr>
        <w:t>change</w:t>
      </w:r>
      <w:r w:rsidRPr="00DA249F">
        <w:rPr>
          <w:lang w:val="en-GB"/>
        </w:rPr>
        <w:t xml:space="preserve"> (</w:t>
      </w:r>
      <w:r w:rsidR="00822BFB" w:rsidRPr="008C1731">
        <w:rPr>
          <w:b/>
          <w:lang w:val="en-GB"/>
        </w:rPr>
        <w:t xml:space="preserve">section </w:t>
      </w:r>
      <w:r w:rsidRPr="008C1731">
        <w:rPr>
          <w:b/>
          <w:lang w:val="en-GB"/>
        </w:rPr>
        <w:t>3.3.1</w:t>
      </w:r>
      <w:r w:rsidRPr="00DA249F">
        <w:rPr>
          <w:lang w:val="en-GB"/>
        </w:rPr>
        <w:t>) and climate change (</w:t>
      </w:r>
      <w:r w:rsidR="00822BFB" w:rsidRPr="008C1731">
        <w:rPr>
          <w:b/>
          <w:iCs/>
          <w:lang w:val="en-GB"/>
        </w:rPr>
        <w:t xml:space="preserve">section </w:t>
      </w:r>
      <w:r w:rsidRPr="008C1731">
        <w:rPr>
          <w:b/>
          <w:iCs/>
          <w:lang w:val="en-GB"/>
        </w:rPr>
        <w:t>3.3.4</w:t>
      </w:r>
      <w:r w:rsidRPr="00DA249F">
        <w:rPr>
          <w:lang w:val="en-GB"/>
        </w:rPr>
        <w:t>)</w:t>
      </w:r>
      <w:r w:rsidR="2608B767" w:rsidRPr="00DA249F">
        <w:rPr>
          <w:lang w:val="en-GB"/>
        </w:rPr>
        <w:t xml:space="preserve"> in driving </w:t>
      </w:r>
      <w:r w:rsidR="32B5ED45" w:rsidRPr="00DA249F">
        <w:rPr>
          <w:lang w:val="en-GB"/>
        </w:rPr>
        <w:t xml:space="preserve">the </w:t>
      </w:r>
      <w:r w:rsidR="2F86FB0F" w:rsidRPr="00DA249F">
        <w:rPr>
          <w:lang w:val="en-GB"/>
        </w:rPr>
        <w:t>establishment</w:t>
      </w:r>
      <w:r w:rsidR="32B5ED45" w:rsidRPr="00DA249F">
        <w:rPr>
          <w:lang w:val="en-GB"/>
        </w:rPr>
        <w:t xml:space="preserve"> and</w:t>
      </w:r>
      <w:r w:rsidR="02C08309" w:rsidRPr="00DA249F">
        <w:rPr>
          <w:lang w:val="en-GB"/>
        </w:rPr>
        <w:t xml:space="preserve"> spread of alien species.</w:t>
      </w:r>
      <w:r w:rsidR="00066BF9" w:rsidRPr="00DA249F">
        <w:rPr>
          <w:lang w:val="en-GB"/>
        </w:rPr>
        <w:t xml:space="preserve"> </w:t>
      </w:r>
    </w:p>
    <w:p w14:paraId="2F2D681E" w14:textId="54741BD3" w:rsidR="002C1737" w:rsidRPr="00DA249F" w:rsidRDefault="3D04D128" w:rsidP="002C1737">
      <w:pPr>
        <w:rPr>
          <w:lang w:val="en-GB"/>
        </w:rPr>
      </w:pPr>
      <w:r w:rsidRPr="5575EBFC">
        <w:rPr>
          <w:lang w:val="en-GB"/>
        </w:rPr>
        <w:t xml:space="preserve">Invasive alien plant species often originate from relatively nitrogen-rich habitats </w:t>
      </w:r>
      <w:r w:rsidR="008C1BF7" w:rsidRPr="5575EBFC">
        <w:rPr>
          <w:lang w:val="en-GB"/>
        </w:rPr>
        <w:fldChar w:fldCharType="begin"/>
      </w:r>
      <w:r w:rsidR="00331A79">
        <w:rPr>
          <w:lang w:val="en-GB"/>
        </w:rPr>
        <w:instrText xml:space="preserve"> ADDIN ZOTERO_ITEM CSL_CITATION {"citationID":"HWO5X9f3","properties":{"formattedCitation":"(Dost\\uc0\\u225{}l et al., 2013)","plainCitation":"(Dostál et al., 2013)","noteIndex":0},"citationItems":[{"id":11252,"uris":["http://zotero.org/groups/2352922/items/RXWB8VVS"],"itemData":{"id":11252,"type":"article-journal","container-title":"Ecology Letters","DOI":"10.1111/ele.12166","ISSN":"1461023X","issue":"10","journalAbbreviation":"Ecol Lett","language":"en","page":"1277-1284","source":"DOI.org (Crossref)","title":"The impact of an invasive plant changes over time","URL":"http://doi.wiley.com/10.1111/ele.12166","volume":"16","author":[{"family":"Dostál","given":"Petr"},{"family":"Müllerová","given":"Jana"},{"family":"Pyšek","given":"Petr"},{"family":"Pergl","given":"Jan"},{"family":"Klinerová","given":"Tereza"}],"editor":[{"family":"Vilà","given":"Montserrat"}],"accessed":{"date-parts":[["2020",5,13]]},"issued":{"date-parts":[["2013",10]]}},"label":"page"}],"schema":"https://github.com/citation-style-language/schema/raw/master/csl-citation.json"} </w:instrText>
      </w:r>
      <w:r w:rsidR="008C1BF7" w:rsidRPr="5575EBFC">
        <w:rPr>
          <w:lang w:val="en-GB"/>
        </w:rPr>
        <w:fldChar w:fldCharType="separate"/>
      </w:r>
      <w:r w:rsidR="6B5F9B9E">
        <w:t>(Dostál et al., 2013)</w:t>
      </w:r>
      <w:r w:rsidR="008C1BF7" w:rsidRPr="5575EBFC">
        <w:rPr>
          <w:lang w:val="en-GB"/>
        </w:rPr>
        <w:fldChar w:fldCharType="end"/>
      </w:r>
      <w:r w:rsidRPr="5575EBFC">
        <w:rPr>
          <w:lang w:val="en-GB"/>
        </w:rPr>
        <w:t xml:space="preserve">, and are hence </w:t>
      </w:r>
      <w:r w:rsidR="182CC8F0" w:rsidRPr="5575EBFC">
        <w:rPr>
          <w:lang w:val="en-GB"/>
        </w:rPr>
        <w:t>hypothesized</w:t>
      </w:r>
      <w:r w:rsidRPr="5575EBFC">
        <w:rPr>
          <w:lang w:val="en-GB"/>
        </w:rPr>
        <w:t xml:space="preserve"> to be more likely to establish and spread under increased nitrogen availability. In line with this, replicated experiments across hundreds of sites in </w:t>
      </w:r>
      <w:r w:rsidR="3661637F" w:rsidRPr="5575EBFC">
        <w:rPr>
          <w:lang w:val="en-GB"/>
        </w:rPr>
        <w:t>A</w:t>
      </w:r>
      <w:r w:rsidRPr="5575EBFC">
        <w:rPr>
          <w:lang w:val="en-GB"/>
        </w:rPr>
        <w:t xml:space="preserve">rctic, boreal, temperate, Mediterranean and tropical grasslands demonstrate that nitrogen addition generally increases the occurrence, abundance, and impact of invasive alien plants, </w:t>
      </w:r>
      <w:r w:rsidR="2C8DADCD" w:rsidRPr="5575EBFC">
        <w:rPr>
          <w:lang w:val="en-GB"/>
        </w:rPr>
        <w:t>a pattern th</w:t>
      </w:r>
      <w:r w:rsidR="68D257E9" w:rsidRPr="5575EBFC">
        <w:rPr>
          <w:lang w:val="en-GB"/>
        </w:rPr>
        <w:t>a</w:t>
      </w:r>
      <w:r w:rsidR="2C8DADCD" w:rsidRPr="5575EBFC">
        <w:rPr>
          <w:lang w:val="en-GB"/>
        </w:rPr>
        <w:t xml:space="preserve">t is </w:t>
      </w:r>
      <w:r w:rsidRPr="5575EBFC">
        <w:rPr>
          <w:lang w:val="en-GB"/>
        </w:rPr>
        <w:t>especially pronounced towards warmer and wetter sites</w:t>
      </w:r>
      <w:r w:rsidR="2010D45F" w:rsidRPr="5575EBFC">
        <w:rPr>
          <w:lang w:val="en-GB"/>
        </w:rPr>
        <w:t xml:space="preserve"> </w:t>
      </w:r>
      <w:r w:rsidR="008C1BF7" w:rsidRPr="5575EBFC">
        <w:rPr>
          <w:lang w:val="en-GB"/>
        </w:rPr>
        <w:fldChar w:fldCharType="begin"/>
      </w:r>
      <w:r w:rsidR="00331A79">
        <w:rPr>
          <w:lang w:val="en-GB"/>
        </w:rPr>
        <w:instrText xml:space="preserve"> ADDIN ZOTERO_ITEM CSL_CITATION {"citationID":"L2ln855B","properties":{"formattedCitation":"(Borer et al., 2017; Seabloom et al., 2013)","plainCitation":"(Borer et al., 2017; Seabloom et al., 2013)","noteIndex":0},"citationItems":[{"id":32324,"uris":["http://zotero.org/groups/2352922/items/2HINTU3M"],"itemData":{"id":32324,"type":"article-journal","abstract":"Earth's biodiversity and carbon uptake by plants, or primary productivity, are intricately interlinked, underlie many essential ecosystem processes, and depend on the interplay among environmental factors, many of which are being changed by human activities. While ecological theory generalizes across taxa and environments, most empirical tests of factors controlling diversity and productivity have been observational, single-site experiments, or meta-analyses, limiting our understanding of variation among site-level responses and tests of general mechanisms. A synthesis of results from ten years of a globally distributed, coordinated experiment, the Nutrient Network (NutNet), demonstrates that species diversity promotes ecosystem productivity and stability, and that nutrient supply and herbivory control diversity via changes in composition, including invasions of non-native species and extinction of native species. Distributed experimental networks are a powerful tool for tests and integration of multiple theories and for generating multivariate predictions about the effects of global changes on future ecosystems.","container-title":"Nature Ecology &amp; Evolution","DOI":"10.1038/s41559-017-0118","ISSN":"2397-334X","issue":"5","language":"en","license":"2017 Macmillan Publishers Limited","note":"number: 5\ncontainer-title: Nature Ecology &amp; Evolution","page":"1-7","source":"www.nature.com","title":"A decade of insights into grassland ecosystem responses to global environmental change","URL":"https://www.nature.com/articles/s41559-017-0118","volume":"1","author":[{"family":"Borer","given":"Elizabeth T."},{"family":"Grace","given":"James B."},{"family":"Harpole","given":"W. Stanley"},{"family":"MacDougall","given":"Andrew S."},{"family":"Seabloom","given":"Eric W."}],"accessed":{"date-parts":[["2019",11,14]]},"issued":{"date-parts":[["2017",4,20]]}},"label":"page"},{"id":31891,"uris":["http://zotero.org/groups/2352922/items/3PJE3QPA"],"itemData":{"id":31891,"type":"article-journal","abstract":"Invasions have increased the size of regional species pools, but are typically assumed to reduce native diversity. However, global-scale tests of this assumption have been elusive because of the focus on exotic species richness, rather than relative abundance. This is problematic because low invader richness can indicate invasion resistance by the native community or, alternatively, dominance by a single exotic species. Here, we used a globally replicated study to quantify relationships between exotic richness and abundance in grass-dominated ecosystems in 13 countries on six continents, ranging from salt marshes to alpine tundra. We tested effects of human land use, native community diversity, herbivore pressure, and nutrient limitation on exotic plant dominance. Despite its widespread use, exotic richness was a poor proxy for exotic dominance at low exotic richness, because sites that contained few exotic species ranged from relatively pristine (low exotic richness and cover) to almost completely exotic-dominated ones (low exotic richness but high exotic cover). Both exotic cover and richness were predicted by native plant diversity (native grass richness) and land use (distance to cultivation). Although climate was important for predicting both exotic cover and richness, climatic factors predicting cover (precipitation variability) differed from those predicting richness (maximum temperature and mean temperature in the wettest quarter). Herbivory and nutrient limitation did not predict exotic richness or cover. Exotic dominance was greatest in areas with low native grass richness at the site- or regional-scale. Although this could reflect native grass displacement, a lack of biotic resistance is a more likely explanation, given that grasses comprise the most aggressive invaders. These findings underscore the need to move beyond richness as a surrogate for the extent of invasion, because this metric confounds monodominance with invasion resistance. Monitoring species' relative abundance will more rapidly advance our understanding of invasions.","container-title":"Global Change Biology","DOI":"10.1111/gcb.12370","ISSN":"1365-2486","issue":"12","language":"en","license":"© 2013 John Wiley &amp; Sons Ltd","note":"number: 12\ncontainer-title: Global Change Biology","page":"3677-3687","source":"Wiley Online Library","title":"Predicting invasion in grassland ecosystems: is exotic dominance the real embarrassment of richness?","title-short":"Predicting invasion in grassland ecosystems","URL":"https://onlinelibrary.wiley.com/doi/abs/10.1111/gcb.12370","volume":"19","author":[{"family":"Seabloom","given":"Eric W."},{"family":"Borer","given":"Elizabeth T."},{"family":"Buckley","given":"Yvonne"},{"family":"Cleland","given":"Elsa E."},{"family":"Davies","given":"Kendi"},{"family":"Firn","given":"Jennifer"},{"family":"Harpole","given":"W. Stanley"},{"family":"Hautier","given":"Yann"},{"family":"Lind","given":"Eric"},{"family":"MacDougall","given":"Andrew"},{"family":"Orrock","given":"John L."},{"family":"Prober","given":"Suzanne M."},{"family":"Adler","given":"Peter"},{"family":"Alberti","given":"Juan"},{"family":"Anderson","given":"T. Michael"},{"family":"Bakker","given":"Jonathan D."},{"family":"Biederman","given":"Lori A."},{"family":"Blumenthal","given":"Dana"},{"family":"Brown","given":"Cynthia S."},{"family":"Brudvig","given":"Lars A."},{"family":"Caldeira","given":"Maria"},{"family":"Chu","given":"Chengjin"},{"family":"Crawley","given":"Michael J."},{"family":"Daleo","given":"Pedro"},{"family":"Damschen","given":"Ellen I."},{"family":"D'Antonio","given":"Carla M."},{"family":"DeCrappeo","given":"Nicole M."},{"family":"Dickman","given":"Chris R."},{"family":"Du","given":"Guozhen"},{"family":"Fay","given":"Philip A."},{"family":"Frater","given":"Paul"},{"family":"Gruner","given":"Daniel S."},{"family":"Hagenah","given":"Nicole"},{"family":"Hector","given":"Andrew"},{"family":"Helm","given":"Aveliina"},{"family":"Hillebrand","given":"Helmut"},{"family":"Hofmockel","given":"Kirsten S."},{"family":"Humphries","given":"Hope C."},{"family":"Iribarne","given":"Oscar"},{"family":"Jin","given":"Virginia L."},{"family":"Kay","given":"Adam"},{"family":"Kirkman","given":"Kevin P."},{"family":"Klein","given":"Julia A."},{"family":"Knops","given":"Johannes M. H."},{"family":"Pierre","given":"Kimberly J. La"},{"family":"Ladwig","given":"Laura M."},{"family":"Lambrinos","given":"John G."},{"family":"Leakey","given":"Andrew D. B."},{"family":"Li","given":"Qi"},{"family":"Li","given":"Wei"},{"family":"McCulley","given":"Rebecca"},{"family":"Melbourne","given":"Brett"},{"family":"Mitchell","given":"Charles E."},{"family":"Moore","given":"Joslin L."},{"family":"Morgan","given":"John"},{"family":"M</w:instrText>
      </w:r>
      <w:r w:rsidR="00331A79">
        <w:rPr>
          <w:rFonts w:hint="eastAsia"/>
          <w:lang w:val="en-GB"/>
        </w:rPr>
        <w:instrText>ortensen","given":"Brent"},{"family":"O'Halloran","given":"Lydia R."},{"family":"Pärtel","given":"Meelis"},{"family":"Pascual","given":"Jesús"},{"family":"Pyke","given":"David A."},{"family":"Risch","given":"Anita C."},{"family":"Salguero</w:instrText>
      </w:r>
      <w:r w:rsidR="00331A79">
        <w:rPr>
          <w:rFonts w:hint="eastAsia"/>
          <w:lang w:val="en-GB"/>
        </w:rPr>
        <w:instrText>‐</w:instrText>
      </w:r>
      <w:r w:rsidR="00331A79">
        <w:rPr>
          <w:rFonts w:hint="eastAsia"/>
          <w:lang w:val="en-GB"/>
        </w:rPr>
        <w:instrText>Gómez","given":"</w:instrText>
      </w:r>
      <w:r w:rsidR="00331A79">
        <w:rPr>
          <w:lang w:val="en-GB"/>
        </w:rPr>
        <w:instrText xml:space="preserve">Roberto"},{"family":"Sankaran","given":"Mahesh"},{"family":"Schuetz","given":"Martin"},{"family":"Simonsen","given":"Anna"},{"family":"Smith","given":"Melinda"},{"family":"Stevens","given":"Carly"},{"family":"Sullivan","given":"Lauren"},{"family":"Wardle","given":"Glenda M."},{"family":"Wolkovich","given":"Elizabeth M."},{"family":"Wragg","given":"Peter D."},{"family":"Wright","given":"Justin"},{"family":"Yang","given":"Louie"}],"accessed":{"date-parts":[["2019",12,6]]},"issued":{"date-parts":[["2013"]]}},"label":"page"}],"schema":"https://github.com/citation-style-language/schema/raw/master/csl-citation.json"} </w:instrText>
      </w:r>
      <w:r w:rsidR="008C1BF7" w:rsidRPr="5575EBFC">
        <w:rPr>
          <w:lang w:val="en-GB"/>
        </w:rPr>
        <w:fldChar w:fldCharType="separate"/>
      </w:r>
      <w:r w:rsidR="6B5F9B9E">
        <w:t>(Borer et al., 2017; Seabloom et al., 2013)</w:t>
      </w:r>
      <w:r w:rsidR="008C1BF7" w:rsidRPr="5575EBFC">
        <w:rPr>
          <w:lang w:val="en-GB"/>
        </w:rPr>
        <w:fldChar w:fldCharType="end"/>
      </w:r>
      <w:r w:rsidRPr="5575EBFC">
        <w:rPr>
          <w:lang w:val="en-GB"/>
        </w:rPr>
        <w:t xml:space="preserve">. A review from the </w:t>
      </w:r>
      <w:r w:rsidR="2406CD30" w:rsidRPr="5575EBFC">
        <w:rPr>
          <w:lang w:val="en-GB"/>
        </w:rPr>
        <w:t>United States</w:t>
      </w:r>
      <w:r w:rsidRPr="5575EBFC">
        <w:rPr>
          <w:lang w:val="en-GB"/>
        </w:rPr>
        <w:t xml:space="preserve"> </w:t>
      </w:r>
      <w:r w:rsidR="20D3F759" w:rsidRPr="5575EBFC">
        <w:rPr>
          <w:lang w:val="en-GB"/>
        </w:rPr>
        <w:t xml:space="preserve">reported </w:t>
      </w:r>
      <w:r w:rsidRPr="5575EBFC">
        <w:rPr>
          <w:lang w:val="en-GB"/>
        </w:rPr>
        <w:t xml:space="preserve">that </w:t>
      </w:r>
      <w:r w:rsidR="22728B23" w:rsidRPr="5575EBFC">
        <w:rPr>
          <w:lang w:val="en-GB"/>
        </w:rPr>
        <w:t xml:space="preserve">in temperate and Mediterranean temperate vegetation, </w:t>
      </w:r>
      <w:r w:rsidRPr="5575EBFC">
        <w:rPr>
          <w:lang w:val="en-GB"/>
        </w:rPr>
        <w:t xml:space="preserve">increased abundance of </w:t>
      </w:r>
      <w:r w:rsidR="64DE4BFA" w:rsidRPr="5575EBFC">
        <w:rPr>
          <w:lang w:val="en-GB"/>
        </w:rPr>
        <w:t>invasive alien species</w:t>
      </w:r>
      <w:r w:rsidRPr="5575EBFC">
        <w:rPr>
          <w:lang w:val="en-GB"/>
        </w:rPr>
        <w:t xml:space="preserve"> is consistently </w:t>
      </w:r>
      <w:r w:rsidR="20D3F759" w:rsidRPr="5575EBFC">
        <w:rPr>
          <w:lang w:val="en-GB"/>
        </w:rPr>
        <w:t xml:space="preserve">documented </w:t>
      </w:r>
      <w:r w:rsidRPr="5575EBFC">
        <w:rPr>
          <w:lang w:val="en-GB"/>
        </w:rPr>
        <w:t xml:space="preserve">as an impact </w:t>
      </w:r>
      <w:r w:rsidR="22728B23" w:rsidRPr="5575EBFC">
        <w:rPr>
          <w:lang w:val="en-GB"/>
        </w:rPr>
        <w:t xml:space="preserve">when </w:t>
      </w:r>
      <w:r w:rsidRPr="5575EBFC">
        <w:rPr>
          <w:lang w:val="en-GB"/>
        </w:rPr>
        <w:t>nitrogen deposition</w:t>
      </w:r>
      <w:r w:rsidR="22728B23" w:rsidRPr="5575EBFC">
        <w:rPr>
          <w:lang w:val="en-GB"/>
        </w:rPr>
        <w:t xml:space="preserve"> </w:t>
      </w:r>
      <w:r w:rsidRPr="5575EBFC">
        <w:rPr>
          <w:lang w:val="en-GB"/>
        </w:rPr>
        <w:t>exceed</w:t>
      </w:r>
      <w:r w:rsidR="22728B23" w:rsidRPr="5575EBFC">
        <w:rPr>
          <w:lang w:val="en-GB"/>
        </w:rPr>
        <w:t>s</w:t>
      </w:r>
      <w:r w:rsidRPr="5575EBFC">
        <w:rPr>
          <w:lang w:val="en-GB"/>
        </w:rPr>
        <w:t xml:space="preserve"> the critical load</w:t>
      </w:r>
      <w:r w:rsidR="22728B23" w:rsidRPr="5575EBFC">
        <w:rPr>
          <w:lang w:val="en-GB"/>
        </w:rPr>
        <w:t xml:space="preserve"> for that vegetation type</w:t>
      </w:r>
      <w:r w:rsidRPr="5575EBFC">
        <w:rPr>
          <w:lang w:val="en-GB"/>
        </w:rPr>
        <w:t xml:space="preserve"> </w:t>
      </w:r>
      <w:r w:rsidR="008C1BF7" w:rsidRPr="5575EBFC">
        <w:rPr>
          <w:lang w:val="en-GB"/>
        </w:rPr>
        <w:fldChar w:fldCharType="begin"/>
      </w:r>
      <w:r w:rsidR="00331A79">
        <w:rPr>
          <w:lang w:val="en-GB"/>
        </w:rPr>
        <w:instrText xml:space="preserve"> ADDIN ZOTERO_ITEM CSL_CITATION {"citationID":"KCc8orGx","properties":{"formattedCitation":"(Pardo et al., 2011)","plainCitation":"(Pardo et al., 2011)","noteIndex":0},"citationItems":[{"id":31904,"uris":["http://zotero.org/groups/2352922/items/I5G5S2XY"],"itemData":{"id":31904,"type":"article-journal","abstract":"Human activity in the last century has led to a significant increase in nitrogen (N) emissions and atmospheric deposition. This N deposition has reached a level that has caused or is likely to cause alterations to the structure and function of many ecosystems across the United States. One approach for quantifying the deposition of pollution that would be harmful to ecosystems is the determination of critical loads. A critical load is defined as the input of a pollutant below which no detrimental ecological effects occur over the long-term according to present knowledge. The objectives of this project were to synthesize current research relating atmospheric N deposition to effects on terrestrial and freshwater ecosystems in the United States, and to estimate associated empirical N critical loads. The receptors considered included freshwater diatoms, mycorrhizal fungi, lichens, bryophytes, herbaceous plants, shrubs, and trees. Ecosystem impacts included: (1) biogeochemical responses and (2) individual species, population, and community responses. Biogeochemical responses included increased N mineralization and nitrification (and N availability for plant and microbial uptake), increased gaseous N losses (ammonia volatilization, nitric and nitrous oxide from nitrification and denitrification), and increased N leaching. Individual species, population, and community responses included increased tissue N, physiological and nutrient imbalances, increased growth, altered root : shoot ratios, increased susceptibility to secondary stresses, altered fire regime, shifts in competitive interactions and community composition, changes in species richness and other measures of biodiversity, and increases in invasive species. The range of critical loads for nutrient N reported for U.S. ecoregions, inland surface waters, and freshwater wetlands is 1–39 kg N·ha−1·yr−1, spanning the range of N deposition observed over most of the country. The empirical critical loads for N tend to increase in the following sequence for different life forms: diatoms, lichens and bryophytes, mycorrhizal fungi, herbaceous plants and shrubs, and trees. The critical load approach is an ecosystem assessment tool with great potential to simplify complex scientific information and communicate effectively with the policy community and the public. This synthesis represents the first comprehensive assessment of empirical critical loads of N for major ecoregions across the United States.","container-title":"Ecological Applications","DOI":"10.1890/10-2341.1","ISSN":"1939-5582","issue":"8","language":"en","license":"© 2011 by the Ecological Society of America","note":"number: 8\ncontainer-title: Ecological Applications","page":"3049-3082","source":"Wiley Online Library","title":"Effects of nitrogen deposition and empirical nitrogen critical loads for ecoregions of the United States","URL":"https://esajournals.onlinelibrary.wiley.com/doi/abs/10.1890/10-2341.1","volume":"21","author":[{"family":"Pardo","given":"Linda H."},{"family":"Fenn","given":"Mark E."},{"family":"Goodale","given":"Christine L."},{"family":"Geiser","given":"Linda H."},{"family":"Driscoll","given":"Charles T."},{"family":"Allen","given":"Edith B."},{"family":"Baron","given":"Jill S."},{"family":"Bobbink","given":"Roland"},{"family":"Bowman","given":"William D."},{"family":"Clark","given":"Christopher M."},{"family":"Emmett","given":"Bridget"},{"family":"Gilliam","given":"Frank S."},{"family":"Greaver","given":"Tara L."},{"family":"Hall","given":"Sharon J."},{"family":"Lilleskov","given":"Erik A."},{"family":"Liu","given":"Lingli"},{"family":"Lynch","given":"Jason A."},{"family":"Nadelhoffer","given":"Knute J."},{"family":"Perakis","given":"Steven S."},{"family":"Robin-Abbott","given":"Molly J."},{"family":"Stoddard","given":"John L."},{"family":"Weathers","given":"Kathleen C."},{"family":"Dennis","given":"Robin L."}],"accessed":{"date-parts":[["2019",11,14]]},"issued":{"date-parts":[["2011"]]}},"label":"page"}],"schema":"https://github.com/citation-style-language/schema/raw/master/csl-citation.json"} </w:instrText>
      </w:r>
      <w:r w:rsidR="008C1BF7" w:rsidRPr="5575EBFC">
        <w:rPr>
          <w:lang w:val="en-GB"/>
        </w:rPr>
        <w:fldChar w:fldCharType="separate"/>
      </w:r>
      <w:r w:rsidR="6B5F9B9E">
        <w:t>(Pardo et al., 2011)</w:t>
      </w:r>
      <w:r w:rsidR="008C1BF7" w:rsidRPr="5575EBFC">
        <w:rPr>
          <w:lang w:val="en-GB"/>
        </w:rPr>
        <w:fldChar w:fldCharType="end"/>
      </w:r>
      <w:r w:rsidRPr="5575EBFC">
        <w:rPr>
          <w:lang w:val="en-GB"/>
        </w:rPr>
        <w:t xml:space="preserve">. </w:t>
      </w:r>
      <w:r w:rsidR="4ACA2B6D" w:rsidRPr="5575EBFC">
        <w:rPr>
          <w:lang w:val="en-GB"/>
        </w:rPr>
        <w:t>N</w:t>
      </w:r>
      <w:r w:rsidRPr="5575EBFC">
        <w:rPr>
          <w:lang w:val="en-GB"/>
        </w:rPr>
        <w:t xml:space="preserve">itrogen deposition and </w:t>
      </w:r>
      <w:r w:rsidR="1BCAD39F" w:rsidRPr="5575EBFC">
        <w:rPr>
          <w:lang w:val="en-GB"/>
        </w:rPr>
        <w:t>eutrophication have</w:t>
      </w:r>
      <w:r w:rsidR="6A46BA6B" w:rsidRPr="5575EBFC">
        <w:rPr>
          <w:lang w:val="en-GB"/>
        </w:rPr>
        <w:t xml:space="preserve"> also</w:t>
      </w:r>
      <w:r w:rsidRPr="5575EBFC">
        <w:rPr>
          <w:lang w:val="en-GB"/>
        </w:rPr>
        <w:t xml:space="preserve"> been associated with increased abundance of alien tree and understory plant species in a wide range of other habitats, including tropical humid forests </w:t>
      </w:r>
      <w:r w:rsidR="008C1BF7" w:rsidRPr="5575EBFC">
        <w:rPr>
          <w:lang w:val="en-GB"/>
        </w:rPr>
        <w:fldChar w:fldCharType="begin"/>
      </w:r>
      <w:r w:rsidR="00331A79">
        <w:rPr>
          <w:lang w:val="en-GB"/>
        </w:rPr>
        <w:instrText xml:space="preserve"> ADDIN ZOTERO_ITEM CSL_CITATION {"citationID":"x524nGam","properties":{"formattedCitation":"(Cusack et al., 2016)","plainCitation":"(Cusack et al., 2016)","noteIndex":0},"citationItems":[{"id":32765,"uris":["http://zotero.org/groups/2352922/items/TLS5VQIS"],"itemData":{"id":32765,"type":"article-journal","container-title":"Reviews of Geophysics","DOI":"10.1002/2015RG000510","ISSN":"87551209","issue":"3","journalAbbreviation":"Rev. Geophys.","language":"en","note":"number: 3\ncontainer-title: Reviews of Geophysics","page":"523-610","source":"DOI.org (Crossref)","title":"Global change effects on humid tropical forests: Evidence for biogeochemical and biodiversity shifts at an ecosystem scale","title-short":"Global change effects on humid tropical forests","URL":"http://doi.wiley.com/10.1002/2015RG000510","volume":"54","author":[{"family":"Cusack","given":"Daniela F."},{"family":"Karpman","given":"Jason"},{"family":"Ashdown","given":"Daniel"},{"family":"Cao","given":"Qian"},{"family":"Ciochina","given":"Mark"},{"family":"Halterman","given":"Sarah"},{"family":"Lydon","given":"Scott"},{"family":"Neupane","given":"Avishesh"}],"accessed":{"date-parts":[["2019",12,6]]},"issued":{"date-parts":[["2016",9]]}},"label":"page"}],"schema":"https://github.com/citation-style-language/schema/raw/master/csl-citation.json"} </w:instrText>
      </w:r>
      <w:r w:rsidR="008C1BF7" w:rsidRPr="5575EBFC">
        <w:rPr>
          <w:lang w:val="en-GB"/>
        </w:rPr>
        <w:fldChar w:fldCharType="separate"/>
      </w:r>
      <w:r w:rsidR="6B5F9B9E">
        <w:t>(Cusack et al., 2016)</w:t>
      </w:r>
      <w:r w:rsidR="008C1BF7" w:rsidRPr="5575EBFC">
        <w:rPr>
          <w:lang w:val="en-GB"/>
        </w:rPr>
        <w:fldChar w:fldCharType="end"/>
      </w:r>
      <w:r w:rsidRPr="5575EBFC">
        <w:rPr>
          <w:lang w:val="en-GB"/>
        </w:rPr>
        <w:t xml:space="preserve">, temperate forests </w:t>
      </w:r>
      <w:r w:rsidR="008C1BF7" w:rsidRPr="5575EBFC">
        <w:rPr>
          <w:lang w:val="en-GB"/>
        </w:rPr>
        <w:fldChar w:fldCharType="begin"/>
      </w:r>
      <w:r w:rsidR="00331A79">
        <w:rPr>
          <w:lang w:val="en-GB"/>
        </w:rPr>
        <w:instrText xml:space="preserve"> ADDIN ZOTERO_ITEM CSL_CITATION {"citationID":"UesdG9yb","properties":{"formattedCitation":"(Gilliam, 2006)","plainCitation":"(Gilliam, 2006)","noteIndex":0},"citationItems":[{"id":31890,"uris":["http://zotero.org/groups/2352922/items/9WD3EDMN"],"itemData":{"id":31890,"type":"article-journal","container-title":"Journal of Ecology","DOI":"10.1111/j.1365-2745.2006.01155.x","ISSN":"0022-0477, 1365-2745","issue":"6","journalAbbreviation":"J Ecology","language":"en","note":"number: 6\ncontainer-title: Journal of Ecology","page":"1176-1191","source":"DOI.org (Crossref)","title":"Response of the herbaceous layer of forest ecosystems to excess nitrogen deposition","URL":"http://doi.wiley.com/10.1111/j.1365-2745.2006.01155.x","volume":"94","author":[{"family":"Gilliam","given":"Frank S."}],"accessed":{"date-parts":[["2019",12,6]]},"issued":{"date-parts":[["2006",11]]}},"label":"page"}],"schema":"https://github.com/citation-style-language/schema/raw/master/csl-citation.json"} </w:instrText>
      </w:r>
      <w:r w:rsidR="008C1BF7" w:rsidRPr="5575EBFC">
        <w:rPr>
          <w:lang w:val="en-GB"/>
        </w:rPr>
        <w:fldChar w:fldCharType="separate"/>
      </w:r>
      <w:r w:rsidR="6B5F9B9E">
        <w:t>(Gilliam, 2006)</w:t>
      </w:r>
      <w:r w:rsidR="008C1BF7" w:rsidRPr="5575EBFC">
        <w:rPr>
          <w:lang w:val="en-GB"/>
        </w:rPr>
        <w:fldChar w:fldCharType="end"/>
      </w:r>
      <w:r w:rsidRPr="5575EBFC">
        <w:rPr>
          <w:lang w:val="en-GB"/>
        </w:rPr>
        <w:t xml:space="preserve"> and European lowland heaths </w:t>
      </w:r>
      <w:r w:rsidR="008C1BF7" w:rsidRPr="5575EBFC">
        <w:rPr>
          <w:lang w:val="en-GB"/>
        </w:rPr>
        <w:fldChar w:fldCharType="begin"/>
      </w:r>
      <w:r w:rsidR="00331A79">
        <w:rPr>
          <w:lang w:val="en-GB"/>
        </w:rPr>
        <w:instrText xml:space="preserve"> ADDIN ZOTERO_ITEM CSL_CITATION {"citationID":"5iQztEaE","properties":{"formattedCitation":"(Fag\\uc0\\u250{}ndez, 2013)","plainCitation":"(Fagúndez, 2013)","noteIndex":0},"citationItems":[{"id":31903,"uris":["http://zotero.org/groups/2352922/items/95F5WQRM"],"itemData":{"id":31903,"type":"article-journal","abstract":"AbstractBackground.  Heathlands are dynamic plant communities characterized by a high cover of sclerophyllous, ericoid shrubs that develop over nutrient-poor so","container-title":"Annals of Botany","DOI":"10.1093/aob/mcs257","ISSN":"0305-7364","issue":"2","journalAbbreviation":"Ann Bot","language":"en","note":"number: 2\ncontainer-title: Annals of Botany","page":"151-172","source":"academic.oup.com","title":"Heathlands confronting global change: drivers of biodiversity loss from past to future scenarios","title-short":"Heathlands confronting global change","URL":"https://academic.oup.com/aob/article/111/2/151/254946","volume":"111","author":[{"family":"Fagúndez","given":"Jaime"}],"accessed":{"date-parts":[["2019",11,14]]},"issued":{"date-parts":[["2013",2,1]]}},"label":"page"}],"schema":"https://github.com/citation-style-language/schema/raw/master/csl-citation.json"} </w:instrText>
      </w:r>
      <w:r w:rsidR="008C1BF7" w:rsidRPr="5575EBFC">
        <w:rPr>
          <w:lang w:val="en-GB"/>
        </w:rPr>
        <w:fldChar w:fldCharType="separate"/>
      </w:r>
      <w:r w:rsidR="6B5F9B9E">
        <w:t>(Fagúndez, 2013)</w:t>
      </w:r>
      <w:r w:rsidR="008C1BF7" w:rsidRPr="5575EBFC">
        <w:rPr>
          <w:lang w:val="en-GB"/>
        </w:rPr>
        <w:fldChar w:fldCharType="end"/>
      </w:r>
      <w:r w:rsidRPr="5575EBFC">
        <w:rPr>
          <w:lang w:val="en-GB"/>
        </w:rPr>
        <w:t xml:space="preserve">. Urban and other strongly human-impacted areas may be especially susceptible to </w:t>
      </w:r>
      <w:r w:rsidR="74FC5E1D" w:rsidRPr="5575EBFC">
        <w:rPr>
          <w:lang w:val="en-GB"/>
        </w:rPr>
        <w:t>invasive alien species</w:t>
      </w:r>
      <w:r w:rsidR="7DCC7D0E" w:rsidRPr="5575EBFC">
        <w:rPr>
          <w:lang w:val="en-GB"/>
        </w:rPr>
        <w:t xml:space="preserve"> </w:t>
      </w:r>
      <w:r w:rsidR="333657E6" w:rsidRPr="5575EBFC">
        <w:rPr>
          <w:lang w:val="en-GB"/>
        </w:rPr>
        <w:t>facilitated by</w:t>
      </w:r>
      <w:r w:rsidRPr="5575EBFC">
        <w:rPr>
          <w:lang w:val="en-GB"/>
        </w:rPr>
        <w:t xml:space="preserve"> eutrophication </w:t>
      </w:r>
      <w:r w:rsidR="008C1BF7" w:rsidRPr="5575EBFC">
        <w:rPr>
          <w:lang w:val="en-GB"/>
        </w:rPr>
        <w:fldChar w:fldCharType="begin"/>
      </w:r>
      <w:r w:rsidR="00331A79">
        <w:rPr>
          <w:lang w:val="en-GB"/>
        </w:rPr>
        <w:instrText xml:space="preserve"> ADDIN ZOTERO_ITEM CSL_CITATION {"citationID":"KxtzS76Q","properties":{"formattedCitation":"(Ladd, 2016)","plainCitation":"(Ladd, 2016)","noteIndex":0},"citationItems":[{"id":33112,"uris":["http://zotero.org/groups/2352922/items/8QDMWM4L"],"itemData":{"id":33112,"type":"article-journal","abstract":"Urban ecosystems are carrying an extinction debt. Mitigating this debt will require the development of a predictive framework that improves our understanding of the factors causing decline of native biodiversity in urban areas. I argue that nitrogen is a common currency around which such a predictive framework could be built. I first summarise the evidence that shows the probable extent of nitrogen enrichment in urban ecosystems. I then review the body of empirical evidence that describes how nitrogen enrichment affects ecosystem process and function. By unifying these two bodies of empirical evidence, I generate a series of testable hypotheses that may allow for a better understanding of native biodiversity loss in urban areas.","container-title":"Land","DOI":"10.3390/land5030023","issue":"3","language":"en","license":"http://creativecommons.org/licenses/by/3.0/","note":"number: 3\ncontainer-title: Land","page":"23","source":"www.mdpi.com","title":"Nitrogen Pollution and the Meltdown of Urban Ecosystems","URL":"https://www.mdpi.com/2073-445X/5/3/23","volume":"5","author":[{"family":"Ladd","given":"Brenton"}],"accessed":{"date-parts":[["2019",11,14]]},"issued":{"date-parts":[["2016",9]]}},"label":"page"}],"schema":"https://github.com/citation-style-language/schema/raw/master/csl-citation.json"} </w:instrText>
      </w:r>
      <w:r w:rsidR="008C1BF7" w:rsidRPr="5575EBFC">
        <w:rPr>
          <w:lang w:val="en-GB"/>
        </w:rPr>
        <w:fldChar w:fldCharType="separate"/>
      </w:r>
      <w:r w:rsidR="6B5F9B9E">
        <w:t>(Ladd, 2016)</w:t>
      </w:r>
      <w:r w:rsidR="008C1BF7" w:rsidRPr="5575EBFC">
        <w:rPr>
          <w:lang w:val="en-GB"/>
        </w:rPr>
        <w:fldChar w:fldCharType="end"/>
      </w:r>
      <w:r w:rsidRPr="5575EBFC">
        <w:rPr>
          <w:lang w:val="en-GB"/>
        </w:rPr>
        <w:t xml:space="preserve">. </w:t>
      </w:r>
      <w:r w:rsidR="5339FF60" w:rsidRPr="5575EBFC">
        <w:rPr>
          <w:lang w:val="en-GB"/>
        </w:rPr>
        <w:t>Eutrophication may also i</w:t>
      </w:r>
      <w:r w:rsidR="2BA5F045" w:rsidRPr="5575EBFC">
        <w:rPr>
          <w:lang w:val="en-GB"/>
        </w:rPr>
        <w:t>n</w:t>
      </w:r>
      <w:r w:rsidR="5339FF60" w:rsidRPr="5575EBFC">
        <w:rPr>
          <w:lang w:val="en-GB"/>
        </w:rPr>
        <w:t xml:space="preserve">teract with </w:t>
      </w:r>
      <w:r w:rsidR="2BA5F045" w:rsidRPr="5575EBFC">
        <w:rPr>
          <w:lang w:val="en-GB"/>
        </w:rPr>
        <w:t xml:space="preserve">and feedback </w:t>
      </w:r>
      <w:r w:rsidR="14479241" w:rsidRPr="5575EBFC">
        <w:rPr>
          <w:lang w:val="en-GB"/>
        </w:rPr>
        <w:t xml:space="preserve">to </w:t>
      </w:r>
      <w:r w:rsidR="5339FF60" w:rsidRPr="5575EBFC">
        <w:rPr>
          <w:lang w:val="en-GB"/>
        </w:rPr>
        <w:t>other drivers</w:t>
      </w:r>
      <w:r w:rsidR="7B849666" w:rsidRPr="5575EBFC">
        <w:rPr>
          <w:lang w:val="en-GB"/>
        </w:rPr>
        <w:t xml:space="preserve"> in facilitating invasive alien species</w:t>
      </w:r>
      <w:r w:rsidR="5339FF60" w:rsidRPr="5575EBFC">
        <w:rPr>
          <w:lang w:val="en-GB"/>
        </w:rPr>
        <w:t xml:space="preserve">, </w:t>
      </w:r>
      <w:r w:rsidR="2BA5F045" w:rsidRPr="5575EBFC">
        <w:rPr>
          <w:lang w:val="en-GB"/>
        </w:rPr>
        <w:t>for example, s</w:t>
      </w:r>
      <w:r w:rsidR="32BFC9D3" w:rsidRPr="5575EBFC">
        <w:rPr>
          <w:lang w:val="en-GB"/>
        </w:rPr>
        <w:t xml:space="preserve">everal reviews </w:t>
      </w:r>
      <w:r w:rsidR="2BA5F045" w:rsidRPr="5575EBFC">
        <w:rPr>
          <w:lang w:val="en-GB"/>
        </w:rPr>
        <w:t>find</w:t>
      </w:r>
      <w:r w:rsidR="32BFC9D3" w:rsidRPr="5575EBFC">
        <w:rPr>
          <w:lang w:val="en-GB"/>
        </w:rPr>
        <w:t xml:space="preserve"> that across Mediterranean-type ecosystems, nitrogen deposition </w:t>
      </w:r>
      <w:r w:rsidR="6F1C90BD" w:rsidRPr="5575EBFC">
        <w:rPr>
          <w:lang w:val="en-GB"/>
        </w:rPr>
        <w:t>favours</w:t>
      </w:r>
      <w:r w:rsidR="32BFC9D3" w:rsidRPr="5575EBFC">
        <w:rPr>
          <w:lang w:val="en-GB"/>
        </w:rPr>
        <w:t xml:space="preserve"> alien grasses, which accumulate dead biomass in the dry season, increasing wildfire risk </w:t>
      </w:r>
      <w:r w:rsidR="008C1BF7" w:rsidRPr="5575EBFC">
        <w:rPr>
          <w:lang w:val="en-GB"/>
        </w:rPr>
        <w:fldChar w:fldCharType="begin"/>
      </w:r>
      <w:r w:rsidR="008C0CAB">
        <w:rPr>
          <w:lang w:val="en-GB"/>
        </w:rPr>
        <w:instrText xml:space="preserve"> ADDIN ZOTERO_ITEM CSL_CITATION {"citationID":"mUDqaWnC","properties":{"formattedCitation":"(Ochoa-Hueso et al., 2011; Ochoa-Hueso &amp; Manrique, 2010; Vasquez et al., 2008)","plainCitation":"(Ochoa-Hueso et al., 2011; Ochoa-Hueso &amp; Manrique, 2010; Vasquez et al., 2008)","dontUpdate":true,"noteIndex":0},"citationItems":[{"id":33068,"uris":["http://zotero.org/groups/2352922/items/U57P97I6"],"itemData":{"id":33068,"type":"article-journal","abstract":"We review the ecological consequences of N deposition on the five Mediterranean regions of the world. Seasonality of precipitation and fires regulate the N cycle in these water-limited ecosystems, where dry N deposition dominates. Nitrogen accumulation in soils and on plant surfaces results in peaks of availability with the first winter rains. Decoupling between N flushes and plant demand promotes losses via leaching and gas emissions. Differences in P availability may control the response to N inputs and susceptibility to exotic plant invasion. Invasive grasses accumulate as fuel during the dry season, altering fire regimes. California and the Mediterranean Basin are the most threatened by N deposition; however, there is limited evidence for N deposition impacts outside of California. Consequently, more research is needed to determine critical loads for each region and vegetation type based on the most sensitive elements, such as changes in lichen species composition and N cycling.","collection-title":"Nitrogen Deposition, Critical Loads and Biodiversity","container-title":"Environmental Pollution","DOI":"10.1016/j.envpol.2010.12.019","ISSN":"0269-7491","issue":"10","journalAbbreviation":"Environmental Pollution","language":"en","note":"number: 10\ncontainer-title: Environmental Pollution","page":"2265-2279","source":"ScienceDirect","title":"Nitrogen deposition effects on Mediterranean-type ecosystems: An ecological assessment","title-short":"Nitrogen deposition effects on Mediterranean-type ecosystems","URL":"http://www.sciencedirect.com/science/article/pii/S0269749110005853","volume":"159","author":[{"family":"Ochoa-Hueso","given":"Raúl"},{"family":"Allen","given":"Edith B."},{"family":"Branquinho","given":"Cristina"},{"family":"Cruz","given":"Cristina"},{"family":"Dias","given":"Teresa"},{"family":"Fenn","given":"Mark E."},{"family":"Manrique","given":"Esteban"},{"family":"Pérez-Corona","given":"M. Esther"},{"family":"Sheppard","given":"Lucy J."},{"family":"Stock","given":"William D."}],"accessed":{"date-parts":[["2019",11,14]]},"issued":{"date-parts":[["2011",10,1]]}},"label":"page"},{"id":18950,"uris":["http://zotero.org/groups/2352922/items/LZK3U7JP"],"itemData":{"id":18950,"type":"article-journal","abstract":"Anthropogenic nitrogen (N) inputs in terrestrial ecosystems are higher than those that occur naturally and have been related to global biodiversity loss and altered ecosystem functioning. However, its effects on Mediterranean-type ecosystems, where production is water-limited and N regulated, remain unclear. We conducted a green-house experiment where we evaluated the effects of four simulated scenarios of N pollution (0, 10, 20 and 50 kg N ha(-1) year(-1)) and two differential water supply regimes on the germination (experiment 1) and early plant establishment (experiment 2) of a seed bank from a semi-arid Mediterranean ecosystem of central Spain. Seed bank density was estimated as 62,374 +/- A 3,279 seeds m(-2). Approximately 99.5{%} of emerged seeds corresponded to only 14 species of a total of 52, the majority of which were the annual forb Sagina apetala. The responses for N treatments were species-specific, mainly positive or unimodal, with watering treatments having some interactive effects. N and water supply also affected total and specific productivity; the responses found for N treatments were mainly humpback-shaped and an increased water supply had additive effects on community establishment in terms of total plant biomass. This response was linked to forb responsiveness. Contrary to predictions, grass biomass did not change with N supply; however, grass to forb ratio was affected because of changes in the latter. Overall, these experiments suggest a critical load for plant biomass production and conclude that N and water availability and supply can modify germination and plant establishment. This should be taken into account when analysing the effects of global change on the dynamics of plant communities where annuals are dominant or vegetation must establish from seed following a natural or anthropogenic disturbance regime.","container-title":"Plant Ecology","DOI":"10.1007/s11258-010-9755-4","ISSN":"1385-0237","issue":"2","page":"263-273","title":"Nitrogen Fertilization and Water Supply Affect Germination and Plant Establishment of the Soil Seed Bank Present in a Semi-Arid Mediterranean Scrubland","volume":"210","author":[{"family":"Ochoa-Hueso","given":"Raúl"},{"family":"Manrique","given":"Esteban"}],"issued":{"date-parts":[["2010",10]]}},"label":"page"},{"id":32626,"uris":["http://zotero.org/groups/2352922/items/UKRFKTFE"],"itemData":{"id":32626,"type":"article-journal","abstract":"Invasion by annual grasses, such as cheatgrass, into the western U.S. sagebrush-steppe is a major concern of ecologists and resource managers. Maintaining or improving ecosystem health depends on our ability to protect or re-establish functioning, desired plant communities. In frequently disturbed ecosystems, nutrient status and the relative ability of species to acquire nutrients are important drivers of invasion, retrogression, and succession. Thus, these processes can potentially be modified to direct plant community dynamics toward a desired plant community. The overall objective of this review paper is to provide the ecological background of invasion by exotic plants and propose a concept to facilitate the use of soil nitrogen (N) management to achieve desired plant communities that resist invasion. Based on the literature, we propose a model that predicts the outcome of community dynamics based on N availability. The model predicts that at low N levels, native mid- and late-seral species are able to successfully out-compete early-seral and invasive annual species up to some optimal level. However, at some increased level of N, early-seral species and invasive annual grasses are able to grow and reproduce more successfully than native mid- and late-seral species. At the high end of N availability to plants, the community is most susceptible to invasion and ultimately, increased fire frequency. Soil N level can be managed by altering microbial communities, grazing, mowing, and using cover crops and bridge species during restoration. In these cases, management may be more sustainable since the underlying cause of invasion and succession is modified in the management process.Nomenclature: Cheatgrass, Bromus tectorum L. BROTE.","container-title":"Invasive Plant Science and Management","DOI":"10.1614/IPSM-07-059.1","ISSN":"1939-7291, 1939-747X","issue":"3","journalAbbreviation":"ipsm","note":"number: 3\ncontainer-title: Invasive Plant Science and Management","page":"304-314","source":"bioone.org","title":"Creating Invasion Resistant Soils via Nitrogen Management","URL":"https://bioone.org/journals/Invasive-Plant-Science-and-Management/volume-1/issue-3/IPSM-07-059.1/Creating-Invasion-Resistant-Soils-via-Nitrogen-Management/10.1614/IPSM-07-059.1.full","volume":"1","author":[{"family":"Vasquez","given":"Edward A."},{"family":"Sheley","given":"Roger"},{"family":"Svejcar","given":"Tony"}],"accessed":{"date-parts":[["2019",11,14]]},"issued":{"date-parts":[["2008",7]]}},"label":"page"}],"schema":"https://github.com/citation-style-language/schema/raw/master/csl-citation.json"} </w:instrText>
      </w:r>
      <w:r w:rsidR="008C1BF7" w:rsidRPr="5575EBFC">
        <w:rPr>
          <w:lang w:val="en-GB"/>
        </w:rPr>
        <w:fldChar w:fldCharType="separate"/>
      </w:r>
      <w:r w:rsidR="002535C9" w:rsidRPr="002535C9">
        <w:t>(Ochoa-Hueso et al., 2011; Ochoa-Hueso &amp; Manrique, 2010; Vasquez et al., 2008</w:t>
      </w:r>
      <w:r w:rsidR="008C1BF7" w:rsidRPr="5575EBFC">
        <w:rPr>
          <w:lang w:val="en-GB"/>
        </w:rPr>
        <w:fldChar w:fldCharType="end"/>
      </w:r>
      <w:r w:rsidR="04243F72" w:rsidRPr="5575EBFC">
        <w:rPr>
          <w:lang w:val="en-GB"/>
        </w:rPr>
        <w:t>;</w:t>
      </w:r>
      <w:r w:rsidR="14479241" w:rsidRPr="5575EBFC">
        <w:rPr>
          <w:lang w:val="en-GB"/>
        </w:rPr>
        <w:t xml:space="preserve"> </w:t>
      </w:r>
      <w:r w:rsidR="14479241" w:rsidRPr="5575EBFC">
        <w:rPr>
          <w:b/>
          <w:bCs/>
          <w:lang w:val="en-GB"/>
        </w:rPr>
        <w:t xml:space="preserve">section </w:t>
      </w:r>
      <w:r w:rsidR="52E899E8" w:rsidRPr="5575EBFC">
        <w:rPr>
          <w:b/>
          <w:bCs/>
          <w:lang w:val="en-GB"/>
        </w:rPr>
        <w:t>3.3.1.5.2</w:t>
      </w:r>
      <w:r w:rsidR="52E899E8" w:rsidRPr="5575EBFC">
        <w:rPr>
          <w:lang w:val="en-GB"/>
        </w:rPr>
        <w:t>)</w:t>
      </w:r>
      <w:r w:rsidR="32BFC9D3" w:rsidRPr="5575EBFC">
        <w:rPr>
          <w:lang w:val="en-GB"/>
        </w:rPr>
        <w:t xml:space="preserve">. </w:t>
      </w:r>
    </w:p>
    <w:p w14:paraId="7C00107A" w14:textId="6531363D" w:rsidR="008C1BF7" w:rsidRPr="00DA249F" w:rsidRDefault="3D04D128" w:rsidP="0090109B">
      <w:pPr>
        <w:rPr>
          <w:lang w:val="en-GB"/>
        </w:rPr>
      </w:pPr>
      <w:r w:rsidRPr="5575EBFC">
        <w:rPr>
          <w:lang w:val="en-GB"/>
        </w:rPr>
        <w:t xml:space="preserve">In aquatic systems, a global study of invasive alien chironomids </w:t>
      </w:r>
      <w:r w:rsidR="5AD708FF" w:rsidRPr="5575EBFC">
        <w:rPr>
          <w:lang w:val="en-GB"/>
        </w:rPr>
        <w:t>found</w:t>
      </w:r>
      <w:r w:rsidRPr="5575EBFC">
        <w:rPr>
          <w:lang w:val="en-GB"/>
        </w:rPr>
        <w:t xml:space="preserve"> that a high proportion of the reported cases were from eutrophic </w:t>
      </w:r>
      <w:r w:rsidR="68705CCA" w:rsidRPr="5575EBFC">
        <w:rPr>
          <w:lang w:val="en-GB"/>
        </w:rPr>
        <w:t>waters</w:t>
      </w:r>
      <w:r w:rsidRPr="5575EBFC">
        <w:rPr>
          <w:lang w:val="en-GB"/>
        </w:rPr>
        <w:t xml:space="preserve">, including </w:t>
      </w:r>
      <w:r w:rsidR="1D44B635" w:rsidRPr="5575EBFC">
        <w:rPr>
          <w:lang w:val="en-GB"/>
        </w:rPr>
        <w:t xml:space="preserve">anthropogenic </w:t>
      </w:r>
      <w:r w:rsidRPr="5575EBFC">
        <w:rPr>
          <w:lang w:val="en-GB"/>
        </w:rPr>
        <w:t xml:space="preserve">urban lakes and drainage channels and wastewater treatment plants </w:t>
      </w:r>
      <w:r w:rsidR="008C1BF7" w:rsidRPr="5575EBFC">
        <w:rPr>
          <w:lang w:val="en-GB"/>
        </w:rPr>
        <w:fldChar w:fldCharType="begin"/>
      </w:r>
      <w:r w:rsidR="00331A79">
        <w:rPr>
          <w:lang w:val="en-GB"/>
        </w:rPr>
        <w:instrText xml:space="preserve"> ADDIN ZOTERO_ITEM CSL_CITATION {"citationID":"tUoEjYpJ","properties":{"formattedCitation":"(Linders et al., 2020)","plainCitation":"(Linders et al., 2020)","noteIndex":0},"citationItems":[{"id":32906,"uris":["http://zotero.org/groups/2352922/items/RD7TIXAA"],"itemData":{"id":32906,"type":"article-journal","abstract":"Understanding the sustainability of social-ecological systems requires quantifying the relationships between ecosystem service supply and use. However, these relationships, and the influence of environmental change on supply and use, are poorly known. Here we apply a nested sampling design to analyse supply-use relationships in ten administrative units in each of two Eastern African regions undergoing invasion by an alien tree, Prosopis juliflora. Ecological data on supply of two key provisioning services, woody and herbaceous biomass, were collected in field plots and the use, defined here as income and livestock numbers, was assessed using household surveys. Supply and use were then up-scaled to the level of the smallest administrative unit. High Prosopis cover affected the supply of both services, with increased woody biomass but reduced herbaceous biomass. We found that supply of woody biomass was positively associated with income from wood sales. Prosopis invasion reduced income from livestock and slightly decreased cattle numbers over the past ten years. We propose that biophysical and socio-economic data collected at the same scale can help to determine supply-use relationships for ecosystem services and we discuss how integration of supply-use data can inform sustainable management of socialecological systems in the context of environmental change.","container-title":"Ecosystem Services","DOI":"10.1016/j.ecoser.2019.101055","ISSN":"18185487","journalAbbreviation":"AI","language":"en","page":"101055","source":"DOI.org (Crossref)","title":"The impact of invasive species on social-ecological systems: Relating supply and use of selected provisioning ecosystem services","URL":"https://citeseerx.ist.psu.edu/document?repid=rep1&amp;type=pdf&amp;doi=21d11fbd6dbe2e8d92affaa88cdde2b1999deba9","volume":"41","author":[{"family":"Linders","given":"Theo EW"},{"family":"Bekele","given":"Ketema"},{"family":"Schaffner","given":"Urs"},{"family":"Allan","given":"Eric"},{"family":"Alamirew","given":"Tena"},{"family":"Choge","given":"Simon K"},{"family":"Haji","given":"Jema"},{"family":"Muturi","given":"Gabriel"},{"family":"Mbaabu","given":"Purity Rima"},{"family":"Shiferaw","given":"Hailu"},{"family":"Eschen","given":"René"}],"accessed":{"date-parts":[["2021",8,10]]},"issued":{"date-parts":[["2020"]]}},"label":"page"}],"schema":"https://github.com/citation-style-language/schema/raw/master/csl-citation.json"} </w:instrText>
      </w:r>
      <w:r w:rsidR="008C1BF7" w:rsidRPr="5575EBFC">
        <w:rPr>
          <w:lang w:val="en-GB"/>
        </w:rPr>
        <w:fldChar w:fldCharType="separate"/>
      </w:r>
      <w:r w:rsidR="58218F9C">
        <w:t>(Linders et al., 2020)</w:t>
      </w:r>
      <w:r w:rsidR="008C1BF7" w:rsidRPr="5575EBFC">
        <w:rPr>
          <w:lang w:val="en-GB"/>
        </w:rPr>
        <w:fldChar w:fldCharType="end"/>
      </w:r>
      <w:r w:rsidRPr="5575EBFC">
        <w:rPr>
          <w:lang w:val="en-GB"/>
        </w:rPr>
        <w:t xml:space="preserve">. Eutrophication also </w:t>
      </w:r>
      <w:r w:rsidR="430C2BBA" w:rsidRPr="5575EBFC">
        <w:rPr>
          <w:lang w:val="en-GB"/>
        </w:rPr>
        <w:t>facilitates</w:t>
      </w:r>
      <w:r w:rsidRPr="5575EBFC">
        <w:rPr>
          <w:lang w:val="en-GB"/>
        </w:rPr>
        <w:t xml:space="preserve"> alien algae invasions in European lakes and streams </w:t>
      </w:r>
      <w:r w:rsidR="008C1BF7" w:rsidRPr="5575EBFC">
        <w:rPr>
          <w:lang w:val="en-GB"/>
        </w:rPr>
        <w:fldChar w:fldCharType="begin"/>
      </w:r>
      <w:r w:rsidR="00331A79">
        <w:rPr>
          <w:lang w:val="en-GB"/>
        </w:rPr>
        <w:instrText xml:space="preserve"> ADDIN ZOTERO_ITEM CSL_CITATION {"citationID":"P2mTO47A","properties":{"formattedCitation":"(Wilk-Wo\\uc0\\u378{}niak &amp; Najberek, 2013)","plainCitation":"(Wilk-Woźniak &amp; Najberek, 2013)","noteIndex":0},"citationItems":[{"id":32384,"uris":["http://zotero.org/groups/2352922/items/MCZKZINP"],"itemData":{"id":32384,"type":"article-journal","abstract":"Small algae are the trophic basis in both marine and freshwater ecosystems. The identification of tiny microorganisms and place of their origin is laborious but necessary. This paper consists of a literature review of 17 species of planktonic algae, with a discussion of taxonomic problems. We also clarify whether these 17 species are non-native, invasive or cryptogenic species, with an indication whether they had been recognised as ‘alien’ in Europe. According to our observations, areas colonized by small and alien algal species, were anthropogenically altered. There were: systems with heated waters (‘heated islands’), which imitated tropical conditions; highly eutrophic to hypereutrophic water ecosystems, easily colonized by alien species, fishponds with intense fish cultivation, where alien species of fish are/had been introduced, which carried also other alien organisms; and inland water ecosystems with high salinity or high conductivity e.g. pits inundated by mine waters, imitating sea or brackish conditions acting as hubs of migration of alien species adapted to brackish or saline waters. We have prepared a map showing areas inhabited by alien species, both of documented places and hypothetical ones, where we would expect alien species to occur.","container-title":"Biologia","DOI":"10.2478/s11756-013-0221-3","ISSN":"1336-9563","issue":"5","journalAbbreviation":"Biologia","language":"en","note":"number: 5\ncontainer-title: Biologia","page":"838-844","source":"Springer Link","title":"Towards clarifying the presence of alien algae in inland waters — can we predict places of their occurrence?","URL":"https://doi.org/10.2478/s11756-013-0221-3","volume":"68","author":[{"family":"Wilk-Woźniak","given":"Elżbieta"},{"family":"Najberek","given":"Kamil"}],"accessed":{"date-parts":[["2019",11,14]]},"issued":{"date-parts":[["2013",10,1]]}},"label":"page"}],"schema":"https://github.com/citation-style-language/schema/raw/master/csl-citation.json"} </w:instrText>
      </w:r>
      <w:r w:rsidR="008C1BF7" w:rsidRPr="5575EBFC">
        <w:rPr>
          <w:lang w:val="en-GB"/>
        </w:rPr>
        <w:fldChar w:fldCharType="separate"/>
      </w:r>
      <w:r w:rsidR="6B5F9B9E">
        <w:t>(Wilk-Woźniak &amp; Najberek, 2013)</w:t>
      </w:r>
      <w:r w:rsidR="008C1BF7" w:rsidRPr="5575EBFC">
        <w:rPr>
          <w:lang w:val="en-GB"/>
        </w:rPr>
        <w:fldChar w:fldCharType="end"/>
      </w:r>
      <w:r w:rsidRPr="5575EBFC">
        <w:rPr>
          <w:lang w:val="en-GB"/>
        </w:rPr>
        <w:t xml:space="preserve"> and aquatic plant invasions in China </w:t>
      </w:r>
      <w:r w:rsidR="008C1BF7" w:rsidRPr="5575EBFC">
        <w:rPr>
          <w:lang w:val="en-GB"/>
        </w:rPr>
        <w:fldChar w:fldCharType="begin"/>
      </w:r>
      <w:r w:rsidR="00331A79">
        <w:rPr>
          <w:lang w:val="en-GB"/>
        </w:rPr>
        <w:instrText xml:space="preserve"> ADDIN ZOTERO_ITEM CSL_CITATION {"citationID":"TO6Gzml9","properties":{"formattedCitation":"(Wu &amp; Ding, 2019)","plainCitation":"(Wu &amp; Ding, 2019)","noteIndex":0},"citationItems":[{"id":32763,"uris":["http://zotero.org/groups/2352922/items/GNF7SUJ5"],"itemData":{"id":32763,"type":"article-journal","abstract":"Many alien aquatic plants are deliberately introduced because they have economic, ornamental, or environmental values; however, they may also negatively affect aquatic ecosystems, by blocking rivers, restricting aquatic animals and plants by decreasing dissolved oxygen, and reducing native biodiversity. These positive and/or negative ecological effects may be enhanced under global change. Here, we examine the impacts of global change on aquatic alien plant introduction and/or invasions by reviewing their introduction pathways, distributions, and ecological effects. We focus on how climate change, aquatic environmental pollution, and China’s rapid economic growth in recent decades affect their uses and invasiveness in China. Among 55 species of alien aquatic plants in China, 10 species are invasive, such as Eichhornia crassipes, Alternanthera philoxeroides, and Pistia stratiotes. Most of these invaders were intentionally introduced and dispersed across the country but are now widely distributed and invasive. Under climate warming, many species have expanded their distributions to areas where it was originally too cold for their survival. Thus, these species are (and will be) considered to be beneﬁcial plants in aquaculture and for the restoration of aquatic ecosystems (for water puriﬁcation) across larger areas. However, for potential invasive species, climate warming is (and will be) increasing their invasion risk in more areas. In addition, nitrogen deposition and phosphorus inputs may also alter the status of some alien species. Furthermore, climate warming has shifted the interactions between alien aquatic plants and herbivores, thus impacting their future spreads. Under climate change, more precipitation in North China and more frequent ﬂooding in South China will increase the uncertainties of ecological effects of alien aquatic plants in these regions. We also predict that, under the continuing booming economy in China, more and more alien aquatic plants will be used for aquatic landscaping and water puriﬁcation. In conclusion, our study indicates that both human activities under rapid economic growth and climate change can either increase the potential uses of alien aquatic plants or make the aquatic invaders worse in China and other areas in the world. These ﬁndings are critical for future risk assessment of aquatic plant introduction and aquatic ecosystem restoration.","container-title":"Frontiers in Plant Science","DOI":"10.3389/fpls.2019.00787","ISSN":"1664-462X","journalAbbreviation":"Front. Plant Sci.","language":"en","page":"787","source":"DOI.org (Crossref)","title":"Global Change Sharpens the Double-Edged Sword Effect of Aquatic Alien Plants in China and Beyond","URL":"https://www.frontiersin.org/article/10.3389/fpls.2019.00787/full","volume":"10","author":[{"family":"Wu","given":"Hao"},{"family":"Ding","given":"Jianqing"}],"accessed":{"date-parts":[["2019",11,1]]},"issued":{"date-parts":[["2019",6,12]]}},"label":"page"}],"schema":"https://github.com/citation-style-language/schema/raw/master/csl-citation.json"} </w:instrText>
      </w:r>
      <w:r w:rsidR="008C1BF7" w:rsidRPr="5575EBFC">
        <w:rPr>
          <w:lang w:val="en-GB"/>
        </w:rPr>
        <w:fldChar w:fldCharType="separate"/>
      </w:r>
      <w:r w:rsidR="6B5F9B9E">
        <w:t>(Wu &amp; Ding, 2019)</w:t>
      </w:r>
      <w:r w:rsidR="008C1BF7" w:rsidRPr="5575EBFC">
        <w:rPr>
          <w:lang w:val="en-GB"/>
        </w:rPr>
        <w:fldChar w:fldCharType="end"/>
      </w:r>
      <w:r w:rsidRPr="5575EBFC">
        <w:rPr>
          <w:lang w:val="en-GB"/>
        </w:rPr>
        <w:t>. A meta</w:t>
      </w:r>
      <w:r w:rsidR="6D87E23F" w:rsidRPr="5575EBFC">
        <w:rPr>
          <w:lang w:val="en-GB"/>
        </w:rPr>
        <w:t>-</w:t>
      </w:r>
      <w:r w:rsidRPr="5575EBFC">
        <w:rPr>
          <w:lang w:val="en-GB"/>
        </w:rPr>
        <w:t xml:space="preserve">analysis of drivers </w:t>
      </w:r>
      <w:r w:rsidR="5B45D1A9" w:rsidRPr="5575EBFC">
        <w:rPr>
          <w:lang w:val="en-GB"/>
        </w:rPr>
        <w:t xml:space="preserve">of change </w:t>
      </w:r>
      <w:r w:rsidRPr="5575EBFC">
        <w:rPr>
          <w:lang w:val="en-GB"/>
        </w:rPr>
        <w:t xml:space="preserve">in freshwater systems revealed surprisingly few studies that explicitly consider alien species </w:t>
      </w:r>
      <w:r w:rsidR="008C1BF7" w:rsidRPr="5575EBFC">
        <w:rPr>
          <w:lang w:val="en-GB"/>
        </w:rPr>
        <w:fldChar w:fldCharType="begin"/>
      </w:r>
      <w:r w:rsidR="00331A79">
        <w:rPr>
          <w:lang w:val="en-GB"/>
        </w:rPr>
        <w:instrText xml:space="preserve"> ADDIN ZOTERO_ITEM CSL_CITATION {"citationID":"I9voqhfm","properties":{"formattedCitation":"(Alahuhta et al., 2019)","plainCitation":"(Alahuhta et al., 2019)","noteIndex":0},"citationItems":[{"id":32404,"uris":["http://zotero.org/groups/2352922/items/EVV3PBC5"],"itemData":{"id":32404,"type":"article-journal","abstract":"In the era of the Anthropocene, environmental change is accelerating biodiversity loss across ecosystems on Earth, among which freshwaters are likely the most threatened. Different biodiversity facets in the freshwater realm suffer from various environmental changes that jeopardize the ecosystem functions and services important for humankind. In this work we examine how environmental changes...","container-title":"Environmental Reviews","DOI":"https://doi.org/10.1139/er-2018-0071","ISSN":"1181-8700","issue":"2","language":"English","note":"number: 2\ncontainer-title: Environmental Reviews","page":"263-273","source":"www.cabdirect.org","title":"Understanding environmental change through the lens of trait-based, functional, and phylogenetic biodiversity in freshwater ecosystems.","volume":"27","author":[{"family":"Alahuhta","given":"J."},{"family":"Erős","given":"T."},{"family":"Kärnä","given":"O. M."},{"family":"Soininen","given":"J."},{"family":"JianJun","given":"Wang"},{"family":"Heino","given":"J."}],"accessed":{"date-parts":[["2019",11,14]]},"issued":{"date-parts":[["2019"]]}},"label":"page"}],"schema":"https://github.com/citation-style-language/schema/raw/master/csl-citation.json"} </w:instrText>
      </w:r>
      <w:r w:rsidR="008C1BF7" w:rsidRPr="5575EBFC">
        <w:rPr>
          <w:lang w:val="en-GB"/>
        </w:rPr>
        <w:fldChar w:fldCharType="separate"/>
      </w:r>
      <w:r w:rsidR="6B5F9B9E">
        <w:t>(Alahuhta et al., 2019)</w:t>
      </w:r>
      <w:r w:rsidR="008C1BF7" w:rsidRPr="5575EBFC">
        <w:rPr>
          <w:lang w:val="en-GB"/>
        </w:rPr>
        <w:fldChar w:fldCharType="end"/>
      </w:r>
      <w:r w:rsidRPr="5575EBFC">
        <w:rPr>
          <w:lang w:val="en-GB"/>
        </w:rPr>
        <w:t>. A review of over 400 marine algal invasions f</w:t>
      </w:r>
      <w:r w:rsidR="18870AE9" w:rsidRPr="5575EBFC">
        <w:rPr>
          <w:lang w:val="en-GB"/>
        </w:rPr>
        <w:t>ou</w:t>
      </w:r>
      <w:r w:rsidRPr="5575EBFC">
        <w:rPr>
          <w:lang w:val="en-GB"/>
        </w:rPr>
        <w:t xml:space="preserve">nd that most </w:t>
      </w:r>
      <w:r w:rsidR="702E968C" w:rsidRPr="5575EBFC">
        <w:rPr>
          <w:lang w:val="en-GB"/>
        </w:rPr>
        <w:t>invasive alien species were encountered</w:t>
      </w:r>
      <w:r w:rsidRPr="5575EBFC">
        <w:rPr>
          <w:lang w:val="en-GB"/>
        </w:rPr>
        <w:t xml:space="preserve"> in eutrophicated waters, but also point</w:t>
      </w:r>
      <w:r w:rsidR="2782A3AD" w:rsidRPr="5575EBFC">
        <w:rPr>
          <w:lang w:val="en-GB"/>
        </w:rPr>
        <w:t>s</w:t>
      </w:r>
      <w:r w:rsidRPr="5575EBFC">
        <w:rPr>
          <w:lang w:val="en-GB"/>
        </w:rPr>
        <w:t xml:space="preserve"> out that </w:t>
      </w:r>
      <w:r w:rsidR="6C856623" w:rsidRPr="5575EBFC">
        <w:rPr>
          <w:lang w:val="en-GB"/>
        </w:rPr>
        <w:t xml:space="preserve">several </w:t>
      </w:r>
      <w:r w:rsidRPr="5575EBFC">
        <w:rPr>
          <w:lang w:val="en-GB"/>
        </w:rPr>
        <w:t>vectors and disturbances correlate with eutrophication, and that there is a general lack of experimental studies</w:t>
      </w:r>
      <w:r w:rsidR="0F37C165" w:rsidRPr="5575EBFC">
        <w:rPr>
          <w:lang w:val="en-GB"/>
        </w:rPr>
        <w:t xml:space="preserve"> so it is difficult to establish causality </w:t>
      </w:r>
      <w:r w:rsidR="008C1BF7" w:rsidRPr="5575EBFC">
        <w:rPr>
          <w:lang w:val="en-GB"/>
        </w:rPr>
        <w:fldChar w:fldCharType="begin"/>
      </w:r>
      <w:r w:rsidR="00331A79">
        <w:rPr>
          <w:lang w:val="en-GB"/>
        </w:rPr>
        <w:instrText xml:space="preserve"> ADDIN ZOTERO_ITEM CSL_CITATION {"citationID":"H0Vu25Oq","properties":{"formattedCitation":"(S. L. Williams &amp; Smith, 2007)","plainCitation":"(S. L. Williams &amp; Smith, 2007)","noteIndex":0},"citationItems":[{"id":32320,"uris":["http://zotero.org/groups/2352922/items/JTEWD4KM"],"itemData":{"id":32320,"type":"article-journal","container-title":"Annual Review of Ecology, Evolution, and Systematics","DOI":"10.1146/annurev.ecolsys.38.091206.095543","ISSN":"1543-592X, 1545-2069","issue":"1","journalAbbreviation":"Annu. Rev. Ecol. Evol. Syst.","language":"en","page":"327-359","source":"DOI.org (Crossref)","title":"A global review of the distribution, taxonomy, and impacts of introduced seaweeds","URL":"http://www.annualreviews.org/doi/10.1146/annurev.ecolsys.38.091206.095543","volume":"38","author":[{"family":"Williams","given":"Susan L."},{"family":"Smith","given":"Jennifer E."}],"accessed":{"date-parts":[["2021",7,8]]},"issued":{"date-parts":[["2007",12]]}},"label":"page"}],"schema":"https://github.com/citation-style-language/schema/raw/master/csl-citation.json"} </w:instrText>
      </w:r>
      <w:r w:rsidR="008C1BF7" w:rsidRPr="5575EBFC">
        <w:rPr>
          <w:lang w:val="en-GB"/>
        </w:rPr>
        <w:fldChar w:fldCharType="separate"/>
      </w:r>
      <w:r w:rsidR="6B5F9B9E">
        <w:t>(S. L. Williams &amp; Smith, 2007)</w:t>
      </w:r>
      <w:r w:rsidR="008C1BF7" w:rsidRPr="5575EBFC">
        <w:rPr>
          <w:lang w:val="en-GB"/>
        </w:rPr>
        <w:fldChar w:fldCharType="end"/>
      </w:r>
      <w:r w:rsidRPr="5575EBFC">
        <w:rPr>
          <w:lang w:val="en-GB"/>
        </w:rPr>
        <w:t xml:space="preserve">. A well-studied </w:t>
      </w:r>
      <w:r w:rsidR="57AD41B4" w:rsidRPr="5575EBFC">
        <w:rPr>
          <w:lang w:val="en-GB"/>
        </w:rPr>
        <w:t>biological</w:t>
      </w:r>
      <w:r w:rsidRPr="5575EBFC">
        <w:rPr>
          <w:lang w:val="en-GB"/>
        </w:rPr>
        <w:t xml:space="preserve"> invasion </w:t>
      </w:r>
      <w:r w:rsidR="781D5A21" w:rsidRPr="5575EBFC">
        <w:rPr>
          <w:lang w:val="en-GB"/>
        </w:rPr>
        <w:t>by</w:t>
      </w:r>
      <w:r w:rsidRPr="5575EBFC">
        <w:rPr>
          <w:lang w:val="en-GB"/>
        </w:rPr>
        <w:t xml:space="preserve"> the potentially</w:t>
      </w:r>
      <w:r w:rsidR="213BA9A6" w:rsidRPr="5575EBFC">
        <w:rPr>
          <w:lang w:val="en-GB"/>
        </w:rPr>
        <w:t xml:space="preserve"> toxic dinoflagellate</w:t>
      </w:r>
      <w:r w:rsidRPr="5575EBFC">
        <w:rPr>
          <w:lang w:val="en-GB"/>
        </w:rPr>
        <w:t xml:space="preserve"> </w:t>
      </w:r>
      <w:r w:rsidRPr="5575EBFC">
        <w:rPr>
          <w:i/>
          <w:iCs/>
          <w:lang w:val="en-GB"/>
        </w:rPr>
        <w:t>P</w:t>
      </w:r>
      <w:r w:rsidR="6E44BEEB" w:rsidRPr="5575EBFC">
        <w:rPr>
          <w:i/>
          <w:iCs/>
          <w:lang w:val="en-GB"/>
        </w:rPr>
        <w:t>r</w:t>
      </w:r>
      <w:r w:rsidRPr="5575EBFC">
        <w:rPr>
          <w:i/>
          <w:iCs/>
          <w:lang w:val="en-GB"/>
        </w:rPr>
        <w:t>orocentrum minimum</w:t>
      </w:r>
      <w:r w:rsidR="4EAF7C2C" w:rsidRPr="5575EBFC">
        <w:rPr>
          <w:lang w:val="en-GB"/>
        </w:rPr>
        <w:t xml:space="preserve"> </w:t>
      </w:r>
      <w:r w:rsidRPr="5575EBFC">
        <w:rPr>
          <w:lang w:val="en-GB"/>
        </w:rPr>
        <w:t xml:space="preserve">in the Baltic Sea was empirically linked to eutrophication </w:t>
      </w:r>
      <w:r w:rsidR="008C1BF7" w:rsidRPr="5575EBFC">
        <w:rPr>
          <w:lang w:val="en-GB"/>
        </w:rPr>
        <w:fldChar w:fldCharType="begin"/>
      </w:r>
      <w:r w:rsidR="00331A79">
        <w:rPr>
          <w:lang w:val="en-GB"/>
        </w:rPr>
        <w:instrText xml:space="preserve"> ADDIN ZOTERO_ITEM CSL_CITATION {"citationID":"xNFsDNmb","properties":{"formattedCitation":"(Hajdu et al., 2005)","plainCitation":"(Hajdu et al., 2005)","noteIndex":0},"citationItems":[{"id":9755,"uris":["http://zotero.org/groups/2352922/items/59S2HCMR"],"itemData":{"id":9755,"type":"article-journal","abstract":"The potentially toxic dinoflagellate Prorocentrum minimum (Pavillard) Schiller has successfully established in the Baltic Sea in the last two decades. A review of the invasion history is presented as well as new data on the spatial and inter-annual variability of this species and its relation to salinity, temperature, and nutrient concentrations. A short literature review of the morphological characters of the Baltic P. minimum is also included. From 1993 to 2002, P. minimum was a regular component of the summer and autumn plankton flora of the Baltic Sea proper and the Gulf of Finland. Its abundance varied considerably inter-annually and did not show any clear trends during the period. Abundance of P. minimum was significantly higher in the nutrient-enriched Bay of Mecklenburg (German coast) and the southern Baltic proper than in the central and northern Baltic proper and the Gulf of Finland, where its abundance was mostly sparse. In coastal waters P. minimum occasionally reached densities of several million cells per litre and dominated phytoplankton biomass (&gt;90%). Abundance of the Baltic P. minimum was generally not related to salinity or temperature. It could be a dominant species at both high and low salinity (over 15 and 4.8 PSU), and its temperature range was broad (from 2.7 to 26.4°C). However, dense populations usually occurred from July to October at temperatures above 10°C. Further, there appears to be a positive correlation between the success of P. minimum in the Baltic Sea and high concentrations of total phosphorus and nitrogen. This tolerant and morphologically variable dinoflagellate seems to be a morphospecies without subtaxa, which can expand its range in the Baltic Sea, especially in nutrient-rich coastal waters.","collection-title":"ECOLOGY AND PHYSIOLOGY OF PROROCENTRUM MINIMUM","container-title":"Harmful Algae","DOI":"10.1016/j.hal.2004.08.004","ISSN":"1568-9883","issue":"3","journalAbbreviation":"Harmful Algae","language":"en","note":"number: 3\ncontainer-title: Harmful Algae","page":"471-480","source":"ScienceDirect","title":"&lt;i&gt;Prorocentrum minimum&lt;/i&gt; (Dinophyceae) in the Baltic Sea: morphology, occurrence—a review","title-short":"Prorocentrum minimum (Dinophyceae) in the Baltic Sea","URL":"http://www.sciencedirect.com/science/article/pii/S1568988304000800","volume":"4","author":[{"family":"Hajdu","given":"Susanna"},{"family":"Pertola","given":"Sari"},{"family":"Kuosa","given":"Harri"}],"accessed":{"date-parts":[["2019",11,14]]},"issued":{"date-parts":[["2005",3,1]]}},"label":"page"}],"schema":"https://github.com/citation-style-language/schema/raw/master/csl-citation.json"} </w:instrText>
      </w:r>
      <w:r w:rsidR="008C1BF7" w:rsidRPr="5575EBFC">
        <w:rPr>
          <w:lang w:val="en-GB"/>
        </w:rPr>
        <w:fldChar w:fldCharType="separate"/>
      </w:r>
      <w:r w:rsidR="6B5F9B9E">
        <w:t>(Hajdu et al., 2005)</w:t>
      </w:r>
      <w:r w:rsidR="008C1BF7" w:rsidRPr="5575EBFC">
        <w:rPr>
          <w:lang w:val="en-GB"/>
        </w:rPr>
        <w:fldChar w:fldCharType="end"/>
      </w:r>
      <w:r w:rsidRPr="5575EBFC">
        <w:rPr>
          <w:lang w:val="en-GB"/>
        </w:rPr>
        <w:t xml:space="preserve">. </w:t>
      </w:r>
      <w:r w:rsidR="5A76C66C" w:rsidRPr="5575EBFC">
        <w:rPr>
          <w:lang w:val="en-GB"/>
        </w:rPr>
        <w:t>E</w:t>
      </w:r>
      <w:r w:rsidR="3C964B27" w:rsidRPr="5575EBFC">
        <w:rPr>
          <w:lang w:val="en-GB"/>
        </w:rPr>
        <w:t xml:space="preserve">utrophication caused by aquaculture can be particularly conducive to macroalgal invasion in former seagrass beds </w:t>
      </w:r>
      <w:r w:rsidR="008C1BF7" w:rsidRPr="5575EBFC">
        <w:rPr>
          <w:lang w:val="en-GB"/>
        </w:rPr>
        <w:fldChar w:fldCharType="begin"/>
      </w:r>
      <w:r w:rsidR="00331A79">
        <w:rPr>
          <w:lang w:val="en-GB"/>
        </w:rPr>
        <w:instrText xml:space="preserve"> ADDIN ZOTERO_ITEM CSL_CITATION {"citationID":"TUhX30iS","properties":{"formattedCitation":"(Boudouresque et al., 2021; Gennaro &amp; Piazzi, 2011)","plainCitation":"(Boudouresque et al., 2021; Gennaro &amp; Piazzi, 2011)","noteIndex":0},"citationItems":[{"id":27211,"uris":["http://zotero.org/groups/2352922/items/JXKUGHID"],"itemData":{"id":27211,"type":"article-journal","abstract":"Some species of seagrasses (e.g., Zostera marina and Posidonia oceanica) have declined in the Mediterranean, at least locally. Others are progressing, helped by sea warming, such as Cymodocea nodosa and the non-native Halophila stipulacea. The decline of one seagrass can favor another seagrass. All in all, the decline of seagrasses could be less extensive and less general than claimed by some authors. Natural recolonization (cuttings and seedlings) has been more rapid and more widespread than was thought in the 20th century; however, it is sometimes insufficient, which justifies transplanting operations. Many techniques have been proposed to restore Mediterranean seagrass meadows. However, setting aside the short-term failure or half-success of experimental operations, long-term monitoring has usually been lacking, suggesting that possible failures were considered not worthy of a scientific paper. Many transplanting operations (e.g., P. oceanica) have been carried out at sites where the species had never previously been present. Replacing the natural ecosystem (e.g., sandy bottoms, sublittoral reefs) with P. oceanica is obviously inappropriate in most cases. This presupposes ignorance of the fact that the diversity of ecosystems is one of the bases of the biodiversity concept. In order to prevent the possibility of seagrass transplanting from being misused as a pretext for further destruction, a guide for the proper conduct of transplanting is proposed.","container-title":"Water","DOI":"10.3390/w13081034","ISSN":"2073-4441","issue":"8","journalAbbreviation":"Water","language":"en","page":"1034","source":"DOI.org (Crossref)","title":"Restoration of Seagrass Meadows in the Mediterranean Sea: A Critical Review of Effectiveness and Ethical Issues","title-short":"Restoration of Seagrass Meadows in the Mediterranean Sea","URL":"https://www.mdpi.com/2073-4441/13/8/1034","volume":"13","author":[{"family":"Boudouresque","given":"Charles-François"},{"family":"Blanfuné","given":"Aurélie"},{"family":"Pergent","given":"Gérard"},{"family":"Thibaut","given":"Thierry"}],"accessed":{"date-parts":[["2021",6,21]]},"issued":{"date-parts":[["2021",4,9]]}},"label":"page"},{"id":9765,"uris":["http://zotero.org/groups/2352922/items/DI8YVXLS"],"itemData":{"id":9765,"type":"article-journal","container-title":"Marine Ecology Progress Series","DOI":"10.3354/meps09053","ISSN":"0171-8630, 1616-1599","journalAbbreviation":"Mar. Ecol. Prog. Ser.","language":"en","page":"59-70","source":"DOI.org (Crossref)","title":"Synergism between two anthropic impacts: &lt;i&gt;Caulerpa racemosa&lt;/i&gt; var. &lt;i&gt;cylindracea&lt;/i&gt; invasion and seawater nutrient enrichment","title-short":"Synergism between two anthropic impacts","URL":"http://www.int-res.com/abstracts/meps/v427/p59-70/","volume":"427","author":[{"family":"Gennaro","given":"P"},{"family":"Piazzi","given":"L"}],"accessed":{"date-parts":[["2021",6,21]]},"issued":{"date-parts":[["2011",4,12]]}},"label":"page"}],"schema":"https://github.com/citation-style-language/schema/raw/master/csl-citation.json"} </w:instrText>
      </w:r>
      <w:r w:rsidR="008C1BF7" w:rsidRPr="5575EBFC">
        <w:rPr>
          <w:lang w:val="en-GB"/>
        </w:rPr>
        <w:fldChar w:fldCharType="separate"/>
      </w:r>
      <w:r w:rsidR="6B5F9B9E">
        <w:t>(Boudouresque et al., 2021; Gennaro &amp; Piazzi, 2011)</w:t>
      </w:r>
      <w:r w:rsidR="008C1BF7" w:rsidRPr="5575EBFC">
        <w:rPr>
          <w:lang w:val="en-GB"/>
        </w:rPr>
        <w:fldChar w:fldCharType="end"/>
      </w:r>
      <w:r w:rsidR="3C964B27" w:rsidRPr="5575EBFC">
        <w:rPr>
          <w:lang w:val="en-GB"/>
        </w:rPr>
        <w:t>. Extreme eutrophication in aquatic systems can lead to hypoxia. Upon recovery, empty niche</w:t>
      </w:r>
      <w:r w:rsidR="31E4CC22" w:rsidRPr="5575EBFC">
        <w:rPr>
          <w:lang w:val="en-GB"/>
        </w:rPr>
        <w:t>s</w:t>
      </w:r>
      <w:r w:rsidR="3C964B27" w:rsidRPr="5575EBFC">
        <w:rPr>
          <w:lang w:val="en-GB"/>
        </w:rPr>
        <w:t xml:space="preserve"> may be filled </w:t>
      </w:r>
      <w:r w:rsidR="64650417" w:rsidRPr="5575EBFC">
        <w:rPr>
          <w:lang w:val="en-GB"/>
        </w:rPr>
        <w:t>with</w:t>
      </w:r>
      <w:r w:rsidR="3C964B27" w:rsidRPr="5575EBFC">
        <w:rPr>
          <w:lang w:val="en-GB"/>
        </w:rPr>
        <w:t xml:space="preserve"> opportunistic </w:t>
      </w:r>
      <w:r w:rsidR="79CC112D" w:rsidRPr="5575EBFC">
        <w:rPr>
          <w:lang w:val="en-GB"/>
        </w:rPr>
        <w:t>invasive alien species</w:t>
      </w:r>
      <w:r w:rsidR="3C964B27" w:rsidRPr="5575EBFC">
        <w:rPr>
          <w:lang w:val="en-GB"/>
        </w:rPr>
        <w:t xml:space="preserve">, as shown for an invasive </w:t>
      </w:r>
      <w:r w:rsidR="1F632CBE" w:rsidRPr="5575EBFC">
        <w:rPr>
          <w:lang w:val="en-GB"/>
        </w:rPr>
        <w:t xml:space="preserve">alien </w:t>
      </w:r>
      <w:r w:rsidR="3C964B27" w:rsidRPr="5575EBFC">
        <w:rPr>
          <w:lang w:val="en-GB"/>
        </w:rPr>
        <w:lastRenderedPageBreak/>
        <w:t xml:space="preserve">nematode which dominates areas of the </w:t>
      </w:r>
      <w:r w:rsidR="00BB9F3D" w:rsidRPr="5575EBFC">
        <w:rPr>
          <w:lang w:val="en-GB"/>
        </w:rPr>
        <w:t>recovering</w:t>
      </w:r>
      <w:r w:rsidR="3C964B27" w:rsidRPr="5575EBFC">
        <w:rPr>
          <w:lang w:val="en-GB"/>
        </w:rPr>
        <w:t xml:space="preserve"> Ems estuary on the border between the Netherlands and </w:t>
      </w:r>
      <w:r w:rsidR="70058AA1" w:rsidRPr="5575EBFC">
        <w:rPr>
          <w:lang w:val="en-GB"/>
        </w:rPr>
        <w:t xml:space="preserve">Germany </w:t>
      </w:r>
      <w:r w:rsidR="008C1BF7" w:rsidRPr="5575EBFC">
        <w:rPr>
          <w:lang w:val="en-GB"/>
        </w:rPr>
        <w:fldChar w:fldCharType="begin"/>
      </w:r>
      <w:r w:rsidR="00331A79">
        <w:rPr>
          <w:lang w:val="en-GB"/>
        </w:rPr>
        <w:instrText xml:space="preserve"> ADDIN ZOTERO_ITEM CSL_CITATION {"citationID":"j3p0l9ZT","properties":{"formattedCitation":"(Essink, 2003)","plainCitation":"(Essink, 2003)","noteIndex":0},"citationItems":[{"id":9783,"uris":["http://zotero.org/groups/2352922/items/WSUJ4U9V"],"itemData":{"id":9783,"type":"article-journal","container-title":"Aquatic Ecology","DOI":"10.1023/A:1022139600926","ISSN":"13862588","issue":"1","page":"65-76","source":"DOI.org (Crossref)","title":"Response of an estuarine ecosystem to reduced organic waste discharge","URL":"http://link.springer.com/10.1023/A:1022139600926","volume":"37","author":[{"family":"Essink","given":"Karel"}],"accessed":{"date-parts":[["2021",6,21]]},"issued":{"date-parts":[["2003"]]}},"label":"page"}],"schema":"https://github.com/citation-style-language/schema/raw/master/csl-citation.json"} </w:instrText>
      </w:r>
      <w:r w:rsidR="008C1BF7" w:rsidRPr="5575EBFC">
        <w:rPr>
          <w:lang w:val="en-GB"/>
        </w:rPr>
        <w:fldChar w:fldCharType="separate"/>
      </w:r>
      <w:r w:rsidR="6B5F9B9E">
        <w:t>(Essink, 2003)</w:t>
      </w:r>
      <w:r w:rsidR="008C1BF7" w:rsidRPr="5575EBFC">
        <w:rPr>
          <w:lang w:val="en-GB"/>
        </w:rPr>
        <w:fldChar w:fldCharType="end"/>
      </w:r>
      <w:r w:rsidR="3C964B27" w:rsidRPr="5575EBFC">
        <w:rPr>
          <w:lang w:val="en-GB"/>
        </w:rPr>
        <w:t xml:space="preserve">. </w:t>
      </w:r>
    </w:p>
    <w:p w14:paraId="29850066" w14:textId="77777777" w:rsidR="003D53D6" w:rsidRPr="00DA249F" w:rsidRDefault="007973A1" w:rsidP="0090109B">
      <w:pPr>
        <w:rPr>
          <w:lang w:val="en-GB"/>
        </w:rPr>
      </w:pPr>
      <w:r w:rsidRPr="00DA249F">
        <w:rPr>
          <w:lang w:val="en-GB"/>
        </w:rPr>
        <w:t xml:space="preserve">Studies of eutrophication as a driver affecting invasive alien species are most often focused on plants and algae as they are autotrophic and take macronutrients up directly from the environment. Such studies focus on the establishment and spread phase of </w:t>
      </w:r>
      <w:r w:rsidR="00591097" w:rsidRPr="00DA249F">
        <w:rPr>
          <w:lang w:val="en-GB"/>
        </w:rPr>
        <w:t xml:space="preserve">the biological </w:t>
      </w:r>
      <w:r w:rsidRPr="00DA249F">
        <w:rPr>
          <w:lang w:val="en-GB"/>
        </w:rPr>
        <w:t>invasion</w:t>
      </w:r>
      <w:r w:rsidR="00591097" w:rsidRPr="00DA249F">
        <w:rPr>
          <w:lang w:val="en-GB"/>
        </w:rPr>
        <w:t xml:space="preserve"> process</w:t>
      </w:r>
      <w:r w:rsidR="00B64657" w:rsidRPr="00DA249F">
        <w:rPr>
          <w:lang w:val="en-GB"/>
        </w:rPr>
        <w:t xml:space="preserve"> and most focus on </w:t>
      </w:r>
      <w:r w:rsidR="00566340" w:rsidRPr="00DA249F">
        <w:rPr>
          <w:lang w:val="en-GB"/>
        </w:rPr>
        <w:t xml:space="preserve">alien species of </w:t>
      </w:r>
      <w:r w:rsidRPr="00DA249F">
        <w:rPr>
          <w:lang w:val="en-GB"/>
        </w:rPr>
        <w:t>vascular plant</w:t>
      </w:r>
      <w:r w:rsidR="004310AC">
        <w:rPr>
          <w:lang w:val="en-GB"/>
        </w:rPr>
        <w:t>s</w:t>
      </w:r>
      <w:r w:rsidRPr="00DA249F">
        <w:rPr>
          <w:lang w:val="en-GB"/>
        </w:rPr>
        <w:t xml:space="preserve"> in Europe and North America (the geographic bias in these studies largely reflecting overall bias in the location of scientific studies). </w:t>
      </w:r>
      <w:r w:rsidR="008C1BF7" w:rsidRPr="00DA249F">
        <w:rPr>
          <w:lang w:val="en-GB"/>
        </w:rPr>
        <w:t xml:space="preserve">The </w:t>
      </w:r>
      <w:r w:rsidR="00CB7975" w:rsidRPr="00DA249F">
        <w:rPr>
          <w:lang w:val="en-GB"/>
        </w:rPr>
        <w:t xml:space="preserve">available </w:t>
      </w:r>
      <w:r w:rsidRPr="00DA249F">
        <w:rPr>
          <w:lang w:val="en-GB"/>
        </w:rPr>
        <w:t xml:space="preserve">evidence suggests that </w:t>
      </w:r>
      <w:r w:rsidR="008C1BF7" w:rsidRPr="00DA249F">
        <w:rPr>
          <w:lang w:val="en-GB"/>
        </w:rPr>
        <w:t xml:space="preserve">the role of </w:t>
      </w:r>
      <w:r w:rsidR="2EAED207" w:rsidRPr="00DA249F">
        <w:rPr>
          <w:lang w:val="en-GB"/>
        </w:rPr>
        <w:t>eutrophication</w:t>
      </w:r>
      <w:r w:rsidR="008C1BF7" w:rsidRPr="00DA249F">
        <w:rPr>
          <w:lang w:val="en-GB"/>
        </w:rPr>
        <w:t xml:space="preserve"> in driving </w:t>
      </w:r>
      <w:r w:rsidR="00E81F8C" w:rsidRPr="00DA249F">
        <w:rPr>
          <w:lang w:val="en-GB"/>
        </w:rPr>
        <w:t xml:space="preserve">biological </w:t>
      </w:r>
      <w:r w:rsidR="008C1BF7" w:rsidRPr="00DA249F">
        <w:rPr>
          <w:lang w:val="en-GB"/>
        </w:rPr>
        <w:t xml:space="preserve">invasions </w:t>
      </w:r>
      <w:r w:rsidRPr="00DA249F">
        <w:rPr>
          <w:lang w:val="en-GB"/>
        </w:rPr>
        <w:t>is</w:t>
      </w:r>
      <w:r w:rsidR="008C1BF7" w:rsidRPr="00DA249F">
        <w:rPr>
          <w:lang w:val="en-GB"/>
        </w:rPr>
        <w:t xml:space="preserve"> often variable, and both species- and system-specific. On one hand, </w:t>
      </w:r>
      <w:r w:rsidR="00E81F8C" w:rsidRPr="00DA249F">
        <w:rPr>
          <w:lang w:val="en-GB"/>
        </w:rPr>
        <w:t xml:space="preserve">alien </w:t>
      </w:r>
      <w:r w:rsidR="008C1BF7" w:rsidRPr="00DA249F">
        <w:rPr>
          <w:lang w:val="en-GB"/>
        </w:rPr>
        <w:t xml:space="preserve">species that respond positively to nitrogen availability in their </w:t>
      </w:r>
      <w:r w:rsidR="00930142" w:rsidRPr="00DA249F">
        <w:rPr>
          <w:lang w:val="en-GB"/>
        </w:rPr>
        <w:t>native</w:t>
      </w:r>
      <w:r w:rsidR="008C1BF7" w:rsidRPr="00DA249F">
        <w:rPr>
          <w:lang w:val="en-GB"/>
        </w:rPr>
        <w:t xml:space="preserve"> range also tend to </w:t>
      </w:r>
      <w:r w:rsidR="0016710D" w:rsidRPr="00DA249F">
        <w:rPr>
          <w:lang w:val="en-GB"/>
        </w:rPr>
        <w:t xml:space="preserve">respond positively to </w:t>
      </w:r>
      <w:r w:rsidR="008C1BF7" w:rsidRPr="00DA249F">
        <w:rPr>
          <w:lang w:val="en-GB"/>
        </w:rPr>
        <w:t>high nutrient availability in their inva</w:t>
      </w:r>
      <w:r w:rsidR="007A2E2B" w:rsidRPr="00DA249F">
        <w:rPr>
          <w:lang w:val="en-GB"/>
        </w:rPr>
        <w:t>ded</w:t>
      </w:r>
      <w:r w:rsidR="008C1BF7" w:rsidRPr="00DA249F">
        <w:rPr>
          <w:lang w:val="en-GB"/>
        </w:rPr>
        <w:t xml:space="preserve"> ranges </w:t>
      </w:r>
      <w:r w:rsidR="008C1BF7" w:rsidRPr="00DA249F">
        <w:rPr>
          <w:lang w:val="en-GB"/>
        </w:rPr>
        <w:fldChar w:fldCharType="begin"/>
      </w:r>
      <w:r w:rsidR="00331A79">
        <w:rPr>
          <w:lang w:val="en-GB"/>
        </w:rPr>
        <w:instrText xml:space="preserve"> ADDIN ZOTERO_ITEM CSL_CITATION {"citationID":"OCtvD7DB","properties":{"formattedCitation":"(Borer et al., 2017)","plainCitation":"(Borer et al., 2017)","noteIndex":0},"citationItems":[{"id":32324,"uris":["http://zotero.org/groups/2352922/items/2HINTU3M"],"itemData":{"id":32324,"type":"article-journal","abstract":"Earth's biodiversity and carbon uptake by plants, or primary productivity, are intricately interlinked, underlie many essential ecosystem processes, and depend on the interplay among environmental factors, many of which are being changed by human activities. While ecological theory generalizes across taxa and environments, most empirical tests of factors controlling diversity and productivity have been observational, single-site experiments, or meta-analyses, limiting our understanding of variation among site-level responses and tests of general mechanisms. A synthesis of results from ten years of a globally distributed, coordinated experiment, the Nutrient Network (NutNet), demonstrates that species diversity promotes ecosystem productivity and stability, and that nutrient supply and herbivory control diversity via changes in composition, including invasions of non-native species and extinction of native species. Distributed experimental networks are a powerful tool for tests and integration of multiple theories and for generating multivariate predictions about the effects of global changes on future ecosystems.","container-title":"Nature Ecology &amp; Evolution","DOI":"10.1038/s41559-017-0118","ISSN":"2397-334X","issue":"5","language":"en","license":"2017 Macmillan Publishers Limited","note":"number: 5\ncontainer-title: Nature Ecology &amp; Evolution","page":"1-7","source":"www.nature.com","title":"A decade of insights into grassland ecosystem responses to global environmental change","URL":"https://www.nature.com/articles/s41559-017-0118","volume":"1","author":[{"family":"Borer","given":"Elizabeth T."},{"family":"Grace","given":"James B."},{"family":"Harpole","given":"W. Stanley"},{"family":"MacDougall","given":"Andrew S."},{"family":"Seabloom","given":"Eric W."}],"accessed":{"date-parts":[["2019",11,14]]},"issued":{"date-parts":[["2017",4,20]]}},"label":"page"}],"schema":"https://github.com/citation-style-language/schema/raw/master/csl-citation.json"} </w:instrText>
      </w:r>
      <w:r w:rsidR="008C1BF7" w:rsidRPr="00DA249F">
        <w:rPr>
          <w:lang w:val="en-GB"/>
        </w:rPr>
        <w:fldChar w:fldCharType="separate"/>
      </w:r>
      <w:r w:rsidR="00144D96" w:rsidRPr="00144D96">
        <w:t>(Borer et al., 2017)</w:t>
      </w:r>
      <w:r w:rsidR="008C1BF7" w:rsidRPr="00DA249F">
        <w:rPr>
          <w:lang w:val="en-GB"/>
        </w:rPr>
        <w:fldChar w:fldCharType="end"/>
      </w:r>
      <w:r w:rsidR="008C1BF7" w:rsidRPr="00DA249F">
        <w:rPr>
          <w:lang w:val="en-GB"/>
        </w:rPr>
        <w:t xml:space="preserve">. On the other hand, in the absence of extrinsic nutrient addition, or in systems where nutrient addition per se does not lead to increased productivity or growth, such as for example in tropical forests, alien species can nevertheless benefit from nutrient addition </w:t>
      </w:r>
      <w:r w:rsidR="008C1BF7" w:rsidRPr="00DA249F">
        <w:rPr>
          <w:lang w:val="en-GB"/>
        </w:rPr>
        <w:fldChar w:fldCharType="begin"/>
      </w:r>
      <w:r w:rsidR="00331A79">
        <w:rPr>
          <w:lang w:val="en-GB"/>
        </w:rPr>
        <w:instrText xml:space="preserve"> ADDIN ZOTERO_ITEM CSL_CITATION {"citationID":"KM7JdAlx","properties":{"formattedCitation":"(Cusack et al., 2016)","plainCitation":"(Cusack et al., 2016)","noteIndex":0},"citationItems":[{"id":32765,"uris":["http://zotero.org/groups/2352922/items/TLS5VQIS"],"itemData":{"id":32765,"type":"article-journal","container-title":"Reviews of Geophysics","DOI":"10.1002/2015RG000510","ISSN":"87551209","issue":"3","journalAbbreviation":"Rev. Geophys.","language":"en","note":"number: 3\ncontainer-title: Reviews of Geophysics","page":"523-610","source":"DOI.org (Crossref)","title":"Global change effects on humid tropical forests: Evidence for biogeochemical and biodiversity shifts at an ecosystem scale","title-short":"Global change effects on humid tropical forests","URL":"http://doi.wiley.com/10.1002/2015RG000510","volume":"54","author":[{"family":"Cusack","given":"Daniela F."},{"family":"Karpman","given":"Jason"},{"family":"Ashdown","given":"Daniel"},{"family":"Cao","given":"Qian"},{"family":"Ciochina","given":"Mark"},{"family":"Halterman","given":"Sarah"},{"family":"Lydon","given":"Scott"},{"family":"Neupane","given":"Avishesh"}],"accessed":{"date-parts":[["2019",12,6]]},"issued":{"date-parts":[["2016",9]]}}}],"schema":"https://github.com/citation-style-language/schema/raw/master/csl-citation.json"} </w:instrText>
      </w:r>
      <w:r w:rsidR="008C1BF7" w:rsidRPr="00DA249F">
        <w:rPr>
          <w:lang w:val="en-GB"/>
        </w:rPr>
        <w:fldChar w:fldCharType="separate"/>
      </w:r>
      <w:r w:rsidR="00144D96" w:rsidRPr="00144D96">
        <w:t>(Cusack et al., 2016)</w:t>
      </w:r>
      <w:r w:rsidR="008C1BF7" w:rsidRPr="00DA249F">
        <w:rPr>
          <w:lang w:val="en-GB"/>
        </w:rPr>
        <w:fldChar w:fldCharType="end"/>
      </w:r>
      <w:r w:rsidR="008C1BF7" w:rsidRPr="00DA249F">
        <w:rPr>
          <w:lang w:val="en-GB"/>
        </w:rPr>
        <w:t xml:space="preserve">. </w:t>
      </w:r>
      <w:r w:rsidR="00640A96" w:rsidRPr="00DA249F">
        <w:rPr>
          <w:lang w:val="en-GB"/>
        </w:rPr>
        <w:t xml:space="preserve">Marine studies are particularly focused on the </w:t>
      </w:r>
      <w:r w:rsidR="00E81F8C" w:rsidRPr="00DA249F">
        <w:rPr>
          <w:lang w:val="en-GB"/>
        </w:rPr>
        <w:t>spread of invasive alien species</w:t>
      </w:r>
      <w:r w:rsidR="00640A96" w:rsidRPr="00DA249F">
        <w:rPr>
          <w:lang w:val="en-GB"/>
        </w:rPr>
        <w:t xml:space="preserve"> in Mediterranean seagrass ecosystems.</w:t>
      </w:r>
      <w:r w:rsidR="00D16DEA" w:rsidRPr="00710AC3">
        <w:rPr>
          <w:rStyle w:val="FootnoteReference"/>
        </w:rPr>
        <w:footnoteReference w:id="8"/>
      </w:r>
      <w:r w:rsidR="00640A96" w:rsidRPr="00DA249F">
        <w:rPr>
          <w:lang w:val="en-GB"/>
        </w:rPr>
        <w:t xml:space="preserve"> </w:t>
      </w:r>
      <w:r w:rsidR="00BC17DD" w:rsidRPr="00DA249F">
        <w:rPr>
          <w:lang w:val="en-GB"/>
        </w:rPr>
        <w:t>Authors</w:t>
      </w:r>
      <w:r w:rsidR="00640A96" w:rsidRPr="00DA249F">
        <w:rPr>
          <w:lang w:val="en-GB"/>
        </w:rPr>
        <w:t xml:space="preserve"> found no studies directly linking eutrophication to terrestrial vertebrate invasion</w:t>
      </w:r>
      <w:r w:rsidR="00E81F8C" w:rsidRPr="00DA249F">
        <w:rPr>
          <w:lang w:val="en-GB"/>
        </w:rPr>
        <w:t>s</w:t>
      </w:r>
      <w:r w:rsidR="00640A96" w:rsidRPr="00DA249F">
        <w:rPr>
          <w:lang w:val="en-GB"/>
        </w:rPr>
        <w:t xml:space="preserve">, despite the potential for a link between soil nitrogen and invasive </w:t>
      </w:r>
      <w:r w:rsidR="00E81F8C" w:rsidRPr="00DA249F">
        <w:rPr>
          <w:lang w:val="en-GB"/>
        </w:rPr>
        <w:t xml:space="preserve">alien </w:t>
      </w:r>
      <w:r w:rsidR="00640A96" w:rsidRPr="00DA249F">
        <w:rPr>
          <w:lang w:val="en-GB"/>
        </w:rPr>
        <w:t xml:space="preserve">herbivores via bottom-up </w:t>
      </w:r>
      <w:r w:rsidR="00150515" w:rsidRPr="00DA249F">
        <w:rPr>
          <w:lang w:val="en-GB"/>
        </w:rPr>
        <w:t>processes</w:t>
      </w:r>
      <w:r w:rsidR="00640A96" w:rsidRPr="00DA249F">
        <w:rPr>
          <w:lang w:val="en-GB"/>
        </w:rPr>
        <w:t xml:space="preserve">. </w:t>
      </w:r>
    </w:p>
    <w:p w14:paraId="6E6D0811" w14:textId="77777777" w:rsidR="008C1BF7" w:rsidRPr="00DA249F" w:rsidRDefault="3BAEC23B" w:rsidP="004826A3">
      <w:pPr>
        <w:pStyle w:val="Heading3"/>
        <w:rPr>
          <w:rStyle w:val="Heading4Char"/>
          <w:rFonts w:eastAsiaTheme="minorEastAsia"/>
          <w:b/>
          <w:i/>
          <w:spacing w:val="0"/>
          <w:kern w:val="0"/>
          <w:lang w:val="en-GB"/>
        </w:rPr>
      </w:pPr>
      <w:bookmarkStart w:id="176" w:name="_Toc44317831"/>
      <w:r w:rsidRPr="00DA249F">
        <w:rPr>
          <w:lang w:val="en-GB"/>
        </w:rPr>
        <w:t xml:space="preserve"> </w:t>
      </w:r>
      <w:r w:rsidR="6619E8BF" w:rsidRPr="00DA249F">
        <w:rPr>
          <w:rStyle w:val="Heading4Char"/>
          <w:b/>
          <w:lang w:val="en-GB"/>
        </w:rPr>
        <w:t>Other contaminants in water and soil</w:t>
      </w:r>
      <w:bookmarkEnd w:id="176"/>
    </w:p>
    <w:p w14:paraId="67DB6B29" w14:textId="4A1CA834" w:rsidR="00D47684" w:rsidRPr="00DA249F" w:rsidRDefault="008C1BF7" w:rsidP="00C406BA">
      <w:pPr>
        <w:spacing w:before="0" w:after="0"/>
        <w:rPr>
          <w:rFonts w:ascii="Calibri" w:eastAsia="Times New Roman" w:hAnsi="Calibri" w:cs="Calibri"/>
          <w:color w:val="000000"/>
          <w:sz w:val="22"/>
          <w:lang w:val="en-GB" w:eastAsia="zh-CN"/>
        </w:rPr>
      </w:pPr>
      <w:r w:rsidRPr="00DA249F">
        <w:rPr>
          <w:lang w:val="en-GB"/>
        </w:rPr>
        <w:t xml:space="preserve">Human modification of environments due to high pressure on </w:t>
      </w:r>
      <w:r w:rsidR="00B346C9" w:rsidRPr="00DA249F">
        <w:rPr>
          <w:rStyle w:val="normaltextrun"/>
          <w:color w:val="000000" w:themeColor="text1"/>
          <w:lang w:val="en-GB"/>
        </w:rPr>
        <w:t>direct exploitation of natural resources</w:t>
      </w:r>
      <w:r w:rsidRPr="00DA249F">
        <w:rPr>
          <w:lang w:val="en-GB"/>
        </w:rPr>
        <w:t xml:space="preserve"> (</w:t>
      </w:r>
      <w:r w:rsidR="00474F12" w:rsidRPr="008C1731">
        <w:rPr>
          <w:b/>
          <w:iCs/>
          <w:lang w:val="en-GB"/>
        </w:rPr>
        <w:t xml:space="preserve">section </w:t>
      </w:r>
      <w:r w:rsidRPr="008C1731">
        <w:rPr>
          <w:b/>
          <w:lang w:val="en-GB"/>
        </w:rPr>
        <w:t>3.3.2</w:t>
      </w:r>
      <w:r w:rsidRPr="00DA249F">
        <w:rPr>
          <w:lang w:val="en-GB"/>
        </w:rPr>
        <w:t>)</w:t>
      </w:r>
      <w:r w:rsidR="7D1A0F39" w:rsidRPr="00DA249F">
        <w:rPr>
          <w:lang w:val="en-GB"/>
        </w:rPr>
        <w:t>, land-use change (</w:t>
      </w:r>
      <w:r w:rsidR="00474F12" w:rsidRPr="008C1731">
        <w:rPr>
          <w:b/>
          <w:iCs/>
          <w:lang w:val="en-GB"/>
        </w:rPr>
        <w:t xml:space="preserve">section </w:t>
      </w:r>
      <w:r w:rsidR="7D1A0F39" w:rsidRPr="008C1731">
        <w:rPr>
          <w:b/>
          <w:lang w:val="en-GB"/>
        </w:rPr>
        <w:t>3.3.</w:t>
      </w:r>
      <w:r w:rsidR="2860463A" w:rsidRPr="008C1731">
        <w:rPr>
          <w:b/>
          <w:lang w:val="en-GB"/>
        </w:rPr>
        <w:t>1</w:t>
      </w:r>
      <w:r w:rsidRPr="00DA249F">
        <w:rPr>
          <w:lang w:val="en-GB"/>
        </w:rPr>
        <w:t xml:space="preserve">) and </w:t>
      </w:r>
      <w:r w:rsidR="00CA62D5" w:rsidRPr="00DA249F">
        <w:rPr>
          <w:lang w:val="en-GB"/>
        </w:rPr>
        <w:t>urbanization</w:t>
      </w:r>
      <w:r w:rsidRPr="00DA249F">
        <w:rPr>
          <w:lang w:val="en-GB"/>
        </w:rPr>
        <w:t xml:space="preserve"> (</w:t>
      </w:r>
      <w:r w:rsidR="00474F12" w:rsidRPr="008C1731">
        <w:rPr>
          <w:b/>
          <w:iCs/>
          <w:lang w:val="en-GB"/>
        </w:rPr>
        <w:t xml:space="preserve">section </w:t>
      </w:r>
      <w:r w:rsidRPr="008C1731">
        <w:rPr>
          <w:b/>
          <w:lang w:val="en-GB"/>
        </w:rPr>
        <w:t>3.2.2.4</w:t>
      </w:r>
      <w:r w:rsidRPr="00DA249F">
        <w:rPr>
          <w:lang w:val="en-GB"/>
        </w:rPr>
        <w:t>) has led to deposition of diverse contaminants in soil and water</w:t>
      </w:r>
      <w:r w:rsidR="52B7929C" w:rsidRPr="00DA249F" w:rsidDel="001709AA">
        <w:rPr>
          <w:lang w:val="en-GB"/>
        </w:rPr>
        <w:t>.</w:t>
      </w:r>
      <w:r w:rsidR="006F02BA" w:rsidRPr="00DA249F">
        <w:rPr>
          <w:lang w:val="en-GB"/>
        </w:rPr>
        <w:t xml:space="preserve"> </w:t>
      </w:r>
      <w:r w:rsidR="3D663382" w:rsidRPr="00DA249F">
        <w:rPr>
          <w:lang w:val="en-GB"/>
        </w:rPr>
        <w:t>C</w:t>
      </w:r>
      <w:r w:rsidRPr="00DA249F">
        <w:rPr>
          <w:lang w:val="en-GB"/>
        </w:rPr>
        <w:t xml:space="preserve">onstruction and maintenance of roads </w:t>
      </w:r>
      <w:r w:rsidR="0014174B" w:rsidRPr="00DA249F">
        <w:rPr>
          <w:lang w:val="en-GB"/>
        </w:rPr>
        <w:t>in</w:t>
      </w:r>
      <w:r w:rsidR="0014174B">
        <w:rPr>
          <w:lang w:val="en-GB"/>
        </w:rPr>
        <w:t>troduces</w:t>
      </w:r>
      <w:r w:rsidR="0014174B" w:rsidRPr="00DA249F">
        <w:rPr>
          <w:lang w:val="en-GB"/>
        </w:rPr>
        <w:t xml:space="preserve"> </w:t>
      </w:r>
      <w:r w:rsidRPr="00DA249F">
        <w:rPr>
          <w:lang w:val="en-GB"/>
        </w:rPr>
        <w:t xml:space="preserve">metals (especially lead, but also </w:t>
      </w:r>
      <w:r w:rsidR="6A801344" w:rsidRPr="00DA249F">
        <w:rPr>
          <w:lang w:val="en-GB"/>
        </w:rPr>
        <w:t>aluminium</w:t>
      </w:r>
      <w:r w:rsidRPr="00DA249F">
        <w:rPr>
          <w:lang w:val="en-GB"/>
        </w:rPr>
        <w:t>, iron, cadmium, copper, manganese, titanium, nickel, zinc</w:t>
      </w:r>
      <w:r w:rsidR="00774819">
        <w:rPr>
          <w:lang w:val="en-GB"/>
        </w:rPr>
        <w:t xml:space="preserve"> and</w:t>
      </w:r>
      <w:r w:rsidRPr="00DA249F">
        <w:rPr>
          <w:lang w:val="en-GB"/>
        </w:rPr>
        <w:t xml:space="preserve"> boron), salts, ozone</w:t>
      </w:r>
      <w:r w:rsidR="00774819">
        <w:rPr>
          <w:lang w:val="en-GB"/>
        </w:rPr>
        <w:t xml:space="preserve"> and</w:t>
      </w:r>
      <w:r w:rsidRPr="00DA249F">
        <w:rPr>
          <w:lang w:val="en-GB"/>
        </w:rPr>
        <w:t xml:space="preserve"> nutrients </w:t>
      </w:r>
      <w:r w:rsidR="0014174B">
        <w:rPr>
          <w:lang w:val="en-GB"/>
        </w:rPr>
        <w:t>in</w:t>
      </w:r>
      <w:r w:rsidRPr="00DA249F">
        <w:rPr>
          <w:lang w:val="en-GB"/>
        </w:rPr>
        <w:t xml:space="preserve">to roadside environments </w:t>
      </w:r>
      <w:r w:rsidRPr="00DA249F">
        <w:rPr>
          <w:lang w:val="en-GB"/>
        </w:rPr>
        <w:fldChar w:fldCharType="begin"/>
      </w:r>
      <w:r w:rsidR="00331A79">
        <w:rPr>
          <w:lang w:val="en-GB"/>
        </w:rPr>
        <w:instrText xml:space="preserve"> ADDIN ZOTERO_ITEM CSL_CITATION {"citationID":"eo1QIh1a","properties":{"formattedCitation":"(Trombulak &amp; Frissell, 2000)","plainCitation":"(Trombulak &amp; Frissell, 2000)","noteIndex":0},"citationItems":[{"id":16991,"uris":["http://zotero.org/groups/2352922/items/PGBUDNXY"],"itemData":{"id":16991,"type":"article-journal","abstract":"Roads are a widespread and increasing feature of most landscapes. We reviewed the scientific literature on the ecological effects of roads and found support for the general conclusion that they are associated with negative effects on biotic integrity in both terrestrial and aquatic ecosystems. Roads of all kinds have seven general effects: mortality from road construction, mortality from collision with vehicles, modification of animal behavior, alteration of the physical environment, alteration of the chemical environment, spread of exotics, and increased use of areas by humans. Road construction kills sessile and slow-moving organisms, injuries organisms adjacent to a road, and alters physical conditions beneath a road. Vehicle collisions affect the demography of many species, both vertebrates and invertebrates; mitigation measures to reduce roadkill have been only partly successful. Roads alter animal behavior by causing changes in home ranges, movement, reproductive success, escape response, and physiological state. Roads chang soil density, temperature, soil water content, light levels, dust, surface waters, patterns of runoff, and sedimentation, as well as adding heavy metals (especially lead), salts, organic molecules, ozone, and nutrients to roadside environments. Roads promote the dispersal of exotic species by altering habitats, stressing native species, and providing movement corridors. Roads also promote increased hunting, fishing, passive harassment of animals, and landscape modifications. Not all species and ecosystems are equally affected by roads, but overall the presence of roads is highly correlated with changes in species composition, population sizes, and hydrologic and geomorphic processes that shape aquatic and riparian systems. More experimental research is needed to complement post-hoc correlative studies. Our review underscores the importance to conservation of avoiding construction of new roads in roadless or sparsely roaded areas and of removal or restoration of existing roads to benefit both terrestrial and aquatic biota.","container-title":"Conservation Biology","DOI":"10.1046/j.1523-1739.2000.99084.x","ISSN":"1523-1739","issue":"1","language":"en","page":"18-30","source":"Wiley Online Library","title":"Review of Ecological Effects of Roads on Terrestrial and Aquatic Communities","URL":"https://conbio.onlinelibrary.wiley.com/doi/abs/10.1046/j.1523-1739.2000.99084.x","volume":"14","author":[{"family":"Trombulak","given":"Stephen C."},{"family":"Frissell","given":"Christopher A."}],"accessed":{"date-parts":[["2019",9,18]]},"issued":{"date-parts":[["2000",2]]}},"label":"page"}],"schema":"https://github.com/citation-style-language/schema/raw/master/csl-citation.json"} </w:instrText>
      </w:r>
      <w:r w:rsidRPr="00DA249F">
        <w:rPr>
          <w:lang w:val="en-GB"/>
        </w:rPr>
        <w:fldChar w:fldCharType="separate"/>
      </w:r>
      <w:r w:rsidR="00144D96" w:rsidRPr="00144D96">
        <w:t>(Trombulak &amp; Frissell, 2000)</w:t>
      </w:r>
      <w:r w:rsidRPr="00DA249F">
        <w:rPr>
          <w:lang w:val="en-GB"/>
        </w:rPr>
        <w:fldChar w:fldCharType="end"/>
      </w:r>
      <w:r w:rsidRPr="00DA249F">
        <w:rPr>
          <w:lang w:val="en-GB"/>
        </w:rPr>
        <w:t>. This</w:t>
      </w:r>
      <w:r w:rsidR="004F6E77">
        <w:rPr>
          <w:lang w:val="en-GB"/>
        </w:rPr>
        <w:t xml:space="preserve"> introduction</w:t>
      </w:r>
      <w:r w:rsidRPr="00DA249F">
        <w:rPr>
          <w:lang w:val="en-GB"/>
        </w:rPr>
        <w:t xml:space="preserve"> </w:t>
      </w:r>
      <w:r w:rsidR="004F6E77">
        <w:rPr>
          <w:lang w:val="en-GB"/>
        </w:rPr>
        <w:t>creat</w:t>
      </w:r>
      <w:r w:rsidR="004F6E77" w:rsidRPr="00DA249F">
        <w:rPr>
          <w:lang w:val="en-GB"/>
        </w:rPr>
        <w:t xml:space="preserve">es </w:t>
      </w:r>
      <w:r w:rsidRPr="00DA249F">
        <w:rPr>
          <w:lang w:val="en-GB"/>
        </w:rPr>
        <w:t>an opportunity for alien species that are highly tolerant to contaminants to establish in areas w</w:t>
      </w:r>
      <w:r w:rsidR="00955E78">
        <w:rPr>
          <w:lang w:val="en-GB"/>
        </w:rPr>
        <w:t>h</w:t>
      </w:r>
      <w:r w:rsidRPr="00DA249F">
        <w:rPr>
          <w:lang w:val="en-GB"/>
        </w:rPr>
        <w:t>ere native</w:t>
      </w:r>
      <w:r w:rsidR="00495165" w:rsidRPr="00DA249F">
        <w:rPr>
          <w:lang w:val="en-GB"/>
        </w:rPr>
        <w:t xml:space="preserve"> </w:t>
      </w:r>
      <w:r w:rsidRPr="00DA249F">
        <w:rPr>
          <w:lang w:val="en-GB"/>
        </w:rPr>
        <w:t>s</w:t>
      </w:r>
      <w:r w:rsidR="00495165" w:rsidRPr="00DA249F">
        <w:rPr>
          <w:lang w:val="en-GB"/>
        </w:rPr>
        <w:t>pecies</w:t>
      </w:r>
      <w:r w:rsidRPr="00DA249F">
        <w:rPr>
          <w:lang w:val="en-GB"/>
        </w:rPr>
        <w:t xml:space="preserve"> are struggling</w:t>
      </w:r>
      <w:r w:rsidR="00B26B2E">
        <w:rPr>
          <w:lang w:val="en-GB"/>
        </w:rPr>
        <w:t>.</w:t>
      </w:r>
      <w:r w:rsidRPr="00DA249F">
        <w:rPr>
          <w:lang w:val="en-GB"/>
        </w:rPr>
        <w:t xml:space="preserve"> </w:t>
      </w:r>
      <w:r w:rsidR="00B26B2E">
        <w:rPr>
          <w:lang w:val="en-GB"/>
        </w:rPr>
        <w:t>F</w:t>
      </w:r>
      <w:r w:rsidRPr="00DA249F">
        <w:rPr>
          <w:lang w:val="en-GB"/>
        </w:rPr>
        <w:t xml:space="preserve">or example the roadside </w:t>
      </w:r>
      <w:r w:rsidRPr="00DA249F">
        <w:rPr>
          <w:i/>
          <w:iCs/>
          <w:lang w:val="en-GB"/>
        </w:rPr>
        <w:t>Melinis repens</w:t>
      </w:r>
      <w:r w:rsidRPr="00DA249F">
        <w:rPr>
          <w:lang w:val="en-GB"/>
        </w:rPr>
        <w:t xml:space="preserve"> </w:t>
      </w:r>
      <w:r w:rsidR="00C47490" w:rsidRPr="00DA249F">
        <w:rPr>
          <w:lang w:val="en-GB"/>
        </w:rPr>
        <w:t>(</w:t>
      </w:r>
      <w:r w:rsidR="00C406BA" w:rsidRPr="00DA249F">
        <w:rPr>
          <w:rFonts w:eastAsia="Times New Roman"/>
          <w:color w:val="000000"/>
          <w:szCs w:val="24"/>
          <w:lang w:val="en-GB" w:eastAsia="zh-CN"/>
        </w:rPr>
        <w:t>natal redtop</w:t>
      </w:r>
      <w:r w:rsidR="00C47490" w:rsidRPr="00DA249F">
        <w:rPr>
          <w:lang w:val="en-GB"/>
        </w:rPr>
        <w:t xml:space="preserve">) </w:t>
      </w:r>
      <w:r w:rsidRPr="00DA249F">
        <w:rPr>
          <w:lang w:val="en-GB"/>
        </w:rPr>
        <w:t xml:space="preserve">is a common naturalized species in Australia and high levels of trace metal were found in its tissues </w:t>
      </w:r>
      <w:r w:rsidRPr="00DA249F">
        <w:rPr>
          <w:lang w:val="en-GB"/>
        </w:rPr>
        <w:fldChar w:fldCharType="begin"/>
      </w:r>
      <w:r w:rsidR="00331A79">
        <w:rPr>
          <w:lang w:val="en-GB"/>
        </w:rPr>
        <w:instrText xml:space="preserve"> ADDIN ZOTERO_ITEM CSL_CITATION {"citationID":"2hkLakw5","properties":{"formattedCitation":"(C. Pratt &amp; Lottermoser, 2007)","plainCitation":"(C. Pratt &amp; Lottermoser, 2007)","noteIndex":0},"citationItems":[{"id":22194,"uris":["http://zotero.org/groups/2352922/items/K8SDJKY4"],"itemData":{"id":22194,"type":"article-journal","container-title":"Environmental Geology","DOI":"10.1007/s00254-006-0610-9","ISSN":"0943-0105, 1432-0495","issue":"8","journalAbbreviation":"Environ Geol","language":"en","page":"1651-1662","source":"DOI.org (Crossref)","title":"Trace metal uptake by the grass &lt;i&gt;Melinis repens&lt;/i&gt; from roadside soils and sediments, tropical Australia","URL":"http://link.springer.com/10.1007/s00254-006-0610-9","volume":"52","author":[{"family":"Pratt","given":"C."},{"family":"Lottermoser","given":"B. G."}],"accessed":{"date-parts":[["2020",5,14]]},"issued":{"date-parts":[["2007",7,17]]}},"label":"page"}],"schema":"https://github.com/citation-style-language/schema/raw/master/csl-citation.json"} </w:instrText>
      </w:r>
      <w:r w:rsidRPr="00DA249F">
        <w:rPr>
          <w:lang w:val="en-GB"/>
        </w:rPr>
        <w:fldChar w:fldCharType="separate"/>
      </w:r>
      <w:r w:rsidR="00144D96" w:rsidRPr="00144D96">
        <w:t>(C. Pratt &amp; Lottermoser, 2007)</w:t>
      </w:r>
      <w:r w:rsidRPr="00DA249F">
        <w:rPr>
          <w:lang w:val="en-GB"/>
        </w:rPr>
        <w:fldChar w:fldCharType="end"/>
      </w:r>
      <w:r w:rsidRPr="00DA249F">
        <w:rPr>
          <w:lang w:val="en-GB"/>
        </w:rPr>
        <w:t>.</w:t>
      </w:r>
      <w:r w:rsidR="00B1749C" w:rsidRPr="00DA249F">
        <w:rPr>
          <w:lang w:val="en-GB"/>
        </w:rPr>
        <w:t xml:space="preserve"> </w:t>
      </w:r>
      <w:r w:rsidR="793CE6E8" w:rsidRPr="00DA249F">
        <w:rPr>
          <w:lang w:val="en-GB"/>
        </w:rPr>
        <w:t xml:space="preserve">Zhang et al. </w:t>
      </w:r>
      <w:r w:rsidRPr="00DA249F">
        <w:rPr>
          <w:lang w:val="en-GB"/>
        </w:rPr>
        <w:fldChar w:fldCharType="begin"/>
      </w:r>
      <w:r w:rsidR="00331A79">
        <w:rPr>
          <w:lang w:val="en-GB"/>
        </w:rPr>
        <w:instrText xml:space="preserve"> ADDIN ZOTERO_ITEM CSL_CITATION {"citationID":"Ac54Do4X","properties":{"formattedCitation":"(2008)","plainCitation":"(2008)","noteIndex":0},"citationItems":[{"id":12590,"uris":["http://zotero.org/groups/2352922/items/3KHVKN7C"],"itemData":{"id":12590,"type":"article-journal","abstract":"Higher tolerance to stressful environments may result in exotic plants being more competitive than native ones, thus promoting plant invasion. We conducted a greenhouse experiment to test this hypothesis by using invasive Solidago canadensis and native Kummerowia striata as model plant species under lead contamination. Lead was applied as Pb(AC)(2).3H(2)O in solution at three levels (0, 300 mg kg(-1) and 600 mg kg(-1) soil) to simulate control and two pollution sites on which S. canadensis was found. Invasive Solidago canadensis, native Kummerowia striata, and their combination were grown Linder each Pb treatment. Under monoculture no differences of biomass, nitrogen (N) or phosphorus (P) contents in S. canadensis were found among treatments, but the growth of native K. striata was significantly depressed at higher soil Pb concentration. When both species were mixed, elevated soil Pb concentrations significantly increased shoot biomass ratio of S. canadensis to K. striata, implying that Pb enhanced the competition of S. canadensis over K. striata. Compared to monoculture, biomass and N and P contents of S. canadensis significantly increased under mixture with K. striata in each Pb treatment. Under both monoculture and mixed culture, Pb concentrations in shoots, roots, and rhizomes of S. canadensis increased with soil Pb content, but Pb concentrations in both above- and below-ground tissues of S. canadensis were significantly lower in Mixture than that in monoculture under each Pb treatment. Both Pb treatments and mixture with native K. striata did not change biomass allocation to shoot, root and rhizome of S. canadensis. Evidence from our experiment supported the hypothesis that higher tolerance to Pb stress enabled the invasive S. canadensis to outperform the native K. striata and may have promoted its rapid invasion in Pb contaminated soil.","container-title":"Botanical Studies","issue":"4","language":"English","page":"385-391","title":"Competitive interaction between the invasive &lt;i&gt;Solidago canadensis&lt;/i&gt; and native &lt;i&gt;Kummerowia striata&lt;/i&gt; in lead contaminated soil","volume":"49","author":[{"family":"Zhang","given":"Qian"},{"family":"Yang","given":"Ruyi"},{"family":"Tang","given":"Jianjun"},{"family":"Chen","given":"Xin"}],"issued":{"date-parts":[["2008",10]]}},"label":"page","suppress-author":true}],"schema":"https://github.com/citation-style-language/schema/raw/master/csl-citation.json"} </w:instrText>
      </w:r>
      <w:r w:rsidRPr="00DA249F">
        <w:rPr>
          <w:lang w:val="en-GB"/>
        </w:rPr>
        <w:fldChar w:fldCharType="separate"/>
      </w:r>
      <w:r w:rsidR="00144D96" w:rsidRPr="00144D96">
        <w:t>(2008)</w:t>
      </w:r>
      <w:r w:rsidRPr="00DA249F">
        <w:rPr>
          <w:lang w:val="en-GB"/>
        </w:rPr>
        <w:fldChar w:fldCharType="end"/>
      </w:r>
      <w:r w:rsidR="793CE6E8" w:rsidRPr="00DA249F">
        <w:rPr>
          <w:lang w:val="en-GB"/>
        </w:rPr>
        <w:t xml:space="preserve"> found that higher tolerance to </w:t>
      </w:r>
      <w:r w:rsidR="00FC6002" w:rsidRPr="00DA249F">
        <w:rPr>
          <w:lang w:val="en-GB"/>
        </w:rPr>
        <w:t xml:space="preserve">lead </w:t>
      </w:r>
      <w:r w:rsidR="793CE6E8" w:rsidRPr="00DA249F">
        <w:rPr>
          <w:lang w:val="en-GB"/>
        </w:rPr>
        <w:t xml:space="preserve">stress enabled the </w:t>
      </w:r>
      <w:r w:rsidR="00086A78" w:rsidRPr="00DA249F">
        <w:rPr>
          <w:lang w:val="en-GB"/>
        </w:rPr>
        <w:t xml:space="preserve">alien </w:t>
      </w:r>
      <w:r w:rsidR="00474F12" w:rsidRPr="00DA249F">
        <w:rPr>
          <w:i/>
          <w:lang w:val="en-GB"/>
        </w:rPr>
        <w:t>Sambucus canadensis</w:t>
      </w:r>
      <w:r w:rsidR="00474F12" w:rsidRPr="00DA249F">
        <w:rPr>
          <w:lang w:val="en-GB"/>
        </w:rPr>
        <w:t xml:space="preserve"> </w:t>
      </w:r>
      <w:r w:rsidR="00474F12" w:rsidRPr="00DA249F">
        <w:rPr>
          <w:szCs w:val="24"/>
          <w:lang w:val="en-GB"/>
        </w:rPr>
        <w:t>(</w:t>
      </w:r>
      <w:r w:rsidR="009830C3" w:rsidRPr="00DA249F">
        <w:rPr>
          <w:rFonts w:eastAsia="Times New Roman"/>
          <w:color w:val="000000"/>
          <w:szCs w:val="24"/>
          <w:lang w:val="en-GB" w:eastAsia="zh-CN"/>
        </w:rPr>
        <w:t>American black elderberry</w:t>
      </w:r>
      <w:r w:rsidR="793CE6E8" w:rsidRPr="00DA249F">
        <w:rPr>
          <w:szCs w:val="24"/>
          <w:lang w:val="en-GB"/>
        </w:rPr>
        <w:t>)</w:t>
      </w:r>
      <w:r w:rsidR="793CE6E8" w:rsidRPr="00DA249F">
        <w:rPr>
          <w:lang w:val="en-GB"/>
        </w:rPr>
        <w:t xml:space="preserve"> to outperform the native </w:t>
      </w:r>
      <w:r w:rsidR="793CE6E8" w:rsidRPr="00DA249F">
        <w:rPr>
          <w:i/>
          <w:lang w:val="en-GB"/>
        </w:rPr>
        <w:t>Kummerowia striata</w:t>
      </w:r>
      <w:r w:rsidR="00474F12" w:rsidRPr="00DA249F">
        <w:rPr>
          <w:lang w:val="en-GB"/>
        </w:rPr>
        <w:t xml:space="preserve"> (</w:t>
      </w:r>
      <w:r w:rsidR="00C406BA" w:rsidRPr="00DA249F">
        <w:rPr>
          <w:rFonts w:eastAsia="Times New Roman"/>
          <w:color w:val="000000"/>
          <w:szCs w:val="24"/>
          <w:lang w:val="en-GB" w:eastAsia="zh-CN"/>
        </w:rPr>
        <w:t>Japanese lespedeza</w:t>
      </w:r>
      <w:r w:rsidR="793CE6E8" w:rsidRPr="00DA249F">
        <w:rPr>
          <w:lang w:val="en-GB"/>
        </w:rPr>
        <w:t xml:space="preserve">) and may have promoted its rapid </w:t>
      </w:r>
      <w:r w:rsidR="3B382E55" w:rsidRPr="00DA249F">
        <w:rPr>
          <w:lang w:val="en-GB"/>
        </w:rPr>
        <w:t>establishment</w:t>
      </w:r>
      <w:r w:rsidR="793CE6E8" w:rsidRPr="00DA249F">
        <w:rPr>
          <w:lang w:val="en-GB"/>
        </w:rPr>
        <w:t xml:space="preserve"> in </w:t>
      </w:r>
      <w:r w:rsidR="00FC6002" w:rsidRPr="00DA249F">
        <w:rPr>
          <w:lang w:val="en-GB"/>
        </w:rPr>
        <w:t xml:space="preserve">lead </w:t>
      </w:r>
      <w:r w:rsidR="793CE6E8" w:rsidRPr="00DA249F">
        <w:rPr>
          <w:lang w:val="en-GB"/>
        </w:rPr>
        <w:t>contaminated soil. In Brazil, in a rocky neotropical savanna</w:t>
      </w:r>
      <w:r w:rsidR="00474D4E" w:rsidRPr="00DA249F">
        <w:rPr>
          <w:lang w:val="en-GB"/>
        </w:rPr>
        <w:t>h</w:t>
      </w:r>
      <w:r w:rsidR="793CE6E8" w:rsidRPr="00DA249F">
        <w:rPr>
          <w:lang w:val="en-GB"/>
        </w:rPr>
        <w:t xml:space="preserve">, </w:t>
      </w:r>
      <w:r w:rsidR="002208A0" w:rsidRPr="002208A0">
        <w:rPr>
          <w:lang w:val="en-GB"/>
        </w:rPr>
        <w:t>Barbosa et al.</w:t>
      </w:r>
      <w:r w:rsidR="002208A0">
        <w:rPr>
          <w:lang w:val="en-GB"/>
        </w:rPr>
        <w:t xml:space="preserve"> </w:t>
      </w:r>
      <w:r w:rsidRPr="00DA249F">
        <w:rPr>
          <w:lang w:val="en-GB"/>
        </w:rPr>
        <w:fldChar w:fldCharType="begin"/>
      </w:r>
      <w:r w:rsidR="00331A79">
        <w:rPr>
          <w:lang w:val="en-GB"/>
        </w:rPr>
        <w:instrText xml:space="preserve"> ADDIN ZOTERO_ITEM CSL_CITATION {"citationID":"5fLoAUAP","properties":{"formattedCitation":"(2010)","plainCitation":"(2010)","noteIndex":0},"citationItems":[{"id":28779,"uris":["http://zotero.org/groups/2352922/items/49HTNUBH"],"itemData":{"id":28779,"type":"article-journal","container-title":"Biological Invasions","DOI":"10.1007/s10530-010-9767-y","ISSN":"1387-3547, 1573-1464","issue":"11","journalAbbreviation":"Biol Invasions","language":"en","page":"3745-3755","source":"DOI.org (Crossref)","title":"Distribution of non-native invasive species and soil properties in proximity to paved roads and unpaved roads in a quartzitic mountainous grassland of southeastern Brazil (rupestrian fields)","URL":"http://link.springer.com/10.1007/s10530-010-9767-y","volume":"12","author":[{"family":"Barbosa","given":"Newton P. U."},{"family":"Wilson Fernandes","given":"G."},{"family":"Carneiro","given":"Marco A. A."},{"family":"Júnior","given":"Lélis A. C."}],"accessed":{"date-parts":[["2020",5,14]]},"issued":{"date-parts":[["2010",11]]}},"label":"page","suppress-author":true}],"schema":"https://github.com/citation-style-language/schema/raw/master/csl-citation.json"} </w:instrText>
      </w:r>
      <w:r w:rsidRPr="00DA249F">
        <w:rPr>
          <w:lang w:val="en-GB"/>
        </w:rPr>
        <w:fldChar w:fldCharType="separate"/>
      </w:r>
      <w:r w:rsidR="00144D96" w:rsidRPr="00144D96">
        <w:t>(2010)</w:t>
      </w:r>
      <w:r w:rsidRPr="00DA249F">
        <w:rPr>
          <w:lang w:val="en-GB"/>
        </w:rPr>
        <w:fldChar w:fldCharType="end"/>
      </w:r>
      <w:r w:rsidR="793CE6E8" w:rsidRPr="00DA249F">
        <w:rPr>
          <w:lang w:val="en-GB"/>
        </w:rPr>
        <w:t xml:space="preserve"> found that</w:t>
      </w:r>
      <w:r w:rsidR="00BF63BE">
        <w:rPr>
          <w:lang w:val="en-GB"/>
        </w:rPr>
        <w:t xml:space="preserve"> paved roads, by reducing</w:t>
      </w:r>
      <w:r w:rsidR="00AF03E4">
        <w:rPr>
          <w:lang w:val="en-GB"/>
        </w:rPr>
        <w:t xml:space="preserve"> </w:t>
      </w:r>
      <w:r w:rsidR="793CE6E8" w:rsidRPr="00DA249F">
        <w:rPr>
          <w:lang w:val="en-GB"/>
        </w:rPr>
        <w:t>aluminium</w:t>
      </w:r>
      <w:r w:rsidR="00BF63BE">
        <w:rPr>
          <w:lang w:val="en-GB"/>
        </w:rPr>
        <w:t xml:space="preserve"> toxicity, </w:t>
      </w:r>
      <w:r w:rsidR="793CE6E8" w:rsidRPr="00DA249F">
        <w:rPr>
          <w:lang w:val="en-GB"/>
        </w:rPr>
        <w:t xml:space="preserve">favour </w:t>
      </w:r>
      <w:r w:rsidR="00086A78" w:rsidRPr="00DA249F">
        <w:rPr>
          <w:lang w:val="en-GB"/>
        </w:rPr>
        <w:t xml:space="preserve">alien </w:t>
      </w:r>
      <w:r w:rsidR="793CE6E8" w:rsidRPr="00DA249F">
        <w:rPr>
          <w:lang w:val="en-GB"/>
        </w:rPr>
        <w:t xml:space="preserve">species and helps them during the first stages of </w:t>
      </w:r>
      <w:r w:rsidR="009D07CE" w:rsidRPr="00DA249F">
        <w:rPr>
          <w:lang w:val="en-GB"/>
        </w:rPr>
        <w:t xml:space="preserve">the </w:t>
      </w:r>
      <w:r w:rsidR="00756A20">
        <w:rPr>
          <w:lang w:val="en-GB"/>
        </w:rPr>
        <w:t xml:space="preserve">biological </w:t>
      </w:r>
      <w:r w:rsidR="793CE6E8" w:rsidRPr="00DA249F">
        <w:rPr>
          <w:lang w:val="en-GB"/>
        </w:rPr>
        <w:t>invasion</w:t>
      </w:r>
      <w:r w:rsidR="009D07CE" w:rsidRPr="00DA249F">
        <w:rPr>
          <w:lang w:val="en-GB"/>
        </w:rPr>
        <w:t xml:space="preserve"> process</w:t>
      </w:r>
      <w:r w:rsidR="793CE6E8" w:rsidRPr="00DA249F">
        <w:rPr>
          <w:lang w:val="en-GB"/>
        </w:rPr>
        <w:t>. However, in some cases</w:t>
      </w:r>
      <w:r w:rsidR="004E2504">
        <w:rPr>
          <w:lang w:val="en-GB"/>
        </w:rPr>
        <w:t>,</w:t>
      </w:r>
      <w:r w:rsidR="793CE6E8" w:rsidRPr="00DA249F">
        <w:rPr>
          <w:lang w:val="en-GB"/>
        </w:rPr>
        <w:t xml:space="preserve"> </w:t>
      </w:r>
      <w:r w:rsidR="0015750E">
        <w:rPr>
          <w:lang w:val="en-GB"/>
        </w:rPr>
        <w:t>soil contamination</w:t>
      </w:r>
      <w:r w:rsidR="0015750E" w:rsidRPr="00DA249F">
        <w:rPr>
          <w:lang w:val="en-GB"/>
        </w:rPr>
        <w:t xml:space="preserve"> </w:t>
      </w:r>
      <w:r w:rsidR="793CE6E8" w:rsidRPr="00DA249F">
        <w:rPr>
          <w:lang w:val="en-GB"/>
        </w:rPr>
        <w:t xml:space="preserve">can also limit the fitness of </w:t>
      </w:r>
      <w:r w:rsidR="00EE5CAD" w:rsidRPr="00DA249F">
        <w:rPr>
          <w:lang w:val="en-GB"/>
        </w:rPr>
        <w:t xml:space="preserve">invasive alien species </w:t>
      </w:r>
      <w:r w:rsidR="793CE6E8" w:rsidRPr="00DA249F">
        <w:rPr>
          <w:lang w:val="en-GB"/>
        </w:rPr>
        <w:t xml:space="preserve">and influence the dynamics between invasive </w:t>
      </w:r>
      <w:r w:rsidR="00EE5CAD" w:rsidRPr="00DA249F">
        <w:rPr>
          <w:lang w:val="en-GB"/>
        </w:rPr>
        <w:t xml:space="preserve">alien </w:t>
      </w:r>
      <w:r w:rsidR="793CE6E8" w:rsidRPr="00DA249F">
        <w:rPr>
          <w:lang w:val="en-GB"/>
        </w:rPr>
        <w:t xml:space="preserve">and native species. De la Riva and Trumble </w:t>
      </w:r>
      <w:r w:rsidRPr="00DA249F">
        <w:rPr>
          <w:lang w:val="en-GB"/>
        </w:rPr>
        <w:fldChar w:fldCharType="begin"/>
      </w:r>
      <w:r w:rsidR="00331A79">
        <w:rPr>
          <w:lang w:val="en-GB"/>
        </w:rPr>
        <w:instrText xml:space="preserve"> ADDIN ZOTERO_ITEM CSL_CITATION {"citationID":"mtGXw6xQ","properties":{"formattedCitation":"(2016)","plainCitation":"(2016)","noteIndex":0},"citationItems":[{"id":12593,"uris":["http://zotero.org/groups/2352922/items/ZXFY5GFL"],"itemData":{"id":12593,"type":"article-journal","abstract":"Competitive ability and numerical dominance are important factors contributing to the ability of invasive ant species to establish and expand their ranges in new habitats. However, few studies have investigated the impact of environmental contamination on competitive behavior in ants as a potential factor influencing dynamics between invasive and native ant species. Here we investigated the widespread contaminant selenium to investigate its potential influence on invasion by the exotic Argentine ant, Linepithema humile, through effects on reproduction and competitive behavior. For the fecundity experiment, treatments were provided to Argentine ant colonies via to sugar water solutions containing one of three concentrations of selenium (0, 5 and 10 mu g Se mL(-1)) that fall within the range found in soil and plants growing in contaminated areas. Competition experiments included both the Argentine ant and the native Dorymyrmex bicolor to determine the impact of selenium exposure (0 or 15 mu g Se mL(-1)) on exploitation- and interference-competition between ant species. The results of the fecundity experiment revealed that selenium negatively impacted queen survival and brood production of Argentine ants. Viability of the developing brood was also affected in that offspring reached adulthood only in colonies that were not given selenium, whereas those in treated colonies died in their larval stages. Selenium exposure did not alter direct competitive behaviors for either species, but selenium exposure contributed to an increased bait discovery time for D. bicolor. Our results suggest that environmental toxins may not only pose problems for native ant species, but may also serve as a potential obstacle for establishment among exotic species. (C) 2016 Elsevier Ltd. All rights reserved.","container-title":"Environmental Pollution","DOI":"10.1016/j.envpol.2016.03.045","ISSN":"0269-7491","language":"English","page":"888-894","title":"Selenium exposure results in reduced reproduction in an invasive ant species and altered competitive behavior for a native ant species","volume":"213","author":[{"family":"De La Riva","given":"Deborah G."},{"family":"Trumble","given":"John T."}],"issued":{"date-parts":[["2016",6]]}},"label":"page","suppress-author":true}],"schema":"https://github.com/citation-style-language/schema/raw/master/csl-citation.json"} </w:instrText>
      </w:r>
      <w:r w:rsidRPr="00DA249F">
        <w:rPr>
          <w:lang w:val="en-GB"/>
        </w:rPr>
        <w:fldChar w:fldCharType="separate"/>
      </w:r>
      <w:r w:rsidR="00144D96" w:rsidRPr="00144D96">
        <w:t>(2016)</w:t>
      </w:r>
      <w:r w:rsidRPr="00DA249F">
        <w:rPr>
          <w:lang w:val="en-GB"/>
        </w:rPr>
        <w:fldChar w:fldCharType="end"/>
      </w:r>
      <w:r w:rsidR="793CE6E8" w:rsidRPr="00DA249F">
        <w:rPr>
          <w:lang w:val="en-GB"/>
        </w:rPr>
        <w:t xml:space="preserve"> investigated the effect of selenium on reproduction and competitive behaviour o</w:t>
      </w:r>
      <w:r w:rsidR="00626D3A">
        <w:rPr>
          <w:lang w:val="en-GB"/>
        </w:rPr>
        <w:t>f</w:t>
      </w:r>
      <w:r w:rsidR="793CE6E8" w:rsidRPr="00DA249F">
        <w:rPr>
          <w:lang w:val="en-GB"/>
        </w:rPr>
        <w:t xml:space="preserve"> the invasive alien </w:t>
      </w:r>
      <w:r w:rsidR="793CE6E8" w:rsidRPr="00DA249F">
        <w:rPr>
          <w:i/>
          <w:iCs/>
          <w:lang w:val="en-GB"/>
        </w:rPr>
        <w:t>Linepithema humile</w:t>
      </w:r>
      <w:r w:rsidR="00184EEB" w:rsidRPr="00DA249F">
        <w:rPr>
          <w:lang w:val="en-GB"/>
        </w:rPr>
        <w:t xml:space="preserve"> (</w:t>
      </w:r>
      <w:r w:rsidR="793CE6E8" w:rsidRPr="00DA249F">
        <w:rPr>
          <w:lang w:val="en-GB"/>
        </w:rPr>
        <w:t xml:space="preserve">Argentine ant) and found environmental toxins may not only pose problems for native ant species, but may also serve as a potential obstacle for establishment among </w:t>
      </w:r>
      <w:r w:rsidR="00170A3E" w:rsidRPr="00DA249F">
        <w:rPr>
          <w:lang w:val="en-GB"/>
        </w:rPr>
        <w:t xml:space="preserve">alien </w:t>
      </w:r>
      <w:r w:rsidR="793CE6E8" w:rsidRPr="00DA249F">
        <w:rPr>
          <w:lang w:val="en-GB"/>
        </w:rPr>
        <w:t>species</w:t>
      </w:r>
      <w:r w:rsidR="00EE5CAD" w:rsidRPr="00DA249F">
        <w:rPr>
          <w:lang w:val="en-GB"/>
        </w:rPr>
        <w:t>;</w:t>
      </w:r>
      <w:r w:rsidR="793CE6E8" w:rsidRPr="00DA249F">
        <w:rPr>
          <w:lang w:val="en-GB"/>
        </w:rPr>
        <w:t xml:space="preserve"> </w:t>
      </w:r>
      <w:r w:rsidR="00F55981" w:rsidRPr="00DA249F">
        <w:rPr>
          <w:i/>
          <w:iCs/>
          <w:lang w:val="en-GB"/>
        </w:rPr>
        <w:t>Linepithema humile</w:t>
      </w:r>
      <w:r w:rsidR="793CE6E8" w:rsidRPr="00DA249F">
        <w:rPr>
          <w:lang w:val="en-GB"/>
        </w:rPr>
        <w:t xml:space="preserve"> reproduced less when exposed to </w:t>
      </w:r>
      <w:r w:rsidR="00BD62E2" w:rsidRPr="00DA249F">
        <w:rPr>
          <w:lang w:val="en-GB"/>
        </w:rPr>
        <w:t>selenium</w:t>
      </w:r>
      <w:r w:rsidR="793CE6E8" w:rsidRPr="00DA249F">
        <w:rPr>
          <w:lang w:val="en-GB"/>
        </w:rPr>
        <w:t xml:space="preserve">. </w:t>
      </w:r>
    </w:p>
    <w:p w14:paraId="67AAEED1" w14:textId="336E4943" w:rsidR="00855B13" w:rsidRPr="00DA249F" w:rsidRDefault="00D47684" w:rsidP="0090109B">
      <w:pPr>
        <w:rPr>
          <w:lang w:val="en-GB"/>
        </w:rPr>
      </w:pPr>
      <w:r w:rsidRPr="00DA249F">
        <w:rPr>
          <w:lang w:val="en-GB"/>
        </w:rPr>
        <w:t>Pollutants in aquatic systems, including metals contained within antifouling paints, can enhance the</w:t>
      </w:r>
      <w:r w:rsidR="00EE5CAD" w:rsidRPr="00DA249F">
        <w:rPr>
          <w:lang w:val="en-GB"/>
        </w:rPr>
        <w:t xml:space="preserve"> </w:t>
      </w:r>
      <w:r w:rsidR="00760E6B">
        <w:rPr>
          <w:lang w:val="en-GB"/>
        </w:rPr>
        <w:t>establishment</w:t>
      </w:r>
      <w:r w:rsidR="00760E6B" w:rsidRPr="00DA249F">
        <w:rPr>
          <w:lang w:val="en-GB"/>
        </w:rPr>
        <w:t xml:space="preserve"> </w:t>
      </w:r>
      <w:r w:rsidRPr="00DA249F">
        <w:rPr>
          <w:lang w:val="en-GB"/>
        </w:rPr>
        <w:t>success of</w:t>
      </w:r>
      <w:r w:rsidR="00F26E2B">
        <w:rPr>
          <w:lang w:val="en-GB"/>
        </w:rPr>
        <w:t xml:space="preserve"> </w:t>
      </w:r>
      <w:r w:rsidRPr="00DA249F">
        <w:rPr>
          <w:lang w:val="en-GB"/>
        </w:rPr>
        <w:t xml:space="preserve">invasive alien species </w:t>
      </w:r>
      <w:r w:rsidRPr="00DA249F">
        <w:rPr>
          <w:lang w:val="en-GB"/>
        </w:rPr>
        <w:fldChar w:fldCharType="begin"/>
      </w:r>
      <w:r w:rsidR="00331A79">
        <w:rPr>
          <w:lang w:val="en-GB"/>
        </w:rPr>
        <w:instrText xml:space="preserve"> ADDIN ZOTERO_ITEM CSL_CITATION {"citationID":"p1WFlAvv","properties":{"formattedCitation":"(Piola &amp; Johnston, 2008)","plainCitation":"(Piola &amp; Johnston, 2008)","noteIndex":0},"citationItems":[{"id":53783,"uris":["http://zotero.org/groups/2352922/items/N87EPIAZ","http://zotero.org/groups/2352922/items/82GQCLR6"],"itemData":{"id":53783,"type":"article-journal","abstract":"Anthropogenic disturbance is considered a risk factor in the establishment of nonindigenous species (NIS); however, few studies have investigated the role of anthropogenic disturbance in facilitating the establishment and spread of NIS in marine environments. A baseline survey of native and NIS was undertaken in conjunction with a manipulative experiment to determine the effect that heavy metal pollution had on the diversity and invasibility of marine hard-substrate assemblages. The study was repeated at two sites in each of two harbours in New South Wales, Australia. The survey sampled a total of 47 sessile invertebrate taxa, of which 15 (32%) were identiﬁed as native, 19 (40%) as NIS, and 13 (28%) as cryptogenic. Increasing pollution exposure decreased native species diversity at all study sites by between 33% and 50%. In contrast, there was no signiﬁcant change in the numbers of NIS. Percentage cover was used as a measure of spatial dominance, with increased pollution exposure leading to increased NIS dominance across all sites. At three of the four study sites, assemblages that had previously been dominated by natives changed to become either extensively dominated by NIS or equally occupied by native and NIS alike. No single native or NIS was repeatedly responsible for the observed changes in native species diversity or NIS dominance at all sites. Rather, the observed effects of pollution were driven by a diverse range of taxa and species. These ﬁndings have important implications for both the way we assess pollution impacts, and for the management of NIS. When monitoring the response of assemblages to pollution, it is not sufﬁcient to simply assess changes in community diversity. Rather, it is important to distinguish native from NIS components since both are expected to respond differently. In order to successfully manage current NIS, we ﬁrst need to address levels of pollution within recipient systems in an effort to bolster the resilience of native communities to invasion.","container-title":"Diversity and Distributions","DOI":"10.1111/j.1472-4642.2007.00430.x","ISSN":"13669516, 14724642","issue":"2","language":"en","page":"329-342","source":"DOI.org (Crossref)","title":"Pollution reduces native diversity and increases invader dominance in marine hard-substrate communities","title-short":"Pollution reduces native diversity and increases invader dominance in marine hard-substrate communities","URL":"https://onlinelibrary.wiley.com/doi/10.1111/j.1472-4642.2007.00430.x","volume":"14","author":[{"family":"Piola","given":"Richard F."},{"family":"Johnston","given":"Emma L."}],"accessed":{"date-parts":[["2022",10,18]]},"issued":{"date-parts":[["2008"]]}},"label":"page"}],"schema":"https://github.com/citation-style-language/schema/raw/master/csl-citation.json"} </w:instrText>
      </w:r>
      <w:r w:rsidRPr="00DA249F">
        <w:rPr>
          <w:lang w:val="en-GB"/>
        </w:rPr>
        <w:fldChar w:fldCharType="separate"/>
      </w:r>
      <w:r w:rsidR="00144D96" w:rsidRPr="00144D96">
        <w:t>(Piola &amp; Johnston, 2008)</w:t>
      </w:r>
      <w:r w:rsidRPr="00DA249F">
        <w:rPr>
          <w:lang w:val="en-GB"/>
        </w:rPr>
        <w:fldChar w:fldCharType="end"/>
      </w:r>
      <w:r w:rsidRPr="00DA249F">
        <w:rPr>
          <w:lang w:val="en-GB"/>
        </w:rPr>
        <w:t xml:space="preserve">, particularly those that have a positive association with metal contamination such as the invasive alien </w:t>
      </w:r>
      <w:r w:rsidR="00B45C36" w:rsidRPr="00DA249F">
        <w:rPr>
          <w:lang w:val="en-GB"/>
        </w:rPr>
        <w:t>hull-fouling bryozoan </w:t>
      </w:r>
      <w:r w:rsidR="00B45C36" w:rsidRPr="00DA249F">
        <w:rPr>
          <w:i/>
          <w:iCs/>
          <w:lang w:val="en-GB"/>
        </w:rPr>
        <w:t>Watersipora subtorquata</w:t>
      </w:r>
      <w:r w:rsidR="00B45C36" w:rsidRPr="00DA249F">
        <w:rPr>
          <w:lang w:val="en-GB"/>
        </w:rPr>
        <w:t xml:space="preserve"> </w:t>
      </w:r>
      <w:r w:rsidR="00B45C36" w:rsidRPr="00DA249F">
        <w:rPr>
          <w:lang w:val="en-GB"/>
        </w:rPr>
        <w:fldChar w:fldCharType="begin"/>
      </w:r>
      <w:r w:rsidR="00331A79">
        <w:rPr>
          <w:lang w:val="en-GB"/>
        </w:rPr>
        <w:instrText xml:space="preserve"> ADDIN ZOTERO_ITEM CSL_CITATION {"citationID":"5P3wu1iT","properties":{"formattedCitation":"(McKenzie et al., 2012)","plainCitation":"(McKenzie et al., 2012)","noteIndex":0},"citationItems":[{"id":32337,"uris":["http://zotero.org/groups/2352922/items/6Y55TILW"],"itemData":{"id":32337,"type":"article-journal","abstract":"1. The global transfer of species by human vectors is continuing despite the use of managerial controls such as antifouling biocides and pesticide applications. The process of introduction now exposes species to novel conditions which may select for tolerance to a contaminant. Invader establishment success is influenced by both the supply of invasive propagules and disturbance. Therefore, it is important to understand whether tolerance to an anthropogenic disturbance, such as contamination, can change the parameters of supply in a way that inadvertently augments the invasion process. 2. To test whether the invasion process is influenced by a widespread contaminant, we investigated how recruitment of the invasive hull-fouling bryozoan Watersipora subtorquata is affected by exposure to copper-based antifouling paint. We quantified settlement patterns in control and copper environments and then assessed post-settlement survival and fitness components. 3. Copper significantly increased total recruitment success despite greater post-settlement mortality. Surviving recruits differed morphologically, with shorter ancestrulae and smaller colonies in high copper treatments. These results show a strong positive affiliation between larval W. subtorquata and high levels of copper although there are associated fitness costs. 4. Syntheses and applications. We found a direct positive effect of contamination on recruitment of a common invasive species. This process is likely to be relevant to other non-indigenous species (NIS) that exhibit a positive affiliation with metal contamination. Copper can potentially enhance success at multiple stages of the invasion process, including facilitating transport and establishment, by increasing the supply and retention of individuals into anthropogenically disturbed environments. Identification of tolerance to contamination as a species trait may also aid in predicting a species invasiveness and spread. Management of metal pollution through remediation and alternative copper-free antifouling techniques would help prevent the spread and establishment of many marine NIS.","container-title":"Journal of Applied Ecology","DOI":"10.1111/j.1365-2664.2012.02158.x","ISSN":"1365-2664","issue":"4","language":"en","note":"_eprint: https://onlinelibrary.wiley.com/doi/pdf/10.1111/j.1365-2664.2012.02158.x","page":"767-773","source":"Wiley Online Library","title":"A widespread contaminant enhances invasion success of a marine invader","URL":"https://onlinelibrary.wiley.com/doi/abs/10.1111/j.1365-2664.2012.02158.x","volume":"49","author":[{"family":"McKenzie","given":"Louise A."},{"family":"Brooks","given":"Robert C."},{"family":"Johnston","given":"Emma L."}],"accessed":{"date-parts":[["2021",12,12]]},"issued":{"date-parts":[["2012"]]}},"label":"page"}],"schema":"https://github.com/citation-style-language/schema/raw/master/csl-citation.json"} </w:instrText>
      </w:r>
      <w:r w:rsidR="00B45C36" w:rsidRPr="00DA249F">
        <w:rPr>
          <w:lang w:val="en-GB"/>
        </w:rPr>
        <w:fldChar w:fldCharType="separate"/>
      </w:r>
      <w:r w:rsidR="00144D96" w:rsidRPr="00144D96">
        <w:t>(McKenzie et al., 2012)</w:t>
      </w:r>
      <w:r w:rsidR="00B45C36" w:rsidRPr="00DA249F">
        <w:rPr>
          <w:lang w:val="en-GB"/>
        </w:rPr>
        <w:fldChar w:fldCharType="end"/>
      </w:r>
      <w:r w:rsidRPr="00DA249F">
        <w:rPr>
          <w:lang w:val="en-GB"/>
        </w:rPr>
        <w:t xml:space="preserve">. Additionally translocations of static maritime structures and movement of semi-submersible rigs continue apace in the Anthropocene and so act as largely overlooked and unregulated vectors of marine invasive alien species </w:t>
      </w:r>
      <w:r w:rsidRPr="00DA249F">
        <w:rPr>
          <w:lang w:val="en-GB"/>
        </w:rPr>
        <w:fldChar w:fldCharType="begin"/>
      </w:r>
      <w:r w:rsidR="00331A79">
        <w:rPr>
          <w:lang w:val="en-GB"/>
        </w:rPr>
        <w:instrText xml:space="preserve"> ADDIN ZOTERO_ITEM CSL_CITATION {"citationID":"wsHf7xKG","properties":{"formattedCitation":"(Iacarella et al., 2019; Wanless et al., 2010)","plainCitation":"(Iacarella et al., 2019; Wanless et al., 2010)","noteIndex":0},"citationItems":[{"id":25061,"uris":["http://zotero.org/groups/2352922/items/2JDR3DAD"],"itemData":{"id":25061,"type":"article-journal","abstract":"Coastal infrastructure provides extensive habitat for marine nonindigenous species (“NIS”), especially biofouling species. Ecosystem transplants can arise when static maritime structures (“SMS”) are relocated under slow towing speeds following long periods of biofouling accumulation. Translocations of SMS occur more often than acknowledged and represent a high-risk vector of marine NIS that is largely overlooked and unregulated. We compiled geolocations and movement patterns for oil platforms, derelict/obsolete vessels, barges, dry docks, floating lodges, homes and docks, aquaculture gear and buoys for the NE Pacific coast. We related these data to NIS richness within the region and to global examples of SMS movement. Our review and synthesis of SMS, paired with biofouling surveys before and after dock towing events, reveal the growing NIS vector opportunities resulting from sprawling coastal infrastructure. As coastal development continues apace in the Anthropocene, this emerging management challenge will require strong frameworks and workable solutions for a global issue that currently lacks incentives to prevent species transfers and invasions.","container-title":"Biological Invasions","DOI":"10.1007/s10530-018-1888-8","ISSN":"1573-1464","issue":"4","journalAbbreviation":"Biol Invasions","language":"en","page":"1131-1141","source":"Springer Link","title":"Biotic exchange from movement of ‘static’ maritime structures","URL":"https://doi.org/10.1007/s10530-018-1888-8","volume":"21","author":[{"family":"Iacarella","given":"Josephine C."},{"family":"Davidson","given":"Ian C."},{"family":"Dunham","given":"Anya"}],"accessed":{"date-parts":[["2019",12,3]]},"issued":{"date-parts":[["2019",4,1]]}},"label":"page"},{"id":12416,"uris":["http://zotero.org/groups/2352922/items/VWE7Q8A8"],"itemData":{"id":12416,"type":"article-journal","abstract":"A virtually intact subtropical reef community (14 phyla, 40 families and 62 non-native taxa) was associated with a rig under tow from Brazil that became stranded on the remote island of Tristan da Cunha. This exposes rigs as a significant vector spreading alien marine organisms, and includes the first records of free-swimming marine finfish populations becoming established after unintentional movement. With relatively trivial effort, a pre-tow clean would have obviated the need to salvage and dispose of the rig (undertaken largely to address concerns about invasive species), at a cost of ~US$20 million. Our findings show that towing biofouled structures across biogeographic boundaries present unexcelled opportunities for invasion to a wide diversity of marine species. Better control and management of this vector is required urgently. Simultaneous, unintentional introductions of viable populations of multiple marine organisms are rare events, and we develop a basic framework for rapid assessment of invasion risks.","container-title":"Biological Invasions","DOI":"10.1007/s10530-009-9666-2","ISSN":"1573-1464","issue":"8","journalAbbreviation":"Biol Invasions","language":"en","page":"2573-2583","source":"Springer Link","title":"Semi-submersible rigs: a vector transporting entire marine communities around the world","title-short":"Semi-submersible rigs","URL":"https://doi.org/10.1007/s10530-009-9666-2","volume":"12","author":[{"family":"Wanless","given":"Ross M."},{"family":"Scott","given":"Sue"},{"family":"Sauer","given":"Warwick H. H."},{"family":"Andrew","given":"Timothy G."},{"family":"Glass","given":"James P."},{"family":"Godfrey","given":"Brian"},{"family":"Griffiths","given":"Charles"},{"family":"Yeld","given":"Eleanor"}],"accessed":{"date-parts":[["2019",12,3]]},"issued":{"date-parts":[["2010",8,1]]}},"label":"page"}],"schema":"https://github.com/citation-style-language/schema/raw/master/csl-citation.json"} </w:instrText>
      </w:r>
      <w:r w:rsidRPr="00DA249F">
        <w:rPr>
          <w:lang w:val="en-GB"/>
        </w:rPr>
        <w:fldChar w:fldCharType="separate"/>
      </w:r>
      <w:r w:rsidR="00144D96" w:rsidRPr="00144D96">
        <w:t>(Iacarella et al., 2019; Wanless et al., 2010)</w:t>
      </w:r>
      <w:r w:rsidRPr="00DA249F">
        <w:rPr>
          <w:lang w:val="en-GB"/>
        </w:rPr>
        <w:fldChar w:fldCharType="end"/>
      </w:r>
      <w:r w:rsidRPr="00DA249F">
        <w:rPr>
          <w:lang w:val="en-GB"/>
        </w:rPr>
        <w:t>.</w:t>
      </w:r>
      <w:r w:rsidR="006F02BA" w:rsidRPr="00DA249F">
        <w:rPr>
          <w:lang w:val="en-GB"/>
        </w:rPr>
        <w:t xml:space="preserve"> </w:t>
      </w:r>
      <w:r w:rsidR="00EE5CAD" w:rsidRPr="00DA249F">
        <w:rPr>
          <w:lang w:val="en-GB"/>
        </w:rPr>
        <w:t>A</w:t>
      </w:r>
      <w:r w:rsidRPr="00DA249F">
        <w:rPr>
          <w:lang w:val="en-GB"/>
        </w:rPr>
        <w:t>lso, water pollution caused by high alkalinity and nitrate concentration (</w:t>
      </w:r>
      <w:r w:rsidRPr="008C1731">
        <w:rPr>
          <w:b/>
          <w:lang w:val="en-GB"/>
        </w:rPr>
        <w:t>section 3.3.3.1</w:t>
      </w:r>
      <w:r w:rsidRPr="00DA249F">
        <w:rPr>
          <w:lang w:val="en-GB"/>
        </w:rPr>
        <w:t xml:space="preserve">) is associated with the occurrence of aquatic invasive alien species </w:t>
      </w:r>
      <w:r w:rsidR="00C11E19">
        <w:rPr>
          <w:lang w:val="en-GB"/>
        </w:rPr>
        <w:t xml:space="preserve">that are </w:t>
      </w:r>
      <w:r w:rsidRPr="00DA249F">
        <w:rPr>
          <w:lang w:val="en-GB"/>
        </w:rPr>
        <w:t xml:space="preserve">among Europe’s top 10 invasive alien species, such as </w:t>
      </w:r>
      <w:r w:rsidRPr="00DA249F">
        <w:rPr>
          <w:i/>
          <w:iCs/>
          <w:lang w:val="en-GB"/>
        </w:rPr>
        <w:t xml:space="preserve">Dreissena polymorpha </w:t>
      </w:r>
      <w:r w:rsidRPr="00DA249F">
        <w:rPr>
          <w:lang w:val="en-GB"/>
        </w:rPr>
        <w:t xml:space="preserve">(zebra </w:t>
      </w:r>
      <w:r w:rsidRPr="00DA249F">
        <w:rPr>
          <w:lang w:val="en-GB"/>
        </w:rPr>
        <w:lastRenderedPageBreak/>
        <w:t xml:space="preserve">mussel), </w:t>
      </w:r>
      <w:r w:rsidRPr="00DA249F">
        <w:rPr>
          <w:i/>
          <w:iCs/>
          <w:lang w:val="en-GB"/>
        </w:rPr>
        <w:t xml:space="preserve">Procambarus </w:t>
      </w:r>
      <w:r w:rsidR="000F6171" w:rsidRPr="00DA249F">
        <w:rPr>
          <w:i/>
          <w:iCs/>
          <w:lang w:val="en-GB"/>
        </w:rPr>
        <w:t>clarkii</w:t>
      </w:r>
      <w:r w:rsidRPr="00DA249F">
        <w:rPr>
          <w:i/>
          <w:iCs/>
          <w:lang w:val="en-GB"/>
        </w:rPr>
        <w:t xml:space="preserve"> </w:t>
      </w:r>
      <w:r w:rsidRPr="00DA249F">
        <w:rPr>
          <w:lang w:val="en-GB"/>
        </w:rPr>
        <w:t xml:space="preserve">(red swamp crayfish) and </w:t>
      </w:r>
      <w:r w:rsidRPr="00DA249F">
        <w:rPr>
          <w:i/>
          <w:iCs/>
          <w:lang w:val="en-GB"/>
        </w:rPr>
        <w:t xml:space="preserve">Salvelinus fontinalis </w:t>
      </w:r>
      <w:r w:rsidRPr="00DA249F">
        <w:rPr>
          <w:lang w:val="en-GB"/>
        </w:rPr>
        <w:t xml:space="preserve">(brook trout) </w:t>
      </w:r>
      <w:r w:rsidRPr="00DA249F">
        <w:rPr>
          <w:lang w:val="en-GB"/>
        </w:rPr>
        <w:fldChar w:fldCharType="begin"/>
      </w:r>
      <w:r w:rsidR="00331A79">
        <w:rPr>
          <w:lang w:val="en-GB"/>
        </w:rPr>
        <w:instrText xml:space="preserve"> ADDIN ZOTERO_ITEM CSL_CITATION {"citationID":"qpgJ2e05","properties":{"formattedCitation":"(Gallardo, 2014)","plainCitation":"(Gallardo, 2014)","noteIndex":0},"citationItems":[{"id":16828,"uris":["http://zotero.org/groups/2352922/items/V7NYMZK4"],"itemData":{"id":16828,"type":"article-journal","abstract":"Using a representative set of 10 of the worst invasive species in Europe, this study investigates the relative importance of climatic, habitat and socio-economic factors in driving the occurrence of invasive species. According to the regression models performed, these factors can be interpreted as multi-scale filters that determine the occurrence of invasive species, with human degradation potentially affecting the performance of the other two environmental filters. Amongst climate factors, minimum temperature of the coldest month was one of the most important drivers of the occurrence of Europe’s worst freshwater and terrestrial invaders like the red swamp crayfish (Procambarus clarkii), Bermuda buttercup (Oxalis pes-caprae) and Sika deer (Cervus nippon). Water chemistry (alkalinity, pH, nitrate) determines the availability of habitat and resources for species at regional to local levels and was relevant to explain the occurrence of aquatic and semi-aquatic invaders such as the brook trout (Salvalinus fontinallis) and Canada goose (Branta canadensis). Likewise, nitrate and cholorophyll-a concentration were important determinants of marine invaders like the bay barnacle (Balanus improvisus) and green sea fingers (Codium fragile). Most relevant socio-economic predictors included the density of roads, country gross domestic product (GDP), distance to ports and the degree of human influence on ecosystems. These variables were particularly relevant to explain the occurrence of the zebra mussel (Dreissena polymorpha) and coypu (Myocastor coypu), species usually associated to disturbed environments. The Japanese kelp (Undaria pinnatifida) was generally distributed much closer to ports than the other two marine organisms, although insufficient information on human impacts prevented a correct assessment of the three marine species. In conclusion, this study shows how socio-economic development is associated with the presence of the top 10 worst European invasive species at a continental scale, and relates this fact to the provision and transport of propagules and the degradation of natural habitats that favour the establishment of invasive species.","container-title":"Ethology Ecology &amp; Evolution","DOI":"10.1080/03949370.2014.896417","ISSN":"0394-9370","issue":"2-3","journalAbbreviation":"Ethology Ecology &amp; Evolution","page":"130-151","source":"tandfonline.com (Atypon)","title":"Europe’s top 10 invasive species: relative importance of climatic, habitat and socio-economic factors","title-short":"Europe’s top 10 invasive species","URL":"https://www.tandfonline.com/doi/citedby/10.1080/03949370.2014.896417","volume":"26","author":[{"family":"Gallardo","given":"Belinda"}],"accessed":{"date-parts":[["2019",11,25]]},"issued":{"date-parts":[["2014",7,3]]}},"label":"page"}],"schema":"https://github.com/citation-style-language/schema/raw/master/csl-citation.json"} </w:instrText>
      </w:r>
      <w:r w:rsidRPr="00DA249F">
        <w:rPr>
          <w:lang w:val="en-GB"/>
        </w:rPr>
        <w:fldChar w:fldCharType="separate"/>
      </w:r>
      <w:r w:rsidR="00144D96" w:rsidRPr="00144D96">
        <w:t>(Gallardo, 2014)</w:t>
      </w:r>
      <w:r w:rsidRPr="00DA249F">
        <w:rPr>
          <w:lang w:val="en-GB"/>
        </w:rPr>
        <w:fldChar w:fldCharType="end"/>
      </w:r>
      <w:r w:rsidRPr="00DA249F">
        <w:rPr>
          <w:lang w:val="en-GB"/>
        </w:rPr>
        <w:t>.</w:t>
      </w:r>
    </w:p>
    <w:p w14:paraId="2398A97C" w14:textId="77777777" w:rsidR="008C1BF7" w:rsidRPr="00DA249F" w:rsidRDefault="3BAEC23B" w:rsidP="00D16DEA">
      <w:pPr>
        <w:pStyle w:val="Heading3"/>
        <w:rPr>
          <w:lang w:val="en-GB"/>
        </w:rPr>
      </w:pPr>
      <w:bookmarkStart w:id="177" w:name="_Toc44317833"/>
      <w:r w:rsidRPr="00DA249F">
        <w:rPr>
          <w:lang w:val="en-GB"/>
        </w:rPr>
        <w:t xml:space="preserve"> </w:t>
      </w:r>
      <w:r w:rsidR="6619E8BF" w:rsidRPr="00DA249F">
        <w:rPr>
          <w:lang w:val="en-GB"/>
        </w:rPr>
        <w:t xml:space="preserve">Marine </w:t>
      </w:r>
      <w:bookmarkEnd w:id="177"/>
      <w:r w:rsidR="6619E8BF" w:rsidRPr="00DA249F">
        <w:rPr>
          <w:lang w:val="en-GB"/>
        </w:rPr>
        <w:t>debris</w:t>
      </w:r>
    </w:p>
    <w:p w14:paraId="32AAC08E" w14:textId="77777777" w:rsidR="008C1BF7" w:rsidRPr="00DA249F" w:rsidRDefault="054619A9" w:rsidP="0090109B">
      <w:pPr>
        <w:rPr>
          <w:szCs w:val="24"/>
          <w:lang w:val="en-GB"/>
        </w:rPr>
      </w:pPr>
      <w:r w:rsidRPr="00DA249F">
        <w:rPr>
          <w:lang w:val="en-GB"/>
        </w:rPr>
        <w:t>Marine debris is</w:t>
      </w:r>
      <w:r w:rsidR="7DCF18F9" w:rsidRPr="00DA249F">
        <w:rPr>
          <w:lang w:val="en-GB"/>
        </w:rPr>
        <w:t xml:space="preserve"> defined as “any persistent manufactured </w:t>
      </w:r>
      <w:r w:rsidR="0E21D399" w:rsidRPr="00DA249F">
        <w:rPr>
          <w:lang w:val="en-GB"/>
        </w:rPr>
        <w:t>or processed solid material discarded, disposed of or abandoned in the marine and coastal environment”</w:t>
      </w:r>
      <w:r w:rsidRPr="00DA249F">
        <w:rPr>
          <w:lang w:val="en-GB"/>
        </w:rPr>
        <w:t xml:space="preserve"> </w:t>
      </w:r>
      <w:r w:rsidR="004F32CF" w:rsidRPr="00DA249F">
        <w:rPr>
          <w:lang w:val="en-GB"/>
        </w:rPr>
        <w:fldChar w:fldCharType="begin"/>
      </w:r>
      <w:r w:rsidR="00331A79">
        <w:rPr>
          <w:lang w:val="en-GB"/>
        </w:rPr>
        <w:instrText xml:space="preserve"> ADDIN ZOTERO_ITEM CSL_CITATION {"citationID":"TBUjuszb","properties":{"formattedCitation":"(Agamuthu et al., 2019)","plainCitation":"(Agamuthu et al., 2019)","noteIndex":0},"citationItems":[{"id":15430,"uris":["http://zotero.org/groups/2352922/items/X2KRVBM5"],"itemData":{"id":15430,"type":"article-journal","abstract":"Marine debris, defined as any persistent manufactured or processed solid material discarded, disposed of or abandoned in the marine and coastal environment, has been highlighted as a contaminant of global environmental and economic concern. The five main categories of marine debris comprise of plastic, paper, metal, textile, glass and rubber. Plastics is recognised as the major constituent of marine debris, representing between 50% and 90% of the total marine debris found globally. Between 4.8 and 12.7 million metric tonnes of consumer plastics end up in the world oceans annually, resulting in the presence of more than 100 million particles of macroplastics in only 12 regional seas worldwide, and with 51 trillion particles of microplastic floating on the ocean surface globally. The impacts of marine debris can be branched out into three categories; injury to or death of marine organisms, harm to marine environment and effects on human health and economy. Marine mammals often accidentally ingest marine debris because of its appearance that can easily be mistaken as food. Moreover, floating plastics may act as vehicles for chemicals and/or environmental contaminants, which may be absorbed on to their surface during their use and permanence into the environment. Additionally, floating plastics is a potential vector for the introduction of invasive species that get attached to it, into the marine environment. In addition, human beings are not excluded from the impact of marine debris as they become exposed to microplastics through seafood consumption. Moreover, landscape degradation owing to debris accumulation is an eyesore and aesthetically unpleasant, thus resulting in decreased tourism and subsequent income loss.","container-title":"Waste Management &amp; Research","DOI":"10.1177/0734242X19845041","ISSN":"0734-242X, 1096-3669","issue":"10","journalAbbreviation":"Waste Manag Res","language":"en","page":"987-1002","source":"DOI.org (Crossref)","title":"Marine debris: A review of impacts and global initiatives","title-short":"Marine debris","URL":"http://journals.sagepub.com/doi/10.1177/0734242X19845041","volume":"37","author":[{"family":"Agamuthu","given":"P"},{"family":"Mehran","given":"Sb"},{"family":"Norkhairah","given":"A"},{"family":"Norkhairiyah","given":"A"}],"accessed":{"date-parts":[["2019",10,16]]},"issued":{"date-parts":[["2019",10]]}},"label":"page"}],"schema":"https://github.com/citation-style-language/schema/raw/master/csl-citation.json"} </w:instrText>
      </w:r>
      <w:r w:rsidR="004F32CF" w:rsidRPr="00DA249F">
        <w:rPr>
          <w:lang w:val="en-GB"/>
        </w:rPr>
        <w:fldChar w:fldCharType="separate"/>
      </w:r>
      <w:r w:rsidR="00144D96" w:rsidRPr="00144D96">
        <w:t>(Agamuthu et al., 2019)</w:t>
      </w:r>
      <w:r w:rsidR="004F32CF" w:rsidRPr="00DA249F">
        <w:rPr>
          <w:lang w:val="en-GB"/>
        </w:rPr>
        <w:fldChar w:fldCharType="end"/>
      </w:r>
      <w:r w:rsidR="3ABE6AC0" w:rsidRPr="00DA249F">
        <w:rPr>
          <w:lang w:val="en-GB"/>
        </w:rPr>
        <w:t>, thus</w:t>
      </w:r>
      <w:r w:rsidR="37923C1B" w:rsidRPr="00DA249F">
        <w:rPr>
          <w:lang w:val="en-GB"/>
        </w:rPr>
        <w:t xml:space="preserve"> </w:t>
      </w:r>
      <w:r w:rsidR="2EA9838C" w:rsidRPr="00DA249F">
        <w:rPr>
          <w:szCs w:val="24"/>
          <w:lang w:val="en-GB"/>
        </w:rPr>
        <w:t>d</w:t>
      </w:r>
      <w:r w:rsidR="37923C1B" w:rsidRPr="00DA249F">
        <w:rPr>
          <w:szCs w:val="24"/>
          <w:lang w:val="en-GB"/>
        </w:rPr>
        <w:t>ispersal of any alien species through marine debris is considered</w:t>
      </w:r>
      <w:r w:rsidR="40A0CF02" w:rsidRPr="00DA249F">
        <w:rPr>
          <w:szCs w:val="24"/>
          <w:lang w:val="en-GB"/>
        </w:rPr>
        <w:t xml:space="preserve"> anthropogenic.</w:t>
      </w:r>
      <w:r w:rsidR="0A0095EE" w:rsidRPr="00DA249F">
        <w:rPr>
          <w:szCs w:val="24"/>
          <w:lang w:val="en-GB"/>
        </w:rPr>
        <w:t xml:space="preserve"> </w:t>
      </w:r>
      <w:r w:rsidR="008C1BF7" w:rsidRPr="00DA249F">
        <w:rPr>
          <w:szCs w:val="24"/>
          <w:lang w:val="en-GB"/>
        </w:rPr>
        <w:t xml:space="preserve">The </w:t>
      </w:r>
      <w:r w:rsidR="00AE746C" w:rsidRPr="00DA249F">
        <w:rPr>
          <w:szCs w:val="24"/>
          <w:lang w:val="en-GB"/>
        </w:rPr>
        <w:t>six</w:t>
      </w:r>
      <w:r w:rsidR="008C1BF7" w:rsidRPr="00DA249F">
        <w:rPr>
          <w:szCs w:val="24"/>
          <w:lang w:val="en-GB"/>
        </w:rPr>
        <w:t xml:space="preserve"> main categories of marine debris are plastic, paper, metal, textile, glass and rubber</w:t>
      </w:r>
      <w:r w:rsidR="004E54EF" w:rsidRPr="00DA249F">
        <w:rPr>
          <w:szCs w:val="24"/>
          <w:lang w:val="en-GB"/>
        </w:rPr>
        <w:t xml:space="preserve"> </w:t>
      </w:r>
      <w:r w:rsidR="00BB456D" w:rsidRPr="00DA249F">
        <w:rPr>
          <w:lang w:val="en-GB"/>
        </w:rPr>
        <w:fldChar w:fldCharType="begin"/>
      </w:r>
      <w:r w:rsidR="00331A79">
        <w:rPr>
          <w:lang w:val="en-GB"/>
        </w:rPr>
        <w:instrText xml:space="preserve"> ADDIN ZOTERO_ITEM CSL_CITATION {"citationID":"tWpI7P85","properties":{"formattedCitation":"(Agamuthu et al., 2019)","plainCitation":"(Agamuthu et al., 2019)","noteIndex":0},"citationItems":[{"id":15430,"uris":["http://zotero.org/groups/2352922/items/X2KRVBM5"],"itemData":{"id":15430,"type":"article-journal","abstract":"Marine debris, defined as any persistent manufactured or processed solid material discarded, disposed of or abandoned in the marine and coastal environment, has been highlighted as a contaminant of global environmental and economic concern. The five main categories of marine debris comprise of plastic, paper, metal, textile, glass and rubber. Plastics is recognised as the major constituent of marine debris, representing between 50% and 90% of the total marine debris found globally. Between 4.8 and 12.7 million metric tonnes of consumer plastics end up in the world oceans annually, resulting in the presence of more than 100 million particles of macroplastics in only 12 regional seas worldwide, and with 51 trillion particles of microplastic floating on the ocean surface globally. The impacts of marine debris can be branched out into three categories; injury to or death of marine organisms, harm to marine environment and effects on human health and economy. Marine mammals often accidentally ingest marine debris because of its appearance that can easily be mistaken as food. Moreover, floating plastics may act as vehicles for chemicals and/or environmental contaminants, which may be absorbed on to their surface during their use and permanence into the environment. Additionally, floating plastics is a potential vector for the introduction of invasive species that get attached to it, into the marine environment. In addition, human beings are not excluded from the impact of marine debris as they become exposed to microplastics through seafood consumption. Moreover, landscape degradation owing to debris accumulation is an eyesore and aesthetically unpleasant, thus resulting in decreased tourism and subsequent income loss.","container-title":"Waste Management &amp; Research","DOI":"10.1177/0734242X19845041","ISSN":"0734-242X, 1096-3669","issue":"10","journalAbbreviation":"Waste Manag Res","language":"en","page":"987-1002","source":"DOI.org (Crossref)","title":"Marine debris: A review of impacts and global initiatives","title-short":"Marine debris","URL":"http://journals.sagepub.com/doi/10.1177/0734242X19845041","volume":"37","author":[{"family":"Agamuthu","given":"P"},{"family":"Mehran","given":"Sb"},{"family":"Norkhairah","given":"A"},{"family":"Norkhairiyah","given":"A"}],"accessed":{"date-parts":[["2019",10,16]]},"issued":{"date-parts":[["2019",10]]}},"label":"page"}],"schema":"https://github.com/citation-style-language/schema/raw/master/csl-citation.json"} </w:instrText>
      </w:r>
      <w:r w:rsidR="00BB456D" w:rsidRPr="00DA249F">
        <w:rPr>
          <w:lang w:val="en-GB"/>
        </w:rPr>
        <w:fldChar w:fldCharType="separate"/>
      </w:r>
      <w:r w:rsidR="00144D96" w:rsidRPr="00144D96">
        <w:t>(Agamuthu et al., 2019)</w:t>
      </w:r>
      <w:r w:rsidR="00BB456D" w:rsidRPr="00DA249F">
        <w:rPr>
          <w:lang w:val="en-GB"/>
        </w:rPr>
        <w:fldChar w:fldCharType="end"/>
      </w:r>
      <w:r w:rsidR="00BB456D" w:rsidRPr="00DA249F">
        <w:rPr>
          <w:lang w:val="en-GB"/>
        </w:rPr>
        <w:t xml:space="preserve">. </w:t>
      </w:r>
      <w:r w:rsidR="008C1BF7" w:rsidRPr="00DA249F">
        <w:rPr>
          <w:szCs w:val="24"/>
          <w:lang w:val="en-GB"/>
        </w:rPr>
        <w:t>Plastic comprises 50</w:t>
      </w:r>
      <w:r w:rsidR="00EE5CAD" w:rsidRPr="00DA249F">
        <w:rPr>
          <w:szCs w:val="24"/>
          <w:lang w:val="en-GB"/>
        </w:rPr>
        <w:t xml:space="preserve"> </w:t>
      </w:r>
      <w:r w:rsidR="008C1BF7" w:rsidRPr="00DA249F">
        <w:rPr>
          <w:szCs w:val="24"/>
          <w:lang w:val="en-GB"/>
        </w:rPr>
        <w:t>to 90</w:t>
      </w:r>
      <w:r w:rsidR="00EE5CAD" w:rsidRPr="00DA249F">
        <w:rPr>
          <w:szCs w:val="24"/>
          <w:lang w:val="en-GB"/>
        </w:rPr>
        <w:t xml:space="preserve"> </w:t>
      </w:r>
      <w:r w:rsidR="004C77CD" w:rsidRPr="00DA249F">
        <w:rPr>
          <w:szCs w:val="24"/>
          <w:lang w:val="en-GB"/>
        </w:rPr>
        <w:t>per cent</w:t>
      </w:r>
      <w:r w:rsidR="008C1BF7" w:rsidRPr="00DA249F">
        <w:rPr>
          <w:szCs w:val="24"/>
          <w:lang w:val="en-GB"/>
        </w:rPr>
        <w:t xml:space="preserve"> of the total marine debris found globally</w:t>
      </w:r>
      <w:r w:rsidR="373498CD" w:rsidRPr="00DA249F">
        <w:rPr>
          <w:szCs w:val="24"/>
          <w:lang w:val="en-GB"/>
        </w:rPr>
        <w:t xml:space="preserve"> </w:t>
      </w:r>
      <w:r w:rsidRPr="00DA249F">
        <w:rPr>
          <w:szCs w:val="24"/>
          <w:lang w:val="en-GB"/>
        </w:rPr>
        <w:fldChar w:fldCharType="begin"/>
      </w:r>
      <w:r w:rsidR="00331A79">
        <w:rPr>
          <w:szCs w:val="24"/>
          <w:lang w:val="en-GB"/>
        </w:rPr>
        <w:instrText xml:space="preserve"> ADDIN ZOTERO_ITEM CSL_CITATION {"citationID":"t5F6JvHS","properties":{"formattedCitation":"(Eriksen et al., 2014)","plainCitation":"(Eriksen et al., 2014)","noteIndex":0},"citationItems":[{"id":22192,"uris":["http://zotero.org/groups/2352922/items/ABXB2YE3"],"itemData":{"id":22192,"type":"article-journal","container-title":"PLoS ONE","DOI":"10.1371/ journal.pone.0111913","issue":"12","note":"publisher: Public Library of Science","page":"e111913","title":"Plastic pollution in the world's oceans: more than 5 trillion plastic pieces weighing over 250,000 tons afloat at sea","volume":"9","author":[{"family":"Eriksen","given":"Marcus"},{"family":"Lebreton","given":"Laurent CM"},{"family":"Carson","given":"Henry S"},{"family":"Thiel","given":"Martin"},{"family":"Moore","given":"Charles J"},{"family":"Borerro","given":"Jose C"},{"family":"Galgani","given":"Francois"},{"family":"Ryan","given":"Peter G"},{"family":"Reisser","given":"Julia"}],"issued":{"date-parts":[["2014"]]}},"label":"page"}],"schema":"https://github.com/citation-style-language/schema/raw/master/csl-citation.json"} </w:instrText>
      </w:r>
      <w:r w:rsidRPr="00DA249F">
        <w:rPr>
          <w:szCs w:val="24"/>
          <w:lang w:val="en-GB"/>
        </w:rPr>
        <w:fldChar w:fldCharType="separate"/>
      </w:r>
      <w:r w:rsidR="00144D96" w:rsidRPr="00144D96">
        <w:t>(Eriksen et al., 2014)</w:t>
      </w:r>
      <w:r w:rsidRPr="00DA249F">
        <w:rPr>
          <w:szCs w:val="24"/>
          <w:lang w:val="en-GB"/>
        </w:rPr>
        <w:fldChar w:fldCharType="end"/>
      </w:r>
      <w:r w:rsidR="373498CD" w:rsidRPr="00DA249F">
        <w:rPr>
          <w:szCs w:val="24"/>
          <w:lang w:val="en-GB"/>
        </w:rPr>
        <w:t>.</w:t>
      </w:r>
      <w:r w:rsidR="008C1BF7" w:rsidRPr="00DA249F">
        <w:rPr>
          <w:szCs w:val="24"/>
          <w:lang w:val="en-GB"/>
        </w:rPr>
        <w:t xml:space="preserve"> A 2014 estimate of the amount of plastic pollution floating on the ocean revealed that there is a minimum of 5.25 trillion particles weighing 268,940 tons </w:t>
      </w:r>
      <w:r w:rsidR="00BB456D" w:rsidRPr="00DA249F">
        <w:rPr>
          <w:szCs w:val="24"/>
          <w:lang w:val="en-GB"/>
        </w:rPr>
        <w:fldChar w:fldCharType="begin"/>
      </w:r>
      <w:r w:rsidR="00331A79">
        <w:rPr>
          <w:szCs w:val="24"/>
          <w:lang w:val="en-GB"/>
        </w:rPr>
        <w:instrText xml:space="preserve"> ADDIN ZOTERO_ITEM CSL_CITATION {"citationID":"kmAPY5kP","properties":{"formattedCitation":"(Eriksen et al., 2014)","plainCitation":"(Eriksen et al., 2014)","noteIndex":0},"citationItems":[{"id":22192,"uris":["http://zotero.org/groups/2352922/items/ABXB2YE3"],"itemData":{"id":22192,"type":"article-journal","container-title":"PLoS ONE","DOI":"10.1371/ journal.pone.0111913","issue":"12","note":"publisher: Public Library of Science","page":"e111913","title":"Plastic pollution in the world's oceans: more than 5 trillion plastic pieces weighing over 250,000 tons afloat at sea","volume":"9","author":[{"family":"Eriksen","given":"Marcus"},{"family":"Lebreton","given":"Laurent CM"},{"family":"Carson","given":"Henry S"},{"family":"Thiel","given":"Martin"},{"family":"Moore","given":"Charles J"},{"family":"Borerro","given":"Jose C"},{"family":"Galgani","given":"Francois"},{"family":"Ryan","given":"Peter G"},{"family":"Reisser","given":"Julia"}],"issued":{"date-parts":[["2014"]]}},"label":"page"}],"schema":"https://github.com/citation-style-language/schema/raw/master/csl-citation.json"} </w:instrText>
      </w:r>
      <w:r w:rsidR="00BB456D" w:rsidRPr="00DA249F">
        <w:rPr>
          <w:szCs w:val="24"/>
          <w:lang w:val="en-GB"/>
        </w:rPr>
        <w:fldChar w:fldCharType="separate"/>
      </w:r>
      <w:r w:rsidR="00144D96" w:rsidRPr="00144D96">
        <w:t>(Eriksen et al., 2014)</w:t>
      </w:r>
      <w:r w:rsidR="00BB456D" w:rsidRPr="00DA249F">
        <w:rPr>
          <w:szCs w:val="24"/>
          <w:lang w:val="en-GB"/>
        </w:rPr>
        <w:fldChar w:fldCharType="end"/>
      </w:r>
      <w:r w:rsidR="008C1BF7" w:rsidRPr="00DA249F">
        <w:rPr>
          <w:szCs w:val="24"/>
          <w:lang w:val="en-GB"/>
        </w:rPr>
        <w:t xml:space="preserve">. </w:t>
      </w:r>
      <w:r w:rsidR="3C467107" w:rsidRPr="00DA249F">
        <w:rPr>
          <w:szCs w:val="24"/>
          <w:lang w:val="en-GB"/>
        </w:rPr>
        <w:t xml:space="preserve">In the absence of further regulations, the amount of plastic entering aquatic ecosystems </w:t>
      </w:r>
      <w:r w:rsidR="00BF2FDE" w:rsidRPr="00DA249F">
        <w:rPr>
          <w:szCs w:val="24"/>
          <w:lang w:val="en-GB"/>
        </w:rPr>
        <w:t>annually</w:t>
      </w:r>
      <w:r w:rsidR="3F18310D" w:rsidRPr="00DA249F">
        <w:rPr>
          <w:szCs w:val="24"/>
          <w:lang w:val="en-GB"/>
        </w:rPr>
        <w:t xml:space="preserve"> </w:t>
      </w:r>
      <w:r w:rsidR="3C467107" w:rsidRPr="00DA249F">
        <w:rPr>
          <w:szCs w:val="24"/>
          <w:lang w:val="en-GB"/>
        </w:rPr>
        <w:t>is expected to</w:t>
      </w:r>
      <w:r w:rsidR="23257A62" w:rsidRPr="00DA249F">
        <w:rPr>
          <w:szCs w:val="24"/>
          <w:lang w:val="en-GB"/>
        </w:rPr>
        <w:t xml:space="preserve"> </w:t>
      </w:r>
      <w:r w:rsidR="60995462" w:rsidRPr="00DA249F">
        <w:rPr>
          <w:szCs w:val="24"/>
          <w:lang w:val="en-GB"/>
        </w:rPr>
        <w:t>increase</w:t>
      </w:r>
      <w:r w:rsidR="77D783B5" w:rsidRPr="00DA249F">
        <w:rPr>
          <w:szCs w:val="24"/>
          <w:lang w:val="en-GB"/>
        </w:rPr>
        <w:t xml:space="preserve"> </w:t>
      </w:r>
      <w:r w:rsidR="75C4E518" w:rsidRPr="00DA249F">
        <w:rPr>
          <w:szCs w:val="24"/>
          <w:lang w:val="en-GB"/>
        </w:rPr>
        <w:t xml:space="preserve">from </w:t>
      </w:r>
      <w:r w:rsidR="75C4E518" w:rsidRPr="00DA249F">
        <w:rPr>
          <w:rFonts w:eastAsia="Times New Roman"/>
          <w:szCs w:val="24"/>
          <w:lang w:val="en-GB"/>
        </w:rPr>
        <w:t>14 million tons per year in 2016 to 23-37 million tons per year by 2040</w:t>
      </w:r>
      <w:r w:rsidR="75C4E518" w:rsidRPr="00DA249F">
        <w:rPr>
          <w:szCs w:val="24"/>
          <w:lang w:val="en-GB"/>
        </w:rPr>
        <w:t xml:space="preserve"> </w:t>
      </w:r>
      <w:r w:rsidR="0044616C" w:rsidRPr="00DA249F">
        <w:rPr>
          <w:szCs w:val="24"/>
          <w:lang w:val="en-GB"/>
        </w:rPr>
        <w:fldChar w:fldCharType="begin"/>
      </w:r>
      <w:r w:rsidR="00331A79">
        <w:rPr>
          <w:szCs w:val="24"/>
          <w:lang w:val="en-GB"/>
        </w:rPr>
        <w:instrText xml:space="preserve"> ADDIN ZOTERO_ITEM CSL_CITATION {"citationID":"5fDI5oa1","properties":{"formattedCitation":"(United Nations Environment Programme, 2021)","plainCitation":"(United Nations Environment Programme, 2021)","noteIndex":0},"citationItems":[{"id":54495,"uris":["http://zotero.org/groups/2352922/items/3E7WNC5H"],"itemData":{"id":54495,"type":"document","abstract":"Outcome from working on the United Nations Environment Programme Advisory Group with the aim to address the UN Environment Assembly’s adopted resolution (UN/EA.4/RES.6) on Marine Plastic Litter and Microplastics by recommending indicators to harmonise monitoring and assessment and informing on policies and action environmentally sound technology innovations.","language":"en","source":"nottingham-repository.worktribe.com","title":"From Pollution to Solution. A global assessment of marine litter and plastic pollution Nairobi","title-short":"From Pollution To Solution","URL":"https://nottingham-repository.worktribe.com/output/8047115","author":[{"literal":"United Nations Environment Programme"}],"accessed":{"date-parts":[["2023",2,14]]},"issued":{"date-parts":[["2021",12,31]]}},"label":"page"}],"schema":"https://github.com/citation-style-language/schema/raw/master/csl-citation.json"} </w:instrText>
      </w:r>
      <w:r w:rsidR="0044616C" w:rsidRPr="00DA249F">
        <w:rPr>
          <w:szCs w:val="24"/>
          <w:lang w:val="en-GB"/>
        </w:rPr>
        <w:fldChar w:fldCharType="separate"/>
      </w:r>
      <w:r w:rsidR="00144D96" w:rsidRPr="00144D96">
        <w:t>(United Nations Environment Programme, 2021)</w:t>
      </w:r>
      <w:r w:rsidR="0044616C" w:rsidRPr="00DA249F">
        <w:rPr>
          <w:szCs w:val="24"/>
          <w:lang w:val="en-GB"/>
        </w:rPr>
        <w:fldChar w:fldCharType="end"/>
      </w:r>
      <w:r w:rsidR="2C8B5ACA" w:rsidRPr="00DA249F">
        <w:rPr>
          <w:szCs w:val="24"/>
          <w:lang w:val="en-GB"/>
        </w:rPr>
        <w:t xml:space="preserve">. </w:t>
      </w:r>
      <w:r w:rsidR="123F9CB8" w:rsidRPr="00DA249F">
        <w:rPr>
          <w:szCs w:val="24"/>
          <w:lang w:val="en-GB"/>
        </w:rPr>
        <w:t>This</w:t>
      </w:r>
      <w:r w:rsidR="008C1BF7" w:rsidRPr="00DA249F">
        <w:rPr>
          <w:szCs w:val="24"/>
          <w:lang w:val="en-GB"/>
        </w:rPr>
        <w:t xml:space="preserve"> burgeoning amount of plastic debris in the ocean has created unprecedented opportunities for the dispersal of marine organisms through rafting, representing a potential mechanism for </w:t>
      </w:r>
      <w:r w:rsidR="00A10C0A" w:rsidRPr="00DA249F">
        <w:rPr>
          <w:szCs w:val="24"/>
          <w:lang w:val="en-GB"/>
        </w:rPr>
        <w:t xml:space="preserve">biological </w:t>
      </w:r>
      <w:r w:rsidR="008C1BF7" w:rsidRPr="00DA249F">
        <w:rPr>
          <w:szCs w:val="24"/>
          <w:lang w:val="en-GB"/>
        </w:rPr>
        <w:t>invasion</w:t>
      </w:r>
      <w:r w:rsidR="00955D0F" w:rsidRPr="00DA249F">
        <w:rPr>
          <w:szCs w:val="24"/>
          <w:lang w:val="en-GB"/>
        </w:rPr>
        <w:t>s</w:t>
      </w:r>
      <w:r w:rsidR="008C1BF7" w:rsidRPr="00DA249F">
        <w:rPr>
          <w:szCs w:val="24"/>
          <w:lang w:val="en-GB"/>
        </w:rPr>
        <w:t>. Floating marine debris can disperse attached organisms significant distances depending on the ocean current</w:t>
      </w:r>
      <w:r w:rsidR="05DF4A06" w:rsidRPr="00DA249F">
        <w:rPr>
          <w:szCs w:val="24"/>
          <w:lang w:val="en-GB"/>
        </w:rPr>
        <w:t xml:space="preserve"> speed and direction</w:t>
      </w:r>
      <w:r w:rsidR="008C1BF7" w:rsidRPr="00DA249F">
        <w:rPr>
          <w:szCs w:val="24"/>
          <w:lang w:val="en-GB"/>
        </w:rPr>
        <w:t xml:space="preserve">, and thus facilitates first introductions (via long-distance transport) to a new region, and secondary spread (short-distance transport) within an invaded region </w:t>
      </w:r>
      <w:r w:rsidRPr="00DA249F">
        <w:rPr>
          <w:szCs w:val="24"/>
          <w:lang w:val="en-GB"/>
        </w:rPr>
        <w:fldChar w:fldCharType="begin"/>
      </w:r>
      <w:r w:rsidR="00331A79">
        <w:rPr>
          <w:szCs w:val="24"/>
          <w:lang w:val="en-GB"/>
        </w:rPr>
        <w:instrText xml:space="preserve"> ADDIN ZOTERO_ITEM CSL_CITATION {"citationID":"npzAQeK4","properties":{"formattedCitation":"(Rech et al., 2016)","plainCitation":"(Rech et al., 2016)","noteIndex":0},"citationItems":[{"id":15426,"uris":["http://zotero.org/groups/2352922/items/8A8WPGEF"],"itemData":{"id":15426,"type":"article-journal","abstract":"Plastic debris and other floating materials endanger severely marine ecosystems. When they carry attached biota they can be a cause of biological invasions whose extent and intensity is not known yet. This article focuses on knowledge gaps and research priorities needed for, first, understanding and then preventing dispersal of alien invasive species attached to marine litter. (C) 2016 Elsevier Ltd. All rights reserved.","container-title":"Marine Pollution Bulletin","DOI":"10.1016/j.marpolbul.2016.08.032","ISSN":"0025-326X","issue":"1-2","language":"English","page":"40-43","title":"Marine litter as a vector for non-native species: What we need to know","volume":"113","author":[{"family":"Rech","given":"Sabine"},{"family":"Borrell","given":"Yaisel"},{"family":"Garcia-Vazquez","given":"Eva"}],"issued":{"date-parts":[["2016",12,15]]}},"label":"page"}],"schema":"https://github.com/citation-style-language/schema/raw/master/csl-citation.json"} </w:instrText>
      </w:r>
      <w:r w:rsidRPr="00DA249F">
        <w:rPr>
          <w:szCs w:val="24"/>
          <w:lang w:val="en-GB"/>
        </w:rPr>
        <w:fldChar w:fldCharType="separate"/>
      </w:r>
      <w:r w:rsidR="00144D96" w:rsidRPr="00144D96">
        <w:t>(Rech et al., 2016)</w:t>
      </w:r>
      <w:r w:rsidRPr="00DA249F">
        <w:rPr>
          <w:szCs w:val="24"/>
          <w:lang w:val="en-GB"/>
        </w:rPr>
        <w:fldChar w:fldCharType="end"/>
      </w:r>
      <w:r w:rsidR="008C1BF7" w:rsidRPr="00DA249F">
        <w:rPr>
          <w:szCs w:val="24"/>
          <w:lang w:val="en-GB"/>
        </w:rPr>
        <w:t xml:space="preserve">. Floating plastic degrades much more slowly than natural </w:t>
      </w:r>
      <w:r w:rsidR="003F10A3">
        <w:rPr>
          <w:szCs w:val="24"/>
          <w:lang w:val="en-GB"/>
        </w:rPr>
        <w:t xml:space="preserve">rafting </w:t>
      </w:r>
      <w:r w:rsidR="008C1BF7" w:rsidRPr="00DA249F">
        <w:rPr>
          <w:szCs w:val="24"/>
          <w:lang w:val="en-GB"/>
        </w:rPr>
        <w:t xml:space="preserve">material and therefore is a potentially more potent vector for long-distance dispersal of invasive </w:t>
      </w:r>
      <w:r w:rsidR="002A0EE8" w:rsidRPr="00DA249F">
        <w:rPr>
          <w:szCs w:val="24"/>
          <w:lang w:val="en-GB"/>
        </w:rPr>
        <w:t xml:space="preserve">alien </w:t>
      </w:r>
      <w:r w:rsidR="008C1BF7" w:rsidRPr="00DA249F">
        <w:rPr>
          <w:szCs w:val="24"/>
          <w:lang w:val="en-GB"/>
        </w:rPr>
        <w:t xml:space="preserve">species </w:t>
      </w:r>
      <w:r w:rsidRPr="00DA249F">
        <w:rPr>
          <w:szCs w:val="24"/>
          <w:lang w:val="en-GB"/>
        </w:rPr>
        <w:fldChar w:fldCharType="begin"/>
      </w:r>
      <w:r w:rsidR="00331A79">
        <w:rPr>
          <w:szCs w:val="24"/>
          <w:lang w:val="en-GB"/>
        </w:rPr>
        <w:instrText xml:space="preserve"> ADDIN ZOTERO_ITEM CSL_CITATION {"citationID":"QrVTgXiS","properties":{"formattedCitation":"(Agamuthu et al., 2019)","plainCitation":"(Agamuthu et al., 2019)","noteIndex":0},"citationItems":[{"id":15430,"uris":["http://zotero.org/groups/2352922/items/X2KRVBM5"],"itemData":{"id":15430,"type":"article-journal","abstract":"Marine debris, defined as any persistent manufactured or processed solid material discarded, disposed of or abandoned in the marine and coastal environment, has been highlighted as a contaminant of global environmental and economic concern. The five main categories of marine debris comprise of plastic, paper, metal, textile, glass and rubber. Plastics is recognised as the major constituent of marine debris, representing between 50% and 90% of the total marine debris found globally. Between 4.8 and 12.7 million metric tonnes of consumer plastics end up in the world oceans annually, resulting in the presence of more than 100 million particles of macroplastics in only 12 regional seas worldwide, and with 51 trillion particles of microplastic floating on the ocean surface globally. The impacts of marine debris can be branched out into three categories; injury to or death of marine organisms, harm to marine environment and effects on human health and economy. Marine mammals often accidentally ingest marine debris because of its appearance that can easily be mistaken as food. Moreover, floating plastics may act as vehicles for chemicals and/or environmental contaminants, which may be absorbed on to their surface during their use and permanence into the environment. Additionally, floating plastics is a potential vector for the introduction of invasive species that get attached to it, into the marine environment. In addition, human beings are not excluded from the impact of marine debris as they become exposed to microplastics through seafood consumption. Moreover, landscape degradation owing to debris accumulation is an eyesore and aesthetically unpleasant, thus resulting in decreased tourism and subsequent income loss.","container-title":"Waste Management &amp; Research","DOI":"10.1177/0734242X19845041","ISSN":"0734-242X, 1096-3669","issue":"10","journalAbbreviation":"Waste Manag Res","language":"en","page":"987-1002","source":"DOI.org (Crossref)","title":"Marine debris: A review of impacts and global initiatives","title-short":"Marine debris","URL":"http://journals.sagepub.com/doi/10.1177/0734242X19845041","volume":"37","author":[{"family":"Agamuthu","given":"P"},{"family":"Mehran","given":"Sb"},{"family":"Norkhairah","given":"A"},{"family":"Norkhairiyah","given":"A"}],"accessed":{"date-parts":[["2019",10,16]]},"issued":{"date-parts":[["2019",10]]}},"label":"page"}],"schema":"https://github.com/citation-style-language/schema/raw/master/csl-citation.json"} </w:instrText>
      </w:r>
      <w:r w:rsidRPr="00DA249F">
        <w:rPr>
          <w:szCs w:val="24"/>
          <w:lang w:val="en-GB"/>
        </w:rPr>
        <w:fldChar w:fldCharType="separate"/>
      </w:r>
      <w:r w:rsidR="00144D96" w:rsidRPr="00144D96">
        <w:t>(Agamuthu et al., 2019)</w:t>
      </w:r>
      <w:r w:rsidRPr="00DA249F">
        <w:rPr>
          <w:szCs w:val="24"/>
          <w:lang w:val="en-GB"/>
        </w:rPr>
        <w:fldChar w:fldCharType="end"/>
      </w:r>
      <w:r w:rsidR="008C1BF7" w:rsidRPr="00DA249F">
        <w:rPr>
          <w:szCs w:val="24"/>
          <w:lang w:val="en-GB"/>
        </w:rPr>
        <w:t>.</w:t>
      </w:r>
    </w:p>
    <w:p w14:paraId="5BA9DE80" w14:textId="54C3ED7E" w:rsidR="008C1BF7" w:rsidRPr="00DA249F" w:rsidRDefault="000F0314" w:rsidP="0090109B">
      <w:pPr>
        <w:rPr>
          <w:lang w:val="en-GB"/>
        </w:rPr>
      </w:pPr>
      <w:r w:rsidRPr="00DA249F">
        <w:rPr>
          <w:lang w:val="en-GB"/>
        </w:rPr>
        <w:t xml:space="preserve">Flotsam and jetsam </w:t>
      </w:r>
      <w:r w:rsidR="003E7825" w:rsidRPr="00DA249F">
        <w:rPr>
          <w:lang w:val="en-GB"/>
        </w:rPr>
        <w:t>(floating debri</w:t>
      </w:r>
      <w:r w:rsidR="00BF58D5" w:rsidRPr="00DA249F">
        <w:rPr>
          <w:lang w:val="en-GB"/>
        </w:rPr>
        <w:t>s</w:t>
      </w:r>
      <w:r w:rsidR="003E7825" w:rsidRPr="00DA249F">
        <w:rPr>
          <w:lang w:val="en-GB"/>
        </w:rPr>
        <w:t xml:space="preserve">) </w:t>
      </w:r>
      <w:r w:rsidR="008C1BF7" w:rsidRPr="00DA249F">
        <w:rPr>
          <w:lang w:val="en-GB"/>
        </w:rPr>
        <w:t xml:space="preserve">usually start their floating journey in a “clean” state </w:t>
      </w:r>
      <w:r w:rsidR="00C11E19">
        <w:rPr>
          <w:lang w:val="en-GB"/>
        </w:rPr>
        <w:t>(</w:t>
      </w:r>
      <w:r w:rsidR="00930403" w:rsidRPr="00DA249F">
        <w:rPr>
          <w:lang w:val="en-GB"/>
        </w:rPr>
        <w:t xml:space="preserve">i.e., </w:t>
      </w:r>
      <w:r w:rsidR="008C1BF7" w:rsidRPr="00DA249F">
        <w:rPr>
          <w:lang w:val="en-GB"/>
        </w:rPr>
        <w:t>free of fouling biota</w:t>
      </w:r>
      <w:r w:rsidR="00C11E19">
        <w:rPr>
          <w:lang w:val="en-GB"/>
        </w:rPr>
        <w:t>)</w:t>
      </w:r>
      <w:r w:rsidR="008C1BF7" w:rsidRPr="00DA249F">
        <w:rPr>
          <w:lang w:val="en-GB"/>
        </w:rPr>
        <w:t>. Debris provide</w:t>
      </w:r>
      <w:r w:rsidR="00671FEB">
        <w:rPr>
          <w:lang w:val="en-GB"/>
        </w:rPr>
        <w:t>s</w:t>
      </w:r>
      <w:r w:rsidR="008C1BF7" w:rsidRPr="00DA249F">
        <w:rPr>
          <w:lang w:val="en-GB"/>
        </w:rPr>
        <w:t xml:space="preserve"> a new habitat for marine species </w:t>
      </w:r>
      <w:r w:rsidR="00EA2F31">
        <w:rPr>
          <w:lang w:val="en-GB"/>
        </w:rPr>
        <w:t>adding</w:t>
      </w:r>
      <w:r w:rsidR="00671FEB" w:rsidRPr="00DA249F">
        <w:rPr>
          <w:lang w:val="en-GB"/>
        </w:rPr>
        <w:t xml:space="preserve"> </w:t>
      </w:r>
      <w:r w:rsidR="008C1BF7" w:rsidRPr="00DA249F">
        <w:rPr>
          <w:lang w:val="en-GB"/>
        </w:rPr>
        <w:t>new surfaces for colonization by organisms</w:t>
      </w:r>
      <w:r w:rsidR="00671FEB">
        <w:rPr>
          <w:lang w:val="en-GB"/>
        </w:rPr>
        <w:t>.</w:t>
      </w:r>
      <w:r w:rsidR="00EA2F31">
        <w:rPr>
          <w:lang w:val="en-GB"/>
        </w:rPr>
        <w:t xml:space="preserve"> </w:t>
      </w:r>
      <w:r w:rsidR="00671FEB">
        <w:rPr>
          <w:lang w:val="en-GB"/>
        </w:rPr>
        <w:t>Because de</w:t>
      </w:r>
      <w:r w:rsidR="00EA2F31">
        <w:rPr>
          <w:lang w:val="en-GB"/>
        </w:rPr>
        <w:t>b</w:t>
      </w:r>
      <w:r w:rsidR="00671FEB">
        <w:rPr>
          <w:lang w:val="en-GB"/>
        </w:rPr>
        <w:t>ris</w:t>
      </w:r>
      <w:r w:rsidR="008C1BF7" w:rsidRPr="00DA249F">
        <w:rPr>
          <w:lang w:val="en-GB"/>
        </w:rPr>
        <w:t xml:space="preserve"> usually spen</w:t>
      </w:r>
      <w:r w:rsidR="00671FEB">
        <w:rPr>
          <w:lang w:val="en-GB"/>
        </w:rPr>
        <w:t>ds a</w:t>
      </w:r>
      <w:r w:rsidR="008C1BF7" w:rsidRPr="00DA249F">
        <w:rPr>
          <w:lang w:val="en-GB"/>
        </w:rPr>
        <w:t xml:space="preserve"> long time periods in the marine environment, </w:t>
      </w:r>
      <w:r w:rsidR="00671FEB">
        <w:rPr>
          <w:lang w:val="en-GB"/>
        </w:rPr>
        <w:t>debris</w:t>
      </w:r>
      <w:r w:rsidR="00671FEB" w:rsidRPr="00DA249F">
        <w:rPr>
          <w:lang w:val="en-GB"/>
        </w:rPr>
        <w:t xml:space="preserve"> </w:t>
      </w:r>
      <w:r w:rsidR="008C1BF7" w:rsidRPr="00DA249F">
        <w:rPr>
          <w:lang w:val="en-GB"/>
        </w:rPr>
        <w:t>often host</w:t>
      </w:r>
      <w:r w:rsidR="00671FEB">
        <w:rPr>
          <w:lang w:val="en-GB"/>
        </w:rPr>
        <w:t>s</w:t>
      </w:r>
      <w:r w:rsidR="008C1BF7" w:rsidRPr="00DA249F">
        <w:rPr>
          <w:lang w:val="en-GB"/>
        </w:rPr>
        <w:t xml:space="preserve"> an extensive and reproductively active fouling biota, before becom</w:t>
      </w:r>
      <w:r w:rsidR="00671FEB">
        <w:rPr>
          <w:lang w:val="en-GB"/>
        </w:rPr>
        <w:t>ing</w:t>
      </w:r>
      <w:r w:rsidR="008C1BF7" w:rsidRPr="00DA249F">
        <w:rPr>
          <w:lang w:val="en-GB"/>
        </w:rPr>
        <w:t xml:space="preserve"> part of marine floating litter </w:t>
      </w:r>
      <w:r w:rsidR="008C1BF7" w:rsidRPr="00DA249F">
        <w:rPr>
          <w:lang w:val="en-GB"/>
        </w:rPr>
        <w:fldChar w:fldCharType="begin"/>
      </w:r>
      <w:r w:rsidR="00F5121E">
        <w:rPr>
          <w:lang w:val="en-GB"/>
        </w:rPr>
        <w:instrText xml:space="preserve"> ADDIN ZOTERO_ITEM CSL_CITATION {"citationID":"LRk8M8aR","properties":{"formattedCitation":"(Kiessling et al., 2015)","plainCitation":"(Kiessling et al., 2015)","noteIndex":0},"citationItems":[{"id":15425,"uris":["http://zotero.org/groups/2352922/items/V2VJY6U5"],"itemData":{"id":15425,"type":"chapter","abstract":"Floating anthropogenic litter provides habitat for a diverse community of marine organisms. A total of 387 taxa, including pro-and eukaryotic microorganisms, seaweeds and invertebrates, have been found rafting on floating litter in all major oceanic regions. Among the invertebrates, species of bryozoans, crustaceans, molluscs and cnidarians are most frequently reported as rafters on marine litter. Micro-organisms are also ubiquitous on marine litter although the composition of the microbial community seems to depend on specific substratum characteristics such as the polymer type of floating plastic items. Sessile suspension feeders are particularly well-adapted to the limited autochthonous food resources on artificial floating substrata and an extended planktonic larval development seems to facilitate colonization of floating litter at sea. Properties of floating litter, such as size and surface rugosity, are crucial for colonization by marine organisms and the subsequent succession of the rafting community. The rafters themselves affect substratum characteristics such as floating stability, buoyancy, and degradation. Under the influence of currents and winds marine litter can transport associated organisms over extensive distances. Because of the great persistence (especially of plastics) and the vast quantities of litter in the world's oceans, rafting dispersal has become more prevalent in the marine environment, potentially facilitating the spread of invasive species.","container-title":"Marine Anthropogenic Litter","event-place":"Heidelberger Platz 3, D-14197 Berlin, Germany","ISBN":"978-3-319-16510-3","language":"English","note":"DOI: 10.1007/978-3-319-16510-3_6","page":"141-181","publisher":"Springer-Verlag, Berlin","publisher-place":"Heidelberger Platz 3, D-14197 Berlin, Germany","title":"Marine Litter as Habitat and Dispersal Vector","author":[{"family":"Kiessling","given":"Tim"},{"family":"Gutow","given":"Lars"},{"family":"Thiel","given":"Martin"}],"editor":[{"literal":"Bergmann, M and Gutow, L and Klages, M"}],"issued":{"date-parts":[["2015"]]}},"label":"page"}],"schema":"https://github.com/citation-style-language/schema/raw/master/csl-citation.json"} </w:instrText>
      </w:r>
      <w:r w:rsidR="008C1BF7" w:rsidRPr="00DA249F">
        <w:rPr>
          <w:lang w:val="en-GB"/>
        </w:rPr>
        <w:fldChar w:fldCharType="separate"/>
      </w:r>
      <w:r w:rsidR="00144D96" w:rsidRPr="00144D96">
        <w:t>(Kiessling et al., 2015)</w:t>
      </w:r>
      <w:r w:rsidR="008C1BF7" w:rsidRPr="00DA249F">
        <w:rPr>
          <w:lang w:val="en-GB"/>
        </w:rPr>
        <w:fldChar w:fldCharType="end"/>
      </w:r>
      <w:r w:rsidR="008C1BF7" w:rsidRPr="00DA249F">
        <w:rPr>
          <w:lang w:val="en-GB"/>
        </w:rPr>
        <w:t>. For example, in Colombia</w:t>
      </w:r>
      <w:r w:rsidR="00DF697D">
        <w:rPr>
          <w:lang w:val="en-GB"/>
        </w:rPr>
        <w:t>,</w:t>
      </w:r>
      <w:r w:rsidR="008C1BF7" w:rsidRPr="00DA249F">
        <w:rPr>
          <w:lang w:val="en-GB"/>
        </w:rPr>
        <w:t xml:space="preserve"> 86</w:t>
      </w:r>
      <w:r w:rsidR="00EE5CAD" w:rsidRPr="00DA249F">
        <w:rPr>
          <w:lang w:val="en-GB"/>
        </w:rPr>
        <w:t xml:space="preserve"> </w:t>
      </w:r>
      <w:r w:rsidR="004C77CD" w:rsidRPr="00DA249F">
        <w:rPr>
          <w:szCs w:val="24"/>
          <w:lang w:val="en-GB"/>
        </w:rPr>
        <w:t>per cent</w:t>
      </w:r>
      <w:r w:rsidR="00EE5CAD" w:rsidRPr="00DA249F">
        <w:rPr>
          <w:lang w:val="en-GB"/>
        </w:rPr>
        <w:t xml:space="preserve"> </w:t>
      </w:r>
      <w:r w:rsidR="008C1BF7" w:rsidRPr="00DA249F">
        <w:rPr>
          <w:lang w:val="en-GB"/>
        </w:rPr>
        <w:t>of marine debris is composed by wooden materials and plastic litter, which generate the optimal conditions for species to float away and colon</w:t>
      </w:r>
      <w:r w:rsidR="00247CC3" w:rsidRPr="00DA249F">
        <w:rPr>
          <w:lang w:val="en-GB"/>
        </w:rPr>
        <w:t>ize</w:t>
      </w:r>
      <w:r w:rsidR="008C1BF7" w:rsidRPr="00DA249F">
        <w:rPr>
          <w:lang w:val="en-GB"/>
        </w:rPr>
        <w:t xml:space="preserve"> novel areas. Indeed, this study found that 62</w:t>
      </w:r>
      <w:r w:rsidR="00EE5CAD" w:rsidRPr="00DA249F">
        <w:rPr>
          <w:szCs w:val="24"/>
          <w:lang w:val="en-GB"/>
        </w:rPr>
        <w:t xml:space="preserve"> </w:t>
      </w:r>
      <w:r w:rsidR="004C77CD" w:rsidRPr="00DA249F">
        <w:rPr>
          <w:szCs w:val="24"/>
          <w:lang w:val="en-GB"/>
        </w:rPr>
        <w:t>per cent</w:t>
      </w:r>
      <w:r w:rsidR="008C1BF7" w:rsidRPr="00DA249F">
        <w:rPr>
          <w:lang w:val="en-GB"/>
        </w:rPr>
        <w:t xml:space="preserve"> of the surveyed beaches were found to have marine fauna using floating plastic or wood as a substrate for potential rafting and dispersal </w:t>
      </w:r>
      <w:r w:rsidR="008C1BF7" w:rsidRPr="00DA249F">
        <w:rPr>
          <w:lang w:val="en-GB"/>
        </w:rPr>
        <w:fldChar w:fldCharType="begin"/>
      </w:r>
      <w:r w:rsidR="00331A79">
        <w:rPr>
          <w:lang w:val="en-GB"/>
        </w:rPr>
        <w:instrText xml:space="preserve"> ADDIN ZOTERO_ITEM CSL_CITATION {"citationID":"P78UqyX5","properties":{"formattedCitation":"(Gracia C. et al., 2018)","plainCitation":"(Gracia C. et al., 2018)","noteIndex":0},"citationItems":[{"id":15424,"uris":["http://zotero.org/groups/2352922/items/LPMI9NFC"],"itemData":{"id":15424,"type":"article-journal","abstract":"Some marine invertebrates can inhabit floating substrates, and raft over long distances, becoming a significant environmental problem in terms of alien species and habitat disruption. On the Atlantico Department beaches (Colombia) woody debris and plastic litter dominate (86%) the types of refuse on the beaches with their densities ranging from 0.82-1.72 items m(-1). Such litter and woody debris generate the optimal conditions for floating colonizers. In this work, 26 beaches were surveyed, and 16 of them (62%) were found to have marine fauna using litter and woody debris as a substrate for potential rafting and dispersal. Serpulidae polychaete tubes, goose barnacles Lepas (Anatifa) anserifera Linnaeus, 1767, and the bryozoans Arbopercula tenella (Hincks, 1880), Arbopercula angulata (Levinsen, 1909), plus three unidentified species were found colonizing woody debris, seeds, plastic and glass bottles. These findings of woody debris and litter facilitating the arrival and dispersal of non-native species on this coast, demonstrate that preventive management of such refuse in coastal habitats goes beyond simply preserving coastal esthetics.","container-title":"Marine Pollution Bulletin","DOI":"10.1016/j.marpolbul.2018.01.017","ISSN":"0025-326X","language":"English","page":"185-196","title":"Beach litter and woody-debris colonizers on the Atlantico department Caribbean coastline, Colombia","volume":"128","author":[{"family":"Gracia C.","given":"Adriana"},{"family":"Rangel-Buitrago","given":"Nelson"},{"family":"Florez","given":"Paola"}],"issued":{"date-parts":[["2018",3]]}},"label":"page"}],"schema":"https://github.com/citation-style-language/schema/raw/master/csl-citation.json"} </w:instrText>
      </w:r>
      <w:r w:rsidR="008C1BF7" w:rsidRPr="00DA249F">
        <w:rPr>
          <w:lang w:val="en-GB"/>
        </w:rPr>
        <w:fldChar w:fldCharType="separate"/>
      </w:r>
      <w:r w:rsidR="00144D96" w:rsidRPr="00144D96">
        <w:t>(Gracia C. et al., 2018)</w:t>
      </w:r>
      <w:r w:rsidR="008C1BF7" w:rsidRPr="00DA249F">
        <w:rPr>
          <w:lang w:val="en-GB"/>
        </w:rPr>
        <w:fldChar w:fldCharType="end"/>
      </w:r>
      <w:r w:rsidR="008C1BF7" w:rsidRPr="00DA249F">
        <w:rPr>
          <w:lang w:val="en-GB"/>
        </w:rPr>
        <w:t>.</w:t>
      </w:r>
      <w:r w:rsidR="00F23507" w:rsidRPr="00DA249F">
        <w:rPr>
          <w:lang w:val="en-GB"/>
        </w:rPr>
        <w:t xml:space="preserve"> </w:t>
      </w:r>
      <w:r w:rsidR="008C1BF7" w:rsidRPr="00DA249F">
        <w:rPr>
          <w:lang w:val="en-GB"/>
        </w:rPr>
        <w:t>Organisms ranging from algae to reptiles (</w:t>
      </w:r>
      <w:r w:rsidR="00930403" w:rsidRPr="00DA249F">
        <w:rPr>
          <w:lang w:val="en-GB"/>
        </w:rPr>
        <w:t xml:space="preserve">i.e., </w:t>
      </w:r>
      <w:r w:rsidR="008C1BF7" w:rsidRPr="00DA249F">
        <w:rPr>
          <w:lang w:val="en-GB"/>
        </w:rPr>
        <w:t xml:space="preserve">iguanas) have been observed to raft on floating objects, but the most common species include barnacles, polychaete worms, bryozoans, hydroids and molluscs. There is evidence for the transport of 270 species belonging to 85 taxa, including at least </w:t>
      </w:r>
      <w:r w:rsidR="00EE5CAD" w:rsidRPr="00DA249F">
        <w:rPr>
          <w:lang w:val="en-GB"/>
        </w:rPr>
        <w:t xml:space="preserve">five </w:t>
      </w:r>
      <w:r w:rsidR="008C1BF7" w:rsidRPr="00DA249F">
        <w:rPr>
          <w:lang w:val="en-GB"/>
        </w:rPr>
        <w:t>invasive</w:t>
      </w:r>
      <w:r w:rsidR="002A0EE8" w:rsidRPr="00DA249F">
        <w:rPr>
          <w:lang w:val="en-GB"/>
        </w:rPr>
        <w:t xml:space="preserve"> alien</w:t>
      </w:r>
      <w:r w:rsidR="008C1BF7" w:rsidRPr="00DA249F">
        <w:rPr>
          <w:lang w:val="en-GB"/>
        </w:rPr>
        <w:t xml:space="preserve"> species on floating objects on the sea; </w:t>
      </w:r>
      <w:r w:rsidR="00671FEB">
        <w:rPr>
          <w:lang w:val="en-GB"/>
        </w:rPr>
        <w:t>however</w:t>
      </w:r>
      <w:r w:rsidR="00671FEB" w:rsidRPr="00DA249F">
        <w:rPr>
          <w:lang w:val="en-GB"/>
        </w:rPr>
        <w:t xml:space="preserve"> </w:t>
      </w:r>
      <w:r w:rsidR="008C1BF7" w:rsidRPr="00DA249F">
        <w:rPr>
          <w:lang w:val="en-GB"/>
        </w:rPr>
        <w:t xml:space="preserve">this phenomenon is likely still underestimated due to the limited number of studies and observations at the species level </w:t>
      </w:r>
      <w:r w:rsidR="008C1BF7" w:rsidRPr="00DA249F">
        <w:rPr>
          <w:lang w:val="en-GB"/>
        </w:rPr>
        <w:fldChar w:fldCharType="begin"/>
      </w:r>
      <w:r w:rsidR="00331A79">
        <w:rPr>
          <w:lang w:val="en-GB"/>
        </w:rPr>
        <w:instrText xml:space="preserve"> ADDIN ZOTERO_ITEM CSL_CITATION {"citationID":"GwJ9VDV7","properties":{"formattedCitation":"(Avio et al., 2017)","plainCitation":"(Avio et al., 2017)","noteIndex":0},"citationItems":[{"id":15438,"uris":["http://zotero.org/groups/2352922/items/RPFKK7QI"],"itemData":{"id":15438,"type":"article-journal","abstract":"Plastic production has increased dramatically worldwide over the last 60 years and it is nowadays recognized as a serious threat to the marine environment. Plastic pollution is ubiquitous, but quantitative estimates on the global abundance and weight of ﬂoating plastics are still limited, particularly for the Southern Hemisphere and the more remote regions. Some large-scale convergence zones of plastic debris have been identiﬁed, but there is the urgency to standardize common methodologies to measure and quantify plastics in seawater and sediments. Investigations on temporal trends, geographical distribution and global cycle of plastics have management implications when deﬁning the origin, possible drifting tracks and ecological consequences of such pollution. An elevated number of marine species is known to be affected by plastic contamination, and a more integrated ecological risk assessment of these materials has become a research priority. Beside entanglement and ingestion of macro debris by large vertebrates, microplastics are accumulated by planktonic and invertebrate organisms, being transferred along food chains. Negative consequences include loss of nutritional value of diet, physical damages, exposure to pathogens and transport of alien species. In addition, plastics contain chemical additives and efﬁciently adsorb several environmental contaminants, thus representing a potential source of exposure to such compounds after ingestion. Complex ecotoxicological effects are increasingly reported, but the fate and impact of microplastics in the marine environment are still far to be fully clariﬁed.","container-title":"Marine Environmental Research","DOI":"10.1016/j.marenvres.2016.05.012","ISSN":"01411136","journalAbbreviation":"Marine Environmental Research","language":"en","page":"2-11","source":"DOI.org (Crossref)","title":"Plastics and microplastics in the oceans: From emerging pollutants to emerged threat","title-short":"Plastics and microplastics in the oceans","URL":"https://linkinghub.elsevier.com/retrieve/pii/S0141113616300733","volume":"128","author":[{"family":"Avio","given":"Carlo Giacomo"},{"family":"Gorbi","given":"Stefania"},{"family":"Regoli","given":"Francesco"}],"accessed":{"date-parts":[["2019",10,15]]},"issued":{"date-parts":[["2017",7]]}},"label":"page"}],"schema":"https://github.com/citation-style-language/schema/raw/master/csl-citation.json"} </w:instrText>
      </w:r>
      <w:r w:rsidR="008C1BF7" w:rsidRPr="00DA249F">
        <w:rPr>
          <w:lang w:val="en-GB"/>
        </w:rPr>
        <w:fldChar w:fldCharType="separate"/>
      </w:r>
      <w:r w:rsidR="00144D96" w:rsidRPr="00144D96">
        <w:t>(Avio et al., 2017)</w:t>
      </w:r>
      <w:r w:rsidR="008C1BF7" w:rsidRPr="00DA249F">
        <w:rPr>
          <w:lang w:val="en-GB"/>
        </w:rPr>
        <w:fldChar w:fldCharType="end"/>
      </w:r>
      <w:r w:rsidR="008C1BF7" w:rsidRPr="00DA249F">
        <w:rPr>
          <w:lang w:val="en-GB"/>
        </w:rPr>
        <w:t xml:space="preserve">. The highest numbers of rafting taxa on floating litter were found in the Pacific and North Atlantic, which might be explained by the overall high research effort undertaken in these regions </w:t>
      </w:r>
      <w:r w:rsidR="002F0940" w:rsidRPr="00DA249F">
        <w:rPr>
          <w:lang w:val="en-GB"/>
        </w:rPr>
        <w:fldChar w:fldCharType="begin"/>
      </w:r>
      <w:r w:rsidR="00F5121E">
        <w:rPr>
          <w:lang w:val="en-GB"/>
        </w:rPr>
        <w:instrText xml:space="preserve"> ADDIN ZOTERO_ITEM CSL_CITATION {"citationID":"ZRS11D8m","properties":{"formattedCitation":"(Kiessling et al., 2015)","plainCitation":"(Kiessling et al., 2015)","noteIndex":0},"citationItems":[{"id":15425,"uris":["http://zotero.org/groups/2352922/items/V2VJY6U5"],"itemData":{"id":15425,"type":"chapter","abstract":"Floating anthropogenic litter provides habitat for a diverse community of marine organisms. A total of 387 taxa, including pro-and eukaryotic microorganisms, seaweeds and invertebrates, have been found rafting on floating litter in all major oceanic regions. Among the invertebrates, species of bryozoans, crustaceans, molluscs and cnidarians are most frequently reported as rafters on marine litter. Micro-organisms are also ubiquitous on marine litter although the composition of the microbial community seems to depend on specific substratum characteristics such as the polymer type of floating plastic items. Sessile suspension feeders are particularly well-adapted to the limited autochthonous food resources on artificial floating substrata and an extended planktonic larval development seems to facilitate colonization of floating litter at sea. Properties of floating litter, such as size and surface rugosity, are crucial for colonization by marine organisms and the subsequent succession of the rafting community. The rafters themselves affect substratum characteristics such as floating stability, buoyancy, and degradation. Under the influence of currents and winds marine litter can transport associated organisms over extensive distances. Because of the great persistence (especially of plastics) and the vast quantities of litter in the world's oceans, rafting dispersal has become more prevalent in the marine environment, potentially facilitating the spread of invasive species.","container-title":"Marine Anthropogenic Litter","event-place":"Heidelberger Platz 3, D-14197 Berlin, Germany","ISBN":"978-3-319-16510-3","language":"English","note":"DOI: 10.1007/978-3-319-16510-3_6","page":"141-181","publisher":"Springer-Verlag, Berlin","publisher-place":"Heidelberger Platz 3, D-14197 Berlin, Germany","title":"Marine Litter as Habitat and Dispersal Vector","author":[{"family":"Kiessling","given":"Tim"},{"family":"Gutow","given":"Lars"},{"family":"Thiel","given":"Martin"}],"editor":[{"literal":"Bergmann, M and Gutow, L and Klages, M"}],"issued":{"date-parts":[["2015"]]}},"label":"page"}],"schema":"https://github.com/citation-style-language/schema/raw/master/csl-citation.json"} </w:instrText>
      </w:r>
      <w:r w:rsidR="002F0940" w:rsidRPr="00DA249F">
        <w:rPr>
          <w:lang w:val="en-GB"/>
        </w:rPr>
        <w:fldChar w:fldCharType="separate"/>
      </w:r>
      <w:r w:rsidR="00144D96" w:rsidRPr="00144D96">
        <w:t>(Kiessling et al., 2015)</w:t>
      </w:r>
      <w:r w:rsidR="002F0940" w:rsidRPr="00DA249F">
        <w:rPr>
          <w:lang w:val="en-GB"/>
        </w:rPr>
        <w:fldChar w:fldCharType="end"/>
      </w:r>
      <w:r w:rsidR="008C1BF7" w:rsidRPr="00DA249F">
        <w:rPr>
          <w:lang w:val="en-GB"/>
        </w:rPr>
        <w:t>.</w:t>
      </w:r>
    </w:p>
    <w:p w14:paraId="1EC9C951" w14:textId="28FD51F4" w:rsidR="008C1BF7" w:rsidRPr="00DA249F" w:rsidRDefault="008C1BF7" w:rsidP="000028CE">
      <w:pPr>
        <w:spacing w:before="0" w:after="0"/>
        <w:rPr>
          <w:rFonts w:eastAsia="Times New Roman"/>
          <w:color w:val="000000"/>
          <w:szCs w:val="24"/>
          <w:lang w:val="en-GB" w:eastAsia="zh-CN"/>
        </w:rPr>
      </w:pPr>
      <w:r w:rsidRPr="00DA249F">
        <w:rPr>
          <w:lang w:val="en-GB"/>
        </w:rPr>
        <w:t xml:space="preserve">Marine </w:t>
      </w:r>
      <w:r w:rsidR="00EE7F2F" w:rsidRPr="00DA249F">
        <w:rPr>
          <w:lang w:val="en-GB"/>
        </w:rPr>
        <w:t>plastic</w:t>
      </w:r>
      <w:r w:rsidRPr="00DA249F">
        <w:rPr>
          <w:lang w:val="en-GB"/>
        </w:rPr>
        <w:t xml:space="preserve"> debris is </w:t>
      </w:r>
      <w:r w:rsidR="00020AAB" w:rsidRPr="00DA249F">
        <w:rPr>
          <w:lang w:val="en-GB"/>
        </w:rPr>
        <w:t>largely</w:t>
      </w:r>
      <w:r w:rsidRPr="00DA249F">
        <w:rPr>
          <w:lang w:val="en-GB"/>
        </w:rPr>
        <w:t xml:space="preserve"> attributed to fisheries and leisure</w:t>
      </w:r>
      <w:r w:rsidR="00C41966">
        <w:rPr>
          <w:lang w:val="en-GB"/>
        </w:rPr>
        <w:t xml:space="preserve"> or</w:t>
      </w:r>
      <w:r w:rsidRPr="00DA249F">
        <w:rPr>
          <w:lang w:val="en-GB"/>
        </w:rPr>
        <w:t xml:space="preserve"> household gear </w:t>
      </w:r>
      <w:r w:rsidR="002F0940" w:rsidRPr="00DA249F">
        <w:rPr>
          <w:lang w:val="en-GB"/>
        </w:rPr>
        <w:fldChar w:fldCharType="begin"/>
      </w:r>
      <w:r w:rsidR="00331A79">
        <w:rPr>
          <w:lang w:val="en-GB"/>
        </w:rPr>
        <w:instrText xml:space="preserve"> ADDIN ZOTERO_ITEM CSL_CITATION {"citationID":"zuhChwXM","properties":{"formattedCitation":"(Gracia C. et al., 2018)","plainCitation":"(Gracia C. et al., 2018)","noteIndex":0},"citationItems":[{"id":15424,"uris":["http://zotero.org/groups/2352922/items/LPMI9NFC"],"itemData":{"id":15424,"type":"article-journal","abstract":"Some marine invertebrates can inhabit floating substrates, and raft over long distances, becoming a significant environmental problem in terms of alien species and habitat disruption. On the Atlantico Department beaches (Colombia) woody debris and plastic litter dominate (86%) the types of refuse on the beaches with their densities ranging from 0.82-1.72 items m(-1). Such litter and woody debris generate the optimal conditions for floating colonizers. In this work, 26 beaches were surveyed, and 16 of them (62%) were found to have marine fauna using litter and woody debris as a substrate for potential rafting and dispersal. Serpulidae polychaete tubes, goose barnacles Lepas (Anatifa) anserifera Linnaeus, 1767, and the bryozoans Arbopercula tenella (Hincks, 1880), Arbopercula angulata (Levinsen, 1909), plus three unidentified species were found colonizing woody debris, seeds, plastic and glass bottles. These findings of woody debris and litter facilitating the arrival and dispersal of non-native species on this coast, demonstrate that preventive management of such refuse in coastal habitats goes beyond simply preserving coastal esthetics.","container-title":"Marine Pollution Bulletin","DOI":"10.1016/j.marpolbul.2018.01.017","ISSN":"0025-326X","language":"English","page":"185-196","title":"Beach litter and woody-debris colonizers on the Atlantico department Caribbean coastline, Colombia","volume":"128","author":[{"family":"Gracia C.","given":"Adriana"},{"family":"Rangel-Buitrago","given":"Nelson"},{"family":"Florez","given":"Paola"}],"issued":{"date-parts":[["2018",3]]}},"label":"page"}],"schema":"https://github.com/citation-style-language/schema/raw/master/csl-citation.json"} </w:instrText>
      </w:r>
      <w:r w:rsidR="002F0940" w:rsidRPr="00DA249F">
        <w:rPr>
          <w:lang w:val="en-GB"/>
        </w:rPr>
        <w:fldChar w:fldCharType="separate"/>
      </w:r>
      <w:r w:rsidR="00144D96" w:rsidRPr="00144D96">
        <w:t>(Gracia C. et al., 2018)</w:t>
      </w:r>
      <w:r w:rsidR="002F0940" w:rsidRPr="00DA249F">
        <w:rPr>
          <w:lang w:val="en-GB"/>
        </w:rPr>
        <w:fldChar w:fldCharType="end"/>
      </w:r>
      <w:r w:rsidR="002F0940" w:rsidRPr="00DA249F">
        <w:rPr>
          <w:lang w:val="en-GB"/>
        </w:rPr>
        <w:t>.</w:t>
      </w:r>
      <w:r w:rsidRPr="00DA249F">
        <w:rPr>
          <w:lang w:val="en-GB"/>
        </w:rPr>
        <w:t xml:space="preserve"> </w:t>
      </w:r>
      <w:r w:rsidR="00676D83" w:rsidRPr="00DA249F">
        <w:rPr>
          <w:lang w:val="en-GB"/>
        </w:rPr>
        <w:t>O</w:t>
      </w:r>
      <w:r w:rsidR="00421BE1" w:rsidRPr="00DA249F">
        <w:rPr>
          <w:lang w:val="en-GB"/>
        </w:rPr>
        <w:t>ff</w:t>
      </w:r>
      <w:r w:rsidRPr="00DA249F">
        <w:rPr>
          <w:lang w:val="en-GB"/>
        </w:rPr>
        <w:t xml:space="preserve"> the </w:t>
      </w:r>
      <w:r w:rsidR="00AE746C" w:rsidRPr="00DA249F">
        <w:rPr>
          <w:lang w:val="en-GB"/>
        </w:rPr>
        <w:t>Astu</w:t>
      </w:r>
      <w:r w:rsidR="00BF2FDE" w:rsidRPr="00DA249F">
        <w:rPr>
          <w:lang w:val="en-GB"/>
        </w:rPr>
        <w:t>rian</w:t>
      </w:r>
      <w:r w:rsidRPr="00DA249F">
        <w:rPr>
          <w:lang w:val="en-GB"/>
        </w:rPr>
        <w:t xml:space="preserve"> coast, Spain, rafting biota identified included species of goose barnacles, acorn barnacles, bivalves, gastropods, polychaetes and bryozoan, and hydrozoan colonies attached to stranded litter, many of which were </w:t>
      </w:r>
      <w:r w:rsidR="0077410B" w:rsidRPr="00DA249F">
        <w:rPr>
          <w:lang w:val="en-GB"/>
        </w:rPr>
        <w:t>alien</w:t>
      </w:r>
      <w:r w:rsidR="00EE5CAD" w:rsidRPr="00DA249F">
        <w:rPr>
          <w:lang w:val="en-GB"/>
        </w:rPr>
        <w:t xml:space="preserve"> species</w:t>
      </w:r>
      <w:r w:rsidRPr="00DA249F">
        <w:rPr>
          <w:lang w:val="en-GB"/>
        </w:rPr>
        <w:t xml:space="preserve">, </w:t>
      </w:r>
      <w:r w:rsidR="0077467B">
        <w:rPr>
          <w:lang w:val="en-GB"/>
        </w:rPr>
        <w:t>such as</w:t>
      </w:r>
      <w:r w:rsidRPr="00DA249F">
        <w:rPr>
          <w:lang w:val="en-GB"/>
        </w:rPr>
        <w:t xml:space="preserve"> </w:t>
      </w:r>
      <w:r w:rsidR="009423CD" w:rsidRPr="00DA249F">
        <w:rPr>
          <w:i/>
          <w:iCs/>
          <w:lang w:val="en-GB"/>
        </w:rPr>
        <w:t>Magallana</w:t>
      </w:r>
      <w:r w:rsidR="00673A53" w:rsidRPr="00DA249F">
        <w:rPr>
          <w:i/>
          <w:iCs/>
          <w:lang w:val="en-GB"/>
        </w:rPr>
        <w:t xml:space="preserve"> gigas</w:t>
      </w:r>
      <w:r w:rsidR="00673A53" w:rsidRPr="00DA249F">
        <w:rPr>
          <w:lang w:val="en-GB"/>
        </w:rPr>
        <w:t xml:space="preserve"> (</w:t>
      </w:r>
      <w:r w:rsidR="005B3994" w:rsidRPr="00DA249F">
        <w:rPr>
          <w:lang w:val="en-GB"/>
        </w:rPr>
        <w:t>Pacific oyster</w:t>
      </w:r>
      <w:r w:rsidR="00673A53" w:rsidRPr="00DA249F">
        <w:rPr>
          <w:lang w:val="en-GB"/>
        </w:rPr>
        <w:t>)</w:t>
      </w:r>
      <w:r w:rsidRPr="00DA249F">
        <w:rPr>
          <w:lang w:val="en-GB"/>
        </w:rPr>
        <w:t xml:space="preserve"> and </w:t>
      </w:r>
      <w:r w:rsidR="00673A53" w:rsidRPr="00DA249F">
        <w:rPr>
          <w:i/>
          <w:iCs/>
          <w:lang w:val="en-GB"/>
        </w:rPr>
        <w:t>Austrominius modestus</w:t>
      </w:r>
      <w:r w:rsidR="00673A53" w:rsidRPr="00DA249F">
        <w:rPr>
          <w:lang w:val="en-GB"/>
        </w:rPr>
        <w:t xml:space="preserve"> (</w:t>
      </w:r>
      <w:r w:rsidRPr="00DA249F">
        <w:rPr>
          <w:lang w:val="en-GB"/>
        </w:rPr>
        <w:t>Australian barnacle</w:t>
      </w:r>
      <w:r w:rsidR="00673A53" w:rsidRPr="00DA249F">
        <w:rPr>
          <w:lang w:val="en-GB"/>
        </w:rPr>
        <w:t xml:space="preserve">) </w:t>
      </w:r>
      <w:r w:rsidRPr="00DA249F">
        <w:rPr>
          <w:lang w:val="en-GB"/>
        </w:rPr>
        <w:fldChar w:fldCharType="begin"/>
      </w:r>
      <w:r w:rsidR="00331A79">
        <w:rPr>
          <w:lang w:val="en-GB"/>
        </w:rPr>
        <w:instrText xml:space="preserve"> ADDIN ZOTERO_ITEM CSL_CITATION {"citationID":"XlYyd5it","properties":{"formattedCitation":"(Rech et al., 2018)","plainCitation":"(Rech et al., 2018)","noteIndex":0},"citationItems":[{"id":17009,"uris":["http://zotero.org/groups/2352922/items/8W5NQN2S"],"itemData":{"id":17009,"type":"article-journal","abstract":"Anthropogenic plastic pollution is a global problem. In the marine environment, one of its less studied effects is the transport of attached biota, which might lead to introductions of non-native species in new areas or aid in habitat expansions of invasive species. The goal of the present work was to assess if the material composition of beached anthropogenic litter is indicative of the rafting fauna in a coastal area and could thus be used as a simple and cost-efficient tool for risk assessment in the future. Beached anthropogenic litter and attached biota along the 200 km coastline of Asturias, central Bay of Biscay, Spain, were analysed. The macrobiotic community attached to fouled litter items was identified using genetic barcoding combined with visual taxonomic analysis, and compared between hard plastics, foams, other plastics and non-plastic items. On the other hand, the material composition of beached litter was analysed in a standardized area on each beach. From these two datasets, the expected frequency of several rafting taxa was calculated for the coastal area and compared to the actually observed frequencies. The results showed that plastics were the most abundant type of beached litter. Litter accumulation was likely driven by coastal sources (industry, ports) and river/sewage inputs and transported by near-shore currents. Rafting vectors were almost exclusively made up of plastics and could mainly be attributed to fishing activity and leisure/household. We identified a variety of rafting biota, including species of goose barnacles, acorn barnacles, bivalves, gastropods, polychaetes and bryozoan, and hydrozoan colonies attached to stranded litter. Several of these species were non-native and invasive, such as the giant Pacific oyster (Crassostrea gigas) and the Australian barnacle (Austrominius modestus). The composition of attached fauna varied strongly between litter items of different materials. Plastics, except for foam, had a much more diverse attached community than non-plastic materials. The predicted frequency of several taxa attached to beached litter significantly correlated with the actually observed frequencies. Therefore we suggest that the composition of stranded litter on a beach or an area could allow for predictions about the corresponding attached biotic community, including invasive species.","container-title":"PLoS ONE","DOI":"10.1371/journal.pone.0191859","issue":"1","language":"en","page":"1-22","source":"Zotero","title":"Anthropogenic marine litter composition in coastal areas may be a predictor of potentially invasive rafting fauna","URL":"https://doi.org/10.1371/journal.pone.0191859","volume":"13","author":[{"family":"Rech","given":"Sabine"},{"family":"Pichs","given":"YJB"},{"family":"Garcia-Vasquez","given":"E"}],"issued":{"date-parts":[["2018",1,31]]}},"label":"page"}],"schema":"https://github.com/citation-style-language/schema/raw/master/csl-citation.json"} </w:instrText>
      </w:r>
      <w:r w:rsidRPr="00DA249F">
        <w:rPr>
          <w:lang w:val="en-GB"/>
        </w:rPr>
        <w:fldChar w:fldCharType="separate"/>
      </w:r>
      <w:r w:rsidR="00144D96" w:rsidRPr="00144D96">
        <w:t>(Rech et al., 2018)</w:t>
      </w:r>
      <w:r w:rsidRPr="00DA249F">
        <w:rPr>
          <w:lang w:val="en-GB"/>
        </w:rPr>
        <w:fldChar w:fldCharType="end"/>
      </w:r>
      <w:r w:rsidRPr="00DA249F">
        <w:rPr>
          <w:lang w:val="en-GB"/>
        </w:rPr>
        <w:t xml:space="preserve">. Plastics, except for foam, sustained a more diverse attached community than non-plastic materials </w:t>
      </w:r>
      <w:r w:rsidR="002F0940" w:rsidRPr="00DA249F">
        <w:rPr>
          <w:lang w:val="en-GB"/>
        </w:rPr>
        <w:fldChar w:fldCharType="begin"/>
      </w:r>
      <w:r w:rsidR="00331A79">
        <w:rPr>
          <w:lang w:val="en-GB"/>
        </w:rPr>
        <w:instrText xml:space="preserve"> ADDIN ZOTERO_ITEM CSL_CITATION {"citationID":"TqicpbKx","properties":{"formattedCitation":"(Rech et al., 2018)","plainCitation":"(Rech et al., 2018)","noteIndex":0},"citationItems":[{"id":17009,"uris":["http://zotero.org/groups/2352922/items/8W5NQN2S"],"itemData":{"id":17009,"type":"article-journal","abstract":"Anthropogenic plastic pollution is a global problem. In the marine environment, one of its less studied effects is the transport of attached biota, which might lead to introductions of non-native species in new areas or aid in habitat expansions of invasive species. The goal of the present work was to assess if the material composition of beached anthropogenic litter is indicative of the rafting fauna in a coastal area and could thus be used as a simple and cost-efficient tool for risk assessment in the future. Beached anthropogenic litter and attached biota along the 200 km coastline of Asturias, central Bay of Biscay, Spain, were analysed. The macrobiotic community attached to fouled litter items was identified using genetic barcoding combined with visual taxonomic analysis, and compared between hard plastics, foams, other plastics and non-plastic items. On the other hand, the material composition of beached litter was analysed in a standardized area on each beach. From these two datasets, the expected frequency of several rafting taxa was calculated for the coastal area and compared to the actually observed frequencies. The results showed that plastics were the most abundant type of beached litter. Litter accumulation was likely driven by coastal sources (industry, ports) and river/sewage inputs and transported by near-shore currents. Rafting vectors were almost exclusively made up of plastics and could mainly be attributed to fishing activity and leisure/household. We identified a variety of rafting biota, including species of goose barnacles, acorn barnacles, bivalves, gastropods, polychaetes and bryozoan, and hydrozoan colonies attached to stranded litter. Several of these species were non-native and invasive, such as the giant Pacific oyster (Crassostrea gigas) and the Australian barnacle (Austrominius modestus). The composition of attached fauna varied strongly between litter items of different materials. Plastics, except for foam, had a much more diverse attached community than non-plastic materials. The predicted frequency of several taxa attached to beached litter significantly correlated with the actually observed frequencies. Therefore we suggest that the composition of stranded litter on a beach or an area could allow for predictions about the corresponding attached biotic community, including invasive species.","container-title":"PLoS ONE","DOI":"10.1371/journal.pone.0191859","issue":"1","language":"en","page":"1-22","source":"Zotero","title":"Anthropogenic marine litter composition in coastal areas may be a predictor of potentially invasive rafting fauna","URL":"https://doi.org/10.1371/journal.pone.0191859","volume":"13","author":[{"family":"Rech","given":"Sabine"},{"family":"Pichs","given":"YJB"},{"family":"Garcia-Vasquez","given":"E"}],"issued":{"date-parts":[["2018",1,31]]}},"label":"page"}],"schema":"https://github.com/citation-style-language/schema/raw/master/csl-citation.json"} </w:instrText>
      </w:r>
      <w:r w:rsidR="002F0940" w:rsidRPr="00DA249F">
        <w:rPr>
          <w:lang w:val="en-GB"/>
        </w:rPr>
        <w:fldChar w:fldCharType="separate"/>
      </w:r>
      <w:r w:rsidR="00144D96" w:rsidRPr="00144D96">
        <w:t>(Rech et al., 2018)</w:t>
      </w:r>
      <w:r w:rsidR="002F0940" w:rsidRPr="00DA249F">
        <w:rPr>
          <w:lang w:val="en-GB"/>
        </w:rPr>
        <w:fldChar w:fldCharType="end"/>
      </w:r>
      <w:r w:rsidRPr="00DA249F">
        <w:rPr>
          <w:lang w:val="en-GB"/>
        </w:rPr>
        <w:t>. Another study carried out in New Zealand identified that the most common biofouling tax</w:t>
      </w:r>
      <w:r w:rsidR="00855B13" w:rsidRPr="00DA249F">
        <w:rPr>
          <w:lang w:val="en-GB"/>
        </w:rPr>
        <w:t xml:space="preserve">a traveling in marine debris </w:t>
      </w:r>
      <w:r w:rsidRPr="00DA249F">
        <w:rPr>
          <w:lang w:val="en-GB"/>
        </w:rPr>
        <w:t xml:space="preserve">were hydroids, bryozoans, algae and polychaetes </w:t>
      </w:r>
      <w:r w:rsidRPr="00DA249F">
        <w:rPr>
          <w:lang w:val="en-GB"/>
        </w:rPr>
        <w:fldChar w:fldCharType="begin"/>
      </w:r>
      <w:r w:rsidR="00331A79">
        <w:rPr>
          <w:lang w:val="en-GB"/>
        </w:rPr>
        <w:instrText xml:space="preserve"> ADDIN ZOTERO_ITEM CSL_CITATION {"citationID":"hjfo1Vig","properties":{"formattedCitation":"(Campbell et al., 2017)","plainCitation":"(Campbell et al., 2017)","noteIndex":0},"citationItems":[{"id":10552,"uris":["http://zotero.org/groups/2352922/items/N29TQYJB"],"itemData":{"id":10552,"type":"article-journal","abstract":"Both the invasion of non-indigenous marine species (NIMS) and the generation and accumulation of anthropogenic marine debris (AMD) are pervasive problems in coastal urban ecosystems. The biosecurity risks associated with AMD rafting NIMS have been described, but the role of aquaculture derived AMD has not yet been investigated as a biosecurity vector and pathway. This preliminary study targeted 27 beaches along the Coromandel Peninsula, New Zealand, collecting debris from belt transects. Plastic (specifically plastic rope) was the dominant AMD present on beaches. The most common biofouling taxa were hydroids, bryozoans, algae and polychaetes, with one NIMS pest species, Sabella spallanzanii, detected fouling plastic rope. Our findings demonstrate that aquaculture is an AMD (plastic rope) generating activity that creates biosecurity risk by enhancing the spread of NIMS. The rafting of S. spallanzanii on AMD generated at aquaculture facilities is currently an unmanaged pathway within New Zealand that needs attention.","container-title":"Marine Pollution Bulletin","DOI":"10.1016/j.marpolbul.2017.08.040","ISSN":"18793363","issue":"1-2","page":"304-312","title":"Aquaculture and urban marine structures facilitate native and non-indigenous species transfer through generation and accumulation of marine debris","volume":"123","author":[{"family":"Campbell","given":"Marnie L."},{"family":"King","given":"Staci"},{"family":"Heppenstall","given":"Lara D."},{"family":"Gool","given":"Ella","non-dropping-particle":"van"},{"family":"Martin","given":"Ross"},{"family":"Hewitt","given":"Chad L."}],"issued":{"date-parts":[["2017"]]}},"label":"page"}],"schema":"https://github.com/citation-style-language/schema/raw/master/csl-citation.json"} </w:instrText>
      </w:r>
      <w:r w:rsidRPr="00DA249F">
        <w:rPr>
          <w:lang w:val="en-GB"/>
        </w:rPr>
        <w:fldChar w:fldCharType="separate"/>
      </w:r>
      <w:r w:rsidR="00144D96" w:rsidRPr="00144D96">
        <w:t>(Campbell et al., 2017)</w:t>
      </w:r>
      <w:r w:rsidRPr="00DA249F">
        <w:rPr>
          <w:lang w:val="en-GB"/>
        </w:rPr>
        <w:fldChar w:fldCharType="end"/>
      </w:r>
      <w:r w:rsidRPr="00DA249F">
        <w:rPr>
          <w:lang w:val="en-GB"/>
        </w:rPr>
        <w:t>.</w:t>
      </w:r>
      <w:r w:rsidR="00EC0973" w:rsidRPr="00DA249F">
        <w:rPr>
          <w:lang w:val="en-GB"/>
        </w:rPr>
        <w:t xml:space="preserve"> Off</w:t>
      </w:r>
      <w:r w:rsidRPr="00DA249F">
        <w:rPr>
          <w:lang w:val="en-GB"/>
        </w:rPr>
        <w:t xml:space="preserve"> the Cantabrian Coast, alien species expansions could be reinforced by the presence of manufactured objects in the sea. </w:t>
      </w:r>
      <w:r w:rsidRPr="00DA249F">
        <w:rPr>
          <w:i/>
          <w:iCs/>
          <w:lang w:val="en-GB"/>
        </w:rPr>
        <w:t>Austrominius modestus</w:t>
      </w:r>
      <w:r w:rsidRPr="00DA249F">
        <w:rPr>
          <w:lang w:val="en-GB"/>
        </w:rPr>
        <w:t xml:space="preserve">, </w:t>
      </w:r>
      <w:r w:rsidR="009423CD" w:rsidRPr="00DA249F">
        <w:rPr>
          <w:i/>
          <w:iCs/>
          <w:lang w:val="en-GB"/>
        </w:rPr>
        <w:t>Magallana</w:t>
      </w:r>
      <w:r w:rsidR="00755046" w:rsidRPr="00DA249F">
        <w:rPr>
          <w:i/>
          <w:iCs/>
          <w:lang w:val="en-GB"/>
        </w:rPr>
        <w:t xml:space="preserve"> gigas</w:t>
      </w:r>
      <w:r w:rsidR="00755046" w:rsidRPr="00DA249F">
        <w:rPr>
          <w:lang w:val="en-GB"/>
        </w:rPr>
        <w:t>,</w:t>
      </w:r>
      <w:r w:rsidRPr="00DA249F">
        <w:rPr>
          <w:lang w:val="en-GB"/>
        </w:rPr>
        <w:t xml:space="preserve"> the potentially invasive </w:t>
      </w:r>
      <w:r w:rsidR="001D2587" w:rsidRPr="00DA249F">
        <w:rPr>
          <w:lang w:val="en-GB"/>
        </w:rPr>
        <w:t xml:space="preserve">alien </w:t>
      </w:r>
      <w:r w:rsidRPr="00DA249F">
        <w:rPr>
          <w:i/>
          <w:iCs/>
          <w:lang w:val="en-GB"/>
        </w:rPr>
        <w:t>Amphibalanus</w:t>
      </w:r>
      <w:r w:rsidR="00F07BF4" w:rsidRPr="00DA249F">
        <w:rPr>
          <w:i/>
          <w:iCs/>
          <w:sz w:val="23"/>
          <w:szCs w:val="23"/>
          <w:lang w:val="en-GB"/>
        </w:rPr>
        <w:t xml:space="preserve"> </w:t>
      </w:r>
      <w:r w:rsidR="00755046" w:rsidRPr="00DA249F">
        <w:rPr>
          <w:i/>
          <w:iCs/>
          <w:sz w:val="23"/>
          <w:szCs w:val="23"/>
          <w:lang w:val="en-GB"/>
        </w:rPr>
        <w:t xml:space="preserve">Amphitrite </w:t>
      </w:r>
      <w:r w:rsidR="00755046" w:rsidRPr="00DA249F">
        <w:rPr>
          <w:iCs/>
          <w:sz w:val="23"/>
          <w:szCs w:val="23"/>
          <w:lang w:val="en-GB"/>
        </w:rPr>
        <w:t>(</w:t>
      </w:r>
      <w:r w:rsidR="000028CE" w:rsidRPr="00DA249F">
        <w:rPr>
          <w:rFonts w:eastAsia="Times New Roman"/>
          <w:color w:val="000000"/>
          <w:szCs w:val="24"/>
          <w:lang w:val="en-GB" w:eastAsia="zh-CN"/>
        </w:rPr>
        <w:t>striped barnacle</w:t>
      </w:r>
      <w:r w:rsidRPr="00DA249F">
        <w:rPr>
          <w:lang w:val="en-GB"/>
        </w:rPr>
        <w:t>)</w:t>
      </w:r>
      <w:r w:rsidR="00774819">
        <w:rPr>
          <w:lang w:val="en-GB"/>
        </w:rPr>
        <w:t xml:space="preserve"> and</w:t>
      </w:r>
      <w:r w:rsidRPr="00DA249F">
        <w:rPr>
          <w:lang w:val="en-GB"/>
        </w:rPr>
        <w:t xml:space="preserve"> other 14 species were found attached to plastic bottles and fishing gear</w:t>
      </w:r>
      <w:r w:rsidR="00E73FE4">
        <w:rPr>
          <w:lang w:val="en-GB"/>
        </w:rPr>
        <w:t>,</w:t>
      </w:r>
      <w:r w:rsidRPr="00DA249F">
        <w:rPr>
          <w:lang w:val="en-GB"/>
        </w:rPr>
        <w:t xml:space="preserve"> </w:t>
      </w:r>
      <w:r w:rsidR="00682542" w:rsidRPr="00DA249F">
        <w:rPr>
          <w:lang w:val="en-GB"/>
        </w:rPr>
        <w:t xml:space="preserve">in particular </w:t>
      </w:r>
      <w:r w:rsidRPr="00DA249F">
        <w:rPr>
          <w:lang w:val="en-GB"/>
        </w:rPr>
        <w:t xml:space="preserve">on ropes </w:t>
      </w:r>
      <w:r w:rsidRPr="00DA249F">
        <w:rPr>
          <w:lang w:val="en-GB"/>
        </w:rPr>
        <w:fldChar w:fldCharType="begin"/>
      </w:r>
      <w:r w:rsidR="00331A79">
        <w:rPr>
          <w:lang w:val="en-GB"/>
        </w:rPr>
        <w:instrText xml:space="preserve"> ADDIN ZOTERO_ITEM CSL_CITATION {"citationID":"F1dNB5WG","properties":{"formattedCitation":"(Miralles et al., 2018)","plainCitation":"(Miralles et al., 2018)","noteIndex":0},"citationItems":[{"id":32711,"uris":["http://zotero.org/groups/2352922/items/FWGJ94H9"],"itemData":{"id":32711,"type":"article-journal","abstract":"Journal for Nature Conservation 42: 12-18","container-title":"Journal for Nature Conservation","DOI":"10.1016/j.jnc.2018.01.005","ISSN":"1617-1381","language":"en","page":"12-18","source":"eurekamag.com","title":"Alert calling in port areas: Marine litter as possible secondary dispersal vector for hitchhiking invasive species","title-short":"Alert calling in port areas","URL":"https://eurekamag.com/research/065/080/065080843.php","volume":"42","author":[{"family":"Miralles","given":"Laura"},{"family":"Gomez-Agenjo","given":"Marta"},{"family":"Rayon-Viña","given":"Fernando"},{"family":"Gyraitė","given":"Greta"},{"family":"Garcia-Vazquez","given":"Eva"}],"accessed":{"date-parts":[["2021",12,3]]},"issued":{"date-parts":[["2018",5,27]]}},"label":"page"}],"schema":"https://github.com/citation-style-language/schema/raw/master/csl-citation.json"} </w:instrText>
      </w:r>
      <w:r w:rsidRPr="00DA249F">
        <w:rPr>
          <w:lang w:val="en-GB"/>
        </w:rPr>
        <w:fldChar w:fldCharType="separate"/>
      </w:r>
      <w:r w:rsidR="00144D96" w:rsidRPr="00144D96">
        <w:t>(Miralles et al., 2018)</w:t>
      </w:r>
      <w:r w:rsidRPr="00DA249F">
        <w:rPr>
          <w:lang w:val="en-GB"/>
        </w:rPr>
        <w:fldChar w:fldCharType="end"/>
      </w:r>
      <w:r w:rsidRPr="00DA249F">
        <w:rPr>
          <w:lang w:val="en-GB"/>
        </w:rPr>
        <w:t>.</w:t>
      </w:r>
      <w:r w:rsidR="00B1749C" w:rsidRPr="00DA249F">
        <w:rPr>
          <w:lang w:val="en-GB"/>
        </w:rPr>
        <w:t xml:space="preserve"> </w:t>
      </w:r>
      <w:r w:rsidRPr="00DA249F">
        <w:rPr>
          <w:lang w:val="en-GB"/>
        </w:rPr>
        <w:t>O</w:t>
      </w:r>
      <w:r w:rsidR="00EC0973" w:rsidRPr="00DA249F">
        <w:rPr>
          <w:lang w:val="en-GB"/>
        </w:rPr>
        <w:t>ff the</w:t>
      </w:r>
      <w:r w:rsidRPr="00DA249F">
        <w:rPr>
          <w:lang w:val="en-GB"/>
        </w:rPr>
        <w:t xml:space="preserve"> west coast</w:t>
      </w:r>
      <w:r w:rsidR="00EC0973" w:rsidRPr="00DA249F">
        <w:rPr>
          <w:lang w:val="en-GB"/>
        </w:rPr>
        <w:t xml:space="preserve"> of </w:t>
      </w:r>
      <w:r w:rsidRPr="00DA249F">
        <w:rPr>
          <w:lang w:val="en-GB"/>
        </w:rPr>
        <w:t xml:space="preserve">Svalbard, a study </w:t>
      </w:r>
      <w:r w:rsidR="00EC0973" w:rsidRPr="00DA249F">
        <w:rPr>
          <w:lang w:val="en-GB"/>
        </w:rPr>
        <w:t xml:space="preserve">that </w:t>
      </w:r>
      <w:r w:rsidRPr="00DA249F">
        <w:rPr>
          <w:lang w:val="en-GB"/>
        </w:rPr>
        <w:t xml:space="preserve">assessed the density of macro-plastic litter and the biota established on them </w:t>
      </w:r>
      <w:r w:rsidRPr="00DA249F">
        <w:rPr>
          <w:lang w:val="en-GB"/>
        </w:rPr>
        <w:lastRenderedPageBreak/>
        <w:t>found that the largest objects (fishing boxes, containers) were colon</w:t>
      </w:r>
      <w:r w:rsidR="00247CC3" w:rsidRPr="00DA249F">
        <w:rPr>
          <w:lang w:val="en-GB"/>
        </w:rPr>
        <w:t>ize</w:t>
      </w:r>
      <w:r w:rsidRPr="00DA249F">
        <w:rPr>
          <w:lang w:val="en-GB"/>
        </w:rPr>
        <w:t xml:space="preserve">d by </w:t>
      </w:r>
      <w:r w:rsidRPr="00DA249F">
        <w:rPr>
          <w:i/>
          <w:iCs/>
          <w:lang w:val="en-GB"/>
        </w:rPr>
        <w:t xml:space="preserve">Semibalanus </w:t>
      </w:r>
      <w:r w:rsidRPr="00DA249F">
        <w:rPr>
          <w:iCs/>
          <w:lang w:val="en-GB"/>
        </w:rPr>
        <w:t>sp.</w:t>
      </w:r>
      <w:r w:rsidR="00755046" w:rsidRPr="00DA249F">
        <w:rPr>
          <w:iCs/>
          <w:lang w:val="en-GB"/>
        </w:rPr>
        <w:t xml:space="preserve"> (</w:t>
      </w:r>
      <w:r w:rsidR="00755046" w:rsidRPr="00DA249F">
        <w:rPr>
          <w:lang w:val="en-GB"/>
        </w:rPr>
        <w:t>barnacles</w:t>
      </w:r>
      <w:r w:rsidRPr="00DA249F">
        <w:rPr>
          <w:lang w:val="en-GB"/>
        </w:rPr>
        <w:t>),</w:t>
      </w:r>
      <w:r w:rsidRPr="00DA249F">
        <w:rPr>
          <w:i/>
          <w:lang w:val="en-GB"/>
        </w:rPr>
        <w:t xml:space="preserve"> </w:t>
      </w:r>
      <w:r w:rsidR="00755046" w:rsidRPr="00DA249F">
        <w:rPr>
          <w:i/>
          <w:lang w:val="en-GB"/>
        </w:rPr>
        <w:t>Lepas</w:t>
      </w:r>
      <w:r w:rsidR="00755046" w:rsidRPr="00DA249F">
        <w:rPr>
          <w:lang w:val="en-GB"/>
        </w:rPr>
        <w:t xml:space="preserve"> sp. (</w:t>
      </w:r>
      <w:r w:rsidRPr="00DA249F">
        <w:rPr>
          <w:lang w:val="en-GB"/>
        </w:rPr>
        <w:t>goose barnacles</w:t>
      </w:r>
      <w:r w:rsidR="00755046" w:rsidRPr="00DA249F">
        <w:rPr>
          <w:lang w:val="en-GB"/>
        </w:rPr>
        <w:t xml:space="preserve">), </w:t>
      </w:r>
      <w:r w:rsidRPr="00DA249F">
        <w:rPr>
          <w:i/>
          <w:iCs/>
          <w:lang w:val="en-GB"/>
        </w:rPr>
        <w:t xml:space="preserve">Mytilus </w:t>
      </w:r>
      <w:r w:rsidRPr="00DA249F">
        <w:rPr>
          <w:iCs/>
          <w:lang w:val="en-GB"/>
        </w:rPr>
        <w:t>sp.</w:t>
      </w:r>
      <w:r w:rsidR="00D4691A" w:rsidRPr="00DA249F">
        <w:rPr>
          <w:iCs/>
          <w:lang w:val="en-GB"/>
        </w:rPr>
        <w:t xml:space="preserve"> </w:t>
      </w:r>
      <w:r w:rsidR="00755046" w:rsidRPr="00DA249F">
        <w:rPr>
          <w:iCs/>
          <w:lang w:val="en-GB"/>
        </w:rPr>
        <w:t>(</w:t>
      </w:r>
      <w:r w:rsidR="00755046" w:rsidRPr="00DA249F">
        <w:rPr>
          <w:lang w:val="en-GB"/>
        </w:rPr>
        <w:t>blue shells</w:t>
      </w:r>
      <w:r w:rsidRPr="00DA249F">
        <w:rPr>
          <w:lang w:val="en-GB"/>
        </w:rPr>
        <w:t xml:space="preserve">), bryozoans and marine macro-algae. The rafting of groups of adult organisms favours their better biological dispersal compared to larval transport, and is regarded as the main reason for reappearance of </w:t>
      </w:r>
      <w:r w:rsidR="00855B13" w:rsidRPr="00DA249F">
        <w:rPr>
          <w:lang w:val="en-GB"/>
        </w:rPr>
        <w:t xml:space="preserve">the </w:t>
      </w:r>
      <w:r w:rsidRPr="00DA249F">
        <w:rPr>
          <w:lang w:val="en-GB"/>
        </w:rPr>
        <w:t xml:space="preserve">genus </w:t>
      </w:r>
      <w:r w:rsidRPr="00DA249F">
        <w:rPr>
          <w:i/>
          <w:iCs/>
          <w:lang w:val="en-GB"/>
        </w:rPr>
        <w:t xml:space="preserve">Mytilus </w:t>
      </w:r>
      <w:r w:rsidRPr="00DA249F">
        <w:rPr>
          <w:lang w:val="en-GB"/>
        </w:rPr>
        <w:t xml:space="preserve">on Svalbard </w:t>
      </w:r>
      <w:r w:rsidRPr="00DA249F">
        <w:rPr>
          <w:lang w:val="en-GB"/>
        </w:rPr>
        <w:fldChar w:fldCharType="begin"/>
      </w:r>
      <w:r w:rsidR="00331A79">
        <w:rPr>
          <w:lang w:val="en-GB"/>
        </w:rPr>
        <w:instrText xml:space="preserve"> ADDIN ZOTERO_ITEM CSL_CITATION {"citationID":"jhfC3BtF","properties":{"formattedCitation":"(Weslawski &amp; Kotwicki, 2018)","plainCitation":"(Weslawski &amp; Kotwicki, 2018)","noteIndex":0},"citationItems":[{"id":17239,"uris":["http://zotero.org/groups/2352922/items/BATV88MI"],"itemData":{"id":17239,"type":"article-journal","abstract":"The 100 km long west coast of Prins Karl Forlandet (westernmost island of Svalbard archipelago) was assessed for the density of macro-plastic litter. The most numerous were fragments of fishing gear (buoys, ropes, nets) followed by various containers, sheets of foil and plastic textiles. The total density was estimated at 14 400 items with a total weight of 18 tonnes of plastic debris on the inspected coastline. The largest objects (fishing boxes, containers) were colonised by barnacles (Semibalanus sp.), gooseneck barnacles (Lepas sp.), blue shells (Mytilus sp.), bryozoans and marine macro-algae. The rafting of groups of adult organisms favours their better biological dispersal compared to larval transport, and is regarded here as the main reason for reappearance of genus Mytilus on Svalbard.","container-title":"Polish Polar Research","DOI":"10.24425/118743","issue":"1","language":"en","page":"165-174","source":"DOI.org (Datacite)","title":"Macro-plastic litter, a new vector for boreal species dispersal on Svalbard","volume":"39","author":[{"family":"Weslawski","given":"JM"},{"family":"Kotwicki","given":"L"}],"issued":{"date-parts":[["2018"]]}},"label":"page"}],"schema":"https://github.com/citation-style-language/schema/raw/master/csl-citation.json"} </w:instrText>
      </w:r>
      <w:r w:rsidRPr="00DA249F">
        <w:rPr>
          <w:lang w:val="en-GB"/>
        </w:rPr>
        <w:fldChar w:fldCharType="separate"/>
      </w:r>
      <w:r w:rsidR="00144D96" w:rsidRPr="00144D96">
        <w:t>(Weslawski &amp; Kotwicki, 2018)</w:t>
      </w:r>
      <w:r w:rsidRPr="00DA249F">
        <w:rPr>
          <w:lang w:val="en-GB"/>
        </w:rPr>
        <w:fldChar w:fldCharType="end"/>
      </w:r>
      <w:r w:rsidRPr="00DA249F">
        <w:rPr>
          <w:lang w:val="en-GB"/>
        </w:rPr>
        <w:t xml:space="preserve">. </w:t>
      </w:r>
      <w:r w:rsidR="00800132" w:rsidRPr="00DA249F">
        <w:rPr>
          <w:lang w:val="en-GB"/>
        </w:rPr>
        <w:t>In</w:t>
      </w:r>
      <w:r w:rsidRPr="00DA249F">
        <w:rPr>
          <w:lang w:val="en-GB"/>
        </w:rPr>
        <w:t xml:space="preserve"> the western Mediterranean Sea, plastics </w:t>
      </w:r>
      <w:r w:rsidR="00A55543">
        <w:rPr>
          <w:lang w:val="en-GB"/>
        </w:rPr>
        <w:t>were</w:t>
      </w:r>
      <w:r w:rsidR="00A55543" w:rsidRPr="00DA249F">
        <w:rPr>
          <w:lang w:val="en-GB"/>
        </w:rPr>
        <w:t xml:space="preserve"> </w:t>
      </w:r>
      <w:r w:rsidRPr="00DA249F">
        <w:rPr>
          <w:lang w:val="en-GB"/>
        </w:rPr>
        <w:t>the major</w:t>
      </w:r>
      <w:r w:rsidR="00A55543">
        <w:rPr>
          <w:lang w:val="en-GB"/>
        </w:rPr>
        <w:t xml:space="preserve"> type of</w:t>
      </w:r>
      <w:r w:rsidRPr="00DA249F">
        <w:rPr>
          <w:lang w:val="en-GB"/>
        </w:rPr>
        <w:t xml:space="preserve"> debris</w:t>
      </w:r>
      <w:r w:rsidR="00A55543">
        <w:rPr>
          <w:lang w:val="en-GB"/>
        </w:rPr>
        <w:t xml:space="preserve"> found</w:t>
      </w:r>
      <w:r w:rsidRPr="00DA249F">
        <w:rPr>
          <w:lang w:val="en-GB"/>
        </w:rPr>
        <w:t xml:space="preserve"> because of </w:t>
      </w:r>
      <w:r w:rsidR="00A55543">
        <w:rPr>
          <w:lang w:val="en-GB"/>
        </w:rPr>
        <w:t xml:space="preserve">its </w:t>
      </w:r>
      <w:r w:rsidRPr="00DA249F">
        <w:rPr>
          <w:lang w:val="en-GB"/>
        </w:rPr>
        <w:t>poor degradability; however, glass, cans, fishing nets and polyurethane containers were also found. Macro-benthos living on raft material comprised mainly molluscs, polychaetes and bryozoans</w:t>
      </w:r>
      <w:r w:rsidR="00217BF0" w:rsidRPr="00DA249F">
        <w:rPr>
          <w:lang w:val="en-GB"/>
        </w:rPr>
        <w:t>, l</w:t>
      </w:r>
      <w:r w:rsidRPr="00DA249F">
        <w:rPr>
          <w:lang w:val="en-GB"/>
        </w:rPr>
        <w:t>arge fish were found commonly below large plastic bags</w:t>
      </w:r>
      <w:r w:rsidR="1606078B" w:rsidRPr="00DA249F">
        <w:rPr>
          <w:lang w:val="en-GB"/>
        </w:rPr>
        <w:t>, while following resources linked with the bags</w:t>
      </w:r>
      <w:r w:rsidR="00855B13" w:rsidRPr="00DA249F">
        <w:rPr>
          <w:lang w:val="en-GB"/>
        </w:rPr>
        <w:t>,</w:t>
      </w:r>
      <w:r w:rsidR="1606078B" w:rsidRPr="00DA249F">
        <w:rPr>
          <w:lang w:val="en-GB"/>
        </w:rPr>
        <w:t xml:space="preserve"> these fish might move outside of their native range</w:t>
      </w:r>
      <w:r w:rsidRPr="00DA249F">
        <w:rPr>
          <w:lang w:val="en-GB"/>
        </w:rPr>
        <w:t xml:space="preserve"> </w:t>
      </w:r>
      <w:r w:rsidRPr="00DA249F">
        <w:rPr>
          <w:lang w:val="en-GB"/>
        </w:rPr>
        <w:fldChar w:fldCharType="begin"/>
      </w:r>
      <w:r w:rsidR="00331A79">
        <w:rPr>
          <w:lang w:val="en-GB"/>
        </w:rPr>
        <w:instrText xml:space="preserve"> ADDIN ZOTERO_ITEM CSL_CITATION {"citationID":"KRbPS1fO","properties":{"formattedCitation":"(Aliani &amp; Molcard, 2003)","plainCitation":"(Aliani &amp; Molcard, 2003)","noteIndex":0},"citationItems":[{"id":15423,"uris":["http://zotero.org/groups/2352922/items/BNJN439H"],"itemData":{"id":15423,"type":"article-journal","abstract":"Marine litter has been defined as solid materials of human origin discarded at sea, or reaching the sea through waterways. The effect of marine debris on wildlife, tourism and human health is well documented and there is considerable scientific literature about plastic litter in the sea and over the seabed, mostly highlighting the possible impact on marine mammals and tourism. Dispersal of marine and terrestrial organisms on floating objects has biogeographical and ecological interest. For some species, extension of their geographical range is more likely to be related to transport of mature individuals on floating rafts than to the active or passive dispersal of reproductive propagules. Variability and variety of rafting materials has increased dramatically in recent years and marine litter has been used widely as a raft by `hitch-hiking' species. This paper reports on the benthic invertebrates living on marine debris transported by wind and surface currents over the western Mediterranean Sea. Plastics accounted for the major item of debris because of poor degradability, however glass, cans, fishing nets and polyurethane containers, were also found. Macro-benthos living on raft material comprised mainly molluscs, polychaetes and bryozoans. Large fish were found commonly below large plastic bags. Estimations of the distances that may be covered by hitch-hiking species and the contribution of rafting to the theoretical dispersal of species is provided.","container-title":"Hydrobiologia","DOI":"10.1023/B:HYDR.0000008480.95045.26","ISSN":"0018-8158","issue":"1-3","language":"English","page":"59-67","title":"Hitch-hiking on floating marine debris: macrobenthic species in the Western Mediterranean Sea","volume":"503","author":[{"family":"Aliani","given":"Stefano"},{"family":"Molcard","given":"Anne"}],"issued":{"date-parts":[["2003",8,1]]}},"label":"page"}],"schema":"https://github.com/citation-style-language/schema/raw/master/csl-citation.json"} </w:instrText>
      </w:r>
      <w:r w:rsidRPr="00DA249F">
        <w:rPr>
          <w:lang w:val="en-GB"/>
        </w:rPr>
        <w:fldChar w:fldCharType="separate"/>
      </w:r>
      <w:r w:rsidR="00144D96" w:rsidRPr="00144D96">
        <w:t>(Aliani &amp; Molcard, 2003)</w:t>
      </w:r>
      <w:r w:rsidRPr="00DA249F">
        <w:rPr>
          <w:lang w:val="en-GB"/>
        </w:rPr>
        <w:fldChar w:fldCharType="end"/>
      </w:r>
      <w:r w:rsidRPr="00DA249F">
        <w:rPr>
          <w:lang w:val="en-GB"/>
        </w:rPr>
        <w:t>.</w:t>
      </w:r>
      <w:r w:rsidR="00C83F2D" w:rsidRPr="00DA249F">
        <w:rPr>
          <w:lang w:val="en-GB"/>
        </w:rPr>
        <w:t xml:space="preserve"> </w:t>
      </w:r>
      <w:r w:rsidR="00217BF0" w:rsidRPr="00DA249F">
        <w:rPr>
          <w:lang w:val="en-GB"/>
        </w:rPr>
        <w:t>N</w:t>
      </w:r>
      <w:r w:rsidR="00C83F2D" w:rsidRPr="00DA249F">
        <w:rPr>
          <w:lang w:val="en-GB"/>
        </w:rPr>
        <w:t>on-plastic objects</w:t>
      </w:r>
      <w:r w:rsidR="00217BF0" w:rsidRPr="00DA249F">
        <w:rPr>
          <w:lang w:val="en-GB"/>
        </w:rPr>
        <w:t>, while less abundant</w:t>
      </w:r>
      <w:r w:rsidR="00A55543">
        <w:rPr>
          <w:lang w:val="en-GB"/>
        </w:rPr>
        <w:t xml:space="preserve"> and</w:t>
      </w:r>
      <w:r w:rsidR="00EA2F31">
        <w:rPr>
          <w:lang w:val="en-GB"/>
        </w:rPr>
        <w:t xml:space="preserve"> </w:t>
      </w:r>
      <w:r w:rsidR="00217BF0" w:rsidRPr="00DA249F">
        <w:rPr>
          <w:lang w:val="en-GB"/>
        </w:rPr>
        <w:t>less ephemeral</w:t>
      </w:r>
      <w:r w:rsidR="00A55543">
        <w:rPr>
          <w:lang w:val="en-GB"/>
        </w:rPr>
        <w:t>,</w:t>
      </w:r>
      <w:r w:rsidR="00217BF0" w:rsidRPr="00DA249F">
        <w:rPr>
          <w:lang w:val="en-GB"/>
        </w:rPr>
        <w:t xml:space="preserve"> can </w:t>
      </w:r>
      <w:r w:rsidR="00A55543">
        <w:rPr>
          <w:lang w:val="en-GB"/>
        </w:rPr>
        <w:t xml:space="preserve">still </w:t>
      </w:r>
      <w:r w:rsidR="004A29A0" w:rsidRPr="00DA249F">
        <w:rPr>
          <w:lang w:val="en-GB"/>
        </w:rPr>
        <w:t>help</w:t>
      </w:r>
      <w:r w:rsidR="00217BF0" w:rsidRPr="00DA249F">
        <w:rPr>
          <w:lang w:val="en-GB"/>
        </w:rPr>
        <w:t xml:space="preserve"> </w:t>
      </w:r>
      <w:r w:rsidR="00C83F2D" w:rsidRPr="00DA249F">
        <w:rPr>
          <w:lang w:val="en-GB"/>
        </w:rPr>
        <w:t>in spreading invasive alien species</w:t>
      </w:r>
      <w:r w:rsidR="00217BF0" w:rsidRPr="00DA249F">
        <w:rPr>
          <w:lang w:val="en-GB"/>
        </w:rPr>
        <w:t xml:space="preserve">, as shown by </w:t>
      </w:r>
      <w:r w:rsidR="00A55543">
        <w:rPr>
          <w:lang w:val="en-GB"/>
        </w:rPr>
        <w:t>an</w:t>
      </w:r>
      <w:r w:rsidR="00A55543" w:rsidRPr="00DA249F">
        <w:rPr>
          <w:lang w:val="en-GB"/>
        </w:rPr>
        <w:t xml:space="preserve"> </w:t>
      </w:r>
      <w:r w:rsidR="00DA6884" w:rsidRPr="00DA249F">
        <w:rPr>
          <w:lang w:val="en-GB"/>
        </w:rPr>
        <w:t>example of 10 alien mollus</w:t>
      </w:r>
      <w:r w:rsidR="00C15874" w:rsidRPr="00DA249F">
        <w:rPr>
          <w:lang w:val="en-GB"/>
        </w:rPr>
        <w:t>c</w:t>
      </w:r>
      <w:r w:rsidR="00DA6884" w:rsidRPr="00DA249F">
        <w:rPr>
          <w:lang w:val="en-GB"/>
        </w:rPr>
        <w:t xml:space="preserve"> species found on a </w:t>
      </w:r>
      <w:r w:rsidR="00217BF0" w:rsidRPr="00DA249F">
        <w:rPr>
          <w:lang w:val="en-GB"/>
        </w:rPr>
        <w:t>single b</w:t>
      </w:r>
      <w:r w:rsidR="00D16453" w:rsidRPr="00DA249F">
        <w:rPr>
          <w:lang w:val="en-GB"/>
        </w:rPr>
        <w:t>u</w:t>
      </w:r>
      <w:r w:rsidR="00217BF0" w:rsidRPr="00DA249F">
        <w:rPr>
          <w:lang w:val="en-GB"/>
        </w:rPr>
        <w:t>oy</w:t>
      </w:r>
      <w:r w:rsidR="00C83F2D" w:rsidRPr="00DA249F">
        <w:rPr>
          <w:lang w:val="en-GB"/>
        </w:rPr>
        <w:t xml:space="preserve"> </w:t>
      </w:r>
      <w:r w:rsidR="00774588" w:rsidRPr="00DA249F">
        <w:rPr>
          <w:lang w:val="en-GB"/>
        </w:rPr>
        <w:fldChar w:fldCharType="begin"/>
      </w:r>
      <w:r w:rsidR="00331A79">
        <w:rPr>
          <w:lang w:val="en-GB"/>
        </w:rPr>
        <w:instrText xml:space="preserve"> ADDIN ZOTERO_ITEM CSL_CITATION {"citationID":"Nu4wocEZ","properties":{"formattedCitation":"(Ivki\\uc0\\u263{} et al., 2019)","plainCitation":"(Ivkić et al., 2019)","noteIndex":0},"citationItems":[{"id":52910,"uris":["http://zotero.org/groups/2352922/items/UTT59RRY"],"itemData":{"id":52910,"type":"article-journal","container-title":"Biological invasions","DOI":"10.1007/s10530-019-01972-4","issue":"6","note":"ISBN: 1573-1464\npublisher: Springer","page":"1887-1893","title":"The potential of large rafting objects to spread Lessepsian invaders: the case of a detached buoy","URL":"https://link.springer.com/article/10.1007/s10530-019-01972-4","volume":"21","author":[{"family":"Ivkić","given":"Angelina"},{"family":"Steger","given":"Jan"},{"family":"Galil","given":"Bella S."},{"family":"Albano","given":"Paolo G."}],"issued":{"date-parts":[["2019"]]}},"label":"page"}],"schema":"https://github.com/citation-style-language/schema/raw/master/csl-citation.json"} </w:instrText>
      </w:r>
      <w:r w:rsidR="00774588" w:rsidRPr="00DA249F">
        <w:rPr>
          <w:lang w:val="en-GB"/>
        </w:rPr>
        <w:fldChar w:fldCharType="separate"/>
      </w:r>
      <w:r w:rsidR="00144D96" w:rsidRPr="00144D96">
        <w:rPr>
          <w:szCs w:val="24"/>
        </w:rPr>
        <w:t>(Ivkić et al., 2019)</w:t>
      </w:r>
      <w:r w:rsidR="00774588" w:rsidRPr="00DA249F">
        <w:rPr>
          <w:lang w:val="en-GB"/>
        </w:rPr>
        <w:fldChar w:fldCharType="end"/>
      </w:r>
      <w:r w:rsidR="00C83F2D" w:rsidRPr="00DA249F">
        <w:rPr>
          <w:lang w:val="en-GB"/>
        </w:rPr>
        <w:t>.</w:t>
      </w:r>
    </w:p>
    <w:p w14:paraId="3E3CE2B8" w14:textId="193DC37A" w:rsidR="0041334B" w:rsidRPr="00DA249F" w:rsidRDefault="00A20256" w:rsidP="0090109B">
      <w:pPr>
        <w:rPr>
          <w:lang w:val="en-GB"/>
        </w:rPr>
      </w:pPr>
      <w:r w:rsidRPr="00DA249F">
        <w:rPr>
          <w:lang w:val="en-GB"/>
        </w:rPr>
        <w:t>Marine debris can interact with other drivers in facilitating biological invasions. Notably, n</w:t>
      </w:r>
      <w:r w:rsidR="008C1BF7" w:rsidRPr="00DA249F">
        <w:rPr>
          <w:lang w:val="en-GB"/>
        </w:rPr>
        <w:t>atur</w:t>
      </w:r>
      <w:r w:rsidR="00826769">
        <w:rPr>
          <w:lang w:val="en-GB"/>
        </w:rPr>
        <w:t>al</w:t>
      </w:r>
      <w:r w:rsidR="008C1BF7" w:rsidRPr="00DA249F">
        <w:rPr>
          <w:lang w:val="en-GB"/>
        </w:rPr>
        <w:t xml:space="preserve"> disasters can enhance the movement of invasive </w:t>
      </w:r>
      <w:r w:rsidR="002A0EE8" w:rsidRPr="00DA249F">
        <w:rPr>
          <w:lang w:val="en-GB"/>
        </w:rPr>
        <w:t xml:space="preserve">alien </w:t>
      </w:r>
      <w:r w:rsidR="008C1BF7" w:rsidRPr="00DA249F">
        <w:rPr>
          <w:lang w:val="en-GB"/>
        </w:rPr>
        <w:t>species traveling on marine debris</w:t>
      </w:r>
      <w:r w:rsidR="3DF0F817" w:rsidRPr="00DA249F">
        <w:rPr>
          <w:lang w:val="en-GB"/>
        </w:rPr>
        <w:t xml:space="preserve"> </w:t>
      </w:r>
      <w:r w:rsidR="00CA0C6B" w:rsidRPr="00DA249F">
        <w:rPr>
          <w:lang w:val="en-GB"/>
        </w:rPr>
        <w:t>(</w:t>
      </w:r>
      <w:r w:rsidR="3DF0F817" w:rsidRPr="008C1731">
        <w:rPr>
          <w:b/>
          <w:iCs/>
          <w:lang w:val="en-GB"/>
        </w:rPr>
        <w:t>section 3.</w:t>
      </w:r>
      <w:r w:rsidR="007C0716" w:rsidRPr="008C1731">
        <w:rPr>
          <w:b/>
          <w:iCs/>
          <w:lang w:val="en-GB"/>
        </w:rPr>
        <w:t>4.1</w:t>
      </w:r>
      <w:r w:rsidR="3DF0F817" w:rsidRPr="00DA249F">
        <w:rPr>
          <w:lang w:val="en-GB"/>
        </w:rPr>
        <w:t>)</w:t>
      </w:r>
      <w:r w:rsidR="008C1BF7" w:rsidRPr="00DA249F">
        <w:rPr>
          <w:lang w:val="en-GB"/>
        </w:rPr>
        <w:t xml:space="preserve">. For several years following the Japanese tsunami in 2011, debris with living species from Japan has landed on coastlines from Midway Atoll to </w:t>
      </w:r>
      <w:r w:rsidR="00F72F72" w:rsidRPr="00DA249F">
        <w:rPr>
          <w:lang w:val="en-GB"/>
        </w:rPr>
        <w:t>Hawai</w:t>
      </w:r>
      <w:r w:rsidR="008C1BF7" w:rsidRPr="00DA249F">
        <w:rPr>
          <w:lang w:val="en-GB"/>
        </w:rPr>
        <w:t xml:space="preserve">i Island and from south central Alaska to central California </w:t>
      </w:r>
      <w:r w:rsidR="00CA0C6B" w:rsidRPr="00DA249F">
        <w:rPr>
          <w:lang w:val="en-GB"/>
        </w:rPr>
        <w:t>(</w:t>
      </w:r>
      <w:r w:rsidR="00E23B69">
        <w:rPr>
          <w:b/>
          <w:bCs/>
          <w:iCs/>
          <w:lang w:val="en-GB"/>
        </w:rPr>
        <w:t>Box</w:t>
      </w:r>
      <w:r w:rsidR="009F2D68">
        <w:rPr>
          <w:b/>
          <w:bCs/>
          <w:iCs/>
          <w:lang w:val="en-GB"/>
        </w:rPr>
        <w:t xml:space="preserve"> 3.8</w:t>
      </w:r>
      <w:r w:rsidR="00ED73D9" w:rsidRPr="00DA249F">
        <w:rPr>
          <w:bCs/>
          <w:lang w:val="en-GB"/>
        </w:rPr>
        <w:t>).</w:t>
      </w:r>
      <w:r w:rsidR="00ED73D9" w:rsidRPr="00DA249F">
        <w:rPr>
          <w:b/>
          <w:lang w:val="en-GB"/>
        </w:rPr>
        <w:t xml:space="preserve"> </w:t>
      </w:r>
      <w:r w:rsidR="00900ADD" w:rsidRPr="00DA249F">
        <w:rPr>
          <w:bCs/>
          <w:lang w:val="en-GB"/>
        </w:rPr>
        <w:t>Using the data from this event</w:t>
      </w:r>
      <w:r w:rsidR="003A2C42" w:rsidRPr="00DA249F">
        <w:rPr>
          <w:bCs/>
          <w:lang w:val="en-GB"/>
        </w:rPr>
        <w:t xml:space="preserve"> to model </w:t>
      </w:r>
      <w:r w:rsidR="001C43E4" w:rsidRPr="00DA249F">
        <w:rPr>
          <w:bCs/>
          <w:lang w:val="en-GB"/>
        </w:rPr>
        <w:t>potential establishment</w:t>
      </w:r>
      <w:r w:rsidR="00900ADD" w:rsidRPr="00DA249F">
        <w:rPr>
          <w:bCs/>
          <w:lang w:val="en-GB"/>
        </w:rPr>
        <w:t>,</w:t>
      </w:r>
      <w:r w:rsidR="00ED73D9" w:rsidRPr="00DA249F">
        <w:rPr>
          <w:lang w:val="en-GB"/>
        </w:rPr>
        <w:t xml:space="preserve"> </w:t>
      </w:r>
      <w:r w:rsidR="00855B13" w:rsidRPr="00DA249F">
        <w:rPr>
          <w:lang w:val="en-GB"/>
        </w:rPr>
        <w:t>Simkanin et al.</w:t>
      </w:r>
      <w:r w:rsidR="008C1BF7" w:rsidRPr="00DA249F">
        <w:rPr>
          <w:lang w:val="en-GB"/>
        </w:rPr>
        <w:fldChar w:fldCharType="begin"/>
      </w:r>
      <w:r w:rsidR="00331A79">
        <w:rPr>
          <w:lang w:val="en-GB"/>
        </w:rPr>
        <w:instrText xml:space="preserve"> ADDIN ZOTERO_ITEM CSL_CITATION {"citationID":"3HAZ1ZoW","properties":{"formattedCitation":"(2019)","plainCitation":"(2019)","noteIndex":0},"citationItems":[{"id":16816,"uris":["http://zotero.org/groups/2352922/items/AU7U4VEZ"],"itemData":{"id":16816,"type":"article-journal","abstract":"Abstract Aim On 11 March 2011, the Great East Japan Earthquake triggered a massive tsunami that resulted in the largest known rafting event in recorded history. By spring 2012, marine debris began washing ashore along the Pacific coast of the United States and Canada with a wide range of Asian coastal species attached. We used this unique dataset, where the source region, date of dislodgment and landing location are known, to assess the potential for species invasions by transoceanic rafting on marine debris. Location Northeast Pacific from 20 to 60°N. Time period Current. Major taxa studied Forty-eight invertebrate and algal species recorded on Japanese tsunami marine debris (JTMD). Methods We developed maximum entropy (MaxEnt) species distribution models for 48 species recorded on JTMD to predict establishment potential along the Pacific coast from 20 to 60°N. Models were compared within the context of historical marine introductions from Japan to this region to validate the emergence of marine debris as a novel vector for species transfer. Results Overall, 27% (13 species) landed with debris at locations with suitable environmental conditions for establishment and survival, indicating that these species may be able to establish new populations or introduce greater genetic diversity to already established non-native populations. A further 21 species have an environmental match to areas where tsunami debris likely landed, but was not extensively sampled. Nearly 100 Japanese marine species previously invaded the northeastern Pacific, demonstrating this region’s environmental suitability for rafting Japanese biota. Historical invasions from Japan are highest in California and largely known from bays and harbours. Main conclusions Marine debris is a novel and growing vector for non-native species introduction. By utilizing a unique dataset of JTMD species, our predictive models show capacity for new transoceanic invasions and can focus monitoring priorities to detect successful long-distance dispersal across the world’s oceans.","container-title":"Global Ecology and Biogeography","DOI":"10.1111/geb.12878","issue":"5","page":"588-600","title":"Exploring potential establishment of marine rafting species after transoceanic long-distance dispersal","URL":"https://onlinelibrary.wiley.com/doi/abs/10.1111/geb.12878","volume":"28","author":[{"family":"Simkanin","given":"Christina"},{"family":"Carlton","given":"James T."},{"family":"Steves","given":"Brian"},{"family":"Fofonoff","given":"Paul"},{"family":"Nelson","given":"Jocelyn C."},{"family":"Clarke Murray","given":"Cathryn"},{"family":"Ruiz","given":"Gregory M."}],"issued":{"date-parts":[["2019"]]}},"label":"page","suppress-author":true}],"schema":"https://github.com/citation-style-language/schema/raw/master/csl-citation.json"} </w:instrText>
      </w:r>
      <w:r w:rsidR="008C1BF7" w:rsidRPr="00DA249F">
        <w:rPr>
          <w:lang w:val="en-GB"/>
        </w:rPr>
        <w:fldChar w:fldCharType="separate"/>
      </w:r>
      <w:r w:rsidR="00144D96" w:rsidRPr="00144D96">
        <w:t>(2019)</w:t>
      </w:r>
      <w:r w:rsidR="008C1BF7" w:rsidRPr="00DA249F">
        <w:rPr>
          <w:lang w:val="en-GB"/>
        </w:rPr>
        <w:fldChar w:fldCharType="end"/>
      </w:r>
      <w:r w:rsidR="008C1BF7" w:rsidRPr="00DA249F">
        <w:rPr>
          <w:lang w:val="en-GB"/>
        </w:rPr>
        <w:t xml:space="preserve"> </w:t>
      </w:r>
      <w:r w:rsidR="00F628B5" w:rsidRPr="00DA249F">
        <w:rPr>
          <w:lang w:val="en-GB"/>
        </w:rPr>
        <w:t>found that</w:t>
      </w:r>
      <w:r w:rsidR="008C1BF7" w:rsidRPr="00DA249F">
        <w:rPr>
          <w:lang w:val="en-GB"/>
        </w:rPr>
        <w:t xml:space="preserve"> </w:t>
      </w:r>
      <w:r w:rsidR="00466992" w:rsidRPr="00DA249F">
        <w:rPr>
          <w:lang w:val="en-GB"/>
        </w:rPr>
        <w:t>of</w:t>
      </w:r>
      <w:r w:rsidR="008C1BF7" w:rsidRPr="00DA249F">
        <w:rPr>
          <w:lang w:val="en-GB"/>
        </w:rPr>
        <w:t xml:space="preserve"> </w:t>
      </w:r>
      <w:r w:rsidR="00CF02C0" w:rsidRPr="00DA249F">
        <w:rPr>
          <w:lang w:val="en-GB"/>
        </w:rPr>
        <w:t>48</w:t>
      </w:r>
      <w:r w:rsidR="002621D9" w:rsidRPr="00DA249F">
        <w:rPr>
          <w:lang w:val="en-GB"/>
        </w:rPr>
        <w:t xml:space="preserve"> </w:t>
      </w:r>
      <w:r w:rsidR="008C1BF7" w:rsidRPr="00DA249F">
        <w:rPr>
          <w:lang w:val="en-GB"/>
        </w:rPr>
        <w:t xml:space="preserve">invertebrate and algal species on </w:t>
      </w:r>
      <w:r w:rsidR="00466992" w:rsidRPr="00DA249F">
        <w:rPr>
          <w:lang w:val="en-GB"/>
        </w:rPr>
        <w:t xml:space="preserve">the </w:t>
      </w:r>
      <w:r w:rsidR="008C1BF7" w:rsidRPr="00DA249F">
        <w:rPr>
          <w:lang w:val="en-GB"/>
        </w:rPr>
        <w:t>Japanese tsunami marine debris, 27</w:t>
      </w:r>
      <w:r w:rsidR="00EE5CAD" w:rsidRPr="00DA249F">
        <w:rPr>
          <w:lang w:val="en-GB"/>
        </w:rPr>
        <w:t xml:space="preserve"> </w:t>
      </w:r>
      <w:r w:rsidR="00683C95" w:rsidRPr="00DA249F">
        <w:rPr>
          <w:lang w:val="en-GB"/>
        </w:rPr>
        <w:t>per cent</w:t>
      </w:r>
      <w:r w:rsidR="00B44A2A" w:rsidRPr="00DA249F">
        <w:rPr>
          <w:lang w:val="en-GB"/>
        </w:rPr>
        <w:t xml:space="preserve"> </w:t>
      </w:r>
      <w:r w:rsidR="008C1BF7" w:rsidRPr="00DA249F">
        <w:rPr>
          <w:lang w:val="en-GB"/>
        </w:rPr>
        <w:t xml:space="preserve">(13 species) </w:t>
      </w:r>
      <w:r w:rsidR="00466992" w:rsidRPr="00DA249F">
        <w:rPr>
          <w:lang w:val="en-GB"/>
        </w:rPr>
        <w:t xml:space="preserve">had </w:t>
      </w:r>
      <w:r w:rsidR="008C1BF7" w:rsidRPr="00DA249F">
        <w:rPr>
          <w:lang w:val="en-GB"/>
        </w:rPr>
        <w:t xml:space="preserve">landed </w:t>
      </w:r>
      <w:r w:rsidR="00CD53DE" w:rsidRPr="00DA249F">
        <w:rPr>
          <w:lang w:val="en-GB"/>
        </w:rPr>
        <w:t xml:space="preserve">on Asturian coast </w:t>
      </w:r>
      <w:r w:rsidR="00466992" w:rsidRPr="00DA249F">
        <w:rPr>
          <w:lang w:val="en-GB"/>
        </w:rPr>
        <w:t xml:space="preserve">locations </w:t>
      </w:r>
      <w:r w:rsidR="008C1BF7" w:rsidRPr="00DA249F">
        <w:rPr>
          <w:lang w:val="en-GB"/>
        </w:rPr>
        <w:t xml:space="preserve">with suitable environmental conditions for establishment and survival, </w:t>
      </w:r>
      <w:r w:rsidR="00996508" w:rsidRPr="00DA249F">
        <w:rPr>
          <w:lang w:val="en-GB"/>
        </w:rPr>
        <w:t>and a</w:t>
      </w:r>
      <w:r w:rsidR="008C1BF7" w:rsidRPr="00DA249F">
        <w:rPr>
          <w:lang w:val="en-GB"/>
        </w:rPr>
        <w:t xml:space="preserve"> further </w:t>
      </w:r>
      <w:r w:rsidR="00683C95" w:rsidRPr="00DA249F">
        <w:rPr>
          <w:lang w:val="en-GB"/>
        </w:rPr>
        <w:t>43 per cent (</w:t>
      </w:r>
      <w:r w:rsidR="008C1BF7" w:rsidRPr="00DA249F">
        <w:rPr>
          <w:lang w:val="en-GB"/>
        </w:rPr>
        <w:t>21 species</w:t>
      </w:r>
      <w:r w:rsidR="00683C95" w:rsidRPr="00DA249F">
        <w:rPr>
          <w:lang w:val="en-GB"/>
        </w:rPr>
        <w:t>)</w:t>
      </w:r>
      <w:r w:rsidR="008C1BF7" w:rsidRPr="00DA249F">
        <w:rPr>
          <w:lang w:val="en-GB"/>
        </w:rPr>
        <w:t xml:space="preserve"> </w:t>
      </w:r>
      <w:r w:rsidR="00466992" w:rsidRPr="00DA249F">
        <w:rPr>
          <w:lang w:val="en-GB"/>
        </w:rPr>
        <w:t>had</w:t>
      </w:r>
      <w:r w:rsidR="00AF03E4">
        <w:rPr>
          <w:lang w:val="en-GB"/>
        </w:rPr>
        <w:t xml:space="preserve"> </w:t>
      </w:r>
      <w:r w:rsidR="008C1BF7" w:rsidRPr="00DA249F">
        <w:rPr>
          <w:lang w:val="en-GB"/>
        </w:rPr>
        <w:t xml:space="preserve">environmental </w:t>
      </w:r>
      <w:r w:rsidR="004666E7" w:rsidRPr="00DA249F">
        <w:rPr>
          <w:lang w:val="en-GB"/>
        </w:rPr>
        <w:t xml:space="preserve">requirements met </w:t>
      </w:r>
      <w:r w:rsidR="00391F0E" w:rsidRPr="00DA249F">
        <w:rPr>
          <w:lang w:val="en-GB"/>
        </w:rPr>
        <w:t>in</w:t>
      </w:r>
      <w:r w:rsidR="008C1BF7" w:rsidRPr="00DA249F">
        <w:rPr>
          <w:lang w:val="en-GB"/>
        </w:rPr>
        <w:t xml:space="preserve"> </w:t>
      </w:r>
      <w:r w:rsidR="00AF03E4">
        <w:rPr>
          <w:lang w:val="en-GB"/>
        </w:rPr>
        <w:t xml:space="preserve">other </w:t>
      </w:r>
      <w:r w:rsidR="008C1BF7" w:rsidRPr="00DA249F">
        <w:rPr>
          <w:lang w:val="en-GB"/>
        </w:rPr>
        <w:t xml:space="preserve">areas where tsunami debris likely </w:t>
      </w:r>
      <w:r w:rsidR="5EC91073" w:rsidRPr="00DA249F">
        <w:rPr>
          <w:lang w:val="en-GB"/>
        </w:rPr>
        <w:t xml:space="preserve">landed </w:t>
      </w:r>
      <w:r w:rsidR="00466992" w:rsidRPr="00DA249F">
        <w:rPr>
          <w:lang w:val="en-GB"/>
        </w:rPr>
        <w:t>(</w:t>
      </w:r>
      <w:r w:rsidR="5EC91073" w:rsidRPr="00DA249F">
        <w:rPr>
          <w:lang w:val="en-GB"/>
        </w:rPr>
        <w:t>but</w:t>
      </w:r>
      <w:r w:rsidR="008C1BF7" w:rsidRPr="00DA249F">
        <w:rPr>
          <w:lang w:val="en-GB"/>
        </w:rPr>
        <w:t xml:space="preserve"> </w:t>
      </w:r>
      <w:r w:rsidR="00466992" w:rsidRPr="00DA249F">
        <w:rPr>
          <w:lang w:val="en-GB"/>
        </w:rPr>
        <w:t>had</w:t>
      </w:r>
      <w:r w:rsidR="008C1BF7" w:rsidRPr="00DA249F">
        <w:rPr>
          <w:lang w:val="en-GB"/>
        </w:rPr>
        <w:t xml:space="preserve"> not </w:t>
      </w:r>
      <w:r w:rsidR="009E49F7" w:rsidRPr="00DA249F">
        <w:rPr>
          <w:lang w:val="en-GB"/>
        </w:rPr>
        <w:t>been</w:t>
      </w:r>
      <w:r w:rsidR="00466992" w:rsidRPr="00DA249F">
        <w:rPr>
          <w:lang w:val="en-GB"/>
        </w:rPr>
        <w:t xml:space="preserve"> documented)</w:t>
      </w:r>
      <w:r w:rsidR="008C1BF7" w:rsidRPr="00DA249F">
        <w:rPr>
          <w:lang w:val="en-GB"/>
        </w:rPr>
        <w:t>.</w:t>
      </w:r>
      <w:r w:rsidR="00B1749C" w:rsidRPr="00DA249F">
        <w:rPr>
          <w:lang w:val="en-GB"/>
        </w:rPr>
        <w:t xml:space="preserve"> </w:t>
      </w:r>
    </w:p>
    <w:p w14:paraId="40D292D2" w14:textId="03E2327C" w:rsidR="0041334B" w:rsidRPr="00DA249F" w:rsidRDefault="0041334B" w:rsidP="0074196D">
      <w:pPr>
        <w:pStyle w:val="Caption"/>
        <w:pBdr>
          <w:top w:val="single" w:sz="4" w:space="1" w:color="auto"/>
          <w:left w:val="single" w:sz="4" w:space="1" w:color="auto"/>
          <w:bottom w:val="single" w:sz="4" w:space="1" w:color="auto"/>
          <w:right w:val="single" w:sz="4" w:space="1" w:color="auto"/>
        </w:pBdr>
        <w:shd w:val="clear" w:color="auto" w:fill="E7E6E6" w:themeFill="background2"/>
        <w:rPr>
          <w:lang w:val="en-GB"/>
        </w:rPr>
      </w:pPr>
      <w:bookmarkStart w:id="178" w:name="_Ref104903451"/>
      <w:bookmarkStart w:id="179" w:name="_Toc158373492"/>
      <w:r w:rsidRPr="00DA249F">
        <w:rPr>
          <w:lang w:val="en-GB"/>
        </w:rPr>
        <w:t>Box 3.</w:t>
      </w:r>
      <w:r w:rsidRPr="00DA249F">
        <w:rPr>
          <w:lang w:val="en-GB"/>
        </w:rPr>
        <w:fldChar w:fldCharType="begin"/>
      </w:r>
      <w:r w:rsidRPr="00DA249F">
        <w:rPr>
          <w:lang w:val="en-GB"/>
        </w:rPr>
        <w:instrText xml:space="preserve"> SEQ Box_3. \* ARABIC </w:instrText>
      </w:r>
      <w:r w:rsidRPr="00DA249F">
        <w:rPr>
          <w:lang w:val="en-GB"/>
        </w:rPr>
        <w:fldChar w:fldCharType="separate"/>
      </w:r>
      <w:r w:rsidR="00287BC7">
        <w:rPr>
          <w:noProof/>
          <w:lang w:val="en-GB"/>
        </w:rPr>
        <w:t>8</w:t>
      </w:r>
      <w:r w:rsidRPr="00DA249F">
        <w:rPr>
          <w:lang w:val="en-GB"/>
        </w:rPr>
        <w:fldChar w:fldCharType="end"/>
      </w:r>
      <w:bookmarkEnd w:id="178"/>
      <w:r w:rsidR="00775866" w:rsidRPr="00DA249F">
        <w:rPr>
          <w:lang w:val="en-GB"/>
        </w:rPr>
        <w:t>.</w:t>
      </w:r>
      <w:r w:rsidRPr="00DA249F">
        <w:rPr>
          <w:lang w:val="en-GB"/>
        </w:rPr>
        <w:t xml:space="preserve"> </w:t>
      </w:r>
      <w:r w:rsidR="004B7110" w:rsidRPr="00DA249F">
        <w:rPr>
          <w:lang w:val="en-GB"/>
        </w:rPr>
        <w:t xml:space="preserve">The spread of invasive alien species </w:t>
      </w:r>
      <w:r w:rsidR="00A140C9" w:rsidRPr="00DA249F">
        <w:rPr>
          <w:lang w:val="en-GB"/>
        </w:rPr>
        <w:t xml:space="preserve">on </w:t>
      </w:r>
      <w:r w:rsidR="004B7110" w:rsidRPr="00DA249F">
        <w:rPr>
          <w:lang w:val="en-GB"/>
        </w:rPr>
        <w:t>Japanese tsunami marine debris</w:t>
      </w:r>
      <w:bookmarkEnd w:id="179"/>
    </w:p>
    <w:p w14:paraId="6957644B" w14:textId="305CB182" w:rsidR="0041334B" w:rsidRPr="00DA249F" w:rsidRDefault="0041334B" w:rsidP="0074196D">
      <w:pPr>
        <w:pBdr>
          <w:top w:val="single" w:sz="4" w:space="1" w:color="auto"/>
          <w:left w:val="single" w:sz="4" w:space="1" w:color="auto"/>
          <w:bottom w:val="single" w:sz="4" w:space="1" w:color="auto"/>
          <w:right w:val="single" w:sz="4" w:space="1" w:color="auto"/>
        </w:pBdr>
        <w:shd w:val="clear" w:color="auto" w:fill="E7E6E6" w:themeFill="background2"/>
        <w:rPr>
          <w:lang w:val="en-GB"/>
        </w:rPr>
      </w:pPr>
      <w:r w:rsidRPr="00DA249F">
        <w:rPr>
          <w:lang w:val="en-GB"/>
        </w:rPr>
        <w:t>On the 1</w:t>
      </w:r>
      <w:r w:rsidR="004310AC">
        <w:rPr>
          <w:lang w:val="en-GB"/>
        </w:rPr>
        <w:t>1</w:t>
      </w:r>
      <w:r w:rsidRPr="00DA249F">
        <w:rPr>
          <w:lang w:val="en-GB"/>
        </w:rPr>
        <w:t xml:space="preserve"> March 2011, an undersea megathrust earthquake struck Japan and created a tsunami on its East coast (specifically in the Tohoku coast of Northeast Honshu, Japan) that reached 38.38 m in height </w:t>
      </w:r>
      <w:r w:rsidRPr="00DA249F">
        <w:rPr>
          <w:lang w:val="en-GB"/>
        </w:rPr>
        <w:fldChar w:fldCharType="begin"/>
      </w:r>
      <w:r w:rsidR="00331A79">
        <w:rPr>
          <w:lang w:val="en-GB"/>
        </w:rPr>
        <w:instrText xml:space="preserve"> ADDIN ZOTERO_ITEM CSL_CITATION {"citationID":"DgQf5k9C","properties":{"formattedCitation":"(Carlton et al., 2017; Shimada, 2016)","plainCitation":"(Carlton et al., 2017; Shimada, 2016)","noteIndex":0},"citationItems":[{"id":29785,"uris":["http://zotero.org/groups/2352922/items/3XYA9X8T"],"itemData":{"id":29785,"type":"article-journal","abstract":"The 2011 East Japan earthquake generated a massive tsunami that launched an extraordinary transoceanic biological rafting event with no known historical precedent. We document 289 living Japanese coastal marine species from 16 phyla transported over 6 years on objects that traveled thousands of kilometers across the Pacific Ocean to the shores of North America and Hawai‘i. Most of this dispersal occurred on nonbiodegradable objects, resulting in the longest documented transoceanic survival and dispersal of coastal species by rafting. Expanding shoreline infrastructure has increased global sources of plastic materials available for biotic colonization and also interacts with climate change–induced storms of increasing severity to eject debris into the oceans. In turn, increased ocean rafting may intensify species invasions.","container-title":"Science","DOI":"10.1126/science.aao1498","ISSN":"0036-8075, 1095-9203","issue":"6358","journalAbbreviation":"Science","language":"en","page":"1402-1406","source":"DOI.org (Crossref)","title":"Tsunami-driven rafting: Transoceanic species dispersal and implications for marine biogeography","title-short":"Tsunami-driven rafting","URL":"https://www.sciencemag.org/lookup/doi/10.1126/science.aao1498","volume":"357","author":[{"family":"Carlton","given":"James T."},{"family":"Chapman","given":"John W."},{"family":"Geller","given":"Jonathan B."},{"family":"Miller","given":"Jessica A."},{"family":"Carlton","given":"Deborah A."},{"family":"McCuller","given":"Megan I."},{"family":"Treneman","given":"Nancy C."},{"family":"Steves","given":"Brian P."},{"family":"Ruiz","given":"Gregory M."}],"accessed":{"date-parts":[["2021",8,6]]},"issued":{"date-parts":[["2017",9,29]]}},"label":"page"},{"id":10420,"uris":["http://zotero.org/groups/2352922/items/8MPU8DHQ"],"itemData":{"id":10420,"type":"chapter","container-title":"Ecological Impacts of Tsunamis on Coastal Ecosystems","page":"1–8","publisher":"Springer","title":"Outline of the Great East Japan Earthquake","URL":"https://link.springer.com/chapter/10.1007/978-4-431-56448-5_1","author":[{"family":"Shimada","given":"Naoaki"}],"issued":{"date-parts":[["2016"]]}},"label":"page"}],"schema":"https://github.com/citation-style-language/schema/raw/master/csl-citation.json"} </w:instrText>
      </w:r>
      <w:r w:rsidRPr="00DA249F">
        <w:rPr>
          <w:lang w:val="en-GB"/>
        </w:rPr>
        <w:fldChar w:fldCharType="separate"/>
      </w:r>
      <w:r w:rsidR="00144D96" w:rsidRPr="00144D96">
        <w:t>(Carlton et al., 2017; Shimada, 2016)</w:t>
      </w:r>
      <w:r w:rsidRPr="00DA249F">
        <w:rPr>
          <w:lang w:val="en-GB"/>
        </w:rPr>
        <w:fldChar w:fldCharType="end"/>
      </w:r>
      <w:r w:rsidRPr="00DA249F">
        <w:rPr>
          <w:lang w:val="en-GB"/>
        </w:rPr>
        <w:t>. The tsunami produced abundant marine debris and caused the translocations of multiple taxa that were concentrated in the Pacific Northwest of the United States. At least 289 living Japanese coastal marine species have been found since 2012 on the coastlines of North America and Hawaii; the biota included macroinvertebrates, fish, microinvertebrates</w:t>
      </w:r>
      <w:r w:rsidR="00774819">
        <w:rPr>
          <w:lang w:val="en-GB"/>
        </w:rPr>
        <w:t xml:space="preserve"> and</w:t>
      </w:r>
      <w:r w:rsidRPr="00DA249F">
        <w:rPr>
          <w:lang w:val="en-GB"/>
        </w:rPr>
        <w:t xml:space="preserve"> protists </w:t>
      </w:r>
      <w:r w:rsidR="00E02927" w:rsidRPr="00DA249F">
        <w:rPr>
          <w:lang w:val="en-GB"/>
        </w:rPr>
        <w:fldChar w:fldCharType="begin"/>
      </w:r>
      <w:r w:rsidR="00331A79">
        <w:rPr>
          <w:lang w:val="en-GB"/>
        </w:rPr>
        <w:instrText xml:space="preserve"> ADDIN ZOTERO_ITEM CSL_CITATION {"citationID":"crv3dm9l","properties":{"formattedCitation":"(Carlton et al., 2017)","plainCitation":"(Carlton et al., 2017)","noteIndex":0},"citationItems":[{"id":29785,"uris":["http://zotero.org/groups/2352922/items/3XYA9X8T"],"itemData":{"id":29785,"type":"article-journal","abstract":"The 2011 East Japan earthquake generated a massive tsunami that launched an extraordinary transoceanic biological rafting event with no known historical precedent. We document 289 living Japanese coastal marine species from 16 phyla transported over 6 years on objects that traveled thousands of kilometers across the Pacific Ocean to the shores of North America and Hawai‘i. Most of this dispersal occurred on nonbiodegradable objects, resulting in the longest documented transoceanic survival and dispersal of coastal species by rafting. Expanding shoreline infrastructure has increased global sources of plastic materials available for biotic colonization and also interacts with climate change–induced storms of increasing severity to eject debris into the oceans. In turn, increased ocean rafting may intensify species invasions.","container-title":"Science","DOI":"10.1126/science.aao1498","ISSN":"0036-8075, 1095-9203","issue":"6358","journalAbbreviation":"Science","language":"en","page":"1402-1406","source":"DOI.org (Crossref)","title":"Tsunami-driven rafting: Transoceanic species dispersal and implications for marine biogeography","title-short":"Tsunami-driven rafting","URL":"https://www.sciencemag.org/lookup/doi/10.1126/science.aao1498","volume":"357","author":[{"family":"Carlton","given":"James T."},{"family":"Chapman","given":"John W."},{"family":"Geller","given":"Jonathan B."},{"family":"Miller","given":"Jessica A."},{"family":"Carlton","given":"Deborah A."},{"family":"McCuller","given":"Megan I."},{"family":"Treneman","given":"Nancy C."},{"family":"Steves","given":"Brian P."},{"family":"Ruiz","given":"Gregory M."}],"accessed":{"date-parts":[["2021",8,6]]},"issued":{"date-parts":[["2017",9,29]]}}}],"schema":"https://github.com/citation-style-language/schema/raw/master/csl-citation.json"} </w:instrText>
      </w:r>
      <w:r w:rsidR="00E02927" w:rsidRPr="00DA249F">
        <w:rPr>
          <w:lang w:val="en-GB"/>
        </w:rPr>
        <w:fldChar w:fldCharType="separate"/>
      </w:r>
      <w:r w:rsidR="00144D96" w:rsidRPr="00144D96">
        <w:t>(Carlton et al., 2017)</w:t>
      </w:r>
      <w:r w:rsidR="00E02927" w:rsidRPr="00DA249F">
        <w:rPr>
          <w:lang w:val="en-GB"/>
        </w:rPr>
        <w:fldChar w:fldCharType="end"/>
      </w:r>
      <w:r w:rsidRPr="00DA249F">
        <w:rPr>
          <w:lang w:val="en-GB"/>
        </w:rPr>
        <w:t>.</w:t>
      </w:r>
      <w:r w:rsidR="006F02BA" w:rsidRPr="00DA249F">
        <w:rPr>
          <w:lang w:val="en-GB"/>
        </w:rPr>
        <w:t xml:space="preserve"> </w:t>
      </w:r>
      <w:r w:rsidRPr="00DA249F">
        <w:rPr>
          <w:lang w:val="en-GB"/>
        </w:rPr>
        <w:t xml:space="preserve">According to Miller et al. </w:t>
      </w:r>
      <w:r w:rsidR="00E02927" w:rsidRPr="00DA249F">
        <w:rPr>
          <w:lang w:val="en-GB"/>
        </w:rPr>
        <w:fldChar w:fldCharType="begin"/>
      </w:r>
      <w:r w:rsidR="00331A79">
        <w:rPr>
          <w:lang w:val="en-GB"/>
        </w:rPr>
        <w:instrText xml:space="preserve"> ADDIN ZOTERO_ITEM CSL_CITATION {"citationID":"qz4Oivpl","properties":{"formattedCitation":"(2018)","plainCitation":"(2018)","noteIndex":0},"citationItems":[{"id":10422,"uris":["http://zotero.org/groups/2352922/items/V6GQDUNX"],"itemData":{"id":10422,"type":"article-journal","abstract":"Biofouled debris from the 2011 Great East Japan earthquake and tsunami has landed in the Northeast Paciﬁc and along the Hawaiian Islands since 2012. As of 2017, &gt; 630 biofouled debris items with &gt; 320 living species of algae, invertebrates, and ﬁsh have been examined. The invasive mussel Mytilus galloprovincialis was present on &gt; 50% of those items. Size, reproduction, and growth of this ﬁlter-feeding species were examined to better understand long-distance rafting of a coastal species. The majority of mussels (79%) had developing or mature gametes, and growth rates averaged 0.075 ± 0.018 SE mm/day. Structural and elemental (barium/calcium) analysis of mussel shells generated estimates of growth in coastal waters (mean = 1.3 to 25 mm total length), which provides an indication of residence times in waters along North America and the Hawaiian Islands prior to landing. Detailed studies of individual species contribute to our understanding of debris as a transport vector and aid eﬀorts to evaluate potential risks associated with marine debris.","container-title":"Marine Pollution Bulletin","DOI":"10.1016/j.marpolbul.2017.10.040","ISSN":"0025326X","journalAbbreviation":"Marine Pollution Bulletin","language":"en","page":"60-69","source":"DOI.org (Crossref)","title":"Transoceanic dispersal of the mussel &lt;i&gt;Mytilus galloprovincialis&lt;/i&gt; on Japanese tsunami marine debris: An approach for evaluating rafting of a coastal species at sea","title-short":"Transoceanic dispersal of the mussel Mytilus galloprovincialis on Japanese tsunami marine debris","URL":"https://linkinghub.elsevier.com/retrieve/pii/S0025326X1730886X","volume":"132","author":[{"family":"Miller","given":"Jessica A."},{"family":"Carlton","given":"James T."},{"family":"Chapman","given":"John W."},{"family":"Geller","given":"Jonathan B."},{"family":"Ruiz","given":"Gregory M."}],"accessed":{"date-parts":[["2021",8,6]]},"issued":{"date-parts":[["2018",7]]}},"label":"page","suppress-author":true}],"schema":"https://github.com/citation-style-language/schema/raw/master/csl-citation.json"} </w:instrText>
      </w:r>
      <w:r w:rsidR="00E02927" w:rsidRPr="00DA249F">
        <w:rPr>
          <w:lang w:val="en-GB"/>
        </w:rPr>
        <w:fldChar w:fldCharType="separate"/>
      </w:r>
      <w:r w:rsidR="00144D96" w:rsidRPr="00144D96">
        <w:t>(2018)</w:t>
      </w:r>
      <w:r w:rsidR="00E02927" w:rsidRPr="00DA249F">
        <w:rPr>
          <w:lang w:val="en-GB"/>
        </w:rPr>
        <w:fldChar w:fldCharType="end"/>
      </w:r>
      <w:r w:rsidRPr="00DA249F">
        <w:rPr>
          <w:lang w:val="en-GB"/>
        </w:rPr>
        <w:t xml:space="preserve">, one of the most common species arriving on Japanese tsunami marine debris is </w:t>
      </w:r>
      <w:r w:rsidR="00AB1A94" w:rsidRPr="00DA249F">
        <w:rPr>
          <w:i/>
          <w:iCs/>
          <w:lang w:val="en-GB"/>
        </w:rPr>
        <w:t>Mytilus galloprovincialis</w:t>
      </w:r>
      <w:r w:rsidR="00AB1A94" w:rsidRPr="00DA249F">
        <w:rPr>
          <w:lang w:val="en-GB"/>
        </w:rPr>
        <w:t> (</w:t>
      </w:r>
      <w:r w:rsidRPr="00DA249F">
        <w:rPr>
          <w:lang w:val="en-GB"/>
        </w:rPr>
        <w:t>Mediterranean mussel</w:t>
      </w:r>
      <w:r w:rsidR="00AB1A94" w:rsidRPr="00DA249F">
        <w:rPr>
          <w:lang w:val="en-GB"/>
        </w:rPr>
        <w:t>)</w:t>
      </w:r>
      <w:r w:rsidRPr="00DA249F">
        <w:rPr>
          <w:lang w:val="en-GB"/>
        </w:rPr>
        <w:t xml:space="preserve">. During the following years after the tsunami, various reports associated the appearance of new invasive </w:t>
      </w:r>
      <w:r w:rsidR="002A0EE8" w:rsidRPr="00DA249F">
        <w:rPr>
          <w:lang w:val="en-GB"/>
        </w:rPr>
        <w:t xml:space="preserve">alien </w:t>
      </w:r>
      <w:r w:rsidRPr="00DA249F">
        <w:rPr>
          <w:lang w:val="en-GB"/>
        </w:rPr>
        <w:t>species, not previously reported, with this event</w:t>
      </w:r>
      <w:r w:rsidR="00CD404C" w:rsidRPr="00DA249F">
        <w:rPr>
          <w:lang w:val="en-GB"/>
        </w:rPr>
        <w:t xml:space="preserve">. </w:t>
      </w:r>
      <w:r w:rsidRPr="00DA249F">
        <w:rPr>
          <w:lang w:val="en-GB"/>
        </w:rPr>
        <w:t xml:space="preserve">The establishment of rafting species will depend on the number and frequency of reproductively viable individuals </w:t>
      </w:r>
      <w:r w:rsidR="00736FCC" w:rsidRPr="00DA249F">
        <w:rPr>
          <w:lang w:val="en-GB"/>
        </w:rPr>
        <w:t xml:space="preserve">being transported </w:t>
      </w:r>
      <w:r w:rsidR="00056855" w:rsidRPr="00DA249F">
        <w:rPr>
          <w:lang w:val="en-GB"/>
        </w:rPr>
        <w:t xml:space="preserve">on the marine debris coupled with </w:t>
      </w:r>
      <w:r w:rsidRPr="00DA249F">
        <w:rPr>
          <w:lang w:val="en-GB"/>
        </w:rPr>
        <w:t xml:space="preserve">the presence of suitable environments </w:t>
      </w:r>
      <w:r w:rsidR="00487EEE" w:rsidRPr="00DA249F">
        <w:rPr>
          <w:lang w:val="en-GB"/>
        </w:rPr>
        <w:t xml:space="preserve">in the recipient range </w:t>
      </w:r>
      <w:r w:rsidR="00120B77" w:rsidRPr="00DA249F">
        <w:rPr>
          <w:lang w:val="en-GB"/>
        </w:rPr>
        <w:fldChar w:fldCharType="begin"/>
      </w:r>
      <w:r w:rsidR="00331A79">
        <w:rPr>
          <w:lang w:val="en-GB"/>
        </w:rPr>
        <w:instrText xml:space="preserve"> ADDIN ZOTERO_ITEM CSL_CITATION {"citationID":"jxAN69rF","properties":{"formattedCitation":"(Carlton et al., 2017)","plainCitation":"(Carlton et al., 2017)","noteIndex":0},"citationItems":[{"id":29785,"uris":["http://zotero.org/groups/2352922/items/3XYA9X8T"],"itemData":{"id":29785,"type":"article-journal","abstract":"The 2011 East Japan earthquake generated a massive tsunami that launched an extraordinary transoceanic biological rafting event with no known historical precedent. We document 289 living Japanese coastal marine species from 16 phyla transported over 6 years on objects that traveled thousands of kilometers across the Pacific Ocean to the shores of North America and Hawai‘i. Most of this dispersal occurred on nonbiodegradable objects, resulting in the longest documented transoceanic survival and dispersal of coastal species by rafting. Expanding shoreline infrastructure has increased global sources of plastic materials available for biotic colonization and also interacts with climate change–induced storms of increasing severity to eject debris into the oceans. In turn, increased ocean rafting may intensify species invasions.","container-title":"Science","DOI":"10.1126/science.aao1498","ISSN":"0036-8075, 1095-9203","issue":"6358","journalAbbreviation":"Science","language":"en","page":"1402-1406","source":"DOI.org (Crossref)","title":"Tsunami-driven rafting: Transoceanic species dispersal and implications for marine biogeography","title-short":"Tsunami-driven rafting","URL":"https://www.sciencemag.org/lookup/doi/10.1126/science.aao1498","volume":"357","author":[{"family":"Carlton","given":"James T."},{"family":"Chapman","given":"John W."},{"family":"Geller","given":"Jonathan B."},{"family":"Miller","given":"Jessica A."},{"family":"Carlton","given":"Deborah A."},{"family":"McCuller","given":"Megan I."},{"family":"Treneman","given":"Nancy C."},{"family":"Steves","given":"Brian P."},{"family":"Ruiz","given":"Gregory M."}],"accessed":{"date-parts":[["2021",8,6]]},"issued":{"date-parts":[["2017",9,29]]}}}],"schema":"https://github.com/citation-style-language/schema/raw/master/csl-citation.json"} </w:instrText>
      </w:r>
      <w:r w:rsidR="00120B77" w:rsidRPr="00DA249F">
        <w:rPr>
          <w:lang w:val="en-GB"/>
        </w:rPr>
        <w:fldChar w:fldCharType="separate"/>
      </w:r>
      <w:r w:rsidR="00144D96" w:rsidRPr="00144D96">
        <w:t>(Carlton et al., 2017)</w:t>
      </w:r>
      <w:r w:rsidR="00120B77" w:rsidRPr="00DA249F">
        <w:rPr>
          <w:lang w:val="en-GB"/>
        </w:rPr>
        <w:fldChar w:fldCharType="end"/>
      </w:r>
      <w:r w:rsidRPr="00DA249F">
        <w:rPr>
          <w:lang w:val="en-GB"/>
        </w:rPr>
        <w:t xml:space="preserve">. The tsunami occurred early in the breeding season for many coastal species, which may have contributed to a successful settlement on Japanese tsunami marine debris </w:t>
      </w:r>
      <w:r w:rsidRPr="00DA249F">
        <w:rPr>
          <w:lang w:val="en-GB"/>
        </w:rPr>
        <w:fldChar w:fldCharType="begin"/>
      </w:r>
      <w:r w:rsidR="00331A79">
        <w:rPr>
          <w:lang w:val="en-GB"/>
        </w:rPr>
        <w:instrText xml:space="preserve"> ADDIN ZOTERO_ITEM CSL_CITATION {"citationID":"3J7SYegw","properties":{"formattedCitation":"(J. A. Miller et al., 2018)","plainCitation":"(J. A. Miller et al., 2018)","noteIndex":0},"citationItems":[{"id":10422,"uris":["http://zotero.org/groups/2352922/items/V6GQDUNX"],"itemData":{"id":10422,"type":"article-journal","abstract":"Biofouled debris from the 2011 Great East Japan earthquake and tsunami has landed in the Northeast Paciﬁc and along the Hawaiian Islands since 2012. As of 2017, &gt; 630 biofouled debris items with &gt; 320 living species of algae, invertebrates, and ﬁsh have been examined. The invasive mussel Mytilus galloprovincialis was present on &gt; 50% of those items. Size, reproduction, and growth of this ﬁlter-feeding species were examined to better understand long-distance rafting of a coastal species. The majority of mussels (79%) had developing or mature gametes, and growth rates averaged 0.075 ± 0.018 SE mm/day. Structural and elemental (barium/calcium) analysis of mussel shells generated estimates of growth in coastal waters (mean = 1.3 to 25 mm total length), which provides an indication of residence times in waters along North America and the Hawaiian Islands prior to landing. Detailed studies of individual species contribute to our understanding of debris as a transport vector and aid eﬀorts to evaluate potential risks associated with marine debris.","container-title":"Marine Pollution Bulletin","DOI":"10.1016/j.marpolbul.2017.10.040","ISSN":"0025326X","journalAbbreviation":"Marine Pollution Bulletin","language":"en","page":"60-69","source":"DOI.org (Crossref)","title":"Transoceanic dispersal of the mussel &lt;i&gt;Mytilus galloprovincialis&lt;/i&gt; on Japanese tsunami marine debris: An approach for evaluating rafting of a coastal species at sea","title-short":"Transoceanic dispersal of the mussel Mytilus galloprovincialis on Japanese tsunami marine debris","URL":"https://linkinghub.elsevier.com/retrieve/pii/S0025326X1730886X","volume":"132","author":[{"family":"Miller","given":"Jessica A."},{"family":"Carlton","given":"James T."},{"family":"Chapman","given":"John W."},{"family":"Geller","given":"Jonathan B."},{"family":"Ruiz","given":"Gregory M."}],"accessed":{"date-parts":[["2021",8,6]]},"issued":{"date-parts":[["2018",7]]}},"label":"page"}],"schema":"https://github.com/citation-style-language/schema/raw/master/csl-citation.json"} </w:instrText>
      </w:r>
      <w:r w:rsidRPr="00DA249F">
        <w:rPr>
          <w:lang w:val="en-GB"/>
        </w:rPr>
        <w:fldChar w:fldCharType="separate"/>
      </w:r>
      <w:r w:rsidR="00144D96" w:rsidRPr="00144D96">
        <w:t>(J. A. Miller et al., 2018)</w:t>
      </w:r>
      <w:r w:rsidRPr="00DA249F">
        <w:rPr>
          <w:lang w:val="en-GB"/>
        </w:rPr>
        <w:fldChar w:fldCharType="end"/>
      </w:r>
      <w:r w:rsidRPr="00DA249F">
        <w:rPr>
          <w:lang w:val="en-GB"/>
        </w:rPr>
        <w:t>.</w:t>
      </w:r>
    </w:p>
    <w:p w14:paraId="58AF8190" w14:textId="77777777" w:rsidR="00C24FFF" w:rsidRPr="00DA249F" w:rsidRDefault="00574D0F" w:rsidP="00E66F5E">
      <w:pPr>
        <w:pBdr>
          <w:top w:val="single" w:sz="4" w:space="1" w:color="auto"/>
          <w:left w:val="single" w:sz="4" w:space="1" w:color="auto"/>
          <w:bottom w:val="single" w:sz="4" w:space="1" w:color="auto"/>
          <w:right w:val="single" w:sz="4" w:space="1" w:color="auto"/>
        </w:pBdr>
        <w:shd w:val="clear" w:color="auto" w:fill="E7E6E6" w:themeFill="background2"/>
        <w:jc w:val="center"/>
        <w:rPr>
          <w:lang w:val="en-GB"/>
        </w:rPr>
      </w:pPr>
      <w:r>
        <w:rPr>
          <w:noProof/>
        </w:rPr>
        <w:lastRenderedPageBreak/>
        <w:drawing>
          <wp:inline distT="0" distB="0" distL="0" distR="0" wp14:anchorId="3C31A4FC" wp14:editId="6EB2DF3F">
            <wp:extent cx="4389120" cy="3294679"/>
            <wp:effectExtent l="0" t="0" r="508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4390057" cy="3295382"/>
                    </a:xfrm>
                    <a:prstGeom prst="rect">
                      <a:avLst/>
                    </a:prstGeom>
                    <a:noFill/>
                    <a:ln>
                      <a:noFill/>
                    </a:ln>
                  </pic:spPr>
                </pic:pic>
              </a:graphicData>
            </a:graphic>
          </wp:inline>
        </w:drawing>
      </w:r>
    </w:p>
    <w:p w14:paraId="600A55DD" w14:textId="777C5AC7" w:rsidR="008C1BF7" w:rsidRPr="00DA249F" w:rsidRDefault="00A35C30" w:rsidP="0074196D">
      <w:pPr>
        <w:pStyle w:val="Caption"/>
        <w:pBdr>
          <w:top w:val="single" w:sz="4" w:space="1" w:color="auto"/>
          <w:left w:val="single" w:sz="4" w:space="1" w:color="auto"/>
          <w:bottom w:val="single" w:sz="4" w:space="1" w:color="auto"/>
          <w:right w:val="single" w:sz="4" w:space="1" w:color="auto"/>
        </w:pBdr>
        <w:shd w:val="clear" w:color="auto" w:fill="E7E6E6" w:themeFill="background2"/>
        <w:rPr>
          <w:b w:val="0"/>
          <w:bCs w:val="0"/>
          <w:lang w:val="en-GB"/>
        </w:rPr>
      </w:pPr>
      <w:bookmarkStart w:id="180" w:name="_Ref129339648"/>
      <w:bookmarkStart w:id="181" w:name="_Toc147500904"/>
      <w:r w:rsidRPr="00DA249F">
        <w:rPr>
          <w:lang w:val="en-GB"/>
        </w:rPr>
        <w:t>Figure 3.</w:t>
      </w:r>
      <w:r w:rsidRPr="00DA249F">
        <w:rPr>
          <w:lang w:val="en-GB"/>
        </w:rPr>
        <w:fldChar w:fldCharType="begin"/>
      </w:r>
      <w:r w:rsidRPr="00DA249F">
        <w:rPr>
          <w:lang w:val="en-GB"/>
        </w:rPr>
        <w:instrText xml:space="preserve"> SEQ Figure_3. \* ARABIC </w:instrText>
      </w:r>
      <w:r w:rsidRPr="00DA249F">
        <w:rPr>
          <w:lang w:val="en-GB"/>
        </w:rPr>
        <w:fldChar w:fldCharType="separate"/>
      </w:r>
      <w:r w:rsidR="00287BC7">
        <w:rPr>
          <w:noProof/>
          <w:lang w:val="en-GB"/>
        </w:rPr>
        <w:t>19</w:t>
      </w:r>
      <w:r w:rsidRPr="00DA249F">
        <w:rPr>
          <w:lang w:val="en-GB"/>
        </w:rPr>
        <w:fldChar w:fldCharType="end"/>
      </w:r>
      <w:r w:rsidR="00E66F5E" w:rsidRPr="00DA249F">
        <w:rPr>
          <w:lang w:val="en-GB"/>
        </w:rPr>
        <w:t>.</w:t>
      </w:r>
      <w:r w:rsidR="00C24FFF" w:rsidRPr="00DA249F">
        <w:rPr>
          <w:lang w:val="en-GB"/>
        </w:rPr>
        <w:t xml:space="preserve"> </w:t>
      </w:r>
      <w:r w:rsidR="005A3B7F" w:rsidRPr="00DA249F">
        <w:rPr>
          <w:b w:val="0"/>
          <w:bCs w:val="0"/>
          <w:lang w:val="en-GB"/>
        </w:rPr>
        <w:t xml:space="preserve">Marine debris caused by </w:t>
      </w:r>
      <w:r w:rsidR="00995684" w:rsidRPr="00DA249F">
        <w:rPr>
          <w:b w:val="0"/>
          <w:bCs w:val="0"/>
          <w:lang w:val="en-GB"/>
        </w:rPr>
        <w:t>the 2011</w:t>
      </w:r>
      <w:r w:rsidR="000E69B2" w:rsidRPr="00DA249F">
        <w:rPr>
          <w:b w:val="0"/>
          <w:bCs w:val="0"/>
          <w:lang w:val="en-GB"/>
        </w:rPr>
        <w:t xml:space="preserve"> tsunami in Japan.</w:t>
      </w:r>
      <w:r w:rsidR="000E69B2" w:rsidRPr="00DA249F">
        <w:rPr>
          <w:lang w:val="en-GB"/>
        </w:rPr>
        <w:t xml:space="preserve"> </w:t>
      </w:r>
      <w:r w:rsidR="00290267" w:rsidRPr="00290267">
        <w:rPr>
          <w:b w:val="0"/>
          <w:bCs w:val="0"/>
          <w:lang w:val="en-GB"/>
        </w:rPr>
        <w:t>The</w:t>
      </w:r>
      <w:r w:rsidR="00290267">
        <w:rPr>
          <w:lang w:val="en-GB"/>
        </w:rPr>
        <w:t xml:space="preserve"> </w:t>
      </w:r>
      <w:r w:rsidR="0073480C" w:rsidRPr="00DA249F">
        <w:rPr>
          <w:b w:val="0"/>
          <w:bCs w:val="0"/>
          <w:lang w:val="en-GB"/>
        </w:rPr>
        <w:t>derelict</w:t>
      </w:r>
      <w:r w:rsidR="00C24FFF" w:rsidRPr="00DA249F">
        <w:rPr>
          <w:b w:val="0"/>
          <w:bCs w:val="0"/>
          <w:lang w:val="en-GB"/>
        </w:rPr>
        <w:t xml:space="preserve"> </w:t>
      </w:r>
      <w:r w:rsidR="00395129" w:rsidRPr="00DA249F">
        <w:rPr>
          <w:b w:val="0"/>
          <w:bCs w:val="0"/>
          <w:lang w:val="en-GB"/>
        </w:rPr>
        <w:t xml:space="preserve">was </w:t>
      </w:r>
      <w:r w:rsidR="00C24FFF" w:rsidRPr="00DA249F">
        <w:rPr>
          <w:b w:val="0"/>
          <w:bCs w:val="0"/>
          <w:lang w:val="en-GB"/>
        </w:rPr>
        <w:t>discover</w:t>
      </w:r>
      <w:r w:rsidR="00395129" w:rsidRPr="00DA249F">
        <w:rPr>
          <w:b w:val="0"/>
          <w:bCs w:val="0"/>
          <w:lang w:val="en-GB"/>
        </w:rPr>
        <w:t>ed</w:t>
      </w:r>
      <w:r w:rsidR="00C24FFF" w:rsidRPr="00DA249F">
        <w:rPr>
          <w:b w:val="0"/>
          <w:bCs w:val="0"/>
          <w:lang w:val="en-GB"/>
        </w:rPr>
        <w:t xml:space="preserve"> off the coast of Seal Rock, Oregon, USA</w:t>
      </w:r>
      <w:r w:rsidR="0090554B" w:rsidRPr="00DA249F">
        <w:rPr>
          <w:b w:val="0"/>
          <w:bCs w:val="0"/>
          <w:lang w:val="en-GB"/>
        </w:rPr>
        <w:t xml:space="preserve"> in </w:t>
      </w:r>
      <w:r w:rsidR="009A585C" w:rsidRPr="00DA249F">
        <w:rPr>
          <w:b w:val="0"/>
          <w:bCs w:val="0"/>
          <w:lang w:val="en-GB"/>
        </w:rPr>
        <w:t>April 2015</w:t>
      </w:r>
      <w:r w:rsidR="002621D9" w:rsidRPr="00DA249F">
        <w:rPr>
          <w:b w:val="0"/>
          <w:bCs w:val="0"/>
          <w:lang w:val="en-GB"/>
        </w:rPr>
        <w:t xml:space="preserve"> </w:t>
      </w:r>
      <w:r w:rsidR="0060251A" w:rsidRPr="00DA249F">
        <w:rPr>
          <w:b w:val="0"/>
          <w:bCs w:val="0"/>
          <w:lang w:val="en-GB"/>
        </w:rPr>
        <w:t xml:space="preserve">after having been </w:t>
      </w:r>
      <w:r w:rsidR="00630175" w:rsidRPr="00DA249F">
        <w:rPr>
          <w:b w:val="0"/>
          <w:bCs w:val="0"/>
          <w:lang w:val="en-GB"/>
        </w:rPr>
        <w:t xml:space="preserve">missing from Japan since the tsunami </w:t>
      </w:r>
      <w:r w:rsidR="00470848" w:rsidRPr="00DA249F">
        <w:rPr>
          <w:b w:val="0"/>
          <w:bCs w:val="0"/>
          <w:lang w:val="en-GB"/>
        </w:rPr>
        <w:t xml:space="preserve">on </w:t>
      </w:r>
      <w:r w:rsidR="004310AC">
        <w:rPr>
          <w:b w:val="0"/>
          <w:bCs w:val="0"/>
          <w:lang w:val="en-GB"/>
        </w:rPr>
        <w:t xml:space="preserve">11 </w:t>
      </w:r>
      <w:r w:rsidR="00470848" w:rsidRPr="00DA249F">
        <w:rPr>
          <w:b w:val="0"/>
          <w:bCs w:val="0"/>
          <w:lang w:val="en-GB"/>
        </w:rPr>
        <w:t>March 2011</w:t>
      </w:r>
      <w:r w:rsidR="00C24FFF" w:rsidRPr="00DA249F">
        <w:rPr>
          <w:b w:val="0"/>
          <w:bCs w:val="0"/>
          <w:lang w:val="en-GB"/>
        </w:rPr>
        <w:t>.</w:t>
      </w:r>
      <w:bookmarkEnd w:id="180"/>
      <w:r w:rsidR="00E36B92" w:rsidRPr="00DA249F">
        <w:rPr>
          <w:b w:val="0"/>
          <w:bCs w:val="0"/>
          <w:lang w:val="en-GB"/>
        </w:rPr>
        <w:t xml:space="preserve"> </w:t>
      </w:r>
      <w:r w:rsidR="00574D0F">
        <w:rPr>
          <w:b w:val="0"/>
          <w:bCs w:val="0"/>
          <w:lang w:val="en-GB"/>
        </w:rPr>
        <w:t xml:space="preserve">Photo credit: </w:t>
      </w:r>
      <w:r w:rsidR="00574D0F" w:rsidRPr="00574D0F">
        <w:rPr>
          <w:b w:val="0"/>
          <w:bCs w:val="0"/>
          <w:lang w:val="en-GB"/>
        </w:rPr>
        <w:t>John W. Chapman</w:t>
      </w:r>
      <w:r w:rsidR="00574D0F">
        <w:rPr>
          <w:b w:val="0"/>
          <w:bCs w:val="0"/>
          <w:lang w:val="en-GB"/>
        </w:rPr>
        <w:t xml:space="preserve"> – </w:t>
      </w:r>
      <w:r w:rsidR="00C62020">
        <w:rPr>
          <w:b w:val="0"/>
          <w:bCs w:val="0"/>
          <w:lang w:val="en-GB"/>
        </w:rPr>
        <w:t xml:space="preserve">under license </w:t>
      </w:r>
      <w:r w:rsidR="00574D0F">
        <w:rPr>
          <w:b w:val="0"/>
          <w:bCs w:val="0"/>
          <w:lang w:val="en-GB"/>
        </w:rPr>
        <w:t>CC BY</w:t>
      </w:r>
      <w:r w:rsidR="009902B0">
        <w:rPr>
          <w:b w:val="0"/>
          <w:bCs w:val="0"/>
          <w:lang w:val="en-GB"/>
        </w:rPr>
        <w:t xml:space="preserve"> 4.0</w:t>
      </w:r>
      <w:r w:rsidR="00BB328F">
        <w:rPr>
          <w:b w:val="0"/>
          <w:bCs w:val="0"/>
          <w:lang w:val="en-GB"/>
        </w:rPr>
        <w:t>.</w:t>
      </w:r>
      <w:bookmarkEnd w:id="181"/>
    </w:p>
    <w:p w14:paraId="078CF65A" w14:textId="77777777" w:rsidR="008C1BF7" w:rsidRPr="00DA249F" w:rsidRDefault="76E2B6AB" w:rsidP="00596CA2">
      <w:pPr>
        <w:pStyle w:val="Heading3"/>
        <w:rPr>
          <w:lang w:val="en-GB"/>
        </w:rPr>
      </w:pPr>
      <w:bookmarkStart w:id="182" w:name="_Toc44317834"/>
      <w:r w:rsidRPr="00DA249F">
        <w:rPr>
          <w:lang w:val="en-GB"/>
        </w:rPr>
        <w:t xml:space="preserve">Dispersal of </w:t>
      </w:r>
      <w:r w:rsidR="2740AB66" w:rsidRPr="00DA249F">
        <w:rPr>
          <w:lang w:val="en-GB"/>
        </w:rPr>
        <w:t>solid waste</w:t>
      </w:r>
    </w:p>
    <w:p w14:paraId="45D37FDC" w14:textId="3562C0D5" w:rsidR="008C1BF7" w:rsidRDefault="7BB5C14F" w:rsidP="006F4426">
      <w:pPr>
        <w:spacing w:before="0" w:after="0"/>
        <w:rPr>
          <w:lang w:val="en-GB"/>
        </w:rPr>
      </w:pPr>
      <w:r w:rsidRPr="00DA249F">
        <w:rPr>
          <w:rFonts w:eastAsia="Calibri"/>
          <w:lang w:val="en-GB"/>
        </w:rPr>
        <w:t>I</w:t>
      </w:r>
      <w:r w:rsidRPr="00DA249F">
        <w:rPr>
          <w:lang w:val="en-GB"/>
        </w:rPr>
        <w:t xml:space="preserve">n 2016, </w:t>
      </w:r>
      <w:r w:rsidR="00A140C9" w:rsidRPr="00DA249F">
        <w:rPr>
          <w:lang w:val="en-GB"/>
        </w:rPr>
        <w:t>humans</w:t>
      </w:r>
      <w:r w:rsidRPr="00DA249F">
        <w:rPr>
          <w:lang w:val="en-GB"/>
        </w:rPr>
        <w:t xml:space="preserve"> generated over 2 billion tons of municipal solid waste, and by 2050 this number is predicted to increase to 3.4 billion </w:t>
      </w:r>
      <w:r w:rsidR="34731A0B" w:rsidRPr="00DA249F">
        <w:rPr>
          <w:lang w:val="en-GB"/>
        </w:rPr>
        <w:fldChar w:fldCharType="begin"/>
      </w:r>
      <w:r w:rsidR="00331A79">
        <w:rPr>
          <w:lang w:val="en-GB"/>
        </w:rPr>
        <w:instrText xml:space="preserve"> ADDIN ZOTERO_ITEM CSL_CITATION {"citationID":"4spPpEXn","properties":{"formattedCitation":"(Kaza et al., 2018)","plainCitation":"(Kaza et al., 2018)","noteIndex":0},"citationItems":[{"id":26606,"uris":["http://zotero.org/groups/2352922/items/WSIR7CE9"],"itemData":{"id":26606,"type":"book","ISBN":"978-1-4648-1329-0","publisher":"The World Bank","title":"What a waste 2.0: a global snapshot of solid waste management to 2050","author":[{"family":"Kaza","given":"Silpa"},{"family":"Yao","given":"Lisa"},{"family":"Bhada-Tata","given":"Perinaz"},{"family":"Van Woerden","given":"Frank"}],"issued":{"date-parts":[["2018"]]}},"label":"page"}],"schema":"https://github.com/citation-style-language/schema/raw/master/csl-citation.json"} </w:instrText>
      </w:r>
      <w:r w:rsidR="34731A0B" w:rsidRPr="00DA249F">
        <w:rPr>
          <w:lang w:val="en-GB"/>
        </w:rPr>
        <w:fldChar w:fldCharType="separate"/>
      </w:r>
      <w:r w:rsidR="00144D96" w:rsidRPr="00144D96">
        <w:t>(Kaza et al., 2018)</w:t>
      </w:r>
      <w:r w:rsidR="34731A0B" w:rsidRPr="00DA249F">
        <w:rPr>
          <w:lang w:val="en-GB"/>
        </w:rPr>
        <w:fldChar w:fldCharType="end"/>
      </w:r>
      <w:r w:rsidRPr="00DA249F">
        <w:rPr>
          <w:lang w:val="en-GB"/>
        </w:rPr>
        <w:t xml:space="preserve">. </w:t>
      </w:r>
      <w:r w:rsidR="00AE4247" w:rsidRPr="00DA249F">
        <w:rPr>
          <w:lang w:val="en-GB"/>
        </w:rPr>
        <w:t>S</w:t>
      </w:r>
      <w:r w:rsidRPr="00DA249F">
        <w:rPr>
          <w:lang w:val="en-GB"/>
        </w:rPr>
        <w:t xml:space="preserve">olid waste </w:t>
      </w:r>
      <w:r w:rsidR="00AE4247" w:rsidRPr="00DA249F">
        <w:rPr>
          <w:lang w:val="en-GB"/>
        </w:rPr>
        <w:t xml:space="preserve">can </w:t>
      </w:r>
      <w:r w:rsidR="00C26EE6" w:rsidRPr="00DA249F">
        <w:rPr>
          <w:lang w:val="en-GB"/>
        </w:rPr>
        <w:t xml:space="preserve">both </w:t>
      </w:r>
      <w:r w:rsidRPr="00DA249F">
        <w:rPr>
          <w:lang w:val="en-GB"/>
        </w:rPr>
        <w:t xml:space="preserve">transport and </w:t>
      </w:r>
      <w:r w:rsidR="00DF7782" w:rsidRPr="00DA249F">
        <w:rPr>
          <w:lang w:val="en-GB"/>
        </w:rPr>
        <w:t>sustain a high variety of alien</w:t>
      </w:r>
      <w:r w:rsidRPr="00DA249F">
        <w:rPr>
          <w:lang w:val="en-GB"/>
        </w:rPr>
        <w:t xml:space="preserve"> organisms, thus contributing to the spread of invasive alien specie</w:t>
      </w:r>
      <w:r w:rsidR="002D6237" w:rsidRPr="00DA249F">
        <w:rPr>
          <w:lang w:val="en-GB"/>
        </w:rPr>
        <w:t>s.</w:t>
      </w:r>
      <w:r w:rsidR="002225FE" w:rsidRPr="00DA249F">
        <w:rPr>
          <w:lang w:val="en-GB"/>
        </w:rPr>
        <w:t xml:space="preserve"> </w:t>
      </w:r>
      <w:r w:rsidR="002D6237" w:rsidRPr="00DA249F">
        <w:rPr>
          <w:lang w:val="en-GB"/>
        </w:rPr>
        <w:t>A</w:t>
      </w:r>
      <w:r w:rsidRPr="00DA249F">
        <w:rPr>
          <w:lang w:val="en-GB"/>
        </w:rPr>
        <w:t xml:space="preserve"> global review</w:t>
      </w:r>
      <w:r w:rsidR="002D6237" w:rsidRPr="00DA249F">
        <w:rPr>
          <w:lang w:val="en-GB"/>
        </w:rPr>
        <w:t xml:space="preserve"> reported </w:t>
      </w:r>
      <w:r w:rsidR="00D10F35">
        <w:rPr>
          <w:lang w:val="en-GB"/>
        </w:rPr>
        <w:t xml:space="preserve">the </w:t>
      </w:r>
      <w:r w:rsidR="00D10F35" w:rsidRPr="00DA249F">
        <w:rPr>
          <w:lang w:val="en-GB"/>
        </w:rPr>
        <w:t>establish</w:t>
      </w:r>
      <w:r w:rsidR="00D10F35">
        <w:rPr>
          <w:lang w:val="en-GB"/>
        </w:rPr>
        <w:t>ment of</w:t>
      </w:r>
      <w:r w:rsidR="00D10F35" w:rsidRPr="00DA249F">
        <w:rPr>
          <w:lang w:val="en-GB"/>
        </w:rPr>
        <w:t xml:space="preserve"> </w:t>
      </w:r>
      <w:r w:rsidR="002D6237" w:rsidRPr="00DA249F">
        <w:rPr>
          <w:lang w:val="en-GB"/>
        </w:rPr>
        <w:t>215 alien plant species in waste disposal sites</w:t>
      </w:r>
      <w:r w:rsidRPr="00DA249F">
        <w:rPr>
          <w:lang w:val="en-GB"/>
        </w:rPr>
        <w:t xml:space="preserve"> </w:t>
      </w:r>
      <w:r w:rsidR="62463AAF" w:rsidRPr="00DA249F">
        <w:rPr>
          <w:lang w:val="en-GB"/>
        </w:rPr>
        <w:fldChar w:fldCharType="begin"/>
      </w:r>
      <w:r w:rsidR="00331A79">
        <w:rPr>
          <w:lang w:val="en-GB"/>
        </w:rPr>
        <w:instrText xml:space="preserve"> ADDIN ZOTERO_ITEM CSL_CITATION {"citationID":"lbYLnFbs","properties":{"formattedCitation":"(Plaza et al., 2018)","plainCitation":"(Plaza et al., 2018)","noteIndex":0},"citationItems":[{"id":10921,"uris":["http://zotero.org/groups/2352922/items/YHLAX2T3"],"itemData":{"id":10921,"type":"article-journal","abstract":"It is widely known that disturbed areas favour plant species invasion. However, the presence and impacts of introduced plants at rubbish dumps and landfills are less clear. We conducted a literature review to evaluate current knowledge on introduced plants species at these sites to assess their potential role as invasion epicentres. Most of the studies we found (91%) were observational and only described plant species presence in multiple landscapes, including rubbish dumps or landfills. A minority of studies (&lt; 20%) specifically focused on plant species at these sites but did not evaluate their potential as invasion epicentres. The 215 introduced plant species belonging to 57 families recorded at rubbish dumps or landfills underestimates true numbers given that most studies do not report the full list of species. Most species are invasive (&gt; 95%) and included in the Global Invasive Species Database or the DAISIE list. One species, Arundo donax, is among the 100 worst invasive species in the world and eight more are listed among the 100 worst invasive species in Europe. Invasive species present at these sites may alter fire regimens, produce toxic and allergen effects, outcompete native species, act as agricultural pests, and lead to economic losses. Our results are a first step to include rubbish dumps and landfills in the agenda of ecologists and managers that study invasive species, especially since compost from these sites are now being used in agricultural practices, thus possibly spreading invasive species propagules to distant locations.","container-title":"Biological Invasions","DOI":"10.1007/s10530-018-1708-1","ISSN":"1573-1464","issue":"9","journalAbbreviation":"Biol Invasions","language":"en","page":"2277-2283","source":"Springer Link","title":"Rubbish dumps as invasive plant epicentres","URL":"https://doi.org/10.1007/s10530-018-1708-1","volume":"20","author":[{"family":"Plaza","given":"Pablo I."},{"family":"Speziale","given":"Karina L."},{"family":"Lambertucci","given":"Sergio A."}],"accessed":{"date-parts":[["2020",6,2]]},"issued":{"date-parts":[["2018",9,1]]}},"label":"page"}],"schema":"https://github.com/citation-style-language/schema/raw/master/csl-citation.json"} </w:instrText>
      </w:r>
      <w:r w:rsidR="62463AAF" w:rsidRPr="00DA249F">
        <w:rPr>
          <w:lang w:val="en-GB"/>
        </w:rPr>
        <w:fldChar w:fldCharType="separate"/>
      </w:r>
      <w:r w:rsidR="00144D96" w:rsidRPr="00144D96">
        <w:t>(Plaza et al., 2018)</w:t>
      </w:r>
      <w:r w:rsidR="62463AAF" w:rsidRPr="00DA249F">
        <w:rPr>
          <w:lang w:val="en-GB"/>
        </w:rPr>
        <w:fldChar w:fldCharType="end"/>
      </w:r>
      <w:r w:rsidRPr="00DA249F">
        <w:rPr>
          <w:lang w:val="en-GB"/>
        </w:rPr>
        <w:t xml:space="preserve">. In Pakistan, industrial waste increased the recruitment of the invasive alien tropical trees </w:t>
      </w:r>
      <w:r w:rsidRPr="00DA249F">
        <w:rPr>
          <w:i/>
          <w:iCs/>
          <w:lang w:val="en-GB"/>
        </w:rPr>
        <w:t>Prosopis juliflora</w:t>
      </w:r>
      <w:r w:rsidRPr="00DA249F">
        <w:rPr>
          <w:lang w:val="en-GB"/>
        </w:rPr>
        <w:t xml:space="preserve"> (mesquite) and </w:t>
      </w:r>
      <w:r w:rsidRPr="00DA249F">
        <w:rPr>
          <w:i/>
          <w:iCs/>
          <w:lang w:val="en-GB"/>
        </w:rPr>
        <w:t xml:space="preserve">Leucaena leucocephala </w:t>
      </w:r>
      <w:r w:rsidR="00AC61DE" w:rsidRPr="00DA249F">
        <w:rPr>
          <w:lang w:val="en-GB"/>
        </w:rPr>
        <w:t>(leucaena)</w:t>
      </w:r>
      <w:r w:rsidRPr="00DA249F">
        <w:rPr>
          <w:lang w:val="en-GB"/>
        </w:rPr>
        <w:t xml:space="preserve"> </w:t>
      </w:r>
      <w:r w:rsidR="62463AAF" w:rsidRPr="00DA249F">
        <w:rPr>
          <w:i/>
          <w:iCs/>
          <w:lang w:val="en-GB"/>
        </w:rPr>
        <w:fldChar w:fldCharType="begin"/>
      </w:r>
      <w:r w:rsidR="00331A79">
        <w:rPr>
          <w:i/>
          <w:iCs/>
          <w:lang w:val="en-GB"/>
        </w:rPr>
        <w:instrText xml:space="preserve"> ADDIN ZOTERO_ITEM CSL_CITATION {"citationID":"kKXDMuMG","properties":{"formattedCitation":"(Uzair et al., 2009)","plainCitation":"(Uzair et al., 2009)","noteIndex":0},"citationItems":[{"id":10949,"uris":["http://zotero.org/groups/2352922/items/2IU9BVLN"],"itemData":{"id":10949,"type":"article-journal","abstract":"An experimental trial was conducted at Dhabeji area to see the effect of chemical industry waste (organic with heavy metals) on seed bank of barren area of Dhabeji. An industrial sludge and its ash content were used in different concentrations, 10Kg and 20Kg sludge, 10kg and 20kg ash respectively to see the effect on seed bank, germination and growth of wild plants. After rainfall 17 species appeared in control viz., Gynandropsis gynandra (L.) Briq., Aerva javanica (Burm. f.) Juss, Zygophyllum simplex L., Tribulus terrestris L., Dactyloctenium scindicum Boiss, Chloris barbata Sw., Cyperus rotundus L., Indigofera cordifolia Heyne ex Roth, Salsola baryosma (R.&amp; S.) Dandy, Indigofera hochstetteri Baker and Heliotropium strigosum Willd, while remaining 6 species viz., Digera muricata (L.) Mart., Amaranthus viridis L., Blepharis sindica stocks ex T. Anders, Panicum antidotale Retz., Prosopis juliflora (Swartz) DC. and Leucaena leucocephala (Lam.) de-Wit were recorded in control and treated plots. Number of seedlings, height, fresh weight and dry weight of these species were determined. It has been observed that 20kg sludge showed better response on fresh weight and dry weight of D. muricata, A. viridis and P. antidotale while the same treatment seemed to have positive effect on germination and height of L. leucocephala. It is suggested that this particular type of industrial waste is toxic (due to heavy metals) to some species while some species showed better growth due to presence of organic matter.","container-title":"Pakistan Journal of Botany","issue":"4","language":"en","page":"1659-1665","source":"Zotero","title":"Effect of industrial waste on seed bank and growth of wild plants in Dhabeji area, Karachi, Pakistan","URL":"http://pakbs.org/pjbot/PDFs/41(4)/PJB41(4)1659.pdf","volume":"41","author":[{"family":"Uzair","given":"Muhammad"},{"family":"Ahmed","given":"Moinuddin"},{"family":"Nazim","given":"Kanwal"}],"issued":{"date-parts":[["2009"]]}},"label":"page"}],"schema":"https://github.com/citation-style-language/schema/raw/master/csl-citation.json"} </w:instrText>
      </w:r>
      <w:r w:rsidR="62463AAF" w:rsidRPr="00DA249F">
        <w:rPr>
          <w:i/>
          <w:iCs/>
          <w:lang w:val="en-GB"/>
        </w:rPr>
        <w:fldChar w:fldCharType="separate"/>
      </w:r>
      <w:r w:rsidR="00144D96" w:rsidRPr="00144D96">
        <w:t>(Uzair et al., 2009)</w:t>
      </w:r>
      <w:r w:rsidR="62463AAF" w:rsidRPr="00DA249F">
        <w:rPr>
          <w:i/>
          <w:iCs/>
          <w:lang w:val="en-GB"/>
        </w:rPr>
        <w:fldChar w:fldCharType="end"/>
      </w:r>
      <w:r w:rsidRPr="00DA249F">
        <w:rPr>
          <w:lang w:val="en-GB"/>
        </w:rPr>
        <w:t>.</w:t>
      </w:r>
      <w:r w:rsidR="006F02BA" w:rsidRPr="00DA249F">
        <w:rPr>
          <w:lang w:val="en-GB"/>
        </w:rPr>
        <w:t xml:space="preserve"> </w:t>
      </w:r>
      <w:r w:rsidRPr="00DA249F">
        <w:rPr>
          <w:lang w:val="en-GB"/>
        </w:rPr>
        <w:t xml:space="preserve">In central Brazil, the dispersal of </w:t>
      </w:r>
      <w:r w:rsidR="00302925" w:rsidRPr="00DA249F">
        <w:rPr>
          <w:lang w:val="en-GB"/>
        </w:rPr>
        <w:t>the</w:t>
      </w:r>
      <w:r w:rsidR="009C6F24">
        <w:rPr>
          <w:lang w:val="en-GB"/>
        </w:rPr>
        <w:t xml:space="preserve"> invasive</w:t>
      </w:r>
      <w:r w:rsidR="00302925" w:rsidRPr="00DA249F">
        <w:rPr>
          <w:lang w:val="en-GB"/>
        </w:rPr>
        <w:t xml:space="preserve"> alien </w:t>
      </w:r>
      <w:r w:rsidRPr="00DA249F">
        <w:rPr>
          <w:lang w:val="en-GB"/>
        </w:rPr>
        <w:t xml:space="preserve">grass </w:t>
      </w:r>
      <w:r w:rsidRPr="00DA249F">
        <w:rPr>
          <w:i/>
          <w:lang w:val="en-GB"/>
        </w:rPr>
        <w:t>Arundo donax</w:t>
      </w:r>
      <w:r w:rsidRPr="00DA249F">
        <w:rPr>
          <w:lang w:val="en-GB"/>
        </w:rPr>
        <w:t xml:space="preserve"> (giant reed) seems to be assisted by the disposal of construction waste </w:t>
      </w:r>
      <w:r w:rsidR="62463AAF" w:rsidRPr="00DA249F">
        <w:rPr>
          <w:lang w:val="en-GB"/>
        </w:rPr>
        <w:fldChar w:fldCharType="begin"/>
      </w:r>
      <w:r w:rsidR="00F5121E">
        <w:rPr>
          <w:lang w:val="en-GB"/>
        </w:rPr>
        <w:instrText xml:space="preserve"> ADDIN ZOTERO_ITEM CSL_CITATION {"citationID":"FHmlIasS","properties":{"formattedCitation":"(Sim\\uc0\\u245{}es et al., 2014)","plainCitation":"(Simões et al., 2014)","noteIndex":0},"citationItems":[{"id":26257,"uris":["http://zotero.org/groups/2352922/items/AAUYLHNN"],"itemData":{"id":26257,"type":"article-journal","abstract":"Um requisito chave para o efetivo manejo de plantas invasoras é a habilidade de identificar, mapear e monitorar as invasões. O mapeamento em campo combinado com imagens de satélite são técnicas comumente utilizadas para mapear plantas invasoras, direcionando esforços de erradicação. O objetivo desse estudo foi mapear as populações de A. donax no Distrito Federal, Brasil. A coleta de dados em campo foi realizada de março de 2010 a outubro de 2012. Os dados de campo foram combinados com sensoriamento remoto para determinar a distribuição da espécie. A maior concentração de A. donax foi observada na região central do Distrito Federal, onde a maior parte das unidades de conservação est</w:instrText>
      </w:r>
      <w:r w:rsidR="00F5121E">
        <w:rPr>
          <w:rFonts w:hint="eastAsia"/>
          <w:lang w:val="en-GB"/>
        </w:rPr>
        <w:instrText>ã</w:instrText>
      </w:r>
      <w:r w:rsidR="00F5121E">
        <w:rPr>
          <w:lang w:val="en-GB"/>
        </w:rPr>
        <w:instrText xml:space="preserve">o localizadas. Observou-se também que a presença dessa espécie está relacionada a áreas antropizadas, tais como: rodovias, aterros, depósitos de entulhos e locais em obras, e que um vetor de dispersão da planta no Distrito Federal é a roçagem mecânica. O levantamento realizado é pioneiro para A. donax no Distrito Federal e no Brasil, além de ser de importância para futuras estratégias de manejo, assim como para o monitoramento da expansão dessa espécie.","container-title":"Biodiversidade Brasileira","ISSN":"2236-2886","issue":"2","language":"pt","license":"Biodiversidade Brasileira é uma revista de acesso livre. Todos os textos nela publicados podem ser reproduzidos parcial ou totalmente, desde que citadas as fontes.","note":"number: 2","page":"97-105-105","source":"www.icmbio.gov.br","title":"Distribuição de cana-do-reino (&lt;i&gt;Arundo donax&lt;/i&gt; L.) no Distrito Federal, Brasil","URL":"https://www.icmbio.gov.br/revistaeletronica/index.php/BioBR/article/view/329","volume":"0","author":[{"family":"Simões","given":"Kenya Carla Cardoso"},{"family":"Hay","given":"John Du Vall"},{"family":"Andrade","given":"Carla Oliveira","dropping-particle":"de"},{"family":"Júnior","given":"Osmar Abílio de Carvalho"},{"family":"Gomes","given":"Roberto Arnaldo Trancoso"}],"accessed":{"date-parts":[["2020",5,27]]},"issued":{"date-parts":[["2014"]]}},"label":"page"}],"schema":"https://github.com/citation-style-language/schema/raw/master/csl-citation.json"} </w:instrText>
      </w:r>
      <w:r w:rsidR="62463AAF" w:rsidRPr="00DA249F">
        <w:rPr>
          <w:lang w:val="en-GB"/>
        </w:rPr>
        <w:fldChar w:fldCharType="separate"/>
      </w:r>
      <w:r w:rsidR="00144D96" w:rsidRPr="00144D96">
        <w:rPr>
          <w:szCs w:val="24"/>
        </w:rPr>
        <w:t>(Simões et al., 2014)</w:t>
      </w:r>
      <w:r w:rsidR="62463AAF" w:rsidRPr="00DA249F">
        <w:rPr>
          <w:lang w:val="en-GB"/>
        </w:rPr>
        <w:fldChar w:fldCharType="end"/>
      </w:r>
      <w:r w:rsidRPr="00DA249F">
        <w:rPr>
          <w:lang w:val="en-GB"/>
        </w:rPr>
        <w:t xml:space="preserve">. </w:t>
      </w:r>
      <w:r w:rsidR="00D66EB2" w:rsidRPr="00DA249F">
        <w:rPr>
          <w:lang w:val="en-GB"/>
        </w:rPr>
        <w:t>Disposal of g</w:t>
      </w:r>
      <w:r w:rsidRPr="00DA249F">
        <w:rPr>
          <w:lang w:val="en-GB"/>
        </w:rPr>
        <w:t xml:space="preserve">arden waste </w:t>
      </w:r>
      <w:r w:rsidR="00661320" w:rsidRPr="00DA249F">
        <w:rPr>
          <w:lang w:val="en-GB"/>
        </w:rPr>
        <w:t xml:space="preserve">may </w:t>
      </w:r>
      <w:r w:rsidRPr="00DA249F">
        <w:rPr>
          <w:rFonts w:eastAsia="Times New Roman"/>
          <w:lang w:val="en-GB"/>
        </w:rPr>
        <w:t>facilitate the spread of ornamental alien plant species</w:t>
      </w:r>
      <w:r w:rsidR="00DD4127" w:rsidRPr="00DA249F">
        <w:rPr>
          <w:rFonts w:eastAsia="Times New Roman"/>
          <w:lang w:val="en-GB"/>
        </w:rPr>
        <w:t>, a</w:t>
      </w:r>
      <w:r w:rsidR="00302925" w:rsidRPr="00DA249F">
        <w:rPr>
          <w:rFonts w:eastAsia="Times New Roman"/>
          <w:lang w:val="en-GB"/>
        </w:rPr>
        <w:t>s examples,</w:t>
      </w:r>
      <w:r w:rsidRPr="00DA249F">
        <w:rPr>
          <w:rFonts w:eastAsia="Times New Roman"/>
          <w:lang w:val="en-GB"/>
        </w:rPr>
        <w:t xml:space="preserve"> in Spain the cactus</w:t>
      </w:r>
      <w:r w:rsidRPr="00DA249F">
        <w:rPr>
          <w:rFonts w:eastAsia="Times New Roman"/>
          <w:szCs w:val="24"/>
          <w:lang w:val="en-GB"/>
        </w:rPr>
        <w:t xml:space="preserve"> </w:t>
      </w:r>
      <w:r w:rsidR="006F4426" w:rsidRPr="00DA249F">
        <w:rPr>
          <w:rFonts w:eastAsia="Yu Gothic"/>
          <w:i/>
          <w:iCs/>
          <w:color w:val="000000"/>
          <w:szCs w:val="24"/>
          <w:lang w:val="en-GB"/>
        </w:rPr>
        <w:t xml:space="preserve">Opuntia engelmannii </w:t>
      </w:r>
      <w:r w:rsidR="006F4426" w:rsidRPr="00DA249F">
        <w:rPr>
          <w:rFonts w:eastAsia="Yu Gothic"/>
          <w:color w:val="000000"/>
          <w:szCs w:val="24"/>
          <w:lang w:val="en-GB"/>
        </w:rPr>
        <w:t xml:space="preserve">subsp. </w:t>
      </w:r>
      <w:r w:rsidR="006F4426" w:rsidRPr="00DA249F">
        <w:rPr>
          <w:rFonts w:eastAsia="Yu Gothic"/>
          <w:i/>
          <w:iCs/>
          <w:color w:val="000000"/>
          <w:szCs w:val="24"/>
          <w:lang w:val="en-GB"/>
        </w:rPr>
        <w:t>lindheimeri</w:t>
      </w:r>
      <w:r w:rsidR="00B1749C" w:rsidRPr="00DA249F">
        <w:rPr>
          <w:rFonts w:eastAsia="Times New Roman"/>
          <w:i/>
          <w:szCs w:val="24"/>
          <w:lang w:val="en-GB"/>
        </w:rPr>
        <w:t xml:space="preserve"> </w:t>
      </w:r>
      <w:r w:rsidR="00B1749C" w:rsidRPr="00DA249F">
        <w:rPr>
          <w:rFonts w:eastAsia="Times New Roman"/>
          <w:szCs w:val="24"/>
          <w:lang w:val="en-GB"/>
        </w:rPr>
        <w:t>(</w:t>
      </w:r>
      <w:r w:rsidR="00132780" w:rsidRPr="00DA249F">
        <w:rPr>
          <w:rFonts w:eastAsia="Times New Roman"/>
          <w:szCs w:val="24"/>
          <w:lang w:val="en-GB"/>
        </w:rPr>
        <w:t>L</w:t>
      </w:r>
      <w:r w:rsidR="0B1B1371" w:rsidRPr="00DA249F">
        <w:rPr>
          <w:rFonts w:eastAsia="Times New Roman"/>
          <w:szCs w:val="24"/>
          <w:lang w:val="en-GB"/>
        </w:rPr>
        <w:t>indheimer pricklypear</w:t>
      </w:r>
      <w:r w:rsidR="62463AAF" w:rsidRPr="00DA249F">
        <w:rPr>
          <w:i/>
          <w:iCs/>
          <w:lang w:val="en-GB"/>
        </w:rPr>
        <w:fldChar w:fldCharType="begin"/>
      </w:r>
      <w:r w:rsidR="00331A79">
        <w:rPr>
          <w:i/>
          <w:iCs/>
          <w:lang w:val="en-GB"/>
        </w:rPr>
        <w:instrText xml:space="preserve"> ADDIN ZOTERO_ITEM CSL_CITATION {"citationID":"Ayz02Vi6","properties":{"formattedCitation":"(Elorza et al., 2004)","plainCitation":"(Elorza et al., 2004)","dontUpdate":true,"noteIndex":0},"citationItems":[{"id":30124,"uris":["http://zotero.org/groups/2352922/items/X259HCEN"],"itemData":{"id":30124,"type":"book","ISBN":"84-8014-575-7","publisher":"Dirección General de la Biodiversidad. Ministerio de Medio Ambiente","title":"Atlas de las plantas alóctonas invasoras en España","author":[{"family":"Elorza","given":"Mario Sanz"},{"family":"Sánchez","given":"Elías D. Dana"},{"family":"Vesperinas","given":"Eduardo Sobrino"}],"issued":{"date-parts":[["2004"]]}},"label":"page"}],"schema":"https://github.com/citation-style-language/schema/raw/master/csl-citation.json"} </w:instrText>
      </w:r>
      <w:r w:rsidR="62463AAF" w:rsidRPr="00DA249F">
        <w:rPr>
          <w:i/>
          <w:iCs/>
          <w:lang w:val="en-GB"/>
        </w:rPr>
        <w:fldChar w:fldCharType="separate"/>
      </w:r>
      <w:r w:rsidR="006F4426" w:rsidRPr="00DA249F">
        <w:rPr>
          <w:lang w:val="en-GB"/>
        </w:rPr>
        <w:t xml:space="preserve">; </w:t>
      </w:r>
      <w:r w:rsidR="00120B77" w:rsidRPr="00DA249F">
        <w:rPr>
          <w:lang w:val="en-GB"/>
        </w:rPr>
        <w:t>Elorza et al., 2004)</w:t>
      </w:r>
      <w:r w:rsidR="62463AAF" w:rsidRPr="00DA249F">
        <w:rPr>
          <w:i/>
          <w:iCs/>
          <w:lang w:val="en-GB"/>
        </w:rPr>
        <w:fldChar w:fldCharType="end"/>
      </w:r>
      <w:r w:rsidRPr="00DA249F">
        <w:rPr>
          <w:lang w:val="en-GB"/>
        </w:rPr>
        <w:t xml:space="preserve">, in Argentina, the fast-growing liana </w:t>
      </w:r>
      <w:r w:rsidRPr="00DA249F">
        <w:rPr>
          <w:i/>
          <w:iCs/>
          <w:lang w:val="en-GB"/>
        </w:rPr>
        <w:t xml:space="preserve">Podranea ricasoliana </w:t>
      </w:r>
      <w:r w:rsidR="0B1B1371" w:rsidRPr="00DA249F">
        <w:rPr>
          <w:lang w:val="en-GB"/>
        </w:rPr>
        <w:t>(pink trumpet vine</w:t>
      </w:r>
      <w:r w:rsidR="00933CE0" w:rsidRPr="00DA249F">
        <w:rPr>
          <w:lang w:val="en-GB"/>
        </w:rPr>
        <w:fldChar w:fldCharType="begin"/>
      </w:r>
      <w:r w:rsidR="00331A79">
        <w:rPr>
          <w:lang w:val="en-GB"/>
        </w:rPr>
        <w:instrText xml:space="preserve"> ADDIN ZOTERO_ITEM CSL_CITATION {"citationID":"njMCHsNO","properties":{"formattedCitation":"(Hurrell et al., 2012)","plainCitation":"(Hurrell et al., 2012)","dontUpdate":true,"noteIndex":0},"citationItems":[{"id":26183,"uris":["http://zotero.org/groups/2352922/items/RHANKVFQ"],"itemData":{"id":26183,"type":"article-journal","abstract":"Bignoniaceae adventitious in Argentina. First reference to Podranea ricasoliana, and new records of Campsis radicans. This paper includes the first reference to Podranea ricasoliana and new records of Campsis radicans (Bignoniaceae) for the adventitious Argentinean Flora. Also includes observations on the expansion mechanisms and the status into the naturalization process for P. ricasoliana, besides a key to differentiate the adventitious Bignoniaceae in Argentina.","container-title":"Revista del Museo Argentino de Ciencias Naturales nueva serie","ISSN":"1853-0400","issue":"1","license":"Los autores/as que publiquen en esta revista aceptan las siguientes condiciones:       Los autores/as conservan los derechos de autor y ceden a la revista el derecho de la primera publicación, con el trabajo registrado con la  licencia de atribución de Creative Commons , que permite a terceros utilizar lo publicado siempre que mencionen la autoría del trabajo y a la primera publicación en esta revista.  Se permite y recomienda a los autores/as a publicar su trabajo en Internet (por ejemplo en páginas institucionales o personales), ya que puede conducir a a una mayor y más rápida difusión del trabajo publicado.","note":"number: 1","page":"15-22-22","source":"revista.macn.gov.ar","title":"Bignoniaceae adventicias en la Argentina. Primera cita de &lt;i&gt;Podranea ricasoliana&lt;/i&gt; y nuevos registros de &lt;i&gt;Campsis radicans,&lt;/i&gt;","URL":"http://revista.macn.gov.ar/ojs/index.php/RevMus/article/view/207","volume":"14","author":[{"family":"Hurrell","given":"Julio"},{"family":"Cabanillas","given":"Pablo"},{"family":"Costantino","given":"Fernando Buet"},{"family":"Delucchi","given":"Gustavo"}],"accessed":{"date-parts":[["2020",5,23]]},"issued":{"date-parts":[["2012"]]}},"label":"page"}],"schema":"https://github.com/citation-style-language/schema/raw/master/csl-citation.json"} </w:instrText>
      </w:r>
      <w:r w:rsidR="00933CE0" w:rsidRPr="00DA249F">
        <w:rPr>
          <w:lang w:val="en-GB"/>
        </w:rPr>
        <w:fldChar w:fldCharType="separate"/>
      </w:r>
      <w:r w:rsidR="006F4426" w:rsidRPr="00DA249F">
        <w:rPr>
          <w:lang w:val="en-GB"/>
        </w:rPr>
        <w:t xml:space="preserve">; </w:t>
      </w:r>
      <w:r w:rsidR="00933CE0" w:rsidRPr="00DA249F">
        <w:rPr>
          <w:lang w:val="en-GB"/>
        </w:rPr>
        <w:t>Hurrell et al., 2012)</w:t>
      </w:r>
      <w:r w:rsidR="00933CE0" w:rsidRPr="00DA249F">
        <w:rPr>
          <w:lang w:val="en-GB"/>
        </w:rPr>
        <w:fldChar w:fldCharType="end"/>
      </w:r>
      <w:r w:rsidRPr="00DA249F">
        <w:rPr>
          <w:i/>
          <w:iCs/>
          <w:lang w:val="en-GB"/>
        </w:rPr>
        <w:t xml:space="preserve"> </w:t>
      </w:r>
      <w:r w:rsidRPr="00DA249F">
        <w:rPr>
          <w:lang w:val="en-GB"/>
        </w:rPr>
        <w:t xml:space="preserve">and the </w:t>
      </w:r>
      <w:r w:rsidR="008971BA" w:rsidRPr="00DA249F">
        <w:rPr>
          <w:iCs/>
          <w:lang w:val="en-GB"/>
        </w:rPr>
        <w:t>rhizomatous fern</w:t>
      </w:r>
      <w:r w:rsidR="008971BA" w:rsidRPr="00DA249F">
        <w:rPr>
          <w:i/>
          <w:iCs/>
          <w:lang w:val="en-GB"/>
        </w:rPr>
        <w:t xml:space="preserve"> </w:t>
      </w:r>
      <w:r w:rsidRPr="00DA249F">
        <w:rPr>
          <w:i/>
          <w:iCs/>
          <w:lang w:val="en-GB"/>
        </w:rPr>
        <w:t xml:space="preserve">Pteris </w:t>
      </w:r>
      <w:r w:rsidR="008E0980" w:rsidRPr="00DA249F">
        <w:rPr>
          <w:i/>
          <w:iCs/>
          <w:lang w:val="en-GB"/>
        </w:rPr>
        <w:t>parkeri</w:t>
      </w:r>
      <w:r w:rsidR="00D5355A" w:rsidRPr="00DA249F">
        <w:rPr>
          <w:i/>
          <w:iCs/>
          <w:lang w:val="en-GB"/>
        </w:rPr>
        <w:t xml:space="preserve"> </w:t>
      </w:r>
      <w:r w:rsidR="00844383" w:rsidRPr="00DA249F">
        <w:rPr>
          <w:iCs/>
          <w:lang w:val="en-GB"/>
        </w:rPr>
        <w:t xml:space="preserve">(Cretan brake; </w:t>
      </w:r>
      <w:r w:rsidR="62463AAF" w:rsidRPr="00DA249F">
        <w:rPr>
          <w:i/>
          <w:iCs/>
          <w:lang w:val="en-GB"/>
        </w:rPr>
        <w:fldChar w:fldCharType="begin"/>
      </w:r>
      <w:r w:rsidR="00331A79">
        <w:rPr>
          <w:i/>
          <w:iCs/>
          <w:lang w:val="en-GB"/>
        </w:rPr>
        <w:instrText xml:space="preserve"> ADDIN ZOTERO_ITEM CSL_CITATION {"citationID":"heJwH5Aj","properties":{"formattedCitation":"(Guerrero, 2017)","plainCitation":"(Guerrero, 2017)","dontUpdate":true,"noteIndex":0},"citationItems":[{"id":26217,"uris":["http://zotero.org/groups/2352922/items/7Z6GM322"],"itemData":{"id":26217,"type":"article-journal","abstract":"The exotic fern Pteris nipponica (Pteridaceae) is reported here for first time in Argentina, based on specimens collected in the Municipal Nature Reserve “Selva Marginal Quilmeña” (Quilmes, Buenos Aires, Argentina). This work considers the species as probably naturalized, because it is able to reproduce effectively, even though not far from the source population. It also highlights the possibility that some specimens considered to be P. cretica in previous studies may belong to the variegated cultivar of P. nipponica. Se reporta al helecho exótico Pteris nipponica (Pteridaceae) por primera vez para la República Argentina en base a ejemplares colectados en la Reserva Municipal “Selva Marginal Quilmeña” (Quilmes, Buenos Aires, Argentina). En esta contribución se considera a la especie como probablemente naturalizada, ya que se reproduce con eficacia, aunque no demasiado lejos de la población fuente. Se destaca el hecho de que es probable que algunos ejemplares antes determinados como P. cretica puedan pertenecer al cultivar variegado de P. nipponica.","archive":"JSTOR","container-title":"Bonplandia","DOI":"10.30972/bon.2622573","ISSN":"0524-0476","issue":"2","note":"publisher: Instituto de Botánica del Nordeste (IBONE)","page":"137-142","source":"JSTOR","title":"&lt;i&gt;Pteris nipponica&lt;/i&gt; (Pteridaceae), un nueveo registro para la flora de buenos aires, Argentina","URL":"https://www.jstor.org/stable/26514417","volume":"26","author":[{"family":"Guerrero","given":"ELIÁN L."}],"accessed":{"date-parts":[["2020",5,24]]},"issued":{"date-parts":[["2017"]]}},"label":"page"}],"schema":"https://github.com/citation-style-language/schema/raw/master/csl-citation.json"} </w:instrText>
      </w:r>
      <w:r w:rsidR="62463AAF" w:rsidRPr="00DA249F">
        <w:rPr>
          <w:i/>
          <w:iCs/>
          <w:lang w:val="en-GB"/>
        </w:rPr>
        <w:fldChar w:fldCharType="separate"/>
      </w:r>
      <w:r w:rsidR="00933CE0" w:rsidRPr="00DA249F">
        <w:rPr>
          <w:lang w:val="en-GB"/>
        </w:rPr>
        <w:t>Guerrero, 2017)</w:t>
      </w:r>
      <w:r w:rsidR="62463AAF" w:rsidRPr="00DA249F">
        <w:rPr>
          <w:i/>
          <w:iCs/>
          <w:lang w:val="en-GB"/>
        </w:rPr>
        <w:fldChar w:fldCharType="end"/>
      </w:r>
      <w:r w:rsidRPr="00DA249F">
        <w:rPr>
          <w:i/>
          <w:iCs/>
          <w:lang w:val="en-GB"/>
        </w:rPr>
        <w:t>.</w:t>
      </w:r>
      <w:r w:rsidR="00B1749C" w:rsidRPr="00DA249F">
        <w:rPr>
          <w:i/>
          <w:iCs/>
          <w:lang w:val="en-GB"/>
        </w:rPr>
        <w:t xml:space="preserve"> </w:t>
      </w:r>
      <w:r w:rsidRPr="00DA249F">
        <w:rPr>
          <w:lang w:val="en-GB"/>
        </w:rPr>
        <w:t xml:space="preserve">Dumping garden waste in close proximity to watercourses contributed to the spread of </w:t>
      </w:r>
      <w:r w:rsidRPr="00DA249F">
        <w:rPr>
          <w:i/>
          <w:iCs/>
          <w:lang w:val="en-GB"/>
        </w:rPr>
        <w:t>Reynoutria sachalinensis</w:t>
      </w:r>
      <w:r w:rsidRPr="00DA249F">
        <w:rPr>
          <w:lang w:val="en-GB"/>
        </w:rPr>
        <w:t xml:space="preserve"> (</w:t>
      </w:r>
      <w:r w:rsidR="0B1B1371" w:rsidRPr="00DA249F">
        <w:rPr>
          <w:lang w:val="en-GB"/>
        </w:rPr>
        <w:t xml:space="preserve">giant knotweed) </w:t>
      </w:r>
      <w:r w:rsidRPr="00DA249F">
        <w:rPr>
          <w:lang w:val="en-GB"/>
        </w:rPr>
        <w:t xml:space="preserve">and </w:t>
      </w:r>
      <w:r w:rsidRPr="00DA249F">
        <w:rPr>
          <w:i/>
          <w:iCs/>
          <w:lang w:val="en-GB"/>
        </w:rPr>
        <w:t>Reynoutria japonica</w:t>
      </w:r>
      <w:r w:rsidRPr="00DA249F">
        <w:rPr>
          <w:lang w:val="en-GB"/>
        </w:rPr>
        <w:t xml:space="preserve"> (</w:t>
      </w:r>
      <w:r w:rsidR="00AF1E35" w:rsidRPr="00DA249F">
        <w:rPr>
          <w:lang w:val="en-GB"/>
        </w:rPr>
        <w:t>J</w:t>
      </w:r>
      <w:r w:rsidR="0B1B1371" w:rsidRPr="00DA249F">
        <w:rPr>
          <w:lang w:val="en-GB"/>
        </w:rPr>
        <w:t xml:space="preserve">apanese knotweed) </w:t>
      </w:r>
      <w:r w:rsidRPr="00DA249F">
        <w:rPr>
          <w:lang w:val="en-GB"/>
        </w:rPr>
        <w:t xml:space="preserve">in riparian habitats in </w:t>
      </w:r>
      <w:r w:rsidR="00F626CD">
        <w:rPr>
          <w:lang w:val="en-GB"/>
        </w:rPr>
        <w:t xml:space="preserve">the </w:t>
      </w:r>
      <w:r w:rsidRPr="00DA249F">
        <w:rPr>
          <w:lang w:val="en-GB"/>
        </w:rPr>
        <w:t>Czech Republic</w:t>
      </w:r>
      <w:r w:rsidR="0377FA39" w:rsidRPr="00DA249F">
        <w:rPr>
          <w:lang w:val="en-GB"/>
        </w:rPr>
        <w:t xml:space="preserve"> </w:t>
      </w:r>
      <w:r w:rsidR="62463AAF" w:rsidRPr="00DA249F">
        <w:rPr>
          <w:lang w:val="en-GB"/>
        </w:rPr>
        <w:fldChar w:fldCharType="begin"/>
      </w:r>
      <w:r w:rsidR="00331A79">
        <w:rPr>
          <w:lang w:val="en-GB"/>
        </w:rPr>
        <w:instrText xml:space="preserve"> ADDIN ZOTERO_ITEM CSL_CITATION {"citationID":"Tii988Fx","properties":{"formattedCitation":"(Py\\uc0\\u353{}ek &amp; Prach, 1996)","plainCitation":"(Pyšek &amp; Prach, 1996)","noteIndex":0},"citationItems":[{"id":25772,"uris":["http://zotero.org/groups/2352922/items/5C83V3J8"],"itemData":{"id":25772,"type":"chapter","abstract":"In the process of plant invasion rivers may act as dispersal agents, supporting downstream movement of diaspores by water (e.g. Stani-forth &amp; Cavers, 1976; van der Pijl, 1982; Schneider &amp; Sharitz, 1988; Skoglund, 1989). Moreover, periodic disturbances resulting from destructive flooding generally destroy or damage a large part of riparian vegetation (Ellenberg, 1988) thus creating openings that provide suitable habitats and favourable nutrient conditions for seedling establishment and subsequent colonization (Walker, Zasada &amp; Chapin, 1986). Consequently, riparian habitats into which an alien species was successfully introduced and naturalized may serve as foci for subsequent spread into the adjacent landscape (Pyšek, 1991, 1993).","container-title":"Ecosystem Management: Selected Readings","event-place":"New York, NY","ISBN":"978-1-4612-4018-1","language":"en","note":"DOI: 10.1007/978-1-4612-4018-1_23","page":"254-263","publisher":"Springer","publisher-place":"New York, NY","source":"Springer Link","title":"Plant Invasions and the Role of Riparian Habitats: A Comparison of Four Species Alien to Central Europe","title-short":"Plant Invasions and the Role of Riparian Habitats","URL":"https://doi.org/10.1007/978-1-4612-4018-1_23","author":[{"family":"Pyšek","given":"Petr"},{"family":"Prach","given":"Karel"}],"editor":[{"family":"Samson","given":"Fred B."},{"family":"Knopf","given":"Fritz L."}],"accessed":{"date-parts":[["2020",5,24]]},"issued":{"date-parts":[["1996"]]}},"label":"page"}],"schema":"https://github.com/citation-style-language/schema/raw/master/csl-citation.json"} </w:instrText>
      </w:r>
      <w:r w:rsidR="62463AAF" w:rsidRPr="00DA249F">
        <w:rPr>
          <w:lang w:val="en-GB"/>
        </w:rPr>
        <w:fldChar w:fldCharType="separate"/>
      </w:r>
      <w:r w:rsidR="00144D96" w:rsidRPr="00144D96">
        <w:rPr>
          <w:szCs w:val="24"/>
        </w:rPr>
        <w:t>(Pyšek &amp; Prach, 1996)</w:t>
      </w:r>
      <w:r w:rsidR="62463AAF" w:rsidRPr="00DA249F">
        <w:rPr>
          <w:lang w:val="en-GB"/>
        </w:rPr>
        <w:fldChar w:fldCharType="end"/>
      </w:r>
      <w:r w:rsidRPr="00DA249F">
        <w:rPr>
          <w:lang w:val="en-GB"/>
        </w:rPr>
        <w:t xml:space="preserve">. </w:t>
      </w:r>
      <w:r w:rsidR="0076484B" w:rsidRPr="00DA249F">
        <w:rPr>
          <w:lang w:val="en-GB"/>
        </w:rPr>
        <w:t>Irresponsible d</w:t>
      </w:r>
      <w:r w:rsidR="003B2C34" w:rsidRPr="00DA249F">
        <w:rPr>
          <w:lang w:val="en-GB"/>
        </w:rPr>
        <w:t>isposal</w:t>
      </w:r>
      <w:r w:rsidR="00B94C51" w:rsidRPr="00DA249F">
        <w:rPr>
          <w:lang w:val="en-GB"/>
        </w:rPr>
        <w:t xml:space="preserve"> of</w:t>
      </w:r>
      <w:r w:rsidRPr="00DA249F">
        <w:rPr>
          <w:lang w:val="en-GB"/>
        </w:rPr>
        <w:t xml:space="preserve"> fragments of alien aquarium macrophytes and macroalgae may promote their introduction and spread </w:t>
      </w:r>
      <w:r w:rsidR="00AC0D92" w:rsidRPr="00DA249F">
        <w:rPr>
          <w:lang w:val="en-GB"/>
        </w:rPr>
        <w:t>in nature</w:t>
      </w:r>
      <w:r w:rsidRPr="00DA249F">
        <w:rPr>
          <w:lang w:val="en-GB"/>
        </w:rPr>
        <w:t xml:space="preserve"> </w:t>
      </w:r>
      <w:r w:rsidR="62463AAF" w:rsidRPr="00DA249F">
        <w:rPr>
          <w:lang w:val="en-GB"/>
        </w:rPr>
        <w:fldChar w:fldCharType="begin"/>
      </w:r>
      <w:r w:rsidR="00331A79">
        <w:rPr>
          <w:lang w:val="en-GB"/>
        </w:rPr>
        <w:instrText xml:space="preserve"> ADDIN ZOTERO_ITEM CSL_CITATION {"citationID":"YHFq4fMk","properties":{"formattedCitation":"(Cohen et al., 2007; Odom et al., 2014; Vranken et al., 2018)","plainCitation":"(Cohen et al., 2007; Odom et al., 2014; Vranken et al., 2018)","noteIndex":0},"citationItems":[{"id":26074,"uris":["http://zotero.org/groups/2352922/items/8RIEGBKN"],"itemData":{"id":26074,"type":"article-journal","abstract":"Non-indigenous species are both economically and ecologically costly. Invasions are occurring at an accelerating rate worldwide and therefore present a critical challenge to natural resource managers. The aquarium trade is commonly recognized as a pathway for non-indigenous plants, but few regulations exist to curb such introductions. In addition, very few studies have attempted to quantify the number of propagules introduced through the aquarium trade each year, probably because it is difficult to directly measure the number of propagules introduced. Here, we use a novel approach to quantify propagule numbers by analyzing each step in the path to introduction and synthesizing this information to calculate propagule pressure for each species. We used the aquarium plant trade in Montreal, Quebec, Canada, as our study system and found that thousands of non-indigenous plant propagules are introduced to the St Lawrence Seaway each year, through the Montreal aquarium trade alone. Two known invaders are among those species with the highest measured propagule pressure.","container-title":"Frontiers in Ecology and the Environment","DOI":"10.1890/060137","ISSN":"1540-9295","issue":"10","journalAbbreviation":"Frontiers in Ecology and the Environment","note":"publisher: John Wiley &amp; Sons, Ltd","page":"528-532","source":"esajournals.onlinelibrary.wiley.com (Atypon)","title":"Thousands introduced annually: the aquarium pathway for non-indigenous plants to the St Lawrence Seaway","title-short":"Thousands introduced annually","URL":"https://esajournals.onlinelibrary.wiley.com/doi/full/10.1890/060137","volume":"5","author":[{"family":"Cohen","given":"Jill"},{"family":"Mirotchnick","given":"Nicholas"},{"family":"Leung","given":"Brian"}],"accessed":{"date-parts":[["2020",5,30]]},"issued":{"date-parts":[["2007",12,1]]}},"label":"page"},{"id":25590,"uris":["http://zotero.org/groups/2352922/items/9SPW4MSD"],"itemData":{"id":25590,"type":"article-journal","abstract":"Aquarium release is a vector for introducing nonnative species that threatens the ecological integrity of aquatic systems. Following coastal invasions by released aquarium strains of Caulerpa taxifolia, aquarists began using the macroalgal genus Chaetomorpha. Use of Chaetomorpha now exceeds 50% of U.S. aquarium hobbyists we surveyed. Aquarium strains of this macroalgal genus possess broad environmental tolerances, demonstrate high nutrient uptake and growth rates, and reproduce by fragmentation. Although these characteristics make Chaetomorpha a desirable aquarium inhabitant, they may also promote invasive tendencies if the alga is introduced into a natural ecosystem. We sought to proactively mitigate this potential invasion risk by testing algal disposal techniques that serve as responsible alternatives to releasing viable individuals. We tested methods used by aquarium hobbyists—boiling, microwaving, freezing, desiccation, and exposure to freshwater. We determined the minimum durations that these techniques must be used in order to induce mortality in three aquarium purchases of Chaetomorpha. We found that boiling for at least 1 min, microwaving for at least 15 s, or freezing for at least 24 h were sufficient to induce 100% mortality in 1-cm-long fragments and clumps up to 1.5 g. Desiccation required more than 24 h when exposed to air and 6 d for samples kept in closed containers. Freshwater exposure was effective at 6 d. These results indicate that disposal of excess or unwanted Chaetomorpha via garbage (if destined for a landfill) or indoor plumbing (e.g., sinks and toilets) represent safe alternatives to release. Disposal of algal tissue, shipping water, or tank water containing small algal fragments down stormwater drains, however, could introduce this hardy species into favorable conditions that could result in detrimental biological invasions.","container-title":"Invasive Plant Science and Management","DOI":"10.1614/IPSM-D-13-00053.1","ISSN":"1939-7291, 1939-747X","issue":"1","language":"en","note":"publisher: Cambridge University Press","page":"76-83","source":"Cambridge University Press","title":"Alternatives to Release: Efficient Methods for Disposal of Excess or Unwanted Aquarium Macroalgae in the Genus &lt;i&gt;Chaetomorpha&lt;/i&gt;","title-short":"Alternatives to Release","URL":"https://www.cambridge.org/core/journals/invasive-plant-science-and-management/article/alternatives-to-release-efficient-methods-for-disposal-of-excess-or-unwanted-aquarium-macroalgae-in-the-genus-chaetomorpha/082901DC56D856BE3B4E03461C1D74FA","volume":"7","author":[{"family":"Odom","given":"Rachel L."},{"family":"Solomon","given":"Joshua A."},{"family":"Walters","given":"Linda J."}],"accessed":{"date-parts":[["2020",6,2]]},"issued":{"date-parts":[["2014",3]]}},"label":"page"},{"id":25423,"uris":["http://zotero.org/groups/2352922/items/PDBKVMVE"],"itemData":{"id":25423,"type":"article-journal","abstract":"Aquaculture and maritime traffic have been identified as the main vectors for introductions of alien marine species. Except for one notorious case of Caulerpa taxifolia, the role of aquarium trade towards the introduction of alien seaweeds has been largely unassessed. Here, we address the risk of accidental release of seaweed species from the aquarium trade market in European waters. We assessed the importance and diversity of seaweed species in the European online aquarium retail circuit. Our web survey revealed more than 30 genera available for online sale into Europe, including known introduced and invasive species. A second aspect of the study consisted in sampling algal diversity found in aquaria. While allowing direct and accurate identification of the specimens, this approach was targeting not only ornamental species, but also seaweeds that may be accidentally present in the aquarium circuit. By DNA-barcoding we identified no less than 134 taxa, 7 of which are flagged as introduced in Europe and 5 reported as invasive. Climate envelope models show that at least 23 aquarium species have the potential to thrive in European waters. As expected by the tropical conditions in most aquaria, southern Atlantic regions of Europe and the Mediterranean are the most vulnerable towards new introductions. Further predictions show that this risk will increase and shift northwards as global warming proceeds. Overall our data indicate that aquarium trade poses a potential risk of new seaweed introductions, and calls for a cautious approach.","container-title":"Biological Invasions","DOI":"10.1007/s10530-017-1618-7","ISSN":"1573-1464","issue":"5","journalAbbreviation":"Biol Invasions","language":"en","page":"1171-1187","source":"Springer Link","title":"A risk assessment of aquarium trade introductions of seaweed in European waters","URL":"https://doi.org/10.1007/s10530-017-1618-7","volume":"20","author":[{"family":"Vranken","given":"Sofie"},{"family":"Bosch","given":"Samuel"},{"family":"Peña","given":"Viviana"},{"family":"Leliaert","given":"Frederik"},{"family":"Mineur","given":"Frederic"},{"family":"De Clerck","given":"Olivier"}],"accessed":{"date-parts":[["2020",5,31]]},"issued":{"date-parts":[["2018",5,1]]}},"label":"page"}],"schema":"https://github.com/citation-style-language/schema/raw/master/csl-citation.json"} </w:instrText>
      </w:r>
      <w:r w:rsidR="62463AAF" w:rsidRPr="00DA249F">
        <w:rPr>
          <w:lang w:val="en-GB"/>
        </w:rPr>
        <w:fldChar w:fldCharType="separate"/>
      </w:r>
      <w:r w:rsidR="00144D96" w:rsidRPr="00144D96">
        <w:t>(Cohen et al., 2007; Odom et al., 2014; Vranken et al., 2018)</w:t>
      </w:r>
      <w:r w:rsidR="62463AAF" w:rsidRPr="00DA249F">
        <w:rPr>
          <w:lang w:val="en-GB"/>
        </w:rPr>
        <w:fldChar w:fldCharType="end"/>
      </w:r>
      <w:r w:rsidR="0377FA39" w:rsidRPr="00DA249F">
        <w:rPr>
          <w:lang w:val="en-GB"/>
        </w:rPr>
        <w:t>.</w:t>
      </w:r>
      <w:r w:rsidRPr="00DA249F">
        <w:rPr>
          <w:lang w:val="en-GB"/>
        </w:rPr>
        <w:t xml:space="preserve"> Waste disposal sites are a source of propagules of </w:t>
      </w:r>
      <w:r w:rsidR="00170A3E" w:rsidRPr="00DA249F">
        <w:rPr>
          <w:lang w:val="en-GB"/>
        </w:rPr>
        <w:t xml:space="preserve">alien </w:t>
      </w:r>
      <w:r w:rsidRPr="00DA249F">
        <w:rPr>
          <w:lang w:val="en-GB"/>
        </w:rPr>
        <w:t xml:space="preserve">plants </w:t>
      </w:r>
      <w:r w:rsidR="00592EE9">
        <w:rPr>
          <w:lang w:val="en-GB"/>
        </w:rPr>
        <w:t>that can spread in</w:t>
      </w:r>
      <w:r w:rsidRPr="00DA249F">
        <w:rPr>
          <w:lang w:val="en-GB"/>
        </w:rPr>
        <w:t xml:space="preserve">to natural </w:t>
      </w:r>
      <w:r w:rsidR="00025077" w:rsidRPr="00DA249F">
        <w:rPr>
          <w:lang w:val="en-GB"/>
        </w:rPr>
        <w:t>habitat</w:t>
      </w:r>
      <w:r w:rsidR="00816205" w:rsidRPr="00DA249F">
        <w:rPr>
          <w:lang w:val="en-GB"/>
        </w:rPr>
        <w:t>s</w:t>
      </w:r>
      <w:r w:rsidRPr="00DA249F">
        <w:rPr>
          <w:lang w:val="en-GB"/>
        </w:rPr>
        <w:t>. In central Brazil, savanna</w:t>
      </w:r>
      <w:r w:rsidR="00474D4E" w:rsidRPr="00DA249F">
        <w:rPr>
          <w:lang w:val="en-GB"/>
        </w:rPr>
        <w:t>h</w:t>
      </w:r>
      <w:r w:rsidRPr="00DA249F">
        <w:rPr>
          <w:lang w:val="en-GB"/>
        </w:rPr>
        <w:t xml:space="preserve"> adjacent to landfills </w:t>
      </w:r>
      <w:r w:rsidR="00905C49" w:rsidRPr="00DA249F">
        <w:rPr>
          <w:lang w:val="en-GB"/>
        </w:rPr>
        <w:t>ha</w:t>
      </w:r>
      <w:r w:rsidR="00905C49">
        <w:rPr>
          <w:lang w:val="en-GB"/>
        </w:rPr>
        <w:t>s</w:t>
      </w:r>
      <w:r w:rsidR="00905C49" w:rsidRPr="00DA249F">
        <w:rPr>
          <w:lang w:val="en-GB"/>
        </w:rPr>
        <w:t xml:space="preserve"> </w:t>
      </w:r>
      <w:r w:rsidRPr="00DA249F">
        <w:rPr>
          <w:lang w:val="en-GB"/>
        </w:rPr>
        <w:t xml:space="preserve">ten times more alien species than nearby </w:t>
      </w:r>
      <w:r w:rsidR="00905C49">
        <w:rPr>
          <w:lang w:val="en-GB"/>
        </w:rPr>
        <w:t>savannah not adjacent to landfills</w:t>
      </w:r>
      <w:r w:rsidRPr="00DA249F">
        <w:rPr>
          <w:lang w:val="en-GB"/>
        </w:rPr>
        <w:t xml:space="preserve"> </w:t>
      </w:r>
      <w:r w:rsidR="62463AAF" w:rsidRPr="00DA249F">
        <w:rPr>
          <w:lang w:val="en-GB"/>
        </w:rPr>
        <w:fldChar w:fldCharType="begin"/>
      </w:r>
      <w:r w:rsidR="00331A79">
        <w:rPr>
          <w:lang w:val="en-GB"/>
        </w:rPr>
        <w:instrText xml:space="preserve"> ADDIN ZOTERO_ITEM CSL_CITATION {"citationID":"no4hFMQH","properties":{"formattedCitation":"(Santana &amp; Encinas, 2008)","plainCitation":"(Santana &amp; Encinas, 2008)","noteIndex":0},"citationItems":[{"id":11014,"uris":["http://zotero.org/groups/2352922/items/Y4VR9783"],"itemData":{"id":11014,"type":"article-journal","abstract":"Os objetivos deste trabalho, em áreas adjacentes à deposição de resíduos domiciliares, foram: i) realizar o levantamento das espécies exóticas, ii) verificar o seu impacto nas espécies nativas arbóreas de Cerrado, e iii) comparar os resultados com áreas controles. Vinte e duas espécies exóticas foram encontradas nas parcelas estudadas próximos aos depósitos de resíduos domiciliares, distribuídas entre treze famílias. Apenas duas espécies foram encontradas nas áreas controle. A presença de depósitos de resíduos domiciliares aumenta a incidência de espécies exóticas arbóreas, causando um gradiente na distribuição de seus indivíduos, padrão não observado nas áreas controles.","container-title":"Biotemas","DOI":"10.5007/2175-7925.2008v21n4p29","ISSN":"2175-7925","issue":"4","language":"pt","license":"Direitos autorais 2008 Otacílio Antunes Santana, José Imaña Encinas","note":"number: 4","page":"29-38","source":"periodicos.ufsc.br","title":"Levantamento das espécies exóticas arbóreas e seu impacto nas espécies nativas em áreas adjacentes a depósitos de resíduos domiciliares","URL":"https://periodicos.ufsc.br/index.php/biotemas/article/view/2175-7925.2008v21n4p29","volume":"21","author":[{"family":"Santana","given":"Otacílio Antunes"},{"family":"Encinas","given":"José Imaña"}],"accessed":{"date-parts":[["2020",5,22]]},"issued":{"date-parts":[["2008"]]}},"label":"page"}],"schema":"https://github.com/citation-style-language/schema/raw/master/csl-citation.json"} </w:instrText>
      </w:r>
      <w:r w:rsidR="62463AAF" w:rsidRPr="00DA249F">
        <w:rPr>
          <w:lang w:val="en-GB"/>
        </w:rPr>
        <w:fldChar w:fldCharType="separate"/>
      </w:r>
      <w:r w:rsidR="00144D96" w:rsidRPr="00144D96">
        <w:t>(Santana &amp; Encinas, 2008)</w:t>
      </w:r>
      <w:r w:rsidR="62463AAF" w:rsidRPr="00DA249F">
        <w:rPr>
          <w:lang w:val="en-GB"/>
        </w:rPr>
        <w:fldChar w:fldCharType="end"/>
      </w:r>
      <w:r w:rsidRPr="00DA249F">
        <w:rPr>
          <w:lang w:val="en-GB"/>
        </w:rPr>
        <w:t xml:space="preserve">. Urban mixed deciduous forest sites in Switzerland close to illegal garden waste dumping areas exhibit over 30 times more alien species than nearby control areas </w:t>
      </w:r>
      <w:r w:rsidR="62463AAF" w:rsidRPr="00DA249F">
        <w:rPr>
          <w:lang w:val="en-GB"/>
        </w:rPr>
        <w:fldChar w:fldCharType="begin"/>
      </w:r>
      <w:r w:rsidR="00331A79">
        <w:rPr>
          <w:lang w:val="en-GB"/>
        </w:rPr>
        <w:instrText xml:space="preserve"> ADDIN ZOTERO_ITEM CSL_CITATION {"citationID":"NrMVGN8q","properties":{"formattedCitation":"(Rusterholz et al., 2012)","plainCitation":"(Rusterholz et al., 2012)","noteIndex":0},"citationItems":[{"id":26208,"uris":["http://zotero.org/groups/2352922/items/3W7RXGNQ"],"itemData":{"id":26208,"type":"article-journal","abstract":"Question Is illegal garden waste dumping in mixed deciduous forests a source for establishment of non-native plants in deciduous forests? Location Northwestern Switzerland. Methods We quantified the amount of illegally dumped garden waste at 20 sites over 1 yr and compared the soil conditions, species richness and abundance of plants in the ground vegetation at disposal sites with those at 20 control sites in urban deciduous forests. Results We found that illegal garden waste dumping frequently occurs in urban forests. At single sites, 0.1–12.5 m3 (mean: 2.6 m3) garden waste was dumped per month, resulting in a total annual amount of 2.2–35.8 m3 (mean: 17.8 m3) waste deposited. Thirty-seven of the 163 plant species recorded were not native to Switzerland. All 37 non-native species were recorded in waste disposal sites, but only three of them in control sites. Thus, garden waste dumping sites harboured a larger number of non-native species than control sites, but the two groups of sites did not differ in number of native species. The species composition also differed between disposal and control sites: larger proportions of species typical of disturbed habitats, more therophytes and species with autochorous seed dispersal were recorded in disposal sites than in control sites. Conclusions We provide evidence that numerous non-native horticultural plant species escape from dumping sites and colonize forests. There is an urgent need to increase awareness of garden owners concerning problems associated with illegal garden waste dumping.","container-title":"Applied Vegetation Science","DOI":"10.1111/j.1654-109X.2011.01175.x","ISSN":"1654-109X","issue":"3","language":"en","license":"© 2011 International Association for Vegetation Science","note":"_eprint: https://onlinelibrary.wiley.com/doi/pdf/10.1111/j.1654-109X.2011.01175.x","page":"329-337","source":"Wiley Online Library","title":"Garden waste deposits as a source for non-native plants in mixed deciduous forests","URL":"https://onlinelibrary.wiley.com/doi/abs/10.1111/j.1654-109X.2011.01175.x","volume":"15","author":[{"family":"Rusterholz","given":"Hans-Peter"},{"family":"Wirz","given":"Dino"},{"family":"Baur","given":"Bruno"}],"accessed":{"date-parts":[["2020",5,24]]},"issued":{"date-parts":[["2012"]]}},"label":"page"}],"schema":"https://github.com/citation-style-language/schema/raw/master/csl-citation.json"} </w:instrText>
      </w:r>
      <w:r w:rsidR="62463AAF" w:rsidRPr="00DA249F">
        <w:rPr>
          <w:lang w:val="en-GB"/>
        </w:rPr>
        <w:fldChar w:fldCharType="separate"/>
      </w:r>
      <w:r w:rsidR="00144D96" w:rsidRPr="00144D96">
        <w:t>(Rusterholz et al., 2012)</w:t>
      </w:r>
      <w:r w:rsidR="62463AAF" w:rsidRPr="00DA249F">
        <w:rPr>
          <w:lang w:val="en-GB"/>
        </w:rPr>
        <w:fldChar w:fldCharType="end"/>
      </w:r>
      <w:r w:rsidRPr="00DA249F">
        <w:rPr>
          <w:lang w:val="en-GB"/>
        </w:rPr>
        <w:t xml:space="preserve">. In addition, landfill areas used for compost production may contain many alien plants </w:t>
      </w:r>
      <w:r w:rsidR="62463AAF" w:rsidRPr="00DA249F">
        <w:rPr>
          <w:lang w:val="en-GB"/>
        </w:rPr>
        <w:fldChar w:fldCharType="begin"/>
      </w:r>
      <w:r w:rsidR="00331A79">
        <w:rPr>
          <w:lang w:val="en-GB"/>
        </w:rPr>
        <w:instrText xml:space="preserve"> ADDIN ZOTERO_ITEM CSL_CITATION {"citationID":"HtNiqcAr","properties":{"formattedCitation":"(Vaverkov\\uc0\\u225{} et al., 2020)","plainCitation":"(Vaverková et al., 2020)","noteIndex":0},"citationItems":[{"id":25591,"uris":["http://zotero.org/groups/2352922/items/EMJQRXKK"],"itemData":{"id":25591,"type":"article-journal","abstract":"Waste composting is becoming a key element of integrated waste management. Composting has a number of advantages, including economic benefits, improvement of soil properties through the use of compost, reduction in the use of chemical fertilisers, and minimization of environmental pollution. Composting on a landfill surface appears to be an economical solution that can help close the waste loop and material cycle. In this study, a composting plant located on a landfill surface was analysed. The main objective of the research was to identify the species of plants growing in the organic fraction of municipal solid waste in temporary storage, in the composting plant, and in maturing compost located in a reclaimed plot at the landfill site. During monitoring, 88 plant species were identified altogether. It was observed that compost can become a source of weed infestation. To control the presence of weeds in the compost, basic principles of composting are to be followed to reduce the quantity of weed seeds. The thermophilic phase must occur to reduce the viability of seeds in the input materials and sufficient moisture must be ensured during the composting process. When these principles are strictly observed and the stored compost is maintained without vegetation, the supply of seeds in the compost will be low, and the undesirable spread of plant species to adjacent areas will be controlled. The results showed that the use of the obtained compost did not result in the propagation of weed species. This study demonstrates that composting on a reclaimed landfill offers various advantages such as a closed waste management cycle, coverage of the active landfill body, and fertilisation of the reclaimed part of the landfill.","container-title":"Science of The Total Environment","DOI":"10.1016/j.scitotenv.2020.137971","ISSN":"0048-9697","journalAbbreviation":"Science of The Total Environment","language":"en","page":"137971","source":"ScienceDirect","title":"Alternative method of composting on a reclaimed municipal waste landfill in accordance with the circular economy: Benefits and risks","title-short":"Alternative method of composting on a reclaimed municipal waste landfill in accordance with the circular economy","URL":"http://www.sciencedirect.com/science/article/pii/S0048969720314844","volume":"723","author":[{"family":"Vaverková","given":"Magdalena Daria"},{"family":"Adamcová","given":"Dana"},{"family":"Winkler","given":"Jan"},{"family":"Koda","given":"Eugeniusz"},{"family":"Petrželová","given":"Lenka"},{"family":"Maxianová","given":"Alžbeta"}],"accessed":{"date-parts":[["2020",5,25]]},"issued":{"date-parts":[["2020",6,25]]}},"label":"page"}],"schema":"https://github.com/citation-style-language/schema/raw/master/csl-citation.json"} </w:instrText>
      </w:r>
      <w:r w:rsidR="62463AAF" w:rsidRPr="00DA249F">
        <w:rPr>
          <w:lang w:val="en-GB"/>
        </w:rPr>
        <w:fldChar w:fldCharType="separate"/>
      </w:r>
      <w:r w:rsidR="00144D96" w:rsidRPr="00144D96">
        <w:rPr>
          <w:szCs w:val="24"/>
        </w:rPr>
        <w:t>(Vaverková et al., 2020)</w:t>
      </w:r>
      <w:r w:rsidR="62463AAF" w:rsidRPr="00DA249F">
        <w:rPr>
          <w:lang w:val="en-GB"/>
        </w:rPr>
        <w:fldChar w:fldCharType="end"/>
      </w:r>
      <w:r w:rsidRPr="00DA249F">
        <w:rPr>
          <w:lang w:val="en-GB"/>
        </w:rPr>
        <w:t xml:space="preserve">, so that </w:t>
      </w:r>
      <w:r w:rsidR="002E7BFD" w:rsidRPr="00DA249F">
        <w:rPr>
          <w:lang w:val="en-GB"/>
        </w:rPr>
        <w:t xml:space="preserve">the distribution and use of </w:t>
      </w:r>
      <w:r w:rsidRPr="00DA249F">
        <w:rPr>
          <w:lang w:val="en-GB"/>
        </w:rPr>
        <w:t>this compost</w:t>
      </w:r>
      <w:r w:rsidR="00A565DB" w:rsidRPr="00DA249F">
        <w:rPr>
          <w:lang w:val="en-GB"/>
        </w:rPr>
        <w:t>, f</w:t>
      </w:r>
      <w:r w:rsidR="002E7BFD" w:rsidRPr="00DA249F">
        <w:rPr>
          <w:lang w:val="en-GB"/>
        </w:rPr>
        <w:t>o</w:t>
      </w:r>
      <w:r w:rsidR="00A565DB" w:rsidRPr="00DA249F">
        <w:rPr>
          <w:lang w:val="en-GB"/>
        </w:rPr>
        <w:t>r example</w:t>
      </w:r>
      <w:r w:rsidRPr="00DA249F">
        <w:rPr>
          <w:lang w:val="en-GB"/>
        </w:rPr>
        <w:t xml:space="preserve"> in agriculture</w:t>
      </w:r>
      <w:r w:rsidR="00A565DB" w:rsidRPr="00DA249F">
        <w:rPr>
          <w:lang w:val="en-GB"/>
        </w:rPr>
        <w:t>,</w:t>
      </w:r>
      <w:r w:rsidRPr="00DA249F">
        <w:rPr>
          <w:lang w:val="en-GB"/>
        </w:rPr>
        <w:t xml:space="preserve"> </w:t>
      </w:r>
      <w:r w:rsidR="00A565DB" w:rsidRPr="00DA249F">
        <w:rPr>
          <w:lang w:val="en-GB"/>
        </w:rPr>
        <w:t>c</w:t>
      </w:r>
      <w:r w:rsidRPr="00DA249F">
        <w:rPr>
          <w:lang w:val="en-GB"/>
        </w:rPr>
        <w:t xml:space="preserve">ould promote </w:t>
      </w:r>
      <w:r w:rsidR="00A565DB" w:rsidRPr="00DA249F">
        <w:rPr>
          <w:lang w:val="en-GB"/>
        </w:rPr>
        <w:t>biological invasions</w:t>
      </w:r>
      <w:r w:rsidRPr="00DA249F">
        <w:rPr>
          <w:lang w:val="en-GB"/>
        </w:rPr>
        <w:t xml:space="preserve"> </w:t>
      </w:r>
      <w:r w:rsidR="62463AAF" w:rsidRPr="00DA249F">
        <w:rPr>
          <w:lang w:val="en-GB"/>
        </w:rPr>
        <w:fldChar w:fldCharType="begin"/>
      </w:r>
      <w:r w:rsidR="00331A79">
        <w:rPr>
          <w:lang w:val="en-GB"/>
        </w:rPr>
        <w:instrText xml:space="preserve"> ADDIN ZOTERO_ITEM CSL_CITATION {"citationID":"bhfwhWc0","properties":{"formattedCitation":"(Pietsch, 2005)","plainCitation":"(Pietsch, 2005)","noteIndex":0},"citationItems":[{"id":26020,"uris":["http://zotero.org/groups/2352922/items/5GT8I5F3"],"itemData":{"id":26020,"type":"paper-conference","event-place":"Humboldt University, Berlin, Germany","event-title":"Plant protection and plant health in Europe: introduction and spread of invasive species","ISBN":"1-901396-81-9","note":"issue: 81","publisher-place":"Humboldt University, Berlin, Germany","title":"Soil and biowaste as potential pathways for invasive alien species, and regulatory approaches to minimize the risks","author":[{"family":"Pietsch","given":"M."}],"issued":{"date-parts":[["2005"]]}},"label":"page"}],"schema":"https://github.com/citation-style-language/schema/raw/master/csl-citation.json"} </w:instrText>
      </w:r>
      <w:r w:rsidR="62463AAF" w:rsidRPr="00DA249F">
        <w:rPr>
          <w:lang w:val="en-GB"/>
        </w:rPr>
        <w:fldChar w:fldCharType="separate"/>
      </w:r>
      <w:r w:rsidR="00144D96" w:rsidRPr="00144D96">
        <w:t>(Pietsch, 2005)</w:t>
      </w:r>
      <w:r w:rsidR="62463AAF" w:rsidRPr="00DA249F">
        <w:rPr>
          <w:lang w:val="en-GB"/>
        </w:rPr>
        <w:fldChar w:fldCharType="end"/>
      </w:r>
      <w:r w:rsidRPr="00DA249F">
        <w:rPr>
          <w:lang w:val="en-GB"/>
        </w:rPr>
        <w:t xml:space="preserve">. </w:t>
      </w:r>
    </w:p>
    <w:p w14:paraId="5DDCF85B" w14:textId="77777777" w:rsidR="00887525" w:rsidRPr="00DA249F" w:rsidRDefault="00887525" w:rsidP="006F4426">
      <w:pPr>
        <w:spacing w:before="0" w:after="0"/>
        <w:rPr>
          <w:rFonts w:eastAsia="Yu Gothic"/>
          <w:i/>
          <w:iCs/>
          <w:color w:val="000000"/>
          <w:szCs w:val="24"/>
          <w:lang w:val="en-GB"/>
        </w:rPr>
      </w:pPr>
    </w:p>
    <w:p w14:paraId="0130A84F" w14:textId="4ACF7B16" w:rsidR="008C1BF7" w:rsidRPr="00DA249F" w:rsidRDefault="7BB5C14F" w:rsidP="007E3D58">
      <w:pPr>
        <w:spacing w:before="0" w:after="0"/>
        <w:rPr>
          <w:rFonts w:eastAsia="Times New Roman"/>
          <w:color w:val="000000"/>
          <w:szCs w:val="24"/>
          <w:lang w:val="en-GB" w:eastAsia="zh-CN"/>
        </w:rPr>
      </w:pPr>
      <w:r w:rsidRPr="00DA249F">
        <w:rPr>
          <w:lang w:val="en-GB"/>
        </w:rPr>
        <w:t xml:space="preserve">Waste disposal sites are often used as </w:t>
      </w:r>
      <w:r w:rsidR="00642559">
        <w:rPr>
          <w:lang w:val="en-GB"/>
        </w:rPr>
        <w:t xml:space="preserve">a </w:t>
      </w:r>
      <w:r w:rsidRPr="00DA249F">
        <w:rPr>
          <w:lang w:val="en-GB"/>
        </w:rPr>
        <w:t xml:space="preserve">food source by alien vertebrates found close to urban areas </w:t>
      </w:r>
      <w:r w:rsidR="00CA0C6B" w:rsidRPr="00DA249F">
        <w:rPr>
          <w:lang w:val="en-GB"/>
        </w:rPr>
        <w:t>(</w:t>
      </w:r>
      <w:r w:rsidRPr="008C1731">
        <w:rPr>
          <w:b/>
          <w:iCs/>
          <w:lang w:val="en-GB"/>
        </w:rPr>
        <w:t>section 3.2.2.4</w:t>
      </w:r>
      <w:r w:rsidR="00CB3C6B" w:rsidRPr="00DA249F">
        <w:rPr>
          <w:lang w:val="en-GB"/>
        </w:rPr>
        <w:t>), such as</w:t>
      </w:r>
      <w:r w:rsidRPr="00DA249F">
        <w:rPr>
          <w:lang w:val="en-GB"/>
        </w:rPr>
        <w:t xml:space="preserve"> </w:t>
      </w:r>
      <w:r w:rsidR="00FC4954" w:rsidRPr="00DA249F">
        <w:rPr>
          <w:i/>
          <w:iCs/>
          <w:lang w:val="en-GB"/>
        </w:rPr>
        <w:t>Rattus norvegicus</w:t>
      </w:r>
      <w:r w:rsidR="00FC4954" w:rsidRPr="00DA249F">
        <w:rPr>
          <w:lang w:val="en-GB"/>
        </w:rPr>
        <w:t xml:space="preserve"> (</w:t>
      </w:r>
      <w:r w:rsidRPr="00DA249F">
        <w:rPr>
          <w:lang w:val="en-GB"/>
        </w:rPr>
        <w:t xml:space="preserve">brown rat), </w:t>
      </w:r>
      <w:r w:rsidR="004D2F0C" w:rsidRPr="00DA249F">
        <w:rPr>
          <w:i/>
          <w:iCs/>
          <w:lang w:val="en-GB"/>
        </w:rPr>
        <w:t>Felis catus</w:t>
      </w:r>
      <w:r w:rsidR="004D2F0C" w:rsidRPr="00DA249F">
        <w:rPr>
          <w:lang w:val="en-GB"/>
        </w:rPr>
        <w:t xml:space="preserve"> (</w:t>
      </w:r>
      <w:r w:rsidRPr="00DA249F">
        <w:rPr>
          <w:lang w:val="en-GB"/>
        </w:rPr>
        <w:t xml:space="preserve">cat) and </w:t>
      </w:r>
      <w:r w:rsidR="004D2F0C" w:rsidRPr="00DA249F">
        <w:rPr>
          <w:i/>
          <w:iCs/>
          <w:lang w:val="en-GB"/>
        </w:rPr>
        <w:t>Sus scrofa</w:t>
      </w:r>
      <w:r w:rsidR="004D2F0C" w:rsidRPr="00DA249F">
        <w:rPr>
          <w:lang w:val="en-GB"/>
        </w:rPr>
        <w:t xml:space="preserve"> (</w:t>
      </w:r>
      <w:r w:rsidR="00C4455B" w:rsidRPr="00DA249F">
        <w:rPr>
          <w:lang w:val="en-GB"/>
        </w:rPr>
        <w:t xml:space="preserve">feral </w:t>
      </w:r>
      <w:r w:rsidR="004D2F0C" w:rsidRPr="00DA249F">
        <w:rPr>
          <w:lang w:val="en-GB"/>
        </w:rPr>
        <w:t xml:space="preserve">pig) </w:t>
      </w:r>
      <w:r w:rsidRPr="00DA249F">
        <w:rPr>
          <w:lang w:val="en-GB"/>
        </w:rPr>
        <w:lastRenderedPageBreak/>
        <w:fldChar w:fldCharType="begin"/>
      </w:r>
      <w:r w:rsidR="00331A79">
        <w:rPr>
          <w:lang w:val="en-GB"/>
        </w:rPr>
        <w:instrText xml:space="preserve"> ADDIN ZOTERO_ITEM CSL_CITATION {"citationID":"08CNme89","properties":{"formattedCitation":"(Plaza &amp; Lambertucci, 2017)","plainCitation":"(Plaza &amp; Lambertucci, 2017)","noteIndex":0},"citationItems":[{"id":26611,"uris":["http://zotero.org/groups/2352922/items/VM9KCN42"],"itemData":{"id":26611,"type":"article-journal","abstract":"Organic waste can be considered a food subsidy which represents an important source of energy for different species that exploit it. However, it could produce contrasting impacts, both positive and negative. We reviewed which species of terrestrial vertebrates (birds, mammals, reptiles and amphibians) exploit rubbish dumps, and the impacts that waste produces on them. We analysed 159 articles including 98 species that are present in rubbish dumps. Studies come from all over the world (including Antarctica), but mainly from Europe, North America and Africa. Impacts reported on vertebrates were manly considered positive (72.6%) but around a quarter showed negative impacts. Rubbish dumps provide food resources that may improve body condition, enhance reproductive performance and abundance, improve survival rate, alter movements, and they can be an important sustenance for some endangered species. However, these places increase the risk of pathogen infections and poisoning, can be responsible for the spread of introduced-invasive species and favour conflicts between humans and animals that use them. Moreover, species that take advantage of these sites can produce negative impacts on others that do not use them. Worldwide increase in waste production makes this novel ecosystem important on shaping ecological communities. Therefore, the spatial and temporal effects of rubbish dumps on wildlife should be evaluated more deeply at a worldwide scale considering current differences in waste production from developing to developed countries.","container-title":"Global Ecology and Conservation","DOI":"10.1016/j.gecco.2017.08.002","ISSN":"2351-9894","journalAbbreviation":"Global Ecology and Conservation","language":"en","page":"9-20","source":"ScienceDirect","title":"How are garbage dumps impacting vertebrate demography, health, and conservation?","URL":"http://www.sciencedirect.com/science/article/pii/S2351989417301257","volume":"12","author":[{"family":"Plaza","given":"Pablo I."},{"family":"Lambertucci","given":"Sergio A."}],"accessed":{"date-parts":[["2020",5,25]]},"issued":{"date-parts":[["2017",10,1]]}},"label":"page"}],"schema":"https://github.com/citation-style-language/schema/raw/master/csl-citation.json"} </w:instrText>
      </w:r>
      <w:r w:rsidRPr="00DA249F">
        <w:rPr>
          <w:lang w:val="en-GB"/>
        </w:rPr>
        <w:fldChar w:fldCharType="separate"/>
      </w:r>
      <w:r w:rsidR="00144D96" w:rsidRPr="00144D96">
        <w:t>(Plaza &amp; Lambertucci, 2017)</w:t>
      </w:r>
      <w:r w:rsidRPr="00DA249F">
        <w:rPr>
          <w:lang w:val="en-GB"/>
        </w:rPr>
        <w:fldChar w:fldCharType="end"/>
      </w:r>
      <w:r w:rsidRPr="00DA249F">
        <w:rPr>
          <w:lang w:val="en-GB"/>
        </w:rPr>
        <w:t xml:space="preserve">. Food waste </w:t>
      </w:r>
      <w:r w:rsidR="00D74348">
        <w:rPr>
          <w:lang w:val="en-GB"/>
        </w:rPr>
        <w:t>has been found to be</w:t>
      </w:r>
      <w:r w:rsidRPr="00DA249F">
        <w:rPr>
          <w:lang w:val="en-GB"/>
        </w:rPr>
        <w:t xml:space="preserve"> an important item in the diet of feral cats in Mexico </w:t>
      </w:r>
      <w:r w:rsidRPr="00DA249F">
        <w:rPr>
          <w:lang w:val="en-GB"/>
        </w:rPr>
        <w:fldChar w:fldCharType="begin"/>
      </w:r>
      <w:r w:rsidR="00331A79">
        <w:rPr>
          <w:lang w:val="en-GB"/>
        </w:rPr>
        <w:instrText xml:space="preserve"> ADDIN ZOTERO_ITEM CSL_CITATION {"citationID":"DS1DP7QR","properties":{"formattedCitation":"(Ortiz-Alcaraz et al., 2017)","plainCitation":"(Ortiz-Alcaraz et al., 2017)","noteIndex":0},"citationItems":[{"id":26612,"uris":["http://zotero.org/groups/2352922/items/DXQAXXWZ"],"itemData":{"id":26612,"type":"article-journal","abstract":"Abstract:Socorro is an oceanic island rich in biodiversity and endemisms. However, the island has been threatened by feral cats since 1957. The diet of this predator, determined through the analysis of stomach contents of 79 cats, consisted mostly of house mice (Mus musculus, 22.16%), endemic lizards (Urosaurus auriculatus, 15.09%), anthropogenic rubbish (15.09%), and insects (Orthoptera, 13.20%). The home range of the feral cat was identified through telemetry using four individuals with GPS/VHF radio-collars. The three males had a much larger average home range of 219.10 ha, as compared with 118.86 ha of the female. Knowing the home range of the Socorro Island feral cat is critical for the successful eradication of the island's invasive population. Thanks to this information, it is possible to calculate the trapping effort and the amount of bait needed per unit area to successfully carry out the ongoing eradication, contributing to the conservation of global biodiversity.Key words: diet; Felis catus; feral cats; home range; Socorro Island","container-title":"Acta zoológica mexicana","ISSN":"0065-1737","issue":"3","note":"publisher: Instituto de Ecología A.C.","page":"482-489","source":"SciELO","title":"Dieta y ámbito hogareño del gato feral, &lt;i&gt;Felis catus&lt;/i&gt; (Carnivora: Felidae) en la Isla Socorro, Archipiélago de Revillagigedo, México","title-short":"Dieta y ámbito hogareño del gato feral, Felis catus (Carnivora","URL":"http://www.scielo.org.mx/scielo.php?script=sci_abstract&amp;pid=S0065-17372017000300482&amp;lng=es&amp;nrm=iso&amp;tlng=pt","volume":"33","author":[{"family":"Ortiz-Alcaraz","given":"Antonio"},{"family":"Arnaud","given":"Gustavo"},{"family":"Aguirre-Muñoz","given":"Alfonso"},{"family":"Galina-Tessaro","given":"Patricia"},{"family":"Méndez-Sánchez","given":"Federico"},{"family":"Ortega-Rubio","given":"Alfredo"},{"family":"Ortiz-Alcaraz","given":"Antonio"},{"family":"Arnaud","given":"Gustavo"},{"family":"Aguirre-Muñoz","given":"Alfonso"},{"family":"Galina-Tessaro","given":"Patricia"},{"family":"Méndez-Sánchez","given":"Federico"},{"family":"Ortega-Rubio","given":"Alfredo"}],"accessed":{"date-parts":[["2020",5,31]]},"issued":{"date-parts":[["2017"]]}},"label":"page"}],"schema":"https://github.com/citation-style-language/schema/raw/master/csl-citation.json"} </w:instrText>
      </w:r>
      <w:r w:rsidRPr="00DA249F">
        <w:rPr>
          <w:lang w:val="en-GB"/>
        </w:rPr>
        <w:fldChar w:fldCharType="separate"/>
      </w:r>
      <w:r w:rsidR="00144D96" w:rsidRPr="00144D96">
        <w:t>(Ortiz-Alcaraz et al., 2017)</w:t>
      </w:r>
      <w:r w:rsidRPr="00DA249F">
        <w:rPr>
          <w:lang w:val="en-GB"/>
        </w:rPr>
        <w:fldChar w:fldCharType="end"/>
      </w:r>
      <w:r w:rsidRPr="00DA249F">
        <w:rPr>
          <w:lang w:val="en-GB"/>
        </w:rPr>
        <w:t xml:space="preserve"> and Australia </w:t>
      </w:r>
      <w:r w:rsidRPr="00DA249F">
        <w:rPr>
          <w:lang w:val="en-GB"/>
        </w:rPr>
        <w:fldChar w:fldCharType="begin"/>
      </w:r>
      <w:r w:rsidR="00331A79">
        <w:rPr>
          <w:lang w:val="en-GB"/>
        </w:rPr>
        <w:instrText xml:space="preserve"> ADDIN ZOTERO_ITEM CSL_CITATION {"citationID":"XlqPv6YD","properties":{"formattedCitation":"(Hutchings, 2003)","plainCitation":"(Hutchings, 2003)","noteIndex":0},"citationItems":[{"id":25520,"uris":["http://zotero.org/groups/2352922/items/FHRB3CFE"],"itemData":{"id":25520,"type":"article-journal","abstract":"The diet of feral cats (Felis catus) inhabiting a regional rubbish tip (dump) in Victoria was studied to determine whether cats utilised garbage or live prey from the surrounding heathlands for food. Between 30 and 50 cat scats were collected from the tip over two years in each of four sampling periods: spring 1997, autumn 1998, spring 1998 and autumn 1999. The scats were analysed to determine major dietary components, dietary breadth and seasonal overlap of diet. Bone fragments from meat scraps were the most frequent dietary item detected in the scats. Vertebrate prey species occurred less often in the cats' diet but a variety of both introduced and native species were represented. Analysis of dietary breadth confirmed that cats selected mainly meat and chicken scraps from the garbage but indicated that vertebrates were hunted opportunistically. Control measures are suggested to reduce cat numbers at regional rubbish tips to relieve potential impact on native wildlife.","container-title":"Wildlife Research","DOI":"10.1071/wr99067","ISSN":"1448-5494","issue":"1","journalAbbreviation":"Wildl. Res.","language":"en","note":"publisher: CSIRO PUBLISHING","page":"103-110","source":"www.publish.csiro.au","title":"The diet of feral house cats (&lt;i&gt;Felis catus&lt;/i&gt;) at a regional rubbish tip, Victoria","URL":"https://www.publish.csiro.au/wr/wr99067","volume":"30","author":[{"family":"Hutchings","given":"Susan"}],"accessed":{"date-parts":[["2020",5,28]]},"issued":{"date-parts":[["2003"]]}},"label":"page"}],"schema":"https://github.com/citation-style-language/schema/raw/master/csl-citation.json"} </w:instrText>
      </w:r>
      <w:r w:rsidRPr="00DA249F">
        <w:rPr>
          <w:lang w:val="en-GB"/>
        </w:rPr>
        <w:fldChar w:fldCharType="separate"/>
      </w:r>
      <w:r w:rsidR="00144D96" w:rsidRPr="00144D96">
        <w:t>(Hutchings, 2003)</w:t>
      </w:r>
      <w:r w:rsidRPr="00DA249F">
        <w:rPr>
          <w:lang w:val="en-GB"/>
        </w:rPr>
        <w:fldChar w:fldCharType="end"/>
      </w:r>
      <w:r w:rsidR="0377FA39" w:rsidRPr="00DA249F">
        <w:rPr>
          <w:lang w:val="en-GB"/>
        </w:rPr>
        <w:t>,</w:t>
      </w:r>
      <w:r w:rsidRPr="00DA249F">
        <w:rPr>
          <w:lang w:val="en-GB"/>
        </w:rPr>
        <w:t xml:space="preserve"> and a rubbish tip in Australia supported a high density of feral cats </w:t>
      </w:r>
      <w:r w:rsidRPr="00DA249F">
        <w:rPr>
          <w:lang w:val="en-GB"/>
        </w:rPr>
        <w:fldChar w:fldCharType="begin"/>
      </w:r>
      <w:r w:rsidR="00331A79">
        <w:rPr>
          <w:lang w:val="en-GB"/>
        </w:rPr>
        <w:instrText xml:space="preserve"> ADDIN ZOTERO_ITEM CSL_CITATION {"citationID":"IyDjKc3F","properties":{"formattedCitation":"(Denny et al., 2002)","plainCitation":"(Denny et al., 2002)","noteIndex":0},"citationItems":[{"id":25828,"uris":["http://zotero.org/groups/2352922/items/Q9NFW4RG"],"itemData":{"id":25828,"type":"article-journal","abstract":"Free-living cats (Felis catus L.) exploiting a waste-disposal site in rural Australia were studied for two years to investigate population structure and dynamics, and the relatedness of constituent individuals. The density of the population was equivalent to 700–750 cats km–2, the sex ratio was heavily skewed towards males, breeding occurred from July to April, and kitten survival rates were low. A combination of observational data, biometrics and microsatellite loci analyses was used to assess the relatedness of individuals in the population; these methods yielded highly congruent results. Thus, a female kin-group of three was identified, there was no female immigration, the average relatedness amongst the population was high and there was no indication of male dominance. The results indicate that cats at the site formed a tightly structured group, rather than an ad hoc collection of individuals. The stable, resource-rich habitat of waste-disposal sites may generally support high densities of group-forming cats in rural Australia, and pose broad-scale but previously unrecognised problems for effective management of free-living cats.","container-title":"Wildlife Research","DOI":"10.1071/WR02092","ISSN":"1035-3712","issue":"4","journalAbbreviation":"Wildl. Res.","language":"en","page":"405","source":"DOI.org (Crossref)","title":"Social and genetic analysis of a population of free-living cats (Felis catus L.) exploiting a resource-rich habitat","URL":"http://www.publish.csiro.au/?paper=WR02092","volume":"29","author":[{"family":"Denny","given":"Elizabeth"},{"family":"Yakovlevich","given":"Paul"},{"family":"Eldridge","given":"Mark D. B."},{"family":"Dickman","given":"Chris"}],"accessed":{"date-parts":[["2021",2,17]]},"issued":{"date-parts":[["2002"]]}},"label":"page"}],"schema":"https://github.com/citation-style-language/schema/raw/master/csl-citation.json"} </w:instrText>
      </w:r>
      <w:r w:rsidRPr="00DA249F">
        <w:rPr>
          <w:lang w:val="en-GB"/>
        </w:rPr>
        <w:fldChar w:fldCharType="separate"/>
      </w:r>
      <w:r w:rsidR="00144D96" w:rsidRPr="00144D96">
        <w:t>(Denny et al., 2002)</w:t>
      </w:r>
      <w:r w:rsidRPr="00DA249F">
        <w:rPr>
          <w:lang w:val="en-GB"/>
        </w:rPr>
        <w:fldChar w:fldCharType="end"/>
      </w:r>
      <w:r w:rsidR="004F32CF" w:rsidRPr="00DA249F">
        <w:rPr>
          <w:lang w:val="en-GB"/>
        </w:rPr>
        <w:t>.</w:t>
      </w:r>
      <w:r w:rsidRPr="00DA249F">
        <w:rPr>
          <w:lang w:val="en-GB"/>
        </w:rPr>
        <w:t xml:space="preserve"> Among alien birds, food waste consumption </w:t>
      </w:r>
      <w:r w:rsidR="00D74348">
        <w:rPr>
          <w:lang w:val="en-GB"/>
        </w:rPr>
        <w:t xml:space="preserve">has </w:t>
      </w:r>
      <w:r w:rsidRPr="00DA249F">
        <w:rPr>
          <w:lang w:val="en-GB"/>
        </w:rPr>
        <w:t xml:space="preserve">contributed to the establishment and spread of </w:t>
      </w:r>
      <w:r w:rsidR="008F40D7" w:rsidRPr="00DA249F">
        <w:rPr>
          <w:i/>
          <w:iCs/>
          <w:lang w:val="en-GB"/>
        </w:rPr>
        <w:t>Threskiornis aethiopicus</w:t>
      </w:r>
      <w:r w:rsidR="008F40D7" w:rsidRPr="00DA249F">
        <w:rPr>
          <w:lang w:val="en-GB"/>
        </w:rPr>
        <w:t xml:space="preserve"> (</w:t>
      </w:r>
      <w:r w:rsidRPr="00DA249F">
        <w:rPr>
          <w:lang w:val="en-GB"/>
        </w:rPr>
        <w:t>sacred ibis) in the United States</w:t>
      </w:r>
      <w:r w:rsidR="00855B13" w:rsidRPr="00DA249F">
        <w:rPr>
          <w:lang w:val="en-GB"/>
        </w:rPr>
        <w:t xml:space="preserve"> </w:t>
      </w:r>
      <w:r w:rsidRPr="00DA249F">
        <w:rPr>
          <w:lang w:val="en-GB"/>
        </w:rPr>
        <w:fldChar w:fldCharType="begin"/>
      </w:r>
      <w:r w:rsidR="00331A79">
        <w:rPr>
          <w:lang w:val="en-GB"/>
        </w:rPr>
        <w:instrText xml:space="preserve"> ADDIN ZOTERO_ITEM CSL_CITATION {"citationID":"gj0vH5lz","properties":{"formattedCitation":"(Calle &amp; Gawlik, 2011)","plainCitation":"(Calle &amp; Gawlik, 2011)","noteIndex":0},"citationItems":[{"id":25558,"uris":["http://zotero.org/groups/2352922/items/WJHA39WH"],"itemData":{"id":25558,"type":"article-journal","container-title":"Florida Field Naturalist","issue":"1","page":"1-34","title":"Anthropogenic food in the diet of the Sacred Ibis (&lt;i&gt;Threskiornis aethiopicus&lt;/i&gt;), a non-native wading bird in southeastern Florida, USA","URL":"https://www.researchgate.net/profile/Leonardo_Calle/publication/260263587_Anthropogenic_food_in_the_diet_of_the_Sacred_Ibis_Threskiornis_aethiopicus_a_non-native_wading_bird_in_southeastern_FL_USA/links/00b7d530612673274a000000/Anthropogenic-food-in-the-diet-of-the-Sacred-Ibis-Threskiornis-aethiopicus-a-non-native-wading-bird-in-southeastern-FL-USA.pdf","volume":"39","author":[{"family":"Calle","given":"Leonardo"},{"family":"Gawlik","given":"Dale E."}],"accessed":{"date-parts":[["2020",5,25]]},"issued":{"date-parts":[["2011",3]]}},"label":"page"}],"schema":"https://github.com/citation-style-language/schema/raw/master/csl-citation.json"} </w:instrText>
      </w:r>
      <w:r w:rsidRPr="00DA249F">
        <w:rPr>
          <w:lang w:val="en-GB"/>
        </w:rPr>
        <w:fldChar w:fldCharType="separate"/>
      </w:r>
      <w:r w:rsidR="00144D96" w:rsidRPr="00144D96">
        <w:t>(Calle &amp; Gawlik, 2011)</w:t>
      </w:r>
      <w:r w:rsidRPr="00DA249F">
        <w:rPr>
          <w:lang w:val="en-GB"/>
        </w:rPr>
        <w:fldChar w:fldCharType="end"/>
      </w:r>
      <w:r w:rsidRPr="00DA249F">
        <w:rPr>
          <w:lang w:val="en-GB"/>
        </w:rPr>
        <w:t xml:space="preserve"> and Western Europe </w:t>
      </w:r>
      <w:r w:rsidRPr="00DA249F">
        <w:rPr>
          <w:lang w:val="en-GB"/>
        </w:rPr>
        <w:fldChar w:fldCharType="begin"/>
      </w:r>
      <w:r w:rsidR="00331A79">
        <w:rPr>
          <w:lang w:val="en-GB"/>
        </w:rPr>
        <w:instrText xml:space="preserve"> ADDIN ZOTERO_ITEM CSL_CITATION {"citationID":"44OXNen0","properties":{"formattedCitation":"(Clergeau &amp; Y\\uc0\\u233{}sou, 2006)","plainCitation":"(Clergeau &amp; Yésou, 2006)","noteIndex":0},"citationItems":[{"id":26389,"uris":["http://zotero.org/groups/2352922/items/UVRWXMPQ"],"itemData":{"id":26389,"type":"article-journal","abstract":"In order to examine the dynamics and potential impact of the recently introduced sacred ibis Threskiornis aethiopicus, we review the published and unpublished data and report new information on its distribution in West European countries and particularly in France. This species, which escaped from zoos during the 1990s, is well established and has spread on the Atlantic coast and in Mediterranean region of France, with a mid-winter population reaching ca. 3200 individuals in winter 2004–2005 and ca. 1100 breeding pairs in spring 2005. The species has also escaped from zoological parks in Belgium, Germany, Spain, Italy and Portugal, and feral populations are established in Piedmont (Italy) and in the Canary Islands (Spain). The species dispersing ability has led to observations over hundreds of kilometres from the established colonies. We identify that in temperate habitats the sacred ibis shows a behavioural flexibility similar to that known in its tropical native range, including a large diet spectrum (insects, molluscs, refuse, bird eggs, etc.) and an ability to use various habitats (meadows, rubbish dumps, marshes, reedbeds, seashore, ploughed fields, etc.). This plasticity, the fact that predation by ibises is observed on nests of threatened bird species, and the number of potential sources of ibis in Europe (zoos) are causes of concern suggesting that precautionary measures should be taken to prevent the spread of this new alien species.","container-title":"Biological Invasions","DOI":"10.1007/s10530-006-0002-9","ISSN":"1573-1464","issue":"6","journalAbbreviation":"Biol Invasions","language":"en","page":"1381-1388","source":"Springer Link","title":"Behavioural Flexibility and Numerous Potential Sources of Introduction for the Sacred Ibis: Causes of Concern in Western Europe?","title-short":"Behavioural Flexibility and Numerous Potential Sources of Introduction for the Sacred Ibis","URL":"https://doi.org/10.1007/s10530-006-0002-9","volume":"8","author":[{"family":"Clergeau","given":"Philippe"},{"family":"Yésou","given":"Pierre"}],"accessed":{"date-parts":[["2020",5,25]]},"issued":{"date-parts":[["2006",5]]}},"label":"page"}],"schema":"https://github.com/citation-style-language/schema/raw/master/csl-citation.json"} </w:instrText>
      </w:r>
      <w:r w:rsidRPr="00DA249F">
        <w:rPr>
          <w:lang w:val="en-GB"/>
        </w:rPr>
        <w:fldChar w:fldCharType="separate"/>
      </w:r>
      <w:r w:rsidR="00144D96" w:rsidRPr="00144D96">
        <w:rPr>
          <w:szCs w:val="24"/>
        </w:rPr>
        <w:t>(Clergeau &amp; Yésou, 2006)</w:t>
      </w:r>
      <w:r w:rsidRPr="00DA249F">
        <w:rPr>
          <w:lang w:val="en-GB"/>
        </w:rPr>
        <w:fldChar w:fldCharType="end"/>
      </w:r>
      <w:r w:rsidRPr="00DA249F">
        <w:rPr>
          <w:lang w:val="en-GB"/>
        </w:rPr>
        <w:t xml:space="preserve">, as well as for </w:t>
      </w:r>
      <w:r w:rsidRPr="00DA249F">
        <w:rPr>
          <w:i/>
          <w:iCs/>
          <w:lang w:val="en-GB"/>
        </w:rPr>
        <w:t>Passer domesticus</w:t>
      </w:r>
      <w:r w:rsidRPr="00DA249F">
        <w:rPr>
          <w:lang w:val="en-GB"/>
        </w:rPr>
        <w:t xml:space="preserve"> (</w:t>
      </w:r>
      <w:r w:rsidR="0B1B1371" w:rsidRPr="00DA249F">
        <w:rPr>
          <w:lang w:val="en-GB"/>
        </w:rPr>
        <w:t xml:space="preserve">house sparrow) </w:t>
      </w:r>
      <w:r w:rsidRPr="00DA249F">
        <w:rPr>
          <w:lang w:val="en-GB"/>
        </w:rPr>
        <w:t xml:space="preserve">in urban sites in Kenya </w:t>
      </w:r>
      <w:r w:rsidRPr="00DA249F">
        <w:rPr>
          <w:lang w:val="en-GB"/>
        </w:rPr>
        <w:fldChar w:fldCharType="begin"/>
      </w:r>
      <w:r w:rsidR="00331A79">
        <w:rPr>
          <w:lang w:val="en-GB"/>
        </w:rPr>
        <w:instrText xml:space="preserve"> ADDIN ZOTERO_ITEM CSL_CITATION {"citationID":"GxcAhpIs","properties":{"formattedCitation":"(Imboma, 2014)","plainCitation":"(Imboma, 2014)","noteIndex":0},"citationItems":[{"id":26271,"uris":["http://zotero.org/groups/2352922/items/KBADGKLB"],"itemData":{"id":26271,"type":"thesis","event-place":"Nairobi, Kenya","genre":"Masters Thesis","number-of-pages":"81","publisher":"University of Nairobi","publisher-place":"Nairobi, Kenya","title":"Ecological effects of the invasive House Sparrow (&lt;i&gt;Passer domesticus&lt;/i&gt;) on sympatric native Sparrows in three urban areas in Kenya","author":[{"family":"Imboma","given":"Titus Shitembula"}],"issued":{"date-parts":[["2014"]]}},"label":"page"}],"schema":"https://github.com/citation-style-language/schema/raw/master/csl-citation.json"} </w:instrText>
      </w:r>
      <w:r w:rsidRPr="00DA249F">
        <w:rPr>
          <w:lang w:val="en-GB"/>
        </w:rPr>
        <w:fldChar w:fldCharType="separate"/>
      </w:r>
      <w:r w:rsidR="00144D96" w:rsidRPr="00144D96">
        <w:t>(Imboma, 2014)</w:t>
      </w:r>
      <w:r w:rsidRPr="00DA249F">
        <w:rPr>
          <w:lang w:val="en-GB"/>
        </w:rPr>
        <w:fldChar w:fldCharType="end"/>
      </w:r>
      <w:r w:rsidRPr="00DA249F">
        <w:rPr>
          <w:lang w:val="en-GB"/>
        </w:rPr>
        <w:t>. In eastern Madagascar, the abundance of the invasive</w:t>
      </w:r>
      <w:r w:rsidR="00C26EE6" w:rsidRPr="00DA249F">
        <w:rPr>
          <w:lang w:val="en-GB"/>
        </w:rPr>
        <w:t xml:space="preserve"> alien</w:t>
      </w:r>
      <w:r w:rsidRPr="00DA249F">
        <w:rPr>
          <w:lang w:val="en-GB"/>
        </w:rPr>
        <w:t xml:space="preserve"> </w:t>
      </w:r>
      <w:r w:rsidR="00057C74" w:rsidRPr="00DA249F">
        <w:rPr>
          <w:i/>
          <w:iCs/>
          <w:lang w:val="en-GB"/>
        </w:rPr>
        <w:t>Duttaphrynus melanostictus</w:t>
      </w:r>
      <w:r w:rsidR="00057C74" w:rsidRPr="00DA249F">
        <w:rPr>
          <w:lang w:val="en-GB"/>
        </w:rPr>
        <w:t xml:space="preserve"> (</w:t>
      </w:r>
      <w:r w:rsidRPr="00DA249F">
        <w:rPr>
          <w:lang w:val="en-GB"/>
        </w:rPr>
        <w:t xml:space="preserve">Asian </w:t>
      </w:r>
      <w:r w:rsidR="00057C74" w:rsidRPr="00DA249F">
        <w:rPr>
          <w:lang w:val="en-GB"/>
        </w:rPr>
        <w:t xml:space="preserve">common </w:t>
      </w:r>
      <w:r w:rsidRPr="00DA249F">
        <w:rPr>
          <w:lang w:val="en-GB"/>
        </w:rPr>
        <w:t xml:space="preserve">toad) </w:t>
      </w:r>
      <w:r w:rsidR="008328B4">
        <w:rPr>
          <w:lang w:val="en-GB"/>
        </w:rPr>
        <w:t>is</w:t>
      </w:r>
      <w:r w:rsidRPr="00DA249F">
        <w:rPr>
          <w:lang w:val="en-GB"/>
        </w:rPr>
        <w:t xml:space="preserve"> positively related to the presence of rubbish dumps </w:t>
      </w:r>
      <w:r w:rsidRPr="00DA249F">
        <w:rPr>
          <w:lang w:val="en-GB"/>
        </w:rPr>
        <w:fldChar w:fldCharType="begin"/>
      </w:r>
      <w:r w:rsidR="00331A79">
        <w:rPr>
          <w:lang w:val="en-GB"/>
        </w:rPr>
        <w:instrText xml:space="preserve"> ADDIN ZOTERO_ITEM CSL_CITATION {"citationID":"uWv6P4li","properties":{"formattedCitation":"(Licata et al., 2019)","plainCitation":"(Licata et al., 2019)","noteIndex":0},"citationItems":[{"id":28756,"uris":["http://zotero.org/groups/2352922/items/QMZ5XZ3M"],"itemData":{"id":28756,"type":"article-journal","abstract":"The Asian toad, Duttaphrynus melanostictus, was accidentally introduced to Toamasina (eastern Madagascar) around 2010, and since then has spread at a substantial rate across a larger area. This study documents the expansion of the invasive range of this species, calculates the invasion spread rate, and provides estimates of toad abundance and habitat preferences. Updates of the distribution range revealed a fivefold increase of the invaded area over 3 years, and a doubling of the rate of spread, showing a shift of the invasion towards the North-West, most probably because of the absence of ecological barriers. We used N-mixture models to estimate toad abundance on the basis of repeated count data of six areas in Toamasina and its surrounding countryside. Toad distribution shows heterogeneous density across the distribution range, with an average abundance of 184 toads ha−1 (95% CI 132–263). The toad’s abundance was highest in sites with the presence of organic waste, and was negatively related to the density of road networks in the proximity of study sites. The rapid expansion of the Asian toad in the Toamasina region suggests that this toad is an increasing threat for Madagascar. We propose immediate management actions that could limit the spread of alien toads in this megadiverse country.","container-title":"Biological Invasions","DOI":"10.1007/s10530-019-01920-2","ISSN":"1573-1464","issue":"5","journalAbbreviation":"Biol Invasions","language":"en","page":"1615-1626","source":"Springer Link","title":"Abundance, distribution and spread of the invasive Asian toad &lt;i&gt;Duttaphrynus melanostictus&lt;/i&gt; in eastern Madagascar","URL":"https://doi.org/10.1007/s10530-019-01920-2","volume":"21","author":[{"family":"Licata","given":"Fulvio"},{"family":"Ficetola","given":"Gentile Francesco"},{"family":"Freeman","given":"Karen"},{"family":"Mahasoa","given":"Roderic Heriandrianina"},{"family":"Ravololonarivo","given":"Veronique"},{"family":"Solofo Niaina Fidy","given":"Jean François"},{"family":"Koto-Jean","given":"Aurelien Bertino"},{"family":"Nahavitatsara","given":"Elisah Rasoanomenjanahary"},{"family":"Andreone","given":"Franco"},{"family":"Crottini","given":"Angelica"}],"accessed":{"date-parts":[["2020",5,27]]},"issued":{"date-parts":[["2019",5,1]]}},"label":"page"}],"schema":"https://github.com/citation-style-language/schema/raw/master/csl-citation.json"} </w:instrText>
      </w:r>
      <w:r w:rsidRPr="00DA249F">
        <w:rPr>
          <w:lang w:val="en-GB"/>
        </w:rPr>
        <w:fldChar w:fldCharType="separate"/>
      </w:r>
      <w:r w:rsidR="00144D96" w:rsidRPr="00144D96">
        <w:t>(Licata et al., 2019)</w:t>
      </w:r>
      <w:r w:rsidRPr="00DA249F">
        <w:rPr>
          <w:lang w:val="en-GB"/>
        </w:rPr>
        <w:fldChar w:fldCharType="end"/>
      </w:r>
      <w:r w:rsidRPr="00DA249F">
        <w:rPr>
          <w:lang w:val="en-GB"/>
        </w:rPr>
        <w:t xml:space="preserve">. Disposal of green waste containing small alien vertebrates may also contribute to their spread, as </w:t>
      </w:r>
      <w:r w:rsidR="00301627" w:rsidRPr="00DA249F">
        <w:rPr>
          <w:lang w:val="en-GB"/>
        </w:rPr>
        <w:t xml:space="preserve">was </w:t>
      </w:r>
      <w:r w:rsidRPr="00DA249F">
        <w:rPr>
          <w:lang w:val="en-GB"/>
        </w:rPr>
        <w:t xml:space="preserve">possibly </w:t>
      </w:r>
      <w:r w:rsidR="00301627" w:rsidRPr="00DA249F">
        <w:rPr>
          <w:lang w:val="en-GB"/>
        </w:rPr>
        <w:t>the case</w:t>
      </w:r>
      <w:r w:rsidRPr="00DA249F">
        <w:rPr>
          <w:lang w:val="en-GB"/>
        </w:rPr>
        <w:t xml:space="preserve"> during the rapid expansion of </w:t>
      </w:r>
      <w:r w:rsidR="00B70B2B" w:rsidRPr="00DA249F">
        <w:rPr>
          <w:i/>
          <w:iCs/>
          <w:lang w:val="en-GB"/>
        </w:rPr>
        <w:t>Leiocephalus carinatus armouri</w:t>
      </w:r>
      <w:r w:rsidR="00B70B2B" w:rsidRPr="00DA249F">
        <w:rPr>
          <w:lang w:val="en-GB"/>
        </w:rPr>
        <w:t xml:space="preserve"> </w:t>
      </w:r>
      <w:r w:rsidR="001806DC" w:rsidRPr="00DA249F">
        <w:rPr>
          <w:lang w:val="en-GB"/>
        </w:rPr>
        <w:t>(</w:t>
      </w:r>
      <w:r w:rsidRPr="00DA249F">
        <w:rPr>
          <w:lang w:val="en-GB"/>
        </w:rPr>
        <w:t xml:space="preserve">northern curly-tailed lizard) in Florida </w:t>
      </w:r>
      <w:r w:rsidRPr="00DA249F">
        <w:rPr>
          <w:lang w:val="en-GB"/>
        </w:rPr>
        <w:fldChar w:fldCharType="begin"/>
      </w:r>
      <w:r w:rsidR="00F5121E">
        <w:rPr>
          <w:lang w:val="en-GB"/>
        </w:rPr>
        <w:instrText xml:space="preserve"> ADDIN ZOTERO_ITEM CSL_CITATION {"citationID":"ky0ehGtE","properties":{"formattedCitation":"(H. T. Smith &amp; Engeman, 2003)","plainCitation":"(H. T. Smith &amp; Engeman, 2003)","noteIndex":0},"citationItems":[{"id":25424,"uris":["http://zotero.org/groups/2352922/items/BKJZTSZS"],"itemData":{"id":25424,"type":"article-journal","container-title":"USDA National Wildlife Research Center-Staff Publications","DOI":"https://doi.org/10.1111/emr.12464","page":"218","title":"A review of the range, distribution, and ecology of the invasive northern curly-tailed lizard in Florida","URL":"https://onlinelibrary.wiley.com/doi/abs/10.1111/emr.12464","author":[{"family":"Smith","given":"Henry T."},{"family":"Engeman","given":"Richard M."}],"issued":{"date-parts":[["2003"]]}},"label":"page"}],"schema":"https://github.com/citation-style-language/schema/raw/master/csl-citation.json"} </w:instrText>
      </w:r>
      <w:r w:rsidRPr="00DA249F">
        <w:rPr>
          <w:lang w:val="en-GB"/>
        </w:rPr>
        <w:fldChar w:fldCharType="separate"/>
      </w:r>
      <w:r w:rsidR="00144D96" w:rsidRPr="00144D96">
        <w:t>(H. T. Smith &amp; Engeman, 2003)</w:t>
      </w:r>
      <w:r w:rsidRPr="00DA249F">
        <w:rPr>
          <w:lang w:val="en-GB"/>
        </w:rPr>
        <w:fldChar w:fldCharType="end"/>
      </w:r>
      <w:r w:rsidR="0377FA39" w:rsidRPr="00DA249F">
        <w:rPr>
          <w:lang w:val="en-GB"/>
        </w:rPr>
        <w:t>.</w:t>
      </w:r>
      <w:r w:rsidRPr="00DA249F">
        <w:rPr>
          <w:lang w:val="en-GB"/>
        </w:rPr>
        <w:t xml:space="preserve"> In South Central United States</w:t>
      </w:r>
      <w:r w:rsidR="00A262E9" w:rsidRPr="00DA249F">
        <w:rPr>
          <w:lang w:val="en-GB"/>
        </w:rPr>
        <w:t>,</w:t>
      </w:r>
      <w:r w:rsidRPr="00DA249F">
        <w:rPr>
          <w:lang w:val="en-GB"/>
        </w:rPr>
        <w:t xml:space="preserve"> landfills facilitate the establishment and spread of </w:t>
      </w:r>
      <w:r w:rsidR="007717B2" w:rsidRPr="00DA249F">
        <w:rPr>
          <w:i/>
          <w:lang w:val="en-GB"/>
        </w:rPr>
        <w:t>Paratrechina</w:t>
      </w:r>
      <w:r w:rsidRPr="00DA249F">
        <w:rPr>
          <w:i/>
          <w:iCs/>
          <w:lang w:val="en-GB"/>
        </w:rPr>
        <w:t xml:space="preserve"> fulva</w:t>
      </w:r>
      <w:r w:rsidRPr="00DA249F">
        <w:rPr>
          <w:lang w:val="en-GB"/>
        </w:rPr>
        <w:t xml:space="preserve"> </w:t>
      </w:r>
      <w:r w:rsidR="00D5355A" w:rsidRPr="00DA249F">
        <w:rPr>
          <w:lang w:val="en-GB"/>
        </w:rPr>
        <w:t>(</w:t>
      </w:r>
      <w:r w:rsidR="007E3D58" w:rsidRPr="00DA249F">
        <w:rPr>
          <w:rFonts w:eastAsia="Times New Roman"/>
          <w:color w:val="000000"/>
          <w:szCs w:val="24"/>
          <w:lang w:val="en-GB" w:eastAsia="zh-CN"/>
        </w:rPr>
        <w:t>tawny crazy ant</w:t>
      </w:r>
      <w:r w:rsidR="00B51572" w:rsidRPr="00DA249F">
        <w:rPr>
          <w:lang w:val="en-GB"/>
        </w:rPr>
        <w:t>;</w:t>
      </w:r>
      <w:r w:rsidR="00D5355A" w:rsidRPr="00DA249F">
        <w:rPr>
          <w:lang w:val="en-GB"/>
        </w:rPr>
        <w:t xml:space="preserve"> </w:t>
      </w:r>
      <w:r w:rsidR="470C48E0" w:rsidRPr="00DA249F">
        <w:rPr>
          <w:lang w:val="en-GB"/>
        </w:rPr>
        <w:fldChar w:fldCharType="begin"/>
      </w:r>
      <w:r w:rsidR="00331A79">
        <w:rPr>
          <w:lang w:val="en-GB"/>
        </w:rPr>
        <w:instrText xml:space="preserve"> ADDIN ZOTERO_ITEM CSL_CITATION {"citationID":"DKjDpVSL","properties":{"formattedCitation":"(ISAC, 2016)","plainCitation":"(ISAC, 2016)","dontUpdate":true,"noteIndex":0},"citationItems":[{"id":30852,"uris":["http://zotero.org/groups/2352922/items/5G6LCJ5X"],"itemData":{"id":30852,"type":"report","event-place":"Washington","language":"eng","page":"12","publisher":"Invasive Species Advisory ommittee","publisher-place":"Washington","title":"Invasive species impacts on infrastructure","URL":"https://www.doi.gov/sites/doi.gov/files/uploads/isac_infrastructure_white_paper.pdf","author":[{"literal":"ISAC"}],"issued":{"date-parts":[["2016"]]}},"label":"page"}],"schema":"https://github.com/citation-style-language/schema/raw/master/csl-citation.json"} </w:instrText>
      </w:r>
      <w:r w:rsidR="470C48E0" w:rsidRPr="00DA249F">
        <w:rPr>
          <w:lang w:val="en-GB"/>
        </w:rPr>
        <w:fldChar w:fldCharType="separate"/>
      </w:r>
      <w:r w:rsidR="00C413CB" w:rsidRPr="00DA249F">
        <w:rPr>
          <w:lang w:val="en-GB"/>
        </w:rPr>
        <w:t>ISAC, 2016)</w:t>
      </w:r>
      <w:r w:rsidR="470C48E0" w:rsidRPr="00DA249F">
        <w:rPr>
          <w:lang w:val="en-GB"/>
        </w:rPr>
        <w:fldChar w:fldCharType="end"/>
      </w:r>
      <w:r w:rsidRPr="00DA249F">
        <w:rPr>
          <w:lang w:val="en-GB"/>
        </w:rPr>
        <w:t xml:space="preserve">. </w:t>
      </w:r>
      <w:r w:rsidRPr="00DA249F">
        <w:rPr>
          <w:color w:val="000000" w:themeColor="text1"/>
          <w:lang w:val="en-GB"/>
        </w:rPr>
        <w:t xml:space="preserve">In South America, waste disposal sites </w:t>
      </w:r>
      <w:r w:rsidR="00503698">
        <w:rPr>
          <w:color w:val="000000" w:themeColor="text1"/>
          <w:lang w:val="en-GB"/>
        </w:rPr>
        <w:t>provide</w:t>
      </w:r>
      <w:r w:rsidR="00503698" w:rsidRPr="00DA249F">
        <w:rPr>
          <w:color w:val="000000" w:themeColor="text1"/>
          <w:lang w:val="en-GB"/>
        </w:rPr>
        <w:t xml:space="preserve"> </w:t>
      </w:r>
      <w:r w:rsidRPr="00DA249F">
        <w:rPr>
          <w:color w:val="000000" w:themeColor="text1"/>
          <w:lang w:val="en-GB"/>
        </w:rPr>
        <w:t>food</w:t>
      </w:r>
      <w:r w:rsidR="00B1749C" w:rsidRPr="00DA249F">
        <w:rPr>
          <w:color w:val="000000" w:themeColor="text1"/>
          <w:lang w:val="en-GB"/>
        </w:rPr>
        <w:t xml:space="preserve"> </w:t>
      </w:r>
      <w:r w:rsidRPr="00DA249F">
        <w:rPr>
          <w:color w:val="000000" w:themeColor="text1"/>
          <w:lang w:val="en-GB"/>
        </w:rPr>
        <w:t xml:space="preserve">and hiding sites for </w:t>
      </w:r>
      <w:r w:rsidR="007717B2" w:rsidRPr="00DA249F">
        <w:rPr>
          <w:i/>
          <w:iCs/>
          <w:color w:val="000000" w:themeColor="text1"/>
          <w:lang w:val="en-GB"/>
        </w:rPr>
        <w:t>Lissachatina fulica</w:t>
      </w:r>
      <w:r w:rsidR="007717B2" w:rsidRPr="00DA249F">
        <w:rPr>
          <w:color w:val="000000" w:themeColor="text1"/>
          <w:lang w:val="en-GB"/>
        </w:rPr>
        <w:t xml:space="preserve"> (</w:t>
      </w:r>
      <w:r w:rsidRPr="00DA249F">
        <w:rPr>
          <w:color w:val="000000" w:themeColor="text1"/>
          <w:lang w:val="en-GB"/>
        </w:rPr>
        <w:t xml:space="preserve">giant African </w:t>
      </w:r>
      <w:r w:rsidR="007717B2" w:rsidRPr="00DA249F">
        <w:rPr>
          <w:color w:val="000000" w:themeColor="text1"/>
          <w:lang w:val="en-GB"/>
        </w:rPr>
        <w:t xml:space="preserve">land </w:t>
      </w:r>
      <w:r w:rsidRPr="00DA249F">
        <w:rPr>
          <w:color w:val="000000" w:themeColor="text1"/>
          <w:lang w:val="en-GB"/>
        </w:rPr>
        <w:t>snail</w:t>
      </w:r>
      <w:r w:rsidR="00C61EF7" w:rsidRPr="00DA249F">
        <w:rPr>
          <w:color w:val="000000" w:themeColor="text1"/>
          <w:lang w:val="en-GB"/>
        </w:rPr>
        <w:t>;</w:t>
      </w:r>
      <w:r w:rsidRPr="00DA249F">
        <w:rPr>
          <w:color w:val="000000" w:themeColor="text1"/>
          <w:lang w:val="en-GB"/>
        </w:rPr>
        <w:t xml:space="preserve"> </w:t>
      </w:r>
      <w:r w:rsidR="470C48E0" w:rsidRPr="00DA249F">
        <w:rPr>
          <w:color w:val="000000" w:themeColor="text1"/>
          <w:lang w:val="en-GB"/>
        </w:rPr>
        <w:fldChar w:fldCharType="begin"/>
      </w:r>
      <w:r w:rsidR="00331A79">
        <w:rPr>
          <w:color w:val="000000" w:themeColor="text1"/>
          <w:lang w:val="en-GB"/>
        </w:rPr>
        <w:instrText xml:space="preserve"> ADDIN ZOTERO_ITEM CSL_CITATION {"citationID":"c6RAwGID","properties":{"formattedCitation":"(Gregoric et al., 2013; Kaique &amp; Nara, 2017; Thiengo et al., 2007)","plainCitation":"(Gregoric et al., 2013; Kaique &amp; Nara, 2017; Thiengo et al., 2007)","dontUpdate":true,"noteIndex":0},"citationItems":[{"id":26172,"uris":["http://zotero.org/groups/2352922/items/VWYM4I56"],"itemData":{"id":26172,"type":"article-journal","abstract":"The first detection of Achatina fulica Bowdich, 1822 in Argentina was in 2010 at the locality of Puerto Iguazú in the Province of Misiones. In this work, we report the first record of this invasive gastropod at the Province of Corrientes, in its capital Corrientes, thus extending the geographic range in Argentina in more than 600 km to southwest. This new record for the species matches within the distribution area predicted by bioclimatic models. These identified the South American areas susceptible to the invasion of A. fulica.","container-title":"Amici Molluscarum","issue":"1","language":"es","page":"17-21","source":"Zotero","title":"Expansión del rango de distribución de &lt;i&gt;Achatina fulica&lt;/i&gt; Bowdich, 1822 (Gastropoda) en la Argentina y su concordancia con modelos predictivos","URL":"https://www.semanticscholar.org/paper/Expansi%C3%B3n-del-rango-de-distribuci%C3%B3n-de-Achatina-en-Gregoric-Beltramino/1adbc2d6ee8d8d9f519b025c57a3e5c4ea74a955","volume":"21","author":[{"family":"Gregoric","given":"Diego E Gutiérrez"},{"family":"Beltramino","given":"Ariel A"},{"family":"Vogler","given":"Roberto E"}],"issued":{"date-parts":[["2013"]]}},"label":"page"},{"id":26615,"uris":["http://zotero.org/groups/2352922/items/7Z8BQI7G"],"itemData":{"id":26615,"type":"article-journal","container-title":"Natureza on line","ISSN":"1806-7409","issue":"1","page":"28-32","title":"Occurrence of &lt;i&gt;Achatina fulica&lt;/i&gt; Bowdich, 1822 (Mollusca, Gas-tropoda) and its correlation with vegetation and garbage found in São Mateus, Espírito Santo, Brazil","volume":"15","author":[{"family":"Kaique","given":"Livia Pires Martins"},{"family":"Nara","given":"Luana Barbosa Carvalho"}],"issued":{"date-parts":[["2017"]]}},"label":"page"},{"id":10980,"uris":["http://zotero.org/groups/2352922/items/W5JAI7CY"],"itemData":{"id":10980,"type":"article-journal","container-title":"Biological Invasions","DOI":"10.1007/s10530-006-9069-6","ISSN":"1387-3547, 1573-1464","issue":"6","journalAbbreviation":"Biol Invasions","language":"en","page":"693-702","source":"DOI.org (Crossref)","title":"Rapid spread of an invasive snail in South America: the giant African snail, &lt;i&gt;Achatina fulica&lt;/i&gt;, in Brasil","title-short":"Rapid spread of an invasive snail in South America","URL":"http://link.springer.com/10.1007/s10530-006-9069-6","volume":"9","author":[{"family":"Thiengo","given":"Silvana C."},{"family":"Faraco","given":"Fábio André"},{"family":"Salgado","given":"Norma C."},{"family":"Cowie","given":"Robert H."},{"family":"Fernandez","given":"Monica A."}],"accessed":{"date-parts":[["2020",7,17]]},"issued":{"date-parts":[["2007",8,8]]}},"label":"page"}],"schema":"https://github.com/citation-style-language/schema/raw/master/csl-citation.json"} </w:instrText>
      </w:r>
      <w:r w:rsidR="470C48E0" w:rsidRPr="00DA249F">
        <w:rPr>
          <w:color w:val="000000" w:themeColor="text1"/>
          <w:lang w:val="en-GB"/>
        </w:rPr>
        <w:fldChar w:fldCharType="separate"/>
      </w:r>
      <w:r w:rsidR="00C413CB" w:rsidRPr="00DA249F">
        <w:rPr>
          <w:lang w:val="en-GB"/>
        </w:rPr>
        <w:t>Gregoric et al., 2013; Kaique &amp; Nara, 2017; Thiengo et al., 2007)</w:t>
      </w:r>
      <w:r w:rsidR="470C48E0" w:rsidRPr="00DA249F">
        <w:rPr>
          <w:color w:val="000000" w:themeColor="text1"/>
          <w:lang w:val="en-GB"/>
        </w:rPr>
        <w:fldChar w:fldCharType="end"/>
      </w:r>
      <w:r w:rsidRPr="00DA249F">
        <w:rPr>
          <w:color w:val="000000" w:themeColor="text1"/>
          <w:lang w:val="en-GB"/>
        </w:rPr>
        <w:t>. Alien species account for 30</w:t>
      </w:r>
      <w:r w:rsidR="00C26EE6" w:rsidRPr="00DA249F">
        <w:rPr>
          <w:lang w:val="en-GB"/>
        </w:rPr>
        <w:t xml:space="preserve"> </w:t>
      </w:r>
      <w:r w:rsidR="004C77CD" w:rsidRPr="00DA249F">
        <w:rPr>
          <w:lang w:val="en-GB"/>
        </w:rPr>
        <w:t>per cent</w:t>
      </w:r>
      <w:r w:rsidRPr="00DA249F">
        <w:rPr>
          <w:color w:val="000000" w:themeColor="text1"/>
          <w:lang w:val="en-GB"/>
        </w:rPr>
        <w:t xml:space="preserve"> of the richness and abundance of macro-snails in landfills in the United Kingdom </w:t>
      </w:r>
      <w:r w:rsidR="470C48E0" w:rsidRPr="00DA249F">
        <w:rPr>
          <w:color w:val="000000" w:themeColor="text1"/>
          <w:lang w:val="en-GB"/>
        </w:rPr>
        <w:fldChar w:fldCharType="begin"/>
      </w:r>
      <w:r w:rsidR="00331A79">
        <w:rPr>
          <w:color w:val="000000" w:themeColor="text1"/>
          <w:lang w:val="en-GB"/>
        </w:rPr>
        <w:instrText xml:space="preserve"> ADDIN ZOTERO_ITEM CSL_CITATION {"citationID":"Q2lRMyto","properties":{"formattedCitation":"(Rahman et al., 2016)","plainCitation":"(Rahman et al., 2016)","noteIndex":0},"citationItems":[{"id":26226,"uris":["http://zotero.org/groups/2352922/items/MI979F9I"],"itemData":{"id":26226,"type":"article-journal","abstract":"Though restored landfill sites provide habitat for a number of taxa, their potential for land snails remains unexplored. In this study, large-sized land snails (&gt;5 mm) were surveyed using transect sampling at nine restored landfill sites and nine corresponding nature sites in the East Midlands region of the UK, during 2008. The effect of restoration was investigated by examining the composition, richness and diversity (Shannon index) of land snail species in relation to habitat and landscape structure. Thirteen macro-snail species were recorded in total, and rarefied species richness and diversity at restored landfill sites was not found to be statistically different from that of reference sites. One third of the snail species at restored landfill sites accounting for 30% of their total abundance were non-native species. Soil electrical conductivity was the strongest predictor of richness and diversity of land snails. Road density was found to be positively related to snail species diversity. Given the high percentage of introduced species at study sites, further research is needed to elucidate management implications of restored landfill sites and dynamics of native vs. non-native species.","container-title":"Zoology and Ecology","DOI":"10.1080/21658005.2016.1216102","ISSN":"2165-8005","issue":"4","note":"publisher: Taylor &amp; Francis\n_eprint: https://doi.org/10.1080/21658005.2016.1216102","page":"275-281","source":"Taylor and Francis+NEJM","title":"Effect of soil conditions and landscape factors on macro-snail communities in newly created grasslands of restored landfill sites in the UK","URL":"https://doi.org/10.1080/21658005.2016.1216102","volume":"26","author":[{"family":"Rahman","given":"Md Lutfor"},{"family":"Tarrant","given":"Sam"},{"family":"Ollerton","given":"Jeff"},{"family":"McCollin","given":"Duncan"}],"accessed":{"date-parts":[["2020",5,25]]},"issued":{"date-parts":[["2016",10,1]]}},"label":"page"}],"schema":"https://github.com/citation-style-language/schema/raw/master/csl-citation.json"} </w:instrText>
      </w:r>
      <w:r w:rsidR="470C48E0" w:rsidRPr="00DA249F">
        <w:rPr>
          <w:color w:val="000000" w:themeColor="text1"/>
          <w:lang w:val="en-GB"/>
        </w:rPr>
        <w:fldChar w:fldCharType="separate"/>
      </w:r>
      <w:r w:rsidR="00144D96" w:rsidRPr="00144D96">
        <w:t>(Rahman et al., 2016)</w:t>
      </w:r>
      <w:r w:rsidR="470C48E0" w:rsidRPr="00DA249F">
        <w:rPr>
          <w:color w:val="000000" w:themeColor="text1"/>
          <w:lang w:val="en-GB"/>
        </w:rPr>
        <w:fldChar w:fldCharType="end"/>
      </w:r>
      <w:r w:rsidRPr="00DA249F">
        <w:rPr>
          <w:color w:val="000000" w:themeColor="text1"/>
          <w:lang w:val="en-GB"/>
        </w:rPr>
        <w:t xml:space="preserve">. </w:t>
      </w:r>
      <w:r w:rsidRPr="00DA249F">
        <w:rPr>
          <w:lang w:val="en-GB"/>
        </w:rPr>
        <w:t xml:space="preserve">The accumulation of water in solid waste disposed in urban areas favours the proliferation of alien mosquitos of the genus </w:t>
      </w:r>
      <w:r w:rsidRPr="00DA249F">
        <w:rPr>
          <w:i/>
          <w:iCs/>
          <w:lang w:val="en-GB"/>
        </w:rPr>
        <w:t>Aedes</w:t>
      </w:r>
      <w:r w:rsidR="00A57638">
        <w:rPr>
          <w:lang w:val="en-GB"/>
        </w:rPr>
        <w:t>, which are</w:t>
      </w:r>
      <w:r w:rsidRPr="00DA249F">
        <w:rPr>
          <w:lang w:val="en-GB"/>
        </w:rPr>
        <w:t xml:space="preserve"> </w:t>
      </w:r>
      <w:r w:rsidR="00F229A9" w:rsidRPr="00DA249F">
        <w:rPr>
          <w:lang w:val="en-GB"/>
        </w:rPr>
        <w:t xml:space="preserve">vectors of several diseases that affect </w:t>
      </w:r>
      <w:r w:rsidR="00F229A9" w:rsidRPr="00DA249F">
        <w:rPr>
          <w:rFonts w:eastAsia="Times New Roman"/>
          <w:lang w:val="en-GB"/>
        </w:rPr>
        <w:t xml:space="preserve">humans </w:t>
      </w:r>
      <w:r w:rsidR="25EBA09E" w:rsidRPr="00DA249F">
        <w:rPr>
          <w:rFonts w:eastAsia="Times New Roman"/>
          <w:lang w:val="en-GB"/>
        </w:rPr>
        <w:t>(e.g.</w:t>
      </w:r>
      <w:r w:rsidR="003B331F" w:rsidRPr="00DA249F">
        <w:rPr>
          <w:rFonts w:eastAsia="Times New Roman"/>
          <w:lang w:val="en-GB"/>
        </w:rPr>
        <w:t>,</w:t>
      </w:r>
      <w:r w:rsidR="0B1B1371" w:rsidRPr="00DA249F">
        <w:rPr>
          <w:rFonts w:eastAsia="Times New Roman"/>
          <w:lang w:val="en-GB"/>
        </w:rPr>
        <w:t xml:space="preserve"> </w:t>
      </w:r>
      <w:r w:rsidR="00C33DF8" w:rsidRPr="00DA249F">
        <w:rPr>
          <w:rFonts w:eastAsia="Times New Roman"/>
          <w:i/>
          <w:iCs/>
          <w:lang w:val="en-GB"/>
        </w:rPr>
        <w:t>Aedes aegypti</w:t>
      </w:r>
      <w:r w:rsidR="00D5355A" w:rsidRPr="00DA249F">
        <w:rPr>
          <w:rFonts w:eastAsia="Times New Roman"/>
          <w:i/>
          <w:iCs/>
          <w:lang w:val="en-GB"/>
        </w:rPr>
        <w:t xml:space="preserve"> </w:t>
      </w:r>
      <w:r w:rsidR="00D5355A" w:rsidRPr="00DA249F">
        <w:rPr>
          <w:rFonts w:eastAsia="Times New Roman"/>
          <w:iCs/>
          <w:lang w:val="en-GB"/>
        </w:rPr>
        <w:t>(</w:t>
      </w:r>
      <w:r w:rsidR="0B1B1371" w:rsidRPr="00DA249F">
        <w:rPr>
          <w:rFonts w:eastAsia="Times New Roman"/>
          <w:lang w:val="en-GB"/>
        </w:rPr>
        <w:t>yellow</w:t>
      </w:r>
      <w:r w:rsidR="0B1B1371" w:rsidRPr="00DA249F">
        <w:rPr>
          <w:rFonts w:eastAsia="Times New Roman"/>
          <w:color w:val="202124"/>
          <w:szCs w:val="24"/>
          <w:lang w:val="en-GB"/>
        </w:rPr>
        <w:t xml:space="preserve"> fever mosquito</w:t>
      </w:r>
      <w:r w:rsidR="00D5355A" w:rsidRPr="00DA249F">
        <w:rPr>
          <w:rFonts w:eastAsia="Times New Roman"/>
          <w:color w:val="202124"/>
          <w:szCs w:val="24"/>
          <w:lang w:val="en-GB"/>
        </w:rPr>
        <w:t>)</w:t>
      </w:r>
      <w:r w:rsidR="00BF2930">
        <w:rPr>
          <w:rFonts w:eastAsia="Times New Roman"/>
          <w:color w:val="202124"/>
          <w:szCs w:val="24"/>
          <w:lang w:val="en-GB"/>
        </w:rPr>
        <w:t>;</w:t>
      </w:r>
      <w:r w:rsidR="25EBA09E" w:rsidRPr="00DA249F">
        <w:rPr>
          <w:lang w:val="en-GB"/>
        </w:rPr>
        <w:t xml:space="preserve"> </w:t>
      </w:r>
      <w:r w:rsidR="470C48E0" w:rsidRPr="00DA249F">
        <w:rPr>
          <w:lang w:val="en-GB"/>
        </w:rPr>
        <w:fldChar w:fldCharType="begin"/>
      </w:r>
      <w:r w:rsidR="00331A79">
        <w:rPr>
          <w:lang w:val="en-GB"/>
        </w:rPr>
        <w:instrText xml:space="preserve"> ADDIN ZOTERO_ITEM CSL_CITATION {"citationID":"MoIxMwen","properties":{"formattedCitation":"(Baldacchino et al., 2015)","plainCitation":"(Baldacchino et al., 2015)","dontUpdate":true,"noteIndex":0},"citationItems":[{"id":25492,"uris":["http://zotero.org/groups/2352922/items/J9ZEVM44"],"itemData":{"id":25492,"type":"article-journal","container-title":"Pest management science","DOI":"https://doi.org/10.1002/ps.4044","issue":"11","note":"ISBN: 1526-498X\npublisher: Wiley Online Library","page":"1471-1485","title":"Control methods against invasive &lt;i&gt;Aedes&lt;/i&gt; mosquitoes in Europe: a review","volume":"71","author":[{"family":"Baldacchino","given":"Frédéric"},{"family":"Caputo","given":"Beniamino"},{"family":"Chandre","given":"Fabrice"},{"family":"Drago","given":"Andrea"},{"family":"Torre","given":"Alessandra","non-dropping-particle":"della"},{"family":"Montarsi","given":"Fabrizio"},{"family":"Rizzoli","given":"Annapaola"}],"issued":{"date-parts":[["2015"]]}},"label":"page"}],"schema":"https://github.com/citation-style-language/schema/raw/master/csl-citation.json"} </w:instrText>
      </w:r>
      <w:r w:rsidR="470C48E0" w:rsidRPr="00DA249F">
        <w:rPr>
          <w:lang w:val="en-GB"/>
        </w:rPr>
        <w:fldChar w:fldCharType="separate"/>
      </w:r>
      <w:r w:rsidR="00C413CB" w:rsidRPr="00DA249F">
        <w:rPr>
          <w:lang w:val="en-GB"/>
        </w:rPr>
        <w:t>Baldacchino et al., 2015)</w:t>
      </w:r>
      <w:r w:rsidR="470C48E0" w:rsidRPr="00DA249F">
        <w:rPr>
          <w:lang w:val="en-GB"/>
        </w:rPr>
        <w:fldChar w:fldCharType="end"/>
      </w:r>
      <w:r w:rsidRPr="00DA249F">
        <w:rPr>
          <w:lang w:val="en-GB"/>
        </w:rPr>
        <w:t>.</w:t>
      </w:r>
    </w:p>
    <w:p w14:paraId="42B58BBB" w14:textId="77777777" w:rsidR="008C1BF7" w:rsidRPr="00DA249F" w:rsidRDefault="7BB5C14F" w:rsidP="0090109B">
      <w:pPr>
        <w:rPr>
          <w:lang w:val="en-GB"/>
        </w:rPr>
      </w:pPr>
      <w:r w:rsidRPr="00DA249F">
        <w:rPr>
          <w:lang w:val="en-GB"/>
        </w:rPr>
        <w:t xml:space="preserve">In summary, the disposal of solid waste </w:t>
      </w:r>
      <w:r w:rsidR="521BACA6" w:rsidRPr="00DA249F">
        <w:rPr>
          <w:lang w:val="en-GB"/>
        </w:rPr>
        <w:t>has</w:t>
      </w:r>
      <w:r w:rsidRPr="00DA249F">
        <w:rPr>
          <w:lang w:val="en-GB"/>
        </w:rPr>
        <w:t xml:space="preserve"> contributed to the introduction, establishment and spread of a wide variety of alien </w:t>
      </w:r>
      <w:r w:rsidR="00A6452F" w:rsidRPr="00DA249F">
        <w:rPr>
          <w:lang w:val="en-GB"/>
        </w:rPr>
        <w:t>plant</w:t>
      </w:r>
      <w:r w:rsidRPr="00DA249F">
        <w:rPr>
          <w:lang w:val="en-GB"/>
        </w:rPr>
        <w:t xml:space="preserve"> and </w:t>
      </w:r>
      <w:r w:rsidR="00A6452F" w:rsidRPr="00DA249F">
        <w:rPr>
          <w:lang w:val="en-GB"/>
        </w:rPr>
        <w:t xml:space="preserve">animal </w:t>
      </w:r>
      <w:r w:rsidRPr="00DA249F">
        <w:rPr>
          <w:lang w:val="en-GB"/>
        </w:rPr>
        <w:t xml:space="preserve">species </w:t>
      </w:r>
      <w:r w:rsidR="00A6452F" w:rsidRPr="00DA249F">
        <w:rPr>
          <w:lang w:val="en-GB"/>
        </w:rPr>
        <w:t xml:space="preserve">in </w:t>
      </w:r>
      <w:r w:rsidR="19089B65" w:rsidRPr="00DA249F">
        <w:rPr>
          <w:lang w:val="en-GB"/>
        </w:rPr>
        <w:t>terrestrial</w:t>
      </w:r>
      <w:r w:rsidR="00A6452F" w:rsidRPr="00DA249F">
        <w:rPr>
          <w:lang w:val="en-GB"/>
        </w:rPr>
        <w:t xml:space="preserve"> and </w:t>
      </w:r>
      <w:r w:rsidR="00F07EC2" w:rsidRPr="00DA249F">
        <w:rPr>
          <w:lang w:val="en-GB"/>
        </w:rPr>
        <w:t xml:space="preserve">aquatic habitats </w:t>
      </w:r>
      <w:r w:rsidRPr="00DA249F">
        <w:rPr>
          <w:lang w:val="en-GB"/>
        </w:rPr>
        <w:t>across continents.</w:t>
      </w:r>
      <w:r w:rsidR="00B1749C" w:rsidRPr="00DA249F">
        <w:rPr>
          <w:lang w:val="en-GB"/>
        </w:rPr>
        <w:t xml:space="preserve"> </w:t>
      </w:r>
      <w:r w:rsidRPr="00DA249F">
        <w:rPr>
          <w:lang w:val="en-GB"/>
        </w:rPr>
        <w:t>Most of the studies took place in Europe and North America</w:t>
      </w:r>
      <w:r w:rsidR="004207A5" w:rsidRPr="00DA249F">
        <w:rPr>
          <w:lang w:val="en-GB"/>
        </w:rPr>
        <w:t>. T</w:t>
      </w:r>
      <w:r w:rsidRPr="00DA249F">
        <w:rPr>
          <w:lang w:val="en-GB"/>
        </w:rPr>
        <w:t xml:space="preserve">here is a lack of studies in the East Asia and Pacific regions, where the highest amount of solid wastes are produced </w:t>
      </w:r>
      <w:r w:rsidR="34731A0B" w:rsidRPr="00DA249F">
        <w:rPr>
          <w:lang w:val="en-GB"/>
        </w:rPr>
        <w:fldChar w:fldCharType="begin"/>
      </w:r>
      <w:r w:rsidR="00331A79">
        <w:rPr>
          <w:lang w:val="en-GB"/>
        </w:rPr>
        <w:instrText xml:space="preserve"> ADDIN ZOTERO_ITEM CSL_CITATION {"citationID":"uHvzMXv4","properties":{"formattedCitation":"(Kaza et al., 2018)","plainCitation":"(Kaza et al., 2018)","noteIndex":0},"citationItems":[{"id":26606,"uris":["http://zotero.org/groups/2352922/items/WSIR7CE9"],"itemData":{"id":26606,"type":"book","ISBN":"978-1-4648-1329-0","publisher":"The World Bank","title":"What a waste 2.0: a global snapshot of solid waste management to 2050","author":[{"family":"Kaza","given":"Silpa"},{"family":"Yao","given":"Lisa"},{"family":"Bhada-Tata","given":"Perinaz"},{"family":"Van Woerden","given":"Frank"}],"issued":{"date-parts":[["2018"]]}},"label":"page"}],"schema":"https://github.com/citation-style-language/schema/raw/master/csl-citation.json"} </w:instrText>
      </w:r>
      <w:r w:rsidR="34731A0B" w:rsidRPr="00DA249F">
        <w:rPr>
          <w:lang w:val="en-GB"/>
        </w:rPr>
        <w:fldChar w:fldCharType="separate"/>
      </w:r>
      <w:r w:rsidR="00144D96" w:rsidRPr="00144D96">
        <w:t>(Kaza et al., 2018)</w:t>
      </w:r>
      <w:r w:rsidR="34731A0B" w:rsidRPr="00DA249F">
        <w:rPr>
          <w:lang w:val="en-GB"/>
        </w:rPr>
        <w:fldChar w:fldCharType="end"/>
      </w:r>
      <w:r w:rsidR="64477E69" w:rsidRPr="00DA249F">
        <w:rPr>
          <w:lang w:val="en-GB"/>
        </w:rPr>
        <w:t>.</w:t>
      </w:r>
      <w:bookmarkEnd w:id="182"/>
    </w:p>
    <w:p w14:paraId="49BE6524" w14:textId="77777777" w:rsidR="008C1BF7" w:rsidRPr="00DA249F" w:rsidRDefault="64B87B05" w:rsidP="00375B42">
      <w:pPr>
        <w:pStyle w:val="Heading2"/>
        <w:rPr>
          <w:lang w:val="en-GB"/>
        </w:rPr>
      </w:pPr>
      <w:bookmarkStart w:id="183" w:name="_Toc44317835"/>
      <w:r w:rsidRPr="5575EBFC">
        <w:rPr>
          <w:lang w:val="en-GB"/>
        </w:rPr>
        <w:t xml:space="preserve"> </w:t>
      </w:r>
      <w:bookmarkStart w:id="184" w:name="_Toc146898471"/>
      <w:r w:rsidR="3D04D128" w:rsidRPr="5575EBFC">
        <w:rPr>
          <w:lang w:val="en-GB"/>
        </w:rPr>
        <w:t xml:space="preserve">Climate </w:t>
      </w:r>
      <w:r w:rsidR="274D2615" w:rsidRPr="5575EBFC">
        <w:rPr>
          <w:lang w:val="en-GB"/>
        </w:rPr>
        <w:t>c</w:t>
      </w:r>
      <w:r w:rsidR="3D04D128" w:rsidRPr="5575EBFC">
        <w:rPr>
          <w:lang w:val="en-GB"/>
        </w:rPr>
        <w:t>hange</w:t>
      </w:r>
      <w:bookmarkEnd w:id="183"/>
      <w:bookmarkEnd w:id="184"/>
    </w:p>
    <w:p w14:paraId="283B0413" w14:textId="261E44AC" w:rsidR="008C1BF7" w:rsidRPr="00DA249F" w:rsidRDefault="15F1BEE9" w:rsidP="0090109B">
      <w:pPr>
        <w:rPr>
          <w:lang w:val="en-GB"/>
        </w:rPr>
      </w:pPr>
      <w:r w:rsidRPr="728F2DAF">
        <w:rPr>
          <w:lang w:val="en-GB"/>
        </w:rPr>
        <w:t xml:space="preserve">Anthropogenic climate change has emerged as a dominant threat to </w:t>
      </w:r>
      <w:r w:rsidR="2C9B2D7A" w:rsidRPr="728F2DAF">
        <w:rPr>
          <w:lang w:val="en-GB"/>
        </w:rPr>
        <w:t xml:space="preserve">Earth’s biodiversity and </w:t>
      </w:r>
      <w:r w:rsidRPr="728F2DAF">
        <w:rPr>
          <w:lang w:val="en-GB"/>
        </w:rPr>
        <w:t>ecosystems over the last few decades</w:t>
      </w:r>
      <w:r w:rsidR="63CAFF38" w:rsidRPr="728F2DAF">
        <w:rPr>
          <w:lang w:val="en-GB"/>
        </w:rPr>
        <w:t>,</w:t>
      </w:r>
      <w:r w:rsidRPr="728F2DAF">
        <w:rPr>
          <w:lang w:val="en-GB"/>
        </w:rPr>
        <w:t xml:space="preserve"> altering species</w:t>
      </w:r>
      <w:r w:rsidR="4DA26037" w:rsidRPr="728F2DAF">
        <w:rPr>
          <w:lang w:val="en-GB"/>
        </w:rPr>
        <w:t>’</w:t>
      </w:r>
      <w:r w:rsidRPr="728F2DAF">
        <w:rPr>
          <w:lang w:val="en-GB"/>
        </w:rPr>
        <w:t xml:space="preserve"> ranges and abundances, reshuffling biological communities</w:t>
      </w:r>
      <w:r w:rsidR="564AAAB7" w:rsidRPr="728F2DAF">
        <w:rPr>
          <w:lang w:val="en-GB"/>
        </w:rPr>
        <w:t>,</w:t>
      </w:r>
      <w:r w:rsidRPr="728F2DAF">
        <w:rPr>
          <w:lang w:val="en-GB"/>
        </w:rPr>
        <w:t xml:space="preserve"> restructuring food webs, </w:t>
      </w:r>
      <w:r w:rsidR="157EAA1E" w:rsidRPr="728F2DAF">
        <w:rPr>
          <w:lang w:val="en-GB"/>
        </w:rPr>
        <w:t>and</w:t>
      </w:r>
      <w:r w:rsidR="5D0F8716" w:rsidRPr="728F2DAF">
        <w:rPr>
          <w:lang w:val="en-GB"/>
        </w:rPr>
        <w:t xml:space="preserve"> </w:t>
      </w:r>
      <w:r w:rsidRPr="728F2DAF">
        <w:rPr>
          <w:lang w:val="en-GB"/>
        </w:rPr>
        <w:t>altering ecosystem functions</w:t>
      </w:r>
      <w:r w:rsidR="2C9B2D7A" w:rsidRPr="728F2DAF">
        <w:rPr>
          <w:lang w:val="en-GB"/>
        </w:rPr>
        <w:t xml:space="preserve"> </w:t>
      </w:r>
      <w:r w:rsidR="57D75AA8" w:rsidRPr="728F2DAF">
        <w:rPr>
          <w:lang w:val="en-GB"/>
        </w:rPr>
        <w:fldChar w:fldCharType="begin"/>
      </w:r>
      <w:r w:rsidR="00F5121E">
        <w:rPr>
          <w:lang w:val="en-GB"/>
        </w:rPr>
        <w:instrText xml:space="preserve"> ADDIN ZOTERO_ITEM CSL_CITATION {"citationID":"Z7Pjo2k3","properties":{"formattedCitation":"(IPBES, 2019; IPCC, 2022)","plainCitation":"(IPBES, 2019; IPCC, 2022)","noteIndex":0},"citationItems":[{"id":53933,"uris":["http://zotero.org/groups/2352922/items/JYFISR8Z","http://zotero.org/groups/2352922/items/ZACZGHZL"],"itemData":{"id":53933,"type":"report","abstract":"IPBES is to perform regular and timely assessments of knowledge on biodiversity and ecosystem services and their interlinkages at the global level. Also addressing an invitation by the Conference of the Parties of the Convention on Biological Diversity (CBD) to prepare a global assessment of biodiversity and ecosystem services building, inter alia, on its own and other relevant regional, subregional and thematic assessments, as well as on national reports. The overall scope of the assessment is to assess the status and trends with regard to biodiversity and ecosystem services, the impact of biodiversity and ecosystem services on human well-being and the effectiveness of responses, including the Strategic Plan and its Aichi Biodiversity Targets. It is anticipated that this deliverable will contribute to the process for the evaluation and renewal of the Strategic Plan for Biodiversity and its Aichi Biodiversity Targets. The IPBES Global Assessment on Biodiversity and Ecosystem Services is composed of 1) a Summary for Policymakers (SPM), approved by the IPBES Plenary at its 7th session in May 2019 in Paris, France (IPBES-7); and 2) a set of six Chapters, accepted by the IPBES Plenary.","language":"en","license":"Creative Commons Attribution 4.0 International, Open Access","note":"Version Number 1\nDOI: 10.5281/ZENODO.3831673","publisher":"Secretariat of the Intergovernmental Science-Policy Platform on Biodiversity and Ecosystem Services","source":"DOI.org (Datacite)","title":"Global assessment report on biodiversity and ecosystem services of the Intergovernmental Science-Policy Platform on Biodiversity and Ecosystem Services","URL":"https://zenodo.org/record/3831673","author":[{"literal":"IPBES"}],"contributor":[{"family":"Brondizio","given":"Eduardo"},{"family":"Diaz","given":"Sandra"},{"family":"Settele","given":"Josef"},{"family":"Ngo","given":"Hien T."}],"accessed":{"date-parts":[["2023",1,5]]},"issued":{"date-parts":[["2019"]]}}},{"id":53775,"uris":["http://zotero.org/groups/2352922/items/L77A55BA"],"itemData":{"id":53775,"type":"report","event-place":"Cambridge University Press, Cambridge, UK and New York, NY, USA","genre":"Contribution of Working Group II to the Sixth Assessment Report of the Intergovernmental Panel on Climate Change","page":"3056","publisher":"Cambridge University Press","publisher-place":"Cambridge University Press, Cambridge, UK and New York, NY, USA","title":"Climate Change 2022: Impacts, Adaptation and Vulnerability","URL":"10.1017/9781009325844","author":[{"literal":"IPCC"}],"collection-editor":[{"family":"Pörtner","given":"H.-O."},{"family":"Roberts","given":"D.C."},{"family":"Tignor","given":"M."},{"family":"Poloczanska","given":"E.S."},{"family":"Mintenbeck","given":"K."},{"family":"Alegría","given":"A."},{"family":"Craig","given":"M."},{"family":"Langsdorf","given":"S."},{"family":"Löschke","given":"S."},{"family":"Möller","given":"V."},{"family":"Okem","given":"A."},{"family":"Rama","given":"B."}],"issued":{"date-parts":[["2022"]]}}}],"schema":"https://github.com/citation-style-language/schema/raw/master/csl-citation.json"} </w:instrText>
      </w:r>
      <w:r w:rsidR="57D75AA8" w:rsidRPr="728F2DAF">
        <w:rPr>
          <w:lang w:val="en-GB"/>
        </w:rPr>
        <w:fldChar w:fldCharType="separate"/>
      </w:r>
      <w:r w:rsidR="62ED3ECB">
        <w:t>(IPBES, 2019; IPCC, 2022)</w:t>
      </w:r>
      <w:r w:rsidR="57D75AA8" w:rsidRPr="728F2DAF">
        <w:rPr>
          <w:lang w:val="en-GB"/>
        </w:rPr>
        <w:fldChar w:fldCharType="end"/>
      </w:r>
      <w:r w:rsidRPr="728F2DAF">
        <w:rPr>
          <w:lang w:val="en-GB"/>
        </w:rPr>
        <w:t>.</w:t>
      </w:r>
      <w:r w:rsidR="31625CBB" w:rsidRPr="728F2DAF">
        <w:rPr>
          <w:lang w:val="en-GB"/>
        </w:rPr>
        <w:t xml:space="preserve"> </w:t>
      </w:r>
      <w:r w:rsidR="744228A5" w:rsidRPr="728F2DAF">
        <w:rPr>
          <w:lang w:val="en-GB"/>
        </w:rPr>
        <w:t>A</w:t>
      </w:r>
      <w:r w:rsidR="31625CBB" w:rsidRPr="728F2DAF">
        <w:rPr>
          <w:lang w:val="en-GB"/>
        </w:rPr>
        <w:t xml:space="preserve">lterations in global temperature and precipitation regimes </w:t>
      </w:r>
      <w:r w:rsidR="744228A5" w:rsidRPr="728F2DAF">
        <w:rPr>
          <w:lang w:val="en-GB"/>
        </w:rPr>
        <w:t xml:space="preserve">are predicted to </w:t>
      </w:r>
      <w:r w:rsidR="3ECC0076" w:rsidRPr="728F2DAF">
        <w:rPr>
          <w:lang w:val="en-GB"/>
        </w:rPr>
        <w:t>facilitate</w:t>
      </w:r>
      <w:r w:rsidR="31625CBB" w:rsidRPr="728F2DAF">
        <w:rPr>
          <w:lang w:val="en-GB"/>
        </w:rPr>
        <w:t xml:space="preserve"> biological invasions by </w:t>
      </w:r>
      <w:r w:rsidR="2A0F45CB" w:rsidRPr="728F2DAF">
        <w:rPr>
          <w:lang w:val="en-GB"/>
        </w:rPr>
        <w:t>increasing</w:t>
      </w:r>
      <w:r w:rsidR="31625CBB" w:rsidRPr="728F2DAF">
        <w:rPr>
          <w:lang w:val="en-GB"/>
        </w:rPr>
        <w:t xml:space="preserve"> the likelihood of introduction</w:t>
      </w:r>
      <w:r w:rsidR="2A0F45CB" w:rsidRPr="728F2DAF">
        <w:rPr>
          <w:lang w:val="en-GB"/>
        </w:rPr>
        <w:t xml:space="preserve"> and</w:t>
      </w:r>
      <w:r w:rsidR="31625CBB" w:rsidRPr="728F2DAF">
        <w:rPr>
          <w:lang w:val="en-GB"/>
        </w:rPr>
        <w:t xml:space="preserve"> establishment</w:t>
      </w:r>
      <w:r w:rsidR="3ECC0076" w:rsidRPr="728F2DAF">
        <w:rPr>
          <w:lang w:val="en-GB"/>
        </w:rPr>
        <w:t xml:space="preserve"> </w:t>
      </w:r>
      <w:r w:rsidR="1C67C3D9" w:rsidRPr="728F2DAF">
        <w:rPr>
          <w:lang w:val="en-GB"/>
        </w:rPr>
        <w:t xml:space="preserve">of </w:t>
      </w:r>
      <w:r w:rsidR="78E59BD8" w:rsidRPr="728F2DAF">
        <w:rPr>
          <w:lang w:val="en-GB"/>
        </w:rPr>
        <w:t xml:space="preserve">invasive </w:t>
      </w:r>
      <w:r w:rsidR="1C67C3D9" w:rsidRPr="728F2DAF">
        <w:rPr>
          <w:lang w:val="en-GB"/>
        </w:rPr>
        <w:t xml:space="preserve">alien species </w:t>
      </w:r>
      <w:r w:rsidR="3ECC0076" w:rsidRPr="728F2DAF">
        <w:rPr>
          <w:lang w:val="en-GB"/>
        </w:rPr>
        <w:t>in many areas</w:t>
      </w:r>
      <w:r w:rsidR="31625CBB" w:rsidRPr="728F2DAF">
        <w:rPr>
          <w:lang w:val="en-GB"/>
        </w:rPr>
        <w:t xml:space="preserve">, </w:t>
      </w:r>
      <w:r w:rsidR="2A0F45CB" w:rsidRPr="728F2DAF">
        <w:rPr>
          <w:lang w:val="en-GB"/>
        </w:rPr>
        <w:t>thus increasing the potential</w:t>
      </w:r>
      <w:r w:rsidR="31625CBB" w:rsidRPr="728F2DAF">
        <w:rPr>
          <w:lang w:val="en-GB"/>
        </w:rPr>
        <w:t xml:space="preserve"> </w:t>
      </w:r>
      <w:r w:rsidR="4034E0E3" w:rsidRPr="728F2DAF">
        <w:rPr>
          <w:lang w:val="en-GB"/>
        </w:rPr>
        <w:t xml:space="preserve">invaded </w:t>
      </w:r>
      <w:r w:rsidR="31625CBB" w:rsidRPr="728F2DAF">
        <w:rPr>
          <w:lang w:val="en-GB"/>
        </w:rPr>
        <w:t>range of invasive alien species</w:t>
      </w:r>
      <w:r w:rsidR="3FA5C6A1" w:rsidRPr="728F2DAF">
        <w:rPr>
          <w:lang w:val="en-GB"/>
        </w:rPr>
        <w:t xml:space="preserve"> </w:t>
      </w:r>
      <w:r w:rsidR="57D75AA8" w:rsidRPr="728F2DAF">
        <w:rPr>
          <w:lang w:val="en-GB"/>
        </w:rPr>
        <w:fldChar w:fldCharType="begin"/>
      </w:r>
      <w:r w:rsidR="00F5121E">
        <w:rPr>
          <w:lang w:val="en-GB"/>
        </w:rPr>
        <w:instrText xml:space="preserve"> ADDIN ZOTERO_ITEM CSL_CITATION {"citationID":"AwMdtF1J","properties":{"formattedCitation":"(Hellmann et al., 2008; IPBES, 2019; IPCC, 2022; Walther et al., 2009)","plainCitation":"(Hellmann et al., 2008; IPBES, 2019; IPCC, 2022; Walther et al., 2009)","noteIndex":0},"citationItems":[{"id":32972,"uris":["http://zotero.org/groups/2352922/items/G25ZPKKG"],"itemData":{"id":32972,"type":"article-journal","abstract":"Abstract: Scientific and societal unknowns make it difficult to predict how global environmental changes such as climate change and biological invasions will affect ecological systems. In the long term, these changes may have interacting effects and compound the uncertainty associated with each individual driver. Nonetheless, invasive species are likely to respond in ways that should be qualitatively predictable, and some of these responses will be distinct from those of native counterparts. We used the stages of invasion known as the “invasion pathway” to identify 5 nonexclusive consequences of climate change for invasive species: (1) altered transport and introduction mechanisms, (2) establishment of new invasive species, (3) altered impact of existing invasive species, (4) altered distribution of existing invasive species, and (5) altered effectiveness of control strategies. We then used these consequences to identify testable hypotheses about the responses of invasive species to climate change and provide suggestions for invasive-species management plans. The 5 consequences also emphasize the need for enhanced environmental monitoring and expanded coordination among entities involved in invasive-species management.","container-title":"Conservation Biology","DOI":"10.1111/j.1523-1739.2008.00951.x","ISSN":"1523-1739","issue":"3","language":"en","license":"©2008 Society for Conservation Biology","note":"_eprint: https://conbio.onlinelibrary.wiley.com/doi/pdf/10.1111/j.1523-1739.2008.00951.x","page":"534-543","source":"Wiley Online Library","title":"Five Potential Consequences of Climate Change for Invasive Species","URL":"https://conbio.onlinelibrary.wiley.com/doi/abs/10.1111/j.1523-1739.2008.00951.x","volume":"22","author":[{"family":"Hellmann","given":"Jessica J."},{"family":"Byers","given":"James E."},{"family":"Bierwagen","given":"Britta G."},{"family":"Dukes","given":"Jeffrey S."}],"accessed":{"date-parts":[["2021",6,20]]},"issued":{"date-parts":[["2008"]]}}},{"id":53933,"uris":["http://zotero.org/groups/2352922/items/JYFISR8Z","http://zotero.org/groups/2352922/items/ZACZGHZL"],"itemData":{"id":53933,"type":"report","abstract":"IPBES is to perform regular and timely assessments of knowledge on biodiversity and ecosystem services and their interlinkages at the global level. Also addressing an invitation by the Conference of the Parties of the Convention on Biological Diversity (CBD) to prepare a global assessment of biodiversity and ecosystem services building, inter alia, on its own and other relevant regional, subregional and thematic assessments, as well as on national reports. The overall scope of the assessment is to assess the status and trends with regard to biodiversity and ecosystem services, the impact of biodiversity and ecosystem services on human well-being and the effectiveness of responses, including the Strategic Plan and its Aichi Biodiversity Targets. It is anticipated that this deliverable will contribute to the process for the evaluation and renewal of the Strategic Plan for Biodiversity and its Aichi Biodiversity Targets. The IPBES Global Assessment on Biodiversity and Ecosystem Services is composed of 1) a Summary for Policymakers (SPM), approved by the IPBES Plenary at its 7th session in May 2019 in Paris, France (IPBES-7); and 2) a set of six Chapters, accepted by the IPBES Plenary.","language":"en","license":"Creative Commons Attribution 4.0 International, Open Access","note":"Version Number 1\nDOI: 10.5281/ZENODO.3831673","publisher":"Secretariat of the Intergovernmental Science-Policy Platform on Biodiversity and Ecosystem Services","source":"DOI.org (Datacite)","title":"Global assessment report on biodiversity and ecosystem services of the Intergovernmental Science-Policy Platform on Biodiversity and Ecosystem Services","URL":"https://zenodo.org/record/3831673","author":[{"literal":"IPBES"}],"contributor":[{"family":"Brondizio","given":"Eduardo"},{"family":"Diaz","given":"Sandra"},{"family":"Settele","given":"Josef"},{"family":"Ngo","given":"Hien T."}],"accessed":{"date-parts":[["2023",1,5]]},"issued":{"date-parts":[["2019"]]}}},{"id":53775,"uris":["http://zotero.org/groups/2352922/items/L77A55BA"],"itemData":{"id":53775,"type":"report","event-place":"Cambridge University Press, Cambridge, UK and New York, NY, USA","genre":"Contribution of Working Group II to the Sixth Assessment Report of the Intergovernmental Panel on Climate Change","page":"3056","publisher":"Cambridge University Press","publisher-place":"Cambridge University Press, Cambridge, UK and New York, NY, USA","title":"Climate Change 2022: Impacts, Adaptation and Vulnerability","URL":"10.1017/9781009325844","author":[{"literal":"IPCC"}],"collection-editor":[{"family":"Pörtner","given":"H.-O."},{"family":"Roberts","given":"D.C."},{"family":"Tignor","given":"M."},{"family":"Poloczanska","given":"E.S."},{"family":"Mintenbeck","given":"K."},{"family":"Alegr</w:instrText>
      </w:r>
      <w:r w:rsidR="00F5121E">
        <w:rPr>
          <w:rFonts w:hint="eastAsia"/>
          <w:lang w:val="en-GB"/>
        </w:rPr>
        <w:instrText>í</w:instrText>
      </w:r>
      <w:r w:rsidR="00F5121E">
        <w:rPr>
          <w:lang w:val="en-GB"/>
        </w:rPr>
        <w:instrText xml:space="preserve">a","given":"A."},{"family":"Craig","given":"M."},{"family":"Langsdorf","given":"S."},{"family":"Löschke","given":"S."},{"family":"Möller","given":"V."},{"family":"Okem","given":"A."},{"family":"Rama","given":"B."}],"issued":{"date-parts":[["2022"]]}}},{"id":54013,"uris":["http://zotero.org/groups/2352922/items/2GL5WWF6","http://zotero.org/groups/2352922/items/QPZYHHS2"],"itemData":{"id":54013,"type":"article-journal","container-title":"Trends in ecology &amp; evolution","DOI":"10.1016/j.tree.2009.06.008","issue":"12","note":"ISBN: 0169-5347\npublisher: Elsevier","page":"686-693","title":"Alien species in a warmer world: risks and opportunities","URL":"https://doi.org/10.1016/j.tree.2009.06.008","volume":"24","author":[{"family":"Walther","given":"Gian-Reto"},{"family":"Roques","given":"Alain"},{"family":"Hulme","given":"Philip E."},{"family":"Sykes","given":"Martin T."},{"family":"Pyšek","given":"Petr"},{"family":"Kühn","given":"Ingolf"},{"family":"Zobel","given":"Martin"},{"family":"Bacher","given":"Sven"},{"family":"Botta-Dukát","given":"Zoltán"},{"family":"Bugmann","given":"Harald"},{"family":"Czúcz","given":"Bálint"},{"family":"Dauber","given":"Jens"},{"family":"Hickler","given":"Thomas"},{"family":"Jarošík","given":"Vojtěch"},{"family":"Kenis","given":"Marc"},{"family":"Klotz","given":"Stefan"},{"family":"Minchin","given":"Dan"},{"family":"Moora","given":"Mari"},{"family":"Nentwig","given":"Wolfgang"},{"family":"Ott","given":"Jürgen"},{"family":"Panov","given":"Vadim E."},{"family":"Reineking","given":"Björn"},{"family":"Robinet","given":"Christelle"},{"family":"Semenchenko","given":"Vitaliy"},{"family":"Solarz","given":"Wojciech"},{"family":"Thuiller","given":"Wilfried"},{"family":"Vilà","given":"Montserrat"},{"family":"Vohland","given":"Katrin"},{"family":"Settele","given":"Josef"}],"issued":{"date-parts":[["2009"]]}}}],"schema":"https://github.com/citation-style-language/schema/raw/master/csl-citation.json"} </w:instrText>
      </w:r>
      <w:r w:rsidR="57D75AA8" w:rsidRPr="728F2DAF">
        <w:rPr>
          <w:lang w:val="en-GB"/>
        </w:rPr>
        <w:fldChar w:fldCharType="separate"/>
      </w:r>
      <w:r w:rsidR="00E20AEF">
        <w:t>(Hellmann et al., 2008; IPBES, 2019; IPCC, 2022; Walther et al., 2009)</w:t>
      </w:r>
      <w:r w:rsidR="57D75AA8" w:rsidRPr="728F2DAF">
        <w:rPr>
          <w:lang w:val="en-GB"/>
        </w:rPr>
        <w:fldChar w:fldCharType="end"/>
      </w:r>
      <w:r w:rsidR="3FA5C6A1" w:rsidRPr="728F2DAF">
        <w:rPr>
          <w:lang w:val="en-GB"/>
        </w:rPr>
        <w:t>.</w:t>
      </w:r>
      <w:r w:rsidR="0FABA3A3" w:rsidRPr="728F2DAF">
        <w:rPr>
          <w:lang w:val="en-GB"/>
        </w:rPr>
        <w:t xml:space="preserve"> </w:t>
      </w:r>
      <w:r w:rsidR="0E0B5F04" w:rsidRPr="728F2DAF">
        <w:rPr>
          <w:lang w:val="en-GB"/>
        </w:rPr>
        <w:t xml:space="preserve">Climate change </w:t>
      </w:r>
      <w:r w:rsidR="501F80E6" w:rsidRPr="728F2DAF">
        <w:rPr>
          <w:lang w:val="en-GB"/>
        </w:rPr>
        <w:t>may</w:t>
      </w:r>
      <w:r w:rsidR="0E0B5F04" w:rsidRPr="728F2DAF">
        <w:rPr>
          <w:lang w:val="en-GB"/>
        </w:rPr>
        <w:t xml:space="preserve"> </w:t>
      </w:r>
      <w:r w:rsidR="4089651D" w:rsidRPr="728F2DAF">
        <w:rPr>
          <w:lang w:val="en-GB"/>
        </w:rPr>
        <w:t xml:space="preserve">further </w:t>
      </w:r>
      <w:r w:rsidR="0E0B5F04" w:rsidRPr="728F2DAF">
        <w:rPr>
          <w:lang w:val="en-GB"/>
        </w:rPr>
        <w:t>facilitate biological inv</w:t>
      </w:r>
      <w:r w:rsidR="501F80E6" w:rsidRPr="728F2DAF">
        <w:rPr>
          <w:lang w:val="en-GB"/>
        </w:rPr>
        <w:t>a</w:t>
      </w:r>
      <w:r w:rsidR="0E0B5F04" w:rsidRPr="728F2DAF">
        <w:rPr>
          <w:lang w:val="en-GB"/>
        </w:rPr>
        <w:t>sions</w:t>
      </w:r>
      <w:r w:rsidR="580B1A6E" w:rsidRPr="728F2DAF">
        <w:rPr>
          <w:lang w:val="en-GB"/>
        </w:rPr>
        <w:t xml:space="preserve"> by </w:t>
      </w:r>
      <w:r w:rsidR="50D3547F" w:rsidRPr="728F2DAF">
        <w:rPr>
          <w:lang w:val="en-GB"/>
        </w:rPr>
        <w:t>increas</w:t>
      </w:r>
      <w:r w:rsidR="030FC988" w:rsidRPr="728F2DAF">
        <w:rPr>
          <w:lang w:val="en-GB"/>
        </w:rPr>
        <w:t>ing rates of</w:t>
      </w:r>
      <w:r w:rsidR="50D3547F" w:rsidRPr="728F2DAF">
        <w:rPr>
          <w:lang w:val="en-GB"/>
        </w:rPr>
        <w:t xml:space="preserve"> </w:t>
      </w:r>
      <w:r w:rsidR="5C8CEE0A" w:rsidRPr="728F2DAF">
        <w:rPr>
          <w:lang w:val="en-GB"/>
        </w:rPr>
        <w:t xml:space="preserve">reproduction and survival </w:t>
      </w:r>
      <w:r w:rsidR="4089651D" w:rsidRPr="728F2DAF">
        <w:rPr>
          <w:lang w:val="en-GB"/>
        </w:rPr>
        <w:t>in sites where invasive alien</w:t>
      </w:r>
      <w:r w:rsidR="4AF4DB9C" w:rsidRPr="728F2DAF">
        <w:rPr>
          <w:lang w:val="en-GB"/>
        </w:rPr>
        <w:t xml:space="preserve"> species</w:t>
      </w:r>
      <w:r w:rsidR="4089651D" w:rsidRPr="728F2DAF">
        <w:rPr>
          <w:lang w:val="en-GB"/>
        </w:rPr>
        <w:t xml:space="preserve"> are already present, h</w:t>
      </w:r>
      <w:r w:rsidR="5C8CEE0A" w:rsidRPr="728F2DAF">
        <w:rPr>
          <w:lang w:val="en-GB"/>
        </w:rPr>
        <w:t xml:space="preserve">ence </w:t>
      </w:r>
      <w:r w:rsidR="4AF4DB9C" w:rsidRPr="728F2DAF">
        <w:rPr>
          <w:lang w:val="en-GB"/>
        </w:rPr>
        <w:t xml:space="preserve">facilitating </w:t>
      </w:r>
      <w:r w:rsidR="5C8CEE0A" w:rsidRPr="728F2DAF">
        <w:rPr>
          <w:lang w:val="en-GB"/>
        </w:rPr>
        <w:t>the</w:t>
      </w:r>
      <w:r w:rsidR="4AF4DB9C" w:rsidRPr="728F2DAF">
        <w:rPr>
          <w:lang w:val="en-GB"/>
        </w:rPr>
        <w:t>ir</w:t>
      </w:r>
      <w:r w:rsidR="5C8CEE0A" w:rsidRPr="728F2DAF">
        <w:rPr>
          <w:lang w:val="en-GB"/>
        </w:rPr>
        <w:t xml:space="preserve"> establishment and </w:t>
      </w:r>
      <w:r w:rsidR="32F1E844" w:rsidRPr="728F2DAF">
        <w:rPr>
          <w:lang w:val="en-GB"/>
        </w:rPr>
        <w:t xml:space="preserve">further </w:t>
      </w:r>
      <w:r w:rsidR="5C8CEE0A" w:rsidRPr="728F2DAF">
        <w:rPr>
          <w:lang w:val="en-GB"/>
        </w:rPr>
        <w:t xml:space="preserve">spread </w:t>
      </w:r>
      <w:r w:rsidR="57D75AA8" w:rsidRPr="728F2DAF">
        <w:rPr>
          <w:lang w:val="en-GB"/>
        </w:rPr>
        <w:fldChar w:fldCharType="begin"/>
      </w:r>
      <w:r w:rsidR="00331A79">
        <w:rPr>
          <w:lang w:val="en-GB"/>
        </w:rPr>
        <w:instrText xml:space="preserve"> ADDIN ZOTERO_ITEM CSL_CITATION {"citationID":"V6KaQxzq","properties":{"formattedCitation":"(Chown et al., 2012; Fl\\uc0\\u248{}jgaard et al., 2009; Loomans et al., 2013)","plainCitation":"(Chown et al., 2012; Fløjgaard et al., 2009; Loomans et al., 2013)","noteIndex":0},"citationItems":[{"id":30372,"uris":["http://zotero.org/groups/2352922/items/HJ3HAU6C"],"itemData":{"id":30372,"type":"article-journal","abstract":"Invasive alien species are among the primary causes of biodiversity change globally, with the risks thereof broadly understood for most regions of the world. They are similarly thought to be among the most significant conservation threats to Antarctica, especially as climate change proceeds in the region. However, no comprehensive, continent-wide evaluation of the risks to Antarctica posed by such species has been undertaken. Here we do so by sampling, identifying, and mapping the vascular plant propagules carried by all categories of visitors to Antarctica during the International Polar Year's first season (2007-2008) and assessing propagule establishment likelihood based on their identity and origins and on spatial variation in Antarctica's climate. For an evaluation of the situation in 2100, we use modeled climates based on the Intergovernmental Panel on Climate Change's Special Report on Emissions Scenarios Scenario A1B [Nakicenovic N, Swart R, eds (2000) Special Report on Emissions Scenarios: A Special Report of Working Group III of the Intergovernmental Panel on Climate Change (Cambridge University Press, Cambridge, UK)]. Visitors carrying seeds average 9.5 seeds per person, although as vectors, scientists carry greater propagule loads than tourists. Annual tourist numbers (similar to 33,054) are higher than those of scientists (similar to 7,085), thus tempering these differences in propagule load. Alien species establishment is currently most likely for the Western Antarctic Peninsula. Recent founder populations of several alien species in this area corroborate these findings. With climate change, risks will grow in the Antarctic Peninsula, Ross Sea, and East Antarctic coastal regions. Our evidence-based assessment demonstrates which parts of Antarctica are at growing risk from alien species that may become invasive and provides the means to mitigate this threat now and into the future as the continent's climate changes.","container-title":"Proceedings of the National Academy of Sciences of the United States of America","DOI":"10.1073/pnas.1119787109","ISSN":"0027-8424","issue":"13","journalAbbreviation":"Proceedings of the National Academy of Sciences","note":"WOS:000302164200049","page":"4938-4943","title":"Continent-wide risk assessment for the establishment of nonindigenous species in Antarctica","URL":"http://www.pnas.org/cgi/doi/10.1073/pnas.1119787109","volume":"109","author":[{"family":"Chown","given":"Steven L."},{"family":"Huiskes","given":"Ad H. L."},{"family":"Gremmen","given":"Niek J. M."},{"family":"Lee","given":"Jennifer E."},{"family":"Terauds","given":"Aleks"},{"family":"Crosbie","given":"Kim"},{"family":"Frenot","given":"Yves"},{"family":"Hughes","given":"Kevin A."},{"family":"Imura","given":"Satoshi"},{"family":"Kiefer","given":"Kate"},{"family":"Lebouvier","given":"Marc"},{"family":"Raymond","given":"Ben"},{"family":"Tsujimoto","given":"Megumu"},{"family":"Ware","given":"Chris"},{"family":"Van de Vijver","given":"Bart"},{"family":"Bergstrom","given":"Dana Michelle"}],"issued":{"date-parts":[["2012",3,27]]}}},{"id":32005,"uris":["http://zotero.org/groups/2352922/items/D4AMPZR4"],"itemData":{"id":32005,"type":"article-journal","container-title":"IOP Conference Series: Earth and Environmental Science","DOI":"10.1088/1755-1315/8/1/012016","ISSN":"1755-1315","journalAbbreviation":"IOP Conf. Ser.: Earth Environ. Sci.","page":"012016","source":"DOI.org (Crossref)","title":"Potential 21st century changes to the mammal fauna of Denmark – implications of climate change, land-use, and invasive species","URL":"https://iopscience.iop.org/article/10.1088/1755-1315/8/1/012016","volume":"8","author":[{"family":"Fløjgaard","given":"Camilla"},{"family":"Morueta-Holme","given":"Naia"},{"family":"Skov","given":"Flemming"},{"family":"Madsen","given":"Aksel Bo"},{"family":"Svenning","given":"Jens-Christian"}],"accessed":{"date-parts":[["2021",11,29]]},"issued":{"date-parts":[["2009",11,1]]}}},{"id":32004,"uris":["http://zotero.org/groups/2352922/items/GS4LGZZH"],"itemData":{"id":32004,"type":"article-journal","container-title":"IOBC-WPRS Bulletin","page":"15-20","title":"Seven years of post-release monitoring for biological control agents released for biological control in the Netherlands: impact of regulatory measures on establishment and use","volume":"94","author":[{"family":"Loomans","given":"Antoon JM"},{"family":"Vierbergen","given":"Bert"},{"family":"Chen","given":"Ping-Ping"}],"issued":{"date-parts":[["2013"]]}}}],"schema":"https://github.com/citation-style-language/schema/raw/master/csl-citation.json"} </w:instrText>
      </w:r>
      <w:r w:rsidR="57D75AA8" w:rsidRPr="728F2DAF">
        <w:rPr>
          <w:lang w:val="en-GB"/>
        </w:rPr>
        <w:fldChar w:fldCharType="separate"/>
      </w:r>
      <w:r w:rsidR="73B99EB6">
        <w:t>(Chown et al., 2012; Fløjgaard et al., 2009; Loomans et al., 2013)</w:t>
      </w:r>
      <w:r w:rsidR="57D75AA8" w:rsidRPr="728F2DAF">
        <w:rPr>
          <w:lang w:val="en-GB"/>
        </w:rPr>
        <w:fldChar w:fldCharType="end"/>
      </w:r>
      <w:r w:rsidR="184E5F32" w:rsidRPr="728F2DAF">
        <w:rPr>
          <w:lang w:val="en-GB"/>
        </w:rPr>
        <w:t xml:space="preserve">. </w:t>
      </w:r>
      <w:r w:rsidR="2D3BC8BD" w:rsidRPr="728F2DAF">
        <w:rPr>
          <w:lang w:val="en-GB"/>
        </w:rPr>
        <w:t>The range or population growth rates of some a</w:t>
      </w:r>
      <w:r w:rsidR="184E5F32" w:rsidRPr="728F2DAF">
        <w:rPr>
          <w:lang w:val="en-GB"/>
        </w:rPr>
        <w:t xml:space="preserve">lien species </w:t>
      </w:r>
      <w:r w:rsidR="2D3BC8BD" w:rsidRPr="728F2DAF">
        <w:rPr>
          <w:lang w:val="en-GB"/>
        </w:rPr>
        <w:t xml:space="preserve">may currently be </w:t>
      </w:r>
      <w:r w:rsidR="184E5F32" w:rsidRPr="728F2DAF">
        <w:rPr>
          <w:lang w:val="en-GB"/>
        </w:rPr>
        <w:t>limited by climat</w:t>
      </w:r>
      <w:r w:rsidR="200ECB0E" w:rsidRPr="728F2DAF">
        <w:rPr>
          <w:lang w:val="en-GB"/>
        </w:rPr>
        <w:t xml:space="preserve">ic </w:t>
      </w:r>
      <w:r w:rsidR="133FBC30" w:rsidRPr="728F2DAF">
        <w:rPr>
          <w:lang w:val="en-GB"/>
        </w:rPr>
        <w:t xml:space="preserve">variables </w:t>
      </w:r>
      <w:r w:rsidR="1DDCA2C8" w:rsidRPr="728F2DAF">
        <w:rPr>
          <w:lang w:val="en-GB"/>
        </w:rPr>
        <w:t xml:space="preserve">which may </w:t>
      </w:r>
      <w:r w:rsidR="133FBC30" w:rsidRPr="728F2DAF">
        <w:rPr>
          <w:lang w:val="en-GB"/>
        </w:rPr>
        <w:t xml:space="preserve">become more </w:t>
      </w:r>
      <w:r w:rsidR="40FB713C" w:rsidRPr="728F2DAF">
        <w:rPr>
          <w:lang w:val="en-GB"/>
        </w:rPr>
        <w:t>favourable in the future (</w:t>
      </w:r>
      <w:r w:rsidR="7FB3FAAB" w:rsidRPr="728F2DAF">
        <w:rPr>
          <w:lang w:val="en-GB"/>
        </w:rPr>
        <w:t xml:space="preserve">e.g., low temperature, </w:t>
      </w:r>
      <w:r w:rsidR="44C6AFFE" w:rsidRPr="728F2DAF">
        <w:rPr>
          <w:lang w:val="en-GB"/>
        </w:rPr>
        <w:t xml:space="preserve">low precipitation in regions where these climate </w:t>
      </w:r>
      <w:r w:rsidR="4AF4DB9C" w:rsidRPr="728F2DAF">
        <w:rPr>
          <w:lang w:val="en-GB"/>
        </w:rPr>
        <w:t>factors</w:t>
      </w:r>
      <w:r w:rsidR="5650EADE" w:rsidRPr="728F2DAF">
        <w:rPr>
          <w:lang w:val="en-GB"/>
        </w:rPr>
        <w:t xml:space="preserve"> show increasing trends</w:t>
      </w:r>
      <w:r w:rsidR="39911BBF" w:rsidRPr="728F2DAF">
        <w:rPr>
          <w:lang w:val="en-GB"/>
        </w:rPr>
        <w:t>;</w:t>
      </w:r>
      <w:r w:rsidR="44C6AFFE" w:rsidRPr="728F2DAF">
        <w:rPr>
          <w:lang w:val="en-GB"/>
        </w:rPr>
        <w:t xml:space="preserve"> </w:t>
      </w:r>
      <w:r w:rsidR="57D75AA8" w:rsidRPr="728F2DAF">
        <w:rPr>
          <w:lang w:val="en-GB"/>
        </w:rPr>
        <w:fldChar w:fldCharType="begin"/>
      </w:r>
      <w:r w:rsidR="00331A79">
        <w:rPr>
          <w:lang w:val="en-GB"/>
        </w:rPr>
        <w:instrText xml:space="preserve"> ADDIN ZOTERO_ITEM CSL_CITATION {"citationID":"M6nvzosh","properties":{"formattedCitation":"(Bradley et al., 2010; Ib\\uc0\\u225{}\\uc0\\u241{}ez et al., 2009; O\\uc0\\u8217{}Donnell et al., 2012)","plainCitation":"(Bradley et al., 2010; Ibáñez et al., 2009; O’Donnell et al., 2012)","dontUpdate":true,"noteIndex":0},"citationItems":[{"id":10478,"uris":["http://zotero.org/groups/2352922/items/7YZSXSUF"],"itemData":{"id":10478,"type":"article-journal","abstract":"The relationship between plant invasions and global change is complex. Whereas some components of global change, such as rising CO2, usually promote invasion, other components, such as changing temperature and precipitation, can help or hinder plant invasion. Additionally, experimental studies and models suggest that invasive plants often respond unpredictably to multiple components of global change acting in concert. Such variability adds uncertainty to existing risk assessments and other predictive tools. Here, we review current knowledge about relationships between plant invasion and global change, and highlight research needed to improve forecasts of invasion risk. Managers should be prepared for both expansion and contraction of invasive plants due to global change, leading to increased risk or unprecedented opportunities for restoration.","container-title":"Trends in Ecology &amp; Evolution","DOI":"10.1016/j.tree.2009.12.003","ISSN":"0169-5347","issue":"5","journalAbbreviation":"Trends in Ecology &amp; Evolution","language":"en","page":"310-318","source":"ScienceDirect","title":"Predicting plant invasions in an era of global change","URL":"https://www.sciencedirect.com/science/article/pii/S0169534709003693","volume":"25","author":[{"family":"Bradley","given":"Bethany A."},{"family":"Blumenthal","given":"Dana M."},{"family":"Wilcove","given":"David S."},{"family":"Ziska","given":"Lewis H."}],"accessed":{"date-parts":[["2021",6,18]]},"issued":{"date-parts":[["2010",5,1]]}}},{"id":32003,"uris":["http://zotero.org/groups/2352922/items/NZHPAQW3"],"itemData":{"id":32003,"type":"article-journal","container-title":"Ecological applications","issue":"2","note":"ISBN: 1939-5582\npublisher: Wiley Online Library","page":"359-375","title":"Multivariate forecasts of potential distributions of invasive plant species","volume":"19","author":[{"family":"Ibáñez","given":"Inés"},{"family":"Silander Jr","given":"John A."},{"family":"Wilson","given":"Adam M."},{"family":"LaFleur","given":"Nancy"},{"family":"Tanaka","given":"Nobuyuki"},{"family":"Tsuyama","given":"Ikutaro"}],"issued":{"date-parts":[["2009"]]}}},{"id":31725,"uris":["http://zotero.org/groups/2352922/items/V3D9DLRF"],"itemData":{"id":31725,"type":"article-journal","container-title":"Global Change Biology","DOI":"10.1111/j.1365-2486.2011.02537.x","ISSN":"13541013","issue":"2","journalAbbreviation":"Glob Change Biol","language":"en","page":"617-629","source":"DOI.org (Crossref)","title":"Invasion hotspots for non-native plants in Australia under current and future climates","URL":"https://onlinelibrary.wiley.com/doi/10.1111/j.1365-2486.2011.02537.x","volume":"18","author":[{"family":"O'Donnell","given":"Jessica"},{"family":"Gallagher","given":"Rachael V."},{"family":"Wilson","given":"Peter D."},{"family":"Downey","given":"Paul O."},{"family":"Hughes","given":"Lesley"},{"family":"Leishman","given":"Michelle R."}],"accessed":{"date-parts":[["2021",11,24]]},"issued":{"date-parts":[["2012",2]]}}}],"schema":"https://github.com/citation-style-language/schema/raw/master/csl-citation.json"} </w:instrText>
      </w:r>
      <w:r w:rsidR="57D75AA8" w:rsidRPr="728F2DAF">
        <w:rPr>
          <w:lang w:val="en-GB"/>
        </w:rPr>
        <w:fldChar w:fldCharType="separate"/>
      </w:r>
      <w:r w:rsidR="60D7276B" w:rsidRPr="728F2DAF">
        <w:rPr>
          <w:lang w:val="en-GB"/>
        </w:rPr>
        <w:t>Bradley et al., 2010; Ibáñez et al., 2009; O’Donnell et al., 2012)</w:t>
      </w:r>
      <w:r w:rsidR="57D75AA8" w:rsidRPr="728F2DAF">
        <w:rPr>
          <w:lang w:val="en-GB"/>
        </w:rPr>
        <w:fldChar w:fldCharType="end"/>
      </w:r>
      <w:r w:rsidR="184E5F32" w:rsidRPr="728F2DAF">
        <w:rPr>
          <w:lang w:val="en-GB"/>
        </w:rPr>
        <w:t>.</w:t>
      </w:r>
      <w:r w:rsidR="179389E9" w:rsidRPr="728F2DAF">
        <w:rPr>
          <w:lang w:val="en-GB"/>
        </w:rPr>
        <w:t xml:space="preserve"> </w:t>
      </w:r>
      <w:r w:rsidR="70AA631E" w:rsidRPr="728F2DAF">
        <w:rPr>
          <w:lang w:val="en-GB"/>
        </w:rPr>
        <w:t xml:space="preserve">Some studies based on bioclimatic models predict that </w:t>
      </w:r>
      <w:r w:rsidR="26D87CD6" w:rsidRPr="728F2DAF">
        <w:rPr>
          <w:lang w:val="en-GB"/>
        </w:rPr>
        <w:t xml:space="preserve">more frequent </w:t>
      </w:r>
      <w:r w:rsidR="70AA631E" w:rsidRPr="728F2DAF">
        <w:rPr>
          <w:lang w:val="en-GB"/>
        </w:rPr>
        <w:t xml:space="preserve">extreme events may have potential to trigger or alter the trajectory of </w:t>
      </w:r>
      <w:r w:rsidR="791E3461" w:rsidRPr="728F2DAF">
        <w:rPr>
          <w:lang w:val="en-GB"/>
        </w:rPr>
        <w:t xml:space="preserve">biological invasions </w:t>
      </w:r>
      <w:r w:rsidR="57D75AA8" w:rsidRPr="728F2DAF">
        <w:rPr>
          <w:lang w:val="en-GB"/>
        </w:rPr>
        <w:fldChar w:fldCharType="begin"/>
      </w:r>
      <w:r w:rsidR="00331A79">
        <w:rPr>
          <w:lang w:val="en-GB"/>
        </w:rPr>
        <w:instrText xml:space="preserve"> ADDIN ZOTERO_ITEM CSL_CITATION {"citationID":"SIqjEnmQ","properties":{"formattedCitation":"(Hulme, 2017; Py\\uc0\\u353{}ek et al., 2020)","plainCitation":"(Hulme, 2017; Pyšek et al., 2020)","noteIndex":0},"citationItems":[{"id":10012,"uris":["http://zotero.org/groups/2352922/items/E7ZXVNF8"],"itemData":{"id":10012,"type":"article-journal","abstract":"A changing climate may directly or indirectly influence biological invasions by altering the likelihood of introduction or establishment, as well as modifying the geographic range, environmental impacts, economic costs or management of alien species. A comprehensive assessment of empirical and theoretical evidence identified how each of these processes is likely to be shaped by climate change for alien plants, animals and pathogens in terrestrial, freshwater and marine environments of Great Britain. The strongest contemporary evidence for the potential role of climate change in the establishment of new alien species is for terrestrial arthropods, as a result of their ectothermic physiology, often high dispersal rate and their strong association with trade as well as commensal relationships with human environments. By contrast, there is little empirical support for higher temperatures increasing the rate of alien plant establishment due to the stronger effects of residence time and propagule pressure. The magnitude of any direct climate effect on the number of new alien species will be small relative to human-assisted introductions driven by socioeconomic factors. Casual alien species (sleepers) whose population persistence is limited by climate are expected to exhibit greater rates of establishment under climate change assuming that propagule pressure remains at least at current levels. Surveillance and management targeting sleeper pests and diseases may be the most cost-effective option to reduce future impacts under climate change. Most established alien species will increase their distribution range in Great Britain over the next century. However, such range increases are very likely be the result of natural expansion of populations that have yet to reach equilibrium with their environment, rather than a direct consequence of climate change. To assess the potential realised range of alien species will require a spatially explicit approach that not only integrates bioclimatic suitability and population-level demographic rates but also simulation of landscape-level processes (e.g. dispersal, land-use change, host/habitat distribution, non-climatic edaphic constraints). In terms of invasive alien species that have known economic or biodiversity impacts, the taxa that are likely to be the most responsive are plant pathogens and insect pests of agricultural crops. However, the extent to which climate adaptation strategies lead to new crops, altered rotations, and different farming practices (e.g. irrigation, fertilization) will all shape the potential agricultural impacts of alien species. The greatest uncertainty in the effects of climate change on biological invasions exists with identifying the future character of new species introductions and predicting ecosystem impacts. Two complementary strategies may work under these conditions of high uncertainty: (i) prioritise ecosystems in terms of their perceived vulnerability to climate change and prevent ingress or expansion of alien species therein that may exacerbate problems; (ii) target those ecosystem already threatened by alien species and implement management to prevent the situation deteriorating under climate change.","container-title":"Biological Reviews","DOI":"10.1111/brv.12282","ISSN":"1469-185X","issue":"3","language":"en","note":"_eprint: https://onlinelibrary.wiley.com/doi/pdf/10.1111/brv.12282","page":"1297-1313","source":"Wiley Online Library","title":"Climate change and biological invasions: evidence, expectations, and response options","title-short":"Climate change and biological invasions","URL":"https://onlinelibrary.wiley.com/doi/abs/10.1111/brv.12282","volume":"92","author":[{"family":"Hulme","given":"Philip E."}],"accessed":{"date-parts":[["2021",8,23]]},"issued":{"date-parts":[["2017"]]}}},{"id":33050,"uris":["http://zotero.org/groups/2352922/items/84CFHG9A"],"itemData":{"id":33050,"type":"article-journal","container-title":"Biological Reviews","DOI":"10.1111/brv.12627","ISSN":"1464-7931, 1469-185X","issue":"6","journalAbbreviation":"Biol Rev","language":"en","page":"1511-1534","source":"DOI.org (Crossref)","title":"Scientists' warning on invasive alien species","URL":"https://onlinelibrary.wiley.com/doi/10.1111/brv.12627","volume":"95","author":[{"family":"Pyšek","given":"Petr"},{"family":"Hulme","given":"Philip E."},{"family":"Simberloff","given":"Dan"},{"family":"Bacher","given":"Sven"},{"family":"Blackburn","given":"Tim M."},{"family":"Carlton","given":"James T."},{"family":"Dawson","given":"Wayne"},{"family":"Essl","given":"Franz"},{"family":"Foxcroft","given":"Llewellyn C."},{"family":"Genovesi","given":"Piero"},{"family":"Jeschke","given":"Jonathan M."},{"family":"Kühn","given":"Ingolf"},{"family":"Liebhold","given":"Andrew M."},{"family":"Mandrak","given":"Nicholas E."},{"family":"Meyerson","given":"Laura A."},{"family":"Pauchard","given":"Aníbal"},{"family":"Pergl","given":"Jan"},{"family":"Roy","given":"Helen E."},{"family":"Seebens","given":"Hanno"},{"family":"Kleunen","given":"Mark","non-dropping-particle":"van"},{"family":"Vilà","given":"Montserrat"},{"family":"Wingfield","given":"Michael J."},{"family":"Richardson","given":"David M."}],"accessed":{"date-parts":[["2021",7,7]]},"issued":{"date-parts":[["2020",12]]}}}],"schema":"https://github.com/citation-style-language/schema/raw/master/csl-citation.json"} </w:instrText>
      </w:r>
      <w:r w:rsidR="57D75AA8" w:rsidRPr="728F2DAF">
        <w:rPr>
          <w:lang w:val="en-GB"/>
        </w:rPr>
        <w:fldChar w:fldCharType="separate"/>
      </w:r>
      <w:r w:rsidR="73B99EB6">
        <w:t>(Hulme, 2017; Pyšek et al., 2020)</w:t>
      </w:r>
      <w:r w:rsidR="57D75AA8" w:rsidRPr="728F2DAF">
        <w:rPr>
          <w:lang w:val="en-GB"/>
        </w:rPr>
        <w:fldChar w:fldCharType="end"/>
      </w:r>
      <w:r w:rsidR="70AA631E" w:rsidRPr="728F2DAF">
        <w:rPr>
          <w:lang w:val="en-GB"/>
        </w:rPr>
        <w:t xml:space="preserve">. </w:t>
      </w:r>
      <w:r w:rsidR="50E81D76" w:rsidRPr="728F2DAF">
        <w:rPr>
          <w:lang w:val="en-GB"/>
        </w:rPr>
        <w:t>While models and projections point to potentially strong imp</w:t>
      </w:r>
      <w:r w:rsidR="1DDCA2C8" w:rsidRPr="728F2DAF">
        <w:rPr>
          <w:lang w:val="en-GB"/>
        </w:rPr>
        <w:t>a</w:t>
      </w:r>
      <w:r w:rsidR="50E81D76" w:rsidRPr="728F2DAF">
        <w:rPr>
          <w:lang w:val="en-GB"/>
        </w:rPr>
        <w:t>cts of climate change on biological invasions</w:t>
      </w:r>
      <w:r w:rsidR="6D5BE62C" w:rsidRPr="728F2DAF">
        <w:rPr>
          <w:lang w:val="en-GB"/>
        </w:rPr>
        <w:t xml:space="preserve"> </w:t>
      </w:r>
      <w:r w:rsidR="528CD6E2" w:rsidRPr="728F2DAF">
        <w:rPr>
          <w:lang w:val="en-GB"/>
        </w:rPr>
        <w:t>(</w:t>
      </w:r>
      <w:r w:rsidR="6D5BE62C" w:rsidRPr="728F2DAF">
        <w:rPr>
          <w:b/>
          <w:bCs/>
          <w:lang w:val="en-GB"/>
        </w:rPr>
        <w:t>section</w:t>
      </w:r>
      <w:r w:rsidR="338CCAC2" w:rsidRPr="728F2DAF">
        <w:rPr>
          <w:b/>
          <w:bCs/>
          <w:lang w:val="en-GB"/>
        </w:rPr>
        <w:t xml:space="preserve"> 3.6.3</w:t>
      </w:r>
      <w:r w:rsidR="5AF2F3C5" w:rsidRPr="728F2DAF">
        <w:rPr>
          <w:lang w:val="en-GB"/>
        </w:rPr>
        <w:t>,</w:t>
      </w:r>
      <w:r w:rsidR="5AF2F3C5" w:rsidRPr="728F2DAF">
        <w:rPr>
          <w:b/>
          <w:bCs/>
          <w:lang w:val="en-GB"/>
        </w:rPr>
        <w:t xml:space="preserve"> </w:t>
      </w:r>
      <w:r w:rsidR="00E23B69">
        <w:rPr>
          <w:b/>
          <w:bCs/>
          <w:lang w:val="en-GB"/>
        </w:rPr>
        <w:t>Box</w:t>
      </w:r>
      <w:r w:rsidR="3EE49496" w:rsidRPr="728F2DAF">
        <w:rPr>
          <w:b/>
          <w:bCs/>
          <w:lang w:val="en-GB"/>
        </w:rPr>
        <w:t xml:space="preserve"> 3.14</w:t>
      </w:r>
      <w:r w:rsidR="338CCAC2" w:rsidRPr="728F2DAF">
        <w:rPr>
          <w:lang w:val="en-GB"/>
        </w:rPr>
        <w:t>)</w:t>
      </w:r>
      <w:r w:rsidR="50E81D76" w:rsidRPr="728F2DAF">
        <w:rPr>
          <w:lang w:val="en-GB"/>
        </w:rPr>
        <w:t>,</w:t>
      </w:r>
      <w:r w:rsidR="0069D5CD" w:rsidRPr="728F2DAF">
        <w:rPr>
          <w:lang w:val="en-GB"/>
        </w:rPr>
        <w:t xml:space="preserve"> e</w:t>
      </w:r>
      <w:r w:rsidR="70AA631E" w:rsidRPr="728F2DAF">
        <w:rPr>
          <w:lang w:val="en-GB"/>
        </w:rPr>
        <w:t xml:space="preserve">mpirical data that unambiguously </w:t>
      </w:r>
      <w:r w:rsidR="0069D5CD" w:rsidRPr="728F2DAF">
        <w:rPr>
          <w:lang w:val="en-GB"/>
        </w:rPr>
        <w:t>attribute</w:t>
      </w:r>
      <w:r w:rsidR="70AA631E" w:rsidRPr="728F2DAF">
        <w:rPr>
          <w:lang w:val="en-GB"/>
        </w:rPr>
        <w:t xml:space="preserve"> shifts in alien species</w:t>
      </w:r>
      <w:r w:rsidR="78E59BD8" w:rsidRPr="728F2DAF">
        <w:rPr>
          <w:lang w:val="en-GB"/>
        </w:rPr>
        <w:t>’</w:t>
      </w:r>
      <w:r w:rsidR="70AA631E" w:rsidRPr="728F2DAF">
        <w:rPr>
          <w:lang w:val="en-GB"/>
        </w:rPr>
        <w:t xml:space="preserve"> distributions </w:t>
      </w:r>
      <w:r w:rsidR="0069D5CD" w:rsidRPr="728F2DAF">
        <w:rPr>
          <w:lang w:val="en-GB"/>
        </w:rPr>
        <w:t xml:space="preserve">and abundances </w:t>
      </w:r>
      <w:r w:rsidR="70AA631E" w:rsidRPr="728F2DAF">
        <w:rPr>
          <w:lang w:val="en-GB"/>
        </w:rPr>
        <w:t>to climate change are rare</w:t>
      </w:r>
      <w:r w:rsidR="26D87CD6" w:rsidRPr="728F2DAF">
        <w:rPr>
          <w:lang w:val="en-GB"/>
        </w:rPr>
        <w:t xml:space="preserve">. </w:t>
      </w:r>
    </w:p>
    <w:p w14:paraId="7B181940" w14:textId="195BB571" w:rsidR="00442274" w:rsidRPr="00DA249F" w:rsidRDefault="1C4FF875" w:rsidP="0090109B">
      <w:pPr>
        <w:rPr>
          <w:lang w:val="en-GB"/>
        </w:rPr>
      </w:pPr>
      <w:r w:rsidRPr="00DA249F">
        <w:rPr>
          <w:lang w:val="en-GB"/>
        </w:rPr>
        <w:t xml:space="preserve">Climate change entails shifts in both mean conditions and the frequency and magnitude </w:t>
      </w:r>
      <w:r w:rsidR="00C26EE6" w:rsidRPr="00DA249F">
        <w:rPr>
          <w:lang w:val="en-GB"/>
        </w:rPr>
        <w:t xml:space="preserve">of </w:t>
      </w:r>
      <w:r w:rsidRPr="00DA249F">
        <w:rPr>
          <w:lang w:val="en-GB"/>
        </w:rPr>
        <w:t xml:space="preserve">climatic extremes, all of which can </w:t>
      </w:r>
      <w:r w:rsidR="00C26EE6" w:rsidRPr="00DA249F">
        <w:rPr>
          <w:lang w:val="en-GB"/>
        </w:rPr>
        <w:t>have consequences for biological invasions</w:t>
      </w:r>
      <w:r w:rsidR="00BC17DD" w:rsidRPr="00DA249F">
        <w:rPr>
          <w:lang w:val="en-GB"/>
        </w:rPr>
        <w:t>. T</w:t>
      </w:r>
      <w:r w:rsidRPr="00DA249F">
        <w:rPr>
          <w:lang w:val="en-GB"/>
        </w:rPr>
        <w:t xml:space="preserve">his </w:t>
      </w:r>
      <w:r w:rsidR="14246DCE" w:rsidRPr="00DA249F">
        <w:rPr>
          <w:lang w:val="en-GB"/>
        </w:rPr>
        <w:t>section</w:t>
      </w:r>
      <w:r w:rsidR="00BC17DD" w:rsidRPr="00DA249F">
        <w:rPr>
          <w:lang w:val="en-GB"/>
        </w:rPr>
        <w:t xml:space="preserve"> synthes</w:t>
      </w:r>
      <w:r w:rsidR="00247CC3" w:rsidRPr="00DA249F">
        <w:rPr>
          <w:lang w:val="en-GB"/>
        </w:rPr>
        <w:t>ize</w:t>
      </w:r>
      <w:r w:rsidR="00BC17DD" w:rsidRPr="00DA249F">
        <w:rPr>
          <w:lang w:val="en-GB"/>
        </w:rPr>
        <w:t xml:space="preserve">s </w:t>
      </w:r>
      <w:r w:rsidRPr="00DA249F">
        <w:rPr>
          <w:lang w:val="en-GB"/>
        </w:rPr>
        <w:t xml:space="preserve">knowledge about how </w:t>
      </w:r>
      <w:r w:rsidR="081052AC" w:rsidRPr="00DA249F">
        <w:rPr>
          <w:lang w:val="en-GB"/>
        </w:rPr>
        <w:t xml:space="preserve">invasive alien species </w:t>
      </w:r>
      <w:r w:rsidRPr="00DA249F">
        <w:rPr>
          <w:lang w:val="en-GB"/>
        </w:rPr>
        <w:t>are affected by changes in temperatures (</w:t>
      </w:r>
      <w:r w:rsidR="00F374E2" w:rsidRPr="008C1731">
        <w:rPr>
          <w:b/>
          <w:iCs/>
          <w:lang w:val="en-GB"/>
        </w:rPr>
        <w:t>section</w:t>
      </w:r>
      <w:r w:rsidR="00F374E2" w:rsidRPr="008C1731">
        <w:rPr>
          <w:b/>
          <w:lang w:val="en-GB"/>
        </w:rPr>
        <w:t xml:space="preserve"> </w:t>
      </w:r>
      <w:r w:rsidRPr="008C1731">
        <w:rPr>
          <w:b/>
          <w:iCs/>
          <w:lang w:val="en-GB"/>
        </w:rPr>
        <w:t>3.</w:t>
      </w:r>
      <w:r w:rsidRPr="008C1731">
        <w:rPr>
          <w:b/>
          <w:lang w:val="en-GB"/>
        </w:rPr>
        <w:t>3.4.1</w:t>
      </w:r>
      <w:r w:rsidRPr="00DA249F">
        <w:rPr>
          <w:lang w:val="en-GB"/>
        </w:rPr>
        <w:t>), precipitation regimes (</w:t>
      </w:r>
      <w:r w:rsidR="00F374E2" w:rsidRPr="008C1731">
        <w:rPr>
          <w:b/>
          <w:iCs/>
          <w:lang w:val="en-GB"/>
        </w:rPr>
        <w:t xml:space="preserve">section </w:t>
      </w:r>
      <w:r w:rsidRPr="008C1731">
        <w:rPr>
          <w:b/>
          <w:lang w:val="en-GB"/>
        </w:rPr>
        <w:t>3.3.4.2</w:t>
      </w:r>
      <w:r w:rsidRPr="00DA249F">
        <w:rPr>
          <w:lang w:val="en-GB"/>
        </w:rPr>
        <w:t>), extreme events (</w:t>
      </w:r>
      <w:r w:rsidR="00F374E2" w:rsidRPr="008C1731">
        <w:rPr>
          <w:b/>
          <w:iCs/>
          <w:lang w:val="en-GB"/>
        </w:rPr>
        <w:t>section</w:t>
      </w:r>
      <w:r w:rsidR="00F374E2" w:rsidRPr="008C1731">
        <w:rPr>
          <w:b/>
          <w:lang w:val="en-GB"/>
        </w:rPr>
        <w:t xml:space="preserve"> </w:t>
      </w:r>
      <w:r w:rsidRPr="008C1731">
        <w:rPr>
          <w:b/>
          <w:lang w:val="en-GB"/>
        </w:rPr>
        <w:t>3.3.4.3</w:t>
      </w:r>
      <w:r w:rsidRPr="00DA249F">
        <w:rPr>
          <w:lang w:val="en-GB"/>
        </w:rPr>
        <w:t xml:space="preserve">), </w:t>
      </w:r>
      <w:r w:rsidR="00265BC6" w:rsidRPr="00DA249F">
        <w:rPr>
          <w:lang w:val="en-GB"/>
        </w:rPr>
        <w:t>CO</w:t>
      </w:r>
      <w:r w:rsidR="00265BC6" w:rsidRPr="00DA249F">
        <w:rPr>
          <w:vertAlign w:val="subscript"/>
          <w:lang w:val="en-GB"/>
        </w:rPr>
        <w:t>2</w:t>
      </w:r>
      <w:r w:rsidR="00265BC6" w:rsidRPr="00DA249F">
        <w:rPr>
          <w:lang w:val="en-GB"/>
        </w:rPr>
        <w:t xml:space="preserve"> </w:t>
      </w:r>
      <w:r w:rsidRPr="00DA249F">
        <w:rPr>
          <w:lang w:val="en-GB"/>
        </w:rPr>
        <w:t>concentrations (</w:t>
      </w:r>
      <w:r w:rsidR="00F374E2" w:rsidRPr="008C1731">
        <w:rPr>
          <w:b/>
          <w:iCs/>
          <w:lang w:val="en-GB"/>
        </w:rPr>
        <w:t>section</w:t>
      </w:r>
      <w:r w:rsidR="00F374E2" w:rsidRPr="008C1731">
        <w:rPr>
          <w:b/>
          <w:lang w:val="en-GB"/>
        </w:rPr>
        <w:t xml:space="preserve"> </w:t>
      </w:r>
      <w:r w:rsidRPr="008C1731">
        <w:rPr>
          <w:b/>
          <w:lang w:val="en-GB"/>
        </w:rPr>
        <w:t>3.3.4.4</w:t>
      </w:r>
      <w:r w:rsidRPr="00DA249F">
        <w:rPr>
          <w:lang w:val="en-GB"/>
        </w:rPr>
        <w:t>), fire frequencies and magnitudes (</w:t>
      </w:r>
      <w:r w:rsidR="00F374E2" w:rsidRPr="008C1731">
        <w:rPr>
          <w:b/>
          <w:iCs/>
          <w:lang w:val="en-GB"/>
        </w:rPr>
        <w:t>section</w:t>
      </w:r>
      <w:r w:rsidR="00F374E2" w:rsidRPr="008C1731">
        <w:rPr>
          <w:b/>
          <w:lang w:val="en-GB"/>
        </w:rPr>
        <w:t xml:space="preserve"> </w:t>
      </w:r>
      <w:r w:rsidRPr="008C1731">
        <w:rPr>
          <w:b/>
          <w:lang w:val="en-GB"/>
        </w:rPr>
        <w:t>3.3.4.5</w:t>
      </w:r>
      <w:r w:rsidRPr="00DA249F">
        <w:rPr>
          <w:lang w:val="en-GB"/>
        </w:rPr>
        <w:t>), sea level rise (</w:t>
      </w:r>
      <w:r w:rsidR="00F374E2" w:rsidRPr="008C1731">
        <w:rPr>
          <w:b/>
          <w:iCs/>
          <w:lang w:val="en-GB"/>
        </w:rPr>
        <w:t>section</w:t>
      </w:r>
      <w:r w:rsidR="00F374E2" w:rsidRPr="008C1731">
        <w:rPr>
          <w:b/>
          <w:lang w:val="en-GB"/>
        </w:rPr>
        <w:t xml:space="preserve"> </w:t>
      </w:r>
      <w:r w:rsidRPr="008C1731">
        <w:rPr>
          <w:b/>
          <w:lang w:val="en-GB"/>
        </w:rPr>
        <w:t>3.3.4.6</w:t>
      </w:r>
      <w:r w:rsidRPr="00DA249F">
        <w:rPr>
          <w:lang w:val="en-GB"/>
        </w:rPr>
        <w:t xml:space="preserve">), and, </w:t>
      </w:r>
      <w:r w:rsidR="0056097A" w:rsidRPr="00DA249F">
        <w:rPr>
          <w:lang w:val="en-GB"/>
        </w:rPr>
        <w:t xml:space="preserve">assisted colonization </w:t>
      </w:r>
      <w:r w:rsidR="004310AC">
        <w:rPr>
          <w:lang w:val="en-GB"/>
        </w:rPr>
        <w:t xml:space="preserve">is </w:t>
      </w:r>
      <w:r w:rsidR="00F33AAC" w:rsidRPr="00DA249F">
        <w:rPr>
          <w:lang w:val="en-GB"/>
        </w:rPr>
        <w:t>an example of a</w:t>
      </w:r>
      <w:r w:rsidRPr="00DA249F">
        <w:rPr>
          <w:lang w:val="en-GB"/>
        </w:rPr>
        <w:t xml:space="preserve"> climate mitigation strategy with high relevance for </w:t>
      </w:r>
      <w:r w:rsidR="081052AC" w:rsidRPr="00DA249F">
        <w:rPr>
          <w:lang w:val="en-GB"/>
        </w:rPr>
        <w:t>invasive alien species</w:t>
      </w:r>
      <w:r w:rsidRPr="00DA249F">
        <w:rPr>
          <w:lang w:val="en-GB"/>
        </w:rPr>
        <w:t xml:space="preserve"> (</w:t>
      </w:r>
      <w:r w:rsidR="00E23B69">
        <w:rPr>
          <w:b/>
          <w:iCs/>
          <w:lang w:val="en-GB"/>
        </w:rPr>
        <w:t>Box</w:t>
      </w:r>
      <w:r w:rsidR="002B5AFC" w:rsidRPr="008C1731">
        <w:rPr>
          <w:b/>
          <w:iCs/>
          <w:lang w:val="en-GB"/>
        </w:rPr>
        <w:t xml:space="preserve"> </w:t>
      </w:r>
      <w:r w:rsidR="00176437" w:rsidRPr="008C1731">
        <w:rPr>
          <w:b/>
          <w:iCs/>
          <w:lang w:val="en-GB"/>
        </w:rPr>
        <w:t>3.9</w:t>
      </w:r>
      <w:r w:rsidRPr="00DA249F">
        <w:rPr>
          <w:lang w:val="en-GB"/>
        </w:rPr>
        <w:t xml:space="preserve">). Climate change results from major economic </w:t>
      </w:r>
      <w:r w:rsidRPr="00DA249F">
        <w:rPr>
          <w:lang w:val="en-GB"/>
        </w:rPr>
        <w:lastRenderedPageBreak/>
        <w:t>(</w:t>
      </w:r>
      <w:r w:rsidR="00F374E2" w:rsidRPr="008C1731">
        <w:rPr>
          <w:b/>
          <w:iCs/>
          <w:lang w:val="en-GB"/>
        </w:rPr>
        <w:t xml:space="preserve">section </w:t>
      </w:r>
      <w:r w:rsidRPr="008C1731">
        <w:rPr>
          <w:b/>
          <w:lang w:val="en-GB"/>
        </w:rPr>
        <w:t>3.2.</w:t>
      </w:r>
      <w:r w:rsidR="00F94489" w:rsidRPr="008C1731">
        <w:rPr>
          <w:b/>
          <w:lang w:val="en-GB"/>
        </w:rPr>
        <w:t>3</w:t>
      </w:r>
      <w:r w:rsidRPr="00DA249F">
        <w:rPr>
          <w:lang w:val="en-GB"/>
        </w:rPr>
        <w:t>) and demographic (</w:t>
      </w:r>
      <w:r w:rsidR="00F374E2" w:rsidRPr="008C1731">
        <w:rPr>
          <w:b/>
          <w:iCs/>
          <w:lang w:val="en-GB"/>
        </w:rPr>
        <w:t xml:space="preserve">section </w:t>
      </w:r>
      <w:r w:rsidRPr="008C1731">
        <w:rPr>
          <w:b/>
          <w:lang w:val="en-GB"/>
        </w:rPr>
        <w:t>3.2.</w:t>
      </w:r>
      <w:r w:rsidR="00F94489" w:rsidRPr="008C1731">
        <w:rPr>
          <w:b/>
          <w:lang w:val="en-GB"/>
        </w:rPr>
        <w:t>2</w:t>
      </w:r>
      <w:r w:rsidRPr="00DA249F">
        <w:rPr>
          <w:lang w:val="en-GB"/>
        </w:rPr>
        <w:t xml:space="preserve">) indirect drivers over long </w:t>
      </w:r>
      <w:r w:rsidR="521C82F1" w:rsidRPr="00DA249F">
        <w:rPr>
          <w:lang w:val="en-GB"/>
        </w:rPr>
        <w:t>timescales</w:t>
      </w:r>
      <w:r w:rsidRPr="00DA249F">
        <w:rPr>
          <w:i/>
          <w:lang w:val="en-GB"/>
        </w:rPr>
        <w:t xml:space="preserve">. </w:t>
      </w:r>
      <w:r w:rsidRPr="008C1731">
        <w:rPr>
          <w:lang w:val="en-GB"/>
        </w:rPr>
        <w:t>Section 3.3.</w:t>
      </w:r>
      <w:r w:rsidR="00D373BF" w:rsidRPr="008C1731">
        <w:rPr>
          <w:lang w:val="en-GB"/>
        </w:rPr>
        <w:t>4</w:t>
      </w:r>
      <w:r w:rsidRPr="008C1731">
        <w:rPr>
          <w:lang w:val="en-GB"/>
        </w:rPr>
        <w:t xml:space="preserve"> </w:t>
      </w:r>
      <w:r w:rsidRPr="00DA249F">
        <w:rPr>
          <w:lang w:val="en-GB"/>
        </w:rPr>
        <w:t xml:space="preserve">describes evidence for links between specific climatic changes and </w:t>
      </w:r>
      <w:r w:rsidR="081052AC" w:rsidRPr="00DA249F">
        <w:rPr>
          <w:lang w:val="en-GB"/>
        </w:rPr>
        <w:t>invasive alien species</w:t>
      </w:r>
      <w:r w:rsidR="167F49D4" w:rsidRPr="00DA249F">
        <w:rPr>
          <w:lang w:val="en-GB"/>
        </w:rPr>
        <w:t xml:space="preserve"> (</w:t>
      </w:r>
      <w:r w:rsidR="00DC2990">
        <w:rPr>
          <w:b/>
          <w:iCs/>
          <w:lang w:val="en-GB"/>
        </w:rPr>
        <w:t>Figure</w:t>
      </w:r>
      <w:r w:rsidR="009F2D68">
        <w:rPr>
          <w:b/>
          <w:iCs/>
          <w:lang w:val="en-GB"/>
        </w:rPr>
        <w:t xml:space="preserve"> 3.20</w:t>
      </w:r>
      <w:r w:rsidR="167F49D4" w:rsidRPr="00DA249F">
        <w:rPr>
          <w:lang w:val="en-GB"/>
        </w:rPr>
        <w:t>)</w:t>
      </w:r>
      <w:r w:rsidRPr="00DA249F">
        <w:rPr>
          <w:lang w:val="en-GB"/>
        </w:rPr>
        <w:t xml:space="preserve">, </w:t>
      </w:r>
      <w:r w:rsidR="00725C38">
        <w:rPr>
          <w:lang w:val="en-GB"/>
        </w:rPr>
        <w:t>and makes</w:t>
      </w:r>
      <w:r w:rsidR="00725C38" w:rsidRPr="00DA249F">
        <w:rPr>
          <w:lang w:val="en-GB"/>
        </w:rPr>
        <w:t xml:space="preserve"> </w:t>
      </w:r>
      <w:r w:rsidRPr="00DA249F">
        <w:rPr>
          <w:lang w:val="en-GB"/>
        </w:rPr>
        <w:t>reference to other indirect and direct drivers when relevant</w:t>
      </w:r>
      <w:r w:rsidR="00661638">
        <w:rPr>
          <w:lang w:val="en-GB"/>
        </w:rPr>
        <w:t>.</w:t>
      </w:r>
      <w:r w:rsidRPr="00DA249F">
        <w:rPr>
          <w:lang w:val="en-GB"/>
        </w:rPr>
        <w:t xml:space="preserve"> </w:t>
      </w:r>
      <w:r w:rsidR="00661638">
        <w:rPr>
          <w:lang w:val="en-GB"/>
        </w:rPr>
        <w:t>T</w:t>
      </w:r>
      <w:r w:rsidRPr="00DA249F">
        <w:rPr>
          <w:lang w:val="en-GB"/>
        </w:rPr>
        <w:t xml:space="preserve">he demographic and economic background or these changes are described in </w:t>
      </w:r>
      <w:r w:rsidRPr="008C1731">
        <w:rPr>
          <w:b/>
          <w:lang w:val="en-GB"/>
        </w:rPr>
        <w:t>section 3.2</w:t>
      </w:r>
      <w:r w:rsidRPr="00DA249F">
        <w:rPr>
          <w:lang w:val="en-GB"/>
        </w:rPr>
        <w:t xml:space="preserve">. </w:t>
      </w:r>
    </w:p>
    <w:p w14:paraId="668DAFF9" w14:textId="433478FB" w:rsidR="008C1BF7" w:rsidRPr="00DA249F" w:rsidRDefault="00630DAB" w:rsidP="0074196D">
      <w:pPr>
        <w:pStyle w:val="Caption"/>
        <w:rPr>
          <w:b w:val="0"/>
          <w:bCs w:val="0"/>
          <w:lang w:val="en-GB"/>
        </w:rPr>
      </w:pPr>
      <w:bookmarkStart w:id="185" w:name="_Ref104902645"/>
      <w:bookmarkStart w:id="186" w:name="_Toc147500905"/>
      <w:r w:rsidRPr="00630DAB">
        <w:rPr>
          <w:noProof/>
          <w:lang w:val="en-GB"/>
        </w:rPr>
        <w:drawing>
          <wp:inline distT="0" distB="0" distL="0" distR="0" wp14:anchorId="39162F36" wp14:editId="1EF5006B">
            <wp:extent cx="6115050" cy="2274570"/>
            <wp:effectExtent l="0" t="0" r="6350" b="0"/>
            <wp:docPr id="55" name="Picture 55" descr="A diagram of a climate chang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Picture 55" descr="A diagram of a climate change&#10;&#10;Description automatically generated"/>
                    <pic:cNvPicPr/>
                  </pic:nvPicPr>
                  <pic:blipFill>
                    <a:blip r:embed="rId40"/>
                    <a:stretch>
                      <a:fillRect/>
                    </a:stretch>
                  </pic:blipFill>
                  <pic:spPr>
                    <a:xfrm>
                      <a:off x="0" y="0"/>
                      <a:ext cx="6115050" cy="2274570"/>
                    </a:xfrm>
                    <a:prstGeom prst="rect">
                      <a:avLst/>
                    </a:prstGeom>
                    <a:ln>
                      <a:noFill/>
                    </a:ln>
                  </pic:spPr>
                </pic:pic>
              </a:graphicData>
            </a:graphic>
          </wp:inline>
        </w:drawing>
      </w:r>
      <w:r w:rsidR="6469CE08" w:rsidRPr="00DA249F">
        <w:rPr>
          <w:lang w:val="en-GB"/>
        </w:rPr>
        <w:t>Figure 3.</w:t>
      </w:r>
      <w:r w:rsidR="00A35C30" w:rsidRPr="00DA249F">
        <w:rPr>
          <w:lang w:val="en-GB"/>
        </w:rPr>
        <w:fldChar w:fldCharType="begin"/>
      </w:r>
      <w:r w:rsidR="00A35C30" w:rsidRPr="00DA249F">
        <w:rPr>
          <w:lang w:val="en-GB"/>
        </w:rPr>
        <w:instrText xml:space="preserve"> SEQ Figure_3. \* ARABIC </w:instrText>
      </w:r>
      <w:r w:rsidR="00A35C30" w:rsidRPr="00DA249F">
        <w:rPr>
          <w:lang w:val="en-GB"/>
        </w:rPr>
        <w:fldChar w:fldCharType="separate"/>
      </w:r>
      <w:r w:rsidR="00287BC7">
        <w:rPr>
          <w:noProof/>
          <w:lang w:val="en-GB"/>
        </w:rPr>
        <w:t>20</w:t>
      </w:r>
      <w:r w:rsidR="00A35C30" w:rsidRPr="00DA249F">
        <w:rPr>
          <w:lang w:val="en-GB"/>
        </w:rPr>
        <w:fldChar w:fldCharType="end"/>
      </w:r>
      <w:bookmarkEnd w:id="185"/>
      <w:r w:rsidR="769A031C" w:rsidRPr="00DA249F">
        <w:rPr>
          <w:lang w:val="en-GB"/>
        </w:rPr>
        <w:t xml:space="preserve">. </w:t>
      </w:r>
      <w:r w:rsidR="7CE5D1C9" w:rsidRPr="00DA249F">
        <w:rPr>
          <w:b w:val="0"/>
          <w:bCs w:val="0"/>
          <w:lang w:val="en-GB"/>
        </w:rPr>
        <w:t xml:space="preserve">Examples of </w:t>
      </w:r>
      <w:r w:rsidR="217606AC">
        <w:rPr>
          <w:b w:val="0"/>
          <w:bCs w:val="0"/>
          <w:lang w:val="en-GB"/>
        </w:rPr>
        <w:t>the role of</w:t>
      </w:r>
      <w:r w:rsidR="01351D75" w:rsidRPr="00DA249F">
        <w:rPr>
          <w:b w:val="0"/>
          <w:bCs w:val="0"/>
          <w:lang w:val="en-GB"/>
        </w:rPr>
        <w:t xml:space="preserve"> c</w:t>
      </w:r>
      <w:r w:rsidR="01351D75" w:rsidRPr="00DA249F">
        <w:rPr>
          <w:b w:val="0"/>
          <w:bCs w:val="0"/>
          <w:shd w:val="clear" w:color="auto" w:fill="FFFFFF"/>
          <w:lang w:val="en-GB"/>
        </w:rPr>
        <w:t xml:space="preserve">limate change </w:t>
      </w:r>
      <w:r w:rsidR="48FA02F8" w:rsidRPr="00DA249F">
        <w:rPr>
          <w:b w:val="0"/>
          <w:bCs w:val="0"/>
          <w:shd w:val="clear" w:color="auto" w:fill="FFFFFF"/>
          <w:lang w:val="en-GB"/>
        </w:rPr>
        <w:t xml:space="preserve">as a driver of change facilitating invasive alien species </w:t>
      </w:r>
      <w:r w:rsidR="1FC7E71B" w:rsidRPr="00DA249F">
        <w:rPr>
          <w:b w:val="0"/>
          <w:bCs w:val="0"/>
          <w:shd w:val="clear" w:color="auto" w:fill="FFFFFF"/>
          <w:lang w:val="en-GB"/>
        </w:rPr>
        <w:t>a</w:t>
      </w:r>
      <w:r w:rsidR="1B81EB07" w:rsidRPr="00DA249F">
        <w:rPr>
          <w:b w:val="0"/>
          <w:bCs w:val="0"/>
          <w:shd w:val="clear" w:color="auto" w:fill="FFFFFF"/>
          <w:lang w:val="en-GB"/>
        </w:rPr>
        <w:t>cross</w:t>
      </w:r>
      <w:r w:rsidR="7AC0C083" w:rsidRPr="00DA249F">
        <w:rPr>
          <w:b w:val="0"/>
          <w:bCs w:val="0"/>
          <w:shd w:val="clear" w:color="auto" w:fill="FFFFFF"/>
          <w:lang w:val="en-GB"/>
        </w:rPr>
        <w:t xml:space="preserve"> stages</w:t>
      </w:r>
      <w:r w:rsidR="60C09D9F" w:rsidRPr="00DA249F">
        <w:rPr>
          <w:b w:val="0"/>
          <w:bCs w:val="0"/>
          <w:shd w:val="clear" w:color="auto" w:fill="FFFFFF"/>
          <w:lang w:val="en-GB"/>
        </w:rPr>
        <w:t xml:space="preserve"> of the biological invasion process</w:t>
      </w:r>
      <w:r w:rsidR="7AC0C083" w:rsidRPr="00DA249F">
        <w:rPr>
          <w:b w:val="0"/>
          <w:bCs w:val="0"/>
          <w:shd w:val="clear" w:color="auto" w:fill="FFFFFF"/>
          <w:lang w:val="en-GB"/>
        </w:rPr>
        <w:t>.</w:t>
      </w:r>
      <w:r w:rsidR="2A8A9316" w:rsidRPr="00DA249F">
        <w:rPr>
          <w:b w:val="0"/>
          <w:bCs w:val="0"/>
          <w:lang w:val="en-GB"/>
        </w:rPr>
        <w:t xml:space="preserve"> </w:t>
      </w:r>
      <w:r w:rsidR="7531C2C8" w:rsidRPr="00DA249F">
        <w:rPr>
          <w:b w:val="0"/>
          <w:bCs w:val="0"/>
          <w:lang w:val="en-GB"/>
        </w:rPr>
        <w:t>Extreme events may f</w:t>
      </w:r>
      <w:r w:rsidR="343C5AC7" w:rsidRPr="00DA249F">
        <w:rPr>
          <w:b w:val="0"/>
          <w:bCs w:val="0"/>
          <w:lang w:val="en-GB"/>
        </w:rPr>
        <w:t xml:space="preserve">acilitate transport, </w:t>
      </w:r>
      <w:r w:rsidR="39D3ACBC" w:rsidRPr="00DA249F">
        <w:rPr>
          <w:b w:val="0"/>
          <w:bCs w:val="0"/>
          <w:lang w:val="en-GB"/>
        </w:rPr>
        <w:t xml:space="preserve">changes in climatic conditions may </w:t>
      </w:r>
      <w:r w:rsidR="5EB96350" w:rsidRPr="00DA249F">
        <w:rPr>
          <w:b w:val="0"/>
          <w:bCs w:val="0"/>
          <w:lang w:val="en-GB"/>
        </w:rPr>
        <w:t xml:space="preserve">enhance </w:t>
      </w:r>
      <w:r w:rsidR="6A8E4E01" w:rsidRPr="00DA249F">
        <w:rPr>
          <w:b w:val="0"/>
          <w:bCs w:val="0"/>
          <w:lang w:val="en-GB"/>
        </w:rPr>
        <w:t>survival, reproduction, and com</w:t>
      </w:r>
      <w:r w:rsidR="67FBDE06" w:rsidRPr="00DA249F">
        <w:rPr>
          <w:b w:val="0"/>
          <w:bCs w:val="0"/>
          <w:lang w:val="en-GB"/>
        </w:rPr>
        <w:t>pe</w:t>
      </w:r>
      <w:r w:rsidR="6A8E4E01" w:rsidRPr="00DA249F">
        <w:rPr>
          <w:b w:val="0"/>
          <w:bCs w:val="0"/>
          <w:lang w:val="en-GB"/>
        </w:rPr>
        <w:t xml:space="preserve">titive ability, which in turn increases </w:t>
      </w:r>
      <w:r w:rsidR="5EB96350" w:rsidRPr="00DA249F">
        <w:rPr>
          <w:b w:val="0"/>
          <w:bCs w:val="0"/>
          <w:lang w:val="en-GB"/>
        </w:rPr>
        <w:t xml:space="preserve">introduction </w:t>
      </w:r>
      <w:r w:rsidR="3484DB57" w:rsidRPr="00DA249F">
        <w:rPr>
          <w:b w:val="0"/>
          <w:bCs w:val="0"/>
          <w:lang w:val="en-GB"/>
        </w:rPr>
        <w:t>establishment</w:t>
      </w:r>
      <w:r w:rsidR="00774819">
        <w:rPr>
          <w:b w:val="0"/>
          <w:bCs w:val="0"/>
          <w:lang w:val="en-GB"/>
        </w:rPr>
        <w:t xml:space="preserve"> and</w:t>
      </w:r>
      <w:r w:rsidR="6A8E4E01" w:rsidRPr="00DA249F">
        <w:rPr>
          <w:b w:val="0"/>
          <w:bCs w:val="0"/>
          <w:lang w:val="en-GB"/>
        </w:rPr>
        <w:t xml:space="preserve"> spread</w:t>
      </w:r>
      <w:r w:rsidR="7A541218">
        <w:rPr>
          <w:b w:val="0"/>
          <w:bCs w:val="0"/>
          <w:lang w:val="en-GB"/>
        </w:rPr>
        <w:t>, of alien species</w:t>
      </w:r>
      <w:r w:rsidR="6A8E4E01" w:rsidRPr="00DA249F">
        <w:rPr>
          <w:b w:val="0"/>
          <w:bCs w:val="0"/>
          <w:lang w:val="en-GB"/>
        </w:rPr>
        <w:t>.</w:t>
      </w:r>
      <w:r w:rsidR="56596397" w:rsidRPr="00DA249F">
        <w:rPr>
          <w:b w:val="0"/>
          <w:bCs w:val="0"/>
          <w:lang w:val="en-GB"/>
        </w:rPr>
        <w:t xml:space="preserve"> </w:t>
      </w:r>
      <w:r w:rsidR="4044E665" w:rsidRPr="00DA249F">
        <w:rPr>
          <w:b w:val="0"/>
          <w:bCs w:val="0"/>
          <w:lang w:val="en-GB"/>
        </w:rPr>
        <w:t>C</w:t>
      </w:r>
      <w:r w:rsidR="2A8A9316" w:rsidRPr="00DA249F">
        <w:rPr>
          <w:b w:val="0"/>
          <w:bCs w:val="0"/>
          <w:lang w:val="en-GB"/>
        </w:rPr>
        <w:t xml:space="preserve">limate change may </w:t>
      </w:r>
      <w:r w:rsidR="4044E665" w:rsidRPr="00DA249F">
        <w:rPr>
          <w:b w:val="0"/>
          <w:bCs w:val="0"/>
          <w:lang w:val="en-GB"/>
        </w:rPr>
        <w:t xml:space="preserve">extend the geographic ranges potentially suitable for invasive species, providing </w:t>
      </w:r>
      <w:r w:rsidR="0537ECA5" w:rsidRPr="00DA249F">
        <w:rPr>
          <w:b w:val="0"/>
          <w:bCs w:val="0"/>
          <w:lang w:val="en-GB"/>
        </w:rPr>
        <w:t>potential feedback</w:t>
      </w:r>
      <w:r w:rsidR="4044E665" w:rsidRPr="00DA249F">
        <w:rPr>
          <w:b w:val="0"/>
          <w:bCs w:val="0"/>
          <w:lang w:val="en-GB"/>
        </w:rPr>
        <w:t xml:space="preserve"> from spread (within the invaded range) to transport (to new areas beyond the current invaded range). </w:t>
      </w:r>
      <w:r w:rsidR="715281A7" w:rsidRPr="00DA249F">
        <w:rPr>
          <w:b w:val="0"/>
          <w:bCs w:val="0"/>
          <w:lang w:val="en-GB"/>
        </w:rPr>
        <w:t>Adapted from Walther et al</w:t>
      </w:r>
      <w:r w:rsidR="715281A7" w:rsidRPr="002B5AFC">
        <w:rPr>
          <w:b w:val="0"/>
          <w:bCs w:val="0"/>
          <w:lang w:val="en-GB"/>
        </w:rPr>
        <w:t xml:space="preserve">. </w:t>
      </w:r>
      <w:r w:rsidR="00442274" w:rsidRPr="002B5AFC">
        <w:rPr>
          <w:b w:val="0"/>
          <w:bCs w:val="0"/>
          <w:lang w:val="en-GB"/>
        </w:rPr>
        <w:fldChar w:fldCharType="begin"/>
      </w:r>
      <w:r w:rsidR="00331A79">
        <w:rPr>
          <w:b w:val="0"/>
          <w:bCs w:val="0"/>
          <w:lang w:val="en-GB"/>
        </w:rPr>
        <w:instrText xml:space="preserve"> ADDIN ZOTERO_ITEM CSL_CITATION {"citationID":"LwMtDi1Y","properties":{"formattedCitation":"(2009)","plainCitation":"(2009)","noteIndex":0},"citationItems":[{"id":54013,"uris":["http://zotero.org/groups/2352922/items/2GL5WWF6","http://zotero.org/groups/2352922/items/QPZYHHS2"],"itemData":{"id":54013,"type":"article-journal","container-title":"Trends in ecology &amp; evolution","DOI":"10.1016/j.tree.2009.06.008","issue":"12","note":"ISBN: 0169-5347\npublisher: Elsevier","page":"686-693","title":"Alien species in a warmer world: risks and opportunities","URL":"https://doi.org/10.1016/j.tree.2009.06.008","volume":"24","author":[{"family":"Walther","given":"Gian-Reto"},{"family":"Roques","given":"Alain"},{"family":"Hulme","given":"Philip E."},{"family":"Sykes","given":"Martin T."},{"family":"Pyšek","given":"Petr"},{"family":"Kühn","given":"Ingolf"},{"family":"Zobel","given":"Martin"},{"family":"Bacher","given":"Sven"},{"family":"Botta-Dukát","given":"Zoltán"},{"family":"Bugmann","given":"Harald"},{"family":"Czúcz","given":"Bálint"},{"family":"Dauber","given":"Jens"},{"family":"Hickler","given":"Thomas"},{"family":"Jarošík","given":"Vojtěch"},{"family":"Kenis","given":"Marc"},{"family":"Klotz","given":"Stefan"},{"family":"Minchin","given":"Dan"},{"family":"Moora","given":"Mari"},{"family":"Nentwig","given":"Wolfgang"},{"family":"Ott","given":"Jürgen"},{"family":"Panov","given":"Vadim E."},{"family":"Reineking","given":"Björn"},{"family":"Robinet","given":"Christelle"},{"family":"Semenchenko","given":"Vitaliy"},{"family":"Solarz","given":"Wojciech"},{"family":"Thuiller","given":"Wilfried"},{"family":"Vilà","given":"Montserrat"},{"family":"Vohland","given":"Katrin"},{"family":"Settele","given":"Josef"}],"issued":{"date-parts":[["2009"]]}},"label":"page","suppress-author":true}],"schema":"https://github.com/citation-style-language/schema/raw/master/csl-citation.json"} </w:instrText>
      </w:r>
      <w:r w:rsidR="00442274" w:rsidRPr="002B5AFC">
        <w:rPr>
          <w:b w:val="0"/>
          <w:bCs w:val="0"/>
          <w:lang w:val="en-GB"/>
        </w:rPr>
        <w:fldChar w:fldCharType="separate"/>
      </w:r>
      <w:r w:rsidR="6B5F9B9E" w:rsidRPr="00FC1BA2">
        <w:rPr>
          <w:b w:val="0"/>
          <w:bCs w:val="0"/>
        </w:rPr>
        <w:t>(2009)</w:t>
      </w:r>
      <w:r w:rsidR="00442274" w:rsidRPr="002B5AFC">
        <w:rPr>
          <w:b w:val="0"/>
          <w:bCs w:val="0"/>
          <w:lang w:val="en-GB"/>
        </w:rPr>
        <w:fldChar w:fldCharType="end"/>
      </w:r>
      <w:r w:rsidR="5E37BD61" w:rsidRPr="002B5AFC">
        <w:rPr>
          <w:b w:val="0"/>
          <w:bCs w:val="0"/>
          <w:lang w:val="en-GB"/>
        </w:rPr>
        <w:t>.</w:t>
      </w:r>
      <w:bookmarkEnd w:id="186"/>
    </w:p>
    <w:p w14:paraId="64A4C9E2" w14:textId="30F3A156" w:rsidR="00176437" w:rsidRPr="00DA249F" w:rsidRDefault="00176437" w:rsidP="00176437">
      <w:pPr>
        <w:pStyle w:val="Caption"/>
        <w:pBdr>
          <w:top w:val="single" w:sz="4" w:space="1" w:color="auto"/>
          <w:left w:val="single" w:sz="4" w:space="4" w:color="auto"/>
          <w:bottom w:val="single" w:sz="4" w:space="1" w:color="auto"/>
          <w:right w:val="single" w:sz="4" w:space="4" w:color="auto"/>
        </w:pBdr>
        <w:shd w:val="clear" w:color="auto" w:fill="E7E6E6" w:themeFill="background2"/>
        <w:rPr>
          <w:lang w:val="en-GB"/>
        </w:rPr>
      </w:pPr>
      <w:bookmarkStart w:id="187" w:name="_Toc18405850"/>
      <w:bookmarkStart w:id="188" w:name="_Toc44317842"/>
      <w:bookmarkStart w:id="189" w:name="_Toc158373493"/>
      <w:r w:rsidRPr="00DA249F">
        <w:rPr>
          <w:lang w:val="en-GB"/>
        </w:rPr>
        <w:t>Box 3.</w:t>
      </w:r>
      <w:r w:rsidRPr="00DA249F">
        <w:rPr>
          <w:lang w:val="en-GB"/>
        </w:rPr>
        <w:fldChar w:fldCharType="begin"/>
      </w:r>
      <w:r w:rsidRPr="00DA249F">
        <w:rPr>
          <w:lang w:val="en-GB"/>
        </w:rPr>
        <w:instrText xml:space="preserve"> SEQ Box_3. \* ARABIC </w:instrText>
      </w:r>
      <w:r w:rsidRPr="00DA249F">
        <w:rPr>
          <w:lang w:val="en-GB"/>
        </w:rPr>
        <w:fldChar w:fldCharType="separate"/>
      </w:r>
      <w:r w:rsidR="00287BC7">
        <w:rPr>
          <w:noProof/>
          <w:lang w:val="en-GB"/>
        </w:rPr>
        <w:t>9</w:t>
      </w:r>
      <w:r w:rsidRPr="00DA249F">
        <w:rPr>
          <w:lang w:val="en-GB"/>
        </w:rPr>
        <w:fldChar w:fldCharType="end"/>
      </w:r>
      <w:r w:rsidR="000A72AB" w:rsidRPr="00DA249F">
        <w:rPr>
          <w:lang w:val="en-GB"/>
        </w:rPr>
        <w:t>.</w:t>
      </w:r>
      <w:r w:rsidRPr="00DA249F">
        <w:rPr>
          <w:lang w:val="en-GB"/>
        </w:rPr>
        <w:t xml:space="preserve"> Assisted coloni</w:t>
      </w:r>
      <w:r w:rsidR="00E22ADC" w:rsidRPr="00DA249F">
        <w:rPr>
          <w:lang w:val="en-GB"/>
        </w:rPr>
        <w:t>z</w:t>
      </w:r>
      <w:r w:rsidRPr="00DA249F">
        <w:rPr>
          <w:lang w:val="en-GB"/>
        </w:rPr>
        <w:t>ation</w:t>
      </w:r>
      <w:bookmarkEnd w:id="187"/>
      <w:bookmarkEnd w:id="188"/>
      <w:bookmarkEnd w:id="189"/>
    </w:p>
    <w:p w14:paraId="20E1C88F" w14:textId="1516D8A7" w:rsidR="00176437" w:rsidRPr="00DA249F" w:rsidRDefault="08438A15" w:rsidP="5575EBFC">
      <w:pPr>
        <w:pBdr>
          <w:top w:val="single" w:sz="4" w:space="1" w:color="auto"/>
          <w:left w:val="single" w:sz="4" w:space="4" w:color="auto"/>
          <w:bottom w:val="single" w:sz="4" w:space="1" w:color="auto"/>
          <w:right w:val="single" w:sz="4" w:space="4" w:color="auto"/>
        </w:pBdr>
        <w:shd w:val="clear" w:color="auto" w:fill="E7E6E6" w:themeFill="background2"/>
        <w:rPr>
          <w:lang w:val="en-GB"/>
        </w:rPr>
      </w:pPr>
      <w:r w:rsidRPr="5575EBFC">
        <w:rPr>
          <w:lang w:val="en-GB"/>
        </w:rPr>
        <w:t xml:space="preserve">Species translocations </w:t>
      </w:r>
      <w:r w:rsidR="68705CCA" w:rsidRPr="5575EBFC">
        <w:rPr>
          <w:lang w:val="en-GB"/>
        </w:rPr>
        <w:t xml:space="preserve">for conservation purposes </w:t>
      </w:r>
      <w:r w:rsidRPr="5575EBFC">
        <w:rPr>
          <w:lang w:val="en-GB"/>
        </w:rPr>
        <w:t xml:space="preserve">have been conducted for decades, but the vast majority are reintroductions or population enhancements of species within their historical range, whereas assisted colonization (variously termed </w:t>
      </w:r>
      <w:r w:rsidR="6F082F6A" w:rsidRPr="5575EBFC">
        <w:rPr>
          <w:lang w:val="en-GB"/>
        </w:rPr>
        <w:t>“</w:t>
      </w:r>
      <w:r w:rsidRPr="5575EBFC">
        <w:rPr>
          <w:lang w:val="en-GB"/>
        </w:rPr>
        <w:t>assisted colonization</w:t>
      </w:r>
      <w:r w:rsidR="6F082F6A" w:rsidRPr="5575EBFC">
        <w:rPr>
          <w:lang w:val="en-GB"/>
        </w:rPr>
        <w:t>”</w:t>
      </w:r>
      <w:r w:rsidRPr="5575EBFC">
        <w:rPr>
          <w:lang w:val="en-GB"/>
        </w:rPr>
        <w:t xml:space="preserve">, </w:t>
      </w:r>
      <w:r w:rsidR="6F082F6A" w:rsidRPr="5575EBFC">
        <w:rPr>
          <w:lang w:val="en-GB"/>
        </w:rPr>
        <w:t>“</w:t>
      </w:r>
      <w:r w:rsidRPr="5575EBFC">
        <w:rPr>
          <w:lang w:val="en-GB"/>
        </w:rPr>
        <w:t>assisted migration</w:t>
      </w:r>
      <w:r w:rsidR="6F082F6A" w:rsidRPr="5575EBFC">
        <w:rPr>
          <w:lang w:val="en-GB"/>
        </w:rPr>
        <w:t>”</w:t>
      </w:r>
      <w:r w:rsidR="00774819">
        <w:rPr>
          <w:lang w:val="en-GB"/>
        </w:rPr>
        <w:t xml:space="preserve"> and</w:t>
      </w:r>
      <w:r w:rsidRPr="5575EBFC">
        <w:rPr>
          <w:lang w:val="en-GB"/>
        </w:rPr>
        <w:t xml:space="preserve"> </w:t>
      </w:r>
      <w:r w:rsidR="6F082F6A" w:rsidRPr="5575EBFC">
        <w:rPr>
          <w:lang w:val="en-GB"/>
        </w:rPr>
        <w:t>“</w:t>
      </w:r>
      <w:r w:rsidRPr="5575EBFC">
        <w:rPr>
          <w:lang w:val="en-GB"/>
        </w:rPr>
        <w:t>managed relocation</w:t>
      </w:r>
      <w:r w:rsidR="6F082F6A" w:rsidRPr="5575EBFC">
        <w:rPr>
          <w:lang w:val="en-GB"/>
        </w:rPr>
        <w:t>”</w:t>
      </w:r>
      <w:r w:rsidRPr="5575EBFC">
        <w:rPr>
          <w:lang w:val="en-GB"/>
        </w:rPr>
        <w:t>;</w:t>
      </w:r>
      <w:r w:rsidRPr="5575EBFC">
        <w:rPr>
          <w:i/>
          <w:iCs/>
          <w:lang w:val="en-GB"/>
        </w:rPr>
        <w:t xml:space="preserve"> </w:t>
      </w:r>
      <w:r w:rsidR="00176437" w:rsidRPr="5575EBFC">
        <w:rPr>
          <w:lang w:val="en-GB"/>
        </w:rPr>
        <w:fldChar w:fldCharType="begin"/>
      </w:r>
      <w:r w:rsidR="00331A79">
        <w:rPr>
          <w:lang w:val="en-GB"/>
        </w:rPr>
        <w:instrText xml:space="preserve"> ADDIN ZOTERO_ITEM CSL_CITATION {"citationID":"1GBRUUd2","properties":{"formattedCitation":"(Hoegh-Guldberg et al., 2008; J. M. Mueller &amp; Hellmann, 2008; Richardson et al., 2009)","plainCitation":"(Hoegh-Guldberg et al., 2008; J. M. Mueller &amp; Hellmann, 2008; Richardson et al., 2009)","dontUpdate":true,"noteIndex":0},"citationItems":[{"id":25071,"uris":["http://zotero.org/groups/2352922/items/6WBWCM29"],"itemData":{"id":25071,"type":"article-journal","container-title":"SCIENCE","DOI":"10.1126/science.1157897","issue":"5887","page":"345-346","title":"Assisted colonization and rapid climate change","volume":"321","author":[{"family":"Hoegh-Guldberg","given":"Ove"},{"family":"Hughes","given":"L."},{"family":"Mclntyre","given":"S."},{"family":"Lindenmayer","given":"D. B."},{"family":"Parmesan","given":"C."},{"family":"Possingham","given":"H. P."},{"family":"Thomas","given":"C. D."}],"issued":{"date-parts":[["2008"]]}},"label":"page"},{"id":22765,"uris":["http://zotero.org/groups/2352922/items/8KR3RID8"],"itemData":{"id":22765,"type":"article-journal","abstract":"To reduce the risk of extinction due to climate change, some ecologists have suggested human-aided translocation of species, or assisted migration (AM), to areas where climate is projected to become suitable. Such intentional movement, however, may create new invasive species if successful introductions grow out of control and cause ecologic or economic damage. We assessed this risk by surveying invasive species in the United States and categorizing invaders based on origin. Because AM will involve moving species on a regional scale within continents (i.e., range shifts), we used invasive species with an intracontinental origin as a proxy for species that would be moved through AM. We then determined whether intracontinental invasions were more prevalent or harmful than intercontinental invasions. Intracontinental invasions occurred far less frequently than invasions from other continents, but they were just as likely to have had severe effects. Fish and crustaceans pose a particularly high threat of intracontinental invasion. We conclude that the risk of AM to create novel invasive species is small, but assisted species that do become invasive could have large effects. Past experience with species reintroductions may help inform policy regarding AM. © 2008 Society for Conservation Biology.","container-title":"Conservation Biology","DOI":"10.1111/j.1523-1739.2008.00952.x","issue":"3","page":"562-567","title":"An assessment of invasion risk from assisted migration","URL":"https://www.scopus.com/inward/record.uri?eid=2-s2.0-44949095329&amp;doi=10.1111%2fj.1523-1739.2008.00952.x&amp;partnerID=40&amp;md5=81b1355822b634c2f72a4b6a731150c1","volume":"22","author":[{"family":"Mueller","given":"Jillian M"},{"family":"Hellmann","given":"Jessica J"}],"issued":{"date-parts":[["2008"]]}},"label":"page"},{"id":25024,"uris":["http://zotero.org/groups/2352922/items/BZNNEWVT"],"itemData":{"id":25024,"type":"article-journal","container-title":"Proceedings of the National Academy of Sciences","DOI":"10.1073/pnas.0902327106","issue":"24","page":"9721-9724","title":"Multidimensional evaluation of managed relocation","volume":"106","author":[{"family":"Richardson","given":"David M."},{"family":"Hellmann","given":"Jessica J."},{"family":"McLachlan","given":"Jason S."},{"family":"Sax","given":"Dov F."},{"family":"Schwartz","given":"Mark W."},{"family":"Gonzalez","given":"Patrick"},{"family":"Brennan","given":"E. Jean"},{"family":"Camacho","given":"Alejandro"},{"family":"Root","given":"Terry L."},{"family":"Sala","given":"Osvaldo E."},{"family":"Schneider","given":"Stephen H."},{"family":"Ashe","given":"Daniel M."},{"family":"Clark","given":"Jamie Rappaport"},{"family":"Early","given":"Regan"},{"family":"Etterson","given":"Julie R."},{"family":"Fielder","given":"E. Dwight"},{"family":"Gill","given":"Jacquelyn L."},{"family":"Minteer","given":"Ben A."},{"family":"Polasky","given":"Stephen"},{"family":"Safford","given":"Hugh D."},{"family":"Thompson","given":"Andrew R."},{"family":"Vellend","given":"Mark"}],"issued":{"date-parts":[["2009"]]}},"label":"page"}],"schema":"https://github.com/citation-style-language/schema/raw/master/csl-citation.json"} </w:instrText>
      </w:r>
      <w:r w:rsidR="00176437" w:rsidRPr="5575EBFC">
        <w:rPr>
          <w:lang w:val="en-GB"/>
        </w:rPr>
        <w:fldChar w:fldCharType="separate"/>
      </w:r>
      <w:r w:rsidR="4040857D">
        <w:t>Hoegh-Guldberg et al., 2008; J. M. Mueller &amp; Hellmann, 2008; Richardson et al., 2009)</w:t>
      </w:r>
      <w:r w:rsidR="00176437" w:rsidRPr="5575EBFC">
        <w:rPr>
          <w:lang w:val="en-GB"/>
        </w:rPr>
        <w:fldChar w:fldCharType="end"/>
      </w:r>
      <w:r w:rsidRPr="5575EBFC">
        <w:rPr>
          <w:lang w:val="en-GB"/>
        </w:rPr>
        <w:t xml:space="preserve"> is concerned with moving species into areas beyond the range in which they have a recent evolutionary history. </w:t>
      </w:r>
      <w:r w:rsidR="3CE3AC2F" w:rsidRPr="5575EBFC">
        <w:rPr>
          <w:lang w:val="en-GB"/>
        </w:rPr>
        <w:t xml:space="preserve">Assisted colonization </w:t>
      </w:r>
      <w:r w:rsidRPr="5575EBFC">
        <w:rPr>
          <w:lang w:val="en-GB"/>
        </w:rPr>
        <w:t xml:space="preserve">could become a significant driver </w:t>
      </w:r>
      <w:r w:rsidR="53170B51" w:rsidRPr="5575EBFC">
        <w:rPr>
          <w:lang w:val="en-GB"/>
        </w:rPr>
        <w:t xml:space="preserve">facilitating </w:t>
      </w:r>
      <w:r w:rsidRPr="5575EBFC">
        <w:rPr>
          <w:lang w:val="en-GB"/>
        </w:rPr>
        <w:t xml:space="preserve">biological invasions in the future as climate change adaptation and ecosystem restoration strategies increasingly argue for species translocation </w:t>
      </w:r>
      <w:r w:rsidR="00176437" w:rsidRPr="5575EBFC">
        <w:rPr>
          <w:lang w:val="en-GB"/>
        </w:rPr>
        <w:fldChar w:fldCharType="begin"/>
      </w:r>
      <w:r w:rsidR="00331A79">
        <w:rPr>
          <w:lang w:val="en-GB"/>
        </w:rPr>
        <w:instrText xml:space="preserve"> ADDIN ZOTERO_ITEM CSL_CITATION {"citationID":"Un6I58Qg","properties":{"formattedCitation":"(D. M. Hansen, 2015; Lunt et al., 2013)","plainCitation":"(D. M. Hansen, 2015; Lunt et al., 2013)","noteIndex":0},"citationItems":[{"id":15664,"uris":["http://zotero.org/groups/2352922/items/HU5AB4ZR"],"itemData":{"id":15664,"type":"article-journal","abstract":"There is a heated debate about whether all non-native species are ‘guilty until proven innocent’, or whether some should be accepted or even welcomed. Further fanning the flames, I here present a case where introductions of carefully vetted, non-native species could provide a net conservation benefit. On many islands, native megaherbivores (flightless birds, tortoises) recently went extinct. Here, rewilding with carefully selected non-native species as ecological replacements is increasingly considered a solution, reinstating a herbivory regime that largely benefits the native flora. Based on these efforts, I suggest that restoration practitioners working on islands without a history of native megaherbivores that are threatened by invasive plants should consider introducing a non-native island megaherbivore, and that large and giant tortoises are ideal candidates. Such tortoises would be equally useful on islands where eradication of invasive mammals has led to increased problems with invasive plants, or on islands that never had introduced mammalian herbivores, but where invasive plants are a problem. My proposal may seem radical, but the reversibility of using giant tortoises means that nothing is lost from trying, and that indeed much is to be gained. As an easily regulated adaptive management tool, it represents an innovative, hypothesis-driven ‘innocent until proven guilty’ approach.","container-title":"AoB Plants","DOI":"doi: 10.1093/aobpla/plv085","page":"plv085","title":"Non-native megaherbivores: the case for novel function to manage plant invasions on islands.","volume":"7","author":[{"family":"Hansen","given":"D. M."}],"issued":{"date-parts":[["2015"]]}},"label":"page"},{"id":11434,"uris":["http://zotero.org/groups/2352922/items/7CXYVX63"],"itemData":{"id":11434,"type":"article-journal","abstract":"Assisted colonisation has received considerable attention recently, and the risks and beneﬁts of introducing taxa to sites beyond their historical range have been vigorously debated. The debate has primarily focused on using assisted colonization to enhance the persistence of taxa that would otherwise be stranded in unsuitable habitat as a consequence of anthropogenic climate change and habitat fragmentation. However, a complementary motivation for assisted colonisation could be to relocate taxa to restore declining ecosystem processes that support biodiversity in recipient sites. We compare the beneﬁts and risks of species introductions motivated by either goal, which we respectively term ‘push’ versus ‘pull’ strategies for introductions to preserve single species or for restoration of ecological processes. We highlight that, by focusing on push and neglecting pull options, ecologists have greatly under-estimated potential beneﬁts and risks that may result from assisted colonisation. Assisted colonisation may receive higher priority in climate change adaptation strategies if relocated taxa perform valuable ecological functions (pull) rather than have little collateral beneﬁt (push). Potential roles include enhancing resistance to invasion by undesired species, supporting co-dependent species, performing keystone functions, providing temporally critical resources, replacing taxa of low ecological redundancy, and avoiding time lags in the provisioning of desired functions.","container-title":"Biological Conservation","DOI":"10.1016/j.biocon.2012.08.034","ISSN":"00063207","journalAbbreviation":"Biological Conservation","language":"en","page":"172-177","source":"DOI.org (Crossref)","title":"Using assisted colonisation to conserve biodiversity and restore ecosystem function under climate change","URL":"https://linkinghub.elsevier.com/retrieve/pii/S0006320712003898","volume":"157","author":[{"family":"Lunt","given":"Ian D."},{"family":"Byrne","given":"Margaret"},{"family":"Hellmann","given":"Jessica J."},{"family":"Mitchell","given":"Nicola J."},{"family":"Garnett","given":"Stephen T."},{"family":"Hayward","given":"Matt W."},{"family":"Martin","given":"Tara G."},{"family":"McDonald-Maddden","given":"Eve"},{"family":"Williams","given":"Stephen E."},{"family":"Zander","given":"Kerstin K."}],"accessed":{"date-parts":[["2020",6,21]]},"issued":{"date-parts":[["2013",1]]}},"label":"page"}],"schema":"https://github.com/citation-style-language/schema/raw/master/csl-citation.json"} </w:instrText>
      </w:r>
      <w:r w:rsidR="00176437" w:rsidRPr="5575EBFC">
        <w:rPr>
          <w:lang w:val="en-GB"/>
        </w:rPr>
        <w:fldChar w:fldCharType="separate"/>
      </w:r>
      <w:r w:rsidR="6B5F9B9E">
        <w:t>(D. M. Hansen, 2015; Lunt et al., 2013)</w:t>
      </w:r>
      <w:r w:rsidR="00176437" w:rsidRPr="5575EBFC">
        <w:rPr>
          <w:lang w:val="en-GB"/>
        </w:rPr>
        <w:fldChar w:fldCharType="end"/>
      </w:r>
      <w:r w:rsidRPr="5575EBFC">
        <w:rPr>
          <w:lang w:val="en-GB"/>
        </w:rPr>
        <w:t>. Thus far, assisted colonization</w:t>
      </w:r>
      <w:r w:rsidR="7F6653C3" w:rsidRPr="5575EBFC">
        <w:rPr>
          <w:lang w:val="en-GB"/>
        </w:rPr>
        <w:t>s</w:t>
      </w:r>
      <w:r w:rsidRPr="5575EBFC">
        <w:rPr>
          <w:lang w:val="en-GB"/>
        </w:rPr>
        <w:t xml:space="preserve"> of animals ha</w:t>
      </w:r>
      <w:r w:rsidR="7F6653C3" w:rsidRPr="5575EBFC">
        <w:rPr>
          <w:lang w:val="en-GB"/>
        </w:rPr>
        <w:t>ve</w:t>
      </w:r>
      <w:r w:rsidRPr="5575EBFC">
        <w:rPr>
          <w:lang w:val="en-GB"/>
        </w:rPr>
        <w:t xml:space="preserve"> typically involved relatively short-distance translocations, most often to islands (e.g., </w:t>
      </w:r>
      <w:r w:rsidR="00176437" w:rsidRPr="5575EBFC">
        <w:rPr>
          <w:lang w:val="en-GB"/>
        </w:rPr>
        <w:fldChar w:fldCharType="begin"/>
      </w:r>
      <w:r w:rsidR="00331A79">
        <w:rPr>
          <w:lang w:val="en-GB"/>
        </w:rPr>
        <w:instrText xml:space="preserve"> ADDIN ZOTERO_ITEM CSL_CITATION {"citationID":"dol5Um8F","properties":{"formattedCitation":"(Freifeld et al., 2016; Griffiths et al., 2010; Scoleri et al., 2020)","plainCitation":"(Freifeld et al., 2016; Griffiths et al., 2010; Scoleri et al., 2020)","dontUpdate":true,"noteIndex":0},"citationItems":[{"id":23852,"uris":["http://zotero.org/groups/2352922/items/KJV2XJZN"],"itemData":{"id":23852,"type":"article-journal","container-title":"Biological Conservation","DOI":"10.1016/j.biocon.2016.05.006","ISSN":"00063207","journalAbbreviation":"Biological Conservation","language":"en","page":"146-156","source":"DOI.org (Crossref)","title":"Long-distance translocations to create a second millerbird population and reduce extinction risk","URL":"https://linkinghub.elsevier.com/retrieve/pii/S0006320716301872","volume":"199","author":[{"family":"Freifeld","given":"Holly B."},{"family":"Plentovich","given":"Sheldon"},{"family":"Farmer","given":"Chris"},{"family":"Kohley","given":"Charles R."},{"family":"Luscomb","given":"Peter"},{"family":"Work","given":"Thierry M."},{"family":"Tsukayama","given":"Daniel"},{"family":"Wallace","given":"George E."},{"family":"MacDonald","given":"Mark A."},{"family":"Conant","given":"Sheila"}],"accessed":{"date-parts":[["2020",8,19]]},"iss</w:instrText>
      </w:r>
      <w:r w:rsidR="00331A79">
        <w:rPr>
          <w:rFonts w:hint="eastAsia"/>
          <w:lang w:val="en-GB"/>
        </w:rPr>
        <w:instrText>ued":{"date-parts":[["2016",7]]}},"label":"page"},{"id":25074,"uris":["http://zotero.org/groups/2352922/items/4HPVAUVD"],"itemData":{"id":25074,"type":"article-journal","abstract":"We argue that the introduction of non</w:instrText>
      </w:r>
      <w:r w:rsidR="00331A79">
        <w:rPr>
          <w:rFonts w:hint="eastAsia"/>
          <w:lang w:val="en-GB"/>
        </w:rPr>
        <w:instrText>‐</w:instrText>
      </w:r>
      <w:r w:rsidR="00331A79">
        <w:rPr>
          <w:rFonts w:hint="eastAsia"/>
          <w:lang w:val="en-GB"/>
        </w:rPr>
        <w:instrText>native extant tortoises as ecologica</w:instrText>
      </w:r>
      <w:r w:rsidR="00331A79">
        <w:rPr>
          <w:lang w:val="en-GB"/>
        </w:rPr>
        <w:instrText>l replacements for extinct giant tortoises is a realistic restoration management scheme, which is easy to implement. We discuss how the recent extinctions of endemic giant Cylindraspis tortoises on the Mascarene Islands have left a legacy of ecosystem dysfunction threatening the remnants of native biota, focusing on the island of Mauritius because this is where most has been inferred about plant–tortoise interactions. There is a pressing need to restore and preserve several Mauritian habitats and plant co</w:instrText>
      </w:r>
      <w:r w:rsidR="00331A79">
        <w:rPr>
          <w:rFonts w:hint="eastAsia"/>
          <w:lang w:val="en-GB"/>
        </w:rPr>
        <w:instrText>mmunities that suffer from ecosystem dysfunction. We discuss ongoing restoration efforts on the Mauritian offshore Round Island, which provide a case study highlighting how tortoise substitutes are being used in an experimental and hypothesis</w:instrText>
      </w:r>
      <w:r w:rsidR="00331A79">
        <w:rPr>
          <w:rFonts w:hint="eastAsia"/>
          <w:lang w:val="en-GB"/>
        </w:rPr>
        <w:instrText>‐</w:instrText>
      </w:r>
      <w:r w:rsidR="00331A79">
        <w:rPr>
          <w:rFonts w:hint="eastAsia"/>
          <w:lang w:val="en-GB"/>
        </w:rPr>
        <w:instrText>driven conse</w:instrText>
      </w:r>
      <w:r w:rsidR="00331A79">
        <w:rPr>
          <w:lang w:val="en-GB"/>
        </w:rPr>
        <w:instrText>rvation and restoration project. The immediate conservation concern was to prevent the extinction and further degradation of Round Island's threatened flora and fauna. In the long term, the introduction of tortoises to Round Island will lead to valuable m</w:instrText>
      </w:r>
      <w:r w:rsidR="00331A79">
        <w:rPr>
          <w:rFonts w:hint="eastAsia"/>
          <w:lang w:val="en-GB"/>
        </w:rPr>
        <w:instrText>anagement and restoration insights for subsequent larger</w:instrText>
      </w:r>
      <w:r w:rsidR="00331A79">
        <w:rPr>
          <w:rFonts w:hint="eastAsia"/>
          <w:lang w:val="en-GB"/>
        </w:rPr>
        <w:instrText>‐</w:instrText>
      </w:r>
      <w:r w:rsidR="00331A79">
        <w:rPr>
          <w:rFonts w:hint="eastAsia"/>
          <w:lang w:val="en-GB"/>
        </w:rPr>
        <w:instrText>scale mainland restoration projects. This case study further highlights the feasibility, versatility and low</w:instrText>
      </w:r>
      <w:r w:rsidR="00331A79">
        <w:rPr>
          <w:rFonts w:hint="eastAsia"/>
          <w:lang w:val="en-GB"/>
        </w:rPr>
        <w:instrText>‐</w:instrText>
      </w:r>
      <w:r w:rsidR="00331A79">
        <w:rPr>
          <w:rFonts w:hint="eastAsia"/>
          <w:lang w:val="en-GB"/>
        </w:rPr>
        <w:instrText>risk nature of using tortoises in restoration programs, with particular reference to thei</w:instrText>
      </w:r>
      <w:r w:rsidR="00331A79">
        <w:rPr>
          <w:lang w:val="en-GB"/>
        </w:rPr>
        <w:instrText>r introduction to island ecosystems. Overall, the use of extant tortoises as replacements for extinct ones is a good example of how conservation and restoration biology concepts applied at a smaller scale can be microcosms for more grandiose schemes and a</w:instrText>
      </w:r>
      <w:r w:rsidR="00331A79">
        <w:rPr>
          <w:rFonts w:hint="eastAsia"/>
          <w:lang w:val="en-GB"/>
        </w:rPr>
        <w:instrText>ddresses more immediate conservation priorities than large</w:instrText>
      </w:r>
      <w:r w:rsidR="00331A79">
        <w:rPr>
          <w:rFonts w:hint="eastAsia"/>
          <w:lang w:val="en-GB"/>
        </w:rPr>
        <w:instrText>‐</w:instrText>
      </w:r>
      <w:r w:rsidR="00331A79">
        <w:rPr>
          <w:rFonts w:hint="eastAsia"/>
          <w:lang w:val="en-GB"/>
        </w:rPr>
        <w:instrText>scale ecosystem rewilding projects","container-title":"Restoration Ecology","DOI":"10.1111/j.1526-100X.2009.00612.x","issue":"1","page":"1-7","title":"The use of extant non-indigenous tortoises as</w:instrText>
      </w:r>
      <w:r w:rsidR="00331A79">
        <w:rPr>
          <w:lang w:val="en-GB"/>
        </w:rPr>
        <w:instrText xml:space="preserve"> a restoration tool to replace extinct ecosystem engineers.","volume":"18","author":[{"family":"Griffiths","given":"Christine .J."},{"family":"Jones","given":"Carl J."},{"family":"Hansen","given":"Dennis M."},{"family":"Puttoo","given":"Manikchand"},{"family":"Tatayah","given":"Rabindra V."},{"family":"Müller","given":"Christine B."},{"family":"Harris","given":"Stephen"}],"issued":{"date-parts":[["2010"]]}},"label":"page"},{"id":23850,"uris":["http://zotero.org/groups/2352922/items/FVFCQBCX"],"itemData":{"id":23850,"type":"article-journal","container-title":"Biological Conservation","DOI":"10.1016/j.biocon.2020.108635","ISSN":"00063207","journalAbbreviation":"Biological Conservation","language":"en","page":"108635","source":"DOI.org (Crossref)","title":"Conservation trade-offs: Island introduction of a threatened predator suppresses invasive mesopredators but eliminates a seabird colony","title-short":"Conservation trade-offs","URL":"https://linkinghub.elsevier.com/retrieve/pii/S0006320720306935","volume":"248","author":[{"family":"Scoleri","given":"Vincent P."},{"family":"Johnson","given":"Christopher N."},{"family":"Vertigan","given":"Peter"},{"family":"Jones","given":"Menna E."}],"accessed":{"date-parts":[["2020",8,19]]},"issued":{"date-parts":[["2020",8]]}},"label":"page"}],"schema":"https://github.com/citation-style-language/schema/raw/master/csl-citation.json"} </w:instrText>
      </w:r>
      <w:r w:rsidR="00176437" w:rsidRPr="5575EBFC">
        <w:rPr>
          <w:lang w:val="en-GB"/>
        </w:rPr>
        <w:fldChar w:fldCharType="separate"/>
      </w:r>
      <w:r w:rsidRPr="5575EBFC">
        <w:rPr>
          <w:lang w:val="en-GB"/>
        </w:rPr>
        <w:t>Freifeld et al., 2016; Griffiths et al., 2010; Scoleri et al., 2020)</w:t>
      </w:r>
      <w:r w:rsidR="00176437" w:rsidRPr="5575EBFC">
        <w:rPr>
          <w:lang w:val="en-GB"/>
        </w:rPr>
        <w:fldChar w:fldCharType="end"/>
      </w:r>
      <w:r w:rsidRPr="5575EBFC">
        <w:rPr>
          <w:lang w:val="en-GB"/>
        </w:rPr>
        <w:t xml:space="preserve">. Since the mid-2000s there have been an increasing number of proposals to intentionally introduce plants and animals to favourable habitats beyond their historical ranges, with the goal of protecting such species against climate change and other environmental stressors </w:t>
      </w:r>
      <w:r w:rsidR="00176437" w:rsidRPr="5575EBFC">
        <w:rPr>
          <w:lang w:val="en-GB"/>
        </w:rPr>
        <w:fldChar w:fldCharType="begin"/>
      </w:r>
      <w:r w:rsidR="00F5121E">
        <w:rPr>
          <w:lang w:val="en-GB"/>
        </w:rPr>
        <w:instrText xml:space="preserve"> ADDIN ZOTERO_ITEM CSL_CITATION {"citationID":"QVS8574C","properties":{"formattedCitation":"(Seddon, 2010)","plainCitation":"(Seddon, 2010)","noteIndex":0},"citationItems":[{"id":15406,"uris":["http://zotero.org/groups/2352922/items/52DCRTKE"],"itemData":{"id":15406,"type":"article-journal","abstract":"Translocation, the intentional movement of living organisms from one area to another is increasingly being used as a conservation tool to overcome barriers to dispersal. A dichotomy exists for conservation-oriented translocations: on one hand, there are those that release plants or animals into known historic ranges and on the other hand, there are releases outside historic distributions. Misuse of or attempts to redefine established terms and a proliferation of variants of new terms such as assisted colonization, confuse and hamper communication. The aim of this opinion article is to describe and define a conservation translocation spectrum, from species reintroductions to assisted colonization, and beyond, and in so doing provide a standard framework and terminology for discussing translocation options. I suggest that we are moving along this spectrum, away from the dictates of historical species distribution records, toward the inclusion of more risky interventions that will be required to respond to habitat shifts due to anthropogenic impacts. To some extent rapid climate change changes everything, including how we should view introductions versus reintroductions. We need to seriously consider adding other approaches to our conservation toolbox. Assisted colonization will start us along this path, acknowledging as it does the accelerated rate of habitat change and the problems of attempting to preserve dynamic systems. The next step along the conservation translocation spectrum may be for reintroduction biology and restoration ecology to more comprehensively join forces on carefully selected projects to use species introductions to create novel ecosystems through active ecological community construction.","container-title":"Restoration Ecology","DOI":"10.1111/j.1526-100X.2010.00724.x","issue":"6","page":"796-802","title":"From Reintroduction to Assisted Colonization: Moving along the Conservation Translocation Spectrum","volume":"18","author":[{"family":"Seddon","given":"Philip"}],"issued":{"date-parts":[["2010"]]}},"label":"page"}],"schema":"https://github.com/citation-style-language/schema/raw/master/csl-citation.json"} </w:instrText>
      </w:r>
      <w:r w:rsidR="00176437" w:rsidRPr="5575EBFC">
        <w:rPr>
          <w:lang w:val="en-GB"/>
        </w:rPr>
        <w:fldChar w:fldCharType="separate"/>
      </w:r>
      <w:r w:rsidR="6B5F9B9E">
        <w:t>(Seddon, 2010)</w:t>
      </w:r>
      <w:r w:rsidR="00176437" w:rsidRPr="5575EBFC">
        <w:rPr>
          <w:lang w:val="en-GB"/>
        </w:rPr>
        <w:fldChar w:fldCharType="end"/>
      </w:r>
      <w:r w:rsidRPr="5575EBFC">
        <w:rPr>
          <w:lang w:val="en-GB"/>
        </w:rPr>
        <w:t xml:space="preserve">. </w:t>
      </w:r>
    </w:p>
    <w:p w14:paraId="10D7C72E" w14:textId="2620C33C" w:rsidR="00176437" w:rsidRPr="00DA249F" w:rsidRDefault="00176437" w:rsidP="00176437">
      <w:pPr>
        <w:pBdr>
          <w:top w:val="single" w:sz="4" w:space="1" w:color="auto"/>
          <w:left w:val="single" w:sz="4" w:space="4" w:color="auto"/>
          <w:bottom w:val="single" w:sz="4" w:space="1" w:color="auto"/>
          <w:right w:val="single" w:sz="4" w:space="4" w:color="auto"/>
        </w:pBdr>
        <w:shd w:val="clear" w:color="auto" w:fill="E7E6E6" w:themeFill="background2"/>
        <w:rPr>
          <w:lang w:val="en-GB"/>
        </w:rPr>
      </w:pPr>
      <w:r w:rsidRPr="00DA249F">
        <w:rPr>
          <w:lang w:val="en-GB"/>
        </w:rPr>
        <w:t xml:space="preserve">It has been proposed that decisions regarding assisted colonization schemes can be guided safely by an assessment of the costs and benefits of translocation </w:t>
      </w:r>
      <w:r w:rsidRPr="00DA249F">
        <w:rPr>
          <w:lang w:val="en-GB"/>
        </w:rPr>
        <w:fldChar w:fldCharType="begin"/>
      </w:r>
      <w:r w:rsidR="00331A79">
        <w:rPr>
          <w:lang w:val="en-GB"/>
        </w:rPr>
        <w:instrText xml:space="preserve"> ADDIN ZOTERO_ITEM CSL_CITATION {"citationID":"nPHeGlCU","properties":{"formattedCitation":"(Hoegh-Guldberg et al., 2008)","plainCitation":"(Hoegh-Guldberg et al., 2008)","noteIndex":0},"citationItems":[{"id":25071,"uris":["http://zotero.org/groups/2352922/items/6WBWCM29"],"itemData":{"id":25071,"type":"article-journal","container-title":"SCIENCE","DOI":"10.1126/science.1157897","issue":"5887","page":"345-346","title":"Assisted colonization and rapid climate change","volume":"321","author":[{"family":"Hoegh-Guldberg","given":"Ove"},{"family":"Hughes","given":"L."},{"family":"Mclntyre","given":"S."},{"family":"Lindenmayer","given":"D. B."},{"family":"Parmesan","given":"C."},{"family":"Possingham","given":"H. P."},{"family":"Thomas","given":"C. D."}],"issued":{"date-parts":[["2008"]]}},"label":"page"}],"schema":"https://github.com/citation-style-language/schema/raw/master/csl-citation.json"} </w:instrText>
      </w:r>
      <w:r w:rsidRPr="00DA249F">
        <w:rPr>
          <w:lang w:val="en-GB"/>
        </w:rPr>
        <w:fldChar w:fldCharType="separate"/>
      </w:r>
      <w:r w:rsidR="00144D96" w:rsidRPr="00144D96">
        <w:t>(Hoegh-Guldberg et al., 2008)</w:t>
      </w:r>
      <w:r w:rsidRPr="00DA249F">
        <w:rPr>
          <w:lang w:val="en-GB"/>
        </w:rPr>
        <w:fldChar w:fldCharType="end"/>
      </w:r>
      <w:r w:rsidRPr="00DA249F">
        <w:rPr>
          <w:lang w:val="en-GB"/>
        </w:rPr>
        <w:t xml:space="preserve">, including the potential ecological or economic impacts of biological invasions. Others have argued that the ability of ecologists to forecast ecological costs is weak </w:t>
      </w:r>
      <w:r w:rsidRPr="00DA249F">
        <w:rPr>
          <w:lang w:val="en-GB"/>
        </w:rPr>
        <w:fldChar w:fldCharType="begin"/>
      </w:r>
      <w:r w:rsidR="00F5121E">
        <w:rPr>
          <w:lang w:val="en-GB"/>
        </w:rPr>
        <w:instrText xml:space="preserve"> ADDIN ZOTERO_ITEM CSL_CITATION {"citationID":"v8JmnQBj","properties":{"formattedCitation":"(Ricciardi &amp; Simberloff, 2009)","plainCitation":"(Ricciardi &amp; Simberloff, 2009)","noteIndex":0},"citationItems":[{"id":16956,"uris":["http://zotero.org/groups/2352922/items/5BPH3TS6"],"itemData":{"id":16956,"type":"article-journal","abstract":"A potential conservation strategy increasingly discussed by conservation biologists is the translocation of species to favorable habitat beyond their native range to protect them from human-induced threats, such as climate change. Even if preceded by careful risk assessment, such action is likely to produce myriad unintended and unpredictable consequences. Accurate risk assessment is impeded by contingency: the impacts of introduced species vary over time and space under the influence of local environmental variables, interspecific interactions and evolutionary change. Some impacts, such as native species extinctions, are large and irrevocable. Here we argue that conservation biologists have not yet developed a sufficient understanding of the impacts of introduced species to make informed decisions regarding species translocations.","container-title":"Trends in Ecology &amp; Evolution","DOI":"10.1016/j.tree.2008.12.006","ISSN":"0169-5347","issue":"5","note":"WOS:000266188100005","page":"248-253","title":"Assisted colonization is not a viable conservation strategy","volume":"24","author":[{"family":"Ricciardi","given":"Anthony"},{"family":"Simberloff","given":"Daniel"}],"issued":{"date-parts":[["2009",5]]}},"label":"page"}],"schema":"https://github.com/citation-style-language/schema/raw/master/csl-citation.json"} </w:instrText>
      </w:r>
      <w:r w:rsidRPr="00DA249F">
        <w:rPr>
          <w:lang w:val="en-GB"/>
        </w:rPr>
        <w:fldChar w:fldCharType="separate"/>
      </w:r>
      <w:r w:rsidR="00144D96" w:rsidRPr="00144D96">
        <w:t>(Ricciardi &amp; Simberloff, 2009)</w:t>
      </w:r>
      <w:r w:rsidRPr="00DA249F">
        <w:rPr>
          <w:lang w:val="en-GB"/>
        </w:rPr>
        <w:fldChar w:fldCharType="end"/>
      </w:r>
      <w:r w:rsidRPr="00DA249F">
        <w:rPr>
          <w:lang w:val="en-GB"/>
        </w:rPr>
        <w:t xml:space="preserve">. Some researchers suggest that the risks of ecological disruption can be reduced by moving species within the same continent </w:t>
      </w:r>
      <w:r w:rsidRPr="00DA249F">
        <w:rPr>
          <w:lang w:val="en-GB"/>
        </w:rPr>
        <w:fldChar w:fldCharType="begin"/>
      </w:r>
      <w:r w:rsidR="00331A79">
        <w:rPr>
          <w:lang w:val="en-GB"/>
        </w:rPr>
        <w:instrText xml:space="preserve"> ADDIN ZOTERO_ITEM CSL_CITATION {"citationID":"k2FgQXxz","properties":{"formattedCitation":"(J. M. Mueller &amp; Hellmann, 2008)","plainCitation":"(J. M. Mueller &amp; Hellmann, 2008)","noteIndex":0},"citationItems":[{"id":22765,"uris":["http://zotero.org/groups/2352922/items/8KR3RID8"],"itemData":{"id":22765,"type":"article-journal","abstract":"To reduce the risk of extinction due to climate change, some ecologists have suggested human-aided translocation of species, or assisted migration (AM), to areas where climate is projected to become suitable. Such intentional movement, however, may create new invasive species if successful introductions grow out of control and cause ecologic or economic damage. We assessed this risk by surveying invasive species in the United States and categorizing invaders based on origin. Because AM will involve moving species on a regional scale within continents (i.e., range shifts), we used invasive species with an intracontinental origin as a proxy for species that would be moved through AM. We then determined whether intracontinental invasions were more prevalent or harmful than intercontinental invasions. Intracontinental invasions occurred far less frequently than invasions from other continents, but they were just as likely to have had severe effects. Fish and crustaceans pose a particularly high threat of intracontinental invasion. We conclude that the risk of AM to create novel invasive species is small, but assisted species that do become invasive could have large effects. Past experience with species reintroductions may help inform policy regarding AM. © 2008 Society for Conservation Biology.","container-title":"Conservation Biology","DOI":"10.1111/j.1523-1739.2008.00952.x","issue":"3","page":"562-567","title":"An assessment of invasion risk from assisted migration","URL":"https://www.scopus.com/inward/record.uri?eid=2-s2.0-44949095329&amp;doi=10.1111%2fj.1523-1739.2008.00952.x&amp;partnerID=40&amp;md5=81b1355822b634c2f72a4b6a731150c1","volume":"22","author":[{"family":"Mueller","given":"Jillian M"},{"family":"Hellmann","given":"Jessica J"}],"issued":{"date-parts":[["2008"]]}},"label":"page"}],"schema":"https://github.com/citation-style-language/schema/raw/master/csl-citation.json"} </w:instrText>
      </w:r>
      <w:r w:rsidRPr="00DA249F">
        <w:rPr>
          <w:lang w:val="en-GB"/>
        </w:rPr>
        <w:fldChar w:fldCharType="separate"/>
      </w:r>
      <w:r w:rsidR="00144D96" w:rsidRPr="00144D96">
        <w:t>(J. M. Mueller &amp; Hellmann, 2008)</w:t>
      </w:r>
      <w:r w:rsidRPr="00DA249F">
        <w:rPr>
          <w:lang w:val="en-GB"/>
        </w:rPr>
        <w:fldChar w:fldCharType="end"/>
      </w:r>
      <w:r w:rsidRPr="00DA249F">
        <w:rPr>
          <w:lang w:val="en-GB"/>
        </w:rPr>
        <w:t>, especially where closely related species exist. In such situations the translocated species is less likely to encounter communities that lack eco</w:t>
      </w:r>
      <w:r w:rsidR="002F3B5B" w:rsidRPr="00DA249F">
        <w:rPr>
          <w:lang w:val="en-GB"/>
        </w:rPr>
        <w:t>-</w:t>
      </w:r>
      <w:r w:rsidRPr="00DA249F">
        <w:rPr>
          <w:lang w:val="en-GB"/>
        </w:rPr>
        <w:t xml:space="preserve">evolutionary experience with functionally similar taxa and thus </w:t>
      </w:r>
      <w:r w:rsidR="00676649">
        <w:rPr>
          <w:lang w:val="en-GB"/>
        </w:rPr>
        <w:t>the species’</w:t>
      </w:r>
      <w:r w:rsidR="00676649" w:rsidRPr="00DA249F">
        <w:rPr>
          <w:lang w:val="en-GB"/>
        </w:rPr>
        <w:t xml:space="preserve"> </w:t>
      </w:r>
      <w:r w:rsidRPr="00DA249F">
        <w:rPr>
          <w:lang w:val="en-GB"/>
        </w:rPr>
        <w:t>abundance and impact are more likely to be constrained through species interactions; however, this rationale ignores risks of hybridization, competitive displacement</w:t>
      </w:r>
      <w:r w:rsidR="00774819">
        <w:rPr>
          <w:lang w:val="en-GB"/>
        </w:rPr>
        <w:t xml:space="preserve"> and</w:t>
      </w:r>
      <w:r w:rsidRPr="00DA249F">
        <w:rPr>
          <w:lang w:val="en-GB"/>
        </w:rPr>
        <w:t xml:space="preserve"> disease transmission </w:t>
      </w:r>
      <w:r w:rsidRPr="00DA249F">
        <w:rPr>
          <w:lang w:val="en-GB"/>
        </w:rPr>
        <w:fldChar w:fldCharType="begin"/>
      </w:r>
      <w:r w:rsidR="00331A79">
        <w:rPr>
          <w:lang w:val="en-GB"/>
        </w:rPr>
        <w:instrText xml:space="preserve"> ADDIN ZOTERO_ITEM CSL_CITATION {"citationID":"kuKqqELC","properties":{"formattedCitation":"(Arcella et al., 2014; Morales et al., 2013; Simler et al., 2019)","plainCitation":"(Arcella et al., 2014; Morales et al., 2013; Simler et al., 2019)","noteIndex":0},"citationItems":[{"id":24864,"uris":["http://zotero.org/groups/2352922/items/2N5A9KHU"],"itemData":{"id":24864,"type":"article-journal","container-title":"Journal of Crustacean Biology","DOI":"https://doi.org/10.1163/1937240X-00002204","issue":"2","page":"157-164","title":"The role of hybridization in a species invasion and extirpation of resident fauna: hybrid vigor and breakdown in the rusty crayfish, &lt;i&gt;Orconectes rusticus&lt;/i&gt;.","volume":"34","author":[{"family":"Arcella","given":"Tracy E."},{"family":"Perry","given":"William L."},{"family":"Lodge","given":"David M."},{"family":"Feder","given":"Jeffrey L."}],"issued":{"date-parts":[["2014"]]}},"label":"page"},{"id":10796,"uris":["http://zotero.org/groups/2352922/items/BCT4AY8V"],"itemData":{"id":10796,"type":"article-journal","abstract":"Despite rising global concerns over the potential impacts of non-native bumble bee (Bombus spp) introductions on native species, large-scale and long-term assessments of the consequences of such introductions are lacking. Bombus ruderatus and Bombus terrestris were sequentially introduced into Chile and later entered Argentina's Patagonian region. A large-scale survey in Patagonia reveals that, in 5 years post-arrival, the highly invasive B terrestris has become the most abundant and widespread Bombus species, and its southward spread is concurrent with the geographic retraction of the only native species, Bombus dahlbomii. Furthermore, a 20-year survey of pollinators of the endemic herb Alstroemeria aurea in northern Patagonia indicates that B ruderatus and B terrestris have replaced B dahlbomii, formerly the most abundant pollinator. Although the decline's underlying mechanisms remain unknown, the potential roles of exploitative competition and pathogen co-introduction cannot be ruled out. Given that invasive bumble bees can rapidly extirpate native congeners, further introductions should be discouraged.","container-title":"Frontiers in Ecology and the Environment","DOI":"10.1890/120321","ISSN":"1540-9309","issue":"10","language":"en","license":"© The Ecological Society of America","note":"_eprint: https://esajournals.onlinelibrary.wiley.com/doi/pdf/10.1890/120321","page":"529-534","source":"Wiley Online Library","title":"Rapid ecological replacement of a native bumble bee by invasive species","URL":"https://esajournals.onlinelibrary.wiley.com/doi/abs/10.1890/120321","volume":"11","author":[{"family":"Morales","given":"Carolina L."},{"family":"Arbetman","given":"Marina P."},{"family":"Cameron","given":"Sydney A."},{"family":"Aizen","given":"Marcelo A."}],"accessed":{"date-parts":[["2021",6,16]]},"issued":{"date-parts":[["2013"]]}},"label":"page"},{"id":24865,"uris":["http://zotero.org/groups/2352922/items/C9MZ7UWE"],"itemData":{"id":24865,"type":"article-journal",</w:instrText>
      </w:r>
      <w:r w:rsidR="00331A79">
        <w:rPr>
          <w:rFonts w:hint="eastAsia"/>
          <w:lang w:val="en-GB"/>
        </w:rPr>
        <w:instrText>"abstract":"Translocation of species, populations, or genotypes beyond their historic ranges (i.e., assisted migration [AM]) is an oft</w:instrText>
      </w:r>
      <w:r w:rsidR="00331A79">
        <w:rPr>
          <w:rFonts w:hint="eastAsia"/>
          <w:lang w:val="en-GB"/>
        </w:rPr>
        <w:instrText>‐</w:instrText>
      </w:r>
      <w:r w:rsidR="00331A79">
        <w:rPr>
          <w:rFonts w:hint="eastAsia"/>
          <w:lang w:val="en-GB"/>
        </w:rPr>
        <w:instrText>debated climate adaptation strategy. Well</w:instrText>
      </w:r>
      <w:r w:rsidR="00331A79">
        <w:rPr>
          <w:rFonts w:hint="eastAsia"/>
          <w:lang w:val="en-GB"/>
        </w:rPr>
        <w:instrText>‐</w:instrText>
      </w:r>
      <w:r w:rsidR="00331A79">
        <w:rPr>
          <w:rFonts w:hint="eastAsia"/>
          <w:lang w:val="en-GB"/>
        </w:rPr>
        <w:instrText>intentioned AM actions could alter disease dynamics for target species and rec</w:instrText>
      </w:r>
      <w:r w:rsidR="00331A79">
        <w:rPr>
          <w:lang w:val="en-GB"/>
        </w:rPr>
        <w:instrText xml:space="preserve">ipient sites, resulting in unanticipated detrimental economic and ecological impacts. Although disease risks are occasionally mentioned in AM debates, current regulations or best practices that reduce or mitigate these complex risks are generally lacking in North America. We use the “Disease Triangle”, a foundational framework in pathology, to illustrate pathways through which AM may impact disease emergence, to identify knowledge gaps, and to suggest best practices to reduce disease risks. We highlight empirical examples in which altering pathogen distributions, host communities, and environment have historically resulted in costly and ecologically damaging diseases in plants. Although guidelines to reduce disease risks in AM are generally lacking, policies governing endangered species, invasive species, and disease management can provide starting points for a more comprehensive policy. We use examples from the United States to identify key strengths and weaknesses that can inform regulations to reduce disease risks associated with AM. We argue that consideration of disease motivates policy development that incorporates improved risk assessments, agency coordination, and accountability mechanisms.","container-title":"Conservation Letters","DOI":"10.1111/conl.12605","issue":"2","page":"e12605","title":"Amplifying plant disease risk through assisted migration.","URL":"https://conbio.onlinelibrary.wiley.com/doi/10.1111/conl.12605","volume":"12","author":[{"family":"Simler","given":"A.B."},{"family":"Williamson","given":"Mark"},{"family":"Schwartz","given":"M.W."},{"family":"Rizzo","given":"D.M."}],"issued":{"date-parts":[["2019"]]}},"label":"page"}],"schema":"https://github.com/citation-style-language/schema/raw/master/csl-citation.json"} </w:instrText>
      </w:r>
      <w:r w:rsidRPr="00DA249F">
        <w:rPr>
          <w:lang w:val="en-GB"/>
        </w:rPr>
        <w:fldChar w:fldCharType="separate"/>
      </w:r>
      <w:r w:rsidR="00144D96" w:rsidRPr="00144D96">
        <w:t>(Arcella et al., 2014; Morales et al., 2013; Simler et al., 2019)</w:t>
      </w:r>
      <w:r w:rsidRPr="00DA249F">
        <w:rPr>
          <w:lang w:val="en-GB"/>
        </w:rPr>
        <w:fldChar w:fldCharType="end"/>
      </w:r>
      <w:r w:rsidRPr="00DA249F">
        <w:rPr>
          <w:lang w:val="en-GB"/>
        </w:rPr>
        <w:t xml:space="preserve">. Given the global influence of climate change as a </w:t>
      </w:r>
      <w:r w:rsidRPr="00DA249F">
        <w:rPr>
          <w:lang w:val="en-GB"/>
        </w:rPr>
        <w:lastRenderedPageBreak/>
        <w:t>stressor, the issue of assisted colonization is relevant to biotas in all regions and terrestrial, freshwater</w:t>
      </w:r>
      <w:r w:rsidR="00774819">
        <w:rPr>
          <w:lang w:val="en-GB"/>
        </w:rPr>
        <w:t xml:space="preserve"> and</w:t>
      </w:r>
      <w:r w:rsidRPr="00DA249F">
        <w:rPr>
          <w:lang w:val="en-GB"/>
        </w:rPr>
        <w:t xml:space="preserve"> coastal marine realms.</w:t>
      </w:r>
    </w:p>
    <w:p w14:paraId="4100F026" w14:textId="77777777" w:rsidR="008C1BF7" w:rsidRPr="00DA249F" w:rsidRDefault="0522A120" w:rsidP="004826A3">
      <w:pPr>
        <w:pStyle w:val="Heading3"/>
        <w:rPr>
          <w:lang w:val="en-GB"/>
        </w:rPr>
      </w:pPr>
      <w:bookmarkStart w:id="190" w:name="_Toc44317836"/>
      <w:r w:rsidRPr="00DA249F">
        <w:rPr>
          <w:lang w:val="en-GB"/>
        </w:rPr>
        <w:t xml:space="preserve"> </w:t>
      </w:r>
      <w:r w:rsidR="6619E8BF" w:rsidRPr="00DA249F">
        <w:rPr>
          <w:lang w:val="en-GB"/>
        </w:rPr>
        <w:t>Temperature</w:t>
      </w:r>
      <w:bookmarkEnd w:id="190"/>
      <w:r w:rsidR="0FE85D15" w:rsidRPr="00DA249F">
        <w:rPr>
          <w:lang w:val="en-GB"/>
        </w:rPr>
        <w:t xml:space="preserve"> change</w:t>
      </w:r>
    </w:p>
    <w:p w14:paraId="5C09C3BC" w14:textId="2AC55EFA" w:rsidR="7A47C5C4" w:rsidRPr="00DA249F" w:rsidRDefault="08B0527F" w:rsidP="0090109B">
      <w:pPr>
        <w:rPr>
          <w:lang w:val="en-GB"/>
        </w:rPr>
      </w:pPr>
      <w:r w:rsidRPr="00DA249F">
        <w:rPr>
          <w:lang w:val="en-GB"/>
        </w:rPr>
        <w:t>Global mean surface temperature is projected to rise between 1.</w:t>
      </w:r>
      <w:r w:rsidR="009D1CB6" w:rsidRPr="00DA249F">
        <w:rPr>
          <w:lang w:val="en-GB"/>
        </w:rPr>
        <w:t>4</w:t>
      </w:r>
      <w:r w:rsidRPr="00DA249F">
        <w:rPr>
          <w:lang w:val="en-GB"/>
        </w:rPr>
        <w:t>°C</w:t>
      </w:r>
      <w:r w:rsidR="00BD7991" w:rsidRPr="00DA249F">
        <w:rPr>
          <w:lang w:val="en-GB"/>
        </w:rPr>
        <w:t xml:space="preserve"> </w:t>
      </w:r>
      <w:r w:rsidR="008A7CCB" w:rsidRPr="00DA249F">
        <w:rPr>
          <w:lang w:val="en-GB"/>
        </w:rPr>
        <w:t>and</w:t>
      </w:r>
      <w:r w:rsidR="00BD7991" w:rsidRPr="00DA249F">
        <w:rPr>
          <w:lang w:val="en-GB"/>
        </w:rPr>
        <w:t xml:space="preserve"> </w:t>
      </w:r>
      <w:r w:rsidR="009D1CB6" w:rsidRPr="00DA249F">
        <w:rPr>
          <w:lang w:val="en-GB"/>
        </w:rPr>
        <w:t>4</w:t>
      </w:r>
      <w:r w:rsidRPr="00DA249F">
        <w:rPr>
          <w:lang w:val="en-GB"/>
        </w:rPr>
        <w:t>.</w:t>
      </w:r>
      <w:r w:rsidR="009D1CB6" w:rsidRPr="00DA249F">
        <w:rPr>
          <w:lang w:val="en-GB"/>
        </w:rPr>
        <w:t>4</w:t>
      </w:r>
      <w:r w:rsidRPr="00DA249F">
        <w:rPr>
          <w:lang w:val="en-GB"/>
        </w:rPr>
        <w:t xml:space="preserve">°C by the end of the </w:t>
      </w:r>
      <w:r w:rsidR="00EF33C9" w:rsidRPr="00DA249F">
        <w:rPr>
          <w:lang w:val="en-GB"/>
        </w:rPr>
        <w:t>twenty-first</w:t>
      </w:r>
      <w:r w:rsidRPr="00DA249F">
        <w:rPr>
          <w:lang w:val="en-GB"/>
        </w:rPr>
        <w:t xml:space="preserve"> century (2081–2100) relative to 1986–2005</w:t>
      </w:r>
      <w:r w:rsidR="00D63981">
        <w:rPr>
          <w:lang w:val="en-GB"/>
        </w:rPr>
        <w:t>,</w:t>
      </w:r>
      <w:r w:rsidRPr="00DA249F">
        <w:rPr>
          <w:lang w:val="en-GB"/>
        </w:rPr>
        <w:t xml:space="preserve"> depending on how greenhouse gas emissions develop </w:t>
      </w:r>
      <w:r w:rsidR="675F67A8" w:rsidRPr="00DA249F">
        <w:rPr>
          <w:lang w:val="en-GB"/>
        </w:rPr>
        <w:fldChar w:fldCharType="begin"/>
      </w:r>
      <w:r w:rsidR="00331A79">
        <w:rPr>
          <w:lang w:val="en-GB"/>
        </w:rPr>
        <w:instrText xml:space="preserve"> ADDIN ZOTERO_ITEM CSL_CITATION {"citationID":"7yuWvc11","properties":{"unsorted":true,"formattedCitation":"(Arias et al., 2021; IPCC, 2014, 2021)","plainCitation":"(Arias et al., 2021; IPCC, 2014, 2021)","noteIndex":0},"citationItems":[{"id":31746,"uris":["http://zotero.org/groups/2352922/items/QPKJ2SVA"],"itemData":{"id":31746,"type":"paper-conference","event-title":"Sixth Assessment Report of the Intergovernmental Panel on Climate Change","title":"Working Group 1: The Physical Science Basis; Technical Summary","URL":"https://www.ipcc.ch/report/ar6/wg1/chapter/technical-summary/","author":[{"family":"Arias","given":"Paola"},{"family":"Bellouin","given":"Nicolas"},{"family":"Coppola","given":"Erika"},{"family":"Jones","given":"Richard"},{"family":"Krinner","given":"Gerhard"},{"family":"Marotzke","given":"Jochem"},{"family":"Naik","given":"Vaishali"},{"family":"Palmer","given":"Matthew"},{"family":"Plattner","given":"G.-K."},{"family":"Rogelj","given":"Joeri"}],"issued":{"date-parts":[["2021"]]}},"label":"page"},{"id":29761,"uris":["http://zotero.org/groups/2352922/items/3I6BFRSK"],"itemData":{"id":29761,"type":"report","abstract":"ePIC (electronic Publication Information Center) is the official repository for publications and presentations of Alfred Wegener Institute for Polar and Marine Research (AWI)","event-place":"Geneva, Switzerland","note":"page: 151\ncontainer-title: EPIC3Geneva, Switzerland, IPCC, 151 p., pp. 151, ISBN: 978-92-9169-143-2","page":"151pp","publisher":"IPCC","publisher-place":"Geneva, Switzerland","source":"epic.awi.de","title":"Climate Change 2014: Synthesis Report. Contribution of Working Groups I, II and III to the Fifth Assessment Report of the Intergovernmental Panel on Climate Change","title-short":"Climate Change 2014","URL":"https://epic.awi.de/id/eprint/37530/","author":[{"literal":"IPCC"}],"collection-editor":[{"family":"Pachauri","given":"Rajendra K."},{"family":"Allen","given":"Myles R."}],"accessed":{"date-parts":[["2021",7,31]]},"issued":{"date-parts":[["2014"]]}},"label":"page"},{"id":29622,"uris":["http://zotero.org/groups/2352922/items/EHM5HDB3"],"itemData":{"id":29622,"type":"article-journal","container-title":"Cambridge University Press","DOI":"10.1017/9781009157896","title":"Climate Change 2021: The Physical Science Basis. Contribution of Working Group I to the Sixth Assessment Report of the Intergovernmental Panel on Climate Change","author":[{"literal":"IPCC"}],"contributor":[{"family":"Masson-Delmotte","given":"V."},{"family":"Zhai","given":"P."},{"family":"Pirani","given":"A."},{"family":"Connors","given":"S. L."},{"family":"Péan","given":"C."},{"family":"Berger","given":"S."},{"family":"Caud","given":"N."},{"family":"Chen","given":"Y."},{"family":"Goldfarb","given":"L."},{"family":"Gomis","given":"M. I."},{"family":"Huang","given":"M."},{"family":"Leitzell","given":"K."},{"family":"Lonnoy","given":"E."},{"family":"Matthews","given":"J. B. R."},{"family":"Maycock","given":"T. K."},{"family":"Waterfield","given":"T."},{"family":"Yelekçi","given":"O."},{"family":"Yu","given":"R."},{"family":"Zhou","given":"B."}],"issued":{"date-parts":[["2021"]]}},"label":"page"}],"schema":"https://github.com/citation-style-language/schema/raw/master/csl-citation.json"} </w:instrText>
      </w:r>
      <w:r w:rsidR="675F67A8" w:rsidRPr="00DA249F">
        <w:rPr>
          <w:lang w:val="en-GB"/>
        </w:rPr>
        <w:fldChar w:fldCharType="separate"/>
      </w:r>
      <w:r w:rsidR="00144D96" w:rsidRPr="00144D96">
        <w:t>(Arias et al., 2021; IPCC, 2014, 2021)</w:t>
      </w:r>
      <w:r w:rsidR="675F67A8" w:rsidRPr="00DA249F">
        <w:rPr>
          <w:lang w:val="en-GB"/>
        </w:rPr>
        <w:fldChar w:fldCharType="end"/>
      </w:r>
      <w:r w:rsidR="5BB84CCF" w:rsidRPr="00DA249F">
        <w:rPr>
          <w:lang w:val="en-GB"/>
        </w:rPr>
        <w:t xml:space="preserve">. </w:t>
      </w:r>
      <w:r w:rsidR="1C4FF875" w:rsidRPr="00DA249F">
        <w:rPr>
          <w:lang w:val="en-GB"/>
        </w:rPr>
        <w:t xml:space="preserve">Warming seems to be strongest at high northern latitudes </w:t>
      </w:r>
      <w:r w:rsidR="003D1BA7" w:rsidRPr="00DA249F">
        <w:rPr>
          <w:lang w:val="en-GB"/>
        </w:rPr>
        <w:t>and with vari</w:t>
      </w:r>
      <w:r w:rsidR="000D51A2" w:rsidRPr="00DA249F">
        <w:rPr>
          <w:lang w:val="en-GB"/>
        </w:rPr>
        <w:t>able</w:t>
      </w:r>
      <w:r w:rsidR="003D1BA7" w:rsidRPr="00DA249F">
        <w:rPr>
          <w:lang w:val="en-GB"/>
        </w:rPr>
        <w:t xml:space="preserve"> rate</w:t>
      </w:r>
      <w:r w:rsidR="00402808" w:rsidRPr="00DA249F">
        <w:rPr>
          <w:lang w:val="en-GB"/>
        </w:rPr>
        <w:t>s</w:t>
      </w:r>
      <w:r w:rsidR="003D1BA7" w:rsidRPr="00DA249F">
        <w:rPr>
          <w:lang w:val="en-GB"/>
        </w:rPr>
        <w:t xml:space="preserve"> </w:t>
      </w:r>
      <w:r w:rsidR="1C4FF875" w:rsidRPr="00DA249F">
        <w:rPr>
          <w:lang w:val="en-GB"/>
        </w:rPr>
        <w:t xml:space="preserve">in mountainous biomes </w:t>
      </w:r>
      <w:r w:rsidR="003D1BA7" w:rsidRPr="00DA249F">
        <w:rPr>
          <w:lang w:val="en-GB"/>
        </w:rPr>
        <w:t>in comparison to</w:t>
      </w:r>
      <w:r w:rsidR="1C4FF875" w:rsidRPr="00DA249F">
        <w:rPr>
          <w:lang w:val="en-GB"/>
        </w:rPr>
        <w:t xml:space="preserve"> lowlands</w:t>
      </w:r>
      <w:r w:rsidR="003D1BA7" w:rsidRPr="00DA249F">
        <w:rPr>
          <w:lang w:val="en-GB"/>
        </w:rPr>
        <w:t xml:space="preserve"> </w:t>
      </w:r>
      <w:r w:rsidR="009B3700" w:rsidRPr="00DA249F">
        <w:rPr>
          <w:lang w:val="en-GB"/>
        </w:rPr>
        <w:fldChar w:fldCharType="begin"/>
      </w:r>
      <w:r w:rsidR="00331A79">
        <w:rPr>
          <w:lang w:val="en-GB"/>
        </w:rPr>
        <w:instrText xml:space="preserve"> ADDIN ZOTERO_ITEM CSL_CITATION {"citationID":"dRZIoZfI","properties":{"formattedCitation":"(Loarie et al., 2009; Mountain Research Initiative EDW Working Group, 2015; C. Nolan et al., 2018; Q. Wang et al., 2016)","plainCitation":"(Loarie et al., 2009; Mountain Research Initiative EDW Working Group, 2015; C. Nolan et al., 2018; Q. Wang et al., 2016)","noteIndex":0},"citationItems":[{"id":10985,"uris":["http://zotero.org/groups/2352922/items/RUHYECQM"],"itemData":{"id":10985,"type":"article-journal","abstract":"In the event of climate change, species have to move if they are to remain in an area with the same average temperature: their chances of survival therefore depend on the ability to keep pace with a moving climate as well as on the extent of change in temperature and other climate factors. To put this pressure on species into context, a novel index designed to quantify climate change in the coming century has been developed. Its value gives the local velocity along the Earth's surface needed to maintain constant temperatures, and is derived from temperature gradients scaled by distance (°C per km) and time (°C per year). The index provides a quantitative view of the role of topography in buffering climate change as it would affect plants and animals: on the IPCC's A1B emission scenario the index has a global mean of 0.42 km per year, compared to extremes of 0.08 and 1.26 km per year for mountains forest biomes and flooded grasslands, respectively. Climate change velocity, it turns out, is large relative to species migration speeds and the sizes of protected habitats. The data suggest that, in some ecosystems, helping species to relocate more rapidly via habitat corridors or new reserves could be an important contribution to conservation.","container-title":"Nature","DOI":"10.1038/nature08649","ISSN":"1476-4687","issue":"7276","journalAbbreviation":"Nature","page":"1052-1055","title":"The velocity of climate change","URL":"https://doi.org/10.1038/nature08649","volume":"462","author":[{"family":"Loarie","given":"Scott R."},{"family":"Duffy","given":"Philip B."},{"family":"Hamilton","given":"Healy"},{"family":"Asner","given":"Gregory P."},{"family":"Field","given":"Christopher B."},{"family":"Ackerly","given":"David D."}],"issued":{"date-parts":[["2009"]],"season":"prosinec"}},"label":"page"},{"id":24380,"uris":["http://zotero.org/groups/2352922/items/2DLMZQ7W"],"itemData":{"id":24380,"type":"article-journal","container-title":"Nature Climate Change","DOI":"10.1038/nclimate2563","ISSN":"1758-678X, 1758-6798","issue":"5","journalAbbreviation":"Nature Clim Change","language":"en","page":"424-430","source":"DOI.org (Crossref)","title":"Elevation-dependent warming in mountain regions of the world","URL":"http://www.nature.com/articles/nclimate2563","volume":"5","author":[{"literal":"Mountain Research Initiative EDW Working Group"}],"accessed":{"date-parts":[["2021",2,9]]},"issued":{"date-parts":[["2015",5]]}},"label":"page"},{"id":52684,"uris":["http://zotero.org/groups/2352922/items/BCQGM5SB"],"itemData":{"id":52684,"type":"article-journal","container-title":"Science","DOI":"10.1126/science.aan5360","issue":"6405","note":"ISBN: 0036-8075\npublisher: American Association for the Advancement of Science","page":"920-923","title":"Past and future global transformation of terrestrial ecosystems under climate change","volume":"361","author":[{"family":"Nolan","given":"Connor"},{"family":"Overpeck","given":"Jonathan T."},{"family":"Allen","given":"Judy RM"},{"family":"Anderson","given":"Patricia M."},{"family":"Betancourt","given":"Julio L."},{"family":"Binney","given":"Heather A."},{"family":"Brewer","given":"Simon"},{"family":"Bush","given":"Mark B."},{"family":"Chase","given":"Brian M."},{"family":"Cheddadi","given":"Rachid"}],"issued":{"date-parts":[["2018"]]}},"label":"page"},{"id":52685,"uris":["http://zotero.org/groups/2352922/items/UZ3LWZ4J"],"itemData":{"id":52685,"type":"article-journal","container-title":"Scientific Reports","DOI":"10.1038/srep19219","ISSN":"2045-2322","issue":"1","journalAbbreviation":"Sci Rep","language":"en","page":"19219","source":"DOI.org (Crossref)","title":"Evidence of high-elevation amplification versus Arctic amplification","URL":"http://www.nature.com/articles/srep19219","volume":"6","author":[{"family":"Wang","given":"Qixiang"},{"family":"Fan","given":"Xiaohui"},{"family":"Wang","given":"Mengben"}],"accessed":{"date-parts":[["2022",7,28]]},"issued":{"date-parts":[["2016",5]]}},"label":"page"}],"schema":"https://github.com/citation-style-language/schema/raw/master/csl-citation.json"} </w:instrText>
      </w:r>
      <w:r w:rsidR="009B3700" w:rsidRPr="00DA249F">
        <w:rPr>
          <w:lang w:val="en-GB"/>
        </w:rPr>
        <w:fldChar w:fldCharType="separate"/>
      </w:r>
      <w:r w:rsidR="00144D96" w:rsidRPr="00144D96">
        <w:t>(Loarie et al., 2009; Mountain Research Initiative EDW Working Group, 2015; C. Nolan et al., 2018; Q. Wang et al., 2016)</w:t>
      </w:r>
      <w:r w:rsidR="009B3700" w:rsidRPr="00DA249F">
        <w:rPr>
          <w:lang w:val="en-GB"/>
        </w:rPr>
        <w:fldChar w:fldCharType="end"/>
      </w:r>
      <w:r w:rsidR="5F629157" w:rsidRPr="00DA249F">
        <w:rPr>
          <w:lang w:val="en-GB"/>
        </w:rPr>
        <w:t xml:space="preserve">. The warming is associated with other changes </w:t>
      </w:r>
      <w:r w:rsidR="00402808" w:rsidRPr="00DA249F">
        <w:rPr>
          <w:lang w:val="en-GB"/>
        </w:rPr>
        <w:t xml:space="preserve">in </w:t>
      </w:r>
      <w:r w:rsidR="5F629157" w:rsidRPr="00DA249F">
        <w:rPr>
          <w:lang w:val="en-GB"/>
        </w:rPr>
        <w:t xml:space="preserve">ecosystems </w:t>
      </w:r>
      <w:r w:rsidR="00734972" w:rsidRPr="00DA249F">
        <w:rPr>
          <w:lang w:val="en-GB"/>
        </w:rPr>
        <w:t xml:space="preserve">such </w:t>
      </w:r>
      <w:r w:rsidR="5F629157" w:rsidRPr="00DA249F">
        <w:rPr>
          <w:lang w:val="en-GB"/>
        </w:rPr>
        <w:t>as contraction of snow cover</w:t>
      </w:r>
      <w:r w:rsidR="00B5363A" w:rsidRPr="00DA249F">
        <w:rPr>
          <w:lang w:val="en-GB"/>
        </w:rPr>
        <w:t xml:space="preserve"> and</w:t>
      </w:r>
      <w:r w:rsidR="5F629157" w:rsidRPr="00DA249F">
        <w:rPr>
          <w:lang w:val="en-GB"/>
        </w:rPr>
        <w:t xml:space="preserve"> permafrost areas</w:t>
      </w:r>
      <w:r w:rsidR="6BE1CDAA" w:rsidRPr="00DA249F">
        <w:rPr>
          <w:lang w:val="en-GB"/>
        </w:rPr>
        <w:t xml:space="preserve"> </w:t>
      </w:r>
      <w:r w:rsidRPr="00DA249F">
        <w:rPr>
          <w:lang w:val="en-GB"/>
        </w:rPr>
        <w:fldChar w:fldCharType="begin"/>
      </w:r>
      <w:r w:rsidR="00331A79">
        <w:rPr>
          <w:lang w:val="en-GB"/>
        </w:rPr>
        <w:instrText xml:space="preserve"> ADDIN ZOTERO_ITEM CSL_CITATION {"citationID":"TEFxmvun","properties":{"formattedCitation":"(Lul\\uc0\\u225{}kov\\uc0\\u225{} et al., 2019)","plainCitation":"(Luláková et al., 2019)","noteIndex":0},"citationItems":[{"id":24382,"uris":["http://zotero.org/groups/2352922/items/LJKFBLIB"],"itemData":{"id":24382,"type":"article-journal","container-title":"Frontiers in Microbiology","DOI":"10.3389/fmicb.2019.00668","ISSN":"1664-302X","journalAbbreviation":"Front. Microbiol.","page":"668","source":"DOI.org (Crossref)","title":"High-Alpine Permafrost and Active-Layer Soil Microbiomes Differ in Their Response to Elevated Temperatures","URL":"https://www.frontiersin.org/article/10.3389/fmicb.2019.00668/full","volume":"10","author":[{"family":"Luláková","given":"Petra"},{"family":"Perez-Mon","given":"Carla"},{"family":"Šantrůčková","given":"Hana"},{"family":"Ruethi","given":"Joel"},{"family":"Frey","given":"Beat"}],"accessed":{"date-parts":[["2021",2,9]]},"issued":{"date-parts":[["2019",4,3]]}},"label":"page"}],"schema":"https://github.com/citation-style-language/schema/raw/master/csl-citation.json"} </w:instrText>
      </w:r>
      <w:r w:rsidRPr="00DA249F">
        <w:rPr>
          <w:lang w:val="en-GB"/>
        </w:rPr>
        <w:fldChar w:fldCharType="separate"/>
      </w:r>
      <w:r w:rsidR="00144D96" w:rsidRPr="00144D96">
        <w:rPr>
          <w:szCs w:val="24"/>
        </w:rPr>
        <w:t>(Luláková et al., 2019)</w:t>
      </w:r>
      <w:r w:rsidRPr="00DA249F">
        <w:rPr>
          <w:lang w:val="en-GB"/>
        </w:rPr>
        <w:fldChar w:fldCharType="end"/>
      </w:r>
      <w:r w:rsidR="00774819">
        <w:rPr>
          <w:lang w:val="en-GB"/>
        </w:rPr>
        <w:t xml:space="preserve"> and</w:t>
      </w:r>
      <w:r w:rsidR="00B5363A" w:rsidRPr="00DA249F">
        <w:rPr>
          <w:lang w:val="en-GB"/>
        </w:rPr>
        <w:t xml:space="preserve"> increased </w:t>
      </w:r>
      <w:r w:rsidR="00E379E8" w:rsidRPr="00DA249F">
        <w:rPr>
          <w:lang w:val="en-GB"/>
        </w:rPr>
        <w:t>risk of</w:t>
      </w:r>
      <w:r w:rsidR="5F629157" w:rsidRPr="00DA249F">
        <w:rPr>
          <w:lang w:val="en-GB"/>
        </w:rPr>
        <w:t xml:space="preserve"> heat and precipitation extremes</w:t>
      </w:r>
      <w:r w:rsidR="05E6D37A" w:rsidRPr="00DA249F">
        <w:rPr>
          <w:lang w:val="en-GB"/>
        </w:rPr>
        <w:t xml:space="preserve"> </w:t>
      </w:r>
      <w:r w:rsidRPr="00DA249F">
        <w:rPr>
          <w:lang w:val="en-GB"/>
        </w:rPr>
        <w:fldChar w:fldCharType="begin"/>
      </w:r>
      <w:r w:rsidR="00331A79">
        <w:rPr>
          <w:lang w:val="en-GB"/>
        </w:rPr>
        <w:instrText xml:space="preserve"> ADDIN ZOTERO_ITEM CSL_CITATION {"citationID":"eCXxLbFh","properties":{"formattedCitation":"(IPCC, 2007, 2021)","plainCitation":"(IPCC, 2007, 2021)","noteIndex":0},"citationItems":[{"id":24379,"uris":["http://zotero.org/groups/2352922/items/SWKI4SNC"],"itemData":{"id":24379,"type":"book","number-of-pages":"104","publisher":"IPCC, Geneva, Switzerland","title":"Climate Change 2007: Synthesis report. Contribution of Working Groups 1, II, and III to the Fourth Assessment Report of the Intergovernmental Panel on Climate Change.","URL":"https://www.ipcc.ch/","editor":[{"family":"Pachauri","given":"R.K."},{"family":"Reisinger","given":"A."}],"author":[{"literal":"IPCC"}],"issued":{"date-parts":[["2007"]]}},"label":"page"},{"id":29622,"uris":["http://zotero.org/groups/2352922/items/EHM5HDB3"],"itemData":{"id":29622,"type":"article-journal","container-title":"Cambridge University Press","DOI":"10.1017/9781009157896","title":"Climate Change 2021: The Physical Science Basis. Contribution of Working Group I to the Sixth Assessment Report of the Intergovernmental Panel on Climate Change","author":[{"literal":"IPCC"}],"contributor":[{"family":"Masson-Delmotte","given":"V."},{"family":"Zhai","given":"P."},{"family":"Pirani","given":"A."},{"family":"Connors","given":"S. L."},{"family":"Péan","given":"C."},{"family":"Berger","given":"S."},{"family":"Caud","given":"N."},{"family":"Chen","given":"Y."},{"family":"Goldfarb","given":"L."},{"family":"Gomis","given":"M. I."},{"family":"Huang","given":"M."},{"family":"Leitzell","given":"K."},{"family":"Lonnoy","given":"E."},{"family":"Matthews","given":"J. B. R."},{"family":"Maycock","given":"T. K."},{"family":"Waterfield","given":"T."},{"family":"Yelekçi","given":"O."},{"family":"Yu","given":"R."},{"family":"Zhou","given":"B."}],"issued":{"date-parts":[["2021"]]}},"label":"page"}],"schema":"https://github.com/citation-style-language/schema/raw/master/csl-citation.json"} </w:instrText>
      </w:r>
      <w:r w:rsidRPr="00DA249F">
        <w:rPr>
          <w:lang w:val="en-GB"/>
        </w:rPr>
        <w:fldChar w:fldCharType="separate"/>
      </w:r>
      <w:r w:rsidR="00144D96" w:rsidRPr="00144D96">
        <w:t>(IPCC, 2007, 2021)</w:t>
      </w:r>
      <w:r w:rsidRPr="00DA249F">
        <w:rPr>
          <w:lang w:val="en-GB"/>
        </w:rPr>
        <w:fldChar w:fldCharType="end"/>
      </w:r>
      <w:r w:rsidR="5F629157" w:rsidRPr="00DA249F">
        <w:rPr>
          <w:lang w:val="en-GB"/>
        </w:rPr>
        <w:t xml:space="preserve"> </w:t>
      </w:r>
      <w:r w:rsidR="1C4FF875" w:rsidRPr="00DA249F">
        <w:rPr>
          <w:lang w:val="en-GB"/>
        </w:rPr>
        <w:t xml:space="preserve">affecting the productivity and water-use efficiency and </w:t>
      </w:r>
      <w:r w:rsidR="00402808" w:rsidRPr="00DA249F">
        <w:rPr>
          <w:lang w:val="en-GB"/>
        </w:rPr>
        <w:t xml:space="preserve">spatial shifts </w:t>
      </w:r>
      <w:r w:rsidR="1C4FF875" w:rsidRPr="00DA249F">
        <w:rPr>
          <w:lang w:val="en-GB"/>
        </w:rPr>
        <w:t xml:space="preserve">of habitats </w:t>
      </w:r>
      <w:r w:rsidR="675F67A8" w:rsidRPr="00DA249F">
        <w:rPr>
          <w:lang w:val="en-GB"/>
        </w:rPr>
        <w:fldChar w:fldCharType="begin"/>
      </w:r>
      <w:r w:rsidR="00331A79">
        <w:rPr>
          <w:lang w:val="en-GB"/>
        </w:rPr>
        <w:instrText xml:space="preserve"> ADDIN ZOTERO_ITEM CSL_CITATION {"citationID":"vVmViTAE","properties":{"formattedCitation":"(Svenning &amp; Sandel, 2013)","plainCitation":"(Svenning &amp; Sandel, 2013)","noteIndex":0},"citationItems":[{"id":11366,"uris":["http://zotero.org/groups/2352922/items/KUIUQK3M"],"itemData":{"id":11366,"type":"article-journal","abstract":"Premise of the study: Near-future climate changes are likely to elicit major vegetation changes. Disequilibrium dynamics, which occur when vegetation comes out of equilibrium with climate, are potentially a key facet of these. Understanding these dynamics is crucial for making accurate predictions, informing conservation planning, and understanding likely changes in ecosystem function on time scales relevant to society. However, many predictive studies have instead focused on equilibrium end-points with little consideration of the transient trajectories. Methods: We review what we should expect in terms of disequilibrium vegetation dynamics over the next 50-200 yr, covering a broad range of research fields including paleoecology, macroecology, landscape ecology, vegetation science, plant ecology, invasion biology, global change biology, and ecosystem ecology. Key results: The expected climate changes are likely to induce marked vegetation disequilibrium with climate at both leading and trailing edges, with leading-edge disequilibrium dynamics due to lags in migration at continental to landscape scales, in local population build-up and succession, in local evolutionary responses, and in ecosystem development, and trailing-edge disequilibrium dynamics involving delayed local extinctions and slow losses of ecosystem structural components. Interactions with habitat loss and invasive pests and pathogens are likely to further contribute to disequilibrium dynamics. Predictive modeling and climate-change experiments are increasingly representing disequilibrium dynamics, but with scope for improvement. Conclusions: The likely pervasiveness and complexity of vegetation disequilibrium is a major challenge for forecasting ecological dynamics and, combined with the high ecological importance of vegetation, also constitutes a major challenge for future nature conservation.","container-title":"American Journal of Botany","DOI":"10.3732/ajb.1200469","ISSN":"0002-9122","issue":"7","journalAbbreviation":"Am. J. Bot.","language":"English","note":"WOS:000321766600004","page":"1266-1286","source":"Web of Science","title":"Disequilibrium Vegetation Dynamics Under Future Climate Change","volume":"100","author":[{"family":"Svenning","given":"Jens-Christian"},{"family":"Sandel","given":"Brody"}],"issued":{"date-parts":[["2013",7]]}},"label":"page"}],"schema":"https://github.com/citation-style-language/schema/raw/master/csl-citation.json"} </w:instrText>
      </w:r>
      <w:r w:rsidR="675F67A8" w:rsidRPr="00DA249F">
        <w:rPr>
          <w:lang w:val="en-GB"/>
        </w:rPr>
        <w:fldChar w:fldCharType="separate"/>
      </w:r>
      <w:r w:rsidR="00144D96" w:rsidRPr="00144D96">
        <w:t>(Svenning &amp; Sandel, 2013)</w:t>
      </w:r>
      <w:r w:rsidR="675F67A8" w:rsidRPr="00DA249F">
        <w:rPr>
          <w:lang w:val="en-GB"/>
        </w:rPr>
        <w:fldChar w:fldCharType="end"/>
      </w:r>
      <w:r w:rsidR="1C4FF875" w:rsidRPr="00DA249F">
        <w:rPr>
          <w:lang w:val="en-GB"/>
        </w:rPr>
        <w:t xml:space="preserve">. </w:t>
      </w:r>
    </w:p>
    <w:p w14:paraId="7DA6ECA5" w14:textId="77777777" w:rsidR="008C1BF7" w:rsidRPr="00DA249F" w:rsidRDefault="3B382C8A" w:rsidP="0090109B">
      <w:pPr>
        <w:rPr>
          <w:lang w:val="en-GB"/>
        </w:rPr>
      </w:pPr>
      <w:r w:rsidRPr="00DA249F">
        <w:rPr>
          <w:lang w:val="en-GB"/>
        </w:rPr>
        <w:t xml:space="preserve">The </w:t>
      </w:r>
      <w:r w:rsidR="00010CB9" w:rsidRPr="00DA249F">
        <w:rPr>
          <w:lang w:val="en-GB"/>
        </w:rPr>
        <w:t>general</w:t>
      </w:r>
      <w:r w:rsidRPr="00DA249F">
        <w:rPr>
          <w:lang w:val="en-GB"/>
        </w:rPr>
        <w:t xml:space="preserve"> expectation is that with increasing temperatures</w:t>
      </w:r>
      <w:r w:rsidR="00AE29E6" w:rsidRPr="00DA249F">
        <w:rPr>
          <w:lang w:val="en-GB"/>
        </w:rPr>
        <w:t>,</w:t>
      </w:r>
      <w:r w:rsidRPr="00DA249F">
        <w:rPr>
          <w:lang w:val="en-GB"/>
        </w:rPr>
        <w:t xml:space="preserve"> some established alien species will be able to expand their ranges </w:t>
      </w:r>
      <w:r w:rsidR="003D1BA7" w:rsidRPr="00DA249F">
        <w:rPr>
          <w:lang w:val="en-GB"/>
        </w:rPr>
        <w:t xml:space="preserve">polewards </w:t>
      </w:r>
      <w:r w:rsidR="009826A4" w:rsidRPr="00DA249F">
        <w:rPr>
          <w:lang w:val="en-GB"/>
        </w:rPr>
        <w:t xml:space="preserve">and </w:t>
      </w:r>
      <w:r w:rsidR="009065E4" w:rsidRPr="00DA249F">
        <w:rPr>
          <w:lang w:val="en-GB"/>
        </w:rPr>
        <w:t xml:space="preserve">to high elevations </w:t>
      </w:r>
      <w:r w:rsidRPr="00DA249F">
        <w:rPr>
          <w:lang w:val="en-GB"/>
        </w:rPr>
        <w:t xml:space="preserve">and </w:t>
      </w:r>
      <w:r w:rsidR="009826A4" w:rsidRPr="00DA249F">
        <w:rPr>
          <w:lang w:val="en-GB"/>
        </w:rPr>
        <w:t xml:space="preserve">thus expand their introduced ranges </w:t>
      </w:r>
      <w:r w:rsidRPr="00DA249F">
        <w:rPr>
          <w:lang w:val="en-GB"/>
        </w:rPr>
        <w:t xml:space="preserve">without additional human assistance. </w:t>
      </w:r>
      <w:r w:rsidR="0090556D" w:rsidRPr="00DA249F">
        <w:rPr>
          <w:lang w:val="en-GB"/>
        </w:rPr>
        <w:t xml:space="preserve">Warming is a major component in forecasts of the responses of 100 of the world’s worst invasive alien species to climate change, according to the International Union for Conservation of Nature (IUCN), </w:t>
      </w:r>
      <w:r w:rsidR="00672742" w:rsidRPr="00DA249F">
        <w:rPr>
          <w:lang w:val="en-GB"/>
        </w:rPr>
        <w:t xml:space="preserve">who </w:t>
      </w:r>
      <w:r w:rsidR="0090556D" w:rsidRPr="00DA249F">
        <w:rPr>
          <w:lang w:val="en-GB"/>
        </w:rPr>
        <w:t xml:space="preserve">project significant range shifts, and hence further spread of invasive alien species within </w:t>
      </w:r>
      <w:r w:rsidR="00672742" w:rsidRPr="00DA249F">
        <w:rPr>
          <w:lang w:val="en-GB"/>
        </w:rPr>
        <w:t>and bey</w:t>
      </w:r>
      <w:r w:rsidR="00DC7A21" w:rsidRPr="00DA249F">
        <w:rPr>
          <w:lang w:val="en-GB"/>
        </w:rPr>
        <w:t>o</w:t>
      </w:r>
      <w:r w:rsidR="00672742" w:rsidRPr="00DA249F">
        <w:rPr>
          <w:lang w:val="en-GB"/>
        </w:rPr>
        <w:t xml:space="preserve">nd </w:t>
      </w:r>
      <w:r w:rsidR="0090556D" w:rsidRPr="00DA249F">
        <w:rPr>
          <w:lang w:val="en-GB"/>
        </w:rPr>
        <w:t xml:space="preserve">their </w:t>
      </w:r>
      <w:r w:rsidR="00672742" w:rsidRPr="00DA249F">
        <w:rPr>
          <w:lang w:val="en-GB"/>
        </w:rPr>
        <w:t xml:space="preserve">current </w:t>
      </w:r>
      <w:r w:rsidR="00E27746" w:rsidRPr="00DA249F">
        <w:rPr>
          <w:lang w:val="en-GB"/>
        </w:rPr>
        <w:t>invaded</w:t>
      </w:r>
      <w:r w:rsidR="0090556D" w:rsidRPr="00DA249F">
        <w:rPr>
          <w:lang w:val="en-GB"/>
        </w:rPr>
        <w:t xml:space="preserve"> range</w:t>
      </w:r>
      <w:r w:rsidR="00672742" w:rsidRPr="00DA249F">
        <w:rPr>
          <w:lang w:val="en-GB"/>
        </w:rPr>
        <w:t>s</w:t>
      </w:r>
      <w:r w:rsidR="00D60B80" w:rsidRPr="00DA249F">
        <w:rPr>
          <w:lang w:val="en-GB"/>
        </w:rPr>
        <w:t xml:space="preserve"> </w:t>
      </w:r>
      <w:r w:rsidR="000944CF" w:rsidRPr="00DA249F">
        <w:rPr>
          <w:lang w:val="en-GB"/>
        </w:rPr>
        <w:fldChar w:fldCharType="begin"/>
      </w:r>
      <w:r w:rsidR="00331A79">
        <w:rPr>
          <w:lang w:val="en-GB"/>
        </w:rPr>
        <w:instrText xml:space="preserve"> ADDIN ZOTERO_ITEM CSL_CITATION {"citationID":"Y6O1wNNL","properties":{"formattedCitation":"(Bellard et al., 2013)","plainCitation":"(Bellard et al., 2013)","noteIndex":0},"citationItems":[{"id":28770,"uris":["http://zotero.org/groups/2352922/items/LDR95453"],"itemData":{"id":28770,"type":"article-journal","abstract":"Biological invasion is increasingly recognized as one of the greatest threats to biodiversity. Using ensemble forecasts from species distribution models to project future suitable areas of the 100 of the world's worst invasive species defined by the International Union for the Conservation of Nature, we show that both climate and land use changes will likely cause drastic species range shifts. Looking at potential spatial aggregation of invasive species, we identify three future hotspots of invasion in Europe, northeastern North America, and Oceania. We also emphasize that some regions could lose a significant number of invasive alien species, creating opportunities for ecosystem restoration. From the list of 100, scenarios of potential range distributions show a consistent shrinking for invasive amphibians and birds, while for aquatic and terrestrial invertebrates distributions are projected to substantially increase in most cases. Given the harmful impacts these invasive species currently have on ecosystems, these species will likely dramatically influence the future of biodiversity.","container-title":"Global Change Biology","DOI":"10.1111/gcb.12344","ISSN":"1365-2486","issue":"12","language":"en","license":"© 2013 John Wiley &amp; Sons Ltd","note":"_eprint: https://onlinelibrary.wiley.com/doi/pdf/10.1111/gcb.12344","page":"3740-3748","source":"Wiley Online Library","title":"Will climate change promote future invasions?","URL":"https://www.onlinelibrary.wiley.com/doi/abs/10.1111/gcb.12344","volume":"19","author":[{"family":"Bellard","given":"Céline"},{"family":"Thuiller","given":"Wilfried"},{"family":"Leroy","given":"Boris"},{"family":"Genovesi","given":"Piero"},{"family":"Bakkenes","given":"Michel"},{"family":"Courchamp","given":"Franck"}],"accessed":{"date-parts":[["2021",6,18]]},"issued":{"date-parts":[["2013"]]}},"label":"page"}],"schema":"https://github.com/citation-style-language/schema/raw/master/csl-citation.json"} </w:instrText>
      </w:r>
      <w:r w:rsidR="000944CF" w:rsidRPr="00DA249F">
        <w:rPr>
          <w:lang w:val="en-GB"/>
        </w:rPr>
        <w:fldChar w:fldCharType="separate"/>
      </w:r>
      <w:r w:rsidR="00144D96" w:rsidRPr="00144D96">
        <w:t>(Bellard et al., 2013)</w:t>
      </w:r>
      <w:r w:rsidR="000944CF" w:rsidRPr="00DA249F">
        <w:rPr>
          <w:lang w:val="en-GB"/>
        </w:rPr>
        <w:fldChar w:fldCharType="end"/>
      </w:r>
      <w:r w:rsidR="000944CF" w:rsidRPr="00DA249F">
        <w:rPr>
          <w:lang w:val="en-GB"/>
        </w:rPr>
        <w:t xml:space="preserve">. </w:t>
      </w:r>
      <w:r w:rsidRPr="00DA249F">
        <w:rPr>
          <w:lang w:val="en-GB"/>
        </w:rPr>
        <w:t>For example, outbreaks of bluetongue virus</w:t>
      </w:r>
      <w:r w:rsidR="5211390F" w:rsidRPr="00DA249F">
        <w:rPr>
          <w:lang w:val="en-GB"/>
        </w:rPr>
        <w:t xml:space="preserve">, a disease of ruminants transmitted by </w:t>
      </w:r>
      <w:r w:rsidR="5211390F" w:rsidRPr="00DA249F">
        <w:rPr>
          <w:i/>
          <w:iCs/>
          <w:lang w:val="en-GB"/>
        </w:rPr>
        <w:t>Culicoides</w:t>
      </w:r>
      <w:r w:rsidR="5211390F" w:rsidRPr="00DA249F">
        <w:rPr>
          <w:lang w:val="en-GB"/>
        </w:rPr>
        <w:t xml:space="preserve"> </w:t>
      </w:r>
      <w:r w:rsidR="00DC7A21" w:rsidRPr="00DA249F">
        <w:rPr>
          <w:lang w:val="en-GB"/>
        </w:rPr>
        <w:t xml:space="preserve">species </w:t>
      </w:r>
      <w:r w:rsidR="001C5F6F" w:rsidRPr="00DA249F">
        <w:rPr>
          <w:lang w:val="en-GB"/>
        </w:rPr>
        <w:t>(</w:t>
      </w:r>
      <w:r w:rsidR="5211390F" w:rsidRPr="00DA249F">
        <w:rPr>
          <w:lang w:val="en-GB"/>
        </w:rPr>
        <w:t>biting midges</w:t>
      </w:r>
      <w:r w:rsidR="001C5F6F" w:rsidRPr="00DA249F">
        <w:rPr>
          <w:lang w:val="en-GB"/>
        </w:rPr>
        <w:t>)</w:t>
      </w:r>
      <w:r w:rsidR="00B62574" w:rsidRPr="00DA249F">
        <w:rPr>
          <w:lang w:val="en-GB"/>
        </w:rPr>
        <w:t>,</w:t>
      </w:r>
      <w:r w:rsidR="00066BF9" w:rsidRPr="00DA249F">
        <w:rPr>
          <w:lang w:val="en-GB"/>
        </w:rPr>
        <w:t xml:space="preserve"> </w:t>
      </w:r>
      <w:r w:rsidRPr="00DA249F">
        <w:rPr>
          <w:lang w:val="en-GB"/>
        </w:rPr>
        <w:t xml:space="preserve">occurred </w:t>
      </w:r>
      <w:r w:rsidR="32AD5202" w:rsidRPr="00DA249F">
        <w:rPr>
          <w:lang w:val="en-GB"/>
        </w:rPr>
        <w:t xml:space="preserve">for the first time </w:t>
      </w:r>
      <w:r w:rsidRPr="00DA249F">
        <w:rPr>
          <w:lang w:val="en-GB"/>
        </w:rPr>
        <w:t xml:space="preserve">in northern Europe in 2006 </w:t>
      </w:r>
      <w:r w:rsidR="6A6C9539" w:rsidRPr="00DA249F">
        <w:rPr>
          <w:lang w:val="en-GB"/>
        </w:rPr>
        <w:t>as a result of warmer temperatures</w:t>
      </w:r>
      <w:r w:rsidR="00B62574" w:rsidRPr="00DA249F">
        <w:rPr>
          <w:lang w:val="en-GB"/>
        </w:rPr>
        <w:t xml:space="preserve">. </w:t>
      </w:r>
      <w:r w:rsidR="007C6025">
        <w:rPr>
          <w:lang w:val="en-GB"/>
        </w:rPr>
        <w:t>I</w:t>
      </w:r>
      <w:r w:rsidR="007C6025" w:rsidRPr="00DA249F">
        <w:rPr>
          <w:lang w:val="en-GB"/>
        </w:rPr>
        <w:t>n the future</w:t>
      </w:r>
      <w:r w:rsidR="007C6025">
        <w:rPr>
          <w:lang w:val="en-GB"/>
        </w:rPr>
        <w:t>, t</w:t>
      </w:r>
      <w:r w:rsidR="6100B7E1" w:rsidRPr="00DA249F">
        <w:rPr>
          <w:lang w:val="en-GB"/>
        </w:rPr>
        <w:t xml:space="preserve">hese </w:t>
      </w:r>
      <w:r w:rsidR="007C6025">
        <w:rPr>
          <w:lang w:val="en-GB"/>
        </w:rPr>
        <w:t xml:space="preserve">northern </w:t>
      </w:r>
      <w:r w:rsidR="6100B7E1" w:rsidRPr="00DA249F">
        <w:rPr>
          <w:lang w:val="en-GB"/>
        </w:rPr>
        <w:t xml:space="preserve">regions </w:t>
      </w:r>
      <w:r w:rsidRPr="00DA249F">
        <w:rPr>
          <w:lang w:val="en-GB"/>
        </w:rPr>
        <w:t xml:space="preserve">will become increasingly suitable for </w:t>
      </w:r>
      <w:r w:rsidR="007A1C22" w:rsidRPr="00DA249F">
        <w:rPr>
          <w:lang w:val="en-GB"/>
        </w:rPr>
        <w:t xml:space="preserve">this </w:t>
      </w:r>
      <w:r w:rsidRPr="00DA249F">
        <w:rPr>
          <w:lang w:val="en-GB"/>
        </w:rPr>
        <w:t>midge vector</w:t>
      </w:r>
      <w:r w:rsidR="007C6025">
        <w:rPr>
          <w:lang w:val="en-GB"/>
        </w:rPr>
        <w:t>,</w:t>
      </w:r>
      <w:r w:rsidRPr="00DA249F">
        <w:rPr>
          <w:lang w:val="en-GB"/>
        </w:rPr>
        <w:t xml:space="preserve"> which could spread unaided on prevailing winds</w:t>
      </w:r>
      <w:r w:rsidR="00D74BC2" w:rsidRPr="00DA249F">
        <w:rPr>
          <w:lang w:val="en-GB"/>
        </w:rPr>
        <w:t xml:space="preserve"> </w:t>
      </w:r>
      <w:r w:rsidRPr="00DA249F">
        <w:rPr>
          <w:lang w:val="en-GB"/>
        </w:rPr>
        <w:fldChar w:fldCharType="begin"/>
      </w:r>
      <w:r w:rsidR="00331A79">
        <w:rPr>
          <w:lang w:val="en-GB"/>
        </w:rPr>
        <w:instrText xml:space="preserve"> ADDIN ZOTERO_ITEM CSL_CITATION {"citationID":"85cTB34K","properties":{"formattedCitation":"(A. E. Jones et al., 2019)","plainCitation":"(A. E. Jones et al., 2019)","noteIndex":0},"citationItems":[{"id":32006,"uris":["http://zotero.org/groups/2352922/items/U3N7RMQX"],"itemData":{"id":32006,"type":"article-journal","abstract":"There is concern that climate change will lead to expansion of vector-borne diseases as, of all disease types, they are the most sensitive to climate drivers1. Such expansion may threaten human health, and food security via effects on animal and crop health. Here we quantify the potential impact of climate change on a vector-borne disease of livestock, bluetongue, which has emerged in northern Europe in response to climate change2–4, affecting tens of thousands of farms at huge financial cost and causing the deaths of millions of animals5. We derive future disease risk trends for northern Europe, and use a detailed spatial transmission model6 to simulate outbreaks in England and Wales under future climatic conditions, using an ensemble of five downscaled general circulation models7. By 2100, bluetongue risk extends further north, the transmission season lengthens by up to three months and outbreaks are larger on average. A 1 in 20-year outbreak at present-day temperatures becomes typical by the 2070s under the highest greenhouse gas emission scenario. However, animal movement restrictions are sufficient to prevent truly devastating outbreaks. Disease transmission uncertainty dominates over climate uncertainty, even at the longest prediction timescales. Our results suggest that efficient detection and control measures to limit the spread of vector-borne diseases will be increasingly vital in future, warmer climates.","container-title":"Nature Climate Change","DOI":"10.1038/s41558-018-0376-6","ISSN":"1758-6798","issue":"2","journalAbbreviation":"Nature Clim Change","language":"en","license":"2019 The Author(s), under exclusive licence to Springer Nature Limited","note":"Bandiera_abtest: a\nCg_type: Nature Research Journals\nnumber: 2\nPrimary_atype: Research\npublisher: Nature Publishing Group\nSubject_term: Climate-change impacts;Projection and prediction\nSubject_term_id: climate-change-impacts;projection-and-prediction","page":"153-157","source":"www.nature.com","title":"Bluetongue risk under future climates","URL":"https://www.nature.com/articles/s41558-018-0376-6","volume":"9","author":[{"family":"Jones","given":"Anne E."},{"family":"Turner","given":"Joanne"},{"family":"Caminade","given":"Cyril"},{"family":"Heath","given":"Andrew E."},{"family":"Wardeh","given":"Maya"},{"family":"Kluiters","given":"Georgette"},{"family":"Diggle","given":"Peter J."},{"family":"Morse","given":"Andrew P."},{"family":"Baylis","given":"Matthew"}],"accessed":{"date-parts":[["2021",11,29]]},"issued":{"date-parts":[["2019",2]]}},"label":"page"}],"schema":"https://github.com/citation-style-language/schema/raw/master/csl-citation.json"} </w:instrText>
      </w:r>
      <w:r w:rsidRPr="00DA249F">
        <w:rPr>
          <w:lang w:val="en-GB"/>
        </w:rPr>
        <w:fldChar w:fldCharType="separate"/>
      </w:r>
      <w:r w:rsidR="00144D96" w:rsidRPr="00144D96">
        <w:t>(A. E. Jones et al., 2019)</w:t>
      </w:r>
      <w:r w:rsidRPr="00DA249F">
        <w:rPr>
          <w:lang w:val="en-GB"/>
        </w:rPr>
        <w:fldChar w:fldCharType="end"/>
      </w:r>
      <w:r w:rsidRPr="00DA249F">
        <w:rPr>
          <w:lang w:val="en-GB"/>
        </w:rPr>
        <w:t xml:space="preserve">. </w:t>
      </w:r>
      <w:r w:rsidR="1B3E4147" w:rsidRPr="00DA249F">
        <w:rPr>
          <w:lang w:val="en-GB"/>
        </w:rPr>
        <w:t xml:space="preserve">Increased temperatures may benefit the establishment of </w:t>
      </w:r>
      <w:r w:rsidR="000C535B" w:rsidRPr="00DA249F">
        <w:rPr>
          <w:lang w:val="en-GB"/>
        </w:rPr>
        <w:t xml:space="preserve">some </w:t>
      </w:r>
      <w:r w:rsidR="1B3E4147" w:rsidRPr="00DA249F">
        <w:rPr>
          <w:lang w:val="en-GB"/>
        </w:rPr>
        <w:t>alien species regularly intercepted at the border by quarantine officers as contaminants of goods (particularly agricultural and horticultural produce) or stowaways on transport vectors (such as in or on boats).</w:t>
      </w:r>
      <w:r w:rsidR="00066BF9" w:rsidRPr="00DA249F">
        <w:rPr>
          <w:lang w:val="en-GB"/>
        </w:rPr>
        <w:t xml:space="preserve"> </w:t>
      </w:r>
      <w:r w:rsidR="1B3E4147" w:rsidRPr="00DA249F">
        <w:rPr>
          <w:lang w:val="en-GB"/>
        </w:rPr>
        <w:t xml:space="preserve">Since the 1970s, the establishment in </w:t>
      </w:r>
      <w:r w:rsidR="026A06D6" w:rsidRPr="00DA249F">
        <w:rPr>
          <w:lang w:val="en-GB"/>
        </w:rPr>
        <w:t>the U</w:t>
      </w:r>
      <w:r w:rsidR="00D97A51" w:rsidRPr="00DA249F">
        <w:rPr>
          <w:lang w:val="en-GB"/>
        </w:rPr>
        <w:t xml:space="preserve">nited </w:t>
      </w:r>
      <w:r w:rsidR="026A06D6" w:rsidRPr="00DA249F">
        <w:rPr>
          <w:lang w:val="en-GB"/>
        </w:rPr>
        <w:t>K</w:t>
      </w:r>
      <w:r w:rsidR="00D97A51" w:rsidRPr="00DA249F">
        <w:rPr>
          <w:lang w:val="en-GB"/>
        </w:rPr>
        <w:t>ingdom</w:t>
      </w:r>
      <w:r w:rsidR="1B3E4147" w:rsidRPr="00DA249F">
        <w:rPr>
          <w:lang w:val="en-GB"/>
        </w:rPr>
        <w:t xml:space="preserve"> of alien invertebrate plant pests intercepted at ports of entry or for which outbreaks have been reported is positively correlated with average winter temperatures</w:t>
      </w:r>
      <w:r w:rsidR="7C0F8694" w:rsidRPr="00DA249F">
        <w:rPr>
          <w:lang w:val="en-GB"/>
        </w:rPr>
        <w:t>, but no such relationship was found</w:t>
      </w:r>
      <w:r w:rsidR="5C14773A" w:rsidRPr="00DA249F">
        <w:rPr>
          <w:lang w:val="en-GB"/>
        </w:rPr>
        <w:t xml:space="preserve"> for plant pathogens</w:t>
      </w:r>
      <w:r w:rsidR="7C0F8694" w:rsidRPr="00DA249F">
        <w:rPr>
          <w:lang w:val="en-GB"/>
        </w:rPr>
        <w:t xml:space="preserve"> </w:t>
      </w:r>
      <w:r w:rsidRPr="00DA249F">
        <w:rPr>
          <w:lang w:val="en-GB"/>
        </w:rPr>
        <w:fldChar w:fldCharType="begin"/>
      </w:r>
      <w:r w:rsidR="00331A79">
        <w:rPr>
          <w:lang w:val="en-GB"/>
        </w:rPr>
        <w:instrText xml:space="preserve"> ADDIN ZOTERO_ITEM CSL_CITATION {"citationID":"9xq1raHZ","properties":{"formattedCitation":"(Hulme, 2017)","plainCitation":"(Hulme, 2017)","noteIndex":0},"citationItems":[{"id":10012,"uris":["http://zotero.org/groups/2352922/items/E7ZXVNF8"],"itemData":{"id":10012,"type":"article-journal","abstract":"A changing climate may directly or indirectly influence biological invasions by altering the likelihood of introduction or establishment, as well as modifying the geographic range, environmental impacts, economic costs or management of alien species. A comprehensive assessment of empirical and theoretical evidence identified how each of these processes is likely to be shaped by climate change for alien plants, animals and pathogens in terrestrial, freshwater and marine environments of Great Britain. The strongest contemporary evidence for the potential role of climate change in the establishment of new alien species is for terrestrial arthropods, as a result of their ectothermic physiology, often high dispersal rate and their strong association with trade as well as commensal relationships with human environments. By contrast, there is little empirical support for higher temperatures increasing the rate of alien plant establishment due to the stronger effects of residence time and propagule pressure. The magnitude of any direct climate effect on the number of new alien species will be small relative to human-assisted introductions driven by socioeconomic factors. Casual alien species (sleepers) whose population persistence is limited by climate are expected to exhibit greater rates of establishment under climate change assuming that propagule pressure remains at least at current levels. Surveillance and management targeting sleeper pests and diseases may be the most cost-effective option to reduce future impacts under climate change. Most established alien species will increase their distribution range in Great Britain over the next century. However, such range increases are very likely be the result of natural expansion of populations that have yet to reach equilibrium with their environment, rather than a direct consequence of climate change. To assess the potential realised range of alien species will require a spatially explicit approach that not only integrates bioclimatic suitability and population-level demographic rates but also simulation of landscape-level processes (e.g. dispersal, land-use change, host/habitat distribution, non-climatic edaphic constraints). In terms of invasive alien species that have known economic or biodiversity impacts, the taxa that are likely to be the most responsive are plant pathogens and insect pests of agricultural crops. However, the extent to which climate adaptation strategies lead to new crops, altered rotations, and different farming practices (e.g. irrigation, fertilization) will all shape the potential agricultural impacts of alien species. The greatest uncertainty in the effects of climate change on biological invasions exists with identifying the future character of new species introductions and predicting ecosystem impacts. Two complementary strategies may work under these conditions of high uncertainty: (i) prioritise ecosystems in terms of their perceived vulnerability to climate change and prevent ingress or expansion of alien species therein that may exacerbate problems; (ii) target those ecosystem already threatened by alien species and implement management to prevent the situation deteriorating under climate change.","container-title":"Biological Reviews","DOI":"10.1111/brv.12282","ISSN":"1469-185X","issue":"3","language":"en","note":"_eprint: https://onlinelibrary.wiley.com/doi/pdf/10.1111/brv.12282","page":"1297-1313","source":"Wiley Online Library","title":"Climate change and biological invasions: evidence, expectations, and response options","title-short":"Climate change and biological invasions","URL":"https://onlinelibrary.wiley.com/doi/abs/10.1111/brv.12282","volume":"92","author":[{"family":"Hulme","given":"Philip E."}],"accessed":{"date-parts":[["2021",8,23]]},"issued":{"date-parts":[["2017"]]}},"label":"page"}],"schema":"https://github.com/citation-style-language/schema/raw/master/csl-citation.json"} </w:instrText>
      </w:r>
      <w:r w:rsidRPr="00DA249F">
        <w:rPr>
          <w:lang w:val="en-GB"/>
        </w:rPr>
        <w:fldChar w:fldCharType="separate"/>
      </w:r>
      <w:r w:rsidR="00144D96" w:rsidRPr="00144D96">
        <w:t>(Hulme, 2017)</w:t>
      </w:r>
      <w:r w:rsidRPr="00DA249F">
        <w:rPr>
          <w:lang w:val="en-GB"/>
        </w:rPr>
        <w:fldChar w:fldCharType="end"/>
      </w:r>
      <w:r w:rsidR="1B3E4147" w:rsidRPr="00DA249F">
        <w:rPr>
          <w:lang w:val="en-GB"/>
        </w:rPr>
        <w:t xml:space="preserve">. </w:t>
      </w:r>
      <w:r w:rsidR="00C03ADD" w:rsidRPr="00DA249F">
        <w:rPr>
          <w:lang w:val="en-GB"/>
        </w:rPr>
        <w:t xml:space="preserve">However, </w:t>
      </w:r>
      <w:r w:rsidR="00AF03E4">
        <w:rPr>
          <w:lang w:val="en-GB"/>
        </w:rPr>
        <w:t>increases in winter temperature was found to facilitate the spread of</w:t>
      </w:r>
      <w:r w:rsidR="003D1BA7" w:rsidRPr="00DA249F">
        <w:rPr>
          <w:lang w:val="en-GB"/>
        </w:rPr>
        <w:t xml:space="preserve"> plant pathogens in North America</w:t>
      </w:r>
      <w:r w:rsidR="009B3700" w:rsidRPr="00DA249F">
        <w:rPr>
          <w:lang w:val="en-GB"/>
        </w:rPr>
        <w:t xml:space="preserve"> </w:t>
      </w:r>
      <w:r w:rsidRPr="00DA249F">
        <w:rPr>
          <w:lang w:val="en-GB"/>
        </w:rPr>
        <w:fldChar w:fldCharType="begin"/>
      </w:r>
      <w:r w:rsidR="00331A79">
        <w:rPr>
          <w:lang w:val="en-GB"/>
        </w:rPr>
        <w:instrText xml:space="preserve"> ADDIN ZOTERO_ITEM CSL_CITATION {"citationID":"CFf6QCvy","properties":{"formattedCitation":"(Kliejunas, 2011)","plainCitation":"(Kliejunas, 2011)","noteIndex":0},"citationItems":[{"id":52683,"uris":["http://zotero.org/groups/2352922/items/HVU87CCU"],"itemData":{"id":52683,"type":"article-journal","container-title":"General Technical Report PSW-GTR-236. Albany, CA: USDA-Forest Service, Pacific Southwest Research Station. 70 p.","DOI":"https://doi.org/10.2737/PSW-GTR-236","page":"1-70","title":"A risk assessment of climate change and the impact of forest diseases on forest ecosystems in the Western United States and Canada","URL":"https://www.fs.usda.gov/research/treesearch/40137","volume":"236","author":[{"family":"Kliejunas","given":"John T."}],"issued":{"date-parts":[["2011"]]}},"label":"page"}],"schema":"https://github.com/citation-style-language/schema/raw/master/csl-citation.json"} </w:instrText>
      </w:r>
      <w:r w:rsidRPr="00DA249F">
        <w:rPr>
          <w:lang w:val="en-GB"/>
        </w:rPr>
        <w:fldChar w:fldCharType="separate"/>
      </w:r>
      <w:r w:rsidR="00144D96" w:rsidRPr="00144D96">
        <w:t>(Kliejunas, 2011)</w:t>
      </w:r>
      <w:r w:rsidRPr="00DA249F">
        <w:rPr>
          <w:lang w:val="en-GB"/>
        </w:rPr>
        <w:fldChar w:fldCharType="end"/>
      </w:r>
      <w:r w:rsidR="003D1BA7" w:rsidRPr="00DA249F">
        <w:rPr>
          <w:lang w:val="en-GB"/>
        </w:rPr>
        <w:t>.</w:t>
      </w:r>
    </w:p>
    <w:p w14:paraId="07D15E9F" w14:textId="77777777" w:rsidR="008C1BF7" w:rsidRPr="00DA249F" w:rsidRDefault="009E0F9B" w:rsidP="009E22FB">
      <w:pPr>
        <w:spacing w:before="0" w:after="0"/>
        <w:rPr>
          <w:rFonts w:eastAsia="Times New Roman"/>
          <w:color w:val="000000"/>
          <w:szCs w:val="24"/>
          <w:lang w:val="en-GB" w:eastAsia="zh-CN"/>
        </w:rPr>
      </w:pPr>
      <w:r w:rsidRPr="00DA249F">
        <w:rPr>
          <w:lang w:val="en-GB"/>
        </w:rPr>
        <w:t xml:space="preserve">Climate change may increase the probability </w:t>
      </w:r>
      <w:r w:rsidR="00AC2826" w:rsidRPr="00DA249F">
        <w:rPr>
          <w:lang w:val="en-GB"/>
        </w:rPr>
        <w:t>of establishment and spread of</w:t>
      </w:r>
      <w:r w:rsidR="222BD436" w:rsidRPr="00DA249F">
        <w:rPr>
          <w:lang w:val="en-GB"/>
        </w:rPr>
        <w:t xml:space="preserve"> alien species </w:t>
      </w:r>
      <w:r w:rsidRPr="00DA249F">
        <w:rPr>
          <w:lang w:val="en-GB"/>
        </w:rPr>
        <w:t>that are currently</w:t>
      </w:r>
      <w:r w:rsidR="222BD436" w:rsidRPr="00DA249F">
        <w:rPr>
          <w:lang w:val="en-GB"/>
        </w:rPr>
        <w:t xml:space="preserve"> present in a particular region </w:t>
      </w:r>
      <w:r w:rsidR="00546C99" w:rsidRPr="00DA249F">
        <w:rPr>
          <w:lang w:val="en-GB"/>
        </w:rPr>
        <w:t>in</w:t>
      </w:r>
      <w:r w:rsidR="222BD436" w:rsidRPr="00DA249F">
        <w:rPr>
          <w:lang w:val="en-GB"/>
        </w:rPr>
        <w:t xml:space="preserve"> anthropogenic environments such as buildings, glasshouses, </w:t>
      </w:r>
      <w:r w:rsidR="00686E89" w:rsidRPr="00DA249F">
        <w:rPr>
          <w:lang w:val="en-GB"/>
        </w:rPr>
        <w:t xml:space="preserve">and </w:t>
      </w:r>
      <w:r w:rsidR="222BD436" w:rsidRPr="00DA249F">
        <w:rPr>
          <w:lang w:val="en-GB"/>
        </w:rPr>
        <w:t xml:space="preserve">gardens </w:t>
      </w:r>
      <w:r w:rsidR="00AB5CAB" w:rsidRPr="00DA249F">
        <w:rPr>
          <w:lang w:val="en-GB"/>
        </w:rPr>
        <w:t xml:space="preserve">but are limited by climate from </w:t>
      </w:r>
      <w:r w:rsidR="00FF0BCC" w:rsidRPr="00DA249F">
        <w:rPr>
          <w:lang w:val="en-GB"/>
        </w:rPr>
        <w:t xml:space="preserve">surviving in </w:t>
      </w:r>
      <w:r w:rsidR="00AB5CAB" w:rsidRPr="00DA249F">
        <w:rPr>
          <w:lang w:val="en-GB"/>
        </w:rPr>
        <w:t>nature</w:t>
      </w:r>
      <w:r w:rsidR="222BD436" w:rsidRPr="00DA249F">
        <w:rPr>
          <w:lang w:val="en-GB"/>
        </w:rPr>
        <w:t>.</w:t>
      </w:r>
      <w:r w:rsidR="00066BF9" w:rsidRPr="00DA249F">
        <w:rPr>
          <w:lang w:val="en-GB"/>
        </w:rPr>
        <w:t xml:space="preserve"> </w:t>
      </w:r>
      <w:r w:rsidR="5AC61C30" w:rsidRPr="00DA249F">
        <w:rPr>
          <w:lang w:val="en-GB"/>
        </w:rPr>
        <w:t>For example</w:t>
      </w:r>
      <w:r w:rsidR="0041334B" w:rsidRPr="00DA249F">
        <w:rPr>
          <w:lang w:val="en-GB"/>
        </w:rPr>
        <w:t>,</w:t>
      </w:r>
      <w:r w:rsidR="5AC61C30" w:rsidRPr="00DA249F">
        <w:rPr>
          <w:lang w:val="en-GB"/>
        </w:rPr>
        <w:t xml:space="preserve"> in </w:t>
      </w:r>
      <w:r w:rsidR="00082D78" w:rsidRPr="00DA249F">
        <w:rPr>
          <w:lang w:val="en-GB"/>
        </w:rPr>
        <w:t>the United Kingdom</w:t>
      </w:r>
      <w:r w:rsidR="5AC61C30" w:rsidRPr="00DA249F">
        <w:rPr>
          <w:lang w:val="en-GB"/>
        </w:rPr>
        <w:t xml:space="preserve"> </w:t>
      </w:r>
      <w:r w:rsidR="51DE69D3" w:rsidRPr="00DA249F">
        <w:rPr>
          <w:lang w:val="en-GB"/>
        </w:rPr>
        <w:t xml:space="preserve">warmer winter temperatures are expected to increase the probability that </w:t>
      </w:r>
      <w:r w:rsidR="002F157F" w:rsidRPr="00DA249F">
        <w:rPr>
          <w:i/>
          <w:lang w:val="en-GB"/>
        </w:rPr>
        <w:t>Liriomyza huidobrensis</w:t>
      </w:r>
      <w:r w:rsidR="002F157F" w:rsidRPr="00DA249F">
        <w:rPr>
          <w:lang w:val="en-GB"/>
        </w:rPr>
        <w:t xml:space="preserve"> (</w:t>
      </w:r>
      <w:r w:rsidR="001959BA" w:rsidRPr="00DA249F">
        <w:rPr>
          <w:lang w:val="en-GB"/>
        </w:rPr>
        <w:t>s</w:t>
      </w:r>
      <w:r w:rsidR="002F157F" w:rsidRPr="00DA249F">
        <w:rPr>
          <w:lang w:val="en-GB"/>
        </w:rPr>
        <w:t xml:space="preserve">erpentine </w:t>
      </w:r>
      <w:r w:rsidR="51DE69D3" w:rsidRPr="00DA249F">
        <w:rPr>
          <w:lang w:val="en-GB"/>
        </w:rPr>
        <w:t xml:space="preserve">leafminer) and the soil-borne </w:t>
      </w:r>
      <w:r w:rsidR="004E2E3E" w:rsidRPr="00DA249F">
        <w:rPr>
          <w:i/>
          <w:lang w:val="en-GB"/>
        </w:rPr>
        <w:t>Athelia rolfsii</w:t>
      </w:r>
      <w:r w:rsidR="004E2E3E" w:rsidRPr="00DA249F">
        <w:rPr>
          <w:lang w:val="en-GB"/>
        </w:rPr>
        <w:t xml:space="preserve"> (</w:t>
      </w:r>
      <w:r w:rsidR="009E22FB" w:rsidRPr="00DA249F">
        <w:rPr>
          <w:rFonts w:eastAsia="Times New Roman"/>
          <w:color w:val="000000"/>
          <w:szCs w:val="24"/>
          <w:lang w:val="en-GB" w:eastAsia="zh-CN"/>
        </w:rPr>
        <w:t>sclerotium rot</w:t>
      </w:r>
      <w:r w:rsidR="004E2E3E" w:rsidRPr="00DA249F">
        <w:rPr>
          <w:lang w:val="en-GB"/>
        </w:rPr>
        <w:t>)</w:t>
      </w:r>
      <w:r w:rsidR="00FD75D1">
        <w:rPr>
          <w:lang w:val="en-GB"/>
        </w:rPr>
        <w:t>,</w:t>
      </w:r>
      <w:r w:rsidR="004E2E3E" w:rsidRPr="00DA249F">
        <w:rPr>
          <w:lang w:val="en-GB"/>
        </w:rPr>
        <w:t xml:space="preserve"> </w:t>
      </w:r>
      <w:r w:rsidR="6B50E28A" w:rsidRPr="00DA249F">
        <w:rPr>
          <w:lang w:val="en-GB"/>
        </w:rPr>
        <w:t>currently found in glasshouses</w:t>
      </w:r>
      <w:r w:rsidR="00FD75D1">
        <w:rPr>
          <w:lang w:val="en-GB"/>
        </w:rPr>
        <w:t>,</w:t>
      </w:r>
      <w:r w:rsidR="6B50E28A" w:rsidRPr="00DA249F">
        <w:rPr>
          <w:lang w:val="en-GB"/>
        </w:rPr>
        <w:t xml:space="preserve"> </w:t>
      </w:r>
      <w:r w:rsidR="51DE69D3" w:rsidRPr="00DA249F">
        <w:rPr>
          <w:lang w:val="en-GB"/>
        </w:rPr>
        <w:t xml:space="preserve">will </w:t>
      </w:r>
      <w:r w:rsidR="24EAA7D0" w:rsidRPr="00DA249F">
        <w:rPr>
          <w:lang w:val="en-GB"/>
        </w:rPr>
        <w:t xml:space="preserve">be able to </w:t>
      </w:r>
      <w:r w:rsidR="51DE69D3" w:rsidRPr="00DA249F">
        <w:rPr>
          <w:lang w:val="en-GB"/>
        </w:rPr>
        <w:t xml:space="preserve">overwinter </w:t>
      </w:r>
      <w:r w:rsidR="5000BED1" w:rsidRPr="00DA249F">
        <w:rPr>
          <w:lang w:val="en-GB"/>
        </w:rPr>
        <w:t xml:space="preserve">outside and </w:t>
      </w:r>
      <w:r w:rsidR="00C21EC3" w:rsidRPr="00DA249F">
        <w:rPr>
          <w:lang w:val="en-GB"/>
        </w:rPr>
        <w:t xml:space="preserve">consequently </w:t>
      </w:r>
      <w:r w:rsidR="5000BED1" w:rsidRPr="00DA249F">
        <w:rPr>
          <w:lang w:val="en-GB"/>
        </w:rPr>
        <w:t>establish</w:t>
      </w:r>
      <w:r w:rsidR="51DE69D3" w:rsidRPr="00DA249F">
        <w:rPr>
          <w:lang w:val="en-GB"/>
        </w:rPr>
        <w:t xml:space="preserve"> </w:t>
      </w:r>
      <w:r w:rsidR="00774588" w:rsidRPr="00DA249F">
        <w:rPr>
          <w:lang w:val="en-GB"/>
        </w:rPr>
        <w:fldChar w:fldCharType="begin"/>
      </w:r>
      <w:r w:rsidR="00331A79">
        <w:rPr>
          <w:lang w:val="en-GB"/>
        </w:rPr>
        <w:instrText xml:space="preserve"> ADDIN ZOTERO_ITEM CSL_CITATION {"citationID":"hT8ZDQoC","properties":{"formattedCitation":"(Baker et al., 1996; Hardwick et al., 1996)","plainCitation":"(Baker et al., 1996; Hardwick et al., 1996)","noteIndex":0},"citationItems":[{"id":52912,"uris":["http://zotero.org/groups/2352922/items/NL56DU8H"],"itemData":{"id":52912,"type":"article-journal","container-title":"Aspects of Applied Biology","ISSN":"0265-1491","note":"ISBN: 0265-1491","page":"323-330","title":"An assessment of the risks posed by selected non-indigenous pests to UK crops under climate change.","URL":"https://www.cabdirect.org/cabdirect/abstract/19961105741","author":[{"family":"Baker","given":"R. H. A."},{"family":"Cannon","given":"R. J. C."},{"family":"Walters","given":"K. F. A."}],"issued":{"date-parts":[["1996"]]}},"label":"page"},{"id":52911,"uris":["http://zotero.org/groups/2352922/items/4MIPANIC"],"itemData":{"id":52911,"type":"article-journal","container-title":"Aspects of Applied Biology","ISSN":"0265-1491","issue":"45","note":"ISBN: 0265-1491","page":"261-268","title":"The impact of climate change on crop pests and diseases.","author":[{"family":"Hardwick","given":"N. V."},{"family":"Armstrong","given":"A. C."},{"family":"Ellis","given":"S. A."},{"family":"Gladders","given":"P."},{"family":"Yarham","given":"D. J."},{"family":"Parker","given":"W. E."}],"issued":{"date-parts":[["1996"]]}},"label":"page"}],"schema":"https://github.com/citation-style-language/schema/raw/master/csl-citation.json"} </w:instrText>
      </w:r>
      <w:r w:rsidR="00774588" w:rsidRPr="00DA249F">
        <w:rPr>
          <w:lang w:val="en-GB"/>
        </w:rPr>
        <w:fldChar w:fldCharType="separate"/>
      </w:r>
      <w:r w:rsidR="00144D96" w:rsidRPr="00144D96">
        <w:t>(Baker et al., 1996; Hardwick et al., 1996)</w:t>
      </w:r>
      <w:r w:rsidR="00774588" w:rsidRPr="00DA249F">
        <w:rPr>
          <w:lang w:val="en-GB"/>
        </w:rPr>
        <w:fldChar w:fldCharType="end"/>
      </w:r>
      <w:r w:rsidR="51DE69D3" w:rsidRPr="00DA249F">
        <w:rPr>
          <w:rFonts w:eastAsia="Time New Roman"/>
          <w:lang w:val="en-GB"/>
        </w:rPr>
        <w:t>.</w:t>
      </w:r>
      <w:r w:rsidR="00066BF9" w:rsidRPr="00DA249F">
        <w:rPr>
          <w:lang w:val="en-GB"/>
        </w:rPr>
        <w:t xml:space="preserve"> </w:t>
      </w:r>
      <w:r w:rsidR="38A98794" w:rsidRPr="00DA249F">
        <w:rPr>
          <w:lang w:val="en-GB"/>
        </w:rPr>
        <w:t>Similarly, c</w:t>
      </w:r>
      <w:r w:rsidR="51DE69D3" w:rsidRPr="00DA249F">
        <w:rPr>
          <w:lang w:val="en-GB"/>
        </w:rPr>
        <w:t>asual annual C</w:t>
      </w:r>
      <w:r w:rsidR="51DE69D3" w:rsidRPr="00DA249F">
        <w:rPr>
          <w:vertAlign w:val="subscript"/>
          <w:lang w:val="en-GB"/>
        </w:rPr>
        <w:t>4</w:t>
      </w:r>
      <w:r w:rsidR="51DE69D3" w:rsidRPr="00DA249F">
        <w:rPr>
          <w:lang w:val="en-GB"/>
        </w:rPr>
        <w:t xml:space="preserve"> weeds (</w:t>
      </w:r>
      <w:r w:rsidR="00930403" w:rsidRPr="00DA249F">
        <w:rPr>
          <w:lang w:val="en-GB"/>
        </w:rPr>
        <w:t xml:space="preserve">e.g., </w:t>
      </w:r>
      <w:r w:rsidR="004E2E3E" w:rsidRPr="00DA249F">
        <w:rPr>
          <w:i/>
          <w:lang w:val="en-GB"/>
        </w:rPr>
        <w:t>Setaria viridis</w:t>
      </w:r>
      <w:r w:rsidR="004E2E3E" w:rsidRPr="00DA249F">
        <w:rPr>
          <w:lang w:val="en-GB"/>
        </w:rPr>
        <w:t xml:space="preserve"> (</w:t>
      </w:r>
      <w:r w:rsidR="009830C3" w:rsidRPr="00DA249F">
        <w:rPr>
          <w:rFonts w:eastAsia="Times New Roman"/>
          <w:color w:val="000000"/>
          <w:szCs w:val="24"/>
          <w:lang w:val="en-GB" w:eastAsia="zh-CN"/>
        </w:rPr>
        <w:t>green foxtail</w:t>
      </w:r>
      <w:r w:rsidR="004E2E3E" w:rsidRPr="00DA249F">
        <w:rPr>
          <w:lang w:val="en-GB"/>
        </w:rPr>
        <w:t>)</w:t>
      </w:r>
      <w:r w:rsidR="51DE69D3" w:rsidRPr="00DA249F">
        <w:rPr>
          <w:lang w:val="en-GB"/>
        </w:rPr>
        <w:t xml:space="preserve">, </w:t>
      </w:r>
      <w:r w:rsidR="004E2E3E" w:rsidRPr="00DA249F">
        <w:rPr>
          <w:i/>
          <w:lang w:val="en-GB"/>
        </w:rPr>
        <w:t>Digitaria sanguinalis</w:t>
      </w:r>
      <w:r w:rsidR="004E2E3E" w:rsidRPr="00DA249F">
        <w:rPr>
          <w:lang w:val="en-GB"/>
        </w:rPr>
        <w:t xml:space="preserve"> </w:t>
      </w:r>
      <w:r w:rsidR="004E2E3E" w:rsidRPr="00DA249F">
        <w:rPr>
          <w:szCs w:val="24"/>
          <w:lang w:val="en-GB"/>
        </w:rPr>
        <w:t>(</w:t>
      </w:r>
      <w:r w:rsidR="000E210F" w:rsidRPr="00DA249F">
        <w:rPr>
          <w:rFonts w:eastAsia="Times New Roman"/>
          <w:color w:val="000000"/>
          <w:szCs w:val="24"/>
          <w:lang w:val="en-GB" w:eastAsia="zh-CN"/>
        </w:rPr>
        <w:t>large crabgrass</w:t>
      </w:r>
      <w:r w:rsidR="004E2E3E" w:rsidRPr="00DA249F">
        <w:rPr>
          <w:szCs w:val="24"/>
          <w:lang w:val="en-GB"/>
        </w:rPr>
        <w:t>)</w:t>
      </w:r>
      <w:r w:rsidR="51DE69D3" w:rsidRPr="00DA249F">
        <w:rPr>
          <w:szCs w:val="24"/>
          <w:lang w:val="en-GB"/>
        </w:rPr>
        <w:t xml:space="preserve">) </w:t>
      </w:r>
      <w:r w:rsidR="132EDAC3" w:rsidRPr="00DA249F">
        <w:rPr>
          <w:szCs w:val="24"/>
          <w:lang w:val="en-GB"/>
        </w:rPr>
        <w:t>that</w:t>
      </w:r>
      <w:r w:rsidR="132EDAC3" w:rsidRPr="00DA249F">
        <w:rPr>
          <w:lang w:val="en-GB"/>
        </w:rPr>
        <w:t xml:space="preserve"> </w:t>
      </w:r>
      <w:r w:rsidR="005876DF" w:rsidRPr="00DA249F">
        <w:rPr>
          <w:lang w:val="en-GB"/>
        </w:rPr>
        <w:t>do not tolerate</w:t>
      </w:r>
      <w:r w:rsidR="132EDAC3" w:rsidRPr="00DA249F">
        <w:rPr>
          <w:lang w:val="en-GB"/>
        </w:rPr>
        <w:t xml:space="preserve"> frost and thus do not </w:t>
      </w:r>
      <w:r w:rsidR="005876DF" w:rsidRPr="00DA249F">
        <w:rPr>
          <w:lang w:val="en-GB"/>
        </w:rPr>
        <w:t xml:space="preserve">currently </w:t>
      </w:r>
      <w:r w:rsidR="00EA2F31">
        <w:rPr>
          <w:lang w:val="en-GB"/>
        </w:rPr>
        <w:t>survive the winte</w:t>
      </w:r>
      <w:r w:rsidR="00EA2F31" w:rsidRPr="00DA249F">
        <w:rPr>
          <w:lang w:val="en-GB"/>
        </w:rPr>
        <w:t>r</w:t>
      </w:r>
      <w:r w:rsidR="132EDAC3" w:rsidRPr="00DA249F">
        <w:rPr>
          <w:lang w:val="en-GB"/>
        </w:rPr>
        <w:t xml:space="preserve"> in </w:t>
      </w:r>
      <w:r w:rsidR="00082D78" w:rsidRPr="00DA249F">
        <w:rPr>
          <w:lang w:val="en-GB"/>
        </w:rPr>
        <w:t xml:space="preserve">the United Kingdom </w:t>
      </w:r>
      <w:r w:rsidR="005876DF" w:rsidRPr="00DA249F">
        <w:rPr>
          <w:lang w:val="en-GB"/>
        </w:rPr>
        <w:t>may</w:t>
      </w:r>
      <w:r w:rsidR="51DE69D3" w:rsidRPr="00DA249F">
        <w:rPr>
          <w:lang w:val="en-GB"/>
        </w:rPr>
        <w:t xml:space="preserve"> become problematic in arable agriculture </w:t>
      </w:r>
      <w:r w:rsidR="005876DF" w:rsidRPr="00DA249F">
        <w:rPr>
          <w:lang w:val="en-GB"/>
        </w:rPr>
        <w:t xml:space="preserve">in a warmer future </w:t>
      </w:r>
      <w:r w:rsidR="004C61A6" w:rsidRPr="00DA249F">
        <w:rPr>
          <w:lang w:val="en-GB"/>
        </w:rPr>
        <w:t>when</w:t>
      </w:r>
      <w:r w:rsidR="005876DF" w:rsidRPr="00DA249F">
        <w:rPr>
          <w:lang w:val="en-GB"/>
        </w:rPr>
        <w:t xml:space="preserve"> this constraint is lifted</w:t>
      </w:r>
      <w:r w:rsidR="004C61A6" w:rsidRPr="00DA249F">
        <w:rPr>
          <w:lang w:val="en-GB"/>
        </w:rPr>
        <w:t xml:space="preserve">, especially </w:t>
      </w:r>
      <w:r w:rsidR="005876DF" w:rsidRPr="00DA249F">
        <w:rPr>
          <w:lang w:val="en-GB"/>
        </w:rPr>
        <w:t>as they are well</w:t>
      </w:r>
      <w:r w:rsidR="004C61A6" w:rsidRPr="00DA249F">
        <w:rPr>
          <w:lang w:val="en-GB"/>
        </w:rPr>
        <w:t>-</w:t>
      </w:r>
      <w:r w:rsidR="51DE69D3" w:rsidRPr="00DA249F">
        <w:rPr>
          <w:lang w:val="en-GB"/>
        </w:rPr>
        <w:t>adapted to high temperature</w:t>
      </w:r>
      <w:r w:rsidR="005876DF" w:rsidRPr="00DA249F">
        <w:rPr>
          <w:lang w:val="en-GB"/>
        </w:rPr>
        <w:t>s</w:t>
      </w:r>
      <w:r w:rsidR="004C61A6" w:rsidRPr="00DA249F">
        <w:rPr>
          <w:lang w:val="en-GB"/>
        </w:rPr>
        <w:t xml:space="preserve"> that </w:t>
      </w:r>
      <w:r w:rsidR="00CD6605" w:rsidRPr="00DA249F">
        <w:rPr>
          <w:lang w:val="en-GB"/>
        </w:rPr>
        <w:t xml:space="preserve">some </w:t>
      </w:r>
      <w:r w:rsidR="004C61A6" w:rsidRPr="00DA249F">
        <w:rPr>
          <w:lang w:val="en-GB"/>
        </w:rPr>
        <w:t>Brit</w:t>
      </w:r>
      <w:r w:rsidR="00CD6605" w:rsidRPr="00DA249F">
        <w:rPr>
          <w:lang w:val="en-GB"/>
        </w:rPr>
        <w:t>is</w:t>
      </w:r>
      <w:r w:rsidR="004C61A6" w:rsidRPr="00DA249F">
        <w:rPr>
          <w:lang w:val="en-GB"/>
        </w:rPr>
        <w:t xml:space="preserve">h native plants may not tolerate </w:t>
      </w:r>
      <w:r w:rsidR="006E0D25">
        <w:rPr>
          <w:lang w:val="en-GB"/>
        </w:rPr>
        <w:t>as</w:t>
      </w:r>
      <w:r w:rsidR="006E0D25" w:rsidRPr="00DA249F">
        <w:rPr>
          <w:lang w:val="en-GB"/>
        </w:rPr>
        <w:t xml:space="preserve"> </w:t>
      </w:r>
      <w:r w:rsidR="004C61A6" w:rsidRPr="00DA249F">
        <w:rPr>
          <w:lang w:val="en-GB"/>
        </w:rPr>
        <w:t>well</w:t>
      </w:r>
      <w:r w:rsidR="51DE69D3" w:rsidRPr="00DA249F">
        <w:rPr>
          <w:lang w:val="en-GB"/>
        </w:rPr>
        <w:t xml:space="preserve"> </w:t>
      </w:r>
      <w:r w:rsidR="0034316B" w:rsidRPr="00DA249F">
        <w:rPr>
          <w:lang w:val="en-GB"/>
        </w:rPr>
        <w:fldChar w:fldCharType="begin"/>
      </w:r>
      <w:r w:rsidR="00331A79">
        <w:rPr>
          <w:lang w:val="en-GB"/>
        </w:rPr>
        <w:instrText xml:space="preserve"> ADDIN ZOTERO_ITEM CSL_CITATION {"citationID":"wovhakja","properties":{"formattedCitation":"(Froud-Williams, 1996)","plainCitation":"(Froud-Williams, 1996)","noteIndex":0},"citationItems":[{"id":52913,"uris":["http://zotero.org/groups/2352922/items/J2ARH6KE"],"itemData":{"id":52913,"type":"article-journal","container-title":"Aspects of Applied Biology (United Kingdom)","title":"Weeds and climate change: Implications for their ecology and control","URL":"https://agris.fao.org/agris-search/search.do?recordID=GB9629078","author":[{"family":"Froud-Williams","given":"R. J."}],"issued":{"date-parts":[["1996"]]}},"label":"page"}],"schema":"https://github.com/citation-style-language/schema/raw/master/csl-citation.json"} </w:instrText>
      </w:r>
      <w:r w:rsidR="0034316B" w:rsidRPr="00DA249F">
        <w:rPr>
          <w:lang w:val="en-GB"/>
        </w:rPr>
        <w:fldChar w:fldCharType="separate"/>
      </w:r>
      <w:r w:rsidR="00144D96" w:rsidRPr="00144D96">
        <w:t>(Froud-Williams, 1996)</w:t>
      </w:r>
      <w:r w:rsidR="0034316B" w:rsidRPr="00DA249F">
        <w:rPr>
          <w:lang w:val="en-GB"/>
        </w:rPr>
        <w:fldChar w:fldCharType="end"/>
      </w:r>
      <w:r w:rsidR="51DE69D3" w:rsidRPr="00DA249F">
        <w:rPr>
          <w:lang w:val="en-GB"/>
        </w:rPr>
        <w:t xml:space="preserve">. </w:t>
      </w:r>
      <w:r w:rsidR="003A6FC1" w:rsidRPr="00DA249F">
        <w:rPr>
          <w:lang w:val="en-GB"/>
        </w:rPr>
        <w:t>For insects in temperate regions, a major effect of climate warming is enhance</w:t>
      </w:r>
      <w:r w:rsidR="006175C1">
        <w:rPr>
          <w:lang w:val="en-GB"/>
        </w:rPr>
        <w:t>d</w:t>
      </w:r>
      <w:r w:rsidR="003A6FC1" w:rsidRPr="00DA249F">
        <w:rPr>
          <w:lang w:val="en-GB"/>
        </w:rPr>
        <w:t xml:space="preserve"> individual growth and development and</w:t>
      </w:r>
      <w:r w:rsidR="006175C1">
        <w:rPr>
          <w:lang w:val="en-GB"/>
        </w:rPr>
        <w:t xml:space="preserve"> consequent</w:t>
      </w:r>
      <w:r w:rsidR="003A6FC1" w:rsidRPr="00DA249F">
        <w:rPr>
          <w:lang w:val="en-GB"/>
        </w:rPr>
        <w:t xml:space="preserve"> increase</w:t>
      </w:r>
      <w:r w:rsidR="006175C1">
        <w:rPr>
          <w:lang w:val="en-GB"/>
        </w:rPr>
        <w:t>d</w:t>
      </w:r>
      <w:r w:rsidR="003A6FC1" w:rsidRPr="00DA249F">
        <w:rPr>
          <w:lang w:val="en-GB"/>
        </w:rPr>
        <w:t xml:space="preserve"> winter survival, allowing range expansion to more northerly latitudes </w:t>
      </w:r>
      <w:r w:rsidR="003A6FC1" w:rsidRPr="00DA249F">
        <w:rPr>
          <w:lang w:val="en-GB"/>
        </w:rPr>
        <w:fldChar w:fldCharType="begin"/>
      </w:r>
      <w:r w:rsidR="00331A79">
        <w:rPr>
          <w:lang w:val="en-GB"/>
        </w:rPr>
        <w:instrText xml:space="preserve"> ADDIN ZOTERO_ITEM CSL_CITATION {"citationID":"9Swvjp9z","properties":{"formattedCitation":"(Bale et al., 2002)","plainCitation":"(Bale et al., 2002)","noteIndex":0},"citationItems":[{"id":31916,"uris":["http://zotero.org/groups/2352922/items/37XQGWYC"],"itemData":{"id":31916,"type":"article-journal","abstract":"This review examines the direct effects of climate change on insect herbivores. Temperature is identified as the dominant abiotic factor directly affecting herbivorous insects. There is little evidence of any direct effects of CO2 or UVB. Direct impacts of precipitation have been largely neglected in current research on climate change. Temperature directly affects development, survival, range and abundance. Species with a large geographical range will tend to be less affected. The main effect of temperature in temperate regions is to influence winter survival; at more northerly latitudes, higher temperatures extend the summer season, increasing the available thermal budget for growth and reproduction. Photoperiod is the dominant cue for the seasonal synchrony of temperate insects, but their thermal requirements may differ at different times of year. Interactions between photoperiod and temperature determine phenology; the two factors do not necessarily operate in tandem. Insect herbivores show a number of distinct life-history strategies to exploit plants with different growth forms and strategies, which will be differentially affected by climate warming. There are still many challenges facing biologists in predicting and monitoring the impacts of climate change. Future research needs to consider insect herbivore phenotypic and genotypic flexibility, their responses to global change parameters operating in concert, and awareness that some patterns may only become apparent in the longer term.","container-title":"Global Change Biology","DOI":"10.1046/j.1365-2486.2002.00451.x","ISSN":"1365-2486","issue":"1","language":"en","page":"1-16","source":"Wiley Online Library","title":"Herbivory in global climate change research: direct effects of rising temperature on insect herbivores","title-short":"Herbivory in global climate change research","URL":"https://onlinelibrary.wiley.com/doi/abs/10.1046/j.1365-2486.2002.00451.x","volume":"8","author":[{"family":"Bale","given":"Jeffery S."},{"family":"Masters","given":"Gregory J."},{"family":"Hodkinson","given":"Ian D."},{"family":"Awmack","given":"Caroline"},{"family":"Bezemer","given":"T. Martijn"},{"family":"Brown","given":"Valerie K."},{"family":"Butterfield","given":"Jennifer"},{"family":"Buse","given":"Alan"},{"family":"Coulson","given":"John C."},{"family":"Farrar","given":"John"},{"family":"Good","given":"John E. G."},{"family":"Harrington","given":"Richard"},{"family":"Hartley","given":"Susane"},{"family":"Jones","given":"T. Hefin"},{"family":"Lindroth","given":"Richard L."},{"family":"Press","given":"Malcolm C."},{"family":"Symrnioudis","given":"Ilias"},{"family":"Watt","given":"Allan D."},{"family":"Whittaker","given":"John B."}],"accessed":{"date-parts":[["2019",10,24]]},"issued":{"date-parts":[["2002"]]}},"label":"page"}],"schema":"https://github.com/citation-style-language/schema/raw/master/csl-citation.json"} </w:instrText>
      </w:r>
      <w:r w:rsidR="003A6FC1" w:rsidRPr="00DA249F">
        <w:rPr>
          <w:lang w:val="en-GB"/>
        </w:rPr>
        <w:fldChar w:fldCharType="separate"/>
      </w:r>
      <w:r w:rsidR="00144D96" w:rsidRPr="00144D96">
        <w:t>(Bale et al., 2002)</w:t>
      </w:r>
      <w:r w:rsidR="003A6FC1" w:rsidRPr="00DA249F">
        <w:rPr>
          <w:lang w:val="en-GB"/>
        </w:rPr>
        <w:fldChar w:fldCharType="end"/>
      </w:r>
      <w:r w:rsidR="003A6FC1" w:rsidRPr="00DA249F">
        <w:rPr>
          <w:lang w:val="en-GB"/>
        </w:rPr>
        <w:t xml:space="preserve">. Thus several invasive alien insect species, many of which are crop pests and diseases, may expand their ranges northward and upward under climate change </w:t>
      </w:r>
      <w:r w:rsidR="003A6FC1" w:rsidRPr="00DA249F">
        <w:rPr>
          <w:lang w:val="en-GB"/>
        </w:rPr>
        <w:fldChar w:fldCharType="begin"/>
      </w:r>
      <w:r w:rsidR="00331A79">
        <w:rPr>
          <w:lang w:val="en-GB"/>
        </w:rPr>
        <w:instrText xml:space="preserve"> ADDIN ZOTERO_ITEM CSL_CITATION {"citationID":"Xi05zDcs","properties":{"formattedCitation":"(Lehmann et al., 2020)","plainCitation":"(Lehmann et al., 2020)","noteIndex":0},"citationItems":[{"id":32001,"uris":["http://zotero.org/groups/2352922/items/JFACYUT8"],"itemData":{"id":32001,"type":"article-journal","container-title":"Frontiers in Ecology and the Environment","DOI":"https://doi.org/10.1002/fee.2160","issue":"3","note":"ISBN: 1540-9295\npublisher: Wiley Online Library","page":"141-150","title":"Complex responses of global insect pests to climate warming","volume":"18","author":[{"family":"Lehmann","given":"Philipp"},{"family":"Ammunét","given":"Tea"},{"family":"Barton","given":"Madeleine"},{"family":"Battisti","given":"Andrea"},{"family":"Eigenbrode","given":"Sanford D."},{"family":"Jepsen","given":"Jane Uhd"},{"family":"Kalinkat","given":"Gregor"},{"family":"Neuvonen","given":"Seppo"},{"family":"Niemelä","given":"Pekka"},{"family":"Terblanche","given":"John S."}],"issued":{"date-parts":[["2020"]]}},"label":"page"}],"schema":"https://github.com/citation-style-language/schema/raw/master/csl-citation.json"} </w:instrText>
      </w:r>
      <w:r w:rsidR="003A6FC1" w:rsidRPr="00DA249F">
        <w:rPr>
          <w:lang w:val="en-GB"/>
        </w:rPr>
        <w:fldChar w:fldCharType="separate"/>
      </w:r>
      <w:r w:rsidR="00144D96" w:rsidRPr="00144D96">
        <w:t>(Lehmann et al., 2020)</w:t>
      </w:r>
      <w:r w:rsidR="003A6FC1" w:rsidRPr="00DA249F">
        <w:rPr>
          <w:lang w:val="en-GB"/>
        </w:rPr>
        <w:fldChar w:fldCharType="end"/>
      </w:r>
      <w:r w:rsidR="003A6FC1" w:rsidRPr="00DA249F">
        <w:rPr>
          <w:lang w:val="en-GB"/>
        </w:rPr>
        <w:t xml:space="preserve">. </w:t>
      </w:r>
      <w:r w:rsidR="632A3276" w:rsidRPr="00DA249F">
        <w:rPr>
          <w:lang w:val="en-GB"/>
        </w:rPr>
        <w:t xml:space="preserve">In aquatic systems, substantial non-breeding populations of the </w:t>
      </w:r>
      <w:r w:rsidR="632A3276" w:rsidRPr="00DA249F">
        <w:rPr>
          <w:i/>
          <w:lang w:val="en-GB"/>
        </w:rPr>
        <w:t>Trachemys scripta</w:t>
      </w:r>
      <w:r w:rsidR="00AE1AA5" w:rsidRPr="00DA249F">
        <w:rPr>
          <w:i/>
          <w:lang w:val="en-GB"/>
        </w:rPr>
        <w:t xml:space="preserve"> </w:t>
      </w:r>
      <w:r w:rsidR="00AE1AA5" w:rsidRPr="00DA249F">
        <w:rPr>
          <w:lang w:val="en-GB"/>
        </w:rPr>
        <w:t>(</w:t>
      </w:r>
      <w:r w:rsidR="00C4455B" w:rsidRPr="00DA249F">
        <w:rPr>
          <w:rFonts w:eastAsia="Times New Roman"/>
          <w:color w:val="000000"/>
          <w:szCs w:val="24"/>
          <w:lang w:val="en-GB" w:eastAsia="zh-CN"/>
        </w:rPr>
        <w:t>pond slider</w:t>
      </w:r>
      <w:r w:rsidR="632A3276" w:rsidRPr="00DA249F">
        <w:rPr>
          <w:lang w:val="en-GB"/>
        </w:rPr>
        <w:t xml:space="preserve">) have persisted for </w:t>
      </w:r>
      <w:r w:rsidR="00CD1DD7" w:rsidRPr="00DA249F">
        <w:rPr>
          <w:lang w:val="en-GB"/>
        </w:rPr>
        <w:t>some time</w:t>
      </w:r>
      <w:r w:rsidR="632A3276" w:rsidRPr="00DA249F">
        <w:rPr>
          <w:lang w:val="en-GB"/>
        </w:rPr>
        <w:t xml:space="preserve"> in regions </w:t>
      </w:r>
      <w:r w:rsidR="00CD1DD7" w:rsidRPr="00DA249F">
        <w:rPr>
          <w:lang w:val="en-GB"/>
        </w:rPr>
        <w:t>where</w:t>
      </w:r>
      <w:r w:rsidR="632A3276" w:rsidRPr="00DA249F">
        <w:rPr>
          <w:lang w:val="en-GB"/>
        </w:rPr>
        <w:t xml:space="preserve"> climate change could </w:t>
      </w:r>
      <w:r w:rsidR="00CD1DD7" w:rsidRPr="00DA249F">
        <w:rPr>
          <w:lang w:val="en-GB"/>
        </w:rPr>
        <w:t xml:space="preserve">soon </w:t>
      </w:r>
      <w:r w:rsidR="632A3276" w:rsidRPr="00DA249F">
        <w:rPr>
          <w:lang w:val="en-GB"/>
        </w:rPr>
        <w:t>facilitate reproduction and subsequent establishment</w:t>
      </w:r>
      <w:r w:rsidR="00CD1DD7" w:rsidRPr="00DA249F">
        <w:rPr>
          <w:lang w:val="en-GB"/>
        </w:rPr>
        <w:t xml:space="preserve"> and spread</w:t>
      </w:r>
      <w:r w:rsidR="632A3276" w:rsidRPr="00DA249F">
        <w:rPr>
          <w:lang w:val="en-GB"/>
        </w:rPr>
        <w:t xml:space="preserve"> </w:t>
      </w:r>
      <w:r w:rsidR="0034316B" w:rsidRPr="00DA249F">
        <w:rPr>
          <w:lang w:val="en-GB"/>
        </w:rPr>
        <w:fldChar w:fldCharType="begin"/>
      </w:r>
      <w:r w:rsidR="00331A79">
        <w:rPr>
          <w:lang w:val="en-GB"/>
        </w:rPr>
        <w:instrText xml:space="preserve"> ADDIN ZOTERO_ITEM CSL_CITATION {"citationID":"FJRWgRdX","properties":{"formattedCitation":"(R\\uc0\\u246{}dder et al., 2009)","plainCitation":"(Rödder et al., 2009)","noteIndex":0},"citationItems":[{"id":25600,"uris":["http://zotero.org/groups/2352922/items/U9LWURW8"],"itemData":{"id":25600,"type":"article-journal","container-title":"PLoS ONE","DOI":"10.1371/journal.pone.0007843","ISSN":"1932-6203","issue":"11","page":"e7843","source":"CrossRef","title":"Alien Invasive Slider Turtle in Unpredicted Habitat: A Matter of Niche Shift or of Predictors Studied?","title-short":"Alien Invasive Slider Turtle in Unpredicted Habitat","URL":"http://dx.plos.org/10.1371/journal.pone.0007843","volume":"4","author":[{"family":"Rödder","given":"Dennis"},{"family":"Schmidtlein","given":"Sebastian"},{"family":"Veith","given":"Michael"},{"family":"Lötters","given":"Stefan"}],"editor":[{"family":"Thompson","given":"Ross"}],"accessed":{"date-parts":[["2013",1,30]]},"issued":{"date-parts":[["2009",11,24]]}},"label":"page"}],"schema":"https://github.com/citation-style-language/schema/raw/master/csl-citation.json"} </w:instrText>
      </w:r>
      <w:r w:rsidR="0034316B" w:rsidRPr="00DA249F">
        <w:rPr>
          <w:lang w:val="en-GB"/>
        </w:rPr>
        <w:fldChar w:fldCharType="separate"/>
      </w:r>
      <w:r w:rsidR="00144D96" w:rsidRPr="00144D96">
        <w:rPr>
          <w:szCs w:val="24"/>
        </w:rPr>
        <w:t>(Rödder et al., 2009)</w:t>
      </w:r>
      <w:r w:rsidR="0034316B" w:rsidRPr="00DA249F">
        <w:rPr>
          <w:lang w:val="en-GB"/>
        </w:rPr>
        <w:fldChar w:fldCharType="end"/>
      </w:r>
      <w:r w:rsidR="632A3276" w:rsidRPr="00DA249F">
        <w:rPr>
          <w:lang w:val="en-GB"/>
        </w:rPr>
        <w:t>.</w:t>
      </w:r>
      <w:r w:rsidR="00066BF9" w:rsidRPr="00DA249F">
        <w:rPr>
          <w:lang w:val="en-GB"/>
        </w:rPr>
        <w:t xml:space="preserve"> </w:t>
      </w:r>
      <w:r w:rsidR="008C1DBB" w:rsidRPr="00DA249F">
        <w:rPr>
          <w:lang w:val="en-GB"/>
        </w:rPr>
        <w:t>Similarly, warming of North American lakes is likely to increase thermal suitability for species of fishes</w:t>
      </w:r>
      <w:r w:rsidR="002D3F46" w:rsidRPr="00DA249F">
        <w:rPr>
          <w:lang w:val="en-GB"/>
        </w:rPr>
        <w:t xml:space="preserve"> currently with a </w:t>
      </w:r>
      <w:r w:rsidR="002D3F46" w:rsidRPr="00DA249F">
        <w:rPr>
          <w:lang w:val="en-GB"/>
        </w:rPr>
        <w:lastRenderedPageBreak/>
        <w:t>more southerly distribution</w:t>
      </w:r>
      <w:r w:rsidR="008C1DBB" w:rsidRPr="00DA249F">
        <w:rPr>
          <w:lang w:val="en-GB"/>
        </w:rPr>
        <w:t>, including many alien</w:t>
      </w:r>
      <w:r w:rsidR="002D3F46" w:rsidRPr="00DA249F">
        <w:rPr>
          <w:lang w:val="en-GB"/>
        </w:rPr>
        <w:t xml:space="preserve"> </w:t>
      </w:r>
      <w:r w:rsidR="008C1DBB" w:rsidRPr="00DA249F">
        <w:rPr>
          <w:lang w:val="en-GB"/>
        </w:rPr>
        <w:t>s</w:t>
      </w:r>
      <w:r w:rsidR="002D3F46" w:rsidRPr="00DA249F">
        <w:rPr>
          <w:lang w:val="en-GB"/>
        </w:rPr>
        <w:t>pecies</w:t>
      </w:r>
      <w:r w:rsidR="008C1DBB" w:rsidRPr="00DA249F">
        <w:rPr>
          <w:lang w:val="en-GB"/>
        </w:rPr>
        <w:t xml:space="preserve">, that could potentially expand their distribution poleward into alien regions, potentially as far as the Arctic </w:t>
      </w:r>
      <w:r w:rsidR="008C1DBB" w:rsidRPr="00DA249F">
        <w:rPr>
          <w:lang w:val="en-GB"/>
        </w:rPr>
        <w:fldChar w:fldCharType="begin"/>
      </w:r>
      <w:r w:rsidR="00331A79">
        <w:rPr>
          <w:lang w:val="en-GB"/>
        </w:rPr>
        <w:instrText xml:space="preserve"> ADDIN ZOTERO_ITEM CSL_CITATION {"citationID":"Z6mDMVNB","properties":{"formattedCitation":"(Ricciardi et al., 2020)","plainCitation":"(Ricciardi et al., 2020)","noteIndex":0},"citationItems":[{"id":53334,"uris":["http://zotero.org/groups/2352922/items/U5KMFVF6"],"itemData":{"id":53334,"type":"article-journal","container-title":"Environmental Reviews","DOI":"10.1139/er-2020-0088","ISSN":"1181-8700","issue":"2","journalAbbreviation":"Environ. Rev.","note":"publisher: NRC Research Press","page":"119-141","source":"cdnsciencepub.com (Atypon)","title":"Four priority areas to advance invasion science in the face of rapid environmental change","URL":"https://cdnsciencepub.com/doi/full/10.1139/er-2020-0088","volume":"29","author":[{"family":"Ricciardi","given":"Anthony"},{"family":"Iacarella","given":"Josephine C."},{"family":"Aldridge","given":"David C."},{"family":"Blackburn","given":"Tim M."},{"family":"Carlton","given":"James T."},{"family":"Catford","given":"Jane A."},{"family":"Dick","given":"Jaimie T.A."},{"family":"Hulme","given":"Philip E."},{"family":"Jeschke","given":"Jonathan M."},{"family":"Liebhold","given":"Andrew M."},{"family":"Lockwood","given":"Julie L."},{"family":"MacIsaac","given":"Hugh J."},{"family":"Meyerson","given":"Laura A."},{"family":"Pyšek","given":"Petr"},{"family":"Richardson","given":"David M."},{"family":"Ruiz","given":"Gregory M."},{"family":"Simberloff","given":"Daniel"},{"family":"Vilà","given":"Montserrat"},{"family":"Wardle","given":"David A."}],"accessed":{"date-parts":[["2022",9,21]]},"issued":{"date-parts":[["2020"]]}},"label":"page"}],"schema":"https://github.com/citation-style-language/schema/raw/master/csl-citation.json"} </w:instrText>
      </w:r>
      <w:r w:rsidR="008C1DBB" w:rsidRPr="00DA249F">
        <w:rPr>
          <w:lang w:val="en-GB"/>
        </w:rPr>
        <w:fldChar w:fldCharType="separate"/>
      </w:r>
      <w:r w:rsidR="00536538" w:rsidRPr="00536538">
        <w:t>(Ricciardi et al., 2020)</w:t>
      </w:r>
      <w:r w:rsidR="008C1DBB" w:rsidRPr="00DA249F">
        <w:rPr>
          <w:lang w:val="en-GB"/>
        </w:rPr>
        <w:fldChar w:fldCharType="end"/>
      </w:r>
      <w:r w:rsidR="008C1DBB" w:rsidRPr="00DA249F">
        <w:rPr>
          <w:lang w:val="en-GB"/>
        </w:rPr>
        <w:t>.</w:t>
      </w:r>
    </w:p>
    <w:p w14:paraId="0627A3CD" w14:textId="039E4CE5" w:rsidR="00B94F5F" w:rsidRPr="00DA249F" w:rsidRDefault="00A70816" w:rsidP="0090109B">
      <w:pPr>
        <w:rPr>
          <w:lang w:val="en-GB"/>
        </w:rPr>
      </w:pPr>
      <w:r w:rsidRPr="00DA249F">
        <w:rPr>
          <w:lang w:val="en-GB"/>
        </w:rPr>
        <w:t xml:space="preserve">Several empirical studies support and confirm </w:t>
      </w:r>
      <w:r w:rsidR="00493AB6" w:rsidRPr="00DA249F">
        <w:rPr>
          <w:lang w:val="en-GB"/>
        </w:rPr>
        <w:t xml:space="preserve">some of </w:t>
      </w:r>
      <w:r w:rsidRPr="00DA249F">
        <w:rPr>
          <w:lang w:val="en-GB"/>
        </w:rPr>
        <w:t xml:space="preserve">these projections. </w:t>
      </w:r>
      <w:r w:rsidR="00380064" w:rsidRPr="00DA249F">
        <w:rPr>
          <w:lang w:val="en-GB"/>
        </w:rPr>
        <w:t>H</w:t>
      </w:r>
      <w:r w:rsidR="6C962270" w:rsidRPr="00DA249F">
        <w:rPr>
          <w:lang w:val="en-GB"/>
        </w:rPr>
        <w:t>igher temperatures</w:t>
      </w:r>
      <w:r w:rsidR="00380064" w:rsidRPr="00DA249F">
        <w:rPr>
          <w:lang w:val="en-GB"/>
        </w:rPr>
        <w:t>,</w:t>
      </w:r>
      <w:r w:rsidR="6C962270" w:rsidRPr="00DA249F">
        <w:rPr>
          <w:lang w:val="en-GB"/>
        </w:rPr>
        <w:t xml:space="preserve"> extend</w:t>
      </w:r>
      <w:r w:rsidR="00380064" w:rsidRPr="00DA249F">
        <w:rPr>
          <w:lang w:val="en-GB"/>
        </w:rPr>
        <w:t>ed</w:t>
      </w:r>
      <w:r w:rsidR="6C962270" w:rsidRPr="00DA249F">
        <w:rPr>
          <w:lang w:val="en-GB"/>
        </w:rPr>
        <w:t xml:space="preserve"> summer season</w:t>
      </w:r>
      <w:r w:rsidR="00380064" w:rsidRPr="00DA249F">
        <w:rPr>
          <w:lang w:val="en-GB"/>
        </w:rPr>
        <w:t>s</w:t>
      </w:r>
      <w:r w:rsidR="6C962270" w:rsidRPr="00DA249F">
        <w:rPr>
          <w:lang w:val="en-GB"/>
        </w:rPr>
        <w:t xml:space="preserve">, </w:t>
      </w:r>
      <w:r w:rsidR="00380064" w:rsidRPr="00DA249F">
        <w:rPr>
          <w:lang w:val="en-GB"/>
        </w:rPr>
        <w:t xml:space="preserve">and </w:t>
      </w:r>
      <w:r w:rsidR="6C962270" w:rsidRPr="00DA249F">
        <w:rPr>
          <w:lang w:val="en-GB"/>
        </w:rPr>
        <w:t>increasing available thermal budget for growth</w:t>
      </w:r>
      <w:r w:rsidR="0067322F" w:rsidRPr="00DA249F">
        <w:rPr>
          <w:lang w:val="en-GB"/>
        </w:rPr>
        <w:t xml:space="preserve"> are </w:t>
      </w:r>
      <w:r w:rsidR="00463A5B" w:rsidRPr="00DA249F">
        <w:rPr>
          <w:lang w:val="en-GB"/>
        </w:rPr>
        <w:t>recognized</w:t>
      </w:r>
      <w:r w:rsidR="0067322F" w:rsidRPr="00DA249F">
        <w:rPr>
          <w:lang w:val="en-GB"/>
        </w:rPr>
        <w:t xml:space="preserve"> as potential explanations for </w:t>
      </w:r>
      <w:r w:rsidR="000429CB" w:rsidRPr="00DA249F">
        <w:rPr>
          <w:lang w:val="en-GB"/>
        </w:rPr>
        <w:t xml:space="preserve">ongoing </w:t>
      </w:r>
      <w:r w:rsidR="00CA6231" w:rsidRPr="00DA249F">
        <w:rPr>
          <w:lang w:val="en-GB"/>
        </w:rPr>
        <w:t>poleward</w:t>
      </w:r>
      <w:r w:rsidR="009E2E09">
        <w:rPr>
          <w:lang w:val="en-GB"/>
        </w:rPr>
        <w:t>s</w:t>
      </w:r>
      <w:r w:rsidR="00CA6231" w:rsidRPr="00DA249F">
        <w:rPr>
          <w:lang w:val="en-GB"/>
        </w:rPr>
        <w:t xml:space="preserve"> shifts in species’ distributions </w:t>
      </w:r>
      <w:r w:rsidR="00E02927" w:rsidRPr="00DA249F">
        <w:rPr>
          <w:lang w:val="en-GB"/>
        </w:rPr>
        <w:fldChar w:fldCharType="begin"/>
      </w:r>
      <w:r w:rsidR="00230216">
        <w:rPr>
          <w:lang w:val="en-GB"/>
        </w:rPr>
        <w:instrText xml:space="preserve"> ADDIN ZOTERO_ITEM CSL_CITATION {"citationID":"AnSEzCEU","properties":{"formattedCitation":"(S. C. Mason et al., 2015; Parmesan &amp; Yohe, 2003)","plainCitation":"(S. C. Mason et al., 2015; Parmesan &amp; Yohe, 2003)","noteIndex":0},"citationItems":[{"id":52682,"uris":["http://zotero.org/groups/2352922/items/DUD3L69X"],"itemData":{"id":52682,"type":"article-journal","container-title":"Biological Journal of the Linnean Society","DOI":"10.1111/bij.12574","issue":"3","note":"ISBN: 0024-4066\npublisher: Oxford University Press","page":"586-597","title":"Geographical range margins of many taxonomic groups continue to shift polewards","URL":"https://academic.oup.com/biolinnean/article/115/3/586/2440522?login=false","volume":"115","author":[{"family":"Mason","given":"Suzanna C."},{"family":"Palmer","given":"Georgina"},{"family":"Fox","given":"Richard"},{"family":"Gillings","given":"Simon"},{"family":"Hill","given":"Jane K."},{"family":"Thomas","given":"Chris D."},{"family":"Oliver","given":"Tom H."}],"issued":{"date-parts":[["2015"]]}},"label":"page"},{"id":52681,"uris":["http://zotero.org/groups/2352922/items/MBX7DEBH"],"itemData":{"id":52681,"type":"article-journal","abstract":"Causal attribution of recent biological trends to climate change is complicated because non-climatic influences dominate local, short-term biological changes. Any underlying signal from climate change is likely to be revealed by analyses that seek systematic trends across diverse species and geographic regions; however, debates within the Intergovernmental Panel on Climate Change (IPCC) reveal several definitions of a ‘systematic trend’. Here, we explore these differences, apply diverse analyses to more than 1,700 species, and show that recent biological trends match climate change predictions. Global meta-analyses documented significant range shifts averaging 6.1 km per decade towards the poles (or metres per decade upward), and significant mean advancement of spring events by 2.3 days per decade. We define a diagnostic fingerprint of temporal and spatial ‘sign-switching’ responses uniquely predicted by twentieth century climate trends. Among appropriate long-term/large-scale/multi-species data sets, this diagnostic fingerprint was found for 279 species. This suite of analyses generates ‘very high confidence’ (as laid down by the IPCC) that climate change is already affecting living systems.","container-title":"Nature","DOI":"10.1038/nature01286","ISSN":"1476-4687","issue":"6918","language":"en","license":"2003 Macmillan Magazines Ltd.","note":"number: 6918\npublisher: Nature Publishing Group","page":"37-42","source":"www.nature.com","title":"A globally coherent fingerprint of climate change impacts across natural systems","URL":"https://www.nature.com/articles/nature01286","volume":"421","author":[{"family":"Parmesan","given":"Camille"},{"family":"Yohe","given":"Gary"}],"accessed":{"date-parts":[["2022",7,28]]},"issued":{"date-parts":[["2003",1]]}},"label":"page"}],"schema":"https://github.com/citation-style-language/schema/raw/master/csl-citation.json"} </w:instrText>
      </w:r>
      <w:r w:rsidR="00E02927" w:rsidRPr="00DA249F">
        <w:rPr>
          <w:lang w:val="en-GB"/>
        </w:rPr>
        <w:fldChar w:fldCharType="separate"/>
      </w:r>
      <w:r w:rsidR="00230216" w:rsidRPr="00230216">
        <w:t>(S. C. Mason et al., 2015; Parmesan &amp; Yohe, 2003)</w:t>
      </w:r>
      <w:r w:rsidR="00E02927" w:rsidRPr="00DA249F">
        <w:rPr>
          <w:lang w:val="en-GB"/>
        </w:rPr>
        <w:fldChar w:fldCharType="end"/>
      </w:r>
      <w:r w:rsidR="00E02927" w:rsidRPr="00DA249F">
        <w:rPr>
          <w:lang w:val="en-GB"/>
        </w:rPr>
        <w:t xml:space="preserve">. </w:t>
      </w:r>
      <w:r w:rsidR="004D2D1E" w:rsidRPr="00DA249F">
        <w:rPr>
          <w:lang w:val="en-GB"/>
        </w:rPr>
        <w:t>There is evidence that a</w:t>
      </w:r>
      <w:r w:rsidR="00D62397" w:rsidRPr="00DA249F">
        <w:rPr>
          <w:lang w:val="en-GB"/>
        </w:rPr>
        <w:t>lie</w:t>
      </w:r>
      <w:r w:rsidR="00517E38" w:rsidRPr="00DA249F">
        <w:rPr>
          <w:lang w:val="en-GB"/>
        </w:rPr>
        <w:t>n</w:t>
      </w:r>
      <w:r w:rsidR="00D62397" w:rsidRPr="00DA249F">
        <w:rPr>
          <w:lang w:val="en-GB"/>
        </w:rPr>
        <w:t xml:space="preserve"> species</w:t>
      </w:r>
      <w:r w:rsidR="00517E38" w:rsidRPr="00DA249F">
        <w:rPr>
          <w:lang w:val="en-GB"/>
        </w:rPr>
        <w:t xml:space="preserve"> may be </w:t>
      </w:r>
      <w:r w:rsidR="004D2D1E" w:rsidRPr="00DA249F">
        <w:rPr>
          <w:lang w:val="en-GB"/>
        </w:rPr>
        <w:t>especially well</w:t>
      </w:r>
      <w:r w:rsidR="00B04F6E">
        <w:rPr>
          <w:lang w:val="en-GB"/>
        </w:rPr>
        <w:t>-</w:t>
      </w:r>
      <w:r w:rsidR="004D2D1E" w:rsidRPr="00DA249F">
        <w:rPr>
          <w:lang w:val="en-GB"/>
        </w:rPr>
        <w:t xml:space="preserve">suited to </w:t>
      </w:r>
      <w:r w:rsidR="00B40C41" w:rsidRPr="00DA249F">
        <w:rPr>
          <w:lang w:val="en-GB"/>
        </w:rPr>
        <w:t xml:space="preserve">exploit </w:t>
      </w:r>
      <w:r w:rsidR="004D2D1E" w:rsidRPr="00DA249F">
        <w:rPr>
          <w:lang w:val="en-GB"/>
        </w:rPr>
        <w:t>opportunities</w:t>
      </w:r>
      <w:r w:rsidR="006821B2" w:rsidRPr="00DA249F">
        <w:rPr>
          <w:lang w:val="en-GB"/>
        </w:rPr>
        <w:t xml:space="preserve"> for range expansions offered by warming</w:t>
      </w:r>
      <w:r w:rsidR="00DD41FC" w:rsidRPr="00DA249F">
        <w:rPr>
          <w:lang w:val="en-GB"/>
        </w:rPr>
        <w:t>. F</w:t>
      </w:r>
      <w:r w:rsidR="004D2D1E" w:rsidRPr="00DA249F">
        <w:rPr>
          <w:lang w:val="en-GB"/>
        </w:rPr>
        <w:t>or example, o</w:t>
      </w:r>
      <w:r w:rsidR="00D62397" w:rsidRPr="00DA249F">
        <w:rPr>
          <w:lang w:val="en-GB"/>
        </w:rPr>
        <w:t xml:space="preserve">ver the past two decades, </w:t>
      </w:r>
      <w:r w:rsidR="00E02927" w:rsidRPr="00DA249F">
        <w:rPr>
          <w:lang w:val="en-GB"/>
        </w:rPr>
        <w:t xml:space="preserve">alien plant </w:t>
      </w:r>
      <w:r w:rsidR="00D62397" w:rsidRPr="00DA249F">
        <w:rPr>
          <w:lang w:val="en-GB"/>
        </w:rPr>
        <w:t>species in the European Alps ha</w:t>
      </w:r>
      <w:r w:rsidR="00751678" w:rsidRPr="00DA249F">
        <w:rPr>
          <w:lang w:val="en-GB"/>
        </w:rPr>
        <w:t>ve</w:t>
      </w:r>
      <w:r w:rsidR="00D62397" w:rsidRPr="00DA249F">
        <w:rPr>
          <w:lang w:val="en-GB"/>
        </w:rPr>
        <w:t xml:space="preserve"> colonized </w:t>
      </w:r>
      <w:r w:rsidR="00E02927" w:rsidRPr="00DA249F">
        <w:rPr>
          <w:lang w:val="en-GB"/>
        </w:rPr>
        <w:t>higher altitudes approximately twice as rapidly as native</w:t>
      </w:r>
      <w:r w:rsidR="00751678" w:rsidRPr="00DA249F">
        <w:rPr>
          <w:lang w:val="en-GB"/>
        </w:rPr>
        <w:t xml:space="preserve"> </w:t>
      </w:r>
      <w:r w:rsidR="00E02927" w:rsidRPr="00DA249F">
        <w:rPr>
          <w:lang w:val="en-GB"/>
        </w:rPr>
        <w:t>s</w:t>
      </w:r>
      <w:r w:rsidR="00751678" w:rsidRPr="00DA249F">
        <w:rPr>
          <w:lang w:val="en-GB"/>
        </w:rPr>
        <w:t>pecies</w:t>
      </w:r>
      <w:r w:rsidR="00E02927" w:rsidRPr="00DA249F">
        <w:rPr>
          <w:lang w:val="en-GB"/>
        </w:rPr>
        <w:t xml:space="preserve"> </w:t>
      </w:r>
      <w:r w:rsidR="00E02927" w:rsidRPr="00DA249F">
        <w:rPr>
          <w:lang w:val="en-GB"/>
        </w:rPr>
        <w:fldChar w:fldCharType="begin"/>
      </w:r>
      <w:r w:rsidR="00331A79">
        <w:rPr>
          <w:lang w:val="en-GB"/>
        </w:rPr>
        <w:instrText xml:space="preserve"> ADDIN ZOTERO_ITEM CSL_CITATION {"citationID":"M5byAkSk","properties":{"formattedCitation":"(Dainese et al., 2017)","plainCitation":"(Dainese et al., 2017)","noteIndex":0},"citationItems":[{"id":32214,"uris":["http://zotero.org/groups/2352922/items/SIAGR4Q9"],"itemData":{"id":32214,"type":"article-journal","container-title":"Nature Climate Change","DOI":"10.1038/nclimate3337","ISSN":"1758-678X, 1758-6798","issue":"8","page":"577-580","source":"CrossRef","title":"Human disturbance and upward expansion of plants in a warming climate","URL":"http://www.nature.com/doifinder/10.1038/nclimate3337","volume":"7","author":[{"family":"Dainese","given":"Matteo"},{"family":"Aikio","given":"Sami"},{"family":"Hulme","given":"Philip E."},{"family":"Bertolli","given":"Alessio"},{"family":"Prosser","given":"Filippo"},{"family":"Marini","given":"Lorenzo"}],"accessed":{"date-parts":[["2017",7,12]]},"issued":{"date-parts":[["2017",7,10]]}},"label":"page"}],"schema":"https://github.com/citation-style-language/schema/raw/master/csl-citation.json"} </w:instrText>
      </w:r>
      <w:r w:rsidR="00E02927" w:rsidRPr="00DA249F">
        <w:rPr>
          <w:lang w:val="en-GB"/>
        </w:rPr>
        <w:fldChar w:fldCharType="separate"/>
      </w:r>
      <w:r w:rsidR="00144D96" w:rsidRPr="00144D96">
        <w:t>(Dainese et al., 2017)</w:t>
      </w:r>
      <w:r w:rsidR="00E02927" w:rsidRPr="00DA249F">
        <w:rPr>
          <w:lang w:val="en-GB"/>
        </w:rPr>
        <w:fldChar w:fldCharType="end"/>
      </w:r>
      <w:r w:rsidR="00E02927" w:rsidRPr="00DA249F">
        <w:rPr>
          <w:lang w:val="en-GB"/>
        </w:rPr>
        <w:t xml:space="preserve">. </w:t>
      </w:r>
      <w:r w:rsidR="00BC7AB7" w:rsidRPr="00DA249F">
        <w:rPr>
          <w:lang w:val="en-GB"/>
        </w:rPr>
        <w:t xml:space="preserve">As another example, </w:t>
      </w:r>
      <w:r w:rsidR="00751678" w:rsidRPr="00DA249F">
        <w:rPr>
          <w:lang w:val="en-GB"/>
        </w:rPr>
        <w:t>the</w:t>
      </w:r>
      <w:r w:rsidR="00BC7AB7" w:rsidRPr="00DA249F">
        <w:rPr>
          <w:lang w:val="en-GB"/>
        </w:rPr>
        <w:t xml:space="preserve"> majority of </w:t>
      </w:r>
      <w:r w:rsidR="00DD41FC" w:rsidRPr="00DA249F">
        <w:rPr>
          <w:lang w:val="en-GB"/>
        </w:rPr>
        <w:t xml:space="preserve">alien species </w:t>
      </w:r>
      <w:r w:rsidR="00BC7AB7" w:rsidRPr="00DA249F">
        <w:rPr>
          <w:lang w:val="en-GB"/>
        </w:rPr>
        <w:t>in the Mediterranean originate from the Red Sea (i.e.</w:t>
      </w:r>
      <w:r w:rsidR="007472D5" w:rsidRPr="00DA249F">
        <w:rPr>
          <w:lang w:val="en-GB"/>
        </w:rPr>
        <w:t>,</w:t>
      </w:r>
      <w:r w:rsidR="00BC7AB7" w:rsidRPr="00DA249F">
        <w:rPr>
          <w:lang w:val="en-GB"/>
        </w:rPr>
        <w:t xml:space="preserve"> Lessepsian migrants; </w:t>
      </w:r>
      <w:r w:rsidR="007472D5" w:rsidRPr="00DA249F">
        <w:rPr>
          <w:rFonts w:ascii="Cambria Math" w:hAnsi="Cambria Math" w:cs="Cambria Math"/>
          <w:lang w:val="en-GB"/>
        </w:rPr>
        <w:t xml:space="preserve">about </w:t>
      </w:r>
      <w:r w:rsidR="00BC7AB7" w:rsidRPr="00DA249F">
        <w:rPr>
          <w:lang w:val="en-GB"/>
        </w:rPr>
        <w:t>67 per cent of all</w:t>
      </w:r>
      <w:r w:rsidR="0090672D" w:rsidRPr="00DA249F">
        <w:rPr>
          <w:lang w:val="en-GB"/>
        </w:rPr>
        <w:t xml:space="preserve"> alien species;</w:t>
      </w:r>
      <w:r w:rsidR="00BC7AB7" w:rsidRPr="00DA249F">
        <w:rPr>
          <w:lang w:val="en-GB"/>
        </w:rPr>
        <w:t xml:space="preserve"> </w:t>
      </w:r>
      <w:r w:rsidR="007472D5" w:rsidRPr="008C1731">
        <w:rPr>
          <w:b/>
          <w:iCs/>
          <w:lang w:val="en-GB"/>
        </w:rPr>
        <w:t>section 3.3.1.3</w:t>
      </w:r>
      <w:r w:rsidR="007472D5" w:rsidRPr="008C1731">
        <w:rPr>
          <w:lang w:val="en-GB"/>
        </w:rPr>
        <w:t>,</w:t>
      </w:r>
      <w:r w:rsidR="007472D5" w:rsidRPr="008C1731">
        <w:rPr>
          <w:b/>
          <w:lang w:val="en-GB"/>
        </w:rPr>
        <w:t xml:space="preserve"> </w:t>
      </w:r>
      <w:r w:rsidR="00E23B69">
        <w:rPr>
          <w:b/>
          <w:iCs/>
          <w:lang w:val="en-GB"/>
        </w:rPr>
        <w:t>Box</w:t>
      </w:r>
      <w:r w:rsidR="002B5AFC" w:rsidRPr="008C1731">
        <w:rPr>
          <w:b/>
          <w:iCs/>
          <w:lang w:val="en-GB"/>
        </w:rPr>
        <w:t xml:space="preserve"> </w:t>
      </w:r>
      <w:r w:rsidR="00BC7AB7" w:rsidRPr="008C1731">
        <w:rPr>
          <w:b/>
          <w:iCs/>
          <w:lang w:val="en-GB"/>
        </w:rPr>
        <w:t>3.7</w:t>
      </w:r>
      <w:r w:rsidR="00BC7AB7" w:rsidRPr="00DA249F">
        <w:rPr>
          <w:lang w:val="en-GB"/>
        </w:rPr>
        <w:t>), with a</w:t>
      </w:r>
      <w:r w:rsidR="00DB1387" w:rsidRPr="00DA249F">
        <w:rPr>
          <w:lang w:val="en-GB"/>
        </w:rPr>
        <w:t xml:space="preserve"> small proportion </w:t>
      </w:r>
      <w:r w:rsidR="00BC7AB7" w:rsidRPr="00DA249F">
        <w:rPr>
          <w:lang w:val="en-GB"/>
        </w:rPr>
        <w:t>(</w:t>
      </w:r>
      <w:r w:rsidR="007472D5" w:rsidRPr="00DA249F">
        <w:rPr>
          <w:rFonts w:ascii="Cambria Math" w:hAnsi="Cambria Math" w:cs="Cambria Math"/>
          <w:lang w:val="en-GB"/>
        </w:rPr>
        <w:t xml:space="preserve">about </w:t>
      </w:r>
      <w:r w:rsidR="00BC7AB7" w:rsidRPr="00DA249F">
        <w:rPr>
          <w:lang w:val="en-GB"/>
        </w:rPr>
        <w:t>7 per</w:t>
      </w:r>
      <w:r w:rsidR="00DB1387" w:rsidRPr="00DA249F">
        <w:rPr>
          <w:lang w:val="en-GB"/>
        </w:rPr>
        <w:t xml:space="preserve"> </w:t>
      </w:r>
      <w:r w:rsidR="00BC7AB7" w:rsidRPr="00DA249F">
        <w:rPr>
          <w:lang w:val="en-GB"/>
        </w:rPr>
        <w:t xml:space="preserve">cent) from other tropical areas. These </w:t>
      </w:r>
      <w:r w:rsidR="00751678" w:rsidRPr="00DA249F">
        <w:rPr>
          <w:lang w:val="en-GB"/>
        </w:rPr>
        <w:t>alien</w:t>
      </w:r>
      <w:r w:rsidR="00BC7AB7" w:rsidRPr="00DA249F">
        <w:rPr>
          <w:lang w:val="en-GB"/>
        </w:rPr>
        <w:t xml:space="preserve"> species have long been confined to the easternmost Levantine shores, and the warming of the Mediterranean is now facilitating their further spread</w:t>
      </w:r>
      <w:r w:rsidR="002621D9" w:rsidRPr="00DA249F">
        <w:rPr>
          <w:lang w:val="en-GB"/>
        </w:rPr>
        <w:t xml:space="preserve"> </w:t>
      </w:r>
      <w:r w:rsidR="00BC7AB7" w:rsidRPr="00DA249F">
        <w:rPr>
          <w:lang w:val="en-GB"/>
        </w:rPr>
        <w:fldChar w:fldCharType="begin"/>
      </w:r>
      <w:r w:rsidR="00331A79">
        <w:rPr>
          <w:lang w:val="en-GB"/>
        </w:rPr>
        <w:instrText xml:space="preserve"> ADDIN ZOTERO_ITEM CSL_CITATION {"citationID":"ruuVM6sU","properties":{"formattedCitation":"(Lejeusne et al., 2010)","plainCitation":"(Lejeusne et al., 2010)","noteIndex":0},"citationItems":[{"id":17093,"uris":["http://zotero.org/groups/2352922/items/AD9KUGCD"],"itemData":{"id":17093,"type":"article-journal","abstract":"Little doubt is left that climate change is underway, strongly affecting the Earth's biodiversity. Some of the greatest challenges ahead concern the marine realm, but it is unclear to what extent changes will affect marine ecosystems. The Mediterranean Sea could give us some of the answers. Data recovered from its shores and depths have shown that sea temperatures are steadily increasing, extreme climatic events and related disease outbreaks are becoming more frequent, faunas are shifting, and invasive species are spreading. This miniature ocean can serve as a giant mesocosm of the world's oceans, with various sources of disturbances interacting synergistically and therefore providing an insight into a major unknown: how resilient are marine ecosystems, and how will their current functioning be modified?","container-title":"Trends in Ecology &amp; Evolution","DOI":"10.1016/j.tree.2009.10.009","ISSN":"0169-5347","issue":"4","journalAbbreviation":"Trends in Ecology &amp; Evolution","note":"WOS:000276705600010","page":"250-260","source":"ScienceDirect","title":"Climate change effects on a miniature ocean: the highly diverse, highly impacted Mediterranean Sea","title-short":"Climate change effects on a miniature ocean","URL":"http://www.sciencedirect.com/science/article/pii/S0169534709003383","volume":"25","author":[{"family":"Lejeusne","given":"Christophe"},{"family":"Chevaldonné","given":"Pierre"},{"family":"Pergent-Martini","given":"Christine"},{"family":"Boudouresque","given":"Charles F."},{"family":"Pérez","given":"Thierry"}],"accessed":{"date-parts":[["2019",9,24]]},"issued":{"date-parts":[["2010",4,1]]}},"label":"page"}],"schema":"https://github.com/citation-style-language/schema/raw/master/csl-citation.json"} </w:instrText>
      </w:r>
      <w:r w:rsidR="00BC7AB7" w:rsidRPr="00DA249F">
        <w:rPr>
          <w:lang w:val="en-GB"/>
        </w:rPr>
        <w:fldChar w:fldCharType="separate"/>
      </w:r>
      <w:r w:rsidR="00144D96" w:rsidRPr="00144D96">
        <w:t>(Lejeusne et al., 2010)</w:t>
      </w:r>
      <w:r w:rsidR="00BC7AB7" w:rsidRPr="00DA249F">
        <w:rPr>
          <w:lang w:val="en-GB"/>
        </w:rPr>
        <w:fldChar w:fldCharType="end"/>
      </w:r>
      <w:r w:rsidR="00BC7AB7" w:rsidRPr="00DA249F">
        <w:rPr>
          <w:lang w:val="en-GB"/>
        </w:rPr>
        <w:t xml:space="preserve">. </w:t>
      </w:r>
      <w:r w:rsidR="00045EEE" w:rsidRPr="00DA249F">
        <w:rPr>
          <w:lang w:val="en-GB"/>
        </w:rPr>
        <w:t xml:space="preserve">Temperature </w:t>
      </w:r>
      <w:r w:rsidR="007B6A53" w:rsidRPr="00DA249F">
        <w:rPr>
          <w:lang w:val="en-GB"/>
        </w:rPr>
        <w:t xml:space="preserve">has been found to </w:t>
      </w:r>
      <w:r w:rsidR="00137E60" w:rsidRPr="00DA249F">
        <w:rPr>
          <w:lang w:val="en-GB"/>
        </w:rPr>
        <w:t>limit</w:t>
      </w:r>
      <w:r w:rsidR="00C55739" w:rsidRPr="00DA249F">
        <w:rPr>
          <w:lang w:val="en-GB"/>
        </w:rPr>
        <w:t xml:space="preserve"> key performance </w:t>
      </w:r>
      <w:r w:rsidR="0088603F" w:rsidRPr="00DA249F">
        <w:rPr>
          <w:lang w:val="en-GB"/>
        </w:rPr>
        <w:t xml:space="preserve">parameters </w:t>
      </w:r>
      <w:r w:rsidR="00F00C2A" w:rsidRPr="00DA249F">
        <w:rPr>
          <w:lang w:val="en-GB"/>
        </w:rPr>
        <w:t>in ali</w:t>
      </w:r>
      <w:r w:rsidR="00137E60" w:rsidRPr="00DA249F">
        <w:rPr>
          <w:lang w:val="en-GB"/>
        </w:rPr>
        <w:t xml:space="preserve">en species across </w:t>
      </w:r>
      <w:r w:rsidR="00712FBF" w:rsidRPr="00DA249F">
        <w:rPr>
          <w:lang w:val="en-GB"/>
        </w:rPr>
        <w:t xml:space="preserve">taxonomic </w:t>
      </w:r>
      <w:r w:rsidR="00137E60" w:rsidRPr="00DA249F">
        <w:rPr>
          <w:lang w:val="en-GB"/>
        </w:rPr>
        <w:t>groups</w:t>
      </w:r>
      <w:r w:rsidR="00BC7AB7" w:rsidRPr="00DA249F">
        <w:rPr>
          <w:lang w:val="en-GB"/>
        </w:rPr>
        <w:t xml:space="preserve"> and regions</w:t>
      </w:r>
      <w:r w:rsidR="00137E60" w:rsidRPr="00DA249F">
        <w:rPr>
          <w:lang w:val="en-GB"/>
        </w:rPr>
        <w:t xml:space="preserve">, </w:t>
      </w:r>
      <w:r w:rsidR="53CE795C" w:rsidRPr="00DA249F">
        <w:rPr>
          <w:lang w:val="en-GB"/>
        </w:rPr>
        <w:t xml:space="preserve">including fecundity in mammals </w:t>
      </w:r>
      <w:r w:rsidR="00FF10EA" w:rsidRPr="00DA249F">
        <w:rPr>
          <w:lang w:val="en-GB"/>
        </w:rPr>
        <w:fldChar w:fldCharType="begin"/>
      </w:r>
      <w:r w:rsidR="00331A79">
        <w:rPr>
          <w:lang w:val="en-GB"/>
        </w:rPr>
        <w:instrText xml:space="preserve"> ADDIN ZOTERO_ITEM CSL_CITATION {"citationID":"9jUIGTpv","properties":{"formattedCitation":"(D. J. Bell &amp; Webb, 1991)","plainCitation":"(D. J. Bell &amp; Webb, 1991)","noteIndex":0},"citationItems":[{"id":31999,"uris":["http://zotero.org/groups/2352922/items/PHIWD2WA"],"itemData":{"id":31999,"type":"article-journal","container-title":"Journal of Zoology","DOI":"https://doi.org/10.1111/j.1469-7998.1991.tb03792.x","issue":"4","note":"ISBN: 0952-8369\npublisher: Wiley Online Library","page":"639-648","title":"Effects of climate on reproduction in the European wild rabbit (&lt;i&gt;Oryctolugus cuniculus&lt;/i&gt;)","volume":"224","author":[{"family":"Bell","given":"D. J."},{"family":"Webb","given":"N. J."}],"issued":{"date-parts":[["1991"]]}},"label":"page"}],"schema":"https://github.com/citation-style-language/schema/raw/master/csl-citation.json"} </w:instrText>
      </w:r>
      <w:r w:rsidR="00FF10EA" w:rsidRPr="00DA249F">
        <w:rPr>
          <w:lang w:val="en-GB"/>
        </w:rPr>
        <w:fldChar w:fldCharType="separate"/>
      </w:r>
      <w:r w:rsidR="00144D96" w:rsidRPr="00144D96">
        <w:t>(D. J. Bell &amp; Webb, 1991)</w:t>
      </w:r>
      <w:r w:rsidR="00FF10EA" w:rsidRPr="00DA249F">
        <w:rPr>
          <w:lang w:val="en-GB"/>
        </w:rPr>
        <w:fldChar w:fldCharType="end"/>
      </w:r>
      <w:r w:rsidR="00137E60" w:rsidRPr="00DA249F">
        <w:rPr>
          <w:lang w:val="en-GB"/>
        </w:rPr>
        <w:t xml:space="preserve">, </w:t>
      </w:r>
      <w:r w:rsidR="53CE795C" w:rsidRPr="00DA249F">
        <w:rPr>
          <w:lang w:val="en-GB"/>
        </w:rPr>
        <w:t xml:space="preserve">fish </w:t>
      </w:r>
      <w:r w:rsidR="00FF10EA" w:rsidRPr="00DA249F">
        <w:rPr>
          <w:lang w:val="en-GB"/>
        </w:rPr>
        <w:fldChar w:fldCharType="begin"/>
      </w:r>
      <w:r w:rsidR="00331A79">
        <w:rPr>
          <w:lang w:val="en-GB"/>
        </w:rPr>
        <w:instrText xml:space="preserve"> ADDIN ZOTERO_ITEM CSL_CITATION {"citationID":"mI15ereG","properties":{"formattedCitation":"(Fobert et al., 2011)","plainCitation":"(Fobert et al., 2011)","noteIndex":0},"citationItems":[{"id":31997,"uris":["http://zotero.org/groups/2352922/items/MWZ5RB2T</w:instrText>
      </w:r>
      <w:r w:rsidR="00331A79">
        <w:rPr>
          <w:rFonts w:hint="eastAsia"/>
          <w:lang w:val="en-GB"/>
        </w:rPr>
        <w:instrText>"],"itemData":{"id":31997,"type":"article-journal","container-title":"Journal of Fish Biology","issue":"6","note":"ISBN: 0022-1112\npublisher: Wiley Online Library","page":"1592-1607","title":"Heated competition: how climate change will affect non</w:instrText>
      </w:r>
      <w:r w:rsidR="00331A79">
        <w:rPr>
          <w:rFonts w:hint="eastAsia"/>
          <w:lang w:val="en-GB"/>
        </w:rPr>
        <w:instrText>‐</w:instrText>
      </w:r>
      <w:r w:rsidR="00331A79">
        <w:rPr>
          <w:rFonts w:hint="eastAsia"/>
          <w:lang w:val="en-GB"/>
        </w:rPr>
        <w:instrText xml:space="preserve">native </w:instrText>
      </w:r>
      <w:r w:rsidR="00331A79">
        <w:rPr>
          <w:lang w:val="en-GB"/>
        </w:rPr>
        <w:instrText xml:space="preserve">pumpkinseed &lt;i&gt;Lepomis gibbosus&lt;/i&gt; and native perch &lt;i&gt;Perca fluviatilis&lt;/i&gt; interactions in the UK","volume":"79","author":[{"family":"Fobert","given":"E."},{"family":"Fox","given":"M. G."},{"family":"Ridgway","given":"M."},{"family":"Copp","given":"G. H."}],"issued":{"date-parts":[["2011"]]}},"label":"page"}],"schema":"https://github.com/citation-style-language/schema/raw/master/csl-citation.json"} </w:instrText>
      </w:r>
      <w:r w:rsidR="00FF10EA" w:rsidRPr="00DA249F">
        <w:rPr>
          <w:lang w:val="en-GB"/>
        </w:rPr>
        <w:fldChar w:fldCharType="separate"/>
      </w:r>
      <w:r w:rsidR="00144D96" w:rsidRPr="00144D96">
        <w:t>(Fobert et al., 2011)</w:t>
      </w:r>
      <w:r w:rsidR="00FF10EA" w:rsidRPr="00DA249F">
        <w:rPr>
          <w:lang w:val="en-GB"/>
        </w:rPr>
        <w:fldChar w:fldCharType="end"/>
      </w:r>
      <w:r w:rsidR="00774819">
        <w:rPr>
          <w:lang w:val="en-GB"/>
        </w:rPr>
        <w:t xml:space="preserve"> and</w:t>
      </w:r>
      <w:r w:rsidR="00137E60" w:rsidRPr="00DA249F">
        <w:rPr>
          <w:lang w:val="en-GB"/>
        </w:rPr>
        <w:t xml:space="preserve"> </w:t>
      </w:r>
      <w:r w:rsidR="53CE795C" w:rsidRPr="00DA249F">
        <w:rPr>
          <w:lang w:val="en-GB"/>
        </w:rPr>
        <w:t xml:space="preserve">birds </w:t>
      </w:r>
      <w:r w:rsidR="00FF10EA" w:rsidRPr="00DA249F">
        <w:rPr>
          <w:lang w:val="en-GB"/>
        </w:rPr>
        <w:fldChar w:fldCharType="begin"/>
      </w:r>
      <w:r w:rsidR="00331A79">
        <w:rPr>
          <w:lang w:val="en-GB"/>
        </w:rPr>
        <w:instrText xml:space="preserve"> ADDIN ZOTERO_ITEM CSL_CITATION {"citationID":"6uO3s96E","properties":{"formattedCitation":"(Shwartz et al., 2009)","plainCitation":"(Shwartz et al., 2009)","noteIndex":0},"citationItems":[{"id":31995,"uris":["http://zotero.org/groups/2352922/items/QM6AT47D"],"itemData":{"id":31995,"type":"article-journal","container-title":"Diversity and Distributions","DOI":"https://doi.org/10.1111/j.1472-4642.2008.00538.x","issue":"2","note":"ISBN: 1366-9516\npublisher: Wiley Online Library","page":"310-318","title":"T</w:instrText>
      </w:r>
      <w:r w:rsidR="00331A79">
        <w:rPr>
          <w:rFonts w:hint="eastAsia"/>
          <w:lang w:val="en-GB"/>
        </w:rPr>
        <w:instrText>he effect of enemy</w:instrText>
      </w:r>
      <w:r w:rsidR="00331A79">
        <w:rPr>
          <w:rFonts w:hint="eastAsia"/>
          <w:lang w:val="en-GB"/>
        </w:rPr>
        <w:instrText>‐</w:instrText>
      </w:r>
      <w:r w:rsidR="00331A79">
        <w:rPr>
          <w:rFonts w:hint="eastAsia"/>
          <w:lang w:val="en-GB"/>
        </w:rPr>
        <w:instrText>release and climate conditions on invasive birds: a regional test using the rose</w:instrText>
      </w:r>
      <w:r w:rsidR="00331A79">
        <w:rPr>
          <w:rFonts w:hint="eastAsia"/>
          <w:lang w:val="en-GB"/>
        </w:rPr>
        <w:instrText>‐</w:instrText>
      </w:r>
      <w:r w:rsidR="00331A79">
        <w:rPr>
          <w:rFonts w:hint="eastAsia"/>
          <w:lang w:val="en-GB"/>
        </w:rPr>
        <w:instrText>ringed parakeet (&lt;i&gt;Psittacula krameri&lt;/i&gt;) as a case study","URL":"https://onlinelibrary.wiley.com/doi/full/10.1111/j.1472-4642.2008.00538.x","volume":"15</w:instrText>
      </w:r>
      <w:r w:rsidR="00331A79">
        <w:rPr>
          <w:lang w:val="en-GB"/>
        </w:rPr>
        <w:instrText xml:space="preserve">","author":[{"family":"Shwartz","given":"Assaf"},{"family":"Strubbe","given":"Diederik"},{"family":"Butler","given":"Chris John"},{"family":"Matthysen","given":"Erik"},{"family":"Kark","given":"Salit"}],"issued":{"date-parts":[["2009"]]}},"label":"page"}],"schema":"https://github.com/citation-style-language/schema/raw/master/csl-citation.json"} </w:instrText>
      </w:r>
      <w:r w:rsidR="00FF10EA" w:rsidRPr="00DA249F">
        <w:rPr>
          <w:lang w:val="en-GB"/>
        </w:rPr>
        <w:fldChar w:fldCharType="separate"/>
      </w:r>
      <w:r w:rsidR="00144D96" w:rsidRPr="00144D96">
        <w:t>(Shwartz et al., 2009)</w:t>
      </w:r>
      <w:r w:rsidR="00FF10EA" w:rsidRPr="00DA249F">
        <w:rPr>
          <w:lang w:val="en-GB"/>
        </w:rPr>
        <w:fldChar w:fldCharType="end"/>
      </w:r>
      <w:r w:rsidR="53CE795C" w:rsidRPr="00DA249F">
        <w:rPr>
          <w:lang w:val="en-GB"/>
        </w:rPr>
        <w:t xml:space="preserve">; growth </w:t>
      </w:r>
      <w:r w:rsidR="00137E60" w:rsidRPr="00DA249F">
        <w:rPr>
          <w:lang w:val="en-GB"/>
        </w:rPr>
        <w:t>in</w:t>
      </w:r>
      <w:r w:rsidR="53CE795C" w:rsidRPr="00DA249F">
        <w:rPr>
          <w:lang w:val="en-GB"/>
        </w:rPr>
        <w:t xml:space="preserve"> marine algae </w:t>
      </w:r>
      <w:r w:rsidR="00FF10EA" w:rsidRPr="00DA249F">
        <w:rPr>
          <w:lang w:val="en-GB"/>
        </w:rPr>
        <w:fldChar w:fldCharType="begin"/>
      </w:r>
      <w:r w:rsidR="00331A79">
        <w:rPr>
          <w:lang w:val="en-GB"/>
        </w:rPr>
        <w:instrText xml:space="preserve"> ADDIN ZOTERO_ITEM CSL_CITATION {"citationID":"UeUEwvb4","properties":{"formattedCitation":"(Hales &amp; Fletcher, 1989)","plainCitation":"(Hales &amp; Fletcher, 1989)","noteIndex":0},"citationItems":[{"id":31996,"uris":["http://zotero.org/groups/2352922/items/88J7UERF"],"itemData":{"id":31996,"type":"article-journal","container-title":"Botanica Marina","DOI":"https://doi.org/10.1515/botm.1990.33.3.241","note":"ISBN: 0006-8055\npublisher: Walter de Gruyter, Berlin/New York Berlin, New York","page":"241-249","title":"Studies on the recently introduced brown alga &lt;i&gt;Sargassum muticum&lt;/i&gt; (Yendo) Fensholt","volume":"33","author":[{"family":"Hales","given":"J. M."},{"family":"Fletcher","given":"R. L."}],"issued":{"date-parts":[["1989"]]}},"label":"page"}],"schema":"https://github.com/citation-style-language/schema/raw/master/csl-citation.json"} </w:instrText>
      </w:r>
      <w:r w:rsidR="00FF10EA" w:rsidRPr="00DA249F">
        <w:rPr>
          <w:lang w:val="en-GB"/>
        </w:rPr>
        <w:fldChar w:fldCharType="separate"/>
      </w:r>
      <w:r w:rsidR="00144D96" w:rsidRPr="00144D96">
        <w:t>(Hales &amp; Fletcher, 1989)</w:t>
      </w:r>
      <w:r w:rsidR="00FF10EA" w:rsidRPr="00DA249F">
        <w:rPr>
          <w:lang w:val="en-GB"/>
        </w:rPr>
        <w:fldChar w:fldCharType="end"/>
      </w:r>
      <w:r w:rsidR="00CB4529" w:rsidRPr="00DA249F">
        <w:rPr>
          <w:lang w:val="en-GB"/>
        </w:rPr>
        <w:t xml:space="preserve"> and fish </w:t>
      </w:r>
      <w:r w:rsidR="00E85618" w:rsidRPr="00DA249F">
        <w:rPr>
          <w:lang w:val="en-GB"/>
        </w:rPr>
        <w:fldChar w:fldCharType="begin"/>
      </w:r>
      <w:r w:rsidR="00331A79">
        <w:rPr>
          <w:lang w:val="en-GB"/>
        </w:rPr>
        <w:instrText xml:space="preserve"> ADDIN ZOTERO_ITEM CSL_CITATION {"citationID":"s5rs5uo5","properties":{"formattedCitation":"(Kornis et al., 2012)","plainCitation":"(Kornis et al., 2012)","noteIndex":0},"citationItems":[{"id":15538,"uris":["http://zotero.org/groups/2352922/items/TSYNAYGE"],"itemData":{"id":15538,"type":"article-journal","abstract":"The round goby Neogobius melanostomus is one of the most wide-ranging invasive fish on earth, with substantial introduced populations within the Laurentian Great Lakes watershed, the Baltic Sea and several major European rivers. Rapid expansion and deleterious ecosystem effects have motivated extensive research on this species; here this research is synthesized. Maps of the global distribution are provided and the invasion history of N. melanostomus, which spread more rapidly at first in North America, but has undergone substantial expansion over the past decade in the Baltic Sea, is summarized. Meta-analyses comparing their size at age, diet, competitors and predators in North American and European ecosystems are provided. Size at age is region specific, with saline habitats typically supporting larger and faster growing individuals than fresh water. Neogobius melanostomus prey differs substantially between regions, demonstrating a capacity to adapt to locally abundant food sources. Neogobius melanostomus comprise at least 50% of the diet of eight taxa in at least one site or life stage; in total, 16 predator taxa are documented from the Laurentian Great Lakes v. five from Eurasia. Invasive N. melanostomus are the only common forage fish to heavily exploit mussels in the Laurentian Great Lakes and the Baltic Sea, facilitating the transfer of energy from mussels to higher trophic levels in both systems. Neogobius melanostomus morphology, life history, reproduction, habitat preferences, environmental tolerances, parasites, environmental effects, sampling strategies and management are also discussed. Neogobius melanostomus inhabit a wide range of temperate freshwater and brackish-water ecosystems and will probably continue to spread via ballast water, accidental bait release and natural dispersal worldwide. Climate change will probably enhance N. melanostomus expansion by elevating water temperatures closer to its energetic optimum of 26 degrees C. Future research needs are presented; most pressing are evaluating the economic effects of N. melanostomus invasion, determining long-term population level effects of egg predation on game-fish recruitment and comparing several variables (density, ecological effects morphology and life history) among invaded ecosystems. This review provides a central reference as researchers continue studying N. melanostomus, often as examples for advancing basic ecology and invasion biology.","container-title":"Journal of Fish Biology","DOI":"10.1111/j.1095-8649.2011.03157.x","ISSN":"0022-1112","issue":"2","journalAbbreviation":"J. Fish Biol.","language":"English","note":"WOS:000299374400001","page":"235-285","source":"Web of Science","title":"Twenty years of invasion: a review of round goby &lt;i&gt;Neogobius melanostomus&lt;/i&gt; biology, spread and ecological implications","title-short":"Twenty years of invasion","volume":"80","author":[{"family":"Kornis","given":"M. S."},{"family":"Mercado-Silva","given":"N."},{"family":"Vander Zanden","given":"M. J."}],"issued":{"date-parts":[["2012",2]]}},"label":"page"}],"schema":"https://github.com/citation-style-language/schema/raw/master/csl-citation.json"} </w:instrText>
      </w:r>
      <w:r w:rsidR="00E85618" w:rsidRPr="00DA249F">
        <w:rPr>
          <w:lang w:val="en-GB"/>
        </w:rPr>
        <w:fldChar w:fldCharType="separate"/>
      </w:r>
      <w:r w:rsidR="00144D96" w:rsidRPr="00144D96">
        <w:t>(Kornis et al., 2012)</w:t>
      </w:r>
      <w:r w:rsidR="00E85618" w:rsidRPr="00DA249F">
        <w:rPr>
          <w:lang w:val="en-GB"/>
        </w:rPr>
        <w:fldChar w:fldCharType="end"/>
      </w:r>
      <w:r w:rsidR="00E85618" w:rsidRPr="00DA249F">
        <w:rPr>
          <w:lang w:val="en-GB"/>
        </w:rPr>
        <w:t xml:space="preserve">; </w:t>
      </w:r>
      <w:r w:rsidR="53CE795C" w:rsidRPr="00DA249F">
        <w:rPr>
          <w:lang w:val="en-GB"/>
        </w:rPr>
        <w:t xml:space="preserve">survival in amphipods </w:t>
      </w:r>
      <w:r w:rsidR="00FF10EA" w:rsidRPr="00DA249F">
        <w:rPr>
          <w:lang w:val="en-GB"/>
        </w:rPr>
        <w:fldChar w:fldCharType="begin"/>
      </w:r>
      <w:r w:rsidR="00331A79">
        <w:rPr>
          <w:lang w:val="en-GB"/>
        </w:rPr>
        <w:instrText xml:space="preserve"> ADDIN ZOTERO_ITEM CSL_CITATION {"citationID":"5HjKUnOL","properties":{"formattedCitation":"(Ashton et al., 2007; Cowling et al., 2003)","plainCitation":"(Ashton et al., 2007; Cowling et al., 2003)","noteIndex":0},"citationItems":[{"id":32000,"uris":["http://zotero.org/groups/2352922/items/S5HB9IK9"],"itemData":{"id":32000,"type":"article-journal","container-title":"Marine environmental research","DOI":"https://doi.org/10.1016/j.marenvres.2007.02.003","issue":"3","note":"ISBN: 0141-1136\npublisher: Elsevier","page":"305-312","title":"Environmental tolerance of &lt;i&gt;Caprella mutica&lt;/i&gt;: implications for its distribution as a marine non-native species","volume":"64","author":[{"family":"Ashton","given":"Gail V."},{"family":"Willis","given":"Kate J."},{"family":"Burrows","given":"Michael T."},{"family":"Cook","given":"Elizabeth J."}],"issued":{"date-parts":[["2007"]]}},"label":"page"},{"id":31998,"uris":["http://zotero.org/groups/2352922/items/9UKQNNUT"],"itemData":{"id":31998,"type":"article-journal","container-title":"Comparative Biochemistry and Physiology Part A: Molecular &amp; Integrative Physiology","DOI":"https://doi.org/10.1016/S1095-6433(03)00242-3","issue":"3","note":"ISBN: 1095-6433\npublisher: Elsevier","page":"735-747","title":"Environmental tolerances of an invasive terrestrial amphipod, &lt;i&gt;Arcitalitrus dorrieni&lt;/i&gt; (Hunt) in Britain","volume":"136","author":[{"family":"Cowling","given":"Jenny E."},{"family":"Spicer","given":"John I."},{"family":"Weeks","given":"Jason M."},{"family":"Gaston","given":"Kevin J."}],"issued":{"date-parts":[["2003"]]}},"label":"page"}],"schema":"https://github.com/citation-style-language/schema/raw/master/csl-citation.json"} </w:instrText>
      </w:r>
      <w:r w:rsidR="00FF10EA" w:rsidRPr="00DA249F">
        <w:rPr>
          <w:lang w:val="en-GB"/>
        </w:rPr>
        <w:fldChar w:fldCharType="separate"/>
      </w:r>
      <w:r w:rsidR="00144D96" w:rsidRPr="00144D96">
        <w:t>(Ashton et al., 2007; Cowling et al., 2003)</w:t>
      </w:r>
      <w:r w:rsidR="00FF10EA" w:rsidRPr="00DA249F">
        <w:rPr>
          <w:lang w:val="en-GB"/>
        </w:rPr>
        <w:fldChar w:fldCharType="end"/>
      </w:r>
      <w:r w:rsidR="53CE795C" w:rsidRPr="00DA249F">
        <w:rPr>
          <w:lang w:val="en-GB"/>
        </w:rPr>
        <w:t xml:space="preserve"> </w:t>
      </w:r>
      <w:r w:rsidR="00526F18" w:rsidRPr="00DA249F">
        <w:rPr>
          <w:lang w:val="en-GB"/>
        </w:rPr>
        <w:t xml:space="preserve">and </w:t>
      </w:r>
      <w:r w:rsidR="006F4720" w:rsidRPr="00DA249F">
        <w:rPr>
          <w:lang w:val="en-GB"/>
        </w:rPr>
        <w:t>m</w:t>
      </w:r>
      <w:r w:rsidR="00712FBF" w:rsidRPr="00DA249F">
        <w:rPr>
          <w:lang w:val="en-GB"/>
        </w:rPr>
        <w:t>o</w:t>
      </w:r>
      <w:r w:rsidR="006F4720" w:rsidRPr="00DA249F">
        <w:rPr>
          <w:lang w:val="en-GB"/>
        </w:rPr>
        <w:t>squito</w:t>
      </w:r>
      <w:r w:rsidR="00D45508" w:rsidRPr="00DA249F">
        <w:rPr>
          <w:lang w:val="en-GB"/>
        </w:rPr>
        <w:t xml:space="preserve">es </w:t>
      </w:r>
      <w:r w:rsidR="004825D6" w:rsidRPr="00DA249F">
        <w:rPr>
          <w:lang w:val="en-GB"/>
        </w:rPr>
        <w:fldChar w:fldCharType="begin"/>
      </w:r>
      <w:r w:rsidR="00331A79">
        <w:rPr>
          <w:lang w:val="en-GB"/>
        </w:rPr>
        <w:instrText xml:space="preserve"> ADDIN ZOTERO_ITEM CSL_CITATION {"citationID":"fjY4pJD2","properties":{"formattedCitation":"(Roiz et al., 2011)","plainCitation":"(Roiz et al., 2011)","noteIndex":0},"citationItems":[{"id":15537,"uris":["http://zotero.org/groups/2352922/items/KQ8MW3DF"],"itemData":{"id":15537,"type":"article-journal","abstract":"Background: The tiger mosquito (Aedes albopictus), vector of several emerging diseases, is expanding into more northerly latitudes as well as into higher altitudes in northern Italy. Changes in the pattern of distribution of the tiger mosquito may affect the potential spread of infectious diseases transmitted by this species in Europe. Therefore, predicting suitable areas of future establishment and spread is essential for planning early prevention and control strategies. Methodology/Principal Findings: To identify the areas currently most suitable for the occurrence of the tiger mosquito in the Province of Trento, we combined field entomological observations with analyses of satellite temperature data (MODIS Land Surface Temperature: LST) and human population data. We determine threshold conditions for the survival of overwintering eggs and for adult survival using both January mean temperatures and annual mean temperatures. We show that the 0 degrees C LST threshold for January mean temperatures and the 11 degrees C threshold for annual mean temperatures provide the best predictors for identifying the areas that could potentially support populations of this mosquito. In fact, human population density and distance to human settlements appear to be less important variables affecting mosquito distribution in this area. Finally, we evaluated the future establishment and spread of this species in relation to predicted climate warming by considering the A2 scenario for 2050 statistically downscaled at regional level in which winter and annual temperatures increase by 1.5 and 1 degrees C, respectively. Conclusions/Significance: MODIS satellite LST data are useful for accurately predicting potential areas of tiger mosquito distribution and for revealing the range limits of this species in mountainous areas, predictions which could be extended to an European scale. We show that the observed trend of increasing temperatures due to climate change could facilitate further invasion of Ae. albopictus into new areas.","container-title":"PLoS ONE","DOI":"10.1371/journal.pone.0014800","ISSN":"1932-6203","issue":"4","journalAbbreviation":"PLoS One","language":"English","note":"WOS:000289578600001","page":"e14800","source":"Web of Science","title":"Climatic Factors Driving Invasion of the Tiger Mosquito (&lt;i&gt;Aedes albopictus&lt;/i&gt;) into New Areas of Trentino, Northern Italy","volume":"6","author":[{"family":"Roiz","given":"David"},{"family":"Neteler","given":"Markus"},{"family":"Castellani","given":"Cristina"},{"family":"Arnoldi","given":"Daniele"},{"family":"Rizzoli","given":"Annapaola"}],"issued":{"date-parts":[["2011",4,15]]}}}],"schema":"https://github.com/citation-style-language/schema/raw/master/csl-citation.json"} </w:instrText>
      </w:r>
      <w:r w:rsidR="004825D6" w:rsidRPr="00DA249F">
        <w:rPr>
          <w:lang w:val="en-GB"/>
        </w:rPr>
        <w:fldChar w:fldCharType="separate"/>
      </w:r>
      <w:r w:rsidR="00144D96" w:rsidRPr="00144D96">
        <w:t>(Roiz et al., 2011)</w:t>
      </w:r>
      <w:r w:rsidR="004825D6" w:rsidRPr="00DA249F">
        <w:rPr>
          <w:lang w:val="en-GB"/>
        </w:rPr>
        <w:fldChar w:fldCharType="end"/>
      </w:r>
      <w:r w:rsidR="004825D6" w:rsidRPr="00DA249F">
        <w:rPr>
          <w:lang w:val="en-GB"/>
        </w:rPr>
        <w:t xml:space="preserve"> </w:t>
      </w:r>
      <w:r w:rsidR="53CE795C" w:rsidRPr="00DA249F">
        <w:rPr>
          <w:lang w:val="en-GB"/>
        </w:rPr>
        <w:t xml:space="preserve">and growth, survival and fecundity in plants </w:t>
      </w:r>
      <w:r w:rsidR="00FF10EA" w:rsidRPr="00DA249F">
        <w:rPr>
          <w:lang w:val="en-GB"/>
        </w:rPr>
        <w:fldChar w:fldCharType="begin"/>
      </w:r>
      <w:r w:rsidR="00331A79">
        <w:rPr>
          <w:lang w:val="en-GB"/>
        </w:rPr>
        <w:instrText xml:space="preserve"> ADDIN ZOTERO_ITEM CSL_CITATION {"citationID":"MaczvhFE","properties":{"formattedCitation":"(Willis &amp; Hulme, 2002)","plainCitation":"(Willis &amp; Hulme, 2002)","noteIndex":0},"citationItems":[{"id":31994,"uris":["http://zotero.org/groups/2352922/items/LJ3MPEVZ"],"itemData":{"id":31994,"type":"article-journal","container-title":"Functional Ecology","DOI":"https://doi.org/10.1046/j.1365-2435.2002.00653.x","issue":"4","note":"ISBN: 0269-8463\npublisher: Wiley Online Library","page":"530-539","title":"Does temperature limit the invasion of &lt;i&gt;Impatiens glandulifera&lt;/i&gt; and &lt;i&gt;Heracleum mantegazzianum&lt;/i&gt; in the UK?","URL":"https://besjournals.onlinelibrary.wiley.com/doi/full/10.1046/j.1365-2435.2002.00653.x","volume":"16","author":[{"family":"Willis","given":"S. G."},{"family":"Hulme","given":"P. E."}],"issued":{"date-parts":[["2002"]]}},"label":"page"}],"schema":"https://github.com/citation-style-language/schema/raw/master/csl-citation.json"} </w:instrText>
      </w:r>
      <w:r w:rsidR="00FF10EA" w:rsidRPr="00DA249F">
        <w:rPr>
          <w:lang w:val="en-GB"/>
        </w:rPr>
        <w:fldChar w:fldCharType="separate"/>
      </w:r>
      <w:r w:rsidR="00144D96" w:rsidRPr="00144D96">
        <w:t>(Willis &amp; Hulme, 2002)</w:t>
      </w:r>
      <w:r w:rsidR="00FF10EA" w:rsidRPr="00DA249F">
        <w:rPr>
          <w:lang w:val="en-GB"/>
        </w:rPr>
        <w:fldChar w:fldCharType="end"/>
      </w:r>
      <w:r w:rsidR="53CE795C" w:rsidRPr="00DA249F">
        <w:rPr>
          <w:lang w:val="en-GB"/>
        </w:rPr>
        <w:t>.</w:t>
      </w:r>
      <w:r w:rsidR="508E68E2" w:rsidRPr="00DA249F">
        <w:rPr>
          <w:lang w:val="en-GB"/>
        </w:rPr>
        <w:t xml:space="preserve"> </w:t>
      </w:r>
      <w:r w:rsidR="00137E60" w:rsidRPr="00DA249F">
        <w:rPr>
          <w:lang w:val="en-GB"/>
        </w:rPr>
        <w:t xml:space="preserve">However, temperature sensitivity in such performance parameters does not automatically translate into </w:t>
      </w:r>
      <w:r w:rsidR="00D13C06" w:rsidRPr="00DA249F">
        <w:rPr>
          <w:lang w:val="en-GB"/>
        </w:rPr>
        <w:t xml:space="preserve">increased performance in a warming climate. </w:t>
      </w:r>
      <w:r w:rsidR="508E68E2" w:rsidRPr="00DA249F">
        <w:rPr>
          <w:lang w:val="en-GB"/>
        </w:rPr>
        <w:t xml:space="preserve">For example, in the United Kingdom, alien plants </w:t>
      </w:r>
      <w:r w:rsidR="00D13C06" w:rsidRPr="00DA249F">
        <w:rPr>
          <w:lang w:val="en-GB"/>
        </w:rPr>
        <w:t xml:space="preserve">have a faster phenological response </w:t>
      </w:r>
      <w:r w:rsidR="508E68E2" w:rsidRPr="00DA249F">
        <w:rPr>
          <w:lang w:val="en-GB"/>
        </w:rPr>
        <w:t>to warming than co-occurring native</w:t>
      </w:r>
      <w:r w:rsidR="00C26EE6" w:rsidRPr="00DA249F">
        <w:rPr>
          <w:lang w:val="en-GB"/>
        </w:rPr>
        <w:t xml:space="preserve"> </w:t>
      </w:r>
      <w:r w:rsidR="508E68E2" w:rsidRPr="00DA249F">
        <w:rPr>
          <w:lang w:val="en-GB"/>
        </w:rPr>
        <w:t>s</w:t>
      </w:r>
      <w:r w:rsidR="00C26EE6" w:rsidRPr="00DA249F">
        <w:rPr>
          <w:lang w:val="en-GB"/>
        </w:rPr>
        <w:t>pecies</w:t>
      </w:r>
      <w:r w:rsidR="508E68E2" w:rsidRPr="00DA249F">
        <w:rPr>
          <w:lang w:val="en-GB"/>
        </w:rPr>
        <w:t xml:space="preserve">, </w:t>
      </w:r>
      <w:r w:rsidR="00D13C06" w:rsidRPr="00DA249F">
        <w:rPr>
          <w:lang w:val="en-GB"/>
        </w:rPr>
        <w:t>ye</w:t>
      </w:r>
      <w:r w:rsidR="00B94F5F" w:rsidRPr="00DA249F">
        <w:rPr>
          <w:lang w:val="en-GB"/>
        </w:rPr>
        <w:t>t</w:t>
      </w:r>
      <w:r w:rsidR="508E68E2" w:rsidRPr="00DA249F">
        <w:rPr>
          <w:lang w:val="en-GB"/>
        </w:rPr>
        <w:t xml:space="preserve"> this </w:t>
      </w:r>
      <w:r w:rsidR="00B94F5F" w:rsidRPr="00DA249F">
        <w:rPr>
          <w:lang w:val="en-GB"/>
        </w:rPr>
        <w:t>has</w:t>
      </w:r>
      <w:r w:rsidR="508E68E2" w:rsidRPr="00DA249F">
        <w:rPr>
          <w:lang w:val="en-GB"/>
        </w:rPr>
        <w:t xml:space="preserve"> not translate</w:t>
      </w:r>
      <w:r w:rsidR="00B94F5F" w:rsidRPr="00DA249F">
        <w:rPr>
          <w:lang w:val="en-GB"/>
        </w:rPr>
        <w:t>d</w:t>
      </w:r>
      <w:r w:rsidR="508E68E2" w:rsidRPr="00DA249F">
        <w:rPr>
          <w:lang w:val="en-GB"/>
        </w:rPr>
        <w:t xml:space="preserve"> </w:t>
      </w:r>
      <w:r w:rsidR="00B94F5F" w:rsidRPr="00DA249F">
        <w:rPr>
          <w:lang w:val="en-GB"/>
        </w:rPr>
        <w:t xml:space="preserve">into </w:t>
      </w:r>
      <w:r w:rsidR="508E68E2" w:rsidRPr="00DA249F">
        <w:rPr>
          <w:lang w:val="en-GB"/>
        </w:rPr>
        <w:t xml:space="preserve">a faster spread </w:t>
      </w:r>
      <w:r w:rsidR="675F67A8" w:rsidRPr="00DA249F">
        <w:rPr>
          <w:lang w:val="en-GB"/>
        </w:rPr>
        <w:fldChar w:fldCharType="begin"/>
      </w:r>
      <w:r w:rsidR="00331A79">
        <w:rPr>
          <w:lang w:val="en-GB"/>
        </w:rPr>
        <w:instrText xml:space="preserve"> ADDIN ZOTERO_ITEM CSL_CITATION {"citationID":"bP4qtKUv","properties":{"formattedCitation":"(Hulme, 2011b)","plainCitation":"(Hulme, 2011b)","noteIndex":0},"citationItems":[{"id":11368,"uris":["http://zotero.org/groups/2352922/items/RZQ8CYBD"],"itemData":{"id":11368,"type":"article-journal","container-title":"New Phytologist","DOI":"https://doi.org/10.1111/j.1469-8137.2010.03446.x","ISSN":"0028-646X","issue":"1","journalAbbreviation":"New Phytologist","page":"272-281","title":"Contrasting impacts of clima</w:instrText>
      </w:r>
      <w:r w:rsidR="00331A79">
        <w:rPr>
          <w:rFonts w:hint="eastAsia"/>
          <w:lang w:val="en-GB"/>
        </w:rPr>
        <w:instrText>te</w:instrText>
      </w:r>
      <w:r w:rsidR="00331A79">
        <w:rPr>
          <w:rFonts w:hint="eastAsia"/>
          <w:lang w:val="en-GB"/>
        </w:rPr>
        <w:instrText>‐</w:instrText>
      </w:r>
      <w:r w:rsidR="00331A79">
        <w:rPr>
          <w:rFonts w:hint="eastAsia"/>
          <w:lang w:val="en-GB"/>
        </w:rPr>
        <w:instrText>driven flowering phenology on changes in alien and native plant species distributions","volume":"189","author":[{"family":"Hulme","given":"Philip E."}],"issued":{"date-parts":[["2011"]]}},"label":"page"}],"schema":"https://github.com/citation-style-lan</w:instrText>
      </w:r>
      <w:r w:rsidR="00331A79">
        <w:rPr>
          <w:lang w:val="en-GB"/>
        </w:rPr>
        <w:instrText xml:space="preserve">guage/schema/raw/master/csl-citation.json"} </w:instrText>
      </w:r>
      <w:r w:rsidR="675F67A8" w:rsidRPr="00DA249F">
        <w:rPr>
          <w:lang w:val="en-GB"/>
        </w:rPr>
        <w:fldChar w:fldCharType="separate"/>
      </w:r>
      <w:r w:rsidR="00186371" w:rsidRPr="00186371">
        <w:t>(Hulme, 2011b)</w:t>
      </w:r>
      <w:r w:rsidR="675F67A8" w:rsidRPr="00DA249F">
        <w:rPr>
          <w:lang w:val="en-GB"/>
        </w:rPr>
        <w:fldChar w:fldCharType="end"/>
      </w:r>
      <w:r w:rsidR="508E68E2" w:rsidRPr="00DA249F">
        <w:rPr>
          <w:lang w:val="en-GB"/>
        </w:rPr>
        <w:t>.</w:t>
      </w:r>
    </w:p>
    <w:p w14:paraId="39C39F21" w14:textId="61313298" w:rsidR="00EF429F" w:rsidRPr="00DA249F" w:rsidRDefault="312BB0B8" w:rsidP="00300D53">
      <w:pPr>
        <w:rPr>
          <w:lang w:val="en-GB"/>
        </w:rPr>
      </w:pPr>
      <w:r w:rsidRPr="728F2DAF">
        <w:rPr>
          <w:lang w:val="en-GB"/>
        </w:rPr>
        <w:t xml:space="preserve">As climate </w:t>
      </w:r>
      <w:r w:rsidR="0C09793E" w:rsidRPr="728F2DAF">
        <w:rPr>
          <w:lang w:val="en-GB"/>
        </w:rPr>
        <w:t xml:space="preserve">change </w:t>
      </w:r>
      <w:r w:rsidR="1AC1D23B" w:rsidRPr="728F2DAF">
        <w:rPr>
          <w:lang w:val="en-GB"/>
        </w:rPr>
        <w:t>progresses</w:t>
      </w:r>
      <w:r w:rsidRPr="728F2DAF">
        <w:rPr>
          <w:lang w:val="en-GB"/>
        </w:rPr>
        <w:t>, some regions</w:t>
      </w:r>
      <w:r w:rsidR="58882C54" w:rsidRPr="728F2DAF">
        <w:rPr>
          <w:lang w:val="en-GB"/>
        </w:rPr>
        <w:t>, biomes</w:t>
      </w:r>
      <w:r w:rsidR="00774819">
        <w:rPr>
          <w:lang w:val="en-GB"/>
        </w:rPr>
        <w:t xml:space="preserve"> and</w:t>
      </w:r>
      <w:r w:rsidR="324970F4" w:rsidRPr="728F2DAF">
        <w:rPr>
          <w:lang w:val="en-GB"/>
        </w:rPr>
        <w:t xml:space="preserve"> </w:t>
      </w:r>
      <w:r w:rsidR="72CBC645" w:rsidRPr="728F2DAF">
        <w:rPr>
          <w:lang w:val="en-GB"/>
        </w:rPr>
        <w:t xml:space="preserve">taxonomic </w:t>
      </w:r>
      <w:r w:rsidR="4033E381" w:rsidRPr="728F2DAF">
        <w:rPr>
          <w:lang w:val="en-GB"/>
        </w:rPr>
        <w:t xml:space="preserve">groups </w:t>
      </w:r>
      <w:r w:rsidR="5C2E0329" w:rsidRPr="728F2DAF">
        <w:rPr>
          <w:lang w:val="en-GB"/>
        </w:rPr>
        <w:t xml:space="preserve">will </w:t>
      </w:r>
      <w:r w:rsidR="4033E381" w:rsidRPr="728F2DAF">
        <w:rPr>
          <w:lang w:val="en-GB"/>
        </w:rPr>
        <w:t>be subjected to</w:t>
      </w:r>
      <w:r w:rsidR="0C09793E" w:rsidRPr="728F2DAF">
        <w:rPr>
          <w:lang w:val="en-GB"/>
        </w:rPr>
        <w:t xml:space="preserve"> climates not </w:t>
      </w:r>
      <w:r w:rsidR="6D6DA678" w:rsidRPr="728F2DAF">
        <w:rPr>
          <w:lang w:val="en-GB"/>
        </w:rPr>
        <w:t>previously encountered</w:t>
      </w:r>
      <w:r w:rsidR="4033E381" w:rsidRPr="728F2DAF">
        <w:rPr>
          <w:lang w:val="en-GB"/>
        </w:rPr>
        <w:t xml:space="preserve">, </w:t>
      </w:r>
      <w:r w:rsidR="6C6BB94D" w:rsidRPr="728F2DAF">
        <w:rPr>
          <w:lang w:val="en-GB"/>
        </w:rPr>
        <w:t xml:space="preserve">and </w:t>
      </w:r>
      <w:r w:rsidR="2CF72639" w:rsidRPr="728F2DAF">
        <w:rPr>
          <w:lang w:val="en-GB"/>
        </w:rPr>
        <w:t>invasive alien species</w:t>
      </w:r>
      <w:r w:rsidR="7552EE40" w:rsidRPr="728F2DAF">
        <w:rPr>
          <w:lang w:val="en-GB"/>
        </w:rPr>
        <w:t xml:space="preserve"> </w:t>
      </w:r>
      <w:r w:rsidR="6C6BB94D" w:rsidRPr="728F2DAF">
        <w:rPr>
          <w:lang w:val="en-GB"/>
        </w:rPr>
        <w:t xml:space="preserve">are projected to </w:t>
      </w:r>
      <w:r w:rsidR="1B6E14E4" w:rsidRPr="728F2DAF">
        <w:rPr>
          <w:lang w:val="en-GB"/>
        </w:rPr>
        <w:t xml:space="preserve">either decrease </w:t>
      </w:r>
      <w:r w:rsidR="60A5CB33" w:rsidRPr="728F2DAF">
        <w:rPr>
          <w:lang w:val="en-GB"/>
        </w:rPr>
        <w:t xml:space="preserve">or </w:t>
      </w:r>
      <w:r w:rsidR="14B64474" w:rsidRPr="728F2DAF">
        <w:rPr>
          <w:lang w:val="en-GB"/>
        </w:rPr>
        <w:t xml:space="preserve">increase </w:t>
      </w:r>
      <w:r w:rsidR="00C70AE8" w:rsidRPr="728F2DAF">
        <w:rPr>
          <w:lang w:val="en-GB"/>
        </w:rPr>
        <w:fldChar w:fldCharType="begin"/>
      </w:r>
      <w:r w:rsidR="00331A79">
        <w:rPr>
          <w:lang w:val="en-GB"/>
        </w:rPr>
        <w:instrText xml:space="preserve"> ADDIN ZOTERO_ITEM CSL_CITATION {"citationID":"qw0JERZs","properties":{"formattedCitation":"(Bellard et al., 2013b)","plainCitation":"(Bellard et al., 2013b)","dontUpdate":true,"noteIndex":0},"citationItems":[{"id":28770,"uris":["http://zotero.org/groups/2352922/items/LDR95453"],"itemData":{"id":28770,"type":"article-journal","abstract":"Biological invasion is increasingly recognized as one of the greatest threats to biodiversity. Using ensemble forecasts from species distribution models to project future suitable areas of the 100 of the world's worst invasive species defined by the International Union for the Conservation of Nature, we show that both climate and land use changes will likely cause drastic species range shifts. Looking at potential spatial aggregation of invasive species, we identify three future hotspots of invasion in Europe, northeastern North America, and Oceania. We also emphasize that some regions could lose a significant number of invasive alien species, creating opportunities for ecosystem restoration. From the list of 100, scenarios of potential range distributions show a consistent shrinking for invasive amphibians and birds, while for aquatic and terrestrial invertebrates distributions are projected to substantially increase in most cases. Given the harmful impacts these invasive species currently have on ecosystems, these species will likely dramatically influence the future of biodiversity.","container-title":"Global Change Biology","DOI":"10.1111/gcb.12344","ISSN":"1365-2486","issue":"12","language":"en","license":"© 2013 John Wiley &amp; Sons Ltd","note":"_eprint: https://onlinelibrary.wiley.com/doi/pdf/10.1111/gcb.12344","page":"3740-3748","source":"Wiley Online Library","title":"Will climate change promote future invasions?","URL":"https://www.onlinelibrary.wiley.com/doi/abs/10.1111/gcb.12344","volume":"19","author":[{"family":"Bellard","given":"Céline"},{"family":"Thuiller","given":"Wilfried"},{"family":"Leroy","given":"Boris"},{"family":"Genovesi","given":"Piero"},{"family":"Bakkenes","given":"Michel"},{"family":"Courchamp","given":"Franck"}],"accessed":{"date-parts":[["2021",6,18]]},"issued":{"date-parts":[["2013"]]}},"label":"page"}],"schema":"https://github.com/citation-style-language/schema/raw/master/csl-citation.json"} </w:instrText>
      </w:r>
      <w:r w:rsidR="00C70AE8" w:rsidRPr="728F2DAF">
        <w:rPr>
          <w:lang w:val="en-GB"/>
        </w:rPr>
        <w:fldChar w:fldCharType="separate"/>
      </w:r>
      <w:r w:rsidR="4F57B9F9" w:rsidRPr="728F2DAF">
        <w:rPr>
          <w:lang w:val="en-GB"/>
        </w:rPr>
        <w:t>(Bellard et al., 2013b</w:t>
      </w:r>
      <w:r w:rsidR="00C70AE8" w:rsidRPr="728F2DAF">
        <w:rPr>
          <w:lang w:val="en-GB"/>
        </w:rPr>
        <w:fldChar w:fldCharType="end"/>
      </w:r>
      <w:r w:rsidR="4F57B9F9" w:rsidRPr="728F2DAF">
        <w:rPr>
          <w:lang w:val="en-GB"/>
        </w:rPr>
        <w:t xml:space="preserve">; </w:t>
      </w:r>
      <w:r w:rsidR="4A677613" w:rsidRPr="728F2DAF">
        <w:rPr>
          <w:b/>
          <w:bCs/>
          <w:lang w:val="en-GB"/>
        </w:rPr>
        <w:t>C</w:t>
      </w:r>
      <w:r w:rsidR="4F57B9F9" w:rsidRPr="728F2DAF">
        <w:rPr>
          <w:b/>
          <w:bCs/>
          <w:lang w:val="en-GB"/>
        </w:rPr>
        <w:t>hapter 2</w:t>
      </w:r>
      <w:r w:rsidR="4F57B9F9" w:rsidRPr="728F2DAF">
        <w:rPr>
          <w:lang w:val="en-GB"/>
        </w:rPr>
        <w:t>,</w:t>
      </w:r>
      <w:r w:rsidR="4F57B9F9" w:rsidRPr="728F2DAF">
        <w:rPr>
          <w:b/>
          <w:bCs/>
          <w:lang w:val="en-GB"/>
        </w:rPr>
        <w:t xml:space="preserve"> section 2.6</w:t>
      </w:r>
      <w:r w:rsidR="4F57B9F9" w:rsidRPr="728F2DAF">
        <w:rPr>
          <w:lang w:val="en-GB"/>
        </w:rPr>
        <w:t>)</w:t>
      </w:r>
      <w:r w:rsidR="1A5FB547" w:rsidRPr="728F2DAF">
        <w:rPr>
          <w:lang w:val="en-GB"/>
        </w:rPr>
        <w:t>.</w:t>
      </w:r>
      <w:r w:rsidR="4033E381" w:rsidRPr="728F2DAF">
        <w:rPr>
          <w:lang w:val="en-GB"/>
        </w:rPr>
        <w:t xml:space="preserve"> Bellard et al. </w:t>
      </w:r>
      <w:r w:rsidR="00C70AE8" w:rsidRPr="728F2DAF">
        <w:rPr>
          <w:lang w:val="en-GB"/>
        </w:rPr>
        <w:fldChar w:fldCharType="begin"/>
      </w:r>
      <w:r w:rsidR="00331A79">
        <w:rPr>
          <w:lang w:val="en-GB"/>
        </w:rPr>
        <w:instrText xml:space="preserve"> ADDIN ZOTERO_ITEM CSL_CITATION {"citationID":"Ok2oP0xo","properties":{"formattedCitation":"(2013)","plainCitation":"(2013)","noteIndex":0},"citationItems":[{"id":28770,"uris":["http://zotero.org/groups/2352922/items/LDR95453"],"itemData":{"id":28770,"type":"article-journal","abstract":"Biological invasion is increasingly recognized as one of the greatest threats to biodiversity. Using ensemble forecasts from species distribution models to project future suitable areas of the 100 of the world's worst invasive species defined by the International Union for the Conservation of Nature, we show that both climate and land use changes will likely cause drastic species range shifts. Looking at potential spatial aggregation of invasive species, we identify three future hotspots of invasion in Europe, northeastern North America, and Oceania. We also emphasize that some regions could lose a significant number of invasive alien species, creating opportunities for ecosystem restoration. From the list of 100, scenarios of potential range distributions show a consistent shrinking for invasive amphibians and birds, while for aquatic and terrestrial invertebrates distributions are projected to substantially increase in most cases. Given the harmful impacts these invasive species currently have on ecosystems, these species will likely dramatically influence the future of biodiversity.","container-title":"Global Change Biology","DOI":"10.1111/gcb.12344","ISSN":"1365-2486","issue":"12","language":"en","license":"© 2013 John Wiley &amp; Sons Ltd","note":"_eprint: https://onlinelibrary.wiley.com/doi/pdf/10.1111/gcb.12344","page":"3740-3748","source":"Wiley Online Library","title":"Will climate change promote future invasions?","URL":"https://www.onlinelibrary.wiley.com/doi/abs/10.1111/gcb.12344","volume":"19","author":[{"family":"Bellard","given":"Céline"},{"family":"Thuiller","given":"Wilfried"},{"family":"Leroy","given":"Boris"},{"family":"Genovesi","given":"Piero"},{"family":"Bakkenes","given":"Michel"},{"family":"Courchamp","given":"Franck"}],"accessed":{"date-parts":[["2021",6,18]]},"issued":{"date-parts":[["2013"]]}},"label":"page","suppress-author":true}],"schema":"https://github.com/citation-style-language/schema/raw/master/csl-citation.json"} </w:instrText>
      </w:r>
      <w:r w:rsidR="00C70AE8" w:rsidRPr="728F2DAF">
        <w:rPr>
          <w:lang w:val="en-GB"/>
        </w:rPr>
        <w:fldChar w:fldCharType="separate"/>
      </w:r>
      <w:r w:rsidR="73B99EB6">
        <w:t>(2013)</w:t>
      </w:r>
      <w:r w:rsidR="00C70AE8" w:rsidRPr="728F2DAF">
        <w:rPr>
          <w:lang w:val="en-GB"/>
        </w:rPr>
        <w:fldChar w:fldCharType="end"/>
      </w:r>
      <w:r w:rsidR="4F57B9F9" w:rsidRPr="728F2DAF">
        <w:rPr>
          <w:lang w:val="en-GB"/>
        </w:rPr>
        <w:t xml:space="preserve"> </w:t>
      </w:r>
      <w:r w:rsidR="35D2DB35" w:rsidRPr="728F2DAF">
        <w:rPr>
          <w:lang w:val="en-GB"/>
        </w:rPr>
        <w:t>project</w:t>
      </w:r>
      <w:r w:rsidR="4033E381" w:rsidRPr="728F2DAF">
        <w:rPr>
          <w:lang w:val="en-GB"/>
        </w:rPr>
        <w:t xml:space="preserve"> f</w:t>
      </w:r>
      <w:r w:rsidR="3FA5C6A1" w:rsidRPr="728F2DAF">
        <w:rPr>
          <w:lang w:val="en-GB"/>
        </w:rPr>
        <w:t xml:space="preserve">uture hotspots of </w:t>
      </w:r>
      <w:r w:rsidR="16F85CC7" w:rsidRPr="728F2DAF">
        <w:rPr>
          <w:lang w:val="en-GB"/>
        </w:rPr>
        <w:t>invasive alien species</w:t>
      </w:r>
      <w:r w:rsidR="2D447F46" w:rsidRPr="728F2DAF">
        <w:rPr>
          <w:lang w:val="en-GB"/>
        </w:rPr>
        <w:t xml:space="preserve"> </w:t>
      </w:r>
      <w:r w:rsidR="35D2DB35" w:rsidRPr="728F2DAF">
        <w:rPr>
          <w:lang w:val="en-GB"/>
        </w:rPr>
        <w:t>to be</w:t>
      </w:r>
      <w:r w:rsidR="734AF764" w:rsidRPr="728F2DAF">
        <w:rPr>
          <w:lang w:val="en-GB"/>
        </w:rPr>
        <w:t xml:space="preserve"> </w:t>
      </w:r>
      <w:r w:rsidR="3FA5C6A1" w:rsidRPr="728F2DAF">
        <w:rPr>
          <w:lang w:val="en-GB"/>
        </w:rPr>
        <w:t>in</w:t>
      </w:r>
      <w:r w:rsidR="7929A69D" w:rsidRPr="728F2DAF">
        <w:rPr>
          <w:lang w:val="en-GB"/>
        </w:rPr>
        <w:t xml:space="preserve"> biomes </w:t>
      </w:r>
      <w:r w:rsidR="677F4E2F" w:rsidRPr="728F2DAF">
        <w:rPr>
          <w:lang w:val="en-GB"/>
        </w:rPr>
        <w:t xml:space="preserve">at higher latitudes </w:t>
      </w:r>
      <w:r w:rsidR="444986A6" w:rsidRPr="728F2DAF">
        <w:rPr>
          <w:lang w:val="en-GB"/>
        </w:rPr>
        <w:t xml:space="preserve">where future climate change is projected to be less extreme </w:t>
      </w:r>
      <w:r w:rsidR="70251E2E" w:rsidRPr="728F2DAF">
        <w:rPr>
          <w:lang w:val="en-GB"/>
        </w:rPr>
        <w:t>(e.g.</w:t>
      </w:r>
      <w:r w:rsidR="0A593FB9" w:rsidRPr="728F2DAF">
        <w:rPr>
          <w:lang w:val="en-GB"/>
        </w:rPr>
        <w:t>,</w:t>
      </w:r>
      <w:r w:rsidR="70251E2E" w:rsidRPr="728F2DAF">
        <w:rPr>
          <w:lang w:val="en-GB"/>
        </w:rPr>
        <w:t xml:space="preserve"> </w:t>
      </w:r>
      <w:r w:rsidR="30E0DD25" w:rsidRPr="728F2DAF">
        <w:rPr>
          <w:lang w:val="en-GB"/>
        </w:rPr>
        <w:t xml:space="preserve">temperate </w:t>
      </w:r>
      <w:r w:rsidR="13F57E63" w:rsidRPr="728F2DAF">
        <w:rPr>
          <w:lang w:val="en-GB"/>
        </w:rPr>
        <w:t>mixed</w:t>
      </w:r>
      <w:r w:rsidR="611A7202" w:rsidRPr="728F2DAF">
        <w:rPr>
          <w:lang w:val="en-GB"/>
        </w:rPr>
        <w:t xml:space="preserve"> forests</w:t>
      </w:r>
      <w:r w:rsidR="67F4A7A1" w:rsidRPr="728F2DAF">
        <w:rPr>
          <w:lang w:val="en-GB"/>
        </w:rPr>
        <w:t xml:space="preserve"> and woodlands</w:t>
      </w:r>
      <w:r w:rsidR="50DA03EE" w:rsidRPr="728F2DAF">
        <w:rPr>
          <w:lang w:val="en-GB"/>
        </w:rPr>
        <w:t>)</w:t>
      </w:r>
      <w:r w:rsidR="11400FF3" w:rsidRPr="728F2DAF">
        <w:rPr>
          <w:lang w:val="en-GB"/>
        </w:rPr>
        <w:t xml:space="preserve"> </w:t>
      </w:r>
      <w:r w:rsidR="50DA03EE" w:rsidRPr="728F2DAF">
        <w:rPr>
          <w:lang w:val="en-GB"/>
        </w:rPr>
        <w:t xml:space="preserve">whereas </w:t>
      </w:r>
      <w:r w:rsidR="5ED86AE9" w:rsidRPr="728F2DAF">
        <w:rPr>
          <w:lang w:val="en-GB"/>
        </w:rPr>
        <w:t>biomes expected to shift into extreme climatic zones (e.g.</w:t>
      </w:r>
      <w:r w:rsidR="0A593FB9" w:rsidRPr="728F2DAF">
        <w:rPr>
          <w:lang w:val="en-GB"/>
        </w:rPr>
        <w:t>,</w:t>
      </w:r>
      <w:r w:rsidR="5ED86AE9" w:rsidRPr="728F2DAF">
        <w:rPr>
          <w:lang w:val="en-GB"/>
        </w:rPr>
        <w:t xml:space="preserve"> tropical forest) </w:t>
      </w:r>
      <w:r w:rsidR="53174B03" w:rsidRPr="728F2DAF">
        <w:rPr>
          <w:lang w:val="en-GB"/>
        </w:rPr>
        <w:t xml:space="preserve">may experience </w:t>
      </w:r>
      <w:r w:rsidR="72CBC645" w:rsidRPr="728F2DAF">
        <w:rPr>
          <w:lang w:val="en-GB"/>
        </w:rPr>
        <w:t xml:space="preserve">a </w:t>
      </w:r>
      <w:r w:rsidR="53174B03" w:rsidRPr="728F2DAF">
        <w:rPr>
          <w:lang w:val="en-GB"/>
        </w:rPr>
        <w:t>decrease</w:t>
      </w:r>
      <w:r w:rsidR="72CBC645" w:rsidRPr="728F2DAF">
        <w:rPr>
          <w:lang w:val="en-GB"/>
        </w:rPr>
        <w:t xml:space="preserve"> in </w:t>
      </w:r>
      <w:r w:rsidR="72F3E677" w:rsidRPr="728F2DAF">
        <w:rPr>
          <w:lang w:val="en-GB"/>
        </w:rPr>
        <w:t>number of invasive alien species</w:t>
      </w:r>
      <w:r w:rsidR="5ED86AE9" w:rsidRPr="728F2DAF">
        <w:rPr>
          <w:lang w:val="en-GB"/>
        </w:rPr>
        <w:t xml:space="preserve">. </w:t>
      </w:r>
      <w:r w:rsidR="76AA94B0" w:rsidRPr="728F2DAF">
        <w:rPr>
          <w:lang w:val="en-GB"/>
        </w:rPr>
        <w:t>T</w:t>
      </w:r>
      <w:r w:rsidR="3FA5C6A1" w:rsidRPr="728F2DAF">
        <w:rPr>
          <w:lang w:val="en-GB"/>
        </w:rPr>
        <w:t xml:space="preserve">he </w:t>
      </w:r>
      <w:r w:rsidR="34B8B156" w:rsidRPr="728F2DAF">
        <w:rPr>
          <w:lang w:val="en-GB"/>
        </w:rPr>
        <w:t xml:space="preserve">ranges of </w:t>
      </w:r>
      <w:r w:rsidR="3FA5C6A1" w:rsidRPr="728F2DAF">
        <w:rPr>
          <w:lang w:val="en-GB"/>
        </w:rPr>
        <w:t xml:space="preserve">invasive </w:t>
      </w:r>
      <w:r w:rsidR="0B5C5308" w:rsidRPr="728F2DAF">
        <w:rPr>
          <w:lang w:val="en-GB"/>
        </w:rPr>
        <w:t xml:space="preserve">alien </w:t>
      </w:r>
      <w:r w:rsidR="76AA94B0" w:rsidRPr="728F2DAF">
        <w:rPr>
          <w:lang w:val="en-GB"/>
        </w:rPr>
        <w:t xml:space="preserve">terrestrial and aquatic </w:t>
      </w:r>
      <w:r w:rsidR="69F40AE5" w:rsidRPr="728F2DAF">
        <w:rPr>
          <w:lang w:val="en-GB"/>
        </w:rPr>
        <w:t xml:space="preserve">invertebrates, </w:t>
      </w:r>
      <w:r w:rsidR="2F865BBF" w:rsidRPr="728F2DAF">
        <w:rPr>
          <w:lang w:val="en-GB"/>
        </w:rPr>
        <w:t>a</w:t>
      </w:r>
      <w:r w:rsidR="10D67389" w:rsidRPr="728F2DAF">
        <w:rPr>
          <w:lang w:val="en-GB"/>
        </w:rPr>
        <w:t xml:space="preserve">quatic plants </w:t>
      </w:r>
      <w:r w:rsidR="36A700B0" w:rsidRPr="728F2DAF">
        <w:rPr>
          <w:lang w:val="en-GB"/>
        </w:rPr>
        <w:t xml:space="preserve">and </w:t>
      </w:r>
      <w:r w:rsidR="6AC817C1" w:rsidRPr="728F2DAF">
        <w:rPr>
          <w:lang w:val="en-GB"/>
        </w:rPr>
        <w:t>microorganisms</w:t>
      </w:r>
      <w:r w:rsidR="36A700B0" w:rsidRPr="728F2DAF">
        <w:rPr>
          <w:lang w:val="en-GB"/>
        </w:rPr>
        <w:t xml:space="preserve"> are projected to increase, whereas the ranges of invasive alien </w:t>
      </w:r>
      <w:r w:rsidR="3FA5C6A1" w:rsidRPr="728F2DAF">
        <w:rPr>
          <w:lang w:val="en-GB"/>
        </w:rPr>
        <w:t>amphibians</w:t>
      </w:r>
      <w:r w:rsidR="090E4DC6" w:rsidRPr="728F2DAF">
        <w:rPr>
          <w:lang w:val="en-GB"/>
        </w:rPr>
        <w:t>,</w:t>
      </w:r>
      <w:r w:rsidR="3FA5C6A1" w:rsidRPr="728F2DAF">
        <w:rPr>
          <w:lang w:val="en-GB"/>
        </w:rPr>
        <w:t xml:space="preserve"> birds</w:t>
      </w:r>
      <w:r w:rsidR="02111316" w:rsidRPr="728F2DAF">
        <w:rPr>
          <w:lang w:val="en-GB"/>
        </w:rPr>
        <w:t xml:space="preserve"> and</w:t>
      </w:r>
      <w:r w:rsidR="55CC7D54" w:rsidRPr="728F2DAF">
        <w:rPr>
          <w:lang w:val="en-GB"/>
        </w:rPr>
        <w:t xml:space="preserve"> fungi </w:t>
      </w:r>
      <w:r w:rsidR="02111316" w:rsidRPr="728F2DAF">
        <w:rPr>
          <w:lang w:val="en-GB"/>
        </w:rPr>
        <w:t xml:space="preserve">could </w:t>
      </w:r>
      <w:r w:rsidR="76AA94B0" w:rsidRPr="728F2DAF">
        <w:rPr>
          <w:lang w:val="en-GB"/>
        </w:rPr>
        <w:t>experience range contractions under future climate projections</w:t>
      </w:r>
      <w:r w:rsidR="3FA5C6A1" w:rsidRPr="728F2DAF">
        <w:rPr>
          <w:lang w:val="en-GB"/>
        </w:rPr>
        <w:t xml:space="preserve"> </w:t>
      </w:r>
      <w:r w:rsidR="00C70AE8" w:rsidRPr="728F2DAF">
        <w:rPr>
          <w:lang w:val="en-GB"/>
        </w:rPr>
        <w:fldChar w:fldCharType="begin"/>
      </w:r>
      <w:r w:rsidR="00331A79">
        <w:rPr>
          <w:lang w:val="en-GB"/>
        </w:rPr>
        <w:instrText xml:space="preserve"> ADDIN ZOTERO_ITEM CSL_CITATION {"citationID":"laFCkliU","properties":{"formattedCitation":"(Bellard et al., 2013b)","plainCitation":"(Bellard et al., 2013b)","dontUpdate":true,"noteIndex":0},"citationItems":[{"id":28770,"uris":["http://zotero.org/groups/2352922/items/LDR95453"],"itemData":{"id":28770,"type":"article-journal","abstract":"Biological invasion is increasingly recognized as one of the greatest threats to biodiversity. Using ensemble forecasts from species distribution models to project future suitable areas of the 100 of the world's worst invasive species defined by the International Union for the Conservation of Nature, we show that both climate and land use changes will likely cause drastic species range shifts. Looking at potential spatial aggregation of invasive species, we identify three future hotspots of invasion in Europe, northeastern North America, and Oceania. We also emphasize that some regions could lose a significant number of invasive alien species, creating opportunities for ecosystem restoration. From the list of 100, scenarios of potential range distributions show a consistent shrinking for invasive amphibians and birds, while for aquatic and terrestrial invertebrates distributions are projected to substantially increase in most cases. Given the harmful impacts these invasive species currently have on ecosystems, these species will likely dramatically influence the future of biodiversity.","container-title":"Global Change Biology","DOI":"10.1111/gcb.12344","ISSN":"1365-2486","issue":"12","language":"en","license":"© 2013 John Wiley &amp; Sons Ltd","note":"_eprint: https://onlinelibrary.wiley.com/doi/pdf/10.1111/gcb.12344","page":"3740-3748","source":"Wiley Online Library","title":"Will climate change promote future invasions?","URL":"https://www.onlinelibrary.wiley.com/doi/abs/10.1111/gcb.12344","volume":"19","author":[{"family":"Bellard","given":"Céline"},{"family":"Thuiller","given":"Wilfried"},{"family":"Leroy","given":"Boris"},{"family":"Genovesi","given":"Piero"},{"family":"Bakkenes","given":"Michel"},{"family":"Courchamp","given":"Franck"}],"accessed":{"date-parts":[["2021",6,18]]},"issued":{"date-parts":[["2013"]]}},"label":"page"}],"schema":"https://github.com/citation-style-language/schema/raw/master/csl-citation.json"} </w:instrText>
      </w:r>
      <w:r w:rsidR="00C70AE8" w:rsidRPr="728F2DAF">
        <w:rPr>
          <w:lang w:val="en-GB"/>
        </w:rPr>
        <w:fldChar w:fldCharType="separate"/>
      </w:r>
      <w:r w:rsidR="4F57B9F9" w:rsidRPr="728F2DAF">
        <w:rPr>
          <w:lang w:val="en-GB"/>
        </w:rPr>
        <w:t>(Bellard et al., 2013b</w:t>
      </w:r>
      <w:r w:rsidR="00C70AE8" w:rsidRPr="728F2DAF">
        <w:rPr>
          <w:lang w:val="en-GB"/>
        </w:rPr>
        <w:fldChar w:fldCharType="end"/>
      </w:r>
      <w:r w:rsidR="4F57B9F9" w:rsidRPr="728F2DAF">
        <w:rPr>
          <w:lang w:val="en-GB"/>
        </w:rPr>
        <w:t xml:space="preserve">; </w:t>
      </w:r>
      <w:r w:rsidR="49B6C330" w:rsidRPr="728F2DAF">
        <w:rPr>
          <w:b/>
          <w:bCs/>
          <w:lang w:val="en-GB"/>
        </w:rPr>
        <w:t>C</w:t>
      </w:r>
      <w:r w:rsidR="4F57B9F9" w:rsidRPr="728F2DAF">
        <w:rPr>
          <w:b/>
          <w:bCs/>
          <w:lang w:val="en-GB"/>
        </w:rPr>
        <w:t>hapter 2</w:t>
      </w:r>
      <w:r w:rsidR="4F57B9F9" w:rsidRPr="728F2DAF">
        <w:rPr>
          <w:lang w:val="en-GB"/>
        </w:rPr>
        <w:t>,</w:t>
      </w:r>
      <w:r w:rsidR="4F57B9F9" w:rsidRPr="728F2DAF">
        <w:rPr>
          <w:b/>
          <w:bCs/>
          <w:lang w:val="en-GB"/>
        </w:rPr>
        <w:t xml:space="preserve"> section 2.6</w:t>
      </w:r>
      <w:r w:rsidR="4F57B9F9" w:rsidRPr="728F2DAF">
        <w:rPr>
          <w:lang w:val="en-GB"/>
        </w:rPr>
        <w:t>)</w:t>
      </w:r>
      <w:r w:rsidR="3FA5C6A1" w:rsidRPr="728F2DAF">
        <w:rPr>
          <w:lang w:val="en-GB"/>
        </w:rPr>
        <w:t>.</w:t>
      </w:r>
      <w:r w:rsidR="79408892" w:rsidRPr="728F2DAF">
        <w:rPr>
          <w:lang w:val="en-GB"/>
        </w:rPr>
        <w:t xml:space="preserve"> </w:t>
      </w:r>
      <w:bookmarkStart w:id="191" w:name="_Toc44317837"/>
    </w:p>
    <w:p w14:paraId="20BC7C8C" w14:textId="77777777" w:rsidR="008C1BF7" w:rsidRPr="00DA249F" w:rsidRDefault="6619E8BF" w:rsidP="00EF429F">
      <w:pPr>
        <w:pStyle w:val="Heading3"/>
        <w:rPr>
          <w:lang w:val="en-GB"/>
        </w:rPr>
      </w:pPr>
      <w:r w:rsidRPr="00DA249F">
        <w:rPr>
          <w:lang w:val="en-GB"/>
        </w:rPr>
        <w:t xml:space="preserve">Precipitation </w:t>
      </w:r>
      <w:bookmarkEnd w:id="191"/>
      <w:r w:rsidR="2DAE19E8" w:rsidRPr="00DA249F">
        <w:rPr>
          <w:lang w:val="en-GB"/>
        </w:rPr>
        <w:t>change</w:t>
      </w:r>
    </w:p>
    <w:p w14:paraId="7A02CC3D" w14:textId="3059D128" w:rsidR="003D53D6" w:rsidRPr="00DA249F" w:rsidRDefault="0065077A" w:rsidP="0090109B">
      <w:pPr>
        <w:rPr>
          <w:lang w:val="en-GB"/>
        </w:rPr>
      </w:pPr>
      <w:r w:rsidRPr="00DA249F">
        <w:rPr>
          <w:lang w:val="en-GB"/>
        </w:rPr>
        <w:t>Climate change has caused an increase in global average precipitation since the mid</w:t>
      </w:r>
      <w:r w:rsidR="004D1A92">
        <w:rPr>
          <w:lang w:val="en-GB"/>
        </w:rPr>
        <w:t>-</w:t>
      </w:r>
      <w:r w:rsidR="00EF33C9" w:rsidRPr="00DA249F">
        <w:rPr>
          <w:lang w:val="en-GB"/>
        </w:rPr>
        <w:t>twentie</w:t>
      </w:r>
      <w:r w:rsidRPr="00DA249F">
        <w:rPr>
          <w:lang w:val="en-GB"/>
        </w:rPr>
        <w:t>th century,</w:t>
      </w:r>
      <w:r w:rsidR="002621D9" w:rsidRPr="00DA249F">
        <w:rPr>
          <w:lang w:val="en-GB"/>
        </w:rPr>
        <w:t xml:space="preserve"> </w:t>
      </w:r>
      <w:r w:rsidRPr="00DA249F">
        <w:rPr>
          <w:lang w:val="en-GB"/>
        </w:rPr>
        <w:t xml:space="preserve">which has been accelerating since the 1980s, but with great regional and temporal variability, so that precipitation is increasing in some regions, decreasing in others, with interannual variability and seasonality also changing </w:t>
      </w:r>
      <w:r w:rsidR="00922385" w:rsidRPr="00DA249F">
        <w:rPr>
          <w:lang w:val="en-GB"/>
        </w:rPr>
        <w:fldChar w:fldCharType="begin"/>
      </w:r>
      <w:r w:rsidR="00331A79">
        <w:rPr>
          <w:lang w:val="en-GB"/>
        </w:rPr>
        <w:instrText xml:space="preserve"> ADDIN ZOTERO_ITEM CSL_CITATION {"citationID":"g8Tnrmgx","properties":{"formattedCitation":"(IPCC, 2021)","plainCitation":"(IPCC, 2021)","noteIndex":0},"citationItems":[{"id":29622,"uris":["http://zotero.org/groups/2352922/items/EHM5HDB3"],"itemData":{"id":29622,"type":"article-journal","container-title":"Cambridge University Press","DOI":"10.1017/9781009157896","title":"Climate Change 2021: The Physical Science Basis. Contribution of Working Group I to the Sixth Assessment Report of the Intergovernmental Panel on Climate Change","author":[{"literal":"IPCC"}],"contributor":[{"family":"Masson-Delmotte","given":"V."},{"family":"Zhai","given":"P."},{"family":"Pirani","given":"A."},{"family":"Connors","given":"S. L."},{"family":"Péan","given":"C."},{"family":"Berger","given":"S."},{"family":"Caud","given":"N."},{"family":"Chen","given":"Y."},{"family":"Goldfarb","given":"L."},{"family":"Gomis","given":"M. I."},{"family":"Huang","given":"M."},{"family":"Leitzell","given":"K."},{"family":"Lonnoy","given":"E."},{"family":"Matthews","given":"J. B. R."},{"family":"Maycock","given":"T. K."},{"family":"Waterfield","given":"T."},{"family":"Yelekçi","given":"O."},{"family":"Yu","given":"R."},{"family":"Zhou","given":"B."}],"issued":{"date-parts":[["2021"]]}}}],"schema":"https://github.com/citation-style-language/schema/raw/master/csl-citation.json"} </w:instrText>
      </w:r>
      <w:r w:rsidR="00922385" w:rsidRPr="00DA249F">
        <w:rPr>
          <w:lang w:val="en-GB"/>
        </w:rPr>
        <w:fldChar w:fldCharType="separate"/>
      </w:r>
      <w:r w:rsidR="00144D96" w:rsidRPr="00144D96">
        <w:t>(IPCC, 2021)</w:t>
      </w:r>
      <w:r w:rsidR="00922385" w:rsidRPr="00DA249F">
        <w:rPr>
          <w:lang w:val="en-GB"/>
        </w:rPr>
        <w:fldChar w:fldCharType="end"/>
      </w:r>
      <w:r w:rsidRPr="00DA249F">
        <w:rPr>
          <w:lang w:val="en-GB"/>
        </w:rPr>
        <w:t xml:space="preserve">. </w:t>
      </w:r>
      <w:r w:rsidR="00454403" w:rsidRPr="00DA249F">
        <w:rPr>
          <w:lang w:val="en-GB"/>
        </w:rPr>
        <w:t xml:space="preserve">Few studies explicitly link </w:t>
      </w:r>
      <w:r w:rsidR="001A509C" w:rsidRPr="00DA249F">
        <w:rPr>
          <w:lang w:val="en-GB"/>
        </w:rPr>
        <w:t xml:space="preserve">biological invasions to precipitation change, </w:t>
      </w:r>
      <w:r w:rsidR="0022001C" w:rsidRPr="00DA249F">
        <w:rPr>
          <w:lang w:val="en-GB"/>
        </w:rPr>
        <w:t>and</w:t>
      </w:r>
      <w:r w:rsidR="001A509C" w:rsidRPr="00DA249F">
        <w:rPr>
          <w:lang w:val="en-GB"/>
        </w:rPr>
        <w:t xml:space="preserve"> </w:t>
      </w:r>
      <w:r w:rsidR="0062793B" w:rsidRPr="00DA249F">
        <w:rPr>
          <w:lang w:val="en-GB"/>
        </w:rPr>
        <w:t xml:space="preserve">effects </w:t>
      </w:r>
      <w:r w:rsidR="00787C75">
        <w:rPr>
          <w:lang w:val="en-GB"/>
        </w:rPr>
        <w:t xml:space="preserve">of precipitation change </w:t>
      </w:r>
      <w:r w:rsidR="0063261E" w:rsidRPr="00DA249F">
        <w:rPr>
          <w:lang w:val="en-GB"/>
        </w:rPr>
        <w:t>may</w:t>
      </w:r>
      <w:r w:rsidR="0062793B" w:rsidRPr="00DA249F">
        <w:rPr>
          <w:lang w:val="en-GB"/>
        </w:rPr>
        <w:t xml:space="preserve"> </w:t>
      </w:r>
      <w:r w:rsidR="0063261E" w:rsidRPr="00DA249F">
        <w:rPr>
          <w:lang w:val="en-GB"/>
        </w:rPr>
        <w:t xml:space="preserve">relate </w:t>
      </w:r>
      <w:r w:rsidR="0022001C" w:rsidRPr="00DA249F">
        <w:rPr>
          <w:lang w:val="en-GB"/>
        </w:rPr>
        <w:t xml:space="preserve">both to water per se and </w:t>
      </w:r>
      <w:r w:rsidR="0063261E" w:rsidRPr="00DA249F">
        <w:rPr>
          <w:lang w:val="en-GB"/>
        </w:rPr>
        <w:t>to</w:t>
      </w:r>
      <w:r w:rsidR="0022001C" w:rsidRPr="00DA249F">
        <w:rPr>
          <w:lang w:val="en-GB"/>
        </w:rPr>
        <w:t xml:space="preserve"> consequences for</w:t>
      </w:r>
      <w:r w:rsidR="00F4735C" w:rsidRPr="00DA249F">
        <w:rPr>
          <w:lang w:val="en-GB"/>
        </w:rPr>
        <w:t xml:space="preserve"> disturbance regimes or dispersal</w:t>
      </w:r>
      <w:r w:rsidR="001A509C" w:rsidRPr="00DA249F">
        <w:rPr>
          <w:lang w:val="en-GB"/>
        </w:rPr>
        <w:t>.</w:t>
      </w:r>
      <w:r w:rsidR="00F4735C" w:rsidRPr="00DA249F">
        <w:rPr>
          <w:lang w:val="en-GB"/>
        </w:rPr>
        <w:t xml:space="preserve"> </w:t>
      </w:r>
      <w:r w:rsidR="0022001C" w:rsidRPr="00DA249F">
        <w:rPr>
          <w:lang w:val="en-GB"/>
        </w:rPr>
        <w:t xml:space="preserve">Precipitation extremes cause disturbances which can create open sites suitable for colonization, especially in and along streams where precipitation extremes may also be associated with increased propagule pressure, leading to increased risk of biological invasions </w:t>
      </w:r>
      <w:r w:rsidR="0022001C" w:rsidRPr="00DA249F">
        <w:rPr>
          <w:lang w:val="en-GB"/>
        </w:rPr>
        <w:fldChar w:fldCharType="begin"/>
      </w:r>
      <w:r w:rsidR="00331A79">
        <w:rPr>
          <w:lang w:val="en-GB"/>
        </w:rPr>
        <w:instrText xml:space="preserve"> ADDIN ZOTERO_ITEM CSL_CITATION {"citationID":"X7mk3WLx","properties":{"formattedCitation":"(Py\\uc0\\u353{}ek, Bacher, et al., 2010)","plainCitation":"(Pyšek, Bacher, et al., 2010)","noteIndex":0},"citationItems":[{"id":30371,"uris":["http://zotero.org/groups/2352922/items/UWXSMHMQ"],"itemData":{"id":30371,"type":"article-journal","abstract":"Aim To provide the first comparative overview on the current numbers of alien species that invade representative European terrestrial and freshwater habitats for a range of taxonomic groups. Location Europe. Methods Numbers of naturalized alien species of plants, insects, herptiles, birds and mammals occurring in 10 habitats defined according to the European Nature Information System (EUNIS) were obtained from 115 regional data sets. Only species introduced after ad 1500 were considered. Data were analysed by ANCOVA and regression trees to assess whether differences exist among taxonomic groups in terms of their habitat affinity, and whether the pattern of occurrence of alien species in European habitats interacts with macroecological factors such as insularity, latitude or area. Results The highest numbers of alien plant and insect species were found in human-made, urban or cultivated habitats; if controlled for habitat area in the region, wetland and riparian habitats appeared to support relatively high numbers of alien plant species too. Invasions by vertebrates were more evenly distributed among habitats, with aquatic and riparian, woodland and cultivated land most invaded. Mires, bogs and fens, grassland, heathland and scrub were generally less invaded. Habitat and taxonomic group explained most variation in the proportions of alien species occurring in individual habitats related to the total number of alien species in a region, and the basic pattern determined by these factors was fine-tuned by geographical variables, namely by the mainland–island contrast and latitude, and differed among taxonomic groups. Main conclusions There are two ecologically distinct groups of alien species (plants and insects versus vertebrates) with strikingly different habitat affinities. Invasions by these two contrasting groups are complementary in terms of habitat use, which makes an overall assessment of habitat invasions in Europe possible. Since numbers of naturalized species in habitats are correlated among taxa within these two groups, the data collected for one group of vertebrates, for example, could be used to estimate the habitat-specific numbers of alien species for other vertebrate groups with reasonable precision, and the same holds true for insects and plants.","container-title":"Global Ecology and Biogeography","DOI":"10.1111/j.1466-8238.2009.00514.x","ISSN":"1466-8238","issue":"3","language":"en","license":"© 2010 Blackwell Publishing Ltd","page":"317-331","source":"Wiley Online Library","title":"Contrasting patterns in the invasions of European terrestrial and freshwater habitats by alien plants, insects and vertebrates","URL":"https://onlinelibrary.wiley.com/doi/abs/10.1111/j.1466-8238.2009.00514.x","volume":"19","author":[{"family":"Pyšek","given":"Petr"},{"family":"Bacher","given":"Sven"},{"family":"Chytrý","given":"Milan"},{"family":"Jarošík","given":"Vojtěch"},{"family":"Wild","given":"Jan"},{"family":"Celes</w:instrText>
      </w:r>
      <w:r w:rsidR="00331A79">
        <w:rPr>
          <w:rFonts w:hint="eastAsia"/>
          <w:lang w:val="en-GB"/>
        </w:rPr>
        <w:instrText>ti</w:instrText>
      </w:r>
      <w:r w:rsidR="00331A79">
        <w:rPr>
          <w:rFonts w:hint="eastAsia"/>
          <w:lang w:val="en-GB"/>
        </w:rPr>
        <w:instrText>‐</w:instrText>
      </w:r>
      <w:r w:rsidR="00331A79">
        <w:rPr>
          <w:rFonts w:hint="eastAsia"/>
          <w:lang w:val="en-GB"/>
        </w:rPr>
        <w:instrText>Grapow","given":"Laura"},{"family":"Gassó","given":"Núria"},{"family":"Kenis","given":"Marc"},{"family":"Lambdon","given":"Philip W."},{"family":"Nentwig","given":"Wolfgang"},{"family":"Pergl","given":"Jan"},{"family":"Roques","given":"Alain"},{"family</w:instrText>
      </w:r>
      <w:r w:rsidR="00331A79">
        <w:rPr>
          <w:lang w:val="en-GB"/>
        </w:rPr>
        <w:instrText xml:space="preserve">":"Sádlo","given":"Jiří"},{"family":"Solarz","given":"Wojciech"},{"family":"Vilà","given":"Montserrat"},{"family":"Hulme","given":"Philip E."}],"accessed":{"date-parts":[["2019",9,25]]},"issued":{"date-parts":[["2010"]]}},"label":"page"}],"schema":"https://github.com/citation-style-language/schema/raw/master/csl-citation.json"} </w:instrText>
      </w:r>
      <w:r w:rsidR="0022001C" w:rsidRPr="00DA249F">
        <w:rPr>
          <w:lang w:val="en-GB"/>
        </w:rPr>
        <w:fldChar w:fldCharType="separate"/>
      </w:r>
      <w:r w:rsidR="00144D96" w:rsidRPr="00144D96">
        <w:rPr>
          <w:szCs w:val="24"/>
        </w:rPr>
        <w:t>(Pyšek, Bacher, et al., 2010)</w:t>
      </w:r>
      <w:r w:rsidR="0022001C" w:rsidRPr="00DA249F">
        <w:rPr>
          <w:lang w:val="en-GB"/>
        </w:rPr>
        <w:fldChar w:fldCharType="end"/>
      </w:r>
      <w:r w:rsidR="0022001C" w:rsidRPr="00DA249F">
        <w:rPr>
          <w:lang w:val="en-GB"/>
        </w:rPr>
        <w:t xml:space="preserve">. </w:t>
      </w:r>
      <w:r w:rsidR="00F4735C" w:rsidRPr="00DA249F">
        <w:rPr>
          <w:lang w:val="en-GB"/>
        </w:rPr>
        <w:t>For example, drought and changes in flow regimes of rivers and streams (</w:t>
      </w:r>
      <w:r w:rsidR="00787C75">
        <w:rPr>
          <w:lang w:val="en-GB"/>
        </w:rPr>
        <w:t>which are</w:t>
      </w:r>
      <w:r w:rsidR="00F4735C" w:rsidRPr="00DA249F">
        <w:rPr>
          <w:lang w:val="en-GB"/>
        </w:rPr>
        <w:t xml:space="preserve"> of relevance for precipitation change) </w:t>
      </w:r>
      <w:r w:rsidR="00CE1E84" w:rsidRPr="00DA249F">
        <w:rPr>
          <w:lang w:val="en-GB"/>
        </w:rPr>
        <w:t>can</w:t>
      </w:r>
      <w:r w:rsidR="00F4735C" w:rsidRPr="00DA249F">
        <w:rPr>
          <w:lang w:val="en-GB"/>
        </w:rPr>
        <w:t xml:space="preserve"> facilitate </w:t>
      </w:r>
      <w:r w:rsidR="00C625D5" w:rsidRPr="00DA249F">
        <w:rPr>
          <w:lang w:val="en-GB"/>
        </w:rPr>
        <w:t>the spread of</w:t>
      </w:r>
      <w:r w:rsidR="00F4735C" w:rsidRPr="00DA249F">
        <w:rPr>
          <w:lang w:val="en-GB"/>
        </w:rPr>
        <w:t xml:space="preserve"> invasive alien plant species along streams</w:t>
      </w:r>
      <w:r w:rsidR="000E76A6" w:rsidRPr="00DA249F">
        <w:rPr>
          <w:lang w:val="en-GB"/>
        </w:rPr>
        <w:t xml:space="preserve"> in Europe</w:t>
      </w:r>
      <w:r w:rsidR="00F4735C" w:rsidRPr="00DA249F">
        <w:rPr>
          <w:lang w:val="en-GB"/>
        </w:rPr>
        <w:t xml:space="preserve">, both directly and through negatively affecting the native plant community </w:t>
      </w:r>
      <w:r w:rsidR="00F4735C" w:rsidRPr="00DA249F">
        <w:rPr>
          <w:lang w:val="en-GB"/>
        </w:rPr>
        <w:fldChar w:fldCharType="begin"/>
      </w:r>
      <w:r w:rsidR="00331A79">
        <w:rPr>
          <w:lang w:val="en-GB"/>
        </w:rPr>
        <w:instrText xml:space="preserve"> ADDIN ZOTERO_ITEM CSL_CITATION {"citationID":"JZhrKSv8","properties":{"formattedCitation":"(Catford et al., 2011, 2014)","plainCitation":"(Catford et al., 2011, 2014)","noteIndex":0},"citationItems":[{"id":32412,"uris":["http://zotero.org/groups/2352922/items/BB3KS8CT"],"itemData":{"id":32412,"type":"article-journal","container-title":"Journal of Applied Ecology","DOI":"10.1111/j.1365-2664.2010.01945.x","ISSN":"00218901","issue":"2","language":"en","page":"432-442","source":"DOI.org (Crossref)","title":"Flow regulation reduces native plant cover and facilitates exotic invasion in riparian wetlands","title-short":"Flow regulation reduces native plant cover and facilitates exotic invasion in riparian wetlands","URL":"http://doi.wiley.com/10.1111/j.1365-2664.2010.01945.x","volume":"48","author":[{"family":"Catford","given":"Jane A."},{"family":"Downes","given":"Barbara J."},{"family":"Gippel","given":"Christopher J."},{"family":"Vesk","given":"Peter A."}],"accessed":{"date-parts":[["2021",2,9]]},"issued":{"date-parts":[["2011",4]]}},"label":"page"},{"id":25320,"uris":["http://zotero.org/groups/2352922/items/RFZJRAIP"],"itemData":{"id":25320,"type":"article-journal","abstract":"Aim Many factors facilitate biological invasions, making it difficult to determine their relative importance, especially when relying on survey data that include confounded variables. Incorporating information about species characteristics can improve inferences drawn from species–environment relationships, which can inform management. We seek to understand why the abundance of exotic, and not native, terrestrial plants is higher in riparian wetlands most impacted by flow regulation. Location River Murray, SE Australia. Methods We use variance components analysis and hierarchical generalised linear models to examine whether the positive relationship between flow regulation and proportional cover of exotic plants is driven by altered hydrological regimes, wetland drying and drought, superior colonisation ability of exotic species following disturbance or human-increased propagule pressure. Results Of the four hypotheses, hydrological modification (indicated by flood magnitude) most likely drives invasion. Flow regulation may inhibit native species adapted to the historical hydrological regime, facilitating exotic species with different environmental ranges. A symptom of environmental change, invasion may have been exacerbated by drought, although it is unclear why. There was no indication that human-increased propagule pressure or colonisation ability facilitated invasion. Exotic cover was unrelated to proximity to towns, recent flood frequency and cattle grazing intensity. Additionally, similar proportions of exotic and native species were used in cultivation and, despite a higher proportion of exotics being known weeds, weed status was unrelated to exotic species occupancy. Overall, colonisation ability was unrelated to species' origin or response to water depth and hydrological change. Although exotics had higher specific leaf area and shorter longevity (indicative of higher colonisation ability), they had heavier (not lighter) seeds and did not differ in height from natives. Main conclusions Using environmental flows to reinstate mid-range floods and augmenting the propagule supply of native species with characteristics suitable for modified conditions may help limit invasion in these wetlands.","container-title":"Diversity and Distributions","DOI":"https://doi.org/10.1111/ddi.12225","ISSN":"1472-4642","issue":"9","language":"en","license":"© 2014 John Wiley &amp; Sons Ltd","page":"1084-1096","source":"Wiley Online Library","title":"Species and environmental characteristics point to flow regulation and drought as drivers of riparian plant invasion","URL":"https://onlinelibrary.wiley.com/doi/abs/10.1111/ddi.12225","volume":"20","author":[{"family":"Catford","given":"Jane A."},{"family":"Morris","given":"William K."},{"family":"Vesk","given":"Peter A."},{"family":"Gippel","given":"Christopher J."},{"family":"Downes","given":"Barbara J."}],"accessed":{"date-parts":[["2021",4,12]]},"issued":{"date-parts":[["2014"]]}},"label":"page"}],"schema":"https://github.com/citation-style-language/schema/raw/master/csl-citation.json"} </w:instrText>
      </w:r>
      <w:r w:rsidR="00F4735C" w:rsidRPr="00DA249F">
        <w:rPr>
          <w:lang w:val="en-GB"/>
        </w:rPr>
        <w:fldChar w:fldCharType="separate"/>
      </w:r>
      <w:r w:rsidR="00144D96" w:rsidRPr="00144D96">
        <w:t>(Catford et al., 2011, 2014)</w:t>
      </w:r>
      <w:r w:rsidR="00F4735C" w:rsidRPr="00DA249F">
        <w:rPr>
          <w:lang w:val="en-GB"/>
        </w:rPr>
        <w:fldChar w:fldCharType="end"/>
      </w:r>
      <w:r w:rsidR="00F4735C" w:rsidRPr="00DA249F">
        <w:rPr>
          <w:lang w:val="en-GB"/>
        </w:rPr>
        <w:t xml:space="preserve">. </w:t>
      </w:r>
      <w:r w:rsidR="0022001C" w:rsidRPr="00DA249F">
        <w:rPr>
          <w:rFonts w:eastAsia="Times New Roman"/>
          <w:lang w:val="en-GB"/>
        </w:rPr>
        <w:t>As another example</w:t>
      </w:r>
      <w:r w:rsidR="00853F1E" w:rsidRPr="00DA249F">
        <w:rPr>
          <w:rFonts w:eastAsia="Times New Roman"/>
          <w:lang w:val="en-GB"/>
        </w:rPr>
        <w:t xml:space="preserve">, </w:t>
      </w:r>
      <w:r w:rsidR="0063261E" w:rsidRPr="00DA249F">
        <w:rPr>
          <w:rFonts w:eastAsia="Times New Roman"/>
          <w:lang w:val="en-GB"/>
        </w:rPr>
        <w:t xml:space="preserve">invasive </w:t>
      </w:r>
      <w:r w:rsidR="00C625D5" w:rsidRPr="00DA249F">
        <w:rPr>
          <w:rFonts w:eastAsia="Times New Roman"/>
          <w:lang w:val="en-GB"/>
        </w:rPr>
        <w:t xml:space="preserve">alien </w:t>
      </w:r>
      <w:r w:rsidR="00853F1E" w:rsidRPr="00DA249F">
        <w:rPr>
          <w:rFonts w:eastAsia="Times New Roman"/>
          <w:lang w:val="en-GB"/>
        </w:rPr>
        <w:t xml:space="preserve">European </w:t>
      </w:r>
      <w:r w:rsidR="00853F1E" w:rsidRPr="00DA249F">
        <w:rPr>
          <w:rFonts w:eastAsia="Times New Roman"/>
          <w:i/>
          <w:iCs/>
          <w:lang w:val="en-GB"/>
        </w:rPr>
        <w:t>Bromus</w:t>
      </w:r>
      <w:r w:rsidR="00853F1E" w:rsidRPr="00DA249F">
        <w:rPr>
          <w:rFonts w:eastAsia="Times New Roman"/>
          <w:lang w:val="en-GB"/>
        </w:rPr>
        <w:t xml:space="preserve"> spp. grasses in North America can exploit available soil moisture more efficiently and thus recover more rapidly than native vegetation after drought enabling them to invade areas formerly dominated by native woody species </w:t>
      </w:r>
      <w:r w:rsidR="005E5283" w:rsidRPr="00DA249F">
        <w:rPr>
          <w:rFonts w:eastAsia="Times New Roman"/>
          <w:lang w:val="en-GB"/>
        </w:rPr>
        <w:t xml:space="preserve">following periods of drought </w:t>
      </w:r>
      <w:r w:rsidR="00853F1E" w:rsidRPr="00DA249F">
        <w:rPr>
          <w:rFonts w:eastAsia="Times New Roman"/>
          <w:lang w:val="en-GB"/>
        </w:rPr>
        <w:fldChar w:fldCharType="begin"/>
      </w:r>
      <w:r w:rsidR="00331A79">
        <w:rPr>
          <w:rFonts w:eastAsia="Times New Roman"/>
          <w:lang w:val="en-GB"/>
        </w:rPr>
        <w:instrText xml:space="preserve"> ADDIN ZOTERO_ITEM CSL_CITATION {"citationID":"1VFPgaKS","properties":{"formattedCitation":"(Ricciardi et al., 2020)","plainCitation":"(Ricciardi et al., 2020)","noteIndex":0},"citationItems":[{"id":53334,"uris":["http://zotero.org/groups/2352922/items/U5KMFVF6"],"itemData":{"id":53334,"type":"article-journal","container-title":"Environmental Reviews","DOI":"10.1139/er-2020-0088","ISSN":"1181-8700","issue":"2","journalAbbreviation":"Environ. Rev.","note":"publisher: NRC Research Press","page":"119-141","source":"cdnsciencepub.com (Atypon)","title":"Four priority areas to advance invasion science in the face of rapid environmental change","URL":"https://cdnsciencepub.com/doi/full/10.1139/er-2020-0088","volume":"29","author":[{"family":"Ricciardi","given":"Anthony"},{"family":"Iacarella","given":"Josephine C."},{"family":"Aldridge","given":"David C."},{"family":"Blackburn","given":"Tim M."},{"family":"Carlton","given":"James T."},{"family":"Catford","given":"Jane A."},{"family":"Dick","given":"Jaimie T.A."},{"family":"Hulme","given":"Philip E."},{"family":"Jeschke","given":"Jonathan M."},{"family":"Liebhold","given":"Andrew M."},{"family":"Lockwood","given":"Julie L."},{"family":"MacIsaac","given":"Hugh J."},{"family":"Meyerson","given":"Laura A."},{"family":"Pyšek","given":"Petr"},{"family":"Richardson","given":"David M."},{"family":"Ruiz","given":"Gregory M."},{"family":"Simberloff","given":"Daniel"},{"family":"Vilà","given":"Montserrat"},{"family":"Wardle","given":"David A."}],"accessed":{"date-parts":[["2022",9,21]]},"issued":{"date-parts":[["2020"]]}},"label":"page"}],"schema":"https://github.com/citation-style-language/schema/raw/master/csl-citation.json"} </w:instrText>
      </w:r>
      <w:r w:rsidR="00853F1E" w:rsidRPr="00DA249F">
        <w:rPr>
          <w:rFonts w:eastAsia="Times New Roman"/>
          <w:lang w:val="en-GB"/>
        </w:rPr>
        <w:fldChar w:fldCharType="separate"/>
      </w:r>
      <w:r w:rsidR="00536538" w:rsidRPr="00536538">
        <w:t>(Ricciardi et al., 2020)</w:t>
      </w:r>
      <w:r w:rsidR="00853F1E" w:rsidRPr="00DA249F">
        <w:rPr>
          <w:rFonts w:eastAsia="Times New Roman"/>
          <w:lang w:val="en-GB"/>
        </w:rPr>
        <w:fldChar w:fldCharType="end"/>
      </w:r>
      <w:r w:rsidR="00853F1E" w:rsidRPr="00DA249F">
        <w:rPr>
          <w:rFonts w:eastAsia="Times New Roman"/>
          <w:lang w:val="en-GB"/>
        </w:rPr>
        <w:t>.</w:t>
      </w:r>
      <w:r w:rsidR="00853F1E" w:rsidRPr="00DA249F">
        <w:rPr>
          <w:lang w:val="en-GB"/>
        </w:rPr>
        <w:t xml:space="preserve"> </w:t>
      </w:r>
      <w:r w:rsidR="005E001C" w:rsidRPr="00DA249F">
        <w:rPr>
          <w:lang w:val="en-GB"/>
        </w:rPr>
        <w:t xml:space="preserve">Precipitation changes may interact with temperature changes in </w:t>
      </w:r>
      <w:r w:rsidR="005E001C" w:rsidRPr="00DA249F">
        <w:rPr>
          <w:lang w:val="en-GB"/>
        </w:rPr>
        <w:lastRenderedPageBreak/>
        <w:t xml:space="preserve">affecting </w:t>
      </w:r>
      <w:r w:rsidR="00670D6B" w:rsidRPr="00DA249F">
        <w:rPr>
          <w:lang w:val="en-GB"/>
        </w:rPr>
        <w:t>future ranges of invasive alien species</w:t>
      </w:r>
      <w:r w:rsidR="005E001C" w:rsidRPr="00DA249F">
        <w:rPr>
          <w:lang w:val="en-GB"/>
        </w:rPr>
        <w:t xml:space="preserve">. </w:t>
      </w:r>
      <w:r w:rsidR="00405516" w:rsidRPr="00DA249F">
        <w:rPr>
          <w:lang w:val="en-GB"/>
        </w:rPr>
        <w:t xml:space="preserve">For example, the potential </w:t>
      </w:r>
      <w:r w:rsidR="00082D78" w:rsidRPr="00DA249F">
        <w:rPr>
          <w:lang w:val="en-GB"/>
        </w:rPr>
        <w:t>invaded</w:t>
      </w:r>
      <w:r w:rsidR="007830F3" w:rsidRPr="00DA249F">
        <w:rPr>
          <w:lang w:val="en-GB"/>
        </w:rPr>
        <w:t xml:space="preserve"> </w:t>
      </w:r>
      <w:r w:rsidR="00405516" w:rsidRPr="00DA249F">
        <w:rPr>
          <w:lang w:val="en-GB"/>
        </w:rPr>
        <w:t xml:space="preserve">range of </w:t>
      </w:r>
      <w:r w:rsidR="00405516" w:rsidRPr="00DA249F">
        <w:rPr>
          <w:i/>
          <w:iCs/>
          <w:lang w:val="en-GB"/>
        </w:rPr>
        <w:t>Bactrocera dorsalis</w:t>
      </w:r>
      <w:r w:rsidR="00405516" w:rsidRPr="00DA249F">
        <w:rPr>
          <w:lang w:val="en-GB"/>
        </w:rPr>
        <w:t xml:space="preserve"> (</w:t>
      </w:r>
      <w:r w:rsidR="00764468" w:rsidRPr="00DA249F">
        <w:rPr>
          <w:lang w:val="en-GB"/>
        </w:rPr>
        <w:t>O</w:t>
      </w:r>
      <w:r w:rsidR="0031419F" w:rsidRPr="00DA249F">
        <w:rPr>
          <w:lang w:val="en-GB"/>
        </w:rPr>
        <w:t>riental fruit fly</w:t>
      </w:r>
      <w:r w:rsidR="00405516" w:rsidRPr="00DA249F">
        <w:rPr>
          <w:lang w:val="en-GB"/>
        </w:rPr>
        <w:t>),</w:t>
      </w:r>
      <w:r w:rsidR="0031419F" w:rsidRPr="00DA249F">
        <w:rPr>
          <w:lang w:val="en-GB"/>
        </w:rPr>
        <w:t xml:space="preserve"> </w:t>
      </w:r>
      <w:r w:rsidR="007830F3" w:rsidRPr="00DA249F">
        <w:rPr>
          <w:lang w:val="en-GB"/>
        </w:rPr>
        <w:t xml:space="preserve">a major pest throughout South East Asia that has </w:t>
      </w:r>
      <w:r w:rsidR="00BD5E16" w:rsidRPr="00DA249F">
        <w:rPr>
          <w:lang w:val="en-GB"/>
        </w:rPr>
        <w:t xml:space="preserve">invaded (and been eradicated from) </w:t>
      </w:r>
      <w:r w:rsidR="007830F3" w:rsidRPr="00DA249F">
        <w:rPr>
          <w:lang w:val="en-GB"/>
        </w:rPr>
        <w:t xml:space="preserve">a number of Pacific Islands </w:t>
      </w:r>
      <w:r w:rsidR="009D41AE" w:rsidRPr="00DA249F">
        <w:rPr>
          <w:lang w:val="en-GB"/>
        </w:rPr>
        <w:t xml:space="preserve">and mainland areas in North America </w:t>
      </w:r>
      <w:r w:rsidR="003E453F" w:rsidRPr="00DA249F">
        <w:rPr>
          <w:lang w:val="en-GB"/>
        </w:rPr>
        <w:t xml:space="preserve">and elsewhere </w:t>
      </w:r>
      <w:r w:rsidR="00405516" w:rsidRPr="00DA249F">
        <w:rPr>
          <w:lang w:val="en-GB"/>
        </w:rPr>
        <w:t xml:space="preserve">is projected to extend further polewards as cold stress boundaries recede, </w:t>
      </w:r>
      <w:r w:rsidR="00A0777A" w:rsidRPr="00DA249F">
        <w:rPr>
          <w:lang w:val="en-GB"/>
        </w:rPr>
        <w:t>but</w:t>
      </w:r>
      <w:r w:rsidR="00405516" w:rsidRPr="00DA249F">
        <w:rPr>
          <w:lang w:val="en-GB"/>
        </w:rPr>
        <w:t xml:space="preserve"> </w:t>
      </w:r>
      <w:r w:rsidR="005E001C" w:rsidRPr="00DA249F">
        <w:rPr>
          <w:lang w:val="en-GB"/>
        </w:rPr>
        <w:t xml:space="preserve">also </w:t>
      </w:r>
      <w:r w:rsidR="00405516" w:rsidRPr="00DA249F">
        <w:rPr>
          <w:lang w:val="en-GB"/>
        </w:rPr>
        <w:t>contract in areas where precipitation decreas</w:t>
      </w:r>
      <w:r w:rsidR="00A0777A" w:rsidRPr="00DA249F">
        <w:rPr>
          <w:lang w:val="en-GB"/>
        </w:rPr>
        <w:t>es</w:t>
      </w:r>
      <w:r w:rsidR="00405516" w:rsidRPr="00DA249F">
        <w:rPr>
          <w:lang w:val="en-GB"/>
        </w:rPr>
        <w:t xml:space="preserve"> substantially</w:t>
      </w:r>
      <w:r w:rsidR="00A94C0C" w:rsidRPr="00DA249F">
        <w:rPr>
          <w:lang w:val="en-GB"/>
        </w:rPr>
        <w:t xml:space="preserve"> </w:t>
      </w:r>
      <w:r w:rsidR="00C0378B" w:rsidRPr="00DA249F">
        <w:rPr>
          <w:lang w:val="en-GB"/>
        </w:rPr>
        <w:fldChar w:fldCharType="begin"/>
      </w:r>
      <w:r w:rsidR="00331A79">
        <w:rPr>
          <w:lang w:val="en-GB"/>
        </w:rPr>
        <w:instrText xml:space="preserve"> ADDIN ZOTERO_ITEM CSL_CITATION {"citationID":"8YgCb79J","properties":{"formattedCitation":"(Stephens et al., 2007)","plainCitation":"(Stephens et al., 2007)","noteIndex":0},"citationItems":[{"id":23729,"uris":["http://zotero.org/groups/2352922/items/CE3QWEIF"],"itemData":{"id":23729,"type":"article-journal","abstract":"Abstract\n            \n              The oriental fruit fly,\n              Bactrocera dorsalis\n              (Hendel), is a major pest throughout South East Asia and in a number of Pacific Islands. As a result of their widespread distribution, pest status, invasive ability and potential impact on market access,\n              B. dorsalis\n              and many other fruit fly species are considered major threats to many countries. CLIMEX™ was used to model the potential global distribution of\n              B. dorsalis\n              under current and future climate scenarios. Under current climatic conditions, its projected potential distribution includes much of the tropics and subtropics and extends into warm temperate areas such as southern Mediterranean Europe. The model projects optimal climatic conditions for\n              B. dorsalis\n              in the south-eastern USA, where the principle range-limiting factor is likely to be cold stress. As a result of climate change, the potential global range for\n              B. dorsalis\n              is projected to extend further polewards as cold stress boundaries recede. However, the potential range contracts in areas where precipitation is projected to decrease substantially. The significant increases in the potential distribution of\n              B. dorsalis\n              projected under the climate change scenarios suggest that the World Trade Organization should allow biosecurity authorities to consider the effects of climate change when undertaking pest risk assessments. One of the most significant areas of uncertainty in climate change concerns the greenhouse gas emissions scenarios. Results are provided that span the range of standard Intergovernmental Panel on Climate Change scenarios. The impact on the projected distribution of\n              B. dorsalis\n              is striking, but affects the relative abundance of the fly within the total suitable range more than the total area of climatically suitable habitat.","container-title":"Bulletin of Entomological Research","DOI":"10.1017/S0007485307005044","ISSN":"0007-4853, 1475-2670","issue":"4","journalAbbreviation":"Bull. Entomol. Res.","language":"en","page":"369-378","source":"DOI.org (Crossref)","title":"The current and future potential geographical distribution of the oriental fruit fly, &lt;i&gt;Bactrocera dorsalis&lt;/i&gt; (Diptera: Tephritidae)","title-short":"The current and future potential geographical distribution of the oriental fruit fly, &lt;i&gt;Bactrocera dorsalis&lt;/i&gt; (Diptera","URL":"https://www.cambridge.org/core/product/identifier/S0007485307005044/type/journal_article","volume":"97","author":[{"family":"Stephens","given":"A.E.A."},{"family":"Kriticos","given":"D.J."},{"family":"Leriche","given":"A."}],"accessed":{"date-parts":[["2020",8,21]]},"issued":{"date-parts":[["2007",8]]}},"label":"page"}],"schema":"https://github.com/citation-style-language/schema/raw/master/csl-citation.json"} </w:instrText>
      </w:r>
      <w:r w:rsidR="00C0378B" w:rsidRPr="00DA249F">
        <w:rPr>
          <w:lang w:val="en-GB"/>
        </w:rPr>
        <w:fldChar w:fldCharType="separate"/>
      </w:r>
      <w:r w:rsidR="00144D96" w:rsidRPr="00144D96">
        <w:t>(Stephens et al., 2007)</w:t>
      </w:r>
      <w:r w:rsidR="00C0378B" w:rsidRPr="00DA249F">
        <w:rPr>
          <w:lang w:val="en-GB"/>
        </w:rPr>
        <w:fldChar w:fldCharType="end"/>
      </w:r>
      <w:r w:rsidR="00405516" w:rsidRPr="00DA249F">
        <w:rPr>
          <w:lang w:val="en-GB"/>
        </w:rPr>
        <w:t xml:space="preserve">. </w:t>
      </w:r>
      <w:r w:rsidR="00D42664" w:rsidRPr="00DA249F">
        <w:rPr>
          <w:lang w:val="en-GB"/>
        </w:rPr>
        <w:t>In</w:t>
      </w:r>
      <w:r w:rsidR="007736A7" w:rsidRPr="00DA249F">
        <w:rPr>
          <w:lang w:val="en-GB"/>
        </w:rPr>
        <w:t xml:space="preserve"> North America</w:t>
      </w:r>
      <w:r w:rsidR="00D42664" w:rsidRPr="00DA249F">
        <w:rPr>
          <w:lang w:val="en-GB"/>
        </w:rPr>
        <w:t xml:space="preserve">, concurrent </w:t>
      </w:r>
      <w:r w:rsidR="007736A7" w:rsidRPr="00DA249F">
        <w:rPr>
          <w:lang w:val="en-GB"/>
        </w:rPr>
        <w:t>changes</w:t>
      </w:r>
      <w:r w:rsidR="1C4FF875" w:rsidRPr="00DA249F">
        <w:rPr>
          <w:lang w:val="en-GB"/>
        </w:rPr>
        <w:t xml:space="preserve"> in precipitation and temperature </w:t>
      </w:r>
      <w:r w:rsidR="00D42664" w:rsidRPr="00DA249F">
        <w:rPr>
          <w:lang w:val="en-GB"/>
        </w:rPr>
        <w:t xml:space="preserve">are projected to extend </w:t>
      </w:r>
      <w:r w:rsidR="1C4FF875" w:rsidRPr="00DA249F">
        <w:rPr>
          <w:lang w:val="en-GB"/>
        </w:rPr>
        <w:t xml:space="preserve">the </w:t>
      </w:r>
      <w:r w:rsidR="00D42664" w:rsidRPr="00DA249F">
        <w:rPr>
          <w:lang w:val="en-GB"/>
        </w:rPr>
        <w:t xml:space="preserve">potential </w:t>
      </w:r>
      <w:r w:rsidR="1C4FF875" w:rsidRPr="00DA249F">
        <w:rPr>
          <w:lang w:val="en-GB"/>
        </w:rPr>
        <w:t xml:space="preserve">invaded range for many invasive </w:t>
      </w:r>
      <w:r w:rsidR="003D1BA7" w:rsidRPr="00DA249F">
        <w:rPr>
          <w:lang w:val="en-GB"/>
        </w:rPr>
        <w:t xml:space="preserve">alien </w:t>
      </w:r>
      <w:r w:rsidR="1C4FF875" w:rsidRPr="00DA249F">
        <w:rPr>
          <w:lang w:val="en-GB"/>
        </w:rPr>
        <w:t xml:space="preserve">species </w:t>
      </w:r>
      <w:r w:rsidR="00D42664" w:rsidRPr="00DA249F">
        <w:rPr>
          <w:lang w:val="en-GB"/>
        </w:rPr>
        <w:t xml:space="preserve">of </w:t>
      </w:r>
      <w:r w:rsidR="1C4FF875" w:rsidRPr="00DA249F">
        <w:rPr>
          <w:lang w:val="en-GB"/>
        </w:rPr>
        <w:t xml:space="preserve">forest ecosystems </w:t>
      </w:r>
      <w:r w:rsidR="7B889C19" w:rsidRPr="00DA249F">
        <w:rPr>
          <w:lang w:val="en-GB"/>
        </w:rPr>
        <w:fldChar w:fldCharType="begin"/>
      </w:r>
      <w:r w:rsidR="00331A79">
        <w:rPr>
          <w:lang w:val="en-GB"/>
        </w:rPr>
        <w:instrText xml:space="preserve"> ADDIN ZOTERO_ITEM CSL_CITATION {"citationID":"h9SE3smM","properties":{"formattedCitation":"(Dukes et al., 2009)","plainCitation":"(Dukes et al., 2009)","noteIndex":0},"citationItems":[{"id":23733,"uris":["http://zotero.org/groups/2352922/items/YUBPX6LJ"],"itemData":{"id":23733,"type":"article-journal","abstract":"Climate models project that by 2100, the northeastern US and eastern Canada will warm by approximately 3–5 °C, with increased winter precipitation. These changes will affect trees directly and also indirectly through effects on “nuisance” species, such as insect pests, pathogens, and invasive plants. We review how basic ecological principles can be used to predict nuisance species’ responses to climate change and how this is likely to impact northeastern forests. We then examine in detail the potential responses of two pest species (hemlock woolly adelgid ( Adelges tsugae Annand) and forest tent caterpillar ( Malacosoma disstria Hubner)), two pathogens (armillaria root rot ( Armillaria spp.) and beech bark disease ( Cryptococcus fagisuga Lind. + Neonectria spp.)), and two invasive plant species (glossy buckthorn ( Frangula alnus Mill.) and oriental bittersweet ( Celastrus orbiculatus Thunb.)). Several of these species are likely to have stronger or more widespread effects on forest composition and structure under the projected climate. However, uncertainty pervades our predictions because we lack adequate data on the species and because some species depend on complex, incompletely understood, unstable relationships. While targeted research will increase our confidence in making predictions, some uncertainty will always persist. Therefore, we encourage policies that allow for this uncertainty by considering a wide range of possible scenarios.","container-title":"Canadian Journal of Forest Research","DOI":"10.1139/X08-171","ISSN":"0045-5067, 1208-6037","issue":"2","journalAbbreviation":"Can. J. For. Res.","language":"en","page":"231-248","source":"DOI.org (Crossref)","title":"Responses of insect pests, pathogens, and invasive plant species to climate change in the forests of northeastern North America: What can we predict?","title-short":"Responses of insect pests, pathogens, and invasive plant species to climate change in the forests of northeastern North America","URL":"http://www.nrcresearchpress.com/doi/10.1139/X08-171","volume":"39","author":[{"family":"Dukes","given":"Jeffrey S."},{"family":"Pontius","given":"Jennifer"},{"family":"Orwig","given":"David"},{"family":"Garnas","given":"Jeffrey R."},{"family":"Rodgers","given":"Vikki L."},{"family":"Brazee","given":"Nicholas"},{"family":"Cooke","given":"Barry"},{"family":"Theoharides","given":"Kathleen A."},{"family":"Stange","given":"Erik E."},{"family":"Harrington","given":"Robin"},{"family":"Ehrenfeld","given":"Joan"},{"family":"Gurevitch","given":"Jessica"},{"family":"Lerdau","given":"Manuel"},{"family":"Stinson","given":"Kristina"},{"family":"Wick","given":"Robert"},{"family":"Ayres","given":"Matthew"}],"accessed":{"date-parts":[["2020",8,21]]},"issued":{"date-parts":[["2009",2]]}},"label":"page"}],"schema":"https://github.com/citation-style-language/schema/raw/master/csl-citation.json"} </w:instrText>
      </w:r>
      <w:r w:rsidR="7B889C19" w:rsidRPr="00DA249F">
        <w:rPr>
          <w:lang w:val="en-GB"/>
        </w:rPr>
        <w:fldChar w:fldCharType="separate"/>
      </w:r>
      <w:r w:rsidR="00144D96" w:rsidRPr="00144D96">
        <w:t>(Dukes et al., 2009)</w:t>
      </w:r>
      <w:r w:rsidR="7B889C19" w:rsidRPr="00DA249F">
        <w:rPr>
          <w:lang w:val="en-GB"/>
        </w:rPr>
        <w:fldChar w:fldCharType="end"/>
      </w:r>
      <w:r w:rsidR="1C4FF875" w:rsidRPr="00DA249F">
        <w:rPr>
          <w:lang w:val="en-GB"/>
        </w:rPr>
        <w:t xml:space="preserve">. </w:t>
      </w:r>
      <w:r w:rsidR="00D42664" w:rsidRPr="00DA249F">
        <w:rPr>
          <w:lang w:val="en-GB"/>
        </w:rPr>
        <w:t xml:space="preserve">In particular, </w:t>
      </w:r>
      <w:r w:rsidR="00871D27" w:rsidRPr="00DA249F">
        <w:rPr>
          <w:lang w:val="en-GB"/>
        </w:rPr>
        <w:t xml:space="preserve">forest </w:t>
      </w:r>
      <w:r w:rsidR="002D57A5" w:rsidRPr="00DA249F">
        <w:rPr>
          <w:lang w:val="en-GB"/>
        </w:rPr>
        <w:t>f</w:t>
      </w:r>
      <w:r w:rsidR="00853F1E" w:rsidRPr="00DA249F">
        <w:rPr>
          <w:lang w:val="en-GB"/>
        </w:rPr>
        <w:t xml:space="preserve">ungal pathogens </w:t>
      </w:r>
      <w:r w:rsidR="006C4C61" w:rsidRPr="00DA249F">
        <w:rPr>
          <w:lang w:val="en-GB"/>
        </w:rPr>
        <w:t>in Europe (123</w:t>
      </w:r>
      <w:r w:rsidR="00EA65A0" w:rsidRPr="00DA249F">
        <w:rPr>
          <w:lang w:val="en-GB"/>
        </w:rPr>
        <w:t xml:space="preserve"> taxa, of which 42 </w:t>
      </w:r>
      <w:r w:rsidR="00871D27" w:rsidRPr="00DA249F">
        <w:rPr>
          <w:lang w:val="en-GB"/>
        </w:rPr>
        <w:t xml:space="preserve">per cent </w:t>
      </w:r>
      <w:r w:rsidR="00EA65A0" w:rsidRPr="00DA249F">
        <w:rPr>
          <w:lang w:val="en-GB"/>
        </w:rPr>
        <w:t xml:space="preserve">are </w:t>
      </w:r>
      <w:r w:rsidR="00A276F2" w:rsidRPr="00DA249F">
        <w:rPr>
          <w:lang w:val="en-GB"/>
        </w:rPr>
        <w:t xml:space="preserve">considered to be </w:t>
      </w:r>
      <w:r w:rsidR="00871D27" w:rsidRPr="00DA249F">
        <w:rPr>
          <w:lang w:val="en-GB"/>
        </w:rPr>
        <w:t>alien</w:t>
      </w:r>
      <w:r w:rsidR="00A276F2" w:rsidRPr="00DA249F">
        <w:rPr>
          <w:lang w:val="en-GB"/>
        </w:rPr>
        <w:t xml:space="preserve"> species</w:t>
      </w:r>
      <w:r w:rsidR="00EA65A0" w:rsidRPr="00DA249F">
        <w:rPr>
          <w:lang w:val="en-GB"/>
        </w:rPr>
        <w:t xml:space="preserve">) </w:t>
      </w:r>
      <w:r w:rsidR="006C4C61" w:rsidRPr="00DA249F">
        <w:rPr>
          <w:lang w:val="en-GB"/>
        </w:rPr>
        <w:t xml:space="preserve">and North America </w:t>
      </w:r>
      <w:r w:rsidR="00871D27" w:rsidRPr="00DA249F">
        <w:rPr>
          <w:lang w:val="en-GB"/>
        </w:rPr>
        <w:t xml:space="preserve">(18 taxa) </w:t>
      </w:r>
      <w:r w:rsidR="006C4C61" w:rsidRPr="00DA249F">
        <w:rPr>
          <w:lang w:val="en-GB"/>
        </w:rPr>
        <w:t>are</w:t>
      </w:r>
      <w:r w:rsidR="00853F1E" w:rsidRPr="00DA249F">
        <w:rPr>
          <w:lang w:val="en-GB"/>
        </w:rPr>
        <w:t xml:space="preserve"> sensitive to </w:t>
      </w:r>
      <w:r w:rsidR="002D57A5" w:rsidRPr="00DA249F">
        <w:rPr>
          <w:lang w:val="en-GB"/>
        </w:rPr>
        <w:t xml:space="preserve">both </w:t>
      </w:r>
      <w:r w:rsidR="006C4C61" w:rsidRPr="00DA249F">
        <w:rPr>
          <w:lang w:val="en-GB"/>
        </w:rPr>
        <w:t>low temperatures</w:t>
      </w:r>
      <w:r w:rsidR="00853F1E" w:rsidRPr="00DA249F">
        <w:rPr>
          <w:lang w:val="en-GB"/>
        </w:rPr>
        <w:t xml:space="preserve"> and </w:t>
      </w:r>
      <w:r w:rsidR="006C4C61" w:rsidRPr="00DA249F">
        <w:rPr>
          <w:lang w:val="en-GB"/>
        </w:rPr>
        <w:t>drought</w:t>
      </w:r>
      <w:r w:rsidR="00853F1E" w:rsidRPr="00DA249F">
        <w:rPr>
          <w:lang w:val="en-GB"/>
        </w:rPr>
        <w:t xml:space="preserve">, </w:t>
      </w:r>
      <w:r w:rsidR="006C4C61" w:rsidRPr="00DA249F">
        <w:rPr>
          <w:lang w:val="en-GB"/>
        </w:rPr>
        <w:t xml:space="preserve">and are generally expected to extend their </w:t>
      </w:r>
      <w:r w:rsidR="00082D78" w:rsidRPr="00DA249F">
        <w:rPr>
          <w:lang w:val="en-GB"/>
        </w:rPr>
        <w:t>invaded</w:t>
      </w:r>
      <w:r w:rsidR="006C4C61" w:rsidRPr="00DA249F">
        <w:rPr>
          <w:lang w:val="en-GB"/>
        </w:rPr>
        <w:t xml:space="preserve"> ranges with increasing temperature and precipitation </w:t>
      </w:r>
      <w:r w:rsidR="00853F1E" w:rsidRPr="00DA249F">
        <w:rPr>
          <w:lang w:val="en-GB"/>
        </w:rPr>
        <w:fldChar w:fldCharType="begin"/>
      </w:r>
      <w:r w:rsidR="00331A79">
        <w:rPr>
          <w:lang w:val="en-GB"/>
        </w:rPr>
        <w:instrText xml:space="preserve"> ADDIN ZOTERO_ITEM CSL_CITATION {"citationID":"1fGaNAvq","properties":{"formattedCitation":"(Dukes et al., 2009; Santini et al., 2013)","plainCitation":"(Dukes et al., 2009; Santini et al., 2013)","noteIndex":0},"citationItems":[{"id":23733,"uris":["http://zotero.org/groups/2352922/items/YUBPX6LJ"],"itemData":{"id":23733,"type":"article-journal","abstract":"Climate models project that by 2100, the northeastern US and eastern Canada will warm by approximately 3–5 °C, with increased winter precipitation. These changes will affect trees directly and also indirectly through effects on “nuisance” species, such as insect pests, pathogens, and invasive plants. We review how basic ecological principles can be used to predict nuisance species’ responses to climate change and how this is likely to impact northeastern forests. We then examine in detail the potential responses of two pest species (hemlock woolly adelgid ( Adelges tsugae Annand) and forest tent caterpillar ( Malacosoma disstria Hubner)), two pathogens (armillaria root rot ( Armillaria spp.) and beech bark disease ( Cryptococcus fagisuga Lind. + Neonectria spp.)), and two invasive plant species (glossy buckthorn ( Frangula alnus Mill.) and oriental bittersweet ( Celastrus orbiculatus Thunb.)). Several of these species are likely to have stronger or more widespread effects on forest composition and structure under the projected climate. However, uncertainty pervades our predictions because we lack adequate data on the species and because some species depend on complex, incompletely understood, unstable relationships. While targeted research will increase our confidence in making predictions, some uncertainty will always persist. Therefore, we encourage policies that allow for this uncertainty by considering a wide range of possible scenarios.","container-title":"Canadian Journal of Forest Research","DOI":"10.1139/X08-171","ISSN":"0045-5067, 1208-6037","issue":"2","journalAbbreviation":"Can. J. For. Res.","language":"en","page":"231-248","source":"DOI.org (Crossref)","title":"Responses of insect pests, pathogens, and invasive plant species to climate change in the forests of northeastern North America: What can we predict?","title-short":"Responses of insect pests, pathogens, and invasive plant species to climate change in the forests of northeastern North America","URL":"http://www.nrcresearchpress.com/doi/10.1139/X08-171","volume":"39","author":[{"family":"Dukes","given":"Jeffrey S."},{"family":"Pontius","given":"Jennifer"},{"family":"Orwig","given":"David"},{"family":"Garnas","given":"Jeffrey R."},{"family":"Rodgers","given":"Vikki L."},{"family":"Brazee","given":"Nicholas"},{"family":"Cooke","given":"Barry"},{"family":"Theoharides","given":"Kathleen A."},{"family":"Stange","given":"Erik E."},{"family":"Harrington","given":"Robin"},{"family":"Ehrenfeld","given":"Joan"},{"family":"Gurevitch","given":"Jessica"},{"family":"Lerdau","given":"Manuel"},{"family":"Stinson","given":"Kristina"},{"family":"Wick","given":"Robert"},{"family":"Ayres","given":"Matthew"}],"accessed":{"date-parts":[["2020",8,21]]},"issued":{"date-parts":[["2009",2]]}},"label":"page"},{"id":31610,"uris":["http://zotero.org/groups/2352922/items/994JHFP8"],"itemData":{"id":31610,"type":"article-journal","abstract":"A large database of invasive forest pathogens (IFPs) was developed to investigate the patterns and determinants of invasion in Europe. Detailed taxonomic and biological information on the invasive species was combined with country-specific data on land use, climate, and the time since invasion to identify the determinants of invasiveness, and to differentiate the class of environments which share territorial and climate features associated with a susceptibility to invasion. IFPs increased exponentially in the last four decades. Until 1919, IFPs already present moved across Europe. Then, new IFPs were introduced mainly from North America, and recently from Asia. Hybrid pathogens also appeared. Countries with a wider range of environments, higher human impact or international trade hosted more IFPs. Rainfall influenced the diffusion rates. Environmental conditions of the new and original ranges and systematic and ecological attributes affected invasiveness. Further spread of established IFPs is expected in countries that have experienced commercial isolation in the recent past. Densely populated countries with high environmental diversity may be the weakest links in attempts to prevent new arrivals. Tight coordination of actions against new arrivals is needed. Eradication seems impossible, and prevention seems the only reliable measure, although this will be difficult in the face of global mobility.","container-title":"New Phytologist","DOI":"10.1111/j.1469-8137.2012.04364.x","ISSN":"0028-646X","issue":"1","journalAbbreviation":"New Phytol.","language":"English","note":"WOS:000311606800025","page":"238-250","source":"Web of Science","title":"Biogeographical patterns and determinants of invasion by forest pathogens in Europe","volume":"197","author":[{"family":"Santini","given":"A."},{"family":"Ghelardini","given":"L."},{"family":"De Pace","given":"C."},{"family":"Desprez-Loustau","given":"M. L."},{"family":"Capretti","given":"P."},{"family":"Chandelier","given":"A."},{"family":"Cech","given":"T."},{"family":"Chira","given":"D."},{"family":"Diamandis","given":"S."},{"family":"Gaitniekis","given":"T."},{"family":"Hantula","given":"J."},{"family":"Holdenrieder","given":"O."},{"family":"Jankovsky","given":"L."},{"family":"Jung","given":"T."},{"family":"Jurc","given":"D."},{"family":"Kirisits","given":"T."},{"family":"Kunca","given":"A."},{"family":"Lygis","given":"V."},{"family":"Malecka","given":"M."},{"family":"Marcais","given":"B."},{"family":"Schmitz","given":"S."},{"family":"Schumacher","given":"J."},{"family":"Solheim","given":"H."},{"family":"Solla","given":"A."},{"family":"Szabo","given":"I."},{"family":"Tsopelas","given":"P."},{"family":"Vannini","given":"A."},{"family":"Vettraino","given":"A. M."},{"family":"Webber","given":"J."},{"family":"Woodward","given":"S."},{"family":"Stenlid","given":"J."}],"issued":{"date-parts":[["2013",1]]}},"label":"page"}],"schema":"https://github.com/citation-style-language/schema/raw/master/csl-citation.json"} </w:instrText>
      </w:r>
      <w:r w:rsidR="00853F1E" w:rsidRPr="00DA249F">
        <w:rPr>
          <w:lang w:val="en-GB"/>
        </w:rPr>
        <w:fldChar w:fldCharType="separate"/>
      </w:r>
      <w:r w:rsidR="008A0CF4" w:rsidRPr="008A0CF4">
        <w:t>(Dukes et al., 2009; Santini et al., 2013)</w:t>
      </w:r>
      <w:r w:rsidR="00853F1E" w:rsidRPr="00DA249F">
        <w:rPr>
          <w:lang w:val="en-GB"/>
        </w:rPr>
        <w:fldChar w:fldCharType="end"/>
      </w:r>
      <w:r w:rsidR="00853F1E" w:rsidRPr="00DA249F">
        <w:rPr>
          <w:lang w:val="en-GB"/>
        </w:rPr>
        <w:t xml:space="preserve">. </w:t>
      </w:r>
      <w:r w:rsidR="002D3E28" w:rsidRPr="00DA249F">
        <w:rPr>
          <w:lang w:val="en-GB"/>
        </w:rPr>
        <w:t>P</w:t>
      </w:r>
      <w:r w:rsidR="1C4FF875" w:rsidRPr="00DA249F">
        <w:rPr>
          <w:lang w:val="en-GB"/>
        </w:rPr>
        <w:t xml:space="preserve">recipitation </w:t>
      </w:r>
      <w:r w:rsidR="00FF678D" w:rsidRPr="00DA249F">
        <w:rPr>
          <w:lang w:val="en-GB"/>
        </w:rPr>
        <w:t xml:space="preserve">change may </w:t>
      </w:r>
      <w:r w:rsidR="002D4590" w:rsidRPr="00DA249F">
        <w:rPr>
          <w:lang w:val="en-GB"/>
        </w:rPr>
        <w:t xml:space="preserve">also </w:t>
      </w:r>
      <w:r w:rsidR="00DA429C" w:rsidRPr="00DA249F">
        <w:rPr>
          <w:lang w:val="en-GB"/>
        </w:rPr>
        <w:t>affect</w:t>
      </w:r>
      <w:r w:rsidR="1C4FF875" w:rsidRPr="00DA249F">
        <w:rPr>
          <w:lang w:val="en-GB"/>
        </w:rPr>
        <w:t xml:space="preserve"> the distribution of </w:t>
      </w:r>
      <w:r w:rsidR="00DA429C" w:rsidRPr="00DA249F">
        <w:rPr>
          <w:lang w:val="en-GB"/>
        </w:rPr>
        <w:t xml:space="preserve">invasive </w:t>
      </w:r>
      <w:r w:rsidR="00A276F2" w:rsidRPr="00DA249F">
        <w:rPr>
          <w:lang w:val="en-GB"/>
        </w:rPr>
        <w:t xml:space="preserve">alien </w:t>
      </w:r>
      <w:r w:rsidR="00DA429C" w:rsidRPr="00DA249F">
        <w:rPr>
          <w:lang w:val="en-GB"/>
        </w:rPr>
        <w:t xml:space="preserve">insects. </w:t>
      </w:r>
      <w:r w:rsidR="00FF678D" w:rsidRPr="00DA249F">
        <w:rPr>
          <w:i/>
          <w:lang w:val="en-GB"/>
        </w:rPr>
        <w:t>Solenopsis invicta</w:t>
      </w:r>
      <w:r w:rsidR="00FF678D" w:rsidRPr="00DA249F">
        <w:rPr>
          <w:lang w:val="en-GB"/>
        </w:rPr>
        <w:t xml:space="preserve"> (</w:t>
      </w:r>
      <w:r w:rsidR="00EF402D" w:rsidRPr="00DA249F">
        <w:rPr>
          <w:lang w:val="en-GB"/>
        </w:rPr>
        <w:t>red imported</w:t>
      </w:r>
      <w:r w:rsidR="1C4FF875" w:rsidRPr="00DA249F">
        <w:rPr>
          <w:lang w:val="en-GB"/>
        </w:rPr>
        <w:t xml:space="preserve"> fire ant</w:t>
      </w:r>
      <w:r w:rsidR="000B66D8" w:rsidRPr="00DA249F">
        <w:rPr>
          <w:lang w:val="en-GB"/>
        </w:rPr>
        <w:t>)</w:t>
      </w:r>
      <w:r w:rsidR="000B4615" w:rsidRPr="00DA249F">
        <w:rPr>
          <w:lang w:val="en-GB"/>
        </w:rPr>
        <w:t xml:space="preserve"> </w:t>
      </w:r>
      <w:r w:rsidR="002D37ED" w:rsidRPr="00DA249F">
        <w:rPr>
          <w:lang w:val="en-GB"/>
        </w:rPr>
        <w:t xml:space="preserve">was introduced to </w:t>
      </w:r>
      <w:r w:rsidR="00094ED2" w:rsidRPr="00DA249F">
        <w:rPr>
          <w:lang w:val="en-GB"/>
        </w:rPr>
        <w:t xml:space="preserve">the </w:t>
      </w:r>
      <w:r w:rsidR="00943169" w:rsidRPr="00DA249F">
        <w:rPr>
          <w:lang w:val="en-GB"/>
        </w:rPr>
        <w:t>United States</w:t>
      </w:r>
      <w:r w:rsidR="004310AC">
        <w:rPr>
          <w:lang w:val="en-GB"/>
        </w:rPr>
        <w:t xml:space="preserve"> </w:t>
      </w:r>
      <w:r w:rsidR="002D37ED" w:rsidRPr="00DA249F">
        <w:rPr>
          <w:lang w:val="en-GB"/>
        </w:rPr>
        <w:t xml:space="preserve">from </w:t>
      </w:r>
      <w:r w:rsidR="00DA429C" w:rsidRPr="00DA249F">
        <w:rPr>
          <w:lang w:val="en-GB"/>
        </w:rPr>
        <w:t>sub-Amazonian South America</w:t>
      </w:r>
      <w:r w:rsidR="002D37ED" w:rsidRPr="00DA249F">
        <w:rPr>
          <w:lang w:val="en-GB"/>
        </w:rPr>
        <w:t xml:space="preserve"> </w:t>
      </w:r>
      <w:r w:rsidR="00EC1D2C" w:rsidRPr="00DA249F">
        <w:rPr>
          <w:lang w:val="en-GB"/>
        </w:rPr>
        <w:t xml:space="preserve">(native range) </w:t>
      </w:r>
      <w:r w:rsidR="002D37ED" w:rsidRPr="00DA249F">
        <w:rPr>
          <w:lang w:val="en-GB"/>
        </w:rPr>
        <w:t xml:space="preserve">in the 1930s </w:t>
      </w:r>
      <w:r w:rsidR="00094ED2" w:rsidRPr="00DA249F">
        <w:rPr>
          <w:lang w:val="en-GB"/>
        </w:rPr>
        <w:t>or 1940s</w:t>
      </w:r>
      <w:r w:rsidRPr="00DA249F">
        <w:rPr>
          <w:lang w:val="en-GB"/>
        </w:rPr>
        <w:t>,</w:t>
      </w:r>
      <w:r w:rsidR="000B66D8" w:rsidRPr="00DA249F">
        <w:rPr>
          <w:lang w:val="en-GB"/>
        </w:rPr>
        <w:t xml:space="preserve"> </w:t>
      </w:r>
      <w:r w:rsidR="00094ED2" w:rsidRPr="00DA249F">
        <w:rPr>
          <w:lang w:val="en-GB"/>
        </w:rPr>
        <w:t xml:space="preserve">and </w:t>
      </w:r>
      <w:r w:rsidR="000B66D8" w:rsidRPr="00DA249F">
        <w:rPr>
          <w:lang w:val="en-GB"/>
        </w:rPr>
        <w:t>has since exp</w:t>
      </w:r>
      <w:r w:rsidR="00A15053" w:rsidRPr="00DA249F">
        <w:rPr>
          <w:lang w:val="en-GB"/>
        </w:rPr>
        <w:t>anded throughout North America and to Au</w:t>
      </w:r>
      <w:r w:rsidR="000B66D8" w:rsidRPr="00DA249F">
        <w:rPr>
          <w:lang w:val="en-GB"/>
        </w:rPr>
        <w:t xml:space="preserve">stralia and New Zealand </w:t>
      </w:r>
      <w:r w:rsidR="00A15053" w:rsidRPr="00DA249F">
        <w:rPr>
          <w:lang w:val="en-GB"/>
        </w:rPr>
        <w:t xml:space="preserve">along with </w:t>
      </w:r>
      <w:r w:rsidRPr="00DA249F">
        <w:rPr>
          <w:lang w:val="en-GB"/>
        </w:rPr>
        <w:t>a number of</w:t>
      </w:r>
      <w:r w:rsidR="00A15053" w:rsidRPr="00DA249F">
        <w:rPr>
          <w:lang w:val="en-GB"/>
        </w:rPr>
        <w:t xml:space="preserve"> tropical islands. </w:t>
      </w:r>
      <w:r w:rsidR="007C3FEE" w:rsidRPr="00DA249F">
        <w:rPr>
          <w:lang w:val="en-GB"/>
        </w:rPr>
        <w:t>The</w:t>
      </w:r>
      <w:r w:rsidR="00A15053" w:rsidRPr="00DA249F">
        <w:rPr>
          <w:lang w:val="en-GB"/>
        </w:rPr>
        <w:t xml:space="preserve"> potential </w:t>
      </w:r>
      <w:r w:rsidR="00082D78" w:rsidRPr="00DA249F">
        <w:rPr>
          <w:lang w:val="en-GB"/>
        </w:rPr>
        <w:t>invaded</w:t>
      </w:r>
      <w:r w:rsidR="00A15053" w:rsidRPr="00DA249F">
        <w:rPr>
          <w:lang w:val="en-GB"/>
        </w:rPr>
        <w:t xml:space="preserve"> range </w:t>
      </w:r>
      <w:r w:rsidR="007C3FEE" w:rsidRPr="00DA249F">
        <w:rPr>
          <w:lang w:val="en-GB"/>
        </w:rPr>
        <w:t xml:space="preserve">of </w:t>
      </w:r>
      <w:r w:rsidR="007574C9" w:rsidRPr="00DA249F">
        <w:rPr>
          <w:lang w:val="en-GB"/>
        </w:rPr>
        <w:t xml:space="preserve">the </w:t>
      </w:r>
      <w:r w:rsidR="00114547" w:rsidRPr="00DA249F">
        <w:rPr>
          <w:lang w:val="en-GB"/>
        </w:rPr>
        <w:t>red imported fire</w:t>
      </w:r>
      <w:r w:rsidR="007574C9" w:rsidRPr="00DA249F">
        <w:rPr>
          <w:lang w:val="en-GB"/>
        </w:rPr>
        <w:t xml:space="preserve"> ant</w:t>
      </w:r>
      <w:r w:rsidR="00A15053" w:rsidRPr="00DA249F">
        <w:rPr>
          <w:i/>
          <w:lang w:val="en-GB"/>
        </w:rPr>
        <w:t xml:space="preserve"> </w:t>
      </w:r>
      <w:r w:rsidR="00A15053" w:rsidRPr="00DA249F">
        <w:rPr>
          <w:lang w:val="en-GB"/>
        </w:rPr>
        <w:t xml:space="preserve">is limited by </w:t>
      </w:r>
      <w:r w:rsidR="00E034B9" w:rsidRPr="00DA249F">
        <w:rPr>
          <w:lang w:val="en-GB"/>
        </w:rPr>
        <w:t xml:space="preserve">both </w:t>
      </w:r>
      <w:r w:rsidRPr="00DA249F">
        <w:rPr>
          <w:lang w:val="en-GB"/>
        </w:rPr>
        <w:t xml:space="preserve">low temperature and low precipitation, </w:t>
      </w:r>
      <w:r w:rsidR="00787C75">
        <w:rPr>
          <w:lang w:val="en-GB"/>
        </w:rPr>
        <w:t xml:space="preserve">and </w:t>
      </w:r>
      <w:r w:rsidRPr="00DA249F">
        <w:rPr>
          <w:lang w:val="en-GB"/>
        </w:rPr>
        <w:t>future projections entail both expansions and contractions, the latter largely in areas where precipitation is projected to decrease</w:t>
      </w:r>
      <w:r w:rsidR="1C4FF875" w:rsidRPr="00DA249F">
        <w:rPr>
          <w:lang w:val="en-GB"/>
        </w:rPr>
        <w:t xml:space="preserve"> </w:t>
      </w:r>
      <w:r w:rsidR="7B889C19" w:rsidRPr="00DA249F">
        <w:rPr>
          <w:lang w:val="en-GB"/>
        </w:rPr>
        <w:fldChar w:fldCharType="begin"/>
      </w:r>
      <w:r w:rsidR="00331A79">
        <w:rPr>
          <w:lang w:val="en-GB"/>
        </w:rPr>
        <w:instrText xml:space="preserve"> ADDIN ZOTERO_ITEM CSL_CITATION {"citationID":"h1rdArS8","properties":{"formattedCitation":"(Morrison et al., 2004)","plainCitation":"(Morrison et al., 2004)","noteIndex":0},"citationItems":[{"id":24063,"uris":["http://zotero.org/groups/2352922/items/DIKCI9BK"],"itemData":{"id":24063,"type":"article-journal","container-title":"Biological Invasions","DOI":"10.1023/B:BINV.0000022135.96042.90","ISSN":"1387-3547","issue":"2","journalAbbreviation":"Biological Invasions","language":"en","page":"183-191","source":"DOI.org (Crossref)","title":"Potential Global Range Expansion of the Invasive Fire Ant, &lt;i&gt;Solenopsis invicta&lt;/i&gt;","URL":"http://link.springer.com/10.1023/B:BINV.0000022135.96042.90","volume":"6","author":[{"family":"Morrison","given":"Lloyd W."},{"family":"Porter","given":"Sanford D."},{"family":"Daniels","given":"Eric"},{"family":"Korzukhin","given":"Michael D."}],"accessed":{"date-parts":[["2020",7,17]]},"issued":{"date-parts":[["2004"]]}},"label":"page"}],"schema":"https://github.com/citation-style-language/schema/raw/master/csl-citation.json"} </w:instrText>
      </w:r>
      <w:r w:rsidR="7B889C19" w:rsidRPr="00DA249F">
        <w:rPr>
          <w:lang w:val="en-GB"/>
        </w:rPr>
        <w:fldChar w:fldCharType="separate"/>
      </w:r>
      <w:r w:rsidR="00144D96" w:rsidRPr="00144D96">
        <w:t>(Morrison et al., 2004)</w:t>
      </w:r>
      <w:r w:rsidR="7B889C19" w:rsidRPr="00DA249F">
        <w:rPr>
          <w:lang w:val="en-GB"/>
        </w:rPr>
        <w:fldChar w:fldCharType="end"/>
      </w:r>
      <w:r w:rsidR="1C4FF875" w:rsidRPr="00DA249F">
        <w:rPr>
          <w:lang w:val="en-GB"/>
        </w:rPr>
        <w:t xml:space="preserve">. </w:t>
      </w:r>
    </w:p>
    <w:p w14:paraId="58624801" w14:textId="77777777" w:rsidR="008C1BF7" w:rsidRPr="00DA249F" w:rsidRDefault="49EDF6A5" w:rsidP="004826A3">
      <w:pPr>
        <w:pStyle w:val="Heading3"/>
        <w:rPr>
          <w:lang w:val="en-GB"/>
        </w:rPr>
      </w:pPr>
      <w:bookmarkStart w:id="192" w:name="_Toc44317838"/>
      <w:r w:rsidRPr="00DA249F">
        <w:rPr>
          <w:lang w:val="en-GB"/>
        </w:rPr>
        <w:t>Climate extremes</w:t>
      </w:r>
      <w:bookmarkEnd w:id="192"/>
    </w:p>
    <w:p w14:paraId="4D713457" w14:textId="77777777" w:rsidR="47C2D9E2" w:rsidRPr="00DA249F" w:rsidRDefault="007D5F54" w:rsidP="0090109B">
      <w:pPr>
        <w:rPr>
          <w:lang w:val="en-GB"/>
        </w:rPr>
      </w:pPr>
      <w:r w:rsidRPr="00DA249F">
        <w:rPr>
          <w:lang w:val="en-GB"/>
        </w:rPr>
        <w:t>Anthropoge</w:t>
      </w:r>
      <w:r w:rsidR="000C1710" w:rsidRPr="00DA249F">
        <w:rPr>
          <w:lang w:val="en-GB"/>
        </w:rPr>
        <w:t>n</w:t>
      </w:r>
      <w:r w:rsidRPr="00DA249F">
        <w:rPr>
          <w:lang w:val="en-GB"/>
        </w:rPr>
        <w:t xml:space="preserve">ic climate change is </w:t>
      </w:r>
      <w:r w:rsidR="005E4424" w:rsidRPr="00DA249F">
        <w:rPr>
          <w:lang w:val="en-GB"/>
        </w:rPr>
        <w:t>causing</w:t>
      </w:r>
      <w:r w:rsidRPr="00DA249F">
        <w:rPr>
          <w:lang w:val="en-GB"/>
        </w:rPr>
        <w:t xml:space="preserve"> </w:t>
      </w:r>
      <w:r w:rsidR="000C1710" w:rsidRPr="00DA249F">
        <w:rPr>
          <w:lang w:val="en-GB"/>
        </w:rPr>
        <w:t xml:space="preserve">increasing </w:t>
      </w:r>
      <w:r w:rsidR="413A69E0" w:rsidRPr="00DA249F">
        <w:rPr>
          <w:lang w:val="en-GB"/>
        </w:rPr>
        <w:t>frequency and/or intensity of climate extremes</w:t>
      </w:r>
      <w:r w:rsidR="000C1710" w:rsidRPr="00DA249F">
        <w:rPr>
          <w:lang w:val="en-GB"/>
        </w:rPr>
        <w:t>,</w:t>
      </w:r>
      <w:r w:rsidR="413A69E0" w:rsidRPr="00DA249F">
        <w:rPr>
          <w:lang w:val="en-GB"/>
        </w:rPr>
        <w:t xml:space="preserve"> including temperature extremes, heavy precipitation and pluvial floods, river floods, droughts, storms (including tropical cyclones), as well as compound events </w:t>
      </w:r>
      <w:r w:rsidR="000C1710" w:rsidRPr="00DA249F">
        <w:rPr>
          <w:lang w:val="en-GB"/>
        </w:rPr>
        <w:fldChar w:fldCharType="begin"/>
      </w:r>
      <w:r w:rsidR="00331A79">
        <w:rPr>
          <w:lang w:val="en-GB"/>
        </w:rPr>
        <w:instrText xml:space="preserve"> ADDIN ZOTERO_ITEM CSL_CITATION {"citationID":"Jk249h0R","properties":{"formattedCitation":"(IPCC, 2021)","plainCitation":"(IPCC, 2021)","noteIndex":0},"citationItems":[{"id":29622,"uris":["http://zotero.org/groups/2352922/items/EHM5HDB3"],"itemData":{"id":29622,"type":"article-journal","container-title":"Cambridge University Press","DOI":"10.1017/9781009157896","title":"Climate Change 2021: The Physical Science Basis. Contribution of Working Group I to the Sixth Assessment Report of the Intergovernmental Panel on Climate Change","author":[{"literal":"IPCC"}],"contributor":[{"family":"Masson-Delmotte","given":"V."},{"family":"Zhai","given":"P."},{"family":"Pirani","given":"A."},{"family":"Connors","given":"S. L."},{"family":"Péan","given":"C."},{"family":"Berger","given":"S."},{"family":"Caud","given":"N."},{"family":"Chen","given":"Y."},{"family":"Goldfarb","given":"L."},{"family":"Gomis","given":"M. I."},{"family":"Huang","given":"M."},{"family":"Leitzell","given":"K."},{"family":"Lonnoy","given":"E."},{"family":"Matthews","given":"J. B. R."},{"family":"Maycock","given":"T. K."},{"family":"Waterfield","given":"T."},{"family":"Yelekçi","given":"O."},{"family":"Yu","given":"R."},{"family":"Zhou","given":"B."}],"issued":{"date-parts":[["2021"]]}},"label":"page"}],"schema":"https://github.com/citation-style-language/schema/raw/master/csl-citation.json"} </w:instrText>
      </w:r>
      <w:r w:rsidR="000C1710" w:rsidRPr="00DA249F">
        <w:rPr>
          <w:lang w:val="en-GB"/>
        </w:rPr>
        <w:fldChar w:fldCharType="separate"/>
      </w:r>
      <w:r w:rsidR="00144D96" w:rsidRPr="00144D96">
        <w:t>(IPCC, 2021)</w:t>
      </w:r>
      <w:r w:rsidR="000C1710" w:rsidRPr="00DA249F">
        <w:rPr>
          <w:lang w:val="en-GB"/>
        </w:rPr>
        <w:fldChar w:fldCharType="end"/>
      </w:r>
      <w:r w:rsidR="000C1710" w:rsidRPr="00DA249F">
        <w:rPr>
          <w:lang w:val="en-GB"/>
        </w:rPr>
        <w:t xml:space="preserve">. </w:t>
      </w:r>
      <w:r w:rsidR="00564CAF" w:rsidRPr="00DA249F">
        <w:rPr>
          <w:lang w:val="en-GB"/>
        </w:rPr>
        <w:t>High</w:t>
      </w:r>
      <w:r w:rsidR="00442271" w:rsidRPr="00DA249F">
        <w:rPr>
          <w:lang w:val="en-GB"/>
        </w:rPr>
        <w:t>-</w:t>
      </w:r>
      <w:r w:rsidRPr="00DA249F">
        <w:rPr>
          <w:lang w:val="en-GB"/>
        </w:rPr>
        <w:t>temperature</w:t>
      </w:r>
      <w:r w:rsidR="00564CAF" w:rsidRPr="00DA249F">
        <w:rPr>
          <w:lang w:val="en-GB"/>
        </w:rPr>
        <w:t xml:space="preserve"> </w:t>
      </w:r>
      <w:r w:rsidR="413A69E0" w:rsidRPr="00DA249F">
        <w:rPr>
          <w:lang w:val="en-GB"/>
        </w:rPr>
        <w:t xml:space="preserve">extremes (including heatwaves) have become more frequent and more intense across most land regions since the 1950s, and marine heatwaves have approximately doubled in frequency since the 1980s </w:t>
      </w:r>
      <w:r w:rsidR="00115307" w:rsidRPr="00DA249F">
        <w:rPr>
          <w:lang w:val="en-GB"/>
        </w:rPr>
        <w:fldChar w:fldCharType="begin"/>
      </w:r>
      <w:r w:rsidR="00331A79">
        <w:rPr>
          <w:lang w:val="en-GB"/>
        </w:rPr>
        <w:instrText xml:space="preserve"> ADDIN ZOTERO_ITEM CSL_CITATION {"citationID":"Ry7K75YB","properties":{"formattedCitation":"(IPCC, 2021)","plainCitation":"(IPCC, 2021)","noteIndex":0},"citationItems":[{"id":29622,"uris":["http://zotero.org/groups/2352922/items/EHM5HDB3"],"itemData":{"id":29622,"type":"article-journal","container-title":"Cambridge University Press","DOI":"10.1017/9781009157896","title":"Climate Change 2021: The Physical Science Basis. Contribution of Working Group I to the Sixth Assessment Report of the Intergovernmental Panel on Climate Change","author":[{"literal":"IPCC"}],"contributor":[{"family":"Masson-Delmotte","given":"V."},{"family":"Zhai","given":"P."},{"family":"Pirani","given":"A."},{"family":"Connors","given":"S. L."},{"family":"Péan","given":"C."},{"family":"Berger","given":"S."},{"family":"Caud","given":"N."},{"family":"Chen","given":"Y."},{"family":"Goldfarb","given":"L."},{"family":"Gomis","given":"M. I."},{"family":"Huang","given":"M."},{"family":"Leitzell","given":"K."},{"family":"Lonnoy","given":"E."},{"family":"Matthews","given":"J. B. R."},{"family":"Maycock","given":"T. K."},{"family":"Waterfield","given":"T."},{"family":"Yelekçi","given":"O."},{"family":"Yu","given":"R."},{"family":"Zhou","given":"B."}],"issued":{"date-parts":[["2021"]]}},"label":"page"}],"schema":"https://github.com/citation-style-language/schema/raw/master/csl-citation.json"} </w:instrText>
      </w:r>
      <w:r w:rsidR="00115307" w:rsidRPr="00DA249F">
        <w:rPr>
          <w:lang w:val="en-GB"/>
        </w:rPr>
        <w:fldChar w:fldCharType="separate"/>
      </w:r>
      <w:r w:rsidR="00144D96" w:rsidRPr="00144D96">
        <w:t>(IPCC, 2021)</w:t>
      </w:r>
      <w:r w:rsidR="00115307" w:rsidRPr="00DA249F">
        <w:rPr>
          <w:lang w:val="en-GB"/>
        </w:rPr>
        <w:fldChar w:fldCharType="end"/>
      </w:r>
      <w:r w:rsidR="413A69E0" w:rsidRPr="00DA249F">
        <w:rPr>
          <w:lang w:val="en-GB"/>
        </w:rPr>
        <w:t>. The frequency and intensity of heavy precipitation events have increased since the 1950s over most land area</w:t>
      </w:r>
      <w:r w:rsidR="000C1710" w:rsidRPr="00DA249F">
        <w:rPr>
          <w:lang w:val="en-GB"/>
        </w:rPr>
        <w:t>,</w:t>
      </w:r>
      <w:r w:rsidR="413A69E0" w:rsidRPr="00DA249F">
        <w:rPr>
          <w:lang w:val="en-GB"/>
        </w:rPr>
        <w:t xml:space="preserve"> and agricultural and ecological droughts </w:t>
      </w:r>
      <w:r w:rsidR="000C1710" w:rsidRPr="00DA249F">
        <w:rPr>
          <w:lang w:val="en-GB"/>
        </w:rPr>
        <w:t xml:space="preserve">have </w:t>
      </w:r>
      <w:r w:rsidR="007A3005" w:rsidRPr="00DA249F">
        <w:rPr>
          <w:lang w:val="en-GB"/>
        </w:rPr>
        <w:t xml:space="preserve">increased </w:t>
      </w:r>
      <w:r w:rsidR="413A69E0" w:rsidRPr="00DA249F">
        <w:rPr>
          <w:lang w:val="en-GB"/>
        </w:rPr>
        <w:t xml:space="preserve">in some regions due to increased land evapotranspiration </w:t>
      </w:r>
      <w:r w:rsidR="00115307" w:rsidRPr="00DA249F">
        <w:rPr>
          <w:lang w:val="en-GB"/>
        </w:rPr>
        <w:fldChar w:fldCharType="begin"/>
      </w:r>
      <w:r w:rsidR="00331A79">
        <w:rPr>
          <w:lang w:val="en-GB"/>
        </w:rPr>
        <w:instrText xml:space="preserve"> ADDIN ZOTERO_ITEM CSL_CITATION {"citationID":"tFmoBFFk","properties":{"formattedCitation":"(IPCC, 2021)","plainCitation":"(IPCC, 2021)","noteIndex":0},"citationItems":[{"id":29622,"uris":["http://zotero.org/groups/2352922/items/EHM5HDB3"],"itemData":{"id":29622,"type":"article-journal","container-title":"Cambridge University Press","DOI":"10.1017/9781009157896","title":"Climate Change 2021: The Physical Science Basis. Contribution of Working Group I to the Sixth Assessment Report of the Intergovernmental Panel on Climate Change","author":[{"literal":"IPCC"}],"contributor":[{"family":"Masson-Delmotte","given":"V."},{"family":"Zhai","given":"P."},{"family":"Pirani","given":"A."},{"family":"Connors","given":"S. L."},{"family":"Péan","given":"C."},{"family":"Berger","given":"S."},{"family":"Caud","given":"N."},{"family":"Chen","given":"Y."},{"family":"Goldfarb","given":"L."},{"family":"Gomis","given":"M. I."},{"family":"Huang","given":"M."},{"family":"Leitzell","given":"K."},{"family":"Lonnoy","given":"E."},{"family":"Matthews","given":"J. B. R."},{"family":"Maycock","given":"T. K."},{"family":"Waterfield","given":"T."},{"family":"Yelekçi","given":"O."},{"family":"Yu","given":"R."},{"family":"Zhou","given":"B."}],"issued":{"date-parts":[["2021"]]}},"label":"page"}],"schema":"https://github.com/citation-style-language/schema/raw/master/csl-citation.json"} </w:instrText>
      </w:r>
      <w:r w:rsidR="00115307" w:rsidRPr="00DA249F">
        <w:rPr>
          <w:lang w:val="en-GB"/>
        </w:rPr>
        <w:fldChar w:fldCharType="separate"/>
      </w:r>
      <w:r w:rsidR="00144D96" w:rsidRPr="00144D96">
        <w:t>(IPCC, 2021)</w:t>
      </w:r>
      <w:r w:rsidR="00115307" w:rsidRPr="00DA249F">
        <w:rPr>
          <w:lang w:val="en-GB"/>
        </w:rPr>
        <w:fldChar w:fldCharType="end"/>
      </w:r>
      <w:r w:rsidR="00922385" w:rsidRPr="00DA249F">
        <w:rPr>
          <w:lang w:val="en-GB"/>
        </w:rPr>
        <w:t>.</w:t>
      </w:r>
      <w:r w:rsidR="413A69E0" w:rsidRPr="00DA249F">
        <w:rPr>
          <w:lang w:val="en-GB"/>
        </w:rPr>
        <w:t xml:space="preserve"> </w:t>
      </w:r>
      <w:r w:rsidR="3D116453" w:rsidRPr="00DA249F">
        <w:rPr>
          <w:lang w:val="en-GB"/>
        </w:rPr>
        <w:t>Climate extremes</w:t>
      </w:r>
      <w:r w:rsidR="5F629157" w:rsidRPr="00DA249F">
        <w:rPr>
          <w:lang w:val="en-GB"/>
        </w:rPr>
        <w:t xml:space="preserve"> can cause dramatic ecosystem destabilization and an abrupt shift towards an alternative </w:t>
      </w:r>
      <w:r w:rsidR="720045A5" w:rsidRPr="00DA249F">
        <w:rPr>
          <w:lang w:val="en-GB"/>
        </w:rPr>
        <w:t xml:space="preserve">ecosystem </w:t>
      </w:r>
      <w:r w:rsidR="5F629157" w:rsidRPr="00DA249F">
        <w:rPr>
          <w:lang w:val="en-GB"/>
        </w:rPr>
        <w:t xml:space="preserve">state </w:t>
      </w:r>
      <w:r w:rsidR="5F629157" w:rsidRPr="00DA249F">
        <w:rPr>
          <w:lang w:val="en-GB"/>
        </w:rPr>
        <w:fldChar w:fldCharType="begin"/>
      </w:r>
      <w:r w:rsidR="00331A79">
        <w:rPr>
          <w:lang w:val="en-GB"/>
        </w:rPr>
        <w:instrText xml:space="preserve"> ADDIN ZOTERO_ITEM CSL_CITATION {"citationID":"eQCMt215","properties":{"formattedCitation":"(Jentsch et al., 2007)","plainCitation":"(Jentsch et al., 2007)","noteIndex":0},"citationItems":[{"id":12587,"uris":["http://zotero.org/groups/2352922/items/EGLBHEW9"],"itemData":{"id":12587,"type":"article-journal","abstract":"Intensification of weather extremes is currently emerging as one of the most important facets of climate change. Research on extreme events (“event-focused” in contrast to “trend-focused”) has increased in recent years and, in 2004, accounted for one-fifth of the experimental climate-change studies published. Numerous examples, ranging from microbiology and soil science to biogeography, demonstrate how extreme weather events can accelerate shifts in species composition and distribution, thereby facilitating changes in ecosystem functioning. However, assessing the importance of extreme events for ecological processes poses a major challenge because of the very nature of such events: their effects are out of proportion to their short duration. We propose that extreme events can be characterized by statistical extremity, timing, and abruptness relative to the life cycles of the organisms affected. To test system response to changing magnitude and frequency of weather events, controlled experiments are useful tools. These experiments provide essential insights for science and for societies that must develop coping strategies for such events. Here, we discuss future research needs for climate-change experiments in ecology. For illustration, we describe an experimental plan showing how to meet the challenge posed by changes in the frequency or magnitude of extreme events.","container-title":"Frontiers in Ecology and the Environment","DOI":"10.1890/1540-9295(2007)5[365:ANGOCE]2.0.CO;2","ISSN":"1540-9309","issue":"7","language":"en","license":"© The Ecological Society of America","page":"365-374","source":"Wiley Online Library","title":"A new generation of climate-change experiments: events, not trends","title-short":"A new generation of climate-change experiments","URL":"https://esajournals.onlinelibrary.wiley.com/doi/abs/10.1890/1540-9295%282007%295%5B365%3AANGOCE%5D2.0.CO%3B2","volume":"5","author":[{"family":"Jentsch","given":"Anke"},{"family":"Kreyling","given":"Jürgen"},{"family":"Beierkuhnlein","given":"Carl"}],"accessed":{"date-parts":[["2019",10,22]]},"issued":{"date-parts":[["2007"]]}},"label":"page"}],"schema":"https://github.com/citation-style-language/schema/raw/master/csl-citation.json"} </w:instrText>
      </w:r>
      <w:r w:rsidR="5F629157" w:rsidRPr="00DA249F">
        <w:rPr>
          <w:lang w:val="en-GB"/>
        </w:rPr>
        <w:fldChar w:fldCharType="separate"/>
      </w:r>
      <w:r w:rsidR="00144D96" w:rsidRPr="00144D96">
        <w:t>(Jentsch et al., 2007)</w:t>
      </w:r>
      <w:r w:rsidR="5F629157" w:rsidRPr="00DA249F">
        <w:rPr>
          <w:lang w:val="en-GB"/>
        </w:rPr>
        <w:fldChar w:fldCharType="end"/>
      </w:r>
      <w:r w:rsidR="5F629157" w:rsidRPr="00DA249F">
        <w:rPr>
          <w:lang w:val="en-GB"/>
        </w:rPr>
        <w:t xml:space="preserve">, </w:t>
      </w:r>
      <w:r w:rsidR="00CF68EB">
        <w:rPr>
          <w:lang w:val="en-GB"/>
        </w:rPr>
        <w:t xml:space="preserve">which </w:t>
      </w:r>
      <w:r w:rsidR="5F629157" w:rsidRPr="00DA249F">
        <w:rPr>
          <w:lang w:val="en-GB"/>
        </w:rPr>
        <w:t>may affect all stages</w:t>
      </w:r>
      <w:r w:rsidR="00564CAF" w:rsidRPr="00DA249F">
        <w:rPr>
          <w:lang w:val="en-GB"/>
        </w:rPr>
        <w:t xml:space="preserve"> of the biological invasion process</w:t>
      </w:r>
      <w:r w:rsidR="5F629157" w:rsidRPr="00DA249F">
        <w:rPr>
          <w:lang w:val="en-GB"/>
        </w:rPr>
        <w:t xml:space="preserve"> (i.e., transport, introduction, establishment and spread</w:t>
      </w:r>
      <w:r w:rsidR="00A807BD" w:rsidRPr="00DA249F">
        <w:rPr>
          <w:lang w:val="en-GB"/>
        </w:rPr>
        <w:t xml:space="preserve">; </w:t>
      </w:r>
      <w:r w:rsidR="0040355F">
        <w:rPr>
          <w:b/>
          <w:iCs/>
          <w:lang w:val="en-GB"/>
        </w:rPr>
        <w:t>C</w:t>
      </w:r>
      <w:r w:rsidR="00A807BD" w:rsidRPr="0040355F">
        <w:rPr>
          <w:b/>
          <w:iCs/>
          <w:lang w:val="en-GB"/>
        </w:rPr>
        <w:t>hapter 1</w:t>
      </w:r>
      <w:r w:rsidR="00A807BD" w:rsidRPr="0040355F">
        <w:rPr>
          <w:iCs/>
          <w:lang w:val="en-GB"/>
        </w:rPr>
        <w:t>,</w:t>
      </w:r>
      <w:r w:rsidR="00A807BD" w:rsidRPr="0040355F">
        <w:rPr>
          <w:b/>
          <w:iCs/>
          <w:lang w:val="en-GB"/>
        </w:rPr>
        <w:t xml:space="preserve"> section 1.4</w:t>
      </w:r>
      <w:r w:rsidR="5F629157" w:rsidRPr="00DA249F">
        <w:rPr>
          <w:lang w:val="en-GB"/>
        </w:rPr>
        <w:t xml:space="preserve">) </w:t>
      </w:r>
      <w:r w:rsidR="5F629157" w:rsidRPr="00DA249F">
        <w:rPr>
          <w:lang w:val="en-GB"/>
        </w:rPr>
        <w:fldChar w:fldCharType="begin"/>
      </w:r>
      <w:r w:rsidR="00331A79">
        <w:rPr>
          <w:lang w:val="en-GB"/>
        </w:rPr>
        <w:instrText xml:space="preserve"> ADDIN ZOTERO_ITEM CSL_CITATION {"citationID":"3jxvOZcr","properties":{"formattedCitation":"(Hulme, 2017)","plainCitation":"(Hulme, 2017)","noteIndex":0},"citationItems":[{"id":10012,"uris":["http://zotero.org/groups/2352922/items/E7ZXVNF8"],"itemData":{"id":10012,"type":"article-journal","abstract":"A changing climate may directly or indirectly influence biological invasions by altering the likelihood of introduction or establishment, as well as modifying the geographic range, environmental impacts, economic costs or management of alien species. A comprehensive assessment of empirical and theoretical evidence identified how each of these processes is likely to be shaped by climate change for alien plants, animals and pathogens in terrestrial, freshwater and marine environments of Great Britain. The strongest contemporary evidence for the potential role of climate change in the establishment of new alien species is for terrestrial arthropods, as a result of their ectothermic physiology, often high dispersal rate and their strong association with trade as well as commensal relationships with human environments. By contrast, there is little empirical support for higher temperatures increasing the rate of alien plant establishment due to the stronger effects of residence time and propagule pressure. The magnitude of any direct climate effect on the number of new alien species will be small relative to human-assisted introductions driven by socioeconomic factors. Casual alien species (sleepers) whose population persistence is limited by climate are expected to exhibit greater rates of establishment under climate change assuming that propagule pressure remains at least at current levels. Surveillance and management targeting sleeper pests and diseases may be the most cost-effective option to reduce future impacts under climate change. Most established alien species will increase their distribution range in Great Britain over the next century. However, such range increases are very likely be the result of natural expansion of populations that have yet to reach equilibrium with their environment, rather than a direct consequence of climate change. To assess the potential realised range of alien species will require a spatially explicit approach that not only integrates bioclimatic suitability and population-level demographic rates but also simulation of landscape-level processes (e.g. dispersal, land-use change, host/habitat distribution, non-climatic edaphic constraints). In terms of invasive alien species that have known economic or biodiversity impacts, the taxa that are likely to be the most responsive are plant pathogens and insect pests of agricultural crops. However, the extent to which climate adaptation strategies lead to new crops, altered rotations, and different farming practices (e.g. irrigation, fertilization) will all shape the potential agricultural impacts of alien species. The greatest uncertainty in the effects of climate change on biological invasions exists with identifying the future character of new species introductions and predicting ecosystem impacts. Two complementary strategies may work under these conditions of high uncertainty: (i) prioritise ecosystems in terms of their perceived vulnerability to climate change and prevent ingress or expansion of alien species therein that may exacerbate problems; (ii) target those ecosystem already threatened by alien species and implement management to prevent the situation deteriorating under climate change.","container-title":"Biological Reviews","DOI":"10.1111/brv.12282","ISSN":"1469-185X","issue":"3","language":"en","note":"_eprint: https://onlinelibrary.wiley.com/doi/pdf/10.1111/brv.12282","page":"1297-1313","source":"Wiley Online Library","title":"Climate change and biological invasions: evidence, expectations, and response options","title-short":"Climate change and biological invasions","URL":"https://onlinelibrary.wiley.com/doi/abs/10.1111/brv.12282","volume":"92","author":[{"family":"Hulme","given":"Philip E."}],"accessed":{"date-parts":[["2021",8,23]]},"issued":{"date-parts":[["2017"]]}},"label":"page"}],"schema":"https://github.com/citation-style-language/schema/raw/master/csl-citation.json"} </w:instrText>
      </w:r>
      <w:r w:rsidR="5F629157" w:rsidRPr="00DA249F">
        <w:rPr>
          <w:lang w:val="en-GB"/>
        </w:rPr>
        <w:fldChar w:fldCharType="separate"/>
      </w:r>
      <w:r w:rsidR="00144D96" w:rsidRPr="00144D96">
        <w:t>(Hulme, 2017)</w:t>
      </w:r>
      <w:r w:rsidR="5F629157" w:rsidRPr="00DA249F">
        <w:rPr>
          <w:lang w:val="en-GB"/>
        </w:rPr>
        <w:fldChar w:fldCharType="end"/>
      </w:r>
      <w:r w:rsidR="00F57285" w:rsidRPr="00DA249F">
        <w:rPr>
          <w:lang w:val="en-GB"/>
        </w:rPr>
        <w:t>. However</w:t>
      </w:r>
      <w:r w:rsidR="5F629157" w:rsidRPr="00DA249F">
        <w:rPr>
          <w:lang w:val="en-GB"/>
        </w:rPr>
        <w:t xml:space="preserve">, global and quantitative assessments on the response of </w:t>
      </w:r>
      <w:r w:rsidR="1D0F5963" w:rsidRPr="00DA249F">
        <w:rPr>
          <w:lang w:val="en-GB"/>
        </w:rPr>
        <w:t xml:space="preserve">invasive alien species </w:t>
      </w:r>
      <w:r w:rsidR="5F629157" w:rsidRPr="00DA249F">
        <w:rPr>
          <w:lang w:val="en-GB"/>
        </w:rPr>
        <w:t>to extreme</w:t>
      </w:r>
      <w:r w:rsidR="003006F6">
        <w:rPr>
          <w:lang w:val="en-GB"/>
        </w:rPr>
        <w:t xml:space="preserve"> climatic</w:t>
      </w:r>
      <w:r w:rsidR="5F629157" w:rsidRPr="00DA249F">
        <w:rPr>
          <w:lang w:val="en-GB"/>
        </w:rPr>
        <w:t xml:space="preserve"> events seem to be limited </w:t>
      </w:r>
      <w:r w:rsidR="00F57285" w:rsidRPr="00DA249F">
        <w:rPr>
          <w:lang w:val="en-GB"/>
        </w:rPr>
        <w:t xml:space="preserve">even </w:t>
      </w:r>
      <w:r w:rsidR="5F629157" w:rsidRPr="00DA249F">
        <w:rPr>
          <w:lang w:val="en-GB"/>
        </w:rPr>
        <w:t xml:space="preserve">for </w:t>
      </w:r>
      <w:r w:rsidR="00C12224" w:rsidRPr="00DA249F">
        <w:rPr>
          <w:lang w:val="en-GB"/>
        </w:rPr>
        <w:t xml:space="preserve">generally better-studied </w:t>
      </w:r>
      <w:r w:rsidR="00F57285" w:rsidRPr="00DA249F">
        <w:rPr>
          <w:lang w:val="en-GB"/>
        </w:rPr>
        <w:t xml:space="preserve">taxonomic </w:t>
      </w:r>
      <w:r w:rsidR="00C12224" w:rsidRPr="00DA249F">
        <w:rPr>
          <w:lang w:val="en-GB"/>
        </w:rPr>
        <w:t xml:space="preserve">groups such as </w:t>
      </w:r>
      <w:r w:rsidR="5F629157" w:rsidRPr="00DA249F">
        <w:rPr>
          <w:lang w:val="en-GB"/>
        </w:rPr>
        <w:t xml:space="preserve">plants </w:t>
      </w:r>
      <w:r w:rsidR="5F629157" w:rsidRPr="00DA249F">
        <w:rPr>
          <w:lang w:val="en-GB"/>
        </w:rPr>
        <w:fldChar w:fldCharType="begin"/>
      </w:r>
      <w:r w:rsidR="00331A79">
        <w:rPr>
          <w:lang w:val="en-GB"/>
        </w:rPr>
        <w:instrText xml:space="preserve"> ADDIN ZOTERO_ITEM CSL_CITATION {"citationID":"Mm4WPBWk","properties":{"formattedCitation":"(Orsenigo et al., 2014)","plainCitation":"(Orsenigo et al., 2014)","noteIndex":0},"citationItems":[{"id":15227,"uris":["http://zotero.org/groups/2352922/items/ZCBCM4JT"],"itemData":{"id":15227,"type":"article-journal","abstract":"Current climatic models predict increasing frequency and magnitude of extreme climatic events (ECEs). Ecological studies recognize the importance of these extremes as drivers of plant growth and mortality, as well as drivers of ecological and evolutionary processes. Here we review observational and experimental studies on ECEs on herbaceous plants and shrubs. Extreme events considered were heat waves, drought, advanced or delayed snowmelt, heavy rainfalls, frosts, pulsed watering and flooding. We analysed 39 studies dealing with direct response of plant to ECEs in different ecosystems, with a particular focus on cold ecosystems (alpine and arctic). Although the number of studies increases every year, the understanding of ecological consequences of ECEs is fragmentary. In general, ECEs affected negatively on physiological processes (efficiency of photosystem II, stomatal conductance and leaf water potential), productivity and reproduction, and had consequences on population demography and recruitment several years after ECE. Indeed, the plant responses to ECEs were species specific and depended on the plant life stage and the timing of ECE. In fact, the magnitude of the effect of ECEs decreased over the growing season. Drought had the most severe effect on plants, while heat waves had minor effect if water was available. The overlap of different ECEs had an additive effect (e.g. drought associated to heat-waves). In general, both neutral or positive plant responses were found and acclimation is possible. In some cases, ECEs exert a strong selective pressure on plant species.","container-title":"Plant Ecology","DOI":"10.1007/s11258-014-0363-6","ISSN":"1573-5052","issue":"7","journalAbbreviation":"Plant Ecol","language":"en","page":"677-688","source":"Springer Link","title":"Some like it hot and some like it cold, but not too much: plant responses to climate extremes","title-short":"Some like it hot and some like it cold, but not too much","URL":"https://doi.org/10.1007/s11258-014-0363-6","volume":"215","author":[{"family":"Orsenigo","given":"Simone"},{"family":"Mondoni","given":"Andrea"},{"family":"Rossi","given":"Graziano"},{"family":"Abeli","given":"Thomas"}],"accessed":{"date-parts":[["2019",9,24]]},"issued":{"date-parts":[["2014",7,1]]}},"label":"page"}],"schema":"https://github.com/citation-style-language/schema/raw/master/csl-citation.json"} </w:instrText>
      </w:r>
      <w:r w:rsidR="5F629157" w:rsidRPr="00DA249F">
        <w:rPr>
          <w:lang w:val="en-GB"/>
        </w:rPr>
        <w:fldChar w:fldCharType="separate"/>
      </w:r>
      <w:r w:rsidR="00144D96" w:rsidRPr="00144D96">
        <w:t>(Orsenigo et al., 2014)</w:t>
      </w:r>
      <w:r w:rsidR="5F629157" w:rsidRPr="00DA249F">
        <w:rPr>
          <w:lang w:val="en-GB"/>
        </w:rPr>
        <w:fldChar w:fldCharType="end"/>
      </w:r>
      <w:r w:rsidR="5F629157" w:rsidRPr="00DA249F">
        <w:rPr>
          <w:lang w:val="en-GB"/>
        </w:rPr>
        <w:t xml:space="preserve"> and insects </w:t>
      </w:r>
      <w:r w:rsidR="5F629157" w:rsidRPr="00DA249F">
        <w:rPr>
          <w:lang w:val="en-GB"/>
        </w:rPr>
        <w:fldChar w:fldCharType="begin"/>
      </w:r>
      <w:r w:rsidR="00331A79">
        <w:rPr>
          <w:lang w:val="en-GB"/>
        </w:rPr>
        <w:instrText xml:space="preserve"> ADDIN ZOTERO_ITEM CSL_CITATION {"citationID":"ljIA50uT","properties":{"formattedCitation":"(Bale et al., 2002)","plainCitation":"(Bale et al., 2002)","noteIndex":0},"citationItems":[{"id":31916,"uris":["http://zotero.org/groups/2352922/items/37XQGWYC"],"itemData":{"id":31916,"type":"article-journal","abstract":"This review examines the direct effects of climate change on insect herbivores. Temperature is identified as the dominant abiotic factor directly affecting herbivorous insects. There is little evidence of any direct effects of CO2 or UVB. Direct impacts of precipitation have been largely neglected in current research on climate change. Temperature directly affects development, survival, range and abundance. Species with a large geographical range will tend to be less affected. The main effect of temperature in temperate regions is to influence winter survival; at more northerly latitudes, higher temperatures extend the summer season, increasing the available thermal budget for growth and reproduction. Photoperiod is the dominant cue for the seasonal synchrony of temperate insects, but their thermal requirements may differ at different times of year. Interactions between photoperiod and temperature determine phenology; the two factors do not necessarily operate in tandem. Insect herbivores show a number of distinct life-history strategies to exploit plants with different growth forms and strategies, which will be differentially affected by climate warming. There are still many challenges facing biologists in predicting and monitoring the impacts of climate change. Future research needs to consider insect herbivore phenotypic and genotypic flexibility, their responses to global change parameters operating in concert, and awareness that some patterns may only become apparent in the longer term.","container-title":"Global Change Biology","DOI":"10.1046/j.1365-2486.2002.00451.x","ISSN":"1365-2486","issue":"1","language":"en","page":"1-16","source":"Wiley Online Library","title":"Herbivory in global climate change research: direct effects of rising temperature on insect herbivores","title-short":"Herbivory in global climate change research","URL":"https://onlinelibrary.wiley.com/doi/abs/10.1046/j.1365-2486.2002.00451.x","volume":"8","author":[{"family":"Bale","given":"Jeffery S."},{"family":"Masters","given":"Gregory J."},{"family":"Hodkinson","given":"Ian D."},{"family":"Awmack","given":"Caroline"},{"family":"Bezemer","given":"T. Martijn"},{"family":"Brown","given":"Valerie K."},{"family":"Butterfield","given":"Jennifer"},{"family":"Buse","given":"Alan"},{"family":"Coulson","given":"John C."},{"family":"Farrar","given":"John"},{"family":"Good","given":"John E. G."},{"family":"Harrington","given":"Richard"},{"family":"Hartley","given":"Susane"},{"family":"Jones","given":"T. Hefin"},{"family":"Lindroth","given":"Richard L."},{"family":"Press","given":"Malcolm C."},{"family":"Symrnioudis","given":"Ilias"},{"family":"Watt","given":"Allan D."},{"family":"Whittaker","given":"John B."}],"accessed":{"date-parts":[["2019",10,24]]},"issued":{"date-parts":[["2002"]]}},"label":"page"}],"schema":"https://github.com/citation-style-language/schema/raw/master/csl-citation.json"} </w:instrText>
      </w:r>
      <w:r w:rsidR="5F629157" w:rsidRPr="00DA249F">
        <w:rPr>
          <w:lang w:val="en-GB"/>
        </w:rPr>
        <w:fldChar w:fldCharType="separate"/>
      </w:r>
      <w:r w:rsidR="00144D96" w:rsidRPr="00144D96">
        <w:t>(Bale et al., 2002)</w:t>
      </w:r>
      <w:r w:rsidR="5F629157" w:rsidRPr="00DA249F">
        <w:rPr>
          <w:lang w:val="en-GB"/>
        </w:rPr>
        <w:fldChar w:fldCharType="end"/>
      </w:r>
      <w:r w:rsidR="5F629157" w:rsidRPr="00DA249F">
        <w:rPr>
          <w:lang w:val="en-GB"/>
        </w:rPr>
        <w:t>.</w:t>
      </w:r>
      <w:r w:rsidR="3E032164" w:rsidRPr="00DA249F">
        <w:rPr>
          <w:lang w:val="en-GB"/>
        </w:rPr>
        <w:t xml:space="preserve"> </w:t>
      </w:r>
    </w:p>
    <w:p w14:paraId="0AF1CF9E" w14:textId="3ECC1139" w:rsidR="00961B1B" w:rsidRPr="009C1256" w:rsidRDefault="5F629157" w:rsidP="0096470C">
      <w:pPr>
        <w:spacing w:before="0" w:after="0"/>
        <w:rPr>
          <w:rFonts w:ascii="Calibri" w:eastAsia="Times New Roman" w:hAnsi="Calibri" w:cs="Calibri"/>
          <w:color w:val="000000"/>
          <w:sz w:val="22"/>
          <w:lang w:val="en-GB" w:eastAsia="zh-CN"/>
        </w:rPr>
      </w:pPr>
      <w:r w:rsidRPr="00DA249F">
        <w:rPr>
          <w:lang w:val="en-GB"/>
        </w:rPr>
        <w:t xml:space="preserve">There is evidence that </w:t>
      </w:r>
      <w:r w:rsidR="3D116453" w:rsidRPr="00DA249F">
        <w:rPr>
          <w:lang w:val="en-GB"/>
        </w:rPr>
        <w:t>climate extremes</w:t>
      </w:r>
      <w:r w:rsidRPr="00DA249F">
        <w:rPr>
          <w:lang w:val="en-GB"/>
        </w:rPr>
        <w:t xml:space="preserve"> (</w:t>
      </w:r>
      <w:r w:rsidR="40CC2543" w:rsidRPr="00DA249F">
        <w:rPr>
          <w:lang w:val="en-GB"/>
        </w:rPr>
        <w:t xml:space="preserve">e.g., </w:t>
      </w:r>
      <w:r w:rsidRPr="00DA249F">
        <w:rPr>
          <w:lang w:val="en-GB"/>
        </w:rPr>
        <w:t>heavy winds, hurricanes, storms and floods) enhance long</w:t>
      </w:r>
      <w:r w:rsidR="007736A7" w:rsidRPr="00DA249F">
        <w:rPr>
          <w:lang w:val="en-GB"/>
        </w:rPr>
        <w:t>-distance</w:t>
      </w:r>
      <w:r w:rsidRPr="00DA249F">
        <w:rPr>
          <w:lang w:val="en-GB"/>
        </w:rPr>
        <w:t xml:space="preserve"> transport and spread of </w:t>
      </w:r>
      <w:r w:rsidR="1D0F5963" w:rsidRPr="00DA249F">
        <w:rPr>
          <w:lang w:val="en-GB"/>
        </w:rPr>
        <w:t xml:space="preserve">invasive alien </w:t>
      </w:r>
      <w:r w:rsidRPr="00DA249F">
        <w:rPr>
          <w:lang w:val="en-GB"/>
        </w:rPr>
        <w:t>plants, vertebrates, invertebrates</w:t>
      </w:r>
      <w:r w:rsidR="00774819">
        <w:rPr>
          <w:lang w:val="en-GB"/>
        </w:rPr>
        <w:t xml:space="preserve"> and</w:t>
      </w:r>
      <w:r w:rsidR="00D6652A" w:rsidRPr="00DA249F">
        <w:rPr>
          <w:lang w:val="en-GB"/>
        </w:rPr>
        <w:t xml:space="preserve"> </w:t>
      </w:r>
      <w:r w:rsidR="00C15233" w:rsidRPr="00DA249F">
        <w:rPr>
          <w:lang w:val="en-GB"/>
        </w:rPr>
        <w:t xml:space="preserve">invasive </w:t>
      </w:r>
      <w:r w:rsidR="234D9E7F" w:rsidRPr="00DA249F">
        <w:rPr>
          <w:lang w:val="en-GB"/>
        </w:rPr>
        <w:t>alien</w:t>
      </w:r>
      <w:r w:rsidR="3AD3F2C4" w:rsidRPr="00DA249F">
        <w:rPr>
          <w:lang w:val="en-GB"/>
        </w:rPr>
        <w:t xml:space="preserve"> </w:t>
      </w:r>
      <w:r w:rsidR="7C13DFFA" w:rsidRPr="00DA249F">
        <w:rPr>
          <w:lang w:val="en-GB"/>
        </w:rPr>
        <w:t>s</w:t>
      </w:r>
      <w:r w:rsidR="3AD3F2C4" w:rsidRPr="00DA249F">
        <w:rPr>
          <w:lang w:val="en-GB"/>
        </w:rPr>
        <w:t>pecies</w:t>
      </w:r>
      <w:r w:rsidR="00D6652A" w:rsidRPr="00DA249F">
        <w:rPr>
          <w:lang w:val="en-GB"/>
        </w:rPr>
        <w:t xml:space="preserve"> that are </w:t>
      </w:r>
      <w:r w:rsidR="00506440" w:rsidRPr="00DA249F">
        <w:rPr>
          <w:lang w:val="en-GB"/>
        </w:rPr>
        <w:t>agricultural pests</w:t>
      </w:r>
      <w:r w:rsidRPr="00DA249F">
        <w:rPr>
          <w:lang w:val="en-GB"/>
        </w:rPr>
        <w:t xml:space="preserve"> and pathogens </w:t>
      </w:r>
      <w:r w:rsidRPr="00DA249F">
        <w:rPr>
          <w:lang w:val="en-GB"/>
        </w:rPr>
        <w:fldChar w:fldCharType="begin"/>
      </w:r>
      <w:r w:rsidR="00331A79">
        <w:rPr>
          <w:lang w:val="en-GB"/>
        </w:rPr>
        <w:instrText xml:space="preserve"> ADDIN ZOTERO_ITEM CSL_CITATION {"citationID":"G9TRGPPI","properties":{"formattedCitation":"(Aylor, 2003; J. K. M. Brown &amp; Hovm\\uc0\\u248{}ller, 2002; Diez et al., 2012; Hellmann et al., 2008; Nagarajan &amp; Singh, 1990)","plainCitation":"(Aylor, 2003; J. K. M. Brown &amp; Hovmøller, 2002; Diez et al., 2012; Hellmann et al., 2008; Nagarajan &amp; Singh, 1990)","noteIndex":0},"citationItems":[{"id":52680,"uris":["http://zotero.org/groups/2352922/items/XTVJCKE6"],"itemData":{"id":52680,"type":"article-journal","container-title":"Ecology","issue":"8","note":"ISBN: 1939-9170\npublisher: Wiley Online Library","page":"1989-1997","title":"Spread of plant disease on a continental scale: role of aerial dispersal of pathogens","URL":"https://www.jstor.org/stable/3450023?seq=1&amp;cid=pdf-reference#references_tab_contents","volume":"84","author":[{"family":"Aylor","given":"Donald E."}],"issued":{"date-parts":[["2003"]]}},"label":"page"},{"id":52679,"uris":["http://zotero.org/groups/2352922/items/LQGPFZYP"],"itemData":{"id":52679,"type":"article-journal","container-title":"Science","DOI":"10.1126/science.1072678","issue":"5581","note":"ISBN: 1095-9203\npublisher: American Association for the Advancement of Science","page":"537-541","title":"Aerial dispersal of pathogens on the global and continental scales and its impact on plant disease","volume":"297","author":[{"family":"Brown","given":"James K. M."},{"family":"Hovmøller","given":"Mogens S."}],"issued":{"date-parts":[["2002"]]}},"label":"page"},{"id":30435,"uris":["http://zotero.org/groups/2352922/items/L6RHC4CK"],"itemData":{"id":30435,"type":"article-journal","abstract":"Extreme climatic events (ECEs) – such as unusual heat waves, hurricanes, floods, and droughts – can dramatically affect ecological and evolutionary processes, and these events are projected to become more frequent and more intense with ongoing climate change. However, the implications of ECEs for biological invasions remain poorly understood. Using concepts and empirical evidence from invasion ecology, we identify mechanisms by which ECEs may influence the invasion process, from initial introduction through establishment and spread. We summarize how ECEs can enhance invasions by promoting the transport of propagules into new regions, by decreasing the resistance of native communities to establishment, and also sometimes by putting existing non-native species at a competitive disadvantage. Finally, we outline priority research areas and management approaches for anticipating future risks of unwanted invasions following ECEs. Given predicted increases in both ECE occurrence and rates of species introductions around the globe during the coming decades, there is an urgent need to understand how these two processes interact to affect ecosystem composition and functioning.","container-title":"Frontiers in Ecology and the Environment","DOI":"10.1890/110137","ISSN":"1540-9309","issue":"5","journalAbbreviation":"Front. Ecol. Environ.","language":"en","license":"© The Ecological Society of America","note":"WOS:000305170600016","page":"249-257","source":"Wiley Online Library","title":"Will extreme climatic events facilitate biological invasions?","URL":"https://esajournals.onlinelibrary.wiley.com/doi/abs/10.1890/110137","volume":"10","author":[{"family":"Diez","given":"Jeffrey M."},{"family":"D'Antonio","given":"Carla M."},{"family":"Dukes","given":"Jeffrey S."},{"family":"Grosholz","given":"Edwin D."},{"family":"Olden","given":"Julian D."},{"family":"Sorte","given":"Cascade JB"},{"family":"Blumenthal","given":"Dana M."},{"family":"Bradley","given":"Bethany A."},{"family":"Early","given":"Regan"},{"family":"Ibáñez","given":"Inés"},{"family":"Jones","given":"Sierra J."},{"family":"Lawler","given":"Joshua J."},{"family":"Miller","given":"Luke P."}],"accessed":{"date-parts":[["2019",9,18]]},"issued":{"date-parts":[["2012",6]]}},"label":"page"},{"id":32972,"uris":["http://zotero.org/groups/2352922/items/G25ZPKKG"],"itemData":{"id":32972,"type":"article-journal","abstract":"Abstract: Scientific and societal unknowns make it difficult to predict how global environmental changes such as climate change and biological invasions will affect ecological systems. In the long term, these changes may have interacting effects and compound the uncertainty associated with each individual driver. Nonetheless, invasive species are likely to respond in ways that should be qualitatively predictable, and some of these responses will be distinct from those of native counterparts. We used the stages of invasion known as the “invasion pathway” to identify 5 nonexclusive consequences of climate change for invasive species: (1) altered transport and introduction mechanisms, (2) establishment of new invasive species, (3) altered impact of existing invasive species, (4) altered distribution of existing invasive species, and (5) altered effectiveness of control strategies. We then used these consequences to identify testable hypotheses about the responses of invasive species to climate change and provide suggestions for invasive-species management plans. The 5 consequences also emphasize the need for enhanced environmental monitoring and expanded coordination among entities involved in invasive-species management.","container-title":"Conservation Biology","DOI":"10.1111/j.1523-1739.2008.00951.x","ISSN":"1523-1739","issue":"3","language":"en","license":"©2008 Society for Conservation Biology","note":"_eprint: https://conbio.onlinelibrary.wiley.com/doi/pdf/10.1111/j.1523-1739.2008.00951.x","page":"534-543","source":"Wiley Online Library","title":"Five Potential Consequences of Climate Change for Invasive Species","URL":"https://conbio.onlinelibrary.wiley.com/doi/abs/10.1111/j.1523-1739.2008.00951.x","volume":"22","author":[{"family":"Hellmann","given":"Jessica J."},{"family":"Byers","given":"James E."},{"family":"Bierwagen","given":"Britta G."},{"family":"Dukes","given":"Jeffrey S."}],"accessed":{"date-parts":[["2021",6,20]]},"issued":{"date-parts":[["2008"]]}},"label":"page"},{"id":52678,"uris":["http://zotero.org/groups/2352922/items/ZDD9WTCC"],"itemData":{"id":52678,"type":"article-journal","container-title":"Annual review of phytopathology","DOI":"10.1146/annurev.py.28.090190.001035","note":"ISBN: 0066-4286","page":"139-153","title":"Long-distance dispersion of rust pathogens.","URL":"https://www.annualreviews.org/doi/abs/10.1146/annurev.py.28.090190.001035?journalCode=phyto","volume":"28","author":[{"family":"Nagarajan","given":"S."},{"family":"Singh","given":"D. V."}],"issued":{"date-parts":[["1990"]]}},"label":"page"}],"schema":"https://github.com/citation-style-language/schema/raw/master/csl-citation.json"} </w:instrText>
      </w:r>
      <w:r w:rsidRPr="00DA249F">
        <w:rPr>
          <w:lang w:val="en-GB"/>
        </w:rPr>
        <w:fldChar w:fldCharType="separate"/>
      </w:r>
      <w:r w:rsidR="00144D96" w:rsidRPr="00144D96">
        <w:rPr>
          <w:szCs w:val="24"/>
        </w:rPr>
        <w:t>(Aylor, 2003; J. K. M. Brown &amp; Hovmøller, 2002; Diez et al., 2012; Hellmann et al., 2008; Nagarajan &amp; Singh, 1990)</w:t>
      </w:r>
      <w:r w:rsidRPr="00DA249F">
        <w:rPr>
          <w:lang w:val="en-GB"/>
        </w:rPr>
        <w:fldChar w:fldCharType="end"/>
      </w:r>
      <w:r w:rsidRPr="00DA249F">
        <w:rPr>
          <w:lang w:val="en-GB"/>
        </w:rPr>
        <w:t>.</w:t>
      </w:r>
      <w:r w:rsidR="5BBCEDAA" w:rsidRPr="00DA249F">
        <w:rPr>
          <w:lang w:val="en-GB"/>
        </w:rPr>
        <w:t xml:space="preserve"> </w:t>
      </w:r>
      <w:r w:rsidRPr="00DA249F">
        <w:rPr>
          <w:lang w:val="en-GB"/>
        </w:rPr>
        <w:t xml:space="preserve">In terrestrial ecosystems, extreme hurricanes in Northern and Central America </w:t>
      </w:r>
      <w:r w:rsidR="502FF09C" w:rsidRPr="00DA249F">
        <w:rPr>
          <w:lang w:val="en-GB"/>
        </w:rPr>
        <w:t>result</w:t>
      </w:r>
      <w:r w:rsidR="4DFADF74" w:rsidRPr="00DA249F">
        <w:rPr>
          <w:lang w:val="en-GB"/>
        </w:rPr>
        <w:t>ed</w:t>
      </w:r>
      <w:r w:rsidRPr="00DA249F">
        <w:rPr>
          <w:lang w:val="en-GB"/>
        </w:rPr>
        <w:t xml:space="preserve"> in the long-distance spread of invasive alien weeds </w:t>
      </w:r>
      <w:r w:rsidRPr="00DA249F">
        <w:rPr>
          <w:lang w:val="en-GB"/>
        </w:rPr>
        <w:fldChar w:fldCharType="begin"/>
      </w:r>
      <w:r w:rsidR="00331A79">
        <w:rPr>
          <w:lang w:val="en-GB"/>
        </w:rPr>
        <w:instrText xml:space="preserve"> ADDIN ZOTERO_ITEM CSL_CITATION {"citationID":"mWX9k9X4","properties":{"formattedCitation":"(Masters &amp; Norgrove, 2010)","plainCitation":"(Masters &amp; Norgrove, 2010)","noteIndex":0},"citationItems":[{"id":25055,"uris":["http://zotero.org/groups/2352922/items/MI4X53M3"],"itemData":{"id":25055,"type":"report","genre":"CABI Working Paper 1","page":"30","title":"Climate change and invasive alien species","URL":"https://www.cabi.org/Uploads/CABI/expertise/invasive-alien-species-working-paper.pdf","author":[{"family":"Masters","given":"Greg"},{"family":"Norgrove","given":"Lindsey"}],"issued":{"date-parts":[["2010"]]}},"label":"page"}],"schema":"https://github.com/citation-style-language/schema/raw/master/csl-citation.json"} </w:instrText>
      </w:r>
      <w:r w:rsidRPr="00DA249F">
        <w:rPr>
          <w:lang w:val="en-GB"/>
        </w:rPr>
        <w:fldChar w:fldCharType="separate"/>
      </w:r>
      <w:r w:rsidR="00144D96" w:rsidRPr="00144D96">
        <w:t>(Masters &amp; Norgrove, 2010)</w:t>
      </w:r>
      <w:r w:rsidRPr="00DA249F">
        <w:rPr>
          <w:lang w:val="en-GB"/>
        </w:rPr>
        <w:fldChar w:fldCharType="end"/>
      </w:r>
      <w:r w:rsidRPr="00DA249F">
        <w:rPr>
          <w:lang w:val="en-GB"/>
        </w:rPr>
        <w:t xml:space="preserve">, alien </w:t>
      </w:r>
      <w:r w:rsidRPr="009C1256">
        <w:rPr>
          <w:lang w:val="en-GB"/>
        </w:rPr>
        <w:t xml:space="preserve">vertebrates (e.g., </w:t>
      </w:r>
      <w:r w:rsidRPr="009C1256">
        <w:rPr>
          <w:i/>
          <w:lang w:val="en-GB"/>
        </w:rPr>
        <w:t>Iguana</w:t>
      </w:r>
      <w:r w:rsidRPr="009C1256">
        <w:rPr>
          <w:i/>
          <w:iCs/>
          <w:lang w:val="en-GB"/>
        </w:rPr>
        <w:t xml:space="preserve"> iguana</w:t>
      </w:r>
      <w:r w:rsidR="0096470C" w:rsidRPr="009C1256">
        <w:rPr>
          <w:iCs/>
          <w:lang w:val="en-GB"/>
        </w:rPr>
        <w:t xml:space="preserve"> (</w:t>
      </w:r>
      <w:r w:rsidR="00F816CA" w:rsidRPr="009C1256">
        <w:rPr>
          <w:lang w:val="en-GB"/>
        </w:rPr>
        <w:t>iguana</w:t>
      </w:r>
      <w:r w:rsidR="0096470C" w:rsidRPr="009C1256">
        <w:rPr>
          <w:lang w:val="en-GB"/>
        </w:rPr>
        <w:t>)</w:t>
      </w:r>
      <w:r w:rsidR="00774819">
        <w:rPr>
          <w:lang w:val="en-GB"/>
        </w:rPr>
        <w:t xml:space="preserve"> and</w:t>
      </w:r>
      <w:r w:rsidR="002621D9" w:rsidRPr="009C1256">
        <w:rPr>
          <w:lang w:val="en-GB"/>
        </w:rPr>
        <w:t xml:space="preserve"> </w:t>
      </w:r>
      <w:r w:rsidRPr="009C1256">
        <w:rPr>
          <w:i/>
          <w:iCs/>
          <w:lang w:val="en-GB"/>
        </w:rPr>
        <w:t>Osteopilus septentrionalis</w:t>
      </w:r>
      <w:r w:rsidR="0096470C" w:rsidRPr="009C1256">
        <w:rPr>
          <w:i/>
          <w:iCs/>
          <w:lang w:val="en-GB"/>
        </w:rPr>
        <w:t xml:space="preserve"> </w:t>
      </w:r>
      <w:r w:rsidR="0096470C" w:rsidRPr="009C1256">
        <w:rPr>
          <w:iCs/>
          <w:lang w:val="en-GB"/>
        </w:rPr>
        <w:t>(</w:t>
      </w:r>
      <w:r w:rsidR="7D1EF234" w:rsidRPr="009C1256">
        <w:rPr>
          <w:lang w:val="en-GB"/>
        </w:rPr>
        <w:t>Cuban treefrog</w:t>
      </w:r>
      <w:r w:rsidR="0096470C" w:rsidRPr="009C1256">
        <w:rPr>
          <w:lang w:val="en-GB"/>
        </w:rPr>
        <w:t>)</w:t>
      </w:r>
      <w:r w:rsidR="003B331F" w:rsidRPr="009C1256">
        <w:rPr>
          <w:lang w:val="en-GB"/>
        </w:rPr>
        <w:t>;</w:t>
      </w:r>
      <w:r w:rsidRPr="009C1256">
        <w:rPr>
          <w:lang w:val="en-GB"/>
        </w:rPr>
        <w:t xml:space="preserve"> </w:t>
      </w:r>
      <w:r w:rsidRPr="009C1256">
        <w:rPr>
          <w:lang w:val="en-GB"/>
        </w:rPr>
        <w:fldChar w:fldCharType="begin"/>
      </w:r>
      <w:r w:rsidR="00331A79">
        <w:rPr>
          <w:lang w:val="en-GB"/>
        </w:rPr>
        <w:instrText xml:space="preserve"> ADDIN ZOTERO_ITEM CSL_CITATION {"citationID":"15hPAk81","properties":{"formattedCitation":"(van den Burg et al., 2019)","plainCitation":"(van den Burg et al., 2019)","dontUpdate":true,"noteIndex":0},"citationItems":[{"id":32897,"uris":["http://zotero.org/groups/2352922/items/M3NQPACC"],"itemData":{"id":32897,"type":"article-journal","abstract":"Invasive alien species (IAS) are a main driver of current global change and contribute significantly to decreases in biodiversity worldwide. To prevent new introductions and establishment of IAS, it is important to identify mechanisms of incursion. On 18 September 2017, Hurricane Maria, a category-5 Atlantic storm, made landfall on the Commonwealth of Dominica causing widespread destruction. Responding to the post-hurricane situation, countries and organizations provided a large range of aid including funds, medical and security support, and relief supplies. Here we report the incursion and establishment of two vertebrate IAS on Dominica during the aftermath of Hurricane Maria—the Common Green Iguana (Iguana iguana) and Cuban Treefrog (Osteopilus septentrionalis)—representing a 20% increase in vertebrate alien species on Dominica. We also report observations of Venezuela Snouted Treefrogs (Scinax x-signatus). Collectively, these species were found at four sites spread along the Caribbean and south coast of Dominica, within or near ports of entry. Invasions of I. iguana and O. septentrionalis are especially worrisome given their known impacts on native species on other Caribbean islands. Though understandable given the human impact caused by severe weather events, these incursions suggest that biosecurity is not implemented by aid-facilitating countries and organizations. With the predicted increase in hurricane intensity and frequency, we suggest basic biosecurity and training programs to reduce incursion threats of IAS during future relief and recovery initiatives. For Dominica, we recommend mitigation programs with additional biological surveys to control and better understand the number of incursion and their impact on post-Maria Dominica.","container-title":"Biological Invasions","DOI":"10.1007/s10530-019-02107-5","ISSN":"1573-1464","journalAbbreviation":"Biol Invasions","language":"en","note":"container-title: Biological Invasions","source":"Springer Link","title":"Post-hurricane relief facilitates invasion and establishment of two invasive alien vertebrate species in the Commonwealth of Dominica, West Indies","URL":"https://doi.org/10.1007/s10530-019-02107-5","author":[{"family":"Burg","given":"Matthijs P.","non-dropping-particle":"van den"},{"family":"Brisbane","given":"Jeanelle L. K."},{"family":"Knapp","given":"Charles R."}],"accessed":{"date-parts":[["2019",11,16]]},"issued":{"date-parts":[["2019",10,14]]}},"label":"page"}],"schema":"https://github.com/citation-style-language/schema/raw/master/csl-citation.json"} </w:instrText>
      </w:r>
      <w:r w:rsidRPr="009C1256">
        <w:rPr>
          <w:lang w:val="en-GB"/>
        </w:rPr>
        <w:fldChar w:fldCharType="separate"/>
      </w:r>
      <w:r w:rsidR="00115307" w:rsidRPr="009C1256">
        <w:rPr>
          <w:lang w:val="en-GB"/>
        </w:rPr>
        <w:t>van den Burg et al., 2019)</w:t>
      </w:r>
      <w:r w:rsidRPr="009C1256">
        <w:rPr>
          <w:lang w:val="en-GB"/>
        </w:rPr>
        <w:fldChar w:fldCharType="end"/>
      </w:r>
      <w:r w:rsidRPr="009C1256">
        <w:rPr>
          <w:lang w:val="en-GB"/>
        </w:rPr>
        <w:t xml:space="preserve"> and diseases (</w:t>
      </w:r>
      <w:r w:rsidRPr="009C1256">
        <w:rPr>
          <w:i/>
          <w:iCs/>
          <w:lang w:val="en-GB"/>
        </w:rPr>
        <w:t>Xanthomonas axonopodis</w:t>
      </w:r>
      <w:r w:rsidR="0096470C" w:rsidRPr="009C1256">
        <w:rPr>
          <w:lang w:val="en-GB"/>
        </w:rPr>
        <w:t xml:space="preserve"> </w:t>
      </w:r>
      <w:r w:rsidR="0096470C" w:rsidRPr="009C1256">
        <w:rPr>
          <w:szCs w:val="24"/>
          <w:lang w:val="en-GB"/>
        </w:rPr>
        <w:t>(</w:t>
      </w:r>
      <w:r w:rsidR="00937AC5" w:rsidRPr="009C1256">
        <w:rPr>
          <w:rFonts w:eastAsia="Times New Roman"/>
          <w:color w:val="000000"/>
          <w:szCs w:val="24"/>
          <w:lang w:val="en-GB" w:eastAsia="zh-CN"/>
        </w:rPr>
        <w:t>gummosis: grasses</w:t>
      </w:r>
      <w:r w:rsidRPr="009C1256">
        <w:rPr>
          <w:lang w:val="en-GB"/>
        </w:rPr>
        <w:t>)</w:t>
      </w:r>
      <w:r w:rsidR="00115307" w:rsidRPr="009C1256">
        <w:rPr>
          <w:lang w:val="en-GB"/>
        </w:rPr>
        <w:fldChar w:fldCharType="begin"/>
      </w:r>
      <w:r w:rsidR="00331A79">
        <w:rPr>
          <w:lang w:val="en-GB"/>
        </w:rPr>
        <w:instrText xml:space="preserve"> ADDIN ZOTERO_ITEM CSL_CITATION {"citationID":"IPJnJen7","properties":{"formattedCitation":"(Masters &amp; Norgrove, 2010)","plainCitation":"(Masters &amp; Norgrove, 2010)","dontUpdate":true,"noteIndex":0},"citationItems":[{"id":25055,"uris":["http://zotero.org/groups/2352922/items/MI4X53M3"],"itemData":{"id":25055,"type":"report","genre":"CABI Working Paper 1","page":"30","title":"Climate change and invasive alien species","URL":"https://www.cabi.org/Uploads/CABI/expertise/invasive-alien-species-working-paper.pdf","author":[{"family":"Masters","given":"Greg"},{"family":"Norgrove","given":"Lindsey"}],"issued":{"date-parts":[["2010"]]}},"label":"page"}],"schema":"https://github.com/citation-style-language/schema/raw/master/csl-citation.json"} </w:instrText>
      </w:r>
      <w:r w:rsidR="00115307" w:rsidRPr="009C1256">
        <w:rPr>
          <w:lang w:val="en-GB"/>
        </w:rPr>
        <w:fldChar w:fldCharType="separate"/>
      </w:r>
      <w:r w:rsidR="009E2276" w:rsidRPr="009C1256">
        <w:rPr>
          <w:lang w:val="en-GB"/>
        </w:rPr>
        <w:t xml:space="preserve">; </w:t>
      </w:r>
      <w:r w:rsidR="00115307" w:rsidRPr="009C1256">
        <w:rPr>
          <w:lang w:val="en-GB"/>
        </w:rPr>
        <w:t>Masters &amp; Norgrove, 2010)</w:t>
      </w:r>
      <w:r w:rsidR="00115307" w:rsidRPr="009C1256">
        <w:rPr>
          <w:lang w:val="en-GB"/>
        </w:rPr>
        <w:fldChar w:fldCharType="end"/>
      </w:r>
      <w:r w:rsidRPr="009C1256">
        <w:rPr>
          <w:lang w:val="en-GB"/>
        </w:rPr>
        <w:t>. The frequency of hurricanes positively relates with the larg</w:t>
      </w:r>
      <w:r w:rsidR="007736A7" w:rsidRPr="009C1256">
        <w:rPr>
          <w:lang w:val="en-GB"/>
        </w:rPr>
        <w:t xml:space="preserve">e-scale pattern of spread of </w:t>
      </w:r>
      <w:r w:rsidRPr="009C1256">
        <w:rPr>
          <w:lang w:val="en-GB"/>
        </w:rPr>
        <w:t xml:space="preserve">alien </w:t>
      </w:r>
      <w:r w:rsidRPr="009C1256">
        <w:rPr>
          <w:i/>
          <w:iCs/>
          <w:lang w:val="en-GB"/>
        </w:rPr>
        <w:t>Phragmites australis</w:t>
      </w:r>
      <w:r w:rsidRPr="009C1256">
        <w:rPr>
          <w:lang w:val="en-GB"/>
        </w:rPr>
        <w:t xml:space="preserve"> </w:t>
      </w:r>
      <w:r w:rsidR="0096470C" w:rsidRPr="009C1256">
        <w:rPr>
          <w:lang w:val="en-GB"/>
        </w:rPr>
        <w:t>(</w:t>
      </w:r>
      <w:r w:rsidR="0096470C" w:rsidRPr="009C1256">
        <w:rPr>
          <w:rFonts w:eastAsia="Times New Roman"/>
          <w:color w:val="000000"/>
          <w:szCs w:val="24"/>
          <w:lang w:val="en-GB" w:eastAsia="zh-CN"/>
        </w:rPr>
        <w:t>common reed</w:t>
      </w:r>
      <w:r w:rsidR="0096470C" w:rsidRPr="009C1256">
        <w:rPr>
          <w:lang w:val="en-GB"/>
        </w:rPr>
        <w:t xml:space="preserve">) </w:t>
      </w:r>
      <w:r w:rsidRPr="009C1256">
        <w:rPr>
          <w:lang w:val="en-GB"/>
        </w:rPr>
        <w:t xml:space="preserve">in </w:t>
      </w:r>
      <w:r w:rsidR="007736A7" w:rsidRPr="009C1256">
        <w:rPr>
          <w:lang w:val="en-GB"/>
        </w:rPr>
        <w:t xml:space="preserve">the </w:t>
      </w:r>
      <w:r w:rsidR="26FD6D2C" w:rsidRPr="009C1256">
        <w:rPr>
          <w:lang w:val="en-GB"/>
        </w:rPr>
        <w:t xml:space="preserve">United States </w:t>
      </w:r>
      <w:r w:rsidRPr="009C1256">
        <w:rPr>
          <w:lang w:val="en-GB"/>
        </w:rPr>
        <w:fldChar w:fldCharType="begin"/>
      </w:r>
      <w:r w:rsidR="00710AC3">
        <w:rPr>
          <w:lang w:val="en-GB"/>
        </w:rPr>
        <w:instrText xml:space="preserve"> ADDIN ZOTERO_ITEM CSL_CITATION {"citationID":"kkDyfySi","properties":{"formattedCitation":"(Bhattarai &amp; Cronin, 2014)","plainCitation":"(Bhattarai &amp; Cronin, 2014)","noteIndex":0},"citationItems":[{"id":29788,"uris":["http://zotero.org/groups/2352922/items/X8XJMN8A"],"itemData":{"id":29788,"type":"article-journal","abstract":"Disturbances are a primary facilitator of the growth and spread of invasive species. However, the effects of large-scale disturbances, such as hurricanes and tropical storms, on the broad geographic patterns of invasive species growth and spread have not been investigated. We used historical aerial imagery to determine the growth rate of invasive Phragmites australis patches in wetlands along the Atlantic and Gulf Coasts of the United States. These were relatively undisturbed wetlands where P. australis had room for unrestricted growth. Over the past several decades, invasive P. australis stands expanded in size by 6–35% per year. Based on tropical storm and hurricane activity over that same time period, we found that the frequency of hurricane-force winds explained 81% of the variation in P. australis growth over this broad geographic range. The expansion of P. australis stands was strongly and positively correlated with hurricane frequency. In light of the many climatic models that predict an increase in the frequency and intensity of hurricanes over the next century, these results suggest a strong link between climate change and species invasion and a challenging future ahead for the management of invasive species.","container-title":"PLoS ONE","DOI":"10.1371/journal.pone.0098478","ISSN":"1932-6203","issue":"5","journalAbbreviation":"PLoS ONE","language":"en","page":"e98478","source":"PLoS Journals","title":"Hurricane Activity and the Large-Scale Pattern of Spread of an Invasive Plant Species","URL":"https://journals.plos.org/plosone/article?id=10.1371/journal.pone.0098478","volume":"9","author":[{"family":"Bhattarai","given":"Ganesh P."},{"family":"Cronin","given":"James T."}],"accessed":{"date-parts":[["2019",10,25]]},"issued":{"date-parts":[["2014",5,30]]}},"label":"page"}],"schema":"https://github.com/citation-style-language/schema/raw/master/csl-citation.json"} </w:instrText>
      </w:r>
      <w:r w:rsidRPr="009C1256">
        <w:rPr>
          <w:lang w:val="en-GB"/>
        </w:rPr>
        <w:fldChar w:fldCharType="separate"/>
      </w:r>
      <w:r w:rsidR="00144D96" w:rsidRPr="00144D96">
        <w:t>(Bhattarai &amp; Cronin, 2014)</w:t>
      </w:r>
      <w:r w:rsidRPr="009C1256">
        <w:rPr>
          <w:lang w:val="en-GB"/>
        </w:rPr>
        <w:fldChar w:fldCharType="end"/>
      </w:r>
      <w:r w:rsidRPr="009C1256">
        <w:rPr>
          <w:lang w:val="en-GB"/>
        </w:rPr>
        <w:t xml:space="preserve">. </w:t>
      </w:r>
    </w:p>
    <w:p w14:paraId="79B683FC" w14:textId="4831658A" w:rsidR="00961B1B" w:rsidRPr="00DA249F" w:rsidRDefault="00341EDA" w:rsidP="00810737">
      <w:pPr>
        <w:rPr>
          <w:lang w:val="en-GB"/>
        </w:rPr>
      </w:pPr>
      <w:r w:rsidRPr="009C1256">
        <w:rPr>
          <w:lang w:val="en-GB"/>
        </w:rPr>
        <w:t xml:space="preserve">In freshwater and marine biomes, extreme hydrological events </w:t>
      </w:r>
      <w:r w:rsidR="005103C2">
        <w:rPr>
          <w:lang w:val="en-GB"/>
        </w:rPr>
        <w:t xml:space="preserve">(sometimes caused by </w:t>
      </w:r>
      <w:r w:rsidR="005103C2" w:rsidRPr="009C1256">
        <w:rPr>
          <w:lang w:val="en-GB"/>
        </w:rPr>
        <w:t>strong winds</w:t>
      </w:r>
      <w:r w:rsidR="005103C2">
        <w:rPr>
          <w:lang w:val="en-GB"/>
        </w:rPr>
        <w:t>)</w:t>
      </w:r>
      <w:r w:rsidR="005103C2" w:rsidRPr="009C1256">
        <w:rPr>
          <w:lang w:val="en-GB"/>
        </w:rPr>
        <w:t xml:space="preserve"> </w:t>
      </w:r>
      <w:r w:rsidRPr="009C1256">
        <w:rPr>
          <w:lang w:val="en-GB"/>
        </w:rPr>
        <w:t xml:space="preserve">such as storms and floods may </w:t>
      </w:r>
      <w:r w:rsidR="00802BE4" w:rsidRPr="009C1256">
        <w:rPr>
          <w:lang w:val="en-GB"/>
        </w:rPr>
        <w:t>facilitate the transport, spread</w:t>
      </w:r>
      <w:r w:rsidR="00774819">
        <w:rPr>
          <w:lang w:val="en-GB"/>
        </w:rPr>
        <w:t xml:space="preserve"> and</w:t>
      </w:r>
      <w:r w:rsidR="00802BE4" w:rsidRPr="009C1256">
        <w:rPr>
          <w:lang w:val="en-GB"/>
        </w:rPr>
        <w:t xml:space="preserve"> establishment of invasive alien </w:t>
      </w:r>
      <w:r w:rsidRPr="009C1256">
        <w:rPr>
          <w:lang w:val="en-GB"/>
        </w:rPr>
        <w:t xml:space="preserve">aquatic organisms </w:t>
      </w:r>
      <w:r w:rsidRPr="009C1256">
        <w:rPr>
          <w:lang w:val="en-GB"/>
        </w:rPr>
        <w:fldChar w:fldCharType="begin"/>
      </w:r>
      <w:r w:rsidR="00331A79">
        <w:rPr>
          <w:lang w:val="en-GB"/>
        </w:rPr>
        <w:instrText xml:space="preserve"> ADDIN ZOTERO_ITEM CSL_CITATION {"citationID":"b3fKSKOT","properties":{"formattedCitation":"(Anufriieva &amp; Shadrin, 2018)","plainCitation":"(Anufriieva &amp; Shadrin, 2018)","noteIndex":0},"citationItems":[{"id":11532,"uris":["http://zotero.org/groups/2352922/items/HSUZCY25"],"itemData":{"id":11532,"type":"article-journal","abstract":"The number of alien species invasions steadily grows worldwide, as well as the frequency of extreme climatic/hydrological events (ECEs/EHEs). ECEs and the invasion of alien species are among the main reasons for catastrophic transformations of aquatic ecosystems, watersheds, and human activities worldwide. Along with other negative results ECE may facilitate biological invasions. The objective of this review paper is to summarize how extreme climatic events may improve the likelihood of successful invasions in aquatic ecosystems and analyze some of the mechanisms. The morphometric characteristics of water bodies and their positions in the landscape connectivity may influence lake processes. ECE may result in an extreme ecological response – destabilization of an ecosystem and abrupt shift towards an alternative new state. Lakes' peculiarities mediate the effect of ECE influences on a lake ecosystem and determine whether the ecosystem response will be catastrophic or not. Different ecosystem alternative stable states have different levels of ecosystem immunity to invasions. ECEs can destabilize ecosystems and push them towards a tipping point where an ecosystem is most vulnerable. In a destabilized ecosystem near tipping point, ecosystem immunity is sharply decreased and the ‘door’ for alien species opens. The invasion process has several steps, and ECEs influence all of them. We are beginning to understand the association of ECE with invasions; to gain a deeper understanding of this we should integrate and coordinate the joint efforts of climatologists, hydrologists, limnologists, ecologists and biologists in this direction.","collection-title":"Lake-catchment interactions and their responses to hydrological extremes","container-title":"Quaternary International","DOI":"10.1016/j.quaint.2017.12.006","ISSN":"1040-6182","journalAbbreviation":"Quaternary International","page":"11-15","source":"ScienceDirect","title":"Extreme hydrological events destabilize aquatic ecosystems and open doors for alien species","URL":"http://www.sciencedirect.com/science/article/pii/S104061821630742X","volume":"475","author":[{"family":"Anufriieva","given":"Elena V."},{"family":"Shadrin","given":"Nickolai V."}],"accessed":{"date-parts":[["2019",9,24]]},"issued":{"date-parts":[["2018",5,10]]}},"label":"page"}],"schema":"https://github.com/citation-style-language/schema/raw/master/csl-citation.json"} </w:instrText>
      </w:r>
      <w:r w:rsidRPr="009C1256">
        <w:rPr>
          <w:lang w:val="en-GB"/>
        </w:rPr>
        <w:fldChar w:fldCharType="separate"/>
      </w:r>
      <w:r w:rsidR="00144D96" w:rsidRPr="00144D96">
        <w:t>(Anufriieva &amp; Shadrin, 2018)</w:t>
      </w:r>
      <w:r w:rsidRPr="009C1256">
        <w:rPr>
          <w:lang w:val="en-GB"/>
        </w:rPr>
        <w:fldChar w:fldCharType="end"/>
      </w:r>
      <w:r w:rsidRPr="009C1256">
        <w:rPr>
          <w:lang w:val="en-GB"/>
        </w:rPr>
        <w:t xml:space="preserve">. </w:t>
      </w:r>
      <w:r w:rsidR="00802BE4" w:rsidRPr="009C1256">
        <w:rPr>
          <w:lang w:val="en-GB"/>
        </w:rPr>
        <w:t>S</w:t>
      </w:r>
      <w:r w:rsidRPr="009C1256">
        <w:rPr>
          <w:lang w:val="en-GB"/>
        </w:rPr>
        <w:t>evere floods may allow fishes</w:t>
      </w:r>
      <w:r w:rsidRPr="00DA249F">
        <w:rPr>
          <w:lang w:val="en-GB"/>
        </w:rPr>
        <w:t xml:space="preserve"> to escape from farm ponds and culture cages into natural water bodies </w:t>
      </w:r>
      <w:r w:rsidRPr="00DA249F">
        <w:rPr>
          <w:lang w:val="en-GB"/>
        </w:rPr>
        <w:fldChar w:fldCharType="begin"/>
      </w:r>
      <w:r w:rsidR="00331A79">
        <w:rPr>
          <w:lang w:val="en-GB"/>
        </w:rPr>
        <w:instrText xml:space="preserve"> ADDIN ZOTERO_ITEM CSL_CITATION {"citationID":"Q3QAH3cV","properties":{"formattedCitation":"(Canonico et al., 2005)","plainCitation":"(Canonico et al., 2005)","noteIndex":0},"citationItems":[{"id":30432,"uris":["http://zotero.org/groups/2352922/items/K9IXJA29"],"itemData":{"id":30432,"type":"article-journal","abstract":"1. The common name ‘tilapia’ refers to a group of tropical freshwater fish in the family Cichlidae (Oreochromis, Tilapia, and Sarotherodon spp.) that are indigenous to Africa and the southwestern Middle East. Since the 1930s, tilapias have been intentionally dispersed worldwide for the biological control of aquatic weeds and insects, as baitfish for certain capture fisheries, for aquaria, and as a food fish. They have most recently been promoted as an important source of protein that could provide food security for developing countries without the environmental problems associated with terrestrial agriculture. In addition, market demand for tilapia in developed countries such as the United States is growing rapidly. 2. Tilapias are well-suited to aquaculture because they are highly prolific and tolerant to a range of environmental conditions. They have come to be known as the ‘aquatic chicken’ because of their potential as an affordable, high-yield source of protein that can be easily raised in a range of environments — from subsistence or ‘backyard’ units to intensive fish hatcheries. In some countries, particularly in Asia, nearly all of the introduced tilapias produced are consumed domestically; tilapias have contributed to basic food security for such societies. 3. This review indicates that tilapia species are highly invasive and exist under feral conditions in every nation in which they have been cultured or introduced. Thus, the authors have concluded that, despite potential or observed benefits to human society, tilapia aquaculture and open-water introductions cannot continue unchecked without further exacerbating damage to native fish species and biodiversity. Recommendations include restricting tilapia culture to carefully managed, contained ponds, although exclusion is preferred when it is feasible. Research into culture of indigenous species is also recommended. Copyright © 2005 John Wiley &amp; Sons, Ltd.","container-title":"Aquatic Conservation: Marine and Freshwater Ecosystems","DOI":"10.1002/aqc.699","ISSN":"1099-0755","issue":"5","journalAbbreviation":"Aquatic Conserv: Mar. Freshw. Ecosyst.","language":"en","license":"Copyright © 2005 John Wiley &amp; Sons, Ltd.","page":"463-483","source":"Wiley Online Library","title":"The effects of introduced tilapias on native biodiversity","URL":"https://onlinelibrary.wiley.com/doi/abs/10.1002/aqc.699","volume":"15","author":[{"family":"Canonico","given":"Gabrielle C."},{"family":"Arthington","given":"Angela"},{"family":"McCrary","given":"Jeffrey K."},{"family":"Thieme","given":"Michele L."}],"accessed":{"date-parts":[["2019",11,28]]},"issued":{"date-parts":[["2005"]]}},"label":"page"}],"schema":"https://github.com/citation-style-language/schema/raw/master/csl-citation.json"} </w:instrText>
      </w:r>
      <w:r w:rsidRPr="00DA249F">
        <w:rPr>
          <w:lang w:val="en-GB"/>
        </w:rPr>
        <w:fldChar w:fldCharType="separate"/>
      </w:r>
      <w:r w:rsidR="00144D96" w:rsidRPr="00144D96">
        <w:t>(Canonico et al., 2005)</w:t>
      </w:r>
      <w:r w:rsidRPr="00DA249F">
        <w:rPr>
          <w:lang w:val="en-GB"/>
        </w:rPr>
        <w:fldChar w:fldCharType="end"/>
      </w:r>
      <w:r w:rsidRPr="00DA249F">
        <w:rPr>
          <w:lang w:val="en-GB"/>
        </w:rPr>
        <w:t xml:space="preserve">. The Foe </w:t>
      </w:r>
      <w:r w:rsidR="00564CAF" w:rsidRPr="00DA249F">
        <w:rPr>
          <w:lang w:val="en-GB"/>
        </w:rPr>
        <w:t>I</w:t>
      </w:r>
      <w:r w:rsidRPr="00DA249F">
        <w:rPr>
          <w:lang w:val="en-GB"/>
        </w:rPr>
        <w:t xml:space="preserve">ndigenous </w:t>
      </w:r>
      <w:r w:rsidR="007F2DE6" w:rsidRPr="00DA249F">
        <w:rPr>
          <w:lang w:val="en-GB"/>
        </w:rPr>
        <w:t>P</w:t>
      </w:r>
      <w:r w:rsidRPr="00DA249F">
        <w:rPr>
          <w:lang w:val="en-GB"/>
        </w:rPr>
        <w:t>eople around Lake Kutubu in the Southern Highlands Province of Papua New Guinea</w:t>
      </w:r>
      <w:r w:rsidR="00CA3032">
        <w:rPr>
          <w:lang w:val="en-GB"/>
        </w:rPr>
        <w:t xml:space="preserve"> have</w:t>
      </w:r>
      <w:r w:rsidRPr="00DA249F">
        <w:rPr>
          <w:lang w:val="en-GB"/>
        </w:rPr>
        <w:t xml:space="preserve"> also observe</w:t>
      </w:r>
      <w:r w:rsidR="00CA3032">
        <w:rPr>
          <w:lang w:val="en-GB"/>
        </w:rPr>
        <w:t>d</w:t>
      </w:r>
      <w:r w:rsidRPr="00DA249F">
        <w:rPr>
          <w:lang w:val="en-GB"/>
        </w:rPr>
        <w:t xml:space="preserve"> the </w:t>
      </w:r>
      <w:r w:rsidR="008F415C" w:rsidRPr="00DA249F">
        <w:rPr>
          <w:lang w:val="en-GB"/>
        </w:rPr>
        <w:t>role</w:t>
      </w:r>
      <w:r w:rsidRPr="00DA249F">
        <w:rPr>
          <w:lang w:val="en-GB"/>
        </w:rPr>
        <w:t xml:space="preserve"> of climate extremes </w:t>
      </w:r>
      <w:r w:rsidR="00091A57" w:rsidRPr="00DA249F">
        <w:rPr>
          <w:lang w:val="en-GB"/>
        </w:rPr>
        <w:t>in facilita</w:t>
      </w:r>
      <w:r w:rsidR="00B54DC3" w:rsidRPr="00DA249F">
        <w:rPr>
          <w:lang w:val="en-GB"/>
        </w:rPr>
        <w:t>t</w:t>
      </w:r>
      <w:r w:rsidR="00091A57" w:rsidRPr="00DA249F">
        <w:rPr>
          <w:lang w:val="en-GB"/>
        </w:rPr>
        <w:t>ing</w:t>
      </w:r>
      <w:r w:rsidRPr="00DA249F">
        <w:rPr>
          <w:lang w:val="en-GB"/>
        </w:rPr>
        <w:t xml:space="preserve"> biological invasions</w:t>
      </w:r>
      <w:r w:rsidR="00CA3032">
        <w:rPr>
          <w:lang w:val="en-GB"/>
        </w:rPr>
        <w:t>.</w:t>
      </w:r>
      <w:r w:rsidRPr="00DA249F">
        <w:rPr>
          <w:lang w:val="en-GB"/>
        </w:rPr>
        <w:t xml:space="preserve"> </w:t>
      </w:r>
      <w:r w:rsidR="00925DBA">
        <w:rPr>
          <w:lang w:val="en-GB"/>
        </w:rPr>
        <w:t>T</w:t>
      </w:r>
      <w:r w:rsidRPr="00DA249F">
        <w:rPr>
          <w:lang w:val="en-GB"/>
        </w:rPr>
        <w:t>he shift from artisanal small-sc</w:t>
      </w:r>
      <w:r w:rsidR="004847D7" w:rsidRPr="00DA249F">
        <w:rPr>
          <w:lang w:val="en-GB"/>
        </w:rPr>
        <w:t>a</w:t>
      </w:r>
      <w:r w:rsidRPr="00DA249F">
        <w:rPr>
          <w:lang w:val="en-GB"/>
        </w:rPr>
        <w:t xml:space="preserve">le fishing to fish farming introduced alien fish (e.g., </w:t>
      </w:r>
      <w:r w:rsidRPr="00DA249F">
        <w:rPr>
          <w:i/>
          <w:lang w:val="en-GB"/>
        </w:rPr>
        <w:t>Cyprinus carpio</w:t>
      </w:r>
      <w:r w:rsidR="00A71653" w:rsidRPr="00DA249F">
        <w:rPr>
          <w:i/>
          <w:lang w:val="en-GB"/>
        </w:rPr>
        <w:t xml:space="preserve"> </w:t>
      </w:r>
      <w:r w:rsidR="0096470C" w:rsidRPr="00DA249F">
        <w:rPr>
          <w:lang w:val="en-GB"/>
        </w:rPr>
        <w:t>(</w:t>
      </w:r>
      <w:r w:rsidR="00A71653" w:rsidRPr="00DA249F">
        <w:rPr>
          <w:iCs/>
          <w:lang w:val="en-GB"/>
        </w:rPr>
        <w:t>common carp</w:t>
      </w:r>
      <w:r w:rsidR="0096470C" w:rsidRPr="00DA249F">
        <w:rPr>
          <w:iCs/>
          <w:lang w:val="en-GB"/>
        </w:rPr>
        <w:t>)</w:t>
      </w:r>
      <w:r w:rsidRPr="00DA249F">
        <w:rPr>
          <w:lang w:val="en-GB"/>
        </w:rPr>
        <w:t xml:space="preserve">) and </w:t>
      </w:r>
      <w:r w:rsidRPr="00DA249F">
        <w:rPr>
          <w:lang w:val="en-GB"/>
        </w:rPr>
        <w:lastRenderedPageBreak/>
        <w:t>plants (</w:t>
      </w:r>
      <w:r w:rsidR="0049291C" w:rsidRPr="00DA249F">
        <w:rPr>
          <w:i/>
          <w:lang w:val="en-GB"/>
        </w:rPr>
        <w:t>Pontederia</w:t>
      </w:r>
      <w:r w:rsidR="009E36DC" w:rsidRPr="00DA249F">
        <w:rPr>
          <w:i/>
          <w:lang w:val="en-GB"/>
        </w:rPr>
        <w:t xml:space="preserve"> </w:t>
      </w:r>
      <w:r w:rsidR="009E36DC" w:rsidRPr="00DA249F">
        <w:rPr>
          <w:rStyle w:val="eop"/>
          <w:i/>
          <w:lang w:val="en-GB"/>
        </w:rPr>
        <w:t>crassipes</w:t>
      </w:r>
      <w:r w:rsidR="00594808" w:rsidRPr="00DA249F">
        <w:rPr>
          <w:iCs/>
          <w:lang w:val="en-GB"/>
        </w:rPr>
        <w:t xml:space="preserve"> </w:t>
      </w:r>
      <w:r w:rsidR="0096470C" w:rsidRPr="00DA249F">
        <w:rPr>
          <w:iCs/>
          <w:lang w:val="en-GB"/>
        </w:rPr>
        <w:t>(</w:t>
      </w:r>
      <w:r w:rsidR="00594808" w:rsidRPr="00DA249F">
        <w:rPr>
          <w:iCs/>
          <w:lang w:val="en-GB"/>
        </w:rPr>
        <w:t>water hyacinth</w:t>
      </w:r>
      <w:r w:rsidR="0096470C" w:rsidRPr="00DA249F">
        <w:rPr>
          <w:iCs/>
          <w:lang w:val="en-GB"/>
        </w:rPr>
        <w:t>)</w:t>
      </w:r>
      <w:r w:rsidRPr="00DA249F">
        <w:rPr>
          <w:lang w:val="en-GB"/>
        </w:rPr>
        <w:t>) to fish farms, which the</w:t>
      </w:r>
      <w:r w:rsidR="00925DBA">
        <w:rPr>
          <w:lang w:val="en-GB"/>
        </w:rPr>
        <w:t>n</w:t>
      </w:r>
      <w:r w:rsidRPr="00DA249F">
        <w:rPr>
          <w:lang w:val="en-GB"/>
        </w:rPr>
        <w:t xml:space="preserve"> escaped into </w:t>
      </w:r>
      <w:r w:rsidR="00925DBA">
        <w:rPr>
          <w:lang w:val="en-GB"/>
        </w:rPr>
        <w:t>L</w:t>
      </w:r>
      <w:r w:rsidRPr="00DA249F">
        <w:rPr>
          <w:lang w:val="en-GB"/>
        </w:rPr>
        <w:t xml:space="preserve">ake </w:t>
      </w:r>
      <w:r w:rsidR="00925DBA">
        <w:rPr>
          <w:lang w:val="en-GB"/>
        </w:rPr>
        <w:t xml:space="preserve">Kutubu </w:t>
      </w:r>
      <w:r w:rsidRPr="00DA249F">
        <w:rPr>
          <w:lang w:val="en-GB"/>
        </w:rPr>
        <w:t>during heavy rains of 2010</w:t>
      </w:r>
      <w:r w:rsidR="00BD70D1">
        <w:rPr>
          <w:lang w:val="en-GB"/>
        </w:rPr>
        <w:t>-</w:t>
      </w:r>
      <w:r w:rsidRPr="00DA249F">
        <w:rPr>
          <w:lang w:val="en-GB"/>
        </w:rPr>
        <w:t xml:space="preserve">2012 </w:t>
      </w:r>
      <w:r w:rsidRPr="00DA249F">
        <w:rPr>
          <w:lang w:val="en-GB"/>
        </w:rPr>
        <w:fldChar w:fldCharType="begin"/>
      </w:r>
      <w:r w:rsidR="00331A79">
        <w:rPr>
          <w:lang w:val="en-GB"/>
        </w:rPr>
        <w:instrText xml:space="preserve"> ADDIN ZOTERO_ITEM CSL_CITATION {"citationID":"KV5PxjWj","properties":{"formattedCitation":"(P. T. Smith et al., 2016)","plainCitation":"(P. T. Smith et al., 2016)","noteIndex":0},"citationItems":[{"id":24722,"uris":["http://zotero.org/groups/2352922/items/55L47NTE"],"itemData":{"id":24722,"type":"article-journal","abstract":"Lake Kutubu is a tropical freshwater lake that is internationally renowned for its biodiversity, 12 endemic species of fish, wetlands, and swamp forests. This study reports on a fish kill and the introduction of exotic species, and it assesses impacts on fish stocks and the artisanal fishery. The fish kill, which began in January 2013 and lasted for 6 months, was characterized by fish pathologies consistent with epizootic ulcerative syndrome. Sleeper gobies and gudgeons (i.e., Mogurnda variegata Nichols, Mogurnda furva Allen &amp; Hoese, Mogurnda kutubuensis Allen &amp; Hoese, and Oxyeleotris fimbriata [Weber]) had more obvious signs of disease than did Hephaestus adamsoni (Trewavas), Melanotaenia lacustris Munro, and Craterocephalus lacustris Trewavas. The event coincided with an inflow of a plume of white particulates from the northeast, where hydrocarbon companies carried out extensive horizontal drilling in 2012–2013. Six months after the event, the main species caught by fishers were Cherax papuanus Holthuis (16%), H. adamsoni (55%) and M. lacustris (28%), which is different from the mix of species found in previous surveys of 1995 and 1997. The recent fish kill, as well as socioeconomic changes, substantially reduced the fish catch and fishing effort. Small-scale fish farmers began raising the genetically improved farmed tilapia strain of tilapia (Oreochromis niloticus Linnaeus) and common carp (Cyprinus carpio Linnaeus) in earthen ponds in 2009 and introduced water hyacinth (Eichhornia crassipes [Mart.] Solms) as a food for these fish. Heavy rains in 2010–2012 released farmed fish into the lake, and in May 2015, fishers report that the fish catch is dominated by tilapia. Improved strategies are required to educate stakeholders, assess fish stocks, and protect biodiversity by reducing anthropogenic impacts.","container-title":"Pacific Science","DOI":"10.2984/70.1.2","ISSN":"0030-8870, 1534-6188","issue":"1","journalAbbreviation":"Pacific Science","language":"en","page":"21-33","source":"DOI.org (Crossref)","title":"Impacts of a Fish Kill at Lake Kutubu, Papua New Guinea","URL":"http://www.bioone.org/doi/10.2984/70.1.2","volume":"70","author":[{"family":"Smith","given":"Paul T."},{"family":"Imbun","given":"Benedict Y."},{"family":"Duarte","given":"Fernanda P."}],"accessed":{"date-parts":[["2021",3,5]]},"issued":{"date-parts":[["2016",1]]}},"label":"page"}],"schema":"https://github.com/citation-style-language/schema/raw/master/csl-citation.json"} </w:instrText>
      </w:r>
      <w:r w:rsidRPr="00DA249F">
        <w:rPr>
          <w:lang w:val="en-GB"/>
        </w:rPr>
        <w:fldChar w:fldCharType="separate"/>
      </w:r>
      <w:r w:rsidR="00144D96" w:rsidRPr="00144D96">
        <w:t>(P. T. Smith et al., 2016)</w:t>
      </w:r>
      <w:r w:rsidRPr="00DA249F">
        <w:rPr>
          <w:lang w:val="en-GB"/>
        </w:rPr>
        <w:fldChar w:fldCharType="end"/>
      </w:r>
      <w:r w:rsidRPr="00DA249F">
        <w:rPr>
          <w:lang w:val="en-GB"/>
        </w:rPr>
        <w:t xml:space="preserve">. </w:t>
      </w:r>
    </w:p>
    <w:p w14:paraId="69F26576" w14:textId="77777777" w:rsidR="00562524" w:rsidRPr="00DA249F" w:rsidRDefault="00341EDA" w:rsidP="000E210F">
      <w:pPr>
        <w:spacing w:before="0" w:after="0"/>
        <w:rPr>
          <w:rFonts w:eastAsia="Times New Roman"/>
          <w:color w:val="000000"/>
          <w:szCs w:val="24"/>
          <w:lang w:val="en-GB" w:eastAsia="zh-CN"/>
        </w:rPr>
      </w:pPr>
      <w:r w:rsidRPr="00DA249F">
        <w:rPr>
          <w:lang w:val="en-GB"/>
        </w:rPr>
        <w:t xml:space="preserve">In polar ecosystems, genomic analyses revealed that </w:t>
      </w:r>
      <w:r w:rsidRPr="00DA249F">
        <w:rPr>
          <w:i/>
          <w:lang w:val="en-GB"/>
        </w:rPr>
        <w:t xml:space="preserve">Durvillaea </w:t>
      </w:r>
      <w:r w:rsidR="0049291C" w:rsidRPr="00DA249F">
        <w:rPr>
          <w:i/>
          <w:lang w:val="en-GB"/>
        </w:rPr>
        <w:t>a</w:t>
      </w:r>
      <w:r w:rsidR="0096470C" w:rsidRPr="00DA249F">
        <w:rPr>
          <w:i/>
          <w:lang w:val="en-GB"/>
        </w:rPr>
        <w:t>ntarctica</w:t>
      </w:r>
      <w:r w:rsidR="0096470C" w:rsidRPr="00DA249F">
        <w:rPr>
          <w:lang w:val="en-GB"/>
        </w:rPr>
        <w:t xml:space="preserve"> (</w:t>
      </w:r>
      <w:r w:rsidR="000E210F" w:rsidRPr="00DA249F">
        <w:rPr>
          <w:rFonts w:eastAsia="Times New Roman"/>
          <w:color w:val="000000"/>
          <w:szCs w:val="24"/>
          <w:lang w:val="en-GB" w:eastAsia="zh-CN"/>
        </w:rPr>
        <w:t>cochayuyo</w:t>
      </w:r>
      <w:r w:rsidR="0096470C" w:rsidRPr="00DA249F">
        <w:rPr>
          <w:lang w:val="en-GB"/>
        </w:rPr>
        <w:t>)</w:t>
      </w:r>
      <w:r w:rsidRPr="00DA249F">
        <w:rPr>
          <w:lang w:val="en-GB"/>
        </w:rPr>
        <w:t xml:space="preserve"> has recently travelled more than 20,000 km by storm-forced surface waves </w:t>
      </w:r>
      <w:r w:rsidR="003C5C79" w:rsidRPr="00DA249F">
        <w:rPr>
          <w:lang w:val="en-GB"/>
        </w:rPr>
        <w:t xml:space="preserve">(or </w:t>
      </w:r>
      <w:r w:rsidR="00282207" w:rsidRPr="00DA249F">
        <w:rPr>
          <w:lang w:val="en-GB"/>
        </w:rPr>
        <w:t>ocean</w:t>
      </w:r>
      <w:r w:rsidR="0023145E">
        <w:rPr>
          <w:lang w:val="en-GB"/>
        </w:rPr>
        <w:t>ic storm</w:t>
      </w:r>
      <w:r w:rsidR="00282207" w:rsidRPr="00DA249F">
        <w:rPr>
          <w:lang w:val="en-GB"/>
        </w:rPr>
        <w:t xml:space="preserve"> </w:t>
      </w:r>
      <w:r w:rsidR="003C5C79" w:rsidRPr="00DA249F">
        <w:rPr>
          <w:lang w:val="en-GB"/>
        </w:rPr>
        <w:t xml:space="preserve">waves) </w:t>
      </w:r>
      <w:r w:rsidRPr="00DA249F">
        <w:rPr>
          <w:lang w:val="en-GB"/>
        </w:rPr>
        <w:t xml:space="preserve">and reached Antarctica from mid-latitude source populations </w:t>
      </w:r>
      <w:r w:rsidRPr="00DA249F">
        <w:rPr>
          <w:lang w:val="en-GB"/>
        </w:rPr>
        <w:fldChar w:fldCharType="begin"/>
      </w:r>
      <w:r w:rsidR="00331A79">
        <w:rPr>
          <w:lang w:val="en-GB"/>
        </w:rPr>
        <w:instrText xml:space="preserve"> ADDIN ZOTERO_ITEM CSL_CITATION {"citationID":"duq8B4R7","properties":{"formattedCitation":"(C. I. Fraser et al., 2018)","plainCitation":"(C. I. Fraser et al., 2018)","noteIndex":0},"citationItems":[{"id":26982,"uris":["http://zotero.org/groups/2352922/items/QWVR65QQ"],"itemData":{"id":26982,"type":"article-journal","container-title":"Nature Climate Change","DOI":"10.1038/s41558-018-0209-7","ISSN":"1758-6798","issue":"8","language":"en","page":"704-708","title":"Antarctica’s ecological isolation will be broken by storm-driven dispersal and warming","URL":"https://www.nature.com/articles/s41558-018-0209-7","volume":"8","author":[{"family":"Fraser","given":"Ceridwen I."},{"family":"Morrison","given":"Adele K."},{"family":"McC Hogg","given":"Andrew"},{"family":"Macaya","given":"Erasmo C."},{"family":"Sebille","given":"Erik","dropping-particle":"van"},{"family":"Ryan","given":"Peter G."},{"family":"Padovan","given":"Amanda"},{"family":"Jack","given":"Cameron"},{"family":"Validivia","given":"Nelson"},{"family":"Waters","given":"Jonathan M."}],"issued":{"date-parts":[["2018",8]]}},"label":"page"}],"schema":"https://github.com/citation-style-language/schema/raw/master/csl-citation.json"} </w:instrText>
      </w:r>
      <w:r w:rsidRPr="00DA249F">
        <w:rPr>
          <w:lang w:val="en-GB"/>
        </w:rPr>
        <w:fldChar w:fldCharType="separate"/>
      </w:r>
      <w:r w:rsidR="00144D96" w:rsidRPr="00144D96">
        <w:t>(C. I. Fraser et al., 2018)</w:t>
      </w:r>
      <w:r w:rsidRPr="00DA249F">
        <w:rPr>
          <w:lang w:val="en-GB"/>
        </w:rPr>
        <w:fldChar w:fldCharType="end"/>
      </w:r>
      <w:r w:rsidRPr="00DA249F">
        <w:rPr>
          <w:lang w:val="en-GB"/>
        </w:rPr>
        <w:t xml:space="preserve">. In subarctic regions, extreme heatwaves cause hypoxia and high water temperatures, </w:t>
      </w:r>
      <w:r w:rsidR="00802BE4" w:rsidRPr="00DA249F">
        <w:rPr>
          <w:lang w:val="en-GB"/>
        </w:rPr>
        <w:t xml:space="preserve">which </w:t>
      </w:r>
      <w:r w:rsidRPr="00DA249F">
        <w:rPr>
          <w:lang w:val="en-GB"/>
        </w:rPr>
        <w:t>seem to lead to widespread mortality of native freshwater fishes</w:t>
      </w:r>
      <w:r w:rsidR="00BA7467">
        <w:rPr>
          <w:lang w:val="en-GB"/>
        </w:rPr>
        <w:t xml:space="preserve"> and</w:t>
      </w:r>
      <w:r w:rsidR="00802BE4" w:rsidRPr="00DA249F">
        <w:rPr>
          <w:lang w:val="en-GB"/>
        </w:rPr>
        <w:t xml:space="preserve"> </w:t>
      </w:r>
      <w:r w:rsidRPr="00DA249F">
        <w:rPr>
          <w:lang w:val="en-GB"/>
        </w:rPr>
        <w:t>facilitat</w:t>
      </w:r>
      <w:r w:rsidR="00673B88">
        <w:rPr>
          <w:lang w:val="en-GB"/>
        </w:rPr>
        <w:t>e</w:t>
      </w:r>
      <w:r w:rsidRPr="00DA249F">
        <w:rPr>
          <w:lang w:val="en-GB"/>
        </w:rPr>
        <w:t xml:space="preserve"> the invasion of cool</w:t>
      </w:r>
      <w:r w:rsidR="00CF1488" w:rsidRPr="00DA249F">
        <w:rPr>
          <w:lang w:val="en-GB"/>
        </w:rPr>
        <w:t xml:space="preserve"> and</w:t>
      </w:r>
      <w:r w:rsidRPr="00DA249F">
        <w:rPr>
          <w:lang w:val="en-GB"/>
        </w:rPr>
        <w:t xml:space="preserve"> warm</w:t>
      </w:r>
      <w:r w:rsidR="00CF1488" w:rsidRPr="00DA249F">
        <w:rPr>
          <w:lang w:val="en-GB"/>
        </w:rPr>
        <w:t xml:space="preserve"> </w:t>
      </w:r>
      <w:r w:rsidRPr="00DA249F">
        <w:rPr>
          <w:lang w:val="en-GB"/>
        </w:rPr>
        <w:t xml:space="preserve">water alien species </w:t>
      </w:r>
      <w:r w:rsidRPr="00DA249F">
        <w:rPr>
          <w:lang w:val="en-GB"/>
        </w:rPr>
        <w:fldChar w:fldCharType="begin"/>
      </w:r>
      <w:r w:rsidR="00331A79">
        <w:rPr>
          <w:lang w:val="en-GB"/>
        </w:rPr>
        <w:instrText xml:space="preserve"> ADDIN ZOTERO_ITEM CSL_CITATION {"citationID":"zv47pbM0","properties":{"formattedCitation":"(Rolls et al., 2017)","plainCitation":"(Rolls et al., 2017)","noteIndex":0},"citationItems":[{"id":30375,"uris":["http://zotero.org/groups/2352922/items/EFF7GH49"],"itemData":{"id":30375,"type":"article-journal","abstract":"Climate change and species invasions represent key threats to global biodiversity. Subarctic freshwaters are sentinels for understanding both stressors because the effects of climate change are disproportionately strong at high latitudes and invasion of temperate species is prevalent. Here, we summarize the environmental effects of climate change and illustrate the ecological responses of freshwater fishes to these effects, spanning individual, population, community and ecosystem levels. Climate change is modifying hydrological cycles across atmospheric, terrestrial and aquatic components of subarctic ecosystems, causing increases in ambient water temperature and nutrient availability. These changes affect the individual behavior, habitat use, growth and metabolism, alter population spawning and recruitment dynamics, leading to changes in species abundance and distribution, modify food web structure, trophic interactions and energy flow within communities and change the sources, quantity and quality of energy and nutrients in ecosystems. Increases in temperature and its variability in aquatic environments underpin many ecological responses; however, altered hydrological regimes, increasing nutrient inputs and shortened ice cover are also important drivers of climate change effects and likely contribute to context-dependent responses. Species invasions are a complex aspect of the ecology of climate change because the phenomena of invasion are both an effect and a driver of the ecological consequences of climate change. Using subarctic freshwaters as an example, we illustrate how climate change can alter three distinct aspects of species invasions: (1) the vulnerability of ecosystems to be invaded, (2) the potential for species to spread and invade new habitats, and (3) the subsequent ecological effects of invaders. We identify three fundamental knowledge gaps focused on the need to determine (1) how environmental and landscape characteristics influence the ecological impact of climate change, (2) the separate and combined effects of climate and non-native invading species and (3) the underlying ecological processes or mechanisms responsible for changes in patterns of biodiversity.","container-title":"Ecology and Evolution","DOI":"10.1002/ece3.2982","ISSN":"2045-7758","issue":"12","language":"en","license":"© 2017 The Authors. Ecology and Evolution published by John Wiley &amp; Sons Ltd.","page":"4109-4128","source":"Wiley Online Library","title":"Conceptualising the interactive effects of climate change and biological invasions on subarctic freshwater fish","URL":"https://onlinelibrary.wiley.com/doi/abs/10.1002/ece3.2982","volume":"7","author":[{"family":"Rolls","given":"Robert J."},{"family":"Hayden","given":"Brian"},{"family":"Kahilainen","given":"Kimmo K."}],"accessed":{"date-parts":[["2019",9,24]]},"issued":{"date-parts":[["2017"]]}},"label":"page"}],"schema":"https://github.com/citation-style-language/schema/raw/master/csl-citation.json"} </w:instrText>
      </w:r>
      <w:r w:rsidRPr="00DA249F">
        <w:rPr>
          <w:lang w:val="en-GB"/>
        </w:rPr>
        <w:fldChar w:fldCharType="separate"/>
      </w:r>
      <w:r w:rsidR="00144D96" w:rsidRPr="00144D96">
        <w:t>(Rolls et al., 2017)</w:t>
      </w:r>
      <w:r w:rsidRPr="00DA249F">
        <w:rPr>
          <w:lang w:val="en-GB"/>
        </w:rPr>
        <w:fldChar w:fldCharType="end"/>
      </w:r>
      <w:r w:rsidRPr="00DA249F">
        <w:rPr>
          <w:lang w:val="en-GB"/>
        </w:rPr>
        <w:t xml:space="preserve">. </w:t>
      </w:r>
    </w:p>
    <w:p w14:paraId="132B5715" w14:textId="77777777" w:rsidR="00564CAF" w:rsidRPr="00DA249F" w:rsidRDefault="00581017" w:rsidP="00810737">
      <w:pPr>
        <w:rPr>
          <w:lang w:val="en-GB"/>
        </w:rPr>
      </w:pPr>
      <w:r w:rsidRPr="00DA249F">
        <w:rPr>
          <w:lang w:val="en-GB"/>
        </w:rPr>
        <w:t xml:space="preserve">Increased incidence and </w:t>
      </w:r>
      <w:r w:rsidR="00D0738D" w:rsidRPr="00DA249F">
        <w:rPr>
          <w:lang w:val="en-GB"/>
        </w:rPr>
        <w:t xml:space="preserve">severity of heavy winds may also facilitate </w:t>
      </w:r>
      <w:r w:rsidR="007C3759" w:rsidRPr="00DA249F">
        <w:rPr>
          <w:lang w:val="en-GB"/>
        </w:rPr>
        <w:t>increased</w:t>
      </w:r>
      <w:r w:rsidR="00D0738D" w:rsidRPr="00DA249F">
        <w:rPr>
          <w:lang w:val="en-GB"/>
        </w:rPr>
        <w:t xml:space="preserve"> seasonal northward spread of </w:t>
      </w:r>
      <w:r w:rsidR="007C3759" w:rsidRPr="00DA249F">
        <w:rPr>
          <w:lang w:val="en-GB"/>
        </w:rPr>
        <w:t xml:space="preserve">plant </w:t>
      </w:r>
      <w:r w:rsidR="00810737" w:rsidRPr="00DA249F">
        <w:rPr>
          <w:lang w:val="en-GB"/>
        </w:rPr>
        <w:t xml:space="preserve">pests and </w:t>
      </w:r>
      <w:r w:rsidR="007C3759" w:rsidRPr="00DA249F">
        <w:rPr>
          <w:lang w:val="en-GB"/>
        </w:rPr>
        <w:t xml:space="preserve">pathogens </w:t>
      </w:r>
      <w:r w:rsidR="00922385" w:rsidRPr="00DA249F">
        <w:rPr>
          <w:lang w:val="en-GB"/>
        </w:rPr>
        <w:fldChar w:fldCharType="begin"/>
      </w:r>
      <w:r w:rsidR="00331A79">
        <w:rPr>
          <w:lang w:val="en-GB"/>
        </w:rPr>
        <w:instrText xml:space="preserve"> ADDIN ZOTERO_ITEM CSL_CITATION {"citationID":"DQl2amZi","properties":{"formattedCitation":"(Aylor, 2003; J. K. M. Brown &amp; Hovm\\uc0\\u248{}ller, 2002; Hopkinson, 1999; Olfert et al., 2016, 2017)","plainCitation":"(Aylor, 2003; J. K. M. Brown &amp; Hovmøller, 2002; Hopkinson, 1999; Olfert et al., 2016, 2017)","noteIndex":0},"citationItems":[{"id":52680,"uris":["http://zotero.org/groups/2352922/items/XTVJCKE6"],"itemData":{"id":52680,"type":"article-journal","container-title":"Ecology","issue":"8","note":"ISBN: 1939-9170\npublisher: Wiley Online Library","page":"1989-1997","title":"Spread of plant disease on a continental scale: role of aerial dispersal of pathogens","URL":"https://www.jstor.org/stable/3450023?seq=1&amp;cid=pdf-reference#references_tab_contents","volume":"84","author":[{"family":"Aylor","given":"Donald E."}],"issued":{"date-parts":[["2003"]]}},"label":"page"},{"id":52679,"uris":["http://zotero.org/groups/2352922/items/LQGPFZYP"],"itemData":{"id":52679,"type":"article-journal","container-title":"Science","DOI":"10.1126/science.1072678","issue":"5581","note":"ISBN: 1095-9203\npublisher: American Association for the Advancement of Science","page":"537-541","title":"Aerial dispersal of pathogens on the global and continental scales and its impact on plant disease","volume":"297","author":[{"family":"Brown","given":"James K. M."},{"family":"Hovmøller","given":"Mogens S."}],"issued":{"date-parts":[["2002"]]}}},{"id":52677,"uris":["http://zotero.org/groups/2352922/items/XEMGG3LT"],"itemData":{"id":52677,"type":"article-journal","container-title":"Atmospheric Environment Branch Report, 71p","note":"No unique identifier","title":"Weather Patterns and the Occurrence of Diamondback Moths on the Canadian Prairies 1998. Environment Canada, Atmospheric &amp; Hydrological Sciences Division","author":[{"family":"Hopkinson","given":"R. F."}],"issued":{"date-parts":[["1999"]]}},"label":"page"},{"id":52676,"uris":["http://zotero.org/groups/2352922/items/LB2U3RTW"],"itemData":{"id":52676,"type":"article-journal","container-title":"The Canadian Entomologist","DOI":"10.4039/tce.2015.40","issue":"1","note":"ISBN: 0008-347X\npublisher: Cambridge University Press","page":"52-67","title":"Bioclimatic approach to assessing the potential impact of climate change on wheat midge (Diptera: Cecidomyiidae) in North America","volume":"148","author":[{"family":"Olfert","given":"O."},{"family":"Weiss","given":"R. M."},{"family":"Elliott","given":"R. H."}],"issued":{"date-parts":[["2016"]]}},"label":"page"},{"id":52675,"uris":["http://zotero.org/groups/2352922/items/WHCF2Q7M"],"itemData":{"id":52675,"type":"article-journal","container-title":"The Canadian Entomologist","issue":"5","note":"ISBN: 0008-347X\npublisher: Cambridge University Press","page":"616-627","title":"Bioclimatic approach to assessing the potential impact of climate change on two flea beetle (Coleoptera: Chrysomelidae) species in Canada","volume":"149","author":[{"family":"Olfert","given":"O."},{"family":"Weiss","given":"R. M."},{"family":"Elliott","given":"R. H."},{"family":"Soroka","given":"J. J."}],"issued":{"date-parts":[["2017"]]}},"label":"page"}],"schema":"https://github.com/citation-style-language/schema/raw/master/csl-citation.json"} </w:instrText>
      </w:r>
      <w:r w:rsidR="00922385" w:rsidRPr="00DA249F">
        <w:rPr>
          <w:lang w:val="en-GB"/>
        </w:rPr>
        <w:fldChar w:fldCharType="separate"/>
      </w:r>
      <w:r w:rsidR="00144D96" w:rsidRPr="00144D96">
        <w:rPr>
          <w:szCs w:val="24"/>
        </w:rPr>
        <w:t>(Aylor, 2003; J. K. M. Brown &amp; Hovmøller, 2002; Hopkinson, 1999; Olfert et al., 2016, 2017)</w:t>
      </w:r>
      <w:r w:rsidR="00922385" w:rsidRPr="00DA249F">
        <w:rPr>
          <w:lang w:val="en-GB"/>
        </w:rPr>
        <w:fldChar w:fldCharType="end"/>
      </w:r>
      <w:r w:rsidR="007C3759" w:rsidRPr="00DA249F">
        <w:rPr>
          <w:lang w:val="en-GB"/>
        </w:rPr>
        <w:t xml:space="preserve">, resulting in </w:t>
      </w:r>
      <w:r w:rsidR="00646B4F" w:rsidRPr="00DA249F">
        <w:rPr>
          <w:lang w:val="en-GB"/>
        </w:rPr>
        <w:t xml:space="preserve">biological </w:t>
      </w:r>
      <w:r w:rsidR="007C3759" w:rsidRPr="00DA249F">
        <w:rPr>
          <w:lang w:val="en-GB"/>
        </w:rPr>
        <w:t xml:space="preserve">invasions </w:t>
      </w:r>
      <w:r w:rsidR="009721D2" w:rsidRPr="00DA249F">
        <w:rPr>
          <w:lang w:val="en-GB"/>
        </w:rPr>
        <w:t xml:space="preserve">beyond the </w:t>
      </w:r>
      <w:r w:rsidR="00646B4F" w:rsidRPr="00DA249F">
        <w:rPr>
          <w:lang w:val="en-GB"/>
        </w:rPr>
        <w:t xml:space="preserve">current </w:t>
      </w:r>
      <w:r w:rsidR="009721D2" w:rsidRPr="00DA249F">
        <w:rPr>
          <w:lang w:val="en-GB"/>
        </w:rPr>
        <w:t>northern range limit of these species</w:t>
      </w:r>
      <w:r w:rsidR="007C3759" w:rsidRPr="00DA249F">
        <w:rPr>
          <w:lang w:val="en-GB"/>
        </w:rPr>
        <w:t>. For example,</w:t>
      </w:r>
      <w:r w:rsidR="0008231D" w:rsidRPr="00DA249F">
        <w:rPr>
          <w:lang w:val="en-GB"/>
        </w:rPr>
        <w:t xml:space="preserve"> </w:t>
      </w:r>
      <w:r w:rsidR="00DA1943" w:rsidRPr="00DA249F">
        <w:rPr>
          <w:lang w:val="en-GB"/>
        </w:rPr>
        <w:t>cereal rusts</w:t>
      </w:r>
      <w:r w:rsidR="00E9624F" w:rsidRPr="00DA249F">
        <w:rPr>
          <w:lang w:val="en-GB"/>
        </w:rPr>
        <w:t xml:space="preserve"> (Pucciniales) </w:t>
      </w:r>
      <w:r w:rsidR="0008231D" w:rsidRPr="00DA249F">
        <w:rPr>
          <w:lang w:val="en-GB"/>
        </w:rPr>
        <w:t xml:space="preserve">typically </w:t>
      </w:r>
      <w:r w:rsidR="00DA1943" w:rsidRPr="00DA249F">
        <w:rPr>
          <w:lang w:val="en-GB"/>
        </w:rPr>
        <w:t xml:space="preserve">overwinter on cereals and grasses in the southern </w:t>
      </w:r>
      <w:r w:rsidR="00B520A9" w:rsidRPr="00DA249F">
        <w:rPr>
          <w:lang w:val="en-GB"/>
        </w:rPr>
        <w:t xml:space="preserve">United States </w:t>
      </w:r>
      <w:r w:rsidR="00DA1943" w:rsidRPr="00DA249F">
        <w:rPr>
          <w:lang w:val="en-GB"/>
        </w:rPr>
        <w:t xml:space="preserve">and northern Mexico, </w:t>
      </w:r>
      <w:r w:rsidR="00646B4F" w:rsidRPr="00DA249F">
        <w:rPr>
          <w:lang w:val="en-GB"/>
        </w:rPr>
        <w:t>and the spores are blown northward in the spring or early summer by wind currents</w:t>
      </w:r>
      <w:r w:rsidR="0008231D" w:rsidRPr="00DA249F">
        <w:rPr>
          <w:lang w:val="en-GB"/>
        </w:rPr>
        <w:t>, affecting</w:t>
      </w:r>
      <w:r w:rsidR="00646B4F" w:rsidRPr="00DA249F">
        <w:rPr>
          <w:lang w:val="en-GB"/>
        </w:rPr>
        <w:t xml:space="preserve"> winter and spring cereal crops</w:t>
      </w:r>
      <w:r w:rsidR="0008231D" w:rsidRPr="00DA249F">
        <w:rPr>
          <w:lang w:val="en-GB"/>
        </w:rPr>
        <w:t xml:space="preserve"> </w:t>
      </w:r>
      <w:r w:rsidR="00B520A9" w:rsidRPr="00DA249F">
        <w:rPr>
          <w:lang w:val="en-GB"/>
        </w:rPr>
        <w:fldChar w:fldCharType="begin"/>
      </w:r>
      <w:r w:rsidR="00331A79">
        <w:rPr>
          <w:lang w:val="en-GB"/>
        </w:rPr>
        <w:instrText xml:space="preserve"> ADDIN ZOTERO_ITEM CSL_CITATION {"citationID":"fFN6Vetw","properties":{"formattedCitation":"(Eversmeyer &amp; Kramer, 2000; Xi et al., 2015)","plainCitation":"(Eversmeyer &amp; Kramer, 2000; Xi et al., 2015)","noteIndex":0},"citationItems":[{"id":52674,"uris":["http://zotero.org/groups/2352922/items/J6GKKGT6"],"itemData":{"id":52674,"type":"article-journal","container-title":"Annual review of Phytopathology","DOI":"10.1146/annurev.phyto.38.1.491","note":"ISBN: 0066-4286\npublisher: Annual Reviews, Inc.","page":"491","title":"Epidemiology of wheat leaf and stem rust in the central great plains of the USA","volume":"38","author":[{"family":"Eversmeyer","given":"M. G."},{"family":"Kramer","given":"C. L."}],"issued":{"date-parts":[["2000"]]}},"label":"page"},{"id":52673,"uris":["http://zotero.org/groups/2352922/items/CFBSX5TX"],"itemData":{"id":52673,"type":"article-journal","container-title":"Canadian Journal of Plant Pathology","DOI":"10.1080/07060661.2014.981215","ISSN":"0706-0661, 1715-2992","issue":"1","journalAbbreviation":"Canadian Journal of Plant Pathology","language":"en","page":"21-39","source":"DOI.org (Crossref)","title":"Understanding the development and management of stripe rust in central Alberta","URL":"http://www.tandfonline.com/doi/abs/10.1080/07060661.2014.981215","volume":"37","author":[{"family":"Xi","given":"K."},{"family":"Kumar","given":"K."},{"family":"Holtz","given":"M. D."},{"family":"Turkington","given":"T. K."},{"family":"Chapman","given":"B."}],"accessed":{"date-parts":[["2022",7,28]]},"issued":{"date-parts":[["2015",1,2]]}},"label":"page"}],"schema":"https://github.com/citation-style-language/schema/raw/master/csl-citation.json"} </w:instrText>
      </w:r>
      <w:r w:rsidR="00B520A9" w:rsidRPr="00DA249F">
        <w:rPr>
          <w:lang w:val="en-GB"/>
        </w:rPr>
        <w:fldChar w:fldCharType="separate"/>
      </w:r>
      <w:r w:rsidR="00144D96" w:rsidRPr="00144D96">
        <w:t>(Eversmeyer &amp; Kramer, 2000; Xi et al., 2015)</w:t>
      </w:r>
      <w:r w:rsidR="00B520A9" w:rsidRPr="00DA249F">
        <w:rPr>
          <w:lang w:val="en-GB"/>
        </w:rPr>
        <w:fldChar w:fldCharType="end"/>
      </w:r>
      <w:r w:rsidR="0008231D" w:rsidRPr="00DA249F">
        <w:rPr>
          <w:lang w:val="en-GB"/>
        </w:rPr>
        <w:t>. I</w:t>
      </w:r>
      <w:r w:rsidR="00646B4F" w:rsidRPr="00DA249F">
        <w:rPr>
          <w:lang w:val="en-GB"/>
        </w:rPr>
        <w:t xml:space="preserve">ncreased incidence and severity of heavy winds under climate change may </w:t>
      </w:r>
      <w:r w:rsidR="0008231D" w:rsidRPr="00DA249F">
        <w:rPr>
          <w:lang w:val="en-GB"/>
        </w:rPr>
        <w:t>enhance</w:t>
      </w:r>
      <w:r w:rsidR="00646B4F" w:rsidRPr="00DA249F">
        <w:rPr>
          <w:lang w:val="en-GB"/>
        </w:rPr>
        <w:t xml:space="preserve"> transport of rust species into the </w:t>
      </w:r>
      <w:r w:rsidR="00B520A9" w:rsidRPr="00DA249F">
        <w:rPr>
          <w:lang w:val="en-GB"/>
        </w:rPr>
        <w:t xml:space="preserve">United States </w:t>
      </w:r>
      <w:r w:rsidR="00646B4F" w:rsidRPr="00DA249F">
        <w:rPr>
          <w:lang w:val="en-GB"/>
        </w:rPr>
        <w:t>and Canada</w:t>
      </w:r>
      <w:r w:rsidR="0008231D" w:rsidRPr="00DA249F">
        <w:rPr>
          <w:lang w:val="en-GB"/>
        </w:rPr>
        <w:t xml:space="preserve">, thus facilitating biological invasions </w:t>
      </w:r>
      <w:r w:rsidR="00EC4A09" w:rsidRPr="00DA249F">
        <w:rPr>
          <w:lang w:val="en-GB"/>
        </w:rPr>
        <w:fldChar w:fldCharType="begin"/>
      </w:r>
      <w:r w:rsidR="00331A79">
        <w:rPr>
          <w:lang w:val="en-GB"/>
        </w:rPr>
        <w:instrText xml:space="preserve"> ADDIN ZOTERO_ITEM CSL_CITATION {"citationID":"ViorSiUO","properties":{"formattedCitation":"(Eversmeyer &amp; Kramer, 2000; Xi et al., 2015)","plainCitation":"(Eversmeyer &amp; Kramer, 2000; Xi et al., 2015)","noteIndex":0},"citationItems":[{"id":52674,"uris":["http://zotero.org/groups/2352922/items/J6GKKGT6"],"itemData":{"id":52674,"type":"article-journal","container-title":"Annual review of Phytopathology","DOI":"10.1146/annurev.phyto.38.1.491","note":"ISBN: 0066-4286\npublisher: Annual Reviews, Inc.","page":"491","title":"Epidemiology of wheat leaf and stem rust in the central great plains of the USA","volume":"38","author":[{"family":"Eversmeyer","given":"M. G."},{"family":"Kramer","given":"C. L."}],"issued":{"date-parts":[["2000"]]}},"label":"page"},{"id":52673,"uris":["http://zotero.org/groups/2352922/items/CFBSX5TX"],"itemData":{"id":52673,"type":"article-journal","container-title":"Canadian Journal of Plant Pathology","DOI":"10.1080/07060661.2014.981215","ISSN":"0706-0661, 1715-2992","issue":"1","journalAbbreviation":"Canadian Journal of Plant Pathology","language":"en","page":"21-39","source":"DOI.org (Crossref)","title":"Understanding the development and management of stripe rust in central Alberta","URL":"http://www.tandfonline.com/doi/abs/10.1080/07060661.2014.981215","volume":"37","author":[{"family":"Xi","given":"K."},{"family":"Kumar","given":"K."},{"family":"Holtz","given":"M. D."},{"family":"Turkington","given":"T. K."},{"family":"Chapman","given":"B."}],"accessed":{"date-parts":[["2022",7,28]]},"issued":{"date-parts":[["2015",1,2]]}},"label":"page"}],"schema":"https://github.com/citation-style-language/schema/raw/master/csl-citation.json"} </w:instrText>
      </w:r>
      <w:r w:rsidR="00EC4A09" w:rsidRPr="00DA249F">
        <w:rPr>
          <w:lang w:val="en-GB"/>
        </w:rPr>
        <w:fldChar w:fldCharType="separate"/>
      </w:r>
      <w:r w:rsidR="00144D96" w:rsidRPr="00144D96">
        <w:t>(Eversmeyer &amp; Kramer, 2000; Xi et al., 2015)</w:t>
      </w:r>
      <w:r w:rsidR="00EC4A09" w:rsidRPr="00DA249F">
        <w:rPr>
          <w:lang w:val="en-GB"/>
        </w:rPr>
        <w:fldChar w:fldCharType="end"/>
      </w:r>
      <w:r w:rsidR="00B520A9" w:rsidRPr="00DA249F">
        <w:rPr>
          <w:lang w:val="en-GB"/>
        </w:rPr>
        <w:t>.</w:t>
      </w:r>
    </w:p>
    <w:p w14:paraId="00B873BC" w14:textId="0E4E0AB4" w:rsidR="00EE080D" w:rsidRDefault="64AA81B8" w:rsidP="00DE05C2">
      <w:pPr>
        <w:spacing w:before="0" w:after="0"/>
        <w:rPr>
          <w:rFonts w:ascii="Calibri" w:eastAsia="Times New Roman" w:hAnsi="Calibri" w:cs="Calibri"/>
          <w:color w:val="000000"/>
          <w:sz w:val="22"/>
          <w:lang w:val="en-GB" w:eastAsia="zh-CN"/>
        </w:rPr>
      </w:pPr>
      <w:r w:rsidRPr="00DA249F">
        <w:rPr>
          <w:lang w:val="en-GB"/>
        </w:rPr>
        <w:t>Extreme</w:t>
      </w:r>
      <w:r w:rsidR="00A31634">
        <w:rPr>
          <w:lang w:val="en-GB"/>
        </w:rPr>
        <w:t xml:space="preserve"> climatic</w:t>
      </w:r>
      <w:r w:rsidRPr="00DA249F">
        <w:rPr>
          <w:lang w:val="en-GB"/>
        </w:rPr>
        <w:t xml:space="preserve"> events that</w:t>
      </w:r>
      <w:r w:rsidR="00E02927" w:rsidRPr="00DA249F">
        <w:rPr>
          <w:lang w:val="en-GB"/>
        </w:rPr>
        <w:t xml:space="preserve"> </w:t>
      </w:r>
      <w:r w:rsidRPr="00DA249F">
        <w:rPr>
          <w:lang w:val="en-GB"/>
        </w:rPr>
        <w:t>cause catastrophic and widespread damage to ecosystems often increase the availability of resources such as water, nutrients, space and prey</w:t>
      </w:r>
      <w:r w:rsidR="006D7964" w:rsidRPr="00DA249F">
        <w:rPr>
          <w:lang w:val="en-GB"/>
        </w:rPr>
        <w:t xml:space="preserve"> for alien species</w:t>
      </w:r>
      <w:r w:rsidRPr="00DA249F">
        <w:rPr>
          <w:lang w:val="en-GB"/>
        </w:rPr>
        <w:t xml:space="preserve"> </w:t>
      </w:r>
      <w:r w:rsidRPr="00DA249F">
        <w:rPr>
          <w:lang w:val="en-GB"/>
        </w:rPr>
        <w:fldChar w:fldCharType="begin"/>
      </w:r>
      <w:r w:rsidR="00331A79">
        <w:rPr>
          <w:lang w:val="en-GB"/>
        </w:rPr>
        <w:instrText xml:space="preserve"> ADDIN ZOTERO_ITEM CSL_CITATION {"citationID":"YLwI0F9u","properties":{"formattedCitation":"(Diez et al., 2012; Hellmann et al., 2008)","plainCitation":"(Diez et al., 2012; Hellmann et al., 2008)","noteIndex":0},"citationItems":[{"id":32972,"uris":["http://zotero.org/groups/2352922/items/G25ZPKKG"],"itemData":{"id":32972,"type":"article-journal","abstract":"Abstract: Scientific and societal unknowns make it difficult to predict how global environmental changes such as climate change and biological invasions will affect ecological systems. In the long term, these changes may have interacting effects and compound the uncertainty associated with each individual driver. Nonetheless, invasive species are likely to respond in ways that should be qualitatively predictable, and some of these responses will be distinct from those of native counterparts. We used the stages of invasion known as the “invasion pathway” to identify 5 nonexclusive consequences of climate change for invasive species: (1) altered transport and introduction mechanisms, (2) establishment of new invasive species, (3) altered impact of existing invasive species, (4) altered distribution of existing invasive species, and (5) altered effectiveness of control strategies. We then used these consequences to identify testable hypotheses about the responses of invasive species to climate change and provide suggestions for invasive-species management plans. The 5 consequences also emphasize the need for enhanced environmental monitoring and expanded coordination among entities involved in invasive-species management.","container-title":"Conservation Biology","DOI":"10.1111/j.1523-1739.2008.00951.x","ISSN":"1523-1739","issue":"3","language":"en","license":"©2008 Society for Conservation Biology","note":"_eprint: https://conbio.onlinelibrary.wiley.com/doi/pdf/10.1111/j.1523-1739.2008.00951.x","page":"534-543","source":"Wiley Online Library","title":"Five Potential Consequences of Climate Change for Invasive Species","URL":"https://conbio.onlinelibrary.wiley.com/doi/abs/10.1111/j.1523-1739.2008.00951.x","volume":"22","author":[{"family":"Hellmann","given":"Jessica J."},{"family":"Byers","given":"James E."},{"family":"Bierwagen","given":"Britta G."},{"family":"Dukes","given":"Jeffrey S."}],"accessed":{"date-parts":[["2021",6,20]]},"issued":{"date-parts":[["2008"]]}},"label":"page"},{"id":30435,"uris":["http://zotero.org/groups/2352922/items/L6RHC4CK"],"itemData":{"id":30435,"type":"article-journal","abstract":"Extreme climatic events (ECEs) – such as unusual heat waves, hurricanes, floods, and droughts – can dramatically affect ecological and evolutionary processes, and these events are projected to become more frequent and more intense with ongoing climate change. However, the implications of ECEs for biological invasions remain poorly understood. Using concepts and empirical evidence from invasion ecology, we identify mechanisms by which ECEs may influence the invasion process, from initial introduction through establishment and spread. We summarize how ECEs can enhance invasions by promoting the transport of propagules into new regions, by decreasing the resistance of native communities to establishment, and also sometimes by putting existing non-native species at a competitive disadvantage. Finally, we outline priority research areas and management approaches for anticipating future risks of unwanted invasions following ECEs. Given predicted increases in both ECE occurrence and rates of species introductions around the globe during the coming decades, there is an urgent need to understand how these two processes interact to affect ecosystem composition and functioning.","container-title":"Frontiers in Ecology and the Environment","DOI":"10.1890/110137","ISSN":"1540-9309","issue":"5","journalAbbreviation":"Front. Ecol. Environ.","language":"en","license":"© The Ecological Society of America","note":"WOS:000305170600016","page":"249-257","source":"Wiley Online Library","title":"Will extreme climatic events facilitate biological invasions?","URL":"https://esajournals.onlinelibrary.wiley.com/doi/abs/10.1890/110137","volume":"10","author":[{"family":"Diez","given":"Jeffrey M."},{"family":"D'Antonio","given":"Carla M."},{"family":"Dukes","given":"Jeffrey S."},{"family":"Grosholz","given":"Edwin D."},{"family":"Olden","given":"Julian D."},{"family":"Sorte","given":"Cascade JB"},{"family":"Blumenthal","given":"Dana M."},{"family":"Bradley","given":"Bethany A."},{"family":"Early","given":"Regan"},{"family":"Ibáñez","given":"Inés"},{"family":"Jones","given":"Sierra J."},{"family":"Lawler","given":"Joshua J."},{"family":"Miller","given":"Luke P."}],"accessed":{"date-parts":[["2019",9,18]]},"issued":{"date-parts":[["2012",6]]}},"label":"page"}],"schema":"https://github.com/citation-style-language/schema/raw/master/csl-citation.json"} </w:instrText>
      </w:r>
      <w:r w:rsidRPr="00DA249F">
        <w:rPr>
          <w:lang w:val="en-GB"/>
        </w:rPr>
        <w:fldChar w:fldCharType="separate"/>
      </w:r>
      <w:r w:rsidR="00144D96" w:rsidRPr="00144D96">
        <w:t>(Diez et al., 2012; Hellmann et al., 2008)</w:t>
      </w:r>
      <w:r w:rsidRPr="00DA249F">
        <w:rPr>
          <w:lang w:val="en-GB"/>
        </w:rPr>
        <w:fldChar w:fldCharType="end"/>
      </w:r>
      <w:r w:rsidRPr="00DA249F">
        <w:rPr>
          <w:lang w:val="en-GB"/>
        </w:rPr>
        <w:t xml:space="preserve">. In Australian rainforests, severe cyclones cause catastrophic disturbance by opening canopy gaps, thereby facilitating the rapid recruitment and spread of alien woody-vines (e.g., </w:t>
      </w:r>
      <w:r w:rsidRPr="00DA249F">
        <w:rPr>
          <w:i/>
          <w:iCs/>
          <w:lang w:val="en-GB"/>
        </w:rPr>
        <w:t>Thunbergia</w:t>
      </w:r>
      <w:r w:rsidRPr="00DA249F">
        <w:rPr>
          <w:lang w:val="en-GB"/>
        </w:rPr>
        <w:t xml:space="preserve"> spp., </w:t>
      </w:r>
      <w:r w:rsidRPr="00DA249F">
        <w:rPr>
          <w:i/>
          <w:iCs/>
          <w:lang w:val="en-GB"/>
        </w:rPr>
        <w:t>Mikania micrantha</w:t>
      </w:r>
      <w:r w:rsidR="0005424E" w:rsidRPr="00DA249F">
        <w:rPr>
          <w:i/>
          <w:iCs/>
          <w:lang w:val="en-GB"/>
        </w:rPr>
        <w:t xml:space="preserve"> </w:t>
      </w:r>
      <w:r w:rsidR="0005424E" w:rsidRPr="00DA249F">
        <w:rPr>
          <w:iCs/>
          <w:lang w:val="en-GB"/>
        </w:rPr>
        <w:t>(</w:t>
      </w:r>
      <w:r w:rsidR="0005424E" w:rsidRPr="00DA249F">
        <w:rPr>
          <w:rFonts w:eastAsia="Times New Roman"/>
          <w:color w:val="000000"/>
          <w:szCs w:val="24"/>
          <w:lang w:val="en-GB" w:eastAsia="zh-CN"/>
        </w:rPr>
        <w:t>bitter vine</w:t>
      </w:r>
      <w:r w:rsidR="0005424E" w:rsidRPr="00DA249F">
        <w:rPr>
          <w:iCs/>
          <w:lang w:val="en-GB"/>
        </w:rPr>
        <w:t>)</w:t>
      </w:r>
      <w:r w:rsidR="00774819">
        <w:rPr>
          <w:lang w:val="en-GB"/>
        </w:rPr>
        <w:t xml:space="preserve"> and</w:t>
      </w:r>
      <w:r w:rsidRPr="00DA249F">
        <w:rPr>
          <w:lang w:val="en-GB"/>
        </w:rPr>
        <w:t xml:space="preserve"> </w:t>
      </w:r>
      <w:r w:rsidRPr="00DA249F">
        <w:rPr>
          <w:i/>
          <w:iCs/>
          <w:lang w:val="en-GB"/>
        </w:rPr>
        <w:t xml:space="preserve">Turbina </w:t>
      </w:r>
      <w:r w:rsidR="00C4455B" w:rsidRPr="00DA249F">
        <w:rPr>
          <w:i/>
          <w:iCs/>
          <w:lang w:val="en-GB"/>
        </w:rPr>
        <w:t xml:space="preserve">corymbosa </w:t>
      </w:r>
      <w:r w:rsidR="0005424E" w:rsidRPr="00DA249F">
        <w:rPr>
          <w:iCs/>
          <w:szCs w:val="24"/>
          <w:lang w:val="en-GB"/>
        </w:rPr>
        <w:t>(</w:t>
      </w:r>
      <w:r w:rsidR="0005424E" w:rsidRPr="00DA249F">
        <w:rPr>
          <w:rFonts w:eastAsia="Times New Roman"/>
          <w:color w:val="000000"/>
          <w:szCs w:val="24"/>
          <w:lang w:val="en-GB" w:eastAsia="zh-CN"/>
        </w:rPr>
        <w:t>Christmas vine</w:t>
      </w:r>
      <w:r w:rsidR="0005424E" w:rsidRPr="00DA249F">
        <w:rPr>
          <w:iCs/>
          <w:szCs w:val="24"/>
          <w:lang w:val="en-GB"/>
        </w:rPr>
        <w:t>)</w:t>
      </w:r>
      <w:r w:rsidR="003B331F" w:rsidRPr="00DA249F">
        <w:rPr>
          <w:szCs w:val="24"/>
          <w:lang w:val="en-GB"/>
        </w:rPr>
        <w:t>;</w:t>
      </w:r>
      <w:r w:rsidRPr="00DA249F">
        <w:rPr>
          <w:lang w:val="en-GB"/>
        </w:rPr>
        <w:t xml:space="preserve"> </w:t>
      </w:r>
      <w:r w:rsidRPr="00DA249F">
        <w:rPr>
          <w:lang w:val="en-GB"/>
        </w:rPr>
        <w:fldChar w:fldCharType="begin"/>
      </w:r>
      <w:r w:rsidR="00331A79">
        <w:rPr>
          <w:lang w:val="en-GB"/>
        </w:rPr>
        <w:instrText xml:space="preserve"> ADDIN ZOTERO_ITEM CSL_CITATION {"citationID":"TywlOu9Q","properties":{"formattedCitation":"(Camarero, 2019)","plainCitation":"(Camarero, 2019)","dontUpdate":true,"noteIndex":0},"citationItems":[{"id":23841,"uris":["http://zotero.org/groups/2352922/items/53XSTCQ7"],"itemData":{"id":23841,"type":"article-journal","abstract":"The Australian Wet Tropics region extends for almost 900 000 ha along the coastline of north-east Queensland. The rainforests in this region have a rich and unique biodiversity and are World Heritage listed by UNESCO. Disturbance from tropical cyclones is a significant driver of the rainforest dynamics in this area, and when frequent or intense can facilitate the recruitment and expansion of exotic invasive species. Exotic vines are of particular concern for forest conservation as they can be highly competitive with native vegetation and may prevent forest regeneration. This literature review found evidence that fragmented forests, which are very common in the Australian Wet Tropics, are vulnerable to post-cyclone vine invasion. In particular, although the diversity and abundance of herbaceous vines tend to decline as the canopy closes 2 years post-cyclone disturbance, woody exotic vines and scramblers may persist for much longer or even increase in numbers. Since forest recovery in these systems is influenced by the severity and recurrence of disturbance, an increase in cyclone intensity under climate change may cause rapid changes in rainforest structure, composition and diversity, and increase exotic vine invasion. Post-cyclone management of vines appears to require direct intervention, with manual cutting being currently the most effective method. However, there are a number of difficulties to its wide implementation in Australia, and further study on options for control is needed. Abstract in Spanish is available with online material.","container-title":"Austral Ecology","DOI":"10.1111/aec.12810","ISSN":"1442-9993","issue":"8","language":"en","license":"© 2019 Ecological Society of Australia","page":"1359-1372","source":"Wiley Online Library","title":"Exotic vine invasions following cyclone disturbance in Australian Wet Tropics rainforests: A review","title-short":"Exotic vine invasions following cyclone disturbance in Australian Wet Tropics rainforests","URL":"https://onlinelibrary.wiley.com/doi/abs/10.1111/aec.12810","volume":"44","author":[{"family":"Camarero","given":"Paula"}],"accessed":{"date-parts":[["2019",11,19]]},"issued":{"date-parts":[["2019"]]}},"label":"page"}],"schema":"https://github.com/citation-style-language/schema/raw/master/csl-citation.json"} </w:instrText>
      </w:r>
      <w:r w:rsidRPr="00DA249F">
        <w:rPr>
          <w:lang w:val="en-GB"/>
        </w:rPr>
        <w:fldChar w:fldCharType="separate"/>
      </w:r>
      <w:r w:rsidR="00EC4A09" w:rsidRPr="00DA249F">
        <w:rPr>
          <w:lang w:val="en-GB"/>
        </w:rPr>
        <w:t>Camarero, 2019)</w:t>
      </w:r>
      <w:r w:rsidRPr="00DA249F">
        <w:rPr>
          <w:lang w:val="en-GB"/>
        </w:rPr>
        <w:fldChar w:fldCharType="end"/>
      </w:r>
      <w:r w:rsidRPr="00DA249F">
        <w:rPr>
          <w:lang w:val="en-GB"/>
        </w:rPr>
        <w:t xml:space="preserve">. </w:t>
      </w:r>
      <w:r w:rsidR="6C9AE327" w:rsidRPr="00DA249F">
        <w:rPr>
          <w:lang w:val="en-GB"/>
        </w:rPr>
        <w:t xml:space="preserve">Hurricane Sandy in the United States caused catastrophic coastal dune erosion and thereafter an alien </w:t>
      </w:r>
      <w:r w:rsidR="0005424E" w:rsidRPr="00DA249F">
        <w:rPr>
          <w:i/>
          <w:iCs/>
          <w:lang w:val="en-GB"/>
        </w:rPr>
        <w:t>Carex kobomugi</w:t>
      </w:r>
      <w:r w:rsidR="0005424E" w:rsidRPr="00DA249F">
        <w:rPr>
          <w:lang w:val="en-GB"/>
        </w:rPr>
        <w:t xml:space="preserve"> </w:t>
      </w:r>
      <w:r w:rsidR="6C9AE327" w:rsidRPr="00DA249F">
        <w:rPr>
          <w:lang w:val="en-GB"/>
        </w:rPr>
        <w:t>(</w:t>
      </w:r>
      <w:r w:rsidR="00DE05C2" w:rsidRPr="00DA249F">
        <w:rPr>
          <w:lang w:val="en-GB"/>
        </w:rPr>
        <w:t xml:space="preserve">Asian </w:t>
      </w:r>
      <w:r w:rsidR="00600792" w:rsidRPr="00DA249F">
        <w:rPr>
          <w:lang w:val="en-GB"/>
        </w:rPr>
        <w:t xml:space="preserve">sand </w:t>
      </w:r>
      <w:r w:rsidR="00DE05C2" w:rsidRPr="00DA249F">
        <w:rPr>
          <w:lang w:val="en-GB"/>
        </w:rPr>
        <w:t>sedge</w:t>
      </w:r>
      <w:r w:rsidR="6C9AE327" w:rsidRPr="00DA249F">
        <w:rPr>
          <w:lang w:val="en-GB"/>
        </w:rPr>
        <w:t xml:space="preserve">) established </w:t>
      </w:r>
      <w:r w:rsidRPr="00DA249F">
        <w:rPr>
          <w:lang w:val="en-GB"/>
        </w:rPr>
        <w:fldChar w:fldCharType="begin"/>
      </w:r>
      <w:r w:rsidR="00331A79">
        <w:rPr>
          <w:lang w:val="en-GB"/>
        </w:rPr>
        <w:instrText xml:space="preserve"> ADDIN ZOTERO_ITEM CSL_CITATION {"citationID":"3GFevk55","properties":{"formattedCitation":"(Charbonneau et al., 2017)","plainCitation":"(Charbonneau et al., 2017)","noteIndex":0},"citationItems":[{"id":11842,"uris":["http://zotero.org/groups/2352922/items/8FHBPDIU"],"itemData":{"id":11842,"type":"article-journal","abstract":"Vegetation and biogeomorphology are highly coupled in beach dune systems, but plant species effects on abating storm erosion are largely unexplored. We quantified coastal dune erosion from Hurricane Sandy (October 2012) as a function of pre-storm system characteristics – dune height, beach width and dominant vegetation stabilizing dunes (native Ammophila breviligulata or invasive Carex kobomugi) at Island Beach State Park, New Jersey, USA. We assessed dune erosion using a combination of pre- and post-Sandy aerial image spatial analyses in ArcGIS and GPS field mapping. Our two erosion metrics are novel, macroscale 2D surface area changes and Dune Crest Transgression, the later of which is measured at the microscale (1 m−1) and analysed using a mixed model incorporating spatial autocorrelation. We document a species-specific effect on collision erosion. Although C. kobomugi reduces native diversity and abundance, it may be beneficial for coastal protection, as dunes fronted and stabilized by C. kobomugi suffered less erosion than those dominated by A. breviligulata under the same abiotic conditions. Dune height and beach width were equal for species prior to the storm and therefore do not account for or confound differences in erosion. Similarly, traditional calculations of erosion with volumetric loss confer these results. Synthesis and applications. This is the first study to show a species effect on coastal dune erosion. Native Ammophila breviligulata stabilized dune stretches suffered more erosion from Hurricane Sandy than complimentary invasive Carex kobomugi stretches, contradicting anecdotal reports that foredunes stabilized by a shorter statured species are more prone to erosion. This study highlights the importance of vegetation for dune stability and management using two novel metrics for erosion. Our erosion metrics are related to volumetric loss, can be monitored and calculated by managers with or without remote sensing, and can be applied to other systems. Discussions on coastal management of dunes as habitats and protective buffers must include vegetation and the results of this study suggest that not all species are equal with regard to their ability to combat storm erosion. Multidisciplinary studies with applied implications will grow increasingly important as storms continue to grow more frequent, severe and unpredictable with climate change.","container-title":"Journal of Applied Ecology","DOI":"10.1111/1365-2664.12846","ISSN":"1365-2664","issue":"5","language":"en","license":"© 2017 The Authors. Journal of Applied Ecology © 2017 British Ecological Society","page":"1385-1394","source":"Wiley Online Library","title":"A species effect on storm erosion: Invasive sedge stabilized dunes more than native grass during Hurricane Sandy","title-short":"A species effect on storm erosion","URL":"https://besjournals.onlinelibrary.wiley.com/doi/abs/10.1111/1365-2664.12846","volume":"54","author":[{"family":"Charbonneau","given":"Bianca R."},{"family":"Wootton","given":"Louise S."},{"family":"Wnek","given":"John P."},{"family":"Langley","given":"J. Adam"},{"family":"Posner","given":"Michael A."}],"accessed":{"date-parts":[["2019",10,15]]},"issued":{"date-parts":[["2017"]]}},"label":"page"}],"schema":"https://github.com/citation-style-language/schema/raw/master/csl-citation.json"} </w:instrText>
      </w:r>
      <w:r w:rsidRPr="00DA249F">
        <w:rPr>
          <w:lang w:val="en-GB"/>
        </w:rPr>
        <w:fldChar w:fldCharType="separate"/>
      </w:r>
      <w:r w:rsidR="00144D96" w:rsidRPr="00144D96">
        <w:t>(Charbonneau et al., 2017)</w:t>
      </w:r>
      <w:r w:rsidRPr="00DA249F">
        <w:rPr>
          <w:lang w:val="en-GB"/>
        </w:rPr>
        <w:fldChar w:fldCharType="end"/>
      </w:r>
      <w:r w:rsidR="6C9AE327" w:rsidRPr="00DA249F">
        <w:rPr>
          <w:szCs w:val="24"/>
          <w:lang w:val="en-GB"/>
        </w:rPr>
        <w:t>.</w:t>
      </w:r>
      <w:r w:rsidR="2222FC58" w:rsidRPr="00DA249F">
        <w:rPr>
          <w:szCs w:val="24"/>
          <w:lang w:val="en-GB"/>
        </w:rPr>
        <w:t xml:space="preserve"> Also, heavy drought can cause fire activi</w:t>
      </w:r>
      <w:r w:rsidR="007736A7" w:rsidRPr="00DA249F">
        <w:rPr>
          <w:szCs w:val="24"/>
          <w:lang w:val="en-GB"/>
        </w:rPr>
        <w:t>ty (e.g., 2019-2020 mega-fires i</w:t>
      </w:r>
      <w:r w:rsidR="2222FC58" w:rsidRPr="00DA249F">
        <w:rPr>
          <w:szCs w:val="24"/>
          <w:lang w:val="en-GB"/>
        </w:rPr>
        <w:t>n Australia and 2019 California wildfires</w:t>
      </w:r>
      <w:r w:rsidR="008B5EDE" w:rsidRPr="00DA249F">
        <w:rPr>
          <w:szCs w:val="24"/>
          <w:lang w:val="en-GB"/>
        </w:rPr>
        <w:t xml:space="preserve">, </w:t>
      </w:r>
      <w:r w:rsidR="0040355F">
        <w:rPr>
          <w:b/>
          <w:iCs/>
          <w:szCs w:val="24"/>
          <w:lang w:val="en-GB"/>
        </w:rPr>
        <w:t>C</w:t>
      </w:r>
      <w:r w:rsidR="008B5EDE" w:rsidRPr="0040355F">
        <w:rPr>
          <w:b/>
          <w:iCs/>
          <w:szCs w:val="24"/>
          <w:lang w:val="en-GB"/>
        </w:rPr>
        <w:t xml:space="preserve">hapter 1, </w:t>
      </w:r>
      <w:r w:rsidR="00E23B69">
        <w:rPr>
          <w:b/>
          <w:iCs/>
          <w:szCs w:val="24"/>
          <w:lang w:val="en-GB"/>
        </w:rPr>
        <w:t>Box</w:t>
      </w:r>
      <w:r w:rsidR="008B5EDE" w:rsidRPr="0040355F">
        <w:rPr>
          <w:b/>
          <w:iCs/>
          <w:szCs w:val="24"/>
          <w:lang w:val="en-GB"/>
        </w:rPr>
        <w:t xml:space="preserve"> 1.4</w:t>
      </w:r>
      <w:r w:rsidR="2222FC58" w:rsidRPr="00DA249F">
        <w:rPr>
          <w:szCs w:val="24"/>
          <w:lang w:val="en-GB"/>
        </w:rPr>
        <w:t xml:space="preserve">), resulting </w:t>
      </w:r>
      <w:r w:rsidR="007736A7" w:rsidRPr="00DA249F">
        <w:rPr>
          <w:szCs w:val="24"/>
          <w:lang w:val="en-GB"/>
        </w:rPr>
        <w:t xml:space="preserve">in </w:t>
      </w:r>
      <w:r w:rsidR="2222FC58" w:rsidRPr="00DA249F">
        <w:rPr>
          <w:szCs w:val="24"/>
          <w:lang w:val="en-GB"/>
        </w:rPr>
        <w:t xml:space="preserve">enhancement of the spread of invasive </w:t>
      </w:r>
      <w:r w:rsidR="00564CAF" w:rsidRPr="00DA249F">
        <w:rPr>
          <w:szCs w:val="24"/>
          <w:lang w:val="en-GB"/>
        </w:rPr>
        <w:t xml:space="preserve">alien </w:t>
      </w:r>
      <w:r w:rsidR="2222FC58" w:rsidRPr="00DA249F">
        <w:rPr>
          <w:szCs w:val="24"/>
          <w:lang w:val="en-GB"/>
        </w:rPr>
        <w:t>trees from plantation forests (</w:t>
      </w:r>
      <w:r w:rsidR="2222FC58" w:rsidRPr="0040355F">
        <w:rPr>
          <w:b/>
          <w:iCs/>
          <w:szCs w:val="24"/>
          <w:lang w:val="en-GB"/>
        </w:rPr>
        <w:t>section 3.3.4.5</w:t>
      </w:r>
      <w:r w:rsidR="2222FC58" w:rsidRPr="00DA249F">
        <w:rPr>
          <w:szCs w:val="24"/>
          <w:lang w:val="en-GB"/>
        </w:rPr>
        <w:t>).</w:t>
      </w:r>
    </w:p>
    <w:p w14:paraId="3F3CA221" w14:textId="77777777" w:rsidR="00BE763D" w:rsidRPr="00EE080D" w:rsidRDefault="5F629157" w:rsidP="00EE080D">
      <w:pPr>
        <w:rPr>
          <w:rFonts w:ascii="Calibri" w:eastAsia="Times New Roman" w:hAnsi="Calibri" w:cs="Calibri"/>
          <w:color w:val="000000"/>
          <w:sz w:val="22"/>
          <w:lang w:val="en-GB" w:eastAsia="zh-CN"/>
        </w:rPr>
      </w:pPr>
      <w:r w:rsidRPr="00DA249F">
        <w:rPr>
          <w:lang w:val="en-GB"/>
        </w:rPr>
        <w:t xml:space="preserve">Extreme </w:t>
      </w:r>
      <w:r w:rsidR="00A31634">
        <w:rPr>
          <w:lang w:val="en-GB"/>
        </w:rPr>
        <w:t xml:space="preserve">climatic </w:t>
      </w:r>
      <w:r w:rsidRPr="00DA249F">
        <w:rPr>
          <w:lang w:val="en-GB"/>
        </w:rPr>
        <w:t xml:space="preserve">events may also often </w:t>
      </w:r>
      <w:r w:rsidR="00A31634" w:rsidRPr="00DA249F">
        <w:rPr>
          <w:lang w:val="en-GB"/>
        </w:rPr>
        <w:t xml:space="preserve">stress and </w:t>
      </w:r>
      <w:r w:rsidRPr="00DA249F">
        <w:rPr>
          <w:lang w:val="en-GB"/>
        </w:rPr>
        <w:t xml:space="preserve">cause catastrophic mortality of resident native </w:t>
      </w:r>
      <w:r w:rsidR="005200A8" w:rsidRPr="00DA249F">
        <w:rPr>
          <w:lang w:val="en-GB"/>
        </w:rPr>
        <w:t>species</w:t>
      </w:r>
      <w:r w:rsidRPr="00DA249F">
        <w:rPr>
          <w:lang w:val="en-GB"/>
        </w:rPr>
        <w:t xml:space="preserve">, resulting in decreasing biotic resistance of native communities to the establishment and subsequent spread of </w:t>
      </w:r>
      <w:r w:rsidR="1D0F5963" w:rsidRPr="00DA249F">
        <w:rPr>
          <w:lang w:val="en-GB"/>
        </w:rPr>
        <w:t xml:space="preserve">invasive alien species </w:t>
      </w:r>
      <w:r w:rsidRPr="00DA249F">
        <w:rPr>
          <w:lang w:val="en-GB"/>
        </w:rPr>
        <w:fldChar w:fldCharType="begin"/>
      </w:r>
      <w:r w:rsidR="00331A79">
        <w:rPr>
          <w:lang w:val="en-GB"/>
        </w:rPr>
        <w:instrText xml:space="preserve"> ADDIN ZOTERO_ITEM CSL_CITATION {"citationID":"DNuOjgYw","properties":{"formattedCitation":"(Diez et al., 2012; Hellmann et al., 2008)","plainCitation":"(Diez et al., 2012; Hellmann et al., 2008)","dontUpdate":true,"noteIndex":0},"citationItems":[{"id":32972,"uris":["http://zotero.org/groups/2352922/items/G25ZPKKG"],"itemData":{"id":32972,"type":"article-journal","abstract":"Abstract: Scientific and societal unknowns make it difficult to predict how global environmental changes such as climate change and biological invasions will affect ecological systems. In the long term, these changes may have interacting effects and compound the uncertainty associated with each individual driver. Nonetheless, invasive species are likely to respond in ways that should be qualitatively predictable, and some of these responses will be distinct from those of native counterparts. We used the stages of invasion known as the “invasion pathway” to identify 5 nonexclusive consequences of climate change for invasive species: (1) altered transport and introduction mechanisms, (2) establishment of new invasive species, (3) altered impact of existing invasive species, (4) altered distribution of existing invasive species, and (5) altered effectiveness of control strategies. We then used these consequences to identify testable hypotheses about the responses of invasive species to climate change and provide suggestions for invasive-species management plans. The 5 consequences also emphasize the need for enhanced environmental monitoring and expanded coordination among entities involved in invasive-species management.","container-title":"Conservation Biology","DOI":"10.1111/j.1523-1739.2008.00951.x","ISSN":"1523-1739","issue":"3","language":"en","license":"©2008 Society for Conservation Biology","note":"_eprint: https://conbio.onlinelibrary.wiley.com/doi/pdf/10.1111/j.1523-1739.2008.00951.x","page":"534-543","source":"Wiley Online Library","title":"Five Potential Consequences of Climate Change for Invasive Species","URL":"https://conbio.onlinelibrary.wiley.com/doi/abs/10.1111/j.1523-1739.2008.00951.x","volume":"22","author":[{"family":"Hellmann","given":"Jessica J."},{"family":"Byers","given":"James E."},{"family":"Bierwagen","given":"Britta G."},{"family":"Dukes","given":"Jeffrey S."}],"accessed":{"date-parts":[["2021",6,20]]},"issued":{"date-parts":[["2008"]]}},"label":"page"},{"id":30435,"uris":["http://zotero.org/groups/2352922/items/L6RHC4CK"],"itemData":{"id":30435,"type":"article-journal","abstract":"Extreme climatic events (ECEs) – such as unusual heat waves, hurricanes, floods, and droughts – can dramatically affect ecological and evolutionary processes, and these events are projected to become more frequent and more intense with ongoing climate change. However, the implications of ECEs for biological invasions remain poorly understood. Using concepts and empirical evidence from invasion ecology, we identify mechanisms by which ECEs may influence the invasion process, from initial introduction through establishment and spread. We summarize how ECEs can enhance invasions by promoting the transport of propagules into new regions, by decreasing the resistance of native communities to establishment, and also sometimes by putting existing non-native species at a competitive disadvantage. Finally, we outline priority research areas and management approaches for anticipating future risks of unwanted invasions following ECEs. Given predicted increases in both ECE occurrence and rates of species introductions around the globe during the coming decades, there is an urgent need to understand how these two processes interact to affect ecosystem composition and functioning.","container-title":"Frontiers in Ecology and the Environment","DOI":"10.1890/110137","ISSN":"1540-9309","issue":"5","journalAbbreviation":"Front. Ecol. Environ.","language":"en","license":"© The Ecological Society of America","note":"WOS:000305170600016","page":"249-257","source":"Wiley Online Library","title":"Will extreme climatic events facilitate biological invasions?","URL":"https://esajournals.onlinelibrary.wiley.com/doi/abs/10.1890/110137","volume":"10","author":[{"family":"Diez","given":"Jeffrey M."},{"family":"D'Antonio","given":"Carla M."},{"family":"Dukes","given":"Jeffrey S."},{"family":"Grosholz","given":"Edwin D."},{"family":"Olden","given":"Julian D."},{"family":"Sorte","given":"Cascade JB"},{"family":"Blumenthal","given":"Dana M."},{"family":"Bradley","given":"Bethany A."},{"family":"Early","given":"Regan"},{"family":"Ibáñez","given":"Inés"},{"family":"Jones","given":"Sierra J."},{"family":"Lawler","given":"Joshua J."},{"family":"Miller","given":"Luke P."}],"accessed":{"date-parts":[["2019",9,18]]},"issued":{"date-parts":[["2012",6]]}},"label":"page"}],"schema":"https://github.com/citation-style-language/schema/raw/master/csl-citation.json"} </w:instrText>
      </w:r>
      <w:r w:rsidRPr="00DA249F">
        <w:rPr>
          <w:lang w:val="en-GB"/>
        </w:rPr>
        <w:fldChar w:fldCharType="separate"/>
      </w:r>
      <w:r w:rsidR="00EC4A09" w:rsidRPr="00DA249F">
        <w:rPr>
          <w:lang w:val="en-GB"/>
        </w:rPr>
        <w:t>(Diez et al., 2012; Hellmann et al., 2008</w:t>
      </w:r>
      <w:r w:rsidRPr="00DA249F">
        <w:rPr>
          <w:lang w:val="en-GB"/>
        </w:rPr>
        <w:fldChar w:fldCharType="end"/>
      </w:r>
      <w:r w:rsidR="00F41558" w:rsidRPr="00DA249F">
        <w:rPr>
          <w:lang w:val="en-GB"/>
        </w:rPr>
        <w:t xml:space="preserve">; </w:t>
      </w:r>
      <w:r w:rsidR="003D7181" w:rsidRPr="0040355F">
        <w:rPr>
          <w:b/>
          <w:iCs/>
          <w:lang w:val="en-GB"/>
        </w:rPr>
        <w:t>section 3.3.</w:t>
      </w:r>
      <w:r w:rsidR="00401B73" w:rsidRPr="0040355F">
        <w:rPr>
          <w:b/>
          <w:iCs/>
          <w:lang w:val="en-GB"/>
        </w:rPr>
        <w:t>5</w:t>
      </w:r>
      <w:r w:rsidR="003D7181" w:rsidRPr="00DA249F">
        <w:rPr>
          <w:lang w:val="en-GB"/>
        </w:rPr>
        <w:t>)</w:t>
      </w:r>
      <w:r w:rsidRPr="00DA249F">
        <w:rPr>
          <w:lang w:val="en-GB"/>
        </w:rPr>
        <w:t>. In semi-arid shrublands of Chile, a study based on 130 years of precipitation data show</w:t>
      </w:r>
      <w:r w:rsidR="00A31634">
        <w:rPr>
          <w:lang w:val="en-GB"/>
        </w:rPr>
        <w:t>ed</w:t>
      </w:r>
      <w:r w:rsidRPr="00DA249F">
        <w:rPr>
          <w:lang w:val="en-GB"/>
        </w:rPr>
        <w:t xml:space="preserve"> that extreme drought, associated with El Niño effects, </w:t>
      </w:r>
      <w:r w:rsidR="37278D36" w:rsidRPr="00DA249F">
        <w:rPr>
          <w:lang w:val="en-GB"/>
        </w:rPr>
        <w:t>led to</w:t>
      </w:r>
      <w:r w:rsidRPr="00DA249F">
        <w:rPr>
          <w:lang w:val="en-GB"/>
        </w:rPr>
        <w:t xml:space="preserve"> increas</w:t>
      </w:r>
      <w:r w:rsidR="7B51673F" w:rsidRPr="00DA249F">
        <w:rPr>
          <w:lang w:val="en-GB"/>
        </w:rPr>
        <w:t>ed</w:t>
      </w:r>
      <w:r w:rsidRPr="00DA249F">
        <w:rPr>
          <w:lang w:val="en-GB"/>
        </w:rPr>
        <w:t xml:space="preserve"> alien plant cover</w:t>
      </w:r>
      <w:r w:rsidR="208E9876" w:rsidRPr="00DA249F">
        <w:rPr>
          <w:lang w:val="en-GB"/>
        </w:rPr>
        <w:t xml:space="preserve"> at the expense of native plants</w:t>
      </w:r>
      <w:r w:rsidRPr="00DA249F">
        <w:rPr>
          <w:lang w:val="en-GB"/>
        </w:rPr>
        <w:t xml:space="preserve"> </w:t>
      </w:r>
      <w:r w:rsidRPr="00DA249F">
        <w:rPr>
          <w:lang w:val="en-GB"/>
        </w:rPr>
        <w:fldChar w:fldCharType="begin"/>
      </w:r>
      <w:r w:rsidR="00331A79">
        <w:rPr>
          <w:lang w:val="en-GB"/>
        </w:rPr>
        <w:instrText xml:space="preserve"> ADDIN ZOTERO_ITEM CSL_CITATION {"citationID":"s19sSI7q","properties":{"formattedCitation":"(Jim\\uc0\\u233{}nez et al., 2011)","plainCitation":"(Jiménez et al., 2011)","noteIndex":0},"citationItems":[{"id":26327,"uris":["http://zotero.org/groups/2352922/items/L8TQM7WU"],"itemData":{"id":26327,"type":"article-journal","container-title":"Ecology Letters","DOI":"10.1111/j.1461-0248.2011.01693.x","ISSN":"1461023X","issue":"12","language":"en","page":"1227-1235","source":"DOI.org (Crossref)","title":"Extreme climatic events change the dynamics and invasibility of semi-arid annual plant communities: Extreme events and plant invasibility","title-short":"Extreme climatic events change the dynamics and invasibility of semi-arid annual plant communities","URL":"http://doi.wiley.com/10.1111/j.1461-0248.2011.01693.x","volume":"14","author":[{"family":"Jiménez","given":"Milagros A."},{"family":"Jaksic","given":"Fabian M."},{"family":"Armesto","given":"Juan J."},{"family":"Gaxiola","given":"Aurora"},{"family":"Meserve","given":"Peter L."},{"family":"Kelt","given":"Douglas A."},{"family":"Gutiérrez","given":"Julio R."}],"accessed":{"date-parts":[["2021",3,23]]},"issued":{"date-parts":[["2011",12]]}},"label":"page"}],"schema":"https://github.com/citation-style-language/schema/raw/master/csl-citation.json"} </w:instrText>
      </w:r>
      <w:r w:rsidRPr="00DA249F">
        <w:rPr>
          <w:lang w:val="en-GB"/>
        </w:rPr>
        <w:fldChar w:fldCharType="separate"/>
      </w:r>
      <w:r w:rsidR="00144D96" w:rsidRPr="00144D96">
        <w:rPr>
          <w:szCs w:val="24"/>
        </w:rPr>
        <w:t>(Jiménez et al., 2011)</w:t>
      </w:r>
      <w:r w:rsidRPr="00DA249F">
        <w:rPr>
          <w:lang w:val="en-GB"/>
        </w:rPr>
        <w:fldChar w:fldCharType="end"/>
      </w:r>
      <w:r w:rsidRPr="00DA249F">
        <w:rPr>
          <w:lang w:val="en-GB"/>
        </w:rPr>
        <w:t xml:space="preserve">. </w:t>
      </w:r>
      <w:r w:rsidR="16AFE02B" w:rsidRPr="00DA249F">
        <w:rPr>
          <w:lang w:val="en-GB"/>
        </w:rPr>
        <w:t xml:space="preserve">Similarly, using a mesocosm experiment across a precipitation and continental gradient between Belgium and Israel, </w:t>
      </w:r>
      <w:r w:rsidRPr="00DA249F">
        <w:rPr>
          <w:lang w:val="en-GB"/>
        </w:rPr>
        <w:fldChar w:fldCharType="begin"/>
      </w:r>
      <w:r w:rsidR="00331A79">
        <w:rPr>
          <w:lang w:val="en-GB"/>
        </w:rPr>
        <w:instrText xml:space="preserve"> ADDIN ZOTERO_ITEM CSL_CITATION {"citationID":"241jq5Oa","properties":{"formattedCitation":"(Jentsch et al., 2007)","plainCitation":"(Jentsch et al., 2007)","dontUpdate":true,"noteIndex":0},"citationItems":[{"id":12587,"uris":["http://zotero.org/groups/2352922/items/EGLBHEW9"],"itemData":{"id":12587,"type":"article-journal","abstract":"Intensification of weather extremes is currently emerging as one of the most important facets of climate change. Research on extreme events (“event-focused” in contrast to </w:instrText>
      </w:r>
      <w:r w:rsidR="00331A79">
        <w:rPr>
          <w:rFonts w:hint="eastAsia"/>
          <w:lang w:val="en-GB"/>
        </w:rPr>
        <w:instrText>“</w:instrText>
      </w:r>
      <w:r w:rsidR="00331A79">
        <w:rPr>
          <w:lang w:val="en-GB"/>
        </w:rPr>
        <w:instrText xml:space="preserve">trend-focused”) has increased in recent years and, in 2004, accounted for one-fifth of the experimental climate-change studies published. Numerous examples, ranging from microbiology and soil science to biogeography, demonstrate how extreme weather events can accelerate shifts in species composition and distribution, thereby facilitating changes in ecosystem functioning. However, assessing the importance of extreme events for ecological processes poses a major challenge because of the very nature of such events: their effects are out of proportion to their short duration. We propose that extreme events can be characterized by statistical extremity, timing, and abruptness relative to the life cycles of the organisms affected. To test system response to changing magnitude and frequency of weather events, controlled experiments are useful tools. These experiments provide essential insights for science and for societies that must develop coping strategies for such events. Here, we discuss future research needs for climate-change experiments in ecology. For illustration, we describe an experimental plan showing how to meet the challenge posed by changes in the frequency or magnitude of extreme events.","container-title":"Frontiers in Ecology and the Environment","DOI":"10.1890/1540-9295(2007)5[365:ANGOCE]2.0.CO;2","ISSN":"1540-9309","issue":"7","language":"en","license":"© The Ecological Society of America","page":"365-374","source":"Wiley Online Library","title":"A new generation of climate-change experiments: events, not trends","title-short":"A new generation of climate-change experiments","URL":"https://esajournals.onlinelibrary.wiley.com/doi/abs/10.1890/1540-9295%282007%295%5B365%3AANGOCE%5D2.0.CO%3B2","volume":"5","author":[{"family":"Jentsch","given":"Anke"},{"family":"Kreyling","given":"Jürgen"},{"family":"Beierkuhnlein","given":"Carl"}],"accessed":{"date-parts":[["2019",10,22]]},"issued":{"date-parts":[["2007"]]}},"label":"page"}],"schema":"https://github.com/citation-style-language/schema/raw/master/csl-citation.json"} </w:instrText>
      </w:r>
      <w:r w:rsidRPr="00DA249F">
        <w:rPr>
          <w:lang w:val="en-GB"/>
        </w:rPr>
        <w:fldChar w:fldCharType="separate"/>
      </w:r>
      <w:r w:rsidR="00EC4A09" w:rsidRPr="00DA249F">
        <w:rPr>
          <w:lang w:val="en-GB"/>
        </w:rPr>
        <w:t xml:space="preserve">Jentsch et al. </w:t>
      </w:r>
      <w:r w:rsidR="00D2469E">
        <w:rPr>
          <w:lang w:val="en-GB"/>
        </w:rPr>
        <w:t>(</w:t>
      </w:r>
      <w:r w:rsidR="00EC4A09" w:rsidRPr="00DA249F">
        <w:rPr>
          <w:lang w:val="en-GB"/>
        </w:rPr>
        <w:t>2007)</w:t>
      </w:r>
      <w:r w:rsidRPr="00DA249F">
        <w:rPr>
          <w:lang w:val="en-GB"/>
        </w:rPr>
        <w:fldChar w:fldCharType="end"/>
      </w:r>
      <w:r w:rsidR="19EBD9D4" w:rsidRPr="00DA249F">
        <w:rPr>
          <w:lang w:val="en-GB"/>
        </w:rPr>
        <w:t xml:space="preserve"> found that drier ecosystems showed decreased biomass production </w:t>
      </w:r>
      <w:r w:rsidR="19EBD9D4" w:rsidRPr="009C1256">
        <w:rPr>
          <w:lang w:val="en-GB"/>
        </w:rPr>
        <w:t>after extreme droughts, facilitating invasive alien species establishment.</w:t>
      </w:r>
      <w:r w:rsidR="6EDB475E" w:rsidRPr="009C1256">
        <w:rPr>
          <w:lang w:val="en-GB"/>
        </w:rPr>
        <w:t xml:space="preserve"> </w:t>
      </w:r>
      <w:r w:rsidR="50A742C6" w:rsidRPr="009C1256">
        <w:rPr>
          <w:lang w:val="en-GB"/>
        </w:rPr>
        <w:t xml:space="preserve">These climatic extreme events also affected the resilience of marshes and riparian ecosystems. In Mexico, the vegetation of San Jose del Cabo (estuary) is resilient to hurricanes, but the vegetation cover loss due to the increased runoff </w:t>
      </w:r>
      <w:r w:rsidR="009F0CEE">
        <w:rPr>
          <w:lang w:val="en-GB"/>
        </w:rPr>
        <w:t>caused by</w:t>
      </w:r>
      <w:r w:rsidR="50A742C6" w:rsidRPr="009C1256">
        <w:rPr>
          <w:lang w:val="en-GB"/>
        </w:rPr>
        <w:t xml:space="preserve"> stronger hurricanes generated clearings that </w:t>
      </w:r>
      <w:r w:rsidR="00BF2FDE" w:rsidRPr="009C1256">
        <w:rPr>
          <w:lang w:val="en-GB"/>
        </w:rPr>
        <w:t>favoured</w:t>
      </w:r>
      <w:r w:rsidR="50A742C6" w:rsidRPr="009C1256">
        <w:rPr>
          <w:lang w:val="en-GB"/>
        </w:rPr>
        <w:t xml:space="preserve"> the establishment of invasive alien species such as </w:t>
      </w:r>
      <w:r w:rsidR="50A742C6" w:rsidRPr="009C1256">
        <w:rPr>
          <w:i/>
          <w:iCs/>
          <w:lang w:val="en-GB"/>
        </w:rPr>
        <w:t>Arundo donax</w:t>
      </w:r>
      <w:r w:rsidR="50A742C6" w:rsidRPr="009C1256">
        <w:rPr>
          <w:lang w:val="en-GB"/>
        </w:rPr>
        <w:t xml:space="preserve"> </w:t>
      </w:r>
      <w:r w:rsidR="00DE05C2" w:rsidRPr="009C1256">
        <w:rPr>
          <w:lang w:val="en-GB"/>
        </w:rPr>
        <w:t xml:space="preserve">(giant reed) </w:t>
      </w:r>
      <w:r w:rsidR="50A742C6" w:rsidRPr="009C1256">
        <w:rPr>
          <w:lang w:val="en-GB"/>
        </w:rPr>
        <w:t xml:space="preserve">and </w:t>
      </w:r>
      <w:r w:rsidR="50A742C6" w:rsidRPr="009C1256">
        <w:rPr>
          <w:i/>
          <w:iCs/>
          <w:lang w:val="en-GB"/>
        </w:rPr>
        <w:t>Tamarix</w:t>
      </w:r>
      <w:r w:rsidR="50A742C6" w:rsidRPr="009C1256">
        <w:rPr>
          <w:lang w:val="en-GB"/>
        </w:rPr>
        <w:t xml:space="preserve"> sp.</w:t>
      </w:r>
      <w:r w:rsidR="00DE05C2" w:rsidRPr="009C1256">
        <w:rPr>
          <w:lang w:val="en-GB"/>
        </w:rPr>
        <w:t xml:space="preserve"> </w:t>
      </w:r>
      <w:r w:rsidR="00DE05C2" w:rsidRPr="009C1256">
        <w:rPr>
          <w:rFonts w:eastAsia="Times New Roman"/>
          <w:color w:val="000000"/>
          <w:szCs w:val="24"/>
          <w:lang w:val="en-GB" w:eastAsia="zh-CN"/>
        </w:rPr>
        <w:t>(tamarisk)</w:t>
      </w:r>
      <w:r w:rsidR="50A742C6" w:rsidRPr="009C1256">
        <w:rPr>
          <w:lang w:val="en-GB"/>
        </w:rPr>
        <w:t xml:space="preserve"> </w:t>
      </w:r>
      <w:r w:rsidRPr="009C1256">
        <w:rPr>
          <w:lang w:val="en-GB"/>
        </w:rPr>
        <w:fldChar w:fldCharType="begin"/>
      </w:r>
      <w:r w:rsidR="00331A79">
        <w:rPr>
          <w:lang w:val="en-GB"/>
        </w:rPr>
        <w:instrText xml:space="preserve"> ADDIN ZOTERO_ITEM CSL_CITATION {"citationID":"fB4fjMnu","properties":{"formattedCitation":"(Shiba-Reyes et al., 2021)","plainCitation":"(Shiba-Reyes et al., 2021)","noteIndex":0},"citationItems":[{"id":30295,"uris":["http://zotero.org/groups/2352922/items/Y3A37L9B"],"itemData":{"id":30295,"type":"article-journal","container-title":"Revista Chapingo Serie Ciencias Forestales y del Ambiente","DOI":"http://dx.doi.org/10.5154/r.rchscfa.2020.03.011","issue":"1","note":"ISBN: 2007-3828","page":"165–180","title":"Impacts of tropical hurricanes on the vegetation cover of the lower basin and estuary of San José del Cabo, Baja California Sur, Mexico.","volume":"27","author":[{"family":"Shiba-Reyes","given":"Marcos"},{"family":"Troyo","given":"Enrique"},{"family":"Martínez-Rincón","given":"Raúl"},{"family":"Breceda","given":"Aurora"}],"issued":{"date-parts":[["2021"]]}},"label":"page"}],"schema":"https://github.com/citation-style-language/schema/raw/master/csl-citation.json"} </w:instrText>
      </w:r>
      <w:r w:rsidRPr="009C1256">
        <w:rPr>
          <w:lang w:val="en-GB"/>
        </w:rPr>
        <w:fldChar w:fldCharType="separate"/>
      </w:r>
      <w:r w:rsidR="00144D96" w:rsidRPr="00144D96">
        <w:t>(Shiba-Reyes et al., 2021)</w:t>
      </w:r>
      <w:r w:rsidRPr="009C1256">
        <w:rPr>
          <w:lang w:val="en-GB"/>
        </w:rPr>
        <w:fldChar w:fldCharType="end"/>
      </w:r>
      <w:r w:rsidR="4C5469CC" w:rsidRPr="009C1256">
        <w:rPr>
          <w:lang w:val="en-GB"/>
        </w:rPr>
        <w:t>.</w:t>
      </w:r>
      <w:r w:rsidR="00E819B9" w:rsidRPr="009C1256">
        <w:rPr>
          <w:lang w:val="en-GB"/>
        </w:rPr>
        <w:t xml:space="preserve"> </w:t>
      </w:r>
    </w:p>
    <w:p w14:paraId="142493A0" w14:textId="62FD5203" w:rsidR="008C1BF7" w:rsidRPr="009C1256" w:rsidRDefault="008C1BF7" w:rsidP="0090109B">
      <w:pPr>
        <w:rPr>
          <w:lang w:val="en-GB"/>
        </w:rPr>
      </w:pPr>
      <w:r w:rsidRPr="009C1256">
        <w:rPr>
          <w:lang w:val="en-GB"/>
        </w:rPr>
        <w:t xml:space="preserve">Extreme </w:t>
      </w:r>
      <w:r w:rsidR="009F0CEE">
        <w:rPr>
          <w:lang w:val="en-GB"/>
        </w:rPr>
        <w:t xml:space="preserve">climatic </w:t>
      </w:r>
      <w:r w:rsidRPr="009C1256">
        <w:rPr>
          <w:lang w:val="en-GB"/>
        </w:rPr>
        <w:t>events can also act as a</w:t>
      </w:r>
      <w:r w:rsidR="00066BF9" w:rsidRPr="009C1256">
        <w:rPr>
          <w:lang w:val="en-GB"/>
        </w:rPr>
        <w:t xml:space="preserve"> </w:t>
      </w:r>
      <w:r w:rsidR="00073072" w:rsidRPr="009C1256">
        <w:rPr>
          <w:lang w:val="en-GB"/>
        </w:rPr>
        <w:t xml:space="preserve">driver affecting </w:t>
      </w:r>
      <w:r w:rsidR="00564CAF" w:rsidRPr="009C1256">
        <w:rPr>
          <w:lang w:val="en-GB"/>
        </w:rPr>
        <w:t xml:space="preserve">the decline of </w:t>
      </w:r>
      <w:r w:rsidR="00073072" w:rsidRPr="009C1256">
        <w:rPr>
          <w:lang w:val="en-GB"/>
        </w:rPr>
        <w:t>invasive</w:t>
      </w:r>
      <w:r w:rsidR="00B33723" w:rsidRPr="009C1256">
        <w:rPr>
          <w:lang w:val="en-GB"/>
        </w:rPr>
        <w:t xml:space="preserve"> alien species</w:t>
      </w:r>
      <w:r w:rsidRPr="009C1256">
        <w:rPr>
          <w:lang w:val="en-GB"/>
        </w:rPr>
        <w:t>. For example, a heavy drought in North America between 1987</w:t>
      </w:r>
      <w:r w:rsidR="00010F38">
        <w:rPr>
          <w:lang w:val="en-GB"/>
        </w:rPr>
        <w:t xml:space="preserve"> and </w:t>
      </w:r>
      <w:r w:rsidRPr="009C1256">
        <w:rPr>
          <w:lang w:val="en-GB"/>
        </w:rPr>
        <w:t xml:space="preserve">1988 </w:t>
      </w:r>
      <w:r w:rsidR="00010F38">
        <w:rPr>
          <w:lang w:val="en-GB"/>
        </w:rPr>
        <w:t>has led</w:t>
      </w:r>
      <w:r w:rsidRPr="009C1256">
        <w:rPr>
          <w:lang w:val="en-GB"/>
        </w:rPr>
        <w:t xml:space="preserve"> to the declines of 10 alien insect herbivore species </w:t>
      </w:r>
      <w:r w:rsidR="00564CAF" w:rsidRPr="009C1256">
        <w:rPr>
          <w:lang w:val="en-GB"/>
        </w:rPr>
        <w:t>in the following few years</w:t>
      </w:r>
      <w:r w:rsidRPr="009C1256">
        <w:rPr>
          <w:lang w:val="en-GB"/>
        </w:rPr>
        <w:t xml:space="preserve"> </w:t>
      </w:r>
      <w:r w:rsidRPr="009C1256">
        <w:rPr>
          <w:lang w:val="en-GB"/>
        </w:rPr>
        <w:fldChar w:fldCharType="begin"/>
      </w:r>
      <w:r w:rsidR="00331A79">
        <w:rPr>
          <w:lang w:val="en-GB"/>
        </w:rPr>
        <w:instrText xml:space="preserve"> ADDIN ZOTERO_ITEM CSL_CITATION {"citationID":"dESavL1I","properties":{"formattedCitation":"(Ward &amp; Masters, 2007)","plainCitation":"(Ward &amp; Masters, 2007)","noteIndex":0},"citationItems":[{"id":15231,"uris":["http://zotero.org/groups/2352922/items/3G36AZ2V"],"itemData":{"id":15231,"type":"article-journal","abstract":"Climate change and invasive species are two of the most important ecological issues facing the world today. Yet, to date these two factors have largely been viewed independently. In order to prevent large-scale economic and environmental damage and as a first step towards predicting and preventing invasions, it is important to understand the factors affecting invasions. Here, we focus on insect herbivores and link the climate change and invasive research fields. We illustrate using existing published research that life history traits can be useful indicators of future invasive potential. However, climate change will also affect propagule pressure and the communities into which invaders will arrive. With the aid of a meta-analysis we show that climate-induced community changes are likely to increase niche-availability in the future, further exacerbating the problem of invasive species. It is timely and important that further research linking these two important ecological threats is undertaken.","container-title":"Global Change Biology","DOI":"10.1111/j.1365-2486.2007.01399.x","ISSN":"1365-2486","issue":"8","language":"en","page":"1605-1615","source":"Wiley Online Library","title":"Linking climate change and species invasion: an illustration using insect herbivores","title-short":"Linking climate change and species invasion","URL":"https://onlinelibrary.wiley.com/doi/abs/10.1111/j.1365-2486.2007.01399.x","volume":"13","author":[{"family":"Ward","given":"Nicola L."},{"family":"Masters","given":"Gregory J."}],"accessed":{"date-parts":[["2019",9,24]]},"issued":{"date-parts":[["2007"]]}},"label":"page"}],"schema":"https://github.com/citation-style-language/schema/raw/master/csl-citation.json"} </w:instrText>
      </w:r>
      <w:r w:rsidRPr="009C1256">
        <w:rPr>
          <w:lang w:val="en-GB"/>
        </w:rPr>
        <w:fldChar w:fldCharType="separate"/>
      </w:r>
      <w:r w:rsidR="00144D96" w:rsidRPr="00144D96">
        <w:t>(Ward &amp; Masters, 2007)</w:t>
      </w:r>
      <w:r w:rsidRPr="009C1256">
        <w:rPr>
          <w:lang w:val="en-GB"/>
        </w:rPr>
        <w:fldChar w:fldCharType="end"/>
      </w:r>
      <w:r w:rsidR="00F74F35" w:rsidRPr="009C1256">
        <w:rPr>
          <w:lang w:val="en-GB"/>
        </w:rPr>
        <w:t xml:space="preserve">. An extreme cold spell in southern Florida </w:t>
      </w:r>
      <w:r w:rsidR="00564CAF" w:rsidRPr="009C1256">
        <w:rPr>
          <w:lang w:val="en-GB"/>
        </w:rPr>
        <w:t xml:space="preserve">led to </w:t>
      </w:r>
      <w:r w:rsidR="00F74F35" w:rsidRPr="009C1256">
        <w:rPr>
          <w:lang w:val="en-GB"/>
        </w:rPr>
        <w:t>decline</w:t>
      </w:r>
      <w:r w:rsidR="00564CAF" w:rsidRPr="009C1256">
        <w:rPr>
          <w:lang w:val="en-GB"/>
        </w:rPr>
        <w:t>s in</w:t>
      </w:r>
      <w:r w:rsidRPr="009C1256">
        <w:rPr>
          <w:lang w:val="en-GB"/>
        </w:rPr>
        <w:t xml:space="preserve"> the abundance of a</w:t>
      </w:r>
      <w:r w:rsidR="00540494" w:rsidRPr="009C1256">
        <w:rPr>
          <w:lang w:val="en-GB"/>
        </w:rPr>
        <w:t xml:space="preserve">n alien species, </w:t>
      </w:r>
      <w:r w:rsidR="00DE05C2" w:rsidRPr="009C1256">
        <w:rPr>
          <w:i/>
          <w:lang w:val="en-GB"/>
        </w:rPr>
        <w:t>Centris nitida</w:t>
      </w:r>
      <w:r w:rsidR="00DE05C2" w:rsidRPr="009C1256">
        <w:rPr>
          <w:lang w:val="en-GB"/>
        </w:rPr>
        <w:t xml:space="preserve"> </w:t>
      </w:r>
      <w:r w:rsidRPr="009C1256">
        <w:rPr>
          <w:lang w:val="en-GB"/>
        </w:rPr>
        <w:t>(</w:t>
      </w:r>
      <w:r w:rsidR="00060E8C">
        <w:rPr>
          <w:lang w:val="en-GB"/>
        </w:rPr>
        <w:t>o</w:t>
      </w:r>
      <w:r w:rsidR="00600792" w:rsidRPr="009C1256">
        <w:rPr>
          <w:lang w:val="en-GB"/>
        </w:rPr>
        <w:t>il-collecting bee</w:t>
      </w:r>
      <w:r w:rsidRPr="009C1256">
        <w:rPr>
          <w:lang w:val="en-GB"/>
        </w:rPr>
        <w:t>)</w:t>
      </w:r>
      <w:r w:rsidR="00540494" w:rsidRPr="009C1256">
        <w:rPr>
          <w:lang w:val="en-GB"/>
        </w:rPr>
        <w:t>,</w:t>
      </w:r>
      <w:r w:rsidRPr="009C1256">
        <w:rPr>
          <w:lang w:val="en-GB"/>
        </w:rPr>
        <w:t xml:space="preserve"> </w:t>
      </w:r>
      <w:r w:rsidR="00564CAF" w:rsidRPr="009C1256">
        <w:rPr>
          <w:lang w:val="en-GB"/>
        </w:rPr>
        <w:t>previously introduced from</w:t>
      </w:r>
      <w:r w:rsidRPr="009C1256">
        <w:rPr>
          <w:lang w:val="en-GB"/>
        </w:rPr>
        <w:t xml:space="preserve"> Mexico and Central America </w:t>
      </w:r>
      <w:r w:rsidRPr="009C1256">
        <w:rPr>
          <w:lang w:val="en-GB"/>
        </w:rPr>
        <w:fldChar w:fldCharType="begin"/>
      </w:r>
      <w:r w:rsidR="00331A79">
        <w:rPr>
          <w:lang w:val="en-GB"/>
        </w:rPr>
        <w:instrText xml:space="preserve"> ADDIN ZOTERO_ITEM CSL_CITATION {"citationID":"i0RBPGbZ","properties":{"formattedCitation":"(Downing et al., 2016)","plainCitation":"(Downing et al., 2016)","noteIndex":0},"citationItems":[{"id":15563,"uris":["http://zotero.org/groups/2352922/items/DNBABM3Y"],"itemData":{"id":15563,"type":"article-journal","abstract":"Gradual warming and changes in extreme weather patterns associated with human induced climate change are altering the range distributions of species. However, species responses to climate change are predicted to be more strongly affected by extreme events than by changes in mean values. As a result, measuring species' responses to extreme events in addition to the mean changes in climate are necessary to predict species range limits under future conditions. This study examines the impacts of a cold spell in southern Florida on native and an introduced oil-collecting bees by examining the bees' interactions with two native plants species. Our results provide evidence of differential impacts from an extreme cold event on a native, subtropical bee vs. an introduced, tropical bee. Specifically, the cold spell had little impact on the abundance of the native bee, while the abundance of the introduced, tropical bee was negatively impacted. Our findings demonstrate that extreme cold spells are important climate change-related phenomena that can have strong impacts on tropical species distributions and abundances, especially at the threshold of their thermal tolerances. Our approach also provided a rare opportunity to examine these impacts on multiple interacting species, which provides a more realistic assessment of the potential impacts of climate change.","container-title":"Ecosphere","DOI":"10.1002/ecs2.1302","ISSN":"2150-8925","issue":"5","language":"en","license":"© 2016 Downing et al.","page":"e01302","source":"Wiley Online Library","title":"Differential impacts from an extreme cold spell on subtropical vs. tropical specialist bees in southern Florida","URL":"https://esajournals.onlinelibrary.wiley.com/doi/abs/10.1002/ecs2.1302","volume":"7","author":[{"family":"Downing","given":"Jason"},{"family":"Borrero","given":"Haydee"},{"family":"Liu","given":"Hong"}],"accessed":{"date-parts":[["2019",10,25]]},"issued":{"date-parts":[["2016"]]}},"label":"page"}],"schema":"https://github.com/citation-style-language/schema/raw/master/csl-citation.json"} </w:instrText>
      </w:r>
      <w:r w:rsidRPr="009C1256">
        <w:rPr>
          <w:lang w:val="en-GB"/>
        </w:rPr>
        <w:fldChar w:fldCharType="separate"/>
      </w:r>
      <w:r w:rsidR="00144D96" w:rsidRPr="00144D96">
        <w:t>(Downing et al., 2016)</w:t>
      </w:r>
      <w:r w:rsidRPr="009C1256">
        <w:rPr>
          <w:lang w:val="en-GB"/>
        </w:rPr>
        <w:fldChar w:fldCharType="end"/>
      </w:r>
      <w:r w:rsidRPr="009C1256">
        <w:rPr>
          <w:lang w:val="en-GB"/>
        </w:rPr>
        <w:t>.</w:t>
      </w:r>
    </w:p>
    <w:p w14:paraId="5A401294" w14:textId="77777777" w:rsidR="008C1BF7" w:rsidRPr="009C1256" w:rsidRDefault="0522A120" w:rsidP="00307893">
      <w:pPr>
        <w:pStyle w:val="Heading3"/>
        <w:rPr>
          <w:lang w:val="en-GB"/>
        </w:rPr>
      </w:pPr>
      <w:bookmarkStart w:id="193" w:name="_Toc44317839"/>
      <w:r w:rsidRPr="009C1256">
        <w:rPr>
          <w:lang w:val="en-GB"/>
        </w:rPr>
        <w:lastRenderedPageBreak/>
        <w:t xml:space="preserve"> </w:t>
      </w:r>
      <w:r w:rsidR="6619E8BF" w:rsidRPr="009C1256">
        <w:rPr>
          <w:lang w:val="en-GB"/>
        </w:rPr>
        <w:t xml:space="preserve">Carbon dioxide enrichment in air, water </w:t>
      </w:r>
      <w:bookmarkEnd w:id="193"/>
    </w:p>
    <w:p w14:paraId="67158D1B" w14:textId="77777777" w:rsidR="008C1BF7" w:rsidRPr="009C1256" w:rsidRDefault="00546A15" w:rsidP="0090109B">
      <w:pPr>
        <w:rPr>
          <w:lang w:val="en-GB"/>
        </w:rPr>
      </w:pPr>
      <w:r w:rsidRPr="009C1256">
        <w:rPr>
          <w:lang w:val="en-GB"/>
        </w:rPr>
        <w:t>T</w:t>
      </w:r>
      <w:r w:rsidR="00540494" w:rsidRPr="009C1256">
        <w:rPr>
          <w:lang w:val="en-GB"/>
        </w:rPr>
        <w:t>h</w:t>
      </w:r>
      <w:r w:rsidR="19A26F44" w:rsidRPr="009C1256">
        <w:rPr>
          <w:lang w:val="en-GB"/>
        </w:rPr>
        <w:t xml:space="preserve">e concentration of atmospheric </w:t>
      </w:r>
      <w:r w:rsidR="00265BC6" w:rsidRPr="009C1256">
        <w:rPr>
          <w:lang w:val="en-GB"/>
        </w:rPr>
        <w:t>CO</w:t>
      </w:r>
      <w:r w:rsidR="00265BC6" w:rsidRPr="009C1256">
        <w:rPr>
          <w:vertAlign w:val="subscript"/>
          <w:lang w:val="en-GB"/>
        </w:rPr>
        <w:t>2</w:t>
      </w:r>
      <w:r w:rsidR="00265BC6" w:rsidRPr="009C1256">
        <w:rPr>
          <w:lang w:val="en-GB"/>
        </w:rPr>
        <w:t xml:space="preserve"> </w:t>
      </w:r>
      <w:r w:rsidR="76F96C57" w:rsidRPr="009C1256">
        <w:rPr>
          <w:lang w:val="en-GB"/>
        </w:rPr>
        <w:t xml:space="preserve">in 2019 </w:t>
      </w:r>
      <w:r w:rsidR="5B0ADFFF" w:rsidRPr="009C1256">
        <w:rPr>
          <w:lang w:val="en-GB"/>
        </w:rPr>
        <w:t xml:space="preserve">was </w:t>
      </w:r>
      <w:r w:rsidR="19A26F44" w:rsidRPr="009C1256">
        <w:rPr>
          <w:lang w:val="en-GB"/>
        </w:rPr>
        <w:t>45</w:t>
      </w:r>
      <w:r w:rsidR="00564CAF" w:rsidRPr="009C1256">
        <w:rPr>
          <w:lang w:val="en-GB"/>
        </w:rPr>
        <w:t xml:space="preserve"> </w:t>
      </w:r>
      <w:r w:rsidR="004C77CD" w:rsidRPr="009C1256">
        <w:rPr>
          <w:lang w:val="en-GB"/>
        </w:rPr>
        <w:t>per cent</w:t>
      </w:r>
      <w:r w:rsidR="00564CAF" w:rsidRPr="009C1256">
        <w:rPr>
          <w:lang w:val="en-GB"/>
        </w:rPr>
        <w:t xml:space="preserve"> </w:t>
      </w:r>
      <w:r w:rsidR="2FA7D368" w:rsidRPr="009C1256">
        <w:rPr>
          <w:lang w:val="en-GB"/>
        </w:rPr>
        <w:t>higher</w:t>
      </w:r>
      <w:r w:rsidR="00010F38">
        <w:rPr>
          <w:lang w:val="en-GB"/>
        </w:rPr>
        <w:t xml:space="preserve"> </w:t>
      </w:r>
      <w:r w:rsidR="00010F38" w:rsidRPr="009C1256">
        <w:rPr>
          <w:lang w:val="en-GB"/>
        </w:rPr>
        <w:t xml:space="preserve">(410 ppm) </w:t>
      </w:r>
      <w:r w:rsidR="2FA7D368" w:rsidRPr="009C1256">
        <w:rPr>
          <w:lang w:val="en-GB"/>
        </w:rPr>
        <w:t>than in</w:t>
      </w:r>
      <w:r w:rsidR="19A26F44" w:rsidRPr="009C1256">
        <w:rPr>
          <w:lang w:val="en-GB"/>
        </w:rPr>
        <w:t xml:space="preserve"> </w:t>
      </w:r>
      <w:r w:rsidR="45489A8C" w:rsidRPr="009C1256">
        <w:rPr>
          <w:lang w:val="en-GB"/>
        </w:rPr>
        <w:t>1</w:t>
      </w:r>
      <w:r w:rsidR="2DC75F99" w:rsidRPr="009C1256">
        <w:rPr>
          <w:lang w:val="en-GB"/>
        </w:rPr>
        <w:t>7</w:t>
      </w:r>
      <w:r w:rsidR="45489A8C" w:rsidRPr="009C1256">
        <w:rPr>
          <w:lang w:val="en-GB"/>
        </w:rPr>
        <w:t>50</w:t>
      </w:r>
      <w:r w:rsidR="1E4C0A85" w:rsidRPr="009C1256">
        <w:rPr>
          <w:lang w:val="en-GB"/>
        </w:rPr>
        <w:t xml:space="preserve">; </w:t>
      </w:r>
      <w:r w:rsidRPr="009C1256">
        <w:rPr>
          <w:lang w:val="en-GB"/>
        </w:rPr>
        <w:t xml:space="preserve">and </w:t>
      </w:r>
      <w:r w:rsidR="005D10C3" w:rsidRPr="009C1256">
        <w:rPr>
          <w:lang w:val="en-GB"/>
        </w:rPr>
        <w:t>in part</w:t>
      </w:r>
      <w:r w:rsidR="1E4C0A85" w:rsidRPr="009C1256">
        <w:rPr>
          <w:lang w:val="en-GB"/>
        </w:rPr>
        <w:t xml:space="preserve"> excess </w:t>
      </w:r>
      <w:r w:rsidR="00265BC6" w:rsidRPr="009C1256">
        <w:rPr>
          <w:lang w:val="en-GB"/>
        </w:rPr>
        <w:t>CO</w:t>
      </w:r>
      <w:r w:rsidR="00265BC6" w:rsidRPr="009C1256">
        <w:rPr>
          <w:vertAlign w:val="subscript"/>
          <w:lang w:val="en-GB"/>
        </w:rPr>
        <w:t>2</w:t>
      </w:r>
      <w:r w:rsidR="00265BC6" w:rsidRPr="009C1256">
        <w:rPr>
          <w:lang w:val="en-GB"/>
        </w:rPr>
        <w:t xml:space="preserve"> </w:t>
      </w:r>
      <w:r w:rsidRPr="009C1256">
        <w:rPr>
          <w:lang w:val="en-GB"/>
        </w:rPr>
        <w:t>released from anthropogenic sources</w:t>
      </w:r>
      <w:r w:rsidR="1E4C0A85" w:rsidRPr="009C1256">
        <w:rPr>
          <w:lang w:val="en-GB"/>
        </w:rPr>
        <w:t xml:space="preserve"> ha</w:t>
      </w:r>
      <w:r w:rsidR="3FCE493C" w:rsidRPr="009C1256">
        <w:rPr>
          <w:lang w:val="en-GB"/>
        </w:rPr>
        <w:t xml:space="preserve">s been </w:t>
      </w:r>
      <w:r w:rsidR="1E4C0A85" w:rsidRPr="009C1256">
        <w:rPr>
          <w:lang w:val="en-GB"/>
        </w:rPr>
        <w:t xml:space="preserve">taken </w:t>
      </w:r>
      <w:r w:rsidR="005D10C3" w:rsidRPr="009C1256">
        <w:rPr>
          <w:lang w:val="en-GB"/>
        </w:rPr>
        <w:t>up</w:t>
      </w:r>
      <w:r w:rsidR="1E4C0A85" w:rsidRPr="009C1256">
        <w:rPr>
          <w:lang w:val="en-GB"/>
        </w:rPr>
        <w:t xml:space="preserve"> by the oceans, </w:t>
      </w:r>
      <w:r w:rsidR="1CD5DAD0" w:rsidRPr="009C1256">
        <w:rPr>
          <w:lang w:val="en-GB"/>
        </w:rPr>
        <w:t xml:space="preserve">ultimately </w:t>
      </w:r>
      <w:r w:rsidR="5AA94E3D" w:rsidRPr="009C1256">
        <w:rPr>
          <w:lang w:val="en-GB"/>
        </w:rPr>
        <w:t>leading to</w:t>
      </w:r>
      <w:r w:rsidR="344F4152" w:rsidRPr="009C1256">
        <w:rPr>
          <w:lang w:val="en-GB"/>
        </w:rPr>
        <w:t xml:space="preserve"> </w:t>
      </w:r>
      <w:r w:rsidR="11A05FF0" w:rsidRPr="009C1256">
        <w:rPr>
          <w:lang w:val="en-GB"/>
        </w:rPr>
        <w:t>decreasing</w:t>
      </w:r>
      <w:r w:rsidR="1CF2F72C" w:rsidRPr="009C1256">
        <w:rPr>
          <w:lang w:val="en-GB"/>
        </w:rPr>
        <w:t xml:space="preserve"> pH </w:t>
      </w:r>
      <w:r w:rsidR="11A05FF0" w:rsidRPr="009C1256">
        <w:rPr>
          <w:lang w:val="en-GB"/>
        </w:rPr>
        <w:t>levels</w:t>
      </w:r>
      <w:r w:rsidR="5AA94E3D" w:rsidRPr="009C1256">
        <w:rPr>
          <w:lang w:val="en-GB"/>
        </w:rPr>
        <w:t xml:space="preserve"> </w:t>
      </w:r>
      <w:r w:rsidR="00B520A9" w:rsidRPr="009C1256">
        <w:rPr>
          <w:lang w:val="en-GB"/>
        </w:rPr>
        <w:fldChar w:fldCharType="begin"/>
      </w:r>
      <w:r w:rsidR="00331A79">
        <w:rPr>
          <w:lang w:val="en-GB"/>
        </w:rPr>
        <w:instrText xml:space="preserve"> ADDIN ZOTERO_ITEM CSL_CITATION {"citationID":"cJ0SpSkJ","properties":{"formattedCitation":"(IPCC, 2021)","plainCitation":"(IPCC, 2021)","noteIndex":0},"citationItems":[{"id":29622,"uris":["http://zotero.org/groups/2352922/items/EHM5HDB3"],"itemData":{"id":29622,"type":"article-journal","container-title":"Cambridge University Press","DOI":"10.1017/9781009157896","title":"Climate Change 2021: The Physical Science Basis. Contribution of Working Group I to the Sixth Assessment Report of the Intergovernmental Panel on Climate Change","author":[{"literal":"IPCC"}],"contributor":[{"family":"Masson-Delmotte","given":"V."},{"family":"Zhai","given":"P."},{"family":"Pirani","given":"A."},{"family":"Connors","given":"S. L."},{"family":"Péan","given":"C."},{"family":"Berger","given":"S."},{"family":"Caud","given":"N."},{"family":"Chen","given":"Y."},{"family":"Goldfarb","given":"L."},{"family":"Gomis","given":"M. I."},{"family":"Huang","given":"M."},{"family":"Leitzell","given":"K."},{"family":"Lonnoy","given":"E."},{"family":"Matthews","given":"J. B. R."},{"family":"Maycock","given":"T. K."},{"family":"Waterfield","given":"T."},{"family":"Yelekçi","given":"O."},{"family":"Yu","given":"R."},{"family":"Zhou","given":"B."}],"issued":{"date-parts":[["2021"]]}}}],"schema":"https://github.com/citation-style-language/schema/raw/master/csl-citation.json"} </w:instrText>
      </w:r>
      <w:r w:rsidR="00B520A9" w:rsidRPr="009C1256">
        <w:rPr>
          <w:lang w:val="en-GB"/>
        </w:rPr>
        <w:fldChar w:fldCharType="separate"/>
      </w:r>
      <w:r w:rsidR="00144D96" w:rsidRPr="00144D96">
        <w:t>(IPCC, 2021)</w:t>
      </w:r>
      <w:r w:rsidR="00B520A9" w:rsidRPr="009C1256">
        <w:rPr>
          <w:lang w:val="en-GB"/>
        </w:rPr>
        <w:fldChar w:fldCharType="end"/>
      </w:r>
      <w:r w:rsidR="00B520A9" w:rsidRPr="009C1256">
        <w:rPr>
          <w:lang w:val="en-GB"/>
        </w:rPr>
        <w:t xml:space="preserve">. </w:t>
      </w:r>
      <w:r w:rsidR="009F0CEE">
        <w:rPr>
          <w:lang w:val="en-GB"/>
        </w:rPr>
        <w:t>R</w:t>
      </w:r>
      <w:r w:rsidR="009F0CEE" w:rsidRPr="009C1256">
        <w:rPr>
          <w:lang w:val="en-GB"/>
        </w:rPr>
        <w:t>esponses to increasing atmospheric CO</w:t>
      </w:r>
      <w:r w:rsidR="009F0CEE" w:rsidRPr="009C1256">
        <w:rPr>
          <w:vertAlign w:val="subscript"/>
          <w:lang w:val="en-GB"/>
        </w:rPr>
        <w:t>2</w:t>
      </w:r>
      <w:r w:rsidR="009F0CEE">
        <w:rPr>
          <w:lang w:val="en-GB"/>
        </w:rPr>
        <w:t xml:space="preserve"> differ between </w:t>
      </w:r>
      <w:r w:rsidR="00FD268B" w:rsidRPr="009C1256">
        <w:rPr>
          <w:lang w:val="en-GB"/>
        </w:rPr>
        <w:t>species within</w:t>
      </w:r>
      <w:r w:rsidR="1C4FF875" w:rsidRPr="009C1256">
        <w:rPr>
          <w:lang w:val="en-GB"/>
        </w:rPr>
        <w:t xml:space="preserve"> terrestrial and aquatic environment</w:t>
      </w:r>
      <w:r w:rsidR="009F0CEE">
        <w:rPr>
          <w:lang w:val="en-GB"/>
        </w:rPr>
        <w:t>s.</w:t>
      </w:r>
    </w:p>
    <w:p w14:paraId="40D340BE" w14:textId="1A9ADE97" w:rsidR="00481FAB" w:rsidRPr="009C1256" w:rsidRDefault="00915D4E" w:rsidP="0090109B">
      <w:pPr>
        <w:rPr>
          <w:lang w:val="en-GB"/>
        </w:rPr>
      </w:pPr>
      <w:r>
        <w:rPr>
          <w:lang w:val="en-GB"/>
        </w:rPr>
        <w:t>For</w:t>
      </w:r>
      <w:r w:rsidR="1E9DF1B2" w:rsidRPr="009C1256">
        <w:rPr>
          <w:lang w:val="en-GB"/>
        </w:rPr>
        <w:t xml:space="preserve"> </w:t>
      </w:r>
      <w:r w:rsidR="007338D0" w:rsidRPr="009C1256">
        <w:rPr>
          <w:lang w:val="en-GB"/>
        </w:rPr>
        <w:t>terrestrial</w:t>
      </w:r>
      <w:r w:rsidR="1E9DF1B2" w:rsidRPr="009C1256">
        <w:rPr>
          <w:lang w:val="en-GB"/>
        </w:rPr>
        <w:t xml:space="preserve"> plants, </w:t>
      </w:r>
      <w:r w:rsidR="00BF2FDE" w:rsidRPr="009C1256">
        <w:rPr>
          <w:lang w:val="en-GB"/>
        </w:rPr>
        <w:t>higher</w:t>
      </w:r>
      <w:r w:rsidR="4CEB6B15" w:rsidRPr="009C1256">
        <w:rPr>
          <w:lang w:val="en-GB"/>
        </w:rPr>
        <w:t xml:space="preserve"> levels of </w:t>
      </w:r>
      <w:r w:rsidR="00265BC6" w:rsidRPr="009C1256">
        <w:rPr>
          <w:lang w:val="en-GB"/>
        </w:rPr>
        <w:t>CO</w:t>
      </w:r>
      <w:r w:rsidR="00265BC6" w:rsidRPr="009C1256">
        <w:rPr>
          <w:vertAlign w:val="subscript"/>
          <w:lang w:val="en-GB"/>
        </w:rPr>
        <w:t>2</w:t>
      </w:r>
      <w:r w:rsidR="00265BC6" w:rsidRPr="009C1256">
        <w:rPr>
          <w:lang w:val="en-GB"/>
        </w:rPr>
        <w:t xml:space="preserve"> </w:t>
      </w:r>
      <w:r w:rsidR="00F74F35" w:rsidRPr="009C1256">
        <w:rPr>
          <w:lang w:val="en-GB"/>
        </w:rPr>
        <w:t xml:space="preserve">cause </w:t>
      </w:r>
      <w:r w:rsidR="00BF2FDE" w:rsidRPr="009C1256">
        <w:rPr>
          <w:lang w:val="en-GB"/>
        </w:rPr>
        <w:t>an</w:t>
      </w:r>
      <w:r w:rsidR="1C4FF875" w:rsidRPr="009C1256">
        <w:rPr>
          <w:lang w:val="en-GB"/>
        </w:rPr>
        <w:t xml:space="preserve"> increase </w:t>
      </w:r>
      <w:r w:rsidR="00F74F35" w:rsidRPr="009C1256">
        <w:rPr>
          <w:lang w:val="en-GB"/>
        </w:rPr>
        <w:t xml:space="preserve">in </w:t>
      </w:r>
      <w:r w:rsidR="1C4FF875" w:rsidRPr="009C1256">
        <w:rPr>
          <w:lang w:val="en-GB"/>
        </w:rPr>
        <w:t>water use efficiency</w:t>
      </w:r>
      <w:r w:rsidR="564BD7E2" w:rsidRPr="009C1256" w:rsidDel="1C4FF875">
        <w:rPr>
          <w:lang w:val="en-GB"/>
        </w:rPr>
        <w:t xml:space="preserve"> </w:t>
      </w:r>
      <w:r w:rsidR="485C3B17" w:rsidRPr="009C1256">
        <w:rPr>
          <w:lang w:val="en-GB"/>
        </w:rPr>
        <w:t xml:space="preserve">and </w:t>
      </w:r>
      <w:r w:rsidR="1C4FF875" w:rsidRPr="009C1256">
        <w:rPr>
          <w:lang w:val="en-GB"/>
        </w:rPr>
        <w:t>fertilization effect</w:t>
      </w:r>
      <w:r w:rsidR="447DE9EC" w:rsidRPr="009C1256">
        <w:rPr>
          <w:lang w:val="en-GB"/>
        </w:rPr>
        <w:t>s</w:t>
      </w:r>
      <w:r w:rsidR="007338D0" w:rsidRPr="009C1256">
        <w:rPr>
          <w:lang w:val="en-GB"/>
        </w:rPr>
        <w:t xml:space="preserve"> that</w:t>
      </w:r>
      <w:r w:rsidR="1C4FF875" w:rsidRPr="009C1256">
        <w:rPr>
          <w:lang w:val="en-GB"/>
        </w:rPr>
        <w:t xml:space="preserve"> </w:t>
      </w:r>
      <w:r w:rsidR="003D1BA7" w:rsidRPr="009C1256">
        <w:rPr>
          <w:lang w:val="en-GB"/>
        </w:rPr>
        <w:t xml:space="preserve">can </w:t>
      </w:r>
      <w:r w:rsidR="6A8DDB58" w:rsidRPr="009C1256">
        <w:rPr>
          <w:lang w:val="en-GB"/>
        </w:rPr>
        <w:t>enable</w:t>
      </w:r>
      <w:r w:rsidR="1C4FF875" w:rsidRPr="009C1256">
        <w:rPr>
          <w:lang w:val="en-GB"/>
        </w:rPr>
        <w:t xml:space="preserve"> greater biomass production leading to </w:t>
      </w:r>
      <w:r w:rsidR="44A5FCF5" w:rsidRPr="009C1256">
        <w:rPr>
          <w:lang w:val="en-GB"/>
        </w:rPr>
        <w:t>an advantage of</w:t>
      </w:r>
      <w:r w:rsidR="00066BF9" w:rsidRPr="009C1256">
        <w:rPr>
          <w:lang w:val="en-GB"/>
        </w:rPr>
        <w:t xml:space="preserve"> </w:t>
      </w:r>
      <w:r w:rsidR="1C4FF875" w:rsidRPr="009C1256">
        <w:rPr>
          <w:lang w:val="en-GB"/>
        </w:rPr>
        <w:t xml:space="preserve">C4 </w:t>
      </w:r>
      <w:r w:rsidR="3BEE2B5A" w:rsidRPr="009C1256">
        <w:rPr>
          <w:lang w:val="en-GB"/>
        </w:rPr>
        <w:t xml:space="preserve">rather than C3 </w:t>
      </w:r>
      <w:r w:rsidR="1C4FF875" w:rsidRPr="009C1256">
        <w:rPr>
          <w:lang w:val="en-GB"/>
        </w:rPr>
        <w:t>plant</w:t>
      </w:r>
      <w:r w:rsidR="008A1E80" w:rsidRPr="009C1256">
        <w:rPr>
          <w:lang w:val="en-GB"/>
        </w:rPr>
        <w:t>s</w:t>
      </w:r>
      <w:r w:rsidR="1C4FF875" w:rsidRPr="009C1256">
        <w:rPr>
          <w:lang w:val="en-GB"/>
        </w:rPr>
        <w:t xml:space="preserve"> </w:t>
      </w:r>
      <w:r w:rsidR="008A1E80" w:rsidRPr="009C1256">
        <w:rPr>
          <w:lang w:val="en-GB"/>
        </w:rPr>
        <w:t xml:space="preserve">(generally benefiting native relative to alien </w:t>
      </w:r>
      <w:r w:rsidR="1C4FF875" w:rsidRPr="009C1256">
        <w:rPr>
          <w:lang w:val="en-GB"/>
        </w:rPr>
        <w:t>species</w:t>
      </w:r>
      <w:r w:rsidR="00085B35" w:rsidRPr="009C1256">
        <w:rPr>
          <w:lang w:val="en-GB"/>
        </w:rPr>
        <w:t>;</w:t>
      </w:r>
      <w:r w:rsidR="1C4FF875" w:rsidRPr="009C1256">
        <w:rPr>
          <w:lang w:val="en-GB"/>
        </w:rPr>
        <w:t xml:space="preserve"> </w:t>
      </w:r>
      <w:r w:rsidR="564BD7E2" w:rsidRPr="009C1256">
        <w:rPr>
          <w:lang w:val="en-GB"/>
        </w:rPr>
        <w:fldChar w:fldCharType="begin"/>
      </w:r>
      <w:r w:rsidR="00F5121E">
        <w:rPr>
          <w:lang w:val="en-GB"/>
        </w:rPr>
        <w:instrText xml:space="preserve"> ADDIN ZOTERO_ITEM CSL_CITATION {"citationID":"rvq6EMIS","properties":{"formattedCitation":"(Nowak et al., 2004)","plainCitation":"(Nowak et al., 2004)","dontUpdate":true,"noteIndex":0},"citationItems":[{"id":15673,"uris":["http://zotero.org/groups/2352922/items/D69BH62K"],"itemData":{"id":15673,"type":"article-journal","abstract":"Results from 16 free-air CO2 enrichment (FACE) sites representing four different global vegetation types indicate that only some early predictions of the effects of increasing CO2 concentration (elevated [CO2]) on plant and ecosystem processes are well supported. Predictions for leaf CO2 assimilation (A(net)) generally fit our understanding of limitations to photosynthesis, and the FACE experiments indicate concurrent enhancement of photosynthesis and of partial downregulation. In addition, most herbaceous species had reduced leaf nitrogen (N)-content under elevated [CO2] and thus only a modest enhancement of A(net), whereas most woody species had little change in leaf N with elevated [CO2] but a larger enhancement of A(net). Early predictions for primary production are more mixed. Predictions that enhancement of productivity would be greater in drier ecosystems or in drier years has only limited support. Furthermore, differences in productivity enhancements among six plant functional types were not significant. By contrast, increases in productivity enhancements with increased N availability are well supported by the FACE results. Thus, neither a resource-based conceptual model nor a plant functional type conceptual model is exclusively supported by FACE results, but rather both species identity and resource availability are important factors influencing the response of ecosystems to elevated [CO2].","container-title":"New Phytologist","DOI":"10.1111/j.1469-8137.2004.01033.x","ISSN":"0028-646X","issue":"2","journalAbbreviation":"New Phytol.","language":"English","note":"WOS:000221058900003","page":"253-280","source":"Web of Science","title":"Functional responses of plants to elevated atmospheric CO&lt;sub&gt;2&lt;/sub&gt; - do photosynthetic and productivity data from FACE experiments support early predictions?","volume":"162","author":[{"family":"Nowak","given":"Robert S"},{"family":"Ellsworth","given":"David S"},{"family":"Smith","given":"Stanley D"}],"issued":{"date-parts":[["2004",5]]}},"label":"page"}],"schema":"https://github.com/citation-style-language/schema/raw/master/csl-citation.json"} </w:instrText>
      </w:r>
      <w:r w:rsidR="564BD7E2" w:rsidRPr="009C1256">
        <w:rPr>
          <w:lang w:val="en-GB"/>
        </w:rPr>
        <w:fldChar w:fldCharType="separate"/>
      </w:r>
      <w:r w:rsidR="00EC4A09" w:rsidRPr="009C1256">
        <w:rPr>
          <w:lang w:val="en-GB"/>
        </w:rPr>
        <w:t>Nowak et al., 2004)</w:t>
      </w:r>
      <w:r w:rsidR="564BD7E2" w:rsidRPr="009C1256">
        <w:rPr>
          <w:lang w:val="en-GB"/>
        </w:rPr>
        <w:fldChar w:fldCharType="end"/>
      </w:r>
      <w:r w:rsidR="5F629157" w:rsidRPr="009C1256">
        <w:rPr>
          <w:lang w:val="en-GB"/>
        </w:rPr>
        <w:t>.</w:t>
      </w:r>
      <w:r w:rsidR="1C4FF875" w:rsidRPr="009C1256">
        <w:rPr>
          <w:lang w:val="en-GB"/>
        </w:rPr>
        <w:t xml:space="preserve"> </w:t>
      </w:r>
      <w:r w:rsidR="003D1BA7" w:rsidRPr="009C1256">
        <w:rPr>
          <w:lang w:val="en-GB"/>
        </w:rPr>
        <w:t xml:space="preserve">Nevertheless, winners and losers depend on availability of nutrients and some fast-growing C3 </w:t>
      </w:r>
      <w:r w:rsidR="008A1E80" w:rsidRPr="009C1256">
        <w:rPr>
          <w:lang w:val="en-GB"/>
        </w:rPr>
        <w:t>species (such as annual grasses)</w:t>
      </w:r>
      <w:r w:rsidR="003D1BA7" w:rsidRPr="009C1256">
        <w:rPr>
          <w:lang w:val="en-GB"/>
        </w:rPr>
        <w:t xml:space="preserve"> may respond more strongly than slow-growing C3 herbs or C4 plants </w:t>
      </w:r>
      <w:r w:rsidR="00B520A9" w:rsidRPr="009C1256">
        <w:rPr>
          <w:lang w:val="en-GB"/>
        </w:rPr>
        <w:fldChar w:fldCharType="begin"/>
      </w:r>
      <w:r w:rsidR="00331A79">
        <w:rPr>
          <w:lang w:val="en-GB"/>
        </w:rPr>
        <w:instrText xml:space="preserve"> ADDIN ZOTERO_ITEM CSL_CITATION {"citationID":"Hl8212vU","properties":{"formattedCitation":"(Poorter &amp; Navas, 2003)","plainCitation":"(Poorter &amp; Navas, 2003)","noteIndex":0},"citationItems":[{"id":52672,"uris":["http://zotero.org/groups/2352922/items/NCNSUIWU"],"itemData":{"id":52672,"type":"article-journal","container-title":"New Phytologist","DOI":"10.1046/j.1469-8137.2003.00680.x","ISSN":"0028-646X, 1469-8137","issue":"2","journalAbbreviation":"New Phytologist","language":"en","page":"175-198","source":"DOI.org (Crossref)","title":"Plant growth and competition at elevated CO &lt;sub&gt;2&lt;/sub&gt; : on winners, losers and functional groups","title-short":"Plant growth and competition at elevated CO &lt;sub&gt;2&lt;/sub&gt;","URL":"https://onlinelibrary.wiley.com/doi/10.1046</w:instrText>
      </w:r>
      <w:r w:rsidR="00331A79">
        <w:rPr>
          <w:rFonts w:hint="eastAsia"/>
          <w:lang w:val="en-GB"/>
        </w:rPr>
        <w:instrText>/j.1469-8137.2003.00680.x","volume":"157","author":[{"family":"Poorter","given":"Hendrik"},{"family":"Navas","given":"Marie</w:instrText>
      </w:r>
      <w:r w:rsidR="00331A79">
        <w:rPr>
          <w:rFonts w:hint="eastAsia"/>
          <w:lang w:val="en-GB"/>
        </w:rPr>
        <w:instrText>‐</w:instrText>
      </w:r>
      <w:r w:rsidR="00331A79">
        <w:rPr>
          <w:rFonts w:hint="eastAsia"/>
          <w:lang w:val="en-GB"/>
        </w:rPr>
        <w:instrText>Laure"}],"accessed":{"date-parts":[["2022",7,28]]},"issued":{"date-parts":[["2003",2]]}},"label":"page"}],"schema":"https://github.</w:instrText>
      </w:r>
      <w:r w:rsidR="00331A79">
        <w:rPr>
          <w:lang w:val="en-GB"/>
        </w:rPr>
        <w:instrText xml:space="preserve">com/citation-style-language/schema/raw/master/csl-citation.json"} </w:instrText>
      </w:r>
      <w:r w:rsidR="00B520A9" w:rsidRPr="009C1256">
        <w:rPr>
          <w:lang w:val="en-GB"/>
        </w:rPr>
        <w:fldChar w:fldCharType="separate"/>
      </w:r>
      <w:r w:rsidR="00144D96" w:rsidRPr="00144D96">
        <w:t>(Poorter &amp; Navas, 2003)</w:t>
      </w:r>
      <w:r w:rsidR="00B520A9" w:rsidRPr="009C1256">
        <w:rPr>
          <w:lang w:val="en-GB"/>
        </w:rPr>
        <w:fldChar w:fldCharType="end"/>
      </w:r>
      <w:r w:rsidR="003D1BA7" w:rsidRPr="009C1256">
        <w:rPr>
          <w:lang w:val="en-GB"/>
        </w:rPr>
        <w:t xml:space="preserve">. </w:t>
      </w:r>
      <w:r w:rsidR="1C4FF875" w:rsidRPr="009C1256">
        <w:rPr>
          <w:lang w:val="en-GB"/>
        </w:rPr>
        <w:t xml:space="preserve">In arid and semiarid ecosystems invasive </w:t>
      </w:r>
      <w:r w:rsidR="00020AEC" w:rsidRPr="009C1256">
        <w:rPr>
          <w:lang w:val="en-GB"/>
        </w:rPr>
        <w:t>alien annual</w:t>
      </w:r>
      <w:r w:rsidR="1C4FF875" w:rsidRPr="009C1256">
        <w:rPr>
          <w:lang w:val="en-GB"/>
        </w:rPr>
        <w:t xml:space="preserve"> grasses have </w:t>
      </w:r>
      <w:r w:rsidR="007D12C8" w:rsidRPr="009C1256">
        <w:rPr>
          <w:lang w:val="en-GB"/>
        </w:rPr>
        <w:t xml:space="preserve">a </w:t>
      </w:r>
      <w:r w:rsidR="1C4FF875" w:rsidRPr="009C1256">
        <w:rPr>
          <w:lang w:val="en-GB"/>
        </w:rPr>
        <w:t xml:space="preserve">competitive advantage under elevated </w:t>
      </w:r>
      <w:r w:rsidR="00265BC6" w:rsidRPr="009C1256">
        <w:rPr>
          <w:lang w:val="en-GB"/>
        </w:rPr>
        <w:t>CO</w:t>
      </w:r>
      <w:r w:rsidR="00265BC6" w:rsidRPr="009C1256">
        <w:rPr>
          <w:vertAlign w:val="subscript"/>
          <w:lang w:val="en-GB"/>
        </w:rPr>
        <w:t>2</w:t>
      </w:r>
      <w:r w:rsidR="00265BC6" w:rsidRPr="009C1256">
        <w:rPr>
          <w:lang w:val="en-GB"/>
        </w:rPr>
        <w:t xml:space="preserve"> </w:t>
      </w:r>
      <w:r w:rsidR="564BD7E2" w:rsidRPr="009C1256">
        <w:rPr>
          <w:lang w:val="en-GB"/>
        </w:rPr>
        <w:fldChar w:fldCharType="begin"/>
      </w:r>
      <w:r w:rsidR="00F5121E">
        <w:rPr>
          <w:lang w:val="en-GB"/>
        </w:rPr>
        <w:instrText xml:space="preserve"> ADDIN ZOTERO_ITEM CSL_CITATION {"citationID":"DFHVU7tX","properties":{"formattedCitation":"(Chambers et al., 2014; S. D. Smith et al., 2000)","plainCitation":"(Chambers et al., 2014; S. D. Smith et al., 2000)","noteIndex":0},"citationItems":[{"id":23982,"uris":["http://zotero.org/groups/2352922/items/AXDRMD92"],"itemData":{"id":23982,"type":"article-journal","abstract":"Alien grass invasions in arid and semi-arid ecosystems are resulting in grass-fire cycles and ecosystem-level transformations that severely diminish ecosystem services. Our capacity to address the rapid and complex changes occurring in these ecosystems can be enhanced by developing an understanding of the environmental factors and ecosystem attributes that determine resilience of native ecosystems to stress and disturbance, and resistance to invasion. Cold desert shrublands occur over strong environmental gradients and exhibit significant differences in resilience and resistance. They provide an excellent opportunity to increase our understanding of these concepts. Herein, we examine a series of linked questions about (a) ecosystem attributes that determine resilience and resistance along environmental gradients, (b) effects of disturbances like livestock grazing and altered fire regimes and of stressors like rapid climate change, rising CO2, and N deposition on resilience and resistance, and (c) interacting effects of resilience and resistance on ecosystems with different environmental conditions. We conclude by providing strategies for the use of resilience and resistance concepts in a management context. At ecological site scales, state and transition models are used to illustrate how differences in resilience and resistance influence potential alternative vegetation states, transitions among states, and thresholds. At landscape scales management strategies based on resilience and resistance-protection, prevention, restoration, and monitoring and adaptive management-are used to determine priority management areas and appropriate actions.","container-title":"Ecosystems","DOI":"10.1007/s10021-013-9725-5","ISSN":"1432-9840","issue":"2","journalAbbreviation":"Ecosystems","language":"English","note":"WOS:000332001500012","page":"360-375","source":"Web of Science","title":"Resilience to Stress and Disturbance, and Resistance to &lt;i&gt;Bromus tectorum&lt;/i&gt; L. Invasion in Cold Desert Shrublands of Western North America","URL":"http://link.springer.com/10.1007/s10021-013-9725-5","volume":"17","author":[{"family":"Chambers","given":"Jeanne C."},{"family":"Bradley","given":"Bethany A."},{"family":"Brown","given":"Cynthia S."},{"family":"D'Antonio","given":"Carla"},{"family":"Germino","given":"Matthew J."},{"family":"Grace","given":"James B."},{"family":"Hardegree","given":"Stuart P."},{"family":"Miller","given":"Richard F."},{"family":"Pyke","given":"David A."}],"issued":{"date-parts":[["2014",3]]}},"label":"page"},{"id":15669,"uris":["http://zotero.org/groups/2352922/items/C5T4B8Z9"],"itemData":{"id":15669,"type":"article-journal","abstract":"Arid ecosystems, which occupy about 20% of the earth's terrestrial surface area, have been predicted to be one of the most responsive ecosystem types to elevated atmospheric CO2 and associated global climate change(1-3). Here we show, using free-air CO2 enrichment (FACE) technology in an intact Mojave Desert ecosystem(4), that new shoot production of a dominant perennial shrub is doubled by a 50% increase in atmospheric CO2 concentration in a high rainfall year. However, elevated CO2 does not enhance production in a drought year. We also found that aboveground production and seed rain of an invasive annual grass increases more at elevated CO2 than in several species of native annuals. Consequently, elevated CO2 might enhance the longterm success and dominance of exotic annual grasses in the region. This shift in species composition in favour of exotic annual grasses, driven by global change, has the potential to accelerate the fire cycle, reduce biodiversity and alter ecosystem function in the deserts of western North America.","container-title":"Nature","DOI":"10.1038/35040544","ISSN":"0028-0836","issue":"6808","journalAbbreviation":"Nature","language":"English","note":"WOS:000165050400054","page":"79-82","source":"Web of Science","title":"Elevated CO&lt;sub&gt;2&lt;/sub&gt; increases productivity and invasive species success in an arid ecosystem","URL":"https://www.nature.com/articles/35040544","volume":"408","author":[{"family":"Smith","given":"Stanley D"},{"family":"Huxman","given":"Travis E"},{"family":"Zitzer","given":"Stephen F"},{"family":"Charlet","given":"Therese N"},{"family":"Housman","given":"David C"},{"family":"Coleman","given":"James S"},{"family":"Fenstermaker","given":"Lynn K"},{"family":"Seemann","given":"Jeffrey R"},{"family":"Nowak","given":"Robert S"}],"issued":{"date-parts":[["2000",11,2]]}},"label":"page"}],"schema":"https://github.com/citation-style-language/schema/raw/master/csl-citation.json"} </w:instrText>
      </w:r>
      <w:r w:rsidR="564BD7E2" w:rsidRPr="009C1256">
        <w:rPr>
          <w:lang w:val="en-GB"/>
        </w:rPr>
        <w:fldChar w:fldCharType="separate"/>
      </w:r>
      <w:r w:rsidR="00144D96" w:rsidRPr="00144D96">
        <w:t>(Chambers et al., 2014; S. D. Smith et al., 2000)</w:t>
      </w:r>
      <w:r w:rsidR="564BD7E2" w:rsidRPr="009C1256">
        <w:rPr>
          <w:lang w:val="en-GB"/>
        </w:rPr>
        <w:fldChar w:fldCharType="end"/>
      </w:r>
      <w:r w:rsidR="004C64D8" w:rsidRPr="009C1256">
        <w:rPr>
          <w:lang w:val="en-GB"/>
        </w:rPr>
        <w:t>, whereas</w:t>
      </w:r>
      <w:r w:rsidR="00F74F35" w:rsidRPr="009C1256">
        <w:rPr>
          <w:lang w:val="en-GB"/>
        </w:rPr>
        <w:t xml:space="preserve"> </w:t>
      </w:r>
      <w:r w:rsidR="1C4FF875" w:rsidRPr="009C1256">
        <w:rPr>
          <w:lang w:val="en-GB"/>
        </w:rPr>
        <w:t xml:space="preserve">in </w:t>
      </w:r>
      <w:r w:rsidR="6D51EC53" w:rsidRPr="009C1256">
        <w:rPr>
          <w:lang w:val="en-GB"/>
        </w:rPr>
        <w:t>savannahs</w:t>
      </w:r>
      <w:r w:rsidR="004C64D8" w:rsidRPr="009C1256">
        <w:rPr>
          <w:lang w:val="en-GB"/>
        </w:rPr>
        <w:t>,</w:t>
      </w:r>
      <w:r w:rsidR="1C4FF875" w:rsidRPr="009C1256">
        <w:rPr>
          <w:lang w:val="en-GB"/>
        </w:rPr>
        <w:t xml:space="preserve"> native grasses </w:t>
      </w:r>
      <w:r w:rsidR="004C64D8" w:rsidRPr="009C1256">
        <w:rPr>
          <w:lang w:val="en-GB"/>
        </w:rPr>
        <w:t xml:space="preserve">may be </w:t>
      </w:r>
      <w:r w:rsidR="1C4FF875" w:rsidRPr="009C1256">
        <w:rPr>
          <w:lang w:val="en-GB"/>
        </w:rPr>
        <w:t xml:space="preserve">replaced by woody alien species </w:t>
      </w:r>
      <w:r w:rsidR="564BD7E2" w:rsidRPr="009C1256">
        <w:rPr>
          <w:lang w:val="en-GB"/>
        </w:rPr>
        <w:fldChar w:fldCharType="begin"/>
      </w:r>
      <w:r w:rsidR="00F5121E">
        <w:rPr>
          <w:lang w:val="en-GB"/>
        </w:rPr>
        <w:instrText xml:space="preserve"> ADDIN ZOTERO_ITEM CSL_CITATION {"citationID":"enTdFqdf","properties":{"formattedCitation":"(Bond &amp; Midgley, 2000; Gritti et al., 2006)","plainCitation":"(Bond &amp; Midgley, 2000; Gritti et al., 2006)","noteIndex":0},"citationItems":[{"id":15678,"uris":["http://zotero.org/groups/2352922/items/23BPA9RC"],"itemData":{"id":15678,"type":"article-journal","abstract":"We propose that elevated CO2 may have a significant positive effect on woody plant success and thus favour tree invasion and thickening in grass-dominated ecosystems. We note that savanna tree biomass is strongly constrained by disturbance, particularly fire, and that elevated CO2 could act to reduce this constraint. Our argument combines knowledge of tree recovery from injury after grassland fires, with theory about carbon acquisition and carbohydrate storage patterns in C3 woody plants in response to elevated CO2. We propose simply that elevated CO2 will tend to favour regrowth of juvenile trees trapped (sometimes for decades) in the 'topkill' zone, thus allowing them to escape more readily from periodic fires as CO2 continues to rise. Little empirical evidence exists to test this hypothesis, even though the process may have important implications for tree/grass codominated ecosystems currently in a dynamic equilibrium.","container-title":"Global Change Biology","DOI":"10.1046/j.1365-2486.2000.00365.x","ISSN":"1354-1013","issue":"8","journalAbbreviation":"Glob. Change Biol.","language":"English","note":"WOS:000166524000001","page":"865-869","source":"Web of Science","title":"A proposed CO&lt;sub&gt;2&lt;/sub&gt;-controlled mechanism of woody plant invasion in grasslands and savannas","volume":"6","author":[{"family":"Bond","given":"W. J."},{"family":"Midgley","given":"G. F."}],"issued":{"date-parts":[["2000",12]]}},"label":"page"},{"id":17461,"uris":["http://zotero.org/groups/2352922/items/3ZZ8QWLM"],"itemData":{"id":17461,"type":"article-journal","abstract":"Aim To assess at a broad scale the vulnerability of Mediterranean vegetation to alien plant invasion under different climatic and disturbance scenarios.","container-title":"Journal of Biogeography","DOI":"10.1111/j.1365-2699.2005.01377.x","ISSN":"0305-0270, 1365-2699","issue":"1","journalAbbreviation":"J Biogeography","language":"en","page":"145-157","source":"DOI.org (Crossref)","title":"Vulnerability of Mediterranean Basin ecosystems to climate change and invasion by exotic plant species","URL":"http://doi.wiley.com/10.1111/j.1365-2699.2005.01377.x","volume":"33","author":[{"family":"Gritti","given":"E. S."},{"family":"Smith","given":"B."},{"family":"Sykes","given":"M. T."}],"accessed":{"date-parts":[["2019",9,20]]},"issued":{"date-parts":[["2006",1]]}},"label":"page"}],"schema":"https://github.com/citation-style-language/schema/raw/master/csl-citation.json"} </w:instrText>
      </w:r>
      <w:r w:rsidR="564BD7E2" w:rsidRPr="009C1256">
        <w:rPr>
          <w:lang w:val="en-GB"/>
        </w:rPr>
        <w:fldChar w:fldCharType="separate"/>
      </w:r>
      <w:r w:rsidR="00144D96" w:rsidRPr="00144D96">
        <w:t>(Bond &amp; Midgley, 2000; Gritti et al., 2006)</w:t>
      </w:r>
      <w:r w:rsidR="564BD7E2" w:rsidRPr="009C1256">
        <w:rPr>
          <w:lang w:val="en-GB"/>
        </w:rPr>
        <w:fldChar w:fldCharType="end"/>
      </w:r>
      <w:r w:rsidR="1C4FF875" w:rsidRPr="009C1256">
        <w:rPr>
          <w:lang w:val="en-GB"/>
        </w:rPr>
        <w:t>.</w:t>
      </w:r>
      <w:r w:rsidR="5F2A940A" w:rsidRPr="009C1256">
        <w:rPr>
          <w:lang w:val="en-GB"/>
        </w:rPr>
        <w:t xml:space="preserve"> These </w:t>
      </w:r>
      <w:r w:rsidR="00BF2FDE" w:rsidRPr="009C1256">
        <w:rPr>
          <w:lang w:val="en-GB"/>
        </w:rPr>
        <w:t>performance</w:t>
      </w:r>
      <w:r w:rsidR="5F2A940A" w:rsidRPr="009C1256">
        <w:rPr>
          <w:lang w:val="en-GB"/>
        </w:rPr>
        <w:t xml:space="preserve"> effects can translate to increase</w:t>
      </w:r>
      <w:r w:rsidR="005A4450" w:rsidRPr="009C1256">
        <w:rPr>
          <w:lang w:val="en-GB"/>
        </w:rPr>
        <w:t>d</w:t>
      </w:r>
      <w:r w:rsidR="5F2A940A" w:rsidRPr="009C1256">
        <w:rPr>
          <w:lang w:val="en-GB"/>
        </w:rPr>
        <w:t xml:space="preserve"> spread of invasive alien plant species</w:t>
      </w:r>
      <w:r w:rsidR="006969B3" w:rsidRPr="009C1256">
        <w:rPr>
          <w:lang w:val="en-GB"/>
        </w:rPr>
        <w:t xml:space="preserve"> </w:t>
      </w:r>
      <w:r w:rsidR="00FB099A" w:rsidRPr="009C1256">
        <w:rPr>
          <w:lang w:val="en-GB"/>
        </w:rPr>
        <w:t xml:space="preserve">and </w:t>
      </w:r>
      <w:r w:rsidR="006969B3" w:rsidRPr="009C1256">
        <w:rPr>
          <w:lang w:val="en-GB"/>
        </w:rPr>
        <w:t xml:space="preserve">increased </w:t>
      </w:r>
      <w:r w:rsidR="00265BC6" w:rsidRPr="009C1256">
        <w:rPr>
          <w:lang w:val="en-GB"/>
        </w:rPr>
        <w:t>CO</w:t>
      </w:r>
      <w:r w:rsidR="00265BC6" w:rsidRPr="009C1256">
        <w:rPr>
          <w:vertAlign w:val="subscript"/>
          <w:lang w:val="en-GB"/>
        </w:rPr>
        <w:t>2</w:t>
      </w:r>
      <w:r w:rsidR="00265BC6" w:rsidRPr="009C1256">
        <w:rPr>
          <w:lang w:val="en-GB"/>
        </w:rPr>
        <w:t xml:space="preserve"> </w:t>
      </w:r>
      <w:r w:rsidR="006969B3" w:rsidRPr="009C1256">
        <w:rPr>
          <w:lang w:val="en-GB"/>
        </w:rPr>
        <w:t xml:space="preserve">concentrations. For example, invasive </w:t>
      </w:r>
      <w:r w:rsidR="00D361AC" w:rsidRPr="009C1256">
        <w:rPr>
          <w:lang w:val="en-GB"/>
        </w:rPr>
        <w:t>alien</w:t>
      </w:r>
      <w:r w:rsidR="006969B3" w:rsidRPr="009C1256">
        <w:rPr>
          <w:lang w:val="en-GB"/>
        </w:rPr>
        <w:t xml:space="preserve"> </w:t>
      </w:r>
      <w:r w:rsidR="101B7F91" w:rsidRPr="009C1256">
        <w:rPr>
          <w:i/>
          <w:iCs/>
          <w:lang w:val="en-GB"/>
        </w:rPr>
        <w:t>Phragmites</w:t>
      </w:r>
      <w:r w:rsidR="101B7F91" w:rsidRPr="009C1256">
        <w:rPr>
          <w:lang w:val="en-GB"/>
        </w:rPr>
        <w:t xml:space="preserve"> </w:t>
      </w:r>
      <w:r w:rsidR="006969B3" w:rsidRPr="009C1256">
        <w:rPr>
          <w:lang w:val="en-GB"/>
        </w:rPr>
        <w:t xml:space="preserve">spp. </w:t>
      </w:r>
      <w:r w:rsidR="00DE05C2" w:rsidRPr="009C1256">
        <w:rPr>
          <w:lang w:val="en-GB"/>
        </w:rPr>
        <w:t xml:space="preserve">(reed) </w:t>
      </w:r>
      <w:r w:rsidR="00BF2FDE" w:rsidRPr="009C1256">
        <w:rPr>
          <w:lang w:val="en-GB"/>
        </w:rPr>
        <w:t>benefit</w:t>
      </w:r>
      <w:r w:rsidR="101B7F91" w:rsidRPr="009C1256">
        <w:rPr>
          <w:lang w:val="en-GB"/>
        </w:rPr>
        <w:t xml:space="preserve"> from higher </w:t>
      </w:r>
      <w:r w:rsidR="00265BC6" w:rsidRPr="009C1256">
        <w:rPr>
          <w:lang w:val="en-GB"/>
        </w:rPr>
        <w:t>CO</w:t>
      </w:r>
      <w:r w:rsidR="00265BC6" w:rsidRPr="009C1256">
        <w:rPr>
          <w:vertAlign w:val="subscript"/>
          <w:lang w:val="en-GB"/>
        </w:rPr>
        <w:t>2</w:t>
      </w:r>
      <w:r w:rsidR="00265BC6" w:rsidRPr="009C1256">
        <w:rPr>
          <w:lang w:val="en-GB"/>
        </w:rPr>
        <w:t xml:space="preserve"> </w:t>
      </w:r>
      <w:r w:rsidR="101B7F91" w:rsidRPr="009C1256">
        <w:rPr>
          <w:lang w:val="en-GB"/>
        </w:rPr>
        <w:t>concentrations and as a result increase</w:t>
      </w:r>
      <w:r w:rsidR="003E798D" w:rsidRPr="009C1256">
        <w:rPr>
          <w:lang w:val="en-GB"/>
        </w:rPr>
        <w:t>d</w:t>
      </w:r>
      <w:r w:rsidR="101B7F91" w:rsidRPr="009C1256">
        <w:rPr>
          <w:lang w:val="en-GB"/>
        </w:rPr>
        <w:t xml:space="preserve"> dispersal and productivity allowing </w:t>
      </w:r>
      <w:r w:rsidR="003E798D" w:rsidRPr="009C1256">
        <w:rPr>
          <w:lang w:val="en-GB"/>
        </w:rPr>
        <w:t>these species</w:t>
      </w:r>
      <w:r w:rsidR="101B7F91" w:rsidRPr="009C1256">
        <w:rPr>
          <w:lang w:val="en-GB"/>
        </w:rPr>
        <w:t xml:space="preserve"> to compensate for transpiration water loss in the coastal marshes of North America </w:t>
      </w:r>
      <w:r w:rsidR="564BD7E2" w:rsidRPr="009C1256">
        <w:rPr>
          <w:lang w:val="en-GB"/>
        </w:rPr>
        <w:fldChar w:fldCharType="begin"/>
      </w:r>
      <w:r w:rsidR="00F5121E">
        <w:rPr>
          <w:lang w:val="en-GB"/>
        </w:rPr>
        <w:instrText xml:space="preserve"> ADDIN ZOTERO_ITEM CSL_CITATION {"citationID":"5i5zrA2b","properties":{"formattedCitation":"(Eller et al., 2014)","plainCitation":"(Eller et al., 2014)","noteIndex":0},"citationItems":[{"id":23926,"uris":["http://zotero.org/groups/2352922/items/ALQBKUJG"],"itemData":{"id":23926,"type":"article-journal","abstract":"The prospective rise in atmospheric CO2 and temperature may change the distribution and invasive potential of a species; and intraspecific invasive lineages may respond differently to climate change. In this study, we simulated a future climate scenario with simultaneously elevated atmospheric CO2 and temperature, and investigated its interaction with soil salinity, to assess the effects of global change on the ecophysiology of two competing haplotypes of the wetland grass Phragmites australis, that are invasive in the coastal marshes of North America. The two haplotypes with the phenotypes 'EU-type' (Eurasian haplotype) and 'Delta-type' (Mediterranean haplotype), were grown at 0‰ and 20‰ soil salinity, and at ambient or elevated climatic conditions (700 ppm CO2, +5 $^\\circ$C) in a phytotron system. The aboveground growth of both phenotypes was highest at the elevated climatic conditions. Growth at 20‰ salinity resulted in declined aboveground growth, lower transpiration rates (E), stomata conductance (gs), specific leaf area, photosynthetic pigment concentrations, and a reduced photosynthetic performance. The negative effects of salinity were, however, significantly less severe at elevated CO2 and temperature than at the ambient climatic conditions. The Delta-type P. australis had higher shoot elongation rates than the EU-type P. australis, particularly at high salinity. The Delta-type also had higher maximum light-saturated rates of photosynthesis (Asat), maximum carboxylation rates of Rubisco (Vcmax), maximum electron transport rates (Jmax), triose phosphate utilization rates (Tp), stomata conductance (gs), as well as higher Rubisco carboxylation-limited, RuBP regeneration-limited and Tp-regeneration limited CO2 assimilation rates than the EU-type under all growth conditions. Our results suggest that the EU-type will not become dominant over the Delta-type, since the Delta-type has superior ecophysiological traits. However, the projected rise in atmospheric CO2 and temperature will alleviate the effects of salinity on both phenotypes and facilitate their expansion into more saline areas. {©} 2013 John Wiley {&amp;} Sons Ltd.","container-title":"Global Change Biology","DOI":"10.1111/gcb.12346","ISSN":"13541013","issue":"2","journalAbbreviation":"Glob. Change Biol.","language":"English","page":"531-543","title":"Increased Invasive Potential of Non-Native &lt;i&gt;Phragmites australis&lt;/i&gt; : Elevated CO&lt;sub&gt;2&lt;/sub&gt; and Temperature Alleviate Salinity Effects on Photosynthesis and Growth","volume":"20","author":[{"family":"Eller","given":"Franziska"},{"family":"Lambertini","given":"Carla"},{"family":"Nguyen","given":"Loc Xuan"},{"family":"Brix","given":"Hans"}],"issued":{"date-parts":[["2014",2]]}},"label":"page"}],"schema":"https://github.com/citation-style-language/schema/raw/master/csl-citation.json"} </w:instrText>
      </w:r>
      <w:r w:rsidR="564BD7E2" w:rsidRPr="009C1256">
        <w:rPr>
          <w:lang w:val="en-GB"/>
        </w:rPr>
        <w:fldChar w:fldCharType="separate"/>
      </w:r>
      <w:r w:rsidR="00144D96" w:rsidRPr="00144D96">
        <w:t>(Eller et al., 2014)</w:t>
      </w:r>
      <w:r w:rsidR="564BD7E2" w:rsidRPr="009C1256">
        <w:rPr>
          <w:lang w:val="en-GB"/>
        </w:rPr>
        <w:fldChar w:fldCharType="end"/>
      </w:r>
      <w:r w:rsidR="101B7F91" w:rsidRPr="009C1256">
        <w:rPr>
          <w:lang w:val="en-GB"/>
        </w:rPr>
        <w:t>.</w:t>
      </w:r>
      <w:r w:rsidR="00066BF9" w:rsidRPr="009C1256">
        <w:rPr>
          <w:lang w:val="en-GB"/>
        </w:rPr>
        <w:t xml:space="preserve"> </w:t>
      </w:r>
      <w:r w:rsidR="11B14C97" w:rsidRPr="009C1256">
        <w:rPr>
          <w:lang w:val="en-GB"/>
        </w:rPr>
        <w:t xml:space="preserve">Similar patterns of increased </w:t>
      </w:r>
      <w:r w:rsidR="00BF2FDE" w:rsidRPr="009C1256">
        <w:rPr>
          <w:lang w:val="en-GB"/>
        </w:rPr>
        <w:t>performance</w:t>
      </w:r>
      <w:r w:rsidR="11B14C97" w:rsidRPr="009C1256">
        <w:rPr>
          <w:lang w:val="en-GB"/>
        </w:rPr>
        <w:t xml:space="preserve"> at higher than ambient </w:t>
      </w:r>
      <w:r w:rsidR="00265BC6" w:rsidRPr="009C1256">
        <w:rPr>
          <w:lang w:val="en-GB"/>
        </w:rPr>
        <w:t>CO</w:t>
      </w:r>
      <w:r w:rsidR="00265BC6" w:rsidRPr="009C1256">
        <w:rPr>
          <w:vertAlign w:val="subscript"/>
          <w:lang w:val="en-GB"/>
        </w:rPr>
        <w:t>2</w:t>
      </w:r>
      <w:r w:rsidR="00265BC6" w:rsidRPr="009C1256">
        <w:rPr>
          <w:lang w:val="en-GB"/>
        </w:rPr>
        <w:t xml:space="preserve"> </w:t>
      </w:r>
      <w:r w:rsidR="11B14C97" w:rsidRPr="009C1256">
        <w:rPr>
          <w:lang w:val="en-GB"/>
        </w:rPr>
        <w:t xml:space="preserve">concentrations have been found for other invasive alien plants </w:t>
      </w:r>
      <w:r w:rsidR="00BF2FDE" w:rsidRPr="009C1256">
        <w:rPr>
          <w:lang w:val="en-GB"/>
        </w:rPr>
        <w:t>includi</w:t>
      </w:r>
      <w:r w:rsidR="11B14C97" w:rsidRPr="009C1256">
        <w:rPr>
          <w:lang w:val="en-GB"/>
        </w:rPr>
        <w:t xml:space="preserve">ng </w:t>
      </w:r>
      <w:r w:rsidR="11B14C97" w:rsidRPr="009C1256">
        <w:rPr>
          <w:i/>
          <w:lang w:val="en-GB"/>
        </w:rPr>
        <w:t>Prunus laurocerasus</w:t>
      </w:r>
      <w:r w:rsidR="63A229A4" w:rsidRPr="009C1256">
        <w:rPr>
          <w:lang w:val="en-GB"/>
        </w:rPr>
        <w:t xml:space="preserve"> </w:t>
      </w:r>
      <w:r w:rsidR="000C7DBD" w:rsidRPr="009C1256">
        <w:rPr>
          <w:lang w:val="en-GB"/>
        </w:rPr>
        <w:t>(cherry laurel</w:t>
      </w:r>
      <w:r w:rsidR="009B1429" w:rsidRPr="009C1256">
        <w:rPr>
          <w:lang w:val="en-GB"/>
        </w:rPr>
        <w:t>;</w:t>
      </w:r>
      <w:r w:rsidR="000C7DBD" w:rsidRPr="009C1256">
        <w:rPr>
          <w:lang w:val="en-GB"/>
        </w:rPr>
        <w:t xml:space="preserve"> </w:t>
      </w:r>
      <w:r w:rsidR="00B520A9" w:rsidRPr="009C1256">
        <w:rPr>
          <w:lang w:val="en-GB"/>
        </w:rPr>
        <w:fldChar w:fldCharType="begin"/>
      </w:r>
      <w:r w:rsidR="00F5121E">
        <w:rPr>
          <w:lang w:val="en-GB"/>
        </w:rPr>
        <w:instrText xml:space="preserve"> ADDIN ZOTERO_ITEM CSL_CITATION {"citationID":"Avqi9tmC","properties":{"formattedCitation":"(Hattenschwiler &amp; K\\uc0\\u246{}rner, 2003)","plainCitation":"(Hattenschwiler &amp; Körner, 2003)","dontUpdate":true,"noteIndex":0},"citationItems":[{"id":26974,"uris":["http://zotero.org/groups/2352922/items/U672JVZN"],"itemData":{"id":26974,"type":"article-journal","abstract":"1. An increasing abundance of the non-indigenous evergreen woody plant species Prunus laurocerasus has been observed in the understorey of Swiss temperate forests. We addressed the question whether rising atmospheric CO2 concentration contributes to the success of this species in a comparative test with four co-occurring native species (Ilex aquifolium, Hedera helix, Fraxinus excelsior, Carpinus betulus). 2. We grew plants from germination to the end of the third growing season in open-top chambers exposed to either ambient or two elevated CO2 concentrations (500 and 660 mumol mol(-1)) in a deeply shaded forest understorey (1.2-3.2% of full sun). 3. Species differed greatly in their response to CO2. Biomass growth in Prunus increased by an average of 56% at the two elevated CO2 concentrations compared to ambient CO2; there was no significant difference between 500 and 660 mumol mol(-1). In contrast the native Ilex, with the same functional traits, a similar life history and occurring in the same habitat, showed no significant CO2 response. 4. A particularly large and nearly linear CO2 effect on seedling growth was observed in the liana Hedera with 100% more biomass and 137% longer stems at 660 mumol CO2 mol(-1) compared to ambient CO2. Seedlings of the deciduous tree species Fraxinus produced 43% more biomass at elevated CO2 (no significant difference between 500 and 660 mumol mol(-1)), but there was no significant CO2 effect on Carpinus seedlings. 5. Our results indicate that elevated CO2 might contribute to the current spread of Prunus in natural forests. The strong CO2 response in Hedera suggests an increasing rate of tree colonization with rising CO2. Increasing dominance of non-indigenous understorey species and accelerated liana colonization of canopy trees could both have far-ranging consequences for forest community dynamics and composition.","container-title":"Functional Ecology","DOI":"10.1111/j.1365-2435.2003.00785.x","ISSN":"0269-8463","issue":"6","journalAbbreviation":"Funct. Ecol.","language":"English","note":"WOS:000187184900008","page":"778-785","source":"Web of Science","title":"Does elevated CO&lt;sub&gt;2&lt;/sub&gt; facilitate naturalization of the non-indigenous &lt;i&gt;Prunus laurocerasus&lt;/i&gt; in Swiss temperate forests?","volume":"17","author":[{"family":"Hattenschwiler","given":"S."},{"family":"Körner","given":"C."}],"issued":{"date-parts":[["2003",12]]}},"label":"page"}],"schema":"https://github.com/citation-style-language/schema/raw/master/csl-citation.json"} </w:instrText>
      </w:r>
      <w:r w:rsidR="00B520A9" w:rsidRPr="009C1256">
        <w:rPr>
          <w:lang w:val="en-GB"/>
        </w:rPr>
        <w:fldChar w:fldCharType="separate"/>
      </w:r>
      <w:r w:rsidR="00027719" w:rsidRPr="009C1256">
        <w:rPr>
          <w:szCs w:val="24"/>
          <w:lang w:val="en-GB"/>
        </w:rPr>
        <w:t>Hattenschwiler &amp; Körner, 2003)</w:t>
      </w:r>
      <w:r w:rsidR="00B520A9" w:rsidRPr="009C1256">
        <w:rPr>
          <w:lang w:val="en-GB"/>
        </w:rPr>
        <w:fldChar w:fldCharType="end"/>
      </w:r>
      <w:r w:rsidR="63A229A4" w:rsidRPr="009C1256">
        <w:rPr>
          <w:rFonts w:eastAsia="Times New Roman"/>
          <w:color w:val="000000" w:themeColor="text1"/>
          <w:lang w:val="en-GB"/>
        </w:rPr>
        <w:t xml:space="preserve"> and </w:t>
      </w:r>
      <w:r w:rsidR="00844383" w:rsidRPr="009C1256">
        <w:rPr>
          <w:rFonts w:eastAsia="Times New Roman"/>
          <w:i/>
          <w:color w:val="000000" w:themeColor="text1"/>
          <w:lang w:val="en-GB"/>
        </w:rPr>
        <w:t xml:space="preserve">Pueraria montana </w:t>
      </w:r>
      <w:r w:rsidR="00844383" w:rsidRPr="009C1256">
        <w:rPr>
          <w:rFonts w:eastAsia="Times New Roman"/>
          <w:color w:val="000000" w:themeColor="text1"/>
          <w:lang w:val="en-GB"/>
        </w:rPr>
        <w:t xml:space="preserve">var. </w:t>
      </w:r>
      <w:r w:rsidR="00844383" w:rsidRPr="009C1256">
        <w:rPr>
          <w:rFonts w:eastAsia="Times New Roman"/>
          <w:i/>
          <w:color w:val="000000" w:themeColor="text1"/>
          <w:lang w:val="en-GB"/>
        </w:rPr>
        <w:t>lobata</w:t>
      </w:r>
      <w:r w:rsidR="00066BF9" w:rsidRPr="009C1256">
        <w:rPr>
          <w:lang w:val="en-GB"/>
        </w:rPr>
        <w:t xml:space="preserve"> </w:t>
      </w:r>
      <w:r w:rsidR="000C7DBD" w:rsidRPr="009C1256">
        <w:rPr>
          <w:lang w:val="en-GB"/>
        </w:rPr>
        <w:t>(kudzu</w:t>
      </w:r>
      <w:r w:rsidR="009B1429" w:rsidRPr="009C1256">
        <w:rPr>
          <w:lang w:val="en-GB"/>
        </w:rPr>
        <w:t>;</w:t>
      </w:r>
      <w:r w:rsidR="000C7DBD" w:rsidRPr="009C1256">
        <w:rPr>
          <w:lang w:val="en-GB"/>
        </w:rPr>
        <w:t xml:space="preserve"> </w:t>
      </w:r>
      <w:r w:rsidR="00B520A9" w:rsidRPr="009C1256">
        <w:rPr>
          <w:lang w:val="en-GB"/>
        </w:rPr>
        <w:fldChar w:fldCharType="begin"/>
      </w:r>
      <w:r w:rsidR="00331A79">
        <w:rPr>
          <w:lang w:val="en-GB"/>
        </w:rPr>
        <w:instrText xml:space="preserve"> ADDIN ZOTERO_ITEM CSL_CITATION {"citationID":"OAHcqfm8","properties":{"formattedCitation":"(Forseth &amp; Innis, 2004)","plainCitation":"(Forseth &amp; Innis, 2004)","dontUpdate":true,"noteIndex":0},"citationItems":[{"id":25088,"uris":["http://zotero.org/groups/2352922/items/6J4CTRCW"],"itemData":{"id":25088,"type":"article-journal","abstract":"Kudzu, Pueraria montana (Lour.) Merr. variety lobata (Willd.) was introduced into the United States at the 1876 Centennial Exposition in Philadelphia, PA. Subsequently, it was planted widely to reduce soil erosion by the Soil Erosion Service and Civilian Conservation Corp. Over 85 million seedlings of kudzu were provided to landowners by government agencies in the southeast in the first half of the 20th century. In 1953, kudzu was removed from the list of approved plants for erosion control, in 1970 it was officially labeled a weed, and in 1997 it was placed on the Federal Obnoxious Weed List. Its rapid elongation rates, high leaf area indices, high photosynthetic rates, and frequent rooting at stem nodes make kudzu an aggressive competitor with native shrubs and trees. Estimates are that kudzu currently covers 3 million hectares throughout the eastern United States and is spreading by 50,000 ha per year. Despite widespread anecdotal statements, little quantitative information is available regarding the ecological effects of kudzu. The ability of kudzu to overtop and shade forest trees, fix atmospheric nitrogen, and emit isoprene suggest that it may have substantial effects on native forest biodiversity, forest nitrogen cycles, watershed nitrogen saturation, freshwater eutrophication, and regional air quality. Kudzu's growth rate increases strongly in response to increased CO2, and without the constraint of allocation to woody tissue this response may increase the competitive dominance of kudzu as atmospheric levels Of CO2 increase. This fact, combined with its sensitivity to cold temperatures, implies that kudzu may increase its range in future warmer, high-CO2 environments. The lack of quantitative investigations on the ecological effects of kudzu is a severe impediment to our understanding of its current and future effects on native plant and animal communities and forest ecosystems.","container-title":"Critical Reviews in Plant Sciences","DOI":"10.1080/07352680490505150","ISSN":"0735-2689","issue":"5","journalAbbreviation":"Crit. Rev. Plant Sci.","language":"English","note":"WOS:000224677800005","page":"401-413","source":"Web of Science","title":"Kudzu (&lt;i&gt;Pueraria montana&lt;/i&gt;): History, physiology, and ecology combine to make a major ecosystem threat","title-short":"Kudzu (Pueraria montana)","URL":"http://www.tandfonline.com/doi/abs/10.1080/07352680490505150","volume":"23","author":[{"family":"Forseth","given":"Irin N."},{"family":"Innis","given":"A. F."}],"issued":{"date-parts":[["2004"]]}},"label":"page"}],"schema":"https://github.com/citation-style-language/schema/raw/master/csl-citation.json"} </w:instrText>
      </w:r>
      <w:r w:rsidR="00B520A9" w:rsidRPr="009C1256">
        <w:rPr>
          <w:lang w:val="en-GB"/>
        </w:rPr>
        <w:fldChar w:fldCharType="separate"/>
      </w:r>
      <w:r w:rsidR="00027719" w:rsidRPr="009C1256">
        <w:rPr>
          <w:lang w:val="en-GB"/>
        </w:rPr>
        <w:t>Forseth &amp; Innis, 2004)</w:t>
      </w:r>
      <w:r w:rsidR="00B520A9" w:rsidRPr="009C1256">
        <w:rPr>
          <w:lang w:val="en-GB"/>
        </w:rPr>
        <w:fldChar w:fldCharType="end"/>
      </w:r>
      <w:r w:rsidR="005A4450" w:rsidRPr="009C1256">
        <w:rPr>
          <w:rFonts w:eastAsia="Times New Roman"/>
          <w:color w:val="000000" w:themeColor="text1"/>
          <w:szCs w:val="24"/>
          <w:lang w:val="en-GB"/>
        </w:rPr>
        <w:t>.</w:t>
      </w:r>
      <w:r w:rsidR="00066BF9" w:rsidRPr="009C1256">
        <w:rPr>
          <w:rFonts w:eastAsia="Roboto"/>
          <w:color w:val="111111"/>
          <w:szCs w:val="24"/>
          <w:lang w:val="en-GB"/>
        </w:rPr>
        <w:t xml:space="preserve"> </w:t>
      </w:r>
      <w:r w:rsidR="4C75DD3F" w:rsidRPr="009C1256">
        <w:rPr>
          <w:rFonts w:eastAsia="Roboto"/>
          <w:color w:val="111111"/>
          <w:szCs w:val="24"/>
          <w:lang w:val="en-GB"/>
        </w:rPr>
        <w:t>T</w:t>
      </w:r>
      <w:r w:rsidR="4C75DD3F" w:rsidRPr="009C1256">
        <w:rPr>
          <w:rFonts w:eastAsia="Roboto"/>
          <w:color w:val="111111"/>
          <w:szCs w:val="21"/>
          <w:lang w:val="en-GB"/>
        </w:rPr>
        <w:t>errestrial a</w:t>
      </w:r>
      <w:r w:rsidR="4C75DD3F" w:rsidRPr="009C1256">
        <w:rPr>
          <w:rFonts w:eastAsia="Times New Roman"/>
          <w:lang w:val="en-GB"/>
        </w:rPr>
        <w:t xml:space="preserve">nimal responses </w:t>
      </w:r>
      <w:r w:rsidR="000E646D" w:rsidRPr="009C1256">
        <w:rPr>
          <w:rFonts w:eastAsia="Times New Roman"/>
          <w:lang w:val="en-GB"/>
        </w:rPr>
        <w:t>to the</w:t>
      </w:r>
      <w:r w:rsidR="4C75DD3F" w:rsidRPr="009C1256">
        <w:rPr>
          <w:rFonts w:eastAsia="Times New Roman"/>
          <w:lang w:val="en-GB"/>
        </w:rPr>
        <w:t xml:space="preserve"> rise in </w:t>
      </w:r>
      <w:r w:rsidR="00265BC6" w:rsidRPr="009C1256">
        <w:rPr>
          <w:lang w:val="en-GB"/>
        </w:rPr>
        <w:t>CO</w:t>
      </w:r>
      <w:r w:rsidR="00265BC6" w:rsidRPr="009C1256">
        <w:rPr>
          <w:vertAlign w:val="subscript"/>
          <w:lang w:val="en-GB"/>
        </w:rPr>
        <w:t>2</w:t>
      </w:r>
      <w:r w:rsidR="00265BC6" w:rsidRPr="009C1256">
        <w:rPr>
          <w:lang w:val="en-GB"/>
        </w:rPr>
        <w:t xml:space="preserve"> </w:t>
      </w:r>
      <w:r w:rsidR="4C75DD3F" w:rsidRPr="009C1256">
        <w:rPr>
          <w:rFonts w:eastAsia="Times New Roman"/>
          <w:lang w:val="en-GB"/>
        </w:rPr>
        <w:t>will likely be indirect, based on the responses of plants</w:t>
      </w:r>
      <w:r w:rsidR="003E798D" w:rsidRPr="009C1256">
        <w:rPr>
          <w:rFonts w:eastAsia="Times New Roman"/>
          <w:lang w:val="en-GB"/>
        </w:rPr>
        <w:t>,</w:t>
      </w:r>
      <w:r w:rsidR="63A1D171" w:rsidRPr="009C1256">
        <w:rPr>
          <w:rFonts w:eastAsia="Times New Roman"/>
          <w:lang w:val="en-GB"/>
        </w:rPr>
        <w:t xml:space="preserve"> and thus are likely </w:t>
      </w:r>
      <w:r w:rsidR="000E646D" w:rsidRPr="009C1256">
        <w:rPr>
          <w:rFonts w:eastAsia="Times New Roman"/>
          <w:lang w:val="en-GB"/>
        </w:rPr>
        <w:t>to be</w:t>
      </w:r>
      <w:r w:rsidR="63A1D171" w:rsidRPr="009C1256">
        <w:rPr>
          <w:rFonts w:eastAsia="Times New Roman"/>
          <w:lang w:val="en-GB"/>
        </w:rPr>
        <w:t xml:space="preserve"> most </w:t>
      </w:r>
      <w:r w:rsidR="00BF2FDE" w:rsidRPr="009C1256">
        <w:rPr>
          <w:rFonts w:eastAsia="Times New Roman"/>
          <w:lang w:val="en-GB"/>
        </w:rPr>
        <w:t>evident</w:t>
      </w:r>
      <w:r w:rsidR="63A1D171" w:rsidRPr="009C1256">
        <w:rPr>
          <w:rFonts w:eastAsia="Times New Roman"/>
          <w:lang w:val="en-GB"/>
        </w:rPr>
        <w:t xml:space="preserve"> for herbivorous invertebrates but </w:t>
      </w:r>
      <w:r w:rsidR="000B63C5">
        <w:rPr>
          <w:rFonts w:eastAsia="Times New Roman"/>
          <w:lang w:val="en-GB"/>
        </w:rPr>
        <w:t xml:space="preserve">will be </w:t>
      </w:r>
      <w:r w:rsidR="00BF2FDE" w:rsidRPr="009C1256">
        <w:rPr>
          <w:rFonts w:eastAsia="Times New Roman"/>
          <w:lang w:val="en-GB"/>
        </w:rPr>
        <w:t>dependent</w:t>
      </w:r>
      <w:r w:rsidR="1FF81952" w:rsidRPr="009C1256">
        <w:rPr>
          <w:rFonts w:eastAsia="Times New Roman"/>
          <w:lang w:val="en-GB"/>
        </w:rPr>
        <w:t xml:space="preserve"> o</w:t>
      </w:r>
      <w:r w:rsidR="003E798D" w:rsidRPr="009C1256">
        <w:rPr>
          <w:rFonts w:eastAsia="Times New Roman"/>
          <w:lang w:val="en-GB"/>
        </w:rPr>
        <w:t>n</w:t>
      </w:r>
      <w:r w:rsidR="1FF81952" w:rsidRPr="009C1256">
        <w:rPr>
          <w:rFonts w:eastAsia="Times New Roman"/>
          <w:lang w:val="en-GB"/>
        </w:rPr>
        <w:t xml:space="preserve"> the specific host plant</w:t>
      </w:r>
      <w:r w:rsidR="005A4450" w:rsidRPr="009C1256">
        <w:rPr>
          <w:rFonts w:eastAsia="Times New Roman"/>
          <w:lang w:val="en-GB"/>
        </w:rPr>
        <w:t>,</w:t>
      </w:r>
      <w:r w:rsidR="1FF81952" w:rsidRPr="009C1256">
        <w:rPr>
          <w:rFonts w:eastAsia="Times New Roman"/>
          <w:lang w:val="en-GB"/>
        </w:rPr>
        <w:t xml:space="preserve"> making generali</w:t>
      </w:r>
      <w:r w:rsidR="00D45CCC" w:rsidRPr="009C1256">
        <w:rPr>
          <w:rFonts w:eastAsia="Times New Roman"/>
          <w:lang w:val="en-GB"/>
        </w:rPr>
        <w:t>z</w:t>
      </w:r>
      <w:r w:rsidR="1FF81952" w:rsidRPr="009C1256">
        <w:rPr>
          <w:rFonts w:eastAsia="Times New Roman"/>
          <w:lang w:val="en-GB"/>
        </w:rPr>
        <w:t xml:space="preserve">ations </w:t>
      </w:r>
      <w:r w:rsidR="63A1D171" w:rsidRPr="009C1256">
        <w:rPr>
          <w:rFonts w:eastAsia="Times New Roman"/>
          <w:lang w:val="en-GB"/>
        </w:rPr>
        <w:t>difficult</w:t>
      </w:r>
      <w:r w:rsidR="00FF10EA" w:rsidRPr="009C1256">
        <w:rPr>
          <w:rFonts w:eastAsia="Times New Roman"/>
          <w:lang w:val="en-GB"/>
        </w:rPr>
        <w:t xml:space="preserve"> </w:t>
      </w:r>
      <w:r w:rsidR="00FF10EA" w:rsidRPr="009C1256">
        <w:rPr>
          <w:rFonts w:eastAsia="Times New Roman"/>
          <w:lang w:val="en-GB"/>
        </w:rPr>
        <w:fldChar w:fldCharType="begin"/>
      </w:r>
      <w:r w:rsidR="00F5121E">
        <w:rPr>
          <w:rFonts w:eastAsia="Times New Roman"/>
          <w:lang w:val="en-GB"/>
        </w:rPr>
        <w:instrText xml:space="preserve"> ADDIN ZOTERO_ITEM CSL_CITATION {"citationID":"CPPwkxnz","properties":{"formattedCitation":"(Dukes, 2000)","plainCitation":"(Dukes, 2000)","noteIndex":0},"citationItems":[{"id":31993,"uris":["http://zotero.org/groups/2352922/items/BQAA8ZPK"],"itemData":{"id":31993,"type":"chapter","container-title":"Invasive species in a changing world","event-place":"Washington","publisher":"Island Press","publisher-place":"Washington","title":"Will the increasing atmospheric CO&lt;sub&gt;2&lt;/sub&gt; concentration affect the success of invasive species?","volume":"95","author":[{"family":"Dukes","given":"Jeffrey S."}],"issued":{"date-parts":[["2000"]]}},"label":"page"}],"schema":"https://github.com/citation-style-language/schema/raw/master/csl-citation.json"} </w:instrText>
      </w:r>
      <w:r w:rsidR="00FF10EA" w:rsidRPr="009C1256">
        <w:rPr>
          <w:rFonts w:eastAsia="Times New Roman"/>
          <w:lang w:val="en-GB"/>
        </w:rPr>
        <w:fldChar w:fldCharType="separate"/>
      </w:r>
      <w:r w:rsidR="00144D96" w:rsidRPr="00144D96">
        <w:t>(Dukes, 2000)</w:t>
      </w:r>
      <w:r w:rsidR="00FF10EA" w:rsidRPr="009C1256">
        <w:rPr>
          <w:rFonts w:eastAsia="Times New Roman"/>
          <w:lang w:val="en-GB"/>
        </w:rPr>
        <w:fldChar w:fldCharType="end"/>
      </w:r>
      <w:r w:rsidR="4C75DD3F" w:rsidRPr="009C1256">
        <w:rPr>
          <w:rFonts w:eastAsia="Times New Roman"/>
          <w:lang w:val="en-GB"/>
        </w:rPr>
        <w:t>.</w:t>
      </w:r>
      <w:r w:rsidR="000B63C5">
        <w:rPr>
          <w:rFonts w:eastAsia="Times New Roman"/>
          <w:lang w:val="en-GB"/>
        </w:rPr>
        <w:t xml:space="preserve"> </w:t>
      </w:r>
    </w:p>
    <w:p w14:paraId="03677D23" w14:textId="2B4026E4" w:rsidR="00481FAB" w:rsidRPr="009C1256" w:rsidRDefault="00085CBE" w:rsidP="0090109B">
      <w:pPr>
        <w:rPr>
          <w:lang w:val="en-GB"/>
        </w:rPr>
      </w:pPr>
      <w:r w:rsidRPr="009C1256">
        <w:rPr>
          <w:lang w:val="en-GB"/>
        </w:rPr>
        <w:t>O</w:t>
      </w:r>
      <w:r w:rsidR="1C4FF875" w:rsidRPr="009C1256">
        <w:rPr>
          <w:lang w:val="en-GB"/>
        </w:rPr>
        <w:t xml:space="preserve">ne-third of the anthropogenic </w:t>
      </w:r>
      <w:r w:rsidR="15585FCA" w:rsidRPr="009C1256">
        <w:rPr>
          <w:lang w:val="en-GB"/>
        </w:rPr>
        <w:t>CO</w:t>
      </w:r>
      <w:r w:rsidR="15585FCA" w:rsidRPr="009C1256">
        <w:rPr>
          <w:vertAlign w:val="subscript"/>
          <w:lang w:val="en-GB"/>
        </w:rPr>
        <w:t>2</w:t>
      </w:r>
      <w:r w:rsidR="15585FCA" w:rsidRPr="009C1256">
        <w:rPr>
          <w:lang w:val="en-GB"/>
        </w:rPr>
        <w:t xml:space="preserve"> </w:t>
      </w:r>
      <w:r w:rsidR="1C4FF875" w:rsidRPr="009C1256">
        <w:rPr>
          <w:lang w:val="en-GB"/>
        </w:rPr>
        <w:t xml:space="preserve">has been absorbed by the oceans </w:t>
      </w:r>
      <w:r w:rsidR="008C1BF7" w:rsidRPr="009C1256">
        <w:rPr>
          <w:lang w:val="en-GB"/>
        </w:rPr>
        <w:fldChar w:fldCharType="begin"/>
      </w:r>
      <w:r w:rsidR="00331A79">
        <w:rPr>
          <w:lang w:val="en-GB"/>
        </w:rPr>
        <w:instrText xml:space="preserve"> ADDIN ZOTERO_ITEM CSL_CITATION {"citationID":"ttKo2BqX","properties":{"formattedCitation":"(J. Johnson et al., 2016; Sanford et al., 2014)","plainCitation":"(J. Johnson et al., 2016; Sanford et al., 2014)","noteIndex":0},"citationItems":[{"id":30837,"uris":["http://zotero.org/groups/2352922/items/QLFM52QU"],"itemData":{"id":30837,"type":"book","ISBN":"978-982-04-0577-6","language":"en","source":"Zotero","title":"Pacific islands ocean acidification vulnerability assessment","URL":"https://www.sprep.org/attachments/Publications/CC/ocean-acidification.pdf","author":[{"family":"Johnson","given":"Johanna"},{"family":"Bell","given":"Johann"},{"family":"Gupta","given":"Alex Sen"}],"issued":{"date-parts":[["2016"]]}},"label":"page"},{"id":15670,"uris":["http://zotero.org/groups/2352922/items/DQ6GK6CW"],"itemData":{"id":15670,"type":"article-journal","abstract":"There is growing concern that global environmental change might exacerbate the ecological impacts of invasive species by increasing their per capita effects on native species. However, the mechanisms underlying such shifts in interaction strength are poorly understood. Here, we test whether ocean acidification, driven by elevated seawater pCO(2), increases the susceptibility of native Olympia oysters to predation by invasive snails. Oysters raised under elevated pCO2 experienced a 20% increase in drilling predation. When presented alongside control oysters in a choice experiment, 48% more high-CO2 oysters were consumed. The invasive snails were tolerant of elevated CO2 with no change in feeding behaviour. Oysters raised under acidified conditions did not have thinner shells, but were 29-40% smaller than control oysters, and these smaller individuals were consumed at disproportionately greater rates. Reduction in prey size is a common response to environmental stress that may drive increasing per capita effects of stress-tolerant invasive predators.","container-title":"Proceedings of the Royal Society B-Biological Sciences","DOI":"10.1098/rspb.2013.2681","ISSN":"0962-8452","issue":"1778","journalAbbreviation":"Proc. R. Soc. B-Biol. Sci.","language":"English","note":"WOS:000332382300008","page":"20132681","source":"Web of Science","title":"Ocean acidification increases the vulnerability of native oysters to predation by invasive snails","volume":"281","author":[{"family":"Sanford","given":"Eric"},{"family":"Gaylord","given":"Brian"},{"family":"Hettinger","given":"Annaliese"},{"family":"Lenz","given":"Elizabeth A."},{"family":"Meyer","given":"Kirstin"},{"family":"Hill","given":"Tessa M."}],"issued":{"date-parts":[["2014",3,7]]}},"label":"page"}],"schema":"https://github.com/citation-style-language/schema/raw/master/csl-citation.json"} </w:instrText>
      </w:r>
      <w:r w:rsidR="008C1BF7" w:rsidRPr="009C1256">
        <w:rPr>
          <w:lang w:val="en-GB"/>
        </w:rPr>
        <w:fldChar w:fldCharType="separate"/>
      </w:r>
      <w:r w:rsidR="00144D96" w:rsidRPr="00144D96">
        <w:t>(J. Johnson et al., 2016; Sanford et al., 2014)</w:t>
      </w:r>
      <w:r w:rsidR="008C1BF7" w:rsidRPr="009C1256">
        <w:rPr>
          <w:lang w:val="en-GB"/>
        </w:rPr>
        <w:fldChar w:fldCharType="end"/>
      </w:r>
      <w:r w:rsidR="1C4FF875" w:rsidRPr="009C1256">
        <w:rPr>
          <w:lang w:val="en-GB"/>
        </w:rPr>
        <w:t xml:space="preserve">. Together with warming and altered ocean circulation, which reduce subsurface oxygen concentrations, the rising atmospheric </w:t>
      </w:r>
      <w:r w:rsidR="00265BC6" w:rsidRPr="009C1256">
        <w:rPr>
          <w:lang w:val="en-GB"/>
        </w:rPr>
        <w:t>CO</w:t>
      </w:r>
      <w:r w:rsidR="00265BC6" w:rsidRPr="009C1256">
        <w:rPr>
          <w:vertAlign w:val="subscript"/>
          <w:lang w:val="en-GB"/>
        </w:rPr>
        <w:t>2</w:t>
      </w:r>
      <w:r w:rsidR="00265BC6" w:rsidRPr="009C1256">
        <w:rPr>
          <w:lang w:val="en-GB"/>
        </w:rPr>
        <w:t xml:space="preserve"> </w:t>
      </w:r>
      <w:r w:rsidR="13730A47" w:rsidRPr="009C1256">
        <w:rPr>
          <w:lang w:val="en-GB"/>
        </w:rPr>
        <w:t xml:space="preserve">leads to ocean acidification </w:t>
      </w:r>
      <w:r w:rsidR="008C1BF7" w:rsidRPr="009C1256">
        <w:rPr>
          <w:lang w:val="en-GB"/>
        </w:rPr>
        <w:fldChar w:fldCharType="begin"/>
      </w:r>
      <w:r w:rsidR="00331A79">
        <w:rPr>
          <w:lang w:val="en-GB"/>
        </w:rPr>
        <w:instrText xml:space="preserve"> ADDIN ZOTERO_ITEM CSL_CITATION {"citationID":"PVcMOSo5","properties":{"formattedCitation":"(Doney et al., 2012)","plainCitation":"(Doney et al., 2012)","noteIndex":0},"citationItems":[{"id":15541,"uris":["http://zotero.org/groups/2352922/items/9PKZ6CU4"],"itemData":{"id":15541,"type":"article-journal","abstract":"In marine ecosystems, rising atmospheric CO2 and climate change are associated with concurrent shifts in temperature, circulation, stratification, nutrient input, oxygen content, and ocean acidification, with potentially wide-ranging biological effects. Population-level shifts are occurring because of physiological intolerance to new environments, altered dispersal patterns, and changes in species interactions. Together with local climate-driven invasion and extinction, these processes result in altered community structure and diversity, including possible emergence of novel ecosystems. Impacts are particularly striking for the poles and the tropics, because of the sensitivity of polar ecosystems to sea-ice retreat and poleward species migrations as well as the sensitivity of coral-algal symbiosis to minor increases in temperature. Midlatitude upwelling systems, like the California Current, exhibit strong linkages between climate and species distributions, phenology, and demography. Aggregated effects may modify energy and material flows as well as biogeochemical cycles, eventually impacting the overall ecosystem functioning and services upon which people and societies depend.","container-title":"Annual Review of Marine Science, Vol 4","language":"English","note":"WOS:000300634900003","page":"11-37","source":"Web of Science","title":"Climate Change Impacts on Marine Ecosystems","volume":"4","author":[{"family":"Doney","given":"Scott C."},{"family":"Ruckelshaus","given":"Mary"},{"family":"Duffy","given":"J. Emmett"},{"family":"Barry","given":"James P."},{"family":"Chan","given":"Francis"},{"family":"English","given":"Chad A."},{"family":"Galindo","given":"Heather M."},{"family":"Grebmeier","given":"Jacqueline M."},{"family":"Hollowed","given":"Anne B."},{"family":"Knowlton","given":"Nancy"},{"family":"Polovina","given":"Jeffrey"},{"family":"Rabalais","given":"Nancy N."},{"family":"Sydeman","given":"William J."},{"family":"Talley","given":"Lynne D."}],"editor":[{"family":"Carlson","given":"C. A."},{"family":"Giovannoni","given":"S. J."}],"issued":{"date-parts":[["2012"]]}},"label":"page"}],"schema":"https://github.com/citation-style-language/schema/raw/master/csl-citation.json"} </w:instrText>
      </w:r>
      <w:r w:rsidR="008C1BF7" w:rsidRPr="009C1256">
        <w:rPr>
          <w:lang w:val="en-GB"/>
        </w:rPr>
        <w:fldChar w:fldCharType="separate"/>
      </w:r>
      <w:r w:rsidR="00144D96" w:rsidRPr="00144D96">
        <w:t>(Doney et al., 2012)</w:t>
      </w:r>
      <w:r w:rsidR="008C1BF7" w:rsidRPr="009C1256">
        <w:rPr>
          <w:lang w:val="en-GB"/>
        </w:rPr>
        <w:fldChar w:fldCharType="end"/>
      </w:r>
      <w:r w:rsidR="1C4FF875" w:rsidRPr="009C1256">
        <w:rPr>
          <w:lang w:val="en-GB"/>
        </w:rPr>
        <w:t>.</w:t>
      </w:r>
      <w:r w:rsidR="00066BF9" w:rsidRPr="009C1256">
        <w:rPr>
          <w:lang w:val="en-GB"/>
        </w:rPr>
        <w:t xml:space="preserve"> </w:t>
      </w:r>
      <w:r w:rsidR="00CA2B33" w:rsidRPr="009C1256">
        <w:rPr>
          <w:lang w:val="en-GB"/>
        </w:rPr>
        <w:t xml:space="preserve">The </w:t>
      </w:r>
      <w:r w:rsidR="00564C22" w:rsidRPr="009C1256">
        <w:rPr>
          <w:lang w:val="en-GB"/>
        </w:rPr>
        <w:t>impacts</w:t>
      </w:r>
      <w:r w:rsidR="003842C3">
        <w:rPr>
          <w:lang w:val="en-GB"/>
        </w:rPr>
        <w:t xml:space="preserve"> of acidification</w:t>
      </w:r>
      <w:r w:rsidR="1C4FF875" w:rsidRPr="009C1256">
        <w:rPr>
          <w:lang w:val="en-GB"/>
        </w:rPr>
        <w:t xml:space="preserve"> are </w:t>
      </w:r>
      <w:r w:rsidR="006969B3" w:rsidRPr="009C1256">
        <w:rPr>
          <w:lang w:val="en-GB"/>
        </w:rPr>
        <w:t>more pronounced</w:t>
      </w:r>
      <w:r w:rsidR="1C4FF875" w:rsidRPr="009C1256">
        <w:rPr>
          <w:lang w:val="en-GB"/>
        </w:rPr>
        <w:t xml:space="preserve"> in extreme regions such as in polar regions </w:t>
      </w:r>
      <w:r w:rsidR="008C1BF7" w:rsidRPr="009C1256">
        <w:rPr>
          <w:lang w:val="en-GB"/>
        </w:rPr>
        <w:fldChar w:fldCharType="begin"/>
      </w:r>
      <w:r w:rsidR="00331A79">
        <w:rPr>
          <w:lang w:val="en-GB"/>
        </w:rPr>
        <w:instrText xml:space="preserve"> ADDIN ZOTERO_ITEM CSL_CITATION {"citationID":"5JBQGd0D","properties":{"formattedCitation":"(Fabry et al., 2009)","plainCitation":"(Fabry et al., 2009)","noteIndex":0},"citationItems":[{"id":23720,"uris":["http://zotero.org/groups/2352922/items/E52TCKNK"],"itemData":{"id":23720,"type":"article-journal","container-title":"Oceanography","DOI":"10.5670/oceanog.2009.105","ISSN":"10428275","issue":"4","journalAbbreviation":"Oceanog.","page":"160-171","source":"DOI.org (Crossref)","title":"Ocean Acidification at High Latitudes: The Bellwether","title-short":"Ocean Acidification at High Latitudes","URL":"https://tos.org/oceanography/article/ocean-acidification-at-high-latitudes-the-bellwether","volume":"22","author":[{"family":"Fabry","given":"Victoria"},{"family":"McClintock","given":"James"},{"family":"Mathis","given":"Jeremy"},{"family":"Grebmeier","given":"Jacqueline"}],"accessed":{"date-parts":[["2020",8,21]]},"issued":{"date-parts":[["2009",12,1]]}},"label":"page"}],"schema":"https://github.com/citation-style-language/schema/raw/master/csl-citation.json"} </w:instrText>
      </w:r>
      <w:r w:rsidR="008C1BF7" w:rsidRPr="009C1256">
        <w:rPr>
          <w:lang w:val="en-GB"/>
        </w:rPr>
        <w:fldChar w:fldCharType="separate"/>
      </w:r>
      <w:r w:rsidR="00144D96" w:rsidRPr="00144D96">
        <w:t>(Fabry et al., 2009)</w:t>
      </w:r>
      <w:r w:rsidR="008C1BF7" w:rsidRPr="009C1256">
        <w:rPr>
          <w:lang w:val="en-GB"/>
        </w:rPr>
        <w:fldChar w:fldCharType="end"/>
      </w:r>
      <w:r w:rsidR="1C4FF875" w:rsidRPr="009C1256">
        <w:rPr>
          <w:lang w:val="en-GB"/>
        </w:rPr>
        <w:t xml:space="preserve"> </w:t>
      </w:r>
      <w:r w:rsidR="005B3613" w:rsidRPr="009C1256">
        <w:rPr>
          <w:lang w:val="en-GB"/>
        </w:rPr>
        <w:t>and</w:t>
      </w:r>
      <w:r w:rsidR="1C4FF875" w:rsidRPr="009C1256">
        <w:rPr>
          <w:lang w:val="en-GB"/>
        </w:rPr>
        <w:t xml:space="preserve"> </w:t>
      </w:r>
      <w:r w:rsidR="00DC3BCE" w:rsidRPr="009C1256">
        <w:rPr>
          <w:lang w:val="en-GB"/>
        </w:rPr>
        <w:t>for</w:t>
      </w:r>
      <w:r w:rsidR="1C4FF875" w:rsidRPr="009C1256">
        <w:rPr>
          <w:lang w:val="en-GB"/>
        </w:rPr>
        <w:t xml:space="preserve"> coral reefs </w:t>
      </w:r>
      <w:r w:rsidR="00DC3BCE" w:rsidRPr="009C1256">
        <w:rPr>
          <w:lang w:val="en-GB"/>
        </w:rPr>
        <w:t>where c</w:t>
      </w:r>
      <w:r w:rsidR="49CA86C9" w:rsidRPr="009C1256">
        <w:rPr>
          <w:lang w:val="en-GB"/>
        </w:rPr>
        <w:t xml:space="preserve">alcareous corals and algae are replaced by noncalcareous algae </w:t>
      </w:r>
      <w:r w:rsidR="008C1BF7" w:rsidRPr="009C1256">
        <w:rPr>
          <w:lang w:val="en-GB"/>
        </w:rPr>
        <w:fldChar w:fldCharType="begin"/>
      </w:r>
      <w:r w:rsidR="00331A79">
        <w:rPr>
          <w:lang w:val="en-GB"/>
        </w:rPr>
        <w:instrText xml:space="preserve"> ADDIN ZOTERO_ITEM CSL_CITATION {"citationID":"qp7s3C4M","properties":{"formattedCitation":"(Hall-Spencer et al., 2008)","plainCitation":"(Hall-Spencer et al., 2008)","noteIndex":0},"citationItems":[{"id":23721,"uris":["http://zotero.org/groups/2352922/items/G7RG7Z27"],"itemData":{"id":23721,"type":"article-journal","container-title":"Nature","DOI":"10.1038/nature07051","ISSN":"0028-0836, 1476-4687","issue":"7200","journalAbbreviation":"Nature","language":"en","page":"96-99","source":"DOI.org (Crossref)","title":"Volcanic carbon dioxide vents show ecosystem effects of ocean acidification","URL":"http://www.nature.com/articles/nature07051","volume":"454","author":[{"family":"Hall-Spencer","given":"Jason M."},{"family":"Rodolfo-Metalpa","given":"Riccardo"},{"family":"Martin","given":"Sophie"},{"family":"Ransome","given":"Emma"},{"family":"Fine","given":"Maoz"},{"family":"Turner","given":"Suzanne M."},{"family":"Rowley","given":"Sonia J."},{"family":"Tedesco","given":"Dario"},{"family":"Buia","given":"Maria-Cristina"}],"accessed":{"date-parts":[["2020",8,21]]},"issued":{"date-parts":[["2008",7]]}},"label":"page"}],"schema":"https://github.com/citation-style-language/schema/raw/master/csl-citation.json"} </w:instrText>
      </w:r>
      <w:r w:rsidR="008C1BF7" w:rsidRPr="009C1256">
        <w:rPr>
          <w:lang w:val="en-GB"/>
        </w:rPr>
        <w:fldChar w:fldCharType="separate"/>
      </w:r>
      <w:r w:rsidR="00144D96" w:rsidRPr="00144D96">
        <w:t>(Hall-Spencer et al., 2008)</w:t>
      </w:r>
      <w:r w:rsidR="008C1BF7" w:rsidRPr="009C1256">
        <w:rPr>
          <w:lang w:val="en-GB"/>
        </w:rPr>
        <w:fldChar w:fldCharType="end"/>
      </w:r>
      <w:r w:rsidR="49CA86C9" w:rsidRPr="009C1256">
        <w:rPr>
          <w:lang w:val="en-GB"/>
        </w:rPr>
        <w:t xml:space="preserve">. </w:t>
      </w:r>
      <w:r w:rsidR="00870283" w:rsidRPr="009C1256">
        <w:rPr>
          <w:lang w:val="en-GB"/>
        </w:rPr>
        <w:t>In these regions,</w:t>
      </w:r>
      <w:r w:rsidR="49CA86C9" w:rsidRPr="009C1256">
        <w:rPr>
          <w:lang w:val="en-GB"/>
        </w:rPr>
        <w:t xml:space="preserve"> invasive</w:t>
      </w:r>
      <w:r w:rsidR="002A0EE8" w:rsidRPr="009C1256">
        <w:rPr>
          <w:lang w:val="en-GB"/>
        </w:rPr>
        <w:t xml:space="preserve"> alien</w:t>
      </w:r>
      <w:r w:rsidR="49CA86C9" w:rsidRPr="009C1256">
        <w:rPr>
          <w:lang w:val="en-GB"/>
        </w:rPr>
        <w:t xml:space="preserve"> species </w:t>
      </w:r>
      <w:r w:rsidR="1BC9645D" w:rsidRPr="009C1256">
        <w:rPr>
          <w:lang w:val="en-GB"/>
        </w:rPr>
        <w:t>that are</w:t>
      </w:r>
      <w:r w:rsidR="00870283" w:rsidRPr="009C1256">
        <w:rPr>
          <w:lang w:val="en-GB"/>
        </w:rPr>
        <w:t xml:space="preserve"> tolerant of high </w:t>
      </w:r>
      <w:r w:rsidR="00265BC6" w:rsidRPr="009C1256">
        <w:rPr>
          <w:lang w:val="en-GB"/>
        </w:rPr>
        <w:t>CO</w:t>
      </w:r>
      <w:r w:rsidR="00265BC6" w:rsidRPr="009C1256">
        <w:rPr>
          <w:vertAlign w:val="subscript"/>
          <w:lang w:val="en-GB"/>
        </w:rPr>
        <w:t>2</w:t>
      </w:r>
      <w:r w:rsidR="00265BC6" w:rsidRPr="009C1256">
        <w:rPr>
          <w:lang w:val="en-GB"/>
        </w:rPr>
        <w:t xml:space="preserve"> </w:t>
      </w:r>
      <w:r w:rsidR="00870283" w:rsidRPr="009C1256">
        <w:rPr>
          <w:lang w:val="en-GB"/>
        </w:rPr>
        <w:t xml:space="preserve">concentrations </w:t>
      </w:r>
      <w:r w:rsidR="49CA86C9" w:rsidRPr="009C1256">
        <w:rPr>
          <w:lang w:val="en-GB"/>
        </w:rPr>
        <w:t xml:space="preserve">increase </w:t>
      </w:r>
      <w:r w:rsidR="2C3E0C0F" w:rsidRPr="009C1256">
        <w:rPr>
          <w:lang w:val="en-GB"/>
        </w:rPr>
        <w:t>in abundance</w:t>
      </w:r>
      <w:r w:rsidR="49CA86C9" w:rsidRPr="009C1256">
        <w:rPr>
          <w:lang w:val="en-GB"/>
        </w:rPr>
        <w:t xml:space="preserve">, as documented </w:t>
      </w:r>
      <w:r w:rsidR="00870283" w:rsidRPr="009C1256">
        <w:rPr>
          <w:lang w:val="en-GB"/>
        </w:rPr>
        <w:t>for</w:t>
      </w:r>
      <w:r w:rsidR="49CA86C9" w:rsidRPr="009C1256">
        <w:rPr>
          <w:lang w:val="en-GB"/>
        </w:rPr>
        <w:t xml:space="preserve"> macroalgal </w:t>
      </w:r>
      <w:r w:rsidR="2C3E0C0F" w:rsidRPr="009C1256">
        <w:rPr>
          <w:lang w:val="en-GB"/>
        </w:rPr>
        <w:t xml:space="preserve">biological </w:t>
      </w:r>
      <w:r w:rsidR="49CA86C9" w:rsidRPr="009C1256">
        <w:rPr>
          <w:lang w:val="en-GB"/>
        </w:rPr>
        <w:t xml:space="preserve">invasions in the northeast Atlantic </w:t>
      </w:r>
      <w:r w:rsidR="008C1BF7" w:rsidRPr="009C1256">
        <w:rPr>
          <w:lang w:val="en-GB"/>
        </w:rPr>
        <w:fldChar w:fldCharType="begin"/>
      </w:r>
      <w:r w:rsidR="00F5121E">
        <w:rPr>
          <w:lang w:val="en-GB"/>
        </w:rPr>
        <w:instrText xml:space="preserve"> ADDIN ZOTERO_ITEM CSL_CITATION {"citationID":"YCYIxsHA","properties":{"formattedCitation":"(Brodie et al., 2014)","plainCitation":"(Brodie et al., 2014)","noteIndex":0},"citationItems":[{"id":15677,"uris":["http://zotero.org/groups/2352922/items/BJ6UDV5R"],"itemData":{"id":15677,"type":"article-journal","abstract":"Seaweed and seagrass communities in the northeast Atlantic have been profoundly impacted by humans, and the rate of change is accelerating rapidly due to runaway CO2 emissions and mounting pressures on coastlines associated with human population growth and increased consumption of finite resources. Here, we predict how rapid warming and acidification are likely to affect benthic flora and coastal ecosystems of the northeast Atlantic in this century, based on global evidence from the literature as interpreted by the collective knowledge of the authorship. We predict that warming will kill off kelp forests in the south and that ocean acidification will remove maerl habitat in the north. Seagrasses will proliferate, and associated epiphytes switch from calcified algae to diatoms and filamentous species. Invasive species will thrive in niches liberated by loss of native species and spread via exponential development of artificial marine structures. Combined impacts of seawater warming, ocean acidification, and increased storminess may replace structurally diverse seaweed canopies, with associated calcified and noncalcified flora, with simple habitats dominated by noncalcified, turf-forming seaweeds.","container-title":"Ecology and Evolution","DOI":"10.1002/ece3.1105","ISSN":"2045-7758","issue":"13","journalAbbreviation":"Ecol. Evol.","language":"English","note":"WOS:000339494900014","page":"2787-2798","source":"Web of Science","title":"The future of the northeast Atlantic benthic flora in a high CO&lt;sub&gt;2&lt;/sub&gt; world","volume":"4","author":[{"family":"Brodie","given":"Juliet"},{"family":"Williamson","given":"Christopher J."},{"family":"Smale","given":"Dan A."},{"family":"Kamenos","given":"Nicholas A."},{"family":"Mieszkowska","given":"Nova"},{"family":"Santos","given":"Rui"},{"family":"Cunliffe","given":"Michael"},{"family":"Steinke","given":"Michael"},{"family":"Yesson","given":"Christopher"},{"family":"Anderson","given":"Kathryn M."},{"family":"Asnaghi","given":"Valentina"},{"family":"Brownlee","given":"Colin"},{"family":"Burdett","given":"Heidi L."},{"family":"Burrows","given":"Michael T."},{"family":"Collins","given":"Sinead"},{"family":"Donohue","given":"Penelope J. C."},{"family":"Harvey","given":"Ben"},{"family":"Foggo","given":"Andrew"},{"family":"Noisette","given":"Fanny"},{"family":"Nunes","given":"Joana"},{"family":"Ragazzola","given":"Federica"},{"family":"Raven","given":"John A."},{"family":"Schmidt","given":"Daniela N."},{"family":"Suggett","given":"David"},{"family":"Teichberg","given":"Mirta"},{"family":"Hall-Spencer","given":"Jason M."}],"issued":{"date-parts":[["2014",7]]}},"label":"page"}],"schema":"https://github.com/citation-style-language/schema/raw/master/csl-citation.json"} </w:instrText>
      </w:r>
      <w:r w:rsidR="008C1BF7" w:rsidRPr="009C1256">
        <w:rPr>
          <w:lang w:val="en-GB"/>
        </w:rPr>
        <w:fldChar w:fldCharType="separate"/>
      </w:r>
      <w:r w:rsidR="00144D96" w:rsidRPr="00144D96">
        <w:t>(Brodie et al., 2014)</w:t>
      </w:r>
      <w:r w:rsidR="008C1BF7" w:rsidRPr="009C1256">
        <w:rPr>
          <w:lang w:val="en-GB"/>
        </w:rPr>
        <w:fldChar w:fldCharType="end"/>
      </w:r>
      <w:r w:rsidR="49CA86C9" w:rsidRPr="009C1256">
        <w:rPr>
          <w:lang w:val="en-GB"/>
        </w:rPr>
        <w:t xml:space="preserve">. In the Mediterranean Sea, invasive </w:t>
      </w:r>
      <w:r w:rsidR="009844F9" w:rsidRPr="009C1256">
        <w:rPr>
          <w:lang w:val="en-GB"/>
        </w:rPr>
        <w:t xml:space="preserve">alien </w:t>
      </w:r>
      <w:r w:rsidR="49CA86C9" w:rsidRPr="009C1256">
        <w:rPr>
          <w:lang w:val="en-GB"/>
        </w:rPr>
        <w:t>genera (</w:t>
      </w:r>
      <w:r w:rsidR="00930403" w:rsidRPr="009C1256">
        <w:rPr>
          <w:lang w:val="en-GB"/>
        </w:rPr>
        <w:t xml:space="preserve">e.g., </w:t>
      </w:r>
      <w:r w:rsidR="49CA86C9" w:rsidRPr="009C1256">
        <w:rPr>
          <w:i/>
          <w:iCs/>
          <w:lang w:val="en-GB"/>
        </w:rPr>
        <w:t>Sargassum</w:t>
      </w:r>
      <w:r w:rsidR="49CA86C9" w:rsidRPr="009C1256">
        <w:rPr>
          <w:lang w:val="en-GB"/>
        </w:rPr>
        <w:t xml:space="preserve">, </w:t>
      </w:r>
      <w:r w:rsidR="49CA86C9" w:rsidRPr="009C1256">
        <w:rPr>
          <w:i/>
          <w:iCs/>
          <w:lang w:val="en-GB"/>
        </w:rPr>
        <w:t>Caulerpa</w:t>
      </w:r>
      <w:r w:rsidR="00774819">
        <w:rPr>
          <w:lang w:val="en-GB"/>
        </w:rPr>
        <w:t xml:space="preserve"> and</w:t>
      </w:r>
      <w:r w:rsidR="49CA86C9" w:rsidRPr="009C1256">
        <w:rPr>
          <w:lang w:val="en-GB"/>
        </w:rPr>
        <w:t xml:space="preserve"> </w:t>
      </w:r>
      <w:r w:rsidR="49CA86C9" w:rsidRPr="009C1256">
        <w:rPr>
          <w:i/>
          <w:iCs/>
          <w:lang w:val="en-GB"/>
        </w:rPr>
        <w:t>Asparagopsis</w:t>
      </w:r>
      <w:r w:rsidR="49CA86C9" w:rsidRPr="009C1256">
        <w:rPr>
          <w:lang w:val="en-GB"/>
        </w:rPr>
        <w:t xml:space="preserve">) </w:t>
      </w:r>
      <w:r w:rsidR="00537CFD" w:rsidRPr="009C1256">
        <w:rPr>
          <w:lang w:val="en-GB"/>
        </w:rPr>
        <w:t>sp</w:t>
      </w:r>
      <w:r w:rsidR="00BF2FDE" w:rsidRPr="009C1256">
        <w:rPr>
          <w:lang w:val="en-GB"/>
        </w:rPr>
        <w:t>re</w:t>
      </w:r>
      <w:r w:rsidR="00537CFD" w:rsidRPr="009C1256">
        <w:rPr>
          <w:lang w:val="en-GB"/>
        </w:rPr>
        <w:t>a</w:t>
      </w:r>
      <w:r w:rsidR="00BF2FDE" w:rsidRPr="009C1256">
        <w:rPr>
          <w:lang w:val="en-GB"/>
        </w:rPr>
        <w:t>d</w:t>
      </w:r>
      <w:r w:rsidR="49CA86C9" w:rsidRPr="009C1256">
        <w:rPr>
          <w:lang w:val="en-GB"/>
        </w:rPr>
        <w:t xml:space="preserve"> to sites where native coralline algae are disappearing </w:t>
      </w:r>
      <w:r w:rsidR="00870283" w:rsidRPr="009C1256">
        <w:rPr>
          <w:lang w:val="en-GB"/>
        </w:rPr>
        <w:t>due to</w:t>
      </w:r>
      <w:r w:rsidR="49CA86C9" w:rsidRPr="009C1256">
        <w:rPr>
          <w:lang w:val="en-GB"/>
        </w:rPr>
        <w:t xml:space="preserve"> acidified waters </w:t>
      </w:r>
      <w:r w:rsidR="008C1BF7" w:rsidRPr="009C1256">
        <w:rPr>
          <w:lang w:val="en-GB"/>
        </w:rPr>
        <w:fldChar w:fldCharType="begin"/>
      </w:r>
      <w:r w:rsidR="00331A79">
        <w:rPr>
          <w:lang w:val="en-GB"/>
        </w:rPr>
        <w:instrText xml:space="preserve"> ADDIN ZOTERO_ITEM CSL_CITATION {"citationID":"RN2w8NsX","properties":{"formattedCitation":"(Hall-Spencer et al., 2010)","plainCitation":"(Hall-Spencer et al., 2010)","noteIndex":0},"citationItems":[{"id":25072,"uris":["http://zotero.org/groups/2352922/items/7CM5XH85"],"itemData":{"id":25072,"type":"book","language":"en","publisher":"OSPAR Commission, London","title":"Background document on maerl beds","URL":"https://www.researchgate.net/publication/230661931_Background_document_on_maerl_beds","volume":"491","author":[{"family":"Hall-Spencer","given":"Jason M."},{"family":"Kelly","given":"J"},{"family":"Maggs","given":"Christine A."}],"accessed":{"date-parts":[["2019",11,6]]},"issued":{"date-parts":[["2010"]]}},"label":"page"}],"schema":"https://github.com/citation-style-language/schema/raw/master/csl-citation.json"} </w:instrText>
      </w:r>
      <w:r w:rsidR="008C1BF7" w:rsidRPr="009C1256">
        <w:rPr>
          <w:lang w:val="en-GB"/>
        </w:rPr>
        <w:fldChar w:fldCharType="separate"/>
      </w:r>
      <w:r w:rsidR="00144D96" w:rsidRPr="00144D96">
        <w:t>(Hall-Spencer et al., 2010)</w:t>
      </w:r>
      <w:r w:rsidR="008C1BF7" w:rsidRPr="009C1256">
        <w:rPr>
          <w:lang w:val="en-GB"/>
        </w:rPr>
        <w:fldChar w:fldCharType="end"/>
      </w:r>
      <w:r w:rsidR="49CA86C9" w:rsidRPr="009C1256">
        <w:rPr>
          <w:lang w:val="en-GB"/>
        </w:rPr>
        <w:t xml:space="preserve">. </w:t>
      </w:r>
    </w:p>
    <w:p w14:paraId="34385F76" w14:textId="77777777" w:rsidR="008C1BF7" w:rsidRPr="009C1256" w:rsidRDefault="6619E8BF" w:rsidP="004826A3">
      <w:pPr>
        <w:pStyle w:val="Heading3"/>
        <w:rPr>
          <w:lang w:val="en-GB"/>
        </w:rPr>
      </w:pPr>
      <w:bookmarkStart w:id="194" w:name="_Toc44317840"/>
      <w:r w:rsidRPr="009C1256">
        <w:rPr>
          <w:lang w:val="en-GB"/>
        </w:rPr>
        <w:t xml:space="preserve"> Fire</w:t>
      </w:r>
      <w:r w:rsidR="11BDF88A" w:rsidRPr="009C1256">
        <w:rPr>
          <w:lang w:val="en-GB"/>
        </w:rPr>
        <w:t xml:space="preserve"> regime changes</w:t>
      </w:r>
      <w:bookmarkEnd w:id="194"/>
    </w:p>
    <w:p w14:paraId="71B31119" w14:textId="1E3C5E74" w:rsidR="000B5C16" w:rsidRPr="00DA249F" w:rsidRDefault="7EAEDA61" w:rsidP="000B5C16">
      <w:pPr>
        <w:rPr>
          <w:lang w:val="en-GB"/>
        </w:rPr>
      </w:pPr>
      <w:r w:rsidRPr="009C1256">
        <w:rPr>
          <w:lang w:val="en-GB"/>
        </w:rPr>
        <w:t xml:space="preserve">In addition to direct human-induced changes </w:t>
      </w:r>
      <w:r w:rsidR="00C23DBB" w:rsidRPr="009C1256">
        <w:rPr>
          <w:lang w:val="en-GB"/>
        </w:rPr>
        <w:t>to</w:t>
      </w:r>
      <w:r w:rsidRPr="009C1256">
        <w:rPr>
          <w:lang w:val="en-GB"/>
        </w:rPr>
        <w:t xml:space="preserve"> fire regimes </w:t>
      </w:r>
      <w:r w:rsidR="00CA0C6B" w:rsidRPr="009C1256">
        <w:rPr>
          <w:lang w:val="en-GB"/>
        </w:rPr>
        <w:t>(</w:t>
      </w:r>
      <w:r w:rsidRPr="0040355F">
        <w:rPr>
          <w:b/>
          <w:iCs/>
          <w:lang w:val="en-GB"/>
        </w:rPr>
        <w:t>section 3.3.1.</w:t>
      </w:r>
      <w:r w:rsidR="000746BA" w:rsidRPr="0040355F">
        <w:rPr>
          <w:b/>
          <w:iCs/>
          <w:lang w:val="en-GB"/>
        </w:rPr>
        <w:t>5.2</w:t>
      </w:r>
      <w:r w:rsidR="00922A50" w:rsidRPr="0040355F">
        <w:rPr>
          <w:lang w:val="en-GB"/>
        </w:rPr>
        <w:t>;</w:t>
      </w:r>
      <w:r w:rsidR="00922A50" w:rsidRPr="0040355F">
        <w:rPr>
          <w:b/>
          <w:lang w:val="en-GB"/>
        </w:rPr>
        <w:t xml:space="preserve"> </w:t>
      </w:r>
      <w:r w:rsidR="0040355F">
        <w:rPr>
          <w:b/>
          <w:iCs/>
          <w:lang w:val="en-GB"/>
        </w:rPr>
        <w:t>C</w:t>
      </w:r>
      <w:r w:rsidR="00E20CCA" w:rsidRPr="0040355F">
        <w:rPr>
          <w:b/>
          <w:iCs/>
          <w:lang w:val="en-GB"/>
        </w:rPr>
        <w:t>hapter 1</w:t>
      </w:r>
      <w:r w:rsidR="00E20CCA" w:rsidRPr="0040355F">
        <w:rPr>
          <w:iCs/>
          <w:lang w:val="en-GB"/>
        </w:rPr>
        <w:t>,</w:t>
      </w:r>
      <w:r w:rsidR="00E20CCA" w:rsidRPr="0040355F">
        <w:rPr>
          <w:b/>
          <w:iCs/>
          <w:lang w:val="en-GB"/>
        </w:rPr>
        <w:t xml:space="preserve"> </w:t>
      </w:r>
      <w:r w:rsidR="00E23B69">
        <w:rPr>
          <w:b/>
          <w:iCs/>
          <w:lang w:val="en-GB"/>
        </w:rPr>
        <w:t>Box</w:t>
      </w:r>
      <w:r w:rsidR="00E20CCA" w:rsidRPr="0040355F">
        <w:rPr>
          <w:b/>
          <w:iCs/>
          <w:lang w:val="en-GB"/>
        </w:rPr>
        <w:t xml:space="preserve"> </w:t>
      </w:r>
      <w:r w:rsidR="00F15FF6" w:rsidRPr="0040355F">
        <w:rPr>
          <w:b/>
          <w:iCs/>
          <w:lang w:val="en-GB"/>
        </w:rPr>
        <w:t>1.4</w:t>
      </w:r>
      <w:r w:rsidRPr="009C1256">
        <w:rPr>
          <w:lang w:val="en-GB"/>
        </w:rPr>
        <w:t>),</w:t>
      </w:r>
      <w:r w:rsidR="00066BF9" w:rsidRPr="009C1256">
        <w:rPr>
          <w:lang w:val="en-GB"/>
        </w:rPr>
        <w:t xml:space="preserve"> </w:t>
      </w:r>
      <w:r w:rsidRPr="009C1256">
        <w:rPr>
          <w:lang w:val="en-GB"/>
        </w:rPr>
        <w:t>weather conditions that favour fire occurr</w:t>
      </w:r>
      <w:r w:rsidRPr="00DA249F">
        <w:rPr>
          <w:lang w:val="en-GB"/>
        </w:rPr>
        <w:t>ence (</w:t>
      </w:r>
      <w:r w:rsidR="00930403" w:rsidRPr="00DA249F">
        <w:rPr>
          <w:lang w:val="en-GB"/>
        </w:rPr>
        <w:t xml:space="preserve">i.e., </w:t>
      </w:r>
      <w:r w:rsidRPr="00DA249F">
        <w:rPr>
          <w:lang w:val="en-GB"/>
        </w:rPr>
        <w:t xml:space="preserve">hot, dry and windy events) have become more common in some regions </w:t>
      </w:r>
      <w:r w:rsidR="00AC3D55" w:rsidRPr="00DA249F">
        <w:rPr>
          <w:lang w:val="en-GB"/>
        </w:rPr>
        <w:t>due to</w:t>
      </w:r>
      <w:r w:rsidRPr="00DA249F">
        <w:rPr>
          <w:lang w:val="en-GB"/>
        </w:rPr>
        <w:t xml:space="preserve"> climate change, a trend that is expected to occur in </w:t>
      </w:r>
      <w:r w:rsidR="00822AFA" w:rsidRPr="00DA249F">
        <w:rPr>
          <w:lang w:val="en-GB"/>
        </w:rPr>
        <w:t>even</w:t>
      </w:r>
      <w:r w:rsidRPr="00DA249F">
        <w:rPr>
          <w:lang w:val="en-GB"/>
        </w:rPr>
        <w:t xml:space="preserve"> more regions in the future </w:t>
      </w:r>
      <w:r w:rsidR="00B520A9" w:rsidRPr="00DA249F">
        <w:rPr>
          <w:lang w:val="en-GB"/>
        </w:rPr>
        <w:fldChar w:fldCharType="begin"/>
      </w:r>
      <w:r w:rsidR="00331A79">
        <w:rPr>
          <w:lang w:val="en-GB"/>
        </w:rPr>
        <w:instrText xml:space="preserve"> ADDIN ZOTERO_ITEM CSL_CITATION {"citationID":"3DGl5zn9","properties":{"formattedCitation":"(IPCC, 2021)","plainCitation":"(IPCC, 2021)","noteIndex":0},"citationItems":[{"id":29622,"uris":["http://zotero.org/groups/2352922/items/EHM5HDB3"],"itemData":{"id":29622,"type":"article-journal","container-title":"Cambridge University Press","DOI":"10.1017/9781009157896","title":"Climate Change 2021: The Physical Science Basis. Contribution of Working Group I to the Sixth Assessment Report of the Intergovernmental Panel on Climate Change","author":[{"literal":"IPCC"}],"contributor":[{"family":"Masson-Delmotte","given":"V."},{"family":"Zhai","given":"P."},{"family":"Pirani","given":"A."},{"family":"Connors","given":"S. L."},{"family":"Péan","given":"C."},{"family":"Berger","given":"S."},{"family":"Caud","given":"N."},{"family":"Chen","given":"Y."},{"family":"Goldfarb","given":"L."},{"family":"Gomis","given":"M. I."},{"family":"Huang","given":"M."},{"family":"Leitzell","given":"K."},{"family":"Lonnoy","given":"E."},{"family":"Matthews","given":"J. B. R."},{"family":"Maycock","given":"T. K."},{"family":"Waterfield","given":"T."},{"family":"Yelekçi","given":"O."},{"family":"Yu","given":"R."},{"family":"Zhou","given":"B."}],"issued":{"date-parts":[["2021"]]}}}],"schema":"https://github.com/citation-style-language/schema/raw/master/csl-citation.json"} </w:instrText>
      </w:r>
      <w:r w:rsidR="00B520A9" w:rsidRPr="00DA249F">
        <w:rPr>
          <w:lang w:val="en-GB"/>
        </w:rPr>
        <w:fldChar w:fldCharType="separate"/>
      </w:r>
      <w:r w:rsidR="00144D96" w:rsidRPr="00144D96">
        <w:t>(IPCC, 2021)</w:t>
      </w:r>
      <w:r w:rsidR="00B520A9" w:rsidRPr="00DA249F">
        <w:rPr>
          <w:lang w:val="en-GB"/>
        </w:rPr>
        <w:fldChar w:fldCharType="end"/>
      </w:r>
      <w:r w:rsidR="00B520A9" w:rsidRPr="00DA249F">
        <w:rPr>
          <w:lang w:val="en-GB"/>
        </w:rPr>
        <w:t xml:space="preserve">. </w:t>
      </w:r>
      <w:r w:rsidR="000B5C16" w:rsidRPr="00DA249F">
        <w:rPr>
          <w:lang w:val="en-GB"/>
        </w:rPr>
        <w:t>Climate change</w:t>
      </w:r>
      <w:r w:rsidR="008C1BF7" w:rsidRPr="00DA249F">
        <w:rPr>
          <w:lang w:val="en-GB"/>
        </w:rPr>
        <w:t xml:space="preserve"> is </w:t>
      </w:r>
      <w:r w:rsidR="000B5C16" w:rsidRPr="00DA249F">
        <w:rPr>
          <w:lang w:val="en-GB"/>
        </w:rPr>
        <w:t xml:space="preserve">expected to lead to more extreme and frequent fires globally </w:t>
      </w:r>
      <w:r w:rsidR="000B5C16" w:rsidRPr="00DA249F">
        <w:rPr>
          <w:lang w:val="en-GB"/>
        </w:rPr>
        <w:fldChar w:fldCharType="begin"/>
      </w:r>
      <w:r w:rsidR="00331A79">
        <w:rPr>
          <w:lang w:val="en-GB"/>
        </w:rPr>
        <w:instrText xml:space="preserve"> ADDIN ZOTERO_ITEM CSL_CITATION {"citationID":"iRhUIEyM","properties":{"formattedCitation":"(Hoegh-Guldberg et al., 2018)","plainCitation":"(Hoegh-Guldberg et al., 2018)","noteIndex":0},"citationItems":[{"id":25062,"uris":["http://zotero.org/groups/2352922/items/3DFYD2F4"],"itemData":{"id":25062,"type":"chapter","container-title":"Global Warming of 1.5 °C. An IPCC special report on the impacts of global warming of 1.5 °C above preindustrial levels and related global greenhouse gas emission pathways","title":"Impacts of 1.5 ºC global warming on natural and human systems","URL":"https://helda.helsinki.fi/handle/10138/311749","author":[{"family":"Hoegh-Guldberg","given":"Ove"},{"family":"Jacob","given":"Daniela"},{"family":"Taylor","given":"Michael"},{"family":"Bindi","given":"Marco"},{"family":"Brown","given":"Sally"},{"family":"Camilloni","given":"Ines"},{"family":"Diedhiou","given":"Arona"},{"family":"Djalante","given":"R."},{"family":"Ebi","given":"K."},{"family":"Engelbrecht","given":"F."},{"family":"Guiot","given":"J"},{"family":"Hijioka","given":"Y"},{"family":"Mehrotra","given":"S"},{"family":"Payne","given":"A"},{"family":"Seneviratne","given":"S. I"},{"family":"Thomas","given":"A"},{"family":"Warren","given":"R"},{"family":"Zhou","given":"G"},{"family":"Halim","given":"S A"},{"family":"Achlatis","given":"M"},{"family":"Alexander","given":"L V"},{"family":"Allen","given":"M"},{"family":"Berry","given":"P"},{"family":"Boyer","given":"C"},{"family":"Byers","given":"E"},{"family":"Brilli","given":"L"},{"family":"Buckeridge","given":"M"},{"family":"Cheung","given":"W"},{"family":"Craig","given":"M"},{"family":"Ellis","given":"N"},{"family":"Evans","given":"J"},{"family":"Fischer","given":"H"},{"family":"Fraedrich","given":"K"},{"family":"Fuss","given":"S"},{"family":"Ganase","given":"A"},{"family":"Gattuso","given":"JP"},{"family":"Greve","given":"P"},{"family":"Bolaños","given":"TG"},{"family":"Hanasaki","given":"N"},{"family":"Hasegawa","given":"T"},{"family":"Hayes","given":"K"},{"family":"Hirsch","given":"A"},{"family":"Jones","given":"C"},{"family":"Jung","given":"T"},{"family":"Kanninen","given":"M"},{"family":"Krinner","given":"G"},{"family":"Lawrence","given":"D"},{"family":"Lenton","given":"T"},{"family":"Ley","given":"D"},{"family":"Liverman","given":"D"},{"family":"Mahowald","given":"N"},{"family":"McInnes","given":"K"},{"family":"Meissner","given":"K J"},{"family":"Millar","given":"R"},{"family":"Mintenbeck","given":"K"},{"family":"Mitchell","given":"D"},{"family":"Mix","given":"A C"},{"family":"Notz","given":"D"},{"family":"Nurse","given":"L"},{"family":"Okem","given":"A"},{"family":"Olsson","given":"L"},{"family":"Oppenheimer","given":"M"},{"family":"Paz","given":"S"},{"family":"Petersen","given":"J"},{"family":"Petzold","given":"J"},{"family":"Preuschmann","given":"S"},{"family":"Rahman","given":"M F"},{"family":"Rogelj","given":"J"},{"family":"Scheuffele","given":"H"},{"family":"Schleussner","given":"C-F"},{"family":"Scott","given":"D"},{"family":"Séférian","given":"R"},{"family":"Sillmann","given":"J"},{"family":"Singh","given":"C"},{"family":"Slade","given":"R"},{"family":"Stephenson","given":"K"},{"family":"Stephenson","given":"T"},{"family":"Sylla","given":"M B"},{"family":"Tebboth","given":"M"},{"family":"Tschakert","given":"P"},{"family":"Vautard","given":"R"},{"family":"Wartenburger","given":"R"},{"family":"Wehner","given":"M"},{"family":"Weyer","given":"NM"},{"family":"Whyte","given":"F"},{"family":"Yohe","given":"G"},{"family":"Zhang","given":"X"},{"family":"Zougmoré","given":"RB"}],"issued":{"date-parts":[["2018"]]}},"label":"page"}],"schema":"https://github.com/citation-style-language/schema/raw/master/csl-citation.json"} </w:instrText>
      </w:r>
      <w:r w:rsidR="000B5C16" w:rsidRPr="00DA249F">
        <w:rPr>
          <w:lang w:val="en-GB"/>
        </w:rPr>
        <w:fldChar w:fldCharType="separate"/>
      </w:r>
      <w:r w:rsidR="00144D96" w:rsidRPr="00144D96">
        <w:t>(Hoegh-Guldberg et al., 2018)</w:t>
      </w:r>
      <w:r w:rsidR="000B5C16" w:rsidRPr="00DA249F">
        <w:rPr>
          <w:lang w:val="en-GB"/>
        </w:rPr>
        <w:fldChar w:fldCharType="end"/>
      </w:r>
      <w:r w:rsidR="000B5C16" w:rsidRPr="00DA249F">
        <w:rPr>
          <w:lang w:val="en-GB"/>
        </w:rPr>
        <w:t>, and there is evidence</w:t>
      </w:r>
      <w:r w:rsidR="008C1BF7" w:rsidRPr="00DA249F">
        <w:rPr>
          <w:lang w:val="en-GB"/>
        </w:rPr>
        <w:t xml:space="preserve"> that </w:t>
      </w:r>
      <w:r w:rsidR="000B5C16" w:rsidRPr="00DA249F">
        <w:rPr>
          <w:lang w:val="en-GB"/>
        </w:rPr>
        <w:t>climate change during the last decades ha</w:t>
      </w:r>
      <w:r w:rsidR="00A523AF" w:rsidRPr="00DA249F">
        <w:rPr>
          <w:lang w:val="en-GB"/>
        </w:rPr>
        <w:t>s</w:t>
      </w:r>
      <w:r w:rsidR="000B5C16" w:rsidRPr="00DA249F">
        <w:rPr>
          <w:lang w:val="en-GB"/>
        </w:rPr>
        <w:t xml:space="preserve"> already increased fire activity, for example in western United States </w:t>
      </w:r>
      <w:r w:rsidR="000B5C16" w:rsidRPr="00DA249F">
        <w:rPr>
          <w:lang w:val="en-GB"/>
        </w:rPr>
        <w:fldChar w:fldCharType="begin"/>
      </w:r>
      <w:r w:rsidR="00331A79">
        <w:rPr>
          <w:lang w:val="en-GB"/>
        </w:rPr>
        <w:instrText xml:space="preserve"> ADDIN ZOTERO_ITEM CSL_CITATION {"citationID":"IEF1TUFx","properties":{"formattedCitation":"(Abatzoglou &amp; Williams, 2016; S. E. Mueller et al., 2020)","plainCitation":"(Abatzoglou &amp; Williams, 2016; S. E. Mueller et al., 2020)","noteIndex":0},"citationItems":[{"id":12580,"uris":["http://zotero.org/groups/2352922/items/KPSL7M9X"],"itemData":{"id":12580,"type":"article-journal","container-title":"Proceedings of the National Academy of Sciences","DOI":"10.1073/pnas.1607171113","ISSN":"0027-8424, 1091-6490","issue":"42","journalAbbreviation":"Proc Natl Acad Sci USA","language":"en","page":"11770-11775","source":"DOI.org (Crossref)","title":"Impact of anthropogenic climate change on wildfire across western US forests","URL":"http://www.pnas.org/lookup/doi/10.1073/pnas.1607171113","volume":"113","author":[{"family":"Abatzoglou","given":"John T."},{"family":"Williams","given":"A. Park"}],"accessed":{"date-parts":[["2019",10,23]]},"issued":{"date-parts":[["2016",10,18]]}},"label":"page"},{"id":21838,"uris":["http://zotero.org/groups/2352922/items/BENGQGY9"],"itemData":{"id":21838,"type":"article-journal","abstract":"Over the last several decades in forest and woodland ecosystems of the southwestern United States, wildfire size and severity have increased, thereby increasing the vulnerability of these systems to type conversions, invasive species, and other disturbances. A combination of land use history and climate change is widely thought to be contributing to the changing fire regimes. We examined climate-fire relationships in forest and woodland ecosystems from 1984 to 2015 in Arizona and New Mexico using 1) an expanded satellite-derived burn severity dataset that incorporates over one million additional burned hectares when compared to MTBS data, and 2) climate variables including temperature, precipitation, and vapor pressure deficit (VPD). Regional climate-fire relationships were assessed by correlating annual area burned, area burned at high and low severity, and percent high severity with fire season (May-August) and water-year (October-September) climate variables. We also analyzed relationships between climate and high-severity fire at the scale of the individual fire using a hurdle model. We found that increasing temperature and VPD and decreasing precipitation were associated with increasing area burned regionally, and that area burned at high severity had the strongest relationships with climate metrics. The relationship between climate and fire activity in the Southwest appears to be strengthening since 2000. VPD-fire correlations were consistently as strong as, or stronger than, temperature or precipitation variables alone, both regionally and at the scale of the individual fire. Notably, at the scale of the individual fire, temperature and precipitation were not significant predictors of fire activity. Thus, our results support the use of VPD as a more integrative climate metric to forecast fire activity. We suggest that the strong relationship between VPD and fire activity may be useful to assess the likelihood of high-severity fire occurrence through continued development of the high-severity fire threshold model we present. The link between increasing aridity and increasing wildfire activity suggests a future with more fire in Southwest forests and woodlands with projected warming, underscoring the urgency of restoration in dry forests to reduce the likelihood of uncharacteristic, large high-severity fires.","container-title":"Forest Ecology and Management","DOI":"10.1016/j.foreco.2019.117861","ISSN":"0378-1127","journalAbbreviation":"Forest Ecology and Management","language":"en","page":"117861","source":"ScienceDirect","title":"Climate relationships with increasing wildfire in the southwestern US from 1984 to 2015","URL":"http://www.sciencedirect.com/science/article/pii/S0378112719314744","volume":"460","author":[{"family":"Mueller","given":"Stephanie E."},{"family":"Thode","given":"Andrea E."},{"family":"Margolis","given":"Ellis Q."},{"family":"Yocom","given":"Larissa L."},{"family":"Young","given":"Jesse D."},{"family":"Iniguez","given":"Jose M."}],"accessed":{"date-parts":[["2020",3,23]]},"issued":{"date-parts":[["2020",3,15]]}},"label":"page"}],"schema":"https://github.com/citation-style-language/schema/raw/master/csl-citation.json"} </w:instrText>
      </w:r>
      <w:r w:rsidR="000B5C16" w:rsidRPr="00DA249F">
        <w:rPr>
          <w:lang w:val="en-GB"/>
        </w:rPr>
        <w:fldChar w:fldCharType="separate"/>
      </w:r>
      <w:r w:rsidR="00144D96" w:rsidRPr="00144D96">
        <w:t>(Abatzoglou &amp; Williams, 2016; S. E. Mueller et al., 2020)</w:t>
      </w:r>
      <w:r w:rsidR="000B5C16" w:rsidRPr="00DA249F">
        <w:rPr>
          <w:lang w:val="en-GB"/>
        </w:rPr>
        <w:fldChar w:fldCharType="end"/>
      </w:r>
      <w:r w:rsidR="000B5C16" w:rsidRPr="00DA249F">
        <w:rPr>
          <w:lang w:val="en-GB"/>
        </w:rPr>
        <w:t>. Likewise, recent increases in fire frequency and severity in eastern Australia, including the unprecedented estimated area of over 10 million h</w:t>
      </w:r>
      <w:r w:rsidR="00E26A75">
        <w:rPr>
          <w:lang w:val="en-GB"/>
        </w:rPr>
        <w:t>ect</w:t>
      </w:r>
      <w:r w:rsidR="000B5C16" w:rsidRPr="00DA249F">
        <w:rPr>
          <w:lang w:val="en-GB"/>
        </w:rPr>
        <w:t>a</w:t>
      </w:r>
      <w:r w:rsidR="00E26A75">
        <w:rPr>
          <w:lang w:val="en-GB"/>
        </w:rPr>
        <w:t>res</w:t>
      </w:r>
      <w:r w:rsidR="000B5C16" w:rsidRPr="00DA249F">
        <w:rPr>
          <w:lang w:val="en-GB"/>
        </w:rPr>
        <w:t xml:space="preserve"> burnt during the 2019-2020 season </w:t>
      </w:r>
      <w:r w:rsidR="000B5C16" w:rsidRPr="00DA249F">
        <w:rPr>
          <w:lang w:val="en-GB"/>
        </w:rPr>
        <w:fldChar w:fldCharType="begin"/>
      </w:r>
      <w:r w:rsidR="00331A79">
        <w:rPr>
          <w:lang w:val="en-GB"/>
        </w:rPr>
        <w:instrText xml:space="preserve"> ADDIN ZOTERO_ITEM CSL_CITATION {"citationID":"WEBkAeX8","properties":{"formattedCitation":"(Boer et al., 2020; R. H. Nolan et al., 2020)","plainCitation":"(Boer et al., 2020; R. H. Nolan et al., 2020)","noteIndex":0},"citationItems":[{"id":21848,"uris":["http://zotero.org/groups/2352922/items/R9EMC4B2"],"itemData":{"id":21848,"type":"article-journal","container-title":"Nature Climate Change","DOI":"10.1038/s41558-020-0716-1","ISSN":"1758-6798","issue":"3","journalAbbreviation":"Nat. Clim. Chang.","language":"en","license":"2020 Springer Nature Limited","note":"number: 3\npublisher: Nature Publishing Group","page":"171-172","source":"www.nature.com","title":"Unprecedented burn area of Australian mega forest fires","URL":"https://www.nature.com/articles/s41558-020-0716-1","volume":"10","author":[{"family":"Boer","given":"Matthias M."},{"family":"Dios","given":"Víctor Resco","dropping-particle":"de"},{"family":"Bradstock","given":"Ross A."}],"accessed":{"date-parts":[["2020",3,22]]},"issued":{"date-parts":[["2020",3]]}},"label":"page"},{"id":10230,"uris":["http://zotero.org/groups/2352922/items/HTI7CTCI"],"itemData":{"id":10230,"type":"article-journal","abstract":"See Letter to the Editor on this article by Adam et al., 26, 3756–3758. See also Response to the Letter by Bradstock et al., 26, e8–e9.","container-title":"Global Change Biology","DOI":"10.1111/gcb.14987","ISSN":"1365-2486","issue":"3","language":"en","note":"_eprint: https://onlinelibrary.wiley.com/doi/pdf/10.1111/gcb.14987","page":"1039-1041","source":"Wiley Online Library","title":"Causes and consequences of eastern Australia's 2019–20 season of mega-fires","URL":"https://onlinelibrary.wiley.com/doi/abs/10.1111/gcb.14987","volume":"26","author":[{"family":"Nolan","given":"Rachael H."},{"family":"Boer","given":"Matthias M."},{"family":"Collins","given":"Luke"},{"family":"Resco de Dios","given":"Víctor"},{"family":"Clarke","given":"Hamish"},{"family":"Jenkins","given":"Meaghan"},{"family":"Kenny","given":"Belinda"},{"family":"Bradstock","given":"Ross A."}],"accessed":{"date-parts":[["2021",10,25]]},"issued":{"date-parts":[["2020"]]}},"label":"page"}],"schema":"https://github.com/citation-style-language/schema/raw/master/csl-citation.json"} </w:instrText>
      </w:r>
      <w:r w:rsidR="000B5C16" w:rsidRPr="00DA249F">
        <w:rPr>
          <w:lang w:val="en-GB"/>
        </w:rPr>
        <w:fldChar w:fldCharType="separate"/>
      </w:r>
      <w:r w:rsidR="00144D96" w:rsidRPr="00144D96">
        <w:t>(Boer et al., 2020; R. H. Nolan et al., 2020)</w:t>
      </w:r>
      <w:r w:rsidR="000B5C16" w:rsidRPr="00DA249F">
        <w:rPr>
          <w:lang w:val="en-GB"/>
        </w:rPr>
        <w:fldChar w:fldCharType="end"/>
      </w:r>
      <w:r w:rsidR="000B5C16" w:rsidRPr="00DA249F">
        <w:rPr>
          <w:lang w:val="en-GB"/>
        </w:rPr>
        <w:t xml:space="preserve">, are consistent with predicted changes in the fire regime under climate change </w:t>
      </w:r>
      <w:r w:rsidR="000B5C16" w:rsidRPr="00DA249F">
        <w:rPr>
          <w:lang w:val="en-GB"/>
        </w:rPr>
        <w:fldChar w:fldCharType="begin"/>
      </w:r>
      <w:r w:rsidR="00F5121E">
        <w:rPr>
          <w:lang w:val="en-GB"/>
        </w:rPr>
        <w:instrText xml:space="preserve"> ADDIN ZOTERO_ITEM CSL_CITATION {"citationID":"gFgIY5lr","properties":{"formattedCitation":"(Clarke &amp; Evans, 2019; Lewis et al., 2019)","plainCitation":"(Clarke &amp; Evans, 2019; Lewis et al., 2019)","noteIndex":0},"citationItems":[{"id":21845,"uris":["http://zotero.org/groups/2352922/items/6WTCNFFY"],"itemData":{"id":21845,"type":"article-journal","container-title":"Bulletin of the American Meteorological Society","issue":"1","note":"ISBN: 0003-0007","page":"S115-S122","title":"Deconstructing factors contributing to the 2018 fire weather in Queensland, Australia","URL":"https://www.jstor.org/stable/27032754","volume":"10","author":[{"family":"Lewis","given":"Sophie C."},{"family":"Blake","given":"Stephanie AP"},{"family":"Trewin","given":"Blair"},{"family":"Black","given":"Mitchell T."},{"family":"Dowdy","given":"Andrew J."},{"family":"Perkins-Kirkpatrick","given":"Sarah E."},{"family":"King","given":"Andrew D."},{"family":"Sharples","given":"Jason J."}],"issued":{"date-parts":[["2019"]]}},"label":"page"},{"id":21849,"uris":["http://zotero.org/groups/2352922/items/TD6M6YS8"],"itemData":{"id":21849,"type":"article-journal","abstract":"High-resolution projections of climate change impacts on fire weather conditions in southeast Australia out to 2080 are presented. Fire weather is represented by the McArthur Forest Fire Danger Index (FFDI), calculated from an objectively designed regional climate model ensemble. Changes in annual cumulative FFDI vary widely, from − 337 (− 21%) to + 657 (+ 24%) in coastal areas and − 237 (− 12%) to + 1143 (+ 26%) in inland areas. A similar spread is projected in extreme FFDI values. In coastal regions, the number of prescribed burning days is projected to change from − 11 to + 10 in autumn and − 10 to + 3 in spring. Across the ensemble, the most significant increases in fire weather and decreases in prescribed burn windows are projected to take place in spring. Partial bias correction of FFDI leads to similar projections but with a greater spread, particularly in extreme values. The partially bias-corrected FFDI performs similarly to uncorrected FFDI compared to the observed annual cumulative FFDI (ensemble root mean square error spans 540 to 1583 for uncorrected output and 695 to 1398 for corrected) but is generally worse for FFDI values above 50. This emphasizes the need to consider inter-variable relationships when bias-correcting for complex phenomena such as fire weather. There is considerable uncertainty in the future trajectory of fire weather in southeast Australia, including the potential for less prescribed burning days and substantially greater fire danger in spring. Selecting climate models on the basis of multiple criteria can lead to more informative projections and allow an explicit exploration of uncertainty.","container-title":"Theoretical and Applied Climatology","DOI":"10.1007/s00704-018-2507-4","ISSN":"1434-4483","issue":"1","journalAbbreviation":"Theor Appl Climatol","language":"en","page":"513-527","source":"Springer Link","title":"Exploring the future change space for fire weather in southeast Australia","URL":"https://doi.org/10.1007/s00704-018-2507-4","volume":"136","author":[{"family":"Clarke","given":"Hamish"},{"family":"Evans","given":"Jason P."}],"accessed":{"date-parts":[["2020",3,22]]},"issued":{"date-parts":[["2019",4,1]]}},"label":"page"}],"schema":"https://github.com/citation-style-language/schema/raw/master/csl-citation.json"} </w:instrText>
      </w:r>
      <w:r w:rsidR="000B5C16" w:rsidRPr="00DA249F">
        <w:rPr>
          <w:lang w:val="en-GB"/>
        </w:rPr>
        <w:fldChar w:fldCharType="separate"/>
      </w:r>
      <w:r w:rsidR="00144D96" w:rsidRPr="00144D96">
        <w:t>(Clarke &amp; Evans, 2019; Lewis et al., 2019)</w:t>
      </w:r>
      <w:r w:rsidR="000B5C16" w:rsidRPr="00DA249F">
        <w:rPr>
          <w:lang w:val="en-GB"/>
        </w:rPr>
        <w:fldChar w:fldCharType="end"/>
      </w:r>
      <w:r w:rsidR="000B5C16" w:rsidRPr="00DA249F">
        <w:rPr>
          <w:lang w:val="en-GB"/>
        </w:rPr>
        <w:t xml:space="preserve">. </w:t>
      </w:r>
    </w:p>
    <w:p w14:paraId="7DA3E71C" w14:textId="71A08662" w:rsidR="00481FAB" w:rsidRPr="00DA249F" w:rsidRDefault="005926B9" w:rsidP="00F4474D">
      <w:pPr>
        <w:rPr>
          <w:lang w:val="en-GB"/>
        </w:rPr>
      </w:pPr>
      <w:r w:rsidRPr="00DA249F">
        <w:rPr>
          <w:lang w:val="en-GB"/>
        </w:rPr>
        <w:t>Fire may facilitate</w:t>
      </w:r>
      <w:r w:rsidR="008C1BF7" w:rsidRPr="00DA249F">
        <w:rPr>
          <w:lang w:val="en-GB"/>
        </w:rPr>
        <w:t xml:space="preserve"> establishment and spread of invasive </w:t>
      </w:r>
      <w:r w:rsidR="00B31CB6" w:rsidRPr="00DA249F">
        <w:rPr>
          <w:lang w:val="en-GB"/>
        </w:rPr>
        <w:t xml:space="preserve">alien </w:t>
      </w:r>
      <w:r w:rsidR="008C1BF7" w:rsidRPr="00DA249F">
        <w:rPr>
          <w:lang w:val="en-GB"/>
        </w:rPr>
        <w:t>plan</w:t>
      </w:r>
      <w:r w:rsidR="00C24087" w:rsidRPr="00DA249F">
        <w:rPr>
          <w:lang w:val="en-GB"/>
        </w:rPr>
        <w:t>t</w:t>
      </w:r>
      <w:r w:rsidR="00B31CB6" w:rsidRPr="00DA249F">
        <w:rPr>
          <w:lang w:val="en-GB"/>
        </w:rPr>
        <w:t>s</w:t>
      </w:r>
      <w:r w:rsidR="00C24087" w:rsidRPr="00DA249F">
        <w:rPr>
          <w:lang w:val="en-GB"/>
        </w:rPr>
        <w:t xml:space="preserve"> </w:t>
      </w:r>
      <w:r w:rsidRPr="00DA249F">
        <w:rPr>
          <w:lang w:val="en-GB"/>
        </w:rPr>
        <w:t>that</w:t>
      </w:r>
      <w:r w:rsidR="008C1BF7" w:rsidRPr="00DA249F">
        <w:rPr>
          <w:lang w:val="en-GB"/>
        </w:rPr>
        <w:t xml:space="preserve"> exhibit highly effective post-fire regeneration</w:t>
      </w:r>
      <w:r w:rsidRPr="00DA249F">
        <w:rPr>
          <w:lang w:val="en-GB"/>
        </w:rPr>
        <w:t>,</w:t>
      </w:r>
      <w:r w:rsidR="008C1BF7" w:rsidRPr="00DA249F">
        <w:rPr>
          <w:lang w:val="en-GB"/>
        </w:rPr>
        <w:t xml:space="preserve"> and presence </w:t>
      </w:r>
      <w:r w:rsidR="00ED145B">
        <w:rPr>
          <w:lang w:val="en-GB"/>
        </w:rPr>
        <w:t xml:space="preserve">of these species </w:t>
      </w:r>
      <w:r w:rsidRPr="00DA249F">
        <w:rPr>
          <w:lang w:val="en-GB"/>
        </w:rPr>
        <w:t xml:space="preserve">may in turn </w:t>
      </w:r>
      <w:r w:rsidR="008C1BF7" w:rsidRPr="00DA249F">
        <w:rPr>
          <w:lang w:val="en-GB"/>
        </w:rPr>
        <w:t xml:space="preserve">lead to changes in fuel properties </w:t>
      </w:r>
      <w:r w:rsidR="008C1BF7" w:rsidRPr="00DA249F">
        <w:rPr>
          <w:lang w:val="en-GB"/>
        </w:rPr>
        <w:lastRenderedPageBreak/>
        <w:t xml:space="preserve">that ultimately increase fire activity, thus promoting positive feedback mechanisms to the detriment of native species </w:t>
      </w:r>
      <w:r w:rsidR="008C1BF7" w:rsidRPr="00DA249F">
        <w:rPr>
          <w:lang w:val="en-GB"/>
        </w:rPr>
        <w:fldChar w:fldCharType="begin"/>
      </w:r>
      <w:r w:rsidR="00F5121E">
        <w:rPr>
          <w:lang w:val="en-GB"/>
        </w:rPr>
        <w:instrText xml:space="preserve"> ADDIN ZOTERO_ITEM CSL_CITATION {"citationID":"eIncCuw1","properties":{"formattedCitation":"(Aslan &amp; Dickson, 2020; Brooks et al., 2004; Gaertner et al., 2014; Rodewald &amp; Arcese, 2016; Serbesoff-King, 2003; see section 4.3.1 in Chapter 4)","plainCitation":"(Aslan &amp; Dickson, 2020; Brooks et al., 2004; Gaertner et al., 2014; Rodewald &amp; Arcese, 2016; Serbesoff-King, 2003; see section 4.3.1 in Chapter 4)","dontUpdate":true,"noteIndex":0},"citationItems":[{"id":10232,"uris":["http://zotero.org/groups/2352922/items/KS4QVYS8"],"itemData":{"id":10232,"type":"article-journal","abstract":"Altered fire regimes are among the most destructive consequences of anthropogenic environmental change. Fires have increased in frequency in some regions, and invasion by fire-adapted non-native species has been identified as a major driver of this change, which results in a feedback cycle promoting further spread by the non-native species and diminishing occurrence of natives. We notice, however, that non-native species are often invoked in passing as a primary cause of changing fire dynamics, but that data supporting this claim are rarely presented. We therefore performed a meta-analysis of published literature to determine whether a significant relationship exists between non-native species presence and increased fire effects and risk, examined via various fire metrics. Our analysis detected a strongly significant difference between fire metrics associated with non-native and native species, with non-native species linked to enhanced fire effects and risk. However, only 30 papers discussing this linkage provided data to support it, and those quantitative studies examined only eight regions, five biome types, and a total of 22 unique non-native taxa. It is clear that we are only beginning to understand the relationship between non-native species and fire and that results drawn from an extremely limited set of contexts have been broadly applied in the literature. It is important for ecologists to continue to investigate drivers of changing fire regimes as factors such as climate change and land use change alter native and non-native fuels alike.","container-title":"NeoBiota","DOI":"10.3897/neobiota.61.51141","ISSN":"1314-2488","language":"en","license":"2021 Clare E. Aslan, Brett G. Dickson","note":"publisher: Pensoft Publishers","page":"47-64","source":"neobiota.pensoft.net","title":"Non-native plants exert strong but under-studied influence on fire dynamics","URL":"https://neobiota.pensoft.net/article/51141/","volume":"61","author":[{"family":"Aslan","given":"Clare E."},{"family":"Dickson","given":"Brett G."}],"accessed":{"date-parts":[["2021",10,25]]},"issued":{"date-parts":[["2020",8,10]]}},"label":"page"},{"id":33016,"uris":["http://zotero.org/groups/2352922/items/LWE6PBMS"],"itemData":{"id":33016,"type":"article-journal","abstract":"Abstract.  Plant invasions are widely recognized as significant threats to biodiversity conservation worldwide. One way invasions can affect native ecosystems i","container-title":"BioScience","DOI":"10.1641/0006-3568(2004)054[0677:EOIAPO]2.0.CO;2","ISSN":"0006-3568","issue":"7","journalAbbreviation":"BioScience","language":"en","note":"number: 7\ncontainer-title: BioScience","page":"677-688","source":"academic.oup.com","title":"Effects of Invasive Alien Plants on Fire Regimes","URL":"https://academic.oup.com/bioscience/article/54/7/677/223532","volume":"54","author":[{"family":"Brooks","given":"Matthew L."},{"family":"D'Antonio","given":"Carla M."},{"family":"Richardson","given":"David M."},{"family":"Grace","given":"James B."},{"family":"Keeley","given":"Jon E."},{"family":"DiTomaso","given":"Joseph M."},{"family":"Hobbs","given":"Richard J."},{"family":"Pellant","given":"Mike"},{"family":"Pyke","given":"David"}],"accessed":{"date-parts":[["2019",12,6]]},"issued":{"date-parts":[["2004",7,1]]}},"label":"page"},{"id":30454,"uris":["http://zotero.org/groups/2352922/items/4S6AVSNH"],"itemData":{"id":30454,"type":"article-journal","container-title":"Diversity and Distributions","DOI":"10.1111/ddi.12182","ISSN":"13669516","issue":"7","journalAbbreviation":"Diversity Distrib.","language":"en","page":"733-744","source":"DOI.org (Crossref)","title":"Invasive plants as drivers of regime shifts: identifying high-priority invaders that alter feedback relationships","title-short":"Invasive plants as drivers of regime shifts","URL":"https://onlinelibrary.wiley.com/doi/10.1111/ddi.12182","volume":"20","author":[{"family":"Gaertner","given":"Mirijam"},{"family":"Biggs","given":"Reinette"},{"family":"Te Beest","given":"Mariska"},{"family":"Hui","given":"Cang"},{"family":"Molofsky","given":"Jane"},{"family":"Richardson","given":"David M."}],"editor":[{"family":"Kühn","given":"Ingolf"}],"accessed":{"date-parts":[["2021",8,23]]},"issued":{"date-parts":[["2014",7]]}},"label":"page"},{"id":12538,"uris":["http://zotero.org/groups/2352922/items/XAKEJXCG"],"itemData":{"id":12538,"type":"article-journal","abstract":"We reviewed recent literature to evaluate interactions between landscape structure (i.e., composition and configuration of landscapes) and overabundant and/or invasive species or “undesirable” species. Undesirable species are strongly associated with fragmented landscapes, especially those with linearly arranged elements to facilitate dispersal, and with land uses that serve as population sources. In some cases, structural legacies, such as land use histories, were as important as current landscape patterns. Many undesirable species also influenced landscape structure by altering disturbance regimes via a wide range of abiotic and biotic mechanisms, including by affecting abundance of keystone, foundation or engineering species at landscape scales, and by changing species interactions in ways that prompted community-level changes. In some instances, the effects of species on landscapes facilitated invasion and/or population growth to establish positive feedback cycles. Understanding the reciprocal effects of landscape pattern on invasive and overabundant species can help guide effective management strategies by increasing the cost-efficiency of conservation investments and prioritizing conservation actions.","container-title":"Current Landscape Ecology Reports","DOI":"10.1007/s40823-016-0004-y","ISSN":"2364-494X","issue":"1","journalAbbreviation":"Curr Landscape Ecol Rep","language":"en","page":"30-39","source":"Springer Link","title":"Direct and Indirect Interactions between Landscape Structure and Invasive or Overabundant Species","URL":"https://doi.org/10.1007/s40823-016-0004-y","volume":"1","author":[{"family":"Rodewald","given":"Amanda D."},{"family":"Arcese","given":"Peter"}],"accessed":{"date-parts":[["2019",11,24]]},"issued":{"date-parts":[["2016",3,1]]}},"label":"page"},{"id":10231,"uris":["http://zotero.org/groups/2352922/items/SSNALLAN"],"itemData":{"id":10231,"type":"article-journal","container-title":"Journal of Aquatic Plant Management","language":"en","page":"15","source":"Zotero","title":"Melaleuca in Florida: A Literature Review on the Taxonomy, Distribution, Biology, Ecology, Economic Importance and Control Measures","volume":"41","author":[{"family":"Serbesoff-King","given":"Kristina"}],"issued":{"date-parts":[["2003"]]}},"label":"page","suffix":"; see section 4.3.1 in Chapter 4"}],"schema":"https://github.com/citation-style-language/schema/raw/master/csl-citation.json"} </w:instrText>
      </w:r>
      <w:r w:rsidR="008C1BF7" w:rsidRPr="00DA249F">
        <w:rPr>
          <w:lang w:val="en-GB"/>
        </w:rPr>
        <w:fldChar w:fldCharType="separate"/>
      </w:r>
      <w:r w:rsidR="00542CA0" w:rsidRPr="00DA249F">
        <w:rPr>
          <w:lang w:val="en-GB"/>
        </w:rPr>
        <w:t>(Aslan &amp; Dickson, 2020; Brooks et al., 2004; Gaertner et al., 2014; Rodewald &amp; Arcese, 2016; Serbesoff-King, 2003</w:t>
      </w:r>
      <w:r w:rsidR="008C1BF7" w:rsidRPr="00DA249F">
        <w:rPr>
          <w:lang w:val="en-GB"/>
        </w:rPr>
        <w:fldChar w:fldCharType="end"/>
      </w:r>
      <w:r w:rsidR="005F75D8" w:rsidRPr="00DA249F">
        <w:rPr>
          <w:lang w:val="en-GB"/>
        </w:rPr>
        <w:t xml:space="preserve">; </w:t>
      </w:r>
      <w:r w:rsidR="0040355F">
        <w:rPr>
          <w:b/>
          <w:lang w:val="en-GB"/>
        </w:rPr>
        <w:t>C</w:t>
      </w:r>
      <w:r w:rsidR="00414169" w:rsidRPr="0040355F">
        <w:rPr>
          <w:b/>
          <w:lang w:val="en-GB"/>
        </w:rPr>
        <w:t>hapter 1</w:t>
      </w:r>
      <w:r w:rsidR="00414169" w:rsidRPr="0040355F">
        <w:rPr>
          <w:lang w:val="en-GB"/>
        </w:rPr>
        <w:t>,</w:t>
      </w:r>
      <w:r w:rsidR="00414169" w:rsidRPr="0040355F">
        <w:rPr>
          <w:b/>
          <w:lang w:val="en-GB"/>
        </w:rPr>
        <w:t xml:space="preserve"> </w:t>
      </w:r>
      <w:r w:rsidR="00E23B69">
        <w:rPr>
          <w:b/>
          <w:lang w:val="en-GB"/>
        </w:rPr>
        <w:t>Box</w:t>
      </w:r>
      <w:r w:rsidR="00414169" w:rsidRPr="0040355F">
        <w:rPr>
          <w:b/>
          <w:lang w:val="en-GB"/>
        </w:rPr>
        <w:t xml:space="preserve"> 1.4</w:t>
      </w:r>
      <w:r w:rsidR="00414169" w:rsidRPr="0040355F">
        <w:rPr>
          <w:iCs/>
          <w:lang w:val="en-GB"/>
        </w:rPr>
        <w:t>;</w:t>
      </w:r>
      <w:r w:rsidR="00414169" w:rsidRPr="0040355F">
        <w:rPr>
          <w:b/>
          <w:iCs/>
          <w:lang w:val="en-GB"/>
        </w:rPr>
        <w:t xml:space="preserve"> </w:t>
      </w:r>
      <w:r w:rsidR="0040355F">
        <w:rPr>
          <w:b/>
          <w:iCs/>
          <w:lang w:val="en-GB"/>
        </w:rPr>
        <w:t>C</w:t>
      </w:r>
      <w:r w:rsidR="005F75D8" w:rsidRPr="0040355F">
        <w:rPr>
          <w:b/>
          <w:iCs/>
          <w:lang w:val="en-GB"/>
        </w:rPr>
        <w:t>hapter 4</w:t>
      </w:r>
      <w:r w:rsidR="005F75D8" w:rsidRPr="0040355F">
        <w:rPr>
          <w:iCs/>
          <w:lang w:val="en-GB"/>
        </w:rPr>
        <w:t>,</w:t>
      </w:r>
      <w:r w:rsidR="005F75D8" w:rsidRPr="0040355F">
        <w:rPr>
          <w:b/>
          <w:iCs/>
          <w:lang w:val="en-GB"/>
        </w:rPr>
        <w:t xml:space="preserve"> </w:t>
      </w:r>
      <w:r w:rsidR="00E23B69">
        <w:rPr>
          <w:b/>
          <w:lang w:val="en-GB"/>
        </w:rPr>
        <w:t>Box</w:t>
      </w:r>
      <w:r w:rsidR="00CF7203" w:rsidRPr="0040355F">
        <w:rPr>
          <w:b/>
          <w:lang w:val="en-GB"/>
        </w:rPr>
        <w:t xml:space="preserve"> 4.5</w:t>
      </w:r>
      <w:r w:rsidR="005F75D8" w:rsidRPr="00DA249F">
        <w:rPr>
          <w:lang w:val="en-GB"/>
        </w:rPr>
        <w:t>)</w:t>
      </w:r>
      <w:r w:rsidR="008C1BF7" w:rsidRPr="00DA249F">
        <w:rPr>
          <w:lang w:val="en-GB"/>
        </w:rPr>
        <w:t>.</w:t>
      </w:r>
      <w:r w:rsidR="00066BF9" w:rsidRPr="00DA249F">
        <w:rPr>
          <w:lang w:val="en-GB"/>
        </w:rPr>
        <w:t xml:space="preserve"> </w:t>
      </w:r>
      <w:r w:rsidR="715CDE80" w:rsidRPr="00DA249F">
        <w:rPr>
          <w:lang w:val="en-GB"/>
        </w:rPr>
        <w:t>Accordingly, by leading</w:t>
      </w:r>
      <w:r w:rsidR="008C1BF7" w:rsidRPr="00DA249F">
        <w:rPr>
          <w:lang w:val="en-GB"/>
        </w:rPr>
        <w:t xml:space="preserve"> to</w:t>
      </w:r>
      <w:r w:rsidR="00066BF9" w:rsidRPr="00DA249F">
        <w:rPr>
          <w:lang w:val="en-GB"/>
        </w:rPr>
        <w:t xml:space="preserve"> </w:t>
      </w:r>
      <w:r w:rsidR="008C1BF7" w:rsidRPr="00DA249F">
        <w:rPr>
          <w:lang w:val="en-GB"/>
        </w:rPr>
        <w:t>longer fire seasons, shorter fire return intervals and/or higher fire intensity</w:t>
      </w:r>
      <w:r w:rsidR="00FA5B2F" w:rsidRPr="00DA249F">
        <w:rPr>
          <w:lang w:val="en-GB"/>
        </w:rPr>
        <w:t xml:space="preserve"> than were previously encountered</w:t>
      </w:r>
      <w:r w:rsidR="008C1BF7" w:rsidRPr="00DA249F">
        <w:rPr>
          <w:lang w:val="en-GB"/>
        </w:rPr>
        <w:t xml:space="preserve">, </w:t>
      </w:r>
      <w:r w:rsidR="60695209" w:rsidRPr="00DA249F">
        <w:rPr>
          <w:lang w:val="en-GB"/>
        </w:rPr>
        <w:t>climate change may</w:t>
      </w:r>
      <w:r w:rsidR="008C1BF7" w:rsidRPr="00DA249F" w:rsidDel="008C1BF7">
        <w:rPr>
          <w:lang w:val="en-GB"/>
        </w:rPr>
        <w:t xml:space="preserve"> </w:t>
      </w:r>
      <w:r w:rsidR="4131BB59" w:rsidRPr="00DA249F">
        <w:rPr>
          <w:lang w:val="en-GB"/>
        </w:rPr>
        <w:t>favour the establishment and spread of</w:t>
      </w:r>
      <w:r w:rsidR="008C1BF7" w:rsidRPr="00DA249F">
        <w:rPr>
          <w:lang w:val="en-GB"/>
        </w:rPr>
        <w:t xml:space="preserve"> fire-adapted </w:t>
      </w:r>
      <w:r w:rsidR="00B33723" w:rsidRPr="00DA249F">
        <w:rPr>
          <w:lang w:val="en-GB"/>
        </w:rPr>
        <w:t xml:space="preserve">invasive alien species </w:t>
      </w:r>
      <w:r w:rsidR="008C1BF7" w:rsidRPr="00DA249F">
        <w:rPr>
          <w:lang w:val="en-GB"/>
        </w:rPr>
        <w:fldChar w:fldCharType="begin"/>
      </w:r>
      <w:r w:rsidR="00331A79">
        <w:rPr>
          <w:lang w:val="en-GB"/>
        </w:rPr>
        <w:instrText xml:space="preserve"> ADDIN ZOTERO_ITEM CSL_CITATION {"citationID":"dHtmOqDB","properties":{"formattedCitation":"(Abatzoglou &amp; Kolden, 2011)","plainCitation":"(Abatzoglou &amp; Kolden, 2011)","noteIndex":0},"citationItems":[{"id":23526,"uris":["http://zotero.org/groups/2352922/items/3XCCATCT"],"itemData":{"id":23526,"type":"article-journal","abstract":"Anthropogenic climate change is hypothesized to modify the spread of invasive annual grasses across the deserts of the western United States. The influence of climate change on future invasions depends on both climate suitability that defines a potential species range and the mechanisms that facilitate invasions and contractions. A suite of downscaled climate projections for the mid–21st century was used to examine changes in physically based mechanisms, including critical physiological temperature thresholds, the timing and availability of moisture, and the potential for large wildfires. Results suggest widespread changes in 1) the length of the freeze-free season that may favor cold-intolerant annual grasses, 2) changes in the frequency of wet winters that may alter the potential for establishment of invasive annual grasses, and 3) an earlier onset of fire season and a lengthening of the window during which conditions are conducive to fire ignition and growth furthering the fire-invasive feedback loop. We propose that a coupled approach combining bioclimatic envelope modeling with mechanistic modeling targeted to a given species can help land managers identify locations and species that pose the highest level of overall risk of conversion associated with the multiple stressors of climate change.","container-title":"Rangeland Ecology &amp; Management","DOI":"10.2111/REM-D-09-00151.1","ISSN":"15507424","issue":"5","journalAbbreviation":"Rangeland Ecology &amp; Management","language":"en","page":"471-478","source":"DOI.org (Crossref)","title":"Climate Change in Western US Deserts: Potential for Increased Wildfire and Invasive Annual Grasses","title-short":"Climate Change in Western US Deserts","URL":"https://doi.org/10.2111/REM-D-09-00151.1","volume":"64","author":[{"family":"Abatzoglou","given":"John T."},{"family":"Kolden","given":"Crystal A."}],"accessed":{"date-parts":[["2019",9,26]]},"issued":{"date-parts":[["2011",9]]}},"label":"page"}],"schema":"https://github.com/citation-style-language/schema/raw/master/csl-citation.json"} </w:instrText>
      </w:r>
      <w:r w:rsidR="008C1BF7" w:rsidRPr="00DA249F">
        <w:rPr>
          <w:lang w:val="en-GB"/>
        </w:rPr>
        <w:fldChar w:fldCharType="separate"/>
      </w:r>
      <w:r w:rsidR="00144D96" w:rsidRPr="00144D96">
        <w:t>(Abatzoglou &amp; Kolden, 2011)</w:t>
      </w:r>
      <w:r w:rsidR="008C1BF7" w:rsidRPr="00DA249F">
        <w:rPr>
          <w:lang w:val="en-GB"/>
        </w:rPr>
        <w:fldChar w:fldCharType="end"/>
      </w:r>
      <w:r w:rsidR="008C1BF7" w:rsidRPr="00DA249F">
        <w:rPr>
          <w:lang w:val="en-GB"/>
        </w:rPr>
        <w:t>.</w:t>
      </w:r>
    </w:p>
    <w:p w14:paraId="13E62745" w14:textId="77777777" w:rsidR="3181BFE2" w:rsidRPr="00DA249F" w:rsidRDefault="1C4FF875" w:rsidP="00F4474D">
      <w:pPr>
        <w:rPr>
          <w:rFonts w:eastAsia="Times New Roman"/>
          <w:lang w:val="en-GB"/>
        </w:rPr>
      </w:pPr>
      <w:r w:rsidRPr="00DA249F">
        <w:rPr>
          <w:lang w:val="en-GB"/>
        </w:rPr>
        <w:t>The effect of climate change on fire regime</w:t>
      </w:r>
      <w:r w:rsidR="0067435E" w:rsidRPr="00DA249F">
        <w:rPr>
          <w:lang w:val="en-GB"/>
        </w:rPr>
        <w:t>s</w:t>
      </w:r>
      <w:r w:rsidRPr="00DA249F">
        <w:rPr>
          <w:lang w:val="en-GB"/>
        </w:rPr>
        <w:t xml:space="preserve"> will likely be intensified in the future and drive the spread of </w:t>
      </w:r>
      <w:r w:rsidR="003F2D42" w:rsidRPr="00DA249F">
        <w:rPr>
          <w:i/>
          <w:lang w:val="en-GB"/>
        </w:rPr>
        <w:t>Bromus tectorum</w:t>
      </w:r>
      <w:r w:rsidRPr="00DA249F">
        <w:rPr>
          <w:lang w:val="en-GB"/>
        </w:rPr>
        <w:t xml:space="preserve"> (</w:t>
      </w:r>
      <w:r w:rsidR="00632A72" w:rsidRPr="00DA249F">
        <w:rPr>
          <w:lang w:val="en-GB"/>
        </w:rPr>
        <w:t>downy brome</w:t>
      </w:r>
      <w:r w:rsidRPr="00DA249F">
        <w:rPr>
          <w:lang w:val="en-GB"/>
        </w:rPr>
        <w:t xml:space="preserve">) in deserts and Mediterranean ecosystems in the western </w:t>
      </w:r>
      <w:r w:rsidR="00BB24B2" w:rsidRPr="00DA249F">
        <w:rPr>
          <w:lang w:val="en-GB"/>
        </w:rPr>
        <w:t>United States</w:t>
      </w:r>
      <w:r w:rsidRPr="00DA249F">
        <w:rPr>
          <w:lang w:val="en-GB"/>
        </w:rPr>
        <w:t xml:space="preserve"> </w:t>
      </w:r>
      <w:r w:rsidRPr="00DA249F">
        <w:rPr>
          <w:lang w:val="en-GB"/>
        </w:rPr>
        <w:fldChar w:fldCharType="begin"/>
      </w:r>
      <w:r w:rsidR="00331A79">
        <w:rPr>
          <w:lang w:val="en-GB"/>
        </w:rPr>
        <w:instrText xml:space="preserve"> ADDIN ZOTERO_ITEM CSL_CITATION {"citationID":"U0cwU01R","properties":{"formattedCitation":"(Abatzoglou &amp; Kolden, 2011; Balch et al., 2013)","plainCitation":"(Abatzoglou &amp; Kolden, 2011; Balch et al., 2013)","noteIndex":0},"citationItems":[{"id":23526,"uris":["http://zotero.org/groups/2352922/items/3XCCATCT"],"itemData":{"id":23526,"type":"article-journal","abstract":"Anthropogenic climate change is hypothesized to modify the spread of invasive annual grasses across the deserts of the western United States. The influence of climate change on future invasions depends on both climate suitability that defines a potential species range and the mechanisms that facilitate invasions and contractions. A suite of downscaled climate projections for the mid–21st century was used to examine changes in physically based mechanisms, including critical physiological temperature thresholds, the timing and availability of moisture, and the potential for large wildfires. Results suggest widespread changes in 1) the length of the freeze-free season that may favor cold-intolerant annual grasses, 2) changes in the frequency of wet winters that may alter the potential for establishment of invasive annual grasses, and 3) an earlier onset of fire season and a lengthening of the window during which conditions are conducive to fire ignition and growth furthering the fire-invasive feedback loop. We propose that a coupled approach combining bioclimatic envelope modeling with mechanistic modeling targeted to a given species can help land managers identify locations and species that pose the highest level of overall risk of conversion associated with the multiple stressors of climate change.","container-title":"Rangeland Ecology &amp; Management","DOI":"10.2111/REM-D-09-00151.1","ISSN":"15507424","issue":"5","journalAbbreviation":"Rangeland Ecology &amp; Management","language":"en","page":"471-478","source":"DOI.org (Crossref)","title":"Climate Change in Western US Deserts: Potential for Increased Wildfire and Invasive Annual Grasses","title-short":"Climate Change in Western US Deserts","URL":"https://doi.org/10.2111/REM-D-09-00151.1","volume":"64","author":[{"family":"Abatzoglou","given":"John T."},{"family":"Kolden","given":"Crystal A."}],"accessed":{"date-parts":[["2019",9,26]]},"issued":{"date-parts":[["2011",9]]}}},{"id":15397,"uris":["http://zotero.org/groups/2352922/items/JQKYEDU7"],"itemData":{"id":15397,"type":"article-journal","abstract":"Non-native, invasive grasses have been linked to altered grass-ﬁre cycles worldwide. Although a few studies have quantiﬁed resulting changes in ﬁre activity at local scales, and many have speculated about larger scales, regional alterations to ﬁre regimes remain poorly documented. We assessed the inﬂuence of large-scale Bromus tectorum (hereafter cheatgrass) invasion on ﬁre size, duration, spread rate, and interannual variability in comparison to other prominent land cover classes across the Great Basin, USA. We compared regional land cover maps to burned area measured using the Moderate Resolution Imaging Spectroradiometer (MODIS) for 2000–2009 and to ﬁre extents recorded by the USGS registry of ﬁres from 1980 to 2009. Cheatgrass dominates at least 6% of the central Great Basin (650 000 km2). MODIS records show that 13% of these cheatgrass-dominated lands burned, resulting in a ﬁre return interval of 78 years for any given location within cheatgrass. This proportion was more than double the amount burned across all other vegetation types (range: 0.5–6% burned). During the 1990s, this difference was even more extreme, with cheatgrass burning nearly four times more frequently than any native vegetation type (16% of cheatgrass burned compared to 1–5% of native vegetation). Cheatgrass was also disproportionately represented in the largest ﬁres, comprising 24% of the land area of the 50 largest ﬁres recorded by MODIS during the 2000s. Furthermore, multi-date ﬁres that burned across multiple vegetation types were signiﬁcantly more likely to have started in cheatgrass. Finally, cheatgrass ﬁres showed a strong interannual response to wet years, a trend only weakly observed in native vegetation types. These results demonstrate that cheatgrass invasion has substantially altered the regional ﬁre regime. Although this result has been suspected by managers for decades, this study is the ﬁrst to document recent cheatgrass-driven ﬁre regimes at a regional scale.","container-title":"Global Change Biology","DOI":"10.1111/gcb.12046","ISSN":"13541013","issue":"1","journalAbbreviation":"Glob Change Biol","language":"en","page":"173-183","source":"DOI.org (Crossref)","title":"Introduced annual grass increases regional fire activity across the arid western USA (1980-2009)","URL":"http://doi.wiley.com/10.1111/gcb.12046","volume":"19","author":[{"family":"Balch","given":"Jennifer K."},{"family":"Bradley","given":"Bethany A."},{"family":"D'Antonio","given":"Carla M."},{"family":"Gómez-Dans","given":"José"}],"accessed":{"date-parts":[["2019",9,27]]},"issued":{"date-parts":[["2013",1]]}},"label":"page"}],"schema":"https://github.com/citation-style-language/schema/raw/master/csl-citation.json"} </w:instrText>
      </w:r>
      <w:r w:rsidRPr="00DA249F">
        <w:rPr>
          <w:lang w:val="en-GB"/>
        </w:rPr>
        <w:fldChar w:fldCharType="separate"/>
      </w:r>
      <w:r w:rsidR="00144D96" w:rsidRPr="00144D96">
        <w:t>(Abatzoglou &amp; Kolden, 2011; Balch et al., 2013)</w:t>
      </w:r>
      <w:r w:rsidRPr="00DA249F">
        <w:rPr>
          <w:lang w:val="en-GB"/>
        </w:rPr>
        <w:fldChar w:fldCharType="end"/>
      </w:r>
      <w:r w:rsidR="00ED145B">
        <w:rPr>
          <w:lang w:val="en-GB"/>
        </w:rPr>
        <w:t>.</w:t>
      </w:r>
      <w:r w:rsidRPr="00DA249F">
        <w:rPr>
          <w:lang w:val="en-GB"/>
        </w:rPr>
        <w:t xml:space="preserve"> </w:t>
      </w:r>
      <w:r w:rsidR="00ED145B">
        <w:rPr>
          <w:lang w:val="en-GB"/>
        </w:rPr>
        <w:t>H</w:t>
      </w:r>
      <w:r w:rsidRPr="00DA249F">
        <w:rPr>
          <w:lang w:val="en-GB"/>
        </w:rPr>
        <w:t xml:space="preserve">igher fire activity under climate change may also drive the spread of the African grass </w:t>
      </w:r>
      <w:r w:rsidRPr="00DA249F">
        <w:rPr>
          <w:i/>
          <w:iCs/>
          <w:lang w:val="en-GB"/>
        </w:rPr>
        <w:t>Cenchrus cilliaris</w:t>
      </w:r>
      <w:r w:rsidRPr="00DA249F">
        <w:rPr>
          <w:lang w:val="en-GB"/>
        </w:rPr>
        <w:t xml:space="preserve"> (</w:t>
      </w:r>
      <w:r w:rsidR="00DD5D87" w:rsidRPr="00DA249F">
        <w:rPr>
          <w:lang w:val="en-GB"/>
        </w:rPr>
        <w:t>b</w:t>
      </w:r>
      <w:r w:rsidRPr="00DA249F">
        <w:rPr>
          <w:lang w:val="en-GB"/>
        </w:rPr>
        <w:t>uffel</w:t>
      </w:r>
      <w:r w:rsidR="003E008F">
        <w:rPr>
          <w:lang w:val="en-GB"/>
        </w:rPr>
        <w:t xml:space="preserve"> </w:t>
      </w:r>
      <w:r w:rsidRPr="00DA249F">
        <w:rPr>
          <w:lang w:val="en-GB"/>
        </w:rPr>
        <w:t>grass) in</w:t>
      </w:r>
      <w:r w:rsidR="13037BD7" w:rsidRPr="00DA249F">
        <w:rPr>
          <w:lang w:val="en-GB"/>
        </w:rPr>
        <w:t xml:space="preserve"> </w:t>
      </w:r>
      <w:r w:rsidR="00ED145B">
        <w:rPr>
          <w:lang w:val="en-GB"/>
        </w:rPr>
        <w:t xml:space="preserve">the </w:t>
      </w:r>
      <w:r w:rsidRPr="00DA249F">
        <w:rPr>
          <w:lang w:val="en-GB"/>
        </w:rPr>
        <w:t xml:space="preserve">central rangelands and eastern woodlands </w:t>
      </w:r>
      <w:r w:rsidR="00ED145B">
        <w:rPr>
          <w:lang w:val="en-GB"/>
        </w:rPr>
        <w:t>of</w:t>
      </w:r>
      <w:r w:rsidRPr="00DA249F">
        <w:rPr>
          <w:lang w:val="en-GB"/>
        </w:rPr>
        <w:t xml:space="preserve"> Australia </w:t>
      </w:r>
      <w:r w:rsidRPr="00DA249F">
        <w:rPr>
          <w:lang w:val="en-GB"/>
        </w:rPr>
        <w:fldChar w:fldCharType="begin"/>
      </w:r>
      <w:r w:rsidR="00331A79">
        <w:rPr>
          <w:lang w:val="en-GB"/>
        </w:rPr>
        <w:instrText xml:space="preserve"> ADDIN ZOTERO_ITEM CSL_CITATION {"citationID":"gBZKr13T","properties":{"formattedCitation":"(D. W. Butler &amp; Fairfax, 2003; G. Miller et al., 2010)","plainCitation":"(D. W. Butler &amp; Fairfax, 2003; G. Miller et al., 2010)","noteIndex":0},"citationItems":[{"id":21839,"uris":["http://zotero.org/groups/2352922/items/3KCZI8KL"],"itemData":{"id":21839,"type":"article-journal","abstract":"The effects of a fire on plant community structure were examined in a remnant Gidgee (Acacia cambagei) and Brigalow (Acacia harpophylla) woodland infested with the naturalized exotic, Buffel Grass (Cenchrus ciliaris) in central Queensland. Fifteen months after the fire, burnt areas had about half the basal area of living trees and more than twice the cover of Buffel Grass and Parthenium Weed (Parthenium hysterophorus) as unburnt areas. This is consistent with the idea that Buffel Grass invasion, which increases ground fuel loads in Acacia woodlands, is facilitated by burning, producing positive feedback between Buffel Grass and fire. The result is accelerating remnant degradation, making the interaction between Buffel Grass and fire an important target for management measures. Fire-breaks and fuel reduction strategies including periodic intense grazing and canopy enhancement have potential to reduce the impact of Buffel Grass invasion, but long-term community survival will probably require effective control of Buffel Grass. The impact of weed invasion within remnant vegetation is clearly a complex issue but the simple ‘case study’ approach employed here can both increase and communicate understanding.","container-title":"Ecological Management &amp; Restoration","DOI":"10.1046/j.1442-8903.2003.00146.x","ISSN":"1442-8903","issue":"2","language":"en","note":"_eprint: https://onlinelibrary.wiley.com/doi/pdf/10.1046/j.1442-8903.2003.00146.x","page":"120-125","source":"Wiley Online Library","title":"Buffel Grass and fire in a Gidgee and Brigalow woodland: A case study from central Queensland","title-short":"Buffel Grass and fire in a Gidgee and Brigalow woodland","URL":"https://onlinelibrary.wiley.com/doi/abs/10.1046/j.1442-8903.2003.00146.x","volume":"4","author":[{"family":"Butler","given":"Don W."},{"family":"Fairfax","given":"Russell J."}],"accessed":{"date-parts":[["2020",3,23]]},"issued":{"date-parts":[["2003"]]}},"label":"page"},{"id":15409,"uris":["http://zotero.org/groups/2352922/items/9XS97VU7"],"itemData":{"id":15409,"type":"article-journal","abstract":"Buffel grass (Cenchrus ciliaris L.) has invaded extensive areas of arid and semi-arid Australia following its introduction as a pasture species and for erosion control. It has been suggested that buffel grass has initiated a positive ﬁreinvasion feedback in central Australia, disrupting existing ﬁre regimes, encouraging further buffel grass invasion, and disadvantaging the native woody ﬂora in particular, but this hypothesis has not been tested quantitatively.","container-title":"The Rangeland Journal","DOI":"10.1071/RJ09076","ISSN":"1036-9872","issue":"4","journalAbbreviation":"Rangel. J.","language":"en","page":"353","source":"DOI.org (Crossref)","title":"Ecological impacts of buffel grass (&lt;i&gt;Cenchrus ciliaris&lt;/i&gt; L.) invasion in central Australia - does field evidence support a fire-invasion feedback?","URL":"http://www.publish.csiro.au/?paper=RJ09076","volume":"32","author":[{"family":"Miller","given":"Georgia"},{"family":"Friedel","given":"Margaret"},{"family":"Adam","given":"Paul"},{"family":"Chewings","given":"Vanessa"}],"accessed":{"date-parts":[["2019",9,26]]},"issued":{"date-parts":[["2010"]]}},"label":"page"}],"schema":"https://github.com/citation-style-language/schema/raw/master/csl-citation.json"} </w:instrText>
      </w:r>
      <w:r w:rsidRPr="00DA249F">
        <w:rPr>
          <w:lang w:val="en-GB"/>
        </w:rPr>
        <w:fldChar w:fldCharType="separate"/>
      </w:r>
      <w:r w:rsidR="00144D96" w:rsidRPr="00144D96">
        <w:t>(D. W. Butler &amp; Fairfax, 2003; G. Miller et al., 2010)</w:t>
      </w:r>
      <w:r w:rsidRPr="00DA249F">
        <w:rPr>
          <w:lang w:val="en-GB"/>
        </w:rPr>
        <w:fldChar w:fldCharType="end"/>
      </w:r>
      <w:r w:rsidRPr="00DA249F">
        <w:rPr>
          <w:lang w:val="en-GB"/>
        </w:rPr>
        <w:t xml:space="preserve">. The mechanism for the spread of invasive alien grasses under climate change both in </w:t>
      </w:r>
      <w:r w:rsidR="005A4450" w:rsidRPr="00DA249F">
        <w:rPr>
          <w:lang w:val="en-GB"/>
        </w:rPr>
        <w:t xml:space="preserve">the </w:t>
      </w:r>
      <w:r w:rsidRPr="00DA249F">
        <w:rPr>
          <w:lang w:val="en-GB"/>
        </w:rPr>
        <w:t xml:space="preserve">United States and Australia is an intensification of fire-invasive positive feedback loops promoted by </w:t>
      </w:r>
      <w:r w:rsidR="081052AC" w:rsidRPr="00DA249F">
        <w:rPr>
          <w:lang w:val="en-GB"/>
        </w:rPr>
        <w:t xml:space="preserve">invasive alien species </w:t>
      </w:r>
      <w:r w:rsidR="005A4450" w:rsidRPr="00DA249F">
        <w:rPr>
          <w:lang w:val="en-GB"/>
        </w:rPr>
        <w:t>i</w:t>
      </w:r>
      <w:r w:rsidRPr="00DA249F">
        <w:rPr>
          <w:lang w:val="en-GB"/>
        </w:rPr>
        <w:t>n these ecosystems (</w:t>
      </w:r>
      <w:r w:rsidR="00930403" w:rsidRPr="00DA249F">
        <w:rPr>
          <w:lang w:val="en-GB"/>
        </w:rPr>
        <w:t xml:space="preserve">i.e., </w:t>
      </w:r>
      <w:r w:rsidRPr="00DA249F">
        <w:rPr>
          <w:lang w:val="en-GB"/>
        </w:rPr>
        <w:t>grass-fir</w:t>
      </w:r>
      <w:r w:rsidR="5B631C07" w:rsidRPr="00DA249F">
        <w:rPr>
          <w:lang w:val="en-GB"/>
        </w:rPr>
        <w:t>e cycle</w:t>
      </w:r>
      <w:r w:rsidRPr="00DA249F">
        <w:rPr>
          <w:lang w:val="en-GB"/>
        </w:rPr>
        <w:t xml:space="preserve">), where increased production of biomass by invasive </w:t>
      </w:r>
      <w:r w:rsidR="5D94E159" w:rsidRPr="00DA249F">
        <w:rPr>
          <w:lang w:val="en-GB"/>
        </w:rPr>
        <w:t xml:space="preserve">alien </w:t>
      </w:r>
      <w:r w:rsidRPr="00DA249F">
        <w:rPr>
          <w:lang w:val="en-GB"/>
        </w:rPr>
        <w:t xml:space="preserve">grasses leads to increased fire frequency, continuity and/or intensity and hence favours their spread </w:t>
      </w:r>
      <w:r w:rsidRPr="00DA249F">
        <w:rPr>
          <w:lang w:val="en-GB"/>
        </w:rPr>
        <w:fldChar w:fldCharType="begin"/>
      </w:r>
      <w:r w:rsidR="00331A79">
        <w:rPr>
          <w:lang w:val="en-GB"/>
        </w:rPr>
        <w:instrText xml:space="preserve"> ADDIN ZOTERO_ITEM CSL_CITATION {"citationID":"D5ghYh4G","properties":{"formattedCitation":"(Balch et al., 2013; D. W. Butler &amp; Fairfax, 2003; Gaertner et al., 2014; G. Miller et al., 2010)","plainCitation":"(Balch et al., 2013; D. W. Butler &amp; Fairfax, 2003; Gaertner et al., 2014; G. Miller et al., 2010)","noteIndex":0},"citationItems":[{"id":21839,"uris":["http://zotero.org/groups/2352922/items/3KCZI8KL"],"itemData":{"id":21839,"type":"article-journal","abstract":"The effects of a fire on plant community structure were examined in a remnant Gidgee (Acacia cambagei) and Brigalow (Acacia harpophylla) woodland infested with the naturalized exotic, Buffel Grass (Cenchrus ciliaris) in central Queensland. Fifteen months after the fire, burnt areas had about half the basal area of living trees and more than twice the cover of Buffel Grass and Parthenium Weed (Parthenium hysterophorus) as unburnt areas. This is consistent with the idea that Buffel Grass invasion, which increases ground fuel loads in Acacia woodlands, is facilitated by burning, producing positive feedback between Buffel Grass and fire. The result is accelerating remnant degradation, making the interaction between Buffel Grass and fire an important target for management measures. Fire-breaks and fuel reduction strategies including periodic intense grazing and canopy enhancement have potential to reduce the impact of Buffel Grass invasion, but long-term community survival will probably require effective control of Buffel Grass. The impact of weed invasion within remnant vegetation is clearly a complex issue but the simple ‘case study’ approach employed here can both increase and communicate understanding.","container-title":"Ecological Management &amp; Restoration","DOI":"10.1046/j.1442-8903.2003.00146.x","ISSN":"1442-8903","issue":"2","language":"en","note":"_eprint: https://onlinelibrary.wiley.com/doi/pdf/10.1046/j.1442-8903.2003.00146.x","page":"120-125","source":"Wiley Online Library","title":"Buffel Grass and fire in a Gidgee and Brigalow woodland: A case study from central Queensland","title-short":"Buffel Grass and fire in a Gidgee and Brigalow woodland","URL":"https://onlinelibrary.wiley.com/doi/abs/10.1046/j.1442-8903.2003.00146.x","volume":"4","author":[{"family":"Butler","given":"Don W."},{"family":"Fairfax","given":"Russell J."}],"accessed":{"date-parts":[["2020",3,23]]},"issued":{"date-parts":[["2003"]]}}},{"id":15409,"uris":["http://zotero.org/groups/2352922/items/9XS97VU7"],"itemData":{"id":15409,"type":"article-journal","abstract":"Buffel grass (Cenchrus ciliaris L.) has invaded extensive areas of arid and semi-arid Australia following its introduction as a pasture species and for erosion control. It has been suggested that buffel grass has initiated a positive ﬁreinvasion feedback in central Australia, disrupting existing ﬁre regimes, encouraging further buffel grass invasion, and disadvantaging the native woody ﬂora in particular, but this hypothesis has not been tested quantitatively.","container-title":"The Rangeland Journal","DOI":"10.1071/RJ09076","ISSN":"1036-9872","issue":"4","journalAbbreviation":"Rangel. J.","language":"en","page":"353","source":"DOI.org (Crossref)","title":"Ecological impacts of buffel grass (&lt;i&gt;Cenchrus ciliaris&lt;/i&gt; L.) invasion in central Australia - does field evidence support a fire-invasion feedback?","URL":"http://www.publish.csiro.au/?paper=RJ09076","volume":"32","author":[{"family":"Miller","given":"Georgia"},{"family":"Friedel","given":"Margaret"},{"family":"Adam","given":"Paul"},{"family":"Chewings","given":"Vanessa"}],"accessed":{"date-parts":[["2019",9,26]]},"issued":{"date-parts":[["2010"]]}}},{"id":15397,"uris":["http://zotero.org/groups/2352922/items/JQKYEDU7"],"itemData":{"id":15397,"type":"article-journal","abstract":"Non-native, invasive grasses have been linked to altered grass-ﬁre cycles worldwide. Although a few studies have quantiﬁed resulting changes in ﬁre activity at local scales, and many have speculated about larger scales, regional alterations to ﬁre regimes remain poorly documented. We assessed the inﬂuence of large-scale Bromus tectorum (hereafter cheatgrass) invasion on ﬁre size, duration, spread rate, and interannual variability in comparison to other prominent land cover classes across the Great Basin, USA. We compared regional land cover maps to burned area measured using the Moderate Resolution Imaging Spectroradiometer (MODIS) for 2000–2009 and to ﬁre extents recorded by the USGS registry of ﬁres from 1980 to 2009. Cheatgrass dominates at least 6% of the central Great Basin (650 000 km2). MODIS records show that 13% of these cheatgrass-dominated lands burned, resulting in a ﬁre return interval of 78 years for any given location within cheatgrass. This proportion was more than double the amount burned across all other vegetation types (range: 0.5–6% burned). During the 1990s, this difference was even more extreme, with cheatgrass burning nearly four times more frequently than any native vegetation type (16% of cheatgrass burned compared to 1–5% of native vegetation). Cheatgrass was also disproportionately represented in the largest ﬁres, comprising 24% of the land area of the 50 largest ﬁres recorded by MODIS during the 2000s. Furthermore, multi-date ﬁres that burned across multiple vegetation types were signiﬁcantly more likely to have started in cheatgrass. Finally, cheatgrass ﬁres showed a strong interannual response to wet years, a trend only weakly observed in native vegetation types. These results demonstrate that cheatgrass invasion has substantially altered the regional ﬁre regime. Although this result has been suspected by managers for decades, this study is the ﬁrst to document recent cheatgrass-driven ﬁre regimes at a regional scale.","container-title":"Global Change Biology","DOI":"10.1111/gcb.12046","ISSN":"13541013","issue":"1","journalAbbreviation":"Glob Change Biol","language":"en","page":"173-183","source":"DOI.org (Crossref)","title":"Introduced annual grass increases regional fire activity across the arid western USA (1980-2009)","URL":"http://doi.wiley.com/10.1111/gcb.12046","volume":"19","author":[{"family":"Balch","given":"Jennifer K."},{"family":"Bradley","given":"Bethany A."},{"family":"D'Antonio","given":"Carla M."},{"family":"Gómez-Dans","given":"José"}],"accessed":{"date-parts":[["2019",9,27]]},"issued":{"date-parts":[["2013",1]]}}},{"id":30454,"uris":["http://zotero.org/groups/2352922/items/4S6AVSNH"],"itemData":{"id":30454,"type":"article-journal","container-title":"Diversity and Distributions","DOI":"10.1111/ddi.12182","ISSN":"13669516","issue":"7","journalAbbreviation":"Diversity Distrib.","language":"en","page":"733-744","source":"DOI.org (Crossref)","title":"Invasive plants as drivers of regime shifts: identifying high-priority invaders that alter feedback relationships","title-short":"Invasive plants as drivers of regime shifts","URL":"https://onlinelibrary.wiley.com/doi/10.1111/ddi.12182","volume":"20","author":[{"family":"Gaertner","given":"Mirijam"},{"family":"Biggs","given":"Reinette"},{"family":"Te Beest","given":"Mariska"},{"family":"Hui","given":"Cang"},{"family":"Molofsky","given":"Jane"},{"family":"Richardson","given":"David M."}],"editor":[{"family":"Kühn","given":"Ingolf"}],"accessed":{"date-parts":[["2021",8,23]]},"issued":{"date-parts":[["2014",7]]}},"label":"page"}],"schema":"https://github.com/citation-style-language/schema/raw/master/csl-citation.json"} </w:instrText>
      </w:r>
      <w:r w:rsidRPr="00DA249F">
        <w:rPr>
          <w:lang w:val="en-GB"/>
        </w:rPr>
        <w:fldChar w:fldCharType="separate"/>
      </w:r>
      <w:r w:rsidR="00144D96" w:rsidRPr="00144D96">
        <w:t>(Balch et al., 2013; D. W. Butler &amp; Fairfax, 2003; Gaertner et al., 2014; G. Miller et al., 2010)</w:t>
      </w:r>
      <w:r w:rsidRPr="00DA249F">
        <w:rPr>
          <w:lang w:val="en-GB"/>
        </w:rPr>
        <w:fldChar w:fldCharType="end"/>
      </w:r>
      <w:r w:rsidRPr="00DA249F">
        <w:rPr>
          <w:lang w:val="en-GB"/>
        </w:rPr>
        <w:t xml:space="preserve">. In addition, </w:t>
      </w:r>
      <w:r w:rsidR="0048064E" w:rsidRPr="00DA249F">
        <w:rPr>
          <w:lang w:val="en-GB"/>
        </w:rPr>
        <w:t>fire-induced air currents associated with the</w:t>
      </w:r>
      <w:r w:rsidRPr="00DA249F">
        <w:rPr>
          <w:lang w:val="en-GB"/>
        </w:rPr>
        <w:t xml:space="preserve"> recent extreme fires in Australia seem to</w:t>
      </w:r>
      <w:r w:rsidR="00E875B6" w:rsidRPr="00DA249F">
        <w:rPr>
          <w:lang w:val="en-GB"/>
        </w:rPr>
        <w:t xml:space="preserve"> have</w:t>
      </w:r>
      <w:r w:rsidRPr="00DA249F">
        <w:rPr>
          <w:lang w:val="en-GB"/>
        </w:rPr>
        <w:t xml:space="preserve"> driven the introduction of invasive alien species to New Zealand, such as the pathogenic fungi </w:t>
      </w:r>
      <w:r w:rsidR="000C7DBD" w:rsidRPr="00DA249F">
        <w:rPr>
          <w:i/>
          <w:lang w:val="en-GB"/>
        </w:rPr>
        <w:t>Austropuccinia psidii</w:t>
      </w:r>
      <w:r w:rsidR="000C7DBD" w:rsidRPr="00DA249F">
        <w:rPr>
          <w:lang w:val="en-GB"/>
        </w:rPr>
        <w:t xml:space="preserve"> </w:t>
      </w:r>
      <w:r w:rsidR="00E875B6" w:rsidRPr="00DA249F">
        <w:rPr>
          <w:rFonts w:eastAsia="Times New Roman"/>
          <w:lang w:val="en-GB"/>
        </w:rPr>
        <w:t>(</w:t>
      </w:r>
      <w:r w:rsidR="000C7DBD" w:rsidRPr="00DA249F">
        <w:rPr>
          <w:rFonts w:eastAsia="Times New Roman"/>
          <w:lang w:val="en-GB"/>
        </w:rPr>
        <w:t>myrtle rust</w:t>
      </w:r>
      <w:r w:rsidR="0069775C" w:rsidRPr="00DA249F">
        <w:rPr>
          <w:rFonts w:eastAsia="Times New Roman"/>
          <w:lang w:val="en-GB"/>
        </w:rPr>
        <w:fldChar w:fldCharType="begin"/>
      </w:r>
      <w:r w:rsidR="00331A79">
        <w:rPr>
          <w:rFonts w:eastAsia="Times New Roman"/>
          <w:lang w:val="en-GB"/>
        </w:rPr>
        <w:instrText xml:space="preserve"> ADDIN ZOTERO_ITEM CSL_CITATION {"citationID":"lgP6XQdq","properties":{"formattedCitation":"(Australian Government, 2021)","plainCitation":"(Australian Government, 2021)","dontUpdate":true,"noteIndex":0},"citationItems":[{"id":52859,"uris":["http://zotero.org/groups/2352922/items/IA6BFBTT"],"itemData":{"id":52859,"type":"webpage","container-title":"Department of Climate Change, Energy, the Environment and Water","title":"Myrtle rust (&lt;i&gt;Austropuccinia psidii&lt;/i&gt;)","URL":"https://www.dcceew.gov.au/environment/invasive-species/diseases-fungi-and-parasites/myrtle-rust","author":[{"family":"Australian Government","given":""}],"accessed":{"date-parts":[["2022",8,9]]},"issued":{"date-parts":[["2021"]]}},"label":"page"}],"schema":"https://github.com/citation-style-language/schema/raw/master/csl-citation.json"} </w:instrText>
      </w:r>
      <w:r w:rsidR="0069775C" w:rsidRPr="00DA249F">
        <w:rPr>
          <w:rFonts w:eastAsia="Times New Roman"/>
          <w:lang w:val="en-GB"/>
        </w:rPr>
        <w:fldChar w:fldCharType="separate"/>
      </w:r>
      <w:r w:rsidR="005821C5" w:rsidRPr="00DA249F">
        <w:rPr>
          <w:lang w:val="en-GB"/>
        </w:rPr>
        <w:t xml:space="preserve">; </w:t>
      </w:r>
      <w:r w:rsidR="00AC0962" w:rsidRPr="00DA249F">
        <w:rPr>
          <w:lang w:val="en-GB"/>
        </w:rPr>
        <w:t>Australian Government, 2021)</w:t>
      </w:r>
      <w:r w:rsidR="0069775C" w:rsidRPr="00DA249F">
        <w:rPr>
          <w:rFonts w:eastAsia="Times New Roman"/>
          <w:lang w:val="en-GB"/>
        </w:rPr>
        <w:fldChar w:fldCharType="end"/>
      </w:r>
      <w:r w:rsidR="00E875B6" w:rsidRPr="00DA249F">
        <w:rPr>
          <w:rFonts w:eastAsia="Times New Roman"/>
          <w:lang w:val="en-GB"/>
        </w:rPr>
        <w:t xml:space="preserve">, and </w:t>
      </w:r>
      <w:r w:rsidR="00D70F71" w:rsidRPr="00DA249F">
        <w:rPr>
          <w:rFonts w:eastAsia="Times New Roman"/>
          <w:lang w:val="en-GB"/>
        </w:rPr>
        <w:t xml:space="preserve">could </w:t>
      </w:r>
      <w:r w:rsidR="00E875B6" w:rsidRPr="00DA249F">
        <w:rPr>
          <w:rFonts w:eastAsia="Times New Roman"/>
          <w:lang w:val="en-GB"/>
        </w:rPr>
        <w:t>possibly also</w:t>
      </w:r>
      <w:r w:rsidR="00D70F71" w:rsidRPr="00DA249F">
        <w:rPr>
          <w:rFonts w:eastAsia="Times New Roman"/>
          <w:lang w:val="en-GB"/>
        </w:rPr>
        <w:t xml:space="preserve"> favour the arrival of</w:t>
      </w:r>
      <w:r w:rsidR="0069775C" w:rsidRPr="00DA249F">
        <w:rPr>
          <w:rFonts w:eastAsia="Times New Roman"/>
          <w:lang w:val="en-GB"/>
        </w:rPr>
        <w:t xml:space="preserve"> </w:t>
      </w:r>
      <w:r w:rsidR="4D1C6A8D" w:rsidRPr="00DA249F">
        <w:rPr>
          <w:rFonts w:eastAsia="Times New Roman"/>
          <w:lang w:val="en-GB"/>
        </w:rPr>
        <w:t xml:space="preserve">the </w:t>
      </w:r>
      <w:r w:rsidR="000C7DBD" w:rsidRPr="00DA249F">
        <w:rPr>
          <w:rFonts w:eastAsia="Times New Roman"/>
          <w:i/>
          <w:lang w:val="en-GB"/>
        </w:rPr>
        <w:t>Agrotis infusa</w:t>
      </w:r>
      <w:r w:rsidR="000C7DBD" w:rsidRPr="00DA249F">
        <w:rPr>
          <w:rFonts w:eastAsia="Times New Roman"/>
          <w:lang w:val="en-GB"/>
        </w:rPr>
        <w:t xml:space="preserve"> </w:t>
      </w:r>
      <w:r w:rsidR="4D1C6A8D" w:rsidRPr="00DA249F">
        <w:rPr>
          <w:rFonts w:eastAsia="Times New Roman"/>
          <w:lang w:val="en-GB"/>
        </w:rPr>
        <w:t>(</w:t>
      </w:r>
      <w:r w:rsidR="000C7DBD" w:rsidRPr="00DA249F">
        <w:rPr>
          <w:rFonts w:eastAsia="Times New Roman"/>
          <w:lang w:val="en-GB"/>
        </w:rPr>
        <w:t>bogong moth</w:t>
      </w:r>
      <w:r w:rsidR="4D1C6A8D" w:rsidRPr="00DA249F">
        <w:rPr>
          <w:rFonts w:eastAsia="Times New Roman"/>
          <w:lang w:val="en-GB"/>
        </w:rPr>
        <w:t xml:space="preserve">) </w:t>
      </w:r>
      <w:r w:rsidR="002B34D2" w:rsidRPr="00DA249F">
        <w:rPr>
          <w:rFonts w:eastAsia="Times New Roman"/>
          <w:lang w:val="en-GB"/>
        </w:rPr>
        <w:t xml:space="preserve">in the country </w:t>
      </w:r>
      <w:r w:rsidR="00D70F71" w:rsidRPr="00DA249F">
        <w:rPr>
          <w:rFonts w:eastAsia="Times New Roman"/>
          <w:lang w:val="en-GB"/>
        </w:rPr>
        <w:fldChar w:fldCharType="begin"/>
      </w:r>
      <w:r w:rsidR="00331A79">
        <w:rPr>
          <w:rFonts w:eastAsia="Times New Roman"/>
          <w:lang w:val="en-GB"/>
        </w:rPr>
        <w:instrText xml:space="preserve"> ADDIN ZOTERO_ITEM CSL_CITATION {"citationID":"pcONJx1M","properties":{"formattedCitation":"(Warrant et al., 2016)","plainCitation":"(Warrant et al., 2016)","noteIndex":0},"citationItems":[{"id":54497,"uris":["http://zotero.org/groups/2352922/items/ETLNKW94"],"itemData":{"id":54497,"type":"article-journal","container-title":"Frontiers in behavioral neuroscience","DOI":"https://doi.org/10.3389/fnbeh.2016.00077","note":"ISBN: 1662-5153\npublisher: Frontiers Media SA","page":"77","title":"The Australian Bogong moth &lt;i&gt;Agrotis infusa&lt;/i&gt;: a long-distance nocturnal navigator","URL":"https://www.frontiersin.org/articles/10.3389/fnbeh.2016.00077/full","volume":"10","author":[{"family":"Warrant","given":"Eric"},{"family":"Frost","given":"Barrie"},{"family":"Green","given":"Ken"},{"family":"Mouritsen","given":"Henrik"},{"family":"Dreyer","given":"David"},{"family":"Adden","given":"Andrea"},{"family":"Brauburger","given":"Kristina"},{"family":"Heinze","given":"Stanley"}],"issued":{"date-parts":[["2016"]]}},"label":"page"}],"schema":"https://github.com/citation-style-language/schema/raw/master/csl-citation.json"} </w:instrText>
      </w:r>
      <w:r w:rsidR="00D70F71" w:rsidRPr="00DA249F">
        <w:rPr>
          <w:rFonts w:eastAsia="Times New Roman"/>
          <w:lang w:val="en-GB"/>
        </w:rPr>
        <w:fldChar w:fldCharType="separate"/>
      </w:r>
      <w:r w:rsidR="00144D96" w:rsidRPr="00144D96">
        <w:t>(Warrant et al., 2016)</w:t>
      </w:r>
      <w:r w:rsidR="00D70F71" w:rsidRPr="00DA249F">
        <w:rPr>
          <w:rFonts w:eastAsia="Times New Roman"/>
          <w:lang w:val="en-GB"/>
        </w:rPr>
        <w:fldChar w:fldCharType="end"/>
      </w:r>
      <w:r w:rsidR="4D1C6A8D" w:rsidRPr="00DA249F">
        <w:rPr>
          <w:rFonts w:eastAsia="Times New Roman"/>
          <w:lang w:val="en-GB"/>
        </w:rPr>
        <w:t>.</w:t>
      </w:r>
      <w:r w:rsidR="008D6581" w:rsidRPr="00DA249F">
        <w:rPr>
          <w:rFonts w:eastAsia="Times New Roman"/>
          <w:lang w:val="en-GB"/>
        </w:rPr>
        <w:t xml:space="preserve"> </w:t>
      </w:r>
    </w:p>
    <w:p w14:paraId="7F7D2C8C" w14:textId="3650618D" w:rsidR="3181BFE2" w:rsidRPr="00DA249F" w:rsidRDefault="0052258C" w:rsidP="00F4474D">
      <w:pPr>
        <w:rPr>
          <w:lang w:val="en-GB"/>
        </w:rPr>
      </w:pPr>
      <w:r w:rsidRPr="00DA249F">
        <w:rPr>
          <w:lang w:val="en-GB"/>
        </w:rPr>
        <w:t>T</w:t>
      </w:r>
      <w:r w:rsidR="1C4FF875" w:rsidRPr="00DA249F">
        <w:rPr>
          <w:lang w:val="en-GB"/>
        </w:rPr>
        <w:t xml:space="preserve">here is evidence that increased fire activity under climate change may </w:t>
      </w:r>
      <w:r w:rsidRPr="00DA249F">
        <w:rPr>
          <w:lang w:val="en-GB"/>
        </w:rPr>
        <w:t xml:space="preserve">also </w:t>
      </w:r>
      <w:r w:rsidR="1C4FF875" w:rsidRPr="00DA249F">
        <w:rPr>
          <w:lang w:val="en-GB"/>
        </w:rPr>
        <w:t xml:space="preserve">directly drive the spread of invasive alien woody species. In Patagonia, </w:t>
      </w:r>
      <w:r w:rsidRPr="00DA249F">
        <w:rPr>
          <w:lang w:val="en-GB"/>
        </w:rPr>
        <w:t xml:space="preserve">a warmer and drier climate </w:t>
      </w:r>
      <w:r w:rsidR="00DD21CF" w:rsidRPr="00DA249F">
        <w:rPr>
          <w:lang w:val="en-GB"/>
        </w:rPr>
        <w:t xml:space="preserve">is </w:t>
      </w:r>
      <w:r w:rsidR="00206090">
        <w:rPr>
          <w:lang w:val="en-GB"/>
        </w:rPr>
        <w:t xml:space="preserve">implicated in </w:t>
      </w:r>
      <w:r w:rsidR="1C4FF875" w:rsidRPr="00DA249F">
        <w:rPr>
          <w:lang w:val="en-GB"/>
        </w:rPr>
        <w:t xml:space="preserve">the spread of </w:t>
      </w:r>
      <w:r w:rsidR="00170A3E" w:rsidRPr="00DA249F">
        <w:rPr>
          <w:lang w:val="en-GB"/>
        </w:rPr>
        <w:t>alien</w:t>
      </w:r>
      <w:r w:rsidR="1C4FF875" w:rsidRPr="00DA249F">
        <w:rPr>
          <w:lang w:val="en-GB"/>
        </w:rPr>
        <w:t xml:space="preserve"> pines and shrubs </w:t>
      </w:r>
      <w:r w:rsidR="00584558">
        <w:rPr>
          <w:lang w:val="en-GB"/>
        </w:rPr>
        <w:t xml:space="preserve">whose </w:t>
      </w:r>
      <w:r w:rsidR="00206090">
        <w:rPr>
          <w:lang w:val="en-GB"/>
        </w:rPr>
        <w:t>persistence</w:t>
      </w:r>
      <w:r w:rsidR="00584558">
        <w:rPr>
          <w:lang w:val="en-GB"/>
        </w:rPr>
        <w:t xml:space="preserve"> is</w:t>
      </w:r>
      <w:r w:rsidR="1C4FF875" w:rsidRPr="00DA249F">
        <w:rPr>
          <w:lang w:val="en-GB"/>
        </w:rPr>
        <w:t xml:space="preserve"> promoted by fire </w:t>
      </w:r>
      <w:r w:rsidR="1C4FF875" w:rsidRPr="00DA249F">
        <w:rPr>
          <w:lang w:val="en-GB"/>
        </w:rPr>
        <w:fldChar w:fldCharType="begin"/>
      </w:r>
      <w:r w:rsidR="00331A79">
        <w:rPr>
          <w:lang w:val="en-GB"/>
        </w:rPr>
        <w:instrText xml:space="preserve"> ADDIN ZOTERO_ITEM CSL_CITATION {"citationID":"MDLVfR0l","properties":{"formattedCitation":"(Cavallero &amp; Raffaele, 2010; K. T. Davis et al., 2019; Raffaele et al., 2016)","plainCitation":"(Cavallero &amp; Raffaele, 2010; K. T. Davis et al., 2019; Raffaele et al., 2016)","noteIndex":0},"citationItems":[{"id":10305,"uris":["http://zotero.org/groups/2352922/items/ASJ52VNY"],"itemData":{"id":10305,"type":"article-journal","abstract":"Fire can inﬂuence reproductive phenology of plants, enhancing the reproductive rate of many species. Disturbances such as ﬁre can promote the proliferation of exotic species in native plant communities. In this study we analyze the effect of ﬁre on reproductive phenology in three native species (a shrub: Berberis buxifolia and two small trees: Maytenus boaria and Schinus patagonicus) and in an exotic shrub (Rosa rubiginosa). Flowering and fruiting phenology was monitored in neighbouring burned and unburned forests. The shrubs ﬂowered and fruited in both sites, but the small trees did so only in the unburned site. There is no overlapping in the ﬂowering and fruiting phenophases between the natives and the exotic species. Therefore, they do not compete in resource offering to pollinators and seed dispersers. Consequently, R. rubiginosa has a ‘competition-free’ space enhanced by ﬁre, from the reproductive phenology perspective.","container-title":"Biological Invasions","DOI":"10.1007/s10530-010-9738-3","ISSN":"1387-3547, 1573-1464","issue":"10","journalAbbreviation":"Biol Invasions","language":"en","page":"3395-3404","source":"DOI.org (Crossref)","title":"Fire enhances the ‘competition-free’ space of an invader shrub: &lt;i&gt;Rosa rubiginosa&lt;/i&gt; in northwestern Patagonia","title-short":"Fire enhances the ‘competition-free’ space of an invader shrub","URL":"http://link.springer.com/10.1007/s10530-010-9738-3","volume":"12","author":[{"family":"Cavallero","given":"Laura"},{"family":"Raffaele","given":"Estela"}],"accessed":{"date-parts":[["2019",9,26]]},"issued":{"date-parts":[["2010",10]]}},"label":"page"},{"id":24613,"uris":["http://zotero.org/groups/2352922/items/ASXTSRMC"],"itemData":{"id":24613,"type":"article-journal","abstract":"Fire has been found to promote or halt biological invasions. Pine trees (genus Pinus) are highly invasive in the southern hemisphere and the effect of ﬁre on their invasion ability is not clear. An analysis of Pinus spreading after wildﬁres in Patagonia reveals that there is a high risk of pines becoming invasive if ignition frequency increases in Patagonia. Also plantations could increase ﬁre intensity and/or frequency in Patagonia, creating a potential positive feedback between invasion and wildﬁres. The effect of ﬁres on pine invasion was modulated by precipitation. In areas where precipitation was lower than 800 mm ﬁres did not promote pine invasion. However, in areas with higher precipitation there was a strong promotion of pine invasion by ﬁre, after a lag time. These results show that ﬁre, a disturbance more frequent now in the region, can promote pine invasion.","container-title":"Biological Invasions","DOI":"10.1007/s10530-015-1038-5","ISSN":"1387-3547, 1573-1464","issue":"3","journalAbbreviation":"Biol Invasions","language":"en","page":"597-601","source":"DOI.org (Crossref)","title":"Fire as mediator of pine invasion: evidence from Patagonia, Argentina","title-short":"Fire as mediator of pine invasion","URL":"http://link.springer.com/10.1007/s10530-015-1038-5","volume":"18","author":[{"family":"Raffaele","given":"E."},{"family":"Nuñez","given":"Martin A."},{"family":"Eneström","given":"J."},{"family":"Blackhall","given":"M."}],"accessed":{"date-parts":[["2019",9,26]]},"issued":{"date-parts":[["2016",3]]}},"label":"page"},{"id":25091,"uris":["http://zotero.org/groups/2352922/items/LVYJXXLS"],"itemData":{"id":25091,"type":"article-journal","container-title":"Biological Invasions","DOI":"10.1007/s10530-019-01975-1","ISSN":"1387-3547, 1573-1464","issue":"7","journalAbbreviation":"Biol Invasions","language":"en","page":"2287-2300","source":"DOI.org (Crossref)","title":"Simulation model suggests that fire promotes lodgepole pine (&lt;i&gt;Pinus contorta&lt;/i&gt;) invasion in Patagonia","URL":"http://link.springer.com/10.1007/s10530-019-01975-1","volume":"21","author":[{"family":"Davis","given":"Kimberley T."},{"family":"Maxwell","given":"Bruce D."},{"family":"Caplat","given":"Paul"},{"family":"Pauchard","given":"Aníbal"},{"family":"Nuñez","given":"Martin A."}],"accessed":{"date-parts":[["2019",9,26]]},"issued":{"date-parts":[["2019",7]]}},"label":"page"}],"schema":"https://github.com/citation-style-language/schema/raw/master/csl-citation.json"} </w:instrText>
      </w:r>
      <w:r w:rsidR="1C4FF875" w:rsidRPr="00DA249F">
        <w:rPr>
          <w:lang w:val="en-GB"/>
        </w:rPr>
        <w:fldChar w:fldCharType="separate"/>
      </w:r>
      <w:r w:rsidR="00144D96" w:rsidRPr="00144D96">
        <w:t>(Cavallero &amp; Raffaele, 2010; K. T. Davis et al., 2019; Raffaele et al., 2016)</w:t>
      </w:r>
      <w:r w:rsidR="1C4FF875" w:rsidRPr="00DA249F">
        <w:rPr>
          <w:lang w:val="en-GB"/>
        </w:rPr>
        <w:fldChar w:fldCharType="end"/>
      </w:r>
      <w:r w:rsidR="1C4FF875" w:rsidRPr="00DA249F">
        <w:rPr>
          <w:lang w:val="en-GB"/>
        </w:rPr>
        <w:t>.</w:t>
      </w:r>
      <w:r w:rsidR="00066BF9" w:rsidRPr="00DA249F">
        <w:rPr>
          <w:lang w:val="en-GB"/>
        </w:rPr>
        <w:t xml:space="preserve"> </w:t>
      </w:r>
      <w:r w:rsidR="5F629157" w:rsidRPr="00DA249F">
        <w:rPr>
          <w:lang w:val="en-GB"/>
        </w:rPr>
        <w:t xml:space="preserve">In European and </w:t>
      </w:r>
      <w:r w:rsidR="00BD70D1">
        <w:rPr>
          <w:lang w:val="en-GB"/>
        </w:rPr>
        <w:t>s</w:t>
      </w:r>
      <w:r w:rsidR="5F629157" w:rsidRPr="00DA249F">
        <w:rPr>
          <w:lang w:val="en-GB"/>
        </w:rPr>
        <w:t>outh</w:t>
      </w:r>
      <w:r w:rsidR="00BD70D1">
        <w:rPr>
          <w:lang w:val="en-GB"/>
        </w:rPr>
        <w:t>ern</w:t>
      </w:r>
      <w:r w:rsidR="5F629157" w:rsidRPr="00DA249F">
        <w:rPr>
          <w:lang w:val="en-GB"/>
        </w:rPr>
        <w:t xml:space="preserve"> African Mediterranean ecosystems, changes in the fire regime under </w:t>
      </w:r>
      <w:r w:rsidR="00DD21CF" w:rsidRPr="00DA249F">
        <w:rPr>
          <w:lang w:val="en-GB"/>
        </w:rPr>
        <w:t xml:space="preserve">a warmer and </w:t>
      </w:r>
      <w:r w:rsidR="00D062FD" w:rsidRPr="00DA249F">
        <w:rPr>
          <w:lang w:val="en-GB"/>
        </w:rPr>
        <w:t xml:space="preserve">drier </w:t>
      </w:r>
      <w:r w:rsidR="5F629157" w:rsidRPr="00DA249F">
        <w:rPr>
          <w:lang w:val="en-GB"/>
        </w:rPr>
        <w:t>climate change are expected to favour the spread of invasive</w:t>
      </w:r>
      <w:r w:rsidR="0067435E" w:rsidRPr="00DA249F">
        <w:rPr>
          <w:lang w:val="en-GB"/>
        </w:rPr>
        <w:t xml:space="preserve"> alien</w:t>
      </w:r>
      <w:r w:rsidR="5F629157" w:rsidRPr="00DA249F">
        <w:rPr>
          <w:lang w:val="en-GB"/>
        </w:rPr>
        <w:t xml:space="preserve"> tree species from the genus </w:t>
      </w:r>
      <w:r w:rsidR="5F629157" w:rsidRPr="00DA249F">
        <w:rPr>
          <w:i/>
          <w:lang w:val="en-GB"/>
        </w:rPr>
        <w:t>Acacia</w:t>
      </w:r>
      <w:r w:rsidR="5F629157" w:rsidRPr="00DA249F">
        <w:rPr>
          <w:lang w:val="en-GB"/>
        </w:rPr>
        <w:t xml:space="preserve"> </w:t>
      </w:r>
      <w:r w:rsidR="1C4FF875" w:rsidRPr="00DA249F">
        <w:rPr>
          <w:lang w:val="en-GB"/>
        </w:rPr>
        <w:fldChar w:fldCharType="begin"/>
      </w:r>
      <w:r w:rsidR="00331A79">
        <w:rPr>
          <w:lang w:val="en-GB"/>
        </w:rPr>
        <w:instrText xml:space="preserve"> ADDIN ZOTERO_ITEM CSL_CITATION {"citationID":"JSfxBt05","properties":{"formattedCitation":"(e.g., Acacia longifolia; Souza-Alonso et al., 2017)","plainCitation":"(e.g., Acacia longifolia; Souza-Alonso et al., 2017)","dontUpdate":true,"noteIndex":0},"citationItems":[{"id":24830,"uris":["http://zotero.org/groups/2352922/items/FBFMRURD"],"itemData":{"id":24830,"type":"article-journal","abstract":"• Key message The above- and belowground impacts due to Acacia invasions have been described in detail over the last 25 years. Future research should focus on the early detection and prevention of new","container-title":"Annals of Forest Science","DOI":"10.1007/s13595-017-0651-0","ISSN":"1286-4560, 1297-966X","issue":"3","journalAbbreviation":"Annals of Forest Science","language":"en","page":"55","source":"link.springer.com","title":"Here to stay. Recent advances and perspectives about &lt;i&gt;Acacia&lt;/i&gt; invasion in Mediterranean areas","URL":"https://link.springer.com/article/10.1007/s13595-017-0651-0","volume":"74","author":[{"family":"Souza-Alonso","given":"Pablo"},{"family":"Rodríguez","given":"Jonatan"},{"family":"González","given":"Luís"},{"family":"Lorenzo","given":"Paula"}],"accessed":{"date-parts":[["2019",10,16]]},"issued":{"date-parts":[["2017",9,1]]}},"label":"page","prefix":"e.g., Acacia longifolia; "}],"schema":"https://github.com/citation-style-language/schema/raw/master/csl-citation.json"} </w:instrText>
      </w:r>
      <w:r w:rsidR="1C4FF875" w:rsidRPr="00DA249F">
        <w:rPr>
          <w:lang w:val="en-GB"/>
        </w:rPr>
        <w:fldChar w:fldCharType="separate"/>
      </w:r>
      <w:r w:rsidR="00542CA0" w:rsidRPr="00DA249F">
        <w:rPr>
          <w:lang w:val="en-GB"/>
        </w:rPr>
        <w:t xml:space="preserve">(e.g., </w:t>
      </w:r>
      <w:r w:rsidR="00542CA0" w:rsidRPr="00DA249F">
        <w:rPr>
          <w:i/>
          <w:lang w:val="en-GB"/>
        </w:rPr>
        <w:t>Acacia longifolia</w:t>
      </w:r>
      <w:r w:rsidR="00316E79" w:rsidRPr="00DA249F">
        <w:rPr>
          <w:lang w:val="en-GB"/>
        </w:rPr>
        <w:t xml:space="preserve"> (golde</w:t>
      </w:r>
      <w:r w:rsidR="00CE70BB">
        <w:rPr>
          <w:lang w:val="en-GB"/>
        </w:rPr>
        <w:t>n</w:t>
      </w:r>
      <w:r w:rsidR="00316E79" w:rsidRPr="00DA249F">
        <w:rPr>
          <w:lang w:val="en-GB"/>
        </w:rPr>
        <w:t xml:space="preserve"> wattle)</w:t>
      </w:r>
      <w:r w:rsidR="00542CA0" w:rsidRPr="00DA249F">
        <w:rPr>
          <w:lang w:val="en-GB"/>
        </w:rPr>
        <w:t>; Souza-Alonso et al., 2017)</w:t>
      </w:r>
      <w:r w:rsidR="1C4FF875" w:rsidRPr="00DA249F">
        <w:rPr>
          <w:lang w:val="en-GB"/>
        </w:rPr>
        <w:fldChar w:fldCharType="end"/>
      </w:r>
      <w:r w:rsidR="1C4FF875" w:rsidRPr="00DA249F">
        <w:rPr>
          <w:lang w:val="en-GB"/>
        </w:rPr>
        <w:t xml:space="preserve">. </w:t>
      </w:r>
    </w:p>
    <w:p w14:paraId="0022F6B1" w14:textId="77777777" w:rsidR="008C1BF7" w:rsidRPr="00DA249F" w:rsidRDefault="008C1BF7" w:rsidP="0090109B">
      <w:pPr>
        <w:rPr>
          <w:lang w:val="en-GB"/>
        </w:rPr>
      </w:pPr>
      <w:r w:rsidRPr="00DA249F">
        <w:rPr>
          <w:lang w:val="en-GB"/>
        </w:rPr>
        <w:t xml:space="preserve">There is very limited information on how changes in fire regimes under climate change may </w:t>
      </w:r>
      <w:r w:rsidR="00CC0323" w:rsidRPr="00DA249F">
        <w:rPr>
          <w:lang w:val="en-GB"/>
        </w:rPr>
        <w:t xml:space="preserve">facilitate </w:t>
      </w:r>
      <w:r w:rsidR="6E057414" w:rsidRPr="00DA249F">
        <w:rPr>
          <w:lang w:val="en-GB"/>
        </w:rPr>
        <w:t xml:space="preserve">the spread of </w:t>
      </w:r>
      <w:r w:rsidRPr="00DA249F">
        <w:rPr>
          <w:lang w:val="en-GB"/>
        </w:rPr>
        <w:t xml:space="preserve">invasive alien animals. In freshwater ecosystems in the western United States, increased fire activity due to climate change may favour </w:t>
      </w:r>
      <w:r w:rsidR="0077410B" w:rsidRPr="00DA249F">
        <w:rPr>
          <w:lang w:val="en-GB"/>
        </w:rPr>
        <w:t>alien</w:t>
      </w:r>
      <w:r w:rsidR="00AE30D8" w:rsidRPr="00DA249F">
        <w:rPr>
          <w:lang w:val="en-GB"/>
        </w:rPr>
        <w:t xml:space="preserve"> </w:t>
      </w:r>
      <w:r w:rsidRPr="00DA249F">
        <w:rPr>
          <w:lang w:val="en-GB"/>
        </w:rPr>
        <w:t xml:space="preserve">fishes, especially in degraded and fragmented landscapes </w:t>
      </w:r>
      <w:r w:rsidRPr="00DA249F">
        <w:rPr>
          <w:lang w:val="en-GB"/>
        </w:rPr>
        <w:fldChar w:fldCharType="begin"/>
      </w:r>
      <w:r w:rsidR="00331A79">
        <w:rPr>
          <w:lang w:val="en-GB"/>
        </w:rPr>
        <w:instrText xml:space="preserve"> ADDIN ZOTERO_ITEM CSL_CITATION {"citationID":"uSERhYPp","properties":{"formattedCitation":"(Dunham et al., 2003)","plainCitation":"(Dunham et al., 2003)","noteIndex":0},"citationItems":[{"id":15315,"uris":["http://zotero.org/groups/2352922/items/T7465JMW"],"itemData":{"id":15315,"type":"article-journal","abstract":"Our limited understanding of the short and long-term effects of fire on fish contributes to considerable uncertainty in assessments of the risks and benefits of fire management alternatives. A primary concern among the many potential effects of fire is the effects of fire and fire management on persistence of native fish populations. Limited evidence suggests vulnerability of fish to fire is contingent upon the quality of affected habitats, the amount and distribution of habitat (habitat fragmentation), and habitat specificity of the species in question. Species with narrow habitat requirements in highly degraded and fragmented systems are likely to be most vulnerable to fire and fire-related disturbance. In addition to effects of fire on native fish, there are growing concerns about the effects of fire on nonnative fish invasions. The role of fire in facilitating invasions by nonnative fishes is unknown, but experience with other species suggests some forms of disturbance associated with fire may facilitate invasion. Management efforts to promote persistence of fishes in fire-prone landscapes can take the form of four basic alternatives: (1) pre-fire management; (2) post-fire management; (3) managing fire itself (e.g. fire fighting); and (4) monitoring and adaptive management. Among these alternatives, pre-fire management is likely to be most effective. Effective pre-fire management activities will address factors that may render fish populations more vulnerable to the effects of fire (e.g. habitat degradation, fragmentation, and nonnative species). Post-fire management is also potentially important, but suffers from being a reactive approach that may not address threats in time to avert them. Managing fire itself can be important in some contexts, but negative consequences for fish populations are possible (e.g. toxicity of fire fighting chemicals to fish). Monitoring and adaptive management can provide important new information for evaluating alternatives, but proper implementation is often hampered by inadequate study designs and inconsistent financial and institutional support. The challenge for providing better management guidelines will be to add solid empirical data and models to assess the relevance of emerging concepts and theories, and provide a sense of where and when fires pose significant risks and/or benefits to fishes.","collection-title":"The Effect of Wildland Fire on Aquatic Ecosystems in the Western USA.","container-title":"Forest Ecology and Management","DOI":"10.1016/S0378-1127(03)00061-6","ISSN":"0378-1127","issue":"1","journalAbbreviation":"Forest Ecology and Management","page":"183-196","source":"ScienceDirect","title":"Effects of fire on fish populations: landscape perspectives on persistence of native fishes and nonnative fish invasions","title-short":"Effects of fire on fish populations","URL":"http://www.sciencedirect.com/science/article/pii/S0378112703000616","volume":"178","author":[{"family":"Dunham","given":"J. B."},{"family":"Young","given":"M. K."},{"family":"Gresswell","given":"R. E."},{"family":"Rieman","given":"B. E."}],"accessed":{"date-parts":[["2019",9,19]]},"issued":{"date-parts":[["2003",6,3]]}},"label":"page"}],"schema":"https://github.com/citation-style-language/schema/raw/master/csl-citation.json"} </w:instrText>
      </w:r>
      <w:r w:rsidRPr="00DA249F">
        <w:rPr>
          <w:lang w:val="en-GB"/>
        </w:rPr>
        <w:fldChar w:fldCharType="separate"/>
      </w:r>
      <w:r w:rsidR="00144D96" w:rsidRPr="00144D96">
        <w:t>(Dunham et al., 2003)</w:t>
      </w:r>
      <w:r w:rsidRPr="00DA249F">
        <w:rPr>
          <w:lang w:val="en-GB"/>
        </w:rPr>
        <w:fldChar w:fldCharType="end"/>
      </w:r>
      <w:r w:rsidRPr="00DA249F">
        <w:rPr>
          <w:lang w:val="en-GB"/>
        </w:rPr>
        <w:t xml:space="preserve">. In these ecosystems, larger and more frequent fires under climate change tend to increase water temperature and decrease stream stability and connectivity, thus driving the spread of generalist alien fishes to the detriment of native Salmonidae fishes </w:t>
      </w:r>
      <w:r w:rsidRPr="00DA249F">
        <w:rPr>
          <w:lang w:val="en-GB"/>
        </w:rPr>
        <w:fldChar w:fldCharType="begin"/>
      </w:r>
      <w:r w:rsidR="00331A79">
        <w:rPr>
          <w:lang w:val="en-GB"/>
        </w:rPr>
        <w:instrText xml:space="preserve"> ADDIN ZOTERO_ITEM CSL_CITATION {"citationID":"0FqUBM3h","properties":{"formattedCitation":"(Isaak et al., 2010; Luce et al., 2012)","plainCitation":"(Isaak et al., 2010; Luce et al., 2012)","noteIndex":0},"citationItems":[{"id":16863,"uris":["http://zotero.org/groups/2352922/items/UCF99U4S"],"itemData":{"id":16863,"type":"article-journal","abstract":"Mountain streams provide important habitats for many species, but their faunas are especially vulnerable to climate change because of ectothermic physiologies and movements that are constrained to linear networks that are easily fragmented. Effectively conserving biodiversity in these systems requires accurate downscaling of climatic trends to local habitat conditions, but downscaling is difficult in complex terrains given diverse microclimates and mediation of stream heat budgets by local conditions. We compiled a stream temperature database (n = 780) for a 2500-km river network in central Idaho to assess possible trends in summer temperatures and thermal habitat for two native salmonid species from 1993 to 2006. New spatial statistical models that account for network topology were parameterized with these data and explained 93% and 86% of the variation in mean stream temperatures and maximas, respectively. During our study period, basin average mean stream temperatures increased by 0.38°C (0.27°C/decade), and maximas increased by 0.48°C (0.34°C/decade), primarily due to long-term (30–50 year) trends in air temperatures and stream flows. Radiation increases from wildfires accounted for 9% of basin-scale temperature increases, despite burning 14% of the basin. Within wildfire perimeters, however, stream temperature increases were 2–3 times greater than basin averages, and radiation gains accounted for 50% of warming. Thermal habitat for rainbow trout (Oncorhynchus mykiss) was minimally affected by temperature increases, except for small shifts towards higher elevations. Bull trout (Salvelinus confluentus), in contrast, were estimated to have lost 11–20% (8–16%/decade) of the headwater stream lengths that were cold enough for spawning and early juvenile rearing, with the largest losses occurring in the coldest habitats. Our results suggest that a warming climate has begun to affect thermal conditions in streams and that impacts to biota will be specific to both species and context. Where species are at risk, conservation actions should be guided based on considerations of restoration opportunity and future climatic effects. To refine predictions based on thermal effects, more work is needed to understand mechanisms associated with biological responses, climate effects on other habitat features, and habitat configurations that confer population resilience.","container-title":"Ecological Applications","DOI":"10.1890/09-0822.1","ISSN":"1939-5582","issue":"5","language":"en","license":"© 2010 by the Ecological Society of America","page":"1350-1371","source":"Wiley Online Library","title":"Effects of climate change and wildfire on stream temperatures and salmonid thermal habitat in a mountain river network","URL":"https://esajournals.onlinelibrary.wiley.com/doi/abs/10.1890/09-0822.1","volume":"20","author":[{"family":"Isaak","given":"Daniel J."},{"family":"Luce","given":"Charles H."},{"family":"Rieman","given":"Bruce E."},{"family":"Nagel","given":"David E."},{"family":"Peterson","given":"Erin E."},{"family":"Horan","given":"Dona L."},{"family":"Parkes","given":"Sharon"},{"family":"Chandler","given":"Gwynne L."}],"accessed":{"date-parts":[["2019",10,17]]},"issued":{"date-parts":[["2010"]]}},"label":"page"},{"id":17090,"uris":["http://zotero.org/groups/2352922/items/W3MABEZX"],"itemData":{"id":17090,"type":"article-journal","container-title":"JFSP Synthesis Reports","title":"Climate Change, Forests, Fire, Water, and Fish: Building resilient landscapes, streams, and managers","title-short":"Climate Change, Forests, Fire, Water, and Fish","URL":"https://digitalcommons.unl.edu/jfspsynthesis/2","author":[{"family":"Luce","given":"Charles"},{"family":"Morgan","given":"Penny"},{"family":"Dwire","given":"Kathleen"},{"family":"Isaak","given":"Daniel"},{"family":"Holden","given":"Zachary"},{"family":"Rieman","given":"Bruce"},{"family":"Gresswell","given":"Robert"},{"family":"Rinne","given":"John"},{"family":"Neville","given":"Helen"},{"family":"Gresswell","given":"R."},{"family":"Dunham","given":"J."},{"family":"Rosenberger","given":"Amanda"},{"family":"Young","given":"Michael"}],"issued":{"date-parts":[["2012",1,1]]}},"label":"page"}],"schema":"https://github.com/citation-style-language/schema/raw/master/csl-citation.json"} </w:instrText>
      </w:r>
      <w:r w:rsidRPr="00DA249F">
        <w:rPr>
          <w:lang w:val="en-GB"/>
        </w:rPr>
        <w:fldChar w:fldCharType="separate"/>
      </w:r>
      <w:r w:rsidR="00144D96" w:rsidRPr="00144D96">
        <w:t>(Isaak et al., 2010; Luce et al., 2012)</w:t>
      </w:r>
      <w:r w:rsidRPr="00DA249F">
        <w:rPr>
          <w:lang w:val="en-GB"/>
        </w:rPr>
        <w:fldChar w:fldCharType="end"/>
      </w:r>
      <w:r w:rsidRPr="00DA249F">
        <w:rPr>
          <w:lang w:val="en-GB"/>
        </w:rPr>
        <w:t>,</w:t>
      </w:r>
      <w:r w:rsidR="00B1749C" w:rsidRPr="00DA249F">
        <w:rPr>
          <w:lang w:val="en-GB"/>
        </w:rPr>
        <w:t xml:space="preserve"> </w:t>
      </w:r>
      <w:r w:rsidRPr="00DA249F">
        <w:rPr>
          <w:lang w:val="en-GB"/>
        </w:rPr>
        <w:t>although the effect of fire as a</w:t>
      </w:r>
      <w:r w:rsidR="00066BF9" w:rsidRPr="00DA249F">
        <w:rPr>
          <w:lang w:val="en-GB"/>
        </w:rPr>
        <w:t xml:space="preserve"> </w:t>
      </w:r>
      <w:r w:rsidR="00073072" w:rsidRPr="00DA249F">
        <w:rPr>
          <w:lang w:val="en-GB"/>
        </w:rPr>
        <w:t>driver affecting invasive</w:t>
      </w:r>
      <w:r w:rsidR="00B33723" w:rsidRPr="00DA249F">
        <w:rPr>
          <w:lang w:val="en-GB"/>
        </w:rPr>
        <w:t xml:space="preserve"> alien species </w:t>
      </w:r>
      <w:r w:rsidRPr="00DA249F">
        <w:rPr>
          <w:lang w:val="en-GB"/>
        </w:rPr>
        <w:t xml:space="preserve">in this region may be species-specific and less </w:t>
      </w:r>
      <w:r w:rsidR="00370303" w:rsidRPr="00DA249F">
        <w:rPr>
          <w:lang w:val="en-GB"/>
        </w:rPr>
        <w:t>significant in comparison to</w:t>
      </w:r>
      <w:r w:rsidRPr="00DA249F">
        <w:rPr>
          <w:lang w:val="en-GB"/>
        </w:rPr>
        <w:t xml:space="preserve"> other anthropogenic disturbances </w:t>
      </w:r>
      <w:r w:rsidRPr="00DA249F">
        <w:rPr>
          <w:lang w:val="en-GB"/>
        </w:rPr>
        <w:fldChar w:fldCharType="begin"/>
      </w:r>
      <w:r w:rsidR="00331A79">
        <w:rPr>
          <w:lang w:val="en-GB"/>
        </w:rPr>
        <w:instrText xml:space="preserve"> ADDIN ZOTERO_ITEM CSL_CITATION {"citationID":"EAmu8PzL","properties":{"formattedCitation":"(Sestrich et al., 2011)","plainCitation":"(Sestrich et al., 2011)","noteIndex":0},"citationItems":[{"id":12512,"uris":["http://zotero.org/groups/2352922/items/JTGM9MQ9"],"itemData":{"id":12512,"type":"article-journal","abstract":"Anticipated increases in the frequency and severity of wildfire may threaten the persistence of native salmonid populations in headwater streams in western North America. This study used extensive pre- and postfire data to assess whether wildfire leads to hypothesized declines in native westslope cutthroat trout Oncorhynchus clarkii lewisi and bull trout Salvelinus confluentus populations along with increases in the prevalence and abundance of nonnative brook trout S. fontinalis. Postfire cutthroat trout density was negatively correlated with the proportion of basin area that burned at moderate to high severity, but the declines in density after fires were less pronounced for bull trout and brook trout. Recovery of cutthroat trout was generally rapid in severely affected reaches. Contrary to expectation, there was no evidence of a marked increase in abundance or invasion by brook trout after wildfire. Brook trout exhibited the most severe declines in debris flow–affected reaches among all species and exhibited less recovery in severely burned reaches than did cutthroat trout. Increased stream temperature was the most significant habitat change that followed wildfire, the mean maximum water temperature during summer months increasing by 2–6°C in severely burned reaches. In contrast, burned area percentage was unrelated to large woody debris density, the percentage of surface fines, substrate diversity, or the percentage of pool habitat. The characteristically high variability in fish and habitat responses to wildfire will continue to pose a challenge for the understanding and management of fire in aquatic ecosystems. Received July 30, 2010; accepted October 28, 2010","container-title":"Transactions of the American Fisheries Society","DOI":"10.1080/00028487.2011.557019","ISSN":"0002-8487","issue":"1","page":"136-146","source":"Taylor and Francis+NEJM","title":"Influence of Fire on Native and Nonnative Salmonid Populations and Habitat in a Western Montana Basin","URL":"https://www.tandfonline.com/doi/abs/10.1080/00028487.2011.557019","volume":"140","author":[{"family":"Sestrich","given":"Clint M."},{"family":"McMahon","given":"Thomas E."},{"family":"Young","given":"Michael K."}],"accessed":{"date-parts":[["2019",11,25]]},"issued":{"date-parts":[["2011",3,15]]}},"label":"page"}],"schema":"https://github.com/citation-style-language/schema/raw/master/csl-citation.json"} </w:instrText>
      </w:r>
      <w:r w:rsidRPr="00DA249F">
        <w:rPr>
          <w:lang w:val="en-GB"/>
        </w:rPr>
        <w:fldChar w:fldCharType="separate"/>
      </w:r>
      <w:r w:rsidR="00144D96" w:rsidRPr="00144D96">
        <w:t>(Sestrich et al., 2011)</w:t>
      </w:r>
      <w:r w:rsidRPr="00DA249F">
        <w:rPr>
          <w:lang w:val="en-GB"/>
        </w:rPr>
        <w:fldChar w:fldCharType="end"/>
      </w:r>
      <w:r w:rsidRPr="00DA249F">
        <w:rPr>
          <w:lang w:val="en-GB"/>
        </w:rPr>
        <w:t>.</w:t>
      </w:r>
    </w:p>
    <w:p w14:paraId="585E9348" w14:textId="77777777" w:rsidR="008C1BF7" w:rsidRPr="00DA249F" w:rsidRDefault="08916FA3" w:rsidP="004826A3">
      <w:pPr>
        <w:pStyle w:val="Heading3"/>
        <w:rPr>
          <w:lang w:val="en-GB"/>
        </w:rPr>
      </w:pPr>
      <w:bookmarkStart w:id="195" w:name="_Toc44317841"/>
      <w:r w:rsidRPr="00DA249F">
        <w:rPr>
          <w:lang w:val="en-GB"/>
        </w:rPr>
        <w:t xml:space="preserve"> </w:t>
      </w:r>
      <w:r w:rsidR="3A32AF89" w:rsidRPr="00DA249F">
        <w:rPr>
          <w:lang w:val="en-GB"/>
        </w:rPr>
        <w:t>Sea level rise</w:t>
      </w:r>
      <w:bookmarkEnd w:id="195"/>
    </w:p>
    <w:p w14:paraId="3F4506BA" w14:textId="44BB331E" w:rsidR="005505FC" w:rsidRPr="00DA249F" w:rsidRDefault="686E2666" w:rsidP="5575EBFC">
      <w:pPr>
        <w:spacing w:before="0" w:after="0"/>
        <w:rPr>
          <w:rFonts w:eastAsia="Times New Roman"/>
          <w:color w:val="000000"/>
          <w:lang w:val="en-GB" w:eastAsia="zh-CN"/>
        </w:rPr>
      </w:pPr>
      <w:r w:rsidRPr="5575EBFC">
        <w:rPr>
          <w:lang w:val="en-GB"/>
        </w:rPr>
        <w:t>Global mean sea level increased 0.20 m from 1901 to 2018, with an annual increase of 3.7 mm per year from 2006 to 2018</w:t>
      </w:r>
      <w:r w:rsidR="5F58C80D" w:rsidRPr="5575EBFC">
        <w:rPr>
          <w:lang w:val="en-GB"/>
        </w:rPr>
        <w:t xml:space="preserve"> </w:t>
      </w:r>
      <w:r w:rsidR="39575526" w:rsidRPr="5575EBFC">
        <w:rPr>
          <w:lang w:val="en-GB"/>
        </w:rPr>
        <w:fldChar w:fldCharType="begin"/>
      </w:r>
      <w:r w:rsidR="00331A79">
        <w:rPr>
          <w:lang w:val="en-GB"/>
        </w:rPr>
        <w:instrText xml:space="preserve"> ADDIN ZOTERO_ITEM CSL_CITATION {"citationID":"2FizLaux","properties":{"formattedCitation":"(IPCC, 2021)","plainCitation":"(IPCC, 2021)","noteIndex":0},"citationItems":[{"id":29622,"uris":["http://zotero.org/groups/2352922/items/EHM5HDB3"],"itemData":{"id":29622,"type":"article-journal","container-title":"Cambridge University Press","DOI":"10.1017/9781009157896","title":"Climate Change 2021: The Physical Science Basis. Contribution of Working Group I to the Sixth Assessment Report of the Intergovernmental Panel on Climate Change","author":[{"literal":"IPCC"}],"contributor":[{"family":"Masson-Delmotte","given":"V."},{"family":"Zhai","given":"P."},{"family":"Pirani","given":"A."},{"family":"Connors","given":"S. L."},{"family":"Péan","given":"C."},{"family":"Berger","given":"S."},{"family":"Caud","given":"N."},{"family":"Chen","given":"Y."},{"family":"Goldfarb","given":"L."},{"family":"Gomis","given":"M. I."},{"family":"Huang","given":"M."},{"family":"Leitzell","given":"K."},{"family":"Lonnoy","given":"E."},{"family":"Matthews","given":"J. B. R."},{"family":"Maycock","given":"T. K."},{"family":"Waterfield","given":"T."},{"family":"Yelekçi","given":"O."},{"family":"Yu","given":"R."},{"family":"Zhou","given":"B."}],"issued":{"date-parts":[["2021"]]}}}],"schema":"https://github.com/citation-style-language/schema/raw/master/csl-citation.json"} </w:instrText>
      </w:r>
      <w:r w:rsidR="39575526" w:rsidRPr="5575EBFC">
        <w:rPr>
          <w:lang w:val="en-GB"/>
        </w:rPr>
        <w:fldChar w:fldCharType="separate"/>
      </w:r>
      <w:r w:rsidR="6B5F9B9E">
        <w:t>(IPCC, 2021)</w:t>
      </w:r>
      <w:r w:rsidR="39575526" w:rsidRPr="5575EBFC">
        <w:rPr>
          <w:lang w:val="en-GB"/>
        </w:rPr>
        <w:fldChar w:fldCharType="end"/>
      </w:r>
      <w:r w:rsidR="7546D0D5" w:rsidRPr="5575EBFC">
        <w:rPr>
          <w:lang w:val="en-GB"/>
        </w:rPr>
        <w:t xml:space="preserve">. </w:t>
      </w:r>
      <w:r w:rsidR="68E18B5A" w:rsidRPr="5575EBFC">
        <w:rPr>
          <w:lang w:val="en-GB"/>
        </w:rPr>
        <w:t>Sea level rise is caused by climatic factors affecting the thermal expansion of water and the melting of glaciers</w:t>
      </w:r>
      <w:r w:rsidR="00D089FD" w:rsidRPr="5575EBFC">
        <w:rPr>
          <w:lang w:val="en-GB"/>
        </w:rPr>
        <w:t>, permafrost</w:t>
      </w:r>
      <w:r w:rsidR="68E18B5A" w:rsidRPr="5575EBFC">
        <w:rPr>
          <w:lang w:val="en-GB"/>
        </w:rPr>
        <w:t xml:space="preserve"> and polar ice sheets </w:t>
      </w:r>
      <w:r w:rsidR="39575526" w:rsidRPr="5575EBFC">
        <w:rPr>
          <w:lang w:val="en-GB"/>
        </w:rPr>
        <w:fldChar w:fldCharType="begin"/>
      </w:r>
      <w:r w:rsidR="00331A79">
        <w:rPr>
          <w:lang w:val="en-GB"/>
        </w:rPr>
        <w:instrText xml:space="preserve"> ADDIN ZOTERO_ITEM CSL_CITATION {"citationID":"0AosEQCy","properties":{"formattedCitation":"(Hoegh-Guldberg &amp; Bruno, 2010; Oppenheimer et al., 2019; Rignot et al., 2018)","plainCitation":"(Hoegh-Guldberg &amp; Bruno, 2010; Oppenheimer et al., 2019; Rignot et al., 2018)","noteIndex":0},"citationItems":[{"id":29338,"uris":["http://zotero.org/groups/2352922/items/AEH2S7XW"],"itemData":{"id":29338,"type":"article-journal","abstract":"Marine ecosystems are centrally important to the biology of the planet, yet a comprehensive understanding of how anthropogenic climate change is affecting them has been poorly developed. Recent studies indicate that rapidly rising greenhouse gas concentrations are driving ocean systems toward conditions not seen for millions of years, with an associated risk of fundamental and irreversible ecological transformation. The impacts of anthropogenic climate change so far include decreased ocean productivity, altered food web dynamics, reduced abundance of habitat-forming species, shifting species distributions, and a greater incidence of disease. Although there is considerable uncertainty about the spatial and temporal details, climate change is clearly and fundamentally altering ocean ecosystems. Further change will continue to create enormous challenges and costs for societies worldwide, particularly those in developing countries.","container-title":"Science","DOI":"10.1126/science.1189930","ISSN":"0036-8075, 1095-9203","issue":"5985","language":"en","license":"Copyright © 2010, American Association for the Advancement of Science","note":"publisher: American Association for the Advancement of Science\nsection: Review\nPMID: 20558709","page":"1523-1528","source":"science.sciencemag.org","title":"The Impact of Climate Change on the World’s Marine Ecosystems","URL":"https://science.sciencemag.org/content/328/5985/1523","volume":"328","author":[{"family":"Hoegh-Guldberg","given":"Ove"},{"family":"Bruno","given":"John F."}],"accessed":{"date-parts":[["2020",3,29]]},"issued":{"date-parts":[["2010",6,18]]}},"label":"page"},{"id":25313,"uris":["http://zotero.org/groups/2352922/items/8V95WAH9"],"itemData":{"id":25313,"type":"chapter","container-title":"IPCC Special Report on the Ocean and Cryosphere in a Changing Climate [H.-O. Pörtner, D.C. Roberts, V. Masson-Delmotte, P. Zhai, M. Tignor, E. Poloczanska, K. Mintenbeck, A. Alegría, M. Nicolai, A. Okem, J. Petzold, B. Rama, N.M. Weyer (eds.)]","publisher":"The Intergovernmental Panel on Climate Change","title":"Sea level rise and implications for low lying islands, coasts and communities","URL":"https://repositorio.catie.ac.cr/handle/11554/9280","author":[{"family":"Oppenheimer","given":"Michael"},{"family":"Glavovic","given":"Bruce"},{"family":"Hinkel","given":"Jochen"},{"family":"Wal","given":"Roderik","non-dropping-particle":"van de"},{"family":"Magnan","given":"Alexandre K."},{"family":"Abd-Elgawad","given":"Amro"},{"family":"Cai","given":"Rongshuo"},{"family":"Cifuentes-Jara","given":"Miguel"},{"family":"Deconto","given":"Robert M."},{"family":"Ghosh","given":"Tuhin"}],"issued":{"date-parts":[["2019"]]}},"label":"page"},{"id":21596,"uris":["http://zotero.org/groups/2352922/items/EAY98IYC"],"itemData":{"id":21596,"type":"article-journal","abstract":"Ice sheet mass balance estimates have improved substantially in recent years using a variety of techniques, over different time periods, and at various levels of spatial detail. Considerable disparity remains between these estimates due to the inherent uncertainties of each method, the lack of detailed comparison between independent estimates, and the effect of temporal modulations in ice sheet surface mass balance. Here, we present a consistent record of mass balance for the Greenland and Antarctic ice sheets over the past two decades, validated by the comparison of two independent techniques over the last 8 years: one differencing perimeter loss from net accumulation, and one using a dense time series of time-variable gravity. We find excellent agreement between the two techniques for absolute mass loss and acceleration of mass loss. In 2006, the Greenland and Antarctic ice sheets experienced a combined mass loss of 475 ± 158 Gt/yr, equivalent to 1.3 ± 0.4 mm/yr sea level rise. Notably, the acceleration in ice sheet loss over the last 18 years was 21.9 ± 1 Gt/yr2 for Greenland and 14.5 ± 2 Gt/yr2 for Antarctica, for a combined total of 36.3 ± 2 Gt/yr2. This acceleration is 3 times larger than for mountain glaciers and ice caps (12 ± 6 Gt/yr2). If this trend continues, ice sheets will be the dominant contributor to sea level rise in the 21st century.","container-title":"Geophysical Research Letters","DOI":"10.1029/2011GL046583@10.1002/(ISSN)1944-8007.GRL40","ISSN":"0094-8276","journalAbbreviation":"Geophysical Research Letters","note":"publisher: John Wiley &amp; Sons, Ltd","source":"agupubs.onlinelibrary.wiley.com (Atypon)","title":"Acceleration of the contribution of the Greenland and Antarctic ice sheets to sea level rise","URL":"https://agupubs.onlinelibrary.wiley.com/doi/full/10.1029/2011GL046583%4010.1002/%28ISSN%291944-8007.GRL40","author":[{"family":"Rignot","given":"E."},{"family":"Velicogna","given":"I."},{"family":"Broeke","given":"M. R.","non-dropping-particle":"van den"},{"family":"Monaghan","given":"A."},{"family":"Lenaerts","given":"J. T. M."}],"accessed":{"date-parts":[["2020",3,28]]},"issued":{"date-parts":[["2018",2,5]]}},"label":"page"}],"schema":"https://github.com/citation-style-language/schema/raw/master/csl-citation.json"} </w:instrText>
      </w:r>
      <w:r w:rsidR="39575526" w:rsidRPr="5575EBFC">
        <w:rPr>
          <w:lang w:val="en-GB"/>
        </w:rPr>
        <w:fldChar w:fldCharType="separate"/>
      </w:r>
      <w:r w:rsidR="6B5F9B9E">
        <w:t>(Hoegh-Guldberg &amp; Bruno, 2010; Oppenheimer et al., 2019; Rignot et al., 2018)</w:t>
      </w:r>
      <w:r w:rsidR="39575526" w:rsidRPr="5575EBFC">
        <w:rPr>
          <w:lang w:val="en-GB"/>
        </w:rPr>
        <w:fldChar w:fldCharType="end"/>
      </w:r>
      <w:r w:rsidR="68E18B5A" w:rsidRPr="5575EBFC">
        <w:rPr>
          <w:lang w:val="en-GB"/>
        </w:rPr>
        <w:t xml:space="preserve">. Rising sea level will likely lead to </w:t>
      </w:r>
      <w:r w:rsidR="4559E694" w:rsidRPr="5575EBFC">
        <w:rPr>
          <w:lang w:val="en-GB"/>
        </w:rPr>
        <w:t xml:space="preserve">increased </w:t>
      </w:r>
      <w:r w:rsidR="68E18B5A" w:rsidRPr="5575EBFC">
        <w:rPr>
          <w:lang w:val="en-GB"/>
        </w:rPr>
        <w:t xml:space="preserve">impacts from </w:t>
      </w:r>
      <w:r w:rsidR="04546163" w:rsidRPr="5575EBFC">
        <w:rPr>
          <w:lang w:val="en-GB"/>
        </w:rPr>
        <w:t>extreme weather events</w:t>
      </w:r>
      <w:r w:rsidR="68E18B5A" w:rsidRPr="5575EBFC">
        <w:rPr>
          <w:lang w:val="en-GB"/>
        </w:rPr>
        <w:t xml:space="preserve"> and storm surges, increased </w:t>
      </w:r>
      <w:r w:rsidR="2409BF98" w:rsidRPr="5575EBFC">
        <w:rPr>
          <w:lang w:val="en-GB"/>
        </w:rPr>
        <w:t xml:space="preserve">coastal </w:t>
      </w:r>
      <w:r w:rsidR="68E18B5A" w:rsidRPr="5575EBFC">
        <w:rPr>
          <w:lang w:val="en-GB"/>
        </w:rPr>
        <w:t>flooding, higher high tides and increased saltwater intrusion into freshwater systems</w:t>
      </w:r>
      <w:r w:rsidR="070172A8" w:rsidRPr="5575EBFC">
        <w:rPr>
          <w:lang w:val="en-GB"/>
        </w:rPr>
        <w:t>,</w:t>
      </w:r>
      <w:r w:rsidR="68E18B5A" w:rsidRPr="5575EBFC">
        <w:rPr>
          <w:lang w:val="en-GB"/>
        </w:rPr>
        <w:t xml:space="preserve"> altering environmental conditions along coastal zones </w:t>
      </w:r>
      <w:r w:rsidR="39575526" w:rsidRPr="5575EBFC">
        <w:rPr>
          <w:lang w:val="en-GB"/>
        </w:rPr>
        <w:fldChar w:fldCharType="begin"/>
      </w:r>
      <w:r w:rsidR="00331A79">
        <w:rPr>
          <w:lang w:val="en-GB"/>
        </w:rPr>
        <w:instrText xml:space="preserve"> ADDIN ZOTERO_ITEM CSL_CITATION {"citationID":"yySADqRN","properties":{"formattedCitation":"(Nicholls et al., 2014; Woodruff et al., 2013)","plainCitation":"(Nicholls et al., 2014; Woodruff et al., 2013)","noteIndex":0},"citationItems":[{"id":21581,"uris":["http://zotero.org/groups/2352922/items/7AMP3JBV"],"itemData":{"id":21581,"type":"article-journal","abstract":"Global-mean sea-level rise will drive impacts and adaptation needs around the world's coasts over the 21st century and beyond. A key element in assessing these issues is the development of scenarios (or plausible futures) of local relative sea-level rise to support impact assessment and adaptation planning. This requires combining a number of different but uncertain components of sea level which can be linked to climatic and non-climatic (i.e., uplift/subsidence of coastal land) factors. A major concern remains about the possibility of significant contributions from the major Greenland and Antarctic ice sheets and this must be factored into the assessments, despite the uncertainty. This paper reviews the different mechanisms which contribute to sea-level change and considers a methodology for combining the available data to create relative (or local) sea-level rise scenarios suitable for impact and adaptation assessments across a range of sophistication of analysis. The methods that are developed are pragmatic and consider the different needs of impact assessment, adaptation planning, and long-term decision making. This includes the requirements of strategic decision makers who rightly focus on low probability but high consequence changes and their consequences. Hence plausible high end sea-level rise scenarios beyond the conventional Intergovernmental Panel on Climate Change (IPCC) range and which take into account evidence beyond that from the current generation of climate models are developed and their application discussed. Continued review and development of sea-level scenarios is recommended, starting with assimilating the insights of the forthcoming IPCC AR5 assessment. WIREs Clim Change 2014, 5:129–150. doi: 10.1002/wcc.253 This article is categorized under: Assessing Impacts of Climate Change &gt; Scenario Development and Application","container-title":"WIREs Climate Change","DOI":"10.1002/wcc.253","ISSN":"1757-7799","issue":"1","language":"en","note":"_eprint: https://onlinelibrary.wiley.com/doi/pdf/10.1002/wcc.253","page":"129-150","source":"Wiley Online Library","title":"Sea-level scenarios for evaluating coastal impacts","URL":"https://onlinelibrary.wiley.com/doi/abs/10.1002/wcc.253","volume":"5","author":[{"family":"Nicholls","given":"Robert J."},{"family":"Hanson","given":"Susan E."},{"family":"Lowe","given":"Jason A."},{"family":"Warrick","given":"Richard A."},{"family":"Lu","given":"Xianfu"},{"family":"Long","given":"Antony J."}],"accessed":{"date-parts":[["2020",3,27]]},"issued":{"date-parts":[["2014"]]}},"label":"page"},{"id":21575,"uris":["http://zotero.org/groups/2352922/items/MFVVD4NF"],"itemData":{"id":21575,"type":"article-journal","abstract":"The future impacts of climate change on landfalling tropical cyclones are unclear. Regardless of this uncertainty, flooding by tropical cyclones will increase as a result of accelerated sea-level rise. Under similar rates of rapid sea-level rise during the early Holocene epoch most low-lying sedimentary coastlines were generally much less resilient to storm impacts. Society must learn to live with a rapidly evolving shoreline that is increasingly prone to flooding from tropical cyclones. These impacts can be mitigated partly with adaptive strategies, which include careful stewardship of sediments and reductions in human-induced land subsidence.","container-title":"Nature","DOI":"10.1038/nature12855","ISSN":"1476-4687","issue":"7478","language":"en","license":"2013 Nature Publishing Group, a division of Macmillan Publishers Limited. All Rights Reserved.","note":"number: 7478\npublisher: Nature Publishing Group","page":"44-52","source":"www.nature.com","title":"Coastal flooding by tropical cyclones and sea-level rise","URL":"https://www.nature.com/articles/nature12855","volume":"504","author":[{"family":"Woodruff","given":"Jonathan D."},{"family":"Irish","given":"Jennifer L."},{"family":"Camargo","given":"Suzana J."}],"accessed":{"date-parts":[["2020",3,28]]},"issued":{"date-parts":[["2013",12]]}},"label":"page"}],"schema":"https://github.com/citation-style-language/schema/raw/master/csl-citation.json"} </w:instrText>
      </w:r>
      <w:r w:rsidR="39575526" w:rsidRPr="5575EBFC">
        <w:rPr>
          <w:lang w:val="en-GB"/>
        </w:rPr>
        <w:fldChar w:fldCharType="separate"/>
      </w:r>
      <w:r w:rsidR="6B5F9B9E">
        <w:t>(Nicholls et al., 2014; Woodruff et al., 2013)</w:t>
      </w:r>
      <w:r w:rsidR="39575526" w:rsidRPr="5575EBFC">
        <w:rPr>
          <w:lang w:val="en-GB"/>
        </w:rPr>
        <w:fldChar w:fldCharType="end"/>
      </w:r>
      <w:r w:rsidR="68E18B5A" w:rsidRPr="5575EBFC">
        <w:rPr>
          <w:lang w:val="en-GB"/>
        </w:rPr>
        <w:t xml:space="preserve">. Few studies have assessed the direct effect of sea level rise as a driver </w:t>
      </w:r>
      <w:r w:rsidR="7100E435" w:rsidRPr="5575EBFC">
        <w:rPr>
          <w:lang w:val="en-GB"/>
        </w:rPr>
        <w:t xml:space="preserve">in the context of </w:t>
      </w:r>
      <w:r w:rsidR="68E18B5A" w:rsidRPr="5575EBFC">
        <w:rPr>
          <w:lang w:val="en-GB"/>
        </w:rPr>
        <w:t xml:space="preserve">biological invasions. </w:t>
      </w:r>
      <w:r w:rsidR="1718C9EE" w:rsidRPr="5575EBFC">
        <w:rPr>
          <w:lang w:val="en-GB"/>
        </w:rPr>
        <w:t>However</w:t>
      </w:r>
      <w:r w:rsidR="22B475A7" w:rsidRPr="5575EBFC">
        <w:rPr>
          <w:lang w:val="en-GB"/>
        </w:rPr>
        <w:t>, i</w:t>
      </w:r>
      <w:r w:rsidR="75771907" w:rsidRPr="5575EBFC">
        <w:rPr>
          <w:lang w:val="en-GB"/>
        </w:rPr>
        <w:t xml:space="preserve">t is likely that </w:t>
      </w:r>
      <w:r w:rsidR="550B6493" w:rsidRPr="5575EBFC">
        <w:rPr>
          <w:lang w:val="en-GB"/>
        </w:rPr>
        <w:t xml:space="preserve">marine invasive </w:t>
      </w:r>
      <w:r w:rsidR="64DE4BFA" w:rsidRPr="5575EBFC">
        <w:rPr>
          <w:lang w:val="en-GB"/>
        </w:rPr>
        <w:t xml:space="preserve">alien </w:t>
      </w:r>
      <w:r w:rsidR="550B6493" w:rsidRPr="5575EBFC">
        <w:rPr>
          <w:lang w:val="en-GB"/>
        </w:rPr>
        <w:t>species</w:t>
      </w:r>
      <w:r w:rsidR="56596397" w:rsidRPr="5575EBFC">
        <w:rPr>
          <w:lang w:val="en-GB"/>
        </w:rPr>
        <w:t xml:space="preserve"> </w:t>
      </w:r>
      <w:r w:rsidR="550B6493" w:rsidRPr="5575EBFC">
        <w:rPr>
          <w:lang w:val="en-GB"/>
        </w:rPr>
        <w:t>able to disperse by ocean currents</w:t>
      </w:r>
      <w:r w:rsidR="0AD0739F" w:rsidRPr="5575EBFC">
        <w:rPr>
          <w:lang w:val="en-GB"/>
        </w:rPr>
        <w:t xml:space="preserve"> </w:t>
      </w:r>
      <w:r w:rsidR="7F0779D3" w:rsidRPr="5575EBFC">
        <w:rPr>
          <w:lang w:val="en-GB"/>
        </w:rPr>
        <w:t xml:space="preserve">(e.g., </w:t>
      </w:r>
      <w:r w:rsidR="7F0779D3" w:rsidRPr="5575EBFC">
        <w:rPr>
          <w:i/>
          <w:iCs/>
          <w:lang w:val="en-GB"/>
        </w:rPr>
        <w:t>Mytilus galloprovincialis</w:t>
      </w:r>
      <w:r w:rsidR="2F3AC179" w:rsidRPr="5575EBFC">
        <w:rPr>
          <w:color w:val="000000" w:themeColor="text1"/>
          <w:lang w:val="en-GB"/>
        </w:rPr>
        <w:t xml:space="preserve"> (</w:t>
      </w:r>
      <w:r w:rsidR="2F3AC179" w:rsidRPr="5575EBFC">
        <w:rPr>
          <w:rFonts w:eastAsia="Times New Roman"/>
          <w:color w:val="000000" w:themeColor="text1"/>
          <w:lang w:val="en-GB" w:eastAsia="zh-CN"/>
        </w:rPr>
        <w:t>Mediterranean mussel</w:t>
      </w:r>
      <w:r w:rsidR="7F0779D3" w:rsidRPr="5575EBFC">
        <w:rPr>
          <w:lang w:val="en-GB"/>
        </w:rPr>
        <w:t>)</w:t>
      </w:r>
      <w:r w:rsidR="2F3AC179" w:rsidRPr="5575EBFC">
        <w:rPr>
          <w:lang w:val="en-GB"/>
        </w:rPr>
        <w:t>)</w:t>
      </w:r>
      <w:r w:rsidR="7F0779D3" w:rsidRPr="5575EBFC">
        <w:rPr>
          <w:lang w:val="en-GB"/>
        </w:rPr>
        <w:t xml:space="preserve"> </w:t>
      </w:r>
      <w:r w:rsidR="0AD0739F" w:rsidRPr="5575EBFC">
        <w:rPr>
          <w:lang w:val="en-GB"/>
        </w:rPr>
        <w:t>may</w:t>
      </w:r>
      <w:r w:rsidR="550B6493" w:rsidRPr="5575EBFC">
        <w:rPr>
          <w:lang w:val="en-GB"/>
        </w:rPr>
        <w:t xml:space="preserve"> </w:t>
      </w:r>
      <w:r w:rsidR="0D577ADA" w:rsidRPr="5575EBFC">
        <w:rPr>
          <w:lang w:val="en-GB"/>
        </w:rPr>
        <w:t>be introduced</w:t>
      </w:r>
      <w:r w:rsidR="550B6493" w:rsidRPr="5575EBFC">
        <w:rPr>
          <w:lang w:val="en-GB"/>
        </w:rPr>
        <w:t xml:space="preserve"> </w:t>
      </w:r>
      <w:r w:rsidR="368498DD" w:rsidRPr="5575EBFC">
        <w:rPr>
          <w:lang w:val="en-GB"/>
        </w:rPr>
        <w:t xml:space="preserve">to </w:t>
      </w:r>
      <w:r w:rsidR="550B6493" w:rsidRPr="5575EBFC">
        <w:rPr>
          <w:lang w:val="en-GB"/>
        </w:rPr>
        <w:t xml:space="preserve">new areas </w:t>
      </w:r>
      <w:r w:rsidR="0AD0739F" w:rsidRPr="5575EBFC">
        <w:rPr>
          <w:lang w:val="en-GB"/>
        </w:rPr>
        <w:t xml:space="preserve">due to </w:t>
      </w:r>
      <w:r w:rsidR="494BDD6B" w:rsidRPr="5575EBFC">
        <w:rPr>
          <w:lang w:val="en-GB"/>
        </w:rPr>
        <w:lastRenderedPageBreak/>
        <w:t>increased</w:t>
      </w:r>
      <w:r w:rsidR="0AD0739F" w:rsidRPr="5575EBFC">
        <w:rPr>
          <w:lang w:val="en-GB"/>
        </w:rPr>
        <w:t xml:space="preserve"> inundation of coastal areas </w:t>
      </w:r>
      <w:r w:rsidR="39575526" w:rsidRPr="5575EBFC">
        <w:rPr>
          <w:lang w:val="en-GB"/>
        </w:rPr>
        <w:fldChar w:fldCharType="begin"/>
      </w:r>
      <w:r w:rsidR="00331A79">
        <w:rPr>
          <w:lang w:val="en-GB"/>
        </w:rPr>
        <w:instrText xml:space="preserve"> ADDIN ZOTERO_ITEM CSL_CITATION {"citationID":"kY1lA48U","properties":{"formattedCitation":"(McQuaid &amp; Phillips, 2000)","plainCitation":"(McQuaid &amp; Phillips, 2000)","noteIndex":0},"citationItems":[{"id":16204,"uris":["http://zotero.org/groups/2352922/items/3KBN25MV"],"itemData":{"id":16204,"type":"article-journal","abstract":"Dispersal of intertidal mussel propagules was examined by sampling larvae (0.2 to 0.8 mm) of Perna perna in shallow (10 to 20 m) inshore waters on the south coast of South Africa. Mussels were randomly distributed through the water column\nwith no signs of diel vertical migration. Horizontal distribution was sampled on fine scale grids of plankton stations on 5 occasions. Lines of stations ran offshore and were 300 m apart. Within each line, stations were 10 m apart. On each occasion grids\nwere sampled 3 to 4 times in rapid succession so that each station was sampled at intervals of about 1 h. Distribution was patchy and denser clouds of larvae moved in the same direction and at the same speeds as surface currents. Displacement of passive\nparticles moving with wind-driven currents was estimated from wind data. Over periods of 1 mo estimated total displacement was 118 to 220 km depending on month and year. However, because of frequent changes in wind direction, net displacement for any\nmonth was 54 to 164 km to the northeast. These estimates were compared with the rate of spread over 4 yr of an invasive intertidal mussel (Mytilus galloprovincialis) dispersing initially from a single-point source. Spread was estimated as the\nfurthest occurrence of M. galloprovincialis from the parent population. After 4 yr, 90% of individuals sampled were &lt;5 km from the original population. Yearly increase in range between 1988 (introduction to the area) and 1992 was strongly\ndirectional: 55 to 97 km to the northeast and 12 to 29 km to the southwest. The good match with estimates from wind data implies that mussel larvae in this region are dispersed like passive particles and that dispersal direction and ranges can be\npredicted from hydrographic data. The results strongly suggest that maximum effective dispersal of mussel larvae in this area is relatively limited (&lt;100 km), with the great majority of successful recruits appearing within &lt;5 km of the parent\npopulation.","container-title":"Marine Ecology Progress Series","DOI":"10.3354/meps201211","ISSN":"0171-8630, 1616-1599","language":"en","page":"211-220","source":"www.int-res.com","title":"Limited wind-driven dispersal of intertidal mussel larvae: &lt;i&gt;in situ&lt;/i&gt; evidence from the plankton and the spread of the invasive species &lt;i&gt;Mytilus galloprovincialis&lt;/i&gt; in South Africa","title-short":"Limited wind-driven dispersal of intertidal mussel larvae","URL":"https://www.int-res.com/abstracts/meps/v201/p211-220/","volume":"201","author":[{"family":"McQuaid","given":"C. D."},{"family":"Phillips","given":"T. E."}],"accessed":{"date-parts":[["2019",10,24]]},"issued":{"date-parts":[["2000",8,9]]}},"label":"page"}],"schema":"https://github.com/citation-style-language/schema/raw/master/csl-citation.json"} </w:instrText>
      </w:r>
      <w:r w:rsidR="39575526" w:rsidRPr="5575EBFC">
        <w:rPr>
          <w:lang w:val="en-GB"/>
        </w:rPr>
        <w:fldChar w:fldCharType="separate"/>
      </w:r>
      <w:r w:rsidR="6B5F9B9E">
        <w:t>(McQuaid &amp; Phillips, 2000)</w:t>
      </w:r>
      <w:r w:rsidR="39575526" w:rsidRPr="5575EBFC">
        <w:rPr>
          <w:lang w:val="en-GB"/>
        </w:rPr>
        <w:fldChar w:fldCharType="end"/>
      </w:r>
      <w:r w:rsidR="550B6493" w:rsidRPr="5575EBFC">
        <w:rPr>
          <w:lang w:val="en-GB"/>
        </w:rPr>
        <w:t>.</w:t>
      </w:r>
      <w:r w:rsidR="7F4A68E2" w:rsidRPr="5575EBFC">
        <w:rPr>
          <w:lang w:val="en-GB"/>
        </w:rPr>
        <w:t xml:space="preserve"> </w:t>
      </w:r>
      <w:r w:rsidR="5C74A00A" w:rsidRPr="5575EBFC">
        <w:rPr>
          <w:lang w:val="en-GB"/>
        </w:rPr>
        <w:t xml:space="preserve">In Hawaii, the combination of sea level rise and high tide events resulted </w:t>
      </w:r>
      <w:r w:rsidR="368498DD" w:rsidRPr="5575EBFC">
        <w:rPr>
          <w:lang w:val="en-GB"/>
        </w:rPr>
        <w:t xml:space="preserve">in </w:t>
      </w:r>
      <w:r w:rsidR="5C74A00A" w:rsidRPr="5575EBFC">
        <w:rPr>
          <w:lang w:val="en-GB"/>
        </w:rPr>
        <w:t xml:space="preserve">habitat creation, </w:t>
      </w:r>
      <w:r w:rsidR="494BDD6B" w:rsidRPr="5575EBFC">
        <w:rPr>
          <w:lang w:val="en-GB"/>
        </w:rPr>
        <w:t>facilitating</w:t>
      </w:r>
      <w:r w:rsidR="5C74A00A" w:rsidRPr="5575EBFC">
        <w:rPr>
          <w:lang w:val="en-GB"/>
        </w:rPr>
        <w:t xml:space="preserve"> the spread of invasive </w:t>
      </w:r>
      <w:r w:rsidR="56B3FD3C" w:rsidRPr="5575EBFC">
        <w:rPr>
          <w:lang w:val="en-GB"/>
        </w:rPr>
        <w:t xml:space="preserve">alien </w:t>
      </w:r>
      <w:r w:rsidR="5C74A00A" w:rsidRPr="5575EBFC">
        <w:rPr>
          <w:lang w:val="en-GB"/>
        </w:rPr>
        <w:t>fish (e.g</w:t>
      </w:r>
      <w:r w:rsidR="417335BF" w:rsidRPr="5575EBFC">
        <w:rPr>
          <w:lang w:val="en-GB"/>
        </w:rPr>
        <w:t xml:space="preserve">., </w:t>
      </w:r>
      <w:r w:rsidR="5C74A00A" w:rsidRPr="5575EBFC">
        <w:rPr>
          <w:lang w:val="en-GB"/>
        </w:rPr>
        <w:t xml:space="preserve">tilapias) from fishponds to nearby anchialine pools </w:t>
      </w:r>
      <w:r w:rsidR="39575526" w:rsidRPr="5575EBFC">
        <w:rPr>
          <w:lang w:val="en-GB"/>
        </w:rPr>
        <w:fldChar w:fldCharType="begin"/>
      </w:r>
      <w:r w:rsidR="00331A79">
        <w:rPr>
          <w:lang w:val="en-GB"/>
        </w:rPr>
        <w:instrText xml:space="preserve"> ADDIN ZOTERO_ITEM CSL_CITATION {"citationID":"zOjG5KO3","properties":{"formattedCitation":"(Marrack, 2016)","plainCitation":"(Marrack, 2016)","noteIndex":0},"citationItems":[{"id":30774,"uris":["http://zotero.org/groups/2352922/items/N8TTV2CC"],"itemData":{"id":30774,"type":"article-journal","abstract":"Global mean sea levels may rise between 0.75 and 1.9 m by 2100 changing the distribution and community structure of coastal ecosystems due to flooding, erosion, and saltwater intrusion. Although habitats will be inundated, ecosystems have the potential to shift inland, and endemic species may persist if conditions are favorable. Predictions of ecosystem migration due to sea level rise need to account for current stressors, which may reduce the resilience of these ecosystems. This study predicts the potential consequences of sea level rise on the groundwater-fed anchialine pool ecosystem in Hawaii. Scenarios of marine and groundwater inundation were compared with current patterns of habitat, introduced fishes, and land use. Results show that current habitats containing endemic anchialine shrimp will be increasingly inundated by marine waters. New habitats will emerge in areas that are low lying and undeveloped. Because of subsurface hydrologic connectivity, endemic shrimp are likely to populate these new habitats by moving through the coastal aquifer. In some areas, rising sea levels will provide surface connectivity between pools currently containing introduced fishes (tilapia, poeciliids) and up to 46 % of new or existing pools that do not contain these fish. Results predicting future habitat distribution and condition due to sea level rise will support conservation planning. Additionally, the interdisciplinary approach may provide guidance for efforts in other coastal aquatic ecosystems.","container-title":"Estuaries and Coasts","DOI":"10.1007/s12237-015-0025-5","ISSN":"1559-2731","issue":"3","journalAbbreviation":"Estuaries and Coasts","language":"en","page":"781-797","source":"Springer Link","title":"Modeling Potential Shifts in Hawaiian Anchialine Pool Habitat and Introduced Fish Distribution due to Sea Level Rise","URL":"https://doi.org/10.1007/s12237-015-0025-5","volume":"39","author":[{"family":"Marrack","given":"Lisa"}],"accessed":{"date-parts":[["2021",10,16]]},"issued":{"date-parts":[["2016",5,1]]}},"label":"page"}],"schema":"https://github.com/citation-style-language/schema/raw/master/csl-citation.json"} </w:instrText>
      </w:r>
      <w:r w:rsidR="39575526" w:rsidRPr="5575EBFC">
        <w:rPr>
          <w:lang w:val="en-GB"/>
        </w:rPr>
        <w:fldChar w:fldCharType="separate"/>
      </w:r>
      <w:r w:rsidR="6B5F9B9E">
        <w:t>(Marrack, 2016)</w:t>
      </w:r>
      <w:r w:rsidR="39575526" w:rsidRPr="5575EBFC">
        <w:rPr>
          <w:lang w:val="en-GB"/>
        </w:rPr>
        <w:fldChar w:fldCharType="end"/>
      </w:r>
      <w:r w:rsidR="5C74A00A" w:rsidRPr="5575EBFC">
        <w:rPr>
          <w:lang w:val="en-GB"/>
        </w:rPr>
        <w:t>.</w:t>
      </w:r>
    </w:p>
    <w:p w14:paraId="561FE011" w14:textId="7B1556A9" w:rsidR="008502BE" w:rsidRPr="00DA249F" w:rsidRDefault="22896697" w:rsidP="00653718">
      <w:pPr>
        <w:rPr>
          <w:lang w:val="en-GB"/>
        </w:rPr>
      </w:pPr>
      <w:r w:rsidRPr="00DA249F">
        <w:rPr>
          <w:lang w:val="en-GB"/>
        </w:rPr>
        <w:t xml:space="preserve">Sea level rise, via the effect of </w:t>
      </w:r>
      <w:r w:rsidR="0041196E" w:rsidRPr="00DA249F">
        <w:rPr>
          <w:lang w:val="en-GB"/>
        </w:rPr>
        <w:t>saltwater</w:t>
      </w:r>
      <w:r w:rsidRPr="00DA249F">
        <w:rPr>
          <w:lang w:val="en-GB"/>
        </w:rPr>
        <w:t xml:space="preserve"> intrusion into freshwater ecosystems and increased water salinity, may also </w:t>
      </w:r>
      <w:r w:rsidR="00AF0784" w:rsidRPr="00DA249F">
        <w:rPr>
          <w:lang w:val="en-GB"/>
        </w:rPr>
        <w:t xml:space="preserve">shift selection pressures and </w:t>
      </w:r>
      <w:r w:rsidRPr="00DA249F">
        <w:rPr>
          <w:lang w:val="en-GB"/>
        </w:rPr>
        <w:t xml:space="preserve">facilitate the establishment </w:t>
      </w:r>
      <w:r w:rsidR="00AF0784" w:rsidRPr="00DA249F">
        <w:rPr>
          <w:lang w:val="en-GB"/>
        </w:rPr>
        <w:t>of invasive alien species</w:t>
      </w:r>
      <w:r w:rsidRPr="00DA249F">
        <w:rPr>
          <w:lang w:val="en-GB"/>
        </w:rPr>
        <w:t xml:space="preserve">. Evidence from coastal areas in the United States </w:t>
      </w:r>
      <w:r w:rsidRPr="00DA249F">
        <w:rPr>
          <w:lang w:val="en-GB"/>
        </w:rPr>
        <w:fldChar w:fldCharType="begin"/>
      </w:r>
      <w:r w:rsidR="00331A79">
        <w:rPr>
          <w:lang w:val="en-GB"/>
        </w:rPr>
        <w:instrText xml:space="preserve"> ADDIN ZOTERO_ITEM CSL_CITATION {"citationID":"mcoETtNt","properties":{"formattedCitation":"(K. Williams et al., 1999)","plainCitation":"(K. Williams et al., 1999)","noteIndex":0},"citationItems":[{"id":21576,"uris":["http://zotero.org/groups/2352922/items/IFS8U8R3"],"itemData":{"id":21576,"type":"article-journal","abstract":"We investigated patterns, rates, and mechanisms of forest replacement by salt marsh in relation to sea-level rise on the west coast of Florida, USA. The geomorphology of this region typifies that of low-lying, limestone coastlines considered highly susceptible to sea-level rise (e.g., much of the eastern Gulf of Mexico, the Yucatan Peninsula, and low-lying limestone islands throughout the world). This coast is microtidal, shallowly sloping, and has a rate of relative sea-level rise similar to that of eustatic rise. To determine patterns of forest change in relation to sea-level rise, we examined patterns of tree species zonation, tree recruitment, and tree mortality in relation to site elevation and tidal-flooding frequency. To reconstruct histories of forest change in relation to sea-level rise, we estimated age distributions of Sabal palmetto, the most widely distributed tree species at our site, relating age structures of stands to reconstructed histories of tidal flooding in the stands. Finally, to assess the relative roles of flooding stress (hypoxia), salt exposure, and competition from encroaching salt-marsh vegetation in the decline of forest stands, we examined patterns of soil redox potential, groundwater salinity, and density of halophytic vegetation among stands in different stages of decline. Zonation among tree species was related to tidal-flooding frequency. For most trees, seedlings were absent from the most frequently flooded stands in which the species occurred. Reconstructed flooding histories of stands and age estimates for S. palmetto suggest that many decades elapse between cessation of regeneration and local elimination of a tree species. Even during the relatively short duration of the study (4 yr), however, composition of some stands changed in the direction predicted from species zonation and sea-level rise. Forest understory replacement by halophytic vegetation appeared to follow, rather than cause, failure of tree regeneration. Tidal flooding rarely produced severe reducing conditions in soil, but groundwater salinity was correlated with tidal-flooding frequency. Forest retreat in this system, therefore, involves the development of relict (non-regenerating) stands of different tree species at different flooding frequencies. Exposure to salt appears to be the major cause of tree regeneration failure, with flooding stress and interference from marsh vegetation playing minor or negligible roles. These interactions differ somewhat from those on deltaic coasts or coasts with high freshwater outflows, where flooding stress may play a larger role in regeneration failure, and from sandy coasts, where erosion may play a larger role in forest retreat. Regardless of the cause of tree regeneration failure, the development of relict stands may be a general forest response to sea-level rise.","container-title":"Ecology","DOI":"10.1890/0012-9658(1999)080[2045:SLRACF]2.0.CO;2","ISSN":"1939-9170","issue":"6","language":"en","license":"© 1999 by the Ecological Society of America","note":"_eprint: https://esajournals.onlinelibrary.wiley.com/doi/pdf/10.1890/0012-9658%281999%29080%5B2045%3ASLRACF%5D2.0.CO%3B2","page":"2045-2063","source":"Wiley Online Library","title":"Sea-Level Rise and Coastal Forest Retreat on the West Coast of Florida, Usa","URL":"https://esajournals.onlinelibrary.wiley.com/doi/abs/10.1890/0012-9658%281999%29080%5B2045%3ASLRACF%5D2.0.CO%3B2","volume":"80","author":[{"family":"Williams","given":"Kimberlyn"},{"family":"Ewel","given":"Katherine C."},{"family":"Stumpf","given":"Richard P."},{"family":"Putz","given":"Francis E."},{"family":"Workman","given":"Thomas W."}],"accessed":{"date-parts":[["2020",3,27]]},"issued":{"date-parts":[["1999"]]}},"label":"page"}],"schema":"https://github.com/citation-style-language/schema/raw/master/csl-citation.json"} </w:instrText>
      </w:r>
      <w:r w:rsidRPr="00DA249F">
        <w:rPr>
          <w:lang w:val="en-GB"/>
        </w:rPr>
        <w:fldChar w:fldCharType="separate"/>
      </w:r>
      <w:r w:rsidR="00144D96" w:rsidRPr="00144D96">
        <w:t>(K. Williams et al., 1999)</w:t>
      </w:r>
      <w:r w:rsidRPr="00DA249F">
        <w:rPr>
          <w:lang w:val="en-GB"/>
        </w:rPr>
        <w:fldChar w:fldCharType="end"/>
      </w:r>
      <w:r w:rsidRPr="00DA249F">
        <w:rPr>
          <w:lang w:val="en-GB"/>
        </w:rPr>
        <w:t xml:space="preserve">, Australia </w:t>
      </w:r>
      <w:r w:rsidRPr="00DA249F">
        <w:rPr>
          <w:lang w:val="en-GB"/>
        </w:rPr>
        <w:fldChar w:fldCharType="begin"/>
      </w:r>
      <w:r w:rsidR="00331A79">
        <w:rPr>
          <w:lang w:val="en-GB"/>
        </w:rPr>
        <w:instrText xml:space="preserve"> ADDIN ZOTERO_ITEM CSL_CITATION {"citationID":"vBiu7XBx","properties":{"formattedCitation":"(Traill et al., 2011)","plainCitation":"(Traill et al., 2011)","noteIndex":0},"citationItems":[{"id":11702,"uris":["http://zotero.org/groups/2352922/items/97FCPCNM"],"itemData":{"id":11702,"type":"article-journal","abstract":"Aim Global sea-level rise (SLR) could be as much as 1.8 metres by 2100, which will impact coastal wetland communities and threatened species. We evaluated the likely outcomes of SLR for wetland communities using a process-based simulation model and coupled this with a metapopulation model for a threatened native rodent (Xeromys myoides). Furthermore, we tested the amplified impacts of SLR, urban growth and introduced predators on X. myoides persistence. Location South-east Queensland, Australia. Methods We adapted the Sea Level Affects Marshes Model to subtropical Australia. We used LiDAR elevation data, field data to parameterize surface accretion and shallow subsidence, and local knowledge to configure wetland transitions. SLR was simulated based on the IPCC B1 and A1FI scenarios, as well as the maximal limit of 1.8 m by 2100. Further, we coupled our demographic model to projected shifts in wetland habitat, and estimates of future wetland loss to urban expansion and feral cat (Felis catus) predation. Results Our models project a general decline in wetland communities under SLR, with a noted exception of mangroves. Under the A1FI scenario, SLR allows mangroves to migrate inland, with urban development acting as an obstruction in some areas. Mangrove expansion provides an unexpected benefit for dependent X. myoides populations, although the inclusion of predation and habitat loss due to urban development still suggests extirpation in c. 50 years. Main conclusions Through this case study, we illustrate the usefulness of process-based SLR models in understanding outcomes for wetland communities and dependent species. Our models will underscore decision-making in a dynamic system, with global applications for urban planning, conservation prioritization and wildlife management.","container-title":"Diversity and Distributions","DOI":"10.1111/j.1472-4642.2011.00807.x","ISSN":"13669516","issue":"6","page":"1225-1233","title":"Managing for Change: Wetland Transitions under Sea-Level Rise and Outcomes for Threatened Species","volume":"17","author":[{"family":"Traill","given":"Lochran W."},{"family":"Perhans","given":"Karin"},{"family":"Lovelock","given":"Catherine E."},{"family":"Prohaska","given":"Ana"},{"family":"McFallan","given":"Steve"},{"family":"Rhodes","given":"Jonathan R."},{"family":"Wilson","given":"Kerrie A."}],"issued":{"date-parts":[["2011",11]]}},"label":"page"}],"schema":"https://github.com/citation-style-language/schema/raw/master/csl-citation.json"} </w:instrText>
      </w:r>
      <w:r w:rsidRPr="00DA249F">
        <w:rPr>
          <w:lang w:val="en-GB"/>
        </w:rPr>
        <w:fldChar w:fldCharType="separate"/>
      </w:r>
      <w:r w:rsidR="00144D96" w:rsidRPr="00144D96">
        <w:t>(Traill et al., 2011)</w:t>
      </w:r>
      <w:r w:rsidRPr="00DA249F">
        <w:rPr>
          <w:lang w:val="en-GB"/>
        </w:rPr>
        <w:fldChar w:fldCharType="end"/>
      </w:r>
      <w:r w:rsidRPr="00DA249F">
        <w:rPr>
          <w:rStyle w:val="CommentReference"/>
          <w:lang w:val="en-GB"/>
        </w:rPr>
        <w:t xml:space="preserve"> </w:t>
      </w:r>
      <w:r w:rsidRPr="00DA249F">
        <w:rPr>
          <w:rStyle w:val="CommentReference"/>
          <w:sz w:val="22"/>
          <w:szCs w:val="22"/>
          <w:lang w:val="en-GB"/>
        </w:rPr>
        <w:t>and</w:t>
      </w:r>
      <w:r w:rsidRPr="00DA249F">
        <w:rPr>
          <w:lang w:val="en-GB"/>
        </w:rPr>
        <w:t xml:space="preserve"> China </w:t>
      </w:r>
      <w:r w:rsidRPr="00DA249F">
        <w:rPr>
          <w:lang w:val="en-GB"/>
        </w:rPr>
        <w:fldChar w:fldCharType="begin"/>
      </w:r>
      <w:r w:rsidR="00F5121E">
        <w:rPr>
          <w:lang w:val="en-GB"/>
        </w:rPr>
        <w:instrText xml:space="preserve"> ADDIN ZOTERO_ITEM CSL_CITATION {"citationID":"wwVBfC6O","properties":{"formattedCitation":"(W. Wang et al., 2015)","plainCitation":"(W. Wang et al., 2015)","noteIndex":0},"citationItems":[{"id":21574,"uris":["http://zotero.org/groups/2352922/items/CPWUY4WB"],"itemData":{"id":21574,"type":"article-journal","abstract":"Projections of climate change impacts over the coming decades suggest that rising sea levels will flood coastal wetlands, moving the range of wetlands inland from the current coastline. The intensity of flooding in wetland areas will thus increase, with corresponding impacts on soil properties and coastal ecosystems. We studied the impacts of two levels of water inundation on the concentration and stoichiometry of soil carbon, nitrogen, phosphorus and sulfur in areas dominated by the native C3 species Scirpus triqueter L., the native C4 species Cyperus malaccensis var. brevifolius Boecklr. and the invasive Gramineae C3 species Phragmites australis (Cav.) Trin. ex Steud in the Shanyutan wetland areas of the Minjiang River estuary in China. Comparison of the communities dominated by these three species in high- and low-water flood habitats showed that flooding enhanced anaerobiosis and salinity and altered the carbon and nitrogen plant–soil cycles. Higher flooding favored the invasive species more than the two native species. The invasive P. australis accumulated more carbon (65% increase in aboveground biomass), and took up more nitrogen under high flooding than did C. malaccensis and S. triqueter. The more conservative use of soil resources, particularly the limiting nutrient N, appeared to underlie the higher capacity of the invasive species to tolerate higher flooding intensity. Increases in flooding may thus enhance the success and expansion of the invasive P. australis to the detriment of the native plant species in these Chinese wetlands.","container-title":"Catena","DOI":"10.1016/j.catena.2015.01.017","ISSN":"0341-8162","language":"en","page":"144-154","source":"ScienceDirect","title":"Flood regime affects soil stoichiometry and the distribution of the invasive plants in subtropical estuarine wetlands in China","URL":"http://www.sciencedirect.com/science/article/pii/S0341816215000223","volume":"128","author":[{"family":"Wang","given":"Weiqi"},{"family":"Wang","given":"Chun"},{"family":"Sardans","given":"Jordi"},{"family":"Tong","given":"Chuan"},{"family":"Jia","given":"Ruixia"},{"family":"Zeng","given":"Congsheng"},{"family":"Peñuelas","given":"Josep"}],"accessed":{"date-parts":[["2020",3,29]]},"issued":{"date-parts":[["2015",5,1]]}},"label":"page"}],"schema":"https://github.com/citation-style-language/schema/raw/master/csl-citation.json"} </w:instrText>
      </w:r>
      <w:r w:rsidRPr="00DA249F">
        <w:rPr>
          <w:lang w:val="en-GB"/>
        </w:rPr>
        <w:fldChar w:fldCharType="separate"/>
      </w:r>
      <w:r w:rsidR="00144D96" w:rsidRPr="00144D96">
        <w:t>(W. Wang et al., 2015)</w:t>
      </w:r>
      <w:r w:rsidRPr="00DA249F">
        <w:rPr>
          <w:lang w:val="en-GB"/>
        </w:rPr>
        <w:fldChar w:fldCharType="end"/>
      </w:r>
      <w:r w:rsidRPr="00DA249F">
        <w:rPr>
          <w:lang w:val="en-GB"/>
        </w:rPr>
        <w:t xml:space="preserve"> show that sea level rise </w:t>
      </w:r>
      <w:r w:rsidR="00B90282" w:rsidRPr="00DA249F">
        <w:rPr>
          <w:lang w:val="en-GB"/>
        </w:rPr>
        <w:t xml:space="preserve">may </w:t>
      </w:r>
      <w:r w:rsidRPr="00DA249F">
        <w:rPr>
          <w:lang w:val="en-GB"/>
        </w:rPr>
        <w:t xml:space="preserve">alter </w:t>
      </w:r>
      <w:r w:rsidR="00B90282" w:rsidRPr="00DA249F">
        <w:rPr>
          <w:lang w:val="en-GB"/>
        </w:rPr>
        <w:t>soil chemistry and</w:t>
      </w:r>
      <w:r w:rsidRPr="00DA249F">
        <w:rPr>
          <w:lang w:val="en-GB"/>
        </w:rPr>
        <w:t xml:space="preserve"> nat</w:t>
      </w:r>
      <w:r w:rsidR="00406DDA" w:rsidRPr="00DA249F">
        <w:rPr>
          <w:lang w:val="en-GB"/>
        </w:rPr>
        <w:t>ive</w:t>
      </w:r>
      <w:r w:rsidRPr="00DA249F">
        <w:rPr>
          <w:lang w:val="en-GB"/>
        </w:rPr>
        <w:t xml:space="preserve"> vegetation patterns in coastal wetlands or native forests, selecting for species with a higher tolerance to saline habitats and where present, allow invasive </w:t>
      </w:r>
      <w:r w:rsidR="002A0EE8" w:rsidRPr="00DA249F">
        <w:rPr>
          <w:lang w:val="en-GB"/>
        </w:rPr>
        <w:t xml:space="preserve">alien </w:t>
      </w:r>
      <w:r w:rsidRPr="00DA249F">
        <w:rPr>
          <w:lang w:val="en-GB"/>
        </w:rPr>
        <w:t xml:space="preserve">species to dominate. </w:t>
      </w:r>
      <w:r w:rsidR="00457E55">
        <w:rPr>
          <w:lang w:val="en-GB"/>
        </w:rPr>
        <w:t>I</w:t>
      </w:r>
      <w:r w:rsidRPr="00DA249F">
        <w:rPr>
          <w:lang w:val="en-GB"/>
        </w:rPr>
        <w:t xml:space="preserve">ncreased tolerance of the </w:t>
      </w:r>
      <w:r w:rsidR="00086A78" w:rsidRPr="00DA249F">
        <w:rPr>
          <w:lang w:val="en-GB"/>
        </w:rPr>
        <w:t xml:space="preserve">alien </w:t>
      </w:r>
      <w:r w:rsidRPr="00DA249F">
        <w:rPr>
          <w:lang w:val="en-GB"/>
        </w:rPr>
        <w:t xml:space="preserve">haplotype of </w:t>
      </w:r>
      <w:r w:rsidRPr="00DA249F">
        <w:rPr>
          <w:i/>
          <w:iCs/>
          <w:lang w:val="en-GB"/>
        </w:rPr>
        <w:t>Phragmites australis</w:t>
      </w:r>
      <w:r w:rsidR="00273446" w:rsidRPr="00DA249F">
        <w:rPr>
          <w:i/>
          <w:iCs/>
          <w:lang w:val="en-GB"/>
        </w:rPr>
        <w:t xml:space="preserve"> </w:t>
      </w:r>
      <w:r w:rsidR="00273446" w:rsidRPr="00DA249F">
        <w:rPr>
          <w:iCs/>
          <w:lang w:val="en-GB"/>
        </w:rPr>
        <w:t>(common reed)</w:t>
      </w:r>
      <w:r w:rsidRPr="00DA249F">
        <w:rPr>
          <w:i/>
          <w:iCs/>
          <w:lang w:val="en-GB"/>
        </w:rPr>
        <w:t xml:space="preserve"> </w:t>
      </w:r>
      <w:r w:rsidRPr="00DA249F">
        <w:rPr>
          <w:lang w:val="en-GB"/>
        </w:rPr>
        <w:t>has allowed it to spread through native salt marshes in the Atlantic and Gulf Coastal areas</w:t>
      </w:r>
      <w:r w:rsidRPr="00DA249F">
        <w:rPr>
          <w:i/>
          <w:iCs/>
          <w:lang w:val="en-GB"/>
        </w:rPr>
        <w:t xml:space="preserve"> </w:t>
      </w:r>
      <w:r w:rsidRPr="00DA249F">
        <w:rPr>
          <w:lang w:val="en-GB"/>
        </w:rPr>
        <w:fldChar w:fldCharType="begin"/>
      </w:r>
      <w:r w:rsidR="00710AC3">
        <w:rPr>
          <w:lang w:val="en-GB"/>
        </w:rPr>
        <w:instrText xml:space="preserve"> ADDIN ZOTERO_ITEM CSL_CITATION {"citationID":"KYnF8hUU","properties":{"formattedCitation":"(Bhattarai &amp; Cronin, 2014; Vasquez et al., 2005)","plainCitation":"(Bhattarai &amp; Cronin, 2014; Vasquez et al., 2005)","noteIndex":0},"citationItems":[{"id":29788,"uris":["http://zotero.org/groups/2352922/items/X8XJMN8A"],"itemData":{"id":29788,"type":"article-journal","abstract":"Disturbances are a primary facilitator of the growth and spread of invasive species. However, the effects of large-scale disturbances, such as hurricanes and tropical storms, on the broad geographic patterns of invasive species growth and spread have not been investigated. We used historical aerial imagery to determine the growth rate of invasive Phragmites australis patches in wetlands along the Atlantic and Gulf Coasts of the United States. These were relatively undisturbed wetlands where P. australis had room for unrestricted growth. Over the past several decades, invasive P. australis stands expanded in size by 6–35% per year. Based on tropical storm and hurricane activity over that same time period, we found that the frequency of hurricane-force winds explained 81% of the variation in P. australis growth over this broad geographic range. The expansion of P. australis stands was strongly and positively correlated with hurricane frequency. In light of the many climatic models that predict an increase in the frequency and intensity of hurricanes over the next century, these results suggest a strong link between climate change and species invasion and a challenging future ahead for the management of invasive species.","container-title":"PLoS ONE","DOI":"10.1371/journal.pone.0098478","ISSN":"1932-6203","issue":"5","journalAbbreviation":"PLoS ONE","language":"en","page":"e98478","source":"PLoS Journals","title":"Hurricane Activity and the Large-Scale Pattern of Spread of an Invasive Plant Species","URL":"https://journals.plos.org/plosone/article?id=10.1371/journal.pone.0098478","volume":"9","author":[{"family":"Bhattarai","given":"Ganesh P."},{"family":"Cronin","given":"James T."}],"accessed":{"date-parts":[["2019",10,25]]},"issued":{"date-parts":[["2014",5,30]]}},"label":"page"},{"id":21579,"uris":["http://zotero.org/groups/2352922/items/SCL37T95"],"itemData":{"id":21579,"type":"article-journal","abstract":"A distinct, non-native haplotype of the common reed Phragmites australis has become invasive in Atlantic coastal Spartina marshes. We compared the salt tolerance and other growth characteristics of the invasive M haplotype with 2 native haplotypes (F and AC) in greenhouse experiments. The M haplotype retained 50% of its growth potential up to 0.4 M NaCl, whereas the F and AC haplotypes did not grow above 0.1 M NaCl. The M haplotype produced more shoots per gram of rhizome tissue and had higher relative growth rates than the native haplotypes on both freshwater and saline water treatments. The M haplotype also differed from the native haplotypes in shoot water content and the biometrics of shoots and rhizomes. The results offer an explanation for how the M haplotype is able to spread in coastal salt marshes and support the conclusion of DNA analyses that the M haplotype is a distinct ecotype of P. australis.","container-title":"Marine Ecology Progress Series","DOI":"10.3354/meps298001","ISSN":"0171-8630, 1616-1599","language":"en","page":"1-8","source":"www.int-res.com","title":"Salt tolerance underlies the cryptic invasion of North American salt marshes by an introduced haplotype of the common reed &lt;i&gt;Phragmites australis&lt;/i&gt; (Poaceae)","URL":"https://www.int-res.com/abstracts/meps/v298/p1-8/","volume":"298","author":[{"family":"Vasquez","given":"Edward A."},{"family":"Glenn","given":"Edward P."},{"family":"Brown","given":"J. Jed"},{"family":"Guntenspergen","given":"Glenn R."},{"family":"Nelson","given":"Stephen G."}],"accessed":{"date-parts":[["2020",3,28]]},"issued":{"date-parts":[["2005",8,15]]}},"label":"page"}],"schema":"https://github.com/citation-style-language/schema/raw/master/csl-citation.json"} </w:instrText>
      </w:r>
      <w:r w:rsidRPr="00DA249F">
        <w:rPr>
          <w:lang w:val="en-GB"/>
        </w:rPr>
        <w:fldChar w:fldCharType="separate"/>
      </w:r>
      <w:r w:rsidR="002535C9" w:rsidRPr="002535C9">
        <w:t>(Bhattarai &amp; Cronin, 2014; Vasquez et al., 2005)</w:t>
      </w:r>
      <w:r w:rsidRPr="00DA249F">
        <w:rPr>
          <w:lang w:val="en-GB"/>
        </w:rPr>
        <w:fldChar w:fldCharType="end"/>
      </w:r>
      <w:r w:rsidRPr="00DA249F">
        <w:rPr>
          <w:lang w:val="en-GB"/>
        </w:rPr>
        <w:t xml:space="preserve">. Similarly, </w:t>
      </w:r>
      <w:r w:rsidR="00523E8F" w:rsidRPr="00DA249F">
        <w:rPr>
          <w:rStyle w:val="html-italic"/>
          <w:i/>
          <w:iCs/>
          <w:shd w:val="clear" w:color="auto" w:fill="FFFFFF"/>
          <w:lang w:val="en-GB"/>
        </w:rPr>
        <w:t>Osteopilus</w:t>
      </w:r>
      <w:r w:rsidR="00523E8F" w:rsidRPr="00DA249F">
        <w:rPr>
          <w:lang w:val="en-GB"/>
        </w:rPr>
        <w:t xml:space="preserve"> </w:t>
      </w:r>
      <w:r w:rsidR="00523E8F" w:rsidRPr="00DA249F">
        <w:rPr>
          <w:i/>
          <w:lang w:val="en-GB"/>
        </w:rPr>
        <w:t>septentrionalis</w:t>
      </w:r>
      <w:r w:rsidR="00523E8F" w:rsidRPr="00DA249F">
        <w:rPr>
          <w:lang w:val="en-GB"/>
        </w:rPr>
        <w:t xml:space="preserve"> </w:t>
      </w:r>
      <w:r w:rsidRPr="00DA249F">
        <w:rPr>
          <w:lang w:val="en-GB"/>
        </w:rPr>
        <w:t>(</w:t>
      </w:r>
      <w:r w:rsidR="00523E8F" w:rsidRPr="00DA249F">
        <w:rPr>
          <w:lang w:val="en-GB"/>
        </w:rPr>
        <w:t>Cuban tree frog</w:t>
      </w:r>
      <w:r w:rsidRPr="00DA249F">
        <w:rPr>
          <w:lang w:val="en-GB"/>
        </w:rPr>
        <w:t xml:space="preserve">), </w:t>
      </w:r>
      <w:r w:rsidR="00457E55">
        <w:rPr>
          <w:lang w:val="en-GB"/>
        </w:rPr>
        <w:t xml:space="preserve">an </w:t>
      </w:r>
      <w:r w:rsidRPr="00DA249F">
        <w:rPr>
          <w:lang w:val="en-GB"/>
        </w:rPr>
        <w:t xml:space="preserve">invasive </w:t>
      </w:r>
      <w:r w:rsidR="00840BB6" w:rsidRPr="00DA249F">
        <w:rPr>
          <w:lang w:val="en-GB"/>
        </w:rPr>
        <w:t xml:space="preserve">alien species </w:t>
      </w:r>
      <w:r w:rsidRPr="00DA249F">
        <w:rPr>
          <w:lang w:val="en-GB"/>
        </w:rPr>
        <w:t xml:space="preserve">in the </w:t>
      </w:r>
      <w:r w:rsidR="00BA3C6C" w:rsidRPr="00DA249F">
        <w:rPr>
          <w:lang w:val="en-GB"/>
        </w:rPr>
        <w:t>United States</w:t>
      </w:r>
      <w:r w:rsidR="00523E8F" w:rsidRPr="00DA249F">
        <w:rPr>
          <w:lang w:val="en-GB"/>
        </w:rPr>
        <w:t xml:space="preserve">, </w:t>
      </w:r>
      <w:r w:rsidRPr="00DA249F">
        <w:rPr>
          <w:lang w:val="en-GB"/>
        </w:rPr>
        <w:t xml:space="preserve">is tolerant to increased salinity which can facilitate its spread and establishment in coastal environments </w:t>
      </w:r>
      <w:r w:rsidR="00266D23" w:rsidRPr="00DA249F">
        <w:rPr>
          <w:lang w:val="en-GB"/>
        </w:rPr>
        <w:fldChar w:fldCharType="begin"/>
      </w:r>
      <w:r w:rsidR="00331A79">
        <w:rPr>
          <w:lang w:val="en-GB"/>
        </w:rPr>
        <w:instrText xml:space="preserve"> ADDIN ZOTERO_ITEM CSL_CITATION {"citationID":"b90c02Ue","properties":{"formattedCitation":"(M. E. Brown &amp; Walls, 2013)","plainCitation":"(M. E. Brown &amp; Walls, 2013)","noteIndex":0},"citationItems":[{"id":21585,"uris":["http://zotero.org/groups/2352922/items/4JX2KPWU"],"itemData":{"id":21585,"type":"article-journal","container-title":"Copeia","DOI":"10.1643/CH-12-159","ISSN":"0045-8511, 1938-5110","issue":"3","journalAbbreviation":"Copeia","language":"en","page":"543-551","source":"DOI.org (Crossref)","title":"Variation in Salinity Tolerance among Larval Anurans: Implications for Community Composition and the Spread of an Invasive, Non-native Species","title-short":"Variation in Salinity Tolerance among Larval Anurans","URL":"http://www.bioone.org/doi/abs/10.1643/CH-12-159","volume":"2013","author":[{"family":"Brown","given":"Mary E."},{"family":"Walls","given":"Susan C."}],"accessed":{"date-parts":[["2020",3,27]]},"issued":{"date-parts":[["2013",9,27]]}},"label":"page"}],"schema":"https://github.com/citation-style-language/schema/raw/master/csl-citation.json"} </w:instrText>
      </w:r>
      <w:r w:rsidR="00266D23" w:rsidRPr="00DA249F">
        <w:rPr>
          <w:lang w:val="en-GB"/>
        </w:rPr>
        <w:fldChar w:fldCharType="separate"/>
      </w:r>
      <w:r w:rsidR="00144D96" w:rsidRPr="00144D96">
        <w:t>(M. E. Brown &amp; Walls, 2013)</w:t>
      </w:r>
      <w:r w:rsidR="00266D23" w:rsidRPr="00DA249F">
        <w:rPr>
          <w:lang w:val="en-GB"/>
        </w:rPr>
        <w:fldChar w:fldCharType="end"/>
      </w:r>
      <w:r w:rsidR="00266D23" w:rsidRPr="00DA249F">
        <w:rPr>
          <w:lang w:val="en-GB"/>
        </w:rPr>
        <w:t xml:space="preserve">. </w:t>
      </w:r>
      <w:r w:rsidRPr="00DA249F">
        <w:rPr>
          <w:lang w:val="en-GB"/>
        </w:rPr>
        <w:t xml:space="preserve">Verbrugge et al </w:t>
      </w:r>
      <w:r w:rsidRPr="00DA249F">
        <w:rPr>
          <w:lang w:val="en-GB"/>
        </w:rPr>
        <w:fldChar w:fldCharType="begin"/>
      </w:r>
      <w:r w:rsidR="00331A79">
        <w:rPr>
          <w:lang w:val="en-GB"/>
        </w:rPr>
        <w:instrText xml:space="preserve"> ADDIN ZOTERO_ITEM CSL_CITATION {"citationID":"OKrXnBZi","properties":{"formattedCitation":"(2012)","plainCitation":"(2012)","noteIndex":0},"citationItems":[{"id":21577,"uris":["http://zotero.org/groups/2352922/items/YN8L6MY3"],"itemData":{"id":21577,"type":"article-journal","abstract":"Climate change may strongly affect the abiotic conditions in riverine ecosystems, for example by changing water temperature regimes and salinisation due to sea water intrusion and evaporation. We analysed the effects of changes in water temperature and salinity on the species pool of freshwater molluscs in the river Rhine. Species sensitivity distributions (SSDs) for maximum temperature and salinity tolerance were constructed for native and non-native species that are currently present in the river Rhine. The maximum temperature tolerance was significantly higher for non-native mollusc species than native ones. For salinity tolerance, no significant difference was found between the two groups. The SSDs were used to determine the potentially not occurring fractions (PNOFs) of each species group corresponding with the yearly maximum water temperature and salinity levels recorded in (1) different river sections for the extreme warm and dry year 2003, and (2) the river Rhine at Lobith (The Netherlands) over the period 1960–2009. Changing temperature and salinity conditions in the river Rhine over the past 50 years corresponded with a net increase in PNOF for native species. This was mainly due to rising river water temperatures, which had a larger influence than decreasing salinity levels. For non-native species no change in PNOF was found, indicating that future temperature rise will disproportionally affect native mollusc species. Validation of the PNOF estimated for Lobith with the not occurring fraction (NOF) of mollusc species derived from monitoring data revealed similar trends for native as well as non-native mollusc species richness. The increase in the PNOF accounted for 14% of the increase in the NOF. The construction and application of SSDs appeared a promising approach to address the separate and combined effects of changing abiotic conditions on native and non-native species pools.","container-title":"Biological Invasions","DOI":"10.1007/s10530-011-0148-y","ISSN":"1573-1464","issue":"6","journalAbbreviation":"Biol Invasions","language":"en","page":"1187-1199","source":"Springer Link","title":"Sensitivity of native and non-native mollusc species to changing river water temperature and salinity","URL":"https://doi.org/10.1007/s10530-011-0148-y","volume":"14","author":[{"family":"Verbrugge","given":"Laura N. H."},{"family":"Schipper","given":"Aafke M."},{"family":"Huijbregts","given":"Mark A. J."},{"family":"Van der Velde","given":"Gerard"},{"family":"Leuven","given":"Rob S. E. W."}],"accessed":{"date-parts":[["2020",3,30]]},"issued":{"date-parts":[["2012",6,1]]}},"label":"page","suppress-author":true}],"schema":"https://github.com/citation-style-language/schema/raw/master/csl-citation.json"} </w:instrText>
      </w:r>
      <w:r w:rsidRPr="00DA249F">
        <w:rPr>
          <w:lang w:val="en-GB"/>
        </w:rPr>
        <w:fldChar w:fldCharType="separate"/>
      </w:r>
      <w:r w:rsidR="00144D96" w:rsidRPr="00144D96">
        <w:t>(2012)</w:t>
      </w:r>
      <w:r w:rsidRPr="00DA249F">
        <w:rPr>
          <w:lang w:val="en-GB"/>
        </w:rPr>
        <w:fldChar w:fldCharType="end"/>
      </w:r>
      <w:r w:rsidRPr="00DA249F">
        <w:rPr>
          <w:lang w:val="en-GB"/>
        </w:rPr>
        <w:t xml:space="preserve"> found that salinity tolerance </w:t>
      </w:r>
      <w:r w:rsidR="005A5B7E" w:rsidRPr="00DA249F">
        <w:rPr>
          <w:lang w:val="en-GB"/>
        </w:rPr>
        <w:t xml:space="preserve">of </w:t>
      </w:r>
      <w:r w:rsidR="005A5B7E" w:rsidRPr="00DA249F">
        <w:rPr>
          <w:i/>
          <w:iCs/>
          <w:lang w:val="en-GB"/>
        </w:rPr>
        <w:t>Corbicula fluminalis</w:t>
      </w:r>
      <w:r w:rsidR="002F6C75" w:rsidRPr="00DA249F">
        <w:rPr>
          <w:i/>
          <w:iCs/>
          <w:lang w:val="en-GB"/>
        </w:rPr>
        <w:t xml:space="preserve"> </w:t>
      </w:r>
      <w:r w:rsidR="002F6C75" w:rsidRPr="00DA249F">
        <w:rPr>
          <w:lang w:val="en-GB"/>
        </w:rPr>
        <w:t>(</w:t>
      </w:r>
      <w:r w:rsidR="005A5B7E" w:rsidRPr="00DA249F">
        <w:rPr>
          <w:iCs/>
          <w:lang w:val="en-GB"/>
        </w:rPr>
        <w:t>Asia</w:t>
      </w:r>
      <w:r w:rsidR="002F6C75" w:rsidRPr="00DA249F">
        <w:rPr>
          <w:iCs/>
          <w:lang w:val="en-GB"/>
        </w:rPr>
        <w:t>n</w:t>
      </w:r>
      <w:r w:rsidR="005A5B7E" w:rsidRPr="00DA249F">
        <w:rPr>
          <w:iCs/>
          <w:lang w:val="en-GB"/>
        </w:rPr>
        <w:t xml:space="preserve"> clam</w:t>
      </w:r>
      <w:r w:rsidR="002F6C75" w:rsidRPr="00DA249F">
        <w:rPr>
          <w:iCs/>
          <w:lang w:val="en-GB"/>
        </w:rPr>
        <w:t>)</w:t>
      </w:r>
      <w:r w:rsidR="005A5B7E" w:rsidRPr="00DA249F">
        <w:rPr>
          <w:lang w:val="en-GB"/>
        </w:rPr>
        <w:t xml:space="preserve"> and </w:t>
      </w:r>
      <w:r w:rsidR="005A5B7E" w:rsidRPr="00DA249F">
        <w:rPr>
          <w:i/>
          <w:iCs/>
          <w:lang w:val="en-GB"/>
        </w:rPr>
        <w:t>Potamopyrgus antipodarum</w:t>
      </w:r>
      <w:r w:rsidR="002F6C75" w:rsidRPr="00DA249F">
        <w:rPr>
          <w:iCs/>
          <w:lang w:val="en-GB"/>
        </w:rPr>
        <w:t xml:space="preserve"> (</w:t>
      </w:r>
      <w:r w:rsidR="005A5B7E" w:rsidRPr="00DA249F">
        <w:rPr>
          <w:iCs/>
          <w:lang w:val="en-GB"/>
        </w:rPr>
        <w:t>New Zealand mudsnail</w:t>
      </w:r>
      <w:r w:rsidR="002F6C75" w:rsidRPr="00DA249F">
        <w:rPr>
          <w:iCs/>
          <w:lang w:val="en-GB"/>
        </w:rPr>
        <w:t>)</w:t>
      </w:r>
      <w:r w:rsidR="00F461E0" w:rsidRPr="00DA249F">
        <w:rPr>
          <w:lang w:val="en-GB"/>
        </w:rPr>
        <w:t xml:space="preserve"> </w:t>
      </w:r>
      <w:r w:rsidRPr="00DA249F">
        <w:rPr>
          <w:lang w:val="en-GB"/>
        </w:rPr>
        <w:t xml:space="preserve">was </w:t>
      </w:r>
      <w:r w:rsidR="005A5B7E" w:rsidRPr="00DA249F">
        <w:rPr>
          <w:lang w:val="en-GB"/>
        </w:rPr>
        <w:t xml:space="preserve">higher than </w:t>
      </w:r>
      <w:r w:rsidR="00B21336" w:rsidRPr="00DA249F">
        <w:rPr>
          <w:lang w:val="en-GB"/>
        </w:rPr>
        <w:t xml:space="preserve">for </w:t>
      </w:r>
      <w:r w:rsidRPr="00DA249F">
        <w:rPr>
          <w:lang w:val="en-GB"/>
        </w:rPr>
        <w:t xml:space="preserve">native species occurring in the River Rhine. </w:t>
      </w:r>
      <w:r w:rsidR="6411E22F" w:rsidRPr="00DA249F">
        <w:rPr>
          <w:lang w:val="en-GB"/>
        </w:rPr>
        <w:t xml:space="preserve">However, models of changes in salinity due to rising sea levels in the freshwater ecosystem of the Everglades </w:t>
      </w:r>
      <w:r w:rsidR="003B17E7" w:rsidRPr="00DA249F">
        <w:rPr>
          <w:lang w:val="en-GB"/>
        </w:rPr>
        <w:t>indicate</w:t>
      </w:r>
      <w:r w:rsidR="4B9B8530" w:rsidRPr="00DA249F">
        <w:rPr>
          <w:lang w:val="en-GB"/>
        </w:rPr>
        <w:t xml:space="preserve"> a decrease in </w:t>
      </w:r>
      <w:r w:rsidR="1E56EB61" w:rsidRPr="00DA249F">
        <w:rPr>
          <w:lang w:val="en-GB"/>
        </w:rPr>
        <w:t xml:space="preserve">alien fish species </w:t>
      </w:r>
      <w:r w:rsidR="4B9B8530" w:rsidRPr="00DA249F">
        <w:rPr>
          <w:lang w:val="en-GB"/>
        </w:rPr>
        <w:t xml:space="preserve">biomass </w:t>
      </w:r>
      <w:r w:rsidR="00E50665" w:rsidRPr="00DA249F">
        <w:rPr>
          <w:lang w:val="en-GB"/>
        </w:rPr>
        <w:fldChar w:fldCharType="begin"/>
      </w:r>
      <w:r w:rsidR="00331A79">
        <w:rPr>
          <w:lang w:val="en-GB"/>
        </w:rPr>
        <w:instrText xml:space="preserve"> ADDIN ZOTERO_ITEM CSL_CITATION {"citationID":"OWgFzKe4","properties":{"formattedCitation":"(Roma\\uc0\\u241{}ach et al., 2019)","plainCitation":"(Romañach et al., 2019)","noteIndex":0},"citationItems":[{"id":30771,"uris":["http://zotero.org/groups/2352922/items/7X22XVNR"],"itemData":{"id":30771,"type":"article-journal","abstract":"Sea level rise is a fundamental driver of ecosystem change and has the potential to shift the spatial distributions of habitats more rapidly than species can adapt. Rapid sea level rise and associated saltwater intrusion have negative impacts on coastal environments, including loss of habitat for species such as sea turtles and shorebirds. In Florida’s largest wetland, the Everglades, the availability of small fishes that are prey for wading birds serve as an indicator of ecosystem health. In the southwestern part of the ecosystem, sea level rise and a reduction in freshwater flow have converted formerly freshwater marsh into an estuarine mangrove-dominated landscape. In this study, we sampled fish communities in this southwest portion of the Everglades exposed to a range of saline conditions. Biomass of native fishes was highest at a salinity value of approximately 25 parts per thousand, while non-native biomass decreased with increasing salinity. Applying salinity change scenarios, we determined that a 10% reduction from the salinity levels recorded in this study would be optimal for biomass of native fishes. The baseline data we collected on non-native fishes at the site will be useful for monitoring as restoration progresses and for managers working on invasive species control. This region has been actively undergoing ecosystem restoration for the last decade, but restored freshwater flow closer to historical conditions is still years away. Without increased freshwater inflow from hydrologic restoration, rising sea levels and saltwater intrusion may provide conservation challenges for wading birds and their prey-base fishes.","container-title":"Estuaries and Coasts","DOI":"10.1007/s12237-019-00572-8","ISSN":"1559-2731","issue":"6","journalAbbreviation":"Estuaries and Coasts","language":"en","page":"1600-1611","source":"Springer Link","title":"Impacts of Saltwater Intrusion on Wetland Prey Production and Composition in a Historically Freshwater Marsh","URL":"https://doi.org/10.1007/s12237-019-00572-8","volume":"42","author":[{"family":"Romañach","given":"Stephanie S."},{"family":"Beerens","given":"James M."},{"family":"Patton","given":"Brett A."},{"family":"Chapman","given":"Julia P."},{"family":"Hanson","given":"Matthew R."}],"accessed":{"date-parts":[["2020",3,30]]},"issued":{"date-parts":[["2019",9,1]]}},"label":"page"}],"schema":"https://github.com/citation-style-language/schema/raw/master/csl-citation.json"} </w:instrText>
      </w:r>
      <w:r w:rsidR="00E50665" w:rsidRPr="00DA249F">
        <w:rPr>
          <w:lang w:val="en-GB"/>
        </w:rPr>
        <w:fldChar w:fldCharType="separate"/>
      </w:r>
      <w:r w:rsidR="00144D96" w:rsidRPr="00144D96">
        <w:rPr>
          <w:szCs w:val="24"/>
        </w:rPr>
        <w:t>(Romañach et al., 2019)</w:t>
      </w:r>
      <w:r w:rsidR="00E50665" w:rsidRPr="00DA249F">
        <w:rPr>
          <w:lang w:val="en-GB"/>
        </w:rPr>
        <w:fldChar w:fldCharType="end"/>
      </w:r>
      <w:r w:rsidR="1E56EB61" w:rsidRPr="00DA249F">
        <w:rPr>
          <w:lang w:val="en-GB"/>
        </w:rPr>
        <w:t xml:space="preserve"> compared to native species</w:t>
      </w:r>
      <w:r w:rsidR="6411E22F" w:rsidRPr="00DA249F">
        <w:rPr>
          <w:lang w:val="en-GB"/>
        </w:rPr>
        <w:t>.</w:t>
      </w:r>
      <w:r w:rsidR="00D85FE3" w:rsidRPr="00DA249F">
        <w:rPr>
          <w:lang w:val="en-GB"/>
        </w:rPr>
        <w:t xml:space="preserve"> </w:t>
      </w:r>
    </w:p>
    <w:p w14:paraId="1FE3C57E" w14:textId="77777777" w:rsidR="00653718" w:rsidRPr="00DA249F" w:rsidRDefault="0074556B" w:rsidP="00653718">
      <w:pPr>
        <w:rPr>
          <w:lang w:val="en-GB"/>
        </w:rPr>
      </w:pPr>
      <w:r w:rsidRPr="00DA249F">
        <w:rPr>
          <w:lang w:val="en-GB"/>
        </w:rPr>
        <w:t xml:space="preserve">In </w:t>
      </w:r>
      <w:r w:rsidR="00537CFD" w:rsidRPr="00DA249F">
        <w:rPr>
          <w:lang w:val="en-GB"/>
        </w:rPr>
        <w:t>coastal</w:t>
      </w:r>
      <w:r w:rsidRPr="00DA249F">
        <w:rPr>
          <w:lang w:val="en-GB"/>
        </w:rPr>
        <w:t xml:space="preserve"> systems, t</w:t>
      </w:r>
      <w:r w:rsidR="22896697" w:rsidRPr="00DA249F">
        <w:rPr>
          <w:lang w:val="en-GB"/>
        </w:rPr>
        <w:t xml:space="preserve">he effect of rising sea levels on soil moisture in coastal dune systems can disrupt sediment transfer impacting dune formation processes and vegetation patterns. For example, in New Zealand, increased soil moisture disrupts the formation of dunes </w:t>
      </w:r>
      <w:r w:rsidR="005A0AAA" w:rsidRPr="00DA249F">
        <w:rPr>
          <w:lang w:val="en-GB"/>
        </w:rPr>
        <w:fldChar w:fldCharType="begin"/>
      </w:r>
      <w:r w:rsidR="00331A79">
        <w:rPr>
          <w:lang w:val="en-GB"/>
        </w:rPr>
        <w:instrText xml:space="preserve"> ADDIN ZOTERO_ITEM CSL_CITATION {"citationID":"dTkDC3Ac","properties":{"formattedCitation":"(Thomas et al., 2018)","plainCitation":"(Thomas et al., 2018)","noteIndex":0},"citationItems":[{"id":16201,"uris":["http://zotero.org/groups/2352922/items/IIFTNU2P"],"itemData":{"id":16201,"type":"article-journal","abstract":"Coastal habitats are regarded to be highly vulnerable to the impacts of invasive alien species. These impacts can be particularly visible in areas of national cultural and heritage significance, raising public awareness of a growing global trend and often requiring urgent changes to management practices. New Zealand has a relatively long history of invasive alien species with the introduction of non-native marram grass (Ammophila arenaria) for sand stabilisation and erosion control since the mid-nineteenth century. Of national importance, the sand dunes of the Hokianga Harbour are considered to be the spiritual birthplace of Māori culture in New Zealand and have experienced substantial vegetation change over the last century. Here we report a multi-disciplinary study combining palaeoecology with historic and contemporary observations to better characterise the changing distribution and mechanisms of spread of invasive alien species on the Hokianga headland. Our analysis indicates the vegetation established on the headland is primarily linked to late Pleistocene water-retaining, lignite deposits. We find, however, an abrupt increase in the area colonised by invasive alien species during the late twentieth century, most probably linked to reduced sediment supply in the Hokianga Harbour. Urgent management strategies may be required if the present dune headland is to be conserved, particularly against a backdrop of rising sea level which will most probably limit sediment resupply.","container-title":"Applied Geography","DOI":"10.1016/j.apgeog.2018.07.006","ISSN":"0143-6228","journalAbbreviation":"Applied Geography","language":"en","page":"100-109","source":"ScienceDirect","title":"Extending the observational record to provide new insights into invasive alien species in a coastal dune environment of New Zealand","URL":"http://www.sciencedirect.com/science/article/pii/S0143622818301577","volume":"98","author":[{"family":"Thomas","given":"Z. A."},{"family":"Turney","given":"C. S. M."},{"family":"Palmer","given":"J. G."},{"family":"Lloydd","given":"S."},{"family":"Klaricich","given":"J. N. L."},{"family":"Hogg","given":"A."}],"accessed":{"date-parts":[["2019",10,25]]},"issued":{"date-parts":[["2018",9,1]]}},"label":"page"}],"schema":"https://github.com/citation-style-language/schema/raw/master/csl-citation.json"} </w:instrText>
      </w:r>
      <w:r w:rsidR="005A0AAA" w:rsidRPr="00DA249F">
        <w:rPr>
          <w:lang w:val="en-GB"/>
        </w:rPr>
        <w:fldChar w:fldCharType="separate"/>
      </w:r>
      <w:r w:rsidR="00144D96" w:rsidRPr="00144D96">
        <w:t>(Thomas et al., 2018)</w:t>
      </w:r>
      <w:r w:rsidR="005A0AAA" w:rsidRPr="00DA249F">
        <w:rPr>
          <w:lang w:val="en-GB"/>
        </w:rPr>
        <w:fldChar w:fldCharType="end"/>
      </w:r>
      <w:r w:rsidR="22896697" w:rsidRPr="00DA249F">
        <w:rPr>
          <w:lang w:val="en-GB"/>
        </w:rPr>
        <w:t xml:space="preserve"> and allows for their colonization by plants, including the invasive </w:t>
      </w:r>
      <w:r w:rsidR="00C327A2" w:rsidRPr="00DA249F">
        <w:rPr>
          <w:lang w:val="en-GB"/>
        </w:rPr>
        <w:t xml:space="preserve">alien </w:t>
      </w:r>
      <w:r w:rsidR="22896697" w:rsidRPr="00DA249F">
        <w:rPr>
          <w:lang w:val="en-GB"/>
        </w:rPr>
        <w:t xml:space="preserve">grass </w:t>
      </w:r>
      <w:r w:rsidR="009A66AD" w:rsidRPr="00DA249F">
        <w:rPr>
          <w:i/>
          <w:iCs/>
          <w:lang w:val="en-GB"/>
        </w:rPr>
        <w:t>Calamagrostis arenaria</w:t>
      </w:r>
      <w:r w:rsidR="22896697" w:rsidRPr="00DA249F">
        <w:rPr>
          <w:lang w:val="en-GB"/>
        </w:rPr>
        <w:t xml:space="preserve"> (</w:t>
      </w:r>
      <w:r w:rsidR="00273446" w:rsidRPr="00DA249F">
        <w:rPr>
          <w:lang w:val="en-GB"/>
        </w:rPr>
        <w:t>m</w:t>
      </w:r>
      <w:r w:rsidR="22896697" w:rsidRPr="00DA249F">
        <w:rPr>
          <w:lang w:val="en-GB"/>
        </w:rPr>
        <w:t>arram g</w:t>
      </w:r>
      <w:r w:rsidR="000958B0" w:rsidRPr="00DA249F">
        <w:rPr>
          <w:lang w:val="en-GB"/>
        </w:rPr>
        <w:t>rass). In Australia, invasive</w:t>
      </w:r>
      <w:r w:rsidR="00C327A2" w:rsidRPr="00DA249F">
        <w:rPr>
          <w:lang w:val="en-GB"/>
        </w:rPr>
        <w:t xml:space="preserve"> alien</w:t>
      </w:r>
      <w:r w:rsidR="000958B0" w:rsidRPr="00DA249F">
        <w:rPr>
          <w:lang w:val="en-GB"/>
        </w:rPr>
        <w:t xml:space="preserve"> </w:t>
      </w:r>
      <w:r w:rsidR="00B520A9" w:rsidRPr="00DA249F">
        <w:rPr>
          <w:i/>
          <w:iCs/>
          <w:lang w:val="en-GB"/>
        </w:rPr>
        <w:t>Thinopyrum junceiforme</w:t>
      </w:r>
      <w:r w:rsidR="00B520A9" w:rsidRPr="00DA249F">
        <w:rPr>
          <w:lang w:val="en-GB"/>
        </w:rPr>
        <w:t xml:space="preserve"> </w:t>
      </w:r>
      <w:r w:rsidR="22896697" w:rsidRPr="00DA249F">
        <w:rPr>
          <w:lang w:val="en-GB"/>
        </w:rPr>
        <w:t>(</w:t>
      </w:r>
      <w:r w:rsidR="00B520A9" w:rsidRPr="00DA249F">
        <w:rPr>
          <w:lang w:val="en-GB"/>
        </w:rPr>
        <w:t>sea</w:t>
      </w:r>
      <w:r w:rsidR="006678F2" w:rsidRPr="00DA249F">
        <w:rPr>
          <w:lang w:val="en-GB"/>
        </w:rPr>
        <w:t xml:space="preserve"> </w:t>
      </w:r>
      <w:r w:rsidR="00B520A9" w:rsidRPr="00DA249F">
        <w:rPr>
          <w:lang w:val="en-GB"/>
        </w:rPr>
        <w:t>wheatgrass</w:t>
      </w:r>
      <w:r w:rsidR="22896697" w:rsidRPr="00DA249F">
        <w:rPr>
          <w:lang w:val="en-GB"/>
        </w:rPr>
        <w:t xml:space="preserve">) is able to take advantage of </w:t>
      </w:r>
      <w:r w:rsidR="003B57B2" w:rsidRPr="00DA249F">
        <w:rPr>
          <w:lang w:val="en-GB"/>
        </w:rPr>
        <w:t xml:space="preserve">increased soil salinity </w:t>
      </w:r>
      <w:r w:rsidR="005A0AAA" w:rsidRPr="00DA249F">
        <w:rPr>
          <w:lang w:val="en-GB"/>
        </w:rPr>
        <w:fldChar w:fldCharType="begin"/>
      </w:r>
      <w:r w:rsidR="00331A79">
        <w:rPr>
          <w:lang w:val="en-GB"/>
        </w:rPr>
        <w:instrText xml:space="preserve"> ADDIN ZOTERO_ITEM CSL_CITATION {"citationID":"2uZQKjE5","properties":{"formattedCitation":"(Hilton et al., 2006)","plainCitation":"(Hilton et al., 2006)","noteIndex":0},"citationItems":[{"id":21583,"uris":["http://zotero.org/groups/2352922/items/VDZSC84R"],"itemData":{"id":21583,"type":"article-journal","abstract":"Marram grass (Ammophila arenaria) and sea-wheat grass (Thinopyrum junceiforme) have been introduced to Australia and New Zealand. This study examines the morphology of incipient foredunes and established foredunes associated with these species at two sites, Mason Bay in southern New Zealand, and the Younghusband Peninsula in South Australia. Both species invaded the existing foredunes very rapidly. In both cases the antecedent topography comprised relatively sparsely vegetated, irregular foredunes. Invasion resulted in continuous, regular, evenly vegetated foredunes. At Mason Bay a massive foredune has formed since 1958, in conjunction with Ammophila. Thinopyrum has formed an incipient foredune, with a ramp or terrace morphology, along the Younghusband Peninsula, South Australia. In both cases gaps in the former foredune have been closed and the indigenous foredune vegetation has been displaced. Both species may decrease the frequency and severity of blowout development. They are likely to be resilient to aeolian processes of sedimentation compared with dunes formed by indigenous species. Ammophila survives burial, is tolerant of drought and is resistant to erosion associated with storm surge and high waves. Thinopyrum is very tolerant of salinity. These species may adversely affect the long-term development of coastal barriers by inhibiting transgressive dune development.","container-title":"Australian Geographer","DOI":"10.1080/00049180600954765","ISSN":"0004-9182","issue":"3","note":"publisher: Routledge\n_eprint: https://doi.org/10.1080/00049180600954765","page":"313-334","source":"Taylor and Francis+NEJM","title":"The Impact of Exotic Dune Grass Species on Foredune Development in Australia and New Zealand: a case study of &lt;i&gt;Ammophila arenaria&lt;/i&gt; and &lt;i&gt;Thinopyrum junceiforme&lt;/i&gt;","title-short":"The Impact of Exotic Dune Grass Species on Foredune Development in Australia and New Zealand","URL":"https://doi.org/10.1080/00049180600954765","volume":"37","author":[{"family":"Hilton","given":"Mike"},{"family":"Harvey","given":"Nick"},{"family":"Hart","given":"Andrew"},{"family":"James","given":"Kris"},{"family":"Arbuckle","given":"Chris"}],"accessed":{"date-parts":[["2020",3,28]]},"issued":{"date-parts":[["2006",11,1]]}},"label":"page"}],"schema":"https://github.com/citation-style-language/schema/raw/master/csl-citation.json"} </w:instrText>
      </w:r>
      <w:r w:rsidR="005A0AAA" w:rsidRPr="00DA249F">
        <w:rPr>
          <w:lang w:val="en-GB"/>
        </w:rPr>
        <w:fldChar w:fldCharType="separate"/>
      </w:r>
      <w:r w:rsidR="00144D96" w:rsidRPr="00144D96">
        <w:t>(Hilton et al., 2006)</w:t>
      </w:r>
      <w:r w:rsidR="005A0AAA" w:rsidRPr="00DA249F">
        <w:rPr>
          <w:lang w:val="en-GB"/>
        </w:rPr>
        <w:fldChar w:fldCharType="end"/>
      </w:r>
      <w:r w:rsidR="22896697" w:rsidRPr="00DA249F">
        <w:rPr>
          <w:lang w:val="en-GB"/>
        </w:rPr>
        <w:t>.</w:t>
      </w:r>
      <w:r w:rsidR="00653718" w:rsidRPr="00DA249F">
        <w:rPr>
          <w:lang w:val="en-GB"/>
        </w:rPr>
        <w:t xml:space="preserve"> </w:t>
      </w:r>
    </w:p>
    <w:p w14:paraId="001C3A09" w14:textId="77777777" w:rsidR="00653718" w:rsidRPr="00DA249F" w:rsidRDefault="00653718" w:rsidP="00653718">
      <w:pPr>
        <w:rPr>
          <w:lang w:val="en-GB"/>
        </w:rPr>
      </w:pPr>
      <w:r w:rsidRPr="00DA249F">
        <w:rPr>
          <w:lang w:val="en-GB"/>
        </w:rPr>
        <w:t xml:space="preserve">Sea level rise could also drive the intentional introduction of invasive alien species for the purposes of climate change adaption to reduce impacts of coastal erosion and infrastructure damage. For example, </w:t>
      </w:r>
      <w:r w:rsidRPr="00DA249F">
        <w:rPr>
          <w:i/>
          <w:iCs/>
          <w:lang w:val="en-GB"/>
        </w:rPr>
        <w:t>Sp</w:t>
      </w:r>
      <w:r w:rsidR="009772DD" w:rsidRPr="00DA249F">
        <w:rPr>
          <w:i/>
          <w:iCs/>
          <w:lang w:val="en-GB"/>
        </w:rPr>
        <w:t>orobolus</w:t>
      </w:r>
      <w:r w:rsidRPr="00DA249F">
        <w:rPr>
          <w:lang w:val="en-GB"/>
        </w:rPr>
        <w:t xml:space="preserve"> species, introduced to reduce the effects of coastal erosion </w:t>
      </w:r>
      <w:r w:rsidRPr="00DA249F">
        <w:rPr>
          <w:lang w:val="en-GB"/>
        </w:rPr>
        <w:fldChar w:fldCharType="begin"/>
      </w:r>
      <w:r w:rsidR="00331A79">
        <w:rPr>
          <w:lang w:val="en-GB"/>
        </w:rPr>
        <w:instrText xml:space="preserve"> ADDIN ZOTERO_ITEM CSL_CITATION {"citationID":"jGKcNDvi","properties":{"formattedCitation":"(Ge et al., 2015)","plainCitation":"(Ge et al., 2015)","noteIndex":0},"citationItems":[{"id":25084,"uris":["http://zotero.org/groups/2352922/items/KIRQ9H4R"],"itemData":{"id":25084,"type":"article-journal","container-title":"Journal of Geophysical Research: Biogeoscience","DOI":"10.1002/2015JG003014","issue":"10","page":"1923-1940","title":"Future vegetation patterns and primary production in the coastal wetlands of East China under sea level rise, sediment reduction, and saltwater intrusion","URL":"https://agupubs.onlinelibrary.wiley.com/doi/10.1002/2015JG003014","volume":"120","author":[{"family":"Ge","given":"Zhen-Ming"},{"family":"Cao","given":"Hao-Bin"},{"family":"Zhao","given":"Bin"},{"family":"Zhang","given":"Li-Quan"},{"family":"Cui","given":"Li-Fang"}],"accessed":{"date-parts":[["2019",10,24]]},"issued":{"date-parts":[["2015"]]}},"label":"page"}],"schema":"https://github.com/citation-style-language/schema/raw/master/csl-citation.json"} </w:instrText>
      </w:r>
      <w:r w:rsidRPr="00DA249F">
        <w:rPr>
          <w:lang w:val="en-GB"/>
        </w:rPr>
        <w:fldChar w:fldCharType="separate"/>
      </w:r>
      <w:r w:rsidR="00144D96" w:rsidRPr="00144D96">
        <w:t>(Ge et al., 2015)</w:t>
      </w:r>
      <w:r w:rsidRPr="00DA249F">
        <w:rPr>
          <w:lang w:val="en-GB"/>
        </w:rPr>
        <w:fldChar w:fldCharType="end"/>
      </w:r>
      <w:r w:rsidRPr="00DA249F">
        <w:rPr>
          <w:lang w:val="en-GB"/>
        </w:rPr>
        <w:t xml:space="preserve">, have become widespread invasive alien species in China </w:t>
      </w:r>
      <w:r w:rsidRPr="00DA249F">
        <w:rPr>
          <w:lang w:val="en-GB"/>
        </w:rPr>
        <w:fldChar w:fldCharType="begin"/>
      </w:r>
      <w:r w:rsidR="00331A79">
        <w:rPr>
          <w:lang w:val="en-GB"/>
        </w:rPr>
        <w:instrText xml:space="preserve"> ADDIN ZOTERO_ITEM CSL_CITATION {"citationID":"3iN7MTN6","properties":{"formattedCitation":"(An et al., 2007)","plainCitation":"(An et al., 2007)","noteIndex":0},"citationItems":[{"id":16205,"uris":["http://zotero.org/groups/2352922/items/5DXAPM5T"],"itemData":{"id":16205,"type":"article-journal","abstract":"Four species of Spartina (Spartina anglica, S. alterniflora, S. patens and S. cynosuroides) have been introduced to China, but currently only the first three are present and only the first two successfully reproduce on the Chinese coast. Spartina anglica and S. alterniflora were introduced to China from England in 1963 and from the United States in 1979, respectively. Today, S. alterniflora has expanded its coverage to more than 112 000 ha and S. anglica has declined to &lt;50 ha. This is compared with only 260 ha of S. alterniflora and over 36 000 ha of S. anglica in 1985. The fates of Chinese Spartina, with dramatic expansion of S. alterniflora and significant decline of S. anglica, were different from those in other locations throughout the world. Factors affecting the growth of the two naturalized Spartina species in China include differences in artificial plantation strategy, impacts of tideland reclamation, species competition ability and genetic diversity. Several methods for Spartina control in China, such as harvesting, herbicide application and freshwater irrigation, have been developed, but more research is needed to verify their effectiveness.","container-title":"Weed Research","DOI":"10.1111/j.1365-3180.2007.00559.x","ISSN":"1365-3180","issue":"3","language":"en","page":"183-191","source":"Wiley Online Library","title":"&lt;i&gt;Spartina&lt;/i&gt; invasion in China: implications for invasive species management and future research","title-short":"Spartina invasion in China","URL":"https://onlinelibrary.wiley.com/doi/abs/10.1111/j.1365-3180.2007.00559.x","volume":"47","author":[{"family":"An","given":"S. Q."},{"family":"Gu","given":"B. H."},{"family":"Zhou","given":"C. F."},{"family":"Wang","given":"Z. S."},{"family":"Deng","given":"Z. F."},{"family":"Zhi","given":"Y. B."},{"family":"Li","given":"H. L."},{"family":"Chen","given":"L."},{"family":"Yu","given":"D. H."},{"family":"Liu","given":"Y. H."}],"accessed":{"date-parts":[["2019",10,25]]},"issued":{"date-parts":[["2007"]]}},"label":"page"}],"schema":"https://github.com/citation-style-language/schema/raw/master/csl-citation.json"} </w:instrText>
      </w:r>
      <w:r w:rsidRPr="00DA249F">
        <w:rPr>
          <w:lang w:val="en-GB"/>
        </w:rPr>
        <w:fldChar w:fldCharType="separate"/>
      </w:r>
      <w:r w:rsidR="00144D96" w:rsidRPr="00144D96">
        <w:t>(An et al., 2007)</w:t>
      </w:r>
      <w:r w:rsidRPr="00DA249F">
        <w:rPr>
          <w:lang w:val="en-GB"/>
        </w:rPr>
        <w:fldChar w:fldCharType="end"/>
      </w:r>
      <w:r w:rsidRPr="00DA249F">
        <w:rPr>
          <w:lang w:val="en-GB"/>
        </w:rPr>
        <w:t xml:space="preserve">. The introduction of </w:t>
      </w:r>
      <w:r w:rsidR="009A66AD" w:rsidRPr="00DA249F">
        <w:rPr>
          <w:i/>
          <w:lang w:val="en-GB"/>
        </w:rPr>
        <w:t>Calamagrostis arenaria</w:t>
      </w:r>
      <w:r w:rsidRPr="00DA249F">
        <w:rPr>
          <w:lang w:val="en-GB"/>
        </w:rPr>
        <w:t xml:space="preserve"> (marram grass) in Australia and New Zealand are further examples of </w:t>
      </w:r>
      <w:r w:rsidR="007D6DFB" w:rsidRPr="00DA249F">
        <w:rPr>
          <w:lang w:val="en-GB"/>
        </w:rPr>
        <w:t xml:space="preserve">alien </w:t>
      </w:r>
      <w:r w:rsidRPr="00DA249F">
        <w:rPr>
          <w:lang w:val="en-GB"/>
        </w:rPr>
        <w:t xml:space="preserve">species </w:t>
      </w:r>
      <w:r w:rsidR="00405A0D" w:rsidRPr="00DA249F">
        <w:rPr>
          <w:lang w:val="en-GB"/>
        </w:rPr>
        <w:t xml:space="preserve">introduced </w:t>
      </w:r>
      <w:r w:rsidRPr="00DA249F">
        <w:rPr>
          <w:lang w:val="en-GB"/>
        </w:rPr>
        <w:t>for dune stabili</w:t>
      </w:r>
      <w:r w:rsidR="0009387A" w:rsidRPr="00DA249F">
        <w:rPr>
          <w:lang w:val="en-GB"/>
        </w:rPr>
        <w:t>z</w:t>
      </w:r>
      <w:r w:rsidRPr="00DA249F">
        <w:rPr>
          <w:lang w:val="en-GB"/>
        </w:rPr>
        <w:t>ation for coastal protection. The need for improved coastal protection from rising sea levels could see alien species being util</w:t>
      </w:r>
      <w:r w:rsidR="007840D4" w:rsidRPr="00DA249F">
        <w:rPr>
          <w:lang w:val="en-GB"/>
        </w:rPr>
        <w:t>ize</w:t>
      </w:r>
      <w:r w:rsidRPr="00DA249F">
        <w:rPr>
          <w:lang w:val="en-GB"/>
        </w:rPr>
        <w:t xml:space="preserve">d in many parts of the world. Alternatively, the construction of hard surfaces for coastal protection against sea level rise can also facilitate the establishment of invasive </w:t>
      </w:r>
      <w:r w:rsidR="00405A0D" w:rsidRPr="00DA249F">
        <w:rPr>
          <w:lang w:val="en-GB"/>
        </w:rPr>
        <w:t xml:space="preserve">alien species of </w:t>
      </w:r>
      <w:r w:rsidRPr="00DA249F">
        <w:rPr>
          <w:lang w:val="en-GB"/>
        </w:rPr>
        <w:t xml:space="preserve">seaweed </w:t>
      </w:r>
      <w:r w:rsidRPr="00DA249F">
        <w:rPr>
          <w:lang w:val="en-GB"/>
        </w:rPr>
        <w:fldChar w:fldCharType="begin"/>
      </w:r>
      <w:r w:rsidR="00331A79">
        <w:rPr>
          <w:lang w:val="en-GB"/>
        </w:rPr>
        <w:instrText xml:space="preserve"> ADDIN ZOTERO_ITEM CSL_CITATION {"citationID":"FT85awtC","properties":{"formattedCitation":"(Geraldi et al., 2014)","plainCitation":"(Geraldi et al., 2014)","noteIndex":0},"citationItems":[{"id":21584,"uris":["http://zotero.org/groups/2352922/items/G8AU7N79"],"itemData":{"id":21584,"type":"article-journal","abstract":"The introduction of non-native species occurs within a context of other anthropogenic impacts: thus a holistic approach is needed to understand interactive effects. Installation of shoreline protection structures is increasing in response to rising sea levels and increasing frequency of intense storms. Shoreline hardening structures can facilitate establishment of non-native species with multiple potential consequences. We measured abundances of both native and non-native Codium, a green macroalga, on natural hard substrates (oyster reefs) and artificial substrates (bulkheads and revetments) in two estuaries and assessed the effects of each Codium species on nitrogen fixation and net N2 fluxes. Native C. decorticatum was the most abundant (86 %) Codium on oyster reefs, while exotic C. fragile dominated (99 %) artificial substrates. N2 production via denitrification was greater than nitrogen fixation for both species and the net N2 production associated with non-native C. fragile was greater than with native C. decorticatum. Comparing our results with surveys conducted in the 1940s before C. fragile had invaded, indicates that non-native Codium has outcompeted native Codium on artificial substrates, but that natural substrate provided by oyster reefs remains a refuge for native Codium. Although shoreline hardening with artificial structures can reduce ecosystem services provided by coastal marsh and other habitats, an unexpected beneficial consequence was the N2 production associated with the non-native Codium, which has the potential to mitigate anthropogenic nutrient loading. Our results illustrate that the interaction between multiple anthropogenic impacts can be positive, and indicate that non-ephemeral macroalgae could be an overlooked component in nitrogen removal from marine ecosystems by enhancing denitrification.","container-title":"Biological Invasions","DOI":"10.1007/s10530-013-0629-2","ISSN":"1573-1464","issue":"9","journalAbbreviation":"Biol Invasions","language":"en","page":"1819-1831","source":"Springer Link","title":"Artificial substrates enhance non-native macroalga and N2 production","URL":"https://doi.org/10.1007/s10530-013-0629-2","volume":"16","author":[{"family":"Geraldi","given":"Nathan R."},{"family":"Smyth","given":"Ashley R."},{"family":"Piehler","given":"Michael F."},{"family":"Peterson","given":"Charles H."}],"accessed":{"date-parts":[["2020",3,30]]},"issued":{"date-parts":[["2014",9,1]]}},"label":"page"}],"schema":"https://github.com/citation-style-language/schema/raw/master/csl-citation.json"} </w:instrText>
      </w:r>
      <w:r w:rsidRPr="00DA249F">
        <w:rPr>
          <w:lang w:val="en-GB"/>
        </w:rPr>
        <w:fldChar w:fldCharType="separate"/>
      </w:r>
      <w:r w:rsidR="00144D96" w:rsidRPr="00144D96">
        <w:t>(Geraldi et al., 2014)</w:t>
      </w:r>
      <w:r w:rsidRPr="00DA249F">
        <w:rPr>
          <w:lang w:val="en-GB"/>
        </w:rPr>
        <w:fldChar w:fldCharType="end"/>
      </w:r>
      <w:r w:rsidRPr="00DA249F">
        <w:rPr>
          <w:lang w:val="en-GB"/>
        </w:rPr>
        <w:t>.</w:t>
      </w:r>
    </w:p>
    <w:p w14:paraId="55EB14C7" w14:textId="77777777" w:rsidR="008C1BF7" w:rsidRPr="00DA249F" w:rsidRDefault="3D04D128" w:rsidP="00375B42">
      <w:pPr>
        <w:pStyle w:val="Heading2"/>
        <w:rPr>
          <w:lang w:val="en-GB"/>
        </w:rPr>
      </w:pPr>
      <w:bookmarkStart w:id="196" w:name="_Toc44317844"/>
      <w:bookmarkStart w:id="197" w:name="_Toc146898472"/>
      <w:r w:rsidRPr="5575EBFC">
        <w:rPr>
          <w:lang w:val="en-GB"/>
        </w:rPr>
        <w:t>Invasive alien species</w:t>
      </w:r>
      <w:bookmarkEnd w:id="196"/>
      <w:bookmarkEnd w:id="197"/>
    </w:p>
    <w:p w14:paraId="36890843" w14:textId="6543FD68" w:rsidR="004E56E7" w:rsidRPr="00DA249F" w:rsidRDefault="3D04D128" w:rsidP="0090109B">
      <w:pPr>
        <w:rPr>
          <w:rFonts w:eastAsia="Times New Roman"/>
          <w:lang w:val="en-GB"/>
        </w:rPr>
      </w:pPr>
      <w:r w:rsidRPr="5575EBFC">
        <w:rPr>
          <w:lang w:val="en-GB"/>
        </w:rPr>
        <w:t xml:space="preserve">Although </w:t>
      </w:r>
      <w:r w:rsidR="142B6CC2" w:rsidRPr="5575EBFC">
        <w:rPr>
          <w:lang w:val="en-GB"/>
        </w:rPr>
        <w:t xml:space="preserve">studying the role of </w:t>
      </w:r>
      <w:r w:rsidR="703053E6" w:rsidRPr="5575EBFC">
        <w:rPr>
          <w:lang w:val="en-GB"/>
        </w:rPr>
        <w:t>invasive alien species</w:t>
      </w:r>
      <w:r w:rsidR="4C188776" w:rsidRPr="5575EBFC">
        <w:rPr>
          <w:lang w:val="en-GB"/>
        </w:rPr>
        <w:t xml:space="preserve"> </w:t>
      </w:r>
      <w:r w:rsidRPr="5575EBFC">
        <w:rPr>
          <w:lang w:val="en-GB"/>
        </w:rPr>
        <w:t xml:space="preserve">as a direct </w:t>
      </w:r>
      <w:r w:rsidR="48542EBC" w:rsidRPr="5575EBFC">
        <w:rPr>
          <w:lang w:val="en-GB"/>
        </w:rPr>
        <w:t>driver of change in nature</w:t>
      </w:r>
      <w:r w:rsidRPr="5575EBFC">
        <w:rPr>
          <w:lang w:val="en-GB"/>
        </w:rPr>
        <w:t xml:space="preserve"> </w:t>
      </w:r>
      <w:r w:rsidR="487169D4" w:rsidRPr="5575EBFC">
        <w:rPr>
          <w:lang w:val="en-GB"/>
        </w:rPr>
        <w:t>affecting</w:t>
      </w:r>
      <w:r w:rsidRPr="5575EBFC">
        <w:rPr>
          <w:lang w:val="en-GB"/>
        </w:rPr>
        <w:t xml:space="preserve"> </w:t>
      </w:r>
      <w:r w:rsidR="580EF8C0" w:rsidRPr="5575EBFC">
        <w:rPr>
          <w:lang w:val="en-GB"/>
        </w:rPr>
        <w:t xml:space="preserve">invasive alien species </w:t>
      </w:r>
      <w:r w:rsidRPr="5575EBFC">
        <w:rPr>
          <w:lang w:val="en-GB"/>
        </w:rPr>
        <w:t xml:space="preserve">might sound like circular reasoning, there is increasing evidence of the role that </w:t>
      </w:r>
      <w:r w:rsidR="580EF8C0" w:rsidRPr="5575EBFC">
        <w:rPr>
          <w:lang w:val="en-GB"/>
        </w:rPr>
        <w:t xml:space="preserve">invasive alien species </w:t>
      </w:r>
      <w:r w:rsidR="54EE876A" w:rsidRPr="5575EBFC">
        <w:rPr>
          <w:lang w:val="en-GB"/>
        </w:rPr>
        <w:t xml:space="preserve">may </w:t>
      </w:r>
      <w:r w:rsidRPr="5575EBFC">
        <w:rPr>
          <w:lang w:val="en-GB"/>
        </w:rPr>
        <w:t>play in facilitating other alien species</w:t>
      </w:r>
      <w:r w:rsidR="2F0847B0" w:rsidRPr="5575EBFC">
        <w:rPr>
          <w:lang w:val="en-GB"/>
        </w:rPr>
        <w:t xml:space="preserve"> </w:t>
      </w:r>
      <w:r w:rsidR="224A1F15" w:rsidRPr="5575EBFC">
        <w:rPr>
          <w:lang w:val="en-GB"/>
        </w:rPr>
        <w:t>(</w:t>
      </w:r>
      <w:r w:rsidR="00DC2990">
        <w:rPr>
          <w:b/>
          <w:bCs/>
          <w:lang w:val="en-GB"/>
        </w:rPr>
        <w:t>Figure</w:t>
      </w:r>
      <w:r w:rsidR="7EF70BBD" w:rsidRPr="5575EBFC">
        <w:rPr>
          <w:b/>
          <w:bCs/>
          <w:lang w:val="en-GB"/>
        </w:rPr>
        <w:t xml:space="preserve"> </w:t>
      </w:r>
      <w:r w:rsidR="3A77D147" w:rsidRPr="5575EBFC">
        <w:rPr>
          <w:b/>
          <w:bCs/>
          <w:lang w:val="en-GB"/>
        </w:rPr>
        <w:t>3.21</w:t>
      </w:r>
      <w:r w:rsidR="3A77D147" w:rsidRPr="5575EBFC">
        <w:rPr>
          <w:lang w:val="en-GB"/>
        </w:rPr>
        <w:t xml:space="preserve">). </w:t>
      </w:r>
      <w:r w:rsidR="3FF577BF" w:rsidRPr="5575EBFC">
        <w:rPr>
          <w:lang w:val="en-GB"/>
        </w:rPr>
        <w:t>T</w:t>
      </w:r>
      <w:r w:rsidRPr="5575EBFC">
        <w:rPr>
          <w:lang w:val="en-GB"/>
        </w:rPr>
        <w:t>h</w:t>
      </w:r>
      <w:r w:rsidR="75675218" w:rsidRPr="5575EBFC">
        <w:rPr>
          <w:lang w:val="en-GB"/>
        </w:rPr>
        <w:t>e</w:t>
      </w:r>
      <w:r w:rsidRPr="5575EBFC">
        <w:rPr>
          <w:lang w:val="en-GB"/>
        </w:rPr>
        <w:t xml:space="preserve"> process</w:t>
      </w:r>
      <w:r w:rsidR="6422E0EB" w:rsidRPr="5575EBFC">
        <w:rPr>
          <w:lang w:val="en-GB"/>
        </w:rPr>
        <w:t xml:space="preserve"> </w:t>
      </w:r>
      <w:r w:rsidR="2E27965E" w:rsidRPr="5575EBFC">
        <w:rPr>
          <w:lang w:val="en-GB"/>
        </w:rPr>
        <w:t>by whic</w:t>
      </w:r>
      <w:r w:rsidR="4B85D470" w:rsidRPr="5575EBFC">
        <w:rPr>
          <w:lang w:val="en-GB"/>
        </w:rPr>
        <w:t>h</w:t>
      </w:r>
      <w:r w:rsidR="7A1A2440" w:rsidRPr="5575EBFC">
        <w:rPr>
          <w:lang w:val="en-GB"/>
        </w:rPr>
        <w:t xml:space="preserve"> </w:t>
      </w:r>
      <w:r w:rsidR="48445B78" w:rsidRPr="5575EBFC">
        <w:rPr>
          <w:lang w:val="en-GB"/>
        </w:rPr>
        <w:t>facilitation among alien</w:t>
      </w:r>
      <w:r w:rsidR="21CCA217" w:rsidRPr="5575EBFC">
        <w:rPr>
          <w:lang w:val="en-GB"/>
        </w:rPr>
        <w:t xml:space="preserve"> </w:t>
      </w:r>
      <w:r w:rsidR="48445B78" w:rsidRPr="5575EBFC">
        <w:rPr>
          <w:lang w:val="en-GB"/>
        </w:rPr>
        <w:t>s</w:t>
      </w:r>
      <w:r w:rsidR="21CCA217" w:rsidRPr="5575EBFC">
        <w:rPr>
          <w:lang w:val="en-GB"/>
        </w:rPr>
        <w:t>pecies</w:t>
      </w:r>
      <w:r w:rsidR="48445B78" w:rsidRPr="5575EBFC">
        <w:rPr>
          <w:lang w:val="en-GB"/>
        </w:rPr>
        <w:t xml:space="preserve"> potentially accelerat</w:t>
      </w:r>
      <w:r w:rsidR="394A5BBA" w:rsidRPr="5575EBFC">
        <w:rPr>
          <w:lang w:val="en-GB"/>
        </w:rPr>
        <w:t>e</w:t>
      </w:r>
      <w:r w:rsidR="21CCA217" w:rsidRPr="5575EBFC">
        <w:rPr>
          <w:lang w:val="en-GB"/>
        </w:rPr>
        <w:t>s</w:t>
      </w:r>
      <w:r w:rsidR="394A5BBA" w:rsidRPr="5575EBFC">
        <w:rPr>
          <w:lang w:val="en-GB"/>
        </w:rPr>
        <w:t xml:space="preserve"> the</w:t>
      </w:r>
      <w:r w:rsidR="48445B78" w:rsidRPr="5575EBFC">
        <w:rPr>
          <w:lang w:val="en-GB"/>
        </w:rPr>
        <w:t xml:space="preserve"> accumulation of introduced species </w:t>
      </w:r>
      <w:r w:rsidRPr="5575EBFC">
        <w:rPr>
          <w:lang w:val="en-GB"/>
        </w:rPr>
        <w:t>h</w:t>
      </w:r>
      <w:r w:rsidRPr="5575EBFC">
        <w:rPr>
          <w:rFonts w:eastAsia="Times New Roman"/>
          <w:lang w:val="en-GB"/>
        </w:rPr>
        <w:t xml:space="preserve">as </w:t>
      </w:r>
      <w:r w:rsidR="394A5BBA" w:rsidRPr="5575EBFC">
        <w:rPr>
          <w:rFonts w:eastAsia="Times New Roman"/>
          <w:lang w:val="en-GB"/>
        </w:rPr>
        <w:t>gained</w:t>
      </w:r>
      <w:r w:rsidRPr="5575EBFC">
        <w:rPr>
          <w:rFonts w:eastAsia="Times New Roman"/>
          <w:lang w:val="en-GB"/>
        </w:rPr>
        <w:t xml:space="preserve"> its own term</w:t>
      </w:r>
      <w:r w:rsidR="2CDDE606" w:rsidRPr="5575EBFC">
        <w:rPr>
          <w:rFonts w:eastAsia="Times New Roman"/>
          <w:lang w:val="en-GB"/>
        </w:rPr>
        <w:t>,</w:t>
      </w:r>
      <w:r w:rsidRPr="5575EBFC">
        <w:rPr>
          <w:rFonts w:eastAsia="Times New Roman"/>
          <w:lang w:val="en-GB"/>
        </w:rPr>
        <w:t xml:space="preserve"> “invasional meltdown” </w:t>
      </w:r>
      <w:r w:rsidR="008C1BF7" w:rsidRPr="5575EBFC">
        <w:rPr>
          <w:lang w:val="en-GB"/>
        </w:rPr>
        <w:fldChar w:fldCharType="begin"/>
      </w:r>
      <w:r w:rsidR="00331A79">
        <w:rPr>
          <w:lang w:val="en-GB"/>
        </w:rPr>
        <w:instrText xml:space="preserve"> ADDIN ZOTERO_ITEM CSL_CITATION {"citationID":"lxKR4uas","properties":{"formattedCitation":"(Simberloff, 2006)","plainCitation":"(Simberloff, 2006)","dontUpdate":true,"noteIndex":0},"citationItems":[{"id":56678,"uris":["http://zotero.org/groups/2352922/items/Q56RCJ8Y","http://zotero.org/groups/2352922/items/RCGAK4CX"],"itemData":{"id":56678,"type":"article-journal","container-title":"Ecology Letters","DOI":"10.1111/j.1461-0248.2006.00939.x","ISSN":"1461-023X, 1461-0248","issue":"8","journalAbbreviation":"Ecol Letters","language":"en","page":"912-919","source":"DOI.org (Crossref)","title":"Invasional meltdown 6 years later: important phenomenon, unfortunate metaphor, or both?","title-short":"Invasional meltdown 6 years later","URL":"https://onlinelibrary.wiley.com/doi/10.1111/j.1461-0248.2006.00939.x","volume":"9","author":[{"family":"Simberloff","given":"Daniel"}],"accessed":{"date-parts":[["2023",6,8]]},"issued":{"date-parts":[["2006",8]]}},"label":"page"}],"schema":"https://github.com/citation-style-language/schema/raw/master/csl-citation.json"} </w:instrText>
      </w:r>
      <w:r w:rsidR="008C1BF7" w:rsidRPr="5575EBFC">
        <w:rPr>
          <w:lang w:val="en-GB"/>
        </w:rPr>
        <w:fldChar w:fldCharType="separate"/>
      </w:r>
      <w:r w:rsidR="6D85FF2D" w:rsidRPr="5575EBFC">
        <w:rPr>
          <w:lang w:val="en-GB"/>
        </w:rPr>
        <w:t>(Simberloff, 2006</w:t>
      </w:r>
      <w:r w:rsidR="008C1BF7" w:rsidRPr="5575EBFC">
        <w:rPr>
          <w:lang w:val="en-GB"/>
        </w:rPr>
        <w:fldChar w:fldCharType="end"/>
      </w:r>
      <w:r w:rsidR="6D85FF2D" w:rsidRPr="5575EBFC">
        <w:rPr>
          <w:lang w:val="en-GB"/>
        </w:rPr>
        <w:t>;</w:t>
      </w:r>
      <w:r w:rsidR="56720E93" w:rsidRPr="5575EBFC">
        <w:rPr>
          <w:rFonts w:eastAsia="Times New Roman"/>
          <w:lang w:val="en-GB"/>
        </w:rPr>
        <w:t xml:space="preserve"> </w:t>
      </w:r>
      <w:r w:rsidR="6E5FEC94" w:rsidRPr="5575EBFC">
        <w:rPr>
          <w:rFonts w:eastAsia="Times New Roman"/>
          <w:b/>
          <w:bCs/>
          <w:lang w:val="en-GB"/>
        </w:rPr>
        <w:t>C</w:t>
      </w:r>
      <w:r w:rsidR="79595E14" w:rsidRPr="5575EBFC">
        <w:rPr>
          <w:rFonts w:eastAsia="Times New Roman"/>
          <w:b/>
          <w:bCs/>
          <w:lang w:val="en-GB"/>
        </w:rPr>
        <w:t>hapters 1</w:t>
      </w:r>
      <w:r w:rsidR="79595E14" w:rsidRPr="5575EBFC">
        <w:rPr>
          <w:rFonts w:eastAsia="Times New Roman"/>
          <w:lang w:val="en-GB"/>
        </w:rPr>
        <w:t>,</w:t>
      </w:r>
      <w:r w:rsidR="79595E14" w:rsidRPr="5575EBFC">
        <w:rPr>
          <w:rFonts w:eastAsia="Times New Roman"/>
          <w:b/>
          <w:bCs/>
          <w:lang w:val="en-GB"/>
        </w:rPr>
        <w:t xml:space="preserve"> </w:t>
      </w:r>
      <w:r w:rsidR="0F82351D" w:rsidRPr="5575EBFC">
        <w:rPr>
          <w:rFonts w:eastAsia="Times New Roman"/>
          <w:b/>
          <w:bCs/>
          <w:lang w:val="en-GB"/>
        </w:rPr>
        <w:t>2</w:t>
      </w:r>
      <w:r w:rsidR="0F82351D" w:rsidRPr="5575EBFC">
        <w:rPr>
          <w:rFonts w:eastAsia="Times New Roman"/>
          <w:lang w:val="en-GB"/>
        </w:rPr>
        <w:t>,</w:t>
      </w:r>
      <w:r w:rsidR="0F82351D" w:rsidRPr="5575EBFC">
        <w:rPr>
          <w:rFonts w:eastAsia="Times New Roman"/>
          <w:b/>
          <w:bCs/>
          <w:lang w:val="en-GB"/>
        </w:rPr>
        <w:t xml:space="preserve"> 4</w:t>
      </w:r>
      <w:r w:rsidR="0F82351D" w:rsidRPr="5575EBFC">
        <w:rPr>
          <w:rFonts w:eastAsia="Times New Roman"/>
          <w:lang w:val="en-GB"/>
        </w:rPr>
        <w:t>)</w:t>
      </w:r>
      <w:r w:rsidR="56720E93" w:rsidRPr="5575EBFC">
        <w:rPr>
          <w:rFonts w:eastAsia="Times New Roman"/>
          <w:lang w:val="en-GB"/>
        </w:rPr>
        <w:t>.</w:t>
      </w:r>
    </w:p>
    <w:p w14:paraId="420EBEC4" w14:textId="77777777" w:rsidR="00F80284" w:rsidRPr="00DA249F" w:rsidRDefault="00630DAB" w:rsidP="004E4412">
      <w:pPr>
        <w:keepNext/>
        <w:rPr>
          <w:lang w:val="en-GB"/>
        </w:rPr>
      </w:pPr>
      <w:r w:rsidRPr="00630DAB">
        <w:rPr>
          <w:noProof/>
          <w:lang w:val="en-GB"/>
        </w:rPr>
        <w:lastRenderedPageBreak/>
        <w:drawing>
          <wp:inline distT="0" distB="0" distL="0" distR="0" wp14:anchorId="5C9E1248" wp14:editId="69E8FBD1">
            <wp:extent cx="6115050" cy="2287270"/>
            <wp:effectExtent l="0" t="0" r="6350" b="0"/>
            <wp:docPr id="56" name="Picture 56" descr="A diagram of a variety of speci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Picture 56" descr="A diagram of a variety of species&#10;&#10;Description automatically generated with medium confidence"/>
                    <pic:cNvPicPr/>
                  </pic:nvPicPr>
                  <pic:blipFill>
                    <a:blip r:embed="rId41"/>
                    <a:stretch>
                      <a:fillRect/>
                    </a:stretch>
                  </pic:blipFill>
                  <pic:spPr>
                    <a:xfrm>
                      <a:off x="0" y="0"/>
                      <a:ext cx="6115050" cy="2287270"/>
                    </a:xfrm>
                    <a:prstGeom prst="rect">
                      <a:avLst/>
                    </a:prstGeom>
                    <a:ln>
                      <a:noFill/>
                    </a:ln>
                  </pic:spPr>
                </pic:pic>
              </a:graphicData>
            </a:graphic>
          </wp:inline>
        </w:drawing>
      </w:r>
    </w:p>
    <w:p w14:paraId="4AB94988" w14:textId="52225C2A" w:rsidR="0059450B" w:rsidRPr="00DA249F" w:rsidRDefault="6469CE08" w:rsidP="0074196D">
      <w:pPr>
        <w:pStyle w:val="Caption"/>
        <w:rPr>
          <w:b w:val="0"/>
          <w:bCs w:val="0"/>
          <w:lang w:val="en-GB"/>
        </w:rPr>
      </w:pPr>
      <w:bookmarkStart w:id="198" w:name="_Toc147500906"/>
      <w:r w:rsidRPr="5575EBFC">
        <w:rPr>
          <w:lang w:val="en-GB"/>
        </w:rPr>
        <w:t>Figure 3.</w:t>
      </w:r>
      <w:r w:rsidR="00A35C30" w:rsidRPr="5575EBFC">
        <w:rPr>
          <w:lang w:val="en-GB"/>
        </w:rPr>
        <w:fldChar w:fldCharType="begin"/>
      </w:r>
      <w:r w:rsidR="00A35C30" w:rsidRPr="5575EBFC">
        <w:rPr>
          <w:lang w:val="en-GB"/>
        </w:rPr>
        <w:instrText xml:space="preserve"> SEQ Figure_3. \* ARABIC </w:instrText>
      </w:r>
      <w:r w:rsidR="00A35C30" w:rsidRPr="5575EBFC">
        <w:rPr>
          <w:lang w:val="en-GB"/>
        </w:rPr>
        <w:fldChar w:fldCharType="separate"/>
      </w:r>
      <w:r w:rsidR="00287BC7">
        <w:rPr>
          <w:noProof/>
          <w:lang w:val="en-GB"/>
        </w:rPr>
        <w:t>21</w:t>
      </w:r>
      <w:r w:rsidR="00A35C30" w:rsidRPr="5575EBFC">
        <w:rPr>
          <w:lang w:val="en-GB"/>
        </w:rPr>
        <w:fldChar w:fldCharType="end"/>
      </w:r>
      <w:r w:rsidR="18E6F836" w:rsidRPr="5575EBFC">
        <w:rPr>
          <w:lang w:val="en-GB"/>
        </w:rPr>
        <w:t>.</w:t>
      </w:r>
      <w:r w:rsidR="0C338868" w:rsidRPr="5575EBFC">
        <w:rPr>
          <w:lang w:val="en-GB"/>
        </w:rPr>
        <w:t xml:space="preserve"> </w:t>
      </w:r>
      <w:r w:rsidR="5AE24373" w:rsidRPr="5575EBFC">
        <w:rPr>
          <w:b w:val="0"/>
          <w:bCs w:val="0"/>
          <w:lang w:val="en-GB"/>
        </w:rPr>
        <w:t>Examples of t</w:t>
      </w:r>
      <w:r w:rsidR="0C338868" w:rsidRPr="5575EBFC">
        <w:rPr>
          <w:b w:val="0"/>
          <w:bCs w:val="0"/>
          <w:lang w:val="en-GB"/>
        </w:rPr>
        <w:t xml:space="preserve">he role of invasive alien species </w:t>
      </w:r>
      <w:r w:rsidR="205A970A" w:rsidRPr="5575EBFC">
        <w:rPr>
          <w:b w:val="0"/>
          <w:bCs w:val="0"/>
          <w:lang w:val="en-GB"/>
        </w:rPr>
        <w:t xml:space="preserve">in facilitating additional </w:t>
      </w:r>
      <w:r w:rsidR="06518D98" w:rsidRPr="5575EBFC">
        <w:rPr>
          <w:b w:val="0"/>
          <w:bCs w:val="0"/>
          <w:lang w:val="en-GB"/>
        </w:rPr>
        <w:t xml:space="preserve">invasive alien species across stages in the </w:t>
      </w:r>
      <w:r w:rsidR="205A970A" w:rsidRPr="5575EBFC">
        <w:rPr>
          <w:b w:val="0"/>
          <w:bCs w:val="0"/>
          <w:lang w:val="en-GB"/>
        </w:rPr>
        <w:t>biological invasion</w:t>
      </w:r>
      <w:r w:rsidR="00F26E2B">
        <w:rPr>
          <w:b w:val="0"/>
          <w:bCs w:val="0"/>
          <w:lang w:val="en-GB"/>
        </w:rPr>
        <w:t xml:space="preserve"> </w:t>
      </w:r>
      <w:r w:rsidR="760C5426" w:rsidRPr="5575EBFC">
        <w:rPr>
          <w:b w:val="0"/>
          <w:bCs w:val="0"/>
          <w:lang w:val="en-GB"/>
        </w:rPr>
        <w:t>process</w:t>
      </w:r>
      <w:r w:rsidR="4BE54DAB" w:rsidRPr="5575EBFC">
        <w:rPr>
          <w:b w:val="0"/>
          <w:bCs w:val="0"/>
          <w:lang w:val="en-GB"/>
        </w:rPr>
        <w:t>.</w:t>
      </w:r>
      <w:r w:rsidR="7AC0C083" w:rsidRPr="5575EBFC">
        <w:rPr>
          <w:lang w:val="en-GB"/>
        </w:rPr>
        <w:t xml:space="preserve"> </w:t>
      </w:r>
      <w:r w:rsidR="394A5BBA" w:rsidRPr="5575EBFC">
        <w:rPr>
          <w:b w:val="0"/>
          <w:bCs w:val="0"/>
          <w:lang w:val="en-GB"/>
        </w:rPr>
        <w:t xml:space="preserve">Invasive alien species may facilitate further </w:t>
      </w:r>
      <w:r w:rsidR="44E8D0CB" w:rsidRPr="5575EBFC">
        <w:rPr>
          <w:b w:val="0"/>
          <w:bCs w:val="0"/>
          <w:lang w:val="en-GB"/>
        </w:rPr>
        <w:t xml:space="preserve">biological </w:t>
      </w:r>
      <w:r w:rsidR="394A5BBA" w:rsidRPr="5575EBFC">
        <w:rPr>
          <w:b w:val="0"/>
          <w:bCs w:val="0"/>
          <w:lang w:val="en-GB"/>
        </w:rPr>
        <w:t xml:space="preserve">invasions </w:t>
      </w:r>
      <w:r w:rsidR="44E8D0CB" w:rsidRPr="5575EBFC">
        <w:rPr>
          <w:b w:val="0"/>
          <w:bCs w:val="0"/>
          <w:lang w:val="en-GB"/>
        </w:rPr>
        <w:t xml:space="preserve">by acting </w:t>
      </w:r>
      <w:r w:rsidR="6F3E679C" w:rsidRPr="5575EBFC">
        <w:rPr>
          <w:b w:val="0"/>
          <w:bCs w:val="0"/>
          <w:lang w:val="en-GB"/>
        </w:rPr>
        <w:t xml:space="preserve">as pathways for other invasive alien species, </w:t>
      </w:r>
      <w:r w:rsidR="0A2C2713" w:rsidRPr="5575EBFC">
        <w:rPr>
          <w:b w:val="0"/>
          <w:bCs w:val="0"/>
          <w:lang w:val="en-GB"/>
        </w:rPr>
        <w:t xml:space="preserve">by </w:t>
      </w:r>
      <w:r w:rsidR="6A8413F1" w:rsidRPr="5575EBFC">
        <w:rPr>
          <w:b w:val="0"/>
          <w:bCs w:val="0"/>
          <w:lang w:val="en-GB"/>
        </w:rPr>
        <w:t>motivating</w:t>
      </w:r>
      <w:r w:rsidR="0A2C2713" w:rsidRPr="5575EBFC">
        <w:rPr>
          <w:b w:val="0"/>
          <w:bCs w:val="0"/>
          <w:lang w:val="en-GB"/>
        </w:rPr>
        <w:t xml:space="preserve"> the deliberate introduction of additional </w:t>
      </w:r>
      <w:r w:rsidR="6A8413F1" w:rsidRPr="5575EBFC">
        <w:rPr>
          <w:b w:val="0"/>
          <w:bCs w:val="0"/>
          <w:lang w:val="en-GB"/>
        </w:rPr>
        <w:t xml:space="preserve">alien species for biological control, by modifying the ecosystem thereby </w:t>
      </w:r>
      <w:r w:rsidR="66BF20E2" w:rsidRPr="5575EBFC">
        <w:rPr>
          <w:b w:val="0"/>
          <w:bCs w:val="0"/>
          <w:lang w:val="en-GB"/>
        </w:rPr>
        <w:t>facilitating</w:t>
      </w:r>
      <w:r w:rsidR="6A8413F1" w:rsidRPr="5575EBFC">
        <w:rPr>
          <w:b w:val="0"/>
          <w:bCs w:val="0"/>
          <w:lang w:val="en-GB"/>
        </w:rPr>
        <w:t xml:space="preserve"> </w:t>
      </w:r>
      <w:r w:rsidR="4D1B139E" w:rsidRPr="5575EBFC">
        <w:rPr>
          <w:b w:val="0"/>
          <w:bCs w:val="0"/>
          <w:lang w:val="en-GB"/>
        </w:rPr>
        <w:t xml:space="preserve">the establishment </w:t>
      </w:r>
      <w:r w:rsidR="6A8413F1" w:rsidRPr="5575EBFC">
        <w:rPr>
          <w:b w:val="0"/>
          <w:bCs w:val="0"/>
          <w:lang w:val="en-GB"/>
        </w:rPr>
        <w:t xml:space="preserve">other alien species, </w:t>
      </w:r>
      <w:r w:rsidR="07ADCA7D" w:rsidRPr="5575EBFC">
        <w:rPr>
          <w:b w:val="0"/>
          <w:bCs w:val="0"/>
          <w:lang w:val="en-GB"/>
        </w:rPr>
        <w:t xml:space="preserve">or by facilitating spread. Biological invasions can also </w:t>
      </w:r>
      <w:r w:rsidR="70A08C98" w:rsidRPr="5575EBFC">
        <w:rPr>
          <w:b w:val="0"/>
          <w:bCs w:val="0"/>
          <w:lang w:val="en-GB"/>
        </w:rPr>
        <w:t xml:space="preserve">negatively impact ecosystem functioning and resistance, causing </w:t>
      </w:r>
      <w:r w:rsidR="0537ECA5" w:rsidRPr="5575EBFC">
        <w:rPr>
          <w:b w:val="0"/>
          <w:bCs w:val="0"/>
          <w:lang w:val="en-GB"/>
        </w:rPr>
        <w:t>feedback</w:t>
      </w:r>
      <w:r w:rsidR="70A08C98" w:rsidRPr="5575EBFC">
        <w:rPr>
          <w:b w:val="0"/>
          <w:bCs w:val="0"/>
          <w:lang w:val="en-GB"/>
        </w:rPr>
        <w:t xml:space="preserve"> </w:t>
      </w:r>
      <w:r w:rsidR="3D858C6B" w:rsidRPr="5575EBFC">
        <w:rPr>
          <w:b w:val="0"/>
          <w:bCs w:val="0"/>
          <w:lang w:val="en-GB"/>
        </w:rPr>
        <w:t>via</w:t>
      </w:r>
      <w:r w:rsidR="70A08C98" w:rsidRPr="5575EBFC">
        <w:rPr>
          <w:b w:val="0"/>
          <w:bCs w:val="0"/>
          <w:lang w:val="en-GB"/>
        </w:rPr>
        <w:t xml:space="preserve"> </w:t>
      </w:r>
      <w:r w:rsidR="3D858C6B" w:rsidRPr="5575EBFC">
        <w:rPr>
          <w:b w:val="0"/>
          <w:bCs w:val="0"/>
          <w:lang w:val="en-GB"/>
        </w:rPr>
        <w:t xml:space="preserve">facilitation of the </w:t>
      </w:r>
      <w:r w:rsidR="08EE9B7F" w:rsidRPr="5575EBFC">
        <w:rPr>
          <w:b w:val="0"/>
          <w:bCs w:val="0"/>
          <w:lang w:val="en-GB"/>
        </w:rPr>
        <w:t>introduction and establishment</w:t>
      </w:r>
      <w:r w:rsidR="3D858C6B" w:rsidRPr="5575EBFC">
        <w:rPr>
          <w:b w:val="0"/>
          <w:bCs w:val="0"/>
          <w:lang w:val="en-GB"/>
        </w:rPr>
        <w:t xml:space="preserve"> </w:t>
      </w:r>
      <w:r w:rsidR="4D1B139E" w:rsidRPr="5575EBFC">
        <w:rPr>
          <w:b w:val="0"/>
          <w:bCs w:val="0"/>
          <w:lang w:val="en-GB"/>
        </w:rPr>
        <w:t xml:space="preserve">of </w:t>
      </w:r>
      <w:r w:rsidR="3D858C6B" w:rsidRPr="5575EBFC">
        <w:rPr>
          <w:b w:val="0"/>
          <w:bCs w:val="0"/>
          <w:lang w:val="en-GB"/>
        </w:rPr>
        <w:t>additional invasive alien species.</w:t>
      </w:r>
      <w:bookmarkEnd w:id="198"/>
      <w:r w:rsidR="56596397" w:rsidRPr="5575EBFC">
        <w:rPr>
          <w:b w:val="0"/>
          <w:bCs w:val="0"/>
          <w:lang w:val="en-GB"/>
        </w:rPr>
        <w:t xml:space="preserve"> </w:t>
      </w:r>
    </w:p>
    <w:p w14:paraId="4146C890" w14:textId="77777777" w:rsidR="008C1BF7" w:rsidRPr="00DA249F" w:rsidRDefault="0AE06348" w:rsidP="004826A3">
      <w:pPr>
        <w:pStyle w:val="Heading3"/>
        <w:rPr>
          <w:lang w:val="en-GB"/>
        </w:rPr>
      </w:pPr>
      <w:bookmarkStart w:id="199" w:name="_Toc44317845"/>
      <w:r w:rsidRPr="00DA249F">
        <w:rPr>
          <w:lang w:val="en-GB"/>
        </w:rPr>
        <w:t>Biotic f</w:t>
      </w:r>
      <w:r w:rsidR="48CC50F3" w:rsidRPr="00DA249F">
        <w:rPr>
          <w:lang w:val="en-GB"/>
        </w:rPr>
        <w:t>acilitation</w:t>
      </w:r>
      <w:bookmarkEnd w:id="199"/>
    </w:p>
    <w:p w14:paraId="53891434" w14:textId="44B3A46A" w:rsidR="004043DD" w:rsidRPr="00DA249F" w:rsidRDefault="7613BAC2" w:rsidP="0090109B">
      <w:pPr>
        <w:rPr>
          <w:lang w:val="en-GB"/>
        </w:rPr>
      </w:pPr>
      <w:r w:rsidRPr="00DA249F">
        <w:rPr>
          <w:lang w:val="en-GB"/>
        </w:rPr>
        <w:t>Invasive alien species</w:t>
      </w:r>
      <w:r w:rsidR="58FDD748" w:rsidRPr="00DA249F">
        <w:rPr>
          <w:lang w:val="en-GB"/>
        </w:rPr>
        <w:t xml:space="preserve"> can facilitate </w:t>
      </w:r>
      <w:r w:rsidR="00B91DD9" w:rsidRPr="00DA249F">
        <w:rPr>
          <w:lang w:val="en-GB"/>
        </w:rPr>
        <w:t xml:space="preserve">the </w:t>
      </w:r>
      <w:r w:rsidR="30A7CE2A" w:rsidRPr="00DA249F">
        <w:rPr>
          <w:lang w:val="en-GB"/>
        </w:rPr>
        <w:t xml:space="preserve">establishment and spread </w:t>
      </w:r>
      <w:r w:rsidR="00B91DD9" w:rsidRPr="00DA249F">
        <w:rPr>
          <w:lang w:val="en-GB"/>
        </w:rPr>
        <w:t xml:space="preserve">of other invasive alien species </w:t>
      </w:r>
      <w:r w:rsidR="2B9BBA20" w:rsidRPr="00DA249F">
        <w:rPr>
          <w:lang w:val="en-GB"/>
        </w:rPr>
        <w:t>through multiple direct and indirect ecological interactions</w:t>
      </w:r>
      <w:r w:rsidR="001F399B" w:rsidRPr="00DA249F">
        <w:rPr>
          <w:lang w:val="en-GB"/>
        </w:rPr>
        <w:t xml:space="preserve"> </w:t>
      </w:r>
      <w:r w:rsidR="00CA0C6B" w:rsidRPr="00DA249F">
        <w:rPr>
          <w:lang w:val="en-GB"/>
        </w:rPr>
        <w:t>(</w:t>
      </w:r>
      <w:r w:rsidR="00E23B69">
        <w:rPr>
          <w:b/>
          <w:bCs/>
          <w:iCs/>
          <w:lang w:val="en-GB"/>
        </w:rPr>
        <w:t>Box</w:t>
      </w:r>
      <w:r w:rsidR="00630DAB">
        <w:rPr>
          <w:b/>
          <w:bCs/>
          <w:iCs/>
          <w:lang w:val="en-GB"/>
        </w:rPr>
        <w:t xml:space="preserve"> 3.10</w:t>
      </w:r>
      <w:r w:rsidR="004E4412" w:rsidRPr="00DA249F">
        <w:rPr>
          <w:bCs/>
          <w:lang w:val="en-GB"/>
        </w:rPr>
        <w:t>)</w:t>
      </w:r>
      <w:r w:rsidR="2B9BBA20" w:rsidRPr="00DA249F">
        <w:rPr>
          <w:lang w:val="en-GB"/>
        </w:rPr>
        <w:t>.</w:t>
      </w:r>
      <w:r w:rsidR="2316205C" w:rsidRPr="00DA249F">
        <w:rPr>
          <w:lang w:val="en-GB"/>
        </w:rPr>
        <w:t xml:space="preserve"> </w:t>
      </w:r>
      <w:r w:rsidR="008C1BF7" w:rsidRPr="00DA249F">
        <w:rPr>
          <w:lang w:val="en-GB"/>
        </w:rPr>
        <w:t xml:space="preserve">Direct </w:t>
      </w:r>
      <w:r w:rsidR="0EAEB0AF" w:rsidRPr="00DA249F">
        <w:rPr>
          <w:lang w:val="en-GB"/>
        </w:rPr>
        <w:t>biotic</w:t>
      </w:r>
      <w:r w:rsidR="008C1BF7" w:rsidRPr="00DA249F">
        <w:rPr>
          <w:lang w:val="en-GB"/>
        </w:rPr>
        <w:t xml:space="preserve"> facilitation</w:t>
      </w:r>
      <w:r w:rsidR="15FF603E" w:rsidRPr="00DA249F">
        <w:rPr>
          <w:lang w:val="en-GB"/>
        </w:rPr>
        <w:t xml:space="preserve"> </w:t>
      </w:r>
      <w:r w:rsidR="6DF5377A" w:rsidRPr="00DA249F">
        <w:rPr>
          <w:lang w:val="en-GB"/>
        </w:rPr>
        <w:t>o</w:t>
      </w:r>
      <w:r w:rsidR="36D38498" w:rsidRPr="00DA249F">
        <w:rPr>
          <w:lang w:val="en-GB"/>
        </w:rPr>
        <w:t>ften involves</w:t>
      </w:r>
      <w:r w:rsidR="6A9FDE43" w:rsidRPr="00DA249F">
        <w:rPr>
          <w:lang w:val="en-GB"/>
        </w:rPr>
        <w:t xml:space="preserve"> </w:t>
      </w:r>
      <w:r w:rsidR="008C1BF7" w:rsidRPr="00DA249F">
        <w:rPr>
          <w:lang w:val="en-GB"/>
        </w:rPr>
        <w:t xml:space="preserve">plant-animal </w:t>
      </w:r>
      <w:r w:rsidR="76CD3A1E" w:rsidRPr="00DA249F">
        <w:rPr>
          <w:lang w:val="en-GB"/>
        </w:rPr>
        <w:t xml:space="preserve">interactions </w:t>
      </w:r>
      <w:r w:rsidR="008C1BF7" w:rsidRPr="00DA249F">
        <w:rPr>
          <w:lang w:val="en-GB"/>
        </w:rPr>
        <w:t>(</w:t>
      </w:r>
      <w:r w:rsidR="00930403" w:rsidRPr="00DA249F">
        <w:rPr>
          <w:lang w:val="en-GB"/>
        </w:rPr>
        <w:t xml:space="preserve">e.g., </w:t>
      </w:r>
      <w:r w:rsidR="008C1BF7" w:rsidRPr="00DA249F">
        <w:rPr>
          <w:lang w:val="en-GB"/>
        </w:rPr>
        <w:t>pollination</w:t>
      </w:r>
      <w:r w:rsidR="001D7B38" w:rsidRPr="00DA249F">
        <w:rPr>
          <w:lang w:val="en-GB"/>
        </w:rPr>
        <w:t>;</w:t>
      </w:r>
      <w:r w:rsidR="008C1BF7" w:rsidRPr="00DA249F">
        <w:rPr>
          <w:lang w:val="en-GB"/>
        </w:rPr>
        <w:t xml:space="preserve"> </w:t>
      </w:r>
      <w:r w:rsidR="54D37F29" w:rsidRPr="00DA249F">
        <w:rPr>
          <w:lang w:val="en-GB"/>
        </w:rPr>
        <w:t>e.g.</w:t>
      </w:r>
      <w:r w:rsidR="5307E41B" w:rsidRPr="00DA249F">
        <w:rPr>
          <w:lang w:val="en-GB"/>
        </w:rPr>
        <w:t>,</w:t>
      </w:r>
      <w:r w:rsidR="0FFBF08E" w:rsidRPr="00DA249F">
        <w:rPr>
          <w:lang w:val="en-GB"/>
        </w:rPr>
        <w:t xml:space="preserve"> </w:t>
      </w:r>
      <w:r w:rsidRPr="00DA249F">
        <w:rPr>
          <w:lang w:val="en-GB"/>
        </w:rPr>
        <w:fldChar w:fldCharType="begin"/>
      </w:r>
      <w:r w:rsidR="00331A79">
        <w:rPr>
          <w:lang w:val="en-GB"/>
        </w:rPr>
        <w:instrText xml:space="preserve"> ADDIN ZOTERO_ITEM CSL_CITATION {"citationID":"oP1cbVHe","properties":{"formattedCitation":"(Morales &amp; Aizen, 2002)","plainCitation":"(Morales &amp; Aizen, 2002)","dontUpdate":true,"noteIndex":0},"citationItems":[{"id":26303,"uris":["http://zotero.org/groups/2352922/items/G4MZFLU3"],"itemData":{"id":26303,"type":"article-journal","abstract":"Habitat disturbance, particularly of human origin, promotes the invasion of exotic plants, which in turn might foster the invasion of alien-interacting animals. Here we assess whether the invasion of exotic plants – mostly mediated by habitat disturbance – facilitates the invasion of exotic flower visitors in temperate forests of the southern Andes, Argentina. We recorded visit frequencies and the identity of visitors to the flowers of 15 native and 15 exotic plant species occurring in different highly disturbed and less disturbed habitats. We identified three alien flower visitors, the hymenopterans Apis mellifera, Bombus ruderatus, and Vespula germanica. We found significantly more visitation by exotic insects in disturbed habitats. This pattern was explained, at least in part, by the association between alien flower visitors and flowers of exotic plants, which occurred more frequently in disturbed habitats. However, this general pattern masked different responses between the two main alien flower visitors. Apis mellifera exploited almost exclusively the flowers of a subset of herbaceous exotic plants that thrive under disturbance, whereas B. ruderatus visited equally flowers of both exotic and native plants in both disturbed and undisturbed habitats. We did not find any strong evidence that flowers of exotic plants were more generalist than those of native plants, or that exotic flower visitors were more generalist than their native counterparts. Our results suggest that alien plant species could facilitate the invasion of at least some exotic flower visitors to disturbed habitats. Because flowering plants as well as flower visitors benefit from this mutualism, this association may enhance, through a positive feedback, successful establishment of both exotic partners.","container-title":"Biological Invasions","DOI":"10.1023/A:1020513012689","ISSN":"1573-1464","issue":"1","journalAbbreviation":"Biological Invasions","language":"en","page":"87-100","source":"Springer Link","title":"Does Invasion of Exotic Plants Promote Invasion of Exotic Flower Visitors? A Case Study from the Temperate Forests of the Southern Andes","title-short":"Does Invasion of Exotic Plants Promote Invasion of Exotic Flower Visitors?","URL":"https://doi.org/10.1023/A:1020513012689","volume":"4","author":[{"family":"Morales","given":"Carolina L."},{"family":"Aizen","given":"M.A."}],"accessed":{"date-parts":[["2019",10,21]]},"issued":{"date-parts":[["2002",3,1]]}},"label":"page"}],"schema":"https://github.com/citation-style-language/schema/raw/master/csl-citation.json"} </w:instrText>
      </w:r>
      <w:r w:rsidRPr="00DA249F">
        <w:rPr>
          <w:lang w:val="en-GB"/>
        </w:rPr>
        <w:fldChar w:fldCharType="separate"/>
      </w:r>
      <w:r w:rsidR="002619DA" w:rsidRPr="00DA249F">
        <w:rPr>
          <w:lang w:val="en-GB"/>
        </w:rPr>
        <w:t>Morales &amp; Aizen, 2002)</w:t>
      </w:r>
      <w:r w:rsidRPr="00DA249F">
        <w:rPr>
          <w:lang w:val="en-GB"/>
        </w:rPr>
        <w:fldChar w:fldCharType="end"/>
      </w:r>
      <w:r w:rsidR="54D37F29" w:rsidRPr="00DA249F">
        <w:rPr>
          <w:lang w:val="en-GB"/>
        </w:rPr>
        <w:t xml:space="preserve">, </w:t>
      </w:r>
      <w:r w:rsidR="008C1BF7" w:rsidRPr="00DA249F">
        <w:rPr>
          <w:lang w:val="en-GB"/>
        </w:rPr>
        <w:t>dispersal</w:t>
      </w:r>
      <w:r w:rsidR="57EE3199" w:rsidRPr="00DA249F">
        <w:rPr>
          <w:lang w:val="en-GB"/>
        </w:rPr>
        <w:t xml:space="preserve">, </w:t>
      </w:r>
      <w:r w:rsidR="001D7B38" w:rsidRPr="00DA249F">
        <w:rPr>
          <w:lang w:val="en-GB"/>
        </w:rPr>
        <w:t>(</w:t>
      </w:r>
      <w:r w:rsidR="00930403" w:rsidRPr="00DA249F">
        <w:rPr>
          <w:lang w:val="en-GB"/>
        </w:rPr>
        <w:t xml:space="preserve">e.g., </w:t>
      </w:r>
      <w:r w:rsidRPr="00DA249F">
        <w:rPr>
          <w:lang w:val="en-GB"/>
        </w:rPr>
        <w:fldChar w:fldCharType="begin"/>
      </w:r>
      <w:r w:rsidR="00331A79">
        <w:rPr>
          <w:lang w:val="en-GB"/>
        </w:rPr>
        <w:instrText xml:space="preserve"> ADDIN ZOTERO_ITEM CSL_CITATION {"citationID":"kaJLQanO","properties":{"formattedCitation":"(Mandon-Dalger et al., 2004)","plainCitation":"(Mandon-Dalger et al., 2004)","dontUpdate":true,"noteIndex":0},"citationItems":[{"id":11174,"uris":["http://zotero.org/groups/2352922/items/MN36VHT8"],"itemData":{"id":11174,"type":"article-journal","abstract":"Many studies have shown that plant or bird invasions can be facilitated by native species, but few have demonstrated the possibility of a positive interaction between introduced species. We analysed the relationships between four invasive alien fleshy-fruited plants, Clidemia hirta, Rubus alceifolius, Lantana camara, Schinus terebinthifolius, and an invasive alien bird, the red-whiskered bulbul Pycnonotus jocosus introduced to Reunion Island (Indian Ocean). We compared the distribution of food items in the bulbul diet according to seasons and to abundance classes of this bird. Pycnonotus jocosus is mostly frugivorous and frequently eats the main alien plants (more than 80% frequency of food items). Sites with alien species, such as Clidemia hirta, providing fruits throughout the year supported more birds than sites providing fruits, such as Schinus terebinthifolius, seasonally. The birds facilitated seed germination by removing the pulp of fruit: the final per cent germination (FG) of cleaned seeds was higher than those within the fruit for three of the four plant species and in some cases passage through birds significantly increased FG (Schinus terebinthifolius) or Coefficient of Velocity (CV) (Lantana camara).","container-title":"Journal of Tropical Ecology","ISSN":"0266-4674","issue":"6","note":"publisher: Cambridge University Press","page":"635-642","source":"JSTOR","title":"Relationships between Alien Plants and an Alien Bird Species on Reunion Island","URL":"https://www.jstor.org/stable/4092109","volume":"20","author":[{"family":"Mandon-Dalger","given":"Isabelle"},{"family":"Clergeau","given":"Philippe"},{"family":"Tassin","given":"Jacques"},{"family":"Rivière","given":"Jean-Noël"},{"family":"Gatti","given":"Sylvain"}],"accessed":{"date-parts":[["2021",3,10]]},"issued":{"date-parts":[["2004"]]}},"label":"page"}],"schema":"https://github.com/citation-style-language/schema/raw/master/csl-citation.json"} </w:instrText>
      </w:r>
      <w:r w:rsidRPr="00DA249F">
        <w:rPr>
          <w:lang w:val="en-GB"/>
        </w:rPr>
        <w:fldChar w:fldCharType="separate"/>
      </w:r>
      <w:r w:rsidR="002619DA" w:rsidRPr="00DA249F">
        <w:rPr>
          <w:lang w:val="en-GB"/>
        </w:rPr>
        <w:t>Mandon-Dalger et al., 2004)</w:t>
      </w:r>
      <w:r w:rsidRPr="00DA249F">
        <w:rPr>
          <w:lang w:val="en-GB"/>
        </w:rPr>
        <w:fldChar w:fldCharType="end"/>
      </w:r>
      <w:r w:rsidR="008C1BF7" w:rsidRPr="00DA249F">
        <w:rPr>
          <w:lang w:val="en-GB"/>
        </w:rPr>
        <w:t>, plant-</w:t>
      </w:r>
      <w:r w:rsidR="4E63C668" w:rsidRPr="00DA249F">
        <w:rPr>
          <w:lang w:val="en-GB"/>
        </w:rPr>
        <w:t>fungal</w:t>
      </w:r>
      <w:r w:rsidR="008C1BF7" w:rsidRPr="00DA249F">
        <w:rPr>
          <w:lang w:val="en-GB"/>
        </w:rPr>
        <w:t xml:space="preserve"> </w:t>
      </w:r>
      <w:r w:rsidR="641DDA0F" w:rsidRPr="00DA249F">
        <w:rPr>
          <w:lang w:val="en-GB"/>
        </w:rPr>
        <w:t xml:space="preserve">interactions </w:t>
      </w:r>
      <w:r w:rsidR="008C1BF7" w:rsidRPr="00DA249F">
        <w:rPr>
          <w:lang w:val="en-GB"/>
        </w:rPr>
        <w:t>(</w:t>
      </w:r>
      <w:r w:rsidR="00930403" w:rsidRPr="00DA249F">
        <w:rPr>
          <w:lang w:val="en-GB"/>
        </w:rPr>
        <w:t xml:space="preserve">e.g., </w:t>
      </w:r>
      <w:r w:rsidR="008C1BF7" w:rsidRPr="00DA249F">
        <w:rPr>
          <w:lang w:val="en-GB"/>
        </w:rPr>
        <w:t>mycorrhizal symbiosis</w:t>
      </w:r>
      <w:r w:rsidR="004817C1" w:rsidRPr="00DA249F">
        <w:rPr>
          <w:lang w:val="en-GB"/>
        </w:rPr>
        <w:t>;</w:t>
      </w:r>
      <w:r w:rsidR="0FFBF08E" w:rsidRPr="00DA249F">
        <w:rPr>
          <w:lang w:val="en-GB"/>
        </w:rPr>
        <w:t xml:space="preserve"> </w:t>
      </w:r>
      <w:r w:rsidRPr="00DA249F">
        <w:rPr>
          <w:lang w:val="en-GB"/>
        </w:rPr>
        <w:fldChar w:fldCharType="begin"/>
      </w:r>
      <w:r w:rsidR="00331A79">
        <w:rPr>
          <w:lang w:val="en-GB"/>
        </w:rPr>
        <w:instrText xml:space="preserve"> ADDIN ZOTERO_ITEM CSL_CITATION {"citationID":"XtZ22l5q","properties":{"formattedCitation":"(Dickie et al., 2010)","plainCitation":"(Dickie et al., 2010)","dontUpdate":true,"noteIndex":0},"citationItems":[{"id":24701,"uris":["http://zotero.org/groups/2352922/items/A6BML947"],"itemData":{"id":24701,"type":"article-journal","abstract":"• The absence of co-evolved mutualists of plants invading a novel habitat is the logical corollary of the more widely recognized ‘enemy escape’. To avoid or overcome the loss of mutualists, plants may co-invade with nonnative mutualists, form novel associations with native mutualists or form associations with native cosmopolitan mutualists, which are native but not novel to the invading plant. • We tested these hypotheses by contrasting the ectomycorrhizal fungal communities associated with invasive Pinus contorta in New Zealand with co-occurring endemic Nothofagus solandri var. cliffortioides. • Fungal communities on Pinus were species poor (14 ectomycorrhizal species) and dominated by nonnative (93%) and cosmopolitan fungi (7%). Nothofagus had a species-rich (98 species) fungal community dominated by native Cortinarius and two cosmopolitan fungi. • These results support co-invasion by mutualists rather than novel associations as an important mechanism by which plants avoid or overcome the loss of mutualists, consistent with invasional meltdown.","container-title":"New Phytologist","DOI":"https://doi.org/10.1111/j.1469-8137.2010.03277.x","ISSN":"1469-8137","issue":"2","language":"en","license":"© The Authors (2010). Journal compilation © New Phytologist Trust (2010)","note":"_eprint: https://nph.onlinelibrary.wiley.com/doi/pdf/10.1111/j.1469-8137.2010.03277.x","page":"475-484","source":"Wiley Online Library","title":"Co-invasion by &lt;i&gt;Pinus&lt;/i&gt; and its mycorrhizal fungi","URL":"https://nph.onlinelibrary.wiley.com/doi/abs/10.1111/j.1469-8137.2010.03277.x","volume":"187","author":[{"family":"Dickie","given":"Ian A."},{"family":"Bolstridge","given":"Nicola"},{"family":"Cooper","given":"Jerry A."},{"family":"Peltzer","given":"Duane A."}],"accessed":{"date-parts":[["2021",3,10]]},"issued":{"date-parts":[["2010"]]}},"label":"page"}],"schema":"https://github.com/citation-style-language/schema/raw/master/csl-citation.json"} </w:instrText>
      </w:r>
      <w:r w:rsidRPr="00DA249F">
        <w:rPr>
          <w:lang w:val="en-GB"/>
        </w:rPr>
        <w:fldChar w:fldCharType="separate"/>
      </w:r>
      <w:r w:rsidR="00066F1A" w:rsidRPr="00DA249F">
        <w:rPr>
          <w:lang w:val="en-GB"/>
        </w:rPr>
        <w:t>Dickie et al., 2010)</w:t>
      </w:r>
      <w:r w:rsidRPr="00DA249F">
        <w:rPr>
          <w:lang w:val="en-GB"/>
        </w:rPr>
        <w:fldChar w:fldCharType="end"/>
      </w:r>
      <w:r w:rsidR="6AFA4A7E" w:rsidRPr="00DA249F">
        <w:rPr>
          <w:lang w:val="en-GB"/>
        </w:rPr>
        <w:t xml:space="preserve">, </w:t>
      </w:r>
      <w:r w:rsidR="008C1BF7" w:rsidRPr="00DA249F">
        <w:rPr>
          <w:lang w:val="en-GB"/>
        </w:rPr>
        <w:t>or animal-animal (</w:t>
      </w:r>
      <w:r w:rsidR="004817C1" w:rsidRPr="00DA249F">
        <w:rPr>
          <w:lang w:val="en-GB"/>
        </w:rPr>
        <w:t xml:space="preserve">e.g., </w:t>
      </w:r>
      <w:r w:rsidR="008C1BF7" w:rsidRPr="00DA249F">
        <w:rPr>
          <w:lang w:val="en-GB"/>
        </w:rPr>
        <w:t xml:space="preserve">ant-scale insect) mutualisms </w:t>
      </w:r>
      <w:r w:rsidRPr="00DA249F">
        <w:rPr>
          <w:lang w:val="en-GB"/>
        </w:rPr>
        <w:fldChar w:fldCharType="begin"/>
      </w:r>
      <w:r w:rsidR="00331A79">
        <w:rPr>
          <w:lang w:val="en-GB"/>
        </w:rPr>
        <w:instrText xml:space="preserve"> ADDIN ZOTERO_ITEM CSL_CITATION {"citationID":"O10D3nZr","properties":{"formattedCitation":"(Richardson, Allsopp, et al., 2007; Simberloff &amp; Von Holle, 1999; Traveset &amp; Richardson, 2014)","plainCitation":"(Richardson, Allsopp, et al., 2007; Simberloff &amp; Von Holle, 1999; Traveset &amp; Richardson, 2014)","noteIndex":0},"citationItems":[{"id":26618,"uris":["http://zotero.org/groups/2352922/items/HIF9FQTF"],"itemData":{"id":26618,"type":"article-journal","abstract":"Study of interactions between pairs or larger groups of nonindigenous species has been subordinated in the literature to study of interactions between nonindigenous and native species. To the extent that interactions among introduced species are depicted at all, the emphasis has been on negative interactions, primarily resource competition and interference. However, a literature search reveals that introduced species frequently interact with one another and that facilitative interactions are at least as common as detrimental ones. The population significance of these interactions has rarely been determined, but a great variety of types of direct and indirect interactions among individuals of different nonindigenous species is observed, and many are plausibly believed to have consequences at the population level. In particular, mutualisms between plants and the animals that disperse and/or pollinate them and modification of habitat by both animals and plants seem common and often important in facilitating invasions. There is little evidence that interference among introduced species at levels currently observed significantly impedes further invasions, and synergistic interactions among invaders may well lead to accelerated impacts on native ecosystems – an invasional ‘meltdown’ process.","container-title":"Biological Invasions","DOI":"10.1023/A:1010086329619","ISSN":"1573-1464","issue":"1","journalAbbreviation":"Biological Invasions","language":"en","page":"21-32","source":"Springer Link","title":"Positive Interactions of Nonindigenous Species: Invasional Meltdown?","title-short":"Positive Interactions of Nonindigenous Species","URL":"https://doi.org/10.1023/A:1010086329619","volume":"1","author":[{"family":"Simberloff","given":"Daniel"},{"family":"Von Holle","given":"Betsy"}],"accessed":{"date-parts":[["2019",10,28]]},"issued":{"date-parts":[["1999",3,1]]}},"label":"page"},{"id":31015,"uris":["http://zotero.org/groups/2352922/items/GJGIL5W9"],"itemData":{"id":31015,"type":"article-journal","abstract":"Many introduced plant species rely on mutualisms in their new habitats to overcome barriers to establishment and to become naturalized and, in some cases, invasive. Mutualisms involving animalmediated pollination and seed dispersal, and symbioses between plant roots and microbiota often facilitate invasions. The spread of many alien plants, particularly woody ones, depends on pollinator mutualisms. Most alien plants are well served by generalist pollinators (insects and birds), and pollinator limitation does not appear to be a major barrier for the spread of introduced plants (special conditions relating to Ficus and orchids are described). Seeds of many of the most notorious plant invaders are dispersed by animals, mainly birds and mammals. Our review supports the view that tightly coevolved, plant-vertebrate seed dispersal systems are extremely rare. Vertebrate-dispersed plants are generally not limited reproductively by the lack of dispersers. Most mycorrhizal plants form associations with arbuscular mycorrhizal fungi which, because of their low speciﬁcity, do not seem to play a major role in facilitating or hindering plant invasions (except possibly on remote islands such as the Galapagos which are poor in arbuscular mycorrhizal fungi). The lack of symbionts has, however, been a major barrier for many ectomycorrhizal plants, notably for Pinus spp. in parts of the southern hemisphere. The roles of nitrogen-ﬁxing associations between legumes and rhizobia and between actinorhizal plants and Frankia spp. in promoting or hindering invasions have been virtually ignored in the invasions literature. Symbionts required to induce nitrogen ﬁxation in many plants are extremely widespread, but intentional introductions of symbionts have altered the invasibility of many, if not most, systems. Some of the world’s worst invasive alien species only invaded after the introduction of symbionts. Mutualisms in the new environment sometimes re-unite the same species that form partnerships in the native range of the plant. Very often, however, diﬀerent species are involved, emphasizing the diﬀuse nature of many (most) mutualisms. Mutualisms in new habitats usually duplicate functions or strategies that exist in the natural range of the plant. Occasionally, mutualisms forge totally novel combinations, with profound implications for the behaviour of the introduced plant in the new environment (examples are seed dispersal mutualisms involving wind-dispersed pines and cockatoos in Australia ; and mycorrhizal associations involving plant roots and fungi). Many ecosystems are becoming more susceptible to invasion by introduced plants because : (a) they contain an increasing array of potential mutualistic partners (e.g. generalist frugivores and pollinators, mycorrhizal fungi with wide host ranges, rhizobia strains with infectivity across genera) ; and (b) conditions conducive for the establishment of various alien\\alien synergisms are becoming more abundant. Incorporating perspectives on mutualisms in screening protocols will improve (but not perfect) our ability to predict whether a given plant species could invade a particular habitat.","container-title":"Biological Reviews","DOI":"10.1111/j.1469-185X.1999.tb00041.x","ISSN":"14647931","issue":"1","language":"en","page":"65-93","source":"DOI.org (Crossref)","title":"Plant invasions - the role of mutualisms","URL":"http://doi.wiley.com/10.1111/j.1469-185X.1999.tb00041.x","volume":"75","author":[{"family":"Richardson","given":"David M."},{"family":"Allsopp","given":"Nicky"},{"family":"D'Antonio","given":"Carla M."},{"family":"Milton","given":"Suzanne J."},{"family":"Rejmánek","given":"Marcel"}],"accessed":{"date-parts":[["2020",8,15]]},"issued":{"date-parts":[["2007",1,11]]}},"label":"page"},{"id":11242,"uris":["http://zotero.org/groups/2352922/items/5HACBJ84"],"itemData":{"id":11242,"type":"article-journal","abstract":"Mutualisms structure ecosystems and mediate their functioning. They also enhance invasions of many alien species. Invasions disrupt native mutualisms, often leading to population declines, reduced biodiversity, and altered ecosystem functioning. Focusing on three main types of mutualisms (pollination, seed dispersal, and plant-microbial symbioses) and drawing on examples from different ecosystems and from species- and community-level studies, we review the key mechanisms whereby such positive interactions mediate invasions and are in turn inﬂuenced by invasions. High interaction generalization is “the norm” in most systems, allowing alien species to inﬁltrate recipient communities. We identify traits that inﬂuence invasiveness (e.g., selﬁng capacity in plants, animal behavioral traits) or invasibility (e.g., partner choice in mycorrhizas/rhizobia) through mutualistic interactions. Mutualistic disruptions due to invasions are pervasive, and subsequent cascading effects are also widespread. Ecological networks provide a useful framework for predicting tipping points for community collapse in response to invasions and other synergistic drivers of global change.","container-title":"Annual Review of Ecology, Evolution, and Systematics","DOI":"10.1146/annurev-ecolsys-120213-091857","ISSN":"1543-592X, 1545-2069","issue":"1","journalAbbreviation":"Annu. Rev. Ecol. Evol. Syst.","language":"en","page":"89-113","source":"DOI.org (Crossref)","title":"Mutualistic Interactions and Biological Invasions","URL":"http://www.annualreviews.org/doi/10.1146/annurev-ecolsys-120213-091857","volume":"45","author":[{"family":"Traveset","given":"Anna"},{"family":"Richardson","given":"David M."}],"accessed":{"date-parts":[["2019",10,21]]},"issued":{"date-parts":[["2014",11,23]]}},"label":"page"}],"schema":"https://github.com/citation-style-language/schema/raw/master/csl-citation.json"} </w:instrText>
      </w:r>
      <w:r w:rsidRPr="00DA249F">
        <w:rPr>
          <w:lang w:val="en-GB"/>
        </w:rPr>
        <w:fldChar w:fldCharType="separate"/>
      </w:r>
      <w:r w:rsidR="00144D96" w:rsidRPr="00144D96">
        <w:t>(Richardson, Allsopp, et al., 2007; Simberloff &amp; Von Holle, 1999; Traveset &amp; Richardson, 2014)</w:t>
      </w:r>
      <w:r w:rsidRPr="00DA249F">
        <w:rPr>
          <w:lang w:val="en-GB"/>
        </w:rPr>
        <w:fldChar w:fldCharType="end"/>
      </w:r>
      <w:r w:rsidR="48B8C717" w:rsidRPr="00DA249F">
        <w:rPr>
          <w:lang w:val="en-GB"/>
        </w:rPr>
        <w:t xml:space="preserve">, or even </w:t>
      </w:r>
      <w:r w:rsidR="6E6EA0C3" w:rsidRPr="00DA249F">
        <w:rPr>
          <w:lang w:val="en-GB"/>
        </w:rPr>
        <w:t>multitrophic</w:t>
      </w:r>
      <w:r w:rsidR="48B8C717" w:rsidRPr="00DA249F">
        <w:rPr>
          <w:lang w:val="en-GB"/>
        </w:rPr>
        <w:t xml:space="preserve"> interactions</w:t>
      </w:r>
      <w:r w:rsidR="31103F53" w:rsidRPr="00DA249F">
        <w:rPr>
          <w:lang w:val="en-GB"/>
        </w:rPr>
        <w:t xml:space="preserve"> like those</w:t>
      </w:r>
      <w:r w:rsidR="1F6206A6" w:rsidRPr="00DA249F">
        <w:rPr>
          <w:lang w:val="en-GB"/>
        </w:rPr>
        <w:t xml:space="preserve"> between</w:t>
      </w:r>
      <w:r w:rsidR="5307E41B" w:rsidRPr="00DA249F">
        <w:rPr>
          <w:lang w:val="en-GB"/>
        </w:rPr>
        <w:t xml:space="preserve"> alien</w:t>
      </w:r>
      <w:r w:rsidR="1F6206A6" w:rsidRPr="00DA249F">
        <w:rPr>
          <w:lang w:val="en-GB"/>
        </w:rPr>
        <w:t xml:space="preserve"> </w:t>
      </w:r>
      <w:r w:rsidR="6382725B" w:rsidRPr="00DA249F">
        <w:rPr>
          <w:lang w:val="en-GB"/>
        </w:rPr>
        <w:t>herbivores</w:t>
      </w:r>
      <w:r w:rsidR="1F6206A6" w:rsidRPr="00DA249F">
        <w:rPr>
          <w:lang w:val="en-GB"/>
        </w:rPr>
        <w:t xml:space="preserve"> dispers</w:t>
      </w:r>
      <w:r w:rsidR="221842A6" w:rsidRPr="00DA249F">
        <w:rPr>
          <w:lang w:val="en-GB"/>
        </w:rPr>
        <w:t>ing</w:t>
      </w:r>
      <w:r w:rsidR="5307E41B" w:rsidRPr="00DA249F">
        <w:rPr>
          <w:lang w:val="en-GB"/>
        </w:rPr>
        <w:t xml:space="preserve"> alien </w:t>
      </w:r>
      <w:r w:rsidR="00537CFD" w:rsidRPr="00DA249F">
        <w:rPr>
          <w:lang w:val="en-GB"/>
        </w:rPr>
        <w:t>fungi</w:t>
      </w:r>
      <w:r w:rsidR="5307E41B" w:rsidRPr="00DA249F">
        <w:rPr>
          <w:lang w:val="en-GB"/>
        </w:rPr>
        <w:t xml:space="preserve"> </w:t>
      </w:r>
      <w:r w:rsidR="73C1B3DF" w:rsidRPr="00DA249F">
        <w:rPr>
          <w:lang w:val="en-GB"/>
        </w:rPr>
        <w:t>(</w:t>
      </w:r>
      <w:r w:rsidR="29C6CED4" w:rsidRPr="00DA249F">
        <w:rPr>
          <w:lang w:val="en-GB"/>
        </w:rPr>
        <w:t>e.g.,</w:t>
      </w:r>
      <w:r w:rsidR="5307E41B" w:rsidRPr="00DA249F">
        <w:rPr>
          <w:lang w:val="en-GB"/>
        </w:rPr>
        <w:t xml:space="preserve"> mycorrhiza </w:t>
      </w:r>
      <w:r w:rsidR="0BA4F4B4" w:rsidRPr="00DA249F">
        <w:rPr>
          <w:lang w:val="en-GB"/>
        </w:rPr>
        <w:t xml:space="preserve">of </w:t>
      </w:r>
      <w:r w:rsidR="5307E41B" w:rsidRPr="00DA249F">
        <w:rPr>
          <w:lang w:val="en-GB"/>
        </w:rPr>
        <w:t>alien</w:t>
      </w:r>
      <w:r w:rsidR="1F6206A6" w:rsidRPr="00DA249F">
        <w:rPr>
          <w:lang w:val="en-GB"/>
        </w:rPr>
        <w:t xml:space="preserve"> trees</w:t>
      </w:r>
      <w:r w:rsidR="00DD35A7" w:rsidRPr="00DA249F">
        <w:rPr>
          <w:lang w:val="en-GB"/>
        </w:rPr>
        <w:t>;</w:t>
      </w:r>
      <w:r w:rsidR="0FFBF08E" w:rsidRPr="00DA249F">
        <w:rPr>
          <w:lang w:val="en-GB"/>
        </w:rPr>
        <w:t xml:space="preserve"> </w:t>
      </w:r>
      <w:r w:rsidRPr="00DA249F">
        <w:rPr>
          <w:lang w:val="en-GB"/>
        </w:rPr>
        <w:fldChar w:fldCharType="begin"/>
      </w:r>
      <w:r w:rsidR="00331A79">
        <w:rPr>
          <w:lang w:val="en-GB"/>
        </w:rPr>
        <w:instrText xml:space="preserve"> ADDIN ZOTERO_ITEM CSL_CITATION {"citationID":"m95IWpYG","properties":{"formattedCitation":"(Nu\\uc0\\u241{}ez et al., 2013)","plainCitation":"(Nuñez et al., 2013)","dontUpdate":true,"noteIndex":0},"citationItems":[{"id":12607,"uris":["http://zotero.org/groups/2352922/items/8JUY2FVD"],"itemData":{"id":12607,"type":"article-journal","container-title":"PLoS ONE","DOI":"10.1371/journal.pone.0066832","ISSN":"1932-6203","issue":"6","journalAbbreviation":"PLoS ONE","language":"en","page":"e66832","source":"DOI.org (Crossref)","title":"Exotic Mammals Disperse Exotic Fungi That Promote Invasion by Exotic Trees","URL":"https://dx.plos.org/10.1371/journal.pone.0066832","volume":"8","author":[{"family":"Nuñez","given":"Martin A."},{"family":"Hayward","given":"Jeremy"},{"family":"Horton","given":"Thomas R."},{"family":"Amico","given":"Guillermo C."},{"family":"Dimarco","given":"Romina D."},{"family":"Barrios-Garcia","given":"M. Noelia"},{"family":"Simberloff","given":"Daniel"}],"editor":[{"family":"Bello","given":"Francesco","non-dropping-particle":"de"}],"accessed":{"date-parts":[["2019",10,21]]},"issued":{"date-parts":[["2013",6,24]]}},"label":"page"}],"schema":"https://github.com/citation-style-language/schema/raw/master/csl-citation.json"} </w:instrText>
      </w:r>
      <w:r w:rsidRPr="00DA249F">
        <w:rPr>
          <w:lang w:val="en-GB"/>
        </w:rPr>
        <w:fldChar w:fldCharType="separate"/>
      </w:r>
      <w:r w:rsidR="00066F1A" w:rsidRPr="00DA249F">
        <w:rPr>
          <w:szCs w:val="24"/>
          <w:lang w:val="en-GB"/>
        </w:rPr>
        <w:t>Nuñez et al., 2013)</w:t>
      </w:r>
      <w:r w:rsidRPr="00DA249F">
        <w:rPr>
          <w:lang w:val="en-GB"/>
        </w:rPr>
        <w:fldChar w:fldCharType="end"/>
      </w:r>
      <w:r w:rsidR="008C1BF7" w:rsidRPr="00DA249F">
        <w:rPr>
          <w:lang w:val="en-GB"/>
        </w:rPr>
        <w:t xml:space="preserve">. However, alien species may also indirectly facilitate </w:t>
      </w:r>
      <w:r w:rsidR="00B91DD9" w:rsidRPr="00DA249F">
        <w:rPr>
          <w:lang w:val="en-GB"/>
        </w:rPr>
        <w:t xml:space="preserve">the establishment </w:t>
      </w:r>
      <w:r w:rsidR="007454DA" w:rsidRPr="00DA249F">
        <w:rPr>
          <w:lang w:val="en-GB"/>
        </w:rPr>
        <w:t xml:space="preserve">and spread </w:t>
      </w:r>
      <w:r w:rsidR="00B91DD9" w:rsidRPr="00DA249F">
        <w:rPr>
          <w:lang w:val="en-GB"/>
        </w:rPr>
        <w:t>of other invasive alien species</w:t>
      </w:r>
      <w:r w:rsidR="008C1BF7" w:rsidRPr="00DA249F">
        <w:rPr>
          <w:lang w:val="en-GB"/>
        </w:rPr>
        <w:t xml:space="preserve">, by modifying </w:t>
      </w:r>
      <w:r w:rsidR="45A66625" w:rsidRPr="00DA249F">
        <w:rPr>
          <w:lang w:val="en-GB"/>
        </w:rPr>
        <w:t xml:space="preserve">the </w:t>
      </w:r>
      <w:r w:rsidR="008C1BF7" w:rsidRPr="00DA249F">
        <w:rPr>
          <w:lang w:val="en-GB"/>
        </w:rPr>
        <w:t>biotic conditions of the recipient community (</w:t>
      </w:r>
      <w:r w:rsidR="75C053D4" w:rsidRPr="00DA249F">
        <w:rPr>
          <w:lang w:val="en-GB"/>
        </w:rPr>
        <w:t>e.g.,</w:t>
      </w:r>
      <w:r w:rsidR="008C1BF7" w:rsidRPr="00DA249F">
        <w:rPr>
          <w:lang w:val="en-GB"/>
        </w:rPr>
        <w:t xml:space="preserve"> re</w:t>
      </w:r>
      <w:r w:rsidR="55786F2C" w:rsidRPr="00DA249F">
        <w:rPr>
          <w:lang w:val="en-GB"/>
        </w:rPr>
        <w:t>ducing</w:t>
      </w:r>
      <w:r w:rsidR="008C1BF7" w:rsidRPr="00DA249F">
        <w:rPr>
          <w:lang w:val="en-GB"/>
        </w:rPr>
        <w:t xml:space="preserve"> </w:t>
      </w:r>
      <w:r w:rsidR="44F0F4B1" w:rsidRPr="00DA249F">
        <w:rPr>
          <w:lang w:val="en-GB"/>
        </w:rPr>
        <w:t>competition</w:t>
      </w:r>
      <w:r w:rsidR="008C1BF7" w:rsidRPr="00DA249F">
        <w:rPr>
          <w:lang w:val="en-GB"/>
        </w:rPr>
        <w:t xml:space="preserve"> or predation pressure by a third species, or increasing </w:t>
      </w:r>
      <w:r w:rsidR="64B31370" w:rsidRPr="00DA249F">
        <w:rPr>
          <w:lang w:val="en-GB"/>
        </w:rPr>
        <w:t xml:space="preserve">food </w:t>
      </w:r>
      <w:r w:rsidR="008C1BF7" w:rsidRPr="00DA249F">
        <w:rPr>
          <w:lang w:val="en-GB"/>
        </w:rPr>
        <w:t>resource availability), or abiotic attributes and ecosystem properties (</w:t>
      </w:r>
      <w:r w:rsidR="69523163" w:rsidRPr="00DA249F">
        <w:rPr>
          <w:lang w:val="en-GB"/>
        </w:rPr>
        <w:t>e.g.,</w:t>
      </w:r>
      <w:r w:rsidR="008C1BF7" w:rsidRPr="00DA249F">
        <w:rPr>
          <w:lang w:val="en-GB"/>
        </w:rPr>
        <w:t xml:space="preserve"> by promoting habitat disturbance </w:t>
      </w:r>
      <w:r w:rsidR="2DC760C4" w:rsidRPr="00DA249F">
        <w:rPr>
          <w:lang w:val="en-GB"/>
        </w:rPr>
        <w:t>such as enh</w:t>
      </w:r>
      <w:r w:rsidR="4AA8728C" w:rsidRPr="00DA249F">
        <w:rPr>
          <w:lang w:val="en-GB"/>
        </w:rPr>
        <w:t>a</w:t>
      </w:r>
      <w:r w:rsidR="2DC760C4" w:rsidRPr="00DA249F">
        <w:rPr>
          <w:lang w:val="en-GB"/>
        </w:rPr>
        <w:t>nced</w:t>
      </w:r>
      <w:r w:rsidR="008C1BF7" w:rsidRPr="00DA249F">
        <w:rPr>
          <w:lang w:val="en-GB"/>
        </w:rPr>
        <w:t xml:space="preserve"> fire regime</w:t>
      </w:r>
      <w:r w:rsidR="5A621FD6" w:rsidRPr="00DA249F">
        <w:rPr>
          <w:lang w:val="en-GB"/>
        </w:rPr>
        <w:t>s</w:t>
      </w:r>
      <w:r w:rsidR="00434CBF" w:rsidRPr="00DA249F">
        <w:rPr>
          <w:lang w:val="en-GB"/>
        </w:rPr>
        <w:t>;</w:t>
      </w:r>
      <w:r w:rsidR="4D9D5C99" w:rsidRPr="00DA249F">
        <w:rPr>
          <w:lang w:val="en-GB"/>
        </w:rPr>
        <w:t xml:space="preserve"> </w:t>
      </w:r>
      <w:r w:rsidR="62F492D8" w:rsidRPr="00DA249F">
        <w:rPr>
          <w:lang w:val="en-GB"/>
        </w:rPr>
        <w:t>s</w:t>
      </w:r>
      <w:r w:rsidR="008C1BF7" w:rsidRPr="00DA249F">
        <w:rPr>
          <w:lang w:val="en-GB"/>
        </w:rPr>
        <w:t xml:space="preserve">ee </w:t>
      </w:r>
      <w:r w:rsidR="00B447B3" w:rsidRPr="0040355F">
        <w:rPr>
          <w:b/>
          <w:iCs/>
          <w:lang w:val="en-GB"/>
        </w:rPr>
        <w:t>s</w:t>
      </w:r>
      <w:r w:rsidR="008C1BF7" w:rsidRPr="0040355F">
        <w:rPr>
          <w:b/>
          <w:iCs/>
          <w:lang w:val="en-GB"/>
        </w:rPr>
        <w:t>ection 3.3.4.5</w:t>
      </w:r>
      <w:r w:rsidR="008C1BF7" w:rsidRPr="00DA249F">
        <w:rPr>
          <w:lang w:val="en-GB"/>
        </w:rPr>
        <w:t xml:space="preserve">) increasing soil nutrients </w:t>
      </w:r>
      <w:r w:rsidR="007B6749" w:rsidRPr="00DA249F">
        <w:rPr>
          <w:lang w:val="en-GB"/>
        </w:rPr>
        <w:t>by nitrogen-fixing plants, etc.</w:t>
      </w:r>
      <w:r w:rsidR="008C1BF7" w:rsidRPr="00DA249F">
        <w:rPr>
          <w:lang w:val="en-GB"/>
        </w:rPr>
        <w:t xml:space="preserve"> </w:t>
      </w:r>
    </w:p>
    <w:p w14:paraId="4CD8EB34" w14:textId="4328994B" w:rsidR="47C2D9E2" w:rsidRPr="00DA249F" w:rsidRDefault="42DA0DDC" w:rsidP="0090109B">
      <w:pPr>
        <w:rPr>
          <w:lang w:val="en-GB"/>
        </w:rPr>
      </w:pPr>
      <w:r w:rsidRPr="728F2DAF">
        <w:rPr>
          <w:lang w:val="en-GB"/>
        </w:rPr>
        <w:t>T</w:t>
      </w:r>
      <w:r w:rsidR="7DFC846D" w:rsidRPr="728F2DAF">
        <w:rPr>
          <w:lang w:val="en-GB"/>
        </w:rPr>
        <w:t>he term “</w:t>
      </w:r>
      <w:r w:rsidR="5F3AB734" w:rsidRPr="728F2DAF">
        <w:rPr>
          <w:lang w:val="en-GB"/>
        </w:rPr>
        <w:t>i</w:t>
      </w:r>
      <w:r w:rsidR="7DFFD2AB" w:rsidRPr="728F2DAF">
        <w:rPr>
          <w:lang w:val="en-GB"/>
        </w:rPr>
        <w:t>nvasional meltdown</w:t>
      </w:r>
      <w:r w:rsidR="457AEA8F" w:rsidRPr="728F2DAF">
        <w:rPr>
          <w:lang w:val="en-GB"/>
        </w:rPr>
        <w:t>” coined by</w:t>
      </w:r>
      <w:r w:rsidR="35304CD9" w:rsidRPr="728F2DAF">
        <w:rPr>
          <w:lang w:val="en-GB"/>
        </w:rPr>
        <w:t xml:space="preserve"> </w:t>
      </w:r>
      <w:r w:rsidR="7C07C8B9" w:rsidRPr="728F2DAF">
        <w:rPr>
          <w:lang w:val="en-GB"/>
        </w:rPr>
        <w:t xml:space="preserve">Simberloff &amp; Von Holle </w:t>
      </w:r>
      <w:r w:rsidR="7DC8F22B" w:rsidRPr="728F2DAF">
        <w:rPr>
          <w:lang w:val="en-GB"/>
        </w:rPr>
        <w:fldChar w:fldCharType="begin"/>
      </w:r>
      <w:r w:rsidR="00331A79">
        <w:rPr>
          <w:lang w:val="en-GB"/>
        </w:rPr>
        <w:instrText xml:space="preserve"> ADDIN ZOTERO_ITEM CSL_CITATION {"citationID":"AYy0ktVv","properties":{"formattedCitation":"(1999)","plainCitation":"(1999)","noteIndex":0},"citationItems":[{"id":26618,"uris":["http://zotero.org/groups/2352922/items/HIF9FQTF"],"itemData":{"id":26618,"type":"article-journal","abstract":"Study of interactions between pairs or larger groups of nonindigenous species has been subordinated in the literature to study of interactions between nonindigenous and native species. To the extent that interactions among introduced species are depicted at all, the emphasis has been on negative interactions, primarily resource competition and interference. However, a literature search reveals that introduced species frequently interact with one another and that facilitative interactions are at least as common as detrimental ones. The population significance of these interactions has rarely been determined, but a great variety of types of direct and indirect interactions among individuals of different nonindigenous species is observed, and many are plausibly believed to have consequences at the population level. In particular, mutualisms between plants and the animals that disperse and/or pollinate them and modification of habitat by both animals and plants seem common and often important in facilitating invasions. There is little evidence that interference among introduced species at levels currently observed significantly impedes further invasions, and synergistic interactions among invaders may well lead to accelerated impacts on native ecosystems – an invasional ‘meltdown’ process.","container-title":"Biological Invasions","DOI":"10.1023/A:1010086329619","ISSN":"1573-1464","issue":"1","journalAbbreviation":"Biological Invasions","language":"en","page":"21-32","source":"Springer Link","title":"Positive Interactions of Nonindigenous Species: Invasional Meltdown?","title-short":"Positive Interactions of Nonindigenous Species","URL":"https://doi.org/10.1023/A:1010086329619","volume":"1","author":[{"family":"Simberloff","given":"Daniel"},{"family":"Von Holle","given":"Betsy"}],"accessed":{"date-parts":[["2019",10,28]]},"issued":{"date-parts":[["1999",3,1]]}},"label":"page","suppress-author":true}],"schema":"https://github.com/citation-style-language/schema/raw/master/csl-citation.json"} </w:instrText>
      </w:r>
      <w:r w:rsidR="7DC8F22B" w:rsidRPr="728F2DAF">
        <w:rPr>
          <w:lang w:val="en-GB"/>
        </w:rPr>
        <w:fldChar w:fldCharType="separate"/>
      </w:r>
      <w:r w:rsidR="73B99EB6">
        <w:t>(1999)</w:t>
      </w:r>
      <w:r w:rsidR="7DC8F22B" w:rsidRPr="728F2DAF">
        <w:rPr>
          <w:lang w:val="en-GB"/>
        </w:rPr>
        <w:fldChar w:fldCharType="end"/>
      </w:r>
      <w:r w:rsidR="457AEA8F" w:rsidRPr="728F2DAF">
        <w:rPr>
          <w:lang w:val="en-GB"/>
        </w:rPr>
        <w:t>,</w:t>
      </w:r>
      <w:r w:rsidR="7DFFD2AB" w:rsidRPr="728F2DAF">
        <w:rPr>
          <w:lang w:val="en-GB"/>
        </w:rPr>
        <w:t xml:space="preserve"> </w:t>
      </w:r>
      <w:r w:rsidR="71CA4C6A" w:rsidRPr="728F2DAF">
        <w:rPr>
          <w:lang w:val="en-GB"/>
        </w:rPr>
        <w:t>refers to</w:t>
      </w:r>
      <w:r w:rsidR="7DFFD2AB" w:rsidRPr="728F2DAF">
        <w:rPr>
          <w:lang w:val="en-GB"/>
        </w:rPr>
        <w:t xml:space="preserve"> the process by which </w:t>
      </w:r>
      <w:r w:rsidR="471570AF" w:rsidRPr="728F2DAF">
        <w:rPr>
          <w:lang w:val="en-GB"/>
        </w:rPr>
        <w:t>alien</w:t>
      </w:r>
      <w:r w:rsidR="7DFFD2AB" w:rsidRPr="728F2DAF">
        <w:rPr>
          <w:lang w:val="en-GB"/>
        </w:rPr>
        <w:t xml:space="preserve"> species facilitate </w:t>
      </w:r>
      <w:r w:rsidR="55FBB5C7" w:rsidRPr="728F2DAF">
        <w:rPr>
          <w:lang w:val="en-GB"/>
        </w:rPr>
        <w:t>one another</w:t>
      </w:r>
      <w:r w:rsidR="7DFFD2AB" w:rsidRPr="728F2DAF">
        <w:rPr>
          <w:lang w:val="en-GB"/>
        </w:rPr>
        <w:t xml:space="preserve">, </w:t>
      </w:r>
      <w:r w:rsidR="70F7ED86" w:rsidRPr="728F2DAF">
        <w:rPr>
          <w:lang w:val="en-GB"/>
        </w:rPr>
        <w:t>magnifying</w:t>
      </w:r>
      <w:r w:rsidR="7DFFD2AB" w:rsidRPr="728F2DAF">
        <w:rPr>
          <w:lang w:val="en-GB"/>
        </w:rPr>
        <w:t xml:space="preserve"> ecological </w:t>
      </w:r>
      <w:r w:rsidR="36DC972B" w:rsidRPr="728F2DAF">
        <w:rPr>
          <w:lang w:val="en-GB"/>
        </w:rPr>
        <w:t>effect</w:t>
      </w:r>
      <w:r w:rsidR="35E30972" w:rsidRPr="728F2DAF">
        <w:rPr>
          <w:lang w:val="en-GB"/>
        </w:rPr>
        <w:t>s</w:t>
      </w:r>
      <w:r w:rsidR="7DFFD2AB" w:rsidRPr="728F2DAF">
        <w:rPr>
          <w:lang w:val="en-GB"/>
        </w:rPr>
        <w:t xml:space="preserve">, leading to accelerating </w:t>
      </w:r>
      <w:r w:rsidR="11CC94E2" w:rsidRPr="728F2DAF">
        <w:rPr>
          <w:lang w:val="en-GB"/>
        </w:rPr>
        <w:t>rate</w:t>
      </w:r>
      <w:r w:rsidR="35E30972" w:rsidRPr="728F2DAF">
        <w:rPr>
          <w:lang w:val="en-GB"/>
        </w:rPr>
        <w:t>s</w:t>
      </w:r>
      <w:r w:rsidR="11CC94E2" w:rsidRPr="728F2DAF">
        <w:rPr>
          <w:lang w:val="en-GB"/>
        </w:rPr>
        <w:t xml:space="preserve"> </w:t>
      </w:r>
      <w:r w:rsidR="73840A5A" w:rsidRPr="728F2DAF">
        <w:rPr>
          <w:lang w:val="en-GB"/>
        </w:rPr>
        <w:t xml:space="preserve">in the number of </w:t>
      </w:r>
      <w:r w:rsidR="1C0B6A07" w:rsidRPr="728F2DAF">
        <w:rPr>
          <w:lang w:val="en-GB"/>
        </w:rPr>
        <w:t>invasive alien species</w:t>
      </w:r>
      <w:r w:rsidR="00FD249C">
        <w:rPr>
          <w:lang w:val="en-GB"/>
        </w:rPr>
        <w:t xml:space="preserve"> </w:t>
      </w:r>
      <w:r w:rsidR="7DFFD2AB" w:rsidRPr="728F2DAF">
        <w:rPr>
          <w:lang w:val="en-GB"/>
        </w:rPr>
        <w:t>and magnification of impacts</w:t>
      </w:r>
      <w:r w:rsidR="1A5FB547" w:rsidRPr="728F2DAF">
        <w:rPr>
          <w:lang w:val="en-GB"/>
        </w:rPr>
        <w:t>.</w:t>
      </w:r>
      <w:r w:rsidR="4334FB67" w:rsidRPr="728F2DAF">
        <w:rPr>
          <w:lang w:val="en-GB"/>
        </w:rPr>
        <w:t xml:space="preserve"> </w:t>
      </w:r>
      <w:r w:rsidR="137228E1" w:rsidRPr="728F2DAF">
        <w:rPr>
          <w:lang w:val="en-GB"/>
        </w:rPr>
        <w:t>In other words,</w:t>
      </w:r>
      <w:r w:rsidR="21A3D860" w:rsidRPr="728F2DAF">
        <w:rPr>
          <w:lang w:val="en-GB"/>
        </w:rPr>
        <w:t xml:space="preserve"> </w:t>
      </w:r>
      <w:r w:rsidR="4FAA29D7" w:rsidRPr="728F2DAF">
        <w:rPr>
          <w:lang w:val="en-GB"/>
        </w:rPr>
        <w:t>invasional</w:t>
      </w:r>
      <w:r w:rsidR="137228E1" w:rsidRPr="728F2DAF">
        <w:rPr>
          <w:lang w:val="en-GB"/>
        </w:rPr>
        <w:t xml:space="preserve"> meltdown is the potential </w:t>
      </w:r>
      <w:r w:rsidR="3A5E9D80" w:rsidRPr="728F2DAF">
        <w:rPr>
          <w:lang w:val="en-GB"/>
        </w:rPr>
        <w:t xml:space="preserve">emergent </w:t>
      </w:r>
      <w:r w:rsidR="137228E1" w:rsidRPr="728F2DAF">
        <w:rPr>
          <w:lang w:val="en-GB"/>
        </w:rPr>
        <w:t>result of a series of</w:t>
      </w:r>
      <w:r w:rsidR="472D8155" w:rsidRPr="728F2DAF">
        <w:rPr>
          <w:lang w:val="en-GB"/>
        </w:rPr>
        <w:t xml:space="preserve"> </w:t>
      </w:r>
      <w:r w:rsidR="02710058" w:rsidRPr="728F2DAF">
        <w:rPr>
          <w:lang w:val="en-GB"/>
        </w:rPr>
        <w:t>facilitations</w:t>
      </w:r>
      <w:r w:rsidR="6A0153FF" w:rsidRPr="728F2DAF">
        <w:rPr>
          <w:lang w:val="en-GB"/>
        </w:rPr>
        <w:t xml:space="preserve"> </w:t>
      </w:r>
      <w:r w:rsidR="7DC8F22B" w:rsidRPr="728F2DAF">
        <w:rPr>
          <w:lang w:val="en-GB"/>
        </w:rPr>
        <w:fldChar w:fldCharType="begin"/>
      </w:r>
      <w:r w:rsidR="00331A79">
        <w:rPr>
          <w:lang w:val="en-GB"/>
        </w:rPr>
        <w:instrText xml:space="preserve"> ADDIN ZOTERO_ITEM CSL_CITATION {"citationID":"rIe3HPba","properties":{"formattedCitation":"(Ricciardi, 2001)","plainCitation":"(Ricciardi, 2001)","noteIndex":0},"citationItems":[{"id":10311,"uris":["http://zotero.org/groups/2352922/items/R5SBL922"],"itemData":{"id":10311,"type":"article-journal","container-title":"Canadian Journal of Fisheries and Aquatic Sciences","DOI":"10.1139/f01-178","ISSN":"0706-652X, 1205-7533","issue":"12","journalAbbreviation":"Can. J. Fish. Aquat. Sci.","language":"en","page":"2513-2525","source":"DOI.org (Crossref)","title":"Facilitative interactions among aquatic invaders: is an \"invasional meltdown\" occurring in the Great Lakes?","title-short":"Facilitative interactions among aquatic invaders","URL":"http://www.nrcresearchpress.com/doi/10.1139/f01-178","volume":"58","author":[{"family":"Ricciardi","given":"Anthony"}],"accessed":{"date-parts":[["2019",10,21]]},"issued":{"date-parts":[["2001",12]]}},"label":"page"}],"schema":"https://github.com/citation-style-language/schema/raw/master/csl-citation.json"} </w:instrText>
      </w:r>
      <w:r w:rsidR="7DC8F22B" w:rsidRPr="728F2DAF">
        <w:rPr>
          <w:lang w:val="en-GB"/>
        </w:rPr>
        <w:fldChar w:fldCharType="separate"/>
      </w:r>
      <w:r w:rsidR="73B99EB6">
        <w:t>(Ricciardi, 2001)</w:t>
      </w:r>
      <w:r w:rsidR="7DC8F22B" w:rsidRPr="728F2DAF">
        <w:rPr>
          <w:lang w:val="en-GB"/>
        </w:rPr>
        <w:fldChar w:fldCharType="end"/>
      </w:r>
      <w:r w:rsidR="307BD8A2" w:rsidRPr="728F2DAF">
        <w:rPr>
          <w:lang w:val="en-GB"/>
        </w:rPr>
        <w:t>.</w:t>
      </w:r>
      <w:r w:rsidR="2B9AFA14" w:rsidRPr="728F2DAF">
        <w:rPr>
          <w:lang w:val="en-GB"/>
        </w:rPr>
        <w:t xml:space="preserve"> </w:t>
      </w:r>
      <w:r w:rsidR="52514B3F" w:rsidRPr="728F2DAF">
        <w:rPr>
          <w:lang w:val="en-GB"/>
        </w:rPr>
        <w:t>Therefore, alth</w:t>
      </w:r>
      <w:r w:rsidR="3B8B8B85" w:rsidRPr="728F2DAF">
        <w:rPr>
          <w:lang w:val="en-GB"/>
        </w:rPr>
        <w:t>ough i</w:t>
      </w:r>
      <w:r w:rsidR="52514B3F" w:rsidRPr="728F2DAF">
        <w:rPr>
          <w:lang w:val="en-GB"/>
        </w:rPr>
        <w:t>nva</w:t>
      </w:r>
      <w:r w:rsidR="3B8B8B85" w:rsidRPr="728F2DAF">
        <w:rPr>
          <w:lang w:val="en-GB"/>
        </w:rPr>
        <w:t>sional m</w:t>
      </w:r>
      <w:r w:rsidR="52514B3F" w:rsidRPr="728F2DAF">
        <w:rPr>
          <w:lang w:val="en-GB"/>
        </w:rPr>
        <w:t xml:space="preserve">eltdown has </w:t>
      </w:r>
      <w:r w:rsidR="055927F3" w:rsidRPr="728F2DAF">
        <w:rPr>
          <w:lang w:val="en-GB"/>
        </w:rPr>
        <w:t xml:space="preserve">often </w:t>
      </w:r>
      <w:r w:rsidR="52514B3F" w:rsidRPr="728F2DAF">
        <w:rPr>
          <w:lang w:val="en-GB"/>
        </w:rPr>
        <w:t xml:space="preserve">been broadly used to refer to any kind of positive interaction among </w:t>
      </w:r>
      <w:r w:rsidR="6A8C0C94" w:rsidRPr="728F2DAF">
        <w:rPr>
          <w:lang w:val="en-GB"/>
        </w:rPr>
        <w:t>alien</w:t>
      </w:r>
      <w:r w:rsidR="52514B3F" w:rsidRPr="728F2DAF">
        <w:rPr>
          <w:lang w:val="en-GB"/>
        </w:rPr>
        <w:t xml:space="preserve"> species</w:t>
      </w:r>
      <w:r w:rsidR="2CF67024" w:rsidRPr="728F2DAF">
        <w:rPr>
          <w:lang w:val="en-GB"/>
        </w:rPr>
        <w:t xml:space="preserve"> in the peer-reviewed literature</w:t>
      </w:r>
      <w:r w:rsidR="52514B3F" w:rsidRPr="728F2DAF">
        <w:rPr>
          <w:lang w:val="en-GB"/>
        </w:rPr>
        <w:t>,</w:t>
      </w:r>
      <w:r w:rsidR="6F0FA634" w:rsidRPr="728F2DAF">
        <w:rPr>
          <w:lang w:val="en-GB"/>
        </w:rPr>
        <w:t xml:space="preserve"> </w:t>
      </w:r>
      <w:r w:rsidR="3B8B8B85" w:rsidRPr="728F2DAF">
        <w:rPr>
          <w:lang w:val="en-GB"/>
        </w:rPr>
        <w:t>this</w:t>
      </w:r>
      <w:r w:rsidR="6F0FA634" w:rsidRPr="728F2DAF">
        <w:rPr>
          <w:lang w:val="en-GB"/>
        </w:rPr>
        <w:t xml:space="preserve"> chapter</w:t>
      </w:r>
      <w:r w:rsidR="1167CA65" w:rsidRPr="728F2DAF">
        <w:rPr>
          <w:lang w:val="en-GB"/>
        </w:rPr>
        <w:t xml:space="preserve"> refer</w:t>
      </w:r>
      <w:r w:rsidR="3B8B8B85" w:rsidRPr="728F2DAF">
        <w:rPr>
          <w:lang w:val="en-GB"/>
        </w:rPr>
        <w:t>s</w:t>
      </w:r>
      <w:r w:rsidR="1167CA65" w:rsidRPr="728F2DAF">
        <w:rPr>
          <w:lang w:val="en-GB"/>
        </w:rPr>
        <w:t xml:space="preserve"> to </w:t>
      </w:r>
      <w:r w:rsidR="3B8B8B85" w:rsidRPr="728F2DAF">
        <w:rPr>
          <w:lang w:val="en-GB"/>
        </w:rPr>
        <w:t>invasional mel</w:t>
      </w:r>
      <w:r w:rsidR="1167CA65" w:rsidRPr="728F2DAF">
        <w:rPr>
          <w:lang w:val="en-GB"/>
        </w:rPr>
        <w:t xml:space="preserve">tdown </w:t>
      </w:r>
      <w:r w:rsidR="1167CA65" w:rsidRPr="00FC1BA2">
        <w:rPr>
          <w:i/>
          <w:iCs/>
          <w:lang w:val="en-GB"/>
        </w:rPr>
        <w:t xml:space="preserve">sensu </w:t>
      </w:r>
      <w:r w:rsidR="7DC8F22B" w:rsidRPr="728F2DAF">
        <w:rPr>
          <w:lang w:val="en-GB"/>
        </w:rPr>
        <w:fldChar w:fldCharType="begin"/>
      </w:r>
      <w:r w:rsidR="00331A79">
        <w:rPr>
          <w:lang w:val="en-GB"/>
        </w:rPr>
        <w:instrText xml:space="preserve"> ADDIN ZOTERO_ITEM CSL_CITATION {"citationID":"ggEp5Ru9","properties":{"formattedCitation":"(Simberloff &amp; Von Holle, 1999)","plainCitation":"(Simberloff &amp; Von Holle, 1999)","noteIndex":0},"citationItems":[{"id":26618,"uris":["http://zotero.org/groups/2352922/items/HIF9FQTF"],"itemData":{"id":26618,"type":"article-journal","abstract":"Study of interactions between pairs or larger groups of nonindigenous species has been subordinated in the literature to study of interactions between nonindigenous and native species. To the extent that interactions among introduced species are depicted at all, the emphasis has been on negative interactions, primarily resource competition and interference. However, a literature search reveals that introduced species frequently interact with one another and that facilitative interactions are at least as common as detrimental ones. The population significance of these interactions has rarely been determined, but a great variety of types of direct and indirect interactions among individuals of different nonindigenous species is observed, and many are plausibly believed to have consequences at the population level. In particular, mutualisms between plants and the animals that disperse and/or pollinate them and modification of habitat by both animals and plants seem common and often important in facilitating invasions. There is little evidence that interference among introduced species at levels currently observed significantly impedes further invasions, and synergistic interactions among invaders may well lead to accelerated impacts on native ecosystems – an invasional ‘meltdown’ process.","container-title":"Biological Invasions","DOI":"10.1023/A:1010086329619","ISSN":"1573-1464","issue":"1","journalAbbreviation":"Biological Invasions","language":"en","page":"21-32","source":"Springer Link","title":"Positive Interactions of Nonindigenous Species: Invasional Meltdown?","title-short":"Positive Interactions of Nonindigenous Species","URL":"https://doi.org/10.1023/A:1010086329619","volume":"1","author":[{"family":"Simberloff","given":"Daniel"},{"family":"Von Holle","given":"Betsy"}],"accessed":{"date-parts":[["2019",10,28]]},"issued":{"date-parts":[["1999",3,1]]}}}],"schema":"https://github.com/citation-style-language/schema/raw/master/csl-citation.json"} </w:instrText>
      </w:r>
      <w:r w:rsidR="7DC8F22B" w:rsidRPr="728F2DAF">
        <w:rPr>
          <w:lang w:val="en-GB"/>
        </w:rPr>
        <w:fldChar w:fldCharType="separate"/>
      </w:r>
      <w:r w:rsidR="73B99EB6">
        <w:t>(Simberloff &amp; Von Holle, 1999)</w:t>
      </w:r>
      <w:r w:rsidR="7DC8F22B" w:rsidRPr="728F2DAF">
        <w:rPr>
          <w:lang w:val="en-GB"/>
        </w:rPr>
        <w:fldChar w:fldCharType="end"/>
      </w:r>
      <w:r w:rsidR="1167CA65" w:rsidRPr="728F2DAF">
        <w:rPr>
          <w:lang w:val="en-GB"/>
        </w:rPr>
        <w:t>, and show</w:t>
      </w:r>
      <w:r w:rsidR="54529FDE" w:rsidRPr="728F2DAF">
        <w:rPr>
          <w:lang w:val="en-GB"/>
        </w:rPr>
        <w:t>s</w:t>
      </w:r>
      <w:r w:rsidR="1167CA65" w:rsidRPr="728F2DAF">
        <w:rPr>
          <w:lang w:val="en-GB"/>
        </w:rPr>
        <w:t xml:space="preserve"> how </w:t>
      </w:r>
      <w:r w:rsidR="2A83F3F9" w:rsidRPr="728F2DAF">
        <w:rPr>
          <w:lang w:val="en-GB"/>
        </w:rPr>
        <w:t>this phenomenon</w:t>
      </w:r>
      <w:r w:rsidR="6D9AF1D0" w:rsidRPr="728F2DAF">
        <w:rPr>
          <w:lang w:val="en-GB"/>
        </w:rPr>
        <w:t xml:space="preserve"> </w:t>
      </w:r>
      <w:r w:rsidR="4575BAA2" w:rsidRPr="728F2DAF">
        <w:rPr>
          <w:lang w:val="en-GB"/>
        </w:rPr>
        <w:t xml:space="preserve">is linked to </w:t>
      </w:r>
      <w:r w:rsidR="2A83F3F9" w:rsidRPr="728F2DAF">
        <w:rPr>
          <w:lang w:val="en-GB"/>
        </w:rPr>
        <w:t xml:space="preserve">facilitation among </w:t>
      </w:r>
      <w:r w:rsidR="6F0FA634" w:rsidRPr="728F2DAF">
        <w:rPr>
          <w:lang w:val="en-GB"/>
        </w:rPr>
        <w:t xml:space="preserve">invasive alien species </w:t>
      </w:r>
      <w:r w:rsidR="2A83F3F9" w:rsidRPr="728F2DAF">
        <w:rPr>
          <w:lang w:val="en-GB"/>
        </w:rPr>
        <w:t>as a driver</w:t>
      </w:r>
      <w:r w:rsidR="4F43F3B5" w:rsidRPr="728F2DAF">
        <w:rPr>
          <w:lang w:val="en-GB"/>
        </w:rPr>
        <w:t xml:space="preserve"> </w:t>
      </w:r>
      <w:r w:rsidR="7FD9C167" w:rsidRPr="728F2DAF">
        <w:rPr>
          <w:lang w:val="en-GB"/>
        </w:rPr>
        <w:t>that</w:t>
      </w:r>
      <w:r w:rsidR="00FD249C">
        <w:rPr>
          <w:lang w:val="en-GB"/>
        </w:rPr>
        <w:t xml:space="preserve"> </w:t>
      </w:r>
      <w:r w:rsidR="4CAB38C9" w:rsidRPr="728F2DAF">
        <w:rPr>
          <w:lang w:val="en-GB"/>
        </w:rPr>
        <w:t>may accelerate</w:t>
      </w:r>
      <w:r w:rsidR="67533CC5" w:rsidRPr="728F2DAF">
        <w:rPr>
          <w:lang w:val="en-GB"/>
        </w:rPr>
        <w:t xml:space="preserve"> rates of </w:t>
      </w:r>
      <w:r w:rsidR="4818F36D" w:rsidRPr="728F2DAF">
        <w:rPr>
          <w:lang w:val="en-GB"/>
        </w:rPr>
        <w:t xml:space="preserve">biological </w:t>
      </w:r>
      <w:r w:rsidR="03C3D2EE" w:rsidRPr="728F2DAF">
        <w:rPr>
          <w:lang w:val="en-GB"/>
        </w:rPr>
        <w:t>invasi</w:t>
      </w:r>
      <w:r w:rsidR="0BC807D9" w:rsidRPr="728F2DAF">
        <w:rPr>
          <w:lang w:val="en-GB"/>
        </w:rPr>
        <w:t>ons</w:t>
      </w:r>
      <w:r w:rsidR="65706C13" w:rsidRPr="728F2DAF">
        <w:rPr>
          <w:lang w:val="en-GB"/>
        </w:rPr>
        <w:t xml:space="preserve"> (</w:t>
      </w:r>
      <w:r w:rsidR="49B6C330" w:rsidRPr="728F2DAF">
        <w:rPr>
          <w:b/>
          <w:bCs/>
          <w:lang w:val="en-GB"/>
        </w:rPr>
        <w:t>C</w:t>
      </w:r>
      <w:r w:rsidR="5A8F3521" w:rsidRPr="728F2DAF">
        <w:rPr>
          <w:b/>
          <w:bCs/>
          <w:lang w:val="en-GB"/>
        </w:rPr>
        <w:t>hapter 2</w:t>
      </w:r>
      <w:r w:rsidR="5A8F3521" w:rsidRPr="728F2DAF">
        <w:rPr>
          <w:lang w:val="en-GB"/>
        </w:rPr>
        <w:t>)</w:t>
      </w:r>
      <w:r w:rsidR="121B1748" w:rsidRPr="728F2DAF">
        <w:rPr>
          <w:lang w:val="en-GB"/>
        </w:rPr>
        <w:t>, and</w:t>
      </w:r>
      <w:r w:rsidR="5B44F8D5" w:rsidRPr="728F2DAF">
        <w:rPr>
          <w:lang w:val="en-GB"/>
        </w:rPr>
        <w:t xml:space="preserve"> </w:t>
      </w:r>
      <w:r w:rsidR="0807867E" w:rsidRPr="728F2DAF">
        <w:rPr>
          <w:lang w:val="en-GB"/>
        </w:rPr>
        <w:t>synergistic</w:t>
      </w:r>
      <w:r w:rsidR="7C07C8B9" w:rsidRPr="728F2DAF">
        <w:rPr>
          <w:lang w:val="en-GB"/>
        </w:rPr>
        <w:t xml:space="preserve"> </w:t>
      </w:r>
      <w:r w:rsidR="121B1748" w:rsidRPr="728F2DAF">
        <w:rPr>
          <w:lang w:val="en-GB"/>
        </w:rPr>
        <w:t>impact</w:t>
      </w:r>
      <w:r w:rsidR="2429F887" w:rsidRPr="728F2DAF">
        <w:rPr>
          <w:lang w:val="en-GB"/>
        </w:rPr>
        <w:t>s</w:t>
      </w:r>
      <w:r w:rsidR="65706C13" w:rsidRPr="728F2DAF">
        <w:rPr>
          <w:lang w:val="en-GB"/>
        </w:rPr>
        <w:t xml:space="preserve"> (</w:t>
      </w:r>
      <w:r w:rsidR="49B6C330" w:rsidRPr="728F2DAF">
        <w:rPr>
          <w:b/>
          <w:bCs/>
          <w:lang w:val="en-GB"/>
        </w:rPr>
        <w:t>C</w:t>
      </w:r>
      <w:r w:rsidR="121B1748" w:rsidRPr="728F2DAF">
        <w:rPr>
          <w:b/>
          <w:bCs/>
          <w:lang w:val="en-GB"/>
        </w:rPr>
        <w:t>hapter 4</w:t>
      </w:r>
      <w:r w:rsidR="121B1748" w:rsidRPr="728F2DAF">
        <w:rPr>
          <w:lang w:val="en-GB"/>
        </w:rPr>
        <w:t>).</w:t>
      </w:r>
      <w:r w:rsidR="22721B9E" w:rsidRPr="728F2DAF">
        <w:rPr>
          <w:lang w:val="en-GB"/>
        </w:rPr>
        <w:t xml:space="preserve"> </w:t>
      </w:r>
    </w:p>
    <w:p w14:paraId="38C3FB57" w14:textId="18FFC2D5" w:rsidR="7A47C5C4" w:rsidRPr="00DA249F" w:rsidRDefault="3A1BFBD4" w:rsidP="0090109B">
      <w:pPr>
        <w:rPr>
          <w:rFonts w:eastAsia="Calibri"/>
          <w:lang w:val="en-GB"/>
        </w:rPr>
      </w:pPr>
      <w:r w:rsidRPr="5575EBFC">
        <w:rPr>
          <w:rFonts w:eastAsia="Calibri"/>
          <w:lang w:val="en-GB"/>
        </w:rPr>
        <w:t>A</w:t>
      </w:r>
      <w:r w:rsidR="1391B421" w:rsidRPr="5575EBFC">
        <w:rPr>
          <w:rFonts w:eastAsia="Calibri"/>
          <w:lang w:val="en-GB"/>
        </w:rPr>
        <w:t xml:space="preserve"> </w:t>
      </w:r>
      <w:r w:rsidR="3D04D128" w:rsidRPr="5575EBFC">
        <w:rPr>
          <w:rFonts w:eastAsia="Calibri"/>
          <w:lang w:val="en-GB"/>
        </w:rPr>
        <w:t>recent review based on 150 empirical studies</w:t>
      </w:r>
      <w:r w:rsidR="0DC60462" w:rsidRPr="5575EBFC">
        <w:rPr>
          <w:rFonts w:eastAsia="Calibri"/>
          <w:lang w:val="en-GB"/>
        </w:rPr>
        <w:t>,</w:t>
      </w:r>
      <w:r w:rsidR="3D04D128" w:rsidRPr="5575EBFC">
        <w:rPr>
          <w:rFonts w:eastAsia="Calibri"/>
          <w:lang w:val="en-GB"/>
        </w:rPr>
        <w:t xml:space="preserve"> </w:t>
      </w:r>
      <w:r w:rsidR="2181EE54" w:rsidRPr="5575EBFC">
        <w:rPr>
          <w:rFonts w:eastAsia="Calibri"/>
          <w:lang w:val="en-GB"/>
        </w:rPr>
        <w:t xml:space="preserve">Braga et al. </w:t>
      </w:r>
      <w:r w:rsidR="00F450E1" w:rsidRPr="5575EBFC">
        <w:rPr>
          <w:rFonts w:eastAsia="Calibri"/>
          <w:lang w:val="en-GB"/>
        </w:rPr>
        <w:fldChar w:fldCharType="begin"/>
      </w:r>
      <w:r w:rsidR="00331A79">
        <w:rPr>
          <w:rFonts w:eastAsia="Calibri"/>
          <w:lang w:val="en-GB"/>
        </w:rPr>
        <w:instrText xml:space="preserve"> ADDIN ZOTERO_ITEM CSL_CITATION {"citationID":"HSswWR5z","properties":{"formattedCitation":"(2018)","plainCitation":"(2018)","noteIndex":0},"citationItems":[{"id":24836,"uris":["http://zotero.org/groups/2352922/items/YLYSSVNW"],"itemData":{"id":24836,"type":"article-journal","abstract":"Negative interactions have been suggested as a major barrier for species arriving in a new habitat. More recently, positive interactions drew attention from community assembly theory and invasion science. The invasional meltdown hypothesis (IMH) introduced the idea that positive interactions among non-native species could facilitate one another’s invasion, even increasing their impact upon the native community. Many studies have addressed IMH, but with contrasting results, reflecting various types of evidence on a multitude of scales. Here we use the hierarchy-of-hypotheses (HoH) approach to differentiate key aspects of IMH, organizing and linking empirical studies to sub-hypotheses of IMH. We also assess the level of empirical support for each sub-hypothesis based on the evidence reported in the studies. We identified 150 studies addressing IMH. The majority of studies support IMH, but the evidence comes from studies with different aims and questions. Supporting studies at the community or ecosystem level are currently rare. Evidence is scarce for marine habitats and vertebrates. Few sub-hypotheses are questioned by more than 50% of the evaluated studies, indicating that non-native species do not affect each other’s survival, growth, reproduction, abundance, density or biomass in reciprocal A ↔ B interactions. With the HoH for IMH presented here, we can monitor progress in empirical tests and evidences of IMH. For instance, more tests at the community and ecosystem level are needed, as these are necessary to address the core of this hypothesis.","container-title":"Biological Invasions","DOI":"10.1007/s10530-017-1582-2","ISSN":"1573-1464","issue":"4","journalAbbreviation":"Biol Invasions","language":"en","page":"923-936","source":"Springer Link","title":"Structuring evidence for invasional meltdown: broad support but with biases and gaps","title-short":"Structuring evidence for invasional meltdown","URL":"https://doi.org/10.1007/s10530-017-1582-2","volume":"20","author":[{"family":"Braga","given":"Raul Rennó"},{"family":"Gómez-Aparicio","given":"Lorena"},{"family":"Heger","given":"Tina"},{"family":"Vitule","given":"Jean Ricardo Simões"},{"family":"Jeschke","given":"Jonathan M."}],"accessed":{"date-parts":[["2019",10,12]]},"issued":{"date-parts":[["2018"]]}},"label":"page","suppress-author":true}],"schema":"https://github.com/citation-style-language/schema/raw/master/csl-citation.json"} </w:instrText>
      </w:r>
      <w:r w:rsidR="00F450E1" w:rsidRPr="5575EBFC">
        <w:rPr>
          <w:rFonts w:eastAsia="Calibri"/>
          <w:lang w:val="en-GB"/>
        </w:rPr>
        <w:fldChar w:fldCharType="separate"/>
      </w:r>
      <w:r w:rsidR="6B5F9B9E">
        <w:t>(2018)</w:t>
      </w:r>
      <w:r w:rsidR="00F450E1" w:rsidRPr="5575EBFC">
        <w:rPr>
          <w:rFonts w:eastAsia="Calibri"/>
          <w:lang w:val="en-GB"/>
        </w:rPr>
        <w:fldChar w:fldCharType="end"/>
      </w:r>
      <w:r w:rsidR="0DC60462" w:rsidRPr="5575EBFC">
        <w:rPr>
          <w:rFonts w:eastAsia="Calibri"/>
          <w:lang w:val="en-GB"/>
        </w:rPr>
        <w:t>,</w:t>
      </w:r>
      <w:r w:rsidR="3D04D128" w:rsidRPr="5575EBFC">
        <w:rPr>
          <w:rFonts w:eastAsia="Calibri"/>
          <w:lang w:val="en-GB"/>
        </w:rPr>
        <w:t xml:space="preserve"> </w:t>
      </w:r>
      <w:r w:rsidR="1ADD393F" w:rsidRPr="5575EBFC">
        <w:rPr>
          <w:rFonts w:eastAsia="Calibri"/>
          <w:lang w:val="en-GB"/>
        </w:rPr>
        <w:t>confirmed</w:t>
      </w:r>
      <w:r w:rsidR="3D04D128" w:rsidRPr="5575EBFC">
        <w:rPr>
          <w:rFonts w:eastAsia="Calibri"/>
          <w:lang w:val="en-GB"/>
        </w:rPr>
        <w:t xml:space="preserve"> overall broad support for </w:t>
      </w:r>
      <w:r w:rsidR="04740D8D" w:rsidRPr="5575EBFC">
        <w:rPr>
          <w:rFonts w:eastAsia="Calibri"/>
          <w:lang w:val="en-GB"/>
        </w:rPr>
        <w:t>facilitative</w:t>
      </w:r>
      <w:r w:rsidR="23B77D31" w:rsidRPr="5575EBFC">
        <w:rPr>
          <w:rFonts w:eastAsia="Calibri"/>
          <w:lang w:val="en-GB"/>
        </w:rPr>
        <w:t xml:space="preserve"> interactions</w:t>
      </w:r>
      <w:r w:rsidR="72C3BFC1" w:rsidRPr="5575EBFC">
        <w:rPr>
          <w:rFonts w:eastAsia="Calibri"/>
          <w:lang w:val="en-GB"/>
        </w:rPr>
        <w:t xml:space="preserve"> </w:t>
      </w:r>
      <w:r w:rsidR="23B77D31" w:rsidRPr="5575EBFC">
        <w:rPr>
          <w:rFonts w:eastAsia="Calibri"/>
          <w:lang w:val="en-GB"/>
        </w:rPr>
        <w:t>among alien species</w:t>
      </w:r>
      <w:r w:rsidR="72C3BFC1" w:rsidRPr="5575EBFC">
        <w:rPr>
          <w:rFonts w:eastAsia="Calibri"/>
          <w:lang w:val="en-GB"/>
        </w:rPr>
        <w:t xml:space="preserve"> </w:t>
      </w:r>
      <w:r w:rsidR="3D04D128" w:rsidRPr="5575EBFC">
        <w:rPr>
          <w:rFonts w:eastAsia="Calibri"/>
          <w:lang w:val="en-GB"/>
        </w:rPr>
        <w:t>(63.3</w:t>
      </w:r>
      <w:r w:rsidR="28736B95" w:rsidRPr="5575EBFC">
        <w:rPr>
          <w:rFonts w:eastAsia="Calibri"/>
          <w:lang w:val="en-GB"/>
        </w:rPr>
        <w:t xml:space="preserve"> </w:t>
      </w:r>
      <w:r w:rsidR="4804CF9A" w:rsidRPr="5575EBFC">
        <w:rPr>
          <w:rFonts w:eastAsia="Calibri"/>
          <w:lang w:val="en-GB"/>
        </w:rPr>
        <w:t>per cent</w:t>
      </w:r>
      <w:r w:rsidR="2522C16E" w:rsidRPr="5575EBFC">
        <w:rPr>
          <w:rFonts w:eastAsia="Calibri"/>
          <w:lang w:val="en-GB"/>
        </w:rPr>
        <w:t xml:space="preserve"> </w:t>
      </w:r>
      <w:r w:rsidR="3D04D128" w:rsidRPr="5575EBFC">
        <w:rPr>
          <w:rFonts w:eastAsia="Calibri"/>
          <w:lang w:val="en-GB"/>
        </w:rPr>
        <w:t>of the studies) across multiple types of interactions (direct or indirect, unidirectional, reciprocal</w:t>
      </w:r>
      <w:r w:rsidR="7F957BE5" w:rsidRPr="5575EBFC">
        <w:rPr>
          <w:rFonts w:eastAsia="Calibri"/>
          <w:lang w:val="en-GB"/>
        </w:rPr>
        <w:t>,</w:t>
      </w:r>
      <w:r w:rsidR="3D04D128" w:rsidRPr="5575EBFC">
        <w:rPr>
          <w:rFonts w:eastAsia="Calibri"/>
          <w:lang w:val="en-GB"/>
        </w:rPr>
        <w:t xml:space="preserve"> or multi-species), ecological levels (individual, population, community</w:t>
      </w:r>
      <w:r w:rsidR="00774819">
        <w:rPr>
          <w:rFonts w:eastAsia="Calibri"/>
          <w:lang w:val="en-GB"/>
        </w:rPr>
        <w:t xml:space="preserve"> and</w:t>
      </w:r>
      <w:r w:rsidR="3D04D128" w:rsidRPr="5575EBFC">
        <w:rPr>
          <w:rFonts w:eastAsia="Calibri"/>
          <w:lang w:val="en-GB"/>
        </w:rPr>
        <w:t xml:space="preserve"> ecosystem), taxonomic groups</w:t>
      </w:r>
      <w:r w:rsidR="36A8B473" w:rsidRPr="5575EBFC">
        <w:rPr>
          <w:rFonts w:eastAsia="Calibri"/>
          <w:lang w:val="en-GB"/>
        </w:rPr>
        <w:t xml:space="preserve"> </w:t>
      </w:r>
      <w:r w:rsidR="3D04D128" w:rsidRPr="5575EBFC">
        <w:rPr>
          <w:rFonts w:eastAsia="Calibri"/>
          <w:lang w:val="en-GB"/>
        </w:rPr>
        <w:t>and major habitat</w:t>
      </w:r>
      <w:r w:rsidR="627F2AB4" w:rsidRPr="5575EBFC">
        <w:rPr>
          <w:rFonts w:eastAsia="Calibri"/>
          <w:lang w:val="en-GB"/>
        </w:rPr>
        <w:t xml:space="preserve"> types</w:t>
      </w:r>
      <w:r w:rsidR="3D04D128" w:rsidRPr="5575EBFC">
        <w:rPr>
          <w:rFonts w:eastAsia="Calibri"/>
          <w:lang w:val="en-GB"/>
        </w:rPr>
        <w:t xml:space="preserve">. This </w:t>
      </w:r>
      <w:r w:rsidR="5FCCE3CA" w:rsidRPr="5575EBFC">
        <w:rPr>
          <w:rFonts w:eastAsia="Calibri"/>
          <w:lang w:val="en-GB"/>
        </w:rPr>
        <w:t>evidence points to</w:t>
      </w:r>
      <w:r w:rsidR="3D04D128" w:rsidRPr="5575EBFC">
        <w:rPr>
          <w:rFonts w:eastAsia="Calibri"/>
          <w:lang w:val="en-GB"/>
        </w:rPr>
        <w:t xml:space="preserve"> biotic </w:t>
      </w:r>
      <w:r w:rsidR="7269DEC0" w:rsidRPr="5575EBFC">
        <w:rPr>
          <w:rFonts w:eastAsia="Calibri"/>
          <w:lang w:val="en-GB"/>
        </w:rPr>
        <w:t>f</w:t>
      </w:r>
      <w:r w:rsidR="605A38C4" w:rsidRPr="5575EBFC">
        <w:rPr>
          <w:rFonts w:eastAsia="Calibri"/>
          <w:lang w:val="en-GB"/>
        </w:rPr>
        <w:t xml:space="preserve">acilitation among alien species </w:t>
      </w:r>
      <w:r w:rsidR="2E6C3AF1" w:rsidRPr="5575EBFC">
        <w:rPr>
          <w:rFonts w:eastAsia="Calibri"/>
          <w:lang w:val="en-GB"/>
        </w:rPr>
        <w:t>as</w:t>
      </w:r>
      <w:r w:rsidR="3D04D128" w:rsidRPr="5575EBFC">
        <w:rPr>
          <w:rFonts w:eastAsia="Calibri"/>
          <w:lang w:val="en-GB"/>
        </w:rPr>
        <w:t xml:space="preserve"> a major driver </w:t>
      </w:r>
      <w:r w:rsidR="78B887F9" w:rsidRPr="5575EBFC">
        <w:rPr>
          <w:rFonts w:eastAsia="Calibri"/>
          <w:lang w:val="en-GB"/>
        </w:rPr>
        <w:lastRenderedPageBreak/>
        <w:t xml:space="preserve">facilitating </w:t>
      </w:r>
      <w:r w:rsidR="6B98DE0B" w:rsidRPr="5575EBFC">
        <w:rPr>
          <w:rFonts w:eastAsia="Calibri"/>
          <w:lang w:val="en-GB"/>
        </w:rPr>
        <w:t xml:space="preserve">the </w:t>
      </w:r>
      <w:r w:rsidR="306477CF" w:rsidRPr="5575EBFC">
        <w:rPr>
          <w:rFonts w:eastAsia="Calibri"/>
          <w:lang w:val="en-GB"/>
        </w:rPr>
        <w:t>e</w:t>
      </w:r>
      <w:r w:rsidR="3D04D128" w:rsidRPr="5575EBFC">
        <w:rPr>
          <w:rFonts w:eastAsia="Calibri"/>
          <w:lang w:val="en-GB"/>
        </w:rPr>
        <w:t xml:space="preserve">stablishment and spread of </w:t>
      </w:r>
      <w:r w:rsidR="580EF8C0" w:rsidRPr="5575EBFC">
        <w:rPr>
          <w:lang w:val="en-GB"/>
        </w:rPr>
        <w:t>invasive alien species</w:t>
      </w:r>
      <w:r w:rsidR="3D04D128" w:rsidRPr="5575EBFC">
        <w:rPr>
          <w:rFonts w:eastAsia="Calibri"/>
          <w:lang w:val="en-GB"/>
        </w:rPr>
        <w:t xml:space="preserve">. However, they also found some exceptions to this general pattern, and </w:t>
      </w:r>
      <w:r w:rsidR="5FC18707" w:rsidRPr="5575EBFC">
        <w:rPr>
          <w:rFonts w:eastAsia="Calibri"/>
          <w:lang w:val="en-GB"/>
        </w:rPr>
        <w:t xml:space="preserve">have </w:t>
      </w:r>
      <w:r w:rsidR="3D04D128" w:rsidRPr="5575EBFC">
        <w:rPr>
          <w:rFonts w:eastAsia="Calibri"/>
          <w:lang w:val="en-GB"/>
        </w:rPr>
        <w:t xml:space="preserve">identified biases and gaps </w:t>
      </w:r>
      <w:r w:rsidR="50CE0EAC" w:rsidRPr="5575EBFC">
        <w:rPr>
          <w:rFonts w:eastAsia="Calibri"/>
          <w:lang w:val="en-GB"/>
        </w:rPr>
        <w:t xml:space="preserve">(see </w:t>
      </w:r>
      <w:r w:rsidR="3D04D128" w:rsidRPr="5575EBFC">
        <w:rPr>
          <w:rFonts w:eastAsia="Calibri"/>
          <w:lang w:val="en-GB"/>
        </w:rPr>
        <w:t>below).</w:t>
      </w:r>
      <w:r w:rsidR="0F9FAC9A" w:rsidRPr="5575EBFC">
        <w:rPr>
          <w:rFonts w:eastAsia="Calibri"/>
          <w:lang w:val="en-GB"/>
        </w:rPr>
        <w:t xml:space="preserve"> This section</w:t>
      </w:r>
      <w:r w:rsidR="56602BC3" w:rsidRPr="5575EBFC">
        <w:rPr>
          <w:rFonts w:eastAsia="Calibri"/>
          <w:lang w:val="en-GB"/>
        </w:rPr>
        <w:t xml:space="preserve"> review</w:t>
      </w:r>
      <w:r w:rsidR="0F9FAC9A" w:rsidRPr="5575EBFC">
        <w:rPr>
          <w:rFonts w:eastAsia="Calibri"/>
          <w:lang w:val="en-GB"/>
        </w:rPr>
        <w:t>s</w:t>
      </w:r>
      <w:r w:rsidR="56602BC3" w:rsidRPr="5575EBFC">
        <w:rPr>
          <w:rFonts w:eastAsia="Calibri"/>
          <w:lang w:val="en-GB"/>
        </w:rPr>
        <w:t xml:space="preserve"> the role of </w:t>
      </w:r>
      <w:r w:rsidR="7B925571" w:rsidRPr="5575EBFC">
        <w:rPr>
          <w:rFonts w:eastAsia="Calibri"/>
          <w:lang w:val="en-GB"/>
        </w:rPr>
        <w:t xml:space="preserve">biotic </w:t>
      </w:r>
      <w:r w:rsidR="56602BC3" w:rsidRPr="5575EBFC">
        <w:rPr>
          <w:rFonts w:eastAsia="Calibri"/>
          <w:lang w:val="en-GB"/>
        </w:rPr>
        <w:t xml:space="preserve">facilitation among alien species as a driver </w:t>
      </w:r>
      <w:r w:rsidR="67F124A2" w:rsidRPr="5575EBFC">
        <w:rPr>
          <w:rFonts w:eastAsia="Calibri"/>
          <w:lang w:val="en-GB"/>
        </w:rPr>
        <w:t xml:space="preserve">affecting </w:t>
      </w:r>
      <w:r w:rsidR="56602BC3" w:rsidRPr="5575EBFC">
        <w:rPr>
          <w:rFonts w:eastAsia="Calibri"/>
          <w:lang w:val="en-GB"/>
        </w:rPr>
        <w:t xml:space="preserve">the different stages of </w:t>
      </w:r>
      <w:r w:rsidR="0F4247EF" w:rsidRPr="5575EBFC">
        <w:rPr>
          <w:rFonts w:eastAsia="Calibri"/>
          <w:lang w:val="en-GB"/>
        </w:rPr>
        <w:t xml:space="preserve">the </w:t>
      </w:r>
      <w:r w:rsidR="56602BC3" w:rsidRPr="5575EBFC">
        <w:rPr>
          <w:rFonts w:eastAsia="Calibri"/>
          <w:lang w:val="en-GB"/>
        </w:rPr>
        <w:t>invasion</w:t>
      </w:r>
      <w:r w:rsidR="0F4247EF" w:rsidRPr="5575EBFC">
        <w:rPr>
          <w:rFonts w:eastAsia="Calibri"/>
          <w:lang w:val="en-GB"/>
        </w:rPr>
        <w:t xml:space="preserve"> process</w:t>
      </w:r>
      <w:r w:rsidR="6458A3C1" w:rsidRPr="5575EBFC">
        <w:rPr>
          <w:rFonts w:eastAsia="游明朝"/>
          <w:lang w:val="en-GB"/>
        </w:rPr>
        <w:t xml:space="preserve"> </w:t>
      </w:r>
      <w:r w:rsidR="00F450E1" w:rsidRPr="5575EBFC">
        <w:rPr>
          <w:rFonts w:eastAsia="Calibri"/>
          <w:lang w:val="en-GB"/>
        </w:rPr>
        <w:fldChar w:fldCharType="begin"/>
      </w:r>
      <w:r w:rsidR="00331A79">
        <w:rPr>
          <w:rFonts w:eastAsia="Calibri"/>
          <w:lang w:val="en-GB"/>
        </w:rPr>
        <w:instrText xml:space="preserve"> ADDIN ZOTERO_ITEM CSL_CITATION {"citationID":"nkxEyZaH","properties":{"formattedCitation":"(Braga, G\\uc0\\u243{}mez-Aparicio, et al., 2018; Gavira-O\\uc0\\u8217{}Neill et al., 2018; Jeschke et al., 2012)","plainCitation":"(Braga, Gómez-Aparicio, et al., 2018; Gavira-O’Neill et al., 2018; Jeschke et al., 2012)","noteIndex":0},"citationItems":[{"id":24836,"uris":["http://zotero.org/groups/2352922/items/YLYSSVNW"],"itemData":{"id":24836,"type":"article-journal","abstract":"Negative interactions have been suggested as a major barrier for species arriving in a new habitat. More recently, positive interactions drew attention from community assembly theory and invasion science. The invasional meltdown hypothesis (IMH) introduced the idea that positive interactions among non-native species could facilitate one another’s invasion, even increasing their impact upon the native community. Many studies have addressed IMH, but with contrasting results, reflecting various types of evidence on a multitude of scales. Here we use the hierarchy-of-hypotheses (HoH) approach to differentiate key aspects of IMH, organizing and linking empirical studies to sub-hypotheses of IMH. We also assess the level of empirical support for each sub-hypothesis based on the evidence reported in the studies. We identified 150 studies addressing IMH. The majority of studies support IMH, but the evidence comes from studies with different aims and questions. Supporting studies at the community or ecosystem level are currently rare. Evidence is scarce for marine habitats and vertebrates. Few sub-hypotheses are questioned by more than 50% of the evaluated studies, indicating that non-native species do not affect each other’s survival, growth, reproduction, abundance, density or biomass in reciprocal A ↔ B interactions. With the HoH for IMH presented here, we can monitor progress in empirical tests and evidences of IMH. For instance, more tests at the community and ecosystem level are needed, as these are necessary to address the core of this hypothesis.","container-title":"Biological Invasions","DOI":"10.1007/s10530-017-1582-2","ISSN":"1573-1464","issue":"4","journalAbbreviation":"Biol Invasions","language":"en","page":"923-936","source":"Springer Link","title":"Structuring evidence for invasional meltdown: broad support but with biases and gaps","title-short":"Structuring evidence for invasional meltdown","URL":"https://doi.org/10.1007/s10530-017-1582-2","volume":"20","author":[{"family":"Braga","given":"Raul Rennó"},{"family":"Gómez-Aparicio","given":"Lorena"},{"family":"Heger","given":"Tina"},{"family":"Vitule","given":"Jean Ricardo Simões"},{"family":"Jeschke","given":"Jonathan M."}],"accessed":{"date-parts":[["2019",10,12]]},"issued":{"date-parts":[["2018"]]}},"label":"page"},{"id":27210,"uris":["http://zotero.org/groups/2352922/items/7K4JBMA4"],"itemData":{"id":27210,"type":"article-journal","container-title":"Marine Biodiversity","DOI":"10.1007/s12526-016-0563-5","ISSN":"1867-1616, 1867-1624","issue":"2","journalAbbreviation":"Mar Biodiv","language":"en","page":"1169-1178","source":"DOI.org (Crossref)","title":"Mobile epifauna of the invasive bryozoan &lt;i&gt;Tricellaria inopinata&lt;/i&gt;: is there a potential invasional meltdown?","title-short":"Mobile epifauna of the invasive bryozoan Tricellaria inopinata","URL":"http://link.springer.com/10.1007/s12526-016-0563-5","volume":"48","author":[{"family":"Gavira-O’Neill","given":"K."},{"family":"Guerra-García","given":"J. M."},{"family":"Moreira","given":"J."},{"family":"Ros","given":"M."}],"accessed":{"date-parts":[["2021",6,21]]},"issued":{"date-parts":[["2018",6]]}},"label":"page"},{"id":29386,"uris":["http://zotero.org/groups/2352922/items/PNBBYRQ2"],"itemData":{"id":29386,"type":"article-journal","abstract":"Several major hypotheses have been proposed to explain and predict biological invasions, but the general applicability of these hypotheses is largely unknown, as most of them have not been evaluated using a standard approach across taxonomic groups and habitats. We offer such an evaluation for six selected leading hypotheses. Our global literature review reveals that those hypotheses that consider interactions of exotic invaders with their new environment (invasional meltdown, novel weapons, enemy release) are better supported by empirical evidence than other hypotheses (biotic resistance, island susceptibility, tens rule). We also show that empirical support for the six hypotheses has declined over time, and that support differs among taxonomic groups and habitats. Our results have implications for basic and applied research, policy making, and invasive species management, as their effectiveness depends on sound hypotheses.","container-title":"NeoBiota","DOI":"10.3897/neobiota.14.3435","ISSN":"1314-2488","language":"en","license":"2021Jonathan Jeschke, Lorena Gómez Aparicio, Sylvia Haider, Tina Heger, Christopher Lortie, Petr Pyšek, David Strayer","note":"publisher: Pensoft Publishers","page":"1-20","source":"neobiota.pensoft.net","title":"Support for major hypotheses in invasion biology is uneven and declining","URL":"https://neobiota.pensoft.net/article/1232/","volume":"14","author":[{"family":"Jeschke","given":"Jonathan M."},{"family":"Aparicio","given":"Lorena Gómez"},{"family":"Haider","given":"Sylvia"},{"family":"Heger","given":"Tina"},{"family":"Lortie","given":"Christopher"},{"family":"Pyšek","given":"Petr"},{"family":"Strayer","given":"David"}],"accessed":{"date-parts":[["2021",6,9]]},"issued":{"date-parts":[["2012",8,22]]}},"label":"page"}],"schema":"https://github.com/citation-style-language/schema/raw/master/csl-citation.json"} </w:instrText>
      </w:r>
      <w:r w:rsidR="00F450E1" w:rsidRPr="5575EBFC">
        <w:rPr>
          <w:rFonts w:eastAsia="Calibri"/>
          <w:lang w:val="en-GB"/>
        </w:rPr>
        <w:fldChar w:fldCharType="separate"/>
      </w:r>
      <w:r w:rsidR="6B5F9B9E">
        <w:t>(Braga, Gómez-Aparicio, et al., 2018; Gavira-O’Neill et al., 2018; Jeschke et al., 2012)</w:t>
      </w:r>
      <w:r w:rsidR="00F450E1" w:rsidRPr="5575EBFC">
        <w:rPr>
          <w:rFonts w:eastAsia="Calibri"/>
          <w:lang w:val="en-GB"/>
        </w:rPr>
        <w:fldChar w:fldCharType="end"/>
      </w:r>
      <w:r w:rsidR="22660E2C" w:rsidRPr="5575EBFC">
        <w:rPr>
          <w:rFonts w:eastAsia="Calibri"/>
          <w:lang w:val="en-GB"/>
        </w:rPr>
        <w:t xml:space="preserve">. </w:t>
      </w:r>
    </w:p>
    <w:p w14:paraId="518DFD17" w14:textId="1F1D6B6F" w:rsidR="7A47C5C4" w:rsidRPr="00DA249F" w:rsidRDefault="00D12C5A" w:rsidP="0090109B">
      <w:pPr>
        <w:rPr>
          <w:lang w:val="en-GB" w:eastAsia="zh-CN"/>
        </w:rPr>
      </w:pPr>
      <w:r w:rsidRPr="00DA249F">
        <w:rPr>
          <w:lang w:val="en-GB"/>
        </w:rPr>
        <w:t>The</w:t>
      </w:r>
      <w:r w:rsidR="16540D31" w:rsidRPr="00DA249F">
        <w:rPr>
          <w:lang w:val="en-GB"/>
        </w:rPr>
        <w:t xml:space="preserve"> </w:t>
      </w:r>
      <w:r w:rsidR="4D603F79" w:rsidRPr="00DA249F">
        <w:rPr>
          <w:lang w:val="en-GB"/>
        </w:rPr>
        <w:t>transportation</w:t>
      </w:r>
      <w:r w:rsidRPr="00DA249F">
        <w:rPr>
          <w:lang w:val="en-GB"/>
        </w:rPr>
        <w:t xml:space="preserve"> of a</w:t>
      </w:r>
      <w:r w:rsidR="16540D31" w:rsidRPr="00DA249F">
        <w:rPr>
          <w:lang w:val="en-GB"/>
        </w:rPr>
        <w:t>lien species</w:t>
      </w:r>
      <w:r w:rsidR="4D603F79" w:rsidRPr="00DA249F">
        <w:rPr>
          <w:lang w:val="en-GB"/>
        </w:rPr>
        <w:t xml:space="preserve"> to new regions can be facilitated by other </w:t>
      </w:r>
      <w:r w:rsidR="538A8C24" w:rsidRPr="00DA249F">
        <w:rPr>
          <w:lang w:val="en-GB"/>
        </w:rPr>
        <w:t xml:space="preserve">“carrier” </w:t>
      </w:r>
      <w:r w:rsidR="4D603F79" w:rsidRPr="00DA249F">
        <w:rPr>
          <w:lang w:val="en-GB"/>
        </w:rPr>
        <w:t xml:space="preserve">alien species. For instance, </w:t>
      </w:r>
      <w:r w:rsidR="7C3483AE" w:rsidRPr="00DA249F">
        <w:rPr>
          <w:lang w:val="en-GB"/>
        </w:rPr>
        <w:t>plant</w:t>
      </w:r>
      <w:r w:rsidR="304A75FF" w:rsidRPr="00DA249F">
        <w:rPr>
          <w:lang w:val="en-GB"/>
        </w:rPr>
        <w:t xml:space="preserve">s relying on </w:t>
      </w:r>
      <w:r w:rsidR="50C1207B" w:rsidRPr="00DA249F">
        <w:rPr>
          <w:lang w:val="en-GB"/>
        </w:rPr>
        <w:t>endozoochoric or</w:t>
      </w:r>
      <w:r w:rsidR="304A75FF" w:rsidRPr="00DA249F">
        <w:rPr>
          <w:lang w:val="en-GB"/>
        </w:rPr>
        <w:t xml:space="preserve"> e</w:t>
      </w:r>
      <w:r w:rsidR="3458E1F3" w:rsidRPr="00DA249F">
        <w:rPr>
          <w:lang w:val="en-GB"/>
        </w:rPr>
        <w:t>ct</w:t>
      </w:r>
      <w:r w:rsidR="304A75FF" w:rsidRPr="00DA249F">
        <w:rPr>
          <w:lang w:val="en-GB"/>
        </w:rPr>
        <w:t>ozoochoric seed dispersal can</w:t>
      </w:r>
      <w:r w:rsidR="2A43434A" w:rsidRPr="00DA249F">
        <w:rPr>
          <w:lang w:val="en-GB"/>
        </w:rPr>
        <w:t xml:space="preserve"> be transported and introduced to new regions </w:t>
      </w:r>
      <w:r w:rsidR="61BC2DB0" w:rsidRPr="00DA249F">
        <w:rPr>
          <w:lang w:val="en-GB"/>
        </w:rPr>
        <w:t>in the guts, fur</w:t>
      </w:r>
      <w:r w:rsidR="4BC8E6EB" w:rsidRPr="00DA249F">
        <w:rPr>
          <w:lang w:val="en-GB"/>
        </w:rPr>
        <w:t xml:space="preserve">, hoof or </w:t>
      </w:r>
      <w:r w:rsidR="63094711" w:rsidRPr="00DA249F">
        <w:rPr>
          <w:lang w:val="en-GB"/>
        </w:rPr>
        <w:t>feathers of alien animals</w:t>
      </w:r>
      <w:r w:rsidR="313EAE97" w:rsidRPr="00DA249F">
        <w:rPr>
          <w:lang w:val="en-GB"/>
        </w:rPr>
        <w:t xml:space="preserve"> </w:t>
      </w:r>
      <w:r w:rsidR="00F177F6" w:rsidRPr="00DA249F">
        <w:rPr>
          <w:lang w:val="en-GB"/>
        </w:rPr>
        <w:fldChar w:fldCharType="begin"/>
      </w:r>
      <w:r w:rsidR="00331A79">
        <w:rPr>
          <w:lang w:val="en-GB"/>
        </w:rPr>
        <w:instrText xml:space="preserve"> ADDIN ZOTERO_ITEM CSL_CITATION {"citationID":"DHCyyoiG","properties":{"unsorted":true,"formattedCitation":"(Reynolds et al., 2015; Van Leeuwen, 2018; Diaz Velez et al., 2020)","plainCitation":"(Reynolds et al., 2015; Van Leeuwen, 2018; Diaz Velez et al., 2020)","noteIndex":0},"citationItems":[{"id":17504,"uris":["http://zotero.org/groups/2352922/items/2FXNX6VN"],"itemData":{"id":17504,"type":"article-journal","abstract":"Abstract Aim To review existing literature on the ability of waterbirds to spread aquatic alien and invasive species, and to assess the relevance of bird-mediated dispersal for the conservation of freshwater ecosystems. Location Global. Methods Literature Review. Results A systematic review of the literature revealed that quantitative studies investigating dispersal of alien organisms by waterbirds are rare (n = 14). Most studies citing waterbird dispersal rely on anecdotes or inferences from morphological dispersal syndromes. However, evidence from each stage of dispersal (i.e. emigration, transport and immigration) shows that waterbirds can carry alien plants and invertebrates internally and externally; transport them between water bodies at a variety of spatial scales; and deposit viable propagules in sites suited to aquatic invasive species. Main conclusions Our review suggests that waterbirds can and do act as important dispersal vectors for freshwater invasive species. Further experimental and field based research on the numbers and viability of moved alien propagules, and the roles of different species in the bird community, is needed. Furthermore, consideration of the spatially explicit manner in which birds move is imperative to understanding invasive spread. Populations of alien aquatic species in seemingly isolated wetlands can no longer be considered contained if they are able to be spread through waterbird-mediated dispersal, and containment measures must recognize such opportunities for further spread. Changing waterbird movement patterns, driven by climate and land use change, further add to the challenge of managing invasive species and offers an interesting opportunity for future research. The study of waterbird-mediated dispersal of aquatic alien invasive species provides insights not only into species invasions, but more generally into movement ecology, population ecology and biogeography.","container-title":"Diversity and Distributions","DOI":"10.1111/ddi.12334","ISSN":"1366-9516","issue":"7","journalAbbreviation":"Diversity and Distributions","page":"744-754","source":"login.research4life.org (Atypon)","title":"The role of waterbirds in the dispersal of aquatic alien and invasive species","URL":"http://login.research4life.org/tacsgr1onlinelibrary_wiley_com/doi/full/10.1111/ddi.12334","volume":"21","author":[{"family":"Reynolds","given":"Chevonne"},{"family":"Miranda","given":"Nelson A. F."},{"family":"Cumming","given":"Graeme S."}],"accessed":{"date-parts":[["2019",10,7]]},"issued":{"date-parts":[["2015",7,1]]}},"label":"page"},{"id":32334,"uris":["http://zotero.org/groups/2352922/items/IWESQKQU"],"itemData":{"id":32334,"type":"article-journal","container-title":"Frontiers in plant science","note":"ISBN: 1664-462X\npublisher: Frontiers","page":"153","title":"Internal and external dispersal of plants by animals: an aquatic perspective on alien interference","volume":"9","author":[{"family":"Van Leeuwen","given":"Casper HA"}],"issued":{"date-parts":[["2018"]]}},"label":"page"},{"id":32335,"uris":["http://zotero.org/groups/2352922/items/9LQXMKGB"],"itemData":{"id":32335,"type":"chapter","abstract":"Animal dispersers in new areas are essential for many alien plants since they allow seeds movement and might promote seed germination and seedling establishment, increasing their chances of invasion. Here we review the published literature on seed dispersal of alien plant species by native and/or alien animals. We aim to answer the following questions: (i) Are interactions between alien plants and their animal dispersers evenly studied worldwide? (ii) Which are the distinctive traits (i.e. geographical origin, life form, dispersal strategy and propagule traits) of alien plants dispersed by animals? (iii) Which are the most studied groups of dispersers of alien plants around the world? (iv) Does literature provide evidence for the invasional meltdown hypothesis (alien plant-alien disperser facilitation)? (v) Which is the role of animal dispersers in the different stages of the alien plant regeneration process? Our dataset consisting of 204 articles indicates that geographical distribution of the studies was highly heterogeneous among continents, with the highest number coming from North America and the lowest from Asia and Central America. Most of the alien plants involved in dispersal studies were woody species from Asia with fleshy fruits dispersed by endozoochory. More than the half of the animal dispersers was birds, followed by mammals, ants and reptiles. The dominance of bird-dispersal interactions over other animal groups remained consistent across geographical regions. Although most of the studies involved only native dispersers, alien-alien interactions were detected, suggesting the occurrence of invasional meltdown mechanisms. Of the total reviewed articles reporting seed removal, 74% evaluated seed dispersal, but only few studies include seed germination (35.3%), seedling establishment (5.4 %) or seed predation (23.5 %). Finally, this chapter provides some research biases and directions for future studies in the area.","container-title":"Plant Invasions: The role of bitic interactions","ISBN":"978-1-78924-217-1","language":"eng","license":"info:eu-repo/semantics/restrictedAccess","note":"Accepted: 2021-08-11T21:02:32Z\ncontainer-title: Plant Invasions: The role of bitic interactions","publisher":"CABI International","source":"ri.conicet.gov.ar","title":"Seed dispersal interactions promoting plant invasions","URL":"https://ri.conicet.gov.ar/handle/11336/138181","author":[{"family":"Diaz Velez","given":"Maria Celeste"},{"family":"Ferreras","given":"Ana Elisa"},{"family":"Paiaro","given":"Valeria"}],"accessed":{"date-parts":[["2021",12,12]]},"issued":{"date-parts":[["2020"]]}},"label":"page"}],"schema":"https://github.com/citation-style-language/schema/raw/master/csl-citation.json"} </w:instrText>
      </w:r>
      <w:r w:rsidR="00F177F6" w:rsidRPr="00DA249F">
        <w:rPr>
          <w:lang w:val="en-GB"/>
        </w:rPr>
        <w:fldChar w:fldCharType="separate"/>
      </w:r>
      <w:r w:rsidR="00144D96" w:rsidRPr="00144D96">
        <w:t>(Reynolds et al., 2015; Van Leeuwen, 2018; Diaz Velez et al., 2020)</w:t>
      </w:r>
      <w:r w:rsidR="00F177F6" w:rsidRPr="00DA249F">
        <w:rPr>
          <w:lang w:val="en-GB"/>
        </w:rPr>
        <w:fldChar w:fldCharType="end"/>
      </w:r>
      <w:r w:rsidR="313EAE97" w:rsidRPr="00DA249F">
        <w:rPr>
          <w:lang w:val="en-GB"/>
        </w:rPr>
        <w:t xml:space="preserve">. </w:t>
      </w:r>
      <w:r w:rsidR="00351E8E" w:rsidRPr="00DA249F">
        <w:rPr>
          <w:lang w:val="en-GB"/>
        </w:rPr>
        <w:t>The</w:t>
      </w:r>
      <w:r w:rsidR="04F600B7" w:rsidRPr="00DA249F">
        <w:rPr>
          <w:lang w:val="en-GB"/>
        </w:rPr>
        <w:t xml:space="preserve"> alien</w:t>
      </w:r>
      <w:r w:rsidR="00964152" w:rsidRPr="00DA249F">
        <w:rPr>
          <w:lang w:val="en-GB"/>
        </w:rPr>
        <w:t xml:space="preserve"> mammal</w:t>
      </w:r>
      <w:r w:rsidR="04F600B7" w:rsidRPr="00DA249F">
        <w:rPr>
          <w:lang w:val="en-GB"/>
        </w:rPr>
        <w:t xml:space="preserve"> </w:t>
      </w:r>
      <w:r w:rsidR="04F600B7" w:rsidRPr="00DA249F">
        <w:rPr>
          <w:i/>
          <w:iCs/>
          <w:lang w:val="en-GB" w:eastAsia="zh-CN"/>
        </w:rPr>
        <w:t xml:space="preserve">Axis porcinus </w:t>
      </w:r>
      <w:r w:rsidR="04F600B7" w:rsidRPr="00DA249F">
        <w:rPr>
          <w:lang w:val="en-GB" w:eastAsia="zh-CN"/>
        </w:rPr>
        <w:t>(hog deer) disperse</w:t>
      </w:r>
      <w:r w:rsidR="00BD70D1">
        <w:rPr>
          <w:lang w:val="en-GB" w:eastAsia="zh-CN"/>
        </w:rPr>
        <w:t>s</w:t>
      </w:r>
      <w:r w:rsidR="04F600B7" w:rsidRPr="00DA249F">
        <w:rPr>
          <w:lang w:val="en-GB" w:eastAsia="zh-CN"/>
        </w:rPr>
        <w:t xml:space="preserve"> similar numbers of alien and native plant species’ seeds through </w:t>
      </w:r>
      <w:r w:rsidR="00BD70D1">
        <w:rPr>
          <w:lang w:val="en-GB" w:eastAsia="zh-CN"/>
        </w:rPr>
        <w:t>its</w:t>
      </w:r>
      <w:r w:rsidR="00BD70D1" w:rsidRPr="00DA249F">
        <w:rPr>
          <w:lang w:val="en-GB" w:eastAsia="zh-CN"/>
        </w:rPr>
        <w:t xml:space="preserve"> </w:t>
      </w:r>
      <w:r w:rsidR="04F600B7" w:rsidRPr="00DA249F">
        <w:rPr>
          <w:lang w:val="en-GB" w:eastAsia="zh-CN"/>
        </w:rPr>
        <w:t xml:space="preserve">faeces, thus </w:t>
      </w:r>
      <w:r w:rsidR="00206090">
        <w:rPr>
          <w:lang w:val="en-GB" w:eastAsia="zh-CN"/>
        </w:rPr>
        <w:t>greatly</w:t>
      </w:r>
      <w:r w:rsidR="00206090" w:rsidRPr="00DA249F">
        <w:rPr>
          <w:lang w:val="en-GB" w:eastAsia="zh-CN"/>
        </w:rPr>
        <w:t xml:space="preserve"> </w:t>
      </w:r>
      <w:r w:rsidR="04F600B7" w:rsidRPr="00DA249F">
        <w:rPr>
          <w:lang w:val="en-GB" w:eastAsia="zh-CN"/>
        </w:rPr>
        <w:t xml:space="preserve">facilitating the dispersal of alien species in </w:t>
      </w:r>
      <w:r w:rsidR="00582C68" w:rsidRPr="00DA249F">
        <w:rPr>
          <w:lang w:val="en-GB" w:eastAsia="zh-CN"/>
        </w:rPr>
        <w:t>south-eastern Australia</w:t>
      </w:r>
      <w:r w:rsidR="04F600B7" w:rsidRPr="00DA249F">
        <w:rPr>
          <w:lang w:val="en-GB" w:eastAsia="zh-CN"/>
        </w:rPr>
        <w:t xml:space="preserve"> </w:t>
      </w:r>
      <w:r w:rsidR="00F177F6" w:rsidRPr="00DA249F">
        <w:rPr>
          <w:lang w:val="en-GB" w:eastAsia="zh-CN"/>
        </w:rPr>
        <w:fldChar w:fldCharType="begin"/>
      </w:r>
      <w:r w:rsidR="00331A79">
        <w:rPr>
          <w:lang w:val="en-GB" w:eastAsia="zh-CN"/>
        </w:rPr>
        <w:instrText xml:space="preserve"> ADDIN ZOTERO_ITEM CSL_CITATION {"citationID":"cMGa3GY0","properties":{"formattedCitation":"(N. E. Davis et al., 2010)","plainCitation":"(N. E. Davis et al., 2010)","noteIndex":0},"citationItems":[{"id":32333,"uris":["http://zotero.org/groups/2352922/items/BADADKIG"],"itemData":{"id":32333,"type":"article-journal","container-title":"Biological Invasions","DOI":"10.1007/s10530-009-9525-1","issue":"5","note":"ISBN: 1573-1464\npublisher: Springer","page":"1079-1092","title":"Facilitative interactions between an exotic mammal and native and exotic plants: hog deer (&lt;i&gt;Axis porcinus&lt;/i&gt;) as seed dispersers in south-eastern Australia","volume":"12","author":[{"family":"Davis","given":"Naomi E."},{"family":"Forsyth","given":"David M."},{"family":"Coulson","given":"Graeme"}],"issued":{"date-parts":[["2010"]]}},"label":"page"}],"schema":"https://github.com/citation-style-language/schema/raw/master/csl-citation.json"} </w:instrText>
      </w:r>
      <w:r w:rsidR="00F177F6" w:rsidRPr="00DA249F">
        <w:rPr>
          <w:lang w:val="en-GB" w:eastAsia="zh-CN"/>
        </w:rPr>
        <w:fldChar w:fldCharType="separate"/>
      </w:r>
      <w:r w:rsidR="00144D96" w:rsidRPr="00144D96">
        <w:t>(N. E. Davis et al., 2010)</w:t>
      </w:r>
      <w:r w:rsidR="00F177F6" w:rsidRPr="00DA249F">
        <w:rPr>
          <w:lang w:val="en-GB" w:eastAsia="zh-CN"/>
        </w:rPr>
        <w:fldChar w:fldCharType="end"/>
      </w:r>
      <w:r w:rsidR="153DB21D" w:rsidRPr="00DA249F">
        <w:rPr>
          <w:lang w:val="en-GB" w:eastAsia="zh-CN"/>
        </w:rPr>
        <w:t>, and horses transport alien seeds o</w:t>
      </w:r>
      <w:r w:rsidR="0EFDE9B6" w:rsidRPr="00DA249F">
        <w:rPr>
          <w:lang w:val="en-GB" w:eastAsia="zh-CN"/>
        </w:rPr>
        <w:t>n their hooves</w:t>
      </w:r>
      <w:r w:rsidR="153DB21D" w:rsidRPr="00DA249F">
        <w:rPr>
          <w:lang w:val="en-GB" w:eastAsia="zh-CN"/>
        </w:rPr>
        <w:t xml:space="preserve"> </w:t>
      </w:r>
      <w:r w:rsidR="00F177F6" w:rsidRPr="00DA249F">
        <w:rPr>
          <w:lang w:val="en-GB" w:eastAsia="zh-CN"/>
        </w:rPr>
        <w:fldChar w:fldCharType="begin"/>
      </w:r>
      <w:r w:rsidR="00331A79">
        <w:rPr>
          <w:lang w:val="en-GB" w:eastAsia="zh-CN"/>
        </w:rPr>
        <w:instrText xml:space="preserve"> ADDIN ZOTERO_ITEM CSL_CITATION {"citationID":"7NfrTBuX","properties":{"formattedCitation":"(Gower, 2008)","plainCitation":"(Gower, 2008)","noteIndex":0},"citationItems":[{"id":32332,"uris":["http://zotero.org/groups/2352922/items/X45Y8VJ3"],"itemData":{"id":32332,"type":"article-journal","abstract":"Non-native plant species pose a serious ecological and economic threat to managed and natural ecosystems; therefore, there is a great need to identify sources for the introduction of non-native species and develop management plans to reduce or eliminate their introduction. Horses have been suggested to be an important source for the introduction of non-native plant species along trails, but the conclusions were based on anecdotal evidence. In this study, horse hay, manure, and hoof debris samples were collected from 12 to 24 horses at five endurance ride events in North Carolina, Kentucky, Illinois, Wisconsin, and Michigan. One sub-sample of each material from each horse was sown in pots and grown under ideal conditions to determine if horse hay, manure, and hoof debris samples contained seeds from non-native species. A second sub-sample of each material from each horse was placed back on their respective trail to determine what plants would germinate and establish on the trail. Vegetation surveys were also conducted along 50m transects perpendicular to horse and hiking (horses not permitted) trails at three of the five sites to compare species composition of native and non-native plant species. On average, n</w:instrText>
      </w:r>
      <w:r w:rsidR="00331A79">
        <w:rPr>
          <w:rFonts w:hint="eastAsia"/>
          <w:lang w:val="en-GB" w:eastAsia="zh-CN"/>
        </w:rPr>
        <w:instrText>on-native plant species germinated in 5.2% of the hay samples in the pots, but non-native species did not germinate from the manure or hoof debris samples. Only 3 of the 288 (</w:instrText>
      </w:r>
      <w:r w:rsidR="00331A79">
        <w:rPr>
          <w:rFonts w:hint="eastAsia"/>
          <w:lang w:val="en-GB" w:eastAsia="zh-CN"/>
        </w:rPr>
        <w:instrText>≈</w:instrText>
      </w:r>
      <w:r w:rsidR="00331A79">
        <w:rPr>
          <w:rFonts w:hint="eastAsia"/>
          <w:lang w:val="en-GB" w:eastAsia="zh-CN"/>
        </w:rPr>
        <w:instrText>1% of total samples) hay, manure, and hoof debris plots established on horse tr</w:instrText>
      </w:r>
      <w:r w:rsidR="00331A79">
        <w:rPr>
          <w:lang w:val="en-GB" w:eastAsia="zh-CN"/>
        </w:rPr>
        <w:instrText xml:space="preserve">ails at the five sites contained plants, all of which were native plants, at the end of the first growing season and no plants were observed at the end of the second growing season. Non-native species composition and percent of total plants species did not differ significantly (p=0.56) between horse and non-horse trails, and non-native plant species were only found within 2m of the trail. The results of this and another study [Campbell, J.E., Gibson, D.J., 2001. The effect of seeds of exotic species transported vie horse dung on vegetation along trail corridors. Plant Ecology 157, 23–35] demonstrate that horse hay and manure does contain seeds of non-native plant species, but native and non-native plant species rarely become established on horse trails because of the harsh environmental conditions. Management and policy implication of this study are discussed.","container-title":"Forest Ecology and Management","DOI":"10.1016/j.foreco.2008.06.012","ISSN":"0378-1127","issue":"5","journalAbbreviation":"Forest Ecology and Management","language":"en","page":"997-1003","source":"ScienceDirect","title":"Are horses responsible for introducing non-native plants along forest trails in the eastern United States?","URL":"https://www.sciencedirect.com/science/article/pii/S0378112708004842","volume":"256","author":[{"family":"Gower","given":"Stith T."}],"accessed":{"date-parts":[["2021",12,12]]},"issued":{"date-parts":[["2008",8,20]]}},"label":"page"}],"schema":"https://github.com/citation-style-language/schema/raw/master/csl-citation.json"} </w:instrText>
      </w:r>
      <w:r w:rsidR="00F177F6" w:rsidRPr="00DA249F">
        <w:rPr>
          <w:lang w:val="en-GB" w:eastAsia="zh-CN"/>
        </w:rPr>
        <w:fldChar w:fldCharType="separate"/>
      </w:r>
      <w:r w:rsidR="00144D96" w:rsidRPr="00144D96">
        <w:t>(Gower, 2008)</w:t>
      </w:r>
      <w:r w:rsidR="00F177F6" w:rsidRPr="00DA249F">
        <w:rPr>
          <w:lang w:val="en-GB" w:eastAsia="zh-CN"/>
        </w:rPr>
        <w:fldChar w:fldCharType="end"/>
      </w:r>
      <w:r w:rsidR="153DB21D" w:rsidRPr="00DA249F">
        <w:rPr>
          <w:lang w:val="en-GB" w:eastAsia="zh-CN"/>
        </w:rPr>
        <w:t xml:space="preserve">. </w:t>
      </w:r>
      <w:r w:rsidR="3FC8BDAD" w:rsidRPr="00DA249F">
        <w:rPr>
          <w:lang w:val="en-GB"/>
        </w:rPr>
        <w:t>In</w:t>
      </w:r>
      <w:r w:rsidR="007454DA" w:rsidRPr="00DA249F">
        <w:rPr>
          <w:lang w:val="en-GB"/>
        </w:rPr>
        <w:t>deed</w:t>
      </w:r>
      <w:r w:rsidR="042643DF" w:rsidRPr="00DA249F">
        <w:rPr>
          <w:lang w:val="en-GB"/>
        </w:rPr>
        <w:t>, facilitation</w:t>
      </w:r>
      <w:r w:rsidR="5CBF79F3" w:rsidRPr="00DA249F">
        <w:rPr>
          <w:lang w:val="en-GB"/>
        </w:rPr>
        <w:t xml:space="preserve"> </w:t>
      </w:r>
      <w:r w:rsidR="21ABC300" w:rsidRPr="00DA249F">
        <w:rPr>
          <w:lang w:val="en-GB"/>
        </w:rPr>
        <w:t xml:space="preserve">is concomitant </w:t>
      </w:r>
      <w:r w:rsidR="70EAD4FF" w:rsidRPr="00DA249F">
        <w:rPr>
          <w:lang w:val="en-GB"/>
        </w:rPr>
        <w:t>with</w:t>
      </w:r>
      <w:r w:rsidR="21ABC300" w:rsidRPr="00DA249F">
        <w:rPr>
          <w:lang w:val="en-GB"/>
        </w:rPr>
        <w:t xml:space="preserve"> the uptake, transportation</w:t>
      </w:r>
      <w:r w:rsidR="00774819">
        <w:rPr>
          <w:lang w:val="en-GB"/>
        </w:rPr>
        <w:t xml:space="preserve"> and</w:t>
      </w:r>
      <w:r w:rsidR="21ABC300" w:rsidRPr="00DA249F">
        <w:rPr>
          <w:lang w:val="en-GB"/>
        </w:rPr>
        <w:t xml:space="preserve"> introduction of </w:t>
      </w:r>
      <w:r w:rsidR="68AF322A" w:rsidRPr="00DA249F">
        <w:rPr>
          <w:lang w:val="en-GB"/>
        </w:rPr>
        <w:t xml:space="preserve">invasive alien species </w:t>
      </w:r>
      <w:r w:rsidR="4AA9D7BB" w:rsidRPr="00DA249F">
        <w:rPr>
          <w:lang w:val="en-GB"/>
        </w:rPr>
        <w:t xml:space="preserve">that </w:t>
      </w:r>
      <w:r w:rsidR="153DB21D" w:rsidRPr="00DA249F">
        <w:rPr>
          <w:lang w:val="en-GB"/>
        </w:rPr>
        <w:t xml:space="preserve">engage in </w:t>
      </w:r>
      <w:r w:rsidR="21ABC300" w:rsidRPr="00DA249F">
        <w:rPr>
          <w:lang w:val="en-GB"/>
        </w:rPr>
        <w:t>obligate</w:t>
      </w:r>
      <w:r w:rsidR="14D16F97" w:rsidRPr="00DA249F">
        <w:rPr>
          <w:lang w:val="en-GB"/>
        </w:rPr>
        <w:t>d</w:t>
      </w:r>
      <w:r w:rsidR="21ABC300" w:rsidRPr="00DA249F">
        <w:rPr>
          <w:lang w:val="en-GB"/>
        </w:rPr>
        <w:t xml:space="preserve"> symbio</w:t>
      </w:r>
      <w:r w:rsidR="37AF24FD" w:rsidRPr="00DA249F">
        <w:rPr>
          <w:lang w:val="en-GB"/>
        </w:rPr>
        <w:t>sis</w:t>
      </w:r>
      <w:r w:rsidR="290842E4" w:rsidRPr="00DA249F">
        <w:rPr>
          <w:lang w:val="en-GB"/>
        </w:rPr>
        <w:t xml:space="preserve"> with other organisms</w:t>
      </w:r>
      <w:r w:rsidR="4752FF0B" w:rsidRPr="00DA249F">
        <w:rPr>
          <w:szCs w:val="24"/>
          <w:lang w:val="en-GB"/>
        </w:rPr>
        <w:t xml:space="preserve"> </w:t>
      </w:r>
      <w:r w:rsidR="09DCE242" w:rsidRPr="00DA249F">
        <w:rPr>
          <w:lang w:val="en-GB"/>
        </w:rPr>
        <w:t>and</w:t>
      </w:r>
      <w:r w:rsidR="21ABC300" w:rsidRPr="00DA249F">
        <w:rPr>
          <w:lang w:val="en-GB"/>
        </w:rPr>
        <w:t xml:space="preserve"> in the co-introduction of alien parasites by their alien hosts (</w:t>
      </w:r>
      <w:r w:rsidR="42E67AFB" w:rsidRPr="00DA249F">
        <w:rPr>
          <w:lang w:val="en-GB"/>
        </w:rPr>
        <w:t xml:space="preserve">e.g., </w:t>
      </w:r>
      <w:r w:rsidR="2A1C17E8" w:rsidRPr="00DA249F">
        <w:rPr>
          <w:szCs w:val="24"/>
          <w:lang w:val="en-GB"/>
        </w:rPr>
        <w:fldChar w:fldCharType="begin"/>
      </w:r>
      <w:r w:rsidR="00331A79">
        <w:rPr>
          <w:szCs w:val="24"/>
          <w:lang w:val="en-GB"/>
        </w:rPr>
        <w:instrText xml:space="preserve"> ADDIN ZOTERO_ITEM CSL_CITATION {"citationID":"zUeGhvug","properties":{"formattedCitation":"(Arbetman et al., 2013)","plainCitation":"(Arbetman et al., 2013)","dontUpdate":true,"noteIndex":0},"citationItems":[{"id":30140,"uris":["http://zotero.org/groups/2352922/items/PXQIBZLI"],"itemData":{"id":30140,"type":"article-journal","abstract":"The worldwide trade in bumblebees can lead to the spread of diseases, which in turn has been claimed as a factor in bumblebee decline. Populations of the introduced Bombus terrestris, which invaded NW Patagonia, Argentina, in 2006, harbor the highly pathogenic protozoan Apicystis bombi. We asked whether A. bombi had been co-introduced with B. terrestris, and if so, whether spillover occurred to the two resident bumblebee species in the region: the introduced European Bombus ruderatus and the native Bombus dahlbomii. We searched for A. bombi by means of PCR in samples of B. ruderatus and B. dahlbomii collected before and after the invasion of B. terrestris and in samples of the latter. We found no A. bombi in samples of B. ruderatus and B. dahlbomii collected before B. terrestris invasion, whereas post invasion, A. bombi was present in all 3 species. The identity of the parasite was established by sequencing the 18S region, which was identical for the three bumblebee species and also matched the European sequence, confirming it to be A. bombi. This is the first report of A. bombi in B. ruderatus and B. dahlbomii. Moreover, our results suggest that Patagonia had been free of A. bombi until this parasite was co-introduced with B. terrestris, and spilled over in situ to these two previously resident species. Finally, our findings provide indirect circumstantial evidence of a potential link between the population collapse and geographic retraction of B. dahlbomii and the introduction of this novel parasite.","container-title":"Biological Invasions","DOI":"10.1007/s10530-012-0311-0","ISSN":"1573-1464","issue":"3","journalAbbreviation":"Biol Invasions","language":"en","page":"489-494","source":"Springer Link","title":"Alien parasite hitchhikes to Patagonia on invasive bumblebee","URL":"https://doi.org/10.1007/s10530-012-0311-0","volume":"15","author":[{"family":"Arbetman","given":"Marina P."},{"family":"Meeus","given":"Ivan"},{"family":"Morales","given":"Carolina L."},{"family":"Aizen","given":"Marcelo A."},{"family":"Smagghe","given":"Guy"}],"accessed":{"date-parts":[["2019",10,24]]},"issued":{"date-parts":[["2013",3,1]]}},"label":"page"}],"schema":"https://github.com/citation-style-language/schema/raw/master/csl-citation.json"} </w:instrText>
      </w:r>
      <w:r w:rsidR="2A1C17E8" w:rsidRPr="00DA249F">
        <w:rPr>
          <w:szCs w:val="24"/>
          <w:lang w:val="en-GB"/>
        </w:rPr>
        <w:fldChar w:fldCharType="separate"/>
      </w:r>
      <w:r w:rsidR="00C85542" w:rsidRPr="00DA249F">
        <w:rPr>
          <w:lang w:val="en-GB"/>
        </w:rPr>
        <w:t>Arbetman et al., 2013)</w:t>
      </w:r>
      <w:r w:rsidR="2A1C17E8" w:rsidRPr="00DA249F">
        <w:rPr>
          <w:szCs w:val="24"/>
          <w:lang w:val="en-GB"/>
        </w:rPr>
        <w:fldChar w:fldCharType="end"/>
      </w:r>
      <w:r w:rsidR="21ABC300" w:rsidRPr="00DA249F">
        <w:rPr>
          <w:szCs w:val="24"/>
          <w:lang w:val="en-GB"/>
        </w:rPr>
        <w:t xml:space="preserve">. </w:t>
      </w:r>
      <w:r w:rsidR="04F600B7" w:rsidRPr="00DA249F">
        <w:rPr>
          <w:lang w:val="en-GB"/>
        </w:rPr>
        <w:t xml:space="preserve">As an example, </w:t>
      </w:r>
      <w:r w:rsidR="42B0332E" w:rsidRPr="00DA249F">
        <w:rPr>
          <w:lang w:val="en-GB" w:eastAsia="zh-CN"/>
        </w:rPr>
        <w:t xml:space="preserve">frugivorous birds </w:t>
      </w:r>
      <w:r w:rsidR="153DB21D" w:rsidRPr="00DA249F">
        <w:rPr>
          <w:lang w:val="en-GB" w:eastAsia="zh-CN"/>
        </w:rPr>
        <w:t xml:space="preserve">have been shown to simultaneously </w:t>
      </w:r>
      <w:r w:rsidR="4EAA4A23" w:rsidRPr="00DA249F">
        <w:rPr>
          <w:lang w:val="en-GB" w:eastAsia="zh-CN"/>
        </w:rPr>
        <w:t xml:space="preserve">disperse </w:t>
      </w:r>
      <w:r w:rsidR="169DC478" w:rsidRPr="00DA249F">
        <w:rPr>
          <w:lang w:val="en-GB" w:eastAsia="zh-CN"/>
        </w:rPr>
        <w:t xml:space="preserve">three interlinked alien species: </w:t>
      </w:r>
      <w:r w:rsidR="79AEC308" w:rsidRPr="00DA249F">
        <w:rPr>
          <w:lang w:val="en-GB" w:eastAsia="zh-CN"/>
        </w:rPr>
        <w:t xml:space="preserve">the seeds of </w:t>
      </w:r>
      <w:r w:rsidR="79AEC308" w:rsidRPr="00DA249F">
        <w:rPr>
          <w:i/>
          <w:lang w:val="en-GB"/>
        </w:rPr>
        <w:t>Ligustrum lucidum</w:t>
      </w:r>
      <w:r w:rsidR="006D2D10" w:rsidRPr="00DA249F">
        <w:rPr>
          <w:lang w:val="en-GB"/>
        </w:rPr>
        <w:t xml:space="preserve"> (</w:t>
      </w:r>
      <w:r w:rsidR="00D32171" w:rsidRPr="00DA249F">
        <w:rPr>
          <w:lang w:val="en-GB"/>
        </w:rPr>
        <w:t>broad-leaf privet</w:t>
      </w:r>
      <w:r w:rsidR="006D2D10" w:rsidRPr="00DA249F">
        <w:rPr>
          <w:lang w:val="en-GB"/>
        </w:rPr>
        <w:t>)</w:t>
      </w:r>
      <w:r w:rsidR="169DC478" w:rsidRPr="00DA249F">
        <w:rPr>
          <w:lang w:val="en-GB"/>
        </w:rPr>
        <w:t>,</w:t>
      </w:r>
      <w:r w:rsidR="169DC478" w:rsidRPr="00DA249F">
        <w:rPr>
          <w:lang w:val="en-GB" w:eastAsia="zh-CN"/>
        </w:rPr>
        <w:t xml:space="preserve"> </w:t>
      </w:r>
      <w:r w:rsidR="1EB86559" w:rsidRPr="00DA249F">
        <w:rPr>
          <w:lang w:val="en-GB" w:eastAsia="zh-CN"/>
        </w:rPr>
        <w:t>its</w:t>
      </w:r>
      <w:r w:rsidR="169DC478" w:rsidRPr="00DA249F">
        <w:rPr>
          <w:lang w:val="en-GB" w:eastAsia="zh-CN"/>
        </w:rPr>
        <w:t xml:space="preserve"> weevil granivore</w:t>
      </w:r>
      <w:r w:rsidR="00774819">
        <w:rPr>
          <w:lang w:val="en-GB" w:eastAsia="zh-CN"/>
        </w:rPr>
        <w:t xml:space="preserve"> and</w:t>
      </w:r>
      <w:r w:rsidR="169DC478" w:rsidRPr="00DA249F">
        <w:rPr>
          <w:lang w:val="en-GB" w:eastAsia="zh-CN"/>
        </w:rPr>
        <w:t xml:space="preserve"> a parasite of the we</w:t>
      </w:r>
      <w:r w:rsidR="3C86F071" w:rsidRPr="00DA249F">
        <w:rPr>
          <w:lang w:val="en-GB" w:eastAsia="zh-CN"/>
        </w:rPr>
        <w:t>e</w:t>
      </w:r>
      <w:r w:rsidR="169DC478" w:rsidRPr="00DA249F">
        <w:rPr>
          <w:lang w:val="en-GB" w:eastAsia="zh-CN"/>
        </w:rPr>
        <w:t xml:space="preserve">vil </w:t>
      </w:r>
      <w:r w:rsidR="00F177F6" w:rsidRPr="00DA249F">
        <w:rPr>
          <w:lang w:val="en-GB" w:eastAsia="zh-CN"/>
        </w:rPr>
        <w:fldChar w:fldCharType="begin"/>
      </w:r>
      <w:r w:rsidR="00331A79">
        <w:rPr>
          <w:lang w:val="en-GB" w:eastAsia="zh-CN"/>
        </w:rPr>
        <w:instrText xml:space="preserve"> ADDIN ZOTERO_ITEM CSL_CITATION {"citationID":"6UMTOABc","properties":{"formattedCitation":"(Chen et al., 2021)","plainCitation":"(Chen et al., 2021)","noteIndex":0},"citationItems":[{"id":32771,"uris":["http://zotero.org/groups/2352922/items/5G2LUFYF"],"</w:instrText>
      </w:r>
      <w:r w:rsidR="00331A79">
        <w:rPr>
          <w:rFonts w:hint="eastAsia"/>
          <w:lang w:val="en-GB" w:eastAsia="zh-CN"/>
        </w:rPr>
        <w:instrText>itemData":{"id":32771,"type":"article-journal","container-title":"Integrative Zoology","DOI":"10.1111/1749-4877.12606","note":"ISBN: 1749-4877\npublisher: Wiley Online Library","title":"Frugivorous birds disperse seeds of &lt;i&gt;Ligustrum lucidum&lt;/i&gt;, seed</w:instrText>
      </w:r>
      <w:r w:rsidR="00331A79">
        <w:rPr>
          <w:rFonts w:hint="eastAsia"/>
          <w:lang w:val="en-GB" w:eastAsia="zh-CN"/>
        </w:rPr>
        <w:instrText>‐</w:instrText>
      </w:r>
      <w:r w:rsidR="00331A79">
        <w:rPr>
          <w:rFonts w:hint="eastAsia"/>
          <w:lang w:val="en-GB" w:eastAsia="zh-CN"/>
        </w:rPr>
        <w:instrText>fe</w:instrText>
      </w:r>
      <w:r w:rsidR="00331A79">
        <w:rPr>
          <w:lang w:val="en-GB" w:eastAsia="zh-CN"/>
        </w:rPr>
        <w:instrText xml:space="preserve">eding weevils, and parasitic wasps of weevils via endozoochory","author":[{"family":"Chen","given":"Zhi"},{"family":"Guo","given":"Yongjie"},{"family":"Yang","given":"Juan"},{"family":"Ge","given":"Jia"},{"family":"Li","given":"Lianyi"},{"family":"Chen","given":"Gao"}],"issued":{"date-parts":[["2021"]]}},"label":"page"}],"schema":"https://github.com/citation-style-language/schema/raw/master/csl-citation.json"} </w:instrText>
      </w:r>
      <w:r w:rsidR="00F177F6" w:rsidRPr="00DA249F">
        <w:rPr>
          <w:lang w:val="en-GB" w:eastAsia="zh-CN"/>
        </w:rPr>
        <w:fldChar w:fldCharType="separate"/>
      </w:r>
      <w:r w:rsidR="00144D96" w:rsidRPr="00144D96">
        <w:t>(Chen et al., 2021)</w:t>
      </w:r>
      <w:r w:rsidR="00F177F6" w:rsidRPr="00DA249F">
        <w:rPr>
          <w:lang w:val="en-GB" w:eastAsia="zh-CN"/>
        </w:rPr>
        <w:fldChar w:fldCharType="end"/>
      </w:r>
      <w:r w:rsidR="04F600B7" w:rsidRPr="00DA249F">
        <w:rPr>
          <w:lang w:val="en-GB" w:eastAsia="zh-CN"/>
        </w:rPr>
        <w:t>.</w:t>
      </w:r>
      <w:r w:rsidR="79AEC308" w:rsidRPr="00DA249F">
        <w:rPr>
          <w:lang w:val="en-GB" w:eastAsia="zh-CN"/>
        </w:rPr>
        <w:t xml:space="preserve"> </w:t>
      </w:r>
      <w:r w:rsidR="79AEC308" w:rsidRPr="00DA249F">
        <w:rPr>
          <w:lang w:val="en-GB"/>
        </w:rPr>
        <w:t>H</w:t>
      </w:r>
      <w:r w:rsidR="21ABC300" w:rsidRPr="00DA249F">
        <w:rPr>
          <w:lang w:val="en-GB"/>
        </w:rPr>
        <w:t xml:space="preserve">owever, </w:t>
      </w:r>
      <w:r w:rsidR="00C50BAA" w:rsidRPr="00DA249F">
        <w:rPr>
          <w:lang w:val="en-GB"/>
        </w:rPr>
        <w:t>despite the importance of</w:t>
      </w:r>
      <w:r w:rsidR="00B35774" w:rsidRPr="00DA249F">
        <w:rPr>
          <w:lang w:val="en-GB"/>
        </w:rPr>
        <w:t xml:space="preserve"> </w:t>
      </w:r>
      <w:r w:rsidR="012C3D0F" w:rsidRPr="00DA249F">
        <w:rPr>
          <w:lang w:val="en-GB"/>
        </w:rPr>
        <w:t xml:space="preserve">transport and introduction </w:t>
      </w:r>
      <w:r w:rsidR="00C50BAA" w:rsidRPr="00DA249F">
        <w:rPr>
          <w:lang w:val="en-GB"/>
        </w:rPr>
        <w:t>within biotic facilitation</w:t>
      </w:r>
      <w:r w:rsidR="37481E58" w:rsidRPr="00DA249F">
        <w:rPr>
          <w:lang w:val="en-GB"/>
        </w:rPr>
        <w:t xml:space="preserve"> (</w:t>
      </w:r>
      <w:r w:rsidR="00DC2990">
        <w:rPr>
          <w:b/>
          <w:iCs/>
          <w:lang w:val="en-GB"/>
        </w:rPr>
        <w:t>Figure</w:t>
      </w:r>
      <w:r w:rsidR="00630DAB">
        <w:rPr>
          <w:b/>
          <w:iCs/>
          <w:lang w:val="en-GB"/>
        </w:rPr>
        <w:t xml:space="preserve"> 3.4</w:t>
      </w:r>
      <w:r w:rsidR="012C3D0F" w:rsidRPr="00DA249F">
        <w:rPr>
          <w:lang w:val="en-GB"/>
        </w:rPr>
        <w:t>)</w:t>
      </w:r>
      <w:r w:rsidR="0D324ED8" w:rsidRPr="00DA249F">
        <w:rPr>
          <w:lang w:val="en-GB"/>
        </w:rPr>
        <w:t>,</w:t>
      </w:r>
      <w:r w:rsidR="012C3D0F" w:rsidRPr="00DA249F">
        <w:rPr>
          <w:lang w:val="en-GB"/>
        </w:rPr>
        <w:t xml:space="preserve"> </w:t>
      </w:r>
      <w:r w:rsidR="21ABC300" w:rsidRPr="00DA249F">
        <w:rPr>
          <w:lang w:val="en-GB"/>
        </w:rPr>
        <w:t>th</w:t>
      </w:r>
      <w:r w:rsidR="12E2C0F5" w:rsidRPr="00DA249F">
        <w:rPr>
          <w:lang w:val="en-GB"/>
        </w:rPr>
        <w:t>e</w:t>
      </w:r>
      <w:r w:rsidR="21ABC300" w:rsidRPr="00DA249F">
        <w:rPr>
          <w:lang w:val="en-GB"/>
        </w:rPr>
        <w:t>s</w:t>
      </w:r>
      <w:r w:rsidR="0402CD64" w:rsidRPr="00DA249F">
        <w:rPr>
          <w:lang w:val="en-GB"/>
        </w:rPr>
        <w:t>e</w:t>
      </w:r>
      <w:r w:rsidR="21ABC300" w:rsidRPr="00DA249F">
        <w:rPr>
          <w:lang w:val="en-GB"/>
        </w:rPr>
        <w:t xml:space="preserve"> </w:t>
      </w:r>
      <w:r w:rsidR="73FA2011" w:rsidRPr="00DA249F">
        <w:rPr>
          <w:lang w:val="en-GB"/>
        </w:rPr>
        <w:t>initial two</w:t>
      </w:r>
      <w:r w:rsidR="21ABC300" w:rsidRPr="00DA249F">
        <w:rPr>
          <w:lang w:val="en-GB"/>
        </w:rPr>
        <w:t xml:space="preserve"> stage</w:t>
      </w:r>
      <w:r w:rsidR="3BB1F6E0" w:rsidRPr="00DA249F">
        <w:rPr>
          <w:lang w:val="en-GB"/>
        </w:rPr>
        <w:t>s</w:t>
      </w:r>
      <w:r w:rsidR="21ABC300" w:rsidRPr="00DA249F">
        <w:rPr>
          <w:lang w:val="en-GB"/>
        </w:rPr>
        <w:t xml:space="preserve"> of</w:t>
      </w:r>
      <w:r w:rsidR="67E49C18" w:rsidRPr="00DA249F">
        <w:rPr>
          <w:lang w:val="en-GB"/>
        </w:rPr>
        <w:t xml:space="preserve"> </w:t>
      </w:r>
      <w:r w:rsidR="009D07CE" w:rsidRPr="00DA249F">
        <w:rPr>
          <w:lang w:val="en-GB"/>
        </w:rPr>
        <w:t xml:space="preserve">the </w:t>
      </w:r>
      <w:r w:rsidR="00C50BAA" w:rsidRPr="00DA249F">
        <w:rPr>
          <w:lang w:val="en-GB"/>
        </w:rPr>
        <w:t xml:space="preserve">biological </w:t>
      </w:r>
      <w:r w:rsidR="3C86F071" w:rsidRPr="00DA249F">
        <w:rPr>
          <w:lang w:val="en-GB"/>
        </w:rPr>
        <w:t xml:space="preserve">invasion </w:t>
      </w:r>
      <w:r w:rsidR="009D07CE" w:rsidRPr="00DA249F">
        <w:rPr>
          <w:lang w:val="en-GB"/>
        </w:rPr>
        <w:t>process</w:t>
      </w:r>
      <w:r w:rsidR="3C86F071" w:rsidRPr="00DA249F">
        <w:rPr>
          <w:lang w:val="en-GB"/>
        </w:rPr>
        <w:t xml:space="preserve"> </w:t>
      </w:r>
      <w:r w:rsidR="67E49C18" w:rsidRPr="00DA249F">
        <w:rPr>
          <w:lang w:val="en-GB"/>
        </w:rPr>
        <w:t>have</w:t>
      </w:r>
      <w:r w:rsidR="21ABC300" w:rsidRPr="00DA249F">
        <w:rPr>
          <w:lang w:val="en-GB"/>
        </w:rPr>
        <w:t xml:space="preserve"> been </w:t>
      </w:r>
      <w:r w:rsidR="63A5AC63" w:rsidRPr="00DA249F">
        <w:rPr>
          <w:lang w:val="en-GB"/>
        </w:rPr>
        <w:t>largely</w:t>
      </w:r>
      <w:r w:rsidR="3DC2D82B" w:rsidRPr="00DA249F">
        <w:rPr>
          <w:lang w:val="en-GB"/>
        </w:rPr>
        <w:t xml:space="preserve"> neglected</w:t>
      </w:r>
      <w:r w:rsidR="21ABC300" w:rsidRPr="00DA249F">
        <w:rPr>
          <w:lang w:val="en-GB"/>
        </w:rPr>
        <w:t xml:space="preserve"> in </w:t>
      </w:r>
      <w:r w:rsidR="77E03568" w:rsidRPr="00DA249F">
        <w:rPr>
          <w:lang w:val="en-GB"/>
        </w:rPr>
        <w:t>major studies and</w:t>
      </w:r>
      <w:r w:rsidR="48F0608E" w:rsidRPr="00DA249F">
        <w:rPr>
          <w:lang w:val="en-GB"/>
        </w:rPr>
        <w:t xml:space="preserve"> reviews about facilitation among </w:t>
      </w:r>
      <w:r w:rsidR="00C50BAA" w:rsidRPr="00DA249F">
        <w:rPr>
          <w:lang w:val="en-GB"/>
        </w:rPr>
        <w:t>invasive alien species</w:t>
      </w:r>
      <w:r w:rsidR="48F0608E" w:rsidRPr="00DA249F">
        <w:rPr>
          <w:lang w:val="en-GB"/>
        </w:rPr>
        <w:t xml:space="preserve"> or</w:t>
      </w:r>
      <w:r w:rsidR="21ABC300" w:rsidRPr="00DA249F">
        <w:rPr>
          <w:lang w:val="en-GB"/>
        </w:rPr>
        <w:t xml:space="preserve"> invasional meltdown </w:t>
      </w:r>
      <w:r w:rsidR="2A1C17E8" w:rsidRPr="00DA249F">
        <w:rPr>
          <w:lang w:val="en-GB"/>
        </w:rPr>
        <w:fldChar w:fldCharType="begin"/>
      </w:r>
      <w:r w:rsidR="00331A79">
        <w:rPr>
          <w:lang w:val="en-GB"/>
        </w:rPr>
        <w:instrText xml:space="preserve"> ADDIN ZOTERO_ITEM CSL_CITATION {"citationID":"f44nWDCC","properties":{"formattedCitation":"(O\\uc0\\u8217{}Loughlin &amp; Green, 2017; Simberloff, 2006; Simberloff &amp; Von Holle, 1999)","plainCitation":"(O’Loughlin &amp; Green, 2017; Simberloff, 2006; Simberloff &amp; Von Holle, 1999)","noteIndex":0},"citationItems":[{"id":12605,"uris":["http://zotero.org/groups/2352922/items/BDSM3TZ9"],"itemData":{"id":12605,"type":"article-journal","container-title":"Ecology and Evolution","DOI":"10.1002/ece3.3315","ISSN":"20457758","issue":"19","journalAbbreviation":"Ecol Evol","language":"en","page":"7628-7637","source":"DOI.org (Crossref)","title":"Secondary invasion: When invasion success is contingent on other invaders altering the properties of recipient ecosystems","title-short":"Secondary invasion","URL":"http://doi.wiley.com/10.1002/ece3.3315","volume":"7","author":[{"family":"O'Loughlin","given":"Luke S."},{"family":"Green","given":"Peter T."}],"accessed":{"date-parts":[["2019",10,21]]},"issued":{"date-parts":[["2017",10]]}},"label":"page"},{"id":56678,"uris":["http://zotero.org/groups/2352922/items/Q56RCJ8Y","http://zotero.org/groups/2352922/items/RCGAK4CX"],"itemData":{"id":56678,"type":"article-journal","container-title":"Ecology Letters","DOI":"10.1111/j.1461-0248.2006.00939.x","ISSN":"1461-023X, 1461-0248","issue":"8","journalAbbreviation":"Ecol Letters","language":"en","page":"912-919","source":"DOI.org (Crossref)","title":"Invasional meltdown 6 years later: important phenomenon, unfortunate metaphor, or both?","title-short":"Invasional meltdown 6 years later","URL":"https://onlinelibrary.wiley.com/doi/10.1111/j.1461-0248.2006.00939.x","volume":"9","author":[{"family":"Simberloff","given":"Daniel"}],"accessed":{"date-parts":[["2023",6,8]]},"issued":{"date-parts":[["2006",8]]}},"label":"page"},{"id":26618,"uris":["http://zotero.org/groups/2352922/items/HIF9FQTF"],"itemData":{"id":26618,"type":"article-journal","abstract":"Study of interactions between pairs or larger groups of nonindigenous species has been subordinated in the literature to study of interactions between nonindigenous and native species. To the extent that interactions among introduced species are depicted at all, the emphasis has been on negative interactions, primarily resource competition and interference. However, a literature search reveals that introduced species frequently interact with one another and that facilitative interactions are at least as common as detrimental ones. The population significance of these interactions has rarely been determined, but a great variety of types of direct and indirect interactions among individuals of different nonindigenous species is observed, and many are plausibly believed to have consequences at the population level. In particular, mutualisms between plants and the animals that disperse and/or pollinate them and modification of habitat by both animals and plants seem common and often important in facilitating invasions. There is little evidence that interference among introduced species at levels currently observed significantly impedes further invasions, and synergistic interactions among invaders may well lead to accelerated impacts on native ecosystems – an invasional ‘meltdown’ process.","container-title":"Biological Invasions","DOI":"10.1023/A:1010086329619","ISSN":"1573-1464","issue":"1","journalAbbreviation":"Biological Invasions","language":"en","page":"21-32","source":"Springer Link","title":"Positive Interactions of Nonindigenous Species: Invasional Meltdown?","title-short":"Positive Interactions of Nonindigenous Species","URL":"https://doi.org/10.1023/A:1010086329619","volume":"1","author":[{"family":"Simberloff","given":"Daniel"},{"family":"Von Holle","given":"Betsy"}],"accessed":{"date-parts":[["2019",10,28]]},"issued":{"date-parts":[["1999",3,1]]}},"label":"page"}],"schema":"https://github.com/citation-style-language/schema/raw/master/csl-citation.json"} </w:instrText>
      </w:r>
      <w:r w:rsidR="2A1C17E8" w:rsidRPr="00DA249F">
        <w:rPr>
          <w:lang w:val="en-GB"/>
        </w:rPr>
        <w:fldChar w:fldCharType="separate"/>
      </w:r>
      <w:r w:rsidR="00144D96" w:rsidRPr="00144D96">
        <w:rPr>
          <w:szCs w:val="24"/>
        </w:rPr>
        <w:t>(O’Loughlin &amp; Green, 2017; Simberloff, 2006; Simberloff &amp; Von Holle, 1999)</w:t>
      </w:r>
      <w:r w:rsidR="2A1C17E8" w:rsidRPr="00DA249F">
        <w:rPr>
          <w:lang w:val="en-GB"/>
        </w:rPr>
        <w:fldChar w:fldCharType="end"/>
      </w:r>
      <w:r w:rsidR="21ABC300" w:rsidRPr="00DA249F">
        <w:rPr>
          <w:lang w:val="en-GB"/>
        </w:rPr>
        <w:t>.</w:t>
      </w:r>
    </w:p>
    <w:p w14:paraId="4F3335F1" w14:textId="3AFB849C" w:rsidR="7A47C5C4" w:rsidRPr="00DA249F" w:rsidRDefault="1784E82A">
      <w:pPr>
        <w:rPr>
          <w:rFonts w:eastAsia="Times New Roman"/>
          <w:lang w:val="en-GB"/>
        </w:rPr>
      </w:pPr>
      <w:r w:rsidRPr="5575EBFC">
        <w:rPr>
          <w:lang w:val="en-GB"/>
        </w:rPr>
        <w:t xml:space="preserve">Once alien species have </w:t>
      </w:r>
      <w:r w:rsidR="63438F70" w:rsidRPr="5575EBFC">
        <w:rPr>
          <w:lang w:val="en-GB"/>
        </w:rPr>
        <w:t>arrived</w:t>
      </w:r>
      <w:r w:rsidR="4CD30E6C" w:rsidRPr="5575EBFC">
        <w:rPr>
          <w:lang w:val="en-GB"/>
        </w:rPr>
        <w:t xml:space="preserve"> in</w:t>
      </w:r>
      <w:r w:rsidRPr="5575EBFC">
        <w:rPr>
          <w:lang w:val="en-GB"/>
        </w:rPr>
        <w:t xml:space="preserve"> a new region, positive interaction</w:t>
      </w:r>
      <w:r w:rsidR="28D15BEA" w:rsidRPr="5575EBFC">
        <w:rPr>
          <w:lang w:val="en-GB"/>
        </w:rPr>
        <w:t>s</w:t>
      </w:r>
      <w:r w:rsidRPr="5575EBFC">
        <w:rPr>
          <w:lang w:val="en-GB"/>
        </w:rPr>
        <w:t xml:space="preserve"> with other alien species may be unidirectional</w:t>
      </w:r>
      <w:r w:rsidR="0FA0689D" w:rsidRPr="5575EBFC">
        <w:rPr>
          <w:lang w:val="en-GB"/>
        </w:rPr>
        <w:t xml:space="preserve"> or </w:t>
      </w:r>
      <w:r w:rsidR="01B1B9D4" w:rsidRPr="5575EBFC">
        <w:rPr>
          <w:lang w:val="en-GB"/>
        </w:rPr>
        <w:t>bidirection</w:t>
      </w:r>
      <w:r w:rsidR="2F22A89D" w:rsidRPr="5575EBFC">
        <w:rPr>
          <w:lang w:val="en-GB"/>
        </w:rPr>
        <w:t>al</w:t>
      </w:r>
      <w:r w:rsidR="01B1B9D4" w:rsidRPr="5575EBFC">
        <w:rPr>
          <w:lang w:val="en-GB"/>
        </w:rPr>
        <w:t xml:space="preserve">. Unidirectional interactions </w:t>
      </w:r>
      <w:r w:rsidR="2F22A89D" w:rsidRPr="5575EBFC">
        <w:rPr>
          <w:lang w:val="en-GB"/>
        </w:rPr>
        <w:t>include</w:t>
      </w:r>
      <w:r w:rsidRPr="5575EBFC">
        <w:rPr>
          <w:lang w:val="en-GB"/>
        </w:rPr>
        <w:t xml:space="preserve"> alien species facilitat</w:t>
      </w:r>
      <w:r w:rsidR="2F22A89D" w:rsidRPr="5575EBFC">
        <w:rPr>
          <w:lang w:val="en-GB"/>
        </w:rPr>
        <w:t>ing</w:t>
      </w:r>
      <w:r w:rsidRPr="5575EBFC">
        <w:rPr>
          <w:lang w:val="en-GB"/>
        </w:rPr>
        <w:t xml:space="preserve"> any aspect of another’</w:t>
      </w:r>
      <w:r w:rsidR="00BD70D1">
        <w:rPr>
          <w:lang w:val="en-GB"/>
        </w:rPr>
        <w:t>s</w:t>
      </w:r>
      <w:r w:rsidRPr="5575EBFC">
        <w:rPr>
          <w:lang w:val="en-GB"/>
        </w:rPr>
        <w:t xml:space="preserve"> survival, reproduction, resource acquisition</w:t>
      </w:r>
      <w:r w:rsidR="1A9F739D" w:rsidRPr="5575EBFC">
        <w:rPr>
          <w:lang w:val="en-GB"/>
        </w:rPr>
        <w:t xml:space="preserve">, or other factor that enhances establishment, population growth, or spread </w:t>
      </w:r>
      <w:r w:rsidRPr="5575EBFC">
        <w:rPr>
          <w:lang w:val="en-GB"/>
        </w:rPr>
        <w:t>while the latter has no detectable influence on the former</w:t>
      </w:r>
      <w:r w:rsidR="42DD2837" w:rsidRPr="5575EBFC">
        <w:rPr>
          <w:lang w:val="en-GB"/>
        </w:rPr>
        <w:t xml:space="preserve"> (a commensal relationship)</w:t>
      </w:r>
      <w:r w:rsidR="2F22A89D" w:rsidRPr="5575EBFC">
        <w:rPr>
          <w:lang w:val="en-GB"/>
        </w:rPr>
        <w:t>.</w:t>
      </w:r>
      <w:r w:rsidR="56596397" w:rsidRPr="5575EBFC">
        <w:rPr>
          <w:lang w:val="en-GB"/>
        </w:rPr>
        <w:t xml:space="preserve"> </w:t>
      </w:r>
      <w:r w:rsidR="1CCEAF52" w:rsidRPr="5575EBFC">
        <w:rPr>
          <w:lang w:val="en-GB"/>
        </w:rPr>
        <w:t>With</w:t>
      </w:r>
      <w:r w:rsidR="6698F381" w:rsidRPr="5575EBFC">
        <w:rPr>
          <w:lang w:val="en-GB"/>
        </w:rPr>
        <w:t xml:space="preserve"> </w:t>
      </w:r>
      <w:r w:rsidR="1CCEAF52" w:rsidRPr="5575EBFC">
        <w:rPr>
          <w:lang w:val="en-GB"/>
        </w:rPr>
        <w:t>b</w:t>
      </w:r>
      <w:r w:rsidRPr="5575EBFC">
        <w:rPr>
          <w:lang w:val="en-GB"/>
        </w:rPr>
        <w:t>idirectional</w:t>
      </w:r>
      <w:r w:rsidR="7B1FD23E" w:rsidRPr="5575EBFC">
        <w:rPr>
          <w:lang w:val="en-GB"/>
        </w:rPr>
        <w:t xml:space="preserve"> </w:t>
      </w:r>
      <w:r w:rsidR="4D99D5DE" w:rsidRPr="5575EBFC">
        <w:rPr>
          <w:lang w:val="en-GB"/>
        </w:rPr>
        <w:t>interactions</w:t>
      </w:r>
      <w:r w:rsidR="6E976A4C" w:rsidRPr="5575EBFC">
        <w:rPr>
          <w:lang w:val="en-GB"/>
        </w:rPr>
        <w:t>,</w:t>
      </w:r>
      <w:r w:rsidR="1CCEAF52" w:rsidRPr="5575EBFC">
        <w:rPr>
          <w:lang w:val="en-GB"/>
        </w:rPr>
        <w:t xml:space="preserve"> </w:t>
      </w:r>
      <w:r w:rsidRPr="5575EBFC">
        <w:rPr>
          <w:lang w:val="en-GB"/>
        </w:rPr>
        <w:t>both species have a reciprocal positive effect</w:t>
      </w:r>
      <w:r w:rsidR="1E30015E" w:rsidRPr="5575EBFC">
        <w:rPr>
          <w:lang w:val="en-GB"/>
        </w:rPr>
        <w:t xml:space="preserve"> (mutualism)</w:t>
      </w:r>
      <w:r w:rsidR="1CCEAF52" w:rsidRPr="5575EBFC">
        <w:rPr>
          <w:lang w:val="en-GB"/>
        </w:rPr>
        <w:t>.</w:t>
      </w:r>
      <w:r w:rsidR="56596397" w:rsidRPr="5575EBFC">
        <w:rPr>
          <w:lang w:val="en-GB"/>
        </w:rPr>
        <w:t xml:space="preserve"> </w:t>
      </w:r>
      <w:r w:rsidR="69271B8F" w:rsidRPr="5575EBFC">
        <w:rPr>
          <w:lang w:val="en-GB"/>
        </w:rPr>
        <w:t>Multis</w:t>
      </w:r>
      <w:r w:rsidR="228E0908" w:rsidRPr="5575EBFC">
        <w:rPr>
          <w:lang w:val="en-GB"/>
        </w:rPr>
        <w:t xml:space="preserve">pecies </w:t>
      </w:r>
      <w:r w:rsidR="69271B8F" w:rsidRPr="5575EBFC">
        <w:rPr>
          <w:lang w:val="en-GB"/>
        </w:rPr>
        <w:t xml:space="preserve">interactions </w:t>
      </w:r>
      <w:r w:rsidR="31546320" w:rsidRPr="5575EBFC">
        <w:rPr>
          <w:lang w:val="en-GB"/>
        </w:rPr>
        <w:t xml:space="preserve">may </w:t>
      </w:r>
      <w:r w:rsidR="2DE97C99" w:rsidRPr="5575EBFC">
        <w:rPr>
          <w:lang w:val="en-GB"/>
        </w:rPr>
        <w:t>be through</w:t>
      </w:r>
      <w:r w:rsidRPr="5575EBFC">
        <w:rPr>
          <w:lang w:val="en-GB"/>
        </w:rPr>
        <w:t xml:space="preserve"> direct and/or indirect effects (reviewed in </w:t>
      </w:r>
      <w:r w:rsidR="21ABC300" w:rsidRPr="5575EBFC">
        <w:rPr>
          <w:lang w:val="en-GB"/>
        </w:rPr>
        <w:fldChar w:fldCharType="begin"/>
      </w:r>
      <w:r w:rsidR="00331A79">
        <w:rPr>
          <w:lang w:val="en-GB"/>
        </w:rPr>
        <w:instrText xml:space="preserve"> ADDIN ZOTERO_ITEM CSL_CITATION {"citationID":"NUaCdBol","properties":{"formattedCitation":"(Braga, G\\uc0\\u243{}mez-Aparicio, et al., 2018)","plainCitation":"(Braga, Gómez-Aparicio, et al., 2018)","noteIndex":0},"citationItems":[{"id":24836,"uris":["http://zotero.org/groups/2352922/items/YLYSSVNW"],"itemData":{"id":24836,"type":"article-journal","abstract":"Negative interactions have been suggested as a major barrier for species arriving in a new habitat. More recently, positive interactions drew attention from community assembly theory and invasion science. The invasional meltdown hypothesis (IMH) introduced the idea that positive interactions among non-native species could facilitate one another’s invasion, even increasing their impact upon the native community. Many studies have addressed IMH, but with contrasting results, reflecting various types of evidence on a multitude of scales. Here we use the hierarchy-of-hypotheses (HoH) approach to differentiate key aspects of IMH, organizing and linking empirical studies to sub-hypotheses of IMH. We also assess the level of empirical support for each sub-hypothesis based on the evidence reported in the studies. We identified 150 studies addressing IMH. The majority of studies support IMH, but the evidence comes from studies with different aims and questions. Supporting studies at the community or ecosystem level are currently rare. Evidence is scarce for marine habitats and vertebrates. Few sub-hypotheses are questioned by more than 50% of the evaluated studies, indicating that non-native species do not affect each other’s survival, growth, reproduction, abundance, density or biomass in reciprocal A ↔ B interactions. With the HoH for IMH presented here, we can monitor progress in empirical tests and evidences of IMH. For instance, more tests at the community and ecosystem level are needed, as these are necessary to address the core of this hypothesis.","container-title":"Biological Invasions","DOI":"10.1007/s10530-017-1582-2","ISSN":"1573-1464","issue":"4","journalAbbreviation":"Biol Invasions","language":"en","page":"923-936","source":"Springer Link","title":"Structuring evidence for invasional meltdown: broad support but with biases and gaps","title-short":"Structuring evidence for invasional meltdown","URL":"https://doi.org/10.1007/s10530-017-1582-2","volume":"20","author":[{"family":"Braga","given":"Raul Rennó"},{"family":"Gómez-Aparicio","given":"Lorena"},{"family":"Heger","given":"Tina"},{"family":"Vitule","given":"Jean Ricardo Simões"},{"family":"Jeschke","given":"Jonathan M."}],"accessed":{"date-parts":[["2019",10,12]]},"issued":{"date-parts":[["2018"]]}},"label":"page"}],"schema":"https://github.com/citation-style-language/schema/raw/master/csl-citation.json"} </w:instrText>
      </w:r>
      <w:r w:rsidR="21ABC300" w:rsidRPr="5575EBFC">
        <w:rPr>
          <w:lang w:val="en-GB"/>
        </w:rPr>
        <w:fldChar w:fldCharType="separate"/>
      </w:r>
      <w:r w:rsidR="6B5F9B9E">
        <w:t>(Braga, Gómez-Aparicio, et al., 2018)</w:t>
      </w:r>
      <w:r w:rsidR="21ABC300" w:rsidRPr="5575EBFC">
        <w:rPr>
          <w:lang w:val="en-GB"/>
        </w:rPr>
        <w:fldChar w:fldCharType="end"/>
      </w:r>
      <w:r w:rsidRPr="5575EBFC">
        <w:rPr>
          <w:lang w:val="en-GB"/>
        </w:rPr>
        <w:t xml:space="preserve">. According to </w:t>
      </w:r>
      <w:r w:rsidR="38DDEF23" w:rsidRPr="5575EBFC">
        <w:rPr>
          <w:lang w:val="en-GB"/>
        </w:rPr>
        <w:t xml:space="preserve">Braga et al. </w:t>
      </w:r>
      <w:r w:rsidR="21ABC300" w:rsidRPr="5575EBFC">
        <w:rPr>
          <w:lang w:val="en-GB"/>
        </w:rPr>
        <w:fldChar w:fldCharType="begin"/>
      </w:r>
      <w:r w:rsidR="00331A79">
        <w:rPr>
          <w:lang w:val="en-GB"/>
        </w:rPr>
        <w:instrText xml:space="preserve"> ADDIN ZOTERO_ITEM CSL_CITATION {"citationID":"6ofFUi5L","properties":{"formattedCitation":"(2018)","plainCitation":"(2018)","noteIndex":0},"citationItems":[{"id":24836,"uris":["http://zotero.org/groups/2352922/items/YLYSSVNW"],"itemData":{"id":24836,"type":"article-journal","abstract":"Negative interactions have been suggested as a major barrier for species arriving in a new habitat. More recently, positive interactions drew attention from community assembly theory and invasion science. The invasional meltdown hypothesis (IMH) introduced the idea that positive interactions among non-native species could facilitate one another’s invasion, even increasing their impact upon the native community. Many studies have addressed IMH, but with contrasting results, reflecting various types of evidence on a multitude of scales. Here we use the hierarchy-of-hypotheses (HoH) approach to differentiate key aspects of IMH, organizing and linking empirical studies to sub-hypotheses of IMH. We also assess the level of empirical support for each sub-hypothesis based on the evidence reported in the studies. We identified 150 studies addressing IMH. The majority of studies support IMH, but the evidence comes from studies with different aims and questions. Supporting studies at the community or ecosystem level are currently rare. Evidence is scarce for marine habitats and vertebrates. Few sub-hypotheses are questioned by more than 50% of the evaluated studies, indicating that non-native species do not affect each other’s survival, growth, reproduction, abundance, density or biomass in reciprocal A ↔ B interactions. With the HoH for IMH presented here, we can monitor progress in empirical tests and evidences of IMH. For instance, more tests at the community and ecosystem level are needed, as these are necessary to address the core of this hypothesis.","container-title":"Biological Invasions","DOI":"10.1007/s10530-017-1582-2","ISSN":"1573-1464","issue":"4","journalAbbreviation":"Biol Invasions","language":"en","page":"923-936","source":"Springer Link","title":"Structuring evidence for invasional meltdown: broad support but with biases and gaps","title-short":"Structuring evidence for invasional meltdown","URL":"https://doi.org/10.1007/s10530-017-1582-2","volume":"20","author":[{"family":"Braga","given":"Raul Rennó"},{"family":"Gómez-Aparicio","given":"Lorena"},{"family":"Heger","given":"Tina"},{"family":"Vitule","given":"Jean Ricardo Simões"},{"family":"Jeschke","given":"Jonathan M."}],"accessed":{"date-parts":[["2019",10,12]]},"issued":{"date-parts":[["2018"]]}},"label":"page","suppress-author":true}],"schema":"https://github.com/citation-style-language/schema/raw/master/csl-citation.json"} </w:instrText>
      </w:r>
      <w:r w:rsidR="21ABC300" w:rsidRPr="5575EBFC">
        <w:rPr>
          <w:lang w:val="en-GB"/>
        </w:rPr>
        <w:fldChar w:fldCharType="separate"/>
      </w:r>
      <w:r w:rsidR="6B5F9B9E">
        <w:t>(2018)</w:t>
      </w:r>
      <w:r w:rsidR="21ABC300" w:rsidRPr="5575EBFC">
        <w:rPr>
          <w:lang w:val="en-GB"/>
        </w:rPr>
        <w:fldChar w:fldCharType="end"/>
      </w:r>
      <w:r w:rsidR="34FF9B3F" w:rsidRPr="5575EBFC">
        <w:rPr>
          <w:lang w:val="en-GB"/>
        </w:rPr>
        <w:t>,</w:t>
      </w:r>
      <w:r w:rsidRPr="5575EBFC">
        <w:rPr>
          <w:lang w:val="en-GB"/>
        </w:rPr>
        <w:t xml:space="preserve"> most studies focused on unidirectional or multi-species interactions (58 </w:t>
      </w:r>
      <w:r w:rsidR="52FA840E" w:rsidRPr="5575EBFC">
        <w:rPr>
          <w:lang w:val="en-GB"/>
        </w:rPr>
        <w:t xml:space="preserve">studies </w:t>
      </w:r>
      <w:r w:rsidRPr="5575EBFC">
        <w:rPr>
          <w:lang w:val="en-GB"/>
        </w:rPr>
        <w:t xml:space="preserve">each) and </w:t>
      </w:r>
      <w:r w:rsidR="0E76DFAD" w:rsidRPr="5575EBFC">
        <w:rPr>
          <w:lang w:val="en-GB"/>
        </w:rPr>
        <w:t xml:space="preserve">these generally found </w:t>
      </w:r>
      <w:r w:rsidRPr="5575EBFC">
        <w:rPr>
          <w:lang w:val="en-GB"/>
        </w:rPr>
        <w:t xml:space="preserve">a high level of support </w:t>
      </w:r>
      <w:r w:rsidR="0E76DFAD" w:rsidRPr="5575EBFC">
        <w:rPr>
          <w:lang w:val="en-GB"/>
        </w:rPr>
        <w:t>for</w:t>
      </w:r>
      <w:r w:rsidRPr="5575EBFC">
        <w:rPr>
          <w:lang w:val="en-GB"/>
        </w:rPr>
        <w:t xml:space="preserve"> </w:t>
      </w:r>
      <w:r w:rsidR="6CCFDE48" w:rsidRPr="5575EBFC">
        <w:rPr>
          <w:lang w:val="en-GB"/>
        </w:rPr>
        <w:t>facilitation</w:t>
      </w:r>
      <w:r w:rsidRPr="5575EBFC">
        <w:rPr>
          <w:lang w:val="en-GB"/>
        </w:rPr>
        <w:t>, while there were fewer studies on reciprocal interactions (34</w:t>
      </w:r>
      <w:r w:rsidR="52FA840E" w:rsidRPr="5575EBFC">
        <w:rPr>
          <w:lang w:val="en-GB"/>
        </w:rPr>
        <w:t xml:space="preserve"> studies</w:t>
      </w:r>
      <w:r w:rsidRPr="5575EBFC">
        <w:rPr>
          <w:lang w:val="en-GB"/>
        </w:rPr>
        <w:t xml:space="preserve">) </w:t>
      </w:r>
      <w:r w:rsidR="6FA2FF97" w:rsidRPr="5575EBFC">
        <w:rPr>
          <w:lang w:val="en-GB"/>
        </w:rPr>
        <w:t>and these generally found</w:t>
      </w:r>
      <w:r w:rsidRPr="5575EBFC">
        <w:rPr>
          <w:lang w:val="en-GB"/>
        </w:rPr>
        <w:t xml:space="preserve"> a lower level of support</w:t>
      </w:r>
      <w:r w:rsidR="0629ED26" w:rsidRPr="5575EBFC">
        <w:rPr>
          <w:lang w:val="en-GB"/>
        </w:rPr>
        <w:t xml:space="preserve"> for facilitation</w:t>
      </w:r>
      <w:r w:rsidR="587C52BB" w:rsidRPr="5575EBFC">
        <w:rPr>
          <w:lang w:val="en-GB"/>
        </w:rPr>
        <w:t xml:space="preserve"> </w:t>
      </w:r>
      <w:r w:rsidR="21ABC300" w:rsidRPr="5575EBFC">
        <w:rPr>
          <w:lang w:val="en-GB"/>
        </w:rPr>
        <w:fldChar w:fldCharType="begin"/>
      </w:r>
      <w:r w:rsidR="00331A79">
        <w:rPr>
          <w:lang w:val="en-GB"/>
        </w:rPr>
        <w:instrText xml:space="preserve"> ADDIN ZOTERO_ITEM CSL_CITATION {"citationID":"ExhbQJeB","properties":{"formattedCitation":"(Braga, G\\uc0\\u243{}mez-Aparicio, et al., 2018)","plainCitation":"(Braga, Gómez-Aparicio, et al., 2018)","noteIndex":0},"citationItems":[{"id":24836,"uris":["http://zotero.org/groups/2352922/items/YLYSSVNW"],"itemData":{"id":24836,"type":"article-journal","abstract":"Negative interactions have been suggested as a major barrier for species arriving in a new habitat. More recently, positive interactions drew attention from community assembly theory and invasion science. The invasional meltdown hypothesis (IMH) introduced the idea that positive interactions among non-native species could facilitate one another’s invasion, even increasing their impact upon the native community. Many studies have addressed IMH, but with contrasting results, reflecting various types of evidence on a multitude of scales. Here we use the hierarchy-of-hypotheses (HoH) approach to differentiate key aspects of IMH, organizing and linking empirical studies to sub-hypotheses of IMH. We also assess the level of empirical support for each sub-hypothesis based on the evidence reported in the studies. We identified 150 studies addressing IMH. The majority of studies support IMH, but the evidence comes from studies with different aims and questions. Supporting studies at the community or ecosystem level are currently rare. Evidence is scarce for marine habitats and vertebrates. Few sub-hypotheses are questioned by more than 50% of the evaluated studies, indicating that non-native species do not affect each other’s survival, growth, reproduction, abundance, density or biomass in reciprocal A ↔ B interactions. With the HoH for IMH presented here, we can monitor progress in empirical tests and evidences of IMH. For instance, more tests at the community and ecosystem level are needed, as these are necessary to address the core of this hypothesis.","container-title":"Biological Invasions","DOI":"10.1007/s10530-017-1582-2","ISSN":"1573-1464","issue":"4","journalAbbreviation":"Biol Invasions","language":"en","page":"923-936","source":"Springer Link","title":"Structuring evidence for invasional meltdown: broad support but with biases and gaps","title-short":"Structuring evidence for invasional meltdown","URL":"https://doi.org/10.1007/s10530-017-1582-2","volume":"20","author":[{"family":"Braga","given":"Raul Rennó"},{"family":"Gómez-Aparicio","given":"Lorena"},{"family":"Heger","given":"Tina"},{"family":"Vitule","given":"Jean Ricardo Simões"},{"family":"Jeschke","given":"Jonathan M."}],"accessed":{"date-parts":[["2019",10,12]]},"issued":{"date-parts":[["2018"]]}}}],"schema":"https://github.com/citation-style-language/schema/raw/master/csl-citation.json"} </w:instrText>
      </w:r>
      <w:r w:rsidR="21ABC300" w:rsidRPr="5575EBFC">
        <w:rPr>
          <w:lang w:val="en-GB"/>
        </w:rPr>
        <w:fldChar w:fldCharType="separate"/>
      </w:r>
      <w:r w:rsidR="6B5F9B9E">
        <w:t>(Braga, Gómez-Aparicio, et al., 2018)</w:t>
      </w:r>
      <w:r w:rsidR="21ABC300" w:rsidRPr="5575EBFC">
        <w:rPr>
          <w:lang w:val="en-GB"/>
        </w:rPr>
        <w:fldChar w:fldCharType="end"/>
      </w:r>
      <w:r w:rsidRPr="5575EBFC">
        <w:rPr>
          <w:lang w:val="en-GB"/>
        </w:rPr>
        <w:t>.</w:t>
      </w:r>
      <w:r w:rsidR="384E3500" w:rsidRPr="5575EBFC">
        <w:rPr>
          <w:lang w:val="en-GB"/>
        </w:rPr>
        <w:t xml:space="preserve"> </w:t>
      </w:r>
      <w:r w:rsidR="367FE043" w:rsidRPr="5575EBFC">
        <w:rPr>
          <w:lang w:val="en-GB"/>
        </w:rPr>
        <w:t xml:space="preserve">As an </w:t>
      </w:r>
      <w:r w:rsidR="4EAA20F3" w:rsidRPr="5575EBFC">
        <w:rPr>
          <w:lang w:val="en-GB"/>
        </w:rPr>
        <w:t>additional</w:t>
      </w:r>
      <w:r w:rsidR="367FE043" w:rsidRPr="5575EBFC">
        <w:rPr>
          <w:lang w:val="en-GB"/>
        </w:rPr>
        <w:t xml:space="preserve"> scenario</w:t>
      </w:r>
      <w:r w:rsidR="384E3500" w:rsidRPr="5575EBFC">
        <w:rPr>
          <w:lang w:val="en-GB"/>
        </w:rPr>
        <w:t>, one alien species could facili</w:t>
      </w:r>
      <w:r w:rsidR="1D920FCF" w:rsidRPr="5575EBFC">
        <w:rPr>
          <w:lang w:val="en-GB"/>
        </w:rPr>
        <w:t>t</w:t>
      </w:r>
      <w:r w:rsidR="384E3500" w:rsidRPr="5575EBFC">
        <w:rPr>
          <w:lang w:val="en-GB"/>
        </w:rPr>
        <w:t>ate the success of another at its own expense</w:t>
      </w:r>
      <w:r w:rsidR="5DDC1030" w:rsidRPr="5575EBFC">
        <w:rPr>
          <w:lang w:val="en-GB"/>
        </w:rPr>
        <w:t>, such as through a predator-prey or parasite-host relationship; such exploitations are likely quite common, but are also r</w:t>
      </w:r>
      <w:r w:rsidR="2A57ADAE" w:rsidRPr="5575EBFC">
        <w:rPr>
          <w:lang w:val="en-GB"/>
        </w:rPr>
        <w:t>arely considered in studies examining facilitati</w:t>
      </w:r>
      <w:r w:rsidR="7FD6D7B9" w:rsidRPr="5575EBFC">
        <w:rPr>
          <w:lang w:val="en-GB"/>
        </w:rPr>
        <w:t>ons</w:t>
      </w:r>
      <w:r w:rsidR="5DDC1030" w:rsidRPr="5575EBFC">
        <w:rPr>
          <w:lang w:val="en-GB"/>
        </w:rPr>
        <w:t xml:space="preserve"> (</w:t>
      </w:r>
      <w:r w:rsidR="587C52BB" w:rsidRPr="5575EBFC">
        <w:rPr>
          <w:lang w:val="en-GB"/>
        </w:rPr>
        <w:t>but see</w:t>
      </w:r>
      <w:r w:rsidR="002535C9">
        <w:rPr>
          <w:lang w:val="en-GB"/>
        </w:rPr>
        <w:t xml:space="preserve"> </w:t>
      </w:r>
      <w:r w:rsidR="21ABC300" w:rsidRPr="5575EBFC">
        <w:rPr>
          <w:lang w:val="en-GB"/>
        </w:rPr>
        <w:fldChar w:fldCharType="begin"/>
      </w:r>
      <w:r w:rsidR="008C0CAB">
        <w:rPr>
          <w:lang w:val="en-GB"/>
        </w:rPr>
        <w:instrText xml:space="preserve"> ADDIN ZOTERO_ITEM CSL_CITATION {"citationID":"hJPDvIpB","properties":{"formattedCitation":"(Grosholz, 2005; Ricciardi, 2001)","plainCitation":"(Grosholz, 2005; Ricciardi, 2001)","dontUpdate":true,"noteIndex":0},"citationItems":[{"id":12610,"uris":["http://zotero.org/groups/2352922/items/AF7MD537"],"itemData":{"id":12610,"type":"article-journal","container-title":"Proceedings of the National Academy of Sciences","DOI":"10.1073/pnas.0308547102","ISSN":"0027-8424, 1091-6490","issue":"4","journalAbbreviation":"Proceedings of the National Academy of Sciences","language":"en","page":"1088-1091","source":"DOI.org (Crossref)","title":"Recent biological invasion may hasten invasional meltdown by accelerating historical introductions","URL":"http://www.pnas.org/cgi/doi/10.1073/pnas.0308547102","volume":"102","author":[{"family":"Grosholz","given":"Edwin D."}],"accessed":{"date-parts":[["2019",10,21]]},"issued":{"date-parts":[["2005",1,25]]}},"label":"page"},{"id":10311,"uris":["http://zotero.org/groups/2352922/items/R5SBL922"],"itemData":{"id":10311,"type":"article-journal","container-title":"Canadian Journal of Fisheries and Aquatic Sciences","DOI":"10.1139/f01-178","ISSN":"0706-652X, 1205-7533","issue":"12","journalAbbreviation":"Can. J. Fish. Aquat. Sci.","language":"en","page":"2513-2525","source":"DOI.org (Crossref)","title":"Facilitative interactions among aquatic invaders: is an \"invasional meltdown\" occurring in the Great Lakes?","title-short":"Facilitative interactions among aquatic invaders","URL":"http://www.nrcresearchpress.com/doi/10.1139/f01-178","volume":"58","author":[{"family":"Ricciardi","given":"Anthony"}],"accessed":{"date-parts":[["2019",10,21]]},"issued":{"date-parts":[["2001",12]]}},"label":"page"}],"schema":"https://github.com/citation-style-language/schema/raw/master/csl-citation.json"} </w:instrText>
      </w:r>
      <w:r w:rsidR="21ABC300" w:rsidRPr="5575EBFC">
        <w:rPr>
          <w:lang w:val="en-GB"/>
        </w:rPr>
        <w:fldChar w:fldCharType="separate"/>
      </w:r>
      <w:r w:rsidR="002535C9" w:rsidRPr="002535C9">
        <w:t>Grosholz, 2005; Ricciardi, 2001)</w:t>
      </w:r>
      <w:r w:rsidR="21ABC300" w:rsidRPr="5575EBFC">
        <w:rPr>
          <w:lang w:val="en-GB"/>
        </w:rPr>
        <w:fldChar w:fldCharType="end"/>
      </w:r>
      <w:r w:rsidR="360BC96E" w:rsidRPr="5575EBFC">
        <w:rPr>
          <w:lang w:val="en-GB"/>
        </w:rPr>
        <w:t xml:space="preserve">. </w:t>
      </w:r>
      <w:r w:rsidR="0302E9D8" w:rsidRPr="5575EBFC">
        <w:rPr>
          <w:lang w:val="en-GB"/>
        </w:rPr>
        <w:t>E</w:t>
      </w:r>
      <w:r w:rsidR="0A32FD61" w:rsidRPr="5575EBFC">
        <w:rPr>
          <w:lang w:val="en-GB"/>
        </w:rPr>
        <w:t xml:space="preserve">mpirical evidence </w:t>
      </w:r>
      <w:r w:rsidR="0302E9D8" w:rsidRPr="5575EBFC">
        <w:rPr>
          <w:lang w:val="en-GB"/>
        </w:rPr>
        <w:t>exists for</w:t>
      </w:r>
      <w:r w:rsidR="0A32FD61" w:rsidRPr="5575EBFC">
        <w:rPr>
          <w:lang w:val="en-GB"/>
        </w:rPr>
        <w:t xml:space="preserve"> multispecies interactions that affect </w:t>
      </w:r>
      <w:r w:rsidR="4B1ACF94" w:rsidRPr="5575EBFC">
        <w:rPr>
          <w:lang w:val="en-GB"/>
        </w:rPr>
        <w:t xml:space="preserve">the </w:t>
      </w:r>
      <w:r w:rsidR="0A32FD61" w:rsidRPr="5575EBFC">
        <w:rPr>
          <w:lang w:val="en-GB"/>
        </w:rPr>
        <w:t>success</w:t>
      </w:r>
      <w:r w:rsidR="00936066" w:rsidRPr="5575EBFC">
        <w:rPr>
          <w:lang w:val="en-GB"/>
        </w:rPr>
        <w:t xml:space="preserve"> of an invasive alien species</w:t>
      </w:r>
      <w:r w:rsidR="0A32FD61" w:rsidRPr="5575EBFC">
        <w:rPr>
          <w:lang w:val="en-GB"/>
        </w:rPr>
        <w:t xml:space="preserve"> or trigger the expansion of an alien species. For example, Grosholz </w:t>
      </w:r>
      <w:r w:rsidR="21ABC300" w:rsidRPr="5575EBFC">
        <w:rPr>
          <w:lang w:val="en-GB"/>
        </w:rPr>
        <w:fldChar w:fldCharType="begin"/>
      </w:r>
      <w:r w:rsidR="00331A79">
        <w:rPr>
          <w:lang w:val="en-GB"/>
        </w:rPr>
        <w:instrText xml:space="preserve"> ADDIN ZOTERO_ITEM CSL_CITATION {"citationID":"tgwmjI41","properties":{"formattedCitation":"(2005)","plainCitation":"(2005)","noteIndex":0},"citationItems":[{"id":12610,"uris":["http://zotero.org/groups/2352922/items/AF7MD537"],"itemData":{"id":12610,"type":"article-journal","container-title":"Proceedings of the National Academy of Sciences","DOI":"10.1073/pnas.0308547102","ISSN":"0027-8424, 1091-6490","issue":"4","journalAbbreviation":"Proceedings of the National Academy of Sciences","language":"en","page":"1088-1091","source":"DOI.org (Crossref)","title":"Recent biological invasion may hasten invasional meltdown by accelerating historical introductions","URL":"http://www.pnas.org/cgi/doi/10.1073/pnas.0308547102","volume":"102","author":[{"family":"Grosholz","given":"Edwin D."}],"accessed":{"date-parts":[["2019",10,21]]},"issued":{"date-parts":[["2005",1,25]]}},"label":"page","suppress-author":true}],"schema":"https://github.com/citation-style-language/schema/raw/master/csl-citation.json"} </w:instrText>
      </w:r>
      <w:r w:rsidR="21ABC300" w:rsidRPr="5575EBFC">
        <w:rPr>
          <w:lang w:val="en-GB"/>
        </w:rPr>
        <w:fldChar w:fldCharType="separate"/>
      </w:r>
      <w:r w:rsidR="6B5F9B9E">
        <w:t>(2005)</w:t>
      </w:r>
      <w:r w:rsidR="21ABC300" w:rsidRPr="5575EBFC">
        <w:rPr>
          <w:lang w:val="en-GB"/>
        </w:rPr>
        <w:fldChar w:fldCharType="end"/>
      </w:r>
      <w:r w:rsidR="0A32FD61" w:rsidRPr="5575EBFC">
        <w:rPr>
          <w:lang w:val="en-GB"/>
        </w:rPr>
        <w:t xml:space="preserve"> showed that the invasion </w:t>
      </w:r>
      <w:r w:rsidR="241EC904" w:rsidRPr="5575EBFC">
        <w:rPr>
          <w:lang w:val="en-GB"/>
        </w:rPr>
        <w:t>by</w:t>
      </w:r>
      <w:r w:rsidR="0A32FD61" w:rsidRPr="5575EBFC">
        <w:rPr>
          <w:lang w:val="en-GB"/>
        </w:rPr>
        <w:t xml:space="preserve"> a predator, </w:t>
      </w:r>
      <w:r w:rsidR="5B2FE59A" w:rsidRPr="5575EBFC">
        <w:rPr>
          <w:i/>
          <w:iCs/>
          <w:lang w:val="en-GB"/>
        </w:rPr>
        <w:t>Carcinus maenas</w:t>
      </w:r>
      <w:r w:rsidR="5B2FE59A" w:rsidRPr="5575EBFC">
        <w:rPr>
          <w:lang w:val="en-GB"/>
        </w:rPr>
        <w:t xml:space="preserve"> (</w:t>
      </w:r>
      <w:r w:rsidR="0A32FD61" w:rsidRPr="5575EBFC">
        <w:rPr>
          <w:lang w:val="en-GB"/>
        </w:rPr>
        <w:t xml:space="preserve">European </w:t>
      </w:r>
      <w:r w:rsidR="5B2FE59A" w:rsidRPr="5575EBFC">
        <w:rPr>
          <w:lang w:val="en-GB"/>
        </w:rPr>
        <w:t xml:space="preserve">shore </w:t>
      </w:r>
      <w:r w:rsidR="0A32FD61" w:rsidRPr="5575EBFC">
        <w:rPr>
          <w:lang w:val="en-GB"/>
        </w:rPr>
        <w:t>crab</w:t>
      </w:r>
      <w:r w:rsidR="5B2FE59A" w:rsidRPr="5575EBFC">
        <w:rPr>
          <w:lang w:val="en-GB"/>
        </w:rPr>
        <w:t>)</w:t>
      </w:r>
      <w:r w:rsidR="0A32FD61" w:rsidRPr="5575EBFC">
        <w:rPr>
          <w:lang w:val="en-GB"/>
        </w:rPr>
        <w:t xml:space="preserve">, reduced </w:t>
      </w:r>
      <w:r w:rsidR="271353C5" w:rsidRPr="5575EBFC">
        <w:rPr>
          <w:lang w:val="en-GB"/>
        </w:rPr>
        <w:t xml:space="preserve">the abundance of a native clam, which was the crab’s preferred prey, </w:t>
      </w:r>
      <w:r w:rsidR="0A32FD61" w:rsidRPr="5575EBFC">
        <w:rPr>
          <w:lang w:val="en-GB"/>
        </w:rPr>
        <w:t xml:space="preserve">by 10-fold,; this interaction released another introduced species, </w:t>
      </w:r>
      <w:r w:rsidR="7F815195" w:rsidRPr="5575EBFC">
        <w:rPr>
          <w:i/>
          <w:iCs/>
          <w:lang w:val="en-GB"/>
        </w:rPr>
        <w:t>Gemma gemma</w:t>
      </w:r>
      <w:r w:rsidR="7F815195" w:rsidRPr="5575EBFC">
        <w:rPr>
          <w:lang w:val="en-GB"/>
        </w:rPr>
        <w:t xml:space="preserve"> (amethyst</w:t>
      </w:r>
      <w:r w:rsidR="0A32FD61" w:rsidRPr="5575EBFC">
        <w:rPr>
          <w:lang w:val="en-GB"/>
        </w:rPr>
        <w:t xml:space="preserve"> gemclam</w:t>
      </w:r>
      <w:r w:rsidR="7F815195" w:rsidRPr="5575EBFC">
        <w:rPr>
          <w:lang w:val="en-GB"/>
        </w:rPr>
        <w:t>)</w:t>
      </w:r>
      <w:r w:rsidR="0A32FD61" w:rsidRPr="5575EBFC">
        <w:rPr>
          <w:lang w:val="en-GB"/>
        </w:rPr>
        <w:t>, from competition and thus allowed it to become superabundant, after having been present at low abundance for decades. However,</w:t>
      </w:r>
      <w:r w:rsidR="5EFCE0BD" w:rsidRPr="5575EBFC">
        <w:rPr>
          <w:lang w:val="en-GB"/>
        </w:rPr>
        <w:t xml:space="preserve"> </w:t>
      </w:r>
      <w:r w:rsidR="36362E5C" w:rsidRPr="5575EBFC">
        <w:rPr>
          <w:lang w:val="en-GB"/>
        </w:rPr>
        <w:t xml:space="preserve">while </w:t>
      </w:r>
      <w:r w:rsidR="65C53053" w:rsidRPr="5575EBFC">
        <w:rPr>
          <w:lang w:val="en-GB"/>
        </w:rPr>
        <w:t>many</w:t>
      </w:r>
      <w:r w:rsidR="36362E5C" w:rsidRPr="5575EBFC">
        <w:rPr>
          <w:lang w:val="en-GB"/>
        </w:rPr>
        <w:t xml:space="preserve"> studies have inferred</w:t>
      </w:r>
      <w:r w:rsidR="4297F918" w:rsidRPr="5575EBFC">
        <w:rPr>
          <w:lang w:val="en-GB"/>
        </w:rPr>
        <w:t xml:space="preserve"> </w:t>
      </w:r>
      <w:r w:rsidR="2C1E097B" w:rsidRPr="5575EBFC">
        <w:rPr>
          <w:lang w:val="en-GB"/>
        </w:rPr>
        <w:t>invasional meltdown</w:t>
      </w:r>
      <w:r w:rsidR="36362E5C" w:rsidRPr="5575EBFC">
        <w:rPr>
          <w:lang w:val="en-GB"/>
        </w:rPr>
        <w:t>,</w:t>
      </w:r>
      <w:r w:rsidR="7DB0AB7C" w:rsidRPr="5575EBFC">
        <w:rPr>
          <w:lang w:val="en-GB"/>
        </w:rPr>
        <w:t xml:space="preserve"> few cases have demonstrated</w:t>
      </w:r>
      <w:r w:rsidR="3A4C515D" w:rsidRPr="5575EBFC">
        <w:rPr>
          <w:lang w:val="en-GB"/>
        </w:rPr>
        <w:t xml:space="preserve"> </w:t>
      </w:r>
      <w:r w:rsidR="43EB813D" w:rsidRPr="5575EBFC">
        <w:rPr>
          <w:lang w:val="en-GB"/>
        </w:rPr>
        <w:t>an accelerating</w:t>
      </w:r>
      <w:r w:rsidR="3A4C515D" w:rsidRPr="5575EBFC">
        <w:rPr>
          <w:lang w:val="en-GB"/>
        </w:rPr>
        <w:t xml:space="preserve"> rate of </w:t>
      </w:r>
      <w:r w:rsidR="670A8994" w:rsidRPr="5575EBFC">
        <w:rPr>
          <w:lang w:val="en-GB"/>
        </w:rPr>
        <w:t xml:space="preserve">establishment or spread of </w:t>
      </w:r>
      <w:r w:rsidR="0F92CC8E" w:rsidRPr="5575EBFC">
        <w:rPr>
          <w:lang w:val="en-GB"/>
        </w:rPr>
        <w:t>invasive alien species</w:t>
      </w:r>
      <w:r w:rsidR="073D94FD" w:rsidRPr="5575EBFC">
        <w:rPr>
          <w:lang w:val="en-GB"/>
        </w:rPr>
        <w:t xml:space="preserve"> </w:t>
      </w:r>
      <w:r w:rsidR="3A4C515D" w:rsidRPr="5575EBFC">
        <w:rPr>
          <w:lang w:val="en-GB"/>
        </w:rPr>
        <w:t>and</w:t>
      </w:r>
      <w:r w:rsidR="46A0DF6D" w:rsidRPr="5575EBFC">
        <w:rPr>
          <w:lang w:val="en-GB"/>
        </w:rPr>
        <w:t>/or</w:t>
      </w:r>
      <w:r w:rsidR="3A4C515D" w:rsidRPr="5575EBFC">
        <w:rPr>
          <w:lang w:val="en-GB"/>
        </w:rPr>
        <w:t xml:space="preserve"> the synergistic impact of </w:t>
      </w:r>
      <w:r w:rsidR="25BE3598" w:rsidRPr="5575EBFC">
        <w:rPr>
          <w:lang w:val="en-GB"/>
        </w:rPr>
        <w:t xml:space="preserve">these </w:t>
      </w:r>
      <w:r w:rsidR="0D985DD9" w:rsidRPr="5575EBFC">
        <w:rPr>
          <w:lang w:val="en-GB"/>
        </w:rPr>
        <w:t>invasive alien species</w:t>
      </w:r>
      <w:r w:rsidR="7DB0AB7C" w:rsidRPr="5575EBFC">
        <w:rPr>
          <w:lang w:val="en-GB"/>
        </w:rPr>
        <w:t>.</w:t>
      </w:r>
      <w:r w:rsidRPr="5575EBFC">
        <w:rPr>
          <w:lang w:val="en-GB"/>
        </w:rPr>
        <w:t xml:space="preserve"> </w:t>
      </w:r>
      <w:r w:rsidR="448A641B" w:rsidRPr="5575EBFC">
        <w:rPr>
          <w:lang w:val="en-GB"/>
        </w:rPr>
        <w:t xml:space="preserve">Heimpel et al. </w:t>
      </w:r>
      <w:r w:rsidR="21ABC300" w:rsidRPr="5575EBFC">
        <w:rPr>
          <w:lang w:val="en-GB"/>
        </w:rPr>
        <w:fldChar w:fldCharType="begin"/>
      </w:r>
      <w:r w:rsidR="00331A79">
        <w:rPr>
          <w:lang w:val="en-GB"/>
        </w:rPr>
        <w:instrText xml:space="preserve"> ADDIN ZOTERO_ITEM CSL_CITATION {"citationID":"ljhwKPkv","properties":{"formattedCitation":"(2010)","plainCitation":"(2010)","noteIndex":0},"citationItems":[{"id":12609,"uris":["http://zotero.org/groups/2352922/items/E387MIF4"],"itemData":{"id":12609,"type":"article-journal","container-title":"Biological Invasions","DOI":"10.1007/s10530-010-9736-5","ISSN":"1387-3547, 1573-1464","issue":"9","journalAbbreviation":"Biol Invasions","language":"en","page":"2913-2931","source":"DOI.org (Crossref)","title":"European buckthorn and Asian soybean aphid as components of an extensive invasional meltdown in North America","URL":"http://link.springer.com/10.1007/s10530-010-9736-5","volume":"12","author":[{"family":"Heimpel","given":"George E."},{"family":"Frelich","given":"Lee E."},{"family":"Landis","given":"Douglas A."},{"family":"Hopper","given":"Keith R."},{"family":"Hoelmer","given":"Kim A."},{"family":"Sezen","given":"Zeynep"},{"family":"Asplen","given":"Mark K."},{"family":"Wu","given":"Kongming"}],"accessed":{"date-parts":[["2019",10,21]]},"issued":{"date-parts":[["2010",9]]}},"label":"page","suppress-author":true}],"schema":"https://github.com/citation-style-language/schema/raw/master/csl-citation.json"} </w:instrText>
      </w:r>
      <w:r w:rsidR="21ABC300" w:rsidRPr="5575EBFC">
        <w:rPr>
          <w:lang w:val="en-GB"/>
        </w:rPr>
        <w:fldChar w:fldCharType="separate"/>
      </w:r>
      <w:r w:rsidR="6B5F9B9E">
        <w:t>(2010)</w:t>
      </w:r>
      <w:r w:rsidR="21ABC300" w:rsidRPr="5575EBFC">
        <w:rPr>
          <w:lang w:val="en-GB"/>
        </w:rPr>
        <w:fldChar w:fldCharType="end"/>
      </w:r>
      <w:r w:rsidRPr="5575EBFC">
        <w:rPr>
          <w:lang w:val="en-GB"/>
        </w:rPr>
        <w:t xml:space="preserve"> described </w:t>
      </w:r>
      <w:r w:rsidR="54CCAFC3" w:rsidRPr="5575EBFC">
        <w:rPr>
          <w:lang w:val="en-GB"/>
        </w:rPr>
        <w:t xml:space="preserve">a </w:t>
      </w:r>
      <w:r w:rsidRPr="5575EBFC">
        <w:rPr>
          <w:lang w:val="en-GB"/>
        </w:rPr>
        <w:t>scenario of invasional meltdown where</w:t>
      </w:r>
      <w:r w:rsidR="60033023" w:rsidRPr="5575EBFC">
        <w:rPr>
          <w:lang w:val="en-GB"/>
        </w:rPr>
        <w:t xml:space="preserve"> </w:t>
      </w:r>
      <w:r w:rsidR="60033023" w:rsidRPr="5575EBFC">
        <w:rPr>
          <w:i/>
          <w:iCs/>
          <w:lang w:val="en-GB"/>
        </w:rPr>
        <w:t>Aphis glycines</w:t>
      </w:r>
      <w:r w:rsidRPr="5575EBFC">
        <w:rPr>
          <w:lang w:val="en-GB"/>
        </w:rPr>
        <w:t xml:space="preserve"> </w:t>
      </w:r>
      <w:r w:rsidR="60033023" w:rsidRPr="5575EBFC">
        <w:rPr>
          <w:lang w:val="en-GB"/>
        </w:rPr>
        <w:t>(</w:t>
      </w:r>
      <w:r w:rsidRPr="5575EBFC">
        <w:rPr>
          <w:lang w:val="en-GB"/>
        </w:rPr>
        <w:t>soybean aphid</w:t>
      </w:r>
      <w:r w:rsidR="60033023" w:rsidRPr="5575EBFC">
        <w:rPr>
          <w:lang w:val="en-GB"/>
        </w:rPr>
        <w:t>)</w:t>
      </w:r>
      <w:r w:rsidRPr="5575EBFC">
        <w:rPr>
          <w:lang w:val="en-GB"/>
        </w:rPr>
        <w:t xml:space="preserve"> increased the abundance of eleven invasive </w:t>
      </w:r>
      <w:r w:rsidR="64DE4BFA" w:rsidRPr="5575EBFC">
        <w:rPr>
          <w:lang w:val="en-GB"/>
        </w:rPr>
        <w:t xml:space="preserve">alien </w:t>
      </w:r>
      <w:r w:rsidRPr="5575EBFC">
        <w:rPr>
          <w:lang w:val="en-GB"/>
        </w:rPr>
        <w:t>species including worms, shrubs, birds, beetles</w:t>
      </w:r>
      <w:r w:rsidR="00774819">
        <w:rPr>
          <w:lang w:val="en-GB"/>
        </w:rPr>
        <w:t xml:space="preserve"> and</w:t>
      </w:r>
      <w:r w:rsidRPr="5575EBFC">
        <w:rPr>
          <w:lang w:val="en-GB"/>
        </w:rPr>
        <w:t xml:space="preserve"> animal and plant pathogens.</w:t>
      </w:r>
      <w:r w:rsidR="392E5C52" w:rsidRPr="5575EBFC">
        <w:rPr>
          <w:lang w:val="en-GB"/>
        </w:rPr>
        <w:t xml:space="preserve"> </w:t>
      </w:r>
      <w:r w:rsidR="09767B77" w:rsidRPr="5575EBFC">
        <w:rPr>
          <w:lang w:val="en-GB"/>
        </w:rPr>
        <w:t>A study</w:t>
      </w:r>
      <w:r w:rsidR="496384D3" w:rsidRPr="5575EBFC">
        <w:rPr>
          <w:lang w:val="en-GB"/>
        </w:rPr>
        <w:t xml:space="preserve"> by </w:t>
      </w:r>
      <w:r w:rsidR="38DDEF23" w:rsidRPr="5575EBFC">
        <w:rPr>
          <w:lang w:val="en-GB"/>
        </w:rPr>
        <w:t xml:space="preserve">Ricciardi </w:t>
      </w:r>
      <w:r w:rsidR="21ABC300" w:rsidRPr="5575EBFC">
        <w:rPr>
          <w:lang w:val="en-GB"/>
        </w:rPr>
        <w:fldChar w:fldCharType="begin"/>
      </w:r>
      <w:r w:rsidR="00331A79">
        <w:rPr>
          <w:lang w:val="en-GB"/>
        </w:rPr>
        <w:instrText xml:space="preserve"> ADDIN ZOTERO_ITEM CSL_CITATION {"citationID":"XbFZ57sW","properties":{"formattedCitation":"(2001)","plainCitation":"(2001)","noteIndex":0},"citationItems":[{"id":10311,"uris":["http://zotero.org/groups/2352922/items/R5SBL922"],"itemData":{"id":10311,"type":"article-journal","container-title":"Canadian Journal of Fisheries and Aquatic Sciences","DOI":"10.1139/f01-178","ISSN":"0706-652X, 1205-7533","issue":"12","journalAbbreviation":"Can. J. Fish. Aquat. Sci.","language":"en","page":"2513-2525","source":"DOI.org (Crossref)","title":"Facilitative interactions among aquatic invaders: is an \"invasional meltdown\" occurring in the Great Lakes?","title-short":"Facilitative interactions among aquatic invaders","URL":"http://www.nrcresearchpress.com/doi/10.1139/f01-178","volume":"58","author":[{"family":"Ricciardi","given":"Anthony"}],"accessed":{"date-parts":[["2019",10,21]]},"issued":{"date-parts":[["2001",12]]}},"label":"page","suppress-author":true}],"schema":"https://github.com/citation-style-language/schema/raw/master/csl-citation.json"} </w:instrText>
      </w:r>
      <w:r w:rsidR="21ABC300" w:rsidRPr="5575EBFC">
        <w:rPr>
          <w:lang w:val="en-GB"/>
        </w:rPr>
        <w:fldChar w:fldCharType="separate"/>
      </w:r>
      <w:r w:rsidR="6B5F9B9E">
        <w:t>(2001)</w:t>
      </w:r>
      <w:r w:rsidR="21ABC300" w:rsidRPr="5575EBFC">
        <w:rPr>
          <w:lang w:val="en-GB"/>
        </w:rPr>
        <w:fldChar w:fldCharType="end"/>
      </w:r>
      <w:r w:rsidR="09767B77" w:rsidRPr="5575EBFC">
        <w:rPr>
          <w:lang w:val="en-GB"/>
        </w:rPr>
        <w:t xml:space="preserve"> of the</w:t>
      </w:r>
      <w:r w:rsidR="78A2C859" w:rsidRPr="5575EBFC">
        <w:rPr>
          <w:lang w:val="en-GB"/>
        </w:rPr>
        <w:t xml:space="preserve"> North American</w:t>
      </w:r>
      <w:r w:rsidR="09767B77" w:rsidRPr="5575EBFC">
        <w:rPr>
          <w:lang w:val="en-GB"/>
        </w:rPr>
        <w:t xml:space="preserve"> Great Lakes found that facilitative interactions among alien species were at least as common as antagonistic interactions</w:t>
      </w:r>
      <w:r w:rsidR="4BF552A9" w:rsidRPr="5575EBFC">
        <w:rPr>
          <w:lang w:val="en-GB"/>
        </w:rPr>
        <w:t>,</w:t>
      </w:r>
      <w:r w:rsidR="254B1868" w:rsidRPr="5575EBFC">
        <w:rPr>
          <w:lang w:val="en-GB"/>
        </w:rPr>
        <w:t xml:space="preserve"> and that the rapid accumulation </w:t>
      </w:r>
      <w:r w:rsidR="3EF29F21" w:rsidRPr="5575EBFC">
        <w:rPr>
          <w:lang w:val="en-GB"/>
        </w:rPr>
        <w:t xml:space="preserve">and synergistic effects </w:t>
      </w:r>
      <w:r w:rsidR="254B1868" w:rsidRPr="5575EBFC">
        <w:rPr>
          <w:lang w:val="en-GB"/>
        </w:rPr>
        <w:t>of alien species</w:t>
      </w:r>
      <w:r w:rsidR="3C4145D3" w:rsidRPr="5575EBFC">
        <w:rPr>
          <w:lang w:val="en-GB"/>
        </w:rPr>
        <w:t>, while best ex</w:t>
      </w:r>
      <w:r w:rsidR="7B48FA84" w:rsidRPr="5575EBFC">
        <w:rPr>
          <w:lang w:val="en-GB"/>
        </w:rPr>
        <w:t>p</w:t>
      </w:r>
      <w:r w:rsidR="3C4145D3" w:rsidRPr="5575EBFC">
        <w:rPr>
          <w:lang w:val="en-GB"/>
        </w:rPr>
        <w:t>lained by</w:t>
      </w:r>
      <w:r w:rsidR="254B1868" w:rsidRPr="5575EBFC">
        <w:rPr>
          <w:lang w:val="en-GB"/>
        </w:rPr>
        <w:t xml:space="preserve"> increased pro</w:t>
      </w:r>
      <w:r w:rsidR="178E0C70" w:rsidRPr="5575EBFC">
        <w:rPr>
          <w:lang w:val="en-GB"/>
        </w:rPr>
        <w:t xml:space="preserve">pagule </w:t>
      </w:r>
      <w:r w:rsidR="254B1868" w:rsidRPr="5575EBFC">
        <w:rPr>
          <w:lang w:val="en-GB"/>
        </w:rPr>
        <w:t xml:space="preserve">pressure </w:t>
      </w:r>
      <w:r w:rsidR="6B948074" w:rsidRPr="5575EBFC">
        <w:rPr>
          <w:lang w:val="en-GB"/>
        </w:rPr>
        <w:t>(</w:t>
      </w:r>
      <w:r w:rsidR="13FD03FD" w:rsidRPr="5575EBFC">
        <w:rPr>
          <w:lang w:val="en-GB"/>
        </w:rPr>
        <w:t>e.g.,</w:t>
      </w:r>
      <w:r w:rsidR="6B948074" w:rsidRPr="5575EBFC">
        <w:rPr>
          <w:lang w:val="en-GB"/>
        </w:rPr>
        <w:t xml:space="preserve"> </w:t>
      </w:r>
      <w:r w:rsidR="254B1868" w:rsidRPr="5575EBFC">
        <w:rPr>
          <w:lang w:val="en-GB"/>
        </w:rPr>
        <w:t>from shipping</w:t>
      </w:r>
      <w:r w:rsidR="1E0C4BFB" w:rsidRPr="5575EBFC">
        <w:rPr>
          <w:lang w:val="en-GB"/>
        </w:rPr>
        <w:t>)</w:t>
      </w:r>
      <w:r w:rsidR="54886F20" w:rsidRPr="5575EBFC">
        <w:rPr>
          <w:lang w:val="en-GB"/>
        </w:rPr>
        <w:t>,</w:t>
      </w:r>
      <w:r w:rsidR="1E0C4BFB" w:rsidRPr="5575EBFC">
        <w:rPr>
          <w:lang w:val="en-GB"/>
        </w:rPr>
        <w:t xml:space="preserve"> was consistent with the prediction of</w:t>
      </w:r>
      <w:r w:rsidR="30C102BA" w:rsidRPr="5575EBFC">
        <w:rPr>
          <w:lang w:val="en-GB"/>
        </w:rPr>
        <w:t xml:space="preserve"> the</w:t>
      </w:r>
      <w:r w:rsidR="1E0C4BFB" w:rsidRPr="5575EBFC">
        <w:rPr>
          <w:lang w:val="en-GB"/>
        </w:rPr>
        <w:t xml:space="preserve"> </w:t>
      </w:r>
      <w:r w:rsidR="09CAB395" w:rsidRPr="5575EBFC">
        <w:rPr>
          <w:lang w:val="en-GB"/>
        </w:rPr>
        <w:t xml:space="preserve">invasional meltdown hypothesis </w:t>
      </w:r>
      <w:r w:rsidR="21ABC300" w:rsidRPr="5575EBFC">
        <w:rPr>
          <w:lang w:val="en-GB"/>
        </w:rPr>
        <w:fldChar w:fldCharType="begin"/>
      </w:r>
      <w:r w:rsidR="00331A79">
        <w:rPr>
          <w:lang w:val="en-GB"/>
        </w:rPr>
        <w:instrText xml:space="preserve"> ADDIN ZOTERO_ITEM CSL_CITATION {"citationID":"2iI9nZMl","properties":{"formattedCitation":"(Simberloff &amp; Von Holle, 1999)","plainCitation":"(Simberloff &amp; Von Holle, 1999)","noteIndex":0},"citationItems":[{"id":26618,"uris":["http://zotero.org/groups/2352922/items/HIF9FQTF"],"itemData":{"id":26618,"type":"article-journal","abstract":"Study of interactions between pairs or larger groups of nonindigenous species has been subordinated in the literature to study of interactions between nonindigenous and native species. To the extent that interactions among introduced species are depicted at all, the emphasis has been on negative interactions, primarily resource competition and interference. However, a literature search reveals that introduced species frequently interact with one another and that facilitative interactions are at least as common as detrimental ones. The population significance of these interactions has rarely been determined, but a great variety of types of direct and indirect interactions among individuals of different nonindigenous species is observed, and many are plausibly believed to have consequences at the population level. In particular, mutualisms between plants and the animals that disperse and/or pollinate them and modification of habitat by both animals and plants seem common and often important in facilitating invasions. There is little evidence that interference among introduced species at levels currently observed significantly impedes further invasions, and synergistic interactions among invaders may well lead to accelerated impacts on native ecosystems – an invasional ‘meltdown’ process.","container-title":"Biological Invasions","DOI":"10.1023/A:1010086329619","ISSN":"1573-1464","issue":"1","journalAbbreviation":"Biological Invasions","language":"en","page":"21-32","source":"Springer Link","title":"Positive Interactions of Nonindigenous Species: Invasional Meltdown?","title-short":"Positive Interactions of Nonindigenous Species","URL":"https://doi.org/10.1023/A:1010086329619","volume":"1","author":[{"family":"Simberloff","given":"Daniel"},{"family":"Von Holle","given":"Betsy"}],"accessed":{"date-parts":[["2019",10,28]]},"issued":{"date-parts":[["1999",3,1]]}},"label":"page"}],"schema":"https://github.com/citation-style-language/schema/raw/master/csl-citation.json"} </w:instrText>
      </w:r>
      <w:r w:rsidR="21ABC300" w:rsidRPr="5575EBFC">
        <w:rPr>
          <w:lang w:val="en-GB"/>
        </w:rPr>
        <w:fldChar w:fldCharType="separate"/>
      </w:r>
      <w:r w:rsidR="6B5F9B9E">
        <w:t>(Simberloff &amp; Von Holle, 1999)</w:t>
      </w:r>
      <w:r w:rsidR="21ABC300" w:rsidRPr="5575EBFC">
        <w:rPr>
          <w:lang w:val="en-GB"/>
        </w:rPr>
        <w:fldChar w:fldCharType="end"/>
      </w:r>
      <w:r w:rsidR="1E0C4BFB" w:rsidRPr="5575EBFC">
        <w:rPr>
          <w:lang w:val="en-GB"/>
        </w:rPr>
        <w:t xml:space="preserve">. </w:t>
      </w:r>
      <w:r w:rsidR="5DAE0988" w:rsidRPr="5575EBFC">
        <w:rPr>
          <w:lang w:val="en-GB"/>
        </w:rPr>
        <w:t>Christmas Island</w:t>
      </w:r>
      <w:r w:rsidR="0DEC477A" w:rsidRPr="5575EBFC">
        <w:rPr>
          <w:lang w:val="en-GB"/>
        </w:rPr>
        <w:t>, mentioned previously,</w:t>
      </w:r>
      <w:r w:rsidR="5DAE0988" w:rsidRPr="5575EBFC">
        <w:rPr>
          <w:lang w:val="en-GB"/>
        </w:rPr>
        <w:t xml:space="preserve"> provides the best documented case of invasional meltdow</w:t>
      </w:r>
      <w:r w:rsidR="5DAE0988" w:rsidRPr="5575EBFC">
        <w:rPr>
          <w:rFonts w:eastAsia="Times New Roman"/>
          <w:lang w:val="en-GB"/>
        </w:rPr>
        <w:t>n</w:t>
      </w:r>
      <w:r w:rsidR="53793278" w:rsidRPr="5575EBFC">
        <w:rPr>
          <w:rFonts w:eastAsia="Times New Roman"/>
          <w:lang w:val="en-GB"/>
        </w:rPr>
        <w:t xml:space="preserve"> to date</w:t>
      </w:r>
      <w:r w:rsidR="2F79FEEF" w:rsidRPr="5575EBFC">
        <w:rPr>
          <w:rFonts w:eastAsia="Times New Roman"/>
          <w:lang w:val="en-GB"/>
        </w:rPr>
        <w:t xml:space="preserve">. After being introduced to the island several </w:t>
      </w:r>
      <w:r w:rsidR="2F79FEEF" w:rsidRPr="5575EBFC">
        <w:rPr>
          <w:rFonts w:eastAsia="Times New Roman"/>
          <w:lang w:val="en-GB"/>
        </w:rPr>
        <w:lastRenderedPageBreak/>
        <w:t xml:space="preserve">decades ago, </w:t>
      </w:r>
      <w:r w:rsidR="3699AFEC" w:rsidRPr="5575EBFC">
        <w:rPr>
          <w:rFonts w:eastAsia="Times New Roman"/>
          <w:i/>
          <w:iCs/>
          <w:lang w:val="en-GB"/>
        </w:rPr>
        <w:t>Anoplolepis gracilipes</w:t>
      </w:r>
      <w:r w:rsidR="3699AFEC" w:rsidRPr="5575EBFC">
        <w:rPr>
          <w:rFonts w:eastAsia="Times New Roman"/>
          <w:lang w:val="en-GB"/>
        </w:rPr>
        <w:t xml:space="preserve"> (</w:t>
      </w:r>
      <w:r w:rsidR="2F79FEEF" w:rsidRPr="5575EBFC">
        <w:rPr>
          <w:rFonts w:eastAsia="Times New Roman"/>
          <w:lang w:val="en-GB"/>
        </w:rPr>
        <w:t>yellow crazy ant), persisted for dec</w:t>
      </w:r>
      <w:r w:rsidR="448A641B" w:rsidRPr="5575EBFC">
        <w:rPr>
          <w:rFonts w:eastAsia="Times New Roman"/>
          <w:lang w:val="en-GB"/>
        </w:rPr>
        <w:t>ades at low density before its</w:t>
      </w:r>
      <w:r w:rsidR="2F79FEEF" w:rsidRPr="5575EBFC">
        <w:rPr>
          <w:rFonts w:eastAsia="Times New Roman"/>
          <w:lang w:val="en-GB"/>
        </w:rPr>
        <w:t xml:space="preserve"> population exploded in the late 1980s. The ants had an antagonistic relationship with </w:t>
      </w:r>
      <w:r w:rsidR="09DDCF44" w:rsidRPr="5575EBFC">
        <w:rPr>
          <w:rFonts w:eastAsia="Times New Roman"/>
          <w:i/>
          <w:iCs/>
          <w:lang w:val="en-GB"/>
        </w:rPr>
        <w:t>Gecarcoidea natalis</w:t>
      </w:r>
      <w:r w:rsidR="2F79FEEF" w:rsidRPr="5575EBFC">
        <w:rPr>
          <w:rFonts w:eastAsia="Times New Roman"/>
          <w:lang w:val="en-GB"/>
        </w:rPr>
        <w:t xml:space="preserve"> </w:t>
      </w:r>
      <w:r w:rsidR="5A0BE3AA" w:rsidRPr="5575EBFC">
        <w:rPr>
          <w:rFonts w:eastAsia="Times New Roman"/>
          <w:lang w:val="en-GB"/>
        </w:rPr>
        <w:t xml:space="preserve">(Christmas Island </w:t>
      </w:r>
      <w:r w:rsidR="2F79FEEF" w:rsidRPr="5575EBFC">
        <w:rPr>
          <w:rFonts w:eastAsia="Times New Roman"/>
          <w:lang w:val="en-GB"/>
        </w:rPr>
        <w:t>red crab</w:t>
      </w:r>
      <w:r w:rsidR="5A0BE3AA" w:rsidRPr="5575EBFC">
        <w:rPr>
          <w:rFonts w:eastAsia="Times New Roman"/>
          <w:lang w:val="en-GB"/>
        </w:rPr>
        <w:t>)</w:t>
      </w:r>
      <w:r w:rsidR="2F79FEEF" w:rsidRPr="5575EBFC">
        <w:rPr>
          <w:rFonts w:eastAsia="Times New Roman"/>
          <w:lang w:val="en-GB"/>
        </w:rPr>
        <w:t xml:space="preserve">, a keystone omnivore. The ants caused </w:t>
      </w:r>
      <w:r w:rsidR="00BD70D1">
        <w:rPr>
          <w:rFonts w:eastAsia="Times New Roman"/>
          <w:lang w:val="en-GB"/>
        </w:rPr>
        <w:t>a</w:t>
      </w:r>
      <w:r w:rsidR="00BD70D1" w:rsidRPr="5575EBFC">
        <w:rPr>
          <w:rFonts w:eastAsia="Times New Roman"/>
          <w:lang w:val="en-GB"/>
        </w:rPr>
        <w:t xml:space="preserve"> </w:t>
      </w:r>
      <w:r w:rsidR="3A9D8983" w:rsidRPr="5575EBFC">
        <w:rPr>
          <w:rFonts w:eastAsia="Times New Roman"/>
          <w:lang w:val="en-GB"/>
        </w:rPr>
        <w:t xml:space="preserve">reduction in populations </w:t>
      </w:r>
      <w:r w:rsidR="2F79FEEF" w:rsidRPr="5575EBFC">
        <w:rPr>
          <w:rFonts w:eastAsia="Times New Roman"/>
          <w:lang w:val="en-GB"/>
        </w:rPr>
        <w:t xml:space="preserve">of the crab, which resulted in increased tree seedling density and reduced leaf litter on the forest floor. Further, the </w:t>
      </w:r>
      <w:r w:rsidR="3A9D8983" w:rsidRPr="5575EBFC">
        <w:rPr>
          <w:rFonts w:eastAsia="Times New Roman"/>
          <w:lang w:val="en-GB"/>
        </w:rPr>
        <w:t xml:space="preserve">depletion </w:t>
      </w:r>
      <w:r w:rsidR="2F79FEEF" w:rsidRPr="5575EBFC">
        <w:rPr>
          <w:rFonts w:eastAsia="Times New Roman"/>
          <w:lang w:val="en-GB"/>
        </w:rPr>
        <w:t xml:space="preserve">of </w:t>
      </w:r>
      <w:r w:rsidR="7C338EE5" w:rsidRPr="5575EBFC">
        <w:rPr>
          <w:rFonts w:eastAsia="Times New Roman"/>
          <w:i/>
          <w:iCs/>
          <w:lang w:val="en-GB"/>
        </w:rPr>
        <w:t>Gecarcoidea natalis</w:t>
      </w:r>
      <w:r w:rsidR="2F79FEEF" w:rsidRPr="5575EBFC">
        <w:rPr>
          <w:rFonts w:eastAsia="Times New Roman"/>
          <w:lang w:val="en-GB"/>
        </w:rPr>
        <w:t xml:space="preserve"> promoted yet another </w:t>
      </w:r>
      <w:r w:rsidR="7C838E06" w:rsidRPr="5575EBFC">
        <w:rPr>
          <w:rFonts w:eastAsia="Times New Roman"/>
          <w:lang w:val="en-GB"/>
        </w:rPr>
        <w:t>invasive alien species</w:t>
      </w:r>
      <w:r w:rsidR="2F79FEEF" w:rsidRPr="5575EBFC">
        <w:rPr>
          <w:rFonts w:eastAsia="Times New Roman"/>
          <w:lang w:val="en-GB"/>
        </w:rPr>
        <w:t xml:space="preserve">, </w:t>
      </w:r>
      <w:r w:rsidR="3699AFEC" w:rsidRPr="5575EBFC">
        <w:rPr>
          <w:rFonts w:eastAsia="Times New Roman"/>
          <w:i/>
          <w:iCs/>
          <w:lang w:val="en-GB"/>
        </w:rPr>
        <w:t>Lissachatina</w:t>
      </w:r>
      <w:r w:rsidR="3699AFEC" w:rsidRPr="5575EBFC">
        <w:rPr>
          <w:rFonts w:eastAsia="Times New Roman"/>
          <w:lang w:val="en-GB"/>
        </w:rPr>
        <w:t xml:space="preserve"> </w:t>
      </w:r>
      <w:r w:rsidR="3699AFEC" w:rsidRPr="5575EBFC">
        <w:rPr>
          <w:rFonts w:eastAsia="Times New Roman"/>
          <w:i/>
          <w:iCs/>
          <w:lang w:val="en-GB"/>
        </w:rPr>
        <w:t>fulica</w:t>
      </w:r>
      <w:r w:rsidR="3699AFEC" w:rsidRPr="5575EBFC">
        <w:rPr>
          <w:rFonts w:eastAsia="Times New Roman"/>
          <w:lang w:val="en-GB"/>
        </w:rPr>
        <w:t xml:space="preserve"> (</w:t>
      </w:r>
      <w:r w:rsidR="2F79FEEF" w:rsidRPr="5575EBFC">
        <w:rPr>
          <w:rFonts w:eastAsia="Times New Roman"/>
          <w:lang w:val="en-GB"/>
        </w:rPr>
        <w:t>giant African land</w:t>
      </w:r>
      <w:r w:rsidR="0ABE9FB6" w:rsidRPr="5575EBFC">
        <w:rPr>
          <w:rFonts w:eastAsia="Times New Roman"/>
          <w:lang w:val="en-GB"/>
        </w:rPr>
        <w:t xml:space="preserve"> </w:t>
      </w:r>
      <w:r w:rsidR="2F79FEEF" w:rsidRPr="5575EBFC">
        <w:rPr>
          <w:rFonts w:eastAsia="Times New Roman"/>
          <w:lang w:val="en-GB"/>
        </w:rPr>
        <w:t>snail). Simultaneously, in the forest canopy, the higher density of ants promoted population growth of introduced honeydew-secreting scale insects through a mutualistic relationship, which resulted in fungal growth and dieback of trees. This ecosystem transformation occurred in a period of only a few years</w:t>
      </w:r>
      <w:r w:rsidR="5DAE0988" w:rsidRPr="5575EBFC">
        <w:rPr>
          <w:rFonts w:eastAsia="Times New Roman"/>
          <w:lang w:val="en-GB"/>
        </w:rPr>
        <w:t xml:space="preserve"> </w:t>
      </w:r>
      <w:r w:rsidR="21ABC300" w:rsidRPr="5575EBFC">
        <w:rPr>
          <w:rFonts w:eastAsia="Times New Roman"/>
          <w:lang w:val="en-GB"/>
        </w:rPr>
        <w:fldChar w:fldCharType="begin"/>
      </w:r>
      <w:r w:rsidR="00331A79">
        <w:rPr>
          <w:rFonts w:eastAsia="Times New Roman"/>
          <w:lang w:val="en-GB"/>
        </w:rPr>
        <w:instrText xml:space="preserve"> ADDIN ZOTERO_ITEM CSL_CITATION {"citationID":"su55J2fy","properties":{"formattedCitation":"(Green et al., 2011; O\\uc0\\u8217{}Dowd et al., 2003)","plainCitation":"(Green et al., 2011; O’Dowd et al., 2003)","noteIndex":0},"citationItems":[{"id":30908,"uris":["http://zotero.org/groups/2352922/items/8EQ4QH8P"],"itemData":{"id":30908,"type":"article-journal","container-title":"Ecology","DOI":"10.1890/11-0050.1","ISSN":"0012-9658","issue":"9","journalAbbreviation":"Ecology","language":"en","page":"1758-1768","source":"DOI.org (Crossref)","title":"Invasional meltdown: Invader–invader mutualism facilitates a secondary invasion","title-short":"Invasional meltdown","URL":"http://doi.wiley.com/10.1890/11-0050.1","volume":"92","author":[{"family":"Green","given":"Peter T"},{"family":"O'Dowd","given":"Dennis J"},{"family":"Abbott","given":"Kirsti L"},{"family":"Jeffery","given":"Mick"},{"family":"Retallick","given":"Kent"},{"family":"Mac Nally","given":"Ralph"}],"accessed":{"date-parts":[["2019",10,21]]},"issued":{"date-parts":[["2011",9]]}},"label":"page"},{"id":25219,"uris":["http://zotero.org/groups/2352922/items/C2TNB2T6"],"itemData":{"id":25219,"type":"article-journal","abstract":"Islands can serve as model systems for understanding how biological invasions affect\ncommunity structure and ecosystem function. Here we show invasion by the alien crazy\nant Anoplolepis gracilipes causes a rapid, catastrophic shift in the rain forest ecosystem of a\ntropical oceanic island, affecting at least three trophic levels. In invaded areas, crazy ants\nextirpate the red land crab, the dominant endemic consumer on the forest floor. In doing\nso, crazy ants indirectly release seedling recruitment, enhance species richness of seedlings,\nand slow litter breakdown. In the forest canopy, new associations between this invasive ant\nand honeydew-secreting scale insects accelerate and diversify impacts. Sustained high\ndensities of foraging ants on canopy trees result in high population densities of hostgeneralist\nscale insects and growth of sooty moulds, leading to canopy dieback and even\ndeaths of canopy trees. The indirect fallout from the displacement of a native  keystone \nspecies by an ant invader, itself abetted by introduced/cryptogenic mutualists, produces\nsynergism in impacts to precipitate invasional  meltdown  in this system.","container-title":"Ecology Letters","DOI":"10.1046/j.1461-0248.2003.00512.x","ISSN":"1461-0248","issue":"9","language":"EN","page":"812-817","source":"Wiley Online Library","title":"Invasional ‘meltdown’ on an oceanic island","URL":"https://onlinelibrary.wiley.com/doi/abs/10.1046/j.1461-0248.2003.00512.x","volume":"6","author":[{"family":"O’Dowd","given":"Dennis J."},{"family":"Green","given":"Peter T."},{"family":"Lake","given":"P. S."}],"issued":{"date-parts":[["2003"]]}},"label":"page"}],"schema":"https://github.com/citation-style-language/schema/raw/master/csl-citation.json"} </w:instrText>
      </w:r>
      <w:r w:rsidR="21ABC300" w:rsidRPr="5575EBFC">
        <w:rPr>
          <w:rFonts w:eastAsia="Times New Roman"/>
          <w:lang w:val="en-GB"/>
        </w:rPr>
        <w:fldChar w:fldCharType="separate"/>
      </w:r>
      <w:r w:rsidR="6B5F9B9E">
        <w:t>(Green et al., 2011; O’Dowd et al., 2003)</w:t>
      </w:r>
      <w:r w:rsidR="21ABC300" w:rsidRPr="5575EBFC">
        <w:rPr>
          <w:rFonts w:eastAsia="Times New Roman"/>
          <w:lang w:val="en-GB"/>
        </w:rPr>
        <w:fldChar w:fldCharType="end"/>
      </w:r>
      <w:r w:rsidR="0DFF4341" w:rsidRPr="5575EBFC">
        <w:rPr>
          <w:rFonts w:eastAsia="Times New Roman"/>
          <w:lang w:val="en-GB"/>
        </w:rPr>
        <w:t>.</w:t>
      </w:r>
    </w:p>
    <w:p w14:paraId="7AA94F8A" w14:textId="40C3E135" w:rsidR="0041334B" w:rsidRPr="00DA249F" w:rsidRDefault="435E3FFE" w:rsidP="0090109B">
      <w:pPr>
        <w:rPr>
          <w:lang w:val="en-GB"/>
        </w:rPr>
      </w:pPr>
      <w:r w:rsidRPr="728F2DAF">
        <w:rPr>
          <w:lang w:val="en-GB"/>
        </w:rPr>
        <w:t>Finally</w:t>
      </w:r>
      <w:r w:rsidR="0FABA3A3" w:rsidRPr="728F2DAF">
        <w:rPr>
          <w:lang w:val="en-GB"/>
        </w:rPr>
        <w:t xml:space="preserve">, </w:t>
      </w:r>
      <w:r w:rsidR="7E5EA6AF" w:rsidRPr="728F2DAF">
        <w:rPr>
          <w:lang w:val="en-GB"/>
        </w:rPr>
        <w:t>Braga et al</w:t>
      </w:r>
      <w:r w:rsidR="00BD70D1">
        <w:rPr>
          <w:lang w:val="en-GB"/>
        </w:rPr>
        <w:t>.</w:t>
      </w:r>
      <w:r w:rsidR="7E5EA6AF" w:rsidRPr="728F2DAF">
        <w:rPr>
          <w:lang w:val="en-GB"/>
        </w:rPr>
        <w:t xml:space="preserve"> </w:t>
      </w:r>
      <w:r w:rsidR="0332760F" w:rsidRPr="728F2DAF">
        <w:rPr>
          <w:lang w:val="en-GB"/>
        </w:rPr>
        <w:fldChar w:fldCharType="begin"/>
      </w:r>
      <w:r w:rsidR="00331A79">
        <w:rPr>
          <w:lang w:val="en-GB"/>
        </w:rPr>
        <w:instrText xml:space="preserve"> ADDIN ZOTERO_ITEM CSL_CITATION {"citationID":"tUNhdgt4","properties":{"formattedCitation":"(2018)","plainCitation":"(2018)","noteIndex":0},"citationItems":[{"id":24836,"uris":["http://zotero.org/groups/2352922/items/YLYSSVNW"],"itemData":{"id":24836,"type":"article-journal","abstract":"Negative interactions have been suggested as a major barrier for species arriving in a new habitat. More recently, positive interactions drew attention from community assembly theory and invasion science. The invasional meltdown hypothesis (IMH) introduced the idea that positive interactions among non-native species could facilitate one another’s invasion, even increasing their impact upon the native community. Many studies have addressed IMH, but with contrasting results, reflecting various types of evidence on a multitude of scales. Here we use the hierarchy-of-hypotheses (HoH) approach to differentiate key aspects of IMH, organizing and linking empirical studies to sub-hypotheses of IMH. We also assess the level of empirical support for each sub-hypothesis based on the evidence reported in the studies. We identified 150 studies addressing IMH. The majority of studies support IMH, but the evidence comes from studies with different aims and questions. Supporting studies at the community or ecosystem level are currently rare. Evidence is scarce for marine habitats and vertebrates. Few sub-hypotheses are questioned by more than 50% of the evaluated studies, indicating that non-native species do not affect each other’s survival, growth, reproduction, abundance, density or biomass in reciprocal A ↔ B interactions. With the HoH for IMH presented here, we can monitor progress in empirical tests and evidences of IMH. For instance, more tests at the community and ecosystem level are needed, as these are necessary to address the core of this hypothesis.","container-title":"Biological Invasions","DOI":"10.1007/s10530-017-1582-2","ISSN":"1573-1464","issue":"4","journalAbbreviation":"Biol Invasions","language":"en","page":"923-936","source":"Springer Link","title":"Structuring evidence for invasional meltdown: broad support but with biases and gaps","title-short":"Structuring evidence for invasional meltdown","URL":"https://doi.org/10.1007/s10530-017-1582-2","volume":"20","author":[{"family":"Braga","given":"Raul Rennó"},{"family":"Gómez-Aparicio","given":"Lorena"},{"family":"Heger","given":"Tina"},{"family":"Vitule","given":"Jean Ricardo Simões"},{"family":"Jeschke","given":"Jonathan M."}],"accessed":{"date-parts":[["2019",10,12]]},"issued":{"date-parts":[["2018"]]}},"label":"page","suppress-author":true}],"schema":"https://github.com/citation-style-language/schema/raw/master/csl-citation.json"} </w:instrText>
      </w:r>
      <w:r w:rsidR="0332760F" w:rsidRPr="728F2DAF">
        <w:rPr>
          <w:lang w:val="en-GB"/>
        </w:rPr>
        <w:fldChar w:fldCharType="separate"/>
      </w:r>
      <w:r w:rsidR="73B99EB6">
        <w:t>(2018)</w:t>
      </w:r>
      <w:r w:rsidR="0332760F" w:rsidRPr="728F2DAF">
        <w:rPr>
          <w:lang w:val="en-GB"/>
        </w:rPr>
        <w:fldChar w:fldCharType="end"/>
      </w:r>
      <w:r w:rsidR="0FABA3A3" w:rsidRPr="728F2DAF">
        <w:rPr>
          <w:lang w:val="en-GB"/>
        </w:rPr>
        <w:t xml:space="preserve"> identified biases in research effort. In particular, the majority of the studies focused on the individual and population levels (</w:t>
      </w:r>
      <w:r w:rsidR="5DA27FAD" w:rsidRPr="728F2DAF">
        <w:rPr>
          <w:lang w:val="en-GB"/>
        </w:rPr>
        <w:t xml:space="preserve">about </w:t>
      </w:r>
      <w:r w:rsidR="0FABA3A3" w:rsidRPr="728F2DAF">
        <w:rPr>
          <w:lang w:val="en-GB"/>
        </w:rPr>
        <w:t>44</w:t>
      </w:r>
      <w:r w:rsidR="33318949" w:rsidRPr="728F2DAF">
        <w:rPr>
          <w:lang w:val="en-GB"/>
        </w:rPr>
        <w:t xml:space="preserve"> </w:t>
      </w:r>
      <w:r w:rsidR="6085BAA6" w:rsidRPr="728F2DAF">
        <w:rPr>
          <w:lang w:val="en-GB"/>
        </w:rPr>
        <w:t>per cent</w:t>
      </w:r>
      <w:r w:rsidR="33318949" w:rsidRPr="728F2DAF">
        <w:rPr>
          <w:lang w:val="en-GB"/>
        </w:rPr>
        <w:t xml:space="preserve"> </w:t>
      </w:r>
      <w:r w:rsidR="0FABA3A3" w:rsidRPr="728F2DAF">
        <w:rPr>
          <w:lang w:val="en-GB"/>
        </w:rPr>
        <w:t>each), with a lower representation of studies at the community (10.5</w:t>
      </w:r>
      <w:r w:rsidR="33318949" w:rsidRPr="728F2DAF">
        <w:rPr>
          <w:lang w:val="en-GB"/>
        </w:rPr>
        <w:t xml:space="preserve"> </w:t>
      </w:r>
      <w:r w:rsidR="6085BAA6" w:rsidRPr="728F2DAF">
        <w:rPr>
          <w:lang w:val="en-GB"/>
        </w:rPr>
        <w:t>per cent</w:t>
      </w:r>
      <w:r w:rsidR="0FABA3A3" w:rsidRPr="728F2DAF">
        <w:rPr>
          <w:lang w:val="en-GB"/>
        </w:rPr>
        <w:t>) and ecosystem levels (1.5</w:t>
      </w:r>
      <w:r w:rsidR="33318949" w:rsidRPr="728F2DAF">
        <w:rPr>
          <w:lang w:val="en-GB"/>
        </w:rPr>
        <w:t xml:space="preserve"> </w:t>
      </w:r>
      <w:r w:rsidR="6085BAA6" w:rsidRPr="728F2DAF">
        <w:rPr>
          <w:lang w:val="en-GB"/>
        </w:rPr>
        <w:t>per cent</w:t>
      </w:r>
      <w:r w:rsidR="0FABA3A3" w:rsidRPr="728F2DAF">
        <w:rPr>
          <w:lang w:val="en-GB"/>
        </w:rPr>
        <w:t>), and there are less studies addressing indirect effects (56</w:t>
      </w:r>
      <w:r w:rsidR="27E89DD1" w:rsidRPr="728F2DAF">
        <w:rPr>
          <w:lang w:val="en-GB"/>
        </w:rPr>
        <w:t xml:space="preserve"> studies</w:t>
      </w:r>
      <w:r w:rsidR="0FABA3A3" w:rsidRPr="728F2DAF">
        <w:rPr>
          <w:lang w:val="en-GB"/>
        </w:rPr>
        <w:t>) than direct effects (87</w:t>
      </w:r>
      <w:r w:rsidR="27E89DD1" w:rsidRPr="728F2DAF">
        <w:rPr>
          <w:lang w:val="en-GB"/>
        </w:rPr>
        <w:t xml:space="preserve"> studies</w:t>
      </w:r>
      <w:r w:rsidR="0FABA3A3" w:rsidRPr="728F2DAF">
        <w:rPr>
          <w:lang w:val="en-GB"/>
        </w:rPr>
        <w:t>). Regarding habitats, most evidence come</w:t>
      </w:r>
      <w:r w:rsidR="5CA48C80" w:rsidRPr="728F2DAF">
        <w:rPr>
          <w:lang w:val="en-GB"/>
        </w:rPr>
        <w:t>s</w:t>
      </w:r>
      <w:r w:rsidR="0FABA3A3" w:rsidRPr="728F2DAF">
        <w:rPr>
          <w:lang w:val="en-GB"/>
        </w:rPr>
        <w:t xml:space="preserve"> from terrestrial ecosystem</w:t>
      </w:r>
      <w:r w:rsidR="0EBB71EC" w:rsidRPr="728F2DAF">
        <w:rPr>
          <w:lang w:val="en-GB"/>
        </w:rPr>
        <w:t>s</w:t>
      </w:r>
      <w:r w:rsidR="0FABA3A3" w:rsidRPr="728F2DAF">
        <w:rPr>
          <w:lang w:val="en-GB"/>
        </w:rPr>
        <w:t xml:space="preserve"> (63.1</w:t>
      </w:r>
      <w:r w:rsidR="33318949" w:rsidRPr="728F2DAF">
        <w:rPr>
          <w:lang w:val="en-GB"/>
        </w:rPr>
        <w:t xml:space="preserve"> </w:t>
      </w:r>
      <w:r w:rsidR="6085BAA6" w:rsidRPr="728F2DAF">
        <w:rPr>
          <w:lang w:val="en-GB"/>
        </w:rPr>
        <w:t>per cent</w:t>
      </w:r>
      <w:r w:rsidR="0FABA3A3" w:rsidRPr="728F2DAF">
        <w:rPr>
          <w:lang w:val="en-GB"/>
        </w:rPr>
        <w:t>) compared to fresh and marine ecosystems (21.5 and 15.4</w:t>
      </w:r>
      <w:r w:rsidR="33318949" w:rsidRPr="728F2DAF">
        <w:rPr>
          <w:lang w:val="en-GB"/>
        </w:rPr>
        <w:t xml:space="preserve"> </w:t>
      </w:r>
      <w:r w:rsidR="6085BAA6" w:rsidRPr="728F2DAF">
        <w:rPr>
          <w:lang w:val="en-GB"/>
        </w:rPr>
        <w:t>per cent</w:t>
      </w:r>
      <w:r w:rsidR="0FABA3A3" w:rsidRPr="728F2DAF">
        <w:rPr>
          <w:lang w:val="en-GB"/>
        </w:rPr>
        <w:t>, respectively). As for taxonomic groups, more studies focused on plants</w:t>
      </w:r>
      <w:r w:rsidR="3726A7B3" w:rsidRPr="728F2DAF">
        <w:rPr>
          <w:lang w:val="en-GB"/>
        </w:rPr>
        <w:t xml:space="preserve"> and algae (89</w:t>
      </w:r>
      <w:r w:rsidR="34B6FA3C" w:rsidRPr="728F2DAF">
        <w:rPr>
          <w:lang w:val="en-GB"/>
        </w:rPr>
        <w:t xml:space="preserve"> studies</w:t>
      </w:r>
      <w:r w:rsidR="3726A7B3" w:rsidRPr="728F2DAF">
        <w:rPr>
          <w:lang w:val="en-GB"/>
        </w:rPr>
        <w:t>), followed by i</w:t>
      </w:r>
      <w:r w:rsidR="0FABA3A3" w:rsidRPr="728F2DAF">
        <w:rPr>
          <w:lang w:val="en-GB"/>
        </w:rPr>
        <w:t>nvertebrates (83</w:t>
      </w:r>
      <w:r w:rsidR="34B6FA3C" w:rsidRPr="728F2DAF">
        <w:rPr>
          <w:lang w:val="en-GB"/>
        </w:rPr>
        <w:t xml:space="preserve"> studies</w:t>
      </w:r>
      <w:r w:rsidR="0FABA3A3" w:rsidRPr="728F2DAF">
        <w:rPr>
          <w:lang w:val="en-GB"/>
        </w:rPr>
        <w:t>) and vertebrates (51</w:t>
      </w:r>
      <w:r w:rsidR="34B6FA3C" w:rsidRPr="728F2DAF">
        <w:rPr>
          <w:lang w:val="en-GB"/>
        </w:rPr>
        <w:t xml:space="preserve"> studies</w:t>
      </w:r>
      <w:r w:rsidR="0FABA3A3" w:rsidRPr="728F2DAF">
        <w:rPr>
          <w:lang w:val="en-GB"/>
        </w:rPr>
        <w:t xml:space="preserve">). In the future, taking the importance and prevalence of </w:t>
      </w:r>
      <w:r w:rsidR="34B6FA3C" w:rsidRPr="728F2DAF">
        <w:rPr>
          <w:lang w:val="en-GB"/>
        </w:rPr>
        <w:t xml:space="preserve">alien-alien </w:t>
      </w:r>
      <w:r w:rsidR="599829AC" w:rsidRPr="728F2DAF">
        <w:rPr>
          <w:lang w:val="en-GB"/>
        </w:rPr>
        <w:t>facilitation</w:t>
      </w:r>
      <w:r w:rsidR="0FABA3A3" w:rsidRPr="728F2DAF">
        <w:rPr>
          <w:lang w:val="en-GB"/>
        </w:rPr>
        <w:t xml:space="preserve"> </w:t>
      </w:r>
      <w:r w:rsidR="34B6FA3C" w:rsidRPr="728F2DAF">
        <w:rPr>
          <w:lang w:val="en-GB"/>
        </w:rPr>
        <w:t>into account</w:t>
      </w:r>
      <w:r w:rsidR="0FABA3A3" w:rsidRPr="728F2DAF">
        <w:rPr>
          <w:lang w:val="en-GB"/>
        </w:rPr>
        <w:t xml:space="preserve"> might </w:t>
      </w:r>
      <w:r w:rsidR="33318949" w:rsidRPr="728F2DAF">
        <w:rPr>
          <w:lang w:val="en-GB"/>
        </w:rPr>
        <w:t>lead to</w:t>
      </w:r>
      <w:r w:rsidR="6D34B0BE" w:rsidRPr="728F2DAF">
        <w:rPr>
          <w:lang w:val="en-GB"/>
        </w:rPr>
        <w:t xml:space="preserve"> </w:t>
      </w:r>
      <w:r w:rsidR="0FABA3A3" w:rsidRPr="728F2DAF">
        <w:rPr>
          <w:lang w:val="en-GB"/>
        </w:rPr>
        <w:t xml:space="preserve">better prediction </w:t>
      </w:r>
      <w:r w:rsidR="1A195807" w:rsidRPr="728F2DAF">
        <w:rPr>
          <w:lang w:val="en-GB"/>
        </w:rPr>
        <w:t xml:space="preserve">of the outcomes of biological invasions </w:t>
      </w:r>
      <w:r w:rsidR="0FABA3A3" w:rsidRPr="728F2DAF">
        <w:rPr>
          <w:lang w:val="en-GB"/>
        </w:rPr>
        <w:t xml:space="preserve">and </w:t>
      </w:r>
      <w:r w:rsidR="60D165A6" w:rsidRPr="728F2DAF">
        <w:rPr>
          <w:lang w:val="en-GB"/>
        </w:rPr>
        <w:t xml:space="preserve">effective </w:t>
      </w:r>
      <w:r w:rsidR="0FABA3A3" w:rsidRPr="728F2DAF">
        <w:rPr>
          <w:lang w:val="en-GB"/>
        </w:rPr>
        <w:t>prevention</w:t>
      </w:r>
      <w:r w:rsidR="00FD249C">
        <w:rPr>
          <w:lang w:val="en-GB"/>
        </w:rPr>
        <w:t xml:space="preserve"> </w:t>
      </w:r>
      <w:r w:rsidR="528CD6E2" w:rsidRPr="728F2DAF">
        <w:rPr>
          <w:lang w:val="en-GB"/>
        </w:rPr>
        <w:t>(</w:t>
      </w:r>
      <w:r w:rsidR="49B6C330" w:rsidRPr="728F2DAF">
        <w:rPr>
          <w:b/>
          <w:bCs/>
          <w:lang w:val="en-GB"/>
        </w:rPr>
        <w:t>C</w:t>
      </w:r>
      <w:r w:rsidR="0FABA3A3" w:rsidRPr="728F2DAF">
        <w:rPr>
          <w:b/>
          <w:bCs/>
          <w:lang w:val="en-GB"/>
        </w:rPr>
        <w:t>hapter 5</w:t>
      </w:r>
      <w:r w:rsidR="0FABA3A3" w:rsidRPr="728F2DAF">
        <w:rPr>
          <w:lang w:val="en-GB"/>
        </w:rPr>
        <w:t>).</w:t>
      </w:r>
      <w:r w:rsidR="0CA65F7F" w:rsidRPr="728F2DAF">
        <w:rPr>
          <w:lang w:val="en-GB"/>
        </w:rPr>
        <w:t xml:space="preserve"> </w:t>
      </w:r>
      <w:r w:rsidR="3B25B5FE" w:rsidRPr="728F2DAF">
        <w:rPr>
          <w:lang w:val="en-GB"/>
        </w:rPr>
        <w:t xml:space="preserve">Moreover, while there have been many examples of </w:t>
      </w:r>
      <w:r w:rsidR="1A488ABF" w:rsidRPr="728F2DAF">
        <w:rPr>
          <w:lang w:val="en-GB"/>
        </w:rPr>
        <w:t>invasive alien species facilitating one another</w:t>
      </w:r>
      <w:r w:rsidR="3B25B5FE" w:rsidRPr="728F2DAF">
        <w:rPr>
          <w:lang w:val="en-GB"/>
        </w:rPr>
        <w:t xml:space="preserve">, suggesting that </w:t>
      </w:r>
      <w:r w:rsidR="0E95716F" w:rsidRPr="728F2DAF">
        <w:rPr>
          <w:lang w:val="en-GB"/>
        </w:rPr>
        <w:t xml:space="preserve">invasional </w:t>
      </w:r>
      <w:r w:rsidR="3B25B5FE" w:rsidRPr="728F2DAF">
        <w:rPr>
          <w:lang w:val="en-GB"/>
        </w:rPr>
        <w:t xml:space="preserve">meltdown is possible in a broad range of ecosystems, there </w:t>
      </w:r>
      <w:r w:rsidR="7FF6CB63" w:rsidRPr="728F2DAF">
        <w:rPr>
          <w:lang w:val="en-GB"/>
        </w:rPr>
        <w:t>is thus far</w:t>
      </w:r>
      <w:r w:rsidR="3B25B5FE" w:rsidRPr="728F2DAF">
        <w:rPr>
          <w:lang w:val="en-GB"/>
        </w:rPr>
        <w:t xml:space="preserve"> very little published evidence of an accelerated accumulation of </w:t>
      </w:r>
      <w:r w:rsidR="33318949" w:rsidRPr="728F2DAF">
        <w:rPr>
          <w:lang w:val="en-GB"/>
        </w:rPr>
        <w:t xml:space="preserve">invasive alien species </w:t>
      </w:r>
      <w:r w:rsidR="3B25B5FE" w:rsidRPr="728F2DAF">
        <w:rPr>
          <w:lang w:val="en-GB"/>
        </w:rPr>
        <w:t xml:space="preserve">attributable to these facilitations (but see </w:t>
      </w:r>
      <w:r w:rsidR="0332760F" w:rsidRPr="728F2DAF">
        <w:rPr>
          <w:lang w:val="en-GB"/>
        </w:rPr>
        <w:fldChar w:fldCharType="begin"/>
      </w:r>
      <w:r w:rsidR="00331A79">
        <w:rPr>
          <w:lang w:val="en-GB"/>
        </w:rPr>
        <w:instrText xml:space="preserve"> ADDIN ZOTERO_ITEM CSL_CITATION {"citationID":"BCIKZohr","properties":{"formattedCitation":"(O\\uc0\\u8217{}Dowd et al., 2003; Ricciardi, 2001; Simberloff &amp; Von Holle, 1999)","plainCitation":"(O’Dowd et al., 2003; Ricciardi, 2001; Simberloff &amp; Von Holle, 1999)","dontUpdate":true,"noteIndex":0},"citationItems":[{"id":25219,"uris":["http://zotero.org/groups/2352922/items/C2TNB2T6"],"itemData":{"id":25219,"type":"article-journal","abstract":"Islands can serve as model systems for understanding how biological invasions affect\ncommunity structure and ecosystem function. Here we show invasion by the alien crazy\nant Anoplolepis gracilipes causes a rapid, catastrophic shift in the rain forest ecosystem of a\ntropical oceanic island, affecting at least three trophic levels. In invaded areas, crazy ants\nextirpate the red land crab, the dominant endemic consumer on the forest floor. In doing\nso, crazy ants indirectly release seedling recruitment, enhance species richness of seedlings,\nand slow litter breakdown. In the forest canopy, new associations between this invasive ant\nand honeydew-secreting scale insects accelerate and diversify impacts. Sustained high\ndensities of foraging ants on canopy trees result in high population densities of hostgeneralist\nscale insects and growth of sooty moulds, leading to canopy dieback and even\ndeaths of canopy trees. The indirect fallout from the displacement of a native  keystone \nspecies by an ant invader, itself abetted by introduced/cryptogenic mutualists, produces\nsynergism in impacts to precipitate invasional  meltdown  in this system.","container-title":"Ecology Letters","DOI":"10.1046/j.1461-0248.2003.00512.x","ISSN":"1461-0248","issue":"9","language":"EN","page":"812-817","source":"Wiley Online Library","title":"Invasional ‘meltdown’ on an oceanic island","URL":"https://onlinelibrary.wiley.com/doi/abs/10.1046/j.1461-0248.2003.00512.x","volume":"6","author":[{"family":"O’Dowd","given":"Dennis J."},{"family":"Green","given":"Peter T."},{"family":"Lake","given":"P. S."}],"issued":{"date-parts":[["2003"]]}}},{"id":10311,"uris":["http://zotero.org/groups/2352922/items/R5SBL922"],"itemData":{"id":10311,"type":"article-journal","container-title":"Canadian Journal of Fisheries and Aquatic Sciences","DOI":"10.1139/f01-178","ISSN":"0706-652X, 1205-7533","issue":"12","journalAbbreviation":"Can. J. Fish. Aquat. Sci.","language":"en","page":"2513-2525","source":"DOI.org (Crossref)","title":"Facilitative interactions among aquatic invaders: is an \"invasional meltdown\" occurring in the Great Lakes?","title-short":"Facilitative interactions among aquatic invaders","URL":"http://www.nrcresearchpress.com/doi/10.1139/f01-178","volume":"58","author":[{"family":"Ricciardi","given":"Anthony"}],"accessed":{"date-parts":[["2019",10,21]]},"issued":{"date-parts":[["2001",12]]}}},{"id":26618,"uris":["http://zotero.org/groups/2352922/items/HIF9FQTF"],"itemData":{"id":26618,"type":"article-journal","abstract":"Study of interactions between pairs or larger groups of nonindigenous species has been subordinated in the literature to study of interactions between nonindigenous and native species. To the extent that interactions among introduced species are depicted at all, the emphasis has been on negative interactions, primarily resource competition and interference. However, a literature search reveals that introduced species frequently interact with one another and that facilitative interactions are at least as common as detrimental ones. The population significance of these interactions has rarely been determined, but a great variety of types of direct and indirect interactions among individuals of different nonindigenous species is observed, and many are plausibly believed to have consequences at the population level. In particular, mutualisms between plants and the animals that disperse and/or pollinate them and modification of habitat by both animals and plants seem common and often important in facilitating invasions. There is little evidence that interference among introduced species at levels currently observed significantly impedes further invasions, and synergistic interactions among invaders may well lead to accelerated impacts on native ecosystems – an invasional ‘meltdown’ process.","container-title":"Biological Invasions","DOI":"10.1023/A:1010086329619","ISSN":"1573-1464","issue":"1","journalAbbreviation":"Biological Invasions","language":"en","page":"21-32","source":"Springer Link","title":"Positive Interactions of Nonindigenous Species: Invasional Meltdown?","title-short":"Positive Interactions of Nonindigenous Species","URL":"https://doi.org/10.1023/A:1010086329619","volume":"1","author":[{"family":"Simberloff","given":"Daniel"},{"family":"Von Holle","given":"Betsy"}],"accessed":{"date-parts":[["2019",10,28]]},"issued":{"date-parts":[["1999",3,1]]}},"label":"page"}],"schema":"https://github.com/citation-style-language/schema/raw/master/csl-citation.json"} </w:instrText>
      </w:r>
      <w:r w:rsidR="0332760F" w:rsidRPr="728F2DAF">
        <w:rPr>
          <w:lang w:val="en-GB"/>
        </w:rPr>
        <w:fldChar w:fldCharType="separate"/>
      </w:r>
      <w:r w:rsidR="660CE2C0" w:rsidRPr="728F2DAF">
        <w:rPr>
          <w:lang w:val="en-GB"/>
        </w:rPr>
        <w:t>O’Dowd et al., 2003; Ricciardi, 2001; Simberloff &amp; Von Holle, 1999)</w:t>
      </w:r>
      <w:r w:rsidR="0332760F" w:rsidRPr="728F2DAF">
        <w:rPr>
          <w:lang w:val="en-GB"/>
        </w:rPr>
        <w:fldChar w:fldCharType="end"/>
      </w:r>
      <w:r w:rsidR="660CE2C0" w:rsidRPr="728F2DAF">
        <w:rPr>
          <w:lang w:val="en-GB"/>
        </w:rPr>
        <w:t>.</w:t>
      </w:r>
    </w:p>
    <w:p w14:paraId="4C5D5E0A" w14:textId="14D85AA8" w:rsidR="0041334B" w:rsidRPr="00DA249F" w:rsidRDefault="0041334B" w:rsidP="00FC1BA2">
      <w:pPr>
        <w:pStyle w:val="Caption"/>
        <w:pBdr>
          <w:top w:val="single" w:sz="4" w:space="1" w:color="auto"/>
          <w:left w:val="single" w:sz="4" w:space="1" w:color="auto"/>
          <w:bottom w:val="single" w:sz="4" w:space="1" w:color="auto"/>
          <w:right w:val="single" w:sz="4" w:space="1" w:color="auto"/>
        </w:pBdr>
        <w:shd w:val="clear" w:color="auto" w:fill="E7E6E6" w:themeFill="background2"/>
        <w:rPr>
          <w:lang w:val="en-GB"/>
        </w:rPr>
      </w:pPr>
      <w:bookmarkStart w:id="200" w:name="_Ref104903427"/>
      <w:bookmarkStart w:id="201" w:name="_Toc158373494"/>
      <w:r w:rsidRPr="00DA249F">
        <w:rPr>
          <w:lang w:val="en-GB"/>
        </w:rPr>
        <w:t>Box 3.</w:t>
      </w:r>
      <w:r w:rsidRPr="00DA249F">
        <w:rPr>
          <w:lang w:val="en-GB"/>
        </w:rPr>
        <w:fldChar w:fldCharType="begin"/>
      </w:r>
      <w:r w:rsidRPr="00DA249F">
        <w:rPr>
          <w:lang w:val="en-GB"/>
        </w:rPr>
        <w:instrText xml:space="preserve"> SEQ Box_3. \* ARABIC </w:instrText>
      </w:r>
      <w:r w:rsidRPr="00DA249F">
        <w:rPr>
          <w:lang w:val="en-GB"/>
        </w:rPr>
        <w:fldChar w:fldCharType="separate"/>
      </w:r>
      <w:r w:rsidR="00287BC7">
        <w:rPr>
          <w:noProof/>
          <w:lang w:val="en-GB"/>
        </w:rPr>
        <w:t>10</w:t>
      </w:r>
      <w:r w:rsidRPr="00DA249F">
        <w:rPr>
          <w:lang w:val="en-GB"/>
        </w:rPr>
        <w:fldChar w:fldCharType="end"/>
      </w:r>
      <w:bookmarkEnd w:id="200"/>
      <w:r w:rsidR="00313D39" w:rsidRPr="00DA249F">
        <w:rPr>
          <w:lang w:val="en-GB"/>
        </w:rPr>
        <w:t>.</w:t>
      </w:r>
      <w:r w:rsidRPr="00DA249F">
        <w:rPr>
          <w:lang w:val="en-GB"/>
        </w:rPr>
        <w:t xml:space="preserve"> Three-way invasional meltdown: invasive </w:t>
      </w:r>
      <w:r w:rsidR="00454740" w:rsidRPr="00DA249F">
        <w:rPr>
          <w:lang w:val="en-GB"/>
        </w:rPr>
        <w:t xml:space="preserve">alien </w:t>
      </w:r>
      <w:r w:rsidRPr="00DA249F">
        <w:rPr>
          <w:lang w:val="en-GB"/>
        </w:rPr>
        <w:t xml:space="preserve">ungulates disperse invasive </w:t>
      </w:r>
      <w:r w:rsidR="00454740" w:rsidRPr="00DA249F">
        <w:rPr>
          <w:lang w:val="en-GB"/>
        </w:rPr>
        <w:t xml:space="preserve">alien </w:t>
      </w:r>
      <w:r w:rsidRPr="00DA249F">
        <w:rPr>
          <w:lang w:val="en-GB"/>
        </w:rPr>
        <w:t>fungi that facilitate pine invasions</w:t>
      </w:r>
      <w:bookmarkEnd w:id="201"/>
    </w:p>
    <w:p w14:paraId="34ED77AE" w14:textId="07360D19" w:rsidR="0041334B" w:rsidRPr="00DA249F" w:rsidRDefault="0041334B" w:rsidP="00FC1BA2">
      <w:pPr>
        <w:pBdr>
          <w:top w:val="single" w:sz="4" w:space="1" w:color="auto"/>
          <w:left w:val="single" w:sz="4" w:space="1" w:color="auto"/>
          <w:bottom w:val="single" w:sz="4" w:space="1" w:color="auto"/>
          <w:right w:val="single" w:sz="4" w:space="1" w:color="auto"/>
        </w:pBdr>
        <w:shd w:val="clear" w:color="auto" w:fill="E7E6E6" w:themeFill="background2"/>
        <w:rPr>
          <w:lang w:val="en-GB"/>
        </w:rPr>
      </w:pPr>
      <w:r w:rsidRPr="00DA249F">
        <w:rPr>
          <w:lang w:val="en-GB"/>
        </w:rPr>
        <w:t xml:space="preserve">One example of invasional meltdown that involves belowground mechanisms of facilitation, is that of </w:t>
      </w:r>
      <w:bookmarkStart w:id="202" w:name="OLE_LINK1"/>
      <w:r w:rsidR="00086A78" w:rsidRPr="00DA249F">
        <w:rPr>
          <w:lang w:val="en-GB"/>
        </w:rPr>
        <w:t xml:space="preserve">alien </w:t>
      </w:r>
      <w:r w:rsidRPr="00DA249F">
        <w:rPr>
          <w:lang w:val="en-GB"/>
        </w:rPr>
        <w:t xml:space="preserve">ungulates dispersing </w:t>
      </w:r>
      <w:r w:rsidR="00086A78" w:rsidRPr="00DA249F">
        <w:rPr>
          <w:lang w:val="en-GB"/>
        </w:rPr>
        <w:t>alien</w:t>
      </w:r>
      <w:r w:rsidR="006E73C6" w:rsidRPr="00DA249F">
        <w:rPr>
          <w:lang w:val="en-GB"/>
        </w:rPr>
        <w:t xml:space="preserve"> </w:t>
      </w:r>
      <w:r w:rsidRPr="00DA249F">
        <w:rPr>
          <w:lang w:val="en-GB"/>
        </w:rPr>
        <w:t xml:space="preserve">ectomycorrhizal fungi, in turn facilitating the invasion </w:t>
      </w:r>
      <w:r w:rsidR="004D0448" w:rsidRPr="00DA249F">
        <w:rPr>
          <w:lang w:val="en-GB"/>
        </w:rPr>
        <w:t xml:space="preserve">by </w:t>
      </w:r>
      <w:r w:rsidR="00086A78" w:rsidRPr="00DA249F">
        <w:rPr>
          <w:lang w:val="en-GB"/>
        </w:rPr>
        <w:t xml:space="preserve">alien </w:t>
      </w:r>
      <w:r w:rsidRPr="00DA249F">
        <w:rPr>
          <w:lang w:val="en-GB"/>
        </w:rPr>
        <w:t xml:space="preserve">pine trees </w:t>
      </w:r>
      <w:bookmarkEnd w:id="202"/>
      <w:r w:rsidRPr="00DA249F">
        <w:rPr>
          <w:lang w:val="en-GB"/>
        </w:rPr>
        <w:t>(</w:t>
      </w:r>
      <w:r w:rsidR="00DC2990">
        <w:rPr>
          <w:b/>
          <w:bCs/>
          <w:iCs/>
          <w:lang w:val="en-GB"/>
        </w:rPr>
        <w:t>Figure</w:t>
      </w:r>
      <w:r w:rsidR="00630DAB">
        <w:rPr>
          <w:b/>
          <w:bCs/>
          <w:iCs/>
          <w:lang w:val="en-GB"/>
        </w:rPr>
        <w:t xml:space="preserve"> 3.22</w:t>
      </w:r>
      <w:r w:rsidRPr="00DA249F">
        <w:rPr>
          <w:lang w:val="en-GB"/>
        </w:rPr>
        <w:t xml:space="preserve">). </w:t>
      </w:r>
      <w:r w:rsidR="00706974" w:rsidRPr="00DA249F">
        <w:rPr>
          <w:lang w:val="en-GB"/>
        </w:rPr>
        <w:t xml:space="preserve">Introduced pine </w:t>
      </w:r>
      <w:r w:rsidRPr="00DA249F">
        <w:rPr>
          <w:lang w:val="en-GB"/>
        </w:rPr>
        <w:t xml:space="preserve">trees </w:t>
      </w:r>
      <w:r w:rsidR="00706974" w:rsidRPr="00DA249F">
        <w:rPr>
          <w:lang w:val="en-GB"/>
        </w:rPr>
        <w:t xml:space="preserve">have become invasive in many parts of the </w:t>
      </w:r>
      <w:r w:rsidR="00E978B6" w:rsidRPr="00DA249F">
        <w:rPr>
          <w:lang w:val="en-GB"/>
        </w:rPr>
        <w:t>s</w:t>
      </w:r>
      <w:r w:rsidR="00706974" w:rsidRPr="00DA249F">
        <w:rPr>
          <w:lang w:val="en-GB"/>
        </w:rPr>
        <w:t xml:space="preserve">outhern </w:t>
      </w:r>
      <w:r w:rsidR="00E978B6" w:rsidRPr="00DA249F">
        <w:rPr>
          <w:lang w:val="en-GB"/>
        </w:rPr>
        <w:t>h</w:t>
      </w:r>
      <w:r w:rsidR="00706974" w:rsidRPr="00DA249F">
        <w:rPr>
          <w:lang w:val="en-GB"/>
        </w:rPr>
        <w:t>emisphere</w:t>
      </w:r>
      <w:r w:rsidRPr="00DA249F">
        <w:rPr>
          <w:lang w:val="en-GB"/>
        </w:rPr>
        <w:t xml:space="preserve"> and cause profound ecological, social and economic impacts. Pine tree establishment and growth </w:t>
      </w:r>
      <w:r w:rsidR="00E978B6" w:rsidRPr="00DA249F">
        <w:rPr>
          <w:lang w:val="en-GB"/>
        </w:rPr>
        <w:t>are</w:t>
      </w:r>
      <w:r w:rsidRPr="00DA249F">
        <w:rPr>
          <w:lang w:val="en-GB"/>
        </w:rPr>
        <w:t xml:space="preserve"> critically dependent on the interaction with ectomycorrhizal fungi</w:t>
      </w:r>
      <w:r w:rsidR="00E978B6" w:rsidRPr="00DA249F">
        <w:rPr>
          <w:lang w:val="en-GB"/>
        </w:rPr>
        <w:t>,</w:t>
      </w:r>
      <w:r w:rsidR="006D0597" w:rsidRPr="00DA249F">
        <w:rPr>
          <w:lang w:val="en-GB"/>
        </w:rPr>
        <w:t xml:space="preserve"> </w:t>
      </w:r>
      <w:r w:rsidRPr="00DA249F">
        <w:rPr>
          <w:lang w:val="en-GB"/>
        </w:rPr>
        <w:t>which provide nutrients, water</w:t>
      </w:r>
      <w:r w:rsidR="00774819">
        <w:rPr>
          <w:lang w:val="en-GB"/>
        </w:rPr>
        <w:t xml:space="preserve"> and</w:t>
      </w:r>
      <w:r w:rsidRPr="00DA249F">
        <w:rPr>
          <w:lang w:val="en-GB"/>
        </w:rPr>
        <w:t xml:space="preserve"> protection against pathogens, in exchange for plant carbon. Pine trees </w:t>
      </w:r>
      <w:r w:rsidR="005236DB" w:rsidRPr="00DA249F">
        <w:rPr>
          <w:lang w:val="en-GB"/>
        </w:rPr>
        <w:t>thus</w:t>
      </w:r>
      <w:r w:rsidRPr="00DA249F">
        <w:rPr>
          <w:lang w:val="en-GB"/>
        </w:rPr>
        <w:t xml:space="preserve"> co-invade with </w:t>
      </w:r>
      <w:r w:rsidR="00086A78" w:rsidRPr="00DA249F">
        <w:rPr>
          <w:lang w:val="en-GB"/>
        </w:rPr>
        <w:t xml:space="preserve">alien </w:t>
      </w:r>
      <w:r w:rsidRPr="00DA249F">
        <w:rPr>
          <w:lang w:val="en-GB"/>
        </w:rPr>
        <w:t xml:space="preserve">ectomycorrhizal fungi. As ectomycorrhizal fungi disperse independently from pine trees, some ectomycorrhizal fungi species are able to disperse away from the original place of introduction, establish a spore bank, and make stands </w:t>
      </w:r>
      <w:r w:rsidR="007454DA" w:rsidRPr="00DA249F">
        <w:rPr>
          <w:lang w:val="en-GB"/>
        </w:rPr>
        <w:t xml:space="preserve">of native species </w:t>
      </w:r>
      <w:r w:rsidRPr="00DA249F">
        <w:rPr>
          <w:lang w:val="en-GB"/>
        </w:rPr>
        <w:t xml:space="preserve">more susceptible to pine invasions. In turn, invasive </w:t>
      </w:r>
      <w:r w:rsidR="00086A78" w:rsidRPr="00DA249F">
        <w:rPr>
          <w:lang w:val="en-GB"/>
        </w:rPr>
        <w:t xml:space="preserve">alien </w:t>
      </w:r>
      <w:r w:rsidRPr="00DA249F">
        <w:rPr>
          <w:lang w:val="en-GB"/>
        </w:rPr>
        <w:t xml:space="preserve">ungulates consume </w:t>
      </w:r>
      <w:r w:rsidR="00086A78" w:rsidRPr="00DA249F">
        <w:rPr>
          <w:lang w:val="en-GB"/>
        </w:rPr>
        <w:t xml:space="preserve">alien </w:t>
      </w:r>
      <w:r w:rsidRPr="00DA249F">
        <w:rPr>
          <w:lang w:val="en-GB"/>
        </w:rPr>
        <w:t>ectomycorrhizal fung</w:t>
      </w:r>
      <w:r w:rsidR="008A5BCD" w:rsidRPr="00DA249F">
        <w:rPr>
          <w:lang w:val="en-GB"/>
        </w:rPr>
        <w:t>al</w:t>
      </w:r>
      <w:r w:rsidRPr="00DA249F">
        <w:rPr>
          <w:lang w:val="en-GB"/>
        </w:rPr>
        <w:t xml:space="preserve"> sporocarps and disperse the spores of some ectomycorrhizal fungi species through their f</w:t>
      </w:r>
      <w:r w:rsidR="004E51B2">
        <w:rPr>
          <w:lang w:val="en-GB"/>
        </w:rPr>
        <w:t>a</w:t>
      </w:r>
      <w:r w:rsidRPr="00DA249F">
        <w:rPr>
          <w:lang w:val="en-GB"/>
        </w:rPr>
        <w:t xml:space="preserve">eces </w:t>
      </w:r>
      <w:r w:rsidRPr="00DA249F">
        <w:rPr>
          <w:lang w:val="en-GB"/>
        </w:rPr>
        <w:fldChar w:fldCharType="begin" w:fldLock="1"/>
      </w:r>
      <w:r w:rsidR="00331A79">
        <w:rPr>
          <w:lang w:val="en-GB"/>
        </w:rPr>
        <w:instrText xml:space="preserve"> ADDIN ZOTERO_ITEM CSL_CITATION {"citationID":"JQjnsrPO","properties":{"formattedCitation":"(Nu\\uc0\\u241{}ez et al., 2013)","plainCitation":"(Nuñez et al., 2013)","noteIndex":0},"citationItems":[{"id":12607,"uris":["http://zotero.org/groups/2352922/items/8JUY2FVD"],"itemData":{"id":12607,"type":"article-journal","container-title":"PLoS ONE","DOI":"10.1371/journal.pone.0066832","ISSN":"1932-6203","issue":"6","journalAbbreviation":"PLoS ONE","language":"en","page":"e66832","source":"DOI.org (Crossref)","title":"Exotic Mammals Disperse Exotic Fungi That Promote Invasion by Exotic Trees","URL":"https://dx.plos.org/10.1371/journal.pone.0066832","volume":"8","author":[{"family":"Nuñez","given":"Martin A."},{"family":"Hayward","given":"Jeremy"},{"family":"Horton","given":"Thomas R."},{"family":"Amico","given":"Guillermo C."},{"family":"Dimarco","given":"Romina D."},{"family":"Barrios-Garcia","given":"M. Noelia"},{"family":"Simberloff","given":"Daniel"}],"editor":[{"family":"Bello","given":"Francesco","non-dropping-particle":"de"}],"accessed":{"date-parts":[["2019",10,21]]},"issued":{"date-parts":[["2013",6,24]]}},"label":"page"}],"schema":"https://github.com/citation-style-language/schema/raw/master/csl-citation.json"} </w:instrText>
      </w:r>
      <w:r w:rsidRPr="00DA249F">
        <w:rPr>
          <w:lang w:val="en-GB"/>
        </w:rPr>
        <w:fldChar w:fldCharType="separate"/>
      </w:r>
      <w:r w:rsidR="00144D96" w:rsidRPr="00144D96">
        <w:rPr>
          <w:szCs w:val="24"/>
        </w:rPr>
        <w:t>(Nuñez et al., 2013)</w:t>
      </w:r>
      <w:r w:rsidRPr="00DA249F">
        <w:rPr>
          <w:lang w:val="en-GB"/>
        </w:rPr>
        <w:fldChar w:fldCharType="end"/>
      </w:r>
      <w:r w:rsidRPr="00DA249F">
        <w:rPr>
          <w:lang w:val="en-GB"/>
        </w:rPr>
        <w:t xml:space="preserve">. This mechanism of dispersal is crucial </w:t>
      </w:r>
      <w:r w:rsidR="00913D8A" w:rsidRPr="00DA249F">
        <w:rPr>
          <w:lang w:val="en-GB"/>
        </w:rPr>
        <w:t xml:space="preserve">for </w:t>
      </w:r>
      <w:r w:rsidR="00AD4071" w:rsidRPr="00DA249F">
        <w:rPr>
          <w:lang w:val="en-GB"/>
        </w:rPr>
        <w:t xml:space="preserve">the </w:t>
      </w:r>
      <w:r w:rsidR="00033E66" w:rsidRPr="00DA249F">
        <w:rPr>
          <w:lang w:val="en-GB"/>
        </w:rPr>
        <w:t>pine</w:t>
      </w:r>
      <w:r w:rsidR="003E11D0" w:rsidRPr="00DA249F">
        <w:rPr>
          <w:lang w:val="en-GB"/>
        </w:rPr>
        <w:t>-</w:t>
      </w:r>
      <w:r w:rsidR="00AD4071" w:rsidRPr="00DA249F">
        <w:rPr>
          <w:lang w:val="en-GB"/>
        </w:rPr>
        <w:t>ectomycorrhiza</w:t>
      </w:r>
      <w:r w:rsidR="003E11D0" w:rsidRPr="00DA249F">
        <w:rPr>
          <w:lang w:val="en-GB"/>
        </w:rPr>
        <w:t xml:space="preserve"> symbiosis</w:t>
      </w:r>
      <w:r w:rsidRPr="00DA249F">
        <w:rPr>
          <w:lang w:val="en-GB"/>
        </w:rPr>
        <w:t xml:space="preserve"> both in the </w:t>
      </w:r>
      <w:r w:rsidR="0077410B" w:rsidRPr="00DA249F">
        <w:rPr>
          <w:lang w:val="en-GB"/>
        </w:rPr>
        <w:t>alien</w:t>
      </w:r>
      <w:r w:rsidRPr="00DA249F">
        <w:rPr>
          <w:lang w:val="en-GB"/>
        </w:rPr>
        <w:t xml:space="preserve"> and native ranges fungi, especially for those ectomycorrhizal fungi that produce hypogenous sporocarps (i.e., truffle-like fungi), which are proposed to exclusively rely on mammal-mediated dispersal (</w:t>
      </w:r>
      <w:r w:rsidR="00DC2990">
        <w:rPr>
          <w:b/>
          <w:bCs/>
          <w:iCs/>
          <w:lang w:val="en-GB"/>
        </w:rPr>
        <w:t>Figure</w:t>
      </w:r>
      <w:r w:rsidR="00630DAB">
        <w:rPr>
          <w:b/>
          <w:bCs/>
          <w:iCs/>
          <w:lang w:val="en-GB"/>
        </w:rPr>
        <w:t xml:space="preserve"> 3.22</w:t>
      </w:r>
      <w:r w:rsidRPr="00DA249F">
        <w:rPr>
          <w:lang w:val="en-GB"/>
        </w:rPr>
        <w:t xml:space="preserve">). Invasive ungulates can disperse viable spores in high densities, far beyond the distance they typically disperse through wind </w:t>
      </w:r>
      <w:r w:rsidRPr="00DA249F">
        <w:rPr>
          <w:lang w:val="en-GB"/>
        </w:rPr>
        <w:fldChar w:fldCharType="begin" w:fldLock="1"/>
      </w:r>
      <w:r w:rsidR="00331A79">
        <w:rPr>
          <w:lang w:val="en-GB"/>
        </w:rPr>
        <w:instrText xml:space="preserve"> ADDIN ZOTERO_ITEM CSL_CITATION {"citationID":"Vyr9LuNg","properties":{"formattedCitation":"(Horton, 2017)","plainCitation":"(Horton, 2017)","noteIndex":0},"citationItems":[{"id":10224,"uris":["http://zotero.org/groups/2352922/items/ESGDN7IX"],"itemData":{"id":10224,"type":"chapter","abstract":"The influence of life history traits on the dispersal of ectomycorrhizal (EcM) fungi is reviewed. Spores are liberated from aboveground (epigeous) sporocarps through either ballistosporic discharge down to the ground (Basidiomycota) or bursting of asci up into the air (Ascomycota). Recent studies have shown that many spores fall close to the source sporocarp, increasing the probability of germinants coming into contact with compatible host roots and mating types but also potential competitors. Spores of both Ascomycota and Basidiomycota are also transported via wind, becoming increasingly diffuse with distance. Ascospores can establish new individuals from single spores as homokaryons, but a diffuse spore rain can reduce the chance for establishing dikaryons in new locations for Basidiomycota. Spores dispersed via mycophagist animals (hypogeous fungi, but also epigeous fungi such as Suillus) are transported to new locations in fecal material that can contain millions of spores and abundant compatible mating types. A few species in Suillus and Laccaria/Hydnagium are known to produce dikaryotic spores that can establish new individuals from single spores. Some species produce dormant sexual spores (Rhizopogon) or asexual chlamydospores (Wilcoxina) and sclerotia (Cenococcum). These propagules can build up over time as a resistant propagule bank in soils. Fungi that produce dormant propagules contribute to EcM success in early successional settings and help these fungi coinvade new locations with their hosts.","collection-title":"Ecological Studies","container-title":"Biogeography of Mycorrhizal Symbiosis","event-place":"Cham","ISBN":"978-3-319-56363-3","language":"en","note":"DOI: 10.1007/978-3-319-56363-3_3","page":"61-78","publisher":"Springer International Publishing","publisher-place":"Cham","source":"Springer Link","title":"Spore Dispersal in Ectomycorrhizal Fungi at Fine and Regional Scales","URL":"https://doi.org/10.1007/978-3-319-56363-3_3","author":[{"family":"Horton","given":"Thomas R."}],"editor":[{"family":"Tedersoo","given":"Leho"}],"accessed":{"date-parts":[["2021",10,26]]},"issued":{"date-parts":[["2017"]]}},"label":"page"}],"schema":"https://github.com/citation-style-language/schema/raw/master/csl-citation.json"} </w:instrText>
      </w:r>
      <w:r w:rsidRPr="00DA249F">
        <w:rPr>
          <w:lang w:val="en-GB"/>
        </w:rPr>
        <w:fldChar w:fldCharType="separate"/>
      </w:r>
      <w:r w:rsidR="00144D96" w:rsidRPr="00144D96">
        <w:t>(Horton, 2017)</w:t>
      </w:r>
      <w:r w:rsidRPr="00DA249F">
        <w:rPr>
          <w:lang w:val="en-GB"/>
        </w:rPr>
        <w:fldChar w:fldCharType="end"/>
      </w:r>
      <w:r w:rsidRPr="00DA249F">
        <w:rPr>
          <w:lang w:val="en-GB"/>
        </w:rPr>
        <w:t xml:space="preserve">. This scale of dispersal is important considering the scale at which </w:t>
      </w:r>
      <w:r w:rsidR="004D0448" w:rsidRPr="00DA249F">
        <w:rPr>
          <w:lang w:val="en-GB"/>
        </w:rPr>
        <w:t xml:space="preserve">biological </w:t>
      </w:r>
      <w:r w:rsidRPr="00DA249F">
        <w:rPr>
          <w:lang w:val="en-GB"/>
        </w:rPr>
        <w:t xml:space="preserve">invasion occurs. Although not all ectomycorrhizal fungi species survive this form of dispersal, evidence shows that those ectomycorrhizal fungi species that survive or even depend upon mammal-mediated dispersal are </w:t>
      </w:r>
      <w:r w:rsidR="00E25FE8">
        <w:rPr>
          <w:lang w:val="en-GB"/>
        </w:rPr>
        <w:t>among</w:t>
      </w:r>
      <w:r w:rsidR="00E25FE8" w:rsidRPr="00DA249F">
        <w:rPr>
          <w:lang w:val="en-GB"/>
        </w:rPr>
        <w:t xml:space="preserve"> </w:t>
      </w:r>
      <w:r w:rsidRPr="00DA249F">
        <w:rPr>
          <w:lang w:val="en-GB"/>
        </w:rPr>
        <w:t xml:space="preserve">the most invasive ectomycorrhizal fungi </w:t>
      </w:r>
      <w:r w:rsidRPr="00DA249F">
        <w:rPr>
          <w:lang w:val="en-GB"/>
        </w:rPr>
        <w:fldChar w:fldCharType="begin" w:fldLock="1"/>
      </w:r>
      <w:r w:rsidR="00331A79">
        <w:rPr>
          <w:lang w:val="en-GB"/>
        </w:rPr>
        <w:instrText xml:space="preserve"> ADDIN ZOTERO_ITEM CSL_CITATION {"citationID":"M1w5kHWG","properties":{"formattedCitation":"(Policelli et al., 2019)","plainCitation":"(Policelli et al., 2019)","noteIndex":0},"citationItems":[{"id":10223,"uris":["http://zotero.org/groups/2352922/items/KZM3ELW7"],"itemData":{"id":10223,"type":"article-journal","abstract":"Belowground biota can deeply influence plant invasion. The presence of appropriate soil mutualists can act as a driver to enable plants to colonize new ranges. We reviewed the species of ectomycorrhizal fungi (EMF) that facilitate pine establishment in both native and non-native ranges, and that are associated with their invasion into nonforest settings. We found that one particular group of EMF, suilloid fungi, uniquely drive pine invasion in the absence of other EMF. Although the association with other EMF is variable, suilloid EMF are always associated with invasive pines, particularly at early invasion, when invasive trees are most vulnerable. We identified five main ecological traits of suilloid fungi that may explain their key role at pine invasions: their long-distance dispersal capacity, the establishment of positive biotic interactions with mammals, their capacity to generate a resistant spore bank, their rapid colonization of roots and their long-distance exploration type. These results suggest that the identity of mycorrhizal fungi and their ecological interactions, rather than simply the presence of compatible fungi, are key to the understanding of plant invasion processes and their success or failure. Particularly for pines, their specific association with suilloid fungi determines their invasion success in previously uninvaded ecosystems.","container-title":"New Phytologist","DOI":"10.1111/nph.15660","ISSN":"1469-8137","issue":"2","language":"en","note":"_eprint: https://onlinelibrary.wiley.com/doi/pdf/10.1111/nph.15660","page":"714-725","source":"Wiley Online Library","title":"Suilloid fungi as global drivers of pine invasions","URL":"https://onlinelibrary.wiley.com/doi/abs/10.1111/nph.15660","volume":"222","author":[{"family":"Policelli","given":"Nahuel"},{"family":"Bruns","given":"Thomas D."},{"family":"Vilgalys","given":"Rytas"},{"family":"Nuñez","given":"Martin A."}],"accessed":{"date-parts":[["2021",10,26]]},"issued":{"date-parts":[["2019"]]}},"label":"page"}],"schema":"https://github.com/citation-style-language/schema/raw/master/csl-citation.json"} </w:instrText>
      </w:r>
      <w:r w:rsidRPr="00DA249F">
        <w:rPr>
          <w:lang w:val="en-GB"/>
        </w:rPr>
        <w:fldChar w:fldCharType="separate"/>
      </w:r>
      <w:r w:rsidR="00144D96" w:rsidRPr="00144D96">
        <w:t>(Policelli et al., 2019)</w:t>
      </w:r>
      <w:r w:rsidRPr="00DA249F">
        <w:rPr>
          <w:lang w:val="en-GB"/>
        </w:rPr>
        <w:fldChar w:fldCharType="end"/>
      </w:r>
      <w:r w:rsidRPr="00DA249F">
        <w:rPr>
          <w:lang w:val="en-GB"/>
        </w:rPr>
        <w:t>. Dispersal limitation of ectomycorrhizal fungi might be determinant for invasions</w:t>
      </w:r>
      <w:r w:rsidR="00AE26E5" w:rsidRPr="00DA249F">
        <w:rPr>
          <w:lang w:val="en-GB"/>
        </w:rPr>
        <w:t xml:space="preserve"> of Pinaceae</w:t>
      </w:r>
      <w:r w:rsidRPr="00DA249F">
        <w:rPr>
          <w:lang w:val="en-GB"/>
        </w:rPr>
        <w:t xml:space="preserve">. The absence of dispersal vectors, such as ungulates, could act as an impediment for </w:t>
      </w:r>
      <w:r w:rsidR="0031490E" w:rsidRPr="00DA249F">
        <w:rPr>
          <w:lang w:val="en-GB"/>
        </w:rPr>
        <w:t xml:space="preserve">viable </w:t>
      </w:r>
      <w:r w:rsidRPr="00DA249F">
        <w:rPr>
          <w:lang w:val="en-GB"/>
        </w:rPr>
        <w:t xml:space="preserve">ectomycorrhizal fungi propagules to reach sites far from the propagule source, in turn hindering the invasion </w:t>
      </w:r>
      <w:r w:rsidR="004D0448" w:rsidRPr="00DA249F">
        <w:rPr>
          <w:lang w:val="en-GB"/>
        </w:rPr>
        <w:t xml:space="preserve">by </w:t>
      </w:r>
      <w:r w:rsidRPr="00DA249F">
        <w:rPr>
          <w:lang w:val="en-GB"/>
        </w:rPr>
        <w:t xml:space="preserve">the </w:t>
      </w:r>
      <w:r w:rsidR="007454DA" w:rsidRPr="00DA249F">
        <w:rPr>
          <w:lang w:val="en-GB"/>
        </w:rPr>
        <w:t xml:space="preserve">alien </w:t>
      </w:r>
      <w:r w:rsidRPr="00DA249F">
        <w:rPr>
          <w:lang w:val="en-GB"/>
        </w:rPr>
        <w:t>plant host or increasing its lag time.</w:t>
      </w:r>
    </w:p>
    <w:p w14:paraId="15152415" w14:textId="77777777" w:rsidR="0041334B" w:rsidRPr="00DA249F" w:rsidRDefault="00630DAB" w:rsidP="00FC1BA2">
      <w:pPr>
        <w:pBdr>
          <w:top w:val="single" w:sz="4" w:space="1" w:color="auto"/>
          <w:left w:val="single" w:sz="4" w:space="1" w:color="auto"/>
          <w:bottom w:val="single" w:sz="4" w:space="1" w:color="auto"/>
          <w:right w:val="single" w:sz="4" w:space="1" w:color="auto"/>
        </w:pBdr>
        <w:shd w:val="clear" w:color="auto" w:fill="E7E6E6" w:themeFill="background2"/>
        <w:jc w:val="center"/>
        <w:rPr>
          <w:lang w:val="en-GB"/>
        </w:rPr>
      </w:pPr>
      <w:r w:rsidRPr="00630DAB">
        <w:rPr>
          <w:noProof/>
          <w:lang w:val="en-GB"/>
        </w:rPr>
        <w:lastRenderedPageBreak/>
        <w:drawing>
          <wp:inline distT="0" distB="0" distL="0" distR="0" wp14:anchorId="75011327" wp14:editId="7C010741">
            <wp:extent cx="6115050" cy="4335780"/>
            <wp:effectExtent l="0" t="0" r="6350" b="0"/>
            <wp:docPr id="59" name="Picture 59" descr="A diagram of a forest life cyc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Picture 59" descr="A diagram of a forest life cycle&#10;&#10;Description automatically generated"/>
                    <pic:cNvPicPr/>
                  </pic:nvPicPr>
                  <pic:blipFill>
                    <a:blip r:embed="rId42"/>
                    <a:stretch>
                      <a:fillRect/>
                    </a:stretch>
                  </pic:blipFill>
                  <pic:spPr>
                    <a:xfrm>
                      <a:off x="0" y="0"/>
                      <a:ext cx="6115050" cy="4335780"/>
                    </a:xfrm>
                    <a:prstGeom prst="rect">
                      <a:avLst/>
                    </a:prstGeom>
                    <a:ln>
                      <a:noFill/>
                    </a:ln>
                  </pic:spPr>
                </pic:pic>
              </a:graphicData>
            </a:graphic>
          </wp:inline>
        </w:drawing>
      </w:r>
    </w:p>
    <w:p w14:paraId="6715F33F" w14:textId="31370AAD" w:rsidR="003D53D6" w:rsidRPr="00DA249F" w:rsidRDefault="0041334B" w:rsidP="00FC1BA2">
      <w:pPr>
        <w:pStyle w:val="Caption"/>
        <w:pBdr>
          <w:top w:val="single" w:sz="4" w:space="1" w:color="auto"/>
          <w:left w:val="single" w:sz="4" w:space="1" w:color="auto"/>
          <w:bottom w:val="single" w:sz="4" w:space="1" w:color="auto"/>
          <w:right w:val="single" w:sz="4" w:space="1" w:color="auto"/>
        </w:pBdr>
        <w:shd w:val="clear" w:color="auto" w:fill="E7E6E6" w:themeFill="background2"/>
        <w:rPr>
          <w:b w:val="0"/>
          <w:bCs w:val="0"/>
          <w:lang w:val="en-GB"/>
        </w:rPr>
      </w:pPr>
      <w:bookmarkStart w:id="203" w:name="_Ref104902743"/>
      <w:bookmarkStart w:id="204" w:name="_Toc147500907"/>
      <w:bookmarkStart w:id="205" w:name="_Hlk137719013"/>
      <w:r w:rsidRPr="6A2A8CB1">
        <w:rPr>
          <w:lang w:val="en-GB"/>
        </w:rPr>
        <w:t>Figure 3.</w:t>
      </w:r>
      <w:r w:rsidRPr="6A2A8CB1">
        <w:rPr>
          <w:lang w:val="en-GB"/>
        </w:rPr>
        <w:fldChar w:fldCharType="begin"/>
      </w:r>
      <w:r w:rsidRPr="6A2A8CB1">
        <w:rPr>
          <w:lang w:val="en-GB"/>
        </w:rPr>
        <w:instrText xml:space="preserve"> SEQ Figure_3. \* ARABIC </w:instrText>
      </w:r>
      <w:r w:rsidRPr="6A2A8CB1">
        <w:rPr>
          <w:lang w:val="en-GB"/>
        </w:rPr>
        <w:fldChar w:fldCharType="separate"/>
      </w:r>
      <w:r w:rsidR="00287BC7">
        <w:rPr>
          <w:noProof/>
          <w:lang w:val="en-GB"/>
        </w:rPr>
        <w:t>22</w:t>
      </w:r>
      <w:r w:rsidRPr="6A2A8CB1">
        <w:rPr>
          <w:lang w:val="en-GB"/>
        </w:rPr>
        <w:fldChar w:fldCharType="end"/>
      </w:r>
      <w:bookmarkEnd w:id="203"/>
      <w:r w:rsidR="00D47C04" w:rsidRPr="6A2A8CB1">
        <w:rPr>
          <w:lang w:val="en-GB"/>
        </w:rPr>
        <w:t>.</w:t>
      </w:r>
      <w:r w:rsidRPr="6A2A8CB1">
        <w:rPr>
          <w:lang w:val="en-GB"/>
        </w:rPr>
        <w:t xml:space="preserve"> </w:t>
      </w:r>
      <w:r w:rsidRPr="6A2A8CB1">
        <w:rPr>
          <w:b w:val="0"/>
          <w:bCs w:val="0"/>
          <w:lang w:val="en-GB"/>
        </w:rPr>
        <w:t xml:space="preserve">Diagram of the three-way invasional meltdown between invasive </w:t>
      </w:r>
      <w:r w:rsidR="00F04D6A" w:rsidRPr="6A2A8CB1">
        <w:rPr>
          <w:b w:val="0"/>
          <w:bCs w:val="0"/>
          <w:lang w:val="en-GB"/>
        </w:rPr>
        <w:t xml:space="preserve">alien </w:t>
      </w:r>
      <w:r w:rsidRPr="6A2A8CB1">
        <w:rPr>
          <w:b w:val="0"/>
          <w:bCs w:val="0"/>
          <w:lang w:val="en-GB"/>
        </w:rPr>
        <w:t xml:space="preserve">pine trees, invasive </w:t>
      </w:r>
      <w:r w:rsidR="00F04D6A" w:rsidRPr="6A2A8CB1">
        <w:rPr>
          <w:b w:val="0"/>
          <w:bCs w:val="0"/>
          <w:lang w:val="en-GB"/>
        </w:rPr>
        <w:t xml:space="preserve">alien </w:t>
      </w:r>
      <w:r w:rsidRPr="6A2A8CB1">
        <w:rPr>
          <w:b w:val="0"/>
          <w:bCs w:val="0"/>
          <w:lang w:val="en-GB"/>
        </w:rPr>
        <w:t>ectomycorrhizal fungi</w:t>
      </w:r>
      <w:r w:rsidR="00774819">
        <w:rPr>
          <w:b w:val="0"/>
          <w:bCs w:val="0"/>
          <w:lang w:val="en-GB"/>
        </w:rPr>
        <w:t xml:space="preserve"> and</w:t>
      </w:r>
      <w:r w:rsidRPr="6A2A8CB1">
        <w:rPr>
          <w:b w:val="0"/>
          <w:bCs w:val="0"/>
          <w:lang w:val="en-GB"/>
        </w:rPr>
        <w:t xml:space="preserve"> invasive </w:t>
      </w:r>
      <w:r w:rsidR="00F04D6A" w:rsidRPr="6A2A8CB1">
        <w:rPr>
          <w:b w:val="0"/>
          <w:bCs w:val="0"/>
          <w:lang w:val="en-GB"/>
        </w:rPr>
        <w:t xml:space="preserve">alien </w:t>
      </w:r>
      <w:r w:rsidRPr="6A2A8CB1">
        <w:rPr>
          <w:b w:val="0"/>
          <w:bCs w:val="0"/>
          <w:lang w:val="en-GB"/>
        </w:rPr>
        <w:t>ungulates.</w:t>
      </w:r>
      <w:r w:rsidRPr="6A2A8CB1">
        <w:rPr>
          <w:lang w:val="en-GB"/>
        </w:rPr>
        <w:t xml:space="preserve"> </w:t>
      </w:r>
      <w:r w:rsidRPr="6A2A8CB1">
        <w:rPr>
          <w:b w:val="0"/>
          <w:bCs w:val="0"/>
          <w:lang w:val="en-GB"/>
        </w:rPr>
        <w:t>Pine trees need ectomycorrhizal fungi to successfully invade</w:t>
      </w:r>
      <w:r w:rsidR="0045472A" w:rsidRPr="6A2A8CB1">
        <w:rPr>
          <w:b w:val="0"/>
          <w:bCs w:val="0"/>
          <w:lang w:val="en-GB"/>
        </w:rPr>
        <w:t xml:space="preserve"> (</w:t>
      </w:r>
      <w:r w:rsidR="0B7536DB" w:rsidRPr="00FC1BA2">
        <w:rPr>
          <w:b w:val="0"/>
          <w:bCs w:val="0"/>
          <w:lang w:val="en-GB"/>
        </w:rPr>
        <w:t>thick</w:t>
      </w:r>
      <w:r w:rsidR="0045472A" w:rsidRPr="6A2A8CB1">
        <w:rPr>
          <w:b w:val="0"/>
          <w:bCs w:val="0"/>
          <w:lang w:val="en-GB"/>
        </w:rPr>
        <w:t xml:space="preserve"> </w:t>
      </w:r>
      <w:r w:rsidR="30D01D3E" w:rsidRPr="6A2A8CB1">
        <w:rPr>
          <w:b w:val="0"/>
          <w:bCs w:val="0"/>
          <w:lang w:val="en-GB"/>
        </w:rPr>
        <w:t xml:space="preserve">middle </w:t>
      </w:r>
      <w:r w:rsidR="0045472A" w:rsidRPr="6A2A8CB1">
        <w:rPr>
          <w:b w:val="0"/>
          <w:bCs w:val="0"/>
          <w:lang w:val="en-GB"/>
        </w:rPr>
        <w:t>arrow)</w:t>
      </w:r>
      <w:r w:rsidRPr="6A2A8CB1">
        <w:rPr>
          <w:b w:val="0"/>
          <w:bCs w:val="0"/>
          <w:lang w:val="en-GB"/>
        </w:rPr>
        <w:t>. Pine seeds are mainly dispersed</w:t>
      </w:r>
      <w:r w:rsidR="00F1251A" w:rsidRPr="6A2A8CB1">
        <w:rPr>
          <w:b w:val="0"/>
          <w:bCs w:val="0"/>
          <w:lang w:val="en-GB"/>
        </w:rPr>
        <w:t xml:space="preserve"> by wind</w:t>
      </w:r>
      <w:r w:rsidR="0045472A" w:rsidRPr="6A2A8CB1">
        <w:rPr>
          <w:b w:val="0"/>
          <w:bCs w:val="0"/>
          <w:lang w:val="en-GB"/>
        </w:rPr>
        <w:t xml:space="preserve"> (</w:t>
      </w:r>
      <w:r w:rsidR="2CE473E9" w:rsidRPr="7232686A">
        <w:rPr>
          <w:b w:val="0"/>
          <w:bCs w:val="0"/>
          <w:lang w:val="en-GB"/>
        </w:rPr>
        <w:t>bottom</w:t>
      </w:r>
      <w:r w:rsidR="0045472A" w:rsidRPr="6A2A8CB1">
        <w:rPr>
          <w:b w:val="0"/>
          <w:bCs w:val="0"/>
          <w:lang w:val="en-GB"/>
        </w:rPr>
        <w:t xml:space="preserve"> arrow)</w:t>
      </w:r>
      <w:r w:rsidRPr="6A2A8CB1">
        <w:rPr>
          <w:b w:val="0"/>
          <w:bCs w:val="0"/>
          <w:lang w:val="en-GB"/>
        </w:rPr>
        <w:t xml:space="preserve">. Spores from ectomycorrhizal fungi can be dispersed through wind </w:t>
      </w:r>
      <w:r w:rsidR="0045472A" w:rsidRPr="6A2A8CB1">
        <w:rPr>
          <w:b w:val="0"/>
          <w:bCs w:val="0"/>
          <w:lang w:val="en-GB"/>
        </w:rPr>
        <w:t>(</w:t>
      </w:r>
      <w:r w:rsidR="03834D53" w:rsidRPr="6A2A8CB1">
        <w:rPr>
          <w:b w:val="0"/>
          <w:bCs w:val="0"/>
          <w:lang w:val="en-GB"/>
        </w:rPr>
        <w:t xml:space="preserve">upper </w:t>
      </w:r>
      <w:r w:rsidR="0045472A" w:rsidRPr="6A2A8CB1">
        <w:rPr>
          <w:b w:val="0"/>
          <w:bCs w:val="0"/>
          <w:lang w:val="en-GB"/>
        </w:rPr>
        <w:t xml:space="preserve">dotted line) </w:t>
      </w:r>
      <w:r w:rsidRPr="6A2A8CB1">
        <w:rPr>
          <w:b w:val="0"/>
          <w:bCs w:val="0"/>
          <w:lang w:val="en-GB"/>
        </w:rPr>
        <w:t xml:space="preserve">but some ectomycorrhizal fungi species present in the pine plantation produce sporocarps that are eaten by invasive </w:t>
      </w:r>
      <w:r w:rsidR="00DE2A2B" w:rsidRPr="6A2A8CB1">
        <w:rPr>
          <w:b w:val="0"/>
          <w:bCs w:val="0"/>
          <w:lang w:val="en-GB"/>
        </w:rPr>
        <w:t xml:space="preserve">alien </w:t>
      </w:r>
      <w:r w:rsidRPr="6A2A8CB1">
        <w:rPr>
          <w:b w:val="0"/>
          <w:bCs w:val="0"/>
          <w:lang w:val="en-GB"/>
        </w:rPr>
        <w:t>ungulates (wild boar and deer</w:t>
      </w:r>
      <w:r w:rsidR="0045472A" w:rsidRPr="6A2A8CB1">
        <w:rPr>
          <w:b w:val="0"/>
          <w:bCs w:val="0"/>
          <w:lang w:val="en-GB"/>
        </w:rPr>
        <w:t>;</w:t>
      </w:r>
      <w:r w:rsidR="00FD249C">
        <w:rPr>
          <w:b w:val="0"/>
          <w:bCs w:val="0"/>
          <w:lang w:val="en-GB"/>
        </w:rPr>
        <w:t xml:space="preserve"> </w:t>
      </w:r>
      <w:r w:rsidR="5E510773" w:rsidRPr="6A2A8CB1">
        <w:rPr>
          <w:b w:val="0"/>
          <w:bCs w:val="0"/>
          <w:lang w:val="en-GB"/>
        </w:rPr>
        <w:t>medium thi</w:t>
      </w:r>
      <w:r w:rsidR="00BD70D1">
        <w:rPr>
          <w:b w:val="0"/>
          <w:bCs w:val="0"/>
          <w:lang w:val="en-GB"/>
        </w:rPr>
        <w:t>c</w:t>
      </w:r>
      <w:r w:rsidR="5E510773" w:rsidRPr="6A2A8CB1">
        <w:rPr>
          <w:b w:val="0"/>
          <w:bCs w:val="0"/>
          <w:lang w:val="en-GB"/>
        </w:rPr>
        <w:t xml:space="preserve">k </w:t>
      </w:r>
      <w:r w:rsidR="0045472A" w:rsidRPr="6A2A8CB1">
        <w:rPr>
          <w:b w:val="0"/>
          <w:bCs w:val="0"/>
          <w:lang w:val="en-GB"/>
        </w:rPr>
        <w:t>lines</w:t>
      </w:r>
      <w:r w:rsidRPr="6A2A8CB1">
        <w:rPr>
          <w:b w:val="0"/>
          <w:bCs w:val="0"/>
          <w:lang w:val="en-GB"/>
        </w:rPr>
        <w:t xml:space="preserve">). Ungulates transport the invasive ectomycorrhizal fungi spores further from the invasion source </w:t>
      </w:r>
      <w:r w:rsidR="00244BBB" w:rsidRPr="6A2A8CB1">
        <w:rPr>
          <w:b w:val="0"/>
          <w:bCs w:val="0"/>
          <w:lang w:val="en-GB"/>
        </w:rPr>
        <w:t xml:space="preserve">population </w:t>
      </w:r>
      <w:r w:rsidRPr="6A2A8CB1">
        <w:rPr>
          <w:b w:val="0"/>
          <w:bCs w:val="0"/>
          <w:lang w:val="en-GB"/>
        </w:rPr>
        <w:t>compared to wind. Spores from some invasive ectomycorrhizal fungi can form long-lasting spore banks in the soil, making native stands more susceptible to pine invasion. More evidence is needed about other potential mechanisms of fungal dispersal (here represented by the question mark</w:t>
      </w:r>
      <w:r w:rsidR="0045472A" w:rsidRPr="6A2A8CB1">
        <w:rPr>
          <w:b w:val="0"/>
          <w:bCs w:val="0"/>
          <w:lang w:val="en-GB"/>
        </w:rPr>
        <w:t>,</w:t>
      </w:r>
      <w:r w:rsidR="00FD249C">
        <w:rPr>
          <w:b w:val="0"/>
          <w:bCs w:val="0"/>
          <w:lang w:val="en-GB"/>
        </w:rPr>
        <w:t xml:space="preserve"> </w:t>
      </w:r>
      <w:r w:rsidR="242D3F21" w:rsidRPr="6A2A8CB1">
        <w:rPr>
          <w:b w:val="0"/>
          <w:bCs w:val="0"/>
          <w:lang w:val="en-GB"/>
        </w:rPr>
        <w:t xml:space="preserve">lower </w:t>
      </w:r>
      <w:r w:rsidR="0045472A" w:rsidRPr="6A2A8CB1">
        <w:rPr>
          <w:b w:val="0"/>
          <w:bCs w:val="0"/>
          <w:lang w:val="en-GB"/>
        </w:rPr>
        <w:t>dotted line</w:t>
      </w:r>
      <w:r w:rsidRPr="6A2A8CB1">
        <w:rPr>
          <w:b w:val="0"/>
          <w:bCs w:val="0"/>
          <w:lang w:val="en-GB"/>
        </w:rPr>
        <w:t>), such as bird dispersal, or human dispersal which could also be important</w:t>
      </w:r>
      <w:r w:rsidR="006A777F" w:rsidRPr="6A2A8CB1">
        <w:rPr>
          <w:b w:val="0"/>
          <w:bCs w:val="0"/>
          <w:lang w:val="en-GB"/>
        </w:rPr>
        <w:t>, especially</w:t>
      </w:r>
      <w:r w:rsidRPr="6A2A8CB1">
        <w:rPr>
          <w:b w:val="0"/>
          <w:bCs w:val="0"/>
          <w:lang w:val="en-GB"/>
        </w:rPr>
        <w:t xml:space="preserve"> </w:t>
      </w:r>
      <w:r w:rsidR="00DD7A5A" w:rsidRPr="6A2A8CB1">
        <w:rPr>
          <w:b w:val="0"/>
          <w:bCs w:val="0"/>
          <w:lang w:val="en-GB"/>
        </w:rPr>
        <w:t>over</w:t>
      </w:r>
      <w:r w:rsidRPr="6A2A8CB1">
        <w:rPr>
          <w:b w:val="0"/>
          <w:bCs w:val="0"/>
          <w:lang w:val="en-GB"/>
        </w:rPr>
        <w:t xml:space="preserve"> long-distances.</w:t>
      </w:r>
      <w:r w:rsidR="00913CC5" w:rsidRPr="6A2A8CB1">
        <w:rPr>
          <w:b w:val="0"/>
          <w:bCs w:val="0"/>
          <w:lang w:val="en-GB"/>
        </w:rPr>
        <w:t xml:space="preserve"> Source: </w:t>
      </w:r>
      <w:r w:rsidR="006A626C" w:rsidRPr="6A2A8CB1">
        <w:rPr>
          <w:b w:val="0"/>
          <w:bCs w:val="0"/>
          <w:lang w:val="en-GB"/>
        </w:rPr>
        <w:t xml:space="preserve">Policelli et al. </w:t>
      </w:r>
      <w:r w:rsidRPr="6A2A8CB1">
        <w:rPr>
          <w:b w:val="0"/>
          <w:bCs w:val="0"/>
          <w:lang w:val="en-GB"/>
        </w:rPr>
        <w:fldChar w:fldCharType="begin"/>
      </w:r>
      <w:r w:rsidR="00331A79">
        <w:rPr>
          <w:b w:val="0"/>
          <w:bCs w:val="0"/>
          <w:lang w:val="en-GB"/>
        </w:rPr>
        <w:instrText xml:space="preserve"> ADDIN ZOTERO_ITEM CSL_CITATION {"citationID":"uYZrOoHS","properties":{"formattedCitation":"(2022)","plainCitation":"(2022)","noteIndex":0},"citationItems":[{"id":54766,"uris":["http://zotero.org/groups/2352922/items/PI7VHYNB"],"itemData":{"id":54766,"type":"chapter","container-title":"Mycorrhizal Fungi in South America","event-place":"Cham","ISBN":"978-3-031-12993-3","language":"en","note":"collection-title: Fungal Biology\nDOI: 10.1007/978-3-031-12994-0_2","page":"25-46","publisher":"Springer International Publishing","publisher-place":"Cham","source":"DOI.org (Crossref)","title":"Ectomycorrhizal Fungi Invasions in Southern South America","URL":"https://doi.org/10.1007/978-3-031-12994-0_2","editor":[{"family":"Lugo","given":"Mónica A."},{"family":"Pagano","given":"Marcela C."}],"author":[{"family":"Policelli","given":"Nahuel"},{"family":"Vietorisz","given":"Corinne"},{"family":"Bhatnagar","given":"Jennifer M."},{"family":"Nuñez","given":"Martín A."}],"accessed":{"date-parts":[["2023",3,14]]},"issued":{"date-parts":[["2022"]]}},"label":"page","suppress-author":true}],"schema":"https://github.com/citation-style-language/schema/raw/master/csl-citation.json"} </w:instrText>
      </w:r>
      <w:r w:rsidRPr="6A2A8CB1">
        <w:rPr>
          <w:b w:val="0"/>
          <w:bCs w:val="0"/>
          <w:lang w:val="en-GB"/>
        </w:rPr>
        <w:fldChar w:fldCharType="separate"/>
      </w:r>
      <w:r w:rsidR="006A626C">
        <w:rPr>
          <w:b w:val="0"/>
          <w:bCs w:val="0"/>
        </w:rPr>
        <w:t>(2022)</w:t>
      </w:r>
      <w:r w:rsidRPr="6A2A8CB1">
        <w:rPr>
          <w:b w:val="0"/>
          <w:bCs w:val="0"/>
          <w:lang w:val="en-GB"/>
        </w:rPr>
        <w:fldChar w:fldCharType="end"/>
      </w:r>
      <w:r w:rsidR="006A626C" w:rsidRPr="6A2A8CB1">
        <w:rPr>
          <w:b w:val="0"/>
          <w:bCs w:val="0"/>
          <w:lang w:val="en-GB"/>
        </w:rPr>
        <w:t xml:space="preserve">, </w:t>
      </w:r>
      <w:r w:rsidR="00D0123B" w:rsidRPr="6A2A8CB1">
        <w:rPr>
          <w:b w:val="0"/>
          <w:bCs w:val="0"/>
          <w:lang w:val="en-GB"/>
        </w:rPr>
        <w:t>under license CC BY 4.0.</w:t>
      </w:r>
      <w:bookmarkEnd w:id="204"/>
      <w:r w:rsidR="005A3F85">
        <w:rPr>
          <w:b w:val="0"/>
          <w:bCs w:val="0"/>
          <w:lang w:val="en-GB"/>
        </w:rPr>
        <w:t xml:space="preserve"> </w:t>
      </w:r>
      <w:r w:rsidR="005A3F85" w:rsidRPr="005A3F85">
        <w:rPr>
          <w:b w:val="0"/>
          <w:bCs w:val="0"/>
          <w:lang w:val="en-GB"/>
        </w:rPr>
        <w:t>https://doi.org/10.1007/978-3-031-12994-0_2</w:t>
      </w:r>
    </w:p>
    <w:p w14:paraId="5021ABE0" w14:textId="2DEFEB85" w:rsidR="008C1BF7" w:rsidRPr="00DA249F" w:rsidRDefault="6619E8BF" w:rsidP="00D76760">
      <w:pPr>
        <w:pStyle w:val="Heading3"/>
        <w:rPr>
          <w:rStyle w:val="CommentReference"/>
          <w:rFonts w:eastAsia="Times New Roman"/>
          <w:b w:val="0"/>
          <w:spacing w:val="0"/>
          <w:kern w:val="0"/>
          <w:lang w:val="en-GB" w:eastAsia="en-AU"/>
        </w:rPr>
      </w:pPr>
      <w:bookmarkStart w:id="206" w:name="_Toc18405854"/>
      <w:bookmarkStart w:id="207" w:name="_Toc44317846"/>
      <w:bookmarkEnd w:id="205"/>
      <w:r w:rsidRPr="00DA249F">
        <w:rPr>
          <w:lang w:val="en-GB"/>
        </w:rPr>
        <w:t>Unintended consequences of management</w:t>
      </w:r>
      <w:r w:rsidR="00B01FF1" w:rsidRPr="00DA249F">
        <w:rPr>
          <w:lang w:val="en-GB"/>
        </w:rPr>
        <w:t xml:space="preserve"> </w:t>
      </w:r>
      <w:r w:rsidR="00E04529" w:rsidRPr="00DA249F">
        <w:rPr>
          <w:lang w:val="en-GB"/>
        </w:rPr>
        <w:t xml:space="preserve">through </w:t>
      </w:r>
      <w:r w:rsidRPr="00DA249F">
        <w:rPr>
          <w:lang w:val="en-GB"/>
        </w:rPr>
        <w:t>biological control</w:t>
      </w:r>
      <w:bookmarkEnd w:id="206"/>
      <w:bookmarkEnd w:id="207"/>
      <w:r w:rsidR="00824A7A" w:rsidRPr="00DA249F">
        <w:rPr>
          <w:rStyle w:val="CommentReference"/>
          <w:rFonts w:eastAsia="Times New Roman"/>
          <w:b w:val="0"/>
          <w:spacing w:val="0"/>
          <w:kern w:val="0"/>
          <w:lang w:val="en-GB" w:eastAsia="en-AU"/>
        </w:rPr>
        <w:t xml:space="preserve"> </w:t>
      </w:r>
    </w:p>
    <w:p w14:paraId="36CB911C" w14:textId="2B01B789" w:rsidR="00952B6A" w:rsidRPr="00DA249F" w:rsidRDefault="45852754" w:rsidP="534497A5">
      <w:pPr>
        <w:rPr>
          <w:lang w:val="en-GB"/>
        </w:rPr>
      </w:pPr>
      <w:r w:rsidRPr="728F2DAF">
        <w:rPr>
          <w:lang w:val="en-GB"/>
        </w:rPr>
        <w:t xml:space="preserve">Many </w:t>
      </w:r>
      <w:r w:rsidR="72A4A581" w:rsidRPr="728F2DAF">
        <w:rPr>
          <w:lang w:val="en-GB"/>
        </w:rPr>
        <w:t>empirical</w:t>
      </w:r>
      <w:r w:rsidR="22F64C8E" w:rsidRPr="728F2DAF">
        <w:rPr>
          <w:lang w:val="en-GB"/>
        </w:rPr>
        <w:t xml:space="preserve"> examples of the unintended consequences of management</w:t>
      </w:r>
      <w:r w:rsidR="1C104A20" w:rsidRPr="728F2DAF">
        <w:rPr>
          <w:lang w:val="en-GB"/>
        </w:rPr>
        <w:t xml:space="preserve"> of biological invasions</w:t>
      </w:r>
      <w:r w:rsidR="22F64C8E" w:rsidRPr="728F2DAF">
        <w:rPr>
          <w:lang w:val="en-GB"/>
        </w:rPr>
        <w:t xml:space="preserve"> resulting in the introduction, establishment or spread of invasive </w:t>
      </w:r>
      <w:r w:rsidR="0C752824" w:rsidRPr="728F2DAF">
        <w:rPr>
          <w:lang w:val="en-GB"/>
        </w:rPr>
        <w:t xml:space="preserve">alien species </w:t>
      </w:r>
      <w:r w:rsidR="22F64C8E" w:rsidRPr="728F2DAF">
        <w:rPr>
          <w:lang w:val="en-GB"/>
        </w:rPr>
        <w:t xml:space="preserve">stem from the literature on </w:t>
      </w:r>
      <w:r w:rsidR="72A4A581" w:rsidRPr="728F2DAF">
        <w:rPr>
          <w:lang w:val="en-GB"/>
        </w:rPr>
        <w:t xml:space="preserve">early attempts at </w:t>
      </w:r>
      <w:r w:rsidR="22F64C8E" w:rsidRPr="728F2DAF">
        <w:rPr>
          <w:lang w:val="en-GB"/>
        </w:rPr>
        <w:t>biological control</w:t>
      </w:r>
      <w:r w:rsidRPr="728F2DAF">
        <w:rPr>
          <w:lang w:val="en-GB"/>
        </w:rPr>
        <w:t xml:space="preserve"> </w:t>
      </w:r>
      <w:r w:rsidR="6F0DCB6D" w:rsidRPr="728F2DAF">
        <w:rPr>
          <w:lang w:val="en-GB"/>
        </w:rPr>
        <w:t>(</w:t>
      </w:r>
      <w:r w:rsidR="724EFFA8" w:rsidRPr="728F2DAF">
        <w:rPr>
          <w:b/>
          <w:bCs/>
          <w:lang w:val="en-GB"/>
        </w:rPr>
        <w:t>C</w:t>
      </w:r>
      <w:r w:rsidR="57F18B89" w:rsidRPr="728F2DAF">
        <w:rPr>
          <w:b/>
          <w:bCs/>
          <w:lang w:val="en-GB"/>
        </w:rPr>
        <w:t>hapter 5</w:t>
      </w:r>
      <w:r w:rsidR="57F18B89" w:rsidRPr="728F2DAF">
        <w:rPr>
          <w:lang w:val="en-GB"/>
        </w:rPr>
        <w:t>,</w:t>
      </w:r>
      <w:r w:rsidR="57F18B89" w:rsidRPr="728F2DAF">
        <w:rPr>
          <w:b/>
          <w:bCs/>
          <w:lang w:val="en-GB"/>
        </w:rPr>
        <w:t xml:space="preserve"> s</w:t>
      </w:r>
      <w:r w:rsidRPr="728F2DAF">
        <w:rPr>
          <w:b/>
          <w:bCs/>
          <w:lang w:val="en-GB"/>
        </w:rPr>
        <w:t>ection 5.</w:t>
      </w:r>
      <w:r w:rsidR="2AE475DF" w:rsidRPr="728F2DAF">
        <w:rPr>
          <w:b/>
          <w:bCs/>
          <w:lang w:val="en-GB"/>
        </w:rPr>
        <w:t>6.2.3</w:t>
      </w:r>
      <w:r w:rsidRPr="728F2DAF">
        <w:rPr>
          <w:lang w:val="en-GB"/>
        </w:rPr>
        <w:t>)</w:t>
      </w:r>
      <w:r w:rsidR="22F64C8E" w:rsidRPr="728F2DAF">
        <w:rPr>
          <w:lang w:val="en-GB"/>
        </w:rPr>
        <w:t>.</w:t>
      </w:r>
      <w:r w:rsidR="4ED8AF7C" w:rsidRPr="728F2DAF">
        <w:rPr>
          <w:lang w:val="en-GB"/>
        </w:rPr>
        <w:t xml:space="preserve"> </w:t>
      </w:r>
      <w:r w:rsidR="00BD70D1">
        <w:rPr>
          <w:lang w:val="en-GB"/>
        </w:rPr>
        <w:t>M</w:t>
      </w:r>
      <w:r w:rsidR="47202BA9" w:rsidRPr="728F2DAF">
        <w:rPr>
          <w:lang w:val="en-GB"/>
        </w:rPr>
        <w:t>any of the</w:t>
      </w:r>
      <w:r w:rsidR="72A4A581" w:rsidRPr="728F2DAF">
        <w:rPr>
          <w:lang w:val="en-GB"/>
        </w:rPr>
        <w:t>se</w:t>
      </w:r>
      <w:r w:rsidR="47202BA9" w:rsidRPr="728F2DAF">
        <w:rPr>
          <w:lang w:val="en-GB"/>
        </w:rPr>
        <w:t xml:space="preserve"> </w:t>
      </w:r>
      <w:r w:rsidR="72A4A581" w:rsidRPr="728F2DAF">
        <w:rPr>
          <w:lang w:val="en-GB"/>
        </w:rPr>
        <w:t>historical high</w:t>
      </w:r>
      <w:r w:rsidR="61A81A3E" w:rsidRPr="728F2DAF">
        <w:rPr>
          <w:lang w:val="en-GB"/>
        </w:rPr>
        <w:t>-</w:t>
      </w:r>
      <w:r w:rsidR="72A4A581" w:rsidRPr="728F2DAF">
        <w:rPr>
          <w:lang w:val="en-GB"/>
        </w:rPr>
        <w:t xml:space="preserve">profile cases report negative direct impacts on non-target native species </w:t>
      </w:r>
      <w:r w:rsidR="347B9C19" w:rsidRPr="728F2DAF">
        <w:rPr>
          <w:lang w:val="en-GB"/>
        </w:rPr>
        <w:t>by</w:t>
      </w:r>
      <w:r w:rsidR="72A4A581" w:rsidRPr="728F2DAF">
        <w:rPr>
          <w:lang w:val="en-GB"/>
        </w:rPr>
        <w:t xml:space="preserve"> generalist predators or pathogen</w:t>
      </w:r>
      <w:r w:rsidR="275CAAD2" w:rsidRPr="728F2DAF">
        <w:rPr>
          <w:lang w:val="en-GB"/>
        </w:rPr>
        <w:t>s</w:t>
      </w:r>
      <w:r w:rsidR="72A4A581" w:rsidRPr="728F2DAF">
        <w:rPr>
          <w:lang w:val="en-GB"/>
        </w:rPr>
        <w:t xml:space="preserve"> </w:t>
      </w:r>
      <w:r w:rsidR="347B9C19" w:rsidRPr="728F2DAF">
        <w:rPr>
          <w:lang w:val="en-GB"/>
        </w:rPr>
        <w:t xml:space="preserve">released </w:t>
      </w:r>
      <w:r w:rsidR="275CAAD2" w:rsidRPr="728F2DAF">
        <w:rPr>
          <w:lang w:val="en-GB"/>
        </w:rPr>
        <w:t xml:space="preserve">as </w:t>
      </w:r>
      <w:r w:rsidR="347B9C19" w:rsidRPr="728F2DAF">
        <w:rPr>
          <w:lang w:val="en-GB"/>
        </w:rPr>
        <w:t xml:space="preserve">biological control agents </w:t>
      </w:r>
      <w:r w:rsidR="72A4A581" w:rsidRPr="728F2DAF">
        <w:rPr>
          <w:lang w:val="en-GB"/>
        </w:rPr>
        <w:t xml:space="preserve">(e.g., the release of cats and mongoose </w:t>
      </w:r>
      <w:r w:rsidR="1E833076" w:rsidRPr="728F2DAF">
        <w:rPr>
          <w:lang w:val="en-GB"/>
        </w:rPr>
        <w:t xml:space="preserve">to control rodents, </w:t>
      </w:r>
      <w:r w:rsidR="72A4A581" w:rsidRPr="728F2DAF">
        <w:rPr>
          <w:lang w:val="en-GB"/>
        </w:rPr>
        <w:t>cane toads against agricultural pests</w:t>
      </w:r>
      <w:r w:rsidR="00774819">
        <w:rPr>
          <w:lang w:val="en-GB"/>
        </w:rPr>
        <w:t xml:space="preserve"> and</w:t>
      </w:r>
      <w:r w:rsidR="1E833076" w:rsidRPr="728F2DAF">
        <w:rPr>
          <w:lang w:val="en-GB"/>
        </w:rPr>
        <w:t xml:space="preserve"> plant pests </w:t>
      </w:r>
      <w:r w:rsidR="5141E8CF" w:rsidRPr="728F2DAF">
        <w:rPr>
          <w:lang w:val="en-GB"/>
        </w:rPr>
        <w:t xml:space="preserve">or diseases </w:t>
      </w:r>
      <w:r w:rsidR="1E833076" w:rsidRPr="728F2DAF">
        <w:rPr>
          <w:lang w:val="en-GB"/>
        </w:rPr>
        <w:t xml:space="preserve">to </w:t>
      </w:r>
      <w:r w:rsidR="5141E8CF" w:rsidRPr="728F2DAF">
        <w:rPr>
          <w:lang w:val="en-GB"/>
        </w:rPr>
        <w:t>control invasive plants</w:t>
      </w:r>
      <w:r w:rsidR="72A4A581" w:rsidRPr="728F2DAF">
        <w:rPr>
          <w:lang w:val="en-GB"/>
        </w:rPr>
        <w:t xml:space="preserve">). These </w:t>
      </w:r>
      <w:r w:rsidR="4B61D283" w:rsidRPr="728F2DAF">
        <w:rPr>
          <w:lang w:val="en-GB"/>
        </w:rPr>
        <w:t xml:space="preserve">examples are all from </w:t>
      </w:r>
      <w:r w:rsidR="72A4A581" w:rsidRPr="728F2DAF">
        <w:rPr>
          <w:lang w:val="en-GB"/>
        </w:rPr>
        <w:t xml:space="preserve">a time when biological control was </w:t>
      </w:r>
      <w:r w:rsidR="4B61D283" w:rsidRPr="728F2DAF">
        <w:rPr>
          <w:lang w:val="en-GB"/>
        </w:rPr>
        <w:t xml:space="preserve">implemented </w:t>
      </w:r>
      <w:r w:rsidR="72A4A581" w:rsidRPr="728F2DAF">
        <w:rPr>
          <w:lang w:val="en-GB"/>
        </w:rPr>
        <w:t xml:space="preserve">in an unregulated way, </w:t>
      </w:r>
      <w:r w:rsidR="7EAC8EAF" w:rsidRPr="728F2DAF">
        <w:rPr>
          <w:lang w:val="en-GB"/>
        </w:rPr>
        <w:t xml:space="preserve">for example, </w:t>
      </w:r>
      <w:r w:rsidR="471ECD61" w:rsidRPr="728F2DAF">
        <w:rPr>
          <w:lang w:val="en-GB"/>
        </w:rPr>
        <w:t>with</w:t>
      </w:r>
      <w:r w:rsidR="72A4A581" w:rsidRPr="728F2DAF">
        <w:rPr>
          <w:lang w:val="en-GB"/>
        </w:rPr>
        <w:t xml:space="preserve"> no require</w:t>
      </w:r>
      <w:r w:rsidR="0C752824" w:rsidRPr="728F2DAF">
        <w:rPr>
          <w:lang w:val="en-GB"/>
        </w:rPr>
        <w:t>ment for risk assessment of the biological control agent</w:t>
      </w:r>
      <w:r w:rsidR="72A4A581" w:rsidRPr="728F2DAF">
        <w:rPr>
          <w:lang w:val="en-GB"/>
        </w:rPr>
        <w:t xml:space="preserve"> </w:t>
      </w:r>
      <w:r w:rsidR="6F0DCB6D" w:rsidRPr="728F2DAF">
        <w:rPr>
          <w:lang w:val="en-GB"/>
        </w:rPr>
        <w:t>(</w:t>
      </w:r>
      <w:r w:rsidR="724EFFA8" w:rsidRPr="728F2DAF">
        <w:rPr>
          <w:b/>
          <w:bCs/>
          <w:lang w:val="en-GB"/>
        </w:rPr>
        <w:t>C</w:t>
      </w:r>
      <w:r w:rsidR="72A4A581" w:rsidRPr="728F2DAF">
        <w:rPr>
          <w:b/>
          <w:bCs/>
          <w:lang w:val="en-GB"/>
        </w:rPr>
        <w:t>hapter 5</w:t>
      </w:r>
      <w:r w:rsidR="72A4A581" w:rsidRPr="728F2DAF">
        <w:rPr>
          <w:lang w:val="en-GB"/>
        </w:rPr>
        <w:t>).</w:t>
      </w:r>
      <w:r w:rsidR="6252810B" w:rsidRPr="728F2DAF">
        <w:rPr>
          <w:lang w:val="en-GB"/>
        </w:rPr>
        <w:t xml:space="preserve"> </w:t>
      </w:r>
      <w:r w:rsidR="22F64C8E" w:rsidRPr="728F2DAF">
        <w:rPr>
          <w:lang w:val="en-GB"/>
        </w:rPr>
        <w:t xml:space="preserve">A classic example is </w:t>
      </w:r>
      <w:r w:rsidR="22F64C8E" w:rsidRPr="728F2DAF">
        <w:rPr>
          <w:i/>
          <w:iCs/>
          <w:lang w:val="en-GB"/>
        </w:rPr>
        <w:t>Cactoblastis cactorum</w:t>
      </w:r>
      <w:r w:rsidR="22F64C8E" w:rsidRPr="728F2DAF">
        <w:rPr>
          <w:lang w:val="en-GB"/>
        </w:rPr>
        <w:t xml:space="preserve"> </w:t>
      </w:r>
      <w:r w:rsidR="6E995D98" w:rsidRPr="728F2DAF">
        <w:rPr>
          <w:lang w:val="en-GB"/>
        </w:rPr>
        <w:t xml:space="preserve">(cactus moth) </w:t>
      </w:r>
      <w:r w:rsidR="22F64C8E" w:rsidRPr="728F2DAF">
        <w:rPr>
          <w:lang w:val="en-GB"/>
        </w:rPr>
        <w:t xml:space="preserve">that was </w:t>
      </w:r>
      <w:r w:rsidR="663F4EB3" w:rsidRPr="728F2DAF">
        <w:rPr>
          <w:lang w:val="en-GB"/>
        </w:rPr>
        <w:t>intentionally</w:t>
      </w:r>
      <w:r w:rsidR="22F64C8E" w:rsidRPr="728F2DAF">
        <w:rPr>
          <w:lang w:val="en-GB"/>
        </w:rPr>
        <w:t xml:space="preserve"> released on islands in the Caribbean in 1957 for the control of </w:t>
      </w:r>
      <w:r w:rsidR="105F03D9" w:rsidRPr="728F2DAF">
        <w:rPr>
          <w:lang w:val="en-GB"/>
        </w:rPr>
        <w:t>native</w:t>
      </w:r>
      <w:r w:rsidR="22F64C8E" w:rsidRPr="728F2DAF">
        <w:rPr>
          <w:lang w:val="en-GB"/>
        </w:rPr>
        <w:t xml:space="preserve"> </w:t>
      </w:r>
      <w:r w:rsidR="22F64C8E" w:rsidRPr="728F2DAF">
        <w:rPr>
          <w:i/>
          <w:iCs/>
          <w:lang w:val="en-GB"/>
        </w:rPr>
        <w:t>Opuntia</w:t>
      </w:r>
      <w:r w:rsidR="22F64C8E" w:rsidRPr="728F2DAF">
        <w:rPr>
          <w:lang w:val="en-GB"/>
        </w:rPr>
        <w:t xml:space="preserve"> </w:t>
      </w:r>
      <w:r w:rsidR="1220E9B1" w:rsidRPr="728F2DAF">
        <w:rPr>
          <w:lang w:val="en-GB"/>
        </w:rPr>
        <w:t xml:space="preserve">(pricklypear) </w:t>
      </w:r>
      <w:r w:rsidR="22F64C8E" w:rsidRPr="728F2DAF">
        <w:rPr>
          <w:lang w:val="en-GB"/>
        </w:rPr>
        <w:t xml:space="preserve">species </w:t>
      </w:r>
      <w:r w:rsidR="105F03D9" w:rsidRPr="728F2DAF">
        <w:rPr>
          <w:lang w:val="en-GB"/>
        </w:rPr>
        <w:t>that were seen as a nuisance to tourists</w:t>
      </w:r>
      <w:r w:rsidR="4237EE93" w:rsidRPr="728F2DAF">
        <w:rPr>
          <w:lang w:val="en-GB"/>
        </w:rPr>
        <w:t>. However</w:t>
      </w:r>
      <w:r w:rsidR="105F03D9" w:rsidRPr="728F2DAF">
        <w:rPr>
          <w:lang w:val="en-GB"/>
        </w:rPr>
        <w:t>,</w:t>
      </w:r>
      <w:r w:rsidR="4237EE93" w:rsidRPr="728F2DAF">
        <w:rPr>
          <w:lang w:val="en-GB"/>
        </w:rPr>
        <w:t xml:space="preserve"> the moth </w:t>
      </w:r>
      <w:r w:rsidR="22F64C8E" w:rsidRPr="728F2DAF">
        <w:rPr>
          <w:lang w:val="en-GB"/>
        </w:rPr>
        <w:t xml:space="preserve">spread from the Dominican Republic to </w:t>
      </w:r>
      <w:r w:rsidR="22F64C8E" w:rsidRPr="728F2DAF">
        <w:rPr>
          <w:lang w:val="en-GB"/>
        </w:rPr>
        <w:lastRenderedPageBreak/>
        <w:t xml:space="preserve">Florida, where it </w:t>
      </w:r>
      <w:r w:rsidR="4237EE93" w:rsidRPr="728F2DAF">
        <w:rPr>
          <w:lang w:val="en-GB"/>
        </w:rPr>
        <w:t xml:space="preserve">poses a </w:t>
      </w:r>
      <w:r w:rsidR="22F64C8E" w:rsidRPr="728F2DAF">
        <w:rPr>
          <w:lang w:val="en-GB"/>
        </w:rPr>
        <w:t>threat</w:t>
      </w:r>
      <w:r w:rsidR="4237EE93" w:rsidRPr="728F2DAF">
        <w:rPr>
          <w:lang w:val="en-GB"/>
        </w:rPr>
        <w:t xml:space="preserve"> to</w:t>
      </w:r>
      <w:r w:rsidR="22F64C8E" w:rsidRPr="728F2DAF">
        <w:rPr>
          <w:lang w:val="en-GB"/>
        </w:rPr>
        <w:t xml:space="preserve"> native </w:t>
      </w:r>
      <w:r w:rsidR="22F64C8E" w:rsidRPr="728F2DAF">
        <w:rPr>
          <w:i/>
          <w:iCs/>
          <w:lang w:val="en-GB"/>
        </w:rPr>
        <w:t xml:space="preserve">Opuntia </w:t>
      </w:r>
      <w:r w:rsidR="004F4BDE" w:rsidRPr="728F2DAF">
        <w:rPr>
          <w:lang w:val="en-GB"/>
        </w:rPr>
        <w:fldChar w:fldCharType="begin"/>
      </w:r>
      <w:r w:rsidR="00331A79">
        <w:rPr>
          <w:lang w:val="en-GB"/>
        </w:rPr>
        <w:instrText xml:space="preserve"> ADDIN ZOTERO_ITEM CSL_CITATION {"citationID":"cxhISnds","properties":{"formattedCitation":"(Hinz et al., 2019)","plainCitation":"(Hinz et al., 2019)","noteIndex":0},"citationItems":[{"id":15773,"uris":["http://zotero.org/groups/2352922/items/FPIZHDWR"],"itemData":{"id":15773,"type":"article-journal","container-title":"The Quarterly Review of Biology","DOI":"https://doi.org/10.1086/702340","issue":"1","language":"en","page":"27","source":"Zotero","title":"How Safe Is Weed Biological Control? A Global Review of Direct Nontarget Attack","volume":"94","author":[{"family":"Hinz","given":"Hariet L"},{"family":"Winston","given":"Rachel L"},{"family":"Schwarzländer","given":"Mark"}],"issued":{"date-parts":[["2019"]]}},"label":"page"}],"schema":"https://github.com/citation-style-language/schema/raw/master/csl-citation.json"} </w:instrText>
      </w:r>
      <w:r w:rsidR="004F4BDE" w:rsidRPr="728F2DAF">
        <w:rPr>
          <w:lang w:val="en-GB"/>
        </w:rPr>
        <w:fldChar w:fldCharType="separate"/>
      </w:r>
      <w:r w:rsidR="0566DAD0">
        <w:t>(Hinz et al., 2019)</w:t>
      </w:r>
      <w:r w:rsidR="004F4BDE" w:rsidRPr="728F2DAF">
        <w:rPr>
          <w:lang w:val="en-GB"/>
        </w:rPr>
        <w:fldChar w:fldCharType="end"/>
      </w:r>
      <w:r w:rsidR="1220E9B1" w:rsidRPr="728F2DAF">
        <w:rPr>
          <w:lang w:val="en-GB"/>
        </w:rPr>
        <w:t>,</w:t>
      </w:r>
      <w:r w:rsidR="6252810B" w:rsidRPr="728F2DAF">
        <w:rPr>
          <w:i/>
          <w:iCs/>
          <w:lang w:val="en-GB"/>
        </w:rPr>
        <w:t xml:space="preserve"> </w:t>
      </w:r>
      <w:r w:rsidR="6849035B" w:rsidRPr="728F2DAF">
        <w:rPr>
          <w:lang w:val="en-GB"/>
        </w:rPr>
        <w:t xml:space="preserve">and to the Yucatán peninsula where it was successfully </w:t>
      </w:r>
      <w:r w:rsidR="64442130" w:rsidRPr="728F2DAF">
        <w:rPr>
          <w:lang w:val="en-GB"/>
        </w:rPr>
        <w:t xml:space="preserve">eradicated </w:t>
      </w:r>
      <w:r w:rsidR="004F4BDE" w:rsidRPr="728F2DAF">
        <w:rPr>
          <w:lang w:val="en-GB"/>
        </w:rPr>
        <w:fldChar w:fldCharType="begin"/>
      </w:r>
      <w:r w:rsidR="00F5121E">
        <w:rPr>
          <w:lang w:val="en-GB"/>
        </w:rPr>
        <w:instrText xml:space="preserve"> ADDIN ZOTERO_ITEM CSL_CITATION {"citationID":"QFV3gEf3","properties":{"formattedCitation":"(Senasica, 2019)","plainCitation":"(Senasica, 2019)","noteIndex":0},"citationItems":[{"id":52868,"uris":["http://zotero.org/groups/2352922/items/UI4N82UG"],"itemData":{"id":52868,"type":"report","title":"PALOMILLA DEL NOPAL. Cactoblastis cactorum. Aviso público del riesgo y situación actual.","URL":"https://prod.senasica.gob.mx/SIRVEF/ContenidoPublico/Avisos%20y%20alertas/Avisos%20publicos/Aviso%20p%C3%BAblico%20Palomilla%20del%20nopal.pdf","author":[{"literal":"Senasica"}],"accessed":{"date-parts":[["2022",8,10]]},"issued":{"date-parts":[["2019"]]}},"label":"page"}],"schema":"https://github.com/citation-style-language/schema/raw/master/csl-citation.json"} </w:instrText>
      </w:r>
      <w:r w:rsidR="004F4BDE" w:rsidRPr="728F2DAF">
        <w:rPr>
          <w:lang w:val="en-GB"/>
        </w:rPr>
        <w:fldChar w:fldCharType="separate"/>
      </w:r>
      <w:r w:rsidR="00F5121E" w:rsidRPr="00F5121E">
        <w:t>(Senasica, 2019)</w:t>
      </w:r>
      <w:r w:rsidR="004F4BDE" w:rsidRPr="728F2DAF">
        <w:rPr>
          <w:lang w:val="en-GB"/>
        </w:rPr>
        <w:fldChar w:fldCharType="end"/>
      </w:r>
      <w:r w:rsidR="64442130" w:rsidRPr="728F2DAF">
        <w:rPr>
          <w:lang w:val="en-GB"/>
        </w:rPr>
        <w:t>.</w:t>
      </w:r>
      <w:r w:rsidR="6849035B" w:rsidRPr="728F2DAF">
        <w:rPr>
          <w:lang w:val="en-GB"/>
        </w:rPr>
        <w:t xml:space="preserve"> It has currently spread across the </w:t>
      </w:r>
      <w:r w:rsidR="781A331B" w:rsidRPr="728F2DAF">
        <w:rPr>
          <w:lang w:val="en-GB"/>
        </w:rPr>
        <w:t>s</w:t>
      </w:r>
      <w:r w:rsidR="6849035B" w:rsidRPr="728F2DAF">
        <w:rPr>
          <w:lang w:val="en-GB"/>
        </w:rPr>
        <w:t>outh</w:t>
      </w:r>
      <w:r w:rsidR="781A331B" w:rsidRPr="728F2DAF">
        <w:rPr>
          <w:lang w:val="en-GB"/>
        </w:rPr>
        <w:t>-</w:t>
      </w:r>
      <w:r w:rsidR="6849035B" w:rsidRPr="728F2DAF">
        <w:rPr>
          <w:lang w:val="en-GB"/>
        </w:rPr>
        <w:t xml:space="preserve">eastern United States to Texas where it can enter Mexico again and threaten the over 100 native </w:t>
      </w:r>
      <w:r w:rsidR="6849035B" w:rsidRPr="728F2DAF">
        <w:rPr>
          <w:i/>
          <w:iCs/>
          <w:lang w:val="en-GB"/>
        </w:rPr>
        <w:t>Opuntia</w:t>
      </w:r>
      <w:r w:rsidR="6849035B" w:rsidRPr="728F2DAF">
        <w:rPr>
          <w:lang w:val="en-GB"/>
        </w:rPr>
        <w:t xml:space="preserve"> species, many of which are endemic</w:t>
      </w:r>
      <w:r w:rsidR="3EEB2CD7" w:rsidRPr="728F2DAF">
        <w:rPr>
          <w:lang w:val="en-GB"/>
        </w:rPr>
        <w:t xml:space="preserve"> </w:t>
      </w:r>
      <w:r w:rsidR="64442130" w:rsidRPr="728F2DAF">
        <w:rPr>
          <w:lang w:val="en-GB"/>
        </w:rPr>
        <w:t xml:space="preserve">and constitute an important part of the </w:t>
      </w:r>
      <w:r w:rsidR="7C6DD88C" w:rsidRPr="728F2DAF">
        <w:rPr>
          <w:lang w:val="en-GB"/>
        </w:rPr>
        <w:t>M</w:t>
      </w:r>
      <w:r w:rsidR="2455313E" w:rsidRPr="728F2DAF">
        <w:rPr>
          <w:lang w:val="en-GB"/>
        </w:rPr>
        <w:t>exican</w:t>
      </w:r>
      <w:r w:rsidR="64442130" w:rsidRPr="728F2DAF">
        <w:rPr>
          <w:lang w:val="en-GB"/>
        </w:rPr>
        <w:t xml:space="preserve"> diet and economy </w:t>
      </w:r>
      <w:r w:rsidR="004F4BDE" w:rsidRPr="728F2DAF">
        <w:rPr>
          <w:lang w:val="en-GB"/>
        </w:rPr>
        <w:fldChar w:fldCharType="begin"/>
      </w:r>
      <w:r w:rsidR="00F5121E">
        <w:rPr>
          <w:lang w:val="en-GB"/>
        </w:rPr>
        <w:instrText xml:space="preserve"> ADDIN ZOTERO_ITEM CSL_CITATION {"citationID":"Ct1Auns3","properties":{"formattedCitation":"(Senasica, 2019)","plainCitation":"(Senasica, 2019)","noteIndex":0},"citationItems":[{"id":52868,"uris":["http://zotero.org/groups/2352922/items/UI4N82UG"],"itemData":{"id":52868,"type":"report","title":"PALOMILLA DEL NOPAL. Cactoblastis cactorum. Aviso público del riesgo y situación actual.","URL":"https://prod.senasica.gob.mx/SIRVEF/ContenidoPublico/Avisos%20y%20alertas/Avisos%20publicos/Aviso%20p%C3%BAblico%20Palomilla%20del%20nopal.pdf","author":[{"literal":"Senasica"}],"accessed":{"date-parts":[["2022",8,10]]},"issued":{"date-parts":[["2019"]]}},"label":"page"}],"schema":"https://github.com/citation-style-language/schema/raw/master/csl-citation.json"} </w:instrText>
      </w:r>
      <w:r w:rsidR="004F4BDE" w:rsidRPr="728F2DAF">
        <w:rPr>
          <w:lang w:val="en-GB"/>
        </w:rPr>
        <w:fldChar w:fldCharType="separate"/>
      </w:r>
      <w:r w:rsidR="00F5121E" w:rsidRPr="00F5121E">
        <w:t>(Senasica, 2019)</w:t>
      </w:r>
      <w:r w:rsidR="004F4BDE" w:rsidRPr="728F2DAF">
        <w:rPr>
          <w:lang w:val="en-GB"/>
        </w:rPr>
        <w:fldChar w:fldCharType="end"/>
      </w:r>
      <w:r w:rsidR="757909F1" w:rsidRPr="728F2DAF">
        <w:rPr>
          <w:lang w:val="en-GB"/>
        </w:rPr>
        <w:t xml:space="preserve">. </w:t>
      </w:r>
    </w:p>
    <w:p w14:paraId="3A8AA5C1" w14:textId="7B240997" w:rsidR="00E84029" w:rsidRDefault="51779881" w:rsidP="00BB590B">
      <w:pPr>
        <w:spacing w:before="0" w:after="0"/>
        <w:rPr>
          <w:lang w:val="en-GB"/>
        </w:rPr>
      </w:pPr>
      <w:r w:rsidRPr="00DA249F">
        <w:rPr>
          <w:lang w:val="en-GB"/>
        </w:rPr>
        <w:t xml:space="preserve">Insects have also been released to </w:t>
      </w:r>
      <w:r w:rsidRPr="009C1256">
        <w:rPr>
          <w:lang w:val="en-GB"/>
        </w:rPr>
        <w:t xml:space="preserve">control other insects and in some cases </w:t>
      </w:r>
      <w:r w:rsidR="00070694" w:rsidRPr="009C1256">
        <w:rPr>
          <w:lang w:val="en-GB"/>
        </w:rPr>
        <w:t>these biological control agents have</w:t>
      </w:r>
      <w:r w:rsidRPr="009C1256">
        <w:rPr>
          <w:lang w:val="en-GB"/>
        </w:rPr>
        <w:t xml:space="preserve"> become invasive alien species.</w:t>
      </w:r>
      <w:r w:rsidR="3F605CD3" w:rsidRPr="009C1256">
        <w:rPr>
          <w:lang w:val="en-GB"/>
        </w:rPr>
        <w:t xml:space="preserve"> </w:t>
      </w:r>
      <w:r w:rsidR="00562B6E" w:rsidRPr="009C1256">
        <w:rPr>
          <w:lang w:val="en-GB"/>
        </w:rPr>
        <w:t>Examples include</w:t>
      </w:r>
      <w:r w:rsidRPr="009C1256">
        <w:rPr>
          <w:lang w:val="en-GB"/>
        </w:rPr>
        <w:t xml:space="preserve"> two species of ladybird</w:t>
      </w:r>
      <w:r w:rsidR="00562B6E" w:rsidRPr="009C1256">
        <w:rPr>
          <w:lang w:val="en-GB"/>
        </w:rPr>
        <w:t>,</w:t>
      </w:r>
      <w:r w:rsidRPr="009C1256">
        <w:rPr>
          <w:lang w:val="en-GB"/>
        </w:rPr>
        <w:t xml:space="preserve"> </w:t>
      </w:r>
      <w:r w:rsidRPr="009C1256">
        <w:rPr>
          <w:i/>
          <w:iCs/>
          <w:lang w:val="en-GB"/>
        </w:rPr>
        <w:t>Harmonia axyridis</w:t>
      </w:r>
      <w:r w:rsidRPr="009C1256">
        <w:rPr>
          <w:lang w:val="en-GB"/>
        </w:rPr>
        <w:t xml:space="preserve"> </w:t>
      </w:r>
      <w:r w:rsidR="00BC2A84" w:rsidRPr="009C1256">
        <w:rPr>
          <w:lang w:val="en-GB"/>
        </w:rPr>
        <w:t>(</w:t>
      </w:r>
      <w:r w:rsidR="00BB590B" w:rsidRPr="009C1256">
        <w:rPr>
          <w:rFonts w:eastAsia="Times New Roman"/>
          <w:color w:val="000000"/>
          <w:szCs w:val="24"/>
          <w:lang w:val="en-GB" w:eastAsia="zh-CN"/>
        </w:rPr>
        <w:t>harlequin ladybird</w:t>
      </w:r>
      <w:r w:rsidR="00BC2A84" w:rsidRPr="009C1256">
        <w:rPr>
          <w:lang w:val="en-GB"/>
        </w:rPr>
        <w:t xml:space="preserve">) </w:t>
      </w:r>
      <w:r w:rsidRPr="009C1256">
        <w:rPr>
          <w:lang w:val="en-GB"/>
        </w:rPr>
        <w:t>from Asia causing declines of native ladybirds in the U</w:t>
      </w:r>
      <w:r w:rsidR="1CA51B69" w:rsidRPr="009C1256">
        <w:rPr>
          <w:lang w:val="en-GB"/>
        </w:rPr>
        <w:t xml:space="preserve">nited </w:t>
      </w:r>
      <w:r w:rsidRPr="009C1256">
        <w:rPr>
          <w:lang w:val="en-GB"/>
        </w:rPr>
        <w:t>K</w:t>
      </w:r>
      <w:r w:rsidR="1CA51B69" w:rsidRPr="009C1256">
        <w:rPr>
          <w:lang w:val="en-GB"/>
        </w:rPr>
        <w:t>ingdom</w:t>
      </w:r>
      <w:r w:rsidR="00232349" w:rsidRPr="009C1256">
        <w:rPr>
          <w:lang w:val="en-GB"/>
        </w:rPr>
        <w:t xml:space="preserve"> and Belgium </w:t>
      </w:r>
      <w:r w:rsidR="00130448" w:rsidRPr="009C1256">
        <w:rPr>
          <w:lang w:val="en-GB"/>
        </w:rPr>
        <w:fldChar w:fldCharType="begin"/>
      </w:r>
      <w:r w:rsidR="00331A79">
        <w:rPr>
          <w:lang w:val="en-GB"/>
        </w:rPr>
        <w:instrText xml:space="preserve"> ADDIN ZOTERO_ITEM CSL_CITATION {"citationID":"NDp55dLr","properties":{"formattedCitation":"(Roy et al., 2012)","plainCitation":"(Roy et al., 2012)","noteIndex":0},"citationItems":[{"id":54498,"uris":["http://zotero.org/groups/2352922/items/JP88IHJY"],"itemData":{"id":54498,"type":"article-journal","abstract":"Aim Invasive alien species (IAS) are recognized as major drivers of biodiversity loss, but few causal relationships between IAS and species declines have been documented. In this study, we compare the distribution (Belgium and Britain) and abundance (Belgium, Britain and Switzerland) of formerly common and widespread native ladybirds before and after the arrival of Harmonia axyridis, a globally rapidly expanding IAS. Location Europe Methods We used generalized linear mixed-effects models (GLMMs) to assess the distribution trends of eight conspicuous and historically widespread and common species of ladybird within Belgium and Britain before and after the arrival of H. axyridis. The distribution data were collated largely through public participatory surveys but verified by a recognized expert. We also used GLMMs to model trends in the abundance of ladybirds using data collated through systematic surveys of deciduous trees in Belgium, Britain and Switzerland. Results Five (Belgium) and seven (Britain) of eight species studied show substantial declines attributable to the arrival of H. axyridis. Indeed, the two-spot ladybird, Adalia bipunctata, declined by 30% (Belgium) and 44% (Britain) over 5 years after the arrival of H. axyridis. Trends in ladybird abundance revealed similar patterns of declines across three countries. Main conclusion Together, these analyses show H. axyridis to be displacing native ladybirds with high niche overlap, probably through predation and competition. This finding provides strong evidence of a causal link between the arrival of an IAS and decline in native biodiversity. Rapid biotic homogenization at the continental scale could impact on the resilience of ecosystems and severely diminish the services they deliver.","container-title":"Diversity and Distributions","DOI":"10.1111/j.1472-4642.2012.00883.x","ISSN":"1472-4642","issue":"7","language":"en","note":"_eprint: https://onlinelibrary.wiley.com/doi/pdf/10.1111/j.1472-4642.2012.00883.x","page":"717-725","source":"Wiley Online Library","title":"Invasive alien predator causes rapid declines of native European ladybirds","URL":"https://onlinelibrary.wiley.com/doi/abs/10.1111/j.1472-4642.2012.00883.x","volume":"18","author":[{"family":"Roy","given":"Helen E."},{"family":"Adriaens","given":"Tim"},{"family":"Isaac","given":"Nick J. B."},{"family":"Kenis","given":"Marc"},{"family":"Onkelinx","given":"Thierry"},{"family":"Martin","given":"Gilles San"},{"family":"Brown","given":"Peter M. J."},{"family":"Hautier","given":"Louis"},{"family":"Poland","given":"Remy"},{"family":"Roy","given":"David B."},{"family":"Comont","given":"Richard"},{"family":"Eschen","given":"René"},{"family":"Frost","given":"Robert"},{"family":"Zindel","given":"Renate"},{"family":"Van Vlaenderen","given":"Johan"},{"family":"Nedvěd","given":"Oldřich"},{"family":"Ravn","given":"Hans Peter"},{"family":"Grégoire","given":"Jean-Claude"},{"family":"Biseau","given":"Jean-Christophe","non-dropping-particle":"de"},{"family":"Maes","given":"Dirk"}],"accessed":{"date-parts":[["2023",2,14]]},"issued":{"date-parts":[["2012"]]}},"label":"page"}],"schema":"https://github.com/citation-style-language/schema/raw/master/csl-citation.json"} </w:instrText>
      </w:r>
      <w:r w:rsidR="00130448" w:rsidRPr="009C1256">
        <w:rPr>
          <w:lang w:val="en-GB"/>
        </w:rPr>
        <w:fldChar w:fldCharType="separate"/>
      </w:r>
      <w:r w:rsidR="00144D96" w:rsidRPr="00144D96">
        <w:t>(Roy et al., 2012)</w:t>
      </w:r>
      <w:r w:rsidR="00130448" w:rsidRPr="009C1256">
        <w:rPr>
          <w:lang w:val="en-GB"/>
        </w:rPr>
        <w:fldChar w:fldCharType="end"/>
      </w:r>
      <w:r w:rsidR="00232349" w:rsidRPr="009C1256">
        <w:rPr>
          <w:lang w:val="en-GB"/>
        </w:rPr>
        <w:t xml:space="preserve"> and in other countries worldwide</w:t>
      </w:r>
      <w:r w:rsidRPr="009C1256">
        <w:rPr>
          <w:lang w:val="en-GB"/>
        </w:rPr>
        <w:t xml:space="preserve"> </w:t>
      </w:r>
      <w:r w:rsidR="00130448" w:rsidRPr="009C1256">
        <w:rPr>
          <w:lang w:val="en-GB"/>
        </w:rPr>
        <w:fldChar w:fldCharType="begin"/>
      </w:r>
      <w:r w:rsidR="00331A79">
        <w:rPr>
          <w:lang w:val="en-GB"/>
        </w:rPr>
        <w:instrText xml:space="preserve"> ADDIN ZOTERO_ITEM CSL_CITATION {"citationID":"ynXdO0np","properties":{"formattedCitation":"(Roy et al., 2012)","plainCitation":"(Roy et al., 2012)","noteIndex":0},"citationItems":[{"id":54498,"uris":["http://zotero.org/groups/2352922/items/JP88IHJY"],"itemData":{"id":54498,"type":"article-journal","abstract":"Aim Invasive alien species (IAS) are recognized as major drivers of biodiversity loss, but few causal relationships between IAS and species declines have been documented. In this study, we compare the distribution (Belgium and Britain) and abundance (Belgium, Britain and Switzerland) of formerly common and widespread native ladybirds before and after the arrival of Harmonia axyridis, a globally rapidly expanding IAS. Location Europe Methods We used generalized linear mixed-effects models (GLMMs) to assess the distribution trends of eight conspicuous and historically widespread and common species of ladybird within Belgium and Britain before and after the arrival of H. axyridis. The distribution data were collated largely through public participatory surveys but verified by a recognized expert. We also used GLMMs to model trends in the abundance of ladybirds using data collated through systematic surveys of deciduous trees in Belgium, Britain and Switzerland. Results Five (Belgium) and seven (Britain) of eight species studied show substantial declines attributable to the arrival of H. axyridis. Indeed, the two-spot ladybird, Adalia bipunctata, declined by 30% (Belgium) and 44% (Britain) over 5 years after the arrival of H. axyridis. Trends in ladybird abundance revealed similar patterns of declines across three countries. Main conclusion Together, these analyses show H. axyridis to be displacing native ladybirds with high niche overlap, probably through predation and competition. This finding provides strong evidence of a causal link between the arrival of an IAS and decline in native biodiversity. Rapid biotic homogenization at the continental scale could impact on the resilience of ecosystems and severely diminish the services they deliver.","container-title":"Diversity and Distributions","DOI":"10.1111/j.1472-4642.2012.00883.x","ISSN":"1472-4642","issue":"7","language":"en","note":"_eprint: https://onlinelibrary.wiley.com/doi/pdf/10.1111/j.1472-4642.2012.00883.x","page":"717-725","source":"Wiley Online Library","title":"Invasive alien predator causes rapid declines of native European ladybirds","URL":"https://onlinelibrary.wiley.com/doi/abs/10.1111/j.1472-4642.2012.00883.x","volume":"18","author":[{"family":"Roy","given":"Helen E."},{"family":"Adriaens","given":"Tim"},{"family":"Isaac","given":"Nick J. B."},{"family":"Kenis","given":"Marc"},{"family":"Onkelinx","given":"Thierry"},{"family":"Martin","given":"Gilles San"},{"family":"Brown","given":"Peter M. J."},{"family":"Hautier","given":"Louis"},{"family":"Poland","given":"Remy"},{"family":"Roy","given":"David B."},{"family":"Comont","given":"Richard"},{"family":"Eschen","given":"René"},{"family":"Frost","given":"Robert"},{"family":"Zindel","given":"Renate"},{"family":"Van Vlaenderen","given":"Johan"},{"family":"Nedvěd","given":"Oldřich"},{"family":"Ravn","given":"Hans Peter"},{"family":"Grégoire","given":"Jean-Claude"},{"family":"Biseau","given":"Jean-Christophe","non-dropping-particle":"de"},{"family":"Maes","given":"Dirk"}],"accessed":{"date-parts":[["2023",2,14]]},"issued":{"date-parts":[["2012"]]}},"label":"page"}],"schema":"https://github.com/citation-style-language/schema/raw/master/csl-citation.json"} </w:instrText>
      </w:r>
      <w:r w:rsidR="00130448" w:rsidRPr="009C1256">
        <w:rPr>
          <w:lang w:val="en-GB"/>
        </w:rPr>
        <w:fldChar w:fldCharType="separate"/>
      </w:r>
      <w:r w:rsidR="00144D96" w:rsidRPr="00144D96">
        <w:t>(Roy et al., 2012)</w:t>
      </w:r>
      <w:r w:rsidR="00130448" w:rsidRPr="009C1256">
        <w:rPr>
          <w:lang w:val="en-GB"/>
        </w:rPr>
        <w:fldChar w:fldCharType="end"/>
      </w:r>
      <w:r w:rsidR="00774819">
        <w:rPr>
          <w:lang w:val="en-GB"/>
        </w:rPr>
        <w:t xml:space="preserve"> and</w:t>
      </w:r>
      <w:r w:rsidRPr="009C1256">
        <w:rPr>
          <w:lang w:val="en-GB"/>
        </w:rPr>
        <w:t xml:space="preserve"> </w:t>
      </w:r>
      <w:r w:rsidRPr="009C1256">
        <w:rPr>
          <w:i/>
          <w:iCs/>
          <w:lang w:val="en-GB"/>
        </w:rPr>
        <w:t>Coccinella septempunctata</w:t>
      </w:r>
      <w:r w:rsidRPr="009C1256">
        <w:rPr>
          <w:lang w:val="en-GB"/>
        </w:rPr>
        <w:t xml:space="preserve"> </w:t>
      </w:r>
      <w:r w:rsidR="00BC2A84" w:rsidRPr="009C1256">
        <w:rPr>
          <w:lang w:val="en-GB"/>
        </w:rPr>
        <w:t xml:space="preserve">(seven-spot ladybird) </w:t>
      </w:r>
      <w:r w:rsidRPr="009C1256">
        <w:rPr>
          <w:lang w:val="en-GB"/>
        </w:rPr>
        <w:t xml:space="preserve">from Europe impacting populations of native North American ladybirds </w:t>
      </w:r>
      <w:r w:rsidR="008C1BF7" w:rsidRPr="009C1256">
        <w:rPr>
          <w:lang w:val="en-GB"/>
        </w:rPr>
        <w:fldChar w:fldCharType="begin"/>
      </w:r>
      <w:r w:rsidR="00331A79">
        <w:rPr>
          <w:lang w:val="en-GB"/>
        </w:rPr>
        <w:instrText xml:space="preserve"> ADDIN ZOTERO_ITEM CSL_CITATION {"citationID":"aWddOekV","properties":{"formattedCitation":"(E. W. Evans et al., 2011)","plainCitation":"(E. W. Evans et al., 2011)","noteIndex":0},"citationItems":[{"id":11619,"uris":["http://zotero.org/groups/2352922/items/X5F8TL36"],"itemData":{"id":11619,"type":"article-journal","abstract":"Species of predatory Coleoptera have become abundant in new geographic regions recently, raising concerns for invaded ecosystems. We address this topic by focusing on invasive alien ladybird beetles (Coccinellidae; known also as ladybugs). Humans appear directly or indirectly responsible for all or most ladybird invasions. Factors hypothesized to have promoted ladybird invasions include genetic diversity (e.g., for polymorphism), phenotypic plasticity, adaptation and genetic shift, generalized diet and habitat preferences, flexible life history and reproduction, large body size, and release from enemies. Factors such as climate, habitat and prey availability, and biotic resistance may sometimes prevent or slow ladybird invasions. Indigenous species (e.g., herbivores) may suffer from invasions, and biological control programs may be affected. Species of indigenous ladybirds throughout the world are reported to have declined in abundance following ladybird invasions, with increased competition and/or intraguild predation most often hypothesized or inferred. Similar recent studies especially of ground beetles (Carabidae) also make clear the potential of invasive alien predatory Coleoptera to disrupt invaded natural and agricultural ecosystems.","container-title":"BioControl","DOI":"10.1007/s10526-011-9374-6","ISSN":"1573-8248","issue":"4","journalAbbreviation":"BioControl","language":"en","page":"597-611","source":"Springer Link","title":"Invasions by ladybugs, ladybirds, and other predatory beetles","URL":"https://doi.org/10.1007/s10526-011-9374-6","volume":"56","author":[{"family":"Evans","given":"Edward W."},{"family":"Soares","given":"António Onofre"},{"family":"Yasuda","given":"Hironori"}],"accessed":{"date-parts":[["2020",7,4]]},"issued":{"date-parts":[["2011",8,1]]}},"label":"page"}],"schema":"https://github.com/citation-style-language/schema/raw/master/csl-citation.json"} </w:instrText>
      </w:r>
      <w:r w:rsidR="008C1BF7" w:rsidRPr="009C1256">
        <w:rPr>
          <w:lang w:val="en-GB"/>
        </w:rPr>
        <w:fldChar w:fldCharType="separate"/>
      </w:r>
      <w:r w:rsidR="00144D96" w:rsidRPr="00144D96">
        <w:t>(E. W. Evans et al., 2011)</w:t>
      </w:r>
      <w:r w:rsidR="008C1BF7" w:rsidRPr="009C1256">
        <w:rPr>
          <w:lang w:val="en-GB"/>
        </w:rPr>
        <w:fldChar w:fldCharType="end"/>
      </w:r>
      <w:r w:rsidRPr="009C1256">
        <w:rPr>
          <w:lang w:val="en-GB"/>
        </w:rPr>
        <w:t xml:space="preserve">. The release of </w:t>
      </w:r>
      <w:r w:rsidRPr="009C1256">
        <w:rPr>
          <w:i/>
          <w:iCs/>
          <w:lang w:val="en-GB"/>
        </w:rPr>
        <w:t>Euglandina rosea</w:t>
      </w:r>
      <w:r w:rsidR="3F605CD3" w:rsidRPr="009C1256">
        <w:rPr>
          <w:lang w:val="en-GB"/>
        </w:rPr>
        <w:t xml:space="preserve"> </w:t>
      </w:r>
      <w:r w:rsidR="00BC2A84" w:rsidRPr="009C1256">
        <w:rPr>
          <w:lang w:val="en-GB"/>
        </w:rPr>
        <w:t xml:space="preserve">(rosy wolf snail) </w:t>
      </w:r>
      <w:r w:rsidRPr="009C1256">
        <w:rPr>
          <w:lang w:val="en-GB"/>
        </w:rPr>
        <w:t xml:space="preserve">in </w:t>
      </w:r>
      <w:r w:rsidR="000A654B" w:rsidRPr="009C1256">
        <w:rPr>
          <w:lang w:val="en-GB"/>
        </w:rPr>
        <w:t>Hawaii</w:t>
      </w:r>
      <w:r w:rsidRPr="009C1256">
        <w:rPr>
          <w:lang w:val="en-GB"/>
        </w:rPr>
        <w:t xml:space="preserve"> to control </w:t>
      </w:r>
      <w:r w:rsidR="00B9054F" w:rsidRPr="009C1256">
        <w:rPr>
          <w:i/>
          <w:iCs/>
          <w:lang w:val="en-GB"/>
        </w:rPr>
        <w:t>Lissachatina</w:t>
      </w:r>
      <w:r w:rsidR="00BC2A84" w:rsidRPr="009C1256">
        <w:rPr>
          <w:i/>
          <w:iCs/>
          <w:lang w:val="en-GB"/>
        </w:rPr>
        <w:t xml:space="preserve"> fulica</w:t>
      </w:r>
      <w:r w:rsidR="00BC2A84" w:rsidRPr="009C1256">
        <w:rPr>
          <w:lang w:val="en-GB"/>
        </w:rPr>
        <w:t xml:space="preserve"> (</w:t>
      </w:r>
      <w:r w:rsidRPr="009C1256">
        <w:rPr>
          <w:lang w:val="en-GB"/>
        </w:rPr>
        <w:t xml:space="preserve">giant African </w:t>
      </w:r>
      <w:r w:rsidR="00B9054F" w:rsidRPr="009C1256">
        <w:rPr>
          <w:lang w:val="en-GB"/>
        </w:rPr>
        <w:t xml:space="preserve">land </w:t>
      </w:r>
      <w:r w:rsidRPr="009C1256">
        <w:rPr>
          <w:lang w:val="en-GB"/>
        </w:rPr>
        <w:t>snail</w:t>
      </w:r>
      <w:r w:rsidR="00BC2A84" w:rsidRPr="009C1256">
        <w:rPr>
          <w:lang w:val="en-GB"/>
        </w:rPr>
        <w:t>)</w:t>
      </w:r>
      <w:r w:rsidRPr="009C1256">
        <w:rPr>
          <w:lang w:val="en-GB"/>
        </w:rPr>
        <w:t xml:space="preserve"> also failed to lead to desired management outcomes but instead resulted in the </w:t>
      </w:r>
      <w:r w:rsidR="002F73DC" w:rsidRPr="009C1256">
        <w:rPr>
          <w:lang w:val="en-GB"/>
        </w:rPr>
        <w:t>intentional</w:t>
      </w:r>
      <w:r w:rsidRPr="009C1256">
        <w:rPr>
          <w:lang w:val="en-GB"/>
        </w:rPr>
        <w:t xml:space="preserve"> introduction of an </w:t>
      </w:r>
      <w:r w:rsidR="63C4FDFA" w:rsidRPr="009C1256">
        <w:rPr>
          <w:lang w:val="en-GB"/>
        </w:rPr>
        <w:t xml:space="preserve">invasive alien species </w:t>
      </w:r>
      <w:r w:rsidR="008C1BF7" w:rsidRPr="009C1256">
        <w:rPr>
          <w:lang w:val="en-GB"/>
        </w:rPr>
        <w:fldChar w:fldCharType="begin"/>
      </w:r>
      <w:r w:rsidR="00331A79">
        <w:rPr>
          <w:lang w:val="en-GB"/>
        </w:rPr>
        <w:instrText xml:space="preserve"> ADDIN ZOTERO_ITEM CSL_CITATION {"citationID":"C1ofBSzG","properties":{"formattedCitation":"(Cowie, 2001)","plainCitation":"(Cowie, 2001)","noteIndex":0},"citationItems":[{"id":24338,"uris":["http://zotero.org/groups/2352922/items/X6FKBB2Y"],"itemData":{"id":24338,"type":"article-journal","container-title":"International Journal of Pest Management","DOI":"10.1080/09670870150215577","ISSN":"0967-0874, 1366-5863","issue":"1","journalAbbreviation":"International Journal of Pest Management","language":"en","page":"23-40","source":"DOI.org (Crossref)","title":"Can snails ever be effective and safe biocontrol agents?","URL":"http://www.tandfonline.com/doi/abs/10.1080/09670870150215577","volume":"47","author":[{"family":"Cowie","given":"Robert H."}],"accessed":{"date-parts":[["2021",2,9]]},"issued":{"date-parts":[["2001",1]]}},"label":"page"}],"schema":"https://github.com/citation-style-language/schema/raw/master/csl-citation.json"} </w:instrText>
      </w:r>
      <w:r w:rsidR="008C1BF7" w:rsidRPr="009C1256">
        <w:rPr>
          <w:lang w:val="en-GB"/>
        </w:rPr>
        <w:fldChar w:fldCharType="separate"/>
      </w:r>
      <w:r w:rsidR="00144D96" w:rsidRPr="00144D96">
        <w:t>(Cowie, 2001)</w:t>
      </w:r>
      <w:r w:rsidR="008C1BF7" w:rsidRPr="009C1256">
        <w:rPr>
          <w:lang w:val="en-GB"/>
        </w:rPr>
        <w:fldChar w:fldCharType="end"/>
      </w:r>
      <w:r w:rsidRPr="009C1256">
        <w:rPr>
          <w:lang w:val="en-GB"/>
        </w:rPr>
        <w:t xml:space="preserve">. </w:t>
      </w:r>
    </w:p>
    <w:p w14:paraId="7405BAFF" w14:textId="77777777" w:rsidR="00827362" w:rsidRPr="009C1256" w:rsidRDefault="00827362" w:rsidP="00BB590B">
      <w:pPr>
        <w:spacing w:before="0" w:after="0"/>
        <w:rPr>
          <w:rFonts w:eastAsia="Times New Roman"/>
          <w:color w:val="000000"/>
          <w:szCs w:val="24"/>
          <w:lang w:val="en-GB" w:eastAsia="zh-CN"/>
        </w:rPr>
      </w:pPr>
    </w:p>
    <w:p w14:paraId="1AE3B955" w14:textId="6DDC9844" w:rsidR="534497A5" w:rsidRPr="00DA249F" w:rsidRDefault="51779881" w:rsidP="007D4C02">
      <w:pPr>
        <w:spacing w:before="0"/>
        <w:rPr>
          <w:lang w:val="en-GB"/>
        </w:rPr>
      </w:pPr>
      <w:r w:rsidRPr="009C1256">
        <w:rPr>
          <w:i/>
          <w:iCs/>
          <w:lang w:val="en-GB"/>
        </w:rPr>
        <w:t>Rhinella marina</w:t>
      </w:r>
      <w:r w:rsidRPr="009C1256">
        <w:rPr>
          <w:lang w:val="en-GB"/>
        </w:rPr>
        <w:t xml:space="preserve"> </w:t>
      </w:r>
      <w:r w:rsidR="00BC2A84" w:rsidRPr="009C1256">
        <w:rPr>
          <w:lang w:val="en-GB"/>
        </w:rPr>
        <w:t>(cane toad)</w:t>
      </w:r>
      <w:r w:rsidR="00827362">
        <w:rPr>
          <w:lang w:val="en-GB"/>
        </w:rPr>
        <w:t xml:space="preserve"> was</w:t>
      </w:r>
      <w:r w:rsidR="00BC2A84" w:rsidRPr="009C1256">
        <w:rPr>
          <w:lang w:val="en-GB"/>
        </w:rPr>
        <w:t xml:space="preserve"> </w:t>
      </w:r>
      <w:r w:rsidRPr="009C1256">
        <w:rPr>
          <w:lang w:val="en-GB"/>
        </w:rPr>
        <w:t>introduced into Queensland, Australia in 1935 from Hawaii to control insect pests of sugar cane</w:t>
      </w:r>
      <w:r w:rsidR="00827362">
        <w:rPr>
          <w:lang w:val="en-GB"/>
        </w:rPr>
        <w:t xml:space="preserve"> and</w:t>
      </w:r>
      <w:r w:rsidRPr="009C1256">
        <w:rPr>
          <w:lang w:val="en-GB"/>
        </w:rPr>
        <w:t xml:space="preserve"> became an invasive </w:t>
      </w:r>
      <w:r w:rsidR="002A0EE8" w:rsidRPr="009C1256">
        <w:rPr>
          <w:lang w:val="en-GB"/>
        </w:rPr>
        <w:t xml:space="preserve">alien </w:t>
      </w:r>
      <w:r w:rsidRPr="009C1256">
        <w:rPr>
          <w:lang w:val="en-GB"/>
        </w:rPr>
        <w:t xml:space="preserve">species with direct and possible indirect impacts on </w:t>
      </w:r>
      <w:r w:rsidR="5D5D6F0E" w:rsidRPr="009C1256">
        <w:rPr>
          <w:lang w:val="en-GB"/>
        </w:rPr>
        <w:t>non-target</w:t>
      </w:r>
      <w:r w:rsidRPr="009C1256">
        <w:rPr>
          <w:lang w:val="en-GB"/>
        </w:rPr>
        <w:t xml:space="preserve"> native Australian vertebrates</w:t>
      </w:r>
      <w:r w:rsidR="3A5E84AD" w:rsidRPr="009C1256">
        <w:rPr>
          <w:lang w:val="en-GB"/>
        </w:rPr>
        <w:t xml:space="preserve"> </w:t>
      </w:r>
      <w:r w:rsidRPr="009C1256">
        <w:rPr>
          <w:lang w:val="en-GB"/>
        </w:rPr>
        <w:fldChar w:fldCharType="begin"/>
      </w:r>
      <w:r w:rsidR="00230216">
        <w:rPr>
          <w:lang w:val="en-GB"/>
        </w:rPr>
        <w:instrText xml:space="preserve"> ADDIN ZOTERO_ITEM CSL_CITATION {"citationID":"p7ddQuyI","properties":{"formattedCitation":"(R. Shine, 2010)","plainCitation":"(R. Shine, 2010)","noteIndex":0},"citationItems":[{"id":29315,"uris":["http://zotero.org/groups/2352922/items/2CADVB79"],"itemData":{"id":29315,"type":"article-journal","abstract":"Although invasive species are viewed as major threats to ecosystems worldwide, few such species have been studied in enough detail to identify the pathways, magnitudes, and timescales of their impact on native fauna. One of the most intensively studied invasive taxa in this respect is the cane toad (Bufo marinus), which was introduced to Australia in 1935. A review of these studies suggests that a single pathway—lethal toxic ingestion of toads by frog-eating predators—is the major mechanism of impact, but that the magnitude of impact varies dramatically among predator taxa, as well as through space and time. Populations of large predators (e.g., varanid and scincid lizards, elapid snakes, freshwater crocodiles, and dasyurid marsupials) may be imperilled by toad invasion, but impacts vary spatially even within the same predator species. Some of the taxa severely impacted by toad invasion recover within a few decades, via aversion learning and longer-term adaptive changes. No native species have gone extinct as a result of toad invasion, and many native taxa widely imagined to be at risk are not affected, largely as a result of their physiological ability to tolerate toad toxins (e.g., as found in many birds and rodents), as well as the reluctance of many native anuran-eating predators to consume toads, either innately or as a learned response. Indirect effects of cane toads as mediated through trophic webs are likely as important as direct effects, but they are more difﬁcult to study. Overall, some Australian native species (mostly large predators) have declined due to cane toads; others, especially species formerly consumed by those predators, have beneﬁted. For yet others, effects have been minor or have been mediated indirectly rather than through direct interactions with the invasive toads. Factors that increase a predator’s vulnerability to toad invasion include habitat overlap with toads, anurophagy, large body size, inability to develop rapid behavioral aversion to toads as prey items, and physiological vulnerability to bufotoxins as a result of a lack of coevolutionary history of exposure to other bufonid taxa.","container-title":"The Quarterly Review of Biology","DOI":"10.1086/655116","ISSN":"0033-5770, 1539-7718","issue":"3","journalAbbreviation":"The Quarterly Review of Biology","language":"en","note":"number: 3","page":"253-291","source":"DOI.org (Crossref)","title":"The Ecological Impact of Invasive Cane Toads (&lt;i&gt;Bufo marinus&lt;/i&gt;) in Australia","URL":"https://www.journals.uchicago.edu/doi/10.1086/655116","volume":"85","author":[{"family":"Shine","given":"Richard"}],"accessed":{"date-parts":[["2020",8,9]]},"issued":{"date-parts":[["2010",9]]}},"label":"page"}],"schema":"https://github.com/citation-style-language/schema/raw/master/csl-citation.json"} </w:instrText>
      </w:r>
      <w:r w:rsidRPr="009C1256">
        <w:rPr>
          <w:lang w:val="en-GB"/>
        </w:rPr>
        <w:fldChar w:fldCharType="separate"/>
      </w:r>
      <w:r w:rsidR="00230216" w:rsidRPr="00230216">
        <w:t>(R. Shine, 2010)</w:t>
      </w:r>
      <w:r w:rsidRPr="009C1256">
        <w:rPr>
          <w:lang w:val="en-GB"/>
        </w:rPr>
        <w:fldChar w:fldCharType="end"/>
      </w:r>
      <w:r w:rsidRPr="009C1256">
        <w:rPr>
          <w:lang w:val="en-GB"/>
        </w:rPr>
        <w:t>.</w:t>
      </w:r>
      <w:r w:rsidR="3F605CD3" w:rsidRPr="009C1256">
        <w:rPr>
          <w:lang w:val="en-GB"/>
        </w:rPr>
        <w:t xml:space="preserve"> </w:t>
      </w:r>
      <w:r w:rsidR="00146F58" w:rsidRPr="009C1256">
        <w:rPr>
          <w:lang w:val="en-GB"/>
        </w:rPr>
        <w:t xml:space="preserve">This is an example where science was ignored and a political decision was made to introduce </w:t>
      </w:r>
      <w:r w:rsidR="00F838E0" w:rsidRPr="009C1256">
        <w:rPr>
          <w:i/>
          <w:iCs/>
          <w:lang w:val="en-GB"/>
        </w:rPr>
        <w:t>Rhinella</w:t>
      </w:r>
      <w:r w:rsidR="00146F58" w:rsidRPr="009C1256">
        <w:rPr>
          <w:lang w:val="en-GB"/>
        </w:rPr>
        <w:t xml:space="preserve"> </w:t>
      </w:r>
      <w:r w:rsidR="00146F58" w:rsidRPr="009C1256">
        <w:rPr>
          <w:i/>
          <w:iCs/>
          <w:lang w:val="en-GB"/>
        </w:rPr>
        <w:t>marina</w:t>
      </w:r>
      <w:r w:rsidR="00E84AA0" w:rsidRPr="009C1256">
        <w:rPr>
          <w:lang w:val="en-GB"/>
        </w:rPr>
        <w:t xml:space="preserve"> </w:t>
      </w:r>
      <w:r w:rsidRPr="009C1256">
        <w:rPr>
          <w:lang w:val="en-GB"/>
        </w:rPr>
        <w:fldChar w:fldCharType="begin"/>
      </w:r>
      <w:r w:rsidR="00331A79">
        <w:rPr>
          <w:lang w:val="en-GB"/>
        </w:rPr>
        <w:instrText xml:space="preserve"> ADDIN ZOTERO_ITEM CSL_CITATION {"citationID":"Z69P9Ur8","properties":{"formattedCitation":"(M. D. Day et al., 2021)","plainCitation":"(M. D. Day et al., 2021)","noteIndex":0},"citationItems":[{"id":52869,"uris":["http://zotero.org/groups/2352922/items/A9UXRXBW"],"itemData":{"id":52869,"type":"chapter","container-title":"Biological control: global impacts, challenges and future directions of pest management","page":"334-367","publisher":"CSIRO","title":"Biological control successes and failures: Oceania region","URL":"https://ebooks.publish.csiro.au/content/biological-control","author":[{"family":"Day","given":"Michael D."},{"family":"Cock","given":"Matthew J. W."},{"family":"Conant","given":"Patrick"},{"family":"Cooke","given":"Brian"},{"family":"Furlong","given":"Michael J."},{"family":"Paynter","given":"Quentin"},{"family":"Ramadan","given":"Mohsen M."},{"family":"Wright","given":"Mark G."}],"editor":[{"family":"Mason","given":"Peter G."}],"issued":{"date-parts":[["2021"]]}},"label":"page"}],"schema":"https://github.com/citation-style-language/schema/raw/master/csl-citation.json"} </w:instrText>
      </w:r>
      <w:r w:rsidRPr="009C1256">
        <w:rPr>
          <w:lang w:val="en-GB"/>
        </w:rPr>
        <w:fldChar w:fldCharType="separate"/>
      </w:r>
      <w:r w:rsidR="00144D96" w:rsidRPr="00144D96">
        <w:t>(M. D. Day et al., 2021)</w:t>
      </w:r>
      <w:r w:rsidRPr="009C1256">
        <w:rPr>
          <w:lang w:val="en-GB"/>
        </w:rPr>
        <w:fldChar w:fldCharType="end"/>
      </w:r>
      <w:r w:rsidR="00146F58" w:rsidRPr="009C1256">
        <w:rPr>
          <w:lang w:val="en-GB"/>
        </w:rPr>
        <w:t xml:space="preserve">. </w:t>
      </w:r>
      <w:r w:rsidRPr="009C1256">
        <w:rPr>
          <w:lang w:val="en-GB"/>
        </w:rPr>
        <w:t xml:space="preserve">Mammals have also </w:t>
      </w:r>
      <w:r w:rsidR="5D5D6F0E" w:rsidRPr="009C1256">
        <w:rPr>
          <w:lang w:val="en-GB"/>
        </w:rPr>
        <w:t>been</w:t>
      </w:r>
      <w:r w:rsidRPr="009C1256">
        <w:rPr>
          <w:lang w:val="en-GB"/>
        </w:rPr>
        <w:t xml:space="preserve"> released as biological control agents with unintended consequences.</w:t>
      </w:r>
      <w:r w:rsidR="3F605CD3" w:rsidRPr="009C1256">
        <w:rPr>
          <w:lang w:val="en-GB"/>
        </w:rPr>
        <w:t xml:space="preserve"> </w:t>
      </w:r>
      <w:r w:rsidR="005C2F72" w:rsidRPr="009C1256">
        <w:rPr>
          <w:i/>
          <w:iCs/>
          <w:lang w:val="en-GB"/>
        </w:rPr>
        <w:t>Herpestes javanicus</w:t>
      </w:r>
      <w:r w:rsidR="005C2F72" w:rsidRPr="009C1256">
        <w:rPr>
          <w:i/>
          <w:lang w:val="en-GB"/>
        </w:rPr>
        <w:t xml:space="preserve"> </w:t>
      </w:r>
      <w:r w:rsidR="00FD1A90" w:rsidRPr="009C1256">
        <w:rPr>
          <w:i/>
          <w:lang w:val="en-GB"/>
        </w:rPr>
        <w:t xml:space="preserve">auropunctatus </w:t>
      </w:r>
      <w:r w:rsidR="005C2F72" w:rsidRPr="009C1256">
        <w:rPr>
          <w:lang w:val="en-GB"/>
        </w:rPr>
        <w:t>(s</w:t>
      </w:r>
      <w:r w:rsidRPr="009C1256">
        <w:rPr>
          <w:lang w:val="en-GB"/>
        </w:rPr>
        <w:t xml:space="preserve">mall Indian </w:t>
      </w:r>
      <w:r w:rsidR="005C2F72" w:rsidRPr="009C1256">
        <w:rPr>
          <w:lang w:val="en-GB"/>
        </w:rPr>
        <w:t>m</w:t>
      </w:r>
      <w:r w:rsidRPr="009C1256">
        <w:rPr>
          <w:lang w:val="en-GB"/>
        </w:rPr>
        <w:t>ongoose</w:t>
      </w:r>
      <w:r w:rsidR="005C2F72" w:rsidRPr="009C1256">
        <w:rPr>
          <w:lang w:val="en-GB"/>
        </w:rPr>
        <w:t>)</w:t>
      </w:r>
      <w:r w:rsidRPr="009C1256">
        <w:rPr>
          <w:lang w:val="en-GB"/>
        </w:rPr>
        <w:t xml:space="preserve"> </w:t>
      </w:r>
      <w:r w:rsidR="001D00A3">
        <w:rPr>
          <w:lang w:val="en-GB"/>
        </w:rPr>
        <w:t xml:space="preserve">was </w:t>
      </w:r>
      <w:r w:rsidRPr="009C1256">
        <w:rPr>
          <w:lang w:val="en-GB"/>
        </w:rPr>
        <w:t xml:space="preserve">introduced initially to control </w:t>
      </w:r>
      <w:r w:rsidR="00EC22AF" w:rsidRPr="009C1256">
        <w:rPr>
          <w:lang w:val="en-GB"/>
        </w:rPr>
        <w:t xml:space="preserve">alien invasive </w:t>
      </w:r>
      <w:r w:rsidRPr="009C1256">
        <w:rPr>
          <w:lang w:val="en-GB"/>
        </w:rPr>
        <w:t>rodents and snakes in th</w:t>
      </w:r>
      <w:r w:rsidR="00562B6E" w:rsidRPr="009C1256">
        <w:rPr>
          <w:lang w:val="en-GB"/>
        </w:rPr>
        <w:t>e West Indies, Hawaiian islands</w:t>
      </w:r>
      <w:r w:rsidR="00774819">
        <w:rPr>
          <w:lang w:val="en-GB"/>
        </w:rPr>
        <w:t xml:space="preserve"> and</w:t>
      </w:r>
      <w:r w:rsidR="00562B6E" w:rsidRPr="009C1256">
        <w:rPr>
          <w:lang w:val="en-GB"/>
        </w:rPr>
        <w:t xml:space="preserve"> </w:t>
      </w:r>
      <w:r w:rsidRPr="009C1256">
        <w:rPr>
          <w:lang w:val="en-GB"/>
        </w:rPr>
        <w:t>Japan</w:t>
      </w:r>
      <w:r w:rsidR="00562B6E" w:rsidRPr="009C1256">
        <w:rPr>
          <w:lang w:val="en-GB"/>
        </w:rPr>
        <w:t>,</w:t>
      </w:r>
      <w:r w:rsidRPr="009C1256">
        <w:rPr>
          <w:lang w:val="en-GB"/>
        </w:rPr>
        <w:t xml:space="preserve"> and has resulted in mammal and reptile extinctions </w:t>
      </w:r>
      <w:r w:rsidRPr="009C1256">
        <w:rPr>
          <w:lang w:val="en-GB"/>
        </w:rPr>
        <w:fldChar w:fldCharType="begin"/>
      </w:r>
      <w:r w:rsidR="00331A79">
        <w:rPr>
          <w:lang w:val="en-GB"/>
        </w:rPr>
        <w:instrText xml:space="preserve"> ADDIN ZOTERO_ITEM CSL_CITATION {"citationID":"Nfi59eYr","properties":{"formattedCitation":"(Hays &amp; Conant, 2007)","plainCitation":"(Hays &amp; Conant, 2007)","noteIndex":0},"citationItems":[{"id":29098,"uris":["http://zotero.org/groups/2352922/items/5YM984M2"],"itemData":{"id":29098,"type":"article-journal","abstract":"The small Indian mongoose, Herpestes javanicus (E. Geoffroy SaintHilaire, 1818), was intentionally introduced to at least 45 islands (including 8 in the Paciﬁc) and one continental mainland between 1872 and 1979. This small carnivore is now found on the mainland or islands of Asia, Africa, Europe, North America, South America, and Oceania. In this review we document the impact of this species on native birds, mammals, and herpetofauna in these areas of introduction.","container-title":"Pacific Science","DOI":"10.1353/psc.2007.0006","ISSN":"1534-6188","issue":"1","journalAbbreviation":"Pacific Science","language":"en","page":"3-16","source":"DOI.org (Crossref)","title":"Biology and Impacts of Pacific Island Invasive Species. 1. A Worldwide Review of Effects of the Small Indian Mongoose, &lt;i&gt;Herpestes javanicus&lt;/i&gt; (Carnivora: Herpestidae)","title-short":"Biology and Impacts of Pacific Island Invasive Species. 1. A Worldwide Review of Effects of the Small Indian Mongoose, Herpestes javanicus (Carnivora","URL":"http://muse.jhu.edu/content/crossref/journals/pacific_science/v061/61.1hays.pdf","volume":"61","author":[{"family":"Hays","given":"Warren S. T."},{"family":"Conant","given":"Sheila."}],"accessed":{"date-parts":[["2020",6,30]]},"issued":{"date-parts":[["2007"]]}},"label":"page"}],"schema":"https://github.com/citation-style-language/schema/raw/master/csl-citation.json"} </w:instrText>
      </w:r>
      <w:r w:rsidRPr="009C1256">
        <w:rPr>
          <w:lang w:val="en-GB"/>
        </w:rPr>
        <w:fldChar w:fldCharType="separate"/>
      </w:r>
      <w:r w:rsidR="00144D96" w:rsidRPr="00144D96">
        <w:t>(Hays &amp; Conant, 2007)</w:t>
      </w:r>
      <w:r w:rsidRPr="009C1256">
        <w:rPr>
          <w:lang w:val="en-GB"/>
        </w:rPr>
        <w:fldChar w:fldCharType="end"/>
      </w:r>
      <w:r w:rsidRPr="009C1256">
        <w:rPr>
          <w:lang w:val="en-GB"/>
        </w:rPr>
        <w:t>.</w:t>
      </w:r>
      <w:r w:rsidR="3F605CD3" w:rsidRPr="009C1256">
        <w:rPr>
          <w:lang w:val="en-GB"/>
        </w:rPr>
        <w:t xml:space="preserve"> </w:t>
      </w:r>
      <w:r w:rsidRPr="009C1256">
        <w:rPr>
          <w:lang w:val="en-GB"/>
        </w:rPr>
        <w:t xml:space="preserve">In aquatic environments, </w:t>
      </w:r>
      <w:r w:rsidRPr="009C1256">
        <w:rPr>
          <w:i/>
          <w:iCs/>
          <w:lang w:val="en-GB"/>
        </w:rPr>
        <w:t>Gambusia affinis</w:t>
      </w:r>
      <w:r w:rsidRPr="009C1256">
        <w:rPr>
          <w:lang w:val="en-GB"/>
        </w:rPr>
        <w:t xml:space="preserve"> </w:t>
      </w:r>
      <w:r w:rsidR="007D4C02" w:rsidRPr="009C1256">
        <w:rPr>
          <w:lang w:val="en-GB"/>
        </w:rPr>
        <w:t xml:space="preserve">(western mosquitofish) </w:t>
      </w:r>
      <w:r w:rsidRPr="009C1256">
        <w:rPr>
          <w:lang w:val="en-GB"/>
        </w:rPr>
        <w:t xml:space="preserve">and </w:t>
      </w:r>
      <w:r w:rsidRPr="009C1256">
        <w:rPr>
          <w:i/>
          <w:iCs/>
          <w:lang w:val="en-GB"/>
        </w:rPr>
        <w:t>Gambusia holbrooki</w:t>
      </w:r>
      <w:r w:rsidR="007D4C02" w:rsidRPr="009C1256">
        <w:rPr>
          <w:lang w:val="en-GB"/>
        </w:rPr>
        <w:t xml:space="preserve"> (eastern mosquitofish),</w:t>
      </w:r>
      <w:r w:rsidRPr="009C1256">
        <w:rPr>
          <w:lang w:val="en-GB"/>
        </w:rPr>
        <w:t xml:space="preserve"> native to the fresh waters of the </w:t>
      </w:r>
      <w:r w:rsidR="5E194A92" w:rsidRPr="009C1256">
        <w:rPr>
          <w:lang w:val="en-GB"/>
        </w:rPr>
        <w:t>United States</w:t>
      </w:r>
      <w:r w:rsidR="00E84029" w:rsidRPr="009C1256">
        <w:rPr>
          <w:lang w:val="en-GB"/>
        </w:rPr>
        <w:t>,</w:t>
      </w:r>
      <w:r w:rsidR="5E194A92" w:rsidRPr="009C1256">
        <w:rPr>
          <w:lang w:val="en-GB"/>
        </w:rPr>
        <w:t xml:space="preserve"> </w:t>
      </w:r>
      <w:r w:rsidR="00185129" w:rsidRPr="009C1256">
        <w:rPr>
          <w:lang w:val="en-GB"/>
        </w:rPr>
        <w:t>have been introduced</w:t>
      </w:r>
      <w:r w:rsidRPr="009C1256">
        <w:rPr>
          <w:lang w:val="en-GB"/>
        </w:rPr>
        <w:t xml:space="preserve"> worldwide as biological control agents of mosquito larvae</w:t>
      </w:r>
      <w:r w:rsidR="00491A29">
        <w:rPr>
          <w:lang w:val="en-GB"/>
        </w:rPr>
        <w:t>,</w:t>
      </w:r>
      <w:r w:rsidRPr="009C1256">
        <w:rPr>
          <w:lang w:val="en-GB"/>
        </w:rPr>
        <w:t xml:space="preserve"> but are implicated in the decrease and loss </w:t>
      </w:r>
      <w:r w:rsidR="00E84029" w:rsidRPr="009C1256">
        <w:rPr>
          <w:lang w:val="en-GB"/>
        </w:rPr>
        <w:t xml:space="preserve">of </w:t>
      </w:r>
      <w:r w:rsidRPr="009C1256">
        <w:rPr>
          <w:lang w:val="en-GB"/>
        </w:rPr>
        <w:t>non</w:t>
      </w:r>
      <w:r w:rsidR="00E84029" w:rsidRPr="009C1256">
        <w:rPr>
          <w:lang w:val="en-GB"/>
        </w:rPr>
        <w:t>-</w:t>
      </w:r>
      <w:r w:rsidRPr="009C1256">
        <w:rPr>
          <w:lang w:val="en-GB"/>
        </w:rPr>
        <w:t>target native invertebrate</w:t>
      </w:r>
      <w:r w:rsidR="00185129" w:rsidRPr="009C1256">
        <w:rPr>
          <w:lang w:val="en-GB"/>
        </w:rPr>
        <w:t>s</w:t>
      </w:r>
      <w:r w:rsidRPr="009C1256">
        <w:rPr>
          <w:lang w:val="en-GB"/>
        </w:rPr>
        <w:t xml:space="preserve"> as well as fish and amphibian populations</w:t>
      </w:r>
      <w:r w:rsidR="00185129" w:rsidRPr="009C1256">
        <w:rPr>
          <w:lang w:val="en-GB"/>
        </w:rPr>
        <w:t xml:space="preserve"> </w:t>
      </w:r>
      <w:r w:rsidRPr="009C1256">
        <w:rPr>
          <w:lang w:val="en-GB"/>
        </w:rPr>
        <w:fldChar w:fldCharType="begin"/>
      </w:r>
      <w:r w:rsidR="00331A79">
        <w:rPr>
          <w:lang w:val="en-GB"/>
        </w:rPr>
        <w:instrText xml:space="preserve"> ADDIN ZOTERO_ITEM CSL_CITATION {"citationID":"W2NtadrI","properties":{"formattedCitation":"(Azevedo-Santos et al., 2017)","plainCitation":"(Azevedo-Santos et al., 2017)","noteIndex":0},"citationItems":[{"id":11524,"uris":["http://zotero.org/groups/2352922/items/ZAGCGVWD"],"itemData":{"id":11524,"type":"article-journal","abstract":"Abstract.  Zika, chikungunya, yellow fever, and dengue are mainly transmitted to humans through Aedes mosquitoes. In attempts to control these diseases, governm","container-title":"BioScience","DOI":"10.1093/biosci/biw156","ISSN":"0006-3568","issue":"1","journalAbbreviation":"BioScience","language":"en","page":"84-90","source":"academic.oup.com","title":"Nonnative Fish to Control &lt;i&gt;Aedes&lt;/i&gt; Mosquitoes: A Controversial, Harmful Tool","title-short":"Nonnative Fish to Control Aedes Mosquitoes","URL":"https://academic.oup.com/bioscience/article/67/1/84/2661844","volume":"67","author":[{"family":"Azevedo-Santos","given":"Valter M."},{"family":"Vitule","given":"Jean R. S."},{"family":"Pelicice","given":"Fernando M."},{"family":"García-Berthou","given":"Emili"},{"family":"Simberloff","given":"Daniel"}],"accessed":{"date-parts":[["2019",10,3]]},"issued":{"date-parts":[["2017",1,1]]}},"label":"page"}],"schema":"https://github.com/citation-style-language/schema/raw/master/csl-citation.json"} </w:instrText>
      </w:r>
      <w:r w:rsidRPr="009C1256">
        <w:rPr>
          <w:lang w:val="en-GB"/>
        </w:rPr>
        <w:fldChar w:fldCharType="separate"/>
      </w:r>
      <w:r w:rsidR="00144D96" w:rsidRPr="00144D96">
        <w:t>(Azevedo-Santos et al., 2017)</w:t>
      </w:r>
      <w:r w:rsidRPr="009C1256">
        <w:rPr>
          <w:lang w:val="en-GB"/>
        </w:rPr>
        <w:fldChar w:fldCharType="end"/>
      </w:r>
      <w:r w:rsidRPr="009C1256">
        <w:rPr>
          <w:lang w:val="en-GB"/>
        </w:rPr>
        <w:t>.</w:t>
      </w:r>
      <w:r w:rsidR="3F605CD3" w:rsidRPr="009C1256">
        <w:rPr>
          <w:lang w:val="en-GB"/>
        </w:rPr>
        <w:t xml:space="preserve"> </w:t>
      </w:r>
      <w:r w:rsidRPr="009C1256">
        <w:rPr>
          <w:lang w:val="en-GB"/>
        </w:rPr>
        <w:t xml:space="preserve">In the marine realm, </w:t>
      </w:r>
      <w:r w:rsidR="00C17149" w:rsidRPr="009C1256">
        <w:rPr>
          <w:lang w:val="en-GB"/>
        </w:rPr>
        <w:t xml:space="preserve">the sea urchin </w:t>
      </w:r>
      <w:r w:rsidR="00C17149" w:rsidRPr="009C1256">
        <w:rPr>
          <w:i/>
          <w:iCs/>
          <w:lang w:val="en-GB"/>
        </w:rPr>
        <w:t>Evechinus chloroticus</w:t>
      </w:r>
      <w:r w:rsidR="007D4C02" w:rsidRPr="009C1256">
        <w:rPr>
          <w:lang w:val="en-GB"/>
        </w:rPr>
        <w:t xml:space="preserve"> </w:t>
      </w:r>
      <w:r w:rsidR="00C17149" w:rsidRPr="009C1256">
        <w:rPr>
          <w:lang w:val="en-GB"/>
        </w:rPr>
        <w:t>(</w:t>
      </w:r>
      <w:r w:rsidR="00714B5A">
        <w:rPr>
          <w:lang w:val="en-GB"/>
        </w:rPr>
        <w:t>k</w:t>
      </w:r>
      <w:r w:rsidR="00C17149" w:rsidRPr="009C1256">
        <w:rPr>
          <w:lang w:val="en-GB"/>
        </w:rPr>
        <w:t xml:space="preserve">ina) </w:t>
      </w:r>
      <w:r w:rsidRPr="009C1256">
        <w:rPr>
          <w:lang w:val="en-GB"/>
        </w:rPr>
        <w:t xml:space="preserve">released as an augmentative biological control agent against the invasive </w:t>
      </w:r>
      <w:r w:rsidRPr="009C1256">
        <w:rPr>
          <w:i/>
          <w:iCs/>
          <w:lang w:val="en-GB"/>
        </w:rPr>
        <w:t>Undaria pinnatifida</w:t>
      </w:r>
      <w:r w:rsidRPr="009C1256">
        <w:rPr>
          <w:lang w:val="en-GB"/>
        </w:rPr>
        <w:t xml:space="preserve"> </w:t>
      </w:r>
      <w:r w:rsidR="007D4C02" w:rsidRPr="009C1256">
        <w:rPr>
          <w:lang w:val="en-GB"/>
        </w:rPr>
        <w:t xml:space="preserve">(Asian kelp) </w:t>
      </w:r>
      <w:r w:rsidRPr="009C1256">
        <w:rPr>
          <w:lang w:val="en-GB"/>
        </w:rPr>
        <w:t>showed substantial non</w:t>
      </w:r>
      <w:r w:rsidR="410EEC07" w:rsidRPr="009C1256">
        <w:rPr>
          <w:lang w:val="en-GB"/>
        </w:rPr>
        <w:t>-</w:t>
      </w:r>
      <w:r w:rsidRPr="009C1256">
        <w:rPr>
          <w:lang w:val="en-GB"/>
        </w:rPr>
        <w:t xml:space="preserve">target </w:t>
      </w:r>
      <w:r w:rsidRPr="00DA249F">
        <w:rPr>
          <w:lang w:val="en-GB"/>
        </w:rPr>
        <w:t>effects on benthic communities</w:t>
      </w:r>
      <w:r w:rsidR="00491A29">
        <w:rPr>
          <w:lang w:val="en-GB"/>
        </w:rPr>
        <w:t>,</w:t>
      </w:r>
      <w:r w:rsidRPr="00DA249F">
        <w:rPr>
          <w:lang w:val="en-GB"/>
        </w:rPr>
        <w:t xml:space="preserve"> </w:t>
      </w:r>
      <w:r w:rsidR="00491A29">
        <w:rPr>
          <w:lang w:val="en-GB"/>
        </w:rPr>
        <w:t>however</w:t>
      </w:r>
      <w:r w:rsidRPr="00DA249F">
        <w:rPr>
          <w:lang w:val="en-GB"/>
        </w:rPr>
        <w:t xml:space="preserve"> these were localized and reversible</w:t>
      </w:r>
      <w:r w:rsidR="00185129" w:rsidRPr="00DA249F">
        <w:rPr>
          <w:lang w:val="en-GB"/>
        </w:rPr>
        <w:t xml:space="preserve"> </w:t>
      </w:r>
      <w:r w:rsidRPr="00DA249F">
        <w:rPr>
          <w:lang w:val="en-GB"/>
        </w:rPr>
        <w:fldChar w:fldCharType="begin"/>
      </w:r>
      <w:r w:rsidR="00331A79">
        <w:rPr>
          <w:lang w:val="en-GB"/>
        </w:rPr>
        <w:instrText xml:space="preserve"> ADDIN ZOTERO_ITEM CSL_CITATION {"citationID":"le9EOd5b","properties":{"formattedCitation":"(Atalah et al., 2013)","plainCitation":"(Atalah et al., 2013)","noteIndex":0},"citationItems":[{"id":11615,"uris":["http://zotero.org/groups/2352922/items/M6EALKRI"],"itemData":{"id":11615,"type":"article-journal","abstract":"Augmentative biocontrol aims to control established pest populations through enhancement of their indigenous enemies. To our knowledge, this approach has not been applied at an operational scale in natural marine habitats, in part because of the perceived risk of adverse non-target effects on native ecosystems. In this paper, we focus on the persistence, spread and non-target effects of the sea urchin Evechinus chloroticus when used as biocontrol agent to eradicate an invasive kelp from Fiordland, New Zealand. Rocky reef macrobenthic assemblages were monitored over 17 months in areas where the indigenous algal canopy was either removed or left intact prior to the translocation of a large number of urchins (&gt;50 ind.·m−2). Urchin densities in treated areas significantly declined </w:instrText>
      </w:r>
      <w:r w:rsidR="00331A79">
        <w:rPr>
          <w:rFonts w:ascii="ＭＳ 明朝" w:eastAsia="ＭＳ 明朝" w:hAnsi="ＭＳ 明朝" w:cs="ＭＳ 明朝" w:hint="eastAsia"/>
          <w:lang w:val="en-GB"/>
        </w:rPr>
        <w:instrText>∼</w:instrText>
      </w:r>
      <w:r w:rsidR="00331A79">
        <w:rPr>
          <w:lang w:val="en-GB"/>
        </w:rPr>
        <w:instrText xml:space="preserve">9 months after transplant, and began spreading to adjacent sites. At the end of the 17-month study, densities had declined to </w:instrText>
      </w:r>
      <w:r w:rsidR="00331A79">
        <w:rPr>
          <w:rFonts w:ascii="ＭＳ 明朝" w:eastAsia="ＭＳ 明朝" w:hAnsi="ＭＳ 明朝" w:cs="ＭＳ 明朝" w:hint="eastAsia"/>
          <w:lang w:val="en-GB"/>
        </w:rPr>
        <w:instrText>∼</w:instrText>
      </w:r>
      <w:r w:rsidR="00331A79">
        <w:rPr>
          <w:lang w:val="en-GB"/>
        </w:rPr>
        <w:instrText xml:space="preserve">5 ind.·m−2. Compared to controls, treatment sites showed persistent shifts from kelp forest to urchin barrens, which were accompanied by significant reductions in taxa richness. Although these non-target effects were pronounced, they were considered to be localised and reversible, and arguably outweigh the irreversible and more profound ecological impacts associated with the establishment of an invasive species in a region of high conservation value. Augmentative biocontrol, used in conjunction with traditional control methods, represents a promising tool for the integrated management of marine pests.","container-title":"PLoS ONE","DOI":"10.1371/journal.pone.0080365","ISSN":"1932-6203","issue":"11","journalAbbreviation":"PLOS ONE","language":"en","note":"publisher: Public Library of Science","page":"e80365","source":"PLoS Journals","title":"Augmentative Biocontrol in Natural Marine Habitats: Persistence, Spread and Non-Target Effects of the Sea Urchin &lt;i&gt;Evechinus chloroticus&lt;/i&gt;","title-short":"Augmentative Biocontrol in Natural Marine Habitats","URL":"https://journals.plos.org/plosone/article?id=10.1371/journal.pone.0080365","volume":"8","author":[{"family":"Atalah","given":"Javier"},{"family":"Hopkins","given":"Grant A."},{"family":"Forrest","given":"Barrie M."}],"accessed":{"date-parts":[["2020",7,5]]},"issued":{"date-parts":[["2013",11,15]]}},"label":"page"}],"schema":"https://github.com/citation-style-language/schema/raw/master/csl-citation.json"} </w:instrText>
      </w:r>
      <w:r w:rsidRPr="00DA249F">
        <w:rPr>
          <w:lang w:val="en-GB"/>
        </w:rPr>
        <w:fldChar w:fldCharType="separate"/>
      </w:r>
      <w:r w:rsidR="00144D96" w:rsidRPr="00144D96">
        <w:t>(Atalah et al., 2013)</w:t>
      </w:r>
      <w:r w:rsidRPr="00DA249F">
        <w:rPr>
          <w:lang w:val="en-GB"/>
        </w:rPr>
        <w:fldChar w:fldCharType="end"/>
      </w:r>
      <w:r w:rsidRPr="00DA249F">
        <w:rPr>
          <w:lang w:val="en-GB"/>
        </w:rPr>
        <w:t>.</w:t>
      </w:r>
      <w:r w:rsidR="2D5D985D" w:rsidRPr="00DA249F">
        <w:rPr>
          <w:lang w:val="en-GB"/>
        </w:rPr>
        <w:t xml:space="preserve"> </w:t>
      </w:r>
      <w:r w:rsidR="6C387802" w:rsidRPr="00DA249F">
        <w:rPr>
          <w:lang w:val="en-GB"/>
        </w:rPr>
        <w:t>C</w:t>
      </w:r>
      <w:r w:rsidR="01FAB176" w:rsidRPr="00DA249F">
        <w:rPr>
          <w:lang w:val="en-GB"/>
        </w:rPr>
        <w:t xml:space="preserve">onservation actions may also have unintended consequences in </w:t>
      </w:r>
      <w:r w:rsidR="3590B3C0" w:rsidRPr="00DA249F">
        <w:rPr>
          <w:lang w:val="en-GB"/>
        </w:rPr>
        <w:t xml:space="preserve">facilitating </w:t>
      </w:r>
      <w:r w:rsidR="01FAB176" w:rsidRPr="00DA249F">
        <w:rPr>
          <w:lang w:val="en-GB"/>
        </w:rPr>
        <w:t xml:space="preserve">invasive alien </w:t>
      </w:r>
      <w:r w:rsidR="00537CFD" w:rsidRPr="00DA249F">
        <w:rPr>
          <w:lang w:val="en-GB"/>
        </w:rPr>
        <w:t>species</w:t>
      </w:r>
      <w:r w:rsidR="01FAB176" w:rsidRPr="00DA249F">
        <w:rPr>
          <w:lang w:val="en-GB"/>
        </w:rPr>
        <w:t>, as illustrated by the c</w:t>
      </w:r>
      <w:r w:rsidR="6C387802" w:rsidRPr="00DA249F">
        <w:rPr>
          <w:lang w:val="en-GB"/>
        </w:rPr>
        <w:t xml:space="preserve">reation of </w:t>
      </w:r>
      <w:r w:rsidR="41636CCE" w:rsidRPr="00DA249F">
        <w:rPr>
          <w:lang w:val="en-GB"/>
        </w:rPr>
        <w:t xml:space="preserve">beaver </w:t>
      </w:r>
      <w:r w:rsidR="6C387802" w:rsidRPr="00DA249F">
        <w:rPr>
          <w:lang w:val="en-GB"/>
        </w:rPr>
        <w:t xml:space="preserve">dams </w:t>
      </w:r>
      <w:r w:rsidR="727EDCEB" w:rsidRPr="00DA249F">
        <w:rPr>
          <w:lang w:val="en-GB"/>
        </w:rPr>
        <w:t xml:space="preserve">during the </w:t>
      </w:r>
      <w:r w:rsidR="15309E54" w:rsidRPr="00DA249F">
        <w:rPr>
          <w:lang w:val="en-GB"/>
        </w:rPr>
        <w:t>reintroduc</w:t>
      </w:r>
      <w:r w:rsidR="5B922494" w:rsidRPr="00DA249F">
        <w:rPr>
          <w:lang w:val="en-GB"/>
        </w:rPr>
        <w:t>tion of</w:t>
      </w:r>
      <w:r w:rsidR="15309E54" w:rsidRPr="00DA249F">
        <w:rPr>
          <w:lang w:val="en-GB"/>
        </w:rPr>
        <w:t xml:space="preserve"> </w:t>
      </w:r>
      <w:r w:rsidR="005C2F72" w:rsidRPr="00DA249F">
        <w:rPr>
          <w:i/>
          <w:iCs/>
          <w:color w:val="18191A"/>
          <w:szCs w:val="24"/>
          <w:lang w:val="en-GB" w:eastAsia="zh-CN"/>
        </w:rPr>
        <w:t xml:space="preserve">Castor canadensis </w:t>
      </w:r>
      <w:r w:rsidR="005C2F72" w:rsidRPr="00DA249F">
        <w:rPr>
          <w:color w:val="18191A"/>
          <w:szCs w:val="24"/>
          <w:lang w:val="en-GB" w:eastAsia="zh-CN"/>
        </w:rPr>
        <w:t>(</w:t>
      </w:r>
      <w:r w:rsidR="00F01DC6">
        <w:rPr>
          <w:color w:val="18191A"/>
          <w:szCs w:val="24"/>
          <w:lang w:val="en-GB" w:eastAsia="zh-CN"/>
        </w:rPr>
        <w:t xml:space="preserve">North American </w:t>
      </w:r>
      <w:r w:rsidR="15309E54" w:rsidRPr="00DA249F">
        <w:rPr>
          <w:szCs w:val="24"/>
          <w:lang w:val="en-GB"/>
        </w:rPr>
        <w:t>beaver</w:t>
      </w:r>
      <w:r w:rsidR="005C2F72" w:rsidRPr="00DA249F">
        <w:rPr>
          <w:szCs w:val="24"/>
          <w:lang w:val="en-GB"/>
        </w:rPr>
        <w:t>)</w:t>
      </w:r>
      <w:r w:rsidR="15309E54" w:rsidRPr="00DA249F">
        <w:rPr>
          <w:lang w:val="en-GB"/>
        </w:rPr>
        <w:t xml:space="preserve"> </w:t>
      </w:r>
      <w:r w:rsidR="6C387802" w:rsidRPr="00DA249F">
        <w:rPr>
          <w:lang w:val="en-GB"/>
        </w:rPr>
        <w:t>in Verde River, Arizona, United States</w:t>
      </w:r>
      <w:r w:rsidR="5D0DB905" w:rsidRPr="00DA249F">
        <w:rPr>
          <w:lang w:val="en-GB"/>
        </w:rPr>
        <w:t>,</w:t>
      </w:r>
      <w:r w:rsidR="6C387802" w:rsidRPr="00DA249F">
        <w:rPr>
          <w:lang w:val="en-GB"/>
        </w:rPr>
        <w:t xml:space="preserve"> </w:t>
      </w:r>
      <w:r w:rsidR="229EB034" w:rsidRPr="00DA249F">
        <w:rPr>
          <w:lang w:val="en-GB"/>
        </w:rPr>
        <w:t xml:space="preserve">which </w:t>
      </w:r>
      <w:r w:rsidR="6C387802" w:rsidRPr="00DA249F">
        <w:rPr>
          <w:lang w:val="en-GB"/>
        </w:rPr>
        <w:t xml:space="preserve">shifted desert fish assemblages toward dominance by </w:t>
      </w:r>
      <w:r w:rsidR="00E84029" w:rsidRPr="00DA249F">
        <w:rPr>
          <w:lang w:val="en-GB"/>
        </w:rPr>
        <w:t xml:space="preserve">alien </w:t>
      </w:r>
      <w:r w:rsidR="6C387802" w:rsidRPr="00DA249F">
        <w:rPr>
          <w:lang w:val="en-GB"/>
        </w:rPr>
        <w:t xml:space="preserve">species </w:t>
      </w:r>
      <w:r w:rsidRPr="00DA249F">
        <w:rPr>
          <w:lang w:val="en-GB"/>
        </w:rPr>
        <w:fldChar w:fldCharType="begin"/>
      </w:r>
      <w:r w:rsidR="00230216">
        <w:rPr>
          <w:lang w:val="en-GB"/>
        </w:rPr>
        <w:instrText xml:space="preserve"> ADDIN ZOTERO_ITEM CSL_CITATION {"citationID":"gGBkdgH6","properties":{"formattedCitation":"(P. P. Gibson et al., 2015; Reaser, 2003)","plainCitation":"(P. P. Gibson et al., 2015; Reaser, 2003)","noteIndex":0},"citationItems":[{"id":27177,"uris":["http://zotero.org/groups/2352922/items/2AVC3QSH"],"itemData":{"id":27177,"type":"article-journal","abstract":"The reintroduction of beaver (Castor canadensis) into arid and semi-arid rivers is receiving increasing management and conservation attention in recent years, yet very little is known about native versus non-native fish occupancy in beaver pond habitats. Streams of the American Southwest support a highly endemic, highly endangered native fish fauna and abundant non-native fishes, and here we investigated the hypothesis that beaver ponds in this region may lead to fish assemblages dominated by non-native species that favour slower-water habitat. We sampled fish assemblages within beaver ponds and within unimpounded lotic stream reaches in the mainstem and in tributaries of the free-flowing upper Verde River, Arizona, USA. Non-native fishes consistently outnumbered native species, and this dominance was greater in pond than in lotic assemblages. Few native species were recorded within ponds. Multivariate analysis indicated that fish assemblages in beaver ponds were distinct from those in lotic reaches, in both mainstem and tributary locations. Individual species driving this distinction included abundant non-native green sunfish (Lepomis cyanellus) and western mosquitofish (Gambusia affinis) in pond sites, and native desert sucker (Catostomus clarkii) in lotic sites. Overall, this study provides the first evidence that, relative to unimpounded lotic habitat, beaver ponds in arid and semi-arid rivers support abundant non-native fishes; these ponds could thus serve as important non-native source areas and negatively impact co-occurring native fish populations.","container-title":"Ecology of Freshwater Fish","DOI":"10.1111/eff.12150","ISSN":"1600-0633","issue":"3","language":"en","license":"© 2014 John Wiley &amp; Sons A/S. Published by John Wiley &amp; Sons Ltd","page":"355-372","source":"Wiley Online Library","title":"Beaver dams shift desert fish assemblages toward dominance by non-native species (Verde River, Arizona, USA)","URL":"https://onlinelibrary.wiley.com/doi/abs/10.1111/eff.12150","volume":"24","author":[{"family":"Gibson","given":"Polly P."},{"family":"Olden","given":"Julian D."},{"family":"O'Neill","given":"Matthew W."}],"accessed":{"date-parts":[["2019",10,23]]},"issued":{"date-parts":[["2015"]]}},"label":"page"},{"id":15591,"uris":["http://zotero.org/groups/2352922/items/9GDRR94J"],"itemData":{"id":15591,"type":"chapter","container-title":"Prevention and Management of Invasive Alien Species: Proceedings of a Workshop on Forging Cooperation throughout South and Southeast Asia","event-place":"Cape Town, South Africa","language":"en","page":"11-18","publisher":"Global Invasive Species Programme","publisher-place":"Cape Town, South Africa","source":"Zotero","title":"Invasive alien species: definitions, causes, consequences, and the way forward","URL":"https://giasipartnership.myspecies.info/en/content/pallewatta-n-jk-reaser-gutierrez-eds-2003-prevention-and-management-invasive-alien-species","author":[{"family":"Reaser","given":"Jamie K."}],"editor":[{"family":"Pallewatta","given":"N"},{"family":"Reaser","given":"J K"},{"family":"Gutierrez","given":"A"}],"issued":{"date-parts":[["2003"]]}},"label":"page"}],"schema":"https://github.com/citation-style-language/schema/raw/master/csl-citation.json"} </w:instrText>
      </w:r>
      <w:r w:rsidRPr="00DA249F">
        <w:rPr>
          <w:lang w:val="en-GB"/>
        </w:rPr>
        <w:fldChar w:fldCharType="separate"/>
      </w:r>
      <w:r w:rsidR="00230216" w:rsidRPr="00230216">
        <w:t>(P. P. Gibson et al., 2015; Reaser, 2003)</w:t>
      </w:r>
      <w:r w:rsidRPr="00DA249F">
        <w:rPr>
          <w:lang w:val="en-GB"/>
        </w:rPr>
        <w:fldChar w:fldCharType="end"/>
      </w:r>
      <w:r w:rsidR="6C387802" w:rsidRPr="00DA249F">
        <w:rPr>
          <w:lang w:val="en-GB"/>
        </w:rPr>
        <w:t xml:space="preserve">. </w:t>
      </w:r>
    </w:p>
    <w:p w14:paraId="2D49AC8D" w14:textId="7F579262" w:rsidR="008C1BF7" w:rsidRPr="00DA249F" w:rsidRDefault="008C1BF7" w:rsidP="00AC05F3">
      <w:pPr>
        <w:rPr>
          <w:lang w:val="en-GB"/>
        </w:rPr>
      </w:pPr>
      <w:r w:rsidRPr="00DA249F">
        <w:rPr>
          <w:lang w:val="en-GB"/>
        </w:rPr>
        <w:t>A global review of non</w:t>
      </w:r>
      <w:r w:rsidR="006D3B50" w:rsidRPr="00DA249F">
        <w:rPr>
          <w:lang w:val="en-GB"/>
        </w:rPr>
        <w:t>-</w:t>
      </w:r>
      <w:r w:rsidRPr="00DA249F">
        <w:rPr>
          <w:lang w:val="en-GB"/>
        </w:rPr>
        <w:t xml:space="preserve">target impacts </w:t>
      </w:r>
      <w:r w:rsidR="00EB6052" w:rsidRPr="00DA249F">
        <w:rPr>
          <w:lang w:val="en-GB"/>
        </w:rPr>
        <w:t>of</w:t>
      </w:r>
      <w:r w:rsidRPr="00DA249F">
        <w:rPr>
          <w:lang w:val="en-GB"/>
        </w:rPr>
        <w:t xml:space="preserve"> weed b</w:t>
      </w:r>
      <w:r w:rsidR="001F5D5D" w:rsidRPr="00DA249F">
        <w:rPr>
          <w:lang w:val="en-GB"/>
        </w:rPr>
        <w:t>io</w:t>
      </w:r>
      <w:r w:rsidR="006B7138" w:rsidRPr="00DA249F">
        <w:rPr>
          <w:lang w:val="en-GB"/>
        </w:rPr>
        <w:t xml:space="preserve">logical </w:t>
      </w:r>
      <w:r w:rsidR="001F5D5D" w:rsidRPr="00DA249F">
        <w:rPr>
          <w:lang w:val="en-GB"/>
        </w:rPr>
        <w:t>control</w:t>
      </w:r>
      <w:r w:rsidRPr="00DA249F">
        <w:rPr>
          <w:lang w:val="en-GB"/>
        </w:rPr>
        <w:t xml:space="preserve"> agents found that the proportion of intentionally released bio</w:t>
      </w:r>
      <w:r w:rsidR="006B7138" w:rsidRPr="00DA249F">
        <w:rPr>
          <w:lang w:val="en-GB"/>
        </w:rPr>
        <w:t xml:space="preserve">logical </w:t>
      </w:r>
      <w:r w:rsidRPr="00DA249F">
        <w:rPr>
          <w:lang w:val="en-GB"/>
        </w:rPr>
        <w:t>control agents causing non-target effects declined from 18.2</w:t>
      </w:r>
      <w:r w:rsidR="00E84029" w:rsidRPr="00DA249F">
        <w:rPr>
          <w:lang w:val="en-GB"/>
        </w:rPr>
        <w:t xml:space="preserve"> </w:t>
      </w:r>
      <w:r w:rsidR="004C77CD" w:rsidRPr="00DA249F">
        <w:rPr>
          <w:lang w:val="en-GB"/>
        </w:rPr>
        <w:t>per cent</w:t>
      </w:r>
      <w:r w:rsidR="00E84029" w:rsidRPr="00DA249F">
        <w:rPr>
          <w:lang w:val="en-GB"/>
        </w:rPr>
        <w:t xml:space="preserve"> </w:t>
      </w:r>
      <w:r w:rsidRPr="00DA249F">
        <w:rPr>
          <w:lang w:val="en-GB"/>
        </w:rPr>
        <w:t>prior to the 1960s to 9.9</w:t>
      </w:r>
      <w:r w:rsidR="00E84029" w:rsidRPr="00DA249F">
        <w:rPr>
          <w:lang w:val="en-GB"/>
        </w:rPr>
        <w:t xml:space="preserve"> </w:t>
      </w:r>
      <w:r w:rsidR="004C77CD" w:rsidRPr="00DA249F">
        <w:rPr>
          <w:lang w:val="en-GB"/>
        </w:rPr>
        <w:t>per cent</w:t>
      </w:r>
      <w:r w:rsidRPr="00DA249F">
        <w:rPr>
          <w:lang w:val="en-GB"/>
        </w:rPr>
        <w:t xml:space="preserve"> in the period 1991–2008 </w:t>
      </w:r>
      <w:r w:rsidRPr="00DA249F">
        <w:rPr>
          <w:lang w:val="en-GB"/>
        </w:rPr>
        <w:fldChar w:fldCharType="begin"/>
      </w:r>
      <w:r w:rsidR="00331A79">
        <w:rPr>
          <w:lang w:val="en-GB"/>
        </w:rPr>
        <w:instrText xml:space="preserve"> ADDIN ZOTERO_ITEM CSL_CITATION {"citationID":"yDZh8LD4","properties":{"formattedCitation":"(Hinz et al., 2019)","plainCitation":"(Hinz et al., 2019)","noteIndex":0},"citationItems":[{"id":15773,"uris":["http://zotero.org/groups/2352922/items/FPIZHDWR"],"itemData":{"id":15773,"type":"article-journal","container-title":"The Quarterly Review of Biology","DOI":"https://doi.org/10.1086/702340","issue":"1","language":"en","page":"27","source":"Zotero","title":"How Safe Is Weed Biological Control? A Global Review of Direct Nontarget Attack","volume":"94","author":[{"family":"Hinz","given":"Hariet L"},{"family":"Winston","given":"Rachel L"},{"family":"Schwarzländer","given":"Mark"}],"issued":{"date-parts":[["2019"]]}},"label":"page"}],"schema":"https://github.com/citation-style-language/schema/raw/master/csl-citation.json"} </w:instrText>
      </w:r>
      <w:r w:rsidRPr="00DA249F">
        <w:rPr>
          <w:lang w:val="en-GB"/>
        </w:rPr>
        <w:fldChar w:fldCharType="separate"/>
      </w:r>
      <w:r w:rsidR="00144D96" w:rsidRPr="00144D96">
        <w:t>(Hinz et al., 2019)</w:t>
      </w:r>
      <w:r w:rsidRPr="00DA249F">
        <w:rPr>
          <w:lang w:val="en-GB"/>
        </w:rPr>
        <w:fldChar w:fldCharType="end"/>
      </w:r>
      <w:r w:rsidRPr="00DA249F">
        <w:rPr>
          <w:lang w:val="en-GB"/>
        </w:rPr>
        <w:t>. Similarly, an analysis of all non</w:t>
      </w:r>
      <w:r w:rsidR="17B2EF4F" w:rsidRPr="00DA249F">
        <w:rPr>
          <w:lang w:val="en-GB"/>
        </w:rPr>
        <w:t>-</w:t>
      </w:r>
      <w:r w:rsidRPr="00DA249F">
        <w:rPr>
          <w:lang w:val="en-GB"/>
        </w:rPr>
        <w:t>target effects of weed bio</w:t>
      </w:r>
      <w:r w:rsidR="00AC05F3" w:rsidRPr="00DA249F">
        <w:rPr>
          <w:lang w:val="en-GB"/>
        </w:rPr>
        <w:t xml:space="preserve">logical </w:t>
      </w:r>
      <w:r w:rsidRPr="00DA249F">
        <w:rPr>
          <w:lang w:val="en-GB"/>
        </w:rPr>
        <w:t>control programmes from 1969 to 20</w:t>
      </w:r>
      <w:r w:rsidR="006C60D3" w:rsidRPr="00DA249F">
        <w:rPr>
          <w:lang w:val="en-GB"/>
        </w:rPr>
        <w:t>14 showed a risk factor of less than 1</w:t>
      </w:r>
      <w:r w:rsidR="00E84029" w:rsidRPr="00DA249F">
        <w:rPr>
          <w:lang w:val="en-GB"/>
        </w:rPr>
        <w:t xml:space="preserve"> </w:t>
      </w:r>
      <w:r w:rsidR="004C77CD" w:rsidRPr="00DA249F">
        <w:rPr>
          <w:lang w:val="en-GB"/>
        </w:rPr>
        <w:t>per cent</w:t>
      </w:r>
      <w:r w:rsidR="006C60D3" w:rsidRPr="00DA249F">
        <w:rPr>
          <w:lang w:val="en-GB"/>
        </w:rPr>
        <w:t xml:space="preserve"> </w:t>
      </w:r>
      <w:r w:rsidRPr="00DA249F">
        <w:rPr>
          <w:lang w:val="en-GB"/>
        </w:rPr>
        <w:fldChar w:fldCharType="begin"/>
      </w:r>
      <w:r w:rsidR="00331A79">
        <w:rPr>
          <w:lang w:val="en-GB"/>
        </w:rPr>
        <w:instrText xml:space="preserve"> ADDIN ZOTERO_ITEM CSL_CITATION {"citationID":"ZeXp0Y35","properties":{"formattedCitation":"(Moran &amp; Hoffmann, 2015)","plainCitation":"(Moran &amp; Hoffmann, 2015)","noteIndex":0},"citationItems":[{"id":11408,"uris":["http://zotero.org/groups/2352922/items/A36DLKCF"],"itemData":{"id":11408,"type":"article-journal","abstract":"Since 1969, weed biological control (WBC) practitioners have met at a series of 14 International Symposia on Biological Control of Weeds (ISBCWs). These gatherings have had no societal organization, thus the published proceedings are the main source of information on the recent history of this sub-discipline. Only 1144 individuals (mostly entomologists and plant pathologists) have ever attended an ISBCW: 338 (29.6%) have been at more than one symposium, bringing the total number of attendees to 1972. About 75% of these have come from the main WBC implementing nations, the USA, Australia, South Africa, Canada, and New Zealand. The present analysis of ISBCW attendees has led to estimates that the global WBC research and development effort over the last 50years has been the domain of about 450–550 WBC practitioners. WBC is presently beleaguered in the USA, Canada and Australia and attendance figures at recent ISBCWs are in decline. A case is made that these trends are largely due to the negative perceptions and damaging consequences of two decades of debates that have exaggerated the risks of non-target impacts and impeded progress in WBC. Further procrastination seems inevitable but in the interests of agriculture and conservation, WBC will need to be deployed more extensively if invasive alien (i.e., introduced, non-indigenous) plants are to be suppressed. In this context, the recent releases of WBC agents in Europe are signal events. It is mooted that a more formal and structured organization for the ISBCW meetings and perhaps a ‘rebranding’ of the sub-discipline is needed to champion and rekindle the practice of WBC.","container-title":"Biological Control","DOI":"10.1016/j.biocontrol.2015.04.008","ISSN":"1049-9644","journalAbbreviation":"Biological Control","page":"23-31","source":"ScienceDirect","title":"The fourteen International Symposia on Biological Control of Weeds, 1969–2014: Delegates, demographics and inferences from the debate on non-target effects","title-short":"The fourteen International Symposia on Biological Control of Weeds, 1969–2014","URL":"http://www.sciencedirect.com/science/article/pii/S1049964415000559","volume":"87","author":[{"family":"Moran","given":"V. C."},{"family":"Hoffmann","given":"J. H."}],"accessed":{"date-parts":[["2019",10,2]]},"issued":{"date-parts":[["2015",8,1]]}},"label":"page"}],"schema":"https://github.com/citation-style-language/schema/raw/master/csl-citation.json"} </w:instrText>
      </w:r>
      <w:r w:rsidRPr="00DA249F">
        <w:rPr>
          <w:lang w:val="en-GB"/>
        </w:rPr>
        <w:fldChar w:fldCharType="separate"/>
      </w:r>
      <w:r w:rsidR="00144D96" w:rsidRPr="00144D96">
        <w:t>(Moran &amp; Hoffmann, 2015)</w:t>
      </w:r>
      <w:r w:rsidRPr="00DA249F">
        <w:rPr>
          <w:lang w:val="en-GB"/>
        </w:rPr>
        <w:fldChar w:fldCharType="end"/>
      </w:r>
      <w:r w:rsidRPr="00DA249F">
        <w:rPr>
          <w:lang w:val="en-GB"/>
        </w:rPr>
        <w:t xml:space="preserve">. There was no evidence of </w:t>
      </w:r>
      <w:r w:rsidR="004A3968" w:rsidRPr="00DA249F">
        <w:rPr>
          <w:lang w:val="en-GB"/>
        </w:rPr>
        <w:t>non-target</w:t>
      </w:r>
      <w:r w:rsidRPr="00DA249F">
        <w:rPr>
          <w:lang w:val="en-GB"/>
        </w:rPr>
        <w:t xml:space="preserve"> impacts from plant pathogens used for bio</w:t>
      </w:r>
      <w:r w:rsidR="00AC05F3" w:rsidRPr="00DA249F">
        <w:rPr>
          <w:lang w:val="en-GB"/>
        </w:rPr>
        <w:t xml:space="preserve">logical </w:t>
      </w:r>
      <w:r w:rsidRPr="00DA249F">
        <w:rPr>
          <w:lang w:val="en-GB"/>
        </w:rPr>
        <w:t xml:space="preserve">control </w:t>
      </w:r>
      <w:r w:rsidRPr="00DA249F">
        <w:rPr>
          <w:lang w:val="en-GB"/>
        </w:rPr>
        <w:fldChar w:fldCharType="begin"/>
      </w:r>
      <w:r w:rsidR="00710AC3">
        <w:rPr>
          <w:lang w:val="en-GB"/>
        </w:rPr>
        <w:instrText xml:space="preserve"> ADDIN ZOTERO_ITEM CSL_CITATION {"citationID":"lxcK7LhT","properties":{"formattedCitation":"(Suckling &amp; Sforza, 2014)","plainCitation":"(Suckling &amp; Sforza, 2014)","noteIndex":0},"citationItems":[{"id":10227,"uris":["http://zotero.org/groups/2352922/items/V3HX4NMV"],"itemData":{"id":10227,"type":"article-journal","abstract":"A systematic review focused by plant on non-target impacts from agents deliberately introduced for the biological control of weeds found significant non-target impacts to be rare. The magnitude of direct impact of 43 biocontrol agents on 140 non-target plants was retrospectively categorized using a risk management framework for ecological impacts of invasive species (minimal, minor, moderate, major, massive). The vast majority of agents introduced for classical biological control of weeds (&gt;99% of 512 agents released) have had no known significant adverse effects on non-target plants thus far; major effects suppressing non-target plant populations could be expected to be detectable. Most direct non-target impacts on plants (91.6%) were categorized as minimal or minor in magnitude with no known adverse long-term impact on non-target plant populations, but a few cacti and thistles are affected at moderate (n = 3), major (n = 7) to massive (n = 1) scale. The largest direct impacts are from two agents (Cactoblastis cactorum on native cacti and Rhinocyllus conicus on native thistles), but these introductions would not be permitted today as more balanced attitudes exist to plant biodiversity, driven by both society and the scientific community. Our analysis shows (as far as is known), weed biological control agents have a biosafety track record of &gt;99% of cases avoiding significant non-target impacts on plant populations. Some impacts could have been overlooked, but this seems unlikely to change the basic distribution of very limited adverse effects. Fewer non-target impacts can be expected in future because of improved science and incorporation of wider values. Failure to use biological control represents a significant opportunity cost from the certainty of ongoing adverse impacts from invasive weeds. It is recommended that a simple five-step scale be used to better communicate the risk of consequences from both action (classical biological control) and no action (ongoing impacts from invasive weeds).","container-title":"PLoS ONE","DOI":"10.1371/journal.pone.0084847","ISSN":"1932-6203","issue":"1","journalAbbreviation":"PLoS ONE","language":"en","note":"publisher: Public Library of Science","page":"e84847","source":"PLoS Journals","title":"What Magnitude Are Observed Non-Target Impacts from Weed Biocontrol?","URL":"https://journals.plos.org/plosone/article?id=10.1371/journal.pone.0084847","volume":"9","author":[{"family":"Suckling","given":"David Maxwell"},{"family":"Sforza","given":"René François Henri"}],"accessed":{"date-parts":[["2021",10,26]]},"issued":{"date-parts":[["2014",1,13]]}},"label":"page"}],"schema":"https://github.com/citation-style-language/schema/raw/master/csl-citation.json"} </w:instrText>
      </w:r>
      <w:r w:rsidRPr="00DA249F">
        <w:rPr>
          <w:lang w:val="en-GB"/>
        </w:rPr>
        <w:fldChar w:fldCharType="separate"/>
      </w:r>
      <w:r w:rsidR="00144D96" w:rsidRPr="00144D96">
        <w:t>(Suckling &amp; Sforza, 2014)</w:t>
      </w:r>
      <w:r w:rsidRPr="00DA249F">
        <w:rPr>
          <w:lang w:val="en-GB"/>
        </w:rPr>
        <w:fldChar w:fldCharType="end"/>
      </w:r>
      <w:r w:rsidRPr="00DA249F">
        <w:rPr>
          <w:lang w:val="en-GB"/>
        </w:rPr>
        <w:t>.</w:t>
      </w:r>
      <w:r w:rsidR="00B1749C" w:rsidRPr="00DA249F">
        <w:rPr>
          <w:lang w:val="en-GB"/>
        </w:rPr>
        <w:t xml:space="preserve"> </w:t>
      </w:r>
      <w:bookmarkStart w:id="208" w:name="_Toc18405855"/>
      <w:bookmarkStart w:id="209" w:name="_Toc44317847"/>
      <w:bookmarkEnd w:id="208"/>
      <w:bookmarkEnd w:id="209"/>
      <w:r w:rsidR="00AC05F3" w:rsidRPr="00DA249F">
        <w:rPr>
          <w:lang w:val="en-GB"/>
        </w:rPr>
        <w:br w:type="page"/>
      </w:r>
    </w:p>
    <w:p w14:paraId="7E6D5950" w14:textId="77777777" w:rsidR="118B39CC" w:rsidRPr="00DA249F" w:rsidRDefault="6BA06AF9" w:rsidP="00370C81">
      <w:pPr>
        <w:pStyle w:val="Heading1"/>
        <w:rPr>
          <w:lang w:val="en-GB"/>
        </w:rPr>
      </w:pPr>
      <w:bookmarkStart w:id="210" w:name="_Toc44317848"/>
      <w:bookmarkStart w:id="211" w:name="_Toc116242165"/>
      <w:bookmarkStart w:id="212" w:name="_Toc146898473"/>
      <w:r w:rsidRPr="5575EBFC">
        <w:rPr>
          <w:lang w:val="en-GB"/>
        </w:rPr>
        <w:lastRenderedPageBreak/>
        <w:t xml:space="preserve">Additional </w:t>
      </w:r>
      <w:r w:rsidR="510CAEA8" w:rsidRPr="5575EBFC">
        <w:rPr>
          <w:lang w:val="en-GB"/>
        </w:rPr>
        <w:t xml:space="preserve">direct </w:t>
      </w:r>
      <w:r w:rsidRPr="5575EBFC">
        <w:rPr>
          <w:lang w:val="en-GB"/>
        </w:rPr>
        <w:t xml:space="preserve">drivers – natural </w:t>
      </w:r>
      <w:r w:rsidR="0B2ED9E9" w:rsidRPr="5575EBFC">
        <w:rPr>
          <w:lang w:val="en-GB"/>
        </w:rPr>
        <w:t>drivers</w:t>
      </w:r>
      <w:r w:rsidRPr="5575EBFC">
        <w:rPr>
          <w:lang w:val="en-GB"/>
        </w:rPr>
        <w:t xml:space="preserve"> and biodiversity loss</w:t>
      </w:r>
      <w:bookmarkEnd w:id="210"/>
      <w:bookmarkEnd w:id="211"/>
      <w:bookmarkEnd w:id="212"/>
    </w:p>
    <w:p w14:paraId="440845D4" w14:textId="51C8E3F8" w:rsidR="008C1BF7" w:rsidRPr="00DA249F" w:rsidRDefault="004E3B38" w:rsidP="00375B42">
      <w:pPr>
        <w:pStyle w:val="Heading2"/>
        <w:rPr>
          <w:lang w:val="en-GB"/>
        </w:rPr>
      </w:pPr>
      <w:bookmarkStart w:id="213" w:name="_Toc44317852"/>
      <w:bookmarkStart w:id="214" w:name="_Toc146898474"/>
      <w:r>
        <w:rPr>
          <w:lang w:val="en-GB"/>
        </w:rPr>
        <w:t>Natural ha</w:t>
      </w:r>
      <w:r w:rsidR="71E10536" w:rsidRPr="5575EBFC">
        <w:rPr>
          <w:lang w:val="en-GB"/>
        </w:rPr>
        <w:t>zards</w:t>
      </w:r>
      <w:bookmarkEnd w:id="213"/>
      <w:bookmarkEnd w:id="214"/>
    </w:p>
    <w:p w14:paraId="0C6BA1EC" w14:textId="075156F3" w:rsidR="00033DA4" w:rsidRPr="00DA249F" w:rsidRDefault="00031651" w:rsidP="0090109B">
      <w:pPr>
        <w:rPr>
          <w:lang w:val="en-GB"/>
        </w:rPr>
      </w:pPr>
      <w:r w:rsidRPr="00DA249F">
        <w:rPr>
          <w:lang w:val="en-GB"/>
        </w:rPr>
        <w:t>N</w:t>
      </w:r>
      <w:r w:rsidR="2DCC2B64" w:rsidRPr="00DA249F">
        <w:rPr>
          <w:lang w:val="en-GB"/>
        </w:rPr>
        <w:t xml:space="preserve">atural large-scale disturbances, such as hurricanes, earthquakes and tsunamis can facilitate the </w:t>
      </w:r>
      <w:r w:rsidR="00632F46" w:rsidRPr="00DA249F">
        <w:rPr>
          <w:lang w:val="en-GB"/>
        </w:rPr>
        <w:t xml:space="preserve">onward </w:t>
      </w:r>
      <w:r w:rsidR="0CC9401B" w:rsidRPr="00DA249F">
        <w:rPr>
          <w:lang w:val="en-GB"/>
        </w:rPr>
        <w:t xml:space="preserve">spread </w:t>
      </w:r>
      <w:r w:rsidR="2DCC2B64" w:rsidRPr="00DA249F">
        <w:rPr>
          <w:lang w:val="en-GB"/>
        </w:rPr>
        <w:t xml:space="preserve">of alien species </w:t>
      </w:r>
      <w:r w:rsidR="006848EE" w:rsidRPr="00DA249F">
        <w:rPr>
          <w:lang w:val="en-GB"/>
        </w:rPr>
        <w:t xml:space="preserve">from an existing invaded range </w:t>
      </w:r>
      <w:r w:rsidR="2DCC2B64" w:rsidRPr="00DA249F">
        <w:rPr>
          <w:lang w:val="en-GB"/>
        </w:rPr>
        <w:t xml:space="preserve">to new regions </w:t>
      </w:r>
      <w:r w:rsidR="008C1BF7" w:rsidRPr="00DA249F">
        <w:rPr>
          <w:lang w:val="en-GB"/>
        </w:rPr>
        <w:fldChar w:fldCharType="begin"/>
      </w:r>
      <w:r w:rsidR="00331A79">
        <w:rPr>
          <w:lang w:val="en-GB"/>
        </w:rPr>
        <w:instrText xml:space="preserve"> ADDIN ZOTERO_ITEM CSL_CITATION {"citationID":"u4CsqHXg","properties":{"formattedCitation":"(Carlton et al., 2017)","plainCitation":"(Carlton et al., 2017)","dontUpdate":true,"noteIndex":0},"citationItems":[{"id":29785,"uris":["http://zotero.org/groups/2352922/items/3XYA9X8T"],"itemData":{"id":29785,"type":"article-journal","abstract":"The 2011 East Japan earthquake generated a massive tsunami that launched an extraordinary transoceanic biological rafting event with no known historical precedent. We document 289 living Japanese coastal marine species from 16 phyla transported over 6 years on objects that traveled thousands of kilometers across the Pacific Ocean to the shores of North America and Hawai‘i. Most of this dispersal occurred on nonbiodegradable objects, resulting in the longest documented transoceanic survival and dispersal of coastal species by rafting. Expanding shoreline infrastructure has increased global sources of plastic materials available for biotic colonization and also interacts with climate change–induced storms of increasing severity to eject debris into the oceans. In turn, increased ocean rafting may intensify species invasions.","container-title":"Science","DOI":"10.1126/science.aao1498","ISSN":"0036-8075, 1095-9203","issue":"6358","journalAbbreviation":"Science","language":"en","page":"1402-1406","source":"DOI.org (Crossref)","title":"Tsunami-driven rafting: Transoceanic species dispersal and implications for marine biogeography","title-short":"Tsunami-driven rafting","URL":"https://www.sciencemag.org/lookup/doi/10.1126/science.aao1498","volume":"357","author":[{"family":"Carlton","given":"James T."},{"family":"Chapman","given":"John W."},{"family":"Geller","given":"Jonathan B."},{"family":"Miller","given":"Jessica A."},{"family":"Carlton","given":"Deborah A."},{"family":"McCuller","given":"Megan I."},{"family":"Treneman","given":"Nancy C."},{"family":"Steves","given":"Brian P."},{"family":"Ruiz","given":"Gregory M."}],"accessed":{"date-parts":[["2021",8,6]]},"issued":{"date-parts":[["2017",9,29]]}},"label":"page"}],"schema":"https://github.com/citation-style-language/schema/raw/master/csl-citation.json"} </w:instrText>
      </w:r>
      <w:r w:rsidR="008C1BF7" w:rsidRPr="00DA249F">
        <w:rPr>
          <w:lang w:val="en-GB"/>
        </w:rPr>
        <w:fldChar w:fldCharType="separate"/>
      </w:r>
      <w:r w:rsidR="00A605C1" w:rsidRPr="00DA249F">
        <w:rPr>
          <w:lang w:val="en-GB"/>
        </w:rPr>
        <w:t>(Carlton et al., 2017</w:t>
      </w:r>
      <w:r w:rsidR="008C1BF7" w:rsidRPr="00DA249F">
        <w:rPr>
          <w:lang w:val="en-GB"/>
        </w:rPr>
        <w:fldChar w:fldCharType="end"/>
      </w:r>
      <w:r w:rsidR="00A605C1" w:rsidRPr="00DA249F">
        <w:rPr>
          <w:lang w:val="en-GB"/>
        </w:rPr>
        <w:t xml:space="preserve">; </w:t>
      </w:r>
      <w:r w:rsidR="00126C8F" w:rsidRPr="0040355F">
        <w:rPr>
          <w:b/>
          <w:iCs/>
          <w:lang w:val="en-GB"/>
        </w:rPr>
        <w:t>section 3.3.3.3</w:t>
      </w:r>
      <w:r w:rsidR="00126C8F" w:rsidRPr="0040355F">
        <w:rPr>
          <w:iCs/>
          <w:lang w:val="en-GB"/>
        </w:rPr>
        <w:t>,</w:t>
      </w:r>
      <w:r w:rsidR="00126C8F" w:rsidRPr="0040355F">
        <w:rPr>
          <w:b/>
          <w:iCs/>
          <w:lang w:val="en-GB"/>
        </w:rPr>
        <w:t xml:space="preserve"> </w:t>
      </w:r>
      <w:r w:rsidR="00E23B69">
        <w:rPr>
          <w:b/>
          <w:iCs/>
          <w:lang w:val="en-GB"/>
        </w:rPr>
        <w:t>Box</w:t>
      </w:r>
      <w:r w:rsidR="002B5AFC" w:rsidRPr="0040355F">
        <w:rPr>
          <w:b/>
          <w:iCs/>
          <w:lang w:val="en-GB"/>
        </w:rPr>
        <w:t xml:space="preserve"> </w:t>
      </w:r>
      <w:r w:rsidR="00A605C1" w:rsidRPr="0040355F">
        <w:rPr>
          <w:b/>
          <w:iCs/>
          <w:lang w:val="en-GB"/>
        </w:rPr>
        <w:t>3.8</w:t>
      </w:r>
      <w:r w:rsidR="00A605C1" w:rsidRPr="00DA249F">
        <w:rPr>
          <w:lang w:val="en-GB"/>
        </w:rPr>
        <w:t>)</w:t>
      </w:r>
      <w:r w:rsidR="2DCC2B64" w:rsidRPr="00DA249F">
        <w:rPr>
          <w:lang w:val="en-GB"/>
        </w:rPr>
        <w:t xml:space="preserve"> as well as encourage their wider spread</w:t>
      </w:r>
      <w:r w:rsidR="33657CD1" w:rsidRPr="00DA249F">
        <w:rPr>
          <w:lang w:val="en-GB"/>
        </w:rPr>
        <w:t xml:space="preserve"> within regions where they are already present</w:t>
      </w:r>
      <w:r w:rsidR="5FC08979" w:rsidRPr="00DA249F">
        <w:rPr>
          <w:lang w:val="en-GB"/>
        </w:rPr>
        <w:t xml:space="preserve"> as aliens</w:t>
      </w:r>
      <w:r w:rsidR="00B1749C" w:rsidRPr="00DA249F">
        <w:rPr>
          <w:lang w:val="en-GB"/>
        </w:rPr>
        <w:t xml:space="preserve"> </w:t>
      </w:r>
      <w:r w:rsidR="008C1BF7" w:rsidRPr="00DA249F">
        <w:rPr>
          <w:lang w:val="en-GB"/>
        </w:rPr>
        <w:fldChar w:fldCharType="begin"/>
      </w:r>
      <w:r w:rsidR="00331A79">
        <w:rPr>
          <w:lang w:val="en-GB"/>
        </w:rPr>
        <w:instrText xml:space="preserve"> ADDIN ZOTERO_ITEM CSL_CITATION {"citationID":"pwM756H2","properties":{"formattedCitation":"(Bellingham et al., 2005)","plainCitation":"(Bellingham et al., 2005)","dontUpdate":true,"noteIndex":0},"citationItems":[{"id":15436,"uris":["http://zotero.org/groups/2352922/items/H5GECU2S"],"itemData":{"id":15436,"type":"article-journal","abstract":"Questions: Do past disturbance, soil nutrients, or species diversity predict the invasion success of the alien tree Pitto-sporum undulatum in an island montane rain forest? What are the consequences of its invasion for forest composition and species diversity? Location: Blue Mountains, Jamaica. Methods: Censuses of trees &gt;= 3 cm DBH in permanent plots in four sites within ca. 7 ha; 1974-2004 (intensive sites) and in 16 plots within 250 ha; 1990-2004 (extensive plots). Results: Pittosporum was unrecorded in the intensive sites before a severe hurricane in 1988: by 2004 all four sites were invaded. Pittosporum had invaded 25% of the extensive plots in 1990 and 69% in 2004, where its basal area increased from 0.5 +/- 0.4 (SEM) m(2).ha(-1) in 1990 to 2.8 +/- 1.3 m(2).ha(-1) in 2004. It had zero stem mortality and diameter growth rate exceeded that of native species fourfold. Pittosporum's basal area in the extensive plots in 2004 was positively related to the stand basal area damaged in the 1988 hurricane and negatively related to soil N concentrations. Pittosporum invasion was unrelated to stand-level tree species diversity in the extensive plots but as its basal area increased over time the basal area of native species and stand-level diversity declined. Conclusions: There are no obvious functional attributes of Pittosporum unrepresented in the native tree flora although it has high photosynthetic efficiency compared with native trees. More widespread invasion of these forests by Pittosporum seems inevitable since hurricanes, which accelerated the invasion, affect these forests frequently.","container-title":"Journal of Vegetation Science","ISSN":"1100-9233","issue":"6","note":"WOS:000234454500008","page":"675-684","title":"Hurricane disturbance accelerates invasion by the alien tree &lt;i&gt;Pittosporum undulatum&lt;/i&gt; in Jamaican montane rain forests","volume":"16","author":[{"family":"Bellingham","given":"P. J."},{"family":"Tanner","given":"E. V. J."},{"family":"Healey","given":"J. R."}],"issued":{"date-parts":[["2005",12]]}},"label":"page"}],"schema":"https://github.com/citation-style-language/schema/raw/master/csl-citation.json"} </w:instrText>
      </w:r>
      <w:r w:rsidR="008C1BF7" w:rsidRPr="00DA249F">
        <w:rPr>
          <w:lang w:val="en-GB"/>
        </w:rPr>
        <w:fldChar w:fldCharType="separate"/>
      </w:r>
      <w:r w:rsidR="00A605C1" w:rsidRPr="00DA249F">
        <w:rPr>
          <w:lang w:val="en-GB"/>
        </w:rPr>
        <w:t>(Bellingham et al., 2005</w:t>
      </w:r>
      <w:r w:rsidR="008C1BF7" w:rsidRPr="00DA249F">
        <w:rPr>
          <w:lang w:val="en-GB"/>
        </w:rPr>
        <w:fldChar w:fldCharType="end"/>
      </w:r>
      <w:r w:rsidR="00C5581E" w:rsidRPr="00DA249F">
        <w:rPr>
          <w:lang w:val="en-GB"/>
        </w:rPr>
        <w:t xml:space="preserve">; </w:t>
      </w:r>
      <w:r w:rsidR="00DC2990">
        <w:rPr>
          <w:b/>
          <w:iCs/>
          <w:lang w:val="en-GB"/>
        </w:rPr>
        <w:t>Figure</w:t>
      </w:r>
      <w:r w:rsidR="00630DAB">
        <w:rPr>
          <w:b/>
          <w:iCs/>
          <w:lang w:val="en-GB"/>
        </w:rPr>
        <w:t xml:space="preserve"> 3.23</w:t>
      </w:r>
      <w:r w:rsidR="00E45369" w:rsidRPr="00DA249F">
        <w:rPr>
          <w:lang w:val="en-GB"/>
        </w:rPr>
        <w:t>)</w:t>
      </w:r>
      <w:r w:rsidR="31EB35CB" w:rsidRPr="00DA249F">
        <w:rPr>
          <w:lang w:val="en-GB"/>
        </w:rPr>
        <w:t>.</w:t>
      </w:r>
      <w:r w:rsidR="00E84029" w:rsidRPr="00DA249F">
        <w:rPr>
          <w:lang w:val="en-GB"/>
        </w:rPr>
        <w:t xml:space="preserve"> </w:t>
      </w:r>
      <w:r w:rsidR="2DCC2B64" w:rsidRPr="00DA249F">
        <w:rPr>
          <w:lang w:val="en-GB"/>
        </w:rPr>
        <w:t xml:space="preserve">Natural </w:t>
      </w:r>
      <w:r w:rsidR="00522606" w:rsidRPr="00DA249F">
        <w:rPr>
          <w:lang w:val="en-GB"/>
        </w:rPr>
        <w:t xml:space="preserve">drivers </w:t>
      </w:r>
      <w:r w:rsidR="2DCC2B64" w:rsidRPr="00DA249F">
        <w:rPr>
          <w:lang w:val="en-GB"/>
        </w:rPr>
        <w:t xml:space="preserve">have </w:t>
      </w:r>
      <w:r w:rsidR="1BF2A5DD" w:rsidRPr="00DA249F">
        <w:rPr>
          <w:lang w:val="en-GB"/>
        </w:rPr>
        <w:t xml:space="preserve">thus </w:t>
      </w:r>
      <w:r w:rsidR="00522606" w:rsidRPr="00DA249F">
        <w:rPr>
          <w:lang w:val="en-GB"/>
        </w:rPr>
        <w:t xml:space="preserve">facilitated </w:t>
      </w:r>
      <w:r w:rsidR="2DCC2B64" w:rsidRPr="00DA249F">
        <w:rPr>
          <w:lang w:val="en-GB"/>
        </w:rPr>
        <w:t xml:space="preserve">the </w:t>
      </w:r>
      <w:r w:rsidR="457669C7" w:rsidRPr="00DA249F">
        <w:rPr>
          <w:lang w:val="en-GB"/>
        </w:rPr>
        <w:t xml:space="preserve">wider </w:t>
      </w:r>
      <w:r w:rsidR="2DCC2B64" w:rsidRPr="00DA249F">
        <w:rPr>
          <w:lang w:val="en-GB"/>
        </w:rPr>
        <w:t xml:space="preserve">establishment </w:t>
      </w:r>
      <w:r w:rsidR="00522606" w:rsidRPr="00DA249F">
        <w:rPr>
          <w:lang w:val="en-GB"/>
        </w:rPr>
        <w:t xml:space="preserve">and spread </w:t>
      </w:r>
      <w:r w:rsidR="2DCC2B64" w:rsidRPr="00DA249F">
        <w:rPr>
          <w:lang w:val="en-GB"/>
        </w:rPr>
        <w:t xml:space="preserve">of </w:t>
      </w:r>
      <w:r w:rsidR="267BE6D4" w:rsidRPr="00DA249F">
        <w:rPr>
          <w:lang w:val="en-GB"/>
        </w:rPr>
        <w:t xml:space="preserve">alien </w:t>
      </w:r>
      <w:r w:rsidR="2DCC2B64" w:rsidRPr="00DA249F">
        <w:rPr>
          <w:lang w:val="en-GB"/>
        </w:rPr>
        <w:t xml:space="preserve">plants and animals </w:t>
      </w:r>
      <w:r w:rsidR="00522606" w:rsidRPr="00DA249F">
        <w:rPr>
          <w:lang w:val="en-GB"/>
        </w:rPr>
        <w:t xml:space="preserve">within and beyond their </w:t>
      </w:r>
      <w:r w:rsidR="0035259E" w:rsidRPr="00DA249F">
        <w:rPr>
          <w:lang w:val="en-GB"/>
        </w:rPr>
        <w:t xml:space="preserve">known </w:t>
      </w:r>
      <w:r w:rsidR="00E84029" w:rsidRPr="00DA249F">
        <w:rPr>
          <w:lang w:val="en-GB"/>
        </w:rPr>
        <w:t>invaded</w:t>
      </w:r>
      <w:r w:rsidR="00522606" w:rsidRPr="00DA249F">
        <w:rPr>
          <w:lang w:val="en-GB"/>
        </w:rPr>
        <w:t xml:space="preserve"> range</w:t>
      </w:r>
      <w:r w:rsidR="00C02317" w:rsidRPr="00DA249F">
        <w:rPr>
          <w:lang w:val="en-GB"/>
        </w:rPr>
        <w:t xml:space="preserve"> through acting as ag</w:t>
      </w:r>
      <w:r w:rsidR="00E84029" w:rsidRPr="00DA249F">
        <w:rPr>
          <w:lang w:val="en-GB"/>
        </w:rPr>
        <w:t>e</w:t>
      </w:r>
      <w:r w:rsidR="00C02317" w:rsidRPr="00DA249F">
        <w:rPr>
          <w:lang w:val="en-GB"/>
        </w:rPr>
        <w:t>nts of secondary dispersal</w:t>
      </w:r>
      <w:r w:rsidR="00522606" w:rsidRPr="00DA249F">
        <w:rPr>
          <w:lang w:val="en-GB"/>
        </w:rPr>
        <w:t xml:space="preserve"> </w:t>
      </w:r>
      <w:r w:rsidR="2DCC2B64" w:rsidRPr="00DA249F">
        <w:rPr>
          <w:lang w:val="en-GB"/>
        </w:rPr>
        <w:t>(e.g.</w:t>
      </w:r>
      <w:r w:rsidR="0029356E" w:rsidRPr="00DA249F">
        <w:rPr>
          <w:lang w:val="en-GB"/>
        </w:rPr>
        <w:t>,</w:t>
      </w:r>
      <w:r w:rsidR="008C1BF7" w:rsidRPr="00DA249F">
        <w:rPr>
          <w:lang w:val="en-GB"/>
        </w:rPr>
        <w:fldChar w:fldCharType="begin"/>
      </w:r>
      <w:r w:rsidR="00331A79">
        <w:rPr>
          <w:lang w:val="en-GB"/>
        </w:rPr>
        <w:instrText xml:space="preserve"> ADDIN ZOTERO_ITEM CSL_CITATION {"citationID":"AILaXFGv","properties":{"unsorted":true,"formattedCitation":"(Lovette et al., 1999; Toepfer, 2012; Lee et al., 2014; Massa et al., 2014)","plainCitation":"(Lovette et al., 1999; Toepfer, 2012; Lee et al., 2014; Massa et al., 2014)","dontUpdate":true,"noteIndex":0},"citationItems":[{"id":16222,"uris":["http://zotero.org/groups/2352922/items/NHW5MM48"],"itemData":{"id":16222,"type":"article-journal","abstract":"By virtue of their isolation and depauperate faunas, oceanic islands offer unique opportunities to characterize the historical development of ecological communities derived from both natural and anthropogenic invasions. Barbados, an outlying island in the Lesser Antilles, was formed approximately 700,000 YBP by tectonic uplift and was then colonized by birds via natural invasion from the much older volcanic islands in the main Lesser Antillean arc. We investigated the timing and sources of the avian invasion of Barbados by determining levels of mitochondrial DNA (mtDNA) divergence between populations of eight bird species from Barbados and those on the nearby putative source islands of St. Lucia and St. Vincent. Although all Barbados populations appeared to be young relative to the geological age of the island, we found differences among species in their inferred times of colonization and we identified at least two sources of immigrants to Barbados. In contrast to these historical differences across species and populations, our characterization of the mitochondrial genotypes of 231 individual birds suggests that each island population represents the descendants of a single founding maternal lineage. Considered in concert, the results of this molecular survey indicate that the Barbados bird community is composed of species with different invasion histories, which in turn suggests that the island's community composition has changed repeatedly over its 700,000 year history.","container-title":"Biological Invasions","DOI":"doi.org/10.1023/A:1010090414598","issue":"1","page":"33-41","title":"The assembly of an island fauna by natural invasion: sources and temporal patterns in the avian colonization of Barbados","URL":"https://link.springer.com/article/10.1023/A:1010090414598","volume":"1","author":[{"family":"Lovette","given":"IJ"},{"family":"Seutin","given":"G"},{"family":"Ricklefs","given":"RE"},{"family":"Birmingham","given":"E"}],"issued":{"date-parts":[["1999"]]}},"label":"page"},{"id":15375,"uris":["http://zotero.org/groups/2352922/items/C4UZAUQ7"],"itemData":{"id":15375,"type":"article-journal","abstract":"Desert dust seeds distant lands and waters with minerals as well as micro-organisms raising the question of whether this ancient phenomenon also spreads pathogens across the globe. Severe dust storms require strong winds blowing over land-masses that are largely devoid of vegetation, effectively limiting the scope for winds to raise pathogens into the air. Nevertheless, changing patterns of land-use, often driven by belligerency, result in refugees spreading to areas that were previously deemed barely habitable. With the help of the International Committee of the Red Cross, a number of sand/dust samples were collected from the Republic of Chad, some near refugee camps, others further removed from human influence. In parallel studies, we documented the micro-organisms present in these samples and used a number of the isolates here to test the effect of environmental constraints on their ability to survive intercontinental flight. We also added traditional pathogens to the palette of microbes and tested the effects of UV irradiation, desiccation and temperature on survival of both bacteria and fungi. A clear trend was obvious-those microbes that are coloured or able to form conidia or spores (in other words, those that are native to deserts) were well able to resist the imposed stresses. On the other hand, most pathogens were more sensitive to stresses than the environmental isolates. Toxin production in two species of Aspergillus was also investigated. Short-term desiccation (simulating environmental conditions during intercontinental travel) of sand amended with fungal spores containing sterigmatocystin leads to increased mycotoxin contents, but significant mycotoxin production was only possible under growth-permissive conditions, e. g. at higher humidity. It thus seems likely that an ever-decreasing fraction of the initial pathogen load survives as the dust recedes from its desert source and that those organisms that land on other continents are highly enriched in desert dwellers.","container-title":"Aerobiologia","DOI":"https://doi.org/10.1007/s10453-011-9230-2","issue":"2","page":"221-231","title":"Pathogens as potential hitchhikers on intercontinental dust","volume":"28","author":[{"family":"Toepfer","given":"Ilka"},{"family":"Favet","given":"Jocelyne"},{"family":"Schulte","given":"Anette"},{"family":"Schmölling","given":"Maria"},{"family":"Butte","given":"Werner"},{"family":"Triplett","given":"Eric W"},{"family":"Broughton","given":"William J"}],"issued":{"date-parts":[["2012"]]}},"label":"page"},{"id":11716,"uris":["http://zotero.org/groups/2352922/items/WQ8ERR3D"],"itemData":{"id":11716,"type":"article-journal","abstract":"Distinguishing between species that are recent natural colonists, recent anthropogenic introductions, or previously unknown, but long-term resident native species, is a challenge for those who manage the conservation of the Antarctic region. Here, we report the discovery of two new arthropod species on sub-Antarctic Marion Island-Nabis capsiformis Germar (Heteroptera: Nabidae) and Tetragnatha sp. (Araneomorphae: Tetragnathidae). On the basis of their habitat use, dispersal abilities, historic biodiversity survey records, and limited information on genetic diversity, we conclude that the colonization events were natural.","container-title":"Polar Biology","DOI":"10.1007/s00300-014-1479-9","issue":"6","page":"781-787","title":"Natural dispersal to sub-Antarctic Marion Island of two arthropod species","volume":"37","author":[{"family":"Lee","given":"JE"},{"family":"Terauds","given":"A"},{"family":"Chown","given":"SL"}],"issued":{"date-parts":[["2014"]]}},"label":"page"},{"id":15657,"uris":["http://zotero.org/groups/2352922/items/UGEVWK25"],"itemData":{"id":15657,"type":"article-journal","abstract":"The Cattle Egret (Bubulcus ibis) is native to the old world. Before 1877 no Cattle Egrets had been sighted in the Americas. There are no written records of this species being transported to or escaping from captivity in South America and there is enough evidence to suggest that individuals are capable of making the crossing from Africa to the Americas unaided. Since long-distance movements of species are partly dependent on meteorological events we analyze the possibility of B. ibis crossing the Atlantic Ocean aided only by wind conditions evaluating existing theories and shedding light on their feasibility through the analysis of weather patterns and atmospheric circulation. Zonal and meridional wind components taken from the Twentieth Century Reanalysis Project were used to calculate trajectories between different points along the West African coast and South America between 1871 and 1920 in two seasons (March-April and September-October). From a total of 192,864 trajectories analyzed, 1,695 with origin in the west coast of Africa reached the NE coast of South America or the Caribbean islands in less than a week (successful trajectories). The probability of these successful trajectories originating in Central Africa was above 0.65 for the majority of the destinations analyzed. Particularly, in Guyana and Suriname where B. ibis was first sighted, the probability of the origin being Central Africa was 0.84, most of them occurring during March. Several weather events favored not only the colonization of the Cattle Egret but also its establishment and spread all throughout the Americas.","container-title":"International Journal of Biometeorology","DOI":"10.1007/s00484-014-0790-z","page":"1879-1891","title":"On how Cattle Egret (&lt;i&gt;Bubulcus ibis&lt;/i&gt;) spread to the Americas: meteorological tools to assess probable colonization trajectories","URL":"https://link.springer.com/article/10.1007/s00484-014-0790-z","volume":"58","author":[{"family":"Massa","given":"C."},{"family":"Doyle","given":"M."},{"family":"Fortunato","given":"R.C."}],"issued":{"date-parts":[["2014"]]}},"label":"page"}],"schema":"https://github.com/citation-style-language/schema/raw/master/csl-citation.json"} </w:instrText>
      </w:r>
      <w:r w:rsidR="008C1BF7" w:rsidRPr="00DA249F">
        <w:rPr>
          <w:lang w:val="en-GB"/>
        </w:rPr>
        <w:fldChar w:fldCharType="separate"/>
      </w:r>
      <w:r w:rsidR="00A605C1" w:rsidRPr="00DA249F">
        <w:rPr>
          <w:lang w:val="en-GB"/>
        </w:rPr>
        <w:t xml:space="preserve"> Lovette et al., 1999; Toepfer, 2012; Lee et al., 2014; Massa et al., 2014)</w:t>
      </w:r>
      <w:r w:rsidR="008C1BF7" w:rsidRPr="00DA249F">
        <w:rPr>
          <w:lang w:val="en-GB"/>
        </w:rPr>
        <w:fldChar w:fldCharType="end"/>
      </w:r>
      <w:r w:rsidR="2DCC2B64" w:rsidRPr="00DA249F">
        <w:rPr>
          <w:lang w:val="en-GB"/>
        </w:rPr>
        <w:t xml:space="preserve">. </w:t>
      </w:r>
    </w:p>
    <w:p w14:paraId="182F8E4A" w14:textId="3B114E52" w:rsidR="00402920" w:rsidRPr="00DA249F" w:rsidRDefault="00522606" w:rsidP="00402920">
      <w:pPr>
        <w:rPr>
          <w:lang w:val="en-GB"/>
        </w:rPr>
      </w:pPr>
      <w:r w:rsidRPr="00DA249F">
        <w:rPr>
          <w:lang w:val="en-GB"/>
        </w:rPr>
        <w:t>The role</w:t>
      </w:r>
      <w:r w:rsidR="00C02317" w:rsidRPr="00DA249F">
        <w:rPr>
          <w:lang w:val="en-GB"/>
        </w:rPr>
        <w:t>s</w:t>
      </w:r>
      <w:r w:rsidRPr="00DA249F">
        <w:rPr>
          <w:lang w:val="en-GB"/>
        </w:rPr>
        <w:t xml:space="preserve"> of natural drivers </w:t>
      </w:r>
      <w:r w:rsidR="00F1251A" w:rsidRPr="00DA249F">
        <w:rPr>
          <w:lang w:val="en-GB"/>
        </w:rPr>
        <w:t>apply</w:t>
      </w:r>
      <w:r w:rsidRPr="00DA249F">
        <w:rPr>
          <w:lang w:val="en-GB"/>
        </w:rPr>
        <w:t xml:space="preserve"> to all regions and all realms. </w:t>
      </w:r>
      <w:r w:rsidR="006200BC" w:rsidRPr="00DA249F">
        <w:rPr>
          <w:lang w:val="en-GB"/>
        </w:rPr>
        <w:t xml:space="preserve">Natural disturbances such as hurricanes </w:t>
      </w:r>
      <w:r w:rsidR="00CA0C6B" w:rsidRPr="00DA249F">
        <w:rPr>
          <w:lang w:val="en-GB"/>
        </w:rPr>
        <w:t>(</w:t>
      </w:r>
      <w:r w:rsidR="006200BC" w:rsidRPr="0040355F">
        <w:rPr>
          <w:b/>
          <w:iCs/>
          <w:lang w:val="en-GB"/>
        </w:rPr>
        <w:t>section 3.3.4.3</w:t>
      </w:r>
      <w:r w:rsidR="006200BC" w:rsidRPr="00DA249F">
        <w:rPr>
          <w:lang w:val="en-GB"/>
        </w:rPr>
        <w:t xml:space="preserve">) have played a role in assisting the dispersal of alien animals </w:t>
      </w:r>
      <w:r w:rsidR="006200BC" w:rsidRPr="00DA249F">
        <w:rPr>
          <w:lang w:val="en-GB"/>
        </w:rPr>
        <w:fldChar w:fldCharType="begin"/>
      </w:r>
      <w:r w:rsidR="00331A79">
        <w:rPr>
          <w:lang w:val="en-GB"/>
        </w:rPr>
        <w:instrText xml:space="preserve"> ADDIN ZOTERO_ITEM CSL_CITATION {"citationID":"XNHbtedo","properties":{"formattedCitation":"(Andraca-G\\uc0\\u243{}mez et al., 2015; Censky et al., 1998; Johnston &amp; Purkis, 2015)","plainCitation":"(Andraca-Gómez et al., 2015; Censky et al., 1998; Johnston &amp; Purkis, 2015)","noteIndex":0},"citationItems":[{"id":29780,"uris":["http://zotero.org/groups/2352922/items/2MS7HT2M"],"itemData":{"id":29780,"type":"article-journal","abstract":"The cactus moth, Cactoblastis cactorum mainly distributed throughout central and northeastern Argentina was intentionally introduced in the Caribbean region in 1957 as a biological control agent of cacti species of the genus Opuntia. This moth invaded during the last 20-30 years the North American continent, threatening the major center of biodiversity of native Opuntia species. Although human induced and natural dispersal have been invocated to explain its expansion in the non-native distribution range, there is still no evidence to support natural dispersal. In particular, hurricanes are one of the major environmental factors affecting species dispersal in the region. In this study we used mitochondrial DNA to examine whether the spatial distribution of haplotype variation of C. cactorum is at least partially explained by hurricane trajectories within the Caribbean region. DNA sequences for the mitochondrial gene cytochrome oxidase I were obtained for a sample of 110 individuals from the Antillean islands. This information was combined with existing sequences in the GenBank for the same gene for the Caribbean and Florida (N = 132 sequences). Genetic diversity descriptors, a haplotypic network, a spatial analyses of molecular variance and a landscape genetic analysis of migration conditioned by hurricane tracks were conducted to test our hypothesis. Our results revealed a significant spatial grouping of haplotypes consistent with the more frequent hurricane trajectories in the Caribbean region. Significant isolation by distance conditioned by hurricane tracks was detected. Populations of Florida were genetically closer to those of Cuba than to the rest of the population sampled. Within the region, Cuba appears as a reservoir of genetic diversity increasing the risk of invasion to Mexico and the US. Despite commercial transportation of Opuntia promoted dispersal to Florida, our results support the hypothesis that natural disturbances such as hurricanes played a role dispersing this invasive insect. Future conservation programs of North American Opuntia species requires taking into account hurricane mediated dispersal events and permanent whole regional monitoring and international control policies to prevent future range expansions of C. cactorum.","container-title":"Biological Invasions","DOI":"10.1007/s10530-014-0802-2","issue":"5","page":"1397-1406","title":"A potential invasion route of &lt;i&gt;Cactoblastis cactorum&lt;/i&gt; within the Caribbean region matches historical hurricane trajectories","volume":"17","author":[{"family":"Andraca-Gómez","given":"Guadalupe"},{"family":"Ordano","given":"Mariano"},{"family":"Boege","given":"Karina"},{"family":"Domínguez","given":"César A."},{"family":"Piñero","given":"Daniel"},{"family":"Pérez-Ishiwara","given":""},{"family":"Pérez-Camacho","given":"Jacqueline"},{"family":"Cañizares","given":"Maikel"},{"family":"Fornoni","given":"Juan"}],"issued":{"date-parts":[["2015"]]}},"label":"page"},{"id":16221,"uris":["http://zotero.org/groups/2352922/items/XBMBJM6T"],"itemData":{"id":16221,"type":"article-journal","abstract":"The possibility and probability of over-water dispersal as a mechanism to explain the distribution of terrestrial animal species in the Caribbean has been hotly debated since the early part of this century1,2. Each theory that has been proposed — including land bridges and over-water dispersal — has involved over-water dispersal to some extent in the distribution of animals. Yet many people remain sceptical of over-water dispersal, believing that the use of rafts is improbable, unobservable and consequently untenable. Here we present evidence to support over-water dispersal as the mechanism by which green iguanas colonized Anguilla.","container-title":"Nature","DOI":"doi.org/10.1038/26886","page":"556","title":"Over-water dispersal of lizards due to hurricanes","volume":"395","author":[{"family":"Censky","given":"EJ"},{"family":"Hodge","given":"K"},{"family":"Dudley","given":"J"}],"issued":{"date-parts":[["1998"]]}},"label":"page"},{"id":15376,"uris":["http://zotero.org/groups/2352922/items/F2FZRH6C"],"itemData":{"id":15376,"type":"article-journal","abstract":"In this study, we demonstrate how perturbations to the Florida Current caused by hurricanes are relevant to the spread of invasive lionfish from Florida to the Bahamas. Without such perturbations, this current represents a potential barrier to the transport of planktonic lionfish eggs and larvae across the Straits of Florida. We further show that once lionfish became established in the Bahamas, hurricanes significantly hastened their spread through the island chain. We gain these insights through: (1) an analysis of the direction and velocity of simulated ocean currents during the passage of hurricanes through the Florida Straits and (2) the development of a biophysical model that incorporates the tolerances of lionfish to ocean climate, their reproductive strategy, and duration that the larvae remain viable in the water column. On the basis of this work, we identify 23 occasions between the years 1992 and 2006 in which lionfish were provided the opportunity to breach the Florida Current. We also find that hurricanes during this period increased the rate of spread of lionfish through the Bahamas by more than 45% and magnified its population by at least 15%. Beyond invasive lionfish, we suggest that extreme weather events such as hurricanes likely help to homogenize the gene pool for all Caribbean marine species susceptible to transport.","container-title":"Global Change Biology","DOI":"10.1111/gcb.12874","issue":"6","page":"2249-2260","title":"Hurricanes accelerated the Florida-Bahamas lionfish invasion","volume":"21","author":[{"family":"Johnston","given":"MW"},{"family":"Purkis","given":"SJ"}],"issued":{"date-parts":[["2015"]]}},"label":"page"}],"schema":"https://github.com/citation-style-language/schema/raw/master/csl-citation.json"} </w:instrText>
      </w:r>
      <w:r w:rsidR="006200BC" w:rsidRPr="00DA249F">
        <w:rPr>
          <w:lang w:val="en-GB"/>
        </w:rPr>
        <w:fldChar w:fldCharType="separate"/>
      </w:r>
      <w:r w:rsidR="00144D96" w:rsidRPr="00144D96">
        <w:rPr>
          <w:szCs w:val="24"/>
        </w:rPr>
        <w:t>(Andraca-Gómez et al., 2015; Censky et al., 1998; Johnston &amp; Purkis, 2015)</w:t>
      </w:r>
      <w:r w:rsidR="006200BC" w:rsidRPr="00DA249F">
        <w:rPr>
          <w:lang w:val="en-GB"/>
        </w:rPr>
        <w:fldChar w:fldCharType="end"/>
      </w:r>
      <w:r w:rsidR="006200BC" w:rsidRPr="00DA249F">
        <w:rPr>
          <w:lang w:val="en-GB"/>
        </w:rPr>
        <w:t xml:space="preserve">, plants </w:t>
      </w:r>
      <w:r w:rsidR="006200BC" w:rsidRPr="00DA249F">
        <w:rPr>
          <w:lang w:val="en-GB"/>
        </w:rPr>
        <w:fldChar w:fldCharType="begin"/>
      </w:r>
      <w:r w:rsidR="00710AC3">
        <w:rPr>
          <w:lang w:val="en-GB"/>
        </w:rPr>
        <w:instrText xml:space="preserve"> ADDIN ZOTERO_ITEM CSL_CITATION {"citationID":"hl9COupa","properties":{"formattedCitation":"(Bhattarai &amp; Cronin, 2014)","plainCitation":"(Bhattarai &amp; Cronin, 2014)","noteIndex":0},"citationItems":[{"id":29788,"uris":["http://zotero.org/groups/2352922/items/X8XJMN8A"],"itemData":{"id":29788,"type":"article-journal","abstract":"Disturbances are a primary facilitator of the growth and spread of invasive species. However, the effects of large-scale disturbances, such as hurricanes and tropical storms, on the broad geographic patterns of invasive species growth and spread have not been investigated. We used historical aerial imagery to determine the growth rate of invasive Phragmites australis patches in wetlands along the Atlantic and Gulf Coasts of the United States. These were relatively undisturbed wetlands where P. australis had room for unrestricted growth. Over the past several decades, invasive P. australis stands expanded in size by 6–35% per year. Based on tropical storm and hurricane activity over that same time period, we found that the frequency of hurricane-force winds explained 81% of the variation in P. australis growth over this broad geographic range. The expansion of P. australis stands was strongly and positively correlated with hurricane frequency. In light of the many climatic models that predict an increase in the frequency and intensity of hurricanes over the next century, these results suggest a strong link between climate change and species invasion and a challenging future ahead for the management of invasive species.","container-title":"PLoS ONE","DOI":"10.1371/journal.pone.0098478","ISSN":"1932-6203","issue":"5","journalAbbreviation":"PLoS ONE","language":"en","page":"e98478","source":"PLoS Journals","title":"Hurricane Activity and the Large-Scale Pattern of Spread of an Invasive Plant Species","URL":"https://journals.plos.org/plosone/article?id=10.1371/journal.pone.0098478","volume":"9","author":[{"family":"Bhattarai","given":"Ganesh P."},{"family":"Cronin","given":"James T."}],"accessed":{"date-parts":[["2019",10,25]]},"issued":{"date-parts":[["2014",5,30]]}},"label":"page"}],"schema":"https://github.com/citation-style-language/schema/raw/master/csl-citation.json"} </w:instrText>
      </w:r>
      <w:r w:rsidR="006200BC" w:rsidRPr="00DA249F">
        <w:rPr>
          <w:lang w:val="en-GB"/>
        </w:rPr>
        <w:fldChar w:fldCharType="separate"/>
      </w:r>
      <w:r w:rsidR="00144D96" w:rsidRPr="00144D96">
        <w:t>(Bhattarai &amp; Cronin, 2014)</w:t>
      </w:r>
      <w:r w:rsidR="006200BC" w:rsidRPr="00DA249F">
        <w:rPr>
          <w:lang w:val="en-GB"/>
        </w:rPr>
        <w:fldChar w:fldCharType="end"/>
      </w:r>
      <w:r w:rsidR="00774819">
        <w:rPr>
          <w:lang w:val="en-GB"/>
        </w:rPr>
        <w:t xml:space="preserve"> and</w:t>
      </w:r>
      <w:r w:rsidR="006200BC" w:rsidRPr="00DA249F">
        <w:rPr>
          <w:lang w:val="en-GB"/>
        </w:rPr>
        <w:t xml:space="preserve"> microbes </w:t>
      </w:r>
      <w:r w:rsidR="006200BC" w:rsidRPr="00DA249F">
        <w:rPr>
          <w:lang w:val="en-GB"/>
        </w:rPr>
        <w:fldChar w:fldCharType="begin"/>
      </w:r>
      <w:r w:rsidR="00331A79">
        <w:rPr>
          <w:lang w:val="en-GB"/>
        </w:rPr>
        <w:instrText xml:space="preserve"> ADDIN ZOTERO_ITEM CSL_CITATION {"citationID":"AoEhFBSU","properties":{"formattedCitation":"(Feehan et al., 2016)","plainCitation":"(Feehan et al., 2016)","noteIndex":0},"citationItems":[{"id":24455,"uris":["http://zotero.org/groups/2352922/items/NHHBX6RA"],"itemData":{"id":24455,"type":"article-journal","abstract":"Along the Atlantic coast of Nova Scotia sea urchin disease outbreaks are statistically linked to North Atlantic hurricanes and warm sea temperatures. The amoebic pathogen Paramoeba invadens, which causes these disease outbreaks, is unable to withstand typical minimum sea temperatures along this coast, suggesting that it is reintroduced during periods of peak temperatures. Here, we examine hypotheses for mechanisms of introduction or persistenc</w:instrText>
      </w:r>
      <w:r w:rsidR="00331A79">
        <w:rPr>
          <w:rFonts w:hint="eastAsia"/>
          <w:lang w:val="en-GB"/>
        </w:rPr>
        <w:instrText>e of P. invadens using data on sea urchin disease outbreaks from a 5</w:instrText>
      </w:r>
      <w:r w:rsidR="00331A79">
        <w:rPr>
          <w:rFonts w:hint="eastAsia"/>
          <w:lang w:val="en-GB"/>
        </w:rPr>
        <w:instrText>‐</w:instrText>
      </w:r>
      <w:r w:rsidR="00331A79">
        <w:rPr>
          <w:rFonts w:hint="eastAsia"/>
          <w:lang w:val="en-GB"/>
        </w:rPr>
        <w:instrText>yr field experiment (2010</w:instrText>
      </w:r>
      <w:r w:rsidR="00331A79">
        <w:rPr>
          <w:rFonts w:hint="eastAsia"/>
          <w:lang w:val="en-GB"/>
        </w:rPr>
        <w:instrText>–</w:instrText>
      </w:r>
      <w:r w:rsidR="00331A79">
        <w:rPr>
          <w:rFonts w:hint="eastAsia"/>
          <w:lang w:val="en-GB"/>
        </w:rPr>
        <w:instrText>2014), in combination with high</w:instrText>
      </w:r>
      <w:r w:rsidR="00331A79">
        <w:rPr>
          <w:rFonts w:hint="eastAsia"/>
          <w:lang w:val="en-GB"/>
        </w:rPr>
        <w:instrText>‐</w:instrText>
      </w:r>
      <w:r w:rsidR="00331A79">
        <w:rPr>
          <w:rFonts w:hint="eastAsia"/>
          <w:lang w:val="en-GB"/>
        </w:rPr>
        <w:instrText>temporal</w:instrText>
      </w:r>
      <w:r w:rsidR="00331A79">
        <w:rPr>
          <w:rFonts w:hint="eastAsia"/>
          <w:lang w:val="en-GB"/>
        </w:rPr>
        <w:instrText>‐</w:instrText>
      </w:r>
      <w:r w:rsidR="00331A79">
        <w:rPr>
          <w:rFonts w:hint="eastAsia"/>
          <w:lang w:val="en-GB"/>
        </w:rPr>
        <w:instrText>resolution oceanographic and meteorologic data. Disease outbreaks were observed in 4 yr, with the onset of mass mortality (</w:instrText>
      </w:r>
      <w:r w:rsidR="00331A79">
        <w:rPr>
          <w:rFonts w:hint="eastAsia"/>
          <w:lang w:val="en-GB"/>
        </w:rPr>
        <w:instrText>≥</w:instrText>
      </w:r>
      <w:r w:rsidR="00331A79">
        <w:rPr>
          <w:rFonts w:hint="eastAsia"/>
          <w:lang w:val="en-GB"/>
        </w:rPr>
        <w:instrText>50% morbidity or mortality) ranging from mid August to mid October. Physical data suggest that P. invadens originates in warm offshore surface waters that are transported to the coast during strong storms. Disease outbreaks were associated with passi</w:instrText>
      </w:r>
      <w:r w:rsidR="00331A79">
        <w:rPr>
          <w:lang w:val="en-GB"/>
        </w:rPr>
        <w:instrText>ng hurricanes in 2 yr (2010 and 2011). In 2012, a disease outbreak occurred in the absence of a storm and following a strong positive anomaly in winter sea temperature, suggesting survival of the pathogen from 2011. In 2014, a disease outbreak occurred in association with a strong storm (nor'easter) that was not a hurricane. Our findings indicate that changing environmental conditions of increasing minimum sea temperatures and increasing intensity of storms may be altering the dynamics of this disease. Th</w:instrText>
      </w:r>
      <w:r w:rsidR="00331A79">
        <w:rPr>
          <w:rFonts w:hint="eastAsia"/>
          <w:lang w:val="en-GB"/>
        </w:rPr>
        <w:instrText>ese inferences remain equivocal, however, indicating the need for high</w:instrText>
      </w:r>
      <w:r w:rsidR="00331A79">
        <w:rPr>
          <w:rFonts w:hint="eastAsia"/>
          <w:lang w:val="en-GB"/>
        </w:rPr>
        <w:instrText>‐</w:instrText>
      </w:r>
      <w:r w:rsidR="00331A79">
        <w:rPr>
          <w:rFonts w:hint="eastAsia"/>
          <w:lang w:val="en-GB"/>
        </w:rPr>
        <w:instrText>resolution dynamical modeling of the physical environment and rapid identification of P. invadens in the environment using genetic tools.","container-title":"Limnology and Oceanography</w:instrText>
      </w:r>
      <w:r w:rsidR="00331A79">
        <w:rPr>
          <w:lang w:val="en-GB"/>
        </w:rPr>
        <w:instrText xml:space="preserve">","DOI":"10.1002/lno.10217","page":"316-329","title":"Marine epizootics linked to storms: Mechanisms of pathogen introduction and persistence inferred from coupled physical and biological time-series.","volume":"61","author":[{"family":"Feehan","given":"Colette"},{"family":"Scheibling","given":"Robert E."},{"family":"Brown","given":"Michael S."},{"family":"Thompson","given":"Keith R."}],"issued":{"date-parts":[["2016"]]}},"label":"page"}],"schema":"https://github.com/citation-style-language/schema/raw/master/csl-citation.json"} </w:instrText>
      </w:r>
      <w:r w:rsidR="006200BC" w:rsidRPr="00DA249F">
        <w:rPr>
          <w:lang w:val="en-GB"/>
        </w:rPr>
        <w:fldChar w:fldCharType="separate"/>
      </w:r>
      <w:r w:rsidR="00144D96" w:rsidRPr="00144D96">
        <w:t>(Feehan et al., 2016)</w:t>
      </w:r>
      <w:r w:rsidR="006200BC" w:rsidRPr="00DA249F">
        <w:rPr>
          <w:lang w:val="en-GB"/>
        </w:rPr>
        <w:fldChar w:fldCharType="end"/>
      </w:r>
      <w:r w:rsidR="006200BC" w:rsidRPr="00DA249F">
        <w:rPr>
          <w:lang w:val="en-GB"/>
        </w:rPr>
        <w:t xml:space="preserve">, leading to expansion of their historical invaded ranges. A classic example of onwards dispersal of alien species via natural drivers is the crossing from Africa to the Americas by the </w:t>
      </w:r>
      <w:r w:rsidR="007D4C02" w:rsidRPr="00DA249F">
        <w:rPr>
          <w:i/>
          <w:iCs/>
          <w:lang w:val="en-GB"/>
        </w:rPr>
        <w:t>Bubulcus ibis</w:t>
      </w:r>
      <w:r w:rsidR="007D4C02" w:rsidRPr="00DA249F">
        <w:rPr>
          <w:lang w:val="en-GB"/>
        </w:rPr>
        <w:t xml:space="preserve"> </w:t>
      </w:r>
      <w:r w:rsidR="006200BC" w:rsidRPr="00DA249F">
        <w:rPr>
          <w:lang w:val="en-GB"/>
        </w:rPr>
        <w:t>(</w:t>
      </w:r>
      <w:r w:rsidR="007D4C02" w:rsidRPr="00DA249F">
        <w:rPr>
          <w:lang w:val="en-GB"/>
        </w:rPr>
        <w:t>cattle egret</w:t>
      </w:r>
      <w:r w:rsidR="006200BC" w:rsidRPr="00DA249F">
        <w:rPr>
          <w:lang w:val="en-GB"/>
        </w:rPr>
        <w:t>), whose introduction, establishment</w:t>
      </w:r>
      <w:r w:rsidR="00774819">
        <w:rPr>
          <w:lang w:val="en-GB"/>
        </w:rPr>
        <w:t xml:space="preserve"> and</w:t>
      </w:r>
      <w:r w:rsidR="006200BC" w:rsidRPr="00DA249F">
        <w:rPr>
          <w:lang w:val="en-GB"/>
        </w:rPr>
        <w:t xml:space="preserve"> further spread throughout the Americas has been linked to multiple weather events </w:t>
      </w:r>
      <w:r w:rsidR="006200BC" w:rsidRPr="00DA249F">
        <w:rPr>
          <w:lang w:val="en-GB"/>
        </w:rPr>
        <w:fldChar w:fldCharType="begin"/>
      </w:r>
      <w:r w:rsidR="00331A79">
        <w:rPr>
          <w:lang w:val="en-GB"/>
        </w:rPr>
        <w:instrText xml:space="preserve"> ADDIN ZOTERO_ITEM CSL_CITATION {"citationID":"P7k81bBB","properties":{"formattedCitation":"(Massa et al., 2014)","plainCitation":"(Massa et al., 2014)","noteIndex":0},"citationItems":[{"id":15657,"uris":["http://zotero.org/groups/2352922/items/UGEVWK25"],"itemData":{"id":15657,"type":"article-journal","abstract":"The Cattle Egret (Bubulcus ibis) is native to the old world. Before 1877 no Cattle Egrets had been sighted in the Americas. There are no written records of this species being transported to or escaping from captivity in South America and there is enough evidence to suggest that individuals are capable of making the crossing from Africa to the Americas unaided. Since long-distance movements of species are partly dependent on meteorological events we analyze the possibility of B. ibis crossing the Atlantic Ocean aided only by wind conditions evaluating existing theories and shedding light on their feasibility through the analysis of weather patterns and atmospheric circulation. Zonal and meridional wind components taken from the Twentieth Century Reanalysis Project were used to calculate trajectories between different points along the West African coast and South America between 1871 and 1920 in two seasons (March-April and September-October). From a total of 192,864 trajectories analyzed, 1,695 with origin in the west coast of Africa reached the NE coast of South America or the Caribbean islands in less than a week (successful trajectories). The probability of these successful trajectories originating in Central Africa was above 0.65 for the majority of the destinations analyzed. Particularly, in Guyana and Suriname where B. ibis was first sighted, the probability of the origin being Central Africa was 0.84, most of them occurring during March. Several weather events favored not only the colonization of the Cattle Egret but also its establishment and spread all throughout the Americas.","container-title":"International Journal of Biometeorology","DOI":"10.1007/s00484-014-0790-z","page":"1879-1891","title":"On how Cattle Egret (&lt;i&gt;Bubulcus ibis&lt;/i&gt;) spread to the Americas: meteorological tools to assess probable colonization trajectories","URL":"https://link.springer.com/article/10.1007/s00484-014-0790-z","volume":"58","author":[{"family":"Massa","given":"C."},{"family":"Doyle","given":"M."},{"family":"Fortunato","given":"R.C."}],"issued":{"date-parts":[["2014"]]}},"label":"page"}],"schema":"https://github.com/citation-style-language/schema/raw/master/csl-citation.json"} </w:instrText>
      </w:r>
      <w:r w:rsidR="006200BC" w:rsidRPr="00DA249F">
        <w:rPr>
          <w:lang w:val="en-GB"/>
        </w:rPr>
        <w:fldChar w:fldCharType="separate"/>
      </w:r>
      <w:r w:rsidR="00144D96" w:rsidRPr="00144D96">
        <w:t>(Massa et al., 2014)</w:t>
      </w:r>
      <w:r w:rsidR="006200BC" w:rsidRPr="00DA249F">
        <w:rPr>
          <w:lang w:val="en-GB"/>
        </w:rPr>
        <w:fldChar w:fldCharType="end"/>
      </w:r>
      <w:r w:rsidR="006200BC" w:rsidRPr="00DA249F">
        <w:rPr>
          <w:lang w:val="en-GB"/>
        </w:rPr>
        <w:t>.</w:t>
      </w:r>
      <w:r w:rsidR="003916C8" w:rsidRPr="00DA249F">
        <w:rPr>
          <w:lang w:val="en-GB"/>
        </w:rPr>
        <w:t xml:space="preserve"> W</w:t>
      </w:r>
      <w:r w:rsidR="2DCC2B64" w:rsidRPr="00DA249F">
        <w:rPr>
          <w:lang w:val="en-GB"/>
        </w:rPr>
        <w:t>ind and ocean currents offer new opportunities for colonization</w:t>
      </w:r>
      <w:r w:rsidR="00C02317" w:rsidRPr="00DA249F">
        <w:rPr>
          <w:lang w:val="en-GB"/>
        </w:rPr>
        <w:t xml:space="preserve"> within and beyond the inva</w:t>
      </w:r>
      <w:r w:rsidR="007A2E2B" w:rsidRPr="00DA249F">
        <w:rPr>
          <w:lang w:val="en-GB"/>
        </w:rPr>
        <w:t>ded</w:t>
      </w:r>
      <w:r w:rsidR="00C02317" w:rsidRPr="00DA249F">
        <w:rPr>
          <w:lang w:val="en-GB"/>
        </w:rPr>
        <w:t xml:space="preserve"> range</w:t>
      </w:r>
      <w:r w:rsidR="0035259E" w:rsidRPr="00DA249F">
        <w:rPr>
          <w:lang w:val="en-GB"/>
        </w:rPr>
        <w:t xml:space="preserve"> of both marine and terrestrial organisms</w:t>
      </w:r>
      <w:r w:rsidR="2DCC2B64" w:rsidRPr="00DA249F">
        <w:rPr>
          <w:lang w:val="en-GB"/>
        </w:rPr>
        <w:t xml:space="preserve"> </w:t>
      </w:r>
      <w:r w:rsidR="008C1BF7" w:rsidRPr="00DA249F">
        <w:rPr>
          <w:lang w:val="en-GB"/>
        </w:rPr>
        <w:fldChar w:fldCharType="begin"/>
      </w:r>
      <w:r w:rsidR="00331A79">
        <w:rPr>
          <w:lang w:val="en-GB"/>
        </w:rPr>
        <w:instrText xml:space="preserve"> ADDIN ZOTERO_ITEM CSL_CITATION {"citationID":"p0XI68g5","properties":{"formattedCitation":"(Munoz et al., 2004)","plainCitation":"(Munoz et al., 2004)","noteIndex":0},"citationItems":[{"id":16223,"uris":["http://zotero.org/groups/2352922/items/MJXFIVIN"],"itemData":{"id":16223,"type":"article-journal","abstract":"Anisotropic (direction-dependent) long-distance dispersal (LDD) by wind has been invoked to explain the strong floristic affinities shared among landmasses in the Southern Hemisphere. Its contribution has not yet been systematically tested because of the previous lack of global data on winds. We used global winds coverage from the National Aeronautics and Space Administration SeaWinds scatterometer to test whether floristic similarities of Southern Hemisphere moss, liverwort, lichen, and pteridophyte floras conform better with (i) the anisotropic LDD hypothesis, which predicts that connection by “wind highways” increases floristic similarities, or (ii) a direction-independent LDD hypothesis, which predicts that floristic similarities among sites increase with geographic proximity. We found a stronger correlation of floristic similarities with wind connectivity than with geographic proximities, which supports the idea that wind is a dispersal vehicle for many organisms in the Southern Hemisphere.","container-title":"Science","DOI":"10.1126/science.1095210","page":"1144-1147","title":"Wind as a long-distance dispersal vehicle in the Southern Hemisphere.","URL":"https://www.science.org/doi/10.1126/science.1095210","volume":"304","author":[{"family":"Munoz","given":"Jesús"},{"family":"Felicisimo","given":"Ángel M"},{"family":"Cabezas","given":"Francisco"},{"family":"Burgaz","given":"Ana R"},{"family":"Martinez","given":"Isabel"}],"issued":{"date-parts":[["2004"]]}},"label":"page"}],"schema":"https://github.com/citation-style-language/schema/raw/master/csl-citation.json"} </w:instrText>
      </w:r>
      <w:r w:rsidR="008C1BF7" w:rsidRPr="00DA249F">
        <w:rPr>
          <w:lang w:val="en-GB"/>
        </w:rPr>
        <w:fldChar w:fldCharType="separate"/>
      </w:r>
      <w:r w:rsidR="00144D96" w:rsidRPr="00144D96">
        <w:t>(Munoz et al., 2004)</w:t>
      </w:r>
      <w:r w:rsidR="008C1BF7" w:rsidRPr="00DA249F">
        <w:rPr>
          <w:lang w:val="en-GB"/>
        </w:rPr>
        <w:fldChar w:fldCharType="end"/>
      </w:r>
      <w:r w:rsidR="2DCC2B64" w:rsidRPr="00DA249F">
        <w:rPr>
          <w:lang w:val="en-GB"/>
        </w:rPr>
        <w:t xml:space="preserve">; rafting during extreme weather events is a common example by which non-flying </w:t>
      </w:r>
      <w:r w:rsidR="00F97E0E" w:rsidRPr="00DA249F">
        <w:rPr>
          <w:lang w:val="en-GB"/>
        </w:rPr>
        <w:t xml:space="preserve">alien </w:t>
      </w:r>
      <w:r w:rsidR="2DCC2B64" w:rsidRPr="00DA249F">
        <w:rPr>
          <w:lang w:val="en-GB"/>
        </w:rPr>
        <w:t xml:space="preserve">animals can be transported between islands, as has been documented for </w:t>
      </w:r>
      <w:r w:rsidR="006C4E84" w:rsidRPr="00DA249F">
        <w:rPr>
          <w:i/>
          <w:iCs/>
          <w:lang w:val="en-GB"/>
        </w:rPr>
        <w:t xml:space="preserve">Iguana iguana </w:t>
      </w:r>
      <w:r w:rsidR="006C4E84" w:rsidRPr="00DA249F">
        <w:rPr>
          <w:lang w:val="en-GB"/>
        </w:rPr>
        <w:t>(</w:t>
      </w:r>
      <w:r w:rsidR="00F816CA" w:rsidRPr="00DA249F">
        <w:rPr>
          <w:lang w:val="en-GB"/>
        </w:rPr>
        <w:t>iguana</w:t>
      </w:r>
      <w:r w:rsidR="008C1BF7" w:rsidRPr="00DA249F">
        <w:rPr>
          <w:szCs w:val="24"/>
          <w:lang w:val="en-GB"/>
        </w:rPr>
        <w:fldChar w:fldCharType="begin"/>
      </w:r>
      <w:r w:rsidR="00331A79">
        <w:rPr>
          <w:szCs w:val="24"/>
          <w:lang w:val="en-GB"/>
        </w:rPr>
        <w:instrText xml:space="preserve"> ADDIN ZOTERO_ITEM CSL_CITATION {"citationID":"vNAtxTOD","properties":{"formattedCitation":"(Censky et al., 1998)","plainCitation":"(Censky et al., 1998)","dontUpdate":true,"noteIndex":0},"citationItems":[{"id":16221,"uris":["http://zotero.org/groups/2352922/items/XBMBJM6T"],"itemData":{"id":16221,"type":"article-journal","abstract":"The possibility and probability of over-water dispersal as a mechanism to explain the distribution of terrestrial animal species in the Caribbean has been hotly debated since the early part of this century1,2. Each theory that has been proposed — including land bridges and over-water dispersal — has involved over-water dispersal to some extent in the distribution of animals. Yet many people remain sceptical of over-water dispersal, believing that the use of rafts is improbable, unobservable and consequently untenable. Here we present evidence to support over-water dispersal as the mechanism by which green iguanas colonized Anguilla.","container-title":"Nature","DOI":"doi.org/10.1038/26886","page":"556","title":"Over-water dispersal of lizards due to hurricanes","volume":"395","author":[{"family":"Censky","given":"EJ"},{"family":"Hodge","given":"K"},{"family":"Dudley","given":"J"}],"issued":{"date-parts":[["1998"]]}},"label":"page"}],"schema":"https://github.com/citation-style-language/schema/raw/master/csl-citation.json"} </w:instrText>
      </w:r>
      <w:r w:rsidR="008C1BF7" w:rsidRPr="00DA249F">
        <w:rPr>
          <w:szCs w:val="24"/>
          <w:lang w:val="en-GB"/>
        </w:rPr>
        <w:fldChar w:fldCharType="separate"/>
      </w:r>
      <w:r w:rsidR="0001743A" w:rsidRPr="00DA249F">
        <w:rPr>
          <w:lang w:val="en-GB"/>
        </w:rPr>
        <w:t xml:space="preserve">; </w:t>
      </w:r>
      <w:r w:rsidR="00050854" w:rsidRPr="00DA249F">
        <w:rPr>
          <w:lang w:val="en-GB"/>
        </w:rPr>
        <w:t>Censky et al., 1998)</w:t>
      </w:r>
      <w:r w:rsidR="008C1BF7" w:rsidRPr="00DA249F">
        <w:rPr>
          <w:szCs w:val="24"/>
          <w:lang w:val="en-GB"/>
        </w:rPr>
        <w:fldChar w:fldCharType="end"/>
      </w:r>
      <w:r w:rsidR="2DCC2B64" w:rsidRPr="00DA249F">
        <w:rPr>
          <w:lang w:val="en-GB"/>
        </w:rPr>
        <w:t xml:space="preserve">. As </w:t>
      </w:r>
      <w:r w:rsidR="00AF199B" w:rsidRPr="00DA249F">
        <w:rPr>
          <w:lang w:val="en-GB"/>
        </w:rPr>
        <w:t xml:space="preserve">species’ </w:t>
      </w:r>
      <w:r w:rsidR="2DCC2B64" w:rsidRPr="00DA249F">
        <w:rPr>
          <w:lang w:val="en-GB"/>
        </w:rPr>
        <w:t xml:space="preserve">thermal barriers are being altered or lifted by climate change, ocean currents are contributing to </w:t>
      </w:r>
      <w:r w:rsidR="00E84029" w:rsidRPr="00DA249F">
        <w:rPr>
          <w:lang w:val="en-GB"/>
        </w:rPr>
        <w:t xml:space="preserve">the range expansion of </w:t>
      </w:r>
      <w:r w:rsidR="00380903" w:rsidRPr="00DA249F">
        <w:rPr>
          <w:lang w:val="en-GB"/>
        </w:rPr>
        <w:t xml:space="preserve">alien species and </w:t>
      </w:r>
      <w:r w:rsidR="61EFF1BB" w:rsidRPr="00DA249F">
        <w:rPr>
          <w:lang w:val="en-GB"/>
        </w:rPr>
        <w:t>colonization of</w:t>
      </w:r>
      <w:r w:rsidR="2DCC2B64" w:rsidRPr="00DA249F">
        <w:rPr>
          <w:lang w:val="en-GB"/>
        </w:rPr>
        <w:t xml:space="preserve"> previously inhospitable regions such as the Arctic </w:t>
      </w:r>
      <w:r w:rsidR="008C1BF7" w:rsidRPr="00DA249F">
        <w:rPr>
          <w:szCs w:val="24"/>
          <w:lang w:val="en-GB"/>
        </w:rPr>
        <w:fldChar w:fldCharType="begin"/>
      </w:r>
      <w:r w:rsidR="00331A79">
        <w:rPr>
          <w:szCs w:val="24"/>
          <w:lang w:val="en-GB"/>
        </w:rPr>
        <w:instrText xml:space="preserve"> ADDIN ZOTERO_ITEM CSL_CITATION {"citationID":"CPyv3jcX","properties":{"formattedCitation":"(Chan et al., 2019)","plainCitation":"(Chan et al., 2019)","noteIndex":0},"citationItems":[{"id":30386,"uris":["http://zotero.org/groups/2352922/items/H6K9RGSJ"],"itemData":{"id":30386,"type":"article-journal","abstract":"Abstract Climate change and increased anthropogenic activities are expected to elevate the potential of introducing nonindigenous species (NIS) into the Arctic. Yet, the knowledge base needed to identify gaps and priorities for NIS research and management is limited. Here, we reviewed primary introduction events to each ecoregion of the marine Arctic realm to identify temporal and spatial patterns, likely source regions of NIS, and the putative introduction pathways. We included 54 introduction events representing 34 unique NIS. The rate of NIS discovery ranged from zero to four species per year between 1960 and 2015. The Iceland Shelf had the greatest number of introduction events (n = 14), followed by the Barents Sea (n = 11), and the Norwegian Sea (n = 11). Sixteen of the 54 introduction records had no known origins. The majority of those with known source regions were attributed to the Northeast Atlantic and the Northwest Pacific, 19 and 14 records, respectively. Some introduction events were attributed to multiple possible pathways. For these introductions, vessels transferred the greatest number of aquatic NIS (39%) to the Arctic, followed by natural spread (30%) and aquaculture activities (25%). Similar trends were found for introductions attributed to a single pathway. The phyla Arthropoda and Ochrophyta had the highest number of recorded introduction events, with 19 and 12 records, respectively. Recommendations including vector management, horizon scanning, early detection, rapid response, and a pan-Arctic biodiversity inventory are considered in this paper. Our study provides a comprehensive record of primary introductions of NIS for marine environments in the circumpolar Arctic and identifies knowledge gaps and opportunities for NIS research and management. Ecosystems worldwide will face dramatic changes in the coming decades due to global change. Our findings contribute to the knowledge base needed to address two aspects of global change?invasive species and climate change.","container-title":"Global Change Biology","DOI":"10.1111/gcb.14469","issue":"1","page":"25-38","title":"Climate change opens new frontiers for marine species in the Arctic: Current trends and future invasion risks","URL":"https://doi.org/10.1111/gcb.14469","volume":"25","author":[{"family":"Chan","given":"F. T."},{"family":"Stanislawczyk","given":"Keara"},{"family":"Sneekes","given":"Anna C."},{"family":"Dvoretsky","given":"Alexander"},{"family":"Gollasch","given":"Stephen"},{"family":"Minchin","given":"Dan"},{"family":"David","given":"Matej"},{"family":"Jelmert","given":"Anders"},{"family":"Albretsen","given":"Jon"},{"family":"Bailey","given":"Sarah A."}],"issued":{"date-parts":[["2019"]]}},"label":"page"}],"schema":"https://github.com/citation-style-language/schema/raw/master/csl-citation.json"} </w:instrText>
      </w:r>
      <w:r w:rsidR="008C1BF7" w:rsidRPr="00DA249F">
        <w:rPr>
          <w:szCs w:val="24"/>
          <w:lang w:val="en-GB"/>
        </w:rPr>
        <w:fldChar w:fldCharType="separate"/>
      </w:r>
      <w:r w:rsidR="00144D96" w:rsidRPr="00144D96">
        <w:t>(Chan et al., 2019)</w:t>
      </w:r>
      <w:r w:rsidR="008C1BF7" w:rsidRPr="00DA249F">
        <w:rPr>
          <w:szCs w:val="24"/>
          <w:lang w:val="en-GB"/>
        </w:rPr>
        <w:fldChar w:fldCharType="end"/>
      </w:r>
      <w:r w:rsidR="70D8B91B" w:rsidRPr="00DA249F">
        <w:rPr>
          <w:lang w:val="en-GB"/>
        </w:rPr>
        <w:t xml:space="preserve"> and Antarctica </w:t>
      </w:r>
      <w:r w:rsidR="008C1BF7" w:rsidRPr="00DA249F">
        <w:rPr>
          <w:szCs w:val="24"/>
          <w:lang w:val="en-GB"/>
        </w:rPr>
        <w:fldChar w:fldCharType="begin"/>
      </w:r>
      <w:r w:rsidR="00331A79">
        <w:rPr>
          <w:szCs w:val="24"/>
          <w:lang w:val="en-GB"/>
        </w:rPr>
        <w:instrText xml:space="preserve"> ADDIN ZOTERO_ITEM CSL_CITATION {"citationID":"uZNorPvE","properties":{"formattedCitation":"(C. I. Fraser et al., 2018)","plainCitation":"(C. I. Fraser et al., 2018)","noteIndex":0},"citationItems":[{"id":26982,"uris":["http://zotero.org/groups/2352922/items/QWVR65QQ"],"itemData":{"id":26982,"type":"article-journal","container-title":"Nature Climate Change","DOI":"10.1038/s41558-018-0209-7","ISSN":"1758-6798","issue":"8","language":"en","page":"704-708","title":"Antarctica’s ecological isolation will be broken by storm-driven dispersal and warming","URL":"https://www.nature.com/articles/s41558-018-0209-7","volume":"8","author":[{"family":"Fraser","given":"Ceridwen I."},{"family":"Morrison","given":"Adele K."},{"family":"McC Hogg","given":"Andrew"},{"family":"Macaya","given":"Erasmo C."},{"family":"Sebille","given":"Erik","dropping-particle":"van"},{"family":"Ryan","given":"Peter G."},{"family":"Padovan","given":"Amanda"},{"family":"Jack","given":"Cameron"},{"family":"Validivia","given":"Nelson"},{"family":"Waters","given":"Jonathan M."}],"issued":{"date-parts":[["2018",8]]}},"label":"page"}],"schema":"https://github.com/citation-style-language/schema/raw/master/csl-citation.json"} </w:instrText>
      </w:r>
      <w:r w:rsidR="008C1BF7" w:rsidRPr="00DA249F">
        <w:rPr>
          <w:szCs w:val="24"/>
          <w:lang w:val="en-GB"/>
        </w:rPr>
        <w:fldChar w:fldCharType="separate"/>
      </w:r>
      <w:r w:rsidR="00144D96" w:rsidRPr="00144D96">
        <w:t>(C. I. Fraser et al., 2018)</w:t>
      </w:r>
      <w:r w:rsidR="008C1BF7" w:rsidRPr="00DA249F">
        <w:rPr>
          <w:szCs w:val="24"/>
          <w:lang w:val="en-GB"/>
        </w:rPr>
        <w:fldChar w:fldCharType="end"/>
      </w:r>
      <w:r w:rsidR="2DCC2B64" w:rsidRPr="00DA249F">
        <w:rPr>
          <w:lang w:val="en-GB"/>
        </w:rPr>
        <w:t xml:space="preserve">. </w:t>
      </w:r>
      <w:r w:rsidR="00E162ED" w:rsidRPr="00DA249F">
        <w:rPr>
          <w:lang w:val="en-GB"/>
        </w:rPr>
        <w:t>D</w:t>
      </w:r>
      <w:r w:rsidR="00402920" w:rsidRPr="00DA249F">
        <w:rPr>
          <w:lang w:val="en-GB"/>
        </w:rPr>
        <w:t xml:space="preserve">isease outbreaks </w:t>
      </w:r>
      <w:r w:rsidR="00E162ED" w:rsidRPr="00DA249F">
        <w:rPr>
          <w:lang w:val="en-GB"/>
        </w:rPr>
        <w:t xml:space="preserve">among </w:t>
      </w:r>
      <w:r w:rsidR="00E162ED" w:rsidRPr="00DA249F">
        <w:rPr>
          <w:i/>
          <w:iCs/>
          <w:lang w:val="en-GB"/>
        </w:rPr>
        <w:t>Strongylocentrotus droebachiensis</w:t>
      </w:r>
      <w:r w:rsidR="00E162ED" w:rsidRPr="00DA249F">
        <w:rPr>
          <w:lang w:val="en-GB"/>
        </w:rPr>
        <w:t xml:space="preserve"> (green sea urchin) </w:t>
      </w:r>
      <w:r w:rsidR="00402920" w:rsidRPr="00DA249F">
        <w:rPr>
          <w:lang w:val="en-GB"/>
        </w:rPr>
        <w:t xml:space="preserve">in the northwest Atlantic Ocean have been attributed to </w:t>
      </w:r>
      <w:r w:rsidR="00402920" w:rsidRPr="00DA249F">
        <w:rPr>
          <w:i/>
          <w:lang w:val="en-GB"/>
        </w:rPr>
        <w:t>Paramoeba invadens</w:t>
      </w:r>
      <w:r w:rsidR="00B51572" w:rsidRPr="00DA249F">
        <w:rPr>
          <w:lang w:val="en-GB"/>
        </w:rPr>
        <w:t>, a pathogenic amoeba that is</w:t>
      </w:r>
      <w:r w:rsidR="00402920" w:rsidRPr="00DA249F">
        <w:rPr>
          <w:lang w:val="en-GB"/>
        </w:rPr>
        <w:t xml:space="preserve"> intolerant </w:t>
      </w:r>
      <w:r w:rsidR="00C106C8" w:rsidRPr="00DA249F">
        <w:rPr>
          <w:lang w:val="en-GB"/>
        </w:rPr>
        <w:t>of the</w:t>
      </w:r>
      <w:r w:rsidR="00402920" w:rsidRPr="00DA249F">
        <w:rPr>
          <w:lang w:val="en-GB"/>
        </w:rPr>
        <w:t xml:space="preserve"> typical winter sea surface temperatures in the region. Evidence suggests that the amoeba originates in southern surface waters transported to the north Atlantic coast, and that disease outbreaks have occurred during hurricanes and unusual warm winter sea temperatures </w:t>
      </w:r>
      <w:r w:rsidR="00402920" w:rsidRPr="00DA249F">
        <w:rPr>
          <w:lang w:val="en-GB"/>
        </w:rPr>
        <w:fldChar w:fldCharType="begin"/>
      </w:r>
      <w:r w:rsidR="00331A79">
        <w:rPr>
          <w:lang w:val="en-GB"/>
        </w:rPr>
        <w:instrText xml:space="preserve"> ADDIN ZOTERO_ITEM CSL_CITATION {"citationID":"xdYyHTgf","properties":{"formattedCitation":"(Feehan et al., 2016)","plainCitation":"(Feehan et al., 2016)","noteIndex":0},"citationItems":[{"id":24455,"uris":["http://zotero.org/groups/2352922/items/NHHBX6RA"],"itemData":{"id":24455,"type":"article-journal","abstract":"Along the Atlantic coast of Nova Scotia sea urchin disease outbreaks are statistically linked to North Atlantic hurricanes and warm sea temperatures. The amoebic pathogen Paramoeba invadens, which causes these disease outbreaks, is unable to withstand typical minimum sea temperatures along this coast, suggesting that it is reintroduced during periods of peak temperatures. Here, we examine hypotheses for mechanisms of introduction or persistenc</w:instrText>
      </w:r>
      <w:r w:rsidR="00331A79">
        <w:rPr>
          <w:rFonts w:hint="eastAsia"/>
          <w:lang w:val="en-GB"/>
        </w:rPr>
        <w:instrText>e of P. invadens using data on sea urchin disease outbreaks from a 5</w:instrText>
      </w:r>
      <w:r w:rsidR="00331A79">
        <w:rPr>
          <w:rFonts w:hint="eastAsia"/>
          <w:lang w:val="en-GB"/>
        </w:rPr>
        <w:instrText>‐</w:instrText>
      </w:r>
      <w:r w:rsidR="00331A79">
        <w:rPr>
          <w:rFonts w:hint="eastAsia"/>
          <w:lang w:val="en-GB"/>
        </w:rPr>
        <w:instrText>yr field experiment (2010</w:instrText>
      </w:r>
      <w:r w:rsidR="00331A79">
        <w:rPr>
          <w:rFonts w:hint="eastAsia"/>
          <w:lang w:val="en-GB"/>
        </w:rPr>
        <w:instrText>–</w:instrText>
      </w:r>
      <w:r w:rsidR="00331A79">
        <w:rPr>
          <w:rFonts w:hint="eastAsia"/>
          <w:lang w:val="en-GB"/>
        </w:rPr>
        <w:instrText>2014), in combination with high</w:instrText>
      </w:r>
      <w:r w:rsidR="00331A79">
        <w:rPr>
          <w:rFonts w:hint="eastAsia"/>
          <w:lang w:val="en-GB"/>
        </w:rPr>
        <w:instrText>‐</w:instrText>
      </w:r>
      <w:r w:rsidR="00331A79">
        <w:rPr>
          <w:rFonts w:hint="eastAsia"/>
          <w:lang w:val="en-GB"/>
        </w:rPr>
        <w:instrText>temporal</w:instrText>
      </w:r>
      <w:r w:rsidR="00331A79">
        <w:rPr>
          <w:rFonts w:hint="eastAsia"/>
          <w:lang w:val="en-GB"/>
        </w:rPr>
        <w:instrText>‐</w:instrText>
      </w:r>
      <w:r w:rsidR="00331A79">
        <w:rPr>
          <w:rFonts w:hint="eastAsia"/>
          <w:lang w:val="en-GB"/>
        </w:rPr>
        <w:instrText>resolution oceanographic and meteorologic data. Disease outbreaks were observed in 4 yr, with the onset of mass mortality (</w:instrText>
      </w:r>
      <w:r w:rsidR="00331A79">
        <w:rPr>
          <w:rFonts w:hint="eastAsia"/>
          <w:lang w:val="en-GB"/>
        </w:rPr>
        <w:instrText>≥</w:instrText>
      </w:r>
      <w:r w:rsidR="00331A79">
        <w:rPr>
          <w:rFonts w:hint="eastAsia"/>
          <w:lang w:val="en-GB"/>
        </w:rPr>
        <w:instrText>50% morbidity or mortality) ranging from mid August to mid October. Physical data suggest that P. invadens originates in warm offshore surface waters that are transported to the coast during strong storms. Disease outbreaks were associated with passi</w:instrText>
      </w:r>
      <w:r w:rsidR="00331A79">
        <w:rPr>
          <w:lang w:val="en-GB"/>
        </w:rPr>
        <w:instrText>ng hurricanes in 2 yr (2010 and 2011). In 2012, a disease outbreak occurred in the absence of a storm and following a strong positive anomaly in winter sea temperature, suggesting survival of the pathogen from 2011. In 2014, a disease outbreak occurred in association with a strong storm (nor'easter) that was not a hurricane. Our findings indicate that changing environmental conditions of increasing minimum sea temperatures and increasing intensity of storms may be altering the dynamics of this disease. Th</w:instrText>
      </w:r>
      <w:r w:rsidR="00331A79">
        <w:rPr>
          <w:rFonts w:hint="eastAsia"/>
          <w:lang w:val="en-GB"/>
        </w:rPr>
        <w:instrText>ese inferences remain equivocal, however, indicating the need for high</w:instrText>
      </w:r>
      <w:r w:rsidR="00331A79">
        <w:rPr>
          <w:rFonts w:hint="eastAsia"/>
          <w:lang w:val="en-GB"/>
        </w:rPr>
        <w:instrText>‐</w:instrText>
      </w:r>
      <w:r w:rsidR="00331A79">
        <w:rPr>
          <w:rFonts w:hint="eastAsia"/>
          <w:lang w:val="en-GB"/>
        </w:rPr>
        <w:instrText>resolution dynamical modeling of the physical environment and rapid identification of P. invadens in the environment using genetic tools.","container-title":"Limnology and Oceanography</w:instrText>
      </w:r>
      <w:r w:rsidR="00331A79">
        <w:rPr>
          <w:lang w:val="en-GB"/>
        </w:rPr>
        <w:instrText xml:space="preserve">","DOI":"10.1002/lno.10217","page":"316-329","title":"Marine epizootics linked to storms: Mechanisms of pathogen introduction and persistence inferred from coupled physical and biological time-series.","volume":"61","author":[{"family":"Feehan","given":"Colette"},{"family":"Scheibling","given":"Robert E."},{"family":"Brown","given":"Michael S."},{"family":"Thompson","given":"Keith R."}],"issued":{"date-parts":[["2016"]]}},"label":"page"}],"schema":"https://github.com/citation-style-language/schema/raw/master/csl-citation.json"} </w:instrText>
      </w:r>
      <w:r w:rsidR="00402920" w:rsidRPr="00DA249F">
        <w:rPr>
          <w:lang w:val="en-GB"/>
        </w:rPr>
        <w:fldChar w:fldCharType="separate"/>
      </w:r>
      <w:r w:rsidR="00144D96" w:rsidRPr="00144D96">
        <w:t>(Feehan et al., 2016)</w:t>
      </w:r>
      <w:r w:rsidR="00402920" w:rsidRPr="00DA249F">
        <w:rPr>
          <w:lang w:val="en-GB"/>
        </w:rPr>
        <w:fldChar w:fldCharType="end"/>
      </w:r>
      <w:r w:rsidR="00402920" w:rsidRPr="00DA249F">
        <w:rPr>
          <w:lang w:val="en-GB"/>
        </w:rPr>
        <w:t xml:space="preserve">. Molecular and oceanographic evidence suggests that ocean currents </w:t>
      </w:r>
      <w:r w:rsidR="008C58E5" w:rsidRPr="00DA249F">
        <w:rPr>
          <w:lang w:val="en-GB"/>
        </w:rPr>
        <w:t>regularly</w:t>
      </w:r>
      <w:r w:rsidR="00402920" w:rsidRPr="00DA249F">
        <w:rPr>
          <w:lang w:val="en-GB"/>
        </w:rPr>
        <w:t xml:space="preserve"> </w:t>
      </w:r>
      <w:r w:rsidR="00DC5109" w:rsidRPr="00DA249F">
        <w:rPr>
          <w:lang w:val="en-GB"/>
        </w:rPr>
        <w:t>d</w:t>
      </w:r>
      <w:r w:rsidR="00DC5109">
        <w:rPr>
          <w:lang w:val="en-GB"/>
        </w:rPr>
        <w:t>isperse</w:t>
      </w:r>
      <w:r w:rsidR="00DC5109" w:rsidRPr="00DA249F">
        <w:rPr>
          <w:lang w:val="en-GB"/>
        </w:rPr>
        <w:t xml:space="preserve"> </w:t>
      </w:r>
      <w:r w:rsidR="00402920" w:rsidRPr="00DA249F">
        <w:rPr>
          <w:lang w:val="en-GB"/>
        </w:rPr>
        <w:t>rafting species thousands of kilometres</w:t>
      </w:r>
      <w:r w:rsidR="00DC5109">
        <w:rPr>
          <w:lang w:val="en-GB"/>
        </w:rPr>
        <w:t>,</w:t>
      </w:r>
      <w:r w:rsidR="00402920" w:rsidRPr="00DA249F">
        <w:rPr>
          <w:lang w:val="en-GB"/>
        </w:rPr>
        <w:t xml:space="preserve"> </w:t>
      </w:r>
      <w:r w:rsidR="00DC5109">
        <w:rPr>
          <w:lang w:val="en-GB"/>
        </w:rPr>
        <w:t>and</w:t>
      </w:r>
      <w:r w:rsidR="0047226F" w:rsidRPr="00DA249F">
        <w:rPr>
          <w:lang w:val="en-GB"/>
        </w:rPr>
        <w:t xml:space="preserve"> that</w:t>
      </w:r>
      <w:r w:rsidR="00402920" w:rsidRPr="00DA249F">
        <w:rPr>
          <w:lang w:val="en-GB"/>
        </w:rPr>
        <w:t xml:space="preserve"> Southern Ocean</w:t>
      </w:r>
      <w:r w:rsidR="00CA0ADF" w:rsidRPr="00DA249F">
        <w:rPr>
          <w:lang w:val="en-GB"/>
        </w:rPr>
        <w:t xml:space="preserve"> coasts </w:t>
      </w:r>
      <w:r w:rsidR="008C58E5" w:rsidRPr="00DA249F">
        <w:rPr>
          <w:lang w:val="en-GB"/>
        </w:rPr>
        <w:t xml:space="preserve">are </w:t>
      </w:r>
      <w:r w:rsidR="00E978B6" w:rsidRPr="00DA249F">
        <w:rPr>
          <w:lang w:val="en-GB"/>
        </w:rPr>
        <w:t>biologically</w:t>
      </w:r>
      <w:r w:rsidR="008C58E5" w:rsidRPr="00DA249F">
        <w:rPr>
          <w:lang w:val="en-GB"/>
        </w:rPr>
        <w:t xml:space="preserve"> well</w:t>
      </w:r>
      <w:r w:rsidR="00536C55" w:rsidRPr="00DA249F">
        <w:rPr>
          <w:lang w:val="en-GB"/>
        </w:rPr>
        <w:t>-</w:t>
      </w:r>
      <w:r w:rsidR="008C58E5" w:rsidRPr="00DA249F">
        <w:rPr>
          <w:lang w:val="en-GB"/>
        </w:rPr>
        <w:t xml:space="preserve">connected </w:t>
      </w:r>
      <w:r w:rsidR="00050854" w:rsidRPr="00DA249F">
        <w:rPr>
          <w:lang w:val="en-GB"/>
        </w:rPr>
        <w:fldChar w:fldCharType="begin"/>
      </w:r>
      <w:r w:rsidR="00331A79">
        <w:rPr>
          <w:lang w:val="en-GB"/>
        </w:rPr>
        <w:instrText xml:space="preserve"> ADDIN ZOTERO_ITEM CSL_CITATION {"citationID":"IdnwTtMA","properties":{"formattedCitation":"(C. I. Fraser et al., 2022)","plainCitation":"(C. I. Fraser et al., 2022)","noteIndex":0},"citationItems":[{"id":54501,"uris":["http://zotero.org/groups/2352922/items/3FX6VWMM"],"itemData":{"id":54501,"type":"article-journal","abstract":"Globally, species distributions are shifting in response to environmental change,1 and those that cannot disperse risk extinction.2 Many taxa, including marine species, are showing poleward range shifts as the climate warms.3 In the Southern Hemisphere, however, circumpolar oceanic fronts can present barriers to dispersal.4 Although passive, southward movement of species across this barrier has been considered unlikely,5,6 the recent discovery of buoyant kelp rafts on beaches in Antarctica7,8 demonstrates that such journeys are possible. Rafting is a key process by which diverse taxa—including terrestrial, e.g., Lindo,9 Godinot,10 and Censky et al.,11 and marine, e.g., Carlton et al.12 and Gillespie et al.13 species—can cross oceans.14 Kelp rafts can carry passengers7,15, 16, 17 and thus can act as vectors for long-distance dispersal of coastal organisms. The small numbers of kelp rafts previously found in Antarctica7,8 do not, however, shed much light on the frequency of such dispersal events.18 We use a combination of high-resolution phylogenomic analyses (&gt;220,000 SNPs) and oceanographic modeling to show that long-distance biological dispersal events in Southern Ocean are not rare. We document tens of kelp (Durvillaea antarctica) rafting events of thousands of kilometers each, over several decades (1950–2019), with many kelp rafts apparently still reproductively viable. Modeling of dispersal trajectories from genomically inferred source locations shows that distant landmasses are well connected, for example South Georgia and New Zealand, and the Kerguelen Islands and Tasmania. Our findings illustrate the power of genomic approaches to track, and modeling to show frequencies of, long-distance dispersal events.","container-title":"Current Biology","DOI":"10.1016/j.cub.2022.05.035","ISSN":"0960-9822","issue":"14","journalAbbreviation":"Current Biology","language":"en","page":"3154-3160.e3","source":"ScienceDirect","title":"Southern Hemisphere coasts are biologically connected by frequent, long-distance rafting events","URL":"https://www.sciencedirect.com/science/article/pii/S0960982222007977","volume":"32","author":[{"family":"Fraser","given":"Ceridwen I."},{"family":"Dutoit","given":"Ludovic"},{"family":"Morrison","given":"Adele K."},{"family":"Pardo","given":"Luis Miguel"},{"family":"Smith","given":"Stephen D. A."},{"family":"Pearman","given":"William S."},{"family":"Parvizi","given":"Elahe"},{"family":"Waters","given":"Jonathan"},{"family":"Macaya","given":"Erasmo C."}],"accessed":{"date-parts":[["2023",2,14]]},"issued":{"date-parts":[["2022",7,25]]}},"label":"page"}],"schema":"https://github.com/citation-style-language/schema/raw/master/csl-citation.json"} </w:instrText>
      </w:r>
      <w:r w:rsidR="00050854" w:rsidRPr="00DA249F">
        <w:rPr>
          <w:lang w:val="en-GB"/>
        </w:rPr>
        <w:fldChar w:fldCharType="separate"/>
      </w:r>
      <w:r w:rsidR="00144D96" w:rsidRPr="00144D96">
        <w:t>(C. I. Fraser et al., 2022)</w:t>
      </w:r>
      <w:r w:rsidR="00050854" w:rsidRPr="00DA249F">
        <w:rPr>
          <w:lang w:val="en-GB"/>
        </w:rPr>
        <w:fldChar w:fldCharType="end"/>
      </w:r>
      <w:r w:rsidR="00050854" w:rsidRPr="00DA249F">
        <w:rPr>
          <w:lang w:val="en-GB"/>
        </w:rPr>
        <w:t xml:space="preserve">. </w:t>
      </w:r>
      <w:r w:rsidR="00402920" w:rsidRPr="00DA249F">
        <w:rPr>
          <w:lang w:val="en-GB"/>
        </w:rPr>
        <w:t xml:space="preserve">If </w:t>
      </w:r>
      <w:r w:rsidR="009E02C4" w:rsidRPr="00DA249F">
        <w:rPr>
          <w:lang w:val="en-GB"/>
        </w:rPr>
        <w:t>warm</w:t>
      </w:r>
      <w:r w:rsidR="00402920" w:rsidRPr="00DA249F">
        <w:rPr>
          <w:lang w:val="en-GB"/>
        </w:rPr>
        <w:t xml:space="preserve">-adapted taxa </w:t>
      </w:r>
      <w:r w:rsidR="002D5E10" w:rsidRPr="00DA249F">
        <w:rPr>
          <w:lang w:val="en-GB"/>
        </w:rPr>
        <w:t xml:space="preserve">frequently </w:t>
      </w:r>
      <w:r w:rsidR="00402920" w:rsidRPr="00DA249F">
        <w:rPr>
          <w:lang w:val="en-GB"/>
        </w:rPr>
        <w:t xml:space="preserve">disperse to Antarctic waters, global warming could allow the region to become increasingly colonized by new species delivered via ocean rafting, especially during storms </w:t>
      </w:r>
      <w:r w:rsidR="00402920" w:rsidRPr="00DA249F">
        <w:rPr>
          <w:lang w:val="en-GB"/>
        </w:rPr>
        <w:fldChar w:fldCharType="begin"/>
      </w:r>
      <w:r w:rsidR="00331A79">
        <w:rPr>
          <w:lang w:val="en-GB"/>
        </w:rPr>
        <w:instrText xml:space="preserve"> ADDIN ZOTERO_ITEM CSL_CITATION {"citationID":"Cp9EDhBd","properties":{"formattedCitation":"(C. I. Fraser et al., 2018)","plainCitation":"(C. I. Fraser et al., 2018)","noteIndex":0},"citationItems":[{"id":26982,"uris":["http://zotero.org/groups/2352922/items/QWVR65QQ"],"itemData":{"id":26982,"type":"article-journal","container-title":"Nature Climate Change","DOI":"10.1038/s41558-018-0209-7","ISSN":"1758-6798","issue":"8","language":"en","page":"704-708","title":"Antarctica’s ecological isolation will be broken by storm-driven dispersal and warming","URL":"https://www.nature.com/articles/s41558-018-0209-7","volume":"8","author":[{"family":"Fraser","given":"Ceridwen I."},{"family":"Morrison","given":"Adele K."},{"family":"McC Hogg","given":"Andrew"},{"family":"Macaya","given":"Erasmo C."},{"family":"Sebille","given":"Erik","dropping-particle":"van"},{"family":"Ryan","given":"Peter G."},{"family":"Padovan","given":"Amanda"},{"family":"Jack","given":"Cameron"},{"family":"Validivia","given":"Nelson"},{"family":"Waters","given":"Jonathan M."}],"issued":{"date-parts":[["2018",8]]}},"label":"page"}],"schema":"https://github.com/citation-style-language/schema/raw/master/csl-citation.json"} </w:instrText>
      </w:r>
      <w:r w:rsidR="00402920" w:rsidRPr="00DA249F">
        <w:rPr>
          <w:lang w:val="en-GB"/>
        </w:rPr>
        <w:fldChar w:fldCharType="separate"/>
      </w:r>
      <w:r w:rsidR="00144D96" w:rsidRPr="00144D96">
        <w:t>(C. I. Fraser et al., 2018)</w:t>
      </w:r>
      <w:r w:rsidR="00402920" w:rsidRPr="00DA249F">
        <w:rPr>
          <w:lang w:val="en-GB"/>
        </w:rPr>
        <w:fldChar w:fldCharType="end"/>
      </w:r>
      <w:r w:rsidR="00402920" w:rsidRPr="00DA249F">
        <w:rPr>
          <w:lang w:val="en-GB"/>
        </w:rPr>
        <w:t>. These cases illustrate the capacity of natural drivers to facilitate colonization events, but also suggest an increasing influence of anthropogenic climate change as an amplifier of such dispersal opportunities</w:t>
      </w:r>
      <w:r w:rsidR="00657AD8">
        <w:rPr>
          <w:lang w:val="en-GB"/>
        </w:rPr>
        <w:t xml:space="preserve">, </w:t>
      </w:r>
      <w:r w:rsidR="00402920" w:rsidRPr="00DA249F">
        <w:rPr>
          <w:lang w:val="en-GB"/>
        </w:rPr>
        <w:t>by</w:t>
      </w:r>
      <w:r w:rsidR="00657AD8">
        <w:rPr>
          <w:lang w:val="en-GB"/>
        </w:rPr>
        <w:t>, for example,</w:t>
      </w:r>
      <w:r w:rsidR="00402920" w:rsidRPr="00DA249F">
        <w:rPr>
          <w:lang w:val="en-GB"/>
        </w:rPr>
        <w:t xml:space="preserve"> altering or strengthening ocean currents, or by creating temporary hydrological connections </w:t>
      </w:r>
      <w:r w:rsidR="00CA0C6B" w:rsidRPr="00DA249F">
        <w:rPr>
          <w:lang w:val="en-GB"/>
        </w:rPr>
        <w:t>(</w:t>
      </w:r>
      <w:r w:rsidR="00402920" w:rsidRPr="0040355F">
        <w:rPr>
          <w:b/>
          <w:iCs/>
          <w:lang w:val="en-GB"/>
        </w:rPr>
        <w:t>section 3.3.4</w:t>
      </w:r>
      <w:r w:rsidR="00402920" w:rsidRPr="00DA249F">
        <w:rPr>
          <w:lang w:val="en-GB"/>
        </w:rPr>
        <w:t xml:space="preserve">). </w:t>
      </w:r>
    </w:p>
    <w:p w14:paraId="73725F28" w14:textId="77777777" w:rsidR="00F518ED" w:rsidRPr="00DA249F" w:rsidRDefault="00630DAB" w:rsidP="0090109B">
      <w:pPr>
        <w:rPr>
          <w:lang w:val="en-GB"/>
        </w:rPr>
      </w:pPr>
      <w:r w:rsidRPr="00630DAB">
        <w:rPr>
          <w:noProof/>
          <w:lang w:val="en-GB"/>
        </w:rPr>
        <w:lastRenderedPageBreak/>
        <w:drawing>
          <wp:inline distT="0" distB="0" distL="0" distR="0" wp14:anchorId="6C2767CB" wp14:editId="40003C1C">
            <wp:extent cx="6115050" cy="2271395"/>
            <wp:effectExtent l="0" t="0" r="6350" b="1905"/>
            <wp:docPr id="60" name="Picture 60" descr="A diagram of a diagram of a variety of types of transpor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Picture 60" descr="A diagram of a diagram of a variety of types of transport&#10;&#10;Description automatically generated with medium confidence"/>
                    <pic:cNvPicPr/>
                  </pic:nvPicPr>
                  <pic:blipFill>
                    <a:blip r:embed="rId43"/>
                    <a:stretch>
                      <a:fillRect/>
                    </a:stretch>
                  </pic:blipFill>
                  <pic:spPr>
                    <a:xfrm>
                      <a:off x="0" y="0"/>
                      <a:ext cx="6115050" cy="2271395"/>
                    </a:xfrm>
                    <a:prstGeom prst="rect">
                      <a:avLst/>
                    </a:prstGeom>
                    <a:ln>
                      <a:noFill/>
                    </a:ln>
                  </pic:spPr>
                </pic:pic>
              </a:graphicData>
            </a:graphic>
          </wp:inline>
        </w:drawing>
      </w:r>
    </w:p>
    <w:p w14:paraId="05B97D2B" w14:textId="67B931F8" w:rsidR="005B25DC" w:rsidRPr="00DA249F" w:rsidRDefault="32DDF50D" w:rsidP="0074196D">
      <w:pPr>
        <w:pStyle w:val="Caption"/>
        <w:rPr>
          <w:lang w:val="en-GB"/>
        </w:rPr>
      </w:pPr>
      <w:bookmarkStart w:id="215" w:name="_Ref104902777"/>
      <w:bookmarkStart w:id="216" w:name="_Toc147500908"/>
      <w:r w:rsidRPr="5575EBFC">
        <w:rPr>
          <w:lang w:val="en-GB"/>
        </w:rPr>
        <w:t>Figure</w:t>
      </w:r>
      <w:r w:rsidR="1A559371" w:rsidRPr="5575EBFC">
        <w:rPr>
          <w:lang w:val="en-GB"/>
        </w:rPr>
        <w:t xml:space="preserve"> 3.</w:t>
      </w:r>
      <w:r w:rsidR="00F518ED" w:rsidRPr="5575EBFC">
        <w:rPr>
          <w:lang w:val="en-GB"/>
        </w:rPr>
        <w:fldChar w:fldCharType="begin"/>
      </w:r>
      <w:r w:rsidR="00F518ED" w:rsidRPr="5575EBFC">
        <w:rPr>
          <w:lang w:val="en-GB"/>
        </w:rPr>
        <w:instrText xml:space="preserve"> SEQ Figure_3. \* ARABIC </w:instrText>
      </w:r>
      <w:r w:rsidR="00F518ED" w:rsidRPr="5575EBFC">
        <w:rPr>
          <w:lang w:val="en-GB"/>
        </w:rPr>
        <w:fldChar w:fldCharType="separate"/>
      </w:r>
      <w:r w:rsidR="00287BC7">
        <w:rPr>
          <w:noProof/>
          <w:lang w:val="en-GB"/>
        </w:rPr>
        <w:t>23</w:t>
      </w:r>
      <w:r w:rsidR="00F518ED" w:rsidRPr="5575EBFC">
        <w:rPr>
          <w:lang w:val="en-GB"/>
        </w:rPr>
        <w:fldChar w:fldCharType="end"/>
      </w:r>
      <w:bookmarkEnd w:id="215"/>
      <w:r w:rsidR="18E6F836" w:rsidRPr="5575EBFC">
        <w:rPr>
          <w:lang w:val="en-GB"/>
        </w:rPr>
        <w:t>.</w:t>
      </w:r>
      <w:r w:rsidRPr="5575EBFC">
        <w:rPr>
          <w:lang w:val="en-GB"/>
        </w:rPr>
        <w:t xml:space="preserve"> </w:t>
      </w:r>
      <w:r w:rsidR="7D88EC35" w:rsidRPr="5575EBFC">
        <w:rPr>
          <w:b w:val="0"/>
          <w:bCs w:val="0"/>
          <w:lang w:val="en-GB"/>
        </w:rPr>
        <w:t xml:space="preserve">Examples of </w:t>
      </w:r>
      <w:r w:rsidR="5AE24373" w:rsidRPr="5575EBFC">
        <w:rPr>
          <w:b w:val="0"/>
          <w:bCs w:val="0"/>
          <w:lang w:val="en-GB"/>
        </w:rPr>
        <w:t>the role of</w:t>
      </w:r>
      <w:r w:rsidR="7D88EC35" w:rsidRPr="5575EBFC">
        <w:rPr>
          <w:b w:val="0"/>
          <w:bCs w:val="0"/>
          <w:lang w:val="en-GB"/>
        </w:rPr>
        <w:t xml:space="preserve"> </w:t>
      </w:r>
      <w:r w:rsidR="258EC474" w:rsidRPr="5575EBFC">
        <w:rPr>
          <w:b w:val="0"/>
          <w:bCs w:val="0"/>
          <w:lang w:val="en-GB"/>
        </w:rPr>
        <w:t>natural hazards</w:t>
      </w:r>
      <w:r w:rsidR="7D88EC35" w:rsidRPr="5575EBFC">
        <w:rPr>
          <w:b w:val="0"/>
          <w:bCs w:val="0"/>
          <w:lang w:val="en-GB"/>
        </w:rPr>
        <w:t xml:space="preserve"> </w:t>
      </w:r>
      <w:r w:rsidR="5AE24373" w:rsidRPr="5575EBFC">
        <w:rPr>
          <w:b w:val="0"/>
          <w:bCs w:val="0"/>
          <w:lang w:val="en-GB"/>
        </w:rPr>
        <w:t>in</w:t>
      </w:r>
      <w:r w:rsidR="7D88EC35" w:rsidRPr="5575EBFC">
        <w:rPr>
          <w:b w:val="0"/>
          <w:bCs w:val="0"/>
          <w:lang w:val="en-GB"/>
        </w:rPr>
        <w:t xml:space="preserve"> </w:t>
      </w:r>
      <w:r w:rsidR="72A269CB" w:rsidRPr="5575EBFC">
        <w:rPr>
          <w:b w:val="0"/>
          <w:bCs w:val="0"/>
          <w:lang w:val="en-GB"/>
        </w:rPr>
        <w:t>facilitat</w:t>
      </w:r>
      <w:r w:rsidR="5AE24373" w:rsidRPr="5575EBFC">
        <w:rPr>
          <w:b w:val="0"/>
          <w:bCs w:val="0"/>
          <w:lang w:val="en-GB"/>
        </w:rPr>
        <w:t>ing</w:t>
      </w:r>
      <w:r w:rsidR="72A269CB" w:rsidRPr="5575EBFC">
        <w:rPr>
          <w:b w:val="0"/>
          <w:bCs w:val="0"/>
          <w:lang w:val="en-GB"/>
        </w:rPr>
        <w:t xml:space="preserve"> </w:t>
      </w:r>
      <w:r w:rsidR="6EF4F9BF" w:rsidRPr="5575EBFC">
        <w:rPr>
          <w:b w:val="0"/>
          <w:bCs w:val="0"/>
          <w:lang w:val="en-GB"/>
        </w:rPr>
        <w:t xml:space="preserve">invasive alien species across stages of the </w:t>
      </w:r>
      <w:r w:rsidR="7D88EC35" w:rsidRPr="5575EBFC">
        <w:rPr>
          <w:b w:val="0"/>
          <w:bCs w:val="0"/>
          <w:lang w:val="en-GB"/>
        </w:rPr>
        <w:t>biological invasion</w:t>
      </w:r>
      <w:r w:rsidR="3B7ECEB7" w:rsidRPr="5575EBFC">
        <w:rPr>
          <w:b w:val="0"/>
          <w:bCs w:val="0"/>
          <w:lang w:val="en-GB"/>
        </w:rPr>
        <w:t xml:space="preserve"> </w:t>
      </w:r>
      <w:r w:rsidR="5459F517" w:rsidRPr="5575EBFC">
        <w:rPr>
          <w:b w:val="0"/>
          <w:bCs w:val="0"/>
          <w:lang w:val="en-GB"/>
        </w:rPr>
        <w:t>process</w:t>
      </w:r>
      <w:r w:rsidR="49E826BD" w:rsidRPr="5575EBFC">
        <w:rPr>
          <w:b w:val="0"/>
          <w:bCs w:val="0"/>
          <w:lang w:val="en-GB"/>
        </w:rPr>
        <w:t>.</w:t>
      </w:r>
      <w:r w:rsidR="7AC0C083" w:rsidRPr="5575EBFC">
        <w:rPr>
          <w:lang w:val="en-GB"/>
        </w:rPr>
        <w:t xml:space="preserve"> </w:t>
      </w:r>
      <w:r w:rsidR="258EC474" w:rsidRPr="5575EBFC">
        <w:rPr>
          <w:b w:val="0"/>
          <w:bCs w:val="0"/>
          <w:lang w:val="en-GB"/>
        </w:rPr>
        <w:t>N</w:t>
      </w:r>
      <w:r w:rsidR="1FF21E12" w:rsidRPr="5575EBFC">
        <w:rPr>
          <w:b w:val="0"/>
          <w:bCs w:val="0"/>
          <w:lang w:val="en-GB"/>
        </w:rPr>
        <w:t>a</w:t>
      </w:r>
      <w:r w:rsidR="7AC0C083" w:rsidRPr="5575EBFC">
        <w:rPr>
          <w:b w:val="0"/>
          <w:bCs w:val="0"/>
          <w:lang w:val="en-GB"/>
        </w:rPr>
        <w:t xml:space="preserve">tural </w:t>
      </w:r>
      <w:r w:rsidR="1FF21E12" w:rsidRPr="5575EBFC">
        <w:rPr>
          <w:b w:val="0"/>
          <w:bCs w:val="0"/>
          <w:lang w:val="en-GB"/>
        </w:rPr>
        <w:t>hazards</w:t>
      </w:r>
      <w:r w:rsidR="7AC0C083" w:rsidRPr="5575EBFC">
        <w:rPr>
          <w:b w:val="0"/>
          <w:bCs w:val="0"/>
          <w:lang w:val="en-GB"/>
        </w:rPr>
        <w:t xml:space="preserve"> can facilitate biological invasions</w:t>
      </w:r>
      <w:r w:rsidR="6126DE69" w:rsidRPr="5575EBFC">
        <w:rPr>
          <w:b w:val="0"/>
          <w:bCs w:val="0"/>
          <w:lang w:val="en-GB"/>
        </w:rPr>
        <w:t xml:space="preserve"> by acting as agents of secondary dispersal beyond and within the invaded range. Examples are </w:t>
      </w:r>
      <w:r w:rsidR="7AC0C083" w:rsidRPr="5575EBFC">
        <w:rPr>
          <w:b w:val="0"/>
          <w:bCs w:val="0"/>
          <w:lang w:val="en-GB"/>
        </w:rPr>
        <w:t>chosen to represent relationships found across the invasion stages.</w:t>
      </w:r>
      <w:bookmarkEnd w:id="216"/>
      <w:r w:rsidR="6610D820" w:rsidRPr="5575EBFC">
        <w:rPr>
          <w:lang w:val="en-GB"/>
        </w:rPr>
        <w:t xml:space="preserve"> </w:t>
      </w:r>
    </w:p>
    <w:p w14:paraId="38038302" w14:textId="77777777" w:rsidR="00F72F72" w:rsidRPr="00DA249F" w:rsidRDefault="009765D4" w:rsidP="009765D4">
      <w:pPr>
        <w:rPr>
          <w:lang w:val="en-GB"/>
        </w:rPr>
      </w:pPr>
      <w:r w:rsidRPr="00DA249F">
        <w:rPr>
          <w:lang w:val="en-GB"/>
        </w:rPr>
        <w:t>The relative importance of natural dr</w:t>
      </w:r>
      <w:r w:rsidR="00A667AB" w:rsidRPr="00DA249F">
        <w:rPr>
          <w:lang w:val="en-GB"/>
        </w:rPr>
        <w:t>i</w:t>
      </w:r>
      <w:r w:rsidRPr="00DA249F">
        <w:rPr>
          <w:lang w:val="en-GB"/>
        </w:rPr>
        <w:t xml:space="preserve">vers </w:t>
      </w:r>
      <w:r w:rsidR="000C6D55" w:rsidRPr="00DA249F">
        <w:rPr>
          <w:lang w:val="en-GB"/>
        </w:rPr>
        <w:t>such as natural hazards</w:t>
      </w:r>
      <w:r w:rsidRPr="00DA249F">
        <w:rPr>
          <w:lang w:val="en-GB"/>
        </w:rPr>
        <w:t xml:space="preserve"> in the range dynamics of alien species</w:t>
      </w:r>
      <w:r w:rsidR="00E84029" w:rsidRPr="00DA249F">
        <w:rPr>
          <w:lang w:val="en-GB"/>
        </w:rPr>
        <w:t>, however,</w:t>
      </w:r>
      <w:r w:rsidRPr="00DA249F">
        <w:rPr>
          <w:lang w:val="en-GB"/>
        </w:rPr>
        <w:t xml:space="preserve"> are likely </w:t>
      </w:r>
      <w:r w:rsidR="00E84029" w:rsidRPr="00DA249F">
        <w:rPr>
          <w:lang w:val="en-GB"/>
        </w:rPr>
        <w:t xml:space="preserve">to be </w:t>
      </w:r>
      <w:r w:rsidRPr="00DA249F">
        <w:rPr>
          <w:lang w:val="en-GB"/>
        </w:rPr>
        <w:t xml:space="preserve">relatively minor. Natural long-distance dispersal events have evidently been sufficient to colonize remote oceanic islands in the prehistoric past, but are likely orders of magnitude less frequent than human-assisted, long-distance dispersal events </w:t>
      </w:r>
      <w:r w:rsidRPr="00DA249F">
        <w:rPr>
          <w:lang w:val="en-GB"/>
        </w:rPr>
        <w:fldChar w:fldCharType="begin"/>
      </w:r>
      <w:r w:rsidR="00331A79">
        <w:rPr>
          <w:lang w:val="en-GB"/>
        </w:rPr>
        <w:instrText xml:space="preserve"> ADDIN ZOTERO_ITEM CSL_CITATION {"citationID":"162YYNmB","properties":{"formattedCitation":"(Ricciardi, 2007)","plainCitation":"(Ricciardi, 2007)","noteIndex":0},"citationItems":[{"id":28730,"uris":["http://zotero.org/groups/2352922/items/X8VS2I7C"],"itemData":{"id":28730,"type":"article-journal","abstract":"The uniqueness of the current, global mass invasion by nonindigenous species has been challenged recently by researchers who argue that modern rates and consequences of nonindigenous species establishment are comparable to episodes in the geological past. Although there is a fossil record of species invasions occurring in waves after geographic barriers had been lifted, such episodic events differ markedly from human-assisted invasions in spatial and temporal scales and in the number and diversity of organisms involved in long-distance dispersal. Today, every region of the planet is simultaneously affected and modern rates of invasion are several orders of magnitude higher than prehistoric rates. In terms of its rate and geographical extent, its potential for synergistic disruption and the scope of its evolutionary consequences, the current mass invasion event is without precedent and should be regarded as a unique form of global change. Prehistoric examples of biotic interchanges are nonetheless instructive and can increase our understanding of species-area effects, evolutionary effects, biotic resistance to invasion, and the impacts of novel functional groups introduced to naïve biotas. Nevertheless, they provide only limited insight into the synergistic effects of invasions and other environmental stressors, the effect of frequent introductions of large numbers of propagules, and global homogenization, all of which characterize the current mass invasion event.","container-title":"Conservation Biology","DOI":"10.1111/j.1523-1739.2006.00615.x","ISSN":"0888-8892, 1523-1739","issue":"2","page":"329-336","source":"CrossRef","title":"Are Modern Biological Invasions an Unprecedented Form of Global Change?","URL":"http://doi.wiley.com/10.1111/j.1523-1739.2006.00615.x","volume":"21","author":[{"family":"Ricciardi","given":"Anthony"}],"accessed":{"date-parts":[["2013",12,7]]},"issued":{"date-parts":[["2007",4]]}},"label":"page"}],"schema":"https://github.com/citation-style-language/schema/raw/master/csl-citation.json"} </w:instrText>
      </w:r>
      <w:r w:rsidRPr="00DA249F">
        <w:rPr>
          <w:lang w:val="en-GB"/>
        </w:rPr>
        <w:fldChar w:fldCharType="separate"/>
      </w:r>
      <w:r w:rsidR="00144D96" w:rsidRPr="00144D96">
        <w:t>(Ricciardi, 2007)</w:t>
      </w:r>
      <w:r w:rsidRPr="00DA249F">
        <w:rPr>
          <w:lang w:val="en-GB"/>
        </w:rPr>
        <w:fldChar w:fldCharType="end"/>
      </w:r>
      <w:r w:rsidRPr="00DA249F">
        <w:rPr>
          <w:lang w:val="en-GB"/>
        </w:rPr>
        <w:t xml:space="preserve">. Natural </w:t>
      </w:r>
      <w:r w:rsidR="00044542" w:rsidRPr="00DA249F">
        <w:rPr>
          <w:lang w:val="en-GB"/>
        </w:rPr>
        <w:t>ha</w:t>
      </w:r>
      <w:r w:rsidR="00244E0B" w:rsidRPr="00DA249F">
        <w:rPr>
          <w:lang w:val="en-GB"/>
        </w:rPr>
        <w:t>zards</w:t>
      </w:r>
      <w:r w:rsidRPr="00DA249F">
        <w:rPr>
          <w:lang w:val="en-GB"/>
        </w:rPr>
        <w:t xml:space="preserve"> typically move small numbers of propagules and are </w:t>
      </w:r>
      <w:r w:rsidR="001139FF" w:rsidRPr="00DA249F">
        <w:rPr>
          <w:lang w:val="en-GB"/>
        </w:rPr>
        <w:t>dependent on</w:t>
      </w:r>
      <w:r w:rsidRPr="00DA249F">
        <w:rPr>
          <w:lang w:val="en-GB"/>
        </w:rPr>
        <w:t xml:space="preserve"> weather patterns and other environmental constraints</w:t>
      </w:r>
      <w:r w:rsidR="771406FB" w:rsidRPr="00DA249F">
        <w:rPr>
          <w:lang w:val="en-GB"/>
        </w:rPr>
        <w:t xml:space="preserve">. </w:t>
      </w:r>
      <w:r w:rsidR="00B862B9" w:rsidRPr="00DA249F">
        <w:rPr>
          <w:lang w:val="en-GB"/>
        </w:rPr>
        <w:t>This is i</w:t>
      </w:r>
      <w:r w:rsidRPr="00DA249F">
        <w:rPr>
          <w:lang w:val="en-GB"/>
        </w:rPr>
        <w:t>n contrast to modern human-assisted biological invasions in which enormous numbers of individual organisms and a broad diversity of species can be moved to virtually any region of the planet over short time scales</w:t>
      </w:r>
      <w:r w:rsidR="002621D9" w:rsidRPr="00DA249F">
        <w:rPr>
          <w:lang w:val="en-GB"/>
        </w:rPr>
        <w:t xml:space="preserve"> </w:t>
      </w:r>
      <w:r w:rsidR="00050854" w:rsidRPr="00DA249F">
        <w:rPr>
          <w:lang w:val="en-GB"/>
        </w:rPr>
        <w:fldChar w:fldCharType="begin"/>
      </w:r>
      <w:r w:rsidR="00331A79">
        <w:rPr>
          <w:lang w:val="en-GB"/>
        </w:rPr>
        <w:instrText xml:space="preserve"> ADDIN ZOTERO_ITEM CSL_CITATION {"citationID":"hPl3MQX8","properties":{"formattedCitation":"(Ricciardi, 2007)","plainCitation":"(Ricciardi, 2007)","noteIndex":0},"citationItems":[{"id":28730,"uris":["http://zotero.org/groups/2352922/items/X8VS2I7C"],"itemData":{"id":28730,"type":"article-journal","abstract":"The uniqueness of the current, global mass invasion by nonindigenous species has been challenged recently by researchers who argue that modern rates and consequences of nonindigenous species establishment are comparable to episodes in the geological past. Although there is a fossil record of species invasions occurring in waves after geographic barriers had been lifted, such episodic events differ markedly from human-assisted invasions in spatial and temporal scales and in the number and diversity of organisms involved in long-distance dispersal. Today, every region of the planet is simultaneously affected and modern rates of invasion are several orders of magnitude higher than prehistoric rates. In terms of its rate and geographical extent, its potential for synergistic disruption and the scope of its evolutionary consequences, the current mass invasion event is without precedent and should be regarded as a unique form of global change. Prehistoric examples of biotic interchanges are nonetheless instructive and can increase our understanding of species-area effects, evolutionary effects, biotic resistance to invasion, and the impacts of novel functional groups introduced to naïve biotas. Nevertheless, they provide only limited insight into the synergistic effects of invasions and other environmental stressors, the effect of frequent introductions of large numbers of propagules, and global homogenization, all of which characterize the current mass invasion event.","container-title":"Conservation Biology","DOI":"10.1111/j.1523-1739.2006.00615.x","ISSN":"0888-8892, 1523-1739","issue":"2","page":"329-336","source":"CrossRef","title":"Are Modern Biological Invasions an Unprecedented Form of Global Change?","URL":"http://doi.wiley.com/10.1111/j.1523-1739.2006.00615.x","volume":"21","author":[{"family":"Ricciardi","given":"Anthony"}],"accessed":{"date-parts":[["2013",12,7]]},"issued":{"date-parts":[["2007",4]]}},"label":"page"}],"schema":"https://github.com/citation-style-language/schema/raw/master/csl-citation.json"} </w:instrText>
      </w:r>
      <w:r w:rsidR="00050854" w:rsidRPr="00DA249F">
        <w:rPr>
          <w:lang w:val="en-GB"/>
        </w:rPr>
        <w:fldChar w:fldCharType="separate"/>
      </w:r>
      <w:r w:rsidR="00144D96" w:rsidRPr="00144D96">
        <w:t>(Ricciardi, 2007)</w:t>
      </w:r>
      <w:r w:rsidR="00050854" w:rsidRPr="00DA249F">
        <w:rPr>
          <w:lang w:val="en-GB"/>
        </w:rPr>
        <w:fldChar w:fldCharType="end"/>
      </w:r>
      <w:r w:rsidRPr="00DA249F">
        <w:rPr>
          <w:lang w:val="en-GB"/>
        </w:rPr>
        <w:t xml:space="preserve">. The spread of alien species often involves a combination of human-assisted and natural drivers, of which the latter may be dominant at small spatial scales </w:t>
      </w:r>
      <w:r w:rsidRPr="00DA249F">
        <w:rPr>
          <w:lang w:val="en-GB"/>
        </w:rPr>
        <w:fldChar w:fldCharType="begin"/>
      </w:r>
      <w:r w:rsidR="00331A79">
        <w:rPr>
          <w:lang w:val="en-GB"/>
        </w:rPr>
        <w:instrText xml:space="preserve"> ADDIN ZOTERO_ITEM CSL_CITATION {"citationID":"gxHlYflJ","properties":{"formattedCitation":"(Chan et al., 2019; Medley et al., 2015)","plainCitation":"(Chan et al., 2019; Medley et al., 2015)","noteIndex":0},"citationItems":[{"id":30386,"uris":["http://zotero.org/groups/2352922/items/H6K9RGSJ"],"itemData":{"id":30386,"type":"article-journal","abstract":"Abstract Climate change and increased anthropogenic activities are expected to elevate the potential of introducing nonindigenous species (NIS) into the Arctic. Yet, the knowledge base needed to identify gaps and priorities for NIS research and management is limited. Here, we reviewed primary introduction events to each ecoregion of the marine Arctic realm to identify temporal and spatial patterns, likely source regions of NIS, and the putative introduction pathways. We included 54 introduction events representing 34 unique NIS. The rate of NIS discovery ranged from zero to four species per year between 1960 and 2015. The Iceland Shelf had the greatest number of introduction events (n = 14), followed by the Barents Sea (n = 11), and the Norwegian Sea (n = 11). Sixteen of the 54 introduction records had no known origins. The majority of those with known source regions were attributed to the Northeast Atlantic and the Northwest Pacific, 19 and 14 records, respectively. Some introduction events were attributed to multiple possible pathways. For these introductions, vessels transferred the greatest number of aquatic NIS (39%) to the Arctic, followed by natural spread (30%) and aquaculture activities (25%). Similar trends were found for introductions attributed to a single pathway. The phyla Arthropoda and Ochrophyta had the highest number of recorded introduction events, with 19 and 12 records, respectively. Recommendations including vector management, horizon scanning, early detection, rapid response, and a pan-Arctic biodiversity inventory are considered in this paper. Our study provides a comprehensive record of primary introductions of NIS for marine environments in the circumpolar Arctic and identifies knowledge gaps and opportunities for NIS research and management. Ecosystems worldwide will face dramatic changes in the coming decades due to global change. Our findings contribute to the knowledge base needed to address two aspects of global change?invasive species and climate change.","container-title":"Global Change Biology","DOI":"10.1111/gcb.14469","issue":"1","page":"25-38","title":"Climate change opens new frontiers for marine species in the Arctic: Current trends and future invasion risks","URL":"https://doi.org/10.1111/gcb.14469","volume":"25","author":[{"family":"Chan","given":"F. T."},{"family":"Stanislawczyk","given":"Keara"},{"family":"Sneekes","given":"Anna C."},{"family":"Dvoretsky","given":"Alexander"},{"family":"Gollasch","given":"Stephen"},{"family":"Minchin","given":"Dan"},{"family":"David","given":"Matej"},{"family":"Jelmert","given":"Anders"},{"family":"Albretsen","given":"Jon"},{"family":"Bailey","given":"Sarah A."}],"issued":{"date-p</w:instrText>
      </w:r>
      <w:r w:rsidR="00331A79">
        <w:rPr>
          <w:rFonts w:hint="eastAsia"/>
          <w:lang w:val="en-GB"/>
        </w:rPr>
        <w:instrText>arts":[["2019"]]}},"label":"page"},{"id":16224,"uris":["http://zotero.org/groups/2352922/items/HPN9RNN3"],"itemData":{"id":16224,"type":"article-journal","abstract":"Human</w:instrText>
      </w:r>
      <w:r w:rsidR="00331A79">
        <w:rPr>
          <w:rFonts w:hint="eastAsia"/>
          <w:lang w:val="en-GB"/>
        </w:rPr>
        <w:instrText>‐</w:instrText>
      </w:r>
      <w:r w:rsidR="00331A79">
        <w:rPr>
          <w:rFonts w:hint="eastAsia"/>
          <w:lang w:val="en-GB"/>
        </w:rPr>
        <w:instrText>aided transport is responsible for many contemporary species introductions, yet the contribution of human</w:instrText>
      </w:r>
      <w:r w:rsidR="00331A79">
        <w:rPr>
          <w:rFonts w:hint="eastAsia"/>
          <w:lang w:val="en-GB"/>
        </w:rPr>
        <w:instrText>‐</w:instrText>
      </w:r>
      <w:r w:rsidR="00331A79">
        <w:rPr>
          <w:rFonts w:hint="eastAsia"/>
          <w:lang w:val="en-GB"/>
        </w:rPr>
        <w:instrText>aided transport to dispersal within non</w:instrText>
      </w:r>
      <w:r w:rsidR="00331A79">
        <w:rPr>
          <w:rFonts w:hint="eastAsia"/>
          <w:lang w:val="en-GB"/>
        </w:rPr>
        <w:instrText>‐</w:instrText>
      </w:r>
      <w:r w:rsidR="00331A79">
        <w:rPr>
          <w:rFonts w:hint="eastAsia"/>
          <w:lang w:val="en-GB"/>
        </w:rPr>
        <w:instrText>native regions is less clear. Understanding dispersal dynamics for invasive species can streamline mitigation efforts by targeting routes that contribute disproportionally to spread. Because of its limited natural dispersal ability, rapid spread of the Asian tiger mosquito (Aedes albopictus) has been attributed to human</w:instrText>
      </w:r>
      <w:r w:rsidR="00331A79">
        <w:rPr>
          <w:rFonts w:hint="eastAsia"/>
          <w:lang w:val="en-GB"/>
        </w:rPr>
        <w:instrText>‐</w:instrText>
      </w:r>
      <w:r w:rsidR="00331A79">
        <w:rPr>
          <w:rFonts w:hint="eastAsia"/>
          <w:lang w:val="en-GB"/>
        </w:rPr>
        <w:instrText>aided transport, but until now, the relative roles of human</w:instrText>
      </w:r>
      <w:r w:rsidR="00331A79">
        <w:rPr>
          <w:rFonts w:hint="eastAsia"/>
          <w:lang w:val="en-GB"/>
        </w:rPr>
        <w:instrText>‐</w:instrText>
      </w:r>
      <w:r w:rsidR="00331A79">
        <w:rPr>
          <w:rFonts w:hint="eastAsia"/>
          <w:lang w:val="en-GB"/>
        </w:rPr>
        <w:instrText>aided and natural movement have not been rigorously evaluated. Here, we use landscape genetics and information</w:instrText>
      </w:r>
      <w:r w:rsidR="00331A79">
        <w:rPr>
          <w:rFonts w:hint="eastAsia"/>
          <w:lang w:val="en-GB"/>
        </w:rPr>
        <w:instrText>‐</w:instrText>
      </w:r>
      <w:r w:rsidR="00331A79">
        <w:rPr>
          <w:rFonts w:hint="eastAsia"/>
          <w:lang w:val="en-GB"/>
        </w:rPr>
        <w:instrText>theoretic model selection to evaluate 52 models representing 9240 pairwise dispersal paths among sites across the US range for Ae. albopictus and show that recent gene flow reflects a combination of natural and human</w:instrText>
      </w:r>
      <w:r w:rsidR="00331A79">
        <w:rPr>
          <w:rFonts w:hint="eastAsia"/>
          <w:lang w:val="en-GB"/>
        </w:rPr>
        <w:instrText>‐</w:instrText>
      </w:r>
      <w:r w:rsidR="00331A79">
        <w:rPr>
          <w:rFonts w:hint="eastAsia"/>
          <w:lang w:val="en-GB"/>
        </w:rPr>
        <w:instrText>aided dispersal. Highways and water availability facilitate dispersal at a broad spatial scale, but gene flow is hindered by forests at the current distributional limit (range edge) and by agriculture among sites within the mosquito's native climatic niche (range core). Our results show that highways are important to genetic structure between range</w:instrText>
      </w:r>
      <w:r w:rsidR="00331A79">
        <w:rPr>
          <w:rFonts w:hint="eastAsia"/>
          <w:lang w:val="en-GB"/>
        </w:rPr>
        <w:instrText>‐</w:instrText>
      </w:r>
      <w:r w:rsidR="00331A79">
        <w:rPr>
          <w:rFonts w:hint="eastAsia"/>
          <w:lang w:val="en-GB"/>
        </w:rPr>
        <w:instrText>edge and range</w:instrText>
      </w:r>
      <w:r w:rsidR="00331A79">
        <w:rPr>
          <w:rFonts w:hint="eastAsia"/>
          <w:lang w:val="en-GB"/>
        </w:rPr>
        <w:instrText>‐</w:instrText>
      </w:r>
      <w:r w:rsidR="00331A79">
        <w:rPr>
          <w:rFonts w:hint="eastAsia"/>
          <w:lang w:val="en-GB"/>
        </w:rPr>
        <w:instrText>core pairs, suggesting a role for human</w:instrText>
      </w:r>
      <w:r w:rsidR="00331A79">
        <w:rPr>
          <w:rFonts w:hint="eastAsia"/>
          <w:lang w:val="en-GB"/>
        </w:rPr>
        <w:instrText>‐</w:instrText>
      </w:r>
      <w:r w:rsidR="00331A79">
        <w:rPr>
          <w:rFonts w:hint="eastAsia"/>
          <w:lang w:val="en-GB"/>
        </w:rPr>
        <w:instrText>aided mosquito transport to the range edge. In contrast, natural dispersal is dominant at smalle</w:instrText>
      </w:r>
      <w:r w:rsidR="00331A79">
        <w:rPr>
          <w:lang w:val="en-GB"/>
        </w:rPr>
        <w:instrText xml:space="preserve">r spatial scales, reflecting a shifting dominance to natural movement two decades after introduction. These conclusions highlight the importance of (i) early intervention for species introductions, particularly those with readily dispersed dormant stages and short generation times, and (ii) strict monitoring of commercial shipments for transported immature stages of Ae. albopictus, particularly towards the northern edge of the US range.","container-title":"Molecular Ecology","DOI":"10.1111/mec.12925","page":"284-295","title":"Human-aided and natural dispersal drive gene flow across the range of an invasive mosquito.","author":[{"family":"Medley","given":"Kim A"},{"family":"Jenkins","given":"David G"},{"family":"Hoffman","given":"Eric A"}],"issued":{"date-parts":[["2015"]]}},"label":"page"}],"schema":"https://github.com/citation-style-language/schema/raw/master/csl-citation.json"} </w:instrText>
      </w:r>
      <w:r w:rsidRPr="00DA249F">
        <w:rPr>
          <w:lang w:val="en-GB"/>
        </w:rPr>
        <w:fldChar w:fldCharType="separate"/>
      </w:r>
      <w:r w:rsidR="00144D96" w:rsidRPr="00144D96">
        <w:t>(Chan et al., 2019; Medley et al., 2015)</w:t>
      </w:r>
      <w:r w:rsidRPr="00DA249F">
        <w:rPr>
          <w:lang w:val="en-GB"/>
        </w:rPr>
        <w:fldChar w:fldCharType="end"/>
      </w:r>
      <w:r w:rsidRPr="00DA249F">
        <w:rPr>
          <w:lang w:val="en-GB"/>
        </w:rPr>
        <w:t xml:space="preserve">. </w:t>
      </w:r>
    </w:p>
    <w:p w14:paraId="79C5B9E4" w14:textId="77777777" w:rsidR="008B00BA" w:rsidRPr="00DA249F" w:rsidRDefault="264F4D60" w:rsidP="00375B42">
      <w:pPr>
        <w:pStyle w:val="Heading2"/>
        <w:rPr>
          <w:lang w:val="en-GB"/>
        </w:rPr>
      </w:pPr>
      <w:bookmarkStart w:id="217" w:name="_Toc146898475"/>
      <w:r w:rsidRPr="5575EBFC">
        <w:rPr>
          <w:lang w:val="en-GB"/>
        </w:rPr>
        <w:t>Biodiversity loss and ecosystem resilience</w:t>
      </w:r>
      <w:bookmarkEnd w:id="217"/>
    </w:p>
    <w:p w14:paraId="31795BB0" w14:textId="52792734" w:rsidR="008B00BA" w:rsidRPr="00DA249F" w:rsidRDefault="2FB050FB" w:rsidP="008B00BA">
      <w:pPr>
        <w:rPr>
          <w:lang w:val="en-GB"/>
        </w:rPr>
      </w:pPr>
      <w:r w:rsidRPr="00DA249F">
        <w:rPr>
          <w:lang w:val="en-GB"/>
        </w:rPr>
        <w:t>It is estimated that 25</w:t>
      </w:r>
      <w:r w:rsidR="40619346" w:rsidRPr="00DA249F">
        <w:rPr>
          <w:lang w:val="en-GB"/>
        </w:rPr>
        <w:t xml:space="preserve"> </w:t>
      </w:r>
      <w:r w:rsidR="6085BAA6" w:rsidRPr="00DA249F">
        <w:rPr>
          <w:lang w:val="en-GB"/>
        </w:rPr>
        <w:t>per cent</w:t>
      </w:r>
      <w:r w:rsidR="40619346" w:rsidRPr="00DA249F">
        <w:rPr>
          <w:lang w:val="en-GB"/>
        </w:rPr>
        <w:t xml:space="preserve"> </w:t>
      </w:r>
      <w:r w:rsidRPr="00DA249F">
        <w:rPr>
          <w:lang w:val="en-GB"/>
        </w:rPr>
        <w:t xml:space="preserve">of </w:t>
      </w:r>
      <w:r w:rsidR="27A5A4E2" w:rsidRPr="00DA249F">
        <w:rPr>
          <w:lang w:val="en-GB"/>
        </w:rPr>
        <w:t xml:space="preserve">all species globally </w:t>
      </w:r>
      <w:r w:rsidRPr="00DA249F">
        <w:rPr>
          <w:lang w:val="en-GB"/>
        </w:rPr>
        <w:t xml:space="preserve">are threatened by extinction and </w:t>
      </w:r>
      <w:r w:rsidR="27A5A4E2" w:rsidRPr="00DA249F">
        <w:rPr>
          <w:lang w:val="en-GB"/>
        </w:rPr>
        <w:t xml:space="preserve">that </w:t>
      </w:r>
      <w:r w:rsidRPr="00DA249F">
        <w:rPr>
          <w:lang w:val="en-GB"/>
        </w:rPr>
        <w:t xml:space="preserve">1 million species may become extinct in the following decades due to human interference, </w:t>
      </w:r>
      <w:r w:rsidR="27A5A4E2" w:rsidRPr="00DA249F">
        <w:rPr>
          <w:lang w:val="en-GB"/>
        </w:rPr>
        <w:t>especially</w:t>
      </w:r>
      <w:r w:rsidRPr="00DA249F">
        <w:rPr>
          <w:lang w:val="en-GB"/>
        </w:rPr>
        <w:t xml:space="preserve"> land- and sea-use change (</w:t>
      </w:r>
      <w:r w:rsidR="6E467D4B" w:rsidRPr="5575EBFC">
        <w:rPr>
          <w:b/>
          <w:bCs/>
          <w:lang w:val="en-GB"/>
        </w:rPr>
        <w:t xml:space="preserve">section </w:t>
      </w:r>
      <w:r w:rsidRPr="5575EBFC">
        <w:rPr>
          <w:b/>
          <w:bCs/>
          <w:lang w:val="en-GB"/>
        </w:rPr>
        <w:t>3.3.1</w:t>
      </w:r>
      <w:r w:rsidRPr="00DA249F">
        <w:rPr>
          <w:lang w:val="en-GB"/>
        </w:rPr>
        <w:t xml:space="preserve">) and </w:t>
      </w:r>
      <w:r w:rsidR="5D8CA8DB" w:rsidRPr="00DA249F">
        <w:rPr>
          <w:rStyle w:val="normaltextrun"/>
          <w:color w:val="000000" w:themeColor="text1"/>
          <w:lang w:val="en-GB"/>
        </w:rPr>
        <w:t>direct exploitation of natural resources</w:t>
      </w:r>
      <w:r w:rsidR="5D8CA8DB" w:rsidRPr="00DA249F">
        <w:rPr>
          <w:lang w:val="en-GB"/>
        </w:rPr>
        <w:t xml:space="preserve"> </w:t>
      </w:r>
      <w:r w:rsidRPr="00DA249F">
        <w:rPr>
          <w:lang w:val="en-GB"/>
        </w:rPr>
        <w:t>(</w:t>
      </w:r>
      <w:r w:rsidR="6E467D4B" w:rsidRPr="5575EBFC">
        <w:rPr>
          <w:b/>
          <w:bCs/>
          <w:lang w:val="en-GB"/>
        </w:rPr>
        <w:t xml:space="preserve">section </w:t>
      </w:r>
      <w:r w:rsidRPr="5575EBFC">
        <w:rPr>
          <w:b/>
          <w:bCs/>
          <w:lang w:val="en-GB"/>
        </w:rPr>
        <w:t>3.3.2</w:t>
      </w:r>
      <w:r w:rsidRPr="00DA249F">
        <w:rPr>
          <w:lang w:val="en-GB"/>
        </w:rPr>
        <w:t xml:space="preserve">) </w:t>
      </w:r>
      <w:r w:rsidR="000E646D" w:rsidRPr="00DA249F">
        <w:rPr>
          <w:lang w:val="en-GB"/>
        </w:rPr>
        <w:fldChar w:fldCharType="begin"/>
      </w:r>
      <w:r w:rsidR="00F5121E">
        <w:rPr>
          <w:lang w:val="en-GB"/>
        </w:rPr>
        <w:instrText xml:space="preserve"> ADDIN ZOTERO_ITEM CSL_CITATION {"citationID":"wE2UZcCr","properties":{"formattedCitation":"(IPBES, 2019)","plainCitation":"(IPBES, 2019)","noteIndex":0},"citationItems":[{"id":53933,"uris":["http://zotero.org/groups/2352922/items/JYFISR8Z","http://zotero.org/groups/2352922/items/ZACZGHZL"],"itemData":{"id":53933,"type":"report","abstract":"IPBES is to perform regular and timely assessments of knowledge on biodiversity and ecosystem services and their interlinkages at the global level. Also addressing an invitation by the Conference of the Parties of the Convention on Biological Diversity (CBD) to prepare a global assessment of biodiversity and ecosystem services building, inter alia, on its own and other relevant regional, subregional and thematic assessments, as well as on national reports. The overall scope of the assessment is to assess the status and trends with regard to biodiversity and ecosystem services, the impact of biodiversity and ecosystem services on human well-being and the effectiveness of responses, including the Strategic Plan and its Aichi Biodiversity Targets. It is anticipated that this deliverable will contribute to the process for the evaluation and renewal of the Strategic Plan for Biodiversity and its Aichi Biodiversity Targets. The IPBES Global Assessment on Biodiversity and Ecosystem Services is composed of 1) a Summary for Policymakers (SPM), approved by the IPBES Plenary at its 7th session in May 2019 in Paris, France (IPBES-7); and 2) a set of six Chapters, accepted by the IPBES Plenary.","language":"en","license":"Creative Commons Attribution 4.0 International, Open Access","note":"Version Number 1\nDOI: 10.5281/ZENODO.3831673","publisher":"Secretariat of the Intergovernmental Science-Policy Platform on Biodiversity and Ecosystem Services","source":"DOI.org (Datacite)","title":"Global assessment report on biodiversity and ecosystem services of the Intergovernmental Science-Policy Platform on Biodiversity and Ecosystem Services","URL":"https://zenodo.org/record/3831673","author":[{"literal":"IPBES"}],"contributor":[{"family":"Brondizio","given":"Eduardo"},{"family":"Diaz","given":"Sandra"},{"family":"Settele","given":"Josef"},{"family":"Ngo","given":"Hien T."}],"accessed":{"date-parts":[["2023",1,5]]},"issued":{"date-parts":[["2019"]]}},"label":"page"}],"schema":"https://github.com/citation-style-language/schema/raw/master/csl-citation.json"} </w:instrText>
      </w:r>
      <w:r w:rsidR="000E646D" w:rsidRPr="00DA249F">
        <w:rPr>
          <w:lang w:val="en-GB"/>
        </w:rPr>
        <w:fldChar w:fldCharType="separate"/>
      </w:r>
      <w:r w:rsidR="73B99EB6" w:rsidRPr="00144D96">
        <w:t>(IPBES, 2019)</w:t>
      </w:r>
      <w:r w:rsidR="000E646D" w:rsidRPr="00DA249F">
        <w:rPr>
          <w:lang w:val="en-GB"/>
        </w:rPr>
        <w:fldChar w:fldCharType="end"/>
      </w:r>
      <w:r w:rsidRPr="00DA249F">
        <w:rPr>
          <w:lang w:val="en-GB"/>
        </w:rPr>
        <w:t xml:space="preserve">. While this biodiversity loss has been the dependent variable in most previous IPBES assessments </w:t>
      </w:r>
      <w:r w:rsidR="00003709" w:rsidRPr="00DA249F">
        <w:rPr>
          <w:lang w:val="en-GB"/>
        </w:rPr>
        <w:fldChar w:fldCharType="begin"/>
      </w:r>
      <w:r w:rsidR="00F5121E">
        <w:rPr>
          <w:lang w:val="en-GB"/>
        </w:rPr>
        <w:instrText xml:space="preserve"> ADDIN ZOTERO_ITEM CSL_CITATION {"citationID":"wm5Pq8lt","properties":{"formattedCitation":"(IPBES, 2019)","plainCitation":"(IPBES, 2019)","noteIndex":0},"citationItems":[{"id":53933,"uris":["http://zotero.org/groups/2352922/items/JYFISR8Z","http://zotero.org/groups/2352922/items/ZACZGHZL"],"itemData":{"id":53933,"type":"report","abstract":"IPBES is to perform regular and timely assessments of knowledge on biodiversity and ecosystem services and their interlinkages at the global level. Also addressing an invitation by the Conference of the Parties of the Convention on Biological Diversity (CBD) to prepare a global assessment of biodiversity and ecosystem services building, inter alia, on its own and other relevant regional, subregional and thematic assessments, as well as on national reports. The overall scope of the assessment is to assess the status and trends with regard to biodiversity and ecosystem services, the impact of biodiversity and ecosystem services on human well-being and the effectiveness of responses, including the Strategic Plan and its Aichi Biodiversity Targets. It is anticipated that this deliverable will contribute to the process for the evaluation and renewal of the Strategic Plan for Biodiversity and its Aichi Biodiversity Targets. The IPBES Global Assessment on Biodiversity and Ecosystem Services is composed of 1) a Summary for Policymakers (SPM), approved by the IPBES Plenary at its 7th session in May 2019 in Paris, France (IPBES-7); and 2) a set of six Chapters, accepted by the IPBES Plenary.","language":"en","license":"Creative Commons Attribution 4.0 International, Open Access","note":"Version Number 1\nDOI: 10.5281/ZENODO.3831673","publisher":"Secretariat of the Intergovernmental Science-Policy Platform on Biodiversity and Ecosystem Services","source":"DOI.org (Datacite)","title":"Global assessment report on biodiversity and ecosystem services of the Intergovernmental Science-Policy Platform on Biodiversity and Ecosystem Services","URL":"https://zenodo.org/record/3831673","author":[{"literal":"IPBES"}],"contributor":[{"family":"Brondizio","given":"Eduardo"},{"family":"Diaz","given":"Sandra"},{"family":"Settele","given":"Josef"},{"family":"Ngo","given":"Hien T."}],"accessed":{"date-parts":[["2023",1,5]]},"issued":{"date-parts":[["2019"]]}},"label":"page"}],"schema":"https://github.com/citation-style-language/schema/raw/master/csl-citation.json"} </w:instrText>
      </w:r>
      <w:r w:rsidR="00003709" w:rsidRPr="00DA249F">
        <w:rPr>
          <w:lang w:val="en-GB"/>
        </w:rPr>
        <w:fldChar w:fldCharType="separate"/>
      </w:r>
      <w:r w:rsidR="73B99EB6" w:rsidRPr="00144D96">
        <w:t>(IPBES, 2019)</w:t>
      </w:r>
      <w:r w:rsidR="00003709" w:rsidRPr="00DA249F">
        <w:rPr>
          <w:lang w:val="en-GB"/>
        </w:rPr>
        <w:fldChar w:fldCharType="end"/>
      </w:r>
      <w:r w:rsidRPr="00DA249F">
        <w:rPr>
          <w:lang w:val="en-GB"/>
        </w:rPr>
        <w:t xml:space="preserve">, for invasive alien species it can also be seen as a driver </w:t>
      </w:r>
      <w:r w:rsidR="1B279731" w:rsidRPr="728F2DAF">
        <w:rPr>
          <w:lang w:val="en-GB"/>
        </w:rPr>
        <w:t>that may</w:t>
      </w:r>
      <w:r w:rsidR="00F26E2B">
        <w:rPr>
          <w:lang w:val="en-GB"/>
        </w:rPr>
        <w:t xml:space="preserve"> </w:t>
      </w:r>
      <w:r w:rsidR="1B279731" w:rsidRPr="728F2DAF">
        <w:rPr>
          <w:lang w:val="en-GB"/>
        </w:rPr>
        <w:t xml:space="preserve">facilitate biological invasions </w:t>
      </w:r>
      <w:r w:rsidRPr="00DA249F">
        <w:rPr>
          <w:lang w:val="en-GB"/>
        </w:rPr>
        <w:t xml:space="preserve">since reduced taxonomic or functional diversity of native ecosystems may reduce their biotic resistance and thereby facilitate </w:t>
      </w:r>
      <w:r w:rsidR="5523E890" w:rsidRPr="728F2DAF">
        <w:rPr>
          <w:lang w:val="en-GB"/>
        </w:rPr>
        <w:t xml:space="preserve">the establishment and spread of </w:t>
      </w:r>
      <w:r w:rsidR="72867F94" w:rsidRPr="728F2DAF">
        <w:rPr>
          <w:lang w:val="en-GB"/>
        </w:rPr>
        <w:t>invasive alien species</w:t>
      </w:r>
      <w:r w:rsidR="4895FAA2" w:rsidRPr="728F2DAF">
        <w:rPr>
          <w:lang w:val="en-GB"/>
        </w:rPr>
        <w:t xml:space="preserve"> </w:t>
      </w:r>
      <w:r w:rsidR="008B00BA" w:rsidRPr="00DA249F">
        <w:rPr>
          <w:lang w:val="en-GB"/>
        </w:rPr>
        <w:fldChar w:fldCharType="begin"/>
      </w:r>
      <w:r w:rsidR="00331A79">
        <w:rPr>
          <w:lang w:val="en-GB"/>
        </w:rPr>
        <w:instrText xml:space="preserve"> ADDIN ZOTERO_ITEM CSL_CITATION {"citationID":"Cz47hpn0","properties":{"formattedCitation":"(Levine et al., 2004)","plainCitation":"(Levine et al., 2004)","dontUpdate":true,"noteIndex":0},"citationItems":[{"id":29782,"uris":["http://zotero.org/groups/2352922/items/82GNEUD9"],"itemData":{"id":29782,"type":"article-journal","abstract":"Biotic resistance describes the ability of resident species in a community to reduce the success of exotic invasions. Although resistance is a well-accepted phenomenon, less clear are the processes that contribute most to it, and whether those processes are strong enough to completely repel invaders. Current perceptions of strong, competition-driven biotic resistance stem from classic ecological theory, Elton's formulation of ecological resistance, and the general acceptance of the enemies-release hypothesis. We conducted a meta-analysis of the plant invasions literature to quantify the contribution of resident competitors, diversity, herbivores and soil fungal communities to biotic resistance. Results indicated large negative effects of all factors except fungal communities on invader establishment and performance. Contrary to predictions derived from the natural enemies hypothesis, resident herbivores reduced invasion success as effectively as resident competitors. Although biotic resistance significantly reduced the establishment of individual invaders, we found little evidence that species interactions completely repelled invasions. We conclude that ecological interactions rarely enable communities to resist invasion, but instead constrain the abundance of invasive species once they have successfully established.","container-title":"Ecology Letters","DOI":"10.1111/j.1461-0248.2004.00657.x","ISSN":"1461-0248","issue":"10","language":"en","note":"_eprint: https://onlinelibrary.wiley.com/doi/pdf/10.1111/j.1461-0248.2004.00657.x","page":"975-989","source":"Wiley Online Library","title":"A meta-analysis of biotic resistance to exotic plant invasions","URL":"https://onlinelibrary.wiley.com/doi/abs/10.1111/j.1461-0248.2004.00657.x","volume":"7","author":[{"family":"Levine","given":"Jonathan M."},{"family":"Adler","given":"Peter B."},{"family":"Yelenik","given":"Stephanie G."}],"accessed":{"date-parts":[["2021",7,15]]},"issued":{"date-parts":[["2004"]]}},"label":"page"}],"schema":"https://github.com/citation-style-language/schema/raw/master/csl-citation.json"} </w:instrText>
      </w:r>
      <w:r w:rsidR="008B00BA" w:rsidRPr="00DA249F">
        <w:rPr>
          <w:lang w:val="en-GB"/>
        </w:rPr>
        <w:fldChar w:fldCharType="separate"/>
      </w:r>
      <w:r w:rsidR="0635793D" w:rsidRPr="00DA249F">
        <w:rPr>
          <w:lang w:val="en-GB"/>
        </w:rPr>
        <w:t>(Levine et al., 2004</w:t>
      </w:r>
      <w:r w:rsidR="008B00BA" w:rsidRPr="00DA249F">
        <w:rPr>
          <w:lang w:val="en-GB"/>
        </w:rPr>
        <w:fldChar w:fldCharType="end"/>
      </w:r>
      <w:r w:rsidRPr="00DA249F">
        <w:rPr>
          <w:lang w:val="en-GB"/>
        </w:rPr>
        <w:t>;</w:t>
      </w:r>
      <w:r w:rsidR="6E467D4B" w:rsidRPr="00DA249F">
        <w:rPr>
          <w:lang w:val="en-GB"/>
        </w:rPr>
        <w:t xml:space="preserve"> </w:t>
      </w:r>
      <w:r w:rsidR="00DC2990">
        <w:rPr>
          <w:b/>
          <w:bCs/>
          <w:lang w:val="en-GB"/>
        </w:rPr>
        <w:t>Figure</w:t>
      </w:r>
      <w:r w:rsidR="003000E0">
        <w:rPr>
          <w:b/>
          <w:bCs/>
          <w:lang w:val="en-GB"/>
        </w:rPr>
        <w:t>s</w:t>
      </w:r>
      <w:r w:rsidR="014BA099" w:rsidRPr="00FC1BA2">
        <w:rPr>
          <w:b/>
          <w:bCs/>
          <w:lang w:val="en-GB"/>
        </w:rPr>
        <w:t xml:space="preserve"> 3.3</w:t>
      </w:r>
      <w:r w:rsidR="003000E0">
        <w:rPr>
          <w:b/>
          <w:bCs/>
          <w:lang w:val="en-GB"/>
        </w:rPr>
        <w:t xml:space="preserve"> </w:t>
      </w:r>
      <w:r w:rsidR="003000E0" w:rsidRPr="00FC1BA2">
        <w:rPr>
          <w:lang w:val="en-GB"/>
        </w:rPr>
        <w:t>and</w:t>
      </w:r>
      <w:r w:rsidR="014BA099" w:rsidRPr="00FC1BA2">
        <w:rPr>
          <w:b/>
          <w:bCs/>
          <w:lang w:val="en-GB"/>
        </w:rPr>
        <w:t xml:space="preserve"> </w:t>
      </w:r>
      <w:r w:rsidR="7BC700F6" w:rsidRPr="5575EBFC">
        <w:rPr>
          <w:b/>
          <w:bCs/>
          <w:lang w:val="en-GB"/>
        </w:rPr>
        <w:t>3.24</w:t>
      </w:r>
      <w:r w:rsidR="6E467D4B" w:rsidRPr="00DA249F">
        <w:rPr>
          <w:lang w:val="en-GB"/>
        </w:rPr>
        <w:t>)</w:t>
      </w:r>
      <w:r w:rsidRPr="00DA249F">
        <w:rPr>
          <w:lang w:val="en-GB"/>
        </w:rPr>
        <w:t xml:space="preserve">. A wide range of biotic interactions may confer resistance to </w:t>
      </w:r>
      <w:r w:rsidR="1C5BE135" w:rsidRPr="00DA249F">
        <w:rPr>
          <w:lang w:val="en-GB"/>
        </w:rPr>
        <w:t xml:space="preserve">biological </w:t>
      </w:r>
      <w:r w:rsidRPr="00DA249F">
        <w:rPr>
          <w:lang w:val="en-GB"/>
        </w:rPr>
        <w:t xml:space="preserve">invasions in native communities, </w:t>
      </w:r>
      <w:r w:rsidRPr="00DA249F">
        <w:rPr>
          <w:shd w:val="clear" w:color="auto" w:fill="FFFFFF"/>
          <w:lang w:val="en-GB"/>
        </w:rPr>
        <w:t>including competition, predation, herbivory and disease</w:t>
      </w:r>
      <w:r w:rsidRPr="00DA249F">
        <w:rPr>
          <w:lang w:val="en-GB"/>
        </w:rPr>
        <w:t>, and all of these may be involved in constraining the introduction, establishment</w:t>
      </w:r>
      <w:r w:rsidR="00774819">
        <w:rPr>
          <w:lang w:val="en-GB"/>
        </w:rPr>
        <w:t xml:space="preserve"> and</w:t>
      </w:r>
      <w:r w:rsidRPr="00DA249F">
        <w:rPr>
          <w:lang w:val="en-GB"/>
        </w:rPr>
        <w:t xml:space="preserve"> spread of invasive alien species </w:t>
      </w:r>
      <w:r w:rsidR="008B00BA" w:rsidRPr="00DA249F">
        <w:rPr>
          <w:lang w:val="en-GB"/>
        </w:rPr>
        <w:fldChar w:fldCharType="begin"/>
      </w:r>
      <w:r w:rsidR="00331A79">
        <w:rPr>
          <w:lang w:val="en-GB"/>
        </w:rPr>
        <w:instrText xml:space="preserve"> ADDIN ZOTERO_ITEM CSL_CITATION {"citationID":"vtF1MHAj","properties":{"formattedCitation":"(Alofs &amp; Jackson, 2014; Elton, 1958; Levine et al., 2004)","plainCitation":"(Alofs &amp; Jackson, 2014; Elton, 1958; Levine et al., 2004)","noteIndex":0},"citationItems":[{"id":26649,"uris":["http://zotero.org/groups/2352922/items/STR5JZFN"],"itemData":{"id":26649,"type":"article-journal","abstract":"Native communities are thought to mediate the establishment and performance of\ninvasive species through competitive and consumptive interactions, a concept referred to as\n‘biotic resistance’. We investigated the generality of this concept across ecosystems. Despite the\nconspicuousness of freshwater invasions, investigations of biotic resistance have focused mostly\non terrestrial and, more recently, marine coastal communities. We collected in-situ studies which\ntested the impacts of native freshwater communities on invading primary producers and\nconsumers. Meta-analysis demonstrated that evidence of competitive biotic resistance in\nfreshwater habitats was not as strong as that in marine and terrestrial ecosystems. In freshwater\necosystems consumptive resistance was significantly stronger than competitive resistance and\n consumptive resistance appeared to be as strong in freshwater as in marine and terrestrial\nsystems. The limited number of studies considering freshwater biotic resistance hindered our\nability to understand the importance of factors including latitude, experimental duration, and method. However, the strength of biotic resistance varied among freshwater habitats;\nspecifically, biotic resistance was strongest in lentic environments. Our analysis identifies\nmechanisms underlying biotic resistance in freshwater ecosystems which warrant further\n investigation given the potential ongoing and future impacts of invasive species in these systems.","container-title":"Ecology","DOI":"10.1890/14-0060.1","issue":"12","page":"3259-3270","title":"Meta-analysis suggests biotic resistance in freshwater environments is driven by consumption rather than competition","volume":"95","author":[{"family":"Alofs","given":"Karen M"},{"family":"Jackson","given":"Donald A"}],"issued":{"date-parts":[["2014",12]]}},"label":"page"},{"id":30197,"uris":["http://zotero.org/groups/2352922/items/PB94IRS2"],"itemData":{"id":30197,"type":"book","abstract":"Much as Rachel Carson's Silent Spring was a call to action against the pesticides that were devastating bird populations, Charles S. Elton's classic The Ecology of Invasions by Animals and Plants sounded an early warning about an environmental catastrophe that has become all too familiar today—the invasion of nonnative species. From kudzu to zebra mussels to Asian long-horned beetles, nonnative species are colonizing new habitats around the world at an alarming rate thanks to accidental and intentional human intervention. One of the leading causes of extinctions of native animals and plants, invasive species also wreak severe economic havoc, causing $79 billion worth of damage in the United States alone.  Elton explains the devastating effects that invasive species can have on local ecosystems in clear, concise language and with numerous examples. The first book on invasion biology, and still the most cited, Elton's masterpiece provides an accessible, engaging introduction to one of the most important environmental crises of our time.  Charles S. Elton was one of the founders of ecology, who also established and led Oxford University's Bureau of Animal Population. His work has influenced generations of ecologists and zoologists, and his publications remain central to the literature in modern biology.  \"History has caught up with Charles Elton's foresight, and The Ecology of Invasions can now be seen as one of the central scientific books of our century.\"—David Quammen, from the Foreword to Killer Algae: The True Tale of a Biological Invasion","ISBN":"978-0-226-20638-7","language":"en","note":"Google-Books-ID: 4DBDiFeavyUC","number-of-pages":"226","publisher":"University of Chicago Press","source":"Google Books","title":"The Ecology of Invasions by Animals and Plants","URL":"http://link.springer.com/10.1007/978-1-4899-7214-9","author":[{"family":"Elton","given":"Charles S."}],"issued":{"date-parts":[["1958"]]}},"label":"page"},{"id":29782,"uris":["http://zotero.org/groups/2352922/items/82GNEUD9"],"itemData":{"id":29782,"type":"article-journal","abstract":"Biotic resistance describes the ability of resident species in a community to reduce the success of exotic invasions. Although resistance is a well-accepted phenomenon, less clear are the processes that contribute most to it, and whether those processes are strong enough to completely repel invaders. Current perceptions of strong, competition-driven biotic resistance stem from classic ecological theory, Elton's formulation of ecological resistance, and the general acceptance of the enemies-release hypothesis. We conducted a meta-analysis of the plant invasions literature to quantify the contribution of resident competitors, diversity, herbivores and soil fungal communities to biotic resistance. Results indicated large negative effects of all factors except fungal communities on invader establishment and performance. Contrary to predictions derived from the natural enemies hypothesis, resident herbivores reduced invasion success as effectively as resident competitors. Although biotic resistance significantly reduced the establishment of individual invaders, we found little evidence that species interactions completely repelled invasions. We conclude that ecological interactions rarely enable communities to resist invasion, but instead constrain the abundance of invasive species once they have successfully established.","container-title":"Ecology Letters","DOI":"10.1111/j.1461-0248.2004.00657.x","ISSN":"1461-0248","issue":"10","language":"en","note":"_eprint: https://onlinelibrary.wiley.com/doi/pdf/10.1111/j.1461-0248.2004.00657.x","page":"975-989","source":"Wiley Online Library","title":"A meta-analysis of biotic resistance to exotic plant invasions","URL":"https://onlinelibrary.wiley.com/doi/abs/10.1111/j.1461-0248.2004.00657.x","volume":"7","author":[{"family":"Levine","given":"Jonathan M."},{"family":"Adler","given":"Peter B."},{"family":"Yelenik","given":"Stephanie G."}],"accessed":{"date-parts":[["2021",7,15]]},"issued":{"date-parts":[["2004"]]}}}],"schema":"https://github.com/citation-style-language/schema/raw/master/csl-citation.json"} </w:instrText>
      </w:r>
      <w:r w:rsidR="008B00BA" w:rsidRPr="00DA249F">
        <w:rPr>
          <w:lang w:val="en-GB"/>
        </w:rPr>
        <w:fldChar w:fldCharType="separate"/>
      </w:r>
      <w:r w:rsidR="73B99EB6" w:rsidRPr="00144D96">
        <w:t>(Alofs &amp; Jackson, 2014; Elton, 1958; Levine et al., 2004)</w:t>
      </w:r>
      <w:r w:rsidR="008B00BA" w:rsidRPr="00DA249F">
        <w:rPr>
          <w:lang w:val="en-GB"/>
        </w:rPr>
        <w:fldChar w:fldCharType="end"/>
      </w:r>
      <w:r w:rsidRPr="00DA249F">
        <w:rPr>
          <w:lang w:val="en-GB"/>
        </w:rPr>
        <w:t xml:space="preserve">. </w:t>
      </w:r>
    </w:p>
    <w:p w14:paraId="17BF2C28" w14:textId="77777777" w:rsidR="008B00BA" w:rsidRPr="00DA249F" w:rsidRDefault="00630DAB" w:rsidP="008B00BA">
      <w:pPr>
        <w:rPr>
          <w:lang w:val="en-GB"/>
        </w:rPr>
      </w:pPr>
      <w:r w:rsidRPr="00630DAB">
        <w:rPr>
          <w:noProof/>
          <w:lang w:val="en-GB"/>
        </w:rPr>
        <w:lastRenderedPageBreak/>
        <w:drawing>
          <wp:inline distT="0" distB="0" distL="0" distR="0" wp14:anchorId="120ACCE3" wp14:editId="26DE0FA5">
            <wp:extent cx="6115050" cy="2303780"/>
            <wp:effectExtent l="0" t="0" r="6350" b="0"/>
            <wp:docPr id="61" name="Picture 61" descr="A diagram of a 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Picture 61" descr="A diagram of a diagram&#10;&#10;Description automatically generated with medium confidence"/>
                    <pic:cNvPicPr/>
                  </pic:nvPicPr>
                  <pic:blipFill>
                    <a:blip r:embed="rId44"/>
                    <a:stretch>
                      <a:fillRect/>
                    </a:stretch>
                  </pic:blipFill>
                  <pic:spPr>
                    <a:xfrm>
                      <a:off x="0" y="0"/>
                      <a:ext cx="6115050" cy="2303780"/>
                    </a:xfrm>
                    <a:prstGeom prst="rect">
                      <a:avLst/>
                    </a:prstGeom>
                    <a:ln>
                      <a:noFill/>
                    </a:ln>
                  </pic:spPr>
                </pic:pic>
              </a:graphicData>
            </a:graphic>
          </wp:inline>
        </w:drawing>
      </w:r>
    </w:p>
    <w:p w14:paraId="1C0DBD5F" w14:textId="34F0D826" w:rsidR="008B00BA" w:rsidRPr="00DA249F" w:rsidRDefault="264F4D60" w:rsidP="0074196D">
      <w:pPr>
        <w:pStyle w:val="Caption"/>
        <w:rPr>
          <w:lang w:val="en-GB"/>
        </w:rPr>
      </w:pPr>
      <w:bookmarkStart w:id="218" w:name="_Ref124950265"/>
      <w:bookmarkStart w:id="219" w:name="_Toc147500909"/>
      <w:r w:rsidRPr="5575EBFC">
        <w:rPr>
          <w:lang w:val="en-GB"/>
        </w:rPr>
        <w:t>Figure 3.</w:t>
      </w:r>
      <w:r w:rsidR="008B00BA" w:rsidRPr="5575EBFC">
        <w:rPr>
          <w:lang w:val="en-GB"/>
        </w:rPr>
        <w:fldChar w:fldCharType="begin"/>
      </w:r>
      <w:r w:rsidR="008B00BA" w:rsidRPr="5575EBFC">
        <w:rPr>
          <w:lang w:val="en-GB"/>
        </w:rPr>
        <w:instrText xml:space="preserve"> SEQ Figure_3. \* ARABIC </w:instrText>
      </w:r>
      <w:r w:rsidR="008B00BA" w:rsidRPr="5575EBFC">
        <w:rPr>
          <w:lang w:val="en-GB"/>
        </w:rPr>
        <w:fldChar w:fldCharType="separate"/>
      </w:r>
      <w:r w:rsidR="00287BC7">
        <w:rPr>
          <w:noProof/>
          <w:lang w:val="en-GB"/>
        </w:rPr>
        <w:t>24</w:t>
      </w:r>
      <w:r w:rsidR="008B00BA" w:rsidRPr="5575EBFC">
        <w:rPr>
          <w:lang w:val="en-GB"/>
        </w:rPr>
        <w:fldChar w:fldCharType="end"/>
      </w:r>
      <w:bookmarkEnd w:id="218"/>
      <w:r w:rsidR="18E6F836" w:rsidRPr="5575EBFC">
        <w:rPr>
          <w:lang w:val="en-GB"/>
        </w:rPr>
        <w:t>.</w:t>
      </w:r>
      <w:r w:rsidRPr="5575EBFC">
        <w:rPr>
          <w:lang w:val="en-GB"/>
        </w:rPr>
        <w:t xml:space="preserve"> </w:t>
      </w:r>
      <w:r w:rsidRPr="5575EBFC">
        <w:rPr>
          <w:b w:val="0"/>
          <w:bCs w:val="0"/>
          <w:lang w:val="en-GB"/>
        </w:rPr>
        <w:t xml:space="preserve">Examples of </w:t>
      </w:r>
      <w:r w:rsidR="5AE24373" w:rsidRPr="5575EBFC">
        <w:rPr>
          <w:b w:val="0"/>
          <w:bCs w:val="0"/>
          <w:lang w:val="en-GB"/>
        </w:rPr>
        <w:t>the role of</w:t>
      </w:r>
      <w:r w:rsidRPr="5575EBFC">
        <w:rPr>
          <w:b w:val="0"/>
          <w:bCs w:val="0"/>
          <w:lang w:val="en-GB"/>
        </w:rPr>
        <w:t xml:space="preserve"> biodiversity loss </w:t>
      </w:r>
      <w:r w:rsidR="5AE24373" w:rsidRPr="5575EBFC">
        <w:rPr>
          <w:b w:val="0"/>
          <w:bCs w:val="0"/>
          <w:lang w:val="en-GB"/>
        </w:rPr>
        <w:t>in</w:t>
      </w:r>
      <w:r w:rsidRPr="5575EBFC">
        <w:rPr>
          <w:b w:val="0"/>
          <w:bCs w:val="0"/>
          <w:lang w:val="en-GB"/>
        </w:rPr>
        <w:t xml:space="preserve"> facilitat</w:t>
      </w:r>
      <w:r w:rsidR="5AE24373" w:rsidRPr="5575EBFC">
        <w:rPr>
          <w:b w:val="0"/>
          <w:bCs w:val="0"/>
          <w:lang w:val="en-GB"/>
        </w:rPr>
        <w:t>ing</w:t>
      </w:r>
      <w:r w:rsidRPr="5575EBFC">
        <w:rPr>
          <w:b w:val="0"/>
          <w:bCs w:val="0"/>
          <w:lang w:val="en-GB"/>
        </w:rPr>
        <w:t xml:space="preserve"> </w:t>
      </w:r>
      <w:r w:rsidR="54EE5557" w:rsidRPr="5575EBFC">
        <w:rPr>
          <w:b w:val="0"/>
          <w:bCs w:val="0"/>
          <w:lang w:val="en-GB"/>
        </w:rPr>
        <w:t xml:space="preserve">invasive alien species across stages of the biological invasion process. </w:t>
      </w:r>
      <w:r w:rsidR="189AF370" w:rsidRPr="5575EBFC">
        <w:rPr>
          <w:b w:val="0"/>
          <w:bCs w:val="0"/>
          <w:lang w:val="en-GB"/>
        </w:rPr>
        <w:t>B</w:t>
      </w:r>
      <w:r w:rsidRPr="5575EBFC">
        <w:rPr>
          <w:b w:val="0"/>
          <w:bCs w:val="0"/>
          <w:lang w:val="en-GB"/>
        </w:rPr>
        <w:t>iodiversity loss can facilitate biological invasions</w:t>
      </w:r>
      <w:r w:rsidR="189AF370" w:rsidRPr="5575EBFC">
        <w:rPr>
          <w:b w:val="0"/>
          <w:bCs w:val="0"/>
          <w:lang w:val="en-GB"/>
        </w:rPr>
        <w:t xml:space="preserve"> by reducing ecosystem resistance</w:t>
      </w:r>
      <w:r w:rsidRPr="5575EBFC">
        <w:rPr>
          <w:b w:val="0"/>
          <w:bCs w:val="0"/>
          <w:lang w:val="en-GB"/>
        </w:rPr>
        <w:t xml:space="preserve"> to invasion</w:t>
      </w:r>
      <w:r w:rsidR="555E6D8C" w:rsidRPr="5575EBFC">
        <w:rPr>
          <w:b w:val="0"/>
          <w:bCs w:val="0"/>
          <w:lang w:val="en-GB"/>
        </w:rPr>
        <w:t xml:space="preserve">, which may facilitate the introduction, establishment and spread </w:t>
      </w:r>
      <w:r w:rsidR="7B628784" w:rsidRPr="5575EBFC">
        <w:rPr>
          <w:b w:val="0"/>
          <w:bCs w:val="0"/>
          <w:lang w:val="en-GB"/>
        </w:rPr>
        <w:t>of</w:t>
      </w:r>
      <w:r w:rsidR="555E6D8C" w:rsidRPr="5575EBFC">
        <w:rPr>
          <w:b w:val="0"/>
          <w:bCs w:val="0"/>
          <w:lang w:val="en-GB"/>
        </w:rPr>
        <w:t xml:space="preserve"> inv</w:t>
      </w:r>
      <w:r w:rsidR="7B628784" w:rsidRPr="5575EBFC">
        <w:rPr>
          <w:b w:val="0"/>
          <w:bCs w:val="0"/>
          <w:lang w:val="en-GB"/>
        </w:rPr>
        <w:t>a</w:t>
      </w:r>
      <w:r w:rsidR="555E6D8C" w:rsidRPr="5575EBFC">
        <w:rPr>
          <w:b w:val="0"/>
          <w:bCs w:val="0"/>
          <w:lang w:val="en-GB"/>
        </w:rPr>
        <w:t>sive alien species</w:t>
      </w:r>
      <w:r w:rsidRPr="5575EBFC">
        <w:rPr>
          <w:b w:val="0"/>
          <w:bCs w:val="0"/>
          <w:lang w:val="en-GB"/>
        </w:rPr>
        <w:t>.</w:t>
      </w:r>
      <w:bookmarkEnd w:id="219"/>
    </w:p>
    <w:p w14:paraId="562699E3" w14:textId="5DB0D309" w:rsidR="008B00BA" w:rsidRPr="004D4360" w:rsidRDefault="2F508D0E" w:rsidP="008B00BA">
      <w:pPr>
        <w:rPr>
          <w:lang w:val="en-GB"/>
        </w:rPr>
      </w:pPr>
      <w:r w:rsidRPr="5575EBFC">
        <w:rPr>
          <w:lang w:val="en-GB"/>
        </w:rPr>
        <w:t>S</w:t>
      </w:r>
      <w:r w:rsidR="264F4D60" w:rsidRPr="5575EBFC">
        <w:rPr>
          <w:lang w:val="en-GB"/>
        </w:rPr>
        <w:t xml:space="preserve">tudies from terrestrial systems show that the presence and diversity of native vegetation, along with phylogenetic distance between the </w:t>
      </w:r>
      <w:r w:rsidRPr="5575EBFC">
        <w:rPr>
          <w:lang w:val="en-GB"/>
        </w:rPr>
        <w:t xml:space="preserve">invasive alien species </w:t>
      </w:r>
      <w:r w:rsidR="264F4D60" w:rsidRPr="5575EBFC">
        <w:rPr>
          <w:lang w:val="en-GB"/>
        </w:rPr>
        <w:t xml:space="preserve">and resident community, can constrain plant invasions, implicating different modes of plant-plant competition for space as a powerful mechanism underlying biotic resistance to </w:t>
      </w:r>
      <w:r w:rsidR="2F6A97CC" w:rsidRPr="5575EBFC">
        <w:rPr>
          <w:lang w:val="en-GB"/>
        </w:rPr>
        <w:t>invasive alien species</w:t>
      </w:r>
      <w:r w:rsidR="264F4D60" w:rsidRPr="5575EBFC">
        <w:rPr>
          <w:lang w:val="en-GB"/>
        </w:rPr>
        <w:t>. For example,</w:t>
      </w:r>
      <w:r w:rsidR="2552B0D4" w:rsidRPr="5575EBFC">
        <w:rPr>
          <w:lang w:val="en-GB"/>
        </w:rPr>
        <w:t xml:space="preserve"> Byun et al.</w:t>
      </w:r>
      <w:r w:rsidR="264F4D60" w:rsidRPr="5575EBFC">
        <w:rPr>
          <w:lang w:val="en-GB"/>
        </w:rPr>
        <w:t xml:space="preserve"> </w:t>
      </w:r>
      <w:r w:rsidR="00BF5495" w:rsidRPr="5575EBFC">
        <w:rPr>
          <w:lang w:val="en-GB"/>
        </w:rPr>
        <w:fldChar w:fldCharType="begin"/>
      </w:r>
      <w:r w:rsidR="00331A79">
        <w:rPr>
          <w:lang w:val="en-GB"/>
        </w:rPr>
        <w:instrText xml:space="preserve"> ADDIN ZOTERO_ITEM CSL_CITATION {"citationID":"eQH6TJOj","properties":{"formattedCitation":"(2015)","plainCitation":"(2015)","noteIndex":0},"citationItems":[{"id":30498,"uris":["http://zotero.org/groups/2352922/items/SR3HPZ7R"],"itemData":{"id":30498,"type":"article-journal","abstract":"With multiple species introductions and rapid global changes, there is a need for comprehensive invasion models that can predict community responses. Evidence suggests that abiotic constraint, propagule pressure, and biotic resistance of resident species each determine plant invasion success, yet their interactions are rarely tested. To understand these interactions, we conducted community assembly experiments simulating situations in which seeds of the invasive grass species Phragmites australis (Poaceae) land on bare soil along with seeds of resident wetland plant species. We used structural equation models to measure both direct abiotic constraint (here moist vs. flooded conditions) on invasion success and indirect constraint on the abundance and, therefore, biotic resistance of resident plant species. We also evaluated how propagule supply of P. australis interacts with the biotic resistance of resident species during invasion. We observed that flooding always directly reduced invasion success but had a synergistic or antagonistic effect on biotic resistance depending on the resident species involved. Biotic resistance of the most diverse resident species mixture remained strong even when abiotic conditions changed. Biotic resistance was also extremely effective under low propagule pressure of the invader. Moreover, the presence of a dense resident plant cover appeared to lower the threshold at which invasion success became stable even when propagule supply increased. Our study not only provides an analytical framework to quantify the effect of multiple interactions relevant to community assembly and species invasion, but it also proposes guidelines for innovative invasion management strategies based on a sound understanding of ecological processes.","container-title":"Oecologia","DOI":"10.1007/s00442-014-3188-z","ISSN":"1432-1939","issue":"1","journalAbbreviation":"Oecologia","language":"eng","note":"PMID: 25543850","page":"285-296","source":"PubMed","title":"Interactions between abiotic constraint, propagule pressure, and biotic resistance regulate plant invasion","volume":"178","author":[{"family":"Byun","given":"Chaeho"},{"family":"Blois","given":"Sylvie","non-dropping-particle":"de"},{"family":"Brisson","given":"Jacques"}],"issued":{"date-parts":[["2015",5]]}},"label":"page","suppress-author":true}],"schema":"https://github.com/citation-style-language/schema/raw/master/csl-citation.json"} </w:instrText>
      </w:r>
      <w:r w:rsidR="00BF5495" w:rsidRPr="5575EBFC">
        <w:rPr>
          <w:lang w:val="en-GB"/>
        </w:rPr>
        <w:fldChar w:fldCharType="separate"/>
      </w:r>
      <w:r w:rsidR="6B5F9B9E">
        <w:t>(2015)</w:t>
      </w:r>
      <w:r w:rsidR="00BF5495" w:rsidRPr="5575EBFC">
        <w:rPr>
          <w:lang w:val="en-GB"/>
        </w:rPr>
        <w:fldChar w:fldCharType="end"/>
      </w:r>
      <w:r w:rsidR="264F4D60" w:rsidRPr="5575EBFC">
        <w:rPr>
          <w:lang w:val="en-GB"/>
        </w:rPr>
        <w:t xml:space="preserve"> analyzed the interplay between abiotic constraints, propagule pressure</w:t>
      </w:r>
      <w:r w:rsidR="00774819">
        <w:rPr>
          <w:lang w:val="en-GB"/>
        </w:rPr>
        <w:t xml:space="preserve"> and</w:t>
      </w:r>
      <w:r w:rsidR="264F4D60" w:rsidRPr="5575EBFC">
        <w:rPr>
          <w:lang w:val="en-GB"/>
        </w:rPr>
        <w:t xml:space="preserve"> biotic resistance by conducting experiments to explore the </w:t>
      </w:r>
      <w:r w:rsidR="264F4D60" w:rsidRPr="5575EBFC">
        <w:rPr>
          <w:i/>
          <w:iCs/>
          <w:lang w:val="en-GB"/>
        </w:rPr>
        <w:t xml:space="preserve">Phragmites australis </w:t>
      </w:r>
      <w:r w:rsidR="264F4D60" w:rsidRPr="5575EBFC">
        <w:rPr>
          <w:lang w:val="en-GB"/>
        </w:rPr>
        <w:t>(common reed) invasion process</w:t>
      </w:r>
      <w:r w:rsidR="0EC5FB50" w:rsidRPr="5575EBFC">
        <w:rPr>
          <w:lang w:val="en-GB"/>
        </w:rPr>
        <w:t>,</w:t>
      </w:r>
      <w:r w:rsidR="264F4D60" w:rsidRPr="5575EBFC">
        <w:rPr>
          <w:lang w:val="en-GB"/>
        </w:rPr>
        <w:t xml:space="preserve"> and found that maintaining native plant cover could confer invasion resistance, even when abiotic conditions changed </w:t>
      </w:r>
      <w:r w:rsidR="00BF5495" w:rsidRPr="5575EBFC">
        <w:rPr>
          <w:lang w:val="en-GB"/>
        </w:rPr>
        <w:fldChar w:fldCharType="begin"/>
      </w:r>
      <w:r w:rsidR="00331A79">
        <w:rPr>
          <w:lang w:val="en-GB"/>
        </w:rPr>
        <w:instrText xml:space="preserve"> ADDIN ZOTERO_ITEM CSL_CITATION {"citationID":"vevKrJAj","properties":{"formattedCitation":"(Byun et al., 2015)","plainCitation":"(Byun et al., 2015)","noteIndex":0},"citationItems":[{"id":30498,"uris":["http://zotero.org/groups/2352922/items/SR3HPZ7R"],"itemData":{"id":30498,"type":"article-journal","abstract":"With multiple species introductions and rapid global changes, there is a need for comprehensive invasion models that can predict community responses. Evidence suggests that abiotic constraint, propagule pressure, and biotic resistance of resident species each determine plant invasion success, yet their interactions are rarely tested. To understand these interactions, we conducted community assembly experiments simulating situations in which seeds of the invasive grass species Phragmites australis (Poaceae) land on bare soil along with seeds of resident wetland plant species. We used structural equation models to measure both direct abiotic constraint (here moist vs. flooded conditions) on invasion success and indirect constraint on the abundance and, therefore, biotic resistance of resident plant species. We also evaluated how propagule supply of P. australis interacts with the biotic resistance of resident species during invasion. We observed that flooding always directly reduced invasion success but had a synergistic or antagonistic effect on biotic resistance depending on the resident species involved. Biotic resistance of the most diverse resident species mixture remained strong even when abiotic conditions changed. Biotic resistance was also extremely effective under low propagule pressure of the invader. Moreover, the presence of a dense resident plant cover appeared to lower the threshold at which invasion success became stable even when propagule supply increased. Our study not only provides an analytical framework to quantify the effect of multiple interactions relevant to community assembly and species invasion, but it also proposes guidelines for innovative invasion management strategies based on a sound understanding of ecological processes.","container-title":"Oecologia","DOI":"10.1007/s00442-014-3188-z","ISSN":"1432-1939","issue":"1","journalAbbreviation":"Oecologia","language":"eng","note":"PMID: 25543850","page":"285-296","source":"PubMed","title":"Interactions between abiotic constraint, propagule pressure, and biotic resistance regulate plant invasion","volume":"178","author":[{"family":"Byun","given":"Chaeho"},{"family":"Blois","given":"Sylvie","non-dropping-particle":"de"},{"family":"Brisson","given":"Jacques"}],"issued":{"date-parts":[["2015",5]]}}}],"schema":"https://github.com/citation-style-language/schema/raw/master/csl-citation.json"} </w:instrText>
      </w:r>
      <w:r w:rsidR="00BF5495" w:rsidRPr="5575EBFC">
        <w:rPr>
          <w:lang w:val="en-GB"/>
        </w:rPr>
        <w:fldChar w:fldCharType="separate"/>
      </w:r>
      <w:r w:rsidR="6B5F9B9E">
        <w:t>(Byun et al., 2015)</w:t>
      </w:r>
      <w:r w:rsidR="00BF5495" w:rsidRPr="5575EBFC">
        <w:rPr>
          <w:lang w:val="en-GB"/>
        </w:rPr>
        <w:fldChar w:fldCharType="end"/>
      </w:r>
      <w:r w:rsidR="264F4D60" w:rsidRPr="5575EBFC">
        <w:rPr>
          <w:lang w:val="en-GB"/>
        </w:rPr>
        <w:t xml:space="preserve">. Going et al. </w:t>
      </w:r>
      <w:r w:rsidR="00BF5495" w:rsidRPr="5575EBFC">
        <w:rPr>
          <w:lang w:val="en-GB"/>
        </w:rPr>
        <w:fldChar w:fldCharType="begin"/>
      </w:r>
      <w:r w:rsidR="00331A79">
        <w:rPr>
          <w:lang w:val="en-GB"/>
        </w:rPr>
        <w:instrText xml:space="preserve"> ADDIN ZOTERO_ITEM CSL_CITATION {"citationID":"mSx9iTuH","properties":{"formattedCitation":"(2009)","plainCitation":"(2009)","noteIndex":0},"citationItems":[{"id":31201,"uris":["http://zotero.org/groups/2352922/items/WBB5E23E"],"itemData":{"id":31201,"type":"article-journal","container-title":"Oecologia","DOI":"10.1007/s00442-008-1264-y","ISSN":"0029-8549, 1432-1939","issue":"4","journalAbbreviation":"Oecologia","language":"en","page":"839-847","source":"DOI.org (Crossref)","title":"Abiotic and biotic resistance to grass invasion in serpentine annual plant communities","URL":"http://link.springer.com/10.1007/s00442-008-1264-y","volume":"159","author":[{"family":"Going","given":"Barbara Marie"},{"family":"Hillerislambers","given":"Janneke"},{"family":"Levine","given":"Jonathan M."}],"accessed":{"date-parts":[["2021",11,3]]},"issued":{"date-parts":[["2009",4]]}},"label":"page","suppress-author":true}],"schema":"https://github.com/citation-style-language/schema/raw/master/csl-citation.json"} </w:instrText>
      </w:r>
      <w:r w:rsidR="00BF5495" w:rsidRPr="5575EBFC">
        <w:rPr>
          <w:lang w:val="en-GB"/>
        </w:rPr>
        <w:fldChar w:fldCharType="separate"/>
      </w:r>
      <w:r w:rsidR="6B5F9B9E">
        <w:t>(2009)</w:t>
      </w:r>
      <w:r w:rsidR="00BF5495" w:rsidRPr="5575EBFC">
        <w:rPr>
          <w:lang w:val="en-GB"/>
        </w:rPr>
        <w:fldChar w:fldCharType="end"/>
      </w:r>
      <w:r w:rsidR="264F4D60" w:rsidRPr="5575EBFC">
        <w:rPr>
          <w:rStyle w:val="CommentReference"/>
          <w:rFonts w:eastAsia="Times New Roman"/>
          <w:lang w:val="en-GB" w:eastAsia="en-AU"/>
        </w:rPr>
        <w:t xml:space="preserve"> </w:t>
      </w:r>
      <w:r w:rsidR="264F4D60" w:rsidRPr="5575EBFC">
        <w:rPr>
          <w:lang w:val="en-GB"/>
        </w:rPr>
        <w:t xml:space="preserve">found that competition from a resident annual plant community had strong negative effects on the biomass and reproduction of </w:t>
      </w:r>
      <w:r w:rsidR="7C838E06" w:rsidRPr="5575EBFC">
        <w:rPr>
          <w:lang w:val="en-GB"/>
        </w:rPr>
        <w:t xml:space="preserve">invasive alien </w:t>
      </w:r>
      <w:r w:rsidR="264F4D60" w:rsidRPr="5575EBFC">
        <w:rPr>
          <w:lang w:val="en-GB"/>
        </w:rPr>
        <w:t xml:space="preserve">grass, such as </w:t>
      </w:r>
      <w:r w:rsidR="264F4D60" w:rsidRPr="5575EBFC">
        <w:rPr>
          <w:i/>
          <w:iCs/>
          <w:lang w:val="en-GB"/>
        </w:rPr>
        <w:t xml:space="preserve">Avena barbata </w:t>
      </w:r>
      <w:r w:rsidR="264F4D60" w:rsidRPr="5575EBFC">
        <w:rPr>
          <w:lang w:val="en-GB"/>
        </w:rPr>
        <w:t xml:space="preserve">(slender oat), </w:t>
      </w:r>
      <w:r w:rsidR="264F4D60" w:rsidRPr="5575EBFC">
        <w:rPr>
          <w:i/>
          <w:iCs/>
          <w:lang w:val="en-GB"/>
        </w:rPr>
        <w:t xml:space="preserve">Bromus diandrus </w:t>
      </w:r>
      <w:r w:rsidR="264F4D60" w:rsidRPr="5575EBFC">
        <w:rPr>
          <w:lang w:val="en-GB"/>
        </w:rPr>
        <w:t>(great brome)</w:t>
      </w:r>
      <w:r w:rsidR="00774819">
        <w:rPr>
          <w:lang w:val="en-GB"/>
        </w:rPr>
        <w:t xml:space="preserve"> and</w:t>
      </w:r>
      <w:r w:rsidR="264F4D60" w:rsidRPr="5575EBFC">
        <w:rPr>
          <w:lang w:val="en-GB"/>
        </w:rPr>
        <w:t xml:space="preserve"> </w:t>
      </w:r>
      <w:r w:rsidR="264F4D60" w:rsidRPr="5575EBFC">
        <w:rPr>
          <w:i/>
          <w:iCs/>
          <w:lang w:val="en-GB"/>
        </w:rPr>
        <w:t xml:space="preserve">Hordeum murinum </w:t>
      </w:r>
      <w:r w:rsidR="264F4D60" w:rsidRPr="5575EBFC">
        <w:rPr>
          <w:lang w:val="en-GB"/>
        </w:rPr>
        <w:t>(mouse barley)</w:t>
      </w:r>
      <w:r w:rsidR="264F4D60" w:rsidRPr="5575EBFC">
        <w:rPr>
          <w:i/>
          <w:iCs/>
          <w:lang w:val="en-GB"/>
        </w:rPr>
        <w:t xml:space="preserve">, </w:t>
      </w:r>
      <w:r w:rsidR="264F4D60" w:rsidRPr="5575EBFC">
        <w:rPr>
          <w:lang w:val="en-GB"/>
        </w:rPr>
        <w:t>and that removing the resident communities increased the</w:t>
      </w:r>
      <w:r w:rsidR="23BF2FFE" w:rsidRPr="5575EBFC">
        <w:rPr>
          <w:lang w:val="en-GB"/>
        </w:rPr>
        <w:t xml:space="preserve"> </w:t>
      </w:r>
      <w:r w:rsidR="264F4D60" w:rsidRPr="5575EBFC">
        <w:rPr>
          <w:lang w:val="en-GB"/>
        </w:rPr>
        <w:t xml:space="preserve">biomass and seed production of the </w:t>
      </w:r>
      <w:r w:rsidR="7C6F3973" w:rsidRPr="5575EBFC">
        <w:rPr>
          <w:lang w:val="en-GB"/>
        </w:rPr>
        <w:t xml:space="preserve">invasive alien species </w:t>
      </w:r>
      <w:r w:rsidR="264F4D60" w:rsidRPr="5575EBFC">
        <w:rPr>
          <w:lang w:val="en-GB"/>
        </w:rPr>
        <w:t>by two-fold to ninefold. Elton’s diversity</w:t>
      </w:r>
      <w:r w:rsidR="003000E0">
        <w:rPr>
          <w:lang w:val="en-GB"/>
        </w:rPr>
        <w:t>-</w:t>
      </w:r>
      <w:r w:rsidR="264F4D60" w:rsidRPr="5575EBFC">
        <w:rPr>
          <w:lang w:val="en-GB"/>
        </w:rPr>
        <w:t>invasibility hypothesis proposes that taxonomic diversity</w:t>
      </w:r>
      <w:r w:rsidR="4136B2F3" w:rsidRPr="5575EBFC">
        <w:rPr>
          <w:lang w:val="en-GB"/>
        </w:rPr>
        <w:t xml:space="preserve"> in</w:t>
      </w:r>
      <w:r w:rsidR="264F4D60" w:rsidRPr="5575EBFC">
        <w:rPr>
          <w:lang w:val="en-GB"/>
        </w:rPr>
        <w:t xml:space="preserve"> native communities confer</w:t>
      </w:r>
      <w:r w:rsidR="4136B2F3" w:rsidRPr="5575EBFC">
        <w:rPr>
          <w:lang w:val="en-GB"/>
        </w:rPr>
        <w:t>s</w:t>
      </w:r>
      <w:r w:rsidR="264F4D60" w:rsidRPr="5575EBFC">
        <w:rPr>
          <w:lang w:val="en-GB"/>
        </w:rPr>
        <w:t xml:space="preserve"> additional resistance to </w:t>
      </w:r>
      <w:r w:rsidR="174BD527" w:rsidRPr="5575EBFC">
        <w:rPr>
          <w:lang w:val="en-GB"/>
        </w:rPr>
        <w:t>invasive alien species</w:t>
      </w:r>
      <w:r w:rsidR="685423ED" w:rsidRPr="5575EBFC">
        <w:rPr>
          <w:lang w:val="en-GB"/>
        </w:rPr>
        <w:t xml:space="preserve"> </w:t>
      </w:r>
      <w:r w:rsidR="264F4D60" w:rsidRPr="5575EBFC">
        <w:rPr>
          <w:lang w:val="en-GB"/>
        </w:rPr>
        <w:t xml:space="preserve">because less niche space is </w:t>
      </w:r>
      <w:r w:rsidR="7C6F3973" w:rsidRPr="5575EBFC">
        <w:rPr>
          <w:lang w:val="en-GB"/>
        </w:rPr>
        <w:t xml:space="preserve">available </w:t>
      </w:r>
      <w:r w:rsidR="264F4D60" w:rsidRPr="5575EBFC">
        <w:rPr>
          <w:lang w:val="en-GB"/>
        </w:rPr>
        <w:t xml:space="preserve">to </w:t>
      </w:r>
      <w:r w:rsidR="7C6F3973" w:rsidRPr="5575EBFC">
        <w:rPr>
          <w:lang w:val="en-GB"/>
        </w:rPr>
        <w:t xml:space="preserve">alien species </w:t>
      </w:r>
      <w:r w:rsidR="00BF5495" w:rsidRPr="5575EBFC">
        <w:rPr>
          <w:lang w:val="en-GB"/>
        </w:rPr>
        <w:fldChar w:fldCharType="begin"/>
      </w:r>
      <w:r w:rsidR="00331A79">
        <w:rPr>
          <w:lang w:val="en-GB"/>
        </w:rPr>
        <w:instrText xml:space="preserve"> ADDIN ZOTERO_ITEM CSL_CITATION {"citationID":"ClgG77gH","properties":{"formattedCitation":"(Elton, 1958)","plainCitation":"(Elton, 1958)","noteIndex":0},"citationItems":[{"id":30197,"uris":["http://zotero.org/groups/2352922/items/PB94IRS2"],"itemData":{"id":30197,"type":"book","abstract":"Much as Rachel Carson's Silent Spring was a call to action against the pesticides that were devastating bird populations, Charles S. Elton's classic The Ecology of Invasions by Animals and Plants sounded an early warning about an environmental catastrophe that has become all too familiar today—the invasion of nonnative species. From kudzu to zebra mussels to Asian long-horned beetles, nonnative species are colonizing new habitats around the world at an alarming rate thanks to accidental and intentional human intervention. One of the leading causes of extinctions of native animals and plants, invasive species also wreak severe economic havoc, causing $79 billion worth of damage in the United States alone.  Elton explains the devastating effects that invasive species can have on local ecosystems in clear, concise language and with numerous examples. The first book on invasion biology, and still the most cited, Elton's masterpiece provides an accessible, engaging introduction to one of the most important environmental crises of our time.  Charles S. Elton was one of the founders of ecology, who also established and led Oxford University's Bureau of Animal Population. His work has influenced generations of ecologists and zoologists, and his publications remain central to the literature in modern biology.  \"History has caught up with Charles Elton's foresight, and The Ecology of Invasions can now be seen as one of the central scientific books of our century.\"—David Quammen, from the Foreword to Killer Algae: The True Tale of a Biological Invasion","ISBN":"978-0-226-20638-7","language":"en","note":"Google-Books-ID: 4DBDiFeavyUC","number-of-pages":"226","publisher":"University of Chicago Press","source":"Google Books","title":"The Ecology of Invasions by Animals and Plants","URL":"http://link.springer.com/10.1007/978-1-4899-7214-9","author":[{"family":"Elton","given":"Charles S."}],"issued":{"date-parts":[["1958"]]}},"label":"page"}],"schema":"https://github.com/citation-style-language/schema/raw/master/csl-citation.json"} </w:instrText>
      </w:r>
      <w:r w:rsidR="00BF5495" w:rsidRPr="5575EBFC">
        <w:rPr>
          <w:lang w:val="en-GB"/>
        </w:rPr>
        <w:fldChar w:fldCharType="separate"/>
      </w:r>
      <w:r w:rsidR="6B5F9B9E">
        <w:t>(Elton, 1958)</w:t>
      </w:r>
      <w:r w:rsidR="00BF5495" w:rsidRPr="5575EBFC">
        <w:rPr>
          <w:lang w:val="en-GB"/>
        </w:rPr>
        <w:fldChar w:fldCharType="end"/>
      </w:r>
      <w:r w:rsidR="264F4D60" w:rsidRPr="5575EBFC">
        <w:rPr>
          <w:lang w:val="en-GB"/>
        </w:rPr>
        <w:t xml:space="preserve">. In support of this hypothesis, </w:t>
      </w:r>
      <w:r w:rsidR="588A7792" w:rsidRPr="5575EBFC">
        <w:rPr>
          <w:lang w:val="en-GB"/>
        </w:rPr>
        <w:t xml:space="preserve">Maron &amp; Marler </w:t>
      </w:r>
      <w:r w:rsidR="00BF5495" w:rsidRPr="5575EBFC">
        <w:rPr>
          <w:lang w:val="en-GB"/>
        </w:rPr>
        <w:fldChar w:fldCharType="begin"/>
      </w:r>
      <w:r w:rsidR="00F5121E">
        <w:rPr>
          <w:lang w:val="en-GB"/>
        </w:rPr>
        <w:instrText xml:space="preserve"> ADDIN ZOTERO_ITEM CSL_CITATION {"citationID":"nwNF2Zfv","properties":{"formattedCitation":"(2007)","plainCitation":"(2007)","noteIndex":0},"citationItems":[{"id":31181,"uris":["http://zotero.org/groups/2352922/items/XZRIEYEJ"],"itemData":{"id":31181,"type":"article-journal","abstract":"Human modiﬁcation of the environment is causing both loss of species and changes in resource availability. While studies have examined how species loss at the local level can inﬂuence invasion resistance, interactions between species loss and other components of environmental change remain poorly studied. In particular, the manner in which native diversity interacts with resource availability to inﬂuence invasion resistance is not well understood. We created experimental plant assemblages that varied in native species (1–16 species) and/or functional richness (deﬁned by rooting morphology and phenology; one to ﬁve functional groups). We crossed these diversity treatments with resource (water) addition to determine their interactive effects on invasion resistance to spotted knapweed (Centaurea maculosa), a potent exotic invader in the intermountain West of the United States. We also determined how native diversity and resource addition inﬂuenced plant-available soil nitrogen, soil moisture, and light. Assemblages with lower species and functional diversity were more heavily invaded than assemblages with greater species and functional diversity. In uninvaded assemblages, experimental addition of water increased soil moisture and plant-available nitrogen and decreased light availability. The availability of these resources generally declined with increasing native plant diversity. Although water addition increased susceptibility to invasion, it did not fundamentally change the negative relationship between diversity and invasibility. Thus, native diversity provided strong invasion resistance even under high resource availability. These results suggest that the effects of local diversity can remain robust despite enhanced resource levels that are predicted under scenarios of global change.","container-title":"Ecology","DOI":"10.1890/06-1993.1","ISSN":"0012-9658","issue":"10","journalAbbreviation":"Ecology","language":"en","page":"2651-2661","source":"DOI.org (Crossref)","title":"Native plant diversity resists invasion at both low and high resource levels","URL":"http://doi.wiley.com/10.1890/06-1993.1","volume":"88","author":[{"family":"Maron","given":"John"},{"family":"Marler","given":"Marilyn"}],"accessed":{"date-parts":[["2021",11,3]]},"issued":{"date-parts":[["2007",10]]}},"label":"page","suppress-author":true}],"schema":"https://github.com/citation-style-language/schema/raw/master/csl-citation.json"} </w:instrText>
      </w:r>
      <w:r w:rsidR="00BF5495" w:rsidRPr="5575EBFC">
        <w:rPr>
          <w:lang w:val="en-GB"/>
        </w:rPr>
        <w:fldChar w:fldCharType="separate"/>
      </w:r>
      <w:r w:rsidR="6B5F9B9E">
        <w:t>(2007)</w:t>
      </w:r>
      <w:r w:rsidR="00BF5495" w:rsidRPr="5575EBFC">
        <w:rPr>
          <w:lang w:val="en-GB"/>
        </w:rPr>
        <w:fldChar w:fldCharType="end"/>
      </w:r>
      <w:r w:rsidR="264F4D60" w:rsidRPr="5575EBFC">
        <w:rPr>
          <w:lang w:val="en-GB"/>
        </w:rPr>
        <w:t xml:space="preserve"> found that plant assemblages with higher plant species richness displayed lower invasibility </w:t>
      </w:r>
      <w:r w:rsidR="50CE0EAC" w:rsidRPr="5575EBFC">
        <w:rPr>
          <w:lang w:val="en-GB"/>
        </w:rPr>
        <w:t>(</w:t>
      </w:r>
      <w:r w:rsidR="5AC7FBF8" w:rsidRPr="5575EBFC">
        <w:rPr>
          <w:b/>
          <w:bCs/>
          <w:lang w:val="en-GB"/>
        </w:rPr>
        <w:t>C</w:t>
      </w:r>
      <w:r w:rsidR="21305863" w:rsidRPr="5575EBFC">
        <w:rPr>
          <w:b/>
          <w:bCs/>
          <w:lang w:val="en-GB"/>
        </w:rPr>
        <w:t>hapter 1</w:t>
      </w:r>
      <w:r w:rsidR="21305863" w:rsidRPr="5575EBFC">
        <w:rPr>
          <w:lang w:val="en-GB"/>
        </w:rPr>
        <w:t>,</w:t>
      </w:r>
      <w:r w:rsidR="21305863" w:rsidRPr="5575EBFC">
        <w:rPr>
          <w:b/>
          <w:bCs/>
          <w:lang w:val="en-GB"/>
        </w:rPr>
        <w:t xml:space="preserve"> section 1.3.2</w:t>
      </w:r>
      <w:r w:rsidR="21305863" w:rsidRPr="5575EBFC">
        <w:rPr>
          <w:lang w:val="en-GB"/>
        </w:rPr>
        <w:t xml:space="preserve">) </w:t>
      </w:r>
      <w:r w:rsidR="264F4D60" w:rsidRPr="5575EBFC">
        <w:rPr>
          <w:lang w:val="en-GB"/>
        </w:rPr>
        <w:t>than assemblages with lower species richness</w:t>
      </w:r>
      <w:r w:rsidR="6F1AA0DA" w:rsidRPr="5575EBFC">
        <w:rPr>
          <w:lang w:val="en-GB"/>
        </w:rPr>
        <w:t>,</w:t>
      </w:r>
      <w:r w:rsidR="264F4D60" w:rsidRPr="5575EBFC">
        <w:rPr>
          <w:lang w:val="en-GB"/>
        </w:rPr>
        <w:t xml:space="preserve"> </w:t>
      </w:r>
      <w:r w:rsidR="588A7792" w:rsidRPr="5575EBFC">
        <w:rPr>
          <w:lang w:val="en-GB"/>
        </w:rPr>
        <w:t>a</w:t>
      </w:r>
      <w:r w:rsidR="264F4D60" w:rsidRPr="5575EBFC">
        <w:rPr>
          <w:lang w:val="en-GB"/>
        </w:rPr>
        <w:t xml:space="preserve">nd </w:t>
      </w:r>
      <w:r w:rsidR="588A7792" w:rsidRPr="5575EBFC">
        <w:rPr>
          <w:lang w:val="en-GB"/>
        </w:rPr>
        <w:t>Zheng et al</w:t>
      </w:r>
      <w:r w:rsidR="003000E0">
        <w:rPr>
          <w:lang w:val="en-GB"/>
        </w:rPr>
        <w:t>.</w:t>
      </w:r>
      <w:r w:rsidR="588A7792" w:rsidRPr="5575EBFC">
        <w:rPr>
          <w:lang w:val="en-GB"/>
        </w:rPr>
        <w:t xml:space="preserve"> </w:t>
      </w:r>
      <w:r w:rsidR="00BF5495" w:rsidRPr="5575EBFC">
        <w:rPr>
          <w:lang w:val="en-GB"/>
        </w:rPr>
        <w:fldChar w:fldCharType="begin"/>
      </w:r>
      <w:r w:rsidR="00331A79">
        <w:rPr>
          <w:lang w:val="en-GB"/>
        </w:rPr>
        <w:instrText xml:space="preserve"> ADDIN ZOTERO_ITEM CSL_CITATION {"citationID":"gkAnbYoS","properties":{"formattedCitation":"(2018)","plainCitation":"(2018)","noteIndex":0},"citationItems":[{"id":12618,"uris":["http://zotero.org/groups/2352922/items/MMSH9QRC"],"itemData":{"id":12618,"type":"article-journal","abstract":"Biotic resistance may influence invasion success; however, the relative roles of species richness,\nfunctional or phylogenetic distance in predicting invasion success are not fully understood. We\nused biomass fraction of Chromolaena odorata, an invasive species in tropical and subtropical\nareas, as a measure of ‘invasion success’ in a series of artificial communities varying in species\nrichness. Communities were constructed using species from Mexico (native range) or China\n(non-native range). We found strong evidence of biotic resistance: species richness and community\nbiomass were negatively related with invasion success; invader biomass was greater in plant communities\nfrom China than from Mexico. Harvesting time had a greater effect on invasion success\nin plant communities from China than on those from Mexico. Functional and phylogenetic distances\nboth correlated with invasion success and more functionally distant communities were more\neasily invaded. The effects of plant-soil fungi and plant allelochemical interactions on invasion\nsuccess were species-specific.","container-title":"Ecology Letters","DOI":"https://doi.org/10.1111/ele.13090","title":"Species composition, functional and phylogenetic distances correlate with success of invasive &lt;i&gt;Chromolaena odorata&lt;/i&gt; in an experimental test","author":[{"family":"Zheng","given":"Y.L."},{"family":"Burns","given":"J.H."},{"family":"Liao","given":"Z.Y."},{"family":"Li","given":"Y.P."},{"family":"Yang","given":"J."},{"family":"Chen","given":"Y.J."},{"family":"Zhang","given":"J.L."},{"family":"Zheng","given":"Y.G."}],"issued":{"date-parts":[["2018"]]}},"label":"page","suppress-author":true}],"schema":"https://github.com/citation-style-language/schema/raw/master/csl-citation.json"} </w:instrText>
      </w:r>
      <w:r w:rsidR="00BF5495" w:rsidRPr="5575EBFC">
        <w:rPr>
          <w:lang w:val="en-GB"/>
        </w:rPr>
        <w:fldChar w:fldCharType="separate"/>
      </w:r>
      <w:r w:rsidR="6B5F9B9E">
        <w:t>(2018)</w:t>
      </w:r>
      <w:r w:rsidR="00BF5495" w:rsidRPr="5575EBFC">
        <w:rPr>
          <w:lang w:val="en-GB"/>
        </w:rPr>
        <w:fldChar w:fldCharType="end"/>
      </w:r>
      <w:r w:rsidR="264F4D60" w:rsidRPr="5575EBFC">
        <w:rPr>
          <w:lang w:val="en-GB"/>
        </w:rPr>
        <w:t xml:space="preserve"> found that the invasion success of </w:t>
      </w:r>
      <w:r w:rsidR="264F4D60" w:rsidRPr="5575EBFC">
        <w:rPr>
          <w:i/>
          <w:iCs/>
          <w:lang w:val="en-GB"/>
        </w:rPr>
        <w:t>Chromolaena odorata</w:t>
      </w:r>
      <w:r w:rsidR="264F4D60" w:rsidRPr="5575EBFC">
        <w:rPr>
          <w:lang w:val="en-GB"/>
        </w:rPr>
        <w:t xml:space="preserve"> (</w:t>
      </w:r>
      <w:r w:rsidR="2D1BFAB8" w:rsidRPr="5575EBFC">
        <w:rPr>
          <w:lang w:val="en-GB"/>
        </w:rPr>
        <w:t>S</w:t>
      </w:r>
      <w:r w:rsidR="264F4D60" w:rsidRPr="5575EBFC">
        <w:rPr>
          <w:lang w:val="en-GB"/>
        </w:rPr>
        <w:t>iam weed) correlated negatively with both biomass and species richness of the native community</w:t>
      </w:r>
      <w:r w:rsidR="5E96B65F" w:rsidRPr="5575EBFC">
        <w:rPr>
          <w:lang w:val="en-GB"/>
        </w:rPr>
        <w:t>.</w:t>
      </w:r>
      <w:r w:rsidR="264F4D60" w:rsidRPr="5575EBFC">
        <w:rPr>
          <w:lang w:val="en-GB"/>
        </w:rPr>
        <w:t xml:space="preserve"> A third idea related to biotic resistance is Darwin's naturali</w:t>
      </w:r>
      <w:r w:rsidR="32F4AC8A" w:rsidRPr="5575EBFC">
        <w:rPr>
          <w:lang w:val="en-GB"/>
        </w:rPr>
        <w:t>z</w:t>
      </w:r>
      <w:r w:rsidR="264F4D60" w:rsidRPr="5575EBFC">
        <w:rPr>
          <w:lang w:val="en-GB"/>
        </w:rPr>
        <w:t xml:space="preserve">ation hypothesis, which builds on Darwin’s </w:t>
      </w:r>
      <w:r w:rsidR="00BF5495" w:rsidRPr="5575EBFC">
        <w:rPr>
          <w:lang w:val="en-GB"/>
        </w:rPr>
        <w:fldChar w:fldCharType="begin"/>
      </w:r>
      <w:r w:rsidR="00331A79">
        <w:rPr>
          <w:lang w:val="en-GB"/>
        </w:rPr>
        <w:instrText xml:space="preserve"> ADDIN ZOTERO_ITEM CSL_CITATION {"citationID":"C6EFzkjV","properties":{"formattedCitation":"(1859)","plainCitation":"(1859)","noteIndex":0},"citationItems":[{"id":16623,"uris":["http://zotero.org/groups/2352922/items/GFN2GBQ3"],"itemData":{"id":16623,"type":"book","event-place":"London","language":"eng","publisher":"John Murray.","publisher-place":"London","source":"Gemeinsamer Bibliotheksverbund ISBN","title":"On the origin of species by means of natural selection, or, The preservation of favoured races in the struggle for life","author":[{"family":"Darwin","given":"Charles"}],"issued":{"date-parts":[["1859"]]}},"label":"page","suppress-author":true}],"schema":"https://github.com/citation-style-language/schema/raw/master/csl-citation.json"} </w:instrText>
      </w:r>
      <w:r w:rsidR="00BF5495" w:rsidRPr="5575EBFC">
        <w:rPr>
          <w:lang w:val="en-GB"/>
        </w:rPr>
        <w:fldChar w:fldCharType="separate"/>
      </w:r>
      <w:r w:rsidR="6B5F9B9E">
        <w:t>(1859)</w:t>
      </w:r>
      <w:r w:rsidR="00BF5495" w:rsidRPr="5575EBFC">
        <w:rPr>
          <w:lang w:val="en-GB"/>
        </w:rPr>
        <w:fldChar w:fldCharType="end"/>
      </w:r>
      <w:r w:rsidR="264F4D60" w:rsidRPr="5575EBFC">
        <w:rPr>
          <w:lang w:val="en-GB"/>
        </w:rPr>
        <w:t xml:space="preserve"> position that alien species will be more successful in a native community if they are more distantly related to native residents, because relatedness may indicate niche similarity </w:t>
      </w:r>
      <w:r w:rsidR="3FB1318B" w:rsidRPr="5575EBFC">
        <w:rPr>
          <w:lang w:val="en-GB"/>
        </w:rPr>
        <w:t>(</w:t>
      </w:r>
      <w:r w:rsidR="5AC7FBF8" w:rsidRPr="5575EBFC">
        <w:rPr>
          <w:b/>
          <w:bCs/>
          <w:lang w:val="en-GB"/>
        </w:rPr>
        <w:t>C</w:t>
      </w:r>
      <w:r w:rsidR="3FB1318B" w:rsidRPr="5575EBFC">
        <w:rPr>
          <w:b/>
          <w:bCs/>
          <w:lang w:val="en-GB"/>
        </w:rPr>
        <w:t>hapter 1</w:t>
      </w:r>
      <w:r w:rsidR="3FB1318B" w:rsidRPr="5575EBFC">
        <w:rPr>
          <w:lang w:val="en-GB"/>
        </w:rPr>
        <w:t>,</w:t>
      </w:r>
      <w:r w:rsidR="3FB1318B" w:rsidRPr="5575EBFC">
        <w:rPr>
          <w:b/>
          <w:bCs/>
          <w:lang w:val="en-GB"/>
        </w:rPr>
        <w:t xml:space="preserve"> section</w:t>
      </w:r>
      <w:r w:rsidR="39A41DCB" w:rsidRPr="5575EBFC">
        <w:rPr>
          <w:b/>
          <w:bCs/>
          <w:lang w:val="en-GB"/>
        </w:rPr>
        <w:t xml:space="preserve"> 1.3.2</w:t>
      </w:r>
      <w:r w:rsidR="2F0F6F64" w:rsidRPr="5575EBFC">
        <w:rPr>
          <w:lang w:val="en-GB"/>
        </w:rPr>
        <w:t>;</w:t>
      </w:r>
      <w:r w:rsidR="3FB1318B" w:rsidRPr="5575EBFC">
        <w:rPr>
          <w:lang w:val="en-GB"/>
        </w:rPr>
        <w:t xml:space="preserve"> </w:t>
      </w:r>
      <w:r w:rsidR="00BF5495" w:rsidRPr="5575EBFC">
        <w:rPr>
          <w:lang w:val="en-GB"/>
        </w:rPr>
        <w:fldChar w:fldCharType="begin"/>
      </w:r>
      <w:r w:rsidR="00331A79">
        <w:rPr>
          <w:lang w:val="en-GB"/>
        </w:rPr>
        <w:instrText xml:space="preserve"> ADDIN ZOTERO_ITEM CSL_CITATION {"citationID":"0cdRhAfR","properties":{"formattedCitation":"(Violle et al., 2011)","plainCitation":"(Violle et al., 2011)","dontUpdate":true,"noteIndex":0},"citationItems":[{"id":53815,"uris":["http://zotero.org/groups/2352922/items/2U3P2W84"],"itemData":{"id":53815,"type":"article-journal","container-title":"Ecology letters","DOI":"10.1111/j.1461-0248.2011.01644.x","issue":"8","note":"ISBN: 1461-023X\npublisher: Wiley Online Library","page":"782-787","title":"Phylogenetic limiting similarity and competitive exclusion","URL":"https://onlinelibrary.wiley.com/doi/abs/10.1111/j.1461-0248.2011.01644.x","volume":"14","author":[{"family":"Violle","given":"Cyrille"},{"family":"Nemergut","given":"Diana R."},{"family":"Pu","given":"Zhichao"},{"family":"Jiang","given":"Lin"}],"issued":{"date-parts":[["2011"]]}},"label":"page"}],"schema":"https://github.com/citation-style-language/schema/raw/master/csl-citation.json"} </w:instrText>
      </w:r>
      <w:r w:rsidR="00BF5495" w:rsidRPr="5575EBFC">
        <w:rPr>
          <w:lang w:val="en-GB"/>
        </w:rPr>
        <w:fldChar w:fldCharType="separate"/>
      </w:r>
      <w:r w:rsidR="2552B0D4" w:rsidRPr="5575EBFC">
        <w:rPr>
          <w:lang w:val="en-GB"/>
        </w:rPr>
        <w:t>Violle et al., 2011)</w:t>
      </w:r>
      <w:r w:rsidR="00BF5495" w:rsidRPr="5575EBFC">
        <w:rPr>
          <w:lang w:val="en-GB"/>
        </w:rPr>
        <w:fldChar w:fldCharType="end"/>
      </w:r>
      <w:r w:rsidR="264F4D60" w:rsidRPr="5575EBFC">
        <w:rPr>
          <w:lang w:val="en-GB"/>
        </w:rPr>
        <w:t xml:space="preserve">. In support of this hypothesis, Zheng et al. </w:t>
      </w:r>
      <w:r w:rsidR="00BF5495" w:rsidRPr="5575EBFC">
        <w:rPr>
          <w:lang w:val="en-GB"/>
        </w:rPr>
        <w:fldChar w:fldCharType="begin"/>
      </w:r>
      <w:r w:rsidR="00331A79">
        <w:rPr>
          <w:lang w:val="en-GB"/>
        </w:rPr>
        <w:instrText xml:space="preserve"> ADDIN ZOTERO_ITEM CSL_CITATION {"citationID":"dtHJ8ZxY","properties":{"formattedCitation":"(2018)","plainCitation":"(2018)","noteIndex":0},"citationItems":[{"id":12618,"uris":["http://zotero.org/groups/2352922/items/MMSH9QRC"],"itemData":{"id":12618,"type":"article-journal","abstract":"Biotic resistance may influence invasion success; however, the relative roles of species richness,\nfunctional or phylogenetic distance in predicting invasion success are not fully understood. We\nused biomass fraction of Chromolaena odorata, an invasive species in tropical and subtropical\nareas, as a measure of ‘invasion success’ in a series of artificial communities varying in species\nrichness. Communities were constructed using species from Mexico (native range) or China\n(non-native range). We found strong evidence of biotic resistance: species richness and community\nbiomass were negatively related with invasion success; invader biomass was greater in plant communities\nfrom China than from Mexico. Harvesting time had a greater effect on invasion success\nin plant communities from China than on those from Mexico. Functional and phylogenetic distances\nboth correlated with invasion success and more functionally distant communities were more\neasily invaded. The effects of plant-soil fungi and plant allelochemical interactions on invasion\nsuccess were species-specific.","container-title":"Ecology Letters","DOI":"https://doi.org/10.1111/ele.13090","title":"Species composition, functional and phylogenetic distances correlate with success of invasive &lt;i&gt;Chromolaena odorata&lt;/i&gt; in an experimental test","author":[{"family":"Zheng","given":"Y.L."},{"family":"Burns","given":"J.H."},{"family":"Liao","given":"Z.Y."},{"family":"Li","given":"Y.P."},{"family":"Yang","given":"J."},{"family":"Chen","given":"Y.J."},{"family":"Zhang","given":"J.L."},{"family":"Zheng","given":"Y.G."}],"issued":{"date-parts":[["2018"]]}},"label":"page","suppress-author":true}],"schema":"https://github.com/citation-style-language/schema/raw/master/csl-citation.json"} </w:instrText>
      </w:r>
      <w:r w:rsidR="00BF5495" w:rsidRPr="5575EBFC">
        <w:rPr>
          <w:lang w:val="en-GB"/>
        </w:rPr>
        <w:fldChar w:fldCharType="separate"/>
      </w:r>
      <w:r w:rsidR="6B5F9B9E">
        <w:t>(2018)</w:t>
      </w:r>
      <w:r w:rsidR="00BF5495" w:rsidRPr="5575EBFC">
        <w:rPr>
          <w:lang w:val="en-GB"/>
        </w:rPr>
        <w:fldChar w:fldCharType="end"/>
      </w:r>
      <w:r w:rsidR="264F4D60" w:rsidRPr="5575EBFC">
        <w:rPr>
          <w:lang w:val="en-GB"/>
        </w:rPr>
        <w:t xml:space="preserve"> experimentally established that</w:t>
      </w:r>
      <w:r w:rsidR="7B20EC47" w:rsidRPr="5575EBFC">
        <w:rPr>
          <w:lang w:val="en-GB"/>
        </w:rPr>
        <w:t xml:space="preserve"> </w:t>
      </w:r>
      <w:r w:rsidR="264F4D60" w:rsidRPr="5575EBFC">
        <w:rPr>
          <w:lang w:val="en-GB"/>
        </w:rPr>
        <w:t xml:space="preserve">success of </w:t>
      </w:r>
      <w:r w:rsidR="7B20EC47" w:rsidRPr="5575EBFC">
        <w:rPr>
          <w:lang w:val="en-GB"/>
        </w:rPr>
        <w:t xml:space="preserve">the </w:t>
      </w:r>
      <w:r w:rsidR="264F4D60" w:rsidRPr="5575EBFC">
        <w:rPr>
          <w:lang w:val="en-GB"/>
        </w:rPr>
        <w:t xml:space="preserve">invasive tropical shrub </w:t>
      </w:r>
      <w:r w:rsidR="264F4D60" w:rsidRPr="5575EBFC">
        <w:rPr>
          <w:i/>
          <w:iCs/>
          <w:lang w:val="en-GB"/>
        </w:rPr>
        <w:t>Chromolaena odorata</w:t>
      </w:r>
      <w:r w:rsidR="264F4D60" w:rsidRPr="5575EBFC">
        <w:rPr>
          <w:lang w:val="en-GB"/>
        </w:rPr>
        <w:t xml:space="preserve"> increased with functional distance to the native community</w:t>
      </w:r>
      <w:r w:rsidR="4136B2F3" w:rsidRPr="5575EBFC">
        <w:rPr>
          <w:lang w:val="en-GB"/>
        </w:rPr>
        <w:t>. Similarly,</w:t>
      </w:r>
      <w:r w:rsidR="32CE465E" w:rsidRPr="5575EBFC">
        <w:rPr>
          <w:lang w:val="en-GB"/>
        </w:rPr>
        <w:t xml:space="preserve"> Iannone et al.</w:t>
      </w:r>
      <w:r w:rsidR="7942F94A" w:rsidRPr="5575EBFC">
        <w:rPr>
          <w:lang w:val="en-GB"/>
        </w:rPr>
        <w:t xml:space="preserve"> </w:t>
      </w:r>
      <w:r w:rsidR="00BF5495" w:rsidRPr="5575EBFC">
        <w:rPr>
          <w:lang w:val="en-GB"/>
        </w:rPr>
        <w:fldChar w:fldCharType="begin"/>
      </w:r>
      <w:r w:rsidR="00331A79">
        <w:rPr>
          <w:lang w:val="en-GB"/>
        </w:rPr>
        <w:instrText xml:space="preserve"> ADDIN ZOTERO_ITEM CSL_CITATION {"citationID":"qLZRIuOH","properties":{"formattedCitation":"(2016)","plainCitation":"(2016)","noteIndex":0},"citationItems":[{"id":31200,"uris":["http://zotero.org/groups/2352922/items/NLHJQIWT"],"itemData":{"id":31200,"type":"article-journal","container-title":"Landscape Ecology","DOI":"10.1007/s10980-015-0280-7","ISSN":"0921-2973, 1572-9761","issue":"1","journalAbbreviation":"Landscape Ecol","language":"en","page":"85-99","source":"DOI.org (Crossref)","title":"Evidence of biotic resistance to invasions in forests of the Eastern USA","URL":"http://link.springer.com/10.1007/s10980-015-0280-7","volume":"31","author":[{"family":"Iannone","given":"Basil V."},{"family":"Potter","given":"Kevin M."},{"family":"Hamil","given":"Kelly-Ann Dixon"},{"family":"Huang","given":"Whitney"},{"family":"Zhang","given":"Hao"},{"family":"Guo","given":"Qinfeng"},{"family":"Oswalt","given":"Christopher M."},{"family":"Woodall","given":"Christopher W."},{"family":"Fei","given":"Songlin"}],"accessed":{"date-parts":[["2021",11,3]]},"issued":{"date-parts":[["2016",1]]}},"label":"page","suppress-author":true}],"schema":"https://github.com/citation-style-language/schema/raw/master/csl-citation.json"} </w:instrText>
      </w:r>
      <w:r w:rsidR="00BF5495" w:rsidRPr="5575EBFC">
        <w:rPr>
          <w:lang w:val="en-GB"/>
        </w:rPr>
        <w:fldChar w:fldCharType="separate"/>
      </w:r>
      <w:r w:rsidR="6B5F9B9E">
        <w:t>(2016)</w:t>
      </w:r>
      <w:r w:rsidR="00BF5495" w:rsidRPr="5575EBFC">
        <w:rPr>
          <w:lang w:val="en-GB"/>
        </w:rPr>
        <w:fldChar w:fldCharType="end"/>
      </w:r>
      <w:r w:rsidR="264F4D60" w:rsidRPr="5575EBFC">
        <w:rPr>
          <w:lang w:val="en-GB"/>
        </w:rPr>
        <w:t xml:space="preserve"> found, in a large-scale observational study of </w:t>
      </w:r>
      <w:r w:rsidR="0F6FBD53" w:rsidRPr="5575EBFC">
        <w:rPr>
          <w:lang w:val="en-GB"/>
        </w:rPr>
        <w:t>invasive alien species</w:t>
      </w:r>
      <w:r w:rsidR="3CA4C763" w:rsidRPr="5575EBFC">
        <w:rPr>
          <w:lang w:val="en-GB"/>
        </w:rPr>
        <w:t xml:space="preserve"> </w:t>
      </w:r>
      <w:r w:rsidR="264F4D60" w:rsidRPr="5575EBFC">
        <w:rPr>
          <w:lang w:val="en-GB"/>
        </w:rPr>
        <w:t>in forests across</w:t>
      </w:r>
      <w:r w:rsidR="264F4D60" w:rsidRPr="5575EBFC">
        <w:rPr>
          <w:rStyle w:val="CommentReference"/>
          <w:rFonts w:eastAsia="Times New Roman"/>
          <w:lang w:val="en-GB" w:eastAsia="en-AU"/>
        </w:rPr>
        <w:t xml:space="preserve"> </w:t>
      </w:r>
      <w:r w:rsidR="264F4D60" w:rsidRPr="5575EBFC">
        <w:rPr>
          <w:lang w:val="en-GB"/>
        </w:rPr>
        <w:t xml:space="preserve">the </w:t>
      </w:r>
      <w:r w:rsidR="155C1677" w:rsidRPr="5575EBFC">
        <w:rPr>
          <w:lang w:val="en-GB"/>
        </w:rPr>
        <w:t>e</w:t>
      </w:r>
      <w:r w:rsidR="264F4D60" w:rsidRPr="5575EBFC">
        <w:rPr>
          <w:lang w:val="en-GB"/>
        </w:rPr>
        <w:t xml:space="preserve">astern United States, that tree biomass and evolutionary diversity, but not species richness, was negatively associated with </w:t>
      </w:r>
      <w:r w:rsidR="1F619975" w:rsidRPr="5575EBFC">
        <w:rPr>
          <w:lang w:val="en-GB"/>
        </w:rPr>
        <w:t xml:space="preserve">the </w:t>
      </w:r>
      <w:r w:rsidR="264F4D60" w:rsidRPr="5575EBFC">
        <w:rPr>
          <w:lang w:val="en-GB"/>
        </w:rPr>
        <w:t>establishment and dominance</w:t>
      </w:r>
      <w:r w:rsidR="1F619975" w:rsidRPr="5575EBFC">
        <w:rPr>
          <w:lang w:val="en-GB"/>
        </w:rPr>
        <w:t xml:space="preserve"> of the invasive alien species</w:t>
      </w:r>
      <w:r w:rsidR="264F4D60" w:rsidRPr="5575EBFC">
        <w:rPr>
          <w:lang w:val="en-GB"/>
        </w:rPr>
        <w:t>, and thus</w:t>
      </w:r>
      <w:r w:rsidR="4136B2F3" w:rsidRPr="5575EBFC">
        <w:rPr>
          <w:lang w:val="en-GB"/>
        </w:rPr>
        <w:t xml:space="preserve"> that evolutionary diversity is</w:t>
      </w:r>
      <w:r w:rsidR="264F4D60" w:rsidRPr="5575EBFC">
        <w:rPr>
          <w:lang w:val="en-GB"/>
        </w:rPr>
        <w:t xml:space="preserve"> indicative of biotic resistance. In an experimental study explicitly designed to distinguish </w:t>
      </w:r>
      <w:r w:rsidR="457BE69F" w:rsidRPr="5575EBFC">
        <w:rPr>
          <w:lang w:val="en-GB"/>
        </w:rPr>
        <w:t xml:space="preserve">Darwin and Elton’s </w:t>
      </w:r>
      <w:r w:rsidR="264F4D60" w:rsidRPr="5575EBFC">
        <w:rPr>
          <w:lang w:val="en-GB"/>
        </w:rPr>
        <w:t xml:space="preserve">hypotheses, </w:t>
      </w:r>
      <w:r w:rsidR="32CE465E" w:rsidRPr="5575EBFC">
        <w:rPr>
          <w:lang w:val="en-GB"/>
        </w:rPr>
        <w:t xml:space="preserve">Feng et al. </w:t>
      </w:r>
      <w:r w:rsidR="00BF5495" w:rsidRPr="5575EBFC">
        <w:rPr>
          <w:lang w:val="en-GB"/>
        </w:rPr>
        <w:fldChar w:fldCharType="begin"/>
      </w:r>
      <w:r w:rsidR="00331A79">
        <w:rPr>
          <w:lang w:val="en-GB"/>
        </w:rPr>
        <w:instrText xml:space="preserve"> ADDIN ZOTERO_ITEM CSL_CITATION {"citationID":"IduY31Jf","properties":{"formattedCitation":"(2019)","plainCitation":"(2019)","noteIndex":0},"citationItems":[{"id":54503,"uris":["http://zotero.org/groups/2352922/items/I2K7REAB"],"itemData":{"id":54503,"type":"article-journal","container-title":"Journal of Ecology","DOI":"10.1111/1365-2745.13061","ISSN":"00220477","issue":"2","journalAbbreviation":"J Ecol","language":"en","page":"794-805","source":"DOI.org (Crossref)","title":"Linking Darwin’s naturalisation hypothesis and Elton’s diversity-invasibility hypothesis in experimental grassland communities","URL":"https://onlinelibrary.wiley.com/doi/10.1111/1365-2745.13061","volume":"107","author":[{"family":"Feng","given":"Yanhao"},{"family":"Fouqueray","given":"Timothée Donatien"},{"family":"Kleunen","given":"Mark","non-dropping-particle":"van"}],"editor":[{"family":"Cornelissen","given":"Hans"}],"accessed":{"date-parts":[["2023",2,14]]},"issued":{"date-parts":[["2019",3]]}},"label":"page","suppress-author":true}],"schema":"https://github.com/citation-style-language/schema/raw/master/csl-citation.json"} </w:instrText>
      </w:r>
      <w:r w:rsidR="00BF5495" w:rsidRPr="5575EBFC">
        <w:rPr>
          <w:lang w:val="en-GB"/>
        </w:rPr>
        <w:fldChar w:fldCharType="separate"/>
      </w:r>
      <w:r w:rsidR="6B5F9B9E">
        <w:t>(2019)</w:t>
      </w:r>
      <w:r w:rsidR="00BF5495" w:rsidRPr="5575EBFC">
        <w:rPr>
          <w:lang w:val="en-GB"/>
        </w:rPr>
        <w:fldChar w:fldCharType="end"/>
      </w:r>
      <w:r w:rsidR="32CE465E" w:rsidRPr="5575EBFC">
        <w:rPr>
          <w:lang w:val="en-GB"/>
        </w:rPr>
        <w:t xml:space="preserve"> </w:t>
      </w:r>
      <w:r w:rsidR="264F4D60" w:rsidRPr="5575EBFC">
        <w:rPr>
          <w:lang w:val="en-GB"/>
        </w:rPr>
        <w:t xml:space="preserve">found support for both ideas, as the effects of both phylogenetic and functional distance became stronger as </w:t>
      </w:r>
      <w:bookmarkStart w:id="220" w:name="_Hlk118998099"/>
      <w:r w:rsidR="264F4D60" w:rsidRPr="5575EBFC">
        <w:rPr>
          <w:lang w:val="en-GB"/>
        </w:rPr>
        <w:t>species richness</w:t>
      </w:r>
      <w:bookmarkEnd w:id="220"/>
      <w:r w:rsidR="264F4D60" w:rsidRPr="5575EBFC">
        <w:rPr>
          <w:lang w:val="en-GB"/>
        </w:rPr>
        <w:t xml:space="preserve"> increased, and further analyses indicated that both competitive inequalities and niche differences between </w:t>
      </w:r>
      <w:r w:rsidR="1F619975" w:rsidRPr="5575EBFC">
        <w:rPr>
          <w:lang w:val="en-GB"/>
        </w:rPr>
        <w:t xml:space="preserve">invasive alien </w:t>
      </w:r>
      <w:r w:rsidR="264F4D60" w:rsidRPr="5575EBFC">
        <w:rPr>
          <w:lang w:val="en-GB"/>
        </w:rPr>
        <w:t>and native communities may contribute to these responses.</w:t>
      </w:r>
    </w:p>
    <w:p w14:paraId="21EA7208" w14:textId="12BC03C4" w:rsidR="008B00BA" w:rsidRPr="00DA249F" w:rsidRDefault="008B00BA" w:rsidP="008B00BA">
      <w:pPr>
        <w:rPr>
          <w:lang w:val="en-GB"/>
        </w:rPr>
      </w:pPr>
      <w:r w:rsidRPr="004D4360">
        <w:rPr>
          <w:lang w:val="en-GB"/>
        </w:rPr>
        <w:lastRenderedPageBreak/>
        <w:t xml:space="preserve">Observed relationships between the taxonomic or functional diversity of native and invasive </w:t>
      </w:r>
      <w:r w:rsidR="00E939E7" w:rsidRPr="004D4360">
        <w:rPr>
          <w:lang w:val="en-GB"/>
        </w:rPr>
        <w:t xml:space="preserve">alien </w:t>
      </w:r>
      <w:r w:rsidRPr="004D4360">
        <w:rPr>
          <w:lang w:val="en-GB"/>
        </w:rPr>
        <w:t xml:space="preserve">plants may be caused by mechanisms beyond direct plant-plant competition. For example, observed biotic resistance from native vegetation against invasive </w:t>
      </w:r>
      <w:r w:rsidR="00E939E7" w:rsidRPr="004D4360">
        <w:rPr>
          <w:lang w:val="en-GB"/>
        </w:rPr>
        <w:t xml:space="preserve">alien </w:t>
      </w:r>
      <w:r w:rsidRPr="004D4360">
        <w:rPr>
          <w:lang w:val="en-GB"/>
        </w:rPr>
        <w:t>plant species may operate</w:t>
      </w:r>
      <w:r w:rsidRPr="00DA249F">
        <w:rPr>
          <w:lang w:val="en-GB"/>
        </w:rPr>
        <w:t xml:space="preserve"> via soil pathogens that negatively affect the </w:t>
      </w:r>
      <w:r w:rsidR="00E939E7" w:rsidRPr="00DA249F">
        <w:rPr>
          <w:lang w:val="en-GB"/>
        </w:rPr>
        <w:t>invasive alien species</w:t>
      </w:r>
      <w:r w:rsidRPr="00DA249F">
        <w:rPr>
          <w:lang w:val="en-GB"/>
        </w:rPr>
        <w:t xml:space="preserve"> </w:t>
      </w:r>
      <w:r w:rsidRPr="00DA249F">
        <w:rPr>
          <w:lang w:val="en-GB"/>
        </w:rPr>
        <w:fldChar w:fldCharType="begin"/>
      </w:r>
      <w:r w:rsidR="00331A79">
        <w:rPr>
          <w:lang w:val="en-GB"/>
        </w:rPr>
        <w:instrText xml:space="preserve"> ADDIN ZOTERO_ITEM CSL_CITATION {"citationID":"v5R1CjDA","properties":{"formattedCitation":"(Knevel et al., 2004; van Ruijven et al., 2003)","plainCitation":"(Knevel et al., 2004; van Ruijven et al., 2003)","noteIndex":0},"citationItems":[{"id":31198,"uris":["http://zotero.org/groups/2352922/items/J8IQWG4F"],"itemData":{"id":31198,"type":"article-journal","abstract":"Several studies have presented experimental evidence that diversity reduces invasibility in grassland communities. The interpretation of these results has been disputed recently and it was proposed that sampling effects were responsible for the observed decrease of invasibility with diversity. The experiments performed to date were not designed to adequately separate sampling from diversity effects. Using the establishment of native plant species in experimental plant communities as a model of invasibility, we show that the number of invaders decreased with increasing diversity. When the presence of particular species is included, their effects are dominant. Centaurea jacea showed a strong effect at low diversity, whereas Leucanthemum vulgare showed a very strong negative impact at each diversity level. The negative effect of the latter might be related to root-feeding nematodes that showed far higher abundance in plots with Leucanthemum. However, diversity remained a significant factor in determining the number of invading species and the numbers of an abundant invader.","container-title":"Ecology Letters","DOI":"10.1046/j.1461-0248.2003.00516.x","ISSN":"1461-0248","issue":"10","language":"en","note":"_eprint: https://onlinelibrary.wiley.com/doi/pdf/10.1046/j.1461-0248.2003.00516.x","page":"910-918","source":"Wiley Online Library","title":"Diversity reduces invasibility in experimental plant communities: the role of plant species","title-short":"Diversity reduces invasibility in experimental plant communities","URL":"http://onlinelibrary.wiley.com/doi/abs/10.1046/j.1461-0248.2003.00516.x","volume":"6","author":[{"family":"Ruijven","given":"Jasper","non-dropping-particle":"van"},{"family":"De Deyn","given":"Gerlinde B."},{"family":"Berendse","given":"Frank"}],"accessed":{"date-parts":[["2021",11,3]]},"issued":{"date-parts":[["2003"]]}},"label":"page"},{"id":31199,"uris":["http://zotero.org/groups/2352922/items/DY4RVIM9"],"itemData":{"id":31199,"type":"article-journal","container-title":"Oecologia","DOI":"10.1007/s00442-004-1662-8","ISSN":"0029-8549, 1432-1939","issue":"3","journalAbbreviation":"Oecologia","language":"en","page":"502-510","source":"DOI.org (Crossref)","title":"Release from native root herbivores and biotic resistance by soil pathogens in a new habitat both affect the alien &lt;i&gt;Ammophila arenaria&lt;/i&gt; in South Africa","URL":"http://link.springer.com/10.1007/s00442-004-1662-8","volume":"141","author":[{"family":"Knevel","given":"Irma C."},{"family":"Lans","given":"Thomas"},{"family":"Menting","given":"Frank B. J."},{"family":"Hertling","given":"Ursula M."},{"family":"Putten","given":"Wim H.","non-dropping-particle":"van der"}],"accessed":{"date-parts":[["2021",11,3]]},"issued":{"date-parts":[["2004",11]]}},"label":"page"}],"schema":"https://github.com/citation-style-language/schema/raw/master/csl-citation.json"} </w:instrText>
      </w:r>
      <w:r w:rsidRPr="00DA249F">
        <w:rPr>
          <w:lang w:val="en-GB"/>
        </w:rPr>
        <w:fldChar w:fldCharType="separate"/>
      </w:r>
      <w:r w:rsidR="00144D96" w:rsidRPr="00144D96">
        <w:t>(Knevel et al., 2004; van Ruijven et al., 2003)</w:t>
      </w:r>
      <w:r w:rsidRPr="00DA249F">
        <w:rPr>
          <w:lang w:val="en-GB"/>
        </w:rPr>
        <w:fldChar w:fldCharType="end"/>
      </w:r>
      <w:r w:rsidRPr="00DA249F">
        <w:rPr>
          <w:lang w:val="en-GB"/>
        </w:rPr>
        <w:t xml:space="preserve">. Similarly, a study from </w:t>
      </w:r>
      <w:r w:rsidR="00EB1154" w:rsidRPr="00DA249F">
        <w:rPr>
          <w:lang w:val="en-GB"/>
        </w:rPr>
        <w:t>s</w:t>
      </w:r>
      <w:r w:rsidRPr="00DA249F">
        <w:rPr>
          <w:lang w:val="en-GB"/>
        </w:rPr>
        <w:t>outh-</w:t>
      </w:r>
      <w:r w:rsidR="00EB1154" w:rsidRPr="00DA249F">
        <w:rPr>
          <w:lang w:val="en-GB"/>
        </w:rPr>
        <w:t>w</w:t>
      </w:r>
      <w:r w:rsidRPr="00DA249F">
        <w:rPr>
          <w:lang w:val="en-GB"/>
        </w:rPr>
        <w:t>estern U</w:t>
      </w:r>
      <w:r w:rsidR="00EB1154" w:rsidRPr="00DA249F">
        <w:rPr>
          <w:lang w:val="en-GB"/>
        </w:rPr>
        <w:t xml:space="preserve">nited </w:t>
      </w:r>
      <w:r w:rsidRPr="00DA249F">
        <w:rPr>
          <w:lang w:val="en-GB"/>
        </w:rPr>
        <w:t>S</w:t>
      </w:r>
      <w:r w:rsidR="00EB1154" w:rsidRPr="00DA249F">
        <w:rPr>
          <w:lang w:val="en-GB"/>
        </w:rPr>
        <w:t>tates</w:t>
      </w:r>
      <w:r w:rsidR="003000E0">
        <w:rPr>
          <w:lang w:val="en-GB"/>
        </w:rPr>
        <w:t xml:space="preserve"> by</w:t>
      </w:r>
      <w:r w:rsidRPr="00DA249F">
        <w:rPr>
          <w:lang w:val="en-GB"/>
        </w:rPr>
        <w:t xml:space="preserve"> St. Clair et al. </w:t>
      </w:r>
      <w:r w:rsidRPr="00DA249F">
        <w:rPr>
          <w:lang w:val="en-GB"/>
        </w:rPr>
        <w:fldChar w:fldCharType="begin"/>
      </w:r>
      <w:r w:rsidR="00331A79">
        <w:rPr>
          <w:lang w:val="en-GB"/>
        </w:rPr>
        <w:instrText xml:space="preserve"> ADDIN ZOTERO_ITEM CSL_CITATION {"citationID":"LQEyM4rh","properties":{"formattedCitation":"(2016)","plainCitation":"(2016)","noteIndex":0},"citationItems":[{"id":31151,"uris":["http://zotero.org/groups/2352922/items/CK6JDR32"],"itemData":{"id":31151,"type":"article-journal","abstract":"Biotic resistance and disturbance are fundamental processes influencing plant invasion outcomes; however, the role of consumers in regulating the establishment and spread of plant invaders and how disturbance modifies biotic resistance by consumers is unclear. We document that fire in combination with experimental exclusion of rodent consumers shifted a native desert shrubland to a low-diversity, invasive annual grassland dominated by Bromus tectorum (cheatgrass). In contrast, burned plots with rodents present suppressed invasion by cheatgrass and developed into a more diverse forb community. Rodents created strong biotic resistance to the establishment of aggressive plant invaders likely through seed and seedling predation, which had cascading effects on plant competition and plant community diversity. Fire mediated its positive effects on plant invaders through native plant removal and by decreasing the abundance and diversity of the rodent community. The experimental disruption of plant and consumer-mediated biotic resistance of plant invaders using fire and rodent exclusion treatments provides strong evidence that native plants and rodents are important regulators of plant invasion dynamics and plant biodiversity in our study system. While rodents conferred strong resistance to invasion in our study system, fluctuations in rodent populations due to disturbance and climatic events may provide windows of opportunity for exotic plant species to escape biotic resistance by rodent consumers and initiate invasions.","container-title":"Ecology","DOI":"10.1002/ecy.1391","ISSN":"1939-9170","issue":"7","language":"en","note":"_eprint: https://esajournals.onlinelibrary.wiley.com/doi/pdf/10.1002/ecy.1391","page":"1700-1711","source":"Wiley Online Library","title":"Biotic resistance and disturbance: rodent consumers regulate post-fire plant invasions and increase plant community diversity","title-short":"Biotic resistance and disturbance","URL":"https://esajournals.onlinelibrary.wiley.com/doi/abs/10.1002/ecy.1391","volume":"97","author":[{"family":"St. Clair","given":"Samuel B."},{"family":"O'Connor","given":"Rory"},{"family":"Gill","given":"Richard"},{"family":"McMillan","given":"Brock"}],"accessed":{"date-parts":[["2021",11,3]]},"issued":{"date-parts":[["2016"]]}},"label":"page","suppress-author":true}],"schema":"https://github.com/citation-style-language/schema/raw/master/csl-citation.json"} </w:instrText>
      </w:r>
      <w:r w:rsidRPr="00DA249F">
        <w:rPr>
          <w:lang w:val="en-GB"/>
        </w:rPr>
        <w:fldChar w:fldCharType="separate"/>
      </w:r>
      <w:r w:rsidR="00144D96" w:rsidRPr="00144D96">
        <w:t>(2016)</w:t>
      </w:r>
      <w:r w:rsidRPr="00DA249F">
        <w:rPr>
          <w:lang w:val="en-GB"/>
        </w:rPr>
        <w:fldChar w:fldCharType="end"/>
      </w:r>
      <w:r w:rsidR="00000DFA">
        <w:rPr>
          <w:lang w:val="en-GB"/>
        </w:rPr>
        <w:t>,</w:t>
      </w:r>
      <w:r w:rsidRPr="00DA249F">
        <w:rPr>
          <w:rStyle w:val="CommentReference"/>
          <w:rFonts w:eastAsia="Times New Roman"/>
          <w:lang w:val="en-GB" w:eastAsia="en-AU"/>
        </w:rPr>
        <w:t xml:space="preserve"> </w:t>
      </w:r>
      <w:r w:rsidRPr="00DA249F">
        <w:rPr>
          <w:lang w:val="en-GB"/>
        </w:rPr>
        <w:t xml:space="preserve">found that native rodents suppressed invasion by </w:t>
      </w:r>
      <w:r w:rsidRPr="00DA249F">
        <w:rPr>
          <w:i/>
          <w:iCs/>
          <w:lang w:val="en-GB"/>
        </w:rPr>
        <w:t>Bromus tectorum</w:t>
      </w:r>
      <w:r w:rsidRPr="00DA249F">
        <w:rPr>
          <w:lang w:val="en-GB"/>
        </w:rPr>
        <w:t xml:space="preserve"> (</w:t>
      </w:r>
      <w:r w:rsidR="00632A72" w:rsidRPr="00DA249F">
        <w:rPr>
          <w:lang w:val="en-GB"/>
        </w:rPr>
        <w:t>downy brome</w:t>
      </w:r>
      <w:r w:rsidRPr="00DA249F">
        <w:rPr>
          <w:lang w:val="en-GB"/>
        </w:rPr>
        <w:t xml:space="preserve">) while promoting native plant diversity after fire, providing strong biotic resistance to </w:t>
      </w:r>
      <w:r w:rsidR="00E939E7" w:rsidRPr="00DA249F">
        <w:rPr>
          <w:lang w:val="en-GB"/>
        </w:rPr>
        <w:t xml:space="preserve">invasive alien </w:t>
      </w:r>
      <w:r w:rsidRPr="00DA249F">
        <w:rPr>
          <w:lang w:val="en-GB"/>
        </w:rPr>
        <w:t>plant</w:t>
      </w:r>
      <w:r w:rsidR="00E939E7" w:rsidRPr="00DA249F">
        <w:rPr>
          <w:lang w:val="en-GB"/>
        </w:rPr>
        <w:t>s</w:t>
      </w:r>
      <w:r w:rsidRPr="00DA249F">
        <w:rPr>
          <w:lang w:val="en-GB"/>
        </w:rPr>
        <w:t xml:space="preserve"> through preferential seed and seedling predation</w:t>
      </w:r>
      <w:r w:rsidR="00E939E7" w:rsidRPr="00DA249F">
        <w:rPr>
          <w:lang w:val="en-GB"/>
        </w:rPr>
        <w:t xml:space="preserve"> o</w:t>
      </w:r>
      <w:r w:rsidR="00000DFA">
        <w:rPr>
          <w:lang w:val="en-GB"/>
        </w:rPr>
        <w:t>n</w:t>
      </w:r>
      <w:r w:rsidR="00E939E7" w:rsidRPr="00DA249F">
        <w:rPr>
          <w:lang w:val="en-GB"/>
        </w:rPr>
        <w:t xml:space="preserve"> invasive alien species</w:t>
      </w:r>
      <w:r w:rsidRPr="00DA249F">
        <w:rPr>
          <w:lang w:val="en-GB"/>
        </w:rPr>
        <w:t xml:space="preserve">. </w:t>
      </w:r>
    </w:p>
    <w:p w14:paraId="3A256B35" w14:textId="2F12E8F7" w:rsidR="00F4474D" w:rsidRPr="00DA249F" w:rsidRDefault="264F4D60" w:rsidP="00582D6E">
      <w:pPr>
        <w:rPr>
          <w:lang w:val="en-GB"/>
        </w:rPr>
      </w:pPr>
      <w:r w:rsidRPr="00DA249F">
        <w:rPr>
          <w:lang w:val="en-GB"/>
        </w:rPr>
        <w:t>A meta-analys</w:t>
      </w:r>
      <w:r w:rsidR="003000E0">
        <w:rPr>
          <w:lang w:val="en-GB"/>
        </w:rPr>
        <w:t>i</w:t>
      </w:r>
      <w:r w:rsidRPr="00DA249F">
        <w:rPr>
          <w:lang w:val="en-GB"/>
        </w:rPr>
        <w:t>s of marine experiments revealed the same general trend of diversity-</w:t>
      </w:r>
      <w:r w:rsidR="28815E7B" w:rsidRPr="00DA249F">
        <w:rPr>
          <w:lang w:val="en-GB"/>
        </w:rPr>
        <w:t>mediated</w:t>
      </w:r>
      <w:r w:rsidRPr="00DA249F">
        <w:rPr>
          <w:lang w:val="en-GB"/>
        </w:rPr>
        <w:t xml:space="preserve"> biotic resistance as</w:t>
      </w:r>
      <w:r w:rsidR="55E44185">
        <w:rPr>
          <w:lang w:val="en-GB"/>
        </w:rPr>
        <w:t xml:space="preserve"> was observed</w:t>
      </w:r>
      <w:r w:rsidRPr="00DA249F">
        <w:rPr>
          <w:lang w:val="en-GB"/>
        </w:rPr>
        <w:t xml:space="preserve"> in terrestrial systems; high native primary producer diversity in marine systems confers significant resistance to alien primary producers through competition, whereas low</w:t>
      </w:r>
      <w:r w:rsidR="64DF6A73" w:rsidRPr="00DA249F">
        <w:rPr>
          <w:lang w:val="en-GB"/>
        </w:rPr>
        <w:t>-</w:t>
      </w:r>
      <w:r w:rsidRPr="00DA249F">
        <w:rPr>
          <w:lang w:val="en-GB"/>
        </w:rPr>
        <w:t xml:space="preserve">diversity communities in the same marine systems often fail to do so </w:t>
      </w:r>
      <w:r w:rsidR="008B00BA" w:rsidRPr="00DA249F">
        <w:rPr>
          <w:lang w:val="en-GB"/>
        </w:rPr>
        <w:fldChar w:fldCharType="begin"/>
      </w:r>
      <w:r w:rsidR="00331A79">
        <w:rPr>
          <w:lang w:val="en-GB"/>
        </w:rPr>
        <w:instrText xml:space="preserve"> ADDIN ZOTERO_ITEM CSL_CITATION {"citationID":"kybOa8K9","properties":{"formattedCitation":"(Kimbro et al., 2013)","plainCitation":"(Kimbro et al., 2013)","noteIndex":0},"citationItems":[{"id":30411,"uris":["http://zotero.org/groups/2352922/items/AWFNDA3B"],"itemData":{"id":30411,"type":"article-journal","abstract":"Biological invasions depend in part on the resistance of native communities. Meta-analyses of terrestrial\nexperiments demonstrate that native primary producers and herbivores generally resist invasions of primary\nproducers, and that resistance through competition strengthens with native producer diversity. To test the\ngenerality of these findings, we conducted a meta-analysis of marine experiments. We found that native\nmarine producers generally failed to resist producer invasions through competition unless the native community\nwas diverse, and this diversity effect was weaker in marine than in terrestrial systems. In contrast,\nnative consumers equally resisted invasive producers in both ecosystems. Most marine experiments,\nhowever, tested invasive consumers and these invasions were resisted more strongly than were producer\ninvasions. Given these differences between ecosystems and between marine trophic levels, we used a\nmodel-selection approach to assess if factors other than the resistance mechanism (i.e. competition vs. consumption)\nare more important for predicting marine biotic resistance. These results suggest that understanding\nmarine biotic resistance depends on latitude, habitat and invader taxon, in addition to\ndistinguishing between competition with and consumption by native species. By examining biotic resistance\nwithin and across ecosystems, our work provides a more complete understanding of the factors that underlie\nbiological invasions.","container-title":"Ecology Letters","DOI":"10.1111/ele.12106","ISSN":"https://onlinelibrary.wiley.com/doi/epdf/10.1111/ele.12106","language":"En","page":"821-833","title":"Biotic resistance in marine environments","URL":"https://onlinelibrary.wiley.com/doi/epdf/10.1111/ele.12106","volume":"16","author":[{"family":"Kimbro","given":"David L."},{"family":"Cheng","given":"Brian S."},{"family":"Grosholz","given":"Edwin D."}],"issued":{"date-parts":[["2013"]]}},"label":"page"}],"schema":"https://github.com/citation-style-language/schema/raw/master/csl-citation.json"} </w:instrText>
      </w:r>
      <w:r w:rsidR="008B00BA" w:rsidRPr="00DA249F">
        <w:rPr>
          <w:lang w:val="en-GB"/>
        </w:rPr>
        <w:fldChar w:fldCharType="separate"/>
      </w:r>
      <w:r w:rsidR="6B5F9B9E" w:rsidRPr="00144D96">
        <w:t>(Kimbro et al., 2013)</w:t>
      </w:r>
      <w:r w:rsidR="008B00BA" w:rsidRPr="00DA249F">
        <w:rPr>
          <w:lang w:val="en-GB"/>
        </w:rPr>
        <w:fldChar w:fldCharType="end"/>
      </w:r>
      <w:r w:rsidRPr="00DA249F">
        <w:rPr>
          <w:lang w:val="en-GB"/>
        </w:rPr>
        <w:t xml:space="preserve">. However, unlike terrestrial systems, biotic resistance in freshwater and marine environments might to a larger extent be driven by </w:t>
      </w:r>
      <w:r w:rsidRPr="009C1256">
        <w:rPr>
          <w:lang w:val="en-GB"/>
        </w:rPr>
        <w:t xml:space="preserve">consumption </w:t>
      </w:r>
      <w:r w:rsidR="008B00BA" w:rsidRPr="009C1256">
        <w:rPr>
          <w:lang w:val="en-GB"/>
        </w:rPr>
        <w:fldChar w:fldCharType="begin"/>
      </w:r>
      <w:r w:rsidR="00331A79">
        <w:rPr>
          <w:lang w:val="en-GB"/>
        </w:rPr>
        <w:instrText xml:space="preserve"> ADDIN ZOTERO_ITEM CSL_CITATION {"citationID":"A0hdc6vz","properties":{"formattedCitation":"(Alofs &amp; Jackson, 2014)","plainCitation":"(Alofs &amp; Jackson, 2014)","noteIndex":0},"citationItems":[{"id":26649,"uris":["http://zotero.org/groups/2352922/items/STR5JZFN"],"itemData":{"id":26649,"type":"article-journal","abstract":"Native communities are thought to mediate the establishment and performance of\ninvasive species through competitive and consumptive interactions, a concept referred to as\n‘biotic resistance’. We investigated the generality of this concept across ecosystems. Despite the\nconspicuousness of freshwater invasions, investigations of biotic resistance have focused mostly\non terrestrial and, more recently, marine coastal communities. We collected in-situ studies which\ntested the impacts of native freshwater communities on invading primary producers and\nconsumers. Meta-analysis demonstrated that evidence of competitive biotic resistance in\nfreshwater habitats was not as strong as that in marine and terrestrial ecosystems. In freshwater\necosystems consumptive resistance was significantly stronger than competitive resistance and\n consumptive resistance appeared to be as strong in freshwater as in marine and terrestrial\nsystems. The limited number of studies considering freshwater biotic resistance hindered our\nability to understand the importance of factors including latitude, experimental duration, and method. However, the strength of biotic resistance varied among freshwater habitats;\nspecifically, biotic resistance was strongest in lentic environments. Our analysis identifies\nmechanisms underlying biotic resistance in freshwater ecosystems which warrant further\n investigation given the potential ongoing and future impacts of invasive species in these systems.","container-title":"Ecology","DOI":"10.1890/14-0060.1","issue":"12","page":"3259-3270","title":"Meta-analysis suggests biotic resistance in freshwater environments is driven by consumption rather than competition","volume":"95","author":[{"family":"Alofs","given":"Karen M"},{"family":"Jackson","given":"Donald A"}],"issued":{"date-parts":[["2014",12]]}},"label":"page"}],"schema":"https://github.com/citation-style-language/schema/raw/master/csl-citation.json"} </w:instrText>
      </w:r>
      <w:r w:rsidR="008B00BA" w:rsidRPr="009C1256">
        <w:rPr>
          <w:lang w:val="en-GB"/>
        </w:rPr>
        <w:fldChar w:fldCharType="separate"/>
      </w:r>
      <w:r w:rsidR="6B5F9B9E" w:rsidRPr="00144D96">
        <w:t>(Alofs &amp; Jackson, 2014)</w:t>
      </w:r>
      <w:r w:rsidR="008B00BA" w:rsidRPr="009C1256">
        <w:rPr>
          <w:lang w:val="en-GB"/>
        </w:rPr>
        <w:fldChar w:fldCharType="end"/>
      </w:r>
      <w:r w:rsidRPr="009C1256">
        <w:rPr>
          <w:lang w:val="en-GB"/>
        </w:rPr>
        <w:t>. Resident species at the top of the food chain can prevent invasion by alien species which are lower in the food chain</w:t>
      </w:r>
      <w:r w:rsidRPr="009C1256">
        <w:rPr>
          <w:shd w:val="clear" w:color="auto" w:fill="FFFFFF"/>
          <w:lang w:val="en-GB"/>
        </w:rPr>
        <w:t>.</w:t>
      </w:r>
      <w:r w:rsidRPr="009C1256">
        <w:rPr>
          <w:lang w:val="en-GB"/>
        </w:rPr>
        <w:t xml:space="preserve"> In freshwater systems in the southern United States, Parker &amp; Hay </w:t>
      </w:r>
      <w:r w:rsidR="008B00BA" w:rsidRPr="009C1256">
        <w:rPr>
          <w:lang w:val="en-GB"/>
        </w:rPr>
        <w:fldChar w:fldCharType="begin"/>
      </w:r>
      <w:r w:rsidR="00331A79">
        <w:rPr>
          <w:lang w:val="en-GB"/>
        </w:rPr>
        <w:instrText xml:space="preserve"> ADDIN ZOTERO_ITEM CSL_CITATION {"citationID":"2vG56EZf","properties":{"formattedCitation":"(2005)","plainCitation":"(2005)","noteIndex":0},"citationItems":[{"id":31197,"uris":["http://zotero.org/groups/2352922/items/XB6KXSZW"],"itemData":{"id":31197,"type":"article-journal","abstract":"In contrast to expectations of the enemy release hypothesis, but consistent with the notion of biotic resistance, we found that native generalist crayfishes preferred exotic over native freshwater plants by a 3 : 1 ratio when plants were paired by taxonomic relatedness. Native crayfishes also preferred exotic over native plants when tested across 57 native and 15 exotic plants found growing sympatrically at 11 sites throughout the southeastern USA. Exotic grass carp that share little evolutionary history with most of these plants exhibited no preference for native vs. exotic species. Analyses of three terrestrial data sets showed similar patterns, with native herbivores generally preferring exotic plants, while exotic herbivores rarely exhibited a preference. Thus, exotic plants may escape their coevolved herbivores only to be preferentially consumed by the native generalist herbivores in their new ranges, suggesting that native herbivores may provide biotic resistance to plant invasions.","container-title":"Ecology Letters","DOI":"10.1111/j.1461-0248.2005.00799.x","ISSN":"1461-0248","issue":"9","language":"en","note":"_eprint: https://onlinelibrary.wiley.com/doi/pdf/10.1111/j.1461-0248.2005.00799.x","page":"959-967","source":"Wiley Online Library","title":"Biotic resistance to plant invasions? Native herbivores prefer non-native plants","title-short":"Biotic resistance to plant invasions?","URL":"http://onlinelibrary.wiley.com/doi/abs/10.1111/j.1461-0248.2005.00799.x","volume":"8","author":[{"family":"Parker","given":"John D."},{"family":"Hay","given":"Mark E."}],"accessed":{"date-parts":[["2021",11,3]]},"issued":{"date-parts":[["2005"]]}},"label":"page","suppress-author":true}],"schema":"https://github.com/citation-style-language/schema/raw/master/csl-citation.json"} </w:instrText>
      </w:r>
      <w:r w:rsidR="008B00BA" w:rsidRPr="009C1256">
        <w:rPr>
          <w:lang w:val="en-GB"/>
        </w:rPr>
        <w:fldChar w:fldCharType="separate"/>
      </w:r>
      <w:r w:rsidR="6B5F9B9E" w:rsidRPr="00144D96">
        <w:t>(2005)</w:t>
      </w:r>
      <w:r w:rsidR="008B00BA" w:rsidRPr="009C1256">
        <w:rPr>
          <w:lang w:val="en-GB"/>
        </w:rPr>
        <w:fldChar w:fldCharType="end"/>
      </w:r>
      <w:r w:rsidRPr="009C1256">
        <w:rPr>
          <w:lang w:val="en-GB"/>
        </w:rPr>
        <w:t xml:space="preserve"> found that</w:t>
      </w:r>
      <w:r w:rsidR="55E44185">
        <w:rPr>
          <w:lang w:val="en-GB"/>
        </w:rPr>
        <w:t xml:space="preserve"> </w:t>
      </w:r>
      <w:r w:rsidR="55E44185" w:rsidRPr="009C1256">
        <w:rPr>
          <w:lang w:val="en-GB"/>
        </w:rPr>
        <w:t>native consumers (including crayfish, grasshoppers and slugs) preferred</w:t>
      </w:r>
      <w:r w:rsidRPr="009C1256">
        <w:rPr>
          <w:lang w:val="en-GB"/>
        </w:rPr>
        <w:t xml:space="preserve"> alien plants as </w:t>
      </w:r>
      <w:r w:rsidR="55E44185">
        <w:rPr>
          <w:lang w:val="en-GB"/>
        </w:rPr>
        <w:t xml:space="preserve">a </w:t>
      </w:r>
      <w:r w:rsidRPr="009C1256">
        <w:rPr>
          <w:lang w:val="en-GB"/>
        </w:rPr>
        <w:t>food</w:t>
      </w:r>
      <w:r w:rsidR="55E44185">
        <w:rPr>
          <w:lang w:val="en-GB"/>
        </w:rPr>
        <w:t xml:space="preserve"> source</w:t>
      </w:r>
      <w:r w:rsidRPr="009C1256">
        <w:rPr>
          <w:lang w:val="en-GB"/>
        </w:rPr>
        <w:t xml:space="preserve"> </w:t>
      </w:r>
      <w:r w:rsidR="55E44185">
        <w:rPr>
          <w:lang w:val="en-GB"/>
        </w:rPr>
        <w:t>over</w:t>
      </w:r>
      <w:r w:rsidRPr="009C1256">
        <w:rPr>
          <w:lang w:val="en-GB"/>
        </w:rPr>
        <w:t xml:space="preserve"> native plants, conferring resistance to biological invasion. </w:t>
      </w:r>
      <w:r w:rsidR="55E44185">
        <w:rPr>
          <w:lang w:val="en-GB"/>
        </w:rPr>
        <w:t xml:space="preserve">In another </w:t>
      </w:r>
      <w:r w:rsidR="52F4E5D3" w:rsidRPr="009C1256">
        <w:rPr>
          <w:lang w:val="en-GB"/>
        </w:rPr>
        <w:t xml:space="preserve">example, </w:t>
      </w:r>
      <w:r w:rsidR="55E44185" w:rsidRPr="009C1256">
        <w:rPr>
          <w:lang w:val="en-GB"/>
        </w:rPr>
        <w:t xml:space="preserve">in China </w:t>
      </w:r>
      <w:r w:rsidR="52F4E5D3" w:rsidRPr="009C1256">
        <w:rPr>
          <w:lang w:val="en-GB"/>
        </w:rPr>
        <w:t xml:space="preserve">the native crab </w:t>
      </w:r>
      <w:r w:rsidR="52F4E5D3" w:rsidRPr="5575EBFC">
        <w:rPr>
          <w:i/>
          <w:iCs/>
          <w:lang w:val="en-GB"/>
        </w:rPr>
        <w:t>Helice tientsinensis</w:t>
      </w:r>
      <w:r w:rsidR="52F4E5D3" w:rsidRPr="009C1256">
        <w:rPr>
          <w:lang w:val="en-GB"/>
        </w:rPr>
        <w:t xml:space="preserve"> </w:t>
      </w:r>
      <w:r w:rsidRPr="009C1256">
        <w:rPr>
          <w:lang w:val="en-GB"/>
        </w:rPr>
        <w:t xml:space="preserve">effectively inhibits </w:t>
      </w:r>
      <w:r w:rsidR="0021E8F1" w:rsidRPr="5575EBFC">
        <w:rPr>
          <w:i/>
          <w:iCs/>
          <w:lang w:val="en-GB"/>
        </w:rPr>
        <w:t>Sporobolus alterniflorus</w:t>
      </w:r>
      <w:r w:rsidRPr="009C1256">
        <w:rPr>
          <w:lang w:val="en-GB"/>
        </w:rPr>
        <w:t xml:space="preserve"> </w:t>
      </w:r>
      <w:r w:rsidR="26E0A268" w:rsidRPr="009C1256">
        <w:rPr>
          <w:lang w:val="en-GB"/>
        </w:rPr>
        <w:t xml:space="preserve">(smooth cordgrass) </w:t>
      </w:r>
      <w:r w:rsidRPr="009C1256">
        <w:rPr>
          <w:lang w:val="en-GB"/>
        </w:rPr>
        <w:t xml:space="preserve">invasion </w:t>
      </w:r>
      <w:r w:rsidR="55E44185">
        <w:rPr>
          <w:lang w:val="en-GB"/>
        </w:rPr>
        <w:t>in</w:t>
      </w:r>
      <w:r w:rsidRPr="009C1256">
        <w:rPr>
          <w:lang w:val="en-GB"/>
        </w:rPr>
        <w:t xml:space="preserve"> anthropogenic ditches, high marshes and estuarine mangrove forest by grazing </w:t>
      </w:r>
      <w:r w:rsidR="12087612" w:rsidRPr="00DA249F">
        <w:rPr>
          <w:lang w:val="en-GB"/>
        </w:rPr>
        <w:t>seedlings</w:t>
      </w:r>
      <w:r w:rsidR="12087612" w:rsidRPr="009C1256">
        <w:rPr>
          <w:lang w:val="en-GB"/>
        </w:rPr>
        <w:t xml:space="preserve"> </w:t>
      </w:r>
      <w:r w:rsidRPr="009C1256">
        <w:rPr>
          <w:lang w:val="en-GB"/>
        </w:rPr>
        <w:t>and</w:t>
      </w:r>
      <w:r w:rsidRPr="00DA249F">
        <w:rPr>
          <w:lang w:val="en-GB"/>
        </w:rPr>
        <w:t xml:space="preserve"> suppressing the</w:t>
      </w:r>
      <w:r w:rsidR="12087612">
        <w:rPr>
          <w:lang w:val="en-GB"/>
        </w:rPr>
        <w:t>ir</w:t>
      </w:r>
      <w:r w:rsidRPr="00DA249F">
        <w:rPr>
          <w:lang w:val="en-GB"/>
        </w:rPr>
        <w:t xml:space="preserve"> density and survival </w:t>
      </w:r>
      <w:r w:rsidR="008B00BA" w:rsidRPr="00DA249F">
        <w:rPr>
          <w:lang w:val="en-GB"/>
        </w:rPr>
        <w:fldChar w:fldCharType="begin"/>
      </w:r>
      <w:r w:rsidR="00331A79">
        <w:rPr>
          <w:lang w:val="en-GB"/>
        </w:rPr>
        <w:instrText xml:space="preserve"> ADDIN ZOTERO_ITEM CSL_CITATION {"citationID":"1tczcSZN","properties":{"formattedCitation":"(Ning et al., 2019)","plainCitation":"(Ning et al., 2019)","noteIndex":0},"citationItems":[{"id":31195,"uris":["http://zotero.org/groups/2352922/items/ZCH8WQRC"],"itemData":{"id":31195,"type":"article-journal","abstract":"The extent by which human activities create an inroad for the invasion of exotic plant species and the mechanisms that drive a disturbed ecosystem’s resistance to exotic invasion is largely unknown. We investigated the mechanisms by which salt marsh resists cordgrass (Spartina alterniﬂora) invasion by two key factors: anthropogenic disturbance by ditching and herbivory by the native crab Helice tientsinensis. In northern China, although abiotic resistance (i.e., hyper-stresses) inhibited the landward invasion of cordgrass to high marshes, our transplant experiments showed that anthropogenic ditching created windows of opportunity for cordgrass invasion to high marshes by enhancing propagule pressure and providing favorable (i.e., low-salinity and high-inundation) microhabitats for colonization. Furthermore, a native herbivore exclusion experiment showed that crab grazing strongly suppressed seedling establishment and growth of cordgrass in ditched high marshes, which gradually created native biotic resistance to cordgrass invasion. We conclude that grazing by native herbivores can enhance the resistance of high marshes to cordgrass invasion triggered by anthropogenic ditching disturbance in northern China. These ﬁndings highlight that it is critical to investigate ecosystem resistance associated with anthropogenic disturbance to better understand the multiple mechanisms of exotic plant invasion, and we call for integration of these ﬁndings into invasion control strategies.","container-title":"Ecosphere","DOI":"10.1002/ecs2.2565","ISSN":"2150-8925, 2150-8925","issue":"1","journalAbbreviation":"Ecosphere","language":"en","source":"DOI.org (Crossref)","title":"Native herbivores enhance the resistance of an anthropogenically disturbed salt marsh to &lt;i&gt;Spartina alterniflora&lt;/i&gt; invasion","URL":"https://onlinelibrary.wiley.com/doi/10.1002/ecs2.2565","volume":"10","author":[{"family":"Ning","given":"Zhonghua"},{"family":"Xie","given":"Tian"},{"family":"Liu","given":"Zezheng"},{"family":"Bai","given":"Junhong"},{"family":"Cui","given":"Baoshan"}],"accessed":{"date-parts":[["2021",11,3]]},"issued":{"date-parts":[["2019",1]]}},"label":"page"}],"schema":"https://github.com/citation-style-language/schema/raw/master/csl-citation.json"} </w:instrText>
      </w:r>
      <w:r w:rsidR="008B00BA" w:rsidRPr="00DA249F">
        <w:rPr>
          <w:lang w:val="en-GB"/>
        </w:rPr>
        <w:fldChar w:fldCharType="separate"/>
      </w:r>
      <w:r w:rsidR="6B5F9B9E" w:rsidRPr="00144D96">
        <w:t>(Ning et al., 2019)</w:t>
      </w:r>
      <w:r w:rsidR="008B00BA" w:rsidRPr="00DA249F">
        <w:rPr>
          <w:lang w:val="en-GB"/>
        </w:rPr>
        <w:fldChar w:fldCharType="end"/>
      </w:r>
      <w:r w:rsidRPr="00DA249F">
        <w:rPr>
          <w:lang w:val="en-GB"/>
        </w:rPr>
        <w:t xml:space="preserve">. In rainforest of Christmas Island, Indian Ocean, </w:t>
      </w:r>
      <w:r w:rsidR="28C75536" w:rsidRPr="5575EBFC">
        <w:rPr>
          <w:i/>
          <w:iCs/>
          <w:lang w:val="en-GB"/>
        </w:rPr>
        <w:t>Gecarcoidea natalis</w:t>
      </w:r>
      <w:r w:rsidR="28C75536" w:rsidRPr="00DA249F">
        <w:rPr>
          <w:lang w:val="en-GB"/>
        </w:rPr>
        <w:t xml:space="preserve"> (</w:t>
      </w:r>
      <w:r w:rsidR="4D675419" w:rsidRPr="00DA249F">
        <w:rPr>
          <w:rFonts w:eastAsia="Times New Roman"/>
          <w:lang w:val="en-GB"/>
        </w:rPr>
        <w:t>Christmas Island red crab</w:t>
      </w:r>
      <w:r w:rsidRPr="00DA249F">
        <w:rPr>
          <w:lang w:val="en-GB"/>
        </w:rPr>
        <w:t xml:space="preserve">) can kill the introduced </w:t>
      </w:r>
      <w:r w:rsidR="10139CC9" w:rsidRPr="5575EBFC">
        <w:rPr>
          <w:i/>
          <w:iCs/>
          <w:lang w:val="en-GB"/>
        </w:rPr>
        <w:t>Lissa</w:t>
      </w:r>
      <w:r w:rsidR="28C75536" w:rsidRPr="5575EBFC">
        <w:rPr>
          <w:i/>
          <w:iCs/>
          <w:lang w:val="en-GB"/>
        </w:rPr>
        <w:t>chatina fulica</w:t>
      </w:r>
      <w:r w:rsidR="28C75536" w:rsidRPr="00DA249F">
        <w:rPr>
          <w:lang w:val="en-GB"/>
        </w:rPr>
        <w:t xml:space="preserve"> (</w:t>
      </w:r>
      <w:r w:rsidRPr="00DA249F">
        <w:rPr>
          <w:lang w:val="en-GB"/>
        </w:rPr>
        <w:t>giant African</w:t>
      </w:r>
      <w:r w:rsidR="3FB1318B" w:rsidRPr="00DA249F">
        <w:rPr>
          <w:lang w:val="en-GB"/>
        </w:rPr>
        <w:t xml:space="preserve"> land</w:t>
      </w:r>
      <w:r w:rsidRPr="00DA249F">
        <w:rPr>
          <w:lang w:val="en-GB"/>
        </w:rPr>
        <w:t xml:space="preserve"> snai</w:t>
      </w:r>
      <w:r w:rsidR="41AE1F39" w:rsidRPr="00DA249F">
        <w:rPr>
          <w:lang w:val="en-GB"/>
        </w:rPr>
        <w:t>l</w:t>
      </w:r>
      <w:r w:rsidRPr="00DA249F">
        <w:rPr>
          <w:lang w:val="en-GB"/>
        </w:rPr>
        <w:t>), restrict</w:t>
      </w:r>
      <w:r w:rsidR="6586B086" w:rsidRPr="00DA249F">
        <w:rPr>
          <w:lang w:val="en-GB"/>
        </w:rPr>
        <w:t>ing</w:t>
      </w:r>
      <w:r w:rsidRPr="00DA249F">
        <w:rPr>
          <w:lang w:val="en-GB"/>
        </w:rPr>
        <w:t xml:space="preserve"> the distribution of </w:t>
      </w:r>
      <w:r w:rsidR="41AE1F39" w:rsidRPr="00DA249F">
        <w:rPr>
          <w:lang w:val="en-GB"/>
        </w:rPr>
        <w:t xml:space="preserve">giant </w:t>
      </w:r>
      <w:r w:rsidRPr="00DA249F">
        <w:rPr>
          <w:lang w:val="en-GB"/>
        </w:rPr>
        <w:t>African</w:t>
      </w:r>
      <w:r w:rsidR="41AE1F39" w:rsidRPr="00DA249F">
        <w:rPr>
          <w:lang w:val="en-GB"/>
        </w:rPr>
        <w:t xml:space="preserve"> land</w:t>
      </w:r>
      <w:r w:rsidRPr="00DA249F">
        <w:rPr>
          <w:lang w:val="en-GB"/>
        </w:rPr>
        <w:t xml:space="preserve"> snail</w:t>
      </w:r>
      <w:r w:rsidR="1F619975" w:rsidRPr="00DA249F">
        <w:rPr>
          <w:lang w:val="en-GB"/>
        </w:rPr>
        <w:t>s</w:t>
      </w:r>
      <w:r w:rsidRPr="00DA249F">
        <w:rPr>
          <w:lang w:val="en-GB"/>
        </w:rPr>
        <w:t xml:space="preserve"> </w:t>
      </w:r>
      <w:r w:rsidR="47B24D22" w:rsidRPr="00DA249F">
        <w:rPr>
          <w:lang w:val="en-GB"/>
        </w:rPr>
        <w:t xml:space="preserve">and thus </w:t>
      </w:r>
      <w:r w:rsidRPr="00DA249F">
        <w:rPr>
          <w:lang w:val="en-GB"/>
        </w:rPr>
        <w:t xml:space="preserve">conferring biotic resistance to </w:t>
      </w:r>
      <w:r w:rsidR="41AE1F39" w:rsidRPr="00DA249F">
        <w:rPr>
          <w:lang w:val="en-GB"/>
        </w:rPr>
        <w:t xml:space="preserve">biological </w:t>
      </w:r>
      <w:r w:rsidRPr="00DA249F">
        <w:rPr>
          <w:lang w:val="en-GB"/>
        </w:rPr>
        <w:t>invasion</w:t>
      </w:r>
      <w:r w:rsidR="41AE1F39" w:rsidRPr="00DA249F">
        <w:rPr>
          <w:lang w:val="en-GB"/>
        </w:rPr>
        <w:t>s</w:t>
      </w:r>
      <w:r w:rsidRPr="00DA249F">
        <w:rPr>
          <w:lang w:val="en-GB"/>
        </w:rPr>
        <w:t xml:space="preserve"> in undisturbed habitats on th</w:t>
      </w:r>
      <w:r w:rsidR="1F619975" w:rsidRPr="00DA249F">
        <w:rPr>
          <w:lang w:val="en-GB"/>
        </w:rPr>
        <w:t>e</w:t>
      </w:r>
      <w:r w:rsidRPr="00DA249F">
        <w:rPr>
          <w:lang w:val="en-GB"/>
        </w:rPr>
        <w:t xml:space="preserve"> island </w:t>
      </w:r>
      <w:r w:rsidR="008B00BA" w:rsidRPr="00DA249F">
        <w:rPr>
          <w:lang w:val="en-GB"/>
        </w:rPr>
        <w:fldChar w:fldCharType="begin"/>
      </w:r>
      <w:r w:rsidR="00331A79">
        <w:rPr>
          <w:lang w:val="en-GB"/>
        </w:rPr>
        <w:instrText xml:space="preserve"> ADDIN ZOTERO_ITEM CSL_CITATION {"citationID":"1Hf2cyWh","properties":{"formattedCitation":"(Lake &amp; O\\uc0\\u8217{}Dowd, 1991)","plainCitation":"(Lake &amp; O’Dowd, 1991)","noteIndex":0},"citationItems":[{"id":31196,"uris":["http://zotero.org/groups/2352922/items/HSVBKFZ7"],"itemData":{"id":31196,"type":"article-journal","abstract":"A widely held view is that biotic resistance to invasion on oceanic islands is weak. On Christmas Island, Indian Ocean, the endemic red crab (Gecarcoidea natalis) and the introduced giant African snail (Achatina fulica) showed inverse patterns of abundance along gradients from disturbed habitat to intact rain forest: empty, but intact snail shells were abundant in disturbed habitat and rare in adjacent rain forest, while red crabs were abundant in rain forest and uncommon in disturbed habitat. The proportion of total snail shells that had been damaged by red crabs was much greater in rain forest. When snails were transplanted and tethered in both habitats, 97% were killed by red crabs in rain forest after 48 h, while in disturbed habitat only 22% of snails were killed by red crabs and the introduced fire ant (Solenopsis geminata). These results suggest that an endemic omnivore may restrict the distribution of an invader and that biotic resistance to invasion in undisturbed habitats can be strong on some islands.","container-title":"Oikos","DOI":"10.2307/3545442","ISSN":"0030-1299","issue":"1","note":"publisher: [Nordic Society Oikos, Wiley]","page":"25-29","source":"JSTOR","title":"Red Crabs in Rain Forest, Christmas Island: Biotic Resistance to Invasion by an Exotic Snail","title-short":"Red Crabs in Rain Forest, Christmas Island","URL":"https://www.jstor.org/stable/3545442","volume":"62","author":[{"family":"Lake","given":"P. S."},{"family":"O'Dowd","given":"Dennis J."}],"accessed":{"date-parts":[["2021",11,3]]},"issued":{"date-parts":[["1991"]]}},"label":"page"}],"schema":"https://github.com/citation-style-language/schema/raw/master/csl-citation.json"} </w:instrText>
      </w:r>
      <w:r w:rsidR="008B00BA" w:rsidRPr="00DA249F">
        <w:rPr>
          <w:lang w:val="en-GB"/>
        </w:rPr>
        <w:fldChar w:fldCharType="separate"/>
      </w:r>
      <w:r w:rsidR="6B5F9B9E" w:rsidRPr="5575EBFC">
        <w:t>(Lake &amp; O’Dowd, 1991)</w:t>
      </w:r>
      <w:r w:rsidR="008B00BA" w:rsidRPr="00DA249F">
        <w:rPr>
          <w:lang w:val="en-GB"/>
        </w:rPr>
        <w:fldChar w:fldCharType="end"/>
      </w:r>
      <w:r w:rsidRPr="00DA249F">
        <w:rPr>
          <w:lang w:val="en-GB"/>
        </w:rPr>
        <w:t xml:space="preserve">. </w:t>
      </w:r>
      <w:r w:rsidR="00F36AD1" w:rsidRPr="00DA249F">
        <w:rPr>
          <w:lang w:val="en-GB"/>
        </w:rPr>
        <w:br w:type="page"/>
      </w:r>
    </w:p>
    <w:p w14:paraId="488EA2F9" w14:textId="77777777" w:rsidR="008C1BF7" w:rsidRPr="00DA249F" w:rsidRDefault="75BB8B69" w:rsidP="00370C81">
      <w:pPr>
        <w:pStyle w:val="Heading1"/>
        <w:rPr>
          <w:lang w:val="en-GB"/>
        </w:rPr>
      </w:pPr>
      <w:bookmarkStart w:id="221" w:name="_Toc18405862"/>
      <w:bookmarkStart w:id="222" w:name="_Toc44317854"/>
      <w:r w:rsidRPr="5575EBFC">
        <w:rPr>
          <w:lang w:val="en-GB"/>
        </w:rPr>
        <w:lastRenderedPageBreak/>
        <w:t xml:space="preserve"> </w:t>
      </w:r>
      <w:bookmarkStart w:id="223" w:name="_Toc116242168"/>
      <w:bookmarkStart w:id="224" w:name="_Toc146898476"/>
      <w:r w:rsidR="316D4E5D" w:rsidRPr="5575EBFC">
        <w:rPr>
          <w:lang w:val="en-GB"/>
        </w:rPr>
        <w:t xml:space="preserve">Multiple, additive or interacting effects </w:t>
      </w:r>
      <w:r w:rsidR="607959A5" w:rsidRPr="5575EBFC">
        <w:rPr>
          <w:lang w:val="en-GB"/>
        </w:rPr>
        <w:t xml:space="preserve">of </w:t>
      </w:r>
      <w:r w:rsidR="316D4E5D" w:rsidRPr="5575EBFC">
        <w:rPr>
          <w:lang w:val="en-GB"/>
        </w:rPr>
        <w:t>drivers</w:t>
      </w:r>
      <w:bookmarkEnd w:id="221"/>
      <w:bookmarkEnd w:id="222"/>
      <w:r w:rsidR="607959A5" w:rsidRPr="5575EBFC">
        <w:rPr>
          <w:lang w:val="en-GB"/>
        </w:rPr>
        <w:t xml:space="preserve"> affecting invasive alien species</w:t>
      </w:r>
      <w:bookmarkEnd w:id="223"/>
      <w:bookmarkEnd w:id="224"/>
    </w:p>
    <w:p w14:paraId="230F18AE" w14:textId="1892B1C0" w:rsidR="009249C2" w:rsidRPr="00DA249F" w:rsidRDefault="4BF548E0" w:rsidP="0090109B">
      <w:pPr>
        <w:rPr>
          <w:lang w:val="en-GB"/>
        </w:rPr>
      </w:pPr>
      <w:r w:rsidRPr="5575EBFC">
        <w:rPr>
          <w:lang w:val="en-GB"/>
        </w:rPr>
        <w:t xml:space="preserve">The </w:t>
      </w:r>
      <w:r w:rsidR="661DE3CC" w:rsidRPr="5575EBFC">
        <w:rPr>
          <w:lang w:val="en-GB"/>
        </w:rPr>
        <w:t xml:space="preserve">evidence that </w:t>
      </w:r>
      <w:r w:rsidR="19E74E28" w:rsidRPr="5575EBFC">
        <w:rPr>
          <w:lang w:val="en-GB"/>
        </w:rPr>
        <w:t>the</w:t>
      </w:r>
      <w:r w:rsidR="661DE3CC" w:rsidRPr="5575EBFC">
        <w:rPr>
          <w:lang w:val="en-GB"/>
        </w:rPr>
        <w:t xml:space="preserve"> majority of the </w:t>
      </w:r>
      <w:r w:rsidR="42EA6406" w:rsidRPr="5575EBFC">
        <w:rPr>
          <w:lang w:val="en-GB"/>
        </w:rPr>
        <w:t>E</w:t>
      </w:r>
      <w:r w:rsidR="661DE3CC" w:rsidRPr="5575EBFC">
        <w:rPr>
          <w:lang w:val="en-GB"/>
        </w:rPr>
        <w:t>arth’s ecosystems</w:t>
      </w:r>
      <w:r w:rsidRPr="5575EBFC">
        <w:rPr>
          <w:lang w:val="en-GB"/>
        </w:rPr>
        <w:t xml:space="preserve"> </w:t>
      </w:r>
      <w:r w:rsidR="661DE3CC" w:rsidRPr="5575EBFC">
        <w:rPr>
          <w:lang w:val="en-GB"/>
        </w:rPr>
        <w:t xml:space="preserve">are subject to </w:t>
      </w:r>
      <w:r w:rsidR="37B61DAE" w:rsidRPr="5575EBFC">
        <w:rPr>
          <w:lang w:val="en-GB"/>
        </w:rPr>
        <w:t xml:space="preserve">complex </w:t>
      </w:r>
      <w:r w:rsidRPr="5575EBFC">
        <w:rPr>
          <w:lang w:val="en-GB"/>
        </w:rPr>
        <w:t>threat</w:t>
      </w:r>
      <w:r w:rsidR="37B61DAE" w:rsidRPr="5575EBFC">
        <w:rPr>
          <w:lang w:val="en-GB"/>
        </w:rPr>
        <w:t>s</w:t>
      </w:r>
      <w:r w:rsidRPr="5575EBFC">
        <w:rPr>
          <w:lang w:val="en-GB"/>
        </w:rPr>
        <w:t xml:space="preserve"> </w:t>
      </w:r>
      <w:r w:rsidR="216A70F6" w:rsidRPr="5575EBFC">
        <w:rPr>
          <w:lang w:val="en-GB"/>
        </w:rPr>
        <w:t>from</w:t>
      </w:r>
      <w:r w:rsidRPr="5575EBFC">
        <w:rPr>
          <w:lang w:val="en-GB"/>
        </w:rPr>
        <w:t xml:space="preserve"> </w:t>
      </w:r>
      <w:r w:rsidR="661DE3CC" w:rsidRPr="5575EBFC">
        <w:rPr>
          <w:lang w:val="en-GB"/>
        </w:rPr>
        <w:t>several concurrent, interacting</w:t>
      </w:r>
      <w:r w:rsidR="00774819">
        <w:rPr>
          <w:lang w:val="en-GB"/>
        </w:rPr>
        <w:t xml:space="preserve"> and</w:t>
      </w:r>
      <w:r w:rsidR="661DE3CC" w:rsidRPr="5575EBFC">
        <w:rPr>
          <w:lang w:val="en-GB"/>
        </w:rPr>
        <w:t xml:space="preserve"> </w:t>
      </w:r>
      <w:r w:rsidR="494BDD6B" w:rsidRPr="5575EBFC">
        <w:rPr>
          <w:lang w:val="en-GB"/>
        </w:rPr>
        <w:t>exacerbating</w:t>
      </w:r>
      <w:r w:rsidR="661DE3CC" w:rsidRPr="5575EBFC">
        <w:rPr>
          <w:lang w:val="en-GB"/>
        </w:rPr>
        <w:t xml:space="preserve"> </w:t>
      </w:r>
      <w:r w:rsidR="653902EA" w:rsidRPr="5575EBFC">
        <w:rPr>
          <w:lang w:val="en-GB"/>
        </w:rPr>
        <w:t>drivers of change in nature</w:t>
      </w:r>
      <w:r w:rsidR="661DE3CC" w:rsidRPr="5575EBFC">
        <w:rPr>
          <w:lang w:val="en-GB"/>
        </w:rPr>
        <w:t xml:space="preserve"> is </w:t>
      </w:r>
      <w:r w:rsidR="25755C30" w:rsidRPr="5575EBFC">
        <w:rPr>
          <w:lang w:val="en-GB"/>
        </w:rPr>
        <w:t>unequivocal</w:t>
      </w:r>
      <w:r w:rsidR="661DE3CC" w:rsidRPr="5575EBFC">
        <w:rPr>
          <w:lang w:val="en-GB"/>
        </w:rPr>
        <w:t xml:space="preserve"> </w:t>
      </w:r>
      <w:r w:rsidR="448AF366" w:rsidRPr="5575EBFC">
        <w:rPr>
          <w:lang w:val="en-GB"/>
        </w:rPr>
        <w:fldChar w:fldCharType="begin"/>
      </w:r>
      <w:r w:rsidR="00F5121E">
        <w:rPr>
          <w:lang w:val="en-GB"/>
        </w:rPr>
        <w:instrText xml:space="preserve"> ADDIN ZOTERO_ITEM CSL_CITATION {"citationID":"JDu12Fu7","properties":{"formattedCitation":"(IPBES, 2019)","plainCitation":"(IPBES, 2019)","noteIndex":0},"citationItems":[{"id":53933,"uris":["http://zotero.org/groups/2352922/items/JYFISR8Z","http://zotero.org/groups/2352922/items/ZACZGHZL"],"itemData":{"id":53933,"type":"report","abstract":"IPBES is to perform regular and timely assessments of knowledge on biodiversity and ecosystem services and their interlinkages at the global level. Also addressing an invitation by the Conference of the Parties of the Convention on Biological Diversity (CBD) to prepare a global assessment of biodiversity and ecosystem services building, inter alia, on its own and other relevant regional, subregional and thematic assessments, as well as on national reports. The overall scope of the assessment is to assess the status and trends with regard to biodiversity and ecosystem services, the impact of biodiversity and ecosystem services on human well-being and the effectiveness of responses, including the Strategic Plan and its Aichi Biodiversity Targets. It is anticipated that this deliverable will contribute to the process for the evaluation and renewal of the Strategic Plan for Biodiversity and its Aichi Biodiversity Targets. The IPBES Global Assessment on Biodiversity and Ecosystem Services is composed of 1) a Summary for Policymakers (SPM), approved by the IPBES Plenary at its 7th session in May 2019 in Paris, France (IPBES-7); and 2) a set of six Chapters, accepted by the IPBES Plenary.","language":"en","license":"Creative Commons Attribution 4.0 International, Open Access","note":"Version Number 1\nDOI: 10.5281/ZENODO.3831673","publisher":"Secretariat of the Intergovernmental Science-Policy Platform on Biodiversity and Ecosystem Services","source":"DOI.org (Datacite)","title":"Global assessment report on biodiversity and ecosystem services of the Intergovernmental Science-Policy Platform on Biodiversity and Ecosystem Services","URL":"https://zenodo.org/record/3831673","author":[{"literal":"IPBES"}],"contributor":[{"family":"Brondizio","given":"Eduardo"},{"family":"Diaz","given":"Sandra"},{"family":"Settele","given":"Josef"},{"family":"Ngo","given":"Hien T."}],"accessed":{"date-parts":[["2023",1,5]]},"issued":{"date-parts":[["2019"]]}}}],"schema":"https://github.com/citation-style-language/schema/raw/master/csl-citation.json"} </w:instrText>
      </w:r>
      <w:r w:rsidR="448AF366" w:rsidRPr="5575EBFC">
        <w:rPr>
          <w:lang w:val="en-GB"/>
        </w:rPr>
        <w:fldChar w:fldCharType="separate"/>
      </w:r>
      <w:r w:rsidR="6B5F9B9E">
        <w:t>(IPBES, 2019)</w:t>
      </w:r>
      <w:r w:rsidR="448AF366" w:rsidRPr="5575EBFC">
        <w:rPr>
          <w:lang w:val="en-GB"/>
        </w:rPr>
        <w:fldChar w:fldCharType="end"/>
      </w:r>
      <w:r w:rsidR="2FA21BCF" w:rsidRPr="5575EBFC">
        <w:rPr>
          <w:lang w:val="en-GB"/>
        </w:rPr>
        <w:t>.</w:t>
      </w:r>
      <w:r w:rsidR="661DE3CC" w:rsidRPr="5575EBFC">
        <w:rPr>
          <w:lang w:val="en-GB"/>
        </w:rPr>
        <w:t xml:space="preserve"> The net effect of drivers </w:t>
      </w:r>
      <w:r w:rsidR="6500304F" w:rsidRPr="5575EBFC">
        <w:rPr>
          <w:lang w:val="en-GB"/>
        </w:rPr>
        <w:t>is</w:t>
      </w:r>
      <w:r w:rsidR="47B89700" w:rsidRPr="5575EBFC">
        <w:rPr>
          <w:lang w:val="en-GB"/>
        </w:rPr>
        <w:t xml:space="preserve"> often not additive, </w:t>
      </w:r>
      <w:r w:rsidR="36A8177A" w:rsidRPr="5575EBFC">
        <w:rPr>
          <w:lang w:val="en-GB"/>
        </w:rPr>
        <w:t xml:space="preserve">as </w:t>
      </w:r>
      <w:r w:rsidR="72EA88B7" w:rsidRPr="5575EBFC">
        <w:rPr>
          <w:lang w:val="en-GB"/>
        </w:rPr>
        <w:t xml:space="preserve">drivers </w:t>
      </w:r>
      <w:r w:rsidR="313DEDC6" w:rsidRPr="5575EBFC">
        <w:rPr>
          <w:lang w:val="en-GB"/>
        </w:rPr>
        <w:t>can reinforce or mitigate eac</w:t>
      </w:r>
      <w:r w:rsidR="7B592BE1" w:rsidRPr="5575EBFC">
        <w:rPr>
          <w:lang w:val="en-GB"/>
        </w:rPr>
        <w:t xml:space="preserve">h other’s effects </w:t>
      </w:r>
      <w:r w:rsidR="661DE3CC" w:rsidRPr="5575EBFC">
        <w:rPr>
          <w:lang w:val="en-GB"/>
        </w:rPr>
        <w:t>(</w:t>
      </w:r>
      <w:r w:rsidR="1CD87477" w:rsidRPr="5575EBFC">
        <w:rPr>
          <w:lang w:val="en-GB"/>
        </w:rPr>
        <w:t xml:space="preserve">i.e., </w:t>
      </w:r>
      <w:r w:rsidR="47B89700" w:rsidRPr="5575EBFC">
        <w:rPr>
          <w:lang w:val="en-GB"/>
        </w:rPr>
        <w:t xml:space="preserve">be </w:t>
      </w:r>
      <w:r w:rsidR="661DE3CC" w:rsidRPr="5575EBFC">
        <w:rPr>
          <w:lang w:val="en-GB"/>
        </w:rPr>
        <w:t>syne</w:t>
      </w:r>
      <w:r w:rsidR="0DC6BC74" w:rsidRPr="5575EBFC">
        <w:rPr>
          <w:lang w:val="en-GB"/>
        </w:rPr>
        <w:t>rgistic</w:t>
      </w:r>
      <w:r w:rsidR="7B592BE1" w:rsidRPr="5575EBFC">
        <w:rPr>
          <w:lang w:val="en-GB"/>
        </w:rPr>
        <w:t xml:space="preserve"> or</w:t>
      </w:r>
      <w:r w:rsidR="0DC6BC74" w:rsidRPr="5575EBFC">
        <w:rPr>
          <w:lang w:val="en-GB"/>
        </w:rPr>
        <w:t xml:space="preserve"> antagonistic</w:t>
      </w:r>
      <w:r w:rsidR="4CEF3FC7" w:rsidRPr="5575EBFC">
        <w:rPr>
          <w:lang w:val="en-GB"/>
        </w:rPr>
        <w:t>;</w:t>
      </w:r>
      <w:r w:rsidR="661DE3CC" w:rsidRPr="5575EBFC">
        <w:rPr>
          <w:lang w:val="en-GB"/>
        </w:rPr>
        <w:t xml:space="preserve"> </w:t>
      </w:r>
      <w:r w:rsidR="448AF366" w:rsidRPr="5575EBFC">
        <w:rPr>
          <w:lang w:val="en-GB"/>
        </w:rPr>
        <w:fldChar w:fldCharType="begin"/>
      </w:r>
      <w:r w:rsidR="00331A79">
        <w:rPr>
          <w:lang w:val="en-GB"/>
        </w:rPr>
        <w:instrText xml:space="preserve"> ADDIN ZOTERO_ITEM CSL_CITATION {"citationID":"Pcl26ZSB","properties":{"formattedCitation":"(Font\\uc0\\u250{}rbel, 2020; Jackson et al., 2016; Py\\uc0\\u353{}ek et al., 2020)","plainCitation":"(Fontúrbel, 2020; Jackson et al., 2016; Pyšek et al., 2020)","dontUpdate":true,"noteIndex":0},"citationItems":[{"id":27330,"uris":["http://zotero.org/groups/2352922/items/5IYHHR7M"],"itemData":{"id":27330,"type":"article-journal","abstract":"Mistletoes are a group of flowering plants that have developed a parasitic lifeform through complex eco-evolutionary processes. Despite being considered a pest, mistletoes represent a keystone forest resource and are involved in complex plant–plant and plant–animal interactions. Their parasitic lifeform and specialized ecological interactions make mistletoes an ideal model with which to understand the effects of anthropogenic disturbances in a changing world. The accelerated growth of the human population has altered all ecosystems on Earth, leading to biodiversity loss. Land-use changes (involving habitat loss, fragmentation, degradation, and transformation processes) can alter the ecological scenario for mistletoe by altering hosts, mutualists, and nutrient cycling. Those changes may have large consequences at the community level, changing the spatial structure of mistletoes, as well as interaction effectiveness, facilitation process, interaction disruption, and novel interactions with invasive species, leading to non-analog communities in the long run. Furthermore, climate change effects operate on a global scale, enhancing the effects of land-use changes. As temperatures increase, many species would alter their distribution and phenology, potentially causing spatial and temporal mismatches. But more critical is the fact that water stress is likely to disrupt key ecological interactions. Thus, mistletoes can provide valuable insights for what we can expect in the future, as a result of human disturbances.","container-title":"Botany","DOI":"10.1139/cjb-2019-0195","ISSN":"1916-2790, 1916-2804","issue":"9","journalAbbreviation":"Botany","language":"en","page":"479-488","source":"DOI.org (Crossref)","title":"Mistletoes in a changing world: a premonition of a non-analog future?","title-short":"Mistletoes in a changing world","URL":"http://www.nrcresearchpress.com/doi/10.1139/cjb-2019-0195","volume":"98","author":[{"family":"Fontúrbel","given":"Francisco E."}],"accessed":{"date-parts":[["2021",7,7]]},"issued":{"date-parts":[["2020",9]]}},"label":"page"},{"id":27329,"uris":["http://zotero.org/groups/2352922/items/3FNGP7DF"],"itemData":{"id":27329,"type":"article-journal","container-title":"Global Change Biology","DOI":"10.1111/gcb.13028","ISSN":"13541013","issue":"1","journalAbbreviation":"Glob Change Biol","language":"en","page":"180-189","source":"DOI.org (Crossref)","title":"Net effects of multiple stressors in freshwater ecosystems: a meta-analysis","title-short":"Net effects of multiple stressors in freshwater ecosystems","URL":"https://onlinelibrary.wiley.com/doi/10.1111/gcb.13028","volume":"22","author":[{"family":"Jackson","given":"Michelle C."},{"family":"Loewen","given":"Charlie J. G."},{"family":"Vinebrooke","given":"Rolf D."},{"family":"Chimimba","given":"Christian T."}],"accessed":{"date-parts":[["2021",7,7]]},"issued":{"date-parts":[["2016",1]]}},"label":"page"},{"id":33050,"uris":["http://zotero.org/groups/2352922/items/84CFHG9A"],"itemData":{"id":33050,"type":"article-journal","container-title":"Biological Reviews","DOI":"10.1111/brv.12627","ISSN":"1464-7931, 1469-185X","issue":"6","journalAbbreviation":"Biol Rev","language":"en","page":"1511-1534","source":"DOI.org (Crossref)","title":"Scientists' warning on invasive alien species","URL":"https://onlinelibrary.wiley.com/doi/10.1111/brv.12627","volume":"95","author":[{"family":"Pyšek","given":"Petr"},{"family":"Hulme","given":"Philip E."},{"family":"Simberloff","given":"Dan"},{"family":"Bacher","given":"Sven"},{"family":"Blackburn","given":"Tim M."},{"family":"Carlton","given":"James T."},{"family":"Dawson","given":"Wayne"},{"family":"Essl","given":"Franz"},{"family":"Foxcroft","given":"Llewellyn C."},{"family":"Genovesi","given":"Piero"},{"family":"Jeschke","given":"Jonathan M."},{"family":"Kühn","given":"Ingolf"},{"family":"Liebhold","given":"Andrew M."},{"family":"Mandrak","given":"Nicholas E."},{"family":"Meyerson","given":"Laura A."},{"family":"Pauchard","given":"Aníbal"},{"family":"Pergl","given":"Jan"},{"family":"Roy","given":"Helen E."},{"family":"Seebens","given":"Hanno"},{"family":"Kleunen","given":"Mark","non-dropping-particle":"van"},{"family":"Vilà","given":"Montserrat"},{"family":"Wingfield","given":"Michael J."},{"family":"Richardson","given":"David M."}],"accessed":{"date-parts":[["2021",7,7]]},"issued":{"date-parts":[["2020",12]]}},"label":"page"}],"schema":"https://github.com/citation-style-language/schema/raw/master/csl-citation.json"} </w:instrText>
      </w:r>
      <w:r w:rsidR="448AF366" w:rsidRPr="5575EBFC">
        <w:rPr>
          <w:lang w:val="en-GB"/>
        </w:rPr>
        <w:fldChar w:fldCharType="separate"/>
      </w:r>
      <w:r w:rsidR="4CDDD000" w:rsidRPr="5575EBFC">
        <w:rPr>
          <w:lang w:val="en-GB"/>
        </w:rPr>
        <w:t>Fontúrbel, 2020; Jackson et al., 2016; Pyšek et al., 2020)</w:t>
      </w:r>
      <w:r w:rsidR="448AF366" w:rsidRPr="5575EBFC">
        <w:rPr>
          <w:lang w:val="en-GB"/>
        </w:rPr>
        <w:fldChar w:fldCharType="end"/>
      </w:r>
      <w:r w:rsidR="661DE3CC" w:rsidRPr="5575EBFC">
        <w:rPr>
          <w:lang w:val="en-GB"/>
        </w:rPr>
        <w:t xml:space="preserve">. </w:t>
      </w:r>
      <w:r w:rsidR="47B89700" w:rsidRPr="5575EBFC">
        <w:rPr>
          <w:lang w:val="en-GB"/>
        </w:rPr>
        <w:t xml:space="preserve">Generalizing from studies of single </w:t>
      </w:r>
      <w:r w:rsidR="77CE3857" w:rsidRPr="5575EBFC">
        <w:rPr>
          <w:lang w:val="en-GB"/>
        </w:rPr>
        <w:t xml:space="preserve">drivers </w:t>
      </w:r>
      <w:r w:rsidR="47B89700" w:rsidRPr="5575EBFC">
        <w:rPr>
          <w:lang w:val="en-GB"/>
        </w:rPr>
        <w:t xml:space="preserve">in isolation may therefore </w:t>
      </w:r>
      <w:r w:rsidR="31358B4F" w:rsidRPr="5575EBFC">
        <w:rPr>
          <w:lang w:val="en-GB"/>
        </w:rPr>
        <w:t>yield</w:t>
      </w:r>
      <w:r w:rsidR="00FD249C">
        <w:rPr>
          <w:lang w:val="en-GB"/>
        </w:rPr>
        <w:t xml:space="preserve"> </w:t>
      </w:r>
      <w:r w:rsidR="3B2FE8A4" w:rsidRPr="5575EBFC">
        <w:rPr>
          <w:lang w:val="en-GB"/>
        </w:rPr>
        <w:t>misleading conclusions (</w:t>
      </w:r>
      <w:r w:rsidR="448AF366" w:rsidRPr="5575EBFC">
        <w:rPr>
          <w:lang w:val="en-GB"/>
        </w:rPr>
        <w:fldChar w:fldCharType="begin"/>
      </w:r>
      <w:r w:rsidR="00331A79">
        <w:rPr>
          <w:lang w:val="en-GB"/>
        </w:rPr>
        <w:instrText xml:space="preserve"> ADDIN ZOTERO_ITEM CSL_CITATION {"citationID":"dJpyyAxL","properties":{"formattedCitation":"(Bowler et al., 2020)","plainCitation":"(Bowler et al., 2020)","dontUpdate":true,"noteIndex":0},"citationItems":[{"id":29968,"uris":["http://zotero.org/groups/2352922/items/953X8SHV"],"itemData":{"id":29968,"type":"article-journal","container-title":"People and Nature","DOI":"10.1002/pan3.10071","ISSN":"2575-8314, 2575-8314","issue":"2","journalAbbreviation":"People and Nature","language":"en","page":"380-394","source":"DOI.org (Crossref)","title":"Mapping human pressures on biodiversity across the planet uncovers anthropogenic threat complexes","URL":"https://onlinelibrary.wiley.com/doi/10.1002/pan3.10071","volume":"2","author":[{"family":"Bowler","given":"Diana E</w:instrText>
      </w:r>
      <w:r w:rsidR="00331A79">
        <w:rPr>
          <w:rFonts w:hint="eastAsia"/>
          <w:lang w:val="en-GB"/>
        </w:rPr>
        <w:instrText>."},{"family":"Bjorkman","given":"Anne D."},{"family":"Dornelas","given":"Maria"},{"family":"Myers</w:instrText>
      </w:r>
      <w:r w:rsidR="00331A79">
        <w:rPr>
          <w:rFonts w:hint="eastAsia"/>
          <w:lang w:val="en-GB"/>
        </w:rPr>
        <w:instrText>‐</w:instrText>
      </w:r>
      <w:r w:rsidR="00331A79">
        <w:rPr>
          <w:rFonts w:hint="eastAsia"/>
          <w:lang w:val="en-GB"/>
        </w:rPr>
        <w:instrText>Smith","given":"Isla H."},{"family":"Navarro","given":"Laetitia M."},{"family":"Niamir","given":"Aidin"},{"family":"Supp","given":"Sarah R."},{"family":"Waldock","given":"Conor"},{"family":"Winter","given":"Marten"},{"family":"Vellend","given":"Mark"},{"family":"Blowes","given":"Shane A."},{"family":"Böhning</w:instrText>
      </w:r>
      <w:r w:rsidR="00331A79">
        <w:rPr>
          <w:rFonts w:hint="eastAsia"/>
          <w:lang w:val="en-GB"/>
        </w:rPr>
        <w:instrText>‐</w:instrText>
      </w:r>
      <w:r w:rsidR="00331A79">
        <w:rPr>
          <w:rFonts w:hint="eastAsia"/>
          <w:lang w:val="en-GB"/>
        </w:rPr>
        <w:instrText>Gaese","given":"Katrin"},{"family":"Bruelheide","given":"Helge"},{"family":"Elahi","given":"Robin"},{</w:instrText>
      </w:r>
      <w:r w:rsidR="00331A79">
        <w:rPr>
          <w:lang w:val="en-GB"/>
        </w:rPr>
        <w:instrText xml:space="preserve">"family":"Antão","given":"Laura H."},{"family":"Hines","given":"Jes"},{"family":"Isbell","given":"Forest"},{"family":"Jones","given":"Holly P."},{"family":"Magurran","given":"Anne E."},{"family":"Cabral","given":"Juliano Sarmento"},{"family":"Bates","given":"Amanda E."}],"editor":[{"family":"Fish","given":"Robert"}],"accessed":{"date-parts":[["2021",7,7]]},"issued":{"date-parts":[["2020",6]]}},"label":"page"}],"schema":"https://github.com/citation-style-language/schema/raw/master/csl-citation.json"} </w:instrText>
      </w:r>
      <w:r w:rsidR="448AF366" w:rsidRPr="5575EBFC">
        <w:rPr>
          <w:lang w:val="en-GB"/>
        </w:rPr>
        <w:fldChar w:fldCharType="separate"/>
      </w:r>
      <w:r w:rsidR="6B5F9B9E">
        <w:t>Bowler et al., 2020)</w:t>
      </w:r>
      <w:r w:rsidR="448AF366" w:rsidRPr="5575EBFC">
        <w:rPr>
          <w:lang w:val="en-GB"/>
        </w:rPr>
        <w:fldChar w:fldCharType="end"/>
      </w:r>
      <w:r w:rsidR="47B89700" w:rsidRPr="5575EBFC">
        <w:rPr>
          <w:lang w:val="en-GB"/>
        </w:rPr>
        <w:t xml:space="preserve">. </w:t>
      </w:r>
      <w:r w:rsidR="15E2F381" w:rsidRPr="5575EBFC">
        <w:rPr>
          <w:lang w:val="en-GB"/>
        </w:rPr>
        <w:t xml:space="preserve">Interactions between multiple drivers of change are expected to jeopardize </w:t>
      </w:r>
      <w:r w:rsidR="6CC4B8D3" w:rsidRPr="5575EBFC">
        <w:rPr>
          <w:lang w:val="en-GB"/>
        </w:rPr>
        <w:t xml:space="preserve">ecosystem </w:t>
      </w:r>
      <w:r w:rsidR="15E2F381" w:rsidRPr="5575EBFC">
        <w:rPr>
          <w:lang w:val="en-GB"/>
        </w:rPr>
        <w:t>function</w:t>
      </w:r>
      <w:r w:rsidR="6CC4B8D3" w:rsidRPr="5575EBFC">
        <w:rPr>
          <w:lang w:val="en-GB"/>
        </w:rPr>
        <w:t>ing</w:t>
      </w:r>
      <w:r w:rsidR="15E2F381" w:rsidRPr="5575EBFC">
        <w:rPr>
          <w:lang w:val="en-GB"/>
        </w:rPr>
        <w:t xml:space="preserve"> and biodiv</w:t>
      </w:r>
      <w:r w:rsidR="379C21B3" w:rsidRPr="5575EBFC">
        <w:rPr>
          <w:lang w:val="en-GB"/>
        </w:rPr>
        <w:t xml:space="preserve">ersity, and are a key concern </w:t>
      </w:r>
      <w:r w:rsidR="15E2F381" w:rsidRPr="5575EBFC">
        <w:rPr>
          <w:lang w:val="en-GB"/>
        </w:rPr>
        <w:t xml:space="preserve">for conservation and management </w:t>
      </w:r>
      <w:r w:rsidR="448AF366" w:rsidRPr="5575EBFC">
        <w:rPr>
          <w:lang w:val="en-GB"/>
        </w:rPr>
        <w:fldChar w:fldCharType="begin"/>
      </w:r>
      <w:r w:rsidR="00230216">
        <w:rPr>
          <w:lang w:val="en-GB"/>
        </w:rPr>
        <w:instrText xml:space="preserve"> ADDIN ZOTERO_ITEM CSL_CITATION {"citationID":"jK4EANkz","properties":{"formattedCitation":"(Cote et al., 2016)","plainCitation":"(Cote et al., 2016)","noteIndex":0},"citationItems":[{"id":10438,"uris":["http://zotero.org/groups/2352922/items/2KR2XAVL"],"itemData":{"id":10438,"type":"article-journal","container-title":"Proceedings of the Royal Society B-Biological Sciences","DOI":"10.1098/rspb.2015.2592","issue":"20152592","language":"en","title":"Interactions among ecosystem stressors and their importance in conservation","URL":"https://doi.org/10.1098/rspb.2015.2592","volume":"283","author":[{"family":"Cote","given":"I.M."},{"family":"Darling","given":"E.S."},{"family":"Brown","given":"C.J."}],"issued":{"date-parts":[["2016"]]}},"label":"page"}],"schema":"https://github.com/citation-style-language/schema/raw/master/csl-citation.json"} </w:instrText>
      </w:r>
      <w:r w:rsidR="448AF366" w:rsidRPr="5575EBFC">
        <w:rPr>
          <w:lang w:val="en-GB"/>
        </w:rPr>
        <w:fldChar w:fldCharType="separate"/>
      </w:r>
      <w:r w:rsidR="6B5F9B9E">
        <w:t>(Cote et al., 2016)</w:t>
      </w:r>
      <w:r w:rsidR="448AF366" w:rsidRPr="5575EBFC">
        <w:rPr>
          <w:lang w:val="en-GB"/>
        </w:rPr>
        <w:fldChar w:fldCharType="end"/>
      </w:r>
      <w:r w:rsidR="15E2F381" w:rsidRPr="5575EBFC">
        <w:rPr>
          <w:lang w:val="en-GB"/>
        </w:rPr>
        <w:t xml:space="preserve">. As a special case, novel ecosystems </w:t>
      </w:r>
      <w:r w:rsidR="50CE0EAC" w:rsidRPr="5575EBFC">
        <w:rPr>
          <w:lang w:val="en-GB"/>
        </w:rPr>
        <w:t>(</w:t>
      </w:r>
      <w:r w:rsidR="0FEEF399" w:rsidRPr="5575EBFC">
        <w:rPr>
          <w:b/>
          <w:bCs/>
          <w:lang w:val="en-GB"/>
        </w:rPr>
        <w:t>C</w:t>
      </w:r>
      <w:r w:rsidR="15E2F381" w:rsidRPr="5575EBFC">
        <w:rPr>
          <w:b/>
          <w:bCs/>
          <w:lang w:val="en-GB"/>
        </w:rPr>
        <w:t>hapter 1</w:t>
      </w:r>
      <w:r w:rsidR="15E2F381" w:rsidRPr="5575EBFC">
        <w:rPr>
          <w:lang w:val="en-GB"/>
        </w:rPr>
        <w:t>,</w:t>
      </w:r>
      <w:r w:rsidR="15E2F381" w:rsidRPr="5575EBFC">
        <w:rPr>
          <w:b/>
          <w:bCs/>
          <w:lang w:val="en-GB"/>
        </w:rPr>
        <w:t xml:space="preserve"> </w:t>
      </w:r>
      <w:r w:rsidR="00E23B69">
        <w:rPr>
          <w:b/>
          <w:bCs/>
          <w:lang w:val="en-GB"/>
        </w:rPr>
        <w:t>Box</w:t>
      </w:r>
      <w:r w:rsidR="7EF70BBD" w:rsidRPr="5575EBFC">
        <w:rPr>
          <w:b/>
          <w:bCs/>
          <w:lang w:val="en-GB"/>
        </w:rPr>
        <w:t xml:space="preserve"> </w:t>
      </w:r>
      <w:r w:rsidR="15E2F381" w:rsidRPr="5575EBFC">
        <w:rPr>
          <w:b/>
          <w:bCs/>
          <w:lang w:val="en-GB"/>
        </w:rPr>
        <w:t>1.5</w:t>
      </w:r>
      <w:r w:rsidR="15E2F381" w:rsidRPr="5575EBFC">
        <w:rPr>
          <w:lang w:val="en-GB"/>
        </w:rPr>
        <w:t xml:space="preserve">), which contain new species combinations and/or altered ecosystem functioning </w:t>
      </w:r>
      <w:r w:rsidR="448AF366" w:rsidRPr="5575EBFC">
        <w:rPr>
          <w:lang w:val="en-GB"/>
        </w:rPr>
        <w:fldChar w:fldCharType="begin"/>
      </w:r>
      <w:r w:rsidR="00331A79">
        <w:rPr>
          <w:lang w:val="en-GB"/>
        </w:rPr>
        <w:instrText xml:space="preserve"> ADDIN ZOTERO_ITEM CSL_CITATION {"citationID":"VMhfbfmF","properties":{"formattedCitation":"(Hobbs et al., 2006, 2009; Morse et al., 2014; Seastedt et al., 2008)","plainCitation":"(Hobbs et al., 2006, 2009; Morse et al., 2014; Seastedt et al., 2008)","noteIndex":0},"citationItems":[{"id":56399,"uris":["http://zotero.org/groups/2352922/items/T6WXMZ3K","http://zotero.org/groups/2352922/items/FCVNL7LU"],"itemData":{"id":56399,"type":"article-journal","container-title":"Global Ecology and Biogeography","DOI":"10.1111/j.1466-822X.2006.00212.x","ISSN":"1466822X","issue":"1","language":"en","page":"1-7","source":"DOI.org (Crossref)","title":"Novel ecosystems: theoretical and management aspects of the new ecological world order: Novel ecosystems","title-short":"Novel ecosystems","URL":"https://onlinelibrary.wiley.com/doi/10.1111/j.1466-822X.2006.00212.x","volume":"15","author":[{"family":"Hobbs","given":"Richard J."},{"family":"Arico","given":"Salvatore"},{"family":"Aronson","given":"James"},{"family":"Baron","given":"Jill S."},{"family":"Bridgewater","given":"Peter"},{"family":"Cramer","given":"Viki A."},{"family":"Epstein","given":"Paul R."},{"family":"Ewel","given":"John J."},{"family":"Klink","given":"Carlos A."},{"family":"Lugo","given":"Ariel E."},{"family":"Norton","given":"David"},{"family":"Ojima","given":"Dennis"},{"family":"Richardson","given":"David M."},{"family":"Sanderson","given":"Eric W."},{"family":"Valladares","given":"Fernando"},{"family":"Vilà","given":"Montserrat"},{"family":"Zamora","given":"Regino"},{"family":"Zobel","given":"Martin"}],"accessed":{"date-parts":[["2023",6,8]]},"issued":{"date-parts":[["2006",1]]}},"label":"page"},{"id":27461,"uris":["http://zotero.org/groups/2352922/items/GNG7XTF6"],"itemData":{"id":27461,"type":"article-journal","abstract":"Many ecosystems are rapidly being transformed into new, non-historical configurations owing to a variety of local and global changes. We discuss how new systems can arise in the face of primarily biotic change (extinction and/or invasion), primarily abiotic change (e.g. land use or climate change) and a combination of both. Some changes will result in hybrid systems retaining some original characteristics as well as novel elements, whereas larger changes will result in novel systems, which comprise different species, interactions and functions. We suggest that these novel systems will require significant revision of conservation and restoration norms and practices away from the traditional place-based focus on existing or historical assemblages.","archive_location":"WOS:000271542300006","container-title":"Trends in Ecology &amp; Evolution","DOI":"https://www.sciencedirect.com/science/article/abs/pii/S0169534709002018","ISSN":"0169-5347","issue":"11","journalAbbreviation":"Trends Ecol Evol","language":"English","page":"599-605","title":"Novel ecosystems: implications for conservation and restoration","URL":"https://www.sciencedirect.com/science/article/abs/pii/S0169534709002018","volume":"24","author":[{"family":"Hobbs","given":"Richard J."},{"family":"Higgs","given":"E."},{"family":"Harris","given":"J. A."}],"issued":{"date-parts":[["2009",11]]}},"label":"page"},{"id":27327,"uris":["http://zotero.org/groups/2352922/items/JJNLB862"],"itemData":{"id":27327,"type":"article-journal","container-title":"Ecology and Society","DOI":"10.5751/ES-06192-190212","ISSN":"1708-3087","issue":"2","journalAbbreviation":"E&amp;S","language":"en","page":"art12","source":"DOI.org (Crossref)","title":"Novel ecosystems in the Anthropocene: a revision of the novel ecosystem concept for pragmatic applications","title-short":"Novel ecosystems in the Anthropocene","URL":"http://www.ecologyandsociety.org/vol19/iss2/art12/","volume":"19","author":[{"family":"Morse","given":"Nathaniel B."},{"family":"Pellissier","given":"Paul A."},{"family":"Cianciola","given":"Elisabeth N."},{"family":"Brereton","given":"Richard L."},{"family":"Sullivan","given":"Marleigh M."},{"family":"Shonka","given":"Nicholas K."},{"family":"Wheeler","given":"Tessa B."},{"family":"McDowell","given":"William H."}],"accessed":{"date-parts":[["2021",7,7]]},"issued":{"date-parts":[["2014"]]}},"label":"page"},{"id":27323,"uris":["http://zotero.org/groups/2352922/items/NZZCNM8B"],"itemData":{"id":27323,"type":"article-journal","container-title":"Frontiers in Ecology and the Environment","DOI":"10.1890/070046","ISSN":"1540-9295","issue":"10","journalAbbreviation":"Frontiers in Ecology and the Environment","language":"en","page":"547-553","source":"DOI.org (Crossref)","title":"Management of novel ecosystems: are novel approaches required?","title-short":"Management of novel ecosystems","URL":"http://doi.wiley.com/10.1890/070046","volume":"6","author":[{"family":"Seastedt","given":"Timothy R"},{"family":"Hobbs","given":"Richard J"},{"family":"Suding","given":"Katharine N"}],"accessed":{"date-parts":[["2021",7,7]]},"issued":{"date-parts":[["2008",12]]}},"label":"page"}],"schema":"https://github.com/citation-style-language/schema/raw/master/csl-citation.json"} </w:instrText>
      </w:r>
      <w:r w:rsidR="448AF366" w:rsidRPr="5575EBFC">
        <w:rPr>
          <w:lang w:val="en-GB"/>
        </w:rPr>
        <w:fldChar w:fldCharType="separate"/>
      </w:r>
      <w:r w:rsidR="6B5F9B9E">
        <w:t>(Hobbs et al., 2006, 2009; Morse et al., 2014; Seastedt et al., 2008)</w:t>
      </w:r>
      <w:r w:rsidR="448AF366" w:rsidRPr="5575EBFC">
        <w:rPr>
          <w:lang w:val="en-GB"/>
        </w:rPr>
        <w:fldChar w:fldCharType="end"/>
      </w:r>
      <w:r w:rsidR="15E2F381" w:rsidRPr="5575EBFC">
        <w:rPr>
          <w:lang w:val="en-GB"/>
        </w:rPr>
        <w:t xml:space="preserve"> can be more susceptible to </w:t>
      </w:r>
      <w:r w:rsidR="69EEB12C" w:rsidRPr="5575EBFC">
        <w:rPr>
          <w:lang w:val="en-GB"/>
        </w:rPr>
        <w:t>biological invasions</w:t>
      </w:r>
      <w:r w:rsidR="15E2F381" w:rsidRPr="5575EBFC">
        <w:rPr>
          <w:lang w:val="en-GB"/>
        </w:rPr>
        <w:t xml:space="preserve"> than more nat</w:t>
      </w:r>
      <w:r w:rsidR="66449CD4" w:rsidRPr="5575EBFC">
        <w:rPr>
          <w:lang w:val="en-GB"/>
        </w:rPr>
        <w:t>ive</w:t>
      </w:r>
      <w:r w:rsidR="15E2F381" w:rsidRPr="5575EBFC">
        <w:rPr>
          <w:lang w:val="en-GB"/>
        </w:rPr>
        <w:t xml:space="preserve"> ecosystems </w:t>
      </w:r>
      <w:r w:rsidR="448AF366" w:rsidRPr="5575EBFC">
        <w:rPr>
          <w:lang w:val="en-GB"/>
        </w:rPr>
        <w:fldChar w:fldCharType="begin"/>
      </w:r>
      <w:r w:rsidR="00331A79">
        <w:rPr>
          <w:lang w:val="en-GB"/>
        </w:rPr>
        <w:instrText xml:space="preserve"> ADDIN ZOTERO_ITEM CSL_CITATION {"citationID":"d5dlFug6","properties":{"formattedCitation":"(Ogutu-Ohwayo et al., 2016)","plainCitation":"(Ogutu-Ohwayo et al., 2016)","noteIndex":0},"citationItems":[{"id":27433,"uris":["http://zotero.org/groups/2352922/items/JQWLWRME"],"itemData":{"id":27433,"type":"article-journal","abstract":"Inland ﬁsheries are important for nutrition, employment, and income, but climate variability and change are adding to other stressors, such as overexploitation, pollution, habitat degradation, and invasive species, to threaten their productivity as well as livelihoods of ﬁsheries-dependent communities. Understanding the whole socio-ecological system to enable communities to adapt and build resilience is therefore vital. Here, we present results from a review of the responses of African lakes, ﬁsheries productivity, and livelihoods to climate variability and change, and provide suggestions on required policy interventions to promote adaptation and build resilience. Changes in climate variables, especially temperature, wind speed, and rainfall have contributed to changes in lake water levels, loading, and recycling of nutrients. In some lakes, such disruptions in physical and chemical conditions have triggered changes in water quality, algae and invertebrate productivity, life history of ﬁsh, and contributed to shifts in ﬁsh community composition, proliferation of invasive aquatic weeds, and changes in parasite–vector–host interactions. Fish yield has either increased or decreased depending on climatic events, with the latter negatively affecting livelihoods, and forcing affected communities to adapt. Because adaptation strategies are location speciﬁc, and inﬂuenced by local conditions, many adaptation strategies have been unguided and have negatively affected ﬁsheries. The responses of ﬁsheries to climate change vary among lakes of different morphometric characteristics. There is need for consistent data to examine the direction and consequences of climate variability and change on ﬁsheries and livelihoods of speciﬁc aquatic systems, and promote location speciﬁc adaptation and mitigation measures.","container-title":"Journal of Great Lakes Research","DOI":"10.1016/j.jglr.2016.03.004","ISSN":"03801330","issue":"3","journalAbbreviation":"Journal of Great Lakes Research","language":"en","page":"498-510","source":"DOI.org (Crossref)","title":"Implications of climate variability and change for African lake ecosystems, fisheries productivity, and livelihoods","URL":"https://linkinghub.elsevier.com/retrieve/pii/S0380133016300247","volume":"42","author":[{"family":"Ogutu-Ohwayo","given":"Richard"},{"family":"Natugonza","given":"Vianny"},{"family":"Musinguzi","given":"Laban"},{"family":"Olokotum","given":"Mark"},{"family":"Naigaga","given":"Shamim"}],"accessed":{"date-parts":[["2019",12,1]]},"issued":{"date-parts":[["2016",6]]}},"label":"page"}],"schema":"https://github.com/citation-style-language/schema/raw/master/csl-citation.json"} </w:instrText>
      </w:r>
      <w:r w:rsidR="448AF366" w:rsidRPr="5575EBFC">
        <w:rPr>
          <w:lang w:val="en-GB"/>
        </w:rPr>
        <w:fldChar w:fldCharType="separate"/>
      </w:r>
      <w:r w:rsidR="6B5F9B9E">
        <w:t>(Ogutu-Ohwayo et al., 2016)</w:t>
      </w:r>
      <w:r w:rsidR="448AF366" w:rsidRPr="5575EBFC">
        <w:rPr>
          <w:lang w:val="en-GB"/>
        </w:rPr>
        <w:fldChar w:fldCharType="end"/>
      </w:r>
      <w:r w:rsidR="15E2F381" w:rsidRPr="5575EBFC">
        <w:rPr>
          <w:lang w:val="en-GB"/>
        </w:rPr>
        <w:t>.</w:t>
      </w:r>
    </w:p>
    <w:p w14:paraId="1532861C" w14:textId="14D14C79" w:rsidR="009870C1" w:rsidRPr="00DA249F" w:rsidRDefault="268AF7EE" w:rsidP="0090109B">
      <w:pPr>
        <w:rPr>
          <w:lang w:val="en-GB"/>
        </w:rPr>
      </w:pPr>
      <w:r w:rsidRPr="5575EBFC">
        <w:rPr>
          <w:lang w:val="en-GB"/>
        </w:rPr>
        <w:t>A</w:t>
      </w:r>
      <w:r w:rsidR="5C57487F" w:rsidRPr="5575EBFC">
        <w:rPr>
          <w:lang w:val="en-GB"/>
        </w:rPr>
        <w:t xml:space="preserve">ssociations </w:t>
      </w:r>
      <w:r w:rsidR="4456EF53" w:rsidRPr="5575EBFC">
        <w:rPr>
          <w:lang w:val="en-GB"/>
        </w:rPr>
        <w:t>amongst</w:t>
      </w:r>
      <w:r w:rsidR="5C57487F" w:rsidRPr="5575EBFC">
        <w:rPr>
          <w:lang w:val="en-GB"/>
        </w:rPr>
        <w:t xml:space="preserve"> invasive alien species and other </w:t>
      </w:r>
      <w:r w:rsidR="653902EA" w:rsidRPr="5575EBFC">
        <w:rPr>
          <w:lang w:val="en-GB"/>
        </w:rPr>
        <w:t>drivers of change in nature</w:t>
      </w:r>
      <w:r w:rsidRPr="5575EBFC">
        <w:rPr>
          <w:lang w:val="en-GB"/>
        </w:rPr>
        <w:t xml:space="preserve"> a</w:t>
      </w:r>
      <w:r w:rsidR="69EEB12C" w:rsidRPr="5575EBFC">
        <w:rPr>
          <w:lang w:val="en-GB"/>
        </w:rPr>
        <w:t>r</w:t>
      </w:r>
      <w:r w:rsidRPr="5575EBFC">
        <w:rPr>
          <w:lang w:val="en-GB"/>
        </w:rPr>
        <w:t>e generally understudied</w:t>
      </w:r>
      <w:r w:rsidR="5C57487F" w:rsidRPr="5575EBFC">
        <w:rPr>
          <w:lang w:val="en-GB"/>
        </w:rPr>
        <w:t xml:space="preserve">, and the degree to which </w:t>
      </w:r>
      <w:r w:rsidR="4BF548E0" w:rsidRPr="5575EBFC">
        <w:rPr>
          <w:lang w:val="en-GB"/>
        </w:rPr>
        <w:t xml:space="preserve">biological invasions are </w:t>
      </w:r>
      <w:r w:rsidRPr="5575EBFC">
        <w:rPr>
          <w:lang w:val="en-GB"/>
        </w:rPr>
        <w:t xml:space="preserve">affected by </w:t>
      </w:r>
      <w:r w:rsidR="5C57487F" w:rsidRPr="5575EBFC">
        <w:rPr>
          <w:lang w:val="en-GB"/>
        </w:rPr>
        <w:t xml:space="preserve">additive or multiplicative </w:t>
      </w:r>
      <w:r w:rsidRPr="5575EBFC">
        <w:rPr>
          <w:lang w:val="en-GB"/>
        </w:rPr>
        <w:t xml:space="preserve">processes and interactions among drivers </w:t>
      </w:r>
      <w:r w:rsidR="5C57487F" w:rsidRPr="5575EBFC">
        <w:rPr>
          <w:lang w:val="en-GB"/>
        </w:rPr>
        <w:t xml:space="preserve">is therefore difficult to assess </w:t>
      </w:r>
      <w:r w:rsidR="68323AFC" w:rsidRPr="5575EBFC">
        <w:rPr>
          <w:lang w:val="en-GB"/>
        </w:rPr>
        <w:t>(</w:t>
      </w:r>
      <w:r w:rsidR="00DC2990">
        <w:rPr>
          <w:b/>
          <w:bCs/>
          <w:lang w:val="en-GB"/>
        </w:rPr>
        <w:t>Figure</w:t>
      </w:r>
      <w:r w:rsidR="29698037" w:rsidRPr="5575EBFC">
        <w:rPr>
          <w:b/>
          <w:bCs/>
          <w:lang w:val="en-GB"/>
        </w:rPr>
        <w:t xml:space="preserve"> 3.25</w:t>
      </w:r>
      <w:r w:rsidR="31A9D52A" w:rsidRPr="5575EBFC">
        <w:rPr>
          <w:lang w:val="en-GB"/>
        </w:rPr>
        <w:t>,</w:t>
      </w:r>
      <w:r w:rsidR="31A9D52A" w:rsidRPr="5575EBFC">
        <w:rPr>
          <w:b/>
          <w:bCs/>
          <w:lang w:val="en-GB"/>
        </w:rPr>
        <w:t xml:space="preserve"> </w:t>
      </w:r>
      <w:r w:rsidR="0FEEF399" w:rsidRPr="5575EBFC">
        <w:rPr>
          <w:b/>
          <w:bCs/>
          <w:lang w:val="en-GB"/>
        </w:rPr>
        <w:t>C</w:t>
      </w:r>
      <w:r w:rsidR="31A9D52A" w:rsidRPr="5575EBFC">
        <w:rPr>
          <w:b/>
          <w:bCs/>
          <w:lang w:val="en-GB"/>
        </w:rPr>
        <w:t>hapter 1</w:t>
      </w:r>
      <w:r w:rsidR="31A9D52A" w:rsidRPr="5575EBFC">
        <w:rPr>
          <w:lang w:val="en-GB"/>
        </w:rPr>
        <w:t xml:space="preserve">, </w:t>
      </w:r>
      <w:r w:rsidR="31A9D52A" w:rsidRPr="5575EBFC">
        <w:rPr>
          <w:b/>
          <w:bCs/>
          <w:lang w:val="en-GB"/>
        </w:rPr>
        <w:t>section 1</w:t>
      </w:r>
      <w:r w:rsidR="0F27E251" w:rsidRPr="5575EBFC">
        <w:rPr>
          <w:b/>
          <w:bCs/>
          <w:lang w:val="en-GB"/>
        </w:rPr>
        <w:t>.3.3</w:t>
      </w:r>
      <w:r w:rsidR="46534BA4" w:rsidRPr="5575EBFC">
        <w:rPr>
          <w:lang w:val="en-GB"/>
        </w:rPr>
        <w:t>)</w:t>
      </w:r>
      <w:r w:rsidR="5FB4A69E" w:rsidRPr="5575EBFC">
        <w:rPr>
          <w:lang w:val="en-GB"/>
        </w:rPr>
        <w:t>.</w:t>
      </w:r>
      <w:r w:rsidR="36A7F5BE" w:rsidRPr="5575EBFC">
        <w:rPr>
          <w:lang w:val="en-GB"/>
        </w:rPr>
        <w:t xml:space="preserve"> </w:t>
      </w:r>
      <w:r w:rsidR="4E831996" w:rsidRPr="5575EBFC">
        <w:rPr>
          <w:lang w:val="en-GB"/>
        </w:rPr>
        <w:t>A recent review found that o</w:t>
      </w:r>
      <w:r w:rsidR="46534BA4" w:rsidRPr="5575EBFC">
        <w:rPr>
          <w:lang w:val="en-GB"/>
        </w:rPr>
        <w:t>nly 16</w:t>
      </w:r>
      <w:r w:rsidR="69EEB12C" w:rsidRPr="5575EBFC">
        <w:rPr>
          <w:lang w:val="en-GB"/>
        </w:rPr>
        <w:t xml:space="preserve"> </w:t>
      </w:r>
      <w:r w:rsidR="4804CF9A" w:rsidRPr="5575EBFC">
        <w:rPr>
          <w:lang w:val="en-GB"/>
        </w:rPr>
        <w:t>per cent</w:t>
      </w:r>
      <w:r w:rsidR="46534BA4" w:rsidRPr="5575EBFC">
        <w:rPr>
          <w:lang w:val="en-GB"/>
        </w:rPr>
        <w:t xml:space="preserve"> of published research on invasive alien species examine</w:t>
      </w:r>
      <w:r w:rsidR="69EEB12C" w:rsidRPr="5575EBFC">
        <w:rPr>
          <w:lang w:val="en-GB"/>
        </w:rPr>
        <w:t>d</w:t>
      </w:r>
      <w:r w:rsidR="46534BA4" w:rsidRPr="5575EBFC">
        <w:rPr>
          <w:lang w:val="en-GB"/>
        </w:rPr>
        <w:t xml:space="preserve"> associations with at least one other direct or indirect </w:t>
      </w:r>
      <w:r w:rsidR="48542EBC" w:rsidRPr="5575EBFC">
        <w:rPr>
          <w:lang w:val="en-GB"/>
        </w:rPr>
        <w:t>driver of change in nature</w:t>
      </w:r>
      <w:r w:rsidR="4E831996" w:rsidRPr="5575EBFC">
        <w:rPr>
          <w:lang w:val="en-GB"/>
        </w:rPr>
        <w:t xml:space="preserve">, and </w:t>
      </w:r>
      <w:r w:rsidR="46534BA4" w:rsidRPr="5575EBFC">
        <w:rPr>
          <w:lang w:val="en-GB"/>
        </w:rPr>
        <w:t>less than 3</w:t>
      </w:r>
      <w:r w:rsidR="69EEB12C" w:rsidRPr="5575EBFC">
        <w:rPr>
          <w:lang w:val="en-GB"/>
        </w:rPr>
        <w:t xml:space="preserve"> </w:t>
      </w:r>
      <w:r w:rsidR="4804CF9A" w:rsidRPr="5575EBFC">
        <w:rPr>
          <w:lang w:val="en-GB"/>
        </w:rPr>
        <w:t>per cent</w:t>
      </w:r>
      <w:r w:rsidR="46534BA4" w:rsidRPr="5575EBFC">
        <w:rPr>
          <w:lang w:val="en-GB"/>
        </w:rPr>
        <w:t xml:space="preserve"> consider</w:t>
      </w:r>
      <w:r w:rsidR="19E74E28" w:rsidRPr="5575EBFC">
        <w:rPr>
          <w:lang w:val="en-GB"/>
        </w:rPr>
        <w:t>ed</w:t>
      </w:r>
      <w:r w:rsidR="46534BA4" w:rsidRPr="5575EBFC">
        <w:rPr>
          <w:lang w:val="en-GB"/>
        </w:rPr>
        <w:t xml:space="preserve"> associations with two or more additional drivers </w:t>
      </w:r>
      <w:r w:rsidR="00AC0DE2" w:rsidRPr="5575EBFC">
        <w:rPr>
          <w:lang w:val="en-GB"/>
        </w:rPr>
        <w:fldChar w:fldCharType="begin"/>
      </w:r>
      <w:r w:rsidR="00331A79">
        <w:rPr>
          <w:lang w:val="en-GB"/>
        </w:rPr>
        <w:instrText xml:space="preserve"> ADDIN ZOTERO_ITEM CSL_CITATION {"citationID":"Fs7s4ImK","properties":{"formattedCitation":"(Hulme, 2022)","plainCitation":"(Hulme, 2022)","noteIndex":0},"citationItems":[{"id":29804,"uris":["http://zotero.org/groups/2352922/items/NSIS6VSX"],"itemData":{"id":29804,"type":"article-journal","container-title":"Conservation Biology","DOI":"10.1111/cobi.13817","issue":"2","language":"en","page":"e13817","title":"Importance of greater interdisciplinarity and geographic scope when tackling the driving forces behind biological invasions","URL":"https://doi.org/10.1111/cobi.13817","volume":"36","author":[{"family":"Hulme","given":"Philip E."}],"issued":{"date-parts":[["2022"]]}},"label":"page"}],"schema":"https://github.com/citation-style-language/schema/raw/master/csl-citation.json"} </w:instrText>
      </w:r>
      <w:r w:rsidR="00AC0DE2" w:rsidRPr="5575EBFC">
        <w:rPr>
          <w:lang w:val="en-GB"/>
        </w:rPr>
        <w:fldChar w:fldCharType="separate"/>
      </w:r>
      <w:r w:rsidR="6B5F9B9E">
        <w:t>(Hulme, 2022)</w:t>
      </w:r>
      <w:r w:rsidR="00AC0DE2" w:rsidRPr="5575EBFC">
        <w:rPr>
          <w:lang w:val="en-GB"/>
        </w:rPr>
        <w:fldChar w:fldCharType="end"/>
      </w:r>
      <w:r w:rsidR="4BF548E0" w:rsidRPr="5575EBFC">
        <w:rPr>
          <w:lang w:val="en-GB"/>
        </w:rPr>
        <w:t>.</w:t>
      </w:r>
      <w:r w:rsidR="36A7F5BE" w:rsidRPr="5575EBFC">
        <w:rPr>
          <w:lang w:val="en-GB"/>
        </w:rPr>
        <w:t xml:space="preserve"> </w:t>
      </w:r>
      <w:r w:rsidR="71468D50" w:rsidRPr="5575EBFC">
        <w:rPr>
          <w:lang w:val="en-GB"/>
        </w:rPr>
        <w:t xml:space="preserve">This section acknowledges the limited information on interactions between </w:t>
      </w:r>
      <w:r w:rsidR="5A2A8104" w:rsidRPr="5575EBFC">
        <w:rPr>
          <w:lang w:val="en-GB"/>
        </w:rPr>
        <w:t>invasive alien species</w:t>
      </w:r>
      <w:r w:rsidR="631A2683" w:rsidRPr="5575EBFC">
        <w:rPr>
          <w:lang w:val="en-GB"/>
        </w:rPr>
        <w:t xml:space="preserve"> </w:t>
      </w:r>
      <w:r w:rsidR="71468D50" w:rsidRPr="5575EBFC">
        <w:rPr>
          <w:lang w:val="en-GB"/>
        </w:rPr>
        <w:t xml:space="preserve">and other drivers of </w:t>
      </w:r>
      <w:r w:rsidR="653902EA" w:rsidRPr="5575EBFC">
        <w:rPr>
          <w:lang w:val="en-GB"/>
        </w:rPr>
        <w:t>change in nature</w:t>
      </w:r>
      <w:r w:rsidR="5DAF1198" w:rsidRPr="5575EBFC">
        <w:rPr>
          <w:lang w:val="en-GB"/>
        </w:rPr>
        <w:t>, and refers to a number of ill</w:t>
      </w:r>
      <w:r w:rsidR="71468D50" w:rsidRPr="5575EBFC">
        <w:rPr>
          <w:lang w:val="en-GB"/>
        </w:rPr>
        <w:t xml:space="preserve">ustrative, rather than exhaustive, examples to highlight the importance of taking such interactions into account </w:t>
      </w:r>
      <w:r w:rsidR="50CE0EAC" w:rsidRPr="5575EBFC">
        <w:rPr>
          <w:lang w:val="en-GB"/>
        </w:rPr>
        <w:t>(</w:t>
      </w:r>
      <w:r w:rsidR="00E23B69">
        <w:rPr>
          <w:b/>
          <w:bCs/>
          <w:lang w:val="en-GB"/>
        </w:rPr>
        <w:t>Box</w:t>
      </w:r>
      <w:r w:rsidR="29698037" w:rsidRPr="5575EBFC">
        <w:rPr>
          <w:b/>
          <w:bCs/>
          <w:lang w:val="en-GB"/>
        </w:rPr>
        <w:t xml:space="preserve"> 3.11</w:t>
      </w:r>
      <w:r w:rsidR="71468D50" w:rsidRPr="5575EBFC">
        <w:rPr>
          <w:lang w:val="en-GB"/>
        </w:rPr>
        <w:t>).</w:t>
      </w:r>
    </w:p>
    <w:p w14:paraId="4E4F8ACE" w14:textId="167F949D" w:rsidR="00B7170D" w:rsidRPr="00DA249F" w:rsidRDefault="00CB5CAA" w:rsidP="0090109B">
      <w:pPr>
        <w:rPr>
          <w:lang w:val="en-GB"/>
        </w:rPr>
      </w:pPr>
      <w:r w:rsidRPr="00CB5CAA">
        <w:rPr>
          <w:noProof/>
          <w:lang w:val="en-GB"/>
        </w:rPr>
        <w:drawing>
          <wp:inline distT="0" distB="0" distL="0" distR="0" wp14:anchorId="3775045B" wp14:editId="58206B6D">
            <wp:extent cx="6115050" cy="2929890"/>
            <wp:effectExtent l="0" t="0" r="6350" b="3810"/>
            <wp:docPr id="12" name="Picture 12" descr="A diagram of different types of speci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A diagram of different types of species&#10;&#10;Description automatically generated"/>
                    <pic:cNvPicPr/>
                  </pic:nvPicPr>
                  <pic:blipFill>
                    <a:blip r:embed="rId45"/>
                    <a:stretch>
                      <a:fillRect/>
                    </a:stretch>
                  </pic:blipFill>
                  <pic:spPr>
                    <a:xfrm>
                      <a:off x="0" y="0"/>
                      <a:ext cx="6115050" cy="2929890"/>
                    </a:xfrm>
                    <a:prstGeom prst="rect">
                      <a:avLst/>
                    </a:prstGeom>
                  </pic:spPr>
                </pic:pic>
              </a:graphicData>
            </a:graphic>
          </wp:inline>
        </w:drawing>
      </w:r>
    </w:p>
    <w:p w14:paraId="549E0159" w14:textId="141F4244" w:rsidR="00F969C5" w:rsidRDefault="1503087B" w:rsidP="5575EBFC">
      <w:pPr>
        <w:pStyle w:val="Caption"/>
        <w:rPr>
          <w:b w:val="0"/>
          <w:bCs w:val="0"/>
          <w:lang w:val="en-GB"/>
        </w:rPr>
      </w:pPr>
      <w:bookmarkStart w:id="225" w:name="_Ref104902806"/>
      <w:bookmarkStart w:id="226" w:name="_Toc147500910"/>
      <w:bookmarkStart w:id="227" w:name="_Hlk137719183"/>
      <w:r w:rsidRPr="5575EBFC">
        <w:rPr>
          <w:lang w:val="en-GB"/>
        </w:rPr>
        <w:t>Figure 3.</w:t>
      </w:r>
      <w:r w:rsidR="3E823979" w:rsidRPr="5575EBFC">
        <w:rPr>
          <w:lang w:val="en-GB"/>
        </w:rPr>
        <w:fldChar w:fldCharType="begin"/>
      </w:r>
      <w:r w:rsidR="3E823979" w:rsidRPr="5575EBFC">
        <w:rPr>
          <w:lang w:val="en-GB"/>
        </w:rPr>
        <w:instrText xml:space="preserve"> SEQ Figure_3. \* ARABIC </w:instrText>
      </w:r>
      <w:r w:rsidR="3E823979" w:rsidRPr="5575EBFC">
        <w:rPr>
          <w:lang w:val="en-GB"/>
        </w:rPr>
        <w:fldChar w:fldCharType="separate"/>
      </w:r>
      <w:r w:rsidR="00287BC7">
        <w:rPr>
          <w:noProof/>
          <w:lang w:val="en-GB"/>
        </w:rPr>
        <w:t>25</w:t>
      </w:r>
      <w:r w:rsidR="3E823979" w:rsidRPr="5575EBFC">
        <w:rPr>
          <w:lang w:val="en-GB"/>
        </w:rPr>
        <w:fldChar w:fldCharType="end"/>
      </w:r>
      <w:bookmarkEnd w:id="225"/>
      <w:r w:rsidR="18E6F836" w:rsidRPr="5575EBFC">
        <w:rPr>
          <w:lang w:val="en-GB"/>
        </w:rPr>
        <w:t>.</w:t>
      </w:r>
      <w:r w:rsidR="23BF2FFE" w:rsidRPr="5575EBFC">
        <w:rPr>
          <w:lang w:val="en-GB"/>
        </w:rPr>
        <w:t xml:space="preserve"> </w:t>
      </w:r>
      <w:r w:rsidR="36589544" w:rsidRPr="5575EBFC">
        <w:rPr>
          <w:b w:val="0"/>
          <w:bCs w:val="0"/>
          <w:lang w:val="en-GB"/>
        </w:rPr>
        <w:t>S</w:t>
      </w:r>
      <w:r w:rsidR="57B99FA4" w:rsidRPr="5575EBFC">
        <w:rPr>
          <w:b w:val="0"/>
          <w:bCs w:val="0"/>
          <w:lang w:val="en-GB"/>
        </w:rPr>
        <w:t xml:space="preserve">chematic representation of the links between indirect and direct </w:t>
      </w:r>
      <w:r w:rsidR="653902EA" w:rsidRPr="5575EBFC">
        <w:rPr>
          <w:b w:val="0"/>
          <w:bCs w:val="0"/>
          <w:lang w:val="en-GB"/>
        </w:rPr>
        <w:t>drivers of change in nature</w:t>
      </w:r>
      <w:r w:rsidR="57B99FA4" w:rsidRPr="5575EBFC">
        <w:rPr>
          <w:b w:val="0"/>
          <w:bCs w:val="0"/>
          <w:lang w:val="en-GB"/>
        </w:rPr>
        <w:t xml:space="preserve"> in relation to their potential ef</w:t>
      </w:r>
      <w:r w:rsidRPr="5575EBFC">
        <w:rPr>
          <w:b w:val="0"/>
          <w:bCs w:val="0"/>
          <w:lang w:val="en-GB"/>
        </w:rPr>
        <w:t>fect on invasive alien species</w:t>
      </w:r>
      <w:r w:rsidR="457BE69F" w:rsidRPr="5575EBFC">
        <w:rPr>
          <w:b w:val="0"/>
          <w:bCs w:val="0"/>
          <w:lang w:val="en-GB"/>
        </w:rPr>
        <w:t xml:space="preserve"> (see </w:t>
      </w:r>
      <w:r w:rsidR="00DC2990">
        <w:rPr>
          <w:lang w:val="en-GB"/>
        </w:rPr>
        <w:t>Figure</w:t>
      </w:r>
      <w:r w:rsidR="7EF70BBD" w:rsidRPr="5575EBFC">
        <w:rPr>
          <w:lang w:val="en-GB"/>
        </w:rPr>
        <w:t xml:space="preserve"> </w:t>
      </w:r>
      <w:r w:rsidR="457BE69F" w:rsidRPr="5575EBFC">
        <w:rPr>
          <w:lang w:val="en-GB"/>
        </w:rPr>
        <w:t>3.3</w:t>
      </w:r>
      <w:r w:rsidR="457BE69F" w:rsidRPr="5575EBFC">
        <w:rPr>
          <w:b w:val="0"/>
          <w:bCs w:val="0"/>
          <w:lang w:val="en-GB"/>
        </w:rPr>
        <w:t>)</w:t>
      </w:r>
    </w:p>
    <w:p w14:paraId="5C8CE83C" w14:textId="295730E1" w:rsidR="003F08AA" w:rsidRPr="00DA249F" w:rsidRDefault="00F969C5" w:rsidP="5575EBFC">
      <w:pPr>
        <w:pStyle w:val="Caption"/>
        <w:rPr>
          <w:i/>
          <w:iCs/>
          <w:lang w:val="en-GB"/>
        </w:rPr>
      </w:pPr>
      <w:r>
        <w:rPr>
          <w:b w:val="0"/>
          <w:bCs w:val="0"/>
          <w:lang w:val="en-GB"/>
        </w:rPr>
        <w:t>T</w:t>
      </w:r>
      <w:r w:rsidR="5615BC09" w:rsidRPr="5575EBFC">
        <w:rPr>
          <w:b w:val="0"/>
          <w:bCs w:val="0"/>
          <w:lang w:val="en-GB"/>
        </w:rPr>
        <w:t>he size of the arrows represent</w:t>
      </w:r>
      <w:r>
        <w:rPr>
          <w:b w:val="0"/>
          <w:bCs w:val="0"/>
          <w:lang w:val="en-GB"/>
        </w:rPr>
        <w:t>s</w:t>
      </w:r>
      <w:r w:rsidR="5615BC09" w:rsidRPr="5575EBFC">
        <w:rPr>
          <w:b w:val="0"/>
          <w:bCs w:val="0"/>
          <w:lang w:val="en-GB"/>
        </w:rPr>
        <w:t xml:space="preserve"> the </w:t>
      </w:r>
      <w:r w:rsidR="20068A6F" w:rsidRPr="5575EBFC">
        <w:rPr>
          <w:b w:val="0"/>
          <w:bCs w:val="0"/>
          <w:lang w:val="en-GB"/>
        </w:rPr>
        <w:t xml:space="preserve">available </w:t>
      </w:r>
      <w:r w:rsidR="43812E2B" w:rsidRPr="5575EBFC">
        <w:rPr>
          <w:b w:val="0"/>
          <w:bCs w:val="0"/>
          <w:lang w:val="en-GB"/>
        </w:rPr>
        <w:t xml:space="preserve">evidence </w:t>
      </w:r>
      <w:r w:rsidR="20068A6F" w:rsidRPr="5575EBFC">
        <w:rPr>
          <w:b w:val="0"/>
          <w:bCs w:val="0"/>
          <w:lang w:val="en-GB"/>
        </w:rPr>
        <w:t xml:space="preserve">in the scientific literature </w:t>
      </w:r>
      <w:r w:rsidR="0E2BAA85" w:rsidRPr="5575EBFC">
        <w:rPr>
          <w:b w:val="0"/>
          <w:bCs w:val="0"/>
          <w:lang w:val="en-GB"/>
        </w:rPr>
        <w:t xml:space="preserve">for </w:t>
      </w:r>
      <w:r w:rsidR="43812E2B" w:rsidRPr="5575EBFC">
        <w:rPr>
          <w:b w:val="0"/>
          <w:bCs w:val="0"/>
          <w:lang w:val="en-GB"/>
        </w:rPr>
        <w:t xml:space="preserve">the </w:t>
      </w:r>
      <w:r w:rsidR="5615BC09" w:rsidRPr="5575EBFC">
        <w:rPr>
          <w:b w:val="0"/>
          <w:bCs w:val="0"/>
          <w:lang w:val="en-GB"/>
        </w:rPr>
        <w:t xml:space="preserve">importance of the </w:t>
      </w:r>
      <w:r w:rsidR="20068A6F" w:rsidRPr="5575EBFC">
        <w:rPr>
          <w:b w:val="0"/>
          <w:bCs w:val="0"/>
          <w:lang w:val="en-GB"/>
        </w:rPr>
        <w:t xml:space="preserve">different </w:t>
      </w:r>
      <w:r w:rsidR="5615BC09" w:rsidRPr="5575EBFC">
        <w:rPr>
          <w:b w:val="0"/>
          <w:bCs w:val="0"/>
          <w:lang w:val="en-GB"/>
        </w:rPr>
        <w:t>links</w:t>
      </w:r>
      <w:r w:rsidR="1B3A566D" w:rsidRPr="5575EBFC">
        <w:rPr>
          <w:b w:val="0"/>
          <w:bCs w:val="0"/>
          <w:lang w:val="en-GB"/>
        </w:rPr>
        <w:t>,</w:t>
      </w:r>
      <w:r w:rsidR="71F4E1BB" w:rsidRPr="5575EBFC">
        <w:rPr>
          <w:b w:val="0"/>
          <w:bCs w:val="0"/>
          <w:lang w:val="en-GB"/>
        </w:rPr>
        <w:t xml:space="preserve"> as assessed though a bibliometric analysis of the literature (the absolute number of articles retrieved is reflected in the size of each arrow).</w:t>
      </w:r>
      <w:r w:rsidR="579BB9F1" w:rsidRPr="5575EBFC">
        <w:rPr>
          <w:b w:val="0"/>
          <w:bCs w:val="0"/>
          <w:lang w:val="en-GB"/>
        </w:rPr>
        <w:t xml:space="preserve"> Adapted from</w:t>
      </w:r>
      <w:r w:rsidR="4CDDD000" w:rsidRPr="5575EBFC">
        <w:rPr>
          <w:b w:val="0"/>
          <w:bCs w:val="0"/>
          <w:lang w:val="en-GB"/>
        </w:rPr>
        <w:t xml:space="preserve"> Hulme</w:t>
      </w:r>
      <w:r w:rsidR="579BB9F1" w:rsidRPr="5575EBFC">
        <w:rPr>
          <w:b w:val="0"/>
          <w:bCs w:val="0"/>
          <w:lang w:val="en-GB"/>
        </w:rPr>
        <w:t xml:space="preserve"> </w:t>
      </w:r>
      <w:r w:rsidR="3E823979" w:rsidRPr="5575EBFC">
        <w:rPr>
          <w:b w:val="0"/>
          <w:bCs w:val="0"/>
          <w:lang w:val="en-GB"/>
        </w:rPr>
        <w:fldChar w:fldCharType="begin"/>
      </w:r>
      <w:r w:rsidR="00331A79">
        <w:rPr>
          <w:b w:val="0"/>
          <w:bCs w:val="0"/>
          <w:lang w:val="en-GB"/>
        </w:rPr>
        <w:instrText xml:space="preserve"> ADDIN ZOTERO_ITEM CSL_CITATION {"citationID":"dtLdrEy1","properties":{"formattedCitation":"(2022)","plainCitation":"(2022)","noteIndex":0},"citationItems":[{"id":29804,"uris":["http://zotero.org/groups/2352922/items/NSIS6VSX"],"itemData":{"id":29804,"type":"article-journal","container-title":"Conservation Biology","DOI":"10.1111/cobi.13817","issue":"2","language":"en","page":"e13817","title":"Importance of greater interdisciplinarity and geographic scope when tackling the driving forces behind biological invasions","URL":"https://doi.org/10.1111/cobi.13817","volume":"36","author":[{"family":"Hulme","given":"Philip E."}],"issued":{"date-parts":[["2022"]]}},"label":"page","suppress-author":true}],"schema":"https://github.com/citation-style-language/schema/raw/master/csl-citation.json"} </w:instrText>
      </w:r>
      <w:r w:rsidR="3E823979" w:rsidRPr="5575EBFC">
        <w:rPr>
          <w:b w:val="0"/>
          <w:bCs w:val="0"/>
          <w:lang w:val="en-GB"/>
        </w:rPr>
        <w:fldChar w:fldCharType="separate"/>
      </w:r>
      <w:r w:rsidR="6B5F9B9E">
        <w:rPr>
          <w:b w:val="0"/>
          <w:bCs w:val="0"/>
        </w:rPr>
        <w:t>(2022)</w:t>
      </w:r>
      <w:r w:rsidR="3E823979" w:rsidRPr="5575EBFC">
        <w:rPr>
          <w:b w:val="0"/>
          <w:bCs w:val="0"/>
          <w:lang w:val="en-GB"/>
        </w:rPr>
        <w:fldChar w:fldCharType="end"/>
      </w:r>
      <w:r w:rsidR="63497479" w:rsidRPr="5575EBFC">
        <w:rPr>
          <w:b w:val="0"/>
          <w:bCs w:val="0"/>
          <w:lang w:val="en-GB"/>
        </w:rPr>
        <w:t xml:space="preserve">, </w:t>
      </w:r>
      <w:hyperlink r:id="rId46">
        <w:r w:rsidR="63497479" w:rsidRPr="5575EBFC">
          <w:rPr>
            <w:rStyle w:val="Hyperlink"/>
            <w:b w:val="0"/>
            <w:bCs w:val="0"/>
            <w:lang w:val="en-GB"/>
          </w:rPr>
          <w:t>https://doi.org/10.1111/cobi.13817</w:t>
        </w:r>
      </w:hyperlink>
      <w:r w:rsidR="63497479" w:rsidRPr="5575EBFC">
        <w:rPr>
          <w:b w:val="0"/>
          <w:bCs w:val="0"/>
          <w:lang w:val="en-GB"/>
        </w:rPr>
        <w:t>, under license CC BY 4.0</w:t>
      </w:r>
      <w:r w:rsidR="579BB9F1" w:rsidRPr="5575EBFC">
        <w:rPr>
          <w:b w:val="0"/>
          <w:bCs w:val="0"/>
          <w:lang w:val="en-GB"/>
        </w:rPr>
        <w:t>.</w:t>
      </w:r>
      <w:bookmarkEnd w:id="226"/>
    </w:p>
    <w:bookmarkEnd w:id="227"/>
    <w:p w14:paraId="24B6391D" w14:textId="012538B6" w:rsidR="00591680" w:rsidRPr="00DA249F" w:rsidRDefault="228C588A" w:rsidP="0090109B">
      <w:pPr>
        <w:rPr>
          <w:color w:val="000000" w:themeColor="text1"/>
          <w:lang w:val="en-GB"/>
        </w:rPr>
      </w:pPr>
      <w:r w:rsidRPr="00DA249F">
        <w:rPr>
          <w:lang w:val="en-GB"/>
        </w:rPr>
        <w:lastRenderedPageBreak/>
        <w:t>Indigenous Peoples</w:t>
      </w:r>
      <w:r w:rsidR="22365B0C" w:rsidRPr="00DA249F">
        <w:rPr>
          <w:lang w:val="en-GB"/>
        </w:rPr>
        <w:t xml:space="preserve"> and local communities recognize that most drivers </w:t>
      </w:r>
      <w:r w:rsidR="2EF55672" w:rsidRPr="00DA249F">
        <w:rPr>
          <w:lang w:val="en-GB"/>
        </w:rPr>
        <w:t xml:space="preserve">of change </w:t>
      </w:r>
      <w:r w:rsidR="2FBA3AA3" w:rsidRPr="00DA249F">
        <w:rPr>
          <w:lang w:val="en-GB"/>
        </w:rPr>
        <w:t xml:space="preserve">on their lands </w:t>
      </w:r>
      <w:r w:rsidR="22365B0C" w:rsidRPr="00DA249F">
        <w:rPr>
          <w:lang w:val="en-GB"/>
        </w:rPr>
        <w:t>do not act in isolation</w:t>
      </w:r>
      <w:r w:rsidR="6EEEA612" w:rsidRPr="00DA249F">
        <w:rPr>
          <w:lang w:val="en-GB"/>
        </w:rPr>
        <w:t xml:space="preserve"> in facilitating invasive alien species</w:t>
      </w:r>
      <w:r w:rsidR="4C97AE1C" w:rsidRPr="00DA249F">
        <w:rPr>
          <w:lang w:val="en-GB"/>
        </w:rPr>
        <w:t>.</w:t>
      </w:r>
      <w:r w:rsidR="00596FAA" w:rsidRPr="00710AC3">
        <w:rPr>
          <w:rStyle w:val="FootnoteReference"/>
        </w:rPr>
        <w:footnoteReference w:id="9"/>
      </w:r>
      <w:r w:rsidR="22365B0C" w:rsidRPr="00DA249F">
        <w:rPr>
          <w:lang w:val="en-GB"/>
        </w:rPr>
        <w:t xml:space="preserve"> For instance, the interaction between economic and sociocultural drivers has been identified by </w:t>
      </w:r>
      <w:r w:rsidRPr="00DA249F">
        <w:rPr>
          <w:lang w:val="en-GB"/>
        </w:rPr>
        <w:t>Indigenous Peoples</w:t>
      </w:r>
      <w:r w:rsidR="22365B0C" w:rsidRPr="00DA249F">
        <w:rPr>
          <w:lang w:val="en-GB"/>
        </w:rPr>
        <w:t xml:space="preserve"> and local communities as responsible for the introduction and establishment of invasive alien species</w:t>
      </w:r>
      <w:r w:rsidR="14D3D9AB" w:rsidRPr="00DA249F">
        <w:rPr>
          <w:lang w:val="en-GB"/>
        </w:rPr>
        <w:t>, as exemplified by</w:t>
      </w:r>
      <w:r w:rsidR="7C69D957" w:rsidRPr="00DA249F">
        <w:rPr>
          <w:color w:val="000000" w:themeColor="text1"/>
          <w:lang w:val="en-GB"/>
        </w:rPr>
        <w:t xml:space="preserve"> the </w:t>
      </w:r>
      <w:r w:rsidR="14D3D9AB" w:rsidRPr="00DA249F">
        <w:rPr>
          <w:color w:val="000000" w:themeColor="text1"/>
          <w:lang w:val="en-GB"/>
        </w:rPr>
        <w:t>complex</w:t>
      </w:r>
      <w:r w:rsidR="437109EB" w:rsidRPr="00DA249F">
        <w:rPr>
          <w:color w:val="000000" w:themeColor="text1"/>
          <w:lang w:val="en-GB"/>
        </w:rPr>
        <w:t>ity</w:t>
      </w:r>
      <w:r w:rsidR="7C69D957" w:rsidRPr="00DA249F">
        <w:rPr>
          <w:color w:val="000000" w:themeColor="text1"/>
          <w:lang w:val="en-GB"/>
        </w:rPr>
        <w:t xml:space="preserve"> and </w:t>
      </w:r>
      <w:r w:rsidR="546EAD45" w:rsidRPr="00DA249F">
        <w:rPr>
          <w:color w:val="000000" w:themeColor="text1"/>
          <w:lang w:val="en-GB"/>
        </w:rPr>
        <w:t xml:space="preserve">variability </w:t>
      </w:r>
      <w:r w:rsidR="02C23687" w:rsidRPr="00DA249F">
        <w:rPr>
          <w:color w:val="000000" w:themeColor="text1"/>
          <w:lang w:val="en-GB"/>
        </w:rPr>
        <w:t xml:space="preserve">of </w:t>
      </w:r>
      <w:r w:rsidR="437109EB" w:rsidRPr="00DA249F">
        <w:rPr>
          <w:color w:val="000000" w:themeColor="text1"/>
          <w:lang w:val="en-GB"/>
        </w:rPr>
        <w:t>societal and ecological processes facilitating</w:t>
      </w:r>
      <w:r w:rsidR="7C69D957" w:rsidRPr="00DA249F">
        <w:rPr>
          <w:color w:val="000000" w:themeColor="text1"/>
          <w:lang w:val="en-GB"/>
        </w:rPr>
        <w:t xml:space="preserve"> the spread and establishment of </w:t>
      </w:r>
      <w:r w:rsidR="7C69D957" w:rsidRPr="5575EBFC">
        <w:rPr>
          <w:i/>
          <w:iCs/>
          <w:color w:val="000000" w:themeColor="text1"/>
          <w:lang w:val="en-GB"/>
        </w:rPr>
        <w:t xml:space="preserve">Prosopis juliflora </w:t>
      </w:r>
      <w:r w:rsidR="7C69D957" w:rsidRPr="00DA249F">
        <w:rPr>
          <w:color w:val="000000" w:themeColor="text1"/>
          <w:lang w:val="en-GB"/>
        </w:rPr>
        <w:t>(mesquite</w:t>
      </w:r>
      <w:r w:rsidR="52FECA73" w:rsidRPr="00DA249F">
        <w:rPr>
          <w:color w:val="000000" w:themeColor="text1"/>
          <w:lang w:val="en-GB"/>
        </w:rPr>
        <w:t>;</w:t>
      </w:r>
      <w:r w:rsidR="739E4B67" w:rsidRPr="00DA249F">
        <w:rPr>
          <w:color w:val="000000" w:themeColor="text1"/>
          <w:lang w:val="en-GB"/>
        </w:rPr>
        <w:t xml:space="preserve"> </w:t>
      </w:r>
      <w:r w:rsidR="00E23B69">
        <w:rPr>
          <w:b/>
          <w:bCs/>
          <w:color w:val="000000" w:themeColor="text1"/>
          <w:lang w:val="en-GB"/>
        </w:rPr>
        <w:t>Box</w:t>
      </w:r>
      <w:r w:rsidR="58738E39" w:rsidRPr="5575EBFC">
        <w:rPr>
          <w:b/>
          <w:bCs/>
          <w:color w:val="000000" w:themeColor="text1"/>
          <w:lang w:val="en-GB"/>
        </w:rPr>
        <w:t xml:space="preserve"> </w:t>
      </w:r>
      <w:r w:rsidR="7EF70BBD" w:rsidRPr="5575EBFC">
        <w:rPr>
          <w:b/>
          <w:bCs/>
          <w:color w:val="000000" w:themeColor="text1"/>
          <w:lang w:val="en-GB"/>
        </w:rPr>
        <w:t>3.</w:t>
      </w:r>
      <w:r w:rsidR="58738E39" w:rsidRPr="5575EBFC">
        <w:rPr>
          <w:b/>
          <w:bCs/>
          <w:color w:val="000000" w:themeColor="text1"/>
          <w:lang w:val="en-GB"/>
        </w:rPr>
        <w:t>6</w:t>
      </w:r>
      <w:r w:rsidR="58738E39" w:rsidRPr="00DA249F">
        <w:rPr>
          <w:color w:val="000000" w:themeColor="text1"/>
          <w:lang w:val="en-GB"/>
        </w:rPr>
        <w:t>)</w:t>
      </w:r>
      <w:r w:rsidR="7C69D957" w:rsidRPr="00DA249F">
        <w:rPr>
          <w:color w:val="000000" w:themeColor="text1"/>
          <w:lang w:val="en-GB"/>
        </w:rPr>
        <w:t xml:space="preserve">. </w:t>
      </w:r>
      <w:r w:rsidRPr="00DA249F">
        <w:rPr>
          <w:color w:val="000000" w:themeColor="text1"/>
          <w:lang w:val="en-GB"/>
        </w:rPr>
        <w:t>Indigenous Peoples</w:t>
      </w:r>
      <w:r w:rsidR="7C69D957" w:rsidRPr="00DA249F">
        <w:rPr>
          <w:color w:val="000000" w:themeColor="text1"/>
          <w:lang w:val="en-GB"/>
        </w:rPr>
        <w:t xml:space="preserve"> and local communities from Botswana, Ethiopia, Jordan</w:t>
      </w:r>
      <w:r w:rsidR="00774819">
        <w:rPr>
          <w:color w:val="000000" w:themeColor="text1"/>
          <w:lang w:val="en-GB"/>
        </w:rPr>
        <w:t xml:space="preserve"> and</w:t>
      </w:r>
      <w:r w:rsidR="7C69D957" w:rsidRPr="00DA249F">
        <w:rPr>
          <w:color w:val="000000" w:themeColor="text1"/>
          <w:lang w:val="en-GB"/>
        </w:rPr>
        <w:t xml:space="preserve"> Kenya report that the main cause of </w:t>
      </w:r>
      <w:r w:rsidR="7ED866FD">
        <w:rPr>
          <w:color w:val="000000" w:themeColor="text1"/>
          <w:lang w:val="en-GB"/>
        </w:rPr>
        <w:t>the</w:t>
      </w:r>
      <w:r w:rsidR="7C69D957" w:rsidRPr="00DA249F">
        <w:rPr>
          <w:color w:val="000000" w:themeColor="text1"/>
          <w:lang w:val="en-GB"/>
        </w:rPr>
        <w:t xml:space="preserve"> dispersal and spread </w:t>
      </w:r>
      <w:r w:rsidR="7ED866FD">
        <w:rPr>
          <w:color w:val="000000" w:themeColor="text1"/>
          <w:lang w:val="en-GB"/>
        </w:rPr>
        <w:t xml:space="preserve">of </w:t>
      </w:r>
      <w:r w:rsidR="7ED866FD" w:rsidRPr="5575EBFC">
        <w:rPr>
          <w:i/>
          <w:iCs/>
          <w:color w:val="000000" w:themeColor="text1"/>
          <w:lang w:val="en-GB"/>
        </w:rPr>
        <w:t>P</w:t>
      </w:r>
      <w:r w:rsidR="457BE69F" w:rsidRPr="5575EBFC">
        <w:rPr>
          <w:i/>
          <w:iCs/>
          <w:color w:val="000000" w:themeColor="text1"/>
          <w:lang w:val="en-GB"/>
        </w:rPr>
        <w:t>rosopis</w:t>
      </w:r>
      <w:r w:rsidR="7ED866FD" w:rsidRPr="5575EBFC">
        <w:rPr>
          <w:i/>
          <w:iCs/>
          <w:color w:val="000000" w:themeColor="text1"/>
          <w:lang w:val="en-GB"/>
        </w:rPr>
        <w:t xml:space="preserve"> julifora </w:t>
      </w:r>
      <w:r w:rsidR="7C69D957" w:rsidRPr="00DA249F">
        <w:rPr>
          <w:color w:val="000000" w:themeColor="text1"/>
          <w:lang w:val="en-GB"/>
        </w:rPr>
        <w:t xml:space="preserve">is wildlife and livestock </w:t>
      </w:r>
      <w:r w:rsidR="00591680" w:rsidRPr="00DA249F">
        <w:rPr>
          <w:color w:val="000000" w:themeColor="text1"/>
          <w:lang w:val="en-GB"/>
        </w:rPr>
        <w:fldChar w:fldCharType="begin"/>
      </w:r>
      <w:r w:rsidR="00F5121E">
        <w:rPr>
          <w:color w:val="000000" w:themeColor="text1"/>
          <w:lang w:val="en-GB"/>
        </w:rPr>
        <w:instrText xml:space="preserve"> ADDIN ZOTERO_ITEM CSL_CITATION {"citationID":"AtSjW1KJ","properties":{"formattedCitation":"(Al-Assaf et al., 2020; Bekele et al., 2018; Haregeweyn et al., 2013; IPBES, 2020; Mosweu et al., 2013; Wakie et al., 2016)","plainCitation":"(Al-Assaf et al., 2020; Bekele et al., 2018; Haregeweyn et al., 2013; IPBES, 2020; Mosweu et al., 2013; Wakie et al., 2016)","noteIndex":0},"citationItems":[{"id":24685,"uris":["http://zotero.org/groups/2352922/items/IC5UVBWA"],"itemData":{"id":24685,"type":"article-journal","abstract":"Invasions by invasive alien species (IAS) are recognized as one of the largest threats to earth&amp;rsquo;s ecosystem services and represent rapidly growing economic costs as they damage local ecosystems and force surrounding communities to divert resources towards IAS management and control. The study objectives were to assess the economic impacts of a Prosopis juliflora invasion in Jordan and gauge community preferences for management plans. The study was conducted in Sweimeh, Jordan Valley using a combination of focus groups and randomized interviews with 203 local households. Direct-use values for products derived from P. juliflora and direct costs owing to P. juliflora&amp;rsquo;s presence have been calculated. A binary logistic regression model was then developed to predict the households&amp;rsquo; preferences between two policy responses: P. juliflora management or complete eradication. The results revealed the dualistic role of P. juliflora in household livelihoods: it was widely used for firewood, fodder, and charcoal offering benefits valued at JOD 2165 per household/year (JOD 1 = USD 0.71). At the same time, the invasion reduced household welfare by taking over arable lands and injuring humans and animals. Consequently, the income lost as a result of the invasion was estimated by JOD 1410.5 per household/year. As a result, two-thirds of respondents choose the option of P.juliflora invasion management. Only respondents&amp;rsquo; monthly income and perception of P. juliflora&amp;rsquo;s impact on the prevention of soil erosion were significant predictors of respondents&amp;rsquo; preferences for the management plans. In conclusion, more coordinated responses between policy makers, institutions, and local communities are required to mitigate the negative impact of P. juliflora invasion.","container-title":"Sustainability","DOI":"10.3390/su12208327","issue":"20","language":"en","license":"http://creativecommons.org/licenses/by/3.0/","note":"number: 20\npublisher: Multidisciplinary Digital Publishing Institute","page":"8327","source":"www.mdpi.com","title":"Economic Assessment and Community Management of &lt;i&gt;Prosopis juliflora&lt;/i&gt; Invasion in Sweimeh Village, Jordan","URL":"https://www.mdpi.com/2071-1050/12/20/8327","volume":"12","author":[{"family":"Al-Assaf","given":"Amani"},{"family":"Tadros","given":"Maher J."},{"family":"Al-Shishany","given":"Salsabeel"},{"family":"Stewart","given":"Stephanie"},{"family":"Majdalawi","given":"Mohammad"},{"family":"Tabieh","given":"Mohammad"},{"family":"Othman","given":"Yahia A."}],"accessed":{"date-parts":[["2021",3,12]]},"issued":{"date-parts":[["2020",1]]}},"label":"page"},{"id":24579,"uris":["http://zotero.org/groups/2352922/items/YLI3WHBX"],"itemData":{"id":24579,"type":"article-journal","abstract":"This study applied a generalized propensity score method to evaluate the impact of Prosopis invasion on Afar pastoralist and agro-pastoralist households’ annual per capita consumption expenditure, as a proxy of rural livelihoods. The analysis was based on cross-sectional survey data collected in mid-2016 from 250 households in the Afar National Regional State in Ethiopia. The method was applied to match households with similar covariates with different Prosopis invasion levels. The method was effective in teasing out non-linear causal relationships between Prosopis invasion dose and household per capita consumption expenditure. Average dose-response or impact function was obtained by estimating average annual household per capita consumption expenditure at different levels of Prosopis invasion. Initially, the plants’ impact was positive, but turned negative after an optimum invasion dose. The optimal invasion dose of Prosopis was found to be 22.23%. The corresponding optimum level of annual household per capita consumption expenditure was found to be 4,500.50 Ethiopian Birr (USD 198). The results suggest that to maximize the benefits of Prosopis and minimize its adverse effects on the livelihoods of the pastoral and agro-pastoral communities, diverse management strategies that take into account not only the intensity of invasion, but also patterns of dryland economy should be implemented.","container-title":"Pastoralism: Research, Policy and Practice","DOI":"10.1186/s13570-018-0124-6","ISSN":"2041-7136","issue":"1","journalAbbreviation":"Pastoralism","language":"en","page":"28","source":"DOI.org (Crossref)","title":"Impacts of woody invasive alien plant species on rural livelihood: Generalized propensity score evidence from &lt;i&gt;Prosopis&lt;/i&gt; spp. invasion in Afar Region in Ethiopia","title-short":"Impacts of woody invasive alien plant species on rural livelihood","URL":"https://pastoralismjournal.springeropen.com/articles/10.1186/s13570-018-0124-6","volume":"8","author":[{"family":"Bekele","given":"Ketema"},{"family":"Haji","given":"Jema"},{"family":"Legesse","given":"Belaineh"},{"family":"Shiferaw","given":"Hailu"},{"family":"Schaffner","given":"Urs"}],"accessed":{"date-parts":[["2021",2,25]]},"issued":{"date-parts":[["2018",12]]}},"label":"page"},{"id":22595,"uris":["http://zotero.org/groups/2352922/items/JAD3NMKW"],"itemData":{"id":22595,"type":"article-journal","container-title":"Environmental Monitoring and Assessment","DOI":"10.1007/s10661-013-3117-3","ISSN":"0167-6369, 1573-2959","issue":"9","journalAbbreviation":"Environ Monit Assess","language":"en","page":"7527-7542","source":"DOI.org (Crossref)","title":"Analysis of the invasion rate, impacts and control measures of &lt;i&gt;Prosopis juliflora&lt;/i&gt;: a case study of Amibara District, Eastern Ethiopia","title-short":"Analysis of the invasion rate, impacts and control measures of Prosopis juliflora","URL":"http://link.springer.com/10.1007/s10661-013-3117-3","volume":"185","author":[{"family":"Haregeweyn","given":"N."},{"family":"Tsunekawa","given":"A."},{"family":"Tsubo","given":"M."},{"family":"Meshesha","given":"D."},{"family":"Melkie","given":"A."}],"accessed":{"date-parts":[["2020",6,23]]},"issued":{"date-parts":[["2013",9]]}},"label":"page"},{"id":32563,"uris":["http://zotero.org/groups/2352922/items/Q9G78DTK","http://zotero.org/groups/2352922/items/BMNSF6LX"],"itemData":{"id":32563,"type":"paper-conference","event-place":"Online, 29 September to 1 October 2020","event-title":"ILK dialogue workshop on the first order draft of the IPBES assessment of invasive alien species","publisher-place":"Online, 29 September to 1 October 2020","title":"Report of the Indigenous and local knowledge dialogue workshop on the first order draft of the IPBES assessment of invasive alien species","URL":"https://ipbes.net/sites/default/files/inline-files/IPBES_IAS_2ndILKDialogue_FOD_Report_FINAL_ForWeb.pdf","author":[{"literal":"IPBES"}],"editor":[{"family":"Andreve","given":"J. L."},{"family":"Batzin Chojoj","given":"R."},{"family":"Black","given":"A."},{"family":"Cleofe","given":"J. T."},{"family":"Daguitan","given":"F."},{"family":"Grant","given":"C."},{"family":"Guillao","given":"J. A."},{"family":"Jacobs","given":"L."},{"family":"Malcolm","given":"T."},{"family":"Mulenkei","given":"L."},{"family":"Kumar Rai","given":"K."},{"family":"Nzovu","given":"A."},{"family":"Ole Kaunga","given":"J. M."},{"family":"Regpala","given":"M. E."},{"family":"Sall","given":"N."},{"family":"Shulbaeva","given":"P."},{"family":"Spencer","given":"R."},{"family":"Timoti","given":"P."},{"family":"Upun","given":"Y."}],"accessed":{"date-parts":[["2021",10,24]]},"issued":{"date-parts":[["2020"]]}},"label":"page"},{"id":11336,"uris":["http://zotero.org/groups/2352922/items/QSD5723V"],"itemData":{"id":11336,"type":"article-journal","abstract":"This study was aimed to determine the extent to which Prosopis species had invaded four settlements (Bokspits, Rappelspan, Vaalhoek and Struizendam) located in the Kgalagadi Desert south west of Botswana, investigate the perceptions of the communities about the existence of the species in their environment and assess possible control options for the spread of Prosopis plants in the area. Prosopis plants were sampled in 42 quadrats of 625 m2 along a 70 km Prosopis invasion gradient from Struizendam to Rappelspan. Using the Global Positioning System (GPS), the locations of all quadrats were established. The distribution map of Prosopis plants was produced using ArcGIS 9.2 (ESRI Inc.). Questionnaire survey and focused group discussions were used to collect data on the perceptions of rural communities about the species. A total of 342 respondents comprising 139 males and 203 females were interviewed, and four focussed group discussions were conducted. The results indicated that the invasion of Prosopis species was prominent in and around settlements suggesting that anthropogenic activities had a significant role in the spread of Prosopis plants in the area. The perceptions of rural communities about Prosopis plants appeared to be moulded by the impacts of the plants on their livelihoods as well as their micro-economic status. The respondents (71.30%) expressed the view that the invasion of Prosopis species negatively affected the livelihoods of the communities in the study area. They identified eradication as the preferred method of controlling the spread of Prosopis plants. On the contrary, this study recommended the integrated environmental management paradigm as the best options for the control of the spread of Prosopis plants in the area.","container-title":"Natural Resources","DOI":"10.4236/nr.2013.48061","issue":"8","language":"en","license":"http://creativecommons.org/licenses/by/4.0/","note":"number: 8\npublisher: Scientific Research Publishing","page":"496-505","source":"www.scirp.org","title":"&lt;i&gt;Prosopis&lt;/i&gt; L. Invasion in the South-Western Region of Botswana: The Perceptions of Rural Communities and Management Options","title-short":"Prosopis L. Invasion in the South-Western Region of Botswana","URL":"http://www.scirp.org/Journal/Paperabs.aspx?paperid=41451","volume":"4","author":[{"family":"Mosweu","given":"Samuel"},{"family":"Munyati","given":"Christopher"},{"family":"Kabanda","given":"Tibangayuka"},{"family":"Setshogo","given":"Moffat"},{"family":"Muzila","given":"Mbaki"}],"accessed":{"date-parts":[["2021",1,23]]},"issued":{"date-parts":[["2013",12,25]]}},"label":"page"},{"id":15889,"uris":["http://zotero.org/groups/2352922/items/E2WZ5222"],"itemData":{"id":15889,"type":"article-journal","abstract":"Invasive species pose global biological and economic challenges. Over the past four decades, Prosopis taxa have emerged as a major invader of the arid and semi-arid regions of the world. Prosopis juliﬂora, one of the highly invasive Prosopis species, is dominantly present in the Afar region of Ethiopia and continues to spread into the surrounding areas. The objective of this study was to aid the mapping, utilization, and management of the invasive P. juliﬂora in Afar, by employing participatory research techniques. We assessed the introduction history, impacts, uses, and control strategies of invasive P. juliﬂora by interviewing 108 pastoralists and agro-pastoralists. In addition, we used Participatory Mapping (PM), Geographic Information Systems (GIS), Global Positioning System (GPS), and remote sensing technologies and approaches to map sites invaded by P. juliﬂora. Sketch maps were produced by men, women, pastoralist and agro-pastoralist groups. Experts aggregated, scaled and reproduced the sketch maps with support from the Afar communities. We provided GPS and GIS trainings to selected community members who assisted us in collecting the GPS locations of more than 70 key features and landmarks. The sketch maps were digitized and geo-referenced by experts using the 70 GPS records as control points. Georeferenced community maps were superimposed on pan-sharpened Landsat 8 satellite images and presented to the communities for veriﬁcation. We overlaid the veriﬁed community maps on ancillary land-cover layers, and detected the land-cover classes that were most affected by P. juliﬂora invasion. Despite its uses as source of ﬁre wood, charcoal, and animal fodder, the species has adverse impacts on native species and livestock resources. Afar communities mapped P. juliﬂora infestations, particularly those that occurred near their villages, using high and moderate density classes. The two highly invaded land-cover categories were dense grassland, and exposed sand &amp; soils. Participants collaborated in creating the produced maps, suggesting that participatory research approaches are another tool for early detection of invasive species and guiding ﬁne-scale management strategies.","container-title":"Applied Geography","DOI":"10.1016/j.apgeog.2015.11.017","ISSN":"01436228","journalAbbreviation":"Applied Geography","language":"en","page":"132-143","source":"DOI.org (Crossref)","title":"Assessing the distribution and impacts of &lt;i&gt;Prosopis juliflora&lt;/i&gt; through participatory approaches","URL":"https://linkinghub.elsevier.com/retrieve/pii/S0143622815300229","volume":"66","author":[{"family":"Wakie","given":"Tewodros T."},{"family":"Laituri","given":"Melinda"},{"family":"Evangelista","given":"Paul H."}],"accessed":{"date-parts":[["2019",11,7]]},"issued":{"date-parts":[["2016",1]]}},"label":"page"}],"schema":"https://github.com/citation-style-language/schema/raw/master/csl-citation.json"} </w:instrText>
      </w:r>
      <w:r w:rsidR="00591680" w:rsidRPr="00DA249F">
        <w:rPr>
          <w:color w:val="000000" w:themeColor="text1"/>
          <w:lang w:val="en-GB"/>
        </w:rPr>
        <w:fldChar w:fldCharType="separate"/>
      </w:r>
      <w:r w:rsidR="00F5121E" w:rsidRPr="00F5121E">
        <w:t>(Al-Assaf et al., 2020; Bekele et al., 2018; Haregeweyn et al., 2013; IPBES, 2020; Mosweu et al., 2013; Wakie et al., 2016)</w:t>
      </w:r>
      <w:r w:rsidR="00591680" w:rsidRPr="00DA249F">
        <w:rPr>
          <w:color w:val="000000" w:themeColor="text1"/>
          <w:lang w:val="en-GB"/>
        </w:rPr>
        <w:fldChar w:fldCharType="end"/>
      </w:r>
      <w:r w:rsidR="7C69D957" w:rsidRPr="00DA249F">
        <w:rPr>
          <w:color w:val="000000" w:themeColor="text1"/>
          <w:lang w:val="en-GB"/>
        </w:rPr>
        <w:t xml:space="preserve">, which </w:t>
      </w:r>
      <w:r w:rsidR="7ED866FD">
        <w:rPr>
          <w:color w:val="000000" w:themeColor="text1"/>
          <w:lang w:val="en-GB"/>
        </w:rPr>
        <w:t>are</w:t>
      </w:r>
      <w:r w:rsidR="7C69D957" w:rsidRPr="00DA249F">
        <w:rPr>
          <w:color w:val="000000" w:themeColor="text1"/>
          <w:lang w:val="en-GB"/>
        </w:rPr>
        <w:t xml:space="preserve"> linked to both sociocultural and economic drivers (pastoralist livelihoods). The Afar from Ethiopia now also use </w:t>
      </w:r>
      <w:r w:rsidR="7C69D957" w:rsidRPr="5575EBFC">
        <w:rPr>
          <w:i/>
          <w:iCs/>
          <w:color w:val="000000" w:themeColor="text1"/>
          <w:lang w:val="en-GB"/>
        </w:rPr>
        <w:t>Prosopis juliflora</w:t>
      </w:r>
      <w:r w:rsidR="7C69D957" w:rsidRPr="00DA249F">
        <w:rPr>
          <w:color w:val="000000" w:themeColor="text1"/>
          <w:lang w:val="en-GB"/>
        </w:rPr>
        <w:t xml:space="preserve"> as fuel wood, animal fodder</w:t>
      </w:r>
      <w:r w:rsidR="00774819">
        <w:rPr>
          <w:color w:val="000000" w:themeColor="text1"/>
          <w:lang w:val="en-GB"/>
        </w:rPr>
        <w:t xml:space="preserve"> and</w:t>
      </w:r>
      <w:r w:rsidR="7C69D957" w:rsidRPr="00DA249F">
        <w:rPr>
          <w:color w:val="000000" w:themeColor="text1"/>
          <w:lang w:val="en-GB"/>
        </w:rPr>
        <w:t xml:space="preserve"> construction materials </w:t>
      </w:r>
      <w:r w:rsidR="00591680" w:rsidRPr="00DA249F">
        <w:rPr>
          <w:color w:val="000000" w:themeColor="text1"/>
          <w:lang w:val="en-GB"/>
        </w:rPr>
        <w:fldChar w:fldCharType="begin"/>
      </w:r>
      <w:r w:rsidR="00331A79">
        <w:rPr>
          <w:color w:val="000000" w:themeColor="text1"/>
          <w:lang w:val="en-GB"/>
        </w:rPr>
        <w:instrText xml:space="preserve"> ADDIN ZOTERO_ITEM CSL_CITATION {"citationID":"ie4qSccS","properties":{"formattedCitation":"(Haregeweyn et al., 2013)","plainCitation":"(Haregeweyn et al., 2013)","noteIndex":0},"citationItems":[{"id":22595,"uris":["http://zotero.org/groups/2352922/items/JAD3NMKW"],"itemData":{"id":22595,"type":"article-journal","container-title":"Environmental Monitoring and Assessment","DOI":"10.1007/s10661-013-3117-3","ISSN":"0167-6369, 1573-2959","issue":"9","journalAbbreviation":"Environ Monit Assess","language":"en","page":"7527-7542","source":"DOI.org (Crossref)","title":"Analysis of the invasion rate, impacts and control measures of &lt;i&gt;Prosopis juliflora&lt;/i&gt;: a case study of Amibara District, Eastern Ethiopia","title-short":"Analysis of the invasion rate, impacts and control measures of Prosopis juliflora","URL":"http://link.springer.com/10.1007/s10661-013-3117-3","volume":"185","author":[{"family":"Haregeweyn","given":"N."},{"family":"Tsunekawa","given":"A."},{"family":"Tsubo","given":"M."},{"family":"Meshesha","given":"D."},{"family":"Melkie","given":"A."}],"accessed":{"date-parts":[["2020",6,23]]},"issued":{"date-parts":[["2013",9]]}},"label":"page"}],"schema":"https://github.com/citation-style-language/schema/raw/master/csl-citation.json"} </w:instrText>
      </w:r>
      <w:r w:rsidR="00591680" w:rsidRPr="00DA249F">
        <w:rPr>
          <w:color w:val="000000" w:themeColor="text1"/>
          <w:lang w:val="en-GB"/>
        </w:rPr>
        <w:fldChar w:fldCharType="separate"/>
      </w:r>
      <w:r w:rsidR="6B5F9B9E" w:rsidRPr="00144D96">
        <w:t>(Haregeweyn et al., 2013)</w:t>
      </w:r>
      <w:r w:rsidR="00591680" w:rsidRPr="00DA249F">
        <w:rPr>
          <w:color w:val="000000" w:themeColor="text1"/>
          <w:lang w:val="en-GB"/>
        </w:rPr>
        <w:fldChar w:fldCharType="end"/>
      </w:r>
      <w:r w:rsidR="7C69D957" w:rsidRPr="00DA249F">
        <w:rPr>
          <w:color w:val="000000" w:themeColor="text1"/>
          <w:lang w:val="en-GB"/>
        </w:rPr>
        <w:t xml:space="preserve"> for economic reasons, which also contribute to its spread and establishment. In the Ramnad area of Tamil Nadu, India, sociocultural and land-use change led local communities to adopt charcoal-making, which promoted the spread of </w:t>
      </w:r>
      <w:r w:rsidR="7C69D957" w:rsidRPr="5575EBFC">
        <w:rPr>
          <w:i/>
          <w:iCs/>
          <w:color w:val="000000" w:themeColor="text1"/>
          <w:lang w:val="en-GB"/>
        </w:rPr>
        <w:t>Prosopis juliflora</w:t>
      </w:r>
      <w:r w:rsidR="7C69D957" w:rsidRPr="00DA249F">
        <w:rPr>
          <w:color w:val="000000" w:themeColor="text1"/>
          <w:lang w:val="en-GB"/>
        </w:rPr>
        <w:t xml:space="preserve"> </w:t>
      </w:r>
      <w:r w:rsidR="7C69D957" w:rsidRPr="00913939">
        <w:rPr>
          <w:color w:val="000000" w:themeColor="text1"/>
          <w:lang w:val="en-GB"/>
        </w:rPr>
        <w:t>through the reduction of grazing land and livestock holdings</w:t>
      </w:r>
      <w:r w:rsidR="7C69D957" w:rsidRPr="00DA249F">
        <w:rPr>
          <w:color w:val="000000" w:themeColor="text1"/>
          <w:lang w:val="en-GB"/>
        </w:rPr>
        <w:t xml:space="preserve"> </w:t>
      </w:r>
      <w:r w:rsidR="00591680" w:rsidRPr="00DA249F">
        <w:rPr>
          <w:color w:val="000000" w:themeColor="text1"/>
          <w:lang w:val="en-GB"/>
        </w:rPr>
        <w:fldChar w:fldCharType="begin"/>
      </w:r>
      <w:r w:rsidR="00331A79">
        <w:rPr>
          <w:color w:val="000000" w:themeColor="text1"/>
          <w:lang w:val="en-GB"/>
        </w:rPr>
        <w:instrText xml:space="preserve"> ADDIN ZOTERO_ITEM CSL_CITATION {"citationID":"JZrzWSzN","properties":{"formattedCitation":"(Chandrasekaran &amp; Swamy, 2016)","plainCitation":"(Chandrasekaran &amp; Swamy, 2016)","noteIndex":0},"citationItems":[{"id":11579,"uris":["http://zotero.org/groups/2352922/items/KH3WRL3B"],"itemData":{"id":11579,"type":"chapter","abstract":"Prosopis juliflora, an exotic plant popularly known as the poor man’s fuel wood, has been spreading all over the country. In the semiarid region of Tamil Nadu, especially in and around Ramnad district, P. juliflora has been systematically harvested","container-title":"Nature, Economy and Society: Understanding the Linkages","event-place":"New Delhi","ISBN":"978-81-322-2404-4","language":"en","note":"DOI: 10.1007/978-81-322-2404-4_18","page":"347–357","publisher":"Springer, India","publisher-place":"New Delhi","source":"www.springerprofessional.de","title":"Ecological and Socioeconomic Impacts of &lt;i&gt;Prosopis juliflora&lt;/i&gt; Invasion in the Semiarid Ecosystems in Selected Villages of Ramnad District in Tamil Nadu","URL":"https://doi.org/10.1007/978-81-322-2404-4_18","author":[{"family":"Chandrasekaran","given":"S"},{"family":"Swamy","given":"P.S."}],"editor":[{"family":"Ghosh","given":"Nilanjan"},{"family":"Mukhopadhyay","given":"Pranab"},{"family":"Shah","given":"Amita"},{"family":"Panda","given":"Manoj"}],"accessed":{"date-parts":[["2020",7,28]]},"issued":{"date-parts":[["2016"]]}},"label":"page"}],"schema":"https://github.com/citation-style-language/schema/raw/master/csl-citation.json"} </w:instrText>
      </w:r>
      <w:r w:rsidR="00591680" w:rsidRPr="00DA249F">
        <w:rPr>
          <w:color w:val="000000" w:themeColor="text1"/>
          <w:lang w:val="en-GB"/>
        </w:rPr>
        <w:fldChar w:fldCharType="separate"/>
      </w:r>
      <w:r w:rsidR="6B5F9B9E" w:rsidRPr="00144D96">
        <w:t>(Chandrasekaran &amp; Swamy, 2016)</w:t>
      </w:r>
      <w:r w:rsidR="00591680" w:rsidRPr="00DA249F">
        <w:rPr>
          <w:color w:val="000000" w:themeColor="text1"/>
          <w:lang w:val="en-GB"/>
        </w:rPr>
        <w:fldChar w:fldCharType="end"/>
      </w:r>
      <w:r w:rsidR="7C69D957" w:rsidRPr="00DA249F">
        <w:rPr>
          <w:color w:val="000000" w:themeColor="text1"/>
          <w:lang w:val="en-GB"/>
        </w:rPr>
        <w:t>.</w:t>
      </w:r>
      <w:r w:rsidR="21A3D5F8" w:rsidRPr="00DA249F">
        <w:rPr>
          <w:lang w:val="en-GB"/>
        </w:rPr>
        <w:t xml:space="preserve"> </w:t>
      </w:r>
      <w:r w:rsidR="14BF4DC6" w:rsidRPr="00DA249F">
        <w:rPr>
          <w:lang w:val="en-GB"/>
        </w:rPr>
        <w:t>Similar observati</w:t>
      </w:r>
      <w:r w:rsidR="28815E7B" w:rsidRPr="00DA249F">
        <w:rPr>
          <w:lang w:val="en-GB"/>
        </w:rPr>
        <w:t>o</w:t>
      </w:r>
      <w:r w:rsidR="14BF4DC6" w:rsidRPr="00DA249F">
        <w:rPr>
          <w:lang w:val="en-GB"/>
        </w:rPr>
        <w:t xml:space="preserve">ns </w:t>
      </w:r>
      <w:r w:rsidR="02FDC715">
        <w:rPr>
          <w:lang w:val="en-GB"/>
        </w:rPr>
        <w:t>have been</w:t>
      </w:r>
      <w:r w:rsidR="02FDC715" w:rsidRPr="00DA249F">
        <w:rPr>
          <w:lang w:val="en-GB"/>
        </w:rPr>
        <w:t xml:space="preserve"> </w:t>
      </w:r>
      <w:r w:rsidR="14BF4DC6" w:rsidRPr="00DA249F">
        <w:rPr>
          <w:lang w:val="en-GB"/>
        </w:rPr>
        <w:t xml:space="preserve">made for other species. For example, </w:t>
      </w:r>
      <w:r w:rsidRPr="00DA249F">
        <w:rPr>
          <w:lang w:val="en-GB"/>
        </w:rPr>
        <w:t>Indigenous Peoples</w:t>
      </w:r>
      <w:r w:rsidR="21A3D5F8" w:rsidRPr="00DA249F">
        <w:rPr>
          <w:lang w:val="en-GB"/>
        </w:rPr>
        <w:t xml:space="preserve"> and local communities in Ghana, West Africa and Himalayan India have observed the invasion of </w:t>
      </w:r>
      <w:r w:rsidR="21A3D5F8" w:rsidRPr="5575EBFC">
        <w:rPr>
          <w:i/>
          <w:iCs/>
          <w:lang w:val="en-GB"/>
        </w:rPr>
        <w:t xml:space="preserve">Chromolaena odorata </w:t>
      </w:r>
      <w:r w:rsidR="21A3D5F8" w:rsidRPr="00DA249F">
        <w:rPr>
          <w:lang w:val="en-GB"/>
        </w:rPr>
        <w:t>(Siam weed</w:t>
      </w:r>
      <w:r w:rsidR="52FECA73" w:rsidRPr="00DA249F">
        <w:rPr>
          <w:lang w:val="en-GB"/>
        </w:rPr>
        <w:t>;</w:t>
      </w:r>
      <w:r w:rsidR="21A3D5F8" w:rsidRPr="00DA249F">
        <w:rPr>
          <w:lang w:val="en-GB"/>
        </w:rPr>
        <w:t xml:space="preserve"> </w:t>
      </w:r>
      <w:r w:rsidR="000C0301" w:rsidRPr="00DA249F">
        <w:rPr>
          <w:lang w:val="en-GB"/>
        </w:rPr>
        <w:fldChar w:fldCharType="begin"/>
      </w:r>
      <w:r w:rsidR="00331A79">
        <w:rPr>
          <w:lang w:val="en-GB"/>
        </w:rPr>
        <w:instrText xml:space="preserve"> ADDIN ZOTERO_ITEM CSL_CITATION {"citationID":"Eqg3XA9l","properties":{"formattedCitation":"(Amanor, 1991)","plainCitation":"(Amanor, 1991)","dontUpdate":true,"noteIndex":0},"citationItems":[{"id":10814,"uris":["http://zotero.org/groups/2352922/items/XIF4ZMCZ"],"itemData":{"id":10814,"type":"article-journal","container-title":"Agriculture and Human Values","DOI":"10.1007/BF01579651","ISSN":"0889-048X, 1572-8366","issue":"1-2","journalAbbreviation":"Agric Hum Values","language":"en","page":"5-13","source":"DOI.org (Crossref)","title":"Managing the Fallow: Weeding Technology and Environmental Knowledge in the Krobo District of Ghana","title-short":"Managing the fallow","URL":"http://link.springer.com/10.1007/BF01579651","volume":"8","author":[{"family":"Amanor","given":"Kojo Sebastian"}],"accessed":{"date-parts":[["2021",6,3]]},"issued":{"date-parts":[["1991",12]]}},"label":"page"}],"schema":"https://github.com/citation-style-language/schema/raw/master/csl-citation.json"} </w:instrText>
      </w:r>
      <w:r w:rsidR="000C0301" w:rsidRPr="00DA249F">
        <w:rPr>
          <w:lang w:val="en-GB"/>
        </w:rPr>
        <w:fldChar w:fldCharType="separate"/>
      </w:r>
      <w:r w:rsidR="4CDDD000" w:rsidRPr="00DA249F">
        <w:rPr>
          <w:lang w:val="en-GB"/>
        </w:rPr>
        <w:t>Amanor, 1991)</w:t>
      </w:r>
      <w:r w:rsidR="000C0301" w:rsidRPr="00DA249F">
        <w:rPr>
          <w:lang w:val="en-GB"/>
        </w:rPr>
        <w:fldChar w:fldCharType="end"/>
      </w:r>
      <w:r w:rsidR="21A3D5F8" w:rsidRPr="5575EBFC">
        <w:rPr>
          <w:i/>
          <w:iCs/>
          <w:lang w:val="en-GB"/>
        </w:rPr>
        <w:t>.</w:t>
      </w:r>
      <w:r w:rsidR="21A3D5F8" w:rsidRPr="00DA249F">
        <w:rPr>
          <w:lang w:val="en-GB"/>
        </w:rPr>
        <w:t xml:space="preserve"> </w:t>
      </w:r>
      <w:r w:rsidR="21A3D5F8" w:rsidRPr="00913939">
        <w:rPr>
          <w:lang w:val="en-GB"/>
        </w:rPr>
        <w:t>Most of the</w:t>
      </w:r>
      <w:r w:rsidR="02FDC715">
        <w:rPr>
          <w:lang w:val="en-GB"/>
        </w:rPr>
        <w:t xml:space="preserve"> </w:t>
      </w:r>
      <w:r w:rsidR="02FDC715" w:rsidRPr="00DA249F">
        <w:rPr>
          <w:lang w:val="en-GB"/>
        </w:rPr>
        <w:t>Indigenous Peoples and local communities</w:t>
      </w:r>
      <w:r w:rsidR="02FDC715" w:rsidRPr="00913939" w:rsidDel="00913939">
        <w:rPr>
          <w:lang w:val="en-GB"/>
        </w:rPr>
        <w:t xml:space="preserve"> </w:t>
      </w:r>
      <w:r w:rsidR="21A3D5F8" w:rsidRPr="00913939">
        <w:rPr>
          <w:lang w:val="en-GB"/>
        </w:rPr>
        <w:t>identify</w:t>
      </w:r>
      <w:r w:rsidR="21A3D5F8" w:rsidRPr="00DA249F">
        <w:rPr>
          <w:lang w:val="en-GB"/>
        </w:rPr>
        <w:t xml:space="preserve"> multiple drivers, such as the movement of humans and machinery, trade, land-use change, infrastructure development such as road construction</w:t>
      </w:r>
      <w:r w:rsidR="00774819">
        <w:rPr>
          <w:lang w:val="en-GB"/>
        </w:rPr>
        <w:t xml:space="preserve"> and</w:t>
      </w:r>
      <w:r w:rsidR="21A3D5F8" w:rsidRPr="00DA249F">
        <w:rPr>
          <w:lang w:val="en-GB"/>
        </w:rPr>
        <w:t xml:space="preserve"> tourism</w:t>
      </w:r>
      <w:r w:rsidR="02FDC715">
        <w:rPr>
          <w:lang w:val="en-GB"/>
        </w:rPr>
        <w:t>,</w:t>
      </w:r>
      <w:r w:rsidR="0FCE52A5" w:rsidRPr="00DA249F">
        <w:rPr>
          <w:lang w:val="en-GB"/>
        </w:rPr>
        <w:t xml:space="preserve"> </w:t>
      </w:r>
      <w:r w:rsidR="6D243AE3" w:rsidRPr="00DA249F">
        <w:rPr>
          <w:lang w:val="en-GB"/>
        </w:rPr>
        <w:t xml:space="preserve">as important in facilitating </w:t>
      </w:r>
      <w:r w:rsidR="0FCE52A5" w:rsidRPr="00DA249F">
        <w:rPr>
          <w:lang w:val="en-GB"/>
        </w:rPr>
        <w:t>the spread of this invasive alien species</w:t>
      </w:r>
      <w:r w:rsidR="0990B018" w:rsidRPr="00DA249F">
        <w:rPr>
          <w:lang w:val="en-GB"/>
        </w:rPr>
        <w:t xml:space="preserve"> on their lands</w:t>
      </w:r>
      <w:r w:rsidR="21A3D5F8" w:rsidRPr="00DA249F">
        <w:rPr>
          <w:lang w:val="en-GB"/>
        </w:rPr>
        <w:t xml:space="preserve"> </w:t>
      </w:r>
      <w:r w:rsidR="000C0301" w:rsidRPr="00DA249F">
        <w:rPr>
          <w:lang w:val="en-GB"/>
        </w:rPr>
        <w:fldChar w:fldCharType="begin"/>
      </w:r>
      <w:r w:rsidR="002535C9">
        <w:rPr>
          <w:lang w:val="en-GB"/>
        </w:rPr>
        <w:instrText xml:space="preserve"> ADDIN ZOTERO_ITEM CSL_CITATION {"citationID":"CVWxjKjz","properties":{"formattedCitation":"(Amanor, 1991; Braimah &amp; Timbilla, 2002; Kosaka et al., 2010; Timbilla &amp; Braimah, 1993; Uyi &amp; Igbinosa, 2013)","plainCitation":"(Amanor, 1991; Braimah &amp; Timbilla, 2002; Kosaka et al., 2010; Timbilla &amp; Braimah, 1993; Uyi &amp; Igbinosa, 2013)","noteIndex":0},"citationItems":[{"id":10814,"uris":["http://zotero.org/groups/2352922/items/XIF4ZMCZ"],"itemData":{"id":10814,"type":"article-journal","container-title":"Agriculture and Human Values","DOI":"10.1007/BF01579651","ISSN":"0889-048X, 1572-8366","issue":"1-2","journalAbbreviation":"Agric Hum Values","language":"en","page":"5-13","source":"DOI.org (Crossref)","title":"Managing the Fallow: Weeding Technology and Environmental Knowledge in the Krobo District of Ghana","title-short":"Managing the fallow","URL":"http://link.springer.com/10.1007/BF01579651","volume":"8","author":[{"family":"Amanor","given":"Kojo Sebastian"}],"accessed":{"date-parts":[["2021",6,3]]},"issued":{"date-parts":[["1991",12]]}}},{"id":52875,"uris":["http://zotero.org/groups/2352922/items/UJA27GYQ"],"itemData":{"id":52875,"type":"paper-conference","container-title":"Proceedings of the Fifth International Workshop on the Biological Control and Management of Chromolaena odorata","page":"58-65","publisher":"Citeseer","title":"A decade of successful biological control of Siam weed, &lt;i&gt;Chromolaena odorata&lt;/i&gt; in Ghana: lessons and future plans","author":[{"family":"Braimah","given":"Haruna"},{"family":"Timbilla","given":"J. A."}],"issued":{"date-parts":[["2002"]]}},"label":"page"},{"id":12431,"uris":["http://zotero.org/groups/2352922/items/7CMQP4QS"],"itemData":{"id":12431,"type":"article-journal","container-title":"Mountain Research and Development","DOI":"10.1659/MRD-JOURNAL-D-10-00036.1","ISSN":"0276-4741, 1994-7151","issue":"3","journalAbbreviation":"Mountain Research and Development","language":"en","page":"252-258","source":"DOI.org (Crossref)","title":"Roadside Distribution Patterns of Invasive Alien Plants Along an Altitudinal Gradient in Arunachal Himalaya, India","URL":"http://www.bioone.org/doi/10.1659/MRD-JOURNAL-D-10-00036.1","volume":"30","author":[{"family":"Kosaka","given":"Yasuyuki"},{"family":"Saikia","given":"Bhaskar"},{"family":"Mingki","given":"Tasong"},{"family":"Tag","given":"Hui"},{"family":"Riba","given":"Tomo"},{"family":"Ando","given":"Kazuo"}],"accessed":{"date-parts":[["2019",11,18]]},"issued":{"date-parts":[["2010",8]]}},"label":"page"},{"id":52879,"uris":["http://zotero.org/groups/2352922/items/T3YAYZTF"],"itemData":{"id":52879,"type":"paper-conference","container-title":"Distribution, ecology and management of Chromolaena odorata","event-title":"Third International Workshop on Biological Control and Management of Chromolaena odorata. Abidjan, Cote d ‘Ivoire, November 1993","page":"6-18","title":"A survey of the introduction, distribution and spread of &lt;i&gt;Chromolaena odorata&lt;/i&gt; in Ghana","URL":"https://horizon.documentation.ird.fr/exl-doc/pleins_textes/doc34-03/010006224.pdf","volume":"202","author":[{"family":"Timbilla","given":"J. A."},{"family":"Braimah","given":"H."}],"issued":{"date-parts":[["1993"]]}},"label":"page"},{"id":16094,"uris":["http://zotero.org/groups/2352922/items/MRJYQ8U4"],"itemData":{"id":16094,"type":"article-journal","abstract":"Chromolaena odorata (L.) King and Robinson (Asteraceae), a shrub native to tropical America, was first introduced into West Africa (Nigeria) in 1937, and later became invasive. The weed has since spread to other countries in the West African subregion, threatening agriculture, biodiversity and livelihoods. Initial attempts to establish the moth Pareuchaetes pseudoinsulata Rego Barros...","container-title":"Proceedings of the Eighth International Workshop on Biological Control and Management of Chromolaena odorata and Other Eupatorieae, 1-2 November 2010, Nairobi, Kenya","language":"English","page":"86-98","source":"www.cabdirect.org","title":"The status of &lt;i&gt;Chromolaena odorata&lt;/i&gt; and its biocontrol in West Africa.","URL":"https://www.cabdirect.org/cabdirect/abstract/20173115399","author":[{"family":"Uyi","given":"Osariyekemwen O"},{"family":"Igbinosa","given":"Igho B"}],"accessed":{"date-parts":[["2019",11,3]]},"issued":{"date-parts":[["2013"]]}},"label":"page"}],"schema":"https://github.com/citation-style-language/schema/raw/master/csl-citation.json"} </w:instrText>
      </w:r>
      <w:r w:rsidR="000C0301" w:rsidRPr="00DA249F">
        <w:rPr>
          <w:lang w:val="en-GB"/>
        </w:rPr>
        <w:fldChar w:fldCharType="separate"/>
      </w:r>
      <w:r w:rsidR="002535C9" w:rsidRPr="002535C9">
        <w:t>(Amanor, 1991; Braimah &amp; Timbilla, 2002; Kosaka et al., 2010; Timbilla &amp; Braimah, 1993; Uyi &amp; Igbinosa, 2013)</w:t>
      </w:r>
      <w:r w:rsidR="000C0301" w:rsidRPr="00DA249F">
        <w:rPr>
          <w:lang w:val="en-GB"/>
        </w:rPr>
        <w:fldChar w:fldCharType="end"/>
      </w:r>
      <w:r w:rsidR="21A3D5F8" w:rsidRPr="00DA249F">
        <w:rPr>
          <w:lang w:val="en-GB"/>
        </w:rPr>
        <w:t>.</w:t>
      </w:r>
    </w:p>
    <w:p w14:paraId="7DB9D5EA" w14:textId="2B922DDB" w:rsidR="0041334B" w:rsidRPr="00DA249F" w:rsidDel="00065992" w:rsidRDefault="0041334B" w:rsidP="00301FBF">
      <w:pPr>
        <w:pStyle w:val="Caption"/>
        <w:pBdr>
          <w:top w:val="single" w:sz="4" w:space="1" w:color="auto"/>
          <w:left w:val="single" w:sz="4" w:space="0" w:color="auto"/>
          <w:bottom w:val="single" w:sz="4" w:space="1" w:color="auto"/>
          <w:right w:val="single" w:sz="4" w:space="1" w:color="auto"/>
        </w:pBdr>
        <w:shd w:val="clear" w:color="auto" w:fill="E7E6E6" w:themeFill="background2"/>
        <w:rPr>
          <w:lang w:val="en-GB"/>
        </w:rPr>
      </w:pPr>
      <w:bookmarkStart w:id="228" w:name="_Ref104903746"/>
      <w:bookmarkStart w:id="229" w:name="_Toc158373495"/>
      <w:r w:rsidRPr="00DA249F">
        <w:rPr>
          <w:lang w:val="en-GB"/>
        </w:rPr>
        <w:t>Box 3.</w:t>
      </w:r>
      <w:r w:rsidRPr="00DA249F">
        <w:rPr>
          <w:lang w:val="en-GB"/>
        </w:rPr>
        <w:fldChar w:fldCharType="begin"/>
      </w:r>
      <w:r w:rsidRPr="00DA249F">
        <w:rPr>
          <w:lang w:val="en-GB"/>
        </w:rPr>
        <w:instrText xml:space="preserve"> SEQ Box_3. \* ARABIC </w:instrText>
      </w:r>
      <w:r w:rsidRPr="00DA249F">
        <w:rPr>
          <w:lang w:val="en-GB"/>
        </w:rPr>
        <w:fldChar w:fldCharType="separate"/>
      </w:r>
      <w:r w:rsidR="00287BC7">
        <w:rPr>
          <w:noProof/>
          <w:lang w:val="en-GB"/>
        </w:rPr>
        <w:t>11</w:t>
      </w:r>
      <w:r w:rsidRPr="00DA249F">
        <w:rPr>
          <w:lang w:val="en-GB"/>
        </w:rPr>
        <w:fldChar w:fldCharType="end"/>
      </w:r>
      <w:bookmarkEnd w:id="228"/>
      <w:r w:rsidR="000A72AB" w:rsidRPr="00DA249F">
        <w:rPr>
          <w:lang w:val="en-GB"/>
        </w:rPr>
        <w:t>.</w:t>
      </w:r>
      <w:r w:rsidRPr="00DA249F">
        <w:rPr>
          <w:lang w:val="en-GB"/>
        </w:rPr>
        <w:t xml:space="preserve"> Multiple interacting drivers trigger plant invasions in mountains</w:t>
      </w:r>
      <w:bookmarkEnd w:id="229"/>
    </w:p>
    <w:p w14:paraId="5D505DAE" w14:textId="3B6ECC11" w:rsidR="007A5ABB" w:rsidRPr="00DA249F" w:rsidRDefault="001220CA" w:rsidP="00301FBF">
      <w:pPr>
        <w:pBdr>
          <w:top w:val="single" w:sz="4" w:space="1" w:color="auto"/>
          <w:left w:val="single" w:sz="4" w:space="0" w:color="auto"/>
          <w:bottom w:val="single" w:sz="4" w:space="1" w:color="auto"/>
          <w:right w:val="single" w:sz="4" w:space="1" w:color="auto"/>
        </w:pBdr>
        <w:shd w:val="clear" w:color="auto" w:fill="E7E6E6" w:themeFill="background2"/>
        <w:rPr>
          <w:lang w:val="en-GB"/>
        </w:rPr>
      </w:pPr>
      <w:r w:rsidRPr="00DA249F">
        <w:rPr>
          <w:lang w:val="en-GB"/>
        </w:rPr>
        <w:t>I</w:t>
      </w:r>
      <w:r w:rsidR="0041334B" w:rsidRPr="00DA249F">
        <w:rPr>
          <w:lang w:val="en-GB"/>
        </w:rPr>
        <w:t xml:space="preserve">n the last two decades, evidence has </w:t>
      </w:r>
      <w:r w:rsidR="007F29D8">
        <w:rPr>
          <w:lang w:val="en-GB"/>
        </w:rPr>
        <w:t>highlighted</w:t>
      </w:r>
      <w:r w:rsidR="0041334B" w:rsidRPr="00DA249F">
        <w:rPr>
          <w:lang w:val="en-GB"/>
        </w:rPr>
        <w:t xml:space="preserve"> the increasing number of alien plants establish</w:t>
      </w:r>
      <w:r w:rsidR="002748AF" w:rsidRPr="00DA249F">
        <w:rPr>
          <w:lang w:val="en-GB"/>
        </w:rPr>
        <w:t>ing</w:t>
      </w:r>
      <w:r w:rsidR="0041334B" w:rsidRPr="00DA249F">
        <w:rPr>
          <w:lang w:val="en-GB"/>
        </w:rPr>
        <w:t xml:space="preserve"> in mountain regions</w:t>
      </w:r>
      <w:r w:rsidR="007F29D8">
        <w:rPr>
          <w:lang w:val="en-GB"/>
        </w:rPr>
        <w:t>, despite</w:t>
      </w:r>
      <w:r w:rsidR="0041334B" w:rsidRPr="00DA249F">
        <w:rPr>
          <w:lang w:val="en-GB"/>
        </w:rPr>
        <w:t xml:space="preserve"> mountains </w:t>
      </w:r>
      <w:r w:rsidR="007F29D8" w:rsidRPr="00DA249F">
        <w:rPr>
          <w:lang w:val="en-GB"/>
        </w:rPr>
        <w:t xml:space="preserve">across the world </w:t>
      </w:r>
      <w:r w:rsidR="0041334B" w:rsidRPr="00DA249F">
        <w:rPr>
          <w:lang w:val="en-GB"/>
        </w:rPr>
        <w:t>differ</w:t>
      </w:r>
      <w:r w:rsidR="007F29D8">
        <w:rPr>
          <w:lang w:val="en-GB"/>
        </w:rPr>
        <w:t>ing</w:t>
      </w:r>
      <w:r w:rsidR="0041334B" w:rsidRPr="00DA249F">
        <w:rPr>
          <w:lang w:val="en-GB"/>
        </w:rPr>
        <w:t xml:space="preserve"> greatly in terms of </w:t>
      </w:r>
      <w:r w:rsidR="007D047D" w:rsidRPr="00DA249F">
        <w:rPr>
          <w:lang w:val="en-GB"/>
        </w:rPr>
        <w:t xml:space="preserve">their </w:t>
      </w:r>
      <w:r w:rsidR="002946C2" w:rsidRPr="00DA249F">
        <w:rPr>
          <w:lang w:val="en-GB"/>
        </w:rPr>
        <w:t>biodiversity</w:t>
      </w:r>
      <w:r w:rsidR="0041334B" w:rsidRPr="00DA249F">
        <w:rPr>
          <w:lang w:val="en-GB"/>
        </w:rPr>
        <w:t xml:space="preserve">, climate, </w:t>
      </w:r>
      <w:r w:rsidR="002946C2" w:rsidRPr="00DA249F">
        <w:rPr>
          <w:lang w:val="en-GB"/>
        </w:rPr>
        <w:t xml:space="preserve">geology, </w:t>
      </w:r>
      <w:r w:rsidR="0041334B" w:rsidRPr="00DA249F">
        <w:rPr>
          <w:lang w:val="en-GB"/>
        </w:rPr>
        <w:t>land</w:t>
      </w:r>
      <w:r w:rsidR="00D43B89" w:rsidRPr="00DA249F">
        <w:rPr>
          <w:lang w:val="en-GB"/>
        </w:rPr>
        <w:t>-</w:t>
      </w:r>
      <w:r w:rsidR="0041334B" w:rsidRPr="00DA249F">
        <w:rPr>
          <w:lang w:val="en-GB"/>
        </w:rPr>
        <w:t xml:space="preserve">use and other socioecological </w:t>
      </w:r>
      <w:r w:rsidR="002946C2" w:rsidRPr="00DA249F">
        <w:rPr>
          <w:lang w:val="en-GB"/>
        </w:rPr>
        <w:t>factors</w:t>
      </w:r>
      <w:r w:rsidR="0041334B" w:rsidRPr="00DA249F">
        <w:rPr>
          <w:lang w:val="en-GB"/>
        </w:rPr>
        <w:t xml:space="preserve"> (e.g., </w:t>
      </w:r>
      <w:r w:rsidR="0041334B" w:rsidRPr="00DA249F">
        <w:rPr>
          <w:lang w:val="en-GB"/>
        </w:rPr>
        <w:fldChar w:fldCharType="begin"/>
      </w:r>
      <w:r w:rsidR="00230216">
        <w:rPr>
          <w:lang w:val="en-GB"/>
        </w:rPr>
        <w:instrText xml:space="preserve"> ADDIN ZOTERO_ITEM CSL_CITATION {"citationID":"vbWtCNbv","properties":{"formattedCitation":"(T. Becker et al., 2005; Dainese et al., 2014; Guo, Fei, et al., 2018; Khuroo et al., 2007; Kueffer et al., 2013; Marini et al., 2012)","plainCitation":"(T. Becker et al., 2005; Dainese et al., 2014; Guo, Fei, et al., 2018; Khuroo et al., 2007; Kueffer et al., 2013; Marini et al., 2012)","dontUpdate":true,"noteIndex":0},"citationItems":[{"id":10567,"uris":["http://zotero.org/groups/2352922/items/M9L9HDD2"],"itemData":{"id":10567,"type":"article-journal","abstract":"In summer 2003 we recorded the presence and abundance of alien plant species at 232 sites (107 railway stations and 125 road sites) along mountain passes in the Swiss Alps. The altitudinal distribution of species was related to the current abundance of the species in Switzerland and time since introduction. A total of 155 alien taxa were recorded. Numbers of species per site declined exponentially with altitude, and only a few species were found in the alpine zone (&gt;2000 m). In contrast, species richness among comparable native taxa appeared to be nearly independent of altitude over the range investigated. Maximum altitude reached by alien species was related positively to both total area occupied in Switzerland and to time since introduction. A comparison of the results with earlier records suggests that many species, particularly those previously restricted to low or intermediate altitudes, have advanced their altitudinal limits over the past few decades. Various hypotheses are presented to explain the declining abundance of alien species with altitude: low-altitude filter effects, low propagule pressure, and genetic swamping of peripheral populations at higher altitudes. However, at present we do not have sufficient evidence to determine the relative importance of these effects. We conclude that invasion into mountain areas such as the Swiss Alps tends to proceed rather slowly, though the process may be accelerated by climatic warming. For this reason, further research to investigate the processes determining how plants invade mountain areas is urgently needed. And more generally, investigations into the distribution of alien species along strong altitudinal gradients may provide valuable insights into the mechanisms driving the spread of alien organisms. © 2005 Rübel Foundation, ETH Zürich. Published by Elsevier GmbH. All rights reserved.","container-title":"Perspectives in Plant Ecology, Evolution and Systematics","DOI":"10.1016/j.ppees.2005.09.006","ISSN":"14338319","issue":"3","note":"number: 3","page":"173-183","title":"Altitudinal distribution of alien plant species in the Swiss Alps","volume":"7","author":[{"family":"Becker","given":"Thomas"},{"family":"Dietz","given":"Hansjörg"},{"family":"Billeter","given":"Regula"},{"family":"Buschmann","given":"Holger"},{"family":"Edwards","given":"Peter J."}],"issued":{"date-parts":[["2005"]]}},"label":"page"},{"id":52915,"uris":["http://zotero.org/groups/2352922/items/XVNKGNK9"],"itemData":{"id":52915,"type":"article-journal","container-title":"Biological invasions","DOI":"10.1007/s10530-013-0540-x","issue":"4","note":"ISBN: 1573-1464\npublisher: Springer","page":"815-831","title":"Alien plant species distribution in the European Alps: influence of species’ climatic requirements","volume":"16","author":[{"family":"Dainese","given":"Matteo"},{"family":"Kühn","given":"Ingolf"},{"family":"Bragazza","given":"Luca"}],"issued":{"date-parts":[["2014"]]}},"label":"page"},{"id":10584,"uris":["http://zotero.org/groups/2352922/items/HNYVQ26P"],"itemData":{"id":10584,"type":"article-journal","abstract":"Aim: Much is known about the elevational diversity patterns of native species and about the mechanisms that drive these patterns. A similar level of understanding is needed for non-native species. Using published data, we examine elevational diversity patterns of non-native plants and compare the resulting patterns with those observed for native plants.","container-title":"Journal of Biogeography","DOI":"10.1111/jbi.13145","ISSN":"03050270","issue":"4","journalAbbreviation":"J Biogeogr","language":"en","page":"793-803","source":"DOI.org (Crossref)","title":"A global analysis of elevational distribution of non-native versus native plants","URL":"http://doi.wiley.com/10.1111/jbi.13145","volume":"45","author":[{"family":"Guo","given":"Qinfeng"},{"family":"Fei","given":"Songlin"},{"family":"Shen","given":"Zehao"},{"family":"Iannone","given":"Basil V."},{"family":"Knott","given":"Jonathan"},{"family":"Chown","given":"Steven L."}],"accessed":{"date-parts":[["2020",4,9]]},"issued":{"date-parts":[["2018",4]]}},"label":"page"},{"id":"zUkrYEfa/tEiE78zL","uris":["http://zotero.org/groups/2352922/items/6ILG9AJU"],"itemData":{"id":16709,"type":"article-journal","container-title":"Biological Invasions","ISSN":"1387-3547","issue":"3","journalAbbreviation":"Biological Invasions","page":"269-292","title":"The alien flora of Kashmir Himalaya","volume":"9","author":[{"family":"Khuroo","given":"Anzar Ahmad"},{"family":"Rashid","given":"Irfan"},{"family":"Reshi","given":"Zafar"},{"family":"Dar","given":"GH"},{"family":"Wafai","given":"BA"}],"issued":{"date-parts":[["2007"]]}},"label":"page"},{"id":31010,"uris":["http://zotero.org/groups/2352922/items/N55TVR8R"],"itemData":{"id":31010,"type":"chapter","abstract":"Mountains are of great significance for people and biodiversity. Although often considered to be at low risk from alien plants, recent studies suggest that mountain ecosystems are not inherently more resistant to invasion than other types of ecosystems. Future invasion risks are likely to increase greatly, in particular due to climate warming and increased human land use (e.g. intensification of human activities, human population growth, and expansion of tourism). However, these risks can be reduced by minimising anthropogenic disturbance in and around protected areas, and by preventing the introduction of potentially invasive alien plants into these areas, particularly at high elevations. Sharing information and experiences gained in different mountainous areas is important for devising effective management strategies. We review current knowledge about plant invasions into mountains, assembling evidence from all continents and across different climate zones, and describe experiences at local to global scales in preventing and managing plant invasions into mountain protected areas. Our findings and recommendations are also relevant for managing native species that expand to higher elevations.","collection-title":"Invading Nature - Springer Series in Invasion Ecology","container-title":"Plant Invasions in Protected Areas: Patterns, Problems and Challenges","event-place":"Dordrecht","ISBN":"978-94-007-7750-7","language":"en","note":"DOI: 10.1007/978-94-007-7750-7_6","page":"89-113","publisher":"Springer Netherlands","publisher-place":"Dordrecht","source":"Springer Link","title":"Plant Invasions into Mountain Protected Areas: Assessment, Prevention and Control at Multiple Spatial Scales","title-short":"Plant Invasions into Mountain Protected Areas","URL":"https://doi.org/10.1007/978-94-007-7750-7_6","volume":"7","author":[{"family":"Kueffer","given":"Christoph"},{"family":"McDougall","given":"Keith"},{"family":"Alexander","given":"Jake"},{"family":"Daehler","given":"Curt"},{"family":"Edwards","given":"Peter"},{"family":"Haider","given":"Sylvia"},{"family":"Milbau","given":"Ann"},{"family":"Parks","given":"Catherine"},{"family":"Pauchard","given":"Aníbal"},{"family":"Reshi","given":"Zafar A."},{"family":"Rew","given":"Lisa J."},{"family":"Schroder","given":"Mellesa"},{"family":"Seipel","given":"Tim"}],"editor":[{"family":"Foxcroft","given":"Llewellyn C."},{"family":"Pyšek","given":"Petr"},{"family":"Richardson","given":"David M."},{"family":"Genovesi","given":"Piero"}],"accessed":{"date-parts":[["2020",8,4]]},"issued":{"date-parts":[["2013"]]}},"label":"page"},{"id":25603,"uris":["http://zotero.org/groups/2352922/items/VYCH48SC"],"itemData":{"id":25603,"type":"article-journal","container-title":"Global Ecology and Biogeography","DOI":"10.1111/j.1466-8238.2011.00702.x","ISSN":"1466822X","issue":"5","language":"en","page":"534-544","source":"DOI.org (Crossref)","title":"Alien and native plant life-forms respond differently to human and climate pressures","title-short":"Alien and native plant life-forms respond differently to human and climate pressures","URL":"http://doi.wiley.com/10.1111/j.1466-8238.2011.00702.x","volume":"21","author":[{"family":"Marini","given":"Lorenzo"},{"family":"Battisti","given":"Andrea"},{"family":"Bona","given":"Enzo"},{"family":"Federici","given":"Germano"},{"family":"Martini","given":"Fabrizio"},{"family":"Pautasso","given":"Marco"},{"family":"Hulme","given":"Philip E."}],"accessed":{"date-parts":[["2020",2,21]]},"issued":{"date-parts":[["2012",5]]}},"label":"page"}],"schema":"https://github.com/citation-style-language/schema/raw/master/csl-citation.json"} </w:instrText>
      </w:r>
      <w:r w:rsidR="0041334B" w:rsidRPr="00DA249F">
        <w:rPr>
          <w:lang w:val="en-GB"/>
        </w:rPr>
        <w:fldChar w:fldCharType="separate"/>
      </w:r>
      <w:r w:rsidR="00301FBF" w:rsidRPr="00DA249F">
        <w:rPr>
          <w:lang w:val="en-GB"/>
        </w:rPr>
        <w:t>T. Becker et al., 2005; Dainese et al., 2014; Guo, Fei, et al., 2018; Khuroo et al., 2007; Kueffer et al., 2013; Marini et al., 2012)</w:t>
      </w:r>
      <w:r w:rsidR="0041334B" w:rsidRPr="00DA249F">
        <w:rPr>
          <w:lang w:val="en-GB"/>
        </w:rPr>
        <w:fldChar w:fldCharType="end"/>
      </w:r>
      <w:r w:rsidR="0041334B" w:rsidRPr="00DA249F">
        <w:rPr>
          <w:lang w:val="en-GB"/>
        </w:rPr>
        <w:t xml:space="preserve">. In a standardized survey along elevational gradients in nine regions on four continents, more than 300 alien plant species were observed </w:t>
      </w:r>
      <w:r w:rsidR="00B66EF7" w:rsidRPr="00DA249F">
        <w:rPr>
          <w:lang w:val="en-GB"/>
        </w:rPr>
        <w:fldChar w:fldCharType="begin"/>
      </w:r>
      <w:r w:rsidR="00331A79">
        <w:rPr>
          <w:lang w:val="en-GB"/>
        </w:rPr>
        <w:instrText xml:space="preserve"> ADDIN ZOTERO_ITEM CSL_CITATION {"citationID":"WE2J2Twd","properties":{"formattedCitation":"(Haider et al., 2018)","plainCitation":"(Haider et al., 2018)","noteIndex":0},"citationItems":[{"id":31503,"uris":["http://zotero.org/groups/2352922/items/ZPPHX57F"],"itemData":{"id":31503,"type":"article-journal","container-title":"Global Ecology and Biogeography","DOI":"10.1111/geb.12727","ISSN":"1466822X","issue":"6","journalAbbreviation":"Global Ecol Biogeogr","language":"en","page":"667-678","source":"DOI.org (Crossref)","title":"Mountain roads and non-native species modify elevational patterns of plant diversity","URL":"https://onlinelibrary.wiley.com/doi/10.1111/geb.12727","volume":"27","author":[{"family":"Haider","given":"Sylvia"},{"family":"Kueffer","given":"Christoph"},{"family":"Bruelheide","given":"Helge"},{"family":"Seipel","given":"Tim"},{"family":"Alexander","given":"Jake M."},{"family":"Rew","given":"Lisa J."},{"family":"Arévalo","given":"José Ramón"},{"family":"Cavieres","given":"Lohengrin A."},{"family":"McDougall","given":"Keith L."},{"family":"Milbau","given":"Ann"},{"family":"Naylor","given":"Bridgett J."},{"family":"Speziale","given":"Karina"},{"family":"Pauchard","given":"Aníbal"}],"accessed":{"date-parts":[["2021",11,23]]},"issued":{"date-parts":[["2018",6]]}},"label":"page"}],"schema":"https://github.com/citation-style-language/schema/raw/master/csl-citation.json"} </w:instrText>
      </w:r>
      <w:r w:rsidR="00B66EF7" w:rsidRPr="00DA249F">
        <w:rPr>
          <w:lang w:val="en-GB"/>
        </w:rPr>
        <w:fldChar w:fldCharType="separate"/>
      </w:r>
      <w:r w:rsidR="00144D96" w:rsidRPr="00144D96">
        <w:t>(Haider et al., 2018)</w:t>
      </w:r>
      <w:r w:rsidR="00B66EF7" w:rsidRPr="00DA249F">
        <w:rPr>
          <w:lang w:val="en-GB"/>
        </w:rPr>
        <w:fldChar w:fldCharType="end"/>
      </w:r>
      <w:r w:rsidR="0041334B" w:rsidRPr="00DA249F">
        <w:rPr>
          <w:lang w:val="en-GB"/>
        </w:rPr>
        <w:t xml:space="preserve">. </w:t>
      </w:r>
    </w:p>
    <w:p w14:paraId="6F26B6CC" w14:textId="125BB77E" w:rsidR="0070022D" w:rsidRPr="00DA249F" w:rsidDel="00065992" w:rsidRDefault="0041334B" w:rsidP="00301FBF">
      <w:pPr>
        <w:pBdr>
          <w:top w:val="single" w:sz="4" w:space="1" w:color="auto"/>
          <w:left w:val="single" w:sz="4" w:space="0" w:color="auto"/>
          <w:bottom w:val="single" w:sz="4" w:space="1" w:color="auto"/>
          <w:right w:val="single" w:sz="4" w:space="1" w:color="auto"/>
        </w:pBdr>
        <w:shd w:val="clear" w:color="auto" w:fill="E7E6E6" w:themeFill="background2"/>
        <w:rPr>
          <w:lang w:val="en-GB"/>
        </w:rPr>
      </w:pPr>
      <w:r w:rsidRPr="00DA249F">
        <w:rPr>
          <w:lang w:val="en-GB"/>
        </w:rPr>
        <w:t>Historically, agriculture and domestic grazing were probably the first and most extensive drivers</w:t>
      </w:r>
      <w:r w:rsidR="003E743B">
        <w:rPr>
          <w:lang w:val="en-GB"/>
        </w:rPr>
        <w:t xml:space="preserve"> that</w:t>
      </w:r>
      <w:r w:rsidRPr="00DA249F">
        <w:rPr>
          <w:lang w:val="en-GB"/>
        </w:rPr>
        <w:t xml:space="preserve"> </w:t>
      </w:r>
      <w:r w:rsidR="00F628F8" w:rsidRPr="00DA249F">
        <w:rPr>
          <w:lang w:val="en-GB"/>
        </w:rPr>
        <w:t>facilitat</w:t>
      </w:r>
      <w:r w:rsidR="003E743B">
        <w:rPr>
          <w:lang w:val="en-GB"/>
        </w:rPr>
        <w:t>ed</w:t>
      </w:r>
      <w:r w:rsidR="00F628F8" w:rsidRPr="00DA249F">
        <w:rPr>
          <w:lang w:val="en-GB"/>
        </w:rPr>
        <w:t xml:space="preserve"> </w:t>
      </w:r>
      <w:r w:rsidRPr="00DA249F">
        <w:rPr>
          <w:lang w:val="en-GB"/>
        </w:rPr>
        <w:t xml:space="preserve">plant invasions in mountains. For example, species typical for European grasslands are widespread in the alien flora of mountains worldwide </w:t>
      </w:r>
      <w:r w:rsidRPr="00DA249F">
        <w:rPr>
          <w:lang w:val="en-GB"/>
        </w:rPr>
        <w:fldChar w:fldCharType="begin"/>
      </w:r>
      <w:r w:rsidR="00331A79">
        <w:rPr>
          <w:lang w:val="en-GB"/>
        </w:rPr>
        <w:instrText xml:space="preserve"> ADDIN ZOTERO_ITEM CSL_CITATION {"citationID":"ntqaXTGP","properties":{"formattedCitation":"(McDougall et al., 2011)","plainCitation":"(McDougall et al., 2011)","noteIndex":0},"citationItems":[{"id":25602,"uris":["http://zotero.org/groups/2352922/items/F6VUHVF4"],"itemData":{"id":25602,"type":"article-journal","container-title":"Diversity and Distributions","DOI":"10.1111/j.1472-4642.2010.00713.x","ISSN":"13669516","issue":"1","language":"en","page":"103-111","source":"CrossRef","title":"Alien flora of mountains: global comparisons for the development of local preventive measures against plant invasions","title-short":"Alien flora of mountains","URL":"http://doi.wiley.com/10.1111/j.1472-4642.2010.00713.x","volume":"17","author":[{"family":"McDougall","given":"Keith L."},{"family":"Alexander","given":"Jake M."},{"family":"Haider","given":"Sylvia"},{"family":"Pauchard","given":"Aníbal"},{"family":"Walsh","given":"Neville G."},{"family":"Kueffer","given":"Christoph"}],"accessed":{"date-parts":[["2017",3,19]]},"issued":{"date-parts":[["2011",1]]}},"label":"page"}],"schema":"https://github.com/citation-style-language/schema/raw/master/csl-citation.json"} </w:instrText>
      </w:r>
      <w:r w:rsidRPr="00DA249F">
        <w:rPr>
          <w:lang w:val="en-GB"/>
        </w:rPr>
        <w:fldChar w:fldCharType="separate"/>
      </w:r>
      <w:r w:rsidR="00144D96" w:rsidRPr="00144D96">
        <w:t>(McDougall et al., 2011)</w:t>
      </w:r>
      <w:r w:rsidRPr="00DA249F">
        <w:rPr>
          <w:lang w:val="en-GB"/>
        </w:rPr>
        <w:fldChar w:fldCharType="end"/>
      </w:r>
      <w:r w:rsidRPr="00DA249F">
        <w:rPr>
          <w:lang w:val="en-GB"/>
        </w:rPr>
        <w:t xml:space="preserve">. However, as mountains have become more heavily developed, drivers such as infrastructure and </w:t>
      </w:r>
      <w:r w:rsidR="00B8054D">
        <w:rPr>
          <w:lang w:val="en-GB"/>
        </w:rPr>
        <w:t xml:space="preserve">anthropogenic </w:t>
      </w:r>
      <w:r w:rsidRPr="00DA249F">
        <w:rPr>
          <w:lang w:val="en-GB"/>
        </w:rPr>
        <w:t xml:space="preserve">land-use changes </w:t>
      </w:r>
      <w:r w:rsidR="00420F0C">
        <w:rPr>
          <w:lang w:val="en-GB"/>
        </w:rPr>
        <w:t>(</w:t>
      </w:r>
      <w:r w:rsidRPr="00DA249F">
        <w:rPr>
          <w:lang w:val="en-GB"/>
        </w:rPr>
        <w:t>including urbanization</w:t>
      </w:r>
      <w:r w:rsidR="00B8054D">
        <w:rPr>
          <w:lang w:val="en-GB"/>
        </w:rPr>
        <w:t xml:space="preserve"> and the development of</w:t>
      </w:r>
      <w:r w:rsidR="00B8054D" w:rsidRPr="00B8054D">
        <w:rPr>
          <w:lang w:val="en-GB"/>
        </w:rPr>
        <w:t xml:space="preserve"> </w:t>
      </w:r>
      <w:r w:rsidR="00B8054D" w:rsidRPr="00DA249F">
        <w:rPr>
          <w:lang w:val="en-GB"/>
        </w:rPr>
        <w:t>corridors such as roads, trails and railways</w:t>
      </w:r>
      <w:r w:rsidR="00420F0C">
        <w:rPr>
          <w:lang w:val="en-GB"/>
        </w:rPr>
        <w:t>)</w:t>
      </w:r>
      <w:r w:rsidRPr="00DA249F">
        <w:rPr>
          <w:lang w:val="en-GB"/>
        </w:rPr>
        <w:t xml:space="preserve"> have synergistically supported the upslope movement of alien plants introduced at low and mid-elevations </w:t>
      </w:r>
      <w:r w:rsidRPr="00DA249F">
        <w:rPr>
          <w:lang w:val="en-GB"/>
        </w:rPr>
        <w:fldChar w:fldCharType="begin"/>
      </w:r>
      <w:r w:rsidR="00331A79">
        <w:rPr>
          <w:lang w:val="en-GB"/>
        </w:rPr>
        <w:instrText xml:space="preserve"> ADDIN ZOTERO_ITEM CSL_CITATION {"citationID":"inSAm2m0","properties":{"formattedCitation":"(Alexander et al., 2011; Lembrechts et al., 2017; Liedtke et al., 2020; Rashid et al., 2021; Yang et al., 2018)","plainCitation":"(Alexander et al., 2011; Lembrechts et al., 2017; Liedtke et al., 2020; Rashid et al., 2021; Yang et al., 2018)","noteIndex":0},"citationItems":[{"id":28805,"uris":["http://zotero.org/groups/2352922/items/IIGPG8W2"],"itemData":{"id":28805,"type":"article-journal","container-title":"Proceedings of the National Academy of Sciences","DOI":"10.1073/pnas.1013136108","ISSN":"0027-8424, 1091-6490","issue":"2","journalAbbreviation":"Proceedings of the National Academy of Sciences","language":"en","page":"656-661","source":"DOI.org (Crossref)","title":"Assembly of nonnative floras along elevational gradients explained by directional ecological filtering","URL":"http://www.pnas.org/cgi/doi/10.1073/pnas.1013136108","volume":"108","author":[{"family":"Alexander","given":"Jake M."},{"family":"Kueffer","given":"Christoph"},{"family":"Daehler","given":"Curtis C"},{"family":"Edwards","given":"Peter J"},{"family":"Pauchard","given":"Aníbal"},{"family":"Seipel","given":"Tim"},{"literal":"MIREN Consortium"}],"contributor":[{"family":"Arevalo","given":"J."},{"family":"Cavieres","given":"L."},{"family":"Dietz","given":"H."},{"family":"Jakobs","given":"G."},{"family":"McDougall","given":"K."},{"family":"Naylor","given":"B."},{"family":"Otto","given":"R."},{"family":"Parks","given":"C. G."},{"family":"Rew","given":"L."},{"family":"Walsh","given":"N."}],"accessed":{"date-parts":[["2020",4,8]]},"issued":{"date-parts":[["2011",1,11]]}},"label":"page"},{"id":26614,"uris":["http://zotero.org/groups/2352922/items/U3FKTU9V"],"itemData":{"id":26614,"type":"article-journal","container-title":"Ecography","DOI":"10.1111/ecog.02200","ISSN":"09067590","issue":"3","language":"en","page":"353-364","source":"CrossRef","title":"Mountain roads shift native and non-native plant species' ranges","URL":"http://doi.wiley.com/10.1111/ecog.02200","volume":"40","author":[{"family":"Lembrechts","given":"Jonas J."},{"family":"Alexander","given":"Jake M."},{"family":"Cavieres","given":"Lohengrin A."},{"family":"Haider","given":"Sylvia"},{"family":"Lenoir","given":"Jonathan"},{"family":"Kueffer","given":"Christoph"},{"family":"McDougall","given":"Keith"},{"family":"Naylor","given":"Bridgett J."},{"family":"Nuñez","given":"Martín A."},{"family":"Pauchard","given":"Aníbal"},{"family":"Rew","given":"Lisa J."},{"family":"Nijs","given":"Ivan"},{"family":"Milbau","given":"Ann"}],"accessed":{"date-parts":[["2017",7,9]]},"issued":{"date-parts":[["2017",3]]}},"label":"page"},{"id":26895,"uris":["http://zotero.org/groups/2352922/items/B7VZHG2Y"],"itemData":{"id":26895,"type":"article-journal","abstract":"Roadsides are major pathways of plant invasions in mountain regions. However, the increasing importance of tourism may also turn hiking trails into conduits of non-native plant spread to remote mountain landscapes. Here, we evaluated the importance of such trails for plant invasion in five protected mountain areas of southern central Chile. We therefore sampled native and non-native species along 17 trails and in the adjacent undisturbed vegetation. We analyzed whether the number and cover of non-native species in local plant assemblages is related to distance to trail and a number of additional variables that characterize the abiotic and biotic environment as well as the usage of the trail. We found that non-native species at higher elevations are a subset of the lowland source pool and that their number and cover decreases with increasing elevation and with distance to trails, although this latter variable only explained 4–8% of the variation in the data. In addition, non-native richness and cover were positively correlated with signs of livestock presence but negatively with the presence of intact forest vegetation. These results suggest that, at least in the region studied, hiking trails have indeed fostered non-native species spread to higher elevations, although less efficiently than roadsides. As a corollary, appropriate planning and management of trails could become increasingly important to control plant invasions into mountains in a world which is warming and where visitation and recreational use of mountainous areas is expected to increase.","container-title":"Biological Invasions","DOI":"10.1007/s10530-019-02165-9","ISSN":"1573-1464","issue":"3","journalAbbreviation":"Biol Invasions","language":"en","page":"1121-1134","source":"Springer Link","title":"Hiking trails as conduits for the spread of non-native species in mountain areas","URL":"https://doi.org/10.1007/s10530-019-02165-9","volume":"22","author":[{"family":"Liedtke","given":"Rebecca"},{"family":"Barros","given":"Agustina"},{"family":"Essl","given":"Franz"},{"family":"Lembrechts","given":"Jonas J."},{"family":"Wedegärtner","given":"Ronja E. M."},{"family":"Pauchard","given":"Aníbal"},{"family":"Dullinger","given":"Stefan"}],"accessed":{"date-parts":[["2021",6,8]]},"issued":{"date-parts":[["2020",3,1]]}},"label":"page"},{"id":31505,"uris":["http://zotero.org/groups/2352922/items/7AP26H7W"],"itemData":{"id":31505,"type":"article-journal","container-title":"Journal of Applied Ecology","DOI":"10.1111/1365-2664.13961","ISSN":"0021-8901, 1365-2664","issue":"9","journalAbbreviation":"J Appl Ecol","language":"en","page":"1967-1980","source":"DOI.org (Crossref)","title":"Railways redistribute plant species in mountain landscapes","URL":"https://onlinelibrary.wiley.com/doi/10.1111/1365-2664.13961","volume":"58","author":[{"family":"Rashid","given":"Irfan"},{"family":"Haq","given":"Shiekh Marifatul"},{"family":"Lembrechts","given":"Jonas J."},{"family":"Khuroo","given":"Anzar A."},{"family":"Pauchard","given":"Aníbal"},{"family":"Dukes","given":"Jeffrey S."}],"accessed":{"date-parts":[["2021",11,23]]},"issued":{"date-parts":[["2021",9]]}},"label":"page"},{"id":25539,"uris":["http://zotero.org/groups/2352922/items/X57T45YX"],"itemData":{"id":25539,"type":"article-journal","container-title":"Alpine Botany","DOI":"10.1007/s00035-018-0205-6","ISSN":"1664-2201, 1664-221X","issue":"2","journalAbbreviation":"Alp Botany","language":"en","page":"169-178","source":"DOI.org (Crossref)","title":"Distribution of non-native plant species along elevation gradients in a protected area in the eastern Himalayas, China","URL":"http://link.springer.com/10.1007/s00035-018-0205-6","volume":"128","author":[{"family":"Yang","given":"Mingyu"},{"family":"Lu","given":"Zheng"},{"family":"Fan","given":"Zhongyu"},{"family":"Liu","given":"Xia"},{"family":"Hens","given":"Luc"},{"family":"De Wulf","given":"Robert"},{"family":"Ou","given":"Xiaokun"}],"accessed":{"date-parts":[["2020",3,9]]},"issued":{"date-parts":[["2018",10]]}},"label":"page"}],"schema":"https://github.com/citation-style-language/schema/raw/master/csl-citation.json"} </w:instrText>
      </w:r>
      <w:r w:rsidRPr="00DA249F">
        <w:rPr>
          <w:lang w:val="en-GB"/>
        </w:rPr>
        <w:fldChar w:fldCharType="separate"/>
      </w:r>
      <w:r w:rsidR="00144D96" w:rsidRPr="00144D96">
        <w:t>(Alexander et al., 2011; Lembrechts et al., 2017; Liedtke et al., 2020; Rashid et al., 2021; Yang et al., 2018)</w:t>
      </w:r>
      <w:r w:rsidRPr="00DA249F">
        <w:rPr>
          <w:lang w:val="en-GB"/>
        </w:rPr>
        <w:fldChar w:fldCharType="end"/>
      </w:r>
      <w:r w:rsidRPr="00DA249F">
        <w:rPr>
          <w:lang w:val="en-GB"/>
        </w:rPr>
        <w:t xml:space="preserve">. </w:t>
      </w:r>
      <w:r w:rsidR="008C72A8">
        <w:rPr>
          <w:lang w:val="en-GB"/>
        </w:rPr>
        <w:t>C</w:t>
      </w:r>
      <w:r w:rsidRPr="00DA249F">
        <w:rPr>
          <w:lang w:val="en-GB"/>
        </w:rPr>
        <w:t xml:space="preserve">orridors provide a conduit for </w:t>
      </w:r>
      <w:r w:rsidR="00E23016" w:rsidRPr="00DA249F">
        <w:rPr>
          <w:lang w:val="en-GB"/>
        </w:rPr>
        <w:t xml:space="preserve">rapid </w:t>
      </w:r>
      <w:r w:rsidRPr="00DA249F">
        <w:rPr>
          <w:lang w:val="en-GB"/>
        </w:rPr>
        <w:t xml:space="preserve">movement of propagules aided by the continuous movement of vehicles and construction material </w:t>
      </w:r>
      <w:r w:rsidR="007C7150" w:rsidRPr="00DA249F">
        <w:rPr>
          <w:lang w:val="en-GB"/>
        </w:rPr>
        <w:fldChar w:fldCharType="begin"/>
      </w:r>
      <w:r w:rsidR="00331A79">
        <w:rPr>
          <w:lang w:val="en-GB"/>
        </w:rPr>
        <w:instrText xml:space="preserve"> ADDIN ZOTERO_ITEM CSL_CITATION {"citationID":"K4llUVug","properties":{"formattedCitation":"(Rew et al., 2018)","plainCitation":"(Rew et al., 2018)","noteIndex":0},"citationItems":[{"id":52916,"uris":["http://zotero.org/groups/2352922/items/EHLMQTJQ"],"itemData":{"id":52916,"type":"article-journal","container-title":"Journal of environmental management","DOI":"10.1016/j.jenvman.2017.10.060","note":"ISBN: 0301-4797\npublisher: Elsevier","page":"547-555","title":"Hitching a ride: seed accrual rates on different types of vehicles","URL":"https://www.sciencedirect.com/science/article/pii/S0301479717310575","volume":"206","author":[{"family":"Rew","given":"Lisa J."},{"family":"Brummer","given":"Tyler J."},{"family":"Pollnac","given":"Fredric W."},{"family":"Larson","given":"Christian D."},{"family":"Taylor","given":"Kimberley T."},{"family":"Taper","given":"Mark L."},{"family":"Fleming","given":"Joseph D."},{"family":"Balbach","given":"Harold E."}],"issued":{"date-parts":[["2018"]]}}}],"schema":"https://github.com/citation-style-language/schema/raw/master/csl-citation.json"} </w:instrText>
      </w:r>
      <w:r w:rsidR="007C7150" w:rsidRPr="00DA249F">
        <w:rPr>
          <w:lang w:val="en-GB"/>
        </w:rPr>
        <w:fldChar w:fldCharType="separate"/>
      </w:r>
      <w:r w:rsidR="00144D96" w:rsidRPr="00144D96">
        <w:t>(Rew et al., 2018)</w:t>
      </w:r>
      <w:r w:rsidR="007C7150" w:rsidRPr="00DA249F">
        <w:rPr>
          <w:lang w:val="en-GB"/>
        </w:rPr>
        <w:fldChar w:fldCharType="end"/>
      </w:r>
      <w:r w:rsidR="007F62BA" w:rsidRPr="00DA249F">
        <w:rPr>
          <w:lang w:val="en-GB"/>
        </w:rPr>
        <w:t>.</w:t>
      </w:r>
      <w:r w:rsidRPr="00DA249F">
        <w:rPr>
          <w:lang w:val="en-GB"/>
        </w:rPr>
        <w:t xml:space="preserve"> Furthermore, the typically ruderal alien species benefit from the disturbed habitat conditions resulting from roadside construction and maintenance </w:t>
      </w:r>
      <w:r w:rsidRPr="00DA249F">
        <w:rPr>
          <w:lang w:val="en-GB"/>
        </w:rPr>
        <w:fldChar w:fldCharType="begin"/>
      </w:r>
      <w:r w:rsidR="00331A79">
        <w:rPr>
          <w:lang w:val="en-GB"/>
        </w:rPr>
        <w:instrText xml:space="preserve"> ADDIN ZOTERO_ITEM CSL_CITATION {"citationID":"C54SWva8","properties":{"formattedCitation":"(Lembrechts et al., 2016; Pickering &amp; Hill, 2007; Seipel et al., 2012)","plainCitation":"(Lembrechts et al., 2016; Pickering &amp; Hill, 2007; Seipel et al., 2012)","noteIndex":0},"citationItems":[{"id":29024,"uris":["http://zotero.org/groups/2352922/items/Z23B8UZ8"],"itemData":{"id":29024,"type":"article-journal","abstract":"Until now, nonnative plant species were rarely found at high elevations and latitudes. However, partly because of climate warming, biological invasions are now on the rise in these extremely cold environments. These plant invasions make it timely to undertake a thorough experimental assessment of what has previously been holding them back. This knowledge is key to developing efficient management of the increasing risks of cold-climate invasions. Here, we integrate human interventions (i.e., disturbance, nutrient addition, and propagule input) and climatic factors (i.e., temperature) into one seed-addition experiment across two continents: the subantarctic Andes and subarctic Scandinavian mountains (Scandes), to disentangle their roles in limiting or favoring plant invasions. Disturbance was found as the main determinant of plant invader success (i.e., establishment, growth, and flowering) along the entire cold-climate gradient, explaining 40–60% of the total variance in our models, with no indication of any facilitative effect from the native vegetation. Higher nutrient levels additionally stimulated biomass production and flowering. Establishment and flowering displayed a hump-shaped response with increasing elevation, suggesting that competition is the main limit on invader success at low elevations, as opposed to low-growing-season temperatures at high elevations. Our experiment showed, however, that nonnative plants can establish, grow, and flower well above their current elevational limits in high-latitude mountains. We thus argue that cold-climate ecosystems are likely to see rapid increases in plant invasions in the near future as a result of a synergistic interaction between increasing human-mediated disturbances and climate warming.","container-title":"Proceedings of the National Academy of Sciences","DOI":"10.1073/pnas.1608980113","ISSN":"0027-8424, 1091-6490","issue":"49","journalAbbreviation":"Proc Natl Acad Sci USA","language":"en","page":"14061-14066","source":"DOI.org (Crossref)","title":"Disturbance is the key to plant invasions in cold environments","URL":"http://www.pnas.org/lookup/doi/10.1073/pnas.1608980113","volume":"113","author":[{"family":"Lembrechts","given":"Jonas J."},{"family":"Pauchard","given":"Aníbal"},{"family":"Lenoir","given":"Jonathan"},{"family":"Nuñez","given":"Martín A."},{"family":"Geron","given":"Charly"},{"family":"Ven","given":"Arne"},{"family":"Bravo-Monasterio","given":"Pablo"},{"family":"Teneb","given":"Ernesto"},{"family":"Nijs","given":"Ivan"},{"family":"Milbau","given":"Ann"}],"accessed":{"date-parts":[["2021",7,7]]},"issued":{"date-parts":[["2016",12,6]]}},"label":"page"},{"id":52917,"uris":["http://zotero.org/groups/2352922/items/I7KR2ZA7"],"itemData":{"id":52917,"type":"article-journal","container-title":"Mountain Research and Development","DOI":"https://doi.org/10.1659/mrd.0805","issue":"4","note":"ISBN: 0276-4741\npublisher: BioOne","page":"359-367","title":"Roadside weeds of the snowy mountains, Australia","volume":"27","author":[{"family":"Pickering","given":"Catherine"},{"family":"Hill","given":"Wendy"}],"issued":{"date-parts":[["2007"]]}},"label":"page"},{"id":10468,"uris":["http://zotero.org/groups/2352922/items/9NSJ9JFD"],"itemData":{"id":10468,"type":"article-journal","container-title":"Global Ecology and Biogeography","DOI":"10.1111/j.1466-8238.2011.00664.x","ISSN":"1466822X","issue":"2","language":"en","page":"236-246","source":"CrossRef","title":"Processes at multiple scales affect richness and similarity of non-native plant species in mountains around the world","title-short":"Processes at multiple scales affect richness and similarity of non-native plant species in mountains around the world","URL":"http://doi.wiley.com/10.1111/j.1466-8238.2011.00664.x","volume":"21","author":[{"family":"Seipel","given":"Tim"},{"family":"Kueffer","given":"Christoph"},{"family":"Rew","given":"Lisa J."},{"family":"Daehler","given":"Curtis C."},{"family":"Pauchard","given":"Aníbal"},{"family":"Naylor","given":"Bridgett J."},{"family":"Alexander","given":"Jake M."},{"family":"Edwards","given":"Peter J."},{"family":"Parks","given":"Catherine G."},{"family":"Arevalo","given":"José Ramon"},{"family":"Cavieres","given":"Lohengrin A."},{"family":"Dietz","given":"Hansjörg"},{"family":"Jakobs","given":"Gabi"},{"family":"McDougall","given":"Keith"},{"family":"Otto","given":"Rüdiger"},{"family":"Walsh","given":"Neville"}],"accessed":{"date-parts":[["2017",7,25]]},"issued":{"date-parts":[["2012",2]]}},"label":"page"}],"schema":"https://github.com/citation-style-language/schema/raw/master/csl-citation.json"} </w:instrText>
      </w:r>
      <w:r w:rsidRPr="00DA249F">
        <w:rPr>
          <w:lang w:val="en-GB"/>
        </w:rPr>
        <w:fldChar w:fldCharType="separate"/>
      </w:r>
      <w:r w:rsidR="00144D96" w:rsidRPr="00144D96">
        <w:t>(Lembrechts et al., 2016; Pickering &amp; Hill, 2007; Seipel et al., 2012)</w:t>
      </w:r>
      <w:r w:rsidRPr="00DA249F">
        <w:rPr>
          <w:lang w:val="en-GB"/>
        </w:rPr>
        <w:fldChar w:fldCharType="end"/>
      </w:r>
      <w:r w:rsidR="00246326" w:rsidRPr="00DA249F">
        <w:rPr>
          <w:lang w:val="en-GB"/>
        </w:rPr>
        <w:t xml:space="preserve">. </w:t>
      </w:r>
    </w:p>
    <w:p w14:paraId="3B3FA11A" w14:textId="3B39FC11" w:rsidR="00C24FFF" w:rsidRPr="00DA249F" w:rsidRDefault="0041334B" w:rsidP="00301FBF">
      <w:pPr>
        <w:pBdr>
          <w:top w:val="single" w:sz="4" w:space="1" w:color="auto"/>
          <w:left w:val="single" w:sz="4" w:space="0" w:color="auto"/>
          <w:bottom w:val="single" w:sz="4" w:space="1" w:color="auto"/>
          <w:right w:val="single" w:sz="4" w:space="1" w:color="auto"/>
        </w:pBdr>
        <w:shd w:val="clear" w:color="auto" w:fill="E7E6E6" w:themeFill="background2"/>
        <w:rPr>
          <w:lang w:val="en-GB"/>
        </w:rPr>
      </w:pPr>
      <w:r w:rsidRPr="00DA249F">
        <w:rPr>
          <w:lang w:val="en-GB"/>
        </w:rPr>
        <w:t>In recent decades, and because of technological advances and higher economic and development pressures, mountain ecosystems have experienced a new phase of extensive land-use changes and infrastructure development, which ha</w:t>
      </w:r>
      <w:r w:rsidR="00EF7D4E">
        <w:rPr>
          <w:lang w:val="en-GB"/>
        </w:rPr>
        <w:t>s</w:t>
      </w:r>
      <w:r w:rsidRPr="00DA249F">
        <w:rPr>
          <w:lang w:val="en-GB"/>
        </w:rPr>
        <w:t xml:space="preserve"> triggered the spread of invasive alien plants to even higher and more remote areas </w:t>
      </w:r>
      <w:r w:rsidRPr="00DA249F">
        <w:rPr>
          <w:lang w:val="en-GB"/>
        </w:rPr>
        <w:fldChar w:fldCharType="begin"/>
      </w:r>
      <w:r w:rsidR="00331A79">
        <w:rPr>
          <w:lang w:val="en-GB"/>
        </w:rPr>
        <w:instrText xml:space="preserve"> ADDIN ZOTERO_ITEM CSL_CITATION {"citationID":"CjFOpZSK","properties":{"formattedCitation":"(Kalwij et al., 2015; Rew et al., 2018)","plainCitation":"(Kalwij et al., 2015; Rew et al., 2018)","noteIndex":0},"citationItems":[{"id":25561,"uris":["http://zotero.org/groups/2352922/items/GBUHMX3C"],"itemData":{"id":25561,"type":"article-journal","container-title":"Biological Invasions","DOI":"10.1007/s10530-015-0975-3","ISSN":"1387-3547, 1573-1464","issue":"12","journalAbbreviation":"Biol Invasions","language":"en","page":"3517-3529","source":"DOI.org (Crossref)","title":"Annual monitoring reveals rapid upward movement of exotic plants in a montane ecosystem","URL":"http://link.springer.com/10.1007/s10530-015-0975-3","volume":"17","author":[{"family":"Kalwij","given":"Jesse M."},{"family":"Robertson","given":"Mark P."},{"family":"Rensburg","given":"Berndt J.","non-dropping-particle":"van"}],"accessed":{"date-parts":[["2020",4,23]]},"issued":{"date-parts":[["2015",12]]}},"label":"page"},{"id":52916,"uris":["http://zotero.org/groups/2352922/items/EHLMQTJQ"],"itemData":{"id":52916,"type":"article-journal","container-title":"Journal of environmental management","DOI":"10.1016/j.jenvman.2017.10.060","note":"ISBN: 0301-4797\npublisher: Elsevier","page":"547-555","title":"Hitching a ride: seed accrual rates on different types of vehicles","URL":"https://www.sciencedirect.com/science/article/pii/S0301479717310575","volume":"206","author":[{"family":"Rew","given":"Lisa J."},{"family":"Brummer","given":"Tyler J."},{"family":"Pollnac","given":"Fredric W."},{"family":"Larson","given":"Christian D."},{"family":"Taylor","given":"Kimberley T."},{"family":"Taper","given":"Mark L."},{"family":"Fleming","given":"Joseph D."},{"family":"Balbach","given":"Harold E."}],"issued":{"date-parts":[["2018"]]}},"label":"page"}],"schema":"https://github.com/citation-style-language/schema/raw/master/csl-citation.json"} </w:instrText>
      </w:r>
      <w:r w:rsidRPr="00DA249F">
        <w:rPr>
          <w:lang w:val="en-GB"/>
        </w:rPr>
        <w:fldChar w:fldCharType="separate"/>
      </w:r>
      <w:r w:rsidR="00144D96" w:rsidRPr="00144D96">
        <w:t>(Kalwij et al., 2015; Rew et al., 2018)</w:t>
      </w:r>
      <w:r w:rsidRPr="00DA249F">
        <w:rPr>
          <w:lang w:val="en-GB"/>
        </w:rPr>
        <w:fldChar w:fldCharType="end"/>
      </w:r>
      <w:r w:rsidR="002900D9" w:rsidRPr="00DA249F">
        <w:rPr>
          <w:lang w:val="en-GB"/>
        </w:rPr>
        <w:t xml:space="preserve">. </w:t>
      </w:r>
      <w:r w:rsidRPr="00DA249F">
        <w:rPr>
          <w:lang w:val="en-GB"/>
        </w:rPr>
        <w:t xml:space="preserve">Tourism </w:t>
      </w:r>
      <w:r w:rsidR="001C47B5" w:rsidRPr="00DA249F">
        <w:rPr>
          <w:lang w:val="en-GB"/>
        </w:rPr>
        <w:t>in</w:t>
      </w:r>
      <w:r w:rsidRPr="00DA249F">
        <w:rPr>
          <w:lang w:val="en-GB"/>
        </w:rPr>
        <w:t xml:space="preserve"> mountain areas ha</w:t>
      </w:r>
      <w:r w:rsidR="001C47B5" w:rsidRPr="00DA249F">
        <w:rPr>
          <w:lang w:val="en-GB"/>
        </w:rPr>
        <w:t>s</w:t>
      </w:r>
      <w:r w:rsidRPr="00DA249F">
        <w:rPr>
          <w:lang w:val="en-GB"/>
        </w:rPr>
        <w:t xml:space="preserve"> exponentially increased across the world (reviewed by</w:t>
      </w:r>
      <w:r w:rsidR="003F1DB0" w:rsidRPr="00DA249F">
        <w:rPr>
          <w:lang w:val="en-GB"/>
        </w:rPr>
        <w:t xml:space="preserve"> </w:t>
      </w:r>
      <w:r w:rsidR="003F1DB0" w:rsidRPr="00DA249F">
        <w:rPr>
          <w:lang w:val="en-GB"/>
        </w:rPr>
        <w:fldChar w:fldCharType="begin"/>
      </w:r>
      <w:r w:rsidR="00331A79">
        <w:rPr>
          <w:lang w:val="en-GB"/>
        </w:rPr>
        <w:instrText xml:space="preserve"> ADDIN ZOTERO_ITEM CSL_CITATION {"citationID":"edxQanpY","properties":{"formattedCitation":"(R\\uc0\\u237{}o-Rama et al., 2019)","plainCitation":"(Río-Rama et al., 2019)","dontUpdate":true,"noteIndex":0},"citationItems":[{"id":52920,"uris":["http://zotero.org/groups/2352922/items/GNXIG6B6"],"itemData":{"id":52920,"type":"article-journal","container-title":"European Journal of Tourism Research","issue":"2019","note":"publisher: Varna University of Management (ex International University College)","page":"130-150","title":"Mountain tourism research. A review","URL":"https://www.semanticscholar.org/paper/Mountain-tourism-research.-A-review-R%C3%ADo-Rama-Maldonado-Erazo/14a7b727a2bb05d19fd7f2a8f4ac97f5e36b79bb","volume":"22","author":[{"family":"Río-Rama","given":"María"},{"family":"Maldonado-Erazo","given":"Claudia"},{"family":"Durán-Sánchez","given":"Amador"},{"family":"Álvarez-García","given":"José"}],"issued":{"date-parts":[["2019"]]}},"label":"page"}],"schema":"https://github.com/citation-style-language/schema/raw/master/csl-citation.json"} </w:instrText>
      </w:r>
      <w:r w:rsidR="003F1DB0" w:rsidRPr="00DA249F">
        <w:rPr>
          <w:lang w:val="en-GB"/>
        </w:rPr>
        <w:fldChar w:fldCharType="separate"/>
      </w:r>
      <w:r w:rsidR="00301FBF" w:rsidRPr="00DA249F">
        <w:rPr>
          <w:szCs w:val="24"/>
          <w:lang w:val="en-GB"/>
        </w:rPr>
        <w:t>Río-Rama et al., 2019)</w:t>
      </w:r>
      <w:r w:rsidR="003F1DB0" w:rsidRPr="00DA249F">
        <w:rPr>
          <w:lang w:val="en-GB"/>
        </w:rPr>
        <w:fldChar w:fldCharType="end"/>
      </w:r>
      <w:r w:rsidRPr="00DA249F">
        <w:rPr>
          <w:lang w:val="en-GB"/>
        </w:rPr>
        <w:t xml:space="preserve">, increasing the </w:t>
      </w:r>
      <w:r w:rsidR="00F52E82" w:rsidRPr="00DA249F">
        <w:rPr>
          <w:lang w:val="en-GB"/>
        </w:rPr>
        <w:t xml:space="preserve">development </w:t>
      </w:r>
      <w:r w:rsidRPr="00DA249F">
        <w:rPr>
          <w:lang w:val="en-GB"/>
        </w:rPr>
        <w:t xml:space="preserve">pressure </w:t>
      </w:r>
      <w:r w:rsidR="00F52E82">
        <w:rPr>
          <w:lang w:val="en-GB"/>
        </w:rPr>
        <w:t>in</w:t>
      </w:r>
      <w:r w:rsidR="00F26E2B">
        <w:rPr>
          <w:lang w:val="en-GB"/>
        </w:rPr>
        <w:t xml:space="preserve"> </w:t>
      </w:r>
      <w:r w:rsidRPr="00DA249F">
        <w:rPr>
          <w:lang w:val="en-GB"/>
        </w:rPr>
        <w:t xml:space="preserve">mountainous and alpine ecosystems. In most regions, there has been an </w:t>
      </w:r>
      <w:r w:rsidRPr="00DA249F">
        <w:rPr>
          <w:lang w:val="en-GB"/>
        </w:rPr>
        <w:lastRenderedPageBreak/>
        <w:t>increase in human settlements including housing and urbanization for tourism and recreation, as well as the expansion of infrastructure such as roads, railroads, powerlines</w:t>
      </w:r>
      <w:r w:rsidR="00774819">
        <w:rPr>
          <w:lang w:val="en-GB"/>
        </w:rPr>
        <w:t xml:space="preserve"> and</w:t>
      </w:r>
      <w:r w:rsidRPr="00DA249F">
        <w:rPr>
          <w:lang w:val="en-GB"/>
        </w:rPr>
        <w:t xml:space="preserve"> telecommunication towers. Overall, increasing land development, traffic and visitation </w:t>
      </w:r>
      <w:r w:rsidR="00F41F3C" w:rsidRPr="00DA249F">
        <w:rPr>
          <w:lang w:val="en-GB"/>
        </w:rPr>
        <w:t>rates</w:t>
      </w:r>
      <w:r w:rsidRPr="00DA249F">
        <w:rPr>
          <w:lang w:val="en-GB"/>
        </w:rPr>
        <w:t xml:space="preserve"> ha</w:t>
      </w:r>
      <w:r w:rsidR="003000E0">
        <w:rPr>
          <w:lang w:val="en-GB"/>
        </w:rPr>
        <w:t>ve</w:t>
      </w:r>
      <w:r w:rsidRPr="00DA249F">
        <w:rPr>
          <w:lang w:val="en-GB"/>
        </w:rPr>
        <w:t xml:space="preserve"> multiplied the chances for the introduction and establishment of invasive plant propagules</w:t>
      </w:r>
      <w:r w:rsidR="00F26E2B">
        <w:rPr>
          <w:lang w:val="en-GB"/>
        </w:rPr>
        <w:t xml:space="preserve"> </w:t>
      </w:r>
      <w:r w:rsidRPr="00DA249F">
        <w:rPr>
          <w:lang w:val="en-GB"/>
        </w:rPr>
        <w:t xml:space="preserve">at high elevations </w:t>
      </w:r>
      <w:r w:rsidRPr="00DA249F">
        <w:rPr>
          <w:lang w:val="en-GB"/>
        </w:rPr>
        <w:fldChar w:fldCharType="begin"/>
      </w:r>
      <w:r w:rsidR="00331A79">
        <w:rPr>
          <w:lang w:val="en-GB"/>
        </w:rPr>
        <w:instrText xml:space="preserve"> ADDIN ZOTERO_ITEM CSL_CITATION {"citationID":"rj3ck6y7","properties":{"formattedCitation":"(McDougall et al., 2011)","plainCitation":"(McDougall et al., 2011)","noteIndex":0},"citationItems":[{"id":25602,"uris":["http://zotero.org/groups/2352922/items/F6VUHVF4"],"itemData":{"id":25602,"type":"article-journal","container-title":"Diversity and Distributions","DOI":"10.1111/j.1472-4642.2010.00713.x","ISSN":"13669516","issue":"1","language":"en","page":"103-111","source":"CrossRef","title":"Alien flora of mountains: global comparisons for the development of local preventive measures against plant invasions","title-short":"Alien flora of mountains","URL":"http://doi.wiley.com/10.1111/j.1472-4642.2010.00713.x","volume":"17","author":[{"family":"McDougall","given":"Keith L."},{"family":"Alexander","given":"Jake M."},{"family":"Haider","given":"Sylvia"},{"family":"Pauchard","given":"Aníbal"},{"family":"Walsh","given":"Neville G."},{"family":"Kueffer","given":"Christoph"}],"accessed":{"date-parts":[["2017",3,19]]},"issued":{"date-parts":[["2011",1]]}},"label":"page"}],"schema":"https://github.com/citation-style-language/schema/raw/master/csl-citation.json"} </w:instrText>
      </w:r>
      <w:r w:rsidRPr="00DA249F">
        <w:rPr>
          <w:lang w:val="en-GB"/>
        </w:rPr>
        <w:fldChar w:fldCharType="separate"/>
      </w:r>
      <w:r w:rsidR="00144D96" w:rsidRPr="00144D96">
        <w:t>(McDougall et al., 2011)</w:t>
      </w:r>
      <w:r w:rsidRPr="00DA249F">
        <w:rPr>
          <w:lang w:val="en-GB"/>
        </w:rPr>
        <w:fldChar w:fldCharType="end"/>
      </w:r>
      <w:r w:rsidRPr="00DA249F">
        <w:rPr>
          <w:lang w:val="en-GB"/>
        </w:rPr>
        <w:t>.</w:t>
      </w:r>
    </w:p>
    <w:p w14:paraId="131438FE" w14:textId="77777777" w:rsidR="00C24FFF" w:rsidRPr="00DA249F" w:rsidDel="00065992" w:rsidRDefault="00EA5A7B" w:rsidP="00D47C04">
      <w:pPr>
        <w:pBdr>
          <w:top w:val="single" w:sz="4" w:space="1" w:color="auto"/>
          <w:left w:val="single" w:sz="4" w:space="0" w:color="auto"/>
          <w:bottom w:val="single" w:sz="4" w:space="1" w:color="auto"/>
          <w:right w:val="single" w:sz="4" w:space="1" w:color="auto"/>
        </w:pBdr>
        <w:shd w:val="clear" w:color="auto" w:fill="E7E6E6" w:themeFill="background2"/>
        <w:jc w:val="center"/>
        <w:rPr>
          <w:lang w:val="en-GB"/>
        </w:rPr>
      </w:pPr>
      <w:r>
        <w:rPr>
          <w:noProof/>
        </w:rPr>
        <w:drawing>
          <wp:inline distT="0" distB="0" distL="0" distR="0" wp14:anchorId="5F348E60" wp14:editId="5DA0D130">
            <wp:extent cx="4301337" cy="3225372"/>
            <wp:effectExtent l="0" t="0" r="4445"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4304838" cy="3227998"/>
                    </a:xfrm>
                    <a:prstGeom prst="rect">
                      <a:avLst/>
                    </a:prstGeom>
                    <a:noFill/>
                    <a:ln>
                      <a:noFill/>
                    </a:ln>
                  </pic:spPr>
                </pic:pic>
              </a:graphicData>
            </a:graphic>
          </wp:inline>
        </w:drawing>
      </w:r>
    </w:p>
    <w:p w14:paraId="09DB13E3" w14:textId="23962857" w:rsidR="00C24FFF" w:rsidRPr="00DA249F" w:rsidRDefault="00C24FFF" w:rsidP="00301FBF">
      <w:pPr>
        <w:pStyle w:val="Caption"/>
        <w:pBdr>
          <w:top w:val="single" w:sz="4" w:space="1" w:color="auto"/>
          <w:left w:val="single" w:sz="4" w:space="0" w:color="auto"/>
          <w:bottom w:val="single" w:sz="4" w:space="1" w:color="auto"/>
          <w:right w:val="single" w:sz="4" w:space="1" w:color="auto"/>
        </w:pBdr>
        <w:shd w:val="clear" w:color="auto" w:fill="E7E6E6" w:themeFill="background2"/>
        <w:rPr>
          <w:lang w:val="en-GB"/>
        </w:rPr>
      </w:pPr>
      <w:bookmarkStart w:id="230" w:name="_Ref129339879"/>
      <w:bookmarkStart w:id="231" w:name="_Toc147500911"/>
      <w:r w:rsidRPr="00DA249F">
        <w:rPr>
          <w:lang w:val="en-GB"/>
        </w:rPr>
        <w:t>Figure 3.</w:t>
      </w:r>
      <w:r w:rsidRPr="00DA249F">
        <w:rPr>
          <w:lang w:val="en-GB"/>
        </w:rPr>
        <w:fldChar w:fldCharType="begin"/>
      </w:r>
      <w:r w:rsidRPr="00DA249F">
        <w:rPr>
          <w:lang w:val="en-GB"/>
        </w:rPr>
        <w:instrText xml:space="preserve"> SEQ Figure_3. \* ARABIC </w:instrText>
      </w:r>
      <w:r w:rsidRPr="00DA249F">
        <w:rPr>
          <w:lang w:val="en-GB"/>
        </w:rPr>
        <w:fldChar w:fldCharType="separate"/>
      </w:r>
      <w:r w:rsidR="00287BC7">
        <w:rPr>
          <w:noProof/>
          <w:lang w:val="en-GB"/>
        </w:rPr>
        <w:t>26</w:t>
      </w:r>
      <w:r w:rsidRPr="00DA249F">
        <w:rPr>
          <w:lang w:val="en-GB"/>
        </w:rPr>
        <w:fldChar w:fldCharType="end"/>
      </w:r>
      <w:r w:rsidR="00D47C04" w:rsidRPr="00DA249F">
        <w:rPr>
          <w:lang w:val="en-GB"/>
        </w:rPr>
        <w:t>.</w:t>
      </w:r>
      <w:r w:rsidRPr="00DA249F">
        <w:rPr>
          <w:lang w:val="en-GB"/>
        </w:rPr>
        <w:t xml:space="preserve"> </w:t>
      </w:r>
      <w:r w:rsidR="006471D9" w:rsidRPr="00DA249F">
        <w:rPr>
          <w:b w:val="0"/>
          <w:bCs w:val="0"/>
          <w:lang w:val="en-GB"/>
        </w:rPr>
        <w:t>Monte Baldo hosts an increasing number of invasive alien species</w:t>
      </w:r>
      <w:r w:rsidR="00A10437" w:rsidRPr="00DA249F">
        <w:rPr>
          <w:b w:val="0"/>
          <w:bCs w:val="0"/>
          <w:lang w:val="en-GB"/>
        </w:rPr>
        <w:t>.</w:t>
      </w:r>
      <w:r w:rsidR="00A10437" w:rsidRPr="00DA249F">
        <w:rPr>
          <w:lang w:val="en-GB"/>
        </w:rPr>
        <w:t xml:space="preserve"> </w:t>
      </w:r>
      <w:r w:rsidR="00AE0B51">
        <w:rPr>
          <w:b w:val="0"/>
          <w:bCs w:val="0"/>
          <w:lang w:val="en-GB"/>
        </w:rPr>
        <w:t>An i</w:t>
      </w:r>
      <w:r w:rsidRPr="00DA249F">
        <w:rPr>
          <w:b w:val="0"/>
          <w:bCs w:val="0"/>
          <w:lang w:val="en-GB"/>
        </w:rPr>
        <w:t xml:space="preserve">ncreasing number of alien plants have </w:t>
      </w:r>
      <w:r w:rsidR="00E93CBC" w:rsidRPr="00DA249F">
        <w:rPr>
          <w:b w:val="0"/>
          <w:bCs w:val="0"/>
          <w:lang w:val="en-GB"/>
        </w:rPr>
        <w:t xml:space="preserve">been </w:t>
      </w:r>
      <w:r w:rsidRPr="00DA249F">
        <w:rPr>
          <w:b w:val="0"/>
          <w:bCs w:val="0"/>
          <w:lang w:val="en-GB"/>
        </w:rPr>
        <w:t>establish</w:t>
      </w:r>
      <w:r w:rsidR="00E93CBC" w:rsidRPr="00DA249F">
        <w:rPr>
          <w:b w:val="0"/>
          <w:bCs w:val="0"/>
          <w:lang w:val="en-GB"/>
        </w:rPr>
        <w:t>ing</w:t>
      </w:r>
      <w:r w:rsidRPr="00DA249F">
        <w:rPr>
          <w:b w:val="0"/>
          <w:bCs w:val="0"/>
          <w:lang w:val="en-GB"/>
        </w:rPr>
        <w:t xml:space="preserve"> in mountain</w:t>
      </w:r>
      <w:r w:rsidR="00AD273F" w:rsidRPr="00DA249F">
        <w:rPr>
          <w:b w:val="0"/>
          <w:bCs w:val="0"/>
          <w:lang w:val="en-GB"/>
        </w:rPr>
        <w:t>s</w:t>
      </w:r>
      <w:r w:rsidR="006471D9" w:rsidRPr="00DA249F">
        <w:rPr>
          <w:b w:val="0"/>
          <w:bCs w:val="0"/>
          <w:lang w:val="en-GB"/>
        </w:rPr>
        <w:t xml:space="preserve"> like Monte Baldo </w:t>
      </w:r>
      <w:r w:rsidR="00AD273F" w:rsidRPr="00DA249F">
        <w:rPr>
          <w:b w:val="0"/>
          <w:bCs w:val="0"/>
          <w:lang w:val="en-GB"/>
        </w:rPr>
        <w:t>throughout the European Alps</w:t>
      </w:r>
      <w:r w:rsidR="006471D9" w:rsidRPr="00D0123B">
        <w:rPr>
          <w:b w:val="0"/>
          <w:bCs w:val="0"/>
          <w:lang w:val="en-GB"/>
        </w:rPr>
        <w:t xml:space="preserve"> </w:t>
      </w:r>
      <w:r w:rsidR="00A76463" w:rsidRPr="00D0123B">
        <w:rPr>
          <w:b w:val="0"/>
          <w:bCs w:val="0"/>
          <w:lang w:val="en-GB"/>
        </w:rPr>
        <w:fldChar w:fldCharType="begin"/>
      </w:r>
      <w:r w:rsidR="00331A79">
        <w:rPr>
          <w:b w:val="0"/>
          <w:bCs w:val="0"/>
          <w:lang w:val="en-GB"/>
        </w:rPr>
        <w:instrText xml:space="preserve"> ADDIN ZOTERO_ITEM CSL_CITATION {"citationID":"k0qkzxuE","properties":{"formattedCitation":"(Dainese et al., 2014)","plainCitation":"(Dainese et al., 2014)","noteIndex":0},"citationItems":[{"id":52915,"uris":["http://zotero.org/groups/2352922/items/XVNKGNK9"],"itemData":{"id":52915,"type":"article-journal","container-title":"Biological invasions","DOI":"10.1007/s10530-013-0540-x","issue":"4","note":"ISBN: 1573-1464\npublisher: Springer","page":"815-831","title":"Alien plant species distribution in the European Alps: influence of species’ climatic requirements","volume":"16","author":[{"family":"Dainese","given":"Matteo"},{"family":"Kühn","given":"Ingolf"},{"family":"Bragazza","given":"Luca"}],"issued":{"date-parts":[["2014"]]}},"label":"page"}],"schema":"https://github.com/citation-style-language/schema/raw/master/csl-citation.json"} </w:instrText>
      </w:r>
      <w:r w:rsidR="00A76463" w:rsidRPr="00D0123B">
        <w:rPr>
          <w:b w:val="0"/>
          <w:bCs w:val="0"/>
          <w:lang w:val="en-GB"/>
        </w:rPr>
        <w:fldChar w:fldCharType="separate"/>
      </w:r>
      <w:r w:rsidR="00144D96" w:rsidRPr="00D0123B">
        <w:rPr>
          <w:b w:val="0"/>
        </w:rPr>
        <w:t>(Dainese et al., 2014)</w:t>
      </w:r>
      <w:r w:rsidR="00A76463" w:rsidRPr="00D0123B">
        <w:rPr>
          <w:b w:val="0"/>
          <w:bCs w:val="0"/>
          <w:lang w:val="en-GB"/>
        </w:rPr>
        <w:fldChar w:fldCharType="end"/>
      </w:r>
      <w:r w:rsidR="00A76463" w:rsidRPr="00DA249F">
        <w:rPr>
          <w:b w:val="0"/>
          <w:bCs w:val="0"/>
          <w:lang w:val="en-GB"/>
        </w:rPr>
        <w:t>.</w:t>
      </w:r>
      <w:bookmarkEnd w:id="230"/>
      <w:r w:rsidR="00A76463" w:rsidRPr="00DA249F">
        <w:rPr>
          <w:b w:val="0"/>
          <w:bCs w:val="0"/>
          <w:lang w:val="en-GB"/>
        </w:rPr>
        <w:t xml:space="preserve"> </w:t>
      </w:r>
      <w:r w:rsidR="00574D0F">
        <w:rPr>
          <w:b w:val="0"/>
          <w:bCs w:val="0"/>
          <w:lang w:val="en-GB"/>
        </w:rPr>
        <w:t xml:space="preserve">Photo credit: </w:t>
      </w:r>
      <w:r w:rsidR="00574D0F" w:rsidRPr="00574D0F">
        <w:rPr>
          <w:b w:val="0"/>
          <w:bCs w:val="0"/>
          <w:lang w:val="en-GB"/>
        </w:rPr>
        <w:t xml:space="preserve">Katzwiekatzkann, </w:t>
      </w:r>
      <w:r w:rsidR="00574D0F">
        <w:rPr>
          <w:b w:val="0"/>
          <w:bCs w:val="0"/>
          <w:lang w:val="en-GB"/>
        </w:rPr>
        <w:t xml:space="preserve">WM Commons - </w:t>
      </w:r>
      <w:r w:rsidR="00C62020">
        <w:rPr>
          <w:b w:val="0"/>
          <w:bCs w:val="0"/>
          <w:lang w:val="en-GB"/>
        </w:rPr>
        <w:t xml:space="preserve">under license </w:t>
      </w:r>
      <w:r w:rsidR="00574D0F" w:rsidRPr="00574D0F">
        <w:rPr>
          <w:b w:val="0"/>
          <w:bCs w:val="0"/>
          <w:lang w:val="en-GB"/>
        </w:rPr>
        <w:t>CC BY 3.0</w:t>
      </w:r>
      <w:r w:rsidR="00BB328F">
        <w:rPr>
          <w:b w:val="0"/>
          <w:bCs w:val="0"/>
          <w:lang w:val="en-GB"/>
        </w:rPr>
        <w:t>.</w:t>
      </w:r>
      <w:bookmarkEnd w:id="231"/>
    </w:p>
    <w:p w14:paraId="34969401" w14:textId="110642F8" w:rsidR="00B43E7D" w:rsidRPr="00DA249F" w:rsidRDefault="01A0C6BC" w:rsidP="5575EBFC">
      <w:pPr>
        <w:pBdr>
          <w:top w:val="single" w:sz="4" w:space="1" w:color="auto"/>
          <w:left w:val="single" w:sz="4" w:space="0" w:color="auto"/>
          <w:bottom w:val="single" w:sz="4" w:space="1" w:color="auto"/>
          <w:right w:val="single" w:sz="4" w:space="1" w:color="auto"/>
        </w:pBdr>
        <w:shd w:val="clear" w:color="auto" w:fill="E7E6E6" w:themeFill="background2"/>
        <w:rPr>
          <w:lang w:val="en-GB"/>
        </w:rPr>
      </w:pPr>
      <w:r w:rsidRPr="5575EBFC">
        <w:rPr>
          <w:lang w:val="en-GB"/>
        </w:rPr>
        <w:t>Climat</w:t>
      </w:r>
      <w:r w:rsidR="1919E5F4" w:rsidRPr="5575EBFC">
        <w:rPr>
          <w:lang w:val="en-GB"/>
        </w:rPr>
        <w:t>e</w:t>
      </w:r>
      <w:r w:rsidRPr="5575EBFC">
        <w:rPr>
          <w:lang w:val="en-GB"/>
        </w:rPr>
        <w:t xml:space="preserve"> change is expected to </w:t>
      </w:r>
      <w:r w:rsidR="4519364A" w:rsidRPr="5575EBFC">
        <w:rPr>
          <w:lang w:val="en-GB"/>
        </w:rPr>
        <w:t>fa</w:t>
      </w:r>
      <w:r w:rsidR="5BE98535" w:rsidRPr="5575EBFC">
        <w:rPr>
          <w:lang w:val="en-GB"/>
        </w:rPr>
        <w:t>c</w:t>
      </w:r>
      <w:r w:rsidR="4519364A" w:rsidRPr="5575EBFC">
        <w:rPr>
          <w:lang w:val="en-GB"/>
        </w:rPr>
        <w:t>ilitate</w:t>
      </w:r>
      <w:r w:rsidRPr="5575EBFC">
        <w:rPr>
          <w:lang w:val="en-GB"/>
        </w:rPr>
        <w:t xml:space="preserve"> </w:t>
      </w:r>
      <w:r w:rsidR="5BE98535" w:rsidRPr="5575EBFC">
        <w:rPr>
          <w:lang w:val="en-GB"/>
        </w:rPr>
        <w:t xml:space="preserve">the expansion of </w:t>
      </w:r>
      <w:r w:rsidR="55991BC1" w:rsidRPr="5575EBFC">
        <w:rPr>
          <w:lang w:val="en-GB"/>
        </w:rPr>
        <w:t>invasive alien species</w:t>
      </w:r>
      <w:r w:rsidR="54E96665" w:rsidRPr="5575EBFC">
        <w:rPr>
          <w:lang w:val="en-GB"/>
        </w:rPr>
        <w:t xml:space="preserve"> </w:t>
      </w:r>
      <w:r w:rsidR="5597BCED" w:rsidRPr="5575EBFC">
        <w:rPr>
          <w:lang w:val="en-GB"/>
        </w:rPr>
        <w:t xml:space="preserve">to </w:t>
      </w:r>
      <w:r w:rsidR="5BE98535" w:rsidRPr="5575EBFC">
        <w:rPr>
          <w:lang w:val="en-GB"/>
        </w:rPr>
        <w:t>higher elevation</w:t>
      </w:r>
      <w:r w:rsidR="5DC39BF5" w:rsidRPr="5575EBFC">
        <w:rPr>
          <w:lang w:val="en-GB"/>
        </w:rPr>
        <w:t>s</w:t>
      </w:r>
      <w:r w:rsidR="5BE98535" w:rsidRPr="5575EBFC">
        <w:rPr>
          <w:lang w:val="en-GB"/>
        </w:rPr>
        <w:t xml:space="preserve"> both through direct and indirect effects.</w:t>
      </w:r>
      <w:r w:rsidR="65B0AC0B" w:rsidRPr="5575EBFC">
        <w:rPr>
          <w:lang w:val="en-GB"/>
        </w:rPr>
        <w:t xml:space="preserve"> </w:t>
      </w:r>
      <w:r w:rsidRPr="5575EBFC">
        <w:rPr>
          <w:lang w:val="en-GB"/>
        </w:rPr>
        <w:t xml:space="preserve">Climate change will reduce climatic barriers </w:t>
      </w:r>
      <w:r w:rsidR="3F92EBDE" w:rsidRPr="5575EBFC">
        <w:rPr>
          <w:lang w:val="en-GB"/>
        </w:rPr>
        <w:t>for</w:t>
      </w:r>
      <w:r w:rsidRPr="5575EBFC">
        <w:rPr>
          <w:lang w:val="en-GB"/>
        </w:rPr>
        <w:t xml:space="preserve"> generalist alien plants </w:t>
      </w:r>
      <w:r w:rsidR="0041334B" w:rsidRPr="5575EBFC">
        <w:rPr>
          <w:lang w:val="en-GB"/>
        </w:rPr>
        <w:fldChar w:fldCharType="begin"/>
      </w:r>
      <w:r w:rsidR="00331A79">
        <w:rPr>
          <w:lang w:val="en-GB"/>
        </w:rPr>
        <w:instrText xml:space="preserve"> ADDIN ZOTERO_ITEM CSL_CITATION {"citationID":"5LsQHnvf","properties":{"formattedCitation":"(Pauchard et al., 2016)","plainCitation":"(Pauchard et al., 2016)","noteIndex":0},"citationItems":[{"id":10595,"uris":["http://zotero.org/groups/2352922/items/MLUJRENV"],"itemData":{"id":10595,"type":"article-journal","container-title":"Biological Invasions","DOI":"10.1007/s10530-015-1025-x","ISSN":"1387-3547, 1573-1464","issue":"2","journalAbbreviation":"Biol Invasions","language":"en","page":"345-353","source":"DOI.org (Crossref)","title":"Non-native and native organisms moving into high elevation and high latitude ecosystems in an era of climate change: new challenges for ecology and conservation","title-short":"Non-native and native organisms moving into high elevation and high latitude ecosystems in an era of climate change","URL":"http://link.springer.com/10.1007/s10530-015-1025-x","volume":"18","author":[{"family":"Pauchard","given":"Aníbal"},{"family":"Milbau","given":"Ann"},{"family":"Albihn","given":"Ann"},{"family":"Alexander","given":"Jake"},{"family":"Burgess","given":"Treena"},{"family":"Daehler","given":"Curtis"},{"family":"Englund","given":"Göran"},{"family":"Essl","given":"Franz"},{"family":"Evengård","given":"Birgitta"},{"family":"Greenwood","given":"Gregory B."},{"family":"Haider","given":"Sylvia"},{"family":"Lenoir","given":"Jonathan"},{"family":"McDougall","given":"Keith"},{"family":"Muths","given":"Erin"},{"family":"Nuñez","given":"Martin A."},{"family":"Olofsson","given":"Johan"},{"family":"Pellissier","given":"Loic"},{"family":"Rabitsch","given":"Wolfgang"},{"family":"Rew","given":"Lisa J."},{"family":"Robertson","given":"Mark"},{"family":"Sanders","given":"Nathan"},{"family":"Kueffer","given":"Christoph"}],"accessed":{"date-parts":[["2020",4,8]]},"issued":{"date-parts":[["2016",2]]}},"label":"page"}],"schema":"https://github.com/citation-style-language/schema/raw/master/csl-citation.json"} </w:instrText>
      </w:r>
      <w:r w:rsidR="0041334B" w:rsidRPr="5575EBFC">
        <w:rPr>
          <w:lang w:val="en-GB"/>
        </w:rPr>
        <w:fldChar w:fldCharType="separate"/>
      </w:r>
      <w:r w:rsidR="6B5F9B9E">
        <w:t>(Pauchard et al., 2016)</w:t>
      </w:r>
      <w:r w:rsidR="0041334B" w:rsidRPr="5575EBFC">
        <w:rPr>
          <w:lang w:val="en-GB"/>
        </w:rPr>
        <w:fldChar w:fldCharType="end"/>
      </w:r>
      <w:r w:rsidRPr="5575EBFC">
        <w:rPr>
          <w:lang w:val="en-GB"/>
        </w:rPr>
        <w:t xml:space="preserve">, especially in regions which are not water-limited. </w:t>
      </w:r>
      <w:r w:rsidR="3D9005A8" w:rsidRPr="5575EBFC">
        <w:rPr>
          <w:lang w:val="en-GB"/>
        </w:rPr>
        <w:t>R</w:t>
      </w:r>
      <w:r w:rsidRPr="5575EBFC">
        <w:rPr>
          <w:lang w:val="en-GB"/>
        </w:rPr>
        <w:t>ange shift</w:t>
      </w:r>
      <w:r w:rsidR="5DC39BF5" w:rsidRPr="5575EBFC">
        <w:rPr>
          <w:lang w:val="en-GB"/>
        </w:rPr>
        <w:t>s</w:t>
      </w:r>
      <w:r w:rsidRPr="5575EBFC">
        <w:rPr>
          <w:lang w:val="en-GB"/>
        </w:rPr>
        <w:t xml:space="preserve"> towards higher elevations </w:t>
      </w:r>
      <w:r w:rsidR="3D9005A8" w:rsidRPr="5575EBFC">
        <w:rPr>
          <w:lang w:val="en-GB"/>
        </w:rPr>
        <w:t xml:space="preserve">have been </w:t>
      </w:r>
      <w:r w:rsidR="5DC39BF5" w:rsidRPr="5575EBFC">
        <w:rPr>
          <w:lang w:val="en-GB"/>
        </w:rPr>
        <w:t>reported</w:t>
      </w:r>
      <w:r w:rsidRPr="5575EBFC">
        <w:rPr>
          <w:lang w:val="en-GB"/>
        </w:rPr>
        <w:t xml:space="preserve">, </w:t>
      </w:r>
      <w:r w:rsidR="7E9374B2" w:rsidRPr="5575EBFC">
        <w:rPr>
          <w:lang w:val="en-GB"/>
        </w:rPr>
        <w:t>and alien plants appear to be moving up in elevation faster than native</w:t>
      </w:r>
      <w:r w:rsidR="69EEB12C" w:rsidRPr="5575EBFC">
        <w:rPr>
          <w:lang w:val="en-GB"/>
        </w:rPr>
        <w:t xml:space="preserve"> </w:t>
      </w:r>
      <w:r w:rsidR="7E9374B2" w:rsidRPr="5575EBFC">
        <w:rPr>
          <w:lang w:val="en-GB"/>
        </w:rPr>
        <w:t>s</w:t>
      </w:r>
      <w:r w:rsidR="69EEB12C" w:rsidRPr="5575EBFC">
        <w:rPr>
          <w:lang w:val="en-GB"/>
        </w:rPr>
        <w:t>pecies</w:t>
      </w:r>
      <w:r w:rsidR="7E9374B2" w:rsidRPr="5575EBFC">
        <w:rPr>
          <w:lang w:val="en-GB"/>
        </w:rPr>
        <w:t xml:space="preserve"> </w:t>
      </w:r>
      <w:r w:rsidR="0041334B" w:rsidRPr="5575EBFC">
        <w:rPr>
          <w:lang w:val="en-GB"/>
        </w:rPr>
        <w:fldChar w:fldCharType="begin"/>
      </w:r>
      <w:r w:rsidR="00331A79">
        <w:rPr>
          <w:lang w:val="en-GB"/>
        </w:rPr>
        <w:instrText xml:space="preserve"> ADDIN ZOTERO_ITEM CSL_CITATION {"citationID":"POIOXlO5","properties":{"formattedCitation":"(Dainese et al., 2017)","plainCitation":"(Dainese et al., 2017)","noteIndex":0},"citationItems":[{"id":32214,"uris":["http://zotero.org/groups/2352922/items/SIAGR4Q9"],"itemData":{"id":32214,"type":"article-journal","container-title":"Nature Climate Change","DOI":"10.1038/nclimate3337","ISSN":"1758-678X, 1758-6798","issue":"8","page":"577-580","source":"CrossRef","title":"Human disturbance and upward expansion of plants in a warming climate","URL":"http://www.nature.com/doifinder/10.1038/nclimate3337","volume":"7","author":[{"family":"Dainese","given":"Matteo"},{"family":"Aikio","given":"Sami"},{"family":"Hulme","given":"Philip E."},{"family":"Bertolli","given":"Alessio"},{"family":"Prosser","given":"Filippo"},{"family":"Marini","given":"Lorenzo"}],"accessed":{"date-parts":[["2017",7,12]]},"issued":{"date-parts":[["2017",7,10]]}},"label":"page"}],"schema":"https://github.com/citation-style-language/schema/raw/master/csl-citation.json"} </w:instrText>
      </w:r>
      <w:r w:rsidR="0041334B" w:rsidRPr="5575EBFC">
        <w:rPr>
          <w:lang w:val="en-GB"/>
        </w:rPr>
        <w:fldChar w:fldCharType="separate"/>
      </w:r>
      <w:r w:rsidR="6B5F9B9E">
        <w:t>(Dainese et al., 2017)</w:t>
      </w:r>
      <w:r w:rsidR="0041334B" w:rsidRPr="5575EBFC">
        <w:rPr>
          <w:lang w:val="en-GB"/>
        </w:rPr>
        <w:fldChar w:fldCharType="end"/>
      </w:r>
      <w:r w:rsidR="4F83E2B1" w:rsidRPr="5575EBFC">
        <w:rPr>
          <w:lang w:val="en-GB"/>
        </w:rPr>
        <w:t xml:space="preserve">. </w:t>
      </w:r>
      <w:r w:rsidR="6FC09BCB" w:rsidRPr="5575EBFC">
        <w:rPr>
          <w:lang w:val="en-GB"/>
        </w:rPr>
        <w:t>Increased</w:t>
      </w:r>
      <w:r w:rsidRPr="5575EBFC">
        <w:rPr>
          <w:lang w:val="en-GB"/>
        </w:rPr>
        <w:t xml:space="preserve"> disturbance</w:t>
      </w:r>
      <w:r w:rsidR="6FC09BCB" w:rsidRPr="5575EBFC">
        <w:rPr>
          <w:lang w:val="en-GB"/>
        </w:rPr>
        <w:t xml:space="preserve"> due to</w:t>
      </w:r>
      <w:r w:rsidR="3A23FB1A" w:rsidRPr="5575EBFC">
        <w:rPr>
          <w:lang w:val="en-GB"/>
        </w:rPr>
        <w:t>,</w:t>
      </w:r>
      <w:r w:rsidRPr="5575EBFC">
        <w:rPr>
          <w:lang w:val="en-GB"/>
        </w:rPr>
        <w:t xml:space="preserve"> </w:t>
      </w:r>
      <w:r w:rsidR="6FC09BCB" w:rsidRPr="5575EBFC">
        <w:rPr>
          <w:lang w:val="en-GB"/>
        </w:rPr>
        <w:t>for example</w:t>
      </w:r>
      <w:r w:rsidR="3A23FB1A" w:rsidRPr="5575EBFC">
        <w:rPr>
          <w:lang w:val="en-GB"/>
        </w:rPr>
        <w:t>,</w:t>
      </w:r>
      <w:r w:rsidRPr="5575EBFC">
        <w:rPr>
          <w:lang w:val="en-GB"/>
        </w:rPr>
        <w:t xml:space="preserve"> higher fire frequency and intensity and insect and pathogen outbreaks triggered by climate change</w:t>
      </w:r>
      <w:r w:rsidR="5DC39BF5" w:rsidRPr="5575EBFC">
        <w:rPr>
          <w:lang w:val="en-GB"/>
        </w:rPr>
        <w:t>,</w:t>
      </w:r>
      <w:r w:rsidRPr="5575EBFC">
        <w:rPr>
          <w:lang w:val="en-GB"/>
        </w:rPr>
        <w:t xml:space="preserve"> will also play a role in promoting </w:t>
      </w:r>
      <w:r w:rsidR="5F22108B" w:rsidRPr="5575EBFC">
        <w:rPr>
          <w:lang w:val="en-GB"/>
        </w:rPr>
        <w:t>invasive alien species</w:t>
      </w:r>
      <w:r w:rsidRPr="5575EBFC">
        <w:rPr>
          <w:lang w:val="en-GB"/>
        </w:rPr>
        <w:t>, especially in the middle elevations of mountain</w:t>
      </w:r>
      <w:r w:rsidR="054B89B1" w:rsidRPr="5575EBFC">
        <w:rPr>
          <w:lang w:val="en-GB"/>
        </w:rPr>
        <w:t>s</w:t>
      </w:r>
      <w:r w:rsidRPr="5575EBFC">
        <w:rPr>
          <w:lang w:val="en-GB"/>
        </w:rPr>
        <w:t xml:space="preserve"> where forests will be more prone to invasion by woody plants </w:t>
      </w:r>
      <w:r w:rsidR="0041334B" w:rsidRPr="5575EBFC">
        <w:rPr>
          <w:lang w:val="en-GB"/>
        </w:rPr>
        <w:fldChar w:fldCharType="begin"/>
      </w:r>
      <w:r w:rsidR="00331A79">
        <w:rPr>
          <w:lang w:val="en-GB"/>
        </w:rPr>
        <w:instrText xml:space="preserve"> ADDIN ZOTERO_ITEM CSL_CITATION {"citationID":"V5d6G2nQ","properties":{"formattedCitation":"(Franzese &amp; Raffaele, 2017; Jactel et al., 2020; Liebhold et al., 2017)","plainCitation":"(Franzese &amp; Raffaele, 2017; Jactel et al., 2020; Liebhold et al., 2017)","noteIndex":0},"citationItems":[{"id":31899,"uris":["http://zotero.org/groups/2352922/items/2Y3L92YS"],"itemData":{"id":31899,"type":"article-journal","container-title":"Biological Invasions","DOI":"10.1007/s10530-017-1435-z","ISSN":"1387-3547, 1573-1464","issue":"8","journalAbbreviation":"Biol Invasions","language":"en","note":"number: 8\ncontainer-title: Biological Invasions","page":"2237-2246","source":"DOI.org (Crossref)","title":"Fire as a driver of pine invasions in the Southern Hemisphere: a review","title-short":"Fire as a driver of pine invasions in the Southern Hemisphere","URL":"http://link.springer.com/10.1007/s10530-017-1435-z","volume":"19","author":[{"family":"Franzese","given":"Jorgelina"},{"family":"Raffaele","given":"Estela"}],"accessed":{"date-parts":[["2019",12,5]]},"issued":{"date-parts":[["2017",8]]}},"label":"page"},{"id":52929,"uris":["http://zotero.org/groups/2352922/items/Z45EDZKN"],"itemData":{"id":52929,"type":"article-journal","abstract":"The world’s forests have never been more threatened by invasions of exotic pests and pathogens, whose causes and impacts are reinforced by global change. However, forest entomologists and pathologists have, for too long, worked independently, used different concepts and proposed specific management methods without recognising parallels and synergies between their respective fields. Instead, we advocate increased collaboration between these two scientific communities to improve the long-term health of forests.        Our arguments are that the pathways of entry of exotic pests and pathogens are often the same and that insects and fungi often coexist in the same affected trees. Innovative methods for preventing invasions, early detection and identification of non-native species, modelling of their impact and spread and prevention of damage by increasing the resistance of ecosystems can be shared for the management of both pests and diseases.        We, therefore, make recommendations to foster this convergence, proposing in particular the development of interdisciplinary research programmes, the development of generic tools or methods for pest and pathogen management and capacity building for the education and training of students, managers, decision-makers and citizens concerned with forest health.","container-title":"NeoBiota","DOI":"10.3897/neobiota.58.54389","ISSN":"1314-2488","language":"en","license":"2022 Hervé Jactel, Marie-Laure Desprez-Loustau, Andrea Battisti, Eckehard Brockerhoff, Alberto Santini, Jan Stenlid, Christer Björkman, Manuela Branco, Katharina Dehnen-Schmutz, Jacob C. Douma, Jassy Drakulic, Fryni  Drizou, René Eschen, José Carlos Franco, Martin M. Gossner, Samantha Green, Marc Kenis, Maartje J. Klapwijk, Andrew M. Liebhold, Christophe Orazio, Simone Prospero, Christelle  Robinet, Martin Schroeder, Bernard Slippers, Pavel Stoev, Jianghua Sun, Robbert van den Dool , Michael J. Wingfield, Myron P. Zalucki","note":"publisher: Pensoft Publishers","page":"107-127","source":"neobiota.pensoft.net","title":"Pathologists and entomologists must join forces against forest pest and pathogen invasions","URL":"https://neobiota.pensoft.net/article/54389/","volume":"58","author":[{"family":"Jactel","given":"Hervé"},{"family":"Desprez-Loustau","given":"Marie-Laure"},{"family":"Battisti","given":"Andrea"},{"family":"Brockerhoff","given":"Eckehard"},{"family":"Santini","given":"Alberto"},{"family":"Stenlid","given":"Jan"},{"family":"Björkman","given":"Christer"},{"family":"Branco","given":"Manuela"},{"family":"Dehnen-Schmutz","given":"Katharina"},{"family":"Douma","given":"Jacob C."},{"family":"Drakulic","given":"Jassy"},{"family":"Drizou","given":"Fryni"},{"family":"Eschen","given":"René"},{"family":"Franco","given":"José Carlos"},{"family":"Gossner","given":"Martin M."},{"family":"Green","given":"Samantha"},{"family":"Kenis","given":"Marc"},{"family":"Klapwijk","given":"Maartje J."},{"family":"Liebhold","given":"Andrew M."},{"family":"Orazio","given":"Christophe"},{"family":"Prospero","given":"Simone"},{"family":"Robinet","given":"Christelle"},{"family":"Schroeder","given":"Martin"},{"family":"Slippers","given":"Bernard"},{"family":"Stoev","given":"Pavel"},{"family":"Sun","given":"Jianghua"},{"family":"Dool","given":"Robbert","dropping-particle":"van den"},{"family":"Wingfield","given":"Michael J."},{"family":"Zalucki","given":"Myron P."}],"accessed":{"date-parts":[["2022",8,17]]},"issued":{"date-parts":[["2020",10,7]]}}},{"id":26613,"uris":["http://zotero.org/groups/2352922/items/5EJZP64A"],"itemData":{"id":26613,"type":"article-journal","container-title":"Biological Invasions","DOI":"10.1007/s10530-017-1458-5","ISSN":"1387-3547, 1573-1464","issue":"11","language":"en","page":"3437-3458","source":"Crossref","title":"Biological invasions in forest ecosystems","URL":"http://link.springer.com/10.1007/s10530-017-1458-5","volume":"19","author":[{"family":"Liebhold","given":"Andrew M."},{"family":"Brockerhoff","given":"Eckehard G."},{"family":"Kalisz","given":"Susan"},{"family":"Nuñez","given":"Martin A."},{"family":"Wardle","given":"David A."},{"family":"Wingfield","given":"Michael J."}],"accessed":{"date-parts":[["2019",3,15]]},"issued":{"date-parts":[["2017",11]]}}}],"schema":"https://github.com/citation-style-language/schema/raw/master/csl-citation.json"} </w:instrText>
      </w:r>
      <w:r w:rsidR="0041334B" w:rsidRPr="5575EBFC">
        <w:rPr>
          <w:lang w:val="en-GB"/>
        </w:rPr>
        <w:fldChar w:fldCharType="separate"/>
      </w:r>
      <w:r w:rsidR="6B5F9B9E">
        <w:t>(Franzese &amp; Raffaele, 2017; Jactel et al., 2020; Liebhold et al., 2017)</w:t>
      </w:r>
      <w:r w:rsidR="0041334B" w:rsidRPr="5575EBFC">
        <w:rPr>
          <w:lang w:val="en-GB"/>
        </w:rPr>
        <w:fldChar w:fldCharType="end"/>
      </w:r>
      <w:r w:rsidRPr="5575EBFC">
        <w:rPr>
          <w:lang w:val="en-GB"/>
        </w:rPr>
        <w:t xml:space="preserve">. </w:t>
      </w:r>
      <w:r w:rsidR="79357D69" w:rsidRPr="5575EBFC">
        <w:rPr>
          <w:lang w:val="en-GB"/>
        </w:rPr>
        <w:t>By</w:t>
      </w:r>
      <w:r w:rsidRPr="5575EBFC">
        <w:rPr>
          <w:lang w:val="en-GB"/>
        </w:rPr>
        <w:t xml:space="preserve"> reducing snow cover</w:t>
      </w:r>
      <w:r w:rsidR="69EEB12C" w:rsidRPr="5575EBFC">
        <w:rPr>
          <w:lang w:val="en-GB"/>
        </w:rPr>
        <w:t>,</w:t>
      </w:r>
      <w:r w:rsidRPr="5575EBFC">
        <w:rPr>
          <w:lang w:val="en-GB"/>
        </w:rPr>
        <w:t xml:space="preserve"> </w:t>
      </w:r>
      <w:r w:rsidR="01A3FB67" w:rsidRPr="5575EBFC">
        <w:rPr>
          <w:lang w:val="en-GB"/>
        </w:rPr>
        <w:t>climate change</w:t>
      </w:r>
      <w:r w:rsidR="212EAADD" w:rsidRPr="5575EBFC">
        <w:rPr>
          <w:lang w:val="en-GB"/>
        </w:rPr>
        <w:t xml:space="preserve"> </w:t>
      </w:r>
      <w:r w:rsidRPr="5575EBFC">
        <w:rPr>
          <w:lang w:val="en-GB"/>
        </w:rPr>
        <w:t xml:space="preserve">will promote the displacement of mountain ski facilities and resorts </w:t>
      </w:r>
      <w:r w:rsidR="212EAADD" w:rsidRPr="5575EBFC">
        <w:rPr>
          <w:lang w:val="en-GB"/>
        </w:rPr>
        <w:t xml:space="preserve">to </w:t>
      </w:r>
      <w:r w:rsidRPr="5575EBFC">
        <w:rPr>
          <w:lang w:val="en-GB"/>
        </w:rPr>
        <w:t xml:space="preserve">higher </w:t>
      </w:r>
      <w:r w:rsidR="212EAADD" w:rsidRPr="5575EBFC">
        <w:rPr>
          <w:lang w:val="en-GB"/>
        </w:rPr>
        <w:t xml:space="preserve">elevations </w:t>
      </w:r>
      <w:r w:rsidRPr="5575EBFC">
        <w:rPr>
          <w:lang w:val="en-GB"/>
        </w:rPr>
        <w:t xml:space="preserve">and into previously undeveloped areas. In addition, summer use of high elevation mountain resorts may be boosted in search for cooler places or “last chance tourism” (e.g., </w:t>
      </w:r>
      <w:r w:rsidR="0041334B" w:rsidRPr="5575EBFC">
        <w:rPr>
          <w:lang w:val="en-GB"/>
        </w:rPr>
        <w:fldChar w:fldCharType="begin"/>
      </w:r>
      <w:r w:rsidR="00331A79">
        <w:rPr>
          <w:lang w:val="en-GB"/>
        </w:rPr>
        <w:instrText xml:space="preserve"> ADDIN ZOTERO_ITEM CSL_CITATION {"citationID":"mEoXzjgP","properties":{"formattedCitation":"(Kilungu et al., 2019)","plainCitation":"(Kilungu et al., 2019)","dontUpdate":true,"noteIndex":0},"citationItems":[{"id":52921,"uris":["http://zotero.org/groups/2352922/items/GI875KQC"],"itemData":{"id":52921,"type":"article-journal","container-title":"Tourism Planning &amp; Development","DOI":"10.1080/21568316.2019.1569121","issue":"2","note":"ISBN: 2156-8316\npublisher: Taylor &amp; Francis","page":"235-253","title":"Forty Years of Climate and Land-Cover Change and its Effects on Tourism Resources in Kilimanjaro National Park","URL":"https://www.tandfonline.com/doi/full/10.1080/21568316.2019.1569121","volume":"16","author":[{"family":"Kilungu","given":"Halima"},{"family":"Leemans","given":"Rik"},{"family":"Munishi","given":"Pantaleo KT"},{"family":"Nicholls","given":"Sarah"},{"family":"Amelung","given":"Bas"}],"issued":{"date-parts":[["2019"]]}},"label":"page"}],"schema":"https://github.com/citation-style-language/schema/raw/master/csl-citation.json"} </w:instrText>
      </w:r>
      <w:r w:rsidR="0041334B" w:rsidRPr="5575EBFC">
        <w:rPr>
          <w:lang w:val="en-GB"/>
        </w:rPr>
        <w:fldChar w:fldCharType="separate"/>
      </w:r>
      <w:r w:rsidR="4F83E2B1" w:rsidRPr="5575EBFC">
        <w:rPr>
          <w:lang w:val="en-GB"/>
        </w:rPr>
        <w:t>Kilungu et al., 2019)</w:t>
      </w:r>
      <w:r w:rsidR="0041334B" w:rsidRPr="5575EBFC">
        <w:rPr>
          <w:lang w:val="en-GB"/>
        </w:rPr>
        <w:fldChar w:fldCharType="end"/>
      </w:r>
      <w:r w:rsidRPr="5575EBFC">
        <w:rPr>
          <w:lang w:val="en-GB"/>
        </w:rPr>
        <w:t xml:space="preserve">. </w:t>
      </w:r>
      <w:r w:rsidR="2AE6A3CE" w:rsidRPr="5575EBFC">
        <w:rPr>
          <w:lang w:val="en-GB"/>
        </w:rPr>
        <w:t xml:space="preserve">The interactive effects of multiple </w:t>
      </w:r>
      <w:r w:rsidR="653902EA" w:rsidRPr="5575EBFC">
        <w:rPr>
          <w:lang w:val="en-GB"/>
        </w:rPr>
        <w:t>drivers of change in nature</w:t>
      </w:r>
      <w:r w:rsidR="2AAC95F0" w:rsidRPr="5575EBFC">
        <w:rPr>
          <w:lang w:val="en-GB"/>
        </w:rPr>
        <w:t xml:space="preserve"> affecting plant invasions are generally underestimated</w:t>
      </w:r>
      <w:r w:rsidR="69EEB12C" w:rsidRPr="5575EBFC">
        <w:rPr>
          <w:lang w:val="en-GB"/>
        </w:rPr>
        <w:t xml:space="preserve"> and </w:t>
      </w:r>
      <w:r w:rsidR="2AAC95F0" w:rsidRPr="5575EBFC">
        <w:rPr>
          <w:lang w:val="en-GB"/>
        </w:rPr>
        <w:t>primar</w:t>
      </w:r>
      <w:r w:rsidR="69EEB12C" w:rsidRPr="5575EBFC">
        <w:rPr>
          <w:lang w:val="en-GB"/>
        </w:rPr>
        <w:t>ily</w:t>
      </w:r>
      <w:r w:rsidR="2AAC95F0" w:rsidRPr="5575EBFC">
        <w:rPr>
          <w:lang w:val="en-GB"/>
        </w:rPr>
        <w:t xml:space="preserve"> focus on climate change.</w:t>
      </w:r>
      <w:r w:rsidR="23BF2FFE" w:rsidRPr="5575EBFC">
        <w:rPr>
          <w:lang w:val="en-GB"/>
        </w:rPr>
        <w:t xml:space="preserve"> </w:t>
      </w:r>
      <w:r w:rsidR="2AAC95F0" w:rsidRPr="5575EBFC">
        <w:rPr>
          <w:lang w:val="en-GB"/>
        </w:rPr>
        <w:t>However, interactions between climate change, infrastructure development, social values</w:t>
      </w:r>
      <w:r w:rsidR="37EC374C" w:rsidRPr="5575EBFC">
        <w:rPr>
          <w:lang w:val="en-GB"/>
        </w:rPr>
        <w:t xml:space="preserve"> and land-use change </w:t>
      </w:r>
      <w:r w:rsidR="33F6D7CA" w:rsidRPr="5575EBFC">
        <w:rPr>
          <w:lang w:val="en-GB"/>
        </w:rPr>
        <w:t xml:space="preserve">will </w:t>
      </w:r>
      <w:r w:rsidR="69EEB12C" w:rsidRPr="5575EBFC">
        <w:rPr>
          <w:lang w:val="en-GB"/>
        </w:rPr>
        <w:t>be informative because</w:t>
      </w:r>
      <w:r w:rsidR="4175A313" w:rsidRPr="5575EBFC">
        <w:rPr>
          <w:lang w:val="en-GB"/>
        </w:rPr>
        <w:t xml:space="preserve"> simple projections based solely on climate will be unreliable </w:t>
      </w:r>
      <w:r w:rsidR="0041334B" w:rsidRPr="5575EBFC">
        <w:rPr>
          <w:lang w:val="en-GB"/>
        </w:rPr>
        <w:fldChar w:fldCharType="begin"/>
      </w:r>
      <w:r w:rsidR="00331A79">
        <w:rPr>
          <w:lang w:val="en-GB"/>
        </w:rPr>
        <w:instrText xml:space="preserve"> ADDIN ZOTERO_ITEM CSL_CITATION {"citationID":"nPAzC0Po","properties":{"formattedCitation":"(Dainese et al., 2017)","plainCitation":"(Dainese et al., 2017)","noteIndex":0},"citationItems":[{"id":32214,"uris":["http://zotero.org/groups/2352922/items/SIAGR4Q9"],"itemData":{"id":32214,"type":"article-journal","container-title":"Nature Climate Change","DOI":"10.1038/nclimate3337","ISSN":"1758-678X, 1758-6798","issue":"8","page":"577-580","source":"CrossRef","title":"Human disturbance and upward expansion of plants in a warming climate","URL":"http://www.nature.com/doifinder/10.1038/nclimate3337","volume":"7","author":[{"family":"Dainese","given":"Matteo"},{"family":"Aikio","given":"Sami"},{"family":"Hulme","given":"Philip E."},{"family":"Bertolli","given":"Alessio"},{"family":"Prosser","given":"Filippo"},{"family":"Marini","given":"Lorenzo"}],"accessed":{"date-parts":[["2017",7,12]]},"issued":{"date-parts":[["2017",7,10]]}},"label":"page"}],"schema":"https://github.com/citation-style-language/schema/raw/master/csl-citation.json"} </w:instrText>
      </w:r>
      <w:r w:rsidR="0041334B" w:rsidRPr="5575EBFC">
        <w:rPr>
          <w:lang w:val="en-GB"/>
        </w:rPr>
        <w:fldChar w:fldCharType="separate"/>
      </w:r>
      <w:r w:rsidR="6B5F9B9E">
        <w:t>(Dainese et al., 2017)</w:t>
      </w:r>
      <w:r w:rsidR="0041334B" w:rsidRPr="5575EBFC">
        <w:rPr>
          <w:lang w:val="en-GB"/>
        </w:rPr>
        <w:fldChar w:fldCharType="end"/>
      </w:r>
      <w:r w:rsidR="4F83E2B1" w:rsidRPr="5575EBFC">
        <w:rPr>
          <w:lang w:val="en-GB"/>
        </w:rPr>
        <w:t>.</w:t>
      </w:r>
    </w:p>
    <w:p w14:paraId="0FB8A81C" w14:textId="77777777" w:rsidR="00EF2CAB" w:rsidRPr="00DA249F" w:rsidRDefault="21E977F2" w:rsidP="00375B42">
      <w:pPr>
        <w:pStyle w:val="Heading2"/>
        <w:rPr>
          <w:lang w:val="en-GB"/>
        </w:rPr>
      </w:pPr>
      <w:bookmarkStart w:id="232" w:name="_Toc18405863"/>
      <w:r w:rsidRPr="5575EBFC">
        <w:rPr>
          <w:lang w:val="en-GB"/>
        </w:rPr>
        <w:t xml:space="preserve"> </w:t>
      </w:r>
      <w:bookmarkStart w:id="233" w:name="_Toc44317855"/>
      <w:bookmarkStart w:id="234" w:name="_Toc146898477"/>
      <w:r w:rsidR="3D04D128" w:rsidRPr="5575EBFC">
        <w:rPr>
          <w:lang w:val="en-GB"/>
        </w:rPr>
        <w:t>Land-use</w:t>
      </w:r>
      <w:r w:rsidR="34D06488" w:rsidRPr="5575EBFC">
        <w:rPr>
          <w:lang w:val="en-GB"/>
        </w:rPr>
        <w:t xml:space="preserve"> change</w:t>
      </w:r>
      <w:r w:rsidR="3D04D128" w:rsidRPr="5575EBFC">
        <w:rPr>
          <w:lang w:val="en-GB"/>
        </w:rPr>
        <w:t xml:space="preserve"> and climate change</w:t>
      </w:r>
      <w:bookmarkEnd w:id="232"/>
      <w:bookmarkEnd w:id="233"/>
      <w:bookmarkEnd w:id="234"/>
    </w:p>
    <w:p w14:paraId="3A15E10F" w14:textId="158F7EA8" w:rsidR="3181BFE2" w:rsidRPr="00DA249F" w:rsidRDefault="65CC08DF" w:rsidP="0090109B">
      <w:pPr>
        <w:rPr>
          <w:lang w:val="en-GB" w:eastAsia="en-ZA"/>
        </w:rPr>
      </w:pPr>
      <w:r w:rsidRPr="00DA249F">
        <w:rPr>
          <w:lang w:val="en-GB" w:eastAsia="en-ZA"/>
        </w:rPr>
        <w:t>M</w:t>
      </w:r>
      <w:r w:rsidR="7B4485F8" w:rsidRPr="00DA249F">
        <w:rPr>
          <w:lang w:val="en-GB" w:eastAsia="en-ZA"/>
        </w:rPr>
        <w:t>ost</w:t>
      </w:r>
      <w:r w:rsidR="004A5CE5" w:rsidRPr="00DA249F">
        <w:rPr>
          <w:lang w:val="en-GB" w:eastAsia="en-ZA"/>
        </w:rPr>
        <w:t xml:space="preserve"> </w:t>
      </w:r>
      <w:r w:rsidR="001B2D34" w:rsidRPr="00DA249F">
        <w:rPr>
          <w:lang w:val="en-GB" w:eastAsia="en-ZA"/>
        </w:rPr>
        <w:t>of the current knowledge on</w:t>
      </w:r>
      <w:r w:rsidR="004A5CE5" w:rsidRPr="00DA249F">
        <w:rPr>
          <w:lang w:val="en-GB" w:eastAsia="en-ZA"/>
        </w:rPr>
        <w:t xml:space="preserve"> </w:t>
      </w:r>
      <w:r w:rsidR="001B2D34" w:rsidRPr="00DA249F">
        <w:rPr>
          <w:lang w:val="en-GB" w:eastAsia="en-ZA"/>
        </w:rPr>
        <w:t>interacti</w:t>
      </w:r>
      <w:r w:rsidR="004A2DD8" w:rsidRPr="00DA249F">
        <w:rPr>
          <w:lang w:val="en-GB" w:eastAsia="en-ZA"/>
        </w:rPr>
        <w:t xml:space="preserve">ve effects of </w:t>
      </w:r>
      <w:r w:rsidR="001B2D34" w:rsidRPr="00DA249F">
        <w:rPr>
          <w:lang w:val="en-GB" w:eastAsia="en-ZA"/>
        </w:rPr>
        <w:t>climate change and land-use change</w:t>
      </w:r>
      <w:r w:rsidR="004A5CE5" w:rsidRPr="00DA249F">
        <w:rPr>
          <w:lang w:val="en-GB" w:eastAsia="en-ZA"/>
        </w:rPr>
        <w:t xml:space="preserve"> </w:t>
      </w:r>
      <w:r w:rsidR="004A2DD8" w:rsidRPr="00DA249F">
        <w:rPr>
          <w:lang w:val="en-GB" w:eastAsia="en-ZA"/>
        </w:rPr>
        <w:t xml:space="preserve">on biological invasions </w:t>
      </w:r>
      <w:r w:rsidR="001B2D34" w:rsidRPr="00DA249F">
        <w:rPr>
          <w:lang w:val="en-GB" w:eastAsia="en-ZA"/>
        </w:rPr>
        <w:t>is</w:t>
      </w:r>
      <w:r w:rsidR="004A5CE5" w:rsidRPr="00DA249F">
        <w:rPr>
          <w:lang w:val="en-GB" w:eastAsia="en-ZA"/>
        </w:rPr>
        <w:t xml:space="preserve"> </w:t>
      </w:r>
      <w:r w:rsidR="579BF835" w:rsidRPr="00DA249F">
        <w:rPr>
          <w:lang w:val="en-GB" w:eastAsia="en-ZA"/>
        </w:rPr>
        <w:t>informed</w:t>
      </w:r>
      <w:r w:rsidR="090B375D" w:rsidRPr="00DA249F">
        <w:rPr>
          <w:lang w:val="en-GB" w:eastAsia="en-ZA"/>
        </w:rPr>
        <w:t xml:space="preserve"> by modelling studies designed to assess</w:t>
      </w:r>
      <w:r w:rsidR="001B2D34" w:rsidRPr="00DA249F" w:rsidDel="288A7731">
        <w:rPr>
          <w:lang w:val="en-GB" w:eastAsia="en-ZA"/>
        </w:rPr>
        <w:t xml:space="preserve"> </w:t>
      </w:r>
      <w:r w:rsidR="001B2D34" w:rsidRPr="00DA249F">
        <w:rPr>
          <w:lang w:val="en-GB" w:eastAsia="en-ZA"/>
        </w:rPr>
        <w:t>potential changes in</w:t>
      </w:r>
      <w:r w:rsidR="004A5CE5" w:rsidRPr="00DA249F">
        <w:rPr>
          <w:lang w:val="en-GB" w:eastAsia="en-ZA"/>
        </w:rPr>
        <w:t xml:space="preserve"> </w:t>
      </w:r>
      <w:r w:rsidR="001B2D34" w:rsidRPr="00DA249F">
        <w:rPr>
          <w:lang w:val="en-GB" w:eastAsia="en-ZA"/>
        </w:rPr>
        <w:t>species</w:t>
      </w:r>
      <w:r w:rsidR="00EA2F31">
        <w:rPr>
          <w:lang w:val="en-GB" w:eastAsia="en-ZA"/>
        </w:rPr>
        <w:t>’</w:t>
      </w:r>
      <w:r w:rsidR="004A5CE5" w:rsidRPr="00DA249F">
        <w:rPr>
          <w:lang w:val="en-GB" w:eastAsia="en-ZA"/>
        </w:rPr>
        <w:t xml:space="preserve"> </w:t>
      </w:r>
      <w:r w:rsidR="001B2D34" w:rsidRPr="00DA249F">
        <w:rPr>
          <w:lang w:val="en-GB" w:eastAsia="en-ZA"/>
        </w:rPr>
        <w:t>distribution, with</w:t>
      </w:r>
      <w:r w:rsidR="004A5CE5" w:rsidRPr="00DA249F">
        <w:rPr>
          <w:lang w:val="en-GB" w:eastAsia="en-ZA"/>
        </w:rPr>
        <w:t xml:space="preserve"> </w:t>
      </w:r>
      <w:r w:rsidR="001B2D34" w:rsidRPr="00DA249F">
        <w:rPr>
          <w:lang w:val="en-GB" w:eastAsia="en-ZA"/>
        </w:rPr>
        <w:t xml:space="preserve">few experimental studies </w:t>
      </w:r>
      <w:r w:rsidR="011956CC" w:rsidRPr="00DA249F">
        <w:rPr>
          <w:lang w:val="en-GB" w:eastAsia="en-ZA"/>
        </w:rPr>
        <w:t xml:space="preserve">examining mechanisms based on </w:t>
      </w:r>
      <w:r w:rsidR="75A88AFF" w:rsidRPr="00DA249F">
        <w:rPr>
          <w:lang w:val="en-GB" w:eastAsia="en-ZA"/>
        </w:rPr>
        <w:t>demogra</w:t>
      </w:r>
      <w:r w:rsidR="09EF1F01" w:rsidRPr="00DA249F">
        <w:rPr>
          <w:lang w:val="en-GB" w:eastAsia="en-ZA"/>
        </w:rPr>
        <w:t>p</w:t>
      </w:r>
      <w:r w:rsidR="75A88AFF" w:rsidRPr="00DA249F">
        <w:rPr>
          <w:lang w:val="en-GB" w:eastAsia="en-ZA"/>
        </w:rPr>
        <w:t>hic</w:t>
      </w:r>
      <w:r w:rsidR="011956CC" w:rsidRPr="00DA249F">
        <w:rPr>
          <w:lang w:val="en-GB" w:eastAsia="en-ZA"/>
        </w:rPr>
        <w:t xml:space="preserve"> </w:t>
      </w:r>
      <w:r w:rsidR="011956CC" w:rsidRPr="00DA249F">
        <w:rPr>
          <w:lang w:val="en-GB" w:eastAsia="en-ZA"/>
        </w:rPr>
        <w:lastRenderedPageBreak/>
        <w:t>responses</w:t>
      </w:r>
      <w:r w:rsidR="288A7731" w:rsidRPr="00DA249F">
        <w:rPr>
          <w:lang w:val="en-GB" w:eastAsia="en-ZA"/>
        </w:rPr>
        <w:t xml:space="preserve"> (</w:t>
      </w:r>
      <w:r w:rsidR="001B2D34" w:rsidRPr="00DA249F" w:rsidDel="288A7731">
        <w:rPr>
          <w:lang w:val="en-GB" w:eastAsia="en-ZA"/>
        </w:rPr>
        <w:t>e.g</w:t>
      </w:r>
      <w:r w:rsidR="00930403" w:rsidRPr="00DA249F">
        <w:rPr>
          <w:lang w:val="en-GB" w:eastAsia="en-ZA"/>
        </w:rPr>
        <w:t xml:space="preserve">., </w:t>
      </w:r>
      <w:r w:rsidR="009767DD" w:rsidRPr="00DA249F">
        <w:rPr>
          <w:lang w:val="en-GB" w:eastAsia="en-ZA"/>
        </w:rPr>
        <w:fldChar w:fldCharType="begin"/>
      </w:r>
      <w:r w:rsidR="00F5121E">
        <w:rPr>
          <w:lang w:val="en-GB" w:eastAsia="en-ZA"/>
        </w:rPr>
        <w:instrText xml:space="preserve"> ADDIN ZOTERO_ITEM CSL_CITATION {"citationID":"5iEomfzg","properties":{"formattedCitation":"(L. C. Ross et al., 2008)","plainCitation":"(L. C. Ross et al., 2008)","dontUpdate":true,"noteIndex":0},"citationItems":[{"id":27179,"uris":["http://zotero.org/groups/2352922/items/JV4LYEL9"],"itemData":{"id":27179,"type":"article-journal","abstract":"Climatic warming and land use change are likely to facilitate range expansions in invasive plant species, although the ability to predict such changes requires a better mechanistic understanding of the biological limits of populations. The introduced weed Oxalis pes-caprae, a significant pest of cultivation in many Mediterranean-type ecosystems, presents a suitable case study. The species distribution in the Mediterranean Basin closely follows that of olive cultivation, limited to below 600m; yet its potential to colonise vulnerable areas at higher elevations has yet to be adequately assessed. To investigate the possibility, plant performance was assessed by experimentally sowing O. pes-caprae bulbils along an altitudinal gradient in the Lefka Ori mountains, Crete. The survivorship and bulbil biomass of the resulting plants all declined significantly with elevation, irrespective of soil type, initial bulbil size or seasonal variation. Whilst plants survived vegetatively up to 1400m, seasonal bulbil productivity, likely to be critical to population viability, exceeded that of the sown bulbil biomass only below 750m. These data indicate that the current elevation of O. pes-caprae is close to, but not at, its current climatic limit, and that low propagule pressure and scarcity of suitable habitat probably also act to limit the altitudinal distribution. Plant performance was correlated strongly with the duration of spring snow cover. Despite a 2°C difference in mean spring temperatures in the 2 years of study, the predicted elevational change was only 37m higher in the milder conditions. Overall, our results suggest that while O. pes-caprae performance is strongly linked to climate and is currently close to its climatic limit on Crete, there is limited scope for further spread unless land use and/or propagule pressure change at higher elevations. For this species, these elements are likely to be more significant drivers of invasion risk than the predicted changes of future climates.","container-title":"Perspectives in Plant Ecology, Evolution and Systematics","DOI":"10.1016/j.ppees.2008.06.001","ISSN":"1433-8319","issue":"4","journalAbbreviation":"Perspectives in Plant Ecology, Evolution and Systematics","language":"en","page":"251-258","source":"ScienceDirect","title":"Disentangling the roles of climate, propagule pressure and land use on the current and potential elevational distribution of the invasive weed &lt;i&gt;Oxalis pes-caprae&lt;/i&gt;, L. on Crete","URL":"https://www.sciencedirect.com/science/article/pii/S1433831908000516","volume":"10","author":[{"family":"Ross","given":"Louise C."},{"family":"Lambdon","given":"Philip W."},{"family":"Hulme","given":"Philip E."}],"accessed":{"date-parts":[["2021",6,18]]},"issued":{"date-parts":[["2008",10,20]]}},"label":"page"}],"schema":"https://github.com/citation-style-language/schema/raw/master/csl-citation.json"} </w:instrText>
      </w:r>
      <w:r w:rsidR="009767DD" w:rsidRPr="00DA249F">
        <w:rPr>
          <w:lang w:val="en-GB" w:eastAsia="en-ZA"/>
        </w:rPr>
        <w:fldChar w:fldCharType="separate"/>
      </w:r>
      <w:r w:rsidR="00A76463" w:rsidRPr="00DA249F">
        <w:rPr>
          <w:lang w:val="en-GB"/>
        </w:rPr>
        <w:t>L. C. Ross et al., 2008)</w:t>
      </w:r>
      <w:r w:rsidR="009767DD" w:rsidRPr="00DA249F">
        <w:rPr>
          <w:lang w:val="en-GB" w:eastAsia="en-ZA"/>
        </w:rPr>
        <w:fldChar w:fldCharType="end"/>
      </w:r>
      <w:r w:rsidR="001B2D34" w:rsidRPr="00DA249F">
        <w:rPr>
          <w:lang w:val="en-GB" w:eastAsia="en-ZA"/>
        </w:rPr>
        <w:t>.</w:t>
      </w:r>
      <w:r w:rsidR="004A5CE5" w:rsidRPr="00DA249F">
        <w:rPr>
          <w:lang w:val="en-GB" w:eastAsia="en-ZA"/>
        </w:rPr>
        <w:t xml:space="preserve"> </w:t>
      </w:r>
      <w:r w:rsidR="05D0CF9E" w:rsidRPr="00DA249F">
        <w:rPr>
          <w:lang w:val="en-GB" w:eastAsia="en-ZA"/>
        </w:rPr>
        <w:t>Modelling</w:t>
      </w:r>
      <w:r w:rsidR="004A5CE5" w:rsidRPr="00DA249F">
        <w:rPr>
          <w:lang w:val="en-GB" w:eastAsia="en-ZA"/>
        </w:rPr>
        <w:t xml:space="preserve"> </w:t>
      </w:r>
      <w:r w:rsidR="001B2D34" w:rsidRPr="00DA249F">
        <w:rPr>
          <w:lang w:val="en-GB" w:eastAsia="en-ZA"/>
        </w:rPr>
        <w:t>studies suggest that</w:t>
      </w:r>
      <w:r w:rsidR="004A5CE5" w:rsidRPr="00DA249F">
        <w:rPr>
          <w:lang w:val="en-GB" w:eastAsia="en-ZA"/>
        </w:rPr>
        <w:t xml:space="preserve"> </w:t>
      </w:r>
      <w:r w:rsidR="001B2D34" w:rsidRPr="00DA249F">
        <w:rPr>
          <w:lang w:val="en-GB" w:eastAsia="en-ZA"/>
        </w:rPr>
        <w:t>t</w:t>
      </w:r>
      <w:r w:rsidR="001B2D34" w:rsidRPr="00DA249F">
        <w:rPr>
          <w:shd w:val="clear" w:color="auto" w:fill="FFFFFF"/>
          <w:lang w:val="en-GB" w:eastAsia="en-ZA"/>
        </w:rPr>
        <w:t>he relative importance of</w:t>
      </w:r>
      <w:r w:rsidR="004A5CE5" w:rsidRPr="00DA249F">
        <w:rPr>
          <w:shd w:val="clear" w:color="auto" w:fill="FFFFFF"/>
          <w:lang w:val="en-GB" w:eastAsia="en-ZA"/>
        </w:rPr>
        <w:t xml:space="preserve"> </w:t>
      </w:r>
      <w:r w:rsidR="001B2D34" w:rsidRPr="00DA249F">
        <w:rPr>
          <w:shd w:val="clear" w:color="auto" w:fill="FFFFFF"/>
          <w:lang w:val="en-GB" w:eastAsia="en-ZA"/>
        </w:rPr>
        <w:t>land</w:t>
      </w:r>
      <w:r w:rsidR="00DE124F" w:rsidRPr="00DA249F">
        <w:rPr>
          <w:shd w:val="clear" w:color="auto" w:fill="FFFFFF"/>
          <w:lang w:val="en-GB" w:eastAsia="en-ZA"/>
        </w:rPr>
        <w:t>-</w:t>
      </w:r>
      <w:r w:rsidR="001B2D34" w:rsidRPr="00DA249F">
        <w:rPr>
          <w:shd w:val="clear" w:color="auto" w:fill="FFFFFF"/>
          <w:lang w:val="en-GB" w:eastAsia="en-ZA"/>
        </w:rPr>
        <w:t>use change and</w:t>
      </w:r>
      <w:r w:rsidR="004A5CE5" w:rsidRPr="00DA249F">
        <w:rPr>
          <w:shd w:val="clear" w:color="auto" w:fill="FFFFFF"/>
          <w:lang w:val="en-GB" w:eastAsia="en-ZA"/>
        </w:rPr>
        <w:t xml:space="preserve"> </w:t>
      </w:r>
      <w:r w:rsidR="001B2D34" w:rsidRPr="00DA249F">
        <w:rPr>
          <w:shd w:val="clear" w:color="auto" w:fill="FFFFFF"/>
          <w:lang w:val="en-GB" w:eastAsia="en-ZA"/>
        </w:rPr>
        <w:t>climate</w:t>
      </w:r>
      <w:r w:rsidR="004A5CE5" w:rsidRPr="00DA249F">
        <w:rPr>
          <w:shd w:val="clear" w:color="auto" w:fill="FFFFFF"/>
          <w:lang w:val="en-GB" w:eastAsia="en-ZA"/>
        </w:rPr>
        <w:t xml:space="preserve"> </w:t>
      </w:r>
      <w:r w:rsidR="001B2D34" w:rsidRPr="00DA249F">
        <w:rPr>
          <w:shd w:val="clear" w:color="auto" w:fill="FFFFFF"/>
          <w:lang w:val="en-GB" w:eastAsia="en-ZA"/>
        </w:rPr>
        <w:t>change</w:t>
      </w:r>
      <w:r w:rsidR="004A5CE5" w:rsidRPr="00DA249F">
        <w:rPr>
          <w:lang w:val="en-GB" w:eastAsia="en-ZA"/>
        </w:rPr>
        <w:t xml:space="preserve"> </w:t>
      </w:r>
      <w:r w:rsidR="004A2DD8" w:rsidRPr="00DA249F">
        <w:rPr>
          <w:lang w:val="en-GB" w:eastAsia="en-ZA"/>
        </w:rPr>
        <w:t xml:space="preserve">in </w:t>
      </w:r>
      <w:r w:rsidR="002E6F27" w:rsidRPr="00DA249F">
        <w:rPr>
          <w:lang w:val="en-GB" w:eastAsia="en-ZA"/>
        </w:rPr>
        <w:t>facilitating</w:t>
      </w:r>
      <w:r w:rsidR="004A5CE5" w:rsidRPr="00DA249F">
        <w:rPr>
          <w:lang w:val="en-GB" w:eastAsia="en-ZA"/>
        </w:rPr>
        <w:t xml:space="preserve"> </w:t>
      </w:r>
      <w:r w:rsidR="00937735" w:rsidRPr="00DA249F">
        <w:rPr>
          <w:lang w:val="en-GB" w:eastAsia="en-ZA"/>
        </w:rPr>
        <w:t>biological invasions</w:t>
      </w:r>
      <w:r w:rsidR="004A5CE5" w:rsidRPr="00DA249F">
        <w:rPr>
          <w:lang w:val="en-GB" w:eastAsia="en-ZA"/>
        </w:rPr>
        <w:t xml:space="preserve"> </w:t>
      </w:r>
      <w:r w:rsidR="003A080E" w:rsidRPr="00DA249F">
        <w:rPr>
          <w:lang w:val="en-GB" w:eastAsia="en-ZA"/>
        </w:rPr>
        <w:t xml:space="preserve">is </w:t>
      </w:r>
      <w:r w:rsidR="001B2D34" w:rsidRPr="00DA249F">
        <w:rPr>
          <w:lang w:val="en-GB" w:eastAsia="en-ZA"/>
        </w:rPr>
        <w:t>highly variable and often species-specific</w:t>
      </w:r>
      <w:r w:rsidR="004A5CE5" w:rsidRPr="00DA249F">
        <w:rPr>
          <w:lang w:val="en-GB" w:eastAsia="en-ZA"/>
        </w:rPr>
        <w:t xml:space="preserve"> </w:t>
      </w:r>
      <w:r w:rsidR="001B2D34" w:rsidRPr="00DA249F">
        <w:rPr>
          <w:lang w:val="en-GB" w:eastAsia="en-ZA"/>
        </w:rPr>
        <w:t>or scale dependent</w:t>
      </w:r>
      <w:r w:rsidR="293BC300" w:rsidRPr="00DA249F">
        <w:rPr>
          <w:lang w:val="en-GB" w:eastAsia="en-ZA"/>
        </w:rPr>
        <w:t xml:space="preserve"> </w:t>
      </w:r>
      <w:r w:rsidR="009061C6" w:rsidRPr="00DA249F">
        <w:rPr>
          <w:lang w:val="en-GB" w:eastAsia="en-ZA"/>
        </w:rPr>
        <w:fldChar w:fldCharType="begin"/>
      </w:r>
      <w:r w:rsidR="00331A79">
        <w:rPr>
          <w:lang w:val="en-GB" w:eastAsia="en-ZA"/>
        </w:rPr>
        <w:instrText xml:space="preserve"> ADDIN ZOTERO_ITEM CSL_CITATION {"citationID":"MnLB8ZiU","properties":{"formattedCitation":"(Febbraro et al., 2019; Manzoor et al., 2021)","plainCitation":"(Febbraro et al., 2019; Manzoor et al., 2021)","noteIndex":0},"citationItems":[{"id":26965,"uris":["http://zotero.org/groups/2352922/items/KDDNNAEL"],"itemData":{"id":26965,"type":"article-journal","abstract":"Aim The establishment and spread of invasive alien species may be influenced by several mutually interacting factors, whose understanding is paramount to develop effective biosecurity policies. However, studies focused on modelling spatially explicit patterns of future invasion risk have so far focused on species response to climate change impacts, while land-use change has been neglected. We investigated how the interplay between climate and land-use change could affect the future potential distribution and dispersal corridors of four alien squirrels introduced to Europe (Sciurus carolinensis, Callosciurus finlaysonii, Callosciurus erythraeus and Eutamias sibiricus). Location and Methods Our study was conducted in Italy. We used Species Distribution Models and circuit theory methods to test whether future scenarios based only on climate change predict a different effect on range and connectivity of alien squirrel populations, compared to scenarios that include both climate and land-use changes. Results Scenarios based only on climate change predicted a range increase and a high geographic stability (&gt;50%) for most species, with different, yet limited, effects on connectivity corridors. Conversely, scenarios based on both climate and land-use change showed a loss in range extent and a low geographic stability (&lt;50%) of both range and dispersal corridors for most species. Main conclusions Scenarios considering both climate and land-use change provide predictions on invasion risk that overturn those including only climate change. The effect of global warming alone would lead to a considerable range expansion of all species. Conversely, when land-use change is added, a potential loss in suitable habitat and dispersal corridors is predicted for alien squirrels, hence limiting their range expansion. We recommend using multiple drivers in models to obtain reliable predictions for implementing biosecurity policies related to invasive alien species.","container-title":"Diversity and Distributions","DOI":"10.1111/ddi.12890","ISSN":"1472-4642","issue":"4","language":"en","note":"_eprint: https://onlinelibrary.wiley.com/doi/pdf/10.1111/ddi.12890","page":"644-659","source":"Wiley Online Library","title":"Integrating climate and land-use change scenarios in modelling the future spread of invasive squirrels in Italy","URL":"https://onlinelibrary.wiley.com/doi/abs/10.1111/ddi.12890","volume":"25","author":[{"family":"Febbraro","given":"Mirko Di"},{"family":"Menchetti","given":"Mattia"},{"family":"Russo","given":"Danilo"},{"family":"Ancillotto","given":"Leonardo"},{"family":"Aloise","given":"Gaetano"},{"family":"Roscioni","given":"Federica"},{"family":"Preatoni","given":"Damiano G."},{"family":"Loy","given":"Anna"},{"family":"Martinoli","given":"Adriano"},{"family":"Bertolino","given":"Sandro"},{"family":"Mori","given":"Emiliano"}],"accessed":{"date-parts":[["2021",7,2]]},"issued":{"date-parts":[["2019"]]}},"label":"page"},{"id":32941,"uris":["http://zotero.org/groups/2352922/items/DCWBJPHZ"],"itemData":{"id":32941,"type":"article-journal","container-title":"Ecological Indicators","DOI":"10.1016/j.ecolind.2020.106936","ISSN":"1470160X","journalAbbreviation":"Ecological Indicators","language":"en","page":"106936","source":"DOI.org (Crossref)","title":"Land use and climate change interaction triggers contrasting trajectories of biological invasion","URL":"https://linkinghub.elsevier.com/retrieve/pii/S1470160X2030875X","volume":"120","author":[{"family":"Manzoor","given":"Syed Amir"},{"family":"Griffiths","given":"Geoffrey"},{"family":"Lukac","given":"Martin"}],"accessed":{"date-parts":[["2021",2,22]]},"issued":{"date-parts":[["2021",1]]}},"label":"page"}],"schema":"https://github.com/citation-style-language/schema/raw/master/csl-citation.json"} </w:instrText>
      </w:r>
      <w:r w:rsidR="009061C6" w:rsidRPr="00DA249F">
        <w:rPr>
          <w:lang w:val="en-GB" w:eastAsia="en-ZA"/>
        </w:rPr>
        <w:fldChar w:fldCharType="separate"/>
      </w:r>
      <w:r w:rsidR="00144D96" w:rsidRPr="00144D96">
        <w:t>(Febbraro et al., 2019; Manzoor et al., 2021)</w:t>
      </w:r>
      <w:r w:rsidR="009061C6" w:rsidRPr="00DA249F">
        <w:rPr>
          <w:lang w:val="en-GB" w:eastAsia="en-ZA"/>
        </w:rPr>
        <w:fldChar w:fldCharType="end"/>
      </w:r>
      <w:r w:rsidR="288A7731" w:rsidRPr="00DA249F">
        <w:rPr>
          <w:lang w:val="en-GB" w:eastAsia="en-ZA"/>
        </w:rPr>
        <w:t>.</w:t>
      </w:r>
      <w:r w:rsidR="00627B55" w:rsidRPr="00DA249F">
        <w:rPr>
          <w:lang w:val="en-GB" w:eastAsia="en-ZA"/>
        </w:rPr>
        <w:t xml:space="preserve"> </w:t>
      </w:r>
      <w:r w:rsidR="5F80C32A" w:rsidRPr="00DA249F">
        <w:rPr>
          <w:lang w:val="en-GB" w:eastAsia="en-ZA"/>
        </w:rPr>
        <w:t xml:space="preserve">A general insight </w:t>
      </w:r>
      <w:r w:rsidR="00931446" w:rsidRPr="00DA249F">
        <w:rPr>
          <w:lang w:val="en-GB" w:eastAsia="en-ZA"/>
        </w:rPr>
        <w:t xml:space="preserve">emerging from this work </w:t>
      </w:r>
      <w:r w:rsidR="5F80C32A" w:rsidRPr="00DA249F">
        <w:rPr>
          <w:lang w:val="en-GB" w:eastAsia="en-ZA"/>
        </w:rPr>
        <w:t xml:space="preserve">is that incorporating land-use change </w:t>
      </w:r>
      <w:r w:rsidR="6B346AAC" w:rsidRPr="00DA249F">
        <w:rPr>
          <w:lang w:val="en-GB" w:eastAsia="en-ZA"/>
        </w:rPr>
        <w:t>scenarios</w:t>
      </w:r>
      <w:r w:rsidR="5F80C32A" w:rsidRPr="00DA249F">
        <w:rPr>
          <w:lang w:val="en-GB" w:eastAsia="en-ZA"/>
        </w:rPr>
        <w:t xml:space="preserve"> into climate change models can </w:t>
      </w:r>
      <w:r w:rsidR="00E23016" w:rsidRPr="00DA249F">
        <w:rPr>
          <w:lang w:val="en-GB" w:eastAsia="en-ZA"/>
        </w:rPr>
        <w:t xml:space="preserve">considerably </w:t>
      </w:r>
      <w:r w:rsidR="5F80C32A" w:rsidRPr="00DA249F">
        <w:rPr>
          <w:lang w:val="en-GB" w:eastAsia="en-ZA"/>
        </w:rPr>
        <w:t xml:space="preserve">alter the </w:t>
      </w:r>
      <w:r w:rsidR="003E5D36" w:rsidRPr="00DA249F">
        <w:rPr>
          <w:lang w:val="en-GB" w:eastAsia="en-ZA"/>
        </w:rPr>
        <w:t xml:space="preserve">predicted outcomes </w:t>
      </w:r>
      <w:r w:rsidR="5F80C32A" w:rsidRPr="00DA249F">
        <w:rPr>
          <w:lang w:val="en-GB" w:eastAsia="en-ZA"/>
        </w:rPr>
        <w:t xml:space="preserve">of future </w:t>
      </w:r>
      <w:r w:rsidR="00937735" w:rsidRPr="00DA249F">
        <w:rPr>
          <w:lang w:val="en-GB" w:eastAsia="en-ZA"/>
        </w:rPr>
        <w:t xml:space="preserve">biological </w:t>
      </w:r>
      <w:r w:rsidR="5F80C32A" w:rsidRPr="00DA249F">
        <w:rPr>
          <w:lang w:val="en-GB" w:eastAsia="en-ZA"/>
        </w:rPr>
        <w:t>invasion</w:t>
      </w:r>
      <w:r w:rsidR="00937735" w:rsidRPr="00DA249F">
        <w:rPr>
          <w:lang w:val="en-GB" w:eastAsia="en-ZA"/>
        </w:rPr>
        <w:t>s</w:t>
      </w:r>
      <w:r w:rsidR="5F80C32A" w:rsidRPr="00DA249F">
        <w:rPr>
          <w:lang w:val="en-GB" w:eastAsia="en-ZA"/>
        </w:rPr>
        <w:t>.</w:t>
      </w:r>
    </w:p>
    <w:p w14:paraId="7467E0B3" w14:textId="28B825E1" w:rsidR="00A840DC" w:rsidRPr="009C1256" w:rsidRDefault="001B2D34" w:rsidP="0090109B">
      <w:pPr>
        <w:rPr>
          <w:lang w:val="en-GB" w:eastAsia="en-ZA"/>
        </w:rPr>
      </w:pPr>
      <w:r w:rsidRPr="00DA249F">
        <w:rPr>
          <w:lang w:val="en-GB" w:eastAsia="en-ZA"/>
        </w:rPr>
        <w:t>Climate change acts over broad regional and temporal scales</w:t>
      </w:r>
      <w:r w:rsidR="008927F8">
        <w:rPr>
          <w:lang w:val="en-GB" w:eastAsia="en-ZA"/>
        </w:rPr>
        <w:t>,</w:t>
      </w:r>
      <w:r w:rsidRPr="00DA249F">
        <w:rPr>
          <w:lang w:val="en-GB" w:eastAsia="en-ZA"/>
        </w:rPr>
        <w:t xml:space="preserve"> whereas land</w:t>
      </w:r>
      <w:r w:rsidR="00DE124F" w:rsidRPr="00DA249F">
        <w:rPr>
          <w:lang w:val="en-GB" w:eastAsia="en-ZA"/>
        </w:rPr>
        <w:t>-</w:t>
      </w:r>
      <w:r w:rsidRPr="00DA249F">
        <w:rPr>
          <w:lang w:val="en-GB" w:eastAsia="en-ZA"/>
        </w:rPr>
        <w:t>use change</w:t>
      </w:r>
      <w:r w:rsidR="00DE124F" w:rsidRPr="00DA249F">
        <w:rPr>
          <w:lang w:val="en-GB" w:eastAsia="en-ZA"/>
        </w:rPr>
        <w:t>s</w:t>
      </w:r>
      <w:r w:rsidRPr="00DA249F">
        <w:rPr>
          <w:lang w:val="en-GB" w:eastAsia="en-ZA"/>
        </w:rPr>
        <w:t xml:space="preserve"> can have a much more local and immediate effect in response to commercial or land management decisions.</w:t>
      </w:r>
      <w:r w:rsidR="004A5CE5" w:rsidRPr="00DA249F">
        <w:rPr>
          <w:lang w:val="en-GB" w:eastAsia="en-ZA"/>
        </w:rPr>
        <w:t xml:space="preserve"> </w:t>
      </w:r>
      <w:r w:rsidRPr="00DA249F">
        <w:rPr>
          <w:lang w:val="en-GB" w:eastAsia="en-ZA"/>
        </w:rPr>
        <w:t>For example,</w:t>
      </w:r>
      <w:r w:rsidR="00D17AD3" w:rsidRPr="00DA249F">
        <w:rPr>
          <w:lang w:val="en-GB" w:eastAsia="en-ZA"/>
        </w:rPr>
        <w:t xml:space="preserve"> </w:t>
      </w:r>
      <w:r w:rsidRPr="00DA249F">
        <w:rPr>
          <w:lang w:val="en-GB" w:eastAsia="en-ZA"/>
        </w:rPr>
        <w:t>at the global scale,</w:t>
      </w:r>
      <w:r w:rsidR="0001549D" w:rsidRPr="00DA249F">
        <w:rPr>
          <w:lang w:val="en-GB" w:eastAsia="en-ZA"/>
        </w:rPr>
        <w:t xml:space="preserve"> </w:t>
      </w:r>
      <w:r w:rsidRPr="00DA249F">
        <w:rPr>
          <w:lang w:val="en-GB" w:eastAsia="en-ZA"/>
        </w:rPr>
        <w:t>the</w:t>
      </w:r>
      <w:r w:rsidR="0001549D" w:rsidRPr="00DA249F">
        <w:rPr>
          <w:lang w:val="en-GB" w:eastAsia="en-ZA"/>
        </w:rPr>
        <w:t xml:space="preserve"> </w:t>
      </w:r>
      <w:r w:rsidRPr="00DA249F">
        <w:rPr>
          <w:lang w:val="en-GB" w:eastAsia="en-ZA"/>
        </w:rPr>
        <w:t xml:space="preserve">future distribution of two major invasive </w:t>
      </w:r>
      <w:r w:rsidR="00731CBC" w:rsidRPr="00DA249F">
        <w:rPr>
          <w:lang w:val="en-GB" w:eastAsia="en-ZA"/>
        </w:rPr>
        <w:t xml:space="preserve">alien </w:t>
      </w:r>
      <w:r w:rsidRPr="00DA249F">
        <w:rPr>
          <w:lang w:val="en-GB" w:eastAsia="en-ZA"/>
        </w:rPr>
        <w:t>plant</w:t>
      </w:r>
      <w:r w:rsidR="0001549D" w:rsidRPr="00DA249F">
        <w:rPr>
          <w:lang w:val="en-GB" w:eastAsia="en-ZA"/>
        </w:rPr>
        <w:t xml:space="preserve"> </w:t>
      </w:r>
      <w:r w:rsidRPr="00DA249F">
        <w:rPr>
          <w:color w:val="2E2E2E"/>
          <w:lang w:val="en-GB" w:eastAsia="en-ZA"/>
        </w:rPr>
        <w:t xml:space="preserve">species </w:t>
      </w:r>
      <w:r w:rsidRPr="00DA249F">
        <w:rPr>
          <w:lang w:val="en-GB" w:eastAsia="en-ZA"/>
        </w:rPr>
        <w:t>depended primarily on how their niches</w:t>
      </w:r>
      <w:r w:rsidR="0001549D" w:rsidRPr="00DA249F">
        <w:rPr>
          <w:lang w:val="en-GB" w:eastAsia="en-ZA"/>
        </w:rPr>
        <w:t xml:space="preserve"> </w:t>
      </w:r>
      <w:r w:rsidRPr="00DA249F">
        <w:rPr>
          <w:lang w:val="en-GB" w:eastAsia="en-ZA"/>
        </w:rPr>
        <w:t>responded</w:t>
      </w:r>
      <w:r w:rsidR="0001549D" w:rsidRPr="00DA249F">
        <w:rPr>
          <w:lang w:val="en-GB" w:eastAsia="en-ZA"/>
        </w:rPr>
        <w:t xml:space="preserve"> </w:t>
      </w:r>
      <w:r w:rsidRPr="00DA249F">
        <w:rPr>
          <w:lang w:val="en-GB" w:eastAsia="en-ZA"/>
        </w:rPr>
        <w:t>to</w:t>
      </w:r>
      <w:r w:rsidR="0001549D" w:rsidRPr="00DA249F">
        <w:rPr>
          <w:lang w:val="en-GB" w:eastAsia="en-ZA"/>
        </w:rPr>
        <w:t xml:space="preserve"> </w:t>
      </w:r>
      <w:r w:rsidRPr="00DA249F">
        <w:rPr>
          <w:lang w:val="en-GB" w:eastAsia="en-ZA"/>
        </w:rPr>
        <w:t>climatic changes, with land-use change having a minor effect</w:t>
      </w:r>
      <w:r w:rsidR="0001549D" w:rsidRPr="00DA249F">
        <w:rPr>
          <w:lang w:val="en-GB" w:eastAsia="en-ZA"/>
        </w:rPr>
        <w:t xml:space="preserve"> </w:t>
      </w:r>
      <w:r w:rsidRPr="00DA249F">
        <w:rPr>
          <w:lang w:val="en-GB" w:eastAsia="en-ZA"/>
        </w:rPr>
        <w:t>on distribution</w:t>
      </w:r>
      <w:r w:rsidR="0001549D" w:rsidRPr="00DA249F">
        <w:rPr>
          <w:lang w:val="en-GB" w:eastAsia="en-ZA"/>
        </w:rPr>
        <w:t xml:space="preserve"> </w:t>
      </w:r>
      <w:r w:rsidRPr="00DA249F">
        <w:rPr>
          <w:lang w:val="en-GB" w:eastAsia="en-ZA"/>
        </w:rPr>
        <w:t>at this scale</w:t>
      </w:r>
      <w:r w:rsidR="0001549D" w:rsidRPr="00DA249F">
        <w:rPr>
          <w:lang w:val="en-GB" w:eastAsia="en-ZA"/>
        </w:rPr>
        <w:t xml:space="preserve"> </w:t>
      </w:r>
      <w:r w:rsidR="00724F6A" w:rsidRPr="00DA249F">
        <w:rPr>
          <w:lang w:val="en-GB" w:eastAsia="en-ZA"/>
        </w:rPr>
        <w:fldChar w:fldCharType="begin"/>
      </w:r>
      <w:r w:rsidR="00331A79">
        <w:rPr>
          <w:lang w:val="en-GB" w:eastAsia="en-ZA"/>
        </w:rPr>
        <w:instrText xml:space="preserve"> ADDIN ZOTERO_ITEM CSL_CITATION {"citationID":"8I8rNSaZ","properties":{"formattedCitation":"(Gong et al., 2020)","plainCitation":"(Gong et al., 2020)","noteIndex":0},"citationItems":[{"id":29340,"uris":["http://zotero.org/groups/2352922/items/SKFUJIFR"],"itemData":{"id":29340,"type":"article-journal","abstract":"The prediction of the potential distribution of invasive alien species is key for the control of their proliferation. This study developed ensemble niche models to explore the distribution patterns of Cecropia peltata and Ulex europaeus under baseline and future conditions, as well as the factors that regulate them. The models were based on occurrence records as well as climate, land-use and topography datasets. Climatic factors played a stronger role than land-use and topographical factors in their distribution patterns. Additionally, temperature seasonality and temperature annual range were the optimal predictor for the global distributions of C. peltata and U. europaeus, respectively. Under the baseline-RCP 8.5 scenario in 2070, significant increases in habitat suitability for C. peltata were generally detected in tropical regions, while for U. europaeus under the same condition, significant increases in habitat suitability were generally observed in west coast of South America and Europe, suggesting the impacts of climate changes on species distribution may be species specific. The contrast changes of suitable habitat areas for U. europaeus under the baseline-2.6 and 8.5 scenarios may suggest that the scenarios of climate changes may modify its distribution patterns and variations in suitable habitats. The double-edged effects of global warming on plant invasions may be a result of the scenario specific climate change and the species-specific responses to changes in climate. Our findings highlight the importance of climate change scenario specific and species-specific research on the impact of climate change on plant invasions.","container-title":"Science of The Total Environment","DOI":"10.1016/j.scitotenv.2020.139933","ISSN":"0048-9697","journalAbbreviation":"Science of The Total Environment","language":"en","page":"139933","source":"ScienceDirect","title":"Double-edged effects of climate change on plant invasions: Ecological niche modeling global distributions of two invasive alien plants","title-short":"Double-edged effects of climate change on plant invasions","URL":"https://www.sciencedirect.com/science/article/pii/S0048969720334537","volume":"740","author":[{"family":"Gong","given":"Xiang"},{"family":"Chen","given":"Youjun"},{"family":"Wang","given":"Tao"},{"family":"Jiang","given":"Xianfeng"},{"family":"Hu","given":"Xiaokang"},{"family":"Feng","given":"Jianmeng"}],"accessed":{"date-parts":[["2021",7,7]]},"issued":{"date-parts":[["2020",10,20]]}},"label":"page"}],"schema":"https://github.com/citation-style-language/schema/raw/master/csl-citation.json"} </w:instrText>
      </w:r>
      <w:r w:rsidR="00724F6A" w:rsidRPr="00DA249F">
        <w:rPr>
          <w:lang w:val="en-GB" w:eastAsia="en-ZA"/>
        </w:rPr>
        <w:fldChar w:fldCharType="separate"/>
      </w:r>
      <w:r w:rsidR="00144D96" w:rsidRPr="00144D96">
        <w:t>(Gong et al., 2020)</w:t>
      </w:r>
      <w:r w:rsidR="00724F6A" w:rsidRPr="00DA249F">
        <w:rPr>
          <w:lang w:val="en-GB" w:eastAsia="en-ZA"/>
        </w:rPr>
        <w:fldChar w:fldCharType="end"/>
      </w:r>
      <w:r w:rsidRPr="00DA249F">
        <w:rPr>
          <w:lang w:val="en-GB" w:eastAsia="en-ZA"/>
        </w:rPr>
        <w:t>.</w:t>
      </w:r>
      <w:r w:rsidR="0001549D" w:rsidRPr="00DA249F">
        <w:rPr>
          <w:lang w:val="en-GB" w:eastAsia="en-ZA"/>
        </w:rPr>
        <w:t xml:space="preserve"> </w:t>
      </w:r>
      <w:r w:rsidRPr="00DA249F">
        <w:rPr>
          <w:lang w:val="en-GB" w:eastAsia="en-ZA"/>
        </w:rPr>
        <w:t>However,</w:t>
      </w:r>
      <w:r w:rsidR="0001549D" w:rsidRPr="00DA249F">
        <w:rPr>
          <w:lang w:val="en-GB" w:eastAsia="en-ZA"/>
        </w:rPr>
        <w:t xml:space="preserve"> </w:t>
      </w:r>
      <w:r w:rsidRPr="00DA249F">
        <w:rPr>
          <w:lang w:val="en-GB" w:eastAsia="en-ZA"/>
        </w:rPr>
        <w:t>at smaller scales,</w:t>
      </w:r>
      <w:r w:rsidR="0001549D" w:rsidRPr="00DA249F">
        <w:rPr>
          <w:lang w:val="en-GB" w:eastAsia="en-ZA"/>
        </w:rPr>
        <w:t xml:space="preserve"> </w:t>
      </w:r>
      <w:r w:rsidRPr="00DA249F">
        <w:rPr>
          <w:lang w:val="en-GB" w:eastAsia="en-ZA"/>
        </w:rPr>
        <w:t>several</w:t>
      </w:r>
      <w:r w:rsidR="0001549D" w:rsidRPr="00DA249F">
        <w:rPr>
          <w:lang w:val="en-GB" w:eastAsia="en-ZA"/>
        </w:rPr>
        <w:t xml:space="preserve"> </w:t>
      </w:r>
      <w:r w:rsidRPr="00DA249F">
        <w:rPr>
          <w:lang w:val="en-GB" w:eastAsia="en-ZA"/>
        </w:rPr>
        <w:t>studies show that while</w:t>
      </w:r>
      <w:r w:rsidR="0001549D" w:rsidRPr="00DA249F">
        <w:rPr>
          <w:lang w:val="en-GB" w:eastAsia="en-ZA"/>
        </w:rPr>
        <w:t xml:space="preserve"> </w:t>
      </w:r>
      <w:r w:rsidRPr="00DA249F">
        <w:rPr>
          <w:lang w:val="en-GB" w:eastAsia="en-ZA"/>
        </w:rPr>
        <w:t>future</w:t>
      </w:r>
      <w:r w:rsidR="0001549D" w:rsidRPr="00DA249F">
        <w:rPr>
          <w:lang w:val="en-GB" w:eastAsia="en-ZA"/>
        </w:rPr>
        <w:t xml:space="preserve"> </w:t>
      </w:r>
      <w:r w:rsidRPr="00DA249F">
        <w:rPr>
          <w:lang w:val="en-GB" w:eastAsia="en-ZA"/>
        </w:rPr>
        <w:t>changes in temperature</w:t>
      </w:r>
      <w:r w:rsidR="0001549D" w:rsidRPr="00DA249F">
        <w:rPr>
          <w:lang w:val="en-GB" w:eastAsia="en-ZA"/>
        </w:rPr>
        <w:t xml:space="preserve"> </w:t>
      </w:r>
      <w:r w:rsidRPr="00DA249F">
        <w:rPr>
          <w:lang w:val="en-GB" w:eastAsia="en-ZA"/>
        </w:rPr>
        <w:t>or</w:t>
      </w:r>
      <w:r w:rsidR="0001549D" w:rsidRPr="00DA249F">
        <w:rPr>
          <w:lang w:val="en-GB" w:eastAsia="en-ZA"/>
        </w:rPr>
        <w:t xml:space="preserve"> </w:t>
      </w:r>
      <w:r w:rsidRPr="00DA249F">
        <w:rPr>
          <w:lang w:val="en-GB" w:eastAsia="en-ZA"/>
        </w:rPr>
        <w:t>precipitation patterns</w:t>
      </w:r>
      <w:r w:rsidR="0001549D" w:rsidRPr="00DA249F">
        <w:rPr>
          <w:lang w:val="en-GB" w:eastAsia="en-ZA"/>
        </w:rPr>
        <w:t xml:space="preserve"> </w:t>
      </w:r>
      <w:r w:rsidRPr="00DA249F">
        <w:rPr>
          <w:lang w:val="en-GB" w:eastAsia="en-ZA"/>
        </w:rPr>
        <w:t>will</w:t>
      </w:r>
      <w:r w:rsidR="0001549D" w:rsidRPr="00DA249F">
        <w:rPr>
          <w:lang w:val="en-GB" w:eastAsia="en-ZA"/>
        </w:rPr>
        <w:t xml:space="preserve"> </w:t>
      </w:r>
      <w:r w:rsidR="00157D08" w:rsidRPr="00DA249F">
        <w:rPr>
          <w:lang w:val="en-GB" w:eastAsia="en-ZA"/>
        </w:rPr>
        <w:t>exert</w:t>
      </w:r>
      <w:r w:rsidRPr="00DA249F">
        <w:rPr>
          <w:lang w:val="en-GB" w:eastAsia="en-ZA"/>
        </w:rPr>
        <w:t xml:space="preserve"> a large </w:t>
      </w:r>
      <w:r w:rsidR="00157D08" w:rsidRPr="00DA249F">
        <w:rPr>
          <w:lang w:val="en-GB" w:eastAsia="en-ZA"/>
        </w:rPr>
        <w:t>influence</w:t>
      </w:r>
      <w:r w:rsidRPr="00DA249F">
        <w:rPr>
          <w:lang w:val="en-GB" w:eastAsia="en-ZA"/>
        </w:rPr>
        <w:t xml:space="preserve"> on the</w:t>
      </w:r>
      <w:r w:rsidR="0001549D" w:rsidRPr="00DA249F">
        <w:rPr>
          <w:lang w:val="en-GB" w:eastAsia="en-ZA"/>
        </w:rPr>
        <w:t xml:space="preserve"> </w:t>
      </w:r>
      <w:r w:rsidRPr="00DA249F">
        <w:rPr>
          <w:lang w:val="en-GB" w:eastAsia="en-ZA"/>
        </w:rPr>
        <w:t xml:space="preserve">establishment and spread of invasive </w:t>
      </w:r>
      <w:r w:rsidR="00731CBC" w:rsidRPr="00DA249F">
        <w:rPr>
          <w:lang w:val="en-GB" w:eastAsia="en-ZA"/>
        </w:rPr>
        <w:t xml:space="preserve">alien </w:t>
      </w:r>
      <w:r w:rsidRPr="00DA249F">
        <w:rPr>
          <w:lang w:val="en-GB" w:eastAsia="en-ZA"/>
        </w:rPr>
        <w:t>plants,</w:t>
      </w:r>
      <w:r w:rsidR="0001549D" w:rsidRPr="00DA249F">
        <w:rPr>
          <w:lang w:val="en-GB" w:eastAsia="en-ZA"/>
        </w:rPr>
        <w:t xml:space="preserve"> </w:t>
      </w:r>
      <w:r w:rsidRPr="00DA249F">
        <w:rPr>
          <w:lang w:val="en-GB" w:eastAsia="en-ZA"/>
        </w:rPr>
        <w:t>the</w:t>
      </w:r>
      <w:r w:rsidR="0001549D" w:rsidRPr="00DA249F">
        <w:rPr>
          <w:lang w:val="en-GB" w:eastAsia="en-ZA"/>
        </w:rPr>
        <w:t xml:space="preserve"> </w:t>
      </w:r>
      <w:r w:rsidRPr="00DA249F">
        <w:rPr>
          <w:lang w:val="en-GB" w:eastAsia="en-ZA"/>
        </w:rPr>
        <w:t>rate</w:t>
      </w:r>
      <w:r w:rsidR="0001549D" w:rsidRPr="00DA249F">
        <w:rPr>
          <w:lang w:val="en-GB" w:eastAsia="en-ZA"/>
        </w:rPr>
        <w:t xml:space="preserve"> </w:t>
      </w:r>
      <w:r w:rsidRPr="00DA249F">
        <w:rPr>
          <w:lang w:val="en-GB" w:eastAsia="en-ZA"/>
        </w:rPr>
        <w:t>of spread</w:t>
      </w:r>
      <w:r w:rsidR="0001549D" w:rsidRPr="00DA249F">
        <w:rPr>
          <w:lang w:val="en-GB" w:eastAsia="en-ZA"/>
        </w:rPr>
        <w:t xml:space="preserve"> </w:t>
      </w:r>
      <w:r w:rsidRPr="00DA249F">
        <w:rPr>
          <w:lang w:val="en-GB" w:eastAsia="en-ZA"/>
        </w:rPr>
        <w:t>is</w:t>
      </w:r>
      <w:r w:rsidR="0001549D" w:rsidRPr="00DA249F">
        <w:rPr>
          <w:lang w:val="en-GB" w:eastAsia="en-ZA"/>
        </w:rPr>
        <w:t xml:space="preserve"> </w:t>
      </w:r>
      <w:r w:rsidRPr="00DA249F">
        <w:rPr>
          <w:lang w:val="en-GB" w:eastAsia="en-ZA"/>
        </w:rPr>
        <w:t>often</w:t>
      </w:r>
      <w:r w:rsidR="0001549D" w:rsidRPr="00DA249F">
        <w:rPr>
          <w:lang w:val="en-GB" w:eastAsia="en-ZA"/>
        </w:rPr>
        <w:t xml:space="preserve"> </w:t>
      </w:r>
      <w:r w:rsidRPr="00DA249F">
        <w:rPr>
          <w:lang w:val="en-GB" w:eastAsia="en-ZA"/>
        </w:rPr>
        <w:t>limited</w:t>
      </w:r>
      <w:r w:rsidR="0001549D" w:rsidRPr="00DA249F">
        <w:rPr>
          <w:lang w:val="en-GB" w:eastAsia="en-ZA"/>
        </w:rPr>
        <w:t xml:space="preserve"> </w:t>
      </w:r>
      <w:r w:rsidRPr="00DA249F">
        <w:rPr>
          <w:lang w:val="en-GB" w:eastAsia="en-ZA"/>
        </w:rPr>
        <w:t>by</w:t>
      </w:r>
      <w:r w:rsidR="0001549D" w:rsidRPr="00DA249F">
        <w:rPr>
          <w:lang w:val="en-GB" w:eastAsia="en-ZA"/>
        </w:rPr>
        <w:t xml:space="preserve"> </w:t>
      </w:r>
      <w:r w:rsidRPr="00DA249F">
        <w:rPr>
          <w:lang w:val="en-GB" w:eastAsia="en-ZA"/>
        </w:rPr>
        <w:t>the availability of suitable habitat</w:t>
      </w:r>
      <w:r w:rsidR="00BF3302" w:rsidRPr="00DA249F">
        <w:rPr>
          <w:lang w:val="en-GB" w:eastAsia="en-ZA"/>
        </w:rPr>
        <w:t xml:space="preserve"> </w:t>
      </w:r>
      <w:r w:rsidR="00BA2101" w:rsidRPr="00DA249F">
        <w:rPr>
          <w:lang w:val="en-GB" w:eastAsia="en-ZA"/>
        </w:rPr>
        <w:fldChar w:fldCharType="begin"/>
      </w:r>
      <w:r w:rsidR="00331A79">
        <w:rPr>
          <w:lang w:val="en-GB" w:eastAsia="en-ZA"/>
        </w:rPr>
        <w:instrText xml:space="preserve"> ADDIN ZOTERO_ITEM CSL_CITATION {"citationID":"m4DjF8bm","properties":{"formattedCitation":"(Taylor et al., 2012)","plainCitation":"(Taylor et al., 2012)","noteIndex":0},"citationItems":[{"id":10272,"uris":["http://zotero.org/groups/2352922/items/8SBS7R2V"],"itemData":{"id":10272,"type":"article-journal","abstract":"Taylor S, Kumar L &amp; Reid N (2012). Impacts of climate change and land-use on the potential distribution of an invasive weed: a case study of Lantana camara in Australia. Weed Research.52, 391–401. Summary Lantana camara (lantana) is an extremely invasive species in many countries, including Australia. Biosecurity agencies will benefit from prior knowledge of the potential distribution of L. camara, under current and future climate scenarios. A process-based niche model for this species was developed using the CLIMEX modelling package. The potential distribution generated from this model was refined by incorporating existing land-use data in a Geographical Information System (GIS). The potential distribution of L. camara under current climate indicated that L. camara occupies almost the full extent of climatically suitable habitat available to it in Australia. Under future climate scenarios, L. camara range expands into new areas in Victoria, South Australia and Tasmania, while the northern parts of the continent become climatically unsuitable. This trend continued with the inclusion of land-use data, although with a more restricted distri-bution, as locations with suitable climate but unsuitable land-use were excluded. Weed control authorities in the new areas at risk of invasion under climate change need to be alerted to this emerging threat, so that effective response measures can be taken.","container-title":"Weed Research","DOI":"10.1111/j.1365-3180.2012.00930.x","ISSN":"1365-3180","issue":"5","language":"en","note":"_eprint: https://onlinelibrary.wiley.com/doi/pdf/10.1111/j.1365-3180.2012.00930.x","page":"391-401","source":"Wiley Online Library","title":"Impacts of climate change and land-use on the potential distribution of an invasive weed: a case study of &lt;i&gt;Lantana camara&lt;/i&gt; in Australia","title-short":"Impacts of climate change and land-use on the potential distribution of an invasive weed","URL":"https://onlinelibrary.wiley.com/doi/abs/10.1111/j.1365-3180.2012.00930.x","volume":"52","author":[{"family":"Taylor","given":"S"},{"family":"Kumar","given":"L"},{"family":"Reid","given":"N"}],"accessed":{"date-parts":[["2021",10,6]]},"issued":{"date-parts":[["2012"]]}},"label":"page"}],"schema":"https://github.com/citation-style-language/schema/raw/master/csl-citation.json"} </w:instrText>
      </w:r>
      <w:r w:rsidR="00BA2101" w:rsidRPr="00DA249F">
        <w:rPr>
          <w:lang w:val="en-GB" w:eastAsia="en-ZA"/>
        </w:rPr>
        <w:fldChar w:fldCharType="separate"/>
      </w:r>
      <w:r w:rsidR="00144D96" w:rsidRPr="00144D96">
        <w:t>(Taylor et al., 2012)</w:t>
      </w:r>
      <w:r w:rsidR="00BA2101" w:rsidRPr="00DA249F">
        <w:rPr>
          <w:lang w:val="en-GB" w:eastAsia="en-ZA"/>
        </w:rPr>
        <w:fldChar w:fldCharType="end"/>
      </w:r>
      <w:r w:rsidRPr="00DA249F">
        <w:rPr>
          <w:lang w:val="en-GB" w:eastAsia="en-ZA"/>
        </w:rPr>
        <w:t>,</w:t>
      </w:r>
      <w:r w:rsidR="0001549D" w:rsidRPr="00DA249F">
        <w:rPr>
          <w:lang w:val="en-GB" w:eastAsia="en-ZA"/>
        </w:rPr>
        <w:t xml:space="preserve"> </w:t>
      </w:r>
      <w:r w:rsidRPr="00DA249F">
        <w:rPr>
          <w:lang w:val="en-GB" w:eastAsia="en-ZA"/>
        </w:rPr>
        <w:t>such as either</w:t>
      </w:r>
      <w:r w:rsidR="0001549D" w:rsidRPr="00DA249F">
        <w:rPr>
          <w:lang w:val="en-GB" w:eastAsia="en-ZA"/>
        </w:rPr>
        <w:t xml:space="preserve"> </w:t>
      </w:r>
      <w:r w:rsidRPr="00DA249F">
        <w:rPr>
          <w:lang w:val="en-GB" w:eastAsia="en-ZA"/>
        </w:rPr>
        <w:t>cultivated</w:t>
      </w:r>
      <w:r w:rsidR="0001549D" w:rsidRPr="00DA249F">
        <w:rPr>
          <w:lang w:val="en-GB" w:eastAsia="en-ZA"/>
        </w:rPr>
        <w:t xml:space="preserve"> </w:t>
      </w:r>
      <w:r w:rsidRPr="00DA249F">
        <w:rPr>
          <w:lang w:val="en-GB" w:eastAsia="en-ZA"/>
        </w:rPr>
        <w:t>or grazed</w:t>
      </w:r>
      <w:r w:rsidR="0001549D" w:rsidRPr="00DA249F">
        <w:rPr>
          <w:lang w:val="en-GB" w:eastAsia="en-ZA"/>
        </w:rPr>
        <w:t xml:space="preserve"> </w:t>
      </w:r>
      <w:r w:rsidRPr="00DA249F">
        <w:rPr>
          <w:lang w:val="en-GB" w:eastAsia="en-ZA"/>
        </w:rPr>
        <w:t>land</w:t>
      </w:r>
      <w:r w:rsidR="0001549D" w:rsidRPr="00DA249F">
        <w:rPr>
          <w:lang w:val="en-GB" w:eastAsia="en-ZA"/>
        </w:rPr>
        <w:t xml:space="preserve"> </w:t>
      </w:r>
      <w:r w:rsidR="00EA6F5C" w:rsidRPr="00DA249F">
        <w:rPr>
          <w:lang w:val="en-GB" w:eastAsia="en-ZA"/>
        </w:rPr>
        <w:fldChar w:fldCharType="begin"/>
      </w:r>
      <w:r w:rsidR="00F5121E">
        <w:rPr>
          <w:lang w:val="en-GB" w:eastAsia="en-ZA"/>
        </w:rPr>
        <w:instrText xml:space="preserve"> ADDIN ZOTERO_ITEM CSL_CITATION {"citationID":"lvQPP6IO","properties":{"formattedCitation":"(J. V. Murray et al., 2012; L. C. Ross et al., 2008)","plainCitation":"(J. V. Murray et al., 2012; L. C. Ross et al., 2008)","noteIndex":0},"citationItems":[{"id":27044,"uris":["http://zotero.org/groups/2352922/items/TZIF43ED"],"itemData":{"id":27044,"type":"article-journal","abstract":"Climate change is likely to affect plants in multiple ways, but predicting the consequences for habitat suitability requires a process-based understanding of the interactions. This is at odds with existing approaches that are mostly phenomenological and largely restricted to predicting the effects of changing temperature and rainfall on species distributions at a coarse spatial scale. We examine the multiple effects of climate change, including predicting the effects of altered flood regimes and land-use change, on the potential distribution of the invasive riparian species lippia (Phyla canescens) across a 26 000 km2 catchment in eastern Australia. We determined habitat suitability for lippia by combining process-understanding of experts and an eco-physiological bioclimatic model within a Bayesian belief network. The bioclimatic model predicted substantial changes in habitat suitability by 2070 under both a wetter (Echam Mark 3) and drier (Hadley Centre Mark 2) climate change scenario, but only the more likely drier scenario reduced suitability in our test region. The area suitable for lippia was predicted to increase at least threefold with increased flooding under a wet climate scenario, although this would be partially negated by land-use change to cultivation. The region would become unsuitable to lippia with reduced flooding under a drier scenario irrespective of land-use changes, although existing populations would persist if grazing persisted. Independent field validation verified model structure and parameterization, and therefore the opinion of experts, but identified site-scale deficiencies in the available environmental data layers. Model predictions suggest that adaptation options for managing lippia will be greatly reduced under a drying scenario, but identify potential restoration opportunities under either scenario. This work highlights the value of predictive models that incorporate process-understanding at sufficiently fine spatial resolution to capture the important processes underpinning habitat suitability.","container-title":"Global Change Biology","DOI":"10.1111/j.1365-2486.2011.02621.x","ISSN":"1365-2486","issue":"5","language":"en","license":"© 2011 Blackwell Publishing Ltd","note":"_eprint: https://onlinelibrary.wiley.com/doi/pdf/10.1111/j.1365-2486.2011.02621.x","page":"1738-1753","source":"Wiley Online Library","title":"Predicting the potential distribution of a riparian invasive plant: the effects of changing climate, flood regimes and land-use patterns","title-short":"Predicting the potential distribution of a riparian invasive plant","URL":"https://onlinelibrary.wiley.com/doi/abs/10.1111/j.1365-2486.2011.02621.x","volume":"18","author":[{"family":"Murray","given":"Justine V."},{"family":"Stokes","given":"Kate E."},{"family":"Klinken","given":"Rieks D.","dropping-particle":"van"}],"accessed":{"date-parts":[["2021",6,18]]},"issued":{"date-parts":[["2012"]]}},"label":"page"},{"id":27179,"uris":["http://zotero.org/groups/2352922/items/JV4LYEL9"],"itemData":{"id":27179,"type":"article-journal","abstract":"Climatic warming and land use change are likely to facilitate range expansions in invasive plant species, although the ability to predict such changes requires a better mechanistic understanding of the biological limits of populations. The introduced weed Oxalis pes-caprae, a significant pest of cultivation in many Mediterranean-type ecosystems, presents a suitable case study. The species distribution in the Mediterranean Basin closely follows that of olive cultivation, limited to below 600m; yet its potential to colonise vulnerable areas at higher elevations has yet to be adequately assessed. To investigate the possibility, plant performance was assessed by experimentally sowing O. pes-caprae bulbils along an altitudinal gradient in the Lefka Ori mountains, Crete. The survivorship and bulbil biomass of the resulting plants all declined significantly with elevation, irrespective of soil type, initial bulbil size or seasonal variation. Whilst plants survived vegetatively up to 1400m, seasonal bulbil productivity, likely to be critical to population viability, exceeded that of the sown bulbil biomass only below 750m. These data indicate that the current elevation of O. pes-caprae is close to, but not at, its current climatic limit, and that low propagule pressure and scarcity of suitable habitat probably also act to limit the altitudinal distribution. Plant performance was correlated strongly with the duration of spring snow cover. Despite a 2°C difference in mean spring temperatures in the 2 years of study, the predicted elevational change was only 37m higher in the milder conditions. Overall, our results suggest that while O. pes-caprae performance is strongly linked to climate and is currently close to its climatic limit on Crete, there is limited scope for further spread unless land use and/or propagule pressure change at higher elevations. For this species, these elements are likely to be more significant drivers of invasion risk than the predicted changes of future climates.","container-title":"Perspectives in Plant Ecology, Evolution and Systematics","DOI":"10.1016/j.ppees.2008.06.001","ISSN":"1433-8319","issue":"4","journalAbbreviation":"Perspectives in Plant Ecology, Evolution and Systematics","language":"en","page":"251-258","source":"ScienceDirect","title":"Disentangling the roles of climate, propagule pressure and land use on the current and potential elevational distribution of the invasive weed &lt;i&gt;Oxalis pes-caprae&lt;/i&gt;, L. on Crete","URL":"https://www.sciencedirect.com/science/article/pii/S1433831908000516","volume":"10","author":[{"family":"Ross","given":"Louise C."},{"family":"Lambdon","given":"Philip W."},{"family":"Hulme","given":"Philip E."}],"accessed":{"date-parts":[["2021",6,18]]},"issued":{"date-parts":[["2008",10,20]]}},"label":"page"}],"schema":"https://github.com/citation-style-language/schema/raw/master/csl-citation.json"} </w:instrText>
      </w:r>
      <w:r w:rsidR="00EA6F5C" w:rsidRPr="00DA249F">
        <w:rPr>
          <w:lang w:val="en-GB" w:eastAsia="en-ZA"/>
        </w:rPr>
        <w:fldChar w:fldCharType="separate"/>
      </w:r>
      <w:r w:rsidR="00144D96" w:rsidRPr="00144D96">
        <w:t>(J. V. Murray et al., 2012; L. C. Ross et al., 2008)</w:t>
      </w:r>
      <w:r w:rsidR="00EA6F5C" w:rsidRPr="00DA249F">
        <w:rPr>
          <w:lang w:val="en-GB" w:eastAsia="en-ZA"/>
        </w:rPr>
        <w:fldChar w:fldCharType="end"/>
      </w:r>
      <w:r w:rsidR="003A368A" w:rsidRPr="00DA249F">
        <w:rPr>
          <w:lang w:val="en-GB" w:eastAsia="en-ZA"/>
        </w:rPr>
        <w:t>,</w:t>
      </w:r>
      <w:r w:rsidR="0001549D" w:rsidRPr="00DA249F">
        <w:rPr>
          <w:lang w:val="en-GB" w:eastAsia="en-ZA"/>
        </w:rPr>
        <w:t xml:space="preserve"> </w:t>
      </w:r>
      <w:r w:rsidRPr="00DA249F">
        <w:rPr>
          <w:lang w:val="en-GB" w:eastAsia="en-ZA"/>
        </w:rPr>
        <w:t xml:space="preserve">urban </w:t>
      </w:r>
      <w:r w:rsidRPr="009C1256">
        <w:rPr>
          <w:lang w:val="en-GB" w:eastAsia="en-ZA"/>
        </w:rPr>
        <w:t>areas</w:t>
      </w:r>
      <w:r w:rsidR="0001549D" w:rsidRPr="009C1256">
        <w:rPr>
          <w:lang w:val="en-GB" w:eastAsia="en-ZA"/>
        </w:rPr>
        <w:t xml:space="preserve"> </w:t>
      </w:r>
      <w:r w:rsidR="003A368A" w:rsidRPr="009C1256">
        <w:rPr>
          <w:lang w:val="en-GB" w:eastAsia="en-ZA"/>
        </w:rPr>
        <w:fldChar w:fldCharType="begin"/>
      </w:r>
      <w:r w:rsidR="00331A79">
        <w:rPr>
          <w:lang w:val="en-GB" w:eastAsia="en-ZA"/>
        </w:rPr>
        <w:instrText xml:space="preserve"> ADDIN ZOTERO_ITEM CSL_CITATION {"citationID":"B90bihCq","properties":{"formattedCitation":"(Nobis et al., 2009)","plainCitation":"(Nobis et al., 2009)","noteIndex":0},"citationItems":[{"id":10601,"uris":["http://zotero.org/groups/2352922/items/YFSWH7P4"],"itemData":{"id":10601,"type":"article-journal","abstract":"Aim Land use and climate are two major components of global environmental change but our understanding of their simultaneous and interactive effects upon biodiversity is still limited. Here, we investigated the relationship between the species richness of neophytes, i.e. non-native vascular plants introduced after 1500 AD, and environmental covariates to draw implications for future dynamics under land-use and climate change. Location Switzerland, Central Europe. Methods The distribution of vascular plants was derived from a systematic national grid of 1 km2 quadrates (n = 456; Swiss Biodiversity Monitoring programme) including 1761 species, 122 of which were neophytes. Generalized linear models (GLMs) were used to correlate neophyte species richness with environmental covariates. The impact of land-use and climate change was thereafter evaluated by projections for the years 2020 and 2050 using scenarios of moderate and strong changes for climate warming (IPCC) and urban sprawl (NRP 54). Results Mean annual temperature and the amount of urban areas explained neophyte species richness best, with a high predictive power of the corresponding model (cross-validated D2 = 0.816). Climate warming had a stronger impact on the potential increase in the mean neophyte species richness (up to 191% increase by 2050) than ongoing urban sprawl (up to 10% increase) independently from variable interactions and model extrapolations to non-analogue environments. Main conclusions In contrast to other vascular plants, the prediction of neophyte species richness at the landscape scale in Switzerland requires few variables only, and regions of highest species richness of the two groups do not coincide. The neophyte species richness is basically driven by climatic (temperature) conditions, and urban areas additionally modulate small-scale differences upon this coarse-scale pattern. According to the projections climate warming will contribute to the future increase in neophyte species richness much more than ongoing urbanization, but the gain in new neophyte species will be highest in urban regions.","container-title":"Diversity and Distributions","DOI":"10.1111/j.1472-4642.2009.00610.x","ISSN":"1472-4642","issue":"6","language":"en","license":"© 2009 Blackwell Publishing Ltd","note":"_eprint: https://onlinelibrary.wiley.com/doi/pdf/10.1111/j.1472-4642.2009.00610.x","page":"928-939","source":"Wiley Online Library","title":"Neophyte species richness at the landscape scale under urban sprawl and climate warming","URL":"https://onlinelibrary.wiley.com/doi/abs/10.1111/j.1472-4642.2009.00610.x","volume":"15","author":[{"family":"Nobis","given":"Michael P."},{"family":"Jaeger","given":"Jochen A. G."},{"family":"Zimmermann","given":"Niklaus E."}],"accessed":{"date-parts":[["2021",6,18]]},"issued":{"date-parts":[["2009"]]}},"label":"page"}],"schema":"https://github.com/citation-style-language/schema/raw/master/csl-citation.json"} </w:instrText>
      </w:r>
      <w:r w:rsidR="003A368A" w:rsidRPr="009C1256">
        <w:rPr>
          <w:lang w:val="en-GB" w:eastAsia="en-ZA"/>
        </w:rPr>
        <w:fldChar w:fldCharType="separate"/>
      </w:r>
      <w:r w:rsidR="00144D96" w:rsidRPr="00144D96">
        <w:t>(Nobis et al., 2009)</w:t>
      </w:r>
      <w:r w:rsidR="003A368A" w:rsidRPr="009C1256">
        <w:rPr>
          <w:lang w:val="en-GB" w:eastAsia="en-ZA"/>
        </w:rPr>
        <w:fldChar w:fldCharType="end"/>
      </w:r>
      <w:r w:rsidR="0001549D" w:rsidRPr="009C1256">
        <w:rPr>
          <w:lang w:val="en-GB" w:eastAsia="en-ZA"/>
        </w:rPr>
        <w:t xml:space="preserve"> </w:t>
      </w:r>
      <w:r w:rsidRPr="009C1256">
        <w:rPr>
          <w:lang w:val="en-GB" w:eastAsia="en-ZA"/>
        </w:rPr>
        <w:t>or</w:t>
      </w:r>
      <w:r w:rsidR="0001549D" w:rsidRPr="009C1256">
        <w:rPr>
          <w:lang w:val="en-GB" w:eastAsia="en-ZA"/>
        </w:rPr>
        <w:t xml:space="preserve"> </w:t>
      </w:r>
      <w:r w:rsidRPr="009C1256">
        <w:rPr>
          <w:lang w:val="en-GB" w:eastAsia="en-ZA"/>
        </w:rPr>
        <w:t>the</w:t>
      </w:r>
      <w:r w:rsidR="0001549D" w:rsidRPr="009C1256">
        <w:rPr>
          <w:lang w:val="en-GB" w:eastAsia="en-ZA"/>
        </w:rPr>
        <w:t xml:space="preserve"> </w:t>
      </w:r>
      <w:r w:rsidRPr="009C1256">
        <w:rPr>
          <w:lang w:val="en-GB" w:eastAsia="en-ZA"/>
        </w:rPr>
        <w:t>expansion of</w:t>
      </w:r>
      <w:r w:rsidR="0001549D" w:rsidRPr="009C1256">
        <w:rPr>
          <w:lang w:val="en-GB" w:eastAsia="en-ZA"/>
        </w:rPr>
        <w:t xml:space="preserve"> </w:t>
      </w:r>
      <w:r w:rsidRPr="009C1256">
        <w:rPr>
          <w:lang w:val="en-GB" w:eastAsia="en-ZA"/>
        </w:rPr>
        <w:t>native</w:t>
      </w:r>
      <w:r w:rsidR="0001549D" w:rsidRPr="009C1256">
        <w:rPr>
          <w:lang w:val="en-GB" w:eastAsia="en-ZA"/>
        </w:rPr>
        <w:t xml:space="preserve"> </w:t>
      </w:r>
      <w:r w:rsidRPr="009C1256">
        <w:rPr>
          <w:lang w:val="en-GB" w:eastAsia="en-ZA"/>
        </w:rPr>
        <w:t>ecosystems</w:t>
      </w:r>
      <w:r w:rsidR="0001549D" w:rsidRPr="009C1256">
        <w:rPr>
          <w:lang w:val="en-GB" w:eastAsia="en-ZA"/>
        </w:rPr>
        <w:t xml:space="preserve"> </w:t>
      </w:r>
      <w:r w:rsidR="00FF1C1B" w:rsidRPr="009C1256">
        <w:rPr>
          <w:lang w:val="en-GB" w:eastAsia="en-ZA"/>
        </w:rPr>
        <w:fldChar w:fldCharType="begin"/>
      </w:r>
      <w:r w:rsidR="00331A79">
        <w:rPr>
          <w:lang w:val="en-GB" w:eastAsia="en-ZA"/>
        </w:rPr>
        <w:instrText xml:space="preserve"> ADDIN ZOTERO_ITEM CSL_CITATION {"citationID":"IkU8Tsjk","properties":{"formattedCitation":"(Manzoor et al., 2021)","plainCitation":"(Manzoor et al., 2021)","noteIndex":0},"citationItems":[{"id":32941,"uris":["http://zotero.org/groups/2352922/items/DCWBJPHZ"],"itemData":{"id":32941,"type":"article-journal","container-title":"Ecological Indicators","DOI":"10.1016/j.ecolind.2020.106936","ISSN":"1470160X","journalAbbreviation":"Ecological Indicators","language":"en","page":"106936","source":"DOI.org (Crossref)","title":"Land use and climate change interaction triggers contrasting trajectories of biological invasion","URL":"https://linkinghub.elsevier.com/retrieve/pii/S1470160X2030875X","volume":"120","author":[{"family":"Manzoor","given":"Syed Amir"},{"family":"Griffiths","given":"Geoffrey"},{"family":"Lukac","given":"Martin"}],"accessed":{"date-parts":[["2021",2,22]]},"issued":{"date-parts":[["2021",1]]}},"label":"page"}],"schema":"https://github.com/citation-style-language/schema/raw/master/csl-citation.json"} </w:instrText>
      </w:r>
      <w:r w:rsidR="00FF1C1B" w:rsidRPr="009C1256">
        <w:rPr>
          <w:lang w:val="en-GB" w:eastAsia="en-ZA"/>
        </w:rPr>
        <w:fldChar w:fldCharType="separate"/>
      </w:r>
      <w:r w:rsidR="00144D96" w:rsidRPr="00144D96">
        <w:t>(Manzoor et al., 2021)</w:t>
      </w:r>
      <w:r w:rsidR="00FF1C1B" w:rsidRPr="009C1256">
        <w:rPr>
          <w:lang w:val="en-GB" w:eastAsia="en-ZA"/>
        </w:rPr>
        <w:fldChar w:fldCharType="end"/>
      </w:r>
      <w:r w:rsidR="00CC3AE9" w:rsidRPr="009C1256">
        <w:rPr>
          <w:lang w:val="en-GB" w:eastAsia="en-ZA"/>
        </w:rPr>
        <w:t>.</w:t>
      </w:r>
      <w:r w:rsidR="00957343" w:rsidRPr="009C1256">
        <w:rPr>
          <w:lang w:val="en-GB" w:eastAsia="en-ZA"/>
        </w:rPr>
        <w:t xml:space="preserve"> </w:t>
      </w:r>
      <w:r w:rsidRPr="009C1256">
        <w:rPr>
          <w:lang w:val="en-GB" w:eastAsia="en-ZA"/>
        </w:rPr>
        <w:t xml:space="preserve">Interestingly, </w:t>
      </w:r>
      <w:r w:rsidR="00BF400E" w:rsidRPr="009C1256">
        <w:rPr>
          <w:lang w:val="en-GB" w:eastAsia="en-ZA"/>
        </w:rPr>
        <w:t xml:space="preserve">in some cases, </w:t>
      </w:r>
      <w:r w:rsidRPr="009C1256">
        <w:rPr>
          <w:lang w:val="en-GB" w:eastAsia="en-ZA"/>
        </w:rPr>
        <w:t>the</w:t>
      </w:r>
      <w:r w:rsidR="0001549D" w:rsidRPr="009C1256">
        <w:rPr>
          <w:lang w:val="en-GB" w:eastAsia="en-ZA"/>
        </w:rPr>
        <w:t xml:space="preserve"> </w:t>
      </w:r>
      <w:r w:rsidR="00211401" w:rsidRPr="009C1256">
        <w:rPr>
          <w:lang w:val="en-GB" w:eastAsia="en-ZA"/>
        </w:rPr>
        <w:t>response</w:t>
      </w:r>
      <w:r w:rsidR="0001549D" w:rsidRPr="009C1256">
        <w:rPr>
          <w:lang w:val="en-GB" w:eastAsia="en-ZA"/>
        </w:rPr>
        <w:t xml:space="preserve"> </w:t>
      </w:r>
      <w:r w:rsidRPr="009C1256">
        <w:rPr>
          <w:lang w:val="en-GB" w:eastAsia="en-ZA"/>
        </w:rPr>
        <w:t xml:space="preserve">of </w:t>
      </w:r>
      <w:r w:rsidR="00937735" w:rsidRPr="009C1256">
        <w:rPr>
          <w:lang w:val="en-GB" w:eastAsia="en-ZA"/>
        </w:rPr>
        <w:t xml:space="preserve">native </w:t>
      </w:r>
      <w:r w:rsidRPr="009C1256">
        <w:rPr>
          <w:lang w:val="en-GB" w:eastAsia="en-ZA"/>
        </w:rPr>
        <w:t xml:space="preserve">vegetation </w:t>
      </w:r>
      <w:r w:rsidR="00B217C0" w:rsidRPr="009C1256">
        <w:rPr>
          <w:lang w:val="en-GB" w:eastAsia="en-ZA"/>
        </w:rPr>
        <w:t>to future climatic changes</w:t>
      </w:r>
      <w:r w:rsidR="0001549D" w:rsidRPr="009C1256">
        <w:rPr>
          <w:lang w:val="en-GB" w:eastAsia="en-ZA"/>
        </w:rPr>
        <w:t xml:space="preserve"> </w:t>
      </w:r>
      <w:r w:rsidRPr="009C1256">
        <w:rPr>
          <w:lang w:val="en-GB" w:eastAsia="en-ZA"/>
        </w:rPr>
        <w:t xml:space="preserve">can </w:t>
      </w:r>
      <w:r w:rsidR="00937735" w:rsidRPr="009C1256">
        <w:rPr>
          <w:lang w:val="en-GB" w:eastAsia="en-ZA"/>
        </w:rPr>
        <w:t>enhance</w:t>
      </w:r>
      <w:r w:rsidRPr="009C1256">
        <w:rPr>
          <w:lang w:val="en-GB" w:eastAsia="en-ZA"/>
        </w:rPr>
        <w:t xml:space="preserve"> </w:t>
      </w:r>
      <w:r w:rsidR="00937735" w:rsidRPr="009C1256">
        <w:rPr>
          <w:lang w:val="en-GB" w:eastAsia="en-ZA"/>
        </w:rPr>
        <w:t>biological</w:t>
      </w:r>
      <w:r w:rsidRPr="009C1256">
        <w:rPr>
          <w:lang w:val="en-GB" w:eastAsia="en-ZA"/>
        </w:rPr>
        <w:t xml:space="preserve"> invasions. For example,</w:t>
      </w:r>
      <w:r w:rsidR="0001549D" w:rsidRPr="009C1256">
        <w:rPr>
          <w:lang w:val="en-GB" w:eastAsia="en-ZA"/>
        </w:rPr>
        <w:t xml:space="preserve"> </w:t>
      </w:r>
      <w:r w:rsidRPr="009C1256">
        <w:rPr>
          <w:lang w:val="en-GB" w:eastAsia="en-ZA"/>
        </w:rPr>
        <w:t>a study from</w:t>
      </w:r>
      <w:r w:rsidR="0001549D" w:rsidRPr="009C1256">
        <w:rPr>
          <w:lang w:val="en-GB" w:eastAsia="en-ZA"/>
        </w:rPr>
        <w:t xml:space="preserve"> </w:t>
      </w:r>
      <w:r w:rsidRPr="009C1256">
        <w:rPr>
          <w:lang w:val="en-GB" w:eastAsia="en-ZA"/>
        </w:rPr>
        <w:t>Wales</w:t>
      </w:r>
      <w:r w:rsidR="0001549D" w:rsidRPr="009C1256">
        <w:rPr>
          <w:lang w:val="en-GB" w:eastAsia="en-ZA"/>
        </w:rPr>
        <w:t xml:space="preserve"> </w:t>
      </w:r>
      <w:r w:rsidRPr="009C1256">
        <w:rPr>
          <w:lang w:val="en-GB" w:eastAsia="en-ZA"/>
        </w:rPr>
        <w:t>found that</w:t>
      </w:r>
      <w:r w:rsidR="0001549D" w:rsidRPr="009C1256">
        <w:rPr>
          <w:lang w:val="en-GB" w:eastAsia="en-ZA"/>
        </w:rPr>
        <w:t xml:space="preserve"> </w:t>
      </w:r>
      <w:r w:rsidR="00DD529A" w:rsidRPr="009C1256">
        <w:rPr>
          <w:lang w:val="en-GB" w:eastAsia="en-ZA"/>
        </w:rPr>
        <w:t xml:space="preserve">the invasive </w:t>
      </w:r>
      <w:r w:rsidR="00245090" w:rsidRPr="009C1256">
        <w:rPr>
          <w:lang w:val="en-GB" w:eastAsia="en-ZA"/>
        </w:rPr>
        <w:t xml:space="preserve">forest understory </w:t>
      </w:r>
      <w:r w:rsidR="00DD529A" w:rsidRPr="009C1256">
        <w:rPr>
          <w:lang w:val="en-GB" w:eastAsia="en-ZA"/>
        </w:rPr>
        <w:t xml:space="preserve">shrub </w:t>
      </w:r>
      <w:r w:rsidR="00DD529A" w:rsidRPr="009C1256">
        <w:rPr>
          <w:i/>
          <w:iCs/>
          <w:lang w:val="en-GB" w:eastAsia="en-ZA"/>
        </w:rPr>
        <w:t>Rhododendron ponticum</w:t>
      </w:r>
      <w:r w:rsidR="00DD529A" w:rsidRPr="009C1256">
        <w:rPr>
          <w:lang w:val="en-GB" w:eastAsia="en-ZA"/>
        </w:rPr>
        <w:t xml:space="preserve"> </w:t>
      </w:r>
      <w:r w:rsidR="00FC4246" w:rsidRPr="009C1256">
        <w:rPr>
          <w:lang w:val="en-GB" w:eastAsia="en-ZA"/>
        </w:rPr>
        <w:t xml:space="preserve">(rhododendron) </w:t>
      </w:r>
      <w:r w:rsidR="00DD529A" w:rsidRPr="009C1256">
        <w:rPr>
          <w:lang w:val="en-GB" w:eastAsia="en-ZA"/>
        </w:rPr>
        <w:t xml:space="preserve">is likely to </w:t>
      </w:r>
      <w:r w:rsidR="00245090" w:rsidRPr="009C1256">
        <w:rPr>
          <w:lang w:val="en-GB" w:eastAsia="en-ZA"/>
        </w:rPr>
        <w:t>decline</w:t>
      </w:r>
      <w:r w:rsidR="00DD529A" w:rsidRPr="009C1256">
        <w:rPr>
          <w:lang w:val="en-GB" w:eastAsia="en-ZA"/>
        </w:rPr>
        <w:t xml:space="preserve"> under most climate and </w:t>
      </w:r>
      <w:r w:rsidR="5BBC5911" w:rsidRPr="009C1256">
        <w:rPr>
          <w:lang w:val="en-GB" w:eastAsia="en-ZA"/>
        </w:rPr>
        <w:t>land</w:t>
      </w:r>
      <w:r w:rsidR="00D43B89" w:rsidRPr="009C1256">
        <w:rPr>
          <w:lang w:val="en-GB" w:eastAsia="en-ZA"/>
        </w:rPr>
        <w:t>-</w:t>
      </w:r>
      <w:r w:rsidR="5BBC5911" w:rsidRPr="009C1256">
        <w:rPr>
          <w:lang w:val="en-GB" w:eastAsia="en-ZA"/>
        </w:rPr>
        <w:t>use</w:t>
      </w:r>
      <w:r w:rsidR="00DD529A" w:rsidRPr="009C1256">
        <w:rPr>
          <w:lang w:val="en-GB" w:eastAsia="en-ZA"/>
        </w:rPr>
        <w:t xml:space="preserve"> scenarios, </w:t>
      </w:r>
      <w:r w:rsidR="00245090" w:rsidRPr="009C1256">
        <w:rPr>
          <w:lang w:val="en-GB" w:eastAsia="en-ZA"/>
        </w:rPr>
        <w:t xml:space="preserve">largely due to declines in coniferous forest cover, </w:t>
      </w:r>
      <w:r w:rsidR="00DD529A" w:rsidRPr="009C1256">
        <w:rPr>
          <w:lang w:val="en-GB" w:eastAsia="en-ZA"/>
        </w:rPr>
        <w:t xml:space="preserve">but is projected to increase under </w:t>
      </w:r>
      <w:r w:rsidRPr="009C1256">
        <w:rPr>
          <w:lang w:val="en-GB" w:eastAsia="en-ZA"/>
        </w:rPr>
        <w:t>a</w:t>
      </w:r>
      <w:r w:rsidR="0001549D" w:rsidRPr="009C1256">
        <w:rPr>
          <w:lang w:val="en-GB" w:eastAsia="en-ZA"/>
        </w:rPr>
        <w:t xml:space="preserve"> </w:t>
      </w:r>
      <w:r w:rsidRPr="009C1256">
        <w:rPr>
          <w:lang w:val="en-GB" w:eastAsia="en-ZA"/>
        </w:rPr>
        <w:t xml:space="preserve">scenario </w:t>
      </w:r>
      <w:r w:rsidR="00B14FD8" w:rsidRPr="009C1256">
        <w:rPr>
          <w:lang w:val="en-GB" w:eastAsia="en-ZA"/>
        </w:rPr>
        <w:t>where</w:t>
      </w:r>
      <w:r w:rsidRPr="009C1256">
        <w:rPr>
          <w:lang w:val="en-GB" w:eastAsia="en-ZA"/>
        </w:rPr>
        <w:t xml:space="preserve"> </w:t>
      </w:r>
      <w:r w:rsidR="006C7AFA" w:rsidRPr="009C1256">
        <w:rPr>
          <w:lang w:val="en-GB" w:eastAsia="en-ZA"/>
        </w:rPr>
        <w:t>ecosystem conservation lead</w:t>
      </w:r>
      <w:r w:rsidR="00B14FD8" w:rsidRPr="009C1256">
        <w:rPr>
          <w:lang w:val="en-GB" w:eastAsia="en-ZA"/>
        </w:rPr>
        <w:t>s</w:t>
      </w:r>
      <w:r w:rsidR="006C7AFA" w:rsidRPr="009C1256">
        <w:rPr>
          <w:lang w:val="en-GB" w:eastAsia="en-ZA"/>
        </w:rPr>
        <w:t xml:space="preserve"> to a </w:t>
      </w:r>
      <w:r w:rsidR="00430174" w:rsidRPr="009C1256">
        <w:rPr>
          <w:lang w:val="en-GB" w:eastAsia="en-ZA"/>
        </w:rPr>
        <w:t>substantial</w:t>
      </w:r>
      <w:r w:rsidR="00DD529A" w:rsidRPr="009C1256">
        <w:rPr>
          <w:lang w:val="en-GB" w:eastAsia="en-ZA"/>
        </w:rPr>
        <w:t xml:space="preserve"> </w:t>
      </w:r>
      <w:r w:rsidRPr="009C1256">
        <w:rPr>
          <w:lang w:val="en-GB" w:eastAsia="en-ZA"/>
        </w:rPr>
        <w:t>increas</w:t>
      </w:r>
      <w:r w:rsidR="00430174" w:rsidRPr="009C1256">
        <w:rPr>
          <w:lang w:val="en-GB" w:eastAsia="en-ZA"/>
        </w:rPr>
        <w:t>e in</w:t>
      </w:r>
      <w:r w:rsidR="006F02BA" w:rsidRPr="009C1256">
        <w:rPr>
          <w:lang w:val="en-GB" w:eastAsia="en-ZA"/>
        </w:rPr>
        <w:t xml:space="preserve"> </w:t>
      </w:r>
      <w:r w:rsidR="006C7AFA" w:rsidRPr="009C1256">
        <w:rPr>
          <w:lang w:val="en-GB" w:eastAsia="en-ZA"/>
        </w:rPr>
        <w:t xml:space="preserve">coniferous </w:t>
      </w:r>
      <w:r w:rsidRPr="009C1256">
        <w:rPr>
          <w:lang w:val="en-GB" w:eastAsia="en-ZA"/>
        </w:rPr>
        <w:t>forest cover</w:t>
      </w:r>
      <w:r w:rsidR="006F02BA" w:rsidRPr="009C1256">
        <w:rPr>
          <w:lang w:val="en-GB" w:eastAsia="en-ZA"/>
        </w:rPr>
        <w:t xml:space="preserve"> </w:t>
      </w:r>
      <w:r w:rsidR="00FD1179" w:rsidRPr="009C1256">
        <w:rPr>
          <w:lang w:val="en-GB" w:eastAsia="en-ZA"/>
        </w:rPr>
        <w:fldChar w:fldCharType="begin"/>
      </w:r>
      <w:r w:rsidR="00331A79">
        <w:rPr>
          <w:lang w:val="en-GB" w:eastAsia="en-ZA"/>
        </w:rPr>
        <w:instrText xml:space="preserve"> ADDIN ZOTERO_ITEM CSL_CITATION {"citationID":"hdWpbgFZ","properties":{"formattedCitation":"(Manzoor et al., 2021)","plainCitation":"(Manzoor et al., 2021)","noteIndex":0},"citationItems":[{"id":32941,"uris":["http://zotero.org/groups/2352922/items/DCWBJPHZ"],"itemData":{"id":32941,"type":"article-journal","container-title":"Ecological Indicators","DOI":"10.1016/j.ecolind.2020.106936","ISSN":"1470160X","journalAbbreviation":"Ecological Indicators","language":"en","page":"106936","source":"DOI.org (Crossref)","title":"Land use and climate change interaction triggers contrasting trajectories of biological invasion","URL":"https://linkinghub.elsevier.com/retrieve/pii/S1470160X2030875X","volume":"120","author":[{"family":"Manzoor","given":"Syed Amir"},{"family":"Griffiths","given":"Geoffrey"},{"family":"Lukac","given":"Martin"}],"accessed":{"date-parts":[["2021",2,22]]},"issued":{"date-parts":[["2021",1]]}},"label":"page"}],"schema":"https://github.com/citation-style-language/schema/raw/master/csl-citation.json"} </w:instrText>
      </w:r>
      <w:r w:rsidR="00FD1179" w:rsidRPr="009C1256">
        <w:rPr>
          <w:lang w:val="en-GB" w:eastAsia="en-ZA"/>
        </w:rPr>
        <w:fldChar w:fldCharType="separate"/>
      </w:r>
      <w:r w:rsidR="00144D96" w:rsidRPr="00144D96">
        <w:t>(Manzoor et al., 2021)</w:t>
      </w:r>
      <w:r w:rsidR="00FD1179" w:rsidRPr="009C1256">
        <w:rPr>
          <w:lang w:val="en-GB" w:eastAsia="en-ZA"/>
        </w:rPr>
        <w:fldChar w:fldCharType="end"/>
      </w:r>
      <w:r w:rsidRPr="009C1256">
        <w:rPr>
          <w:lang w:val="en-GB" w:eastAsia="en-ZA"/>
        </w:rPr>
        <w:t>.</w:t>
      </w:r>
      <w:r w:rsidR="0001549D" w:rsidRPr="009C1256">
        <w:rPr>
          <w:lang w:val="en-GB" w:eastAsia="en-ZA"/>
        </w:rPr>
        <w:t xml:space="preserve"> </w:t>
      </w:r>
    </w:p>
    <w:p w14:paraId="50243494" w14:textId="5FDB77F8" w:rsidR="00EF2CAB" w:rsidRPr="009C1256" w:rsidRDefault="00A840DC" w:rsidP="0090109B">
      <w:pPr>
        <w:rPr>
          <w:lang w:val="en-GB"/>
        </w:rPr>
      </w:pPr>
      <w:r w:rsidRPr="009C1256">
        <w:rPr>
          <w:lang w:val="en-GB"/>
        </w:rPr>
        <w:t>Increased fire activity may act synergistically with other climatic and land</w:t>
      </w:r>
      <w:r w:rsidR="00DE124F" w:rsidRPr="009C1256">
        <w:rPr>
          <w:lang w:val="en-GB"/>
        </w:rPr>
        <w:t>-</w:t>
      </w:r>
      <w:r w:rsidRPr="009C1256">
        <w:rPr>
          <w:lang w:val="en-GB"/>
        </w:rPr>
        <w:t xml:space="preserve">use changes to drive the establishment and spread of invasive alien plant species </w:t>
      </w:r>
      <w:r w:rsidR="00CA0C6B" w:rsidRPr="009C1256">
        <w:rPr>
          <w:lang w:val="en-GB"/>
        </w:rPr>
        <w:t>(</w:t>
      </w:r>
      <w:r w:rsidRPr="008C24B4">
        <w:rPr>
          <w:b/>
          <w:iCs/>
          <w:lang w:val="en-GB"/>
        </w:rPr>
        <w:t>section</w:t>
      </w:r>
      <w:r w:rsidR="00FF4AAC" w:rsidRPr="008C24B4">
        <w:rPr>
          <w:b/>
          <w:iCs/>
          <w:lang w:val="en-GB"/>
        </w:rPr>
        <w:t>s</w:t>
      </w:r>
      <w:r w:rsidRPr="008C24B4">
        <w:rPr>
          <w:b/>
          <w:iCs/>
          <w:lang w:val="en-GB"/>
        </w:rPr>
        <w:t xml:space="preserve"> 3.3.1.</w:t>
      </w:r>
      <w:r w:rsidR="004A107E" w:rsidRPr="008C24B4">
        <w:rPr>
          <w:b/>
          <w:iCs/>
          <w:lang w:val="en-GB"/>
        </w:rPr>
        <w:t>5.2</w:t>
      </w:r>
      <w:r w:rsidR="00C02FCD" w:rsidRPr="008C24B4">
        <w:rPr>
          <w:iCs/>
          <w:lang w:val="en-GB"/>
        </w:rPr>
        <w:t>,</w:t>
      </w:r>
      <w:r w:rsidRPr="008C24B4">
        <w:rPr>
          <w:b/>
          <w:iCs/>
          <w:lang w:val="en-GB"/>
        </w:rPr>
        <w:t xml:space="preserve"> 3.3.4</w:t>
      </w:r>
      <w:r w:rsidRPr="009C1256">
        <w:rPr>
          <w:lang w:val="en-GB"/>
        </w:rPr>
        <w:t>). For example, interaction</w:t>
      </w:r>
      <w:r w:rsidR="00CA5A89" w:rsidRPr="009C1256">
        <w:rPr>
          <w:lang w:val="en-GB"/>
        </w:rPr>
        <w:t>s</w:t>
      </w:r>
      <w:r w:rsidRPr="009C1256">
        <w:rPr>
          <w:lang w:val="en-GB"/>
        </w:rPr>
        <w:t xml:space="preserve"> among increased temperature, </w:t>
      </w:r>
      <w:r w:rsidR="00893B73" w:rsidRPr="009C1256">
        <w:rPr>
          <w:lang w:val="en-GB"/>
        </w:rPr>
        <w:t>decreased</w:t>
      </w:r>
      <w:r w:rsidRPr="009C1256">
        <w:rPr>
          <w:lang w:val="en-GB"/>
        </w:rPr>
        <w:t xml:space="preserve"> precipitation and more frequent fires </w:t>
      </w:r>
      <w:r w:rsidR="000C452A">
        <w:rPr>
          <w:lang w:val="en-GB"/>
        </w:rPr>
        <w:t>in recent</w:t>
      </w:r>
      <w:r w:rsidRPr="009C1256">
        <w:rPr>
          <w:lang w:val="en-GB"/>
        </w:rPr>
        <w:t xml:space="preserve"> decades have driven an upward spread of fire-adapted C4 invasive </w:t>
      </w:r>
      <w:r w:rsidR="00CA5A89" w:rsidRPr="009C1256">
        <w:rPr>
          <w:lang w:val="en-GB"/>
        </w:rPr>
        <w:t xml:space="preserve">alien </w:t>
      </w:r>
      <w:r w:rsidRPr="009C1256">
        <w:rPr>
          <w:lang w:val="en-GB"/>
        </w:rPr>
        <w:t xml:space="preserve">grasses (e.g., </w:t>
      </w:r>
      <w:r w:rsidRPr="009C1256">
        <w:rPr>
          <w:i/>
          <w:lang w:val="en-GB"/>
        </w:rPr>
        <w:t>Melinis minutiflora</w:t>
      </w:r>
      <w:r w:rsidR="00FC4246" w:rsidRPr="009C1256">
        <w:rPr>
          <w:i/>
          <w:lang w:val="en-GB"/>
        </w:rPr>
        <w:t xml:space="preserve"> </w:t>
      </w:r>
      <w:r w:rsidR="00FC4246" w:rsidRPr="009C1256">
        <w:rPr>
          <w:lang w:val="en-GB"/>
        </w:rPr>
        <w:t>(</w:t>
      </w:r>
      <w:r w:rsidRPr="009C1256">
        <w:rPr>
          <w:lang w:val="en-GB"/>
        </w:rPr>
        <w:t>molasses grass</w:t>
      </w:r>
      <w:r w:rsidR="00FC4246" w:rsidRPr="009C1256">
        <w:rPr>
          <w:lang w:val="en-GB"/>
        </w:rPr>
        <w:t>)</w:t>
      </w:r>
      <w:r w:rsidRPr="009C1256">
        <w:rPr>
          <w:lang w:val="en-GB"/>
        </w:rPr>
        <w:t xml:space="preserve">) along an elevation gradient in Hawaii </w:t>
      </w:r>
      <w:r w:rsidRPr="009C1256">
        <w:rPr>
          <w:lang w:val="en-GB"/>
        </w:rPr>
        <w:fldChar w:fldCharType="begin"/>
      </w:r>
      <w:r w:rsidR="00331A79">
        <w:rPr>
          <w:lang w:val="en-GB"/>
        </w:rPr>
        <w:instrText xml:space="preserve"> ADDIN ZOTERO_ITEM CSL_CITATION {"citationID":"1cxnjkUX","properties":{"formattedCitation":"(Angelo &amp; Daehler, 2013)","plainCitation":"(Angelo &amp; Daehler, 2013)","noteIndex":0},"citationItems":[{"id":15395,"uris":["http://zotero.org/groups/2352922/items/BHDGMH53"],"itemData":{"id":15395,"type":"article-journal","container-title":"Ecography","DOI":"10.1111/j.1600-0587.2012.07754.x","ISSN":"09067590","issue":"5","journalAbbreviation":"Ecography","language":"en","page":"551-559","source":"DOI.org (Crossref)","title":"Upward expansion of fire-adapted grasses along a warming tropical elevation gradient","URL":"http://doi.wiley.com/10.1111/j.1600-0587.2012.07754.x","volume":"36","author":[{"family":"Angelo","given":"Courtney L."},{"family":"Daehler","given":"Curtis C."}],"accessed":{"date-parts":[["2019",9,27]]},"issued":{"date-parts":[["2013",5]]}},"label":"page"}],"schema":"https://github.com/citation-style-language/schema/raw/master/csl-citation.json"} </w:instrText>
      </w:r>
      <w:r w:rsidRPr="009C1256">
        <w:rPr>
          <w:lang w:val="en-GB"/>
        </w:rPr>
        <w:fldChar w:fldCharType="separate"/>
      </w:r>
      <w:r w:rsidR="00144D96" w:rsidRPr="00144D96">
        <w:t>(Angelo &amp; Daehler, 2013)</w:t>
      </w:r>
      <w:r w:rsidRPr="009C1256">
        <w:rPr>
          <w:lang w:val="en-GB"/>
        </w:rPr>
        <w:fldChar w:fldCharType="end"/>
      </w:r>
      <w:r w:rsidRPr="009C1256">
        <w:rPr>
          <w:lang w:val="en-GB"/>
        </w:rPr>
        <w:t xml:space="preserve">. Higher atmospheric </w:t>
      </w:r>
      <w:r w:rsidR="00265BC6" w:rsidRPr="009C1256">
        <w:rPr>
          <w:lang w:val="en-GB"/>
        </w:rPr>
        <w:t>CO</w:t>
      </w:r>
      <w:r w:rsidR="00265BC6" w:rsidRPr="009C1256">
        <w:rPr>
          <w:vertAlign w:val="subscript"/>
          <w:lang w:val="en-GB"/>
        </w:rPr>
        <w:t>2</w:t>
      </w:r>
      <w:r w:rsidR="00265BC6" w:rsidRPr="009C1256">
        <w:rPr>
          <w:lang w:val="en-GB"/>
        </w:rPr>
        <w:t xml:space="preserve"> </w:t>
      </w:r>
      <w:r w:rsidRPr="009C1256">
        <w:rPr>
          <w:lang w:val="en-GB"/>
        </w:rPr>
        <w:t xml:space="preserve">levels have increased the productivity of invasive </w:t>
      </w:r>
      <w:r w:rsidR="00CA5A89" w:rsidRPr="009C1256">
        <w:rPr>
          <w:lang w:val="en-GB"/>
        </w:rPr>
        <w:t xml:space="preserve">alien </w:t>
      </w:r>
      <w:r w:rsidRPr="009C1256">
        <w:rPr>
          <w:lang w:val="en-GB"/>
        </w:rPr>
        <w:t xml:space="preserve">annual grasses in the western United States </w:t>
      </w:r>
      <w:r w:rsidRPr="009C1256">
        <w:rPr>
          <w:lang w:val="en-GB"/>
        </w:rPr>
        <w:fldChar w:fldCharType="begin"/>
      </w:r>
      <w:r w:rsidR="00F5121E">
        <w:rPr>
          <w:lang w:val="en-GB"/>
        </w:rPr>
        <w:instrText xml:space="preserve"> ADDIN ZOTERO_ITEM CSL_CITATION {"citationID":"YrfBDj5S","properties":{"formattedCitation":"(Ziska et al., 2005)","plainCitation":"(Ziska et al., 2005)","noteIndex":0},"citationItems":[{"id":12353,"uris":["http://zotero.org/groups/2352922/items/FG84MUQQ"],"itemData":{"id":12353,"type":"article-journal","abstract":"Cheatgrass (Bromus tectorum) is a recognized, invasive annual weed of the western United States that reduces fire return times from decades to less than 5 years. To determine the interaction between rising carbon dioxide concentration ([CO2]) and fuel load, we characterized potential changes in biomass accumulation, C : N ratio and digestibility of three cheatgrass populations from different elevations to recent and near-term projections in atmospheric [CO2]. The experimental CO2 values (270, 320, 370, 420 μmol mol−1) corresponded roughly to the CO2 concentrations that existed at the beginning of the 19th century, that during the 1960s, the current [CO2], and the near-term [CO2] projection for 2020, respectively. From 25 until 87 days after sowing (DAS), aboveground biomass for these different populations increased 1.5–2.7 g per plant for every 10 μmol mol−1 increase above the 270 μmol mol−1 preindustrial baseline. CO2 sensitivity among populations varied with elevational origin with populations from the lowest elevation showing the greatest productivity. Among all populations, the undigestible portion of aboveground plant material (acid detergent fiber ADF, mostly cellulose and lignin) increased with increasing [CO2]. In addition, the ratio of C : N increased with leaf age, with [CO2] and was highest for the lower elevational population. These CO2-induced qualitative changes could, in turn, result in potential decreases in herbivory and decomposition with subsequent effects on the aboveground retention of cheatgrass biomass. Overall, these data suggest that increasing atmospheric [CO2] above preambient levels may have contributed significantly to cheatgrass productivity and fuel load with subsequent effects on fire frequency and intensity.","container-title":"Global Change Biology","DOI":"10.1111/j.1365-2486.2005.00992.x","ISSN":"1365-2486","issue":"8","journalAbbreviation":"Global Change Biol","language":"en","page":"1325-1332","source":"Wiley Online Library","title":"The impact of recent increases in atmospheric CO&lt;sub&gt;2&lt;/sub&gt; on biomass production and vegetative retention of Cheatgrass (&lt;i&gt;Bromus tectorum&lt;/i&gt;): implications for fire disturbance","title-short":"The impact of recent increases in atmospheric CO2 on biomass production and vegetative retention of Cheatgrass (Bromus tectorum)","URL":"https://onlinelibrary.wiley.com/doi/abs/10.1111/j.1365-2486.2005.00992.x","volume":"11","author":[{"family":"Ziska","given":"L. H."},{"family":"Reeves","given":"J. B."},{"family":"Blank","given":"B."}],"accessed":{"date-parts":[["2019",9,20]]},"issued":{"date-parts":[["2005"]]}},"label":"page"}],"schema":"https://github.com/citation-style-language/schema/raw/master/csl-citation.json"} </w:instrText>
      </w:r>
      <w:r w:rsidRPr="009C1256">
        <w:rPr>
          <w:lang w:val="en-GB"/>
        </w:rPr>
        <w:fldChar w:fldCharType="separate"/>
      </w:r>
      <w:r w:rsidR="00144D96" w:rsidRPr="00144D96">
        <w:t>(Ziska et al., 2005)</w:t>
      </w:r>
      <w:r w:rsidRPr="009C1256">
        <w:rPr>
          <w:lang w:val="en-GB"/>
        </w:rPr>
        <w:fldChar w:fldCharType="end"/>
      </w:r>
      <w:r w:rsidRPr="009C1256">
        <w:rPr>
          <w:lang w:val="en-GB"/>
        </w:rPr>
        <w:t xml:space="preserve"> and are predicted to favour the post-fire growth of African</w:t>
      </w:r>
      <w:r w:rsidR="00F52BF6">
        <w:rPr>
          <w:lang w:val="en-GB"/>
        </w:rPr>
        <w:t xml:space="preserve"> invasive alien</w:t>
      </w:r>
      <w:r w:rsidRPr="009C1256">
        <w:rPr>
          <w:lang w:val="en-GB"/>
        </w:rPr>
        <w:t xml:space="preserve"> grasses to the detriment of Australian</w:t>
      </w:r>
      <w:r w:rsidR="00774DA1">
        <w:rPr>
          <w:lang w:val="en-GB"/>
        </w:rPr>
        <w:t xml:space="preserve"> native</w:t>
      </w:r>
      <w:r w:rsidRPr="009C1256">
        <w:rPr>
          <w:lang w:val="en-GB"/>
        </w:rPr>
        <w:t xml:space="preserve"> grasses </w:t>
      </w:r>
      <w:r w:rsidRPr="009C1256">
        <w:rPr>
          <w:lang w:val="en-GB"/>
        </w:rPr>
        <w:fldChar w:fldCharType="begin"/>
      </w:r>
      <w:r w:rsidR="00331A79">
        <w:rPr>
          <w:lang w:val="en-GB"/>
        </w:rPr>
        <w:instrText xml:space="preserve"> ADDIN ZOTERO_ITEM CSL_CITATION {"citationID":"AoBz9v5L","properties":{"formattedCitation":"(Tooth &amp; Leishman, 2014)","plainCitation":"(Tooth &amp; Leishman, 2014)","noteIndex":0},"citationItems":[{"id":15408,"uris":["http://zotero.org/groups/2352922/items/IZ5INB82"],"itemData":{"id":15408,"type":"article-journal","abstract":"Invasive exotic grasses are known to increase fire severity and frequency in a number of fire prone systems. If elevated atmospheric carbon dioxide (CO2) increases growth rates and biomass production of these grasses, or increases their competitive ability, fire regimes may be further affected with detrimental consequences for native vegetation composition and diversity. Mesocosms containing three invasive exotic C4 grasses (Andropogon gayanus, Cenchrus polystachios, Cenchrus ciliaris), and three native C4 grasses (Heteropogon triticeus, Heteropogon contortus, Eriachne triseta), all from savanna woodlands of northern Australia, were grown as mixtures in field soil in glasshouses under elevated (700 ppm) and ambient (385 ppm) CO2, burnt and assessed for resprouting response. We found no effect of elevated CO2 on community biomass, however biomass of the invasive exotic grasses was much greater than that of native grasses at both CO2 concentrations. Species’ responses to elevated CO2 were varied. Two native grasses (H. triticeus and H. contortus) had significantly less biomass under elevated compared with ambient CO2 after burning, indicating an effect of elevated CO2 on resprouting response of these species when grown in competition. These results suggest that although overall productivity of this community may not change with increases in CO2 and fire frequency, community composition and species interactions in this fire-prone community may alter, shifting to a more exotic-dominated community and potentially resulting in an intensified fire frequency due to positive feedbacks.","container-title":"Biological Invasions","DOI":"10.1007/s10530-013-0448-5","ISSN":"1573-1464","issue":"2","journalAbbreviation":"Biol Invasions","language":"en","page":"257-268","source":"Springer Link","title":"Elevated carbon dioxide and fire reduce biomass of native grass species when grown in competition with invasive exotic grasses in a savanna experimental system","URL":"https://doi.org/10.1007/s10530-013-0448-5","volume":"16","author":[{"family":"Tooth","given":"Ifeanna M."},{"family":"Leishman","given":"Michelle R."}],"accessed":{"date-parts":[["2019",9,26]]},"issued":{"date-parts":[["2014",2,1]]}},"label":"page"}],"schema":"https://github.com/citation-style-language/schema/raw/master/csl-citation.json"} </w:instrText>
      </w:r>
      <w:r w:rsidRPr="009C1256">
        <w:rPr>
          <w:lang w:val="en-GB"/>
        </w:rPr>
        <w:fldChar w:fldCharType="separate"/>
      </w:r>
      <w:r w:rsidR="00144D96" w:rsidRPr="00144D96">
        <w:t>(Tooth &amp; Leishman, 2014)</w:t>
      </w:r>
      <w:r w:rsidRPr="009C1256">
        <w:rPr>
          <w:lang w:val="en-GB"/>
        </w:rPr>
        <w:fldChar w:fldCharType="end"/>
      </w:r>
      <w:r w:rsidRPr="009C1256">
        <w:rPr>
          <w:lang w:val="en-GB"/>
        </w:rPr>
        <w:t xml:space="preserve">. </w:t>
      </w:r>
      <w:r w:rsidR="008C6F8B">
        <w:rPr>
          <w:lang w:val="en-GB"/>
        </w:rPr>
        <w:t>In the future, w</w:t>
      </w:r>
      <w:r w:rsidRPr="009C1256">
        <w:rPr>
          <w:lang w:val="en-GB"/>
        </w:rPr>
        <w:t xml:space="preserve">armer minimum temperatures and other climatic changes </w:t>
      </w:r>
      <w:r w:rsidR="00A65BFF">
        <w:rPr>
          <w:lang w:val="en-GB"/>
        </w:rPr>
        <w:t>in</w:t>
      </w:r>
      <w:r w:rsidRPr="009C1256">
        <w:rPr>
          <w:lang w:val="en-GB"/>
        </w:rPr>
        <w:t xml:space="preserve"> </w:t>
      </w:r>
      <w:r w:rsidR="00F52BF6">
        <w:rPr>
          <w:lang w:val="en-GB"/>
        </w:rPr>
        <w:t xml:space="preserve">the western United States </w:t>
      </w:r>
      <w:r w:rsidRPr="009C1256">
        <w:rPr>
          <w:lang w:val="en-GB"/>
        </w:rPr>
        <w:t xml:space="preserve">may also favour the establishment and spread of fire-adapted invasive </w:t>
      </w:r>
      <w:r w:rsidR="008C6F8B">
        <w:rPr>
          <w:lang w:val="en-GB"/>
        </w:rPr>
        <w:t xml:space="preserve">alien </w:t>
      </w:r>
      <w:r w:rsidRPr="009C1256">
        <w:rPr>
          <w:lang w:val="en-GB"/>
        </w:rPr>
        <w:t xml:space="preserve">grasses in previously unsuitable sites </w:t>
      </w:r>
      <w:r w:rsidRPr="009C1256">
        <w:rPr>
          <w:lang w:val="en-GB"/>
        </w:rPr>
        <w:fldChar w:fldCharType="begin"/>
      </w:r>
      <w:r w:rsidR="00331A79">
        <w:rPr>
          <w:lang w:val="en-GB"/>
        </w:rPr>
        <w:instrText xml:space="preserve"> ADDIN ZOTERO_ITEM CSL_CITATION {"citationID":"l5wHzzo5","properties":{"formattedCitation":"(Abatzoglou &amp; Kolden, 2011; Martin et al., 2015)","plainCitation":"(Abatzoglou &amp; Kolden, 2011; Martin et al., 2015)","noteIndex":0},"citationItems":[{"id":23526,"uris":["http://zotero.org/groups/2352922/items/3XCCATCT"],"itemData":{"id":23526,"type":"article-journal","abstract":"Anthropogenic climate change is hypothesized to modify the spread of invasive annual grasses across the deserts of the western United States. The influence of climate change on future invasions depends on both climate suitability that defines a potential species range and the mechanisms that facilitate invasions and contractions. A suite of downscaled climate projections for the mid–21st century was used to examine changes in physically based mechanisms, including critical physiological temperature thresholds, the timing and availability of moisture, and the potential for large wildfires. Results suggest widespread changes in 1) the length of the freeze-free season that may favor cold-intolerant annual grasses, 2) changes in the frequency of wet winters that may alter the potential for establishment of invasive annual grasses, and 3) an earlier onset of fire season and a lengthening of the window during which conditions are conducive to fire ignition and growth furthering the fire-invasive feedback loop. We propose that a coupled approach combining bioclimatic envelope modeling with mechanistic modeling targeted to a given species can help land managers identify locations and species that pose the highest level of overall risk of conversion associated with the multiple stressors of climate change.","container-title":"Rangeland Ecology &amp; Management","DOI":"10.2111/REM-D-09-00151.1","ISSN":"15507424","issue":"5","journalAbbreviation":"Rangeland Ecology &amp; Management","language":"en","page":"471-478","source":"DOI.org (Crossref)","title":"Climate Change in Western US Deserts: Potential for Increased Wildfire and Invasive Annual Grasses","title-short":"Climate Change in Western US Deserts","URL":"https://doi.org/10.2111/REM-D-09-00151.1","volume":"64","author":[{"family":"Abatzoglou","given":"John T."},{"family":"Kolden","given":"Crystal A."}],"accessed":{"date-parts":[["2019",9,26]]},"issued":{"date-parts":[["2011",9]]}},"label":"page"},{"id":21840,"uris":["http://zotero.org/groups/2352922/items/JZCHE2VX"],"itemData":{"id":21840,"type":"article-journal","abstract":"Invasive species pose a substantial risk to native biodiversity. As distributions of invasive species shift in response to changes in climate so will management priorities and investment. To develop cost-effective invasive species management strategies into the future it is necessary to understand how species distributions are likely to change over time and space. For most species however, few data are available on their current distributions, let alone projected future distributions. We demonstrate the benefits of Bayesian Networks (BNs) for projecting distributions of invasive species under various climate futures, when empirical data are lacking. Using the introduced pasture species, buffel grass (Cenchrus ciliaris) in Australia as an example, we employ a framework by which expert knowledge and available empirical data are used to build a BN. The framework models the susceptibility and suitability of the Australian continent to buffel grass colonization using three invasion requirements; the introduction of plant propagules to a site, the establishment of new plants at a site, and the persistence of established, reproducing populations. Our results highlight the potential for buffel grass management to become increasingly important in the southern part of the continent, whereas in the north conditions are projected to become less suitable. With respect to biodiversity impacts, our modelling suggests that the risk of buffel grass invasion within Australia’s National Reserve System is likely to increase with climate change as a result of the high number of reserves located in the central and southern portion of the continent. In situations where data are limited, we find BNs to be a flexible and inexpensive tool for incorporating existing process-understanding alongside bioclimatic and edaphic variables for projecting future distributions of species invasions.","container-title":"Biological Invasions","DOI":"10.1007/s10530-015-0945-9","ISSN":"1573-1464","issue":"11","journalAbbreviation":"Biol Invasions","language":"en","page":"3197-3210","source":"Springer Link","title":"Buffel grass and climate change: a framework for projecting invasive species distributions when data are scarce","title-short":"Buffel grass and climate change","URL":"https://doi.org/10.1007/s10530-015-0945-9","volume":"17","author":[{"family":"Martin","given":"Tara G."},{"family":"Murphy","given":"Helen"},{"family":"Liedloff","given":"Adam"},{"family":"Thomas","given":"Colette"},{"family":"Chadès","given":"Iadine"},{"family":"Cook","given":"Garry"},{"family":"Fensham","given":"Rod"},{"family":"McIvor","given":"John"},{"family":"Klinken","given":"Rieks D.","non-dropping-particle":"van"}],"accessed":{"date-parts":[["2020",3,23]]},"issued":{"date-parts":[["2015"]]}},"label":"page"}],"schema":"https://github.com/citation-style-language/schema/raw/master/csl-citation.json"} </w:instrText>
      </w:r>
      <w:r w:rsidRPr="009C1256">
        <w:rPr>
          <w:lang w:val="en-GB"/>
        </w:rPr>
        <w:fldChar w:fldCharType="separate"/>
      </w:r>
      <w:r w:rsidR="00144D96" w:rsidRPr="00144D96">
        <w:t>(Abatzoglou &amp; Kolden, 2011; Martin et al., 2015)</w:t>
      </w:r>
      <w:r w:rsidRPr="009C1256">
        <w:rPr>
          <w:lang w:val="en-GB"/>
        </w:rPr>
        <w:fldChar w:fldCharType="end"/>
      </w:r>
      <w:r w:rsidRPr="009C1256">
        <w:rPr>
          <w:lang w:val="en-GB"/>
        </w:rPr>
        <w:t>, although contractions of suitable habitat may</w:t>
      </w:r>
      <w:r w:rsidR="008B4DDC">
        <w:rPr>
          <w:lang w:val="en-GB"/>
        </w:rPr>
        <w:t xml:space="preserve"> also</w:t>
      </w:r>
      <w:r w:rsidRPr="009C1256">
        <w:rPr>
          <w:lang w:val="en-GB"/>
        </w:rPr>
        <w:t xml:space="preserve"> occur due to more extreme drought conditions </w:t>
      </w:r>
      <w:r w:rsidRPr="009C1256">
        <w:rPr>
          <w:lang w:val="en-GB"/>
        </w:rPr>
        <w:fldChar w:fldCharType="begin"/>
      </w:r>
      <w:r w:rsidR="00331A79">
        <w:rPr>
          <w:lang w:val="en-GB"/>
        </w:rPr>
        <w:instrText xml:space="preserve"> ADDIN ZOTERO_ITEM CSL_CITATION {"citationID":"dik9mri8","properties":{"formattedCitation":"(Albuquerque et al., 2019)","plainCitation":"(Albuquerque et al., 2019)","noteIndex":0},"citationItems":[{"id":21841,"uris":["http://zotero.org/groups/2352922/items/6DI7HHYV"],"itemData":{"id":21841,"type":"article-journal","abstract":"In the last decades, more than six hundred exotic species have become established throughout the region of the southwestern United States and northwestern Mexico, including the African buffelgrass (Cenchrus ciliaris L.). Buffelgrass often causes negative impacts on natural ecosystems and it is considered a highly invasive species in many parts of the world. We used 18,550 records from 260 datasets and species distribution modeling (SDM) to provide support for the climatically based and topographic hypotheses, which claim that current climate and topography affect species distribution patterns of plants. We also investigated (1) the geographical distribution of habitat suitability across biotic communities of the Southwest United States and northern Mexico, (2) the association between habitat suitability, climate variables and topography, and (3) the potential effects of climate change on the future distribution of buffelgrass. We found that the geographic pattern of suitability in the southwest generally increases west- and southward, with some high suitability areas also occurring in southern areas of Arizona, USA, and across the state of Sonora, Mexico. We observed that mean temperature and annual precipitation explain spatial variation in suitability better than other climatic and non-climatic variables. Climate change models indicated significant opportunities for contraction across the buffelgrass’ range and fewer for range expansion. In all scenarios, SDMs predicted a high contraction of suitable habitat. Most of these contractions would occur in portions of the Sonoran Desert and the foothills of the Sierra Madre Occidental. We show, for the first time, the potential changes in buffelgrass habitat suitability across major biomes of the Southwest region, under future climate change scenarios.","container-title":"Biological Invasions","DOI":"10.1007/s10530-019-02050-5","ISSN":"1573-1464","issue":"11","journalAbbreviation":"Biol Invasions","language":"en","page":"3335-3347","source":"Springer Link","title":"Climate change and the potential expansion of buffelgrass (&lt;i&gt;Cenchrus ciliaris&lt;/i&gt; L., Poaceae) in biotic communities of Southwest United States and northern Mexico","URL":"https://doi.org/10.1007/s10530-019-02050-5","volume":"21","author":[{"family":"Albuquerque","given":"Fábio Suzart"},{"family":"Macías-Rodríguez","given":"Miguel Ángel"},{"family":"Búrquez","given":"Alberto"},{"family":"Astudillo-Scalia","given":"Yaiyr"}],"accessed":{"date-parts":[["2020",3,23]]},"issued":{"date-parts":[["2019",11,1]]}},"label":"page"}],"schema":"https://github.com/citation-style-language/schema/raw/master/csl-citation.json"} </w:instrText>
      </w:r>
      <w:r w:rsidRPr="009C1256">
        <w:rPr>
          <w:lang w:val="en-GB"/>
        </w:rPr>
        <w:fldChar w:fldCharType="separate"/>
      </w:r>
      <w:r w:rsidR="00144D96" w:rsidRPr="00144D96">
        <w:t>(Albuquerque et al., 2019)</w:t>
      </w:r>
      <w:r w:rsidRPr="009C1256">
        <w:rPr>
          <w:lang w:val="en-GB"/>
        </w:rPr>
        <w:fldChar w:fldCharType="end"/>
      </w:r>
      <w:r w:rsidRPr="009C1256">
        <w:rPr>
          <w:lang w:val="en-GB"/>
        </w:rPr>
        <w:t xml:space="preserve">. </w:t>
      </w:r>
      <w:r w:rsidR="00941D79">
        <w:rPr>
          <w:lang w:val="en-GB"/>
        </w:rPr>
        <w:t>T</w:t>
      </w:r>
      <w:r w:rsidRPr="009C1256">
        <w:rPr>
          <w:lang w:val="en-GB"/>
        </w:rPr>
        <w:t xml:space="preserve">here is also concern that the interaction of climate change, fire activity and land management may promote grass-fire cycles and hence the spread of fire-adapted invasive alien grasses in disturbed forest ecosystems </w:t>
      </w:r>
      <w:r w:rsidRPr="009C1256">
        <w:rPr>
          <w:lang w:val="en-GB"/>
        </w:rPr>
        <w:fldChar w:fldCharType="begin"/>
      </w:r>
      <w:r w:rsidR="00331A79">
        <w:rPr>
          <w:lang w:val="en-GB"/>
        </w:rPr>
        <w:instrText xml:space="preserve"> ADDIN ZOTERO_ITEM CSL_CITATION {"citationID":"OZ6EWQWS","properties":{"formattedCitation":"(Kerns et al., 2020)","plainCitation":"(Kerns et al., 2020)","noteIndex":0},"citationItems":[{"id":29806,"uris":["http://zotero.org/groups/2352922/items/5YXEJS8Z"],"itemData":{"id":29806,"type":"article-journal","abstract":"Exotic grasses are a widespread set of invasive species that are notable for their ability to significantly alter key aspects of ecosystem function. Understanding the role and importance of these invaders in forested landscapes has been limited but is now rising, as grasses from Eurasia and Africa continue to spread through ecosystems of the Americas, Australia, and many Pacific islands, where they threaten biodiversity and alter various aspects of the fire regime. The ecological, social and economic impacts of the grass-fire cycle associated with species such as cheatgrass (Bromus tectorum) have been long recognized in aridlands such as the iconic sagebrush ecosystems of the western US. However, the damaging impacts of invasive grasses in forestlands have received considerably less attention. We review literature, conceptual models, model output, and empirical evidence that indicate grass invasion in forest ecosystems may be an important yet largely under-recognized phenomenon. In combination with climate change, wildfire, and overstory management, invasive grasses could create a “perfect storm” that threatens forest resilience. Invasive grasses can be successful in forested environments or develop strongholds within forested mosaics and could provide the literal seeds for rapid change and vegetation type conversion catalyzed by wildfire or changes in climate. Although invasive grass populations may now be on the edge of forests or consist of relatively rare populations with limited spatial extent, these species may disrupt stabilizing feedbacks and disturbance regimes if a grass-fire cycle takes hold, forcing large portions of forests into alternative nonforested states. In addition, forest management actions such as thinning, prescribed fire, and fuel reduction may actually exacerbate invasive grass populations and increase the potential for further invasion, as well as broader landscape level changes through increased fire spread and frequency. Lack of understanding regarding the ecological consequences and importance of managing invasive grasses as a fuel may lead to unintended consequences and outcomes as we enter an age of novel and rapid ecological changes. This paper focuses on the contributory factors, mechanisms, and interactions that may set the stage for unexpected forest change and loss, in an effort to raise awareness about the potential damaging impact of grass invasion in forested ecosystems.","container-title":"Forest Ecology and Management","DOI":"10.1016/j.foreco.2020.117985","ISSN":"0378-1127","journalAbbreviation":"Forest Ecology and Management","language":"en","page":"117985","source":"ScienceDirect","title":"Invasive grasses: A new perfect storm for forested ecosystems?","title-short":"Invasive grasses","URL":"http://www.sciencedirect.com/science/article/pii/S0378112719322856","volume":"463","author":[{"family":"Kerns","given":"Becky K."},{"family":"Tortorelli","given":"Claire"},{"family":"Day","given":"Michelle A."},{"family":"Nietupski","given":"Ty"},{"family":"Barros","given":"Ana M. G."},{"family":"Kim","given":"John B."},{"family":"Krawchuk","given":"Meg A."}],"accessed":{"date-parts":[["2020",3,23]]},"issued":{"date-parts":[["2020",5,1]]}},"label":"page"}],"schema":"https://github.com/citation-style-language/schema/raw/master/csl-citation.json"} </w:instrText>
      </w:r>
      <w:r w:rsidRPr="009C1256">
        <w:rPr>
          <w:lang w:val="en-GB"/>
        </w:rPr>
        <w:fldChar w:fldCharType="separate"/>
      </w:r>
      <w:r w:rsidR="00144D96" w:rsidRPr="00144D96">
        <w:t>(Kerns et al., 2020)</w:t>
      </w:r>
      <w:r w:rsidRPr="009C1256">
        <w:rPr>
          <w:lang w:val="en-GB"/>
        </w:rPr>
        <w:fldChar w:fldCharType="end"/>
      </w:r>
      <w:r w:rsidRPr="009C1256">
        <w:rPr>
          <w:lang w:val="en-GB"/>
        </w:rPr>
        <w:t xml:space="preserve">. Likewise, climate change, fragmentation and increased fire frequency have been shown to act synergistically to drive the spread of </w:t>
      </w:r>
      <w:r w:rsidRPr="009C1256">
        <w:rPr>
          <w:i/>
          <w:lang w:val="en-GB"/>
        </w:rPr>
        <w:t>Lantana camara</w:t>
      </w:r>
      <w:r w:rsidRPr="009C1256">
        <w:rPr>
          <w:lang w:val="en-GB"/>
        </w:rPr>
        <w:t xml:space="preserve"> </w:t>
      </w:r>
      <w:r w:rsidR="00FC4246" w:rsidRPr="009C1256">
        <w:rPr>
          <w:lang w:val="en-GB"/>
        </w:rPr>
        <w:t xml:space="preserve">(lantana) </w:t>
      </w:r>
      <w:r w:rsidRPr="009C1256">
        <w:rPr>
          <w:lang w:val="en-GB"/>
        </w:rPr>
        <w:t xml:space="preserve">in temperate forests in the Western Himalaya </w:t>
      </w:r>
      <w:r w:rsidRPr="009C1256">
        <w:rPr>
          <w:lang w:val="en-GB"/>
        </w:rPr>
        <w:fldChar w:fldCharType="begin"/>
      </w:r>
      <w:r w:rsidR="00331A79">
        <w:rPr>
          <w:lang w:val="en-GB"/>
        </w:rPr>
        <w:instrText xml:space="preserve"> ADDIN ZOTERO_ITEM CSL_CITATION {"citationID":"9vw4W2g6","properties":{"formattedCitation":"(Mungi et al., 2018)","plainCitation":"(Mungi et al., 2018)","noteIndex":0},"citationItems":[{"id":21846,"uris":["http://zotero.org/groups/2352922/items/US8TL2VX"],"itemData":{"id":21846,"type":"article-journal","abstract":"Presently, it is debated if regional conservation efforts can alone resolve the ecological problems that global climatic changes could bring. Biological invasion is one of such concerns. In the present study, we modeled how change in global climate and regional anthropogenic pressure can impact the distribution of invasive Lantana camara in the Upper Ganga valley of the Western Himalaya (India). The forest in the study area was stratified into 1</w:instrText>
      </w:r>
      <w:r w:rsidR="00331A79">
        <w:rPr>
          <w:rFonts w:hint="eastAsia"/>
          <w:lang w:val="en-GB"/>
        </w:rPr>
        <w:instrText> </w:instrText>
      </w:r>
      <w:r w:rsidR="00331A79">
        <w:rPr>
          <w:lang w:val="en-GB"/>
        </w:rPr>
        <w:instrText xml:space="preserve">km2 grid and two 15 m radius plot were located in each of the forest types in the grid, for recording Lantana presence. In total, 2221 plots were sampled covering 22% of forest. We used predictors representing the climate, forest patch size, fire and natural disaster variables for modeling the species distribution using maximum entropy algorithm. We further simulated 12 future landscape scenarios based on the global trends of these parameters. The present species—environment relationship was projected to these future landscape scenarios. Lantana was presently estimated to spread in 231 km2 of the study area. It invaded larger forest patches in the sub-tropical region, and smaller disturbed forest patches in the warm and cold temperate region. Increased distribution of Lantana was projected across all the future scenarios. The study revealed how global climate changes and regional anthropogenic pressure can have a synergistic effect on the expansion of invasive species in the future. It thus questions the efficiency of conducting only regional efforts in absence of global initiative to reduce the greenhouse gases emission.","container-title":"Biological Invasions","DOI":"10.1007/s10530-018-1666-7","ISSN":"1573-1464","issue":"7","journalAbbreviation":"Biol Invasions","language":"en","page":"1849-1863","source":"Springer Link","title":"How global climate change and regional disturbance can expand the invasion risk? Case study of &lt;i&gt;Lantana camara&lt;/i&gt; invasion in the Himalaya","title-short":"How global climate change and regional disturbance can expand the invasion risk?","URL":"https://doi.org/10.1007/s10530-018-1666-7","volume":"20","author":[{"family":"Mungi","given":"Ninad Avinash"},{"family":"Coops","given":"Nicholas C."},{"family":"Ramesh","given":"K."},{"family":"Rawat","given":"Gopal S."}],"accessed":{"date-parts":[["2020",3,22]]},"issued":{"date-parts":[["2018",7,1]]}},"label":"page"}],"schema":"https://github.com/citation-style-language/schema/raw/master/csl-citation.json"} </w:instrText>
      </w:r>
      <w:r w:rsidRPr="009C1256">
        <w:rPr>
          <w:lang w:val="en-GB"/>
        </w:rPr>
        <w:fldChar w:fldCharType="separate"/>
      </w:r>
      <w:r w:rsidR="00144D96" w:rsidRPr="00144D96">
        <w:t>(Mungi et al., 2018)</w:t>
      </w:r>
      <w:r w:rsidRPr="009C1256">
        <w:rPr>
          <w:lang w:val="en-GB"/>
        </w:rPr>
        <w:fldChar w:fldCharType="end"/>
      </w:r>
      <w:r w:rsidRPr="009C1256">
        <w:rPr>
          <w:lang w:val="en-GB"/>
        </w:rPr>
        <w:t xml:space="preserve">. </w:t>
      </w:r>
    </w:p>
    <w:p w14:paraId="1801EDDB" w14:textId="043A66A1" w:rsidR="00EF2CAB" w:rsidRPr="009C1256" w:rsidRDefault="001B2D34" w:rsidP="00FC4246">
      <w:pPr>
        <w:spacing w:before="0" w:after="0"/>
        <w:rPr>
          <w:rFonts w:eastAsia="Times New Roman"/>
          <w:color w:val="000000"/>
          <w:szCs w:val="24"/>
          <w:lang w:val="en-GB" w:eastAsia="zh-CN"/>
        </w:rPr>
      </w:pPr>
      <w:r w:rsidRPr="009C1256">
        <w:rPr>
          <w:lang w:val="en-GB" w:eastAsia="en-ZA"/>
        </w:rPr>
        <w:t>Few studies have investigated the interactions between land</w:t>
      </w:r>
      <w:r w:rsidR="00DE124F" w:rsidRPr="009C1256">
        <w:rPr>
          <w:lang w:val="en-GB" w:eastAsia="en-ZA"/>
        </w:rPr>
        <w:t>-</w:t>
      </w:r>
      <w:r w:rsidRPr="009C1256">
        <w:rPr>
          <w:lang w:val="en-GB" w:eastAsia="en-ZA"/>
        </w:rPr>
        <w:t>use</w:t>
      </w:r>
      <w:r w:rsidR="0001549D" w:rsidRPr="009C1256">
        <w:rPr>
          <w:lang w:val="en-GB" w:eastAsia="en-ZA"/>
        </w:rPr>
        <w:t xml:space="preserve"> </w:t>
      </w:r>
      <w:r w:rsidRPr="009C1256">
        <w:rPr>
          <w:lang w:val="en-GB" w:eastAsia="en-ZA"/>
        </w:rPr>
        <w:t>change</w:t>
      </w:r>
      <w:r w:rsidR="00DE124F" w:rsidRPr="009C1256">
        <w:rPr>
          <w:lang w:val="en-GB" w:eastAsia="en-ZA"/>
        </w:rPr>
        <w:t>s</w:t>
      </w:r>
      <w:r w:rsidR="0001549D" w:rsidRPr="009C1256">
        <w:rPr>
          <w:lang w:val="en-GB" w:eastAsia="en-ZA"/>
        </w:rPr>
        <w:t xml:space="preserve"> </w:t>
      </w:r>
      <w:r w:rsidRPr="009C1256">
        <w:rPr>
          <w:lang w:val="en-GB" w:eastAsia="en-ZA"/>
        </w:rPr>
        <w:t>and climate change for</w:t>
      </w:r>
      <w:r w:rsidR="0001549D" w:rsidRPr="009C1256">
        <w:rPr>
          <w:lang w:val="en-GB" w:eastAsia="en-ZA"/>
        </w:rPr>
        <w:t xml:space="preserve"> </w:t>
      </w:r>
      <w:r w:rsidRPr="009C1256">
        <w:rPr>
          <w:lang w:val="en-GB" w:eastAsia="en-ZA"/>
        </w:rPr>
        <w:t>invasive alien animals,</w:t>
      </w:r>
      <w:r w:rsidR="0001549D" w:rsidRPr="009C1256">
        <w:rPr>
          <w:lang w:val="en-GB" w:eastAsia="en-ZA"/>
        </w:rPr>
        <w:t xml:space="preserve"> </w:t>
      </w:r>
      <w:r w:rsidR="00735244" w:rsidRPr="009C1256">
        <w:rPr>
          <w:lang w:val="en-GB" w:eastAsia="en-ZA"/>
        </w:rPr>
        <w:t>invertebrates</w:t>
      </w:r>
      <w:r w:rsidR="00774819">
        <w:rPr>
          <w:lang w:val="en-GB" w:eastAsia="en-ZA"/>
        </w:rPr>
        <w:t xml:space="preserve"> and</w:t>
      </w:r>
      <w:r w:rsidRPr="009C1256">
        <w:rPr>
          <w:lang w:val="en-GB" w:eastAsia="en-ZA"/>
        </w:rPr>
        <w:t xml:space="preserve"> microorganisms.</w:t>
      </w:r>
      <w:r w:rsidR="0001549D" w:rsidRPr="009C1256">
        <w:rPr>
          <w:lang w:val="en-GB" w:eastAsia="en-ZA"/>
        </w:rPr>
        <w:t xml:space="preserve"> </w:t>
      </w:r>
      <w:r w:rsidRPr="009C1256">
        <w:rPr>
          <w:lang w:val="en-GB" w:eastAsia="en-ZA"/>
        </w:rPr>
        <w:t>Yet,</w:t>
      </w:r>
      <w:r w:rsidR="0001549D" w:rsidRPr="009C1256">
        <w:rPr>
          <w:lang w:val="en-GB" w:eastAsia="en-ZA"/>
        </w:rPr>
        <w:t xml:space="preserve"> </w:t>
      </w:r>
      <w:r w:rsidRPr="009C1256">
        <w:rPr>
          <w:lang w:val="en-GB" w:eastAsia="en-ZA"/>
        </w:rPr>
        <w:t>the findings</w:t>
      </w:r>
      <w:r w:rsidR="0001549D" w:rsidRPr="009C1256">
        <w:rPr>
          <w:lang w:val="en-GB" w:eastAsia="en-ZA"/>
        </w:rPr>
        <w:t xml:space="preserve"> </w:t>
      </w:r>
      <w:r w:rsidRPr="009C1256">
        <w:rPr>
          <w:lang w:val="en-GB" w:eastAsia="en-ZA"/>
        </w:rPr>
        <w:t xml:space="preserve">of </w:t>
      </w:r>
      <w:r w:rsidR="00977E99">
        <w:rPr>
          <w:lang w:val="en-GB" w:eastAsia="en-ZA"/>
        </w:rPr>
        <w:t>existing</w:t>
      </w:r>
      <w:r w:rsidRPr="009C1256">
        <w:rPr>
          <w:lang w:val="en-GB" w:eastAsia="en-ZA"/>
        </w:rPr>
        <w:t xml:space="preserve"> studies</w:t>
      </w:r>
      <w:r w:rsidR="00036CCC" w:rsidRPr="009C1256">
        <w:rPr>
          <w:lang w:val="en-GB" w:eastAsia="en-ZA"/>
        </w:rPr>
        <w:t xml:space="preserve"> </w:t>
      </w:r>
      <w:r w:rsidR="000B3630" w:rsidRPr="009C1256">
        <w:rPr>
          <w:lang w:val="en-GB" w:eastAsia="en-ZA"/>
        </w:rPr>
        <w:t xml:space="preserve">often </w:t>
      </w:r>
      <w:r w:rsidRPr="009C1256">
        <w:rPr>
          <w:lang w:val="en-GB" w:eastAsia="en-ZA"/>
        </w:rPr>
        <w:t>describe</w:t>
      </w:r>
      <w:r w:rsidR="0001549D" w:rsidRPr="009C1256">
        <w:rPr>
          <w:lang w:val="en-GB" w:eastAsia="en-ZA"/>
        </w:rPr>
        <w:t xml:space="preserve"> </w:t>
      </w:r>
      <w:r w:rsidR="00D351CB" w:rsidRPr="009C1256">
        <w:rPr>
          <w:lang w:val="en-GB" w:eastAsia="en-ZA"/>
        </w:rPr>
        <w:t xml:space="preserve">a prevalence of </w:t>
      </w:r>
      <w:r w:rsidR="003724BB" w:rsidRPr="009C1256">
        <w:rPr>
          <w:lang w:val="en-GB" w:eastAsia="en-ZA"/>
        </w:rPr>
        <w:t>non-additive</w:t>
      </w:r>
      <w:r w:rsidR="00D351CB" w:rsidRPr="009C1256">
        <w:rPr>
          <w:lang w:val="en-GB" w:eastAsia="en-ZA"/>
        </w:rPr>
        <w:t xml:space="preserve"> effects, reflecting those </w:t>
      </w:r>
      <w:r w:rsidRPr="009C1256">
        <w:rPr>
          <w:lang w:val="en-GB" w:eastAsia="en-ZA"/>
        </w:rPr>
        <w:t>described above for plants.</w:t>
      </w:r>
      <w:r w:rsidR="0001549D" w:rsidRPr="009C1256">
        <w:rPr>
          <w:lang w:val="en-GB" w:eastAsia="en-ZA"/>
        </w:rPr>
        <w:t xml:space="preserve"> </w:t>
      </w:r>
      <w:r w:rsidR="003000E0">
        <w:rPr>
          <w:lang w:val="en-GB" w:eastAsia="en-ZA"/>
        </w:rPr>
        <w:t>In a</w:t>
      </w:r>
      <w:r w:rsidRPr="009C1256">
        <w:rPr>
          <w:lang w:val="en-GB" w:eastAsia="en-ZA"/>
        </w:rPr>
        <w:t>n example from</w:t>
      </w:r>
      <w:r w:rsidR="0001549D" w:rsidRPr="009C1256">
        <w:rPr>
          <w:lang w:val="en-GB" w:eastAsia="en-ZA"/>
        </w:rPr>
        <w:t xml:space="preserve"> </w:t>
      </w:r>
      <w:r w:rsidRPr="009C1256">
        <w:rPr>
          <w:lang w:val="en-GB" w:eastAsia="en-ZA"/>
        </w:rPr>
        <w:t>Italy</w:t>
      </w:r>
      <w:r w:rsidR="00977E99">
        <w:rPr>
          <w:lang w:val="en-GB" w:eastAsia="en-ZA"/>
        </w:rPr>
        <w:t>,</w:t>
      </w:r>
      <w:r w:rsidR="00DA6C0C" w:rsidRPr="009C1256">
        <w:rPr>
          <w:lang w:val="en-GB" w:eastAsia="en-ZA"/>
        </w:rPr>
        <w:t xml:space="preserve"> </w:t>
      </w:r>
      <w:r w:rsidR="00CC3AE9" w:rsidRPr="009C1256">
        <w:rPr>
          <w:lang w:val="en-GB" w:eastAsia="en-ZA"/>
        </w:rPr>
        <w:fldChar w:fldCharType="begin"/>
      </w:r>
      <w:r w:rsidR="00331A79">
        <w:rPr>
          <w:lang w:val="en-GB" w:eastAsia="en-ZA"/>
        </w:rPr>
        <w:instrText xml:space="preserve"> ADDIN ZOTERO_ITEM CSL_CITATION {"citationID":"nTHdoK6v","properties":{"formattedCitation":"(Febbraro et al., 2019)","plainCitation":"(Febbraro et al., 2019)","dontUpdate":true,"noteIndex":0},"citationItems":[{"id":26965,"uris":["http://zotero.org/groups/2352922/items/KDDNNAEL"],"itemData":{"id":26965,"type":"article-journal","abstract":"Aim The establishment and spread of invasive alien species may be influenced by several mutually interacting factors, whose understanding is paramount to develop effective biosecurity policies. However, studies focused on modelling spatially explicit patterns of future invasion risk have so far focused on species response to climate change impacts, while land-use change has been neglected. We investigated how the interplay between climate and land-use change could affect the future potential distribution and dispersal corridors of four alien squirrels introduced to Europe (Sciurus carolinensis, Callosciurus finlaysonii, Callosciurus erythraeus and Eutamias sibiricus). Location and Methods Our study was conducted in Italy. We used Species Distribution Models and circuit theory methods to test whether future scenarios based only on climate change predict a different effect on range and connectivity of alien squirrel populations, compared to scenarios that include both climate and land-use changes. Results Scenarios based only on climate change predicted a range increase and a high geographic stability (&gt;50%) for most species, with different, yet limited, effects on connectivity corridors. Conversely, scenarios based on both climate and land-use change showed a loss in range extent and a low geographic stability (&lt;50%) of both range and dispersal corridors for most species. Main conclusions Scenarios considering both climate and land-use change provide predictions on invasion risk that overturn those including only climate change. The effect of global warming alone would lead to a considerable range expansion of all species. Conversely, when land-use change is added, a potential loss in suitable habitat and dispersal corridors is predicted for alien squirrels, hence limiting their range expansion. We recommend using multiple drivers in models to obtain reliable predictions for implementing biosecurity policies related to invasive alien species.","container-title":"Diversity and Distributions","DOI":"10.1111/ddi.12890","ISSN":"1472-4642","issue":"4","language":"en","note":"_eprint: https://onlinelibrary.wiley.com/doi/pdf/10.1111/ddi.12890","page":"644-659","source":"Wiley Online Library","title":"Integrating climate and land-use change scenarios in modelling the future spread of invasive squirrels in Italy","URL":"https://onlinelibrary.wiley.com/doi/abs/10.1111/ddi.12890","volume":"25","author":[{"family":"Febbraro","given":"Mirko Di"},{"family":"Menchetti","given":"Mattia"},{"family":"Russo","given":"Danilo"},{"family":"Ancillotto","given":"Leonardo"},{"family":"Aloise","given":"Gaetano"},{"family":"Roscioni","given":"Federica"},{"family":"Preatoni","given":"Damiano G."},{"family":"Loy","given":"Anna"},{"family":"Martinoli","given":"Adriano"},{"family":"Bertolino","given":"Sandro"},{"family":"Mori","given":"Emiliano"}],"accessed":{"date-parts":[["2021",7,2]]},"issued":{"date-parts":[["2019"]]}},"label":"page"}],"schema":"https://github.com/citation-style-language/schema/raw/master/csl-citation.json"} </w:instrText>
      </w:r>
      <w:r w:rsidR="00CC3AE9" w:rsidRPr="009C1256">
        <w:rPr>
          <w:lang w:val="en-GB" w:eastAsia="en-ZA"/>
        </w:rPr>
        <w:fldChar w:fldCharType="separate"/>
      </w:r>
      <w:r w:rsidR="00FD1179" w:rsidRPr="009C1256">
        <w:rPr>
          <w:lang w:val="en-GB"/>
        </w:rPr>
        <w:t xml:space="preserve">Febbraro et al. </w:t>
      </w:r>
      <w:r w:rsidR="00977E99">
        <w:rPr>
          <w:lang w:val="en-GB"/>
        </w:rPr>
        <w:t>(</w:t>
      </w:r>
      <w:r w:rsidR="00FD1179" w:rsidRPr="009C1256">
        <w:rPr>
          <w:lang w:val="en-GB"/>
        </w:rPr>
        <w:t>2019)</w:t>
      </w:r>
      <w:r w:rsidR="00CC3AE9" w:rsidRPr="009C1256">
        <w:rPr>
          <w:lang w:val="en-GB" w:eastAsia="en-ZA"/>
        </w:rPr>
        <w:fldChar w:fldCharType="end"/>
      </w:r>
      <w:r w:rsidRPr="009C1256">
        <w:rPr>
          <w:lang w:val="en-GB" w:eastAsia="en-ZA"/>
        </w:rPr>
        <w:t>,</w:t>
      </w:r>
      <w:r w:rsidR="0001549D" w:rsidRPr="009C1256">
        <w:rPr>
          <w:lang w:val="en-GB" w:eastAsia="en-ZA"/>
        </w:rPr>
        <w:t xml:space="preserve"> </w:t>
      </w:r>
      <w:r w:rsidRPr="009C1256">
        <w:rPr>
          <w:lang w:val="en-GB" w:eastAsia="en-ZA"/>
        </w:rPr>
        <w:t>found that the potential distribution</w:t>
      </w:r>
      <w:r w:rsidR="005F0430">
        <w:rPr>
          <w:lang w:val="en-GB" w:eastAsia="en-ZA"/>
        </w:rPr>
        <w:t>s</w:t>
      </w:r>
      <w:r w:rsidRPr="009C1256">
        <w:rPr>
          <w:lang w:val="en-GB" w:eastAsia="en-ZA"/>
        </w:rPr>
        <w:t xml:space="preserve"> of four invasive</w:t>
      </w:r>
      <w:r w:rsidR="000B54C2" w:rsidRPr="009C1256">
        <w:rPr>
          <w:lang w:val="en-GB" w:eastAsia="en-ZA"/>
        </w:rPr>
        <w:t xml:space="preserve"> alien</w:t>
      </w:r>
      <w:r w:rsidRPr="009C1256">
        <w:rPr>
          <w:lang w:val="en-GB" w:eastAsia="en-ZA"/>
        </w:rPr>
        <w:t xml:space="preserve"> squirrels (</w:t>
      </w:r>
      <w:r w:rsidRPr="009C1256">
        <w:rPr>
          <w:i/>
          <w:iCs/>
          <w:lang w:val="en-GB" w:eastAsia="en-ZA"/>
        </w:rPr>
        <w:t>Sciurus carolinensis</w:t>
      </w:r>
      <w:r w:rsidR="00FC4246" w:rsidRPr="009C1256">
        <w:rPr>
          <w:i/>
          <w:iCs/>
          <w:lang w:val="en-GB" w:eastAsia="en-ZA"/>
        </w:rPr>
        <w:t xml:space="preserve"> </w:t>
      </w:r>
      <w:r w:rsidR="00FC4246" w:rsidRPr="009C1256">
        <w:rPr>
          <w:iCs/>
          <w:lang w:val="en-GB" w:eastAsia="en-ZA"/>
        </w:rPr>
        <w:t>(</w:t>
      </w:r>
      <w:r w:rsidR="00FC4246" w:rsidRPr="009C1256">
        <w:rPr>
          <w:rFonts w:eastAsia="Times New Roman"/>
          <w:color w:val="000000"/>
          <w:szCs w:val="24"/>
          <w:lang w:val="en-GB" w:eastAsia="zh-CN"/>
        </w:rPr>
        <w:t>grey squirrel</w:t>
      </w:r>
      <w:r w:rsidR="00FC4246" w:rsidRPr="009C1256">
        <w:rPr>
          <w:iCs/>
          <w:lang w:val="en-GB" w:eastAsia="en-ZA"/>
        </w:rPr>
        <w:t>)</w:t>
      </w:r>
      <w:r w:rsidRPr="009C1256">
        <w:rPr>
          <w:lang w:val="en-GB" w:eastAsia="en-ZA"/>
        </w:rPr>
        <w:t>,</w:t>
      </w:r>
      <w:r w:rsidR="0001549D" w:rsidRPr="009C1256">
        <w:rPr>
          <w:i/>
          <w:iCs/>
          <w:lang w:val="en-GB" w:eastAsia="en-ZA"/>
        </w:rPr>
        <w:t xml:space="preserve"> </w:t>
      </w:r>
      <w:r w:rsidRPr="009C1256">
        <w:rPr>
          <w:i/>
          <w:iCs/>
          <w:lang w:val="en-GB" w:eastAsia="en-ZA"/>
        </w:rPr>
        <w:t>Callosciurus</w:t>
      </w:r>
      <w:r w:rsidR="0001549D" w:rsidRPr="009C1256">
        <w:rPr>
          <w:i/>
          <w:iCs/>
          <w:lang w:val="en-GB" w:eastAsia="en-ZA"/>
        </w:rPr>
        <w:t xml:space="preserve"> </w:t>
      </w:r>
      <w:r w:rsidRPr="009C1256">
        <w:rPr>
          <w:i/>
          <w:iCs/>
          <w:lang w:val="en-GB" w:eastAsia="en-ZA"/>
        </w:rPr>
        <w:t>finlaysonii</w:t>
      </w:r>
      <w:r w:rsidR="00FC4246" w:rsidRPr="009C1256">
        <w:rPr>
          <w:i/>
          <w:iCs/>
          <w:lang w:val="en-GB" w:eastAsia="en-ZA"/>
        </w:rPr>
        <w:t xml:space="preserve"> </w:t>
      </w:r>
      <w:r w:rsidR="00FC4246" w:rsidRPr="009C1256">
        <w:rPr>
          <w:iCs/>
          <w:lang w:val="en-GB" w:eastAsia="en-ZA"/>
        </w:rPr>
        <w:t>(Finlayson's squirrel)</w:t>
      </w:r>
      <w:r w:rsidRPr="009C1256">
        <w:rPr>
          <w:lang w:val="en-GB" w:eastAsia="en-ZA"/>
        </w:rPr>
        <w:t>,</w:t>
      </w:r>
      <w:r w:rsidR="0001549D" w:rsidRPr="009C1256">
        <w:rPr>
          <w:lang w:val="en-GB" w:eastAsia="en-ZA"/>
        </w:rPr>
        <w:t xml:space="preserve"> </w:t>
      </w:r>
      <w:r w:rsidRPr="009C1256">
        <w:rPr>
          <w:i/>
          <w:iCs/>
          <w:lang w:val="en-GB" w:eastAsia="en-ZA"/>
        </w:rPr>
        <w:t>Callosciurus</w:t>
      </w:r>
      <w:r w:rsidR="0001549D" w:rsidRPr="009C1256">
        <w:rPr>
          <w:i/>
          <w:iCs/>
          <w:lang w:val="en-GB" w:eastAsia="en-ZA"/>
        </w:rPr>
        <w:t xml:space="preserve"> </w:t>
      </w:r>
      <w:r w:rsidRPr="009C1256">
        <w:rPr>
          <w:i/>
          <w:iCs/>
          <w:lang w:val="en-GB" w:eastAsia="en-ZA"/>
        </w:rPr>
        <w:t>erythraeus</w:t>
      </w:r>
      <w:r w:rsidR="00FC4246" w:rsidRPr="009C1256">
        <w:rPr>
          <w:i/>
          <w:iCs/>
          <w:lang w:val="en-GB" w:eastAsia="en-ZA"/>
        </w:rPr>
        <w:t xml:space="preserve"> </w:t>
      </w:r>
      <w:r w:rsidR="00FC4246" w:rsidRPr="009C1256">
        <w:rPr>
          <w:iCs/>
          <w:lang w:val="en-GB" w:eastAsia="en-ZA"/>
        </w:rPr>
        <w:t>(Pallas's squirrel)</w:t>
      </w:r>
      <w:r w:rsidR="00774819">
        <w:rPr>
          <w:iCs/>
          <w:lang w:val="en-GB" w:eastAsia="en-ZA"/>
        </w:rPr>
        <w:t xml:space="preserve"> and</w:t>
      </w:r>
      <w:r w:rsidR="0001549D" w:rsidRPr="009C1256">
        <w:rPr>
          <w:lang w:val="en-GB" w:eastAsia="en-ZA"/>
        </w:rPr>
        <w:t xml:space="preserve"> </w:t>
      </w:r>
      <w:r w:rsidR="00964687" w:rsidRPr="009C1256">
        <w:rPr>
          <w:i/>
          <w:iCs/>
          <w:lang w:val="en-GB" w:eastAsia="en-ZA"/>
        </w:rPr>
        <w:t>Tamias</w:t>
      </w:r>
      <w:r w:rsidR="0001549D" w:rsidRPr="009C1256">
        <w:rPr>
          <w:i/>
          <w:iCs/>
          <w:lang w:val="en-GB" w:eastAsia="en-ZA"/>
        </w:rPr>
        <w:t xml:space="preserve"> </w:t>
      </w:r>
      <w:r w:rsidRPr="009C1256">
        <w:rPr>
          <w:i/>
          <w:iCs/>
          <w:lang w:val="en-GB" w:eastAsia="en-ZA"/>
        </w:rPr>
        <w:t>sibiricus</w:t>
      </w:r>
      <w:r w:rsidR="00FC4246" w:rsidRPr="009C1256">
        <w:rPr>
          <w:i/>
          <w:iCs/>
          <w:lang w:val="en-GB" w:eastAsia="en-ZA"/>
        </w:rPr>
        <w:t xml:space="preserve"> </w:t>
      </w:r>
      <w:r w:rsidR="00FC4246" w:rsidRPr="009C1256">
        <w:rPr>
          <w:iCs/>
          <w:lang w:val="en-GB" w:eastAsia="en-ZA"/>
        </w:rPr>
        <w:t>(Siberian chipmunk)</w:t>
      </w:r>
      <w:r w:rsidRPr="009C1256">
        <w:rPr>
          <w:lang w:val="en-GB" w:eastAsia="en-ZA"/>
        </w:rPr>
        <w:t>) w</w:t>
      </w:r>
      <w:r w:rsidR="005F0430">
        <w:rPr>
          <w:lang w:val="en-GB" w:eastAsia="en-ZA"/>
        </w:rPr>
        <w:t>ere</w:t>
      </w:r>
      <w:r w:rsidR="0001549D" w:rsidRPr="009C1256">
        <w:rPr>
          <w:lang w:val="en-GB" w:eastAsia="en-ZA"/>
        </w:rPr>
        <w:t xml:space="preserve"> </w:t>
      </w:r>
      <w:r w:rsidRPr="009C1256">
        <w:rPr>
          <w:lang w:val="en-GB" w:eastAsia="en-ZA"/>
        </w:rPr>
        <w:t>reduced when the interactions between land</w:t>
      </w:r>
      <w:r w:rsidR="00DE124F" w:rsidRPr="009C1256">
        <w:rPr>
          <w:lang w:val="en-GB" w:eastAsia="en-ZA"/>
        </w:rPr>
        <w:t>-</w:t>
      </w:r>
      <w:r w:rsidRPr="009C1256">
        <w:rPr>
          <w:lang w:val="en-GB" w:eastAsia="en-ZA"/>
        </w:rPr>
        <w:t>use and climate c</w:t>
      </w:r>
      <w:r w:rsidR="0041481E" w:rsidRPr="009C1256">
        <w:rPr>
          <w:lang w:val="en-GB" w:eastAsia="en-ZA"/>
        </w:rPr>
        <w:t>hange</w:t>
      </w:r>
      <w:r w:rsidR="00966312" w:rsidRPr="009C1256">
        <w:rPr>
          <w:lang w:val="en-GB" w:eastAsia="en-ZA"/>
        </w:rPr>
        <w:t>s</w:t>
      </w:r>
      <w:r w:rsidR="0041481E" w:rsidRPr="009C1256">
        <w:rPr>
          <w:lang w:val="en-GB" w:eastAsia="en-ZA"/>
        </w:rPr>
        <w:t xml:space="preserve"> were included in models</w:t>
      </w:r>
      <w:r w:rsidRPr="009C1256">
        <w:rPr>
          <w:lang w:val="en-GB" w:eastAsia="en-ZA"/>
        </w:rPr>
        <w:t>.</w:t>
      </w:r>
      <w:r w:rsidR="0001549D" w:rsidRPr="009C1256">
        <w:rPr>
          <w:lang w:val="en-GB" w:eastAsia="en-ZA"/>
        </w:rPr>
        <w:t xml:space="preserve"> </w:t>
      </w:r>
      <w:r w:rsidR="0036235A">
        <w:rPr>
          <w:lang w:val="en-GB" w:eastAsia="en-ZA"/>
        </w:rPr>
        <w:t>In this case,</w:t>
      </w:r>
      <w:r w:rsidRPr="009C1256">
        <w:rPr>
          <w:lang w:val="en-GB" w:eastAsia="en-ZA"/>
        </w:rPr>
        <w:t xml:space="preserve"> climate-only models fail to account for </w:t>
      </w:r>
      <w:r w:rsidR="00832DE3" w:rsidRPr="009C1256">
        <w:rPr>
          <w:lang w:val="en-GB" w:eastAsia="en-ZA"/>
        </w:rPr>
        <w:t xml:space="preserve">lack of </w:t>
      </w:r>
      <w:r w:rsidRPr="009C1256">
        <w:rPr>
          <w:lang w:val="en-GB" w:eastAsia="en-ZA"/>
        </w:rPr>
        <w:t xml:space="preserve">connectivity between habitats and </w:t>
      </w:r>
      <w:r w:rsidR="00832DE3" w:rsidRPr="009C1256">
        <w:rPr>
          <w:lang w:val="en-GB" w:eastAsia="en-ZA"/>
        </w:rPr>
        <w:t xml:space="preserve">limited </w:t>
      </w:r>
      <w:r w:rsidRPr="009C1256">
        <w:rPr>
          <w:lang w:val="en-GB" w:eastAsia="en-ZA"/>
        </w:rPr>
        <w:t>overall habitat suitability,</w:t>
      </w:r>
      <w:r w:rsidR="0001549D" w:rsidRPr="009C1256">
        <w:rPr>
          <w:lang w:val="en-GB" w:eastAsia="en-ZA"/>
        </w:rPr>
        <w:t xml:space="preserve"> </w:t>
      </w:r>
      <w:r w:rsidRPr="009C1256">
        <w:rPr>
          <w:lang w:val="en-GB" w:eastAsia="en-ZA"/>
        </w:rPr>
        <w:t>and may lead to an overestimate of the potential suitable habitat</w:t>
      </w:r>
      <w:r w:rsidR="006B742D" w:rsidRPr="009C1256">
        <w:rPr>
          <w:lang w:val="en-GB" w:eastAsia="en-ZA"/>
        </w:rPr>
        <w:t xml:space="preserve"> </w:t>
      </w:r>
      <w:r w:rsidR="00FD1179" w:rsidRPr="009C1256">
        <w:rPr>
          <w:lang w:val="en-GB" w:eastAsia="en-ZA"/>
        </w:rPr>
        <w:fldChar w:fldCharType="begin"/>
      </w:r>
      <w:r w:rsidR="00331A79">
        <w:rPr>
          <w:lang w:val="en-GB" w:eastAsia="en-ZA"/>
        </w:rPr>
        <w:instrText xml:space="preserve"> ADDIN ZOTERO_ITEM CSL_CITATION {"citationID":"dofXQb5o","properties":{"formattedCitation":"(Febbraro et al., 2019)","plainCitation":"(Febbraro et al., 2019)","noteIndex":0},"citationItems":[{"id":26965,"uris":["http://zotero.org/groups/2352922/items/KDDNNAEL"],"itemData":{"id":26965,"type":"article-journal","abstract":"Aim The establishment and spread of invasive alien species may be influenced by several mutually interacting factors, whose understanding is paramount to develop effective biosecurity policies. However, studies focused on modelling spatially explicit patterns of future invasion risk have so far focused on species response to climate change impacts, while land-use change has been neglected. We investigated how the interplay between climate and land-use change could affect the future potential distribution and dispersal corridors of four alien squirrels introduced to Europe (Sciurus carolinensis, Callosciurus finlaysonii, Callosciurus erythraeus and Eutamias sibiricus). Location and Methods Our study was conducted in Italy. We used Species Distribution Models and circuit theory methods to test whether future scenarios based only on climate change predict a different effect on range and connectivity of alien squirrel populations, compared to scenarios that include both climate and land-use changes. Results Scenarios based only on climate change predicted a range increase and a high geographic stability (&gt;50%) for most species, with different, yet limited, effects on connectivity corridors. Conversely, scenarios based on both climate and land-use change showed a loss in range extent and a low geographic stability (&lt;50%) of both range and dispersal corridors for most species. Main conclusions Scenarios considering both climate and land-use change provide predictions on invasion risk that overturn those including only climate change. The effect of global warming alone would lead to a considerable range expansion of all species. Conversely, when land-use change is added, a potential loss in suitable habitat and dispersal corridors is predicted for alien squirrels, hence limiting their range expansion. We recommend using multiple drivers in models to obtain reliable predictions for implementing biosecurity policies related to invasive alien species.","container-title":"Diversity and Distributions","DOI":"10.1111/ddi.12890","ISSN":"1472-4642","issue":"4","language":"en","note":"_eprint: https://onlinelibrary.wiley.com/doi/pdf/10.1111/ddi.12890","page":"644-659","source":"Wiley Online Library","title":"Integrating climate and land-use change scenarios in modelling the future spread of invasive squirrels in Italy","URL":"https://onlinelibrary.wiley.com/doi/abs/10.1111/ddi.12890","volume":"25","author":[{"family":"Febbraro","given":"Mirko Di"},{"family":"Menchetti","given":"Mattia"},{"family":"Russo","given":"Danilo"},{"family":"Ancillotto","given":"Leonardo"},{"family":"Aloise","given":"Gaetano"},{"family":"Roscioni","given":"Federica"},{"family":"Preatoni","given":"Damiano G."},{"family":"Loy","given":"Anna"},{"family":"Martinoli","given":"Adriano"},{"family":"Bertolino","given":"Sandro"},{"family":"Mori","given":"Emiliano"}],"accessed":{"date-parts":[["2021",7,2]]},"issued":{"date-parts":[["2019"]]}},"label":"page"}],"schema":"https://github.com/citation-style-language/schema/raw/master/csl-citation.json"} </w:instrText>
      </w:r>
      <w:r w:rsidR="00FD1179" w:rsidRPr="009C1256">
        <w:rPr>
          <w:lang w:val="en-GB" w:eastAsia="en-ZA"/>
        </w:rPr>
        <w:fldChar w:fldCharType="separate"/>
      </w:r>
      <w:r w:rsidR="00144D96" w:rsidRPr="00144D96">
        <w:t>(Febbraro et al., 2019)</w:t>
      </w:r>
      <w:r w:rsidR="00FD1179" w:rsidRPr="009C1256">
        <w:rPr>
          <w:lang w:val="en-GB" w:eastAsia="en-ZA"/>
        </w:rPr>
        <w:fldChar w:fldCharType="end"/>
      </w:r>
      <w:r w:rsidRPr="009C1256">
        <w:rPr>
          <w:lang w:val="en-GB" w:eastAsia="en-ZA"/>
        </w:rPr>
        <w:t>.</w:t>
      </w:r>
      <w:r w:rsidR="006B742D" w:rsidRPr="009C1256">
        <w:rPr>
          <w:lang w:val="en-GB" w:eastAsia="en-ZA"/>
        </w:rPr>
        <w:t xml:space="preserve"> </w:t>
      </w:r>
      <w:r w:rsidRPr="009C1256">
        <w:rPr>
          <w:lang w:val="en-GB" w:eastAsia="en-ZA"/>
        </w:rPr>
        <w:t xml:space="preserve">In Korea, the potential spread of an invasive </w:t>
      </w:r>
      <w:r w:rsidR="000B54C2" w:rsidRPr="009C1256">
        <w:rPr>
          <w:lang w:val="en-GB" w:eastAsia="en-ZA"/>
        </w:rPr>
        <w:t xml:space="preserve">alien </w:t>
      </w:r>
      <w:r w:rsidRPr="009C1256">
        <w:rPr>
          <w:lang w:val="en-GB" w:eastAsia="en-ZA"/>
        </w:rPr>
        <w:t xml:space="preserve">insect </w:t>
      </w:r>
      <w:hyperlink r:id="rId48" w:tgtFrame="_blank" w:history="1">
        <w:r w:rsidRPr="009C1256">
          <w:rPr>
            <w:i/>
            <w:iCs/>
            <w:lang w:val="en-GB" w:eastAsia="en-ZA"/>
          </w:rPr>
          <w:t>Thrips</w:t>
        </w:r>
        <w:r w:rsidR="006B742D" w:rsidRPr="009C1256">
          <w:rPr>
            <w:i/>
            <w:iCs/>
            <w:lang w:val="en-GB" w:eastAsia="en-ZA"/>
          </w:rPr>
          <w:t xml:space="preserve"> </w:t>
        </w:r>
        <w:r w:rsidRPr="009C1256">
          <w:rPr>
            <w:i/>
            <w:iCs/>
            <w:lang w:val="en-GB" w:eastAsia="en-ZA"/>
          </w:rPr>
          <w:t>palmi</w:t>
        </w:r>
      </w:hyperlink>
      <w:r w:rsidR="004C3364" w:rsidRPr="009C1256">
        <w:rPr>
          <w:i/>
          <w:iCs/>
          <w:lang w:val="en-GB" w:eastAsia="en-ZA"/>
        </w:rPr>
        <w:t xml:space="preserve"> </w:t>
      </w:r>
      <w:r w:rsidR="004C3364" w:rsidRPr="009C1256">
        <w:rPr>
          <w:iCs/>
          <w:lang w:val="en-GB" w:eastAsia="en-ZA"/>
        </w:rPr>
        <w:t>(melon thrips)</w:t>
      </w:r>
      <w:r w:rsidR="006B742D" w:rsidRPr="009C1256">
        <w:rPr>
          <w:i/>
          <w:iCs/>
          <w:lang w:val="en-GB" w:eastAsia="en-ZA"/>
        </w:rPr>
        <w:t xml:space="preserve"> </w:t>
      </w:r>
      <w:r w:rsidRPr="009C1256">
        <w:rPr>
          <w:lang w:val="en-GB" w:eastAsia="en-ZA"/>
        </w:rPr>
        <w:t>in</w:t>
      </w:r>
      <w:r w:rsidR="006B742D" w:rsidRPr="009C1256">
        <w:rPr>
          <w:lang w:val="en-GB" w:eastAsia="en-ZA"/>
        </w:rPr>
        <w:t xml:space="preserve"> </w:t>
      </w:r>
      <w:r w:rsidRPr="009C1256">
        <w:rPr>
          <w:lang w:val="en-GB" w:eastAsia="en-ZA"/>
        </w:rPr>
        <w:t>agricultural</w:t>
      </w:r>
      <w:r w:rsidR="006B742D" w:rsidRPr="009C1256">
        <w:rPr>
          <w:lang w:val="en-GB" w:eastAsia="en-ZA"/>
        </w:rPr>
        <w:t xml:space="preserve"> </w:t>
      </w:r>
      <w:r w:rsidRPr="009C1256">
        <w:rPr>
          <w:lang w:val="en-GB" w:eastAsia="en-ZA"/>
        </w:rPr>
        <w:t>areas</w:t>
      </w:r>
      <w:r w:rsidR="006B742D" w:rsidRPr="009C1256">
        <w:rPr>
          <w:lang w:val="en-GB" w:eastAsia="en-ZA"/>
        </w:rPr>
        <w:t xml:space="preserve"> </w:t>
      </w:r>
      <w:r w:rsidRPr="009C1256">
        <w:rPr>
          <w:lang w:val="en-GB" w:eastAsia="en-ZA"/>
        </w:rPr>
        <w:t>was shown to be influenced</w:t>
      </w:r>
      <w:r w:rsidR="006B742D" w:rsidRPr="009C1256">
        <w:rPr>
          <w:lang w:val="en-GB" w:eastAsia="en-ZA"/>
        </w:rPr>
        <w:t xml:space="preserve"> </w:t>
      </w:r>
      <w:r w:rsidRPr="009C1256">
        <w:rPr>
          <w:lang w:val="en-GB" w:eastAsia="en-ZA"/>
        </w:rPr>
        <w:t>by</w:t>
      </w:r>
      <w:r w:rsidR="006B742D" w:rsidRPr="009C1256">
        <w:rPr>
          <w:lang w:val="en-GB" w:eastAsia="en-ZA"/>
        </w:rPr>
        <w:t xml:space="preserve"> </w:t>
      </w:r>
      <w:r w:rsidRPr="009C1256">
        <w:rPr>
          <w:lang w:val="en-GB" w:eastAsia="en-ZA"/>
        </w:rPr>
        <w:t>rising</w:t>
      </w:r>
      <w:r w:rsidR="006B742D" w:rsidRPr="009C1256">
        <w:rPr>
          <w:lang w:val="en-GB" w:eastAsia="en-ZA"/>
        </w:rPr>
        <w:t xml:space="preserve"> </w:t>
      </w:r>
      <w:r w:rsidRPr="009C1256">
        <w:rPr>
          <w:lang w:val="en-GB" w:eastAsia="en-ZA"/>
        </w:rPr>
        <w:t>temperatures</w:t>
      </w:r>
      <w:r w:rsidR="006B742D" w:rsidRPr="009C1256">
        <w:rPr>
          <w:lang w:val="en-GB" w:eastAsia="en-ZA"/>
        </w:rPr>
        <w:t xml:space="preserve"> </w:t>
      </w:r>
      <w:r w:rsidRPr="009C1256">
        <w:rPr>
          <w:lang w:val="en-GB" w:eastAsia="en-ZA"/>
        </w:rPr>
        <w:t xml:space="preserve">in </w:t>
      </w:r>
      <w:r w:rsidR="002619A8" w:rsidRPr="009C1256">
        <w:rPr>
          <w:lang w:val="en-GB" w:eastAsia="en-ZA"/>
        </w:rPr>
        <w:t>w</w:t>
      </w:r>
      <w:r w:rsidRPr="009C1256">
        <w:rPr>
          <w:lang w:val="en-GB" w:eastAsia="en-ZA"/>
        </w:rPr>
        <w:t>inter.</w:t>
      </w:r>
      <w:r w:rsidR="006B742D" w:rsidRPr="009C1256">
        <w:rPr>
          <w:lang w:val="en-GB" w:eastAsia="en-ZA"/>
        </w:rPr>
        <w:t xml:space="preserve"> </w:t>
      </w:r>
      <w:r w:rsidR="003800EE">
        <w:rPr>
          <w:lang w:val="en-GB" w:eastAsia="en-ZA"/>
        </w:rPr>
        <w:t>Increased winter temperatures enabled</w:t>
      </w:r>
      <w:r w:rsidR="006B742D" w:rsidRPr="009C1256">
        <w:rPr>
          <w:lang w:val="en-GB" w:eastAsia="en-ZA"/>
        </w:rPr>
        <w:t xml:space="preserve"> </w:t>
      </w:r>
      <w:r w:rsidRPr="009C1256">
        <w:rPr>
          <w:lang w:val="en-GB" w:eastAsia="en-ZA"/>
        </w:rPr>
        <w:t>a</w:t>
      </w:r>
      <w:r w:rsidR="006B742D" w:rsidRPr="009C1256">
        <w:rPr>
          <w:lang w:val="en-GB" w:eastAsia="en-ZA"/>
        </w:rPr>
        <w:t xml:space="preserve"> </w:t>
      </w:r>
      <w:r w:rsidRPr="009C1256">
        <w:rPr>
          <w:lang w:val="en-GB" w:eastAsia="en-ZA"/>
        </w:rPr>
        <w:t>longer</w:t>
      </w:r>
      <w:r w:rsidR="006B742D" w:rsidRPr="009C1256">
        <w:rPr>
          <w:lang w:val="en-GB" w:eastAsia="en-ZA"/>
        </w:rPr>
        <w:t xml:space="preserve"> </w:t>
      </w:r>
      <w:r w:rsidRPr="009C1256">
        <w:rPr>
          <w:lang w:val="en-GB" w:eastAsia="en-ZA"/>
        </w:rPr>
        <w:t>overwintering</w:t>
      </w:r>
      <w:r w:rsidR="006B742D" w:rsidRPr="009C1256">
        <w:rPr>
          <w:lang w:val="en-GB" w:eastAsia="en-ZA"/>
        </w:rPr>
        <w:t xml:space="preserve"> </w:t>
      </w:r>
      <w:r w:rsidRPr="009C1256">
        <w:rPr>
          <w:lang w:val="en-GB" w:eastAsia="en-ZA"/>
        </w:rPr>
        <w:t>period</w:t>
      </w:r>
      <w:r w:rsidR="003800EE">
        <w:rPr>
          <w:lang w:val="en-GB" w:eastAsia="en-ZA"/>
        </w:rPr>
        <w:t>,</w:t>
      </w:r>
      <w:r w:rsidR="006B742D" w:rsidRPr="009C1256">
        <w:rPr>
          <w:lang w:val="en-GB" w:eastAsia="en-ZA"/>
        </w:rPr>
        <w:t xml:space="preserve"> </w:t>
      </w:r>
      <w:r w:rsidRPr="009C1256">
        <w:rPr>
          <w:lang w:val="en-GB" w:eastAsia="en-ZA"/>
        </w:rPr>
        <w:t>allowing</w:t>
      </w:r>
      <w:r w:rsidR="006B742D" w:rsidRPr="009C1256">
        <w:rPr>
          <w:lang w:val="en-GB" w:eastAsia="en-ZA"/>
        </w:rPr>
        <w:t xml:space="preserve"> </w:t>
      </w:r>
      <w:r w:rsidRPr="009C1256">
        <w:rPr>
          <w:lang w:val="en-GB" w:eastAsia="en-ZA"/>
        </w:rPr>
        <w:t>the species to spread further across increasingly connected agricultural areas</w:t>
      </w:r>
      <w:r w:rsidR="006B742D" w:rsidRPr="009C1256">
        <w:rPr>
          <w:lang w:val="en-GB" w:eastAsia="en-ZA"/>
        </w:rPr>
        <w:t xml:space="preserve"> </w:t>
      </w:r>
      <w:r w:rsidR="00DC7983" w:rsidRPr="009C1256">
        <w:rPr>
          <w:lang w:val="en-GB" w:eastAsia="en-ZA"/>
        </w:rPr>
        <w:fldChar w:fldCharType="begin"/>
      </w:r>
      <w:r w:rsidR="00331A79">
        <w:rPr>
          <w:lang w:val="en-GB" w:eastAsia="en-ZA"/>
        </w:rPr>
        <w:instrText xml:space="preserve"> ADDIN ZOTERO_ITEM CSL_CITATION {"citationID":"47EcvUCq","properties":{"formattedCitation":"(Hong et al., 2019)","plainCitation":"(Hong et al., 2019)","noteIndex":0},"citationItems":[{"id":26964,"uris":["http://zotero.org/groups/2352922/items/885JSV67"],"itemData":{"id":26964,"type":"article-journal","abstract":"Climate change and land-use change are the most powerful drivers for the invasion of alien species. To understand the integrated effects of these two drivers on pest invasion risk in the future, this study assessed how they impact the invasion risk of Thrips palmi Karny, which is the most serious invasive species in the Korean peninsula. The potential distribution of T. palmi was projected with a MaxEnt model for current and future climate change scenarios (RCP 4.5 and 8.5) based on occurrence records. The potential distribution extends to the north over time, except the eastern high mountainous area, for both RCPs in 2075. The MaxEnt outputs were filtered with agricultural area using data from three land-use change scenarios derived from the Shared Socio-economic Pathways (SSPs), because T. palmi populations can only be sustained in agricultural areas. The potential risk of T. palmi, based on the potential distribution probability in the future agricultural area, increased over time under all RCPs-SSPs combinations. The total area of T. palmi occurrence increased under RCPs-SSP1 and -SSP2 but decreased under RCPs-SSP3, due to agricultural areas being converted to urban areas. In conclusion, based on future climate change scenarios, T. palmi could be distributed throughout the Korean peninsula in the future. The invasion risk in agricultural areas will increase substantially; thus, intensive control measures for T. palmi are required in the future. Our research suggests that using both climate change and land-use change in pest risk mapping study can provide informative data for management strategy.","container-title":"Journal of Asia-Pacific Entomology","DOI":"10.1016/j.aspen.2019.04.013","ISSN":"1226-8615","issue":"3","journalAbbreviation":"Journal of Asia-Pacific Entomology","language":"en","page":"666-674","source":"ScienceDirect","title":"Risk map for the range expansion of &lt;i&gt;Thrips palmi&lt;/i&gt; in Korea under climate change: Combining species distribution models with land-use change","title-short":"Risk map for the range expansion of Thrips palmi in Korea under climate change","URL":"https://www.sciencedirect.com/science/article/pii/S122686151930007X","volume":"22","author":[{"family":"Hong","given":"Jinsol"},{"family":"Lee","given":"Gwan-Seok"},{"family":"Park","given":"Jung-Joon"},{"family":"Mo","given":"Hyoung-ho"},{"family":"Cho","given":"Kijong"}],"accessed":{"date-parts":[["2021",7,2]]},"issued":{"date-parts":[["2019",9,1]]}},"label":"page"}],"schema":"https://github.com/citation-style-language/schema/raw/master/csl-citation.json"} </w:instrText>
      </w:r>
      <w:r w:rsidR="00DC7983" w:rsidRPr="009C1256">
        <w:rPr>
          <w:lang w:val="en-GB" w:eastAsia="en-ZA"/>
        </w:rPr>
        <w:fldChar w:fldCharType="separate"/>
      </w:r>
      <w:r w:rsidR="00144D96" w:rsidRPr="00144D96">
        <w:t>(Hong et al., 2019)</w:t>
      </w:r>
      <w:r w:rsidR="00DC7983" w:rsidRPr="009C1256">
        <w:rPr>
          <w:lang w:val="en-GB" w:eastAsia="en-ZA"/>
        </w:rPr>
        <w:fldChar w:fldCharType="end"/>
      </w:r>
      <w:r w:rsidRPr="009C1256">
        <w:rPr>
          <w:lang w:val="en-GB" w:eastAsia="en-ZA"/>
        </w:rPr>
        <w:t>.</w:t>
      </w:r>
      <w:r w:rsidR="006B742D" w:rsidRPr="009C1256">
        <w:rPr>
          <w:lang w:val="en-GB" w:eastAsia="en-ZA"/>
        </w:rPr>
        <w:t xml:space="preserve"> </w:t>
      </w:r>
    </w:p>
    <w:p w14:paraId="1D0EA71A" w14:textId="4F7FCEEE" w:rsidR="007A69CD" w:rsidRPr="009C1256" w:rsidRDefault="001B2D34" w:rsidP="0090109B">
      <w:pPr>
        <w:rPr>
          <w:lang w:val="en-GB" w:eastAsia="en-ZA"/>
        </w:rPr>
      </w:pPr>
      <w:r w:rsidRPr="009C1256">
        <w:rPr>
          <w:lang w:val="en-GB" w:eastAsia="en-ZA"/>
        </w:rPr>
        <w:lastRenderedPageBreak/>
        <w:t>Climate</w:t>
      </w:r>
      <w:r w:rsidR="006B742D" w:rsidRPr="009C1256">
        <w:rPr>
          <w:lang w:val="en-GB" w:eastAsia="en-ZA"/>
        </w:rPr>
        <w:t xml:space="preserve"> </w:t>
      </w:r>
      <w:r w:rsidRPr="009C1256">
        <w:rPr>
          <w:lang w:val="en-GB" w:eastAsia="en-ZA"/>
        </w:rPr>
        <w:t>change</w:t>
      </w:r>
      <w:r w:rsidR="006B742D" w:rsidRPr="009C1256">
        <w:rPr>
          <w:lang w:val="en-GB" w:eastAsia="en-ZA"/>
        </w:rPr>
        <w:t xml:space="preserve"> </w:t>
      </w:r>
      <w:r w:rsidRPr="009C1256">
        <w:rPr>
          <w:lang w:val="en-GB" w:eastAsia="en-ZA"/>
        </w:rPr>
        <w:t>and land</w:t>
      </w:r>
      <w:r w:rsidR="00DE124F" w:rsidRPr="009C1256">
        <w:rPr>
          <w:lang w:val="en-GB" w:eastAsia="en-ZA"/>
        </w:rPr>
        <w:t>-</w:t>
      </w:r>
      <w:r w:rsidRPr="009C1256">
        <w:rPr>
          <w:lang w:val="en-GB" w:eastAsia="en-ZA"/>
        </w:rPr>
        <w:t>use change</w:t>
      </w:r>
      <w:r w:rsidR="00DE124F" w:rsidRPr="009C1256">
        <w:rPr>
          <w:lang w:val="en-GB" w:eastAsia="en-ZA"/>
        </w:rPr>
        <w:t>s</w:t>
      </w:r>
      <w:r w:rsidR="006B742D" w:rsidRPr="009C1256">
        <w:rPr>
          <w:lang w:val="en-GB" w:eastAsia="en-ZA"/>
        </w:rPr>
        <w:t xml:space="preserve"> </w:t>
      </w:r>
      <w:r w:rsidRPr="009C1256">
        <w:rPr>
          <w:lang w:val="en-GB" w:eastAsia="en-ZA"/>
        </w:rPr>
        <w:t>may</w:t>
      </w:r>
      <w:r w:rsidR="006B742D" w:rsidRPr="009C1256">
        <w:rPr>
          <w:lang w:val="en-GB" w:eastAsia="en-ZA"/>
        </w:rPr>
        <w:t xml:space="preserve"> </w:t>
      </w:r>
      <w:r w:rsidR="00101875" w:rsidRPr="009C1256">
        <w:rPr>
          <w:lang w:val="en-GB" w:eastAsia="en-ZA"/>
        </w:rPr>
        <w:t xml:space="preserve">also </w:t>
      </w:r>
      <w:r w:rsidRPr="009C1256">
        <w:rPr>
          <w:lang w:val="en-GB" w:eastAsia="en-ZA"/>
        </w:rPr>
        <w:t>interact</w:t>
      </w:r>
      <w:r w:rsidR="006B742D" w:rsidRPr="009C1256">
        <w:rPr>
          <w:lang w:val="en-GB" w:eastAsia="en-ZA"/>
        </w:rPr>
        <w:t xml:space="preserve"> </w:t>
      </w:r>
      <w:r w:rsidRPr="009C1256">
        <w:rPr>
          <w:lang w:val="en-GB" w:eastAsia="en-ZA"/>
        </w:rPr>
        <w:t>by creating</w:t>
      </w:r>
      <w:r w:rsidR="006B742D" w:rsidRPr="009C1256">
        <w:rPr>
          <w:lang w:val="en-GB" w:eastAsia="en-ZA"/>
        </w:rPr>
        <w:t xml:space="preserve"> </w:t>
      </w:r>
      <w:r w:rsidRPr="009C1256">
        <w:rPr>
          <w:lang w:val="en-GB" w:eastAsia="en-ZA"/>
        </w:rPr>
        <w:t>positive</w:t>
      </w:r>
      <w:r w:rsidR="006B742D" w:rsidRPr="009C1256">
        <w:rPr>
          <w:lang w:val="en-GB" w:eastAsia="en-ZA"/>
        </w:rPr>
        <w:t xml:space="preserve"> </w:t>
      </w:r>
      <w:r w:rsidRPr="009C1256">
        <w:rPr>
          <w:lang w:val="en-GB" w:eastAsia="en-ZA"/>
        </w:rPr>
        <w:t>feedback</w:t>
      </w:r>
      <w:r w:rsidR="006B742D" w:rsidRPr="009C1256">
        <w:rPr>
          <w:lang w:val="en-GB" w:eastAsia="en-ZA"/>
        </w:rPr>
        <w:t xml:space="preserve"> </w:t>
      </w:r>
      <w:r w:rsidRPr="009C1256">
        <w:rPr>
          <w:lang w:val="en-GB" w:eastAsia="en-ZA"/>
        </w:rPr>
        <w:t>loops</w:t>
      </w:r>
      <w:r w:rsidR="00CE00CB">
        <w:rPr>
          <w:lang w:val="en-GB" w:eastAsia="en-ZA"/>
        </w:rPr>
        <w:t>,</w:t>
      </w:r>
      <w:r w:rsidRPr="009C1256">
        <w:rPr>
          <w:lang w:val="en-GB" w:eastAsia="en-ZA"/>
        </w:rPr>
        <w:t xml:space="preserve"> reinforc</w:t>
      </w:r>
      <w:r w:rsidR="00CE00CB">
        <w:rPr>
          <w:lang w:val="en-GB" w:eastAsia="en-ZA"/>
        </w:rPr>
        <w:t>ing</w:t>
      </w:r>
      <w:r w:rsidR="006B742D" w:rsidRPr="009C1256">
        <w:rPr>
          <w:lang w:val="en-GB" w:eastAsia="en-ZA"/>
        </w:rPr>
        <w:t xml:space="preserve"> </w:t>
      </w:r>
      <w:r w:rsidRPr="009C1256">
        <w:rPr>
          <w:lang w:val="en-GB" w:eastAsia="en-ZA"/>
        </w:rPr>
        <w:t>biological invasions.</w:t>
      </w:r>
      <w:r w:rsidR="006B742D" w:rsidRPr="009C1256">
        <w:rPr>
          <w:lang w:val="en-GB" w:eastAsia="en-ZA"/>
        </w:rPr>
        <w:t xml:space="preserve"> </w:t>
      </w:r>
      <w:r w:rsidRPr="009C1256">
        <w:rPr>
          <w:lang w:val="en-GB" w:eastAsia="en-ZA"/>
        </w:rPr>
        <w:t>For example,</w:t>
      </w:r>
      <w:r w:rsidR="006B742D" w:rsidRPr="009C1256">
        <w:rPr>
          <w:lang w:val="en-GB" w:eastAsia="en-ZA"/>
        </w:rPr>
        <w:t xml:space="preserve"> </w:t>
      </w:r>
      <w:r w:rsidRPr="009C1256">
        <w:rPr>
          <w:lang w:val="en-GB" w:eastAsia="en-ZA"/>
        </w:rPr>
        <w:t>in</w:t>
      </w:r>
      <w:r w:rsidR="006B742D" w:rsidRPr="009C1256">
        <w:rPr>
          <w:lang w:val="en-GB" w:eastAsia="en-ZA"/>
        </w:rPr>
        <w:t xml:space="preserve"> </w:t>
      </w:r>
      <w:r w:rsidRPr="009C1256">
        <w:rPr>
          <w:lang w:val="en-GB" w:eastAsia="en-ZA"/>
        </w:rPr>
        <w:t>the</w:t>
      </w:r>
      <w:r w:rsidR="006B742D" w:rsidRPr="009C1256">
        <w:rPr>
          <w:lang w:val="en-GB" w:eastAsia="en-ZA"/>
        </w:rPr>
        <w:t xml:space="preserve"> </w:t>
      </w:r>
      <w:r w:rsidRPr="009C1256">
        <w:rPr>
          <w:lang w:val="en-GB" w:eastAsia="en-ZA"/>
        </w:rPr>
        <w:t>tropical dry forests of</w:t>
      </w:r>
      <w:r w:rsidR="00497AE5" w:rsidRPr="009C1256">
        <w:rPr>
          <w:lang w:val="en-GB" w:eastAsia="en-ZA"/>
        </w:rPr>
        <w:t xml:space="preserve"> </w:t>
      </w:r>
      <w:r w:rsidRPr="009C1256">
        <w:rPr>
          <w:lang w:val="en-GB" w:eastAsia="en-ZA"/>
        </w:rPr>
        <w:t>Bolivia</w:t>
      </w:r>
      <w:r w:rsidR="00497AE5" w:rsidRPr="009C1256">
        <w:rPr>
          <w:lang w:val="en-GB" w:eastAsia="en-ZA"/>
        </w:rPr>
        <w:t xml:space="preserve"> </w:t>
      </w:r>
      <w:r w:rsidRPr="009C1256">
        <w:rPr>
          <w:lang w:val="en-GB" w:eastAsia="en-ZA"/>
        </w:rPr>
        <w:t xml:space="preserve">experimental fires were shown to </w:t>
      </w:r>
      <w:r w:rsidR="006C3BBA" w:rsidRPr="009C1256">
        <w:rPr>
          <w:lang w:val="en-GB" w:eastAsia="en-ZA"/>
        </w:rPr>
        <w:t>enhance</w:t>
      </w:r>
      <w:r w:rsidRPr="009C1256">
        <w:rPr>
          <w:lang w:val="en-GB" w:eastAsia="en-ZA"/>
        </w:rPr>
        <w:t xml:space="preserve"> the</w:t>
      </w:r>
      <w:r w:rsidR="00497AE5" w:rsidRPr="009C1256">
        <w:rPr>
          <w:lang w:val="en-GB" w:eastAsia="en-ZA"/>
        </w:rPr>
        <w:t xml:space="preserve"> </w:t>
      </w:r>
      <w:r w:rsidRPr="009C1256">
        <w:rPr>
          <w:lang w:val="en-GB" w:eastAsia="en-ZA"/>
        </w:rPr>
        <w:t>abundance</w:t>
      </w:r>
      <w:r w:rsidR="00497AE5" w:rsidRPr="009C1256">
        <w:rPr>
          <w:lang w:val="en-GB" w:eastAsia="en-ZA"/>
        </w:rPr>
        <w:t xml:space="preserve"> </w:t>
      </w:r>
      <w:r w:rsidRPr="009C1256">
        <w:rPr>
          <w:lang w:val="en-GB" w:eastAsia="en-ZA"/>
        </w:rPr>
        <w:t>of</w:t>
      </w:r>
      <w:r w:rsidR="00497AE5" w:rsidRPr="009C1256">
        <w:rPr>
          <w:lang w:val="en-GB" w:eastAsia="en-ZA"/>
        </w:rPr>
        <w:t xml:space="preserve"> </w:t>
      </w:r>
      <w:r w:rsidR="00101875" w:rsidRPr="009C1256">
        <w:rPr>
          <w:lang w:val="en-GB" w:eastAsia="en-ZA"/>
        </w:rPr>
        <w:t xml:space="preserve">the </w:t>
      </w:r>
      <w:r w:rsidRPr="009C1256">
        <w:rPr>
          <w:lang w:val="en-GB" w:eastAsia="en-ZA"/>
        </w:rPr>
        <w:t xml:space="preserve">invasive </w:t>
      </w:r>
      <w:r w:rsidR="00277470" w:rsidRPr="009C1256">
        <w:rPr>
          <w:lang w:val="en-GB" w:eastAsia="en-ZA"/>
        </w:rPr>
        <w:t xml:space="preserve">alien </w:t>
      </w:r>
      <w:r w:rsidRPr="009C1256">
        <w:rPr>
          <w:lang w:val="en-GB" w:eastAsia="en-ZA"/>
        </w:rPr>
        <w:t>African grass</w:t>
      </w:r>
      <w:r w:rsidR="00497AE5" w:rsidRPr="009C1256">
        <w:rPr>
          <w:lang w:val="en-GB" w:eastAsia="en-ZA"/>
        </w:rPr>
        <w:t xml:space="preserve"> </w:t>
      </w:r>
      <w:r w:rsidR="00B45C36" w:rsidRPr="009C1256">
        <w:rPr>
          <w:i/>
          <w:iCs/>
          <w:lang w:val="en-GB" w:eastAsia="en-ZA"/>
        </w:rPr>
        <w:t>Megathyrsus maximus</w:t>
      </w:r>
      <w:r w:rsidR="00497AE5" w:rsidRPr="009C1256">
        <w:rPr>
          <w:i/>
          <w:iCs/>
          <w:lang w:val="en-GB" w:eastAsia="en-ZA"/>
        </w:rPr>
        <w:t xml:space="preserve"> </w:t>
      </w:r>
      <w:r w:rsidR="00937AC5" w:rsidRPr="009C1256">
        <w:rPr>
          <w:iCs/>
          <w:lang w:val="en-GB" w:eastAsia="en-ZA"/>
        </w:rPr>
        <w:t>(Guinea grass)</w:t>
      </w:r>
      <w:r w:rsidR="00937AC5" w:rsidRPr="009C1256">
        <w:rPr>
          <w:i/>
          <w:iCs/>
          <w:lang w:val="en-GB" w:eastAsia="en-ZA"/>
        </w:rPr>
        <w:t xml:space="preserve"> </w:t>
      </w:r>
      <w:r w:rsidRPr="009C1256">
        <w:rPr>
          <w:lang w:val="en-GB" w:eastAsia="en-ZA"/>
        </w:rPr>
        <w:t>in plots</w:t>
      </w:r>
      <w:r w:rsidR="00497AE5" w:rsidRPr="009C1256">
        <w:rPr>
          <w:lang w:val="en-GB" w:eastAsia="en-ZA"/>
        </w:rPr>
        <w:t xml:space="preserve"> </w:t>
      </w:r>
      <w:r w:rsidRPr="009C1256">
        <w:rPr>
          <w:lang w:val="en-GB" w:eastAsia="en-ZA"/>
        </w:rPr>
        <w:t>subjected</w:t>
      </w:r>
      <w:r w:rsidR="00497AE5" w:rsidRPr="009C1256">
        <w:rPr>
          <w:lang w:val="en-GB" w:eastAsia="en-ZA"/>
        </w:rPr>
        <w:t xml:space="preserve"> </w:t>
      </w:r>
      <w:r w:rsidRPr="009C1256">
        <w:rPr>
          <w:lang w:val="en-GB" w:eastAsia="en-ZA"/>
        </w:rPr>
        <w:t>to selective logging</w:t>
      </w:r>
      <w:r w:rsidR="00497AE5" w:rsidRPr="009C1256">
        <w:rPr>
          <w:lang w:val="en-GB" w:eastAsia="en-ZA"/>
        </w:rPr>
        <w:t xml:space="preserve"> </w:t>
      </w:r>
      <w:r w:rsidRPr="009C1256">
        <w:rPr>
          <w:lang w:val="en-GB" w:eastAsia="en-ZA"/>
        </w:rPr>
        <w:t>compared to</w:t>
      </w:r>
      <w:r w:rsidR="00497AE5" w:rsidRPr="009C1256">
        <w:rPr>
          <w:lang w:val="en-GB" w:eastAsia="en-ZA"/>
        </w:rPr>
        <w:t xml:space="preserve"> </w:t>
      </w:r>
      <w:r w:rsidRPr="009C1256">
        <w:rPr>
          <w:lang w:val="en-GB" w:eastAsia="en-ZA"/>
        </w:rPr>
        <w:t>unlogged areas, suggesting</w:t>
      </w:r>
      <w:r w:rsidR="00497AE5" w:rsidRPr="009C1256">
        <w:rPr>
          <w:lang w:val="en-GB" w:eastAsia="en-ZA"/>
        </w:rPr>
        <w:t xml:space="preserve"> </w:t>
      </w:r>
      <w:r w:rsidRPr="009C1256">
        <w:rPr>
          <w:lang w:val="en-GB" w:eastAsia="en-ZA"/>
        </w:rPr>
        <w:t>that increasing fire risk under climate change</w:t>
      </w:r>
      <w:r w:rsidR="00497AE5" w:rsidRPr="009C1256">
        <w:rPr>
          <w:lang w:val="en-GB" w:eastAsia="en-ZA"/>
        </w:rPr>
        <w:t xml:space="preserve"> </w:t>
      </w:r>
      <w:r w:rsidRPr="009C1256">
        <w:rPr>
          <w:lang w:val="en-GB" w:eastAsia="en-ZA"/>
        </w:rPr>
        <w:t xml:space="preserve">may </w:t>
      </w:r>
      <w:r w:rsidR="0061178F" w:rsidRPr="009C1256">
        <w:rPr>
          <w:lang w:val="en-GB" w:eastAsia="en-ZA"/>
        </w:rPr>
        <w:t xml:space="preserve">interact with deforestation resulting from land-use change to </w:t>
      </w:r>
      <w:r w:rsidRPr="009C1256">
        <w:rPr>
          <w:lang w:val="en-GB" w:eastAsia="en-ZA"/>
        </w:rPr>
        <w:t>promote</w:t>
      </w:r>
      <w:r w:rsidR="00497AE5" w:rsidRPr="009C1256">
        <w:rPr>
          <w:lang w:val="en-GB" w:eastAsia="en-ZA"/>
        </w:rPr>
        <w:t xml:space="preserve"> </w:t>
      </w:r>
      <w:r w:rsidRPr="009C1256">
        <w:rPr>
          <w:lang w:val="en-GB" w:eastAsia="en-ZA"/>
        </w:rPr>
        <w:t>the spread of this species</w:t>
      </w:r>
      <w:r w:rsidR="00497AE5" w:rsidRPr="009C1256">
        <w:rPr>
          <w:lang w:val="en-GB" w:eastAsia="en-ZA"/>
        </w:rPr>
        <w:t xml:space="preserve"> </w:t>
      </w:r>
      <w:r w:rsidR="008C057C" w:rsidRPr="009C1256">
        <w:rPr>
          <w:lang w:val="en-GB" w:eastAsia="en-ZA"/>
        </w:rPr>
        <w:fldChar w:fldCharType="begin"/>
      </w:r>
      <w:r w:rsidR="00331A79">
        <w:rPr>
          <w:lang w:val="en-GB" w:eastAsia="en-ZA"/>
        </w:rPr>
        <w:instrText xml:space="preserve"> ADDIN ZOTERO_ITEM CSL_CITATION {"citationID":"SMx5yAri","properties":{"formattedCitation":"(Veldman et al., 2009)","plainCitation":"(Veldman et al., 2009)","noteIndex":0},"citationItems":[{"id":27184,"uris":["http://zotero.org/groups/2352922/items/MA9AUMX4"],"itemData":{"id":27184,"type":"article-journal","abstract":"Logging is an integral component of most conceptual models that relate human land-use and climate change to tropical deforestation via positive-feedbacks involving fire. Given that grass invasions can substantially alter fire regimes, we studied grass distributions in a tropical dry forest 1–5yr after selective logging, and experimentally tested the effect of forest fire on populations of invasive grasses. In unlogged forests and in microhabitats created by selective logging we found a total of four alien and 16 native grass species. Grasses covered 2% of unlogged and 4% of logged forest, with grass cover in logged forest concentrated in areas directly disturbed by logging; log landings and roads had relatively greater grass cover (37% and 17%, respectively) than did skid trails (10%) and felling gaps (8%). Total grass cover and grass species richness increased with canopy openness and were greatest in sites most severely disturbed by logging. The grass flora of these disturbed areas was composed mostly of native ruderal species (e.g., Digitaria insularis, Leptochloa virgata), a native bamboo (Guadua paniculata), and Urochloa (Panicum) maxima, a caespitose C4 pasture grass introduced from Africa. Urochloa maxima formed monodominant stands (up to 91% cover and 2–3m tall) and grew on 69% of log landings and 38% of roads. To better understand the potentially synergistic effects of logging and fire on the early stages of grass invasion, we tested the effect of a 12-ha experimental fire on U. maxima populations in a selectively logged forest. Three years after the fire, the area covered by alien grass in burned forest increased fourfold from 400m2 (pre-fire) to 1660m2; over the same period in a logged but unburned (control) area, U. maxima cover decreased from 398m2 to 276m2. Increased canopy openness due to fire-induced tree mortality corresponded with the greater magnitude of grass invasion following fire. Selective logging of this dry forest on the southern edge of the Amazon Basin promotes alien grass invasion; when coupled with fire, the rate of invasion substantially increased. Recognition of the grass-promoting potential of selective logging is important for understanding the possible fates of tropical forests in fire-prone regions.","container-title":"Forest Ecology and Management","DOI":"10.1016/j.foreco.2009.07.024","ISSN":"0378-1127","issue":"7","journalAbbreviation":"Forest Ecology and Management","language":"en","page":"1643-1649","source":"ScienceDirect","title":"Selective logging and fire as drivers of alien grass invasion in a Bolivian tropical dry forest","URL":"http://www.sciencedirect.com/science/article/pii/S0378112709004976","volume":"258","author":[{"family":"Veldman","given":"Joseph W."},{"family":"Mostacedo","given":"B."},{"family":"Peña-Claros","given":"M."},{"family":"Putz","given":"F. E."}],"accessed":{"date-parts":[["2020",5,10]]},"issued":{"date-parts":[["2009",9,15]]}},"label":"page"}],"schema":"https://github.com/citation-style-language/schema/raw/master/csl-citation.json"} </w:instrText>
      </w:r>
      <w:r w:rsidR="008C057C" w:rsidRPr="009C1256">
        <w:rPr>
          <w:lang w:val="en-GB" w:eastAsia="en-ZA"/>
        </w:rPr>
        <w:fldChar w:fldCharType="separate"/>
      </w:r>
      <w:r w:rsidR="00144D96" w:rsidRPr="00144D96">
        <w:t>(Veldman et al., 2009)</w:t>
      </w:r>
      <w:r w:rsidR="008C057C" w:rsidRPr="009C1256">
        <w:rPr>
          <w:lang w:val="en-GB" w:eastAsia="en-ZA"/>
        </w:rPr>
        <w:fldChar w:fldCharType="end"/>
      </w:r>
      <w:r w:rsidRPr="009C1256">
        <w:rPr>
          <w:lang w:val="en-GB" w:eastAsia="en-ZA"/>
        </w:rPr>
        <w:t>.</w:t>
      </w:r>
      <w:r w:rsidR="00497AE5" w:rsidRPr="009C1256">
        <w:rPr>
          <w:lang w:val="en-GB" w:eastAsia="en-ZA"/>
        </w:rPr>
        <w:t xml:space="preserve"> </w:t>
      </w:r>
      <w:r w:rsidRPr="009C1256">
        <w:rPr>
          <w:lang w:val="en-GB" w:eastAsia="en-ZA"/>
        </w:rPr>
        <w:t>Similarly, in dryland areas</w:t>
      </w:r>
      <w:r w:rsidR="00497AE5" w:rsidRPr="009C1256">
        <w:rPr>
          <w:lang w:val="en-GB" w:eastAsia="en-ZA"/>
        </w:rPr>
        <w:t xml:space="preserve"> </w:t>
      </w:r>
      <w:r w:rsidRPr="009C1256">
        <w:rPr>
          <w:lang w:val="en-GB" w:eastAsia="en-ZA"/>
        </w:rPr>
        <w:t>in South Africa,</w:t>
      </w:r>
      <w:r w:rsidR="00497AE5" w:rsidRPr="009C1256">
        <w:rPr>
          <w:lang w:val="en-GB" w:eastAsia="en-ZA"/>
        </w:rPr>
        <w:t xml:space="preserve"> </w:t>
      </w:r>
      <w:r w:rsidRPr="009C1256">
        <w:rPr>
          <w:lang w:val="en-GB" w:eastAsia="en-ZA"/>
        </w:rPr>
        <w:t>degraded landscapes</w:t>
      </w:r>
      <w:r w:rsidR="00497AE5" w:rsidRPr="009C1256">
        <w:rPr>
          <w:lang w:val="en-GB" w:eastAsia="en-ZA"/>
        </w:rPr>
        <w:t xml:space="preserve"> </w:t>
      </w:r>
      <w:r w:rsidRPr="009C1256">
        <w:rPr>
          <w:lang w:val="en-GB" w:eastAsia="en-ZA"/>
        </w:rPr>
        <w:t>and road corridors</w:t>
      </w:r>
      <w:r w:rsidR="00497AE5" w:rsidRPr="009C1256">
        <w:rPr>
          <w:lang w:val="en-GB" w:eastAsia="en-ZA"/>
        </w:rPr>
        <w:t xml:space="preserve"> </w:t>
      </w:r>
      <w:r w:rsidRPr="009C1256">
        <w:rPr>
          <w:lang w:val="en-GB" w:eastAsia="en-ZA"/>
        </w:rPr>
        <w:t>invaded by</w:t>
      </w:r>
      <w:r w:rsidR="00497AE5" w:rsidRPr="009C1256">
        <w:rPr>
          <w:lang w:val="en-GB" w:eastAsia="en-ZA"/>
        </w:rPr>
        <w:t xml:space="preserve"> </w:t>
      </w:r>
      <w:r w:rsidRPr="009C1256">
        <w:rPr>
          <w:lang w:val="en-GB" w:eastAsia="en-ZA"/>
        </w:rPr>
        <w:t>alien</w:t>
      </w:r>
      <w:r w:rsidR="00497AE5" w:rsidRPr="009C1256">
        <w:rPr>
          <w:lang w:val="en-GB" w:eastAsia="en-ZA"/>
        </w:rPr>
        <w:t xml:space="preserve"> </w:t>
      </w:r>
      <w:r w:rsidRPr="009C1256">
        <w:rPr>
          <w:lang w:val="en-GB" w:eastAsia="en-ZA"/>
        </w:rPr>
        <w:t>grasses may alter the fuel</w:t>
      </w:r>
      <w:r w:rsidR="00497AE5" w:rsidRPr="009C1256">
        <w:rPr>
          <w:lang w:val="en-GB" w:eastAsia="en-ZA"/>
        </w:rPr>
        <w:t xml:space="preserve"> </w:t>
      </w:r>
      <w:r w:rsidRPr="009C1256">
        <w:rPr>
          <w:lang w:val="en-GB" w:eastAsia="en-ZA"/>
        </w:rPr>
        <w:t>characteristics</w:t>
      </w:r>
      <w:r w:rsidR="00497AE5" w:rsidRPr="009C1256">
        <w:rPr>
          <w:lang w:val="en-GB" w:eastAsia="en-ZA"/>
        </w:rPr>
        <w:t xml:space="preserve"> </w:t>
      </w:r>
      <w:r w:rsidRPr="009C1256">
        <w:rPr>
          <w:lang w:val="en-GB" w:eastAsia="en-ZA"/>
        </w:rPr>
        <w:t>sufficiently</w:t>
      </w:r>
      <w:r w:rsidR="00497AE5" w:rsidRPr="009C1256">
        <w:rPr>
          <w:lang w:val="en-GB" w:eastAsia="en-ZA"/>
        </w:rPr>
        <w:t xml:space="preserve"> </w:t>
      </w:r>
      <w:r w:rsidRPr="009C1256">
        <w:rPr>
          <w:lang w:val="en-GB" w:eastAsia="en-ZA"/>
        </w:rPr>
        <w:t>for fires to become</w:t>
      </w:r>
      <w:r w:rsidR="00497AE5" w:rsidRPr="009C1256">
        <w:rPr>
          <w:lang w:val="en-GB" w:eastAsia="en-ZA"/>
        </w:rPr>
        <w:t xml:space="preserve"> </w:t>
      </w:r>
      <w:r w:rsidRPr="009C1256">
        <w:rPr>
          <w:lang w:val="en-GB" w:eastAsia="en-ZA"/>
        </w:rPr>
        <w:t>a threat to</w:t>
      </w:r>
      <w:r w:rsidR="00497AE5" w:rsidRPr="009C1256">
        <w:rPr>
          <w:lang w:val="en-GB" w:eastAsia="en-ZA"/>
        </w:rPr>
        <w:t xml:space="preserve"> </w:t>
      </w:r>
      <w:r w:rsidRPr="009C1256">
        <w:rPr>
          <w:lang w:val="en-GB" w:eastAsia="en-ZA"/>
        </w:rPr>
        <w:t>an</w:t>
      </w:r>
      <w:r w:rsidR="00497AE5" w:rsidRPr="009C1256">
        <w:rPr>
          <w:lang w:val="en-GB" w:eastAsia="en-ZA"/>
        </w:rPr>
        <w:t xml:space="preserve"> </w:t>
      </w:r>
      <w:r w:rsidRPr="009C1256">
        <w:rPr>
          <w:lang w:val="en-GB" w:eastAsia="en-ZA"/>
        </w:rPr>
        <w:t>otherwise</w:t>
      </w:r>
      <w:r w:rsidR="00497AE5" w:rsidRPr="009C1256">
        <w:rPr>
          <w:lang w:val="en-GB" w:eastAsia="en-ZA"/>
        </w:rPr>
        <w:t xml:space="preserve"> </w:t>
      </w:r>
      <w:r w:rsidRPr="009C1256">
        <w:rPr>
          <w:lang w:val="en-GB" w:eastAsia="en-ZA"/>
        </w:rPr>
        <w:t>fire-absent vegetation type</w:t>
      </w:r>
      <w:r w:rsidR="00497AE5" w:rsidRPr="009C1256">
        <w:rPr>
          <w:lang w:val="en-GB" w:eastAsia="en-ZA"/>
        </w:rPr>
        <w:t xml:space="preserve"> </w:t>
      </w:r>
      <w:r w:rsidR="003B5C63" w:rsidRPr="009C1256">
        <w:rPr>
          <w:lang w:val="en-GB" w:eastAsia="en-ZA"/>
        </w:rPr>
        <w:fldChar w:fldCharType="begin"/>
      </w:r>
      <w:r w:rsidR="00331A79">
        <w:rPr>
          <w:lang w:val="en-GB" w:eastAsia="en-ZA"/>
        </w:rPr>
        <w:instrText xml:space="preserve"> ADDIN ZOTERO_ITEM CSL_CITATION {"citationID":"DfdjoXCU","properties":{"formattedCitation":"(Rahlao et al., 2009, 2014)","plainCitation":"(Rahlao et al., 2009, 2014)","noteIndex":0},"citationItems":[{"id":30421,"uris":["http://zotero.org/groups/2352922/items/DCAVAS5I"],"itemData":{"id":30421,"type":"article-journal","abstract":"Arid shrublands in the Karoo (South Africa) seldom accumulate sufficient combustible fuel to support fire. However, as a result of invasion by an alien perennial grass (Pennisetum setaceum), they could become flammable. This paper reports on an experiment to assess the effects of fire following invasion by P. setaceum. We established 10 plots (5 × 10 m) separated by 2.5 m, and added grass fuel to five plots (5 and 10 tons ha−1 to alternate halves of the plot) leaving the remaining five plots as interspersed controls. Plots with fuel added were burnt, and fire behaviour was measured during the burns. Rates of fire spread were generally low (0.01–0.07 m s−1) and did not differ significantly between burn treatments. Mean fireline intensities were higher in the high compared with the low fuel treatments (894 and 427 kW m−1, respectively). We recorded plant species and their cover before and after burning on each of the plots. After 15 months of follow-up monitoring in the burn plots, only two species, the dwarf shrub (Tripteris sinuata) and the perennial herb (Gazania krebsiana) resprouted. Most individuals of other species were killed and did not reseed during the 15-month study. The mass of added fuel load (high or low) did not influence vegetation recovery rates after fire. Should future invasions by P. setaceum lead to similar fuel loads in these shrublands, inevitable fires could change the vegetation and may favour spread of the flammable grass. Our results have important implications for predicting the effects of invasive alien plants (especially grasses) on fire-free ecosystems elsewhere. The predicted impacts of fire may alter species composition, ultimately affecting core natural resources that support the Karoo economy.","container-title":"Austral Ecology","DOI":"https://doi.org/10.1111/j.1442-9993.2009.02000.x","ISSN":"1442-9993","issue":"8","language":"en","license":"© 2009 The Authors. Journal compilation © 2009 Ecological Society of Australia","note":"_eprint: https://onlinelibrary.wiley.com/doi/pdf/10.1111/j.1442-9993.2009.02000.x","page":"920-928","source":"Wiley Online Library","title":"Effects of invasion of fire-free arid shrublands by a fire-promoting invasive alien grass (&lt;i&gt;Pennisetum setaceum&lt;/i&gt;) in South Africa","URL":"https://onlinelibrary.wiley.com/doi/abs/10.1111/j.1442-9993.2009.02000.x","volume":"34","author":[{"family":"Rahlao","given":"Sebataolo J."},{"family":"Milton","given":"S. J."},{"family":"Esler","given":"K. J."},{"family":"Wilgen","given":"Brian W."},{"family":"Barnard","given":"P."}],"accessed":{"date-parts":[["2021",3,12]]},"issued":{"date-parts":[["2009"]]}},"label":"page"},{"id":26260,"uris":["http://zotero.org/groups/2352922/items/U88YNTPD"],"itemData":{"id":26260,"type":"article-journal","container-title":"South African Journal of Botany","DOI":"10.1016/j.sajb.2013.11.013","ISSN":"02546299","language":"en","page":"43-48","source":"CrossRef","title":"Performance of invasive alien fountain grass (&lt;i&gt;Pennisetum setaceum&lt;/i&gt;) along a climatic gradient through three South African biomes","URL":"http://linkinghub.elsevier.com/retrieve/pii/S0254629913004663","volume":"91","author":[{"family":"Rahlao","given":"Sebataolo J."},{"family":"Milton","given":"Suzanne J."},{"family":"Esler","given":"Karen J."},{"family":"Barnard","given":"Phoebe"}],"accessed":{"date-parts":[["2017",10,26]]},"issued":{"date-parts":[["2014",3]]}},"label":"page"}],"schema":"https://github.com/citation-style-language/schema/raw/master/csl-citation.json"} </w:instrText>
      </w:r>
      <w:r w:rsidR="003B5C63" w:rsidRPr="009C1256">
        <w:rPr>
          <w:lang w:val="en-GB" w:eastAsia="en-ZA"/>
        </w:rPr>
        <w:fldChar w:fldCharType="separate"/>
      </w:r>
      <w:r w:rsidR="00144D96" w:rsidRPr="00144D96">
        <w:t>(Rahlao et al., 2009, 2014)</w:t>
      </w:r>
      <w:r w:rsidR="003B5C63" w:rsidRPr="009C1256">
        <w:rPr>
          <w:lang w:val="en-GB" w:eastAsia="en-ZA"/>
        </w:rPr>
        <w:fldChar w:fldCharType="end"/>
      </w:r>
      <w:r w:rsidRPr="009C1256">
        <w:rPr>
          <w:lang w:val="en-GB" w:eastAsia="en-ZA"/>
        </w:rPr>
        <w:t>.</w:t>
      </w:r>
      <w:r w:rsidR="00497AE5" w:rsidRPr="009C1256">
        <w:rPr>
          <w:lang w:val="en-GB" w:eastAsia="en-ZA"/>
        </w:rPr>
        <w:t xml:space="preserve"> </w:t>
      </w:r>
      <w:r w:rsidRPr="009C1256">
        <w:rPr>
          <w:lang w:val="en-GB" w:eastAsia="en-ZA"/>
        </w:rPr>
        <w:t xml:space="preserve">In these disturbed environments, </w:t>
      </w:r>
      <w:r w:rsidR="0061178F" w:rsidRPr="009C1256">
        <w:rPr>
          <w:lang w:val="en-GB" w:eastAsia="en-ZA"/>
        </w:rPr>
        <w:t xml:space="preserve">land-use </w:t>
      </w:r>
      <w:r w:rsidR="003000E0">
        <w:rPr>
          <w:lang w:val="en-GB" w:eastAsia="en-ZA"/>
        </w:rPr>
        <w:t xml:space="preserve">change </w:t>
      </w:r>
      <w:r w:rsidR="0061178F" w:rsidRPr="009C1256">
        <w:rPr>
          <w:lang w:val="en-GB" w:eastAsia="en-ZA"/>
        </w:rPr>
        <w:t xml:space="preserve">and climate </w:t>
      </w:r>
      <w:r w:rsidRPr="009C1256">
        <w:rPr>
          <w:lang w:val="en-GB" w:eastAsia="en-ZA"/>
        </w:rPr>
        <w:t xml:space="preserve">change </w:t>
      </w:r>
      <w:r w:rsidR="0061178F" w:rsidRPr="009C1256">
        <w:rPr>
          <w:lang w:val="en-GB" w:eastAsia="en-ZA"/>
        </w:rPr>
        <w:t xml:space="preserve">interact to </w:t>
      </w:r>
      <w:r w:rsidR="6EAE8038" w:rsidRPr="009C1256">
        <w:rPr>
          <w:lang w:val="en-GB" w:eastAsia="en-ZA"/>
        </w:rPr>
        <w:t>favo</w:t>
      </w:r>
      <w:r w:rsidR="006F2AF5" w:rsidRPr="009C1256">
        <w:rPr>
          <w:lang w:val="en-GB" w:eastAsia="en-ZA"/>
        </w:rPr>
        <w:t>u</w:t>
      </w:r>
      <w:r w:rsidR="6EAE8038" w:rsidRPr="009C1256">
        <w:rPr>
          <w:lang w:val="en-GB" w:eastAsia="en-ZA"/>
        </w:rPr>
        <w:t>r</w:t>
      </w:r>
      <w:r w:rsidR="00497AE5" w:rsidRPr="009C1256">
        <w:rPr>
          <w:lang w:val="en-GB" w:eastAsia="en-ZA"/>
        </w:rPr>
        <w:t xml:space="preserve"> </w:t>
      </w:r>
      <w:r w:rsidR="0061178F" w:rsidRPr="009C1256">
        <w:rPr>
          <w:lang w:val="en-GB" w:eastAsia="en-ZA"/>
        </w:rPr>
        <w:t>biological invasions</w:t>
      </w:r>
      <w:r w:rsidRPr="009C1256">
        <w:rPr>
          <w:lang w:val="en-GB" w:eastAsia="en-ZA"/>
        </w:rPr>
        <w:t>.</w:t>
      </w:r>
    </w:p>
    <w:p w14:paraId="562D614B" w14:textId="2B7C4295" w:rsidR="00F77931" w:rsidRPr="009C1256" w:rsidRDefault="6C7D0323" w:rsidP="00375B42">
      <w:pPr>
        <w:pStyle w:val="Heading2"/>
        <w:rPr>
          <w:lang w:val="en-GB"/>
        </w:rPr>
      </w:pPr>
      <w:bookmarkStart w:id="235" w:name="_Toc18405866"/>
      <w:bookmarkStart w:id="236" w:name="_Toc44317858"/>
      <w:r w:rsidRPr="5575EBFC">
        <w:rPr>
          <w:lang w:val="en-GB"/>
        </w:rPr>
        <w:t xml:space="preserve"> </w:t>
      </w:r>
      <w:bookmarkStart w:id="237" w:name="_Toc146898478"/>
      <w:r w:rsidR="3D04D128" w:rsidRPr="5575EBFC">
        <w:rPr>
          <w:lang w:val="en-GB"/>
        </w:rPr>
        <w:t>Land-use</w:t>
      </w:r>
      <w:r w:rsidR="0FACE682" w:rsidRPr="5575EBFC">
        <w:rPr>
          <w:lang w:val="en-GB"/>
        </w:rPr>
        <w:t xml:space="preserve"> change</w:t>
      </w:r>
      <w:r w:rsidR="3D04D128" w:rsidRPr="5575EBFC">
        <w:rPr>
          <w:lang w:val="en-GB"/>
        </w:rPr>
        <w:t>, climate change</w:t>
      </w:r>
      <w:r w:rsidR="00774819">
        <w:rPr>
          <w:lang w:val="en-GB"/>
        </w:rPr>
        <w:t xml:space="preserve"> and</w:t>
      </w:r>
      <w:r w:rsidR="3D04D128" w:rsidRPr="5575EBFC">
        <w:rPr>
          <w:lang w:val="en-GB"/>
        </w:rPr>
        <w:t xml:space="preserve"> nutrient pollution</w:t>
      </w:r>
      <w:bookmarkEnd w:id="235"/>
      <w:bookmarkEnd w:id="236"/>
      <w:bookmarkEnd w:id="237"/>
    </w:p>
    <w:p w14:paraId="25FA53B6" w14:textId="73791CDD" w:rsidR="00D1111F" w:rsidRPr="00DA249F" w:rsidRDefault="00EA2693" w:rsidP="0090109B">
      <w:pPr>
        <w:rPr>
          <w:lang w:val="en-GB"/>
        </w:rPr>
      </w:pPr>
      <w:r w:rsidRPr="009C1256">
        <w:rPr>
          <w:lang w:val="en-GB"/>
        </w:rPr>
        <w:t>While many studies comment upon the</w:t>
      </w:r>
      <w:r w:rsidR="00572608" w:rsidRPr="009C1256">
        <w:rPr>
          <w:lang w:val="en-GB"/>
        </w:rPr>
        <w:t xml:space="preserve"> </w:t>
      </w:r>
      <w:r w:rsidR="00482709" w:rsidRPr="009C1256">
        <w:rPr>
          <w:lang w:val="en-GB"/>
        </w:rPr>
        <w:t xml:space="preserve">role of </w:t>
      </w:r>
      <w:r w:rsidR="00774B1E" w:rsidRPr="009C1256">
        <w:rPr>
          <w:lang w:val="en-GB"/>
        </w:rPr>
        <w:t>land</w:t>
      </w:r>
      <w:r w:rsidR="003E7C53" w:rsidRPr="009C1256">
        <w:rPr>
          <w:lang w:val="en-GB"/>
        </w:rPr>
        <w:t>-use change, climate change</w:t>
      </w:r>
      <w:r w:rsidR="00774819">
        <w:rPr>
          <w:lang w:val="en-GB"/>
        </w:rPr>
        <w:t xml:space="preserve"> and</w:t>
      </w:r>
      <w:r w:rsidR="003E7C53" w:rsidRPr="009C1256">
        <w:rPr>
          <w:lang w:val="en-GB"/>
        </w:rPr>
        <w:t xml:space="preserve"> nutrient pollution</w:t>
      </w:r>
      <w:r w:rsidR="00774B1E" w:rsidRPr="009C1256">
        <w:rPr>
          <w:lang w:val="en-GB"/>
        </w:rPr>
        <w:t xml:space="preserve"> </w:t>
      </w:r>
      <w:r w:rsidR="00482709" w:rsidRPr="009C1256">
        <w:rPr>
          <w:lang w:val="en-GB"/>
        </w:rPr>
        <w:t>in the context of</w:t>
      </w:r>
      <w:r w:rsidR="006F1162" w:rsidRPr="009C1256">
        <w:rPr>
          <w:lang w:val="en-GB"/>
        </w:rPr>
        <w:t xml:space="preserve"> biological invasions</w:t>
      </w:r>
      <w:r w:rsidRPr="009C1256">
        <w:rPr>
          <w:lang w:val="en-GB"/>
        </w:rPr>
        <w:t xml:space="preserve">, few explicitly capture interactions between these drivers </w:t>
      </w:r>
      <w:r w:rsidR="00482709" w:rsidRPr="009C1256">
        <w:rPr>
          <w:lang w:val="en-GB"/>
        </w:rPr>
        <w:t xml:space="preserve">or </w:t>
      </w:r>
      <w:r w:rsidRPr="009C1256">
        <w:rPr>
          <w:lang w:val="en-GB"/>
        </w:rPr>
        <w:t xml:space="preserve">suggest causality for </w:t>
      </w:r>
      <w:r w:rsidR="006F1162" w:rsidRPr="009C1256">
        <w:rPr>
          <w:lang w:val="en-GB"/>
        </w:rPr>
        <w:t>specific alien species</w:t>
      </w:r>
      <w:r w:rsidR="00072B66">
        <w:rPr>
          <w:lang w:val="en-GB"/>
        </w:rPr>
        <w:t xml:space="preserve"> introductions</w:t>
      </w:r>
      <w:r w:rsidR="006F1162" w:rsidRPr="009C1256">
        <w:rPr>
          <w:lang w:val="en-GB"/>
        </w:rPr>
        <w:t xml:space="preserve"> or stages</w:t>
      </w:r>
      <w:r w:rsidR="00277470" w:rsidRPr="009C1256">
        <w:rPr>
          <w:lang w:val="en-GB"/>
        </w:rPr>
        <w:t xml:space="preserve"> of the biological invasion process</w:t>
      </w:r>
      <w:r w:rsidR="006F1162" w:rsidRPr="009C1256">
        <w:rPr>
          <w:lang w:val="en-GB"/>
        </w:rPr>
        <w:t>.</w:t>
      </w:r>
      <w:r w:rsidR="006F02BA" w:rsidRPr="009C1256">
        <w:rPr>
          <w:lang w:val="en-GB"/>
        </w:rPr>
        <w:t xml:space="preserve"> </w:t>
      </w:r>
      <w:r w:rsidRPr="009C1256">
        <w:rPr>
          <w:lang w:val="en-GB"/>
        </w:rPr>
        <w:t xml:space="preserve">In </w:t>
      </w:r>
      <w:r w:rsidR="0041334B" w:rsidRPr="009C1256">
        <w:rPr>
          <w:lang w:val="en-GB"/>
        </w:rPr>
        <w:t>fact,</w:t>
      </w:r>
      <w:r w:rsidRPr="009C1256">
        <w:rPr>
          <w:lang w:val="en-GB"/>
        </w:rPr>
        <w:t xml:space="preserve"> in many instances, invasive alien species are considered as </w:t>
      </w:r>
      <w:r w:rsidR="00DD1925" w:rsidRPr="009C1256">
        <w:rPr>
          <w:lang w:val="en-GB"/>
        </w:rPr>
        <w:t xml:space="preserve">a </w:t>
      </w:r>
      <w:r w:rsidRPr="009C1256">
        <w:rPr>
          <w:lang w:val="en-GB"/>
        </w:rPr>
        <w:t xml:space="preserve">driver, rather than </w:t>
      </w:r>
      <w:r w:rsidR="006F1162" w:rsidRPr="009C1256">
        <w:rPr>
          <w:lang w:val="en-GB"/>
        </w:rPr>
        <w:t xml:space="preserve">the </w:t>
      </w:r>
      <w:r w:rsidRPr="009C1256">
        <w:rPr>
          <w:lang w:val="en-GB"/>
        </w:rPr>
        <w:t>response</w:t>
      </w:r>
      <w:r w:rsidR="006F1162" w:rsidRPr="009C1256">
        <w:rPr>
          <w:lang w:val="en-GB"/>
        </w:rPr>
        <w:t xml:space="preserve"> affected</w:t>
      </w:r>
      <w:r w:rsidRPr="009C1256">
        <w:rPr>
          <w:lang w:val="en-GB"/>
        </w:rPr>
        <w:t xml:space="preserve">. </w:t>
      </w:r>
      <w:r w:rsidR="00FB4982" w:rsidRPr="009C1256">
        <w:rPr>
          <w:lang w:val="en-GB"/>
        </w:rPr>
        <w:t>In lieu of direct ob</w:t>
      </w:r>
      <w:r w:rsidR="00874AA7" w:rsidRPr="009C1256">
        <w:rPr>
          <w:lang w:val="en-GB"/>
        </w:rPr>
        <w:t>s</w:t>
      </w:r>
      <w:r w:rsidR="00FB4982" w:rsidRPr="009C1256">
        <w:rPr>
          <w:lang w:val="en-GB"/>
        </w:rPr>
        <w:t>ervations, p</w:t>
      </w:r>
      <w:r w:rsidRPr="009C1256">
        <w:rPr>
          <w:lang w:val="en-GB"/>
        </w:rPr>
        <w:t>aleoecological</w:t>
      </w:r>
      <w:r w:rsidRPr="00DA249F">
        <w:rPr>
          <w:lang w:val="en-GB"/>
        </w:rPr>
        <w:t xml:space="preserve"> records may provide evidence for the interactive effects of land-use or sea-use change, nutrient pollution and climate change coinciding with an increase in invasive alien species. </w:t>
      </w:r>
      <w:r w:rsidR="003322C2" w:rsidRPr="003322C2">
        <w:rPr>
          <w:lang w:val="en-GB"/>
        </w:rPr>
        <w:t>The analysis of a marsh sediment core spanning the last 1,100 years</w:t>
      </w:r>
      <w:r w:rsidR="003322C2">
        <w:rPr>
          <w:lang w:val="en-GB"/>
        </w:rPr>
        <w:t xml:space="preserve"> </w:t>
      </w:r>
      <w:r w:rsidRPr="00DA249F">
        <w:rPr>
          <w:lang w:val="en-GB"/>
        </w:rPr>
        <w:t>from Tivoli Bay in the Hudson River show</w:t>
      </w:r>
      <w:r w:rsidR="003322C2">
        <w:rPr>
          <w:lang w:val="en-GB"/>
        </w:rPr>
        <w:t>s</w:t>
      </w:r>
      <w:r w:rsidRPr="00DA249F">
        <w:rPr>
          <w:lang w:val="en-GB"/>
        </w:rPr>
        <w:t xml:space="preserve"> that climate shifts </w:t>
      </w:r>
      <w:r w:rsidR="00A66469">
        <w:rPr>
          <w:lang w:val="en-GB"/>
        </w:rPr>
        <w:t>and</w:t>
      </w:r>
      <w:r w:rsidRPr="00DA249F">
        <w:rPr>
          <w:lang w:val="en-GB"/>
        </w:rPr>
        <w:t xml:space="preserve"> other anthropogenic drivers (</w:t>
      </w:r>
      <w:r w:rsidR="00930403" w:rsidRPr="00DA249F">
        <w:rPr>
          <w:lang w:val="en-GB"/>
        </w:rPr>
        <w:t xml:space="preserve">i.e., </w:t>
      </w:r>
      <w:r w:rsidRPr="00DA249F">
        <w:rPr>
          <w:lang w:val="en-GB"/>
        </w:rPr>
        <w:t>land-use change and nutrient input) occur simultaneously</w:t>
      </w:r>
      <w:r w:rsidR="008625EE">
        <w:rPr>
          <w:lang w:val="en-GB"/>
        </w:rPr>
        <w:t>,</w:t>
      </w:r>
      <w:r w:rsidRPr="00DA249F">
        <w:rPr>
          <w:lang w:val="en-GB"/>
        </w:rPr>
        <w:t xml:space="preserve"> with a fivefold expansion of invasive </w:t>
      </w:r>
      <w:r w:rsidR="00277470" w:rsidRPr="00DA249F">
        <w:rPr>
          <w:lang w:val="en-GB"/>
        </w:rPr>
        <w:t xml:space="preserve">alien </w:t>
      </w:r>
      <w:r w:rsidRPr="00DA249F">
        <w:rPr>
          <w:lang w:val="en-GB"/>
        </w:rPr>
        <w:t>plant species</w:t>
      </w:r>
      <w:r w:rsidR="008625EE">
        <w:rPr>
          <w:lang w:val="en-GB"/>
        </w:rPr>
        <w:t xml:space="preserve"> such as </w:t>
      </w:r>
      <w:r w:rsidRPr="00DA249F">
        <w:rPr>
          <w:i/>
          <w:iCs/>
          <w:lang w:val="en-GB"/>
        </w:rPr>
        <w:t>Typha angustifolia</w:t>
      </w:r>
      <w:r w:rsidR="00AA7377" w:rsidRPr="00DA249F">
        <w:rPr>
          <w:i/>
          <w:iCs/>
          <w:lang w:val="en-GB"/>
        </w:rPr>
        <w:t xml:space="preserve"> </w:t>
      </w:r>
      <w:r w:rsidR="00AA7377" w:rsidRPr="00DA249F">
        <w:rPr>
          <w:iCs/>
          <w:lang w:val="en-GB"/>
        </w:rPr>
        <w:t>(lesser bulrush)</w:t>
      </w:r>
      <w:r w:rsidRPr="00DA249F">
        <w:rPr>
          <w:lang w:val="en-GB"/>
        </w:rPr>
        <w:t xml:space="preserve">, </w:t>
      </w:r>
      <w:r w:rsidRPr="00DA249F">
        <w:rPr>
          <w:i/>
          <w:iCs/>
          <w:lang w:val="en-GB"/>
        </w:rPr>
        <w:t>Phragmites australis</w:t>
      </w:r>
      <w:r w:rsidR="00AA7377" w:rsidRPr="00DA249F">
        <w:rPr>
          <w:i/>
          <w:iCs/>
          <w:lang w:val="en-GB"/>
        </w:rPr>
        <w:t xml:space="preserve"> </w:t>
      </w:r>
      <w:r w:rsidR="00AA7377" w:rsidRPr="00DA249F">
        <w:rPr>
          <w:iCs/>
          <w:lang w:val="en-GB"/>
        </w:rPr>
        <w:t>(common reed)</w:t>
      </w:r>
      <w:r w:rsidR="00774819">
        <w:rPr>
          <w:lang w:val="en-GB"/>
        </w:rPr>
        <w:t xml:space="preserve"> and</w:t>
      </w:r>
      <w:r w:rsidRPr="00DA249F">
        <w:rPr>
          <w:lang w:val="en-GB"/>
        </w:rPr>
        <w:t xml:space="preserve"> </w:t>
      </w:r>
      <w:r w:rsidRPr="00DA249F">
        <w:rPr>
          <w:i/>
          <w:iCs/>
          <w:lang w:val="en-GB"/>
        </w:rPr>
        <w:t>Lythrum salicaria</w:t>
      </w:r>
      <w:r w:rsidR="00AA7377" w:rsidRPr="00DA249F">
        <w:rPr>
          <w:i/>
          <w:iCs/>
          <w:lang w:val="en-GB"/>
        </w:rPr>
        <w:t xml:space="preserve"> </w:t>
      </w:r>
      <w:r w:rsidR="00AA7377" w:rsidRPr="00DA249F">
        <w:rPr>
          <w:iCs/>
          <w:lang w:val="en-GB"/>
        </w:rPr>
        <w:t>(purple loosestrife)</w:t>
      </w:r>
      <w:r w:rsidRPr="00DA249F">
        <w:rPr>
          <w:lang w:val="en-GB"/>
        </w:rPr>
        <w:t xml:space="preserve"> </w:t>
      </w:r>
      <w:r w:rsidRPr="00DA249F">
        <w:rPr>
          <w:lang w:val="en-GB"/>
        </w:rPr>
        <w:fldChar w:fldCharType="begin"/>
      </w:r>
      <w:r w:rsidR="00331A79">
        <w:rPr>
          <w:lang w:val="en-GB"/>
        </w:rPr>
        <w:instrText xml:space="preserve"> ADDIN ZOTERO_ITEM CSL_CITATION {"citationID":"CrLT0YHZ","properties":{"formattedCitation":"(Sritrairat et al., 2012)","plainCitation":"(Sritrairat et al., 2012)","noteIndex":0},"citationItems":[{"id":27322,"uris":["http://zotero.org/groups/2352922/items/7I7UCZ5U"],"itemData":{"id":27322,"type":"article-journal","container-title":"Estuarine, Coastal and Shelf Science","DOI":"10.1016/j.ecss.2012.03.003","ISSN":"02727714","journalAbbreviation":"Estuarine, Coastal and Shelf Science","language":"en","page":"24-35","source":"DOI.org (Crossref)","title":"A history of vegetation, sediment and nutrient dynamics at Tivoli North Bay, Hudson Estuary, New York","URL":"https://linkinghub.elsevier.com/retrieve/pii/S0272771412000741","volume":"102-103","author":[{"family":"Sritrairat","given":"Sanpisa"},{"family":"Peteet","given":"Dorothy M."},{"family":"Kenna","given":"Timothy C."},{"family":"Sambrotto","given":"Ray"},{"family":"Kurdyla","given":"Dorothy"},{"family":"Guilderson","given":"Tom"}],"accessed":{"date-parts":[["2021",7,7]]},"issued":{"date-parts":[["2012",5]]}},"label":"page"}],"schema":"https://github.com/citation-style-language/schema/raw/master/csl-citation.json"} </w:instrText>
      </w:r>
      <w:r w:rsidRPr="00DA249F">
        <w:rPr>
          <w:lang w:val="en-GB"/>
        </w:rPr>
        <w:fldChar w:fldCharType="separate"/>
      </w:r>
      <w:r w:rsidR="00144D96" w:rsidRPr="00144D96">
        <w:t>(Sritrairat et al., 2012)</w:t>
      </w:r>
      <w:r w:rsidRPr="00DA249F">
        <w:rPr>
          <w:lang w:val="en-GB"/>
        </w:rPr>
        <w:fldChar w:fldCharType="end"/>
      </w:r>
      <w:r w:rsidRPr="00DA249F">
        <w:rPr>
          <w:lang w:val="en-GB"/>
        </w:rPr>
        <w:t xml:space="preserve">. This study suggests that the increase in the number of invasive alien species </w:t>
      </w:r>
      <w:r w:rsidR="00FB4982" w:rsidRPr="00DA249F">
        <w:rPr>
          <w:lang w:val="en-GB"/>
        </w:rPr>
        <w:t xml:space="preserve">is </w:t>
      </w:r>
      <w:r w:rsidRPr="00DA249F">
        <w:rPr>
          <w:lang w:val="en-GB"/>
        </w:rPr>
        <w:t>linked to European settlement</w:t>
      </w:r>
      <w:r w:rsidR="00947614" w:rsidRPr="00DA249F">
        <w:rPr>
          <w:lang w:val="en-GB"/>
        </w:rPr>
        <w:t xml:space="preserve"> impacts</w:t>
      </w:r>
      <w:r w:rsidRPr="00DA249F">
        <w:rPr>
          <w:lang w:val="en-GB"/>
        </w:rPr>
        <w:t xml:space="preserve"> in this region</w:t>
      </w:r>
      <w:r w:rsidR="00947614" w:rsidRPr="00DA249F">
        <w:rPr>
          <w:lang w:val="en-GB"/>
        </w:rPr>
        <w:t>,</w:t>
      </w:r>
      <w:r w:rsidRPr="00DA249F">
        <w:rPr>
          <w:lang w:val="en-GB"/>
        </w:rPr>
        <w:t xml:space="preserve"> including higher disturbance, increased nutrient</w:t>
      </w:r>
      <w:r w:rsidR="00947614" w:rsidRPr="00DA249F">
        <w:rPr>
          <w:lang w:val="en-GB"/>
        </w:rPr>
        <w:t>s</w:t>
      </w:r>
      <w:r w:rsidR="00066BF9" w:rsidRPr="00DA249F">
        <w:rPr>
          <w:lang w:val="en-GB"/>
        </w:rPr>
        <w:t xml:space="preserve"> </w:t>
      </w:r>
      <w:r w:rsidRPr="00DA249F">
        <w:rPr>
          <w:lang w:val="en-GB"/>
        </w:rPr>
        <w:t xml:space="preserve">and sedimentation, </w:t>
      </w:r>
      <w:r w:rsidR="00947614" w:rsidRPr="00DA249F">
        <w:rPr>
          <w:lang w:val="en-GB"/>
        </w:rPr>
        <w:t xml:space="preserve">along with warmer climate, </w:t>
      </w:r>
      <w:r w:rsidRPr="00DA249F">
        <w:rPr>
          <w:lang w:val="en-GB"/>
        </w:rPr>
        <w:t xml:space="preserve">however an explicit </w:t>
      </w:r>
      <w:r w:rsidR="00FB4982" w:rsidRPr="00DA249F">
        <w:rPr>
          <w:lang w:val="en-GB"/>
        </w:rPr>
        <w:t xml:space="preserve">causal </w:t>
      </w:r>
      <w:r w:rsidRPr="00DA249F">
        <w:rPr>
          <w:lang w:val="en-GB"/>
        </w:rPr>
        <w:t>link between the different drivers and establishment of invasive alien species cannot be made.</w:t>
      </w:r>
    </w:p>
    <w:p w14:paraId="0F6A4250" w14:textId="44BFEE0E" w:rsidR="00D1111F" w:rsidRPr="00DA249F" w:rsidRDefault="00EA2693" w:rsidP="0090109B">
      <w:pPr>
        <w:rPr>
          <w:lang w:val="en-GB"/>
        </w:rPr>
      </w:pPr>
      <w:r w:rsidRPr="00DA249F">
        <w:rPr>
          <w:lang w:val="en-GB"/>
        </w:rPr>
        <w:t xml:space="preserve">A </w:t>
      </w:r>
      <w:r w:rsidR="00CD252F" w:rsidRPr="00DA249F">
        <w:rPr>
          <w:lang w:val="en-GB"/>
        </w:rPr>
        <w:t xml:space="preserve">contemporary </w:t>
      </w:r>
      <w:r w:rsidR="00941B07" w:rsidRPr="00DA249F">
        <w:rPr>
          <w:lang w:val="en-GB"/>
        </w:rPr>
        <w:t xml:space="preserve">study </w:t>
      </w:r>
      <w:r w:rsidR="0040118F" w:rsidRPr="00DA249F">
        <w:rPr>
          <w:lang w:val="en-GB"/>
        </w:rPr>
        <w:t>of</w:t>
      </w:r>
      <w:r w:rsidR="00045E9C" w:rsidRPr="00DA249F">
        <w:rPr>
          <w:lang w:val="en-GB"/>
        </w:rPr>
        <w:t xml:space="preserve"> </w:t>
      </w:r>
      <w:r w:rsidR="0040118F" w:rsidRPr="00DA249F">
        <w:rPr>
          <w:lang w:val="en-GB"/>
        </w:rPr>
        <w:t>the</w:t>
      </w:r>
      <w:r w:rsidR="00045E9C" w:rsidRPr="00DA249F">
        <w:rPr>
          <w:lang w:val="en-GB"/>
        </w:rPr>
        <w:t xml:space="preserve"> seed </w:t>
      </w:r>
      <w:r w:rsidR="00D36C1A" w:rsidRPr="00DA249F">
        <w:rPr>
          <w:lang w:val="en-GB"/>
        </w:rPr>
        <w:t xml:space="preserve">recruitment </w:t>
      </w:r>
      <w:r w:rsidR="00D83DCE" w:rsidRPr="00DA249F">
        <w:rPr>
          <w:lang w:val="en-GB"/>
        </w:rPr>
        <w:t xml:space="preserve">of </w:t>
      </w:r>
      <w:r w:rsidR="005E47B6" w:rsidRPr="00DA249F">
        <w:rPr>
          <w:lang w:val="en-GB"/>
        </w:rPr>
        <w:t xml:space="preserve">the </w:t>
      </w:r>
      <w:r w:rsidR="005E47B6">
        <w:rPr>
          <w:lang w:val="en-GB"/>
        </w:rPr>
        <w:t xml:space="preserve">invasive </w:t>
      </w:r>
      <w:r w:rsidR="005E47B6" w:rsidRPr="00DA249F">
        <w:rPr>
          <w:lang w:val="en-GB"/>
        </w:rPr>
        <w:t>alien for</w:t>
      </w:r>
      <w:r w:rsidR="005E47B6" w:rsidRPr="00DA249F">
        <w:rPr>
          <w:szCs w:val="24"/>
          <w:lang w:val="en-GB"/>
        </w:rPr>
        <w:t>bs </w:t>
      </w:r>
      <w:r w:rsidR="005E47B6" w:rsidRPr="00DA249F">
        <w:rPr>
          <w:rStyle w:val="Emphasis"/>
          <w:szCs w:val="24"/>
          <w:lang w:val="en-GB"/>
        </w:rPr>
        <w:t xml:space="preserve">Bellis perennis </w:t>
      </w:r>
      <w:r w:rsidR="005E47B6" w:rsidRPr="00DA249F">
        <w:rPr>
          <w:rStyle w:val="Emphasis"/>
          <w:i w:val="0"/>
          <w:szCs w:val="24"/>
          <w:lang w:val="en-GB"/>
        </w:rPr>
        <w:t>(common daisy)</w:t>
      </w:r>
      <w:r w:rsidR="005E47B6" w:rsidRPr="00DA249F">
        <w:rPr>
          <w:szCs w:val="24"/>
          <w:lang w:val="en-GB"/>
        </w:rPr>
        <w:t>, </w:t>
      </w:r>
      <w:r w:rsidR="005E47B6" w:rsidRPr="00DA249F">
        <w:rPr>
          <w:rStyle w:val="Emphasis"/>
          <w:szCs w:val="24"/>
          <w:lang w:val="en-GB"/>
        </w:rPr>
        <w:t xml:space="preserve">Lolium perenne </w:t>
      </w:r>
      <w:r w:rsidR="005E47B6" w:rsidRPr="00DA249F">
        <w:rPr>
          <w:rStyle w:val="Emphasis"/>
          <w:i w:val="0"/>
          <w:szCs w:val="24"/>
          <w:lang w:val="en-GB"/>
        </w:rPr>
        <w:t>(perennial ryegrass)</w:t>
      </w:r>
      <w:r w:rsidR="005E47B6" w:rsidRPr="00DA249F">
        <w:rPr>
          <w:szCs w:val="24"/>
          <w:lang w:val="en-GB"/>
        </w:rPr>
        <w:t>, </w:t>
      </w:r>
      <w:r w:rsidR="005E47B6" w:rsidRPr="00DA249F">
        <w:rPr>
          <w:rStyle w:val="Emphasis"/>
          <w:szCs w:val="24"/>
          <w:lang w:val="en-GB"/>
        </w:rPr>
        <w:t xml:space="preserve">Poa pratensis </w:t>
      </w:r>
      <w:r w:rsidR="005E47B6" w:rsidRPr="00DA249F">
        <w:rPr>
          <w:rStyle w:val="Emphasis"/>
          <w:i w:val="0"/>
          <w:szCs w:val="24"/>
          <w:lang w:val="en-GB"/>
        </w:rPr>
        <w:t>(smooth meadow-grass)</w:t>
      </w:r>
      <w:r w:rsidR="005E47B6" w:rsidRPr="00DA249F">
        <w:rPr>
          <w:szCs w:val="24"/>
          <w:lang w:val="en-GB"/>
        </w:rPr>
        <w:t>, </w:t>
      </w:r>
      <w:r w:rsidR="005E47B6" w:rsidRPr="00DA249F">
        <w:rPr>
          <w:rStyle w:val="Emphasis"/>
          <w:szCs w:val="24"/>
          <w:lang w:val="en-GB"/>
        </w:rPr>
        <w:t xml:space="preserve">Taraxacum officinale </w:t>
      </w:r>
      <w:r w:rsidR="005E47B6" w:rsidRPr="00DA249F">
        <w:rPr>
          <w:rStyle w:val="Emphasis"/>
          <w:i w:val="0"/>
          <w:szCs w:val="24"/>
          <w:lang w:val="en-GB"/>
        </w:rPr>
        <w:t>(dandelion)</w:t>
      </w:r>
      <w:r w:rsidR="005E47B6" w:rsidRPr="00DA249F">
        <w:rPr>
          <w:rStyle w:val="Emphasis"/>
          <w:szCs w:val="24"/>
          <w:lang w:val="en-GB"/>
        </w:rPr>
        <w:t>,</w:t>
      </w:r>
      <w:r w:rsidR="005E47B6" w:rsidRPr="00DA249F">
        <w:rPr>
          <w:szCs w:val="24"/>
          <w:lang w:val="en-GB"/>
        </w:rPr>
        <w:t> </w:t>
      </w:r>
      <w:r w:rsidR="005E47B6" w:rsidRPr="00DA249F">
        <w:rPr>
          <w:rStyle w:val="Emphasis"/>
          <w:szCs w:val="24"/>
          <w:lang w:val="en-GB"/>
        </w:rPr>
        <w:t xml:space="preserve">Trifolium pratense </w:t>
      </w:r>
      <w:r w:rsidR="005E47B6" w:rsidRPr="00DA249F">
        <w:rPr>
          <w:rStyle w:val="Emphasis"/>
          <w:i w:val="0"/>
          <w:szCs w:val="24"/>
          <w:lang w:val="en-GB"/>
        </w:rPr>
        <w:t>(red clover)</w:t>
      </w:r>
      <w:r w:rsidR="00774819">
        <w:rPr>
          <w:rStyle w:val="Emphasis"/>
          <w:szCs w:val="24"/>
          <w:lang w:val="en-GB"/>
        </w:rPr>
        <w:t xml:space="preserve"> and</w:t>
      </w:r>
      <w:r w:rsidR="005E47B6" w:rsidRPr="00DA249F">
        <w:rPr>
          <w:rStyle w:val="Emphasis"/>
          <w:szCs w:val="24"/>
          <w:lang w:val="en-GB"/>
        </w:rPr>
        <w:t xml:space="preserve"> Trifolium repens </w:t>
      </w:r>
      <w:r w:rsidR="005E47B6" w:rsidRPr="00DA249F">
        <w:rPr>
          <w:rStyle w:val="Emphasis"/>
          <w:i w:val="0"/>
          <w:szCs w:val="24"/>
          <w:lang w:val="en-GB"/>
        </w:rPr>
        <w:t>(white clover)</w:t>
      </w:r>
      <w:r w:rsidR="005E47B6" w:rsidRPr="00DA249F">
        <w:rPr>
          <w:szCs w:val="24"/>
          <w:lang w:val="en-GB"/>
        </w:rPr>
        <w:t xml:space="preserve"> </w:t>
      </w:r>
      <w:r w:rsidR="00045E9C" w:rsidRPr="00DA249F">
        <w:rPr>
          <w:lang w:val="en-GB"/>
        </w:rPr>
        <w:t>beyond the</w:t>
      </w:r>
      <w:r w:rsidR="005E47B6">
        <w:rPr>
          <w:lang w:val="en-GB"/>
        </w:rPr>
        <w:t>ir</w:t>
      </w:r>
      <w:r w:rsidR="00045E9C" w:rsidRPr="00DA249F">
        <w:rPr>
          <w:lang w:val="en-GB"/>
        </w:rPr>
        <w:t xml:space="preserve"> current </w:t>
      </w:r>
      <w:r w:rsidR="00277470" w:rsidRPr="00DA249F">
        <w:rPr>
          <w:lang w:val="en-GB"/>
        </w:rPr>
        <w:t xml:space="preserve">invaded </w:t>
      </w:r>
      <w:r w:rsidR="00045E9C" w:rsidRPr="00DA249F">
        <w:rPr>
          <w:lang w:val="en-GB"/>
        </w:rPr>
        <w:t xml:space="preserve">range </w:t>
      </w:r>
      <w:r w:rsidR="00A21A5E" w:rsidRPr="00DA249F">
        <w:rPr>
          <w:lang w:val="en-GB"/>
        </w:rPr>
        <w:t xml:space="preserve">in the </w:t>
      </w:r>
      <w:r w:rsidR="00D36C1A" w:rsidRPr="00DA249F">
        <w:rPr>
          <w:lang w:val="en-GB"/>
        </w:rPr>
        <w:t xml:space="preserve">subarctic </w:t>
      </w:r>
      <w:r w:rsidR="00A21A5E" w:rsidRPr="00DA249F">
        <w:rPr>
          <w:lang w:val="en-GB"/>
        </w:rPr>
        <w:t xml:space="preserve">Andes </w:t>
      </w:r>
      <w:r w:rsidR="00D83DCE" w:rsidRPr="00DA249F">
        <w:rPr>
          <w:lang w:val="en-GB"/>
        </w:rPr>
        <w:t>found that</w:t>
      </w:r>
      <w:r w:rsidR="00F26E2B">
        <w:rPr>
          <w:lang w:val="en-GB"/>
        </w:rPr>
        <w:t xml:space="preserve"> </w:t>
      </w:r>
      <w:r w:rsidR="005E47B6">
        <w:rPr>
          <w:szCs w:val="24"/>
          <w:lang w:val="en-GB"/>
        </w:rPr>
        <w:t xml:space="preserve">the species </w:t>
      </w:r>
      <w:r w:rsidR="00BA4E5D" w:rsidRPr="00DA249F">
        <w:rPr>
          <w:lang w:val="en-GB"/>
        </w:rPr>
        <w:t>produce more biomass and flowers at higher nutrient levels and warmer temperatures</w:t>
      </w:r>
      <w:r w:rsidR="00BA4E5D">
        <w:rPr>
          <w:lang w:val="en-GB"/>
        </w:rPr>
        <w:t xml:space="preserve"> and</w:t>
      </w:r>
      <w:r w:rsidR="00BA4E5D" w:rsidRPr="00DA249F">
        <w:rPr>
          <w:lang w:val="en-GB"/>
        </w:rPr>
        <w:t xml:space="preserve"> </w:t>
      </w:r>
      <w:r w:rsidR="00D83DCE" w:rsidRPr="00DA249F">
        <w:rPr>
          <w:lang w:val="en-GB"/>
        </w:rPr>
        <w:t>establish, gr</w:t>
      </w:r>
      <w:r w:rsidR="00AB5416">
        <w:rPr>
          <w:lang w:val="en-GB"/>
        </w:rPr>
        <w:t>o</w:t>
      </w:r>
      <w:r w:rsidR="00D83DCE" w:rsidRPr="00DA249F">
        <w:rPr>
          <w:lang w:val="en-GB"/>
        </w:rPr>
        <w:t>w and flower more in disturbed habitats</w:t>
      </w:r>
      <w:r w:rsidR="00BA4E5D">
        <w:rPr>
          <w:lang w:val="en-GB"/>
        </w:rPr>
        <w:t xml:space="preserve"> </w:t>
      </w:r>
      <w:r w:rsidR="00277470" w:rsidRPr="00DA249F">
        <w:rPr>
          <w:lang w:val="en-GB"/>
        </w:rPr>
        <w:t xml:space="preserve">than in undisturbed habitats </w:t>
      </w:r>
      <w:r w:rsidR="00D83DCE" w:rsidRPr="00DA249F">
        <w:rPr>
          <w:lang w:val="en-GB"/>
        </w:rPr>
        <w:fldChar w:fldCharType="begin"/>
      </w:r>
      <w:r w:rsidR="00331A79">
        <w:rPr>
          <w:lang w:val="en-GB"/>
        </w:rPr>
        <w:instrText xml:space="preserve"> ADDIN ZOTERO_ITEM CSL_CITATION {"citationID":"OMcetTFL","properties":{"formattedCitation":"(Lembrechts et al., 2016)","plainCitation":"(Lembrechts et al., 2016)","noteIndex":0},"citationItems":[{"id":29024,"uris":["http://zotero.org/groups/2352922/items/Z23B8UZ8"],"itemData":{"id":29024,"type":"article-journal","abstract":"Until now, nonnative plant species were rarely found at high elevations and latitudes. However, partly because of climate warming, biological invasions are now on the rise in these extremely cold environments. These plant invasions make it timely to undertake a thorough experimental assessment of what has previously been holding them back. This knowledge is key to developing efficient management of the increasing risks of cold-climate invasions. Here, we integrate human interventions (i.e., disturbance, nutrient addition, and propagule input) and climatic factors (i.e., temperature) into one seed-addition experiment across two continents: the subantarctic Andes and subarctic Scandinavian mountains (Scandes), to disentangle their roles in limiting or favoring plant invasions. Disturbance was found as the main determinant of plant invader success (i.e., establishment, growth, and flowering) along the entire cold-climate gradient, explaining 40–60% of the total variance in our models, with no indication of any facilitative effect from the native vegetation. Higher nutrient levels additionally stimulated biomass production and flowering. Establishment and flowering displayed a hump-shaped response with increasing elevation, suggesting that competition is the main limit on invader success at low elevations, as opposed to low-growing-season temperatures at high elevations. Our experiment showed, however, that nonnative plants can establish, grow, and flower well above their current elevational limits in high-latitude mountains. We thus argue that cold-climate ecosystems are likely to see rapid increases in plant invasions in the near future as a result of a synergistic interaction between increasing human-mediated disturbances and climate warming.","container-title":"Proceedings of the National Academy of Sciences","DOI":"10.1073/pnas.1608980113","ISSN":"0027-8424, 1091-6490","issue":"49","journalAbbreviation":"Proc Natl Acad Sci USA","language":"en","page":"14061-14066","source":"DOI.org (Crossref)","title":"Disturbance is the key to plant invasions in cold environments","URL":"http://www.pnas.org/lookup/doi/10.1073/pnas.1608980113","volume":"113","author":[{"family":"Lembrechts","given":"Jonas J."},{"family":"Pauchard","given":"Aníbal"},{"family":"Lenoir","given":"Jonathan"},{"family":"Nuñez","given":"Martín A."},{"family":"Geron","given":"Charly"},{"family":"Ven","given":"Arne"},{"family":"Bravo-Monasterio","given":"Pablo"},{"family":"Teneb","given":"Ernesto"},{"family":"Nijs","given":"Ivan"},{"family":"Milbau","given":"Ann"}],"accessed":{"date-parts":[["2021",7,7]]},"issued":{"date-parts":[["2016",12,6]]}},"label":"page"}],"schema":"https://github.com/citation-style-language/schema/raw/master/csl-citation.json"} </w:instrText>
      </w:r>
      <w:r w:rsidR="00D83DCE" w:rsidRPr="00DA249F">
        <w:rPr>
          <w:lang w:val="en-GB"/>
        </w:rPr>
        <w:fldChar w:fldCharType="separate"/>
      </w:r>
      <w:r w:rsidR="00144D96" w:rsidRPr="00144D96">
        <w:t>(Lembrechts et al., 2016)</w:t>
      </w:r>
      <w:r w:rsidR="00D83DCE" w:rsidRPr="00DA249F">
        <w:rPr>
          <w:lang w:val="en-GB"/>
        </w:rPr>
        <w:fldChar w:fldCharType="end"/>
      </w:r>
      <w:r w:rsidR="00D83DCE" w:rsidRPr="00DA249F">
        <w:rPr>
          <w:lang w:val="en-GB"/>
        </w:rPr>
        <w:t xml:space="preserve">. The study </w:t>
      </w:r>
      <w:r w:rsidR="00537CFD" w:rsidRPr="00DA249F">
        <w:rPr>
          <w:lang w:val="en-GB"/>
        </w:rPr>
        <w:t>found</w:t>
      </w:r>
      <w:r w:rsidR="00D83DCE" w:rsidRPr="00DA249F">
        <w:rPr>
          <w:lang w:val="en-GB"/>
        </w:rPr>
        <w:t xml:space="preserve"> no differences between </w:t>
      </w:r>
      <w:r w:rsidR="002238F3" w:rsidRPr="00DA249F">
        <w:rPr>
          <w:lang w:val="en-GB"/>
        </w:rPr>
        <w:t xml:space="preserve">the responses of </w:t>
      </w:r>
      <w:r w:rsidR="00D83DCE" w:rsidRPr="00DA249F">
        <w:rPr>
          <w:lang w:val="en-GB"/>
        </w:rPr>
        <w:t>these</w:t>
      </w:r>
      <w:r w:rsidR="00277470" w:rsidRPr="00DA249F">
        <w:rPr>
          <w:lang w:val="en-GB"/>
        </w:rPr>
        <w:t xml:space="preserve"> </w:t>
      </w:r>
      <w:r w:rsidR="002238F3" w:rsidRPr="00DA249F">
        <w:rPr>
          <w:lang w:val="en-GB"/>
        </w:rPr>
        <w:t xml:space="preserve">species when </w:t>
      </w:r>
      <w:r w:rsidR="00277470" w:rsidRPr="00DA249F">
        <w:rPr>
          <w:lang w:val="en-GB"/>
        </w:rPr>
        <w:t xml:space="preserve">expanding </w:t>
      </w:r>
      <w:r w:rsidR="00BC4B5D" w:rsidRPr="00DA249F">
        <w:rPr>
          <w:lang w:val="en-GB"/>
        </w:rPr>
        <w:t xml:space="preserve">in </w:t>
      </w:r>
      <w:r w:rsidR="00277470" w:rsidRPr="00DA249F">
        <w:rPr>
          <w:lang w:val="en-GB"/>
        </w:rPr>
        <w:t xml:space="preserve">their invaded range </w:t>
      </w:r>
      <w:r w:rsidR="002B7807" w:rsidRPr="00DA249F">
        <w:rPr>
          <w:lang w:val="en-GB"/>
        </w:rPr>
        <w:t xml:space="preserve">in the </w:t>
      </w:r>
      <w:r w:rsidR="00D83DCE" w:rsidRPr="00DA249F">
        <w:rPr>
          <w:lang w:val="en-GB"/>
        </w:rPr>
        <w:t xml:space="preserve">Andes </w:t>
      </w:r>
      <w:r w:rsidR="002238F3" w:rsidRPr="00DA249F">
        <w:rPr>
          <w:lang w:val="en-GB"/>
        </w:rPr>
        <w:t xml:space="preserve">compared to </w:t>
      </w:r>
      <w:r w:rsidR="00277470" w:rsidRPr="00DA249F">
        <w:rPr>
          <w:lang w:val="en-GB"/>
        </w:rPr>
        <w:t xml:space="preserve">expanding </w:t>
      </w:r>
      <w:r w:rsidR="00BC4B5D" w:rsidRPr="00DA249F">
        <w:rPr>
          <w:lang w:val="en-GB"/>
        </w:rPr>
        <w:t xml:space="preserve">in </w:t>
      </w:r>
      <w:r w:rsidR="00277470" w:rsidRPr="00DA249F">
        <w:rPr>
          <w:lang w:val="en-GB"/>
        </w:rPr>
        <w:t>their nat</w:t>
      </w:r>
      <w:r w:rsidR="00213C52" w:rsidRPr="00DA249F">
        <w:rPr>
          <w:lang w:val="en-GB"/>
        </w:rPr>
        <w:t>ive</w:t>
      </w:r>
      <w:r w:rsidR="00277470" w:rsidRPr="00DA249F">
        <w:rPr>
          <w:lang w:val="en-GB"/>
        </w:rPr>
        <w:t xml:space="preserve"> range in </w:t>
      </w:r>
      <w:r w:rsidR="00D83DCE" w:rsidRPr="00DA249F">
        <w:rPr>
          <w:lang w:val="en-GB"/>
        </w:rPr>
        <w:t xml:space="preserve">the Scandes, </w:t>
      </w:r>
      <w:r w:rsidRPr="00DA249F">
        <w:rPr>
          <w:lang w:val="en-GB"/>
        </w:rPr>
        <w:t>suggest</w:t>
      </w:r>
      <w:r w:rsidR="00D83DCE" w:rsidRPr="00DA249F">
        <w:rPr>
          <w:lang w:val="en-GB"/>
        </w:rPr>
        <w:t>ing</w:t>
      </w:r>
      <w:r w:rsidRPr="00DA249F">
        <w:rPr>
          <w:lang w:val="en-GB"/>
        </w:rPr>
        <w:t xml:space="preserve"> that </w:t>
      </w:r>
      <w:r w:rsidR="00EC2AF9" w:rsidRPr="00DA249F">
        <w:rPr>
          <w:lang w:val="en-GB"/>
        </w:rPr>
        <w:t>both</w:t>
      </w:r>
      <w:r w:rsidRPr="00DA249F">
        <w:rPr>
          <w:lang w:val="en-GB"/>
        </w:rPr>
        <w:t xml:space="preserve"> plant invasion</w:t>
      </w:r>
      <w:r w:rsidR="002835A4" w:rsidRPr="00DA249F">
        <w:rPr>
          <w:lang w:val="en-GB"/>
        </w:rPr>
        <w:t>s and natural range expansions</w:t>
      </w:r>
      <w:r w:rsidR="00066BF9" w:rsidRPr="00DA249F">
        <w:rPr>
          <w:lang w:val="en-GB"/>
        </w:rPr>
        <w:t xml:space="preserve"> </w:t>
      </w:r>
      <w:r w:rsidRPr="00DA249F">
        <w:rPr>
          <w:lang w:val="en-GB"/>
        </w:rPr>
        <w:t>in cold-climates are likely to increase with a combination of warmer climate, increased disturbance</w:t>
      </w:r>
      <w:r w:rsidR="00774819">
        <w:rPr>
          <w:lang w:val="en-GB"/>
        </w:rPr>
        <w:t xml:space="preserve"> and</w:t>
      </w:r>
      <w:r w:rsidRPr="00DA249F">
        <w:rPr>
          <w:lang w:val="en-GB"/>
        </w:rPr>
        <w:t xml:space="preserve"> </w:t>
      </w:r>
      <w:r w:rsidR="003E2B92" w:rsidRPr="00DA249F">
        <w:rPr>
          <w:lang w:val="en-GB"/>
        </w:rPr>
        <w:t xml:space="preserve">increased </w:t>
      </w:r>
      <w:r w:rsidRPr="00DA249F">
        <w:rPr>
          <w:lang w:val="en-GB"/>
        </w:rPr>
        <w:t xml:space="preserve">nutrients </w:t>
      </w:r>
      <w:r w:rsidR="002C3270" w:rsidRPr="00DA249F">
        <w:rPr>
          <w:lang w:val="en-GB"/>
        </w:rPr>
        <w:fldChar w:fldCharType="begin"/>
      </w:r>
      <w:r w:rsidR="00331A79">
        <w:rPr>
          <w:lang w:val="en-GB"/>
        </w:rPr>
        <w:instrText xml:space="preserve"> ADDIN ZOTERO_ITEM CSL_CITATION {"citationID":"yVtiIZJf","properties":{"formattedCitation":"(Lembrechts et al., 2016)","plainCitation":"(Lembrechts et al., 2016)","noteIndex":0},"citationItems":[{"id":29024,"uris":["http://zotero.org/groups/2352922/items/Z23B8UZ8"],"itemData":{"id":29024,"type":"article-journal","abstract":"Until now, nonnative plant species were rarely found at high elevations and latitudes. However, partly because of climate warming, biological invasions are now on the rise in these extremely cold environments. These plant invasions make it timely to undertake a thorough experimental assessment of what has previously been holding them back. This knowledge is key to developing efficient management of the increasing risks of cold-climate invasions. Here, we integrate human interventions (i.e., disturbance, nutrient addition, and propagule input) and climatic factors (i.e., temperature) into one seed-addition experiment across two continents: the subantarctic Andes and subarctic Scandinavian mountains (Scandes), to disentangle their roles in limiting or favoring plant invasions. Disturbance was found as the main determinant of plant invader success (i.e., establishment, growth, and flowering) along the entire cold-climate gradient, explaining 40–60% of the total variance in our models, with no indication of any facilitative effect from the native vegetation. Higher nutrient levels additionally stimulated biomass production and flowering. Establishment and flowering displayed a hump-shaped response with increasing elevation, suggesting that competition is the main limit on invader success at low elevations, as opposed to low-growing-season temperatures at high elevations. Our experiment showed, however, that nonnative plants can establish, grow, and flower well above their current elevational limits in high-latitude mountains. We thus argue that cold-climate ecosystems are likely to see rapid increases in plant invasions in the near future as a result of a synergistic interaction between increasing human-mediated disturbances and climate warming.","container-title":"Proceedings of the National Academy of Sciences","DOI":"10.1073/pnas.1608980113","ISSN":"0027-8424, 1091-6490","issue":"49","journalAbbreviation":"Proc Natl Acad Sci USA","language":"en","page":"14061-14066","source":"DOI.org (Crossref)","title":"Disturbance is the key to plant invasions in cold environments","URL":"http://www.pnas.org/lookup/doi/10.1073/pnas.1608980113","volume":"113","author":[{"family":"Lembrechts","given":"Jonas J."},{"family":"Pauchard","given":"Aníbal"},{"family":"Lenoir","given":"Jonathan"},{"family":"Nuñez","given":"Martín A."},{"family":"Geron","given":"Charly"},{"family":"Ven","given":"Arne"},{"family":"Bravo-Monasterio","given":"Pablo"},{"family":"Teneb","given":"Ernesto"},{"family":"Nijs","given":"Ivan"},{"family":"Milbau","given":"Ann"}],"accessed":{"date-parts":[["2021",7,7]]},"issued":{"date-parts":[["2016",12,6]]}},"label":"page"}],"schema":"https://github.com/citation-style-language/schema/raw/master/csl-citation.json"} </w:instrText>
      </w:r>
      <w:r w:rsidR="002C3270" w:rsidRPr="00DA249F">
        <w:rPr>
          <w:lang w:val="en-GB"/>
        </w:rPr>
        <w:fldChar w:fldCharType="separate"/>
      </w:r>
      <w:r w:rsidR="00144D96" w:rsidRPr="00144D96">
        <w:t>(Lembrechts et al., 2016)</w:t>
      </w:r>
      <w:r w:rsidR="002C3270" w:rsidRPr="00DA249F">
        <w:rPr>
          <w:lang w:val="en-GB"/>
        </w:rPr>
        <w:fldChar w:fldCharType="end"/>
      </w:r>
      <w:r w:rsidRPr="00DA249F">
        <w:rPr>
          <w:lang w:val="en-GB"/>
        </w:rPr>
        <w:t xml:space="preserve">. </w:t>
      </w:r>
    </w:p>
    <w:p w14:paraId="7A7EBEB1" w14:textId="1C7EDA09" w:rsidR="0033224D" w:rsidRPr="00DA249F" w:rsidRDefault="00EA2693" w:rsidP="00593DE1">
      <w:pPr>
        <w:spacing w:before="0" w:after="0"/>
        <w:rPr>
          <w:rFonts w:eastAsia="Times New Roman"/>
          <w:i/>
          <w:iCs/>
          <w:color w:val="000000"/>
          <w:szCs w:val="24"/>
          <w:lang w:val="en-GB" w:eastAsia="zh-CN"/>
        </w:rPr>
      </w:pPr>
      <w:r w:rsidRPr="00DA249F">
        <w:rPr>
          <w:lang w:val="en-GB"/>
        </w:rPr>
        <w:t>In aquatic systems,</w:t>
      </w:r>
      <w:r w:rsidR="00184C6A" w:rsidRPr="00DA249F">
        <w:rPr>
          <w:lang w:val="en-GB"/>
        </w:rPr>
        <w:t xml:space="preserve"> the invasive alien</w:t>
      </w:r>
      <w:r w:rsidR="00B01FF1" w:rsidRPr="00DA249F">
        <w:rPr>
          <w:lang w:val="en-GB"/>
        </w:rPr>
        <w:t xml:space="preserve"> </w:t>
      </w:r>
      <w:r w:rsidRPr="00DA249F">
        <w:rPr>
          <w:i/>
          <w:iCs/>
          <w:lang w:val="en-GB"/>
        </w:rPr>
        <w:t>Phragmites</w:t>
      </w:r>
      <w:r w:rsidR="0098637C" w:rsidRPr="00DA249F">
        <w:rPr>
          <w:i/>
          <w:iCs/>
          <w:lang w:val="en-GB"/>
        </w:rPr>
        <w:t xml:space="preserve"> australis</w:t>
      </w:r>
      <w:r w:rsidR="00AA7377" w:rsidRPr="00DA249F">
        <w:rPr>
          <w:i/>
          <w:iCs/>
          <w:lang w:val="en-GB"/>
        </w:rPr>
        <w:t xml:space="preserve"> </w:t>
      </w:r>
      <w:r w:rsidR="00AA7377" w:rsidRPr="00DA249F">
        <w:rPr>
          <w:iCs/>
          <w:lang w:val="en-GB"/>
        </w:rPr>
        <w:t>(common reed)</w:t>
      </w:r>
      <w:r w:rsidRPr="00DA249F">
        <w:rPr>
          <w:lang w:val="en-GB"/>
        </w:rPr>
        <w:t xml:space="preserve"> </w:t>
      </w:r>
      <w:r w:rsidR="00184C6A" w:rsidRPr="00DA249F">
        <w:rPr>
          <w:lang w:val="en-GB"/>
        </w:rPr>
        <w:t xml:space="preserve">is expanding throughout </w:t>
      </w:r>
      <w:r w:rsidRPr="00DA249F">
        <w:rPr>
          <w:lang w:val="en-GB"/>
        </w:rPr>
        <w:t xml:space="preserve">the </w:t>
      </w:r>
      <w:r w:rsidR="00C808BB" w:rsidRPr="00DA249F">
        <w:rPr>
          <w:lang w:val="en-GB"/>
        </w:rPr>
        <w:t xml:space="preserve">Great Lakes </w:t>
      </w:r>
      <w:r w:rsidR="006B73E6" w:rsidRPr="00DA249F">
        <w:rPr>
          <w:lang w:val="en-GB"/>
        </w:rPr>
        <w:t>of</w:t>
      </w:r>
      <w:r w:rsidR="00C808BB" w:rsidRPr="00DA249F">
        <w:rPr>
          <w:lang w:val="en-GB"/>
        </w:rPr>
        <w:t xml:space="preserve"> the </w:t>
      </w:r>
      <w:r w:rsidR="00E45975" w:rsidRPr="00DA249F">
        <w:rPr>
          <w:lang w:val="en-GB"/>
        </w:rPr>
        <w:t xml:space="preserve">United States </w:t>
      </w:r>
      <w:r w:rsidR="00AA7377" w:rsidRPr="00DA249F">
        <w:rPr>
          <w:lang w:val="en-GB"/>
        </w:rPr>
        <w:fldChar w:fldCharType="begin"/>
      </w:r>
      <w:r w:rsidR="00331A79">
        <w:rPr>
          <w:lang w:val="en-GB"/>
        </w:rPr>
        <w:instrText xml:space="preserve"> ADDIN ZOTERO_ITEM CSL_CITATION {"citationID":"9Gig0r9t","properties":{"formattedCitation":"(Great Lakes Phragmites Collaborative, 2022)","plainCitation":"(Great Lakes Phragmites Collaborative, 2022)","noteIndex":0},"citationItems":[{"id":52871,"uris":["http://zotero.org/groups/2352922/items/Q6R4XPB8"],"itemData":{"id":52871,"type":"webpage","title":"Linking people, information &amp; action","URL":"https://www.greatlakesphragmites.net/","author":[{"literal":"Great Lakes Phragmites Collaborative"}],"accessed":{"date-parts":[["2022",8,10]]},"issued":{"date-parts":[["2022"]]}},"label":"page"}],"schema":"https://github.com/citation-style-language/schema/raw/master/csl-citation.json"} </w:instrText>
      </w:r>
      <w:r w:rsidR="00AA7377" w:rsidRPr="00DA249F">
        <w:rPr>
          <w:lang w:val="en-GB"/>
        </w:rPr>
        <w:fldChar w:fldCharType="separate"/>
      </w:r>
      <w:r w:rsidR="00144D96" w:rsidRPr="00144D96">
        <w:t>(Great Lakes Phragmites Collaborative, 2022)</w:t>
      </w:r>
      <w:r w:rsidR="00AA7377" w:rsidRPr="00DA249F">
        <w:rPr>
          <w:lang w:val="en-GB"/>
        </w:rPr>
        <w:fldChar w:fldCharType="end"/>
      </w:r>
      <w:r w:rsidR="00C808BB" w:rsidRPr="00DA249F">
        <w:rPr>
          <w:lang w:val="en-GB"/>
        </w:rPr>
        <w:t xml:space="preserve">, </w:t>
      </w:r>
      <w:r w:rsidR="005E47B6">
        <w:rPr>
          <w:lang w:val="en-GB"/>
        </w:rPr>
        <w:t xml:space="preserve">with </w:t>
      </w:r>
      <w:r w:rsidR="00884052" w:rsidRPr="00DA249F">
        <w:rPr>
          <w:lang w:val="en-GB"/>
        </w:rPr>
        <w:t xml:space="preserve">its introduction, establishment and spread </w:t>
      </w:r>
      <w:r w:rsidR="008E1D22" w:rsidRPr="00DA249F">
        <w:rPr>
          <w:lang w:val="en-GB"/>
        </w:rPr>
        <w:t xml:space="preserve">promoted by </w:t>
      </w:r>
      <w:r w:rsidRPr="00DA249F">
        <w:rPr>
          <w:lang w:val="en-GB"/>
        </w:rPr>
        <w:t>road networks</w:t>
      </w:r>
      <w:r w:rsidR="00CA0E59" w:rsidRPr="00DA249F">
        <w:rPr>
          <w:lang w:val="en-GB"/>
        </w:rPr>
        <w:t xml:space="preserve">, </w:t>
      </w:r>
      <w:r w:rsidRPr="00DA249F">
        <w:rPr>
          <w:lang w:val="en-GB"/>
        </w:rPr>
        <w:t>agricultural activit</w:t>
      </w:r>
      <w:r w:rsidR="005E47B6">
        <w:rPr>
          <w:lang w:val="en-GB"/>
        </w:rPr>
        <w:t>ies</w:t>
      </w:r>
      <w:r w:rsidRPr="00DA249F">
        <w:rPr>
          <w:lang w:val="en-GB"/>
        </w:rPr>
        <w:t xml:space="preserve"> </w:t>
      </w:r>
      <w:r w:rsidR="00884052" w:rsidRPr="00DA249F">
        <w:rPr>
          <w:lang w:val="en-GB"/>
        </w:rPr>
        <w:t xml:space="preserve">that </w:t>
      </w:r>
      <w:r w:rsidRPr="00DA249F">
        <w:rPr>
          <w:lang w:val="en-GB"/>
        </w:rPr>
        <w:t>increase nutrient</w:t>
      </w:r>
      <w:r w:rsidR="00884052" w:rsidRPr="00DA249F">
        <w:rPr>
          <w:lang w:val="en-GB"/>
        </w:rPr>
        <w:t xml:space="preserve"> </w:t>
      </w:r>
      <w:r w:rsidR="00874AA7" w:rsidRPr="00DA249F">
        <w:rPr>
          <w:lang w:val="en-GB"/>
        </w:rPr>
        <w:t>availability</w:t>
      </w:r>
      <w:r w:rsidR="00774819">
        <w:rPr>
          <w:lang w:val="en-GB"/>
        </w:rPr>
        <w:t xml:space="preserve"> and</w:t>
      </w:r>
      <w:r w:rsidR="00CA0E59" w:rsidRPr="00DA249F">
        <w:rPr>
          <w:lang w:val="en-GB"/>
        </w:rPr>
        <w:t xml:space="preserve"> </w:t>
      </w:r>
      <w:r w:rsidRPr="00DA249F">
        <w:rPr>
          <w:lang w:val="en-GB"/>
        </w:rPr>
        <w:t xml:space="preserve">climate </w:t>
      </w:r>
      <w:r w:rsidR="00842025" w:rsidRPr="00DA249F">
        <w:rPr>
          <w:lang w:val="en-GB"/>
        </w:rPr>
        <w:t xml:space="preserve">change </w:t>
      </w:r>
      <w:r w:rsidRPr="00DA249F">
        <w:rPr>
          <w:lang w:val="en-GB"/>
        </w:rPr>
        <w:fldChar w:fldCharType="begin"/>
      </w:r>
      <w:r w:rsidR="00331A79">
        <w:rPr>
          <w:lang w:val="en-GB"/>
        </w:rPr>
        <w:instrText xml:space="preserve"> ADDIN ZOTERO_ITEM CSL_CITATION {"citationID":"ovh6rNul","properties":{"formattedCitation":"(Mazur et al., 2014)","plainCitation":"(Mazur et al., 2014)","noteIndex":0},"citationItems":[{"id":27509,"uris":["http://zotero.org/groups/2352922/items/SDAXG2BP"],"itemData":{"id":27509,"type":"article-journal","container-title":"Aquatic Invasions","DOI":"10.3391/ai.2014.9.1.01","ISSN":"18185487","issue":"1","journalAbbreviation":"AI","page":"1-19","source":"DOI.org (Crossref)","title":"Assessment of suitable habitat for &lt;i&gt;Phragmites australis&lt;/i&gt; (common reed) in the Great Lakes coastal zone","URL":"http://www.aquaticinvasions.net/2014/issue1.html","volume":"9","author":[{"family":"Mazur","given":"Martha Carlson"},{"family":"Kowalski","given":"Kurt"},{"family":"David Galbraith","given":"David"}],"accessed":{"date-parts":[["2021",7,7]]},"issued":{"date-parts":[["2014",3]]}},"label":"page"}],"schema":"https://github.com/citation-style-language/schema/raw/master/csl-citation.json"} </w:instrText>
      </w:r>
      <w:r w:rsidRPr="00DA249F">
        <w:rPr>
          <w:lang w:val="en-GB"/>
        </w:rPr>
        <w:fldChar w:fldCharType="separate"/>
      </w:r>
      <w:r w:rsidR="00144D96" w:rsidRPr="00144D96">
        <w:t>(Mazur et al., 2014)</w:t>
      </w:r>
      <w:r w:rsidRPr="00DA249F">
        <w:rPr>
          <w:lang w:val="en-GB"/>
        </w:rPr>
        <w:fldChar w:fldCharType="end"/>
      </w:r>
      <w:r w:rsidRPr="00DA249F">
        <w:rPr>
          <w:lang w:val="en-GB"/>
        </w:rPr>
        <w:t xml:space="preserve">. In Lake Victoria, Africa, the </w:t>
      </w:r>
      <w:r w:rsidR="005E47B6">
        <w:rPr>
          <w:lang w:val="en-GB"/>
        </w:rPr>
        <w:t xml:space="preserve">distribution of the </w:t>
      </w:r>
      <w:r w:rsidRPr="00DA249F">
        <w:rPr>
          <w:lang w:val="en-GB"/>
        </w:rPr>
        <w:t>invasive</w:t>
      </w:r>
      <w:r w:rsidR="00610AD6" w:rsidRPr="00DA249F">
        <w:rPr>
          <w:lang w:val="en-GB"/>
        </w:rPr>
        <w:t xml:space="preserve"> alien</w:t>
      </w:r>
      <w:r w:rsidRPr="00DA249F">
        <w:rPr>
          <w:lang w:val="en-GB"/>
        </w:rPr>
        <w:t xml:space="preserve"> </w:t>
      </w:r>
      <w:r w:rsidR="003B6B03" w:rsidRPr="00DA249F">
        <w:rPr>
          <w:i/>
          <w:lang w:val="en-GB"/>
        </w:rPr>
        <w:t>Pontederia</w:t>
      </w:r>
      <w:r w:rsidR="00FA4EC6" w:rsidRPr="00DA249F">
        <w:rPr>
          <w:i/>
          <w:lang w:val="en-GB"/>
        </w:rPr>
        <w:t xml:space="preserve"> crassipes</w:t>
      </w:r>
      <w:r w:rsidR="00FA4EC6" w:rsidRPr="00DA249F">
        <w:rPr>
          <w:lang w:val="en-GB"/>
        </w:rPr>
        <w:t xml:space="preserve"> (</w:t>
      </w:r>
      <w:r w:rsidRPr="00DA249F">
        <w:rPr>
          <w:lang w:val="en-GB"/>
        </w:rPr>
        <w:t>water hyacinth</w:t>
      </w:r>
      <w:r w:rsidR="00FA4EC6" w:rsidRPr="00DA249F">
        <w:rPr>
          <w:lang w:val="en-GB"/>
        </w:rPr>
        <w:t>)</w:t>
      </w:r>
      <w:r w:rsidRPr="00DA249F">
        <w:rPr>
          <w:lang w:val="en-GB"/>
        </w:rPr>
        <w:t xml:space="preserve"> rapidly expanded during the 1980s, a period linked to eutrophication and climate warming </w:t>
      </w:r>
      <w:r w:rsidRPr="00DA249F">
        <w:rPr>
          <w:lang w:val="en-GB"/>
        </w:rPr>
        <w:fldChar w:fldCharType="begin"/>
      </w:r>
      <w:r w:rsidR="00331A79">
        <w:rPr>
          <w:lang w:val="en-GB"/>
        </w:rPr>
        <w:instrText xml:space="preserve"> ADDIN ZOTERO_ITEM CSL_CITATION {"citationID":"O8UxcQQk","properties":{"formattedCitation":"(Hecky et al., 2010; Ogutu-Ohwayo et al., 2016; A. E. Williams et al., 2005)","plainCitation":"(Hecky et al., 2010; Ogutu-Ohwayo et al., 2016; A. E. Williams et al., 2005)","dontUpdate":true,"noteIndex":0},"citationItems":[{"id":27432,"uris":["http://zotero.org/groups/2352922/items/5HQV7DSH"],"itemData":{"id":27432,"type":"article-journal","abstract":"1. Lake Victoria endured multiple stresses over the past century including population growth, increased cultivation of land, meteorological variability, resource extraction, intensive fishing, introduction of exotic species and more recently climate warming. These stressors became manifest through a fundamental and rapid change in the fish community and fishery in the early 1980s and visible eutrophication. However, the relation of these two phenomena and the possible interaction of the multiple stressors have been difficult to establish because of the temporally fragmented nature of the environmental data. 2. Comprehensive limnological observations from the 1960s were repeated in the 1990s and established the eutrophication of the lake, but these do not provide insight to the time course of when changes in trophic state occurred. Comprehensive fishery catch data from 1965 to the present provide a time course of the change in community composition and yield but cannot be correlated in time with discontinuous and sparse limnological data to determine possible cause–effect relationships. 3. Palaeolimnologic studies were conducted on three cores, two offshore and one nearshore, to establish a time course for the eutrophication of the lake that can be related to time-based data on the fishery. In the 1920s, the cores recorded an increase in nitrogen content of the sediments, but there was no significant response in the paleo-productivity indicators of biogenic Si deposition and change δ13C of deposited organic matter. Phosphorus deposition began to increase in the 1940s in all three cores after which biogenic Si deposition increased steadily over time. Responses in δ13C of organic matter begin in the 1960s at the coring sites. In the 1970s, the δ13C of organic matter at the nearshore site increased nearly 3‰ in a 10-year period likely as a response to a dramatic increase in internal P loading caused by spreading anoxia. 4. Nile perch, the large predatory fish introduced in 1954, had become established through much of the lake at low abundances by the 1970s. In 1980, the catch of this fish began to increase, and by the end of the decade, the Lake Victoria fishery was the largest lake fishery in the world; and Nile perch dominated the catch. While catches of some other fishes also increased, the endemic haplochromines suffered a catastrophic decline in abundance and loss of biodiversity. 5. The detailed chronostratigraphies for these sediment cores established that the major changes in the trophic condition of the lake were accomplished prior to the change in the fish community and that the increased primary productivity of the lake likely contributed to the increased fish catches after 1980. The increased algal abundance also would have greatly reduced visibility and facilitated the emergence of Nile perch as the dominant top predator. 6. Thematic implications: multiple stresses were present in Lake Victoria over several decades, but transition to a new ecosystem state with a transformed food web and highly productive algal community may have been triggered by a period of low wind stress and then generally warming climate since the 1970s. Unless phosphorus loading is stabilised or reduced, the ecosystem’s diversity and balanced productivity will not recover, and other state transitions may occur to the detriment of the lake and its riparian populations.","container-title":"Freshwater Biology","DOI":"10.1111/j.1365-2427.2009.02374.x","ISSN":"1365-2427","issue":"s1","language":"en","license":"© 2010 Blackwell Publishing Ltd","page":"19-42","source":"Wiley Online Library","title":"Multiple stressors cause rapid ecosystem change in Lake Victoria","URL":"https://onlinelibrary.wiley.com/doi/abs/10.1111/j.1365-2427.2009.02374.x","volume":"55","author":[{"family":"Hecky","given":"R. E."},{"family":"Mugidde","given":"R."},{"family":"Ramlal","given":"P. S."},{"family":"Talbot","given":"M. R."},{"family":"Kling","given":"G. W."}],"accessed":{"date-parts":[["2019",10,22]]},"issued":{"date-parts":[["2010"]]}},"label":"page"},{"id":27433,"uris":["http://zotero.org/groups/2352922/items/JQWLWRME"],"itemData":{"id":27433,"type":"article-journal","abstract":"Inland ﬁsheries are important for nutrition, employment, and income, but climate variability and change are adding to other stressors, such as overexploitation, pollution, habitat degradation, and invasive species, to threaten their productivity as well as livelihoods of ﬁsheries-dependent communities. Understanding the whole socio-ecological system to enable communities to adapt and build resilience is therefore vital. Here, we present results from a review of the responses of African lakes, ﬁsheries productivity, and livelihoods to climate variability and change, and provide suggestions on required policy interventions to promote adaptation and build resilience. Changes in climate variables, especially temperature, wind speed, and rainfall have contributed to changes in lake water levels, loading, and recycling of nutrients. In some lakes, such disruptions in physical and chemical conditions have triggered changes in water quality, algae and invertebrate productivity, life history of ﬁsh, and contributed to shifts in ﬁsh community composition, proliferation of invasive aquatic weeds, and changes in parasite–vector–host interactions. Fish yield has either increased or decreased depending on climatic events, with the latter negatively affecting livelihoods, and forcing affected communities to adapt. Because adaptation strategies are location speciﬁc, and inﬂuenced by local conditions, many adaptation strategies have been unguided and have negatively affected ﬁsheries. The responses of ﬁsheries to climate change vary among lakes of different morphometric characteristics. There is need for consistent data to examine the direction and consequences of climate variability and change on ﬁsheries and livelihoods of speciﬁc aquatic systems, and promote location speciﬁc adaptation and mitigation measures.","container-title":"Journal of Great Lakes Research","DOI":"10.1016/j.jglr.2016.03.004","ISSN":"03801330","issue":"3","journalAbbreviation":"Journal of Great Lakes Research","language":"en","page":"498-510","source":"DOI.org (Crossref)","title":"Implications of climate variability and change for African lake ecosystems, fisheries productivity, and livelihoods","URL":"https://linkinghub.elsevier.com/retrieve/pii/S0380133016300247","volume":"42","author":[{"family":"Ogutu-Ohwayo","given":"Richard"},{"family":"Natugonza","given":"Vianny"},{"family":"Musinguzi","given":"Laban"},{"family":"Olokotum","given":"Mark"},{"family":"Naigaga","given":"Shamim"}],"accessed":{"date-parts":[["2019",12,1]]},"issued":{"date-parts":[["2016",6]]}},"label":"page"},{"id":27320,"uris":["http://zotero.org/groups/2352922/items/YYJ26W2A"],"itemData":{"id":27320,"type":"article-journal","container-title":"Aquatic Botany","DOI":"10.1016/j.aquabot.2005.01.003","ISSN":"03043770","issue":"4","journalAbbreviation":"Aquatic Botany","language":"en","page":"300-314","source":"DOI.org (Crossref)","title":"Water hyacinth in Lake Victoria: Why did it vanish so quickly and will it return?","title-short":"Water hyacinth in Lake Victoria","URL":"https://linkinghub.elsevier.com/retrieve/pii/S0304377005000070","volume":"81","author":[{"family":"Williams","given":"Adrian E."},{"family":"Duthie","given":"Hamish C."},{"family":"Hecky","given":"Robert E."}],"accessed":{"date-parts":[["2021",7,7]]},"issued":{"date-parts":[["2005",4]]}},"label":"page"}],"schema":"https://github.com/citation-style-language/schema/raw/master/csl-citation.json"} </w:instrText>
      </w:r>
      <w:r w:rsidRPr="00DA249F">
        <w:rPr>
          <w:lang w:val="en-GB"/>
        </w:rPr>
        <w:fldChar w:fldCharType="separate"/>
      </w:r>
      <w:r w:rsidR="002C3270" w:rsidRPr="00DA249F">
        <w:rPr>
          <w:lang w:val="en-GB"/>
        </w:rPr>
        <w:t>(Hecky et al., 2010; Ogutu-Ohwayo et al., 2016; A. E. Williams et al., 2005</w:t>
      </w:r>
      <w:r w:rsidRPr="00DA249F">
        <w:rPr>
          <w:lang w:val="en-GB"/>
        </w:rPr>
        <w:fldChar w:fldCharType="end"/>
      </w:r>
      <w:r w:rsidR="001376CB" w:rsidRPr="00DA249F">
        <w:rPr>
          <w:lang w:val="en-GB"/>
        </w:rPr>
        <w:t>;</w:t>
      </w:r>
      <w:r w:rsidR="3428C74D" w:rsidRPr="00DA249F">
        <w:rPr>
          <w:lang w:val="en-GB"/>
        </w:rPr>
        <w:t xml:space="preserve"> </w:t>
      </w:r>
      <w:r w:rsidR="00E23B69">
        <w:rPr>
          <w:b/>
          <w:bCs/>
          <w:iCs/>
          <w:lang w:val="en-GB"/>
        </w:rPr>
        <w:t>Box</w:t>
      </w:r>
      <w:r w:rsidR="00630DAB">
        <w:rPr>
          <w:b/>
          <w:bCs/>
          <w:iCs/>
          <w:lang w:val="en-GB"/>
        </w:rPr>
        <w:t xml:space="preserve"> 3.12</w:t>
      </w:r>
      <w:r w:rsidR="3428C74D" w:rsidRPr="008C24B4">
        <w:rPr>
          <w:lang w:val="en-GB"/>
        </w:rPr>
        <w:t>)</w:t>
      </w:r>
      <w:r w:rsidRPr="00DA249F">
        <w:rPr>
          <w:lang w:val="en-GB"/>
        </w:rPr>
        <w:t xml:space="preserve">. While currently </w:t>
      </w:r>
      <w:r w:rsidR="00444209" w:rsidRPr="00DA249F">
        <w:rPr>
          <w:lang w:val="en-GB"/>
        </w:rPr>
        <w:t>its</w:t>
      </w:r>
      <w:r w:rsidRPr="00DA249F">
        <w:rPr>
          <w:lang w:val="en-GB"/>
        </w:rPr>
        <w:t xml:space="preserve"> spread is reduced, fears remain that land</w:t>
      </w:r>
      <w:r w:rsidR="00DE124F" w:rsidRPr="00DA249F">
        <w:rPr>
          <w:lang w:val="en-GB"/>
        </w:rPr>
        <w:t>-</w:t>
      </w:r>
      <w:r w:rsidRPr="00DA249F">
        <w:rPr>
          <w:lang w:val="en-GB"/>
        </w:rPr>
        <w:t>use change</w:t>
      </w:r>
      <w:r w:rsidR="00DE124F" w:rsidRPr="00DA249F">
        <w:rPr>
          <w:lang w:val="en-GB"/>
        </w:rPr>
        <w:t>s</w:t>
      </w:r>
      <w:r w:rsidRPr="00DA249F">
        <w:rPr>
          <w:lang w:val="en-GB"/>
        </w:rPr>
        <w:t xml:space="preserve"> in the catchment area, along with continued nutrient loading and climate warming, will result in a resurgence</w:t>
      </w:r>
      <w:r w:rsidR="00277470" w:rsidRPr="00DA249F">
        <w:rPr>
          <w:lang w:val="en-GB"/>
        </w:rPr>
        <w:t xml:space="preserve"> of water hyacinth</w:t>
      </w:r>
      <w:r w:rsidRPr="00DA249F">
        <w:rPr>
          <w:lang w:val="en-GB"/>
        </w:rPr>
        <w:t xml:space="preserve"> </w:t>
      </w:r>
      <w:r w:rsidR="2D747FA2" w:rsidRPr="00DA249F">
        <w:rPr>
          <w:lang w:val="en-GB"/>
        </w:rPr>
        <w:t>(</w:t>
      </w:r>
      <w:r w:rsidR="00E23B69">
        <w:rPr>
          <w:b/>
          <w:bCs/>
          <w:iCs/>
          <w:lang w:val="en-GB"/>
        </w:rPr>
        <w:t>Box</w:t>
      </w:r>
      <w:r w:rsidR="00630DAB">
        <w:rPr>
          <w:b/>
          <w:bCs/>
          <w:iCs/>
          <w:lang w:val="en-GB"/>
        </w:rPr>
        <w:t xml:space="preserve"> 3.12</w:t>
      </w:r>
      <w:r w:rsidR="2D747FA2" w:rsidRPr="00DA249F">
        <w:rPr>
          <w:lang w:val="en-GB"/>
        </w:rPr>
        <w:t>)</w:t>
      </w:r>
      <w:r w:rsidR="393BAEFC" w:rsidRPr="00DA249F">
        <w:rPr>
          <w:lang w:val="en-GB"/>
        </w:rPr>
        <w:t>.</w:t>
      </w:r>
      <w:r w:rsidRPr="00DA249F">
        <w:rPr>
          <w:lang w:val="en-GB"/>
        </w:rPr>
        <w:t xml:space="preserve"> In the late 1980s, the </w:t>
      </w:r>
      <w:r w:rsidR="5D9F3DBF" w:rsidRPr="00DA249F">
        <w:rPr>
          <w:lang w:val="en-GB"/>
        </w:rPr>
        <w:t>Baltic Sea</w:t>
      </w:r>
      <w:r w:rsidRPr="00DA249F">
        <w:rPr>
          <w:lang w:val="en-GB"/>
        </w:rPr>
        <w:t xml:space="preserve"> experienced a bloom of </w:t>
      </w:r>
      <w:r w:rsidRPr="00DA249F">
        <w:rPr>
          <w:i/>
          <w:iCs/>
          <w:lang w:val="en-GB"/>
        </w:rPr>
        <w:t>Mnemiopsis leidyi</w:t>
      </w:r>
      <w:r w:rsidRPr="00DA249F">
        <w:rPr>
          <w:lang w:val="en-GB"/>
        </w:rPr>
        <w:t xml:space="preserve"> </w:t>
      </w:r>
      <w:r w:rsidR="0093352B" w:rsidRPr="00DA249F">
        <w:rPr>
          <w:lang w:val="en-GB"/>
        </w:rPr>
        <w:t>(sea walnut)</w:t>
      </w:r>
      <w:r w:rsidRPr="00DA249F">
        <w:rPr>
          <w:lang w:val="en-GB"/>
        </w:rPr>
        <w:t xml:space="preserve"> and a collapse of anchovy stocks, both of which were linked to a complex interaction of increased eutrophication, a changing regional climate with more severe winters</w:t>
      </w:r>
      <w:r w:rsidR="00774819">
        <w:rPr>
          <w:lang w:val="en-GB"/>
        </w:rPr>
        <w:t xml:space="preserve"> and</w:t>
      </w:r>
      <w:r w:rsidRPr="00DA249F">
        <w:rPr>
          <w:lang w:val="en-GB"/>
        </w:rPr>
        <w:t xml:space="preserve"> fishing pressures </w:t>
      </w:r>
      <w:r w:rsidRPr="00DA249F">
        <w:rPr>
          <w:lang w:val="en-GB"/>
        </w:rPr>
        <w:fldChar w:fldCharType="begin"/>
      </w:r>
      <w:r w:rsidR="00331A79">
        <w:rPr>
          <w:lang w:val="en-GB"/>
        </w:rPr>
        <w:instrText xml:space="preserve"> ADDIN ZOTERO_ITEM CSL_CITATION {"citationID":"2tkOQRrr","properties":{"formattedCitation":"(Oguz et al., 2008)","plainCitation":"(Oguz et al., 2008)","noteIndex":0},"citationItems":[{"id":29140,"uris":["http://zotero.org/groups/2352922/items/E25LQDW8"],"itemData":{"id":29140,"type":"article-journal","container-title":"Journal of Plankton Research","DOI":"10.1093/plankt/fbn094","ISSN":"1464-3774, 0142-7873","issue":"12","language":"en","page":"1385-1397","source":"DOI.org (Crossref)","title":"Invasion dynamics of the alien ctenophore &lt;i&gt;Mnemiopsis leidyi&lt;/i&gt; and its impact on anchovy collapse in the Black Sea","URL":"https://academic.oup.com/plankt/article-lookup/doi/10.1093/plankt/fbn094","volume":"30","author":[{"family":"Oguz","given":"Temel"},{"family":"Fach","given":"Bettina"},{"family":"Salihoglu","given":"Baris"}],"accessed":{"date-parts":[["2020",7,17]]},"issued":{"date-parts":[["2008",12]]}},"label":"page"}],"schema":"https://github.com/citation-style-language/schema/raw/master/csl-citation.json"} </w:instrText>
      </w:r>
      <w:r w:rsidRPr="00DA249F">
        <w:rPr>
          <w:lang w:val="en-GB"/>
        </w:rPr>
        <w:fldChar w:fldCharType="separate"/>
      </w:r>
      <w:r w:rsidR="00144D96" w:rsidRPr="00144D96">
        <w:t>(Oguz et al., 2008)</w:t>
      </w:r>
      <w:r w:rsidRPr="00DA249F">
        <w:rPr>
          <w:lang w:val="en-GB"/>
        </w:rPr>
        <w:fldChar w:fldCharType="end"/>
      </w:r>
      <w:r w:rsidRPr="00DA249F">
        <w:rPr>
          <w:lang w:val="en-GB"/>
        </w:rPr>
        <w:t xml:space="preserve">. Changing salinity arising from the new Suez Canal </w:t>
      </w:r>
      <w:r w:rsidR="00CA0C6B" w:rsidRPr="00DA249F">
        <w:rPr>
          <w:lang w:val="en-GB"/>
        </w:rPr>
        <w:t>(</w:t>
      </w:r>
      <w:r w:rsidR="00126C8F" w:rsidRPr="008C24B4">
        <w:rPr>
          <w:b/>
          <w:iCs/>
          <w:lang w:val="en-GB"/>
        </w:rPr>
        <w:t>section 3.3.1.3</w:t>
      </w:r>
      <w:r w:rsidR="00126C8F" w:rsidRPr="008C24B4">
        <w:rPr>
          <w:iCs/>
          <w:lang w:val="en-GB"/>
        </w:rPr>
        <w:t>,</w:t>
      </w:r>
      <w:r w:rsidR="00126C8F" w:rsidRPr="008C24B4">
        <w:rPr>
          <w:b/>
          <w:iCs/>
          <w:lang w:val="en-GB"/>
        </w:rPr>
        <w:t xml:space="preserve"> </w:t>
      </w:r>
      <w:r w:rsidR="00E23B69">
        <w:rPr>
          <w:b/>
          <w:bCs/>
          <w:iCs/>
          <w:lang w:val="en-GB"/>
        </w:rPr>
        <w:t>Box</w:t>
      </w:r>
      <w:r w:rsidR="00630DAB">
        <w:rPr>
          <w:b/>
          <w:bCs/>
          <w:iCs/>
          <w:lang w:val="en-GB"/>
        </w:rPr>
        <w:t xml:space="preserve"> 3.7</w:t>
      </w:r>
      <w:r w:rsidR="00842025" w:rsidRPr="00DA249F">
        <w:rPr>
          <w:lang w:val="en-GB"/>
        </w:rPr>
        <w:t xml:space="preserve">) </w:t>
      </w:r>
      <w:r w:rsidRPr="00DA249F">
        <w:rPr>
          <w:lang w:val="en-GB"/>
        </w:rPr>
        <w:t xml:space="preserve">opening in conjunction with climate </w:t>
      </w:r>
      <w:r w:rsidRPr="00DA249F">
        <w:rPr>
          <w:lang w:val="en-GB"/>
        </w:rPr>
        <w:lastRenderedPageBreak/>
        <w:t xml:space="preserve">change </w:t>
      </w:r>
      <w:r w:rsidR="00967CB3">
        <w:rPr>
          <w:lang w:val="en-GB"/>
        </w:rPr>
        <w:t xml:space="preserve">is facilitated </w:t>
      </w:r>
      <w:r w:rsidRPr="00DA249F">
        <w:rPr>
          <w:lang w:val="en-GB"/>
        </w:rPr>
        <w:t xml:space="preserve">the expansion of </w:t>
      </w:r>
      <w:r w:rsidR="00593DE1" w:rsidRPr="00DA249F">
        <w:rPr>
          <w:rFonts w:eastAsia="Times New Roman"/>
          <w:i/>
          <w:iCs/>
          <w:color w:val="000000"/>
          <w:szCs w:val="24"/>
          <w:lang w:val="en-GB" w:eastAsia="zh-CN"/>
        </w:rPr>
        <w:t>Brachidontes pharaonis</w:t>
      </w:r>
      <w:r w:rsidR="00F60035" w:rsidRPr="00DA249F">
        <w:rPr>
          <w:lang w:val="en-GB"/>
        </w:rPr>
        <w:t xml:space="preserve"> </w:t>
      </w:r>
      <w:r w:rsidRPr="00DA249F">
        <w:rPr>
          <w:lang w:val="en-GB"/>
        </w:rPr>
        <w:t>(</w:t>
      </w:r>
      <w:r w:rsidR="00593DE1" w:rsidRPr="00DA249F">
        <w:rPr>
          <w:lang w:val="en-GB"/>
        </w:rPr>
        <w:t xml:space="preserve">variable </w:t>
      </w:r>
      <w:r w:rsidR="00F60035" w:rsidRPr="00DA249F">
        <w:rPr>
          <w:lang w:val="en-GB"/>
        </w:rPr>
        <w:t>mussel</w:t>
      </w:r>
      <w:r w:rsidRPr="00DA249F">
        <w:rPr>
          <w:lang w:val="en-GB"/>
        </w:rPr>
        <w:t>)</w:t>
      </w:r>
      <w:r w:rsidR="00967CB3">
        <w:rPr>
          <w:lang w:val="en-GB"/>
        </w:rPr>
        <w:t>’s distribution</w:t>
      </w:r>
      <w:r w:rsidRPr="00DA249F">
        <w:rPr>
          <w:lang w:val="en-GB"/>
        </w:rPr>
        <w:t xml:space="preserve"> across the Mediterranean Basin, with </w:t>
      </w:r>
      <w:r w:rsidR="00967CB3">
        <w:rPr>
          <w:lang w:val="en-GB"/>
        </w:rPr>
        <w:t xml:space="preserve">this </w:t>
      </w:r>
      <w:r w:rsidRPr="00DA249F">
        <w:rPr>
          <w:lang w:val="en-GB"/>
        </w:rPr>
        <w:t>expansion</w:t>
      </w:r>
      <w:r w:rsidR="00967CB3">
        <w:rPr>
          <w:lang w:val="en-GB"/>
        </w:rPr>
        <w:t xml:space="preserve"> also being</w:t>
      </w:r>
      <w:r w:rsidRPr="00DA249F">
        <w:rPr>
          <w:lang w:val="en-GB"/>
        </w:rPr>
        <w:t xml:space="preserve"> enhanced by eutrophication</w:t>
      </w:r>
      <w:r w:rsidR="00967CB3">
        <w:rPr>
          <w:lang w:val="en-GB"/>
        </w:rPr>
        <w:t xml:space="preserve"> associated with</w:t>
      </w:r>
      <w:r w:rsidR="007C6EB7" w:rsidRPr="00DA249F">
        <w:rPr>
          <w:lang w:val="en-GB"/>
        </w:rPr>
        <w:t xml:space="preserve"> </w:t>
      </w:r>
      <w:r w:rsidRPr="00DA249F">
        <w:rPr>
          <w:lang w:val="en-GB"/>
        </w:rPr>
        <w:t xml:space="preserve">local urbanization </w:t>
      </w:r>
      <w:r w:rsidRPr="00DA249F">
        <w:rPr>
          <w:lang w:val="en-GB"/>
        </w:rPr>
        <w:fldChar w:fldCharType="begin"/>
      </w:r>
      <w:r w:rsidR="00331A79">
        <w:rPr>
          <w:lang w:val="en-GB"/>
        </w:rPr>
        <w:instrText xml:space="preserve"> ADDIN ZOTERO_ITEM CSL_CITATION {"citationID":"NedfJ5dg","properties":{"formattedCitation":"(Sar\\uc0\\u224{} et al., 2018)","plainCitation":"(Sarà et al., 2018)","noteIndex":0},"citationItems":[{"id":27465,"uris":["http://zotero.org/groups/2352922/items/KZIK6U3C"],"itemData":{"id":27465,"type":"article-journal","abstract":"Aim The introduction of non-indigenous species (NIS) via man-made corridors connecting previously disparate oceanic regions is increasing globally. However, the environmental and anthropogenic factors facilitating invasion dynamics and their interactions are still largely unknown. This study compiles and inputs available data for the NIS bivalve Brachidontes pharaonis across the invaded biogeographic range in the Mediterranean basin into a species distribution model to predict future spread under a range of marine scenarios. Location Mediterranean Sea. Methods A systematic review produced the largest presence database ever assembled to inform the selection of biological, chemical and physical factors linked to the spread of B. pharaonis through the Suez Canal. We carried out a sensitivity analysis to simulate current and future trophic and salinity scenarios. A species distribution model was run to determine key drivers of invasion, quantify interactive impacts arising from a range of trophic states, salinity conditions and climatic scenarios and forecast future trajectories for the spread of NIS into new regions under multiple-parameter scenarios (based on the main factors identified from the systematic review). Results Impacts on invasion trajectory arising from climate change and interactions with increasing salinity from the new opening of the canal were the primary drivers of expansion across the basin, the effects of which were further enhanced by eutrophication. Predictions of the current distribution were most accurate when multiple stressors were used to drive the model. A habitat suitability index developed at a subcontinental scale from model outputs identified novel favourable conditions for future colonization at specific locations under 2030 and 2050 climatic scenarios. Main conclusions Future expansion of B. pharaonis will be enhanced by climate-facilitated increased sea temperature, interacting with increasing pressures from salinity and eutrophication. The spatially explicit risk output maps of invasions represent a powerful visual product for use in communication of the spread of NIS and decision-support tools for scientists and policymakers. The suggested approach, the observed distribution pattern and driving processes can be applied to other NIS species and regions by providing novel forecasts of species occurrences under future multiple stressor scenarios and the location of suitable recipient habitats with respect to anthropogenic and environmental parameters.","container-title":"Journal of Biogeography","DOI":"10.1111/jbi.13184","ISSN":"1365-2699","issue":"5","language":"en","license":"© 2018 The Authors. Journal of Biogeography Published by John Wiley &amp; Sons Ltd","page":"1090-1103","source":"Wiley Online Library","title":"Multiple stressors facilitate the spread of a non-indigenous bivalve in the Mediterranean Sea","URL":"https://onlinelibrary.wiley.com/doi/abs/10.1111/jbi.13184","volume":"45","author":[{"family":"Sarà","given":"Gianluca"},{"family":"Porporato","given":"Erika M. D."},{"family":"Mangano","given":"Maria Cristina"},{"family":"Mieszkowska","given":"Nova"}],"accessed":{"date-parts":[["2019",9,24]]},"issued":{"date-parts":[["2018"]]}},"label":"page"}],"schema":"https://github.com/citation-style-language/schema/raw/master/csl-citation.json"} </w:instrText>
      </w:r>
      <w:r w:rsidRPr="00DA249F">
        <w:rPr>
          <w:lang w:val="en-GB"/>
        </w:rPr>
        <w:fldChar w:fldCharType="separate"/>
      </w:r>
      <w:r w:rsidR="00144D96" w:rsidRPr="00144D96">
        <w:rPr>
          <w:szCs w:val="24"/>
        </w:rPr>
        <w:t>(Sarà et al., 2018)</w:t>
      </w:r>
      <w:r w:rsidRPr="00DA249F">
        <w:rPr>
          <w:lang w:val="en-GB"/>
        </w:rPr>
        <w:fldChar w:fldCharType="end"/>
      </w:r>
      <w:r w:rsidRPr="00DA249F">
        <w:rPr>
          <w:lang w:val="en-GB"/>
        </w:rPr>
        <w:t xml:space="preserve">. </w:t>
      </w:r>
    </w:p>
    <w:p w14:paraId="6B667F04" w14:textId="34EF3F40" w:rsidR="0033224D" w:rsidRPr="00DA249F" w:rsidRDefault="0033224D" w:rsidP="00A10437">
      <w:pPr>
        <w:pStyle w:val="Caption"/>
        <w:pBdr>
          <w:top w:val="single" w:sz="4" w:space="1" w:color="auto"/>
          <w:left w:val="single" w:sz="4" w:space="1" w:color="auto"/>
          <w:bottom w:val="single" w:sz="4" w:space="1" w:color="auto"/>
          <w:right w:val="single" w:sz="4" w:space="1" w:color="auto"/>
        </w:pBdr>
        <w:shd w:val="clear" w:color="auto" w:fill="E7E6E6" w:themeFill="background2"/>
        <w:rPr>
          <w:lang w:val="en-GB"/>
        </w:rPr>
      </w:pPr>
      <w:bookmarkStart w:id="238" w:name="_Ref104903760"/>
      <w:bookmarkStart w:id="239" w:name="_Toc158373496"/>
      <w:r w:rsidRPr="00DA249F">
        <w:rPr>
          <w:lang w:val="en-GB"/>
        </w:rPr>
        <w:t>Box 3.</w:t>
      </w:r>
      <w:r w:rsidR="0090109B" w:rsidRPr="00DA249F">
        <w:rPr>
          <w:lang w:val="en-GB"/>
        </w:rPr>
        <w:fldChar w:fldCharType="begin"/>
      </w:r>
      <w:r w:rsidR="0090109B" w:rsidRPr="00DA249F">
        <w:rPr>
          <w:lang w:val="en-GB"/>
        </w:rPr>
        <w:instrText xml:space="preserve"> SEQ Box_3. \* ARABIC </w:instrText>
      </w:r>
      <w:r w:rsidR="0090109B" w:rsidRPr="00DA249F">
        <w:rPr>
          <w:lang w:val="en-GB"/>
        </w:rPr>
        <w:fldChar w:fldCharType="separate"/>
      </w:r>
      <w:r w:rsidR="00287BC7">
        <w:rPr>
          <w:noProof/>
          <w:lang w:val="en-GB"/>
        </w:rPr>
        <w:t>12</w:t>
      </w:r>
      <w:r w:rsidR="0090109B" w:rsidRPr="00DA249F">
        <w:rPr>
          <w:lang w:val="en-GB"/>
        </w:rPr>
        <w:fldChar w:fldCharType="end"/>
      </w:r>
      <w:bookmarkEnd w:id="238"/>
      <w:r w:rsidR="000A72AB" w:rsidRPr="00DA249F">
        <w:rPr>
          <w:lang w:val="en-GB"/>
        </w:rPr>
        <w:t>.</w:t>
      </w:r>
      <w:r w:rsidRPr="00DA249F">
        <w:rPr>
          <w:lang w:val="en-GB"/>
        </w:rPr>
        <w:t xml:space="preserve"> </w:t>
      </w:r>
      <w:r w:rsidR="00E95D5A" w:rsidRPr="00DA249F">
        <w:rPr>
          <w:lang w:val="en-GB"/>
        </w:rPr>
        <w:t>Land-use change, climate change</w:t>
      </w:r>
      <w:r w:rsidR="00774819">
        <w:rPr>
          <w:lang w:val="en-GB"/>
        </w:rPr>
        <w:t xml:space="preserve"> and</w:t>
      </w:r>
      <w:r w:rsidR="00E95D5A" w:rsidRPr="00DA249F">
        <w:rPr>
          <w:lang w:val="en-GB"/>
        </w:rPr>
        <w:t xml:space="preserve"> nutrient pollution</w:t>
      </w:r>
      <w:r w:rsidR="0020261F" w:rsidRPr="00DA249F">
        <w:rPr>
          <w:lang w:val="en-GB"/>
        </w:rPr>
        <w:t xml:space="preserve"> interact to drive the</w:t>
      </w:r>
      <w:r w:rsidRPr="00DA249F">
        <w:rPr>
          <w:lang w:val="en-GB"/>
        </w:rPr>
        <w:t xml:space="preserve"> introduction, establishment and spread of </w:t>
      </w:r>
      <w:r w:rsidR="003B6B03" w:rsidRPr="00DA249F">
        <w:rPr>
          <w:i/>
          <w:iCs/>
          <w:lang w:val="en-GB"/>
        </w:rPr>
        <w:t>Pontederia</w:t>
      </w:r>
      <w:r w:rsidR="002832B6" w:rsidRPr="00DA249F">
        <w:rPr>
          <w:i/>
          <w:iCs/>
          <w:lang w:val="en-GB"/>
        </w:rPr>
        <w:t xml:space="preserve"> crassipes</w:t>
      </w:r>
      <w:r w:rsidR="00C45926" w:rsidRPr="00DA249F">
        <w:rPr>
          <w:i/>
          <w:iCs/>
          <w:lang w:val="en-GB"/>
        </w:rPr>
        <w:t xml:space="preserve"> </w:t>
      </w:r>
      <w:r w:rsidR="00C45926" w:rsidRPr="00DA249F">
        <w:rPr>
          <w:lang w:val="en-GB"/>
        </w:rPr>
        <w:t>across Africa</w:t>
      </w:r>
      <w:bookmarkEnd w:id="239"/>
      <w:r w:rsidR="00165315" w:rsidRPr="00DA249F">
        <w:rPr>
          <w:lang w:val="en-GB"/>
        </w:rPr>
        <w:t xml:space="preserve"> </w:t>
      </w:r>
    </w:p>
    <w:p w14:paraId="562399E3" w14:textId="7048576F" w:rsidR="00B85107" w:rsidRPr="00DA249F" w:rsidRDefault="003B6B03" w:rsidP="00A10437">
      <w:pPr>
        <w:pBdr>
          <w:top w:val="single" w:sz="4" w:space="1" w:color="auto"/>
          <w:left w:val="single" w:sz="4" w:space="1" w:color="auto"/>
          <w:bottom w:val="single" w:sz="4" w:space="1" w:color="auto"/>
          <w:right w:val="single" w:sz="4" w:space="1" w:color="auto"/>
        </w:pBdr>
        <w:shd w:val="clear" w:color="auto" w:fill="E7E6E6" w:themeFill="background2"/>
        <w:rPr>
          <w:lang w:val="en-GB"/>
        </w:rPr>
      </w:pPr>
      <w:bookmarkStart w:id="240" w:name="_Toc18405851"/>
      <w:bookmarkStart w:id="241" w:name="_Toc44317843"/>
      <w:r w:rsidRPr="00DA249F">
        <w:rPr>
          <w:i/>
          <w:iCs/>
          <w:lang w:val="en-GB"/>
        </w:rPr>
        <w:t>Pontederia</w:t>
      </w:r>
      <w:r w:rsidR="009D4653" w:rsidRPr="00DA249F">
        <w:rPr>
          <w:i/>
          <w:iCs/>
          <w:lang w:val="en-GB"/>
        </w:rPr>
        <w:t xml:space="preserve"> </w:t>
      </w:r>
      <w:r w:rsidR="002832B6" w:rsidRPr="00DA249F">
        <w:rPr>
          <w:i/>
          <w:iCs/>
          <w:lang w:val="en-GB"/>
        </w:rPr>
        <w:t>crassipes</w:t>
      </w:r>
      <w:r w:rsidR="0033224D" w:rsidRPr="00DA249F">
        <w:rPr>
          <w:i/>
          <w:lang w:val="en-GB"/>
        </w:rPr>
        <w:t xml:space="preserve"> </w:t>
      </w:r>
      <w:bookmarkEnd w:id="240"/>
      <w:bookmarkEnd w:id="241"/>
      <w:r w:rsidR="00BB4CFC" w:rsidRPr="00DA249F">
        <w:rPr>
          <w:lang w:val="en-GB"/>
        </w:rPr>
        <w:t>(water hyacinth)</w:t>
      </w:r>
      <w:r w:rsidR="0033224D" w:rsidRPr="00DA249F">
        <w:rPr>
          <w:lang w:val="en-GB"/>
        </w:rPr>
        <w:t xml:space="preserve"> is </w:t>
      </w:r>
      <w:r w:rsidR="00CF2677" w:rsidRPr="00DA249F">
        <w:rPr>
          <w:lang w:val="en-GB"/>
        </w:rPr>
        <w:t>a</w:t>
      </w:r>
      <w:r w:rsidR="005B7F82" w:rsidRPr="00DA249F">
        <w:rPr>
          <w:lang w:val="en-GB"/>
        </w:rPr>
        <w:t xml:space="preserve"> fast-growing floating</w:t>
      </w:r>
      <w:r w:rsidR="00CF2677" w:rsidRPr="00DA249F">
        <w:rPr>
          <w:lang w:val="en-GB"/>
        </w:rPr>
        <w:t xml:space="preserve"> aquatic plant native to </w:t>
      </w:r>
      <w:r w:rsidR="005B7F82" w:rsidRPr="00DA249F">
        <w:rPr>
          <w:lang w:val="en-GB"/>
        </w:rPr>
        <w:t xml:space="preserve">South America </w:t>
      </w:r>
      <w:r w:rsidR="0033224D" w:rsidRPr="00DA249F">
        <w:rPr>
          <w:lang w:val="en-GB"/>
        </w:rPr>
        <w:t>that has spread throughout vital freshwater bodies and wetlands of Africa</w:t>
      </w:r>
      <w:r w:rsidR="004712A3" w:rsidRPr="00DA249F">
        <w:rPr>
          <w:lang w:val="en-GB"/>
        </w:rPr>
        <w:t>, North America, Europe, Asia</w:t>
      </w:r>
      <w:r w:rsidR="00774819">
        <w:rPr>
          <w:lang w:val="en-GB"/>
        </w:rPr>
        <w:t xml:space="preserve"> and</w:t>
      </w:r>
      <w:r w:rsidR="004712A3" w:rsidRPr="00DA249F">
        <w:rPr>
          <w:lang w:val="en-GB"/>
        </w:rPr>
        <w:t xml:space="preserve"> Oceania</w:t>
      </w:r>
      <w:r w:rsidR="0033224D" w:rsidRPr="00DA249F">
        <w:rPr>
          <w:lang w:val="en-GB"/>
        </w:rPr>
        <w:t xml:space="preserve"> since the late 1800s </w:t>
      </w:r>
      <w:r w:rsidR="009F4985" w:rsidRPr="00DA249F">
        <w:rPr>
          <w:lang w:val="en-GB"/>
        </w:rPr>
        <w:fldChar w:fldCharType="begin"/>
      </w:r>
      <w:r w:rsidR="00331A79">
        <w:rPr>
          <w:lang w:val="en-GB"/>
        </w:rPr>
        <w:instrText xml:space="preserve"> ADDIN ZOTERO_ITEM CSL_CITATION {"citationID":"WvfwYwn3","properties":{"formattedCitation":"(Navarro &amp; Phiri, 2000)","plainCitation":"(Navarro &amp; Phiri, 2000)","noteIndex":0},"citationItems":[{"id":52923,"uris":["http://zotero.org/groups/2352922/items/IWZV8J6F"],"itemData":{"id":52923,"type":"article-journal","ISSN":"0-88936-933-X","note":"ISBN: 088936933X\npublisher: Idrc","title":"Water hyacinth in Africa and the Middle East: A survey of problems and solutions","author":[{"family":"Navarro","given":"Luis A."},{"family":"Phiri","given":"George"}],"issued":{"date-parts":[["2000"]]}},"label":"page"}],"schema":"https://github.com/citation-style-language/schema/raw/master/csl-citation.json"} </w:instrText>
      </w:r>
      <w:r w:rsidR="009F4985" w:rsidRPr="00DA249F">
        <w:rPr>
          <w:lang w:val="en-GB"/>
        </w:rPr>
        <w:fldChar w:fldCharType="separate"/>
      </w:r>
      <w:r w:rsidR="00144D96" w:rsidRPr="00144D96">
        <w:t>(Navarro &amp; Phiri, 2000)</w:t>
      </w:r>
      <w:r w:rsidR="009F4985" w:rsidRPr="00DA249F">
        <w:rPr>
          <w:lang w:val="en-GB"/>
        </w:rPr>
        <w:fldChar w:fldCharType="end"/>
      </w:r>
      <w:r w:rsidR="0033224D" w:rsidRPr="00DA249F">
        <w:rPr>
          <w:lang w:val="en-GB"/>
        </w:rPr>
        <w:t xml:space="preserve">. </w:t>
      </w:r>
      <w:r w:rsidR="00FD231C" w:rsidRPr="00DA249F">
        <w:rPr>
          <w:lang w:val="en-GB"/>
        </w:rPr>
        <w:t>Across Africa, t</w:t>
      </w:r>
      <w:r w:rsidR="0033224D" w:rsidRPr="00DA249F">
        <w:rPr>
          <w:lang w:val="en-GB"/>
        </w:rPr>
        <w:t xml:space="preserve">his species has shown true exponential expansion by spreading over a large proportion of the water bodies </w:t>
      </w:r>
      <w:r w:rsidR="00A50563" w:rsidRPr="00DA249F">
        <w:rPr>
          <w:lang w:val="en-GB"/>
        </w:rPr>
        <w:t>with</w:t>
      </w:r>
      <w:r w:rsidR="0033224D" w:rsidRPr="00DA249F">
        <w:rPr>
          <w:lang w:val="en-GB"/>
        </w:rPr>
        <w:t xml:space="preserve"> infestation</w:t>
      </w:r>
      <w:r w:rsidR="00A50563" w:rsidRPr="00DA249F">
        <w:rPr>
          <w:lang w:val="en-GB"/>
        </w:rPr>
        <w:t>s</w:t>
      </w:r>
      <w:r w:rsidR="0033224D" w:rsidRPr="00DA249F">
        <w:rPr>
          <w:lang w:val="en-GB"/>
        </w:rPr>
        <w:t xml:space="preserve"> getting worse as </w:t>
      </w:r>
      <w:r w:rsidR="008A25F9">
        <w:rPr>
          <w:lang w:val="en-GB"/>
        </w:rPr>
        <w:t xml:space="preserve">there is an increase in </w:t>
      </w:r>
      <w:r w:rsidR="0033224D" w:rsidRPr="00DA249F">
        <w:rPr>
          <w:lang w:val="en-GB"/>
        </w:rPr>
        <w:t xml:space="preserve">extreme </w:t>
      </w:r>
      <w:r w:rsidR="008A25F9">
        <w:rPr>
          <w:lang w:val="en-GB"/>
        </w:rPr>
        <w:t xml:space="preserve">climatic </w:t>
      </w:r>
      <w:r w:rsidR="0033224D" w:rsidRPr="00DA249F">
        <w:rPr>
          <w:lang w:val="en-GB"/>
        </w:rPr>
        <w:t xml:space="preserve">events in major water bodies </w:t>
      </w:r>
      <w:r w:rsidR="00A50563" w:rsidRPr="00DA249F">
        <w:rPr>
          <w:lang w:val="en-GB"/>
        </w:rPr>
        <w:t>like</w:t>
      </w:r>
      <w:r w:rsidR="0033224D" w:rsidRPr="00DA249F">
        <w:rPr>
          <w:lang w:val="en-GB"/>
        </w:rPr>
        <w:t xml:space="preserve"> Lake Victoria in East Africa, Lake Nyasa in </w:t>
      </w:r>
      <w:r w:rsidR="00A50563" w:rsidRPr="00DA249F">
        <w:rPr>
          <w:lang w:val="en-GB"/>
        </w:rPr>
        <w:t>the</w:t>
      </w:r>
      <w:r w:rsidR="0033224D" w:rsidRPr="00DA249F">
        <w:rPr>
          <w:lang w:val="en-GB"/>
        </w:rPr>
        <w:t xml:space="preserve"> Nile basin (especially around Lake Tana), the Zambezi River basin in southern Africa</w:t>
      </w:r>
      <w:r w:rsidR="00774819">
        <w:rPr>
          <w:lang w:val="en-GB"/>
        </w:rPr>
        <w:t xml:space="preserve"> and</w:t>
      </w:r>
      <w:r w:rsidR="0033224D" w:rsidRPr="00DA249F">
        <w:rPr>
          <w:lang w:val="en-GB"/>
        </w:rPr>
        <w:t xml:space="preserve"> the Tano lagoon and River Niger in West Africa. </w:t>
      </w:r>
      <w:r w:rsidR="00C14EEB" w:rsidRPr="00DA249F">
        <w:rPr>
          <w:lang w:val="en-GB"/>
        </w:rPr>
        <w:t>C</w:t>
      </w:r>
      <w:r w:rsidR="59253A8D" w:rsidRPr="00DA249F">
        <w:rPr>
          <w:lang w:val="en-GB"/>
        </w:rPr>
        <w:t>onnectivity among diverse water bodies has further facilitated the spread of water hyacinth in the region.</w:t>
      </w:r>
      <w:r w:rsidR="00066BF9" w:rsidRPr="00DA249F">
        <w:rPr>
          <w:lang w:val="en-GB"/>
        </w:rPr>
        <w:t xml:space="preserve"> </w:t>
      </w:r>
      <w:r w:rsidR="59253A8D" w:rsidRPr="00DA249F">
        <w:rPr>
          <w:lang w:val="en-GB"/>
        </w:rPr>
        <w:t xml:space="preserve">Its spread is linked to eutrophication emanating from poor </w:t>
      </w:r>
      <w:r w:rsidR="00D43B89" w:rsidRPr="00DA249F">
        <w:rPr>
          <w:lang w:val="en-GB"/>
        </w:rPr>
        <w:t>land-use</w:t>
      </w:r>
      <w:r w:rsidR="59253A8D" w:rsidRPr="00DA249F">
        <w:rPr>
          <w:lang w:val="en-GB"/>
        </w:rPr>
        <w:t xml:space="preserve"> management practices </w:t>
      </w:r>
      <w:r w:rsidR="000B5186" w:rsidRPr="00DA249F">
        <w:rPr>
          <w:lang w:val="en-GB"/>
        </w:rPr>
        <w:t xml:space="preserve">and is facilitated by </w:t>
      </w:r>
      <w:r w:rsidR="59253A8D" w:rsidRPr="00DA249F">
        <w:rPr>
          <w:lang w:val="en-GB"/>
        </w:rPr>
        <w:t xml:space="preserve">environmental </w:t>
      </w:r>
      <w:r w:rsidR="00AD05E0" w:rsidRPr="00DA249F">
        <w:rPr>
          <w:lang w:val="en-GB"/>
        </w:rPr>
        <w:t xml:space="preserve">degradation </w:t>
      </w:r>
      <w:r w:rsidR="59253A8D" w:rsidRPr="00DA249F">
        <w:rPr>
          <w:lang w:val="en-GB"/>
        </w:rPr>
        <w:t>and extreme climatic (i.e.,</w:t>
      </w:r>
      <w:r w:rsidR="0033224D" w:rsidRPr="00DA249F">
        <w:rPr>
          <w:lang w:val="en-GB"/>
        </w:rPr>
        <w:t xml:space="preserve"> temperatures, wind and floods) events </w:t>
      </w:r>
      <w:r w:rsidR="007F46D1" w:rsidRPr="00DA249F">
        <w:rPr>
          <w:lang w:val="en-GB"/>
        </w:rPr>
        <w:fldChar w:fldCharType="begin"/>
      </w:r>
      <w:r w:rsidR="00331A79">
        <w:rPr>
          <w:lang w:val="en-GB"/>
        </w:rPr>
        <w:instrText xml:space="preserve"> ADDIN ZOTERO_ITEM CSL_CITATION {"citationID":"1Lsp1orp","properties":{"formattedCitation":"(Navarro &amp; Phiri, 2000; T\\uc0\\u233{}llez et al., 2008; Thamaga &amp; Dube, 2018)","plainCitation":"(Navarro &amp; Phiri, 2000; Téllez et al., 2008; Thamaga &amp; Dube, 2018)","noteIndex":0},"citationItems":[{"id":52923,"uris":["http://zotero.org/groups/2352922/items/IWZV8J6F"],"itemData":{"id":52923,"type":"article-journal","ISSN":"0-88936-933-X","note":"ISBN: 088936933X\npublisher: Idrc","title":"Water hyacinth in Africa and the Middle East: A survey of problems and solutions","author":[{"family":"Navarro","given":"Luis A."},{"family":"Phiri","given":"George"}],"issued":{"date-parts":[["2000"]]}},"label":"page"},{"id":30059,"uris":["http://zotero.org/groups/2352922/items/HXPKP3VP"],"itemData":{"id":30059,"type":"article-journal","container-title":"Aquatic Invasions","DOI":"10.3391/ai.2008.3.1.8","ISSN":"18185487","issue":"1","journalAbbreviation":"AI","page":"42-53","source":"DOI.org (Crossref)","title":"The Water Hyacinth, &lt;i&gt;Eichhornia crassipes&lt;/i&gt;: an invasive plant in the Guadiana River Basin (Spain)","title-short":"The Water Hyacinth, Eichhornia crassipes","URL":"http://www.aquaticinvasions.net/2008/index1.html","volume":"3","author":[{"family":"Téllez","given":"Trinidad Ruiz"},{"family":"López","given":"Elsa"},{"family":"Granado","given":"Gloria"},{"family":"Pérez","given":"Eva"},{"family":"López","given":"Ricardo"},{"family":"Guzmán","given":"Juan"}],"accessed":{"date-parts":[["2021",8,22]]},"issued":{"date-parts":[["2008",3]]}},"label":"page"},{"id":30438,"uris":["http://zotero.org/groups/2352922/items/SSK8SQLC"],"itemData":{"id":30438,"type":"article-journal","container-title":"Remote Sensing Applications: Society and Environment","DOI":"10.1016/j.rsase.2018.02.005","ISSN":"23529385","journalAbbreviation":"Remote Sensing Applications: Society and Environment","language":"en","page":"36-46","source":"DOI.org (Crossref)","title":"Remote sensing of invasive water hyacinth (&lt;i&gt;Eichhornia crassipes&lt;/i&gt;): A review on applications and challenges","title-short":"Remote sensing of invasive water hyacinth (Eichhornia crassipes)","URL":"https://linkinghub.elsevier.com/retrieve/pii/S2352938517302148","volume":"10","author":[{"family":"Thamaga","given":"Kgabo Humphrey"},{"family":"Dube","given":"Timothy"}],"accessed":{"date-parts":[["2021",8,22]]},"issued":{"date-parts":[["2018",4]]}},"label":"page"}],"schema":"https://github.com/citation-style-language/schema/raw/master/csl-citation.json"} </w:instrText>
      </w:r>
      <w:r w:rsidR="007F46D1" w:rsidRPr="00DA249F">
        <w:rPr>
          <w:lang w:val="en-GB"/>
        </w:rPr>
        <w:fldChar w:fldCharType="separate"/>
      </w:r>
      <w:r w:rsidR="00144D96" w:rsidRPr="00144D96">
        <w:rPr>
          <w:szCs w:val="24"/>
        </w:rPr>
        <w:t>(Navarro &amp; Phiri, 2000; Téllez et al., 2008; Thamaga &amp; Dube, 2018)</w:t>
      </w:r>
      <w:r w:rsidR="007F46D1" w:rsidRPr="00DA249F">
        <w:rPr>
          <w:lang w:val="en-GB"/>
        </w:rPr>
        <w:fldChar w:fldCharType="end"/>
      </w:r>
      <w:r w:rsidR="0033224D" w:rsidRPr="00DA249F">
        <w:rPr>
          <w:lang w:val="en-GB"/>
        </w:rPr>
        <w:t xml:space="preserve">. </w:t>
      </w:r>
      <w:r w:rsidR="00312CDE" w:rsidRPr="00DA249F">
        <w:rPr>
          <w:lang w:val="en-GB"/>
        </w:rPr>
        <w:t>These e</w:t>
      </w:r>
      <w:r w:rsidR="0033224D" w:rsidRPr="00DA249F">
        <w:rPr>
          <w:lang w:val="en-GB"/>
        </w:rPr>
        <w:t xml:space="preserve">xtreme events </w:t>
      </w:r>
      <w:r w:rsidR="000B5186" w:rsidRPr="00DA249F">
        <w:rPr>
          <w:lang w:val="en-GB"/>
        </w:rPr>
        <w:t xml:space="preserve">facilitate </w:t>
      </w:r>
      <w:r w:rsidR="0033224D" w:rsidRPr="00DA249F">
        <w:rPr>
          <w:lang w:val="en-GB"/>
        </w:rPr>
        <w:t xml:space="preserve">the </w:t>
      </w:r>
      <w:r w:rsidR="00AC64B4" w:rsidRPr="00DA249F">
        <w:rPr>
          <w:lang w:val="en-GB"/>
        </w:rPr>
        <w:t xml:space="preserve">transport and </w:t>
      </w:r>
      <w:r w:rsidR="000B5186" w:rsidRPr="00DA249F">
        <w:rPr>
          <w:lang w:val="en-GB"/>
        </w:rPr>
        <w:t xml:space="preserve">introduction </w:t>
      </w:r>
      <w:r w:rsidR="0033224D" w:rsidRPr="00DA249F">
        <w:rPr>
          <w:lang w:val="en-GB"/>
        </w:rPr>
        <w:t xml:space="preserve">of </w:t>
      </w:r>
      <w:r w:rsidR="00D51888" w:rsidRPr="00DA249F">
        <w:rPr>
          <w:lang w:val="en-GB"/>
        </w:rPr>
        <w:t>w</w:t>
      </w:r>
      <w:r w:rsidR="0033224D" w:rsidRPr="00DA249F">
        <w:rPr>
          <w:lang w:val="en-GB"/>
        </w:rPr>
        <w:t xml:space="preserve">ater hyacinth in many freshwater ecosystems, and </w:t>
      </w:r>
      <w:r w:rsidR="000D74E9">
        <w:rPr>
          <w:lang w:val="en-GB"/>
        </w:rPr>
        <w:t xml:space="preserve">are </w:t>
      </w:r>
      <w:r w:rsidR="0033224D" w:rsidRPr="00DA249F">
        <w:rPr>
          <w:lang w:val="en-GB"/>
        </w:rPr>
        <w:t>also expected to alter natural surface water flow regimes, potentially</w:t>
      </w:r>
      <w:r w:rsidR="000D74E9">
        <w:rPr>
          <w:lang w:val="en-GB"/>
        </w:rPr>
        <w:t xml:space="preserve"> further</w:t>
      </w:r>
      <w:r w:rsidR="0033224D" w:rsidRPr="00DA249F">
        <w:rPr>
          <w:lang w:val="en-GB"/>
        </w:rPr>
        <w:t xml:space="preserve"> increasing the </w:t>
      </w:r>
      <w:r w:rsidR="000D74E9">
        <w:rPr>
          <w:lang w:val="en-GB"/>
        </w:rPr>
        <w:t xml:space="preserve">likelihood of </w:t>
      </w:r>
      <w:r w:rsidR="00AD3CFD" w:rsidRPr="00DA249F">
        <w:rPr>
          <w:lang w:val="en-GB"/>
        </w:rPr>
        <w:t>w</w:t>
      </w:r>
      <w:r w:rsidR="0033224D" w:rsidRPr="00DA249F">
        <w:rPr>
          <w:lang w:val="en-GB"/>
        </w:rPr>
        <w:t xml:space="preserve">ater hyacinth and other invasive alien species </w:t>
      </w:r>
      <w:r w:rsidR="000D74E9" w:rsidRPr="00DA249F">
        <w:rPr>
          <w:lang w:val="en-GB"/>
        </w:rPr>
        <w:t>establish</w:t>
      </w:r>
      <w:r w:rsidR="000D74E9">
        <w:rPr>
          <w:lang w:val="en-GB"/>
        </w:rPr>
        <w:t>ing</w:t>
      </w:r>
      <w:r w:rsidR="000D74E9" w:rsidRPr="00DA249F">
        <w:rPr>
          <w:lang w:val="en-GB"/>
        </w:rPr>
        <w:t xml:space="preserve"> and spread</w:t>
      </w:r>
      <w:r w:rsidR="000D74E9">
        <w:rPr>
          <w:lang w:val="en-GB"/>
        </w:rPr>
        <w:t xml:space="preserve">ing </w:t>
      </w:r>
      <w:r w:rsidR="0033224D" w:rsidRPr="00DA249F">
        <w:rPr>
          <w:lang w:val="en-GB"/>
        </w:rPr>
        <w:fldChar w:fldCharType="begin"/>
      </w:r>
      <w:r w:rsidR="00F5121E">
        <w:rPr>
          <w:lang w:val="en-GB"/>
        </w:rPr>
        <w:instrText xml:space="preserve"> ADDIN ZOTERO_ITEM CSL_CITATION {"citationID":"dxyp3Fpu","properties":{"formattedCitation":"(Diez et al., 2012; IPBES, 2019)","plainCitation":"(Diez et al., 2012; IPBES, 2019)","noteIndex":0},"citationItems":[{"id":30435,"uris":["http://zotero.org/groups/2352922/items/L6RHC4CK"],"itemData":{"id":30435,"type":"article-journal","abstract":"Extreme climatic events (ECEs) – such as unusual heat waves, hurricanes, floods, and droughts – can dramatically affect ecological and evolutionary processes, and these events are projected to become more frequent and more intense with ongoing climate change. However, the implications of ECEs for biological invasions remain poorly understood. Using concepts and empirical evidence from invasion ecology, we identify mechanisms by which ECEs may influence the invasion process, from initial introduction through establishment and spread. We summarize how ECEs can enhance invasions by promoting the transport of propagules into new regions, by decreasing the resistance of native communities to establishment, and also sometimes by putting existing non-native species at a competitive disadvantage. Finally, we outline priority research areas and management approaches for anticipating future risks of unwanted invasions following ECEs. Given predicted increases in both ECE occurrence and rates of species introductions around the globe during the coming decades, there is an urgent need to understand how these two processes interact to affect ecosystem composition and functioning.","container-title":"Frontiers in Ecology and the Environment","DOI":"10.1890/110137","ISSN":"1540-9309","issue":"5","journalAbbreviation":"Front. Ecol. Environ.","language":"en","license":"© The Ecological Society of America","note":"WOS:000305170600016","page":"249-257","source":"Wiley Online Library","title":"Will extreme climatic events facilitate biological invasions?","URL":"https://esajournals.onlinelibrary.wiley.com/doi/abs/10.1890/110137","volume":"10","author":[{"family":"Diez","given":"Jeffrey M."},{"family":"D'Antonio","given":"Carla M."},{"family":"Dukes","given":"Jeffrey S."},{"family":"Grosholz","given":"Edwin D."},{"family":"Olden","given":"Julian D."},{"family":"Sorte","given":"Cascade JB"},{"family":"Blumenthal","given":"Dana M."},{"family":"Bradley","given":"Bethany A."},{"family":"Early","given":"Regan"},{"family":"Ibáñez","given":"Inés"},{"family":"Jones","given":"Sierra J."},{"family":"Lawler","given":"Joshua J."},{"family":"Miller","given":"Luke P."}],"accessed":{"date-parts":[["2019",9,18]]},"issued":{"date-parts":[["2012",6]]}},"label":"page"},{"id":53933,"uris":["http://zotero.org/groups/2352922/items/JYFISR8Z","http://zotero.org/groups/2352922/items/ZACZGHZL"],"itemData":{"id":53933,"type":"report","abstract":"IPBES is to perform regular and timely assessments of knowledge on biodiversity and ecosystem services and their interlinkages at the global level. Also addressing an invitation by the Conference of the Parties of the Convention on Biological Diversity (CBD) to prepare a global assessment of biodiversity and ecosystem services building, inter alia, on its own and other relevant regional, subregional and thematic assessments, as well as on national reports. The overall scope of the assessment is to assess the status and trends with regard to biodiversity and ecosystem services, the impact of biodiversity and ecosystem services on human well-being and the effectiveness of responses, including the Strategic Plan and its Aichi Biodiversity Targets. It is anticipated that this deliverable will contribute to the process for the evaluation and renewal of the Strategic Plan for Biodiversity and its Aichi Biodiversity Targets. The IPBES Global Assessment on Biodiversity and Ecosystem Services is composed of 1) a Summary for Policymakers (SPM), approved by the IPBES Plenary at its 7th session in May 2019 in Paris, France (IPBES-7); and 2) a set of six Chapters, accepted by the IPBES Plenary.","language":"en","license":"Creative Commons Attribution 4.0 International, Open Access","note":"Version Number 1\nDOI: 10.5281/ZENODO.3831673","publisher":"Secretariat of the Intergovernmental Science-Policy Platform on Biodiversity and Ecosystem Services","source":"DOI.org (Datacite)","title":"Global assessment report on biodiversity and ecosystem services of the Intergovernmental Science-Policy Platform on Biodiversity and Ecosystem Services","URL":"https://zenodo.org/record/3831673","author":[{"literal":"IPBES"}],"contributor":[{"family":"Brondizio","given":"Eduardo"},{"family":"Diaz","given":"Sandra"},{"family":"Settele","given":"Josef"},{"family":"Ngo","given":"Hien T."}],"accessed":{"date-parts":[["2023",1,5]]},"issued":{"date-parts":[["2019"]]}},"label":"page"}],"schema":"https://github.com/citation-style-language/schema/raw/master/csl-citation.json"} </w:instrText>
      </w:r>
      <w:r w:rsidR="0033224D" w:rsidRPr="00DA249F">
        <w:rPr>
          <w:lang w:val="en-GB"/>
        </w:rPr>
        <w:fldChar w:fldCharType="separate"/>
      </w:r>
      <w:r w:rsidR="00144D96" w:rsidRPr="00144D96">
        <w:t>(Diez et al., 2012; IPBES, 2019)</w:t>
      </w:r>
      <w:r w:rsidR="0033224D" w:rsidRPr="00DA249F">
        <w:rPr>
          <w:lang w:val="en-GB"/>
        </w:rPr>
        <w:fldChar w:fldCharType="end"/>
      </w:r>
      <w:r w:rsidR="0033224D" w:rsidRPr="00DA249F">
        <w:rPr>
          <w:lang w:val="en-GB"/>
        </w:rPr>
        <w:t xml:space="preserve">. Water hyacinth </w:t>
      </w:r>
      <w:r w:rsidR="00FD231C" w:rsidRPr="00DA249F">
        <w:rPr>
          <w:lang w:val="en-GB"/>
        </w:rPr>
        <w:t xml:space="preserve">is expected to continue </w:t>
      </w:r>
      <w:r w:rsidR="0033224D" w:rsidRPr="00DA249F">
        <w:rPr>
          <w:lang w:val="en-GB"/>
        </w:rPr>
        <w:t>expand</w:t>
      </w:r>
      <w:r w:rsidR="00FD231C" w:rsidRPr="00DA249F">
        <w:rPr>
          <w:lang w:val="en-GB"/>
        </w:rPr>
        <w:t>ing</w:t>
      </w:r>
      <w:r w:rsidR="0033224D" w:rsidRPr="00DA249F">
        <w:rPr>
          <w:lang w:val="en-GB"/>
        </w:rPr>
        <w:t xml:space="preserve"> </w:t>
      </w:r>
      <w:r w:rsidR="33DBDCE8" w:rsidRPr="00DA249F">
        <w:rPr>
          <w:lang w:val="en-GB"/>
        </w:rPr>
        <w:t>into</w:t>
      </w:r>
      <w:r w:rsidR="0033224D" w:rsidRPr="00DA249F">
        <w:rPr>
          <w:lang w:val="en-GB"/>
        </w:rPr>
        <w:t xml:space="preserve"> suitable habitat found in African ecosystems</w:t>
      </w:r>
      <w:r w:rsidR="003665C7" w:rsidRPr="00DA249F">
        <w:rPr>
          <w:lang w:val="en-GB"/>
        </w:rPr>
        <w:t xml:space="preserve">, with </w:t>
      </w:r>
      <w:r w:rsidR="0033224D" w:rsidRPr="00DA249F">
        <w:rPr>
          <w:lang w:val="en-GB"/>
        </w:rPr>
        <w:t>the rate and extent of the spread depend</w:t>
      </w:r>
      <w:r w:rsidR="003665C7" w:rsidRPr="00DA249F">
        <w:rPr>
          <w:lang w:val="en-GB"/>
        </w:rPr>
        <w:t>ing</w:t>
      </w:r>
      <w:r w:rsidR="0033224D" w:rsidRPr="00DA249F">
        <w:rPr>
          <w:lang w:val="en-GB"/>
        </w:rPr>
        <w:t xml:space="preserve"> on disturbance from climate change</w:t>
      </w:r>
      <w:r w:rsidR="003665C7" w:rsidRPr="00DA249F">
        <w:rPr>
          <w:lang w:val="en-GB"/>
        </w:rPr>
        <w:t xml:space="preserve"> and the nutrient pollution levels of the water bodies </w:t>
      </w:r>
      <w:r w:rsidR="00C36D76" w:rsidRPr="00DA249F">
        <w:rPr>
          <w:lang w:val="en-GB"/>
        </w:rPr>
        <w:fldChar w:fldCharType="begin"/>
      </w:r>
      <w:r w:rsidR="00F5121E">
        <w:rPr>
          <w:lang w:val="en-GB"/>
        </w:rPr>
        <w:instrText xml:space="preserve"> ADDIN ZOTERO_ITEM CSL_CITATION {"citationID":"UQ5hkKQu","properties":{"formattedCitation":"(Diez et al., 2012; IPBES, 2019; Navarro &amp; Phiri, 2000)","plainCitation":"(Diez et al., 2012; IPBES, 2019; Navarro &amp; Phiri, 2000)","noteIndex":0},"citationItems":[{"id":30435,"uris":["http://zotero.org/groups/2352922/items/L6RHC4CK"],"itemData":{"id":30435,"type":"article-journal","abstract":"Extreme climatic events (ECEs) – such as unusual heat waves, hurricanes, floods, and droughts – can dramatically affect ecological and evolutionary processes, and these events are projected to become more frequent and more intense with ongoing climate change. However, the implications of ECEs for biological invasions remain poorly understood. Using concepts and empirical evidence from invasion ecology, we identify mechanisms by which ECEs may influence the invasion process, from initial introduction through establishment and spread. We summarize how ECEs can enhance invasions by promoting the transport of propagules into new regions, by decreasing the resistance of native communities to establishment, and also sometimes by putting existing non-native species at a competitive disadvantage. Finally, we outline priority research areas and management approaches for anticipating future risks of unwanted invasions following ECEs. Given predicted increases in both ECE occurrence and rates of species introductions around the globe during the coming decades, there is an urgent need to understand how these two processes interact to affect ecosystem composition and functioning.","container-title":"Frontiers in Ecology and the Environment","DOI":"10.1890/110137","ISSN":"1540-9309","issue":"5","journalAbbreviation":"Front. Ecol. Environ.","language":"en","license":"© The Ecological Society of America","note":"WOS:000305170600016","page":"249-257","source":"Wiley Online Library","title":"Will extreme climatic events facilitate biological invasions?","URL":"https://esajournals.onlinelibrary.wiley.com/doi/abs/10.1890/110137","volume":"10","author":[{"family":"Diez","given":"Jeffrey M."},{"family":"D'Antonio","given":"Carla M."},{"family":"Dukes","given":"Jeffrey S."},{"family":"Grosholz","given":"Edwin D."},{"family":"Olden","given":"Julian D."},{"family":"Sorte","given":"Cascade JB"},{"family":"Blumenthal","given":"Dana M."},{"family":"Bradley","given":"Bethany A."},{"family":"Early","given":"Regan"},{"family":"Ibáñez","given":"Inés"},{"family":"Jones","given":"Sierra J."},{"family":"Lawler","given":"Joshua J."},{"family":"Miller","given":"Luke P."}],"accessed":{"date-parts":[["2019",9,18]]},"issued":{"date-parts":[["2012",6]]}}},{"id":53933,"uris":["http://zotero.org/groups/2352922/items/JYFISR8Z","http://zotero.org/groups/2352922/items/ZACZGHZL"],"itemData":{"id":53933,"type":"report","abstract":"IPBES is to perform regular and timely assessments of knowledge on biodiversity and ecosystem services and their interlinkages at the global level. Also addressing an invitation by the Conference of the Parties of the Convention on Biological Diversity (CBD) to prepare a global assessment of biodiversity and ecosystem services building, inter alia, on its own and other relevant regional, subregional and thematic assessments, as well as on national reports. The overall scope of the assessment is to assess the status and trends with regard to biodiversity and ecosystem services, the impact of biodiversity and ecosystem services on human well-being and the effectiveness of responses, including the Strategic Plan and its Aichi Biodiversity Targets. It is anticipated that this deliverable will contribute to the process for the evaluation and renewal of the Strategic Plan for Biodiversity and its Aichi Biodiversity Targets. The IPBES Global Assessment on Biodiversity and Ecosystem Services is composed of 1) a Summary for Policymakers (SPM), approved by the IPBES Plenary at its 7th session in May 2019 in Paris, France (IPBES-7); and 2) a set of six Chapters, accepted by the IPBES Plenary.","language":"en","license":"Creative Commons Attribution 4.0 International, Open Access","note":"Version Number 1\nDOI: 10.5281/ZENODO.3831673","publisher":"Secretariat of the Intergovernmental Science-Policy Platform on Biodiversity and Ecosystem Services","source":"DOI.org (Datacite)","title":"Global assessment report on biodiversity and ecosystem services of the Intergovernmental Science-Policy Platform on Biodiversity and Ecosystem Services","URL":"https://zenodo.org/record/3831673","author":[{"literal":"IPBES"}],"contributor":[{"family":"Brondizio","given":"Eduardo"},{"family":"Diaz","given":"Sandra"},{"family":"Settele","given":"Josef"},{"family":"Ngo","given":"Hien T."}],"accessed":{"date-parts":[["2023",1,5]]},"issued":{"date-parts":[["2019"]]}}},{"id":52923,"uris":["http://zotero.org/groups/2352922/items/IWZV8J6F"],"itemData":{"id":52923,"type":"article-journal","ISSN":"0-88936-933-X","note":"ISBN: 088936933X\npublisher: Idrc","title":"Water hyacinth in Africa and the Middle East: A survey of problems and solutions","author":[{"family":"Navarro","given":"Luis A."},{"family":"Phiri","given":"George"}],"issued":{"date-parts":[["2000"]]}}}],"schema":"https://github.com/citation-style-language/schema/raw/master/csl-citation.json"} </w:instrText>
      </w:r>
      <w:r w:rsidR="00C36D76" w:rsidRPr="00DA249F">
        <w:rPr>
          <w:lang w:val="en-GB"/>
        </w:rPr>
        <w:fldChar w:fldCharType="separate"/>
      </w:r>
      <w:r w:rsidR="00144D96" w:rsidRPr="00144D96">
        <w:t>(Diez et al., 2012; IPBES, 2019; Navarro &amp; Phiri, 2000)</w:t>
      </w:r>
      <w:r w:rsidR="00C36D76" w:rsidRPr="00DA249F">
        <w:rPr>
          <w:lang w:val="en-GB"/>
        </w:rPr>
        <w:fldChar w:fldCharType="end"/>
      </w:r>
      <w:r w:rsidR="00C36D76" w:rsidRPr="00DA249F">
        <w:rPr>
          <w:lang w:val="en-GB"/>
        </w:rPr>
        <w:t>.</w:t>
      </w:r>
      <w:r w:rsidR="00AC64B4" w:rsidRPr="00DA249F">
        <w:rPr>
          <w:lang w:val="en-GB"/>
        </w:rPr>
        <w:t xml:space="preserve"> </w:t>
      </w:r>
    </w:p>
    <w:p w14:paraId="2ED386C9" w14:textId="77777777" w:rsidR="00B85107" w:rsidRPr="00DA249F" w:rsidRDefault="00EA5A7B" w:rsidP="00D47C04">
      <w:pPr>
        <w:pBdr>
          <w:top w:val="single" w:sz="4" w:space="1" w:color="auto"/>
          <w:left w:val="single" w:sz="4" w:space="1" w:color="auto"/>
          <w:bottom w:val="single" w:sz="4" w:space="1" w:color="auto"/>
          <w:right w:val="single" w:sz="4" w:space="1" w:color="auto"/>
        </w:pBdr>
        <w:shd w:val="clear" w:color="auto" w:fill="E7E6E6" w:themeFill="background2"/>
        <w:jc w:val="center"/>
        <w:rPr>
          <w:lang w:val="en-GB"/>
        </w:rPr>
      </w:pPr>
      <w:r>
        <w:rPr>
          <w:noProof/>
        </w:rPr>
        <w:drawing>
          <wp:inline distT="0" distB="0" distL="0" distR="0" wp14:anchorId="7FDFD261" wp14:editId="32BB686D">
            <wp:extent cx="4849470" cy="3637103"/>
            <wp:effectExtent l="0" t="0" r="8890" b="190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4851242" cy="3638432"/>
                    </a:xfrm>
                    <a:prstGeom prst="rect">
                      <a:avLst/>
                    </a:prstGeom>
                    <a:noFill/>
                    <a:ln>
                      <a:noFill/>
                    </a:ln>
                  </pic:spPr>
                </pic:pic>
              </a:graphicData>
            </a:graphic>
          </wp:inline>
        </w:drawing>
      </w:r>
    </w:p>
    <w:p w14:paraId="03E6A763" w14:textId="6FB3A90F" w:rsidR="0033224D" w:rsidRPr="00DA249F" w:rsidRDefault="00B85107" w:rsidP="00A10437">
      <w:pPr>
        <w:pStyle w:val="Caption"/>
        <w:pBdr>
          <w:top w:val="single" w:sz="4" w:space="1" w:color="auto"/>
          <w:left w:val="single" w:sz="4" w:space="1" w:color="auto"/>
          <w:bottom w:val="single" w:sz="4" w:space="1" w:color="auto"/>
          <w:right w:val="single" w:sz="4" w:space="1" w:color="auto"/>
        </w:pBdr>
        <w:shd w:val="clear" w:color="auto" w:fill="E7E6E6" w:themeFill="background2"/>
        <w:rPr>
          <w:lang w:val="en-GB"/>
        </w:rPr>
      </w:pPr>
      <w:bookmarkStart w:id="242" w:name="_Ref129350613"/>
      <w:bookmarkStart w:id="243" w:name="_Toc147500912"/>
      <w:r w:rsidRPr="00DA249F">
        <w:rPr>
          <w:lang w:val="en-GB"/>
        </w:rPr>
        <w:t>Figure 3.</w:t>
      </w:r>
      <w:r w:rsidRPr="00DA249F">
        <w:rPr>
          <w:lang w:val="en-GB"/>
        </w:rPr>
        <w:fldChar w:fldCharType="begin"/>
      </w:r>
      <w:r w:rsidRPr="00DA249F">
        <w:rPr>
          <w:lang w:val="en-GB"/>
        </w:rPr>
        <w:instrText xml:space="preserve"> SEQ Figure_3. \* ARABIC </w:instrText>
      </w:r>
      <w:r w:rsidRPr="00DA249F">
        <w:rPr>
          <w:lang w:val="en-GB"/>
        </w:rPr>
        <w:fldChar w:fldCharType="separate"/>
      </w:r>
      <w:r w:rsidR="00287BC7">
        <w:rPr>
          <w:noProof/>
          <w:lang w:val="en-GB"/>
        </w:rPr>
        <w:t>27</w:t>
      </w:r>
      <w:r w:rsidRPr="00DA249F">
        <w:rPr>
          <w:lang w:val="en-GB"/>
        </w:rPr>
        <w:fldChar w:fldCharType="end"/>
      </w:r>
      <w:r w:rsidR="00F70735" w:rsidRPr="00DA249F">
        <w:rPr>
          <w:lang w:val="en-GB"/>
        </w:rPr>
        <w:t>.</w:t>
      </w:r>
      <w:r w:rsidRPr="00DA249F">
        <w:rPr>
          <w:lang w:val="en-GB"/>
        </w:rPr>
        <w:t xml:space="preserve"> </w:t>
      </w:r>
      <w:r w:rsidR="003B6B03" w:rsidRPr="00DA249F">
        <w:rPr>
          <w:b w:val="0"/>
          <w:bCs w:val="0"/>
          <w:i/>
          <w:lang w:val="en-GB"/>
        </w:rPr>
        <w:t>Pontederia</w:t>
      </w:r>
      <w:r w:rsidRPr="00DA249F">
        <w:rPr>
          <w:b w:val="0"/>
          <w:bCs w:val="0"/>
          <w:i/>
          <w:lang w:val="en-GB"/>
        </w:rPr>
        <w:t xml:space="preserve"> crassipes</w:t>
      </w:r>
      <w:r w:rsidRPr="00DA249F">
        <w:rPr>
          <w:b w:val="0"/>
          <w:bCs w:val="0"/>
          <w:lang w:val="en-GB"/>
        </w:rPr>
        <w:t xml:space="preserve"> (water hyacinth) </w:t>
      </w:r>
      <w:r w:rsidR="00EA5A7B">
        <w:rPr>
          <w:b w:val="0"/>
          <w:bCs w:val="0"/>
          <w:lang w:val="en-GB"/>
        </w:rPr>
        <w:t>in</w:t>
      </w:r>
      <w:r w:rsidRPr="00DA249F">
        <w:rPr>
          <w:b w:val="0"/>
          <w:bCs w:val="0"/>
          <w:lang w:val="en-GB"/>
        </w:rPr>
        <w:t xml:space="preserve"> Lake Victoria, Kisumu, Kenya. </w:t>
      </w:r>
      <w:r w:rsidRPr="00DA249F">
        <w:rPr>
          <w:b w:val="0"/>
          <w:lang w:val="en-GB"/>
        </w:rPr>
        <w:t xml:space="preserve">The </w:t>
      </w:r>
      <w:r w:rsidR="00277470" w:rsidRPr="00DA249F">
        <w:rPr>
          <w:b w:val="0"/>
          <w:lang w:val="en-GB"/>
        </w:rPr>
        <w:t>free-floating</w:t>
      </w:r>
      <w:r w:rsidRPr="00DA249F">
        <w:rPr>
          <w:b w:val="0"/>
          <w:lang w:val="en-GB"/>
        </w:rPr>
        <w:t xml:space="preserve"> invasive alien plant hinders small boats from docking and prevents fishing activities along the landing beaches.</w:t>
      </w:r>
      <w:bookmarkEnd w:id="242"/>
      <w:r w:rsidRPr="00DA249F">
        <w:rPr>
          <w:b w:val="0"/>
          <w:lang w:val="en-GB"/>
        </w:rPr>
        <w:t> </w:t>
      </w:r>
      <w:r w:rsidR="00574D0F">
        <w:rPr>
          <w:b w:val="0"/>
          <w:lang w:val="en-GB"/>
        </w:rPr>
        <w:t xml:space="preserve">Photo credit: </w:t>
      </w:r>
      <w:r w:rsidR="00574D0F" w:rsidRPr="00574D0F">
        <w:rPr>
          <w:b w:val="0"/>
          <w:lang w:val="en-GB"/>
        </w:rPr>
        <w:t>Mwe17</w:t>
      </w:r>
      <w:r w:rsidR="00574D0F">
        <w:rPr>
          <w:b w:val="0"/>
          <w:lang w:val="en-GB"/>
        </w:rPr>
        <w:t>, WM Commons -</w:t>
      </w:r>
      <w:r w:rsidR="00574D0F" w:rsidRPr="00574D0F">
        <w:rPr>
          <w:b w:val="0"/>
          <w:lang w:val="en-GB"/>
        </w:rPr>
        <w:t xml:space="preserve"> </w:t>
      </w:r>
      <w:r w:rsidR="00C62020">
        <w:rPr>
          <w:b w:val="0"/>
          <w:bCs w:val="0"/>
          <w:lang w:val="en-GB"/>
        </w:rPr>
        <w:t xml:space="preserve">under license </w:t>
      </w:r>
      <w:r w:rsidR="00574D0F" w:rsidRPr="00574D0F">
        <w:rPr>
          <w:b w:val="0"/>
          <w:lang w:val="en-GB"/>
        </w:rPr>
        <w:t>CC BY-SA 4.0</w:t>
      </w:r>
      <w:r w:rsidR="00BB328F">
        <w:rPr>
          <w:b w:val="0"/>
          <w:lang w:val="en-GB"/>
        </w:rPr>
        <w:t>.</w:t>
      </w:r>
      <w:bookmarkEnd w:id="243"/>
    </w:p>
    <w:p w14:paraId="42B036B0" w14:textId="77777777" w:rsidR="00F50F5F" w:rsidRPr="00DA249F" w:rsidRDefault="0C524921" w:rsidP="00375B42">
      <w:pPr>
        <w:pStyle w:val="Heading2"/>
        <w:rPr>
          <w:lang w:val="en-GB"/>
        </w:rPr>
      </w:pPr>
      <w:bookmarkStart w:id="244" w:name="_Toc44317860"/>
      <w:bookmarkStart w:id="245" w:name="_Toc146898479"/>
      <w:bookmarkEnd w:id="244"/>
      <w:r w:rsidRPr="5575EBFC">
        <w:rPr>
          <w:lang w:val="en-GB"/>
        </w:rPr>
        <w:lastRenderedPageBreak/>
        <w:t>Trade, urbani</w:t>
      </w:r>
      <w:r w:rsidR="5524982E" w:rsidRPr="5575EBFC">
        <w:rPr>
          <w:lang w:val="en-GB"/>
        </w:rPr>
        <w:t>z</w:t>
      </w:r>
      <w:r w:rsidRPr="5575EBFC">
        <w:rPr>
          <w:lang w:val="en-GB"/>
        </w:rPr>
        <w:t>ation and land-use change</w:t>
      </w:r>
      <w:bookmarkEnd w:id="245"/>
    </w:p>
    <w:p w14:paraId="7D2EE0D7" w14:textId="079A6FF3" w:rsidR="00601323" w:rsidRPr="00DA249F" w:rsidRDefault="00F50F5F" w:rsidP="0090109B">
      <w:pPr>
        <w:rPr>
          <w:lang w:val="en-GB"/>
        </w:rPr>
      </w:pPr>
      <w:r w:rsidRPr="00DA249F">
        <w:rPr>
          <w:lang w:val="en-GB"/>
        </w:rPr>
        <w:t>Although international trade can directly introduce invasive alien species in ballast water, contaminants of commodities or stowaways in containers (</w:t>
      </w:r>
      <w:r w:rsidR="007B564F" w:rsidRPr="008C24B4">
        <w:rPr>
          <w:b/>
          <w:iCs/>
          <w:lang w:val="en-GB"/>
        </w:rPr>
        <w:t xml:space="preserve">section </w:t>
      </w:r>
      <w:r w:rsidRPr="008C24B4">
        <w:rPr>
          <w:b/>
          <w:iCs/>
          <w:lang w:val="en-GB"/>
        </w:rPr>
        <w:t>3.2.3.1</w:t>
      </w:r>
      <w:r w:rsidRPr="00DA249F">
        <w:rPr>
          <w:lang w:val="en-GB"/>
        </w:rPr>
        <w:t>)</w:t>
      </w:r>
      <w:r w:rsidR="00F13618" w:rsidRPr="00DA249F">
        <w:rPr>
          <w:lang w:val="en-GB"/>
        </w:rPr>
        <w:t>,</w:t>
      </w:r>
      <w:r w:rsidRPr="00DA249F">
        <w:rPr>
          <w:lang w:val="en-GB"/>
        </w:rPr>
        <w:t xml:space="preserve"> it also interacts with other drivers </w:t>
      </w:r>
      <w:r w:rsidR="00DA6F8D" w:rsidRPr="00DA249F">
        <w:rPr>
          <w:lang w:val="en-GB"/>
        </w:rPr>
        <w:t xml:space="preserve">facilitating </w:t>
      </w:r>
      <w:r w:rsidRPr="00DA249F">
        <w:rPr>
          <w:lang w:val="en-GB"/>
        </w:rPr>
        <w:t xml:space="preserve">biological invasions including: </w:t>
      </w:r>
      <w:r w:rsidR="00B346C9" w:rsidRPr="00DA249F">
        <w:rPr>
          <w:rStyle w:val="normaltextrun"/>
          <w:color w:val="000000" w:themeColor="text1"/>
          <w:lang w:val="en-GB"/>
        </w:rPr>
        <w:t>direct exploitation of natural resources</w:t>
      </w:r>
      <w:r w:rsidR="00B74F92" w:rsidRPr="00DA249F">
        <w:rPr>
          <w:lang w:val="en-GB"/>
        </w:rPr>
        <w:t xml:space="preserve">, </w:t>
      </w:r>
      <w:r w:rsidRPr="00DA249F">
        <w:rPr>
          <w:lang w:val="en-GB"/>
        </w:rPr>
        <w:t>pollution</w:t>
      </w:r>
      <w:r w:rsidR="00B74F92" w:rsidRPr="00DA249F">
        <w:rPr>
          <w:lang w:val="en-GB"/>
        </w:rPr>
        <w:t>,</w:t>
      </w:r>
      <w:r w:rsidRPr="00DA249F">
        <w:rPr>
          <w:lang w:val="en-GB"/>
        </w:rPr>
        <w:t xml:space="preserve"> climate change</w:t>
      </w:r>
      <w:r w:rsidR="00B74F92" w:rsidRPr="00DA249F">
        <w:rPr>
          <w:lang w:val="en-GB"/>
        </w:rPr>
        <w:t>,</w:t>
      </w:r>
      <w:r w:rsidRPr="00DA249F">
        <w:rPr>
          <w:lang w:val="en-GB"/>
        </w:rPr>
        <w:t xml:space="preserve"> land-use change</w:t>
      </w:r>
      <w:r w:rsidR="00774819">
        <w:rPr>
          <w:lang w:val="en-GB"/>
        </w:rPr>
        <w:t xml:space="preserve"> and</w:t>
      </w:r>
      <w:r w:rsidRPr="00DA249F">
        <w:rPr>
          <w:lang w:val="en-GB"/>
        </w:rPr>
        <w:t xml:space="preserve"> urbanization (</w:t>
      </w:r>
      <w:r w:rsidR="00DC2990">
        <w:rPr>
          <w:b/>
          <w:bCs/>
          <w:iCs/>
          <w:lang w:val="en-GB"/>
        </w:rPr>
        <w:t>Figure</w:t>
      </w:r>
      <w:r w:rsidR="00630DAB">
        <w:rPr>
          <w:b/>
          <w:bCs/>
          <w:iCs/>
          <w:lang w:val="en-GB"/>
        </w:rPr>
        <w:t xml:space="preserve"> 3.28</w:t>
      </w:r>
      <w:r w:rsidRPr="00DA249F">
        <w:rPr>
          <w:lang w:val="en-GB"/>
        </w:rPr>
        <w:t>).</w:t>
      </w:r>
      <w:r w:rsidR="00B1749C" w:rsidRPr="00DA249F">
        <w:rPr>
          <w:lang w:val="en-GB"/>
        </w:rPr>
        <w:t xml:space="preserve"> </w:t>
      </w:r>
      <w:r w:rsidRPr="00DA249F">
        <w:rPr>
          <w:lang w:val="en-GB"/>
        </w:rPr>
        <w:t xml:space="preserve">To illustrate aspects of these interactions, </w:t>
      </w:r>
      <w:r w:rsidR="00F13618" w:rsidRPr="00DA249F">
        <w:rPr>
          <w:lang w:val="en-GB"/>
        </w:rPr>
        <w:t xml:space="preserve">the </w:t>
      </w:r>
      <w:r w:rsidRPr="00DA249F">
        <w:rPr>
          <w:lang w:val="en-GB"/>
        </w:rPr>
        <w:t>following section examines the implications of the interactions between tr</w:t>
      </w:r>
      <w:r w:rsidR="007B564F" w:rsidRPr="00DA249F">
        <w:rPr>
          <w:lang w:val="en-GB"/>
        </w:rPr>
        <w:t>ade, land-use change and urbani</w:t>
      </w:r>
      <w:r w:rsidR="00CA62D5" w:rsidRPr="00DA249F">
        <w:rPr>
          <w:lang w:val="en-GB"/>
        </w:rPr>
        <w:t>z</w:t>
      </w:r>
      <w:r w:rsidRPr="00DA249F">
        <w:rPr>
          <w:lang w:val="en-GB"/>
        </w:rPr>
        <w:t>ation.</w:t>
      </w:r>
    </w:p>
    <w:p w14:paraId="0A748F52" w14:textId="2A18A8AA" w:rsidR="007C6197" w:rsidRPr="00DA249F" w:rsidRDefault="00601323" w:rsidP="0090109B">
      <w:pPr>
        <w:rPr>
          <w:lang w:val="en-GB"/>
        </w:rPr>
      </w:pPr>
      <w:r w:rsidRPr="00DA249F">
        <w:rPr>
          <w:lang w:val="en-GB"/>
        </w:rPr>
        <w:t>International trade is an important driver of urbanization since it encourages the agglomeration of economic activities (and hence labour) in specific urban areas</w:t>
      </w:r>
      <w:r w:rsidR="00AF4432">
        <w:rPr>
          <w:lang w:val="en-GB"/>
        </w:rPr>
        <w:t>,</w:t>
      </w:r>
      <w:r w:rsidRPr="00DA249F">
        <w:rPr>
          <w:lang w:val="en-GB"/>
        </w:rPr>
        <w:t xml:space="preserve"> particularly </w:t>
      </w:r>
      <w:r w:rsidR="00AF4432">
        <w:rPr>
          <w:lang w:val="en-GB"/>
        </w:rPr>
        <w:t>areas that</w:t>
      </w:r>
      <w:r w:rsidRPr="00DA249F">
        <w:rPr>
          <w:lang w:val="en-GB"/>
        </w:rPr>
        <w:t xml:space="preserve"> are associated with international transport hubs such as marine ports, airports or national borders </w:t>
      </w:r>
      <w:r w:rsidRPr="00DA249F">
        <w:rPr>
          <w:lang w:val="en-GB"/>
        </w:rPr>
        <w:fldChar w:fldCharType="begin"/>
      </w:r>
      <w:r w:rsidR="00331A79">
        <w:rPr>
          <w:lang w:val="en-GB"/>
        </w:rPr>
        <w:instrText xml:space="preserve"> ADDIN ZOTERO_ITEM CSL_CITATION {"citationID":"kFnUVcdm","properties":{"formattedCitation":"(Tripathi, 2020)","plainCitation":"(Tripathi, 2020)","noteIndex":0},"citationItems":[{"id":29524,"uris":["http://zotero.org/groups/2352922/items/T9I5R3N3"],"itemData":{"id":29524,"type":"article-journal","container-title":"Asia-Pacific Journal of Regional Science","DOI":"https://doi.org/10.1007/s41685-020-00179-z","language":"en","page":"397–426","title":"Do macroeconomic factors promote urbanization? Evidence from BRICS countries","volume":"5","author":[{"family":"Tripathi","given":"Sabyasachi"}],"issued":{"date-parts":[["2020"]]}},"label":"page"}],"schema":"https://github.com/citation-style-language/schema/raw/master/csl-citation.json"} </w:instrText>
      </w:r>
      <w:r w:rsidRPr="00DA249F">
        <w:rPr>
          <w:lang w:val="en-GB"/>
        </w:rPr>
        <w:fldChar w:fldCharType="separate"/>
      </w:r>
      <w:r w:rsidR="00144D96" w:rsidRPr="00144D96">
        <w:t>(Tripathi, 2020)</w:t>
      </w:r>
      <w:r w:rsidRPr="00DA249F">
        <w:rPr>
          <w:lang w:val="en-GB"/>
        </w:rPr>
        <w:fldChar w:fldCharType="end"/>
      </w:r>
      <w:r w:rsidRPr="00DA249F">
        <w:rPr>
          <w:lang w:val="en-GB"/>
        </w:rPr>
        <w:t xml:space="preserve">. Cities that have </w:t>
      </w:r>
      <w:r w:rsidR="00277470" w:rsidRPr="00DA249F">
        <w:rPr>
          <w:lang w:val="en-GB"/>
        </w:rPr>
        <w:t>a high</w:t>
      </w:r>
      <w:r w:rsidRPr="00DA249F">
        <w:rPr>
          <w:lang w:val="en-GB"/>
        </w:rPr>
        <w:t xml:space="preserve"> number of global trade links tend to be highly urbanized</w:t>
      </w:r>
      <w:r w:rsidR="00774819">
        <w:rPr>
          <w:lang w:val="en-GB"/>
        </w:rPr>
        <w:t xml:space="preserve"> and</w:t>
      </w:r>
      <w:r w:rsidR="00572AC1">
        <w:rPr>
          <w:lang w:val="en-GB"/>
        </w:rPr>
        <w:t xml:space="preserve"> urbanization</w:t>
      </w:r>
      <w:r w:rsidRPr="00DA249F">
        <w:rPr>
          <w:lang w:val="en-GB"/>
        </w:rPr>
        <w:t xml:space="preserve"> </w:t>
      </w:r>
      <w:r w:rsidR="00572AC1">
        <w:rPr>
          <w:lang w:val="en-GB"/>
        </w:rPr>
        <w:t>also</w:t>
      </w:r>
      <w:r w:rsidRPr="00DA249F">
        <w:rPr>
          <w:lang w:val="en-GB"/>
        </w:rPr>
        <w:t xml:space="preserve"> increases with the level of agricultural imports</w:t>
      </w:r>
      <w:r w:rsidR="00774819">
        <w:rPr>
          <w:lang w:val="en-GB"/>
        </w:rPr>
        <w:t xml:space="preserve"> and</w:t>
      </w:r>
      <w:r w:rsidR="00572AC1">
        <w:rPr>
          <w:lang w:val="en-GB"/>
        </w:rPr>
        <w:t xml:space="preserve"> with</w:t>
      </w:r>
      <w:r w:rsidRPr="00DA249F">
        <w:rPr>
          <w:lang w:val="en-GB"/>
        </w:rPr>
        <w:t xml:space="preserve"> exports of non-agricultural commodities </w:t>
      </w:r>
      <w:r w:rsidRPr="00DA249F">
        <w:rPr>
          <w:lang w:val="en-GB"/>
        </w:rPr>
        <w:fldChar w:fldCharType="begin"/>
      </w:r>
      <w:r w:rsidR="00331A79">
        <w:rPr>
          <w:lang w:val="en-GB"/>
        </w:rPr>
        <w:instrText xml:space="preserve"> ADDIN ZOTERO_ITEM CSL_CITATION {"citationID":"uclKDA2n","properties":{"formattedCitation":"(Thia, 2016)","plainCitation":"(Thia, 2016)","noteIndex":0},"citationItems":[{"id":29525,"uris":["http://zotero.org/groups/2352922/items/58ZEJ9PV"],"itemData":{"id":29525,"type":"article-journal","container-title":"World Economy","DOI":"https://doi.org/10.1111/twec.13187","language":"en","page":"853–872","title":"Trade and Urbanisation","URL":"https://onlinelibrary.wiley.com/doi/10.1111/twec.13187","volume":"39","author":[{"family":"Thia","given":"Jang Ping"}],"issued":{"date-parts":[["2016"]]}},"label":"page"}],"schema":"https://github.com/citation-style-language/schema/raw/master/csl-citation.json"} </w:instrText>
      </w:r>
      <w:r w:rsidRPr="00DA249F">
        <w:rPr>
          <w:lang w:val="en-GB"/>
        </w:rPr>
        <w:fldChar w:fldCharType="separate"/>
      </w:r>
      <w:r w:rsidR="00144D96" w:rsidRPr="00144D96">
        <w:t>(Thia, 2016)</w:t>
      </w:r>
      <w:r w:rsidRPr="00DA249F">
        <w:rPr>
          <w:lang w:val="en-GB"/>
        </w:rPr>
        <w:fldChar w:fldCharType="end"/>
      </w:r>
      <w:r w:rsidRPr="00DA249F">
        <w:rPr>
          <w:lang w:val="en-GB"/>
        </w:rPr>
        <w:t xml:space="preserve">. Urban areas also represent hotspots of alien species richness, which in part can be explained by the high rate of </w:t>
      </w:r>
      <w:r w:rsidR="002F73DC" w:rsidRPr="00DA249F">
        <w:rPr>
          <w:lang w:val="en-GB"/>
        </w:rPr>
        <w:t>intentional</w:t>
      </w:r>
      <w:r w:rsidRPr="00DA249F">
        <w:rPr>
          <w:lang w:val="en-GB"/>
        </w:rPr>
        <w:t xml:space="preserve"> introductions of alien species either for amenity value (e.g., street trees) or as pets (e.g., parrots) that subsequently escape</w:t>
      </w:r>
      <w:r w:rsidR="00572AC1">
        <w:rPr>
          <w:lang w:val="en-GB"/>
        </w:rPr>
        <w:t>,</w:t>
      </w:r>
      <w:r w:rsidRPr="00DA249F">
        <w:rPr>
          <w:lang w:val="en-GB"/>
        </w:rPr>
        <w:t xml:space="preserve"> but also </w:t>
      </w:r>
      <w:r w:rsidR="00572AC1">
        <w:rPr>
          <w:lang w:val="en-GB"/>
        </w:rPr>
        <w:t xml:space="preserve">by </w:t>
      </w:r>
      <w:r w:rsidRPr="00DA249F">
        <w:rPr>
          <w:lang w:val="en-GB"/>
        </w:rPr>
        <w:t xml:space="preserve">the higher international connectivity of large cities that facilitates unintentional introductions of alien species via ports and airports </w:t>
      </w:r>
      <w:r w:rsidRPr="00DA249F">
        <w:rPr>
          <w:lang w:val="en-GB"/>
        </w:rPr>
        <w:fldChar w:fldCharType="begin"/>
      </w:r>
      <w:r w:rsidR="00331A79">
        <w:rPr>
          <w:lang w:val="en-GB"/>
        </w:rPr>
        <w:instrText xml:space="preserve"> ADDIN ZOTERO_ITEM CSL_CITATION {"citationID":"lnrXZmkf","properties":{"formattedCitation":"(Shochat et al., 2010)","plainCitation":"(Shochat et al., 2010)","noteIndex":0},"citationItems":[{"id":56682,"uris":["http://zotero.org/groups/2352922/items/NWRKWRYM","http://zotero.org/groups/2352922/items/6TZ8EUU8","http://zotero.org/groups/2352922/items/WUDCFPUK"],"itemData":{"id":56682,"type":"article-journal","container-title":"BioScience","DOI":"10.1525/bio.2010.60.3.6","ISSN":"1525-3244, 0006-3568","issue":"3","language":"en","page":"199-208","source":"DOI.org (Crossref)","title":"Invasion, Competition, and Biodiversity Loss in Urban Ecosystems","URL":"https://academic.oup.com/bioscience/article-lookup/doi/10.1525/bio.2010.60.3.6","volume":"60","author":[{"family":"Shochat","given":"Eyal"},{"family":"Lerman","given":"Susannah B."},{"family":"Anderies","given":"John M."},{"family":"Warren","given":"Paige S."},{"family":"Faeth","given":"Stanley H."},{"family":"Nilon","given":"Charles H."}],"accessed":{"date-parts":[["2023",6,8]]},"issued":{"date-parts":[["2010",3]]}},"label":"page"}],"schema":"https://github.com/citation-style-language/schema/raw/master/csl-citation.json"} </w:instrText>
      </w:r>
      <w:r w:rsidRPr="00DA249F">
        <w:rPr>
          <w:lang w:val="en-GB"/>
        </w:rPr>
        <w:fldChar w:fldCharType="separate"/>
      </w:r>
      <w:r w:rsidR="00144D96" w:rsidRPr="00144D96">
        <w:t>(Shochat et al., 2010)</w:t>
      </w:r>
      <w:r w:rsidRPr="00DA249F">
        <w:rPr>
          <w:lang w:val="en-GB"/>
        </w:rPr>
        <w:fldChar w:fldCharType="end"/>
      </w:r>
      <w:r w:rsidRPr="00DA249F">
        <w:rPr>
          <w:lang w:val="en-GB"/>
        </w:rPr>
        <w:t xml:space="preserve">. In the marine realm, urbanized maritime infrastructure associated with ports (e.g., breakwaters, jetties and seawalls) does not function as a surrogate </w:t>
      </w:r>
      <w:r w:rsidR="004A5A3B">
        <w:rPr>
          <w:lang w:val="en-GB"/>
        </w:rPr>
        <w:t>for</w:t>
      </w:r>
      <w:r w:rsidRPr="00DA249F">
        <w:rPr>
          <w:lang w:val="en-GB"/>
        </w:rPr>
        <w:t xml:space="preserve"> natural rocky habitats but instead facilitates the establishment and spread of alien species </w:t>
      </w:r>
      <w:r w:rsidRPr="00DA249F">
        <w:rPr>
          <w:lang w:val="en-GB"/>
        </w:rPr>
        <w:fldChar w:fldCharType="begin"/>
      </w:r>
      <w:r w:rsidR="00331A79">
        <w:rPr>
          <w:lang w:val="en-GB"/>
        </w:rPr>
        <w:instrText xml:space="preserve"> ADDIN ZOTERO_ITEM CSL_CITATION {"citationID":"rifNUOXb","properties":{"formattedCitation":"(Bulleri &amp; Chapman, 2010)","plainCitation":"(Bulleri &amp; Chapman, 2010)","dontUpdate":true,"noteIndex":0},"citationItems":[{"id":29530,"uris":["http://zotero.org/groups/2352922/items/U7JC3DL5"],"itemData":{"id":29530,"type":"article-journal","container-title":"Journal of Applied Ecology","DOI":"https://doi.org/10.1111/j.1365-2664.2009.01751.x","language":"en","page":"26–35","title":"The introduction of coastal infrastructure as a driver of change in marine environments","volume":"47","author":[{"family":"Bulleri","given":"Fabio"},{"family":"Chapman","given":"Maura G."}],"issued":{"date-parts":[["2010"]]}},"label":"page"}],"schema":"https://github.com/citation-style-language/schema/raw/master/csl-citation.json"} </w:instrText>
      </w:r>
      <w:r w:rsidRPr="00DA249F">
        <w:rPr>
          <w:lang w:val="en-GB"/>
        </w:rPr>
        <w:fldChar w:fldCharType="separate"/>
      </w:r>
      <w:r w:rsidR="002C3270" w:rsidRPr="00DA249F">
        <w:rPr>
          <w:lang w:val="en-GB"/>
        </w:rPr>
        <w:t>(Bulleri &amp; Chapman, 2010</w:t>
      </w:r>
      <w:r w:rsidRPr="00DA249F">
        <w:rPr>
          <w:lang w:val="en-GB"/>
        </w:rPr>
        <w:fldChar w:fldCharType="end"/>
      </w:r>
      <w:r w:rsidR="002C3270" w:rsidRPr="00DA249F">
        <w:rPr>
          <w:lang w:val="en-GB"/>
        </w:rPr>
        <w:t xml:space="preserve">; </w:t>
      </w:r>
      <w:r w:rsidR="002C3270" w:rsidRPr="008C24B4">
        <w:rPr>
          <w:b/>
          <w:iCs/>
          <w:lang w:val="en-GB"/>
        </w:rPr>
        <w:t>section 3.3.1.</w:t>
      </w:r>
      <w:r w:rsidR="00627228" w:rsidRPr="008C24B4">
        <w:rPr>
          <w:b/>
          <w:iCs/>
          <w:lang w:val="en-GB"/>
        </w:rPr>
        <w:t>4</w:t>
      </w:r>
      <w:r w:rsidR="002C3270" w:rsidRPr="00DA249F">
        <w:rPr>
          <w:lang w:val="en-GB"/>
        </w:rPr>
        <w:t>)</w:t>
      </w:r>
      <w:r w:rsidRPr="00DA249F">
        <w:rPr>
          <w:lang w:val="en-GB"/>
        </w:rPr>
        <w:t>. For example, in coastal North America approximately 90</w:t>
      </w:r>
      <w:r w:rsidR="00277470" w:rsidRPr="00DA249F">
        <w:rPr>
          <w:lang w:val="en-GB"/>
        </w:rPr>
        <w:t xml:space="preserve"> </w:t>
      </w:r>
      <w:r w:rsidR="004C77CD" w:rsidRPr="00DA249F">
        <w:rPr>
          <w:lang w:val="en-GB"/>
        </w:rPr>
        <w:t>per cent</w:t>
      </w:r>
      <w:r w:rsidRPr="00DA249F">
        <w:rPr>
          <w:lang w:val="en-GB"/>
        </w:rPr>
        <w:t xml:space="preserve"> of the alien species inhabiting hard </w:t>
      </w:r>
      <w:r w:rsidR="004979F3">
        <w:rPr>
          <w:lang w:val="en-GB"/>
        </w:rPr>
        <w:t xml:space="preserve">artificial </w:t>
      </w:r>
      <w:r w:rsidRPr="00DA249F">
        <w:rPr>
          <w:lang w:val="en-GB"/>
        </w:rPr>
        <w:t xml:space="preserve">substrata have been reported from docks and marinas </w:t>
      </w:r>
      <w:r w:rsidRPr="00DA249F">
        <w:rPr>
          <w:lang w:val="en-GB"/>
        </w:rPr>
        <w:fldChar w:fldCharType="begin"/>
      </w:r>
      <w:r w:rsidR="00331A79">
        <w:rPr>
          <w:lang w:val="en-GB"/>
        </w:rPr>
        <w:instrText xml:space="preserve"> ADDIN ZOTERO_ITEM CSL_CITATION {"citationID":"Z4YDMlWs","properties":{"formattedCitation":"(Mineur et al., 2012)","plainCitation":"(Mineur et al., 2012)","noteIndex":0},"citationItems":[{"id":30403,"uris":["http://zotero.org/groups/2352922/items/M9EDKFVV"],"itemData":{"id":30403,"type":"chapter","abstract":"Marine aliens are non-native species that have been transported across major geographical barriers by human activities, involving vectors that move propagules along pathways. Species may also be newly observed in a geographical area due to range shifts, generally in association with climate change. Artificial structures are considered to be either man-made materials or natural materials shaped or displaced to serve a specific function for human activities. All types of artificial structures are currently increasing dramatically in coastal zones due to increasing human populations on coastlines. Most of the significant marine vectors and pathways involve mobile artificial structures and are reviewed here. These include shipping (ballast water and hull fouling) and aquaculture, including stock transfer and unintentional introductions, all of which can move species into new biogeographical provinces. Some types of structures frequently move long distances but have low fouling loads (e.g., commercial shipping), whereas others (e.g., barges and pontoons) can be hyperfouled due to long stationary periods such that when moved they transport mature fouling communities. We also examine the presence of alien marine species on static (immobile) artificial structures, which support different communities from those on natural hard substrata. We consider the role of these structures, such as coastal defences, artificial reefs, and offshore platforms, in the dispersal and abundance of alien species. Marinas include both mobile and immobile structures and are apparently particularly favourable habitats for many aliens. For example, in coastal North America approximately 90% of the alien species inhabiting hard substrata have been reported from docks and marinas. Detailed case studies of alien marine species (two seaweeds and four invertebrates) are provided, with an analysis of their origin, vectors of transport, habitat in the introduced range, and potential impact. Although there are exceptions, a large majority of marine alien species seem to be associated, at least for some of the time, with artificial structures. It is clear that artificial structures can pave the way and act as stepping stones or even corridors for some marine aliens, as do urban areas, roads and riparian environments in terrestrial ecosystems. The observed acceleration of spread rates for marine invasions over the course of the last two centuries may partly be a result of the increase of artificial structures in coastal environments coupled with greater activity of vectors.","container-title":"Oceanography and Marine Biology: An Annual Review","edition":"First edition","event-place":"Abingdon, GB","ISBN":"978-0-429-10938-6","page":"189-233","publisher":"CRC Press","publisher-place":"Abingdon, GB","title":"Changing coasts: marine aliens and artificial structures","URL":"https://www.taylorfrancis.com/chapters/edit/10.1201/b12157-6/changing-coasts-marine-aliens-arti%C2%8Dcial-structures-fr%C3%A9d%C3%A9ric-mineur-elizabeth-cook-dan-minchin-katrin-bohn-adrian-macleod-christine-maggs?context=ubx&amp;refId=2930e715-4984-4ce8-81b6-66fa5cbd65e9","volume":"50","author":[{"family":"Mineur","given":"Frédéric"},{"family":"Cook","given":"Elizabeth J."},{"family":"Minchin","given":"Dan"},{"family":"Bohn","given":"Katrin"},{"family":"MacLeod","given":"Adrian"},{"family":"Maggs","given":"Christine A."}],"editor":[{"family":"Gibson","given":"R.N."},{"family":"Atkinson","given":"R.J.A."},{"family":"Gordon","given":"J.D.M."},{"family":"Hughes","given":"R.N."}],"issued":{"date-parts":[["2012"]]}},"label":"page"}],"schema":"https://github.com/citation-style-language/schema/raw/master/csl-citation.json"} </w:instrText>
      </w:r>
      <w:r w:rsidRPr="00DA249F">
        <w:rPr>
          <w:lang w:val="en-GB"/>
        </w:rPr>
        <w:fldChar w:fldCharType="separate"/>
      </w:r>
      <w:r w:rsidR="00144D96" w:rsidRPr="00144D96">
        <w:t>(Mineur et al., 2012)</w:t>
      </w:r>
      <w:r w:rsidRPr="00DA249F">
        <w:rPr>
          <w:lang w:val="en-GB"/>
        </w:rPr>
        <w:fldChar w:fldCharType="end"/>
      </w:r>
      <w:r w:rsidRPr="00DA249F">
        <w:rPr>
          <w:lang w:val="en-GB"/>
        </w:rPr>
        <w:t>. Similarly, it can be expected that urbanization driven by international trade will lead to further development of land-based transport infrastructure such as rail and roads which may also facilitate the spread of alien species beyond the initial port of entry. The growth of urban areas also results in land-use change as natural and agricultural areas are fragmented and converted to housing</w:t>
      </w:r>
      <w:r w:rsidR="00586A45">
        <w:rPr>
          <w:lang w:val="en-GB"/>
        </w:rPr>
        <w:t>.</w:t>
      </w:r>
      <w:r w:rsidRPr="00DA249F">
        <w:rPr>
          <w:lang w:val="en-GB"/>
        </w:rPr>
        <w:t xml:space="preserve"> </w:t>
      </w:r>
      <w:r w:rsidR="00586A45">
        <w:rPr>
          <w:lang w:val="en-GB"/>
        </w:rPr>
        <w:t>T</w:t>
      </w:r>
      <w:r w:rsidRPr="00DA249F">
        <w:rPr>
          <w:lang w:val="en-GB"/>
        </w:rPr>
        <w:t>his environmental disturbance favours the persistence of generalist human</w:t>
      </w:r>
      <w:r w:rsidR="00586A45">
        <w:rPr>
          <w:lang w:val="en-GB"/>
        </w:rPr>
        <w:t>-</w:t>
      </w:r>
      <w:r w:rsidRPr="00DA249F">
        <w:rPr>
          <w:lang w:val="en-GB"/>
        </w:rPr>
        <w:t xml:space="preserve">commensal species from around the world </w:t>
      </w:r>
      <w:r w:rsidRPr="00DA249F">
        <w:rPr>
          <w:lang w:val="en-GB"/>
        </w:rPr>
        <w:fldChar w:fldCharType="begin"/>
      </w:r>
      <w:r w:rsidR="00331A79">
        <w:rPr>
          <w:lang w:val="en-GB"/>
        </w:rPr>
        <w:instrText xml:space="preserve"> ADDIN ZOTERO_ITEM CSL_CITATION {"citationID":"J4B4uoT6","properties":{"formattedCitation":"(Gavier-Pizarro et al., 2010)","plainCitation":"(Gavier-Pizarro et al., 2010)","noteIndex":0},"citationItems":[{"id":29792,"uris":["http://zotero.org/groups/2352922/items/TEL432PQ"],"itemData":{"id":29792,"type":"article-journal","abstract":"Understanding the factors related to invasive exotic species distributions at broad spatial scales has important theoretical and management implications, because biological invasions are detrimental to many ecosystem functions and processes. Housing development facilitates invasions by disturbing land cover, introducing nonnative landscaping plants, and facilitating dispersal of propagules along roads. To evaluate relationships between housing and the distribution of invasive exotic plants, we asked (1) how strongly is housing associated with the spatial distribution of invasive exotic plants compared to other anthropogenic and environmental factors; (2) what type of housing pattern is related to the richness of invasive exotic plants; and (3) do invasive plants represent ecological traits associated with specific housing patterns? Using two types of regression analysis (best subset analysis and hierarchical partitioning analysis), we found that invasive exotic plant richness was equally or more strongly related to housing variables than to other human (e.g., mean income and roads) and environmental (e.g., topography and forest cover) variables at the county level across New England. Richness of invasive exotic plants was positively related to area of wildland–urban interface (WUI), low-density residential areas, change in number of housing units between 1940 and 2000, mean income, plant productivity (NDVI), and altitudinal range and rainfall; it was negatively related to forest area and connectivity. Plant life history traits were not strongly related to housing patterns. We expect the number of invasive exotic plants to increase as a result of future housing growth and suggest that housing development be considered a primary factor in plans to manage and monitor invasive exotic plant species.","container-title":"Ecological Applications","DOI":"10.1890/09-2168.1","ISSN":"1939-5582","issue":"7","language":"en","license":"© 2010 by the Ecological Society of America","page":"1913-1925","source":"Wiley Online Library","title":"Housing is positively associated with invasive exotic plant species richness in New England, USA","URL":"https://esajournals.onlinelibrary.wiley.com/doi/abs/10.1890/09-2168.1","volume":"20","author":[{"family":"Gavier-Pizarro","given":"Gregorio I."},{"family":"Radeloff","given":"Volker C."},{"family":"Stewart","given":"Susan I."},{"family":"Huebner","given":"Cynthia D."},{"family":"Keuler","given":"Nicholas S."}],"accessed":{"date-parts":[["2019",9,15]]},"issued":{"date-parts":[["2010"]]}},"label":"page"}],"schema":"https://github.com/citation-style-language/schema/raw/master/csl-citation.json"} </w:instrText>
      </w:r>
      <w:r w:rsidRPr="00DA249F">
        <w:rPr>
          <w:lang w:val="en-GB"/>
        </w:rPr>
        <w:fldChar w:fldCharType="separate"/>
      </w:r>
      <w:r w:rsidR="00144D96" w:rsidRPr="00144D96">
        <w:t>(Gavier-Pizarro et al., 2010)</w:t>
      </w:r>
      <w:r w:rsidRPr="00DA249F">
        <w:rPr>
          <w:lang w:val="en-GB"/>
        </w:rPr>
        <w:fldChar w:fldCharType="end"/>
      </w:r>
      <w:r w:rsidR="00433D5F" w:rsidRPr="00DA249F">
        <w:rPr>
          <w:lang w:val="en-GB"/>
        </w:rPr>
        <w:t>.</w:t>
      </w:r>
    </w:p>
    <w:p w14:paraId="34AAEFF7" w14:textId="6964DF6A" w:rsidR="00E63B57" w:rsidRPr="00DA249F" w:rsidRDefault="00CB5CAA" w:rsidP="00AD58F4">
      <w:pPr>
        <w:keepNext/>
        <w:rPr>
          <w:lang w:val="en-GB"/>
        </w:rPr>
      </w:pPr>
      <w:r w:rsidRPr="00CB5CAA">
        <w:rPr>
          <w:noProof/>
          <w:lang w:val="en-GB"/>
        </w:rPr>
        <w:drawing>
          <wp:inline distT="0" distB="0" distL="0" distR="0" wp14:anchorId="5DDBE3E9" wp14:editId="3CF2E16E">
            <wp:extent cx="6115050" cy="3234690"/>
            <wp:effectExtent l="0" t="0" r="6350" b="3810"/>
            <wp:docPr id="13" name="Picture 13" descr="A diagram of different types of animal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A diagram of different types of animals&#10;&#10;Description automatically generated"/>
                    <pic:cNvPicPr/>
                  </pic:nvPicPr>
                  <pic:blipFill>
                    <a:blip r:embed="rId50"/>
                    <a:stretch>
                      <a:fillRect/>
                    </a:stretch>
                  </pic:blipFill>
                  <pic:spPr>
                    <a:xfrm>
                      <a:off x="0" y="0"/>
                      <a:ext cx="6115050" cy="3234690"/>
                    </a:xfrm>
                    <a:prstGeom prst="rect">
                      <a:avLst/>
                    </a:prstGeom>
                  </pic:spPr>
                </pic:pic>
              </a:graphicData>
            </a:graphic>
          </wp:inline>
        </w:drawing>
      </w:r>
    </w:p>
    <w:p w14:paraId="1CC4B2E5" w14:textId="0C54699A" w:rsidR="00E63B57" w:rsidRPr="00DA249F" w:rsidRDefault="3E2953DC" w:rsidP="00A10437">
      <w:pPr>
        <w:pStyle w:val="Caption"/>
        <w:rPr>
          <w:lang w:val="en-GB"/>
        </w:rPr>
      </w:pPr>
      <w:bookmarkStart w:id="246" w:name="_Ref104902859"/>
      <w:bookmarkStart w:id="247" w:name="_Hlk137719273"/>
      <w:bookmarkStart w:id="248" w:name="_Toc147500913"/>
      <w:r w:rsidRPr="5575EBFC">
        <w:rPr>
          <w:lang w:val="en-GB"/>
        </w:rPr>
        <w:t>Figure 3.</w:t>
      </w:r>
      <w:r w:rsidR="2418D7AE" w:rsidRPr="5575EBFC">
        <w:rPr>
          <w:lang w:val="en-GB"/>
        </w:rPr>
        <w:fldChar w:fldCharType="begin"/>
      </w:r>
      <w:r w:rsidR="2418D7AE" w:rsidRPr="5575EBFC">
        <w:rPr>
          <w:lang w:val="en-GB"/>
        </w:rPr>
        <w:instrText xml:space="preserve"> SEQ Figure_3. \* ARABIC </w:instrText>
      </w:r>
      <w:r w:rsidR="2418D7AE" w:rsidRPr="5575EBFC">
        <w:rPr>
          <w:lang w:val="en-GB"/>
        </w:rPr>
        <w:fldChar w:fldCharType="separate"/>
      </w:r>
      <w:r w:rsidR="00287BC7">
        <w:rPr>
          <w:noProof/>
          <w:lang w:val="en-GB"/>
        </w:rPr>
        <w:t>28</w:t>
      </w:r>
      <w:r w:rsidR="2418D7AE" w:rsidRPr="5575EBFC">
        <w:rPr>
          <w:lang w:val="en-GB"/>
        </w:rPr>
        <w:fldChar w:fldCharType="end"/>
      </w:r>
      <w:bookmarkEnd w:id="246"/>
      <w:r w:rsidR="518A6266" w:rsidRPr="5575EBFC">
        <w:rPr>
          <w:lang w:val="en-GB"/>
        </w:rPr>
        <w:t>.</w:t>
      </w:r>
      <w:r w:rsidR="39D9378F" w:rsidRPr="5575EBFC">
        <w:rPr>
          <w:b w:val="0"/>
          <w:bCs w:val="0"/>
          <w:lang w:val="en-GB"/>
        </w:rPr>
        <w:t xml:space="preserve"> Schematic illustration of </w:t>
      </w:r>
      <w:r w:rsidRPr="5575EBFC">
        <w:rPr>
          <w:b w:val="0"/>
          <w:bCs w:val="0"/>
          <w:lang w:val="en-GB"/>
        </w:rPr>
        <w:t xml:space="preserve">how international merchandise trade interacts with other </w:t>
      </w:r>
      <w:r w:rsidR="653902EA" w:rsidRPr="5575EBFC">
        <w:rPr>
          <w:b w:val="0"/>
          <w:bCs w:val="0"/>
          <w:lang w:val="en-GB"/>
        </w:rPr>
        <w:t>drivers of change in nature</w:t>
      </w:r>
      <w:r w:rsidRPr="5575EBFC">
        <w:rPr>
          <w:b w:val="0"/>
          <w:bCs w:val="0"/>
          <w:lang w:val="en-GB"/>
        </w:rPr>
        <w:t xml:space="preserve"> to influence the introduction and spread of invasive alien species</w:t>
      </w:r>
      <w:r w:rsidR="49E826BD" w:rsidRPr="5575EBFC">
        <w:rPr>
          <w:b w:val="0"/>
          <w:bCs w:val="0"/>
          <w:lang w:val="en-GB"/>
        </w:rPr>
        <w:t>.</w:t>
      </w:r>
      <w:r w:rsidRPr="5575EBFC">
        <w:rPr>
          <w:b w:val="0"/>
          <w:bCs w:val="0"/>
          <w:lang w:val="en-GB"/>
        </w:rPr>
        <w:t xml:space="preserve"> </w:t>
      </w:r>
      <w:r w:rsidR="22C36EA9" w:rsidRPr="5575EBFC">
        <w:rPr>
          <w:b w:val="0"/>
          <w:bCs w:val="0"/>
          <w:lang w:val="en-GB"/>
        </w:rPr>
        <w:t xml:space="preserve">The thick arrow indicates the direct influence of international merchandise trade on invasive alien </w:t>
      </w:r>
      <w:r w:rsidR="22C36EA9" w:rsidRPr="5575EBFC">
        <w:rPr>
          <w:b w:val="0"/>
          <w:bCs w:val="0"/>
          <w:lang w:val="en-GB"/>
        </w:rPr>
        <w:lastRenderedPageBreak/>
        <w:t>species, and thin arrows indicate how international merchandise trade affects other drivers</w:t>
      </w:r>
      <w:r w:rsidR="5B13AD0E" w:rsidRPr="5575EBFC">
        <w:rPr>
          <w:b w:val="0"/>
          <w:bCs w:val="0"/>
          <w:lang w:val="en-GB"/>
        </w:rPr>
        <w:t xml:space="preserve"> </w:t>
      </w:r>
      <w:r w:rsidR="1292A6EB" w:rsidRPr="5575EBFC">
        <w:rPr>
          <w:b w:val="0"/>
          <w:bCs w:val="0"/>
          <w:lang w:val="en-GB"/>
        </w:rPr>
        <w:t xml:space="preserve">which again may </w:t>
      </w:r>
      <w:r w:rsidR="5B13AD0E" w:rsidRPr="5575EBFC">
        <w:rPr>
          <w:b w:val="0"/>
          <w:bCs w:val="0"/>
          <w:lang w:val="en-GB"/>
        </w:rPr>
        <w:t>facilitat</w:t>
      </w:r>
      <w:r w:rsidR="52F814F3" w:rsidRPr="5575EBFC">
        <w:rPr>
          <w:b w:val="0"/>
          <w:bCs w:val="0"/>
          <w:lang w:val="en-GB"/>
        </w:rPr>
        <w:t>e</w:t>
      </w:r>
      <w:r w:rsidR="5B13AD0E" w:rsidRPr="5575EBFC">
        <w:rPr>
          <w:b w:val="0"/>
          <w:bCs w:val="0"/>
          <w:lang w:val="en-GB"/>
        </w:rPr>
        <w:t xml:space="preserve"> </w:t>
      </w:r>
      <w:r w:rsidR="2852DF5A" w:rsidRPr="5575EBFC">
        <w:rPr>
          <w:b w:val="0"/>
          <w:bCs w:val="0"/>
          <w:lang w:val="en-GB"/>
        </w:rPr>
        <w:t xml:space="preserve">the </w:t>
      </w:r>
      <w:r w:rsidR="22C36EA9" w:rsidRPr="5575EBFC">
        <w:rPr>
          <w:b w:val="0"/>
          <w:bCs w:val="0"/>
          <w:lang w:val="en-GB"/>
        </w:rPr>
        <w:t>introduction and spread of invasive alien species. Dotted lines represent interactions among drivers of change</w:t>
      </w:r>
      <w:r w:rsidR="0040B750" w:rsidRPr="5575EBFC">
        <w:rPr>
          <w:b w:val="0"/>
          <w:bCs w:val="0"/>
          <w:lang w:val="en-GB"/>
        </w:rPr>
        <w:t xml:space="preserve"> in nature</w:t>
      </w:r>
      <w:r w:rsidR="22C36EA9" w:rsidRPr="5575EBFC">
        <w:rPr>
          <w:b w:val="0"/>
          <w:bCs w:val="0"/>
          <w:lang w:val="en-GB"/>
        </w:rPr>
        <w:t>.</w:t>
      </w:r>
      <w:r w:rsidR="079B990D" w:rsidRPr="5575EBFC">
        <w:rPr>
          <w:b w:val="0"/>
          <w:bCs w:val="0"/>
          <w:lang w:val="en-GB"/>
        </w:rPr>
        <w:t xml:space="preserve"> Adapted from Hulme </w:t>
      </w:r>
      <w:r w:rsidR="2418D7AE" w:rsidRPr="5575EBFC">
        <w:rPr>
          <w:b w:val="0"/>
          <w:bCs w:val="0"/>
          <w:lang w:val="en-GB"/>
        </w:rPr>
        <w:fldChar w:fldCharType="begin"/>
      </w:r>
      <w:r w:rsidR="00331A79">
        <w:rPr>
          <w:b w:val="0"/>
          <w:bCs w:val="0"/>
          <w:lang w:val="en-GB"/>
        </w:rPr>
        <w:instrText xml:space="preserve"> ADDIN ZOTERO_ITEM CSL_CITATION {"citationID":"mMzFH0By","properties":{"formattedCitation":"(2021b)","plainCitation":"(2021b)","noteIndex":0},"citationItems":[{"id":29731,"uris":["http://zotero.org/groups/2352922/items/KV62X9CX"],"itemData":{"id":29731,"type":"article-journal","abstract":"Biological invasions are synonymous with international trade. The direct effects of trade have largely been quantiﬁed using relationships between imports and the number of alien species in a region or patterns in the global spread of species linked to shipping and air trafﬁc networks. But trade also has an indirect role on biological invasions by transforming the environments and societies of exporting and importing nations. Here, both the direct and indirect roles of trade on biological invasions, as well as their interaction, are examined for the ﬁrst time. Future trends in international trade, including e-commerce, new trade routes, and major infrastructure developments, will lead to the pressure on national borders soon outstripping the resources available for intervention. The current legislative and scientiﬁc tools targeting biological invasions are insufﬁcient to deal with this growing threat and require a new mindset that focuses on curbing the pandemic risk posed by alien species.","container-title":"One Earth","DOI":"10.1016/j.oneear.2021.04.015","ISSN":"25903322","issue":"5","journalAbbreviation":"One Earth","language":"en","page":"666-679","source":"DOI.org (Crossref)","title":"Unwelcome exchange: International trade as a direct and indirect driver of biological invasions worldwide","title-short":"Unwelcome exchange","URL":"https://doi.org/10.1016/j.oneear.2021.04.015","volume":"4","author":[{"family":"Hulme","given":"Philip E."}],"accessed":{"date-parts":[["2021",7,8]]},"issued":{"date-parts":[["2021",5]]}},"label":"page","suppress-author":true}],"schema":"https://github.com/citation-style-language/schema/raw/master/csl-citation.json"} </w:instrText>
      </w:r>
      <w:r w:rsidR="2418D7AE" w:rsidRPr="5575EBFC">
        <w:rPr>
          <w:b w:val="0"/>
          <w:bCs w:val="0"/>
          <w:lang w:val="en-GB"/>
        </w:rPr>
        <w:fldChar w:fldCharType="separate"/>
      </w:r>
      <w:r w:rsidR="079B990D">
        <w:rPr>
          <w:b w:val="0"/>
          <w:bCs w:val="0"/>
        </w:rPr>
        <w:t>(2021b)</w:t>
      </w:r>
      <w:r w:rsidR="2418D7AE" w:rsidRPr="5575EBFC">
        <w:rPr>
          <w:b w:val="0"/>
          <w:bCs w:val="0"/>
          <w:lang w:val="en-GB"/>
        </w:rPr>
        <w:fldChar w:fldCharType="end"/>
      </w:r>
      <w:r w:rsidR="185F4D69" w:rsidRPr="5575EBFC">
        <w:rPr>
          <w:b w:val="0"/>
          <w:bCs w:val="0"/>
          <w:lang w:val="en-GB"/>
        </w:rPr>
        <w:t xml:space="preserve">, </w:t>
      </w:r>
      <w:r w:rsidR="51881863" w:rsidRPr="5575EBFC">
        <w:rPr>
          <w:b w:val="0"/>
          <w:bCs w:val="0"/>
          <w:lang w:val="en-GB"/>
        </w:rPr>
        <w:t>https://doi.org/10.1016/j.oneear.2021.04.015,</w:t>
      </w:r>
      <w:r w:rsidR="00FD249C">
        <w:t xml:space="preserve"> </w:t>
      </w:r>
      <w:r w:rsidR="079B990D" w:rsidRPr="5575EBFC">
        <w:rPr>
          <w:b w:val="0"/>
          <w:bCs w:val="0"/>
          <w:lang w:val="en-GB"/>
        </w:rPr>
        <w:t>under license CC BY 4.0.</w:t>
      </w:r>
      <w:bookmarkEnd w:id="247"/>
      <w:bookmarkEnd w:id="248"/>
    </w:p>
    <w:p w14:paraId="410FBEB4" w14:textId="77777777" w:rsidR="00655ED1" w:rsidRPr="00DA249F" w:rsidRDefault="00583A3D" w:rsidP="0090109B">
      <w:pPr>
        <w:rPr>
          <w:lang w:val="en-GB"/>
        </w:rPr>
      </w:pPr>
      <w:r w:rsidRPr="00DA249F">
        <w:rPr>
          <w:lang w:val="en-GB"/>
        </w:rPr>
        <w:t xml:space="preserve">The extensive clearing of tropical forests </w:t>
      </w:r>
      <w:r w:rsidR="00586A45">
        <w:rPr>
          <w:lang w:val="en-GB"/>
        </w:rPr>
        <w:t>in recent</w:t>
      </w:r>
      <w:r w:rsidRPr="00DA249F">
        <w:rPr>
          <w:lang w:val="en-GB"/>
        </w:rPr>
        <w:t xml:space="preserve"> decades is in part driven by increased international trade in agricultural commodities and this trend </w:t>
      </w:r>
      <w:r w:rsidR="00BA4E5D">
        <w:rPr>
          <w:lang w:val="en-GB"/>
        </w:rPr>
        <w:t>is expected to</w:t>
      </w:r>
      <w:r w:rsidR="00BA4E5D" w:rsidRPr="00DA249F">
        <w:rPr>
          <w:lang w:val="en-GB"/>
        </w:rPr>
        <w:t xml:space="preserve"> </w:t>
      </w:r>
      <w:r w:rsidRPr="00DA249F">
        <w:rPr>
          <w:lang w:val="en-GB"/>
        </w:rPr>
        <w:t>continue due to further trade liberali</w:t>
      </w:r>
      <w:r w:rsidR="004318E4" w:rsidRPr="00DA249F">
        <w:rPr>
          <w:lang w:val="en-GB"/>
        </w:rPr>
        <w:t>z</w:t>
      </w:r>
      <w:r w:rsidRPr="00DA249F">
        <w:rPr>
          <w:lang w:val="en-GB"/>
        </w:rPr>
        <w:t>ation</w:t>
      </w:r>
      <w:r w:rsidR="001F60B0" w:rsidRPr="00DA249F">
        <w:rPr>
          <w:lang w:val="en-GB"/>
        </w:rPr>
        <w:t xml:space="preserve"> </w:t>
      </w:r>
      <w:r w:rsidR="001F60B0" w:rsidRPr="00DA249F">
        <w:rPr>
          <w:lang w:val="en-GB"/>
        </w:rPr>
        <w:fldChar w:fldCharType="begin"/>
      </w:r>
      <w:r w:rsidR="00331A79">
        <w:rPr>
          <w:lang w:val="en-GB"/>
        </w:rPr>
        <w:instrText xml:space="preserve"> ADDIN ZOTERO_ITEM CSL_CITATION {"citationID":"5fC0yQnU","properties":{"formattedCitation":"(Schmitz et al., 2015)","plainCitation":"(Schmitz et al., 2015)","noteIndex":0},"citationItems":[{"id":29526,"uris":["http://zotero.org/groups/2352922/items/5A2FFGKA"],"itemData":{"id":29526,"type":"article-journal","container-title":"Regional Environmental Change","DOI":"10.1007/s10113-014-0700-2","language":"en","page":"1757–1772","title":"Agricultural trade and tropical deforestation: interactions and related policy options","volume":"15","author":[{"family":"Schmitz","given":"C."},{"family":"Kreidenweis","given":"U."},{"family":"Lotze-Campen","given":"H."},{"family":"Popp","given":"A."},{"family":"Krause","given":"M."},{"family":"Dietrich","given":"J.P."},{"family":"Mueller","given":"C."}],"issued":{"date-parts":[["2015"]]}},"label":"page"}],"schema":"https://github.com/citation-style-language/schema/raw/master/csl-citation.json"} </w:instrText>
      </w:r>
      <w:r w:rsidR="001F60B0" w:rsidRPr="00DA249F">
        <w:rPr>
          <w:lang w:val="en-GB"/>
        </w:rPr>
        <w:fldChar w:fldCharType="separate"/>
      </w:r>
      <w:r w:rsidR="00144D96" w:rsidRPr="00144D96">
        <w:t>(Schmitz et al., 2015)</w:t>
      </w:r>
      <w:r w:rsidR="001F60B0" w:rsidRPr="00DA249F">
        <w:rPr>
          <w:lang w:val="en-GB"/>
        </w:rPr>
        <w:fldChar w:fldCharType="end"/>
      </w:r>
      <w:r w:rsidR="00F13618" w:rsidRPr="00DA249F">
        <w:rPr>
          <w:lang w:val="en-GB"/>
        </w:rPr>
        <w:t>.</w:t>
      </w:r>
      <w:r w:rsidR="00B1749C" w:rsidRPr="00DA249F">
        <w:rPr>
          <w:lang w:val="en-GB"/>
        </w:rPr>
        <w:t xml:space="preserve"> </w:t>
      </w:r>
      <w:r w:rsidRPr="00DA249F">
        <w:rPr>
          <w:lang w:val="en-GB"/>
        </w:rPr>
        <w:t xml:space="preserve">Increasing global demands for meat, animal feed and oil seed products have led to major changes in </w:t>
      </w:r>
      <w:r w:rsidR="00D43B89" w:rsidRPr="00DA249F">
        <w:rPr>
          <w:lang w:val="en-GB"/>
        </w:rPr>
        <w:t>land-use</w:t>
      </w:r>
      <w:r w:rsidRPr="00DA249F">
        <w:rPr>
          <w:lang w:val="en-GB"/>
        </w:rPr>
        <w:t xml:space="preserve"> in developing countries</w:t>
      </w:r>
      <w:r w:rsidR="00AC1998" w:rsidRPr="00DA249F">
        <w:rPr>
          <w:lang w:val="en-GB"/>
        </w:rPr>
        <w:t xml:space="preserve"> </w:t>
      </w:r>
      <w:r w:rsidR="00AC1998" w:rsidRPr="00DA249F">
        <w:rPr>
          <w:lang w:val="en-GB"/>
        </w:rPr>
        <w:fldChar w:fldCharType="begin"/>
      </w:r>
      <w:r w:rsidR="00331A79">
        <w:rPr>
          <w:lang w:val="en-GB"/>
        </w:rPr>
        <w:instrText xml:space="preserve"> ADDIN ZOTERO_ITEM CSL_CITATION {"citationID":"ieflmTgS","properties":{"formattedCitation":"(Pendrill et al., 2019)","plainCitation":"(Pendrill et al., 2019)","noteIndex":0},"citationItems":[{"id":29528,"uris":["http://zotero.org/groups/2352922/items/V5FJ7LLX"],"itemData":{"id":29528,"type":"article-journal","container-title":"Global Environmental Change-Human and Policy Dimensions","DOI":"10.1016/j.gloenvcha.2019.03.002","language":"en","page":"1–10","title":"Agricultural and forestry trade drives large share of tropical deforestation emissions","URL":"https://www.sciencedirect.com/science/article/pii/S0959378018314365?via%3Dihub","volume":"56","author":[{"family":"Pendrill","given":"Florence"},{"family":"Persson","given":"U. Martin"},{"family":"Godar","given":"Javier"},{"family":"Kastner","given":"Thomas"},{"family":"Moran","given":"Daniel"},{"family":"Schmidt","given":"Sarah"},{"family":"Wood","given":"Richard"}],"issued":{"date-parts":[["2019"]]}},"label":"page"}],"schema":"https://github.com/citation-style-language/schema/raw/master/csl-citation.json"} </w:instrText>
      </w:r>
      <w:r w:rsidR="00AC1998" w:rsidRPr="00DA249F">
        <w:rPr>
          <w:lang w:val="en-GB"/>
        </w:rPr>
        <w:fldChar w:fldCharType="separate"/>
      </w:r>
      <w:r w:rsidR="00144D96" w:rsidRPr="00144D96">
        <w:t>(Pendrill et al., 2019)</w:t>
      </w:r>
      <w:r w:rsidR="00AC1998" w:rsidRPr="00DA249F">
        <w:rPr>
          <w:lang w:val="en-GB"/>
        </w:rPr>
        <w:fldChar w:fldCharType="end"/>
      </w:r>
      <w:r w:rsidR="00227E96" w:rsidRPr="00DA249F">
        <w:rPr>
          <w:lang w:val="en-GB"/>
        </w:rPr>
        <w:t xml:space="preserve">. </w:t>
      </w:r>
      <w:r w:rsidRPr="00DA249F">
        <w:rPr>
          <w:lang w:val="en-GB"/>
        </w:rPr>
        <w:t>There is also a link between international trade in wood products (particularly roundwood timber) and declining national forest stocks, especially in developing countries in the tropics such as Indonesia and Cameroon</w:t>
      </w:r>
      <w:r w:rsidR="00227E96" w:rsidRPr="00DA249F">
        <w:rPr>
          <w:lang w:val="en-GB"/>
        </w:rPr>
        <w:t xml:space="preserve"> </w:t>
      </w:r>
      <w:r w:rsidR="00227E96" w:rsidRPr="00DA249F">
        <w:rPr>
          <w:lang w:val="en-GB"/>
        </w:rPr>
        <w:fldChar w:fldCharType="begin"/>
      </w:r>
      <w:r w:rsidR="00331A79">
        <w:rPr>
          <w:lang w:val="en-GB"/>
        </w:rPr>
        <w:instrText xml:space="preserve"> ADDIN ZOTERO_ITEM CSL_CITATION {"citationID":"aqjR86Uk","properties":{"formattedCitation":"(Kastner et al., 2011)","plainCitation":"(Kastner et al., 2011)","noteIndex":0},"citationItems":[{"id":29529,"uris":["http://zotero.org/groups/2352922/items/UR3AGXBB"],"itemData":{"id":29529,"type":"article-journal","container-title":"Global Environmental Change-Human and Policy Dimensions","DOI":"https://doi.org/10.1016/j.gloenvcha.2011.05.003","issue":"3","language":"en","page":"947–956","title":"International wood trade and forest change: A global analysis","volume":"21","author":[{"family":"Kastner","given":"T."},{"family":"Erb","given":"K.-H."},{"family":"Nonhebel","given":"S."}],"issued":{"date-parts":[["2011"]]}},"label":"page"}],"schema":"https://github.com/citation-style-language/schema/raw/master/csl-citation.json"} </w:instrText>
      </w:r>
      <w:r w:rsidR="00227E96" w:rsidRPr="00DA249F">
        <w:rPr>
          <w:lang w:val="en-GB"/>
        </w:rPr>
        <w:fldChar w:fldCharType="separate"/>
      </w:r>
      <w:r w:rsidR="00144D96" w:rsidRPr="00144D96">
        <w:t>(Kastner et al., 2011)</w:t>
      </w:r>
      <w:r w:rsidR="00227E96" w:rsidRPr="00DA249F">
        <w:rPr>
          <w:lang w:val="en-GB"/>
        </w:rPr>
        <w:fldChar w:fldCharType="end"/>
      </w:r>
      <w:r w:rsidRPr="00DA249F">
        <w:rPr>
          <w:lang w:val="en-GB"/>
        </w:rPr>
        <w:t>.</w:t>
      </w:r>
      <w:r w:rsidR="00B1749C" w:rsidRPr="00DA249F">
        <w:rPr>
          <w:lang w:val="en-GB"/>
        </w:rPr>
        <w:t xml:space="preserve"> </w:t>
      </w:r>
      <w:r w:rsidRPr="00DA249F">
        <w:rPr>
          <w:lang w:val="en-GB"/>
        </w:rPr>
        <w:t>In addition, international trade increases demand for new products as in the case of the expansion of oil palm plantations in Latin America</w:t>
      </w:r>
      <w:r w:rsidR="00C82B37">
        <w:rPr>
          <w:lang w:val="en-GB"/>
        </w:rPr>
        <w:t>,</w:t>
      </w:r>
      <w:r w:rsidRPr="00DA249F">
        <w:rPr>
          <w:lang w:val="en-GB"/>
        </w:rPr>
        <w:t xml:space="preserve"> which has occurred at the expense of other </w:t>
      </w:r>
      <w:r w:rsidR="00D43B89" w:rsidRPr="00DA249F">
        <w:rPr>
          <w:lang w:val="en-GB"/>
        </w:rPr>
        <w:t>land-use</w:t>
      </w:r>
      <w:r w:rsidRPr="00DA249F">
        <w:rPr>
          <w:lang w:val="en-GB"/>
        </w:rPr>
        <w:t>s including tropical forests</w:t>
      </w:r>
      <w:r w:rsidR="00621BAB" w:rsidRPr="00DA249F">
        <w:rPr>
          <w:lang w:val="en-GB"/>
        </w:rPr>
        <w:t xml:space="preserve"> </w:t>
      </w:r>
      <w:r w:rsidR="00755C5E" w:rsidRPr="00DA249F">
        <w:rPr>
          <w:lang w:val="en-GB"/>
        </w:rPr>
        <w:fldChar w:fldCharType="begin"/>
      </w:r>
      <w:r w:rsidR="00331A79">
        <w:rPr>
          <w:lang w:val="en-GB"/>
        </w:rPr>
        <w:instrText xml:space="preserve"> ADDIN ZOTERO_ITEM CSL_CITATION {"citationID":"rGJzLxbx","properties":{"formattedCitation":"(Furumo &amp; Aide, 2017)","plainCitation":"(Furumo &amp; Aide, 2017)","noteIndex":0},"citationItems":[{"id":29522,"uris":["http://zotero.org/groups/2352922/items/245MBDUD"],"itemData":{"id":29522,"type":"article-journal","container-title":"Environmental Research Letters","DOI":"10.1088/1748-9326/aa5892","issue":"2","language":"en","page":"024008","title":"Characterizing commercial oil palm expansion in Latin America: land use change and trade","URL":"https://iopscience.iop.org/article/10.1088/1748-9326/aa5892/pdf","volume":"12","author":[{"family":"Furumo","given":"RP"},{"family":"Aide","given":"MT"}],"issued":{"date-parts":[["2017"]]}},"label":"page"}],"schema":"https://github.com/citation-style-language/schema/raw/master/csl-citation.json"} </w:instrText>
      </w:r>
      <w:r w:rsidR="00755C5E" w:rsidRPr="00DA249F">
        <w:rPr>
          <w:lang w:val="en-GB"/>
        </w:rPr>
        <w:fldChar w:fldCharType="separate"/>
      </w:r>
      <w:r w:rsidR="00144D96" w:rsidRPr="00144D96">
        <w:t>(Furumo &amp; Aide, 2017)</w:t>
      </w:r>
      <w:r w:rsidR="00755C5E" w:rsidRPr="00DA249F">
        <w:rPr>
          <w:lang w:val="en-GB"/>
        </w:rPr>
        <w:fldChar w:fldCharType="end"/>
      </w:r>
      <w:r w:rsidRPr="00DA249F">
        <w:rPr>
          <w:lang w:val="en-GB"/>
        </w:rPr>
        <w:t>.</w:t>
      </w:r>
      <w:r w:rsidR="00B1749C" w:rsidRPr="00DA249F">
        <w:rPr>
          <w:lang w:val="en-GB"/>
        </w:rPr>
        <w:t xml:space="preserve"> </w:t>
      </w:r>
      <w:r w:rsidRPr="00DA249F">
        <w:rPr>
          <w:lang w:val="en-GB"/>
        </w:rPr>
        <w:t xml:space="preserve">The resulting fragmentation of tropical forests also increases their vulnerability to </w:t>
      </w:r>
      <w:r w:rsidR="005A7579" w:rsidRPr="00DA249F">
        <w:rPr>
          <w:lang w:val="en-GB"/>
        </w:rPr>
        <w:t>biological</w:t>
      </w:r>
      <w:r w:rsidRPr="00DA249F">
        <w:rPr>
          <w:lang w:val="en-GB"/>
        </w:rPr>
        <w:t xml:space="preserve"> invasions </w:t>
      </w:r>
      <w:r w:rsidR="00755C5E" w:rsidRPr="00DA249F">
        <w:rPr>
          <w:lang w:val="en-GB"/>
        </w:rPr>
        <w:fldChar w:fldCharType="begin"/>
      </w:r>
      <w:r w:rsidR="00331A79">
        <w:rPr>
          <w:lang w:val="en-GB"/>
        </w:rPr>
        <w:instrText xml:space="preserve"> ADDIN ZOTERO_ITEM CSL_CITATION {"citationID":"Tf9hnrrx","properties":{"formattedCitation":"(Waddell et al., 2020)","plainCitation":"(Waddell et al., 2020)","noteIndex":0},"citationItems":[{"id":29523,"uris":["http://zotero.org/groups/2352922/items/7VAEI5XB"],"itemData":{"id":29523,"type":"article-journal","container-title":"Landscape Ecology","DOI":"10.1007/s10980-020-01067-9","language":"en","page":"1891–1906","title":"Land-use change and propagule pressure promote plant invasions in tropical rainforest remnants","volume":"35","author":[{"family":"Waddell","given":"Emily H"},{"family":"Banin","given":"Lindsay F."},{"family":"Fleiss","given":"Susannah"},{"family":"Hill","given":"Jane K."},{"family":"Hughes","given":"Mark"},{"family":"Jelling","given":"Ahmad"},{"family":"Yeong","given":"Kok Loong"},{"family":"Ola","given":"Bernadus Bala"},{"family":"Sailim","given":"Azlin Bin"},{"family":"Tangah","given":"Joseph"},{"family":"Chapman","given":"Daniel S."}],"issued":{"date-parts":[["2020"]]}},"label":"page"}],"schema":"https://github.com/citation-style-language/schema/raw/master/csl-citation.json"} </w:instrText>
      </w:r>
      <w:r w:rsidR="00755C5E" w:rsidRPr="00DA249F">
        <w:rPr>
          <w:lang w:val="en-GB"/>
        </w:rPr>
        <w:fldChar w:fldCharType="separate"/>
      </w:r>
      <w:r w:rsidR="00144D96" w:rsidRPr="00144D96">
        <w:t>(Waddell et al., 2020)</w:t>
      </w:r>
      <w:r w:rsidR="00755C5E" w:rsidRPr="00DA249F">
        <w:rPr>
          <w:lang w:val="en-GB"/>
        </w:rPr>
        <w:fldChar w:fldCharType="end"/>
      </w:r>
      <w:r w:rsidRPr="00DA249F">
        <w:rPr>
          <w:lang w:val="en-GB"/>
        </w:rPr>
        <w:t>.</w:t>
      </w:r>
      <w:r w:rsidR="00B1749C" w:rsidRPr="00DA249F">
        <w:rPr>
          <w:lang w:val="en-GB"/>
        </w:rPr>
        <w:t xml:space="preserve"> </w:t>
      </w:r>
      <w:r w:rsidR="00547519" w:rsidRPr="00DA249F">
        <w:rPr>
          <w:lang w:val="en-GB"/>
        </w:rPr>
        <w:t>Furthermore</w:t>
      </w:r>
      <w:r w:rsidRPr="00DA249F">
        <w:rPr>
          <w:lang w:val="en-GB"/>
        </w:rPr>
        <w:t xml:space="preserve">, new crops such as </w:t>
      </w:r>
      <w:r w:rsidR="00F60035" w:rsidRPr="00DA249F">
        <w:rPr>
          <w:i/>
          <w:lang w:val="en-GB"/>
        </w:rPr>
        <w:t>Elaeis guineensis</w:t>
      </w:r>
      <w:r w:rsidR="00F60035" w:rsidRPr="00DA249F">
        <w:rPr>
          <w:lang w:val="en-GB"/>
        </w:rPr>
        <w:t xml:space="preserve"> </w:t>
      </w:r>
      <w:r w:rsidRPr="00DA249F">
        <w:rPr>
          <w:lang w:val="en-GB"/>
        </w:rPr>
        <w:t>(</w:t>
      </w:r>
      <w:r w:rsidR="00F60035" w:rsidRPr="00DA249F">
        <w:rPr>
          <w:lang w:val="en-GB"/>
        </w:rPr>
        <w:t>African oil palm</w:t>
      </w:r>
      <w:r w:rsidRPr="00DA249F">
        <w:rPr>
          <w:lang w:val="en-GB"/>
        </w:rPr>
        <w:t>) can themselves spread beyond cultivated areas to become invasive alien species in regions where they are not native</w:t>
      </w:r>
      <w:r w:rsidR="00D91987" w:rsidRPr="00DA249F">
        <w:rPr>
          <w:lang w:val="en-GB"/>
        </w:rPr>
        <w:t xml:space="preserve"> </w:t>
      </w:r>
      <w:r w:rsidR="00D91987" w:rsidRPr="00DA249F">
        <w:rPr>
          <w:lang w:val="en-GB"/>
        </w:rPr>
        <w:fldChar w:fldCharType="begin"/>
      </w:r>
      <w:r w:rsidR="00331A79">
        <w:rPr>
          <w:lang w:val="en-GB"/>
        </w:rPr>
        <w:instrText xml:space="preserve"> ADDIN ZOTERO_ITEM CSL_CITATION {"citationID":"xU79Vcew","properties":{"formattedCitation":"(Zenni &amp; Ziller, 2011)","plainCitation":"(Zenni &amp; Ziller, 2011)","noteIndex":0},"citationItems":[{"id":29775,"uris":["http://zotero.org/groups/2352922/items/883YPWEI"],"itemData":{"id":29775,"type":"article-journal","abstract":"An overview of invasive plants in Brazil). Alien plants are known to occur in Brazil since the 18th century when African grasses started to be recorded in pastures near Rio de Janeiro. In the beginning of the 19th century two royal decrees (July, 1809 and July, 1810) offered grants and tax exemption to everyone who would introduce plants of economic value. Nowadays, there are 117 plant species recognized as invasive or established and with invasive potential in Brazil and an unknown number of introduced plant species. Some of the most pervasive invasive species are Artocarpus heterophyllus Lam. and Hedychium coronarium König in tropical ombrophilous forest, Hovenia dulcis Thunb. in subtropical ombrophilous forest and subtropical semi-deciduous forest, Pinus taeda L. and Pinus elliottii Engelm. in subtropical ombrophilous forest and steppe, Prosopis juliflora (Sw.) DC. in stepic‑savanna, Tecoma stans (L.) Juss. ex Kunth in tropical and subtropical semi-deciduous forest, Melinis minutiflora P. Beauv. in the Brazilian savannas, and Eragrostis plana Nees in the steppe. The purpose of this article is to fill a knowledge gap on alien species that are invasive in Brazil and where they are invading by summarizing data obtained by joint efforts of the Hórus Institute for Environmental Conservation and Development, The Nature Conservancy (TNC), the Inter-American Biodiversity Information Network (IABIN) invasive species thematic network (I3N), and the Brazilian Ministry of Environment (MMA) in the last six years.","container-title":"Revista Brasileira de Botânica","DOI":"10.1590/S0100-84042011000300016","ISSN":"0100-8404","issue":"3","journalAbbreviation":"Rev. bras. Bot.","language":"en","page":"431-446","source":"DOI.org (Crossref)","title":"An overview of invasive plants in Brazil","URL":"http://www.scielo.br/scielo.php?script=sci_arttext&amp;pid=S0100-84042011000300016&amp;lng=en&amp;nrm=iso&amp;tlng=en","volume":"34","author":[{"family":"Zenni","given":"Rafael D."},{"family":"Ziller","given":"Sílvia Renate"}],"accessed":{"date-parts":[["2019",11,27]]},"issued":{"date-parts":[["2011",9]]}},"label":"page"}],"schema":"https://github.com/citation-style-language/schema/raw/master/csl-citation.json"} </w:instrText>
      </w:r>
      <w:r w:rsidR="00D91987" w:rsidRPr="00DA249F">
        <w:rPr>
          <w:lang w:val="en-GB"/>
        </w:rPr>
        <w:fldChar w:fldCharType="separate"/>
      </w:r>
      <w:r w:rsidR="00144D96" w:rsidRPr="00144D96">
        <w:t>(Zenni &amp; Ziller, 2011)</w:t>
      </w:r>
      <w:r w:rsidR="00D91987" w:rsidRPr="00DA249F">
        <w:rPr>
          <w:lang w:val="en-GB"/>
        </w:rPr>
        <w:fldChar w:fldCharType="end"/>
      </w:r>
      <w:r w:rsidR="00655ED1" w:rsidRPr="00DA249F">
        <w:rPr>
          <w:lang w:val="en-GB"/>
        </w:rPr>
        <w:t>.</w:t>
      </w:r>
    </w:p>
    <w:p w14:paraId="1413CC1F" w14:textId="77777777" w:rsidR="00F20AD4" w:rsidRPr="00DA249F" w:rsidRDefault="51C6DA0D" w:rsidP="00375B42">
      <w:pPr>
        <w:pStyle w:val="Heading2"/>
        <w:rPr>
          <w:lang w:val="en-GB"/>
        </w:rPr>
      </w:pPr>
      <w:r w:rsidRPr="5575EBFC">
        <w:rPr>
          <w:lang w:val="en-GB"/>
        </w:rPr>
        <w:t xml:space="preserve"> </w:t>
      </w:r>
      <w:bookmarkStart w:id="249" w:name="_Toc146898480"/>
      <w:r w:rsidRPr="5575EBFC">
        <w:rPr>
          <w:lang w:val="en-GB"/>
        </w:rPr>
        <w:t>Urbani</w:t>
      </w:r>
      <w:r w:rsidR="5524982E" w:rsidRPr="5575EBFC">
        <w:rPr>
          <w:lang w:val="en-GB"/>
        </w:rPr>
        <w:t>z</w:t>
      </w:r>
      <w:r w:rsidRPr="5575EBFC">
        <w:rPr>
          <w:lang w:val="en-GB"/>
        </w:rPr>
        <w:t>ation and pollution</w:t>
      </w:r>
      <w:bookmarkEnd w:id="249"/>
    </w:p>
    <w:p w14:paraId="568A74BD" w14:textId="1B891F29" w:rsidR="00B848E1" w:rsidRDefault="0B11B817" w:rsidP="0090109B">
      <w:pPr>
        <w:rPr>
          <w:rFonts w:eastAsia="Times New Roman"/>
          <w:lang w:val="en-GB"/>
        </w:rPr>
      </w:pPr>
      <w:r w:rsidRPr="728F2DAF">
        <w:rPr>
          <w:lang w:val="en-GB"/>
        </w:rPr>
        <w:t>U</w:t>
      </w:r>
      <w:r w:rsidR="5D687BF1" w:rsidRPr="728F2DAF">
        <w:rPr>
          <w:lang w:val="en-GB"/>
        </w:rPr>
        <w:t>rbanization</w:t>
      </w:r>
      <w:r w:rsidR="62A361F1" w:rsidRPr="728F2DAF">
        <w:rPr>
          <w:lang w:val="en-GB"/>
        </w:rPr>
        <w:t xml:space="preserve"> and pollution </w:t>
      </w:r>
      <w:r w:rsidR="54FF9D22" w:rsidRPr="728F2DAF">
        <w:rPr>
          <w:lang w:val="en-GB"/>
        </w:rPr>
        <w:t>interact to</w:t>
      </w:r>
      <w:r w:rsidRPr="728F2DAF">
        <w:rPr>
          <w:lang w:val="en-GB"/>
        </w:rPr>
        <w:t xml:space="preserve"> facilitate</w:t>
      </w:r>
      <w:r w:rsidR="54FF9D22" w:rsidRPr="728F2DAF">
        <w:rPr>
          <w:lang w:val="en-GB"/>
        </w:rPr>
        <w:t xml:space="preserve"> biological </w:t>
      </w:r>
      <w:r w:rsidR="62A361F1" w:rsidRPr="728F2DAF">
        <w:rPr>
          <w:lang w:val="en-GB"/>
        </w:rPr>
        <w:t>invasi</w:t>
      </w:r>
      <w:r w:rsidR="54FF9D22" w:rsidRPr="728F2DAF">
        <w:rPr>
          <w:lang w:val="en-GB"/>
        </w:rPr>
        <w:t>ons;</w:t>
      </w:r>
      <w:r w:rsidR="62A361F1" w:rsidRPr="728F2DAF">
        <w:rPr>
          <w:lang w:val="en-GB"/>
        </w:rPr>
        <w:t xml:space="preserve"> </w:t>
      </w:r>
      <w:r w:rsidR="476B99FB" w:rsidRPr="728F2DAF">
        <w:rPr>
          <w:lang w:val="en-GB"/>
        </w:rPr>
        <w:t>invasive alien species</w:t>
      </w:r>
      <w:r w:rsidR="74D3DB55" w:rsidRPr="728F2DAF">
        <w:rPr>
          <w:lang w:val="en-GB"/>
        </w:rPr>
        <w:t xml:space="preserve"> </w:t>
      </w:r>
      <w:r w:rsidR="54FF9D22" w:rsidRPr="728F2DAF">
        <w:rPr>
          <w:lang w:val="en-GB"/>
        </w:rPr>
        <w:t xml:space="preserve">are disproportionally found in </w:t>
      </w:r>
      <w:r w:rsidR="62A361F1" w:rsidRPr="728F2DAF">
        <w:rPr>
          <w:lang w:val="en-GB"/>
        </w:rPr>
        <w:t>urban</w:t>
      </w:r>
      <w:r w:rsidR="63918F32" w:rsidRPr="728F2DAF">
        <w:rPr>
          <w:lang w:val="en-GB"/>
        </w:rPr>
        <w:t>ize</w:t>
      </w:r>
      <w:r w:rsidR="62A361F1" w:rsidRPr="728F2DAF">
        <w:rPr>
          <w:lang w:val="en-GB"/>
        </w:rPr>
        <w:t xml:space="preserve">d areas with higher pollution </w:t>
      </w:r>
      <w:r w:rsidR="54FF9D22" w:rsidRPr="728F2DAF">
        <w:rPr>
          <w:lang w:val="en-GB"/>
        </w:rPr>
        <w:t xml:space="preserve">compared to </w:t>
      </w:r>
      <w:r w:rsidR="62A361F1" w:rsidRPr="728F2DAF">
        <w:rPr>
          <w:lang w:val="en-GB"/>
        </w:rPr>
        <w:t>less polluted urban areas or pollut</w:t>
      </w:r>
      <w:r w:rsidR="54FF9D22" w:rsidRPr="728F2DAF">
        <w:rPr>
          <w:lang w:val="en-GB"/>
        </w:rPr>
        <w:t>ed</w:t>
      </w:r>
      <w:r w:rsidR="62A361F1" w:rsidRPr="728F2DAF">
        <w:rPr>
          <w:lang w:val="en-GB"/>
        </w:rPr>
        <w:t xml:space="preserve"> natural </w:t>
      </w:r>
      <w:r w:rsidR="5DBC1CE3" w:rsidRPr="728F2DAF">
        <w:rPr>
          <w:lang w:val="en-GB"/>
        </w:rPr>
        <w:t>ecosystems</w:t>
      </w:r>
      <w:r w:rsidR="62A361F1" w:rsidRPr="728F2DAF">
        <w:rPr>
          <w:lang w:val="en-GB"/>
        </w:rPr>
        <w:t xml:space="preserve">. While </w:t>
      </w:r>
      <w:r w:rsidR="5D687BF1" w:rsidRPr="728F2DAF">
        <w:rPr>
          <w:lang w:val="en-GB"/>
        </w:rPr>
        <w:t>urbanization</w:t>
      </w:r>
      <w:r w:rsidR="62A361F1" w:rsidRPr="728F2DAF">
        <w:rPr>
          <w:lang w:val="en-GB"/>
        </w:rPr>
        <w:t xml:space="preserve"> promotes the </w:t>
      </w:r>
      <w:r w:rsidR="2001F707" w:rsidRPr="728F2DAF">
        <w:rPr>
          <w:lang w:val="en-GB"/>
        </w:rPr>
        <w:t xml:space="preserve">transport and </w:t>
      </w:r>
      <w:r w:rsidR="62A361F1" w:rsidRPr="728F2DAF">
        <w:rPr>
          <w:lang w:val="en-GB"/>
        </w:rPr>
        <w:t xml:space="preserve">introduction </w:t>
      </w:r>
      <w:r w:rsidR="6B25F994" w:rsidRPr="728F2DAF">
        <w:rPr>
          <w:lang w:val="en-GB"/>
        </w:rPr>
        <w:t xml:space="preserve">and </w:t>
      </w:r>
      <w:r w:rsidR="62A361F1" w:rsidRPr="728F2DAF">
        <w:rPr>
          <w:lang w:val="en-GB"/>
        </w:rPr>
        <w:t>of invasive alien species</w:t>
      </w:r>
      <w:r w:rsidR="54FF9D22" w:rsidRPr="728F2DAF">
        <w:rPr>
          <w:lang w:val="en-GB"/>
        </w:rPr>
        <w:t xml:space="preserve"> both</w:t>
      </w:r>
      <w:r w:rsidR="62A361F1" w:rsidRPr="728F2DAF">
        <w:rPr>
          <w:lang w:val="en-GB"/>
        </w:rPr>
        <w:t xml:space="preserve"> </w:t>
      </w:r>
      <w:r w:rsidR="54FF9D22" w:rsidRPr="728F2DAF">
        <w:rPr>
          <w:lang w:val="en-GB"/>
        </w:rPr>
        <w:t xml:space="preserve">intentionally and </w:t>
      </w:r>
      <w:r w:rsidR="46996C1A" w:rsidRPr="728F2DAF">
        <w:rPr>
          <w:lang w:val="en-GB"/>
        </w:rPr>
        <w:t>u</w:t>
      </w:r>
      <w:r w:rsidR="2001F707" w:rsidRPr="728F2DAF">
        <w:rPr>
          <w:lang w:val="en-GB"/>
        </w:rPr>
        <w:t>nintentionally</w:t>
      </w:r>
      <w:r w:rsidR="54FF9D22" w:rsidRPr="728F2DAF">
        <w:rPr>
          <w:lang w:val="en-GB"/>
        </w:rPr>
        <w:t xml:space="preserve"> </w:t>
      </w:r>
      <w:r w:rsidR="528CD6E2" w:rsidRPr="728F2DAF">
        <w:rPr>
          <w:lang w:val="en-GB"/>
        </w:rPr>
        <w:t>(</w:t>
      </w:r>
      <w:r w:rsidR="7F320929" w:rsidRPr="728F2DAF">
        <w:rPr>
          <w:b/>
          <w:bCs/>
          <w:lang w:val="en-GB"/>
        </w:rPr>
        <w:t>s</w:t>
      </w:r>
      <w:r w:rsidR="62A361F1" w:rsidRPr="728F2DAF">
        <w:rPr>
          <w:b/>
          <w:bCs/>
          <w:lang w:val="en-GB"/>
        </w:rPr>
        <w:t>ection 3.2.2.4</w:t>
      </w:r>
      <w:r w:rsidR="62A361F1" w:rsidRPr="728F2DAF">
        <w:rPr>
          <w:lang w:val="en-GB"/>
        </w:rPr>
        <w:t xml:space="preserve">), pollution contributes to improve </w:t>
      </w:r>
      <w:r w:rsidR="6821A49C" w:rsidRPr="728F2DAF">
        <w:rPr>
          <w:lang w:val="en-GB"/>
        </w:rPr>
        <w:t>the</w:t>
      </w:r>
      <w:r w:rsidR="62A361F1" w:rsidRPr="728F2DAF">
        <w:rPr>
          <w:lang w:val="en-GB"/>
        </w:rPr>
        <w:t xml:space="preserve"> chances of establishment and </w:t>
      </w:r>
      <w:r w:rsidR="2001F707" w:rsidRPr="728F2DAF">
        <w:rPr>
          <w:lang w:val="en-GB"/>
        </w:rPr>
        <w:t>spread</w:t>
      </w:r>
      <w:r w:rsidR="0B00A4FA" w:rsidRPr="728F2DAF">
        <w:rPr>
          <w:lang w:val="en-GB"/>
        </w:rPr>
        <w:t xml:space="preserve"> of an invasive alien species</w:t>
      </w:r>
      <w:r w:rsidR="238C806F" w:rsidRPr="728F2DAF">
        <w:rPr>
          <w:lang w:val="en-GB"/>
        </w:rPr>
        <w:t>, which tend</w:t>
      </w:r>
      <w:r w:rsidR="2001F707" w:rsidRPr="728F2DAF">
        <w:rPr>
          <w:lang w:val="en-GB"/>
        </w:rPr>
        <w:t xml:space="preserve"> </w:t>
      </w:r>
      <w:r w:rsidR="238C806F" w:rsidRPr="728F2DAF">
        <w:rPr>
          <w:lang w:val="en-GB"/>
        </w:rPr>
        <w:t xml:space="preserve">to be facilitated by nutrient-rich habitats </w:t>
      </w:r>
      <w:r w:rsidR="528CD6E2" w:rsidRPr="728F2DAF">
        <w:rPr>
          <w:lang w:val="en-GB"/>
        </w:rPr>
        <w:t>(</w:t>
      </w:r>
      <w:r w:rsidR="62A361F1" w:rsidRPr="728F2DAF">
        <w:rPr>
          <w:b/>
          <w:bCs/>
          <w:lang w:val="en-GB"/>
        </w:rPr>
        <w:t>section 3.3.3</w:t>
      </w:r>
      <w:r w:rsidR="36AA06D5" w:rsidRPr="728F2DAF">
        <w:rPr>
          <w:b/>
          <w:bCs/>
          <w:lang w:val="en-GB"/>
        </w:rPr>
        <w:t>.1</w:t>
      </w:r>
      <w:r w:rsidR="62A361F1" w:rsidRPr="728F2DAF">
        <w:rPr>
          <w:lang w:val="en-GB"/>
        </w:rPr>
        <w:t>).</w:t>
      </w:r>
      <w:r w:rsidR="305555D9" w:rsidRPr="728F2DAF">
        <w:rPr>
          <w:lang w:val="en-GB"/>
        </w:rPr>
        <w:t xml:space="preserve"> </w:t>
      </w:r>
      <w:r w:rsidR="62A361F1" w:rsidRPr="728F2DAF">
        <w:rPr>
          <w:lang w:val="en-GB"/>
        </w:rPr>
        <w:t xml:space="preserve">For example, in </w:t>
      </w:r>
      <w:r w:rsidR="75CE9B24" w:rsidRPr="728F2DAF">
        <w:rPr>
          <w:lang w:val="en-GB"/>
        </w:rPr>
        <w:t>r</w:t>
      </w:r>
      <w:r w:rsidR="16CE07F7" w:rsidRPr="728F2DAF">
        <w:rPr>
          <w:lang w:val="en-GB"/>
        </w:rPr>
        <w:t>eef</w:t>
      </w:r>
      <w:r w:rsidR="62A361F1" w:rsidRPr="728F2DAF">
        <w:rPr>
          <w:lang w:val="en-GB"/>
        </w:rPr>
        <w:t xml:space="preserve"> ecosystems, </w:t>
      </w:r>
      <w:r w:rsidR="495F16A0" w:rsidRPr="728F2DAF">
        <w:rPr>
          <w:rFonts w:eastAsia="Times New Roman"/>
          <w:lang w:val="en-GB"/>
        </w:rPr>
        <w:t xml:space="preserve">alien </w:t>
      </w:r>
      <w:r w:rsidR="62A361F1" w:rsidRPr="728F2DAF">
        <w:rPr>
          <w:rFonts w:eastAsia="Times New Roman"/>
          <w:lang w:val="en-GB"/>
        </w:rPr>
        <w:t>faunal distribution</w:t>
      </w:r>
      <w:r w:rsidR="2001F707" w:rsidRPr="728F2DAF">
        <w:rPr>
          <w:rFonts w:eastAsia="Times New Roman"/>
          <w:lang w:val="en-GB"/>
        </w:rPr>
        <w:t>s are</w:t>
      </w:r>
      <w:r w:rsidR="62A361F1" w:rsidRPr="728F2DAF">
        <w:rPr>
          <w:rFonts w:eastAsia="Times New Roman"/>
          <w:lang w:val="en-GB"/>
        </w:rPr>
        <w:t xml:space="preserve"> </w:t>
      </w:r>
      <w:r w:rsidR="495F16A0" w:rsidRPr="728F2DAF">
        <w:rPr>
          <w:rFonts w:eastAsia="Times New Roman"/>
          <w:lang w:val="en-GB"/>
        </w:rPr>
        <w:t>linked</w:t>
      </w:r>
      <w:r w:rsidR="62A361F1" w:rsidRPr="728F2DAF">
        <w:rPr>
          <w:rFonts w:eastAsia="Times New Roman"/>
          <w:lang w:val="en-GB"/>
        </w:rPr>
        <w:t xml:space="preserve"> to the presence of heavy metals, local population density</w:t>
      </w:r>
      <w:r w:rsidR="00774819">
        <w:rPr>
          <w:rFonts w:eastAsia="Times New Roman"/>
          <w:lang w:val="en-GB"/>
        </w:rPr>
        <w:t xml:space="preserve"> and</w:t>
      </w:r>
      <w:r w:rsidR="62A361F1" w:rsidRPr="728F2DAF">
        <w:rPr>
          <w:rFonts w:eastAsia="Times New Roman"/>
          <w:lang w:val="en-GB"/>
        </w:rPr>
        <w:t xml:space="preserve"> proximity to city ports; </w:t>
      </w:r>
      <w:r w:rsidR="2001F707" w:rsidRPr="728F2DAF">
        <w:rPr>
          <w:rFonts w:eastAsia="Times New Roman"/>
          <w:lang w:val="en-GB"/>
        </w:rPr>
        <w:t xml:space="preserve">with </w:t>
      </w:r>
      <w:r w:rsidR="62A361F1" w:rsidRPr="728F2DAF">
        <w:rPr>
          <w:rFonts w:eastAsia="Times New Roman"/>
          <w:lang w:val="en-GB"/>
        </w:rPr>
        <w:t>invasive</w:t>
      </w:r>
      <w:r w:rsidR="12BD40DF" w:rsidRPr="728F2DAF">
        <w:rPr>
          <w:rFonts w:eastAsia="Times New Roman"/>
          <w:lang w:val="en-GB"/>
        </w:rPr>
        <w:t xml:space="preserve"> alien</w:t>
      </w:r>
      <w:r w:rsidR="62A361F1" w:rsidRPr="728F2DAF">
        <w:rPr>
          <w:rFonts w:eastAsia="Times New Roman"/>
          <w:lang w:val="en-GB"/>
        </w:rPr>
        <w:t xml:space="preserve"> species </w:t>
      </w:r>
      <w:r w:rsidR="2001F707" w:rsidRPr="728F2DAF">
        <w:rPr>
          <w:rFonts w:eastAsia="Times New Roman"/>
          <w:lang w:val="en-GB"/>
        </w:rPr>
        <w:t xml:space="preserve">being </w:t>
      </w:r>
      <w:r w:rsidR="62A361F1" w:rsidRPr="728F2DAF">
        <w:rPr>
          <w:rFonts w:eastAsia="Times New Roman"/>
          <w:lang w:val="en-GB"/>
        </w:rPr>
        <w:t>more common in areas with higher levels of pollution, while native</w:t>
      </w:r>
      <w:r w:rsidR="305555D9" w:rsidRPr="728F2DAF">
        <w:rPr>
          <w:rFonts w:eastAsia="Times New Roman"/>
          <w:lang w:val="en-GB"/>
        </w:rPr>
        <w:t xml:space="preserve"> </w:t>
      </w:r>
      <w:r w:rsidR="62A361F1" w:rsidRPr="728F2DAF">
        <w:rPr>
          <w:rFonts w:eastAsia="Times New Roman"/>
          <w:lang w:val="en-GB"/>
        </w:rPr>
        <w:t>s</w:t>
      </w:r>
      <w:r w:rsidR="305555D9" w:rsidRPr="728F2DAF">
        <w:rPr>
          <w:rFonts w:eastAsia="Times New Roman"/>
          <w:lang w:val="en-GB"/>
        </w:rPr>
        <w:t>pecies</w:t>
      </w:r>
      <w:r w:rsidR="62A361F1" w:rsidRPr="728F2DAF">
        <w:rPr>
          <w:rFonts w:eastAsia="Times New Roman"/>
          <w:lang w:val="en-GB"/>
        </w:rPr>
        <w:t xml:space="preserve"> are less </w:t>
      </w:r>
      <w:r w:rsidR="2001F707" w:rsidRPr="728F2DAF">
        <w:rPr>
          <w:rFonts w:eastAsia="Times New Roman"/>
          <w:lang w:val="en-GB"/>
        </w:rPr>
        <w:t xml:space="preserve">common </w:t>
      </w:r>
      <w:r w:rsidR="484A6CC7" w:rsidRPr="728F2DAF">
        <w:rPr>
          <w:rFonts w:eastAsia="Times New Roman"/>
          <w:lang w:val="en-GB"/>
        </w:rPr>
        <w:t>under these conditions</w:t>
      </w:r>
      <w:r w:rsidR="2001F707" w:rsidRPr="728F2DAF">
        <w:rPr>
          <w:rFonts w:eastAsia="Times New Roman"/>
          <w:lang w:val="en-GB"/>
        </w:rPr>
        <w:t xml:space="preserve"> </w:t>
      </w:r>
      <w:r w:rsidR="00A5369A" w:rsidRPr="728F2DAF">
        <w:rPr>
          <w:rFonts w:eastAsia="Times New Roman"/>
          <w:lang w:val="en-GB"/>
        </w:rPr>
        <w:fldChar w:fldCharType="begin"/>
      </w:r>
      <w:r w:rsidR="00331A79">
        <w:rPr>
          <w:rFonts w:eastAsia="Times New Roman"/>
          <w:lang w:val="en-GB"/>
        </w:rPr>
        <w:instrText xml:space="preserve"> ADDIN ZOTERO_ITEM CSL_CITATION {"citationID":"VcppTGmS","properties":{"formattedCitation":"(Stuart-Smith et al., 2015)","plainCitation":"(Stuart-Smith et al., 2015)","noteIndex":0},"citationItems":[{"id":30007,"uris":["http://zotero.org/groups/2352922/items/AJ5ATDVT"],"itemData":{"id":30007,"type":"article-journal","abstract":"Urbanisation of the coastal zone represents a key threat to marine biodiversity, including rocky reef communities which often possess disproportionate ecological, recreational and commercial importance. The nature and magnitude of local urban impacts on reef biodiversity near three Australian capital cities were quantiﬁed using visual census methods. The most impacted reefs in urbanised embayments were consistently characterised by smaller, faster growing species, reduced ﬁsh biomass and richness, and reduced mobile invertebrate abundance and richness. Reef faunal distribution varied signiﬁcantly with heavy metals, local population density, and proximity to city ports, while native ﬁsh and invertebrate communities were most depauperate in locations where invasive species were abundant. Our study adds impetus for improved urban planning and pollution management practises, while also highlighting the potential for skilled volunteers to improve the tracking of changes in marine biodiversity values and the effectiveness of management intervention.","container-title":"Marine Pollution Bulletin","DOI":"10.1016/j.marpolbul.2015.03.023","ISSN":"0025326X","issue":"1","journalAbbreviation":"Marine Pollution Bulletin","language":"en","page":"324-332","source":"DOI.org (Crossref)","title":"Loss of native rocky reef biodiversity in Australian metropolitan embayments","URL":"https://linkinghub.elsevier.com/retrieve/pii/S0025326X1500168X","volume":"95","author":[{"family":"Stuart-Smith","given":"Rick D."},{"family":"Edgar","given":"Graham J."},{"family":"Stuart-Smith","given":"Jemina F."},{"family":"Barrett","given":"Neville S."},{"family":"Fowles","given":"Amelia E."},{"family":"Hill","given":"Nicole A."},{"family":"Cooper","given":"Antonia T."},{"family":"Myers","given":"Andrew P."},{"family":"Oh","given":"Elizabeth S."},{"family":"Pocklington","given":"Jacqui B."},{"family":"Thomson","given":"Russell J."}],"accessed":{"date-parts":[["2021",8,12]]},"issued":{"date-parts":[["2015",6]]}},"label":"page"}],"schema":"https://github.com/citation-style-language/schema/raw/master/csl-citation.json"} </w:instrText>
      </w:r>
      <w:r w:rsidR="00A5369A" w:rsidRPr="728F2DAF">
        <w:rPr>
          <w:rFonts w:eastAsia="Times New Roman"/>
          <w:lang w:val="en-GB"/>
        </w:rPr>
        <w:fldChar w:fldCharType="separate"/>
      </w:r>
      <w:r w:rsidR="73B99EB6">
        <w:t>(Stuart-Smith et al., 2015)</w:t>
      </w:r>
      <w:r w:rsidR="00A5369A" w:rsidRPr="728F2DAF">
        <w:rPr>
          <w:rFonts w:eastAsia="Times New Roman"/>
          <w:lang w:val="en-GB"/>
        </w:rPr>
        <w:fldChar w:fldCharType="end"/>
      </w:r>
      <w:r w:rsidR="62A361F1" w:rsidRPr="728F2DAF">
        <w:rPr>
          <w:rFonts w:eastAsia="Times New Roman"/>
          <w:lang w:val="en-GB"/>
        </w:rPr>
        <w:t xml:space="preserve">. </w:t>
      </w:r>
      <w:r w:rsidR="2001F707" w:rsidRPr="728F2DAF">
        <w:rPr>
          <w:rFonts w:eastAsia="Times New Roman"/>
          <w:lang w:val="en-GB"/>
        </w:rPr>
        <w:t>I</w:t>
      </w:r>
      <w:r w:rsidR="62A361F1" w:rsidRPr="728F2DAF">
        <w:rPr>
          <w:rFonts w:eastAsia="Times New Roman"/>
          <w:lang w:val="en-GB"/>
        </w:rPr>
        <w:t xml:space="preserve">n </w:t>
      </w:r>
      <w:r w:rsidR="62A361F1" w:rsidRPr="728F2DAF">
        <w:rPr>
          <w:lang w:val="en-GB"/>
        </w:rPr>
        <w:t>mangrove ecosystems</w:t>
      </w:r>
      <w:r w:rsidR="5A2B870E" w:rsidRPr="728F2DAF">
        <w:rPr>
          <w:lang w:val="en-GB"/>
        </w:rPr>
        <w:t xml:space="preserve"> in Nigeria</w:t>
      </w:r>
      <w:r w:rsidR="62A361F1" w:rsidRPr="728F2DAF">
        <w:rPr>
          <w:lang w:val="en-GB"/>
        </w:rPr>
        <w:t xml:space="preserve">, pollution and </w:t>
      </w:r>
      <w:r w:rsidR="5D687BF1" w:rsidRPr="728F2DAF">
        <w:rPr>
          <w:lang w:val="en-GB"/>
        </w:rPr>
        <w:t>urbanization</w:t>
      </w:r>
      <w:r w:rsidR="62A361F1" w:rsidRPr="728F2DAF">
        <w:rPr>
          <w:lang w:val="en-GB"/>
        </w:rPr>
        <w:t xml:space="preserve"> create </w:t>
      </w:r>
      <w:r w:rsidR="3B4834A2" w:rsidRPr="728F2DAF">
        <w:rPr>
          <w:lang w:val="en-GB"/>
        </w:rPr>
        <w:t xml:space="preserve">forest </w:t>
      </w:r>
      <w:r w:rsidR="62A361F1" w:rsidRPr="728F2DAF">
        <w:rPr>
          <w:lang w:val="en-GB"/>
        </w:rPr>
        <w:t xml:space="preserve">gaps that enhance </w:t>
      </w:r>
      <w:r w:rsidR="6EC632C1" w:rsidRPr="728F2DAF">
        <w:rPr>
          <w:lang w:val="en-GB"/>
        </w:rPr>
        <w:t xml:space="preserve">biological </w:t>
      </w:r>
      <w:r w:rsidR="62A361F1" w:rsidRPr="728F2DAF">
        <w:rPr>
          <w:lang w:val="en-GB"/>
        </w:rPr>
        <w:t>invasion</w:t>
      </w:r>
      <w:r w:rsidR="6EC632C1" w:rsidRPr="728F2DAF">
        <w:rPr>
          <w:lang w:val="en-GB"/>
        </w:rPr>
        <w:t>s</w:t>
      </w:r>
      <w:r w:rsidR="62A361F1" w:rsidRPr="728F2DAF">
        <w:rPr>
          <w:lang w:val="en-GB"/>
        </w:rPr>
        <w:t xml:space="preserve">, </w:t>
      </w:r>
      <w:r w:rsidR="6EC632C1" w:rsidRPr="728F2DAF">
        <w:rPr>
          <w:lang w:val="en-GB"/>
        </w:rPr>
        <w:t xml:space="preserve">for example </w:t>
      </w:r>
      <w:r w:rsidR="003000E0">
        <w:rPr>
          <w:lang w:val="en-GB"/>
        </w:rPr>
        <w:t xml:space="preserve">of </w:t>
      </w:r>
      <w:r w:rsidR="62A361F1" w:rsidRPr="728F2DAF">
        <w:rPr>
          <w:i/>
          <w:iCs/>
          <w:lang w:val="en-GB"/>
        </w:rPr>
        <w:t>Nypa fruticans</w:t>
      </w:r>
      <w:r w:rsidR="3568CE60" w:rsidRPr="728F2DAF">
        <w:rPr>
          <w:i/>
          <w:iCs/>
          <w:lang w:val="en-GB"/>
        </w:rPr>
        <w:t xml:space="preserve"> </w:t>
      </w:r>
      <w:r w:rsidR="3568CE60" w:rsidRPr="728F2DAF">
        <w:rPr>
          <w:lang w:val="en-GB"/>
        </w:rPr>
        <w:t>(</w:t>
      </w:r>
      <w:r w:rsidR="21AD273A" w:rsidRPr="728F2DAF">
        <w:rPr>
          <w:lang w:val="en-GB"/>
        </w:rPr>
        <w:t>n</w:t>
      </w:r>
      <w:r w:rsidR="3568CE60" w:rsidRPr="728F2DAF">
        <w:rPr>
          <w:lang w:val="en-GB"/>
        </w:rPr>
        <w:t>ipa palm</w:t>
      </w:r>
      <w:r w:rsidR="7921A74B" w:rsidRPr="728F2DAF">
        <w:rPr>
          <w:lang w:val="en-GB"/>
        </w:rPr>
        <w:t>;</w:t>
      </w:r>
      <w:r w:rsidR="62A361F1" w:rsidRPr="728F2DAF">
        <w:rPr>
          <w:lang w:val="en-GB"/>
        </w:rPr>
        <w:t xml:space="preserve"> </w:t>
      </w:r>
      <w:r w:rsidR="00A5369A" w:rsidRPr="728F2DAF">
        <w:rPr>
          <w:lang w:val="en-GB"/>
        </w:rPr>
        <w:fldChar w:fldCharType="begin"/>
      </w:r>
      <w:r w:rsidR="00331A79">
        <w:rPr>
          <w:lang w:val="en-GB"/>
        </w:rPr>
        <w:instrText xml:space="preserve"> ADDIN ZOTERO_ITEM CSL_CITATION {"citationID":"OEd5VMs2","properties":{"formattedCitation":"(Nwobi et al., 2020)","plainCitation":"(Nwobi et al., 2020)","dontUpdate":true,"noteIndex":0},"citationItems":[{"id":30004,"uris":["http://zotero.org/groups/2352922/items/2G6N7SP5"],"itemData":{"id":30004,"type":"article-journal","abstract":"Mangrove forests in the Niger Delta are very valuable, providing ecosystem services, such‘as carbon storage, ﬁsh nurseries, coastal protection, and aesthetic values. However, they are under threat from urbanization, logging, oil pollution, and the proliferation of the invasive Nipa Palm (Nypa fruticans). However, there are no reliable data on the current extent of mangrove forest in the Niger Delta, its rate of loss, or the rate of colonization by the invasive Nipa Palm. Here, we estimate the area of Nipa Palm and mangrove forests in the Niger Delta in 2007 and 2017, using 567 ground control points, Advanced Land Observatory Satellite Phased Array L-band SAR (ALOS PALSAR), Landsat and the Shuttle Radar Topography Mission Digital Elevation Model 2000 (SRTM DEM). We performed the classiﬁcation using Maximum Likelihood (ML) and Support Vector Machine (SVM) methods. The classiﬁcation results showed SVM (overall accuracy 93%) performed better than ML (77%). Producers (PA) and User’s accuracy (UA) for the best SVM classiﬁcation were above 80% for most classes; however, these were considerably lower for Nipa Palm (PA—32%, UA—30%). We estimated a 2017 mangrove area of 801,774 ± 34,787 ha (±95% Conﬁdence Interval) ha and Nipa Palm extent of 11,447 ± 7343 ha. Our maps show a greater landward extent than other reported products. The results indicate a 12% (7–17%) decrease in mangrove area and 694 (0–1304)% increase in Nipa Palm. Mapping eﬀorts should continue for policy targeting and monitoring. The mangroves of the Niger Delta are clearly in grave danger from both rapid clearance and encroachment by the invasive Nipa Palm. This is of great concern given the dense carbon stocks and the value of these mangroves to local communities for generating ﬁsh stocks and protection from extreme events.","container-title":"Remote Sensing","DOI":"10.3390/rs12142344","ISSN":"2072-4292","issue":"14","journalAbbreviation":"Remote Sensing","language":"en","page":"2344","source":"DOI.org (Crossref)","title":"Rapid Mangrove Forest Loss and Nipa Palm (&lt;i&gt;Nypa fruticans&lt;/i&gt;) Expansion in the Niger Delta, 2007–2017","URL":"https://www.mdpi.com/2072-4292/12/14/2344","volume":"12","author":[{"family":"Nwobi","given":"Chukwuebuka"},{"family":"Williams","given":"Mathew"},{"family":"Mitchard","given":"Edward T. A."}],"accessed":{"date-parts":[["2021",8,12]]},"issued":{"date-parts":[["2020",7,21]]}},"label":"page"}],"schema":"https://github.com/citation-style-language/schema/raw/master/csl-citation.json"} </w:instrText>
      </w:r>
      <w:r w:rsidR="00A5369A" w:rsidRPr="728F2DAF">
        <w:rPr>
          <w:lang w:val="en-GB"/>
        </w:rPr>
        <w:fldChar w:fldCharType="separate"/>
      </w:r>
      <w:r w:rsidR="07BBEC92" w:rsidRPr="728F2DAF">
        <w:rPr>
          <w:lang w:val="en-GB"/>
        </w:rPr>
        <w:t>Nwobi et al., 2020)</w:t>
      </w:r>
      <w:r w:rsidR="00A5369A" w:rsidRPr="728F2DAF">
        <w:rPr>
          <w:lang w:val="en-GB"/>
        </w:rPr>
        <w:fldChar w:fldCharType="end"/>
      </w:r>
      <w:r w:rsidR="62A361F1" w:rsidRPr="728F2DAF">
        <w:rPr>
          <w:lang w:val="en-GB"/>
        </w:rPr>
        <w:t xml:space="preserve">. </w:t>
      </w:r>
    </w:p>
    <w:p w14:paraId="18AD4856" w14:textId="77777777" w:rsidR="00B848E1" w:rsidRDefault="00F20AD4" w:rsidP="00B848E1">
      <w:pPr>
        <w:rPr>
          <w:rFonts w:eastAsia="Times New Roman"/>
          <w:lang w:val="en-GB"/>
        </w:rPr>
      </w:pPr>
      <w:r w:rsidRPr="00DA249F">
        <w:rPr>
          <w:lang w:val="en-GB"/>
        </w:rPr>
        <w:t xml:space="preserve">Urban areas generate and disseminate many types of pollutants, </w:t>
      </w:r>
      <w:r w:rsidR="008F245A" w:rsidRPr="00DA249F">
        <w:rPr>
          <w:lang w:val="en-GB"/>
        </w:rPr>
        <w:t>including</w:t>
      </w:r>
      <w:r w:rsidR="00BB72C4" w:rsidRPr="00DA249F">
        <w:rPr>
          <w:lang w:val="en-GB"/>
        </w:rPr>
        <w:t xml:space="preserve"> nitrogen</w:t>
      </w:r>
      <w:r w:rsidRPr="00DA249F">
        <w:rPr>
          <w:lang w:val="en-GB"/>
        </w:rPr>
        <w:t xml:space="preserve">. </w:t>
      </w:r>
      <w:r w:rsidR="006B7BBF" w:rsidRPr="00DA249F">
        <w:rPr>
          <w:lang w:val="en-GB"/>
        </w:rPr>
        <w:t>A</w:t>
      </w:r>
      <w:r w:rsidR="00DE41A4" w:rsidRPr="00DA249F">
        <w:rPr>
          <w:lang w:val="en-GB"/>
        </w:rPr>
        <w:t xml:space="preserve">lien </w:t>
      </w:r>
      <w:r w:rsidRPr="00DA249F">
        <w:rPr>
          <w:lang w:val="en-GB"/>
        </w:rPr>
        <w:t xml:space="preserve">species are </w:t>
      </w:r>
      <w:r w:rsidR="006B7BBF" w:rsidRPr="00DA249F">
        <w:rPr>
          <w:lang w:val="en-GB"/>
        </w:rPr>
        <w:t xml:space="preserve">generally </w:t>
      </w:r>
      <w:r w:rsidRPr="00DA249F">
        <w:rPr>
          <w:lang w:val="en-GB"/>
        </w:rPr>
        <w:t>more tolerant to nitrogen pollution than native</w:t>
      </w:r>
      <w:r w:rsidR="00277470" w:rsidRPr="00DA249F">
        <w:rPr>
          <w:lang w:val="en-GB"/>
        </w:rPr>
        <w:t xml:space="preserve"> </w:t>
      </w:r>
      <w:r w:rsidRPr="00DA249F">
        <w:rPr>
          <w:lang w:val="en-GB"/>
        </w:rPr>
        <w:t>s</w:t>
      </w:r>
      <w:r w:rsidR="00277470" w:rsidRPr="00DA249F">
        <w:rPr>
          <w:lang w:val="en-GB"/>
        </w:rPr>
        <w:t>pecies</w:t>
      </w:r>
      <w:r w:rsidR="00F430B1" w:rsidRPr="00DA249F">
        <w:rPr>
          <w:lang w:val="en-GB"/>
        </w:rPr>
        <w:t xml:space="preserve"> (</w:t>
      </w:r>
      <w:r w:rsidR="000B31F8" w:rsidRPr="008C24B4">
        <w:rPr>
          <w:b/>
          <w:lang w:val="en-GB"/>
        </w:rPr>
        <w:t>section 3.3.3.1</w:t>
      </w:r>
      <w:r w:rsidR="000B31F8" w:rsidRPr="00DA249F">
        <w:rPr>
          <w:lang w:val="en-GB"/>
        </w:rPr>
        <w:t>), and</w:t>
      </w:r>
      <w:r w:rsidRPr="00DA249F">
        <w:rPr>
          <w:lang w:val="en-GB"/>
        </w:rPr>
        <w:t xml:space="preserve"> in nitrogen polluted freshwater ecosystems in Hawai</w:t>
      </w:r>
      <w:r w:rsidR="0093352B" w:rsidRPr="00DA249F">
        <w:rPr>
          <w:lang w:val="en-GB"/>
        </w:rPr>
        <w:t>i</w:t>
      </w:r>
      <w:r w:rsidRPr="00DA249F">
        <w:rPr>
          <w:lang w:val="en-GB"/>
        </w:rPr>
        <w:t xml:space="preserve">, native goby species have declined while </w:t>
      </w:r>
      <w:r w:rsidR="00DE41A4" w:rsidRPr="00DA249F">
        <w:rPr>
          <w:lang w:val="en-GB"/>
        </w:rPr>
        <w:t>alien</w:t>
      </w:r>
      <w:r w:rsidR="00277470" w:rsidRPr="00DA249F">
        <w:rPr>
          <w:lang w:val="en-GB"/>
        </w:rPr>
        <w:t xml:space="preserve"> </w:t>
      </w:r>
      <w:r w:rsidRPr="00DA249F">
        <w:rPr>
          <w:lang w:val="en-GB"/>
        </w:rPr>
        <w:t>s</w:t>
      </w:r>
      <w:r w:rsidR="00277470" w:rsidRPr="00DA249F">
        <w:rPr>
          <w:lang w:val="en-GB"/>
        </w:rPr>
        <w:t>pecies</w:t>
      </w:r>
      <w:r w:rsidRPr="00DA249F">
        <w:rPr>
          <w:lang w:val="en-GB"/>
        </w:rPr>
        <w:t xml:space="preserve"> are </w:t>
      </w:r>
      <w:r w:rsidR="00277470" w:rsidRPr="00DA249F">
        <w:rPr>
          <w:lang w:val="en-GB"/>
        </w:rPr>
        <w:t xml:space="preserve">increasing </w:t>
      </w:r>
      <w:r w:rsidRPr="00DA249F">
        <w:rPr>
          <w:lang w:val="en-GB"/>
        </w:rPr>
        <w:fldChar w:fldCharType="begin"/>
      </w:r>
      <w:r w:rsidR="00331A79">
        <w:rPr>
          <w:lang w:val="en-GB"/>
        </w:rPr>
        <w:instrText xml:space="preserve"> ADDIN ZOTERO_ITEM CSL_CITATION {"citationID":"XNKwdxNv","properties":{"formattedCitation":"(Lisi et al., 2018)","plainCitation":"(Lisi et al., 2018)","noteIndex":0},"citationItems":[{"id":30008,"uris":["http://zotero.org/groups/2352922/items/MD2I5EAX"],"itemData":{"id":30008,"type":"article-journal","container-title":"Freshwater Biology","DOI":"10.1111/fwb.13091","ISSN":"0046-5070, 1365-2427","issue":"5","journalAbbreviation":"Freshw Biol","language":"en","page":"492-502","source":"DOI.org (Crossref)","title":"Overcoming urban stream syndrome: Trophic flexibility confers resilience in a Hawaiian stream fish","title-short":"Overcoming urban stream syndrome","URL":"https://onlinelibrary.wiley.com/doi/10.1111/fwb.13091","volume":"63","author":[{"family":"Lisi","given":"Peter J."},{"family":"Childress","given":"Evan S."},{"family":"Gagne","given":"Roderick B."},{"family":"Hain","given":"Ernie F."},{"family":"Lamphere","given":"Brad A."},{"family":"Walter","given":"Ryan P."},{"family":"Hogan","given":"J. Derek"},{"family":"Gilliam","given":"James F."},{"family":"Blum","given":"Michael J."},{"family":"McIntyre","given":"Peter B."}],"accessed":{"date-parts":[["2021",8,12]]},"issued":{"date-parts":[["2018",5]]}},"label":"page"}],"schema":"https://github.com/citation-style-language/schema/raw/master/csl-citation.json"} </w:instrText>
      </w:r>
      <w:r w:rsidRPr="00DA249F">
        <w:rPr>
          <w:lang w:val="en-GB"/>
        </w:rPr>
        <w:fldChar w:fldCharType="separate"/>
      </w:r>
      <w:r w:rsidR="00144D96" w:rsidRPr="00144D96">
        <w:t>(Lisi et al., 2018)</w:t>
      </w:r>
      <w:r w:rsidRPr="00DA249F">
        <w:rPr>
          <w:lang w:val="en-GB"/>
        </w:rPr>
        <w:fldChar w:fldCharType="end"/>
      </w:r>
      <w:r w:rsidRPr="00DA249F">
        <w:rPr>
          <w:lang w:val="en-GB"/>
        </w:rPr>
        <w:t>. Urbani</w:t>
      </w:r>
      <w:r w:rsidR="00573E7A" w:rsidRPr="00DA249F">
        <w:rPr>
          <w:lang w:val="en-GB"/>
        </w:rPr>
        <w:t>z</w:t>
      </w:r>
      <w:r w:rsidRPr="00DA249F">
        <w:rPr>
          <w:lang w:val="en-GB"/>
        </w:rPr>
        <w:t>ation generates runoff to aquatic ecosystems</w:t>
      </w:r>
      <w:r w:rsidR="00C665EE">
        <w:rPr>
          <w:lang w:val="en-GB"/>
        </w:rPr>
        <w:t xml:space="preserve">, which </w:t>
      </w:r>
      <w:r w:rsidRPr="00DA249F">
        <w:rPr>
          <w:lang w:val="en-GB"/>
        </w:rPr>
        <w:t>can carry many pollutants</w:t>
      </w:r>
      <w:r w:rsidR="00C665EE">
        <w:rPr>
          <w:lang w:val="en-GB"/>
        </w:rPr>
        <w:t>,</w:t>
      </w:r>
      <w:r w:rsidRPr="00DA249F">
        <w:rPr>
          <w:lang w:val="en-GB"/>
        </w:rPr>
        <w:t xml:space="preserve"> and modif</w:t>
      </w:r>
      <w:r w:rsidR="00C665EE">
        <w:rPr>
          <w:lang w:val="en-GB"/>
        </w:rPr>
        <w:t>ies</w:t>
      </w:r>
      <w:r w:rsidRPr="00DA249F">
        <w:rPr>
          <w:lang w:val="en-GB"/>
        </w:rPr>
        <w:t xml:space="preserve"> the</w:t>
      </w:r>
      <w:r w:rsidR="00F20371" w:rsidRPr="00DA249F">
        <w:rPr>
          <w:lang w:val="en-GB"/>
        </w:rPr>
        <w:t>ir</w:t>
      </w:r>
      <w:r w:rsidRPr="00DA249F">
        <w:rPr>
          <w:lang w:val="en-GB"/>
        </w:rPr>
        <w:t xml:space="preserve"> dynamics. An example is </w:t>
      </w:r>
      <w:r w:rsidR="003F0FDD" w:rsidRPr="00DA249F">
        <w:rPr>
          <w:lang w:val="en-GB"/>
        </w:rPr>
        <w:t>how</w:t>
      </w:r>
      <w:r w:rsidRPr="00DA249F">
        <w:rPr>
          <w:lang w:val="en-GB"/>
        </w:rPr>
        <w:t xml:space="preserve"> pollution of freshwater environments following </w:t>
      </w:r>
      <w:r w:rsidR="00C665EE">
        <w:rPr>
          <w:lang w:val="en-GB"/>
        </w:rPr>
        <w:t xml:space="preserve">the application of </w:t>
      </w:r>
      <w:r w:rsidRPr="00DA249F">
        <w:rPr>
          <w:lang w:val="en-GB"/>
        </w:rPr>
        <w:t>road de-icing salts facilitat</w:t>
      </w:r>
      <w:r w:rsidR="003F0FDD" w:rsidRPr="00DA249F">
        <w:rPr>
          <w:lang w:val="en-GB"/>
        </w:rPr>
        <w:t>es the</w:t>
      </w:r>
      <w:r w:rsidRPr="00DA249F">
        <w:rPr>
          <w:lang w:val="en-GB"/>
        </w:rPr>
        <w:t xml:space="preserve"> </w:t>
      </w:r>
      <w:r w:rsidR="003F0FDD" w:rsidRPr="00DA249F">
        <w:rPr>
          <w:lang w:val="en-GB"/>
        </w:rPr>
        <w:t>survival and establishment of</w:t>
      </w:r>
      <w:r w:rsidRPr="00DA249F">
        <w:rPr>
          <w:lang w:val="en-GB"/>
        </w:rPr>
        <w:t xml:space="preserve"> </w:t>
      </w:r>
      <w:r w:rsidR="00C665EE">
        <w:rPr>
          <w:lang w:val="en-GB"/>
        </w:rPr>
        <w:t xml:space="preserve">the </w:t>
      </w:r>
      <w:r w:rsidR="00F52BF6">
        <w:rPr>
          <w:lang w:val="en-GB"/>
        </w:rPr>
        <w:t xml:space="preserve">invasive </w:t>
      </w:r>
      <w:r w:rsidR="00C665EE">
        <w:rPr>
          <w:lang w:val="en-GB"/>
        </w:rPr>
        <w:t xml:space="preserve">alien </w:t>
      </w:r>
      <w:r w:rsidR="00F60035" w:rsidRPr="00DA249F">
        <w:rPr>
          <w:i/>
          <w:iCs/>
          <w:lang w:val="en-GB"/>
        </w:rPr>
        <w:t>Corbicula fluminea</w:t>
      </w:r>
      <w:r w:rsidR="00F60035" w:rsidRPr="00DA249F">
        <w:rPr>
          <w:lang w:val="en-GB"/>
        </w:rPr>
        <w:t xml:space="preserve"> </w:t>
      </w:r>
      <w:r w:rsidRPr="00DA249F">
        <w:rPr>
          <w:lang w:val="en-GB"/>
        </w:rPr>
        <w:t>(</w:t>
      </w:r>
      <w:r w:rsidR="00F60035" w:rsidRPr="00DA249F">
        <w:rPr>
          <w:lang w:val="en-GB"/>
        </w:rPr>
        <w:t>Asian clam</w:t>
      </w:r>
      <w:r w:rsidRPr="00DA249F">
        <w:rPr>
          <w:lang w:val="en-GB"/>
        </w:rPr>
        <w:t xml:space="preserve">) in New York, </w:t>
      </w:r>
      <w:r w:rsidR="00F13618" w:rsidRPr="00DA249F">
        <w:rPr>
          <w:lang w:val="en-GB"/>
        </w:rPr>
        <w:t xml:space="preserve">the </w:t>
      </w:r>
      <w:r w:rsidRPr="00DA249F">
        <w:rPr>
          <w:lang w:val="en-GB"/>
        </w:rPr>
        <w:t>U</w:t>
      </w:r>
      <w:r w:rsidR="00881D24" w:rsidRPr="00DA249F">
        <w:rPr>
          <w:lang w:val="en-GB"/>
        </w:rPr>
        <w:t xml:space="preserve">nited </w:t>
      </w:r>
      <w:r w:rsidRPr="00DA249F">
        <w:rPr>
          <w:lang w:val="en-GB"/>
        </w:rPr>
        <w:t>S</w:t>
      </w:r>
      <w:r w:rsidR="00881D24" w:rsidRPr="00DA249F">
        <w:rPr>
          <w:lang w:val="en-GB"/>
        </w:rPr>
        <w:t>tates</w:t>
      </w:r>
      <w:r w:rsidRPr="00DA249F">
        <w:rPr>
          <w:lang w:val="en-GB"/>
        </w:rPr>
        <w:t xml:space="preserve">, as </w:t>
      </w:r>
      <w:r w:rsidR="00C665EE">
        <w:rPr>
          <w:lang w:val="en-GB"/>
        </w:rPr>
        <w:t>this species is</w:t>
      </w:r>
      <w:r w:rsidRPr="00DA249F">
        <w:rPr>
          <w:lang w:val="en-GB"/>
        </w:rPr>
        <w:t xml:space="preserve"> more tolerant to road salts than other </w:t>
      </w:r>
      <w:r w:rsidR="00C665EE">
        <w:rPr>
          <w:lang w:val="en-GB"/>
        </w:rPr>
        <w:t xml:space="preserve">native </w:t>
      </w:r>
      <w:r w:rsidRPr="00DA249F">
        <w:rPr>
          <w:lang w:val="en-GB"/>
        </w:rPr>
        <w:t xml:space="preserve">freshwater organisms </w:t>
      </w:r>
      <w:r w:rsidRPr="00DA249F">
        <w:rPr>
          <w:lang w:val="en-GB"/>
        </w:rPr>
        <w:fldChar w:fldCharType="begin"/>
      </w:r>
      <w:r w:rsidR="00331A79">
        <w:rPr>
          <w:lang w:val="en-GB"/>
        </w:rPr>
        <w:instrText xml:space="preserve"> ADDIN ZOTERO_ITEM CSL_CITATION {"citationID":"lN6NNq59","properties":{"formattedCitation":"(Coldsnow &amp; Relyea, 2018)","plainCitation":"(Coldsnow &amp; Relyea, 2018)","noteIndex":0},"citationItems":[{"id":30002,"uris":["http://zotero.org/groups/2352922/items/FSBKAFCA"],"itemData":{"id":30002,"type":"article-journal","container-title":"Environmental Toxicology and Chemistry","DOI":"10.1002/etc.4126","ISSN":"07307268","issue":"7","journalAbbreviation":"Environ Toxicol Chem","language":"en","page":"1839-1845","source":"DOI.org (Crossref)","title":"Toxicity of various road-deicing salts to Asian clams (&lt;i&gt;Corbicula fluminea&lt;/i&gt;)","title-short":"Toxicity of various road-deicing salts to Asian clams ( &lt;i&gt;Corbicula fluminea&lt;/i&gt; )","URL":"https://onlinelibrary.wiley.com/doi/10.1002/etc.4126","volume":"37","author":[{"family":"Coldsnow","given":"Kayla D."},{"family":"Relyea","given":"Rick A."}],"accessed":{"date-parts":[["2021",8,12]]},"issued":{"date-parts":[["2018",7]]}},"label":"page"}],"schema":"https://github.com/citation-style-language/schema/raw/master/csl-citation.json"} </w:instrText>
      </w:r>
      <w:r w:rsidRPr="00DA249F">
        <w:rPr>
          <w:lang w:val="en-GB"/>
        </w:rPr>
        <w:fldChar w:fldCharType="separate"/>
      </w:r>
      <w:r w:rsidR="00144D96" w:rsidRPr="00144D96">
        <w:t>(Coldsnow &amp; Relyea, 2018)</w:t>
      </w:r>
      <w:r w:rsidRPr="00DA249F">
        <w:rPr>
          <w:lang w:val="en-GB"/>
        </w:rPr>
        <w:fldChar w:fldCharType="end"/>
      </w:r>
      <w:r w:rsidRPr="00DA249F">
        <w:rPr>
          <w:lang w:val="en-GB"/>
        </w:rPr>
        <w:t>.</w:t>
      </w:r>
    </w:p>
    <w:p w14:paraId="4ABCBE45" w14:textId="767D16CC" w:rsidR="00BB72C4" w:rsidRPr="00B848E1" w:rsidRDefault="00F20AD4" w:rsidP="00B848E1">
      <w:pPr>
        <w:rPr>
          <w:rFonts w:eastAsia="Times New Roman"/>
          <w:lang w:val="en-GB"/>
        </w:rPr>
      </w:pPr>
      <w:r w:rsidRPr="00DA249F">
        <w:rPr>
          <w:lang w:val="en-GB"/>
        </w:rPr>
        <w:t>Pollution can act directly by conferring advantage</w:t>
      </w:r>
      <w:r w:rsidR="00AD1796" w:rsidRPr="00DA249F">
        <w:rPr>
          <w:lang w:val="en-GB"/>
        </w:rPr>
        <w:t>s</w:t>
      </w:r>
      <w:r w:rsidRPr="00DA249F">
        <w:rPr>
          <w:lang w:val="en-GB"/>
        </w:rPr>
        <w:t xml:space="preserve"> to more tolerant invasive</w:t>
      </w:r>
      <w:r w:rsidR="002A0EE8" w:rsidRPr="00DA249F">
        <w:rPr>
          <w:lang w:val="en-GB"/>
        </w:rPr>
        <w:t xml:space="preserve"> alien</w:t>
      </w:r>
      <w:r w:rsidRPr="00DA249F">
        <w:rPr>
          <w:lang w:val="en-GB"/>
        </w:rPr>
        <w:t xml:space="preserve"> species, but also by creating a competitive advantage for them </w:t>
      </w:r>
      <w:r w:rsidR="007C1939" w:rsidRPr="00DA249F">
        <w:rPr>
          <w:lang w:val="en-GB"/>
        </w:rPr>
        <w:t xml:space="preserve">by negatively </w:t>
      </w:r>
      <w:r w:rsidRPr="00DA249F">
        <w:rPr>
          <w:lang w:val="en-GB"/>
        </w:rPr>
        <w:t xml:space="preserve">affecting native populations. Human settlements generate domestic wastewater, agricultural </w:t>
      </w:r>
      <w:r w:rsidR="00537CFD" w:rsidRPr="00DA249F">
        <w:rPr>
          <w:lang w:val="en-GB"/>
        </w:rPr>
        <w:t>fertil</w:t>
      </w:r>
      <w:r w:rsidR="007840D4" w:rsidRPr="00DA249F">
        <w:rPr>
          <w:lang w:val="en-GB"/>
        </w:rPr>
        <w:t>ize</w:t>
      </w:r>
      <w:r w:rsidR="00537CFD" w:rsidRPr="00DA249F">
        <w:rPr>
          <w:lang w:val="en-GB"/>
        </w:rPr>
        <w:t>r</w:t>
      </w:r>
      <w:r w:rsidRPr="00DA249F">
        <w:rPr>
          <w:lang w:val="en-GB"/>
        </w:rPr>
        <w:t xml:space="preserve"> runoff, </w:t>
      </w:r>
      <w:r w:rsidR="00C84B6D" w:rsidRPr="00DA249F">
        <w:rPr>
          <w:lang w:val="en-GB"/>
        </w:rPr>
        <w:t xml:space="preserve">and </w:t>
      </w:r>
      <w:r w:rsidRPr="00DA249F">
        <w:rPr>
          <w:lang w:val="en-GB"/>
        </w:rPr>
        <w:t xml:space="preserve">effluents enriched with organic nutrients that, in coastal urban areas, </w:t>
      </w:r>
      <w:r w:rsidR="00C84B6D" w:rsidRPr="00DA249F">
        <w:rPr>
          <w:lang w:val="en-GB"/>
        </w:rPr>
        <w:t xml:space="preserve">often </w:t>
      </w:r>
      <w:r w:rsidRPr="00DA249F">
        <w:rPr>
          <w:lang w:val="en-GB"/>
        </w:rPr>
        <w:t xml:space="preserve">end </w:t>
      </w:r>
      <w:r w:rsidR="007B2BC4">
        <w:rPr>
          <w:lang w:val="en-GB"/>
        </w:rPr>
        <w:t xml:space="preserve">up </w:t>
      </w:r>
      <w:r w:rsidRPr="00DA249F">
        <w:rPr>
          <w:lang w:val="en-GB"/>
        </w:rPr>
        <w:t>directly in the sea. In South Africa, these input</w:t>
      </w:r>
      <w:r w:rsidR="00F13618" w:rsidRPr="00DA249F">
        <w:rPr>
          <w:lang w:val="en-GB"/>
        </w:rPr>
        <w:t>s</w:t>
      </w:r>
      <w:r w:rsidRPr="00DA249F">
        <w:rPr>
          <w:lang w:val="en-GB"/>
        </w:rPr>
        <w:t xml:space="preserve"> of organic pollutants are associated with the bloom of </w:t>
      </w:r>
      <w:r w:rsidRPr="00DA249F">
        <w:rPr>
          <w:i/>
          <w:iCs/>
          <w:lang w:val="en-GB"/>
        </w:rPr>
        <w:t xml:space="preserve">Ulva </w:t>
      </w:r>
      <w:r w:rsidRPr="00DA249F">
        <w:rPr>
          <w:i/>
          <w:iCs/>
          <w:szCs w:val="24"/>
          <w:lang w:val="en-GB"/>
        </w:rPr>
        <w:t>lactuca</w:t>
      </w:r>
      <w:r w:rsidRPr="00DA249F">
        <w:rPr>
          <w:szCs w:val="24"/>
          <w:lang w:val="en-GB"/>
        </w:rPr>
        <w:t xml:space="preserve"> </w:t>
      </w:r>
      <w:r w:rsidR="00890930" w:rsidRPr="00DA249F">
        <w:rPr>
          <w:szCs w:val="24"/>
          <w:lang w:val="en-GB"/>
        </w:rPr>
        <w:t>(</w:t>
      </w:r>
      <w:r w:rsidR="00937AC5" w:rsidRPr="00DA249F">
        <w:rPr>
          <w:rFonts w:eastAsia="Times New Roman"/>
          <w:color w:val="000000"/>
          <w:szCs w:val="24"/>
          <w:lang w:val="en-GB" w:eastAsia="zh-CN"/>
        </w:rPr>
        <w:t>green laver</w:t>
      </w:r>
      <w:r w:rsidR="00890930" w:rsidRPr="00DA249F">
        <w:rPr>
          <w:szCs w:val="24"/>
          <w:lang w:val="en-GB"/>
        </w:rPr>
        <w:t>)</w:t>
      </w:r>
      <w:r w:rsidR="00890930" w:rsidRPr="00DA249F">
        <w:rPr>
          <w:lang w:val="en-GB"/>
        </w:rPr>
        <w:t xml:space="preserve"> </w:t>
      </w:r>
      <w:r w:rsidRPr="00DA249F">
        <w:rPr>
          <w:lang w:val="en-GB"/>
        </w:rPr>
        <w:t xml:space="preserve">in Saldanha Bay </w:t>
      </w:r>
      <w:r w:rsidRPr="00DA249F">
        <w:rPr>
          <w:lang w:val="en-GB"/>
        </w:rPr>
        <w:fldChar w:fldCharType="begin"/>
      </w:r>
      <w:r w:rsidR="00331A79">
        <w:rPr>
          <w:lang w:val="en-GB"/>
        </w:rPr>
        <w:instrText xml:space="preserve"> ADDIN ZOTERO_ITEM CSL_CITATION {"citationID":"DudT7CR9","properties":{"formattedCitation":"(Mead et al., 2013)","plainCitation":"(Mead et al., 2013)","dontUpdate":true,"noteIndex":0},"citationItems":[{"id":29516,"uris":["http://zotero.org/groups/2352922/items/PHXET7MD"],"itemData":{"id":29516,"type":"article-journal","abstract":"Coastal ecosystems are highly vulnerable to human-mediated drivers of global change because they are located at the land–ocean interface and often host centres of urbanisation and development. The South African coastline comprises several distinct coastal ecoregions that support a wide range of coastal (inshore) ecosystems, including rocky, sandy and mixed shores, kelp beds, estuaries and seagrass communities. A growing body of evidence indicates that local air and sea temperatures, wind patterns, ocean current speed and upwelling regimes are all being affected by human-mediated climate change. In addition, anthropogenic activities, such as shipping (introducing coastal bioinvasives), exploitation of coastal marine resources, industry (releasing pollutants) and urban development, act synergistically with climate change to place pressure on coastal ecosystems and their biota. The aim of this review was primarily to synthesise and update research into causes of direct and indirect human-mediated global change and their effects on South African coastal systems. It incorporates both historic and the latest regional research on climate change and anthropogenic threats across the ecosystems listed above, much of which was supported by the South African Network for Coastal and Oceanic Research (SANCOR), specifically the SEAChange programme in recent years. It is evident that all these ecosystems are vulnerable to all the drivers considered, albeit to differing degrees, depending on their location on the coast. Whereas some bioinvasives have had a dramatic impact on rocky shore systems on the West Coast, their impact has been moderate on the South Coast and minimal on the East Coast; exploitation shows the reverse pattern. Furthermore, the impacts of human-mediated drivers on coastal ecosystems are synergistic. Of major interest is the fact that the West Coast and parts of the South Coast are exhibiting cooling trends in offshore sea surface temperatures, rather than warming. Correspondingly, a geographical spread of organisms associated with West and South-West Coast rocky shores and kelp beds has tended to be eastwards around Cape Point, rather than northwards along the West Coast as would have been expected with warming sea temperatures. Overall, significant progress has been made toward a better understanding of the combined pressures on each ecosystem and knowledge gaps have been identified, thus helping to direct future research themes.","container-title":"African Journal of Marine Science","DOI":"10.2989/1814232X.2013.830147","ISSN":"1814-232X, 1814-2338","issue":"3","journalAbbreviation":"African Journal of Marine Science","language":"en","page":"403-425","source":"DOI.org (Crossref)","title":"Human-mediated drivers of change — impacts on coastal ecosystems and marine biota of South Africa","URL":"https://www.tandfonline.com/doi/full/10.2989/1814232X.2013.830147","volume":"35","author":[{"family":"Mead","given":"A"},{"family":"Griffiths","given":"C L"},{"family":"Branch","given":"G M"},{"family":"McQuaid","given":"C D"},{"family":"Blamey","given":"L K"},{"family":"Bolton","given":"J J"},{"family":"Anderson","given":"R J"},{"family":"Dufois","given":"F"},{"family":"Rouault","given":"M"},{"family":"Froneman","given":"P W"},{"family":"Whitfield","given":"A K"},{"family":"Harris","given":"L R"},{"family":"Nel","given":"R"},{"family":"Pillay","given":"D"},{"family":"Adams","given":"J B"}],"accessed":{"date-parts":[["2021",8,6]]},"issued":{"date-parts":[["2013",9]]}},"label":"page"}],"schema":"https://github.com/citation-style-language/schema/raw/master/csl-citation.json"} </w:instrText>
      </w:r>
      <w:r w:rsidRPr="00DA249F">
        <w:rPr>
          <w:lang w:val="en-GB"/>
        </w:rPr>
        <w:fldChar w:fldCharType="separate"/>
      </w:r>
      <w:r w:rsidR="00DF5977" w:rsidRPr="00DA249F">
        <w:rPr>
          <w:lang w:val="en-GB"/>
        </w:rPr>
        <w:t>(Mead et al., 2013</w:t>
      </w:r>
      <w:r w:rsidRPr="00DA249F">
        <w:rPr>
          <w:lang w:val="en-GB"/>
        </w:rPr>
        <w:fldChar w:fldCharType="end"/>
      </w:r>
      <w:r w:rsidR="00DF5977" w:rsidRPr="00DA249F">
        <w:rPr>
          <w:lang w:val="en-GB"/>
        </w:rPr>
        <w:t xml:space="preserve">, </w:t>
      </w:r>
      <w:r w:rsidR="00DF5977" w:rsidRPr="008C24B4">
        <w:rPr>
          <w:b/>
          <w:iCs/>
          <w:lang w:val="en-GB"/>
        </w:rPr>
        <w:t>section 3.3.3.1</w:t>
      </w:r>
      <w:r w:rsidR="00DF5977" w:rsidRPr="00DA249F">
        <w:rPr>
          <w:lang w:val="en-GB"/>
        </w:rPr>
        <w:t>)</w:t>
      </w:r>
      <w:r w:rsidRPr="00DA249F">
        <w:rPr>
          <w:lang w:val="en-GB"/>
        </w:rPr>
        <w:t xml:space="preserve">. In the Mediterranean Sea, high levels of </w:t>
      </w:r>
      <w:r w:rsidR="00CA62D5" w:rsidRPr="00DA249F">
        <w:rPr>
          <w:lang w:val="en-GB"/>
        </w:rPr>
        <w:t>urbanization</w:t>
      </w:r>
      <w:r w:rsidRPr="00DA249F">
        <w:rPr>
          <w:lang w:val="en-GB"/>
        </w:rPr>
        <w:t xml:space="preserve"> are also linked with </w:t>
      </w:r>
      <w:r w:rsidR="00C36025" w:rsidRPr="00DA249F">
        <w:rPr>
          <w:lang w:val="en-GB"/>
        </w:rPr>
        <w:t>the degradation</w:t>
      </w:r>
      <w:r w:rsidRPr="00DA249F">
        <w:rPr>
          <w:lang w:val="en-GB"/>
        </w:rPr>
        <w:t xml:space="preserve"> of corallig</w:t>
      </w:r>
      <w:r w:rsidR="00413A13" w:rsidRPr="00DA249F">
        <w:rPr>
          <w:lang w:val="en-GB"/>
        </w:rPr>
        <w:t>e</w:t>
      </w:r>
      <w:r w:rsidRPr="00DA249F">
        <w:rPr>
          <w:lang w:val="en-GB"/>
        </w:rPr>
        <w:t xml:space="preserve">nous assemblages, compared to sites within natural protected areas and areas with lower rates of </w:t>
      </w:r>
      <w:r w:rsidR="00CA62D5" w:rsidRPr="00DA249F">
        <w:rPr>
          <w:lang w:val="en-GB"/>
        </w:rPr>
        <w:t>urbanization</w:t>
      </w:r>
      <w:r w:rsidRPr="00DA249F">
        <w:rPr>
          <w:lang w:val="en-GB"/>
        </w:rPr>
        <w:t xml:space="preserve">. This difference is, at least partially, associated with the increase of </w:t>
      </w:r>
      <w:r w:rsidR="00277470" w:rsidRPr="00DA249F">
        <w:rPr>
          <w:lang w:val="en-GB"/>
        </w:rPr>
        <w:t xml:space="preserve">opportunistic </w:t>
      </w:r>
      <w:r w:rsidR="00DE41A4" w:rsidRPr="00DA249F">
        <w:rPr>
          <w:lang w:val="en-GB"/>
        </w:rPr>
        <w:t xml:space="preserve">alien </w:t>
      </w:r>
      <w:r w:rsidRPr="00DA249F">
        <w:rPr>
          <w:lang w:val="en-GB"/>
        </w:rPr>
        <w:t>species (</w:t>
      </w:r>
      <w:r w:rsidR="00930403" w:rsidRPr="00DA249F">
        <w:rPr>
          <w:lang w:val="en-GB"/>
        </w:rPr>
        <w:t xml:space="preserve">e.g., </w:t>
      </w:r>
      <w:r w:rsidRPr="00DA249F">
        <w:rPr>
          <w:lang w:val="en-GB"/>
        </w:rPr>
        <w:t xml:space="preserve">algal species), which are more tolerant to urban-related pollution </w:t>
      </w:r>
      <w:r w:rsidRPr="00DA249F">
        <w:rPr>
          <w:lang w:val="en-GB"/>
        </w:rPr>
        <w:fldChar w:fldCharType="begin"/>
      </w:r>
      <w:r w:rsidR="00331A79">
        <w:rPr>
          <w:lang w:val="en-GB"/>
        </w:rPr>
        <w:instrText xml:space="preserve"> ADDIN ZOTERO_ITEM CSL_CITATION {"citationID":"oRkBt2UY","properties":{"formattedCitation":"(Montefalcone et al., 2017)","plainCitation":"(Montefalcone et al., 2017)","noteIndex":0},"citationItems":[{"id":30003,"uris":["http://zotero.org/groups/2352922/items/MAT2T72J"],"itemData":{"id":30003,"type":"article-journal","abstract":"Marine coastal ecosystems are affected by a vast array of human-induced disturbances and stresses, which are often capable of overwhelming the effects of natural changes. Despite the conceptual and practical difﬁculty in differentiating between disturbance and stress, which are often used interchangeably, the two terms bear different ecological meanings. Both are external agents, but the former causes mortality or physical damage (subtraction of biomass), whereas the latter causes physiological alteration (reduction in productivity). Sensitivity of marine organisms may thus have a dual connotation, being inﬂuenced in different ways by disturbance and by stress following major environmental change. Coralligenous assemblages, which shape unique biogenic formations in the Mediterranean Sea, are considered highly sensitive to change. In this paper, we propose a method to differentiate between disturbance and stress to assess the ecological status of the coralligenous assemblages. Disturbance sensitivity level (DSL) and stress sensitivity level (SSL) of the sessile organisms thriving in the coralligenous assemblages were combined into the integrated sensitivity level of coralligenous assemblages (ISLA) index. Changes in the coralligenous status were assessed in space, along a gradient of stress (humaninduced pressures) at several sites of the western Mediterranean, and in time, from a long-term series (1961–2008) at Mesco Reef (Ligurian Sea) that encompasses a mass mortality event in the 1990s. The quality of the coralligenous assemblages was lower in highly urbanised sites than that in sites in both marine protected areas and areas with low levels of urbanisation; moreover, the quality of the assemblages at Mesco Reef decreased during the last 50 years. Reduction in quality was mainly due to the increase in stress-tolerant and/ or opportunist species (e.g. algal turfs, hydroids and encrusting sponges), the disappearance of the most sensitive macroalgae (e.g. Udoteaceae and erect Rhodophyta) and macro-invertebrates (e.g. Savalia savaglia, Alcyonium coralloides and Smittina cervicornis), and the appearance of invasive alien algal species. Although the speciﬁc indices of SSL or DSL well illustrated the changes in the spatial or temporal datasets, respectively, their integration in the ISLA index was more effective in measuring the change experienced by the coralligenous assemblages in both space and time.","container-title":"Marine Pollution Bulletin","DOI":"10.1016/j.marpolbul.2017.01.072","ISSN":"0025326X","issue":"1-2","journalAbbreviation":"Marine Pollution Bulletin","language":"en","page":"229-238","source":"DOI.org (Crossref)","title":"The two facets of species sensitivity: Stress and disturbance on coralligenous assemblages in space and time","title-short":"The two facets of species sensitivity","URL":"https://linkinghub.elsevier.com/retrieve/pii/S0025326X17301029","volume":"117","author":[{"family":"Montefalcone","given":"Monica"},{"family":"Morri","given":"Carla"},{"family":"Bianchi","given":"Carlo Nike"},{"family":"Bavestrello","given":"Giorgio"},{"family":"Piazzi","given":"Luigi"}],"accessed":{"date-parts":[["2021",8,12]]},"issued":{"date-parts":[["2017",4]]}},"label":"page"}],"schema":"https://github.com/citation-style-language/schema/raw/master/csl-citation.json"} </w:instrText>
      </w:r>
      <w:r w:rsidRPr="00DA249F">
        <w:rPr>
          <w:lang w:val="en-GB"/>
        </w:rPr>
        <w:fldChar w:fldCharType="separate"/>
      </w:r>
      <w:r w:rsidR="00144D96" w:rsidRPr="00144D96">
        <w:t>(Montefalcone et al., 2017)</w:t>
      </w:r>
      <w:r w:rsidRPr="00DA249F">
        <w:rPr>
          <w:lang w:val="en-GB"/>
        </w:rPr>
        <w:fldChar w:fldCharType="end"/>
      </w:r>
      <w:r w:rsidRPr="00DA249F">
        <w:rPr>
          <w:lang w:val="en-GB"/>
        </w:rPr>
        <w:t xml:space="preserve">. In South East Australia, the heavily </w:t>
      </w:r>
      <w:r w:rsidRPr="00DA249F">
        <w:rPr>
          <w:lang w:val="en-GB"/>
        </w:rPr>
        <w:lastRenderedPageBreak/>
        <w:t>urbani</w:t>
      </w:r>
      <w:r w:rsidR="00477B69" w:rsidRPr="00DA249F">
        <w:rPr>
          <w:lang w:val="en-GB"/>
        </w:rPr>
        <w:t>z</w:t>
      </w:r>
      <w:r w:rsidRPr="00DA249F">
        <w:rPr>
          <w:lang w:val="en-GB"/>
        </w:rPr>
        <w:t>ed Port Jackson Estuary is one of the world’s</w:t>
      </w:r>
      <w:r w:rsidR="002621D9" w:rsidRPr="00DA249F">
        <w:rPr>
          <w:lang w:val="en-GB"/>
        </w:rPr>
        <w:t xml:space="preserve"> </w:t>
      </w:r>
      <w:r w:rsidRPr="00DA249F">
        <w:rPr>
          <w:lang w:val="en-GB"/>
        </w:rPr>
        <w:t>waterways most polluted by heavy metals and organic compounds as a result of antifouling paint</w:t>
      </w:r>
      <w:r w:rsidR="00FE0823" w:rsidRPr="00DA249F">
        <w:rPr>
          <w:lang w:val="en-GB"/>
        </w:rPr>
        <w:t>, and this</w:t>
      </w:r>
      <w:r w:rsidRPr="00DA249F">
        <w:rPr>
          <w:lang w:val="en-GB"/>
        </w:rPr>
        <w:t xml:space="preserve"> threaten</w:t>
      </w:r>
      <w:r w:rsidR="00FE0823" w:rsidRPr="00DA249F">
        <w:rPr>
          <w:lang w:val="en-GB"/>
        </w:rPr>
        <w:t>s</w:t>
      </w:r>
      <w:r w:rsidRPr="00DA249F">
        <w:rPr>
          <w:lang w:val="en-GB"/>
        </w:rPr>
        <w:t xml:space="preserve"> the native </w:t>
      </w:r>
      <w:r w:rsidR="00890930" w:rsidRPr="00DA249F">
        <w:rPr>
          <w:i/>
          <w:lang w:val="en-GB"/>
        </w:rPr>
        <w:t>Saccostrea glomerata</w:t>
      </w:r>
      <w:r w:rsidR="00890930" w:rsidRPr="00DA249F">
        <w:rPr>
          <w:lang w:val="en-GB"/>
        </w:rPr>
        <w:t xml:space="preserve"> </w:t>
      </w:r>
      <w:r w:rsidRPr="00DA249F">
        <w:rPr>
          <w:lang w:val="en-GB"/>
        </w:rPr>
        <w:t>(</w:t>
      </w:r>
      <w:r w:rsidR="00890930" w:rsidRPr="00DA249F">
        <w:rPr>
          <w:lang w:val="en-GB"/>
        </w:rPr>
        <w:t>Sydney rock oyster</w:t>
      </w:r>
      <w:r w:rsidRPr="00DA249F">
        <w:rPr>
          <w:lang w:val="en-GB"/>
        </w:rPr>
        <w:t>), giv</w:t>
      </w:r>
      <w:r w:rsidR="00FE0823" w:rsidRPr="00DA249F">
        <w:rPr>
          <w:lang w:val="en-GB"/>
        </w:rPr>
        <w:t>ing</w:t>
      </w:r>
      <w:r w:rsidRPr="00DA249F">
        <w:rPr>
          <w:lang w:val="en-GB"/>
        </w:rPr>
        <w:t xml:space="preserve"> the </w:t>
      </w:r>
      <w:r w:rsidR="00FE0823" w:rsidRPr="00DA249F">
        <w:rPr>
          <w:lang w:val="en-GB"/>
        </w:rPr>
        <w:t xml:space="preserve">more tolerant </w:t>
      </w:r>
      <w:r w:rsidRPr="00DA249F">
        <w:rPr>
          <w:lang w:val="en-GB"/>
        </w:rPr>
        <w:t xml:space="preserve">invasive </w:t>
      </w:r>
      <w:r w:rsidR="006509C9" w:rsidRPr="00DA249F">
        <w:rPr>
          <w:lang w:val="en-GB"/>
        </w:rPr>
        <w:t xml:space="preserve">alien </w:t>
      </w:r>
      <w:r w:rsidR="009423CD" w:rsidRPr="00DA249F">
        <w:rPr>
          <w:i/>
          <w:iCs/>
          <w:lang w:val="en-GB"/>
        </w:rPr>
        <w:t>Magallana</w:t>
      </w:r>
      <w:r w:rsidR="00890930" w:rsidRPr="00DA249F">
        <w:rPr>
          <w:i/>
          <w:iCs/>
          <w:lang w:val="en-GB"/>
        </w:rPr>
        <w:t xml:space="preserve"> gigas</w:t>
      </w:r>
      <w:r w:rsidR="00890930" w:rsidRPr="00DA249F">
        <w:rPr>
          <w:lang w:val="en-GB"/>
        </w:rPr>
        <w:t xml:space="preserve"> </w:t>
      </w:r>
      <w:r w:rsidRPr="00DA249F">
        <w:rPr>
          <w:lang w:val="en-GB"/>
        </w:rPr>
        <w:t>(</w:t>
      </w:r>
      <w:r w:rsidR="00890930" w:rsidRPr="00DA249F">
        <w:rPr>
          <w:lang w:val="en-GB"/>
        </w:rPr>
        <w:t>Pacific oyster</w:t>
      </w:r>
      <w:r w:rsidRPr="00DA249F">
        <w:rPr>
          <w:lang w:val="en-GB"/>
        </w:rPr>
        <w:t xml:space="preserve">) a competitive advantage, </w:t>
      </w:r>
      <w:r w:rsidR="00F13618" w:rsidRPr="00DA249F">
        <w:rPr>
          <w:lang w:val="en-GB"/>
        </w:rPr>
        <w:t xml:space="preserve">and </w:t>
      </w:r>
      <w:r w:rsidRPr="00DA249F">
        <w:rPr>
          <w:lang w:val="en-GB"/>
        </w:rPr>
        <w:t>the invasive oyster</w:t>
      </w:r>
      <w:r w:rsidR="00D74900" w:rsidRPr="00DA249F">
        <w:rPr>
          <w:lang w:val="en-GB"/>
        </w:rPr>
        <w:t>, w</w:t>
      </w:r>
      <w:r w:rsidR="2810C412" w:rsidRPr="00DA249F">
        <w:rPr>
          <w:lang w:val="en-GB"/>
        </w:rPr>
        <w:t>h</w:t>
      </w:r>
      <w:r w:rsidR="00D74900" w:rsidRPr="00DA249F">
        <w:rPr>
          <w:lang w:val="en-GB"/>
        </w:rPr>
        <w:t>ich also</w:t>
      </w:r>
      <w:r w:rsidRPr="00DA249F">
        <w:rPr>
          <w:lang w:val="en-GB"/>
        </w:rPr>
        <w:t xml:space="preserve"> takes advantage of artificial substrates to establish</w:t>
      </w:r>
      <w:r w:rsidR="00D74900" w:rsidRPr="00DA249F">
        <w:rPr>
          <w:lang w:val="en-GB"/>
        </w:rPr>
        <w:t xml:space="preserve"> has become </w:t>
      </w:r>
      <w:r w:rsidRPr="00DA249F">
        <w:rPr>
          <w:lang w:val="en-GB"/>
        </w:rPr>
        <w:t xml:space="preserve">more abundant </w:t>
      </w:r>
      <w:r w:rsidRPr="00DA249F">
        <w:rPr>
          <w:lang w:val="en-GB"/>
        </w:rPr>
        <w:fldChar w:fldCharType="begin"/>
      </w:r>
      <w:r w:rsidR="00331A79">
        <w:rPr>
          <w:lang w:val="en-GB"/>
        </w:rPr>
        <w:instrText xml:space="preserve"> ADDIN ZOTERO_ITEM CSL_CITATION {"citationID":"sa3QTeqM","properties":{"formattedCitation":"(Scanes et al., 2016)","plainCitation":"(Scanes et al., 2016)","noteIndex":0},"citationItems":[{"id":30005,"uris":["http://zotero.org/groups/2352922/items/5FUKV4V3"],"itemData":{"id":30005,"type":"article-journal","abstract":"Human activities have modified the chemical, physical and biological attributes of many of the world’s estuaries. Natural foreshores have been replaced by artificial habitats and non-indigenous species have been introduced by shipping, aquaculture, and as ornamental pets. In south east Australia, the native Sydney rock oyster Saccostrea glomerata is threatened by pollution, disease and competition from the invasive Pacific oyster Crassostrea gigas. This study assessed the abundance (as number m-2), size, and distribution of both invasive and native oyster species at 32 sites in the heavily urbanised Port Jackson Estuary, Australia. We tested the hypotheses that there would be: (1) a difference in the proportion of C. gigas and S. glomerata among locations; (2) a greater proportion of C. gigas on artificial compared to natural substrates; (3) a greater numbers of all oysters, with differing size characteristics, on artificial compared to natural substrates; and (4) that the abundance and size of all oysters would vary among locations along an environmental gradient. Environmental variables included distance from the estuary mouth and salinity. We found the abundance and size of all oysters differed among locations; smaller oysters occurred at greater abundances near the mouth of the estuary. Abundance was also higher on artificial, than on natural substrate. Habitat type, however, had no effect on which species of oyster was present. In contrast, distance from the estuary mouth strongly influenced the relative proportion of the two species. The invasive C. gigas comprised 16 % of the oysters sampled, and up to 85 % at some of the upper estuary sites. As predicted, C. gigas was more abundant at locations in the bay ends and upper channel of the estuary; it was also larger in size than the native S. glomerata. This is the first assessment of oyster distribution in Port Jackson and provides a solid base for monitoring changes in the estuarine distribution of a globally invasive pest.","container-title":"Aquatic Invasions","DOI":"10.3391/ai.2016.11.4.07","ISSN":"18185487","issue":"4","journalAbbreviation":"AI","language":"en","page":"425-436","source":"DOI.org (Crossref)","title":"Quantifying abundance and distribution of native and invasive oysters in an urbanised estuary","URL":"http://www.aquaticinvasions.net/2016/issue4.html","volume":"11","author":[{"family":"Scanes","given":"Elliot"},{"family":"Johnston","given":"Emma"},{"family":"Cole","given":"Victoria"},{"family":"O’Connor","given":"Wayne"},{"family":"Parker","given":"Laura"},{"family":"Ross","given":"Pauline"}],"accessed":{"date-parts":[["2021",8,12]]},"issued":{"date-parts":[["2016"]]}},"label":"page"}],"schema":"https://github.com/citation-style-language/schema/raw/master/csl-citation.json"} </w:instrText>
      </w:r>
      <w:r w:rsidRPr="00DA249F">
        <w:rPr>
          <w:lang w:val="en-GB"/>
        </w:rPr>
        <w:fldChar w:fldCharType="separate"/>
      </w:r>
      <w:r w:rsidR="00144D96" w:rsidRPr="00144D96">
        <w:t>(Scanes et al., 2016)</w:t>
      </w:r>
      <w:r w:rsidRPr="00DA249F">
        <w:rPr>
          <w:lang w:val="en-GB"/>
        </w:rPr>
        <w:fldChar w:fldCharType="end"/>
      </w:r>
      <w:r w:rsidRPr="00DA249F">
        <w:rPr>
          <w:lang w:val="en-GB"/>
        </w:rPr>
        <w:t>. In coastal urbani</w:t>
      </w:r>
      <w:r w:rsidR="00477B69" w:rsidRPr="00DA249F">
        <w:rPr>
          <w:lang w:val="en-GB"/>
        </w:rPr>
        <w:t>z</w:t>
      </w:r>
      <w:r w:rsidRPr="00DA249F">
        <w:rPr>
          <w:lang w:val="en-GB"/>
        </w:rPr>
        <w:t>ed areas, copper</w:t>
      </w:r>
      <w:r w:rsidR="00AC7363" w:rsidRPr="00DA249F">
        <w:rPr>
          <w:lang w:val="en-GB"/>
        </w:rPr>
        <w:t>, which</w:t>
      </w:r>
      <w:r w:rsidRPr="00DA249F">
        <w:rPr>
          <w:lang w:val="en-GB"/>
        </w:rPr>
        <w:t xml:space="preserve"> is one of the primary active ingredients in antifouling hull paints, </w:t>
      </w:r>
      <w:r w:rsidR="00AC7363" w:rsidRPr="00DA249F">
        <w:rPr>
          <w:lang w:val="en-GB"/>
        </w:rPr>
        <w:t>has become</w:t>
      </w:r>
      <w:r w:rsidR="00901899" w:rsidRPr="00DA249F">
        <w:rPr>
          <w:lang w:val="en-GB"/>
        </w:rPr>
        <w:t xml:space="preserve"> a </w:t>
      </w:r>
      <w:r w:rsidR="00AC7363" w:rsidRPr="00DA249F">
        <w:rPr>
          <w:lang w:val="en-GB"/>
        </w:rPr>
        <w:t xml:space="preserve">common pollutant </w:t>
      </w:r>
      <w:r w:rsidR="00901899" w:rsidRPr="00DA249F">
        <w:rPr>
          <w:lang w:val="en-GB"/>
        </w:rPr>
        <w:t>that increases</w:t>
      </w:r>
      <w:r w:rsidR="00AC7363" w:rsidRPr="00DA249F">
        <w:rPr>
          <w:lang w:val="en-GB"/>
        </w:rPr>
        <w:t xml:space="preserve"> </w:t>
      </w:r>
      <w:r w:rsidR="00D647A2" w:rsidRPr="00DA249F">
        <w:rPr>
          <w:lang w:val="en-GB"/>
        </w:rPr>
        <w:t xml:space="preserve">in concentration </w:t>
      </w:r>
      <w:r w:rsidRPr="00DA249F">
        <w:rPr>
          <w:lang w:val="en-GB"/>
        </w:rPr>
        <w:t>as vessel traffic increase</w:t>
      </w:r>
      <w:r w:rsidR="007B2BC4">
        <w:rPr>
          <w:lang w:val="en-GB"/>
        </w:rPr>
        <w:t>s</w:t>
      </w:r>
      <w:r w:rsidRPr="00DA249F">
        <w:rPr>
          <w:lang w:val="en-GB"/>
        </w:rPr>
        <w:t>. A study carried out in Massachusetts proved that the invasive</w:t>
      </w:r>
      <w:r w:rsidR="006509C9" w:rsidRPr="00DA249F">
        <w:rPr>
          <w:lang w:val="en-GB"/>
        </w:rPr>
        <w:t xml:space="preserve"> alien</w:t>
      </w:r>
      <w:r w:rsidRPr="00DA249F">
        <w:rPr>
          <w:lang w:val="en-GB"/>
        </w:rPr>
        <w:t xml:space="preserve"> </w:t>
      </w:r>
      <w:r w:rsidRPr="00DA249F">
        <w:rPr>
          <w:i/>
          <w:iCs/>
          <w:lang w:val="en-GB"/>
        </w:rPr>
        <w:t>Botrylloides violaceus</w:t>
      </w:r>
      <w:r w:rsidRPr="00DA249F">
        <w:rPr>
          <w:lang w:val="en-GB"/>
        </w:rPr>
        <w:t xml:space="preserve"> (</w:t>
      </w:r>
      <w:r w:rsidR="00764468" w:rsidRPr="00DA249F">
        <w:rPr>
          <w:lang w:val="en-GB"/>
        </w:rPr>
        <w:t>violet</w:t>
      </w:r>
      <w:r w:rsidRPr="00DA249F">
        <w:rPr>
          <w:lang w:val="en-GB"/>
        </w:rPr>
        <w:t xml:space="preserve"> tunicate) poses a competiti</w:t>
      </w:r>
      <w:r w:rsidR="002B6D48" w:rsidRPr="00DA249F">
        <w:rPr>
          <w:lang w:val="en-GB"/>
        </w:rPr>
        <w:t>ve</w:t>
      </w:r>
      <w:r w:rsidRPr="00DA249F">
        <w:rPr>
          <w:lang w:val="en-GB"/>
        </w:rPr>
        <w:t xml:space="preserve"> threat to the native </w:t>
      </w:r>
      <w:r w:rsidRPr="00DA249F">
        <w:rPr>
          <w:i/>
          <w:iCs/>
          <w:lang w:val="en-GB"/>
        </w:rPr>
        <w:t>Aplidium glabrum</w:t>
      </w:r>
      <w:r w:rsidRPr="00DA249F">
        <w:rPr>
          <w:lang w:val="en-GB"/>
        </w:rPr>
        <w:t xml:space="preserve"> (tunicate) </w:t>
      </w:r>
      <w:r w:rsidR="00F13618" w:rsidRPr="00DA249F">
        <w:rPr>
          <w:lang w:val="en-GB"/>
        </w:rPr>
        <w:t xml:space="preserve">with regard to </w:t>
      </w:r>
      <w:r w:rsidRPr="00DA249F">
        <w:rPr>
          <w:lang w:val="en-GB"/>
        </w:rPr>
        <w:t xml:space="preserve">surface area growth when copper </w:t>
      </w:r>
      <w:r w:rsidR="00D647A2" w:rsidRPr="00DA249F">
        <w:rPr>
          <w:lang w:val="en-GB"/>
        </w:rPr>
        <w:t xml:space="preserve">pollution </w:t>
      </w:r>
      <w:r w:rsidRPr="00DA249F">
        <w:rPr>
          <w:lang w:val="en-GB"/>
        </w:rPr>
        <w:t xml:space="preserve">is </w:t>
      </w:r>
      <w:r w:rsidR="00D647A2" w:rsidRPr="00DA249F">
        <w:rPr>
          <w:lang w:val="en-GB"/>
        </w:rPr>
        <w:t>present</w:t>
      </w:r>
      <w:r w:rsidRPr="00DA249F">
        <w:rPr>
          <w:lang w:val="en-GB"/>
        </w:rPr>
        <w:t xml:space="preserve">. </w:t>
      </w:r>
      <w:r w:rsidR="004B71C6" w:rsidRPr="00DA249F">
        <w:rPr>
          <w:i/>
          <w:iCs/>
          <w:lang w:val="en-GB"/>
        </w:rPr>
        <w:t>Botrylloides</w:t>
      </w:r>
      <w:r w:rsidRPr="00DA249F">
        <w:rPr>
          <w:i/>
          <w:iCs/>
          <w:lang w:val="en-GB"/>
        </w:rPr>
        <w:t xml:space="preserve"> violaceus</w:t>
      </w:r>
      <w:r w:rsidRPr="00DA249F">
        <w:rPr>
          <w:lang w:val="en-GB"/>
        </w:rPr>
        <w:t xml:space="preserve"> proved to be more tolerant to copper pollution </w:t>
      </w:r>
      <w:r w:rsidRPr="00DA249F">
        <w:rPr>
          <w:lang w:val="en-GB"/>
        </w:rPr>
        <w:fldChar w:fldCharType="begin"/>
      </w:r>
      <w:r w:rsidR="00331A79">
        <w:rPr>
          <w:lang w:val="en-GB"/>
        </w:rPr>
        <w:instrText xml:space="preserve"> ADDIN ZOTERO_ITEM CSL_CITATION {"citationID":"7vHBWDYk","properties":{"formattedCitation":"(Osborne &amp; Poynton, 2019)","plainCitation":"(Osborne &amp; Poynton, 2019)","noteIndex":0},"citationItems":[{"id":30496,"uris":["http://zotero.org/groups/2352922/items/L5S9GBS6"],"itemData":{"id":30496,"type":"article-journal","abstract":"Invasive species dominate and often outcompete native species in marine harbors. The abundance of introductions due to shipping activity combined with artificial substrates and poor water quality helps to facilitate invasion success in these areas. Colonial ascidians, in particular, have broad environmental tolerances that allow them to invade novel ecosystems including urban harbors. While the effects of invasive species and poor water quality on native species have been explored, the relative influence and how these pressures may interact to degrade biodiversity is not well characterized. The purpose of this study was therefore to understand the role of interspecific competition and pollution on the native Aplidium glabrum and the invasive Botrylloides violaceus. Colony surface area has been previously identified as a sensitive toxicity endpoint and was measured weekly to assess impacts both separately and together at 0, 1, 10, 20, and 40 µg/L copper concentrations. A. glabrum was significantly impacted at 1 µg/L in the presence of interspecific competition and at 10 µg/L with no competition; however, the copper EC50 revealed increased sensitivity in the presence of B. violaceus (11.3 µg/L versus 6.9 µg/L while in competition). Conversely, significant impacts to B. violaceus growth did not occur until much higher copper concentrations with an EC50 of 37.1 µg/L while alone and 31.7 µg/L when in competition. Interspecific competition was found to significantly impact A. glabrum surface area growth at 1, 10, and 40 µg/L, while there was no significant effect on B. violaceus at any of the concentrations tested. Finally, an interaction effect was found between copper pollution and competition status only for A. glabrum. The results of this study support the hypothesis that invasive species are more tolerant of pollution while also revealing the interactive effects of pollution exposure and interspecific competition.","container-title":"Management of Biological Invasions","DOI":"10.3391/mbi.2019.10.4.05","ISSN":"19898649","issue":"4","journalAbbreviation":"MBI","language":"en","page":"641-656","source":"DOI.org (Crossref)","title":"Copper pollution enhances the competitive advantage of invasive ascidians","URL":"https://www.reabic.net/journals/mbi/2019/Issue4.aspx","volume":"10","author":[{"family":"Osborne","given":"Kristin"},{"family":"Poynton","given":"Helen"}],"accessed":{"date-parts":[["2021",8,27]]},"issued":{"date-parts":[["2019"]]}},"label":"page"}],"schema":"https://github.com/citation-style-language/schema/raw/master/csl-citation.json"} </w:instrText>
      </w:r>
      <w:r w:rsidRPr="00DA249F">
        <w:rPr>
          <w:lang w:val="en-GB"/>
        </w:rPr>
        <w:fldChar w:fldCharType="separate"/>
      </w:r>
      <w:r w:rsidR="00144D96" w:rsidRPr="00144D96">
        <w:t>(Osborne &amp; Poynton, 2019)</w:t>
      </w:r>
      <w:r w:rsidRPr="00DA249F">
        <w:rPr>
          <w:lang w:val="en-GB"/>
        </w:rPr>
        <w:fldChar w:fldCharType="end"/>
      </w:r>
      <w:r w:rsidRPr="00DA249F">
        <w:rPr>
          <w:lang w:val="en-GB"/>
        </w:rPr>
        <w:t xml:space="preserve">. In Tasmania, expanding </w:t>
      </w:r>
      <w:r w:rsidR="00CA62D5" w:rsidRPr="00DA249F">
        <w:rPr>
          <w:lang w:val="en-GB"/>
        </w:rPr>
        <w:t>urbanization</w:t>
      </w:r>
      <w:r w:rsidRPr="00DA249F">
        <w:rPr>
          <w:lang w:val="en-GB"/>
        </w:rPr>
        <w:t xml:space="preserve"> close to estuaries has </w:t>
      </w:r>
      <w:r w:rsidR="006509C9" w:rsidRPr="00DA249F">
        <w:rPr>
          <w:lang w:val="en-GB"/>
        </w:rPr>
        <w:t>resulted in an</w:t>
      </w:r>
      <w:r w:rsidRPr="00DA249F">
        <w:rPr>
          <w:lang w:val="en-GB"/>
        </w:rPr>
        <w:t xml:space="preserve"> increase in pollutants from anthropogenic sources (e.g., marinas, storm-water drains, sewage outfalls and fish farms) that affect nearby benthic assemblages. </w:t>
      </w:r>
      <w:r w:rsidR="00CF3EC5" w:rsidRPr="00DA249F">
        <w:rPr>
          <w:lang w:val="en-GB"/>
        </w:rPr>
        <w:t>A</w:t>
      </w:r>
      <w:r w:rsidR="00DE41A4" w:rsidRPr="00DA249F">
        <w:rPr>
          <w:lang w:val="en-GB"/>
        </w:rPr>
        <w:t>lien</w:t>
      </w:r>
      <w:r w:rsidRPr="00DA249F">
        <w:rPr>
          <w:lang w:val="en-GB"/>
        </w:rPr>
        <w:t xml:space="preserve"> species were more abundant in sites near </w:t>
      </w:r>
      <w:r w:rsidR="00D143EC" w:rsidRPr="00DA249F">
        <w:rPr>
          <w:lang w:val="en-GB"/>
        </w:rPr>
        <w:t>marinas</w:t>
      </w:r>
      <w:r w:rsidRPr="00DA249F">
        <w:rPr>
          <w:lang w:val="en-GB"/>
        </w:rPr>
        <w:t xml:space="preserve"> and sewage outfalls </w:t>
      </w:r>
      <w:r w:rsidRPr="00DA249F">
        <w:rPr>
          <w:lang w:val="en-GB"/>
        </w:rPr>
        <w:fldChar w:fldCharType="begin"/>
      </w:r>
      <w:r w:rsidR="00331A79">
        <w:rPr>
          <w:lang w:val="en-GB"/>
        </w:rPr>
        <w:instrText xml:space="preserve"> ADDIN ZOTERO_ITEM CSL_CITATION {"citationID":"vDU2WIG9","properties":{"formattedCitation":"(Fowles et al., 2018)","plainCitation":"(Fowles et al., 2018)","noteIndex":0},"citationItems":[{"id":30494,"uris":["http://zotero.org/groups/2352922/items/8Z3Q4JMT"],"itemData":{"id":30494,"type":"article-journal","abstract":"Expanding urbanization in estuaries and the increase in pollutants from anthropogenic point sources can affect nearby benthic assemblages. Using a paired impact-control design, we assessed the effects of pollution from anthropogenic point sources (marinas, storm-water drains, sewage outfalls and ﬁsh farms) on algal and sessile invertebrate recruits to pavers placed in an industrialized Tasmanian estuary. Species number and cover of native recruits were lower after 12 months at sites outside marinas relative to paired control sites, whereas non-native and cryptogenic recruits were signiﬁcantly higher outside marinas and near sewage outfalls. The cover of fast-growing, opportunistic species was signiﬁcantly higher at sites near ﬁsh farms and sewage outfalls, and the cover of native species was also greater at sites near sewage outfalls relative to the paired control sites. Our results suggest an increased management focus on controlling pollution from marinas and sewage outfalls is warranted to limit the spread of non-native and cryptogenic species.","container-title":"Frontiers in Marine Science","DOI":"10.3389/fmars.2018.00417","ISSN":"2296-7745","journalAbbreviation":"Front. Mar. Sci.","language":"en","page":"417","source":"DOI.org (Crossref)","title":"Effects of Pollution From Anthropogenic Point Sources on the Recruitment of Sessile Estuarine Reef Biota","URL":"https://www.frontiersin.org/article/10.3389/fmars.2018.00417/full","volume":"5","author":[{"family":"Fowles","given":"Amelia E."},{"family":"Edgar","given":"Graham J."},{"family":"Stuart-Smith","given":"Rick D."},{"family":"Kirkpatrick","given":"James B."},{"family":"Hill","given":"Nicole"},{"family":"Thomson","given":"Russell J."},{"family":"Strain","given":"Elisabeth M. A."}],"accessed":{"date-parts":[["2021",8,27]]},"issued":{"date-parts":[["2018",11,9]]}},"label":"page"}],"schema":"https://github.com/citation-style-language/schema/raw/master/csl-citation.json"} </w:instrText>
      </w:r>
      <w:r w:rsidRPr="00DA249F">
        <w:rPr>
          <w:lang w:val="en-GB"/>
        </w:rPr>
        <w:fldChar w:fldCharType="separate"/>
      </w:r>
      <w:r w:rsidR="00144D96" w:rsidRPr="00144D96">
        <w:t>(Fowles et al., 2018)</w:t>
      </w:r>
      <w:r w:rsidRPr="00DA249F">
        <w:rPr>
          <w:lang w:val="en-GB"/>
        </w:rPr>
        <w:fldChar w:fldCharType="end"/>
      </w:r>
      <w:r w:rsidRPr="00DA249F">
        <w:rPr>
          <w:lang w:val="en-GB"/>
        </w:rPr>
        <w:t xml:space="preserve">. </w:t>
      </w:r>
      <w:r w:rsidR="003507E9" w:rsidRPr="00DA249F">
        <w:rPr>
          <w:lang w:val="en-GB"/>
        </w:rPr>
        <w:t>I</w:t>
      </w:r>
      <w:r w:rsidRPr="00DA249F">
        <w:rPr>
          <w:lang w:val="en-GB"/>
        </w:rPr>
        <w:t xml:space="preserve">ncreased focus on controlling pollution from marinas and sewage outfalls </w:t>
      </w:r>
      <w:r w:rsidR="003507E9" w:rsidRPr="00DA249F">
        <w:rPr>
          <w:lang w:val="en-GB"/>
        </w:rPr>
        <w:t xml:space="preserve">may </w:t>
      </w:r>
      <w:r w:rsidR="00001CFF" w:rsidRPr="00DA249F">
        <w:rPr>
          <w:lang w:val="en-GB"/>
        </w:rPr>
        <w:t xml:space="preserve">thus </w:t>
      </w:r>
      <w:r w:rsidRPr="00DA249F">
        <w:rPr>
          <w:lang w:val="en-GB"/>
        </w:rPr>
        <w:t xml:space="preserve">limit the spread of </w:t>
      </w:r>
      <w:r w:rsidR="00086A78" w:rsidRPr="00DA249F">
        <w:rPr>
          <w:lang w:val="en-GB"/>
        </w:rPr>
        <w:t>alien</w:t>
      </w:r>
      <w:r w:rsidRPr="00DA249F">
        <w:rPr>
          <w:lang w:val="en-GB"/>
        </w:rPr>
        <w:t xml:space="preserve"> species </w:t>
      </w:r>
      <w:r w:rsidRPr="00DA249F">
        <w:rPr>
          <w:lang w:val="en-GB"/>
        </w:rPr>
        <w:fldChar w:fldCharType="begin"/>
      </w:r>
      <w:r w:rsidR="00331A79">
        <w:rPr>
          <w:lang w:val="en-GB"/>
        </w:rPr>
        <w:instrText xml:space="preserve"> ADDIN ZOTERO_ITEM CSL_CITATION {"citationID":"Bg2LF17y","properties":{"formattedCitation":"(Fowles et al., 2018)","plainCitation":"(Fowles et al., 2018)","noteIndex":0},"citationItems":[{"id":30494,"uris":["http://zotero.org/groups/2352922/items/8Z3Q4JMT"],"itemData":{"id":30494,"type":"article-journal","abstract":"Expanding urbanization in estuaries and the increase in pollutants from anthropogenic point sources can affect nearby benthic assemblages. Using a paired impact-control design, we assessed the effects of pollution from anthropogenic point sources (marinas, storm-water drains, sewage outfalls and ﬁsh farms) on algal and sessile invertebrate recruits to pavers placed in an industrialized Tasmanian estuary. Species number and cover of native recruits were lower after 12 months at sites outside marinas relative to paired control sites, whereas non-native and cryptogenic recruits were signiﬁcantly higher outside marinas and near sewage outfalls. The cover of fast-growing, opportunistic species was signiﬁcantly higher at sites near ﬁsh farms and sewage outfalls, and the cover of native species was also greater at sites near sewage outfalls relative to the paired control sites. Our results suggest an increased management focus on controlling pollution from marinas and sewage outfalls is warranted to limit the spread of non-native and cryptogenic species.","container-title":"Frontiers in Marine Science","DOI":"10.3389/fmars.2018.00417","ISSN":"2296-7745","journalAbbreviation":"Front. Mar. Sci.","language":"en","page":"417","source":"DOI.org (Crossref)","title":"Effects of Pollution From Anthropogenic Point Sources on the Recruitment of Sessile Estuarine Reef Biota","URL":"https://www.frontiersin.org/article/10.3389/fmars.2018.00417/full","volume":"5","author":[{"family":"Fowles","given":"Amelia E."},{"family":"Edgar","given":"Graham J."},{"family":"Stuart-Smith","given":"Rick D."},{"family":"Kirkpatrick","given":"James B."},{"family":"Hill","given":"Nicole"},{"family":"Thomson","given":"Russell J."},{"family":"Strain","given":"Elisabeth M. A."}],"accessed":{"date-parts":[["2021",8,27]]},"issued":{"date-parts":[["2018",11,9]]}}}],"schema":"https://github.com/citation-style-language/schema/raw/master/csl-citation.json"} </w:instrText>
      </w:r>
      <w:r w:rsidRPr="00DA249F">
        <w:rPr>
          <w:lang w:val="en-GB"/>
        </w:rPr>
        <w:fldChar w:fldCharType="separate"/>
      </w:r>
      <w:r w:rsidR="00144D96" w:rsidRPr="00144D96">
        <w:t>(Fowles et al., 2018)</w:t>
      </w:r>
      <w:r w:rsidRPr="00DA249F">
        <w:rPr>
          <w:lang w:val="en-GB"/>
        </w:rPr>
        <w:fldChar w:fldCharType="end"/>
      </w:r>
      <w:r w:rsidRPr="00DA249F">
        <w:rPr>
          <w:lang w:val="en-GB"/>
        </w:rPr>
        <w:t xml:space="preserve">. </w:t>
      </w:r>
      <w:r w:rsidR="001E6FEF" w:rsidRPr="00DA249F">
        <w:rPr>
          <w:lang w:val="en-GB"/>
        </w:rPr>
        <w:t xml:space="preserve">In Lane Cove Valley, Australia, </w:t>
      </w:r>
      <w:r w:rsidR="00330A77" w:rsidRPr="00DA249F">
        <w:rPr>
          <w:lang w:val="en-GB"/>
        </w:rPr>
        <w:t>invasive alien plants</w:t>
      </w:r>
      <w:r w:rsidR="001E6FEF" w:rsidRPr="00DA249F">
        <w:rPr>
          <w:lang w:val="en-GB"/>
        </w:rPr>
        <w:t xml:space="preserve"> are linked to areas polluted </w:t>
      </w:r>
      <w:r w:rsidR="003D5938" w:rsidRPr="00DA249F">
        <w:rPr>
          <w:lang w:val="en-GB"/>
        </w:rPr>
        <w:t>by</w:t>
      </w:r>
      <w:r w:rsidR="001E6FEF" w:rsidRPr="00DA249F">
        <w:rPr>
          <w:lang w:val="en-GB"/>
        </w:rPr>
        <w:t xml:space="preserve"> phosphorus and heavy metals</w:t>
      </w:r>
      <w:r w:rsidR="00210A3E">
        <w:rPr>
          <w:lang w:val="en-GB"/>
        </w:rPr>
        <w:t>,</w:t>
      </w:r>
      <w:r w:rsidR="009762D2" w:rsidRPr="00DA249F">
        <w:rPr>
          <w:lang w:val="en-GB"/>
        </w:rPr>
        <w:t xml:space="preserve"> which are</w:t>
      </w:r>
      <w:r w:rsidR="001E6FEF" w:rsidRPr="00DA249F">
        <w:rPr>
          <w:lang w:val="en-GB"/>
        </w:rPr>
        <w:t xml:space="preserve"> pollutants linked with urbanization, </w:t>
      </w:r>
      <w:r w:rsidR="00EF6B69" w:rsidRPr="00DA249F">
        <w:rPr>
          <w:lang w:val="en-GB"/>
        </w:rPr>
        <w:t>and especially</w:t>
      </w:r>
      <w:r w:rsidR="00210A3E">
        <w:rPr>
          <w:lang w:val="en-GB"/>
        </w:rPr>
        <w:t xml:space="preserve"> to areas</w:t>
      </w:r>
      <w:r w:rsidR="001E6FEF" w:rsidRPr="00DA249F">
        <w:rPr>
          <w:lang w:val="en-GB"/>
        </w:rPr>
        <w:t xml:space="preserve"> where soil ha</w:t>
      </w:r>
      <w:r w:rsidR="00210A3E">
        <w:rPr>
          <w:lang w:val="en-GB"/>
        </w:rPr>
        <w:t>s</w:t>
      </w:r>
      <w:r w:rsidR="001E6FEF" w:rsidRPr="00DA249F">
        <w:rPr>
          <w:lang w:val="en-GB"/>
        </w:rPr>
        <w:t xml:space="preserve"> </w:t>
      </w:r>
      <w:r w:rsidR="002E1A39" w:rsidRPr="00DA249F">
        <w:rPr>
          <w:lang w:val="en-GB"/>
        </w:rPr>
        <w:t xml:space="preserve">also </w:t>
      </w:r>
      <w:r w:rsidR="009762D2" w:rsidRPr="00DA249F">
        <w:rPr>
          <w:lang w:val="en-GB"/>
        </w:rPr>
        <w:t>been</w:t>
      </w:r>
      <w:r w:rsidR="001E6FEF" w:rsidRPr="00DA249F">
        <w:rPr>
          <w:lang w:val="en-GB"/>
        </w:rPr>
        <w:t xml:space="preserve"> previously </w:t>
      </w:r>
      <w:r w:rsidR="009762D2" w:rsidRPr="00DA249F">
        <w:rPr>
          <w:lang w:val="en-GB"/>
        </w:rPr>
        <w:t xml:space="preserve">disturbed </w:t>
      </w:r>
      <w:r w:rsidR="001E6FEF" w:rsidRPr="00DA249F">
        <w:rPr>
          <w:lang w:val="en-GB"/>
        </w:rPr>
        <w:fldChar w:fldCharType="begin"/>
      </w:r>
      <w:r w:rsidR="00331A79">
        <w:rPr>
          <w:lang w:val="en-GB"/>
        </w:rPr>
        <w:instrText xml:space="preserve"> ADDIN ZOTERO_ITEM CSL_CITATION {"citationID":"Ujksclkc","properties":{"formattedCitation":"(S. J. Riley &amp; Banks, 1996)","plainCitation":"(S. J. Riley &amp; Banks, 1996)","noteIndex":0},"citationItems":[{"id":30495,"uris":["http://zotero.org/groups/2352922/items/HDIZ5SWJ"],"itemData":{"id":30495,"type":"article-journal","abstract":"Weedinvasionof bushlandin theLaneCoveCat&amp;rent, to the north westof centralSydney,isrelatedto contaminationof thefloodplainby heavymetalsand nutrients,increasedfrequencyof floodingresultingfrom the urbandevelopmenthat surroundsthe bushland,and site disturbance.Weedspeciesare significantlydifferent betweenthe floodplainareasandthe disturbedhillslopeareas,probablyasa resultof differencesin soilpollution, microclimate, andthe natureof the disturbances. eedavailability doesnot seemto bea critical factor in determiningweedinvasion andcomposition.Weedinvasionof disturbeduplandareascould be reducedby replantingnative plants.For contaminatedfloodplainsthereis little that canbedoneto restorethe originalvegetationunlessthesourceof pollution isremoved,andeventhensomeconsiderabletimemayberequiredbeforepollution levelsin thefloodplainsediments decline.Useof nativemesicvegetation,whichismoreadaptedto highernutrient levels,maybenecessarfyor themanagemenot f contaminatedfloodplains.Whetherthe introductionof stormwatercontrol systemisnto newsubdivisions canavoidthe contaminationof urbanfloodplainsis uncertain.Thereis an argumentfor acceptingthe inevitablecontaminationof urban floodplainsand deliberatelymanaginglandscapeecologyfor this eventuality.","container-title":"Science of The Total Environment","DOI":"10.1016/0048-9697(95)05033-7","ISSN":"00489697","issue":"1-3","journalAbbreviation":"Science of The Total Environment","language":"en","page":"39-52","source":"DOI.org (Crossref)","title":"The role of phosphorus and heavy metals in the spread of weeds in urban bushlands: an example from the Lane Cove Valley, NSW, Australia","title-short":"The role of phosphorus and heavy metals in the spread of weeds in urban bushlands","URL":"https://linkinghub.elsevier.com/retrieve/pii/0048969795050337","volume":"182","author":[{"family":"Riley","given":"Steves J."},{"family":"Banks","given":"R.G."}],"accessed":{"date-parts":[["2021",8,27]]},"issued":{"date-parts":[["1996",4]]}},"label":"page"}],"schema":"https://github.com/citation-style-language/schema/raw/master/csl-citation.json"} </w:instrText>
      </w:r>
      <w:r w:rsidR="001E6FEF" w:rsidRPr="00DA249F">
        <w:rPr>
          <w:lang w:val="en-GB"/>
        </w:rPr>
        <w:fldChar w:fldCharType="separate"/>
      </w:r>
      <w:r w:rsidR="00144D96" w:rsidRPr="00144D96">
        <w:t>(S. J. Riley &amp; Banks, 1996)</w:t>
      </w:r>
      <w:r w:rsidR="001E6FEF" w:rsidRPr="00DA249F">
        <w:rPr>
          <w:lang w:val="en-GB"/>
        </w:rPr>
        <w:fldChar w:fldCharType="end"/>
      </w:r>
      <w:r w:rsidR="001E6FEF" w:rsidRPr="00DA249F">
        <w:rPr>
          <w:lang w:val="en-GB"/>
        </w:rPr>
        <w:t xml:space="preserve">. </w:t>
      </w:r>
    </w:p>
    <w:p w14:paraId="45DC2B4B" w14:textId="77777777" w:rsidR="006509C9" w:rsidRDefault="00F20AD4" w:rsidP="00632A72">
      <w:pPr>
        <w:spacing w:before="0" w:after="0"/>
        <w:rPr>
          <w:lang w:val="en-GB"/>
        </w:rPr>
      </w:pPr>
      <w:r w:rsidRPr="00DA249F">
        <w:rPr>
          <w:lang w:val="en-GB"/>
        </w:rPr>
        <w:t xml:space="preserve">Plastics are also a common waste </w:t>
      </w:r>
      <w:r w:rsidR="000846C8">
        <w:rPr>
          <w:lang w:val="en-GB"/>
        </w:rPr>
        <w:t xml:space="preserve">product </w:t>
      </w:r>
      <w:r w:rsidRPr="00DA249F">
        <w:rPr>
          <w:lang w:val="en-GB"/>
        </w:rPr>
        <w:t xml:space="preserve">in urban areas, </w:t>
      </w:r>
      <w:r w:rsidR="006509C9" w:rsidRPr="00DA249F">
        <w:rPr>
          <w:lang w:val="en-GB"/>
        </w:rPr>
        <w:t xml:space="preserve">and </w:t>
      </w:r>
      <w:r w:rsidRPr="00DA249F">
        <w:rPr>
          <w:lang w:val="en-GB"/>
        </w:rPr>
        <w:t xml:space="preserve">exposure to </w:t>
      </w:r>
      <w:r w:rsidR="006509C9" w:rsidRPr="00DA249F">
        <w:rPr>
          <w:lang w:val="en-GB"/>
        </w:rPr>
        <w:t xml:space="preserve">plastics can </w:t>
      </w:r>
      <w:r w:rsidRPr="00DA249F">
        <w:rPr>
          <w:lang w:val="en-GB"/>
        </w:rPr>
        <w:t xml:space="preserve">change </w:t>
      </w:r>
      <w:r w:rsidR="006509C9" w:rsidRPr="00DA249F">
        <w:rPr>
          <w:lang w:val="en-GB"/>
        </w:rPr>
        <w:t>the behaviours of species</w:t>
      </w:r>
      <w:r w:rsidRPr="00DA249F">
        <w:rPr>
          <w:lang w:val="en-GB"/>
        </w:rPr>
        <w:t>. In Chile</w:t>
      </w:r>
      <w:r w:rsidR="002E1A39" w:rsidRPr="00DA249F">
        <w:rPr>
          <w:lang w:val="en-GB"/>
        </w:rPr>
        <w:t>,</w:t>
      </w:r>
      <w:r w:rsidRPr="00DA249F">
        <w:rPr>
          <w:lang w:val="en-GB"/>
        </w:rPr>
        <w:t xml:space="preserve"> Pinochet et al</w:t>
      </w:r>
      <w:r w:rsidR="003000E0">
        <w:rPr>
          <w:lang w:val="en-GB"/>
        </w:rPr>
        <w:t>.</w:t>
      </w:r>
      <w:r w:rsidRPr="00DA249F">
        <w:rPr>
          <w:lang w:val="en-GB"/>
        </w:rPr>
        <w:t xml:space="preserve"> </w:t>
      </w:r>
      <w:r w:rsidR="00881D24" w:rsidRPr="00DA249F">
        <w:rPr>
          <w:rFonts w:eastAsia="Times New Roman"/>
          <w:szCs w:val="24"/>
          <w:lang w:val="en-GB" w:eastAsia="en-AU"/>
        </w:rPr>
        <w:fldChar w:fldCharType="begin"/>
      </w:r>
      <w:r w:rsidR="00331A79">
        <w:rPr>
          <w:lang w:val="en-GB"/>
        </w:rPr>
        <w:instrText xml:space="preserve"> ADDIN ZOTERO_ITEM CSL_CITATION {"citationID":"qyMIMWev","properties":{"formattedCitation":"(2020)","plainCitation":"(2020)","noteIndex":0},"citationItems":[{"id":30006,"uris":["http://zotero.org/groups/2352922/items/H2XMYR3U"],"itemData":{"id":30006,"type":"article-journal","abstract":"Global urbanization and plastic pollution has increased the availability and variety of substrates for sessile organisms, and are intensively used by invasive species for settlement. Despite extensive literature describing the strong association between artiﬁcial structures and invasive species, little effort has been directed towards identifying the larval traits that favor this selection. Larval selection and settlement are crucial as larvae actively search and interpret environmental cues to identify suitable habitats to settle. The aim of this research was to investigate if invertebrate larvae have a preference for a particular anthropogenic substrate, and how pre-settlement behaviors vary when encountering different substrates. We used two invasive bryozoan species, Bugula ﬂabellata and Bugula neritina, which are commonly found in urbanized areas around the world. Energy expenditure during planktonic and benthonic stages, pre-settlement swimming/exploring behaviors, settlement and larval selectivity were quantiﬁed under laboratory conditions on different substrates (concrete, wood, polystyrene, polyvinyl chloride, polyethylene terephthalate and polycarbonate). The energy expenditure measured was higher in planktonic larvae than in early settled larvae. Larvae of both species swam less and explored more when exposed to plastic surfaces, suggesting a preference for this substrate and resulting in lower energy expenditures associated with searching for habitat. Larvae actively chose to settle on plastics rather than on wood or concrete substrates. The results suggest that for Bugula larvae, the likelihood of colonizing plastic surfaces is higher than other materials commonly found in urbanized coastal areas. The more quickly they adhere to artiﬁcial substrates the lower the energy expenditure, contributing to higher ﬁtness in these individuals. The strong preference of invertebrate larvae for plastics can potentially extend the distribution range of many invasive marine species as they are able to travel long distances attached to ﬂoating debris. This phenomenon will likely exacerbate the introduction of exotic species into novel habitats.","container-title":"Environmental Pollution","DOI":"10.1016/j.envpol.2019.113571","ISSN":"02697491","journalAbbreviation":"Environmental Pollution","language":"en","page":"113571","source":"DOI.org (Crossref)","title":"Marine invertebrate larvae love plastics: Habitat selection and settlement on artificial substrates","title-short":"Marine invertebrate larvae love plastics","URL":"https://linkinghub.elsevier.com/retrieve/pii/S0269749119344276","volume":"257","author":[{"family":"Pinochet","given":"Javier"},{"family":"Urbina","given":"Mauricio A."},{"family":"Lagos","given":"Marcelo E."}],"accessed":{"date-parts":[["2021",8,12]]},"issued":{"date-parts":[["2020",2]]}},"label":"page","suppress-author":true}],"schema":"https://github.com/citation-style-language/schema/raw/master/csl-citation.json"} </w:instrText>
      </w:r>
      <w:r w:rsidR="00881D24" w:rsidRPr="00DA249F">
        <w:rPr>
          <w:rFonts w:eastAsia="Times New Roman"/>
          <w:szCs w:val="24"/>
          <w:lang w:val="en-GB" w:eastAsia="en-AU"/>
        </w:rPr>
        <w:fldChar w:fldCharType="separate"/>
      </w:r>
      <w:r w:rsidR="00144D96" w:rsidRPr="00144D96">
        <w:t>(2020)</w:t>
      </w:r>
      <w:r w:rsidR="00881D24" w:rsidRPr="00DA249F">
        <w:rPr>
          <w:rFonts w:eastAsia="Times New Roman"/>
          <w:szCs w:val="24"/>
          <w:lang w:val="en-GB" w:eastAsia="en-AU"/>
        </w:rPr>
        <w:fldChar w:fldCharType="end"/>
      </w:r>
      <w:r w:rsidRPr="00DA249F">
        <w:rPr>
          <w:lang w:val="en-GB"/>
        </w:rPr>
        <w:t xml:space="preserve"> studied </w:t>
      </w:r>
      <w:r w:rsidR="00E57D6F" w:rsidRPr="00DA249F">
        <w:rPr>
          <w:lang w:val="en-GB"/>
        </w:rPr>
        <w:t>invasive alien bryozoan species</w:t>
      </w:r>
      <w:r w:rsidR="00930FB2">
        <w:rPr>
          <w:lang w:val="en-GB"/>
        </w:rPr>
        <w:t>,</w:t>
      </w:r>
      <w:r w:rsidR="00E57D6F" w:rsidRPr="00DA249F">
        <w:rPr>
          <w:lang w:val="en-GB"/>
        </w:rPr>
        <w:t xml:space="preserve"> </w:t>
      </w:r>
      <w:r w:rsidR="00930FB2">
        <w:rPr>
          <w:lang w:val="en-GB"/>
        </w:rPr>
        <w:t xml:space="preserve">such as </w:t>
      </w:r>
      <w:r w:rsidR="00784ECC" w:rsidRPr="00DA249F">
        <w:rPr>
          <w:i/>
          <w:lang w:val="en-GB"/>
        </w:rPr>
        <w:t>Bugulina</w:t>
      </w:r>
      <w:r w:rsidR="00E57D6F" w:rsidRPr="00DA249F">
        <w:rPr>
          <w:i/>
          <w:lang w:val="en-GB"/>
        </w:rPr>
        <w:t xml:space="preserve"> flabellata</w:t>
      </w:r>
      <w:r w:rsidR="00E57D6F" w:rsidRPr="00DA249F">
        <w:rPr>
          <w:lang w:val="en-GB"/>
        </w:rPr>
        <w:t xml:space="preserve"> and </w:t>
      </w:r>
      <w:r w:rsidR="00E57D6F" w:rsidRPr="00DA249F">
        <w:rPr>
          <w:i/>
          <w:lang w:val="en-GB"/>
        </w:rPr>
        <w:t>Bugula neritina</w:t>
      </w:r>
      <w:r w:rsidR="00E57D6F" w:rsidRPr="00DA249F">
        <w:rPr>
          <w:lang w:val="en-GB"/>
        </w:rPr>
        <w:t xml:space="preserve"> (</w:t>
      </w:r>
      <w:r w:rsidR="009B1429" w:rsidRPr="00DA249F">
        <w:rPr>
          <w:rFonts w:eastAsia="Yu Gothic"/>
          <w:color w:val="000000"/>
          <w:szCs w:val="24"/>
          <w:lang w:val="en-GB"/>
        </w:rPr>
        <w:t>brown bryozoan)</w:t>
      </w:r>
      <w:r w:rsidR="00930FB2">
        <w:rPr>
          <w:lang w:val="en-GB"/>
        </w:rPr>
        <w:t>,</w:t>
      </w:r>
      <w:r w:rsidRPr="00DA249F">
        <w:rPr>
          <w:lang w:val="en-GB"/>
        </w:rPr>
        <w:t xml:space="preserve"> that are frequently found in urbani</w:t>
      </w:r>
      <w:r w:rsidR="00477B69" w:rsidRPr="00DA249F">
        <w:rPr>
          <w:lang w:val="en-GB"/>
        </w:rPr>
        <w:t>z</w:t>
      </w:r>
      <w:r w:rsidRPr="00DA249F">
        <w:rPr>
          <w:lang w:val="en-GB"/>
        </w:rPr>
        <w:t>ed areas globally</w:t>
      </w:r>
      <w:r w:rsidR="006550B3">
        <w:rPr>
          <w:lang w:val="en-GB"/>
        </w:rPr>
        <w:t>.</w:t>
      </w:r>
      <w:r w:rsidRPr="00DA249F">
        <w:rPr>
          <w:lang w:val="en-GB"/>
        </w:rPr>
        <w:t xml:space="preserve"> </w:t>
      </w:r>
      <w:r w:rsidR="006550B3">
        <w:rPr>
          <w:lang w:val="en-GB"/>
        </w:rPr>
        <w:t>T</w:t>
      </w:r>
      <w:r w:rsidRPr="00DA249F">
        <w:rPr>
          <w:lang w:val="en-GB"/>
        </w:rPr>
        <w:t>hese species tend to prefer plastic substrates, rather than wood or concrete, and expos</w:t>
      </w:r>
      <w:r w:rsidR="003834E0">
        <w:rPr>
          <w:lang w:val="en-GB"/>
        </w:rPr>
        <w:t>ure</w:t>
      </w:r>
      <w:r w:rsidRPr="00DA249F">
        <w:rPr>
          <w:lang w:val="en-GB"/>
        </w:rPr>
        <w:t xml:space="preserve"> to </w:t>
      </w:r>
      <w:r w:rsidR="006550B3" w:rsidRPr="00DA249F">
        <w:rPr>
          <w:lang w:val="en-GB"/>
        </w:rPr>
        <w:t>plastic substrates</w:t>
      </w:r>
      <w:r w:rsidRPr="00DA249F">
        <w:rPr>
          <w:lang w:val="en-GB"/>
        </w:rPr>
        <w:t xml:space="preserve"> could enhance their spread</w:t>
      </w:r>
      <w:r w:rsidR="001134AC" w:rsidRPr="00DA249F">
        <w:rPr>
          <w:lang w:val="en-GB"/>
        </w:rPr>
        <w:t xml:space="preserve"> </w:t>
      </w:r>
      <w:r w:rsidR="00CA0C6B" w:rsidRPr="00DA249F">
        <w:rPr>
          <w:lang w:val="en-GB"/>
        </w:rPr>
        <w:t>(</w:t>
      </w:r>
      <w:r w:rsidR="001134AC" w:rsidRPr="008C24B4">
        <w:rPr>
          <w:b/>
          <w:iCs/>
          <w:lang w:val="en-GB"/>
        </w:rPr>
        <w:t>section 3.3.3.</w:t>
      </w:r>
      <w:r w:rsidR="00E10664" w:rsidRPr="008C24B4">
        <w:rPr>
          <w:b/>
          <w:iCs/>
          <w:lang w:val="en-GB"/>
        </w:rPr>
        <w:t>4</w:t>
      </w:r>
      <w:r w:rsidR="001134AC" w:rsidRPr="00DA249F">
        <w:rPr>
          <w:lang w:val="en-GB"/>
        </w:rPr>
        <w:t>)</w:t>
      </w:r>
      <w:r w:rsidRPr="00DA249F">
        <w:rPr>
          <w:lang w:val="en-GB"/>
        </w:rPr>
        <w:t xml:space="preserve">. </w:t>
      </w:r>
    </w:p>
    <w:p w14:paraId="2A75A800" w14:textId="77777777" w:rsidR="006550B3" w:rsidRPr="00DA249F" w:rsidRDefault="006550B3" w:rsidP="00632A72">
      <w:pPr>
        <w:spacing w:before="0" w:after="0"/>
        <w:rPr>
          <w:rFonts w:eastAsia="Times New Roman"/>
          <w:color w:val="000000"/>
          <w:szCs w:val="24"/>
          <w:lang w:val="en-GB" w:eastAsia="zh-CN"/>
        </w:rPr>
      </w:pPr>
    </w:p>
    <w:p w14:paraId="7EBAD3F9" w14:textId="77777777" w:rsidR="00F4474D" w:rsidRPr="00DA249F" w:rsidRDefault="00F20AD4" w:rsidP="00F816CA">
      <w:pPr>
        <w:spacing w:before="0" w:after="0"/>
        <w:rPr>
          <w:rFonts w:eastAsia="Times New Roman"/>
          <w:color w:val="000000"/>
          <w:szCs w:val="24"/>
          <w:lang w:val="en-GB" w:eastAsia="zh-CN"/>
        </w:rPr>
      </w:pPr>
      <w:r w:rsidRPr="00DA249F">
        <w:rPr>
          <w:lang w:val="en-GB"/>
        </w:rPr>
        <w:t xml:space="preserve">Finally, there are other types of pollution less </w:t>
      </w:r>
      <w:r w:rsidR="00BF69D8" w:rsidRPr="00DA249F">
        <w:rPr>
          <w:lang w:val="en-GB"/>
        </w:rPr>
        <w:t xml:space="preserve">frequently </w:t>
      </w:r>
      <w:r w:rsidR="000A4C2B" w:rsidRPr="00DA249F">
        <w:rPr>
          <w:lang w:val="en-GB"/>
        </w:rPr>
        <w:t>s</w:t>
      </w:r>
      <w:r w:rsidR="00BF69D8" w:rsidRPr="00DA249F">
        <w:rPr>
          <w:lang w:val="en-GB"/>
        </w:rPr>
        <w:t>tudied</w:t>
      </w:r>
      <w:r w:rsidRPr="00DA249F">
        <w:rPr>
          <w:lang w:val="en-GB"/>
        </w:rPr>
        <w:t xml:space="preserve"> that are also linked to </w:t>
      </w:r>
      <w:r w:rsidR="00CA62D5" w:rsidRPr="00DA249F">
        <w:rPr>
          <w:lang w:val="en-GB"/>
        </w:rPr>
        <w:t>urbanization</w:t>
      </w:r>
      <w:r w:rsidRPr="00DA249F">
        <w:rPr>
          <w:lang w:val="en-GB"/>
        </w:rPr>
        <w:t xml:space="preserve"> such as noise and light pollution. There </w:t>
      </w:r>
      <w:r w:rsidR="0085090C" w:rsidRPr="00DA249F">
        <w:rPr>
          <w:lang w:val="en-GB"/>
        </w:rPr>
        <w:t>are a few studies that</w:t>
      </w:r>
      <w:r w:rsidRPr="00DA249F">
        <w:rPr>
          <w:lang w:val="en-GB"/>
        </w:rPr>
        <w:t xml:space="preserve"> assess the link between noise and light pollution in urban areas and invasive </w:t>
      </w:r>
      <w:r w:rsidR="002A0EE8" w:rsidRPr="00DA249F">
        <w:rPr>
          <w:lang w:val="en-GB"/>
        </w:rPr>
        <w:t xml:space="preserve">alien </w:t>
      </w:r>
      <w:r w:rsidRPr="00DA249F">
        <w:rPr>
          <w:lang w:val="en-GB"/>
        </w:rPr>
        <w:t xml:space="preserve">species. </w:t>
      </w:r>
      <w:r w:rsidR="0085090C" w:rsidRPr="00DA249F">
        <w:rPr>
          <w:lang w:val="en-GB"/>
        </w:rPr>
        <w:t>For</w:t>
      </w:r>
      <w:r w:rsidRPr="00DA249F">
        <w:rPr>
          <w:lang w:val="en-GB"/>
        </w:rPr>
        <w:t xml:space="preserve"> example</w:t>
      </w:r>
      <w:r w:rsidR="0085090C" w:rsidRPr="00DA249F">
        <w:rPr>
          <w:lang w:val="en-GB"/>
        </w:rPr>
        <w:t>,</w:t>
      </w:r>
      <w:r w:rsidRPr="00DA249F">
        <w:rPr>
          <w:lang w:val="en-GB"/>
        </w:rPr>
        <w:t xml:space="preserve"> the invasive </w:t>
      </w:r>
      <w:r w:rsidR="005320E5" w:rsidRPr="00DA249F">
        <w:rPr>
          <w:lang w:val="en-GB"/>
        </w:rPr>
        <w:t xml:space="preserve">alien </w:t>
      </w:r>
      <w:r w:rsidRPr="00DA249F">
        <w:rPr>
          <w:i/>
          <w:iCs/>
          <w:lang w:val="en-GB"/>
        </w:rPr>
        <w:t>Hemidactylus frenatus</w:t>
      </w:r>
      <w:r w:rsidRPr="00DA249F">
        <w:rPr>
          <w:lang w:val="en-GB"/>
        </w:rPr>
        <w:t> </w:t>
      </w:r>
      <w:r w:rsidR="0041663E" w:rsidRPr="00DA249F">
        <w:rPr>
          <w:lang w:val="en-GB"/>
        </w:rPr>
        <w:t>(</w:t>
      </w:r>
      <w:r w:rsidR="00F816CA" w:rsidRPr="00DA249F">
        <w:rPr>
          <w:rFonts w:eastAsia="Times New Roman"/>
          <w:color w:val="000000"/>
          <w:szCs w:val="24"/>
          <w:lang w:val="en-GB" w:eastAsia="zh-CN"/>
        </w:rPr>
        <w:t>common house gecko</w:t>
      </w:r>
      <w:r w:rsidR="0041663E" w:rsidRPr="00DA249F">
        <w:rPr>
          <w:lang w:val="en-GB"/>
        </w:rPr>
        <w:t xml:space="preserve">) </w:t>
      </w:r>
      <w:r w:rsidRPr="00DA249F">
        <w:rPr>
          <w:lang w:val="en-GB"/>
        </w:rPr>
        <w:t xml:space="preserve">in </w:t>
      </w:r>
      <w:r w:rsidR="00470468" w:rsidRPr="009C1256">
        <w:rPr>
          <w:lang w:val="en-GB"/>
        </w:rPr>
        <w:t>n</w:t>
      </w:r>
      <w:r w:rsidRPr="009C1256">
        <w:rPr>
          <w:lang w:val="en-GB"/>
        </w:rPr>
        <w:t>orth-</w:t>
      </w:r>
      <w:r w:rsidR="00470468" w:rsidRPr="009C1256">
        <w:rPr>
          <w:lang w:val="en-GB"/>
        </w:rPr>
        <w:t>e</w:t>
      </w:r>
      <w:r w:rsidRPr="009C1256">
        <w:rPr>
          <w:lang w:val="en-GB"/>
        </w:rPr>
        <w:t>astern Australia occupies a broader range of light environments than does the native gecko </w:t>
      </w:r>
      <w:r w:rsidRPr="009C1256">
        <w:rPr>
          <w:i/>
          <w:iCs/>
          <w:lang w:val="en-GB"/>
        </w:rPr>
        <w:t>Gehyra dubia</w:t>
      </w:r>
      <w:r w:rsidR="0041663E" w:rsidRPr="009C1256">
        <w:rPr>
          <w:i/>
          <w:iCs/>
          <w:lang w:val="en-GB"/>
        </w:rPr>
        <w:t xml:space="preserve"> </w:t>
      </w:r>
      <w:r w:rsidR="0041663E" w:rsidRPr="009C1256">
        <w:rPr>
          <w:iCs/>
          <w:lang w:val="en-GB"/>
        </w:rPr>
        <w:t>(dubious dtella)</w:t>
      </w:r>
      <w:r w:rsidRPr="009C1256">
        <w:rPr>
          <w:lang w:val="en-GB"/>
        </w:rPr>
        <w:t xml:space="preserve">. Experimental removal of </w:t>
      </w:r>
      <w:r w:rsidR="006509C9" w:rsidRPr="009C1256">
        <w:rPr>
          <w:lang w:val="en-GB"/>
        </w:rPr>
        <w:t>the invasive alien gecko</w:t>
      </w:r>
      <w:r w:rsidRPr="009C1256">
        <w:rPr>
          <w:lang w:val="en-GB"/>
        </w:rPr>
        <w:t xml:space="preserve"> from places with light pollution, did not change</w:t>
      </w:r>
      <w:r w:rsidR="006509C9" w:rsidRPr="009C1256">
        <w:rPr>
          <w:lang w:val="en-GB"/>
        </w:rPr>
        <w:t xml:space="preserve"> the</w:t>
      </w:r>
      <w:r w:rsidRPr="009C1256">
        <w:rPr>
          <w:lang w:val="en-GB"/>
        </w:rPr>
        <w:t xml:space="preserve"> selection</w:t>
      </w:r>
      <w:r w:rsidR="006509C9" w:rsidRPr="009C1256">
        <w:rPr>
          <w:lang w:val="en-GB"/>
        </w:rPr>
        <w:t xml:space="preserve"> by native geckos for</w:t>
      </w:r>
      <w:r w:rsidRPr="009C1256">
        <w:rPr>
          <w:lang w:val="en-GB"/>
        </w:rPr>
        <w:t xml:space="preserve"> darker </w:t>
      </w:r>
      <w:r w:rsidR="006509C9" w:rsidRPr="009C1256">
        <w:rPr>
          <w:lang w:val="en-GB"/>
        </w:rPr>
        <w:t>locations</w:t>
      </w:r>
      <w:r w:rsidRPr="009C1256">
        <w:rPr>
          <w:lang w:val="en-GB"/>
        </w:rPr>
        <w:t xml:space="preserve">, which suggests cities are opening niches for invasive alien species </w:t>
      </w:r>
      <w:r w:rsidRPr="009C1256">
        <w:rPr>
          <w:lang w:val="en-GB"/>
        </w:rPr>
        <w:fldChar w:fldCharType="begin"/>
      </w:r>
      <w:r w:rsidR="00331A79">
        <w:rPr>
          <w:lang w:val="en-GB"/>
        </w:rPr>
        <w:instrText xml:space="preserve"> ADDIN ZOTERO_ITEM CSL_CITATION {"citationID":"9TYOCxgj","properties":{"formattedCitation":"(Zozaya et al., 2015)","plainCitation":"(Zozaya et al., 2015)","noteIndex":0},"citationItems":[{"id":30493,"uris":["http://zotero.org/groups/2352922/items/FR92AUGE"],"itemData":{"id":30493,"type":"article-journal","abstract":"There is increasing concern about the ecological effects of light pollution, as artiﬁcial lighting spreads with urban expansion. While artiﬁcial lighting can negatively affect some species, others use it in novel ways. In tropical and subtropical regions, artiﬁcial lighting has created a novel niche: the ‘night light’ niche. Geckos living as human commensals (house geckos) are apparently well adapted to occupy this niche. In an urban area in north-eastern Australia, we found that the invasive Asian house gecko Hemidactylus frenatus (Gekkonidae) occupies a broader range of light environments in the ﬁeld than does the native gecko Gehyra dubia (Gekkonidae). Experimental removal of the invasive species from a building indicated that it did not behaviourally inﬂuence the light environments chosen by the native species in the short term; they continued to use darker areas even after the invasive species was removed. In Y-maze experiments, neither species showed a signiﬁcant preference for light or dark areas; however, preliminary data suggest the invasive species was more willing to explore the Y-maze than the native species. The willingness of H. frenatus to forage closer to lights, where insect abundance is typically higher, might account for its success as a global invader of human environments, even in areas where other gecko species are established.","container-title":"Austral Ecology","DOI":"10.1111/aec.12287","ISSN":"14429985","issue":"8","journalAbbreviation":"Austral Ecology","language":"en","page":"982-987","source":"DOI.org (Crossref)","title":"Invasive house geckos are more willing to use artificial lights than are native geckos","title-short":"Invasive house geckos are more willing to use artificial lights than are native geckos","URL":"https://onlinelibrary.wiley.com/doi/10.1111/aec.12287","volume":"40","author":[{"family":"Zozaya","given":"Stephen M."},{"family":"Alford","given":"Ross A."},{"family":"Schwarzkopf","given":"Lin"}],"accessed":{"date-parts":[["2021",8,27]]},"issued":{"date-parts":[["2015",12]]}},"label":"page"}],"schema":"https://github.com/citation-style-language/schema/raw/master/csl-citation.json"} </w:instrText>
      </w:r>
      <w:r w:rsidRPr="009C1256">
        <w:rPr>
          <w:lang w:val="en-GB"/>
        </w:rPr>
        <w:fldChar w:fldCharType="separate"/>
      </w:r>
      <w:r w:rsidR="00144D96" w:rsidRPr="00144D96">
        <w:t>(Zozaya et al., 2015)</w:t>
      </w:r>
      <w:r w:rsidRPr="009C1256">
        <w:rPr>
          <w:lang w:val="en-GB"/>
        </w:rPr>
        <w:fldChar w:fldCharType="end"/>
      </w:r>
      <w:r w:rsidRPr="009C1256">
        <w:rPr>
          <w:lang w:val="en-GB"/>
        </w:rPr>
        <w:t>.</w:t>
      </w:r>
      <w:r w:rsidR="000A4C2B" w:rsidRPr="00DA249F">
        <w:rPr>
          <w:lang w:val="en-GB"/>
        </w:rPr>
        <w:br w:type="page"/>
      </w:r>
    </w:p>
    <w:p w14:paraId="6062FEB3" w14:textId="77777777" w:rsidR="002E7160" w:rsidRPr="00DA249F" w:rsidRDefault="08778F57" w:rsidP="00370C81">
      <w:pPr>
        <w:pStyle w:val="Heading1"/>
        <w:rPr>
          <w:lang w:val="en-GB"/>
        </w:rPr>
      </w:pPr>
      <w:bookmarkStart w:id="250" w:name="_Toc146898481"/>
      <w:r w:rsidRPr="5575EBFC">
        <w:rPr>
          <w:lang w:val="en-GB"/>
        </w:rPr>
        <w:lastRenderedPageBreak/>
        <w:t>Synthesis and conclusion</w:t>
      </w:r>
      <w:bookmarkEnd w:id="250"/>
    </w:p>
    <w:p w14:paraId="50D213FC" w14:textId="77777777" w:rsidR="00986281" w:rsidRPr="00DA249F" w:rsidRDefault="56596397" w:rsidP="00986281">
      <w:pPr>
        <w:pStyle w:val="Heading2"/>
        <w:rPr>
          <w:lang w:val="en-GB"/>
        </w:rPr>
      </w:pPr>
      <w:bookmarkStart w:id="251" w:name="_Toc18405872"/>
      <w:bookmarkStart w:id="252" w:name="_Toc44317864"/>
      <w:r w:rsidRPr="5575EBFC">
        <w:rPr>
          <w:lang w:val="en-GB"/>
        </w:rPr>
        <w:t xml:space="preserve"> </w:t>
      </w:r>
      <w:bookmarkStart w:id="253" w:name="_Toc146898482"/>
      <w:r w:rsidR="3862D0AB" w:rsidRPr="5575EBFC">
        <w:rPr>
          <w:lang w:val="en-GB"/>
        </w:rPr>
        <w:t>Literature used in this chapter and identification of knowledge gaps</w:t>
      </w:r>
      <w:bookmarkEnd w:id="253"/>
      <w:r w:rsidR="3862D0AB" w:rsidRPr="5575EBFC">
        <w:rPr>
          <w:lang w:val="en-GB"/>
        </w:rPr>
        <w:t xml:space="preserve"> </w:t>
      </w:r>
    </w:p>
    <w:p w14:paraId="26558729" w14:textId="197BF67D" w:rsidR="00986281" w:rsidRPr="00DA249F" w:rsidRDefault="6AE8C36A" w:rsidP="00986281">
      <w:pPr>
        <w:rPr>
          <w:lang w:val="en-GB"/>
        </w:rPr>
      </w:pPr>
      <w:r w:rsidRPr="00DA249F">
        <w:rPr>
          <w:lang w:val="en-GB"/>
        </w:rPr>
        <w:t>A diverse strategy was adopted to identify and summar</w:t>
      </w:r>
      <w:r w:rsidR="2E7CAB79" w:rsidRPr="00DA249F">
        <w:rPr>
          <w:lang w:val="en-GB"/>
        </w:rPr>
        <w:t>ize</w:t>
      </w:r>
      <w:r w:rsidRPr="00DA249F">
        <w:rPr>
          <w:lang w:val="en-GB"/>
        </w:rPr>
        <w:t xml:space="preserve"> the literature used in </w:t>
      </w:r>
      <w:r w:rsidR="083AD81D" w:rsidRPr="5575EBFC">
        <w:rPr>
          <w:lang w:val="en-GB"/>
        </w:rPr>
        <w:t>C</w:t>
      </w:r>
      <w:r w:rsidRPr="5575EBFC">
        <w:rPr>
          <w:lang w:val="en-GB"/>
        </w:rPr>
        <w:t>hapter 3</w:t>
      </w:r>
      <w:r w:rsidRPr="00DA249F">
        <w:rPr>
          <w:lang w:val="en-GB"/>
        </w:rPr>
        <w:t xml:space="preserve"> (</w:t>
      </w:r>
      <w:r w:rsidRPr="5575EBFC">
        <w:rPr>
          <w:b/>
          <w:bCs/>
          <w:lang w:val="en-GB"/>
        </w:rPr>
        <w:t>sections 3.1.3</w:t>
      </w:r>
      <w:r w:rsidR="003000E0">
        <w:rPr>
          <w:lang w:val="en-GB"/>
        </w:rPr>
        <w:t xml:space="preserve"> and</w:t>
      </w:r>
      <w:r w:rsidR="55A4BE53" w:rsidRPr="5575EBFC">
        <w:rPr>
          <w:b/>
          <w:bCs/>
          <w:lang w:val="en-GB"/>
        </w:rPr>
        <w:t xml:space="preserve"> </w:t>
      </w:r>
      <w:r w:rsidRPr="5575EBFC">
        <w:rPr>
          <w:b/>
          <w:bCs/>
          <w:lang w:val="en-GB"/>
        </w:rPr>
        <w:t>3.1.4</w:t>
      </w:r>
      <w:r w:rsidRPr="00DA249F">
        <w:rPr>
          <w:lang w:val="en-GB"/>
        </w:rPr>
        <w:t>).</w:t>
      </w:r>
      <w:bookmarkStart w:id="254" w:name="_Ref129340757"/>
      <w:r w:rsidR="009622C0" w:rsidRPr="00710AC3">
        <w:rPr>
          <w:rStyle w:val="FootnoteReference"/>
        </w:rPr>
        <w:footnoteReference w:id="10"/>
      </w:r>
      <w:bookmarkEnd w:id="254"/>
      <w:r w:rsidRPr="00DA249F">
        <w:rPr>
          <w:lang w:val="en-GB"/>
        </w:rPr>
        <w:t xml:space="preserve"> The varying approaches to reviewing the literature not only recogni</w:t>
      </w:r>
      <w:r w:rsidR="5AC3977A" w:rsidRPr="00DA249F">
        <w:rPr>
          <w:lang w:val="en-GB"/>
        </w:rPr>
        <w:t>z</w:t>
      </w:r>
      <w:r w:rsidRPr="00DA249F">
        <w:rPr>
          <w:lang w:val="en-GB"/>
        </w:rPr>
        <w:t xml:space="preserve">ed the biases and gaps within the scientific literature linking </w:t>
      </w:r>
      <w:r w:rsidR="0EB3F577" w:rsidRPr="728F2DAF">
        <w:rPr>
          <w:lang w:val="en-GB"/>
        </w:rPr>
        <w:t>invasive alien species</w:t>
      </w:r>
      <w:r w:rsidR="6EA08F9B" w:rsidRPr="728F2DAF">
        <w:rPr>
          <w:lang w:val="en-GB"/>
        </w:rPr>
        <w:t xml:space="preserve"> </w:t>
      </w:r>
      <w:r w:rsidRPr="00DA249F">
        <w:rPr>
          <w:lang w:val="en-GB"/>
        </w:rPr>
        <w:t xml:space="preserve">with other </w:t>
      </w:r>
      <w:r w:rsidR="067C1E4A" w:rsidRPr="728F2DAF">
        <w:rPr>
          <w:lang w:val="en-GB"/>
        </w:rPr>
        <w:t>drivers of change in nature</w:t>
      </w:r>
      <w:r w:rsidRPr="00DA249F">
        <w:rPr>
          <w:lang w:val="en-GB"/>
        </w:rPr>
        <w:t xml:space="preserve"> </w:t>
      </w:r>
      <w:r w:rsidR="00704CDD" w:rsidRPr="00DA249F">
        <w:rPr>
          <w:lang w:val="en-GB"/>
        </w:rPr>
        <w:fldChar w:fldCharType="begin"/>
      </w:r>
      <w:r w:rsidR="00331A79">
        <w:rPr>
          <w:lang w:val="en-GB"/>
        </w:rPr>
        <w:instrText xml:space="preserve"> ADDIN ZOTERO_ITEM CSL_CITATION {"citationID":"p6N7E6t2","properties":{"formattedCitation":"(Hulme, 2022)","plainCitation":"(Hulme, 2022)","dontUpdate":true,"noteIndex":0},"citationItems":[{"id":29804,"uris":["http://zotero.org/groups/2352922/items/NSIS6VSX"],"itemData":{"id":29804,"type":"article-journal","container-title":"Conservation Biology","DOI":"10.1111/cobi.13817","issue":"2","language":"en","page":"e13817","title":"Importance of greater interdisciplinarity and geographic scope when tackling the driving forces behind biological invasions","URL":"https://doi.org/10.1111/cobi.13817","volume":"36","author":[{"family":"Hulme","given":"Philip E."}],"issued":{"date-parts":[["2022"]]}},"label":"page"}],"schema":"https://github.com/citation-style-language/schema/raw/master/csl-citation.json"} </w:instrText>
      </w:r>
      <w:r w:rsidR="00704CDD" w:rsidRPr="00DA249F">
        <w:rPr>
          <w:lang w:val="en-GB"/>
        </w:rPr>
        <w:fldChar w:fldCharType="separate"/>
      </w:r>
      <w:r w:rsidR="0F7E7AAF" w:rsidRPr="00DA249F">
        <w:rPr>
          <w:lang w:val="en-GB"/>
        </w:rPr>
        <w:t>(Hulme, 2022</w:t>
      </w:r>
      <w:r w:rsidR="00704CDD" w:rsidRPr="00DA249F">
        <w:rPr>
          <w:lang w:val="en-GB"/>
        </w:rPr>
        <w:fldChar w:fldCharType="end"/>
      </w:r>
      <w:r w:rsidRPr="00DA249F">
        <w:rPr>
          <w:lang w:val="en-GB"/>
        </w:rPr>
        <w:t>;</w:t>
      </w:r>
      <w:r w:rsidRPr="5575EBFC">
        <w:rPr>
          <w:b/>
          <w:bCs/>
          <w:lang w:val="en-GB"/>
        </w:rPr>
        <w:t xml:space="preserve"> </w:t>
      </w:r>
      <w:r w:rsidR="00E23B69">
        <w:rPr>
          <w:b/>
          <w:bCs/>
          <w:lang w:val="en-GB"/>
        </w:rPr>
        <w:t>Box</w:t>
      </w:r>
      <w:r w:rsidR="73FFE888" w:rsidRPr="5575EBFC">
        <w:rPr>
          <w:b/>
          <w:bCs/>
          <w:lang w:val="en-GB"/>
        </w:rPr>
        <w:t xml:space="preserve"> </w:t>
      </w:r>
      <w:r w:rsidRPr="5575EBFC">
        <w:rPr>
          <w:b/>
          <w:bCs/>
          <w:lang w:val="en-GB"/>
        </w:rPr>
        <w:t>3.1</w:t>
      </w:r>
      <w:r w:rsidR="6F341485" w:rsidRPr="5575EBFC">
        <w:rPr>
          <w:b/>
          <w:bCs/>
          <w:lang w:val="en-GB"/>
        </w:rPr>
        <w:t>3</w:t>
      </w:r>
      <w:r w:rsidRPr="00DA249F">
        <w:rPr>
          <w:lang w:val="en-GB"/>
        </w:rPr>
        <w:t>)</w:t>
      </w:r>
      <w:r w:rsidR="2B9793A7">
        <w:rPr>
          <w:lang w:val="en-GB"/>
        </w:rPr>
        <w:t>,</w:t>
      </w:r>
      <w:r w:rsidRPr="00DA249F">
        <w:rPr>
          <w:lang w:val="en-GB"/>
        </w:rPr>
        <w:t xml:space="preserve"> but also acknowledged the complexities in establishing cause-effect relationships between drivers and </w:t>
      </w:r>
      <w:r w:rsidR="6C597250" w:rsidRPr="728F2DAF">
        <w:rPr>
          <w:lang w:val="en-GB"/>
        </w:rPr>
        <w:t xml:space="preserve">the </w:t>
      </w:r>
      <w:r w:rsidRPr="00DA249F">
        <w:rPr>
          <w:lang w:val="en-GB"/>
        </w:rPr>
        <w:t>transport, introduction, establishment and spread of invasive alien species (</w:t>
      </w:r>
      <w:r w:rsidR="65B1BB99" w:rsidRPr="5575EBFC">
        <w:rPr>
          <w:b/>
          <w:bCs/>
          <w:lang w:val="en-GB"/>
        </w:rPr>
        <w:t>s</w:t>
      </w:r>
      <w:r w:rsidRPr="5575EBFC">
        <w:rPr>
          <w:b/>
          <w:bCs/>
          <w:lang w:val="en-GB"/>
        </w:rPr>
        <w:t>ections 3.1.2</w:t>
      </w:r>
      <w:r w:rsidR="003000E0">
        <w:rPr>
          <w:b/>
          <w:bCs/>
          <w:lang w:val="en-GB"/>
        </w:rPr>
        <w:t xml:space="preserve"> </w:t>
      </w:r>
      <w:r w:rsidR="003000E0">
        <w:rPr>
          <w:lang w:val="en-GB"/>
        </w:rPr>
        <w:t>and</w:t>
      </w:r>
      <w:r w:rsidRPr="5575EBFC">
        <w:rPr>
          <w:b/>
          <w:bCs/>
          <w:lang w:val="en-GB"/>
        </w:rPr>
        <w:t xml:space="preserve"> 3.1.</w:t>
      </w:r>
      <w:r w:rsidR="55A4BE53" w:rsidRPr="5575EBFC">
        <w:rPr>
          <w:b/>
          <w:bCs/>
          <w:lang w:val="en-GB"/>
        </w:rPr>
        <w:t>4</w:t>
      </w:r>
      <w:r w:rsidRPr="5575EBFC">
        <w:rPr>
          <w:lang w:val="en-GB"/>
        </w:rPr>
        <w:t>,</w:t>
      </w:r>
      <w:r w:rsidRPr="5575EBFC">
        <w:rPr>
          <w:b/>
          <w:bCs/>
          <w:lang w:val="en-GB"/>
        </w:rPr>
        <w:t xml:space="preserve"> 3.1.</w:t>
      </w:r>
      <w:r w:rsidR="55A4BE53" w:rsidRPr="5575EBFC">
        <w:rPr>
          <w:b/>
          <w:bCs/>
          <w:lang w:val="en-GB"/>
        </w:rPr>
        <w:t>5</w:t>
      </w:r>
      <w:r w:rsidRPr="00DA249F">
        <w:rPr>
          <w:lang w:val="en-GB"/>
        </w:rPr>
        <w:t xml:space="preserve">). Based on these search strategies, </w:t>
      </w:r>
      <w:r w:rsidR="083AD81D" w:rsidRPr="5575EBFC">
        <w:rPr>
          <w:lang w:val="en-GB"/>
        </w:rPr>
        <w:t>C</w:t>
      </w:r>
      <w:r w:rsidRPr="5575EBFC">
        <w:rPr>
          <w:lang w:val="en-GB"/>
        </w:rPr>
        <w:t>hapter 3</w:t>
      </w:r>
      <w:r w:rsidRPr="00B61BEC">
        <w:rPr>
          <w:lang w:val="en-GB"/>
        </w:rPr>
        <w:t xml:space="preserve"> </w:t>
      </w:r>
      <w:r w:rsidRPr="00DA249F">
        <w:rPr>
          <w:lang w:val="en-GB"/>
        </w:rPr>
        <w:t>summar</w:t>
      </w:r>
      <w:r w:rsidR="2E7CAB79" w:rsidRPr="00DA249F">
        <w:rPr>
          <w:lang w:val="en-GB"/>
        </w:rPr>
        <w:t>ize</w:t>
      </w:r>
      <w:r w:rsidRPr="00DA249F">
        <w:rPr>
          <w:lang w:val="en-GB"/>
        </w:rPr>
        <w:t>s the information from 1</w:t>
      </w:r>
      <w:r w:rsidR="452B8649">
        <w:rPr>
          <w:lang w:val="en-GB"/>
        </w:rPr>
        <w:t>,</w:t>
      </w:r>
      <w:r w:rsidR="485FDA2C" w:rsidRPr="00DA249F">
        <w:rPr>
          <w:lang w:val="en-GB"/>
        </w:rPr>
        <w:t>18</w:t>
      </w:r>
      <w:r w:rsidR="5915F748" w:rsidRPr="00DA249F">
        <w:rPr>
          <w:lang w:val="en-GB"/>
        </w:rPr>
        <w:t>3</w:t>
      </w:r>
      <w:r w:rsidRPr="00DA249F">
        <w:rPr>
          <w:lang w:val="en-GB"/>
        </w:rPr>
        <w:t xml:space="preserve"> scientific papers and other sources</w:t>
      </w:r>
      <w:r w:rsidR="00E66FF9" w:rsidRPr="00DA249F">
        <w:rPr>
          <w:vertAlign w:val="superscript"/>
          <w:lang w:val="en-GB"/>
        </w:rPr>
        <w:fldChar w:fldCharType="begin"/>
      </w:r>
      <w:r w:rsidR="00E66FF9" w:rsidRPr="00DA249F">
        <w:rPr>
          <w:vertAlign w:val="superscript"/>
          <w:lang w:val="en-GB"/>
        </w:rPr>
        <w:instrText xml:space="preserve"> NOTEREF _Ref129340757 \h  \* MERGEFORMAT </w:instrText>
      </w:r>
      <w:r w:rsidR="00E66FF9" w:rsidRPr="00DA249F">
        <w:rPr>
          <w:vertAlign w:val="superscript"/>
          <w:lang w:val="en-GB"/>
        </w:rPr>
      </w:r>
      <w:r w:rsidR="00E66FF9" w:rsidRPr="00DA249F">
        <w:rPr>
          <w:vertAlign w:val="superscript"/>
          <w:lang w:val="en-GB"/>
        </w:rPr>
        <w:fldChar w:fldCharType="separate"/>
      </w:r>
      <w:r w:rsidR="00287BC7">
        <w:rPr>
          <w:vertAlign w:val="superscript"/>
          <w:lang w:val="en-GB"/>
        </w:rPr>
        <w:t>9</w:t>
      </w:r>
      <w:r w:rsidR="00E66FF9" w:rsidRPr="00DA249F">
        <w:rPr>
          <w:vertAlign w:val="superscript"/>
          <w:lang w:val="en-GB"/>
        </w:rPr>
        <w:fldChar w:fldCharType="end"/>
      </w:r>
      <w:r w:rsidRPr="00DA249F">
        <w:rPr>
          <w:lang w:val="en-GB"/>
        </w:rPr>
        <w:t xml:space="preserve"> across indirect, direct, and other drivers of change</w:t>
      </w:r>
      <w:r w:rsidR="3E7A5EDF" w:rsidRPr="728F2DAF">
        <w:rPr>
          <w:lang w:val="en-GB"/>
        </w:rPr>
        <w:t xml:space="preserve"> in nature for the r</w:t>
      </w:r>
      <w:r w:rsidRPr="00DA249F">
        <w:rPr>
          <w:lang w:val="en-GB"/>
        </w:rPr>
        <w:t>ole of a total of 4</w:t>
      </w:r>
      <w:r w:rsidR="5AFB908E" w:rsidRPr="00DA249F">
        <w:rPr>
          <w:lang w:val="en-GB"/>
        </w:rPr>
        <w:t>4</w:t>
      </w:r>
      <w:r w:rsidRPr="00DA249F">
        <w:rPr>
          <w:lang w:val="en-GB"/>
        </w:rPr>
        <w:t xml:space="preserve"> drivers in facilitating the transport, introduction, establishment</w:t>
      </w:r>
      <w:r w:rsidR="00774819">
        <w:rPr>
          <w:lang w:val="en-GB"/>
        </w:rPr>
        <w:t xml:space="preserve"> and</w:t>
      </w:r>
      <w:r w:rsidRPr="00DA249F">
        <w:rPr>
          <w:lang w:val="en-GB"/>
        </w:rPr>
        <w:t xml:space="preserve"> spread of invasive alien species across biomes, realms</w:t>
      </w:r>
      <w:r w:rsidR="00774819">
        <w:rPr>
          <w:lang w:val="en-GB"/>
        </w:rPr>
        <w:t xml:space="preserve"> and</w:t>
      </w:r>
      <w:r w:rsidRPr="00DA249F">
        <w:rPr>
          <w:lang w:val="en-GB"/>
        </w:rPr>
        <w:t xml:space="preserve"> IPBES regions (</w:t>
      </w:r>
      <w:r w:rsidRPr="5575EBFC">
        <w:rPr>
          <w:b/>
          <w:bCs/>
          <w:lang w:val="en-GB"/>
        </w:rPr>
        <w:t>sections 3.2</w:t>
      </w:r>
      <w:r w:rsidR="003000E0">
        <w:rPr>
          <w:b/>
          <w:bCs/>
          <w:lang w:val="en-GB"/>
        </w:rPr>
        <w:t xml:space="preserve"> </w:t>
      </w:r>
      <w:r w:rsidR="003000E0">
        <w:rPr>
          <w:lang w:val="en-GB"/>
        </w:rPr>
        <w:t>and</w:t>
      </w:r>
      <w:r w:rsidRPr="5575EBFC">
        <w:rPr>
          <w:b/>
          <w:bCs/>
          <w:lang w:val="en-GB"/>
        </w:rPr>
        <w:t xml:space="preserve"> 3.3</w:t>
      </w:r>
      <w:r w:rsidRPr="5575EBFC">
        <w:rPr>
          <w:lang w:val="en-GB"/>
        </w:rPr>
        <w:t>,</w:t>
      </w:r>
      <w:r w:rsidRPr="5575EBFC">
        <w:rPr>
          <w:b/>
          <w:bCs/>
          <w:lang w:val="en-GB"/>
        </w:rPr>
        <w:t xml:space="preserve"> 3.4</w:t>
      </w:r>
      <w:r w:rsidRPr="5575EBFC">
        <w:rPr>
          <w:lang w:val="en-GB"/>
        </w:rPr>
        <w:t>,</w:t>
      </w:r>
      <w:r w:rsidRPr="5575EBFC">
        <w:rPr>
          <w:b/>
          <w:bCs/>
          <w:lang w:val="en-GB"/>
        </w:rPr>
        <w:t xml:space="preserve"> 3.5</w:t>
      </w:r>
      <w:r w:rsidRPr="00DA249F">
        <w:rPr>
          <w:lang w:val="en-GB"/>
        </w:rPr>
        <w:t xml:space="preserve">). </w:t>
      </w:r>
      <w:r w:rsidRPr="5575EBFC">
        <w:rPr>
          <w:lang w:val="en-GB"/>
        </w:rPr>
        <w:t>Sections 3.2</w:t>
      </w:r>
      <w:r w:rsidR="5AFB908E" w:rsidRPr="5575EBFC">
        <w:rPr>
          <w:lang w:val="en-GB"/>
        </w:rPr>
        <w:t>, 3.3, 3.4,</w:t>
      </w:r>
      <w:r w:rsidRPr="5575EBFC">
        <w:rPr>
          <w:lang w:val="en-GB"/>
        </w:rPr>
        <w:t xml:space="preserve"> 3.5</w:t>
      </w:r>
      <w:r w:rsidRPr="00B61BEC">
        <w:rPr>
          <w:lang w:val="en-GB"/>
        </w:rPr>
        <w:t xml:space="preserve"> and </w:t>
      </w:r>
      <w:r w:rsidRPr="5575EBFC">
        <w:rPr>
          <w:lang w:val="en-GB"/>
        </w:rPr>
        <w:t>3.6.2</w:t>
      </w:r>
      <w:r w:rsidRPr="00B61BEC">
        <w:rPr>
          <w:lang w:val="en-GB"/>
        </w:rPr>
        <w:t xml:space="preserve"> </w:t>
      </w:r>
      <w:r w:rsidRPr="00DA249F">
        <w:rPr>
          <w:lang w:val="en-GB"/>
        </w:rPr>
        <w:t>appraise and summar</w:t>
      </w:r>
      <w:r w:rsidR="674B3C0E" w:rsidRPr="00DA249F">
        <w:rPr>
          <w:lang w:val="en-GB"/>
        </w:rPr>
        <w:t>ize</w:t>
      </w:r>
      <w:r w:rsidRPr="00DA249F">
        <w:rPr>
          <w:lang w:val="en-GB"/>
        </w:rPr>
        <w:t xml:space="preserve"> the current state of knowledge on the role of drivers</w:t>
      </w:r>
      <w:r w:rsidR="00FD249C">
        <w:rPr>
          <w:lang w:val="en-GB"/>
        </w:rPr>
        <w:t xml:space="preserve"> </w:t>
      </w:r>
      <w:r w:rsidRPr="00DA249F">
        <w:rPr>
          <w:lang w:val="en-GB"/>
        </w:rPr>
        <w:t>in facilitating biological in</w:t>
      </w:r>
      <w:r w:rsidR="0A341A8B" w:rsidRPr="728F2DAF">
        <w:rPr>
          <w:lang w:val="en-GB"/>
        </w:rPr>
        <w:t xml:space="preserve">vasions, whereas sections 3.1 </w:t>
      </w:r>
      <w:r w:rsidRPr="00B61BEC">
        <w:rPr>
          <w:lang w:val="en-GB"/>
        </w:rPr>
        <w:t xml:space="preserve">and </w:t>
      </w:r>
      <w:r w:rsidRPr="5575EBFC">
        <w:rPr>
          <w:lang w:val="en-GB"/>
        </w:rPr>
        <w:t>3.6.1</w:t>
      </w:r>
      <w:r w:rsidRPr="00B61BEC">
        <w:rPr>
          <w:lang w:val="en-GB"/>
        </w:rPr>
        <w:t xml:space="preserve"> o</w:t>
      </w:r>
      <w:r w:rsidRPr="00DA249F">
        <w:rPr>
          <w:lang w:val="en-GB"/>
        </w:rPr>
        <w:t>utline the background and search strategies and summar</w:t>
      </w:r>
      <w:r w:rsidR="674B3C0E" w:rsidRPr="00DA249F">
        <w:rPr>
          <w:lang w:val="en-GB"/>
        </w:rPr>
        <w:t>ize</w:t>
      </w:r>
      <w:r w:rsidRPr="00DA249F">
        <w:rPr>
          <w:lang w:val="en-GB"/>
        </w:rPr>
        <w:t xml:space="preserve"> the knowledge base for the chapter.</w:t>
      </w:r>
      <w:r w:rsidR="1A5FB547" w:rsidRPr="00DA249F">
        <w:rPr>
          <w:lang w:val="en-GB"/>
        </w:rPr>
        <w:t xml:space="preserve"> </w:t>
      </w:r>
    </w:p>
    <w:p w14:paraId="3A2EF6DA" w14:textId="0E49A161" w:rsidR="00986281" w:rsidRPr="00DA249F" w:rsidRDefault="00986281" w:rsidP="00FA2EFD">
      <w:pPr>
        <w:spacing w:after="0"/>
        <w:rPr>
          <w:lang w:val="en-GB"/>
        </w:rPr>
      </w:pPr>
      <w:r w:rsidRPr="00DA249F">
        <w:rPr>
          <w:lang w:val="en-GB"/>
        </w:rPr>
        <w:t xml:space="preserve">Across the </w:t>
      </w:r>
      <w:r w:rsidR="002A2E56" w:rsidRPr="00DA249F">
        <w:rPr>
          <w:lang w:val="en-GB"/>
        </w:rPr>
        <w:t>1</w:t>
      </w:r>
      <w:r w:rsidR="00F35EF7">
        <w:rPr>
          <w:lang w:val="en-GB"/>
        </w:rPr>
        <w:t>,</w:t>
      </w:r>
      <w:r w:rsidR="002A2E56" w:rsidRPr="00DA249F">
        <w:rPr>
          <w:lang w:val="en-GB"/>
        </w:rPr>
        <w:t xml:space="preserve">183 </w:t>
      </w:r>
      <w:r w:rsidR="006E1199">
        <w:rPr>
          <w:lang w:val="en-GB"/>
        </w:rPr>
        <w:t>studies</w:t>
      </w:r>
      <w:r w:rsidR="006E1199" w:rsidRPr="00DA249F">
        <w:rPr>
          <w:lang w:val="en-GB"/>
        </w:rPr>
        <w:t xml:space="preserve"> </w:t>
      </w:r>
      <w:r w:rsidRPr="00DA249F">
        <w:rPr>
          <w:lang w:val="en-GB"/>
        </w:rPr>
        <w:t>identified and used in this report</w:t>
      </w:r>
      <w:r w:rsidR="00FA2EFD" w:rsidRPr="00DA249F">
        <w:rPr>
          <w:lang w:val="en-GB"/>
        </w:rPr>
        <w:t xml:space="preserve"> </w:t>
      </w:r>
      <w:r w:rsidR="001644CD" w:rsidRPr="00DA249F">
        <w:rPr>
          <w:lang w:val="en-GB"/>
        </w:rPr>
        <w:t>(</w:t>
      </w:r>
      <w:r w:rsidR="00DC2990">
        <w:rPr>
          <w:b/>
          <w:iCs/>
          <w:lang w:val="en-GB"/>
        </w:rPr>
        <w:t>Figure</w:t>
      </w:r>
      <w:r w:rsidR="00880F2E">
        <w:rPr>
          <w:b/>
          <w:iCs/>
          <w:lang w:val="en-GB"/>
        </w:rPr>
        <w:t xml:space="preserve"> 3.29</w:t>
      </w:r>
      <w:r w:rsidR="001644CD" w:rsidRPr="00DA249F">
        <w:rPr>
          <w:lang w:val="en-GB"/>
        </w:rPr>
        <w:t>):</w:t>
      </w:r>
    </w:p>
    <w:p w14:paraId="36C0E38F" w14:textId="77777777" w:rsidR="00FA2EFD" w:rsidRPr="00DA249F" w:rsidRDefault="74B84A1C" w:rsidP="00FA2EFD">
      <w:pPr>
        <w:pStyle w:val="ListParagraph"/>
        <w:numPr>
          <w:ilvl w:val="0"/>
          <w:numId w:val="17"/>
        </w:numPr>
        <w:spacing w:before="0" w:after="0"/>
        <w:rPr>
          <w:lang w:val="en-GB"/>
        </w:rPr>
      </w:pPr>
      <w:r w:rsidRPr="5575EBFC">
        <w:rPr>
          <w:lang w:val="en-GB"/>
        </w:rPr>
        <w:t>30.4</w:t>
      </w:r>
      <w:r w:rsidR="3862D0AB" w:rsidRPr="5575EBFC">
        <w:rPr>
          <w:lang w:val="en-GB"/>
        </w:rPr>
        <w:t xml:space="preserve"> per cent reported on indirect </w:t>
      </w:r>
      <w:r w:rsidR="653902EA" w:rsidRPr="5575EBFC">
        <w:rPr>
          <w:lang w:val="en-GB"/>
        </w:rPr>
        <w:t>drivers of change in nature</w:t>
      </w:r>
      <w:r w:rsidR="3862D0AB" w:rsidRPr="5575EBFC">
        <w:rPr>
          <w:lang w:val="en-GB"/>
        </w:rPr>
        <w:t xml:space="preserve"> (sociocultural 2</w:t>
      </w:r>
      <w:r w:rsidR="7B2FFED3" w:rsidRPr="5575EBFC">
        <w:rPr>
          <w:lang w:val="en-GB"/>
        </w:rPr>
        <w:t>.2</w:t>
      </w:r>
      <w:r w:rsidR="3862D0AB" w:rsidRPr="5575EBFC">
        <w:rPr>
          <w:lang w:val="en-GB"/>
        </w:rPr>
        <w:t xml:space="preserve"> per cent, demographic </w:t>
      </w:r>
      <w:r w:rsidR="7B2FFED3" w:rsidRPr="5575EBFC">
        <w:rPr>
          <w:lang w:val="en-GB"/>
        </w:rPr>
        <w:t>9.5</w:t>
      </w:r>
      <w:r w:rsidR="3862D0AB" w:rsidRPr="5575EBFC">
        <w:rPr>
          <w:lang w:val="en-GB"/>
        </w:rPr>
        <w:t xml:space="preserve"> per cent, economic </w:t>
      </w:r>
      <w:r w:rsidR="7B2FFED3" w:rsidRPr="5575EBFC">
        <w:rPr>
          <w:lang w:val="en-GB"/>
        </w:rPr>
        <w:t>10.4</w:t>
      </w:r>
      <w:r w:rsidR="3862D0AB" w:rsidRPr="5575EBFC">
        <w:rPr>
          <w:lang w:val="en-GB"/>
        </w:rPr>
        <w:t xml:space="preserve"> per cent, technology </w:t>
      </w:r>
      <w:r w:rsidR="7B2FFED3" w:rsidRPr="5575EBFC">
        <w:rPr>
          <w:lang w:val="en-GB"/>
        </w:rPr>
        <w:t>5.9</w:t>
      </w:r>
      <w:r w:rsidR="24E30D1B" w:rsidRPr="5575EBFC">
        <w:rPr>
          <w:lang w:val="en-GB"/>
        </w:rPr>
        <w:t xml:space="preserve"> </w:t>
      </w:r>
      <w:r w:rsidR="3862D0AB" w:rsidRPr="5575EBFC">
        <w:rPr>
          <w:lang w:val="en-GB"/>
        </w:rPr>
        <w:t>per cent, governance 2.</w:t>
      </w:r>
      <w:r w:rsidR="7B2FFED3" w:rsidRPr="5575EBFC">
        <w:rPr>
          <w:lang w:val="en-GB"/>
        </w:rPr>
        <w:t>4</w:t>
      </w:r>
      <w:r w:rsidR="3862D0AB" w:rsidRPr="5575EBFC">
        <w:rPr>
          <w:lang w:val="en-GB"/>
        </w:rPr>
        <w:t xml:space="preserve"> per cent)</w:t>
      </w:r>
      <w:r w:rsidR="6546D47B" w:rsidRPr="5575EBFC">
        <w:rPr>
          <w:lang w:val="en-GB"/>
        </w:rPr>
        <w:t>;</w:t>
      </w:r>
    </w:p>
    <w:p w14:paraId="20E6C10A" w14:textId="77777777" w:rsidR="00FA2EFD" w:rsidRPr="00DA249F" w:rsidRDefault="74B84A1C" w:rsidP="00FA2EFD">
      <w:pPr>
        <w:pStyle w:val="ListParagraph"/>
        <w:numPr>
          <w:ilvl w:val="0"/>
          <w:numId w:val="17"/>
        </w:numPr>
        <w:spacing w:before="0" w:after="0"/>
        <w:rPr>
          <w:lang w:val="en-GB"/>
        </w:rPr>
      </w:pPr>
      <w:r w:rsidRPr="5575EBFC">
        <w:rPr>
          <w:lang w:val="en-GB"/>
        </w:rPr>
        <w:t>72</w:t>
      </w:r>
      <w:r w:rsidR="1C9BE6C6" w:rsidRPr="5575EBFC">
        <w:rPr>
          <w:lang w:val="en-GB"/>
        </w:rPr>
        <w:t>.1</w:t>
      </w:r>
      <w:r w:rsidR="3862D0AB" w:rsidRPr="5575EBFC">
        <w:rPr>
          <w:lang w:val="en-GB"/>
        </w:rPr>
        <w:t xml:space="preserve"> per cent on link</w:t>
      </w:r>
      <w:r w:rsidR="16B86F1B" w:rsidRPr="5575EBFC">
        <w:rPr>
          <w:lang w:val="en-GB"/>
        </w:rPr>
        <w:t>ed</w:t>
      </w:r>
      <w:r w:rsidR="3862D0AB" w:rsidRPr="5575EBFC">
        <w:rPr>
          <w:lang w:val="en-GB"/>
        </w:rPr>
        <w:t xml:space="preserve"> to direct </w:t>
      </w:r>
      <w:r w:rsidR="653902EA" w:rsidRPr="5575EBFC">
        <w:rPr>
          <w:lang w:val="en-GB"/>
        </w:rPr>
        <w:t>drivers of change in nature</w:t>
      </w:r>
      <w:r w:rsidR="3862D0AB" w:rsidRPr="5575EBFC">
        <w:rPr>
          <w:lang w:val="en-GB"/>
        </w:rPr>
        <w:t xml:space="preserve"> (land- and sea-use change </w:t>
      </w:r>
      <w:r w:rsidR="2D431B78" w:rsidRPr="5575EBFC">
        <w:rPr>
          <w:lang w:val="en-GB"/>
        </w:rPr>
        <w:t>29.3</w:t>
      </w:r>
      <w:r w:rsidR="3862D0AB" w:rsidRPr="5575EBFC">
        <w:rPr>
          <w:lang w:val="en-GB"/>
        </w:rPr>
        <w:t xml:space="preserve"> per cent, </w:t>
      </w:r>
      <w:r w:rsidR="627C1AAF" w:rsidRPr="5575EBFC">
        <w:rPr>
          <w:rStyle w:val="normaltextrun"/>
          <w:color w:val="000000" w:themeColor="text1"/>
          <w:lang w:val="en-GB"/>
        </w:rPr>
        <w:t>direct exploitation of natural resources</w:t>
      </w:r>
      <w:r w:rsidR="627C1AAF" w:rsidRPr="5575EBFC">
        <w:rPr>
          <w:lang w:val="en-GB"/>
        </w:rPr>
        <w:t xml:space="preserve"> </w:t>
      </w:r>
      <w:r w:rsidR="2D431B78" w:rsidRPr="5575EBFC">
        <w:rPr>
          <w:lang w:val="en-GB"/>
        </w:rPr>
        <w:t>7</w:t>
      </w:r>
      <w:r w:rsidR="3862D0AB" w:rsidRPr="5575EBFC">
        <w:rPr>
          <w:lang w:val="en-GB"/>
        </w:rPr>
        <w:t xml:space="preserve"> per cent, pollution 1</w:t>
      </w:r>
      <w:r w:rsidR="2D431B78" w:rsidRPr="5575EBFC">
        <w:rPr>
          <w:lang w:val="en-GB"/>
        </w:rPr>
        <w:t>2.1</w:t>
      </w:r>
      <w:r w:rsidR="3862D0AB" w:rsidRPr="5575EBFC">
        <w:rPr>
          <w:lang w:val="en-GB"/>
        </w:rPr>
        <w:t xml:space="preserve"> per cent, climate change 1</w:t>
      </w:r>
      <w:r w:rsidR="2D431B78" w:rsidRPr="5575EBFC">
        <w:rPr>
          <w:lang w:val="en-GB"/>
        </w:rPr>
        <w:t>7.</w:t>
      </w:r>
      <w:r w:rsidR="1C9BE6C6" w:rsidRPr="5575EBFC">
        <w:rPr>
          <w:lang w:val="en-GB"/>
        </w:rPr>
        <w:t>2</w:t>
      </w:r>
      <w:r w:rsidR="3862D0AB" w:rsidRPr="5575EBFC">
        <w:rPr>
          <w:lang w:val="en-GB"/>
        </w:rPr>
        <w:t xml:space="preserve"> per cent, invasive alien species </w:t>
      </w:r>
      <w:r w:rsidR="589FE53C" w:rsidRPr="5575EBFC">
        <w:rPr>
          <w:lang w:val="en-GB"/>
        </w:rPr>
        <w:t>6</w:t>
      </w:r>
      <w:r w:rsidR="2D431B78" w:rsidRPr="5575EBFC">
        <w:rPr>
          <w:lang w:val="en-GB"/>
        </w:rPr>
        <w:t>.5</w:t>
      </w:r>
      <w:r w:rsidR="3862D0AB" w:rsidRPr="5575EBFC">
        <w:rPr>
          <w:lang w:val="en-GB"/>
        </w:rPr>
        <w:t xml:space="preserve"> per cent)</w:t>
      </w:r>
      <w:r w:rsidR="6546D47B" w:rsidRPr="5575EBFC">
        <w:rPr>
          <w:lang w:val="en-GB"/>
        </w:rPr>
        <w:t>;</w:t>
      </w:r>
    </w:p>
    <w:p w14:paraId="4F88592D" w14:textId="77777777" w:rsidR="00986281" w:rsidRPr="00DA249F" w:rsidRDefault="004D6905" w:rsidP="00FA2EFD">
      <w:pPr>
        <w:pStyle w:val="ListParagraph"/>
        <w:numPr>
          <w:ilvl w:val="0"/>
          <w:numId w:val="17"/>
        </w:numPr>
        <w:spacing w:before="0" w:after="0"/>
        <w:rPr>
          <w:lang w:val="en-GB"/>
        </w:rPr>
      </w:pPr>
      <w:r w:rsidRPr="00DA249F">
        <w:rPr>
          <w:lang w:val="en-GB"/>
        </w:rPr>
        <w:t>5</w:t>
      </w:r>
      <w:r w:rsidR="00986281" w:rsidRPr="00DA249F">
        <w:rPr>
          <w:lang w:val="en-GB"/>
        </w:rPr>
        <w:t>.</w:t>
      </w:r>
      <w:r w:rsidR="00494F29" w:rsidRPr="00DA249F">
        <w:rPr>
          <w:lang w:val="en-GB"/>
        </w:rPr>
        <w:t>8</w:t>
      </w:r>
      <w:r w:rsidR="00986281" w:rsidRPr="00DA249F">
        <w:rPr>
          <w:lang w:val="en-GB"/>
        </w:rPr>
        <w:t xml:space="preserve"> per cent on link</w:t>
      </w:r>
      <w:r w:rsidR="006E1199">
        <w:rPr>
          <w:lang w:val="en-GB"/>
        </w:rPr>
        <w:t>ed</w:t>
      </w:r>
      <w:r w:rsidR="00986281" w:rsidRPr="00DA249F">
        <w:rPr>
          <w:lang w:val="en-GB"/>
        </w:rPr>
        <w:t xml:space="preserve"> to other drivers (biodiversity loss </w:t>
      </w:r>
      <w:r w:rsidR="001644CD" w:rsidRPr="00DA249F">
        <w:rPr>
          <w:lang w:val="en-GB"/>
        </w:rPr>
        <w:t>3.</w:t>
      </w:r>
      <w:r w:rsidR="009E0DD7" w:rsidRPr="00DA249F">
        <w:rPr>
          <w:lang w:val="en-GB"/>
        </w:rPr>
        <w:t>9</w:t>
      </w:r>
      <w:r w:rsidR="00986281" w:rsidRPr="00DA249F">
        <w:rPr>
          <w:lang w:val="en-GB"/>
        </w:rPr>
        <w:t xml:space="preserve"> per cent, natural drivers </w:t>
      </w:r>
      <w:r w:rsidR="001644CD" w:rsidRPr="00DA249F">
        <w:rPr>
          <w:lang w:val="en-GB"/>
        </w:rPr>
        <w:t>1.</w:t>
      </w:r>
      <w:r w:rsidR="009E0DD7" w:rsidRPr="00DA249F">
        <w:rPr>
          <w:lang w:val="en-GB"/>
        </w:rPr>
        <w:t>9</w:t>
      </w:r>
      <w:r w:rsidR="001644CD" w:rsidRPr="00DA249F">
        <w:rPr>
          <w:lang w:val="en-GB"/>
        </w:rPr>
        <w:t xml:space="preserve"> </w:t>
      </w:r>
      <w:r w:rsidR="00986281" w:rsidRPr="00DA249F">
        <w:rPr>
          <w:lang w:val="en-GB"/>
        </w:rPr>
        <w:t xml:space="preserve">per cent). </w:t>
      </w:r>
    </w:p>
    <w:p w14:paraId="3CD1E432" w14:textId="39C0C2EE" w:rsidR="00986281" w:rsidRPr="00DA249F" w:rsidRDefault="68416966" w:rsidP="00986281">
      <w:pPr>
        <w:rPr>
          <w:lang w:val="en-GB"/>
        </w:rPr>
      </w:pPr>
      <w:r w:rsidRPr="5575EBFC">
        <w:rPr>
          <w:lang w:val="en-GB"/>
        </w:rPr>
        <w:t>D</w:t>
      </w:r>
      <w:r w:rsidR="3862D0AB" w:rsidRPr="5575EBFC">
        <w:rPr>
          <w:lang w:val="en-GB"/>
        </w:rPr>
        <w:t xml:space="preserve">espite targeted searches to address how two or more drivers </w:t>
      </w:r>
      <w:r w:rsidR="7363E88D" w:rsidRPr="5575EBFC">
        <w:rPr>
          <w:lang w:val="en-GB"/>
        </w:rPr>
        <w:t xml:space="preserve">of change in nature </w:t>
      </w:r>
      <w:r w:rsidR="3862D0AB" w:rsidRPr="5575EBFC">
        <w:rPr>
          <w:lang w:val="en-GB"/>
        </w:rPr>
        <w:t>interact to facilitate biological invasions (</w:t>
      </w:r>
      <w:r w:rsidR="3862D0AB" w:rsidRPr="5575EBFC">
        <w:rPr>
          <w:b/>
          <w:bCs/>
          <w:lang w:val="en-GB"/>
        </w:rPr>
        <w:t>sections 3.1.5,</w:t>
      </w:r>
      <w:r w:rsidR="56596397" w:rsidRPr="5575EBFC">
        <w:rPr>
          <w:b/>
          <w:bCs/>
          <w:lang w:val="en-GB"/>
        </w:rPr>
        <w:t xml:space="preserve"> </w:t>
      </w:r>
      <w:r w:rsidR="3862D0AB" w:rsidRPr="5575EBFC">
        <w:rPr>
          <w:b/>
          <w:bCs/>
          <w:lang w:val="en-GB"/>
        </w:rPr>
        <w:t>3.5</w:t>
      </w:r>
      <w:r w:rsidR="3862D0AB" w:rsidRPr="5575EBFC">
        <w:rPr>
          <w:lang w:val="en-GB"/>
        </w:rPr>
        <w:t>) fewer than 20</w:t>
      </w:r>
      <w:r w:rsidR="184B1AE3" w:rsidRPr="5575EBFC">
        <w:rPr>
          <w:lang w:val="en-GB"/>
        </w:rPr>
        <w:t xml:space="preserve"> per cent</w:t>
      </w:r>
      <w:r w:rsidR="3862D0AB" w:rsidRPr="5575EBFC">
        <w:rPr>
          <w:lang w:val="en-GB"/>
        </w:rPr>
        <w:t xml:space="preserve"> of these </w:t>
      </w:r>
      <w:r w:rsidR="16B86F1B" w:rsidRPr="5575EBFC">
        <w:rPr>
          <w:lang w:val="en-GB"/>
        </w:rPr>
        <w:t xml:space="preserve">studies </w:t>
      </w:r>
      <w:r w:rsidR="3862D0AB" w:rsidRPr="5575EBFC">
        <w:rPr>
          <w:lang w:val="en-GB"/>
        </w:rPr>
        <w:t>report</w:t>
      </w:r>
      <w:r w:rsidR="16B86F1B" w:rsidRPr="5575EBFC">
        <w:rPr>
          <w:lang w:val="en-GB"/>
        </w:rPr>
        <w:t>ed</w:t>
      </w:r>
      <w:r w:rsidR="3862D0AB" w:rsidRPr="5575EBFC">
        <w:rPr>
          <w:lang w:val="en-GB"/>
        </w:rPr>
        <w:t xml:space="preserve"> on the role of more than one driver in facilitating biological invasions (</w:t>
      </w:r>
      <w:r w:rsidR="00331A79">
        <w:rPr>
          <w:b/>
          <w:bCs/>
          <w:lang w:val="en-GB"/>
        </w:rPr>
        <w:t>B</w:t>
      </w:r>
      <w:r w:rsidR="2D0E0D63" w:rsidRPr="5575EBFC">
        <w:rPr>
          <w:b/>
          <w:bCs/>
          <w:lang w:val="en-GB"/>
        </w:rPr>
        <w:t xml:space="preserve">oxes </w:t>
      </w:r>
      <w:r w:rsidR="3862D0AB" w:rsidRPr="5575EBFC">
        <w:rPr>
          <w:b/>
          <w:bCs/>
          <w:lang w:val="en-GB"/>
        </w:rPr>
        <w:t>3.12</w:t>
      </w:r>
      <w:r w:rsidR="21AA6190" w:rsidRPr="5575EBFC">
        <w:rPr>
          <w:lang w:val="en-GB"/>
        </w:rPr>
        <w:t xml:space="preserve"> and</w:t>
      </w:r>
      <w:r w:rsidR="3862D0AB" w:rsidRPr="5575EBFC">
        <w:rPr>
          <w:b/>
          <w:bCs/>
          <w:lang w:val="en-GB"/>
        </w:rPr>
        <w:t xml:space="preserve"> 3.13</w:t>
      </w:r>
      <w:r w:rsidR="3862D0AB" w:rsidRPr="5575EBFC">
        <w:rPr>
          <w:lang w:val="en-GB"/>
        </w:rPr>
        <w:t>).</w:t>
      </w:r>
      <w:r w:rsidR="56596397" w:rsidRPr="5575EBFC">
        <w:rPr>
          <w:lang w:val="en-GB"/>
        </w:rPr>
        <w:t xml:space="preserve"> </w:t>
      </w:r>
    </w:p>
    <w:p w14:paraId="5B2C2BA1" w14:textId="15A0591D" w:rsidR="006E1199" w:rsidRDefault="09B08282" w:rsidP="00986281">
      <w:pPr>
        <w:rPr>
          <w:lang w:val="en-GB"/>
        </w:rPr>
      </w:pPr>
      <w:r w:rsidRPr="5575EBFC">
        <w:rPr>
          <w:lang w:val="en-GB"/>
        </w:rPr>
        <w:t>Most studies were on i</w:t>
      </w:r>
      <w:r w:rsidR="3862D0AB" w:rsidRPr="5575EBFC">
        <w:rPr>
          <w:lang w:val="en-GB"/>
        </w:rPr>
        <w:t>nvasive alien plants (</w:t>
      </w:r>
      <w:r w:rsidR="35F396E9" w:rsidRPr="5575EBFC">
        <w:rPr>
          <w:lang w:val="en-GB"/>
        </w:rPr>
        <w:t>52.</w:t>
      </w:r>
      <w:r w:rsidR="2610A7C5" w:rsidRPr="5575EBFC">
        <w:rPr>
          <w:lang w:val="en-GB"/>
        </w:rPr>
        <w:t>8</w:t>
      </w:r>
      <w:r w:rsidR="3862D0AB" w:rsidRPr="5575EBFC">
        <w:rPr>
          <w:lang w:val="en-GB"/>
        </w:rPr>
        <w:t xml:space="preserve"> per cent), </w:t>
      </w:r>
      <w:r w:rsidRPr="5575EBFC">
        <w:rPr>
          <w:lang w:val="en-GB"/>
        </w:rPr>
        <w:t xml:space="preserve">which represents </w:t>
      </w:r>
      <w:r w:rsidR="3862D0AB" w:rsidRPr="5575EBFC">
        <w:rPr>
          <w:lang w:val="en-GB"/>
        </w:rPr>
        <w:t xml:space="preserve">almost twice as </w:t>
      </w:r>
      <w:r w:rsidR="1DE776A0" w:rsidRPr="5575EBFC">
        <w:rPr>
          <w:lang w:val="en-GB"/>
        </w:rPr>
        <w:t xml:space="preserve">many </w:t>
      </w:r>
      <w:r w:rsidR="3862D0AB" w:rsidRPr="5575EBFC">
        <w:rPr>
          <w:lang w:val="en-GB"/>
        </w:rPr>
        <w:t xml:space="preserve">as </w:t>
      </w:r>
      <w:r w:rsidR="1DE776A0" w:rsidRPr="5575EBFC">
        <w:rPr>
          <w:lang w:val="en-GB"/>
        </w:rPr>
        <w:t xml:space="preserve">for </w:t>
      </w:r>
      <w:r w:rsidR="3862D0AB" w:rsidRPr="5575EBFC">
        <w:rPr>
          <w:lang w:val="en-GB"/>
        </w:rPr>
        <w:t>invasive alien vertebrates (</w:t>
      </w:r>
      <w:r w:rsidR="35F396E9" w:rsidRPr="5575EBFC">
        <w:rPr>
          <w:lang w:val="en-GB"/>
        </w:rPr>
        <w:t>28.9</w:t>
      </w:r>
      <w:r w:rsidR="3862D0AB" w:rsidRPr="5575EBFC">
        <w:rPr>
          <w:lang w:val="en-GB"/>
        </w:rPr>
        <w:t xml:space="preserve"> per cent) or invertebrates (</w:t>
      </w:r>
      <w:r w:rsidR="35F396E9" w:rsidRPr="5575EBFC">
        <w:rPr>
          <w:lang w:val="en-GB"/>
        </w:rPr>
        <w:t>29.</w:t>
      </w:r>
      <w:r w:rsidR="2610A7C5" w:rsidRPr="5575EBFC">
        <w:rPr>
          <w:lang w:val="en-GB"/>
        </w:rPr>
        <w:t>2</w:t>
      </w:r>
      <w:r w:rsidR="3862D0AB" w:rsidRPr="5575EBFC">
        <w:rPr>
          <w:lang w:val="en-GB"/>
        </w:rPr>
        <w:t xml:space="preserve"> per cent), with fewer </w:t>
      </w:r>
      <w:r w:rsidR="16B86F1B" w:rsidRPr="5575EBFC">
        <w:rPr>
          <w:lang w:val="en-GB"/>
        </w:rPr>
        <w:t xml:space="preserve">studies </w:t>
      </w:r>
      <w:r w:rsidR="1DE776A0" w:rsidRPr="5575EBFC">
        <w:rPr>
          <w:lang w:val="en-GB"/>
        </w:rPr>
        <w:t xml:space="preserve">having been conducted </w:t>
      </w:r>
      <w:r w:rsidR="3862D0AB" w:rsidRPr="5575EBFC">
        <w:rPr>
          <w:lang w:val="en-GB"/>
        </w:rPr>
        <w:t>on invasive alien microbes and fungi (</w:t>
      </w:r>
      <w:r w:rsidR="35F396E9" w:rsidRPr="5575EBFC">
        <w:rPr>
          <w:lang w:val="en-GB"/>
        </w:rPr>
        <w:t>12.3</w:t>
      </w:r>
      <w:r w:rsidR="3862D0AB" w:rsidRPr="5575EBFC">
        <w:rPr>
          <w:lang w:val="en-GB"/>
        </w:rPr>
        <w:t xml:space="preserve"> per cent). More than half of the identified </w:t>
      </w:r>
      <w:r w:rsidR="16B86F1B" w:rsidRPr="5575EBFC">
        <w:rPr>
          <w:lang w:val="en-GB"/>
        </w:rPr>
        <w:t xml:space="preserve">studies </w:t>
      </w:r>
      <w:r w:rsidR="3862D0AB" w:rsidRPr="5575EBFC">
        <w:rPr>
          <w:lang w:val="en-GB"/>
        </w:rPr>
        <w:t>were from the terrestrial realm</w:t>
      </w:r>
      <w:r w:rsidR="0903ACDA" w:rsidRPr="5575EBFC">
        <w:rPr>
          <w:lang w:val="en-GB"/>
        </w:rPr>
        <w:t xml:space="preserve"> (</w:t>
      </w:r>
      <w:r w:rsidR="648DCA2E" w:rsidRPr="5575EBFC">
        <w:rPr>
          <w:lang w:val="en-GB"/>
        </w:rPr>
        <w:t>66.</w:t>
      </w:r>
      <w:r w:rsidR="0369204E" w:rsidRPr="5575EBFC">
        <w:rPr>
          <w:lang w:val="en-GB"/>
        </w:rPr>
        <w:t>3</w:t>
      </w:r>
      <w:r w:rsidR="648DCA2E" w:rsidRPr="5575EBFC">
        <w:rPr>
          <w:lang w:val="en-GB"/>
        </w:rPr>
        <w:t xml:space="preserve"> per cent)</w:t>
      </w:r>
      <w:r w:rsidR="3862D0AB" w:rsidRPr="5575EBFC">
        <w:rPr>
          <w:lang w:val="en-GB"/>
        </w:rPr>
        <w:t>, whereas freshwater and marine systems were represented by</w:t>
      </w:r>
      <w:r w:rsidR="648DCA2E" w:rsidRPr="5575EBFC">
        <w:rPr>
          <w:lang w:val="en-GB"/>
        </w:rPr>
        <w:t>, respectively,</w:t>
      </w:r>
      <w:r w:rsidR="3862D0AB" w:rsidRPr="5575EBFC">
        <w:rPr>
          <w:lang w:val="en-GB"/>
        </w:rPr>
        <w:t xml:space="preserve"> </w:t>
      </w:r>
      <w:r w:rsidR="648DCA2E" w:rsidRPr="5575EBFC">
        <w:rPr>
          <w:lang w:val="en-GB"/>
        </w:rPr>
        <w:t>20.2</w:t>
      </w:r>
      <w:r w:rsidR="3862D0AB" w:rsidRPr="5575EBFC">
        <w:rPr>
          <w:lang w:val="en-GB"/>
        </w:rPr>
        <w:t xml:space="preserve"> per cent and </w:t>
      </w:r>
      <w:r w:rsidR="7A11806E" w:rsidRPr="5575EBFC">
        <w:rPr>
          <w:lang w:val="en-GB"/>
        </w:rPr>
        <w:t>23.7</w:t>
      </w:r>
      <w:r w:rsidR="3862D0AB" w:rsidRPr="5575EBFC">
        <w:rPr>
          <w:lang w:val="en-GB"/>
        </w:rPr>
        <w:t xml:space="preserve"> per cent of the studies</w:t>
      </w:r>
      <w:r w:rsidR="648DCA2E" w:rsidRPr="5575EBFC">
        <w:rPr>
          <w:lang w:val="en-GB"/>
        </w:rPr>
        <w:t>.</w:t>
      </w:r>
      <w:r w:rsidR="3862D0AB" w:rsidRPr="5575EBFC">
        <w:rPr>
          <w:lang w:val="en-GB"/>
        </w:rPr>
        <w:t xml:space="preserve"> Plants dominate</w:t>
      </w:r>
      <w:r w:rsidR="16B86F1B" w:rsidRPr="5575EBFC">
        <w:rPr>
          <w:lang w:val="en-GB"/>
        </w:rPr>
        <w:t>d</w:t>
      </w:r>
      <w:r w:rsidR="3862D0AB" w:rsidRPr="5575EBFC">
        <w:rPr>
          <w:lang w:val="en-GB"/>
        </w:rPr>
        <w:t xml:space="preserve"> studies of terrestrial </w:t>
      </w:r>
      <w:r w:rsidR="364E264D" w:rsidRPr="5575EBFC">
        <w:rPr>
          <w:lang w:val="en-GB"/>
        </w:rPr>
        <w:t>invasive alien species</w:t>
      </w:r>
      <w:r w:rsidR="4C85F5D7" w:rsidRPr="5575EBFC">
        <w:rPr>
          <w:lang w:val="en-GB"/>
        </w:rPr>
        <w:t>,</w:t>
      </w:r>
      <w:r w:rsidR="3862D0AB" w:rsidRPr="5575EBFC">
        <w:rPr>
          <w:lang w:val="en-GB"/>
        </w:rPr>
        <w:t xml:space="preserve"> whereas all macroscopic taxonomic groups </w:t>
      </w:r>
      <w:r w:rsidRPr="5575EBFC">
        <w:rPr>
          <w:lang w:val="en-GB"/>
        </w:rPr>
        <w:t xml:space="preserve">were </w:t>
      </w:r>
      <w:r w:rsidR="3862D0AB" w:rsidRPr="5575EBFC">
        <w:rPr>
          <w:lang w:val="en-GB"/>
        </w:rPr>
        <w:t xml:space="preserve">relatively evenly represented in the </w:t>
      </w:r>
      <w:r w:rsidRPr="5575EBFC">
        <w:rPr>
          <w:lang w:val="en-GB"/>
        </w:rPr>
        <w:t xml:space="preserve">studies </w:t>
      </w:r>
      <w:r w:rsidR="3862D0AB" w:rsidRPr="5575EBFC">
        <w:rPr>
          <w:lang w:val="en-GB"/>
        </w:rPr>
        <w:t xml:space="preserve">reviewed from the aquatic realms, with vertebrate studies being most numerous in </w:t>
      </w:r>
      <w:r w:rsidR="1DE776A0" w:rsidRPr="5575EBFC">
        <w:rPr>
          <w:lang w:val="en-GB"/>
        </w:rPr>
        <w:t xml:space="preserve">the </w:t>
      </w:r>
      <w:r w:rsidR="3862D0AB" w:rsidRPr="5575EBFC">
        <w:rPr>
          <w:lang w:val="en-GB"/>
        </w:rPr>
        <w:t>freshwater</w:t>
      </w:r>
      <w:r w:rsidR="1DE776A0" w:rsidRPr="5575EBFC">
        <w:rPr>
          <w:lang w:val="en-GB"/>
        </w:rPr>
        <w:t xml:space="preserve"> realm</w:t>
      </w:r>
      <w:r w:rsidR="3862D0AB" w:rsidRPr="5575EBFC">
        <w:rPr>
          <w:lang w:val="en-GB"/>
        </w:rPr>
        <w:t xml:space="preserve"> and invertebrate studies </w:t>
      </w:r>
      <w:r w:rsidR="1DE776A0" w:rsidRPr="5575EBFC">
        <w:rPr>
          <w:lang w:val="en-GB"/>
        </w:rPr>
        <w:t xml:space="preserve">most numerous </w:t>
      </w:r>
      <w:r w:rsidR="3862D0AB" w:rsidRPr="5575EBFC">
        <w:rPr>
          <w:lang w:val="en-GB"/>
        </w:rPr>
        <w:t>in the marine</w:t>
      </w:r>
      <w:r w:rsidR="1DE776A0" w:rsidRPr="5575EBFC">
        <w:rPr>
          <w:lang w:val="en-GB"/>
        </w:rPr>
        <w:t xml:space="preserve"> realm</w:t>
      </w:r>
      <w:r w:rsidR="3862D0AB" w:rsidRPr="5575EBFC">
        <w:rPr>
          <w:lang w:val="en-GB"/>
        </w:rPr>
        <w:t xml:space="preserve"> (</w:t>
      </w:r>
      <w:r w:rsidR="00DC2990">
        <w:rPr>
          <w:b/>
          <w:bCs/>
          <w:lang w:val="en-GB"/>
        </w:rPr>
        <w:t>Figure</w:t>
      </w:r>
      <w:r w:rsidR="2A229F32" w:rsidRPr="5575EBFC">
        <w:rPr>
          <w:b/>
          <w:bCs/>
          <w:lang w:val="en-GB"/>
        </w:rPr>
        <w:t xml:space="preserve"> 3.30</w:t>
      </w:r>
      <w:r w:rsidR="3CE1AD08" w:rsidRPr="5575EBFC">
        <w:rPr>
          <w:b/>
          <w:bCs/>
          <w:lang w:val="en-GB"/>
        </w:rPr>
        <w:t>A</w:t>
      </w:r>
      <w:r w:rsidR="3862D0AB" w:rsidRPr="5575EBFC">
        <w:rPr>
          <w:lang w:val="en-GB"/>
        </w:rPr>
        <w:t xml:space="preserve">). </w:t>
      </w:r>
    </w:p>
    <w:p w14:paraId="489294AE" w14:textId="3B0C087D" w:rsidR="006E1199" w:rsidRDefault="00DF54E9" w:rsidP="00986281">
      <w:pPr>
        <w:rPr>
          <w:lang w:val="en-GB"/>
        </w:rPr>
      </w:pPr>
      <w:r w:rsidRPr="00DA249F">
        <w:rPr>
          <w:lang w:val="en-GB"/>
        </w:rPr>
        <w:t xml:space="preserve">Reviewed </w:t>
      </w:r>
      <w:r w:rsidR="00C10052">
        <w:rPr>
          <w:lang w:val="en-GB"/>
        </w:rPr>
        <w:t>studies</w:t>
      </w:r>
      <w:r w:rsidR="00C10052" w:rsidRPr="00DA249F">
        <w:rPr>
          <w:lang w:val="en-GB"/>
        </w:rPr>
        <w:t xml:space="preserve"> </w:t>
      </w:r>
      <w:r w:rsidR="00A7479E" w:rsidRPr="00DA249F">
        <w:rPr>
          <w:lang w:val="en-GB"/>
        </w:rPr>
        <w:t xml:space="preserve">mostly </w:t>
      </w:r>
      <w:r w:rsidR="00C10052">
        <w:rPr>
          <w:lang w:val="en-GB"/>
        </w:rPr>
        <w:t>focused on</w:t>
      </w:r>
      <w:r w:rsidR="00C10052" w:rsidRPr="00DA249F">
        <w:rPr>
          <w:lang w:val="en-GB"/>
        </w:rPr>
        <w:t xml:space="preserve"> </w:t>
      </w:r>
      <w:r w:rsidR="00C10052">
        <w:rPr>
          <w:lang w:val="en-GB"/>
        </w:rPr>
        <w:t xml:space="preserve">drivers </w:t>
      </w:r>
      <w:r w:rsidR="00A7479E" w:rsidRPr="00DA249F">
        <w:rPr>
          <w:lang w:val="en-GB"/>
        </w:rPr>
        <w:t>in</w:t>
      </w:r>
      <w:r w:rsidR="00986281" w:rsidRPr="00DA249F">
        <w:rPr>
          <w:lang w:val="en-GB"/>
        </w:rPr>
        <w:t xml:space="preserve"> the Americas (</w:t>
      </w:r>
      <w:r w:rsidR="009F4718" w:rsidRPr="00DA249F">
        <w:rPr>
          <w:lang w:val="en-GB"/>
        </w:rPr>
        <w:t>45</w:t>
      </w:r>
      <w:r w:rsidR="00986281" w:rsidRPr="00DA249F">
        <w:rPr>
          <w:lang w:val="en-GB"/>
        </w:rPr>
        <w:t xml:space="preserve"> per cent), followed by Europe and Central Asia (</w:t>
      </w:r>
      <w:r w:rsidR="006F65B2" w:rsidRPr="00DA249F">
        <w:rPr>
          <w:lang w:val="en-GB"/>
        </w:rPr>
        <w:t>36.6</w:t>
      </w:r>
      <w:r w:rsidR="00986281" w:rsidRPr="00DA249F">
        <w:rPr>
          <w:lang w:val="en-GB"/>
        </w:rPr>
        <w:t xml:space="preserve"> per cent), with fewer </w:t>
      </w:r>
      <w:r w:rsidR="00C10052">
        <w:rPr>
          <w:lang w:val="en-GB"/>
        </w:rPr>
        <w:t>studies</w:t>
      </w:r>
      <w:r w:rsidR="00C10052" w:rsidRPr="00DA249F">
        <w:rPr>
          <w:lang w:val="en-GB"/>
        </w:rPr>
        <w:t xml:space="preserve"> </w:t>
      </w:r>
      <w:r w:rsidR="00986281" w:rsidRPr="00DA249F">
        <w:rPr>
          <w:lang w:val="en-GB"/>
        </w:rPr>
        <w:t xml:space="preserve">from </w:t>
      </w:r>
      <w:r w:rsidR="004209CD">
        <w:rPr>
          <w:lang w:val="en-GB"/>
        </w:rPr>
        <w:t xml:space="preserve">the </w:t>
      </w:r>
      <w:r w:rsidR="00986281" w:rsidRPr="00DA249F">
        <w:rPr>
          <w:lang w:val="en-GB"/>
        </w:rPr>
        <w:t>Asia-Pacific</w:t>
      </w:r>
      <w:r w:rsidR="004209CD">
        <w:rPr>
          <w:lang w:val="en-GB"/>
        </w:rPr>
        <w:t xml:space="preserve"> region</w:t>
      </w:r>
      <w:r w:rsidR="00986281" w:rsidRPr="00DA249F">
        <w:rPr>
          <w:lang w:val="en-GB"/>
        </w:rPr>
        <w:t xml:space="preserve"> (</w:t>
      </w:r>
      <w:r w:rsidR="00E54666" w:rsidRPr="00DA249F">
        <w:rPr>
          <w:lang w:val="en-GB"/>
        </w:rPr>
        <w:t>34.5</w:t>
      </w:r>
      <w:r w:rsidR="00986281" w:rsidRPr="00DA249F">
        <w:rPr>
          <w:lang w:val="en-GB"/>
        </w:rPr>
        <w:t xml:space="preserve"> per cent</w:t>
      </w:r>
      <w:r w:rsidR="00E54666" w:rsidRPr="00DA249F">
        <w:rPr>
          <w:lang w:val="en-GB"/>
        </w:rPr>
        <w:t xml:space="preserve">, noting that 23.2 per cent </w:t>
      </w:r>
      <w:r w:rsidR="00C10052">
        <w:rPr>
          <w:lang w:val="en-GB"/>
        </w:rPr>
        <w:t>were</w:t>
      </w:r>
      <w:r w:rsidR="00C10052" w:rsidRPr="00DA249F">
        <w:rPr>
          <w:lang w:val="en-GB"/>
        </w:rPr>
        <w:t xml:space="preserve"> </w:t>
      </w:r>
      <w:r w:rsidR="00E54666" w:rsidRPr="00DA249F">
        <w:rPr>
          <w:lang w:val="en-GB"/>
        </w:rPr>
        <w:t>from Oceania</w:t>
      </w:r>
      <w:r w:rsidR="00986281" w:rsidRPr="00DA249F">
        <w:rPr>
          <w:lang w:val="en-GB"/>
        </w:rPr>
        <w:t>)</w:t>
      </w:r>
      <w:r w:rsidR="00774819">
        <w:rPr>
          <w:lang w:val="en-GB"/>
        </w:rPr>
        <w:t xml:space="preserve"> and</w:t>
      </w:r>
      <w:r w:rsidR="00986281" w:rsidRPr="00DA249F">
        <w:rPr>
          <w:lang w:val="en-GB"/>
        </w:rPr>
        <w:t xml:space="preserve"> </w:t>
      </w:r>
      <w:r w:rsidR="005103B8" w:rsidRPr="00DA249F">
        <w:rPr>
          <w:lang w:val="en-GB"/>
        </w:rPr>
        <w:t>Africa</w:t>
      </w:r>
      <w:r w:rsidR="00986281" w:rsidRPr="00DA249F">
        <w:rPr>
          <w:lang w:val="en-GB"/>
        </w:rPr>
        <w:t xml:space="preserve"> (</w:t>
      </w:r>
      <w:r w:rsidR="005103B8" w:rsidRPr="00DA249F">
        <w:rPr>
          <w:lang w:val="en-GB"/>
        </w:rPr>
        <w:t xml:space="preserve">26 </w:t>
      </w:r>
      <w:r w:rsidR="00986281" w:rsidRPr="00DA249F">
        <w:rPr>
          <w:lang w:val="en-GB"/>
        </w:rPr>
        <w:t>per cent)</w:t>
      </w:r>
      <w:r w:rsidR="00F016C7">
        <w:rPr>
          <w:lang w:val="en-GB"/>
        </w:rPr>
        <w:t>.</w:t>
      </w:r>
      <w:r w:rsidR="00986281" w:rsidRPr="00DA249F">
        <w:rPr>
          <w:lang w:val="en-GB"/>
        </w:rPr>
        <w:t xml:space="preserve"> </w:t>
      </w:r>
      <w:r w:rsidR="00F016C7">
        <w:rPr>
          <w:lang w:val="en-GB"/>
        </w:rPr>
        <w:t>This trend</w:t>
      </w:r>
      <w:r w:rsidR="00986281" w:rsidRPr="00DA249F">
        <w:rPr>
          <w:lang w:val="en-GB"/>
        </w:rPr>
        <w:t xml:space="preserve"> </w:t>
      </w:r>
      <w:r w:rsidR="00F016C7">
        <w:rPr>
          <w:lang w:val="en-GB"/>
        </w:rPr>
        <w:t>was</w:t>
      </w:r>
      <w:r w:rsidR="00986281" w:rsidRPr="00DA249F">
        <w:rPr>
          <w:lang w:val="en-GB"/>
        </w:rPr>
        <w:t xml:space="preserve"> relatively consistent across all taxonomic groups </w:t>
      </w:r>
      <w:r w:rsidR="00360D5C" w:rsidRPr="00DA249F">
        <w:rPr>
          <w:lang w:val="en-GB"/>
        </w:rPr>
        <w:t>(</w:t>
      </w:r>
      <w:r w:rsidR="00DC2990">
        <w:rPr>
          <w:b/>
          <w:iCs/>
          <w:lang w:val="en-GB"/>
        </w:rPr>
        <w:t>Figure</w:t>
      </w:r>
      <w:r w:rsidR="00880F2E">
        <w:rPr>
          <w:b/>
          <w:iCs/>
          <w:lang w:val="en-GB"/>
        </w:rPr>
        <w:t xml:space="preserve"> 3.30</w:t>
      </w:r>
      <w:r w:rsidR="005103B8" w:rsidRPr="00B61BEC">
        <w:rPr>
          <w:b/>
          <w:iCs/>
          <w:lang w:val="en-GB"/>
        </w:rPr>
        <w:t>B</w:t>
      </w:r>
      <w:r w:rsidR="00986281" w:rsidRPr="00DA249F">
        <w:rPr>
          <w:lang w:val="en-GB"/>
        </w:rPr>
        <w:t xml:space="preserve">). </w:t>
      </w:r>
    </w:p>
    <w:p w14:paraId="3A5EC535" w14:textId="588DF26B" w:rsidR="00986281" w:rsidRPr="00DA249F" w:rsidRDefault="3862D0AB" w:rsidP="00986281">
      <w:pPr>
        <w:rPr>
          <w:lang w:val="en-GB"/>
        </w:rPr>
      </w:pPr>
      <w:r w:rsidRPr="5575EBFC">
        <w:rPr>
          <w:lang w:val="en-GB"/>
        </w:rPr>
        <w:t xml:space="preserve">For </w:t>
      </w:r>
      <w:r w:rsidR="42771903" w:rsidRPr="5575EBFC">
        <w:rPr>
          <w:lang w:val="en-GB"/>
        </w:rPr>
        <w:t>the</w:t>
      </w:r>
      <w:r w:rsidRPr="5575EBFC">
        <w:rPr>
          <w:lang w:val="en-GB"/>
        </w:rPr>
        <w:t xml:space="preserve"> majority of the </w:t>
      </w:r>
      <w:r w:rsidR="09B08282" w:rsidRPr="5575EBFC">
        <w:rPr>
          <w:lang w:val="en-GB"/>
        </w:rPr>
        <w:t xml:space="preserve">studies </w:t>
      </w:r>
      <w:r w:rsidR="16B86F1B" w:rsidRPr="5575EBFC">
        <w:rPr>
          <w:lang w:val="en-GB"/>
        </w:rPr>
        <w:t xml:space="preserve">analyzed </w:t>
      </w:r>
      <w:r w:rsidRPr="5575EBFC">
        <w:rPr>
          <w:lang w:val="en-GB"/>
        </w:rPr>
        <w:t>in this report (1</w:t>
      </w:r>
      <w:r w:rsidR="75F8122E" w:rsidRPr="5575EBFC">
        <w:rPr>
          <w:lang w:val="en-GB"/>
        </w:rPr>
        <w:t>044</w:t>
      </w:r>
      <w:r w:rsidR="184B1AE3" w:rsidRPr="5575EBFC">
        <w:rPr>
          <w:lang w:val="en-GB"/>
        </w:rPr>
        <w:t xml:space="preserve"> </w:t>
      </w:r>
      <w:r w:rsidR="16B86F1B" w:rsidRPr="5575EBFC">
        <w:rPr>
          <w:lang w:val="en-GB"/>
        </w:rPr>
        <w:t>sources</w:t>
      </w:r>
      <w:r w:rsidRPr="5575EBFC">
        <w:rPr>
          <w:lang w:val="en-GB"/>
        </w:rPr>
        <w:t xml:space="preserve">), it was possible to link drivers to one or more stages of the biological invasion process, with the majority of </w:t>
      </w:r>
      <w:r w:rsidR="09B08282" w:rsidRPr="5575EBFC">
        <w:rPr>
          <w:lang w:val="en-GB"/>
        </w:rPr>
        <w:t xml:space="preserve">studies </w:t>
      </w:r>
      <w:r w:rsidRPr="5575EBFC">
        <w:rPr>
          <w:lang w:val="en-GB"/>
        </w:rPr>
        <w:t>linking drivers to the establishment (</w:t>
      </w:r>
      <w:r w:rsidR="18FE22EC" w:rsidRPr="5575EBFC">
        <w:rPr>
          <w:lang w:val="en-GB"/>
        </w:rPr>
        <w:t>70.5</w:t>
      </w:r>
      <w:r w:rsidRPr="5575EBFC">
        <w:rPr>
          <w:lang w:val="en-GB"/>
        </w:rPr>
        <w:t xml:space="preserve"> per cent), spread (</w:t>
      </w:r>
      <w:r w:rsidR="68D43EB8" w:rsidRPr="5575EBFC">
        <w:rPr>
          <w:lang w:val="en-GB"/>
        </w:rPr>
        <w:t>66.4</w:t>
      </w:r>
      <w:r w:rsidRPr="5575EBFC">
        <w:rPr>
          <w:lang w:val="en-GB"/>
        </w:rPr>
        <w:t xml:space="preserve"> per cent) and introduction (5</w:t>
      </w:r>
      <w:r w:rsidR="68D43EB8" w:rsidRPr="5575EBFC">
        <w:rPr>
          <w:lang w:val="en-GB"/>
        </w:rPr>
        <w:t>3.5</w:t>
      </w:r>
      <w:r w:rsidR="003000E0">
        <w:rPr>
          <w:lang w:val="en-GB"/>
        </w:rPr>
        <w:t xml:space="preserve"> </w:t>
      </w:r>
      <w:r w:rsidRPr="5575EBFC">
        <w:rPr>
          <w:lang w:val="en-GB"/>
        </w:rPr>
        <w:t xml:space="preserve">per cent) of </w:t>
      </w:r>
      <w:r w:rsidRPr="5575EBFC">
        <w:rPr>
          <w:lang w:val="en-GB"/>
        </w:rPr>
        <w:lastRenderedPageBreak/>
        <w:t>invasive alien species, whereas fewer sources explicitly link</w:t>
      </w:r>
      <w:r w:rsidR="09B08282" w:rsidRPr="5575EBFC">
        <w:rPr>
          <w:lang w:val="en-GB"/>
        </w:rPr>
        <w:t>ed</w:t>
      </w:r>
      <w:r w:rsidRPr="5575EBFC">
        <w:rPr>
          <w:lang w:val="en-GB"/>
        </w:rPr>
        <w:t xml:space="preserve"> drivers to transport (</w:t>
      </w:r>
      <w:r w:rsidR="68D43EB8" w:rsidRPr="5575EBFC">
        <w:rPr>
          <w:lang w:val="en-GB"/>
        </w:rPr>
        <w:t>33.8</w:t>
      </w:r>
      <w:r w:rsidRPr="5575EBFC">
        <w:rPr>
          <w:lang w:val="en-GB"/>
        </w:rPr>
        <w:t xml:space="preserve"> per cent). These numbers add up to considerably more than 100 percent, illustrating that most </w:t>
      </w:r>
      <w:r w:rsidR="09B08282" w:rsidRPr="5575EBFC">
        <w:rPr>
          <w:lang w:val="en-GB"/>
        </w:rPr>
        <w:t xml:space="preserve">studies </w:t>
      </w:r>
      <w:r w:rsidRPr="5575EBFC">
        <w:rPr>
          <w:lang w:val="en-GB"/>
        </w:rPr>
        <w:t>link drivers to more than one stage within the biological invasion process. The availability of studies on drivers varie</w:t>
      </w:r>
      <w:r w:rsidR="09B08282" w:rsidRPr="5575EBFC">
        <w:rPr>
          <w:lang w:val="en-GB"/>
        </w:rPr>
        <w:t>d</w:t>
      </w:r>
      <w:r w:rsidRPr="5575EBFC">
        <w:rPr>
          <w:lang w:val="en-GB"/>
        </w:rPr>
        <w:t xml:space="preserve"> across stages of the biological invasion process. Studies of the role of indirect </w:t>
      </w:r>
      <w:r w:rsidR="653902EA" w:rsidRPr="5575EBFC">
        <w:rPr>
          <w:lang w:val="en-GB"/>
        </w:rPr>
        <w:t>drivers of change in nature</w:t>
      </w:r>
      <w:r w:rsidRPr="5575EBFC">
        <w:rPr>
          <w:lang w:val="en-GB"/>
        </w:rPr>
        <w:t xml:space="preserve"> in facilitating biological invasions tend</w:t>
      </w:r>
      <w:r w:rsidR="0052BF7B" w:rsidRPr="5575EBFC">
        <w:rPr>
          <w:lang w:val="en-GB"/>
        </w:rPr>
        <w:t>ed</w:t>
      </w:r>
      <w:r w:rsidRPr="5575EBFC">
        <w:rPr>
          <w:lang w:val="en-GB"/>
        </w:rPr>
        <w:t xml:space="preserve"> to focus on links to transport and introduction of invasive alien species (</w:t>
      </w:r>
      <w:r w:rsidR="00DC2990">
        <w:rPr>
          <w:b/>
          <w:bCs/>
          <w:lang w:val="en-GB"/>
        </w:rPr>
        <w:t>Figure</w:t>
      </w:r>
      <w:r w:rsidR="2A229F32" w:rsidRPr="5575EBFC">
        <w:rPr>
          <w:b/>
          <w:bCs/>
          <w:lang w:val="en-GB"/>
        </w:rPr>
        <w:t xml:space="preserve"> 3.31</w:t>
      </w:r>
      <w:r w:rsidR="3A7C3D15" w:rsidRPr="5575EBFC">
        <w:rPr>
          <w:b/>
          <w:bCs/>
          <w:lang w:val="en-GB"/>
        </w:rPr>
        <w:t>A</w:t>
      </w:r>
      <w:r w:rsidRPr="5575EBFC">
        <w:rPr>
          <w:lang w:val="en-GB"/>
        </w:rPr>
        <w:t>). This</w:t>
      </w:r>
      <w:r w:rsidR="2E3C7E27" w:rsidRPr="5575EBFC">
        <w:rPr>
          <w:lang w:val="en-GB"/>
        </w:rPr>
        <w:t xml:space="preserve"> trend</w:t>
      </w:r>
      <w:r w:rsidR="16B86F1B" w:rsidRPr="5575EBFC">
        <w:rPr>
          <w:lang w:val="en-GB"/>
        </w:rPr>
        <w:t xml:space="preserve"> </w:t>
      </w:r>
      <w:r w:rsidR="2E3C7E27" w:rsidRPr="5575EBFC">
        <w:rPr>
          <w:lang w:val="en-GB"/>
        </w:rPr>
        <w:t>wa</w:t>
      </w:r>
      <w:r w:rsidRPr="5575EBFC">
        <w:rPr>
          <w:lang w:val="en-GB"/>
        </w:rPr>
        <w:t>s especially evident for sociocultural and economic drivers, for which studies on their role in transport and introduction ma</w:t>
      </w:r>
      <w:r w:rsidR="2E3C7E27" w:rsidRPr="5575EBFC">
        <w:rPr>
          <w:lang w:val="en-GB"/>
        </w:rPr>
        <w:t>de</w:t>
      </w:r>
      <w:r w:rsidRPr="5575EBFC">
        <w:rPr>
          <w:lang w:val="en-GB"/>
        </w:rPr>
        <w:t xml:space="preserve"> up </w:t>
      </w:r>
      <w:r w:rsidR="082953A9" w:rsidRPr="5575EBFC">
        <w:rPr>
          <w:lang w:val="en-GB"/>
        </w:rPr>
        <w:t xml:space="preserve">for </w:t>
      </w:r>
      <w:r w:rsidR="25ECE140" w:rsidRPr="5575EBFC">
        <w:rPr>
          <w:lang w:val="en-GB"/>
        </w:rPr>
        <w:t>two thirds (65</w:t>
      </w:r>
      <w:r w:rsidR="3D9AA0C4" w:rsidRPr="5575EBFC">
        <w:rPr>
          <w:lang w:val="en-GB"/>
        </w:rPr>
        <w:t xml:space="preserve"> per cent</w:t>
      </w:r>
      <w:r w:rsidR="25ECE140" w:rsidRPr="5575EBFC">
        <w:rPr>
          <w:lang w:val="en-GB"/>
        </w:rPr>
        <w:t>)</w:t>
      </w:r>
      <w:r w:rsidRPr="5575EBFC">
        <w:rPr>
          <w:lang w:val="en-GB"/>
        </w:rPr>
        <w:t xml:space="preserve"> of studies</w:t>
      </w:r>
      <w:r w:rsidR="082953A9" w:rsidRPr="5575EBFC">
        <w:rPr>
          <w:lang w:val="en-GB"/>
        </w:rPr>
        <w:t xml:space="preserve"> </w:t>
      </w:r>
      <w:r w:rsidR="25ECE140" w:rsidRPr="5575EBFC">
        <w:rPr>
          <w:lang w:val="en-GB"/>
        </w:rPr>
        <w:t xml:space="preserve">on these two drivers across all stages of </w:t>
      </w:r>
      <w:r w:rsidR="2E3C7E27" w:rsidRPr="5575EBFC">
        <w:rPr>
          <w:lang w:val="en-GB"/>
        </w:rPr>
        <w:t xml:space="preserve">the </w:t>
      </w:r>
      <w:r w:rsidR="25ECE140" w:rsidRPr="5575EBFC">
        <w:rPr>
          <w:lang w:val="en-GB"/>
        </w:rPr>
        <w:t>biological invasion</w:t>
      </w:r>
      <w:r w:rsidR="2E3C7E27" w:rsidRPr="5575EBFC">
        <w:rPr>
          <w:lang w:val="en-GB"/>
        </w:rPr>
        <w:t xml:space="preserve"> process</w:t>
      </w:r>
      <w:r w:rsidR="09B08282" w:rsidRPr="5575EBFC">
        <w:rPr>
          <w:lang w:val="en-GB"/>
        </w:rPr>
        <w:t>.</w:t>
      </w:r>
      <w:r w:rsidRPr="5575EBFC">
        <w:rPr>
          <w:lang w:val="en-GB"/>
        </w:rPr>
        <w:t xml:space="preserve"> </w:t>
      </w:r>
      <w:r w:rsidR="09B08282" w:rsidRPr="5575EBFC">
        <w:rPr>
          <w:lang w:val="en-GB"/>
        </w:rPr>
        <w:t>T</w:t>
      </w:r>
      <w:r w:rsidRPr="5575EBFC">
        <w:rPr>
          <w:lang w:val="en-GB"/>
        </w:rPr>
        <w:t xml:space="preserve">his pattern </w:t>
      </w:r>
      <w:r w:rsidR="09B08282" w:rsidRPr="5575EBFC">
        <w:rPr>
          <w:lang w:val="en-GB"/>
        </w:rPr>
        <w:t xml:space="preserve">was </w:t>
      </w:r>
      <w:r w:rsidRPr="5575EBFC">
        <w:rPr>
          <w:lang w:val="en-GB"/>
        </w:rPr>
        <w:t>consistent across all realms and taxonomic groups but is especially strong for microbes. In contrast, studies of direct (anthropogenic and other) drivers, report</w:t>
      </w:r>
      <w:r w:rsidR="09B08282" w:rsidRPr="5575EBFC">
        <w:rPr>
          <w:lang w:val="en-GB"/>
        </w:rPr>
        <w:t>ed</w:t>
      </w:r>
      <w:r w:rsidRPr="5575EBFC">
        <w:rPr>
          <w:lang w:val="en-GB"/>
        </w:rPr>
        <w:t xml:space="preserve"> predominantly on links to the establishment and spread stages, a pattern that </w:t>
      </w:r>
      <w:r w:rsidR="09B08282" w:rsidRPr="5575EBFC">
        <w:rPr>
          <w:lang w:val="en-GB"/>
        </w:rPr>
        <w:t xml:space="preserve">was </w:t>
      </w:r>
      <w:r w:rsidRPr="5575EBFC">
        <w:rPr>
          <w:lang w:val="en-GB"/>
        </w:rPr>
        <w:t>especially evident for pollution, climate change, invasive alien species, biodiversity loss and ecosystem resilience, and for natural drivers, for all of which studies on their role in establishment and spread ma</w:t>
      </w:r>
      <w:r w:rsidR="54490E0B" w:rsidRPr="5575EBFC">
        <w:rPr>
          <w:lang w:val="en-GB"/>
        </w:rPr>
        <w:t>d</w:t>
      </w:r>
      <w:r w:rsidRPr="5575EBFC">
        <w:rPr>
          <w:lang w:val="en-GB"/>
        </w:rPr>
        <w:t>e up more than 75</w:t>
      </w:r>
      <w:r w:rsidR="2BDC71DB" w:rsidRPr="5575EBFC">
        <w:rPr>
          <w:lang w:val="en-GB"/>
        </w:rPr>
        <w:t>.9</w:t>
      </w:r>
      <w:r w:rsidR="3D9AA0C4" w:rsidRPr="5575EBFC">
        <w:rPr>
          <w:lang w:val="en-GB"/>
        </w:rPr>
        <w:t xml:space="preserve"> per cent</w:t>
      </w:r>
      <w:r w:rsidRPr="5575EBFC">
        <w:rPr>
          <w:lang w:val="en-GB"/>
        </w:rPr>
        <w:t xml:space="preserve"> of all studies (</w:t>
      </w:r>
      <w:r w:rsidR="00DC2990">
        <w:rPr>
          <w:b/>
          <w:bCs/>
          <w:lang w:val="en-GB"/>
        </w:rPr>
        <w:t>Figure</w:t>
      </w:r>
      <w:r w:rsidR="2A229F32" w:rsidRPr="5575EBFC">
        <w:rPr>
          <w:b/>
          <w:bCs/>
          <w:lang w:val="en-GB"/>
        </w:rPr>
        <w:t xml:space="preserve"> 3.31</w:t>
      </w:r>
      <w:r w:rsidR="4C2C2FC6" w:rsidRPr="5575EBFC">
        <w:rPr>
          <w:b/>
          <w:bCs/>
          <w:lang w:val="en-GB"/>
        </w:rPr>
        <w:t>B</w:t>
      </w:r>
      <w:r w:rsidR="4305A5A6" w:rsidRPr="5575EBFC">
        <w:rPr>
          <w:b/>
          <w:bCs/>
          <w:lang w:val="en-GB"/>
        </w:rPr>
        <w:t xml:space="preserve"> </w:t>
      </w:r>
      <w:r w:rsidR="4305A5A6" w:rsidRPr="5575EBFC">
        <w:rPr>
          <w:lang w:val="en-GB"/>
        </w:rPr>
        <w:t>and</w:t>
      </w:r>
      <w:r w:rsidR="4305A5A6" w:rsidRPr="5575EBFC">
        <w:rPr>
          <w:b/>
          <w:bCs/>
          <w:lang w:val="en-GB"/>
        </w:rPr>
        <w:t xml:space="preserve"> C</w:t>
      </w:r>
      <w:r w:rsidRPr="5575EBFC">
        <w:rPr>
          <w:lang w:val="en-GB"/>
        </w:rPr>
        <w:t xml:space="preserve">). These patterns </w:t>
      </w:r>
      <w:r w:rsidR="09B08282" w:rsidRPr="5575EBFC">
        <w:rPr>
          <w:lang w:val="en-GB"/>
        </w:rPr>
        <w:t xml:space="preserve">were </w:t>
      </w:r>
      <w:r w:rsidRPr="5575EBFC">
        <w:rPr>
          <w:lang w:val="en-GB"/>
        </w:rPr>
        <w:t>less consistent across realms and taxonomic groups, however, as stronger links between direct</w:t>
      </w:r>
      <w:r w:rsidR="70131FFF" w:rsidRPr="5575EBFC">
        <w:rPr>
          <w:lang w:val="en-GB"/>
        </w:rPr>
        <w:t xml:space="preserve"> or </w:t>
      </w:r>
      <w:r w:rsidRPr="5575EBFC">
        <w:rPr>
          <w:lang w:val="en-GB"/>
        </w:rPr>
        <w:t xml:space="preserve">other drivers and establishment and spread </w:t>
      </w:r>
      <w:r w:rsidR="09B08282" w:rsidRPr="5575EBFC">
        <w:rPr>
          <w:lang w:val="en-GB"/>
        </w:rPr>
        <w:t xml:space="preserve">were </w:t>
      </w:r>
      <w:r w:rsidRPr="5575EBFC">
        <w:rPr>
          <w:lang w:val="en-GB"/>
        </w:rPr>
        <w:t xml:space="preserve">found in the terrestrial realm than in freshwater, whereas this pattern </w:t>
      </w:r>
      <w:r w:rsidR="09B08282" w:rsidRPr="5575EBFC">
        <w:rPr>
          <w:lang w:val="en-GB"/>
        </w:rPr>
        <w:t xml:space="preserve">was </w:t>
      </w:r>
      <w:r w:rsidRPr="5575EBFC">
        <w:rPr>
          <w:lang w:val="en-GB"/>
        </w:rPr>
        <w:t xml:space="preserve">largely absent in marine systems. Likewise, the link between indirect drivers and the early stages of biological invasion and direct drivers and later stages </w:t>
      </w:r>
      <w:r w:rsidR="09B08282" w:rsidRPr="5575EBFC">
        <w:rPr>
          <w:lang w:val="en-GB"/>
        </w:rPr>
        <w:t xml:space="preserve">was </w:t>
      </w:r>
      <w:r w:rsidRPr="5575EBFC">
        <w:rPr>
          <w:lang w:val="en-GB"/>
        </w:rPr>
        <w:t>strong for alien plants</w:t>
      </w:r>
      <w:r w:rsidR="09B08282" w:rsidRPr="5575EBFC">
        <w:rPr>
          <w:lang w:val="en-GB"/>
        </w:rPr>
        <w:t xml:space="preserve">, </w:t>
      </w:r>
      <w:r w:rsidRPr="5575EBFC">
        <w:rPr>
          <w:lang w:val="en-GB"/>
        </w:rPr>
        <w:t>but less evident for invertebrates and vertebrates, whereas studies of microbes predominantly report</w:t>
      </w:r>
      <w:r w:rsidR="09B08282" w:rsidRPr="5575EBFC">
        <w:rPr>
          <w:lang w:val="en-GB"/>
        </w:rPr>
        <w:t>ed</w:t>
      </w:r>
      <w:r w:rsidRPr="5575EBFC">
        <w:rPr>
          <w:lang w:val="en-GB"/>
        </w:rPr>
        <w:t xml:space="preserve"> on links to transport and introduction across all drivers. Three groups of drivers, demographic drivers, land-</w:t>
      </w:r>
      <w:r w:rsidR="0B0A11D9" w:rsidRPr="5575EBFC">
        <w:rPr>
          <w:lang w:val="en-GB"/>
        </w:rPr>
        <w:t xml:space="preserve"> and </w:t>
      </w:r>
      <w:r w:rsidRPr="5575EBFC">
        <w:rPr>
          <w:lang w:val="en-GB"/>
        </w:rPr>
        <w:t>sea-use change</w:t>
      </w:r>
      <w:r w:rsidR="00774819">
        <w:rPr>
          <w:lang w:val="en-GB"/>
        </w:rPr>
        <w:t xml:space="preserve"> and</w:t>
      </w:r>
      <w:r w:rsidR="627C1AAF" w:rsidRPr="5575EBFC">
        <w:rPr>
          <w:lang w:val="en-GB"/>
        </w:rPr>
        <w:t xml:space="preserve"> </w:t>
      </w:r>
      <w:r w:rsidR="627C1AAF" w:rsidRPr="5575EBFC">
        <w:rPr>
          <w:rStyle w:val="normaltextrun"/>
          <w:color w:val="000000" w:themeColor="text1"/>
          <w:lang w:val="en-GB"/>
        </w:rPr>
        <w:t>direct exploitation of natural resources</w:t>
      </w:r>
      <w:r w:rsidRPr="5575EBFC">
        <w:rPr>
          <w:lang w:val="en-GB"/>
        </w:rPr>
        <w:t>, st</w:t>
      </w:r>
      <w:r w:rsidR="09B08282" w:rsidRPr="5575EBFC">
        <w:rPr>
          <w:lang w:val="en-GB"/>
        </w:rPr>
        <w:t>oo</w:t>
      </w:r>
      <w:r w:rsidRPr="5575EBFC">
        <w:rPr>
          <w:lang w:val="en-GB"/>
        </w:rPr>
        <w:t>d out as studied in relation to all stages of the biological invasion process (</w:t>
      </w:r>
      <w:r w:rsidR="00DC2990">
        <w:rPr>
          <w:b/>
          <w:bCs/>
          <w:lang w:val="en-GB"/>
        </w:rPr>
        <w:t>Figure</w:t>
      </w:r>
      <w:r w:rsidR="2A229F32" w:rsidRPr="5575EBFC">
        <w:rPr>
          <w:b/>
          <w:bCs/>
          <w:lang w:val="en-GB"/>
        </w:rPr>
        <w:t xml:space="preserve"> 3.31</w:t>
      </w:r>
      <w:r w:rsidR="4305A5A6" w:rsidRPr="5575EBFC">
        <w:rPr>
          <w:b/>
          <w:bCs/>
          <w:lang w:val="en-GB"/>
        </w:rPr>
        <w:t xml:space="preserve">A </w:t>
      </w:r>
      <w:r w:rsidR="4305A5A6" w:rsidRPr="5575EBFC">
        <w:rPr>
          <w:lang w:val="en-GB"/>
        </w:rPr>
        <w:t xml:space="preserve">and </w:t>
      </w:r>
      <w:r w:rsidR="4305A5A6" w:rsidRPr="5575EBFC">
        <w:rPr>
          <w:b/>
          <w:bCs/>
          <w:lang w:val="en-GB"/>
        </w:rPr>
        <w:t>B</w:t>
      </w:r>
      <w:r w:rsidRPr="5575EBFC">
        <w:rPr>
          <w:lang w:val="en-GB"/>
        </w:rPr>
        <w:t xml:space="preserve">). This </w:t>
      </w:r>
      <w:r w:rsidR="09B08282" w:rsidRPr="5575EBFC">
        <w:rPr>
          <w:lang w:val="en-GB"/>
        </w:rPr>
        <w:t xml:space="preserve">was </w:t>
      </w:r>
      <w:r w:rsidRPr="5575EBFC">
        <w:rPr>
          <w:lang w:val="en-GB"/>
        </w:rPr>
        <w:t xml:space="preserve">less evident for land-use and </w:t>
      </w:r>
      <w:r w:rsidR="627C1AAF" w:rsidRPr="5575EBFC">
        <w:rPr>
          <w:rStyle w:val="normaltextrun"/>
          <w:color w:val="000000" w:themeColor="text1"/>
          <w:lang w:val="en-GB"/>
        </w:rPr>
        <w:t>direct exploitation of natural resources</w:t>
      </w:r>
      <w:r w:rsidR="627C1AAF" w:rsidRPr="5575EBFC">
        <w:rPr>
          <w:lang w:val="en-GB"/>
        </w:rPr>
        <w:t xml:space="preserve"> </w:t>
      </w:r>
      <w:r w:rsidRPr="5575EBFC">
        <w:rPr>
          <w:lang w:val="en-GB"/>
        </w:rPr>
        <w:t>in the terrestrial realm and for plants, where studies of establishment and spread dominate, and for demographic drivers for microbes, where studies of transport</w:t>
      </w:r>
      <w:r w:rsidR="00774819">
        <w:rPr>
          <w:lang w:val="en-GB"/>
        </w:rPr>
        <w:t xml:space="preserve"> and</w:t>
      </w:r>
      <w:r w:rsidRPr="5575EBFC">
        <w:rPr>
          <w:lang w:val="en-GB"/>
        </w:rPr>
        <w:t xml:space="preserve"> introductions, dominate</w:t>
      </w:r>
      <w:r w:rsidR="09B08282" w:rsidRPr="5575EBFC">
        <w:rPr>
          <w:lang w:val="en-GB"/>
        </w:rPr>
        <w:t>d</w:t>
      </w:r>
      <w:r w:rsidRPr="5575EBFC">
        <w:rPr>
          <w:lang w:val="en-GB"/>
        </w:rPr>
        <w:t>.</w:t>
      </w:r>
      <w:r w:rsidR="00F26E2B">
        <w:rPr>
          <w:lang w:val="en-GB"/>
        </w:rPr>
        <w:t xml:space="preserve"> </w:t>
      </w:r>
    </w:p>
    <w:p w14:paraId="60C04E9B" w14:textId="5899D9BF" w:rsidR="00986281" w:rsidRPr="00DA249F" w:rsidRDefault="00986281" w:rsidP="00986281">
      <w:pPr>
        <w:rPr>
          <w:lang w:val="en-GB"/>
        </w:rPr>
      </w:pPr>
      <w:r w:rsidRPr="00DA249F">
        <w:rPr>
          <w:lang w:val="en-GB"/>
        </w:rPr>
        <w:t>Information on the roles of drivers in facilitating biological invasions was largely sourced from primary studies (5</w:t>
      </w:r>
      <w:r w:rsidR="00464F96" w:rsidRPr="00DA249F">
        <w:rPr>
          <w:lang w:val="en-GB"/>
        </w:rPr>
        <w:t>0.4</w:t>
      </w:r>
      <w:r w:rsidRPr="00DA249F">
        <w:rPr>
          <w:lang w:val="en-GB"/>
        </w:rPr>
        <w:t xml:space="preserve"> per cent), followed by reviews (</w:t>
      </w:r>
      <w:r w:rsidR="00AC0942" w:rsidRPr="00DA249F">
        <w:rPr>
          <w:lang w:val="en-GB"/>
        </w:rPr>
        <w:t>40.9</w:t>
      </w:r>
      <w:r w:rsidRPr="00DA249F">
        <w:rPr>
          <w:lang w:val="en-GB"/>
        </w:rPr>
        <w:t xml:space="preserve"> per cent), whereas only a small number of studies </w:t>
      </w:r>
      <w:r w:rsidR="00464F96" w:rsidRPr="00DA249F">
        <w:rPr>
          <w:lang w:val="en-GB"/>
        </w:rPr>
        <w:t>w</w:t>
      </w:r>
      <w:r w:rsidRPr="00DA249F">
        <w:rPr>
          <w:lang w:val="en-GB"/>
        </w:rPr>
        <w:t>ere formal meta-analyses (3.</w:t>
      </w:r>
      <w:r w:rsidR="00542F7F" w:rsidRPr="00DA249F">
        <w:rPr>
          <w:lang w:val="en-GB"/>
        </w:rPr>
        <w:t>6</w:t>
      </w:r>
      <w:r w:rsidRPr="00DA249F">
        <w:rPr>
          <w:lang w:val="en-GB"/>
        </w:rPr>
        <w:t xml:space="preserve"> per cent). This suggests further structured synthesis and reviews are required to support the knowledge on the drivers facilitating biological invasions</w:t>
      </w:r>
      <w:r w:rsidR="00542F7F" w:rsidRPr="00DA249F">
        <w:rPr>
          <w:lang w:val="en-GB"/>
        </w:rPr>
        <w:t xml:space="preserve"> (</w:t>
      </w:r>
      <w:r w:rsidR="00E23B69">
        <w:rPr>
          <w:b/>
          <w:iCs/>
          <w:lang w:val="en-GB"/>
        </w:rPr>
        <w:t>Box</w:t>
      </w:r>
      <w:r w:rsidR="00880F2E">
        <w:rPr>
          <w:b/>
          <w:iCs/>
          <w:lang w:val="en-GB"/>
        </w:rPr>
        <w:t xml:space="preserve"> 3.13</w:t>
      </w:r>
      <w:r w:rsidR="00542F7F" w:rsidRPr="00DA249F">
        <w:rPr>
          <w:lang w:val="en-GB"/>
        </w:rPr>
        <w:t>)</w:t>
      </w:r>
      <w:r w:rsidRPr="00DA249F">
        <w:rPr>
          <w:lang w:val="en-GB"/>
        </w:rPr>
        <w:t>.</w:t>
      </w:r>
      <w:r w:rsidR="00E66FF9" w:rsidRPr="00DA249F">
        <w:rPr>
          <w:lang w:val="en-GB"/>
        </w:rPr>
        <w:t xml:space="preserve"> </w:t>
      </w:r>
    </w:p>
    <w:p w14:paraId="4C946DAB" w14:textId="65499B37" w:rsidR="00986281" w:rsidRPr="00DA249F" w:rsidRDefault="3862D0AB" w:rsidP="00986281">
      <w:pPr>
        <w:rPr>
          <w:lang w:val="en-GB"/>
        </w:rPr>
      </w:pPr>
      <w:r w:rsidRPr="00DA249F">
        <w:rPr>
          <w:lang w:val="en-GB"/>
        </w:rPr>
        <w:t xml:space="preserve">The outcomes of the chapter review with respect to data gaps and biases in the evidence available for assessing the role of </w:t>
      </w:r>
      <w:r w:rsidR="653902EA" w:rsidRPr="00DA249F">
        <w:rPr>
          <w:lang w:val="en-GB"/>
        </w:rPr>
        <w:t>drivers of change in nature</w:t>
      </w:r>
      <w:r w:rsidRPr="00DA249F">
        <w:rPr>
          <w:lang w:val="en-GB"/>
        </w:rPr>
        <w:t xml:space="preserve"> in the context of biological invasions, are largely consistent with both the systematic review of scenarios and models</w:t>
      </w:r>
      <w:r w:rsidR="00624C7F" w:rsidRPr="00710AC3">
        <w:rPr>
          <w:rStyle w:val="FootnoteReference"/>
        </w:rPr>
        <w:footnoteReference w:id="11"/>
      </w:r>
      <w:r w:rsidR="19D1284E" w:rsidRPr="00DA249F">
        <w:rPr>
          <w:lang w:val="en-GB"/>
        </w:rPr>
        <w:t xml:space="preserve"> </w:t>
      </w:r>
      <w:r w:rsidR="21AA6190" w:rsidRPr="00DA249F">
        <w:rPr>
          <w:lang w:val="en-GB"/>
        </w:rPr>
        <w:t>(</w:t>
      </w:r>
      <w:r w:rsidR="0D2CFEFE" w:rsidRPr="5575EBFC">
        <w:rPr>
          <w:b/>
          <w:bCs/>
          <w:lang w:val="en-GB"/>
        </w:rPr>
        <w:t>C</w:t>
      </w:r>
      <w:r w:rsidR="21AA6190" w:rsidRPr="5575EBFC">
        <w:rPr>
          <w:b/>
          <w:bCs/>
          <w:lang w:val="en-GB"/>
        </w:rPr>
        <w:t>hapter 1</w:t>
      </w:r>
      <w:r w:rsidR="21AA6190" w:rsidRPr="5575EBFC">
        <w:rPr>
          <w:lang w:val="en-GB"/>
        </w:rPr>
        <w:t>,</w:t>
      </w:r>
      <w:r w:rsidR="21AA6190" w:rsidRPr="5575EBFC">
        <w:rPr>
          <w:b/>
          <w:bCs/>
          <w:lang w:val="en-GB"/>
        </w:rPr>
        <w:t xml:space="preserve"> section 1.6.7.3</w:t>
      </w:r>
      <w:r w:rsidR="21AA6190" w:rsidRPr="00DA249F">
        <w:rPr>
          <w:lang w:val="en-GB"/>
        </w:rPr>
        <w:t>)</w:t>
      </w:r>
      <w:r w:rsidRPr="00DA249F">
        <w:rPr>
          <w:lang w:val="en-GB"/>
        </w:rPr>
        <w:t xml:space="preserve"> undertaken as part of this assessment</w:t>
      </w:r>
      <w:r w:rsidR="21AA6190" w:rsidRPr="00DA249F">
        <w:rPr>
          <w:lang w:val="en-GB"/>
        </w:rPr>
        <w:t xml:space="preserve"> </w:t>
      </w:r>
      <w:r w:rsidRPr="00DA249F">
        <w:rPr>
          <w:lang w:val="en-GB"/>
        </w:rPr>
        <w:t>(</w:t>
      </w:r>
      <w:r w:rsidR="00E23B69">
        <w:rPr>
          <w:b/>
          <w:bCs/>
          <w:lang w:val="en-GB"/>
        </w:rPr>
        <w:t>Box</w:t>
      </w:r>
      <w:r w:rsidR="2A229F32" w:rsidRPr="5575EBFC">
        <w:rPr>
          <w:b/>
          <w:bCs/>
          <w:lang w:val="en-GB"/>
        </w:rPr>
        <w:t xml:space="preserve"> 3.14</w:t>
      </w:r>
      <w:r w:rsidRPr="00DA249F">
        <w:rPr>
          <w:lang w:val="en-GB"/>
        </w:rPr>
        <w:t>)</w:t>
      </w:r>
      <w:r w:rsidR="00774819">
        <w:rPr>
          <w:lang w:val="en-GB"/>
        </w:rPr>
        <w:t xml:space="preserve"> and</w:t>
      </w:r>
      <w:r w:rsidRPr="00DA249F">
        <w:rPr>
          <w:lang w:val="en-GB"/>
        </w:rPr>
        <w:t xml:space="preserve"> the bibliometric analysis of research effort undertaken by Hulme </w:t>
      </w:r>
      <w:r w:rsidR="00704CDD" w:rsidRPr="00DA249F">
        <w:rPr>
          <w:lang w:val="en-GB"/>
        </w:rPr>
        <w:fldChar w:fldCharType="begin"/>
      </w:r>
      <w:r w:rsidR="00331A79">
        <w:rPr>
          <w:lang w:val="en-GB"/>
        </w:rPr>
        <w:instrText xml:space="preserve"> ADDIN ZOTERO_ITEM CSL_CITATION {"citationID":"BToXH1bV","properties":{"formattedCitation":"(2022)","plainCitation":"(2022)","noteIndex":0},"citationItems":[{"id":29804,"uris":["http://zotero.org/groups/2352922/items/NSIS6VSX"],"itemData":{"id":29804,"type":"article-journal","container-title":"Conservation Biology","DOI":"10.1111/cobi.13817","issue":"2","language":"en","page":"e13817","title":"Importance of greater interdisciplinarity and geographic scope when tackling the driving forces behind biological invasions","URL":"https://doi.org/10.1111/cobi.13817","volume":"36","author":[{"family":"Hulme","given":"Philip E."}],"issued":{"date-parts":[["2022"]]}},"label":"page","suppress-author":true}],"schema":"https://github.com/citation-style-language/schema/raw/master/csl-citation.json"} </w:instrText>
      </w:r>
      <w:r w:rsidR="00704CDD" w:rsidRPr="00DA249F">
        <w:rPr>
          <w:lang w:val="en-GB"/>
        </w:rPr>
        <w:fldChar w:fldCharType="separate"/>
      </w:r>
      <w:r w:rsidR="6B5F9B9E" w:rsidRPr="00144D96">
        <w:t>(2022)</w:t>
      </w:r>
      <w:r w:rsidR="00704CDD" w:rsidRPr="00DA249F">
        <w:rPr>
          <w:lang w:val="en-GB"/>
        </w:rPr>
        <w:fldChar w:fldCharType="end"/>
      </w:r>
      <w:r w:rsidR="13DB7538" w:rsidRPr="00DA249F">
        <w:rPr>
          <w:lang w:val="en-GB"/>
        </w:rPr>
        <w:t xml:space="preserve"> </w:t>
      </w:r>
      <w:r w:rsidRPr="00DA249F">
        <w:rPr>
          <w:lang w:val="en-GB"/>
        </w:rPr>
        <w:t xml:space="preserve">on drivers </w:t>
      </w:r>
      <w:r w:rsidR="0F887189" w:rsidRPr="00DA249F">
        <w:rPr>
          <w:lang w:val="en-GB"/>
        </w:rPr>
        <w:t xml:space="preserve">in relation to </w:t>
      </w:r>
      <w:r w:rsidRPr="00DA249F">
        <w:rPr>
          <w:lang w:val="en-GB"/>
        </w:rPr>
        <w:t>biological invasions (</w:t>
      </w:r>
      <w:r w:rsidR="00E23B69">
        <w:rPr>
          <w:b/>
          <w:bCs/>
          <w:lang w:val="en-GB"/>
        </w:rPr>
        <w:t>Box</w:t>
      </w:r>
      <w:r w:rsidR="2A229F32" w:rsidRPr="5575EBFC">
        <w:rPr>
          <w:b/>
          <w:bCs/>
          <w:lang w:val="en-GB"/>
        </w:rPr>
        <w:t xml:space="preserve"> 3.13</w:t>
      </w:r>
      <w:r w:rsidRPr="00DA249F">
        <w:rPr>
          <w:lang w:val="en-GB"/>
        </w:rPr>
        <w:t xml:space="preserve">). </w:t>
      </w:r>
    </w:p>
    <w:p w14:paraId="75401F65" w14:textId="23649200" w:rsidR="00986281" w:rsidRPr="00DA249F" w:rsidRDefault="00E25215" w:rsidP="00263F1F">
      <w:pPr>
        <w:jc w:val="center"/>
        <w:rPr>
          <w:lang w:val="en-GB"/>
        </w:rPr>
      </w:pPr>
      <w:r w:rsidRPr="00E25215">
        <w:rPr>
          <w:noProof/>
          <w:lang w:val="en-GB"/>
        </w:rPr>
        <w:lastRenderedPageBreak/>
        <w:drawing>
          <wp:inline distT="0" distB="0" distL="0" distR="0" wp14:anchorId="7ED1C410" wp14:editId="505B9D03">
            <wp:extent cx="5849166" cy="4020111"/>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5849166" cy="4020111"/>
                    </a:xfrm>
                    <a:prstGeom prst="rect">
                      <a:avLst/>
                    </a:prstGeom>
                  </pic:spPr>
                </pic:pic>
              </a:graphicData>
            </a:graphic>
          </wp:inline>
        </w:drawing>
      </w:r>
    </w:p>
    <w:p w14:paraId="2855B7E0" w14:textId="70186445" w:rsidR="00253367" w:rsidRPr="00CB5CAA" w:rsidRDefault="6AE8C36A" w:rsidP="00CB5CAA">
      <w:pPr>
        <w:pStyle w:val="Caption"/>
        <w:rPr>
          <w:b w:val="0"/>
          <w:bCs w:val="0"/>
          <w:color w:val="0563C1" w:themeColor="hyperlink"/>
          <w:u w:val="single"/>
          <w:lang w:val="en-GB"/>
        </w:rPr>
      </w:pPr>
      <w:bookmarkStart w:id="255" w:name="_Ref129339976"/>
      <w:bookmarkStart w:id="256" w:name="_Toc147500914"/>
      <w:r w:rsidRPr="00DA249F">
        <w:rPr>
          <w:lang w:val="en-GB"/>
        </w:rPr>
        <w:t>Figure 3.</w:t>
      </w:r>
      <w:r w:rsidR="00986281" w:rsidRPr="00DA249F">
        <w:rPr>
          <w:lang w:val="en-GB"/>
        </w:rPr>
        <w:fldChar w:fldCharType="begin"/>
      </w:r>
      <w:r w:rsidR="00986281" w:rsidRPr="00DA249F">
        <w:rPr>
          <w:lang w:val="en-GB"/>
        </w:rPr>
        <w:instrText xml:space="preserve"> SEQ Figure_3. \* ARABIC </w:instrText>
      </w:r>
      <w:r w:rsidR="00986281" w:rsidRPr="00DA249F">
        <w:rPr>
          <w:lang w:val="en-GB"/>
        </w:rPr>
        <w:fldChar w:fldCharType="separate"/>
      </w:r>
      <w:r w:rsidR="00287BC7">
        <w:rPr>
          <w:noProof/>
          <w:lang w:val="en-GB"/>
        </w:rPr>
        <w:t>29</w:t>
      </w:r>
      <w:r w:rsidR="00986281" w:rsidRPr="00DA249F">
        <w:rPr>
          <w:lang w:val="en-GB"/>
        </w:rPr>
        <w:fldChar w:fldCharType="end"/>
      </w:r>
      <w:bookmarkEnd w:id="255"/>
      <w:r w:rsidR="217B7496" w:rsidRPr="00DA249F">
        <w:rPr>
          <w:lang w:val="en-GB"/>
        </w:rPr>
        <w:t>.</w:t>
      </w:r>
      <w:r w:rsidRPr="00DA249F">
        <w:rPr>
          <w:lang w:val="en-GB"/>
        </w:rPr>
        <w:t xml:space="preserve"> </w:t>
      </w:r>
      <w:r w:rsidRPr="00DA249F">
        <w:rPr>
          <w:b w:val="0"/>
          <w:bCs w:val="0"/>
          <w:lang w:val="en-GB"/>
        </w:rPr>
        <w:t xml:space="preserve">Overview of the literature used for this assessment of the </w:t>
      </w:r>
      <w:r w:rsidR="067C1E4A" w:rsidRPr="728F2DAF">
        <w:rPr>
          <w:b w:val="0"/>
          <w:bCs w:val="0"/>
          <w:lang w:val="en-GB"/>
        </w:rPr>
        <w:t>drivers of change in nature</w:t>
      </w:r>
      <w:r w:rsidRPr="00DA249F">
        <w:rPr>
          <w:b w:val="0"/>
          <w:bCs w:val="0"/>
          <w:lang w:val="en-GB"/>
        </w:rPr>
        <w:t xml:space="preserve"> affecting biological invasions.</w:t>
      </w:r>
      <w:r w:rsidRPr="00DA249F">
        <w:rPr>
          <w:lang w:val="en-GB"/>
        </w:rPr>
        <w:t xml:space="preserve"> </w:t>
      </w:r>
      <w:r w:rsidRPr="00DA249F">
        <w:rPr>
          <w:b w:val="0"/>
          <w:bCs w:val="0"/>
          <w:lang w:val="en-GB"/>
        </w:rPr>
        <w:t xml:space="preserve">The number of studies </w:t>
      </w:r>
      <w:r w:rsidR="003000E0">
        <w:rPr>
          <w:b w:val="0"/>
          <w:bCs w:val="0"/>
          <w:lang w:val="en-GB"/>
        </w:rPr>
        <w:t>(</w:t>
      </w:r>
      <w:r w:rsidR="0048460C">
        <w:rPr>
          <w:b w:val="0"/>
          <w:bCs w:val="0"/>
          <w:lang w:val="en-GB"/>
        </w:rPr>
        <w:t>y</w:t>
      </w:r>
      <w:r w:rsidR="003000E0">
        <w:rPr>
          <w:b w:val="0"/>
          <w:bCs w:val="0"/>
          <w:lang w:val="en-GB"/>
        </w:rPr>
        <w:t xml:space="preserve"> axis) </w:t>
      </w:r>
      <w:r w:rsidRPr="00DA249F">
        <w:rPr>
          <w:b w:val="0"/>
          <w:bCs w:val="0"/>
          <w:lang w:val="en-GB"/>
        </w:rPr>
        <w:t xml:space="preserve">in the literature base for </w:t>
      </w:r>
      <w:r w:rsidR="4F260D0E" w:rsidRPr="5575EBFC">
        <w:rPr>
          <w:b w:val="0"/>
          <w:bCs w:val="0"/>
          <w:lang w:val="en-GB"/>
        </w:rPr>
        <w:t>C</w:t>
      </w:r>
      <w:r w:rsidRPr="5575EBFC">
        <w:rPr>
          <w:b w:val="0"/>
          <w:bCs w:val="0"/>
          <w:lang w:val="en-GB"/>
        </w:rPr>
        <w:t>hapter 3</w:t>
      </w:r>
      <w:r w:rsidRPr="00D40E57">
        <w:rPr>
          <w:b w:val="0"/>
          <w:bCs w:val="0"/>
          <w:lang w:val="en-GB"/>
        </w:rPr>
        <w:t xml:space="preserve"> </w:t>
      </w:r>
      <w:r w:rsidRPr="00DA249F">
        <w:rPr>
          <w:b w:val="0"/>
          <w:bCs w:val="0"/>
          <w:lang w:val="en-GB"/>
        </w:rPr>
        <w:t xml:space="preserve">reporting on each </w:t>
      </w:r>
      <w:r w:rsidR="4B409F01" w:rsidRPr="728F2DAF">
        <w:rPr>
          <w:b w:val="0"/>
          <w:bCs w:val="0"/>
          <w:lang w:val="en-GB"/>
        </w:rPr>
        <w:t>driver of change in nature</w:t>
      </w:r>
      <w:r w:rsidR="003000E0">
        <w:rPr>
          <w:b w:val="0"/>
          <w:bCs w:val="0"/>
          <w:lang w:val="en-GB"/>
        </w:rPr>
        <w:t xml:space="preserve"> </w:t>
      </w:r>
      <w:r w:rsidR="003000E0" w:rsidRPr="00DA249F">
        <w:rPr>
          <w:b w:val="0"/>
          <w:bCs w:val="0"/>
          <w:lang w:val="en-GB"/>
        </w:rPr>
        <w:t>(</w:t>
      </w:r>
      <w:r w:rsidR="0048460C">
        <w:rPr>
          <w:b w:val="0"/>
          <w:bCs w:val="0"/>
          <w:lang w:val="en-GB"/>
        </w:rPr>
        <w:t>x</w:t>
      </w:r>
      <w:r w:rsidR="003000E0">
        <w:rPr>
          <w:b w:val="0"/>
          <w:bCs w:val="0"/>
          <w:lang w:val="en-GB"/>
        </w:rPr>
        <w:t xml:space="preserve"> axis)</w:t>
      </w:r>
      <w:r w:rsidR="3A8889CC">
        <w:rPr>
          <w:b w:val="0"/>
          <w:bCs w:val="0"/>
          <w:lang w:val="en-GB"/>
        </w:rPr>
        <w:t xml:space="preserve"> </w:t>
      </w:r>
      <w:r w:rsidRPr="00DA249F">
        <w:rPr>
          <w:b w:val="0"/>
          <w:bCs w:val="0"/>
          <w:lang w:val="en-GB"/>
        </w:rPr>
        <w:t>in affecting biological invasions</w:t>
      </w:r>
      <w:r w:rsidR="3A8889CC">
        <w:rPr>
          <w:b w:val="0"/>
          <w:bCs w:val="0"/>
          <w:lang w:val="en-GB"/>
        </w:rPr>
        <w:t xml:space="preserve">. The total number of studies is </w:t>
      </w:r>
      <w:r w:rsidRPr="00DA249F">
        <w:rPr>
          <w:b w:val="0"/>
          <w:bCs w:val="0"/>
          <w:lang w:val="en-GB"/>
        </w:rPr>
        <w:t>1</w:t>
      </w:r>
      <w:r w:rsidR="24DBDE30" w:rsidRPr="00DA249F">
        <w:rPr>
          <w:b w:val="0"/>
          <w:bCs w:val="0"/>
          <w:lang w:val="en-GB"/>
        </w:rPr>
        <w:t>185</w:t>
      </w:r>
      <w:r w:rsidRPr="00DA249F">
        <w:rPr>
          <w:b w:val="0"/>
          <w:bCs w:val="0"/>
          <w:lang w:val="en-GB"/>
        </w:rPr>
        <w:t xml:space="preserve">. The underlying data for this figure is available at: </w:t>
      </w:r>
      <w:hyperlink r:id="rId52" w:history="1">
        <w:r w:rsidR="38DD15B1" w:rsidRPr="008A141D">
          <w:rPr>
            <w:rStyle w:val="Hyperlink"/>
            <w:b w:val="0"/>
            <w:bCs w:val="0"/>
            <w:lang w:val="en-GB"/>
          </w:rPr>
          <w:t>https://doi.org/10.5281/zenodo.5529309</w:t>
        </w:r>
        <w:bookmarkEnd w:id="256"/>
      </w:hyperlink>
    </w:p>
    <w:p w14:paraId="7B7BCC10" w14:textId="17CD5F0F" w:rsidR="00986281" w:rsidRPr="00DA249F" w:rsidRDefault="00CB5CAA" w:rsidP="00263F1F">
      <w:pPr>
        <w:jc w:val="center"/>
        <w:rPr>
          <w:lang w:val="en-GB"/>
        </w:rPr>
      </w:pPr>
      <w:r w:rsidRPr="00CB5CAA">
        <w:rPr>
          <w:noProof/>
          <w:lang w:val="en-GB"/>
        </w:rPr>
        <w:lastRenderedPageBreak/>
        <w:drawing>
          <wp:inline distT="0" distB="0" distL="0" distR="0" wp14:anchorId="3CC482AA" wp14:editId="76B4A9FD">
            <wp:extent cx="6250075" cy="5397792"/>
            <wp:effectExtent l="0" t="0" r="0" b="0"/>
            <wp:docPr id="17" name="Picture 17" descr="A graph of different colored bar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descr="A graph of different colored bars&#10;&#10;Description automatically generated with medium confidence"/>
                    <pic:cNvPicPr/>
                  </pic:nvPicPr>
                  <pic:blipFill>
                    <a:blip r:embed="rId53"/>
                    <a:stretch>
                      <a:fillRect/>
                    </a:stretch>
                  </pic:blipFill>
                  <pic:spPr>
                    <a:xfrm>
                      <a:off x="0" y="0"/>
                      <a:ext cx="6278632" cy="5422455"/>
                    </a:xfrm>
                    <a:prstGeom prst="rect">
                      <a:avLst/>
                    </a:prstGeom>
                  </pic:spPr>
                </pic:pic>
              </a:graphicData>
            </a:graphic>
          </wp:inline>
        </w:drawing>
      </w:r>
    </w:p>
    <w:p w14:paraId="57506AC9" w14:textId="330E2374" w:rsidR="00986281" w:rsidRDefault="3862D0AB" w:rsidP="00986281">
      <w:pPr>
        <w:pStyle w:val="Caption"/>
        <w:rPr>
          <w:b w:val="0"/>
          <w:bCs w:val="0"/>
          <w:lang w:val="en-GB"/>
        </w:rPr>
      </w:pPr>
      <w:bookmarkStart w:id="257" w:name="_Ref129340012"/>
      <w:bookmarkStart w:id="258" w:name="_Toc147500915"/>
      <w:r w:rsidRPr="00DA249F">
        <w:rPr>
          <w:lang w:val="en-GB"/>
        </w:rPr>
        <w:t>Figure 3.</w:t>
      </w:r>
      <w:r w:rsidR="00986281" w:rsidRPr="00DA249F">
        <w:rPr>
          <w:lang w:val="en-GB"/>
        </w:rPr>
        <w:fldChar w:fldCharType="begin"/>
      </w:r>
      <w:r w:rsidR="00986281" w:rsidRPr="00DA249F">
        <w:rPr>
          <w:lang w:val="en-GB"/>
        </w:rPr>
        <w:instrText xml:space="preserve"> SEQ Figure_3. \* ARABIC </w:instrText>
      </w:r>
      <w:r w:rsidR="00986281" w:rsidRPr="00DA249F">
        <w:rPr>
          <w:lang w:val="en-GB"/>
        </w:rPr>
        <w:fldChar w:fldCharType="separate"/>
      </w:r>
      <w:r w:rsidR="00287BC7">
        <w:rPr>
          <w:noProof/>
          <w:lang w:val="en-GB"/>
        </w:rPr>
        <w:t>30</w:t>
      </w:r>
      <w:r w:rsidR="00986281" w:rsidRPr="00DA249F">
        <w:rPr>
          <w:lang w:val="en-GB"/>
        </w:rPr>
        <w:fldChar w:fldCharType="end"/>
      </w:r>
      <w:bookmarkEnd w:id="257"/>
      <w:r w:rsidR="2AB0E44E" w:rsidRPr="00DA249F">
        <w:rPr>
          <w:lang w:val="en-GB"/>
        </w:rPr>
        <w:t>.</w:t>
      </w:r>
      <w:r w:rsidRPr="00DA249F">
        <w:rPr>
          <w:lang w:val="en-GB"/>
        </w:rPr>
        <w:t xml:space="preserve"> </w:t>
      </w:r>
      <w:r w:rsidRPr="00DA249F">
        <w:rPr>
          <w:b w:val="0"/>
          <w:bCs w:val="0"/>
          <w:lang w:val="en-GB"/>
        </w:rPr>
        <w:t xml:space="preserve">Overview over the literature used for this assessment of the role of </w:t>
      </w:r>
      <w:r w:rsidR="653902EA" w:rsidRPr="00DA249F">
        <w:rPr>
          <w:b w:val="0"/>
          <w:bCs w:val="0"/>
          <w:lang w:val="en-GB"/>
        </w:rPr>
        <w:t>drivers of change in nature</w:t>
      </w:r>
      <w:r w:rsidRPr="00DA249F">
        <w:rPr>
          <w:b w:val="0"/>
          <w:bCs w:val="0"/>
          <w:lang w:val="en-GB"/>
        </w:rPr>
        <w:t xml:space="preserve"> in affecting biological invasions across realms, IPBES regions</w:t>
      </w:r>
      <w:r w:rsidR="00774819">
        <w:rPr>
          <w:b w:val="0"/>
          <w:bCs w:val="0"/>
          <w:lang w:val="en-GB"/>
        </w:rPr>
        <w:t xml:space="preserve"> and</w:t>
      </w:r>
      <w:r w:rsidRPr="00DA249F">
        <w:rPr>
          <w:b w:val="0"/>
          <w:bCs w:val="0"/>
          <w:lang w:val="en-GB"/>
        </w:rPr>
        <w:t xml:space="preserve"> taxa.</w:t>
      </w:r>
      <w:r w:rsidRPr="00DA249F">
        <w:rPr>
          <w:lang w:val="en-GB"/>
        </w:rPr>
        <w:t xml:space="preserve"> </w:t>
      </w:r>
      <w:r w:rsidRPr="00DA249F">
        <w:rPr>
          <w:b w:val="0"/>
          <w:bCs w:val="0"/>
          <w:lang w:val="en-GB"/>
        </w:rPr>
        <w:t>The</w:t>
      </w:r>
      <w:r w:rsidR="5D4E5C39">
        <w:rPr>
          <w:b w:val="0"/>
          <w:bCs w:val="0"/>
          <w:lang w:val="en-GB"/>
        </w:rPr>
        <w:t xml:space="preserve"> </w:t>
      </w:r>
      <w:r w:rsidRPr="00DA249F">
        <w:rPr>
          <w:b w:val="0"/>
          <w:bCs w:val="0"/>
          <w:lang w:val="en-GB"/>
        </w:rPr>
        <w:t xml:space="preserve">number of studies in the literature base for </w:t>
      </w:r>
      <w:r w:rsidR="0D2CFEFE" w:rsidRPr="5575EBFC">
        <w:rPr>
          <w:b w:val="0"/>
          <w:bCs w:val="0"/>
          <w:lang w:val="en-GB"/>
        </w:rPr>
        <w:t>C</w:t>
      </w:r>
      <w:r w:rsidRPr="5575EBFC">
        <w:rPr>
          <w:b w:val="0"/>
          <w:bCs w:val="0"/>
          <w:lang w:val="en-GB"/>
        </w:rPr>
        <w:t>hapter 3</w:t>
      </w:r>
      <w:r w:rsidR="5D4E5C39">
        <w:rPr>
          <w:b w:val="0"/>
          <w:bCs w:val="0"/>
          <w:lang w:val="en-GB"/>
        </w:rPr>
        <w:t xml:space="preserve"> (y axis) </w:t>
      </w:r>
      <w:r w:rsidRPr="00DA249F">
        <w:rPr>
          <w:b w:val="0"/>
          <w:bCs w:val="0"/>
          <w:lang w:val="en-GB"/>
        </w:rPr>
        <w:t>reporting on the role of drivers of change</w:t>
      </w:r>
      <w:r w:rsidR="741449C8" w:rsidRPr="00DA249F">
        <w:rPr>
          <w:b w:val="0"/>
          <w:bCs w:val="0"/>
          <w:lang w:val="en-GB"/>
        </w:rPr>
        <w:t xml:space="preserve"> in nature in facilitating invasive alien species</w:t>
      </w:r>
      <w:r w:rsidR="00FD249C">
        <w:rPr>
          <w:b w:val="0"/>
          <w:bCs w:val="0"/>
          <w:lang w:val="en-GB"/>
        </w:rPr>
        <w:t xml:space="preserve"> </w:t>
      </w:r>
      <w:r w:rsidRPr="00DA249F">
        <w:rPr>
          <w:b w:val="0"/>
          <w:bCs w:val="0"/>
          <w:lang w:val="en-GB"/>
        </w:rPr>
        <w:t>categorized by</w:t>
      </w:r>
      <w:r w:rsidR="00F26E2B">
        <w:rPr>
          <w:b w:val="0"/>
          <w:bCs w:val="0"/>
          <w:lang w:val="en-GB"/>
        </w:rPr>
        <w:t xml:space="preserve"> </w:t>
      </w:r>
      <w:r w:rsidRPr="00DA249F">
        <w:rPr>
          <w:b w:val="0"/>
          <w:bCs w:val="0"/>
          <w:lang w:val="en-GB"/>
        </w:rPr>
        <w:t>realms vs. taxonomic groups</w:t>
      </w:r>
      <w:r w:rsidR="7DD70EBD">
        <w:rPr>
          <w:b w:val="0"/>
          <w:bCs w:val="0"/>
          <w:lang w:val="en-GB"/>
        </w:rPr>
        <w:t xml:space="preserve"> (panel A.</w:t>
      </w:r>
      <w:r w:rsidR="5D4E5C39">
        <w:rPr>
          <w:b w:val="0"/>
          <w:bCs w:val="0"/>
          <w:lang w:val="en-GB"/>
        </w:rPr>
        <w:t>; x axis</w:t>
      </w:r>
      <w:r w:rsidR="7DD70EBD">
        <w:rPr>
          <w:b w:val="0"/>
          <w:bCs w:val="0"/>
          <w:lang w:val="en-GB"/>
        </w:rPr>
        <w:t>)</w:t>
      </w:r>
      <w:r w:rsidR="00774819">
        <w:rPr>
          <w:b w:val="0"/>
          <w:bCs w:val="0"/>
          <w:lang w:val="en-GB"/>
        </w:rPr>
        <w:t xml:space="preserve"> and</w:t>
      </w:r>
      <w:r w:rsidR="7DD70EBD">
        <w:rPr>
          <w:b w:val="0"/>
          <w:bCs w:val="0"/>
          <w:lang w:val="en-GB"/>
        </w:rPr>
        <w:t xml:space="preserve"> by</w:t>
      </w:r>
      <w:r w:rsidRPr="00DA249F">
        <w:rPr>
          <w:b w:val="0"/>
          <w:bCs w:val="0"/>
          <w:lang w:val="en-GB"/>
        </w:rPr>
        <w:t xml:space="preserve"> IPBES regions vs. taxonomic groups</w:t>
      </w:r>
      <w:r w:rsidR="7DD70EBD">
        <w:rPr>
          <w:b w:val="0"/>
          <w:bCs w:val="0"/>
          <w:lang w:val="en-GB"/>
        </w:rPr>
        <w:t xml:space="preserve"> (panel B.</w:t>
      </w:r>
      <w:r w:rsidR="5D4E5C39">
        <w:rPr>
          <w:b w:val="0"/>
          <w:bCs w:val="0"/>
          <w:lang w:val="en-GB"/>
        </w:rPr>
        <w:t>; x axis</w:t>
      </w:r>
      <w:r w:rsidR="7DD70EBD">
        <w:rPr>
          <w:b w:val="0"/>
          <w:bCs w:val="0"/>
          <w:lang w:val="en-GB"/>
        </w:rPr>
        <w:t>)</w:t>
      </w:r>
      <w:r w:rsidRPr="00DA249F">
        <w:rPr>
          <w:b w:val="0"/>
          <w:bCs w:val="0"/>
          <w:lang w:val="en-GB"/>
        </w:rPr>
        <w:t xml:space="preserve"> (n = 1202 papers).The underlying data for this figure is available at: </w:t>
      </w:r>
      <w:hyperlink r:id="rId54" w:history="1">
        <w:r w:rsidR="0613BE82" w:rsidRPr="00886872">
          <w:rPr>
            <w:rStyle w:val="Hyperlink"/>
            <w:b w:val="0"/>
            <w:bCs w:val="0"/>
            <w:lang w:val="en-GB"/>
          </w:rPr>
          <w:t>https://doi.org/10.5281/zenodo.5529309</w:t>
        </w:r>
        <w:bookmarkEnd w:id="258"/>
      </w:hyperlink>
    </w:p>
    <w:p w14:paraId="431D8D4B" w14:textId="0069649C" w:rsidR="00956C6A" w:rsidRPr="00956C6A" w:rsidRDefault="00956C6A" w:rsidP="00956C6A">
      <w:pPr>
        <w:spacing w:after="0"/>
        <w:rPr>
          <w:lang w:val="en-GB"/>
        </w:rPr>
      </w:pPr>
    </w:p>
    <w:p w14:paraId="397C30B6" w14:textId="4911A2DD" w:rsidR="00D20575" w:rsidRPr="00DA249F" w:rsidRDefault="00E25215" w:rsidP="00CB5CAA">
      <w:pPr>
        <w:spacing w:before="0" w:after="0"/>
        <w:jc w:val="center"/>
        <w:rPr>
          <w:lang w:val="en-GB"/>
        </w:rPr>
      </w:pPr>
      <w:r w:rsidRPr="00E25215">
        <w:rPr>
          <w:noProof/>
          <w:lang w:val="en-GB"/>
        </w:rPr>
        <w:lastRenderedPageBreak/>
        <w:drawing>
          <wp:inline distT="0" distB="0" distL="0" distR="0" wp14:anchorId="5AE16E58" wp14:editId="220BD998">
            <wp:extent cx="6115050" cy="7558405"/>
            <wp:effectExtent l="0" t="0" r="0" b="444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6115050" cy="7558405"/>
                    </a:xfrm>
                    <a:prstGeom prst="rect">
                      <a:avLst/>
                    </a:prstGeom>
                  </pic:spPr>
                </pic:pic>
              </a:graphicData>
            </a:graphic>
          </wp:inline>
        </w:drawing>
      </w:r>
    </w:p>
    <w:p w14:paraId="6C6593C6" w14:textId="1EB91DD3" w:rsidR="00986281" w:rsidRPr="00DA249F" w:rsidRDefault="3862D0AB" w:rsidP="00986281">
      <w:pPr>
        <w:rPr>
          <w:lang w:val="en-GB"/>
        </w:rPr>
      </w:pPr>
      <w:bookmarkStart w:id="259" w:name="_Ref129340112"/>
      <w:bookmarkStart w:id="260" w:name="_Toc147500916"/>
      <w:r w:rsidRPr="5575EBFC">
        <w:rPr>
          <w:b/>
          <w:bCs/>
          <w:lang w:val="en-GB"/>
        </w:rPr>
        <w:t>Figure 3.</w:t>
      </w:r>
      <w:r w:rsidR="00986281" w:rsidRPr="5575EBFC">
        <w:rPr>
          <w:b/>
          <w:bCs/>
          <w:lang w:val="en-GB"/>
        </w:rPr>
        <w:fldChar w:fldCharType="begin"/>
      </w:r>
      <w:r w:rsidR="00986281" w:rsidRPr="5575EBFC">
        <w:rPr>
          <w:b/>
          <w:bCs/>
          <w:lang w:val="en-GB"/>
        </w:rPr>
        <w:instrText xml:space="preserve"> SEQ Figure_3. \* ARABIC </w:instrText>
      </w:r>
      <w:r w:rsidR="00986281" w:rsidRPr="5575EBFC">
        <w:rPr>
          <w:b/>
          <w:bCs/>
          <w:lang w:val="en-GB"/>
        </w:rPr>
        <w:fldChar w:fldCharType="separate"/>
      </w:r>
      <w:r w:rsidR="00287BC7">
        <w:rPr>
          <w:b/>
          <w:bCs/>
          <w:noProof/>
          <w:lang w:val="en-GB"/>
        </w:rPr>
        <w:t>31</w:t>
      </w:r>
      <w:r w:rsidR="00986281" w:rsidRPr="5575EBFC">
        <w:rPr>
          <w:b/>
          <w:bCs/>
          <w:lang w:val="en-GB"/>
        </w:rPr>
        <w:fldChar w:fldCharType="end"/>
      </w:r>
      <w:bookmarkEnd w:id="259"/>
      <w:r w:rsidR="2AB0E44E" w:rsidRPr="5575EBFC">
        <w:rPr>
          <w:b/>
          <w:bCs/>
          <w:lang w:val="en-GB"/>
        </w:rPr>
        <w:t>.</w:t>
      </w:r>
      <w:r w:rsidRPr="5575EBFC">
        <w:rPr>
          <w:b/>
          <w:bCs/>
          <w:lang w:val="en-GB"/>
        </w:rPr>
        <w:t xml:space="preserve"> </w:t>
      </w:r>
      <w:r w:rsidRPr="5575EBFC">
        <w:rPr>
          <w:lang w:val="en-GB"/>
        </w:rPr>
        <w:t xml:space="preserve">Overview of the literature used within this chapter and specifically the role of </w:t>
      </w:r>
      <w:r w:rsidR="653902EA" w:rsidRPr="5575EBFC">
        <w:rPr>
          <w:lang w:val="en-GB"/>
        </w:rPr>
        <w:t>drivers of change in nature</w:t>
      </w:r>
      <w:r w:rsidRPr="5575EBFC">
        <w:rPr>
          <w:lang w:val="en-GB"/>
        </w:rPr>
        <w:t xml:space="preserve"> in affecting invasive alien species across the biological invasion process. </w:t>
      </w:r>
      <w:r w:rsidR="0AD7C85E" w:rsidRPr="5575EBFC">
        <w:rPr>
          <w:lang w:val="en-GB"/>
        </w:rPr>
        <w:t>Summary of</w:t>
      </w:r>
      <w:r w:rsidRPr="5575EBFC">
        <w:rPr>
          <w:lang w:val="en-GB"/>
        </w:rPr>
        <w:t xml:space="preserve"> the literature extracted for </w:t>
      </w:r>
      <w:r w:rsidR="5AC7FBF8" w:rsidRPr="5575EBFC">
        <w:rPr>
          <w:lang w:val="en-GB"/>
        </w:rPr>
        <w:t>C</w:t>
      </w:r>
      <w:r w:rsidRPr="5575EBFC">
        <w:rPr>
          <w:lang w:val="en-GB"/>
        </w:rPr>
        <w:t xml:space="preserve">hapter 3 for assessing the role of drivers across biological invasion stages, showing the proportion of the studies of each driver that addresses the different stages in the biological invasion process. Note that studies used in the chapter that do not explicitly state stages of the biological invasion process affected are excluded from this figure, and that each study can address more than one stage of </w:t>
      </w:r>
      <w:r w:rsidR="34839A29" w:rsidRPr="5575EBFC">
        <w:rPr>
          <w:lang w:val="en-GB"/>
        </w:rPr>
        <w:t xml:space="preserve">the </w:t>
      </w:r>
      <w:r w:rsidRPr="5575EBFC">
        <w:rPr>
          <w:lang w:val="en-GB"/>
        </w:rPr>
        <w:t>biological invasion</w:t>
      </w:r>
      <w:r w:rsidR="287D7C15" w:rsidRPr="5575EBFC">
        <w:rPr>
          <w:lang w:val="en-GB"/>
        </w:rPr>
        <w:t xml:space="preserve"> process</w:t>
      </w:r>
      <w:r w:rsidRPr="5575EBFC">
        <w:rPr>
          <w:lang w:val="en-GB"/>
        </w:rPr>
        <w:t xml:space="preserve"> (</w:t>
      </w:r>
      <w:r w:rsidR="5E5F7333" w:rsidRPr="5575EBFC">
        <w:rPr>
          <w:lang w:val="en-GB"/>
        </w:rPr>
        <w:t>total of</w:t>
      </w:r>
      <w:r w:rsidRPr="5575EBFC">
        <w:rPr>
          <w:lang w:val="en-GB"/>
        </w:rPr>
        <w:t xml:space="preserve"> 1</w:t>
      </w:r>
      <w:r w:rsidR="23CA7E27" w:rsidRPr="5575EBFC">
        <w:rPr>
          <w:lang w:val="en-GB"/>
        </w:rPr>
        <w:t>,</w:t>
      </w:r>
      <w:r w:rsidRPr="5575EBFC">
        <w:rPr>
          <w:lang w:val="en-GB"/>
        </w:rPr>
        <w:t>1</w:t>
      </w:r>
      <w:r w:rsidR="0A72F62C" w:rsidRPr="5575EBFC">
        <w:rPr>
          <w:lang w:val="en-GB"/>
        </w:rPr>
        <w:t>8</w:t>
      </w:r>
      <w:r w:rsidR="591C1E75" w:rsidRPr="5575EBFC">
        <w:rPr>
          <w:lang w:val="en-GB"/>
        </w:rPr>
        <w:t>3</w:t>
      </w:r>
      <w:r w:rsidRPr="5575EBFC">
        <w:rPr>
          <w:lang w:val="en-GB"/>
        </w:rPr>
        <w:t xml:space="preserve"> papers). Chi-square analysis indicated that the number of studies reporting effects on the transport and </w:t>
      </w:r>
      <w:r w:rsidRPr="5575EBFC">
        <w:rPr>
          <w:lang w:val="en-GB"/>
        </w:rPr>
        <w:lastRenderedPageBreak/>
        <w:t>introduction of invasive alien species is statistically higher for indirect than direct drivers</w:t>
      </w:r>
      <w:r w:rsidR="0F63A510" w:rsidRPr="5575EBFC">
        <w:rPr>
          <w:lang w:val="en-GB"/>
        </w:rPr>
        <w:t xml:space="preserve"> of change in nature</w:t>
      </w:r>
      <w:r w:rsidRPr="5575EBFC">
        <w:rPr>
          <w:lang w:val="en-GB"/>
        </w:rPr>
        <w:t xml:space="preserve"> (p&lt;0,001), whereas the opposite is true for the establishment and spread stages. </w:t>
      </w:r>
      <w:r w:rsidR="5B8A1903" w:rsidRPr="5575EBFC">
        <w:rPr>
          <w:lang w:val="en-GB"/>
        </w:rPr>
        <w:t xml:space="preserve">The number of studies </w:t>
      </w:r>
      <w:r w:rsidR="7E152656" w:rsidRPr="5575EBFC">
        <w:rPr>
          <w:lang w:val="en-GB"/>
        </w:rPr>
        <w:t xml:space="preserve">is shown on the y axis, while the indirect (panel A.), direct (panel B.) and other drivers (panel C.) of change are shown on the x axis. </w:t>
      </w:r>
      <w:r w:rsidRPr="5575EBFC">
        <w:rPr>
          <w:lang w:val="en-GB"/>
        </w:rPr>
        <w:t>For the number of studies for each driver, see</w:t>
      </w:r>
      <w:r w:rsidR="56596397" w:rsidRPr="5575EBFC">
        <w:rPr>
          <w:lang w:val="en-GB"/>
        </w:rPr>
        <w:t xml:space="preserve"> </w:t>
      </w:r>
      <w:r w:rsidR="00DC2990">
        <w:rPr>
          <w:b/>
          <w:bCs/>
          <w:lang w:val="en-GB"/>
        </w:rPr>
        <w:t>Figure</w:t>
      </w:r>
      <w:r w:rsidR="2D0E0D63" w:rsidRPr="5575EBFC">
        <w:rPr>
          <w:b/>
          <w:bCs/>
          <w:lang w:val="en-GB"/>
        </w:rPr>
        <w:t xml:space="preserve"> </w:t>
      </w:r>
      <w:r w:rsidRPr="5575EBFC">
        <w:rPr>
          <w:b/>
          <w:bCs/>
          <w:lang w:val="en-GB"/>
        </w:rPr>
        <w:t>3.</w:t>
      </w:r>
      <w:r w:rsidR="3333A20B" w:rsidRPr="5575EBFC">
        <w:rPr>
          <w:b/>
          <w:bCs/>
          <w:lang w:val="en-GB"/>
        </w:rPr>
        <w:t>29</w:t>
      </w:r>
      <w:r w:rsidRPr="5575EBFC">
        <w:rPr>
          <w:lang w:val="en-GB"/>
        </w:rPr>
        <w:t xml:space="preserve">. The underlying data for this figure is available at: </w:t>
      </w:r>
      <w:hyperlink r:id="rId56" w:history="1">
        <w:r w:rsidR="0613BE82" w:rsidRPr="5575EBFC">
          <w:rPr>
            <w:rStyle w:val="Hyperlink"/>
            <w:lang w:val="en-GB"/>
          </w:rPr>
          <w:t>https://doi.org/10.5281/zenodo.5529309</w:t>
        </w:r>
        <w:bookmarkEnd w:id="260"/>
      </w:hyperlink>
    </w:p>
    <w:p w14:paraId="0FE31515" w14:textId="649AAAEA" w:rsidR="00986281" w:rsidRPr="00DA249F" w:rsidRDefault="3862D0AB">
      <w:pPr>
        <w:pStyle w:val="Caption"/>
        <w:pBdr>
          <w:top w:val="single" w:sz="4" w:space="1" w:color="auto"/>
          <w:left w:val="single" w:sz="4" w:space="1" w:color="auto"/>
          <w:bottom w:val="single" w:sz="4" w:space="1" w:color="auto"/>
          <w:right w:val="single" w:sz="4" w:space="1" w:color="auto"/>
        </w:pBdr>
        <w:shd w:val="clear" w:color="auto" w:fill="E7E6E6" w:themeFill="background2"/>
        <w:rPr>
          <w:b w:val="0"/>
          <w:bCs w:val="0"/>
          <w:lang w:val="en-GB"/>
        </w:rPr>
      </w:pPr>
      <w:bookmarkStart w:id="261" w:name="_Ref129343378"/>
      <w:bookmarkStart w:id="262" w:name="_Toc158373497"/>
      <w:bookmarkStart w:id="263" w:name="_Hlk26755624"/>
      <w:r w:rsidRPr="5575EBFC">
        <w:rPr>
          <w:lang w:val="en-GB"/>
        </w:rPr>
        <w:t>Box 3.</w:t>
      </w:r>
      <w:r w:rsidR="00986281" w:rsidRPr="5575EBFC">
        <w:rPr>
          <w:lang w:val="en-GB"/>
        </w:rPr>
        <w:fldChar w:fldCharType="begin"/>
      </w:r>
      <w:r w:rsidR="00986281" w:rsidRPr="5575EBFC">
        <w:rPr>
          <w:lang w:val="en-GB"/>
        </w:rPr>
        <w:instrText xml:space="preserve"> SEQ Box_3. \* ARABIC </w:instrText>
      </w:r>
      <w:r w:rsidR="00986281" w:rsidRPr="5575EBFC">
        <w:rPr>
          <w:lang w:val="en-GB"/>
        </w:rPr>
        <w:fldChar w:fldCharType="separate"/>
      </w:r>
      <w:r w:rsidR="00287BC7">
        <w:rPr>
          <w:noProof/>
          <w:lang w:val="en-GB"/>
        </w:rPr>
        <w:t>13</w:t>
      </w:r>
      <w:r w:rsidR="00986281" w:rsidRPr="5575EBFC">
        <w:rPr>
          <w:lang w:val="en-GB"/>
        </w:rPr>
        <w:fldChar w:fldCharType="end"/>
      </w:r>
      <w:bookmarkEnd w:id="261"/>
      <w:r w:rsidRPr="5575EBFC">
        <w:rPr>
          <w:lang w:val="en-GB"/>
        </w:rPr>
        <w:t xml:space="preserve">. </w:t>
      </w:r>
      <w:r w:rsidR="32413119" w:rsidRPr="5575EBFC">
        <w:rPr>
          <w:lang w:val="en-GB"/>
        </w:rPr>
        <w:t>I</w:t>
      </w:r>
      <w:r w:rsidRPr="5575EBFC">
        <w:rPr>
          <w:lang w:val="en-GB"/>
        </w:rPr>
        <w:t xml:space="preserve">mpacts of direct and indirect </w:t>
      </w:r>
      <w:r w:rsidR="653902EA" w:rsidRPr="5575EBFC">
        <w:rPr>
          <w:lang w:val="en-GB"/>
        </w:rPr>
        <w:t>drivers of change in nature</w:t>
      </w:r>
      <w:r w:rsidRPr="5575EBFC">
        <w:rPr>
          <w:lang w:val="en-GB"/>
        </w:rPr>
        <w:t xml:space="preserve"> on biological invasions </w:t>
      </w:r>
      <w:r w:rsidR="32413119" w:rsidRPr="5575EBFC">
        <w:rPr>
          <w:lang w:val="en-GB"/>
        </w:rPr>
        <w:t>are currently much less understood</w:t>
      </w:r>
      <w:r w:rsidRPr="5575EBFC">
        <w:rPr>
          <w:lang w:val="en-GB"/>
        </w:rPr>
        <w:t xml:space="preserve"> than other areas of conservation science</w:t>
      </w:r>
      <w:bookmarkEnd w:id="262"/>
    </w:p>
    <w:p w14:paraId="15AC8DBD" w14:textId="1841A5DD" w:rsidR="00986281" w:rsidRPr="00DA249F" w:rsidRDefault="3862D0AB">
      <w:pPr>
        <w:pBdr>
          <w:top w:val="single" w:sz="4" w:space="1" w:color="auto"/>
          <w:left w:val="single" w:sz="4" w:space="1" w:color="auto"/>
          <w:bottom w:val="single" w:sz="4" w:space="1" w:color="auto"/>
          <w:right w:val="single" w:sz="4" w:space="1" w:color="auto"/>
        </w:pBdr>
        <w:shd w:val="clear" w:color="auto" w:fill="E7E6E6" w:themeFill="background2"/>
        <w:rPr>
          <w:lang w:val="en-GB"/>
        </w:rPr>
      </w:pPr>
      <w:r w:rsidRPr="5575EBFC">
        <w:rPr>
          <w:lang w:val="en-GB"/>
        </w:rPr>
        <w:t xml:space="preserve">A recent assessment of the research effort into the role of indirect and direct </w:t>
      </w:r>
      <w:r w:rsidR="653902EA" w:rsidRPr="5575EBFC">
        <w:rPr>
          <w:lang w:val="en-GB"/>
        </w:rPr>
        <w:t>drivers of change in nature</w:t>
      </w:r>
      <w:r w:rsidRPr="5575EBFC">
        <w:rPr>
          <w:lang w:val="en-GB"/>
        </w:rPr>
        <w:t xml:space="preserve"> facilitating invasive alien species concluded that the current knowledge is limited, and focuses on tractable drivers over those that require an interdisciplinary approach, with bias towards developed economies </w:t>
      </w:r>
      <w:r w:rsidR="00986281" w:rsidRPr="5575EBFC">
        <w:rPr>
          <w:lang w:val="en-GB"/>
        </w:rPr>
        <w:fldChar w:fldCharType="begin"/>
      </w:r>
      <w:r w:rsidR="00331A79">
        <w:rPr>
          <w:lang w:val="en-GB"/>
        </w:rPr>
        <w:instrText xml:space="preserve"> ADDIN ZOTERO_ITEM CSL_CITATION {"citationID":"pU3LStMw","properties":{"formattedCitation":"(Hulme, 2022)","plainCitation":"(Hulme, 2022)","noteIndex":0},"citationItems":[{"id":29804,"uris":["http://zotero.org/groups/2352922/items/NSIS6VSX"],"itemData":{"id":29804,"type":"article-journal","container-title":"Conservation Biology","DOI":"10.1111/cobi.13817","issue":"2","language":"en","page":"e13817","title":"Importance of greater interdisciplinarity and geographic scope when tackling the driving forces behind biological invasions","URL":"https://doi.org/10.1111/cobi.13817","volume":"36","author":[{"family":"Hulme","given":"Philip E."}],"issued":{"date-parts":[["2022"]]}},"label":"page"}],"schema":"https://github.com/citation-style-language/schema/raw/master/csl-citation.json"} </w:instrText>
      </w:r>
      <w:r w:rsidR="00986281" w:rsidRPr="5575EBFC">
        <w:rPr>
          <w:lang w:val="en-GB"/>
        </w:rPr>
        <w:fldChar w:fldCharType="separate"/>
      </w:r>
      <w:r w:rsidR="6B5F9B9E">
        <w:t>(Hulme, 2022)</w:t>
      </w:r>
      <w:r w:rsidR="00986281" w:rsidRPr="5575EBFC">
        <w:rPr>
          <w:lang w:val="en-GB"/>
        </w:rPr>
        <w:fldChar w:fldCharType="end"/>
      </w:r>
      <w:r w:rsidRPr="5575EBFC">
        <w:rPr>
          <w:lang w:val="en-GB"/>
        </w:rPr>
        <w:t>. Between 2000 and 2020, 27,462 peer-reviewed journal articles were published addressing biological invasions of which less than 5,000 (or 18</w:t>
      </w:r>
      <w:r w:rsidR="3D9AA0C4" w:rsidRPr="5575EBFC">
        <w:rPr>
          <w:lang w:val="en-GB"/>
        </w:rPr>
        <w:t xml:space="preserve"> per cent</w:t>
      </w:r>
      <w:r w:rsidRPr="5575EBFC">
        <w:rPr>
          <w:lang w:val="en-GB"/>
        </w:rPr>
        <w:t>) examined the role of one or more drivers of change</w:t>
      </w:r>
      <w:r w:rsidR="7B587180" w:rsidRPr="5575EBFC">
        <w:rPr>
          <w:lang w:val="en-GB"/>
        </w:rPr>
        <w:t xml:space="preserve"> </w:t>
      </w:r>
      <w:r w:rsidR="653902EA" w:rsidRPr="5575EBFC">
        <w:rPr>
          <w:lang w:val="en-GB"/>
        </w:rPr>
        <w:t>in nature</w:t>
      </w:r>
      <w:r w:rsidR="4C5C18A2" w:rsidRPr="5575EBFC">
        <w:rPr>
          <w:lang w:val="en-GB"/>
        </w:rPr>
        <w:t>. In contrast, out of a corpus</w:t>
      </w:r>
      <w:r w:rsidRPr="5575EBFC">
        <w:rPr>
          <w:lang w:val="en-GB"/>
        </w:rPr>
        <w:t xml:space="preserve"> of 110,087 research papers targeting biodiversity and ecosystem services, almost 40,000 (or 36</w:t>
      </w:r>
      <w:r w:rsidR="3D9AA0C4" w:rsidRPr="5575EBFC">
        <w:rPr>
          <w:lang w:val="en-GB"/>
        </w:rPr>
        <w:t xml:space="preserve"> per cent</w:t>
      </w:r>
      <w:r w:rsidRPr="5575EBFC">
        <w:rPr>
          <w:lang w:val="en-GB"/>
        </w:rPr>
        <w:t>) described the role of one or more drivers.</w:t>
      </w:r>
      <w:r w:rsidR="56596397" w:rsidRPr="5575EBFC">
        <w:rPr>
          <w:lang w:val="en-GB"/>
        </w:rPr>
        <w:t xml:space="preserve"> </w:t>
      </w:r>
      <w:r w:rsidR="0537ECA5" w:rsidRPr="5575EBFC">
        <w:rPr>
          <w:lang w:val="en-GB"/>
        </w:rPr>
        <w:t>Thus,</w:t>
      </w:r>
      <w:r w:rsidR="0C97F238" w:rsidRPr="5575EBFC">
        <w:rPr>
          <w:lang w:val="en-GB"/>
        </w:rPr>
        <w:t xml:space="preserve"> the</w:t>
      </w:r>
      <w:r w:rsidR="4C48B18F" w:rsidRPr="5575EBFC">
        <w:rPr>
          <w:lang w:val="en-GB"/>
        </w:rPr>
        <w:t xml:space="preserve"> </w:t>
      </w:r>
      <w:r w:rsidRPr="5575EBFC">
        <w:rPr>
          <w:lang w:val="en-GB"/>
        </w:rPr>
        <w:t xml:space="preserve">drivers </w:t>
      </w:r>
      <w:r w:rsidR="4C48B18F" w:rsidRPr="5575EBFC">
        <w:rPr>
          <w:lang w:val="en-GB"/>
        </w:rPr>
        <w:t xml:space="preserve">affecting </w:t>
      </w:r>
      <w:r w:rsidRPr="5575EBFC">
        <w:rPr>
          <w:lang w:val="en-GB"/>
        </w:rPr>
        <w:t xml:space="preserve">biological invasions </w:t>
      </w:r>
      <w:r w:rsidR="0C97F238" w:rsidRPr="5575EBFC">
        <w:rPr>
          <w:lang w:val="en-GB"/>
        </w:rPr>
        <w:t xml:space="preserve">remain </w:t>
      </w:r>
      <w:r w:rsidR="4C48B18F" w:rsidRPr="5575EBFC">
        <w:rPr>
          <w:lang w:val="en-GB"/>
        </w:rPr>
        <w:t>less understood</w:t>
      </w:r>
      <w:r w:rsidR="0C97F238" w:rsidRPr="5575EBFC">
        <w:rPr>
          <w:lang w:val="en-GB"/>
        </w:rPr>
        <w:t xml:space="preserve"> compared to</w:t>
      </w:r>
      <w:r w:rsidRPr="5575EBFC">
        <w:rPr>
          <w:lang w:val="en-GB"/>
        </w:rPr>
        <w:t xml:space="preserve"> other areas of conservation science</w:t>
      </w:r>
      <w:r w:rsidR="001379C0">
        <w:rPr>
          <w:lang w:val="en-GB"/>
        </w:rPr>
        <w:t>.</w:t>
      </w:r>
    </w:p>
    <w:p w14:paraId="17C64D9A" w14:textId="6666558A" w:rsidR="00986281" w:rsidRPr="00DA249F" w:rsidRDefault="6AE8C36A" w:rsidP="00FC1BA2">
      <w:pPr>
        <w:pBdr>
          <w:top w:val="single" w:sz="4" w:space="1" w:color="auto"/>
          <w:left w:val="single" w:sz="4" w:space="1" w:color="auto"/>
          <w:bottom w:val="single" w:sz="4" w:space="1" w:color="auto"/>
          <w:right w:val="single" w:sz="4" w:space="1" w:color="auto"/>
        </w:pBdr>
        <w:shd w:val="clear" w:color="auto" w:fill="E7E6E6" w:themeFill="background2"/>
        <w:rPr>
          <w:b/>
          <w:bCs/>
          <w:lang w:val="en-GB"/>
        </w:rPr>
      </w:pPr>
      <w:r w:rsidRPr="728F2DAF">
        <w:rPr>
          <w:lang w:val="en-GB"/>
        </w:rPr>
        <w:t xml:space="preserve">Research on </w:t>
      </w:r>
      <w:r w:rsidR="067C1E4A" w:rsidRPr="728F2DAF">
        <w:rPr>
          <w:lang w:val="en-GB"/>
        </w:rPr>
        <w:t>drivers of change in nature</w:t>
      </w:r>
      <w:r w:rsidRPr="728F2DAF">
        <w:rPr>
          <w:lang w:val="en-GB"/>
        </w:rPr>
        <w:t xml:space="preserve"> facilitating biological invasions reflects a strong bias towards direct drivers with only a small fraction of studies addressing indirect drivers </w:t>
      </w:r>
      <w:r w:rsidR="00986281" w:rsidRPr="728F2DAF">
        <w:rPr>
          <w:lang w:val="en-GB"/>
        </w:rPr>
        <w:fldChar w:fldCharType="begin"/>
      </w:r>
      <w:r w:rsidR="00331A79">
        <w:rPr>
          <w:lang w:val="en-GB"/>
        </w:rPr>
        <w:instrText xml:space="preserve"> ADDIN ZOTERO_ITEM CSL_CITATION {"citationID":"hP5KmiMw","properties":{"formattedCitation":"(Hulme, 2022)","plainCitation":"(Hulme, 2022)","dontUpdate":true,"noteIndex":0},"citationItems":[{"id":29804,"uris":["http://zotero.org/groups/2352922/items/NSIS6VSX"],"itemData":{"id":29804,"type":"article-journal","container-title":"Conservation Biology","DOI":"10.1111/cobi.13817","issue":"2","language":"en","page":"e13817","title":"Importance of greater interdisciplinarity and geographic scope when tackling the driving forces behind biological invasions","URL":"https://doi.org/10.1111/cobi.13817","volume":"36","author":[{"family":"Hulme","given":"Philip E."}],"issued":{"date-parts":[["2022"]]}},"label":"page"}],"schema":"https://github.com/citation-style-language/schema/raw/master/csl-citation.json"} </w:instrText>
      </w:r>
      <w:r w:rsidR="00986281" w:rsidRPr="728F2DAF">
        <w:rPr>
          <w:lang w:val="en-GB"/>
        </w:rPr>
        <w:fldChar w:fldCharType="separate"/>
      </w:r>
      <w:r w:rsidR="34C391C0" w:rsidRPr="728F2DAF">
        <w:rPr>
          <w:lang w:val="en-GB"/>
        </w:rPr>
        <w:t>(Hulme, 2022</w:t>
      </w:r>
      <w:r w:rsidR="00986281" w:rsidRPr="728F2DAF">
        <w:rPr>
          <w:lang w:val="en-GB"/>
        </w:rPr>
        <w:fldChar w:fldCharType="end"/>
      </w:r>
      <w:r w:rsidR="358EA2C8" w:rsidRPr="728F2DAF">
        <w:rPr>
          <w:lang w:val="en-GB"/>
        </w:rPr>
        <w:t xml:space="preserve">). </w:t>
      </w:r>
      <w:r w:rsidRPr="728F2DAF">
        <w:rPr>
          <w:lang w:val="en-GB"/>
        </w:rPr>
        <w:t>While there have been calls for increased interdisciplinarity in the study of biological invasions, the percentage of articles addressing indirect drivers of change</w:t>
      </w:r>
      <w:r w:rsidR="29DE02AB" w:rsidRPr="728F2DAF">
        <w:rPr>
          <w:lang w:val="en-GB"/>
        </w:rPr>
        <w:t xml:space="preserve"> in nature</w:t>
      </w:r>
      <w:r w:rsidR="245BFC8D" w:rsidRPr="728F2DAF">
        <w:rPr>
          <w:lang w:val="en-GB"/>
        </w:rPr>
        <w:t xml:space="preserve"> has shown no significant incr</w:t>
      </w:r>
      <w:r w:rsidRPr="728F2DAF">
        <w:rPr>
          <w:lang w:val="en-GB"/>
        </w:rPr>
        <w:t>ease over the last two decades</w:t>
      </w:r>
      <w:r w:rsidR="0335FB44" w:rsidRPr="728F2DAF">
        <w:rPr>
          <w:lang w:val="en-GB"/>
        </w:rPr>
        <w:t>,</w:t>
      </w:r>
      <w:r w:rsidRPr="728F2DAF">
        <w:rPr>
          <w:lang w:val="en-GB"/>
        </w:rPr>
        <w:t xml:space="preserve"> leading to an increasing bias in articles towards direct drivers of change</w:t>
      </w:r>
      <w:r w:rsidR="6C6280F4" w:rsidRPr="728F2DAF">
        <w:rPr>
          <w:lang w:val="en-GB"/>
        </w:rPr>
        <w:t xml:space="preserve"> in nature</w:t>
      </w:r>
      <w:r w:rsidRPr="728F2DAF">
        <w:rPr>
          <w:lang w:val="en-GB"/>
        </w:rPr>
        <w:t xml:space="preserve"> </w:t>
      </w:r>
      <w:r w:rsidR="00986281" w:rsidRPr="728F2DAF">
        <w:rPr>
          <w:lang w:val="en-GB"/>
        </w:rPr>
        <w:fldChar w:fldCharType="begin"/>
      </w:r>
      <w:r w:rsidR="00331A79">
        <w:rPr>
          <w:lang w:val="en-GB"/>
        </w:rPr>
        <w:instrText xml:space="preserve"> ADDIN ZOTERO_ITEM CSL_CITATION {"citationID":"y1HKTO26","properties":{"formattedCitation":"(Hulme, 2022)","plainCitation":"(Hulme, 2022)","noteIndex":0},"citationItems":[{"id":29804,"uris":["http://zotero.org/groups/2352922/items/NSIS6VSX"],"itemData":{"id":29804,"type":"article-journal","container-title":"Conservation Biology","DOI":"10.1111/cobi.13817","issue":"2","language":"en","page":"e13817","title":"Importance of greater interdisciplinarity and geographic scope when tackling the driving forces behind biological invasions","URL":"https://doi.org/10.1111/cobi.13817","volume":"36","author":[{"family":"Hulme","given":"Philip E."}],"issued":{"date-parts":[["2022"]]}},"label":"page"}],"schema":"https://github.com/citation-style-language/schema/raw/master/csl-citation.json"} </w:instrText>
      </w:r>
      <w:r w:rsidR="00986281" w:rsidRPr="728F2DAF">
        <w:rPr>
          <w:lang w:val="en-GB"/>
        </w:rPr>
        <w:fldChar w:fldCharType="separate"/>
      </w:r>
      <w:r w:rsidR="73B99EB6">
        <w:t>(Hulme, 2022)</w:t>
      </w:r>
      <w:r w:rsidR="00986281" w:rsidRPr="728F2DAF">
        <w:rPr>
          <w:lang w:val="en-GB"/>
        </w:rPr>
        <w:fldChar w:fldCharType="end"/>
      </w:r>
      <w:r w:rsidRPr="728F2DAF">
        <w:rPr>
          <w:lang w:val="en-GB"/>
        </w:rPr>
        <w:t>. Drivers deemed</w:t>
      </w:r>
      <w:r w:rsidR="75601886" w:rsidRPr="728F2DAF">
        <w:rPr>
          <w:lang w:val="en-GB"/>
        </w:rPr>
        <w:t xml:space="preserve"> likely to be important for bi</w:t>
      </w:r>
      <w:r w:rsidRPr="728F2DAF">
        <w:rPr>
          <w:lang w:val="en-GB"/>
        </w:rPr>
        <w:t>ological invasion</w:t>
      </w:r>
      <w:r w:rsidR="74E77E47" w:rsidRPr="728F2DAF">
        <w:rPr>
          <w:lang w:val="en-GB"/>
        </w:rPr>
        <w:t xml:space="preserve"> by invasive alien </w:t>
      </w:r>
      <w:r w:rsidR="16785178" w:rsidRPr="728F2DAF">
        <w:rPr>
          <w:lang w:val="en-GB"/>
        </w:rPr>
        <w:t>species</w:t>
      </w:r>
      <w:r w:rsidRPr="728F2DAF">
        <w:rPr>
          <w:lang w:val="en-GB"/>
        </w:rPr>
        <w:t xml:space="preserve">, such as governance and </w:t>
      </w:r>
      <w:r w:rsidR="6FB4D363" w:rsidRPr="728F2DAF">
        <w:rPr>
          <w:rStyle w:val="normaltextrun"/>
          <w:color w:val="000000" w:themeColor="text1"/>
          <w:lang w:val="en-GB"/>
        </w:rPr>
        <w:t>direct exploitation of natural resources</w:t>
      </w:r>
      <w:r w:rsidRPr="728F2DAF">
        <w:rPr>
          <w:lang w:val="en-GB"/>
        </w:rPr>
        <w:t xml:space="preserve">, were shown to be poorly supported by research effort. The considerable literature addressing national and international policies for conserving biodiversity </w:t>
      </w:r>
      <w:r w:rsidR="00986281" w:rsidRPr="728F2DAF">
        <w:rPr>
          <w:lang w:val="en-GB"/>
        </w:rPr>
        <w:fldChar w:fldCharType="begin"/>
      </w:r>
      <w:r w:rsidR="00331A79">
        <w:rPr>
          <w:lang w:val="en-GB"/>
        </w:rPr>
        <w:instrText xml:space="preserve"> ADDIN ZOTERO_ITEM CSL_CITATION {"citationID":"Ekh4qmpg","properties":{"formattedCitation":"(Le Preste, 2017)","plainCitation":"(Le Preste, 2017)","noteIndex":0},"citationItems":[{"id":29519,"uris":["http://zotero.org/groups/2352922/items/FK5D3MBT"],"itemData":{"id":29519,"type":"book","event-place":"Abingdon, UK","ISBN":"978-1-138-25819-8","language":"en","publisher":"Routledge","publisher-place":"Abingdon, UK","title":"Governing Global Biodiversity: The Evolution and Implementation of the Convention on Biological Diversity","editor":[{"family":"Le Preste","given":"PG"}],"issued":{"date-parts":[["2017"]]}},"label":"page"}],"schema":"https://github.com/citation-style-language/schema/raw/master/csl-citation.json"} </w:instrText>
      </w:r>
      <w:r w:rsidR="00986281" w:rsidRPr="728F2DAF">
        <w:rPr>
          <w:lang w:val="en-GB"/>
        </w:rPr>
        <w:fldChar w:fldCharType="separate"/>
      </w:r>
      <w:r w:rsidR="73B99EB6">
        <w:t>(Le Preste, 2017)</w:t>
      </w:r>
      <w:r w:rsidR="00986281" w:rsidRPr="728F2DAF">
        <w:rPr>
          <w:lang w:val="en-GB"/>
        </w:rPr>
        <w:fldChar w:fldCharType="end"/>
      </w:r>
      <w:r w:rsidRPr="728F2DAF">
        <w:rPr>
          <w:lang w:val="en-GB"/>
        </w:rPr>
        <w:t xml:space="preserve"> is not matched by similar studies tackling the governance of problems arising from </w:t>
      </w:r>
      <w:r w:rsidR="35711444" w:rsidRPr="728F2DAF">
        <w:rPr>
          <w:lang w:val="en-GB"/>
        </w:rPr>
        <w:t>invasive alien species</w:t>
      </w:r>
      <w:r w:rsidR="00D70D59">
        <w:rPr>
          <w:lang w:val="en-GB"/>
        </w:rPr>
        <w:t xml:space="preserve"> </w:t>
      </w:r>
      <w:r w:rsidR="00986281" w:rsidRPr="728F2DAF">
        <w:rPr>
          <w:lang w:val="en-GB"/>
        </w:rPr>
        <w:fldChar w:fldCharType="begin"/>
      </w:r>
      <w:r w:rsidR="00E47460">
        <w:rPr>
          <w:lang w:val="en-GB"/>
        </w:rPr>
        <w:instrText xml:space="preserve"> ADDIN ZOTERO_ITEM CSL_CITATION {"citationID":"W6XXgPp5","properties":{"formattedCitation":"(Hulme, 2021a)","plainCitation":"(Hulme, 2021a)","noteIndex":0},"citationItems":[{"id":56416,"uris":["http://zotero.org/groups/2352922/items/XXTWGTAR","http://zotero.org/groups/2352922/items/3QNB478G"],"itemData":{"id":56416,"type":"article-journal","container-title":"BioScience","DOI":"10.1093/biosci/biab019","ISSN":"0006-3568, 1525-3244","issue":"7","language":"en","page":"708-721","source":"DOI.org (Crossref)","title":"Advancing One Biosecurity to Address the Pandemic Risks of Biological Invasions","URL":"https://academic.oup.com/bioscience/article/71/7/708/6158362","volume":"71","author":[{"family":"Hulme","given":"Philip E"}],"accessed":{"date-parts":[["2023",6,8]]},"issued":{"date-parts":[["2021",7,1]]}},"label":"page"}],"schema":"https://github.com/citation-style-language/schema/raw/master/csl-citation.json"} </w:instrText>
      </w:r>
      <w:r w:rsidR="00986281" w:rsidRPr="728F2DAF">
        <w:rPr>
          <w:lang w:val="en-GB"/>
        </w:rPr>
        <w:fldChar w:fldCharType="separate"/>
      </w:r>
      <w:r w:rsidR="73B99EB6">
        <w:t>(Hulme, 2021a)</w:t>
      </w:r>
      <w:r w:rsidR="00986281" w:rsidRPr="728F2DAF">
        <w:rPr>
          <w:lang w:val="en-GB"/>
        </w:rPr>
        <w:fldChar w:fldCharType="end"/>
      </w:r>
      <w:r w:rsidRPr="728F2DAF">
        <w:rPr>
          <w:lang w:val="en-GB"/>
        </w:rPr>
        <w:t xml:space="preserve">. </w:t>
      </w:r>
    </w:p>
    <w:p w14:paraId="4A4BCB41" w14:textId="11F4AE4F" w:rsidR="00722AB0" w:rsidRPr="00FC1BA2" w:rsidRDefault="6AE8C36A" w:rsidP="00FC1BA2">
      <w:pPr>
        <w:pBdr>
          <w:top w:val="single" w:sz="4" w:space="1" w:color="auto"/>
          <w:left w:val="single" w:sz="4" w:space="1" w:color="auto"/>
          <w:bottom w:val="single" w:sz="4" w:space="1" w:color="auto"/>
          <w:right w:val="single" w:sz="4" w:space="1" w:color="auto"/>
        </w:pBdr>
        <w:shd w:val="clear" w:color="auto" w:fill="E7E6E6" w:themeFill="background2"/>
        <w:rPr>
          <w:rFonts w:eastAsia="游明朝"/>
          <w:lang w:val="en-GB"/>
        </w:rPr>
      </w:pPr>
      <w:r w:rsidRPr="728F2DAF">
        <w:rPr>
          <w:lang w:val="en-GB"/>
        </w:rPr>
        <w:t>Compared to developed economies, there were only about half as many articles affiliated with institutions in developing economies. This may significantly limit the opportunity for prevention and projection of future risk of invasive alien species in Africa, Asia</w:t>
      </w:r>
      <w:r w:rsidR="00774819">
        <w:rPr>
          <w:lang w:val="en-GB"/>
        </w:rPr>
        <w:t xml:space="preserve"> and</w:t>
      </w:r>
      <w:r w:rsidRPr="728F2DAF">
        <w:rPr>
          <w:lang w:val="en-GB"/>
        </w:rPr>
        <w:t xml:space="preserve"> Latin America. Given the future importance of indirect drivers such as tourism, trade</w:t>
      </w:r>
      <w:r w:rsidR="00774819">
        <w:rPr>
          <w:lang w:val="en-GB"/>
        </w:rPr>
        <w:t xml:space="preserve"> and</w:t>
      </w:r>
      <w:r w:rsidRPr="728F2DAF">
        <w:rPr>
          <w:lang w:val="en-GB"/>
        </w:rPr>
        <w:t xml:space="preserve"> infrastructure projects on the likely risk of introducing invasive alien species to developing economies </w:t>
      </w:r>
      <w:r w:rsidR="00986281" w:rsidRPr="728F2DAF">
        <w:rPr>
          <w:lang w:val="en-GB"/>
        </w:rPr>
        <w:fldChar w:fldCharType="begin"/>
      </w:r>
      <w:r w:rsidR="00331A79">
        <w:rPr>
          <w:lang w:val="en-GB"/>
        </w:rPr>
        <w:instrText xml:space="preserve"> ADDIN ZOTERO_ITEM CSL_CITATION {"citationID":"kUJM2Sr7","properties":{"formattedCitation":"(Hulme, 2015a)","plainCitation":"(Hulme, 2015a)","noteIndex":0},"citationItems":[{"id":30909,"uris":["http://zotero.org/groups/2352922/items/NZFSMFGX"],"itemData":{"id":30909,"type":"article-journal","abstract":"Parties to the Convention on Biological Diversity have agreed that, by 2020, invasion pathways will be identified, prioritized and managed to prevent the introduction of invasive alien species. The challenges facing this target are examined for six primary invasion pathways: assisted colonization as a deliberate release; escape of pets and aquaria species; parasite and pathogen contaminants of wildlife; stowaways on tourist clothing and equipment; navigation corridors; and transboundary implications of unaided spread. Economic drivers such as tourism, the pet trade and infrastructure projects will accelerate invasive alien species introductions, particularly in emerging economies. Mitigation requires polluter pays' legislation combined with improved policy enforcement and compliance.Policy implications. Policymakers require new risk analysis tools to predict the hazards posed by species with no prior invasion history, the vulnerability of native biodiversity to emerging diseases, and the components of regional species pools that become invasive following connection via corridors.","container-title":"Journal of Applied Ecology","DOI":"10.1111/1365-2664.12470","ISSN":"0021-8901","issue":"6","journalAbbreviation":"J Appl Ecol","license":"© 2015 The Author. Journal of Applied Ecology © 2015 British Ecological Society","note":"WOS:000367095400002","page":"1418-1424","source":"DOI.org (Crossref)","title":"Invasion pathways at a crossroad: policy and research challenges for managing alien species introductions","title-short":"Invasion pathways at a crossroad","URL":"http://doi.wiley.com/10.1111/1365-2664.12470","volume":"52","author":[{"family":"Hulme","given":"Philip E."}],"issued":{"date-parts":[["2015",12]]}},"label":"page"}],"schema":"https://github.com/citation-style-language/schema/raw/master/csl-citation.json"} </w:instrText>
      </w:r>
      <w:r w:rsidR="00986281" w:rsidRPr="728F2DAF">
        <w:rPr>
          <w:lang w:val="en-GB"/>
        </w:rPr>
        <w:fldChar w:fldCharType="separate"/>
      </w:r>
      <w:r w:rsidR="46702DDF">
        <w:t>(Hulme, 2015a)</w:t>
      </w:r>
      <w:r w:rsidR="00986281" w:rsidRPr="728F2DAF">
        <w:rPr>
          <w:lang w:val="en-GB"/>
        </w:rPr>
        <w:fldChar w:fldCharType="end"/>
      </w:r>
      <w:r w:rsidRPr="728F2DAF">
        <w:rPr>
          <w:lang w:val="en-GB"/>
        </w:rPr>
        <w:t xml:space="preserve">, the paucity of studies on indirect drivers is particularly troubling. Developing economies harbour most of the world’s biodiversity </w:t>
      </w:r>
      <w:r w:rsidR="00986281" w:rsidRPr="728F2DAF">
        <w:rPr>
          <w:lang w:val="en-GB"/>
        </w:rPr>
        <w:fldChar w:fldCharType="begin"/>
      </w:r>
      <w:r w:rsidR="00331A79">
        <w:rPr>
          <w:lang w:val="en-GB"/>
        </w:rPr>
        <w:instrText xml:space="preserve"> ADDIN ZOTERO_ITEM CSL_CITATION {"citationID":"w9SeTZzz","properties":{"formattedCitation":"(Adenle et al., 2015)","plainCitation":"(Adenle et al., 2015)","noteIndex":0},"citationItems":[{"id":29521,"uris":["http://zotero.org/groups/2352922/items/DI29H6KN"],"itemData":{"id":29521,"type":"article-journal","container-title":"Environmental Science &amp; Policy","DOI":"10.1016/j.envsci.2014.10.002","language":"en","page":"104–108","title":"Global conservation and management of biodiversity in developing countries: An opportunity for a new approach","volume":"45","author":[{"family":"Adenle","given":"A.A."},{"family":"Stevens","given":"C."},{"family":"Bridgewater","given":"P."}],"issued":{"date-parts":[["2015"]]}},"label":"page"}],"schema":"https://github.com/citation-style-language/schema/raw/master/csl-citation.json"} </w:instrText>
      </w:r>
      <w:r w:rsidR="00986281" w:rsidRPr="728F2DAF">
        <w:rPr>
          <w:lang w:val="en-GB"/>
        </w:rPr>
        <w:fldChar w:fldCharType="separate"/>
      </w:r>
      <w:r w:rsidR="73B99EB6">
        <w:t>(Adenle et al., 2015)</w:t>
      </w:r>
      <w:r w:rsidR="00986281" w:rsidRPr="728F2DAF">
        <w:rPr>
          <w:lang w:val="en-GB"/>
        </w:rPr>
        <w:fldChar w:fldCharType="end"/>
      </w:r>
      <w:r w:rsidRPr="728F2DAF">
        <w:rPr>
          <w:lang w:val="en-GB"/>
        </w:rPr>
        <w:t xml:space="preserve"> but also face significant threats from indirect </w:t>
      </w:r>
      <w:r w:rsidR="067C1E4A" w:rsidRPr="728F2DAF">
        <w:rPr>
          <w:lang w:val="en-GB"/>
        </w:rPr>
        <w:t>drivers of change in nature</w:t>
      </w:r>
      <w:r w:rsidRPr="728F2DAF">
        <w:rPr>
          <w:lang w:val="en-GB"/>
        </w:rPr>
        <w:t xml:space="preserve"> such as international trade </w:t>
      </w:r>
      <w:r w:rsidR="00986281" w:rsidRPr="728F2DAF">
        <w:rPr>
          <w:lang w:val="en-GB"/>
        </w:rPr>
        <w:fldChar w:fldCharType="begin"/>
      </w:r>
      <w:r w:rsidR="00331A79">
        <w:rPr>
          <w:lang w:val="en-GB"/>
        </w:rPr>
        <w:instrText xml:space="preserve"> ADDIN ZOTERO_ITEM CSL_CITATION {"citationID":"HnlvSdCS","properties":{"formattedCitation":"(Lenzen et al., 2012)","plainCitation":"(Lenzen et al., 2012)","noteIndex":0},"citationItems":[{"id":29812,"uris":["http://zotero.org/groups/2352922/items/PJTK5RU7"],"itemData":{"id":29812,"type":"article-journal","abstract":"Human activities are causing Earth's sixth major extinction event(1)-an accelerating decline of the world's stocks of biological diversity at rates 100 to 1,000 times pre-human levels(2). Historically, low-impact intrusion into species habitats arose from local demands for food, fuel and living space(3). However, in today's increasingly globalized economy, international trade chains accelerate habitat degradation far removed from the place of consumption. Although adverse effects of economic prosperity and economic inequality have been confirmed(4,5), the importance of international trade as a driver of threats to species is poorly understood. Here we show that a significant number of species are threatened as a result of international trade along complex routes, and that, in particular, consumers in developed countries cause threats to species through their demand of commodities that are ultimately produced in developing countries. We linked 25,000 Animalia species threat records from the International Union for Conservation of Nature Red List to more than 15,000 commodities produced in 187 countries and evaluated more than 5 billion supply chains in terms of their biodiversity impacts. Excluding invasive species, we found that 30% of global species threats are due to international trade. In many developed countries, the consumption of imported coffee, tea, sugar, textiles, fish and other manufactured items causes a biodiversity footprint that is larger abroad than at home. Our results emphasize the importance of examining biodiversity loss as a global systemic phenomenon, instead of looking at the degrading or polluting producers in isolation. We anticipate that our findings will facilitate better regulation, sustainable supply-chain certification and consumer product labelling.","container-title":"Nature","DOI":"10.1038/nature11145","ISSN":"0028-0836","issue":"7401","language":"en","note":"WOS:000304854000037","page":"109-112","title":"International trade drives biodiversity threats in developing nations","URL":"http://www.nature.com/articles/nature11145","volume":"486","author":[{"family":"Lenzen","given":"M."},{"family":"Moran","given":"D."},{"family":"Kanemoto","given":"K."},{"family":"Foran","given":"B."},{"family":"Lobefaro","given":"L."},{"family":"Geschke","given":"A."}],"issued":{"date-parts":[["2012",6]]}},"label":"page"}],"schema":"https://github.com/citation-style-language/schema/raw/master/csl-citation.json"} </w:instrText>
      </w:r>
      <w:r w:rsidR="00986281" w:rsidRPr="728F2DAF">
        <w:rPr>
          <w:lang w:val="en-GB"/>
        </w:rPr>
        <w:fldChar w:fldCharType="separate"/>
      </w:r>
      <w:r w:rsidR="73B99EB6">
        <w:t>(Lenzen et al., 2012)</w:t>
      </w:r>
      <w:r w:rsidR="00986281" w:rsidRPr="728F2DAF">
        <w:rPr>
          <w:lang w:val="en-GB"/>
        </w:rPr>
        <w:fldChar w:fldCharType="end"/>
      </w:r>
      <w:r w:rsidRPr="728F2DAF">
        <w:rPr>
          <w:lang w:val="en-GB"/>
        </w:rPr>
        <w:t xml:space="preserve"> as well as direct drivers in the form of invasive alien species </w:t>
      </w:r>
      <w:r w:rsidR="00986281" w:rsidRPr="728F2DAF">
        <w:rPr>
          <w:lang w:val="en-GB"/>
        </w:rPr>
        <w:fldChar w:fldCharType="begin"/>
      </w:r>
      <w:r w:rsidR="00331A79">
        <w:rPr>
          <w:lang w:val="en-GB"/>
        </w:rPr>
        <w:instrText xml:space="preserve"> ADDIN ZOTERO_ITEM CSL_CITATION {"citationID":"YxTMsYLH","properties":{"formattedCitation":"(Early et al., 2016)","plainCitation":"(Early et al., 2016)","noteIndex":0},"citationItems":[{"id":31649,"uris":["http://zotero.org/groups/2352922/items/XMNL6YLF"],"itemData":{"id":31649,"type":"article-journal","abstract":"Invasive alien species (IAS) threaten human livelihoods and biodiversity globally. Increasing globalization facilitates IAS arrival, and environmental changes, including climate change, facilitate IAS establishment. Here we provide the first global, spatial analysis of the terrestrial threat from IAS in light of twenty-first century globalization and environmental change, and evaluate national capacities to prevent and manage species invasions. We find that one-sixth of the global land surface is highly vulnerable to invasion, including substantial areas in developing economies and biodiversity hotspots. The dominant invasion vectors differ between high-income countries (imports, particularly of plants and pets) and low-income countries (air travel). Uniting data on the causes of introduction and establishment can improve early-warning and eradication schemes. Most countries have limited capacity to act against invasions. In particular, we reveal a clear need for proactive invasion strategies in areas with high poverty levels, high biodiversity and low historical levels of invasion.","container-title":"Nature Communications","DOI":"10.1038/ncomms12485","ISSN":"2041-1723","issue":"1","journalAbbreviation":"Nat Commun","language":"en","page":"12485","source":"DOI.org (Crossref)","title":"Global threats from invasive alien species in the twenty-first century and national response capacities","URL":"http://www.nature.com/articles/ncomms12485","volume":"7","author":[{"family":"Early","given":"Regan"},{"family":"Bradley","given":"Bethany A."},{"family":"Dukes","given":"Jeffrey S."},{"family":"Lawler","given":"Joshua J."},{"family":"Olden","given":"Julian D."},{"family":"Blumenthal","given":"Dana M."},{"family":"Gonzalez","given":"Patrick"},{"family":"Grosholz","given":"Edwin D."},{"family":"Ibañez","given":"Ines"},{"family":"Miller","given":"Luke P."},{"family":"Sorte","given":"Cascade J. B."},{"family":"Tatem","given":"Andrew J."}],"issued":{"date-parts":[["2016",8]]}},"label":"page"}],"schema":"https://github.com/citation-style-language/schema/raw/master/csl-citation.json"} </w:instrText>
      </w:r>
      <w:r w:rsidR="00986281" w:rsidRPr="728F2DAF">
        <w:rPr>
          <w:lang w:val="en-GB"/>
        </w:rPr>
        <w:fldChar w:fldCharType="separate"/>
      </w:r>
      <w:r w:rsidR="73B99EB6">
        <w:t>(Early et al., 2016)</w:t>
      </w:r>
      <w:r w:rsidR="00986281" w:rsidRPr="728F2DAF">
        <w:rPr>
          <w:lang w:val="en-GB"/>
        </w:rPr>
        <w:fldChar w:fldCharType="end"/>
      </w:r>
      <w:r w:rsidRPr="728F2DAF">
        <w:rPr>
          <w:lang w:val="en-GB"/>
        </w:rPr>
        <w:t xml:space="preserve">. Developing economies have also been identified as sources of many of the world’s invasive alien species that have the potential to reach nearly all terrestrial biomes </w:t>
      </w:r>
      <w:r w:rsidR="00986281" w:rsidRPr="728F2DAF">
        <w:rPr>
          <w:lang w:val="en-GB"/>
        </w:rPr>
        <w:fldChar w:fldCharType="begin"/>
      </w:r>
      <w:r w:rsidR="00710AC3">
        <w:rPr>
          <w:lang w:val="en-GB"/>
        </w:rPr>
        <w:instrText xml:space="preserve"> ADDIN ZOTERO_ITEM CSL_CITATION {"citationID":"jTnmMlnG","properties":{"formattedCitation":"(Measey et al., 2019)","plainCitation":"(Measey et al., 2019)","noteIndex":0},"citationItems":[{"id":29917,"uris":["http://zotero.org/groups/2352922/items/TKJ7FT93"],"itemData":{"id":29917,"type":"article-journal","abstract":"Developed countries are producing policies to reduce the flow of invasive species and control or eradicate existing invasions, but most developing countries are under-resourced to tackle either aspect without help. Emerging economies, such as Brazil, Russia, India, China, and South Africa (BRICS), are responsible for donating many of the world’s invasive species that have the potential to reach nearly all terrestrial biomes. Implementing a proactive ‘facilitated network’ model is urgently required to build capacity and stimulate effective appropriate invasion science. We contend that creating a BRICS network of invasion scientists will have the immediate impact required to meet future policy demands.","container-title":"PLOS Biology","DOI":"10.1371/journal.pbio.3000404","ISSN":"1545-7885","issue":"9","journalAbbreviation":"PLoS Biology","language":"en","note":"publisher: Public Library of Science","page":"e3000404","source":"PLoS Journals","title":"The world needs BRICS countries to build capacity in invasion science","URL":"https://journals.plos.org/plosbiology/article?id=10.1371/journal.pbio.3000404","volume":"17","author":[{"family":"Measey","given":"John"},{"family":"Visser","given":"Vernon"},{"family":"Dgebuadze","given":"Yury"},{"literal":"Inderjit"},{"family":"Li","given":"Bo"},{"family":"Dechoum","given":"Michele"},{"family":"Ziller","given":"Silvia R."},{"family":"Richardson","given":"David M."}],"accessed":{"date-parts":[["2021",6,12]]},"issued":{"date-parts":[["2019",9,19]]}},"label":"page"}],"schema":"https://github.com/citation-style-language/schema/raw/master/csl-citation.json"} </w:instrText>
      </w:r>
      <w:r w:rsidR="00986281" w:rsidRPr="728F2DAF">
        <w:rPr>
          <w:lang w:val="en-GB"/>
        </w:rPr>
        <w:fldChar w:fldCharType="separate"/>
      </w:r>
      <w:r w:rsidR="73B99EB6">
        <w:t>(Measey et al., 2019)</w:t>
      </w:r>
      <w:r w:rsidR="00986281" w:rsidRPr="728F2DAF">
        <w:rPr>
          <w:lang w:val="en-GB"/>
        </w:rPr>
        <w:fldChar w:fldCharType="end"/>
      </w:r>
      <w:r w:rsidRPr="728F2DAF">
        <w:rPr>
          <w:lang w:val="en-GB"/>
        </w:rPr>
        <w:t>. Thus, there is an imperative to improve the knowledge of drivers of</w:t>
      </w:r>
      <w:r w:rsidR="00FD249C">
        <w:rPr>
          <w:lang w:val="en-GB"/>
        </w:rPr>
        <w:t xml:space="preserve"> </w:t>
      </w:r>
      <w:r w:rsidRPr="728F2DAF">
        <w:rPr>
          <w:lang w:val="en-GB"/>
        </w:rPr>
        <w:t>change</w:t>
      </w:r>
      <w:r w:rsidR="1E71FA63" w:rsidRPr="728F2DAF">
        <w:rPr>
          <w:lang w:val="en-GB"/>
        </w:rPr>
        <w:t xml:space="preserve"> in nature in developing economies </w:t>
      </w:r>
      <w:r w:rsidR="51843C28" w:rsidRPr="728F2DAF">
        <w:rPr>
          <w:lang w:val="en-GB"/>
        </w:rPr>
        <w:t xml:space="preserve">not </w:t>
      </w:r>
      <w:r w:rsidR="1E71FA63" w:rsidRPr="728F2DAF">
        <w:rPr>
          <w:lang w:val="en-GB"/>
        </w:rPr>
        <w:t>o</w:t>
      </w:r>
      <w:r w:rsidRPr="728F2DAF">
        <w:rPr>
          <w:lang w:val="en-GB"/>
        </w:rPr>
        <w:t xml:space="preserve">nly to protect their own national natural heritage but also prevent further biological invasions globally. The similarity between the results from the diverse literature review strategy in </w:t>
      </w:r>
      <w:r w:rsidR="4F260D0E" w:rsidRPr="728F2DAF">
        <w:rPr>
          <w:lang w:val="en-GB"/>
        </w:rPr>
        <w:t>C</w:t>
      </w:r>
      <w:r w:rsidRPr="728F2DAF">
        <w:rPr>
          <w:lang w:val="en-GB"/>
        </w:rPr>
        <w:t xml:space="preserve">hapter 3 and a systematic bibliometric analysis </w:t>
      </w:r>
      <w:r w:rsidR="00986281" w:rsidRPr="728F2DAF">
        <w:rPr>
          <w:lang w:val="en-GB"/>
        </w:rPr>
        <w:fldChar w:fldCharType="begin"/>
      </w:r>
      <w:r w:rsidR="00331A79">
        <w:rPr>
          <w:lang w:val="en-GB"/>
        </w:rPr>
        <w:instrText xml:space="preserve"> ADDIN ZOTERO_ITEM CSL_CITATION {"citationID":"pQbvaHo7","properties":{"formattedCitation":"(Hulme, 2022)","plainCitation":"(Hulme, 2022)","noteIndex":0},"citationItems":[{"id":29804,"uris":["http://zotero.org/groups/2352922/items/NSIS6VSX"],"itemData":{"id":29804,"type":"article-journal","container-title":"Conservation Biology","DOI":"10.1111/cobi.13817","issue":"2","language":"en","page":"e13817","title":"Importance of greater interdisciplinarity and geographic scope when tackling the driving forces behind biological invasions","URL":"https://doi.org/10.1111/cobi.13817","volume":"36","author":[{"family":"Hulme","given":"Philip E."}],"issued":{"date-parts":[["2022"]]}},"label":"page"}],"schema":"https://github.com/citation-style-language/schema/raw/master/csl-citation.json"} </w:instrText>
      </w:r>
      <w:r w:rsidR="00986281" w:rsidRPr="728F2DAF">
        <w:rPr>
          <w:lang w:val="en-GB"/>
        </w:rPr>
        <w:fldChar w:fldCharType="separate"/>
      </w:r>
      <w:r w:rsidR="73B99EB6">
        <w:t>(Hulme, 2022)</w:t>
      </w:r>
      <w:r w:rsidR="00986281" w:rsidRPr="728F2DAF">
        <w:rPr>
          <w:lang w:val="en-GB"/>
        </w:rPr>
        <w:fldChar w:fldCharType="end"/>
      </w:r>
      <w:r w:rsidR="534B05BB" w:rsidRPr="728F2DAF">
        <w:rPr>
          <w:lang w:val="en-GB"/>
        </w:rPr>
        <w:t xml:space="preserve"> </w:t>
      </w:r>
      <w:r w:rsidRPr="728F2DAF">
        <w:rPr>
          <w:lang w:val="en-GB"/>
        </w:rPr>
        <w:t xml:space="preserve">support the view that </w:t>
      </w:r>
      <w:r w:rsidR="4F260D0E" w:rsidRPr="728F2DAF">
        <w:rPr>
          <w:lang w:val="en-GB"/>
        </w:rPr>
        <w:t>C</w:t>
      </w:r>
      <w:r w:rsidRPr="728F2DAF">
        <w:rPr>
          <w:lang w:val="en-GB"/>
        </w:rPr>
        <w:t xml:space="preserve">hapter 3 adequately captures current knowledge of the drivers </w:t>
      </w:r>
      <w:r w:rsidR="14105771" w:rsidRPr="728F2DAF">
        <w:rPr>
          <w:lang w:val="en-GB"/>
        </w:rPr>
        <w:t>in facilitating</w:t>
      </w:r>
      <w:r w:rsidR="00FD249C">
        <w:rPr>
          <w:lang w:val="en-GB"/>
        </w:rPr>
        <w:t xml:space="preserve"> </w:t>
      </w:r>
      <w:r w:rsidRPr="728F2DAF">
        <w:rPr>
          <w:lang w:val="en-GB"/>
        </w:rPr>
        <w:t>invasive alien species.</w:t>
      </w:r>
      <w:r w:rsidR="1A5FB547" w:rsidRPr="728F2DAF">
        <w:rPr>
          <w:lang w:val="en-GB"/>
        </w:rPr>
        <w:t xml:space="preserve"> </w:t>
      </w:r>
    </w:p>
    <w:p w14:paraId="58C1466B" w14:textId="77777777" w:rsidR="00986281" w:rsidRPr="00DA249F" w:rsidRDefault="00986281" w:rsidP="00FC1BA2">
      <w:pPr>
        <w:shd w:val="clear" w:color="auto" w:fill="FFFFFF" w:themeFill="background1"/>
        <w:rPr>
          <w:rFonts w:eastAsia="游明朝"/>
          <w:lang w:val="en-GB"/>
        </w:rPr>
      </w:pPr>
    </w:p>
    <w:p w14:paraId="09B74D7E" w14:textId="23CFD3A3" w:rsidR="00986281" w:rsidRPr="00DA249F" w:rsidRDefault="00986281" w:rsidP="00986281">
      <w:pPr>
        <w:pStyle w:val="Caption"/>
        <w:pBdr>
          <w:top w:val="single" w:sz="4" w:space="1" w:color="auto"/>
          <w:left w:val="single" w:sz="4" w:space="1" w:color="auto"/>
          <w:bottom w:val="single" w:sz="4" w:space="1" w:color="auto"/>
          <w:right w:val="single" w:sz="4" w:space="1" w:color="auto"/>
        </w:pBdr>
        <w:shd w:val="clear" w:color="auto" w:fill="E7E6E6" w:themeFill="background2"/>
        <w:rPr>
          <w:lang w:val="en-GB"/>
        </w:rPr>
      </w:pPr>
      <w:bookmarkStart w:id="264" w:name="_Ref104903934"/>
      <w:bookmarkStart w:id="265" w:name="_Toc158373498"/>
      <w:bookmarkStart w:id="266" w:name="_Hlk126916989"/>
      <w:r w:rsidRPr="00DA249F">
        <w:rPr>
          <w:lang w:val="en-GB"/>
        </w:rPr>
        <w:lastRenderedPageBreak/>
        <w:t>Box 3.</w:t>
      </w:r>
      <w:r w:rsidRPr="00DA249F">
        <w:rPr>
          <w:lang w:val="en-GB"/>
        </w:rPr>
        <w:fldChar w:fldCharType="begin"/>
      </w:r>
      <w:r w:rsidRPr="00DA249F">
        <w:rPr>
          <w:lang w:val="en-GB"/>
        </w:rPr>
        <w:instrText xml:space="preserve"> SEQ Box_3. \* ARABIC </w:instrText>
      </w:r>
      <w:r w:rsidRPr="00DA249F">
        <w:rPr>
          <w:lang w:val="en-GB"/>
        </w:rPr>
        <w:fldChar w:fldCharType="separate"/>
      </w:r>
      <w:r w:rsidR="00287BC7">
        <w:rPr>
          <w:noProof/>
          <w:lang w:val="en-GB"/>
        </w:rPr>
        <w:t>14</w:t>
      </w:r>
      <w:r w:rsidRPr="00DA249F">
        <w:rPr>
          <w:lang w:val="en-GB"/>
        </w:rPr>
        <w:fldChar w:fldCharType="end"/>
      </w:r>
      <w:bookmarkEnd w:id="264"/>
      <w:r w:rsidR="00577449" w:rsidRPr="00DA249F">
        <w:rPr>
          <w:lang w:val="en-GB"/>
        </w:rPr>
        <w:t>.</w:t>
      </w:r>
      <w:r w:rsidRPr="00DA249F">
        <w:rPr>
          <w:lang w:val="en-GB"/>
        </w:rPr>
        <w:t xml:space="preserve"> Representation of drivers in scenarios and models</w:t>
      </w:r>
      <w:r w:rsidRPr="00710AC3">
        <w:rPr>
          <w:rStyle w:val="FootnoteReference"/>
        </w:rPr>
        <w:footnoteReference w:id="12"/>
      </w:r>
      <w:bookmarkEnd w:id="265"/>
    </w:p>
    <w:p w14:paraId="58248D59" w14:textId="2D95E278" w:rsidR="00986281" w:rsidRPr="00DA249F" w:rsidRDefault="3862D0AB" w:rsidP="5575EBFC">
      <w:pPr>
        <w:pBdr>
          <w:top w:val="single" w:sz="4" w:space="1" w:color="auto"/>
          <w:left w:val="single" w:sz="4" w:space="1" w:color="auto"/>
          <w:bottom w:val="single" w:sz="4" w:space="1" w:color="auto"/>
          <w:right w:val="single" w:sz="4" w:space="1" w:color="auto"/>
        </w:pBdr>
        <w:shd w:val="clear" w:color="auto" w:fill="E7E6E6" w:themeFill="background2"/>
        <w:rPr>
          <w:rFonts w:eastAsia="DengXian"/>
          <w:lang w:val="en-GB"/>
        </w:rPr>
      </w:pPr>
      <w:r w:rsidRPr="5575EBFC">
        <w:rPr>
          <w:rFonts w:eastAsia="DengXian"/>
          <w:lang w:val="en-GB"/>
        </w:rPr>
        <w:t xml:space="preserve">Previous IPBES assessments have evaluated how various tools and techniques such as scenarios and models have been used to better understand the </w:t>
      </w:r>
      <w:r w:rsidR="332F2802" w:rsidRPr="5575EBFC">
        <w:rPr>
          <w:rFonts w:eastAsia="DengXian"/>
          <w:lang w:val="en-GB"/>
        </w:rPr>
        <w:t xml:space="preserve">impacts of </w:t>
      </w:r>
      <w:r w:rsidRPr="5575EBFC">
        <w:rPr>
          <w:rFonts w:eastAsia="DengXian"/>
          <w:lang w:val="en-GB"/>
        </w:rPr>
        <w:t xml:space="preserve">drivers </w:t>
      </w:r>
      <w:r w:rsidR="4C00F120" w:rsidRPr="5575EBFC">
        <w:rPr>
          <w:rFonts w:eastAsia="DengXian"/>
          <w:lang w:val="en-GB"/>
        </w:rPr>
        <w:t xml:space="preserve">on nature, nature’s </w:t>
      </w:r>
      <w:r w:rsidR="003000E0">
        <w:rPr>
          <w:rFonts w:eastAsia="DengXian"/>
          <w:lang w:val="en-GB"/>
        </w:rPr>
        <w:t>contributions</w:t>
      </w:r>
      <w:r w:rsidR="4C00F120" w:rsidRPr="5575EBFC">
        <w:rPr>
          <w:rFonts w:eastAsia="DengXian"/>
          <w:lang w:val="en-GB"/>
        </w:rPr>
        <w:t xml:space="preserve"> to peo</w:t>
      </w:r>
      <w:r w:rsidR="35EC8DFD" w:rsidRPr="5575EBFC">
        <w:rPr>
          <w:rFonts w:eastAsia="DengXian"/>
          <w:lang w:val="en-GB"/>
        </w:rPr>
        <w:t>ple</w:t>
      </w:r>
      <w:r w:rsidR="00774819">
        <w:rPr>
          <w:rFonts w:eastAsia="DengXian"/>
          <w:lang w:val="en-GB"/>
        </w:rPr>
        <w:t xml:space="preserve"> and</w:t>
      </w:r>
      <w:r w:rsidR="35EC8DFD" w:rsidRPr="5575EBFC">
        <w:rPr>
          <w:rFonts w:eastAsia="DengXian"/>
          <w:lang w:val="en-GB"/>
        </w:rPr>
        <w:t xml:space="preserve"> good quality of life</w:t>
      </w:r>
      <w:r w:rsidR="00FD249C">
        <w:rPr>
          <w:rFonts w:eastAsia="DengXian"/>
          <w:lang w:val="en-GB"/>
        </w:rPr>
        <w:t xml:space="preserve"> </w:t>
      </w:r>
      <w:r w:rsidR="00986281" w:rsidRPr="5575EBFC">
        <w:rPr>
          <w:rFonts w:eastAsia="DengXian"/>
          <w:lang w:val="en-GB"/>
        </w:rPr>
        <w:fldChar w:fldCharType="begin"/>
      </w:r>
      <w:r w:rsidR="00E47460">
        <w:rPr>
          <w:rFonts w:eastAsia="DengXian"/>
          <w:lang w:val="en-GB"/>
        </w:rPr>
        <w:instrText xml:space="preserve"> ADDIN ZOTERO_ITEM CSL_CITATION {"citationID":"aZXbnYh7","properties":{"formattedCitation":"(IPBES, 2016b, 2018e, 2018c, 2018d, 2019)","plainCitation":"(IPBES, 2016b, 2018e, 2018c, 2018d, 2019)","noteIndex":0},"citationItems":[{"id":29273,"uris":["http://zotero.org/groups/2352922/items/MIBPMHP5"],"itemData":{"id":29273,"type":"report","event-place":"Bonn, Germany","language":"en","license":"Creative Commons Attribution 4.0 International, Open Access","note":"DOI: 10.5281/ZENODO.3235428","publisher":"Secretariat of the Intergovernmental Science-Policy Platform on Biodiversity and Ecosystem Services","publisher-place":"Bonn, Germany","source":"DOI.org (Datacite)","title":"The methodological assessment report on scenarios and models of biodiversity and ecosystem services","URL":"https://zenodo.org/record/3235428","author":[{"literal":"IPBES"}],"collection-editor":[{"family":"Acosta","given":"L. A."},{"family":"Akçakaya","given":"H. R."},{"family":"Brotons","given":"L."},{"family":"Cheung","given":"W. W. L."},{"family":"Christensen","given":"V."},{"family":"Harhash","given":"K. A."},{"family":"Kabubo-Mariara","given":"J."},{"family":"Lundquist","given":"C."},{"family":"Obersteiner","given":"M."},{"family":"Pereira","given":"H. M."},{"family":"Peterson","given":"G."},{"family":"Pichs-Madruga","given":"R."},{"family":"Ravindranath","given":"N."},{"family":"Rondinini","given":"C."},{"family":"Wintle","given":"B. A."}],"accessed":{"date-parts":[["2021",2,22]]},"issued":{"date-parts":[["2016"]]}},"label":"page"},{"id":26988,"uris":["http://zotero.org/groups/2352922/items/4BH3PUNM"],"itemData":{"id":26988,"type":"report","abstract":"The Regional Assessment Report on Biodiversity and Ecosystem Services for Europe and Central Asia produced by the Intergovernmental Science-Policy Platform on Biodiversity and Ecosystem Services (IPBES) provides a critical analysis of the state of knowledge regarding the importance, status, and trends of biodiversity and nature’s contributions to people. The assessment analyses the direct and underlying causes for the observed changes in biodiversity and in nature’s contributions to people, and the impact that these changes have on the quality of life of people. The assessment, finally, identifies a mix of governance options, policies and management practices that are currently available to reduce the loss of biodiversity and of nature’s contributions to people in that region. The assessment addresses terrestrial, freshwater, and coastal biodiversity and covers current status and trends, going back in time several decades, and future projections, with a focus on the 2020-2050 period.","event-place":"Bonn, Germany","language":"en","license":"Creative Commons Attribution 4.0 International, Open Access","note":"version: Report\nDOI: 10.5281/ZENODO.3237429","publisher":"Secretariat of the Intergovernmental Science-Policy Platform on Biodiversity and Ecosystem Services","publisher-place":"Bonn, Germany","source":"DOI.org (Datacite)","title":"The IPBES regional assessment report on biodiversity and ecosystem services for Europe and Central Asia","URL":"https://zenodo.org/record/3237429","author":[{"literal":"IPBES"}],"collection-editor":[{"family":"Rounsevell","given":"Mark"},{"family":"Fischer","given":"Markus"},{"family":"Rando","given":"Amor Torre-Marin"},{"family":"Mader","given":"André"}],"accessed":{"date-parts":[["2021",2,9]]},"issued":{"date-parts":[["2018"]]}},"label":"page"},{"id":32916,"uris":["http://zotero.org/groups/2352922/items/HQTI4ZNS"],"itemData":{"id":32916,"type":"report","event-place":"Bonn, Germany","language":"en","publisher":"Secretariat of the Intergovernmental Science-Policy Platform on Biodiversity and Ecosystem Services","publisher-place":"Bonn, Germany","title":"The IPBES regional assessment report on biodiversity and ecosystem services for Africa","URL":"https://zenodo.org/record/3236178#.YmjyIdrP2Uk","author":[{"literal":"IPBES"}],"collection-editor":[{"family":"Archer","given":"Emma"},{"family":"Dziba","given":"Luthando E."},{"family":"Mulongoy","given":"Kulemani Jo"},{"family":"Maoela","given":"Malebajoa Anicia"},{"family":"Walters","given":"Michele"}],"issued":{"date-parts":[["2018"]]}},"label":"page"},{"id":26989,"uris":["http://zotero.org/groups/2352922/items/HNN39TBD","http://zotero.org/groups/2352922/items/BF3N3YYK"],"itemData":{"id":26989,"type":"report","abstract":"The Regional Assessment Report on Biodiversity and Ecosystem Services for Asia and the Pacific produced by the Intergovernmental Science-Policy Platform on Biodiversity and Ecosystem Services (IPBES) provides a critical analysis of the state of knowledge regarding the importance, status, and trends of biodiversity and nature’s contributions to people. The assessment analyses the direct and underlying causes for the observed changes in biodiversity and in nature’s contributions to people, and the impact that these changes have on the quality of life of people. The assessment, finally, identifies a mix of governance options, policies and management practices that are currently available to reduce the loss of biodiversity and of nature’s contributions to people in that region. The assessment addresses terrestrial, freshwater, and coastal biodiversity and covers current status and trends, going back in time several decades, and future projections, with a focus on the 2020-2050 period.","event-place":"Bonn, Germany","language":"en","license":"Creative Commons Attribution 4.0 International, Open Access","note":"version: Report\nDOI: 10.5281/ZENODO.3237374","publisher":"Secretariat of the Intergovernmental Science-Policy Platform on Biodiversity and Ecosystem Services","publisher-place":"Bonn, Germany","source":"DOI.org (Datacite)","title":"The IPBES regional assessment report on biodiversity and ecosystem services for Asia and the Pacific","URL":"https://zenodo.org/record/3237374","author":[{"literal":"IPBES"}],"collection-editor":[{"family":"Karki","given":"Madhav"},{"family":"Sellamuttu","given":"Sonali Senaratna"},{"family":"Okayasu","given":"Sana"},{"family":"Suzuki","given":"Wataru"}],"accessed":{"date-parts":[["2020",8,25]]},"issued":{"date-parts":[["2018"]]}},"label":"page"},{"id":53933,"uris":["http://zotero.org/groups/2352922/items/JYFISR8Z","http://zotero.org/groups/2352922/items/ZACZGHZL"],"itemData":{"id":53933,"type":"report","abstract":"IPBES is to perform regular and timely assessments of knowledge on biodiversity and ecosystem services and their interlinkages at the global level. Also addressing an invitation by the Conference of the Parties of the Convention on Biological Diversity (CBD) to prepare a global assessment of biodiversity and ecosystem services building, inter alia, on its own and other relevant regional, subregional and thematic assessments, as well as on national reports. The overall scope of the assessment is to assess the status and trends with regard to biodiversity and ecosystem services, the impact of biodiversity and ecosystem services on human well-being and the effectiveness of responses, including the Strategic Plan and its Aichi Biodiversity Targets. It is anticipated that this deliverable will contribute to the process for the evaluation and renewal of the Strategic Plan for Biodiversity and its Aichi Biodiversity Targets. The IPBES Global Assessment on Biodiversity and Ecosystem Services is composed of 1) a Summary for Policymakers (SPM), approved by the IPBES Plenary at its 7th session in May 2019 in Paris, France (IPBES-7); and 2) a set of six Chapters, accepted by the IPBES Plenary.","language":"en","license":"Creative Commons Attribution 4.0 International, Open Access","note":"Version Number 1\nDOI: 10.5281/ZENODO.3831673","publisher":"Secretariat of the Intergovernmental Science-Policy Platform on Biodiversity and Ecosystem Services","source":"DOI.org (Datacite)","title":"Global assessment report on biodiversity and ecosystem services of the Intergovernmental Science-Policy Platform on Biodiversity and Ecosystem Services","URL":"https://zenodo.org/record/3831673","author":[{"literal":"IPBES"}],"contributor":[{"family":"Brondizio","given":"Eduardo"},{"family":"Diaz","given":"Sandra"},{"family":"Settele","given":"Josef"},{"family":"Ngo","given":"Hien T."}],"accessed":{"date-parts":[["2023",1,5]]},"issued":{"date-parts":[["2019"]]}},"label":"page"}],"schema":"https://github.com/citation-style-language/schema/raw/master/csl-citation.json"} </w:instrText>
      </w:r>
      <w:r w:rsidR="00986281" w:rsidRPr="5575EBFC">
        <w:rPr>
          <w:rFonts w:eastAsia="DengXian"/>
          <w:lang w:val="en-GB"/>
        </w:rPr>
        <w:fldChar w:fldCharType="separate"/>
      </w:r>
      <w:r w:rsidR="674745DD">
        <w:t>(IPBES, 2016b, 2018e, 2018c, 2018d, 2019)</w:t>
      </w:r>
      <w:r w:rsidR="00986281" w:rsidRPr="5575EBFC">
        <w:rPr>
          <w:rFonts w:eastAsia="DengXian"/>
          <w:lang w:val="en-GB"/>
        </w:rPr>
        <w:fldChar w:fldCharType="end"/>
      </w:r>
      <w:r w:rsidRPr="5575EBFC">
        <w:rPr>
          <w:rFonts w:eastAsia="DengXian"/>
          <w:lang w:val="en-GB"/>
        </w:rPr>
        <w:t>. For this assessment a systematic review was undertaken to evaluate the patterns and trends in published research on invasive alien species that included both scenarios and models (</w:t>
      </w:r>
      <w:r w:rsidR="0D2CFEFE" w:rsidRPr="5575EBFC">
        <w:rPr>
          <w:rFonts w:eastAsia="DengXian"/>
          <w:b/>
          <w:bCs/>
          <w:lang w:val="en-GB"/>
        </w:rPr>
        <w:t>C</w:t>
      </w:r>
      <w:r w:rsidRPr="5575EBFC">
        <w:rPr>
          <w:rFonts w:eastAsia="DengXian"/>
          <w:b/>
          <w:bCs/>
          <w:lang w:val="en-GB"/>
        </w:rPr>
        <w:t>hapter 1</w:t>
      </w:r>
      <w:r w:rsidRPr="5575EBFC">
        <w:rPr>
          <w:rFonts w:eastAsia="DengXian"/>
          <w:lang w:val="en-GB"/>
        </w:rPr>
        <w:t>,</w:t>
      </w:r>
      <w:r w:rsidRPr="5575EBFC">
        <w:rPr>
          <w:rFonts w:eastAsia="DengXian"/>
          <w:b/>
          <w:bCs/>
          <w:lang w:val="en-GB"/>
        </w:rPr>
        <w:t xml:space="preserve"> section 1.6.7.3</w:t>
      </w:r>
      <w:r w:rsidRPr="5575EBFC">
        <w:rPr>
          <w:rFonts w:eastAsia="DengXian"/>
          <w:lang w:val="en-GB"/>
        </w:rPr>
        <w:t>). In total 778 papers were reviewed (from an initial set of 30</w:t>
      </w:r>
      <w:r w:rsidR="50769193" w:rsidRPr="5575EBFC">
        <w:rPr>
          <w:rFonts w:eastAsia="DengXian"/>
          <w:lang w:val="en-GB"/>
        </w:rPr>
        <w:t>,</w:t>
      </w:r>
      <w:r w:rsidRPr="5575EBFC">
        <w:rPr>
          <w:rFonts w:eastAsia="DengXian"/>
          <w:lang w:val="en-GB"/>
        </w:rPr>
        <w:t>299). Drivers were included as a scenario feature within the review with information captured on the number and type of driver. The results of the review showed that most papers focused on only one driver (77 per cent of 778 papers). Climate change was the most commonly included driver (</w:t>
      </w:r>
      <w:r w:rsidR="63C3A141" w:rsidRPr="5575EBFC">
        <w:rPr>
          <w:rFonts w:eastAsia="DengXian"/>
          <w:lang w:val="en-GB"/>
        </w:rPr>
        <w:t>62</w:t>
      </w:r>
      <w:r w:rsidRPr="5575EBFC">
        <w:rPr>
          <w:rFonts w:eastAsia="DengXian"/>
          <w:lang w:val="en-GB"/>
        </w:rPr>
        <w:t xml:space="preserve"> per cent of all observations</w:t>
      </w:r>
      <w:r w:rsidR="63C3A141" w:rsidRPr="5575EBFC">
        <w:rPr>
          <w:rFonts w:eastAsia="DengXian"/>
          <w:lang w:val="en-GB"/>
        </w:rPr>
        <w:t>;</w:t>
      </w:r>
      <w:r w:rsidRPr="5575EBFC">
        <w:rPr>
          <w:rFonts w:eastAsia="DengXian"/>
          <w:lang w:val="en-GB"/>
        </w:rPr>
        <w:t xml:space="preserve"> </w:t>
      </w:r>
      <w:r w:rsidR="00DC2990">
        <w:rPr>
          <w:rFonts w:eastAsia="DengXian"/>
          <w:b/>
          <w:bCs/>
          <w:lang w:val="en-GB"/>
        </w:rPr>
        <w:t>Figure</w:t>
      </w:r>
      <w:r w:rsidR="7858F624" w:rsidRPr="5575EBFC">
        <w:rPr>
          <w:rFonts w:eastAsia="DengXian"/>
          <w:b/>
          <w:bCs/>
          <w:lang w:val="en-GB"/>
        </w:rPr>
        <w:t xml:space="preserve"> 3.32</w:t>
      </w:r>
      <w:r w:rsidRPr="5575EBFC">
        <w:rPr>
          <w:rFonts w:eastAsia="DengXian"/>
          <w:lang w:val="en-GB"/>
        </w:rPr>
        <w:t xml:space="preserve">). The studies that focused on two or more drivers often included climate change or invasive alien species. Many of the drivers identified in </w:t>
      </w:r>
      <w:r w:rsidR="51C799B9" w:rsidRPr="5575EBFC">
        <w:rPr>
          <w:rFonts w:eastAsia="DengXian"/>
          <w:lang w:val="en-GB"/>
        </w:rPr>
        <w:t>C</w:t>
      </w:r>
      <w:r w:rsidRPr="5575EBFC">
        <w:rPr>
          <w:rFonts w:eastAsia="DengXian"/>
          <w:lang w:val="en-GB"/>
        </w:rPr>
        <w:t>hapter 3 (</w:t>
      </w:r>
      <w:r w:rsidR="00E23B69">
        <w:rPr>
          <w:rFonts w:eastAsia="DengXian"/>
          <w:b/>
          <w:bCs/>
          <w:lang w:val="en-GB"/>
        </w:rPr>
        <w:t>Table</w:t>
      </w:r>
      <w:r w:rsidR="2D0E0D63" w:rsidRPr="5575EBFC">
        <w:rPr>
          <w:rFonts w:eastAsia="DengXian"/>
          <w:b/>
          <w:bCs/>
          <w:lang w:val="en-GB"/>
        </w:rPr>
        <w:t xml:space="preserve"> </w:t>
      </w:r>
      <w:r w:rsidRPr="5575EBFC">
        <w:rPr>
          <w:rFonts w:eastAsia="DengXian"/>
          <w:b/>
          <w:bCs/>
          <w:lang w:val="en-GB"/>
        </w:rPr>
        <w:t>3.1</w:t>
      </w:r>
      <w:r w:rsidRPr="5575EBFC">
        <w:rPr>
          <w:rFonts w:eastAsia="DengXian"/>
          <w:lang w:val="en-GB"/>
        </w:rPr>
        <w:t xml:space="preserve">) were poorly represented, as drivers such as demographics, governance, pollution, </w:t>
      </w:r>
      <w:r w:rsidR="1665AFA0" w:rsidRPr="5575EBFC">
        <w:rPr>
          <w:rStyle w:val="normaltextrun"/>
          <w:color w:val="000000" w:themeColor="text1"/>
          <w:lang w:val="en-GB"/>
        </w:rPr>
        <w:t>direct exploitation of natural resources</w:t>
      </w:r>
      <w:r w:rsidRPr="5575EBFC">
        <w:rPr>
          <w:rFonts w:eastAsia="DengXian"/>
          <w:lang w:val="en-GB"/>
        </w:rPr>
        <w:t xml:space="preserve">, values and technology accounted for less than 2 per cent of the observations. The lack of studies focusing on interactions amongst drivers is a gap that could limit understanding of the outcomes of biological invasions alongside other </w:t>
      </w:r>
      <w:r w:rsidR="653902EA" w:rsidRPr="5575EBFC">
        <w:rPr>
          <w:rFonts w:eastAsia="DengXian"/>
          <w:lang w:val="en-GB"/>
        </w:rPr>
        <w:t>drivers of change in nature</w:t>
      </w:r>
      <w:r w:rsidRPr="5575EBFC">
        <w:rPr>
          <w:rFonts w:eastAsia="DengXian"/>
          <w:lang w:val="en-GB"/>
        </w:rPr>
        <w:t xml:space="preserve">. </w:t>
      </w:r>
    </w:p>
    <w:p w14:paraId="0D4F807A" w14:textId="0E578F30" w:rsidR="00986281" w:rsidRPr="00DA249F" w:rsidRDefault="00133003" w:rsidP="00986281">
      <w:pPr>
        <w:pBdr>
          <w:top w:val="single" w:sz="4" w:space="1" w:color="auto"/>
          <w:left w:val="single" w:sz="4" w:space="1" w:color="auto"/>
          <w:bottom w:val="single" w:sz="4" w:space="1" w:color="auto"/>
          <w:right w:val="single" w:sz="4" w:space="1" w:color="auto"/>
        </w:pBdr>
        <w:shd w:val="clear" w:color="auto" w:fill="E7E6E6" w:themeFill="background2"/>
        <w:jc w:val="center"/>
        <w:rPr>
          <w:rFonts w:eastAsia="DengXian"/>
          <w:highlight w:val="yellow"/>
          <w:lang w:val="en-GB"/>
        </w:rPr>
      </w:pPr>
      <w:r w:rsidRPr="00133003">
        <w:rPr>
          <w:rFonts w:eastAsia="DengXian"/>
          <w:noProof/>
          <w:lang w:val="en-GB"/>
        </w:rPr>
        <w:drawing>
          <wp:inline distT="0" distB="0" distL="0" distR="0" wp14:anchorId="67831F5A" wp14:editId="12AFFDB6">
            <wp:extent cx="6115050" cy="3691255"/>
            <wp:effectExtent l="0" t="0" r="0" b="444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6115050" cy="3691255"/>
                    </a:xfrm>
                    <a:prstGeom prst="rect">
                      <a:avLst/>
                    </a:prstGeom>
                  </pic:spPr>
                </pic:pic>
              </a:graphicData>
            </a:graphic>
          </wp:inline>
        </w:drawing>
      </w:r>
      <w:r w:rsidR="00981CE4" w:rsidRPr="00981CE4">
        <w:rPr>
          <w:rFonts w:eastAsia="DengXian"/>
          <w:noProof/>
          <w:lang w:val="en-GB"/>
        </w:rPr>
        <w:t xml:space="preserve"> </w:t>
      </w:r>
    </w:p>
    <w:p w14:paraId="3E008670" w14:textId="22CEB54E" w:rsidR="00986281" w:rsidRPr="00DA249F" w:rsidRDefault="3862D0AB" w:rsidP="5575EBFC">
      <w:pPr>
        <w:pStyle w:val="Caption"/>
        <w:pBdr>
          <w:top w:val="single" w:sz="4" w:space="1" w:color="auto"/>
          <w:left w:val="single" w:sz="4" w:space="1" w:color="auto"/>
          <w:bottom w:val="single" w:sz="4" w:space="1" w:color="auto"/>
          <w:right w:val="single" w:sz="4" w:space="1" w:color="auto"/>
        </w:pBdr>
        <w:shd w:val="clear" w:color="auto" w:fill="E7E6E6" w:themeFill="background2"/>
        <w:rPr>
          <w:lang w:val="en-GB"/>
        </w:rPr>
      </w:pPr>
      <w:bookmarkStart w:id="267" w:name="_Ref104902979"/>
      <w:bookmarkStart w:id="268" w:name="_Toc147500917"/>
      <w:r w:rsidRPr="5575EBFC">
        <w:rPr>
          <w:lang w:val="en-GB"/>
        </w:rPr>
        <w:t>Figure 3.</w:t>
      </w:r>
      <w:r w:rsidR="00986281" w:rsidRPr="5575EBFC">
        <w:rPr>
          <w:lang w:val="en-GB"/>
        </w:rPr>
        <w:fldChar w:fldCharType="begin"/>
      </w:r>
      <w:r w:rsidR="00986281" w:rsidRPr="5575EBFC">
        <w:rPr>
          <w:lang w:val="en-GB"/>
        </w:rPr>
        <w:instrText xml:space="preserve"> SEQ Figure_3. \* ARABIC </w:instrText>
      </w:r>
      <w:r w:rsidR="00986281" w:rsidRPr="5575EBFC">
        <w:rPr>
          <w:lang w:val="en-GB"/>
        </w:rPr>
        <w:fldChar w:fldCharType="separate"/>
      </w:r>
      <w:r w:rsidR="00287BC7">
        <w:rPr>
          <w:noProof/>
          <w:lang w:val="en-GB"/>
        </w:rPr>
        <w:t>32</w:t>
      </w:r>
      <w:r w:rsidR="00986281" w:rsidRPr="5575EBFC">
        <w:rPr>
          <w:lang w:val="en-GB"/>
        </w:rPr>
        <w:fldChar w:fldCharType="end"/>
      </w:r>
      <w:bookmarkEnd w:id="267"/>
      <w:r w:rsidR="720B04C4" w:rsidRPr="5575EBFC">
        <w:rPr>
          <w:lang w:val="en-GB"/>
        </w:rPr>
        <w:t>.</w:t>
      </w:r>
      <w:r w:rsidRPr="5575EBFC">
        <w:rPr>
          <w:lang w:val="en-GB"/>
        </w:rPr>
        <w:t xml:space="preserve"> </w:t>
      </w:r>
      <w:r w:rsidRPr="5575EBFC">
        <w:rPr>
          <w:b w:val="0"/>
          <w:bCs w:val="0"/>
          <w:lang w:val="en-GB"/>
        </w:rPr>
        <w:t xml:space="preserve">Representation of drivers (per cent) of the observations for each driver across the papers included in the scenarios and models review noting some papers included multiple observations. </w:t>
      </w:r>
      <w:r w:rsidR="7E152656" w:rsidRPr="5575EBFC">
        <w:rPr>
          <w:b w:val="0"/>
          <w:bCs w:val="0"/>
          <w:lang w:val="en-GB"/>
        </w:rPr>
        <w:t xml:space="preserve">The number of studies is shown on the y axis, and the different </w:t>
      </w:r>
      <w:r w:rsidR="653902EA" w:rsidRPr="5575EBFC">
        <w:rPr>
          <w:b w:val="0"/>
          <w:bCs w:val="0"/>
          <w:lang w:val="en-GB"/>
        </w:rPr>
        <w:t>drivers of change in nature</w:t>
      </w:r>
      <w:r w:rsidR="7E152656" w:rsidRPr="5575EBFC">
        <w:rPr>
          <w:b w:val="0"/>
          <w:bCs w:val="0"/>
          <w:lang w:val="en-GB"/>
        </w:rPr>
        <w:t xml:space="preserve"> are shown on the x axis. </w:t>
      </w:r>
      <w:r w:rsidRPr="5575EBFC">
        <w:rPr>
          <w:b w:val="0"/>
          <w:bCs w:val="0"/>
          <w:lang w:val="en-GB"/>
        </w:rPr>
        <w:t xml:space="preserve">A data management report for this figure is available at: </w:t>
      </w:r>
      <w:hyperlink r:id="rId58">
        <w:r w:rsidR="3CD77D13" w:rsidRPr="5575EBFC">
          <w:rPr>
            <w:rStyle w:val="Hyperlink"/>
            <w:b w:val="0"/>
            <w:bCs w:val="0"/>
            <w:lang w:val="en-GB"/>
          </w:rPr>
          <w:t>https://doi.org/10.5281/zenodo.570652</w:t>
        </w:r>
      </w:hyperlink>
      <w:r w:rsidR="0613BE82" w:rsidRPr="5575EBFC">
        <w:rPr>
          <w:rStyle w:val="Hyperlink"/>
          <w:b w:val="0"/>
          <w:bCs w:val="0"/>
          <w:lang w:val="en-GB"/>
        </w:rPr>
        <w:t>0</w:t>
      </w:r>
      <w:bookmarkEnd w:id="268"/>
      <w:r w:rsidR="3CD77D13" w:rsidRPr="5575EBFC">
        <w:rPr>
          <w:b w:val="0"/>
          <w:bCs w:val="0"/>
          <w:lang w:val="en-GB"/>
        </w:rPr>
        <w:t xml:space="preserve"> </w:t>
      </w:r>
    </w:p>
    <w:p w14:paraId="3532406B" w14:textId="793EB9D9" w:rsidR="00986281" w:rsidRPr="00DA249F" w:rsidRDefault="3862D0AB" w:rsidP="5575EBFC">
      <w:pPr>
        <w:pBdr>
          <w:top w:val="single" w:sz="4" w:space="1" w:color="auto"/>
          <w:left w:val="single" w:sz="4" w:space="1" w:color="auto"/>
          <w:bottom w:val="single" w:sz="4" w:space="1" w:color="auto"/>
          <w:right w:val="single" w:sz="4" w:space="1" w:color="auto"/>
        </w:pBdr>
        <w:shd w:val="clear" w:color="auto" w:fill="E7E6E6" w:themeFill="background2"/>
        <w:rPr>
          <w:rFonts w:eastAsia="DengXian"/>
          <w:lang w:val="en-GB"/>
        </w:rPr>
      </w:pPr>
      <w:r w:rsidRPr="5575EBFC">
        <w:rPr>
          <w:rFonts w:eastAsia="DengXian"/>
          <w:lang w:val="en-GB"/>
        </w:rPr>
        <w:t xml:space="preserve">The dominance of climate change as </w:t>
      </w:r>
      <w:r w:rsidR="21882488" w:rsidRPr="5575EBFC">
        <w:rPr>
          <w:rFonts w:eastAsia="DengXian"/>
          <w:lang w:val="en-GB"/>
        </w:rPr>
        <w:t xml:space="preserve">a </w:t>
      </w:r>
      <w:r w:rsidRPr="5575EBFC">
        <w:rPr>
          <w:rFonts w:eastAsia="DengXian"/>
          <w:lang w:val="en-GB"/>
        </w:rPr>
        <w:t>driver in most studies is explained by the prevalence of correlative models which invariably include climate change scenarios (e.g.</w:t>
      </w:r>
      <w:r w:rsidR="1356004E" w:rsidRPr="5575EBFC">
        <w:rPr>
          <w:rFonts w:eastAsia="DengXian"/>
          <w:lang w:val="en-GB"/>
        </w:rPr>
        <w:t xml:space="preserve">, </w:t>
      </w:r>
      <w:r w:rsidRPr="5575EBFC">
        <w:rPr>
          <w:rFonts w:eastAsia="DengXian"/>
          <w:lang w:val="en-GB"/>
        </w:rPr>
        <w:t>scenarios</w:t>
      </w:r>
      <w:r w:rsidR="1356004E" w:rsidRPr="5575EBFC">
        <w:rPr>
          <w:rFonts w:eastAsia="DengXian"/>
          <w:lang w:val="en-GB"/>
        </w:rPr>
        <w:t xml:space="preserve"> from the </w:t>
      </w:r>
      <w:r w:rsidR="1356004E" w:rsidRPr="5575EBFC">
        <w:rPr>
          <w:rFonts w:eastAsia="Times New Roman"/>
          <w:lang w:val="en-GB"/>
        </w:rPr>
        <w:t>Intergovernmental Panel on Climate Change</w:t>
      </w:r>
      <w:r w:rsidR="6D59668B" w:rsidRPr="5575EBFC">
        <w:rPr>
          <w:rFonts w:eastAsia="Times New Roman"/>
          <w:lang w:val="en-GB"/>
        </w:rPr>
        <w:t xml:space="preserve">; </w:t>
      </w:r>
      <w:r w:rsidR="1356004E" w:rsidRPr="5575EBFC">
        <w:rPr>
          <w:rFonts w:eastAsia="Times New Roman"/>
          <w:lang w:val="en-GB"/>
        </w:rPr>
        <w:t>IPCC</w:t>
      </w:r>
      <w:r w:rsidRPr="5575EBFC">
        <w:rPr>
          <w:rFonts w:eastAsia="DengXian"/>
          <w:lang w:val="en-GB"/>
        </w:rPr>
        <w:t xml:space="preserve">) as a factor to project the occurrence or potential distribution of species. The majority of papers focused on exploratory scenarios, that examine a range of plausible futures based on the potential trajectory of key underlying scenario </w:t>
      </w:r>
      <w:r w:rsidRPr="5575EBFC">
        <w:rPr>
          <w:rFonts w:eastAsia="DengXian"/>
          <w:lang w:val="en-GB"/>
        </w:rPr>
        <w:lastRenderedPageBreak/>
        <w:t>features. The</w:t>
      </w:r>
      <w:r w:rsidR="6F076E95" w:rsidRPr="5575EBFC">
        <w:rPr>
          <w:rFonts w:eastAsia="DengXian"/>
          <w:lang w:val="en-GB"/>
        </w:rPr>
        <w:t xml:space="preserve"> results of these studies </w:t>
      </w:r>
      <w:r w:rsidRPr="5575EBFC">
        <w:rPr>
          <w:rFonts w:eastAsia="DengXian"/>
          <w:lang w:val="en-GB"/>
        </w:rPr>
        <w:t xml:space="preserve">provide some insights in relation to future directions for the development of scenarios and models in invasion science (e.g., </w:t>
      </w:r>
      <w:r w:rsidR="00986281" w:rsidRPr="5575EBFC">
        <w:rPr>
          <w:rFonts w:eastAsia="DengXian"/>
          <w:lang w:val="en-GB"/>
        </w:rPr>
        <w:fldChar w:fldCharType="begin"/>
      </w:r>
      <w:r w:rsidR="00331A79">
        <w:rPr>
          <w:rFonts w:eastAsia="DengXian"/>
          <w:lang w:val="en-GB"/>
        </w:rPr>
        <w:instrText xml:space="preserve"> ADDIN ZOTERO_ITEM CSL_CITATION {"citationID":"ICJ1Gwkj","properties":{"formattedCitation":"(Lenzner et al., 2019; Roura-Pascual et al., 2021)","plainCitation":"(Lenzner et al., 2019; Roura-Pascual et al., 2021)","dontUpdate":true,"noteIndex":0},"citationItems":[{"id":56478,"uris":["http://zotero.org/groups/2352922/items/YLQTSAQP","http://zotero.org/groups/2352922/items/FV5XBPLF"],"itemData":{"id":56478,"type":"article-journal","abstract":"Abstract\n            Biological invasions have emerged as an eminent feature of global change, with substantial impacts on the environment and human livelihoods. Current research demonstrates that the numbers and impacts of alien species are rising unabatedly. At the same time, we lack a thorough understanding of potential future trajectories for the decades to come. With the recent establishment of comprehensive global databases, it is, for the first time, feasible to develop and quantify future scenarios of biological invasions. Therefore, we propose a conceptual framework for how to develop alien species scenarios for the twenty-first century and how to identify relevant steps and challenges along the way. The concept will be important to inform research, policy, stakeholders, and the general public. Furthermore, we call for the scientific community to join forces and to operationalize the framework for scenarios and models of biological invasions to develop an important baseline for understanding and managing future biological invasions.","container-title":"BioScience","DOI":"10.1093/biosci/biz070","ISSN":"0006-3568, 1525-3244","issue":"9","language":"en","page":"697-710","source":"DOI.org (Crossref)","title":"A Framework for Global Twenty-First Century Scenarios and Models of Biological Invasions","URL":"https://academic.oup.com/bioscience/article/69/9/697/5532759","volume":"69","author":[{"family":"Lenzner","given":"Bernd"},{"family":"Leclère","given":"David"},{"family":"Franklin","given":"Oskar"},{"family":"Seebens","given":"Hanno"},{"family":"Roura-Pascual","given":"Núria"},{"family":"Obersteiner","given":"Michael"},{"family":"Dullinger","given":"Stefan"},{"family":"Essl","given":"Franz"}],"accessed":{"date-parts":[["2023",6,8]]},"issued":{"date-parts":[["2019",9,1]]}},"label":"page"},{"id":56593,"uris":["http://zotero.org/groups/2352922/items/KPK9SJDV","http://zotero.org/groups/2352922/items/X2LKL353","http://zotero.org/groups/2352922/items/9AZDLGMH"],"itemData":{"id":56593,"type":"article-journal","abstract":"Abstract\n            Scenario analysis has emerged as a key tool to analyze complex and uncertain future socio-ecological developments. However, currently existing global scenarios (narratives of how the world may develop) have neglected biological invasions, a major threat to biodiversity and the economy. Here, we use a novel participatory process to develop a diverse set of global biological invasion scenarios spanning a wide range of plausible global futures through to 2050. We adapted the widely used “two axes” scenario analysis approach to develop four families of four scenarios each, resulting in 16 scenarios that were later clustered into four contrasting sets of futures. Our analysis highlights that socioeconomic developments and technological innovation have the potential to shape biological invasions, in addition to well-known drivers, such as climate and human land use change and global trade. Our scenarios partially align with the shared socioeconomic pathways created by the climate change research community. Several factors that drive differences in biological invasions were underrepresented in the shared socioeconomic pathways; in particular, the implementation of biosecurity policies. We argue that including factors related to public environmental awareness and technological and trade development in global scenarios and models is essential to adequately consider biological invasions in global environmental assessments and thereby obtain a more integrative picture of future social–ecological developments.","container-title":"Sustainability Science","DOI":"10.1007/s11625-021-00963-6","ISSN":"1862-4065, 1862-4057","issue":"5","journalAbbreviation":"Sustain Sci","language":"en","page":"1637-1650","source":"DOI.org (Crossref)","title":"Alternative futures for global biological invasions","URL":"https://link.springer.com/10.1007/s11625-021-00963-6","volume":"16","author":[{"family":"Roura-Pascual","given":"Núria"},{"family":"Leung","given":"Brian"},{"family":"Rabitsch","given":"Wolfgang"},{"family":"Rutting","given":"Lucas"},{"family":"Vervoort","given":"Joost"},{"family":"Bacher","given":"Sven"},{"family":"Dullinger","given":"Stefan"},{"family":"Erb","given":"Karl-Heinz"},{"family":"Jeschke","given":"Jonathan M."},{"family":"Katsanevakis","given":"Stelios"},{"family":"Kühn","given":"Ingolf"},{"family":"Lenzner","given":"Bernd"},{"family":"Liebhold","given":"Andrew M."},{"family":"Obersteiner","given":"Michael"},{"family":"Pauchard","given":"Anibal"},{"family":"Peterson","given":"Garry D."},{"family":"Roy","given":"Helen E."},{"family":"Seebens","given":"Hanno"},{"family":"Winter","given":"Marten"},{"family":"Burgman","given":"Mark A."},{"family":"Genovesi","given":"Piero"},{"family":"Hulme","given":"Philip E."},{"family":"Keller","given":"Reuben P."},{"family":"Latombe","given":"Guillaume"},{"family":"McGeoch","given":"Melodie A."},{"family":"Ruiz","given":"Gregory M."},{"family":"Scalera","given":"Riccardo"},{"family":"Springborn","given":"Michael R."},{"family":"Von Holle","given":"Betsy"},{"family":"Essl","given":"Franz"}],"accessed":{"date-parts":[["2023",6,8]]},"issued":{"date-parts":[["2021",9]]}},"label":"page"}],"schema":"https://github.com/citation-style-language/schema/raw/master/csl-citation.json"} </w:instrText>
      </w:r>
      <w:r w:rsidR="00986281" w:rsidRPr="5575EBFC">
        <w:rPr>
          <w:rFonts w:eastAsia="DengXian"/>
          <w:lang w:val="en-GB"/>
        </w:rPr>
        <w:fldChar w:fldCharType="separate"/>
      </w:r>
      <w:r w:rsidR="343F9C88" w:rsidRPr="5575EBFC">
        <w:rPr>
          <w:lang w:val="en-GB"/>
        </w:rPr>
        <w:t>Lenzner et al., 2019; Roura-Pascual et al., 2021)</w:t>
      </w:r>
      <w:r w:rsidR="00986281" w:rsidRPr="5575EBFC">
        <w:rPr>
          <w:rFonts w:eastAsia="DengXian"/>
          <w:lang w:val="en-GB"/>
        </w:rPr>
        <w:fldChar w:fldCharType="end"/>
      </w:r>
      <w:r w:rsidRPr="5575EBFC">
        <w:rPr>
          <w:rFonts w:eastAsia="DengXian"/>
          <w:lang w:val="en-GB"/>
        </w:rPr>
        <w:t xml:space="preserve">. </w:t>
      </w:r>
      <w:r w:rsidR="1C7CFDFF" w:rsidRPr="5575EBFC">
        <w:rPr>
          <w:rFonts w:eastAsia="DengXian"/>
          <w:lang w:val="en-GB"/>
        </w:rPr>
        <w:t>Future studies</w:t>
      </w:r>
      <w:r w:rsidRPr="5575EBFC">
        <w:rPr>
          <w:rFonts w:eastAsia="DengXian"/>
          <w:lang w:val="en-GB"/>
        </w:rPr>
        <w:t xml:space="preserve"> may be able to address the current gaps and include the other cross-cutting themes highlighted in this assessment such as Indigenous and local knowledge</w:t>
      </w:r>
      <w:r w:rsidR="11D06B00" w:rsidRPr="5575EBFC">
        <w:rPr>
          <w:rFonts w:eastAsia="DengXian"/>
          <w:lang w:val="en-GB"/>
        </w:rPr>
        <w:t xml:space="preserve"> </w:t>
      </w:r>
      <w:r w:rsidR="11D06B00" w:rsidRPr="5575EBFC">
        <w:rPr>
          <w:lang w:val="en-GB" w:eastAsia="en-NZ"/>
        </w:rPr>
        <w:t>(</w:t>
      </w:r>
      <w:r w:rsidR="00E23B69">
        <w:rPr>
          <w:b/>
          <w:bCs/>
          <w:lang w:val="en-GB" w:eastAsia="en-NZ"/>
        </w:rPr>
        <w:t>Glossary</w:t>
      </w:r>
      <w:r w:rsidR="11D06B00" w:rsidRPr="5575EBFC">
        <w:rPr>
          <w:lang w:val="en-GB" w:eastAsia="en-NZ"/>
        </w:rPr>
        <w:t>)</w:t>
      </w:r>
      <w:r w:rsidRPr="5575EBFC">
        <w:rPr>
          <w:rFonts w:eastAsia="DengXian"/>
          <w:lang w:val="en-GB"/>
        </w:rPr>
        <w:t xml:space="preserve"> and good quality of life (e.g., </w:t>
      </w:r>
      <w:r w:rsidR="00986281" w:rsidRPr="5575EBFC">
        <w:rPr>
          <w:rFonts w:eastAsia="DengXian"/>
          <w:lang w:val="en-GB"/>
        </w:rPr>
        <w:fldChar w:fldCharType="begin"/>
      </w:r>
      <w:r w:rsidR="00331A79">
        <w:rPr>
          <w:rFonts w:eastAsia="DengXian"/>
          <w:lang w:val="en-GB"/>
        </w:rPr>
        <w:instrText xml:space="preserve"> ADDIN ZOTERO_ITEM CSL_CITATION {"citationID":"sNzPMC1l","properties":{"formattedCitation":"(Obermeister, 2019)","plainCitation":"(Obermeister, 2019)","dontUpdate":true,"noteIndex":0},"citationItems":[{"id":31748,"uris":["http://zotero.org/groups/2352922/items/UW7BRM9T"],"itemData":{"id":31748,"type":"article-journal","abstract":"In 2016, the Intergovernmental Science-Policy Platform on Biodiversity and Ecosystem Services (IPBES) published its first methodological assessment report on scenarios and models, identifying important gaps in the literature. IPBES has since then moved onto Phase 2, namely a commitment to build on the assessment findings to catalyse the development of the next generation of multi-scale models and scenarios for biodiversity and ecosystem services. Part of that commitment involves the inclusion of Indigenous and Local Knowledge (ILK) in those models and scenarios. IPBES is both an institution (with its governance structure, work programme, deliverables, and so on) and a network (with its member states, authors, stakeholders, and readership). Within that network, the methodological assessment report can be said to be ‘performative’, ergo playing a significant role in shaping engagement and research pathways in the years to come. Within the social sciences, this paper marks a first attempt at evaluating some of the potential challenges of Phase 2—with specific regard to the inclusion of ILK—and strives to generate more engagement from social scientists and humanities scholars on this issue. I combine in-depth expert interviews with document analysis and focus on the ideas of ‘scale translation’ and the translation of ILK into quantitative data—which I contend are likely to be the most contentious and arduous aspects of ‘integration’. I conclude that while IPBES is on track for leading the research community away from IPCC-type global, panoptic models and scenarios, a more honest and genuine dialogue between natural scientists, social scientists, and ILK holders is still required—so as to better communicate what may be (scientifically) feasible and (politically) acceptable.","container-title":"Sustainability Science","DOI":"10.1007/s11625-018-0616-8","ISSN":"1862-4057","issue":"3","journalAbbreviation":"Sustain Sci","language":"en","page":"843-856","source":"Springer Link","title":"Local knowledge, global ambitions: IPBES and the advent of multi-scale models and scenarios","title-short":"Local knowledge, global ambitions","URL":"https://doi.org/10.1007/s11625-018-0616-8","volume":"14","author":[{"family":"Obermeister","given":"Noam"}],"accessed":{"date-parts":[["2021",11,26]]},"issued":{"date-parts":[["2019",5,1]]}},"label":"page"}],"schema":"https://github.com/citation-style-language/schema/raw/master/csl-citation.json"} </w:instrText>
      </w:r>
      <w:r w:rsidR="00986281" w:rsidRPr="5575EBFC">
        <w:rPr>
          <w:rFonts w:eastAsia="DengXian"/>
          <w:lang w:val="en-GB"/>
        </w:rPr>
        <w:fldChar w:fldCharType="separate"/>
      </w:r>
      <w:r w:rsidR="343F9C88" w:rsidRPr="5575EBFC">
        <w:rPr>
          <w:lang w:val="en-GB"/>
        </w:rPr>
        <w:t>Obermeister, 2019)</w:t>
      </w:r>
      <w:r w:rsidR="00986281" w:rsidRPr="5575EBFC">
        <w:rPr>
          <w:rFonts w:eastAsia="DengXian"/>
          <w:lang w:val="en-GB"/>
        </w:rPr>
        <w:fldChar w:fldCharType="end"/>
      </w:r>
      <w:r w:rsidR="2ADB9447" w:rsidRPr="5575EBFC">
        <w:rPr>
          <w:rFonts w:eastAsia="DengXian"/>
          <w:lang w:val="en-GB"/>
        </w:rPr>
        <w:t>,</w:t>
      </w:r>
      <w:r w:rsidRPr="5575EBFC">
        <w:rPr>
          <w:rFonts w:eastAsia="DengXian"/>
          <w:lang w:val="en-GB"/>
        </w:rPr>
        <w:t xml:space="preserve"> which would improve our understanding of the patterns and trends in </w:t>
      </w:r>
      <w:r w:rsidR="653902EA" w:rsidRPr="5575EBFC">
        <w:rPr>
          <w:rFonts w:eastAsia="DengXian"/>
          <w:lang w:val="en-GB"/>
        </w:rPr>
        <w:t>drivers of change in nature</w:t>
      </w:r>
      <w:r w:rsidRPr="5575EBFC">
        <w:rPr>
          <w:rFonts w:eastAsia="DengXian"/>
          <w:lang w:val="en-GB"/>
        </w:rPr>
        <w:t xml:space="preserve"> and how these affect biological invasions.</w:t>
      </w:r>
    </w:p>
    <w:p w14:paraId="63DE1885" w14:textId="77777777" w:rsidR="00986281" w:rsidRPr="00DA249F" w:rsidDel="00722E12" w:rsidRDefault="3862D0AB" w:rsidP="00986281">
      <w:pPr>
        <w:pStyle w:val="Heading2"/>
        <w:rPr>
          <w:lang w:val="en-GB"/>
        </w:rPr>
      </w:pPr>
      <w:bookmarkStart w:id="269" w:name="_Toc146898483"/>
      <w:bookmarkStart w:id="270" w:name="_Toc18405871"/>
      <w:bookmarkStart w:id="271" w:name="_Toc44317863"/>
      <w:bookmarkStart w:id="272" w:name="_Toc116242174"/>
      <w:bookmarkEnd w:id="263"/>
      <w:bookmarkEnd w:id="266"/>
      <w:r w:rsidRPr="5575EBFC">
        <w:rPr>
          <w:lang w:val="en-GB"/>
        </w:rPr>
        <w:t>Synthesis</w:t>
      </w:r>
      <w:bookmarkEnd w:id="269"/>
      <w:r w:rsidRPr="5575EBFC">
        <w:rPr>
          <w:lang w:val="en-GB"/>
        </w:rPr>
        <w:t xml:space="preserve"> </w:t>
      </w:r>
      <w:bookmarkEnd w:id="270"/>
      <w:bookmarkEnd w:id="271"/>
      <w:bookmarkEnd w:id="272"/>
    </w:p>
    <w:p w14:paraId="5A5F8360" w14:textId="77777777" w:rsidR="00986281" w:rsidRPr="00DA249F" w:rsidRDefault="3862D0AB" w:rsidP="00986281">
      <w:pPr>
        <w:rPr>
          <w:lang w:val="en-GB"/>
        </w:rPr>
      </w:pPr>
      <w:r w:rsidRPr="00DA249F">
        <w:rPr>
          <w:lang w:val="en-GB"/>
        </w:rPr>
        <w:t xml:space="preserve">The relative importance of </w:t>
      </w:r>
      <w:r w:rsidR="653902EA" w:rsidRPr="00DA249F">
        <w:rPr>
          <w:lang w:val="en-GB"/>
        </w:rPr>
        <w:t>drivers of change in nature</w:t>
      </w:r>
      <w:r w:rsidRPr="00DA249F">
        <w:rPr>
          <w:lang w:val="en-GB"/>
        </w:rPr>
        <w:t xml:space="preserve"> in facilitating biological invasions was quantified based on a consensus approach involving an expert-based assessment by the authors of the chapter for each invasion stage across and within realms (terrestrial, freshwater, marine) and broad taxonomic units (microbes, plants, invertebrates, vertebrates).</w:t>
      </w:r>
      <w:bookmarkStart w:id="273" w:name="_Ref124952411"/>
      <w:r w:rsidR="00347358" w:rsidRPr="00710AC3">
        <w:rPr>
          <w:rStyle w:val="FootnoteReference"/>
        </w:rPr>
        <w:footnoteReference w:id="13"/>
      </w:r>
      <w:bookmarkEnd w:id="273"/>
    </w:p>
    <w:p w14:paraId="1D3FEAA5" w14:textId="411060B6" w:rsidR="00986281" w:rsidRPr="00DA249F" w:rsidRDefault="00986281" w:rsidP="00986281">
      <w:pPr>
        <w:rPr>
          <w:iCs/>
          <w:lang w:val="en-GB"/>
        </w:rPr>
      </w:pPr>
      <w:r w:rsidRPr="00DA249F">
        <w:rPr>
          <w:lang w:val="en-GB"/>
        </w:rPr>
        <w:t xml:space="preserve">Overall, </w:t>
      </w:r>
      <w:r w:rsidR="00624C7F" w:rsidRPr="00DA249F">
        <w:rPr>
          <w:lang w:val="en-GB"/>
        </w:rPr>
        <w:t>the</w:t>
      </w:r>
      <w:r w:rsidRPr="00DA249F">
        <w:rPr>
          <w:lang w:val="en-GB"/>
        </w:rPr>
        <w:t xml:space="preserve"> expert-based consensus approach assessed economic drivers as the most important in facilitating biological invasions worldwide (average 21 per cent importance, across all realms and taxonomic units, and stages of the invasion process), followed by land- and sea</w:t>
      </w:r>
      <w:r w:rsidR="00D2630E" w:rsidRPr="00DA249F">
        <w:rPr>
          <w:lang w:val="en-GB"/>
        </w:rPr>
        <w:t>-</w:t>
      </w:r>
      <w:r w:rsidRPr="00DA249F">
        <w:rPr>
          <w:lang w:val="en-GB"/>
        </w:rPr>
        <w:t xml:space="preserve">use change (16 per cent), demographic drivers (10 per cent), climate change (9 per cent), sociocultural drivers and policies, governance and institutions (each 8 per cent), pollution (7 per cent), </w:t>
      </w:r>
      <w:r w:rsidR="00F8797F" w:rsidRPr="00DA249F">
        <w:rPr>
          <w:rStyle w:val="normaltextrun"/>
          <w:color w:val="000000" w:themeColor="text1"/>
          <w:lang w:val="en-GB"/>
        </w:rPr>
        <w:t>direct exploitation of natural resources</w:t>
      </w:r>
      <w:r w:rsidR="00F8797F" w:rsidRPr="00DA249F">
        <w:rPr>
          <w:lang w:val="en-GB"/>
        </w:rPr>
        <w:t xml:space="preserve"> </w:t>
      </w:r>
      <w:r w:rsidRPr="00DA249F">
        <w:rPr>
          <w:lang w:val="en-GB"/>
        </w:rPr>
        <w:t>and invasive alien species (each 5 per cent), biodiversity loss, natural hazards</w:t>
      </w:r>
      <w:r w:rsidR="00774819">
        <w:rPr>
          <w:lang w:val="en-GB"/>
        </w:rPr>
        <w:t xml:space="preserve"> and</w:t>
      </w:r>
      <w:r w:rsidRPr="00DA249F">
        <w:rPr>
          <w:lang w:val="en-GB"/>
        </w:rPr>
        <w:t xml:space="preserve"> science and technology (each 4 per cent). The major drivers identified are consistent with indigenous and local knowledge</w:t>
      </w:r>
      <w:r w:rsidRPr="00DA249F">
        <w:rPr>
          <w:i/>
          <w:lang w:val="en-GB"/>
        </w:rPr>
        <w:t xml:space="preserve"> </w:t>
      </w:r>
      <w:r w:rsidRPr="00DA249F">
        <w:rPr>
          <w:iCs/>
          <w:lang w:val="en-GB"/>
        </w:rPr>
        <w:t>(</w:t>
      </w:r>
      <w:r w:rsidR="00E23B69">
        <w:rPr>
          <w:b/>
          <w:lang w:val="en-GB"/>
        </w:rPr>
        <w:t>Box</w:t>
      </w:r>
      <w:r w:rsidR="00981CE4">
        <w:rPr>
          <w:b/>
          <w:lang w:val="en-GB"/>
        </w:rPr>
        <w:t xml:space="preserve"> 3.15</w:t>
      </w:r>
      <w:r w:rsidR="000A72AB" w:rsidRPr="00DA249F">
        <w:rPr>
          <w:iCs/>
          <w:lang w:val="en-GB"/>
        </w:rPr>
        <w:t>).</w:t>
      </w:r>
    </w:p>
    <w:p w14:paraId="38197D94" w14:textId="1F85B260" w:rsidR="00986281" w:rsidRPr="00DA249F" w:rsidRDefault="00C62E0F">
      <w:pPr>
        <w:pStyle w:val="Caption"/>
        <w:pBdr>
          <w:top w:val="single" w:sz="4" w:space="1" w:color="auto"/>
          <w:left w:val="single" w:sz="4" w:space="1" w:color="auto"/>
          <w:bottom w:val="single" w:sz="4" w:space="1" w:color="auto"/>
          <w:right w:val="single" w:sz="4" w:space="1" w:color="auto"/>
        </w:pBdr>
        <w:shd w:val="clear" w:color="auto" w:fill="E7E6E6" w:themeFill="background2"/>
        <w:rPr>
          <w:b w:val="0"/>
          <w:bCs w:val="0"/>
          <w:lang w:val="en-GB"/>
        </w:rPr>
      </w:pPr>
      <w:bookmarkStart w:id="274" w:name="_Ref129343432"/>
      <w:bookmarkStart w:id="275" w:name="_Toc158373499"/>
      <w:r w:rsidRPr="00DA249F">
        <w:rPr>
          <w:lang w:val="en-GB"/>
        </w:rPr>
        <w:t>Box 3.</w:t>
      </w:r>
      <w:r w:rsidRPr="00DA249F">
        <w:rPr>
          <w:lang w:val="en-GB"/>
        </w:rPr>
        <w:fldChar w:fldCharType="begin"/>
      </w:r>
      <w:r w:rsidRPr="00DA249F">
        <w:rPr>
          <w:lang w:val="en-GB"/>
        </w:rPr>
        <w:instrText xml:space="preserve"> SEQ Box_3. \* ARABIC </w:instrText>
      </w:r>
      <w:r w:rsidRPr="00DA249F">
        <w:rPr>
          <w:lang w:val="en-GB"/>
        </w:rPr>
        <w:fldChar w:fldCharType="separate"/>
      </w:r>
      <w:r w:rsidR="00287BC7">
        <w:rPr>
          <w:noProof/>
          <w:lang w:val="en-GB"/>
        </w:rPr>
        <w:t>15</w:t>
      </w:r>
      <w:r w:rsidRPr="00DA249F">
        <w:rPr>
          <w:lang w:val="en-GB"/>
        </w:rPr>
        <w:fldChar w:fldCharType="end"/>
      </w:r>
      <w:bookmarkEnd w:id="274"/>
      <w:r w:rsidRPr="00DA249F">
        <w:rPr>
          <w:lang w:val="en-GB"/>
        </w:rPr>
        <w:t>.</w:t>
      </w:r>
      <w:r w:rsidR="00986281" w:rsidRPr="00DA249F">
        <w:rPr>
          <w:lang w:val="en-GB"/>
        </w:rPr>
        <w:t xml:space="preserve"> Identification of drivers by Indigenous Peoples and local communities</w:t>
      </w:r>
      <w:r w:rsidR="00986281" w:rsidRPr="00710AC3">
        <w:rPr>
          <w:rStyle w:val="FootnoteReference"/>
        </w:rPr>
        <w:footnoteReference w:id="14"/>
      </w:r>
      <w:bookmarkEnd w:id="275"/>
    </w:p>
    <w:p w14:paraId="44F3751A" w14:textId="77777777" w:rsidR="00986281" w:rsidRPr="00DA249F" w:rsidRDefault="00986281">
      <w:pPr>
        <w:pBdr>
          <w:top w:val="single" w:sz="4" w:space="1" w:color="auto"/>
          <w:left w:val="single" w:sz="4" w:space="1" w:color="auto"/>
          <w:bottom w:val="single" w:sz="4" w:space="1" w:color="auto"/>
          <w:right w:val="single" w:sz="4" w:space="1" w:color="auto"/>
        </w:pBdr>
        <w:shd w:val="clear" w:color="auto" w:fill="E7E6E6" w:themeFill="background2"/>
        <w:rPr>
          <w:rFonts w:eastAsia="DengXian"/>
          <w:lang w:val="en-GB"/>
        </w:rPr>
      </w:pPr>
      <w:r w:rsidRPr="00DA249F">
        <w:rPr>
          <w:rFonts w:eastAsia="DengXian"/>
          <w:lang w:val="en-GB"/>
        </w:rPr>
        <w:t xml:space="preserve">The IPBES framework acknowledges diverse knowledge sources in assessments, and in particular the central position of Indigenous Peoples and local communities in providing situated understanding of biological invasions. Assessment authors thus carried out an extensive cross-chapter review of literature to identify Indigenous and </w:t>
      </w:r>
      <w:r w:rsidR="004B6B64" w:rsidRPr="00DA249F">
        <w:rPr>
          <w:rFonts w:eastAsia="DengXian"/>
          <w:lang w:val="en-GB"/>
        </w:rPr>
        <w:t>l</w:t>
      </w:r>
      <w:r w:rsidRPr="00DA249F">
        <w:rPr>
          <w:rFonts w:eastAsia="DengXian"/>
          <w:lang w:val="en-GB"/>
        </w:rPr>
        <w:t xml:space="preserve">ocal </w:t>
      </w:r>
      <w:r w:rsidR="004B6B64" w:rsidRPr="00DA249F">
        <w:rPr>
          <w:rFonts w:eastAsia="DengXian"/>
          <w:lang w:val="en-GB"/>
        </w:rPr>
        <w:t>k</w:t>
      </w:r>
      <w:r w:rsidRPr="00DA249F">
        <w:rPr>
          <w:rFonts w:eastAsia="DengXian"/>
          <w:lang w:val="en-GB"/>
        </w:rPr>
        <w:t>nowledge related to invasive alien species (</w:t>
      </w:r>
      <w:r w:rsidR="0097098D">
        <w:rPr>
          <w:rFonts w:eastAsia="DengXian"/>
          <w:b/>
          <w:iCs/>
          <w:lang w:val="en-GB"/>
        </w:rPr>
        <w:t>C</w:t>
      </w:r>
      <w:r w:rsidRPr="0097098D">
        <w:rPr>
          <w:rFonts w:eastAsia="DengXian"/>
          <w:b/>
          <w:iCs/>
          <w:lang w:val="en-GB"/>
        </w:rPr>
        <w:t>hapter 1</w:t>
      </w:r>
      <w:r w:rsidRPr="0097098D">
        <w:rPr>
          <w:rFonts w:eastAsia="DengXian"/>
          <w:iCs/>
          <w:lang w:val="en-GB"/>
        </w:rPr>
        <w:t>,</w:t>
      </w:r>
      <w:r w:rsidRPr="0097098D">
        <w:rPr>
          <w:rFonts w:eastAsia="DengXian"/>
          <w:b/>
          <w:iCs/>
          <w:lang w:val="en-GB"/>
        </w:rPr>
        <w:t xml:space="preserve"> section </w:t>
      </w:r>
      <w:r w:rsidR="00F61FA7" w:rsidRPr="0097098D">
        <w:rPr>
          <w:rFonts w:eastAsia="DengXian"/>
          <w:b/>
          <w:iCs/>
          <w:lang w:val="en-GB"/>
        </w:rPr>
        <w:t>1.6.7.1</w:t>
      </w:r>
      <w:r w:rsidRPr="00DA249F">
        <w:rPr>
          <w:rFonts w:eastAsia="DengXian"/>
          <w:lang w:val="en-GB"/>
        </w:rPr>
        <w:t xml:space="preserve">). In total 131 </w:t>
      </w:r>
      <w:r w:rsidR="004735B2">
        <w:rPr>
          <w:rFonts w:eastAsia="DengXian"/>
          <w:lang w:val="en-GB"/>
        </w:rPr>
        <w:t>studies</w:t>
      </w:r>
      <w:r w:rsidR="004735B2" w:rsidRPr="00DA249F">
        <w:rPr>
          <w:rFonts w:eastAsia="DengXian"/>
          <w:lang w:val="en-GB"/>
        </w:rPr>
        <w:t xml:space="preserve"> </w:t>
      </w:r>
      <w:r w:rsidR="00187005">
        <w:rPr>
          <w:rFonts w:eastAsia="DengXian"/>
          <w:lang w:val="en-GB"/>
        </w:rPr>
        <w:t>were</w:t>
      </w:r>
      <w:r w:rsidRPr="00DA249F">
        <w:rPr>
          <w:rFonts w:eastAsia="DengXian"/>
          <w:lang w:val="en-GB"/>
        </w:rPr>
        <w:t xml:space="preserve"> reviewed</w:t>
      </w:r>
      <w:r w:rsidR="00BB40E1">
        <w:rPr>
          <w:rFonts w:eastAsia="DengXian"/>
          <w:lang w:val="en-GB"/>
        </w:rPr>
        <w:t>, and</w:t>
      </w:r>
      <w:r w:rsidR="004735B2">
        <w:rPr>
          <w:rFonts w:eastAsia="DengXian"/>
          <w:lang w:val="en-GB"/>
        </w:rPr>
        <w:t xml:space="preserve"> data on</w:t>
      </w:r>
      <w:r w:rsidR="00BB40E1">
        <w:rPr>
          <w:rFonts w:eastAsia="DengXian"/>
          <w:lang w:val="en-GB"/>
        </w:rPr>
        <w:t xml:space="preserve"> d</w:t>
      </w:r>
      <w:r w:rsidRPr="00DA249F">
        <w:rPr>
          <w:rFonts w:eastAsia="DengXian"/>
          <w:lang w:val="en-GB"/>
        </w:rPr>
        <w:t xml:space="preserve">rivers </w:t>
      </w:r>
      <w:r w:rsidR="004735B2">
        <w:rPr>
          <w:rFonts w:eastAsia="DengXian"/>
          <w:lang w:val="en-GB"/>
        </w:rPr>
        <w:t>was collated</w:t>
      </w:r>
      <w:r w:rsidRPr="00DA249F">
        <w:rPr>
          <w:rFonts w:eastAsia="DengXian"/>
          <w:lang w:val="en-GB"/>
        </w:rPr>
        <w:t xml:space="preserve">, </w:t>
      </w:r>
      <w:r w:rsidR="004735B2">
        <w:rPr>
          <w:rFonts w:eastAsia="DengXian"/>
          <w:lang w:val="en-GB"/>
        </w:rPr>
        <w:t>including</w:t>
      </w:r>
      <w:r w:rsidR="004735B2" w:rsidRPr="00DA249F">
        <w:rPr>
          <w:rFonts w:eastAsia="DengXian"/>
          <w:lang w:val="en-GB"/>
        </w:rPr>
        <w:t xml:space="preserve"> </w:t>
      </w:r>
      <w:r w:rsidRPr="00DA249F">
        <w:rPr>
          <w:rFonts w:eastAsia="DengXian"/>
          <w:lang w:val="en-GB"/>
        </w:rPr>
        <w:t xml:space="preserve">both the number and type of driver identified along with any comments or additional information. </w:t>
      </w:r>
    </w:p>
    <w:p w14:paraId="4AE03438" w14:textId="4DC2C4D2" w:rsidR="00986281" w:rsidRPr="00DA249F" w:rsidRDefault="6AE8C36A" w:rsidP="00FC1BA2">
      <w:pPr>
        <w:pBdr>
          <w:top w:val="single" w:sz="4" w:space="1" w:color="auto"/>
          <w:left w:val="single" w:sz="4" w:space="1" w:color="auto"/>
          <w:bottom w:val="single" w:sz="4" w:space="1" w:color="auto"/>
          <w:right w:val="single" w:sz="4" w:space="1" w:color="auto"/>
        </w:pBdr>
        <w:shd w:val="clear" w:color="auto" w:fill="E7E6E6" w:themeFill="background2"/>
        <w:rPr>
          <w:rFonts w:eastAsia="DengXian"/>
          <w:lang w:val="en-GB"/>
        </w:rPr>
      </w:pPr>
      <w:r w:rsidRPr="728F2DAF">
        <w:rPr>
          <w:rFonts w:eastAsia="DengXian"/>
          <w:lang w:val="en-GB"/>
        </w:rPr>
        <w:t xml:space="preserve">In most cases, Indigenous Peoples and local communities identified at least one driver </w:t>
      </w:r>
      <w:r w:rsidR="7372BD96" w:rsidRPr="728F2DAF">
        <w:rPr>
          <w:rFonts w:eastAsia="DengXian"/>
          <w:lang w:val="en-GB"/>
        </w:rPr>
        <w:t xml:space="preserve">that had facilitated </w:t>
      </w:r>
      <w:r w:rsidRPr="728F2DAF">
        <w:rPr>
          <w:rFonts w:eastAsia="DengXian"/>
          <w:lang w:val="en-GB"/>
        </w:rPr>
        <w:t>the invas</w:t>
      </w:r>
      <w:r w:rsidR="7372BD96" w:rsidRPr="728F2DAF">
        <w:rPr>
          <w:rFonts w:eastAsia="DengXian"/>
          <w:lang w:val="en-GB"/>
        </w:rPr>
        <w:t>ion of the reported</w:t>
      </w:r>
      <w:r w:rsidRPr="728F2DAF">
        <w:rPr>
          <w:rFonts w:eastAsia="DengXian"/>
          <w:lang w:val="en-GB"/>
        </w:rPr>
        <w:t xml:space="preserve"> alien species (84 per cent of 131 papers). Land-use change was the most commonly included driver (identified in 40 per cent of all </w:t>
      </w:r>
      <w:r w:rsidR="04653C3C" w:rsidRPr="728F2DAF">
        <w:rPr>
          <w:rFonts w:eastAsia="DengXian"/>
          <w:lang w:val="en-GB"/>
        </w:rPr>
        <w:t>papers</w:t>
      </w:r>
      <w:r w:rsidRPr="728F2DAF">
        <w:rPr>
          <w:rFonts w:eastAsia="DengXian"/>
          <w:lang w:val="en-GB"/>
        </w:rPr>
        <w:t xml:space="preserve">), but Indigenous Peoples and local communities generally judge indirect </w:t>
      </w:r>
      <w:r w:rsidR="067C1E4A" w:rsidRPr="728F2DAF">
        <w:rPr>
          <w:rFonts w:eastAsia="DengXian"/>
          <w:lang w:val="en-GB"/>
        </w:rPr>
        <w:t>drivers of change in nature</w:t>
      </w:r>
      <w:r w:rsidRPr="728F2DAF">
        <w:rPr>
          <w:rFonts w:eastAsia="DengXian"/>
          <w:lang w:val="en-GB"/>
        </w:rPr>
        <w:t xml:space="preserve"> as relatively important</w:t>
      </w:r>
      <w:r w:rsidR="708EC07D" w:rsidRPr="728F2DAF">
        <w:rPr>
          <w:rFonts w:eastAsia="DengXian"/>
          <w:lang w:val="en-GB"/>
        </w:rPr>
        <w:t xml:space="preserve"> in facilitating biological invasions</w:t>
      </w:r>
      <w:r w:rsidRPr="728F2DAF">
        <w:rPr>
          <w:rFonts w:eastAsia="DengXian"/>
          <w:lang w:val="en-GB"/>
        </w:rPr>
        <w:t xml:space="preserve">, with </w:t>
      </w:r>
      <w:r w:rsidR="24A8D762" w:rsidRPr="728F2DAF">
        <w:rPr>
          <w:rFonts w:eastAsia="DengXian"/>
          <w:lang w:val="en-GB"/>
        </w:rPr>
        <w:t>e</w:t>
      </w:r>
      <w:r w:rsidRPr="728F2DAF">
        <w:rPr>
          <w:rFonts w:eastAsia="DengXian"/>
          <w:lang w:val="en-GB"/>
        </w:rPr>
        <w:t>conomic drivers (32 per cent), policies, governance and institutions (24 per cent)</w:t>
      </w:r>
      <w:r w:rsidR="00774819">
        <w:rPr>
          <w:rFonts w:eastAsia="DengXian"/>
          <w:lang w:val="en-GB"/>
        </w:rPr>
        <w:t xml:space="preserve"> and</w:t>
      </w:r>
      <w:r w:rsidRPr="728F2DAF">
        <w:rPr>
          <w:rFonts w:eastAsia="DengXian"/>
          <w:lang w:val="en-GB"/>
        </w:rPr>
        <w:t xml:space="preserve"> </w:t>
      </w:r>
      <w:r w:rsidR="24A8D762" w:rsidRPr="728F2DAF">
        <w:rPr>
          <w:rFonts w:eastAsia="DengXian"/>
          <w:lang w:val="en-GB"/>
        </w:rPr>
        <w:t>s</w:t>
      </w:r>
      <w:r w:rsidRPr="728F2DAF">
        <w:rPr>
          <w:rFonts w:eastAsia="DengXian"/>
          <w:lang w:val="en-GB"/>
        </w:rPr>
        <w:t>ociocultural drivers (21 per cent) as the three next-ranked drivers (</w:t>
      </w:r>
      <w:r w:rsidR="00DC2990">
        <w:rPr>
          <w:rFonts w:eastAsia="DengXian"/>
          <w:b/>
          <w:bCs/>
          <w:lang w:val="en-GB"/>
        </w:rPr>
        <w:t>Figure</w:t>
      </w:r>
      <w:r w:rsidR="7EC6E844" w:rsidRPr="728F2DAF">
        <w:rPr>
          <w:rFonts w:eastAsia="DengXian"/>
          <w:b/>
          <w:bCs/>
          <w:lang w:val="en-GB"/>
        </w:rPr>
        <w:t xml:space="preserve"> 3.33</w:t>
      </w:r>
      <w:r w:rsidRPr="728F2DAF">
        <w:rPr>
          <w:rFonts w:eastAsia="DengXian"/>
          <w:lang w:val="en-GB"/>
        </w:rPr>
        <w:t xml:space="preserve">). In the majority of studies (68 per cent), Indigenous Peoples and </w:t>
      </w:r>
      <w:r w:rsidR="24A8D762" w:rsidRPr="728F2DAF">
        <w:rPr>
          <w:rFonts w:eastAsia="DengXian"/>
          <w:lang w:val="en-GB"/>
        </w:rPr>
        <w:t>l</w:t>
      </w:r>
      <w:r w:rsidRPr="728F2DAF">
        <w:rPr>
          <w:rFonts w:eastAsia="DengXian"/>
          <w:lang w:val="en-GB"/>
        </w:rPr>
        <w:t xml:space="preserve">ocal </w:t>
      </w:r>
      <w:r w:rsidR="24A8D762" w:rsidRPr="728F2DAF">
        <w:rPr>
          <w:rFonts w:eastAsia="DengXian"/>
          <w:lang w:val="en-GB"/>
        </w:rPr>
        <w:t>c</w:t>
      </w:r>
      <w:r w:rsidRPr="728F2DAF">
        <w:rPr>
          <w:rFonts w:eastAsia="DengXian"/>
          <w:lang w:val="en-GB"/>
        </w:rPr>
        <w:t>ommunities identif</w:t>
      </w:r>
      <w:r w:rsidR="04653C3C" w:rsidRPr="728F2DAF">
        <w:rPr>
          <w:rFonts w:eastAsia="DengXian"/>
          <w:lang w:val="en-GB"/>
        </w:rPr>
        <w:t>ied</w:t>
      </w:r>
      <w:r w:rsidRPr="728F2DAF">
        <w:rPr>
          <w:rFonts w:eastAsia="DengXian"/>
          <w:lang w:val="en-GB"/>
        </w:rPr>
        <w:t xml:space="preserve"> more than one driver facilitating biological invasions, the average number of drivers being 2.25 (range 1-7). </w:t>
      </w:r>
      <w:r w:rsidR="6AB88068" w:rsidRPr="728F2DAF">
        <w:rPr>
          <w:rFonts w:eastAsia="DengXian"/>
          <w:lang w:val="en-GB"/>
        </w:rPr>
        <w:t xml:space="preserve">Of the </w:t>
      </w:r>
      <w:r w:rsidR="08433756" w:rsidRPr="728F2DAF">
        <w:rPr>
          <w:rFonts w:eastAsia="DengXian"/>
          <w:lang w:val="en-GB"/>
        </w:rPr>
        <w:t>studies</w:t>
      </w:r>
      <w:r w:rsidR="6AB88068" w:rsidRPr="728F2DAF">
        <w:rPr>
          <w:rFonts w:eastAsia="DengXian"/>
          <w:lang w:val="en-GB"/>
        </w:rPr>
        <w:t xml:space="preserve">, </w:t>
      </w:r>
      <w:r w:rsidRPr="728F2DAF">
        <w:rPr>
          <w:rFonts w:eastAsia="DengXian"/>
          <w:lang w:val="en-GB"/>
        </w:rPr>
        <w:t>72 per cent reported on the spread of invasive alien species, 18 per cent on their establishment, and 11 per cent on their introduction</w:t>
      </w:r>
      <w:r w:rsidR="6AB88068" w:rsidRPr="728F2DAF">
        <w:rPr>
          <w:rFonts w:eastAsia="DengXian"/>
          <w:lang w:val="en-GB"/>
        </w:rPr>
        <w:t>,</w:t>
      </w:r>
      <w:r w:rsidRPr="728F2DAF">
        <w:rPr>
          <w:rFonts w:eastAsia="DengXian"/>
          <w:lang w:val="en-GB"/>
        </w:rPr>
        <w:t xml:space="preserve"> </w:t>
      </w:r>
      <w:r w:rsidR="6AB88068" w:rsidRPr="728F2DAF">
        <w:rPr>
          <w:rFonts w:eastAsia="DengXian"/>
          <w:lang w:val="en-GB"/>
        </w:rPr>
        <w:t xml:space="preserve">with </w:t>
      </w:r>
      <w:r w:rsidRPr="728F2DAF">
        <w:rPr>
          <w:rFonts w:eastAsia="DengXian"/>
          <w:lang w:val="en-GB"/>
        </w:rPr>
        <w:t>no studies report</w:t>
      </w:r>
      <w:r w:rsidR="6AB88068" w:rsidRPr="728F2DAF">
        <w:rPr>
          <w:rFonts w:eastAsia="DengXian"/>
          <w:lang w:val="en-GB"/>
        </w:rPr>
        <w:t>ing</w:t>
      </w:r>
      <w:r w:rsidRPr="728F2DAF">
        <w:rPr>
          <w:rFonts w:eastAsia="DengXian"/>
          <w:lang w:val="en-GB"/>
        </w:rPr>
        <w:t xml:space="preserve"> on the transport stage</w:t>
      </w:r>
      <w:r w:rsidR="2ED000FF" w:rsidRPr="728F2DAF">
        <w:rPr>
          <w:rFonts w:eastAsia="DengXian"/>
          <w:lang w:val="en-GB"/>
        </w:rPr>
        <w:t xml:space="preserve"> of the invasion process</w:t>
      </w:r>
      <w:r w:rsidRPr="728F2DAF">
        <w:rPr>
          <w:rFonts w:eastAsia="DengXian"/>
          <w:lang w:val="en-GB"/>
        </w:rPr>
        <w:t>.</w:t>
      </w:r>
    </w:p>
    <w:p w14:paraId="16403704" w14:textId="00B039DC" w:rsidR="00986281" w:rsidRPr="00DA249F" w:rsidRDefault="00133003">
      <w:pPr>
        <w:pStyle w:val="Caption"/>
        <w:pBdr>
          <w:top w:val="single" w:sz="4" w:space="1" w:color="auto"/>
          <w:left w:val="single" w:sz="4" w:space="1" w:color="auto"/>
          <w:bottom w:val="single" w:sz="4" w:space="1" w:color="auto"/>
          <w:right w:val="single" w:sz="4" w:space="1" w:color="auto"/>
        </w:pBdr>
        <w:shd w:val="clear" w:color="auto" w:fill="E7E6E6" w:themeFill="background2"/>
        <w:rPr>
          <w:rFonts w:eastAsia="DengXian"/>
          <w:highlight w:val="yellow"/>
          <w:lang w:val="en-GB"/>
        </w:rPr>
      </w:pPr>
      <w:r w:rsidRPr="00133003">
        <w:rPr>
          <w:rFonts w:eastAsia="DengXian"/>
          <w:noProof/>
          <w:lang w:val="en-GB"/>
        </w:rPr>
        <w:lastRenderedPageBreak/>
        <w:drawing>
          <wp:inline distT="0" distB="0" distL="0" distR="0" wp14:anchorId="5D2D6FC4" wp14:editId="5AE14B01">
            <wp:extent cx="6115050" cy="4281170"/>
            <wp:effectExtent l="0" t="0" r="0" b="508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6115050" cy="4281170"/>
                    </a:xfrm>
                    <a:prstGeom prst="rect">
                      <a:avLst/>
                    </a:prstGeom>
                  </pic:spPr>
                </pic:pic>
              </a:graphicData>
            </a:graphic>
          </wp:inline>
        </w:drawing>
      </w:r>
    </w:p>
    <w:p w14:paraId="388B52CB" w14:textId="4D71AB0B" w:rsidR="00986281" w:rsidRPr="00DA249F" w:rsidRDefault="3862D0AB">
      <w:pPr>
        <w:pBdr>
          <w:top w:val="single" w:sz="4" w:space="1" w:color="auto"/>
          <w:left w:val="single" w:sz="4" w:space="1" w:color="auto"/>
          <w:bottom w:val="single" w:sz="4" w:space="1" w:color="auto"/>
          <w:right w:val="single" w:sz="4" w:space="1" w:color="auto"/>
        </w:pBdr>
        <w:shd w:val="clear" w:color="auto" w:fill="E7E6E6" w:themeFill="background2"/>
        <w:rPr>
          <w:b/>
          <w:bCs/>
          <w:lang w:val="en-GB"/>
        </w:rPr>
      </w:pPr>
      <w:bookmarkStart w:id="276" w:name="_Ref129340211"/>
      <w:bookmarkStart w:id="277" w:name="_Toc147500918"/>
      <w:r w:rsidRPr="5575EBFC">
        <w:rPr>
          <w:b/>
          <w:bCs/>
          <w:lang w:val="en-GB"/>
        </w:rPr>
        <w:t>Figure 3.</w:t>
      </w:r>
      <w:r w:rsidR="00986281" w:rsidRPr="5575EBFC">
        <w:rPr>
          <w:b/>
          <w:bCs/>
          <w:lang w:val="en-GB"/>
        </w:rPr>
        <w:fldChar w:fldCharType="begin"/>
      </w:r>
      <w:r w:rsidR="00986281" w:rsidRPr="5575EBFC">
        <w:rPr>
          <w:b/>
          <w:bCs/>
          <w:lang w:val="en-GB"/>
        </w:rPr>
        <w:instrText xml:space="preserve"> SEQ Figure_3. \* ARABIC </w:instrText>
      </w:r>
      <w:r w:rsidR="00986281" w:rsidRPr="5575EBFC">
        <w:rPr>
          <w:b/>
          <w:bCs/>
          <w:lang w:val="en-GB"/>
        </w:rPr>
        <w:fldChar w:fldCharType="separate"/>
      </w:r>
      <w:r w:rsidR="00287BC7">
        <w:rPr>
          <w:b/>
          <w:bCs/>
          <w:noProof/>
          <w:lang w:val="en-GB"/>
        </w:rPr>
        <w:t>33</w:t>
      </w:r>
      <w:r w:rsidR="00986281" w:rsidRPr="5575EBFC">
        <w:rPr>
          <w:b/>
          <w:bCs/>
          <w:lang w:val="en-GB"/>
        </w:rPr>
        <w:fldChar w:fldCharType="end"/>
      </w:r>
      <w:bookmarkEnd w:id="276"/>
      <w:r w:rsidR="3BAFC6B2" w:rsidRPr="5575EBFC">
        <w:rPr>
          <w:b/>
          <w:bCs/>
          <w:lang w:val="en-GB"/>
        </w:rPr>
        <w:t>.</w:t>
      </w:r>
      <w:r w:rsidRPr="5575EBFC">
        <w:rPr>
          <w:b/>
          <w:bCs/>
          <w:lang w:val="en-GB"/>
        </w:rPr>
        <w:t xml:space="preserve"> </w:t>
      </w:r>
      <w:r w:rsidRPr="5575EBFC">
        <w:rPr>
          <w:lang w:val="en-GB"/>
        </w:rPr>
        <w:t xml:space="preserve">Representation of the role of each driver in the studies included in the </w:t>
      </w:r>
      <w:r w:rsidR="2C649110" w:rsidRPr="5575EBFC">
        <w:rPr>
          <w:lang w:val="en-GB"/>
        </w:rPr>
        <w:t xml:space="preserve">literature review on </w:t>
      </w:r>
      <w:r w:rsidRPr="5575EBFC">
        <w:rPr>
          <w:rFonts w:eastAsia="DengXian"/>
          <w:lang w:val="en-GB"/>
        </w:rPr>
        <w:t xml:space="preserve">Indigenous Peoples and local communities </w:t>
      </w:r>
      <w:r w:rsidR="2C649110" w:rsidRPr="5575EBFC">
        <w:rPr>
          <w:rFonts w:eastAsia="DengXian"/>
          <w:lang w:val="en-GB"/>
        </w:rPr>
        <w:t>and invasive alien species</w:t>
      </w:r>
      <w:r w:rsidRPr="5575EBFC">
        <w:rPr>
          <w:lang w:val="en-GB"/>
        </w:rPr>
        <w:t xml:space="preserve"> (numbers of reported cases across 131 references) in facilitating biological invasions, noting most papers included multiple cases. </w:t>
      </w:r>
      <w:r w:rsidR="7E152656" w:rsidRPr="5575EBFC">
        <w:rPr>
          <w:lang w:val="en-GB"/>
        </w:rPr>
        <w:t xml:space="preserve">The number of studies is shown on the y axis, and the different </w:t>
      </w:r>
      <w:r w:rsidR="653902EA" w:rsidRPr="5575EBFC">
        <w:rPr>
          <w:lang w:val="en-GB"/>
        </w:rPr>
        <w:t>drivers of change in nature</w:t>
      </w:r>
      <w:r w:rsidR="7E152656" w:rsidRPr="5575EBFC">
        <w:rPr>
          <w:lang w:val="en-GB"/>
        </w:rPr>
        <w:t xml:space="preserve"> are shown on the x axis. </w:t>
      </w:r>
      <w:r w:rsidR="6AFD2FFA" w:rsidRPr="5575EBFC">
        <w:rPr>
          <w:lang w:val="en-GB"/>
        </w:rPr>
        <w:t>Data</w:t>
      </w:r>
      <w:r w:rsidR="6AFD2FFA" w:rsidRPr="5575EBFC">
        <w:rPr>
          <w:lang w:val="en-US"/>
        </w:rPr>
        <w:t xml:space="preserve"> management report available at: </w:t>
      </w:r>
      <w:hyperlink r:id="rId60">
        <w:r w:rsidR="0613BE82" w:rsidRPr="5575EBFC">
          <w:rPr>
            <w:rStyle w:val="Hyperlink"/>
            <w:lang w:val="en-GB"/>
          </w:rPr>
          <w:t>https://doi.org/10.5281/zenodo.5760266</w:t>
        </w:r>
        <w:bookmarkEnd w:id="277"/>
      </w:hyperlink>
    </w:p>
    <w:p w14:paraId="53F41461" w14:textId="02ED72C6" w:rsidR="00986281" w:rsidRPr="00DA249F" w:rsidRDefault="00986281" w:rsidP="00986281">
      <w:pPr>
        <w:rPr>
          <w:lang w:val="en-GB"/>
        </w:rPr>
      </w:pPr>
      <w:r w:rsidRPr="00DA249F">
        <w:rPr>
          <w:lang w:val="en-GB"/>
        </w:rPr>
        <w:t>The consensus approach further reveals a clear shift in relative importance of the drivers over the stages of the biological invasion process (</w:t>
      </w:r>
      <w:r w:rsidR="00DC2990">
        <w:rPr>
          <w:b/>
          <w:iCs/>
          <w:lang w:val="en-GB"/>
        </w:rPr>
        <w:t>Figure</w:t>
      </w:r>
      <w:r w:rsidR="00981CE4">
        <w:rPr>
          <w:b/>
          <w:iCs/>
          <w:lang w:val="en-GB"/>
        </w:rPr>
        <w:t xml:space="preserve"> 3.34</w:t>
      </w:r>
      <w:r w:rsidRPr="00DA249F">
        <w:rPr>
          <w:lang w:val="en-GB"/>
        </w:rPr>
        <w:t>). The transport and introduction of invasive alien species are primarily facilitated by economic drivers, followed by land</w:t>
      </w:r>
      <w:r w:rsidR="00D2630E" w:rsidRPr="00DA249F">
        <w:rPr>
          <w:lang w:val="en-GB"/>
        </w:rPr>
        <w:t xml:space="preserve">- </w:t>
      </w:r>
      <w:r w:rsidRPr="00DA249F">
        <w:rPr>
          <w:lang w:val="en-GB"/>
        </w:rPr>
        <w:t>and sea</w:t>
      </w:r>
      <w:r w:rsidR="00D2630E" w:rsidRPr="00DA249F">
        <w:rPr>
          <w:lang w:val="en-GB"/>
        </w:rPr>
        <w:t>-</w:t>
      </w:r>
      <w:r w:rsidRPr="00DA249F">
        <w:rPr>
          <w:lang w:val="en-GB"/>
        </w:rPr>
        <w:t>use changes, with some evidence for an additional role of sociocultural drivers, demographic drivers, and policies, governance</w:t>
      </w:r>
      <w:r w:rsidR="00774819">
        <w:rPr>
          <w:lang w:val="en-GB"/>
        </w:rPr>
        <w:t xml:space="preserve"> and</w:t>
      </w:r>
      <w:r w:rsidRPr="00DA249F">
        <w:rPr>
          <w:lang w:val="en-GB"/>
        </w:rPr>
        <w:t xml:space="preserve"> institutions. In contrast, land- and sea</w:t>
      </w:r>
      <w:r w:rsidR="00D2630E" w:rsidRPr="00DA249F">
        <w:rPr>
          <w:lang w:val="en-GB"/>
        </w:rPr>
        <w:t>-</w:t>
      </w:r>
      <w:r w:rsidRPr="00DA249F">
        <w:rPr>
          <w:lang w:val="en-GB"/>
        </w:rPr>
        <w:t>use change is the overriding driver responsible for the establishment and spread of invasive alien species, followed by climate change, pollution, and to some extent economic drivers and biodiversity loss. Thus, indirect drivers are identified as the most important in the early stages of the biological invasion process while direct drivers dominate in the later stages.</w:t>
      </w:r>
    </w:p>
    <w:p w14:paraId="55BEB6E3" w14:textId="0479587B" w:rsidR="00986281" w:rsidRPr="00DA249F" w:rsidRDefault="71BD470A">
      <w:pPr>
        <w:rPr>
          <w:lang w:val="en-GB"/>
        </w:rPr>
      </w:pPr>
      <w:r w:rsidRPr="728F2DAF">
        <w:rPr>
          <w:lang w:val="en-GB"/>
        </w:rPr>
        <w:t>Patterns are relatively consistent across realms, but with some variation (</w:t>
      </w:r>
      <w:r w:rsidR="00DC2990">
        <w:rPr>
          <w:b/>
          <w:bCs/>
          <w:lang w:val="en-GB"/>
        </w:rPr>
        <w:t>Figure</w:t>
      </w:r>
      <w:r w:rsidR="21DA37F0" w:rsidRPr="728F2DAF">
        <w:rPr>
          <w:b/>
          <w:bCs/>
          <w:lang w:val="en-GB"/>
        </w:rPr>
        <w:t xml:space="preserve"> 3.34</w:t>
      </w:r>
      <w:r w:rsidRPr="728F2DAF">
        <w:rPr>
          <w:b/>
          <w:bCs/>
          <w:lang w:val="en-GB"/>
        </w:rPr>
        <w:t>A</w:t>
      </w:r>
      <w:r w:rsidRPr="728F2DAF">
        <w:rPr>
          <w:lang w:val="en-GB"/>
        </w:rPr>
        <w:t xml:space="preserve">). Economic drivers and natural drivers are considered relatively more important and sociocultural and policy, governance and institutional drivers less important for facilitating the transport of invasive alien species in the marine realm, whereas demographic drivers are more important for </w:t>
      </w:r>
      <w:r w:rsidR="467124FF" w:rsidRPr="728F2DAF">
        <w:rPr>
          <w:lang w:val="en-GB"/>
        </w:rPr>
        <w:t xml:space="preserve">the </w:t>
      </w:r>
      <w:r w:rsidRPr="728F2DAF">
        <w:rPr>
          <w:lang w:val="en-GB"/>
        </w:rPr>
        <w:t xml:space="preserve">transport of invasive alien species into the terrestrial realm. There is little difference between realms in the relative importance of drivers facilitating the introduction stage. </w:t>
      </w:r>
      <w:r w:rsidR="5A3D3C6D" w:rsidRPr="728F2DAF">
        <w:rPr>
          <w:lang w:val="en-GB"/>
        </w:rPr>
        <w:t>P</w:t>
      </w:r>
      <w:r w:rsidRPr="728F2DAF">
        <w:rPr>
          <w:lang w:val="en-GB"/>
        </w:rPr>
        <w:t xml:space="preserve">olicies, </w:t>
      </w:r>
      <w:r w:rsidR="46D120F1" w:rsidRPr="728F2DAF">
        <w:rPr>
          <w:lang w:val="en-GB"/>
        </w:rPr>
        <w:t>governance</w:t>
      </w:r>
      <w:r w:rsidR="00774819">
        <w:rPr>
          <w:lang w:val="en-GB"/>
        </w:rPr>
        <w:t xml:space="preserve"> and</w:t>
      </w:r>
      <w:r w:rsidRPr="728F2DAF">
        <w:rPr>
          <w:lang w:val="en-GB"/>
        </w:rPr>
        <w:t xml:space="preserve"> institutional drivers are more important </w:t>
      </w:r>
      <w:r w:rsidR="5A3D3C6D" w:rsidRPr="728F2DAF">
        <w:rPr>
          <w:lang w:val="en-GB"/>
        </w:rPr>
        <w:t>in facilitating the establishment of invasive alien species, while</w:t>
      </w:r>
      <w:r w:rsidRPr="728F2DAF">
        <w:rPr>
          <w:lang w:val="en-GB"/>
        </w:rPr>
        <w:t xml:space="preserve"> sociocultural drivers and biodiversity </w:t>
      </w:r>
      <w:r w:rsidR="0AFF248C" w:rsidRPr="728F2DAF">
        <w:rPr>
          <w:lang w:val="en-GB"/>
        </w:rPr>
        <w:t xml:space="preserve">loss </w:t>
      </w:r>
      <w:r w:rsidR="574A03C4" w:rsidRPr="728F2DAF">
        <w:rPr>
          <w:lang w:val="en-GB"/>
        </w:rPr>
        <w:t>are</w:t>
      </w:r>
      <w:r w:rsidRPr="728F2DAF">
        <w:rPr>
          <w:lang w:val="en-GB"/>
        </w:rPr>
        <w:t xml:space="preserve"> less important in the marine realm, whereas demographic drivers are relatively more important and </w:t>
      </w:r>
      <w:r w:rsidR="187417B6" w:rsidRPr="728F2DAF">
        <w:rPr>
          <w:rStyle w:val="normaltextrun"/>
          <w:color w:val="000000" w:themeColor="text1"/>
          <w:lang w:val="en-GB"/>
        </w:rPr>
        <w:t>direct exploitation of natural resources</w:t>
      </w:r>
      <w:r w:rsidR="187417B6" w:rsidRPr="728F2DAF">
        <w:rPr>
          <w:lang w:val="en-GB"/>
        </w:rPr>
        <w:t xml:space="preserve"> </w:t>
      </w:r>
      <w:r w:rsidRPr="728F2DAF">
        <w:rPr>
          <w:lang w:val="en-GB"/>
        </w:rPr>
        <w:t xml:space="preserve">less important in the terrestrial realm. Finally, the spread of invasive alien species is relatively less </w:t>
      </w:r>
      <w:r w:rsidRPr="728F2DAF">
        <w:rPr>
          <w:lang w:val="en-GB"/>
        </w:rPr>
        <w:lastRenderedPageBreak/>
        <w:t xml:space="preserve">affected by demographic drivers in the marine realm, more affected by sociocultural drivers in freshwater systems, and less affected by pollution but more affected by biodiversity loss in the terrestrial realm. </w:t>
      </w:r>
    </w:p>
    <w:p w14:paraId="107B00A7" w14:textId="3E4427DF" w:rsidR="00986281" w:rsidRPr="00DA249F" w:rsidRDefault="00986281" w:rsidP="00986281">
      <w:pPr>
        <w:rPr>
          <w:lang w:val="en-GB"/>
        </w:rPr>
      </w:pPr>
      <w:r w:rsidRPr="00DA249F">
        <w:rPr>
          <w:lang w:val="en-GB"/>
        </w:rPr>
        <w:t>There is more variation across taxonomic units than realms (</w:t>
      </w:r>
      <w:r w:rsidR="00DC2990">
        <w:rPr>
          <w:b/>
          <w:iCs/>
          <w:lang w:val="en-GB"/>
        </w:rPr>
        <w:t>Figure</w:t>
      </w:r>
      <w:r w:rsidR="00981CE4">
        <w:rPr>
          <w:b/>
          <w:iCs/>
          <w:lang w:val="en-GB"/>
        </w:rPr>
        <w:t xml:space="preserve"> 3.34</w:t>
      </w:r>
      <w:r w:rsidRPr="0097098D">
        <w:rPr>
          <w:b/>
          <w:iCs/>
          <w:lang w:val="en-GB"/>
        </w:rPr>
        <w:t>B</w:t>
      </w:r>
      <w:r w:rsidRPr="00DA249F">
        <w:rPr>
          <w:lang w:val="en-GB"/>
        </w:rPr>
        <w:t>). Sociocultural drivers are consistently more important for facilitating alien plants early in the invasion process and for vertebrates across all stages</w:t>
      </w:r>
      <w:r w:rsidR="00F656B7">
        <w:rPr>
          <w:lang w:val="en-GB"/>
        </w:rPr>
        <w:t>,</w:t>
      </w:r>
      <w:r w:rsidRPr="00DA249F">
        <w:rPr>
          <w:lang w:val="en-GB"/>
        </w:rPr>
        <w:t xml:space="preserve"> and less important for microbes and invertebrates. This </w:t>
      </w:r>
      <w:r w:rsidR="00C94DCC">
        <w:rPr>
          <w:lang w:val="en-GB"/>
        </w:rPr>
        <w:t xml:space="preserve">pattern </w:t>
      </w:r>
      <w:r w:rsidRPr="00DA249F">
        <w:rPr>
          <w:lang w:val="en-GB"/>
        </w:rPr>
        <w:t>likely reflects the importance of intentional introductions of plants and animals for human amenity values, both linked to subsistence and to cultural values (</w:t>
      </w:r>
      <w:r w:rsidRPr="0097098D">
        <w:rPr>
          <w:b/>
          <w:iCs/>
          <w:lang w:val="en-GB"/>
        </w:rPr>
        <w:t>sections 3.2.1</w:t>
      </w:r>
      <w:r w:rsidRPr="0097098D">
        <w:rPr>
          <w:iCs/>
          <w:lang w:val="en-GB"/>
        </w:rPr>
        <w:t>,</w:t>
      </w:r>
      <w:r w:rsidRPr="0097098D">
        <w:rPr>
          <w:b/>
          <w:iCs/>
          <w:lang w:val="en-GB"/>
        </w:rPr>
        <w:t xml:space="preserve"> 3.2.3.2</w:t>
      </w:r>
      <w:r w:rsidRPr="0097098D">
        <w:rPr>
          <w:iCs/>
          <w:lang w:val="en-GB"/>
        </w:rPr>
        <w:t>,</w:t>
      </w:r>
      <w:r w:rsidRPr="0097098D">
        <w:rPr>
          <w:b/>
          <w:iCs/>
          <w:lang w:val="en-GB"/>
        </w:rPr>
        <w:t xml:space="preserve"> 3.2.3.3</w:t>
      </w:r>
      <w:r w:rsidRPr="0097098D">
        <w:rPr>
          <w:iCs/>
          <w:lang w:val="en-GB"/>
        </w:rPr>
        <w:t>,</w:t>
      </w:r>
      <w:r w:rsidRPr="0097098D">
        <w:rPr>
          <w:b/>
          <w:iCs/>
          <w:lang w:val="en-GB"/>
        </w:rPr>
        <w:t xml:space="preserve"> 3.3.1.1</w:t>
      </w:r>
      <w:r w:rsidRPr="00DA249F">
        <w:rPr>
          <w:i/>
          <w:iCs/>
          <w:lang w:val="en-GB"/>
        </w:rPr>
        <w:t>)</w:t>
      </w:r>
      <w:r w:rsidRPr="00DA249F">
        <w:rPr>
          <w:lang w:val="en-GB"/>
        </w:rPr>
        <w:t>. Demographic drivers are relatively more important for the transport of microbes than other taxonomic groups, whereas economic drivers are relatively less important for the introduction of plants and more important for the spread of plants and vertebrates than for the other taxonomic groups. This latter finding is likely linked to the relatively higher importance of land-use changes for the introduction of plants along with intentional introductions of alien vertebrates for hunting and farming (</w:t>
      </w:r>
      <w:r w:rsidRPr="0097098D">
        <w:rPr>
          <w:b/>
          <w:iCs/>
          <w:lang w:val="en-GB"/>
        </w:rPr>
        <w:t>sections 3.3.1.1</w:t>
      </w:r>
      <w:r w:rsidRPr="0097098D">
        <w:rPr>
          <w:iCs/>
          <w:lang w:val="en-GB"/>
        </w:rPr>
        <w:t>,</w:t>
      </w:r>
      <w:r w:rsidRPr="0097098D">
        <w:rPr>
          <w:b/>
          <w:iCs/>
          <w:lang w:val="en-GB"/>
        </w:rPr>
        <w:t xml:space="preserve"> 3.3.2.</w:t>
      </w:r>
      <w:r w:rsidR="00C90BFB" w:rsidRPr="0097098D">
        <w:rPr>
          <w:b/>
          <w:iCs/>
          <w:lang w:val="en-GB"/>
        </w:rPr>
        <w:t>1.1</w:t>
      </w:r>
      <w:r w:rsidRPr="0097098D">
        <w:rPr>
          <w:iCs/>
          <w:lang w:val="en-GB"/>
        </w:rPr>
        <w:t>,</w:t>
      </w:r>
      <w:r w:rsidRPr="0097098D">
        <w:rPr>
          <w:b/>
          <w:iCs/>
          <w:lang w:val="en-GB"/>
        </w:rPr>
        <w:t xml:space="preserve"> 3.3.2.</w:t>
      </w:r>
      <w:r w:rsidR="00C90BFB" w:rsidRPr="0097098D">
        <w:rPr>
          <w:b/>
          <w:iCs/>
          <w:lang w:val="en-GB"/>
        </w:rPr>
        <w:t>1.2</w:t>
      </w:r>
      <w:r w:rsidRPr="00DA249F">
        <w:rPr>
          <w:i/>
          <w:iCs/>
          <w:lang w:val="en-GB"/>
        </w:rPr>
        <w:t>)</w:t>
      </w:r>
      <w:r w:rsidRPr="00DA249F">
        <w:rPr>
          <w:lang w:val="en-GB"/>
        </w:rPr>
        <w:t xml:space="preserve">. Pollution is assessed as relatively more important for the introduction of microbes and less important for the establishment of invasive alien vertebrates and the spread of invasive alien invertebrates and vertebrates. In contrast, climate change is deemed relatively more important for the introduction, establishment and spread of microbes compared to other taxonomic groups. </w:t>
      </w:r>
    </w:p>
    <w:p w14:paraId="59D4C681" w14:textId="77777777" w:rsidR="00986281" w:rsidRPr="00DA249F" w:rsidRDefault="3862D0AB" w:rsidP="00C552FE">
      <w:pPr>
        <w:rPr>
          <w:lang w:val="en-GB"/>
        </w:rPr>
      </w:pPr>
      <w:r w:rsidRPr="5575EBFC">
        <w:rPr>
          <w:lang w:val="en-GB"/>
        </w:rPr>
        <w:t xml:space="preserve">These patterns illustrate some of the complexity in how </w:t>
      </w:r>
      <w:r w:rsidR="653902EA" w:rsidRPr="5575EBFC">
        <w:rPr>
          <w:lang w:val="en-GB"/>
        </w:rPr>
        <w:t>drivers of change in nature</w:t>
      </w:r>
      <w:r w:rsidRPr="5575EBFC">
        <w:rPr>
          <w:lang w:val="en-GB"/>
        </w:rPr>
        <w:t xml:space="preserve"> facilitate biological invasions. The variation across stages, taxonomic units and realms is partly related to the biophysical characteristics of the specific processes and systems. As examples, trade and travel operate mainly through both the intentional and unintentional transport of invasive alien species across regions; harvesting and restocking for harvesting are more important in aquatic than terrestrial systems (</w:t>
      </w:r>
      <w:r w:rsidRPr="5575EBFC">
        <w:rPr>
          <w:b/>
          <w:bCs/>
          <w:lang w:val="en-GB"/>
        </w:rPr>
        <w:t>sections 3.2.3.1</w:t>
      </w:r>
      <w:r w:rsidRPr="5575EBFC">
        <w:rPr>
          <w:lang w:val="en-GB"/>
        </w:rPr>
        <w:t>,</w:t>
      </w:r>
      <w:r w:rsidRPr="5575EBFC">
        <w:rPr>
          <w:b/>
          <w:bCs/>
          <w:lang w:val="en-GB"/>
        </w:rPr>
        <w:t xml:space="preserve"> 3.3.2.1</w:t>
      </w:r>
      <w:r w:rsidRPr="5575EBFC">
        <w:rPr>
          <w:lang w:val="en-GB"/>
        </w:rPr>
        <w:t xml:space="preserve">) and </w:t>
      </w:r>
      <w:r w:rsidR="1C7CFDFF" w:rsidRPr="5575EBFC">
        <w:rPr>
          <w:lang w:val="en-GB"/>
        </w:rPr>
        <w:t xml:space="preserve">respond </w:t>
      </w:r>
      <w:r w:rsidRPr="5575EBFC">
        <w:rPr>
          <w:lang w:val="en-GB"/>
        </w:rPr>
        <w:t xml:space="preserve">to variation in human impacts (such as, land- and sea-use being more important for plants and pollution within aquatic systems and less important for vertebrates; </w:t>
      </w:r>
      <w:r w:rsidRPr="5575EBFC">
        <w:rPr>
          <w:b/>
          <w:bCs/>
          <w:lang w:val="en-GB"/>
        </w:rPr>
        <w:t>sections 3.3.1.1</w:t>
      </w:r>
      <w:r w:rsidRPr="5575EBFC">
        <w:rPr>
          <w:lang w:val="en-GB"/>
        </w:rPr>
        <w:t>,</w:t>
      </w:r>
      <w:r w:rsidRPr="5575EBFC">
        <w:rPr>
          <w:b/>
          <w:bCs/>
          <w:lang w:val="en-GB"/>
        </w:rPr>
        <w:t xml:space="preserve"> 3.3.3</w:t>
      </w:r>
      <w:r w:rsidRPr="5575EBFC">
        <w:rPr>
          <w:lang w:val="en-GB"/>
        </w:rPr>
        <w:t>).</w:t>
      </w:r>
    </w:p>
    <w:p w14:paraId="52D039C6" w14:textId="2C8F7BC7" w:rsidR="00986281" w:rsidRPr="00DA249F" w:rsidRDefault="00986281" w:rsidP="00986281">
      <w:pPr>
        <w:rPr>
          <w:lang w:val="en-GB"/>
        </w:rPr>
      </w:pPr>
    </w:p>
    <w:p w14:paraId="194544E3" w14:textId="220ABDC0" w:rsidR="00986281" w:rsidRPr="00DA249F" w:rsidRDefault="00986281" w:rsidP="00986281">
      <w:pPr>
        <w:spacing w:after="160" w:line="259" w:lineRule="auto"/>
        <w:rPr>
          <w:b/>
          <w:lang w:val="en-GB"/>
        </w:rPr>
      </w:pPr>
      <w:r w:rsidRPr="00DA249F">
        <w:rPr>
          <w:b/>
          <w:lang w:val="en-GB"/>
        </w:rPr>
        <w:br w:type="page"/>
      </w:r>
      <w:r w:rsidR="00665578" w:rsidRPr="00665578">
        <w:rPr>
          <w:b/>
          <w:noProof/>
          <w:lang w:val="en-GB"/>
        </w:rPr>
        <w:lastRenderedPageBreak/>
        <w:drawing>
          <wp:inline distT="0" distB="0" distL="0" distR="0" wp14:anchorId="111E3D5A" wp14:editId="6D6421A0">
            <wp:extent cx="6115050" cy="5955030"/>
            <wp:effectExtent l="0" t="0" r="6350" b="1270"/>
            <wp:docPr id="3" name="Picture 3"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A screenshot of a computer&#10;&#10;Description automatically generated"/>
                    <pic:cNvPicPr/>
                  </pic:nvPicPr>
                  <pic:blipFill>
                    <a:blip r:embed="rId61"/>
                    <a:stretch>
                      <a:fillRect/>
                    </a:stretch>
                  </pic:blipFill>
                  <pic:spPr>
                    <a:xfrm>
                      <a:off x="0" y="0"/>
                      <a:ext cx="6115050" cy="5955030"/>
                    </a:xfrm>
                    <a:prstGeom prst="rect">
                      <a:avLst/>
                    </a:prstGeom>
                  </pic:spPr>
                </pic:pic>
              </a:graphicData>
            </a:graphic>
          </wp:inline>
        </w:drawing>
      </w:r>
    </w:p>
    <w:p w14:paraId="117077C8" w14:textId="175CE334" w:rsidR="00986281" w:rsidRPr="00DA249F" w:rsidRDefault="00986281" w:rsidP="00986281">
      <w:pPr>
        <w:rPr>
          <w:b/>
          <w:lang w:val="en-GB"/>
        </w:rPr>
      </w:pPr>
      <w:r w:rsidRPr="00DA249F">
        <w:rPr>
          <w:b/>
          <w:lang w:val="en-GB"/>
        </w:rPr>
        <w:lastRenderedPageBreak/>
        <w:t xml:space="preserve"> </w:t>
      </w:r>
      <w:r w:rsidR="00665578" w:rsidRPr="00665578">
        <w:rPr>
          <w:b/>
          <w:noProof/>
          <w:lang w:val="en-GB"/>
        </w:rPr>
        <w:drawing>
          <wp:inline distT="0" distB="0" distL="0" distR="0" wp14:anchorId="6184F6CA" wp14:editId="65496E73">
            <wp:extent cx="6115050" cy="5923915"/>
            <wp:effectExtent l="0" t="0" r="6350" b="0"/>
            <wp:docPr id="4" name="Picture 4"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A screenshot of a computer&#10;&#10;Description automatically generated"/>
                    <pic:cNvPicPr/>
                  </pic:nvPicPr>
                  <pic:blipFill>
                    <a:blip r:embed="rId62"/>
                    <a:stretch>
                      <a:fillRect/>
                    </a:stretch>
                  </pic:blipFill>
                  <pic:spPr>
                    <a:xfrm>
                      <a:off x="0" y="0"/>
                      <a:ext cx="6115050" cy="5923915"/>
                    </a:xfrm>
                    <a:prstGeom prst="rect">
                      <a:avLst/>
                    </a:prstGeom>
                  </pic:spPr>
                </pic:pic>
              </a:graphicData>
            </a:graphic>
          </wp:inline>
        </w:drawing>
      </w:r>
    </w:p>
    <w:p w14:paraId="22AFF9CB" w14:textId="3C8D41CD" w:rsidR="00986281" w:rsidRPr="00DA249F" w:rsidRDefault="3862D0AB" w:rsidP="00986281">
      <w:pPr>
        <w:pStyle w:val="Caption"/>
        <w:rPr>
          <w:lang w:val="en-GB"/>
        </w:rPr>
      </w:pPr>
      <w:bookmarkStart w:id="278" w:name="_Ref104903017"/>
      <w:bookmarkStart w:id="279" w:name="_Toc147500919"/>
      <w:r w:rsidRPr="00DA249F">
        <w:rPr>
          <w:lang w:val="en-GB"/>
        </w:rPr>
        <w:t>Figure 3.</w:t>
      </w:r>
      <w:r w:rsidR="00986281" w:rsidRPr="00DA249F">
        <w:rPr>
          <w:lang w:val="en-GB"/>
        </w:rPr>
        <w:fldChar w:fldCharType="begin"/>
      </w:r>
      <w:r w:rsidR="00986281" w:rsidRPr="00DA249F">
        <w:rPr>
          <w:lang w:val="en-GB"/>
        </w:rPr>
        <w:instrText xml:space="preserve"> SEQ Figure_3. \* ARABIC </w:instrText>
      </w:r>
      <w:r w:rsidR="00986281" w:rsidRPr="00DA249F">
        <w:rPr>
          <w:lang w:val="en-GB"/>
        </w:rPr>
        <w:fldChar w:fldCharType="separate"/>
      </w:r>
      <w:r w:rsidR="00287BC7">
        <w:rPr>
          <w:noProof/>
          <w:lang w:val="en-GB"/>
        </w:rPr>
        <w:t>34</w:t>
      </w:r>
      <w:r w:rsidR="00986281" w:rsidRPr="00DA249F">
        <w:rPr>
          <w:lang w:val="en-GB"/>
        </w:rPr>
        <w:fldChar w:fldCharType="end"/>
      </w:r>
      <w:bookmarkEnd w:id="278"/>
      <w:r w:rsidR="2AB0E44E" w:rsidRPr="00DA249F">
        <w:rPr>
          <w:lang w:val="en-GB"/>
        </w:rPr>
        <w:t>.</w:t>
      </w:r>
      <w:r w:rsidRPr="00DA249F">
        <w:rPr>
          <w:lang w:val="en-GB"/>
        </w:rPr>
        <w:t xml:space="preserve"> </w:t>
      </w:r>
      <w:r w:rsidRPr="00DA249F">
        <w:rPr>
          <w:b w:val="0"/>
          <w:bCs w:val="0"/>
          <w:lang w:val="en-GB"/>
        </w:rPr>
        <w:t xml:space="preserve">Assessment of the relative importance of indirect and direct drivers </w:t>
      </w:r>
      <w:r w:rsidR="17080641" w:rsidRPr="00DA249F">
        <w:rPr>
          <w:b w:val="0"/>
          <w:bCs w:val="0"/>
          <w:lang w:val="en-GB"/>
        </w:rPr>
        <w:t xml:space="preserve">of change in nature </w:t>
      </w:r>
      <w:r w:rsidRPr="00DA249F">
        <w:rPr>
          <w:b w:val="0"/>
          <w:bCs w:val="0"/>
          <w:lang w:val="en-GB"/>
        </w:rPr>
        <w:t xml:space="preserve">in facilitating </w:t>
      </w:r>
      <w:r w:rsidR="38A653D3" w:rsidRPr="00DA249F">
        <w:rPr>
          <w:b w:val="0"/>
          <w:bCs w:val="0"/>
          <w:lang w:val="en-GB"/>
        </w:rPr>
        <w:t xml:space="preserve">invasive alien species </w:t>
      </w:r>
      <w:r w:rsidRPr="00DA249F">
        <w:rPr>
          <w:b w:val="0"/>
          <w:bCs w:val="0"/>
          <w:lang w:val="en-GB"/>
        </w:rPr>
        <w:t xml:space="preserve">across stages of the </w:t>
      </w:r>
      <w:r w:rsidR="3C4FFF9D" w:rsidRPr="00DA249F">
        <w:rPr>
          <w:b w:val="0"/>
          <w:bCs w:val="0"/>
          <w:lang w:val="en-GB"/>
        </w:rPr>
        <w:t xml:space="preserve">biological </w:t>
      </w:r>
      <w:r w:rsidRPr="00DA249F">
        <w:rPr>
          <w:b w:val="0"/>
          <w:bCs w:val="0"/>
          <w:lang w:val="en-GB"/>
        </w:rPr>
        <w:t>invasion process, by A</w:t>
      </w:r>
      <w:r w:rsidR="003000E0">
        <w:rPr>
          <w:b w:val="0"/>
          <w:bCs w:val="0"/>
          <w:lang w:val="en-GB"/>
        </w:rPr>
        <w:t>)</w:t>
      </w:r>
      <w:r w:rsidRPr="00DA249F">
        <w:rPr>
          <w:b w:val="0"/>
          <w:bCs w:val="0"/>
          <w:lang w:val="en-GB"/>
        </w:rPr>
        <w:t xml:space="preserve"> biome (terrestrial, freshwater, marine) and B</w:t>
      </w:r>
      <w:r w:rsidR="003000E0">
        <w:rPr>
          <w:b w:val="0"/>
          <w:bCs w:val="0"/>
          <w:lang w:val="en-GB"/>
        </w:rPr>
        <w:t>)</w:t>
      </w:r>
      <w:r w:rsidRPr="00DA249F">
        <w:rPr>
          <w:b w:val="0"/>
          <w:bCs w:val="0"/>
          <w:lang w:val="en-GB"/>
        </w:rPr>
        <w:t xml:space="preserve"> </w:t>
      </w:r>
      <w:r w:rsidR="757AF71C" w:rsidRPr="5575EBFC">
        <w:rPr>
          <w:b w:val="0"/>
          <w:bCs w:val="0"/>
          <w:lang w:val="en-GB"/>
        </w:rPr>
        <w:t xml:space="preserve">taxa </w:t>
      </w:r>
      <w:r w:rsidRPr="00DA249F">
        <w:rPr>
          <w:b w:val="0"/>
          <w:bCs w:val="0"/>
          <w:lang w:val="en-GB"/>
        </w:rPr>
        <w:t>(microbes, plants, invertebrates, vertebrates).</w:t>
      </w:r>
      <w:r w:rsidRPr="00DA249F">
        <w:rPr>
          <w:lang w:val="en-GB"/>
        </w:rPr>
        <w:t xml:space="preserve"> </w:t>
      </w:r>
      <w:r w:rsidRPr="5575EBFC">
        <w:rPr>
          <w:b w:val="0"/>
          <w:bCs w:val="0"/>
          <w:lang w:val="en-GB"/>
        </w:rPr>
        <w:t xml:space="preserve">Separately for each realm and taxonomic unit, the </w:t>
      </w:r>
      <w:r w:rsidR="51C799B9">
        <w:rPr>
          <w:b w:val="0"/>
          <w:bCs w:val="0"/>
          <w:lang w:val="en-GB"/>
        </w:rPr>
        <w:t>C</w:t>
      </w:r>
      <w:r w:rsidRPr="0097098D">
        <w:rPr>
          <w:b w:val="0"/>
          <w:bCs w:val="0"/>
          <w:lang w:val="en-GB"/>
        </w:rPr>
        <w:t>hapter 3</w:t>
      </w:r>
      <w:r w:rsidRPr="5575EBFC">
        <w:rPr>
          <w:b w:val="0"/>
          <w:bCs w:val="0"/>
          <w:lang w:val="en-GB"/>
        </w:rPr>
        <w:t xml:space="preserve"> </w:t>
      </w:r>
      <w:r w:rsidR="7628E4DC" w:rsidRPr="5575EBFC">
        <w:rPr>
          <w:b w:val="0"/>
          <w:bCs w:val="0"/>
          <w:lang w:val="en-GB"/>
        </w:rPr>
        <w:t>experts</w:t>
      </w:r>
      <w:r w:rsidRPr="5575EBFC">
        <w:rPr>
          <w:b w:val="0"/>
          <w:bCs w:val="0"/>
          <w:lang w:val="en-GB"/>
        </w:rPr>
        <w:t xml:space="preserve"> (</w:t>
      </w:r>
      <w:r w:rsidR="7628E4DC" w:rsidRPr="5575EBFC">
        <w:rPr>
          <w:b w:val="0"/>
          <w:bCs w:val="0"/>
          <w:lang w:val="en-GB"/>
        </w:rPr>
        <w:t>c</w:t>
      </w:r>
      <w:r w:rsidRPr="5575EBFC">
        <w:rPr>
          <w:b w:val="0"/>
          <w:bCs w:val="0"/>
          <w:lang w:val="en-GB"/>
        </w:rPr>
        <w:t xml:space="preserve">oordinating </w:t>
      </w:r>
      <w:r w:rsidR="7628E4DC" w:rsidRPr="5575EBFC">
        <w:rPr>
          <w:b w:val="0"/>
          <w:bCs w:val="0"/>
          <w:lang w:val="en-GB"/>
        </w:rPr>
        <w:t>l</w:t>
      </w:r>
      <w:r w:rsidRPr="5575EBFC">
        <w:rPr>
          <w:b w:val="0"/>
          <w:bCs w:val="0"/>
          <w:lang w:val="en-GB"/>
        </w:rPr>
        <w:t>ead</w:t>
      </w:r>
      <w:r w:rsidR="7628E4DC" w:rsidRPr="5575EBFC">
        <w:rPr>
          <w:b w:val="0"/>
          <w:bCs w:val="0"/>
          <w:lang w:val="en-GB"/>
        </w:rPr>
        <w:t xml:space="preserve"> and</w:t>
      </w:r>
      <w:r w:rsidRPr="5575EBFC">
        <w:rPr>
          <w:b w:val="0"/>
          <w:bCs w:val="0"/>
          <w:lang w:val="en-GB"/>
        </w:rPr>
        <w:t xml:space="preserve"> </w:t>
      </w:r>
      <w:r w:rsidR="7628E4DC" w:rsidRPr="5575EBFC">
        <w:rPr>
          <w:b w:val="0"/>
          <w:bCs w:val="0"/>
          <w:lang w:val="en-GB"/>
        </w:rPr>
        <w:t>l</w:t>
      </w:r>
      <w:r w:rsidRPr="5575EBFC">
        <w:rPr>
          <w:b w:val="0"/>
          <w:bCs w:val="0"/>
          <w:lang w:val="en-GB"/>
        </w:rPr>
        <w:t>ead</w:t>
      </w:r>
      <w:r w:rsidR="7628E4DC" w:rsidRPr="5575EBFC">
        <w:rPr>
          <w:b w:val="0"/>
          <w:bCs w:val="0"/>
          <w:lang w:val="en-GB"/>
        </w:rPr>
        <w:t xml:space="preserve"> authors</w:t>
      </w:r>
      <w:r w:rsidRPr="5575EBFC">
        <w:rPr>
          <w:b w:val="0"/>
          <w:bCs w:val="0"/>
          <w:lang w:val="en-GB"/>
        </w:rPr>
        <w:t xml:space="preserve">, </w:t>
      </w:r>
      <w:r w:rsidR="7628E4DC" w:rsidRPr="5575EBFC">
        <w:rPr>
          <w:b w:val="0"/>
          <w:bCs w:val="0"/>
          <w:lang w:val="en-GB"/>
        </w:rPr>
        <w:t>f</w:t>
      </w:r>
      <w:r w:rsidRPr="5575EBFC">
        <w:rPr>
          <w:b w:val="0"/>
          <w:bCs w:val="0"/>
          <w:lang w:val="en-GB"/>
        </w:rPr>
        <w:t xml:space="preserve">ellows), scored the relative importance of each driver (out of 100 points) for each of the four stages of the invasion process. The scores of all panel members were then averaged to produce an overall consensus assessment, based on which the authors were allowed to adjust their individual scores (i.e., using a Delphi method approach). A data management report for this figure is available at: </w:t>
      </w:r>
      <w:hyperlink r:id="rId63" w:history="1">
        <w:r w:rsidR="0613BE82" w:rsidRPr="000C6798">
          <w:rPr>
            <w:rStyle w:val="Hyperlink"/>
            <w:b w:val="0"/>
            <w:bCs w:val="0"/>
            <w:lang w:val="en-GB"/>
          </w:rPr>
          <w:t>https://doi.org/10.5281/zenodo.7861162</w:t>
        </w:r>
        <w:bookmarkEnd w:id="279"/>
      </w:hyperlink>
    </w:p>
    <w:p w14:paraId="540E94D2" w14:textId="77777777" w:rsidR="00986281" w:rsidRPr="00DA249F" w:rsidRDefault="3862D0AB" w:rsidP="00986281">
      <w:pPr>
        <w:pStyle w:val="Heading2"/>
        <w:rPr>
          <w:lang w:val="en-GB"/>
        </w:rPr>
      </w:pPr>
      <w:bookmarkStart w:id="280" w:name="_Toc146898484"/>
      <w:r w:rsidRPr="5575EBFC">
        <w:rPr>
          <w:lang w:val="en-GB"/>
        </w:rPr>
        <w:t>Conclusions</w:t>
      </w:r>
      <w:bookmarkEnd w:id="280"/>
      <w:r w:rsidRPr="5575EBFC">
        <w:rPr>
          <w:lang w:val="en-GB"/>
        </w:rPr>
        <w:t xml:space="preserve"> </w:t>
      </w:r>
    </w:p>
    <w:p w14:paraId="4E701F58" w14:textId="1BDDED2C" w:rsidR="00986281" w:rsidRPr="00DA249F" w:rsidRDefault="3862D0AB" w:rsidP="00986281">
      <w:pPr>
        <w:rPr>
          <w:lang w:val="en-GB"/>
        </w:rPr>
      </w:pPr>
      <w:r w:rsidRPr="00DA249F">
        <w:rPr>
          <w:lang w:val="en-GB"/>
        </w:rPr>
        <w:t xml:space="preserve">Indirect and direct </w:t>
      </w:r>
      <w:r w:rsidR="653902EA" w:rsidRPr="00DA249F">
        <w:rPr>
          <w:lang w:val="en-GB"/>
        </w:rPr>
        <w:t>drivers of change in nature</w:t>
      </w:r>
      <w:r w:rsidRPr="00DA249F">
        <w:rPr>
          <w:lang w:val="en-GB"/>
        </w:rPr>
        <w:t xml:space="preserve"> play significant but varying roles across all four stages in the biological invasion process (</w:t>
      </w:r>
      <w:r w:rsidR="00DC2990">
        <w:rPr>
          <w:b/>
          <w:bCs/>
          <w:lang w:val="en-GB"/>
        </w:rPr>
        <w:t>Figure</w:t>
      </w:r>
      <w:r w:rsidR="757AF71C" w:rsidRPr="5575EBFC">
        <w:rPr>
          <w:b/>
          <w:bCs/>
          <w:lang w:val="en-GB"/>
        </w:rPr>
        <w:t xml:space="preserve"> 3.34</w:t>
      </w:r>
      <w:r w:rsidRPr="00DA249F">
        <w:rPr>
          <w:lang w:val="en-GB"/>
        </w:rPr>
        <w:t>). There is a clear shift from the early stages (transport and introduction), where indirect drivers of change</w:t>
      </w:r>
      <w:r w:rsidR="63C05147" w:rsidRPr="00DA249F">
        <w:rPr>
          <w:lang w:val="en-GB"/>
        </w:rPr>
        <w:t xml:space="preserve"> in nature play overriding roles</w:t>
      </w:r>
      <w:r w:rsidR="003000E0">
        <w:rPr>
          <w:lang w:val="en-GB"/>
        </w:rPr>
        <w:t>,</w:t>
      </w:r>
      <w:r w:rsidR="63C05147" w:rsidRPr="00DA249F">
        <w:rPr>
          <w:lang w:val="en-GB"/>
        </w:rPr>
        <w:t xml:space="preserve"> and th</w:t>
      </w:r>
      <w:r w:rsidRPr="00DA249F">
        <w:rPr>
          <w:lang w:val="en-GB"/>
        </w:rPr>
        <w:t>e later stages (establishment and spread), where direct drivers dominate. The transport and introduction of invasive alien species are primarily facilitated by economic drivers (</w:t>
      </w:r>
      <w:r w:rsidRPr="5575EBFC">
        <w:rPr>
          <w:b/>
          <w:bCs/>
          <w:lang w:val="en-GB"/>
        </w:rPr>
        <w:t>section 3.2.3</w:t>
      </w:r>
      <w:r w:rsidRPr="00DA249F">
        <w:rPr>
          <w:lang w:val="en-GB"/>
        </w:rPr>
        <w:t xml:space="preserve">), </w:t>
      </w:r>
      <w:r w:rsidRPr="00DA249F">
        <w:rPr>
          <w:lang w:val="en-GB"/>
        </w:rPr>
        <w:lastRenderedPageBreak/>
        <w:t>in particular, international trade, primarily though maritime commerce,</w:t>
      </w:r>
      <w:r w:rsidR="5C1CC9E1">
        <w:rPr>
          <w:lang w:val="en-GB"/>
        </w:rPr>
        <w:t xml:space="preserve"> which</w:t>
      </w:r>
      <w:r w:rsidRPr="00DA249F">
        <w:rPr>
          <w:lang w:val="en-GB"/>
        </w:rPr>
        <w:t xml:space="preserve"> has caused both intentional and unintentional transport and introduction of many invasive alien species in both terrestrial and aquatic realms, followed by land- and sea-use change (</w:t>
      </w:r>
      <w:r w:rsidRPr="5575EBFC">
        <w:rPr>
          <w:b/>
          <w:bCs/>
          <w:lang w:val="en-GB"/>
        </w:rPr>
        <w:t>section 3.3.1</w:t>
      </w:r>
      <w:r w:rsidRPr="00DA249F">
        <w:rPr>
          <w:lang w:val="en-GB"/>
        </w:rPr>
        <w:t>), with other drivers playing smaller but still significant roles (</w:t>
      </w:r>
      <w:r w:rsidR="002E3C9A" w:rsidRPr="5575EBFC">
        <w:rPr>
          <w:b/>
          <w:bCs/>
          <w:lang w:val="en-GB"/>
        </w:rPr>
        <w:fldChar w:fldCharType="begin"/>
      </w:r>
      <w:r w:rsidR="002E3C9A" w:rsidRPr="5575EBFC">
        <w:rPr>
          <w:b/>
          <w:bCs/>
          <w:lang w:val="en-GB"/>
        </w:rPr>
        <w:instrText xml:space="preserve"> REF _Ref104903017 \h  \* MERGEFORMAT </w:instrText>
      </w:r>
      <w:r w:rsidR="002E3C9A" w:rsidRPr="5575EBFC">
        <w:rPr>
          <w:b/>
          <w:bCs/>
          <w:lang w:val="en-GB"/>
        </w:rPr>
      </w:r>
      <w:r w:rsidR="002E3C9A" w:rsidRPr="5575EBFC">
        <w:rPr>
          <w:b/>
          <w:bCs/>
          <w:lang w:val="en-GB"/>
        </w:rPr>
        <w:fldChar w:fldCharType="separate"/>
      </w:r>
      <w:r w:rsidR="00287BC7" w:rsidRPr="00287BC7">
        <w:rPr>
          <w:b/>
          <w:bCs/>
          <w:lang w:val="en-GB"/>
        </w:rPr>
        <w:t>Figure 3.34</w:t>
      </w:r>
      <w:r w:rsidR="002E3C9A" w:rsidRPr="5575EBFC">
        <w:rPr>
          <w:b/>
          <w:bCs/>
          <w:lang w:val="en-GB"/>
        </w:rPr>
        <w:fldChar w:fldCharType="end"/>
      </w:r>
      <w:r w:rsidRPr="00DA249F">
        <w:rPr>
          <w:lang w:val="en-GB"/>
        </w:rPr>
        <w:t xml:space="preserve">). Land- and sea-use change </w:t>
      </w:r>
      <w:r w:rsidR="0A720000">
        <w:rPr>
          <w:lang w:val="en-GB"/>
        </w:rPr>
        <w:t>is</w:t>
      </w:r>
      <w:r w:rsidRPr="00DA249F">
        <w:rPr>
          <w:lang w:val="en-GB"/>
        </w:rPr>
        <w:t xml:space="preserve"> the overriding driver for the establishment and especially spread of invasive alien species, followed by climate change, pollution and to some extent demographic and economic drivers (</w:t>
      </w:r>
      <w:r w:rsidR="00DC2990">
        <w:rPr>
          <w:b/>
          <w:bCs/>
          <w:lang w:val="en-GB"/>
        </w:rPr>
        <w:t>Figure</w:t>
      </w:r>
      <w:r w:rsidR="757AF71C" w:rsidRPr="5575EBFC">
        <w:rPr>
          <w:b/>
          <w:bCs/>
          <w:lang w:val="en-GB"/>
        </w:rPr>
        <w:t xml:space="preserve"> 3.34</w:t>
      </w:r>
      <w:r w:rsidRPr="00DA249F">
        <w:rPr>
          <w:lang w:val="en-GB"/>
        </w:rPr>
        <w:t>).</w:t>
      </w:r>
    </w:p>
    <w:p w14:paraId="3E6F51C1" w14:textId="1EB7AB4A" w:rsidR="00986281" w:rsidRPr="00DA249F" w:rsidRDefault="3862D0AB" w:rsidP="00986281">
      <w:pPr>
        <w:rPr>
          <w:lang w:val="en-GB"/>
        </w:rPr>
      </w:pPr>
      <w:r w:rsidRPr="5575EBFC">
        <w:rPr>
          <w:rFonts w:eastAsia="Times New Roman"/>
          <w:color w:val="000000" w:themeColor="text1"/>
          <w:lang w:val="en-GB"/>
        </w:rPr>
        <w:t xml:space="preserve">There is variation in relative importance of drivers across realms and taxonomic groups, partly related to the biophysical characteristics of the specific systems (such as better connectivity in aquatic than terrestrial systems) and partially </w:t>
      </w:r>
      <w:r w:rsidR="2F0D3533" w:rsidRPr="5575EBFC">
        <w:rPr>
          <w:rFonts w:eastAsia="Times New Roman"/>
          <w:color w:val="000000" w:themeColor="text1"/>
          <w:lang w:val="en-GB"/>
        </w:rPr>
        <w:t xml:space="preserve">related </w:t>
      </w:r>
      <w:r w:rsidRPr="5575EBFC">
        <w:rPr>
          <w:rFonts w:eastAsia="Times New Roman"/>
          <w:color w:val="000000" w:themeColor="text1"/>
          <w:lang w:val="en-GB"/>
        </w:rPr>
        <w:t xml:space="preserve">to variation in human impacts. </w:t>
      </w:r>
      <w:r w:rsidRPr="5575EBFC">
        <w:rPr>
          <w:rFonts w:eastAsia="Times New Roman"/>
          <w:lang w:val="en-GB"/>
        </w:rPr>
        <w:t>Sociocultural drivers are consistently more important for plants and vertebrates than for microbes and invertebrates across all stages of the invasion process (</w:t>
      </w:r>
      <w:r w:rsidR="00DC2990">
        <w:rPr>
          <w:b/>
          <w:bCs/>
          <w:lang w:val="en-GB"/>
        </w:rPr>
        <w:t>Figure</w:t>
      </w:r>
      <w:r w:rsidR="757AF71C" w:rsidRPr="5575EBFC">
        <w:rPr>
          <w:b/>
          <w:bCs/>
          <w:lang w:val="en-GB"/>
        </w:rPr>
        <w:t xml:space="preserve"> 3.34</w:t>
      </w:r>
      <w:r w:rsidRPr="5575EBFC">
        <w:rPr>
          <w:rFonts w:eastAsia="Times New Roman"/>
          <w:lang w:val="en-GB"/>
        </w:rPr>
        <w:t xml:space="preserve">). This </w:t>
      </w:r>
      <w:r w:rsidR="4A62C83C" w:rsidRPr="5575EBFC">
        <w:rPr>
          <w:rFonts w:eastAsia="Times New Roman"/>
          <w:lang w:val="en-GB"/>
        </w:rPr>
        <w:t xml:space="preserve">pattern </w:t>
      </w:r>
      <w:r w:rsidRPr="5575EBFC">
        <w:rPr>
          <w:rFonts w:eastAsia="Times New Roman"/>
          <w:lang w:val="en-GB"/>
        </w:rPr>
        <w:t xml:space="preserve">probably reflects the importance of intentional introductions for human amenity value. </w:t>
      </w:r>
      <w:r w:rsidRPr="5575EBFC">
        <w:rPr>
          <w:lang w:val="en-GB"/>
        </w:rPr>
        <w:t xml:space="preserve">Recent research on the role of </w:t>
      </w:r>
      <w:r w:rsidR="653902EA" w:rsidRPr="5575EBFC">
        <w:rPr>
          <w:lang w:val="en-GB"/>
        </w:rPr>
        <w:t>drivers of change in nature</w:t>
      </w:r>
      <w:r w:rsidRPr="5575EBFC">
        <w:rPr>
          <w:lang w:val="en-GB"/>
        </w:rPr>
        <w:t xml:space="preserve"> in facilitating biological invasions has focused on the direct drivers</w:t>
      </w:r>
      <w:r w:rsidR="2D0E0D63" w:rsidRPr="5575EBFC">
        <w:rPr>
          <w:lang w:val="en-GB"/>
        </w:rPr>
        <w:t>,</w:t>
      </w:r>
      <w:r w:rsidRPr="5575EBFC">
        <w:rPr>
          <w:lang w:val="en-GB"/>
        </w:rPr>
        <w:t xml:space="preserve"> climate change and land-use change, whereas economic drivers are the most studied indirect driver. The importance of governance and sociocultural perspectives in shaping biological invasion remains understudied. Strong biases also occur in the biomes and taxonomic groups examined, with the majority of studies dealing with terrestrial temperate ecosystems relative to other biomes, and plants relative to other organismal groups (</w:t>
      </w:r>
      <w:r w:rsidRPr="5575EBFC">
        <w:rPr>
          <w:b/>
          <w:bCs/>
          <w:lang w:val="en-GB"/>
        </w:rPr>
        <w:t>section 3.6.1</w:t>
      </w:r>
      <w:r w:rsidRPr="5575EBFC">
        <w:rPr>
          <w:lang w:val="en-GB"/>
        </w:rPr>
        <w:t>). The evidence base for the role of direct and indirect drivers on invasive alien species is largely drawn from developed nations, particularly Europe, the United States and Canada as well as Australia and New Zealand. While most indirect and direct drivers of change</w:t>
      </w:r>
      <w:r w:rsidR="7B5112AD" w:rsidRPr="5575EBFC">
        <w:rPr>
          <w:lang w:val="en-GB"/>
        </w:rPr>
        <w:t xml:space="preserve"> in nature affect biological invasions across all regions and ecosys</w:t>
      </w:r>
      <w:r w:rsidRPr="5575EBFC">
        <w:rPr>
          <w:lang w:val="en-GB"/>
        </w:rPr>
        <w:t>tem</w:t>
      </w:r>
      <w:r w:rsidR="3F857A6D" w:rsidRPr="5575EBFC">
        <w:rPr>
          <w:lang w:val="en-GB"/>
        </w:rPr>
        <w:t>s</w:t>
      </w:r>
      <w:r w:rsidRPr="5575EBFC">
        <w:rPr>
          <w:lang w:val="en-GB"/>
        </w:rPr>
        <w:t xml:space="preserve">, the magnitude of their effects will differ and the lack of detailed information for the Arctic and developing nations, especially sub-Saharan Africa, tropical </w:t>
      </w:r>
      <w:r w:rsidR="5B1AE08F" w:rsidRPr="5575EBFC">
        <w:rPr>
          <w:lang w:val="en-GB"/>
        </w:rPr>
        <w:t>Asia</w:t>
      </w:r>
      <w:r w:rsidR="00774819">
        <w:rPr>
          <w:lang w:val="en-GB"/>
        </w:rPr>
        <w:t xml:space="preserve"> and</w:t>
      </w:r>
      <w:r w:rsidRPr="5575EBFC">
        <w:rPr>
          <w:lang w:val="en-GB"/>
        </w:rPr>
        <w:t xml:space="preserve"> South America</w:t>
      </w:r>
      <w:r w:rsidR="3F857A6D" w:rsidRPr="5575EBFC">
        <w:rPr>
          <w:lang w:val="en-GB"/>
        </w:rPr>
        <w:t>,</w:t>
      </w:r>
      <w:r w:rsidRPr="5575EBFC">
        <w:rPr>
          <w:lang w:val="en-GB"/>
        </w:rPr>
        <w:t xml:space="preserve"> </w:t>
      </w:r>
      <w:r w:rsidR="273B00A8" w:rsidRPr="5575EBFC">
        <w:rPr>
          <w:lang w:val="en-GB"/>
        </w:rPr>
        <w:t>is</w:t>
      </w:r>
      <w:r w:rsidRPr="5575EBFC">
        <w:rPr>
          <w:lang w:val="en-GB"/>
        </w:rPr>
        <w:t xml:space="preserve"> of concern.</w:t>
      </w:r>
      <w:r w:rsidR="56596397" w:rsidRPr="5575EBFC">
        <w:rPr>
          <w:lang w:val="en-GB"/>
        </w:rPr>
        <w:t xml:space="preserve"> </w:t>
      </w:r>
    </w:p>
    <w:p w14:paraId="4FA02A56" w14:textId="77777777" w:rsidR="00986281" w:rsidRPr="00DA249F" w:rsidDel="00350188" w:rsidRDefault="3862D0AB" w:rsidP="00986281">
      <w:pPr>
        <w:rPr>
          <w:lang w:val="en-GB"/>
        </w:rPr>
      </w:pPr>
      <w:r w:rsidRPr="5575EBFC">
        <w:rPr>
          <w:lang w:val="en-GB"/>
        </w:rPr>
        <w:t>Intensification of drivers and the acceleration of biodiversity loss and ecosystem degradation will have consequences for biological invasions in the future. It is becoming clear that climate change will increasingly shape future trends in invasive alien species, potentially with a significant temporal lag (</w:t>
      </w:r>
      <w:r w:rsidR="51C799B9" w:rsidRPr="5575EBFC">
        <w:rPr>
          <w:b/>
          <w:bCs/>
          <w:lang w:val="en-GB"/>
        </w:rPr>
        <w:t>C</w:t>
      </w:r>
      <w:r w:rsidRPr="5575EBFC">
        <w:rPr>
          <w:b/>
          <w:bCs/>
          <w:lang w:val="en-GB"/>
        </w:rPr>
        <w:t>hapter 2</w:t>
      </w:r>
      <w:r w:rsidRPr="5575EBFC">
        <w:rPr>
          <w:lang w:val="en-GB"/>
        </w:rPr>
        <w:t>,</w:t>
      </w:r>
      <w:r w:rsidRPr="5575EBFC">
        <w:rPr>
          <w:b/>
          <w:bCs/>
          <w:lang w:val="en-GB"/>
        </w:rPr>
        <w:t xml:space="preserve"> section 2.2.1</w:t>
      </w:r>
      <w:r w:rsidRPr="5575EBFC">
        <w:rPr>
          <w:lang w:val="en-GB"/>
        </w:rPr>
        <w:t xml:space="preserve">), and </w:t>
      </w:r>
      <w:r w:rsidR="78A8CFCF" w:rsidRPr="5575EBFC">
        <w:rPr>
          <w:lang w:val="en-GB"/>
        </w:rPr>
        <w:t xml:space="preserve">will </w:t>
      </w:r>
      <w:r w:rsidRPr="5575EBFC">
        <w:rPr>
          <w:lang w:val="en-GB"/>
        </w:rPr>
        <w:t xml:space="preserve">modify the role that other direct and indirect drivers might play in </w:t>
      </w:r>
      <w:r w:rsidR="0808D5FE" w:rsidRPr="5575EBFC">
        <w:rPr>
          <w:lang w:val="en-GB"/>
        </w:rPr>
        <w:t xml:space="preserve">facilitating </w:t>
      </w:r>
      <w:r w:rsidRPr="5575EBFC">
        <w:rPr>
          <w:lang w:val="en-GB"/>
        </w:rPr>
        <w:t>biological invasions. Furthermore, ecosystems may become more vulnerable to biological invasions as invasive alien species themselves decrease biotic resistance to further biological invasions and/or biodiversity is lost (</w:t>
      </w:r>
      <w:r w:rsidRPr="5575EBFC">
        <w:rPr>
          <w:b/>
          <w:bCs/>
          <w:lang w:val="en-GB"/>
        </w:rPr>
        <w:t>sections 3.3.5</w:t>
      </w:r>
      <w:r w:rsidRPr="5575EBFC">
        <w:rPr>
          <w:lang w:val="en-GB"/>
        </w:rPr>
        <w:t>,</w:t>
      </w:r>
      <w:r w:rsidRPr="5575EBFC">
        <w:rPr>
          <w:b/>
          <w:bCs/>
          <w:lang w:val="en-GB"/>
        </w:rPr>
        <w:t xml:space="preserve"> 3.4.2</w:t>
      </w:r>
      <w:r w:rsidRPr="5575EBFC">
        <w:rPr>
          <w:lang w:val="en-GB"/>
        </w:rPr>
        <w:t xml:space="preserve">). All these concurrent changes in drivers and ecosystems are indicative that past patterns of biological invasions may not be </w:t>
      </w:r>
      <w:r w:rsidR="19EAFEAD" w:rsidRPr="5575EBFC">
        <w:rPr>
          <w:lang w:val="en-GB"/>
        </w:rPr>
        <w:t xml:space="preserve">effective in informing </w:t>
      </w:r>
      <w:r w:rsidRPr="5575EBFC">
        <w:rPr>
          <w:lang w:val="en-GB"/>
        </w:rPr>
        <w:t>future</w:t>
      </w:r>
      <w:r w:rsidR="19EAFEAD" w:rsidRPr="5575EBFC">
        <w:rPr>
          <w:lang w:val="en-GB"/>
        </w:rPr>
        <w:t xml:space="preserve"> invasion patterns</w:t>
      </w:r>
      <w:r w:rsidRPr="5575EBFC">
        <w:rPr>
          <w:lang w:val="en-GB"/>
        </w:rPr>
        <w:t xml:space="preserve">. Of particular concern is the lack of understanding as to how different </w:t>
      </w:r>
      <w:r w:rsidR="653902EA" w:rsidRPr="5575EBFC">
        <w:rPr>
          <w:lang w:val="en-GB"/>
        </w:rPr>
        <w:t>drivers of change in nature</w:t>
      </w:r>
      <w:r w:rsidRPr="5575EBFC">
        <w:rPr>
          <w:lang w:val="en-GB"/>
        </w:rPr>
        <w:t xml:space="preserve"> interact to affect biological invasions across the invasion stages. </w:t>
      </w:r>
    </w:p>
    <w:p w14:paraId="4E84FB2F" w14:textId="7A3E3DAD" w:rsidR="00986281" w:rsidRPr="00DA249F" w:rsidRDefault="3862D0AB" w:rsidP="00986281">
      <w:pPr>
        <w:rPr>
          <w:lang w:val="en-GB"/>
        </w:rPr>
      </w:pPr>
      <w:r w:rsidRPr="5575EBFC">
        <w:rPr>
          <w:lang w:val="en-GB"/>
        </w:rPr>
        <w:t>Few drivers act in isolation (</w:t>
      </w:r>
      <w:r w:rsidRPr="5575EBFC">
        <w:rPr>
          <w:b/>
          <w:bCs/>
          <w:lang w:val="en-GB"/>
        </w:rPr>
        <w:t>sections 3.1.</w:t>
      </w:r>
      <w:r w:rsidR="3DCDB901" w:rsidRPr="5575EBFC">
        <w:rPr>
          <w:b/>
          <w:bCs/>
          <w:lang w:val="en-GB"/>
        </w:rPr>
        <w:t>5</w:t>
      </w:r>
      <w:r w:rsidRPr="5575EBFC">
        <w:rPr>
          <w:lang w:val="en-GB"/>
        </w:rPr>
        <w:t>,</w:t>
      </w:r>
      <w:r w:rsidRPr="5575EBFC">
        <w:rPr>
          <w:b/>
          <w:bCs/>
          <w:lang w:val="en-GB"/>
        </w:rPr>
        <w:t xml:space="preserve"> 3.5</w:t>
      </w:r>
      <w:r w:rsidRPr="5575EBFC">
        <w:rPr>
          <w:lang w:val="en-GB"/>
        </w:rPr>
        <w:t>), and there are potentially many interactions among drivers that are likely to lead to future biological invasions scenarios never previously experienced.</w:t>
      </w:r>
      <w:r w:rsidRPr="5575EBFC">
        <w:rPr>
          <w:b/>
          <w:bCs/>
          <w:lang w:val="en-GB"/>
        </w:rPr>
        <w:t xml:space="preserve"> </w:t>
      </w:r>
      <w:r w:rsidRPr="5575EBFC">
        <w:rPr>
          <w:lang w:val="en-GB"/>
        </w:rPr>
        <w:t xml:space="preserve">For example, international trade also influences other </w:t>
      </w:r>
      <w:r w:rsidR="653902EA" w:rsidRPr="5575EBFC">
        <w:rPr>
          <w:lang w:val="en-GB"/>
        </w:rPr>
        <w:t>drivers of change in nature</w:t>
      </w:r>
      <w:r w:rsidRPr="5575EBFC">
        <w:rPr>
          <w:lang w:val="en-GB"/>
        </w:rPr>
        <w:t xml:space="preserve"> that facilitate biological invasions by intensifying urbanization around major trade ports, driving resource </w:t>
      </w:r>
      <w:r w:rsidR="6D59668B" w:rsidRPr="5575EBFC">
        <w:rPr>
          <w:lang w:val="en-GB"/>
        </w:rPr>
        <w:t>extraction</w:t>
      </w:r>
      <w:r w:rsidRPr="5575EBFC">
        <w:rPr>
          <w:lang w:val="en-GB"/>
        </w:rPr>
        <w:t xml:space="preserve"> to meet international market demands and increasing atmospheric and aquatic pollution (</w:t>
      </w:r>
      <w:r w:rsidRPr="5575EBFC">
        <w:rPr>
          <w:b/>
          <w:bCs/>
          <w:lang w:val="en-GB"/>
        </w:rPr>
        <w:t>section 3.5</w:t>
      </w:r>
      <w:r w:rsidRPr="5575EBFC">
        <w:rPr>
          <w:lang w:val="en-GB"/>
        </w:rPr>
        <w:t xml:space="preserve">). Similarly, land- and sea-use change has led to changes in disturbance regimes and habitat degradation, which can decrease biotic resistance to </w:t>
      </w:r>
      <w:r w:rsidR="637B2DC7" w:rsidRPr="5575EBFC">
        <w:rPr>
          <w:lang w:val="en-GB"/>
        </w:rPr>
        <w:t>the establishment and spread of invasive alien species</w:t>
      </w:r>
      <w:r w:rsidR="3EC16049" w:rsidRPr="5575EBFC">
        <w:rPr>
          <w:lang w:val="en-GB"/>
        </w:rPr>
        <w:t xml:space="preserve"> </w:t>
      </w:r>
      <w:r w:rsidRPr="5575EBFC">
        <w:rPr>
          <w:lang w:val="en-GB"/>
        </w:rPr>
        <w:t>(</w:t>
      </w:r>
      <w:r w:rsidRPr="5575EBFC">
        <w:rPr>
          <w:b/>
          <w:bCs/>
          <w:lang w:val="en-GB"/>
        </w:rPr>
        <w:t>section 3.3.1</w:t>
      </w:r>
      <w:r w:rsidRPr="5575EBFC">
        <w:rPr>
          <w:lang w:val="en-GB"/>
        </w:rPr>
        <w:t>).</w:t>
      </w:r>
      <w:r w:rsidRPr="5575EBFC">
        <w:rPr>
          <w:rFonts w:eastAsia="Times New Roman"/>
          <w:color w:val="000000" w:themeColor="text1"/>
          <w:lang w:val="en-GB"/>
        </w:rPr>
        <w:t xml:space="preserve"> </w:t>
      </w:r>
      <w:r w:rsidRPr="5575EBFC">
        <w:rPr>
          <w:lang w:val="en-GB"/>
        </w:rPr>
        <w:t>Increasing and expanding trade, travel</w:t>
      </w:r>
      <w:r w:rsidR="00774819">
        <w:rPr>
          <w:lang w:val="en-GB"/>
        </w:rPr>
        <w:t xml:space="preserve"> and</w:t>
      </w:r>
      <w:r w:rsidRPr="5575EBFC">
        <w:rPr>
          <w:lang w:val="en-GB"/>
        </w:rPr>
        <w:t xml:space="preserve"> urbanization are major drivers implicated in the introduction and spread of invasive alien species worldwide that at the same time facilitate ecosystem degradation, which in itself is a direct driver facilitating biological invasions (</w:t>
      </w:r>
      <w:r w:rsidRPr="5575EBFC">
        <w:rPr>
          <w:b/>
          <w:bCs/>
          <w:lang w:val="en-GB"/>
        </w:rPr>
        <w:t>section 3.1.2</w:t>
      </w:r>
      <w:r w:rsidRPr="5575EBFC">
        <w:rPr>
          <w:lang w:val="en-GB"/>
        </w:rPr>
        <w:t>). However, fewer than 5 per cent of published studies examining the role of drivers in facilitating biological invasion addressed more than one driver (</w:t>
      </w:r>
      <w:r w:rsidRPr="5575EBFC">
        <w:rPr>
          <w:b/>
          <w:bCs/>
          <w:lang w:val="en-GB"/>
        </w:rPr>
        <w:t>section 3.6.1</w:t>
      </w:r>
      <w:r w:rsidRPr="5575EBFC">
        <w:rPr>
          <w:lang w:val="en-GB"/>
        </w:rPr>
        <w:t>).</w:t>
      </w:r>
    </w:p>
    <w:p w14:paraId="5EA52106" w14:textId="6B4182D9" w:rsidR="00F06323" w:rsidRPr="00DA249F" w:rsidRDefault="3862D0AB" w:rsidP="00986281">
      <w:pPr>
        <w:rPr>
          <w:lang w:val="en-GB"/>
        </w:rPr>
      </w:pPr>
      <w:r w:rsidRPr="5575EBFC">
        <w:rPr>
          <w:lang w:val="en-GB"/>
        </w:rPr>
        <w:t xml:space="preserve">Intensification in </w:t>
      </w:r>
      <w:r w:rsidR="552FE9AE" w:rsidRPr="5575EBFC">
        <w:rPr>
          <w:lang w:val="en-GB"/>
        </w:rPr>
        <w:t xml:space="preserve">many co-ocurring </w:t>
      </w:r>
      <w:r w:rsidRPr="5575EBFC">
        <w:rPr>
          <w:lang w:val="en-GB"/>
        </w:rPr>
        <w:t xml:space="preserve">drivers </w:t>
      </w:r>
      <w:r w:rsidR="3583902D" w:rsidRPr="5575EBFC">
        <w:rPr>
          <w:lang w:val="en-GB"/>
        </w:rPr>
        <w:t xml:space="preserve">of change in nature </w:t>
      </w:r>
      <w:r w:rsidRPr="5575EBFC">
        <w:rPr>
          <w:lang w:val="en-GB"/>
        </w:rPr>
        <w:t xml:space="preserve">in combination with interactive effects </w:t>
      </w:r>
      <w:r w:rsidR="2F6FCE81" w:rsidRPr="5575EBFC">
        <w:rPr>
          <w:lang w:val="en-GB"/>
        </w:rPr>
        <w:t xml:space="preserve">amongst drivers </w:t>
      </w:r>
      <w:r w:rsidRPr="5575EBFC">
        <w:rPr>
          <w:lang w:val="en-GB"/>
        </w:rPr>
        <w:t xml:space="preserve">increase </w:t>
      </w:r>
      <w:r w:rsidR="66098040" w:rsidRPr="5575EBFC">
        <w:rPr>
          <w:lang w:val="en-GB"/>
        </w:rPr>
        <w:t xml:space="preserve">the </w:t>
      </w:r>
      <w:r w:rsidRPr="5575EBFC">
        <w:rPr>
          <w:lang w:val="en-GB"/>
        </w:rPr>
        <w:t>risk of positive feedbacks exacerbat</w:t>
      </w:r>
      <w:r w:rsidR="66098040" w:rsidRPr="5575EBFC">
        <w:rPr>
          <w:lang w:val="en-GB"/>
        </w:rPr>
        <w:t>ing</w:t>
      </w:r>
      <w:r w:rsidRPr="5575EBFC">
        <w:rPr>
          <w:lang w:val="en-GB"/>
        </w:rPr>
        <w:t xml:space="preserve"> biological invasions in the future. Addressing these complexities can be achieved through interdisciplinary collaborations </w:t>
      </w:r>
      <w:r w:rsidRPr="5575EBFC">
        <w:rPr>
          <w:lang w:val="en-GB"/>
        </w:rPr>
        <w:lastRenderedPageBreak/>
        <w:t xml:space="preserve">including scientists and policymakers. For example, future scenarios can be used to explore how economic, policy and demographic changes alongside and in response to climate change, land- and sea-use change, or pollution might lead to greater risk of biological invasions (i.e., the patterns described in </w:t>
      </w:r>
      <w:r w:rsidR="51C799B9" w:rsidRPr="5575EBFC">
        <w:rPr>
          <w:b/>
          <w:bCs/>
          <w:lang w:val="en-GB"/>
        </w:rPr>
        <w:t>C</w:t>
      </w:r>
      <w:r w:rsidRPr="5575EBFC">
        <w:rPr>
          <w:b/>
          <w:bCs/>
          <w:lang w:val="en-GB"/>
        </w:rPr>
        <w:t>hapter 2</w:t>
      </w:r>
      <w:r w:rsidRPr="5575EBFC">
        <w:rPr>
          <w:lang w:val="en-GB"/>
        </w:rPr>
        <w:t xml:space="preserve">). Such scenarios could then enable identification of the specific conditions, situations and combinations of drivers that are key in facilitating biological invasions, and that would therefore be critical to address in order to reduce threats and impacts from </w:t>
      </w:r>
      <w:r w:rsidR="0B44B1F0" w:rsidRPr="5575EBFC">
        <w:rPr>
          <w:lang w:val="en-GB"/>
        </w:rPr>
        <w:t>invasive alien species</w:t>
      </w:r>
      <w:r w:rsidR="4E635628" w:rsidRPr="5575EBFC">
        <w:rPr>
          <w:lang w:val="en-GB"/>
        </w:rPr>
        <w:t xml:space="preserve"> </w:t>
      </w:r>
      <w:r w:rsidRPr="5575EBFC">
        <w:rPr>
          <w:lang w:val="en-GB"/>
        </w:rPr>
        <w:t>(</w:t>
      </w:r>
      <w:r w:rsidR="51C799B9" w:rsidRPr="5575EBFC">
        <w:rPr>
          <w:b/>
          <w:bCs/>
          <w:lang w:val="en-GB"/>
        </w:rPr>
        <w:t>C</w:t>
      </w:r>
      <w:r w:rsidRPr="5575EBFC">
        <w:rPr>
          <w:b/>
          <w:bCs/>
          <w:lang w:val="en-GB"/>
        </w:rPr>
        <w:t>hapter 4</w:t>
      </w:r>
      <w:r w:rsidRPr="5575EBFC">
        <w:rPr>
          <w:lang w:val="en-GB"/>
        </w:rPr>
        <w:t>).</w:t>
      </w:r>
      <w:r w:rsidR="56596397" w:rsidRPr="5575EBFC">
        <w:rPr>
          <w:lang w:val="en-GB"/>
        </w:rPr>
        <w:t xml:space="preserve"> </w:t>
      </w:r>
      <w:r w:rsidRPr="5575EBFC">
        <w:rPr>
          <w:lang w:val="en-GB"/>
        </w:rPr>
        <w:t>Only by investing in building these links between science and policy can risks of unintended policy outcomes, that lead to environmental degradation and biodiversity loss, be identified</w:t>
      </w:r>
      <w:r w:rsidR="00774819">
        <w:rPr>
          <w:lang w:val="en-GB"/>
        </w:rPr>
        <w:t xml:space="preserve"> and</w:t>
      </w:r>
      <w:r w:rsidRPr="5575EBFC">
        <w:rPr>
          <w:lang w:val="en-GB"/>
        </w:rPr>
        <w:t xml:space="preserve"> avoided (</w:t>
      </w:r>
      <w:r w:rsidR="51C799B9" w:rsidRPr="5575EBFC">
        <w:rPr>
          <w:b/>
          <w:bCs/>
          <w:lang w:val="en-GB"/>
        </w:rPr>
        <w:t>C</w:t>
      </w:r>
      <w:r w:rsidRPr="5575EBFC">
        <w:rPr>
          <w:b/>
          <w:bCs/>
          <w:lang w:val="en-GB"/>
        </w:rPr>
        <w:t>hapters 5, 6</w:t>
      </w:r>
      <w:r w:rsidRPr="5575EBFC">
        <w:rPr>
          <w:lang w:val="en-GB"/>
        </w:rPr>
        <w:t xml:space="preserve">). Better orientation and coordination of national and international research on drivers in relation to both their actual importance as well as their policy relevance </w:t>
      </w:r>
      <w:r w:rsidR="1B95F85C" w:rsidRPr="5575EBFC">
        <w:rPr>
          <w:lang w:val="en-GB"/>
        </w:rPr>
        <w:t xml:space="preserve">in relation to biological invasions by invasive alien species </w:t>
      </w:r>
      <w:r w:rsidRPr="5575EBFC">
        <w:rPr>
          <w:lang w:val="en-GB"/>
        </w:rPr>
        <w:t>is therefore key to addressing biological invasions in the future.</w:t>
      </w:r>
      <w:r w:rsidR="00986281" w:rsidRPr="5575EBFC">
        <w:rPr>
          <w:lang w:val="en-GB"/>
        </w:rPr>
        <w:br w:type="page"/>
      </w:r>
    </w:p>
    <w:p w14:paraId="7FF0D30B" w14:textId="77777777" w:rsidR="00224AB5" w:rsidRPr="00DA249F" w:rsidRDefault="0CEEAE8D" w:rsidP="00224AB5">
      <w:pPr>
        <w:pStyle w:val="Heading1"/>
        <w:numPr>
          <w:ilvl w:val="1"/>
          <w:numId w:val="0"/>
        </w:numPr>
        <w:rPr>
          <w:lang w:val="en-GB"/>
        </w:rPr>
      </w:pPr>
      <w:bookmarkStart w:id="281" w:name="_Toc146898485"/>
      <w:bookmarkEnd w:id="251"/>
      <w:bookmarkEnd w:id="252"/>
      <w:r w:rsidRPr="5575EBFC">
        <w:rPr>
          <w:lang w:val="en-GB"/>
        </w:rPr>
        <w:lastRenderedPageBreak/>
        <w:t>References</w:t>
      </w:r>
      <w:bookmarkEnd w:id="281"/>
    </w:p>
    <w:p w14:paraId="675F9EC6" w14:textId="77777777" w:rsidR="001379C0" w:rsidRPr="00E25215" w:rsidRDefault="00CC70B0" w:rsidP="009B3E7F">
      <w:pPr>
        <w:pStyle w:val="Bibliography"/>
        <w:spacing w:before="0" w:after="0" w:line="240" w:lineRule="auto"/>
        <w:rPr>
          <w:rFonts w:cs="Times New Roman"/>
        </w:rPr>
      </w:pPr>
      <w:r w:rsidRPr="001379C0">
        <w:rPr>
          <w:rFonts w:cs="Times New Roman"/>
          <w:lang w:val="en-GB"/>
        </w:rPr>
        <w:fldChar w:fldCharType="begin"/>
      </w:r>
      <w:r w:rsidR="00710AC3" w:rsidRPr="00E25215">
        <w:rPr>
          <w:rFonts w:cs="Times New Roman"/>
          <w:lang w:val="en-GB"/>
        </w:rPr>
        <w:instrText xml:space="preserve"> ADDIN ZOTERO_BIBL {"uncited":[],"omitted":[],"custom":[]} CSL_BIBLIOGRAPHY </w:instrText>
      </w:r>
      <w:r w:rsidRPr="001379C0">
        <w:rPr>
          <w:rFonts w:cs="Times New Roman"/>
          <w:lang w:val="en-GB"/>
        </w:rPr>
        <w:fldChar w:fldCharType="separate"/>
      </w:r>
      <w:r w:rsidR="001379C0" w:rsidRPr="001379C0">
        <w:rPr>
          <w:rFonts w:cs="Times New Roman"/>
        </w:rPr>
        <w:t xml:space="preserve">Abatzoglou, J. T., &amp; Kolden, C. A. (2011). Climate Change in Western US Deserts: Potential for Increased Wildfire and Invasive Annual Grasses. </w:t>
      </w:r>
      <w:r w:rsidR="001379C0" w:rsidRPr="001379C0">
        <w:rPr>
          <w:rFonts w:cs="Times New Roman"/>
          <w:i/>
          <w:iCs/>
        </w:rPr>
        <w:t>Rangeland Ecology &amp; Management</w:t>
      </w:r>
      <w:r w:rsidR="001379C0" w:rsidRPr="001379C0">
        <w:rPr>
          <w:rFonts w:cs="Times New Roman"/>
        </w:rPr>
        <w:t xml:space="preserve">, </w:t>
      </w:r>
      <w:r w:rsidR="001379C0" w:rsidRPr="00E25215">
        <w:rPr>
          <w:rFonts w:cs="Times New Roman"/>
          <w:i/>
          <w:iCs/>
        </w:rPr>
        <w:t>64</w:t>
      </w:r>
      <w:r w:rsidR="001379C0" w:rsidRPr="00E25215">
        <w:rPr>
          <w:rFonts w:cs="Times New Roman"/>
        </w:rPr>
        <w:t>(5), 471–478. https://doi.org/10.2111/REM-D-09-00151.1</w:t>
      </w:r>
    </w:p>
    <w:p w14:paraId="5A5AEF37"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Abatzoglou, J. T., &amp; Williams, A. P. (2016). Impact of anthropogenic climate change on wildfire across western US forests. </w:t>
      </w:r>
      <w:r w:rsidRPr="00E25215">
        <w:rPr>
          <w:rFonts w:cs="Times New Roman"/>
          <w:i/>
          <w:iCs/>
        </w:rPr>
        <w:t>Proceedings of the National Academy of Sciences</w:t>
      </w:r>
      <w:r w:rsidRPr="00E25215">
        <w:rPr>
          <w:rFonts w:cs="Times New Roman"/>
        </w:rPr>
        <w:t xml:space="preserve">, </w:t>
      </w:r>
      <w:r w:rsidRPr="00E25215">
        <w:rPr>
          <w:rFonts w:cs="Times New Roman"/>
          <w:i/>
          <w:iCs/>
        </w:rPr>
        <w:t>113</w:t>
      </w:r>
      <w:r w:rsidRPr="00E25215">
        <w:rPr>
          <w:rFonts w:cs="Times New Roman"/>
        </w:rPr>
        <w:t>(42), 11770–11775. https://doi.org/10.1073/pnas.1607171113</w:t>
      </w:r>
    </w:p>
    <w:p w14:paraId="6D97F049"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Abellan, P., Carrete, M., Anadon, J. D., Cardador, L., &amp; Tella, J. L. (2016). Non-random patterns and temporal trends (1912-2012) in the transport, introduction and establishment of exotic birds in Spain and Portugal. </w:t>
      </w:r>
      <w:r w:rsidRPr="00E25215">
        <w:rPr>
          <w:rFonts w:cs="Times New Roman"/>
          <w:i/>
          <w:iCs/>
        </w:rPr>
        <w:t>Diversity and Distributions</w:t>
      </w:r>
      <w:r w:rsidRPr="00E25215">
        <w:rPr>
          <w:rFonts w:cs="Times New Roman"/>
        </w:rPr>
        <w:t xml:space="preserve">, </w:t>
      </w:r>
      <w:r w:rsidRPr="00E25215">
        <w:rPr>
          <w:rFonts w:cs="Times New Roman"/>
          <w:i/>
          <w:iCs/>
        </w:rPr>
        <w:t>22</w:t>
      </w:r>
      <w:r w:rsidRPr="00E25215">
        <w:rPr>
          <w:rFonts w:cs="Times New Roman"/>
        </w:rPr>
        <w:t>(3), 263–273. https://doi.org/10.1111/ddi.12403</w:t>
      </w:r>
    </w:p>
    <w:p w14:paraId="78EA2284"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Achury, R., Holway, D. A., &amp; Suarez, A. V. (2021). Pervasive and persistent effects of ant invasion and fragmentation on native ant assemblages. </w:t>
      </w:r>
      <w:r w:rsidRPr="00E25215">
        <w:rPr>
          <w:rFonts w:cs="Times New Roman"/>
          <w:i/>
          <w:iCs/>
        </w:rPr>
        <w:t>Ecology</w:t>
      </w:r>
      <w:r w:rsidRPr="00E25215">
        <w:rPr>
          <w:rFonts w:cs="Times New Roman"/>
        </w:rPr>
        <w:t xml:space="preserve">, </w:t>
      </w:r>
      <w:r w:rsidRPr="00E25215">
        <w:rPr>
          <w:rFonts w:cs="Times New Roman"/>
          <w:i/>
          <w:iCs/>
        </w:rPr>
        <w:t>102</w:t>
      </w:r>
      <w:r w:rsidRPr="00E25215">
        <w:rPr>
          <w:rFonts w:cs="Times New Roman"/>
        </w:rPr>
        <w:t>(3). https://doi.org/10.1002/ecy.3257</w:t>
      </w:r>
    </w:p>
    <w:p w14:paraId="493B27DA"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Adenle, A. A., Stevens, C., &amp; Bridgewater, P. (2015). Global conservation and management of biodiversity in developing countries: An opportunity for a new approach. </w:t>
      </w:r>
      <w:r w:rsidRPr="00E25215">
        <w:rPr>
          <w:rFonts w:cs="Times New Roman"/>
          <w:i/>
          <w:iCs/>
        </w:rPr>
        <w:t>Environmental Science &amp; Policy</w:t>
      </w:r>
      <w:r w:rsidRPr="00E25215">
        <w:rPr>
          <w:rFonts w:cs="Times New Roman"/>
        </w:rPr>
        <w:t xml:space="preserve">, </w:t>
      </w:r>
      <w:r w:rsidRPr="00E25215">
        <w:rPr>
          <w:rFonts w:cs="Times New Roman"/>
          <w:i/>
          <w:iCs/>
        </w:rPr>
        <w:t>45</w:t>
      </w:r>
      <w:r w:rsidRPr="00E25215">
        <w:rPr>
          <w:rFonts w:cs="Times New Roman"/>
        </w:rPr>
        <w:t>, 104–108. https://doi.org/10.1016/j.envsci.2014.10.002</w:t>
      </w:r>
    </w:p>
    <w:p w14:paraId="7D74A072"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Agamuthu, P., Mehran, S., Norkhairah, A., &amp; Norkhairiyah, A. (2019). Marine debris: A review of impacts and global initiatives. </w:t>
      </w:r>
      <w:r w:rsidRPr="00E25215">
        <w:rPr>
          <w:rFonts w:cs="Times New Roman"/>
          <w:i/>
          <w:iCs/>
        </w:rPr>
        <w:t>Waste Management &amp; Research</w:t>
      </w:r>
      <w:r w:rsidRPr="00E25215">
        <w:rPr>
          <w:rFonts w:cs="Times New Roman"/>
        </w:rPr>
        <w:t xml:space="preserve">, </w:t>
      </w:r>
      <w:r w:rsidRPr="00E25215">
        <w:rPr>
          <w:rFonts w:cs="Times New Roman"/>
          <w:i/>
          <w:iCs/>
        </w:rPr>
        <w:t>37</w:t>
      </w:r>
      <w:r w:rsidRPr="00E25215">
        <w:rPr>
          <w:rFonts w:cs="Times New Roman"/>
        </w:rPr>
        <w:t>(10), 987–1002. https://doi.org/10.1177/0734242X19845041</w:t>
      </w:r>
    </w:p>
    <w:p w14:paraId="7E3C35D6"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Aguirre-Acosta, N., Kowaljow, E., &amp; Aguilar, R. (2014). Reproductive performance of the invasive tree </w:t>
      </w:r>
      <w:r w:rsidRPr="00E25215">
        <w:rPr>
          <w:rFonts w:cs="Times New Roman"/>
          <w:i/>
          <w:iCs/>
        </w:rPr>
        <w:t>Ligustrum lucidum</w:t>
      </w:r>
      <w:r w:rsidRPr="00E25215">
        <w:rPr>
          <w:rFonts w:cs="Times New Roman"/>
        </w:rPr>
        <w:t xml:space="preserve"> in a subtropical dry forest: Does habitat fragmentation boost or limit invasion? </w:t>
      </w:r>
      <w:r w:rsidRPr="00E25215">
        <w:rPr>
          <w:rFonts w:cs="Times New Roman"/>
          <w:i/>
          <w:iCs/>
        </w:rPr>
        <w:t>Biological Invasions</w:t>
      </w:r>
      <w:r w:rsidRPr="00E25215">
        <w:rPr>
          <w:rFonts w:cs="Times New Roman"/>
        </w:rPr>
        <w:t xml:space="preserve">, </w:t>
      </w:r>
      <w:r w:rsidRPr="00E25215">
        <w:rPr>
          <w:rFonts w:cs="Times New Roman"/>
          <w:i/>
          <w:iCs/>
        </w:rPr>
        <w:t>16</w:t>
      </w:r>
      <w:r w:rsidRPr="00E25215">
        <w:rPr>
          <w:rFonts w:cs="Times New Roman"/>
        </w:rPr>
        <w:t>(7), 1397–1410. https://doi.org/10.1007/s10530-013-0577-x</w:t>
      </w:r>
    </w:p>
    <w:p w14:paraId="66EA5FD5"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Aieta, A., &amp; Oliveira, K. (2009). Distribution, prevalence, and intensity of the swim bladder parasite </w:t>
      </w:r>
      <w:r w:rsidRPr="00E25215">
        <w:rPr>
          <w:rFonts w:cs="Times New Roman"/>
          <w:i/>
          <w:iCs/>
        </w:rPr>
        <w:t>Anguillicola crassus</w:t>
      </w:r>
      <w:r w:rsidRPr="00E25215">
        <w:rPr>
          <w:rFonts w:cs="Times New Roman"/>
        </w:rPr>
        <w:t xml:space="preserve"> in New England and eastern Canada. </w:t>
      </w:r>
      <w:r w:rsidRPr="00E25215">
        <w:rPr>
          <w:rFonts w:cs="Times New Roman"/>
          <w:i/>
          <w:iCs/>
        </w:rPr>
        <w:t>Diseases of Aquatic Organisms</w:t>
      </w:r>
      <w:r w:rsidRPr="00E25215">
        <w:rPr>
          <w:rFonts w:cs="Times New Roman"/>
        </w:rPr>
        <w:t xml:space="preserve">, </w:t>
      </w:r>
      <w:r w:rsidRPr="00E25215">
        <w:rPr>
          <w:rFonts w:cs="Times New Roman"/>
          <w:i/>
          <w:iCs/>
        </w:rPr>
        <w:t>84</w:t>
      </w:r>
      <w:r w:rsidRPr="00E25215">
        <w:rPr>
          <w:rFonts w:cs="Times New Roman"/>
        </w:rPr>
        <w:t>, 229–235. https://doi.org/10.3354/dao02049</w:t>
      </w:r>
    </w:p>
    <w:p w14:paraId="486B496B"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Airoldi, L., Turon, X., Perkol-Finkel, S., &amp; Rius, M. (2015). Corridors for aliens but not for natives: Effects of marine urban sprawl at a regional scale. </w:t>
      </w:r>
      <w:r w:rsidRPr="00E25215">
        <w:rPr>
          <w:rFonts w:cs="Times New Roman"/>
          <w:i/>
          <w:iCs/>
        </w:rPr>
        <w:t>Diversity and Distributions</w:t>
      </w:r>
      <w:r w:rsidRPr="00E25215">
        <w:rPr>
          <w:rFonts w:cs="Times New Roman"/>
        </w:rPr>
        <w:t xml:space="preserve">, </w:t>
      </w:r>
      <w:r w:rsidRPr="00E25215">
        <w:rPr>
          <w:rFonts w:cs="Times New Roman"/>
          <w:i/>
          <w:iCs/>
        </w:rPr>
        <w:t>21</w:t>
      </w:r>
      <w:r w:rsidRPr="00E25215">
        <w:rPr>
          <w:rFonts w:cs="Times New Roman"/>
        </w:rPr>
        <w:t>(7), 755–768. https://doi.org/10.1111/ddi.12301</w:t>
      </w:r>
    </w:p>
    <w:p w14:paraId="56EC5BF2" w14:textId="77777777" w:rsidR="001379C0" w:rsidRPr="00E25215" w:rsidRDefault="001379C0" w:rsidP="009B3E7F">
      <w:pPr>
        <w:pStyle w:val="Bibliography"/>
        <w:spacing w:before="0" w:after="0" w:line="240" w:lineRule="auto"/>
        <w:rPr>
          <w:rFonts w:cs="Times New Roman"/>
        </w:rPr>
      </w:pPr>
      <w:r w:rsidRPr="00E25215">
        <w:rPr>
          <w:rFonts w:cs="Times New Roman"/>
        </w:rPr>
        <w:t>Aizen, M. A., Morales, C. L., Vázquez, D. P., Garibaldi, L. A., Sáez, A., &amp; Harder, L. D. (2014). When mutualism goes bad: Density</w:t>
      </w:r>
      <w:r w:rsidRPr="00E25215">
        <w:rPr>
          <w:rFonts w:cs="Times New Roman" w:hint="eastAsia"/>
        </w:rPr>
        <w:t>‐</w:t>
      </w:r>
      <w:r w:rsidRPr="00E25215">
        <w:rPr>
          <w:rFonts w:cs="Times New Roman"/>
        </w:rPr>
        <w:t xml:space="preserve">dependent impacts of introduced bees on plant reproduction. </w:t>
      </w:r>
      <w:r w:rsidRPr="00E25215">
        <w:rPr>
          <w:rFonts w:cs="Times New Roman"/>
          <w:i/>
          <w:iCs/>
        </w:rPr>
        <w:t>New Phytologist</w:t>
      </w:r>
      <w:r w:rsidRPr="00E25215">
        <w:rPr>
          <w:rFonts w:cs="Times New Roman"/>
        </w:rPr>
        <w:t xml:space="preserve">, </w:t>
      </w:r>
      <w:r w:rsidRPr="00E25215">
        <w:rPr>
          <w:rFonts w:cs="Times New Roman"/>
          <w:i/>
          <w:iCs/>
        </w:rPr>
        <w:t>204</w:t>
      </w:r>
      <w:r w:rsidRPr="00E25215">
        <w:rPr>
          <w:rFonts w:cs="Times New Roman"/>
        </w:rPr>
        <w:t>(2), 322–328. https://doi.org/10.1111/nph.12924</w:t>
      </w:r>
    </w:p>
    <w:p w14:paraId="44903718" w14:textId="77777777" w:rsidR="001379C0" w:rsidRPr="00E25215" w:rsidRDefault="001379C0" w:rsidP="009B3E7F">
      <w:pPr>
        <w:pStyle w:val="Bibliography"/>
        <w:spacing w:before="0" w:after="0" w:line="240" w:lineRule="auto"/>
        <w:rPr>
          <w:rFonts w:cs="Times New Roman"/>
        </w:rPr>
      </w:pPr>
      <w:r w:rsidRPr="00E25215">
        <w:rPr>
          <w:rFonts w:cs="Times New Roman"/>
        </w:rPr>
        <w:t>Aizen, M. A., Smith</w:t>
      </w:r>
      <w:r w:rsidRPr="00E25215">
        <w:rPr>
          <w:rFonts w:cs="Times New Roman" w:hint="eastAsia"/>
        </w:rPr>
        <w:t>‐</w:t>
      </w:r>
      <w:r w:rsidRPr="00E25215">
        <w:rPr>
          <w:rFonts w:cs="Times New Roman"/>
        </w:rPr>
        <w:t>Ramírez, C., Morales, C. L., Vieli, L., Sáez, A., Barahona</w:t>
      </w:r>
      <w:r w:rsidRPr="00E25215">
        <w:rPr>
          <w:rFonts w:cs="Times New Roman" w:hint="eastAsia"/>
        </w:rPr>
        <w:t>‐</w:t>
      </w:r>
      <w:r w:rsidRPr="00E25215">
        <w:rPr>
          <w:rFonts w:cs="Times New Roman"/>
        </w:rPr>
        <w:t xml:space="preserve">Segovia, R. M., Arbetman, M. P., Montalva, J., Garibaldi, L. A., Inouye, D. W., &amp; Harder, L. D. (2019). Coordinated species importation policies are needed to reduce serious invasions globally: The case of alien bumblebees in South America. </w:t>
      </w:r>
      <w:r w:rsidRPr="00E25215">
        <w:rPr>
          <w:rFonts w:cs="Times New Roman"/>
          <w:i/>
          <w:iCs/>
        </w:rPr>
        <w:t>Journal of Applied Ecology</w:t>
      </w:r>
      <w:r w:rsidRPr="00E25215">
        <w:rPr>
          <w:rFonts w:cs="Times New Roman"/>
        </w:rPr>
        <w:t xml:space="preserve">, </w:t>
      </w:r>
      <w:r w:rsidRPr="00E25215">
        <w:rPr>
          <w:rFonts w:cs="Times New Roman"/>
          <w:i/>
          <w:iCs/>
        </w:rPr>
        <w:t>56</w:t>
      </w:r>
      <w:r w:rsidRPr="00E25215">
        <w:rPr>
          <w:rFonts w:cs="Times New Roman"/>
        </w:rPr>
        <w:t>(1), 100–106. https://doi.org/10.1111/1365-2664.13121</w:t>
      </w:r>
    </w:p>
    <w:p w14:paraId="6B9E67F0"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Aketarawong, N., Isasawin, S., Sojikul, P., &amp; Thanaphum, S. (2015). Gene flow and genetic structure of </w:t>
      </w:r>
      <w:r w:rsidRPr="00E25215">
        <w:rPr>
          <w:rFonts w:cs="Times New Roman"/>
          <w:i/>
          <w:iCs/>
        </w:rPr>
        <w:t>Bactrocera carambolae</w:t>
      </w:r>
      <w:r w:rsidRPr="00E25215">
        <w:rPr>
          <w:rFonts w:cs="Times New Roman"/>
        </w:rPr>
        <w:t xml:space="preserve"> (Diptera, Tephritidae) among geographical differences and sister species, </w:t>
      </w:r>
      <w:r w:rsidRPr="00E25215">
        <w:rPr>
          <w:rFonts w:cs="Times New Roman"/>
          <w:i/>
          <w:iCs/>
        </w:rPr>
        <w:t>B. dorsalis</w:t>
      </w:r>
      <w:r w:rsidRPr="00E25215">
        <w:rPr>
          <w:rFonts w:cs="Times New Roman"/>
        </w:rPr>
        <w:t xml:space="preserve">, inferred from microsatellite DNA data. </w:t>
      </w:r>
      <w:r w:rsidRPr="00E25215">
        <w:rPr>
          <w:rFonts w:cs="Times New Roman"/>
          <w:i/>
          <w:iCs/>
        </w:rPr>
        <w:t>ZooKeys</w:t>
      </w:r>
      <w:r w:rsidRPr="00E25215">
        <w:rPr>
          <w:rFonts w:cs="Times New Roman"/>
        </w:rPr>
        <w:t xml:space="preserve">, </w:t>
      </w:r>
      <w:r w:rsidRPr="00E25215">
        <w:rPr>
          <w:rFonts w:cs="Times New Roman"/>
          <w:i/>
          <w:iCs/>
        </w:rPr>
        <w:t>540</w:t>
      </w:r>
      <w:r w:rsidRPr="00E25215">
        <w:rPr>
          <w:rFonts w:cs="Times New Roman"/>
        </w:rPr>
        <w:t>, 239–272. https://doi.org/10.3897/zookeys.540.10058</w:t>
      </w:r>
    </w:p>
    <w:p w14:paraId="37064252"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Alahuhta, J., Erős, T., Kärnä, O. M., Soininen, J., JianJun, W., &amp; Heino, J. (2019). Understanding environmental change through the lens of trait-based, functional, and phylogenetic biodiversity in freshwater ecosystems. </w:t>
      </w:r>
      <w:r w:rsidRPr="00E25215">
        <w:rPr>
          <w:rFonts w:cs="Times New Roman"/>
          <w:i/>
          <w:iCs/>
        </w:rPr>
        <w:t>Environmental Reviews</w:t>
      </w:r>
      <w:r w:rsidRPr="00E25215">
        <w:rPr>
          <w:rFonts w:cs="Times New Roman"/>
        </w:rPr>
        <w:t xml:space="preserve">, </w:t>
      </w:r>
      <w:r w:rsidRPr="00E25215">
        <w:rPr>
          <w:rFonts w:cs="Times New Roman"/>
          <w:i/>
          <w:iCs/>
        </w:rPr>
        <w:t>27</w:t>
      </w:r>
      <w:r w:rsidRPr="00E25215">
        <w:rPr>
          <w:rFonts w:cs="Times New Roman"/>
        </w:rPr>
        <w:t>(2), Article 2. https://doi.org/10.1139/er-2018-0071</w:t>
      </w:r>
    </w:p>
    <w:p w14:paraId="062B1F6E"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Al-Assaf, A., Tadros, M. J., Al-Shishany, S., Stewart, S., Majdalawi, M., Tabieh, M., &amp; Othman, Y. A. (2020). Economic Assessment and Community Management of </w:t>
      </w:r>
      <w:r w:rsidRPr="00E25215">
        <w:rPr>
          <w:rFonts w:cs="Times New Roman"/>
          <w:i/>
          <w:iCs/>
        </w:rPr>
        <w:t>Prosopis juliflora</w:t>
      </w:r>
      <w:r w:rsidRPr="00E25215">
        <w:rPr>
          <w:rFonts w:cs="Times New Roman"/>
        </w:rPr>
        <w:t xml:space="preserve"> Invasion in Sweimeh Village, Jordan. </w:t>
      </w:r>
      <w:r w:rsidRPr="00E25215">
        <w:rPr>
          <w:rFonts w:cs="Times New Roman"/>
          <w:i/>
          <w:iCs/>
        </w:rPr>
        <w:t>Sustainability</w:t>
      </w:r>
      <w:r w:rsidRPr="00E25215">
        <w:rPr>
          <w:rFonts w:cs="Times New Roman"/>
        </w:rPr>
        <w:t xml:space="preserve">, </w:t>
      </w:r>
      <w:r w:rsidRPr="00E25215">
        <w:rPr>
          <w:rFonts w:cs="Times New Roman"/>
          <w:i/>
          <w:iCs/>
        </w:rPr>
        <w:t>12</w:t>
      </w:r>
      <w:r w:rsidRPr="00E25215">
        <w:rPr>
          <w:rFonts w:cs="Times New Roman"/>
        </w:rPr>
        <w:t>(20), Article 20. https://doi.org/10.3390/su12208327</w:t>
      </w:r>
    </w:p>
    <w:p w14:paraId="3F61780F" w14:textId="77777777" w:rsidR="001379C0" w:rsidRPr="00E25215" w:rsidRDefault="001379C0" w:rsidP="009B3E7F">
      <w:pPr>
        <w:pStyle w:val="Bibliography"/>
        <w:spacing w:before="0" w:after="0" w:line="240" w:lineRule="auto"/>
        <w:rPr>
          <w:rFonts w:cs="Times New Roman"/>
        </w:rPr>
      </w:pPr>
      <w:r w:rsidRPr="00E25215">
        <w:rPr>
          <w:rFonts w:cs="Times New Roman"/>
        </w:rPr>
        <w:lastRenderedPageBreak/>
        <w:t xml:space="preserve">Alba, C., Skálová, H., McGregor, K. F., D’Antonio, C., &amp; Pyšek, P. (2015). Native and exotic plant species respond differently to wildfire and prescribed fire as revealed by meta-analysis. </w:t>
      </w:r>
      <w:r w:rsidRPr="00E25215">
        <w:rPr>
          <w:rFonts w:cs="Times New Roman"/>
          <w:i/>
          <w:iCs/>
        </w:rPr>
        <w:t>Journal of Vegetation Science</w:t>
      </w:r>
      <w:r w:rsidRPr="00E25215">
        <w:rPr>
          <w:rFonts w:cs="Times New Roman"/>
        </w:rPr>
        <w:t xml:space="preserve">, </w:t>
      </w:r>
      <w:r w:rsidRPr="00E25215">
        <w:rPr>
          <w:rFonts w:cs="Times New Roman"/>
          <w:i/>
          <w:iCs/>
        </w:rPr>
        <w:t>26</w:t>
      </w:r>
      <w:r w:rsidRPr="00E25215">
        <w:rPr>
          <w:rFonts w:cs="Times New Roman"/>
        </w:rPr>
        <w:t>(1), 102–113. https://doi.org/10.1111/jvs.12212</w:t>
      </w:r>
    </w:p>
    <w:p w14:paraId="19479AAA" w14:textId="77777777" w:rsidR="001379C0" w:rsidRPr="00E25215" w:rsidRDefault="001379C0" w:rsidP="009B3E7F">
      <w:pPr>
        <w:pStyle w:val="Bibliography"/>
        <w:spacing w:before="0" w:after="0" w:line="240" w:lineRule="auto"/>
        <w:rPr>
          <w:rFonts w:cs="Times New Roman"/>
        </w:rPr>
      </w:pPr>
      <w:r w:rsidRPr="00E25215">
        <w:rPr>
          <w:rFonts w:cs="Times New Roman"/>
        </w:rPr>
        <w:t>Albuquerque, F. S., Macías-Rodríguez, M. Á., Búrquez, A., &amp; Astudillo-Scalia, Y. (2019). Climate change and the potential expansion of buffelgrass (</w:t>
      </w:r>
      <w:r w:rsidRPr="00E25215">
        <w:rPr>
          <w:rFonts w:cs="Times New Roman"/>
          <w:i/>
          <w:iCs/>
        </w:rPr>
        <w:t>Cenchrus ciliaris</w:t>
      </w:r>
      <w:r w:rsidRPr="00E25215">
        <w:rPr>
          <w:rFonts w:cs="Times New Roman"/>
        </w:rPr>
        <w:t xml:space="preserve"> L., Poaceae) in biotic communities of Southwest United States and northern Mexico. </w:t>
      </w:r>
      <w:r w:rsidRPr="00E25215">
        <w:rPr>
          <w:rFonts w:cs="Times New Roman"/>
          <w:i/>
          <w:iCs/>
        </w:rPr>
        <w:t>Biological Invasions</w:t>
      </w:r>
      <w:r w:rsidRPr="00E25215">
        <w:rPr>
          <w:rFonts w:cs="Times New Roman"/>
        </w:rPr>
        <w:t xml:space="preserve">, </w:t>
      </w:r>
      <w:r w:rsidRPr="00E25215">
        <w:rPr>
          <w:rFonts w:cs="Times New Roman"/>
          <w:i/>
          <w:iCs/>
        </w:rPr>
        <w:t>21</w:t>
      </w:r>
      <w:r w:rsidRPr="00E25215">
        <w:rPr>
          <w:rFonts w:cs="Times New Roman"/>
        </w:rPr>
        <w:t>(11), 3335–3347. https://doi.org/10.1007/s10530-019-02050-5</w:t>
      </w:r>
    </w:p>
    <w:p w14:paraId="6B051C9C"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Alexander, J. M., Kueffer, C., Daehler, C. C., Edwards, P. J., Pauchard, A., Seipel, T., &amp; MIREN Consortium. (2011). Assembly of nonnative floras along elevational gradients explained by directional ecological filtering. </w:t>
      </w:r>
      <w:r w:rsidRPr="00E25215">
        <w:rPr>
          <w:rFonts w:cs="Times New Roman"/>
          <w:i/>
          <w:iCs/>
        </w:rPr>
        <w:t>Proceedings of the National Academy of Sciences</w:t>
      </w:r>
      <w:r w:rsidRPr="00E25215">
        <w:rPr>
          <w:rFonts w:cs="Times New Roman"/>
        </w:rPr>
        <w:t xml:space="preserve">, </w:t>
      </w:r>
      <w:r w:rsidRPr="00E25215">
        <w:rPr>
          <w:rFonts w:cs="Times New Roman"/>
          <w:i/>
          <w:iCs/>
        </w:rPr>
        <w:t>108</w:t>
      </w:r>
      <w:r w:rsidRPr="00E25215">
        <w:rPr>
          <w:rFonts w:cs="Times New Roman"/>
        </w:rPr>
        <w:t>(2), 656–661. https://doi.org/10.1073/pnas.1013136108</w:t>
      </w:r>
    </w:p>
    <w:p w14:paraId="3E2776FF"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Alexander, J. M., Lembrechts, J. J., Cavieres, L. A., Daehler, C., Haider, S., Kueffer, C., Liu, G., McDougall, K., Milbau, A., Pauchard, A., Rew, L. J., &amp; Seipel, T. (2016). Plant invasions into mountains and alpine ecosystems: Current status and future challenges. </w:t>
      </w:r>
      <w:r w:rsidRPr="00E25215">
        <w:rPr>
          <w:rFonts w:cs="Times New Roman"/>
          <w:i/>
          <w:iCs/>
        </w:rPr>
        <w:t>Alpine Botany</w:t>
      </w:r>
      <w:r w:rsidRPr="00E25215">
        <w:rPr>
          <w:rFonts w:cs="Times New Roman"/>
        </w:rPr>
        <w:t xml:space="preserve">, </w:t>
      </w:r>
      <w:r w:rsidRPr="00E25215">
        <w:rPr>
          <w:rFonts w:cs="Times New Roman"/>
          <w:i/>
          <w:iCs/>
        </w:rPr>
        <w:t>126</w:t>
      </w:r>
      <w:r w:rsidRPr="00E25215">
        <w:rPr>
          <w:rFonts w:cs="Times New Roman"/>
        </w:rPr>
        <w:t>(2), 89–103. https://doi.org/10.1007/s00035-016-0172-8</w:t>
      </w:r>
    </w:p>
    <w:p w14:paraId="0B0CE4E3"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Ali, S. H., Giurco, D., Arndt, N., Nickless, E., Brown, G., Demetriades, A., Durrheim, R., Enriquez, M. A., Kinnaird, J., Littleboy, A., Meinert, L. D., Oberhänsli, R., Salem, J., Schodde, R., Schneider, G., Vidal, O., &amp; Yakovleva, N. (2017). Mineral supply for sustainable development requires resource governance. </w:t>
      </w:r>
      <w:r w:rsidRPr="00E25215">
        <w:rPr>
          <w:rFonts w:cs="Times New Roman"/>
          <w:i/>
          <w:iCs/>
        </w:rPr>
        <w:t>Nature</w:t>
      </w:r>
      <w:r w:rsidRPr="00E25215">
        <w:rPr>
          <w:rFonts w:cs="Times New Roman"/>
        </w:rPr>
        <w:t xml:space="preserve">, </w:t>
      </w:r>
      <w:r w:rsidRPr="00E25215">
        <w:rPr>
          <w:rFonts w:cs="Times New Roman"/>
          <w:i/>
          <w:iCs/>
        </w:rPr>
        <w:t>543</w:t>
      </w:r>
      <w:r w:rsidRPr="00E25215">
        <w:rPr>
          <w:rFonts w:cs="Times New Roman"/>
        </w:rPr>
        <w:t>(7645), Article 7645. https://doi.org/10.1038/nature21359</w:t>
      </w:r>
    </w:p>
    <w:p w14:paraId="08B5A08D"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Aliani, S., &amp; Molcard, A. (2003). Hitch-hiking on floating marine debris: Macrobenthic species in the Western Mediterranean Sea. </w:t>
      </w:r>
      <w:r w:rsidRPr="00E25215">
        <w:rPr>
          <w:rFonts w:cs="Times New Roman"/>
          <w:i/>
          <w:iCs/>
        </w:rPr>
        <w:t>Hydrobiologia</w:t>
      </w:r>
      <w:r w:rsidRPr="00E25215">
        <w:rPr>
          <w:rFonts w:cs="Times New Roman"/>
        </w:rPr>
        <w:t xml:space="preserve">, </w:t>
      </w:r>
      <w:r w:rsidRPr="00E25215">
        <w:rPr>
          <w:rFonts w:cs="Times New Roman"/>
          <w:i/>
          <w:iCs/>
        </w:rPr>
        <w:t>503</w:t>
      </w:r>
      <w:r w:rsidRPr="00E25215">
        <w:rPr>
          <w:rFonts w:cs="Times New Roman"/>
        </w:rPr>
        <w:t>(1–3), 59–67. https://doi.org/10.1023/B:HYDR.0000008480.95045.26</w:t>
      </w:r>
    </w:p>
    <w:p w14:paraId="3ADCEAA9"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Allen, J. M., Leininger, T. J., Hurd, J. D., Civco, D. L., Gelfand, A. E., &amp; Silander, J. A. (2013). Socioeconomics drive woody invasive plant richness in New England, USA through forest fragmentation. </w:t>
      </w:r>
      <w:r w:rsidRPr="00E25215">
        <w:rPr>
          <w:rFonts w:cs="Times New Roman"/>
          <w:i/>
          <w:iCs/>
        </w:rPr>
        <w:t>Landscape Ecology</w:t>
      </w:r>
      <w:r w:rsidRPr="00E25215">
        <w:rPr>
          <w:rFonts w:cs="Times New Roman"/>
        </w:rPr>
        <w:t xml:space="preserve">, </w:t>
      </w:r>
      <w:r w:rsidRPr="00E25215">
        <w:rPr>
          <w:rFonts w:cs="Times New Roman"/>
          <w:i/>
          <w:iCs/>
        </w:rPr>
        <w:t>28</w:t>
      </w:r>
      <w:r w:rsidRPr="00E25215">
        <w:rPr>
          <w:rFonts w:cs="Times New Roman"/>
        </w:rPr>
        <w:t>(9), 1671–1686. https://doi.org/10.1007/s10980-013-9916-7</w:t>
      </w:r>
    </w:p>
    <w:p w14:paraId="48231A07"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Alofs, K. M., &amp; Jackson, D. A. (2014). Meta-analysis suggests biotic resistance in freshwater environments is driven by consumption rather than competition. </w:t>
      </w:r>
      <w:r w:rsidRPr="00E25215">
        <w:rPr>
          <w:rFonts w:cs="Times New Roman"/>
          <w:i/>
          <w:iCs/>
        </w:rPr>
        <w:t>Ecology</w:t>
      </w:r>
      <w:r w:rsidRPr="00E25215">
        <w:rPr>
          <w:rFonts w:cs="Times New Roman"/>
        </w:rPr>
        <w:t xml:space="preserve">, </w:t>
      </w:r>
      <w:r w:rsidRPr="00E25215">
        <w:rPr>
          <w:rFonts w:cs="Times New Roman"/>
          <w:i/>
          <w:iCs/>
        </w:rPr>
        <w:t>95</w:t>
      </w:r>
      <w:r w:rsidRPr="00E25215">
        <w:rPr>
          <w:rFonts w:cs="Times New Roman"/>
        </w:rPr>
        <w:t>(12), 3259–3270. https://doi.org/10.1890/14-0060.1</w:t>
      </w:r>
    </w:p>
    <w:p w14:paraId="05AA6712"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Aloo, P. A., Njiru, J., Balirwa, J. S., &amp; Nyamweya, C. S. (2017). Impacts of Nile Perch, </w:t>
      </w:r>
      <w:r w:rsidRPr="00E25215">
        <w:rPr>
          <w:rFonts w:cs="Times New Roman"/>
          <w:i/>
          <w:iCs/>
        </w:rPr>
        <w:t>Lates niloticus</w:t>
      </w:r>
      <w:r w:rsidRPr="00E25215">
        <w:rPr>
          <w:rFonts w:cs="Times New Roman"/>
        </w:rPr>
        <w:t xml:space="preserve">, introduction on the ecology, economy and conservation of Lake Victoria, East Africa. </w:t>
      </w:r>
      <w:r w:rsidRPr="00E25215">
        <w:rPr>
          <w:rFonts w:cs="Times New Roman"/>
          <w:i/>
          <w:iCs/>
        </w:rPr>
        <w:t>Lakes &amp; Reservoirs: Science, Policy and Management for Sustainable Use</w:t>
      </w:r>
      <w:r w:rsidRPr="00E25215">
        <w:rPr>
          <w:rFonts w:cs="Times New Roman"/>
        </w:rPr>
        <w:t xml:space="preserve">, </w:t>
      </w:r>
      <w:r w:rsidRPr="00E25215">
        <w:rPr>
          <w:rFonts w:cs="Times New Roman"/>
          <w:i/>
          <w:iCs/>
        </w:rPr>
        <w:t>22</w:t>
      </w:r>
      <w:r w:rsidRPr="00E25215">
        <w:rPr>
          <w:rFonts w:cs="Times New Roman"/>
        </w:rPr>
        <w:t>(4), 320–333. https://doi.org/10.1111/lre.12192</w:t>
      </w:r>
    </w:p>
    <w:p w14:paraId="7540DFEC"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Altamirano, A., Cely, J. P., Etter, A., Miranda, A., Fuentes-Ramirez, A., Acevedo, P., Salas, C., &amp; Vargas, R. (2016). The invasive species </w:t>
      </w:r>
      <w:r w:rsidRPr="00E25215">
        <w:rPr>
          <w:rFonts w:cs="Times New Roman"/>
          <w:i/>
          <w:iCs/>
        </w:rPr>
        <w:t>Ulex europaeus</w:t>
      </w:r>
      <w:r w:rsidRPr="00E25215">
        <w:rPr>
          <w:rFonts w:cs="Times New Roman"/>
        </w:rPr>
        <w:t xml:space="preserve"> (Fabaceae) shows high dynamism in a fragmented landscape of south-central Chile. </w:t>
      </w:r>
      <w:r w:rsidRPr="00E25215">
        <w:rPr>
          <w:rFonts w:cs="Times New Roman"/>
          <w:i/>
          <w:iCs/>
        </w:rPr>
        <w:t>Environmental Monitoring and Assessment</w:t>
      </w:r>
      <w:r w:rsidRPr="00E25215">
        <w:rPr>
          <w:rFonts w:cs="Times New Roman"/>
        </w:rPr>
        <w:t xml:space="preserve">, </w:t>
      </w:r>
      <w:r w:rsidRPr="00E25215">
        <w:rPr>
          <w:rFonts w:cs="Times New Roman"/>
          <w:i/>
          <w:iCs/>
        </w:rPr>
        <w:t>188</w:t>
      </w:r>
      <w:r w:rsidRPr="00E25215">
        <w:rPr>
          <w:rFonts w:cs="Times New Roman"/>
        </w:rPr>
        <w:t>(8), 495. https://doi.org/10.1007/s10661-016-5498-6</w:t>
      </w:r>
    </w:p>
    <w:p w14:paraId="54DB5E63"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Amanor, K. S. (1991). Managing the Fallow: Weeding Technology and Environmental Knowledge in the Krobo District of Ghana. </w:t>
      </w:r>
      <w:r w:rsidRPr="00E25215">
        <w:rPr>
          <w:rFonts w:cs="Times New Roman"/>
          <w:i/>
          <w:iCs/>
        </w:rPr>
        <w:t>Agriculture and Human Values</w:t>
      </w:r>
      <w:r w:rsidRPr="00E25215">
        <w:rPr>
          <w:rFonts w:cs="Times New Roman"/>
        </w:rPr>
        <w:t xml:space="preserve">, </w:t>
      </w:r>
      <w:r w:rsidRPr="00E25215">
        <w:rPr>
          <w:rFonts w:cs="Times New Roman"/>
          <w:i/>
          <w:iCs/>
        </w:rPr>
        <w:t>8</w:t>
      </w:r>
      <w:r w:rsidRPr="00E25215">
        <w:rPr>
          <w:rFonts w:cs="Times New Roman"/>
        </w:rPr>
        <w:t>(1–2), 5–13. https://doi.org/10.1007/BF01579651</w:t>
      </w:r>
    </w:p>
    <w:p w14:paraId="7EC0ED54"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An, S. Q., Gu, B. H., Zhou, C. F., Wang, Z. S., Deng, Z. F., Zhi, Y. B., Li, H. L., Chen, L., Yu, D. H., &amp; Liu, Y. H. (2007). </w:t>
      </w:r>
      <w:r w:rsidRPr="00E25215">
        <w:rPr>
          <w:rFonts w:cs="Times New Roman"/>
          <w:i/>
          <w:iCs/>
        </w:rPr>
        <w:t>Spartina</w:t>
      </w:r>
      <w:r w:rsidRPr="00E25215">
        <w:rPr>
          <w:rFonts w:cs="Times New Roman"/>
        </w:rPr>
        <w:t xml:space="preserve"> invasion in China: Implications for invasive species management and future research. </w:t>
      </w:r>
      <w:r w:rsidRPr="00E25215">
        <w:rPr>
          <w:rFonts w:cs="Times New Roman"/>
          <w:i/>
          <w:iCs/>
        </w:rPr>
        <w:t>Weed Research</w:t>
      </w:r>
      <w:r w:rsidRPr="00E25215">
        <w:rPr>
          <w:rFonts w:cs="Times New Roman"/>
        </w:rPr>
        <w:t xml:space="preserve">, </w:t>
      </w:r>
      <w:r w:rsidRPr="00E25215">
        <w:rPr>
          <w:rFonts w:cs="Times New Roman"/>
          <w:i/>
          <w:iCs/>
        </w:rPr>
        <w:t>47</w:t>
      </w:r>
      <w:r w:rsidRPr="00E25215">
        <w:rPr>
          <w:rFonts w:cs="Times New Roman"/>
        </w:rPr>
        <w:t>(3), 183–191. https://doi.org/10.1111/j.1365-3180.2007.00559.x</w:t>
      </w:r>
    </w:p>
    <w:p w14:paraId="4A5DA8E6"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Anderson, L. G., Rocliffe, S., Haddaway, N. R., &amp; Dunn, A. M. (2015). The Role of Tourism and Recreation in the Spread of Non-Native Species: A Systematic Review and Meta-Analysis. </w:t>
      </w:r>
      <w:r w:rsidRPr="00E25215">
        <w:rPr>
          <w:rFonts w:cs="Times New Roman"/>
          <w:i/>
          <w:iCs/>
        </w:rPr>
        <w:t>PLoS ONE</w:t>
      </w:r>
      <w:r w:rsidRPr="00E25215">
        <w:rPr>
          <w:rFonts w:cs="Times New Roman"/>
        </w:rPr>
        <w:t xml:space="preserve">, </w:t>
      </w:r>
      <w:r w:rsidRPr="00E25215">
        <w:rPr>
          <w:rFonts w:cs="Times New Roman"/>
          <w:i/>
          <w:iCs/>
        </w:rPr>
        <w:t>10</w:t>
      </w:r>
      <w:r w:rsidRPr="00E25215">
        <w:rPr>
          <w:rFonts w:cs="Times New Roman"/>
        </w:rPr>
        <w:t>(10), e0140833. https://doi.org/10.1371/journal.pone.0140833</w:t>
      </w:r>
    </w:p>
    <w:p w14:paraId="0625634A"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Anderson, P. K., Cunningham, A. A., Patel, N. G., Morales, F. J., Epstein, P. R., &amp; Daszak, P. (2004). Emerging infectious diseases of plants: Pathogen pollution, climate change and agrotechnology drivers. </w:t>
      </w:r>
      <w:r w:rsidRPr="00E25215">
        <w:rPr>
          <w:rFonts w:cs="Times New Roman"/>
          <w:i/>
          <w:iCs/>
        </w:rPr>
        <w:t>Trends in Ecology &amp; Evolution</w:t>
      </w:r>
      <w:r w:rsidRPr="00E25215">
        <w:rPr>
          <w:rFonts w:cs="Times New Roman"/>
        </w:rPr>
        <w:t xml:space="preserve">, </w:t>
      </w:r>
      <w:r w:rsidRPr="00E25215">
        <w:rPr>
          <w:rFonts w:cs="Times New Roman"/>
          <w:i/>
          <w:iCs/>
        </w:rPr>
        <w:t>19</w:t>
      </w:r>
      <w:r w:rsidRPr="00E25215">
        <w:rPr>
          <w:rFonts w:cs="Times New Roman"/>
        </w:rPr>
        <w:t>(10), 535–544. https://doi.org/10.1016/j.tree.2004.07.021</w:t>
      </w:r>
    </w:p>
    <w:p w14:paraId="635EB84A" w14:textId="77777777" w:rsidR="001379C0" w:rsidRPr="00E25215" w:rsidRDefault="001379C0" w:rsidP="009B3E7F">
      <w:pPr>
        <w:pStyle w:val="Bibliography"/>
        <w:spacing w:before="0" w:after="0" w:line="240" w:lineRule="auto"/>
        <w:rPr>
          <w:rFonts w:cs="Times New Roman"/>
        </w:rPr>
      </w:pPr>
      <w:r w:rsidRPr="00E25215">
        <w:rPr>
          <w:rFonts w:cs="Times New Roman"/>
        </w:rPr>
        <w:lastRenderedPageBreak/>
        <w:t xml:space="preserve">Andraca-Gómez, G., Ordano, M., Boege, K., Domínguez, C. A., Piñero, D., Pérez-Ishiwara, Pérez-Camacho, J., Cañizares, M., &amp; Fornoni, J. (2015). A potential invasion route of </w:t>
      </w:r>
      <w:r w:rsidRPr="00E25215">
        <w:rPr>
          <w:rFonts w:cs="Times New Roman"/>
          <w:i/>
          <w:iCs/>
        </w:rPr>
        <w:t>Cactoblastis cactorum</w:t>
      </w:r>
      <w:r w:rsidRPr="00E25215">
        <w:rPr>
          <w:rFonts w:cs="Times New Roman"/>
        </w:rPr>
        <w:t xml:space="preserve"> within the Caribbean region matches historical hurricane trajectories. </w:t>
      </w:r>
      <w:r w:rsidRPr="00E25215">
        <w:rPr>
          <w:rFonts w:cs="Times New Roman"/>
          <w:i/>
          <w:iCs/>
        </w:rPr>
        <w:t>Biological Invasions</w:t>
      </w:r>
      <w:r w:rsidRPr="00E25215">
        <w:rPr>
          <w:rFonts w:cs="Times New Roman"/>
        </w:rPr>
        <w:t xml:space="preserve">, </w:t>
      </w:r>
      <w:r w:rsidRPr="00E25215">
        <w:rPr>
          <w:rFonts w:cs="Times New Roman"/>
          <w:i/>
          <w:iCs/>
        </w:rPr>
        <w:t>17</w:t>
      </w:r>
      <w:r w:rsidRPr="00E25215">
        <w:rPr>
          <w:rFonts w:cs="Times New Roman"/>
        </w:rPr>
        <w:t>(5), 1397–1406. https://doi.org/10.1007/s10530-014-0802-2</w:t>
      </w:r>
    </w:p>
    <w:p w14:paraId="43D0E7BE" w14:textId="77777777" w:rsidR="001379C0" w:rsidRPr="00E25215" w:rsidRDefault="001379C0" w:rsidP="009B3E7F">
      <w:pPr>
        <w:pStyle w:val="Bibliography"/>
        <w:spacing w:before="0" w:after="0" w:line="240" w:lineRule="auto"/>
        <w:rPr>
          <w:rFonts w:cs="Times New Roman"/>
        </w:rPr>
      </w:pPr>
      <w:r w:rsidRPr="00E25215">
        <w:rPr>
          <w:rFonts w:cs="Times New Roman"/>
        </w:rPr>
        <w:t>Andrews, J. D. (1984). Epizootiology of diseases of oysters (</w:t>
      </w:r>
      <w:r w:rsidRPr="00E25215">
        <w:rPr>
          <w:rFonts w:cs="Times New Roman"/>
          <w:i/>
          <w:iCs/>
        </w:rPr>
        <w:t>Crassostrea virginica</w:t>
      </w:r>
      <w:r w:rsidRPr="00E25215">
        <w:rPr>
          <w:rFonts w:cs="Times New Roman"/>
        </w:rPr>
        <w:t xml:space="preserve">), and parasites of associated organisms in eastern North America. </w:t>
      </w:r>
      <w:r w:rsidRPr="00E25215">
        <w:rPr>
          <w:rFonts w:cs="Times New Roman"/>
          <w:i/>
          <w:iCs/>
        </w:rPr>
        <w:t>Helgoländer Meeresuntersuchungen</w:t>
      </w:r>
      <w:r w:rsidRPr="00E25215">
        <w:rPr>
          <w:rFonts w:cs="Times New Roman"/>
        </w:rPr>
        <w:t xml:space="preserve">, </w:t>
      </w:r>
      <w:r w:rsidRPr="00E25215">
        <w:rPr>
          <w:rFonts w:cs="Times New Roman"/>
          <w:i/>
          <w:iCs/>
        </w:rPr>
        <w:t>37</w:t>
      </w:r>
      <w:r w:rsidRPr="00E25215">
        <w:rPr>
          <w:rFonts w:cs="Times New Roman"/>
        </w:rPr>
        <w:t>(149–166). https://doi.org/10.1007/BF01989300</w:t>
      </w:r>
    </w:p>
    <w:p w14:paraId="40573D57"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Andriantsoa, R., Jones, J. P. G., Achimescu, V., Randrianarison, H., Raselimanana, M., Andriatsitohaina, M., Rasamy, J., &amp; Lyko, F. (2020). Perceived socio-economic impacts of the marbled crayfish invasion in Madagascar. </w:t>
      </w:r>
      <w:r w:rsidRPr="00E25215">
        <w:rPr>
          <w:rFonts w:cs="Times New Roman"/>
          <w:i/>
          <w:iCs/>
        </w:rPr>
        <w:t>PLOS ONE</w:t>
      </w:r>
      <w:r w:rsidRPr="00E25215">
        <w:rPr>
          <w:rFonts w:cs="Times New Roman"/>
        </w:rPr>
        <w:t xml:space="preserve">, </w:t>
      </w:r>
      <w:r w:rsidRPr="00E25215">
        <w:rPr>
          <w:rFonts w:cs="Times New Roman"/>
          <w:i/>
          <w:iCs/>
        </w:rPr>
        <w:t>15</w:t>
      </w:r>
      <w:r w:rsidRPr="00E25215">
        <w:rPr>
          <w:rFonts w:cs="Times New Roman"/>
        </w:rPr>
        <w:t>(4), e0231773. https://doi.org/10.1371/journal.pone.0231773</w:t>
      </w:r>
    </w:p>
    <w:p w14:paraId="6DD8F9DC"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Angelo, C. L., &amp; Daehler, C. C. (2013). Upward expansion of fire-adapted grasses along a warming tropical elevation gradient. </w:t>
      </w:r>
      <w:r w:rsidRPr="00E25215">
        <w:rPr>
          <w:rFonts w:cs="Times New Roman"/>
          <w:i/>
          <w:iCs/>
        </w:rPr>
        <w:t>Ecography</w:t>
      </w:r>
      <w:r w:rsidRPr="00E25215">
        <w:rPr>
          <w:rFonts w:cs="Times New Roman"/>
        </w:rPr>
        <w:t xml:space="preserve">, </w:t>
      </w:r>
      <w:r w:rsidRPr="00E25215">
        <w:rPr>
          <w:rFonts w:cs="Times New Roman"/>
          <w:i/>
          <w:iCs/>
        </w:rPr>
        <w:t>36</w:t>
      </w:r>
      <w:r w:rsidRPr="00E25215">
        <w:rPr>
          <w:rFonts w:cs="Times New Roman"/>
        </w:rPr>
        <w:t>(5), 551–559. https://doi.org/10.1111/j.1600-0587.2012.07754.x</w:t>
      </w:r>
    </w:p>
    <w:p w14:paraId="37F66329"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Anufriieva, E. V., &amp; Shadrin, N. V. (2018). Extreme hydrological events destabilize aquatic ecosystems and open doors for alien species. </w:t>
      </w:r>
      <w:r w:rsidRPr="00E25215">
        <w:rPr>
          <w:rFonts w:cs="Times New Roman"/>
          <w:i/>
          <w:iCs/>
        </w:rPr>
        <w:t>Quaternary International</w:t>
      </w:r>
      <w:r w:rsidRPr="00E25215">
        <w:rPr>
          <w:rFonts w:cs="Times New Roman"/>
        </w:rPr>
        <w:t xml:space="preserve">, </w:t>
      </w:r>
      <w:r w:rsidRPr="00E25215">
        <w:rPr>
          <w:rFonts w:cs="Times New Roman"/>
          <w:i/>
          <w:iCs/>
        </w:rPr>
        <w:t>475</w:t>
      </w:r>
      <w:r w:rsidRPr="00E25215">
        <w:rPr>
          <w:rFonts w:cs="Times New Roman"/>
        </w:rPr>
        <w:t>, 11–15. https://doi.org/10.1016/j.quaint.2017.12.006</w:t>
      </w:r>
    </w:p>
    <w:p w14:paraId="0246E7A7"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Arbetman, M. P., Meeus, I., Morales, C. L., Aizen, M. A., &amp; Smagghe, G. (2013). Alien parasite hitchhikes to Patagonia on invasive bumblebee. </w:t>
      </w:r>
      <w:r w:rsidRPr="00E25215">
        <w:rPr>
          <w:rFonts w:cs="Times New Roman"/>
          <w:i/>
          <w:iCs/>
        </w:rPr>
        <w:t>Biological Invasions</w:t>
      </w:r>
      <w:r w:rsidRPr="00E25215">
        <w:rPr>
          <w:rFonts w:cs="Times New Roman"/>
        </w:rPr>
        <w:t xml:space="preserve">, </w:t>
      </w:r>
      <w:r w:rsidRPr="00E25215">
        <w:rPr>
          <w:rFonts w:cs="Times New Roman"/>
          <w:i/>
          <w:iCs/>
        </w:rPr>
        <w:t>15</w:t>
      </w:r>
      <w:r w:rsidRPr="00E25215">
        <w:rPr>
          <w:rFonts w:cs="Times New Roman"/>
        </w:rPr>
        <w:t>(3), 489–494. https://doi.org/10.1007/s10530-012-0311-0</w:t>
      </w:r>
    </w:p>
    <w:p w14:paraId="75319747"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Arcella, T. E., Perry, W. L., Lodge, D. M., &amp; Feder, J. L. (2014). The role of hybridization in a species invasion and extirpation of resident fauna: Hybrid vigor and breakdown in the rusty crayfish, </w:t>
      </w:r>
      <w:r w:rsidRPr="00E25215">
        <w:rPr>
          <w:rFonts w:cs="Times New Roman"/>
          <w:i/>
          <w:iCs/>
        </w:rPr>
        <w:t>Orconectes rusticus</w:t>
      </w:r>
      <w:r w:rsidRPr="00E25215">
        <w:rPr>
          <w:rFonts w:cs="Times New Roman"/>
        </w:rPr>
        <w:t xml:space="preserve">. </w:t>
      </w:r>
      <w:r w:rsidRPr="00E25215">
        <w:rPr>
          <w:rFonts w:cs="Times New Roman"/>
          <w:i/>
          <w:iCs/>
        </w:rPr>
        <w:t>Journal of Crustacean Biology</w:t>
      </w:r>
      <w:r w:rsidRPr="00E25215">
        <w:rPr>
          <w:rFonts w:cs="Times New Roman"/>
        </w:rPr>
        <w:t xml:space="preserve">, </w:t>
      </w:r>
      <w:r w:rsidRPr="00E25215">
        <w:rPr>
          <w:rFonts w:cs="Times New Roman"/>
          <w:i/>
          <w:iCs/>
        </w:rPr>
        <w:t>34</w:t>
      </w:r>
      <w:r w:rsidRPr="00E25215">
        <w:rPr>
          <w:rFonts w:cs="Times New Roman"/>
        </w:rPr>
        <w:t>(2), 157–164. https://doi.org/10.1163/1937240X-00002204</w:t>
      </w:r>
    </w:p>
    <w:p w14:paraId="0A85860B"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Arechavala-Lopez, P., Toledo-Guedes, K., Izquierdo-Gomez, D., Šegvić-Bubić, T., &amp; Sanchez-Jerez, P. (2018). Implications of Sea Bream and Sea Bass Escapes for Sustainable Aquaculture Management: A Review of Interactions, Risks and Consequences. </w:t>
      </w:r>
      <w:r w:rsidRPr="00E25215">
        <w:rPr>
          <w:rFonts w:cs="Times New Roman"/>
          <w:i/>
          <w:iCs/>
        </w:rPr>
        <w:t>Reviews in Fisheries Science &amp; Aquaculture</w:t>
      </w:r>
      <w:r w:rsidRPr="00E25215">
        <w:rPr>
          <w:rFonts w:cs="Times New Roman"/>
        </w:rPr>
        <w:t xml:space="preserve">, </w:t>
      </w:r>
      <w:r w:rsidRPr="00E25215">
        <w:rPr>
          <w:rFonts w:cs="Times New Roman"/>
          <w:i/>
          <w:iCs/>
        </w:rPr>
        <w:t>26</w:t>
      </w:r>
      <w:r w:rsidRPr="00E25215">
        <w:rPr>
          <w:rFonts w:cs="Times New Roman"/>
        </w:rPr>
        <w:t>(2), 214–234. https://doi.org/10.1080/23308249.2017.1384789</w:t>
      </w:r>
    </w:p>
    <w:p w14:paraId="3F741928" w14:textId="77777777" w:rsidR="001379C0" w:rsidRPr="00E25215" w:rsidRDefault="001379C0" w:rsidP="009B3E7F">
      <w:pPr>
        <w:pStyle w:val="Bibliography"/>
        <w:spacing w:before="0" w:after="0" w:line="240" w:lineRule="auto"/>
        <w:rPr>
          <w:rFonts w:cs="Times New Roman"/>
        </w:rPr>
      </w:pPr>
      <w:r w:rsidRPr="00E25215">
        <w:rPr>
          <w:rFonts w:cs="Times New Roman"/>
        </w:rPr>
        <w:t>Arechavala-Lopez, P., Uglem, I., Izquierdo</w:t>
      </w:r>
      <w:r w:rsidRPr="00E25215">
        <w:rPr>
          <w:rFonts w:cs="Times New Roman" w:hint="eastAsia"/>
        </w:rPr>
        <w:t>‐</w:t>
      </w:r>
      <w:r w:rsidRPr="00E25215">
        <w:rPr>
          <w:rFonts w:cs="Times New Roman"/>
        </w:rPr>
        <w:t>Gomez, D., Fernandez</w:t>
      </w:r>
      <w:r w:rsidRPr="00E25215">
        <w:rPr>
          <w:rFonts w:cs="Times New Roman" w:hint="eastAsia"/>
        </w:rPr>
        <w:t>‐</w:t>
      </w:r>
      <w:r w:rsidRPr="00E25215">
        <w:rPr>
          <w:rFonts w:cs="Times New Roman"/>
        </w:rPr>
        <w:t>Jover, D., &amp; Sanchez</w:t>
      </w:r>
      <w:r w:rsidRPr="00E25215">
        <w:rPr>
          <w:rFonts w:cs="Times New Roman" w:hint="eastAsia"/>
        </w:rPr>
        <w:t>‐</w:t>
      </w:r>
      <w:r w:rsidRPr="00E25215">
        <w:rPr>
          <w:rFonts w:cs="Times New Roman"/>
        </w:rPr>
        <w:t>Jerez, P. (2017). Rapid dispersion of escaped meagre (</w:t>
      </w:r>
      <w:r w:rsidRPr="00E25215">
        <w:rPr>
          <w:rFonts w:cs="Times New Roman"/>
          <w:i/>
          <w:iCs/>
        </w:rPr>
        <w:t>Argyrosomus regius</w:t>
      </w:r>
      <w:r w:rsidRPr="00E25215">
        <w:rPr>
          <w:rFonts w:cs="Times New Roman"/>
        </w:rPr>
        <w:t xml:space="preserve">) from a coastal Mediterranean fish farm. </w:t>
      </w:r>
      <w:r w:rsidRPr="00E25215">
        <w:rPr>
          <w:rFonts w:cs="Times New Roman"/>
          <w:i/>
          <w:iCs/>
        </w:rPr>
        <w:t>Aquaculture Research</w:t>
      </w:r>
      <w:r w:rsidRPr="00E25215">
        <w:rPr>
          <w:rFonts w:cs="Times New Roman"/>
        </w:rPr>
        <w:t xml:space="preserve">, </w:t>
      </w:r>
      <w:r w:rsidRPr="00E25215">
        <w:rPr>
          <w:rFonts w:cs="Times New Roman"/>
          <w:i/>
          <w:iCs/>
        </w:rPr>
        <w:t>48</w:t>
      </w:r>
      <w:r w:rsidRPr="00E25215">
        <w:rPr>
          <w:rFonts w:cs="Times New Roman"/>
        </w:rPr>
        <w:t>(4), 1502–1512. https://doi.org/10.1111/are.12986</w:t>
      </w:r>
    </w:p>
    <w:p w14:paraId="63F5E01B"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Arias, P., Bellouin, N., Coppola, E., Jones, R., Krinner, G., Marotzke, J., Naik, V., Palmer, M., Plattner, G.-K., &amp; Rogelj, J. (2021). </w:t>
      </w:r>
      <w:r w:rsidRPr="00E25215">
        <w:rPr>
          <w:rFonts w:cs="Times New Roman"/>
          <w:i/>
          <w:iCs/>
        </w:rPr>
        <w:t>Working Group 1: The Physical Science Basis; Technical Summary</w:t>
      </w:r>
      <w:r w:rsidRPr="00E25215">
        <w:rPr>
          <w:rFonts w:cs="Times New Roman"/>
        </w:rPr>
        <w:t>. Sixth Assessment Report of the Intergovernmental Panel on Climate Change. https://www.ipcc.ch/report/ar6/wg1/chapter/technical-summary/</w:t>
      </w:r>
    </w:p>
    <w:p w14:paraId="6AA35E12"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Armitage, J., Edwards, D., Konyves, K., Lancaster, N., Marshall, R., Cubey, J., &amp; Merrick, J. (2016). </w:t>
      </w:r>
      <w:r w:rsidRPr="00E25215">
        <w:rPr>
          <w:rFonts w:cs="Times New Roman"/>
          <w:i/>
          <w:iCs/>
        </w:rPr>
        <w:t>RHS plant finder</w:t>
      </w:r>
      <w:r w:rsidRPr="00E25215">
        <w:rPr>
          <w:rFonts w:cs="Times New Roman"/>
        </w:rPr>
        <w:t>. Wisley: Royal Horticultural Society.</w:t>
      </w:r>
    </w:p>
    <w:p w14:paraId="185CD8D2"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Ashton, G. V., Willis, K. J., Burrows, M. T., &amp; Cook, E. J. (2007). Environmental tolerance of </w:t>
      </w:r>
      <w:r w:rsidRPr="00E25215">
        <w:rPr>
          <w:rFonts w:cs="Times New Roman"/>
          <w:i/>
          <w:iCs/>
        </w:rPr>
        <w:t>Caprella mutica</w:t>
      </w:r>
      <w:r w:rsidRPr="00E25215">
        <w:rPr>
          <w:rFonts w:cs="Times New Roman"/>
        </w:rPr>
        <w:t xml:space="preserve">: Implications for its distribution as a marine non-native species. </w:t>
      </w:r>
      <w:r w:rsidRPr="00E25215">
        <w:rPr>
          <w:rFonts w:cs="Times New Roman"/>
          <w:i/>
          <w:iCs/>
        </w:rPr>
        <w:t>Marine Environmental Research</w:t>
      </w:r>
      <w:r w:rsidRPr="00E25215">
        <w:rPr>
          <w:rFonts w:cs="Times New Roman"/>
        </w:rPr>
        <w:t xml:space="preserve">, </w:t>
      </w:r>
      <w:r w:rsidRPr="00E25215">
        <w:rPr>
          <w:rFonts w:cs="Times New Roman"/>
          <w:i/>
          <w:iCs/>
        </w:rPr>
        <w:t>64</w:t>
      </w:r>
      <w:r w:rsidRPr="00E25215">
        <w:rPr>
          <w:rFonts w:cs="Times New Roman"/>
        </w:rPr>
        <w:t>(3), 305–312. https://doi.org/10.1016/j.marenvres.2007.02.003</w:t>
      </w:r>
    </w:p>
    <w:p w14:paraId="3CF6A291"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Aslan, C. E., &amp; Dickson, B. G. (2020). Non-native plants exert strong but under-studied influence on fire dynamics. </w:t>
      </w:r>
      <w:r w:rsidRPr="00E25215">
        <w:rPr>
          <w:rFonts w:cs="Times New Roman"/>
          <w:i/>
          <w:iCs/>
        </w:rPr>
        <w:t>NeoBiota</w:t>
      </w:r>
      <w:r w:rsidRPr="00E25215">
        <w:rPr>
          <w:rFonts w:cs="Times New Roman"/>
        </w:rPr>
        <w:t xml:space="preserve">, </w:t>
      </w:r>
      <w:r w:rsidRPr="00E25215">
        <w:rPr>
          <w:rFonts w:cs="Times New Roman"/>
          <w:i/>
          <w:iCs/>
        </w:rPr>
        <w:t>61</w:t>
      </w:r>
      <w:r w:rsidRPr="00E25215">
        <w:rPr>
          <w:rFonts w:cs="Times New Roman"/>
        </w:rPr>
        <w:t>, 47–64. https://doi.org/10.3897/neobiota.61.51141</w:t>
      </w:r>
    </w:p>
    <w:p w14:paraId="5CC769F1"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Asth, M. da S., Rodrigues, R. G., &amp; Zenni, R. D. (2021). Canals as invasion pathways in tropical dry forest and the need for monitoring and management. </w:t>
      </w:r>
      <w:r w:rsidRPr="00E25215">
        <w:rPr>
          <w:rFonts w:cs="Times New Roman"/>
          <w:i/>
          <w:iCs/>
        </w:rPr>
        <w:t>Journal of Applied Ecology</w:t>
      </w:r>
      <w:r w:rsidRPr="00E25215">
        <w:rPr>
          <w:rFonts w:cs="Times New Roman"/>
        </w:rPr>
        <w:t xml:space="preserve">, </w:t>
      </w:r>
      <w:r w:rsidRPr="00E25215">
        <w:rPr>
          <w:rFonts w:cs="Times New Roman"/>
          <w:i/>
          <w:iCs/>
        </w:rPr>
        <w:t>58</w:t>
      </w:r>
      <w:r w:rsidRPr="00E25215">
        <w:rPr>
          <w:rFonts w:cs="Times New Roman"/>
        </w:rPr>
        <w:t>(9), 2004–2014. https://doi.org/10.1111/1365-2664.13950</w:t>
      </w:r>
    </w:p>
    <w:p w14:paraId="69383783"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Atalah, J., Hopkins, G. A., &amp; Forrest, B. M. (2013). Augmentative Biocontrol in Natural Marine Habitats: Persistence, Spread and Non-Target Effects of the Sea Urchin </w:t>
      </w:r>
      <w:r w:rsidRPr="00E25215">
        <w:rPr>
          <w:rFonts w:cs="Times New Roman"/>
          <w:i/>
          <w:iCs/>
        </w:rPr>
        <w:t>Evechinus chloroticus</w:t>
      </w:r>
      <w:r w:rsidRPr="00E25215">
        <w:rPr>
          <w:rFonts w:cs="Times New Roman"/>
        </w:rPr>
        <w:t xml:space="preserve">. </w:t>
      </w:r>
      <w:r w:rsidRPr="00E25215">
        <w:rPr>
          <w:rFonts w:cs="Times New Roman"/>
          <w:i/>
          <w:iCs/>
        </w:rPr>
        <w:t>PLoS ONE</w:t>
      </w:r>
      <w:r w:rsidRPr="00E25215">
        <w:rPr>
          <w:rFonts w:cs="Times New Roman"/>
        </w:rPr>
        <w:t xml:space="preserve">, </w:t>
      </w:r>
      <w:r w:rsidRPr="00E25215">
        <w:rPr>
          <w:rFonts w:cs="Times New Roman"/>
          <w:i/>
          <w:iCs/>
        </w:rPr>
        <w:t>8</w:t>
      </w:r>
      <w:r w:rsidRPr="00E25215">
        <w:rPr>
          <w:rFonts w:cs="Times New Roman"/>
        </w:rPr>
        <w:t>(11), e80365. https://doi.org/10.1371/journal.pone.0080365</w:t>
      </w:r>
    </w:p>
    <w:p w14:paraId="2CB68B2F"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Australian Government. (2021). </w:t>
      </w:r>
      <w:r w:rsidRPr="00E25215">
        <w:rPr>
          <w:rFonts w:cs="Times New Roman"/>
          <w:i/>
          <w:iCs/>
        </w:rPr>
        <w:t>Myrtle rust (</w:t>
      </w:r>
      <w:r w:rsidRPr="00E25215">
        <w:rPr>
          <w:rFonts w:cs="Times New Roman"/>
        </w:rPr>
        <w:t>Austropuccinia psidii</w:t>
      </w:r>
      <w:r w:rsidRPr="00E25215">
        <w:rPr>
          <w:rFonts w:cs="Times New Roman"/>
          <w:i/>
          <w:iCs/>
        </w:rPr>
        <w:t>)</w:t>
      </w:r>
      <w:r w:rsidRPr="00E25215">
        <w:rPr>
          <w:rFonts w:cs="Times New Roman"/>
        </w:rPr>
        <w:t xml:space="preserve">. Department of Climate Change, Energy, the Environment and Water. </w:t>
      </w:r>
      <w:r w:rsidRPr="00E25215">
        <w:rPr>
          <w:rFonts w:cs="Times New Roman"/>
        </w:rPr>
        <w:lastRenderedPageBreak/>
        <w:t>https://www.dcceew.gov.au/environment/invasive-species/diseases-fungi-and-parasites/myrtle-rust</w:t>
      </w:r>
    </w:p>
    <w:p w14:paraId="720667CF"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Avio, C. G., Gorbi, S., &amp; Regoli, F. (2017). Plastics and microplastics in the oceans: From emerging pollutants to emerged threat. </w:t>
      </w:r>
      <w:r w:rsidRPr="00E25215">
        <w:rPr>
          <w:rFonts w:cs="Times New Roman"/>
          <w:i/>
          <w:iCs/>
        </w:rPr>
        <w:t>Marine Environmental Research</w:t>
      </w:r>
      <w:r w:rsidRPr="00E25215">
        <w:rPr>
          <w:rFonts w:cs="Times New Roman"/>
        </w:rPr>
        <w:t xml:space="preserve">, </w:t>
      </w:r>
      <w:r w:rsidRPr="00E25215">
        <w:rPr>
          <w:rFonts w:cs="Times New Roman"/>
          <w:i/>
          <w:iCs/>
        </w:rPr>
        <w:t>128</w:t>
      </w:r>
      <w:r w:rsidRPr="00E25215">
        <w:rPr>
          <w:rFonts w:cs="Times New Roman"/>
        </w:rPr>
        <w:t>, 2–11. https://doi.org/10.1016/j.marenvres.2016.05.012</w:t>
      </w:r>
    </w:p>
    <w:p w14:paraId="7AC952F4"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Aylor, D. E. (2003). Spread of plant disease on a continental scale: Role of aerial dispersal of pathogens. </w:t>
      </w:r>
      <w:r w:rsidRPr="00E25215">
        <w:rPr>
          <w:rFonts w:cs="Times New Roman"/>
          <w:i/>
          <w:iCs/>
        </w:rPr>
        <w:t>Ecology</w:t>
      </w:r>
      <w:r w:rsidRPr="00E25215">
        <w:rPr>
          <w:rFonts w:cs="Times New Roman"/>
        </w:rPr>
        <w:t xml:space="preserve">, </w:t>
      </w:r>
      <w:r w:rsidRPr="00E25215">
        <w:rPr>
          <w:rFonts w:cs="Times New Roman"/>
          <w:i/>
          <w:iCs/>
        </w:rPr>
        <w:t>84</w:t>
      </w:r>
      <w:r w:rsidRPr="00E25215">
        <w:rPr>
          <w:rFonts w:cs="Times New Roman"/>
        </w:rPr>
        <w:t>(8), 1989–1997. https://www.jstor.org/stable/3450023?seq=1&amp;cid=pdf-reference#references_tab_contents</w:t>
      </w:r>
    </w:p>
    <w:p w14:paraId="18804411"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Azevedo-Santos, V. M., Vitule, J. R. S., Pelicice, F. M., García-Berthou, E., &amp; Simberloff, D. (2017). Nonnative Fish to Control </w:t>
      </w:r>
      <w:r w:rsidRPr="00E25215">
        <w:rPr>
          <w:rFonts w:cs="Times New Roman"/>
          <w:i/>
          <w:iCs/>
        </w:rPr>
        <w:t>Aedes</w:t>
      </w:r>
      <w:r w:rsidRPr="00E25215">
        <w:rPr>
          <w:rFonts w:cs="Times New Roman"/>
        </w:rPr>
        <w:t xml:space="preserve"> Mosquitoes: A Controversial, Harmful Tool. </w:t>
      </w:r>
      <w:r w:rsidRPr="00E25215">
        <w:rPr>
          <w:rFonts w:cs="Times New Roman"/>
          <w:i/>
          <w:iCs/>
        </w:rPr>
        <w:t>BioScience</w:t>
      </w:r>
      <w:r w:rsidRPr="00E25215">
        <w:rPr>
          <w:rFonts w:cs="Times New Roman"/>
        </w:rPr>
        <w:t xml:space="preserve">, </w:t>
      </w:r>
      <w:r w:rsidRPr="00E25215">
        <w:rPr>
          <w:rFonts w:cs="Times New Roman"/>
          <w:i/>
          <w:iCs/>
        </w:rPr>
        <w:t>67</w:t>
      </w:r>
      <w:r w:rsidRPr="00E25215">
        <w:rPr>
          <w:rFonts w:cs="Times New Roman"/>
        </w:rPr>
        <w:t>(1), 84–90. https://doi.org/10.1093/biosci/biw156</w:t>
      </w:r>
    </w:p>
    <w:p w14:paraId="0BC00989"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Bacon, S. J., Bacher, S., &amp; Aebi, A. (2012). Gaps in Border Controls Are Related to Quarantine Alien Insect Invasions in Europe. </w:t>
      </w:r>
      <w:r w:rsidRPr="00E25215">
        <w:rPr>
          <w:rFonts w:cs="Times New Roman"/>
          <w:i/>
          <w:iCs/>
        </w:rPr>
        <w:t>PLoS ONE</w:t>
      </w:r>
      <w:r w:rsidRPr="00E25215">
        <w:rPr>
          <w:rFonts w:cs="Times New Roman"/>
        </w:rPr>
        <w:t xml:space="preserve">, </w:t>
      </w:r>
      <w:r w:rsidRPr="00E25215">
        <w:rPr>
          <w:rFonts w:cs="Times New Roman"/>
          <w:i/>
          <w:iCs/>
        </w:rPr>
        <w:t>7</w:t>
      </w:r>
      <w:r w:rsidRPr="00E25215">
        <w:rPr>
          <w:rFonts w:cs="Times New Roman"/>
        </w:rPr>
        <w:t>(10), e47689. https://doi.org/10.1371/journal.pone.0047689</w:t>
      </w:r>
    </w:p>
    <w:p w14:paraId="613A7993" w14:textId="77777777" w:rsidR="001379C0" w:rsidRPr="00E25215" w:rsidRDefault="001379C0" w:rsidP="009B3E7F">
      <w:pPr>
        <w:pStyle w:val="Bibliography"/>
        <w:spacing w:before="0" w:after="0" w:line="240" w:lineRule="auto"/>
        <w:rPr>
          <w:rFonts w:cs="Times New Roman"/>
        </w:rPr>
      </w:pPr>
      <w:r w:rsidRPr="00E25215">
        <w:rPr>
          <w:rFonts w:cs="Times New Roman"/>
        </w:rPr>
        <w:t>Bailey, S. A., Brown, L., Campbell, M. L., Canning</w:t>
      </w:r>
      <w:r w:rsidRPr="00E25215">
        <w:rPr>
          <w:rFonts w:cs="Times New Roman" w:hint="eastAsia"/>
        </w:rPr>
        <w:t>‐</w:t>
      </w:r>
      <w:r w:rsidRPr="00E25215">
        <w:rPr>
          <w:rFonts w:cs="Times New Roman"/>
        </w:rPr>
        <w:t>Clode, J., Carlton, J. T., Castro, N., Chainho, P., Chan, F. T., Creed, J. C., Curd, A., Darling, J., Fofonoff, P., Galil, B. S., Hewitt, C. L., Inglis, G. J., Keith, I., Mandrak, N. E., Marchini, A., McKenzie, C. H., … Zhan, A. (2020). Trends in the detection of aquatic non</w:t>
      </w:r>
      <w:r w:rsidRPr="00E25215">
        <w:rPr>
          <w:rFonts w:cs="Times New Roman" w:hint="eastAsia"/>
        </w:rPr>
        <w:t>‐</w:t>
      </w:r>
      <w:r w:rsidRPr="00E25215">
        <w:rPr>
          <w:rFonts w:cs="Times New Roman"/>
        </w:rPr>
        <w:t>indigenous species across global marine, estuarine and freshwater ecosystems: A 50</w:t>
      </w:r>
      <w:r w:rsidRPr="00E25215">
        <w:rPr>
          <w:rFonts w:cs="Times New Roman" w:hint="eastAsia"/>
        </w:rPr>
        <w:t>‐</w:t>
      </w:r>
      <w:r w:rsidRPr="00E25215">
        <w:rPr>
          <w:rFonts w:cs="Times New Roman"/>
        </w:rPr>
        <w:t xml:space="preserve">year perspective. </w:t>
      </w:r>
      <w:r w:rsidRPr="00E25215">
        <w:rPr>
          <w:rFonts w:cs="Times New Roman"/>
          <w:i/>
          <w:iCs/>
        </w:rPr>
        <w:t>Diversity and Distributions</w:t>
      </w:r>
      <w:r w:rsidRPr="00E25215">
        <w:rPr>
          <w:rFonts w:cs="Times New Roman"/>
        </w:rPr>
        <w:t xml:space="preserve">, </w:t>
      </w:r>
      <w:r w:rsidRPr="00E25215">
        <w:rPr>
          <w:rFonts w:cs="Times New Roman"/>
          <w:i/>
          <w:iCs/>
        </w:rPr>
        <w:t>26</w:t>
      </w:r>
      <w:r w:rsidRPr="00E25215">
        <w:rPr>
          <w:rFonts w:cs="Times New Roman"/>
        </w:rPr>
        <w:t>(12), 1780–1797. https://doi.org/10.1111/ddi.13167</w:t>
      </w:r>
    </w:p>
    <w:p w14:paraId="1B56EE12"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Baker, R. H. A., Cannon, R. J. C., &amp; Walters, K. F. A. (1996). An assessment of the risks posed by selected non-indigenous pests to UK crops under climate change. </w:t>
      </w:r>
      <w:r w:rsidRPr="00E25215">
        <w:rPr>
          <w:rFonts w:cs="Times New Roman"/>
          <w:i/>
          <w:iCs/>
        </w:rPr>
        <w:t>Aspects of Applied Biology</w:t>
      </w:r>
      <w:r w:rsidRPr="00E25215">
        <w:rPr>
          <w:rFonts w:cs="Times New Roman"/>
        </w:rPr>
        <w:t>, 323–330. https://www.cabdirect.org/cabdirect/abstract/19961105741</w:t>
      </w:r>
    </w:p>
    <w:p w14:paraId="70F7F111"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Balch, J. K., Bradley, B. A., D’Antonio, C. M., &amp; Gómez-Dans, J. (2013). Introduced annual grass increases regional fire activity across the arid western USA (1980-2009). </w:t>
      </w:r>
      <w:r w:rsidRPr="00E25215">
        <w:rPr>
          <w:rFonts w:cs="Times New Roman"/>
          <w:i/>
          <w:iCs/>
        </w:rPr>
        <w:t>Global Change Biology</w:t>
      </w:r>
      <w:r w:rsidRPr="00E25215">
        <w:rPr>
          <w:rFonts w:cs="Times New Roman"/>
        </w:rPr>
        <w:t xml:space="preserve">, </w:t>
      </w:r>
      <w:r w:rsidRPr="00E25215">
        <w:rPr>
          <w:rFonts w:cs="Times New Roman"/>
          <w:i/>
          <w:iCs/>
        </w:rPr>
        <w:t>19</w:t>
      </w:r>
      <w:r w:rsidRPr="00E25215">
        <w:rPr>
          <w:rFonts w:cs="Times New Roman"/>
        </w:rPr>
        <w:t>(1), 173–183. https://doi.org/10.1111/gcb.12046</w:t>
      </w:r>
    </w:p>
    <w:p w14:paraId="72E812C8"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Baldacchino, F., Caputo, B., Chandre, F., Drago, A., della Torre, A., Montarsi, F., &amp; Rizzoli, A. (2015). Control methods against invasive </w:t>
      </w:r>
      <w:r w:rsidRPr="00E25215">
        <w:rPr>
          <w:rFonts w:cs="Times New Roman"/>
          <w:i/>
          <w:iCs/>
        </w:rPr>
        <w:t>Aedes</w:t>
      </w:r>
      <w:r w:rsidRPr="00E25215">
        <w:rPr>
          <w:rFonts w:cs="Times New Roman"/>
        </w:rPr>
        <w:t xml:space="preserve"> mosquitoes in Europe: A review. </w:t>
      </w:r>
      <w:r w:rsidRPr="00E25215">
        <w:rPr>
          <w:rFonts w:cs="Times New Roman"/>
          <w:i/>
          <w:iCs/>
        </w:rPr>
        <w:t>Pest Management Science</w:t>
      </w:r>
      <w:r w:rsidRPr="00E25215">
        <w:rPr>
          <w:rFonts w:cs="Times New Roman"/>
        </w:rPr>
        <w:t xml:space="preserve">, </w:t>
      </w:r>
      <w:r w:rsidRPr="00E25215">
        <w:rPr>
          <w:rFonts w:cs="Times New Roman"/>
          <w:i/>
          <w:iCs/>
        </w:rPr>
        <w:t>71</w:t>
      </w:r>
      <w:r w:rsidRPr="00E25215">
        <w:rPr>
          <w:rFonts w:cs="Times New Roman"/>
        </w:rPr>
        <w:t>(11), 1471–1485. https://doi.org/10.1002/ps.4044</w:t>
      </w:r>
    </w:p>
    <w:p w14:paraId="4C257B5E"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Bale, J. S., Masters, G. J., Hodkinson, I. D., Awmack, C., Bezemer, T. M., Brown, V. K., Butterfield, J., Buse, A., Coulson, J. C., Farrar, J., Good, J. E. G., Harrington, R., Hartley, S., Jones, T. H., Lindroth, R. L., Press, M. C., Symrnioudis, I., Watt, A. D., &amp; Whittaker, J. B. (2002). Herbivory in global climate change research: Direct effects of rising temperature on insect herbivores. </w:t>
      </w:r>
      <w:r w:rsidRPr="00E25215">
        <w:rPr>
          <w:rFonts w:cs="Times New Roman"/>
          <w:i/>
          <w:iCs/>
        </w:rPr>
        <w:t>Global Change Biology</w:t>
      </w:r>
      <w:r w:rsidRPr="00E25215">
        <w:rPr>
          <w:rFonts w:cs="Times New Roman"/>
        </w:rPr>
        <w:t xml:space="preserve">, </w:t>
      </w:r>
      <w:r w:rsidRPr="00E25215">
        <w:rPr>
          <w:rFonts w:cs="Times New Roman"/>
          <w:i/>
          <w:iCs/>
        </w:rPr>
        <w:t>8</w:t>
      </w:r>
      <w:r w:rsidRPr="00E25215">
        <w:rPr>
          <w:rFonts w:cs="Times New Roman"/>
        </w:rPr>
        <w:t>(1), 1–16. https://doi.org/10.1046/j.1365-2486.2002.00451.x</w:t>
      </w:r>
    </w:p>
    <w:p w14:paraId="54FA909A"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Banks, N. C., Paini, D. R., Bayliss, K. L., &amp; Hodda, M. (2015). The role of global trade and transport network topology in the human-mediated dispersal of alien species. </w:t>
      </w:r>
      <w:r w:rsidRPr="00E25215">
        <w:rPr>
          <w:rFonts w:cs="Times New Roman"/>
          <w:i/>
          <w:iCs/>
        </w:rPr>
        <w:t>Ecology Letters</w:t>
      </w:r>
      <w:r w:rsidRPr="00E25215">
        <w:rPr>
          <w:rFonts w:cs="Times New Roman"/>
        </w:rPr>
        <w:t xml:space="preserve">, </w:t>
      </w:r>
      <w:r w:rsidRPr="00E25215">
        <w:rPr>
          <w:rFonts w:cs="Times New Roman"/>
          <w:i/>
          <w:iCs/>
        </w:rPr>
        <w:t>18</w:t>
      </w:r>
      <w:r w:rsidRPr="00E25215">
        <w:rPr>
          <w:rFonts w:cs="Times New Roman"/>
        </w:rPr>
        <w:t>(2), 188–199. https://doi.org/10.1111/ele.12397</w:t>
      </w:r>
    </w:p>
    <w:p w14:paraId="2B8A3A6A"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Barbosa, N. P. U., Wilson Fernandes, G., Carneiro, M. A. A., &amp; Júnior, L. A. C. (2010). Distribution of non-native invasive species and soil properties in proximity to paved roads and unpaved roads in a quartzitic mountainous grassland of southeastern Brazil (rupestrian fields). </w:t>
      </w:r>
      <w:r w:rsidRPr="00E25215">
        <w:rPr>
          <w:rFonts w:cs="Times New Roman"/>
          <w:i/>
          <w:iCs/>
        </w:rPr>
        <w:t>Biological Invasions</w:t>
      </w:r>
      <w:r w:rsidRPr="00E25215">
        <w:rPr>
          <w:rFonts w:cs="Times New Roman"/>
        </w:rPr>
        <w:t xml:space="preserve">, </w:t>
      </w:r>
      <w:r w:rsidRPr="00E25215">
        <w:rPr>
          <w:rFonts w:cs="Times New Roman"/>
          <w:i/>
          <w:iCs/>
        </w:rPr>
        <w:t>12</w:t>
      </w:r>
      <w:r w:rsidRPr="00E25215">
        <w:rPr>
          <w:rFonts w:cs="Times New Roman"/>
        </w:rPr>
        <w:t>(11), 3745–3755. https://doi.org/10.1007/s10530-010-9767-y</w:t>
      </w:r>
    </w:p>
    <w:p w14:paraId="70EFBF82"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Barnes, T. G., DeMaso, S. J., &amp; Bahm, M. A. (2013). The Impact of 3 exotic, invasive grasses in the Southeastern United States on wildlife: Exotic Grass Management in the Southeast. </w:t>
      </w:r>
      <w:r w:rsidRPr="00E25215">
        <w:rPr>
          <w:rFonts w:cs="Times New Roman"/>
          <w:i/>
          <w:iCs/>
        </w:rPr>
        <w:t>Wildlife Society Bulletin</w:t>
      </w:r>
      <w:r w:rsidRPr="00E25215">
        <w:rPr>
          <w:rFonts w:cs="Times New Roman"/>
        </w:rPr>
        <w:t>, 497–502. https://doi.org/10.1002/wsb.316</w:t>
      </w:r>
    </w:p>
    <w:p w14:paraId="3892D79C"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Barney, J. N., &amp; DiTomaso, J. M. (2008). Nonnative Species and Bioenergy: Are We Cultivating the Next Invader? </w:t>
      </w:r>
      <w:r w:rsidRPr="00E25215">
        <w:rPr>
          <w:rFonts w:cs="Times New Roman"/>
          <w:i/>
          <w:iCs/>
        </w:rPr>
        <w:t>BioScience</w:t>
      </w:r>
      <w:r w:rsidRPr="00E25215">
        <w:rPr>
          <w:rFonts w:cs="Times New Roman"/>
        </w:rPr>
        <w:t xml:space="preserve">, </w:t>
      </w:r>
      <w:r w:rsidRPr="00E25215">
        <w:rPr>
          <w:rFonts w:cs="Times New Roman"/>
          <w:i/>
          <w:iCs/>
        </w:rPr>
        <w:t>58</w:t>
      </w:r>
      <w:r w:rsidRPr="00E25215">
        <w:rPr>
          <w:rFonts w:cs="Times New Roman"/>
        </w:rPr>
        <w:t>(1), Article 1. https://doi.org/10.1641/B580111</w:t>
      </w:r>
    </w:p>
    <w:p w14:paraId="74665F66"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Barrat, J., Richomme, C., &amp; Moinet, M. (2010). The accidental release of exotic species from breeding colonies and zoological collections: -EN- -FR- Lâcher accidentel d’espèces exotiques à partir de colonies d’élevage et de collections zoologiques -ES- Liberación </w:t>
      </w:r>
      <w:r w:rsidRPr="00E25215">
        <w:rPr>
          <w:rFonts w:cs="Times New Roman"/>
        </w:rPr>
        <w:lastRenderedPageBreak/>
        <w:t xml:space="preserve">accidental de especies exóticas de colonias reproductoras y colecciones zoológicas. </w:t>
      </w:r>
      <w:r w:rsidRPr="00E25215">
        <w:rPr>
          <w:rFonts w:cs="Times New Roman"/>
          <w:i/>
          <w:iCs/>
        </w:rPr>
        <w:t>Revue Scientifique et Technique de l’OIE</w:t>
      </w:r>
      <w:r w:rsidRPr="00E25215">
        <w:rPr>
          <w:rFonts w:cs="Times New Roman"/>
        </w:rPr>
        <w:t xml:space="preserve">, </w:t>
      </w:r>
      <w:r w:rsidRPr="00E25215">
        <w:rPr>
          <w:rFonts w:cs="Times New Roman"/>
          <w:i/>
          <w:iCs/>
        </w:rPr>
        <w:t>29</w:t>
      </w:r>
      <w:r w:rsidRPr="00E25215">
        <w:rPr>
          <w:rFonts w:cs="Times New Roman"/>
        </w:rPr>
        <w:t>(1), 113–122. https://doi.org/10.20506/rst.29.1.1968</w:t>
      </w:r>
    </w:p>
    <w:p w14:paraId="1666C332"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Barrios, J., Bolaños, J., &amp; López, R. (2007). Blanqueamiento de arrecifes coralinos por la invasión de </w:t>
      </w:r>
      <w:r w:rsidRPr="00E25215">
        <w:rPr>
          <w:rFonts w:cs="Times New Roman"/>
          <w:i/>
          <w:iCs/>
        </w:rPr>
        <w:t>Kappaphycus alvarezii</w:t>
      </w:r>
      <w:r w:rsidRPr="00E25215">
        <w:rPr>
          <w:rFonts w:cs="Times New Roman"/>
        </w:rPr>
        <w:t xml:space="preserve"> (rhodophyta) en isla cubagua, estado nueva esparta, Venezuela. </w:t>
      </w:r>
      <w:r w:rsidRPr="00E25215">
        <w:rPr>
          <w:rFonts w:cs="Times New Roman"/>
          <w:i/>
          <w:iCs/>
        </w:rPr>
        <w:t>Boletín Del Instituto Oceanográfico de Venezuela</w:t>
      </w:r>
      <w:r w:rsidRPr="00E25215">
        <w:rPr>
          <w:rFonts w:cs="Times New Roman"/>
        </w:rPr>
        <w:t xml:space="preserve">, </w:t>
      </w:r>
      <w:r w:rsidRPr="00E25215">
        <w:rPr>
          <w:rFonts w:cs="Times New Roman"/>
          <w:i/>
          <w:iCs/>
        </w:rPr>
        <w:t>46</w:t>
      </w:r>
      <w:r w:rsidRPr="00E25215">
        <w:rPr>
          <w:rFonts w:cs="Times New Roman"/>
        </w:rPr>
        <w:t>(2), 147–152. https://repositorioslatinoamericanos.uchile.cl/handle/2250/227223</w:t>
      </w:r>
    </w:p>
    <w:p w14:paraId="7F5B0171" w14:textId="77777777" w:rsidR="001379C0" w:rsidRPr="00E25215" w:rsidRDefault="001379C0" w:rsidP="009B3E7F">
      <w:pPr>
        <w:pStyle w:val="Bibliography"/>
        <w:spacing w:before="0" w:after="0" w:line="240" w:lineRule="auto"/>
        <w:rPr>
          <w:rFonts w:cs="Times New Roman"/>
        </w:rPr>
      </w:pPr>
      <w:r w:rsidRPr="00E25215">
        <w:rPr>
          <w:rFonts w:cs="Times New Roman"/>
        </w:rPr>
        <w:t>Barrios-Garcia, M. N., &amp; Ballari, S. A. (2012). Impact of wild boar (</w:t>
      </w:r>
      <w:r w:rsidRPr="00E25215">
        <w:rPr>
          <w:rFonts w:cs="Times New Roman"/>
          <w:i/>
          <w:iCs/>
        </w:rPr>
        <w:t>Sus scrofa</w:t>
      </w:r>
      <w:r w:rsidRPr="00E25215">
        <w:rPr>
          <w:rFonts w:cs="Times New Roman"/>
        </w:rPr>
        <w:t xml:space="preserve">) in its introduced and native range: A review. </w:t>
      </w:r>
      <w:r w:rsidRPr="00E25215">
        <w:rPr>
          <w:rFonts w:cs="Times New Roman"/>
          <w:i/>
          <w:iCs/>
        </w:rPr>
        <w:t>Biological Invasions</w:t>
      </w:r>
      <w:r w:rsidRPr="00E25215">
        <w:rPr>
          <w:rFonts w:cs="Times New Roman"/>
        </w:rPr>
        <w:t xml:space="preserve">, </w:t>
      </w:r>
      <w:r w:rsidRPr="00E25215">
        <w:rPr>
          <w:rFonts w:cs="Times New Roman"/>
          <w:i/>
          <w:iCs/>
        </w:rPr>
        <w:t>14</w:t>
      </w:r>
      <w:r w:rsidRPr="00E25215">
        <w:rPr>
          <w:rFonts w:cs="Times New Roman"/>
        </w:rPr>
        <w:t>(11), Article 11. https://doi.org/10.1007/s10530-012-0229-6</w:t>
      </w:r>
    </w:p>
    <w:p w14:paraId="615359AA"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Barrios-O’Neill, D., Kelly, R., Dick, J. T. A., Ricciardi, A., MacIsaac, H. J., &amp; Emmerson, M. C. (2016). On the context-dependent scaling of consumer feeding rates. </w:t>
      </w:r>
      <w:r w:rsidRPr="00E25215">
        <w:rPr>
          <w:rFonts w:cs="Times New Roman"/>
          <w:i/>
          <w:iCs/>
        </w:rPr>
        <w:t>Ecology Letters</w:t>
      </w:r>
      <w:r w:rsidRPr="00E25215">
        <w:rPr>
          <w:rFonts w:cs="Times New Roman"/>
        </w:rPr>
        <w:t xml:space="preserve">, </w:t>
      </w:r>
      <w:r w:rsidRPr="00E25215">
        <w:rPr>
          <w:rFonts w:cs="Times New Roman"/>
          <w:i/>
          <w:iCs/>
        </w:rPr>
        <w:t>19</w:t>
      </w:r>
      <w:r w:rsidRPr="00E25215">
        <w:rPr>
          <w:rFonts w:cs="Times New Roman"/>
        </w:rPr>
        <w:t>(6), 668–678. https://doi.org/10.1111/ele.12605</w:t>
      </w:r>
    </w:p>
    <w:p w14:paraId="55A3B449"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Barse, A. M., McGuire, S. A., Vinores, M. A., Eierman, L. E., &amp; Weeder, J. A. (2001). The swimbladder nematode </w:t>
      </w:r>
      <w:r w:rsidRPr="00E25215">
        <w:rPr>
          <w:rFonts w:cs="Times New Roman"/>
          <w:i/>
          <w:iCs/>
        </w:rPr>
        <w:t>Anguillicola crassus</w:t>
      </w:r>
      <w:r w:rsidRPr="00E25215">
        <w:rPr>
          <w:rFonts w:cs="Times New Roman"/>
        </w:rPr>
        <w:t xml:space="preserve"> in american eels (</w:t>
      </w:r>
      <w:r w:rsidRPr="00E25215">
        <w:rPr>
          <w:rFonts w:cs="Times New Roman"/>
          <w:i/>
          <w:iCs/>
        </w:rPr>
        <w:t>Anguilla rostrata</w:t>
      </w:r>
      <w:r w:rsidRPr="00E25215">
        <w:rPr>
          <w:rFonts w:cs="Times New Roman"/>
        </w:rPr>
        <w:t xml:space="preserve">) from middle and upper regions of Chesapeake Bay. </w:t>
      </w:r>
      <w:r w:rsidRPr="00E25215">
        <w:rPr>
          <w:rFonts w:cs="Times New Roman"/>
          <w:i/>
          <w:iCs/>
        </w:rPr>
        <w:t>Journal of Parasitology</w:t>
      </w:r>
      <w:r w:rsidRPr="00E25215">
        <w:rPr>
          <w:rFonts w:cs="Times New Roman"/>
        </w:rPr>
        <w:t xml:space="preserve">, </w:t>
      </w:r>
      <w:r w:rsidRPr="00E25215">
        <w:rPr>
          <w:rFonts w:cs="Times New Roman"/>
          <w:i/>
          <w:iCs/>
        </w:rPr>
        <w:t>87</w:t>
      </w:r>
      <w:r w:rsidRPr="00E25215">
        <w:rPr>
          <w:rFonts w:cs="Times New Roman"/>
        </w:rPr>
        <w:t>(6), 1366–1370. https://doi.org/10.1645/0022-3395(2001)087[1366:TSNACI]2.0.CO;2</w:t>
      </w:r>
    </w:p>
    <w:p w14:paraId="04483315"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Bartley, D. M., &amp; Bell, J. D. (2008). Restocking, Stock Enhancement, and Sea Ranching: Arenas of Progress. </w:t>
      </w:r>
      <w:r w:rsidRPr="00E25215">
        <w:rPr>
          <w:rFonts w:cs="Times New Roman"/>
          <w:i/>
          <w:iCs/>
        </w:rPr>
        <w:t>Reviews in Fisheries Science</w:t>
      </w:r>
      <w:r w:rsidRPr="00E25215">
        <w:rPr>
          <w:rFonts w:cs="Times New Roman"/>
        </w:rPr>
        <w:t xml:space="preserve">, </w:t>
      </w:r>
      <w:r w:rsidRPr="00E25215">
        <w:rPr>
          <w:rFonts w:cs="Times New Roman"/>
          <w:i/>
          <w:iCs/>
        </w:rPr>
        <w:t>16</w:t>
      </w:r>
      <w:r w:rsidRPr="00E25215">
        <w:rPr>
          <w:rFonts w:cs="Times New Roman"/>
        </w:rPr>
        <w:t>(1–3), 357–365. https://doi.org/10.1080/10641260701678058</w:t>
      </w:r>
    </w:p>
    <w:p w14:paraId="60DC68F2"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Bartomeus, I., Ascher, J. S., Gibbs, J., Danforth, B. N., Wagner, D. L., Hedtke, S. M., &amp; Winfree, R. (2013). Historical changes in northeastern US bee pollinators related to shared ecological traits. </w:t>
      </w:r>
      <w:r w:rsidRPr="00E25215">
        <w:rPr>
          <w:rFonts w:cs="Times New Roman"/>
          <w:i/>
          <w:iCs/>
        </w:rPr>
        <w:t>Proceedings of the National Academy of Sciences</w:t>
      </w:r>
      <w:r w:rsidRPr="00E25215">
        <w:rPr>
          <w:rFonts w:cs="Times New Roman"/>
        </w:rPr>
        <w:t xml:space="preserve">, </w:t>
      </w:r>
      <w:r w:rsidRPr="00E25215">
        <w:rPr>
          <w:rFonts w:cs="Times New Roman"/>
          <w:i/>
          <w:iCs/>
        </w:rPr>
        <w:t>110</w:t>
      </w:r>
      <w:r w:rsidRPr="00E25215">
        <w:rPr>
          <w:rFonts w:cs="Times New Roman"/>
        </w:rPr>
        <w:t>(12), 4656–4660. https://doi.org/10.1073/pnas.1218503110</w:t>
      </w:r>
    </w:p>
    <w:p w14:paraId="02B2EE39"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Batanouny, K. H., &amp; El-Fiky, A. M. (1984). Water hyacinth in Egypt: Distribution and problem magnitude. </w:t>
      </w:r>
      <w:r w:rsidRPr="00E25215">
        <w:rPr>
          <w:rFonts w:cs="Times New Roman"/>
          <w:i/>
          <w:iCs/>
        </w:rPr>
        <w:t>Proceedings of the International Conference on Water Hyacinth : Hyderabad, India, February 7-11, 1983 / Editor: G. Thyagarajan</w:t>
      </w:r>
      <w:r w:rsidRPr="00E25215">
        <w:rPr>
          <w:rFonts w:cs="Times New Roman"/>
        </w:rPr>
        <w:t>. http://agris.fao.org/agris-search/search.do?recordID=US201301417304</w:t>
      </w:r>
    </w:p>
    <w:p w14:paraId="2569C02C" w14:textId="77777777" w:rsidR="001379C0" w:rsidRPr="00E25215" w:rsidRDefault="001379C0" w:rsidP="009B3E7F">
      <w:pPr>
        <w:pStyle w:val="Bibliography"/>
        <w:spacing w:before="0" w:after="0" w:line="240" w:lineRule="auto"/>
        <w:rPr>
          <w:rFonts w:cs="Times New Roman"/>
        </w:rPr>
      </w:pPr>
      <w:r w:rsidRPr="00E25215">
        <w:rPr>
          <w:rFonts w:cs="Times New Roman"/>
        </w:rPr>
        <w:t>Bažok, R., Lemić, D., Chiarini, F., &amp; Furlan, L. (2021). Western Corn Rootworm (</w:t>
      </w:r>
      <w:r w:rsidRPr="00E25215">
        <w:rPr>
          <w:rFonts w:cs="Times New Roman"/>
          <w:i/>
          <w:iCs/>
        </w:rPr>
        <w:t>Diabrotica virgifera virgifera</w:t>
      </w:r>
      <w:r w:rsidRPr="00E25215">
        <w:rPr>
          <w:rFonts w:cs="Times New Roman"/>
        </w:rPr>
        <w:t xml:space="preserve"> LeConte) in Europe: Current Status and Sustainable Pest Management. </w:t>
      </w:r>
      <w:r w:rsidRPr="00E25215">
        <w:rPr>
          <w:rFonts w:cs="Times New Roman"/>
          <w:i/>
          <w:iCs/>
        </w:rPr>
        <w:t>Insects</w:t>
      </w:r>
      <w:r w:rsidRPr="00E25215">
        <w:rPr>
          <w:rFonts w:cs="Times New Roman"/>
        </w:rPr>
        <w:t xml:space="preserve">, </w:t>
      </w:r>
      <w:r w:rsidRPr="00E25215">
        <w:rPr>
          <w:rFonts w:cs="Times New Roman"/>
          <w:i/>
          <w:iCs/>
        </w:rPr>
        <w:t>12</w:t>
      </w:r>
      <w:r w:rsidRPr="00E25215">
        <w:rPr>
          <w:rFonts w:cs="Times New Roman"/>
        </w:rPr>
        <w:t>(3), 195. https://doi.org/10.3390/insects12030195</w:t>
      </w:r>
    </w:p>
    <w:p w14:paraId="64FE2C0E"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Becker, M., Alvarez, M., Heller, G., Leparmarai, P., Maina, D., Malombe, I., Bollig, M., &amp; Vehrs, H. (2016). Land-use changes and the invasion dynamics of shrubs in Baringo. </w:t>
      </w:r>
      <w:r w:rsidRPr="00E25215">
        <w:rPr>
          <w:rFonts w:cs="Times New Roman"/>
          <w:i/>
          <w:iCs/>
        </w:rPr>
        <w:t>Journal of Eastern African Studies</w:t>
      </w:r>
      <w:r w:rsidRPr="00E25215">
        <w:rPr>
          <w:rFonts w:cs="Times New Roman"/>
        </w:rPr>
        <w:t xml:space="preserve">, </w:t>
      </w:r>
      <w:r w:rsidRPr="00E25215">
        <w:rPr>
          <w:rFonts w:cs="Times New Roman"/>
          <w:i/>
          <w:iCs/>
        </w:rPr>
        <w:t>10</w:t>
      </w:r>
      <w:r w:rsidRPr="00E25215">
        <w:rPr>
          <w:rFonts w:cs="Times New Roman"/>
        </w:rPr>
        <w:t>(1), 111–129. https://doi.org/10.1080/17531055.2016.1138664</w:t>
      </w:r>
    </w:p>
    <w:p w14:paraId="05ECFE4A"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Becker, T., Dietz, H., Billeter, R., Buschmann, H., &amp; Edwards, P. J. (2005). Altitudinal distribution of alien plant species in the Swiss Alps. </w:t>
      </w:r>
      <w:r w:rsidRPr="00E25215">
        <w:rPr>
          <w:rFonts w:cs="Times New Roman"/>
          <w:i/>
          <w:iCs/>
        </w:rPr>
        <w:t>Perspectives in Plant Ecology, Evolution and Systematics</w:t>
      </w:r>
      <w:r w:rsidRPr="00E25215">
        <w:rPr>
          <w:rFonts w:cs="Times New Roman"/>
        </w:rPr>
        <w:t xml:space="preserve">, </w:t>
      </w:r>
      <w:r w:rsidRPr="00E25215">
        <w:rPr>
          <w:rFonts w:cs="Times New Roman"/>
          <w:i/>
          <w:iCs/>
        </w:rPr>
        <w:t>7</w:t>
      </w:r>
      <w:r w:rsidRPr="00E25215">
        <w:rPr>
          <w:rFonts w:cs="Times New Roman"/>
        </w:rPr>
        <w:t>(3), Article 3. https://doi.org/10.1016/j.ppees.2005.09.006</w:t>
      </w:r>
    </w:p>
    <w:p w14:paraId="6FE41141"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Bekele, K., Haji, J., Legesse, B., Shiferaw, H., &amp; Schaffner, U. (2018). Impacts of woody invasive alien plant species on rural livelihood: Generalized propensity score evidence from </w:t>
      </w:r>
      <w:r w:rsidRPr="00E25215">
        <w:rPr>
          <w:rFonts w:cs="Times New Roman"/>
          <w:i/>
          <w:iCs/>
        </w:rPr>
        <w:t>Prosopis</w:t>
      </w:r>
      <w:r w:rsidRPr="00E25215">
        <w:rPr>
          <w:rFonts w:cs="Times New Roman"/>
        </w:rPr>
        <w:t xml:space="preserve"> spp. invasion in Afar Region in Ethiopia. </w:t>
      </w:r>
      <w:r w:rsidRPr="00E25215">
        <w:rPr>
          <w:rFonts w:cs="Times New Roman"/>
          <w:i/>
          <w:iCs/>
        </w:rPr>
        <w:t>Pastoralism: Research, Policy and Practice</w:t>
      </w:r>
      <w:r w:rsidRPr="00E25215">
        <w:rPr>
          <w:rFonts w:cs="Times New Roman"/>
        </w:rPr>
        <w:t xml:space="preserve">, </w:t>
      </w:r>
      <w:r w:rsidRPr="00E25215">
        <w:rPr>
          <w:rFonts w:cs="Times New Roman"/>
          <w:i/>
          <w:iCs/>
        </w:rPr>
        <w:t>8</w:t>
      </w:r>
      <w:r w:rsidRPr="00E25215">
        <w:rPr>
          <w:rFonts w:cs="Times New Roman"/>
        </w:rPr>
        <w:t>(1), 28. https://doi.org/10.1186/s13570-018-0124-6</w:t>
      </w:r>
    </w:p>
    <w:p w14:paraId="1B76E98B" w14:textId="77777777" w:rsidR="001379C0" w:rsidRPr="00E25215" w:rsidRDefault="001379C0" w:rsidP="009B3E7F">
      <w:pPr>
        <w:pStyle w:val="Bibliography"/>
        <w:spacing w:before="0" w:after="0" w:line="240" w:lineRule="auto"/>
        <w:rPr>
          <w:rFonts w:cs="Times New Roman"/>
        </w:rPr>
      </w:pPr>
      <w:r w:rsidRPr="00E25215">
        <w:rPr>
          <w:rFonts w:cs="Times New Roman"/>
        </w:rPr>
        <w:t>Bell, D. J., &amp; Webb, N. J. (1991). Effects of climate on reproduction in the European wild rabbit (</w:t>
      </w:r>
      <w:r w:rsidRPr="00E25215">
        <w:rPr>
          <w:rFonts w:cs="Times New Roman"/>
          <w:i/>
          <w:iCs/>
        </w:rPr>
        <w:t>Oryctolugus cuniculus</w:t>
      </w:r>
      <w:r w:rsidRPr="00E25215">
        <w:rPr>
          <w:rFonts w:cs="Times New Roman"/>
        </w:rPr>
        <w:t xml:space="preserve">). </w:t>
      </w:r>
      <w:r w:rsidRPr="00E25215">
        <w:rPr>
          <w:rFonts w:cs="Times New Roman"/>
          <w:i/>
          <w:iCs/>
        </w:rPr>
        <w:t>Journal of Zoology</w:t>
      </w:r>
      <w:r w:rsidRPr="00E25215">
        <w:rPr>
          <w:rFonts w:cs="Times New Roman"/>
        </w:rPr>
        <w:t xml:space="preserve">, </w:t>
      </w:r>
      <w:r w:rsidRPr="00E25215">
        <w:rPr>
          <w:rFonts w:cs="Times New Roman"/>
          <w:i/>
          <w:iCs/>
        </w:rPr>
        <w:t>224</w:t>
      </w:r>
      <w:r w:rsidRPr="00E25215">
        <w:rPr>
          <w:rFonts w:cs="Times New Roman"/>
        </w:rPr>
        <w:t>(4), 639–648. https://doi.org/10.1111/j.1469-7998.1991.tb03792.x</w:t>
      </w:r>
    </w:p>
    <w:p w14:paraId="3BEA47F2"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Bell, F., &amp; Donnelly, L. (2006). </w:t>
      </w:r>
      <w:r w:rsidRPr="00E25215">
        <w:rPr>
          <w:rFonts w:cs="Times New Roman"/>
          <w:i/>
          <w:iCs/>
        </w:rPr>
        <w:t>Mining and its Impact on the Environment</w:t>
      </w:r>
      <w:r w:rsidRPr="00E25215">
        <w:rPr>
          <w:rFonts w:cs="Times New Roman"/>
        </w:rPr>
        <w:t>. CRC Press, Boca Raton, FL. https://www.crcpress.com/Mining-and-its-Impact-on-the-Environment/Bell-Donnelly/p/book/9780367390792</w:t>
      </w:r>
    </w:p>
    <w:p w14:paraId="25D6EF93"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Bellard, C., Leroy, B., Thuiller, W., Rysman, J.-F., &amp; Courchamp, F. (2016). Major drivers of invasion risks throughout the world. </w:t>
      </w:r>
      <w:r w:rsidRPr="00E25215">
        <w:rPr>
          <w:rFonts w:cs="Times New Roman"/>
          <w:i/>
          <w:iCs/>
        </w:rPr>
        <w:t>Ecosphere</w:t>
      </w:r>
      <w:r w:rsidRPr="00E25215">
        <w:rPr>
          <w:rFonts w:cs="Times New Roman"/>
        </w:rPr>
        <w:t xml:space="preserve">, </w:t>
      </w:r>
      <w:r w:rsidRPr="00E25215">
        <w:rPr>
          <w:rFonts w:cs="Times New Roman"/>
          <w:i/>
          <w:iCs/>
        </w:rPr>
        <w:t>7</w:t>
      </w:r>
      <w:r w:rsidRPr="00E25215">
        <w:rPr>
          <w:rFonts w:cs="Times New Roman"/>
        </w:rPr>
        <w:t>(3), e01241. https://doi.org/10.1002/ecs2.1241</w:t>
      </w:r>
    </w:p>
    <w:p w14:paraId="41B19A04"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Bellard, C., Thuiller, W., Leroy, B., Genovesi, P., Bakkenes, M., &amp; Courchamp, F. (2013). Will climate change promote future invasions? </w:t>
      </w:r>
      <w:r w:rsidRPr="00E25215">
        <w:rPr>
          <w:rFonts w:cs="Times New Roman"/>
          <w:i/>
          <w:iCs/>
        </w:rPr>
        <w:t>Global Change Biology</w:t>
      </w:r>
      <w:r w:rsidRPr="00E25215">
        <w:rPr>
          <w:rFonts w:cs="Times New Roman"/>
        </w:rPr>
        <w:t xml:space="preserve">, </w:t>
      </w:r>
      <w:r w:rsidRPr="00E25215">
        <w:rPr>
          <w:rFonts w:cs="Times New Roman"/>
          <w:i/>
          <w:iCs/>
        </w:rPr>
        <w:t>19</w:t>
      </w:r>
      <w:r w:rsidRPr="00E25215">
        <w:rPr>
          <w:rFonts w:cs="Times New Roman"/>
        </w:rPr>
        <w:t>(12), 3740–3748. https://doi.org/10.1111/gcb.12344</w:t>
      </w:r>
    </w:p>
    <w:p w14:paraId="556E6D75" w14:textId="77777777" w:rsidR="001379C0" w:rsidRPr="00E25215" w:rsidRDefault="001379C0" w:rsidP="009B3E7F">
      <w:pPr>
        <w:pStyle w:val="Bibliography"/>
        <w:spacing w:before="0" w:after="0" w:line="240" w:lineRule="auto"/>
        <w:rPr>
          <w:rFonts w:cs="Times New Roman"/>
        </w:rPr>
      </w:pPr>
      <w:r w:rsidRPr="00E25215">
        <w:rPr>
          <w:rFonts w:cs="Times New Roman"/>
        </w:rPr>
        <w:lastRenderedPageBreak/>
        <w:t xml:space="preserve">Bellingham, P. J., Tanner, E. V. J., &amp; Healey, J. R. (2005). Hurricane disturbance accelerates invasion by the alien tree </w:t>
      </w:r>
      <w:r w:rsidRPr="00E25215">
        <w:rPr>
          <w:rFonts w:cs="Times New Roman"/>
          <w:i/>
          <w:iCs/>
        </w:rPr>
        <w:t>Pittosporum undulatum</w:t>
      </w:r>
      <w:r w:rsidRPr="00E25215">
        <w:rPr>
          <w:rFonts w:cs="Times New Roman"/>
        </w:rPr>
        <w:t xml:space="preserve"> in Jamaican montane rain forests. </w:t>
      </w:r>
      <w:r w:rsidRPr="00E25215">
        <w:rPr>
          <w:rFonts w:cs="Times New Roman"/>
          <w:i/>
          <w:iCs/>
        </w:rPr>
        <w:t>Journal of Vegetation Science</w:t>
      </w:r>
      <w:r w:rsidRPr="00E25215">
        <w:rPr>
          <w:rFonts w:cs="Times New Roman"/>
        </w:rPr>
        <w:t xml:space="preserve">, </w:t>
      </w:r>
      <w:r w:rsidRPr="00E25215">
        <w:rPr>
          <w:rFonts w:cs="Times New Roman"/>
          <w:i/>
          <w:iCs/>
        </w:rPr>
        <w:t>16</w:t>
      </w:r>
      <w:r w:rsidRPr="00E25215">
        <w:rPr>
          <w:rFonts w:cs="Times New Roman"/>
        </w:rPr>
        <w:t>(6), 675–684.</w:t>
      </w:r>
    </w:p>
    <w:p w14:paraId="086A11D3"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Beltrán-Beck, B., García, F. J., &amp; Gortázar, C. (2012). Raccoons in Europe: Disease hazards due to the establishment of an invasive species. </w:t>
      </w:r>
      <w:r w:rsidRPr="00E25215">
        <w:rPr>
          <w:rFonts w:cs="Times New Roman"/>
          <w:i/>
          <w:iCs/>
        </w:rPr>
        <w:t>European Journal of Wildlife Research</w:t>
      </w:r>
      <w:r w:rsidRPr="00E25215">
        <w:rPr>
          <w:rFonts w:cs="Times New Roman"/>
        </w:rPr>
        <w:t xml:space="preserve">, </w:t>
      </w:r>
      <w:r w:rsidRPr="00E25215">
        <w:rPr>
          <w:rFonts w:cs="Times New Roman"/>
          <w:i/>
          <w:iCs/>
        </w:rPr>
        <w:t>58</w:t>
      </w:r>
      <w:r w:rsidRPr="00E25215">
        <w:rPr>
          <w:rFonts w:cs="Times New Roman"/>
        </w:rPr>
        <w:t>(1), 5–15. https://doi.org/10.1007/s10344-011-0600-4</w:t>
      </w:r>
    </w:p>
    <w:p w14:paraId="683A89D7"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Benedict, M. Q., Levine, R. S., Hawley, W. A., &amp; Lounibos, L. P. (2007). Spread of the tiger: Global risk of invasion by the mosquito </w:t>
      </w:r>
      <w:r w:rsidRPr="00E25215">
        <w:rPr>
          <w:rFonts w:cs="Times New Roman"/>
          <w:i/>
          <w:iCs/>
        </w:rPr>
        <w:t>Aedes albopictus</w:t>
      </w:r>
      <w:r w:rsidRPr="00E25215">
        <w:rPr>
          <w:rFonts w:cs="Times New Roman"/>
        </w:rPr>
        <w:t xml:space="preserve">. </w:t>
      </w:r>
      <w:r w:rsidRPr="00E25215">
        <w:rPr>
          <w:rFonts w:cs="Times New Roman"/>
          <w:i/>
          <w:iCs/>
        </w:rPr>
        <w:t>Vector-Borne and Zoonotic Diseases</w:t>
      </w:r>
      <w:r w:rsidRPr="00E25215">
        <w:rPr>
          <w:rFonts w:cs="Times New Roman"/>
        </w:rPr>
        <w:t xml:space="preserve">, </w:t>
      </w:r>
      <w:r w:rsidRPr="00E25215">
        <w:rPr>
          <w:rFonts w:cs="Times New Roman"/>
          <w:i/>
          <w:iCs/>
        </w:rPr>
        <w:t>7</w:t>
      </w:r>
      <w:r w:rsidRPr="00E25215">
        <w:rPr>
          <w:rFonts w:cs="Times New Roman"/>
        </w:rPr>
        <w:t>(1), 76–85. https://doi.org/10.1089/vbz.2006.0562</w:t>
      </w:r>
    </w:p>
    <w:p w14:paraId="28C6F42B"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Bennett, B. M. (2010). The El Dorado of Forestry: The Eucalyptus in India, South Africa, and Thailand, 1850–2000. </w:t>
      </w:r>
      <w:r w:rsidRPr="00E25215">
        <w:rPr>
          <w:rFonts w:cs="Times New Roman"/>
          <w:i/>
          <w:iCs/>
        </w:rPr>
        <w:t>International Review of Social History</w:t>
      </w:r>
      <w:r w:rsidRPr="00E25215">
        <w:rPr>
          <w:rFonts w:cs="Times New Roman"/>
        </w:rPr>
        <w:t xml:space="preserve">, </w:t>
      </w:r>
      <w:r w:rsidRPr="00E25215">
        <w:rPr>
          <w:rFonts w:cs="Times New Roman"/>
          <w:i/>
          <w:iCs/>
        </w:rPr>
        <w:t>55</w:t>
      </w:r>
      <w:r w:rsidRPr="00E25215">
        <w:rPr>
          <w:rFonts w:cs="Times New Roman"/>
        </w:rPr>
        <w:t>(S18), 27–50. https://doi.org/10.1017/S0020859010000489</w:t>
      </w:r>
    </w:p>
    <w:p w14:paraId="7391E125"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Bennett, B. M. (2011). Naturalising Australian Trees in South Africa: Climate, Exotics and Experimentation. </w:t>
      </w:r>
      <w:r w:rsidRPr="00E25215">
        <w:rPr>
          <w:rFonts w:cs="Times New Roman"/>
          <w:i/>
          <w:iCs/>
        </w:rPr>
        <w:t>Journal of Southern African Studies</w:t>
      </w:r>
      <w:r w:rsidRPr="00E25215">
        <w:rPr>
          <w:rFonts w:cs="Times New Roman"/>
        </w:rPr>
        <w:t xml:space="preserve">, </w:t>
      </w:r>
      <w:r w:rsidRPr="00E25215">
        <w:rPr>
          <w:rFonts w:cs="Times New Roman"/>
          <w:i/>
          <w:iCs/>
        </w:rPr>
        <w:t>37</w:t>
      </w:r>
      <w:r w:rsidRPr="00E25215">
        <w:rPr>
          <w:rFonts w:cs="Times New Roman"/>
        </w:rPr>
        <w:t>(2), Article 2. https://doi.org/10.1080/03057070.2011.579434</w:t>
      </w:r>
    </w:p>
    <w:p w14:paraId="3E774C3E"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Bergquist, E., Evangelista, P., Stohlgren, T. J., &amp; Alley, N. (2007). Invasive Species and Coal Bed Methane Development in the Powder River Basin, Wyoming. </w:t>
      </w:r>
      <w:r w:rsidRPr="00E25215">
        <w:rPr>
          <w:rFonts w:cs="Times New Roman"/>
          <w:i/>
          <w:iCs/>
        </w:rPr>
        <w:t>Environmental Monitoring and Assessment</w:t>
      </w:r>
      <w:r w:rsidRPr="00E25215">
        <w:rPr>
          <w:rFonts w:cs="Times New Roman"/>
        </w:rPr>
        <w:t xml:space="preserve">, </w:t>
      </w:r>
      <w:r w:rsidRPr="00E25215">
        <w:rPr>
          <w:rFonts w:cs="Times New Roman"/>
          <w:i/>
          <w:iCs/>
        </w:rPr>
        <w:t>128</w:t>
      </w:r>
      <w:r w:rsidRPr="00E25215">
        <w:rPr>
          <w:rFonts w:cs="Times New Roman"/>
        </w:rPr>
        <w:t>(1–3), 381–394. https://doi.org/10.1007/s10661-006-9321-7</w:t>
      </w:r>
    </w:p>
    <w:p w14:paraId="01B4AD7C"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Berntsen, H. H., Sandlund, O. T., &amp; Thorstad, E. B. (2022). Pukkellaks i Norge 2021. In </w:t>
      </w:r>
      <w:r w:rsidRPr="00E25215">
        <w:rPr>
          <w:rFonts w:cs="Times New Roman"/>
          <w:i/>
          <w:iCs/>
        </w:rPr>
        <w:t>34</w:t>
      </w:r>
      <w:r w:rsidRPr="00E25215">
        <w:rPr>
          <w:rFonts w:cs="Times New Roman"/>
        </w:rPr>
        <w:t>. Norsk institutt for naturforskning (NINA). https://brage.nina.no/nina-xmlui/handle/11250/3018858</w:t>
      </w:r>
    </w:p>
    <w:p w14:paraId="0B70220D"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Bertelsmeier, C., Ollier, S., Liebhold, A., &amp; Keller, L. (2017). Recent human history governs global ant invasion dynamics. </w:t>
      </w:r>
      <w:r w:rsidRPr="00E25215">
        <w:rPr>
          <w:rFonts w:cs="Times New Roman"/>
          <w:i/>
          <w:iCs/>
        </w:rPr>
        <w:t>Nature Ecology &amp; Evolution</w:t>
      </w:r>
      <w:r w:rsidRPr="00E25215">
        <w:rPr>
          <w:rFonts w:cs="Times New Roman"/>
        </w:rPr>
        <w:t xml:space="preserve">, </w:t>
      </w:r>
      <w:r w:rsidRPr="00E25215">
        <w:rPr>
          <w:rFonts w:cs="Times New Roman"/>
          <w:i/>
          <w:iCs/>
        </w:rPr>
        <w:t>1</w:t>
      </w:r>
      <w:r w:rsidRPr="00E25215">
        <w:rPr>
          <w:rFonts w:cs="Times New Roman"/>
        </w:rPr>
        <w:t>(7), Article 7. https://doi.org/10.1038/s41559-017-0184</w:t>
      </w:r>
    </w:p>
    <w:p w14:paraId="67D70272"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Bhattarai, G. P., &amp; Cronin, J. T. (2014). Hurricane Activity and the Large-Scale Pattern of Spread of an Invasive Plant Species. </w:t>
      </w:r>
      <w:r w:rsidRPr="00E25215">
        <w:rPr>
          <w:rFonts w:cs="Times New Roman"/>
          <w:i/>
          <w:iCs/>
        </w:rPr>
        <w:t>PLoS ONE</w:t>
      </w:r>
      <w:r w:rsidRPr="00E25215">
        <w:rPr>
          <w:rFonts w:cs="Times New Roman"/>
        </w:rPr>
        <w:t xml:space="preserve">, </w:t>
      </w:r>
      <w:r w:rsidRPr="00E25215">
        <w:rPr>
          <w:rFonts w:cs="Times New Roman"/>
          <w:i/>
          <w:iCs/>
        </w:rPr>
        <w:t>9</w:t>
      </w:r>
      <w:r w:rsidRPr="00E25215">
        <w:rPr>
          <w:rFonts w:cs="Times New Roman"/>
        </w:rPr>
        <w:t>(5), e98478. https://doi.org/10.1371/journal.pone.0098478</w:t>
      </w:r>
    </w:p>
    <w:p w14:paraId="3E85C950"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Bij de Vaate, A., Jazdzewski, K., Ketelaars, H. A. M., Gollasch, S., &amp; Van der Velde, G. (2002). Geographical patterns in range extension of Ponto-Caspian macroinvertebrate species in Europe. </w:t>
      </w:r>
      <w:r w:rsidRPr="00E25215">
        <w:rPr>
          <w:rFonts w:cs="Times New Roman"/>
          <w:i/>
          <w:iCs/>
        </w:rPr>
        <w:t>Canadian Journal of Fisheries and Aquatic Sciences</w:t>
      </w:r>
      <w:r w:rsidRPr="00E25215">
        <w:rPr>
          <w:rFonts w:cs="Times New Roman"/>
        </w:rPr>
        <w:t xml:space="preserve">, </w:t>
      </w:r>
      <w:r w:rsidRPr="00E25215">
        <w:rPr>
          <w:rFonts w:cs="Times New Roman"/>
          <w:i/>
          <w:iCs/>
        </w:rPr>
        <w:t>59</w:t>
      </w:r>
      <w:r w:rsidRPr="00E25215">
        <w:rPr>
          <w:rFonts w:cs="Times New Roman"/>
        </w:rPr>
        <w:t>(7), 1159–1174. https://doi.org/10.1139/f02-098</w:t>
      </w:r>
    </w:p>
    <w:p w14:paraId="2D88E0EC"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Biton, E. (2020). Possible implications of sea level changes for species migration through the Suez Canal. </w:t>
      </w:r>
      <w:r w:rsidRPr="00E25215">
        <w:rPr>
          <w:rFonts w:cs="Times New Roman"/>
          <w:i/>
          <w:iCs/>
        </w:rPr>
        <w:t>Scientific Reports</w:t>
      </w:r>
      <w:r w:rsidRPr="00E25215">
        <w:rPr>
          <w:rFonts w:cs="Times New Roman"/>
        </w:rPr>
        <w:t xml:space="preserve">, </w:t>
      </w:r>
      <w:r w:rsidRPr="00E25215">
        <w:rPr>
          <w:rFonts w:cs="Times New Roman"/>
          <w:i/>
          <w:iCs/>
        </w:rPr>
        <w:t>10</w:t>
      </w:r>
      <w:r w:rsidRPr="00E25215">
        <w:rPr>
          <w:rFonts w:cs="Times New Roman"/>
        </w:rPr>
        <w:t>(1), 21195. https://doi.org/10.1038/s41598-020-78313-2</w:t>
      </w:r>
    </w:p>
    <w:p w14:paraId="772995EC"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Blackburn, T. M., Pyšek, P., Bacher, S., Carlton, J. T., Duncan, R. P., Jarošík, V., Wilson, J. R. U., &amp; Richardson, D. M. (2011). A proposed unified framework for biological invasions. </w:t>
      </w:r>
      <w:r w:rsidRPr="00E25215">
        <w:rPr>
          <w:rFonts w:cs="Times New Roman"/>
          <w:i/>
          <w:iCs/>
        </w:rPr>
        <w:t>Trends in Ecology &amp; Evolution</w:t>
      </w:r>
      <w:r w:rsidRPr="00E25215">
        <w:rPr>
          <w:rFonts w:cs="Times New Roman"/>
        </w:rPr>
        <w:t xml:space="preserve">, </w:t>
      </w:r>
      <w:r w:rsidRPr="00E25215">
        <w:rPr>
          <w:rFonts w:cs="Times New Roman"/>
          <w:i/>
          <w:iCs/>
        </w:rPr>
        <w:t>26</w:t>
      </w:r>
      <w:r w:rsidRPr="00E25215">
        <w:rPr>
          <w:rFonts w:cs="Times New Roman"/>
        </w:rPr>
        <w:t>(7), 333–339. https://doi.org/10.1016/j.tree.2011.03.023</w:t>
      </w:r>
    </w:p>
    <w:p w14:paraId="116976EC"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Blanco-Aguiar, J. A., González-Jara, P., Ferrero, M. E., Sánchez-Barbudo, I., Virgós, E., Villafuerte, R., &amp; Dávila, J. A. (2008). Assessment of game restocking contributions to anthropogenic hybridization: The case of the Iberian red-legged partridge. </w:t>
      </w:r>
      <w:r w:rsidRPr="00E25215">
        <w:rPr>
          <w:rFonts w:cs="Times New Roman"/>
          <w:i/>
          <w:iCs/>
        </w:rPr>
        <w:t>Animal Conservation</w:t>
      </w:r>
      <w:r w:rsidRPr="00E25215">
        <w:rPr>
          <w:rFonts w:cs="Times New Roman"/>
        </w:rPr>
        <w:t xml:space="preserve">, </w:t>
      </w:r>
      <w:r w:rsidRPr="00E25215">
        <w:rPr>
          <w:rFonts w:cs="Times New Roman"/>
          <w:i/>
          <w:iCs/>
        </w:rPr>
        <w:t>11</w:t>
      </w:r>
      <w:r w:rsidRPr="00E25215">
        <w:rPr>
          <w:rFonts w:cs="Times New Roman"/>
        </w:rPr>
        <w:t>(6), 535–545. https://doi.org/10.1111/j.1469-1795.2008.00212.x</w:t>
      </w:r>
    </w:p>
    <w:p w14:paraId="1603FCB3"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Boer, M. M., Dios, V. R. de, &amp; Bradstock, R. A. (2020). Unprecedented burn area of Australian mega forest fires. </w:t>
      </w:r>
      <w:r w:rsidRPr="00E25215">
        <w:rPr>
          <w:rFonts w:cs="Times New Roman"/>
          <w:i/>
          <w:iCs/>
        </w:rPr>
        <w:t>Nature Climate Change</w:t>
      </w:r>
      <w:r w:rsidRPr="00E25215">
        <w:rPr>
          <w:rFonts w:cs="Times New Roman"/>
        </w:rPr>
        <w:t xml:space="preserve">, </w:t>
      </w:r>
      <w:r w:rsidRPr="00E25215">
        <w:rPr>
          <w:rFonts w:cs="Times New Roman"/>
          <w:i/>
          <w:iCs/>
        </w:rPr>
        <w:t>10</w:t>
      </w:r>
      <w:r w:rsidRPr="00E25215">
        <w:rPr>
          <w:rFonts w:cs="Times New Roman"/>
        </w:rPr>
        <w:t>(3), Article 3. https://doi.org/10.1038/s41558-020-0716-1</w:t>
      </w:r>
    </w:p>
    <w:p w14:paraId="32022503"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Bolstad, G. H., Hindar, K., Robertsen, G., Jonsson, B., Sægrov, H., Diserud, O. H., Fiske, P., Jensen, A. J., Urdal, K., Næsje, T. F., Barlaup, B. T., Florø-Larsen, B., Lo, H., Niemelä, E., &amp; Karlsson, S. (2017). Gene flow from domesticated escapes alters the life history of wild Atlantic salmon. </w:t>
      </w:r>
      <w:r w:rsidRPr="00E25215">
        <w:rPr>
          <w:rFonts w:cs="Times New Roman"/>
          <w:i/>
          <w:iCs/>
        </w:rPr>
        <w:t>Nature Ecology &amp; Evolution</w:t>
      </w:r>
      <w:r w:rsidRPr="00E25215">
        <w:rPr>
          <w:rFonts w:cs="Times New Roman"/>
        </w:rPr>
        <w:t xml:space="preserve">, </w:t>
      </w:r>
      <w:r w:rsidRPr="00E25215">
        <w:rPr>
          <w:rFonts w:cs="Times New Roman"/>
          <w:i/>
          <w:iCs/>
        </w:rPr>
        <w:t>1</w:t>
      </w:r>
      <w:r w:rsidRPr="00E25215">
        <w:rPr>
          <w:rFonts w:cs="Times New Roman"/>
        </w:rPr>
        <w:t>(5), 124. https://doi.org/10.1038/s41559-017-0124</w:t>
      </w:r>
    </w:p>
    <w:p w14:paraId="1752B098" w14:textId="77777777" w:rsidR="001379C0" w:rsidRPr="00E25215" w:rsidRDefault="001379C0" w:rsidP="009B3E7F">
      <w:pPr>
        <w:pStyle w:val="Bibliography"/>
        <w:spacing w:before="0" w:after="0" w:line="240" w:lineRule="auto"/>
        <w:rPr>
          <w:rFonts w:cs="Times New Roman"/>
        </w:rPr>
      </w:pPr>
      <w:r w:rsidRPr="00E25215">
        <w:rPr>
          <w:rFonts w:cs="Times New Roman"/>
        </w:rPr>
        <w:t>Bond, W. J., &amp; Midgley, G. F. (2000). A proposed CO</w:t>
      </w:r>
      <w:r w:rsidRPr="00E25215">
        <w:rPr>
          <w:rFonts w:cs="Times New Roman"/>
          <w:vertAlign w:val="subscript"/>
        </w:rPr>
        <w:t>2</w:t>
      </w:r>
      <w:r w:rsidRPr="00E25215">
        <w:rPr>
          <w:rFonts w:cs="Times New Roman"/>
        </w:rPr>
        <w:t xml:space="preserve">-controlled mechanism of woody plant invasion in grasslands and savannas. </w:t>
      </w:r>
      <w:r w:rsidRPr="00E25215">
        <w:rPr>
          <w:rFonts w:cs="Times New Roman"/>
          <w:i/>
          <w:iCs/>
        </w:rPr>
        <w:t>Global Change Biology</w:t>
      </w:r>
      <w:r w:rsidRPr="00E25215">
        <w:rPr>
          <w:rFonts w:cs="Times New Roman"/>
        </w:rPr>
        <w:t xml:space="preserve">, </w:t>
      </w:r>
      <w:r w:rsidRPr="00E25215">
        <w:rPr>
          <w:rFonts w:cs="Times New Roman"/>
          <w:i/>
          <w:iCs/>
        </w:rPr>
        <w:t>6</w:t>
      </w:r>
      <w:r w:rsidRPr="00E25215">
        <w:rPr>
          <w:rFonts w:cs="Times New Roman"/>
        </w:rPr>
        <w:t>(8), 865–869. https://doi.org/10.1046/j.1365-2486.2000.00365.x</w:t>
      </w:r>
    </w:p>
    <w:p w14:paraId="5A4D7C27" w14:textId="77777777" w:rsidR="001379C0" w:rsidRPr="00E25215" w:rsidRDefault="001379C0" w:rsidP="009B3E7F">
      <w:pPr>
        <w:pStyle w:val="Bibliography"/>
        <w:spacing w:before="0" w:after="0" w:line="240" w:lineRule="auto"/>
        <w:rPr>
          <w:rFonts w:cs="Times New Roman"/>
        </w:rPr>
      </w:pPr>
      <w:r w:rsidRPr="00E25215">
        <w:rPr>
          <w:rFonts w:cs="Times New Roman"/>
        </w:rPr>
        <w:lastRenderedPageBreak/>
        <w:t xml:space="preserve">Bonebrake, T. C., Guo, F., Dingle, C., Baker, D. M., Kitching, R. L., &amp; Ashton, L. A. (2019). Integrating Proximal and Horizon Threats to Biodiversity for Conservation. </w:t>
      </w:r>
      <w:r w:rsidRPr="00E25215">
        <w:rPr>
          <w:rFonts w:cs="Times New Roman"/>
          <w:i/>
          <w:iCs/>
        </w:rPr>
        <w:t>Trends in Ecology &amp; Evolution</w:t>
      </w:r>
      <w:r w:rsidRPr="00E25215">
        <w:rPr>
          <w:rFonts w:cs="Times New Roman"/>
        </w:rPr>
        <w:t xml:space="preserve">, </w:t>
      </w:r>
      <w:r w:rsidRPr="00E25215">
        <w:rPr>
          <w:rFonts w:cs="Times New Roman"/>
          <w:i/>
          <w:iCs/>
        </w:rPr>
        <w:t>34</w:t>
      </w:r>
      <w:r w:rsidRPr="00E25215">
        <w:rPr>
          <w:rFonts w:cs="Times New Roman"/>
        </w:rPr>
        <w:t>(9), 781–788. https://doi.org/10.1016/j.tree.2019.04.001</w:t>
      </w:r>
    </w:p>
    <w:p w14:paraId="69A0C233"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Bonesi, L., &amp; Palazon, S. (2007). The American mink in Europe: Status, impacts, and control. </w:t>
      </w:r>
      <w:r w:rsidRPr="00E25215">
        <w:rPr>
          <w:rFonts w:cs="Times New Roman"/>
          <w:i/>
          <w:iCs/>
        </w:rPr>
        <w:t>Biological Conservation</w:t>
      </w:r>
      <w:r w:rsidRPr="00E25215">
        <w:rPr>
          <w:rFonts w:cs="Times New Roman"/>
        </w:rPr>
        <w:t xml:space="preserve">, </w:t>
      </w:r>
      <w:r w:rsidRPr="00E25215">
        <w:rPr>
          <w:rFonts w:cs="Times New Roman"/>
          <w:i/>
          <w:iCs/>
        </w:rPr>
        <w:t>134</w:t>
      </w:r>
      <w:r w:rsidRPr="00E25215">
        <w:rPr>
          <w:rFonts w:cs="Times New Roman"/>
        </w:rPr>
        <w:t>(4), 470–483. https://doi.org/10.1016/j.biocon.2006.09.006</w:t>
      </w:r>
    </w:p>
    <w:p w14:paraId="57471D28"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Borer, E. T., Grace, J. B., Harpole, W. S., MacDougall, A. S., &amp; Seabloom, E. W. (2017). A decade of insights into grassland ecosystem responses to global environmental change. </w:t>
      </w:r>
      <w:r w:rsidRPr="00E25215">
        <w:rPr>
          <w:rFonts w:cs="Times New Roman"/>
          <w:i/>
          <w:iCs/>
        </w:rPr>
        <w:t>Nature Ecology &amp; Evolution</w:t>
      </w:r>
      <w:r w:rsidRPr="00E25215">
        <w:rPr>
          <w:rFonts w:cs="Times New Roman"/>
        </w:rPr>
        <w:t xml:space="preserve">, </w:t>
      </w:r>
      <w:r w:rsidRPr="00E25215">
        <w:rPr>
          <w:rFonts w:cs="Times New Roman"/>
          <w:i/>
          <w:iCs/>
        </w:rPr>
        <w:t>1</w:t>
      </w:r>
      <w:r w:rsidRPr="00E25215">
        <w:rPr>
          <w:rFonts w:cs="Times New Roman"/>
        </w:rPr>
        <w:t>(5), Article 5. https://doi.org/10.1038/s41559-017-0118</w:t>
      </w:r>
    </w:p>
    <w:p w14:paraId="5E366052"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Boudouresque, C.-F., Blanfuné, A., Pergent, G., &amp; Thibaut, T. (2021). Restoration of Seagrass Meadows in the Mediterranean Sea: A Critical Review of Effectiveness and Ethical Issues. </w:t>
      </w:r>
      <w:r w:rsidRPr="00E25215">
        <w:rPr>
          <w:rFonts w:cs="Times New Roman"/>
          <w:i/>
          <w:iCs/>
        </w:rPr>
        <w:t>Water</w:t>
      </w:r>
      <w:r w:rsidRPr="00E25215">
        <w:rPr>
          <w:rFonts w:cs="Times New Roman"/>
        </w:rPr>
        <w:t xml:space="preserve">, </w:t>
      </w:r>
      <w:r w:rsidRPr="00E25215">
        <w:rPr>
          <w:rFonts w:cs="Times New Roman"/>
          <w:i/>
          <w:iCs/>
        </w:rPr>
        <w:t>13</w:t>
      </w:r>
      <w:r w:rsidRPr="00E25215">
        <w:rPr>
          <w:rFonts w:cs="Times New Roman"/>
        </w:rPr>
        <w:t>(8), 1034. https://doi.org/10.3390/w13081034</w:t>
      </w:r>
    </w:p>
    <w:p w14:paraId="671A0CFE"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Boudouresque, C.-F., &amp; Verlaque, M. (2012). An overview of species introduction and invasion processes in marine and coastal lagoon habitats. </w:t>
      </w:r>
      <w:r w:rsidRPr="00E25215">
        <w:rPr>
          <w:rFonts w:cs="Times New Roman"/>
          <w:i/>
          <w:iCs/>
        </w:rPr>
        <w:t>Cahiers de Biologie Marine</w:t>
      </w:r>
      <w:r w:rsidRPr="00E25215">
        <w:rPr>
          <w:rFonts w:cs="Times New Roman"/>
        </w:rPr>
        <w:t xml:space="preserve">, </w:t>
      </w:r>
      <w:r w:rsidRPr="00E25215">
        <w:rPr>
          <w:rFonts w:cs="Times New Roman"/>
          <w:i/>
          <w:iCs/>
        </w:rPr>
        <w:t>53</w:t>
      </w:r>
      <w:r w:rsidRPr="00E25215">
        <w:rPr>
          <w:rFonts w:cs="Times New Roman"/>
        </w:rPr>
        <w:t>, 309–317.</w:t>
      </w:r>
    </w:p>
    <w:p w14:paraId="6D7158FE" w14:textId="77777777" w:rsidR="001379C0" w:rsidRPr="00E25215" w:rsidRDefault="001379C0" w:rsidP="009B3E7F">
      <w:pPr>
        <w:pStyle w:val="Bibliography"/>
        <w:spacing w:before="0" w:after="0" w:line="240" w:lineRule="auto"/>
        <w:rPr>
          <w:rFonts w:cs="Times New Roman"/>
        </w:rPr>
      </w:pPr>
      <w:r w:rsidRPr="00E25215">
        <w:rPr>
          <w:rFonts w:cs="Times New Roman"/>
        </w:rPr>
        <w:t>Bowler, D. E., Bjorkman, A. D., Dornelas, M., Myers</w:t>
      </w:r>
      <w:r w:rsidRPr="00E25215">
        <w:rPr>
          <w:rFonts w:cs="Times New Roman" w:hint="eastAsia"/>
        </w:rPr>
        <w:t>‐</w:t>
      </w:r>
      <w:r w:rsidRPr="00E25215">
        <w:rPr>
          <w:rFonts w:cs="Times New Roman"/>
        </w:rPr>
        <w:t>Smith, I. H., Navarro, L. M., Niamir, A., Supp, S. R., Waldock, C., Winter, M., Vellend, M., Blowes, S. A., Böhning</w:t>
      </w:r>
      <w:r w:rsidRPr="00E25215">
        <w:rPr>
          <w:rFonts w:cs="Times New Roman" w:hint="eastAsia"/>
        </w:rPr>
        <w:t>‐</w:t>
      </w:r>
      <w:r w:rsidRPr="00E25215">
        <w:rPr>
          <w:rFonts w:cs="Times New Roman"/>
        </w:rPr>
        <w:t xml:space="preserve">Gaese, K., Bruelheide, H., Elahi, R., Antão, L. H., Hines, J., Isbell, F., Jones, H. P., Magurran, A. E., … Bates, A. E. (2020). Mapping human pressures on biodiversity across the planet uncovers anthropogenic threat complexes. </w:t>
      </w:r>
      <w:r w:rsidRPr="00E25215">
        <w:rPr>
          <w:rFonts w:cs="Times New Roman"/>
          <w:i/>
          <w:iCs/>
        </w:rPr>
        <w:t>People and Nature</w:t>
      </w:r>
      <w:r w:rsidRPr="00E25215">
        <w:rPr>
          <w:rFonts w:cs="Times New Roman"/>
        </w:rPr>
        <w:t xml:space="preserve">, </w:t>
      </w:r>
      <w:r w:rsidRPr="00E25215">
        <w:rPr>
          <w:rFonts w:cs="Times New Roman"/>
          <w:i/>
          <w:iCs/>
        </w:rPr>
        <w:t>2</w:t>
      </w:r>
      <w:r w:rsidRPr="00E25215">
        <w:rPr>
          <w:rFonts w:cs="Times New Roman"/>
        </w:rPr>
        <w:t>(2), 380–394. https://doi.org/10.1002/pan3.10071</w:t>
      </w:r>
    </w:p>
    <w:p w14:paraId="306FF79E"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Bradley, B. A., Blumenthal, D. M., Early, R., Grosholz, E. D., Lawler, J. J., Miller, L. P., Sorte, C. J. B., D’Antonio, C. M., Diez, J. M., Dukes, J. S., Ibanez, I., &amp; Olden, J. D. (2012). Global change, global trade, and the next wave of plant invasions. </w:t>
      </w:r>
      <w:r w:rsidRPr="00E25215">
        <w:rPr>
          <w:rFonts w:cs="Times New Roman"/>
          <w:i/>
          <w:iCs/>
        </w:rPr>
        <w:t>Frontiers in Ecology and the Environment</w:t>
      </w:r>
      <w:r w:rsidRPr="00E25215">
        <w:rPr>
          <w:rFonts w:cs="Times New Roman"/>
        </w:rPr>
        <w:t xml:space="preserve">, </w:t>
      </w:r>
      <w:r w:rsidRPr="00E25215">
        <w:rPr>
          <w:rFonts w:cs="Times New Roman"/>
          <w:i/>
          <w:iCs/>
        </w:rPr>
        <w:t>10</w:t>
      </w:r>
      <w:r w:rsidRPr="00E25215">
        <w:rPr>
          <w:rFonts w:cs="Times New Roman"/>
        </w:rPr>
        <w:t>(1), 20–28. https://doi.org/10.1890/110145</w:t>
      </w:r>
    </w:p>
    <w:p w14:paraId="527B3F3D"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Bradley, B. A., Blumenthal, D. M., Wilcove, D. S., &amp; Ziska, L. H. (2010). Predicting plant invasions in an era of global change. </w:t>
      </w:r>
      <w:r w:rsidRPr="00E25215">
        <w:rPr>
          <w:rFonts w:cs="Times New Roman"/>
          <w:i/>
          <w:iCs/>
        </w:rPr>
        <w:t>Trends in Ecology &amp; Evolution</w:t>
      </w:r>
      <w:r w:rsidRPr="00E25215">
        <w:rPr>
          <w:rFonts w:cs="Times New Roman"/>
        </w:rPr>
        <w:t xml:space="preserve">, </w:t>
      </w:r>
      <w:r w:rsidRPr="00E25215">
        <w:rPr>
          <w:rFonts w:cs="Times New Roman"/>
          <w:i/>
          <w:iCs/>
        </w:rPr>
        <w:t>25</w:t>
      </w:r>
      <w:r w:rsidRPr="00E25215">
        <w:rPr>
          <w:rFonts w:cs="Times New Roman"/>
        </w:rPr>
        <w:t>(5), 310–318. https://doi.org/10.1016/j.tree.2009.12.003</w:t>
      </w:r>
    </w:p>
    <w:p w14:paraId="5D35F501"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Braga, R. R., Gómez Aparicio, L., Heger, T., Vitule, J. R. S., Jeschke, J. M., Jeschke, J. M., &amp; Heger, T. (2018). Invasional meltdown hypothesis. </w:t>
      </w:r>
      <w:r w:rsidRPr="00E25215">
        <w:rPr>
          <w:rFonts w:cs="Times New Roman"/>
          <w:i/>
          <w:iCs/>
        </w:rPr>
        <w:t>Invasion Biology: Hypotheses and Evidence</w:t>
      </w:r>
      <w:r w:rsidRPr="00E25215">
        <w:rPr>
          <w:rFonts w:cs="Times New Roman"/>
        </w:rPr>
        <w:t>, 79–91.</w:t>
      </w:r>
    </w:p>
    <w:p w14:paraId="7A050C23"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Braga, R. R., Gómez-Aparicio, L., Heger, T., Vitule, J. R. S., &amp; Jeschke, J. M. (2018). Structuring evidence for invasional meltdown: Broad support but with biases and gaps. </w:t>
      </w:r>
      <w:r w:rsidRPr="00E25215">
        <w:rPr>
          <w:rFonts w:cs="Times New Roman"/>
          <w:i/>
          <w:iCs/>
        </w:rPr>
        <w:t>Biological Invasions</w:t>
      </w:r>
      <w:r w:rsidRPr="00E25215">
        <w:rPr>
          <w:rFonts w:cs="Times New Roman"/>
        </w:rPr>
        <w:t xml:space="preserve">, </w:t>
      </w:r>
      <w:r w:rsidRPr="00E25215">
        <w:rPr>
          <w:rFonts w:cs="Times New Roman"/>
          <w:i/>
          <w:iCs/>
        </w:rPr>
        <w:t>20</w:t>
      </w:r>
      <w:r w:rsidRPr="00E25215">
        <w:rPr>
          <w:rFonts w:cs="Times New Roman"/>
        </w:rPr>
        <w:t>(4), 923–936. https://doi.org/10.1007/s10530-017-1582-2</w:t>
      </w:r>
    </w:p>
    <w:p w14:paraId="2EAFA6AF"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Braimah, H., &amp; Timbilla, J. A. (2002). A decade of successful biological control of Siam weed, </w:t>
      </w:r>
      <w:r w:rsidRPr="00E25215">
        <w:rPr>
          <w:rFonts w:cs="Times New Roman"/>
          <w:i/>
          <w:iCs/>
        </w:rPr>
        <w:t>Chromolaena odorata</w:t>
      </w:r>
      <w:r w:rsidRPr="00E25215">
        <w:rPr>
          <w:rFonts w:cs="Times New Roman"/>
        </w:rPr>
        <w:t xml:space="preserve"> in Ghana: Lessons and future plans. </w:t>
      </w:r>
      <w:r w:rsidRPr="00E25215">
        <w:rPr>
          <w:rFonts w:cs="Times New Roman"/>
          <w:i/>
          <w:iCs/>
        </w:rPr>
        <w:t>Proceedings of the Fifth International Workshop on the Biological Control and Management of Chromolaena Odorata</w:t>
      </w:r>
      <w:r w:rsidRPr="00E25215">
        <w:rPr>
          <w:rFonts w:cs="Times New Roman"/>
        </w:rPr>
        <w:t>, 58–65.</w:t>
      </w:r>
    </w:p>
    <w:p w14:paraId="239A46BE"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Brasier, C. M., &amp; Buck, K. W. (2001). Rapid Evolutionary Changes in a Globally Invading Fungal Pathogen (Dutch Elm Disease). </w:t>
      </w:r>
      <w:r w:rsidRPr="00E25215">
        <w:rPr>
          <w:rFonts w:cs="Times New Roman"/>
          <w:i/>
          <w:iCs/>
        </w:rPr>
        <w:t>Biological Invasions</w:t>
      </w:r>
      <w:r w:rsidRPr="00E25215">
        <w:rPr>
          <w:rFonts w:cs="Times New Roman"/>
        </w:rPr>
        <w:t xml:space="preserve">, </w:t>
      </w:r>
      <w:r w:rsidRPr="00E25215">
        <w:rPr>
          <w:rFonts w:cs="Times New Roman"/>
          <w:i/>
          <w:iCs/>
        </w:rPr>
        <w:t>3</w:t>
      </w:r>
      <w:r w:rsidRPr="00E25215">
        <w:rPr>
          <w:rFonts w:cs="Times New Roman"/>
        </w:rPr>
        <w:t>(3), 223–233. https://doi.org/10.1023/A:1015248819864</w:t>
      </w:r>
    </w:p>
    <w:p w14:paraId="70989F38" w14:textId="77777777" w:rsidR="001379C0" w:rsidRPr="00E25215" w:rsidRDefault="001379C0" w:rsidP="009B3E7F">
      <w:pPr>
        <w:pStyle w:val="Bibliography"/>
        <w:spacing w:before="0" w:after="0" w:line="240" w:lineRule="auto"/>
        <w:rPr>
          <w:rFonts w:cs="Times New Roman"/>
        </w:rPr>
      </w:pPr>
      <w:r w:rsidRPr="00E25215">
        <w:rPr>
          <w:rFonts w:cs="Times New Roman"/>
        </w:rPr>
        <w:t>Bridgman, L. J., Benitez, V. V., Graña Grilli, M., Mufato, N., Acosta, D., &amp; Guichón, M. L. (2012). Short perceptual range and yet successful invasion of a fragmented landscape: The case of the red-bellied tree squirrel (</w:t>
      </w:r>
      <w:r w:rsidRPr="00E25215">
        <w:rPr>
          <w:rFonts w:cs="Times New Roman"/>
          <w:i/>
          <w:iCs/>
        </w:rPr>
        <w:t>Callosciurus erythraeus</w:t>
      </w:r>
      <w:r w:rsidRPr="00E25215">
        <w:rPr>
          <w:rFonts w:cs="Times New Roman"/>
        </w:rPr>
        <w:t xml:space="preserve">) in Argentina. </w:t>
      </w:r>
      <w:r w:rsidRPr="00E25215">
        <w:rPr>
          <w:rFonts w:cs="Times New Roman"/>
          <w:i/>
          <w:iCs/>
        </w:rPr>
        <w:t>Landscape Ecology</w:t>
      </w:r>
      <w:r w:rsidRPr="00E25215">
        <w:rPr>
          <w:rFonts w:cs="Times New Roman"/>
        </w:rPr>
        <w:t xml:space="preserve">, </w:t>
      </w:r>
      <w:r w:rsidRPr="00E25215">
        <w:rPr>
          <w:rFonts w:cs="Times New Roman"/>
          <w:i/>
          <w:iCs/>
        </w:rPr>
        <w:t>27</w:t>
      </w:r>
      <w:r w:rsidRPr="00E25215">
        <w:rPr>
          <w:rFonts w:cs="Times New Roman"/>
        </w:rPr>
        <w:t>(5), 633–640. https://doi.org/10.1007/s10980-012-9727-2</w:t>
      </w:r>
    </w:p>
    <w:p w14:paraId="2A210A07"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Britton, J. R., &amp; Orsi, M. L. (2012). Non-native fish in aquaculture and sport fishing in Brazil: Economic benefits versus risks to fish diversity in the upper River Paraná Basin. </w:t>
      </w:r>
      <w:r w:rsidRPr="00E25215">
        <w:rPr>
          <w:rFonts w:cs="Times New Roman"/>
          <w:i/>
          <w:iCs/>
        </w:rPr>
        <w:t>Reviews in Fish Biology and Fisheries</w:t>
      </w:r>
      <w:r w:rsidRPr="00E25215">
        <w:rPr>
          <w:rFonts w:cs="Times New Roman"/>
        </w:rPr>
        <w:t xml:space="preserve">, </w:t>
      </w:r>
      <w:r w:rsidRPr="00E25215">
        <w:rPr>
          <w:rFonts w:cs="Times New Roman"/>
          <w:i/>
          <w:iCs/>
        </w:rPr>
        <w:t>22</w:t>
      </w:r>
      <w:r w:rsidRPr="00E25215">
        <w:rPr>
          <w:rFonts w:cs="Times New Roman"/>
        </w:rPr>
        <w:t>(3), 555–565. https://doi.org/10.1007/s11160-012-9254-x</w:t>
      </w:r>
    </w:p>
    <w:p w14:paraId="508A6A8F" w14:textId="77777777" w:rsidR="001379C0" w:rsidRPr="00E25215" w:rsidRDefault="001379C0" w:rsidP="009B3E7F">
      <w:pPr>
        <w:pStyle w:val="Bibliography"/>
        <w:spacing w:before="0" w:after="0" w:line="240" w:lineRule="auto"/>
        <w:rPr>
          <w:rFonts w:cs="Times New Roman"/>
        </w:rPr>
      </w:pPr>
      <w:r w:rsidRPr="00E25215">
        <w:rPr>
          <w:rFonts w:cs="Times New Roman"/>
        </w:rPr>
        <w:t>Brodie, J., Williamson, C. J., Smale, D. A., Kamenos, N. A., Mieszkowska, N., Santos, R., Cunliffe, M., Steinke, M., Yesson, C., Anderson, K. M., Asnaghi, V., Brownlee, C., Burdett, H. L., Burrows, M. T., Collins, S., Donohue, P. J. C., Harvey, B., Foggo, A., Noisette, F., … Hall-Spencer, J. M. (2014). The future of the northeast Atlantic benthic flora in a high CO</w:t>
      </w:r>
      <w:r w:rsidRPr="00E25215">
        <w:rPr>
          <w:rFonts w:cs="Times New Roman"/>
          <w:vertAlign w:val="subscript"/>
        </w:rPr>
        <w:t>2</w:t>
      </w:r>
      <w:r w:rsidRPr="00E25215">
        <w:rPr>
          <w:rFonts w:cs="Times New Roman"/>
        </w:rPr>
        <w:t xml:space="preserve"> world. </w:t>
      </w:r>
      <w:r w:rsidRPr="00E25215">
        <w:rPr>
          <w:rFonts w:cs="Times New Roman"/>
          <w:i/>
          <w:iCs/>
        </w:rPr>
        <w:t>Ecology and Evolution</w:t>
      </w:r>
      <w:r w:rsidRPr="00E25215">
        <w:rPr>
          <w:rFonts w:cs="Times New Roman"/>
        </w:rPr>
        <w:t xml:space="preserve">, </w:t>
      </w:r>
      <w:r w:rsidRPr="00E25215">
        <w:rPr>
          <w:rFonts w:cs="Times New Roman"/>
          <w:i/>
          <w:iCs/>
        </w:rPr>
        <w:t>4</w:t>
      </w:r>
      <w:r w:rsidRPr="00E25215">
        <w:rPr>
          <w:rFonts w:cs="Times New Roman"/>
        </w:rPr>
        <w:t>(13), 2787–2798. https://doi.org/10.1002/ece3.1105</w:t>
      </w:r>
    </w:p>
    <w:p w14:paraId="6926DCBE" w14:textId="77777777" w:rsidR="001379C0" w:rsidRPr="00E25215" w:rsidRDefault="001379C0" w:rsidP="009B3E7F">
      <w:pPr>
        <w:pStyle w:val="Bibliography"/>
        <w:spacing w:before="0" w:after="0" w:line="240" w:lineRule="auto"/>
        <w:rPr>
          <w:rFonts w:cs="Times New Roman"/>
        </w:rPr>
      </w:pPr>
      <w:r w:rsidRPr="00E25215">
        <w:rPr>
          <w:rFonts w:cs="Times New Roman"/>
        </w:rPr>
        <w:lastRenderedPageBreak/>
        <w:t xml:space="preserve">Brondizio, E., Diaz, S., Settele, J., Ngo, H. T., Gueze, M., Aumeeruddy-Thomas, Y., Bai, X., Geschke, A., Molnár, Z., Niamir, A., Pascual, U., Simcock, A., &amp; Jaureguiberry, P. (2019). IPBES Global Assessment Report on Biodiversity and Ecosystem Services Chapter 1 Assessing a planet in transformation: Rationale and approach. In </w:t>
      </w:r>
      <w:r w:rsidRPr="00E25215">
        <w:rPr>
          <w:rFonts w:cs="Times New Roman"/>
          <w:i/>
          <w:iCs/>
        </w:rPr>
        <w:t>IPBES Global Assessment on Biodiversity and Ecosystem Services</w:t>
      </w:r>
      <w:r w:rsidRPr="00E25215">
        <w:rPr>
          <w:rFonts w:cs="Times New Roman"/>
        </w:rPr>
        <w:t>. Zenodo. https://doi.org/10.5281/ZENODO.3831852</w:t>
      </w:r>
    </w:p>
    <w:p w14:paraId="12EF5B57"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Brooks, M. L. (2003). Effects of increased soil nitrogen on the dominance of alien annual plants in the Mojave Desert. </w:t>
      </w:r>
      <w:r w:rsidRPr="00E25215">
        <w:rPr>
          <w:rFonts w:cs="Times New Roman"/>
          <w:i/>
          <w:iCs/>
        </w:rPr>
        <w:t>Journal of Applied Ecology</w:t>
      </w:r>
      <w:r w:rsidRPr="00E25215">
        <w:rPr>
          <w:rFonts w:cs="Times New Roman"/>
        </w:rPr>
        <w:t xml:space="preserve">, </w:t>
      </w:r>
      <w:r w:rsidRPr="00E25215">
        <w:rPr>
          <w:rFonts w:cs="Times New Roman"/>
          <w:i/>
          <w:iCs/>
        </w:rPr>
        <w:t>40</w:t>
      </w:r>
      <w:r w:rsidRPr="00E25215">
        <w:rPr>
          <w:rFonts w:cs="Times New Roman"/>
        </w:rPr>
        <w:t>(2), 344–353. https://doi.org/10.1046/j.1365-2664.2003.00789.x</w:t>
      </w:r>
    </w:p>
    <w:p w14:paraId="038FC4D1"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Brooks, M. L., D’Antonio, C. M., Richardson, D. M., Grace, J. B., Keeley, J. E., DiTomaso, J. M., Hobbs, R. J., Pellant, M., &amp; Pyke, D. (2004). Effects of Invasive Alien Plants on Fire Regimes. </w:t>
      </w:r>
      <w:r w:rsidRPr="00E25215">
        <w:rPr>
          <w:rFonts w:cs="Times New Roman"/>
          <w:i/>
          <w:iCs/>
        </w:rPr>
        <w:t>BioScience</w:t>
      </w:r>
      <w:r w:rsidRPr="00E25215">
        <w:rPr>
          <w:rFonts w:cs="Times New Roman"/>
        </w:rPr>
        <w:t xml:space="preserve">, </w:t>
      </w:r>
      <w:r w:rsidRPr="00E25215">
        <w:rPr>
          <w:rFonts w:cs="Times New Roman"/>
          <w:i/>
          <w:iCs/>
        </w:rPr>
        <w:t>54</w:t>
      </w:r>
      <w:r w:rsidRPr="00E25215">
        <w:rPr>
          <w:rFonts w:cs="Times New Roman"/>
        </w:rPr>
        <w:t>(7), Article 7. https://doi.org/10.1641/0006-3568(2004)054[0677:EOIAPO]2.0.CO;2</w:t>
      </w:r>
    </w:p>
    <w:p w14:paraId="3D7E3FD9"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Brown, C. M. (2008). Reaping the Whirlwind? Human Disease from Exotic Pets. </w:t>
      </w:r>
      <w:r w:rsidRPr="00E25215">
        <w:rPr>
          <w:rFonts w:cs="Times New Roman"/>
          <w:i/>
          <w:iCs/>
        </w:rPr>
        <w:t>BioScience</w:t>
      </w:r>
      <w:r w:rsidRPr="00E25215">
        <w:rPr>
          <w:rFonts w:cs="Times New Roman"/>
        </w:rPr>
        <w:t xml:space="preserve">, </w:t>
      </w:r>
      <w:r w:rsidRPr="00E25215">
        <w:rPr>
          <w:rFonts w:cs="Times New Roman"/>
          <w:i/>
          <w:iCs/>
        </w:rPr>
        <w:t>58</w:t>
      </w:r>
      <w:r w:rsidRPr="00E25215">
        <w:rPr>
          <w:rFonts w:cs="Times New Roman"/>
        </w:rPr>
        <w:t>(1), 6–7. https://doi.org/10.1641/B580102</w:t>
      </w:r>
    </w:p>
    <w:p w14:paraId="2F642AF8"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Brown, E. B. E., Adkin, A., Fooks, A. R., Stephenson, B., Medlock, J. M., &amp; Snary, E. L. (2012). Assessing the Risks of West Nile Virus-Infected Mosquitoes from Transatlantic Aircraft: Implications for Disease Emergence in the United Kingdom. </w:t>
      </w:r>
      <w:r w:rsidRPr="00E25215">
        <w:rPr>
          <w:rFonts w:cs="Times New Roman"/>
          <w:i/>
          <w:iCs/>
        </w:rPr>
        <w:t>Vector-Borne and Zoonotic Diseases</w:t>
      </w:r>
      <w:r w:rsidRPr="00E25215">
        <w:rPr>
          <w:rFonts w:cs="Times New Roman"/>
        </w:rPr>
        <w:t xml:space="preserve">, </w:t>
      </w:r>
      <w:r w:rsidRPr="00E25215">
        <w:rPr>
          <w:rFonts w:cs="Times New Roman"/>
          <w:i/>
          <w:iCs/>
        </w:rPr>
        <w:t>12</w:t>
      </w:r>
      <w:r w:rsidRPr="00E25215">
        <w:rPr>
          <w:rFonts w:cs="Times New Roman"/>
        </w:rPr>
        <w:t>(4), 310–320. https://doi.org/10.1089/vbz.2010.0176</w:t>
      </w:r>
    </w:p>
    <w:p w14:paraId="30D13C58"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Brown, J. K. M., &amp; Hovmøller, M. S. (2002). Aerial dispersal of pathogens on the global and continental scales and its impact on plant disease. </w:t>
      </w:r>
      <w:r w:rsidRPr="00E25215">
        <w:rPr>
          <w:rFonts w:cs="Times New Roman"/>
          <w:i/>
          <w:iCs/>
        </w:rPr>
        <w:t>Science</w:t>
      </w:r>
      <w:r w:rsidRPr="00E25215">
        <w:rPr>
          <w:rFonts w:cs="Times New Roman"/>
        </w:rPr>
        <w:t xml:space="preserve">, </w:t>
      </w:r>
      <w:r w:rsidRPr="00E25215">
        <w:rPr>
          <w:rFonts w:cs="Times New Roman"/>
          <w:i/>
          <w:iCs/>
        </w:rPr>
        <w:t>297</w:t>
      </w:r>
      <w:r w:rsidRPr="00E25215">
        <w:rPr>
          <w:rFonts w:cs="Times New Roman"/>
        </w:rPr>
        <w:t>(5581), 537–541. https://doi.org/10.1126/science.1072678</w:t>
      </w:r>
    </w:p>
    <w:p w14:paraId="6604C40C"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Brown, M. E., &amp; Walls, S. C. (2013). Variation in Salinity Tolerance among Larval Anurans: Implications for Community Composition and the Spread of an Invasive, Non-native Species. </w:t>
      </w:r>
      <w:r w:rsidRPr="00E25215">
        <w:rPr>
          <w:rFonts w:cs="Times New Roman"/>
          <w:i/>
          <w:iCs/>
        </w:rPr>
        <w:t>Copeia</w:t>
      </w:r>
      <w:r w:rsidRPr="00E25215">
        <w:rPr>
          <w:rFonts w:cs="Times New Roman"/>
        </w:rPr>
        <w:t xml:space="preserve">, </w:t>
      </w:r>
      <w:r w:rsidRPr="00E25215">
        <w:rPr>
          <w:rFonts w:cs="Times New Roman"/>
          <w:i/>
          <w:iCs/>
        </w:rPr>
        <w:t>2013</w:t>
      </w:r>
      <w:r w:rsidRPr="00E25215">
        <w:rPr>
          <w:rFonts w:cs="Times New Roman"/>
        </w:rPr>
        <w:t>(3), 543–551. https://doi.org/10.1643/CH-12-159</w:t>
      </w:r>
    </w:p>
    <w:p w14:paraId="5FE1F685"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Brummer, T. J., Byrom, A. E., Sullivan, J. J., &amp; Hulme, P. E. (2016). Alien and native plant richness and abundance respond to different environmental drivers across multiple gravel floodplain ecosystems. </w:t>
      </w:r>
      <w:r w:rsidRPr="00E25215">
        <w:rPr>
          <w:rFonts w:cs="Times New Roman"/>
          <w:i/>
          <w:iCs/>
        </w:rPr>
        <w:t>Diversity and Distributions</w:t>
      </w:r>
      <w:r w:rsidRPr="00E25215">
        <w:rPr>
          <w:rFonts w:cs="Times New Roman"/>
        </w:rPr>
        <w:t xml:space="preserve">, </w:t>
      </w:r>
      <w:r w:rsidRPr="00E25215">
        <w:rPr>
          <w:rFonts w:cs="Times New Roman"/>
          <w:i/>
          <w:iCs/>
        </w:rPr>
        <w:t>22</w:t>
      </w:r>
      <w:r w:rsidRPr="00E25215">
        <w:rPr>
          <w:rFonts w:cs="Times New Roman"/>
        </w:rPr>
        <w:t>(7), 823–835. https://doi.org/10.1111/ddi.12448</w:t>
      </w:r>
    </w:p>
    <w:p w14:paraId="7ABB3750"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Brundu, G. (2015). Plant invaders in European and Mediterranean inland waters: Profiles, distribution, and threats. </w:t>
      </w:r>
      <w:r w:rsidRPr="00E25215">
        <w:rPr>
          <w:rFonts w:cs="Times New Roman"/>
          <w:i/>
          <w:iCs/>
        </w:rPr>
        <w:t>Hydrobiologia</w:t>
      </w:r>
      <w:r w:rsidRPr="00E25215">
        <w:rPr>
          <w:rFonts w:cs="Times New Roman"/>
        </w:rPr>
        <w:t xml:space="preserve">, </w:t>
      </w:r>
      <w:r w:rsidRPr="00E25215">
        <w:rPr>
          <w:rFonts w:cs="Times New Roman"/>
          <w:i/>
          <w:iCs/>
        </w:rPr>
        <w:t>746</w:t>
      </w:r>
      <w:r w:rsidRPr="00E25215">
        <w:rPr>
          <w:rFonts w:cs="Times New Roman"/>
        </w:rPr>
        <w:t>(1), 61–79. https://doi.org/10.1007/s10750-014-1910-9</w:t>
      </w:r>
    </w:p>
    <w:p w14:paraId="7B45E096"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Brundu, G., Pauchard, A., Pyšek, P., Pergl, J., Bindewald, A., Brunori, A., Canavan, S., Campagnaro, T., Celesti-Grapow, L., de Sá Dechoum, M., Dufour-Dror, J.-M., Essl, F., Flory, S. L., Genovesi, P., Guarino, F., Guangzhe, L., Hulme, P. E., Jäger, H., Kettle, C. J., … Richardson, D. M. (2020). Global guidelines for the sustainable use of non-native trees to prevent tree invasions and mitigate their negative impacts. </w:t>
      </w:r>
      <w:r w:rsidRPr="00E25215">
        <w:rPr>
          <w:rFonts w:cs="Times New Roman"/>
          <w:i/>
          <w:iCs/>
        </w:rPr>
        <w:t>NeoBiota</w:t>
      </w:r>
      <w:r w:rsidRPr="00E25215">
        <w:rPr>
          <w:rFonts w:cs="Times New Roman"/>
        </w:rPr>
        <w:t xml:space="preserve">, </w:t>
      </w:r>
      <w:r w:rsidRPr="00E25215">
        <w:rPr>
          <w:rFonts w:cs="Times New Roman"/>
          <w:i/>
          <w:iCs/>
        </w:rPr>
        <w:t>61</w:t>
      </w:r>
      <w:r w:rsidRPr="00E25215">
        <w:rPr>
          <w:rFonts w:cs="Times New Roman"/>
        </w:rPr>
        <w:t>, 65–116. https://doi.org/10.3897/neobiota.61.58380</w:t>
      </w:r>
    </w:p>
    <w:p w14:paraId="42C5C351"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Brzuszek, R. F., &amp; Harkess, R. L. (2009). Green Industry Survey of Native Plant Marketing in the Southeastern United States. </w:t>
      </w:r>
      <w:r w:rsidRPr="00E25215">
        <w:rPr>
          <w:rFonts w:cs="Times New Roman"/>
          <w:i/>
          <w:iCs/>
        </w:rPr>
        <w:t>HortTechnology</w:t>
      </w:r>
      <w:r w:rsidRPr="00E25215">
        <w:rPr>
          <w:rFonts w:cs="Times New Roman"/>
        </w:rPr>
        <w:t xml:space="preserve">, </w:t>
      </w:r>
      <w:r w:rsidRPr="00E25215">
        <w:rPr>
          <w:rFonts w:cs="Times New Roman"/>
          <w:i/>
          <w:iCs/>
        </w:rPr>
        <w:t>19</w:t>
      </w:r>
      <w:r w:rsidRPr="00E25215">
        <w:rPr>
          <w:rFonts w:cs="Times New Roman"/>
        </w:rPr>
        <w:t>(1), Article 1. https://doi.org/10.21273/HORTSCI.19.1.168</w:t>
      </w:r>
    </w:p>
    <w:p w14:paraId="37E2D8C3"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Bulleri, F., &amp; Airoldi, L. (2005). Artificial marine structures facilitate the spread of a non-indigenous green alga, </w:t>
      </w:r>
      <w:r w:rsidRPr="00E25215">
        <w:rPr>
          <w:rFonts w:cs="Times New Roman"/>
          <w:i/>
          <w:iCs/>
        </w:rPr>
        <w:t>Codium fragile</w:t>
      </w:r>
      <w:r w:rsidRPr="00E25215">
        <w:rPr>
          <w:rFonts w:cs="Times New Roman"/>
        </w:rPr>
        <w:t xml:space="preserve"> ssp. </w:t>
      </w:r>
      <w:r w:rsidRPr="00E25215">
        <w:rPr>
          <w:rFonts w:cs="Times New Roman"/>
          <w:i/>
          <w:iCs/>
        </w:rPr>
        <w:t>Tomentosoides</w:t>
      </w:r>
      <w:r w:rsidRPr="00E25215">
        <w:rPr>
          <w:rFonts w:cs="Times New Roman"/>
        </w:rPr>
        <w:t xml:space="preserve">, in the north Adriatic Sea. </w:t>
      </w:r>
      <w:r w:rsidRPr="00E25215">
        <w:rPr>
          <w:rFonts w:cs="Times New Roman"/>
          <w:i/>
          <w:iCs/>
        </w:rPr>
        <w:t>Journal of Applied Ecology</w:t>
      </w:r>
      <w:r w:rsidRPr="00E25215">
        <w:rPr>
          <w:rFonts w:cs="Times New Roman"/>
        </w:rPr>
        <w:t xml:space="preserve">, </w:t>
      </w:r>
      <w:r w:rsidRPr="00E25215">
        <w:rPr>
          <w:rFonts w:cs="Times New Roman"/>
          <w:i/>
          <w:iCs/>
        </w:rPr>
        <w:t>42</w:t>
      </w:r>
      <w:r w:rsidRPr="00E25215">
        <w:rPr>
          <w:rFonts w:cs="Times New Roman"/>
        </w:rPr>
        <w:t>(6), 1063–1072. https://doi.org/10.1111/j.1365-2664.2005.01096.x</w:t>
      </w:r>
    </w:p>
    <w:p w14:paraId="14A27E9E"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Bulleri, F., &amp; Chapman, M. G. (2010). The introduction of coastal infrastructure as a driver of change in marine environments. </w:t>
      </w:r>
      <w:r w:rsidRPr="00E25215">
        <w:rPr>
          <w:rFonts w:cs="Times New Roman"/>
          <w:i/>
          <w:iCs/>
        </w:rPr>
        <w:t>Journal of Applied Ecology</w:t>
      </w:r>
      <w:r w:rsidRPr="00E25215">
        <w:rPr>
          <w:rFonts w:cs="Times New Roman"/>
        </w:rPr>
        <w:t xml:space="preserve">, </w:t>
      </w:r>
      <w:r w:rsidRPr="00E25215">
        <w:rPr>
          <w:rFonts w:cs="Times New Roman"/>
          <w:i/>
          <w:iCs/>
        </w:rPr>
        <w:t>47</w:t>
      </w:r>
      <w:r w:rsidRPr="00E25215">
        <w:rPr>
          <w:rFonts w:cs="Times New Roman"/>
        </w:rPr>
        <w:t>, 26–35. https://doi.org/10.1111/j.1365-2664.2009.01751.x</w:t>
      </w:r>
    </w:p>
    <w:p w14:paraId="38E03BB4"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Burgess, T. I., Crous, C. J., Slippers, B., Hantula, J., &amp; Wingfield, M. J. (2016). Tree invasions and biosecurity: Eco-evolutionary dynamics of hitchhiking fungi. </w:t>
      </w:r>
      <w:r w:rsidRPr="00E25215">
        <w:rPr>
          <w:rFonts w:cs="Times New Roman"/>
          <w:i/>
          <w:iCs/>
        </w:rPr>
        <w:t>AoB PLANTS</w:t>
      </w:r>
      <w:r w:rsidRPr="00E25215">
        <w:rPr>
          <w:rFonts w:cs="Times New Roman"/>
        </w:rPr>
        <w:t xml:space="preserve">, </w:t>
      </w:r>
      <w:r w:rsidRPr="00E25215">
        <w:rPr>
          <w:rFonts w:cs="Times New Roman"/>
          <w:i/>
          <w:iCs/>
        </w:rPr>
        <w:t>8</w:t>
      </w:r>
      <w:r w:rsidRPr="00E25215">
        <w:rPr>
          <w:rFonts w:cs="Times New Roman"/>
        </w:rPr>
        <w:t>, plw076. https://doi.org/10.1093/aobpla/plw076</w:t>
      </w:r>
    </w:p>
    <w:p w14:paraId="0D5F4D19" w14:textId="77777777" w:rsidR="001379C0" w:rsidRPr="00E25215" w:rsidRDefault="001379C0" w:rsidP="009B3E7F">
      <w:pPr>
        <w:pStyle w:val="Bibliography"/>
        <w:spacing w:before="0" w:after="0" w:line="240" w:lineRule="auto"/>
        <w:rPr>
          <w:rFonts w:cs="Times New Roman"/>
        </w:rPr>
      </w:pPr>
      <w:r w:rsidRPr="00E25215">
        <w:rPr>
          <w:rFonts w:cs="Times New Roman"/>
        </w:rPr>
        <w:lastRenderedPageBreak/>
        <w:t xml:space="preserve">Burreson, E. M., Stokes, N. A., &amp; Friedman, C. S. (2000). Increased Virulence in an Introduced Pathogen: </w:t>
      </w:r>
      <w:r w:rsidRPr="00E25215">
        <w:rPr>
          <w:rFonts w:cs="Times New Roman"/>
          <w:i/>
          <w:iCs/>
        </w:rPr>
        <w:t>Haplosporidium nelsoni</w:t>
      </w:r>
      <w:r w:rsidRPr="00E25215">
        <w:rPr>
          <w:rFonts w:cs="Times New Roman"/>
        </w:rPr>
        <w:t xml:space="preserve"> (MSX) in the Eastern Oyster </w:t>
      </w:r>
      <w:r w:rsidRPr="00E25215">
        <w:rPr>
          <w:rFonts w:cs="Times New Roman"/>
          <w:i/>
          <w:iCs/>
        </w:rPr>
        <w:t>Crassostrea virginica</w:t>
      </w:r>
      <w:r w:rsidRPr="00E25215">
        <w:rPr>
          <w:rFonts w:cs="Times New Roman"/>
        </w:rPr>
        <w:t xml:space="preserve">. </w:t>
      </w:r>
      <w:r w:rsidRPr="00E25215">
        <w:rPr>
          <w:rFonts w:cs="Times New Roman"/>
          <w:i/>
          <w:iCs/>
        </w:rPr>
        <w:t>Journal of Aquatic Animal Health</w:t>
      </w:r>
      <w:r w:rsidRPr="00E25215">
        <w:rPr>
          <w:rFonts w:cs="Times New Roman"/>
        </w:rPr>
        <w:t xml:space="preserve">, </w:t>
      </w:r>
      <w:r w:rsidRPr="00E25215">
        <w:rPr>
          <w:rFonts w:cs="Times New Roman"/>
          <w:i/>
          <w:iCs/>
        </w:rPr>
        <w:t>12</w:t>
      </w:r>
      <w:r w:rsidRPr="00E25215">
        <w:rPr>
          <w:rFonts w:cs="Times New Roman"/>
        </w:rPr>
        <w:t>(1), 1–8. https://doi.org/10.1577/1548-8667(2000)012&lt;0001:IVIAIP&gt;2.0.CO;2</w:t>
      </w:r>
    </w:p>
    <w:p w14:paraId="1C1D705B"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Burrows, N. D. (2018). Feral Animals in the Semi-arid and Arid Regions of Australia: Origins, Impacts and Control. In H. Lambers (Ed.), </w:t>
      </w:r>
      <w:r w:rsidRPr="00E25215">
        <w:rPr>
          <w:rFonts w:cs="Times New Roman"/>
          <w:i/>
          <w:iCs/>
        </w:rPr>
        <w:t>On the Ecology of Australia’s Arid Zone</w:t>
      </w:r>
      <w:r w:rsidRPr="00E25215">
        <w:rPr>
          <w:rFonts w:cs="Times New Roman"/>
        </w:rPr>
        <w:t xml:space="preserve"> (pp. 331–373). Springer International Publishing. https://doi.org/10.1007/978-3-319-93943-8_13</w:t>
      </w:r>
    </w:p>
    <w:p w14:paraId="306C1658"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Butler, D. W., &amp; Fairfax, R. J. (2003). Buffel Grass and fire in a Gidgee and Brigalow woodland: A case study from central Queensland. </w:t>
      </w:r>
      <w:r w:rsidRPr="00E25215">
        <w:rPr>
          <w:rFonts w:cs="Times New Roman"/>
          <w:i/>
          <w:iCs/>
        </w:rPr>
        <w:t>Ecological Management &amp; Restoration</w:t>
      </w:r>
      <w:r w:rsidRPr="00E25215">
        <w:rPr>
          <w:rFonts w:cs="Times New Roman"/>
        </w:rPr>
        <w:t xml:space="preserve">, </w:t>
      </w:r>
      <w:r w:rsidRPr="00E25215">
        <w:rPr>
          <w:rFonts w:cs="Times New Roman"/>
          <w:i/>
          <w:iCs/>
        </w:rPr>
        <w:t>4</w:t>
      </w:r>
      <w:r w:rsidRPr="00E25215">
        <w:rPr>
          <w:rFonts w:cs="Times New Roman"/>
        </w:rPr>
        <w:t>(2), 120–125. https://doi.org/10.1046/j.1442-8903.2003.00146.x</w:t>
      </w:r>
    </w:p>
    <w:p w14:paraId="3DA20C27"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Butler, S., McAlpine, C., Fensham, R., &amp; House, A. (2014). Climate and exotic pasture area in landscape determines invasion of forest fragments by two invasive grasses. </w:t>
      </w:r>
      <w:r w:rsidRPr="00E25215">
        <w:rPr>
          <w:rFonts w:cs="Times New Roman"/>
          <w:i/>
          <w:iCs/>
        </w:rPr>
        <w:t>Journal of Applied Ecology</w:t>
      </w:r>
      <w:r w:rsidRPr="00E25215">
        <w:rPr>
          <w:rFonts w:cs="Times New Roman"/>
        </w:rPr>
        <w:t xml:space="preserve">, </w:t>
      </w:r>
      <w:r w:rsidRPr="00E25215">
        <w:rPr>
          <w:rFonts w:cs="Times New Roman"/>
          <w:i/>
          <w:iCs/>
        </w:rPr>
        <w:t>51</w:t>
      </w:r>
      <w:r w:rsidRPr="00E25215">
        <w:rPr>
          <w:rFonts w:cs="Times New Roman"/>
        </w:rPr>
        <w:t>(1), 114–123. https://doi.org/10.1111/1365-2664.12160</w:t>
      </w:r>
    </w:p>
    <w:p w14:paraId="0CB91A60"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Butt, N., Beyer, H. L., Bennett, J. R., Biggs, D., Maggini, R., Mills, M., Renwick, A. R., Seabrook, L. M., &amp; Possingham, H. P. (2013). Biodiversity Risks from Fossil Fuel Extraction. </w:t>
      </w:r>
      <w:r w:rsidRPr="00E25215">
        <w:rPr>
          <w:rFonts w:cs="Times New Roman"/>
          <w:i/>
          <w:iCs/>
        </w:rPr>
        <w:t>Science</w:t>
      </w:r>
      <w:r w:rsidRPr="00E25215">
        <w:rPr>
          <w:rFonts w:cs="Times New Roman"/>
        </w:rPr>
        <w:t xml:space="preserve">, </w:t>
      </w:r>
      <w:r w:rsidRPr="00E25215">
        <w:rPr>
          <w:rFonts w:cs="Times New Roman"/>
          <w:i/>
          <w:iCs/>
        </w:rPr>
        <w:t>342</w:t>
      </w:r>
      <w:r w:rsidRPr="00E25215">
        <w:rPr>
          <w:rFonts w:cs="Times New Roman"/>
        </w:rPr>
        <w:t>(6157), 425–426. https://doi.org/10.1126/science.1237261</w:t>
      </w:r>
    </w:p>
    <w:p w14:paraId="34357F10" w14:textId="77777777" w:rsidR="001379C0" w:rsidRPr="00E25215" w:rsidRDefault="001379C0" w:rsidP="009B3E7F">
      <w:pPr>
        <w:pStyle w:val="Bibliography"/>
        <w:spacing w:before="0" w:after="0" w:line="240" w:lineRule="auto"/>
        <w:rPr>
          <w:rFonts w:cs="Times New Roman"/>
        </w:rPr>
      </w:pPr>
      <w:r w:rsidRPr="00E25215">
        <w:rPr>
          <w:rFonts w:cs="Times New Roman"/>
        </w:rPr>
        <w:t>Bwanika, G. N., Chapman, L. J., Kizito, Y., &amp; Balirwa, J. (2006). Cascading effects of introduced Nile perch (</w:t>
      </w:r>
      <w:r w:rsidRPr="00E25215">
        <w:rPr>
          <w:rFonts w:cs="Times New Roman"/>
          <w:i/>
          <w:iCs/>
        </w:rPr>
        <w:t>Lates niloticus</w:t>
      </w:r>
      <w:r w:rsidRPr="00E25215">
        <w:rPr>
          <w:rFonts w:cs="Times New Roman"/>
        </w:rPr>
        <w:t>) on the foraging ecology of Nile tilapia (</w:t>
      </w:r>
      <w:r w:rsidRPr="00E25215">
        <w:rPr>
          <w:rFonts w:cs="Times New Roman"/>
          <w:i/>
          <w:iCs/>
        </w:rPr>
        <w:t>Oreochromis niloticus</w:t>
      </w:r>
      <w:r w:rsidRPr="00E25215">
        <w:rPr>
          <w:rFonts w:cs="Times New Roman"/>
        </w:rPr>
        <w:t xml:space="preserve">). </w:t>
      </w:r>
      <w:r w:rsidRPr="00E25215">
        <w:rPr>
          <w:rFonts w:cs="Times New Roman"/>
          <w:i/>
          <w:iCs/>
        </w:rPr>
        <w:t>Ecology of Freshwater Fish</w:t>
      </w:r>
      <w:r w:rsidRPr="00E25215">
        <w:rPr>
          <w:rFonts w:cs="Times New Roman"/>
        </w:rPr>
        <w:t xml:space="preserve">, </w:t>
      </w:r>
      <w:r w:rsidRPr="00E25215">
        <w:rPr>
          <w:rFonts w:cs="Times New Roman"/>
          <w:i/>
          <w:iCs/>
        </w:rPr>
        <w:t>15</w:t>
      </w:r>
      <w:r w:rsidRPr="00E25215">
        <w:rPr>
          <w:rFonts w:cs="Times New Roman"/>
        </w:rPr>
        <w:t>(4), 470–481. https://doi.org/10.1111/j.1600-0633.2006.00185.x</w:t>
      </w:r>
    </w:p>
    <w:p w14:paraId="03584668"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Byun, C., de Blois, S., &amp; Brisson, J. (2015). Interactions between abiotic constraint, propagule pressure, and biotic resistance regulate plant invasion. </w:t>
      </w:r>
      <w:r w:rsidRPr="00E25215">
        <w:rPr>
          <w:rFonts w:cs="Times New Roman"/>
          <w:i/>
          <w:iCs/>
        </w:rPr>
        <w:t>Oecologia</w:t>
      </w:r>
      <w:r w:rsidRPr="00E25215">
        <w:rPr>
          <w:rFonts w:cs="Times New Roman"/>
        </w:rPr>
        <w:t xml:space="preserve">, </w:t>
      </w:r>
      <w:r w:rsidRPr="00E25215">
        <w:rPr>
          <w:rFonts w:cs="Times New Roman"/>
          <w:i/>
          <w:iCs/>
        </w:rPr>
        <w:t>178</w:t>
      </w:r>
      <w:r w:rsidRPr="00E25215">
        <w:rPr>
          <w:rFonts w:cs="Times New Roman"/>
        </w:rPr>
        <w:t>(1), 285–296. https://doi.org/10.1007/s00442-014-3188-z</w:t>
      </w:r>
    </w:p>
    <w:p w14:paraId="6C91C318"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Caley, P., Ingram, R., &amp; De Barro, P. (2015). Entry of exotic insects into Australia: Does border interception count match incursion risk? </w:t>
      </w:r>
      <w:r w:rsidRPr="00E25215">
        <w:rPr>
          <w:rFonts w:cs="Times New Roman"/>
          <w:i/>
          <w:iCs/>
        </w:rPr>
        <w:t>Biological Invasions</w:t>
      </w:r>
      <w:r w:rsidRPr="00E25215">
        <w:rPr>
          <w:rFonts w:cs="Times New Roman"/>
        </w:rPr>
        <w:t xml:space="preserve">, </w:t>
      </w:r>
      <w:r w:rsidRPr="00E25215">
        <w:rPr>
          <w:rFonts w:cs="Times New Roman"/>
          <w:i/>
          <w:iCs/>
        </w:rPr>
        <w:t>17</w:t>
      </w:r>
      <w:r w:rsidRPr="00E25215">
        <w:rPr>
          <w:rFonts w:cs="Times New Roman"/>
        </w:rPr>
        <w:t>(4), 1087–1094. https://doi.org/10.1007/s10530-014-0777-z</w:t>
      </w:r>
    </w:p>
    <w:p w14:paraId="2EF65C37"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Callaham, M. A., &amp; Blair, J. M. (1999). Influence of differing land management on the invasion of North American tallgrass prairie soils by European earthworms. </w:t>
      </w:r>
      <w:r w:rsidRPr="00E25215">
        <w:rPr>
          <w:rFonts w:cs="Times New Roman"/>
          <w:i/>
          <w:iCs/>
        </w:rPr>
        <w:t>Pedobiologia</w:t>
      </w:r>
      <w:r w:rsidRPr="00E25215">
        <w:rPr>
          <w:rFonts w:cs="Times New Roman"/>
        </w:rPr>
        <w:t xml:space="preserve">, </w:t>
      </w:r>
      <w:r w:rsidRPr="00E25215">
        <w:rPr>
          <w:rFonts w:cs="Times New Roman"/>
          <w:i/>
          <w:iCs/>
        </w:rPr>
        <w:t>43</w:t>
      </w:r>
      <w:r w:rsidRPr="00E25215">
        <w:rPr>
          <w:rFonts w:cs="Times New Roman"/>
        </w:rPr>
        <w:t>, 507–512. http://lter.konza.ksu.edu/content/influence-differing-land-management-invasion-north-american-tallgrass-prairie-soils-european</w:t>
      </w:r>
    </w:p>
    <w:p w14:paraId="3C3C846B"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Callaham, M. A., Blair, J. M., Todd, T. C., Kitchen, D. J., &amp; Whiles, M. R. (2003). Macroinvertebrates in North American tallgrass prairie soils: Effects of fire, mowing, and fertilization on density and biomass. </w:t>
      </w:r>
      <w:r w:rsidRPr="00E25215">
        <w:rPr>
          <w:rFonts w:cs="Times New Roman"/>
          <w:i/>
          <w:iCs/>
        </w:rPr>
        <w:t>Soil Biology and Biochemistry</w:t>
      </w:r>
      <w:r w:rsidRPr="00E25215">
        <w:rPr>
          <w:rFonts w:cs="Times New Roman"/>
        </w:rPr>
        <w:t xml:space="preserve">, </w:t>
      </w:r>
      <w:r w:rsidRPr="00E25215">
        <w:rPr>
          <w:rFonts w:cs="Times New Roman"/>
          <w:i/>
          <w:iCs/>
        </w:rPr>
        <w:t>35</w:t>
      </w:r>
      <w:r w:rsidRPr="00E25215">
        <w:rPr>
          <w:rFonts w:cs="Times New Roman"/>
        </w:rPr>
        <w:t>(8), 1079–1093. https://doi.org/10.1016/S0038-0717(03)00153-6</w:t>
      </w:r>
    </w:p>
    <w:p w14:paraId="78B0DFEC"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Callaham, M. A., Stanturf, J. A., Hammond, W. J., Rockwood, D. L., Wenk, E. S., &amp; O’Brien, J. J. (2013). Survey to Evaluate Escape of </w:t>
      </w:r>
      <w:r w:rsidRPr="00E25215">
        <w:rPr>
          <w:rFonts w:cs="Times New Roman"/>
          <w:i/>
          <w:iCs/>
        </w:rPr>
        <w:t>Eucalyptus</w:t>
      </w:r>
      <w:r w:rsidRPr="00E25215">
        <w:rPr>
          <w:rFonts w:cs="Times New Roman"/>
        </w:rPr>
        <w:t xml:space="preserve"> spp. Seedlings from Plantations in Southeastern USA. </w:t>
      </w:r>
      <w:r w:rsidRPr="00E25215">
        <w:rPr>
          <w:rFonts w:cs="Times New Roman"/>
          <w:i/>
          <w:iCs/>
        </w:rPr>
        <w:t>International Journal of Forestry Research</w:t>
      </w:r>
      <w:r w:rsidRPr="00E25215">
        <w:rPr>
          <w:rFonts w:cs="Times New Roman"/>
        </w:rPr>
        <w:t xml:space="preserve">, </w:t>
      </w:r>
      <w:r w:rsidRPr="00E25215">
        <w:rPr>
          <w:rFonts w:cs="Times New Roman"/>
          <w:i/>
          <w:iCs/>
        </w:rPr>
        <w:t>2013</w:t>
      </w:r>
      <w:r w:rsidRPr="00E25215">
        <w:rPr>
          <w:rFonts w:cs="Times New Roman"/>
        </w:rPr>
        <w:t>, e946374. https://doi.org/10.1155/2013/946374</w:t>
      </w:r>
    </w:p>
    <w:p w14:paraId="348B65E2" w14:textId="77777777" w:rsidR="001379C0" w:rsidRPr="00E25215" w:rsidRDefault="001379C0" w:rsidP="009B3E7F">
      <w:pPr>
        <w:pStyle w:val="Bibliography"/>
        <w:spacing w:before="0" w:after="0" w:line="240" w:lineRule="auto"/>
        <w:rPr>
          <w:rFonts w:cs="Times New Roman"/>
        </w:rPr>
      </w:pPr>
      <w:r w:rsidRPr="00E25215">
        <w:rPr>
          <w:rFonts w:cs="Times New Roman"/>
        </w:rPr>
        <w:t>Calle, L., &amp; Gawlik, D. E. (2011). Anthropogenic food in the diet of the Sacred Ibis (</w:t>
      </w:r>
      <w:r w:rsidRPr="00E25215">
        <w:rPr>
          <w:rFonts w:cs="Times New Roman"/>
          <w:i/>
          <w:iCs/>
        </w:rPr>
        <w:t>Threskiornis aethiopicus</w:t>
      </w:r>
      <w:r w:rsidRPr="00E25215">
        <w:rPr>
          <w:rFonts w:cs="Times New Roman"/>
        </w:rPr>
        <w:t xml:space="preserve">), a non-native wading bird in southeastern Florida, USA. </w:t>
      </w:r>
      <w:r w:rsidRPr="00E25215">
        <w:rPr>
          <w:rFonts w:cs="Times New Roman"/>
          <w:i/>
          <w:iCs/>
        </w:rPr>
        <w:t>Florida Field Naturalist</w:t>
      </w:r>
      <w:r w:rsidRPr="00E25215">
        <w:rPr>
          <w:rFonts w:cs="Times New Roman"/>
        </w:rPr>
        <w:t xml:space="preserve">, </w:t>
      </w:r>
      <w:r w:rsidRPr="00E25215">
        <w:rPr>
          <w:rFonts w:cs="Times New Roman"/>
          <w:i/>
          <w:iCs/>
        </w:rPr>
        <w:t>39</w:t>
      </w:r>
      <w:r w:rsidRPr="00E25215">
        <w:rPr>
          <w:rFonts w:cs="Times New Roman"/>
        </w:rPr>
        <w:t>(1), 1–34. https://www.researchgate.net/profile/Leonardo_Calle/publication/260263587_Anthropogenic_food_in_the_diet_of_the_Sacred_Ibis_Threskiornis_aethiopicus_a_non-native_wading_bird_in_southeastern_FL_USA/links/00b7d530612673274a000000/Anthropogenic-food-in-the-diet-of-the-Sacred-Ibis-Threskiornis-aethiopicus-a-non-native-wading-bird-in-southeastern-FL-USA.pdf</w:t>
      </w:r>
    </w:p>
    <w:p w14:paraId="62D06066"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Camarero, P. (2019). Exotic vine invasions following cyclone disturbance in Australian Wet Tropics rainforests: A review. </w:t>
      </w:r>
      <w:r w:rsidRPr="00E25215">
        <w:rPr>
          <w:rFonts w:cs="Times New Roman"/>
          <w:i/>
          <w:iCs/>
        </w:rPr>
        <w:t>Austral Ecology</w:t>
      </w:r>
      <w:r w:rsidRPr="00E25215">
        <w:rPr>
          <w:rFonts w:cs="Times New Roman"/>
        </w:rPr>
        <w:t xml:space="preserve">, </w:t>
      </w:r>
      <w:r w:rsidRPr="00E25215">
        <w:rPr>
          <w:rFonts w:cs="Times New Roman"/>
          <w:i/>
          <w:iCs/>
        </w:rPr>
        <w:t>44</w:t>
      </w:r>
      <w:r w:rsidRPr="00E25215">
        <w:rPr>
          <w:rFonts w:cs="Times New Roman"/>
        </w:rPr>
        <w:t>(8), 1359–1372. https://doi.org/10.1111/aec.12810</w:t>
      </w:r>
    </w:p>
    <w:p w14:paraId="6F0F05F7"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Cambray, J. A. (2003). Impact on indigenous species biodiversity caused by the globalisation of alien recreational freshwater fisheries. </w:t>
      </w:r>
      <w:r w:rsidRPr="00E25215">
        <w:rPr>
          <w:rFonts w:cs="Times New Roman"/>
          <w:i/>
          <w:iCs/>
        </w:rPr>
        <w:t>Hydrobiologia</w:t>
      </w:r>
      <w:r w:rsidRPr="00E25215">
        <w:rPr>
          <w:rFonts w:cs="Times New Roman"/>
        </w:rPr>
        <w:t xml:space="preserve">, </w:t>
      </w:r>
      <w:r w:rsidRPr="00E25215">
        <w:rPr>
          <w:rFonts w:cs="Times New Roman"/>
          <w:i/>
          <w:iCs/>
        </w:rPr>
        <w:t>500</w:t>
      </w:r>
      <w:r w:rsidRPr="00E25215">
        <w:rPr>
          <w:rFonts w:cs="Times New Roman"/>
        </w:rPr>
        <w:t>(1), 217–230. https://doi.org/10.1023/A:1024648719995</w:t>
      </w:r>
    </w:p>
    <w:p w14:paraId="2E64B790" w14:textId="77777777" w:rsidR="001379C0" w:rsidRPr="00E25215" w:rsidRDefault="001379C0" w:rsidP="009B3E7F">
      <w:pPr>
        <w:pStyle w:val="Bibliography"/>
        <w:spacing w:before="0" w:after="0" w:line="240" w:lineRule="auto"/>
        <w:rPr>
          <w:rFonts w:cs="Times New Roman"/>
        </w:rPr>
      </w:pPr>
      <w:r w:rsidRPr="00E25215">
        <w:rPr>
          <w:rFonts w:cs="Times New Roman"/>
        </w:rPr>
        <w:lastRenderedPageBreak/>
        <w:t xml:space="preserve">Cameron, E. K., &amp; Bayne, E. M. (2009). Road age and its importance in earthworm invasion of northern boreal forests. </w:t>
      </w:r>
      <w:r w:rsidRPr="00E25215">
        <w:rPr>
          <w:rFonts w:cs="Times New Roman"/>
          <w:i/>
          <w:iCs/>
        </w:rPr>
        <w:t>Journal of Applied Ecology</w:t>
      </w:r>
      <w:r w:rsidRPr="00E25215">
        <w:rPr>
          <w:rFonts w:cs="Times New Roman"/>
        </w:rPr>
        <w:t xml:space="preserve">, </w:t>
      </w:r>
      <w:r w:rsidRPr="00E25215">
        <w:rPr>
          <w:rFonts w:cs="Times New Roman"/>
          <w:i/>
          <w:iCs/>
        </w:rPr>
        <w:t>46</w:t>
      </w:r>
      <w:r w:rsidRPr="00E25215">
        <w:rPr>
          <w:rFonts w:cs="Times New Roman"/>
        </w:rPr>
        <w:t>(1), 28–36. https://doi.org/10.1111/j.1365-2664.2008.01535.x</w:t>
      </w:r>
    </w:p>
    <w:p w14:paraId="68E2D944"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Campbell, M. L., King, S., Heppenstall, L. D., van Gool, E., Martin, R., &amp; Hewitt, C. L. (2017). Aquaculture and urban marine structures facilitate native and non-indigenous species transfer through generation and accumulation of marine debris. </w:t>
      </w:r>
      <w:r w:rsidRPr="00E25215">
        <w:rPr>
          <w:rFonts w:cs="Times New Roman"/>
          <w:i/>
          <w:iCs/>
        </w:rPr>
        <w:t>Marine Pollution Bulletin</w:t>
      </w:r>
      <w:r w:rsidRPr="00E25215">
        <w:rPr>
          <w:rFonts w:cs="Times New Roman"/>
        </w:rPr>
        <w:t xml:space="preserve">, </w:t>
      </w:r>
      <w:r w:rsidRPr="00E25215">
        <w:rPr>
          <w:rFonts w:cs="Times New Roman"/>
          <w:i/>
          <w:iCs/>
        </w:rPr>
        <w:t>123</w:t>
      </w:r>
      <w:r w:rsidRPr="00E25215">
        <w:rPr>
          <w:rFonts w:cs="Times New Roman"/>
        </w:rPr>
        <w:t>(1–2), 304–312. https://doi.org/10.1016/j.marpolbul.2017.08.040</w:t>
      </w:r>
    </w:p>
    <w:p w14:paraId="61B5EA41"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Canonico, G. C., Arthington, A., McCrary, J. K., &amp; Thieme, M. L. (2005). The effects of introduced tilapias on native biodiversity. </w:t>
      </w:r>
      <w:r w:rsidRPr="00E25215">
        <w:rPr>
          <w:rFonts w:cs="Times New Roman"/>
          <w:i/>
          <w:iCs/>
        </w:rPr>
        <w:t>Aquatic Conservation: Marine and Freshwater Ecosystems</w:t>
      </w:r>
      <w:r w:rsidRPr="00E25215">
        <w:rPr>
          <w:rFonts w:cs="Times New Roman"/>
        </w:rPr>
        <w:t xml:space="preserve">, </w:t>
      </w:r>
      <w:r w:rsidRPr="00E25215">
        <w:rPr>
          <w:rFonts w:cs="Times New Roman"/>
          <w:i/>
          <w:iCs/>
        </w:rPr>
        <w:t>15</w:t>
      </w:r>
      <w:r w:rsidRPr="00E25215">
        <w:rPr>
          <w:rFonts w:cs="Times New Roman"/>
        </w:rPr>
        <w:t>(5), 463–483. https://doi.org/10.1002/aqc.699</w:t>
      </w:r>
    </w:p>
    <w:p w14:paraId="1AE8B6AD"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Canu, A., Apollonio, M., &amp; Scandura, M. (2018). Unmasking the invader: Genetic identity of invasive wild boar from three minor islands off Sardinia (Italy). </w:t>
      </w:r>
      <w:r w:rsidRPr="00E25215">
        <w:rPr>
          <w:rFonts w:cs="Times New Roman"/>
          <w:i/>
          <w:iCs/>
        </w:rPr>
        <w:t>Mammalian Biology</w:t>
      </w:r>
      <w:r w:rsidRPr="00E25215">
        <w:rPr>
          <w:rFonts w:cs="Times New Roman"/>
        </w:rPr>
        <w:t xml:space="preserve">, </w:t>
      </w:r>
      <w:r w:rsidRPr="00E25215">
        <w:rPr>
          <w:rFonts w:cs="Times New Roman"/>
          <w:i/>
          <w:iCs/>
        </w:rPr>
        <w:t>93</w:t>
      </w:r>
      <w:r w:rsidRPr="00E25215">
        <w:rPr>
          <w:rFonts w:cs="Times New Roman"/>
        </w:rPr>
        <w:t>, 29–37. https://doi.org/10.1016/j.mambio.2018.07.008</w:t>
      </w:r>
    </w:p>
    <w:p w14:paraId="6CB4D65F"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Capel, K. C. C., Creed, J., Kitahara, M. V., Chen, C. A., &amp; Zilberberg, C. (2019). Multiple introductions and secondary dispersion of </w:t>
      </w:r>
      <w:r w:rsidRPr="00E25215">
        <w:rPr>
          <w:rFonts w:cs="Times New Roman"/>
          <w:i/>
          <w:iCs/>
        </w:rPr>
        <w:t>Tubastraea</w:t>
      </w:r>
      <w:r w:rsidRPr="00E25215">
        <w:rPr>
          <w:rFonts w:cs="Times New Roman"/>
        </w:rPr>
        <w:t xml:space="preserve"> spp. In the Southwestern Atlantic. </w:t>
      </w:r>
      <w:r w:rsidRPr="00E25215">
        <w:rPr>
          <w:rFonts w:cs="Times New Roman"/>
          <w:i/>
          <w:iCs/>
        </w:rPr>
        <w:t>Scientific Reports</w:t>
      </w:r>
      <w:r w:rsidRPr="00E25215">
        <w:rPr>
          <w:rFonts w:cs="Times New Roman"/>
        </w:rPr>
        <w:t xml:space="preserve">, </w:t>
      </w:r>
      <w:r w:rsidRPr="00E25215">
        <w:rPr>
          <w:rFonts w:cs="Times New Roman"/>
          <w:i/>
          <w:iCs/>
        </w:rPr>
        <w:t>9</w:t>
      </w:r>
      <w:r w:rsidRPr="00E25215">
        <w:rPr>
          <w:rFonts w:cs="Times New Roman"/>
        </w:rPr>
        <w:t>(1), 13978. https://doi.org/10.1038/s41598-019-50442-3</w:t>
      </w:r>
    </w:p>
    <w:p w14:paraId="7090FE4F"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Carlile, W. R. (1988). </w:t>
      </w:r>
      <w:r w:rsidRPr="00E25215">
        <w:rPr>
          <w:rFonts w:cs="Times New Roman"/>
          <w:i/>
          <w:iCs/>
        </w:rPr>
        <w:t>Fungicides. Control of crop diseases.</w:t>
      </w:r>
    </w:p>
    <w:p w14:paraId="05790A06"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Carlton, J. T., Chapman, J. W., Geller, J. B., Miller, J. A., Carlton, D. A., McCuller, M. I., Treneman, N. C., Steves, B. P., &amp; Ruiz, G. M. (2017). Tsunami-driven rafting: Transoceanic species dispersal and implications for marine biogeography. </w:t>
      </w:r>
      <w:r w:rsidRPr="00E25215">
        <w:rPr>
          <w:rFonts w:cs="Times New Roman"/>
          <w:i/>
          <w:iCs/>
        </w:rPr>
        <w:t>Science</w:t>
      </w:r>
      <w:r w:rsidRPr="00E25215">
        <w:rPr>
          <w:rFonts w:cs="Times New Roman"/>
        </w:rPr>
        <w:t xml:space="preserve">, </w:t>
      </w:r>
      <w:r w:rsidRPr="00E25215">
        <w:rPr>
          <w:rFonts w:cs="Times New Roman"/>
          <w:i/>
          <w:iCs/>
        </w:rPr>
        <w:t>357</w:t>
      </w:r>
      <w:r w:rsidRPr="00E25215">
        <w:rPr>
          <w:rFonts w:cs="Times New Roman"/>
        </w:rPr>
        <w:t>(6358), 1402–1406. https://doi.org/10.1126/science.aao1498</w:t>
      </w:r>
    </w:p>
    <w:p w14:paraId="0F823C42"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Carpio, A. . J., Álvarez, Y., Oteros, J., León, F., &amp; Tortosa, F. S. (2020). Intentional introduction pathways of alien birds and mammals in Latin America. </w:t>
      </w:r>
      <w:r w:rsidRPr="00E25215">
        <w:rPr>
          <w:rFonts w:cs="Times New Roman"/>
          <w:i/>
          <w:iCs/>
        </w:rPr>
        <w:t>Global Ecology and Conservation</w:t>
      </w:r>
      <w:r w:rsidRPr="00E25215">
        <w:rPr>
          <w:rFonts w:cs="Times New Roman"/>
        </w:rPr>
        <w:t xml:space="preserve">, </w:t>
      </w:r>
      <w:r w:rsidRPr="00E25215">
        <w:rPr>
          <w:rFonts w:cs="Times New Roman"/>
          <w:i/>
          <w:iCs/>
        </w:rPr>
        <w:t>22</w:t>
      </w:r>
      <w:r w:rsidRPr="00E25215">
        <w:rPr>
          <w:rFonts w:cs="Times New Roman"/>
        </w:rPr>
        <w:t>, e00949. https://doi.org/10.1016/j.gecco.2020.e00949</w:t>
      </w:r>
    </w:p>
    <w:p w14:paraId="124E6CAC"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Carpio, A. J., De Miguel, R. J., Oteros, J., Hillström, L., &amp; Tortosa, F. S. (2019). Angling as a source of non-native freshwater fish: A European review. </w:t>
      </w:r>
      <w:r w:rsidRPr="00E25215">
        <w:rPr>
          <w:rFonts w:cs="Times New Roman"/>
          <w:i/>
          <w:iCs/>
        </w:rPr>
        <w:t>Biological Invasions</w:t>
      </w:r>
      <w:r w:rsidRPr="00E25215">
        <w:rPr>
          <w:rFonts w:cs="Times New Roman"/>
        </w:rPr>
        <w:t xml:space="preserve">, </w:t>
      </w:r>
      <w:r w:rsidRPr="00E25215">
        <w:rPr>
          <w:rFonts w:cs="Times New Roman"/>
          <w:i/>
          <w:iCs/>
        </w:rPr>
        <w:t>21</w:t>
      </w:r>
      <w:r w:rsidRPr="00E25215">
        <w:rPr>
          <w:rFonts w:cs="Times New Roman"/>
        </w:rPr>
        <w:t>(11), 3233–3248. https://doi.org/10.1007/s10530-019-02042-5</w:t>
      </w:r>
    </w:p>
    <w:p w14:paraId="65ABBAE7"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Carpio, A. J., Guerrero-Casado, J., Barasona, J. A., Tortosa, F. S., Vicente, J., Hillström, L., &amp; Delibes-Mateos, M. (2017). Hunting as a source of alien species: A European review. </w:t>
      </w:r>
      <w:r w:rsidRPr="00E25215">
        <w:rPr>
          <w:rFonts w:cs="Times New Roman"/>
          <w:i/>
          <w:iCs/>
        </w:rPr>
        <w:t>Biological Invasions</w:t>
      </w:r>
      <w:r w:rsidRPr="00E25215">
        <w:rPr>
          <w:rFonts w:cs="Times New Roman"/>
        </w:rPr>
        <w:t xml:space="preserve">, </w:t>
      </w:r>
      <w:r w:rsidRPr="00E25215">
        <w:rPr>
          <w:rFonts w:cs="Times New Roman"/>
          <w:i/>
          <w:iCs/>
        </w:rPr>
        <w:t>19</w:t>
      </w:r>
      <w:r w:rsidRPr="00E25215">
        <w:rPr>
          <w:rFonts w:cs="Times New Roman"/>
        </w:rPr>
        <w:t>(4), 1197–1211. https://doi.org/10.1007/s10530-016-1313-0</w:t>
      </w:r>
    </w:p>
    <w:p w14:paraId="082E2782"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Casoli, E., Mancini, G., Ventura, D., Belluscio, A., &amp; Ardizzone, G. (2021). Double Trouble: Synergy between Habitat Loss and the Spread of the Alien Species </w:t>
      </w:r>
      <w:r w:rsidRPr="00E25215">
        <w:rPr>
          <w:rFonts w:cs="Times New Roman"/>
          <w:i/>
          <w:iCs/>
        </w:rPr>
        <w:t>Caulerpa cylindracea</w:t>
      </w:r>
      <w:r w:rsidRPr="00E25215">
        <w:rPr>
          <w:rFonts w:cs="Times New Roman"/>
        </w:rPr>
        <w:t xml:space="preserve"> (Sonder) in Three Mediterranean Habitats. </w:t>
      </w:r>
      <w:r w:rsidRPr="00E25215">
        <w:rPr>
          <w:rFonts w:cs="Times New Roman"/>
          <w:i/>
          <w:iCs/>
        </w:rPr>
        <w:t>Water</w:t>
      </w:r>
      <w:r w:rsidRPr="00E25215">
        <w:rPr>
          <w:rFonts w:cs="Times New Roman"/>
        </w:rPr>
        <w:t xml:space="preserve">, </w:t>
      </w:r>
      <w:r w:rsidRPr="00E25215">
        <w:rPr>
          <w:rFonts w:cs="Times New Roman"/>
          <w:i/>
          <w:iCs/>
        </w:rPr>
        <w:t>13</w:t>
      </w:r>
      <w:r w:rsidRPr="00E25215">
        <w:rPr>
          <w:rFonts w:cs="Times New Roman"/>
        </w:rPr>
        <w:t>(10), 1342.</w:t>
      </w:r>
    </w:p>
    <w:p w14:paraId="6DAE55CE"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Catford, J. A., Daehler, C. C., Murphy, H. T., Sheppard, A. W., Hardesty, B. D., Westcott, D. A., Rejmánek, M., Bellingham, P. J., Pergl, J., Horvitz, C. C., &amp; Hulme, P. E. (2012). The intermediate disturbance hypothesis and plant invasions: Implications for species richness and management. </w:t>
      </w:r>
      <w:r w:rsidRPr="00E25215">
        <w:rPr>
          <w:rFonts w:cs="Times New Roman"/>
          <w:i/>
          <w:iCs/>
        </w:rPr>
        <w:t>Perspectives in Plant Ecology, Evolution and Systematics</w:t>
      </w:r>
      <w:r w:rsidRPr="00E25215">
        <w:rPr>
          <w:rFonts w:cs="Times New Roman"/>
        </w:rPr>
        <w:t xml:space="preserve">, </w:t>
      </w:r>
      <w:r w:rsidRPr="00E25215">
        <w:rPr>
          <w:rFonts w:cs="Times New Roman"/>
          <w:i/>
          <w:iCs/>
        </w:rPr>
        <w:t>14</w:t>
      </w:r>
      <w:r w:rsidRPr="00E25215">
        <w:rPr>
          <w:rFonts w:cs="Times New Roman"/>
        </w:rPr>
        <w:t>(3), 231–241. https://doi.org/10.1016/j.ppees.2011.12.002</w:t>
      </w:r>
    </w:p>
    <w:p w14:paraId="541EA6C9"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Catford, J. A., Downes, B. J., Gippel, C. J., &amp; Vesk, P. A. (2011). Flow regulation reduces native plant cover and facilitates exotic invasion in riparian wetlands. </w:t>
      </w:r>
      <w:r w:rsidRPr="00E25215">
        <w:rPr>
          <w:rFonts w:cs="Times New Roman"/>
          <w:i/>
          <w:iCs/>
        </w:rPr>
        <w:t>Journal of Applied Ecology</w:t>
      </w:r>
      <w:r w:rsidRPr="00E25215">
        <w:rPr>
          <w:rFonts w:cs="Times New Roman"/>
        </w:rPr>
        <w:t xml:space="preserve">, </w:t>
      </w:r>
      <w:r w:rsidRPr="00E25215">
        <w:rPr>
          <w:rFonts w:cs="Times New Roman"/>
          <w:i/>
          <w:iCs/>
        </w:rPr>
        <w:t>48</w:t>
      </w:r>
      <w:r w:rsidRPr="00E25215">
        <w:rPr>
          <w:rFonts w:cs="Times New Roman"/>
        </w:rPr>
        <w:t>(2), 432–442. https://doi.org/10.1111/j.1365-2664.2010.01945.x</w:t>
      </w:r>
    </w:p>
    <w:p w14:paraId="36F15D0A"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Catford, J. A., Morris, W. K., Vesk, P. A., Gippel, C. J., &amp; Downes, B. J. (2014). Species and environmental characteristics point to flow regulation and drought as drivers of riparian plant invasion. </w:t>
      </w:r>
      <w:r w:rsidRPr="00E25215">
        <w:rPr>
          <w:rFonts w:cs="Times New Roman"/>
          <w:i/>
          <w:iCs/>
        </w:rPr>
        <w:t>Diversity and Distributions</w:t>
      </w:r>
      <w:r w:rsidRPr="00E25215">
        <w:rPr>
          <w:rFonts w:cs="Times New Roman"/>
        </w:rPr>
        <w:t xml:space="preserve">, </w:t>
      </w:r>
      <w:r w:rsidRPr="00E25215">
        <w:rPr>
          <w:rFonts w:cs="Times New Roman"/>
          <w:i/>
          <w:iCs/>
        </w:rPr>
        <w:t>20</w:t>
      </w:r>
      <w:r w:rsidRPr="00E25215">
        <w:rPr>
          <w:rFonts w:cs="Times New Roman"/>
        </w:rPr>
        <w:t>(9), 1084–1096. https://doi.org/10.1111/ddi.12225</w:t>
      </w:r>
    </w:p>
    <w:p w14:paraId="648B1150"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Caudell, J. N., Dowell, E., &amp; Welch, K. (2016). Economic utility for the anthropogenic spread of wild hogs. </w:t>
      </w:r>
      <w:r w:rsidRPr="00E25215">
        <w:rPr>
          <w:rFonts w:cs="Times New Roman"/>
          <w:i/>
          <w:iCs/>
        </w:rPr>
        <w:t>Human–Wildlife Interactions</w:t>
      </w:r>
      <w:r w:rsidRPr="00E25215">
        <w:rPr>
          <w:rFonts w:cs="Times New Roman"/>
        </w:rPr>
        <w:t xml:space="preserve">, </w:t>
      </w:r>
      <w:r w:rsidRPr="00E25215">
        <w:rPr>
          <w:rFonts w:cs="Times New Roman"/>
          <w:i/>
          <w:iCs/>
        </w:rPr>
        <w:t>10</w:t>
      </w:r>
      <w:r w:rsidRPr="00E25215">
        <w:rPr>
          <w:rFonts w:cs="Times New Roman"/>
        </w:rPr>
        <w:t>(2), 230–239. https://digitalcommons.usu.edu/cgi/viewcontent.cgi?article=1034&amp;context=hwi</w:t>
      </w:r>
    </w:p>
    <w:p w14:paraId="46240B3F"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Cavallero, L., &amp; Raffaele, E. (2010). Fire enhances the ‘competition-free’ space of an invader shrub: </w:t>
      </w:r>
      <w:r w:rsidRPr="00E25215">
        <w:rPr>
          <w:rFonts w:cs="Times New Roman"/>
          <w:i/>
          <w:iCs/>
        </w:rPr>
        <w:t>Rosa rubiginosa</w:t>
      </w:r>
      <w:r w:rsidRPr="00E25215">
        <w:rPr>
          <w:rFonts w:cs="Times New Roman"/>
        </w:rPr>
        <w:t xml:space="preserve"> in northwestern Patagonia. </w:t>
      </w:r>
      <w:r w:rsidRPr="00E25215">
        <w:rPr>
          <w:rFonts w:cs="Times New Roman"/>
          <w:i/>
          <w:iCs/>
        </w:rPr>
        <w:t>Biological Invasions</w:t>
      </w:r>
      <w:r w:rsidRPr="00E25215">
        <w:rPr>
          <w:rFonts w:cs="Times New Roman"/>
        </w:rPr>
        <w:t xml:space="preserve">, </w:t>
      </w:r>
      <w:r w:rsidRPr="00E25215">
        <w:rPr>
          <w:rFonts w:cs="Times New Roman"/>
          <w:i/>
          <w:iCs/>
        </w:rPr>
        <w:t>12</w:t>
      </w:r>
      <w:r w:rsidRPr="00E25215">
        <w:rPr>
          <w:rFonts w:cs="Times New Roman"/>
        </w:rPr>
        <w:t>(10), 3395–3404. https://doi.org/10.1007/s10530-010-9738-3</w:t>
      </w:r>
    </w:p>
    <w:p w14:paraId="6FD039EA" w14:textId="77777777" w:rsidR="001379C0" w:rsidRPr="00E25215" w:rsidRDefault="001379C0" w:rsidP="009B3E7F">
      <w:pPr>
        <w:pStyle w:val="Bibliography"/>
        <w:spacing w:before="0" w:after="0" w:line="240" w:lineRule="auto"/>
        <w:rPr>
          <w:rFonts w:cs="Times New Roman"/>
        </w:rPr>
      </w:pPr>
      <w:r w:rsidRPr="00E25215">
        <w:rPr>
          <w:rFonts w:cs="Times New Roman"/>
        </w:rPr>
        <w:lastRenderedPageBreak/>
        <w:t xml:space="preserve">CBD. (2014). </w:t>
      </w:r>
      <w:r w:rsidRPr="00E25215">
        <w:rPr>
          <w:rFonts w:cs="Times New Roman"/>
          <w:i/>
          <w:iCs/>
        </w:rPr>
        <w:t>Pathways of introduction of invasive species, their prioritization and management</w:t>
      </w:r>
      <w:r w:rsidRPr="00E25215">
        <w:rPr>
          <w:rFonts w:cs="Times New Roman"/>
        </w:rPr>
        <w:t>. 18. https://www.cbd.int/doc/meetings/sbstta/sbstta-18/official/sbstta-18-09-add1-en.pdf</w:t>
      </w:r>
    </w:p>
    <w:p w14:paraId="224AB188"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Censky, E., Hodge, K., &amp; Dudley, J. (1998). Over-water dispersal of lizards due to hurricanes. </w:t>
      </w:r>
      <w:r w:rsidRPr="00E25215">
        <w:rPr>
          <w:rFonts w:cs="Times New Roman"/>
          <w:i/>
          <w:iCs/>
        </w:rPr>
        <w:t>Nature</w:t>
      </w:r>
      <w:r w:rsidRPr="00E25215">
        <w:rPr>
          <w:rFonts w:cs="Times New Roman"/>
        </w:rPr>
        <w:t xml:space="preserve">, </w:t>
      </w:r>
      <w:r w:rsidRPr="00E25215">
        <w:rPr>
          <w:rFonts w:cs="Times New Roman"/>
          <w:i/>
          <w:iCs/>
        </w:rPr>
        <w:t>395</w:t>
      </w:r>
      <w:r w:rsidRPr="00E25215">
        <w:rPr>
          <w:rFonts w:cs="Times New Roman"/>
        </w:rPr>
        <w:t>, 556. https://doi.org/doi.org/10.1038/26886</w:t>
      </w:r>
    </w:p>
    <w:p w14:paraId="26897B0F"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Cerri, J., Ciappelli, A., Lenuzza, A., Zaccaroni, M., &amp; Nocita, A. (2018). Recreational angling as a vector of freshwater invasions in Central Italy: Perceptions and prevalence of illegal fish restocking. </w:t>
      </w:r>
      <w:r w:rsidRPr="00E25215">
        <w:rPr>
          <w:rFonts w:cs="Times New Roman"/>
          <w:i/>
          <w:iCs/>
        </w:rPr>
        <w:t>Knowledge and Management of Aquatic Ecosystems</w:t>
      </w:r>
      <w:r w:rsidRPr="00E25215">
        <w:rPr>
          <w:rFonts w:cs="Times New Roman"/>
        </w:rPr>
        <w:t xml:space="preserve">, </w:t>
      </w:r>
      <w:r w:rsidRPr="00E25215">
        <w:rPr>
          <w:rFonts w:cs="Times New Roman"/>
          <w:i/>
          <w:iCs/>
        </w:rPr>
        <w:t>419</w:t>
      </w:r>
      <w:r w:rsidRPr="00E25215">
        <w:rPr>
          <w:rFonts w:cs="Times New Roman"/>
        </w:rPr>
        <w:t>. https://doi.org/10.1051/kmae/2018028</w:t>
      </w:r>
    </w:p>
    <w:p w14:paraId="0342C153"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Cerri, J., Ferretti, M., &amp; Tricarico, E. (2016). Are you aware of what you are doing? Asking Italian hunters about an invasive alien species they are introducing. </w:t>
      </w:r>
      <w:r w:rsidRPr="00E25215">
        <w:rPr>
          <w:rFonts w:cs="Times New Roman"/>
          <w:i/>
          <w:iCs/>
        </w:rPr>
        <w:t>Journal for Nature Conservation</w:t>
      </w:r>
      <w:r w:rsidRPr="00E25215">
        <w:rPr>
          <w:rFonts w:cs="Times New Roman"/>
        </w:rPr>
        <w:t xml:space="preserve">, </w:t>
      </w:r>
      <w:r w:rsidRPr="00E25215">
        <w:rPr>
          <w:rFonts w:cs="Times New Roman"/>
          <w:i/>
          <w:iCs/>
        </w:rPr>
        <w:t>34</w:t>
      </w:r>
      <w:r w:rsidRPr="00E25215">
        <w:rPr>
          <w:rFonts w:cs="Times New Roman"/>
        </w:rPr>
        <w:t>, 15–23. https://doi.org/10.1016/j.jnc.2016.08.003</w:t>
      </w:r>
    </w:p>
    <w:p w14:paraId="32FF3C95"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Chambers, J. C., Bradley, B. A., Brown, C. S., D’Antonio, C., Germino, M. J., Grace, J. B., Hardegree, S. P., Miller, R. F., &amp; Pyke, D. A. (2014). Resilience to Stress and Disturbance, and Resistance to </w:t>
      </w:r>
      <w:r w:rsidRPr="00E25215">
        <w:rPr>
          <w:rFonts w:cs="Times New Roman"/>
          <w:i/>
          <w:iCs/>
        </w:rPr>
        <w:t>Bromus tectorum</w:t>
      </w:r>
      <w:r w:rsidRPr="00E25215">
        <w:rPr>
          <w:rFonts w:cs="Times New Roman"/>
        </w:rPr>
        <w:t xml:space="preserve"> L. Invasion in Cold Desert Shrublands of Western North America. </w:t>
      </w:r>
      <w:r w:rsidRPr="00E25215">
        <w:rPr>
          <w:rFonts w:cs="Times New Roman"/>
          <w:i/>
          <w:iCs/>
        </w:rPr>
        <w:t>Ecosystems</w:t>
      </w:r>
      <w:r w:rsidRPr="00E25215">
        <w:rPr>
          <w:rFonts w:cs="Times New Roman"/>
        </w:rPr>
        <w:t xml:space="preserve">, </w:t>
      </w:r>
      <w:r w:rsidRPr="00E25215">
        <w:rPr>
          <w:rFonts w:cs="Times New Roman"/>
          <w:i/>
          <w:iCs/>
        </w:rPr>
        <w:t>17</w:t>
      </w:r>
      <w:r w:rsidRPr="00E25215">
        <w:rPr>
          <w:rFonts w:cs="Times New Roman"/>
        </w:rPr>
        <w:t>(2), 360–375. https://doi.org/10.1007/s10021-013-9725-5</w:t>
      </w:r>
    </w:p>
    <w:p w14:paraId="04C3F926"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Chambers, J. C., Roundy, B. A., Blank, R. R., Meyer, S. E., &amp; Whittaker, A. (2007). What makes Great Basin sagebrush ecosystems invasible by </w:t>
      </w:r>
      <w:r w:rsidRPr="00E25215">
        <w:rPr>
          <w:rFonts w:cs="Times New Roman"/>
          <w:i/>
          <w:iCs/>
        </w:rPr>
        <w:t>Bromus tectorum</w:t>
      </w:r>
      <w:r w:rsidRPr="00E25215">
        <w:rPr>
          <w:rFonts w:cs="Times New Roman"/>
        </w:rPr>
        <w:t xml:space="preserve">? </w:t>
      </w:r>
      <w:r w:rsidRPr="00E25215">
        <w:rPr>
          <w:rFonts w:cs="Times New Roman"/>
          <w:i/>
          <w:iCs/>
        </w:rPr>
        <w:t>Ecological Monographs. 77(1): 117-145.</w:t>
      </w:r>
      <w:r w:rsidRPr="00E25215">
        <w:rPr>
          <w:rFonts w:cs="Times New Roman"/>
        </w:rPr>
        <w:t xml:space="preserve"> https://doi.org/10.1890/05-1991</w:t>
      </w:r>
    </w:p>
    <w:p w14:paraId="6D39E930"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Champagnon, J., Elmberg, J., Guillemain, M., Gauthier-Clerc, M., &amp; Lebreton, J.-D. (2012). Conspecifics can be aliens too: A review of effects of restocking practices in vertebrates. </w:t>
      </w:r>
      <w:r w:rsidRPr="00E25215">
        <w:rPr>
          <w:rFonts w:cs="Times New Roman"/>
          <w:i/>
          <w:iCs/>
        </w:rPr>
        <w:t>Journal for Nature Conservation</w:t>
      </w:r>
      <w:r w:rsidRPr="00E25215">
        <w:rPr>
          <w:rFonts w:cs="Times New Roman"/>
        </w:rPr>
        <w:t xml:space="preserve">, </w:t>
      </w:r>
      <w:r w:rsidRPr="00E25215">
        <w:rPr>
          <w:rFonts w:cs="Times New Roman"/>
          <w:i/>
          <w:iCs/>
        </w:rPr>
        <w:t>20</w:t>
      </w:r>
      <w:r w:rsidRPr="00E25215">
        <w:rPr>
          <w:rFonts w:cs="Times New Roman"/>
        </w:rPr>
        <w:t>(4), 231–241. https://doi.org/10.1016/j.jnc.2012.02.002</w:t>
      </w:r>
    </w:p>
    <w:p w14:paraId="61B3D417"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Champagnon, J., Legagneux, P., Souchay, G., Inchausti, P., Bretagnolle, V., Bourguemestre, F., Van Ingen, L., &amp; Guillemain, M. (2016). Robust estimation of survival and contribution of captive-bred Mallards </w:t>
      </w:r>
      <w:r w:rsidRPr="00E25215">
        <w:rPr>
          <w:rFonts w:cs="Times New Roman"/>
          <w:i/>
          <w:iCs/>
        </w:rPr>
        <w:t>Anas platyrhynchos</w:t>
      </w:r>
      <w:r w:rsidRPr="00E25215">
        <w:rPr>
          <w:rFonts w:cs="Times New Roman"/>
        </w:rPr>
        <w:t xml:space="preserve"> to a wild population in a large-scale release programme. </w:t>
      </w:r>
      <w:r w:rsidRPr="00E25215">
        <w:rPr>
          <w:rFonts w:cs="Times New Roman"/>
          <w:i/>
          <w:iCs/>
        </w:rPr>
        <w:t>Ibis</w:t>
      </w:r>
      <w:r w:rsidRPr="00E25215">
        <w:rPr>
          <w:rFonts w:cs="Times New Roman"/>
        </w:rPr>
        <w:t xml:space="preserve">, </w:t>
      </w:r>
      <w:r w:rsidRPr="00E25215">
        <w:rPr>
          <w:rFonts w:cs="Times New Roman"/>
          <w:i/>
          <w:iCs/>
        </w:rPr>
        <w:t>158</w:t>
      </w:r>
      <w:r w:rsidRPr="00E25215">
        <w:rPr>
          <w:rFonts w:cs="Times New Roman"/>
        </w:rPr>
        <w:t>(2), 343–352. https://doi.org/10.1111/ibi.12341</w:t>
      </w:r>
    </w:p>
    <w:p w14:paraId="4ADC67B9"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Chan, F. T., Stanislawczyk, K., Sneekes, A. C., Dvoretsky, A., Gollasch, S., Minchin, D., David, M., Jelmert, A., Albretsen, J., &amp; Bailey, S. A. (2019). Climate change opens new frontiers for marine species in the Arctic: Current trends and future invasion risks. </w:t>
      </w:r>
      <w:r w:rsidRPr="00E25215">
        <w:rPr>
          <w:rFonts w:cs="Times New Roman"/>
          <w:i/>
          <w:iCs/>
        </w:rPr>
        <w:t>Global Change Biology</w:t>
      </w:r>
      <w:r w:rsidRPr="00E25215">
        <w:rPr>
          <w:rFonts w:cs="Times New Roman"/>
        </w:rPr>
        <w:t xml:space="preserve">, </w:t>
      </w:r>
      <w:r w:rsidRPr="00E25215">
        <w:rPr>
          <w:rFonts w:cs="Times New Roman"/>
          <w:i/>
          <w:iCs/>
        </w:rPr>
        <w:t>25</w:t>
      </w:r>
      <w:r w:rsidRPr="00E25215">
        <w:rPr>
          <w:rFonts w:cs="Times New Roman"/>
        </w:rPr>
        <w:t>(1), 25–38. https://doi.org/10.1111/gcb.14469</w:t>
      </w:r>
    </w:p>
    <w:p w14:paraId="0483F73B"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Chancel, L., Piketty, T., Saez, E., &amp; Zucman, G. (2022). </w:t>
      </w:r>
      <w:r w:rsidRPr="00E25215">
        <w:rPr>
          <w:rFonts w:cs="Times New Roman"/>
          <w:i/>
          <w:iCs/>
        </w:rPr>
        <w:t>World Inequality Report 2022</w:t>
      </w:r>
      <w:r w:rsidRPr="00E25215">
        <w:rPr>
          <w:rFonts w:cs="Times New Roman"/>
        </w:rPr>
        <w:t>. https://wid.world/news-article/world-inequality-report-2022/</w:t>
      </w:r>
    </w:p>
    <w:p w14:paraId="55B04FCD"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Chandrasekaran, S., Nagendran, N. A., Pandiaraja, D., Krishnankutty, N., &amp; Kamalakannan, B. (2008). Bioinvasion of </w:t>
      </w:r>
      <w:r w:rsidRPr="00E25215">
        <w:rPr>
          <w:rFonts w:cs="Times New Roman"/>
          <w:i/>
          <w:iCs/>
        </w:rPr>
        <w:t>Kappaphycus alvarezii</w:t>
      </w:r>
      <w:r w:rsidRPr="00E25215">
        <w:rPr>
          <w:rFonts w:cs="Times New Roman"/>
        </w:rPr>
        <w:t xml:space="preserve"> on corals in the Gulf of Mannar, India. </w:t>
      </w:r>
      <w:r w:rsidRPr="00E25215">
        <w:rPr>
          <w:rFonts w:cs="Times New Roman"/>
          <w:i/>
          <w:iCs/>
        </w:rPr>
        <w:t>Current Science</w:t>
      </w:r>
      <w:r w:rsidRPr="00E25215">
        <w:rPr>
          <w:rFonts w:cs="Times New Roman"/>
        </w:rPr>
        <w:t xml:space="preserve">, </w:t>
      </w:r>
      <w:r w:rsidRPr="00E25215">
        <w:rPr>
          <w:rFonts w:cs="Times New Roman"/>
          <w:i/>
          <w:iCs/>
        </w:rPr>
        <w:t>94</w:t>
      </w:r>
      <w:r w:rsidRPr="00E25215">
        <w:rPr>
          <w:rFonts w:cs="Times New Roman"/>
        </w:rPr>
        <w:t>(9), 1167–1172. https://www.jstor.org/stable/24100697</w:t>
      </w:r>
    </w:p>
    <w:p w14:paraId="67F23C3E"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Chandrasekaran, S., &amp; Swamy, P. S. (2016). Ecological and Socioeconomic Impacts of </w:t>
      </w:r>
      <w:r w:rsidRPr="00E25215">
        <w:rPr>
          <w:rFonts w:cs="Times New Roman"/>
          <w:i/>
          <w:iCs/>
        </w:rPr>
        <w:t>Prosopis juliflora</w:t>
      </w:r>
      <w:r w:rsidRPr="00E25215">
        <w:rPr>
          <w:rFonts w:cs="Times New Roman"/>
        </w:rPr>
        <w:t xml:space="preserve"> Invasion in the Semiarid Ecosystems in Selected Villages of Ramnad District in Tamil Nadu. In N. Ghosh, P. Mukhopadhyay, A. Shah, &amp; M. Panda (Eds.), </w:t>
      </w:r>
      <w:r w:rsidRPr="00E25215">
        <w:rPr>
          <w:rFonts w:cs="Times New Roman"/>
          <w:i/>
          <w:iCs/>
        </w:rPr>
        <w:t>Nature, Economy and Society: Understanding the Linkages</w:t>
      </w:r>
      <w:r w:rsidRPr="00E25215">
        <w:rPr>
          <w:rFonts w:cs="Times New Roman"/>
        </w:rPr>
        <w:t xml:space="preserve"> (pp. 347–357). Springer, India. https://doi.org/10.1007/978-81-322-2404-4_18</w:t>
      </w:r>
    </w:p>
    <w:p w14:paraId="52FE0F62"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Charbonneau, B. R., Wootton, L. S., Wnek, J. P., Langley, J. A., &amp; Posner, M. A. (2017). A species effect on storm erosion: Invasive sedge stabilized dunes more than native grass during Hurricane Sandy. </w:t>
      </w:r>
      <w:r w:rsidRPr="00E25215">
        <w:rPr>
          <w:rFonts w:cs="Times New Roman"/>
          <w:i/>
          <w:iCs/>
        </w:rPr>
        <w:t>Journal of Applied Ecology</w:t>
      </w:r>
      <w:r w:rsidRPr="00E25215">
        <w:rPr>
          <w:rFonts w:cs="Times New Roman"/>
        </w:rPr>
        <w:t xml:space="preserve">, </w:t>
      </w:r>
      <w:r w:rsidRPr="00E25215">
        <w:rPr>
          <w:rFonts w:cs="Times New Roman"/>
          <w:i/>
          <w:iCs/>
        </w:rPr>
        <w:t>54</w:t>
      </w:r>
      <w:r w:rsidRPr="00E25215">
        <w:rPr>
          <w:rFonts w:cs="Times New Roman"/>
        </w:rPr>
        <w:t>(5), 1385–1394. https://doi.org/10.1111/1365-2664.12846</w:t>
      </w:r>
    </w:p>
    <w:p w14:paraId="77A0FBEA"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Chen, Z., Guo, Y., Yang, J., Ge, J., Li, L., &amp; Chen, G. (2021). Frugivorous birds disperse seeds of </w:t>
      </w:r>
      <w:r w:rsidRPr="00E25215">
        <w:rPr>
          <w:rFonts w:cs="Times New Roman"/>
          <w:i/>
          <w:iCs/>
        </w:rPr>
        <w:t>Ligustrum lucidum</w:t>
      </w:r>
      <w:r w:rsidRPr="00E25215">
        <w:rPr>
          <w:rFonts w:cs="Times New Roman"/>
        </w:rPr>
        <w:t>, seed</w:t>
      </w:r>
      <w:r w:rsidRPr="00E25215">
        <w:rPr>
          <w:rFonts w:cs="Times New Roman" w:hint="eastAsia"/>
        </w:rPr>
        <w:t>‐</w:t>
      </w:r>
      <w:r w:rsidRPr="00E25215">
        <w:rPr>
          <w:rFonts w:cs="Times New Roman"/>
        </w:rPr>
        <w:t xml:space="preserve">feeding weevils, and parasitic wasps of weevils via endozoochory. </w:t>
      </w:r>
      <w:r w:rsidRPr="00E25215">
        <w:rPr>
          <w:rFonts w:cs="Times New Roman"/>
          <w:i/>
          <w:iCs/>
        </w:rPr>
        <w:t>Integrative Zoology</w:t>
      </w:r>
      <w:r w:rsidRPr="00E25215">
        <w:rPr>
          <w:rFonts w:cs="Times New Roman"/>
        </w:rPr>
        <w:t>. https://doi.org/10.1111/1749-4877.12606</w:t>
      </w:r>
    </w:p>
    <w:p w14:paraId="75ED2DA0"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Chinchio, E., Crotta, M., Romeo, C., Drewe, J. A., Guitian, J., &amp; Ferrari, N. (2020). Invasive alien species and disease risk: An open challenge in public and animal health. </w:t>
      </w:r>
      <w:r w:rsidRPr="00E25215">
        <w:rPr>
          <w:rFonts w:cs="Times New Roman"/>
          <w:i/>
          <w:iCs/>
        </w:rPr>
        <w:t>PLoS Pathogens</w:t>
      </w:r>
      <w:r w:rsidRPr="00E25215">
        <w:rPr>
          <w:rFonts w:cs="Times New Roman"/>
        </w:rPr>
        <w:t xml:space="preserve">, </w:t>
      </w:r>
      <w:r w:rsidRPr="00E25215">
        <w:rPr>
          <w:rFonts w:cs="Times New Roman"/>
          <w:i/>
          <w:iCs/>
        </w:rPr>
        <w:t>16</w:t>
      </w:r>
      <w:r w:rsidRPr="00E25215">
        <w:rPr>
          <w:rFonts w:cs="Times New Roman"/>
        </w:rPr>
        <w:t>(10), e1008922. https://doi.org/10.1371/journal.ppat.1008922</w:t>
      </w:r>
    </w:p>
    <w:p w14:paraId="26FC4970"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Chown, S. L., Huiskes, A. H. L., Gremmen, N. J. M., Lee, J. E., Terauds, A., Crosbie, K., Frenot, Y., Hughes, K. A., Imura, S., Kiefer, K., Lebouvier, M., Raymond, B., Tsujimoto, M., Ware, C., Van de Vijver, B., &amp; Bergstrom, D. M. (2012). Continent-wide risk assessment </w:t>
      </w:r>
      <w:r w:rsidRPr="00E25215">
        <w:rPr>
          <w:rFonts w:cs="Times New Roman"/>
        </w:rPr>
        <w:lastRenderedPageBreak/>
        <w:t xml:space="preserve">for the establishment of nonindigenous species in Antarctica. </w:t>
      </w:r>
      <w:r w:rsidRPr="00E25215">
        <w:rPr>
          <w:rFonts w:cs="Times New Roman"/>
          <w:i/>
          <w:iCs/>
        </w:rPr>
        <w:t>Proceedings of the National Academy of Sciences of the United States of America</w:t>
      </w:r>
      <w:r w:rsidRPr="00E25215">
        <w:rPr>
          <w:rFonts w:cs="Times New Roman"/>
        </w:rPr>
        <w:t xml:space="preserve">, </w:t>
      </w:r>
      <w:r w:rsidRPr="00E25215">
        <w:rPr>
          <w:rFonts w:cs="Times New Roman"/>
          <w:i/>
          <w:iCs/>
        </w:rPr>
        <w:t>109</w:t>
      </w:r>
      <w:r w:rsidRPr="00E25215">
        <w:rPr>
          <w:rFonts w:cs="Times New Roman"/>
        </w:rPr>
        <w:t>(13), 4938–4943. https://doi.org/10.1073/pnas.1119787109</w:t>
      </w:r>
    </w:p>
    <w:p w14:paraId="379A2056"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Chucholl, C. (2013). Invaders for sale: Trade and determinants of introduction of ornamental freshwater crayfish. </w:t>
      </w:r>
      <w:r w:rsidRPr="00E25215">
        <w:rPr>
          <w:rFonts w:cs="Times New Roman"/>
          <w:i/>
          <w:iCs/>
        </w:rPr>
        <w:t>Biological Invasions</w:t>
      </w:r>
      <w:r w:rsidRPr="00E25215">
        <w:rPr>
          <w:rFonts w:cs="Times New Roman"/>
        </w:rPr>
        <w:t xml:space="preserve">, </w:t>
      </w:r>
      <w:r w:rsidRPr="00E25215">
        <w:rPr>
          <w:rFonts w:cs="Times New Roman"/>
          <w:i/>
          <w:iCs/>
        </w:rPr>
        <w:t>15</w:t>
      </w:r>
      <w:r w:rsidRPr="00E25215">
        <w:rPr>
          <w:rFonts w:cs="Times New Roman"/>
        </w:rPr>
        <w:t>(1), 125–141. https://doi.org/10.1007/s10530-012-0273-2</w:t>
      </w:r>
    </w:p>
    <w:p w14:paraId="2ED74422"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Chwedorzewska, K. J. (2008). </w:t>
      </w:r>
      <w:r w:rsidRPr="00E25215">
        <w:rPr>
          <w:rFonts w:cs="Times New Roman"/>
          <w:i/>
          <w:iCs/>
        </w:rPr>
        <w:t>Poa annua</w:t>
      </w:r>
      <w:r w:rsidRPr="00E25215">
        <w:rPr>
          <w:rFonts w:cs="Times New Roman"/>
        </w:rPr>
        <w:t xml:space="preserve"> L. in Antarctic: Searching for the source of introduction. </w:t>
      </w:r>
      <w:r w:rsidRPr="00E25215">
        <w:rPr>
          <w:rFonts w:cs="Times New Roman"/>
          <w:i/>
          <w:iCs/>
        </w:rPr>
        <w:t>Polar Biology</w:t>
      </w:r>
      <w:r w:rsidRPr="00E25215">
        <w:rPr>
          <w:rFonts w:cs="Times New Roman"/>
        </w:rPr>
        <w:t xml:space="preserve">, </w:t>
      </w:r>
      <w:r w:rsidRPr="00E25215">
        <w:rPr>
          <w:rFonts w:cs="Times New Roman"/>
          <w:i/>
          <w:iCs/>
        </w:rPr>
        <w:t>31</w:t>
      </w:r>
      <w:r w:rsidRPr="00E25215">
        <w:rPr>
          <w:rFonts w:cs="Times New Roman"/>
        </w:rPr>
        <w:t>(3), Article 3. https://doi.org/10.1007/s00300-007-0353-4</w:t>
      </w:r>
    </w:p>
    <w:p w14:paraId="135D8B5F"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Chwedorzewska, K. J., Giełwanowska, I., Olech, M., Molina-Montenegro, M. A., Wódkiewicz, M., &amp; Galera, H. (2015). </w:t>
      </w:r>
      <w:r w:rsidRPr="00E25215">
        <w:rPr>
          <w:rFonts w:cs="Times New Roman"/>
          <w:i/>
          <w:iCs/>
        </w:rPr>
        <w:t>Poa annua</w:t>
      </w:r>
      <w:r w:rsidRPr="00E25215">
        <w:rPr>
          <w:rFonts w:cs="Times New Roman"/>
        </w:rPr>
        <w:t xml:space="preserve"> L. in the maritime Antarctic: An overview. </w:t>
      </w:r>
      <w:r w:rsidRPr="00E25215">
        <w:rPr>
          <w:rFonts w:cs="Times New Roman"/>
          <w:i/>
          <w:iCs/>
        </w:rPr>
        <w:t>Polar Record</w:t>
      </w:r>
      <w:r w:rsidRPr="00E25215">
        <w:rPr>
          <w:rFonts w:cs="Times New Roman"/>
        </w:rPr>
        <w:t xml:space="preserve">, </w:t>
      </w:r>
      <w:r w:rsidRPr="00E25215">
        <w:rPr>
          <w:rFonts w:cs="Times New Roman"/>
          <w:i/>
          <w:iCs/>
        </w:rPr>
        <w:t>51</w:t>
      </w:r>
      <w:r w:rsidRPr="00E25215">
        <w:rPr>
          <w:rFonts w:cs="Times New Roman"/>
        </w:rPr>
        <w:t>(6), 637–643. https://doi.org/10.1017/S0032247414000916</w:t>
      </w:r>
    </w:p>
    <w:p w14:paraId="06B865C6"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Chwedorzewska, K. J., Korczak-Abshire, M., &amp; Znój, A. (2020). Is Antarctica under threat of alien species invasion? </w:t>
      </w:r>
      <w:r w:rsidRPr="00E25215">
        <w:rPr>
          <w:rFonts w:cs="Times New Roman"/>
          <w:i/>
          <w:iCs/>
        </w:rPr>
        <w:t>Global Change Biology</w:t>
      </w:r>
      <w:r w:rsidRPr="00E25215">
        <w:rPr>
          <w:rFonts w:cs="Times New Roman"/>
        </w:rPr>
        <w:t xml:space="preserve">, </w:t>
      </w:r>
      <w:r w:rsidRPr="00E25215">
        <w:rPr>
          <w:rFonts w:cs="Times New Roman"/>
          <w:i/>
          <w:iCs/>
        </w:rPr>
        <w:t>26</w:t>
      </w:r>
      <w:r w:rsidRPr="00E25215">
        <w:rPr>
          <w:rFonts w:cs="Times New Roman"/>
        </w:rPr>
        <w:t>(4), 1942–1943. https://doi.org/10.1111/gcb.15013</w:t>
      </w:r>
    </w:p>
    <w:p w14:paraId="6B25217D"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Clarke, H., &amp; Evans, J. P. (2019). Exploring the future change space for fire weather in southeast Australia. </w:t>
      </w:r>
      <w:r w:rsidRPr="00E25215">
        <w:rPr>
          <w:rFonts w:cs="Times New Roman"/>
          <w:i/>
          <w:iCs/>
        </w:rPr>
        <w:t>Theoretical and Applied Climatology</w:t>
      </w:r>
      <w:r w:rsidRPr="00E25215">
        <w:rPr>
          <w:rFonts w:cs="Times New Roman"/>
        </w:rPr>
        <w:t xml:space="preserve">, </w:t>
      </w:r>
      <w:r w:rsidRPr="00E25215">
        <w:rPr>
          <w:rFonts w:cs="Times New Roman"/>
          <w:i/>
          <w:iCs/>
        </w:rPr>
        <w:t>136</w:t>
      </w:r>
      <w:r w:rsidRPr="00E25215">
        <w:rPr>
          <w:rFonts w:cs="Times New Roman"/>
        </w:rPr>
        <w:t>(1), 513–527. https://doi.org/10.1007/s00704-018-2507-4</w:t>
      </w:r>
    </w:p>
    <w:p w14:paraId="0A8299F8"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Clavero, M. (2016). Species substitutions driven by anthropogenic positive feedbacks: Spanish crayfish species as a case study. </w:t>
      </w:r>
      <w:r w:rsidRPr="00E25215">
        <w:rPr>
          <w:rFonts w:cs="Times New Roman"/>
          <w:i/>
          <w:iCs/>
        </w:rPr>
        <w:t>Biological Conservation</w:t>
      </w:r>
      <w:r w:rsidRPr="00E25215">
        <w:rPr>
          <w:rFonts w:cs="Times New Roman"/>
        </w:rPr>
        <w:t xml:space="preserve">, </w:t>
      </w:r>
      <w:r w:rsidRPr="00E25215">
        <w:rPr>
          <w:rFonts w:cs="Times New Roman"/>
          <w:i/>
          <w:iCs/>
        </w:rPr>
        <w:t>193</w:t>
      </w:r>
      <w:r w:rsidRPr="00E25215">
        <w:rPr>
          <w:rFonts w:cs="Times New Roman"/>
        </w:rPr>
        <w:t>, 80–85. https://doi.org/10.1016/j.biocon.2015.11.017</w:t>
      </w:r>
    </w:p>
    <w:p w14:paraId="4F5985C0"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Clergeau, P., &amp; Yésou, P. (2006). Behavioural Flexibility and Numerous Potential Sources of Introduction for the Sacred Ibis: Causes of Concern in Western Europe? </w:t>
      </w:r>
      <w:r w:rsidRPr="00E25215">
        <w:rPr>
          <w:rFonts w:cs="Times New Roman"/>
          <w:i/>
          <w:iCs/>
        </w:rPr>
        <w:t>Biological Invasions</w:t>
      </w:r>
      <w:r w:rsidRPr="00E25215">
        <w:rPr>
          <w:rFonts w:cs="Times New Roman"/>
        </w:rPr>
        <w:t xml:space="preserve">, </w:t>
      </w:r>
      <w:r w:rsidRPr="00E25215">
        <w:rPr>
          <w:rFonts w:cs="Times New Roman"/>
          <w:i/>
          <w:iCs/>
        </w:rPr>
        <w:t>8</w:t>
      </w:r>
      <w:r w:rsidRPr="00E25215">
        <w:rPr>
          <w:rFonts w:cs="Times New Roman"/>
        </w:rPr>
        <w:t>(6), 1381–1388. https://doi.org/10.1007/s10530-006-0002-9</w:t>
      </w:r>
    </w:p>
    <w:p w14:paraId="386CFB9B"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Clout, M. N. (2006). Keystone aliens? The multiple impacts of brushtail possums. In R. B. Allen &amp; W. G. Lee (Eds.), </w:t>
      </w:r>
      <w:r w:rsidRPr="00E25215">
        <w:rPr>
          <w:rFonts w:cs="Times New Roman"/>
          <w:i/>
          <w:iCs/>
        </w:rPr>
        <w:t>Biological Invasions in New Zealand</w:t>
      </w:r>
      <w:r w:rsidRPr="00E25215">
        <w:rPr>
          <w:rFonts w:cs="Times New Roman"/>
        </w:rPr>
        <w:t xml:space="preserve"> (pp. 265–279). Springer. https://link.springer.com/chapter/10.1007/3-540-30023-6_17</w:t>
      </w:r>
    </w:p>
    <w:p w14:paraId="47FD2F84"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Cofrancesco Jr, A. F., Reaves, D. R., &amp; Averett, D. E. (2007). </w:t>
      </w:r>
      <w:r w:rsidRPr="00E25215">
        <w:rPr>
          <w:rFonts w:cs="Times New Roman"/>
          <w:i/>
          <w:iCs/>
        </w:rPr>
        <w:t>Transfer of invasive species associated with the movement of military equipment and personnel</w:t>
      </w:r>
      <w:r w:rsidRPr="00E25215">
        <w:rPr>
          <w:rFonts w:cs="Times New Roman"/>
        </w:rPr>
        <w:t>. Engineer Research and Development Center MS Environmental lab. https://apps.dtic.mil/sti/pdfs/ADA470914.pdf</w:t>
      </w:r>
    </w:p>
    <w:p w14:paraId="5714BC5C"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Cohen, J., Mirotchnick, N., &amp; Leung, B. (2007). Thousands introduced annually: The aquarium pathway for non-indigenous plants to the St Lawrence Seaway. </w:t>
      </w:r>
      <w:r w:rsidRPr="00E25215">
        <w:rPr>
          <w:rFonts w:cs="Times New Roman"/>
          <w:i/>
          <w:iCs/>
        </w:rPr>
        <w:t>Frontiers in Ecology and the Environment</w:t>
      </w:r>
      <w:r w:rsidRPr="00E25215">
        <w:rPr>
          <w:rFonts w:cs="Times New Roman"/>
        </w:rPr>
        <w:t xml:space="preserve">, </w:t>
      </w:r>
      <w:r w:rsidRPr="00E25215">
        <w:rPr>
          <w:rFonts w:cs="Times New Roman"/>
          <w:i/>
          <w:iCs/>
        </w:rPr>
        <w:t>5</w:t>
      </w:r>
      <w:r w:rsidRPr="00E25215">
        <w:rPr>
          <w:rFonts w:cs="Times New Roman"/>
        </w:rPr>
        <w:t>(10), 528–532. https://doi.org/10.1890/060137</w:t>
      </w:r>
    </w:p>
    <w:p w14:paraId="518AF45B"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Colautti, R. I., &amp; MacIsaac, H. J. (2004). A neutral terminology to define ‘invasive’ species. </w:t>
      </w:r>
      <w:r w:rsidRPr="00E25215">
        <w:rPr>
          <w:rFonts w:cs="Times New Roman"/>
          <w:i/>
          <w:iCs/>
        </w:rPr>
        <w:t>Diversity and Distributions</w:t>
      </w:r>
      <w:r w:rsidRPr="00E25215">
        <w:rPr>
          <w:rFonts w:cs="Times New Roman"/>
        </w:rPr>
        <w:t xml:space="preserve">, </w:t>
      </w:r>
      <w:r w:rsidRPr="00E25215">
        <w:rPr>
          <w:rFonts w:cs="Times New Roman"/>
          <w:i/>
          <w:iCs/>
        </w:rPr>
        <w:t>10</w:t>
      </w:r>
      <w:r w:rsidRPr="00E25215">
        <w:rPr>
          <w:rFonts w:cs="Times New Roman"/>
        </w:rPr>
        <w:t>(2), Article 2. https://doi.org/10.1111/j.1366-9516.2004.00061.x</w:t>
      </w:r>
    </w:p>
    <w:p w14:paraId="5ACD2637" w14:textId="77777777" w:rsidR="001379C0" w:rsidRPr="00E25215" w:rsidRDefault="001379C0" w:rsidP="009B3E7F">
      <w:pPr>
        <w:pStyle w:val="Bibliography"/>
        <w:spacing w:before="0" w:after="0" w:line="240" w:lineRule="auto"/>
        <w:rPr>
          <w:rFonts w:cs="Times New Roman"/>
        </w:rPr>
      </w:pPr>
      <w:r w:rsidRPr="00E25215">
        <w:rPr>
          <w:rFonts w:cs="Times New Roman"/>
        </w:rPr>
        <w:t>Coldsnow, K. D., &amp; Relyea, R. A. (2018). Toxicity of various road-deicing salts to Asian clams (</w:t>
      </w:r>
      <w:r w:rsidRPr="00E25215">
        <w:rPr>
          <w:rFonts w:cs="Times New Roman"/>
          <w:i/>
          <w:iCs/>
        </w:rPr>
        <w:t>Corbicula fluminea</w:t>
      </w:r>
      <w:r w:rsidRPr="00E25215">
        <w:rPr>
          <w:rFonts w:cs="Times New Roman"/>
        </w:rPr>
        <w:t xml:space="preserve">). </w:t>
      </w:r>
      <w:r w:rsidRPr="00E25215">
        <w:rPr>
          <w:rFonts w:cs="Times New Roman"/>
          <w:i/>
          <w:iCs/>
        </w:rPr>
        <w:t>Environmental Toxicology and Chemistry</w:t>
      </w:r>
      <w:r w:rsidRPr="00E25215">
        <w:rPr>
          <w:rFonts w:cs="Times New Roman"/>
        </w:rPr>
        <w:t xml:space="preserve">, </w:t>
      </w:r>
      <w:r w:rsidRPr="00E25215">
        <w:rPr>
          <w:rFonts w:cs="Times New Roman"/>
          <w:i/>
          <w:iCs/>
        </w:rPr>
        <w:t>37</w:t>
      </w:r>
      <w:r w:rsidRPr="00E25215">
        <w:rPr>
          <w:rFonts w:cs="Times New Roman"/>
        </w:rPr>
        <w:t>(7), 1839–1845. https://doi.org/10.1002/etc.4126</w:t>
      </w:r>
    </w:p>
    <w:p w14:paraId="0B40000C"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Coles, S. L., DeFelice, R. C., Eldredge, L. G., &amp; Carlton, J. T. (1999). Historical and recent introductions of non-indigenous marine species into Pearl Harbor, Oahu, Hawaiian Islands. </w:t>
      </w:r>
      <w:r w:rsidRPr="00E25215">
        <w:rPr>
          <w:rFonts w:cs="Times New Roman"/>
          <w:i/>
          <w:iCs/>
        </w:rPr>
        <w:t>Marine Biology</w:t>
      </w:r>
      <w:r w:rsidRPr="00E25215">
        <w:rPr>
          <w:rFonts w:cs="Times New Roman"/>
        </w:rPr>
        <w:t xml:space="preserve">, </w:t>
      </w:r>
      <w:r w:rsidRPr="00E25215">
        <w:rPr>
          <w:rFonts w:cs="Times New Roman"/>
          <w:i/>
          <w:iCs/>
        </w:rPr>
        <w:t>135</w:t>
      </w:r>
      <w:r w:rsidRPr="00E25215">
        <w:rPr>
          <w:rFonts w:cs="Times New Roman"/>
        </w:rPr>
        <w:t>(1), 147–158. https://doi.org/10.1007/s002270050612</w:t>
      </w:r>
    </w:p>
    <w:p w14:paraId="314E8DB3"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Conn, J. E., Wilkerson, R. C., Segura, M. N. O., de Souza, R. T. L., Schlichting, C. D., Wirtz, R. A., &amp; Póvoa, M. M. (2002). Emergence of a new neotropical malaria vector facilitated by human migration and changes in land use. </w:t>
      </w:r>
      <w:r w:rsidRPr="00E25215">
        <w:rPr>
          <w:rFonts w:cs="Times New Roman"/>
          <w:i/>
          <w:iCs/>
        </w:rPr>
        <w:t>The American Journal of Tropical Medicine and Hygiene</w:t>
      </w:r>
      <w:r w:rsidRPr="00E25215">
        <w:rPr>
          <w:rFonts w:cs="Times New Roman"/>
        </w:rPr>
        <w:t xml:space="preserve">, </w:t>
      </w:r>
      <w:r w:rsidRPr="00E25215">
        <w:rPr>
          <w:rFonts w:cs="Times New Roman"/>
          <w:i/>
          <w:iCs/>
        </w:rPr>
        <w:t>66</w:t>
      </w:r>
      <w:r w:rsidRPr="00E25215">
        <w:rPr>
          <w:rFonts w:cs="Times New Roman"/>
        </w:rPr>
        <w:t>(1), 18–22. https://doi.org/10.4269/ajtmh.2002.66.18</w:t>
      </w:r>
    </w:p>
    <w:p w14:paraId="2D9ECE7D"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Constantinescu, C., Mattoo, A., &amp; Ruta, M. (2016). Does the global trade slowdown matter? </w:t>
      </w:r>
      <w:r w:rsidRPr="00E25215">
        <w:rPr>
          <w:rFonts w:cs="Times New Roman"/>
          <w:i/>
          <w:iCs/>
        </w:rPr>
        <w:t>Journal of Policy Modeling</w:t>
      </w:r>
      <w:r w:rsidRPr="00E25215">
        <w:rPr>
          <w:rFonts w:cs="Times New Roman"/>
        </w:rPr>
        <w:t xml:space="preserve">, </w:t>
      </w:r>
      <w:r w:rsidRPr="00E25215">
        <w:rPr>
          <w:rFonts w:cs="Times New Roman"/>
          <w:i/>
          <w:iCs/>
        </w:rPr>
        <w:t>38</w:t>
      </w:r>
      <w:r w:rsidRPr="00E25215">
        <w:rPr>
          <w:rFonts w:cs="Times New Roman"/>
        </w:rPr>
        <w:t>(4), 711–722. https://doi.org/10.1016/j.jpolmod.2016.05.013</w:t>
      </w:r>
    </w:p>
    <w:p w14:paraId="40646FAC"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Cook, G. D., &amp; Dias, L. (2006). It was no accident: Deliberate plant introductions by Australian government agencies during the 20th century. </w:t>
      </w:r>
      <w:r w:rsidRPr="00E25215">
        <w:rPr>
          <w:rFonts w:cs="Times New Roman"/>
          <w:i/>
          <w:iCs/>
        </w:rPr>
        <w:t>Australian Journal of Botany</w:t>
      </w:r>
      <w:r w:rsidRPr="00E25215">
        <w:rPr>
          <w:rFonts w:cs="Times New Roman"/>
        </w:rPr>
        <w:t xml:space="preserve">, </w:t>
      </w:r>
      <w:r w:rsidRPr="00E25215">
        <w:rPr>
          <w:rFonts w:cs="Times New Roman"/>
          <w:i/>
          <w:iCs/>
        </w:rPr>
        <w:t>54</w:t>
      </w:r>
      <w:r w:rsidRPr="00E25215">
        <w:rPr>
          <w:rFonts w:cs="Times New Roman"/>
        </w:rPr>
        <w:t>(7), 601–625. https://doi.org/10.1071/BT05157</w:t>
      </w:r>
    </w:p>
    <w:p w14:paraId="681CE04A"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Copp, G. H., Vilizzi, L., &amp; Gozlan, R. E. (2010). The demography of introduction pathways, propagule pressure and occurrences of non-native freshwater fish in England. </w:t>
      </w:r>
      <w:r w:rsidRPr="00E25215">
        <w:rPr>
          <w:rFonts w:cs="Times New Roman"/>
          <w:i/>
          <w:iCs/>
        </w:rPr>
        <w:t xml:space="preserve">Aquatic </w:t>
      </w:r>
      <w:r w:rsidRPr="00E25215">
        <w:rPr>
          <w:rFonts w:cs="Times New Roman"/>
          <w:i/>
          <w:iCs/>
        </w:rPr>
        <w:lastRenderedPageBreak/>
        <w:t>Conservation: Marine and Freshwater Ecosystems</w:t>
      </w:r>
      <w:r w:rsidRPr="00E25215">
        <w:rPr>
          <w:rFonts w:cs="Times New Roman"/>
        </w:rPr>
        <w:t xml:space="preserve">, </w:t>
      </w:r>
      <w:r w:rsidRPr="00E25215">
        <w:rPr>
          <w:rFonts w:cs="Times New Roman"/>
          <w:i/>
          <w:iCs/>
        </w:rPr>
        <w:t>20</w:t>
      </w:r>
      <w:r w:rsidRPr="00E25215">
        <w:rPr>
          <w:rFonts w:cs="Times New Roman"/>
        </w:rPr>
        <w:t>(5), 595–601. https://doi.org/10.1002/aqc.1129</w:t>
      </w:r>
    </w:p>
    <w:p w14:paraId="36D569AD"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Cote, I. M., Darling, E. S., &amp; Brown, C. J. (2016). Interactions among ecosystem stressors and their importance in conservation. </w:t>
      </w:r>
      <w:r w:rsidRPr="00E25215">
        <w:rPr>
          <w:rFonts w:cs="Times New Roman"/>
          <w:i/>
          <w:iCs/>
        </w:rPr>
        <w:t>Proceedings of the Royal Society B-Biological Sciences</w:t>
      </w:r>
      <w:r w:rsidRPr="00E25215">
        <w:rPr>
          <w:rFonts w:cs="Times New Roman"/>
        </w:rPr>
        <w:t xml:space="preserve">, </w:t>
      </w:r>
      <w:r w:rsidRPr="00E25215">
        <w:rPr>
          <w:rFonts w:cs="Times New Roman"/>
          <w:i/>
          <w:iCs/>
        </w:rPr>
        <w:t>283</w:t>
      </w:r>
      <w:r w:rsidRPr="00E25215">
        <w:rPr>
          <w:rFonts w:cs="Times New Roman"/>
        </w:rPr>
        <w:t>(20152592). https://doi.org/10.1098/rspb.2015.2592</w:t>
      </w:r>
    </w:p>
    <w:p w14:paraId="3443CFD0"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Cowie, R. H. (2001). Can snails ever be effective and safe biocontrol agents? </w:t>
      </w:r>
      <w:r w:rsidRPr="00E25215">
        <w:rPr>
          <w:rFonts w:cs="Times New Roman"/>
          <w:i/>
          <w:iCs/>
        </w:rPr>
        <w:t>International Journal of Pest Management</w:t>
      </w:r>
      <w:r w:rsidRPr="00E25215">
        <w:rPr>
          <w:rFonts w:cs="Times New Roman"/>
        </w:rPr>
        <w:t xml:space="preserve">, </w:t>
      </w:r>
      <w:r w:rsidRPr="00E25215">
        <w:rPr>
          <w:rFonts w:cs="Times New Roman"/>
          <w:i/>
          <w:iCs/>
        </w:rPr>
        <w:t>47</w:t>
      </w:r>
      <w:r w:rsidRPr="00E25215">
        <w:rPr>
          <w:rFonts w:cs="Times New Roman"/>
        </w:rPr>
        <w:t>(1), 23–40. https://doi.org/10.1080/09670870150215577</w:t>
      </w:r>
    </w:p>
    <w:p w14:paraId="288840B8"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Cowling, J. E., Spicer, J. I., Weeks, J. M., &amp; Gaston, K. J. (2003). Environmental tolerances of an invasive terrestrial amphipod, </w:t>
      </w:r>
      <w:r w:rsidRPr="00E25215">
        <w:rPr>
          <w:rFonts w:cs="Times New Roman"/>
          <w:i/>
          <w:iCs/>
        </w:rPr>
        <w:t>Arcitalitrus dorrieni</w:t>
      </w:r>
      <w:r w:rsidRPr="00E25215">
        <w:rPr>
          <w:rFonts w:cs="Times New Roman"/>
        </w:rPr>
        <w:t xml:space="preserve"> (Hunt) in Britain. </w:t>
      </w:r>
      <w:r w:rsidRPr="00E25215">
        <w:rPr>
          <w:rFonts w:cs="Times New Roman"/>
          <w:i/>
          <w:iCs/>
        </w:rPr>
        <w:t>Comparative Biochemistry and Physiology Part A: Molecular &amp; Integrative Physiology</w:t>
      </w:r>
      <w:r w:rsidRPr="00E25215">
        <w:rPr>
          <w:rFonts w:cs="Times New Roman"/>
        </w:rPr>
        <w:t xml:space="preserve">, </w:t>
      </w:r>
      <w:r w:rsidRPr="00E25215">
        <w:rPr>
          <w:rFonts w:cs="Times New Roman"/>
          <w:i/>
          <w:iCs/>
        </w:rPr>
        <w:t>136</w:t>
      </w:r>
      <w:r w:rsidRPr="00E25215">
        <w:rPr>
          <w:rFonts w:cs="Times New Roman"/>
        </w:rPr>
        <w:t>(3), 735–747. https://doi.org/10.1016/S1095-6433(03)00242-3</w:t>
      </w:r>
    </w:p>
    <w:p w14:paraId="0E27AABD"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Cox, G. W. (1999). </w:t>
      </w:r>
      <w:r w:rsidRPr="00E25215">
        <w:rPr>
          <w:rFonts w:cs="Times New Roman"/>
          <w:i/>
          <w:iCs/>
        </w:rPr>
        <w:t>Alien Species in North America and Hawaii</w:t>
      </w:r>
      <w:r w:rsidRPr="00E25215">
        <w:rPr>
          <w:rFonts w:cs="Times New Roman"/>
        </w:rPr>
        <w:t>. Island Press. https://islandpress.org/books/alien-species-north-america-and-hawaii</w:t>
      </w:r>
    </w:p>
    <w:p w14:paraId="22CDCA9C"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Crane, E. (1999). </w:t>
      </w:r>
      <w:r w:rsidRPr="00E25215">
        <w:rPr>
          <w:rFonts w:cs="Times New Roman"/>
          <w:i/>
          <w:iCs/>
        </w:rPr>
        <w:t>The World History of Beekeeping and Honey Hunting</w:t>
      </w:r>
      <w:r w:rsidRPr="00E25215">
        <w:rPr>
          <w:rFonts w:cs="Times New Roman"/>
        </w:rPr>
        <w:t>. Routledge. https://www.routledge.com/The-World-History-of-Beekeeping-and-Honey-Hunting/Crane/p/book/9780415924672</w:t>
      </w:r>
    </w:p>
    <w:p w14:paraId="4BE2941E"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Cusack, D. F., Karpman, J., Ashdown, D., Cao, Q., Ciochina, M., Halterman, S., Lydon, S., &amp; Neupane, A. (2016). Global change effects on humid tropical forests: Evidence for biogeochemical and biodiversity shifts at an ecosystem scale. </w:t>
      </w:r>
      <w:r w:rsidRPr="00E25215">
        <w:rPr>
          <w:rFonts w:cs="Times New Roman"/>
          <w:i/>
          <w:iCs/>
        </w:rPr>
        <w:t>Reviews of Geophysics</w:t>
      </w:r>
      <w:r w:rsidRPr="00E25215">
        <w:rPr>
          <w:rFonts w:cs="Times New Roman"/>
        </w:rPr>
        <w:t xml:space="preserve">, </w:t>
      </w:r>
      <w:r w:rsidRPr="00E25215">
        <w:rPr>
          <w:rFonts w:cs="Times New Roman"/>
          <w:i/>
          <w:iCs/>
        </w:rPr>
        <w:t>54</w:t>
      </w:r>
      <w:r w:rsidRPr="00E25215">
        <w:rPr>
          <w:rFonts w:cs="Times New Roman"/>
        </w:rPr>
        <w:t>(3), Article 3. https://doi.org/10.1002/2015RG000510</w:t>
      </w:r>
    </w:p>
    <w:p w14:paraId="4E592DBF"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da Rosa, C. A., de Almeida Curi, N. H., Puertas, F., &amp; Passamani, M. (2017). Alien terrestrial mammals in Brazil: Current status and management. </w:t>
      </w:r>
      <w:r w:rsidRPr="00E25215">
        <w:rPr>
          <w:rFonts w:cs="Times New Roman"/>
          <w:i/>
          <w:iCs/>
        </w:rPr>
        <w:t>Biological Invasions</w:t>
      </w:r>
      <w:r w:rsidRPr="00E25215">
        <w:rPr>
          <w:rFonts w:cs="Times New Roman"/>
        </w:rPr>
        <w:t xml:space="preserve">, </w:t>
      </w:r>
      <w:r w:rsidRPr="00E25215">
        <w:rPr>
          <w:rFonts w:cs="Times New Roman"/>
          <w:i/>
          <w:iCs/>
        </w:rPr>
        <w:t>19</w:t>
      </w:r>
      <w:r w:rsidRPr="00E25215">
        <w:rPr>
          <w:rFonts w:cs="Times New Roman"/>
        </w:rPr>
        <w:t>(7), 2101–2123. https://doi.org/10.1007/s10530-017-1423-3</w:t>
      </w:r>
    </w:p>
    <w:p w14:paraId="4E3CD2F9"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Daehler, C. C. (2003). Performance Comparisons of Co-Occurring Native and Alien Invasive Plants: Implications for Conservation and Restoration. </w:t>
      </w:r>
      <w:r w:rsidRPr="00E25215">
        <w:rPr>
          <w:rFonts w:cs="Times New Roman"/>
          <w:i/>
          <w:iCs/>
        </w:rPr>
        <w:t>Annual Review of Ecology, Evolution, and Systematics</w:t>
      </w:r>
      <w:r w:rsidRPr="00E25215">
        <w:rPr>
          <w:rFonts w:cs="Times New Roman"/>
        </w:rPr>
        <w:t xml:space="preserve">, </w:t>
      </w:r>
      <w:r w:rsidRPr="00E25215">
        <w:rPr>
          <w:rFonts w:cs="Times New Roman"/>
          <w:i/>
          <w:iCs/>
        </w:rPr>
        <w:t>34</w:t>
      </w:r>
      <w:r w:rsidRPr="00E25215">
        <w:rPr>
          <w:rFonts w:cs="Times New Roman"/>
        </w:rPr>
        <w:t>(1), 183–211. https://doi.org/10.1146/annurev.ecolsys.34.011802.132403</w:t>
      </w:r>
    </w:p>
    <w:p w14:paraId="0E768B74"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Dafforn, K. A., Glasby, T. M., Airoldi, L., Rivero, N. K., Mayer-Pinto, M., &amp; Johnston, E. L. (2015). Marine urbanization: An ecological framework for designing multifunctional artificial structures. </w:t>
      </w:r>
      <w:r w:rsidRPr="00E25215">
        <w:rPr>
          <w:rFonts w:cs="Times New Roman"/>
          <w:i/>
          <w:iCs/>
        </w:rPr>
        <w:t>Frontiers in Ecology and the Environment</w:t>
      </w:r>
      <w:r w:rsidRPr="00E25215">
        <w:rPr>
          <w:rFonts w:cs="Times New Roman"/>
        </w:rPr>
        <w:t xml:space="preserve">, </w:t>
      </w:r>
      <w:r w:rsidRPr="00E25215">
        <w:rPr>
          <w:rFonts w:cs="Times New Roman"/>
          <w:i/>
          <w:iCs/>
        </w:rPr>
        <w:t>13</w:t>
      </w:r>
      <w:r w:rsidRPr="00E25215">
        <w:rPr>
          <w:rFonts w:cs="Times New Roman"/>
        </w:rPr>
        <w:t>(2), 82–90. https://doi.org/10.1890/140050</w:t>
      </w:r>
    </w:p>
    <w:p w14:paraId="74D09151"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Dainese, M., Aikio, S., Hulme, P. E., Bertolli, A., Prosser, F., &amp; Marini, L. (2017). Human disturbance and upward expansion of plants in a warming climate. </w:t>
      </w:r>
      <w:r w:rsidRPr="00E25215">
        <w:rPr>
          <w:rFonts w:cs="Times New Roman"/>
          <w:i/>
          <w:iCs/>
        </w:rPr>
        <w:t>Nature Climate Change</w:t>
      </w:r>
      <w:r w:rsidRPr="00E25215">
        <w:rPr>
          <w:rFonts w:cs="Times New Roman"/>
        </w:rPr>
        <w:t xml:space="preserve">, </w:t>
      </w:r>
      <w:r w:rsidRPr="00E25215">
        <w:rPr>
          <w:rFonts w:cs="Times New Roman"/>
          <w:i/>
          <w:iCs/>
        </w:rPr>
        <w:t>7</w:t>
      </w:r>
      <w:r w:rsidRPr="00E25215">
        <w:rPr>
          <w:rFonts w:cs="Times New Roman"/>
        </w:rPr>
        <w:t>(8), 577–580. https://doi.org/10.1038/nclimate3337</w:t>
      </w:r>
    </w:p>
    <w:p w14:paraId="0063C8C4"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Dainese, M., Kühn, I., &amp; Bragazza, L. (2014). Alien plant species distribution in the European Alps: Influence of species’ climatic requirements. </w:t>
      </w:r>
      <w:r w:rsidRPr="00E25215">
        <w:rPr>
          <w:rFonts w:cs="Times New Roman"/>
          <w:i/>
          <w:iCs/>
        </w:rPr>
        <w:t>Biological Invasions</w:t>
      </w:r>
      <w:r w:rsidRPr="00E25215">
        <w:rPr>
          <w:rFonts w:cs="Times New Roman"/>
        </w:rPr>
        <w:t xml:space="preserve">, </w:t>
      </w:r>
      <w:r w:rsidRPr="00E25215">
        <w:rPr>
          <w:rFonts w:cs="Times New Roman"/>
          <w:i/>
          <w:iCs/>
        </w:rPr>
        <w:t>16</w:t>
      </w:r>
      <w:r w:rsidRPr="00E25215">
        <w:rPr>
          <w:rFonts w:cs="Times New Roman"/>
        </w:rPr>
        <w:t>(4), 815–831. https://doi.org/10.1007/s10530-013-0540-x</w:t>
      </w:r>
    </w:p>
    <w:p w14:paraId="0F19AFE4"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Dalsimer, A. (2002). Why DOD is interested in invasive species. </w:t>
      </w:r>
      <w:r w:rsidRPr="00E25215">
        <w:rPr>
          <w:rFonts w:cs="Times New Roman"/>
          <w:i/>
          <w:iCs/>
        </w:rPr>
        <w:t>Federal Facilities Environmental Journal</w:t>
      </w:r>
      <w:r w:rsidRPr="00E25215">
        <w:rPr>
          <w:rFonts w:cs="Times New Roman"/>
        </w:rPr>
        <w:t xml:space="preserve">, </w:t>
      </w:r>
      <w:r w:rsidRPr="00E25215">
        <w:rPr>
          <w:rFonts w:cs="Times New Roman"/>
          <w:i/>
          <w:iCs/>
        </w:rPr>
        <w:t>13</w:t>
      </w:r>
      <w:r w:rsidRPr="00E25215">
        <w:rPr>
          <w:rFonts w:cs="Times New Roman"/>
        </w:rPr>
        <w:t>(3), 41–54. https://doi.org/10.1002/ffej.10044</w:t>
      </w:r>
    </w:p>
    <w:p w14:paraId="677D8981"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D’Amore, D. M., Popescu, V. D., &amp; Morris, M. R. (2019). The influence of the invasive process on behaviours in an intentionally introduced hybrid, </w:t>
      </w:r>
      <w:r w:rsidRPr="00E25215">
        <w:rPr>
          <w:rFonts w:cs="Times New Roman"/>
          <w:i/>
          <w:iCs/>
        </w:rPr>
        <w:t>Xiphophorus helleri–maculatus</w:t>
      </w:r>
      <w:r w:rsidRPr="00E25215">
        <w:rPr>
          <w:rFonts w:cs="Times New Roman"/>
        </w:rPr>
        <w:t xml:space="preserve">. </w:t>
      </w:r>
      <w:r w:rsidRPr="00E25215">
        <w:rPr>
          <w:rFonts w:cs="Times New Roman"/>
          <w:i/>
          <w:iCs/>
        </w:rPr>
        <w:t>Animal Behaviour</w:t>
      </w:r>
      <w:r w:rsidRPr="00E25215">
        <w:rPr>
          <w:rFonts w:cs="Times New Roman"/>
        </w:rPr>
        <w:t xml:space="preserve">, </w:t>
      </w:r>
      <w:r w:rsidRPr="00E25215">
        <w:rPr>
          <w:rFonts w:cs="Times New Roman"/>
          <w:i/>
          <w:iCs/>
        </w:rPr>
        <w:t>156</w:t>
      </w:r>
      <w:r w:rsidRPr="00E25215">
        <w:rPr>
          <w:rFonts w:cs="Times New Roman"/>
        </w:rPr>
        <w:t>, 79–85. https://doi.org/10.1016/j.anbehav.2019.08.009</w:t>
      </w:r>
    </w:p>
    <w:p w14:paraId="5611139A"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D’Antonio, C. M. (2000). Fire, plant invasions, and global changes. In H. A. Mooney &amp; R. J. Hobbs (Eds.), </w:t>
      </w:r>
      <w:r w:rsidRPr="00E25215">
        <w:rPr>
          <w:rFonts w:cs="Times New Roman"/>
          <w:i/>
          <w:iCs/>
        </w:rPr>
        <w:t>Invasive species in a changing world</w:t>
      </w:r>
      <w:r w:rsidRPr="00E25215">
        <w:rPr>
          <w:rFonts w:cs="Times New Roman"/>
        </w:rPr>
        <w:t xml:space="preserve"> (pp. 65–93). Island PRess.</w:t>
      </w:r>
    </w:p>
    <w:p w14:paraId="6829E305"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D’Antonio, C. M., &amp; Meyerson, L. A. (2002). Exotic plant species as problems and solutions in ecological restoration: A synthesis. </w:t>
      </w:r>
      <w:r w:rsidRPr="00E25215">
        <w:rPr>
          <w:rFonts w:cs="Times New Roman"/>
          <w:i/>
          <w:iCs/>
        </w:rPr>
        <w:t>Restoration Ecology</w:t>
      </w:r>
      <w:r w:rsidRPr="00E25215">
        <w:rPr>
          <w:rFonts w:cs="Times New Roman"/>
        </w:rPr>
        <w:t xml:space="preserve">, </w:t>
      </w:r>
      <w:r w:rsidRPr="00E25215">
        <w:rPr>
          <w:rFonts w:cs="Times New Roman"/>
          <w:i/>
          <w:iCs/>
        </w:rPr>
        <w:t>10</w:t>
      </w:r>
      <w:r w:rsidRPr="00E25215">
        <w:rPr>
          <w:rFonts w:cs="Times New Roman"/>
        </w:rPr>
        <w:t>(4), 703–713. https://doi.org/10.1046/j.1526-100X.2002.01051.x</w:t>
      </w:r>
    </w:p>
    <w:p w14:paraId="29F71C1F"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D’Antonio, C. M., &amp; Vitousek, P. M. (1992). Biological Invasions by Exotic Grasses, the Grass/Fire Cycle, and Global Change. </w:t>
      </w:r>
      <w:r w:rsidRPr="00E25215">
        <w:rPr>
          <w:rFonts w:cs="Times New Roman"/>
          <w:i/>
          <w:iCs/>
        </w:rPr>
        <w:t>Annual Review of Ecology and Systematics</w:t>
      </w:r>
      <w:r w:rsidRPr="00E25215">
        <w:rPr>
          <w:rFonts w:cs="Times New Roman"/>
        </w:rPr>
        <w:t xml:space="preserve">, </w:t>
      </w:r>
      <w:r w:rsidRPr="00E25215">
        <w:rPr>
          <w:rFonts w:cs="Times New Roman"/>
          <w:i/>
          <w:iCs/>
        </w:rPr>
        <w:t>23</w:t>
      </w:r>
      <w:r w:rsidRPr="00E25215">
        <w:rPr>
          <w:rFonts w:cs="Times New Roman"/>
        </w:rPr>
        <w:t>, 63–87. JSTOR. https://doi.org/annurev.es.23.110192.000431</w:t>
      </w:r>
    </w:p>
    <w:p w14:paraId="07FE9AEC"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Darwin, C. (1859). </w:t>
      </w:r>
      <w:r w:rsidRPr="00E25215">
        <w:rPr>
          <w:rFonts w:cs="Times New Roman"/>
          <w:i/>
          <w:iCs/>
        </w:rPr>
        <w:t>On the origin of species by means of natural selection, or, The preservation of favoured races in the struggle for life</w:t>
      </w:r>
      <w:r w:rsidRPr="00E25215">
        <w:rPr>
          <w:rFonts w:cs="Times New Roman"/>
        </w:rPr>
        <w:t>. John Murray.</w:t>
      </w:r>
    </w:p>
    <w:p w14:paraId="4D89F20D" w14:textId="77777777" w:rsidR="001379C0" w:rsidRPr="00E25215" w:rsidRDefault="001379C0" w:rsidP="009B3E7F">
      <w:pPr>
        <w:pStyle w:val="Bibliography"/>
        <w:spacing w:before="0" w:after="0" w:line="240" w:lineRule="auto"/>
        <w:rPr>
          <w:rFonts w:cs="Times New Roman"/>
        </w:rPr>
      </w:pPr>
      <w:r w:rsidRPr="00E25215">
        <w:rPr>
          <w:rFonts w:cs="Times New Roman"/>
        </w:rPr>
        <w:lastRenderedPageBreak/>
        <w:t xml:space="preserve">Daskalov, G. M., Grishin, A. N., Rodionov, S., &amp; Mihneva, V. (2007). Trophic cascades triggered by overfishing reveal possible mechanisms of ecosystem regime shifts. </w:t>
      </w:r>
      <w:r w:rsidRPr="00E25215">
        <w:rPr>
          <w:rFonts w:cs="Times New Roman"/>
          <w:i/>
          <w:iCs/>
        </w:rPr>
        <w:t>Proceedings of the National Academy of Sciences of the United States of America</w:t>
      </w:r>
      <w:r w:rsidRPr="00E25215">
        <w:rPr>
          <w:rFonts w:cs="Times New Roman"/>
        </w:rPr>
        <w:t xml:space="preserve">, </w:t>
      </w:r>
      <w:r w:rsidRPr="00E25215">
        <w:rPr>
          <w:rFonts w:cs="Times New Roman"/>
          <w:i/>
          <w:iCs/>
        </w:rPr>
        <w:t>104</w:t>
      </w:r>
      <w:r w:rsidRPr="00E25215">
        <w:rPr>
          <w:rFonts w:cs="Times New Roman"/>
        </w:rPr>
        <w:t>(25), 10518–10523. https://doi.org/10.1073/pnas.0701100104</w:t>
      </w:r>
    </w:p>
    <w:p w14:paraId="4017BDE8"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Davidson, J. M., Wickland, A. C., Patterson, H. A., Falk, K. R., &amp; Rizzo, D. M. (2005). Transmission of </w:t>
      </w:r>
      <w:r w:rsidRPr="00E25215">
        <w:rPr>
          <w:rFonts w:cs="Times New Roman"/>
          <w:i/>
          <w:iCs/>
        </w:rPr>
        <w:t>Phytophthora ramorum</w:t>
      </w:r>
      <w:r w:rsidRPr="00E25215">
        <w:rPr>
          <w:rFonts w:cs="Times New Roman"/>
        </w:rPr>
        <w:t xml:space="preserve"> in mixed-evergreen forest in California. </w:t>
      </w:r>
      <w:r w:rsidRPr="00E25215">
        <w:rPr>
          <w:rFonts w:cs="Times New Roman"/>
          <w:i/>
          <w:iCs/>
        </w:rPr>
        <w:t>Phytopathology</w:t>
      </w:r>
      <w:r w:rsidRPr="00E25215">
        <w:rPr>
          <w:rFonts w:cs="Times New Roman"/>
        </w:rPr>
        <w:t xml:space="preserve">, </w:t>
      </w:r>
      <w:r w:rsidRPr="00E25215">
        <w:rPr>
          <w:rFonts w:cs="Times New Roman"/>
          <w:i/>
          <w:iCs/>
        </w:rPr>
        <w:t>95</w:t>
      </w:r>
      <w:r w:rsidRPr="00E25215">
        <w:rPr>
          <w:rFonts w:cs="Times New Roman"/>
        </w:rPr>
        <w:t>(5), 587–596. https://doi.org/10.1094/PHYTO-95-0587</w:t>
      </w:r>
    </w:p>
    <w:p w14:paraId="69DD374F"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Davis, A. J. S., &amp; Darling, J. A. (2017). Recreational freshwater fishing drives non-native aquatic species richness patterns at a continental scale. </w:t>
      </w:r>
      <w:r w:rsidRPr="00E25215">
        <w:rPr>
          <w:rFonts w:cs="Times New Roman"/>
          <w:i/>
          <w:iCs/>
        </w:rPr>
        <w:t>Diversity and Distributions</w:t>
      </w:r>
      <w:r w:rsidRPr="00E25215">
        <w:rPr>
          <w:rFonts w:cs="Times New Roman"/>
        </w:rPr>
        <w:t xml:space="preserve">, </w:t>
      </w:r>
      <w:r w:rsidRPr="00E25215">
        <w:rPr>
          <w:rFonts w:cs="Times New Roman"/>
          <w:i/>
          <w:iCs/>
        </w:rPr>
        <w:t>23</w:t>
      </w:r>
      <w:r w:rsidRPr="00E25215">
        <w:rPr>
          <w:rFonts w:cs="Times New Roman"/>
        </w:rPr>
        <w:t>(6), 692–702. https://doi.org/10.1111/ddi.12557</w:t>
      </w:r>
    </w:p>
    <w:p w14:paraId="669FBD38" w14:textId="77777777" w:rsidR="001379C0" w:rsidRPr="00E25215" w:rsidRDefault="001379C0" w:rsidP="009B3E7F">
      <w:pPr>
        <w:pStyle w:val="Bibliography"/>
        <w:spacing w:before="0" w:after="0" w:line="240" w:lineRule="auto"/>
        <w:rPr>
          <w:rFonts w:cs="Times New Roman"/>
        </w:rPr>
      </w:pPr>
      <w:r w:rsidRPr="00E25215">
        <w:rPr>
          <w:rFonts w:cs="Times New Roman"/>
        </w:rPr>
        <w:t>Davis, K. T., Maxwell, B. D., Caplat, P., Pauchard, A., &amp; Nuñez, M. A. (2019). Simulation model suggests that fire promotes lodgepole pine (</w:t>
      </w:r>
      <w:r w:rsidRPr="00E25215">
        <w:rPr>
          <w:rFonts w:cs="Times New Roman"/>
          <w:i/>
          <w:iCs/>
        </w:rPr>
        <w:t>Pinus contorta</w:t>
      </w:r>
      <w:r w:rsidRPr="00E25215">
        <w:rPr>
          <w:rFonts w:cs="Times New Roman"/>
        </w:rPr>
        <w:t xml:space="preserve">) invasion in Patagonia. </w:t>
      </w:r>
      <w:r w:rsidRPr="00E25215">
        <w:rPr>
          <w:rFonts w:cs="Times New Roman"/>
          <w:i/>
          <w:iCs/>
        </w:rPr>
        <w:t>Biological Invasions</w:t>
      </w:r>
      <w:r w:rsidRPr="00E25215">
        <w:rPr>
          <w:rFonts w:cs="Times New Roman"/>
        </w:rPr>
        <w:t xml:space="preserve">, </w:t>
      </w:r>
      <w:r w:rsidRPr="00E25215">
        <w:rPr>
          <w:rFonts w:cs="Times New Roman"/>
          <w:i/>
          <w:iCs/>
        </w:rPr>
        <w:t>21</w:t>
      </w:r>
      <w:r w:rsidRPr="00E25215">
        <w:rPr>
          <w:rFonts w:cs="Times New Roman"/>
        </w:rPr>
        <w:t>(7), 2287–2300. https://doi.org/10.1007/s10530-019-01975-1</w:t>
      </w:r>
    </w:p>
    <w:p w14:paraId="192B0049"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Davis, M. A., Grime, J. P., &amp; Thompson, K. (2000). Fluctuating resources in plant communities: A general theory of invasibility. </w:t>
      </w:r>
      <w:r w:rsidRPr="00E25215">
        <w:rPr>
          <w:rFonts w:cs="Times New Roman"/>
          <w:i/>
          <w:iCs/>
        </w:rPr>
        <w:t>Journal of Ecology</w:t>
      </w:r>
      <w:r w:rsidRPr="00E25215">
        <w:rPr>
          <w:rFonts w:cs="Times New Roman"/>
        </w:rPr>
        <w:t xml:space="preserve">, </w:t>
      </w:r>
      <w:r w:rsidRPr="00E25215">
        <w:rPr>
          <w:rFonts w:cs="Times New Roman"/>
          <w:i/>
          <w:iCs/>
        </w:rPr>
        <w:t>88</w:t>
      </w:r>
      <w:r w:rsidRPr="00E25215">
        <w:rPr>
          <w:rFonts w:cs="Times New Roman"/>
        </w:rPr>
        <w:t>(3), 528–534. https://doi.org/10.1046/j.1365-2745.2000.00473.x</w:t>
      </w:r>
    </w:p>
    <w:p w14:paraId="21B6BC6D"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Davis, N. E., Bennett, A., Forsyth, D. M., Bowman, D. M. J. S., Lefroy, E. C., Wood, S. W., Woolnough, A. P., West, P., Hampton, J. O., Johnson, C. N., Davis, N. E., Bennett, A., Forsyth, D. M., Bowman, D. M. J. S., Lefroy, E. C., Wood, S. W., Woolnough, A. P., West, P., Hampton, J. O., &amp; Johnson, C. N. (2016). A systematic review of the impacts and management of introduced deer (family Cervidae) in Australia. </w:t>
      </w:r>
      <w:r w:rsidRPr="00E25215">
        <w:rPr>
          <w:rFonts w:cs="Times New Roman"/>
          <w:i/>
          <w:iCs/>
        </w:rPr>
        <w:t>Wildlife Research</w:t>
      </w:r>
      <w:r w:rsidRPr="00E25215">
        <w:rPr>
          <w:rFonts w:cs="Times New Roman"/>
        </w:rPr>
        <w:t xml:space="preserve">, </w:t>
      </w:r>
      <w:r w:rsidRPr="00E25215">
        <w:rPr>
          <w:rFonts w:cs="Times New Roman"/>
          <w:i/>
          <w:iCs/>
        </w:rPr>
        <w:t>43</w:t>
      </w:r>
      <w:r w:rsidRPr="00E25215">
        <w:rPr>
          <w:rFonts w:cs="Times New Roman"/>
        </w:rPr>
        <w:t>(6), Article 6. https://doi.org/10.1071/WR16148</w:t>
      </w:r>
    </w:p>
    <w:p w14:paraId="7A675525" w14:textId="77777777" w:rsidR="001379C0" w:rsidRPr="00E25215" w:rsidRDefault="001379C0" w:rsidP="009B3E7F">
      <w:pPr>
        <w:pStyle w:val="Bibliography"/>
        <w:spacing w:before="0" w:after="0" w:line="240" w:lineRule="auto"/>
        <w:rPr>
          <w:rFonts w:cs="Times New Roman"/>
        </w:rPr>
      </w:pPr>
      <w:r w:rsidRPr="00E25215">
        <w:rPr>
          <w:rFonts w:cs="Times New Roman"/>
        </w:rPr>
        <w:t>Davis, N. E., Forsyth, D. M., &amp; Coulson, G. (2010). Facilitative interactions between an exotic mammal and native and exotic plants: Hog deer (</w:t>
      </w:r>
      <w:r w:rsidRPr="00E25215">
        <w:rPr>
          <w:rFonts w:cs="Times New Roman"/>
          <w:i/>
          <w:iCs/>
        </w:rPr>
        <w:t>Axis porcinus</w:t>
      </w:r>
      <w:r w:rsidRPr="00E25215">
        <w:rPr>
          <w:rFonts w:cs="Times New Roman"/>
        </w:rPr>
        <w:t xml:space="preserve">) as seed dispersers in south-eastern Australia. </w:t>
      </w:r>
      <w:r w:rsidRPr="00E25215">
        <w:rPr>
          <w:rFonts w:cs="Times New Roman"/>
          <w:i/>
          <w:iCs/>
        </w:rPr>
        <w:t>Biological Invasions</w:t>
      </w:r>
      <w:r w:rsidRPr="00E25215">
        <w:rPr>
          <w:rFonts w:cs="Times New Roman"/>
        </w:rPr>
        <w:t xml:space="preserve">, </w:t>
      </w:r>
      <w:r w:rsidRPr="00E25215">
        <w:rPr>
          <w:rFonts w:cs="Times New Roman"/>
          <w:i/>
          <w:iCs/>
        </w:rPr>
        <w:t>12</w:t>
      </w:r>
      <w:r w:rsidRPr="00E25215">
        <w:rPr>
          <w:rFonts w:cs="Times New Roman"/>
        </w:rPr>
        <w:t>(5), 1079–1092. https://doi.org/10.1007/s10530-009-9525-1</w:t>
      </w:r>
    </w:p>
    <w:p w14:paraId="693A6B71"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Dawson, W., Moser, D., van Kleunen, M., Kreft, H., Pergl, J., Pyšek, P., Weigelt, P., Winter, M., Lenzner, B., Blackburn, T. M., Dyer, E. E., Cassey, P., Scrivens, S. L., Economo, E. P., Guénard, B., Capinha, C., Seebens, H., García-Díaz, P., Nentwig, W., … Essl, F. (2017). Global hotspots and correlates of alien species richness across taxonomic groups. </w:t>
      </w:r>
      <w:r w:rsidRPr="00E25215">
        <w:rPr>
          <w:rFonts w:cs="Times New Roman"/>
          <w:i/>
          <w:iCs/>
        </w:rPr>
        <w:t>Nature Ecology &amp; Evolution</w:t>
      </w:r>
      <w:r w:rsidRPr="00E25215">
        <w:rPr>
          <w:rFonts w:cs="Times New Roman"/>
        </w:rPr>
        <w:t xml:space="preserve">, </w:t>
      </w:r>
      <w:r w:rsidRPr="00E25215">
        <w:rPr>
          <w:rFonts w:cs="Times New Roman"/>
          <w:i/>
          <w:iCs/>
        </w:rPr>
        <w:t>1</w:t>
      </w:r>
      <w:r w:rsidRPr="00E25215">
        <w:rPr>
          <w:rFonts w:cs="Times New Roman"/>
        </w:rPr>
        <w:t>(7), 0186. https://doi.org/10.1038/s41559-017-0186</w:t>
      </w:r>
    </w:p>
    <w:p w14:paraId="0138C9C3"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Day, M. D., Cock, M. J. W., Conant, P., Cooke, B., Furlong, M. J., Paynter, Q., Ramadan, M. M., &amp; Wright, M. G. (2021). Biological control successes and failures: Oceania region. In P. G. Mason (Ed.), </w:t>
      </w:r>
      <w:r w:rsidRPr="00E25215">
        <w:rPr>
          <w:rFonts w:cs="Times New Roman"/>
          <w:i/>
          <w:iCs/>
        </w:rPr>
        <w:t>Biological control: Global impacts, challenges and future directions of pest management</w:t>
      </w:r>
      <w:r w:rsidRPr="00E25215">
        <w:rPr>
          <w:rFonts w:cs="Times New Roman"/>
        </w:rPr>
        <w:t xml:space="preserve"> (pp. 334–367). CSIRO. https://ebooks.publish.csiro.au/content/biological-control</w:t>
      </w:r>
    </w:p>
    <w:p w14:paraId="7AA0ED0B"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Day, M. J. (2011). One health: The importance of companion animal vector-borne diseases. </w:t>
      </w:r>
      <w:r w:rsidRPr="00E25215">
        <w:rPr>
          <w:rFonts w:cs="Times New Roman"/>
          <w:i/>
          <w:iCs/>
        </w:rPr>
        <w:t>Parasites &amp; Vectors</w:t>
      </w:r>
      <w:r w:rsidRPr="00E25215">
        <w:rPr>
          <w:rFonts w:cs="Times New Roman"/>
        </w:rPr>
        <w:t xml:space="preserve">, </w:t>
      </w:r>
      <w:r w:rsidRPr="00E25215">
        <w:rPr>
          <w:rFonts w:cs="Times New Roman"/>
          <w:i/>
          <w:iCs/>
        </w:rPr>
        <w:t>4</w:t>
      </w:r>
      <w:r w:rsidRPr="00E25215">
        <w:rPr>
          <w:rFonts w:cs="Times New Roman"/>
        </w:rPr>
        <w:t>(1), 49. https://doi.org/10.1186/1756-3305-4-49</w:t>
      </w:r>
    </w:p>
    <w:p w14:paraId="0AB2A979"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De La Riva, D. G., &amp; Trumble, J. T. (2016). Selenium exposure results in reduced reproduction in an invasive ant species and altered competitive behavior for a native ant species. </w:t>
      </w:r>
      <w:r w:rsidRPr="00E25215">
        <w:rPr>
          <w:rFonts w:cs="Times New Roman"/>
          <w:i/>
          <w:iCs/>
        </w:rPr>
        <w:t>Environmental Pollution</w:t>
      </w:r>
      <w:r w:rsidRPr="00E25215">
        <w:rPr>
          <w:rFonts w:cs="Times New Roman"/>
        </w:rPr>
        <w:t xml:space="preserve">, </w:t>
      </w:r>
      <w:r w:rsidRPr="00E25215">
        <w:rPr>
          <w:rFonts w:cs="Times New Roman"/>
          <w:i/>
          <w:iCs/>
        </w:rPr>
        <w:t>213</w:t>
      </w:r>
      <w:r w:rsidRPr="00E25215">
        <w:rPr>
          <w:rFonts w:cs="Times New Roman"/>
        </w:rPr>
        <w:t>, 888–894. https://doi.org/10.1016/j.envpol.2016.03.045</w:t>
      </w:r>
    </w:p>
    <w:p w14:paraId="031C4A52"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De Silva, S. S. (2012). Aquaculture: A newly emergent food production sector—and perspectives of its impacts on biodiversity and conservation. </w:t>
      </w:r>
      <w:r w:rsidRPr="00E25215">
        <w:rPr>
          <w:rFonts w:cs="Times New Roman"/>
          <w:i/>
          <w:iCs/>
        </w:rPr>
        <w:t>Biodiversity and Conservation</w:t>
      </w:r>
      <w:r w:rsidRPr="00E25215">
        <w:rPr>
          <w:rFonts w:cs="Times New Roman"/>
        </w:rPr>
        <w:t xml:space="preserve">, </w:t>
      </w:r>
      <w:r w:rsidRPr="00E25215">
        <w:rPr>
          <w:rFonts w:cs="Times New Roman"/>
          <w:i/>
          <w:iCs/>
        </w:rPr>
        <w:t>21</w:t>
      </w:r>
      <w:r w:rsidRPr="00E25215">
        <w:rPr>
          <w:rFonts w:cs="Times New Roman"/>
        </w:rPr>
        <w:t>(12), 3187–3220. https://doi.org/10.1007/s10531-012-0360-9</w:t>
      </w:r>
    </w:p>
    <w:p w14:paraId="6F5BEA94"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De Silva, S. S., Nguyen, T. T. T., Abery, N. W., &amp; Amarasinghe, U. S. (2006). An evaluation of the role and impacts of alien finfish in Asian inland aquaculture. </w:t>
      </w:r>
      <w:r w:rsidRPr="00E25215">
        <w:rPr>
          <w:rFonts w:cs="Times New Roman"/>
          <w:i/>
          <w:iCs/>
        </w:rPr>
        <w:t>Aquaculture Research</w:t>
      </w:r>
      <w:r w:rsidRPr="00E25215">
        <w:rPr>
          <w:rFonts w:cs="Times New Roman"/>
        </w:rPr>
        <w:t xml:space="preserve">, </w:t>
      </w:r>
      <w:r w:rsidRPr="00E25215">
        <w:rPr>
          <w:rFonts w:cs="Times New Roman"/>
          <w:i/>
          <w:iCs/>
        </w:rPr>
        <w:t>37</w:t>
      </w:r>
      <w:r w:rsidRPr="00E25215">
        <w:rPr>
          <w:rFonts w:cs="Times New Roman"/>
        </w:rPr>
        <w:t>(1), 1–17. https://doi.org/10.1111/j.1365-2109.2005.01369.x</w:t>
      </w:r>
    </w:p>
    <w:p w14:paraId="344311DA"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De Silva, S. S., Nguyen, T. T. T., Turchini, G. M., Amarasinghe, U. S., &amp; Abery, N. W. (2009). Alien Species in Aquaculture and Biodiversity: A Paradox in Food Production. </w:t>
      </w:r>
      <w:r w:rsidRPr="00E25215">
        <w:rPr>
          <w:rFonts w:cs="Times New Roman"/>
          <w:i/>
          <w:iCs/>
        </w:rPr>
        <w:t>AMBIO: A Journal of the Human Environment</w:t>
      </w:r>
      <w:r w:rsidRPr="00E25215">
        <w:rPr>
          <w:rFonts w:cs="Times New Roman"/>
        </w:rPr>
        <w:t xml:space="preserve">, </w:t>
      </w:r>
      <w:r w:rsidRPr="00E25215">
        <w:rPr>
          <w:rFonts w:cs="Times New Roman"/>
          <w:i/>
          <w:iCs/>
        </w:rPr>
        <w:t>38</w:t>
      </w:r>
      <w:r w:rsidRPr="00E25215">
        <w:rPr>
          <w:rFonts w:cs="Times New Roman"/>
        </w:rPr>
        <w:t>(1), 24–28. https://doi.org/10.1579/0044-7447-38.1.24</w:t>
      </w:r>
    </w:p>
    <w:p w14:paraId="0C1099C3" w14:textId="77777777" w:rsidR="001379C0" w:rsidRPr="00E25215" w:rsidRDefault="001379C0" w:rsidP="009B3E7F">
      <w:pPr>
        <w:pStyle w:val="Bibliography"/>
        <w:spacing w:before="0" w:after="0" w:line="240" w:lineRule="auto"/>
        <w:rPr>
          <w:rFonts w:cs="Times New Roman"/>
        </w:rPr>
      </w:pPr>
      <w:r w:rsidRPr="00E25215">
        <w:rPr>
          <w:rFonts w:cs="Times New Roman"/>
        </w:rPr>
        <w:lastRenderedPageBreak/>
        <w:t xml:space="preserve">de Villalobos, A. E., &amp; Schwerdt, L. (2020). Seasonality of feral horse grazing and invasion of </w:t>
      </w:r>
      <w:r w:rsidRPr="00E25215">
        <w:rPr>
          <w:rFonts w:cs="Times New Roman"/>
          <w:i/>
          <w:iCs/>
        </w:rPr>
        <w:t>Pinus halepensis</w:t>
      </w:r>
      <w:r w:rsidRPr="00E25215">
        <w:rPr>
          <w:rFonts w:cs="Times New Roman"/>
        </w:rPr>
        <w:t xml:space="preserve"> in grasslands of the Austral Pampean Mountains (Argentina): Management considerations. </w:t>
      </w:r>
      <w:r w:rsidRPr="00E25215">
        <w:rPr>
          <w:rFonts w:cs="Times New Roman"/>
          <w:i/>
          <w:iCs/>
        </w:rPr>
        <w:t>Biological Invasions</w:t>
      </w:r>
      <w:r w:rsidRPr="00E25215">
        <w:rPr>
          <w:rFonts w:cs="Times New Roman"/>
        </w:rPr>
        <w:t xml:space="preserve">, </w:t>
      </w:r>
      <w:r w:rsidRPr="00E25215">
        <w:rPr>
          <w:rFonts w:cs="Times New Roman"/>
          <w:i/>
          <w:iCs/>
        </w:rPr>
        <w:t>22</w:t>
      </w:r>
      <w:r w:rsidRPr="00E25215">
        <w:rPr>
          <w:rFonts w:cs="Times New Roman"/>
        </w:rPr>
        <w:t>(10), 2941–2955. https://doi.org/10.1007/s10530-020-02300-x</w:t>
      </w:r>
    </w:p>
    <w:p w14:paraId="73E77ED7"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de Villalobos, A. E., &amp; Zalba, S. M. (2010). Continuous feral horse grazing and grazing exclusion in mountain pampean grasslands in Argentina. </w:t>
      </w:r>
      <w:r w:rsidRPr="00E25215">
        <w:rPr>
          <w:rFonts w:cs="Times New Roman"/>
          <w:i/>
          <w:iCs/>
        </w:rPr>
        <w:t>Acta Oecologica</w:t>
      </w:r>
      <w:r w:rsidRPr="00E25215">
        <w:rPr>
          <w:rFonts w:cs="Times New Roman"/>
        </w:rPr>
        <w:t xml:space="preserve">, </w:t>
      </w:r>
      <w:r w:rsidRPr="00E25215">
        <w:rPr>
          <w:rFonts w:cs="Times New Roman"/>
          <w:i/>
          <w:iCs/>
        </w:rPr>
        <w:t>36</w:t>
      </w:r>
      <w:r w:rsidRPr="00E25215">
        <w:rPr>
          <w:rFonts w:cs="Times New Roman"/>
        </w:rPr>
        <w:t>(5), 514–519. https://doi.org/10.1016/j.actao.2010.07.004</w:t>
      </w:r>
    </w:p>
    <w:p w14:paraId="12F9F65E"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Dehnen-Schmutz, K., Touza, J., Perrings, C., &amp; Williamson, M. (2007). A century of the ornamental plant trade and its impact on invasion success. </w:t>
      </w:r>
      <w:r w:rsidRPr="00E25215">
        <w:rPr>
          <w:rFonts w:cs="Times New Roman"/>
          <w:i/>
          <w:iCs/>
        </w:rPr>
        <w:t>Diversity and Distributions</w:t>
      </w:r>
      <w:r w:rsidRPr="00E25215">
        <w:rPr>
          <w:rFonts w:cs="Times New Roman"/>
        </w:rPr>
        <w:t xml:space="preserve">, </w:t>
      </w:r>
      <w:r w:rsidRPr="00E25215">
        <w:rPr>
          <w:rFonts w:cs="Times New Roman"/>
          <w:i/>
          <w:iCs/>
        </w:rPr>
        <w:t>13</w:t>
      </w:r>
      <w:r w:rsidRPr="00E25215">
        <w:rPr>
          <w:rFonts w:cs="Times New Roman"/>
        </w:rPr>
        <w:t>(5), Article 5. https://doi.org/10.1111/j.1472-4642.2007.00359.x</w:t>
      </w:r>
    </w:p>
    <w:p w14:paraId="1A6D3C28"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Delibes-Mateos, M. (2015). Game managers’ views on the release of farm-reared red-legged partridges in hunting estates within central Spain. </w:t>
      </w:r>
      <w:r w:rsidRPr="00E25215">
        <w:rPr>
          <w:rFonts w:cs="Times New Roman"/>
          <w:i/>
          <w:iCs/>
        </w:rPr>
        <w:t>Journal for Nature Conservation</w:t>
      </w:r>
      <w:r w:rsidRPr="00E25215">
        <w:rPr>
          <w:rFonts w:cs="Times New Roman"/>
        </w:rPr>
        <w:t xml:space="preserve">, </w:t>
      </w:r>
      <w:r w:rsidRPr="00E25215">
        <w:rPr>
          <w:rFonts w:cs="Times New Roman"/>
          <w:i/>
          <w:iCs/>
        </w:rPr>
        <w:t>26</w:t>
      </w:r>
      <w:r w:rsidRPr="00E25215">
        <w:rPr>
          <w:rFonts w:cs="Times New Roman"/>
        </w:rPr>
        <w:t>, 1–8.</w:t>
      </w:r>
    </w:p>
    <w:p w14:paraId="6BA9935C"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Delibes-Mateos, M., Giergiczny, M., Caro, J., Viñuela, J., Riera, P., &amp; Arroyo, B. (2014). Does hunters’ willingness to pay match the best hunting options for biodiversity conservation? A choice experiment application for small-game hunting in Spain. </w:t>
      </w:r>
      <w:r w:rsidRPr="00E25215">
        <w:rPr>
          <w:rFonts w:cs="Times New Roman"/>
          <w:i/>
          <w:iCs/>
        </w:rPr>
        <w:t>Biological Conservation</w:t>
      </w:r>
      <w:r w:rsidRPr="00E25215">
        <w:rPr>
          <w:rFonts w:cs="Times New Roman"/>
        </w:rPr>
        <w:t xml:space="preserve">, </w:t>
      </w:r>
      <w:r w:rsidRPr="00E25215">
        <w:rPr>
          <w:rFonts w:cs="Times New Roman"/>
          <w:i/>
          <w:iCs/>
        </w:rPr>
        <w:t>177</w:t>
      </w:r>
      <w:r w:rsidRPr="00E25215">
        <w:rPr>
          <w:rFonts w:cs="Times New Roman"/>
        </w:rPr>
        <w:t>, 36–42. https://doi.org/10.1016/j.biocon.2014.06.004</w:t>
      </w:r>
    </w:p>
    <w:p w14:paraId="63871F8A"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Denny, E., Yakovlevich, P., Eldridge, M. D. B., &amp; Dickman, C. (2002). Social and genetic analysis of a population of free-living cats (Felis catus L.) exploiting a resource-rich habitat. </w:t>
      </w:r>
      <w:r w:rsidRPr="00E25215">
        <w:rPr>
          <w:rFonts w:cs="Times New Roman"/>
          <w:i/>
          <w:iCs/>
        </w:rPr>
        <w:t>Wildlife Research</w:t>
      </w:r>
      <w:r w:rsidRPr="00E25215">
        <w:rPr>
          <w:rFonts w:cs="Times New Roman"/>
        </w:rPr>
        <w:t xml:space="preserve">, </w:t>
      </w:r>
      <w:r w:rsidRPr="00E25215">
        <w:rPr>
          <w:rFonts w:cs="Times New Roman"/>
          <w:i/>
          <w:iCs/>
        </w:rPr>
        <w:t>29</w:t>
      </w:r>
      <w:r w:rsidRPr="00E25215">
        <w:rPr>
          <w:rFonts w:cs="Times New Roman"/>
        </w:rPr>
        <w:t>(4), 405. https://doi.org/10.1071/WR02092</w:t>
      </w:r>
    </w:p>
    <w:p w14:paraId="51D1D95B"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Devin, S., Bollache, L., Noël, P.-Y., &amp; Beisel, J.-N. (2005). Patterns of Biological Invasions in French Freshwater Systems by Non-Indigenous Macroinvertebrates. </w:t>
      </w:r>
      <w:r w:rsidRPr="00E25215">
        <w:rPr>
          <w:rFonts w:cs="Times New Roman"/>
          <w:i/>
          <w:iCs/>
        </w:rPr>
        <w:t>Hydrobiologia</w:t>
      </w:r>
      <w:r w:rsidRPr="00E25215">
        <w:rPr>
          <w:rFonts w:cs="Times New Roman"/>
        </w:rPr>
        <w:t xml:space="preserve">, </w:t>
      </w:r>
      <w:r w:rsidRPr="00E25215">
        <w:rPr>
          <w:rFonts w:cs="Times New Roman"/>
          <w:i/>
          <w:iCs/>
        </w:rPr>
        <w:t>551</w:t>
      </w:r>
      <w:r w:rsidRPr="00E25215">
        <w:rPr>
          <w:rFonts w:cs="Times New Roman"/>
        </w:rPr>
        <w:t>(1), 137–146. https://doi.org/10.1007/s10750-005-4456-z</w:t>
      </w:r>
    </w:p>
    <w:p w14:paraId="7A8C6B4C"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Díaz, S., Demissew, S., Carabias, J., Joly, C., Lonsdale, M., Ash, N., Larigauderie, A., Adhikari, J. R., Arico, S., Báldi, A., Bartuska, A., Baste, I. A., Bilgin, A., Brondizio, E., Chan, K. M., Figueroa, V. E., Duraiappah, A., Fischer, M., Hill, R., … Zlatanova, D. (2015). The IPBES Conceptual Framework—Connecting nature and people. </w:t>
      </w:r>
      <w:r w:rsidRPr="00E25215">
        <w:rPr>
          <w:rFonts w:cs="Times New Roman"/>
          <w:i/>
          <w:iCs/>
        </w:rPr>
        <w:t>Current Opinion in Environmental Sustainability</w:t>
      </w:r>
      <w:r w:rsidRPr="00E25215">
        <w:rPr>
          <w:rFonts w:cs="Times New Roman"/>
        </w:rPr>
        <w:t xml:space="preserve">, </w:t>
      </w:r>
      <w:r w:rsidRPr="00E25215">
        <w:rPr>
          <w:rFonts w:cs="Times New Roman"/>
          <w:i/>
          <w:iCs/>
        </w:rPr>
        <w:t>14</w:t>
      </w:r>
      <w:r w:rsidRPr="00E25215">
        <w:rPr>
          <w:rFonts w:cs="Times New Roman"/>
        </w:rPr>
        <w:t>, 1–16. https://doi.org/10.1016/j.cosust.2014.11.002</w:t>
      </w:r>
    </w:p>
    <w:p w14:paraId="77FD2A62"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Díaz, S., Pascual, U., Stenseke, M., Martín-López, B., Watson, R. T., Molnár, Z., Hill, R., Chan, K. M. A., Baste, I. A., Brauman, K. A., Polasky, S., Church, A., Lonsdale, M., Larigauderie, A., Leadley, P. W., van Oudenhoven, A. P. E., van der Plaat, F., Schröter, M., Lavorel, S., … Shirayama, Y. (2018). An inclusive approach to assesse nature’s contributions to people. </w:t>
      </w:r>
      <w:r w:rsidRPr="00E25215">
        <w:rPr>
          <w:rFonts w:cs="Times New Roman"/>
          <w:i/>
          <w:iCs/>
        </w:rPr>
        <w:t>Science</w:t>
      </w:r>
      <w:r w:rsidRPr="00E25215">
        <w:rPr>
          <w:rFonts w:cs="Times New Roman"/>
        </w:rPr>
        <w:t xml:space="preserve">, </w:t>
      </w:r>
      <w:r w:rsidRPr="00E25215">
        <w:rPr>
          <w:rFonts w:cs="Times New Roman"/>
          <w:i/>
          <w:iCs/>
        </w:rPr>
        <w:t>359</w:t>
      </w:r>
      <w:r w:rsidRPr="00E25215">
        <w:rPr>
          <w:rFonts w:cs="Times New Roman"/>
        </w:rPr>
        <w:t>(6373), 270–272. https://doi.org/10.1126/science.aap8826</w:t>
      </w:r>
    </w:p>
    <w:p w14:paraId="464FE178"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Diaz Velez, M. C., Ferreras, A. E., &amp; Paiaro, V. (2020). Seed dispersal interactions promoting plant invasions. In </w:t>
      </w:r>
      <w:r w:rsidRPr="00E25215">
        <w:rPr>
          <w:rFonts w:cs="Times New Roman"/>
          <w:i/>
          <w:iCs/>
        </w:rPr>
        <w:t>Plant Invasions: The role of bitic interactions</w:t>
      </w:r>
      <w:r w:rsidRPr="00E25215">
        <w:rPr>
          <w:rFonts w:cs="Times New Roman"/>
        </w:rPr>
        <w:t>. CABI International. https://ri.conicet.gov.ar/handle/11336/138181</w:t>
      </w:r>
    </w:p>
    <w:p w14:paraId="018999C8"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Dickie, I. A., Bennett, B. M., Burrows, L. E., Nuñez, M. A., Peltzer, D. A., Porté, A., Richardson, D. M., Rejmánek, M., Rundel, P. W., &amp; van Wilgen, B. W. (2014). Conflicting values: Ecosystem services and invasive tree management. </w:t>
      </w:r>
      <w:r w:rsidRPr="00E25215">
        <w:rPr>
          <w:rFonts w:cs="Times New Roman"/>
          <w:i/>
          <w:iCs/>
        </w:rPr>
        <w:t>Biological Invasions</w:t>
      </w:r>
      <w:r w:rsidRPr="00E25215">
        <w:rPr>
          <w:rFonts w:cs="Times New Roman"/>
        </w:rPr>
        <w:t xml:space="preserve">, </w:t>
      </w:r>
      <w:r w:rsidRPr="00E25215">
        <w:rPr>
          <w:rFonts w:cs="Times New Roman"/>
          <w:i/>
          <w:iCs/>
        </w:rPr>
        <w:t>16</w:t>
      </w:r>
      <w:r w:rsidRPr="00E25215">
        <w:rPr>
          <w:rFonts w:cs="Times New Roman"/>
        </w:rPr>
        <w:t>(3), 705–719. https://doi.org/10.1007/s10530-013-0609-6</w:t>
      </w:r>
    </w:p>
    <w:p w14:paraId="16DD3153"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Dickie, I. A., Bolstridge, N., Cooper, J. A., &amp; Peltzer, D. A. (2010). Co-invasion by </w:t>
      </w:r>
      <w:r w:rsidRPr="00E25215">
        <w:rPr>
          <w:rFonts w:cs="Times New Roman"/>
          <w:i/>
          <w:iCs/>
        </w:rPr>
        <w:t>Pinus</w:t>
      </w:r>
      <w:r w:rsidRPr="00E25215">
        <w:rPr>
          <w:rFonts w:cs="Times New Roman"/>
        </w:rPr>
        <w:t xml:space="preserve"> and its mycorrhizal fungi. </w:t>
      </w:r>
      <w:r w:rsidRPr="00E25215">
        <w:rPr>
          <w:rFonts w:cs="Times New Roman"/>
          <w:i/>
          <w:iCs/>
        </w:rPr>
        <w:t>New Phytologist</w:t>
      </w:r>
      <w:r w:rsidRPr="00E25215">
        <w:rPr>
          <w:rFonts w:cs="Times New Roman"/>
        </w:rPr>
        <w:t xml:space="preserve">, </w:t>
      </w:r>
      <w:r w:rsidRPr="00E25215">
        <w:rPr>
          <w:rFonts w:cs="Times New Roman"/>
          <w:i/>
          <w:iCs/>
        </w:rPr>
        <w:t>187</w:t>
      </w:r>
      <w:r w:rsidRPr="00E25215">
        <w:rPr>
          <w:rFonts w:cs="Times New Roman"/>
        </w:rPr>
        <w:t>(2), 475–484. https://doi.org/10.1111/j.1469-8137.2010.03277.x</w:t>
      </w:r>
    </w:p>
    <w:p w14:paraId="3EBA0250"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Diez, J. M., D’Antonio, C. M., Dukes, J. S., Grosholz, E. D., Olden, J. D., Sorte, C. J., Blumenthal, D. M., Bradley, B. A., Early, R., Ibáñez, I., Jones, S. J., Lawler, J. J., &amp; Miller, L. P. (2012). Will extreme climatic events facilitate biological invasions? </w:t>
      </w:r>
      <w:r w:rsidRPr="00E25215">
        <w:rPr>
          <w:rFonts w:cs="Times New Roman"/>
          <w:i/>
          <w:iCs/>
        </w:rPr>
        <w:t>Frontiers in Ecology and the Environment</w:t>
      </w:r>
      <w:r w:rsidRPr="00E25215">
        <w:rPr>
          <w:rFonts w:cs="Times New Roman"/>
        </w:rPr>
        <w:t xml:space="preserve">, </w:t>
      </w:r>
      <w:r w:rsidRPr="00E25215">
        <w:rPr>
          <w:rFonts w:cs="Times New Roman"/>
          <w:i/>
          <w:iCs/>
        </w:rPr>
        <w:t>10</w:t>
      </w:r>
      <w:r w:rsidRPr="00E25215">
        <w:rPr>
          <w:rFonts w:cs="Times New Roman"/>
        </w:rPr>
        <w:t>(5), 249–257. https://doi.org/10.1890/110137</w:t>
      </w:r>
    </w:p>
    <w:p w14:paraId="00F78F25"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Dodd, A. J., Burgman, M. A., McCarthy, M. A., &amp; Ainsworth, N. (2015). The changing patterns of plant naturalization in Australia. </w:t>
      </w:r>
      <w:r w:rsidRPr="00E25215">
        <w:rPr>
          <w:rFonts w:cs="Times New Roman"/>
          <w:i/>
          <w:iCs/>
        </w:rPr>
        <w:t>Diversity and Distributions</w:t>
      </w:r>
      <w:r w:rsidRPr="00E25215">
        <w:rPr>
          <w:rFonts w:cs="Times New Roman"/>
        </w:rPr>
        <w:t xml:space="preserve">, </w:t>
      </w:r>
      <w:r w:rsidRPr="00E25215">
        <w:rPr>
          <w:rFonts w:cs="Times New Roman"/>
          <w:i/>
          <w:iCs/>
        </w:rPr>
        <w:t>21</w:t>
      </w:r>
      <w:r w:rsidRPr="00E25215">
        <w:rPr>
          <w:rFonts w:cs="Times New Roman"/>
        </w:rPr>
        <w:t>(9), Article 9. https://doi.org/10.1111/ddi.12351</w:t>
      </w:r>
    </w:p>
    <w:p w14:paraId="343B3298"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Donaldson, J. E., Hui, C., Richardson, D. M., Robertson, M. P., Webber, B. L., &amp; Wilson, J. R. U. (2014). Invasion trajectory of alien trees: The role of introduction pathway and planting history. </w:t>
      </w:r>
      <w:r w:rsidRPr="00E25215">
        <w:rPr>
          <w:rFonts w:cs="Times New Roman"/>
          <w:i/>
          <w:iCs/>
        </w:rPr>
        <w:t>Global Change Biology</w:t>
      </w:r>
      <w:r w:rsidRPr="00E25215">
        <w:rPr>
          <w:rFonts w:cs="Times New Roman"/>
        </w:rPr>
        <w:t xml:space="preserve">, </w:t>
      </w:r>
      <w:r w:rsidRPr="00E25215">
        <w:rPr>
          <w:rFonts w:cs="Times New Roman"/>
          <w:i/>
          <w:iCs/>
        </w:rPr>
        <w:t>20</w:t>
      </w:r>
      <w:r w:rsidRPr="00E25215">
        <w:rPr>
          <w:rFonts w:cs="Times New Roman"/>
        </w:rPr>
        <w:t>(5), 1527–1537. https://doi.org/10.1111/gcb.12486</w:t>
      </w:r>
    </w:p>
    <w:p w14:paraId="5E10B4E1" w14:textId="77777777" w:rsidR="001379C0" w:rsidRPr="00E25215" w:rsidRDefault="001379C0" w:rsidP="009B3E7F">
      <w:pPr>
        <w:pStyle w:val="Bibliography"/>
        <w:spacing w:before="0" w:after="0" w:line="240" w:lineRule="auto"/>
        <w:rPr>
          <w:rFonts w:cs="Times New Roman"/>
        </w:rPr>
      </w:pPr>
      <w:r w:rsidRPr="00E25215">
        <w:rPr>
          <w:rFonts w:cs="Times New Roman"/>
        </w:rPr>
        <w:lastRenderedPageBreak/>
        <w:t xml:space="preserve">Doney, S. C., Ruckelshaus, M., Duffy, J. E., Barry, J. P., Chan, F., English, C. A., Galindo, H. M., Grebmeier, J. M., Hollowed, A. B., Knowlton, N., Polovina, J., Rabalais, N. N., Sydeman, W. J., &amp; Talley, L. D. (2012). Climate Change Impacts on Marine Ecosystems. </w:t>
      </w:r>
      <w:r w:rsidRPr="00E25215">
        <w:rPr>
          <w:rFonts w:cs="Times New Roman"/>
          <w:i/>
          <w:iCs/>
        </w:rPr>
        <w:t>Annual Review of Marine Science, Vol 4</w:t>
      </w:r>
      <w:r w:rsidRPr="00E25215">
        <w:rPr>
          <w:rFonts w:cs="Times New Roman"/>
        </w:rPr>
        <w:t xml:space="preserve">, </w:t>
      </w:r>
      <w:r w:rsidRPr="00E25215">
        <w:rPr>
          <w:rFonts w:cs="Times New Roman"/>
          <w:i/>
          <w:iCs/>
        </w:rPr>
        <w:t>4</w:t>
      </w:r>
      <w:r w:rsidRPr="00E25215">
        <w:rPr>
          <w:rFonts w:cs="Times New Roman"/>
        </w:rPr>
        <w:t>, 11–37.</w:t>
      </w:r>
    </w:p>
    <w:p w14:paraId="41F801E7"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Dostál, P., Müllerová, J., Pyšek, P., Pergl, J., &amp; Klinerová, T. (2013). The impact of an invasive plant changes over time. </w:t>
      </w:r>
      <w:r w:rsidRPr="00E25215">
        <w:rPr>
          <w:rFonts w:cs="Times New Roman"/>
          <w:i/>
          <w:iCs/>
        </w:rPr>
        <w:t>Ecology Letters</w:t>
      </w:r>
      <w:r w:rsidRPr="00E25215">
        <w:rPr>
          <w:rFonts w:cs="Times New Roman"/>
        </w:rPr>
        <w:t xml:space="preserve">, </w:t>
      </w:r>
      <w:r w:rsidRPr="00E25215">
        <w:rPr>
          <w:rFonts w:cs="Times New Roman"/>
          <w:i/>
          <w:iCs/>
        </w:rPr>
        <w:t>16</w:t>
      </w:r>
      <w:r w:rsidRPr="00E25215">
        <w:rPr>
          <w:rFonts w:cs="Times New Roman"/>
        </w:rPr>
        <w:t>(10), 1277–1284. https://doi.org/10.1111/ele.12166</w:t>
      </w:r>
    </w:p>
    <w:p w14:paraId="626DDB20"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Downing, J., Borrero, H., &amp; Liu, H. (2016). Differential impacts from an extreme cold spell on subtropical vs. Tropical specialist bees in southern Florida. </w:t>
      </w:r>
      <w:r w:rsidRPr="00E25215">
        <w:rPr>
          <w:rFonts w:cs="Times New Roman"/>
          <w:i/>
          <w:iCs/>
        </w:rPr>
        <w:t>Ecosphere</w:t>
      </w:r>
      <w:r w:rsidRPr="00E25215">
        <w:rPr>
          <w:rFonts w:cs="Times New Roman"/>
        </w:rPr>
        <w:t xml:space="preserve">, </w:t>
      </w:r>
      <w:r w:rsidRPr="00E25215">
        <w:rPr>
          <w:rFonts w:cs="Times New Roman"/>
          <w:i/>
          <w:iCs/>
        </w:rPr>
        <w:t>7</w:t>
      </w:r>
      <w:r w:rsidRPr="00E25215">
        <w:rPr>
          <w:rFonts w:cs="Times New Roman"/>
        </w:rPr>
        <w:t>(5), e01302. https://doi.org/10.1002/ecs2.1302</w:t>
      </w:r>
    </w:p>
    <w:p w14:paraId="2B7C3D28"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Driscoll, D. A., Catford, J. A., Barney, J. N., Hulme, P. E., Inderjit, Martin, T. G., Pauchard, A., Pyšek, P., Richardson, D. M., Riley, S., &amp; Visser, V. (2014). New pasture plants intensify invasive species risk. </w:t>
      </w:r>
      <w:r w:rsidRPr="00E25215">
        <w:rPr>
          <w:rFonts w:cs="Times New Roman"/>
          <w:i/>
          <w:iCs/>
        </w:rPr>
        <w:t>Proceedings of the National Academy of Sciences</w:t>
      </w:r>
      <w:r w:rsidRPr="00E25215">
        <w:rPr>
          <w:rFonts w:cs="Times New Roman"/>
        </w:rPr>
        <w:t xml:space="preserve">, </w:t>
      </w:r>
      <w:r w:rsidRPr="00E25215">
        <w:rPr>
          <w:rFonts w:cs="Times New Roman"/>
          <w:i/>
          <w:iCs/>
        </w:rPr>
        <w:t>111</w:t>
      </w:r>
      <w:r w:rsidRPr="00E25215">
        <w:rPr>
          <w:rFonts w:cs="Times New Roman"/>
        </w:rPr>
        <w:t>(46), 16622–16627. https://doi.org/10.1073/pnas.1409347111</w:t>
      </w:r>
    </w:p>
    <w:p w14:paraId="5842FBE6"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Duenn, P., Salpeteur, M., &amp; Reyes-García, V. (2017). Rabari Shepherds and the Mad Tree: The Dynamics of Local Ecological Knowledge in the Context of </w:t>
      </w:r>
      <w:r w:rsidRPr="00E25215">
        <w:rPr>
          <w:rFonts w:cs="Times New Roman"/>
          <w:i/>
          <w:iCs/>
        </w:rPr>
        <w:t>Prosopis juliflora</w:t>
      </w:r>
      <w:r w:rsidRPr="00E25215">
        <w:rPr>
          <w:rFonts w:cs="Times New Roman"/>
        </w:rPr>
        <w:t xml:space="preserve"> Invasion in Gujarat, India. </w:t>
      </w:r>
      <w:r w:rsidRPr="00E25215">
        <w:rPr>
          <w:rFonts w:cs="Times New Roman"/>
          <w:i/>
          <w:iCs/>
        </w:rPr>
        <w:t>Journal of Ethnobiology</w:t>
      </w:r>
      <w:r w:rsidRPr="00E25215">
        <w:rPr>
          <w:rFonts w:cs="Times New Roman"/>
        </w:rPr>
        <w:t xml:space="preserve">, </w:t>
      </w:r>
      <w:r w:rsidRPr="00E25215">
        <w:rPr>
          <w:rFonts w:cs="Times New Roman"/>
          <w:i/>
          <w:iCs/>
        </w:rPr>
        <w:t>37</w:t>
      </w:r>
      <w:r w:rsidRPr="00E25215">
        <w:rPr>
          <w:rFonts w:cs="Times New Roman"/>
        </w:rPr>
        <w:t>(3), 561–580. https://doi.org/10.2993/0278-0771-37.3.561</w:t>
      </w:r>
    </w:p>
    <w:p w14:paraId="1CC694A0"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Duffy, D. J., &amp; Lepczyk, C. A. (2021). The Historical Ecology of Game Species Introductions in Hawai‘i1. </w:t>
      </w:r>
      <w:r w:rsidRPr="00E25215">
        <w:rPr>
          <w:rFonts w:cs="Times New Roman"/>
          <w:i/>
          <w:iCs/>
        </w:rPr>
        <w:t>Pacific Science</w:t>
      </w:r>
      <w:r w:rsidRPr="00E25215">
        <w:rPr>
          <w:rFonts w:cs="Times New Roman"/>
        </w:rPr>
        <w:t xml:space="preserve">, </w:t>
      </w:r>
      <w:r w:rsidRPr="00E25215">
        <w:rPr>
          <w:rFonts w:cs="Times New Roman"/>
          <w:i/>
          <w:iCs/>
        </w:rPr>
        <w:t>75</w:t>
      </w:r>
      <w:r w:rsidRPr="00E25215">
        <w:rPr>
          <w:rFonts w:cs="Times New Roman"/>
        </w:rPr>
        <w:t>(1). https://doi.org/10.2984/75.1.1</w:t>
      </w:r>
    </w:p>
    <w:p w14:paraId="09409173"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Duffy, G. A., Coetzee, B. W. T., Latombe, G., Akerman, A. H., McGeoch, M. A., &amp; Chown, S. L. (2017). Barriers to globally invasive species are weakening across the Antarctic. </w:t>
      </w:r>
      <w:r w:rsidRPr="00E25215">
        <w:rPr>
          <w:rFonts w:cs="Times New Roman"/>
          <w:i/>
          <w:iCs/>
        </w:rPr>
        <w:t>Diversity and Distributions</w:t>
      </w:r>
      <w:r w:rsidRPr="00E25215">
        <w:rPr>
          <w:rFonts w:cs="Times New Roman"/>
        </w:rPr>
        <w:t xml:space="preserve">, </w:t>
      </w:r>
      <w:r w:rsidRPr="00E25215">
        <w:rPr>
          <w:rFonts w:cs="Times New Roman"/>
          <w:i/>
          <w:iCs/>
        </w:rPr>
        <w:t>23</w:t>
      </w:r>
      <w:r w:rsidRPr="00E25215">
        <w:rPr>
          <w:rFonts w:cs="Times New Roman"/>
        </w:rPr>
        <w:t>(9), 982–996. https://doi.org/10.1111/ddi.12593</w:t>
      </w:r>
    </w:p>
    <w:p w14:paraId="0D189BA8" w14:textId="77777777" w:rsidR="001379C0" w:rsidRPr="00E25215" w:rsidRDefault="001379C0" w:rsidP="009B3E7F">
      <w:pPr>
        <w:pStyle w:val="Bibliography"/>
        <w:spacing w:before="0" w:after="0" w:line="240" w:lineRule="auto"/>
        <w:rPr>
          <w:rFonts w:cs="Times New Roman"/>
        </w:rPr>
      </w:pPr>
      <w:r w:rsidRPr="00E25215">
        <w:rPr>
          <w:rFonts w:cs="Times New Roman"/>
        </w:rPr>
        <w:t>Dukes, J. S. (2000). Will the increasing atmospheric CO</w:t>
      </w:r>
      <w:r w:rsidRPr="00E25215">
        <w:rPr>
          <w:rFonts w:cs="Times New Roman"/>
          <w:vertAlign w:val="subscript"/>
        </w:rPr>
        <w:t>2</w:t>
      </w:r>
      <w:r w:rsidRPr="00E25215">
        <w:rPr>
          <w:rFonts w:cs="Times New Roman"/>
        </w:rPr>
        <w:t xml:space="preserve"> concentration affect the success of invasive species? In </w:t>
      </w:r>
      <w:r w:rsidRPr="00E25215">
        <w:rPr>
          <w:rFonts w:cs="Times New Roman"/>
          <w:i/>
          <w:iCs/>
        </w:rPr>
        <w:t>Invasive species in a changing world</w:t>
      </w:r>
      <w:r w:rsidRPr="00E25215">
        <w:rPr>
          <w:rFonts w:cs="Times New Roman"/>
        </w:rPr>
        <w:t xml:space="preserve"> (Vol. 95). Island Press.</w:t>
      </w:r>
    </w:p>
    <w:p w14:paraId="04183C53"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Dukes, J. S., Pontius, J., Orwig, D., Garnas, J. R., Rodgers, V. L., Brazee, N., Cooke, B., Theoharides, K. A., Stange, E. E., Harrington, R., Ehrenfeld, J., Gurevitch, J., Lerdau, M., Stinson, K., Wick, R., &amp; Ayres, M. (2009). Responses of insect pests, pathogens, and invasive plant species to climate change in the forests of northeastern North America: What can we predict? </w:t>
      </w:r>
      <w:r w:rsidRPr="00E25215">
        <w:rPr>
          <w:rFonts w:cs="Times New Roman"/>
          <w:i/>
          <w:iCs/>
        </w:rPr>
        <w:t>Canadian Journal of Forest Research</w:t>
      </w:r>
      <w:r w:rsidRPr="00E25215">
        <w:rPr>
          <w:rFonts w:cs="Times New Roman"/>
        </w:rPr>
        <w:t xml:space="preserve">, </w:t>
      </w:r>
      <w:r w:rsidRPr="00E25215">
        <w:rPr>
          <w:rFonts w:cs="Times New Roman"/>
          <w:i/>
          <w:iCs/>
        </w:rPr>
        <w:t>39</w:t>
      </w:r>
      <w:r w:rsidRPr="00E25215">
        <w:rPr>
          <w:rFonts w:cs="Times New Roman"/>
        </w:rPr>
        <w:t>(2), 231–248. https://doi.org/10.1139/X08-171</w:t>
      </w:r>
    </w:p>
    <w:p w14:paraId="30CEE9C9"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Dulac, J. (2013). </w:t>
      </w:r>
      <w:r w:rsidRPr="00E25215">
        <w:rPr>
          <w:rFonts w:cs="Times New Roman"/>
          <w:i/>
          <w:iCs/>
        </w:rPr>
        <w:t>Global land transport infrastructure requirements. Estimating road and railway infrastructure capacity and costs to 2050</w:t>
      </w:r>
      <w:r w:rsidRPr="00E25215">
        <w:rPr>
          <w:rFonts w:cs="Times New Roman"/>
        </w:rPr>
        <w:t>. International Energy Agency. https://www.ctc-n.org/sites/www.ctc-n.org/files/resources/transportinfrastructureinsights_final_web.pdf</w:t>
      </w:r>
    </w:p>
    <w:p w14:paraId="0CEB8F40"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Dunham, J. B., Young, M. K., Gresswell, R. E., &amp; Rieman, B. E. (2003). Effects of fire on fish populations: Landscape perspectives on persistence of native fishes and nonnative fish invasions. </w:t>
      </w:r>
      <w:r w:rsidRPr="00E25215">
        <w:rPr>
          <w:rFonts w:cs="Times New Roman"/>
          <w:i/>
          <w:iCs/>
        </w:rPr>
        <w:t>Forest Ecology and Management</w:t>
      </w:r>
      <w:r w:rsidRPr="00E25215">
        <w:rPr>
          <w:rFonts w:cs="Times New Roman"/>
        </w:rPr>
        <w:t xml:space="preserve">, </w:t>
      </w:r>
      <w:r w:rsidRPr="00E25215">
        <w:rPr>
          <w:rFonts w:cs="Times New Roman"/>
          <w:i/>
          <w:iCs/>
        </w:rPr>
        <w:t>178</w:t>
      </w:r>
      <w:r w:rsidRPr="00E25215">
        <w:rPr>
          <w:rFonts w:cs="Times New Roman"/>
        </w:rPr>
        <w:t>(1), 183–196. https://doi.org/10.1016/S0378-1127(03)00061-6</w:t>
      </w:r>
    </w:p>
    <w:p w14:paraId="43E34BD0"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Dyer, E. E., Cassey, P., Redding, D. W., Collen, B., Franks, V., Gaston, K. J., Jones, K. E., Kark, S., Orme, C. D. L., &amp; Blackburn, T. M. (2017). The global distribution and drivers of alien bird species richness. </w:t>
      </w:r>
      <w:r w:rsidRPr="00E25215">
        <w:rPr>
          <w:rFonts w:cs="Times New Roman"/>
          <w:i/>
          <w:iCs/>
        </w:rPr>
        <w:t>PLoS Biology</w:t>
      </w:r>
      <w:r w:rsidRPr="00E25215">
        <w:rPr>
          <w:rFonts w:cs="Times New Roman"/>
        </w:rPr>
        <w:t xml:space="preserve">, </w:t>
      </w:r>
      <w:r w:rsidRPr="00E25215">
        <w:rPr>
          <w:rFonts w:cs="Times New Roman"/>
          <w:i/>
          <w:iCs/>
        </w:rPr>
        <w:t>15</w:t>
      </w:r>
      <w:r w:rsidRPr="00E25215">
        <w:rPr>
          <w:rFonts w:cs="Times New Roman"/>
        </w:rPr>
        <w:t>(1), e2000942. https://doi.org/10.1371/journal.pbio.2000942</w:t>
      </w:r>
    </w:p>
    <w:p w14:paraId="01E041EF"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Early, R., Bradley, B. A., Dukes, J. S., Lawler, J. J., Olden, J. D., Blumenthal, D. M., Gonzalez, P., Grosholz, E. D., Ibañez, I., Miller, L. P., Sorte, C. J. B., &amp; Tatem, A. J. (2016). Global threats from invasive alien species in the twenty-first century and national response capacities. </w:t>
      </w:r>
      <w:r w:rsidRPr="00E25215">
        <w:rPr>
          <w:rFonts w:cs="Times New Roman"/>
          <w:i/>
          <w:iCs/>
        </w:rPr>
        <w:t>Nature Communications</w:t>
      </w:r>
      <w:r w:rsidRPr="00E25215">
        <w:rPr>
          <w:rFonts w:cs="Times New Roman"/>
        </w:rPr>
        <w:t xml:space="preserve">, </w:t>
      </w:r>
      <w:r w:rsidRPr="00E25215">
        <w:rPr>
          <w:rFonts w:cs="Times New Roman"/>
          <w:i/>
          <w:iCs/>
        </w:rPr>
        <w:t>7</w:t>
      </w:r>
      <w:r w:rsidRPr="00E25215">
        <w:rPr>
          <w:rFonts w:cs="Times New Roman"/>
        </w:rPr>
        <w:t>(1), 12485. https://doi.org/10.1038/ncomms12485</w:t>
      </w:r>
    </w:p>
    <w:p w14:paraId="134E195C"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Echandi, E., Knoke, J. K., Nigh, E. L., Shenk, M., &amp; Weekman, G. T. (1972). </w:t>
      </w:r>
      <w:r w:rsidRPr="00E25215">
        <w:rPr>
          <w:rFonts w:cs="Times New Roman"/>
          <w:i/>
          <w:iCs/>
        </w:rPr>
        <w:t>Crop Protection in Brazil, Uruguay, Bolivia, Ecuador, and Dominican Republic</w:t>
      </w:r>
      <w:r w:rsidRPr="00E25215">
        <w:rPr>
          <w:rFonts w:cs="Times New Roman"/>
        </w:rPr>
        <w:t>. United States Agency for International Development, Washington, DC. https://agris.fao.org/agris-search/search.do?recordID=XF2016078207</w:t>
      </w:r>
    </w:p>
    <w:p w14:paraId="362FA65B" w14:textId="77777777" w:rsidR="001379C0" w:rsidRPr="00E25215" w:rsidRDefault="001379C0" w:rsidP="009B3E7F">
      <w:pPr>
        <w:pStyle w:val="Bibliography"/>
        <w:spacing w:before="0" w:after="0" w:line="240" w:lineRule="auto"/>
        <w:rPr>
          <w:rFonts w:cs="Times New Roman"/>
        </w:rPr>
      </w:pPr>
      <w:r w:rsidRPr="00E25215">
        <w:rPr>
          <w:rFonts w:cs="Times New Roman"/>
        </w:rPr>
        <w:lastRenderedPageBreak/>
        <w:t xml:space="preserve">Ehrenfeld, J. G. (2008). Exotic invasive species in urban wetlands: Environmental correlates and implications for wetland management. </w:t>
      </w:r>
      <w:r w:rsidRPr="00E25215">
        <w:rPr>
          <w:rFonts w:cs="Times New Roman"/>
          <w:i/>
          <w:iCs/>
        </w:rPr>
        <w:t>Journal of Applied Ecology</w:t>
      </w:r>
      <w:r w:rsidRPr="00E25215">
        <w:rPr>
          <w:rFonts w:cs="Times New Roman"/>
        </w:rPr>
        <w:t xml:space="preserve">, </w:t>
      </w:r>
      <w:r w:rsidRPr="00E25215">
        <w:rPr>
          <w:rFonts w:cs="Times New Roman"/>
          <w:i/>
          <w:iCs/>
        </w:rPr>
        <w:t>45</w:t>
      </w:r>
      <w:r w:rsidRPr="00E25215">
        <w:rPr>
          <w:rFonts w:cs="Times New Roman"/>
        </w:rPr>
        <w:t>(4), 1160–1169. https://doi.org/10.1111/j.1365-2664.2008.01476.x</w:t>
      </w:r>
    </w:p>
    <w:p w14:paraId="5D0DC9EC"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Ellender, B. R., &amp; Weyl, O. L. F. (2014). A review of current knowledge, risk and ecological impacts associated with non-native freshwater fish introductions in South Africa. </w:t>
      </w:r>
      <w:r w:rsidRPr="00E25215">
        <w:rPr>
          <w:rFonts w:cs="Times New Roman"/>
          <w:i/>
          <w:iCs/>
        </w:rPr>
        <w:t>Aquatic Invasions</w:t>
      </w:r>
      <w:r w:rsidRPr="00E25215">
        <w:rPr>
          <w:rFonts w:cs="Times New Roman"/>
        </w:rPr>
        <w:t xml:space="preserve">, </w:t>
      </w:r>
      <w:r w:rsidRPr="00E25215">
        <w:rPr>
          <w:rFonts w:cs="Times New Roman"/>
          <w:i/>
          <w:iCs/>
        </w:rPr>
        <w:t>9</w:t>
      </w:r>
      <w:r w:rsidRPr="00E25215">
        <w:rPr>
          <w:rFonts w:cs="Times New Roman"/>
        </w:rPr>
        <w:t>(2), 117–132. https://doi.org/10.3391/ai.2014.9.2.01</w:t>
      </w:r>
    </w:p>
    <w:p w14:paraId="75084CE8"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Eller, F., Lambertini, C., Nguyen, L. X., &amp; Brix, H. (2014). Increased Invasive Potential of Non-Native </w:t>
      </w:r>
      <w:r w:rsidRPr="00E25215">
        <w:rPr>
          <w:rFonts w:cs="Times New Roman"/>
          <w:i/>
          <w:iCs/>
        </w:rPr>
        <w:t>Phragmites australis</w:t>
      </w:r>
      <w:r w:rsidRPr="00E25215">
        <w:rPr>
          <w:rFonts w:cs="Times New Roman"/>
        </w:rPr>
        <w:t>: Elevated CO</w:t>
      </w:r>
      <w:r w:rsidRPr="00E25215">
        <w:rPr>
          <w:rFonts w:cs="Times New Roman"/>
          <w:vertAlign w:val="subscript"/>
        </w:rPr>
        <w:t>2</w:t>
      </w:r>
      <w:r w:rsidRPr="00E25215">
        <w:rPr>
          <w:rFonts w:cs="Times New Roman"/>
        </w:rPr>
        <w:t xml:space="preserve"> and Temperature Alleviate Salinity Effects on Photosynthesis and Growth. </w:t>
      </w:r>
      <w:r w:rsidRPr="00E25215">
        <w:rPr>
          <w:rFonts w:cs="Times New Roman"/>
          <w:i/>
          <w:iCs/>
        </w:rPr>
        <w:t>Global Change Biology</w:t>
      </w:r>
      <w:r w:rsidRPr="00E25215">
        <w:rPr>
          <w:rFonts w:cs="Times New Roman"/>
        </w:rPr>
        <w:t xml:space="preserve">, </w:t>
      </w:r>
      <w:r w:rsidRPr="00E25215">
        <w:rPr>
          <w:rFonts w:cs="Times New Roman"/>
          <w:i/>
          <w:iCs/>
        </w:rPr>
        <w:t>20</w:t>
      </w:r>
      <w:r w:rsidRPr="00E25215">
        <w:rPr>
          <w:rFonts w:cs="Times New Roman"/>
        </w:rPr>
        <w:t>(2), 531–543. https://doi.org/10.1111/gcb.12346</w:t>
      </w:r>
    </w:p>
    <w:p w14:paraId="5A7B48E1"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Ellstrand, N. C., Meirmans, P., Rong, J., Bartsch, D., Ghosh, A., de Jong, T. J., Haccou, P., Lu, B.-R., Snow, A. A., Neal Stewart, C., Strasburg, J. L., van Tienderen, P. H., Vrieling, K., &amp; Hooftman, D. (2013). Introgression of Crop Alleles into Wild or Weedy Populations. </w:t>
      </w:r>
      <w:r w:rsidRPr="00E25215">
        <w:rPr>
          <w:rFonts w:cs="Times New Roman"/>
          <w:i/>
          <w:iCs/>
        </w:rPr>
        <w:t>Annual Review of Ecology, Evolution, and Systematics</w:t>
      </w:r>
      <w:r w:rsidRPr="00E25215">
        <w:rPr>
          <w:rFonts w:cs="Times New Roman"/>
        </w:rPr>
        <w:t xml:space="preserve">, </w:t>
      </w:r>
      <w:r w:rsidRPr="00E25215">
        <w:rPr>
          <w:rFonts w:cs="Times New Roman"/>
          <w:i/>
          <w:iCs/>
        </w:rPr>
        <w:t>44</w:t>
      </w:r>
      <w:r w:rsidRPr="00E25215">
        <w:rPr>
          <w:rFonts w:cs="Times New Roman"/>
        </w:rPr>
        <w:t>(1), 325–345. https://doi.org/10.1146/annurev-ecolsys-110512-135840</w:t>
      </w:r>
    </w:p>
    <w:p w14:paraId="46A7CF75"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Elorza, M. S., Sánchez, E. D. D., &amp; Vesperinas, E. S. (2004). </w:t>
      </w:r>
      <w:r w:rsidRPr="00E25215">
        <w:rPr>
          <w:rFonts w:cs="Times New Roman"/>
          <w:i/>
          <w:iCs/>
        </w:rPr>
        <w:t>Atlas de las plantas alóctonas invasoras en España</w:t>
      </w:r>
      <w:r w:rsidRPr="00E25215">
        <w:rPr>
          <w:rFonts w:cs="Times New Roman"/>
        </w:rPr>
        <w:t>. Dirección General de la Biodiversidad. Ministerio de Medio Ambiente.</w:t>
      </w:r>
    </w:p>
    <w:p w14:paraId="2ECE8EAD"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Elton, C. S. (1958). </w:t>
      </w:r>
      <w:r w:rsidRPr="00E25215">
        <w:rPr>
          <w:rFonts w:cs="Times New Roman"/>
          <w:i/>
          <w:iCs/>
        </w:rPr>
        <w:t>The Ecology of Invasions by Animals and Plants</w:t>
      </w:r>
      <w:r w:rsidRPr="00E25215">
        <w:rPr>
          <w:rFonts w:cs="Times New Roman"/>
        </w:rPr>
        <w:t>. University of Chicago Press. http://link.springer.com/10.1007/978-1-4899-7214-9</w:t>
      </w:r>
    </w:p>
    <w:p w14:paraId="45444E27"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Englund, R. A. (2002). The loss of native biodiversity and continuing nonindigenous species introductions in freshwater, estuarine, and wetland communities of Pearl Harbor, Oahu, Hawaiian Islands. </w:t>
      </w:r>
      <w:r w:rsidRPr="00E25215">
        <w:rPr>
          <w:rFonts w:cs="Times New Roman"/>
          <w:i/>
          <w:iCs/>
        </w:rPr>
        <w:t>Estuaries</w:t>
      </w:r>
      <w:r w:rsidRPr="00E25215">
        <w:rPr>
          <w:rFonts w:cs="Times New Roman"/>
        </w:rPr>
        <w:t xml:space="preserve">, </w:t>
      </w:r>
      <w:r w:rsidRPr="00E25215">
        <w:rPr>
          <w:rFonts w:cs="Times New Roman"/>
          <w:i/>
          <w:iCs/>
        </w:rPr>
        <w:t>25</w:t>
      </w:r>
      <w:r w:rsidRPr="00E25215">
        <w:rPr>
          <w:rFonts w:cs="Times New Roman"/>
        </w:rPr>
        <w:t>(3), 418–430. https://doi.org/10.1007/BF02695984</w:t>
      </w:r>
    </w:p>
    <w:p w14:paraId="6876F6B2"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Ennos, R., Cottrell, J., Hall, J., &amp; O’Brien, D. (2019). Is the introduction of novel exotic forest tree species a rational response to rapid environmental change? – A British perspective. </w:t>
      </w:r>
      <w:r w:rsidRPr="00E25215">
        <w:rPr>
          <w:rFonts w:cs="Times New Roman"/>
          <w:i/>
          <w:iCs/>
        </w:rPr>
        <w:t>Forest Ecology and Management</w:t>
      </w:r>
      <w:r w:rsidRPr="00E25215">
        <w:rPr>
          <w:rFonts w:cs="Times New Roman"/>
        </w:rPr>
        <w:t xml:space="preserve">, </w:t>
      </w:r>
      <w:r w:rsidRPr="00E25215">
        <w:rPr>
          <w:rFonts w:cs="Times New Roman"/>
          <w:i/>
          <w:iCs/>
        </w:rPr>
        <w:t>432</w:t>
      </w:r>
      <w:r w:rsidRPr="00E25215">
        <w:rPr>
          <w:rFonts w:cs="Times New Roman"/>
        </w:rPr>
        <w:t>, 718–728. https://doi.org/10.1016/j.foreco.2018.10.018</w:t>
      </w:r>
    </w:p>
    <w:p w14:paraId="36E30446"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EPPO. (1996). </w:t>
      </w:r>
      <w:r w:rsidRPr="00E25215">
        <w:rPr>
          <w:rFonts w:cs="Times New Roman"/>
          <w:i/>
          <w:iCs/>
        </w:rPr>
        <w:t xml:space="preserve">Situation of </w:t>
      </w:r>
      <w:r w:rsidRPr="00E25215">
        <w:rPr>
          <w:rFonts w:cs="Times New Roman"/>
        </w:rPr>
        <w:t>Diabrotica virgifera</w:t>
      </w:r>
      <w:r w:rsidRPr="00E25215">
        <w:rPr>
          <w:rFonts w:cs="Times New Roman"/>
          <w:i/>
          <w:iCs/>
        </w:rPr>
        <w:t xml:space="preserve"> in Serbia (YU). From International Workshop “Western Corn Rootworm in Europe 95”1995-11-08.</w:t>
      </w:r>
      <w:r w:rsidRPr="00E25215">
        <w:rPr>
          <w:rFonts w:cs="Times New Roman"/>
        </w:rPr>
        <w:t xml:space="preserve"> (1996/006; EPPO Reporting Service).</w:t>
      </w:r>
    </w:p>
    <w:p w14:paraId="3E27C3B4"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Eriksen, M., Lebreton, L. C., Carson, H. S., Thiel, M., Moore, C. J., Borerro, J. C., Galgani, F., Ryan, P. G., &amp; Reisser, J. (2014). Plastic pollution in the world’s oceans: More than 5 trillion plastic pieces weighing over 250,000 tons afloat at sea. </w:t>
      </w:r>
      <w:r w:rsidRPr="00E25215">
        <w:rPr>
          <w:rFonts w:cs="Times New Roman"/>
          <w:i/>
          <w:iCs/>
        </w:rPr>
        <w:t>PLoS ONE</w:t>
      </w:r>
      <w:r w:rsidRPr="00E25215">
        <w:rPr>
          <w:rFonts w:cs="Times New Roman"/>
        </w:rPr>
        <w:t xml:space="preserve">, </w:t>
      </w:r>
      <w:r w:rsidRPr="00E25215">
        <w:rPr>
          <w:rFonts w:cs="Times New Roman"/>
          <w:i/>
          <w:iCs/>
        </w:rPr>
        <w:t>9</w:t>
      </w:r>
      <w:r w:rsidRPr="00E25215">
        <w:rPr>
          <w:rFonts w:cs="Times New Roman"/>
        </w:rPr>
        <w:t>(12), e111913. https://doi.org/10.1371/ journal.pone.0111913</w:t>
      </w:r>
    </w:p>
    <w:p w14:paraId="168B94CE"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Eriksson, O., Cousins, S. A. O., &amp; Bruun, H. H. (2002). Land-use history and fragmentation of traditionally managed grasslands in Scandinavia. </w:t>
      </w:r>
      <w:r w:rsidRPr="00E25215">
        <w:rPr>
          <w:rFonts w:cs="Times New Roman"/>
          <w:i/>
          <w:iCs/>
        </w:rPr>
        <w:t>Journal of Vegetation Science</w:t>
      </w:r>
      <w:r w:rsidRPr="00E25215">
        <w:rPr>
          <w:rFonts w:cs="Times New Roman"/>
        </w:rPr>
        <w:t xml:space="preserve">, </w:t>
      </w:r>
      <w:r w:rsidRPr="00E25215">
        <w:rPr>
          <w:rFonts w:cs="Times New Roman"/>
          <w:i/>
          <w:iCs/>
        </w:rPr>
        <w:t>13</w:t>
      </w:r>
      <w:r w:rsidRPr="00E25215">
        <w:rPr>
          <w:rFonts w:cs="Times New Roman"/>
        </w:rPr>
        <w:t>(5), 743–748. https://doi.org/10.1111/j.1654-1103.2002.tb02102.x</w:t>
      </w:r>
    </w:p>
    <w:p w14:paraId="03D85019"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Essink, K. (2003). Response of an estuarine ecosystem to reduced organic waste discharge. </w:t>
      </w:r>
      <w:r w:rsidRPr="00E25215">
        <w:rPr>
          <w:rFonts w:cs="Times New Roman"/>
          <w:i/>
          <w:iCs/>
        </w:rPr>
        <w:t>Aquatic Ecology</w:t>
      </w:r>
      <w:r w:rsidRPr="00E25215">
        <w:rPr>
          <w:rFonts w:cs="Times New Roman"/>
        </w:rPr>
        <w:t xml:space="preserve">, </w:t>
      </w:r>
      <w:r w:rsidRPr="00E25215">
        <w:rPr>
          <w:rFonts w:cs="Times New Roman"/>
          <w:i/>
          <w:iCs/>
        </w:rPr>
        <w:t>37</w:t>
      </w:r>
      <w:r w:rsidRPr="00E25215">
        <w:rPr>
          <w:rFonts w:cs="Times New Roman"/>
        </w:rPr>
        <w:t>(1), 65–76. https://doi.org/10.1023/A:1022139600926</w:t>
      </w:r>
    </w:p>
    <w:p w14:paraId="1C857779"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Essl, F., Dawson, W., Kreft, H., Pergl, J., Pyšek, P., Van Kleunen, M., Weigelt, P., Mang, T., Dullinger, S., Lenzner, B., Moser, D., Maurel, N., Seebens, H., Stein, A., Weber, E., Chatelain, C., Inderjit, Genovesi, P., Kartesz, J., … Winter, M. (2019). Drivers of the relative richness of naturalized and invasive plant species on Earth. </w:t>
      </w:r>
      <w:r w:rsidRPr="00E25215">
        <w:rPr>
          <w:rFonts w:cs="Times New Roman"/>
          <w:i/>
          <w:iCs/>
        </w:rPr>
        <w:t>AoB PLANTS</w:t>
      </w:r>
      <w:r w:rsidRPr="00E25215">
        <w:rPr>
          <w:rFonts w:cs="Times New Roman"/>
        </w:rPr>
        <w:t xml:space="preserve">, </w:t>
      </w:r>
      <w:r w:rsidRPr="00E25215">
        <w:rPr>
          <w:rFonts w:cs="Times New Roman"/>
          <w:i/>
          <w:iCs/>
        </w:rPr>
        <w:t>11</w:t>
      </w:r>
      <w:r w:rsidRPr="00E25215">
        <w:rPr>
          <w:rFonts w:cs="Times New Roman"/>
        </w:rPr>
        <w:t>(5), plz051. https://doi.org/10.1093/aobpla/plz051</w:t>
      </w:r>
    </w:p>
    <w:p w14:paraId="47450CC3"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Essl, F., Dullinger, S., Moser, D., Steinbauer, K., &amp; Mang, T. (2015). Macroecology of global bryophyte invasions at different invasion stages. </w:t>
      </w:r>
      <w:r w:rsidRPr="00E25215">
        <w:rPr>
          <w:rFonts w:cs="Times New Roman"/>
          <w:i/>
          <w:iCs/>
        </w:rPr>
        <w:t>Ecography</w:t>
      </w:r>
      <w:r w:rsidRPr="00E25215">
        <w:rPr>
          <w:rFonts w:cs="Times New Roman"/>
        </w:rPr>
        <w:t xml:space="preserve">, </w:t>
      </w:r>
      <w:r w:rsidRPr="00E25215">
        <w:rPr>
          <w:rFonts w:cs="Times New Roman"/>
          <w:i/>
          <w:iCs/>
        </w:rPr>
        <w:t>38</w:t>
      </w:r>
      <w:r w:rsidRPr="00E25215">
        <w:rPr>
          <w:rFonts w:cs="Times New Roman"/>
        </w:rPr>
        <w:t>(5), 488–498. https://doi.org/10.1111/ecog.00905</w:t>
      </w:r>
    </w:p>
    <w:p w14:paraId="3F076A55"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Essl, F., Dullinger, S., Rabitsch, W., Hulme, P. E., Hülber, K., Jarošík, V., Kleinbauer, I., Krausmann, F., Kühn, I., Nentwig, W., Vilà, M., Genovesi, P., Gherardi, F., Desprez-Loustau, M.-L., Roques, A., &amp; Pyšek, P. (2011). Socioeconomic legacy yields an invasion debt. </w:t>
      </w:r>
      <w:r w:rsidRPr="00E25215">
        <w:rPr>
          <w:rFonts w:cs="Times New Roman"/>
          <w:i/>
          <w:iCs/>
        </w:rPr>
        <w:t>Proceedings of the National Academy of Sciences</w:t>
      </w:r>
      <w:r w:rsidRPr="00E25215">
        <w:rPr>
          <w:rFonts w:cs="Times New Roman"/>
        </w:rPr>
        <w:t xml:space="preserve">, </w:t>
      </w:r>
      <w:r w:rsidRPr="00E25215">
        <w:rPr>
          <w:rFonts w:cs="Times New Roman"/>
          <w:i/>
          <w:iCs/>
        </w:rPr>
        <w:t>108</w:t>
      </w:r>
      <w:r w:rsidRPr="00E25215">
        <w:rPr>
          <w:rFonts w:cs="Times New Roman"/>
        </w:rPr>
        <w:t>(1), 203–207. https://doi.org/10.1073/pnas.1011728108</w:t>
      </w:r>
    </w:p>
    <w:p w14:paraId="1A872263" w14:textId="77777777" w:rsidR="001379C0" w:rsidRPr="00E25215" w:rsidRDefault="001379C0" w:rsidP="009B3E7F">
      <w:pPr>
        <w:pStyle w:val="Bibliography"/>
        <w:spacing w:before="0" w:after="0" w:line="240" w:lineRule="auto"/>
        <w:rPr>
          <w:rFonts w:cs="Times New Roman"/>
        </w:rPr>
      </w:pPr>
      <w:r w:rsidRPr="00E25215">
        <w:rPr>
          <w:rFonts w:cs="Times New Roman"/>
        </w:rPr>
        <w:lastRenderedPageBreak/>
        <w:t xml:space="preserve">Estévez, R. A., Anderson, C. B., Pizarro, J. C., &amp; Burgman, M. A. (2015). Clarifying values, risk perceptions, and attitudes to resolve or avoid social conflicts in invasive species management. </w:t>
      </w:r>
      <w:r w:rsidRPr="00E25215">
        <w:rPr>
          <w:rFonts w:cs="Times New Roman"/>
          <w:i/>
          <w:iCs/>
        </w:rPr>
        <w:t>Conservation Biology</w:t>
      </w:r>
      <w:r w:rsidRPr="00E25215">
        <w:rPr>
          <w:rFonts w:cs="Times New Roman"/>
        </w:rPr>
        <w:t xml:space="preserve">, </w:t>
      </w:r>
      <w:r w:rsidRPr="00E25215">
        <w:rPr>
          <w:rFonts w:cs="Times New Roman"/>
          <w:i/>
          <w:iCs/>
        </w:rPr>
        <w:t>29</w:t>
      </w:r>
      <w:r w:rsidRPr="00E25215">
        <w:rPr>
          <w:rFonts w:cs="Times New Roman"/>
        </w:rPr>
        <w:t>(1), 19–30. https://doi.org/10.1111/cobi.12359</w:t>
      </w:r>
    </w:p>
    <w:p w14:paraId="4D3EEBD5"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Evans, E. W., Soares, A. O., &amp; Yasuda, H. (2011). Invasions by ladybugs, ladybirds, and other predatory beetles. </w:t>
      </w:r>
      <w:r w:rsidRPr="00E25215">
        <w:rPr>
          <w:rFonts w:cs="Times New Roman"/>
          <w:i/>
          <w:iCs/>
        </w:rPr>
        <w:t>BioControl</w:t>
      </w:r>
      <w:r w:rsidRPr="00E25215">
        <w:rPr>
          <w:rFonts w:cs="Times New Roman"/>
        </w:rPr>
        <w:t xml:space="preserve">, </w:t>
      </w:r>
      <w:r w:rsidRPr="00E25215">
        <w:rPr>
          <w:rFonts w:cs="Times New Roman"/>
          <w:i/>
          <w:iCs/>
        </w:rPr>
        <w:t>56</w:t>
      </w:r>
      <w:r w:rsidRPr="00E25215">
        <w:rPr>
          <w:rFonts w:cs="Times New Roman"/>
        </w:rPr>
        <w:t>(4), 597–611. https://doi.org/10.1007/s10526-011-9374-6</w:t>
      </w:r>
    </w:p>
    <w:p w14:paraId="01EA293E"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Evans, T., Ermgassen, P. zu, Amano, T., &amp; Peh, K. S.-H. (2018). Does governance play a role in the distribution of invasive alien species? </w:t>
      </w:r>
      <w:r w:rsidRPr="00E25215">
        <w:rPr>
          <w:rFonts w:cs="Times New Roman"/>
          <w:i/>
          <w:iCs/>
        </w:rPr>
        <w:t>Ecology and Evolution</w:t>
      </w:r>
      <w:r w:rsidRPr="00E25215">
        <w:rPr>
          <w:rFonts w:cs="Times New Roman"/>
        </w:rPr>
        <w:t xml:space="preserve">, </w:t>
      </w:r>
      <w:r w:rsidRPr="00E25215">
        <w:rPr>
          <w:rFonts w:cs="Times New Roman"/>
          <w:i/>
          <w:iCs/>
        </w:rPr>
        <w:t>8</w:t>
      </w:r>
      <w:r w:rsidRPr="00E25215">
        <w:rPr>
          <w:rFonts w:cs="Times New Roman"/>
        </w:rPr>
        <w:t>(4), 1984–1994. https://doi.org/10.1002/ece3.3744</w:t>
      </w:r>
    </w:p>
    <w:p w14:paraId="0F3CE15B"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Eversmeyer, M. G., &amp; Kramer, C. L. (2000). Epidemiology of wheat leaf and stem rust in the central great plains of the USA. </w:t>
      </w:r>
      <w:r w:rsidRPr="00E25215">
        <w:rPr>
          <w:rFonts w:cs="Times New Roman"/>
          <w:i/>
          <w:iCs/>
        </w:rPr>
        <w:t>Annual Review of Phytopathology</w:t>
      </w:r>
      <w:r w:rsidRPr="00E25215">
        <w:rPr>
          <w:rFonts w:cs="Times New Roman"/>
        </w:rPr>
        <w:t xml:space="preserve">, </w:t>
      </w:r>
      <w:r w:rsidRPr="00E25215">
        <w:rPr>
          <w:rFonts w:cs="Times New Roman"/>
          <w:i/>
          <w:iCs/>
        </w:rPr>
        <w:t>38</w:t>
      </w:r>
      <w:r w:rsidRPr="00E25215">
        <w:rPr>
          <w:rFonts w:cs="Times New Roman"/>
        </w:rPr>
        <w:t>, 491. https://doi.org/10.1146/annurev.phyto.38.1.491</w:t>
      </w:r>
    </w:p>
    <w:p w14:paraId="2D9E0B85"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Fabry, V., McClintock, J., Mathis, J., &amp; Grebmeier, J. (2009). Ocean Acidification at High Latitudes: The Bellwether. </w:t>
      </w:r>
      <w:r w:rsidRPr="00E25215">
        <w:rPr>
          <w:rFonts w:cs="Times New Roman"/>
          <w:i/>
          <w:iCs/>
        </w:rPr>
        <w:t>Oceanography</w:t>
      </w:r>
      <w:r w:rsidRPr="00E25215">
        <w:rPr>
          <w:rFonts w:cs="Times New Roman"/>
        </w:rPr>
        <w:t xml:space="preserve">, </w:t>
      </w:r>
      <w:r w:rsidRPr="00E25215">
        <w:rPr>
          <w:rFonts w:cs="Times New Roman"/>
          <w:i/>
          <w:iCs/>
        </w:rPr>
        <w:t>22</w:t>
      </w:r>
      <w:r w:rsidRPr="00E25215">
        <w:rPr>
          <w:rFonts w:cs="Times New Roman"/>
        </w:rPr>
        <w:t>(4), 160–171. https://doi.org/10.5670/oceanog.2009.105</w:t>
      </w:r>
    </w:p>
    <w:p w14:paraId="232CC549"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Fagúndez, J. (2013). Heathlands confronting global change: Drivers of biodiversity loss from past to future scenarios. </w:t>
      </w:r>
      <w:r w:rsidRPr="00E25215">
        <w:rPr>
          <w:rFonts w:cs="Times New Roman"/>
          <w:i/>
          <w:iCs/>
        </w:rPr>
        <w:t>Annals of Botany</w:t>
      </w:r>
      <w:r w:rsidRPr="00E25215">
        <w:rPr>
          <w:rFonts w:cs="Times New Roman"/>
        </w:rPr>
        <w:t xml:space="preserve">, </w:t>
      </w:r>
      <w:r w:rsidRPr="00E25215">
        <w:rPr>
          <w:rFonts w:cs="Times New Roman"/>
          <w:i/>
          <w:iCs/>
        </w:rPr>
        <w:t>111</w:t>
      </w:r>
      <w:r w:rsidRPr="00E25215">
        <w:rPr>
          <w:rFonts w:cs="Times New Roman"/>
        </w:rPr>
        <w:t>(2), Article 2. https://doi.org/10.1093/aob/mcs257</w:t>
      </w:r>
    </w:p>
    <w:p w14:paraId="07993E71"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FAO. (1995). </w:t>
      </w:r>
      <w:r w:rsidRPr="00E25215">
        <w:rPr>
          <w:rFonts w:cs="Times New Roman"/>
          <w:i/>
          <w:iCs/>
        </w:rPr>
        <w:t>Guidelines for pest risk analysis</w:t>
      </w:r>
      <w:r w:rsidRPr="00E25215">
        <w:rPr>
          <w:rFonts w:cs="Times New Roman"/>
        </w:rPr>
        <w:t>. International standards for phytosanitary measures (ISPM). No. 2. Food and Agriculture Organization of the United Nations. https://www.ippc.int/largefiles/adopted_ISPMs_previousversions/en/ISPM_02_1995_En_2006-05-03.pdf</w:t>
      </w:r>
    </w:p>
    <w:p w14:paraId="1CFD1C04"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FAO. (2001). </w:t>
      </w:r>
      <w:r w:rsidRPr="00E25215">
        <w:rPr>
          <w:rFonts w:cs="Times New Roman"/>
          <w:i/>
          <w:iCs/>
        </w:rPr>
        <w:t>The State of Food and Agriculture 2001</w:t>
      </w:r>
      <w:r w:rsidRPr="00E25215">
        <w:rPr>
          <w:rFonts w:cs="Times New Roman"/>
        </w:rPr>
        <w:t xml:space="preserve"> (Annual Report SBN 92-5-104600-X). Food and Agriculture Organization of the United Nations. http://www.fao.org/3/x9800e/x9800e00.htm</w:t>
      </w:r>
    </w:p>
    <w:p w14:paraId="35288A50"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FAO. (2015). </w:t>
      </w:r>
      <w:r w:rsidRPr="00E25215">
        <w:rPr>
          <w:rFonts w:cs="Times New Roman"/>
          <w:i/>
          <w:iCs/>
        </w:rPr>
        <w:t>Status of the World’s Soil Resources: Main Report</w:t>
      </w:r>
      <w:r w:rsidRPr="00E25215">
        <w:rPr>
          <w:rFonts w:cs="Times New Roman"/>
        </w:rPr>
        <w:t>. FAO. http://www.fao.org/documents/card/fr/c/c6814873-efc3-41db-b7d3-2081a10ede50/</w:t>
      </w:r>
    </w:p>
    <w:p w14:paraId="6F4EF620"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FAO. (2021). </w:t>
      </w:r>
      <w:r w:rsidRPr="00E25215">
        <w:rPr>
          <w:rFonts w:cs="Times New Roman"/>
          <w:i/>
          <w:iCs/>
        </w:rPr>
        <w:t>Towards Blue Transformation</w:t>
      </w:r>
      <w:r w:rsidRPr="00E25215">
        <w:rPr>
          <w:rFonts w:cs="Times New Roman"/>
        </w:rPr>
        <w:t>. Www.Fao.Org. https://doi.org/10.4060/cc0461en</w:t>
      </w:r>
    </w:p>
    <w:p w14:paraId="43452C60"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Farr, H., Ruttenberg, B., Walter, R. K., Wang, Y.-H., &amp; White, C. (2021). Potential environmental effects of deepwater floating offshore wind energy facilities. </w:t>
      </w:r>
      <w:r w:rsidRPr="00E25215">
        <w:rPr>
          <w:rFonts w:cs="Times New Roman"/>
          <w:i/>
          <w:iCs/>
        </w:rPr>
        <w:t>Ocean &amp; Coastal Management</w:t>
      </w:r>
      <w:r w:rsidRPr="00E25215">
        <w:rPr>
          <w:rFonts w:cs="Times New Roman"/>
        </w:rPr>
        <w:t xml:space="preserve">, </w:t>
      </w:r>
      <w:r w:rsidRPr="00E25215">
        <w:rPr>
          <w:rFonts w:cs="Times New Roman"/>
          <w:i/>
          <w:iCs/>
        </w:rPr>
        <w:t>207</w:t>
      </w:r>
      <w:r w:rsidRPr="00E25215">
        <w:rPr>
          <w:rFonts w:cs="Times New Roman"/>
        </w:rPr>
        <w:t>, 105611. https://doi.org/10.1016/j.ocecoaman.2021.105611</w:t>
      </w:r>
    </w:p>
    <w:p w14:paraId="4FC4375D" w14:textId="77777777" w:rsidR="001379C0" w:rsidRPr="00E25215" w:rsidRDefault="001379C0" w:rsidP="009B3E7F">
      <w:pPr>
        <w:pStyle w:val="Bibliography"/>
        <w:spacing w:before="0" w:after="0" w:line="240" w:lineRule="auto"/>
        <w:rPr>
          <w:rFonts w:cs="Times New Roman"/>
        </w:rPr>
      </w:pPr>
      <w:r w:rsidRPr="00E25215">
        <w:rPr>
          <w:rFonts w:cs="Times New Roman"/>
        </w:rPr>
        <w:t>Faulkes, Z. (2010). The spread of the parthenogenetic marbled crayfish, Marmorkrebs (</w:t>
      </w:r>
      <w:r w:rsidRPr="00E25215">
        <w:rPr>
          <w:rFonts w:cs="Times New Roman"/>
          <w:i/>
          <w:iCs/>
        </w:rPr>
        <w:t>Procambarus</w:t>
      </w:r>
      <w:r w:rsidRPr="00E25215">
        <w:rPr>
          <w:rFonts w:cs="Times New Roman"/>
        </w:rPr>
        <w:t xml:space="preserve"> sp.), in the North American pet trade. </w:t>
      </w:r>
      <w:r w:rsidRPr="00E25215">
        <w:rPr>
          <w:rFonts w:cs="Times New Roman"/>
          <w:i/>
          <w:iCs/>
        </w:rPr>
        <w:t>Aquatic Invasions</w:t>
      </w:r>
      <w:r w:rsidRPr="00E25215">
        <w:rPr>
          <w:rFonts w:cs="Times New Roman"/>
        </w:rPr>
        <w:t xml:space="preserve">, </w:t>
      </w:r>
      <w:r w:rsidRPr="00E25215">
        <w:rPr>
          <w:rFonts w:cs="Times New Roman"/>
          <w:i/>
          <w:iCs/>
        </w:rPr>
        <w:t>5</w:t>
      </w:r>
      <w:r w:rsidRPr="00E25215">
        <w:rPr>
          <w:rFonts w:cs="Times New Roman"/>
        </w:rPr>
        <w:t>(4), 447–450. https://doi.org/10.3391/ai.2010.5.4.16</w:t>
      </w:r>
    </w:p>
    <w:p w14:paraId="358CD87B"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Faulkes, Z. (2015). The global trade in crayfish as pets. </w:t>
      </w:r>
      <w:r w:rsidRPr="00E25215">
        <w:rPr>
          <w:rFonts w:cs="Times New Roman"/>
          <w:i/>
          <w:iCs/>
        </w:rPr>
        <w:t>Crustacean Research</w:t>
      </w:r>
      <w:r w:rsidRPr="00E25215">
        <w:rPr>
          <w:rFonts w:cs="Times New Roman"/>
        </w:rPr>
        <w:t xml:space="preserve">, </w:t>
      </w:r>
      <w:r w:rsidRPr="00E25215">
        <w:rPr>
          <w:rFonts w:cs="Times New Roman"/>
          <w:i/>
          <w:iCs/>
        </w:rPr>
        <w:t>44</w:t>
      </w:r>
      <w:r w:rsidRPr="00E25215">
        <w:rPr>
          <w:rFonts w:cs="Times New Roman"/>
        </w:rPr>
        <w:t>(0), 75–92. https://doi.org/10.18353/crustacea.44.0_75</w:t>
      </w:r>
    </w:p>
    <w:p w14:paraId="7759BD86"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Faulkner, K. T., Burness, A., Byrne, M. J., Kumschick, S., Peters, K., Robertson, M. P., Saccaggi, D. L., Weyl, O. L. F., &amp; Williams, V. L. (2020). South Africa’s pathways of introduction and dispersal and how they have changed over time. In B. W. van Wilgen, J. Measey, D. W. Richardson, J. R. Wilson, &amp; T. A. Zengeya (Eds.), </w:t>
      </w:r>
      <w:r w:rsidRPr="00E25215">
        <w:rPr>
          <w:rFonts w:cs="Times New Roman"/>
          <w:i/>
          <w:iCs/>
        </w:rPr>
        <w:t>Biological invasions in South Africa</w:t>
      </w:r>
      <w:r w:rsidRPr="00E25215">
        <w:rPr>
          <w:rFonts w:cs="Times New Roman"/>
        </w:rPr>
        <w:t xml:space="preserve"> (Vol. 14, pp. 311–352). Springer. https://doi.org/10.1007/978-3-030-32394-3_12</w:t>
      </w:r>
    </w:p>
    <w:p w14:paraId="48C8AB86"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Faulkner, K. T., Robertson, M. P., Rouget, M., &amp; Wilson, J. R. U. (2016). Understanding and managing the introduction pathways of alien taxa: South Africa as a case study. </w:t>
      </w:r>
      <w:r w:rsidRPr="00E25215">
        <w:rPr>
          <w:rFonts w:cs="Times New Roman"/>
          <w:i/>
          <w:iCs/>
        </w:rPr>
        <w:t>Biological Invasions</w:t>
      </w:r>
      <w:r w:rsidRPr="00E25215">
        <w:rPr>
          <w:rFonts w:cs="Times New Roman"/>
        </w:rPr>
        <w:t xml:space="preserve">, </w:t>
      </w:r>
      <w:r w:rsidRPr="00E25215">
        <w:rPr>
          <w:rFonts w:cs="Times New Roman"/>
          <w:i/>
          <w:iCs/>
        </w:rPr>
        <w:t>18</w:t>
      </w:r>
      <w:r w:rsidRPr="00E25215">
        <w:rPr>
          <w:rFonts w:cs="Times New Roman"/>
        </w:rPr>
        <w:t>(1), Article 1. https://doi.org/10.1007/s10530-015-0990-4</w:t>
      </w:r>
    </w:p>
    <w:p w14:paraId="5569189B"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Faust, E., Halvorsen, K. T., Andersen, P., Knutsen, H., &amp; André, C. (2018). Cleaner fish escape salmon farms and hybridize with local wrasse populations. </w:t>
      </w:r>
      <w:r w:rsidRPr="00E25215">
        <w:rPr>
          <w:rFonts w:cs="Times New Roman"/>
          <w:i/>
          <w:iCs/>
        </w:rPr>
        <w:t>Royal Society Open Science</w:t>
      </w:r>
      <w:r w:rsidRPr="00E25215">
        <w:rPr>
          <w:rFonts w:cs="Times New Roman"/>
        </w:rPr>
        <w:t xml:space="preserve">, </w:t>
      </w:r>
      <w:r w:rsidRPr="00E25215">
        <w:rPr>
          <w:rFonts w:cs="Times New Roman"/>
          <w:i/>
          <w:iCs/>
        </w:rPr>
        <w:t>5</w:t>
      </w:r>
      <w:r w:rsidRPr="00E25215">
        <w:rPr>
          <w:rFonts w:cs="Times New Roman"/>
        </w:rPr>
        <w:t>(3), 171752. https://doi.org/10.1098/rsos.171752</w:t>
      </w:r>
    </w:p>
    <w:p w14:paraId="3BE1E5D9"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Febbraro, M. D., Menchetti, M., Russo, D., Ancillotto, L., Aloise, G., Roscioni, F., Preatoni, D. G., Loy, A., Martinoli, A., Bertolino, S., &amp; Mori, E. (2019). Integrating climate and land-use change scenarios in modelling the future spread of invasive squirrels in Italy. </w:t>
      </w:r>
      <w:r w:rsidRPr="00E25215">
        <w:rPr>
          <w:rFonts w:cs="Times New Roman"/>
          <w:i/>
          <w:iCs/>
        </w:rPr>
        <w:t>Diversity and Distributions</w:t>
      </w:r>
      <w:r w:rsidRPr="00E25215">
        <w:rPr>
          <w:rFonts w:cs="Times New Roman"/>
        </w:rPr>
        <w:t xml:space="preserve">, </w:t>
      </w:r>
      <w:r w:rsidRPr="00E25215">
        <w:rPr>
          <w:rFonts w:cs="Times New Roman"/>
          <w:i/>
          <w:iCs/>
        </w:rPr>
        <w:t>25</w:t>
      </w:r>
      <w:r w:rsidRPr="00E25215">
        <w:rPr>
          <w:rFonts w:cs="Times New Roman"/>
        </w:rPr>
        <w:t>(4), 644–659. https://doi.org/10.1111/ddi.12890</w:t>
      </w:r>
    </w:p>
    <w:p w14:paraId="643B931E"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Feehan, C., Scheibling, R. E., Brown, M. S., &amp; Thompson, K. R. (2016). Marine epizootics linked to storms: Mechanisms of pathogen introduction and persistence inferred from coupled </w:t>
      </w:r>
      <w:r w:rsidRPr="00E25215">
        <w:rPr>
          <w:rFonts w:cs="Times New Roman"/>
        </w:rPr>
        <w:lastRenderedPageBreak/>
        <w:t xml:space="preserve">physical and biological time-series. </w:t>
      </w:r>
      <w:r w:rsidRPr="00E25215">
        <w:rPr>
          <w:rFonts w:cs="Times New Roman"/>
          <w:i/>
          <w:iCs/>
        </w:rPr>
        <w:t>Limnology and Oceanography</w:t>
      </w:r>
      <w:r w:rsidRPr="00E25215">
        <w:rPr>
          <w:rFonts w:cs="Times New Roman"/>
        </w:rPr>
        <w:t xml:space="preserve">, </w:t>
      </w:r>
      <w:r w:rsidRPr="00E25215">
        <w:rPr>
          <w:rFonts w:cs="Times New Roman"/>
          <w:i/>
          <w:iCs/>
        </w:rPr>
        <w:t>61</w:t>
      </w:r>
      <w:r w:rsidRPr="00E25215">
        <w:rPr>
          <w:rFonts w:cs="Times New Roman"/>
        </w:rPr>
        <w:t>, 316–329. https://doi.org/10.1002/lno.10217</w:t>
      </w:r>
    </w:p>
    <w:p w14:paraId="5C87C535"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Feng, Y., Fouqueray, T. D., &amp; van Kleunen, M. (2019). Linking Darwin’s naturalisation hypothesis and Elton’s diversity-invasibility hypothesis in experimental grassland communities. </w:t>
      </w:r>
      <w:r w:rsidRPr="00E25215">
        <w:rPr>
          <w:rFonts w:cs="Times New Roman"/>
          <w:i/>
          <w:iCs/>
        </w:rPr>
        <w:t>Journal of Ecology</w:t>
      </w:r>
      <w:r w:rsidRPr="00E25215">
        <w:rPr>
          <w:rFonts w:cs="Times New Roman"/>
        </w:rPr>
        <w:t xml:space="preserve">, </w:t>
      </w:r>
      <w:r w:rsidRPr="00E25215">
        <w:rPr>
          <w:rFonts w:cs="Times New Roman"/>
          <w:i/>
          <w:iCs/>
        </w:rPr>
        <w:t>107</w:t>
      </w:r>
      <w:r w:rsidRPr="00E25215">
        <w:rPr>
          <w:rFonts w:cs="Times New Roman"/>
        </w:rPr>
        <w:t>(2), 794–805. https://doi.org/10.1111/1365-2745.13061</w:t>
      </w:r>
    </w:p>
    <w:p w14:paraId="5FA55DE4"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Fernandes, P., Antunes, C., Pinho, P., Máguas, C., &amp; Correia, O. (2016). Natural regeneration of </w:t>
      </w:r>
      <w:r w:rsidRPr="00E25215">
        <w:rPr>
          <w:rFonts w:cs="Times New Roman"/>
          <w:i/>
          <w:iCs/>
        </w:rPr>
        <w:t>Pinus pinaster</w:t>
      </w:r>
      <w:r w:rsidRPr="00E25215">
        <w:rPr>
          <w:rFonts w:cs="Times New Roman"/>
        </w:rPr>
        <w:t xml:space="preserve"> and </w:t>
      </w:r>
      <w:r w:rsidRPr="00E25215">
        <w:rPr>
          <w:rFonts w:cs="Times New Roman"/>
          <w:i/>
          <w:iCs/>
        </w:rPr>
        <w:t>Eucalyptus globulus</w:t>
      </w:r>
      <w:r w:rsidRPr="00E25215">
        <w:rPr>
          <w:rFonts w:cs="Times New Roman"/>
        </w:rPr>
        <w:t xml:space="preserve"> from plantation into adjacent natural habitats. </w:t>
      </w:r>
      <w:r w:rsidRPr="00E25215">
        <w:rPr>
          <w:rFonts w:cs="Times New Roman"/>
          <w:i/>
          <w:iCs/>
        </w:rPr>
        <w:t>Forest Ecology and Management</w:t>
      </w:r>
      <w:r w:rsidRPr="00E25215">
        <w:rPr>
          <w:rFonts w:cs="Times New Roman"/>
        </w:rPr>
        <w:t xml:space="preserve">, </w:t>
      </w:r>
      <w:r w:rsidRPr="00E25215">
        <w:rPr>
          <w:rFonts w:cs="Times New Roman"/>
          <w:i/>
          <w:iCs/>
        </w:rPr>
        <w:t>378</w:t>
      </w:r>
      <w:r w:rsidRPr="00E25215">
        <w:rPr>
          <w:rFonts w:cs="Times New Roman"/>
        </w:rPr>
        <w:t>, 91–102. https://doi.org/10.1016/j.foreco.2016.07.027</w:t>
      </w:r>
    </w:p>
    <w:p w14:paraId="660FD349"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Fèvre, E. M., Bronsvoort, B. M. de C., Hamilton, K. A., &amp; Cleaveland, S. (2006). Animal movements and the spread of infectious diseases. </w:t>
      </w:r>
      <w:r w:rsidRPr="00E25215">
        <w:rPr>
          <w:rFonts w:cs="Times New Roman"/>
          <w:i/>
          <w:iCs/>
        </w:rPr>
        <w:t>Trends in Microbiology</w:t>
      </w:r>
      <w:r w:rsidRPr="00E25215">
        <w:rPr>
          <w:rFonts w:cs="Times New Roman"/>
        </w:rPr>
        <w:t xml:space="preserve">, </w:t>
      </w:r>
      <w:r w:rsidRPr="00E25215">
        <w:rPr>
          <w:rFonts w:cs="Times New Roman"/>
          <w:i/>
          <w:iCs/>
        </w:rPr>
        <w:t>14</w:t>
      </w:r>
      <w:r w:rsidRPr="00E25215">
        <w:rPr>
          <w:rFonts w:cs="Times New Roman"/>
        </w:rPr>
        <w:t>(3), 125–131. https://doi.org/10.1016/j.tim.2006.01.004</w:t>
      </w:r>
    </w:p>
    <w:p w14:paraId="08298119"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Fisher, M. C., &amp; Garner, T. W. J. (2007). The relationship between the emergence of </w:t>
      </w:r>
      <w:r w:rsidRPr="00E25215">
        <w:rPr>
          <w:rFonts w:cs="Times New Roman"/>
          <w:i/>
          <w:iCs/>
        </w:rPr>
        <w:t>Batrachochytrium dendrobatidis</w:t>
      </w:r>
      <w:r w:rsidRPr="00E25215">
        <w:rPr>
          <w:rFonts w:cs="Times New Roman"/>
        </w:rPr>
        <w:t xml:space="preserve">, the international trade in amphibians and introduced amphibian species. </w:t>
      </w:r>
      <w:r w:rsidRPr="00E25215">
        <w:rPr>
          <w:rFonts w:cs="Times New Roman"/>
          <w:i/>
          <w:iCs/>
        </w:rPr>
        <w:t>Fungal Biology Reviews</w:t>
      </w:r>
      <w:r w:rsidRPr="00E25215">
        <w:rPr>
          <w:rFonts w:cs="Times New Roman"/>
        </w:rPr>
        <w:t xml:space="preserve">, </w:t>
      </w:r>
      <w:r w:rsidRPr="00E25215">
        <w:rPr>
          <w:rFonts w:cs="Times New Roman"/>
          <w:i/>
          <w:iCs/>
        </w:rPr>
        <w:t>21</w:t>
      </w:r>
      <w:r w:rsidRPr="00E25215">
        <w:rPr>
          <w:rFonts w:cs="Times New Roman"/>
        </w:rPr>
        <w:t>(1), 2–9. https://doi.org/10.1016/j.fbr.2007.02.002</w:t>
      </w:r>
    </w:p>
    <w:p w14:paraId="3B4A4CF0"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Fisher, M. C., &amp; Garner, T. W. J. (2020). Chytrid fungi and global amphibian declines. </w:t>
      </w:r>
      <w:r w:rsidRPr="00E25215">
        <w:rPr>
          <w:rFonts w:cs="Times New Roman"/>
          <w:i/>
          <w:iCs/>
        </w:rPr>
        <w:t>Nature Reviews Microbiology</w:t>
      </w:r>
      <w:r w:rsidRPr="00E25215">
        <w:rPr>
          <w:rFonts w:cs="Times New Roman"/>
        </w:rPr>
        <w:t xml:space="preserve">, </w:t>
      </w:r>
      <w:r w:rsidRPr="00E25215">
        <w:rPr>
          <w:rFonts w:cs="Times New Roman"/>
          <w:i/>
          <w:iCs/>
        </w:rPr>
        <w:t>18</w:t>
      </w:r>
      <w:r w:rsidRPr="00E25215">
        <w:rPr>
          <w:rFonts w:cs="Times New Roman"/>
        </w:rPr>
        <w:t>(6), 332–343. https://doi.org/10.1038/s41579-020-0335-x</w:t>
      </w:r>
    </w:p>
    <w:p w14:paraId="2C765726"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Floc’h, J. Y., Pajot, R., &amp; Wallentinus, I. (1991). The Japanese brown alga </w:t>
      </w:r>
      <w:r w:rsidRPr="00E25215">
        <w:rPr>
          <w:rFonts w:cs="Times New Roman"/>
          <w:i/>
          <w:iCs/>
        </w:rPr>
        <w:t>Undaria pinnatifida</w:t>
      </w:r>
      <w:r w:rsidRPr="00E25215">
        <w:rPr>
          <w:rFonts w:cs="Times New Roman"/>
        </w:rPr>
        <w:t xml:space="preserve"> on the coast of France and its possible establishment in European waters. </w:t>
      </w:r>
      <w:r w:rsidRPr="00E25215">
        <w:rPr>
          <w:rFonts w:cs="Times New Roman"/>
          <w:i/>
          <w:iCs/>
        </w:rPr>
        <w:t>ICES Journal of Marine Science</w:t>
      </w:r>
      <w:r w:rsidRPr="00E25215">
        <w:rPr>
          <w:rFonts w:cs="Times New Roman"/>
        </w:rPr>
        <w:t xml:space="preserve">, </w:t>
      </w:r>
      <w:r w:rsidRPr="00E25215">
        <w:rPr>
          <w:rFonts w:cs="Times New Roman"/>
          <w:i/>
          <w:iCs/>
        </w:rPr>
        <w:t>47</w:t>
      </w:r>
      <w:r w:rsidRPr="00E25215">
        <w:rPr>
          <w:rFonts w:cs="Times New Roman"/>
        </w:rPr>
        <w:t>(3), 379–390. https://doi.org/10.1093/icesjms/47.3.379</w:t>
      </w:r>
    </w:p>
    <w:p w14:paraId="52FA1CFA"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Fløjgaard, C., Morueta-Holme, N., Skov, F., Madsen, A. B., &amp; Svenning, J.-C. (2009). Potential 21st century changes to the mammal fauna of Denmark – implications of climate change, land-use, and invasive species. </w:t>
      </w:r>
      <w:r w:rsidRPr="00E25215">
        <w:rPr>
          <w:rFonts w:cs="Times New Roman"/>
          <w:i/>
          <w:iCs/>
        </w:rPr>
        <w:t>IOP Conference Series: Earth and Environmental Science</w:t>
      </w:r>
      <w:r w:rsidRPr="00E25215">
        <w:rPr>
          <w:rFonts w:cs="Times New Roman"/>
        </w:rPr>
        <w:t xml:space="preserve">, </w:t>
      </w:r>
      <w:r w:rsidRPr="00E25215">
        <w:rPr>
          <w:rFonts w:cs="Times New Roman"/>
          <w:i/>
          <w:iCs/>
        </w:rPr>
        <w:t>8</w:t>
      </w:r>
      <w:r w:rsidRPr="00E25215">
        <w:rPr>
          <w:rFonts w:cs="Times New Roman"/>
        </w:rPr>
        <w:t>, 012016. https://doi.org/10.1088/1755-1315/8/1/012016</w:t>
      </w:r>
    </w:p>
    <w:p w14:paraId="60368A4B"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Flory, S. L., Lorentz, K. A., Gordon, D. R., &amp; Sollenberger, L. E. (2012). Experimental approaches for evaluating the invasion risk of biofuel crops. </w:t>
      </w:r>
      <w:r w:rsidRPr="00E25215">
        <w:rPr>
          <w:rFonts w:cs="Times New Roman"/>
          <w:i/>
          <w:iCs/>
        </w:rPr>
        <w:t>Environmental Research Letters</w:t>
      </w:r>
      <w:r w:rsidRPr="00E25215">
        <w:rPr>
          <w:rFonts w:cs="Times New Roman"/>
        </w:rPr>
        <w:t xml:space="preserve">, </w:t>
      </w:r>
      <w:r w:rsidRPr="00E25215">
        <w:rPr>
          <w:rFonts w:cs="Times New Roman"/>
          <w:i/>
          <w:iCs/>
        </w:rPr>
        <w:t>7</w:t>
      </w:r>
      <w:r w:rsidRPr="00E25215">
        <w:rPr>
          <w:rFonts w:cs="Times New Roman"/>
        </w:rPr>
        <w:t>(4), 045904. https://doi.org/10.1088/1748-9326/7/4/045904</w:t>
      </w:r>
    </w:p>
    <w:p w14:paraId="27645988" w14:textId="77777777" w:rsidR="001379C0" w:rsidRPr="00E25215" w:rsidRDefault="001379C0" w:rsidP="009B3E7F">
      <w:pPr>
        <w:pStyle w:val="Bibliography"/>
        <w:spacing w:before="0" w:after="0" w:line="240" w:lineRule="auto"/>
        <w:rPr>
          <w:rFonts w:cs="Times New Roman"/>
        </w:rPr>
      </w:pPr>
      <w:r w:rsidRPr="00E25215">
        <w:rPr>
          <w:rFonts w:cs="Times New Roman"/>
        </w:rPr>
        <w:t>Fobert, E., Fox, M. G., Ridgway, M., &amp; Copp, G. H. (2011). Heated competition: How climate change will affect non</w:t>
      </w:r>
      <w:r w:rsidRPr="00E25215">
        <w:rPr>
          <w:rFonts w:cs="Times New Roman" w:hint="eastAsia"/>
        </w:rPr>
        <w:t>‐</w:t>
      </w:r>
      <w:r w:rsidRPr="00E25215">
        <w:rPr>
          <w:rFonts w:cs="Times New Roman"/>
        </w:rPr>
        <w:t xml:space="preserve">native pumpkinseed </w:t>
      </w:r>
      <w:r w:rsidRPr="00E25215">
        <w:rPr>
          <w:rFonts w:cs="Times New Roman"/>
          <w:i/>
          <w:iCs/>
        </w:rPr>
        <w:t>Lepomis gibbosus</w:t>
      </w:r>
      <w:r w:rsidRPr="00E25215">
        <w:rPr>
          <w:rFonts w:cs="Times New Roman"/>
        </w:rPr>
        <w:t xml:space="preserve"> and native perch </w:t>
      </w:r>
      <w:r w:rsidRPr="00E25215">
        <w:rPr>
          <w:rFonts w:cs="Times New Roman"/>
          <w:i/>
          <w:iCs/>
        </w:rPr>
        <w:t>Perca fluviatilis</w:t>
      </w:r>
      <w:r w:rsidRPr="00E25215">
        <w:rPr>
          <w:rFonts w:cs="Times New Roman"/>
        </w:rPr>
        <w:t xml:space="preserve"> interactions in the UK. </w:t>
      </w:r>
      <w:r w:rsidRPr="00E25215">
        <w:rPr>
          <w:rFonts w:cs="Times New Roman"/>
          <w:i/>
          <w:iCs/>
        </w:rPr>
        <w:t>Journal of Fish Biology</w:t>
      </w:r>
      <w:r w:rsidRPr="00E25215">
        <w:rPr>
          <w:rFonts w:cs="Times New Roman"/>
        </w:rPr>
        <w:t xml:space="preserve">, </w:t>
      </w:r>
      <w:r w:rsidRPr="00E25215">
        <w:rPr>
          <w:rFonts w:cs="Times New Roman"/>
          <w:i/>
          <w:iCs/>
        </w:rPr>
        <w:t>79</w:t>
      </w:r>
      <w:r w:rsidRPr="00E25215">
        <w:rPr>
          <w:rFonts w:cs="Times New Roman"/>
        </w:rPr>
        <w:t>(6), 1592–1607.</w:t>
      </w:r>
    </w:p>
    <w:p w14:paraId="4FCB7AAA" w14:textId="77777777" w:rsidR="001379C0" w:rsidRPr="00E25215" w:rsidRDefault="001379C0" w:rsidP="009B3E7F">
      <w:pPr>
        <w:pStyle w:val="Bibliography"/>
        <w:spacing w:before="0" w:after="0" w:line="240" w:lineRule="auto"/>
        <w:rPr>
          <w:rFonts w:cs="Times New Roman"/>
        </w:rPr>
      </w:pPr>
      <w:r w:rsidRPr="00E25215">
        <w:rPr>
          <w:rFonts w:cs="Times New Roman"/>
        </w:rPr>
        <w:t>Fonseca, É., Both, C., &amp; Cechin, S. Z. (2019). Introduction pathways and socio</w:t>
      </w:r>
      <w:r w:rsidRPr="00E25215">
        <w:rPr>
          <w:rFonts w:cs="Times New Roman" w:hint="eastAsia"/>
        </w:rPr>
        <w:t>‐</w:t>
      </w:r>
      <w:r w:rsidRPr="00E25215">
        <w:rPr>
          <w:rFonts w:cs="Times New Roman"/>
        </w:rPr>
        <w:t xml:space="preserve">economic variables drive the distribution of alien amphibians and reptiles in a megadiverse country. </w:t>
      </w:r>
      <w:r w:rsidRPr="00E25215">
        <w:rPr>
          <w:rFonts w:cs="Times New Roman"/>
          <w:i/>
          <w:iCs/>
        </w:rPr>
        <w:t>Diversity and Distributions</w:t>
      </w:r>
      <w:r w:rsidRPr="00E25215">
        <w:rPr>
          <w:rFonts w:cs="Times New Roman"/>
        </w:rPr>
        <w:t xml:space="preserve">, </w:t>
      </w:r>
      <w:r w:rsidRPr="00E25215">
        <w:rPr>
          <w:rFonts w:cs="Times New Roman"/>
          <w:i/>
          <w:iCs/>
        </w:rPr>
        <w:t>25</w:t>
      </w:r>
      <w:r w:rsidRPr="00E25215">
        <w:rPr>
          <w:rFonts w:cs="Times New Roman"/>
        </w:rPr>
        <w:t>(7), 1130–1141. https://doi.org/10.1111/ddi.12920</w:t>
      </w:r>
    </w:p>
    <w:p w14:paraId="4C2DB7CE"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Fontúrbel, F. E. (2020). Mistletoes in a changing world: A premonition of a non-analog future? </w:t>
      </w:r>
      <w:r w:rsidRPr="00E25215">
        <w:rPr>
          <w:rFonts w:cs="Times New Roman"/>
          <w:i/>
          <w:iCs/>
        </w:rPr>
        <w:t>Botany</w:t>
      </w:r>
      <w:r w:rsidRPr="00E25215">
        <w:rPr>
          <w:rFonts w:cs="Times New Roman"/>
        </w:rPr>
        <w:t xml:space="preserve">, </w:t>
      </w:r>
      <w:r w:rsidRPr="00E25215">
        <w:rPr>
          <w:rFonts w:cs="Times New Roman"/>
          <w:i/>
          <w:iCs/>
        </w:rPr>
        <w:t>98</w:t>
      </w:r>
      <w:r w:rsidRPr="00E25215">
        <w:rPr>
          <w:rFonts w:cs="Times New Roman"/>
        </w:rPr>
        <w:t>(9), 479–488. https://doi.org/10.1139/cjb-2019-0195</w:t>
      </w:r>
    </w:p>
    <w:p w14:paraId="10F130D5" w14:textId="77777777" w:rsidR="001379C0" w:rsidRPr="00E25215" w:rsidRDefault="001379C0" w:rsidP="009B3E7F">
      <w:pPr>
        <w:pStyle w:val="Bibliography"/>
        <w:spacing w:before="0" w:after="0" w:line="240" w:lineRule="auto"/>
        <w:rPr>
          <w:rFonts w:cs="Times New Roman"/>
        </w:rPr>
      </w:pPr>
      <w:r w:rsidRPr="00E25215">
        <w:rPr>
          <w:rFonts w:cs="Times New Roman"/>
        </w:rPr>
        <w:t>Forseth, I. N., &amp; Innis, A. F. (2004). Kudzu (</w:t>
      </w:r>
      <w:r w:rsidRPr="00E25215">
        <w:rPr>
          <w:rFonts w:cs="Times New Roman"/>
          <w:i/>
          <w:iCs/>
        </w:rPr>
        <w:t>Pueraria montana</w:t>
      </w:r>
      <w:r w:rsidRPr="00E25215">
        <w:rPr>
          <w:rFonts w:cs="Times New Roman"/>
        </w:rPr>
        <w:t xml:space="preserve">): History, physiology, and ecology combine to make a major ecosystem threat. </w:t>
      </w:r>
      <w:r w:rsidRPr="00E25215">
        <w:rPr>
          <w:rFonts w:cs="Times New Roman"/>
          <w:i/>
          <w:iCs/>
        </w:rPr>
        <w:t>Critical Reviews in Plant Sciences</w:t>
      </w:r>
      <w:r w:rsidRPr="00E25215">
        <w:rPr>
          <w:rFonts w:cs="Times New Roman"/>
        </w:rPr>
        <w:t xml:space="preserve">, </w:t>
      </w:r>
      <w:r w:rsidRPr="00E25215">
        <w:rPr>
          <w:rFonts w:cs="Times New Roman"/>
          <w:i/>
          <w:iCs/>
        </w:rPr>
        <w:t>23</w:t>
      </w:r>
      <w:r w:rsidRPr="00E25215">
        <w:rPr>
          <w:rFonts w:cs="Times New Roman"/>
        </w:rPr>
        <w:t>(5), 401–413. https://doi.org/10.1080/07352680490505150</w:t>
      </w:r>
    </w:p>
    <w:p w14:paraId="0FEB0A70"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Forsyth, G. G., Richardson, D. M., Brown, P. J., &amp; van Wilgen, B. W. (2004). A rapid assessment of the invasive status of </w:t>
      </w:r>
      <w:r w:rsidRPr="00E25215">
        <w:rPr>
          <w:rFonts w:cs="Times New Roman"/>
          <w:i/>
          <w:iCs/>
        </w:rPr>
        <w:t>Eucalyptus</w:t>
      </w:r>
      <w:r w:rsidRPr="00E25215">
        <w:rPr>
          <w:rFonts w:cs="Times New Roman"/>
        </w:rPr>
        <w:t xml:space="preserve"> species in two South African provinces. </w:t>
      </w:r>
      <w:r w:rsidRPr="00E25215">
        <w:rPr>
          <w:rFonts w:cs="Times New Roman"/>
          <w:i/>
          <w:iCs/>
        </w:rPr>
        <w:t>South African Journal of Science</w:t>
      </w:r>
      <w:r w:rsidRPr="00E25215">
        <w:rPr>
          <w:rFonts w:cs="Times New Roman"/>
        </w:rPr>
        <w:t>. https://open.uct.ac.za/handle/11427/24328</w:t>
      </w:r>
    </w:p>
    <w:p w14:paraId="46FC20DC"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Fosberg F.R. (1957). The naturalised flora of Micronesia and World War II. </w:t>
      </w:r>
      <w:r w:rsidRPr="00E25215">
        <w:rPr>
          <w:rFonts w:cs="Times New Roman"/>
          <w:i/>
          <w:iCs/>
        </w:rPr>
        <w:t>Proceedings of the 8th Pacific Science Congress</w:t>
      </w:r>
      <w:r w:rsidRPr="00E25215">
        <w:rPr>
          <w:rFonts w:cs="Times New Roman"/>
        </w:rPr>
        <w:t xml:space="preserve">, </w:t>
      </w:r>
      <w:r w:rsidRPr="00E25215">
        <w:rPr>
          <w:rFonts w:cs="Times New Roman"/>
          <w:i/>
          <w:iCs/>
        </w:rPr>
        <w:t>4</w:t>
      </w:r>
      <w:r w:rsidRPr="00E25215">
        <w:rPr>
          <w:rFonts w:cs="Times New Roman"/>
        </w:rPr>
        <w:t>, 229–234.</w:t>
      </w:r>
    </w:p>
    <w:p w14:paraId="51857E46" w14:textId="77777777" w:rsidR="001379C0" w:rsidRPr="00E25215" w:rsidRDefault="001379C0" w:rsidP="009B3E7F">
      <w:pPr>
        <w:pStyle w:val="Bibliography"/>
        <w:spacing w:before="0" w:after="0" w:line="240" w:lineRule="auto"/>
        <w:rPr>
          <w:rFonts w:cs="Times New Roman"/>
        </w:rPr>
      </w:pPr>
      <w:r w:rsidRPr="00E25215">
        <w:rPr>
          <w:rFonts w:cs="Times New Roman"/>
        </w:rPr>
        <w:t>Fowler, A. C., Eadie, J. M., &amp; Engilis, A. (2009). Identification of endangered Hawaiian ducks (</w:t>
      </w:r>
      <w:r w:rsidRPr="00E25215">
        <w:rPr>
          <w:rFonts w:cs="Times New Roman"/>
          <w:i/>
          <w:iCs/>
        </w:rPr>
        <w:t>Anas wyvilliana</w:t>
      </w:r>
      <w:r w:rsidRPr="00E25215">
        <w:rPr>
          <w:rFonts w:cs="Times New Roman"/>
        </w:rPr>
        <w:t>), introduced North American mallards (</w:t>
      </w:r>
      <w:r w:rsidRPr="00E25215">
        <w:rPr>
          <w:rFonts w:cs="Times New Roman"/>
          <w:i/>
          <w:iCs/>
        </w:rPr>
        <w:t>A. platyrhynchos</w:t>
      </w:r>
      <w:r w:rsidRPr="00E25215">
        <w:rPr>
          <w:rFonts w:cs="Times New Roman"/>
        </w:rPr>
        <w:t xml:space="preserve">) and their hybrids using multilocus genotypes. </w:t>
      </w:r>
      <w:r w:rsidRPr="00E25215">
        <w:rPr>
          <w:rFonts w:cs="Times New Roman"/>
          <w:i/>
          <w:iCs/>
        </w:rPr>
        <w:t>Conservation Genetics</w:t>
      </w:r>
      <w:r w:rsidRPr="00E25215">
        <w:rPr>
          <w:rFonts w:cs="Times New Roman"/>
        </w:rPr>
        <w:t xml:space="preserve">, </w:t>
      </w:r>
      <w:r w:rsidRPr="00E25215">
        <w:rPr>
          <w:rFonts w:cs="Times New Roman"/>
          <w:i/>
          <w:iCs/>
        </w:rPr>
        <w:t>10</w:t>
      </w:r>
      <w:r w:rsidRPr="00E25215">
        <w:rPr>
          <w:rFonts w:cs="Times New Roman"/>
        </w:rPr>
        <w:t>(6), 1747. https://doi.org/10.1007/s10592-008-9778-8</w:t>
      </w:r>
    </w:p>
    <w:p w14:paraId="094A21EB"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Fowles, A. E., Edgar, G. J., Stuart-Smith, R. D., Kirkpatrick, J. B., Hill, N., Thomson, R. J., &amp; Strain, E. M. A. (2018). Effects of Pollution From Anthropogenic Point Sources on the Recruitment of Sessile Estuarine Reef Biota. </w:t>
      </w:r>
      <w:r w:rsidRPr="00E25215">
        <w:rPr>
          <w:rFonts w:cs="Times New Roman"/>
          <w:i/>
          <w:iCs/>
        </w:rPr>
        <w:t>Frontiers in Marine Science</w:t>
      </w:r>
      <w:r w:rsidRPr="00E25215">
        <w:rPr>
          <w:rFonts w:cs="Times New Roman"/>
        </w:rPr>
        <w:t xml:space="preserve">, </w:t>
      </w:r>
      <w:r w:rsidRPr="00E25215">
        <w:rPr>
          <w:rFonts w:cs="Times New Roman"/>
          <w:i/>
          <w:iCs/>
        </w:rPr>
        <w:t>5</w:t>
      </w:r>
      <w:r w:rsidRPr="00E25215">
        <w:rPr>
          <w:rFonts w:cs="Times New Roman"/>
        </w:rPr>
        <w:t>, 417. https://doi.org/10.3389/fmars.2018.00417</w:t>
      </w:r>
    </w:p>
    <w:p w14:paraId="7C03E9B7" w14:textId="77777777" w:rsidR="001379C0" w:rsidRPr="00E25215" w:rsidRDefault="001379C0" w:rsidP="009B3E7F">
      <w:pPr>
        <w:pStyle w:val="Bibliography"/>
        <w:spacing w:before="0" w:after="0" w:line="240" w:lineRule="auto"/>
        <w:rPr>
          <w:rFonts w:cs="Times New Roman"/>
        </w:rPr>
      </w:pPr>
      <w:r w:rsidRPr="00E25215">
        <w:rPr>
          <w:rFonts w:cs="Times New Roman"/>
        </w:rPr>
        <w:lastRenderedPageBreak/>
        <w:t xml:space="preserve">Foxcroft, L. C., Richardson, D. M., &amp; Wilson, J. R. U. (2008). Ornamental Plants as Invasive Aliens: Problems and Solutions in Kruger National Park, South Africa. </w:t>
      </w:r>
      <w:r w:rsidRPr="00E25215">
        <w:rPr>
          <w:rFonts w:cs="Times New Roman"/>
          <w:i/>
          <w:iCs/>
        </w:rPr>
        <w:t>Environmental Management</w:t>
      </w:r>
      <w:r w:rsidRPr="00E25215">
        <w:rPr>
          <w:rFonts w:cs="Times New Roman"/>
        </w:rPr>
        <w:t xml:space="preserve">, </w:t>
      </w:r>
      <w:r w:rsidRPr="00E25215">
        <w:rPr>
          <w:rFonts w:cs="Times New Roman"/>
          <w:i/>
          <w:iCs/>
        </w:rPr>
        <w:t>41</w:t>
      </w:r>
      <w:r w:rsidRPr="00E25215">
        <w:rPr>
          <w:rFonts w:cs="Times New Roman"/>
        </w:rPr>
        <w:t>(1), 32–51. https://doi.org/10.1007/s00267-007-9027-9</w:t>
      </w:r>
    </w:p>
    <w:p w14:paraId="3D2A1E45"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Franklin, J. A., Zipper, C. E., Burger, J. A., Skousen, J. G., &amp; Jacobs, D. F. (2012). Influence of herbaceous ground cover on forest restoration of eastern US coal surface mines. </w:t>
      </w:r>
      <w:r w:rsidRPr="00E25215">
        <w:rPr>
          <w:rFonts w:cs="Times New Roman"/>
          <w:i/>
          <w:iCs/>
        </w:rPr>
        <w:t>New Forests</w:t>
      </w:r>
      <w:r w:rsidRPr="00E25215">
        <w:rPr>
          <w:rFonts w:cs="Times New Roman"/>
        </w:rPr>
        <w:t xml:space="preserve">, </w:t>
      </w:r>
      <w:r w:rsidRPr="00E25215">
        <w:rPr>
          <w:rFonts w:cs="Times New Roman"/>
          <w:i/>
          <w:iCs/>
        </w:rPr>
        <w:t>43</w:t>
      </w:r>
      <w:r w:rsidRPr="00E25215">
        <w:rPr>
          <w:rFonts w:cs="Times New Roman"/>
        </w:rPr>
        <w:t>(5), 905–924. https://doi.org/10.1007/s11056-012-9342-8</w:t>
      </w:r>
    </w:p>
    <w:p w14:paraId="13D82299"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Franzese, J., &amp; Raffaele, E. (2017). Fire as a driver of pine invasions in the Southern Hemisphere: A review. </w:t>
      </w:r>
      <w:r w:rsidRPr="00E25215">
        <w:rPr>
          <w:rFonts w:cs="Times New Roman"/>
          <w:i/>
          <w:iCs/>
        </w:rPr>
        <w:t>Biological Invasions</w:t>
      </w:r>
      <w:r w:rsidRPr="00E25215">
        <w:rPr>
          <w:rFonts w:cs="Times New Roman"/>
        </w:rPr>
        <w:t xml:space="preserve">, </w:t>
      </w:r>
      <w:r w:rsidRPr="00E25215">
        <w:rPr>
          <w:rFonts w:cs="Times New Roman"/>
          <w:i/>
          <w:iCs/>
        </w:rPr>
        <w:t>19</w:t>
      </w:r>
      <w:r w:rsidRPr="00E25215">
        <w:rPr>
          <w:rFonts w:cs="Times New Roman"/>
        </w:rPr>
        <w:t>(8), Article 8. https://doi.org/10.1007/s10530-017-1435-z</w:t>
      </w:r>
    </w:p>
    <w:p w14:paraId="65B3FFC7"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Fraser, C. I., Dutoit, L., Morrison, A. K., Pardo, L. M., Smith, S. D. A., Pearman, W. S., Parvizi, E., Waters, J., &amp; Macaya, E. C. (2022). Southern Hemisphere coasts are biologically connected by frequent, long-distance rafting events. </w:t>
      </w:r>
      <w:r w:rsidRPr="00E25215">
        <w:rPr>
          <w:rFonts w:cs="Times New Roman"/>
          <w:i/>
          <w:iCs/>
        </w:rPr>
        <w:t>Current Biology</w:t>
      </w:r>
      <w:r w:rsidRPr="00E25215">
        <w:rPr>
          <w:rFonts w:cs="Times New Roman"/>
        </w:rPr>
        <w:t xml:space="preserve">, </w:t>
      </w:r>
      <w:r w:rsidRPr="00E25215">
        <w:rPr>
          <w:rFonts w:cs="Times New Roman"/>
          <w:i/>
          <w:iCs/>
        </w:rPr>
        <w:t>32</w:t>
      </w:r>
      <w:r w:rsidRPr="00E25215">
        <w:rPr>
          <w:rFonts w:cs="Times New Roman"/>
        </w:rPr>
        <w:t>(14), 3154-3160.e3. https://doi.org/10.1016/j.cub.2022.05.035</w:t>
      </w:r>
    </w:p>
    <w:p w14:paraId="456857F9"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Fraser, C. I., Morrison, A. K., McC Hogg, A., Macaya, E. C., Sebille, E. van, Ryan, P. G., Padovan, A., Jack, C., Validivia, N., &amp; Waters, J. M. (2018). Antarctica’s ecological isolation will be broken by storm-driven dispersal and warming. </w:t>
      </w:r>
      <w:r w:rsidRPr="00E25215">
        <w:rPr>
          <w:rFonts w:cs="Times New Roman"/>
          <w:i/>
          <w:iCs/>
        </w:rPr>
        <w:t>Nature Climate Change</w:t>
      </w:r>
      <w:r w:rsidRPr="00E25215">
        <w:rPr>
          <w:rFonts w:cs="Times New Roman"/>
        </w:rPr>
        <w:t xml:space="preserve">, </w:t>
      </w:r>
      <w:r w:rsidRPr="00E25215">
        <w:rPr>
          <w:rFonts w:cs="Times New Roman"/>
          <w:i/>
          <w:iCs/>
        </w:rPr>
        <w:t>8</w:t>
      </w:r>
      <w:r w:rsidRPr="00E25215">
        <w:rPr>
          <w:rFonts w:cs="Times New Roman"/>
        </w:rPr>
        <w:t>(8), 704–708. https://doi.org/10.1038/s41558-018-0209-7</w:t>
      </w:r>
    </w:p>
    <w:p w14:paraId="4F03CDC3"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Fraser, E. J., Harrington, L. A., Macdonald, D. W., &amp; Lambin, X. (2017). Control of an invasive species: The American mink in Great Britain. In </w:t>
      </w:r>
      <w:r w:rsidRPr="00E25215">
        <w:rPr>
          <w:rFonts w:cs="Times New Roman"/>
          <w:i/>
          <w:iCs/>
        </w:rPr>
        <w:t>Biology and Conservation of Musteloids</w:t>
      </w:r>
      <w:r w:rsidRPr="00E25215">
        <w:rPr>
          <w:rFonts w:cs="Times New Roman"/>
        </w:rPr>
        <w:t>. Oxford University Press. https://doi.org/10.1093/oso/9780198759805.003.0016</w:t>
      </w:r>
    </w:p>
    <w:p w14:paraId="5FF997AA"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Freifeld, H. B., Plentovich, S., Farmer, C., Kohley, C. R., Luscomb, P., Work, T. M., Tsukayama, D., Wallace, G. E., MacDonald, M. A., &amp; Conant, S. (2016). Long-distance translocations to create a second millerbird population and reduce extinction risk. </w:t>
      </w:r>
      <w:r w:rsidRPr="00E25215">
        <w:rPr>
          <w:rFonts w:cs="Times New Roman"/>
          <w:i/>
          <w:iCs/>
        </w:rPr>
        <w:t>Biological Conservation</w:t>
      </w:r>
      <w:r w:rsidRPr="00E25215">
        <w:rPr>
          <w:rFonts w:cs="Times New Roman"/>
        </w:rPr>
        <w:t xml:space="preserve">, </w:t>
      </w:r>
      <w:r w:rsidRPr="00E25215">
        <w:rPr>
          <w:rFonts w:cs="Times New Roman"/>
          <w:i/>
          <w:iCs/>
        </w:rPr>
        <w:t>199</w:t>
      </w:r>
      <w:r w:rsidRPr="00E25215">
        <w:rPr>
          <w:rFonts w:cs="Times New Roman"/>
        </w:rPr>
        <w:t>, 146–156. https://doi.org/10.1016/j.biocon.2016.05.006</w:t>
      </w:r>
    </w:p>
    <w:p w14:paraId="053C4F32"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Frerichs, R. R., Keim, P. S., Barrais, R., &amp; Piarroux, R. (2012). Nepalese origin of cholera epidemic in Haiti. </w:t>
      </w:r>
      <w:r w:rsidRPr="00E25215">
        <w:rPr>
          <w:rFonts w:cs="Times New Roman"/>
          <w:i/>
          <w:iCs/>
        </w:rPr>
        <w:t>Clinical Microbiology and Infection</w:t>
      </w:r>
      <w:r w:rsidRPr="00E25215">
        <w:rPr>
          <w:rFonts w:cs="Times New Roman"/>
        </w:rPr>
        <w:t xml:space="preserve">, </w:t>
      </w:r>
      <w:r w:rsidRPr="00E25215">
        <w:rPr>
          <w:rFonts w:cs="Times New Roman"/>
          <w:i/>
          <w:iCs/>
        </w:rPr>
        <w:t>18</w:t>
      </w:r>
      <w:r w:rsidRPr="00E25215">
        <w:rPr>
          <w:rFonts w:cs="Times New Roman"/>
        </w:rPr>
        <w:t>(6), E158–E163. https://doi.org/10.1111/j.1469-0691.2012.03841.x</w:t>
      </w:r>
    </w:p>
    <w:p w14:paraId="75B6DCFF"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Froud-Williams, R. J. (1996). Weeds and climate change: Implications for their ecology and control. </w:t>
      </w:r>
      <w:r w:rsidRPr="00E25215">
        <w:rPr>
          <w:rFonts w:cs="Times New Roman"/>
          <w:i/>
          <w:iCs/>
        </w:rPr>
        <w:t>Aspects of Applied Biology (United Kingdom)</w:t>
      </w:r>
      <w:r w:rsidRPr="00E25215">
        <w:rPr>
          <w:rFonts w:cs="Times New Roman"/>
        </w:rPr>
        <w:t>. https://agris.fao.org/agris-search/search.do?recordID=GB9629078</w:t>
      </w:r>
    </w:p>
    <w:p w14:paraId="03490672"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Fuentes-Lillo, E., Cuba-Díaz, M., Troncoso-Castro, J. M., &amp; Rondanelli-Reyes, M. (2017). Seeds of non-native species in King George Island soil. </w:t>
      </w:r>
      <w:r w:rsidRPr="00E25215">
        <w:rPr>
          <w:rFonts w:cs="Times New Roman"/>
          <w:i/>
          <w:iCs/>
        </w:rPr>
        <w:t>Antarctic Science</w:t>
      </w:r>
      <w:r w:rsidRPr="00E25215">
        <w:rPr>
          <w:rFonts w:cs="Times New Roman"/>
        </w:rPr>
        <w:t xml:space="preserve">, </w:t>
      </w:r>
      <w:r w:rsidRPr="00E25215">
        <w:rPr>
          <w:rFonts w:cs="Times New Roman"/>
          <w:i/>
          <w:iCs/>
        </w:rPr>
        <w:t>29</w:t>
      </w:r>
      <w:r w:rsidRPr="00E25215">
        <w:rPr>
          <w:rFonts w:cs="Times New Roman"/>
        </w:rPr>
        <w:t>(4), Article 4. https://doi.org/10.1017/S0954102017000037</w:t>
      </w:r>
    </w:p>
    <w:p w14:paraId="2388F4CB"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Fulgione, D., Rippa, D., Buglione, M., Trapanese, M., Petrelli, S., &amp; Maselli, V. (2016). Unexpected but welcome. Artificially selected traits may increase fitness in wild boar. </w:t>
      </w:r>
      <w:r w:rsidRPr="00E25215">
        <w:rPr>
          <w:rFonts w:cs="Times New Roman"/>
          <w:i/>
          <w:iCs/>
        </w:rPr>
        <w:t>Evolutionary Applications</w:t>
      </w:r>
      <w:r w:rsidRPr="00E25215">
        <w:rPr>
          <w:rFonts w:cs="Times New Roman"/>
        </w:rPr>
        <w:t xml:space="preserve">, </w:t>
      </w:r>
      <w:r w:rsidRPr="00E25215">
        <w:rPr>
          <w:rFonts w:cs="Times New Roman"/>
          <w:i/>
          <w:iCs/>
        </w:rPr>
        <w:t>9</w:t>
      </w:r>
      <w:r w:rsidRPr="00E25215">
        <w:rPr>
          <w:rFonts w:cs="Times New Roman"/>
        </w:rPr>
        <w:t>(6), 769–776. https://doi.org/10.1111/eva.12383</w:t>
      </w:r>
    </w:p>
    <w:p w14:paraId="5823DE1F"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Furumo, R., &amp; Aide, M. (2017). Characterizing commercial oil palm expansion in Latin America: Land use change and trade. </w:t>
      </w:r>
      <w:r w:rsidRPr="00E25215">
        <w:rPr>
          <w:rFonts w:cs="Times New Roman"/>
          <w:i/>
          <w:iCs/>
        </w:rPr>
        <w:t>Environmental Research Letters</w:t>
      </w:r>
      <w:r w:rsidRPr="00E25215">
        <w:rPr>
          <w:rFonts w:cs="Times New Roman"/>
        </w:rPr>
        <w:t xml:space="preserve">, </w:t>
      </w:r>
      <w:r w:rsidRPr="00E25215">
        <w:rPr>
          <w:rFonts w:cs="Times New Roman"/>
          <w:i/>
          <w:iCs/>
        </w:rPr>
        <w:t>12</w:t>
      </w:r>
      <w:r w:rsidRPr="00E25215">
        <w:rPr>
          <w:rFonts w:cs="Times New Roman"/>
        </w:rPr>
        <w:t>(2), 024008. https://doi.org/10.1088/1748-9326/aa5892</w:t>
      </w:r>
    </w:p>
    <w:p w14:paraId="730D3BF3"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Gaddum, M. (1999). </w:t>
      </w:r>
      <w:r w:rsidRPr="00E25215">
        <w:rPr>
          <w:rFonts w:cs="Times New Roman"/>
          <w:i/>
          <w:iCs/>
        </w:rPr>
        <w:t>Gaddum’s plant finder 2000 Where to buy 30,000 plants &amp; seeds</w:t>
      </w:r>
      <w:r w:rsidRPr="00E25215">
        <w:rPr>
          <w:rFonts w:cs="Times New Roman"/>
        </w:rPr>
        <w:t>. New Zealand Plant Finder.</w:t>
      </w:r>
    </w:p>
    <w:p w14:paraId="5DC1E0AC"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Gaertner, M., Biggs, R., Te Beest, M., Hui, C., Molofsky, J., &amp; Richardson, D. M. (2014). Invasive plants as drivers of regime shifts: Identifying high-priority invaders that alter feedback relationships. </w:t>
      </w:r>
      <w:r w:rsidRPr="00E25215">
        <w:rPr>
          <w:rFonts w:cs="Times New Roman"/>
          <w:i/>
          <w:iCs/>
        </w:rPr>
        <w:t>Diversity and Distributions</w:t>
      </w:r>
      <w:r w:rsidRPr="00E25215">
        <w:rPr>
          <w:rFonts w:cs="Times New Roman"/>
        </w:rPr>
        <w:t xml:space="preserve">, </w:t>
      </w:r>
      <w:r w:rsidRPr="00E25215">
        <w:rPr>
          <w:rFonts w:cs="Times New Roman"/>
          <w:i/>
          <w:iCs/>
        </w:rPr>
        <w:t>20</w:t>
      </w:r>
      <w:r w:rsidRPr="00E25215">
        <w:rPr>
          <w:rFonts w:cs="Times New Roman"/>
        </w:rPr>
        <w:t>(7), 733–744. https://doi.org/10.1111/ddi.12182</w:t>
      </w:r>
    </w:p>
    <w:p w14:paraId="71D50903"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Galil, B. S. (2006). The Marine Caravan – The Suez Canal and the Erythrean Invasion. In S. Gollasch, B. S. Galil, &amp; A. N. Cohen (Eds.), </w:t>
      </w:r>
      <w:r w:rsidRPr="00E25215">
        <w:rPr>
          <w:rFonts w:cs="Times New Roman"/>
          <w:i/>
          <w:iCs/>
        </w:rPr>
        <w:t>Bridging divides: Maritime canals as invasion corridors</w:t>
      </w:r>
      <w:r w:rsidRPr="00E25215">
        <w:rPr>
          <w:rFonts w:cs="Times New Roman"/>
        </w:rPr>
        <w:t xml:space="preserve"> (pp. 207–300). Springer Netherlands. https://doi.org/10.1007/978-1-4020-5047-3_6</w:t>
      </w:r>
    </w:p>
    <w:p w14:paraId="14C7B2D3"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Galil, B. S., Boero, F., Campbell, M. L., Carlton, J. T., Cook, E., Fraschetti, S., Gollasch, S., Hewitt, C. L., Jelmert, A., Macpherson, E., Marchini, A., McKenzie, C., Minchin, D., Occhipinti-Ambrogi, A., Ojaveer, H., Olenin, S., Piraino, S., &amp; Ruiz, G. M. (2015). ‘Double </w:t>
      </w:r>
      <w:r w:rsidRPr="00E25215">
        <w:rPr>
          <w:rFonts w:cs="Times New Roman"/>
        </w:rPr>
        <w:lastRenderedPageBreak/>
        <w:t xml:space="preserve">trouble’: The expansion of the Suez Canal and marine bioinvasions in the Mediterranean Sea. </w:t>
      </w:r>
      <w:r w:rsidRPr="00E25215">
        <w:rPr>
          <w:rFonts w:cs="Times New Roman"/>
          <w:i/>
          <w:iCs/>
        </w:rPr>
        <w:t>Biological Invasions</w:t>
      </w:r>
      <w:r w:rsidRPr="00E25215">
        <w:rPr>
          <w:rFonts w:cs="Times New Roman"/>
        </w:rPr>
        <w:t xml:space="preserve">, </w:t>
      </w:r>
      <w:r w:rsidRPr="00E25215">
        <w:rPr>
          <w:rFonts w:cs="Times New Roman"/>
          <w:i/>
          <w:iCs/>
        </w:rPr>
        <w:t>17</w:t>
      </w:r>
      <w:r w:rsidRPr="00E25215">
        <w:rPr>
          <w:rFonts w:cs="Times New Roman"/>
        </w:rPr>
        <w:t>(4), 973–976. https://doi.org/10.1007/s10530-014-0778-y</w:t>
      </w:r>
    </w:p>
    <w:p w14:paraId="4C241082"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Gallardo, B. (2014). Europe’s top 10 invasive species: Relative importance of climatic, habitat and socio-economic factors. </w:t>
      </w:r>
      <w:r w:rsidRPr="00E25215">
        <w:rPr>
          <w:rFonts w:cs="Times New Roman"/>
          <w:i/>
          <w:iCs/>
        </w:rPr>
        <w:t>Ethology Ecology &amp; Evolution</w:t>
      </w:r>
      <w:r w:rsidRPr="00E25215">
        <w:rPr>
          <w:rFonts w:cs="Times New Roman"/>
        </w:rPr>
        <w:t xml:space="preserve">, </w:t>
      </w:r>
      <w:r w:rsidRPr="00E25215">
        <w:rPr>
          <w:rFonts w:cs="Times New Roman"/>
          <w:i/>
          <w:iCs/>
        </w:rPr>
        <w:t>26</w:t>
      </w:r>
      <w:r w:rsidRPr="00E25215">
        <w:rPr>
          <w:rFonts w:cs="Times New Roman"/>
        </w:rPr>
        <w:t>(2–3), 130–151. https://doi.org/10.1080/03949370.2014.896417</w:t>
      </w:r>
    </w:p>
    <w:p w14:paraId="1E9A2C7C"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Gallardo, B., &amp; Aldridge, D. C. (2013). The ‘dirty dozen’: Socio-economic factors amplify the invasion potential of 12 high-risk aquatic invasive species in Great Britain and Ireland. </w:t>
      </w:r>
      <w:r w:rsidRPr="00E25215">
        <w:rPr>
          <w:rFonts w:cs="Times New Roman"/>
          <w:i/>
          <w:iCs/>
        </w:rPr>
        <w:t>Journal of Applied Ecology</w:t>
      </w:r>
      <w:r w:rsidRPr="00E25215">
        <w:rPr>
          <w:rFonts w:cs="Times New Roman"/>
        </w:rPr>
        <w:t xml:space="preserve">, </w:t>
      </w:r>
      <w:r w:rsidRPr="00E25215">
        <w:rPr>
          <w:rFonts w:cs="Times New Roman"/>
          <w:i/>
          <w:iCs/>
        </w:rPr>
        <w:t>50</w:t>
      </w:r>
      <w:r w:rsidRPr="00E25215">
        <w:rPr>
          <w:rFonts w:cs="Times New Roman"/>
        </w:rPr>
        <w:t>(3), 757–766. https://doi.org/10.1111/1365-2664.12079</w:t>
      </w:r>
    </w:p>
    <w:p w14:paraId="1BA9620C"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García, R. A., Franzese, J., Policelli, N., Sasal, Y., Zenni, R. D., Nuñez, M. A., Taylor, K., &amp; Pauchard, A. (2018). Non-native Pines Are Homogenizing the Ecosystems of South America. In R. Rozzi, R. H. May, F. S. Chapin III, F. Massardo, M. C. Gavin, I. J. Klaver, A. Pauchard, M. A. Nuñez, &amp; D. Simberloff (Eds.), </w:t>
      </w:r>
      <w:r w:rsidRPr="00E25215">
        <w:rPr>
          <w:rFonts w:cs="Times New Roman"/>
          <w:i/>
          <w:iCs/>
        </w:rPr>
        <w:t>From Biocultural Homogenization to Biocultural Conservation</w:t>
      </w:r>
      <w:r w:rsidRPr="00E25215">
        <w:rPr>
          <w:rFonts w:cs="Times New Roman"/>
        </w:rPr>
        <w:t xml:space="preserve"> (Vol. 3, pp. 245–263). Springer International Publishing. https://doi.org/10.1007/978-3-319-99513-7_15</w:t>
      </w:r>
    </w:p>
    <w:p w14:paraId="4C232766"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García-Díaz, P., Ross, J. V., Woolnough, A. P., &amp; Cassey, P. (2016). The Illegal Wildlife Trade Is a Likely Source of Alien Species. </w:t>
      </w:r>
      <w:r w:rsidRPr="00E25215">
        <w:rPr>
          <w:rFonts w:cs="Times New Roman"/>
          <w:i/>
          <w:iCs/>
        </w:rPr>
        <w:t>Conservation Letters</w:t>
      </w:r>
      <w:r w:rsidRPr="00E25215">
        <w:rPr>
          <w:rFonts w:cs="Times New Roman"/>
        </w:rPr>
        <w:t xml:space="preserve">, </w:t>
      </w:r>
      <w:r w:rsidRPr="00E25215">
        <w:rPr>
          <w:rFonts w:cs="Times New Roman"/>
          <w:i/>
          <w:iCs/>
        </w:rPr>
        <w:t>10</w:t>
      </w:r>
      <w:r w:rsidRPr="00E25215">
        <w:rPr>
          <w:rFonts w:cs="Times New Roman"/>
        </w:rPr>
        <w:t>(6), 690–698. https://doi.org/10.1111/conl.12301</w:t>
      </w:r>
    </w:p>
    <w:p w14:paraId="7BAB4101"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Gavier-Pizarro, G. I., Radeloff, V. C., Stewart, S. I., Huebner, C. D., &amp; Keuler, N. S. (2010). Housing is positively associated with invasive exotic plant species richness in New England, USA. </w:t>
      </w:r>
      <w:r w:rsidRPr="00E25215">
        <w:rPr>
          <w:rFonts w:cs="Times New Roman"/>
          <w:i/>
          <w:iCs/>
        </w:rPr>
        <w:t>Ecological Applications</w:t>
      </w:r>
      <w:r w:rsidRPr="00E25215">
        <w:rPr>
          <w:rFonts w:cs="Times New Roman"/>
        </w:rPr>
        <w:t xml:space="preserve">, </w:t>
      </w:r>
      <w:r w:rsidRPr="00E25215">
        <w:rPr>
          <w:rFonts w:cs="Times New Roman"/>
          <w:i/>
          <w:iCs/>
        </w:rPr>
        <w:t>20</w:t>
      </w:r>
      <w:r w:rsidRPr="00E25215">
        <w:rPr>
          <w:rFonts w:cs="Times New Roman"/>
        </w:rPr>
        <w:t>(7), 1913–1925. https://doi.org/10.1890/09-2168.1</w:t>
      </w:r>
    </w:p>
    <w:p w14:paraId="73E9B21B"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Gavira-O’Neill, K., Guerra-García, J. M., Moreira, J., &amp; Ros, M. (2018). Mobile epifauna of the invasive bryozoan </w:t>
      </w:r>
      <w:r w:rsidRPr="00E25215">
        <w:rPr>
          <w:rFonts w:cs="Times New Roman"/>
          <w:i/>
          <w:iCs/>
        </w:rPr>
        <w:t>Tricellaria inopinata</w:t>
      </w:r>
      <w:r w:rsidRPr="00E25215">
        <w:rPr>
          <w:rFonts w:cs="Times New Roman"/>
        </w:rPr>
        <w:t xml:space="preserve">: Is there a potential invasional meltdown? </w:t>
      </w:r>
      <w:r w:rsidRPr="00E25215">
        <w:rPr>
          <w:rFonts w:cs="Times New Roman"/>
          <w:i/>
          <w:iCs/>
        </w:rPr>
        <w:t>Marine Biodiversity</w:t>
      </w:r>
      <w:r w:rsidRPr="00E25215">
        <w:rPr>
          <w:rFonts w:cs="Times New Roman"/>
        </w:rPr>
        <w:t xml:space="preserve">, </w:t>
      </w:r>
      <w:r w:rsidRPr="00E25215">
        <w:rPr>
          <w:rFonts w:cs="Times New Roman"/>
          <w:i/>
          <w:iCs/>
        </w:rPr>
        <w:t>48</w:t>
      </w:r>
      <w:r w:rsidRPr="00E25215">
        <w:rPr>
          <w:rFonts w:cs="Times New Roman"/>
        </w:rPr>
        <w:t>(2), 1169–1178. https://doi.org/10.1007/s12526-016-0563-5</w:t>
      </w:r>
    </w:p>
    <w:p w14:paraId="6762A1A1"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Ge, Z.-M., Cao, H.-B., Zhao, B., Zhang, L.-Q., &amp; Cui, L.-F. (2015). Future vegetation patterns and primary production in the coastal wetlands of East China under sea level rise, sediment reduction, and saltwater intrusion. </w:t>
      </w:r>
      <w:r w:rsidRPr="00E25215">
        <w:rPr>
          <w:rFonts w:cs="Times New Roman"/>
          <w:i/>
          <w:iCs/>
        </w:rPr>
        <w:t>Journal of Geophysical Research: Biogeoscience</w:t>
      </w:r>
      <w:r w:rsidRPr="00E25215">
        <w:rPr>
          <w:rFonts w:cs="Times New Roman"/>
        </w:rPr>
        <w:t xml:space="preserve">, </w:t>
      </w:r>
      <w:r w:rsidRPr="00E25215">
        <w:rPr>
          <w:rFonts w:cs="Times New Roman"/>
          <w:i/>
          <w:iCs/>
        </w:rPr>
        <w:t>120</w:t>
      </w:r>
      <w:r w:rsidRPr="00E25215">
        <w:rPr>
          <w:rFonts w:cs="Times New Roman"/>
        </w:rPr>
        <w:t>(10), 1923–1940. https://doi.org/10.1002/2015JG003014</w:t>
      </w:r>
    </w:p>
    <w:p w14:paraId="4DDF8603"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Geheb, K., Kalloch, S., Medard, M., Nyapendi, A.-T., Lwenya, C., &amp; Kyangwa, M. (2008). Nile perch and the hungry of Lake Victoria: Gender, status and food in an East African fishery. </w:t>
      </w:r>
      <w:r w:rsidRPr="00E25215">
        <w:rPr>
          <w:rFonts w:cs="Times New Roman"/>
          <w:i/>
          <w:iCs/>
        </w:rPr>
        <w:t>Food Policy</w:t>
      </w:r>
      <w:r w:rsidRPr="00E25215">
        <w:rPr>
          <w:rFonts w:cs="Times New Roman"/>
        </w:rPr>
        <w:t xml:space="preserve">, </w:t>
      </w:r>
      <w:r w:rsidRPr="00E25215">
        <w:rPr>
          <w:rFonts w:cs="Times New Roman"/>
          <w:i/>
          <w:iCs/>
        </w:rPr>
        <w:t>33</w:t>
      </w:r>
      <w:r w:rsidRPr="00E25215">
        <w:rPr>
          <w:rFonts w:cs="Times New Roman"/>
        </w:rPr>
        <w:t>(1), 85–98. https://doi.org/10.1016/j.foodpol.2007.06.001</w:t>
      </w:r>
    </w:p>
    <w:p w14:paraId="132509D8"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Geist, V. (1985). Game Ranching: Threat to Wildlife Conservation in North America. </w:t>
      </w:r>
      <w:r w:rsidRPr="00E25215">
        <w:rPr>
          <w:rFonts w:cs="Times New Roman"/>
          <w:i/>
          <w:iCs/>
        </w:rPr>
        <w:t>Wildlife Society Bulletin (1973-2006)</w:t>
      </w:r>
      <w:r w:rsidRPr="00E25215">
        <w:rPr>
          <w:rFonts w:cs="Times New Roman"/>
        </w:rPr>
        <w:t xml:space="preserve">, </w:t>
      </w:r>
      <w:r w:rsidRPr="00E25215">
        <w:rPr>
          <w:rFonts w:cs="Times New Roman"/>
          <w:i/>
          <w:iCs/>
        </w:rPr>
        <w:t>13</w:t>
      </w:r>
      <w:r w:rsidRPr="00E25215">
        <w:rPr>
          <w:rFonts w:cs="Times New Roman"/>
        </w:rPr>
        <w:t>(4), 594–598. https://www.jstor.org/stable/3782696</w:t>
      </w:r>
    </w:p>
    <w:p w14:paraId="0EF75466"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Gelbard, J. L., &amp; Belnap, J. (2003). Roads as Conduits for Exotic Plant Invasions in a Semiarid Landscape. </w:t>
      </w:r>
      <w:r w:rsidRPr="00E25215">
        <w:rPr>
          <w:rFonts w:cs="Times New Roman"/>
          <w:i/>
          <w:iCs/>
        </w:rPr>
        <w:t>Conservation Biology</w:t>
      </w:r>
      <w:r w:rsidRPr="00E25215">
        <w:rPr>
          <w:rFonts w:cs="Times New Roman"/>
        </w:rPr>
        <w:t xml:space="preserve">, </w:t>
      </w:r>
      <w:r w:rsidRPr="00E25215">
        <w:rPr>
          <w:rFonts w:cs="Times New Roman"/>
          <w:i/>
          <w:iCs/>
        </w:rPr>
        <w:t>17</w:t>
      </w:r>
      <w:r w:rsidRPr="00E25215">
        <w:rPr>
          <w:rFonts w:cs="Times New Roman"/>
        </w:rPr>
        <w:t>(2), 420–432. https://doi.org/10.1046/j.1523-1739.2003.01408.x</w:t>
      </w:r>
    </w:p>
    <w:p w14:paraId="416D97FC"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Gennaro, P., &amp; Piazzi, L. (2011). Synergism between two anthropic impacts: </w:t>
      </w:r>
      <w:r w:rsidRPr="00E25215">
        <w:rPr>
          <w:rFonts w:cs="Times New Roman"/>
          <w:i/>
          <w:iCs/>
        </w:rPr>
        <w:t>Caulerpa racemosa</w:t>
      </w:r>
      <w:r w:rsidRPr="00E25215">
        <w:rPr>
          <w:rFonts w:cs="Times New Roman"/>
        </w:rPr>
        <w:t xml:space="preserve"> var. </w:t>
      </w:r>
      <w:r w:rsidRPr="00E25215">
        <w:rPr>
          <w:rFonts w:cs="Times New Roman"/>
          <w:i/>
          <w:iCs/>
        </w:rPr>
        <w:t>cylindracea</w:t>
      </w:r>
      <w:r w:rsidRPr="00E25215">
        <w:rPr>
          <w:rFonts w:cs="Times New Roman"/>
        </w:rPr>
        <w:t xml:space="preserve"> invasion and seawater nutrient enrichment. </w:t>
      </w:r>
      <w:r w:rsidRPr="00E25215">
        <w:rPr>
          <w:rFonts w:cs="Times New Roman"/>
          <w:i/>
          <w:iCs/>
        </w:rPr>
        <w:t>Marine Ecology Progress Series</w:t>
      </w:r>
      <w:r w:rsidRPr="00E25215">
        <w:rPr>
          <w:rFonts w:cs="Times New Roman"/>
        </w:rPr>
        <w:t xml:space="preserve">, </w:t>
      </w:r>
      <w:r w:rsidRPr="00E25215">
        <w:rPr>
          <w:rFonts w:cs="Times New Roman"/>
          <w:i/>
          <w:iCs/>
        </w:rPr>
        <w:t>427</w:t>
      </w:r>
      <w:r w:rsidRPr="00E25215">
        <w:rPr>
          <w:rFonts w:cs="Times New Roman"/>
        </w:rPr>
        <w:t>, 59–70. https://doi.org/10.3354/meps09053</w:t>
      </w:r>
    </w:p>
    <w:p w14:paraId="246C6A9A"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Genovesi, P., Bacher, S., Kobelt, M., Pascal, M., &amp; Scalera, R. (2009). Alien Mammals of Europe. In </w:t>
      </w:r>
      <w:r w:rsidRPr="00E25215">
        <w:rPr>
          <w:rFonts w:cs="Times New Roman"/>
          <w:i/>
          <w:iCs/>
        </w:rPr>
        <w:t>Handbook of Alien Species in Europe</w:t>
      </w:r>
      <w:r w:rsidRPr="00E25215">
        <w:rPr>
          <w:rFonts w:cs="Times New Roman"/>
        </w:rPr>
        <w:t xml:space="preserve"> (Vol. 3, pp. 119–128). Springer Netherlands. https://doi.org/10.1007/978-1-4020-8280-1_9</w:t>
      </w:r>
    </w:p>
    <w:p w14:paraId="6E42576E"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Geraldi, N. R., Smyth, A. R., Piehler, M. F., &amp; Peterson, C. H. (2014). Artificial substrates enhance non-native macroalga and N2 production. </w:t>
      </w:r>
      <w:r w:rsidRPr="00E25215">
        <w:rPr>
          <w:rFonts w:cs="Times New Roman"/>
          <w:i/>
          <w:iCs/>
        </w:rPr>
        <w:t>Biological Invasions</w:t>
      </w:r>
      <w:r w:rsidRPr="00E25215">
        <w:rPr>
          <w:rFonts w:cs="Times New Roman"/>
        </w:rPr>
        <w:t xml:space="preserve">, </w:t>
      </w:r>
      <w:r w:rsidRPr="00E25215">
        <w:rPr>
          <w:rFonts w:cs="Times New Roman"/>
          <w:i/>
          <w:iCs/>
        </w:rPr>
        <w:t>16</w:t>
      </w:r>
      <w:r w:rsidRPr="00E25215">
        <w:rPr>
          <w:rFonts w:cs="Times New Roman"/>
        </w:rPr>
        <w:t>(9), 1819–1831. https://doi.org/10.1007/s10530-013-0629-2</w:t>
      </w:r>
    </w:p>
    <w:p w14:paraId="02210DBA"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Gerlach, J., Barker, G. M., Bick, C. S., Bouchet, P., Brodie, G., Christensen, C. C., Collins, T., Coote, T., Cowie, R. H., &amp; Fiedler, G. C. (2021). Negative impacts of invasive predators used as biological control agents against the pest snail </w:t>
      </w:r>
      <w:r w:rsidRPr="00E25215">
        <w:rPr>
          <w:rFonts w:cs="Times New Roman"/>
          <w:i/>
          <w:iCs/>
        </w:rPr>
        <w:t>Lissachatina fulica</w:t>
      </w:r>
      <w:r w:rsidRPr="00E25215">
        <w:rPr>
          <w:rFonts w:cs="Times New Roman"/>
        </w:rPr>
        <w:t xml:space="preserve">: The snail </w:t>
      </w:r>
      <w:r w:rsidRPr="00E25215">
        <w:rPr>
          <w:rFonts w:cs="Times New Roman"/>
          <w:i/>
          <w:iCs/>
        </w:rPr>
        <w:t>Euglandina ‘rosea’</w:t>
      </w:r>
      <w:r w:rsidRPr="00E25215">
        <w:rPr>
          <w:rFonts w:cs="Times New Roman"/>
        </w:rPr>
        <w:t xml:space="preserve">and the flatworm </w:t>
      </w:r>
      <w:r w:rsidRPr="00E25215">
        <w:rPr>
          <w:rFonts w:cs="Times New Roman"/>
          <w:i/>
          <w:iCs/>
        </w:rPr>
        <w:t>Platydemus manokwari</w:t>
      </w:r>
      <w:r w:rsidRPr="00E25215">
        <w:rPr>
          <w:rFonts w:cs="Times New Roman"/>
        </w:rPr>
        <w:t xml:space="preserve">. </w:t>
      </w:r>
      <w:r w:rsidRPr="00E25215">
        <w:rPr>
          <w:rFonts w:cs="Times New Roman"/>
          <w:i/>
          <w:iCs/>
        </w:rPr>
        <w:t>Biological Invasions</w:t>
      </w:r>
      <w:r w:rsidRPr="00E25215">
        <w:rPr>
          <w:rFonts w:cs="Times New Roman"/>
        </w:rPr>
        <w:t xml:space="preserve">, </w:t>
      </w:r>
      <w:r w:rsidRPr="00E25215">
        <w:rPr>
          <w:rFonts w:cs="Times New Roman"/>
          <w:i/>
          <w:iCs/>
        </w:rPr>
        <w:t>23</w:t>
      </w:r>
      <w:r w:rsidRPr="00E25215">
        <w:rPr>
          <w:rFonts w:cs="Times New Roman"/>
        </w:rPr>
        <w:t>(4), 997–1031. https://doi.org/10.1007/s10530-020-02436-w</w:t>
      </w:r>
    </w:p>
    <w:p w14:paraId="4918484D"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Germino, M. J., Belnap, J., Stark, J. M., Allen, E. B., &amp; Rau, B. M. (2016). Ecosystem Impacts of Exotic Annual Invaders in the Genus </w:t>
      </w:r>
      <w:r w:rsidRPr="00E25215">
        <w:rPr>
          <w:rFonts w:cs="Times New Roman"/>
          <w:i/>
          <w:iCs/>
        </w:rPr>
        <w:t>Bromus</w:t>
      </w:r>
      <w:r w:rsidRPr="00E25215">
        <w:rPr>
          <w:rFonts w:cs="Times New Roman"/>
        </w:rPr>
        <w:t xml:space="preserve">. In M. J. Germino, J. C. Chambers, &amp; C. S. Brown (Eds.), </w:t>
      </w:r>
      <w:r w:rsidRPr="00E25215">
        <w:rPr>
          <w:rFonts w:cs="Times New Roman"/>
          <w:i/>
          <w:iCs/>
        </w:rPr>
        <w:t>Exotic Brome-Grasses in Arid and Semiarid Ecosystems of the Western US</w:t>
      </w:r>
      <w:r w:rsidRPr="00E25215">
        <w:rPr>
          <w:rFonts w:cs="Times New Roman"/>
        </w:rPr>
        <w:t xml:space="preserve"> </w:t>
      </w:r>
      <w:r w:rsidRPr="00E25215">
        <w:rPr>
          <w:rFonts w:cs="Times New Roman"/>
        </w:rPr>
        <w:lastRenderedPageBreak/>
        <w:t>(pp. 61–95). Springer International Publishing. https://doi.org/10.1007/978-3-319-24930-8_3</w:t>
      </w:r>
    </w:p>
    <w:p w14:paraId="439A8080"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Gherardi, F., Gollasch, S., Minchin, D., Olenin, S., &amp; Panov, V. (2009). Alien Invertebrates and Fish in European Inland Waters. In </w:t>
      </w:r>
      <w:r w:rsidRPr="00E25215">
        <w:rPr>
          <w:rFonts w:cs="Times New Roman"/>
          <w:i/>
          <w:iCs/>
        </w:rPr>
        <w:t>Handbook of Alien Species in Europe</w:t>
      </w:r>
      <w:r w:rsidRPr="00E25215">
        <w:rPr>
          <w:rFonts w:cs="Times New Roman"/>
        </w:rPr>
        <w:t xml:space="preserve"> (Vol. 3, pp. 81–92). Springer. https://doi.org/10.1007/978-1-4020-8280-1_6</w:t>
      </w:r>
    </w:p>
    <w:p w14:paraId="194086C5"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Gibbs, J., &amp; Sheffield, C. S. (2009). Rapid Range Expansion of the Wool-Carder Bee, </w:t>
      </w:r>
      <w:r w:rsidRPr="00E25215">
        <w:rPr>
          <w:rFonts w:cs="Times New Roman"/>
          <w:i/>
          <w:iCs/>
        </w:rPr>
        <w:t>Anthidium manicatum</w:t>
      </w:r>
      <w:r w:rsidRPr="00E25215">
        <w:rPr>
          <w:rFonts w:cs="Times New Roman"/>
        </w:rPr>
        <w:t xml:space="preserve"> (Linnaeus) (Hymenoptera: Megachilidae), in North America. </w:t>
      </w:r>
      <w:r w:rsidRPr="00E25215">
        <w:rPr>
          <w:rFonts w:cs="Times New Roman"/>
          <w:i/>
          <w:iCs/>
        </w:rPr>
        <w:t>Journal of the Kansas Entomological Society</w:t>
      </w:r>
      <w:r w:rsidRPr="00E25215">
        <w:rPr>
          <w:rFonts w:cs="Times New Roman"/>
        </w:rPr>
        <w:t xml:space="preserve">, </w:t>
      </w:r>
      <w:r w:rsidRPr="00E25215">
        <w:rPr>
          <w:rFonts w:cs="Times New Roman"/>
          <w:i/>
          <w:iCs/>
        </w:rPr>
        <w:t>82</w:t>
      </w:r>
      <w:r w:rsidRPr="00E25215">
        <w:rPr>
          <w:rFonts w:cs="Times New Roman"/>
        </w:rPr>
        <w:t>(1), 21–29. https://doi.org/10.2317/JKES805.27.1</w:t>
      </w:r>
    </w:p>
    <w:p w14:paraId="5B7EE5FE"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Gibson, P. P., Olden, J. D., &amp; O’Neill, M. W. (2015). Beaver dams shift desert fish assemblages toward dominance by non-native species (Verde River, Arizona, USA). </w:t>
      </w:r>
      <w:r w:rsidRPr="00E25215">
        <w:rPr>
          <w:rFonts w:cs="Times New Roman"/>
          <w:i/>
          <w:iCs/>
        </w:rPr>
        <w:t>Ecology of Freshwater Fish</w:t>
      </w:r>
      <w:r w:rsidRPr="00E25215">
        <w:rPr>
          <w:rFonts w:cs="Times New Roman"/>
        </w:rPr>
        <w:t xml:space="preserve">, </w:t>
      </w:r>
      <w:r w:rsidRPr="00E25215">
        <w:rPr>
          <w:rFonts w:cs="Times New Roman"/>
          <w:i/>
          <w:iCs/>
        </w:rPr>
        <w:t>24</w:t>
      </w:r>
      <w:r w:rsidRPr="00E25215">
        <w:rPr>
          <w:rFonts w:cs="Times New Roman"/>
        </w:rPr>
        <w:t>(3), 355–372. https://doi.org/10.1111/eff.12150</w:t>
      </w:r>
    </w:p>
    <w:p w14:paraId="2E4A247B"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Gilliam, F. S. (2006). Response of the herbaceous layer of forest ecosystems to excess nitrogen deposition. </w:t>
      </w:r>
      <w:r w:rsidRPr="00E25215">
        <w:rPr>
          <w:rFonts w:cs="Times New Roman"/>
          <w:i/>
          <w:iCs/>
        </w:rPr>
        <w:t>Journal of Ecology</w:t>
      </w:r>
      <w:r w:rsidRPr="00E25215">
        <w:rPr>
          <w:rFonts w:cs="Times New Roman"/>
        </w:rPr>
        <w:t xml:space="preserve">, </w:t>
      </w:r>
      <w:r w:rsidRPr="00E25215">
        <w:rPr>
          <w:rFonts w:cs="Times New Roman"/>
          <w:i/>
          <w:iCs/>
        </w:rPr>
        <w:t>94</w:t>
      </w:r>
      <w:r w:rsidRPr="00E25215">
        <w:rPr>
          <w:rFonts w:cs="Times New Roman"/>
        </w:rPr>
        <w:t>(6), Article 6. https://doi.org/10.1111/j.1365-2745.2006.01155.x</w:t>
      </w:r>
    </w:p>
    <w:p w14:paraId="6D66490A"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GISD. (2021). </w:t>
      </w:r>
      <w:r w:rsidRPr="00E25215">
        <w:rPr>
          <w:rFonts w:cs="Times New Roman"/>
          <w:i/>
          <w:iCs/>
        </w:rPr>
        <w:t>Global Invasive Species Database</w:t>
      </w:r>
      <w:r w:rsidRPr="00E25215">
        <w:rPr>
          <w:rFonts w:cs="Times New Roman"/>
        </w:rPr>
        <w:t>. http://www.iucngisd.org/gisd/</w:t>
      </w:r>
    </w:p>
    <w:p w14:paraId="080CF3FB"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Glaesser, D., Kester, J., Paulose, H., Alizadeh, A., &amp; Valentin, B. (2017). Global travel patterns: An overview. </w:t>
      </w:r>
      <w:r w:rsidRPr="00E25215">
        <w:rPr>
          <w:rFonts w:cs="Times New Roman"/>
          <w:i/>
          <w:iCs/>
        </w:rPr>
        <w:t>Journal of Travel Medicine</w:t>
      </w:r>
      <w:r w:rsidRPr="00E25215">
        <w:rPr>
          <w:rFonts w:cs="Times New Roman"/>
        </w:rPr>
        <w:t xml:space="preserve">, </w:t>
      </w:r>
      <w:r w:rsidRPr="00E25215">
        <w:rPr>
          <w:rFonts w:cs="Times New Roman"/>
          <w:i/>
          <w:iCs/>
        </w:rPr>
        <w:t>24</w:t>
      </w:r>
      <w:r w:rsidRPr="00E25215">
        <w:rPr>
          <w:rFonts w:cs="Times New Roman"/>
        </w:rPr>
        <w:t>(4), tax007. https://doi.org/10.1093/jtm/tax007</w:t>
      </w:r>
    </w:p>
    <w:p w14:paraId="73F894A9"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Glasby, T. M., Connell, S. D., Holloway, M. G., &amp; Hewitt, C. L. (2007). Nonindigenous biota on artificial structures: Could habitat creation facilitate biological invasions? </w:t>
      </w:r>
      <w:r w:rsidRPr="00E25215">
        <w:rPr>
          <w:rFonts w:cs="Times New Roman"/>
          <w:i/>
          <w:iCs/>
        </w:rPr>
        <w:t>Marine Biology</w:t>
      </w:r>
      <w:r w:rsidRPr="00E25215">
        <w:rPr>
          <w:rFonts w:cs="Times New Roman"/>
        </w:rPr>
        <w:t xml:space="preserve">, </w:t>
      </w:r>
      <w:r w:rsidRPr="00E25215">
        <w:rPr>
          <w:rFonts w:cs="Times New Roman"/>
          <w:i/>
          <w:iCs/>
        </w:rPr>
        <w:t>151</w:t>
      </w:r>
      <w:r w:rsidRPr="00E25215">
        <w:rPr>
          <w:rFonts w:cs="Times New Roman"/>
        </w:rPr>
        <w:t>(3), 887–895. https://doi.org/10.1007/s00227-006-0552-5</w:t>
      </w:r>
    </w:p>
    <w:p w14:paraId="226C053E" w14:textId="77777777" w:rsidR="001379C0" w:rsidRPr="00E25215" w:rsidRDefault="001379C0" w:rsidP="009B3E7F">
      <w:pPr>
        <w:pStyle w:val="Bibliography"/>
        <w:spacing w:before="0" w:after="0" w:line="240" w:lineRule="auto"/>
        <w:rPr>
          <w:rFonts w:cs="Times New Roman"/>
        </w:rPr>
      </w:pPr>
      <w:r w:rsidRPr="00E25215">
        <w:rPr>
          <w:rFonts w:cs="Times New Roman"/>
        </w:rPr>
        <w:t>Goedbloed, D. J., Megens, H. J., Hooft, P. V., Herrero</w:t>
      </w:r>
      <w:r w:rsidRPr="00E25215">
        <w:rPr>
          <w:rFonts w:cs="Times New Roman" w:hint="eastAsia"/>
        </w:rPr>
        <w:t>‐</w:t>
      </w:r>
      <w:r w:rsidRPr="00E25215">
        <w:rPr>
          <w:rFonts w:cs="Times New Roman"/>
        </w:rPr>
        <w:t xml:space="preserve">Medrano, J. M., Lutz, W., Alexandri, P., Crooijmans, R. P. M. A., Groenen, M., Wieren, S. E. V., Ydenberg, R. C., &amp; Prins, H. H. T. (2013). Genome-wide single nucleotide polymorphism analysis reveals recent genetic introgression from domestic pigs into Northwest European wild boar populations. </w:t>
      </w:r>
      <w:r w:rsidRPr="00E25215">
        <w:rPr>
          <w:rFonts w:cs="Times New Roman"/>
          <w:i/>
          <w:iCs/>
        </w:rPr>
        <w:t>Molecular Ecology</w:t>
      </w:r>
      <w:r w:rsidRPr="00E25215">
        <w:rPr>
          <w:rFonts w:cs="Times New Roman"/>
        </w:rPr>
        <w:t xml:space="preserve">, </w:t>
      </w:r>
      <w:r w:rsidRPr="00E25215">
        <w:rPr>
          <w:rFonts w:cs="Times New Roman"/>
          <w:i/>
          <w:iCs/>
        </w:rPr>
        <w:t>22</w:t>
      </w:r>
      <w:r w:rsidRPr="00E25215">
        <w:rPr>
          <w:rFonts w:cs="Times New Roman"/>
        </w:rPr>
        <w:t>(3), 856–866. https://doi.org/10.1111/j.1365-294X.2012.05670.x</w:t>
      </w:r>
    </w:p>
    <w:p w14:paraId="2511DA17"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Going, B. M., Hillerislambers, J., &amp; Levine, J. M. (2009). Abiotic and biotic resistance to grass invasion in serpentine annual plant communities. </w:t>
      </w:r>
      <w:r w:rsidRPr="00E25215">
        <w:rPr>
          <w:rFonts w:cs="Times New Roman"/>
          <w:i/>
          <w:iCs/>
        </w:rPr>
        <w:t>Oecologia</w:t>
      </w:r>
      <w:r w:rsidRPr="00E25215">
        <w:rPr>
          <w:rFonts w:cs="Times New Roman"/>
        </w:rPr>
        <w:t xml:space="preserve">, </w:t>
      </w:r>
      <w:r w:rsidRPr="00E25215">
        <w:rPr>
          <w:rFonts w:cs="Times New Roman"/>
          <w:i/>
          <w:iCs/>
        </w:rPr>
        <w:t>159</w:t>
      </w:r>
      <w:r w:rsidRPr="00E25215">
        <w:rPr>
          <w:rFonts w:cs="Times New Roman"/>
        </w:rPr>
        <w:t>(4), 839–847. https://doi.org/10.1007/s00442-008-1264-y</w:t>
      </w:r>
    </w:p>
    <w:p w14:paraId="38E87188"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Golani, D. (2021). An updated Checklist of the Mediterranean fishes of Israel, with illustrations of recently recorded species and delineation of Lessepsian migrants. </w:t>
      </w:r>
      <w:r w:rsidRPr="00E25215">
        <w:rPr>
          <w:rFonts w:cs="Times New Roman"/>
          <w:i/>
          <w:iCs/>
        </w:rPr>
        <w:t>Zootaxa</w:t>
      </w:r>
      <w:r w:rsidRPr="00E25215">
        <w:rPr>
          <w:rFonts w:cs="Times New Roman"/>
        </w:rPr>
        <w:t xml:space="preserve">, </w:t>
      </w:r>
      <w:r w:rsidRPr="00E25215">
        <w:rPr>
          <w:rFonts w:cs="Times New Roman"/>
          <w:i/>
          <w:iCs/>
        </w:rPr>
        <w:t>4956</w:t>
      </w:r>
      <w:r w:rsidRPr="00E25215">
        <w:rPr>
          <w:rFonts w:cs="Times New Roman"/>
        </w:rPr>
        <w:t>(1), Article 1. https://doi.org/10.11646/zootaxa.4956.1.1</w:t>
      </w:r>
    </w:p>
    <w:p w14:paraId="48584BB1"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Gong, X., Chen, Y., Wang, T., Jiang, X., Hu, X., &amp; Feng, J. (2020). Double-edged effects of climate change on plant invasions: Ecological niche modeling global distributions of two invasive alien plants. </w:t>
      </w:r>
      <w:r w:rsidRPr="00E25215">
        <w:rPr>
          <w:rFonts w:cs="Times New Roman"/>
          <w:i/>
          <w:iCs/>
        </w:rPr>
        <w:t>Science of The Total Environment</w:t>
      </w:r>
      <w:r w:rsidRPr="00E25215">
        <w:rPr>
          <w:rFonts w:cs="Times New Roman"/>
        </w:rPr>
        <w:t xml:space="preserve">, </w:t>
      </w:r>
      <w:r w:rsidRPr="00E25215">
        <w:rPr>
          <w:rFonts w:cs="Times New Roman"/>
          <w:i/>
          <w:iCs/>
        </w:rPr>
        <w:t>740</w:t>
      </w:r>
      <w:r w:rsidRPr="00E25215">
        <w:rPr>
          <w:rFonts w:cs="Times New Roman"/>
        </w:rPr>
        <w:t>, 139933. https://doi.org/10.1016/j.scitotenv.2020.139933</w:t>
      </w:r>
    </w:p>
    <w:p w14:paraId="7E5CA49B"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Goulson, D. (2003). Effects of Introduced Bees on Native Ecosystems. </w:t>
      </w:r>
      <w:r w:rsidRPr="00E25215">
        <w:rPr>
          <w:rFonts w:cs="Times New Roman"/>
          <w:i/>
          <w:iCs/>
        </w:rPr>
        <w:t>Annual Review of Ecology, Evolution, and Systematics</w:t>
      </w:r>
      <w:r w:rsidRPr="00E25215">
        <w:rPr>
          <w:rFonts w:cs="Times New Roman"/>
        </w:rPr>
        <w:t xml:space="preserve">, </w:t>
      </w:r>
      <w:r w:rsidRPr="00E25215">
        <w:rPr>
          <w:rFonts w:cs="Times New Roman"/>
          <w:i/>
          <w:iCs/>
        </w:rPr>
        <w:t>34</w:t>
      </w:r>
      <w:r w:rsidRPr="00E25215">
        <w:rPr>
          <w:rFonts w:cs="Times New Roman"/>
        </w:rPr>
        <w:t>(1), 1–26. https://doi.org/10.1146/annurev.ecolsys.34.011802.132355</w:t>
      </w:r>
    </w:p>
    <w:p w14:paraId="4323D04F"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Government of the Republic of South Africa. (2016). </w:t>
      </w:r>
      <w:r w:rsidRPr="00E25215">
        <w:rPr>
          <w:rFonts w:cs="Times New Roman"/>
          <w:i/>
          <w:iCs/>
        </w:rPr>
        <w:t>National Environmental Management: Biodiversity Act (10/2004): Alien and Invasive Species Lists</w:t>
      </w:r>
      <w:r w:rsidRPr="00E25215">
        <w:rPr>
          <w:rFonts w:cs="Times New Roman"/>
        </w:rPr>
        <w:t>. https://www.gov.za/sites/default/files/gcis_document/201607/40166gon864.pdf</w:t>
      </w:r>
    </w:p>
    <w:p w14:paraId="4FFB463B"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Gower, S. T. (2008). Are horses responsible for introducing non-native plants along forest trails in the eastern United States? </w:t>
      </w:r>
      <w:r w:rsidRPr="00E25215">
        <w:rPr>
          <w:rFonts w:cs="Times New Roman"/>
          <w:i/>
          <w:iCs/>
        </w:rPr>
        <w:t>Forest Ecology and Management</w:t>
      </w:r>
      <w:r w:rsidRPr="00E25215">
        <w:rPr>
          <w:rFonts w:cs="Times New Roman"/>
        </w:rPr>
        <w:t xml:space="preserve">, </w:t>
      </w:r>
      <w:r w:rsidRPr="00E25215">
        <w:rPr>
          <w:rFonts w:cs="Times New Roman"/>
          <w:i/>
          <w:iCs/>
        </w:rPr>
        <w:t>256</w:t>
      </w:r>
      <w:r w:rsidRPr="00E25215">
        <w:rPr>
          <w:rFonts w:cs="Times New Roman"/>
        </w:rPr>
        <w:t>(5), 997–1003. https://doi.org/10.1016/j.foreco.2008.06.012</w:t>
      </w:r>
    </w:p>
    <w:p w14:paraId="75C235F9"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Gozlan, R. E. (2008). Introduction of non-native freshwater fish: Is it all bad? </w:t>
      </w:r>
      <w:r w:rsidRPr="00E25215">
        <w:rPr>
          <w:rFonts w:cs="Times New Roman"/>
          <w:i/>
          <w:iCs/>
        </w:rPr>
        <w:t>Fish and Fisheries</w:t>
      </w:r>
      <w:r w:rsidRPr="00E25215">
        <w:rPr>
          <w:rFonts w:cs="Times New Roman"/>
        </w:rPr>
        <w:t xml:space="preserve">, </w:t>
      </w:r>
      <w:r w:rsidRPr="00E25215">
        <w:rPr>
          <w:rFonts w:cs="Times New Roman"/>
          <w:i/>
          <w:iCs/>
        </w:rPr>
        <w:t>9</w:t>
      </w:r>
      <w:r w:rsidRPr="00E25215">
        <w:rPr>
          <w:rFonts w:cs="Times New Roman"/>
        </w:rPr>
        <w:t>(1), 106–115. https://doi.org/10.1111/j.1467-2979.2007.00267.x</w:t>
      </w:r>
    </w:p>
    <w:p w14:paraId="369D8AEB"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Grace, J. B., Smith, M. D., Grace, S. L., Collins, S. L., &amp; Stohlgren, T. J. (2001). </w:t>
      </w:r>
      <w:r w:rsidRPr="00E25215">
        <w:rPr>
          <w:rFonts w:cs="Times New Roman"/>
          <w:i/>
          <w:iCs/>
        </w:rPr>
        <w:t>Interactions between fire and invasive plants in temperate grasslands of North America</w:t>
      </w:r>
      <w:r w:rsidRPr="00E25215">
        <w:rPr>
          <w:rFonts w:cs="Times New Roman"/>
        </w:rPr>
        <w:t>. 40–65. https://pubs.er.usgs.gov/publication/70208006</w:t>
      </w:r>
    </w:p>
    <w:p w14:paraId="54E71DC8"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Gracia C., A., Rangel-Buitrago, N., &amp; Florez, P. (2018). Beach litter and woody-debris colonizers on the Atlantico department Caribbean coastline, Colombia. </w:t>
      </w:r>
      <w:r w:rsidRPr="00E25215">
        <w:rPr>
          <w:rFonts w:cs="Times New Roman"/>
          <w:i/>
          <w:iCs/>
        </w:rPr>
        <w:t>Marine Pollution Bulletin</w:t>
      </w:r>
      <w:r w:rsidRPr="00E25215">
        <w:rPr>
          <w:rFonts w:cs="Times New Roman"/>
        </w:rPr>
        <w:t xml:space="preserve">, </w:t>
      </w:r>
      <w:r w:rsidRPr="00E25215">
        <w:rPr>
          <w:rFonts w:cs="Times New Roman"/>
          <w:i/>
          <w:iCs/>
        </w:rPr>
        <w:t>128</w:t>
      </w:r>
      <w:r w:rsidRPr="00E25215">
        <w:rPr>
          <w:rFonts w:cs="Times New Roman"/>
        </w:rPr>
        <w:t>, 185–196. https://doi.org/10.1016/j.marpolbul.2018.01.017</w:t>
      </w:r>
    </w:p>
    <w:p w14:paraId="416E5547" w14:textId="77777777" w:rsidR="001379C0" w:rsidRPr="00E25215" w:rsidRDefault="001379C0" w:rsidP="009B3E7F">
      <w:pPr>
        <w:pStyle w:val="Bibliography"/>
        <w:spacing w:before="0" w:after="0" w:line="240" w:lineRule="auto"/>
        <w:rPr>
          <w:rFonts w:cs="Times New Roman"/>
        </w:rPr>
      </w:pPr>
      <w:r w:rsidRPr="00E25215">
        <w:rPr>
          <w:rFonts w:cs="Times New Roman"/>
        </w:rPr>
        <w:lastRenderedPageBreak/>
        <w:t xml:space="preserve">Graham, C. A., Maron, M., &amp; McAlpine, C. A. (2012). Influence of landscape structure on invasive predators: Feral cats and red foxes in the brigalow landscapes, Queensland, Australia. </w:t>
      </w:r>
      <w:r w:rsidRPr="00E25215">
        <w:rPr>
          <w:rFonts w:cs="Times New Roman"/>
          <w:i/>
          <w:iCs/>
        </w:rPr>
        <w:t>Wildlife Research</w:t>
      </w:r>
      <w:r w:rsidRPr="00E25215">
        <w:rPr>
          <w:rFonts w:cs="Times New Roman"/>
        </w:rPr>
        <w:t xml:space="preserve">, </w:t>
      </w:r>
      <w:r w:rsidRPr="00E25215">
        <w:rPr>
          <w:rFonts w:cs="Times New Roman"/>
          <w:i/>
          <w:iCs/>
        </w:rPr>
        <w:t>39</w:t>
      </w:r>
      <w:r w:rsidRPr="00E25215">
        <w:rPr>
          <w:rFonts w:cs="Times New Roman"/>
        </w:rPr>
        <w:t>(8), 661–676. https://doi.org/10.1071/WR12008</w:t>
      </w:r>
    </w:p>
    <w:p w14:paraId="40CA538B"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Gravuer, K., Sullivan, J. J., Williams, P. A., &amp; Duncan, R. P. (2008). Strong human association with plant invasion success for </w:t>
      </w:r>
      <w:r w:rsidRPr="00E25215">
        <w:rPr>
          <w:rFonts w:cs="Times New Roman"/>
          <w:i/>
          <w:iCs/>
        </w:rPr>
        <w:t>Trifolium</w:t>
      </w:r>
      <w:r w:rsidRPr="00E25215">
        <w:rPr>
          <w:rFonts w:cs="Times New Roman"/>
        </w:rPr>
        <w:t xml:space="preserve"> introductions to New Zealand. </w:t>
      </w:r>
      <w:r w:rsidRPr="00E25215">
        <w:rPr>
          <w:rFonts w:cs="Times New Roman"/>
          <w:i/>
          <w:iCs/>
        </w:rPr>
        <w:t>Proceedings of the National Academy of Sciences of the United States of America</w:t>
      </w:r>
      <w:r w:rsidRPr="00E25215">
        <w:rPr>
          <w:rFonts w:cs="Times New Roman"/>
        </w:rPr>
        <w:t xml:space="preserve">, </w:t>
      </w:r>
      <w:r w:rsidRPr="00E25215">
        <w:rPr>
          <w:rFonts w:cs="Times New Roman"/>
          <w:i/>
          <w:iCs/>
        </w:rPr>
        <w:t>105</w:t>
      </w:r>
      <w:r w:rsidRPr="00E25215">
        <w:rPr>
          <w:rFonts w:cs="Times New Roman"/>
        </w:rPr>
        <w:t>(17), 6344–6349. https://doi.org/10.1073/pnas.0712026105</w:t>
      </w:r>
    </w:p>
    <w:p w14:paraId="2CF3D1AA"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Great Lakes Phragmites Collaborative. (2022). </w:t>
      </w:r>
      <w:r w:rsidRPr="00E25215">
        <w:rPr>
          <w:rFonts w:cs="Times New Roman"/>
          <w:i/>
          <w:iCs/>
        </w:rPr>
        <w:t>Linking people, information &amp; action</w:t>
      </w:r>
      <w:r w:rsidRPr="00E25215">
        <w:rPr>
          <w:rFonts w:cs="Times New Roman"/>
        </w:rPr>
        <w:t>. https://www.greatlakesphragmites.net/</w:t>
      </w:r>
    </w:p>
    <w:p w14:paraId="20BF3C41"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Green, P. T., O’Dowd, D. J., Abbott, K. L., Jeffery, M., Retallick, K., &amp; Mac Nally, R. (2011). Invasional meltdown: Invader–invader mutualism facilitates a secondary invasion. </w:t>
      </w:r>
      <w:r w:rsidRPr="00E25215">
        <w:rPr>
          <w:rFonts w:cs="Times New Roman"/>
          <w:i/>
          <w:iCs/>
        </w:rPr>
        <w:t>Ecology</w:t>
      </w:r>
      <w:r w:rsidRPr="00E25215">
        <w:rPr>
          <w:rFonts w:cs="Times New Roman"/>
        </w:rPr>
        <w:t xml:space="preserve">, </w:t>
      </w:r>
      <w:r w:rsidRPr="00E25215">
        <w:rPr>
          <w:rFonts w:cs="Times New Roman"/>
          <w:i/>
          <w:iCs/>
        </w:rPr>
        <w:t>92</w:t>
      </w:r>
      <w:r w:rsidRPr="00E25215">
        <w:rPr>
          <w:rFonts w:cs="Times New Roman"/>
        </w:rPr>
        <w:t>(9), 1758–1768. https://doi.org/10.1890/11-0050.1</w:t>
      </w:r>
    </w:p>
    <w:p w14:paraId="637746C1"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Greet, J., Cousens, R. D., &amp; Webb, J. A. (2013). More Exotic and Fewer Native Plant Species: Riverine Vegetation Patterns Associated with Altered Seasonal Flow Patterns. </w:t>
      </w:r>
      <w:r w:rsidRPr="00E25215">
        <w:rPr>
          <w:rFonts w:cs="Times New Roman"/>
          <w:i/>
          <w:iCs/>
        </w:rPr>
        <w:t>River Research and Applications</w:t>
      </w:r>
      <w:r w:rsidRPr="00E25215">
        <w:rPr>
          <w:rFonts w:cs="Times New Roman"/>
        </w:rPr>
        <w:t xml:space="preserve">, </w:t>
      </w:r>
      <w:r w:rsidRPr="00E25215">
        <w:rPr>
          <w:rFonts w:cs="Times New Roman"/>
          <w:i/>
          <w:iCs/>
        </w:rPr>
        <w:t>29</w:t>
      </w:r>
      <w:r w:rsidRPr="00E25215">
        <w:rPr>
          <w:rFonts w:cs="Times New Roman"/>
        </w:rPr>
        <w:t>(6), 686–706. https://doi.org/10.1002/rra.2571</w:t>
      </w:r>
    </w:p>
    <w:p w14:paraId="71E23C57"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Gregoric, D. E. G., Beltramino, A. A., &amp; Vogler, R. E. (2013). Expansión del rango de distribución de </w:t>
      </w:r>
      <w:r w:rsidRPr="00E25215">
        <w:rPr>
          <w:rFonts w:cs="Times New Roman"/>
          <w:i/>
          <w:iCs/>
        </w:rPr>
        <w:t>Achatina fulica</w:t>
      </w:r>
      <w:r w:rsidRPr="00E25215">
        <w:rPr>
          <w:rFonts w:cs="Times New Roman"/>
        </w:rPr>
        <w:t xml:space="preserve"> Bowdich, 1822 (Gastropoda) en la Argentina y su concordancia con modelos predictivos. </w:t>
      </w:r>
      <w:r w:rsidRPr="00E25215">
        <w:rPr>
          <w:rFonts w:cs="Times New Roman"/>
          <w:i/>
          <w:iCs/>
        </w:rPr>
        <w:t>Amici Molluscarum</w:t>
      </w:r>
      <w:r w:rsidRPr="00E25215">
        <w:rPr>
          <w:rFonts w:cs="Times New Roman"/>
        </w:rPr>
        <w:t xml:space="preserve">, </w:t>
      </w:r>
      <w:r w:rsidRPr="00E25215">
        <w:rPr>
          <w:rFonts w:cs="Times New Roman"/>
          <w:i/>
          <w:iCs/>
        </w:rPr>
        <w:t>21</w:t>
      </w:r>
      <w:r w:rsidRPr="00E25215">
        <w:rPr>
          <w:rFonts w:cs="Times New Roman"/>
        </w:rPr>
        <w:t>(1), 17–21. https://www.semanticscholar.org/paper/Expansi%C3%B3n-del-rango-de-distribuci%C3%B3n-de-Achatina-en-Gregoric-Beltramino/1adbc2d6ee8d8d9f519b025c57a3e5c4ea74a955</w:t>
      </w:r>
    </w:p>
    <w:p w14:paraId="0F31DAD5"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Greve, M., Mathakutha, R., Steyn, C., &amp; Chown, S. L. (2017). Terrestrial invasions on sub-Antarctic Marion and Prince Edward Islands. </w:t>
      </w:r>
      <w:r w:rsidRPr="00E25215">
        <w:rPr>
          <w:rFonts w:cs="Times New Roman"/>
          <w:i/>
          <w:iCs/>
        </w:rPr>
        <w:t>Bothalia</w:t>
      </w:r>
      <w:r w:rsidRPr="00E25215">
        <w:rPr>
          <w:rFonts w:cs="Times New Roman"/>
        </w:rPr>
        <w:t xml:space="preserve">, </w:t>
      </w:r>
      <w:r w:rsidRPr="00E25215">
        <w:rPr>
          <w:rFonts w:cs="Times New Roman"/>
          <w:i/>
          <w:iCs/>
        </w:rPr>
        <w:t>47</w:t>
      </w:r>
      <w:r w:rsidRPr="00E25215">
        <w:rPr>
          <w:rFonts w:cs="Times New Roman"/>
        </w:rPr>
        <w:t>(2). https://doi.org/10.4102/abc.v47i2.2143</w:t>
      </w:r>
    </w:p>
    <w:p w14:paraId="06A4CF5C"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Grez, A. A., Rand, T. A., Zaviezo, T., &amp; Castillo-Serey, F. (2013). Land use intensification differentially benefits alien over native predators in agricultural landscape mosaics. </w:t>
      </w:r>
      <w:r w:rsidRPr="00E25215">
        <w:rPr>
          <w:rFonts w:cs="Times New Roman"/>
          <w:i/>
          <w:iCs/>
        </w:rPr>
        <w:t>Diversity and Distributions</w:t>
      </w:r>
      <w:r w:rsidRPr="00E25215">
        <w:rPr>
          <w:rFonts w:cs="Times New Roman"/>
        </w:rPr>
        <w:t xml:space="preserve">, </w:t>
      </w:r>
      <w:r w:rsidRPr="00E25215">
        <w:rPr>
          <w:rFonts w:cs="Times New Roman"/>
          <w:i/>
          <w:iCs/>
        </w:rPr>
        <w:t>19</w:t>
      </w:r>
      <w:r w:rsidRPr="00E25215">
        <w:rPr>
          <w:rFonts w:cs="Times New Roman"/>
        </w:rPr>
        <w:t>(7), Article 7. https://doi.org/10.1111/ddi.12027</w:t>
      </w:r>
    </w:p>
    <w:p w14:paraId="7BB3B5D0"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Griffin, A. S., Netto, K., &amp; Peneaux, C. (2017). Neophilia, innovation and learning in an urbanized world: A critical evaluation of mixed findings. </w:t>
      </w:r>
      <w:r w:rsidRPr="00E25215">
        <w:rPr>
          <w:rFonts w:cs="Times New Roman"/>
          <w:i/>
          <w:iCs/>
        </w:rPr>
        <w:t>Current Opinion in Behavioral Sciences</w:t>
      </w:r>
      <w:r w:rsidRPr="00E25215">
        <w:rPr>
          <w:rFonts w:cs="Times New Roman"/>
        </w:rPr>
        <w:t xml:space="preserve">, </w:t>
      </w:r>
      <w:r w:rsidRPr="00E25215">
        <w:rPr>
          <w:rFonts w:cs="Times New Roman"/>
          <w:i/>
          <w:iCs/>
        </w:rPr>
        <w:t>16</w:t>
      </w:r>
      <w:r w:rsidRPr="00E25215">
        <w:rPr>
          <w:rFonts w:cs="Times New Roman"/>
        </w:rPr>
        <w:t>, 15–22. https://doi.org/10.1016/j.cobeha.2017.01.004</w:t>
      </w:r>
    </w:p>
    <w:p w14:paraId="3852F203"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Griffiths, C. . J., Jones, C. J., Hansen, D. M., Puttoo, M., Tatayah, R. V., Müller, C. B., &amp; Harris, S. (2010). The use of extant non-indigenous tortoises as a restoration tool to replace extinct ecosystem engineers. </w:t>
      </w:r>
      <w:r w:rsidRPr="00E25215">
        <w:rPr>
          <w:rFonts w:cs="Times New Roman"/>
          <w:i/>
          <w:iCs/>
        </w:rPr>
        <w:t>Restoration Ecology</w:t>
      </w:r>
      <w:r w:rsidRPr="00E25215">
        <w:rPr>
          <w:rFonts w:cs="Times New Roman"/>
        </w:rPr>
        <w:t xml:space="preserve">, </w:t>
      </w:r>
      <w:r w:rsidRPr="00E25215">
        <w:rPr>
          <w:rFonts w:cs="Times New Roman"/>
          <w:i/>
          <w:iCs/>
        </w:rPr>
        <w:t>18</w:t>
      </w:r>
      <w:r w:rsidRPr="00E25215">
        <w:rPr>
          <w:rFonts w:cs="Times New Roman"/>
        </w:rPr>
        <w:t>(1), 1–7. https://doi.org/10.1111/j.1526-100X.2009.00612.x</w:t>
      </w:r>
    </w:p>
    <w:p w14:paraId="611B23E5"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Gritti, E. S., Smith, B., &amp; Sykes, M. T. (2006). Vulnerability of Mediterranean Basin ecosystems to climate change and invasion by exotic plant species. </w:t>
      </w:r>
      <w:r w:rsidRPr="00E25215">
        <w:rPr>
          <w:rFonts w:cs="Times New Roman"/>
          <w:i/>
          <w:iCs/>
        </w:rPr>
        <w:t>Journal of Biogeography</w:t>
      </w:r>
      <w:r w:rsidRPr="00E25215">
        <w:rPr>
          <w:rFonts w:cs="Times New Roman"/>
        </w:rPr>
        <w:t xml:space="preserve">, </w:t>
      </w:r>
      <w:r w:rsidRPr="00E25215">
        <w:rPr>
          <w:rFonts w:cs="Times New Roman"/>
          <w:i/>
          <w:iCs/>
        </w:rPr>
        <w:t>33</w:t>
      </w:r>
      <w:r w:rsidRPr="00E25215">
        <w:rPr>
          <w:rFonts w:cs="Times New Roman"/>
        </w:rPr>
        <w:t>(1), 145–157. https://doi.org/10.1111/j.1365-2699.2005.01377.x</w:t>
      </w:r>
    </w:p>
    <w:p w14:paraId="693CFAFB"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Grosholz, E. D. (2002). Ecological and evolutionary consequences of coastal invasions. </w:t>
      </w:r>
      <w:r w:rsidRPr="00E25215">
        <w:rPr>
          <w:rFonts w:cs="Times New Roman"/>
          <w:i/>
          <w:iCs/>
        </w:rPr>
        <w:t>Trends in Ecology &amp; Evolution</w:t>
      </w:r>
      <w:r w:rsidRPr="00E25215">
        <w:rPr>
          <w:rFonts w:cs="Times New Roman"/>
        </w:rPr>
        <w:t xml:space="preserve">, </w:t>
      </w:r>
      <w:r w:rsidRPr="00E25215">
        <w:rPr>
          <w:rFonts w:cs="Times New Roman"/>
          <w:i/>
          <w:iCs/>
        </w:rPr>
        <w:t>17</w:t>
      </w:r>
      <w:r w:rsidRPr="00E25215">
        <w:rPr>
          <w:rFonts w:cs="Times New Roman"/>
        </w:rPr>
        <w:t>(1), 22–27. https://doi.org/10.1016/S0169-5347(01)02358-8</w:t>
      </w:r>
    </w:p>
    <w:p w14:paraId="63755383"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Grosholz, E. D. (2005). Recent biological invasion may hasten invasional meltdown by accelerating historical introductions. </w:t>
      </w:r>
      <w:r w:rsidRPr="00E25215">
        <w:rPr>
          <w:rFonts w:cs="Times New Roman"/>
          <w:i/>
          <w:iCs/>
        </w:rPr>
        <w:t>Proceedings of the National Academy of Sciences</w:t>
      </w:r>
      <w:r w:rsidRPr="00E25215">
        <w:rPr>
          <w:rFonts w:cs="Times New Roman"/>
        </w:rPr>
        <w:t xml:space="preserve">, </w:t>
      </w:r>
      <w:r w:rsidRPr="00E25215">
        <w:rPr>
          <w:rFonts w:cs="Times New Roman"/>
          <w:i/>
          <w:iCs/>
        </w:rPr>
        <w:t>102</w:t>
      </w:r>
      <w:r w:rsidRPr="00E25215">
        <w:rPr>
          <w:rFonts w:cs="Times New Roman"/>
        </w:rPr>
        <w:t>(4), 1088–1091. https://doi.org/10.1073/pnas.0308547102</w:t>
      </w:r>
    </w:p>
    <w:p w14:paraId="2711AABF"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Grosholz, E. D., Crafton, R. E., Fontana, R. E., Pasari, J. R., Williams, S. L., &amp; Zabin, C. J. (2015). Aquaculture as a vector for marine invasions in California. </w:t>
      </w:r>
      <w:r w:rsidRPr="00E25215">
        <w:rPr>
          <w:rFonts w:cs="Times New Roman"/>
          <w:i/>
          <w:iCs/>
        </w:rPr>
        <w:t>Biological Invasions</w:t>
      </w:r>
      <w:r w:rsidRPr="00E25215">
        <w:rPr>
          <w:rFonts w:cs="Times New Roman"/>
        </w:rPr>
        <w:t xml:space="preserve">, </w:t>
      </w:r>
      <w:r w:rsidRPr="00E25215">
        <w:rPr>
          <w:rFonts w:cs="Times New Roman"/>
          <w:i/>
          <w:iCs/>
        </w:rPr>
        <w:t>17</w:t>
      </w:r>
      <w:r w:rsidRPr="00E25215">
        <w:rPr>
          <w:rFonts w:cs="Times New Roman"/>
        </w:rPr>
        <w:t>(5), 1471–1484. https://doi.org/10.1007/s10530-014-0808-9</w:t>
      </w:r>
    </w:p>
    <w:p w14:paraId="6BD03946"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Guay, P.-J., &amp; Tracey, J. P. (2009). Feral Mallards: A risk for hybridisation with wild Pacific Black Ducks in Australia? </w:t>
      </w:r>
      <w:r w:rsidRPr="00E25215">
        <w:rPr>
          <w:rFonts w:cs="Times New Roman"/>
          <w:i/>
          <w:iCs/>
        </w:rPr>
        <w:t>Victorian Naturalist, The</w:t>
      </w:r>
      <w:r w:rsidRPr="00E25215">
        <w:rPr>
          <w:rFonts w:cs="Times New Roman"/>
        </w:rPr>
        <w:t xml:space="preserve">, </w:t>
      </w:r>
      <w:r w:rsidRPr="00E25215">
        <w:rPr>
          <w:rFonts w:cs="Times New Roman"/>
          <w:i/>
          <w:iCs/>
        </w:rPr>
        <w:t>126</w:t>
      </w:r>
      <w:r w:rsidRPr="00E25215">
        <w:rPr>
          <w:rFonts w:cs="Times New Roman"/>
        </w:rPr>
        <w:t>(3), 87–91. https://search.informit.org/doi/epdf/10.3316/informit.669302995398699</w:t>
      </w:r>
    </w:p>
    <w:p w14:paraId="2E32351B"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Guerra-García, A., Golubov, J., &amp; C. Mandujano, M. (2015). Invasion of </w:t>
      </w:r>
      <w:r w:rsidRPr="00E25215">
        <w:rPr>
          <w:rFonts w:cs="Times New Roman"/>
          <w:i/>
          <w:iCs/>
        </w:rPr>
        <w:t>Kalanchoe</w:t>
      </w:r>
      <w:r w:rsidRPr="00E25215">
        <w:rPr>
          <w:rFonts w:cs="Times New Roman"/>
        </w:rPr>
        <w:t xml:space="preserve"> by clonal spread. </w:t>
      </w:r>
      <w:r w:rsidRPr="00E25215">
        <w:rPr>
          <w:rFonts w:cs="Times New Roman"/>
          <w:i/>
          <w:iCs/>
        </w:rPr>
        <w:t>Biological Invasions</w:t>
      </w:r>
      <w:r w:rsidRPr="00E25215">
        <w:rPr>
          <w:rFonts w:cs="Times New Roman"/>
        </w:rPr>
        <w:t xml:space="preserve">, </w:t>
      </w:r>
      <w:r w:rsidRPr="00E25215">
        <w:rPr>
          <w:rFonts w:cs="Times New Roman"/>
          <w:i/>
          <w:iCs/>
        </w:rPr>
        <w:t>17</w:t>
      </w:r>
      <w:r w:rsidRPr="00E25215">
        <w:rPr>
          <w:rFonts w:cs="Times New Roman"/>
        </w:rPr>
        <w:t>(6), 1615–1622. https://doi.org/10.1007/s10530-014-0820-0</w:t>
      </w:r>
    </w:p>
    <w:p w14:paraId="572C1E41" w14:textId="77777777" w:rsidR="001379C0" w:rsidRPr="00E25215" w:rsidRDefault="001379C0" w:rsidP="009B3E7F">
      <w:pPr>
        <w:pStyle w:val="Bibliography"/>
        <w:spacing w:before="0" w:after="0" w:line="240" w:lineRule="auto"/>
        <w:rPr>
          <w:rFonts w:cs="Times New Roman"/>
        </w:rPr>
      </w:pPr>
      <w:r w:rsidRPr="00E25215">
        <w:rPr>
          <w:rFonts w:cs="Times New Roman"/>
        </w:rPr>
        <w:lastRenderedPageBreak/>
        <w:t xml:space="preserve">Guerrero, E. L. (2017). </w:t>
      </w:r>
      <w:r w:rsidRPr="00E25215">
        <w:rPr>
          <w:rFonts w:cs="Times New Roman"/>
          <w:i/>
          <w:iCs/>
        </w:rPr>
        <w:t>Pteris nipponica</w:t>
      </w:r>
      <w:r w:rsidRPr="00E25215">
        <w:rPr>
          <w:rFonts w:cs="Times New Roman"/>
        </w:rPr>
        <w:t xml:space="preserve"> (Pteridaceae), un nueveo registro para la flora de buenos aires, Argentina. </w:t>
      </w:r>
      <w:r w:rsidRPr="00E25215">
        <w:rPr>
          <w:rFonts w:cs="Times New Roman"/>
          <w:i/>
          <w:iCs/>
        </w:rPr>
        <w:t>Bonplandia</w:t>
      </w:r>
      <w:r w:rsidRPr="00E25215">
        <w:rPr>
          <w:rFonts w:cs="Times New Roman"/>
        </w:rPr>
        <w:t xml:space="preserve">, </w:t>
      </w:r>
      <w:r w:rsidRPr="00E25215">
        <w:rPr>
          <w:rFonts w:cs="Times New Roman"/>
          <w:i/>
          <w:iCs/>
        </w:rPr>
        <w:t>26</w:t>
      </w:r>
      <w:r w:rsidRPr="00E25215">
        <w:rPr>
          <w:rFonts w:cs="Times New Roman"/>
        </w:rPr>
        <w:t>(2), 137–142. JSTOR. https://doi.org/10.30972/bon.2622573</w:t>
      </w:r>
    </w:p>
    <w:p w14:paraId="52918E76" w14:textId="77777777" w:rsidR="001379C0" w:rsidRPr="00E25215" w:rsidRDefault="001379C0" w:rsidP="009B3E7F">
      <w:pPr>
        <w:pStyle w:val="Bibliography"/>
        <w:spacing w:before="0" w:after="0" w:line="240" w:lineRule="auto"/>
        <w:rPr>
          <w:rFonts w:cs="Times New Roman"/>
        </w:rPr>
      </w:pPr>
      <w:r w:rsidRPr="00E25215">
        <w:rPr>
          <w:rFonts w:cs="Times New Roman"/>
        </w:rPr>
        <w:t>Guiden, P., Gorchov, D. L., Nielsen, C., &amp; Schauber, E. (2015). Seed dispersal of an invasive shrub, Amur honeysuckle (</w:t>
      </w:r>
      <w:r w:rsidRPr="00E25215">
        <w:rPr>
          <w:rFonts w:cs="Times New Roman"/>
          <w:i/>
          <w:iCs/>
        </w:rPr>
        <w:t>Lonicera maackii</w:t>
      </w:r>
      <w:r w:rsidRPr="00E25215">
        <w:rPr>
          <w:rFonts w:cs="Times New Roman"/>
        </w:rPr>
        <w:t xml:space="preserve">), by white-tailed deer in a fragmented agricultural-forest matrix. </w:t>
      </w:r>
      <w:r w:rsidRPr="00E25215">
        <w:rPr>
          <w:rFonts w:cs="Times New Roman"/>
          <w:i/>
          <w:iCs/>
        </w:rPr>
        <w:t>Plant Ecology</w:t>
      </w:r>
      <w:r w:rsidRPr="00E25215">
        <w:rPr>
          <w:rFonts w:cs="Times New Roman"/>
        </w:rPr>
        <w:t xml:space="preserve">, </w:t>
      </w:r>
      <w:r w:rsidRPr="00E25215">
        <w:rPr>
          <w:rFonts w:cs="Times New Roman"/>
          <w:i/>
          <w:iCs/>
        </w:rPr>
        <w:t>216</w:t>
      </w:r>
      <w:r w:rsidRPr="00E25215">
        <w:rPr>
          <w:rFonts w:cs="Times New Roman"/>
        </w:rPr>
        <w:t>(7), 939–950. https://doi.org/10.1007/s11258-015-0480-x</w:t>
      </w:r>
    </w:p>
    <w:p w14:paraId="35131F75"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Guo, Q., Fei, S., Shen, Z., Iannone, B. V., Knott, J., &amp; Chown, S. L. (2018). A global analysis of elevational distribution of non-native versus native plants. </w:t>
      </w:r>
      <w:r w:rsidRPr="00E25215">
        <w:rPr>
          <w:rFonts w:cs="Times New Roman"/>
          <w:i/>
          <w:iCs/>
        </w:rPr>
        <w:t>Journal of Biogeography</w:t>
      </w:r>
      <w:r w:rsidRPr="00E25215">
        <w:rPr>
          <w:rFonts w:cs="Times New Roman"/>
        </w:rPr>
        <w:t xml:space="preserve">, </w:t>
      </w:r>
      <w:r w:rsidRPr="00E25215">
        <w:rPr>
          <w:rFonts w:cs="Times New Roman"/>
          <w:i/>
          <w:iCs/>
        </w:rPr>
        <w:t>45</w:t>
      </w:r>
      <w:r w:rsidRPr="00E25215">
        <w:rPr>
          <w:rFonts w:cs="Times New Roman"/>
        </w:rPr>
        <w:t>(4), 793–803. https://doi.org/10.1111/jbi.13145</w:t>
      </w:r>
    </w:p>
    <w:p w14:paraId="39AA9622"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Guo, Q., Riitters, K., &amp; Potter, K. (2018). A Subcontinental Analysis of Forest Fragmentation Effects on Insect and Disease Invasion. </w:t>
      </w:r>
      <w:r w:rsidRPr="00E25215">
        <w:rPr>
          <w:rFonts w:cs="Times New Roman"/>
          <w:i/>
          <w:iCs/>
        </w:rPr>
        <w:t>Forests</w:t>
      </w:r>
      <w:r w:rsidRPr="00E25215">
        <w:rPr>
          <w:rFonts w:cs="Times New Roman"/>
        </w:rPr>
        <w:t xml:space="preserve">, </w:t>
      </w:r>
      <w:r w:rsidRPr="00E25215">
        <w:rPr>
          <w:rFonts w:cs="Times New Roman"/>
          <w:i/>
          <w:iCs/>
        </w:rPr>
        <w:t>9</w:t>
      </w:r>
      <w:r w:rsidRPr="00E25215">
        <w:rPr>
          <w:rFonts w:cs="Times New Roman"/>
        </w:rPr>
        <w:t>(12), 744. https://doi.org/10.3390/f9120744</w:t>
      </w:r>
    </w:p>
    <w:p w14:paraId="604E6CE4"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Haeuser, E., Dawson, W., Thuiller, W., Dullinger, S., Block, S., Bossdorf, O., Carboni, M., Conti, L., Dullinger, I., Essl, F., Klonner, G., Moser, D., Münkemüller, T., Parepa, M., Talluto, M. V., Kreft, H., Pergl, J., Pyšek, P., Weigelt, P., … van Kleunen, M. (2018). European ornamental garden flora as an invasion debt under climate change. </w:t>
      </w:r>
      <w:r w:rsidRPr="00E25215">
        <w:rPr>
          <w:rFonts w:cs="Times New Roman"/>
          <w:i/>
          <w:iCs/>
        </w:rPr>
        <w:t>Journal of Applied Ecology</w:t>
      </w:r>
      <w:r w:rsidRPr="00E25215">
        <w:rPr>
          <w:rFonts w:cs="Times New Roman"/>
        </w:rPr>
        <w:t xml:space="preserve">, </w:t>
      </w:r>
      <w:r w:rsidRPr="00E25215">
        <w:rPr>
          <w:rFonts w:cs="Times New Roman"/>
          <w:i/>
          <w:iCs/>
        </w:rPr>
        <w:t>55</w:t>
      </w:r>
      <w:r w:rsidRPr="00E25215">
        <w:rPr>
          <w:rFonts w:cs="Times New Roman"/>
        </w:rPr>
        <w:t>(5), Article 5. https://doi.org/10.1111/1365-2664.13197</w:t>
      </w:r>
    </w:p>
    <w:p w14:paraId="3BB45F2A"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Hager, H. A., Sinasac, S. E., Gedalof, Z., &amp; Newman, J. A. (2014). Predicting Potential Global Distributions of Two </w:t>
      </w:r>
      <w:r w:rsidRPr="00E25215">
        <w:rPr>
          <w:rFonts w:cs="Times New Roman"/>
          <w:i/>
          <w:iCs/>
        </w:rPr>
        <w:t>Miscanthus</w:t>
      </w:r>
      <w:r w:rsidRPr="00E25215">
        <w:rPr>
          <w:rFonts w:cs="Times New Roman"/>
        </w:rPr>
        <w:t xml:space="preserve"> Grasses: Implications for Horticulture, Biofuel Production, and Biological Invasions. </w:t>
      </w:r>
      <w:r w:rsidRPr="00E25215">
        <w:rPr>
          <w:rFonts w:cs="Times New Roman"/>
          <w:i/>
          <w:iCs/>
        </w:rPr>
        <w:t>PLoS ONE</w:t>
      </w:r>
      <w:r w:rsidRPr="00E25215">
        <w:rPr>
          <w:rFonts w:cs="Times New Roman"/>
        </w:rPr>
        <w:t xml:space="preserve">, </w:t>
      </w:r>
      <w:r w:rsidRPr="00E25215">
        <w:rPr>
          <w:rFonts w:cs="Times New Roman"/>
          <w:i/>
          <w:iCs/>
        </w:rPr>
        <w:t>9</w:t>
      </w:r>
      <w:r w:rsidRPr="00E25215">
        <w:rPr>
          <w:rFonts w:cs="Times New Roman"/>
        </w:rPr>
        <w:t>(6), e100032. https://doi.org/10.1371/journal.pone.0100032</w:t>
      </w:r>
    </w:p>
    <w:p w14:paraId="11B39D29"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Haider, S., Kueffer, C., Bruelheide, H., Seipel, T., Alexander, J. M., Rew, L. J., Arévalo, J. R., Cavieres, L. A., McDougall, K. L., Milbau, A., Naylor, B. J., Speziale, K., &amp; Pauchard, A. (2018). Mountain roads and non-native species modify elevational patterns of plant diversity. </w:t>
      </w:r>
      <w:r w:rsidRPr="00E25215">
        <w:rPr>
          <w:rFonts w:cs="Times New Roman"/>
          <w:i/>
          <w:iCs/>
        </w:rPr>
        <w:t>Global Ecology and Biogeography</w:t>
      </w:r>
      <w:r w:rsidRPr="00E25215">
        <w:rPr>
          <w:rFonts w:cs="Times New Roman"/>
        </w:rPr>
        <w:t xml:space="preserve">, </w:t>
      </w:r>
      <w:r w:rsidRPr="00E25215">
        <w:rPr>
          <w:rFonts w:cs="Times New Roman"/>
          <w:i/>
          <w:iCs/>
        </w:rPr>
        <w:t>27</w:t>
      </w:r>
      <w:r w:rsidRPr="00E25215">
        <w:rPr>
          <w:rFonts w:cs="Times New Roman"/>
        </w:rPr>
        <w:t>(6), 667–678. https://doi.org/10.1111/geb.12727</w:t>
      </w:r>
    </w:p>
    <w:p w14:paraId="32A0EBA3"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Hajdu, S., Pertola, S., &amp; Kuosa, H. (2005). </w:t>
      </w:r>
      <w:r w:rsidRPr="00E25215">
        <w:rPr>
          <w:rFonts w:cs="Times New Roman"/>
          <w:i/>
          <w:iCs/>
        </w:rPr>
        <w:t>Prorocentrum minimum</w:t>
      </w:r>
      <w:r w:rsidRPr="00E25215">
        <w:rPr>
          <w:rFonts w:cs="Times New Roman"/>
        </w:rPr>
        <w:t xml:space="preserve"> (Dinophyceae) in the Baltic Sea: Morphology, occurrence—A review. </w:t>
      </w:r>
      <w:r w:rsidRPr="00E25215">
        <w:rPr>
          <w:rFonts w:cs="Times New Roman"/>
          <w:i/>
          <w:iCs/>
        </w:rPr>
        <w:t>Harmful Algae</w:t>
      </w:r>
      <w:r w:rsidRPr="00E25215">
        <w:rPr>
          <w:rFonts w:cs="Times New Roman"/>
        </w:rPr>
        <w:t xml:space="preserve">, </w:t>
      </w:r>
      <w:r w:rsidRPr="00E25215">
        <w:rPr>
          <w:rFonts w:cs="Times New Roman"/>
          <w:i/>
          <w:iCs/>
        </w:rPr>
        <w:t>4</w:t>
      </w:r>
      <w:r w:rsidRPr="00E25215">
        <w:rPr>
          <w:rFonts w:cs="Times New Roman"/>
        </w:rPr>
        <w:t>(3), Article 3. https://doi.org/10.1016/j.hal.2004.08.004</w:t>
      </w:r>
    </w:p>
    <w:p w14:paraId="627C9977"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Hales, J. M., &amp; Fletcher, R. L. (1989). Studies on the recently introduced brown alga </w:t>
      </w:r>
      <w:r w:rsidRPr="00E25215">
        <w:rPr>
          <w:rFonts w:cs="Times New Roman"/>
          <w:i/>
          <w:iCs/>
        </w:rPr>
        <w:t>Sargassum muticum</w:t>
      </w:r>
      <w:r w:rsidRPr="00E25215">
        <w:rPr>
          <w:rFonts w:cs="Times New Roman"/>
        </w:rPr>
        <w:t xml:space="preserve"> (Yendo) Fensholt. </w:t>
      </w:r>
      <w:r w:rsidRPr="00E25215">
        <w:rPr>
          <w:rFonts w:cs="Times New Roman"/>
          <w:i/>
          <w:iCs/>
        </w:rPr>
        <w:t>Botanica Marina</w:t>
      </w:r>
      <w:r w:rsidRPr="00E25215">
        <w:rPr>
          <w:rFonts w:cs="Times New Roman"/>
        </w:rPr>
        <w:t xml:space="preserve">, </w:t>
      </w:r>
      <w:r w:rsidRPr="00E25215">
        <w:rPr>
          <w:rFonts w:cs="Times New Roman"/>
          <w:i/>
          <w:iCs/>
        </w:rPr>
        <w:t>33</w:t>
      </w:r>
      <w:r w:rsidRPr="00E25215">
        <w:rPr>
          <w:rFonts w:cs="Times New Roman"/>
        </w:rPr>
        <w:t>, 241–249. https://doi.org/10.1515/botm.1990.33.3.241</w:t>
      </w:r>
    </w:p>
    <w:p w14:paraId="61184E7C"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Hall-Spencer, J. M., Kelly, J., &amp; Maggs, C. A. (2010). </w:t>
      </w:r>
      <w:r w:rsidRPr="00E25215">
        <w:rPr>
          <w:rFonts w:cs="Times New Roman"/>
          <w:i/>
          <w:iCs/>
        </w:rPr>
        <w:t>Background document on maerl beds</w:t>
      </w:r>
      <w:r w:rsidRPr="00E25215">
        <w:rPr>
          <w:rFonts w:cs="Times New Roman"/>
        </w:rPr>
        <w:t xml:space="preserve"> (Vol. 491). OSPAR Commission, London. https://www.researchgate.net/publication/230661931_Background_document_on_maerl_beds</w:t>
      </w:r>
    </w:p>
    <w:p w14:paraId="7C87C63B"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Hall-Spencer, J. M., Rodolfo-Metalpa, R., Martin, S., Ransome, E., Fine, M., Turner, S. M., Rowley, S. J., Tedesco, D., &amp; Buia, M.-C. (2008). Volcanic carbon dioxide vents show ecosystem effects of ocean acidification. </w:t>
      </w:r>
      <w:r w:rsidRPr="00E25215">
        <w:rPr>
          <w:rFonts w:cs="Times New Roman"/>
          <w:i/>
          <w:iCs/>
        </w:rPr>
        <w:t>Nature</w:t>
      </w:r>
      <w:r w:rsidRPr="00E25215">
        <w:rPr>
          <w:rFonts w:cs="Times New Roman"/>
        </w:rPr>
        <w:t xml:space="preserve">, </w:t>
      </w:r>
      <w:r w:rsidRPr="00E25215">
        <w:rPr>
          <w:rFonts w:cs="Times New Roman"/>
          <w:i/>
          <w:iCs/>
        </w:rPr>
        <w:t>454</w:t>
      </w:r>
      <w:r w:rsidRPr="00E25215">
        <w:rPr>
          <w:rFonts w:cs="Times New Roman"/>
        </w:rPr>
        <w:t>(7200), 96–99. https://doi.org/10.1038/nature07051</w:t>
      </w:r>
    </w:p>
    <w:p w14:paraId="7FCCC7CE"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Hansen, D. M. (2015). Non-native megaherbivores: The case for novel function to manage plant invasions on islands. </w:t>
      </w:r>
      <w:r w:rsidRPr="00E25215">
        <w:rPr>
          <w:rFonts w:cs="Times New Roman"/>
          <w:i/>
          <w:iCs/>
        </w:rPr>
        <w:t>AoB Plants</w:t>
      </w:r>
      <w:r w:rsidRPr="00E25215">
        <w:rPr>
          <w:rFonts w:cs="Times New Roman"/>
        </w:rPr>
        <w:t xml:space="preserve">, </w:t>
      </w:r>
      <w:r w:rsidRPr="00E25215">
        <w:rPr>
          <w:rFonts w:cs="Times New Roman"/>
          <w:i/>
          <w:iCs/>
        </w:rPr>
        <w:t>7</w:t>
      </w:r>
      <w:r w:rsidRPr="00E25215">
        <w:rPr>
          <w:rFonts w:cs="Times New Roman"/>
        </w:rPr>
        <w:t>, plv085. https://doi.org/doi: 10.1093/aobpla/plv085</w:t>
      </w:r>
    </w:p>
    <w:p w14:paraId="6E1A2C22"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Hansen, M. J., &amp; Clevenger, A. P. (2005). The influence of disturbance and habitat on the presence of non-native plant species along transport corridors. </w:t>
      </w:r>
      <w:r w:rsidRPr="00E25215">
        <w:rPr>
          <w:rFonts w:cs="Times New Roman"/>
          <w:i/>
          <w:iCs/>
        </w:rPr>
        <w:t>Biological Conservation</w:t>
      </w:r>
      <w:r w:rsidRPr="00E25215">
        <w:rPr>
          <w:rFonts w:cs="Times New Roman"/>
        </w:rPr>
        <w:t xml:space="preserve">, </w:t>
      </w:r>
      <w:r w:rsidRPr="00E25215">
        <w:rPr>
          <w:rFonts w:cs="Times New Roman"/>
          <w:i/>
          <w:iCs/>
        </w:rPr>
        <w:t>125</w:t>
      </w:r>
      <w:r w:rsidRPr="00E25215">
        <w:rPr>
          <w:rFonts w:cs="Times New Roman"/>
        </w:rPr>
        <w:t>(2), 249–259. https://doi.org/10.1016/j.biocon.2005.03.024</w:t>
      </w:r>
    </w:p>
    <w:p w14:paraId="7D1C0FC1"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Hanski, I. (1999). Habitat connectivity, habitat continuity, and metapopulations in dynamic landscapes. </w:t>
      </w:r>
      <w:r w:rsidRPr="00E25215">
        <w:rPr>
          <w:rFonts w:cs="Times New Roman"/>
          <w:i/>
          <w:iCs/>
        </w:rPr>
        <w:t>Oikos</w:t>
      </w:r>
      <w:r w:rsidRPr="00E25215">
        <w:rPr>
          <w:rFonts w:cs="Times New Roman"/>
        </w:rPr>
        <w:t xml:space="preserve">, </w:t>
      </w:r>
      <w:r w:rsidRPr="00E25215">
        <w:rPr>
          <w:rFonts w:cs="Times New Roman"/>
          <w:i/>
          <w:iCs/>
        </w:rPr>
        <w:t>87</w:t>
      </w:r>
      <w:r w:rsidRPr="00E25215">
        <w:rPr>
          <w:rFonts w:cs="Times New Roman"/>
        </w:rPr>
        <w:t>(2), 209–219. https://doi.org/10.2307/3546736</w:t>
      </w:r>
    </w:p>
    <w:p w14:paraId="3895659C"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Hardwick, N. V., Armstrong, A. C., Ellis, S. A., Gladders, P., Yarham, D. J., &amp; Parker, W. E. (1996). The impact of climate change on crop pests and diseases. </w:t>
      </w:r>
      <w:r w:rsidRPr="00E25215">
        <w:rPr>
          <w:rFonts w:cs="Times New Roman"/>
          <w:i/>
          <w:iCs/>
        </w:rPr>
        <w:t>Aspects of Applied Biology</w:t>
      </w:r>
      <w:r w:rsidRPr="00E25215">
        <w:rPr>
          <w:rFonts w:cs="Times New Roman"/>
        </w:rPr>
        <w:t xml:space="preserve">, </w:t>
      </w:r>
      <w:r w:rsidRPr="00E25215">
        <w:rPr>
          <w:rFonts w:cs="Times New Roman"/>
          <w:i/>
          <w:iCs/>
        </w:rPr>
        <w:t>45</w:t>
      </w:r>
      <w:r w:rsidRPr="00E25215">
        <w:rPr>
          <w:rFonts w:cs="Times New Roman"/>
        </w:rPr>
        <w:t>, 261–268.</w:t>
      </w:r>
    </w:p>
    <w:p w14:paraId="5667ED4F" w14:textId="77777777" w:rsidR="001379C0" w:rsidRPr="00E25215" w:rsidRDefault="001379C0" w:rsidP="009B3E7F">
      <w:pPr>
        <w:pStyle w:val="Bibliography"/>
        <w:spacing w:before="0" w:after="0" w:line="240" w:lineRule="auto"/>
        <w:rPr>
          <w:rFonts w:cs="Times New Roman"/>
        </w:rPr>
      </w:pPr>
      <w:r w:rsidRPr="00E25215">
        <w:rPr>
          <w:rFonts w:cs="Times New Roman"/>
        </w:rPr>
        <w:lastRenderedPageBreak/>
        <w:t xml:space="preserve">Haregeweyn, N., Tsunekawa, A., Tsubo, M., Meshesha, D., &amp; Melkie, A. (2013). Analysis of the invasion rate, impacts and control measures of </w:t>
      </w:r>
      <w:r w:rsidRPr="00E25215">
        <w:rPr>
          <w:rFonts w:cs="Times New Roman"/>
          <w:i/>
          <w:iCs/>
        </w:rPr>
        <w:t>Prosopis juliflora</w:t>
      </w:r>
      <w:r w:rsidRPr="00E25215">
        <w:rPr>
          <w:rFonts w:cs="Times New Roman"/>
        </w:rPr>
        <w:t xml:space="preserve">: A case study of Amibara District, Eastern Ethiopia. </w:t>
      </w:r>
      <w:r w:rsidRPr="00E25215">
        <w:rPr>
          <w:rFonts w:cs="Times New Roman"/>
          <w:i/>
          <w:iCs/>
        </w:rPr>
        <w:t>Environmental Monitoring and Assessment</w:t>
      </w:r>
      <w:r w:rsidRPr="00E25215">
        <w:rPr>
          <w:rFonts w:cs="Times New Roman"/>
        </w:rPr>
        <w:t xml:space="preserve">, </w:t>
      </w:r>
      <w:r w:rsidRPr="00E25215">
        <w:rPr>
          <w:rFonts w:cs="Times New Roman"/>
          <w:i/>
          <w:iCs/>
        </w:rPr>
        <w:t>185</w:t>
      </w:r>
      <w:r w:rsidRPr="00E25215">
        <w:rPr>
          <w:rFonts w:cs="Times New Roman"/>
        </w:rPr>
        <w:t>(9), 7527–7542. https://doi.org/10.1007/s10661-013-3117-3</w:t>
      </w:r>
    </w:p>
    <w:p w14:paraId="6C07CF28"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Hassall, C. (2014). The ecology and biodiversity of urban ponds: Ecology and biodiversity of urban ponds. </w:t>
      </w:r>
      <w:r w:rsidRPr="00E25215">
        <w:rPr>
          <w:rFonts w:cs="Times New Roman"/>
          <w:i/>
          <w:iCs/>
        </w:rPr>
        <w:t>Wiley Interdisciplinary Reviews: Water</w:t>
      </w:r>
      <w:r w:rsidRPr="00E25215">
        <w:rPr>
          <w:rFonts w:cs="Times New Roman"/>
        </w:rPr>
        <w:t xml:space="preserve">, </w:t>
      </w:r>
      <w:r w:rsidRPr="00E25215">
        <w:rPr>
          <w:rFonts w:cs="Times New Roman"/>
          <w:i/>
          <w:iCs/>
        </w:rPr>
        <w:t>1</w:t>
      </w:r>
      <w:r w:rsidRPr="00E25215">
        <w:rPr>
          <w:rFonts w:cs="Times New Roman"/>
        </w:rPr>
        <w:t>(2), 187–206. https://doi.org/10.1002/wat2.1014</w:t>
      </w:r>
    </w:p>
    <w:p w14:paraId="02A31B1C" w14:textId="77777777" w:rsidR="001379C0" w:rsidRPr="00E25215" w:rsidRDefault="001379C0" w:rsidP="009B3E7F">
      <w:pPr>
        <w:pStyle w:val="Bibliography"/>
        <w:spacing w:before="0" w:after="0" w:line="240" w:lineRule="auto"/>
        <w:rPr>
          <w:rFonts w:cs="Times New Roman"/>
        </w:rPr>
      </w:pPr>
      <w:r w:rsidRPr="00E25215">
        <w:rPr>
          <w:rFonts w:cs="Times New Roman"/>
        </w:rPr>
        <w:t>Hattenschwiler, S., &amp; Körner, C. (2003). Does elevated CO</w:t>
      </w:r>
      <w:r w:rsidRPr="00E25215">
        <w:rPr>
          <w:rFonts w:cs="Times New Roman"/>
          <w:vertAlign w:val="subscript"/>
        </w:rPr>
        <w:t>2</w:t>
      </w:r>
      <w:r w:rsidRPr="00E25215">
        <w:rPr>
          <w:rFonts w:cs="Times New Roman"/>
        </w:rPr>
        <w:t xml:space="preserve"> facilitate naturalization of the non-indigenous </w:t>
      </w:r>
      <w:r w:rsidRPr="00E25215">
        <w:rPr>
          <w:rFonts w:cs="Times New Roman"/>
          <w:i/>
          <w:iCs/>
        </w:rPr>
        <w:t>Prunus laurocerasus</w:t>
      </w:r>
      <w:r w:rsidRPr="00E25215">
        <w:rPr>
          <w:rFonts w:cs="Times New Roman"/>
        </w:rPr>
        <w:t xml:space="preserve"> in Swiss temperate forests? </w:t>
      </w:r>
      <w:r w:rsidRPr="00E25215">
        <w:rPr>
          <w:rFonts w:cs="Times New Roman"/>
          <w:i/>
          <w:iCs/>
        </w:rPr>
        <w:t>Functional Ecology</w:t>
      </w:r>
      <w:r w:rsidRPr="00E25215">
        <w:rPr>
          <w:rFonts w:cs="Times New Roman"/>
        </w:rPr>
        <w:t xml:space="preserve">, </w:t>
      </w:r>
      <w:r w:rsidRPr="00E25215">
        <w:rPr>
          <w:rFonts w:cs="Times New Roman"/>
          <w:i/>
          <w:iCs/>
        </w:rPr>
        <w:t>17</w:t>
      </w:r>
      <w:r w:rsidRPr="00E25215">
        <w:rPr>
          <w:rFonts w:cs="Times New Roman"/>
        </w:rPr>
        <w:t>(6), 778–785. https://doi.org/10.1111/j.1365-2435.2003.00785.x</w:t>
      </w:r>
    </w:p>
    <w:p w14:paraId="4653B21A"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Havel, J. E., Kovalenko, K. E., Thomaz, S. M., Amalfitano, S., &amp; Kats, L. B. (2015). Aquatic invasive species: Challenges for the future. </w:t>
      </w:r>
      <w:r w:rsidRPr="00E25215">
        <w:rPr>
          <w:rFonts w:cs="Times New Roman"/>
          <w:i/>
          <w:iCs/>
        </w:rPr>
        <w:t>Hydrobiologia</w:t>
      </w:r>
      <w:r w:rsidRPr="00E25215">
        <w:rPr>
          <w:rFonts w:cs="Times New Roman"/>
        </w:rPr>
        <w:t xml:space="preserve">, </w:t>
      </w:r>
      <w:r w:rsidRPr="00E25215">
        <w:rPr>
          <w:rFonts w:cs="Times New Roman"/>
          <w:i/>
          <w:iCs/>
        </w:rPr>
        <w:t>750</w:t>
      </w:r>
      <w:r w:rsidRPr="00E25215">
        <w:rPr>
          <w:rFonts w:cs="Times New Roman"/>
        </w:rPr>
        <w:t>(1), Article 1. https://doi.org/10.1007/s10750-014-2166-0</w:t>
      </w:r>
    </w:p>
    <w:p w14:paraId="13E45A61"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Havel, J. E., Lee, C. E., &amp; Vander Zanden, M. J. (2005). Do Reservoirs Facilitate Invasions into Landscapes? </w:t>
      </w:r>
      <w:r w:rsidRPr="00E25215">
        <w:rPr>
          <w:rFonts w:cs="Times New Roman"/>
          <w:i/>
          <w:iCs/>
        </w:rPr>
        <w:t>BioScience</w:t>
      </w:r>
      <w:r w:rsidRPr="00E25215">
        <w:rPr>
          <w:rFonts w:cs="Times New Roman"/>
        </w:rPr>
        <w:t xml:space="preserve">, </w:t>
      </w:r>
      <w:r w:rsidRPr="00E25215">
        <w:rPr>
          <w:rFonts w:cs="Times New Roman"/>
          <w:i/>
          <w:iCs/>
        </w:rPr>
        <w:t>55</w:t>
      </w:r>
      <w:r w:rsidRPr="00E25215">
        <w:rPr>
          <w:rFonts w:cs="Times New Roman"/>
        </w:rPr>
        <w:t>(6), 518. https://doi.org/10.1641/0006-3568(2005)055[0518:DRFIIL]2.0.CO;2</w:t>
      </w:r>
    </w:p>
    <w:p w14:paraId="3A6BF7EE"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Hays, W. S. T., &amp; Conant, Sheila. (2007). Biology and Impacts of Pacific Island Invasive Species. 1. A Worldwide Review of Effects of the Small Indian Mongoose, </w:t>
      </w:r>
      <w:r w:rsidRPr="00E25215">
        <w:rPr>
          <w:rFonts w:cs="Times New Roman"/>
          <w:i/>
          <w:iCs/>
        </w:rPr>
        <w:t>Herpestes javanicus</w:t>
      </w:r>
      <w:r w:rsidRPr="00E25215">
        <w:rPr>
          <w:rFonts w:cs="Times New Roman"/>
        </w:rPr>
        <w:t xml:space="preserve"> (Carnivora: Herpestidae). </w:t>
      </w:r>
      <w:r w:rsidRPr="00E25215">
        <w:rPr>
          <w:rFonts w:cs="Times New Roman"/>
          <w:i/>
          <w:iCs/>
        </w:rPr>
        <w:t>Pacific Science</w:t>
      </w:r>
      <w:r w:rsidRPr="00E25215">
        <w:rPr>
          <w:rFonts w:cs="Times New Roman"/>
        </w:rPr>
        <w:t xml:space="preserve">, </w:t>
      </w:r>
      <w:r w:rsidRPr="00E25215">
        <w:rPr>
          <w:rFonts w:cs="Times New Roman"/>
          <w:i/>
          <w:iCs/>
        </w:rPr>
        <w:t>61</w:t>
      </w:r>
      <w:r w:rsidRPr="00E25215">
        <w:rPr>
          <w:rFonts w:cs="Times New Roman"/>
        </w:rPr>
        <w:t>(1), 3–16. https://doi.org/10.1353/psc.2007.0006</w:t>
      </w:r>
    </w:p>
    <w:p w14:paraId="5B13443E"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He, T., Lamont, B. B., &amp; Pausas, J. G. (2019). Fire as a key driver of Earth’s biodiversity. </w:t>
      </w:r>
      <w:r w:rsidRPr="00E25215">
        <w:rPr>
          <w:rFonts w:cs="Times New Roman"/>
          <w:i/>
          <w:iCs/>
        </w:rPr>
        <w:t>Biological Reviews</w:t>
      </w:r>
      <w:r w:rsidRPr="00E25215">
        <w:rPr>
          <w:rFonts w:cs="Times New Roman"/>
        </w:rPr>
        <w:t xml:space="preserve">, </w:t>
      </w:r>
      <w:r w:rsidRPr="00E25215">
        <w:rPr>
          <w:rFonts w:cs="Times New Roman"/>
          <w:i/>
          <w:iCs/>
        </w:rPr>
        <w:t>94</w:t>
      </w:r>
      <w:r w:rsidRPr="00E25215">
        <w:rPr>
          <w:rFonts w:cs="Times New Roman"/>
        </w:rPr>
        <w:t>(6), Article 6. https://doi.org/10.1111/brv.12544</w:t>
      </w:r>
    </w:p>
    <w:p w14:paraId="0D2DF61D"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Hecky, R. E., Mugidde, R., Ramlal, P. S., Talbot, M. R., &amp; Kling, G. W. (2010). Multiple stressors cause rapid ecosystem change in Lake Victoria. </w:t>
      </w:r>
      <w:r w:rsidRPr="00E25215">
        <w:rPr>
          <w:rFonts w:cs="Times New Roman"/>
          <w:i/>
          <w:iCs/>
        </w:rPr>
        <w:t>Freshwater Biology</w:t>
      </w:r>
      <w:r w:rsidRPr="00E25215">
        <w:rPr>
          <w:rFonts w:cs="Times New Roman"/>
        </w:rPr>
        <w:t xml:space="preserve">, </w:t>
      </w:r>
      <w:r w:rsidRPr="00E25215">
        <w:rPr>
          <w:rFonts w:cs="Times New Roman"/>
          <w:i/>
          <w:iCs/>
        </w:rPr>
        <w:t>55</w:t>
      </w:r>
      <w:r w:rsidRPr="00E25215">
        <w:rPr>
          <w:rFonts w:cs="Times New Roman"/>
        </w:rPr>
        <w:t>(s1), 19–42. https://doi.org/10.1111/j.1365-2427.2009.02374.x</w:t>
      </w:r>
    </w:p>
    <w:p w14:paraId="3747661E"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Heimpel, G. E., Frelich, L. E., Landis, D. A., Hopper, K. R., Hoelmer, K. A., Sezen, Z., Asplen, M. K., &amp; Wu, K. (2010). European buckthorn and Asian soybean aphid as components of an extensive invasional meltdown in North America. </w:t>
      </w:r>
      <w:r w:rsidRPr="00E25215">
        <w:rPr>
          <w:rFonts w:cs="Times New Roman"/>
          <w:i/>
          <w:iCs/>
        </w:rPr>
        <w:t>Biological Invasions</w:t>
      </w:r>
      <w:r w:rsidRPr="00E25215">
        <w:rPr>
          <w:rFonts w:cs="Times New Roman"/>
        </w:rPr>
        <w:t xml:space="preserve">, </w:t>
      </w:r>
      <w:r w:rsidRPr="00E25215">
        <w:rPr>
          <w:rFonts w:cs="Times New Roman"/>
          <w:i/>
          <w:iCs/>
        </w:rPr>
        <w:t>12</w:t>
      </w:r>
      <w:r w:rsidRPr="00E25215">
        <w:rPr>
          <w:rFonts w:cs="Times New Roman"/>
        </w:rPr>
        <w:t>(9), 2913–2931. https://doi.org/10.1007/s10530-010-9736-5</w:t>
      </w:r>
    </w:p>
    <w:p w14:paraId="49254D7D"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Hellmann, J. J., Byers, J. E., Bierwagen, B. G., &amp; Dukes, J. S. (2008). Five Potential Consequences of Climate Change for Invasive Species. </w:t>
      </w:r>
      <w:r w:rsidRPr="00E25215">
        <w:rPr>
          <w:rFonts w:cs="Times New Roman"/>
          <w:i/>
          <w:iCs/>
        </w:rPr>
        <w:t>Conservation Biology</w:t>
      </w:r>
      <w:r w:rsidRPr="00E25215">
        <w:rPr>
          <w:rFonts w:cs="Times New Roman"/>
        </w:rPr>
        <w:t xml:space="preserve">, </w:t>
      </w:r>
      <w:r w:rsidRPr="00E25215">
        <w:rPr>
          <w:rFonts w:cs="Times New Roman"/>
          <w:i/>
          <w:iCs/>
        </w:rPr>
        <w:t>22</w:t>
      </w:r>
      <w:r w:rsidRPr="00E25215">
        <w:rPr>
          <w:rFonts w:cs="Times New Roman"/>
        </w:rPr>
        <w:t>(3), 534–543. https://doi.org/10.1111/j.1523-1739.2008.00951.x</w:t>
      </w:r>
    </w:p>
    <w:p w14:paraId="371A7DEA"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Henderson, L. (2009, July). Features used in identification of Eucalyptus species. </w:t>
      </w:r>
      <w:r w:rsidRPr="00E25215">
        <w:rPr>
          <w:rFonts w:cs="Times New Roman"/>
          <w:i/>
          <w:iCs/>
        </w:rPr>
        <w:t>Sapia News (Southern African Plant Invaders Atlas)</w:t>
      </w:r>
      <w:r w:rsidRPr="00E25215">
        <w:rPr>
          <w:rFonts w:cs="Times New Roman"/>
        </w:rPr>
        <w:t xml:space="preserve">, </w:t>
      </w:r>
      <w:r w:rsidRPr="00E25215">
        <w:rPr>
          <w:rFonts w:cs="Times New Roman"/>
          <w:i/>
          <w:iCs/>
        </w:rPr>
        <w:t>12</w:t>
      </w:r>
      <w:r w:rsidRPr="00E25215">
        <w:rPr>
          <w:rFonts w:cs="Times New Roman"/>
        </w:rPr>
        <w:t>, 3. https://www.midlandsconservancies.org.za/documents/problemplants/sapia/SAPIA_NEWS_No._12.pdf</w:t>
      </w:r>
    </w:p>
    <w:p w14:paraId="0E5D5B1E" w14:textId="77777777" w:rsidR="001379C0" w:rsidRPr="00E25215" w:rsidRDefault="001379C0" w:rsidP="009B3E7F">
      <w:pPr>
        <w:pStyle w:val="Bibliography"/>
        <w:spacing w:before="0" w:after="0" w:line="240" w:lineRule="auto"/>
        <w:rPr>
          <w:rFonts w:cs="Times New Roman"/>
        </w:rPr>
      </w:pPr>
      <w:r w:rsidRPr="00E25215">
        <w:rPr>
          <w:rFonts w:cs="Times New Roman"/>
        </w:rPr>
        <w:t>Herbert, R. J. H., Humphreys, J., Davies, Clare. J., Roberts, C., Fletcher, S., &amp; Crowe, Tasman. P. (2016). Ecological impacts of non-native Pacific oysters (</w:t>
      </w:r>
      <w:r w:rsidRPr="00E25215">
        <w:rPr>
          <w:rFonts w:cs="Times New Roman"/>
          <w:i/>
          <w:iCs/>
        </w:rPr>
        <w:t>Crassostrea gigas</w:t>
      </w:r>
      <w:r w:rsidRPr="00E25215">
        <w:rPr>
          <w:rFonts w:cs="Times New Roman"/>
        </w:rPr>
        <w:t xml:space="preserve">) and management measures for protected areas in Europe. </w:t>
      </w:r>
      <w:r w:rsidRPr="00E25215">
        <w:rPr>
          <w:rFonts w:cs="Times New Roman"/>
          <w:i/>
          <w:iCs/>
        </w:rPr>
        <w:t>Biodiversity and Conservation</w:t>
      </w:r>
      <w:r w:rsidRPr="00E25215">
        <w:rPr>
          <w:rFonts w:cs="Times New Roman"/>
        </w:rPr>
        <w:t xml:space="preserve">, </w:t>
      </w:r>
      <w:r w:rsidRPr="00E25215">
        <w:rPr>
          <w:rFonts w:cs="Times New Roman"/>
          <w:i/>
          <w:iCs/>
        </w:rPr>
        <w:t>25</w:t>
      </w:r>
      <w:r w:rsidRPr="00E25215">
        <w:rPr>
          <w:rFonts w:cs="Times New Roman"/>
        </w:rPr>
        <w:t>(14), 2835–2865. https://doi.org/10.1007/s10531-016-1209-4</w:t>
      </w:r>
    </w:p>
    <w:p w14:paraId="2E7D50F6"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Herrando-Moraira, S., Vitales, D., Nualart, N., Gómez-Bellver, C., Ibáñez, N., Massó, S., Cachón-Ferrero, P., González-Gutiérrez, P. A., Guillot, D., Herrera, I., Shaw, D., Stinca, A., Wang, Z., &amp; López-Pujol, J. (2020). Global distribution patterns and niche modelling of the invasive </w:t>
      </w:r>
      <w:r w:rsidRPr="00E25215">
        <w:rPr>
          <w:rFonts w:cs="Times New Roman"/>
          <w:i/>
          <w:iCs/>
        </w:rPr>
        <w:t>Kalanchoe</w:t>
      </w:r>
      <w:r w:rsidRPr="00E25215">
        <w:rPr>
          <w:rFonts w:cs="Times New Roman"/>
        </w:rPr>
        <w:t xml:space="preserve"> × </w:t>
      </w:r>
      <w:r w:rsidRPr="00E25215">
        <w:rPr>
          <w:rFonts w:cs="Times New Roman"/>
          <w:i/>
          <w:iCs/>
        </w:rPr>
        <w:t>houghtonii</w:t>
      </w:r>
      <w:r w:rsidRPr="00E25215">
        <w:rPr>
          <w:rFonts w:cs="Times New Roman"/>
        </w:rPr>
        <w:t xml:space="preserve"> (Crassulaceae). </w:t>
      </w:r>
      <w:r w:rsidRPr="00E25215">
        <w:rPr>
          <w:rFonts w:cs="Times New Roman"/>
          <w:i/>
          <w:iCs/>
        </w:rPr>
        <w:t>Scientific Reports</w:t>
      </w:r>
      <w:r w:rsidRPr="00E25215">
        <w:rPr>
          <w:rFonts w:cs="Times New Roman"/>
        </w:rPr>
        <w:t xml:space="preserve">, </w:t>
      </w:r>
      <w:r w:rsidRPr="00E25215">
        <w:rPr>
          <w:rFonts w:cs="Times New Roman"/>
          <w:i/>
          <w:iCs/>
        </w:rPr>
        <w:t>10</w:t>
      </w:r>
      <w:r w:rsidRPr="00E25215">
        <w:rPr>
          <w:rFonts w:cs="Times New Roman"/>
        </w:rPr>
        <w:t>(1), Article 1. https://doi.org/10.1038/s41598-020-60079-2</w:t>
      </w:r>
    </w:p>
    <w:p w14:paraId="1897B6A6"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Hickey, V. (2010). The quagga mussel crisis at Lake Mead National Recreation Area, Nevada (U.S.A.). </w:t>
      </w:r>
      <w:r w:rsidRPr="00E25215">
        <w:rPr>
          <w:rFonts w:cs="Times New Roman"/>
          <w:i/>
          <w:iCs/>
        </w:rPr>
        <w:t>Conservation Biology: The Journal of the Society for Conservation Biology</w:t>
      </w:r>
      <w:r w:rsidRPr="00E25215">
        <w:rPr>
          <w:rFonts w:cs="Times New Roman"/>
        </w:rPr>
        <w:t xml:space="preserve">, </w:t>
      </w:r>
      <w:r w:rsidRPr="00E25215">
        <w:rPr>
          <w:rFonts w:cs="Times New Roman"/>
          <w:i/>
          <w:iCs/>
        </w:rPr>
        <w:t>24</w:t>
      </w:r>
      <w:r w:rsidRPr="00E25215">
        <w:rPr>
          <w:rFonts w:cs="Times New Roman"/>
        </w:rPr>
        <w:t>(4), 931–937. https://doi.org/10.1111/j.1523-1739.2010.01490.x</w:t>
      </w:r>
    </w:p>
    <w:p w14:paraId="0F46CA83"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Hilton, M., Harvey, N., Hart, A., James, K., &amp; Arbuckle, C. (2006). The Impact of Exotic Dune Grass Species on Foredune Development in Australia and New Zealand: A case study of </w:t>
      </w:r>
      <w:r w:rsidRPr="00E25215">
        <w:rPr>
          <w:rFonts w:cs="Times New Roman"/>
          <w:i/>
          <w:iCs/>
        </w:rPr>
        <w:t>Ammophila arenaria</w:t>
      </w:r>
      <w:r w:rsidRPr="00E25215">
        <w:rPr>
          <w:rFonts w:cs="Times New Roman"/>
        </w:rPr>
        <w:t xml:space="preserve"> and </w:t>
      </w:r>
      <w:r w:rsidRPr="00E25215">
        <w:rPr>
          <w:rFonts w:cs="Times New Roman"/>
          <w:i/>
          <w:iCs/>
        </w:rPr>
        <w:t>Thinopyrum junceiforme</w:t>
      </w:r>
      <w:r w:rsidRPr="00E25215">
        <w:rPr>
          <w:rFonts w:cs="Times New Roman"/>
        </w:rPr>
        <w:t xml:space="preserve">. </w:t>
      </w:r>
      <w:r w:rsidRPr="00E25215">
        <w:rPr>
          <w:rFonts w:cs="Times New Roman"/>
          <w:i/>
          <w:iCs/>
        </w:rPr>
        <w:t>Australian Geographer</w:t>
      </w:r>
      <w:r w:rsidRPr="00E25215">
        <w:rPr>
          <w:rFonts w:cs="Times New Roman"/>
        </w:rPr>
        <w:t xml:space="preserve">, </w:t>
      </w:r>
      <w:r w:rsidRPr="00E25215">
        <w:rPr>
          <w:rFonts w:cs="Times New Roman"/>
          <w:i/>
          <w:iCs/>
        </w:rPr>
        <w:t>37</w:t>
      </w:r>
      <w:r w:rsidRPr="00E25215">
        <w:rPr>
          <w:rFonts w:cs="Times New Roman"/>
        </w:rPr>
        <w:t>(3), 313–334. https://doi.org/10.1080/00049180600954765</w:t>
      </w:r>
    </w:p>
    <w:p w14:paraId="29D3ACA7" w14:textId="77777777" w:rsidR="001379C0" w:rsidRPr="00E25215" w:rsidRDefault="001379C0" w:rsidP="009B3E7F">
      <w:pPr>
        <w:pStyle w:val="Bibliography"/>
        <w:spacing w:before="0" w:after="0" w:line="240" w:lineRule="auto"/>
        <w:rPr>
          <w:rFonts w:cs="Times New Roman"/>
        </w:rPr>
      </w:pPr>
      <w:r w:rsidRPr="00E25215">
        <w:rPr>
          <w:rFonts w:cs="Times New Roman"/>
        </w:rPr>
        <w:lastRenderedPageBreak/>
        <w:t xml:space="preserve">Hindar, K., Hole, L. R., Kausrud, K. L., Malmstrøm, M., Rimstad, E., Robertson, L., Sandlund, O. T., Thorstad, E. B., Vollset, K., &amp; de Boer, H. (2020). </w:t>
      </w:r>
      <w:r w:rsidRPr="00E25215">
        <w:rPr>
          <w:rFonts w:cs="Times New Roman"/>
          <w:i/>
          <w:iCs/>
        </w:rPr>
        <w:t>Assessment of the risk to Norwegian biodiversity and aquaculture from pink salmon (</w:t>
      </w:r>
      <w:r w:rsidRPr="00E25215">
        <w:rPr>
          <w:rFonts w:cs="Times New Roman"/>
        </w:rPr>
        <w:t>Oncorhynchus gorbuscha</w:t>
      </w:r>
      <w:r w:rsidRPr="00E25215">
        <w:rPr>
          <w:rFonts w:cs="Times New Roman"/>
          <w:i/>
          <w:iCs/>
        </w:rPr>
        <w:t>). Scientific Opinion of the Panel on Alien Organisms and Trade in Endangered Species of the Norwegian Scientific Committee for Food and Environment</w:t>
      </w:r>
      <w:r w:rsidRPr="00E25215">
        <w:rPr>
          <w:rFonts w:cs="Times New Roman"/>
        </w:rPr>
        <w:t xml:space="preserve"> (VKM report 2020:0). Norwegian Scientific  Committee for Food and Environment (VKM). https://vetinst.brage.unit.no/vetinst-xmlui/bitstream/handle/11250/2828612/HindarAssessmentVKMrapport01_2020.pdf?sequence=2</w:t>
      </w:r>
    </w:p>
    <w:p w14:paraId="38934AD3"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Hinz, H. L., Winston, R. L., &amp; Schwarzländer, M. (2019). How Safe Is Weed Biological Control? A Global Review of Direct Nontarget Attack. </w:t>
      </w:r>
      <w:r w:rsidRPr="00E25215">
        <w:rPr>
          <w:rFonts w:cs="Times New Roman"/>
          <w:i/>
          <w:iCs/>
        </w:rPr>
        <w:t>The Quarterly Review of Biology</w:t>
      </w:r>
      <w:r w:rsidRPr="00E25215">
        <w:rPr>
          <w:rFonts w:cs="Times New Roman"/>
        </w:rPr>
        <w:t xml:space="preserve">, </w:t>
      </w:r>
      <w:r w:rsidRPr="00E25215">
        <w:rPr>
          <w:rFonts w:cs="Times New Roman"/>
          <w:i/>
          <w:iCs/>
        </w:rPr>
        <w:t>94</w:t>
      </w:r>
      <w:r w:rsidRPr="00E25215">
        <w:rPr>
          <w:rFonts w:cs="Times New Roman"/>
        </w:rPr>
        <w:t>(1), 27. https://doi.org/10.1086/702340</w:t>
      </w:r>
    </w:p>
    <w:p w14:paraId="05AA576C"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Hirsch, H., Allsopp, M. H., Canavan, S., Cheek, M., Geerts, S., Geldenhuys, C. J., Harding, G., Hurley, B. P., Jones, W., Keet, J.-H., Klein, H., Ruwanza, S., van Wilgen, B. W., Wingfield, M. J., &amp; Richardson, D. M. (2020). </w:t>
      </w:r>
      <w:r w:rsidRPr="00E25215">
        <w:rPr>
          <w:rFonts w:cs="Times New Roman"/>
          <w:i/>
          <w:iCs/>
        </w:rPr>
        <w:t>Eucalyptus camaldulensis</w:t>
      </w:r>
      <w:r w:rsidRPr="00E25215">
        <w:rPr>
          <w:rFonts w:cs="Times New Roman"/>
        </w:rPr>
        <w:t xml:space="preserve"> in South Africa – past, present, future. </w:t>
      </w:r>
      <w:r w:rsidRPr="00E25215">
        <w:rPr>
          <w:rFonts w:cs="Times New Roman"/>
          <w:i/>
          <w:iCs/>
        </w:rPr>
        <w:t>Transactions of the Royal Society of South Africa</w:t>
      </w:r>
      <w:r w:rsidRPr="00E25215">
        <w:rPr>
          <w:rFonts w:cs="Times New Roman"/>
        </w:rPr>
        <w:t xml:space="preserve">, </w:t>
      </w:r>
      <w:r w:rsidRPr="00E25215">
        <w:rPr>
          <w:rFonts w:cs="Times New Roman"/>
          <w:i/>
          <w:iCs/>
        </w:rPr>
        <w:t>75</w:t>
      </w:r>
      <w:r w:rsidRPr="00E25215">
        <w:rPr>
          <w:rFonts w:cs="Times New Roman"/>
        </w:rPr>
        <w:t>(1), 1–22. https://doi.org/10.1080/0035919X.2019.1669732</w:t>
      </w:r>
    </w:p>
    <w:p w14:paraId="72E88ABF"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Hixon, M., Green, S., Albins, M., Akins, J., &amp; Morris, J. (2016). Lionfish: A major marine invasion. </w:t>
      </w:r>
      <w:r w:rsidRPr="00E25215">
        <w:rPr>
          <w:rFonts w:cs="Times New Roman"/>
          <w:i/>
          <w:iCs/>
        </w:rPr>
        <w:t>Marine Ecology Progress Series</w:t>
      </w:r>
      <w:r w:rsidRPr="00E25215">
        <w:rPr>
          <w:rFonts w:cs="Times New Roman"/>
        </w:rPr>
        <w:t xml:space="preserve">, </w:t>
      </w:r>
      <w:r w:rsidRPr="00E25215">
        <w:rPr>
          <w:rFonts w:cs="Times New Roman"/>
          <w:i/>
          <w:iCs/>
        </w:rPr>
        <w:t>558</w:t>
      </w:r>
      <w:r w:rsidRPr="00E25215">
        <w:rPr>
          <w:rFonts w:cs="Times New Roman"/>
        </w:rPr>
        <w:t>, 161–165. https://doi.org/10.3354/meps11909</w:t>
      </w:r>
    </w:p>
    <w:p w14:paraId="5E1FAA49"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Hobbs, R. J., Arico, S., Aronson, J., Baron, J. S., Bridgewater, P., Cramer, V. A., Epstein, P. R., Ewel, J. J., Klink, C. A., Lugo, A. E., Norton, D., Ojima, D., Richardson, D. M., Sanderson, E. W., Valladares, F., Vilà, M., Zamora, R., &amp; Zobel, M. (2006). Novel ecosystems: Theoretical and management aspects of the new ecological world order: Novel ecosystems. </w:t>
      </w:r>
      <w:r w:rsidRPr="00E25215">
        <w:rPr>
          <w:rFonts w:cs="Times New Roman"/>
          <w:i/>
          <w:iCs/>
        </w:rPr>
        <w:t>Global Ecology and Biogeography</w:t>
      </w:r>
      <w:r w:rsidRPr="00E25215">
        <w:rPr>
          <w:rFonts w:cs="Times New Roman"/>
        </w:rPr>
        <w:t xml:space="preserve">, </w:t>
      </w:r>
      <w:r w:rsidRPr="00E25215">
        <w:rPr>
          <w:rFonts w:cs="Times New Roman"/>
          <w:i/>
          <w:iCs/>
        </w:rPr>
        <w:t>15</w:t>
      </w:r>
      <w:r w:rsidRPr="00E25215">
        <w:rPr>
          <w:rFonts w:cs="Times New Roman"/>
        </w:rPr>
        <w:t>(1), 1–7. https://doi.org/10.1111/j.1466-822X.2006.00212.x</w:t>
      </w:r>
    </w:p>
    <w:p w14:paraId="7FD497BE"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Hobbs, R. J., Higgs, E., &amp; Harris, J. A. (2009). Novel ecosystems: Implications for conservation and restoration. </w:t>
      </w:r>
      <w:r w:rsidRPr="00E25215">
        <w:rPr>
          <w:rFonts w:cs="Times New Roman"/>
          <w:i/>
          <w:iCs/>
        </w:rPr>
        <w:t>Trends in Ecology &amp; Evolution</w:t>
      </w:r>
      <w:r w:rsidRPr="00E25215">
        <w:rPr>
          <w:rFonts w:cs="Times New Roman"/>
        </w:rPr>
        <w:t xml:space="preserve">, </w:t>
      </w:r>
      <w:r w:rsidRPr="00E25215">
        <w:rPr>
          <w:rFonts w:cs="Times New Roman"/>
          <w:i/>
          <w:iCs/>
        </w:rPr>
        <w:t>24</w:t>
      </w:r>
      <w:r w:rsidRPr="00E25215">
        <w:rPr>
          <w:rFonts w:cs="Times New Roman"/>
        </w:rPr>
        <w:t>(11), 599–605. https://www.sciencedirect.com/science/article/abs/pii/S0169534709002018</w:t>
      </w:r>
    </w:p>
    <w:p w14:paraId="19CE6370"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Hoegh-Guldberg, O., &amp; Bruno, J. F. (2010). The Impact of Climate Change on the World’s Marine Ecosystems. </w:t>
      </w:r>
      <w:r w:rsidRPr="00E25215">
        <w:rPr>
          <w:rFonts w:cs="Times New Roman"/>
          <w:i/>
          <w:iCs/>
        </w:rPr>
        <w:t>Science</w:t>
      </w:r>
      <w:r w:rsidRPr="00E25215">
        <w:rPr>
          <w:rFonts w:cs="Times New Roman"/>
        </w:rPr>
        <w:t xml:space="preserve">, </w:t>
      </w:r>
      <w:r w:rsidRPr="00E25215">
        <w:rPr>
          <w:rFonts w:cs="Times New Roman"/>
          <w:i/>
          <w:iCs/>
        </w:rPr>
        <w:t>328</w:t>
      </w:r>
      <w:r w:rsidRPr="00E25215">
        <w:rPr>
          <w:rFonts w:cs="Times New Roman"/>
        </w:rPr>
        <w:t>(5985), 1523–1528. https://doi.org/10.1126/science.1189930</w:t>
      </w:r>
    </w:p>
    <w:p w14:paraId="1DC98CA4"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Hoegh-Guldberg, O., Hughes, L., Mclntyre, S., Lindenmayer, D. B., Parmesan, C., Possingham, H. P., &amp; Thomas, C. D. (2008). Assisted colonization and rapid climate change. </w:t>
      </w:r>
      <w:r w:rsidRPr="00E25215">
        <w:rPr>
          <w:rFonts w:cs="Times New Roman"/>
          <w:i/>
          <w:iCs/>
        </w:rPr>
        <w:t>SCIENCE</w:t>
      </w:r>
      <w:r w:rsidRPr="00E25215">
        <w:rPr>
          <w:rFonts w:cs="Times New Roman"/>
        </w:rPr>
        <w:t xml:space="preserve">, </w:t>
      </w:r>
      <w:r w:rsidRPr="00E25215">
        <w:rPr>
          <w:rFonts w:cs="Times New Roman"/>
          <w:i/>
          <w:iCs/>
        </w:rPr>
        <w:t>321</w:t>
      </w:r>
      <w:r w:rsidRPr="00E25215">
        <w:rPr>
          <w:rFonts w:cs="Times New Roman"/>
        </w:rPr>
        <w:t>(5887), 345–346. https://doi.org/10.1126/science.1157897</w:t>
      </w:r>
    </w:p>
    <w:p w14:paraId="582537F5"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Hoegh-Guldberg, O., Jacob, D., Taylor, M., Bindi, M., Brown, S., Camilloni, I., Diedhiou, A., Djalante, R., Ebi, K., Engelbrecht, F., Guiot, J., Hijioka, Y., Mehrotra, S., Payne, A., Seneviratne, S. I., Thomas, A., Warren, R., Zhou, G., Halim, S. A., … Zougmoré, R. (2018). Impacts of 1.5 </w:t>
      </w:r>
      <w:r w:rsidRPr="00E25215">
        <w:rPr>
          <w:rFonts w:cs="Times New Roman"/>
          <w:vertAlign w:val="superscript"/>
        </w:rPr>
        <w:t>o</w:t>
      </w:r>
      <w:r w:rsidRPr="00E25215">
        <w:rPr>
          <w:rFonts w:cs="Times New Roman"/>
        </w:rPr>
        <w:t xml:space="preserve">C global warming on natural and human systems. In </w:t>
      </w:r>
      <w:r w:rsidRPr="00E25215">
        <w:rPr>
          <w:rFonts w:cs="Times New Roman"/>
          <w:i/>
          <w:iCs/>
        </w:rPr>
        <w:t>Global Warming of 1.5 °C. An IPCC special report on the impacts of global warming of 1.5 °C above preindustrial levels and related global greenhouse gas emission pathways</w:t>
      </w:r>
      <w:r w:rsidRPr="00E25215">
        <w:rPr>
          <w:rFonts w:cs="Times New Roman"/>
        </w:rPr>
        <w:t>. https://helda.helsinki.fi/handle/10138/311749</w:t>
      </w:r>
    </w:p>
    <w:p w14:paraId="26E09DAD"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Hoenicka, H., &amp; Fladung, M. (2006). Biosafety in </w:t>
      </w:r>
      <w:r w:rsidRPr="00E25215">
        <w:rPr>
          <w:rFonts w:cs="Times New Roman"/>
          <w:i/>
          <w:iCs/>
        </w:rPr>
        <w:t>Populus</w:t>
      </w:r>
      <w:r w:rsidRPr="00E25215">
        <w:rPr>
          <w:rFonts w:cs="Times New Roman"/>
        </w:rPr>
        <w:t xml:space="preserve">spp. And other forest trees: From non-native species to taxa derived from traditional breeding and genetic engineering. </w:t>
      </w:r>
      <w:r w:rsidRPr="00E25215">
        <w:rPr>
          <w:rFonts w:cs="Times New Roman"/>
          <w:i/>
          <w:iCs/>
        </w:rPr>
        <w:t>Trees</w:t>
      </w:r>
      <w:r w:rsidRPr="00E25215">
        <w:rPr>
          <w:rFonts w:cs="Times New Roman"/>
        </w:rPr>
        <w:t xml:space="preserve">, </w:t>
      </w:r>
      <w:r w:rsidRPr="00E25215">
        <w:rPr>
          <w:rFonts w:cs="Times New Roman"/>
          <w:i/>
          <w:iCs/>
        </w:rPr>
        <w:t>20</w:t>
      </w:r>
      <w:r w:rsidRPr="00E25215">
        <w:rPr>
          <w:rFonts w:cs="Times New Roman"/>
        </w:rPr>
        <w:t>(2), 131–144. https://doi.org/10.1007/s00468-005-0023-5</w:t>
      </w:r>
    </w:p>
    <w:p w14:paraId="120DD05D"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Holbech, H., &amp; Pedersen, K. L. (2018). Ballast water and invasive species in the Arctic. In </w:t>
      </w:r>
      <w:r w:rsidRPr="00E25215">
        <w:rPr>
          <w:rFonts w:cs="Times New Roman"/>
          <w:i/>
          <w:iCs/>
        </w:rPr>
        <w:t>Arctic marine resource governance and development</w:t>
      </w:r>
      <w:r w:rsidRPr="00E25215">
        <w:rPr>
          <w:rFonts w:cs="Times New Roman"/>
        </w:rPr>
        <w:t xml:space="preserve"> (pp. 115–137). http://www.vliz.be/en/search-persons?module=ref&amp;refid=292858</w:t>
      </w:r>
    </w:p>
    <w:p w14:paraId="36FF4372"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Hong, J., Lee, G.-S., Park, J.-J., Mo, H., &amp; Cho, K. (2019). Risk map for the range expansion of </w:t>
      </w:r>
      <w:r w:rsidRPr="00E25215">
        <w:rPr>
          <w:rFonts w:cs="Times New Roman"/>
          <w:i/>
          <w:iCs/>
        </w:rPr>
        <w:t>Thrips palmi</w:t>
      </w:r>
      <w:r w:rsidRPr="00E25215">
        <w:rPr>
          <w:rFonts w:cs="Times New Roman"/>
        </w:rPr>
        <w:t xml:space="preserve"> in Korea under climate change: Combining species distribution models with land-use change. </w:t>
      </w:r>
      <w:r w:rsidRPr="00E25215">
        <w:rPr>
          <w:rFonts w:cs="Times New Roman"/>
          <w:i/>
          <w:iCs/>
        </w:rPr>
        <w:t>Journal of Asia-Pacific Entomology</w:t>
      </w:r>
      <w:r w:rsidRPr="00E25215">
        <w:rPr>
          <w:rFonts w:cs="Times New Roman"/>
        </w:rPr>
        <w:t xml:space="preserve">, </w:t>
      </w:r>
      <w:r w:rsidRPr="00E25215">
        <w:rPr>
          <w:rFonts w:cs="Times New Roman"/>
          <w:i/>
          <w:iCs/>
        </w:rPr>
        <w:t>22</w:t>
      </w:r>
      <w:r w:rsidRPr="00E25215">
        <w:rPr>
          <w:rFonts w:cs="Times New Roman"/>
        </w:rPr>
        <w:t>(3), 666–674. https://doi.org/10.1016/j.aspen.2019.04.013</w:t>
      </w:r>
    </w:p>
    <w:p w14:paraId="79CB4713" w14:textId="77777777" w:rsidR="001379C0" w:rsidRPr="00E25215" w:rsidRDefault="001379C0" w:rsidP="009B3E7F">
      <w:pPr>
        <w:pStyle w:val="Bibliography"/>
        <w:spacing w:before="0" w:after="0" w:line="240" w:lineRule="auto"/>
        <w:rPr>
          <w:rFonts w:cs="Times New Roman"/>
        </w:rPr>
      </w:pPr>
      <w:r w:rsidRPr="00E25215">
        <w:rPr>
          <w:rFonts w:cs="Times New Roman"/>
        </w:rPr>
        <w:lastRenderedPageBreak/>
        <w:t xml:space="preserve">Hopkinson, R. F. (1999). Weather Patterns and the Occurrence of Diamondback Moths on the Canadian Prairies 1998. Environment Canada, Atmospheric &amp; Hydrological Sciences Division. </w:t>
      </w:r>
      <w:r w:rsidRPr="00E25215">
        <w:rPr>
          <w:rFonts w:cs="Times New Roman"/>
          <w:i/>
          <w:iCs/>
        </w:rPr>
        <w:t>Atmospheric Environment Branch Report, 71p</w:t>
      </w:r>
      <w:r w:rsidRPr="00E25215">
        <w:rPr>
          <w:rFonts w:cs="Times New Roman"/>
        </w:rPr>
        <w:t>.</w:t>
      </w:r>
    </w:p>
    <w:p w14:paraId="06729BDE"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Hoppenreijs, J. H. T., Beringen, R., Collas, F. P. L., Eeuwes, D. D. M., Odé, B., &amp; Leuven, R. (2019). </w:t>
      </w:r>
      <w:r w:rsidRPr="00E25215">
        <w:rPr>
          <w:rFonts w:cs="Times New Roman"/>
          <w:i/>
          <w:iCs/>
        </w:rPr>
        <w:t>Risicobeoordeling van voedselbosbouw als introductieroute voor invasieve plantensoorten</w:t>
      </w:r>
      <w:r w:rsidRPr="00E25215">
        <w:rPr>
          <w:rFonts w:cs="Times New Roman"/>
        </w:rPr>
        <w:t xml:space="preserve"> (Rapport Afdeling Dierecologie En Fysiologie ; 2019-2, p. 193p) [External research report]. Nijmegen : Radboud Universiteit, Floron &amp; NVWA. https://hdl.handle.net/2066/215963</w:t>
      </w:r>
    </w:p>
    <w:p w14:paraId="75D23FC7"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Horton, T. R. (2017). Spore Dispersal in Ectomycorrhizal Fungi at Fine and Regional Scales. In L. Tedersoo (Ed.), </w:t>
      </w:r>
      <w:r w:rsidRPr="00E25215">
        <w:rPr>
          <w:rFonts w:cs="Times New Roman"/>
          <w:i/>
          <w:iCs/>
        </w:rPr>
        <w:t>Biogeography of Mycorrhizal Symbiosis</w:t>
      </w:r>
      <w:r w:rsidRPr="00E25215">
        <w:rPr>
          <w:rFonts w:cs="Times New Roman"/>
        </w:rPr>
        <w:t xml:space="preserve"> (pp. 61–78). Springer International Publishing. https://doi.org/10.1007/978-3-319-56363-3_3</w:t>
      </w:r>
    </w:p>
    <w:p w14:paraId="1DE5B4F9"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Hou, X., Liu, S., Cheng, F., Zhang, Y., Dong, S., Su, X., &amp; Liu, G. (2019). Vegetation community composition along disturbance gradients of four typical open-pit mines in Yunnan Province of southwest China. </w:t>
      </w:r>
      <w:r w:rsidRPr="00E25215">
        <w:rPr>
          <w:rFonts w:cs="Times New Roman"/>
          <w:i/>
          <w:iCs/>
        </w:rPr>
        <w:t>Land Degradation &amp; Development</w:t>
      </w:r>
      <w:r w:rsidRPr="00E25215">
        <w:rPr>
          <w:rFonts w:cs="Times New Roman"/>
        </w:rPr>
        <w:t xml:space="preserve">, </w:t>
      </w:r>
      <w:r w:rsidRPr="00E25215">
        <w:rPr>
          <w:rFonts w:cs="Times New Roman"/>
          <w:i/>
          <w:iCs/>
        </w:rPr>
        <w:t>30</w:t>
      </w:r>
      <w:r w:rsidRPr="00E25215">
        <w:rPr>
          <w:rFonts w:cs="Times New Roman"/>
        </w:rPr>
        <w:t>(4), 437–447. https://doi.org/10.1002/ldr.3234</w:t>
      </w:r>
    </w:p>
    <w:p w14:paraId="105C7BB8"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Howard, W. E., &amp; Amaya, J. N. (1975). European rabbit invades western Argentina. </w:t>
      </w:r>
      <w:r w:rsidRPr="00E25215">
        <w:rPr>
          <w:rFonts w:cs="Times New Roman"/>
          <w:i/>
          <w:iCs/>
        </w:rPr>
        <w:t>The Journal of Wildlife Management</w:t>
      </w:r>
      <w:r w:rsidRPr="00E25215">
        <w:rPr>
          <w:rFonts w:cs="Times New Roman"/>
        </w:rPr>
        <w:t xml:space="preserve">, </w:t>
      </w:r>
      <w:r w:rsidRPr="00E25215">
        <w:rPr>
          <w:rFonts w:cs="Times New Roman"/>
          <w:i/>
          <w:iCs/>
        </w:rPr>
        <w:t>39</w:t>
      </w:r>
      <w:r w:rsidRPr="00E25215">
        <w:rPr>
          <w:rFonts w:cs="Times New Roman"/>
        </w:rPr>
        <w:t>(4), 757–761. https://doi.org/10.2307/3800238</w:t>
      </w:r>
    </w:p>
    <w:p w14:paraId="4702EB5B"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Hradsky, B. A., Mildwaters, C., Ritchie, E. G., Christie, F., &amp; Di Stefano, J. (2017). Responses of invasive predators and native prey to a prescribed forest fire. </w:t>
      </w:r>
      <w:r w:rsidRPr="00E25215">
        <w:rPr>
          <w:rFonts w:cs="Times New Roman"/>
          <w:i/>
          <w:iCs/>
        </w:rPr>
        <w:t>Journal of Mammalogy</w:t>
      </w:r>
      <w:r w:rsidRPr="00E25215">
        <w:rPr>
          <w:rFonts w:cs="Times New Roman"/>
        </w:rPr>
        <w:t xml:space="preserve">, </w:t>
      </w:r>
      <w:r w:rsidRPr="00E25215">
        <w:rPr>
          <w:rFonts w:cs="Times New Roman"/>
          <w:i/>
          <w:iCs/>
        </w:rPr>
        <w:t>98</w:t>
      </w:r>
      <w:r w:rsidRPr="00E25215">
        <w:rPr>
          <w:rFonts w:cs="Times New Roman"/>
        </w:rPr>
        <w:t>(3), 835–847. https://doi.org/10.1093/jmammal/gyx010</w:t>
      </w:r>
    </w:p>
    <w:p w14:paraId="560BCDA9" w14:textId="77777777" w:rsidR="001379C0" w:rsidRPr="00E25215" w:rsidRDefault="001379C0" w:rsidP="009B3E7F">
      <w:pPr>
        <w:pStyle w:val="Bibliography"/>
        <w:spacing w:before="0" w:after="0" w:line="240" w:lineRule="auto"/>
        <w:rPr>
          <w:rFonts w:cs="Times New Roman"/>
        </w:rPr>
      </w:pPr>
      <w:r w:rsidRPr="00E25215">
        <w:rPr>
          <w:rFonts w:cs="Times New Roman"/>
        </w:rPr>
        <w:t>Hughes, K. A., Pescott, O. L., Peyton, J. M., Adriaens, T., Cottier</w:t>
      </w:r>
      <w:r w:rsidRPr="00E25215">
        <w:rPr>
          <w:rFonts w:cs="Times New Roman" w:hint="eastAsia"/>
        </w:rPr>
        <w:t>‐</w:t>
      </w:r>
      <w:r w:rsidRPr="00E25215">
        <w:rPr>
          <w:rFonts w:cs="Times New Roman"/>
        </w:rPr>
        <w:t>Cook, E. J., Key, G., Rabitsch, W., Tricarico, E., Barnes, D. K. A., Baxter, N., Belchier, M., Blake, D., Convey, P., Dawson, W., Frohlich, D., Gardiner, L. M., González</w:t>
      </w:r>
      <w:r w:rsidRPr="00E25215">
        <w:rPr>
          <w:rFonts w:cs="Times New Roman" w:hint="eastAsia"/>
        </w:rPr>
        <w:t>‐</w:t>
      </w:r>
      <w:r w:rsidRPr="00E25215">
        <w:rPr>
          <w:rFonts w:cs="Times New Roman"/>
        </w:rPr>
        <w:t xml:space="preserve">Moreno, P., James, R., Malumphy, C., … Roy, H. E. (2020). Invasive non-native species likely to threaten biodiversity and ecosystems in the Antarctic Peninsula region. </w:t>
      </w:r>
      <w:r w:rsidRPr="00E25215">
        <w:rPr>
          <w:rFonts w:cs="Times New Roman"/>
          <w:i/>
          <w:iCs/>
        </w:rPr>
        <w:t>Global Change Biology</w:t>
      </w:r>
      <w:r w:rsidRPr="00E25215">
        <w:rPr>
          <w:rFonts w:cs="Times New Roman"/>
        </w:rPr>
        <w:t xml:space="preserve">, </w:t>
      </w:r>
      <w:r w:rsidRPr="00E25215">
        <w:rPr>
          <w:rFonts w:cs="Times New Roman"/>
          <w:i/>
          <w:iCs/>
        </w:rPr>
        <w:t>26</w:t>
      </w:r>
      <w:r w:rsidRPr="00E25215">
        <w:rPr>
          <w:rFonts w:cs="Times New Roman"/>
        </w:rPr>
        <w:t>(4), 2702–2716. https://doi.org/10.1111/gcb.14938</w:t>
      </w:r>
    </w:p>
    <w:p w14:paraId="1DDDB0CD"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Huiskes, A. H. L., Gremmen, N. J. M., Bergstrom, D. M., Frenot, Y., Hughes, K. A., Imura, S., Kiefer, K., Lebouvier, M., Lee, J. E., Tsujimoto, M., Ware, C., Van de Vijver, B., &amp; Chown, S. L. (2014). Aliens in Antarctica: Assessing transfer of plant propagules by human visitors to reduce invasion risk. </w:t>
      </w:r>
      <w:r w:rsidRPr="00E25215">
        <w:rPr>
          <w:rFonts w:cs="Times New Roman"/>
          <w:i/>
          <w:iCs/>
        </w:rPr>
        <w:t>Biological Conservation</w:t>
      </w:r>
      <w:r w:rsidRPr="00E25215">
        <w:rPr>
          <w:rFonts w:cs="Times New Roman"/>
        </w:rPr>
        <w:t xml:space="preserve">, </w:t>
      </w:r>
      <w:r w:rsidRPr="00E25215">
        <w:rPr>
          <w:rFonts w:cs="Times New Roman"/>
          <w:i/>
          <w:iCs/>
        </w:rPr>
        <w:t>171</w:t>
      </w:r>
      <w:r w:rsidRPr="00E25215">
        <w:rPr>
          <w:rFonts w:cs="Times New Roman"/>
        </w:rPr>
        <w:t>, 278–284. https://doi.org/10.1016/j.biocon.2014.01.038</w:t>
      </w:r>
    </w:p>
    <w:p w14:paraId="5CD46B3B"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Hulme, P. E. (2006). Beyond control: Wider implications for the management of biological invasions. </w:t>
      </w:r>
      <w:r w:rsidRPr="00E25215">
        <w:rPr>
          <w:rFonts w:cs="Times New Roman"/>
          <w:i/>
          <w:iCs/>
        </w:rPr>
        <w:t>Journal of Applied Ecology</w:t>
      </w:r>
      <w:r w:rsidRPr="00E25215">
        <w:rPr>
          <w:rFonts w:cs="Times New Roman"/>
        </w:rPr>
        <w:t xml:space="preserve">, </w:t>
      </w:r>
      <w:r w:rsidRPr="00E25215">
        <w:rPr>
          <w:rFonts w:cs="Times New Roman"/>
          <w:i/>
          <w:iCs/>
        </w:rPr>
        <w:t>43</w:t>
      </w:r>
      <w:r w:rsidRPr="00E25215">
        <w:rPr>
          <w:rFonts w:cs="Times New Roman"/>
        </w:rPr>
        <w:t>(5), 835–847. https://doi.org/10.1111/j.1365-2664.2006.01227.x</w:t>
      </w:r>
    </w:p>
    <w:p w14:paraId="5C22B091"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Hulme, P. E. (2009). Trade, transport and trouble: Managing invasive species pathways in an era of globalization. </w:t>
      </w:r>
      <w:r w:rsidRPr="00E25215">
        <w:rPr>
          <w:rFonts w:cs="Times New Roman"/>
          <w:i/>
          <w:iCs/>
        </w:rPr>
        <w:t>Journal of Applied Ecology</w:t>
      </w:r>
      <w:r w:rsidRPr="00E25215">
        <w:rPr>
          <w:rFonts w:cs="Times New Roman"/>
        </w:rPr>
        <w:t xml:space="preserve">, </w:t>
      </w:r>
      <w:r w:rsidRPr="00E25215">
        <w:rPr>
          <w:rFonts w:cs="Times New Roman"/>
          <w:i/>
          <w:iCs/>
        </w:rPr>
        <w:t>46</w:t>
      </w:r>
      <w:r w:rsidRPr="00E25215">
        <w:rPr>
          <w:rFonts w:cs="Times New Roman"/>
        </w:rPr>
        <w:t>(1), 10–18. https://doi.org/10.1111/j.1365-2664.2008.01600.x</w:t>
      </w:r>
    </w:p>
    <w:p w14:paraId="39DC875D"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Hulme, P. E. (2011a). Addressing the threat to biodiversity from botanic gardens. </w:t>
      </w:r>
      <w:r w:rsidRPr="00E25215">
        <w:rPr>
          <w:rFonts w:cs="Times New Roman"/>
          <w:i/>
          <w:iCs/>
        </w:rPr>
        <w:t>Trends in Ecology and Evolution</w:t>
      </w:r>
      <w:r w:rsidRPr="00E25215">
        <w:rPr>
          <w:rFonts w:cs="Times New Roman"/>
        </w:rPr>
        <w:t xml:space="preserve">, </w:t>
      </w:r>
      <w:r w:rsidRPr="00E25215">
        <w:rPr>
          <w:rFonts w:cs="Times New Roman"/>
          <w:i/>
          <w:iCs/>
        </w:rPr>
        <w:t>26</w:t>
      </w:r>
      <w:r w:rsidRPr="00E25215">
        <w:rPr>
          <w:rFonts w:cs="Times New Roman"/>
        </w:rPr>
        <w:t>(4), 168–174. https://doi.org/10.1016/j.tree.2011.01.005</w:t>
      </w:r>
    </w:p>
    <w:p w14:paraId="5C41C8B6" w14:textId="77777777" w:rsidR="001379C0" w:rsidRPr="00E25215" w:rsidRDefault="001379C0" w:rsidP="009B3E7F">
      <w:pPr>
        <w:pStyle w:val="Bibliography"/>
        <w:spacing w:before="0" w:after="0" w:line="240" w:lineRule="auto"/>
        <w:rPr>
          <w:rFonts w:cs="Times New Roman"/>
        </w:rPr>
      </w:pPr>
      <w:r w:rsidRPr="00E25215">
        <w:rPr>
          <w:rFonts w:cs="Times New Roman"/>
        </w:rPr>
        <w:t>Hulme, P. E. (2011b). Contrasting impacts of climate</w:t>
      </w:r>
      <w:r w:rsidRPr="00E25215">
        <w:rPr>
          <w:rFonts w:cs="Times New Roman" w:hint="eastAsia"/>
        </w:rPr>
        <w:t>‐</w:t>
      </w:r>
      <w:r w:rsidRPr="00E25215">
        <w:rPr>
          <w:rFonts w:cs="Times New Roman"/>
        </w:rPr>
        <w:t xml:space="preserve">driven flowering phenology on changes in alien and native plant species distributions. </w:t>
      </w:r>
      <w:r w:rsidRPr="00E25215">
        <w:rPr>
          <w:rFonts w:cs="Times New Roman"/>
          <w:i/>
          <w:iCs/>
        </w:rPr>
        <w:t>New Phytologist</w:t>
      </w:r>
      <w:r w:rsidRPr="00E25215">
        <w:rPr>
          <w:rFonts w:cs="Times New Roman"/>
        </w:rPr>
        <w:t xml:space="preserve">, </w:t>
      </w:r>
      <w:r w:rsidRPr="00E25215">
        <w:rPr>
          <w:rFonts w:cs="Times New Roman"/>
          <w:i/>
          <w:iCs/>
        </w:rPr>
        <w:t>189</w:t>
      </w:r>
      <w:r w:rsidRPr="00E25215">
        <w:rPr>
          <w:rFonts w:cs="Times New Roman"/>
        </w:rPr>
        <w:t>(1), 272–281. https://doi.org/10.1111/j.1469-8137.2010.03446.x</w:t>
      </w:r>
    </w:p>
    <w:p w14:paraId="62BDC45C"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Hulme, P. E. (2015a). Invasion pathways at a crossroad: Policy and research challenges for managing alien species introductions. </w:t>
      </w:r>
      <w:r w:rsidRPr="00E25215">
        <w:rPr>
          <w:rFonts w:cs="Times New Roman"/>
          <w:i/>
          <w:iCs/>
        </w:rPr>
        <w:t>Journal of Applied Ecology</w:t>
      </w:r>
      <w:r w:rsidRPr="00E25215">
        <w:rPr>
          <w:rFonts w:cs="Times New Roman"/>
        </w:rPr>
        <w:t xml:space="preserve">, </w:t>
      </w:r>
      <w:r w:rsidRPr="00E25215">
        <w:rPr>
          <w:rFonts w:cs="Times New Roman"/>
          <w:i/>
          <w:iCs/>
        </w:rPr>
        <w:t>52</w:t>
      </w:r>
      <w:r w:rsidRPr="00E25215">
        <w:rPr>
          <w:rFonts w:cs="Times New Roman"/>
        </w:rPr>
        <w:t>(6), 1418–1424. https://doi.org/10.1111/1365-2664.12470</w:t>
      </w:r>
    </w:p>
    <w:p w14:paraId="2522D9E3"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Hulme, P. E. (2015b). Resolving whether botanic gardens are on the road to conservation or a pathway for plant invasions. </w:t>
      </w:r>
      <w:r w:rsidRPr="00E25215">
        <w:rPr>
          <w:rFonts w:cs="Times New Roman"/>
          <w:i/>
          <w:iCs/>
        </w:rPr>
        <w:t>Conservation Biology</w:t>
      </w:r>
      <w:r w:rsidRPr="00E25215">
        <w:rPr>
          <w:rFonts w:cs="Times New Roman"/>
        </w:rPr>
        <w:t xml:space="preserve">, </w:t>
      </w:r>
      <w:r w:rsidRPr="00E25215">
        <w:rPr>
          <w:rFonts w:cs="Times New Roman"/>
          <w:i/>
          <w:iCs/>
        </w:rPr>
        <w:t>29</w:t>
      </w:r>
      <w:r w:rsidRPr="00E25215">
        <w:rPr>
          <w:rFonts w:cs="Times New Roman"/>
        </w:rPr>
        <w:t>(3), 816–824. https://doi.org/10.1111/cobi.12426</w:t>
      </w:r>
    </w:p>
    <w:p w14:paraId="450D927C"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Hulme, P. E. (2017). Climate change and biological invasions: Evidence, expectations, and response options. </w:t>
      </w:r>
      <w:r w:rsidRPr="00E25215">
        <w:rPr>
          <w:rFonts w:cs="Times New Roman"/>
          <w:i/>
          <w:iCs/>
        </w:rPr>
        <w:t>Biological Reviews</w:t>
      </w:r>
      <w:r w:rsidRPr="00E25215">
        <w:rPr>
          <w:rFonts w:cs="Times New Roman"/>
        </w:rPr>
        <w:t xml:space="preserve">, </w:t>
      </w:r>
      <w:r w:rsidRPr="00E25215">
        <w:rPr>
          <w:rFonts w:cs="Times New Roman"/>
          <w:i/>
          <w:iCs/>
        </w:rPr>
        <w:t>92</w:t>
      </w:r>
      <w:r w:rsidRPr="00E25215">
        <w:rPr>
          <w:rFonts w:cs="Times New Roman"/>
        </w:rPr>
        <w:t>(3), 1297–1313. https://doi.org/10.1111/brv.12282</w:t>
      </w:r>
    </w:p>
    <w:p w14:paraId="34B981A7" w14:textId="77777777" w:rsidR="001379C0" w:rsidRPr="00E25215" w:rsidRDefault="001379C0" w:rsidP="009B3E7F">
      <w:pPr>
        <w:pStyle w:val="Bibliography"/>
        <w:spacing w:before="0" w:after="0" w:line="240" w:lineRule="auto"/>
        <w:rPr>
          <w:rFonts w:cs="Times New Roman"/>
        </w:rPr>
      </w:pPr>
      <w:r w:rsidRPr="00E25215">
        <w:rPr>
          <w:rFonts w:cs="Times New Roman"/>
        </w:rPr>
        <w:lastRenderedPageBreak/>
        <w:t xml:space="preserve">Hulme, P. E. (2020). Plant invasions in New Zealand: Global lessons in prevention, eradication and control. </w:t>
      </w:r>
      <w:r w:rsidRPr="00E25215">
        <w:rPr>
          <w:rFonts w:cs="Times New Roman"/>
          <w:i/>
          <w:iCs/>
        </w:rPr>
        <w:t>Biological Invasions</w:t>
      </w:r>
      <w:r w:rsidRPr="00E25215">
        <w:rPr>
          <w:rFonts w:cs="Times New Roman"/>
        </w:rPr>
        <w:t xml:space="preserve">, </w:t>
      </w:r>
      <w:r w:rsidRPr="00E25215">
        <w:rPr>
          <w:rFonts w:cs="Times New Roman"/>
          <w:i/>
          <w:iCs/>
        </w:rPr>
        <w:t>22</w:t>
      </w:r>
      <w:r w:rsidRPr="00E25215">
        <w:rPr>
          <w:rFonts w:cs="Times New Roman"/>
        </w:rPr>
        <w:t>(5), 1539–1562. https://doi.org/10.1007/s10530-020-02224-6</w:t>
      </w:r>
    </w:p>
    <w:p w14:paraId="4BAFBF01"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Hulme, P. E. (2021a). Advancing One Biosecurity to Address the Pandemic Risks of Biological Invasions. </w:t>
      </w:r>
      <w:r w:rsidRPr="00E25215">
        <w:rPr>
          <w:rFonts w:cs="Times New Roman"/>
          <w:i/>
          <w:iCs/>
        </w:rPr>
        <w:t>BioScience</w:t>
      </w:r>
      <w:r w:rsidRPr="00E25215">
        <w:rPr>
          <w:rFonts w:cs="Times New Roman"/>
        </w:rPr>
        <w:t xml:space="preserve">, </w:t>
      </w:r>
      <w:r w:rsidRPr="00E25215">
        <w:rPr>
          <w:rFonts w:cs="Times New Roman"/>
          <w:i/>
          <w:iCs/>
        </w:rPr>
        <w:t>71</w:t>
      </w:r>
      <w:r w:rsidRPr="00E25215">
        <w:rPr>
          <w:rFonts w:cs="Times New Roman"/>
        </w:rPr>
        <w:t>(7), 708–721. https://doi.org/10.1093/biosci/biab019</w:t>
      </w:r>
    </w:p>
    <w:p w14:paraId="303F7350"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Hulme, P. E. (2021b). Unwelcome exchange: International trade as a direct and indirect driver of biological invasions worldwide. </w:t>
      </w:r>
      <w:r w:rsidRPr="00E25215">
        <w:rPr>
          <w:rFonts w:cs="Times New Roman"/>
          <w:i/>
          <w:iCs/>
        </w:rPr>
        <w:t>One Earth</w:t>
      </w:r>
      <w:r w:rsidRPr="00E25215">
        <w:rPr>
          <w:rFonts w:cs="Times New Roman"/>
        </w:rPr>
        <w:t xml:space="preserve">, </w:t>
      </w:r>
      <w:r w:rsidRPr="00E25215">
        <w:rPr>
          <w:rFonts w:cs="Times New Roman"/>
          <w:i/>
          <w:iCs/>
        </w:rPr>
        <w:t>4</w:t>
      </w:r>
      <w:r w:rsidRPr="00E25215">
        <w:rPr>
          <w:rFonts w:cs="Times New Roman"/>
        </w:rPr>
        <w:t>(5), 666–679. https://doi.org/10.1016/j.oneear.2021.04.015</w:t>
      </w:r>
    </w:p>
    <w:p w14:paraId="0D3797C3"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Hulme, P. E. (2022). Importance of greater interdisciplinarity and geographic scope when tackling the driving forces behind biological invasions. </w:t>
      </w:r>
      <w:r w:rsidRPr="00E25215">
        <w:rPr>
          <w:rFonts w:cs="Times New Roman"/>
          <w:i/>
          <w:iCs/>
        </w:rPr>
        <w:t>Conservation Biology</w:t>
      </w:r>
      <w:r w:rsidRPr="00E25215">
        <w:rPr>
          <w:rFonts w:cs="Times New Roman"/>
        </w:rPr>
        <w:t xml:space="preserve">, </w:t>
      </w:r>
      <w:r w:rsidRPr="00E25215">
        <w:rPr>
          <w:rFonts w:cs="Times New Roman"/>
          <w:i/>
          <w:iCs/>
        </w:rPr>
        <w:t>36</w:t>
      </w:r>
      <w:r w:rsidRPr="00E25215">
        <w:rPr>
          <w:rFonts w:cs="Times New Roman"/>
        </w:rPr>
        <w:t>(2), e13817. https://doi.org/10.1111/cobi.13817</w:t>
      </w:r>
    </w:p>
    <w:p w14:paraId="28C5C332"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Hulme, P. E., Bacher, S., Kenis, M., Klotz, S., Kühn, I., Minchin, D., Nentwig, W., Olenin, S., Panov, V., Pergl, J., Pyšek, P., Roques, A., Sol, D., Solarz, W., &amp; Vilà, M. (2008). Grasping at the routes of biological invasions: A framework for integrating pathways into policy. </w:t>
      </w:r>
      <w:r w:rsidRPr="00E25215">
        <w:rPr>
          <w:rFonts w:cs="Times New Roman"/>
          <w:i/>
          <w:iCs/>
        </w:rPr>
        <w:t>Journal of Applied Ecology</w:t>
      </w:r>
      <w:r w:rsidRPr="00E25215">
        <w:rPr>
          <w:rFonts w:cs="Times New Roman"/>
        </w:rPr>
        <w:t xml:space="preserve">, </w:t>
      </w:r>
      <w:r w:rsidRPr="00E25215">
        <w:rPr>
          <w:rFonts w:cs="Times New Roman"/>
          <w:i/>
          <w:iCs/>
        </w:rPr>
        <w:t>45</w:t>
      </w:r>
      <w:r w:rsidRPr="00E25215">
        <w:rPr>
          <w:rFonts w:cs="Times New Roman"/>
        </w:rPr>
        <w:t>(2), 403–414. https://doi.org/10.1111/j.1365-2664.2007.01442.x</w:t>
      </w:r>
    </w:p>
    <w:p w14:paraId="45DE2736"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Hulme, P. E., Brundu, G., Carboni, M., Dehnen-Schmutz, K., Dullinger, S., Early, R., Essl, F., González-Moreno, P., Groom, Q. J., Kueffer, C., Kühn, I., Maurel, N., Novoa, A., Pergl, J., Pyšek, P., Seebens, H., Tanner, R., Touza, J. M., van Kleunen, M., &amp; Verbrugge, L. N. H. (2018). Integrating invasive species policies across ornamental horticulture supply chains to prevent plant invasions. </w:t>
      </w:r>
      <w:r w:rsidRPr="00E25215">
        <w:rPr>
          <w:rFonts w:cs="Times New Roman"/>
          <w:i/>
          <w:iCs/>
        </w:rPr>
        <w:t>Journal of Applied Ecology</w:t>
      </w:r>
      <w:r w:rsidRPr="00E25215">
        <w:rPr>
          <w:rFonts w:cs="Times New Roman"/>
        </w:rPr>
        <w:t xml:space="preserve">, </w:t>
      </w:r>
      <w:r w:rsidRPr="00E25215">
        <w:rPr>
          <w:rFonts w:cs="Times New Roman"/>
          <w:i/>
          <w:iCs/>
        </w:rPr>
        <w:t>55</w:t>
      </w:r>
      <w:r w:rsidRPr="00E25215">
        <w:rPr>
          <w:rFonts w:cs="Times New Roman"/>
        </w:rPr>
        <w:t>(1), 92–98. https://doi.org/10.1111/1365-2664.12953</w:t>
      </w:r>
    </w:p>
    <w:p w14:paraId="7693187B"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Hulme, P. E., Pyšek, P., &amp; Winter, M. (2012). Biosecurity on Thin Ice in Antarctica. </w:t>
      </w:r>
      <w:r w:rsidRPr="00E25215">
        <w:rPr>
          <w:rFonts w:cs="Times New Roman"/>
          <w:i/>
          <w:iCs/>
        </w:rPr>
        <w:t>Science</w:t>
      </w:r>
      <w:r w:rsidRPr="00E25215">
        <w:rPr>
          <w:rFonts w:cs="Times New Roman"/>
        </w:rPr>
        <w:t xml:space="preserve">, </w:t>
      </w:r>
      <w:r w:rsidRPr="00E25215">
        <w:rPr>
          <w:rFonts w:cs="Times New Roman"/>
          <w:i/>
          <w:iCs/>
        </w:rPr>
        <w:t>336</w:t>
      </w:r>
      <w:r w:rsidRPr="00E25215">
        <w:rPr>
          <w:rFonts w:cs="Times New Roman"/>
        </w:rPr>
        <w:t>(6085), 1101–1104. https://doi.org/10.1126/science.336.6085.1102-b</w:t>
      </w:r>
    </w:p>
    <w:p w14:paraId="041F2D09"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Humair, F., Humair, L., Kuhn, F., &amp; Kueffer, C. (2015). E-commerce trade in invasive plants. </w:t>
      </w:r>
      <w:r w:rsidRPr="00E25215">
        <w:rPr>
          <w:rFonts w:cs="Times New Roman"/>
          <w:i/>
          <w:iCs/>
        </w:rPr>
        <w:t>Conservation Biology</w:t>
      </w:r>
      <w:r w:rsidRPr="00E25215">
        <w:rPr>
          <w:rFonts w:cs="Times New Roman"/>
        </w:rPr>
        <w:t xml:space="preserve">, </w:t>
      </w:r>
      <w:r w:rsidRPr="00E25215">
        <w:rPr>
          <w:rFonts w:cs="Times New Roman"/>
          <w:i/>
          <w:iCs/>
        </w:rPr>
        <w:t>29</w:t>
      </w:r>
      <w:r w:rsidRPr="00E25215">
        <w:rPr>
          <w:rFonts w:cs="Times New Roman"/>
        </w:rPr>
        <w:t>(6), 1658–1665. https://doi.org/10.1111/cobi.12579</w:t>
      </w:r>
    </w:p>
    <w:p w14:paraId="3B0F599C"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Hurrell, J., Cabanillas, P., Costantino, F. B., &amp; Delucchi, G. (2012). Bignoniaceae adventicias en la Argentina. Primera cita de </w:t>
      </w:r>
      <w:r w:rsidRPr="00E25215">
        <w:rPr>
          <w:rFonts w:cs="Times New Roman"/>
          <w:i/>
          <w:iCs/>
        </w:rPr>
        <w:t>Podranea ricasoliana</w:t>
      </w:r>
      <w:r w:rsidRPr="00E25215">
        <w:rPr>
          <w:rFonts w:cs="Times New Roman"/>
        </w:rPr>
        <w:t xml:space="preserve"> y nuevos registros de </w:t>
      </w:r>
      <w:r w:rsidRPr="00E25215">
        <w:rPr>
          <w:rFonts w:cs="Times New Roman"/>
          <w:i/>
          <w:iCs/>
        </w:rPr>
        <w:t>Campsis radicans,</w:t>
      </w:r>
      <w:r w:rsidRPr="00E25215">
        <w:rPr>
          <w:rFonts w:cs="Times New Roman"/>
        </w:rPr>
        <w:t xml:space="preserve">. </w:t>
      </w:r>
      <w:r w:rsidRPr="00E25215">
        <w:rPr>
          <w:rFonts w:cs="Times New Roman"/>
          <w:i/>
          <w:iCs/>
        </w:rPr>
        <w:t>Revista Del Museo Argentino de Ciencias Naturales Nueva Serie</w:t>
      </w:r>
      <w:r w:rsidRPr="00E25215">
        <w:rPr>
          <w:rFonts w:cs="Times New Roman"/>
        </w:rPr>
        <w:t xml:space="preserve">, </w:t>
      </w:r>
      <w:r w:rsidRPr="00E25215">
        <w:rPr>
          <w:rFonts w:cs="Times New Roman"/>
          <w:i/>
          <w:iCs/>
        </w:rPr>
        <w:t>14</w:t>
      </w:r>
      <w:r w:rsidRPr="00E25215">
        <w:rPr>
          <w:rFonts w:cs="Times New Roman"/>
        </w:rPr>
        <w:t>(1), Article 1. http://revista.macn.gov.ar/ojs/index.php/RevMus/article/view/207</w:t>
      </w:r>
    </w:p>
    <w:p w14:paraId="56ED7702" w14:textId="77777777" w:rsidR="001379C0" w:rsidRPr="00E25215" w:rsidRDefault="001379C0" w:rsidP="009B3E7F">
      <w:pPr>
        <w:pStyle w:val="Bibliography"/>
        <w:spacing w:before="0" w:after="0" w:line="240" w:lineRule="auto"/>
        <w:rPr>
          <w:rFonts w:cs="Times New Roman"/>
        </w:rPr>
      </w:pPr>
      <w:r w:rsidRPr="00E25215">
        <w:rPr>
          <w:rFonts w:cs="Times New Roman"/>
        </w:rPr>
        <w:t>Hutchings, S. (2003). The diet of feral house cats (</w:t>
      </w:r>
      <w:r w:rsidRPr="00E25215">
        <w:rPr>
          <w:rFonts w:cs="Times New Roman"/>
          <w:i/>
          <w:iCs/>
        </w:rPr>
        <w:t>Felis catus</w:t>
      </w:r>
      <w:r w:rsidRPr="00E25215">
        <w:rPr>
          <w:rFonts w:cs="Times New Roman"/>
        </w:rPr>
        <w:t xml:space="preserve">) at a regional rubbish tip, Victoria. </w:t>
      </w:r>
      <w:r w:rsidRPr="00E25215">
        <w:rPr>
          <w:rFonts w:cs="Times New Roman"/>
          <w:i/>
          <w:iCs/>
        </w:rPr>
        <w:t>Wildlife Research</w:t>
      </w:r>
      <w:r w:rsidRPr="00E25215">
        <w:rPr>
          <w:rFonts w:cs="Times New Roman"/>
        </w:rPr>
        <w:t xml:space="preserve">, </w:t>
      </w:r>
      <w:r w:rsidRPr="00E25215">
        <w:rPr>
          <w:rFonts w:cs="Times New Roman"/>
          <w:i/>
          <w:iCs/>
        </w:rPr>
        <w:t>30</w:t>
      </w:r>
      <w:r w:rsidRPr="00E25215">
        <w:rPr>
          <w:rFonts w:cs="Times New Roman"/>
        </w:rPr>
        <w:t>(1), 103–110. https://doi.org/10.1071/wr99067</w:t>
      </w:r>
    </w:p>
    <w:p w14:paraId="6EFB708C"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IAATO. (2020). </w:t>
      </w:r>
      <w:r w:rsidRPr="00E25215">
        <w:rPr>
          <w:rFonts w:cs="Times New Roman"/>
          <w:i/>
          <w:iCs/>
        </w:rPr>
        <w:t>Issued by the International Association of Antarctica Tour Operators</w:t>
      </w:r>
      <w:r w:rsidRPr="00E25215">
        <w:rPr>
          <w:rFonts w:cs="Times New Roman"/>
        </w:rPr>
        <w:t>. https://iaato.org/wp-content/uploads/2020/07/IAATO-on-Antarctic-visitor-figures-2019-20-FINAL.pdf</w:t>
      </w:r>
    </w:p>
    <w:p w14:paraId="3F19AF7C"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Iacarella, J. C., Davidson, I. C., &amp; Dunham, A. (2019). Biotic exchange from movement of ‘static’ maritime structures. </w:t>
      </w:r>
      <w:r w:rsidRPr="00E25215">
        <w:rPr>
          <w:rFonts w:cs="Times New Roman"/>
          <w:i/>
          <w:iCs/>
        </w:rPr>
        <w:t>Biological Invasions</w:t>
      </w:r>
      <w:r w:rsidRPr="00E25215">
        <w:rPr>
          <w:rFonts w:cs="Times New Roman"/>
        </w:rPr>
        <w:t xml:space="preserve">, </w:t>
      </w:r>
      <w:r w:rsidRPr="00E25215">
        <w:rPr>
          <w:rFonts w:cs="Times New Roman"/>
          <w:i/>
          <w:iCs/>
        </w:rPr>
        <w:t>21</w:t>
      </w:r>
      <w:r w:rsidRPr="00E25215">
        <w:rPr>
          <w:rFonts w:cs="Times New Roman"/>
        </w:rPr>
        <w:t>(4), 1131–1141. https://doi.org/10.1007/s10530-018-1888-8</w:t>
      </w:r>
    </w:p>
    <w:p w14:paraId="576DEF01"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Iannone, B. V., Potter, K. M., Hamil, K.-A. D., Huang, W., Zhang, H., Guo, Q., Oswalt, C. M., Woodall, C. W., &amp; Fei, S. (2016). Evidence of biotic resistance to invasions in forests of the Eastern USA. </w:t>
      </w:r>
      <w:r w:rsidRPr="00E25215">
        <w:rPr>
          <w:rFonts w:cs="Times New Roman"/>
          <w:i/>
          <w:iCs/>
        </w:rPr>
        <w:t>Landscape Ecology</w:t>
      </w:r>
      <w:r w:rsidRPr="00E25215">
        <w:rPr>
          <w:rFonts w:cs="Times New Roman"/>
        </w:rPr>
        <w:t xml:space="preserve">, </w:t>
      </w:r>
      <w:r w:rsidRPr="00E25215">
        <w:rPr>
          <w:rFonts w:cs="Times New Roman"/>
          <w:i/>
          <w:iCs/>
        </w:rPr>
        <w:t>31</w:t>
      </w:r>
      <w:r w:rsidRPr="00E25215">
        <w:rPr>
          <w:rFonts w:cs="Times New Roman"/>
        </w:rPr>
        <w:t>(1), 85–99. https://doi.org/10.1007/s10980-015-0280-7</w:t>
      </w:r>
    </w:p>
    <w:p w14:paraId="2F76D3BA"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Ibáñez, I., Silander Jr, J. A., Wilson, A. M., LaFleur, N., Tanaka, N., &amp; Tsuyama, I. (2009). Multivariate forecasts of potential distributions of invasive plant species. </w:t>
      </w:r>
      <w:r w:rsidRPr="00E25215">
        <w:rPr>
          <w:rFonts w:cs="Times New Roman"/>
          <w:i/>
          <w:iCs/>
        </w:rPr>
        <w:t>Ecological Applications</w:t>
      </w:r>
      <w:r w:rsidRPr="00E25215">
        <w:rPr>
          <w:rFonts w:cs="Times New Roman"/>
        </w:rPr>
        <w:t xml:space="preserve">, </w:t>
      </w:r>
      <w:r w:rsidRPr="00E25215">
        <w:rPr>
          <w:rFonts w:cs="Times New Roman"/>
          <w:i/>
          <w:iCs/>
        </w:rPr>
        <w:t>19</w:t>
      </w:r>
      <w:r w:rsidRPr="00E25215">
        <w:rPr>
          <w:rFonts w:cs="Times New Roman"/>
        </w:rPr>
        <w:t>(2), 359–375.</w:t>
      </w:r>
    </w:p>
    <w:p w14:paraId="7CA562A7"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Imboma, T. S. (2014). </w:t>
      </w:r>
      <w:r w:rsidRPr="00E25215">
        <w:rPr>
          <w:rFonts w:cs="Times New Roman"/>
          <w:i/>
          <w:iCs/>
        </w:rPr>
        <w:t>Ecological effects of the invasive House Sparrow (</w:t>
      </w:r>
      <w:r w:rsidRPr="00E25215">
        <w:rPr>
          <w:rFonts w:cs="Times New Roman"/>
        </w:rPr>
        <w:t>Passer domesticus</w:t>
      </w:r>
      <w:r w:rsidRPr="00E25215">
        <w:rPr>
          <w:rFonts w:cs="Times New Roman"/>
          <w:i/>
          <w:iCs/>
        </w:rPr>
        <w:t>) on sympatric native Sparrows in three urban areas in Kenya</w:t>
      </w:r>
      <w:r w:rsidRPr="00E25215">
        <w:rPr>
          <w:rFonts w:cs="Times New Roman"/>
        </w:rPr>
        <w:t xml:space="preserve"> [Masters Thesis]. University of Nairobi.</w:t>
      </w:r>
    </w:p>
    <w:p w14:paraId="6FC6A9EF"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IMF. (2021). </w:t>
      </w:r>
      <w:r w:rsidRPr="00E25215">
        <w:rPr>
          <w:rFonts w:cs="Times New Roman"/>
          <w:i/>
          <w:iCs/>
        </w:rPr>
        <w:t>Report for Selected Countries and Subjects: October 2021</w:t>
      </w:r>
      <w:r w:rsidRPr="00E25215">
        <w:rPr>
          <w:rFonts w:cs="Times New Roman"/>
        </w:rPr>
        <w:t>. https://www.imf.org/en/Publications/WEO/weo-database/2021/October/weo-report?c=512,914,612,171,614,311,213,911,314,193,122,912,313,419,513,316,913,124,339,638,514,218,963,616,223,516,918,748,618,624,522,622,156,626,628,228,924,233,632,636,634,238,662,960,423,935,128,611,321,243,248,469,253,642,643,939,734,644,819,172,132,</w:t>
      </w:r>
      <w:r w:rsidRPr="00E25215">
        <w:rPr>
          <w:rFonts w:cs="Times New Roman"/>
        </w:rPr>
        <w:lastRenderedPageBreak/>
        <w:t>646,648,915,134,652,174,328,258,656,654,336,263,268,532,944,176,534,536,429,433,178,436,136,343,158,439,916,664,826,542,967,443,917,544,941,446,666,668,672,946,137,546,674,676,548,556,678,181,867,682,684,273,868,921,948,943,686,688,518,728,836,558,138,196,278,692,694,962,142,449,564,565,283,853,288,293,566,964,182,359,453,968,922,714,862,135,716,456,722,942,718,724,576,936,961,813,726,199,733,184,524,361,362,364,732,366,144,146,463,528,923,738,578,537,742,866,369,744,186,925,869,746,926,466,112,111,298,927,846,299,582,487,474,754,698,&amp;s=NGDPD,&amp;sy=2021&amp;ey=2021&amp;ssm=0&amp;scsm=1&amp;scc=0&amp;ssd=1&amp;ssc=0&amp;sic=0&amp;sort=country&amp;ds=.&amp;br=1</w:t>
      </w:r>
    </w:p>
    <w:p w14:paraId="33722D09"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International Energy Agency (IEA). (2020). </w:t>
      </w:r>
      <w:r w:rsidRPr="00E25215">
        <w:rPr>
          <w:rFonts w:cs="Times New Roman"/>
          <w:i/>
          <w:iCs/>
        </w:rPr>
        <w:t>World energy outlook 2020</w:t>
      </w:r>
      <w:r w:rsidRPr="00E25215">
        <w:rPr>
          <w:rFonts w:cs="Times New Roman"/>
        </w:rPr>
        <w:t>. OECD Publishing. https://www.iea.org/reports/world-energy-outlook-2020</w:t>
      </w:r>
    </w:p>
    <w:p w14:paraId="3E368BCF"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International Groundwater Resources Assessment Centre. (2018). Groundwater Overview: Making the invisible Visible. </w:t>
      </w:r>
      <w:r w:rsidRPr="00E25215">
        <w:rPr>
          <w:rFonts w:cs="Times New Roman"/>
          <w:i/>
          <w:iCs/>
        </w:rPr>
        <w:t>UN WATER</w:t>
      </w:r>
      <w:r w:rsidRPr="00E25215">
        <w:rPr>
          <w:rFonts w:cs="Times New Roman"/>
        </w:rPr>
        <w:t>.</w:t>
      </w:r>
    </w:p>
    <w:p w14:paraId="4D9E605C"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International Organization for Migration. (2019). </w:t>
      </w:r>
      <w:r w:rsidRPr="00E25215">
        <w:rPr>
          <w:rFonts w:cs="Times New Roman"/>
          <w:i/>
          <w:iCs/>
        </w:rPr>
        <w:t>World migration report 2020</w:t>
      </w:r>
      <w:r w:rsidRPr="00E25215">
        <w:rPr>
          <w:rFonts w:cs="Times New Roman"/>
        </w:rPr>
        <w:t>. IOM.</w:t>
      </w:r>
    </w:p>
    <w:p w14:paraId="4FE3934B"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International Telecommunication Union. (2021). </w:t>
      </w:r>
      <w:r w:rsidRPr="00E25215">
        <w:rPr>
          <w:rFonts w:cs="Times New Roman"/>
          <w:i/>
          <w:iCs/>
        </w:rPr>
        <w:t>Measuring digital development: Facts and figures 2021</w:t>
      </w:r>
      <w:r w:rsidRPr="00E25215">
        <w:rPr>
          <w:rFonts w:cs="Times New Roman"/>
        </w:rPr>
        <w:t>. https://www.itu.int/en/ITU-D/Statistics/Pages/facts/default.aspx</w:t>
      </w:r>
    </w:p>
    <w:p w14:paraId="68969755"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IPBES. (2016a). </w:t>
      </w:r>
      <w:r w:rsidRPr="00E25215">
        <w:rPr>
          <w:rFonts w:cs="Times New Roman"/>
          <w:i/>
          <w:iCs/>
        </w:rPr>
        <w:t>The assessment report of the Intergovernmental Science-Policy Platform on Biodiversity and Ecosystem Services on pollinators, pollination and food production</w:t>
      </w:r>
      <w:r w:rsidRPr="00E25215">
        <w:rPr>
          <w:rFonts w:cs="Times New Roman"/>
        </w:rPr>
        <w:t>. Secretariat of the Intergovernmental Science-Policy Platform on Biodiversity and Ecosystem Services. https://doi.org/10.5281/ZENODO.3402857</w:t>
      </w:r>
    </w:p>
    <w:p w14:paraId="74389814"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IPBES. (2016b). </w:t>
      </w:r>
      <w:r w:rsidRPr="00E25215">
        <w:rPr>
          <w:rFonts w:cs="Times New Roman"/>
          <w:i/>
          <w:iCs/>
        </w:rPr>
        <w:t>The methodological assessment report on scenarios and models of biodiversity and ecosystem services</w:t>
      </w:r>
      <w:r w:rsidRPr="00E25215">
        <w:rPr>
          <w:rFonts w:cs="Times New Roman"/>
        </w:rPr>
        <w:t>. Secretariat of the Intergovernmental Science-Policy Platform on Biodiversity and Ecosystem Services. https://doi.org/10.5281/ZENODO.3235428</w:t>
      </w:r>
    </w:p>
    <w:p w14:paraId="3A2F2F4D"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IPBES. (2018a). </w:t>
      </w:r>
      <w:r w:rsidRPr="00E25215">
        <w:rPr>
          <w:rFonts w:cs="Times New Roman"/>
          <w:i/>
          <w:iCs/>
        </w:rPr>
        <w:t>Summary for policymakers of the regional assessment report on biodiversity and ecosystem services for Europe and Central Asia of the Intergovernmental Science-Policy Platform on Biodiversity and Ecosystem Services.</w:t>
      </w:r>
      <w:r w:rsidRPr="00E25215">
        <w:rPr>
          <w:rFonts w:cs="Times New Roman"/>
        </w:rPr>
        <w:t xml:space="preserve"> (summary for policy makers, p. 48). IPBES secretariat. https://doi.org/10.5281/ZENODO.3237467</w:t>
      </w:r>
    </w:p>
    <w:p w14:paraId="3F367683"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IPBES. (2018b). </w:t>
      </w:r>
      <w:r w:rsidRPr="00E25215">
        <w:rPr>
          <w:rFonts w:cs="Times New Roman"/>
          <w:i/>
          <w:iCs/>
        </w:rPr>
        <w:t>The IPBES assessment report on land degradation and restoration.</w:t>
      </w:r>
      <w:r w:rsidRPr="00E25215">
        <w:rPr>
          <w:rFonts w:cs="Times New Roman"/>
        </w:rPr>
        <w:t xml:space="preserve"> (p. 744). Secretariat of the Intergovernmental Science-Policy Platform on Biodiversity and Ecosystem Services. https://doi.org/10.5281/ZENODO.3237392</w:t>
      </w:r>
    </w:p>
    <w:p w14:paraId="276D5BC1"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IPBES. (2018c). </w:t>
      </w:r>
      <w:r w:rsidRPr="00E25215">
        <w:rPr>
          <w:rFonts w:cs="Times New Roman"/>
          <w:i/>
          <w:iCs/>
        </w:rPr>
        <w:t>The IPBES regional assessment report on biodiversity and ecosystem services for Africa</w:t>
      </w:r>
      <w:r w:rsidRPr="00E25215">
        <w:rPr>
          <w:rFonts w:cs="Times New Roman"/>
        </w:rPr>
        <w:t>. Secretariat of the Intergovernmental Science-Policy Platform on Biodiversity and Ecosystem Services. https://zenodo.org/record/3236178#.YmjyIdrP2Uk</w:t>
      </w:r>
    </w:p>
    <w:p w14:paraId="2965BEA0"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IPBES. (2018d). </w:t>
      </w:r>
      <w:r w:rsidRPr="00E25215">
        <w:rPr>
          <w:rFonts w:cs="Times New Roman"/>
          <w:i/>
          <w:iCs/>
        </w:rPr>
        <w:t>The IPBES regional assessment report on biodiversity and ecosystem services for Asia and the Pacific</w:t>
      </w:r>
      <w:r w:rsidRPr="00E25215">
        <w:rPr>
          <w:rFonts w:cs="Times New Roman"/>
        </w:rPr>
        <w:t xml:space="preserve"> (Report). Secretariat of the Intergovernmental Science-Policy Platform on Biodiversity and Ecosystem Services. https://doi.org/10.5281/ZENODO.3237374</w:t>
      </w:r>
    </w:p>
    <w:p w14:paraId="3F4ECCDA"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IPBES. (2018e). </w:t>
      </w:r>
      <w:r w:rsidRPr="00E25215">
        <w:rPr>
          <w:rFonts w:cs="Times New Roman"/>
          <w:i/>
          <w:iCs/>
        </w:rPr>
        <w:t>The IPBES regional assessment report on biodiversity and ecosystem services for Europe and Central Asia</w:t>
      </w:r>
      <w:r w:rsidRPr="00E25215">
        <w:rPr>
          <w:rFonts w:cs="Times New Roman"/>
        </w:rPr>
        <w:t xml:space="preserve"> (Report). Secretariat of the Intergovernmental Science-Policy Platform on Biodiversity and Ecosystem Services. https://doi.org/10.5281/ZENODO.3237429</w:t>
      </w:r>
    </w:p>
    <w:p w14:paraId="4D15A109"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IPBES. (2018f). </w:t>
      </w:r>
      <w:r w:rsidRPr="00E25215">
        <w:rPr>
          <w:rFonts w:cs="Times New Roman"/>
          <w:i/>
          <w:iCs/>
        </w:rPr>
        <w:t>The IPBES regional assessment report on biodiversity and ecosystem services for the Americas</w:t>
      </w:r>
      <w:r w:rsidRPr="00E25215">
        <w:rPr>
          <w:rFonts w:cs="Times New Roman"/>
        </w:rPr>
        <w:t>. Zenodo. https://doi.org/10.5281/zenodo.3236253</w:t>
      </w:r>
    </w:p>
    <w:p w14:paraId="51CFA7F1"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IPBES. (2019). </w:t>
      </w:r>
      <w:r w:rsidRPr="00E25215">
        <w:rPr>
          <w:rFonts w:cs="Times New Roman"/>
          <w:i/>
          <w:iCs/>
        </w:rPr>
        <w:t>Global assessment report on biodiversity and ecosystem services of the Intergovernmental Science-Policy Platform on Biodiversity and Ecosystem Services</w:t>
      </w:r>
      <w:r w:rsidRPr="00E25215">
        <w:rPr>
          <w:rFonts w:cs="Times New Roman"/>
        </w:rPr>
        <w:t>. Secretariat of the Intergovernmental Science-Policy Platform on Biodiversity and Ecosystem Services. https://doi.org/10.5281/ZENODO.3831673</w:t>
      </w:r>
    </w:p>
    <w:p w14:paraId="266AA1F1"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IPBES. (2020). </w:t>
      </w:r>
      <w:r w:rsidRPr="00E25215">
        <w:rPr>
          <w:rFonts w:cs="Times New Roman"/>
          <w:i/>
          <w:iCs/>
        </w:rPr>
        <w:t>Report of the Indigenous and local knowledge dialogue workshop on the first order draft of the IPBES assessment of invasive alien species</w:t>
      </w:r>
      <w:r w:rsidRPr="00E25215">
        <w:rPr>
          <w:rFonts w:cs="Times New Roman"/>
        </w:rPr>
        <w:t xml:space="preserve"> (J. L. Andreve, R. Batzin Chojoj, A. Black, J. T. Cleofe, F. Daguitan, C. Grant, J. A. Guillao, L. Jacobs, T. Malcolm, L. Mulenkei, K. Kumar Rai, A. Nzovu, J. M. Ole Kaunga, M. E. Regpala, N. Sall, P. Shulbaeva, R. Spencer, P. Timoti, &amp; Y. Upun, Eds.). https://ipbes.net/sites/default/files/inline-files/IPBES_IAS_2ndILKDialogue_FOD_Report_FINAL_ForWeb.pdf</w:t>
      </w:r>
    </w:p>
    <w:p w14:paraId="63D368C6" w14:textId="77777777" w:rsidR="001379C0" w:rsidRPr="00E25215" w:rsidRDefault="001379C0" w:rsidP="009B3E7F">
      <w:pPr>
        <w:pStyle w:val="Bibliography"/>
        <w:spacing w:before="0" w:after="0" w:line="240" w:lineRule="auto"/>
        <w:rPr>
          <w:rFonts w:cs="Times New Roman"/>
        </w:rPr>
      </w:pPr>
      <w:r w:rsidRPr="00E25215">
        <w:rPr>
          <w:rFonts w:cs="Times New Roman"/>
        </w:rPr>
        <w:lastRenderedPageBreak/>
        <w:t xml:space="preserve">IPBES. (2022a). </w:t>
      </w:r>
      <w:r w:rsidRPr="00E25215">
        <w:rPr>
          <w:rFonts w:cs="Times New Roman"/>
          <w:i/>
          <w:iCs/>
        </w:rPr>
        <w:t>Methodological assessment of the diverse values and valuation of nature of the Intergovernmental Science-Policy Platform on Biodiversity and Ecosystem Services</w:t>
      </w:r>
      <w:r w:rsidRPr="00E25215">
        <w:rPr>
          <w:rFonts w:cs="Times New Roman"/>
        </w:rPr>
        <w:t>. Secretariat of the Intergovernmental Science-Policy Platform on Biodiversity and Ecosystem Services. https://doi.org/10.5281/ZENODO.6522522</w:t>
      </w:r>
    </w:p>
    <w:p w14:paraId="4067660C"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IPBES. (2022b). </w:t>
      </w:r>
      <w:r w:rsidRPr="00E25215">
        <w:rPr>
          <w:rFonts w:cs="Times New Roman"/>
          <w:i/>
          <w:iCs/>
        </w:rPr>
        <w:t>Report of the third Indigenous and local knowledge dialogue workshop for the IPBES thematic assessment of invasive alien species and their control.</w:t>
      </w:r>
      <w:r w:rsidRPr="00E25215">
        <w:rPr>
          <w:rFonts w:cs="Times New Roman"/>
        </w:rPr>
        <w:t xml:space="preserve"> https://ipbes.net/sites/default/files/2023-02/IPBES_IAS_3rdILKDialogue_SPM-SOD_Report_FinalForWeb2.pdf</w:t>
      </w:r>
    </w:p>
    <w:p w14:paraId="59C2A656"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IPBES. (2022c). </w:t>
      </w:r>
      <w:r w:rsidRPr="00E25215">
        <w:rPr>
          <w:rFonts w:cs="Times New Roman"/>
          <w:i/>
          <w:iCs/>
        </w:rPr>
        <w:t>Thematic assessment of the sustainable use of wild species of the Intergovernmental Science-Policy Platform on Biodiversity and Ecosystem Services</w:t>
      </w:r>
      <w:r w:rsidRPr="00E25215">
        <w:rPr>
          <w:rFonts w:cs="Times New Roman"/>
        </w:rPr>
        <w:t>. Zenodo. https://doi.org/10.5281/ZENODO.6448568</w:t>
      </w:r>
    </w:p>
    <w:p w14:paraId="1B741221"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IPCC. (2007). </w:t>
      </w:r>
      <w:r w:rsidRPr="00E25215">
        <w:rPr>
          <w:rFonts w:cs="Times New Roman"/>
          <w:i/>
          <w:iCs/>
        </w:rPr>
        <w:t>Climate Change 2007: Synthesis report. Contribution of Working Groups 1, II, and III to the Fourth Assessment Report of the Intergovernmental Panel on Climate Change.</w:t>
      </w:r>
      <w:r w:rsidRPr="00E25215">
        <w:rPr>
          <w:rFonts w:cs="Times New Roman"/>
        </w:rPr>
        <w:t xml:space="preserve"> (R. K. Pachauri &amp; A. Reisinger, Eds.). IPCC, Geneva, Switzerland. https://www.ipcc.ch/</w:t>
      </w:r>
    </w:p>
    <w:p w14:paraId="4EE82A25"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IPCC. (2014). Climate Change 2014: Synthesis Report. Contribution of Working Groups I, II and III to the Fifth Assessment Report of the Intergovernmental Panel on Climate Change. In R. K. Pachauri &amp; M. R. Allen (Eds.), </w:t>
      </w:r>
      <w:r w:rsidRPr="00E25215">
        <w:rPr>
          <w:rFonts w:cs="Times New Roman"/>
          <w:i/>
          <w:iCs/>
        </w:rPr>
        <w:t>EPIC3Geneva, Switzerland, IPCC, 151 p., pp. 151, ISBN: 978-92-9169-143-2</w:t>
      </w:r>
      <w:r w:rsidRPr="00E25215">
        <w:rPr>
          <w:rFonts w:cs="Times New Roman"/>
        </w:rPr>
        <w:t xml:space="preserve"> (p. 151pp). IPCC. https://epic.awi.de/id/eprint/37530/</w:t>
      </w:r>
    </w:p>
    <w:p w14:paraId="3BA5A316"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IPCC. (2021). Climate Change 2021: The Physical Science Basis. Contribution of Working Group I to the Sixth Assessment Report of the Intergovernmental Panel on Climate Change. </w:t>
      </w:r>
      <w:r w:rsidRPr="00E25215">
        <w:rPr>
          <w:rFonts w:cs="Times New Roman"/>
          <w:i/>
          <w:iCs/>
        </w:rPr>
        <w:t>Cambridge University Press</w:t>
      </w:r>
      <w:r w:rsidRPr="00E25215">
        <w:rPr>
          <w:rFonts w:cs="Times New Roman"/>
        </w:rPr>
        <w:t>. https://doi.org/10.1017/9781009157896</w:t>
      </w:r>
    </w:p>
    <w:p w14:paraId="5C6E4E12"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IPCC. (2022). </w:t>
      </w:r>
      <w:r w:rsidRPr="00E25215">
        <w:rPr>
          <w:rFonts w:cs="Times New Roman"/>
          <w:i/>
          <w:iCs/>
        </w:rPr>
        <w:t>Climate Change 2022: Impacts, Adaptation and Vulnerability</w:t>
      </w:r>
      <w:r w:rsidRPr="00E25215">
        <w:rPr>
          <w:rFonts w:cs="Times New Roman"/>
        </w:rPr>
        <w:t xml:space="preserve"> (p. 3056) [Contribution of Working Group II to the Sixth Assessment Report of the Intergovernmental Panel on Climate Change]. Cambridge University Press. 10.1017/9781009325844</w:t>
      </w:r>
    </w:p>
    <w:p w14:paraId="0EB5E288"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IPCC. (2019). </w:t>
      </w:r>
      <w:r w:rsidRPr="00E25215">
        <w:rPr>
          <w:rFonts w:cs="Times New Roman"/>
          <w:i/>
          <w:iCs/>
        </w:rPr>
        <w:t>Changing Ocean, Marine Ecosystems, and Dependent Communities—Special Report on the Ocean and Cryosphere in a Changing Climate</w:t>
      </w:r>
      <w:r w:rsidRPr="00E25215">
        <w:rPr>
          <w:rFonts w:cs="Times New Roman"/>
        </w:rPr>
        <w:t>. https://www.ipcc.ch/srocc/chapter/chapter-5/</w:t>
      </w:r>
    </w:p>
    <w:p w14:paraId="72C034A6"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Iriarte, J. A., Lobos, G. A., &amp; Jaksic, F. M. (2005). Invasive vertebrate species in Chile and their control and monitoring by governmental agencies. </w:t>
      </w:r>
      <w:r w:rsidRPr="00E25215">
        <w:rPr>
          <w:rFonts w:cs="Times New Roman"/>
          <w:i/>
          <w:iCs/>
        </w:rPr>
        <w:t>Revista Chilena de Historia Natural</w:t>
      </w:r>
      <w:r w:rsidRPr="00E25215">
        <w:rPr>
          <w:rFonts w:cs="Times New Roman"/>
        </w:rPr>
        <w:t xml:space="preserve">, </w:t>
      </w:r>
      <w:r w:rsidRPr="00E25215">
        <w:rPr>
          <w:rFonts w:cs="Times New Roman"/>
          <w:i/>
          <w:iCs/>
        </w:rPr>
        <w:t>78</w:t>
      </w:r>
      <w:r w:rsidRPr="00E25215">
        <w:rPr>
          <w:rFonts w:cs="Times New Roman"/>
        </w:rPr>
        <w:t>(1), 143–154. https://www.scopus.com/inward/record.uri?eid=2-s2.0-19844372796&amp;partnerID=40&amp;md5=60b90e72810e001a8f4ebd8f0693954c</w:t>
      </w:r>
    </w:p>
    <w:p w14:paraId="52B0BBD1"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IRP. (2019). </w:t>
      </w:r>
      <w:r w:rsidRPr="00E25215">
        <w:rPr>
          <w:rFonts w:cs="Times New Roman"/>
          <w:i/>
          <w:iCs/>
        </w:rPr>
        <w:t>Global Resources Outlook 2019: Natural Resources for the Future We Want. Oberle, B., Bringezu, S., Hatfeld-Dodds, S., Hellweg, S., Schandl, H., Clement, J., and Cabernard, L., Che, N., Chen, D., Droz-Georget , H., Ekins, P., Fischer-Kowalski, M., Flörke, M., Frank, S., Froemelt , A., Geschke, A., Haupt , M., Havlik, P., Hüfner, R., Lenzen, M., Lieber, M., Liu, B., Lu, Y., Lutter, S., Mehr , J., Miatto, A., Newth, D., Oberschelp , C., Obersteiner, M., Pfster, S., Piccoli, E., Schaldach, R., Schüngel, J., Sonderegger, T., Sudheshwar, A., Tanikawa, H., van der Voet, E., Walker, C., West, J., Wang, Z., Zhu, B. A Report of the International Resource Panel</w:t>
      </w:r>
      <w:r w:rsidRPr="00E25215">
        <w:rPr>
          <w:rFonts w:cs="Times New Roman"/>
        </w:rPr>
        <w:t>. UNEP. https://orbi.uliege.be/handle/2268/244276</w:t>
      </w:r>
    </w:p>
    <w:p w14:paraId="61220FF9"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Isaak, D. J., Luce, C. H., Rieman, B. E., Nagel, D. E., Peterson, E. E., Horan, D. L., Parkes, S., &amp; Chandler, G. L. (2010). Effects of climate change and wildfire on stream temperatures and salmonid thermal habitat in a mountain river network. </w:t>
      </w:r>
      <w:r w:rsidRPr="00E25215">
        <w:rPr>
          <w:rFonts w:cs="Times New Roman"/>
          <w:i/>
          <w:iCs/>
        </w:rPr>
        <w:t>Ecological Applications</w:t>
      </w:r>
      <w:r w:rsidRPr="00E25215">
        <w:rPr>
          <w:rFonts w:cs="Times New Roman"/>
        </w:rPr>
        <w:t xml:space="preserve">, </w:t>
      </w:r>
      <w:r w:rsidRPr="00E25215">
        <w:rPr>
          <w:rFonts w:cs="Times New Roman"/>
          <w:i/>
          <w:iCs/>
        </w:rPr>
        <w:t>20</w:t>
      </w:r>
      <w:r w:rsidRPr="00E25215">
        <w:rPr>
          <w:rFonts w:cs="Times New Roman"/>
        </w:rPr>
        <w:t>(5), 1350–1371. https://doi.org/10.1890/09-0822.1</w:t>
      </w:r>
    </w:p>
    <w:p w14:paraId="72CBB57F"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ISAC. (2016). </w:t>
      </w:r>
      <w:r w:rsidRPr="00E25215">
        <w:rPr>
          <w:rFonts w:cs="Times New Roman"/>
          <w:i/>
          <w:iCs/>
        </w:rPr>
        <w:t>Invasive species impacts on infrastructure</w:t>
      </w:r>
      <w:r w:rsidRPr="00E25215">
        <w:rPr>
          <w:rFonts w:cs="Times New Roman"/>
        </w:rPr>
        <w:t xml:space="preserve"> (p. 12). Invasive Species Advisory ommittee. https://www.doi.gov/sites/doi.gov/files/uploads/isac_infrastructure_white_paper.pdf</w:t>
      </w:r>
    </w:p>
    <w:p w14:paraId="0BFEB483"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IUCN. (2020, September). </w:t>
      </w:r>
      <w:r w:rsidRPr="00E25215">
        <w:rPr>
          <w:rFonts w:cs="Times New Roman"/>
          <w:i/>
          <w:iCs/>
        </w:rPr>
        <w:t>Motion 67—Reducing the impacts of the mining industry on biodiversity</w:t>
      </w:r>
      <w:r w:rsidRPr="00E25215">
        <w:rPr>
          <w:rFonts w:cs="Times New Roman"/>
        </w:rPr>
        <w:t>. IUCN World Conservation Congress 2020. https://www.iucncongress2020.org/motion/067</w:t>
      </w:r>
    </w:p>
    <w:p w14:paraId="455FC44E"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Iverson, L. R., Rebbeck, J., Peters, M. P., Hutchinson, T., &amp; Fox, T. (2019). Predicting </w:t>
      </w:r>
      <w:r w:rsidRPr="00E25215">
        <w:rPr>
          <w:rFonts w:cs="Times New Roman"/>
          <w:i/>
          <w:iCs/>
        </w:rPr>
        <w:t>Ailanthus altissima</w:t>
      </w:r>
      <w:r w:rsidRPr="00E25215">
        <w:rPr>
          <w:rFonts w:cs="Times New Roman"/>
        </w:rPr>
        <w:t xml:space="preserve"> presence across a managed forest landscape in southeast Ohio. </w:t>
      </w:r>
      <w:r w:rsidRPr="00E25215">
        <w:rPr>
          <w:rFonts w:cs="Times New Roman"/>
          <w:i/>
          <w:iCs/>
        </w:rPr>
        <w:t>Forest Ecosystems</w:t>
      </w:r>
      <w:r w:rsidRPr="00E25215">
        <w:rPr>
          <w:rFonts w:cs="Times New Roman"/>
        </w:rPr>
        <w:t xml:space="preserve">, </w:t>
      </w:r>
      <w:r w:rsidRPr="00E25215">
        <w:rPr>
          <w:rFonts w:cs="Times New Roman"/>
          <w:i/>
          <w:iCs/>
        </w:rPr>
        <w:t>6</w:t>
      </w:r>
      <w:r w:rsidRPr="00E25215">
        <w:rPr>
          <w:rFonts w:cs="Times New Roman"/>
        </w:rPr>
        <w:t>(1), 41. https://doi.org/10.1186/s40663-019-0198-7</w:t>
      </w:r>
    </w:p>
    <w:p w14:paraId="05FABF74" w14:textId="77777777" w:rsidR="001379C0" w:rsidRPr="00E25215" w:rsidRDefault="001379C0" w:rsidP="009B3E7F">
      <w:pPr>
        <w:pStyle w:val="Bibliography"/>
        <w:spacing w:before="0" w:after="0" w:line="240" w:lineRule="auto"/>
        <w:rPr>
          <w:rFonts w:cs="Times New Roman"/>
        </w:rPr>
      </w:pPr>
      <w:r w:rsidRPr="00E25215">
        <w:rPr>
          <w:rFonts w:cs="Times New Roman"/>
        </w:rPr>
        <w:lastRenderedPageBreak/>
        <w:t xml:space="preserve">Ivkić, A., Steger, J., Galil, B. S., &amp; Albano, P. G. (2019). The potential of large rafting objects to spread Lessepsian invaders: The case of a detached buoy. </w:t>
      </w:r>
      <w:r w:rsidRPr="00E25215">
        <w:rPr>
          <w:rFonts w:cs="Times New Roman"/>
          <w:i/>
          <w:iCs/>
        </w:rPr>
        <w:t>Biological Invasions</w:t>
      </w:r>
      <w:r w:rsidRPr="00E25215">
        <w:rPr>
          <w:rFonts w:cs="Times New Roman"/>
        </w:rPr>
        <w:t xml:space="preserve">, </w:t>
      </w:r>
      <w:r w:rsidRPr="00E25215">
        <w:rPr>
          <w:rFonts w:cs="Times New Roman"/>
          <w:i/>
          <w:iCs/>
        </w:rPr>
        <w:t>21</w:t>
      </w:r>
      <w:r w:rsidRPr="00E25215">
        <w:rPr>
          <w:rFonts w:cs="Times New Roman"/>
        </w:rPr>
        <w:t>(6), 1887–1893. https://doi.org/10.1007/s10530-019-01972-4</w:t>
      </w:r>
    </w:p>
    <w:p w14:paraId="7F8F73D1" w14:textId="77777777" w:rsidR="001379C0" w:rsidRPr="00E25215" w:rsidRDefault="001379C0" w:rsidP="009B3E7F">
      <w:pPr>
        <w:pStyle w:val="Bibliography"/>
        <w:spacing w:before="0" w:after="0" w:line="240" w:lineRule="auto"/>
        <w:rPr>
          <w:rFonts w:cs="Times New Roman"/>
        </w:rPr>
      </w:pPr>
      <w:r w:rsidRPr="00E25215">
        <w:rPr>
          <w:rFonts w:cs="Times New Roman"/>
        </w:rPr>
        <w:t>Izquierdo</w:t>
      </w:r>
      <w:r w:rsidRPr="00E25215">
        <w:rPr>
          <w:rFonts w:cs="Times New Roman" w:hint="eastAsia"/>
        </w:rPr>
        <w:t>‐</w:t>
      </w:r>
      <w:r w:rsidRPr="00E25215">
        <w:rPr>
          <w:rFonts w:cs="Times New Roman"/>
        </w:rPr>
        <w:t>Gómez, D., Arechavala</w:t>
      </w:r>
      <w:r w:rsidRPr="00E25215">
        <w:rPr>
          <w:rFonts w:cs="Times New Roman" w:hint="eastAsia"/>
        </w:rPr>
        <w:t>‐</w:t>
      </w:r>
      <w:r w:rsidRPr="00E25215">
        <w:rPr>
          <w:rFonts w:cs="Times New Roman"/>
        </w:rPr>
        <w:t>Lopez, P., Bayle</w:t>
      </w:r>
      <w:r w:rsidRPr="00E25215">
        <w:rPr>
          <w:rFonts w:cs="Times New Roman" w:hint="eastAsia"/>
        </w:rPr>
        <w:t>‐</w:t>
      </w:r>
      <w:r w:rsidRPr="00E25215">
        <w:rPr>
          <w:rFonts w:cs="Times New Roman"/>
        </w:rPr>
        <w:t>Sempere, J. T., &amp; Sánchez</w:t>
      </w:r>
      <w:r w:rsidRPr="00E25215">
        <w:rPr>
          <w:rFonts w:cs="Times New Roman" w:hint="eastAsia"/>
        </w:rPr>
        <w:t>‐</w:t>
      </w:r>
      <w:r w:rsidRPr="00E25215">
        <w:rPr>
          <w:rFonts w:cs="Times New Roman"/>
        </w:rPr>
        <w:t>Jerez, P. (2017). Assessing the influence of gilthead sea bream escapees in landings of Mediterranean fisheries through a scale</w:t>
      </w:r>
      <w:r w:rsidRPr="00E25215">
        <w:rPr>
          <w:rFonts w:cs="Times New Roman" w:hint="eastAsia"/>
        </w:rPr>
        <w:t>‐</w:t>
      </w:r>
      <w:r w:rsidRPr="00E25215">
        <w:rPr>
          <w:rFonts w:cs="Times New Roman"/>
        </w:rPr>
        <w:t xml:space="preserve">based methodology. </w:t>
      </w:r>
      <w:r w:rsidRPr="00E25215">
        <w:rPr>
          <w:rFonts w:cs="Times New Roman"/>
          <w:i/>
          <w:iCs/>
        </w:rPr>
        <w:t>Fisheries Management and Ecology</w:t>
      </w:r>
      <w:r w:rsidRPr="00E25215">
        <w:rPr>
          <w:rFonts w:cs="Times New Roman"/>
        </w:rPr>
        <w:t xml:space="preserve">, </w:t>
      </w:r>
      <w:r w:rsidRPr="00E25215">
        <w:rPr>
          <w:rFonts w:cs="Times New Roman"/>
          <w:i/>
          <w:iCs/>
        </w:rPr>
        <w:t>24</w:t>
      </w:r>
      <w:r w:rsidRPr="00E25215">
        <w:rPr>
          <w:rFonts w:cs="Times New Roman"/>
        </w:rPr>
        <w:t>(1), 62–72. https://doi.org/10.1111/fme.12202</w:t>
      </w:r>
    </w:p>
    <w:p w14:paraId="3D5B1F59"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Jackson, M. C., Loewen, C. J. G., Vinebrooke, R. D., &amp; Chimimba, C. T. (2016). Net effects of multiple stressors in freshwater ecosystems: A meta-analysis. </w:t>
      </w:r>
      <w:r w:rsidRPr="00E25215">
        <w:rPr>
          <w:rFonts w:cs="Times New Roman"/>
          <w:i/>
          <w:iCs/>
        </w:rPr>
        <w:t>Global Change Biology</w:t>
      </w:r>
      <w:r w:rsidRPr="00E25215">
        <w:rPr>
          <w:rFonts w:cs="Times New Roman"/>
        </w:rPr>
        <w:t xml:space="preserve">, </w:t>
      </w:r>
      <w:r w:rsidRPr="00E25215">
        <w:rPr>
          <w:rFonts w:cs="Times New Roman"/>
          <w:i/>
          <w:iCs/>
        </w:rPr>
        <w:t>22</w:t>
      </w:r>
      <w:r w:rsidRPr="00E25215">
        <w:rPr>
          <w:rFonts w:cs="Times New Roman"/>
        </w:rPr>
        <w:t>(1), 180–189. https://doi.org/10.1111/gcb.13028</w:t>
      </w:r>
    </w:p>
    <w:p w14:paraId="6BCE6E13"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Jactel, H., Desprez-Loustau, M.-L., Battisti, A., Brockerhoff, E., Santini, A., Stenlid, J., Björkman, C., Branco, M., Dehnen-Schmutz, K., Douma, J. C., Drakulic, J., Drizou, F., Eschen, R., Franco, J. C., Gossner, M. M., Green, S., Kenis, M., Klapwijk, M. J., Liebhold, A. M., … Zalucki, M. P. (2020). Pathologists and entomologists must join forces against forest pest and pathogen invasions. </w:t>
      </w:r>
      <w:r w:rsidRPr="00E25215">
        <w:rPr>
          <w:rFonts w:cs="Times New Roman"/>
          <w:i/>
          <w:iCs/>
        </w:rPr>
        <w:t>NeoBiota</w:t>
      </w:r>
      <w:r w:rsidRPr="00E25215">
        <w:rPr>
          <w:rFonts w:cs="Times New Roman"/>
        </w:rPr>
        <w:t xml:space="preserve">, </w:t>
      </w:r>
      <w:r w:rsidRPr="00E25215">
        <w:rPr>
          <w:rFonts w:cs="Times New Roman"/>
          <w:i/>
          <w:iCs/>
        </w:rPr>
        <w:t>58</w:t>
      </w:r>
      <w:r w:rsidRPr="00E25215">
        <w:rPr>
          <w:rFonts w:cs="Times New Roman"/>
        </w:rPr>
        <w:t>, 107–127. https://doi.org/10.3897/neobiota.58.54389</w:t>
      </w:r>
    </w:p>
    <w:p w14:paraId="6961B973"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Jauni, M., Gripenberg, S., &amp; Ramula, S. (2015). Non-native plant species benefit from disturbance: A meta-analysis. </w:t>
      </w:r>
      <w:r w:rsidRPr="00E25215">
        <w:rPr>
          <w:rFonts w:cs="Times New Roman"/>
          <w:i/>
          <w:iCs/>
        </w:rPr>
        <w:t>Oikos</w:t>
      </w:r>
      <w:r w:rsidRPr="00E25215">
        <w:rPr>
          <w:rFonts w:cs="Times New Roman"/>
        </w:rPr>
        <w:t xml:space="preserve">, </w:t>
      </w:r>
      <w:r w:rsidRPr="00E25215">
        <w:rPr>
          <w:rFonts w:cs="Times New Roman"/>
          <w:i/>
          <w:iCs/>
        </w:rPr>
        <w:t>124</w:t>
      </w:r>
      <w:r w:rsidRPr="00E25215">
        <w:rPr>
          <w:rFonts w:cs="Times New Roman"/>
        </w:rPr>
        <w:t>(2), 122–129. https://doi.org/10.1111/oik.01416</w:t>
      </w:r>
    </w:p>
    <w:p w14:paraId="65145601"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Jaureguiberry, P., Titeux, N., Wiemers, M., Bowler, D. E., Coscieme, L., Golden, A. S., Guerra, C. A., Jacob, U., Takahashi, Y., Settele, J., Díaz, S., Molnár, Z., &amp; Purvis, A. (2022). The direct drivers of recent global anthropogenic biodiversity loss. </w:t>
      </w:r>
      <w:r w:rsidRPr="00E25215">
        <w:rPr>
          <w:rFonts w:cs="Times New Roman"/>
          <w:i/>
          <w:iCs/>
        </w:rPr>
        <w:t>Science Advances</w:t>
      </w:r>
      <w:r w:rsidRPr="00E25215">
        <w:rPr>
          <w:rFonts w:cs="Times New Roman"/>
        </w:rPr>
        <w:t xml:space="preserve">, </w:t>
      </w:r>
      <w:r w:rsidRPr="00E25215">
        <w:rPr>
          <w:rFonts w:cs="Times New Roman"/>
          <w:i/>
          <w:iCs/>
        </w:rPr>
        <w:t>8</w:t>
      </w:r>
      <w:r w:rsidRPr="00E25215">
        <w:rPr>
          <w:rFonts w:cs="Times New Roman"/>
        </w:rPr>
        <w:t>(45), eabm9982. https://doi.org/10.1126/sciadv.abm9982</w:t>
      </w:r>
    </w:p>
    <w:p w14:paraId="58344D69"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Jentsch, A., Kreyling, J., &amp; Beierkuhnlein, C. (2007). A new generation of climate-change experiments: Events, not trends. </w:t>
      </w:r>
      <w:r w:rsidRPr="00E25215">
        <w:rPr>
          <w:rFonts w:cs="Times New Roman"/>
          <w:i/>
          <w:iCs/>
        </w:rPr>
        <w:t>Frontiers in Ecology and the Environment</w:t>
      </w:r>
      <w:r w:rsidRPr="00E25215">
        <w:rPr>
          <w:rFonts w:cs="Times New Roman"/>
        </w:rPr>
        <w:t xml:space="preserve">, </w:t>
      </w:r>
      <w:r w:rsidRPr="00E25215">
        <w:rPr>
          <w:rFonts w:cs="Times New Roman"/>
          <w:i/>
          <w:iCs/>
        </w:rPr>
        <w:t>5</w:t>
      </w:r>
      <w:r w:rsidRPr="00E25215">
        <w:rPr>
          <w:rFonts w:cs="Times New Roman"/>
        </w:rPr>
        <w:t>(7), 365–374. https://doi.org/10.1890/1540-9295(2007)5[365:ANGOCE]2.0.CO;2</w:t>
      </w:r>
    </w:p>
    <w:p w14:paraId="698AA84F"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Jerde, C. L., Chadderton, W. L., Mahon, A. R., Renshaw, M. A., Corush, J., Budny, M. L., Mysorekar, S., &amp; Lodge, D. M. (2013). Detection of Asian carp DNA as part of a Great Lakes basin-wide surveillance program. </w:t>
      </w:r>
      <w:r w:rsidRPr="00E25215">
        <w:rPr>
          <w:rFonts w:cs="Times New Roman"/>
          <w:i/>
          <w:iCs/>
        </w:rPr>
        <w:t>Canadian Journal of Fisheries and Aquatic Sciences</w:t>
      </w:r>
      <w:r w:rsidRPr="00E25215">
        <w:rPr>
          <w:rFonts w:cs="Times New Roman"/>
        </w:rPr>
        <w:t xml:space="preserve">, </w:t>
      </w:r>
      <w:r w:rsidRPr="00E25215">
        <w:rPr>
          <w:rFonts w:cs="Times New Roman"/>
          <w:i/>
          <w:iCs/>
        </w:rPr>
        <w:t>70</w:t>
      </w:r>
      <w:r w:rsidRPr="00E25215">
        <w:rPr>
          <w:rFonts w:cs="Times New Roman"/>
        </w:rPr>
        <w:t>(4), 522–526. https://doi.org/10.1139/cjfas-2012-0478</w:t>
      </w:r>
    </w:p>
    <w:p w14:paraId="0767BF83"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Jeschke, J. M., Aparicio, L. G., Haider, S., Heger, T., Lortie, C., Pyšek, P., &amp; Strayer, D. (2012). Support for major hypotheses in invasion biology is uneven and declining. </w:t>
      </w:r>
      <w:r w:rsidRPr="00E25215">
        <w:rPr>
          <w:rFonts w:cs="Times New Roman"/>
          <w:i/>
          <w:iCs/>
        </w:rPr>
        <w:t>NeoBiota</w:t>
      </w:r>
      <w:r w:rsidRPr="00E25215">
        <w:rPr>
          <w:rFonts w:cs="Times New Roman"/>
        </w:rPr>
        <w:t xml:space="preserve">, </w:t>
      </w:r>
      <w:r w:rsidRPr="00E25215">
        <w:rPr>
          <w:rFonts w:cs="Times New Roman"/>
          <w:i/>
          <w:iCs/>
        </w:rPr>
        <w:t>14</w:t>
      </w:r>
      <w:r w:rsidRPr="00E25215">
        <w:rPr>
          <w:rFonts w:cs="Times New Roman"/>
        </w:rPr>
        <w:t>, 1–20. https://doi.org/10.3897/neobiota.14.3435</w:t>
      </w:r>
    </w:p>
    <w:p w14:paraId="322AABC7"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Jeschke, J. M., &amp; Genovesi, P. (2011). Do biodiversity and human impact influence the introduction or establishment of alien mammals? </w:t>
      </w:r>
      <w:r w:rsidRPr="00E25215">
        <w:rPr>
          <w:rFonts w:cs="Times New Roman"/>
          <w:i/>
          <w:iCs/>
        </w:rPr>
        <w:t>Oikos</w:t>
      </w:r>
      <w:r w:rsidRPr="00E25215">
        <w:rPr>
          <w:rFonts w:cs="Times New Roman"/>
        </w:rPr>
        <w:t xml:space="preserve">, </w:t>
      </w:r>
      <w:r w:rsidRPr="00E25215">
        <w:rPr>
          <w:rFonts w:cs="Times New Roman"/>
          <w:i/>
          <w:iCs/>
        </w:rPr>
        <w:t>120</w:t>
      </w:r>
      <w:r w:rsidRPr="00E25215">
        <w:rPr>
          <w:rFonts w:cs="Times New Roman"/>
        </w:rPr>
        <w:t>(1), 57–64. https://doi.org/10.1111/j.1600-0706.2010.18621.x</w:t>
      </w:r>
    </w:p>
    <w:p w14:paraId="2A0CCB0F"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Jeschke, J. M., &amp; Strayer, D. L. (2005). Invasion success of vertebrates in Europe and North America. </w:t>
      </w:r>
      <w:r w:rsidRPr="00E25215">
        <w:rPr>
          <w:rFonts w:cs="Times New Roman"/>
          <w:i/>
          <w:iCs/>
        </w:rPr>
        <w:t>Proceedings of the National Academy of Sciences</w:t>
      </w:r>
      <w:r w:rsidRPr="00E25215">
        <w:rPr>
          <w:rFonts w:cs="Times New Roman"/>
        </w:rPr>
        <w:t xml:space="preserve">, </w:t>
      </w:r>
      <w:r w:rsidRPr="00E25215">
        <w:rPr>
          <w:rFonts w:cs="Times New Roman"/>
          <w:i/>
          <w:iCs/>
        </w:rPr>
        <w:t>102</w:t>
      </w:r>
      <w:r w:rsidRPr="00E25215">
        <w:rPr>
          <w:rFonts w:cs="Times New Roman"/>
        </w:rPr>
        <w:t>(20), 7198–7202. https://doi.org/10.1073/pnas.0501271102</w:t>
      </w:r>
    </w:p>
    <w:p w14:paraId="47D6C927"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Jevon, T., &amp; Shackleton, C. M. (2015). Integrating Local Knowledge and Forest Surveys to Assess </w:t>
      </w:r>
      <w:r w:rsidRPr="00E25215">
        <w:rPr>
          <w:rFonts w:cs="Times New Roman"/>
          <w:i/>
          <w:iCs/>
        </w:rPr>
        <w:t>Lantana camara</w:t>
      </w:r>
      <w:r w:rsidRPr="00E25215">
        <w:rPr>
          <w:rFonts w:cs="Times New Roman"/>
        </w:rPr>
        <w:t xml:space="preserve"> Impacts on Indigenous Species Recruitment in Mazeppa Bay, South Africa. </w:t>
      </w:r>
      <w:r w:rsidRPr="00E25215">
        <w:rPr>
          <w:rFonts w:cs="Times New Roman"/>
          <w:i/>
          <w:iCs/>
        </w:rPr>
        <w:t>Human Ecology</w:t>
      </w:r>
      <w:r w:rsidRPr="00E25215">
        <w:rPr>
          <w:rFonts w:cs="Times New Roman"/>
        </w:rPr>
        <w:t xml:space="preserve">, </w:t>
      </w:r>
      <w:r w:rsidRPr="00E25215">
        <w:rPr>
          <w:rFonts w:cs="Times New Roman"/>
          <w:i/>
          <w:iCs/>
        </w:rPr>
        <w:t>43</w:t>
      </w:r>
      <w:r w:rsidRPr="00E25215">
        <w:rPr>
          <w:rFonts w:cs="Times New Roman"/>
        </w:rPr>
        <w:t>(2), 247–254. https://doi.org/10.1007/s10745-015-9748-y</w:t>
      </w:r>
    </w:p>
    <w:p w14:paraId="15EFBAAE"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Jiménez, M. A., Jaksic, F. M., Armesto, J. J., Gaxiola, A., Meserve, P. L., Kelt, D. A., &amp; Gutiérrez, J. R. (2011). Extreme climatic events change the dynamics and invasibility of semi-arid annual plant communities: Extreme events and plant invasibility. </w:t>
      </w:r>
      <w:r w:rsidRPr="00E25215">
        <w:rPr>
          <w:rFonts w:cs="Times New Roman"/>
          <w:i/>
          <w:iCs/>
        </w:rPr>
        <w:t>Ecology Letters</w:t>
      </w:r>
      <w:r w:rsidRPr="00E25215">
        <w:rPr>
          <w:rFonts w:cs="Times New Roman"/>
        </w:rPr>
        <w:t xml:space="preserve">, </w:t>
      </w:r>
      <w:r w:rsidRPr="00E25215">
        <w:rPr>
          <w:rFonts w:cs="Times New Roman"/>
          <w:i/>
          <w:iCs/>
        </w:rPr>
        <w:t>14</w:t>
      </w:r>
      <w:r w:rsidRPr="00E25215">
        <w:rPr>
          <w:rFonts w:cs="Times New Roman"/>
        </w:rPr>
        <w:t>(12), 1227–1235. https://doi.org/10.1111/j.1461-0248.2011.01693.x</w:t>
      </w:r>
    </w:p>
    <w:p w14:paraId="28D97310"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Jodoin, Y., Lavoie, C., Villeneuve, P., Theriault, M., Beaulieu, J., &amp; Belzile, F. (2008). Highways as corridors and habitats for the invasive common reed </w:t>
      </w:r>
      <w:r w:rsidRPr="00E25215">
        <w:rPr>
          <w:rFonts w:cs="Times New Roman"/>
          <w:i/>
          <w:iCs/>
        </w:rPr>
        <w:t>Phragmites australis</w:t>
      </w:r>
      <w:r w:rsidRPr="00E25215">
        <w:rPr>
          <w:rFonts w:cs="Times New Roman"/>
        </w:rPr>
        <w:t xml:space="preserve"> in Quebec, Canada. </w:t>
      </w:r>
      <w:r w:rsidRPr="00E25215">
        <w:rPr>
          <w:rFonts w:cs="Times New Roman"/>
          <w:i/>
          <w:iCs/>
        </w:rPr>
        <w:t>Journal of Applied Ecology</w:t>
      </w:r>
      <w:r w:rsidRPr="00E25215">
        <w:rPr>
          <w:rFonts w:cs="Times New Roman"/>
        </w:rPr>
        <w:t xml:space="preserve">, </w:t>
      </w:r>
      <w:r w:rsidRPr="00E25215">
        <w:rPr>
          <w:rFonts w:cs="Times New Roman"/>
          <w:i/>
          <w:iCs/>
        </w:rPr>
        <w:t>45</w:t>
      </w:r>
      <w:r w:rsidRPr="00E25215">
        <w:rPr>
          <w:rFonts w:cs="Times New Roman"/>
        </w:rPr>
        <w:t>(2), 459–466. https://doi.org/10.1111/j.1365-2664.2007.01362.x</w:t>
      </w:r>
    </w:p>
    <w:p w14:paraId="391FFC16"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Johnson, J., Bell, J., &amp; Gupta, A. S. (2016). </w:t>
      </w:r>
      <w:r w:rsidRPr="00E25215">
        <w:rPr>
          <w:rFonts w:cs="Times New Roman"/>
          <w:i/>
          <w:iCs/>
        </w:rPr>
        <w:t>Pacific islands ocean acidification vulnerability assessment</w:t>
      </w:r>
      <w:r w:rsidRPr="00E25215">
        <w:rPr>
          <w:rFonts w:cs="Times New Roman"/>
        </w:rPr>
        <w:t>. https://www.sprep.org/attachments/Publications/CC/ocean-acidification.pdf</w:t>
      </w:r>
    </w:p>
    <w:p w14:paraId="1B16B894" w14:textId="77777777" w:rsidR="001379C0" w:rsidRPr="00E25215" w:rsidRDefault="001379C0" w:rsidP="009B3E7F">
      <w:pPr>
        <w:pStyle w:val="Bibliography"/>
        <w:spacing w:before="0" w:after="0" w:line="240" w:lineRule="auto"/>
        <w:rPr>
          <w:rFonts w:cs="Times New Roman"/>
        </w:rPr>
      </w:pPr>
      <w:r w:rsidRPr="00E25215">
        <w:rPr>
          <w:rFonts w:cs="Times New Roman"/>
        </w:rPr>
        <w:lastRenderedPageBreak/>
        <w:t xml:space="preserve">Johnson, P. T., Olden, J. D., &amp; Zanden, M. J. V. (2008). Dam invaders: Impoundments facilitate biological invasions into freshwaters. </w:t>
      </w:r>
      <w:r w:rsidRPr="00E25215">
        <w:rPr>
          <w:rFonts w:cs="Times New Roman"/>
          <w:i/>
          <w:iCs/>
        </w:rPr>
        <w:t>Frontiers in Ecology and the Environment</w:t>
      </w:r>
      <w:r w:rsidRPr="00E25215">
        <w:rPr>
          <w:rFonts w:cs="Times New Roman"/>
        </w:rPr>
        <w:t xml:space="preserve">, </w:t>
      </w:r>
      <w:r w:rsidRPr="00E25215">
        <w:rPr>
          <w:rFonts w:cs="Times New Roman"/>
          <w:i/>
          <w:iCs/>
        </w:rPr>
        <w:t>6</w:t>
      </w:r>
      <w:r w:rsidRPr="00E25215">
        <w:rPr>
          <w:rFonts w:cs="Times New Roman"/>
        </w:rPr>
        <w:t>(7), 357–363. https://doi.org/10.1890/070156</w:t>
      </w:r>
    </w:p>
    <w:p w14:paraId="51B3BE69"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Johnston, M., &amp; Purkis, S. (2015). Hurricanes accelerated the Florida-Bahamas lionfish invasion. </w:t>
      </w:r>
      <w:r w:rsidRPr="00E25215">
        <w:rPr>
          <w:rFonts w:cs="Times New Roman"/>
          <w:i/>
          <w:iCs/>
        </w:rPr>
        <w:t>Global Change Biology</w:t>
      </w:r>
      <w:r w:rsidRPr="00E25215">
        <w:rPr>
          <w:rFonts w:cs="Times New Roman"/>
        </w:rPr>
        <w:t xml:space="preserve">, </w:t>
      </w:r>
      <w:r w:rsidRPr="00E25215">
        <w:rPr>
          <w:rFonts w:cs="Times New Roman"/>
          <w:i/>
          <w:iCs/>
        </w:rPr>
        <w:t>21</w:t>
      </w:r>
      <w:r w:rsidRPr="00E25215">
        <w:rPr>
          <w:rFonts w:cs="Times New Roman"/>
        </w:rPr>
        <w:t>(6), 2249–2260. https://doi.org/10.1111/gcb.12874</w:t>
      </w:r>
    </w:p>
    <w:p w14:paraId="779CA845"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Jones, A. E., Turner, J., Caminade, C., Heath, A. E., Wardeh, M., Kluiters, G., Diggle, P. J., Morse, A. P., &amp; Baylis, M. (2019). Bluetongue risk under future climates. </w:t>
      </w:r>
      <w:r w:rsidRPr="00E25215">
        <w:rPr>
          <w:rFonts w:cs="Times New Roman"/>
          <w:i/>
          <w:iCs/>
        </w:rPr>
        <w:t>Nature Climate Change</w:t>
      </w:r>
      <w:r w:rsidRPr="00E25215">
        <w:rPr>
          <w:rFonts w:cs="Times New Roman"/>
        </w:rPr>
        <w:t xml:space="preserve">, </w:t>
      </w:r>
      <w:r w:rsidRPr="00E25215">
        <w:rPr>
          <w:rFonts w:cs="Times New Roman"/>
          <w:i/>
          <w:iCs/>
        </w:rPr>
        <w:t>9</w:t>
      </w:r>
      <w:r w:rsidRPr="00E25215">
        <w:rPr>
          <w:rFonts w:cs="Times New Roman"/>
        </w:rPr>
        <w:t>(2), 153–157. https://doi.org/10.1038/s41558-018-0376-6</w:t>
      </w:r>
    </w:p>
    <w:p w14:paraId="4FF04F02" w14:textId="77777777" w:rsidR="001379C0" w:rsidRPr="00E25215" w:rsidRDefault="001379C0" w:rsidP="009B3E7F">
      <w:pPr>
        <w:pStyle w:val="Bibliography"/>
        <w:spacing w:before="0" w:after="0" w:line="240" w:lineRule="auto"/>
        <w:rPr>
          <w:rFonts w:cs="Times New Roman"/>
        </w:rPr>
      </w:pPr>
      <w:r w:rsidRPr="00E25215">
        <w:rPr>
          <w:rFonts w:cs="Times New Roman"/>
        </w:rPr>
        <w:t>Jones, C., Barron, M., Warburton, B., Coleman, M., Lyver, P. O., &amp; Nugent, G. (2012). Serving two masters: Reconciling economic and biodiversity outcomes of brushtail possum (</w:t>
      </w:r>
      <w:r w:rsidRPr="00E25215">
        <w:rPr>
          <w:rFonts w:cs="Times New Roman"/>
          <w:i/>
          <w:iCs/>
        </w:rPr>
        <w:t>Trichosurus vulpecula</w:t>
      </w:r>
      <w:r w:rsidRPr="00E25215">
        <w:rPr>
          <w:rFonts w:cs="Times New Roman"/>
        </w:rPr>
        <w:t xml:space="preserve">) fur harvest in an indigenous New Zealand forest. </w:t>
      </w:r>
      <w:r w:rsidRPr="00E25215">
        <w:rPr>
          <w:rFonts w:cs="Times New Roman"/>
          <w:i/>
          <w:iCs/>
        </w:rPr>
        <w:t>Biological Conservation</w:t>
      </w:r>
      <w:r w:rsidRPr="00E25215">
        <w:rPr>
          <w:rFonts w:cs="Times New Roman"/>
        </w:rPr>
        <w:t xml:space="preserve">, </w:t>
      </w:r>
      <w:r w:rsidRPr="00E25215">
        <w:rPr>
          <w:rFonts w:cs="Times New Roman"/>
          <w:i/>
          <w:iCs/>
        </w:rPr>
        <w:t>153</w:t>
      </w:r>
      <w:r w:rsidRPr="00E25215">
        <w:rPr>
          <w:rFonts w:cs="Times New Roman"/>
        </w:rPr>
        <w:t>, 143–152. https://doi.org/10.1016/j.biocon.2012.04.016</w:t>
      </w:r>
    </w:p>
    <w:p w14:paraId="5113E7F3" w14:textId="77777777" w:rsidR="001379C0" w:rsidRPr="00E25215" w:rsidRDefault="001379C0" w:rsidP="009B3E7F">
      <w:pPr>
        <w:pStyle w:val="Bibliography"/>
        <w:spacing w:before="0" w:after="0" w:line="240" w:lineRule="auto"/>
        <w:rPr>
          <w:rFonts w:cs="Times New Roman"/>
        </w:rPr>
      </w:pPr>
      <w:r w:rsidRPr="00E25215">
        <w:rPr>
          <w:rFonts w:cs="Times New Roman"/>
        </w:rPr>
        <w:t>Jørstad, K. E., Otterå, H., van der Meeren, T., Dahle, G., Paulsen, O. I., Bakke, G., &amp; Svåsand, T. (2014). Genetic marking of farmed Atlantic cod (</w:t>
      </w:r>
      <w:r w:rsidRPr="00E25215">
        <w:rPr>
          <w:rFonts w:cs="Times New Roman"/>
          <w:i/>
          <w:iCs/>
        </w:rPr>
        <w:t>Gadus morhua</w:t>
      </w:r>
      <w:r w:rsidRPr="00E25215">
        <w:rPr>
          <w:rFonts w:cs="Times New Roman"/>
        </w:rPr>
        <w:t xml:space="preserve"> l.) and detection of escapes from a commercial cod farm. </w:t>
      </w:r>
      <w:r w:rsidRPr="00E25215">
        <w:rPr>
          <w:rFonts w:cs="Times New Roman"/>
          <w:i/>
          <w:iCs/>
        </w:rPr>
        <w:t>ICES Journal of Marine Science</w:t>
      </w:r>
      <w:r w:rsidRPr="00E25215">
        <w:rPr>
          <w:rFonts w:cs="Times New Roman"/>
        </w:rPr>
        <w:t xml:space="preserve">, </w:t>
      </w:r>
      <w:r w:rsidRPr="00E25215">
        <w:rPr>
          <w:rFonts w:cs="Times New Roman"/>
          <w:i/>
          <w:iCs/>
        </w:rPr>
        <w:t>71</w:t>
      </w:r>
      <w:r w:rsidRPr="00E25215">
        <w:rPr>
          <w:rFonts w:cs="Times New Roman"/>
        </w:rPr>
        <w:t>(3), 574–584. https://doi.org/10.1093/icesjms/fst171</w:t>
      </w:r>
    </w:p>
    <w:p w14:paraId="03B64885"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Jouffray, J.-B., Blasiak, R., Norström, A. V., Österblom, H., &amp; Nyström, M. (2020). The Blue Acceleration: The Trajectory of Human Expansion into the Ocean. </w:t>
      </w:r>
      <w:r w:rsidRPr="00E25215">
        <w:rPr>
          <w:rFonts w:cs="Times New Roman"/>
          <w:i/>
          <w:iCs/>
        </w:rPr>
        <w:t>One Earth</w:t>
      </w:r>
      <w:r w:rsidRPr="00E25215">
        <w:rPr>
          <w:rFonts w:cs="Times New Roman"/>
        </w:rPr>
        <w:t xml:space="preserve">, </w:t>
      </w:r>
      <w:r w:rsidRPr="00E25215">
        <w:rPr>
          <w:rFonts w:cs="Times New Roman"/>
          <w:i/>
          <w:iCs/>
        </w:rPr>
        <w:t>2</w:t>
      </w:r>
      <w:r w:rsidRPr="00E25215">
        <w:rPr>
          <w:rFonts w:cs="Times New Roman"/>
        </w:rPr>
        <w:t>(1), 43–54. https://doi.org/10.1016/j.oneear.2019.12.016</w:t>
      </w:r>
    </w:p>
    <w:p w14:paraId="0308D7BC"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Kaique, L. P. M., &amp; Nara, L. B. C. (2017). Occurrence of </w:t>
      </w:r>
      <w:r w:rsidRPr="00E25215">
        <w:rPr>
          <w:rFonts w:cs="Times New Roman"/>
          <w:i/>
          <w:iCs/>
        </w:rPr>
        <w:t>Achatina fulica</w:t>
      </w:r>
      <w:r w:rsidRPr="00E25215">
        <w:rPr>
          <w:rFonts w:cs="Times New Roman"/>
        </w:rPr>
        <w:t xml:space="preserve"> Bowdich, 1822 (Mollusca, Gas-tropoda) and its correlation with vegetation and garbage found in São Mateus, Espírito Santo, Brazil. </w:t>
      </w:r>
      <w:r w:rsidRPr="00E25215">
        <w:rPr>
          <w:rFonts w:cs="Times New Roman"/>
          <w:i/>
          <w:iCs/>
        </w:rPr>
        <w:t>Natureza on Line</w:t>
      </w:r>
      <w:r w:rsidRPr="00E25215">
        <w:rPr>
          <w:rFonts w:cs="Times New Roman"/>
        </w:rPr>
        <w:t xml:space="preserve">, </w:t>
      </w:r>
      <w:r w:rsidRPr="00E25215">
        <w:rPr>
          <w:rFonts w:cs="Times New Roman"/>
          <w:i/>
          <w:iCs/>
        </w:rPr>
        <w:t>15</w:t>
      </w:r>
      <w:r w:rsidRPr="00E25215">
        <w:rPr>
          <w:rFonts w:cs="Times New Roman"/>
        </w:rPr>
        <w:t>(1), 28–32.</w:t>
      </w:r>
    </w:p>
    <w:p w14:paraId="0548EA5E"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Kalwij, J. M., Robertson, M. P., &amp; van Rensburg, B. J. (2015). Annual monitoring reveals rapid upward movement of exotic plants in a montane ecosystem. </w:t>
      </w:r>
      <w:r w:rsidRPr="00E25215">
        <w:rPr>
          <w:rFonts w:cs="Times New Roman"/>
          <w:i/>
          <w:iCs/>
        </w:rPr>
        <w:t>Biological Invasions</w:t>
      </w:r>
      <w:r w:rsidRPr="00E25215">
        <w:rPr>
          <w:rFonts w:cs="Times New Roman"/>
        </w:rPr>
        <w:t xml:space="preserve">, </w:t>
      </w:r>
      <w:r w:rsidRPr="00E25215">
        <w:rPr>
          <w:rFonts w:cs="Times New Roman"/>
          <w:i/>
          <w:iCs/>
        </w:rPr>
        <w:t>17</w:t>
      </w:r>
      <w:r w:rsidRPr="00E25215">
        <w:rPr>
          <w:rFonts w:cs="Times New Roman"/>
        </w:rPr>
        <w:t>(12), 3517–3529. https://doi.org/10.1007/s10530-015-0975-3</w:t>
      </w:r>
    </w:p>
    <w:p w14:paraId="5953CBED"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Kapitza, K., Zimmermann, H., Martín-López, B., &amp; Von Wehrden, H. (2019). Research on the social perception of invasive species: A systematic literature review. </w:t>
      </w:r>
      <w:r w:rsidRPr="00E25215">
        <w:rPr>
          <w:rFonts w:cs="Times New Roman"/>
          <w:i/>
          <w:iCs/>
        </w:rPr>
        <w:t>NeoBiota</w:t>
      </w:r>
      <w:r w:rsidRPr="00E25215">
        <w:rPr>
          <w:rFonts w:cs="Times New Roman"/>
        </w:rPr>
        <w:t xml:space="preserve">, </w:t>
      </w:r>
      <w:r w:rsidRPr="00E25215">
        <w:rPr>
          <w:rFonts w:cs="Times New Roman"/>
          <w:i/>
          <w:iCs/>
        </w:rPr>
        <w:t>43</w:t>
      </w:r>
      <w:r w:rsidRPr="00E25215">
        <w:rPr>
          <w:rFonts w:cs="Times New Roman"/>
        </w:rPr>
        <w:t>, 47–68. https://doi.org/10.3897/neobiota.43.31619</w:t>
      </w:r>
    </w:p>
    <w:p w14:paraId="7EC32145"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Karatayev, A. Y., Mastitsky, S. E., Burlakova, L. E., &amp; Olenin, S. (2008). Past, current, and future of the central European corridor for aquatic invasions in Belarus. </w:t>
      </w:r>
      <w:r w:rsidRPr="00E25215">
        <w:rPr>
          <w:rFonts w:cs="Times New Roman"/>
          <w:i/>
          <w:iCs/>
        </w:rPr>
        <w:t>Biological Invasions</w:t>
      </w:r>
      <w:r w:rsidRPr="00E25215">
        <w:rPr>
          <w:rFonts w:cs="Times New Roman"/>
        </w:rPr>
        <w:t xml:space="preserve">, </w:t>
      </w:r>
      <w:r w:rsidRPr="00E25215">
        <w:rPr>
          <w:rFonts w:cs="Times New Roman"/>
          <w:i/>
          <w:iCs/>
        </w:rPr>
        <w:t>10</w:t>
      </w:r>
      <w:r w:rsidRPr="00E25215">
        <w:rPr>
          <w:rFonts w:cs="Times New Roman"/>
        </w:rPr>
        <w:t>(2), 215–232. https://doi.org/10.1007/s10530-007-9124-y</w:t>
      </w:r>
    </w:p>
    <w:p w14:paraId="1EE05159"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Karlsson, S., Diserud, O. H., Fiske, P., Hindar, K., &amp; Handling editor: W. Stewart Grant. (2016). Widespread genetic introgression of escaped farmed Atlantic salmon in wild salmon populations. </w:t>
      </w:r>
      <w:r w:rsidRPr="00E25215">
        <w:rPr>
          <w:rFonts w:cs="Times New Roman"/>
          <w:i/>
          <w:iCs/>
        </w:rPr>
        <w:t>ICES Journal of Marine Science</w:t>
      </w:r>
      <w:r w:rsidRPr="00E25215">
        <w:rPr>
          <w:rFonts w:cs="Times New Roman"/>
        </w:rPr>
        <w:t xml:space="preserve">, </w:t>
      </w:r>
      <w:r w:rsidRPr="00E25215">
        <w:rPr>
          <w:rFonts w:cs="Times New Roman"/>
          <w:i/>
          <w:iCs/>
        </w:rPr>
        <w:t>73</w:t>
      </w:r>
      <w:r w:rsidRPr="00E25215">
        <w:rPr>
          <w:rFonts w:cs="Times New Roman"/>
        </w:rPr>
        <w:t>(10), 2488–2498. https://doi.org/10.1093/icesjms/fsw121</w:t>
      </w:r>
    </w:p>
    <w:p w14:paraId="1E9D91C9"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Kastner, T., Erb, K.-H., &amp; Nonhebel, S. (2011). International wood trade and forest change: A global analysis. </w:t>
      </w:r>
      <w:r w:rsidRPr="00E25215">
        <w:rPr>
          <w:rFonts w:cs="Times New Roman"/>
          <w:i/>
          <w:iCs/>
        </w:rPr>
        <w:t>Global Environmental Change-Human and Policy Dimensions</w:t>
      </w:r>
      <w:r w:rsidRPr="00E25215">
        <w:rPr>
          <w:rFonts w:cs="Times New Roman"/>
        </w:rPr>
        <w:t xml:space="preserve">, </w:t>
      </w:r>
      <w:r w:rsidRPr="00E25215">
        <w:rPr>
          <w:rFonts w:cs="Times New Roman"/>
          <w:i/>
          <w:iCs/>
        </w:rPr>
        <w:t>21</w:t>
      </w:r>
      <w:r w:rsidRPr="00E25215">
        <w:rPr>
          <w:rFonts w:cs="Times New Roman"/>
        </w:rPr>
        <w:t>(3), 947–956. https://doi.org/10.1016/j.gloenvcha.2011.05.003</w:t>
      </w:r>
    </w:p>
    <w:p w14:paraId="1DEE8651"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Katsanevakis, S., Zenetos, A., Belchior, C., &amp; Cardoso, A. C. (2013). Invading European Seas: Assessing pathways of introduction of marine aliens. </w:t>
      </w:r>
      <w:r w:rsidRPr="00E25215">
        <w:rPr>
          <w:rFonts w:cs="Times New Roman"/>
          <w:i/>
          <w:iCs/>
        </w:rPr>
        <w:t>Ocean &amp; Coastal Management</w:t>
      </w:r>
      <w:r w:rsidRPr="00E25215">
        <w:rPr>
          <w:rFonts w:cs="Times New Roman"/>
        </w:rPr>
        <w:t xml:space="preserve">, </w:t>
      </w:r>
      <w:r w:rsidRPr="00E25215">
        <w:rPr>
          <w:rFonts w:cs="Times New Roman"/>
          <w:i/>
          <w:iCs/>
        </w:rPr>
        <w:t>76</w:t>
      </w:r>
      <w:r w:rsidRPr="00E25215">
        <w:rPr>
          <w:rFonts w:cs="Times New Roman"/>
        </w:rPr>
        <w:t>, 64–74. https://doi.org/10.1016/j.ocecoaman.2013.02.024</w:t>
      </w:r>
    </w:p>
    <w:p w14:paraId="62A3910A"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Kaza, S., Yao, L., Bhada-Tata, P., &amp; Van Woerden, F. (2018). </w:t>
      </w:r>
      <w:r w:rsidRPr="00E25215">
        <w:rPr>
          <w:rFonts w:cs="Times New Roman"/>
          <w:i/>
          <w:iCs/>
        </w:rPr>
        <w:t>What a waste 2.0: A global snapshot of solid waste management to 2050</w:t>
      </w:r>
      <w:r w:rsidRPr="00E25215">
        <w:rPr>
          <w:rFonts w:cs="Times New Roman"/>
        </w:rPr>
        <w:t>. The World Bank.</w:t>
      </w:r>
    </w:p>
    <w:p w14:paraId="38000EA4"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Keeley, J. E., Lubin, D., &amp; Fotheringham, C. J. (2003). Fire and grazing impacts on plant diversity and alien plant invasions in the southern Sierra Nevada. </w:t>
      </w:r>
      <w:r w:rsidRPr="00E25215">
        <w:rPr>
          <w:rFonts w:cs="Times New Roman"/>
          <w:i/>
          <w:iCs/>
        </w:rPr>
        <w:t>Ecological Applications</w:t>
      </w:r>
      <w:r w:rsidRPr="00E25215">
        <w:rPr>
          <w:rFonts w:cs="Times New Roman"/>
        </w:rPr>
        <w:t xml:space="preserve">, </w:t>
      </w:r>
      <w:r w:rsidRPr="00E25215">
        <w:rPr>
          <w:rFonts w:cs="Times New Roman"/>
          <w:i/>
          <w:iCs/>
        </w:rPr>
        <w:t>13</w:t>
      </w:r>
      <w:r w:rsidRPr="00E25215">
        <w:rPr>
          <w:rFonts w:cs="Times New Roman"/>
        </w:rPr>
        <w:t>(5), 1355–1374. https://doi.org/10.1890/02-5002</w:t>
      </w:r>
    </w:p>
    <w:p w14:paraId="753E7388"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Keeley, J. E., Pausas, J. G., Rundel, P. W., Bond, W. J., &amp; Bradstock, R. A. (2011). Fire as an evolutionary pressure shaping plant traits. </w:t>
      </w:r>
      <w:r w:rsidRPr="00E25215">
        <w:rPr>
          <w:rFonts w:cs="Times New Roman"/>
          <w:i/>
          <w:iCs/>
        </w:rPr>
        <w:t>Trends in Plant Science</w:t>
      </w:r>
      <w:r w:rsidRPr="00E25215">
        <w:rPr>
          <w:rFonts w:cs="Times New Roman"/>
        </w:rPr>
        <w:t xml:space="preserve">, </w:t>
      </w:r>
      <w:r w:rsidRPr="00E25215">
        <w:rPr>
          <w:rFonts w:cs="Times New Roman"/>
          <w:i/>
          <w:iCs/>
        </w:rPr>
        <w:t>16</w:t>
      </w:r>
      <w:r w:rsidRPr="00E25215">
        <w:rPr>
          <w:rFonts w:cs="Times New Roman"/>
        </w:rPr>
        <w:t>(8), Article 8. https://doi.org/10.1016/j.tplants.2011.04.002</w:t>
      </w:r>
    </w:p>
    <w:p w14:paraId="77E30CF5"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Kelly, J. (2018). The introduction of the Nile Perch into Lake Victoria and the resulting neo-colonial relationship. </w:t>
      </w:r>
      <w:r w:rsidRPr="00E25215">
        <w:rPr>
          <w:rFonts w:cs="Times New Roman"/>
          <w:i/>
          <w:iCs/>
        </w:rPr>
        <w:t>Undergraduate Journal of Global Citizenship</w:t>
      </w:r>
      <w:r w:rsidRPr="00E25215">
        <w:rPr>
          <w:rFonts w:cs="Times New Roman"/>
        </w:rPr>
        <w:t xml:space="preserve">, </w:t>
      </w:r>
      <w:r w:rsidRPr="00E25215">
        <w:rPr>
          <w:rFonts w:cs="Times New Roman"/>
          <w:i/>
          <w:iCs/>
        </w:rPr>
        <w:t>2</w:t>
      </w:r>
      <w:r w:rsidRPr="00E25215">
        <w:rPr>
          <w:rFonts w:cs="Times New Roman"/>
        </w:rPr>
        <w:t>(4), 14. https://digitalcommons.fairfield.edu/jogc/vol2/iss4/3</w:t>
      </w:r>
    </w:p>
    <w:p w14:paraId="5C750A37" w14:textId="77777777" w:rsidR="001379C0" w:rsidRPr="00E25215" w:rsidRDefault="001379C0" w:rsidP="009B3E7F">
      <w:pPr>
        <w:pStyle w:val="Bibliography"/>
        <w:spacing w:before="0" w:after="0" w:line="240" w:lineRule="auto"/>
        <w:rPr>
          <w:rFonts w:cs="Times New Roman"/>
        </w:rPr>
      </w:pPr>
      <w:r w:rsidRPr="00E25215">
        <w:rPr>
          <w:rFonts w:cs="Times New Roman"/>
        </w:rPr>
        <w:lastRenderedPageBreak/>
        <w:t xml:space="preserve">Kelly, L. T., Giljohann, K. M., Duane, A., Aquilué, N., Archibald, S., Batllori, E., Bennett, A. F., Buckland, S. T., Canelles, Q., Clarke, M. F., Fortin, M.-J., Hermoso, V., Herrando, S., Keane, R. E., Lake, F. K., McCarthy, M. A., Morán-Ordóñez, A., Parr, C. L., Pausas, J. G., … Brotons, L. (2020). Fire and biodiversity in the Anthropocene. </w:t>
      </w:r>
      <w:r w:rsidRPr="00E25215">
        <w:rPr>
          <w:rFonts w:cs="Times New Roman"/>
          <w:i/>
          <w:iCs/>
        </w:rPr>
        <w:t>Science</w:t>
      </w:r>
      <w:r w:rsidRPr="00E25215">
        <w:rPr>
          <w:rFonts w:cs="Times New Roman"/>
        </w:rPr>
        <w:t xml:space="preserve">, </w:t>
      </w:r>
      <w:r w:rsidRPr="00E25215">
        <w:rPr>
          <w:rFonts w:cs="Times New Roman"/>
          <w:i/>
          <w:iCs/>
        </w:rPr>
        <w:t>370</w:t>
      </w:r>
      <w:r w:rsidRPr="00E25215">
        <w:rPr>
          <w:rFonts w:cs="Times New Roman"/>
        </w:rPr>
        <w:t>(6519), eabb0355. https://doi.org/10.1126/science.abb0355</w:t>
      </w:r>
    </w:p>
    <w:p w14:paraId="1115B986"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Kempel, A., Chrobock, T., Fischer, M., Rohr, R. P., &amp; Kleunen, M. van. (2013). Determinants of plant establishment success in a multispecies introduction experiment with native and alien species. </w:t>
      </w:r>
      <w:r w:rsidRPr="00E25215">
        <w:rPr>
          <w:rFonts w:cs="Times New Roman"/>
          <w:i/>
          <w:iCs/>
        </w:rPr>
        <w:t>Proceedings of the National Academy of Sciences</w:t>
      </w:r>
      <w:r w:rsidRPr="00E25215">
        <w:rPr>
          <w:rFonts w:cs="Times New Roman"/>
        </w:rPr>
        <w:t xml:space="preserve">, </w:t>
      </w:r>
      <w:r w:rsidRPr="00E25215">
        <w:rPr>
          <w:rFonts w:cs="Times New Roman"/>
          <w:i/>
          <w:iCs/>
        </w:rPr>
        <w:t>110</w:t>
      </w:r>
      <w:r w:rsidRPr="00E25215">
        <w:rPr>
          <w:rFonts w:cs="Times New Roman"/>
        </w:rPr>
        <w:t>(31), 12727–12732. https://doi.org/10.1073/pnas.1300481110</w:t>
      </w:r>
    </w:p>
    <w:p w14:paraId="097AFF7B"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Kerckhof, F., De Mesel, I., &amp; Degraer, S. (2016). Do wind farms favour introduced hard substrata species? In S. Degraer, R. Brabant, B. Rumes, &amp; L. Vigin (Eds.), </w:t>
      </w:r>
      <w:r w:rsidRPr="00E25215">
        <w:rPr>
          <w:rFonts w:cs="Times New Roman"/>
          <w:i/>
          <w:iCs/>
        </w:rPr>
        <w:t>Environmental impacts of offshore wind farms in the Belgian part of the North Sea</w:t>
      </w:r>
      <w:r w:rsidRPr="00E25215">
        <w:rPr>
          <w:rFonts w:cs="Times New Roman"/>
        </w:rPr>
        <w:t xml:space="preserve"> (pp. 61–75). Royal Belgian Institute of Natural Sciences. https://core.ac.uk/download/pdf/80852935.pdf</w:t>
      </w:r>
    </w:p>
    <w:p w14:paraId="4EA7D532"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Kerns, B. K., Tortorelli, C., Day, M. A., Nietupski, T., Barros, A. M. G., Kim, J. B., &amp; Krawchuk, M. A. (2020). Invasive grasses: A new perfect storm for forested ecosystems? </w:t>
      </w:r>
      <w:r w:rsidRPr="00E25215">
        <w:rPr>
          <w:rFonts w:cs="Times New Roman"/>
          <w:i/>
          <w:iCs/>
        </w:rPr>
        <w:t>Forest Ecology and Management</w:t>
      </w:r>
      <w:r w:rsidRPr="00E25215">
        <w:rPr>
          <w:rFonts w:cs="Times New Roman"/>
        </w:rPr>
        <w:t xml:space="preserve">, </w:t>
      </w:r>
      <w:r w:rsidRPr="00E25215">
        <w:rPr>
          <w:rFonts w:cs="Times New Roman"/>
          <w:i/>
          <w:iCs/>
        </w:rPr>
        <w:t>463</w:t>
      </w:r>
      <w:r w:rsidRPr="00E25215">
        <w:rPr>
          <w:rFonts w:cs="Times New Roman"/>
        </w:rPr>
        <w:t>, 117985. https://doi.org/10.1016/j.foreco.2020.117985</w:t>
      </w:r>
    </w:p>
    <w:p w14:paraId="17AAABE5"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Khuroo, A. A., Rashid, I., Reshi, Z., Dar, G., &amp; Wafai, B. (2007). The alien flora of Kashmir Himalaya. </w:t>
      </w:r>
      <w:r w:rsidRPr="00E25215">
        <w:rPr>
          <w:rFonts w:cs="Times New Roman"/>
          <w:i/>
          <w:iCs/>
        </w:rPr>
        <w:t>Biological Invasions</w:t>
      </w:r>
      <w:r w:rsidRPr="00E25215">
        <w:rPr>
          <w:rFonts w:cs="Times New Roman"/>
        </w:rPr>
        <w:t xml:space="preserve">, </w:t>
      </w:r>
      <w:r w:rsidRPr="00E25215">
        <w:rPr>
          <w:rFonts w:cs="Times New Roman"/>
          <w:i/>
          <w:iCs/>
        </w:rPr>
        <w:t>9</w:t>
      </w:r>
      <w:r w:rsidRPr="00E25215">
        <w:rPr>
          <w:rFonts w:cs="Times New Roman"/>
        </w:rPr>
        <w:t>(3), 269–292.</w:t>
      </w:r>
    </w:p>
    <w:p w14:paraId="099123AC"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Kiessling, T., Gutow, L., &amp; Thiel, M. (2015). Marine Litter as Habitat and Dispersal Vector. In Bergmann, M and Gutow, L and Klages, M (Ed.), </w:t>
      </w:r>
      <w:r w:rsidRPr="00E25215">
        <w:rPr>
          <w:rFonts w:cs="Times New Roman"/>
          <w:i/>
          <w:iCs/>
        </w:rPr>
        <w:t>Marine Anthropogenic Litter</w:t>
      </w:r>
      <w:r w:rsidRPr="00E25215">
        <w:rPr>
          <w:rFonts w:cs="Times New Roman"/>
        </w:rPr>
        <w:t xml:space="preserve"> (pp. 141–181). Springer-Verlag, Berlin. https://doi.org/10.1007/978-3-319-16510-3_6</w:t>
      </w:r>
    </w:p>
    <w:p w14:paraId="201228CC"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Kilungu, H., Leemans, R., Munishi, P. K., Nicholls, S., &amp; Amelung, B. (2019). Forty Years of Climate and Land-Cover Change and its Effects on Tourism Resources in Kilimanjaro National Park. </w:t>
      </w:r>
      <w:r w:rsidRPr="00E25215">
        <w:rPr>
          <w:rFonts w:cs="Times New Roman"/>
          <w:i/>
          <w:iCs/>
        </w:rPr>
        <w:t>Tourism Planning &amp; Development</w:t>
      </w:r>
      <w:r w:rsidRPr="00E25215">
        <w:rPr>
          <w:rFonts w:cs="Times New Roman"/>
        </w:rPr>
        <w:t xml:space="preserve">, </w:t>
      </w:r>
      <w:r w:rsidRPr="00E25215">
        <w:rPr>
          <w:rFonts w:cs="Times New Roman"/>
          <w:i/>
          <w:iCs/>
        </w:rPr>
        <w:t>16</w:t>
      </w:r>
      <w:r w:rsidRPr="00E25215">
        <w:rPr>
          <w:rFonts w:cs="Times New Roman"/>
        </w:rPr>
        <w:t>(2), 235–253. https://doi.org/10.1080/21568316.2019.1569121</w:t>
      </w:r>
    </w:p>
    <w:p w14:paraId="73B3CD22"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Kimbro, D. L., Cheng, B. S., &amp; Grosholz, E. D. (2013). Biotic resistance in marine environments. </w:t>
      </w:r>
      <w:r w:rsidRPr="00E25215">
        <w:rPr>
          <w:rFonts w:cs="Times New Roman"/>
          <w:i/>
          <w:iCs/>
        </w:rPr>
        <w:t>Ecology Letters</w:t>
      </w:r>
      <w:r w:rsidRPr="00E25215">
        <w:rPr>
          <w:rFonts w:cs="Times New Roman"/>
        </w:rPr>
        <w:t xml:space="preserve">, </w:t>
      </w:r>
      <w:r w:rsidRPr="00E25215">
        <w:rPr>
          <w:rFonts w:cs="Times New Roman"/>
          <w:i/>
          <w:iCs/>
        </w:rPr>
        <w:t>16</w:t>
      </w:r>
      <w:r w:rsidRPr="00E25215">
        <w:rPr>
          <w:rFonts w:cs="Times New Roman"/>
        </w:rPr>
        <w:t>, 821–833. https://doi.org/10.1111/ele.12106</w:t>
      </w:r>
    </w:p>
    <w:p w14:paraId="53D185F0"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King, C. M., &amp; Barrett, P. (2005). </w:t>
      </w:r>
      <w:r w:rsidRPr="00E25215">
        <w:rPr>
          <w:rFonts w:cs="Times New Roman"/>
          <w:i/>
          <w:iCs/>
        </w:rPr>
        <w:t>The Handbook of New Zealand Mammals</w:t>
      </w:r>
      <w:r w:rsidRPr="00E25215">
        <w:rPr>
          <w:rFonts w:cs="Times New Roman"/>
        </w:rPr>
        <w:t xml:space="preserve"> (Second edition). Oxford University Press. https://natlib.govt.nz/records/22051977?search%5Bpath%5D=items&amp;search%5Btext%5D=Jones%252C+Carolyn</w:t>
      </w:r>
    </w:p>
    <w:p w14:paraId="280C3A4E"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King, C. M., &amp; Forsyth, D. M. (2021). </w:t>
      </w:r>
      <w:r w:rsidRPr="00E25215">
        <w:rPr>
          <w:rFonts w:cs="Times New Roman"/>
          <w:i/>
          <w:iCs/>
        </w:rPr>
        <w:t>The Handbook of New Zealand Mammals</w:t>
      </w:r>
      <w:r w:rsidRPr="00E25215">
        <w:rPr>
          <w:rFonts w:cs="Times New Roman"/>
        </w:rPr>
        <w:t xml:space="preserve"> (Third edition). Csiro Publishing. https://www.otago.ac.nz/press/books/otago756055.html</w:t>
      </w:r>
    </w:p>
    <w:p w14:paraId="78258E4F"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King, J. R., &amp; Tschinkel, W. R. (2008). Experimental evidence that human impacts drive fire ant invasions and ecological change. </w:t>
      </w:r>
      <w:r w:rsidRPr="00E25215">
        <w:rPr>
          <w:rFonts w:cs="Times New Roman"/>
          <w:i/>
          <w:iCs/>
        </w:rPr>
        <w:t>Proceedings of the National Academy of Sciences</w:t>
      </w:r>
      <w:r w:rsidRPr="00E25215">
        <w:rPr>
          <w:rFonts w:cs="Times New Roman"/>
        </w:rPr>
        <w:t xml:space="preserve">, </w:t>
      </w:r>
      <w:r w:rsidRPr="00E25215">
        <w:rPr>
          <w:rFonts w:cs="Times New Roman"/>
          <w:i/>
          <w:iCs/>
        </w:rPr>
        <w:t>105</w:t>
      </w:r>
      <w:r w:rsidRPr="00E25215">
        <w:rPr>
          <w:rFonts w:cs="Times New Roman"/>
        </w:rPr>
        <w:t>(51), 20339–20343. https://doi.org/10.1073/pnas.0809423105</w:t>
      </w:r>
    </w:p>
    <w:p w14:paraId="53D173F2"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Kitada, S. (2018). Economic, ecological and genetic impacts of marine stock enhancement and sea ranching: A systematic review. </w:t>
      </w:r>
      <w:r w:rsidRPr="00E25215">
        <w:rPr>
          <w:rFonts w:cs="Times New Roman"/>
          <w:i/>
          <w:iCs/>
        </w:rPr>
        <w:t>Fish and Fisheries</w:t>
      </w:r>
      <w:r w:rsidRPr="00E25215">
        <w:rPr>
          <w:rFonts w:cs="Times New Roman"/>
        </w:rPr>
        <w:t xml:space="preserve">, </w:t>
      </w:r>
      <w:r w:rsidRPr="00E25215">
        <w:rPr>
          <w:rFonts w:cs="Times New Roman"/>
          <w:i/>
          <w:iCs/>
        </w:rPr>
        <w:t>19</w:t>
      </w:r>
      <w:r w:rsidRPr="00E25215">
        <w:rPr>
          <w:rFonts w:cs="Times New Roman"/>
        </w:rPr>
        <w:t>(3), 511–532. https://doi.org/10.1111/faf.12271</w:t>
      </w:r>
    </w:p>
    <w:p w14:paraId="2559DF83"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Kitajima, K., Fox, A. M., Sato, T., &amp; Nagamatsu, D. (2006). Cultivar selection prior to introduction may increase invasiveness: Evidence from </w:t>
      </w:r>
      <w:r w:rsidRPr="00E25215">
        <w:rPr>
          <w:rFonts w:cs="Times New Roman"/>
          <w:i/>
          <w:iCs/>
        </w:rPr>
        <w:t>Ardisia crenata</w:t>
      </w:r>
      <w:r w:rsidRPr="00E25215">
        <w:rPr>
          <w:rFonts w:cs="Times New Roman"/>
        </w:rPr>
        <w:t xml:space="preserve">. </w:t>
      </w:r>
      <w:r w:rsidRPr="00E25215">
        <w:rPr>
          <w:rFonts w:cs="Times New Roman"/>
          <w:i/>
          <w:iCs/>
        </w:rPr>
        <w:t>Biological Invasions</w:t>
      </w:r>
      <w:r w:rsidRPr="00E25215">
        <w:rPr>
          <w:rFonts w:cs="Times New Roman"/>
        </w:rPr>
        <w:t xml:space="preserve">, </w:t>
      </w:r>
      <w:r w:rsidRPr="00E25215">
        <w:rPr>
          <w:rFonts w:cs="Times New Roman"/>
          <w:i/>
          <w:iCs/>
        </w:rPr>
        <w:t>8</w:t>
      </w:r>
      <w:r w:rsidRPr="00E25215">
        <w:rPr>
          <w:rFonts w:cs="Times New Roman"/>
        </w:rPr>
        <w:t>(7), 1471. https://doi.org/10.1007/s10530-005-5839-9</w:t>
      </w:r>
    </w:p>
    <w:p w14:paraId="03E05AD8"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Klein, J., Ruitton, S., Verlaque, M., &amp; Boudouresque, C. (2005). Species introductions, diversity and disturbances in marine macrophyte assemblages of the northwestern Mediterranean Sea. </w:t>
      </w:r>
      <w:r w:rsidRPr="00E25215">
        <w:rPr>
          <w:rFonts w:cs="Times New Roman"/>
          <w:i/>
          <w:iCs/>
        </w:rPr>
        <w:t>Marine Ecology Progress Series</w:t>
      </w:r>
      <w:r w:rsidRPr="00E25215">
        <w:rPr>
          <w:rFonts w:cs="Times New Roman"/>
        </w:rPr>
        <w:t xml:space="preserve">, </w:t>
      </w:r>
      <w:r w:rsidRPr="00E25215">
        <w:rPr>
          <w:rFonts w:cs="Times New Roman"/>
          <w:i/>
          <w:iCs/>
        </w:rPr>
        <w:t>290</w:t>
      </w:r>
      <w:r w:rsidRPr="00E25215">
        <w:rPr>
          <w:rFonts w:cs="Times New Roman"/>
        </w:rPr>
        <w:t>, 79–88. https://doi.org/10.3354/meps290079</w:t>
      </w:r>
    </w:p>
    <w:p w14:paraId="5109B110"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Klein, R. A. (2011). Responsible Cruise Tourism: Issues of Cruise Tourism and Sustainability. </w:t>
      </w:r>
      <w:r w:rsidRPr="00E25215">
        <w:rPr>
          <w:rFonts w:cs="Times New Roman"/>
          <w:i/>
          <w:iCs/>
        </w:rPr>
        <w:t>Journal of Hospitality and Tourism Management</w:t>
      </w:r>
      <w:r w:rsidRPr="00E25215">
        <w:rPr>
          <w:rFonts w:cs="Times New Roman"/>
        </w:rPr>
        <w:t xml:space="preserve">, </w:t>
      </w:r>
      <w:r w:rsidRPr="00E25215">
        <w:rPr>
          <w:rFonts w:cs="Times New Roman"/>
          <w:i/>
          <w:iCs/>
        </w:rPr>
        <w:t>18</w:t>
      </w:r>
      <w:r w:rsidRPr="00E25215">
        <w:rPr>
          <w:rFonts w:cs="Times New Roman"/>
        </w:rPr>
        <w:t>(1), 107–116. https://doi.org/10.1375/jhtm.18.1.107</w:t>
      </w:r>
    </w:p>
    <w:p w14:paraId="7BDA8D2C"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Kliejunas, J. T. (2011). A risk assessment of climate change and the impact of forest diseases on forest ecosystems in the Western United States and Canada. </w:t>
      </w:r>
      <w:r w:rsidRPr="00E25215">
        <w:rPr>
          <w:rFonts w:cs="Times New Roman"/>
          <w:i/>
          <w:iCs/>
        </w:rPr>
        <w:t>General Technical Report PSW-GTR-236. Albany, CA: USDA-Forest Service, Pacific Southwest Research Station. 70 p.</w:t>
      </w:r>
      <w:r w:rsidRPr="00E25215">
        <w:rPr>
          <w:rFonts w:cs="Times New Roman"/>
        </w:rPr>
        <w:t xml:space="preserve">, </w:t>
      </w:r>
      <w:r w:rsidRPr="00E25215">
        <w:rPr>
          <w:rFonts w:cs="Times New Roman"/>
          <w:i/>
          <w:iCs/>
        </w:rPr>
        <w:t>236</w:t>
      </w:r>
      <w:r w:rsidRPr="00E25215">
        <w:rPr>
          <w:rFonts w:cs="Times New Roman"/>
        </w:rPr>
        <w:t>, 1–70. https://doi.org/10.2737/PSW-GTR-236</w:t>
      </w:r>
    </w:p>
    <w:p w14:paraId="0A66D370" w14:textId="77777777" w:rsidR="001379C0" w:rsidRPr="00E25215" w:rsidRDefault="001379C0" w:rsidP="009B3E7F">
      <w:pPr>
        <w:pStyle w:val="Bibliography"/>
        <w:spacing w:before="0" w:after="0" w:line="240" w:lineRule="auto"/>
        <w:rPr>
          <w:rFonts w:cs="Times New Roman"/>
        </w:rPr>
      </w:pPr>
      <w:r w:rsidRPr="00E25215">
        <w:rPr>
          <w:rFonts w:cs="Times New Roman"/>
        </w:rPr>
        <w:lastRenderedPageBreak/>
        <w:t xml:space="preserve">Knevel, I. C., Lans, T., Menting, F. B. J., Hertling, U. M., &amp; van der Putten, W. H. (2004). Release from native root herbivores and biotic resistance by soil pathogens in a new habitat both affect the alien </w:t>
      </w:r>
      <w:r w:rsidRPr="00E25215">
        <w:rPr>
          <w:rFonts w:cs="Times New Roman"/>
          <w:i/>
          <w:iCs/>
        </w:rPr>
        <w:t>Ammophila arenaria</w:t>
      </w:r>
      <w:r w:rsidRPr="00E25215">
        <w:rPr>
          <w:rFonts w:cs="Times New Roman"/>
        </w:rPr>
        <w:t xml:space="preserve"> in South Africa. </w:t>
      </w:r>
      <w:r w:rsidRPr="00E25215">
        <w:rPr>
          <w:rFonts w:cs="Times New Roman"/>
          <w:i/>
          <w:iCs/>
        </w:rPr>
        <w:t>Oecologia</w:t>
      </w:r>
      <w:r w:rsidRPr="00E25215">
        <w:rPr>
          <w:rFonts w:cs="Times New Roman"/>
        </w:rPr>
        <w:t xml:space="preserve">, </w:t>
      </w:r>
      <w:r w:rsidRPr="00E25215">
        <w:rPr>
          <w:rFonts w:cs="Times New Roman"/>
          <w:i/>
          <w:iCs/>
        </w:rPr>
        <w:t>141</w:t>
      </w:r>
      <w:r w:rsidRPr="00E25215">
        <w:rPr>
          <w:rFonts w:cs="Times New Roman"/>
        </w:rPr>
        <w:t>(3), 502–510. https://doi.org/10.1007/s00442-004-1662-8</w:t>
      </w:r>
    </w:p>
    <w:p w14:paraId="25CA2C4E" w14:textId="77777777" w:rsidR="001379C0" w:rsidRPr="00E25215" w:rsidRDefault="001379C0" w:rsidP="009B3E7F">
      <w:pPr>
        <w:pStyle w:val="Bibliography"/>
        <w:spacing w:before="0" w:after="0" w:line="240" w:lineRule="auto"/>
        <w:rPr>
          <w:rFonts w:cs="Times New Roman"/>
        </w:rPr>
      </w:pPr>
      <w:r w:rsidRPr="00E25215">
        <w:rPr>
          <w:rFonts w:cs="Times New Roman"/>
        </w:rPr>
        <w:t>Kohli, R. K., Batish, D. R., Singh, H. P., &amp; Dogra, K. S. (2006). Status, invasiveness and environmental threats of three tropical American invasive weeds (</w:t>
      </w:r>
      <w:r w:rsidRPr="00E25215">
        <w:rPr>
          <w:rFonts w:cs="Times New Roman"/>
          <w:i/>
          <w:iCs/>
        </w:rPr>
        <w:t>Parthenium hysterophorus</w:t>
      </w:r>
      <w:r w:rsidRPr="00E25215">
        <w:rPr>
          <w:rFonts w:cs="Times New Roman"/>
        </w:rPr>
        <w:t xml:space="preserve"> L., </w:t>
      </w:r>
      <w:r w:rsidRPr="00E25215">
        <w:rPr>
          <w:rFonts w:cs="Times New Roman"/>
          <w:i/>
          <w:iCs/>
        </w:rPr>
        <w:t>Ageratum conyzoides</w:t>
      </w:r>
      <w:r w:rsidRPr="00E25215">
        <w:rPr>
          <w:rFonts w:cs="Times New Roman"/>
        </w:rPr>
        <w:t xml:space="preserve"> L., </w:t>
      </w:r>
      <w:r w:rsidRPr="00E25215">
        <w:rPr>
          <w:rFonts w:cs="Times New Roman"/>
          <w:i/>
          <w:iCs/>
        </w:rPr>
        <w:t>Lantana camara</w:t>
      </w:r>
      <w:r w:rsidRPr="00E25215">
        <w:rPr>
          <w:rFonts w:cs="Times New Roman"/>
        </w:rPr>
        <w:t xml:space="preserve"> L.) in India. </w:t>
      </w:r>
      <w:r w:rsidRPr="00E25215">
        <w:rPr>
          <w:rFonts w:cs="Times New Roman"/>
          <w:i/>
          <w:iCs/>
        </w:rPr>
        <w:t>Biological Invasions</w:t>
      </w:r>
      <w:r w:rsidRPr="00E25215">
        <w:rPr>
          <w:rFonts w:cs="Times New Roman"/>
        </w:rPr>
        <w:t xml:space="preserve">, </w:t>
      </w:r>
      <w:r w:rsidRPr="00E25215">
        <w:rPr>
          <w:rFonts w:cs="Times New Roman"/>
          <w:i/>
          <w:iCs/>
        </w:rPr>
        <w:t>8</w:t>
      </w:r>
      <w:r w:rsidRPr="00E25215">
        <w:rPr>
          <w:rFonts w:cs="Times New Roman"/>
        </w:rPr>
        <w:t>(7), 1501–1510. https://doi.org/10.1007/s10530-005-5842-1</w:t>
      </w:r>
    </w:p>
    <w:p w14:paraId="58128427"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Kohli, R. K., Batish, D. R., Singh, J. S., Singh, H. P., &amp; Bhatt, J. R. (2011). Plant invasion in India: An overview. In </w:t>
      </w:r>
      <w:r w:rsidRPr="00E25215">
        <w:rPr>
          <w:rFonts w:cs="Times New Roman"/>
          <w:i/>
          <w:iCs/>
        </w:rPr>
        <w:t>Invasive alien plants: An ecological appraisal for the Indian subcontinent</w:t>
      </w:r>
      <w:r w:rsidRPr="00E25215">
        <w:rPr>
          <w:rFonts w:cs="Times New Roman"/>
        </w:rPr>
        <w:t xml:space="preserve"> (pp. 1–9). CABI. https://doi.org/10.1079/9781845939076.0001</w:t>
      </w:r>
    </w:p>
    <w:p w14:paraId="5964A183"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Kolar, C. S., &amp; Lodge, D. M. (2001). Progress in invasion biology: Predicting invaders. </w:t>
      </w:r>
      <w:r w:rsidRPr="00E25215">
        <w:rPr>
          <w:rFonts w:cs="Times New Roman"/>
          <w:i/>
          <w:iCs/>
        </w:rPr>
        <w:t>Trends in Ecology &amp; Evolution</w:t>
      </w:r>
      <w:r w:rsidRPr="00E25215">
        <w:rPr>
          <w:rFonts w:cs="Times New Roman"/>
        </w:rPr>
        <w:t xml:space="preserve">, </w:t>
      </w:r>
      <w:r w:rsidRPr="00E25215">
        <w:rPr>
          <w:rFonts w:cs="Times New Roman"/>
          <w:i/>
          <w:iCs/>
        </w:rPr>
        <w:t>16</w:t>
      </w:r>
      <w:r w:rsidRPr="00E25215">
        <w:rPr>
          <w:rFonts w:cs="Times New Roman"/>
        </w:rPr>
        <w:t>(4), 199–204. https://doi.org/10.1016/S0169-5347(01)02101-2</w:t>
      </w:r>
    </w:p>
    <w:p w14:paraId="0494F429"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Kornis, M. S., Mercado-Silva, N., &amp; Vander Zanden, M. J. (2012). Twenty years of invasion: A review of round goby </w:t>
      </w:r>
      <w:r w:rsidRPr="00E25215">
        <w:rPr>
          <w:rFonts w:cs="Times New Roman"/>
          <w:i/>
          <w:iCs/>
        </w:rPr>
        <w:t>Neogobius melanostomus</w:t>
      </w:r>
      <w:r w:rsidRPr="00E25215">
        <w:rPr>
          <w:rFonts w:cs="Times New Roman"/>
        </w:rPr>
        <w:t xml:space="preserve"> biology, spread and ecological implications. </w:t>
      </w:r>
      <w:r w:rsidRPr="00E25215">
        <w:rPr>
          <w:rFonts w:cs="Times New Roman"/>
          <w:i/>
          <w:iCs/>
        </w:rPr>
        <w:t>Journal of Fish Biology</w:t>
      </w:r>
      <w:r w:rsidRPr="00E25215">
        <w:rPr>
          <w:rFonts w:cs="Times New Roman"/>
        </w:rPr>
        <w:t xml:space="preserve">, </w:t>
      </w:r>
      <w:r w:rsidRPr="00E25215">
        <w:rPr>
          <w:rFonts w:cs="Times New Roman"/>
          <w:i/>
          <w:iCs/>
        </w:rPr>
        <w:t>80</w:t>
      </w:r>
      <w:r w:rsidRPr="00E25215">
        <w:rPr>
          <w:rFonts w:cs="Times New Roman"/>
        </w:rPr>
        <w:t>(2), 235–285. https://doi.org/10.1111/j.1095-8649.2011.03157.x</w:t>
      </w:r>
    </w:p>
    <w:p w14:paraId="61678D01"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Kosaka, Y., Saikia, B., Mingki, T., Tag, H., Riba, T., &amp; Ando, K. (2010). Roadside Distribution Patterns of Invasive Alien Plants Along an Altitudinal Gradient in Arunachal Himalaya, India. </w:t>
      </w:r>
      <w:r w:rsidRPr="00E25215">
        <w:rPr>
          <w:rFonts w:cs="Times New Roman"/>
          <w:i/>
          <w:iCs/>
        </w:rPr>
        <w:t>Mountain Research and Development</w:t>
      </w:r>
      <w:r w:rsidRPr="00E25215">
        <w:rPr>
          <w:rFonts w:cs="Times New Roman"/>
        </w:rPr>
        <w:t xml:space="preserve">, </w:t>
      </w:r>
      <w:r w:rsidRPr="00E25215">
        <w:rPr>
          <w:rFonts w:cs="Times New Roman"/>
          <w:i/>
          <w:iCs/>
        </w:rPr>
        <w:t>30</w:t>
      </w:r>
      <w:r w:rsidRPr="00E25215">
        <w:rPr>
          <w:rFonts w:cs="Times New Roman"/>
        </w:rPr>
        <w:t>(3), 252–258. https://doi.org/10.1659/MRD-JOURNAL-D-10-00036.1</w:t>
      </w:r>
    </w:p>
    <w:p w14:paraId="5C993D79"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Kota, N. L., Landenberger, R. E., &amp; McGraw, J. B. (2007). Germination and early growth of </w:t>
      </w:r>
      <w:r w:rsidRPr="00E25215">
        <w:rPr>
          <w:rFonts w:cs="Times New Roman"/>
          <w:i/>
          <w:iCs/>
        </w:rPr>
        <w:t>Ailanthus</w:t>
      </w:r>
      <w:r w:rsidRPr="00E25215">
        <w:rPr>
          <w:rFonts w:cs="Times New Roman"/>
        </w:rPr>
        <w:t xml:space="preserve"> and tulip poplar in three levels of forest disturbance. </w:t>
      </w:r>
      <w:r w:rsidRPr="00E25215">
        <w:rPr>
          <w:rFonts w:cs="Times New Roman"/>
          <w:i/>
          <w:iCs/>
        </w:rPr>
        <w:t>Biological Invasions</w:t>
      </w:r>
      <w:r w:rsidRPr="00E25215">
        <w:rPr>
          <w:rFonts w:cs="Times New Roman"/>
        </w:rPr>
        <w:t xml:space="preserve">, </w:t>
      </w:r>
      <w:r w:rsidRPr="00E25215">
        <w:rPr>
          <w:rFonts w:cs="Times New Roman"/>
          <w:i/>
          <w:iCs/>
        </w:rPr>
        <w:t>9</w:t>
      </w:r>
      <w:r w:rsidRPr="00E25215">
        <w:rPr>
          <w:rFonts w:cs="Times New Roman"/>
        </w:rPr>
        <w:t>(2), 197–211. https://doi.org/10.1007/s10530-006-9026-4</w:t>
      </w:r>
    </w:p>
    <w:p w14:paraId="7DD82A30"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Krawczyk, R., Zubel, R., &amp; Komsta, Ł. (2019). Military Training Areas and Vegetation – the Effect of Explosion Craters on Species Diversity along a Moisture Gradient. </w:t>
      </w:r>
      <w:r w:rsidRPr="00E25215">
        <w:rPr>
          <w:rFonts w:cs="Times New Roman"/>
          <w:i/>
          <w:iCs/>
        </w:rPr>
        <w:t>Polish Journal of Ecology</w:t>
      </w:r>
      <w:r w:rsidRPr="00E25215">
        <w:rPr>
          <w:rFonts w:cs="Times New Roman"/>
        </w:rPr>
        <w:t xml:space="preserve">, </w:t>
      </w:r>
      <w:r w:rsidRPr="00E25215">
        <w:rPr>
          <w:rFonts w:cs="Times New Roman"/>
          <w:i/>
          <w:iCs/>
        </w:rPr>
        <w:t>67</w:t>
      </w:r>
      <w:r w:rsidRPr="00E25215">
        <w:rPr>
          <w:rFonts w:cs="Times New Roman"/>
        </w:rPr>
        <w:t>(3), 194–205. https://doi.org/10.3161/15052249PJE2019.67.3.003</w:t>
      </w:r>
    </w:p>
    <w:p w14:paraId="68D76E78"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Krkošek, M., Lewis, M. A., &amp; Volpe, J. P. (2005). Transmission dynamics of parasitic sea lice from farm to wild salmon. </w:t>
      </w:r>
      <w:r w:rsidRPr="00E25215">
        <w:rPr>
          <w:rFonts w:cs="Times New Roman"/>
          <w:i/>
          <w:iCs/>
        </w:rPr>
        <w:t>Proceedings. Biological Sciences</w:t>
      </w:r>
      <w:r w:rsidRPr="00E25215">
        <w:rPr>
          <w:rFonts w:cs="Times New Roman"/>
        </w:rPr>
        <w:t xml:space="preserve">, </w:t>
      </w:r>
      <w:r w:rsidRPr="00E25215">
        <w:rPr>
          <w:rFonts w:cs="Times New Roman"/>
          <w:i/>
          <w:iCs/>
        </w:rPr>
        <w:t>272</w:t>
      </w:r>
      <w:r w:rsidRPr="00E25215">
        <w:rPr>
          <w:rFonts w:cs="Times New Roman"/>
        </w:rPr>
        <w:t>(1564), 689–696. https://doi.org/10.1098/rspb.2004.3027</w:t>
      </w:r>
    </w:p>
    <w:p w14:paraId="2BB5D553"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Krysko, K. L., Somma, L. A., Smith, D. C., Gillette, C. R., Cueva, D., Wasilewski, J. A., Enge, K. M., Johnson, S. A., Campbell, T. S., Edwards, J. R., Rochford, M. R., Tompkins, R., Fobb, J. L., Mullin, S., Lechowicz, C., Hazelton, D., &amp; Warren, A. (2016). New verified nonindigenous amphibians and reptiles in Florida, 1976 through 2015, with a summary of over 152 years of introductions. </w:t>
      </w:r>
      <w:r w:rsidRPr="00E25215">
        <w:rPr>
          <w:rFonts w:cs="Times New Roman"/>
          <w:i/>
          <w:iCs/>
        </w:rPr>
        <w:t>Reptiles &amp; Amphibians</w:t>
      </w:r>
      <w:r w:rsidRPr="00E25215">
        <w:rPr>
          <w:rFonts w:cs="Times New Roman"/>
        </w:rPr>
        <w:t xml:space="preserve">, </w:t>
      </w:r>
      <w:r w:rsidRPr="00E25215">
        <w:rPr>
          <w:rFonts w:cs="Times New Roman"/>
          <w:i/>
          <w:iCs/>
        </w:rPr>
        <w:t>23</w:t>
      </w:r>
      <w:r w:rsidRPr="00E25215">
        <w:rPr>
          <w:rFonts w:cs="Times New Roman"/>
        </w:rPr>
        <w:t>(2), 110–143. https://doi.org/10.17161/randa.v23i2.14119</w:t>
      </w:r>
    </w:p>
    <w:p w14:paraId="79C5A1EC"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Kueffer, C., McDougall, K., Alexander, J., Daehler, C., Edwards, P., Haider, S., Milbau, A., Parks, C., Pauchard, A., Reshi, Z. A., Rew, L. J., Schroder, M., &amp; Seipel, T. (2013). Plant Invasions into Mountain Protected Areas: Assessment, Prevention and Control at Multiple Spatial Scales. In L. C. Foxcroft, P. Pyšek, D. M. Richardson, &amp; P. Genovesi (Eds.), </w:t>
      </w:r>
      <w:r w:rsidRPr="00E25215">
        <w:rPr>
          <w:rFonts w:cs="Times New Roman"/>
          <w:i/>
          <w:iCs/>
        </w:rPr>
        <w:t>Plant Invasions in Protected Areas: Patterns, Problems and Challenges</w:t>
      </w:r>
      <w:r w:rsidRPr="00E25215">
        <w:rPr>
          <w:rFonts w:cs="Times New Roman"/>
        </w:rPr>
        <w:t xml:space="preserve"> (Vol. 7, pp. 89–113). Springer Netherlands. https://doi.org/10.1007/978-94-007-7750-7_6</w:t>
      </w:r>
    </w:p>
    <w:p w14:paraId="2DE1D398"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Kühn, I., Wolf, J., &amp; Schneider, A. (2017). Is there an urban effect in alien plant invasions? </w:t>
      </w:r>
      <w:r w:rsidRPr="00E25215">
        <w:rPr>
          <w:rFonts w:cs="Times New Roman"/>
          <w:i/>
          <w:iCs/>
        </w:rPr>
        <w:t>Biological Invasions</w:t>
      </w:r>
      <w:r w:rsidRPr="00E25215">
        <w:rPr>
          <w:rFonts w:cs="Times New Roman"/>
        </w:rPr>
        <w:t xml:space="preserve">, </w:t>
      </w:r>
      <w:r w:rsidRPr="00E25215">
        <w:rPr>
          <w:rFonts w:cs="Times New Roman"/>
          <w:i/>
          <w:iCs/>
        </w:rPr>
        <w:t>19</w:t>
      </w:r>
      <w:r w:rsidRPr="00E25215">
        <w:rPr>
          <w:rFonts w:cs="Times New Roman"/>
        </w:rPr>
        <w:t>(12), 3505–3513. https://doi.org/10.1007/s10530-017-1591-1</w:t>
      </w:r>
    </w:p>
    <w:p w14:paraId="4B7F479C"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Kummu, M., Moel, H. de, Salvucci, G., Viviroli, D., Ward, P. J., &amp; Varis, O. (2016). Over the hills and further away from coast: Global geospatial patterns of human and environment over the 20th–21st centuries. </w:t>
      </w:r>
      <w:r w:rsidRPr="00E25215">
        <w:rPr>
          <w:rFonts w:cs="Times New Roman"/>
          <w:i/>
          <w:iCs/>
        </w:rPr>
        <w:t>Environmental Research Letters</w:t>
      </w:r>
      <w:r w:rsidRPr="00E25215">
        <w:rPr>
          <w:rFonts w:cs="Times New Roman"/>
        </w:rPr>
        <w:t xml:space="preserve">, </w:t>
      </w:r>
      <w:r w:rsidRPr="00E25215">
        <w:rPr>
          <w:rFonts w:cs="Times New Roman"/>
          <w:i/>
          <w:iCs/>
        </w:rPr>
        <w:t>11</w:t>
      </w:r>
      <w:r w:rsidRPr="00E25215">
        <w:rPr>
          <w:rFonts w:cs="Times New Roman"/>
        </w:rPr>
        <w:t>(3), 034010. https://doi.org/10.1088/1748-9326/11/3/034010</w:t>
      </w:r>
    </w:p>
    <w:p w14:paraId="6CEAF9E5"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Ladd, B. (2016). Nitrogen Pollution and the Meltdown of Urban Ecosystems. </w:t>
      </w:r>
      <w:r w:rsidRPr="00E25215">
        <w:rPr>
          <w:rFonts w:cs="Times New Roman"/>
          <w:i/>
          <w:iCs/>
        </w:rPr>
        <w:t>Land</w:t>
      </w:r>
      <w:r w:rsidRPr="00E25215">
        <w:rPr>
          <w:rFonts w:cs="Times New Roman"/>
        </w:rPr>
        <w:t xml:space="preserve">, </w:t>
      </w:r>
      <w:r w:rsidRPr="00E25215">
        <w:rPr>
          <w:rFonts w:cs="Times New Roman"/>
          <w:i/>
          <w:iCs/>
        </w:rPr>
        <w:t>5</w:t>
      </w:r>
      <w:r w:rsidRPr="00E25215">
        <w:rPr>
          <w:rFonts w:cs="Times New Roman"/>
        </w:rPr>
        <w:t>(3), Article 3. https://doi.org/10.3390/land5030023</w:t>
      </w:r>
    </w:p>
    <w:p w14:paraId="0D81B850"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Lake, P. S., &amp; O’Dowd, D. J. (1991). Red Crabs in Rain Forest, Christmas Island: Biotic Resistance to Invasion by an Exotic Snail. </w:t>
      </w:r>
      <w:r w:rsidRPr="00E25215">
        <w:rPr>
          <w:rFonts w:cs="Times New Roman"/>
          <w:i/>
          <w:iCs/>
        </w:rPr>
        <w:t>Oikos</w:t>
      </w:r>
      <w:r w:rsidRPr="00E25215">
        <w:rPr>
          <w:rFonts w:cs="Times New Roman"/>
        </w:rPr>
        <w:t xml:space="preserve">, </w:t>
      </w:r>
      <w:r w:rsidRPr="00E25215">
        <w:rPr>
          <w:rFonts w:cs="Times New Roman"/>
          <w:i/>
          <w:iCs/>
        </w:rPr>
        <w:t>62</w:t>
      </w:r>
      <w:r w:rsidRPr="00E25215">
        <w:rPr>
          <w:rFonts w:cs="Times New Roman"/>
        </w:rPr>
        <w:t>(1), 25–29. https://doi.org/10.2307/3545442</w:t>
      </w:r>
    </w:p>
    <w:p w14:paraId="44887AC0" w14:textId="77777777" w:rsidR="001379C0" w:rsidRPr="00E25215" w:rsidRDefault="001379C0" w:rsidP="009B3E7F">
      <w:pPr>
        <w:pStyle w:val="Bibliography"/>
        <w:spacing w:before="0" w:after="0" w:line="240" w:lineRule="auto"/>
        <w:rPr>
          <w:rFonts w:cs="Times New Roman"/>
        </w:rPr>
      </w:pPr>
      <w:r w:rsidRPr="00E25215">
        <w:rPr>
          <w:rFonts w:cs="Times New Roman"/>
        </w:rPr>
        <w:lastRenderedPageBreak/>
        <w:t xml:space="preserve">Lambdon, P. W., Pyšek, P., Başnou, C., Hejda, M., Arianoutsou, M., Essl, F., Jarošík, V., Pergl, J., Winter, M., Anastasiu, P., Andriopoulos, P., Bazos, I., Brundu, G., Celesti-Grapow, L., Chassot, P., Delipetrou, P., Josefsson, M., Kark, S., Klotz, S., … Hulme, P. E. (2008). Alien flora of Europe: Species diversity, temporal trends, geographical patterns and research needs. </w:t>
      </w:r>
      <w:r w:rsidRPr="00E25215">
        <w:rPr>
          <w:rFonts w:cs="Times New Roman"/>
          <w:i/>
          <w:iCs/>
        </w:rPr>
        <w:t>Preslia</w:t>
      </w:r>
      <w:r w:rsidRPr="00E25215">
        <w:rPr>
          <w:rFonts w:cs="Times New Roman"/>
        </w:rPr>
        <w:t xml:space="preserve">, </w:t>
      </w:r>
      <w:r w:rsidRPr="00E25215">
        <w:rPr>
          <w:rFonts w:cs="Times New Roman"/>
          <w:i/>
          <w:iCs/>
        </w:rPr>
        <w:t>80</w:t>
      </w:r>
      <w:r w:rsidRPr="00E25215">
        <w:rPr>
          <w:rFonts w:cs="Times New Roman"/>
        </w:rPr>
        <w:t>(2), 101–149. http://www.preslia.cz/P082Lam.pdf</w:t>
      </w:r>
    </w:p>
    <w:p w14:paraId="42D9FF9A"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Langor, D. W., Cameron, E. K., MacQuarrie, C. J. K., McBeath, A., McClay, A., Peter, B., Pybus, M., Ramsfield, T., Ryall, K., Scarr, T., Yemshanov, D., DeMerchant, I., Foottit, R., &amp; Pohl, G. R. (2014). Non-native species in Canada’s boreal zone: Diversity, impacts, and risk. </w:t>
      </w:r>
      <w:r w:rsidRPr="00E25215">
        <w:rPr>
          <w:rFonts w:cs="Times New Roman"/>
          <w:i/>
          <w:iCs/>
        </w:rPr>
        <w:t>Environmental Reviews</w:t>
      </w:r>
      <w:r w:rsidRPr="00E25215">
        <w:rPr>
          <w:rFonts w:cs="Times New Roman"/>
        </w:rPr>
        <w:t xml:space="preserve">, </w:t>
      </w:r>
      <w:r w:rsidRPr="00E25215">
        <w:rPr>
          <w:rFonts w:cs="Times New Roman"/>
          <w:i/>
          <w:iCs/>
        </w:rPr>
        <w:t>22</w:t>
      </w:r>
      <w:r w:rsidRPr="00E25215">
        <w:rPr>
          <w:rFonts w:cs="Times New Roman"/>
        </w:rPr>
        <w:t>(4), 372–420. https://doi.org/10.1139/er-2013-0083</w:t>
      </w:r>
    </w:p>
    <w:p w14:paraId="402F8758"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Laurance, W. F., &amp; Peres, C. A. (2006). </w:t>
      </w:r>
      <w:r w:rsidRPr="00E25215">
        <w:rPr>
          <w:rFonts w:cs="Times New Roman"/>
          <w:i/>
          <w:iCs/>
        </w:rPr>
        <w:t>Emerging threats to tropical forests.</w:t>
      </w:r>
      <w:r w:rsidRPr="00E25215">
        <w:rPr>
          <w:rFonts w:cs="Times New Roman"/>
        </w:rPr>
        <w:t xml:space="preserve"> University of Chicago Press,.</w:t>
      </w:r>
    </w:p>
    <w:p w14:paraId="7A6810FC"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Lawer, E. A., Mupepele, A.-C., &amp; Klein, A.-M. (2019). Responses of small mammals to land restoration after mining. </w:t>
      </w:r>
      <w:r w:rsidRPr="00E25215">
        <w:rPr>
          <w:rFonts w:cs="Times New Roman"/>
          <w:i/>
          <w:iCs/>
        </w:rPr>
        <w:t>Landscape Ecology</w:t>
      </w:r>
      <w:r w:rsidRPr="00E25215">
        <w:rPr>
          <w:rFonts w:cs="Times New Roman"/>
        </w:rPr>
        <w:t xml:space="preserve">, </w:t>
      </w:r>
      <w:r w:rsidRPr="00E25215">
        <w:rPr>
          <w:rFonts w:cs="Times New Roman"/>
          <w:i/>
          <w:iCs/>
        </w:rPr>
        <w:t>34</w:t>
      </w:r>
      <w:r w:rsidRPr="00E25215">
        <w:rPr>
          <w:rFonts w:cs="Times New Roman"/>
        </w:rPr>
        <w:t>(3), 473–485. https://doi.org/10.1007/s10980-019-00785-z</w:t>
      </w:r>
    </w:p>
    <w:p w14:paraId="05608178"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Lázaro-Lobo, A., &amp; Ervin, G. N. (2019). A global examination on the differential impacts of roadsides on native vs. Exotic and weedy plant species. </w:t>
      </w:r>
      <w:r w:rsidRPr="00E25215">
        <w:rPr>
          <w:rFonts w:cs="Times New Roman"/>
          <w:i/>
          <w:iCs/>
        </w:rPr>
        <w:t>Global Ecology and Conservation</w:t>
      </w:r>
      <w:r w:rsidRPr="00E25215">
        <w:rPr>
          <w:rFonts w:cs="Times New Roman"/>
        </w:rPr>
        <w:t xml:space="preserve">, </w:t>
      </w:r>
      <w:r w:rsidRPr="00E25215">
        <w:rPr>
          <w:rFonts w:cs="Times New Roman"/>
          <w:i/>
          <w:iCs/>
        </w:rPr>
        <w:t>17</w:t>
      </w:r>
      <w:r w:rsidRPr="00E25215">
        <w:rPr>
          <w:rFonts w:cs="Times New Roman"/>
        </w:rPr>
        <w:t>, e00555. https://doi.org/10.1016/j.gecco.2019.e00555</w:t>
      </w:r>
    </w:p>
    <w:p w14:paraId="62539E0D"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Le Maitre, D. C., Gaertner, M., Marchante, E., Ens, E.-J., Holmes, P. M., Pauchard, A., O’Farrell, P. J., Rogers, A. M., Blanchard, R., Blignaut, J., &amp; Richardson, D. M. (2011). Impacts of invasive Australian acacias: Implications for management and restoration: Australian acacias: linking impacts and restoration. </w:t>
      </w:r>
      <w:r w:rsidRPr="00E25215">
        <w:rPr>
          <w:rFonts w:cs="Times New Roman"/>
          <w:i/>
          <w:iCs/>
        </w:rPr>
        <w:t>Diversity and Distributions</w:t>
      </w:r>
      <w:r w:rsidRPr="00E25215">
        <w:rPr>
          <w:rFonts w:cs="Times New Roman"/>
        </w:rPr>
        <w:t xml:space="preserve">, </w:t>
      </w:r>
      <w:r w:rsidRPr="00E25215">
        <w:rPr>
          <w:rFonts w:cs="Times New Roman"/>
          <w:i/>
          <w:iCs/>
        </w:rPr>
        <w:t>17</w:t>
      </w:r>
      <w:r w:rsidRPr="00E25215">
        <w:rPr>
          <w:rFonts w:cs="Times New Roman"/>
        </w:rPr>
        <w:t>(5), 1015–1029. https://doi.org/10.1111/j.1472-4642.2011.00816.x</w:t>
      </w:r>
    </w:p>
    <w:p w14:paraId="3CE3412C"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Le Preste, P. (Ed.). (2017). </w:t>
      </w:r>
      <w:r w:rsidRPr="00E25215">
        <w:rPr>
          <w:rFonts w:cs="Times New Roman"/>
          <w:i/>
          <w:iCs/>
        </w:rPr>
        <w:t>Governing Global Biodiversity: The Evolution and Implementation of the Convention on Biological Diversity</w:t>
      </w:r>
      <w:r w:rsidRPr="00E25215">
        <w:rPr>
          <w:rFonts w:cs="Times New Roman"/>
        </w:rPr>
        <w:t>. Routledge.</w:t>
      </w:r>
    </w:p>
    <w:p w14:paraId="754816C3"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Leakey, A. D. B. (2009). Rising atmospheric carbon dioxide concentration and the future of C4 crops for food and fuel. </w:t>
      </w:r>
      <w:r w:rsidRPr="00E25215">
        <w:rPr>
          <w:rFonts w:cs="Times New Roman"/>
          <w:i/>
          <w:iCs/>
        </w:rPr>
        <w:t>Proceedings of the Royal Society B: Biological Sciences</w:t>
      </w:r>
      <w:r w:rsidRPr="00E25215">
        <w:rPr>
          <w:rFonts w:cs="Times New Roman"/>
        </w:rPr>
        <w:t xml:space="preserve">, </w:t>
      </w:r>
      <w:r w:rsidRPr="00E25215">
        <w:rPr>
          <w:rFonts w:cs="Times New Roman"/>
          <w:i/>
          <w:iCs/>
        </w:rPr>
        <w:t>276</w:t>
      </w:r>
      <w:r w:rsidRPr="00E25215">
        <w:rPr>
          <w:rFonts w:cs="Times New Roman"/>
        </w:rPr>
        <w:t>(1666), Article 1666. https://doi.org/10.1098/rspb.2008.1517</w:t>
      </w:r>
    </w:p>
    <w:p w14:paraId="699E389D"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Leclerc, C., Courchamp, F., &amp; Bellard, C. (2018). Insular threat associations within taxa worldwide. </w:t>
      </w:r>
      <w:r w:rsidRPr="00E25215">
        <w:rPr>
          <w:rFonts w:cs="Times New Roman"/>
          <w:i/>
          <w:iCs/>
        </w:rPr>
        <w:t>Scientific Reports</w:t>
      </w:r>
      <w:r w:rsidRPr="00E25215">
        <w:rPr>
          <w:rFonts w:cs="Times New Roman"/>
        </w:rPr>
        <w:t xml:space="preserve">, </w:t>
      </w:r>
      <w:r w:rsidRPr="00E25215">
        <w:rPr>
          <w:rFonts w:cs="Times New Roman"/>
          <w:i/>
          <w:iCs/>
        </w:rPr>
        <w:t>8</w:t>
      </w:r>
      <w:r w:rsidRPr="00E25215">
        <w:rPr>
          <w:rFonts w:cs="Times New Roman"/>
        </w:rPr>
        <w:t>(1), 6393. https://doi.org/10.1038/s41598-018-24733-0</w:t>
      </w:r>
    </w:p>
    <w:p w14:paraId="75EECFF3"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Lee, J., Terauds, A., &amp; Chown, S. (2014). Natural dispersal to sub-Antarctic Marion Island of two arthropod species. </w:t>
      </w:r>
      <w:r w:rsidRPr="00E25215">
        <w:rPr>
          <w:rFonts w:cs="Times New Roman"/>
          <w:i/>
          <w:iCs/>
        </w:rPr>
        <w:t>Polar Biology</w:t>
      </w:r>
      <w:r w:rsidRPr="00E25215">
        <w:rPr>
          <w:rFonts w:cs="Times New Roman"/>
        </w:rPr>
        <w:t xml:space="preserve">, </w:t>
      </w:r>
      <w:r w:rsidRPr="00E25215">
        <w:rPr>
          <w:rFonts w:cs="Times New Roman"/>
          <w:i/>
          <w:iCs/>
        </w:rPr>
        <w:t>37</w:t>
      </w:r>
      <w:r w:rsidRPr="00E25215">
        <w:rPr>
          <w:rFonts w:cs="Times New Roman"/>
        </w:rPr>
        <w:t>(6), 781–787. https://doi.org/10.1007/s00300-014-1479-9</w:t>
      </w:r>
    </w:p>
    <w:p w14:paraId="65AC9336"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Lees, A. C., &amp; Bell, D. J. (2008). A conservation paradox for the 21st century: The European wild rabbit </w:t>
      </w:r>
      <w:r w:rsidRPr="00E25215">
        <w:rPr>
          <w:rFonts w:cs="Times New Roman"/>
          <w:i/>
          <w:iCs/>
        </w:rPr>
        <w:t>Oryctolagus cuniculus</w:t>
      </w:r>
      <w:r w:rsidRPr="00E25215">
        <w:rPr>
          <w:rFonts w:cs="Times New Roman"/>
        </w:rPr>
        <w:t xml:space="preserve"> , an invasive alien and an endangered native species. </w:t>
      </w:r>
      <w:r w:rsidRPr="00E25215">
        <w:rPr>
          <w:rFonts w:cs="Times New Roman"/>
          <w:i/>
          <w:iCs/>
        </w:rPr>
        <w:t>Mammal Review</w:t>
      </w:r>
      <w:r w:rsidRPr="00E25215">
        <w:rPr>
          <w:rFonts w:cs="Times New Roman"/>
        </w:rPr>
        <w:t xml:space="preserve">, </w:t>
      </w:r>
      <w:r w:rsidRPr="00E25215">
        <w:rPr>
          <w:rFonts w:cs="Times New Roman"/>
          <w:i/>
          <w:iCs/>
        </w:rPr>
        <w:t>38</w:t>
      </w:r>
      <w:r w:rsidRPr="00E25215">
        <w:rPr>
          <w:rFonts w:cs="Times New Roman"/>
        </w:rPr>
        <w:t>(4), Article 4. https://doi.org/10.1111/j.1365-2907.2008.00116.x</w:t>
      </w:r>
    </w:p>
    <w:p w14:paraId="28987B3A"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Lehan, N. E., Murphy, J. R., Thorburn, L. P., &amp; Bradley, B. A. (2013). Accidental introductions are an important source of invasive plants in the continental United States. </w:t>
      </w:r>
      <w:r w:rsidRPr="00E25215">
        <w:rPr>
          <w:rFonts w:cs="Times New Roman"/>
          <w:i/>
          <w:iCs/>
        </w:rPr>
        <w:t>American Journal of Botany</w:t>
      </w:r>
      <w:r w:rsidRPr="00E25215">
        <w:rPr>
          <w:rFonts w:cs="Times New Roman"/>
        </w:rPr>
        <w:t xml:space="preserve">, </w:t>
      </w:r>
      <w:r w:rsidRPr="00E25215">
        <w:rPr>
          <w:rFonts w:cs="Times New Roman"/>
          <w:i/>
          <w:iCs/>
        </w:rPr>
        <w:t>100</w:t>
      </w:r>
      <w:r w:rsidRPr="00E25215">
        <w:rPr>
          <w:rFonts w:cs="Times New Roman"/>
        </w:rPr>
        <w:t>(7), 1287–1293. https://doi.org/10.3732/ajb.1300061</w:t>
      </w:r>
    </w:p>
    <w:p w14:paraId="7CBC162A"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Lehmann, P., Ammunét, T., Barton, M., Battisti, A., Eigenbrode, S. D., Jepsen, J. U., Kalinkat, G., Neuvonen, S., Niemelä, P., &amp; Terblanche, J. S. (2020). Complex responses of global insect pests to climate warming. </w:t>
      </w:r>
      <w:r w:rsidRPr="00E25215">
        <w:rPr>
          <w:rFonts w:cs="Times New Roman"/>
          <w:i/>
          <w:iCs/>
        </w:rPr>
        <w:t>Frontiers in Ecology and the Environment</w:t>
      </w:r>
      <w:r w:rsidRPr="00E25215">
        <w:rPr>
          <w:rFonts w:cs="Times New Roman"/>
        </w:rPr>
        <w:t xml:space="preserve">, </w:t>
      </w:r>
      <w:r w:rsidRPr="00E25215">
        <w:rPr>
          <w:rFonts w:cs="Times New Roman"/>
          <w:i/>
          <w:iCs/>
        </w:rPr>
        <w:t>18</w:t>
      </w:r>
      <w:r w:rsidRPr="00E25215">
        <w:rPr>
          <w:rFonts w:cs="Times New Roman"/>
        </w:rPr>
        <w:t>(3), 141–150. https://doi.org/10.1002/fee.2160</w:t>
      </w:r>
    </w:p>
    <w:p w14:paraId="56AB4F01"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Leishman, M. R., &amp; Thomson, V. P. (2005). Experimental evidence for the effects of additional water, nutrients and physical disturbance on invasive plants in low fertility Hawkesbury Sandstone soils, Sydney, Australia. </w:t>
      </w:r>
      <w:r w:rsidRPr="00E25215">
        <w:rPr>
          <w:rFonts w:cs="Times New Roman"/>
          <w:i/>
          <w:iCs/>
        </w:rPr>
        <w:t>Journal of Ecology</w:t>
      </w:r>
      <w:r w:rsidRPr="00E25215">
        <w:rPr>
          <w:rFonts w:cs="Times New Roman"/>
        </w:rPr>
        <w:t xml:space="preserve">, </w:t>
      </w:r>
      <w:r w:rsidRPr="00E25215">
        <w:rPr>
          <w:rFonts w:cs="Times New Roman"/>
          <w:i/>
          <w:iCs/>
        </w:rPr>
        <w:t>93</w:t>
      </w:r>
      <w:r w:rsidRPr="00E25215">
        <w:rPr>
          <w:rFonts w:cs="Times New Roman"/>
        </w:rPr>
        <w:t>(1), 38–49. https://doi.org/10.1111/j.1365-2745.2004.00938.x</w:t>
      </w:r>
    </w:p>
    <w:p w14:paraId="0502BC0C"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Lejeusne, C., Chevaldonné, P., Pergent-Martini, C., Boudouresque, C. F., &amp; Pérez, T. (2010). Climate change effects on a miniature ocean: The highly diverse, highly impacted Mediterranean Sea. </w:t>
      </w:r>
      <w:r w:rsidRPr="00E25215">
        <w:rPr>
          <w:rFonts w:cs="Times New Roman"/>
          <w:i/>
          <w:iCs/>
        </w:rPr>
        <w:t>Trends in Ecology &amp; Evolution</w:t>
      </w:r>
      <w:r w:rsidRPr="00E25215">
        <w:rPr>
          <w:rFonts w:cs="Times New Roman"/>
        </w:rPr>
        <w:t xml:space="preserve">, </w:t>
      </w:r>
      <w:r w:rsidRPr="00E25215">
        <w:rPr>
          <w:rFonts w:cs="Times New Roman"/>
          <w:i/>
          <w:iCs/>
        </w:rPr>
        <w:t>25</w:t>
      </w:r>
      <w:r w:rsidRPr="00E25215">
        <w:rPr>
          <w:rFonts w:cs="Times New Roman"/>
        </w:rPr>
        <w:t>(4), 250–260. https://doi.org/10.1016/j.tree.2009.10.009</w:t>
      </w:r>
    </w:p>
    <w:p w14:paraId="54F4D44D"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Lembrechts, J. J., Alexander, J. M., Cavieres, L. A., Haider, S., Lenoir, J., Kueffer, C., McDougall, K., Naylor, B. J., Nuñez, M. A., Pauchard, A., Rew, L. J., Nijs, I., &amp; Milbau, A. (2017). </w:t>
      </w:r>
      <w:r w:rsidRPr="00E25215">
        <w:rPr>
          <w:rFonts w:cs="Times New Roman"/>
        </w:rPr>
        <w:lastRenderedPageBreak/>
        <w:t xml:space="preserve">Mountain roads shift native and non-native plant species’ ranges. </w:t>
      </w:r>
      <w:r w:rsidRPr="00E25215">
        <w:rPr>
          <w:rFonts w:cs="Times New Roman"/>
          <w:i/>
          <w:iCs/>
        </w:rPr>
        <w:t>Ecography</w:t>
      </w:r>
      <w:r w:rsidRPr="00E25215">
        <w:rPr>
          <w:rFonts w:cs="Times New Roman"/>
        </w:rPr>
        <w:t xml:space="preserve">, </w:t>
      </w:r>
      <w:r w:rsidRPr="00E25215">
        <w:rPr>
          <w:rFonts w:cs="Times New Roman"/>
          <w:i/>
          <w:iCs/>
        </w:rPr>
        <w:t>40</w:t>
      </w:r>
      <w:r w:rsidRPr="00E25215">
        <w:rPr>
          <w:rFonts w:cs="Times New Roman"/>
        </w:rPr>
        <w:t>(3), 353–364. https://doi.org/10.1111/ecog.02200</w:t>
      </w:r>
    </w:p>
    <w:p w14:paraId="4F8173CD"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Lembrechts, J. J., Pauchard, A., Lenoir, J., Nuñez, M. A., Geron, C., Ven, A., Bravo-Monasterio, P., Teneb, E., Nijs, I., &amp; Milbau, A. (2016). Disturbance is the key to plant invasions in cold environments. </w:t>
      </w:r>
      <w:r w:rsidRPr="00E25215">
        <w:rPr>
          <w:rFonts w:cs="Times New Roman"/>
          <w:i/>
          <w:iCs/>
        </w:rPr>
        <w:t>Proceedings of the National Academy of Sciences</w:t>
      </w:r>
      <w:r w:rsidRPr="00E25215">
        <w:rPr>
          <w:rFonts w:cs="Times New Roman"/>
        </w:rPr>
        <w:t xml:space="preserve">, </w:t>
      </w:r>
      <w:r w:rsidRPr="00E25215">
        <w:rPr>
          <w:rFonts w:cs="Times New Roman"/>
          <w:i/>
          <w:iCs/>
        </w:rPr>
        <w:t>113</w:t>
      </w:r>
      <w:r w:rsidRPr="00E25215">
        <w:rPr>
          <w:rFonts w:cs="Times New Roman"/>
        </w:rPr>
        <w:t>(49), 14061–14066. https://doi.org/10.1073/pnas.1608980113</w:t>
      </w:r>
    </w:p>
    <w:p w14:paraId="3444538B"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Lemke, D., Schweitzer, C. J., Tadesse, W., Wang, Y., &amp; Brown, J. A. (2013). Geospatial Assessment of Invasive Plants on Reclaimed Mines in Alabama. </w:t>
      </w:r>
      <w:r w:rsidRPr="00E25215">
        <w:rPr>
          <w:rFonts w:cs="Times New Roman"/>
          <w:i/>
          <w:iCs/>
        </w:rPr>
        <w:t>Invasive Plant Science and Management</w:t>
      </w:r>
      <w:r w:rsidRPr="00E25215">
        <w:rPr>
          <w:rFonts w:cs="Times New Roman"/>
        </w:rPr>
        <w:t xml:space="preserve">, </w:t>
      </w:r>
      <w:r w:rsidRPr="00E25215">
        <w:rPr>
          <w:rFonts w:cs="Times New Roman"/>
          <w:i/>
          <w:iCs/>
        </w:rPr>
        <w:t>6</w:t>
      </w:r>
      <w:r w:rsidRPr="00E25215">
        <w:rPr>
          <w:rFonts w:cs="Times New Roman"/>
        </w:rPr>
        <w:t>(3), 401–410. https://doi.org/10.1614/IPSM-D-12-00045.1</w:t>
      </w:r>
    </w:p>
    <w:p w14:paraId="3C45CDB1"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Lenda, M., Skórka, P., Knops, J. M. H., Moroń, D., Sutherland, W. J., Kuszewska, K., &amp; Woyciechowski, M. (2014). Effect of the Internet Commerce on Dispersal Modes of Invasive Alien Species. </w:t>
      </w:r>
      <w:r w:rsidRPr="00E25215">
        <w:rPr>
          <w:rFonts w:cs="Times New Roman"/>
          <w:i/>
          <w:iCs/>
        </w:rPr>
        <w:t>PLoS ONE</w:t>
      </w:r>
      <w:r w:rsidRPr="00E25215">
        <w:rPr>
          <w:rFonts w:cs="Times New Roman"/>
        </w:rPr>
        <w:t xml:space="preserve">, </w:t>
      </w:r>
      <w:r w:rsidRPr="00E25215">
        <w:rPr>
          <w:rFonts w:cs="Times New Roman"/>
          <w:i/>
          <w:iCs/>
        </w:rPr>
        <w:t>9</w:t>
      </w:r>
      <w:r w:rsidRPr="00E25215">
        <w:rPr>
          <w:rFonts w:cs="Times New Roman"/>
        </w:rPr>
        <w:t>(6), e99786. https://doi.org/10.1371/journal.pone.0099786</w:t>
      </w:r>
    </w:p>
    <w:p w14:paraId="5CF0E31B"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Lenzen, M., Moran, D., Kanemoto, K., Foran, B., Lobefaro, L., &amp; Geschke, A. (2012). International trade drives biodiversity threats in developing nations. </w:t>
      </w:r>
      <w:r w:rsidRPr="00E25215">
        <w:rPr>
          <w:rFonts w:cs="Times New Roman"/>
          <w:i/>
          <w:iCs/>
        </w:rPr>
        <w:t>Nature</w:t>
      </w:r>
      <w:r w:rsidRPr="00E25215">
        <w:rPr>
          <w:rFonts w:cs="Times New Roman"/>
        </w:rPr>
        <w:t xml:space="preserve">, </w:t>
      </w:r>
      <w:r w:rsidRPr="00E25215">
        <w:rPr>
          <w:rFonts w:cs="Times New Roman"/>
          <w:i/>
          <w:iCs/>
        </w:rPr>
        <w:t>486</w:t>
      </w:r>
      <w:r w:rsidRPr="00E25215">
        <w:rPr>
          <w:rFonts w:cs="Times New Roman"/>
        </w:rPr>
        <w:t>(7401), 109–112. https://doi.org/10.1038/nature11145</w:t>
      </w:r>
    </w:p>
    <w:p w14:paraId="20455A8D"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Lenzner, B., Leclère, D., Franklin, O., Seebens, H., Roura-Pascual, N., Obersteiner, M., Dullinger, S., &amp; Essl, F. (2019). A Framework for Global Twenty-First Century Scenarios and Models of Biological Invasions. </w:t>
      </w:r>
      <w:r w:rsidRPr="00E25215">
        <w:rPr>
          <w:rFonts w:cs="Times New Roman"/>
          <w:i/>
          <w:iCs/>
        </w:rPr>
        <w:t>BioScience</w:t>
      </w:r>
      <w:r w:rsidRPr="00E25215">
        <w:rPr>
          <w:rFonts w:cs="Times New Roman"/>
        </w:rPr>
        <w:t xml:space="preserve">, </w:t>
      </w:r>
      <w:r w:rsidRPr="00E25215">
        <w:rPr>
          <w:rFonts w:cs="Times New Roman"/>
          <w:i/>
          <w:iCs/>
        </w:rPr>
        <w:t>69</w:t>
      </w:r>
      <w:r w:rsidRPr="00E25215">
        <w:rPr>
          <w:rFonts w:cs="Times New Roman"/>
        </w:rPr>
        <w:t>(9), 697–710. https://doi.org/10.1093/biosci/biz070</w:t>
      </w:r>
    </w:p>
    <w:p w14:paraId="1FAFA19A"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Leung, B., Roura-Pascual, N., Bacher, S., Heikkila, J., Brotons, L., Burgman, M. A., Dehnen-Schmutz, K., Essl, F., Hulme, P. E., Richardson, D. M., Sol, D., &amp; Vilà, M. (2012). TEASIng apart alien species risk assessments: A framework for best practices. </w:t>
      </w:r>
      <w:r w:rsidRPr="00E25215">
        <w:rPr>
          <w:rFonts w:cs="Times New Roman"/>
          <w:i/>
          <w:iCs/>
        </w:rPr>
        <w:t>Ecology Letters</w:t>
      </w:r>
      <w:r w:rsidRPr="00E25215">
        <w:rPr>
          <w:rFonts w:cs="Times New Roman"/>
        </w:rPr>
        <w:t xml:space="preserve">, </w:t>
      </w:r>
      <w:r w:rsidRPr="00E25215">
        <w:rPr>
          <w:rFonts w:cs="Times New Roman"/>
          <w:i/>
          <w:iCs/>
        </w:rPr>
        <w:t>15</w:t>
      </w:r>
      <w:r w:rsidRPr="00E25215">
        <w:rPr>
          <w:rFonts w:cs="Times New Roman"/>
        </w:rPr>
        <w:t>(12), 1475–1493. https://doi.org/10.1111/ele.12003</w:t>
      </w:r>
    </w:p>
    <w:p w14:paraId="2FD74446"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Leuven, R. S. E. W., van der Velde, G., Baijens, I., Snijders, J., van der Zwart, C., Lenders, H. J. R., &amp; bij de Vaate, A. (2009). The river Rhine: A global highway for dispersal of aquatic invasive species. </w:t>
      </w:r>
      <w:r w:rsidRPr="00E25215">
        <w:rPr>
          <w:rFonts w:cs="Times New Roman"/>
          <w:i/>
          <w:iCs/>
        </w:rPr>
        <w:t>Biological Invasions</w:t>
      </w:r>
      <w:r w:rsidRPr="00E25215">
        <w:rPr>
          <w:rFonts w:cs="Times New Roman"/>
        </w:rPr>
        <w:t xml:space="preserve">, </w:t>
      </w:r>
      <w:r w:rsidRPr="00E25215">
        <w:rPr>
          <w:rFonts w:cs="Times New Roman"/>
          <w:i/>
          <w:iCs/>
        </w:rPr>
        <w:t>11</w:t>
      </w:r>
      <w:r w:rsidRPr="00E25215">
        <w:rPr>
          <w:rFonts w:cs="Times New Roman"/>
        </w:rPr>
        <w:t>(9), 1989–2008. https://doi.org/10.1007/s10530-009-9491-7</w:t>
      </w:r>
    </w:p>
    <w:p w14:paraId="7062F52A" w14:textId="77777777" w:rsidR="001379C0" w:rsidRPr="00E25215" w:rsidRDefault="001379C0" w:rsidP="009B3E7F">
      <w:pPr>
        <w:pStyle w:val="Bibliography"/>
        <w:spacing w:before="0" w:after="0" w:line="240" w:lineRule="auto"/>
        <w:rPr>
          <w:rFonts w:cs="Times New Roman"/>
        </w:rPr>
      </w:pPr>
      <w:r w:rsidRPr="00E25215">
        <w:rPr>
          <w:rFonts w:cs="Times New Roman"/>
        </w:rPr>
        <w:t>Levin, P. S., Coyer, J. A., Petrik, R., &amp; Good, T. P. (2002). Community</w:t>
      </w:r>
      <w:r w:rsidRPr="00E25215">
        <w:rPr>
          <w:rFonts w:cs="Times New Roman" w:hint="eastAsia"/>
        </w:rPr>
        <w:t>‐</w:t>
      </w:r>
      <w:r w:rsidRPr="00E25215">
        <w:rPr>
          <w:rFonts w:cs="Times New Roman"/>
        </w:rPr>
        <w:t xml:space="preserve">wide effects of nonindigenous species on temperate rocky reefs. </w:t>
      </w:r>
      <w:r w:rsidRPr="00E25215">
        <w:rPr>
          <w:rFonts w:cs="Times New Roman"/>
          <w:i/>
          <w:iCs/>
        </w:rPr>
        <w:t>Ecology</w:t>
      </w:r>
      <w:r w:rsidRPr="00E25215">
        <w:rPr>
          <w:rFonts w:cs="Times New Roman"/>
        </w:rPr>
        <w:t xml:space="preserve">, </w:t>
      </w:r>
      <w:r w:rsidRPr="00E25215">
        <w:rPr>
          <w:rFonts w:cs="Times New Roman"/>
          <w:i/>
          <w:iCs/>
        </w:rPr>
        <w:t>83</w:t>
      </w:r>
      <w:r w:rsidRPr="00E25215">
        <w:rPr>
          <w:rFonts w:cs="Times New Roman"/>
        </w:rPr>
        <w:t>(11), 3182–3193. https://doi.org/10.2307/3071852</w:t>
      </w:r>
    </w:p>
    <w:p w14:paraId="1F642DE4"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Levine, J. M., Adler, P. B., &amp; Yelenik, S. G. (2004). A meta-analysis of biotic resistance to exotic plant invasions. </w:t>
      </w:r>
      <w:r w:rsidRPr="00E25215">
        <w:rPr>
          <w:rFonts w:cs="Times New Roman"/>
          <w:i/>
          <w:iCs/>
        </w:rPr>
        <w:t>Ecology Letters</w:t>
      </w:r>
      <w:r w:rsidRPr="00E25215">
        <w:rPr>
          <w:rFonts w:cs="Times New Roman"/>
        </w:rPr>
        <w:t xml:space="preserve">, </w:t>
      </w:r>
      <w:r w:rsidRPr="00E25215">
        <w:rPr>
          <w:rFonts w:cs="Times New Roman"/>
          <w:i/>
          <w:iCs/>
        </w:rPr>
        <w:t>7</w:t>
      </w:r>
      <w:r w:rsidRPr="00E25215">
        <w:rPr>
          <w:rFonts w:cs="Times New Roman"/>
        </w:rPr>
        <w:t>(10), 975–989. https://doi.org/10.1111/j.1461-0248.2004.00657.x</w:t>
      </w:r>
    </w:p>
    <w:p w14:paraId="61415161"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Levine, J. M., &amp; D’Antonio, C. M. (2003). Forecasting Biological Invasions with Increasing International Trade. </w:t>
      </w:r>
      <w:r w:rsidRPr="00E25215">
        <w:rPr>
          <w:rFonts w:cs="Times New Roman"/>
          <w:i/>
          <w:iCs/>
        </w:rPr>
        <w:t>Conservation Biology</w:t>
      </w:r>
      <w:r w:rsidRPr="00E25215">
        <w:rPr>
          <w:rFonts w:cs="Times New Roman"/>
        </w:rPr>
        <w:t xml:space="preserve">, </w:t>
      </w:r>
      <w:r w:rsidRPr="00E25215">
        <w:rPr>
          <w:rFonts w:cs="Times New Roman"/>
          <w:i/>
          <w:iCs/>
        </w:rPr>
        <w:t>17</w:t>
      </w:r>
      <w:r w:rsidRPr="00E25215">
        <w:rPr>
          <w:rFonts w:cs="Times New Roman"/>
        </w:rPr>
        <w:t>(1), 322–326. https://doi.org/10.1046/j.1523-1739.2003.02038.x</w:t>
      </w:r>
    </w:p>
    <w:p w14:paraId="21DBD001"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Lewis, S. C., Blake, S. A., Trewin, B., Black, M. T., Dowdy, A. J., Perkins-Kirkpatrick, S. E., King, A. D., &amp; Sharples, J. J. (2019). Deconstructing factors contributing to the 2018 fire weather in Queensland, Australia. </w:t>
      </w:r>
      <w:r w:rsidRPr="00E25215">
        <w:rPr>
          <w:rFonts w:cs="Times New Roman"/>
          <w:i/>
          <w:iCs/>
        </w:rPr>
        <w:t>Bulletin of the American Meteorological Society</w:t>
      </w:r>
      <w:r w:rsidRPr="00E25215">
        <w:rPr>
          <w:rFonts w:cs="Times New Roman"/>
        </w:rPr>
        <w:t xml:space="preserve">, </w:t>
      </w:r>
      <w:r w:rsidRPr="00E25215">
        <w:rPr>
          <w:rFonts w:cs="Times New Roman"/>
          <w:i/>
          <w:iCs/>
        </w:rPr>
        <w:t>10</w:t>
      </w:r>
      <w:r w:rsidRPr="00E25215">
        <w:rPr>
          <w:rFonts w:cs="Times New Roman"/>
        </w:rPr>
        <w:t>(1), S115–S122. https://www.jstor.org/stable/27032754</w:t>
      </w:r>
    </w:p>
    <w:p w14:paraId="08C78112"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Licata, F., Ficetola, G. F., Freeman, K., Mahasoa, R. H., Ravololonarivo, V., Solofo Niaina Fidy, J. F., Koto-Jean, A. B., Nahavitatsara, E. R., Andreone, F., &amp; Crottini, A. (2019). Abundance, distribution and spread of the invasive Asian toad </w:t>
      </w:r>
      <w:r w:rsidRPr="00E25215">
        <w:rPr>
          <w:rFonts w:cs="Times New Roman"/>
          <w:i/>
          <w:iCs/>
        </w:rPr>
        <w:t>Duttaphrynus melanostictus</w:t>
      </w:r>
      <w:r w:rsidRPr="00E25215">
        <w:rPr>
          <w:rFonts w:cs="Times New Roman"/>
        </w:rPr>
        <w:t xml:space="preserve"> in eastern Madagascar. </w:t>
      </w:r>
      <w:r w:rsidRPr="00E25215">
        <w:rPr>
          <w:rFonts w:cs="Times New Roman"/>
          <w:i/>
          <w:iCs/>
        </w:rPr>
        <w:t>Biological Invasions</w:t>
      </w:r>
      <w:r w:rsidRPr="00E25215">
        <w:rPr>
          <w:rFonts w:cs="Times New Roman"/>
        </w:rPr>
        <w:t xml:space="preserve">, </w:t>
      </w:r>
      <w:r w:rsidRPr="00E25215">
        <w:rPr>
          <w:rFonts w:cs="Times New Roman"/>
          <w:i/>
          <w:iCs/>
        </w:rPr>
        <w:t>21</w:t>
      </w:r>
      <w:r w:rsidRPr="00E25215">
        <w:rPr>
          <w:rFonts w:cs="Times New Roman"/>
        </w:rPr>
        <w:t>(5), 1615–1626. https://doi.org/10.1007/s10530-019-01920-2</w:t>
      </w:r>
    </w:p>
    <w:p w14:paraId="68AF46AF"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Liebhold, A. M., Brockerhoff, E. G., Kalisz, S., Nuñez, M. A., Wardle, D. A., &amp; Wingfield, M. J. (2017). Biological invasions in forest ecosystems. </w:t>
      </w:r>
      <w:r w:rsidRPr="00E25215">
        <w:rPr>
          <w:rFonts w:cs="Times New Roman"/>
          <w:i/>
          <w:iCs/>
        </w:rPr>
        <w:t>Biological Invasions</w:t>
      </w:r>
      <w:r w:rsidRPr="00E25215">
        <w:rPr>
          <w:rFonts w:cs="Times New Roman"/>
        </w:rPr>
        <w:t xml:space="preserve">, </w:t>
      </w:r>
      <w:r w:rsidRPr="00E25215">
        <w:rPr>
          <w:rFonts w:cs="Times New Roman"/>
          <w:i/>
          <w:iCs/>
        </w:rPr>
        <w:t>19</w:t>
      </w:r>
      <w:r w:rsidRPr="00E25215">
        <w:rPr>
          <w:rFonts w:cs="Times New Roman"/>
        </w:rPr>
        <w:t>(11), 3437–3458. https://doi.org/10.1007/s10530-017-1458-5</w:t>
      </w:r>
    </w:p>
    <w:p w14:paraId="27379BCA"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Liedtke, R., Barros, A., Essl, F., Lembrechts, J. J., Wedegärtner, R. E. M., Pauchard, A., &amp; Dullinger, S. (2020). Hiking trails as conduits for the spread of non-native species in mountain areas. </w:t>
      </w:r>
      <w:r w:rsidRPr="00E25215">
        <w:rPr>
          <w:rFonts w:cs="Times New Roman"/>
          <w:i/>
          <w:iCs/>
        </w:rPr>
        <w:t>Biological Invasions</w:t>
      </w:r>
      <w:r w:rsidRPr="00E25215">
        <w:rPr>
          <w:rFonts w:cs="Times New Roman"/>
        </w:rPr>
        <w:t xml:space="preserve">, </w:t>
      </w:r>
      <w:r w:rsidRPr="00E25215">
        <w:rPr>
          <w:rFonts w:cs="Times New Roman"/>
          <w:i/>
          <w:iCs/>
        </w:rPr>
        <w:t>22</w:t>
      </w:r>
      <w:r w:rsidRPr="00E25215">
        <w:rPr>
          <w:rFonts w:cs="Times New Roman"/>
        </w:rPr>
        <w:t>(3), 1121–1134. https://doi.org/10.1007/s10530-019-02165-9</w:t>
      </w:r>
    </w:p>
    <w:p w14:paraId="1B6063A9" w14:textId="77777777" w:rsidR="001379C0" w:rsidRPr="00E25215" w:rsidRDefault="001379C0" w:rsidP="009B3E7F">
      <w:pPr>
        <w:pStyle w:val="Bibliography"/>
        <w:spacing w:before="0" w:after="0" w:line="240" w:lineRule="auto"/>
        <w:rPr>
          <w:rFonts w:cs="Times New Roman"/>
        </w:rPr>
      </w:pPr>
      <w:r w:rsidRPr="00E25215">
        <w:rPr>
          <w:rFonts w:cs="Times New Roman"/>
        </w:rPr>
        <w:lastRenderedPageBreak/>
        <w:t xml:space="preserve">Lieurance, D., Cooper, A., Young, A. L., Gordon, D. R., &amp; Flory, S. L. (2018). Running bamboo species pose a greater invasion risk than clumping bamboo species in the continental United States. </w:t>
      </w:r>
      <w:r w:rsidRPr="00E25215">
        <w:rPr>
          <w:rFonts w:cs="Times New Roman"/>
          <w:i/>
          <w:iCs/>
        </w:rPr>
        <w:t>Journal for Nature Conservation</w:t>
      </w:r>
      <w:r w:rsidRPr="00E25215">
        <w:rPr>
          <w:rFonts w:cs="Times New Roman"/>
        </w:rPr>
        <w:t xml:space="preserve">, </w:t>
      </w:r>
      <w:r w:rsidRPr="00E25215">
        <w:rPr>
          <w:rFonts w:cs="Times New Roman"/>
          <w:i/>
          <w:iCs/>
        </w:rPr>
        <w:t>43</w:t>
      </w:r>
      <w:r w:rsidRPr="00E25215">
        <w:rPr>
          <w:rFonts w:cs="Times New Roman"/>
        </w:rPr>
        <w:t>, 39–45. https://doi.org/10.1016/j.jnc.2018.02.012</w:t>
      </w:r>
    </w:p>
    <w:p w14:paraId="5BDC049D"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Lin, Y., Gao, Z., &amp; Zhan, A. (2015). Introduction and use of non-native species for aquaculture in China: Status, risks and management solutions. </w:t>
      </w:r>
      <w:r w:rsidRPr="00E25215">
        <w:rPr>
          <w:rFonts w:cs="Times New Roman"/>
          <w:i/>
          <w:iCs/>
        </w:rPr>
        <w:t>Reviews in Aquaculture</w:t>
      </w:r>
      <w:r w:rsidRPr="00E25215">
        <w:rPr>
          <w:rFonts w:cs="Times New Roman"/>
        </w:rPr>
        <w:t xml:space="preserve">, </w:t>
      </w:r>
      <w:r w:rsidRPr="00E25215">
        <w:rPr>
          <w:rFonts w:cs="Times New Roman"/>
          <w:i/>
          <w:iCs/>
        </w:rPr>
        <w:t>7</w:t>
      </w:r>
      <w:r w:rsidRPr="00E25215">
        <w:rPr>
          <w:rFonts w:cs="Times New Roman"/>
        </w:rPr>
        <w:t>(1), 28–58. https://doi.org/10.1111/raq.12052</w:t>
      </w:r>
    </w:p>
    <w:p w14:paraId="22A9DA0C"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Lindenmayer, D. B., Hulvey, K. B., Hobbs, R. J., Colyvan, M., Felton, A., Possingham, H., Steffen, W., Wilson, K., Youngentob, K., &amp; Gibbons, P. (2012). Avoiding bio-perversity from carbon sequestration solutions. </w:t>
      </w:r>
      <w:r w:rsidRPr="00E25215">
        <w:rPr>
          <w:rFonts w:cs="Times New Roman"/>
          <w:i/>
          <w:iCs/>
        </w:rPr>
        <w:t>Conservation Letters</w:t>
      </w:r>
      <w:r w:rsidRPr="00E25215">
        <w:rPr>
          <w:rFonts w:cs="Times New Roman"/>
        </w:rPr>
        <w:t xml:space="preserve">, </w:t>
      </w:r>
      <w:r w:rsidRPr="00E25215">
        <w:rPr>
          <w:rFonts w:cs="Times New Roman"/>
          <w:i/>
          <w:iCs/>
        </w:rPr>
        <w:t>5</w:t>
      </w:r>
      <w:r w:rsidRPr="00E25215">
        <w:rPr>
          <w:rFonts w:cs="Times New Roman"/>
        </w:rPr>
        <w:t>(1), 28–36. https://doi.org/10.1111/j.1755-263X.2011.00213.x</w:t>
      </w:r>
    </w:p>
    <w:p w14:paraId="691EBE1F"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Linders, T. E., Bekele, K., Schaffner, U., Allan, E., Alamirew, T., Choge, S. K., Haji, J., Muturi, G., Mbaabu, P. R., Shiferaw, H., &amp; Eschen, R. (2020). The impact of invasive species on social-ecological systems: Relating supply and use of selected provisioning ecosystem services. </w:t>
      </w:r>
      <w:r w:rsidRPr="00E25215">
        <w:rPr>
          <w:rFonts w:cs="Times New Roman"/>
          <w:i/>
          <w:iCs/>
        </w:rPr>
        <w:t>Ecosystem Services</w:t>
      </w:r>
      <w:r w:rsidRPr="00E25215">
        <w:rPr>
          <w:rFonts w:cs="Times New Roman"/>
        </w:rPr>
        <w:t xml:space="preserve">, </w:t>
      </w:r>
      <w:r w:rsidRPr="00E25215">
        <w:rPr>
          <w:rFonts w:cs="Times New Roman"/>
          <w:i/>
          <w:iCs/>
        </w:rPr>
        <w:t>41</w:t>
      </w:r>
      <w:r w:rsidRPr="00E25215">
        <w:rPr>
          <w:rFonts w:cs="Times New Roman"/>
        </w:rPr>
        <w:t>, 101055. https://doi.org/10.1016/j.ecoser.2019.101055</w:t>
      </w:r>
    </w:p>
    <w:p w14:paraId="5B709B34" w14:textId="77777777" w:rsidR="001379C0" w:rsidRPr="00E25215" w:rsidRDefault="001379C0" w:rsidP="009B3E7F">
      <w:pPr>
        <w:pStyle w:val="Bibliography"/>
        <w:spacing w:before="0" w:after="0" w:line="240" w:lineRule="auto"/>
        <w:rPr>
          <w:rFonts w:cs="Times New Roman"/>
        </w:rPr>
      </w:pPr>
      <w:r w:rsidRPr="00E25215">
        <w:rPr>
          <w:rFonts w:cs="Times New Roman"/>
        </w:rPr>
        <w:t>Lintermans, M. (2004). Human</w:t>
      </w:r>
      <w:r w:rsidRPr="00E25215">
        <w:rPr>
          <w:rFonts w:cs="Times New Roman" w:hint="eastAsia"/>
        </w:rPr>
        <w:t>‐</w:t>
      </w:r>
      <w:r w:rsidRPr="00E25215">
        <w:rPr>
          <w:rFonts w:cs="Times New Roman"/>
        </w:rPr>
        <w:t xml:space="preserve">assisted dispersal of alien freshwater fish in Australia. </w:t>
      </w:r>
      <w:r w:rsidRPr="00E25215">
        <w:rPr>
          <w:rFonts w:cs="Times New Roman"/>
          <w:i/>
          <w:iCs/>
        </w:rPr>
        <w:t>New Zealand Journal of Marine and Freshwater Research</w:t>
      </w:r>
      <w:r w:rsidRPr="00E25215">
        <w:rPr>
          <w:rFonts w:cs="Times New Roman"/>
        </w:rPr>
        <w:t xml:space="preserve">, </w:t>
      </w:r>
      <w:r w:rsidRPr="00E25215">
        <w:rPr>
          <w:rFonts w:cs="Times New Roman"/>
          <w:i/>
          <w:iCs/>
        </w:rPr>
        <w:t>38</w:t>
      </w:r>
      <w:r w:rsidRPr="00E25215">
        <w:rPr>
          <w:rFonts w:cs="Times New Roman"/>
        </w:rPr>
        <w:t>(3), 481–501. https://doi.org/10.1080/00288330.2004.9517255</w:t>
      </w:r>
    </w:p>
    <w:p w14:paraId="09FF01F8"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Lisi, P. J., Childress, E. S., Gagne, R. B., Hain, E. F., Lamphere, B. A., Walter, R. P., Hogan, J. D., Gilliam, J. F., Blum, M. J., &amp; McIntyre, P. B. (2018). Overcoming urban stream syndrome: Trophic flexibility confers resilience in a Hawaiian stream fish. </w:t>
      </w:r>
      <w:r w:rsidRPr="00E25215">
        <w:rPr>
          <w:rFonts w:cs="Times New Roman"/>
          <w:i/>
          <w:iCs/>
        </w:rPr>
        <w:t>Freshwater Biology</w:t>
      </w:r>
      <w:r w:rsidRPr="00E25215">
        <w:rPr>
          <w:rFonts w:cs="Times New Roman"/>
        </w:rPr>
        <w:t xml:space="preserve">, </w:t>
      </w:r>
      <w:r w:rsidRPr="00E25215">
        <w:rPr>
          <w:rFonts w:cs="Times New Roman"/>
          <w:i/>
          <w:iCs/>
        </w:rPr>
        <w:t>63</w:t>
      </w:r>
      <w:r w:rsidRPr="00E25215">
        <w:rPr>
          <w:rFonts w:cs="Times New Roman"/>
        </w:rPr>
        <w:t>(5), 492–502. https://doi.org/10.1111/fwb.13091</w:t>
      </w:r>
    </w:p>
    <w:p w14:paraId="16FB4609"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Litchman, E. (2010). Invisible invaders: Non-pathogenic invasive microbes in aquatic and terrestrial ecosystems. </w:t>
      </w:r>
      <w:r w:rsidRPr="00E25215">
        <w:rPr>
          <w:rFonts w:cs="Times New Roman"/>
          <w:i/>
          <w:iCs/>
        </w:rPr>
        <w:t>Ecology Letters</w:t>
      </w:r>
      <w:r w:rsidRPr="00E25215">
        <w:rPr>
          <w:rFonts w:cs="Times New Roman"/>
        </w:rPr>
        <w:t xml:space="preserve">, </w:t>
      </w:r>
      <w:r w:rsidRPr="00E25215">
        <w:rPr>
          <w:rFonts w:cs="Times New Roman"/>
          <w:i/>
          <w:iCs/>
        </w:rPr>
        <w:t>13</w:t>
      </w:r>
      <w:r w:rsidRPr="00E25215">
        <w:rPr>
          <w:rFonts w:cs="Times New Roman"/>
        </w:rPr>
        <w:t>(12), 1560–1572. https://doi.org/10.1111/j.1461-0248.2010.01544.x</w:t>
      </w:r>
    </w:p>
    <w:p w14:paraId="40BA90ED"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Liu, D., Wang, R., Gordon, D. R., Sun, X., Chen, L., &amp; Wang, Y. (2017). Predicting Plant Invasions Following China’s Water Diversion Project. </w:t>
      </w:r>
      <w:r w:rsidRPr="00E25215">
        <w:rPr>
          <w:rFonts w:cs="Times New Roman"/>
          <w:i/>
          <w:iCs/>
        </w:rPr>
        <w:t>Environmental Science &amp; Technology</w:t>
      </w:r>
      <w:r w:rsidRPr="00E25215">
        <w:rPr>
          <w:rFonts w:cs="Times New Roman"/>
        </w:rPr>
        <w:t xml:space="preserve">, </w:t>
      </w:r>
      <w:r w:rsidRPr="00E25215">
        <w:rPr>
          <w:rFonts w:cs="Times New Roman"/>
          <w:i/>
          <w:iCs/>
        </w:rPr>
        <w:t>51</w:t>
      </w:r>
      <w:r w:rsidRPr="00E25215">
        <w:rPr>
          <w:rFonts w:cs="Times New Roman"/>
        </w:rPr>
        <w:t>(3), 1450–1457. https://doi.org/10.1021/acs.est.6b05577</w:t>
      </w:r>
    </w:p>
    <w:p w14:paraId="50569CC7"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Liu, J., &amp; Li, Z. (2010). The Role of Exotics in Chinese Inland Aquaculture. In S. S. De Silva &amp; F. B. Davy (Eds.), </w:t>
      </w:r>
      <w:r w:rsidRPr="00E25215">
        <w:rPr>
          <w:rFonts w:cs="Times New Roman"/>
          <w:i/>
          <w:iCs/>
        </w:rPr>
        <w:t>Success Stories in Asian Aquaculture</w:t>
      </w:r>
      <w:r w:rsidRPr="00E25215">
        <w:rPr>
          <w:rFonts w:cs="Times New Roman"/>
        </w:rPr>
        <w:t xml:space="preserve"> (pp. 173–185). Springer. https://doi.org/10.1007/978-90-481-3087-0_9</w:t>
      </w:r>
    </w:p>
    <w:p w14:paraId="25C95F7A"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Livingstone, P., Hancox, N., Nugent, G., &amp; de Lisle, G. (2015). Toward eradication: The effect of </w:t>
      </w:r>
      <w:r w:rsidRPr="00E25215">
        <w:rPr>
          <w:rFonts w:cs="Times New Roman"/>
          <w:i/>
          <w:iCs/>
        </w:rPr>
        <w:t>Mycobacterium bovis</w:t>
      </w:r>
      <w:r w:rsidRPr="00E25215">
        <w:rPr>
          <w:rFonts w:cs="Times New Roman"/>
        </w:rPr>
        <w:t xml:space="preserve"> infection in wildlife on the evolution and future direction of bovine tuberculosis management in New Zealand. </w:t>
      </w:r>
      <w:r w:rsidRPr="00E25215">
        <w:rPr>
          <w:rFonts w:cs="Times New Roman"/>
          <w:i/>
          <w:iCs/>
        </w:rPr>
        <w:t>New Zealand Veterinary Journal</w:t>
      </w:r>
      <w:r w:rsidRPr="00E25215">
        <w:rPr>
          <w:rFonts w:cs="Times New Roman"/>
        </w:rPr>
        <w:t xml:space="preserve">, </w:t>
      </w:r>
      <w:r w:rsidRPr="00E25215">
        <w:rPr>
          <w:rFonts w:cs="Times New Roman"/>
          <w:i/>
          <w:iCs/>
        </w:rPr>
        <w:t>63</w:t>
      </w:r>
      <w:r w:rsidRPr="00E25215">
        <w:rPr>
          <w:rFonts w:cs="Times New Roman"/>
        </w:rPr>
        <w:t>(sup1), Article sup1. https://doi.org/10.1080/00480169.2014.971082</w:t>
      </w:r>
    </w:p>
    <w:p w14:paraId="3960955A"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Loarie, S. R., Duffy, P. B., Hamilton, H., Asner, G. P., Field, C. B., &amp; Ackerly, D. D. (2009). The velocity of climate change. </w:t>
      </w:r>
      <w:r w:rsidRPr="00E25215">
        <w:rPr>
          <w:rFonts w:cs="Times New Roman"/>
          <w:i/>
          <w:iCs/>
        </w:rPr>
        <w:t>Nature</w:t>
      </w:r>
      <w:r w:rsidRPr="00E25215">
        <w:rPr>
          <w:rFonts w:cs="Times New Roman"/>
        </w:rPr>
        <w:t xml:space="preserve">, </w:t>
      </w:r>
      <w:r w:rsidRPr="00E25215">
        <w:rPr>
          <w:rFonts w:cs="Times New Roman"/>
          <w:i/>
          <w:iCs/>
        </w:rPr>
        <w:t>462</w:t>
      </w:r>
      <w:r w:rsidRPr="00E25215">
        <w:rPr>
          <w:rFonts w:cs="Times New Roman"/>
        </w:rPr>
        <w:t>(7276), 1052–1055. https://doi.org/10.1038/nature08649</w:t>
      </w:r>
    </w:p>
    <w:p w14:paraId="494E62DB"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Lobo, D., Leao, T., Melo, F. P. L., Santos, A. M. M., &amp; Tabarelli, M. (2011). Forest fragmentation drives Atlantic forest of northeastern Brazil to biotic homogenization. </w:t>
      </w:r>
      <w:r w:rsidRPr="00E25215">
        <w:rPr>
          <w:rFonts w:cs="Times New Roman"/>
          <w:i/>
          <w:iCs/>
        </w:rPr>
        <w:t>Diversity and Distributions</w:t>
      </w:r>
      <w:r w:rsidRPr="00E25215">
        <w:rPr>
          <w:rFonts w:cs="Times New Roman"/>
        </w:rPr>
        <w:t xml:space="preserve">, </w:t>
      </w:r>
      <w:r w:rsidRPr="00E25215">
        <w:rPr>
          <w:rFonts w:cs="Times New Roman"/>
          <w:i/>
          <w:iCs/>
        </w:rPr>
        <w:t>17</w:t>
      </w:r>
      <w:r w:rsidRPr="00E25215">
        <w:rPr>
          <w:rFonts w:cs="Times New Roman"/>
        </w:rPr>
        <w:t>(2), 287–296. https://doi.org/10.1111/j.1472-4642.2010.00739.x</w:t>
      </w:r>
    </w:p>
    <w:p w14:paraId="5F333822"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Lodge, D. M., Deines, A., Gherardi, F., Yeo, D. C. J., Arcella, T., Baldridge, A. K., Barnes, M. A., Chadderton, W. L., Feder, J. L., Gantz, C. A., Howard, G. W., Jerde, C. L., Peters, B. W., Peters, J. A., Sargent, L. W., Turner, C. R., Wittmann, M. E., &amp; Zeng, Y. (2012). Global introductions of crayfishes: Evaluating the impact of species invasions on ecosystem services. </w:t>
      </w:r>
      <w:r w:rsidRPr="00E25215">
        <w:rPr>
          <w:rFonts w:cs="Times New Roman"/>
          <w:i/>
          <w:iCs/>
        </w:rPr>
        <w:t>Annual Review of Ecology, Evolution, and Systematics</w:t>
      </w:r>
      <w:r w:rsidRPr="00E25215">
        <w:rPr>
          <w:rFonts w:cs="Times New Roman"/>
        </w:rPr>
        <w:t xml:space="preserve">, </w:t>
      </w:r>
      <w:r w:rsidRPr="00E25215">
        <w:rPr>
          <w:rFonts w:cs="Times New Roman"/>
          <w:i/>
          <w:iCs/>
        </w:rPr>
        <w:t>43</w:t>
      </w:r>
      <w:r w:rsidRPr="00E25215">
        <w:rPr>
          <w:rFonts w:cs="Times New Roman"/>
        </w:rPr>
        <w:t>(1), 449–472. https://doi.org/10.1146/annurev-ecolsys-111511-103919</w:t>
      </w:r>
    </w:p>
    <w:p w14:paraId="4AFD629E"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Long, J. L. (2003). </w:t>
      </w:r>
      <w:r w:rsidRPr="00E25215">
        <w:rPr>
          <w:rFonts w:cs="Times New Roman"/>
          <w:i/>
          <w:iCs/>
        </w:rPr>
        <w:t>Introduced Mammals of the World: Their History, Distribution and Influence</w:t>
      </w:r>
      <w:r w:rsidRPr="00E25215">
        <w:rPr>
          <w:rFonts w:cs="Times New Roman"/>
        </w:rPr>
        <w:t>. CABI Publishing. https://doi.org/10.1071/9780643090156</w:t>
      </w:r>
    </w:p>
    <w:p w14:paraId="75BD214F"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Loomans, A. J., Vierbergen, B., &amp; Chen, P.-P. (2013). Seven years of post-release monitoring for biological control agents released for biological control in the Netherlands: Impact of regulatory measures on establishment and use. </w:t>
      </w:r>
      <w:r w:rsidRPr="00E25215">
        <w:rPr>
          <w:rFonts w:cs="Times New Roman"/>
          <w:i/>
          <w:iCs/>
        </w:rPr>
        <w:t>IOBC-WPRS Bulletin</w:t>
      </w:r>
      <w:r w:rsidRPr="00E25215">
        <w:rPr>
          <w:rFonts w:cs="Times New Roman"/>
        </w:rPr>
        <w:t xml:space="preserve">, </w:t>
      </w:r>
      <w:r w:rsidRPr="00E25215">
        <w:rPr>
          <w:rFonts w:cs="Times New Roman"/>
          <w:i/>
          <w:iCs/>
        </w:rPr>
        <w:t>94</w:t>
      </w:r>
      <w:r w:rsidRPr="00E25215">
        <w:rPr>
          <w:rFonts w:cs="Times New Roman"/>
        </w:rPr>
        <w:t>, 15–20.</w:t>
      </w:r>
    </w:p>
    <w:p w14:paraId="73B3D2B3" w14:textId="77777777" w:rsidR="001379C0" w:rsidRPr="00E25215" w:rsidRDefault="001379C0" w:rsidP="009B3E7F">
      <w:pPr>
        <w:pStyle w:val="Bibliography"/>
        <w:spacing w:before="0" w:after="0" w:line="240" w:lineRule="auto"/>
        <w:rPr>
          <w:rFonts w:cs="Times New Roman"/>
        </w:rPr>
      </w:pPr>
      <w:r w:rsidRPr="00E25215">
        <w:rPr>
          <w:rFonts w:cs="Times New Roman"/>
        </w:rPr>
        <w:lastRenderedPageBreak/>
        <w:t xml:space="preserve">Lorentz, K. A., &amp; Minogue, P. J. (2015). Exotic </w:t>
      </w:r>
      <w:r w:rsidRPr="00E25215">
        <w:rPr>
          <w:rFonts w:cs="Times New Roman"/>
          <w:i/>
          <w:iCs/>
        </w:rPr>
        <w:t>Eucalyptus</w:t>
      </w:r>
      <w:r w:rsidRPr="00E25215">
        <w:rPr>
          <w:rFonts w:cs="Times New Roman"/>
        </w:rPr>
        <w:t xml:space="preserve"> plantations in the southeastern US: risk assessment, management and policy approaches. </w:t>
      </w:r>
      <w:r w:rsidRPr="00E25215">
        <w:rPr>
          <w:rFonts w:cs="Times New Roman"/>
          <w:i/>
          <w:iCs/>
        </w:rPr>
        <w:t>Biological Invasions</w:t>
      </w:r>
      <w:r w:rsidRPr="00E25215">
        <w:rPr>
          <w:rFonts w:cs="Times New Roman"/>
        </w:rPr>
        <w:t xml:space="preserve">, </w:t>
      </w:r>
      <w:r w:rsidRPr="00E25215">
        <w:rPr>
          <w:rFonts w:cs="Times New Roman"/>
          <w:i/>
          <w:iCs/>
        </w:rPr>
        <w:t>17</w:t>
      </w:r>
      <w:r w:rsidRPr="00E25215">
        <w:rPr>
          <w:rFonts w:cs="Times New Roman"/>
        </w:rPr>
        <w:t>(6), Article 6. https://doi.org/10.1007/s10530-015-0844-0</w:t>
      </w:r>
    </w:p>
    <w:p w14:paraId="54A718BC"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Lotze, H. K., Lenihan, H. S., Bourque, B. J., Bradbury, R. H., Cooke, R. G., Kay, M. C., Kidwell, S. M., Kirby, M. X., Peterson, C. H., &amp; Jackson, J. B. C. (2006). Depletion, Degradation, and Recovery Potential of Estuaries and Coastal Seas. </w:t>
      </w:r>
      <w:r w:rsidRPr="00E25215">
        <w:rPr>
          <w:rFonts w:cs="Times New Roman"/>
          <w:i/>
          <w:iCs/>
        </w:rPr>
        <w:t>Science</w:t>
      </w:r>
      <w:r w:rsidRPr="00E25215">
        <w:rPr>
          <w:rFonts w:cs="Times New Roman"/>
        </w:rPr>
        <w:t xml:space="preserve">, </w:t>
      </w:r>
      <w:r w:rsidRPr="00E25215">
        <w:rPr>
          <w:rFonts w:cs="Times New Roman"/>
          <w:i/>
          <w:iCs/>
        </w:rPr>
        <w:t>312</w:t>
      </w:r>
      <w:r w:rsidRPr="00E25215">
        <w:rPr>
          <w:rFonts w:cs="Times New Roman"/>
        </w:rPr>
        <w:t>(5781), 1806–1809. https://doi.org/10.1126/science.1128035</w:t>
      </w:r>
    </w:p>
    <w:p w14:paraId="296CB9F1"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Lovette, I., Seutin, G., Ricklefs, R., &amp; Birmingham, E. (1999). The assembly of an island fauna by natural invasion: Sources and temporal patterns in the avian colonization of Barbados. </w:t>
      </w:r>
      <w:r w:rsidRPr="00E25215">
        <w:rPr>
          <w:rFonts w:cs="Times New Roman"/>
          <w:i/>
          <w:iCs/>
        </w:rPr>
        <w:t>Biological Invasions</w:t>
      </w:r>
      <w:r w:rsidRPr="00E25215">
        <w:rPr>
          <w:rFonts w:cs="Times New Roman"/>
        </w:rPr>
        <w:t xml:space="preserve">, </w:t>
      </w:r>
      <w:r w:rsidRPr="00E25215">
        <w:rPr>
          <w:rFonts w:cs="Times New Roman"/>
          <w:i/>
          <w:iCs/>
        </w:rPr>
        <w:t>1</w:t>
      </w:r>
      <w:r w:rsidRPr="00E25215">
        <w:rPr>
          <w:rFonts w:cs="Times New Roman"/>
        </w:rPr>
        <w:t>(1), 33–41. https://doi.org/doi.org/10.1023/A:1010090414598</w:t>
      </w:r>
    </w:p>
    <w:p w14:paraId="4B261DA1"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Lowe, S., Browne, M., Boudjelas, S., &amp; De Poorter, M. (2000). </w:t>
      </w:r>
      <w:r w:rsidRPr="00E25215">
        <w:rPr>
          <w:rFonts w:cs="Times New Roman"/>
          <w:i/>
          <w:iCs/>
        </w:rPr>
        <w:t>100 of the world’s worst invasive alien species: A selection from the global invasive species database</w:t>
      </w:r>
      <w:r w:rsidRPr="00E25215">
        <w:rPr>
          <w:rFonts w:cs="Times New Roman"/>
        </w:rPr>
        <w:t>. Invasive Species Specialist Group Auckland, New Zealand. www.issg.org/booklet.pdf</w:t>
      </w:r>
    </w:p>
    <w:p w14:paraId="104B837B"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Lozon, J. D., &amp; MacIsaac, H. J. (1997). Biological invasions: Are they dependent on disturbance? </w:t>
      </w:r>
      <w:r w:rsidRPr="00E25215">
        <w:rPr>
          <w:rFonts w:cs="Times New Roman"/>
          <w:i/>
          <w:iCs/>
        </w:rPr>
        <w:t>Environmental Reviews</w:t>
      </w:r>
      <w:r w:rsidRPr="00E25215">
        <w:rPr>
          <w:rFonts w:cs="Times New Roman"/>
        </w:rPr>
        <w:t xml:space="preserve">, </w:t>
      </w:r>
      <w:r w:rsidRPr="00E25215">
        <w:rPr>
          <w:rFonts w:cs="Times New Roman"/>
          <w:i/>
          <w:iCs/>
        </w:rPr>
        <w:t>5</w:t>
      </w:r>
      <w:r w:rsidRPr="00E25215">
        <w:rPr>
          <w:rFonts w:cs="Times New Roman"/>
        </w:rPr>
        <w:t>(2), 131–144. https://doi.org/10.1139/a97-007</w:t>
      </w:r>
    </w:p>
    <w:p w14:paraId="3BFFBEEE"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Luce, C., Morgan, P., Dwire, K., Isaak, D., Holden, Z., Rieman, B., Gresswell, R., Rinne, J., Neville, H., Gresswell, R., Dunham, J., Rosenberger, A., &amp; Young, M. (2012). Climate Change, Forests, Fire, Water, and Fish: Building resilient landscapes, streams, and managers. </w:t>
      </w:r>
      <w:r w:rsidRPr="00E25215">
        <w:rPr>
          <w:rFonts w:cs="Times New Roman"/>
          <w:i/>
          <w:iCs/>
        </w:rPr>
        <w:t>JFSP Synthesis Reports</w:t>
      </w:r>
      <w:r w:rsidRPr="00E25215">
        <w:rPr>
          <w:rFonts w:cs="Times New Roman"/>
        </w:rPr>
        <w:t>. https://digitalcommons.unl.edu/jfspsynthesis/2</w:t>
      </w:r>
    </w:p>
    <w:p w14:paraId="5D4C819B"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Luláková, P., Perez-Mon, C., Šantrůčková, H., Ruethi, J., &amp; Frey, B. (2019). High-Alpine Permafrost and Active-Layer Soil Microbiomes Differ in Their Response to Elevated Temperatures. </w:t>
      </w:r>
      <w:r w:rsidRPr="00E25215">
        <w:rPr>
          <w:rFonts w:cs="Times New Roman"/>
          <w:i/>
          <w:iCs/>
        </w:rPr>
        <w:t>Frontiers in Microbiology</w:t>
      </w:r>
      <w:r w:rsidRPr="00E25215">
        <w:rPr>
          <w:rFonts w:cs="Times New Roman"/>
        </w:rPr>
        <w:t xml:space="preserve">, </w:t>
      </w:r>
      <w:r w:rsidRPr="00E25215">
        <w:rPr>
          <w:rFonts w:cs="Times New Roman"/>
          <w:i/>
          <w:iCs/>
        </w:rPr>
        <w:t>10</w:t>
      </w:r>
      <w:r w:rsidRPr="00E25215">
        <w:rPr>
          <w:rFonts w:cs="Times New Roman"/>
        </w:rPr>
        <w:t>, 668. https://doi.org/10.3389/fmicb.2019.00668</w:t>
      </w:r>
    </w:p>
    <w:p w14:paraId="5B150CA5"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Lunt, I. D., Byrne, M., Hellmann, J. J., Mitchell, N. J., Garnett, S. T., Hayward, M. W., Martin, T. G., McDonald-Maddden, E., Williams, S. E., &amp; Zander, K. K. (2013). Using assisted colonisation to conserve biodiversity and restore ecosystem function under climate change. </w:t>
      </w:r>
      <w:r w:rsidRPr="00E25215">
        <w:rPr>
          <w:rFonts w:cs="Times New Roman"/>
          <w:i/>
          <w:iCs/>
        </w:rPr>
        <w:t>Biological Conservation</w:t>
      </w:r>
      <w:r w:rsidRPr="00E25215">
        <w:rPr>
          <w:rFonts w:cs="Times New Roman"/>
        </w:rPr>
        <w:t xml:space="preserve">, </w:t>
      </w:r>
      <w:r w:rsidRPr="00E25215">
        <w:rPr>
          <w:rFonts w:cs="Times New Roman"/>
          <w:i/>
          <w:iCs/>
        </w:rPr>
        <w:t>157</w:t>
      </w:r>
      <w:r w:rsidRPr="00E25215">
        <w:rPr>
          <w:rFonts w:cs="Times New Roman"/>
        </w:rPr>
        <w:t>, 172–177. https://doi.org/10.1016/j.biocon.2012.08.034</w:t>
      </w:r>
    </w:p>
    <w:p w14:paraId="51930103"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Luo, D., Wei, H., Chaichana, R., Yang, D., Gu, D., Mu, X., Xu, M., Yang, Y., Jin, S., &amp; Hu, Y. (2019). Current status and potential risks of established alien fish species in China. </w:t>
      </w:r>
      <w:r w:rsidRPr="00E25215">
        <w:rPr>
          <w:rFonts w:cs="Times New Roman"/>
          <w:i/>
          <w:iCs/>
        </w:rPr>
        <w:t>Aquatic Ecosystem Health &amp; Management</w:t>
      </w:r>
      <w:r w:rsidRPr="00E25215">
        <w:rPr>
          <w:rFonts w:cs="Times New Roman"/>
        </w:rPr>
        <w:t xml:space="preserve">, </w:t>
      </w:r>
      <w:r w:rsidRPr="00E25215">
        <w:rPr>
          <w:rFonts w:cs="Times New Roman"/>
          <w:i/>
          <w:iCs/>
        </w:rPr>
        <w:t>22</w:t>
      </w:r>
      <w:r w:rsidRPr="00E25215">
        <w:rPr>
          <w:rFonts w:cs="Times New Roman"/>
        </w:rPr>
        <w:t>(4), 371–384. https://doi.org/10.1080/14634988.2019.1693226</w:t>
      </w:r>
    </w:p>
    <w:p w14:paraId="0F9ABF96"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Luomba, J. O. (2016). </w:t>
      </w:r>
      <w:r w:rsidRPr="00E25215">
        <w:rPr>
          <w:rFonts w:cs="Times New Roman"/>
          <w:i/>
          <w:iCs/>
        </w:rPr>
        <w:t>Illegal, unreported and unregulated (IUU) fishing as a governability problem: A case study of Lake Victoria, Tanzania</w:t>
      </w:r>
      <w:r w:rsidRPr="00E25215">
        <w:rPr>
          <w:rFonts w:cs="Times New Roman"/>
        </w:rPr>
        <w:t xml:space="preserve"> [Masters, Memorial University of Newfoundland]. https://research.library.mun.ca/12424/</w:t>
      </w:r>
    </w:p>
    <w:p w14:paraId="3EB49BC2"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Macdonald, S. E., Landhäusser, S. M., Skousen, J., Franklin, J., Frouz, J., Hall, S., Jacobs, D. F., &amp; Quideau, S. (2015). Forest restoration following surface mining disturbance: Challenges and solutions. </w:t>
      </w:r>
      <w:r w:rsidRPr="00E25215">
        <w:rPr>
          <w:rFonts w:cs="Times New Roman"/>
          <w:i/>
          <w:iCs/>
        </w:rPr>
        <w:t>New Forests</w:t>
      </w:r>
      <w:r w:rsidRPr="00E25215">
        <w:rPr>
          <w:rFonts w:cs="Times New Roman"/>
        </w:rPr>
        <w:t xml:space="preserve">, </w:t>
      </w:r>
      <w:r w:rsidRPr="00E25215">
        <w:rPr>
          <w:rFonts w:cs="Times New Roman"/>
          <w:i/>
          <w:iCs/>
        </w:rPr>
        <w:t>46</w:t>
      </w:r>
      <w:r w:rsidRPr="00E25215">
        <w:rPr>
          <w:rFonts w:cs="Times New Roman"/>
        </w:rPr>
        <w:t>(5), 703–732. https://doi.org/10.1007/s11056-015-9506-4</w:t>
      </w:r>
    </w:p>
    <w:p w14:paraId="31C83925"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Maceda-Veiga, A., Escribano-Alacid, J., de Sostoa, A., &amp; Garcia-Berthou, E. (2013). The aquarium trade as a potential source of fish introductions in southwestern Europe. </w:t>
      </w:r>
      <w:r w:rsidRPr="00E25215">
        <w:rPr>
          <w:rFonts w:cs="Times New Roman"/>
          <w:i/>
          <w:iCs/>
        </w:rPr>
        <w:t>Biological Invasions</w:t>
      </w:r>
      <w:r w:rsidRPr="00E25215">
        <w:rPr>
          <w:rFonts w:cs="Times New Roman"/>
        </w:rPr>
        <w:t xml:space="preserve">, </w:t>
      </w:r>
      <w:r w:rsidRPr="00E25215">
        <w:rPr>
          <w:rFonts w:cs="Times New Roman"/>
          <w:i/>
          <w:iCs/>
        </w:rPr>
        <w:t>15</w:t>
      </w:r>
      <w:r w:rsidRPr="00E25215">
        <w:rPr>
          <w:rFonts w:cs="Times New Roman"/>
        </w:rPr>
        <w:t>(12), 2707–2716. https://doi.org/10.1007/s10530-013-0485-0</w:t>
      </w:r>
    </w:p>
    <w:p w14:paraId="694507D9"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Madzivanzira, T. C., South, J., Wood, L. E., Nunes, A. L., &amp; Weyl, O. L. F. (2021). A Review of Freshwater Crayfish Introductions in Africa. </w:t>
      </w:r>
      <w:r w:rsidRPr="00E25215">
        <w:rPr>
          <w:rFonts w:cs="Times New Roman"/>
          <w:i/>
          <w:iCs/>
        </w:rPr>
        <w:t>Reviews in Fisheries Science &amp; Aquaculture</w:t>
      </w:r>
      <w:r w:rsidRPr="00E25215">
        <w:rPr>
          <w:rFonts w:cs="Times New Roman"/>
        </w:rPr>
        <w:t xml:space="preserve">, </w:t>
      </w:r>
      <w:r w:rsidRPr="00E25215">
        <w:rPr>
          <w:rFonts w:cs="Times New Roman"/>
          <w:i/>
          <w:iCs/>
        </w:rPr>
        <w:t>29</w:t>
      </w:r>
      <w:r w:rsidRPr="00E25215">
        <w:rPr>
          <w:rFonts w:cs="Times New Roman"/>
        </w:rPr>
        <w:t>(2), 218–241. https://doi.org/10.1080/23308249.2020.1802405</w:t>
      </w:r>
    </w:p>
    <w:p w14:paraId="184AEDA5"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Magalhães, A. L. B. de, &amp; Jacobi, C. M. (2010). E-commerce of freshwater aquarium fishes: Potential disseminator of exotic species in Brazil. </w:t>
      </w:r>
      <w:r w:rsidRPr="00E25215">
        <w:rPr>
          <w:rFonts w:cs="Times New Roman"/>
          <w:i/>
          <w:iCs/>
        </w:rPr>
        <w:t>Acta Scientiarum. Biological Sciences</w:t>
      </w:r>
      <w:r w:rsidRPr="00E25215">
        <w:rPr>
          <w:rFonts w:cs="Times New Roman"/>
        </w:rPr>
        <w:t xml:space="preserve">, </w:t>
      </w:r>
      <w:r w:rsidRPr="00E25215">
        <w:rPr>
          <w:rFonts w:cs="Times New Roman"/>
          <w:i/>
          <w:iCs/>
        </w:rPr>
        <w:t>32</w:t>
      </w:r>
      <w:r w:rsidRPr="00E25215">
        <w:rPr>
          <w:rFonts w:cs="Times New Roman"/>
        </w:rPr>
        <w:t>(3), 243–248. https://doi.org/10.4025/actascibiolsci.v32i3.3919</w:t>
      </w:r>
    </w:p>
    <w:p w14:paraId="0D8B964E"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Malumbres-Olarte, J., Barratt, B. I., Vink, C. J., Paterson, A. M., Cruickshank, R. H., Ferguson, C. M., &amp; Barton, D. M. (2014). Big and aerial invaders: Dominance of exotic spiders in burned New Zealand tussock grasslands. </w:t>
      </w:r>
      <w:r w:rsidRPr="00E25215">
        <w:rPr>
          <w:rFonts w:cs="Times New Roman"/>
          <w:i/>
          <w:iCs/>
        </w:rPr>
        <w:t>Biological Invasions</w:t>
      </w:r>
      <w:r w:rsidRPr="00E25215">
        <w:rPr>
          <w:rFonts w:cs="Times New Roman"/>
        </w:rPr>
        <w:t xml:space="preserve">, </w:t>
      </w:r>
      <w:r w:rsidRPr="00E25215">
        <w:rPr>
          <w:rFonts w:cs="Times New Roman"/>
          <w:i/>
          <w:iCs/>
        </w:rPr>
        <w:t>16</w:t>
      </w:r>
      <w:r w:rsidRPr="00E25215">
        <w:rPr>
          <w:rFonts w:cs="Times New Roman"/>
        </w:rPr>
        <w:t>(11), 2311–2322. https://doi.org/10.1007/s10530-014-0666-5</w:t>
      </w:r>
    </w:p>
    <w:p w14:paraId="3F11ED20" w14:textId="77777777" w:rsidR="001379C0" w:rsidRPr="00E25215" w:rsidRDefault="001379C0" w:rsidP="009B3E7F">
      <w:pPr>
        <w:pStyle w:val="Bibliography"/>
        <w:spacing w:before="0" w:after="0" w:line="240" w:lineRule="auto"/>
        <w:rPr>
          <w:rFonts w:cs="Times New Roman"/>
        </w:rPr>
      </w:pPr>
      <w:r w:rsidRPr="00E25215">
        <w:rPr>
          <w:rFonts w:cs="Times New Roman"/>
        </w:rPr>
        <w:lastRenderedPageBreak/>
        <w:t xml:space="preserve">Mandle, L., Bufford, J. L., Schmidt, I. B., &amp; Daehler, C. C. (2011). Woody exotic plant invasions and fire: Reciprocal impacts and consequences for native ecosystems. </w:t>
      </w:r>
      <w:r w:rsidRPr="00E25215">
        <w:rPr>
          <w:rFonts w:cs="Times New Roman"/>
          <w:i/>
          <w:iCs/>
        </w:rPr>
        <w:t>Biological Invasions</w:t>
      </w:r>
      <w:r w:rsidRPr="00E25215">
        <w:rPr>
          <w:rFonts w:cs="Times New Roman"/>
        </w:rPr>
        <w:t xml:space="preserve">, </w:t>
      </w:r>
      <w:r w:rsidRPr="00E25215">
        <w:rPr>
          <w:rFonts w:cs="Times New Roman"/>
          <w:i/>
          <w:iCs/>
        </w:rPr>
        <w:t>13</w:t>
      </w:r>
      <w:r w:rsidRPr="00E25215">
        <w:rPr>
          <w:rFonts w:cs="Times New Roman"/>
        </w:rPr>
        <w:t>(8), 1815–1827. https://doi.org/10.1007/s10530-011-0001-3</w:t>
      </w:r>
    </w:p>
    <w:p w14:paraId="2DC2C6B5"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Mandon-Dalger, I., Clergeau, P., Tassin, J., Rivière, J.-N., &amp; Gatti, S. (2004). Relationships between Alien Plants and an Alien Bird Species on Reunion Island. </w:t>
      </w:r>
      <w:r w:rsidRPr="00E25215">
        <w:rPr>
          <w:rFonts w:cs="Times New Roman"/>
          <w:i/>
          <w:iCs/>
        </w:rPr>
        <w:t>Journal of Tropical Ecology</w:t>
      </w:r>
      <w:r w:rsidRPr="00E25215">
        <w:rPr>
          <w:rFonts w:cs="Times New Roman"/>
        </w:rPr>
        <w:t xml:space="preserve">, </w:t>
      </w:r>
      <w:r w:rsidRPr="00E25215">
        <w:rPr>
          <w:rFonts w:cs="Times New Roman"/>
          <w:i/>
          <w:iCs/>
        </w:rPr>
        <w:t>20</w:t>
      </w:r>
      <w:r w:rsidRPr="00E25215">
        <w:rPr>
          <w:rFonts w:cs="Times New Roman"/>
        </w:rPr>
        <w:t>(6), 635–642. https://www.jstor.org/stable/4092109</w:t>
      </w:r>
    </w:p>
    <w:p w14:paraId="244DDEAE"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Manzoor, S. A., Griffiths, G., &amp; Lukac, M. (2021). Land use and climate change interaction triggers contrasting trajectories of biological invasion. </w:t>
      </w:r>
      <w:r w:rsidRPr="00E25215">
        <w:rPr>
          <w:rFonts w:cs="Times New Roman"/>
          <w:i/>
          <w:iCs/>
        </w:rPr>
        <w:t>Ecological Indicators</w:t>
      </w:r>
      <w:r w:rsidRPr="00E25215">
        <w:rPr>
          <w:rFonts w:cs="Times New Roman"/>
        </w:rPr>
        <w:t xml:space="preserve">, </w:t>
      </w:r>
      <w:r w:rsidRPr="00E25215">
        <w:rPr>
          <w:rFonts w:cs="Times New Roman"/>
          <w:i/>
          <w:iCs/>
        </w:rPr>
        <w:t>120</w:t>
      </w:r>
      <w:r w:rsidRPr="00E25215">
        <w:rPr>
          <w:rFonts w:cs="Times New Roman"/>
        </w:rPr>
        <w:t>, 106936. https://doi.org/10.1016/j.ecolind.2020.106936</w:t>
      </w:r>
    </w:p>
    <w:p w14:paraId="5A647347"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Marbuah, G., Gren, I.-M., &amp; McKie, B. (2014). Economics of Harmful Invasive Species: A Review. </w:t>
      </w:r>
      <w:r w:rsidRPr="00E25215">
        <w:rPr>
          <w:rFonts w:cs="Times New Roman"/>
          <w:i/>
          <w:iCs/>
        </w:rPr>
        <w:t>Diversity</w:t>
      </w:r>
      <w:r w:rsidRPr="00E25215">
        <w:rPr>
          <w:rFonts w:cs="Times New Roman"/>
        </w:rPr>
        <w:t xml:space="preserve">, </w:t>
      </w:r>
      <w:r w:rsidRPr="00E25215">
        <w:rPr>
          <w:rFonts w:cs="Times New Roman"/>
          <w:i/>
          <w:iCs/>
        </w:rPr>
        <w:t>6</w:t>
      </w:r>
      <w:r w:rsidRPr="00E25215">
        <w:rPr>
          <w:rFonts w:cs="Times New Roman"/>
        </w:rPr>
        <w:t>(3), 500–523. https://doi.org/10.3390/d6030500</w:t>
      </w:r>
    </w:p>
    <w:p w14:paraId="5AA7623A"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Marín-Guirao, L., Bernardeau-Esteller, J., Ruiz, J. M., &amp; Sandoval-Gil, J. M. (2015). Resistance of </w:t>
      </w:r>
      <w:r w:rsidRPr="00E25215">
        <w:rPr>
          <w:rFonts w:cs="Times New Roman"/>
          <w:i/>
          <w:iCs/>
        </w:rPr>
        <w:t>Posidonia oceanica</w:t>
      </w:r>
      <w:r w:rsidRPr="00E25215">
        <w:rPr>
          <w:rFonts w:cs="Times New Roman"/>
        </w:rPr>
        <w:t xml:space="preserve"> seagrass meadows to the spread of the introduced green alga </w:t>
      </w:r>
      <w:r w:rsidRPr="00E25215">
        <w:rPr>
          <w:rFonts w:cs="Times New Roman"/>
          <w:i/>
          <w:iCs/>
        </w:rPr>
        <w:t>Caulerpa cylindracea</w:t>
      </w:r>
      <w:r w:rsidRPr="00E25215">
        <w:rPr>
          <w:rFonts w:cs="Times New Roman"/>
        </w:rPr>
        <w:t xml:space="preserve">: Assessment of the role of light. </w:t>
      </w:r>
      <w:r w:rsidRPr="00E25215">
        <w:rPr>
          <w:rFonts w:cs="Times New Roman"/>
          <w:i/>
          <w:iCs/>
        </w:rPr>
        <w:t>Biological Invasions</w:t>
      </w:r>
      <w:r w:rsidRPr="00E25215">
        <w:rPr>
          <w:rFonts w:cs="Times New Roman"/>
        </w:rPr>
        <w:t xml:space="preserve">, </w:t>
      </w:r>
      <w:r w:rsidRPr="00E25215">
        <w:rPr>
          <w:rFonts w:cs="Times New Roman"/>
          <w:i/>
          <w:iCs/>
        </w:rPr>
        <w:t>17</w:t>
      </w:r>
      <w:r w:rsidRPr="00E25215">
        <w:rPr>
          <w:rFonts w:cs="Times New Roman"/>
        </w:rPr>
        <w:t>(7), 1989–2009. https://doi.org/10.1007/s10530-015-0852-0</w:t>
      </w:r>
    </w:p>
    <w:p w14:paraId="62703970"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Marini, L., Battisti, A., Bona, E., Federici, G., Martini, F., Pautasso, M., &amp; Hulme, P. E. (2012). Alien and native plant life-forms respond differently to human and climate pressures. </w:t>
      </w:r>
      <w:r w:rsidRPr="00E25215">
        <w:rPr>
          <w:rFonts w:cs="Times New Roman"/>
          <w:i/>
          <w:iCs/>
        </w:rPr>
        <w:t>Global Ecology and Biogeography</w:t>
      </w:r>
      <w:r w:rsidRPr="00E25215">
        <w:rPr>
          <w:rFonts w:cs="Times New Roman"/>
        </w:rPr>
        <w:t xml:space="preserve">, </w:t>
      </w:r>
      <w:r w:rsidRPr="00E25215">
        <w:rPr>
          <w:rFonts w:cs="Times New Roman"/>
          <w:i/>
          <w:iCs/>
        </w:rPr>
        <w:t>21</w:t>
      </w:r>
      <w:r w:rsidRPr="00E25215">
        <w:rPr>
          <w:rFonts w:cs="Times New Roman"/>
        </w:rPr>
        <w:t>(5), 534–544. https://doi.org/10.1111/j.1466-8238.2011.00702.x</w:t>
      </w:r>
    </w:p>
    <w:p w14:paraId="06586CE3"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Marler, T. E., &amp; Krishnapillai, M. V. (2020). Longitude, Forest Fragmentation, and Plant Size Influence </w:t>
      </w:r>
      <w:r w:rsidRPr="00E25215">
        <w:rPr>
          <w:rFonts w:cs="Times New Roman"/>
          <w:i/>
          <w:iCs/>
        </w:rPr>
        <w:t>Cycas micronesica</w:t>
      </w:r>
      <w:r w:rsidRPr="00E25215">
        <w:rPr>
          <w:rFonts w:cs="Times New Roman"/>
        </w:rPr>
        <w:t xml:space="preserve"> Mortality Following Island Insect Invasions. </w:t>
      </w:r>
      <w:r w:rsidRPr="00E25215">
        <w:rPr>
          <w:rFonts w:cs="Times New Roman"/>
          <w:i/>
          <w:iCs/>
        </w:rPr>
        <w:t>Diversity</w:t>
      </w:r>
      <w:r w:rsidRPr="00E25215">
        <w:rPr>
          <w:rFonts w:cs="Times New Roman"/>
        </w:rPr>
        <w:t xml:space="preserve">, </w:t>
      </w:r>
      <w:r w:rsidRPr="00E25215">
        <w:rPr>
          <w:rFonts w:cs="Times New Roman"/>
          <w:i/>
          <w:iCs/>
        </w:rPr>
        <w:t>12</w:t>
      </w:r>
      <w:r w:rsidRPr="00E25215">
        <w:rPr>
          <w:rFonts w:cs="Times New Roman"/>
        </w:rPr>
        <w:t>(5), 194. https://doi.org/10.3390/d12050194</w:t>
      </w:r>
    </w:p>
    <w:p w14:paraId="0955E2DC"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Maron, J., &amp; Marler, M. (2007). Native plant diversity resists invasion at both low and high resource levels. </w:t>
      </w:r>
      <w:r w:rsidRPr="00E25215">
        <w:rPr>
          <w:rFonts w:cs="Times New Roman"/>
          <w:i/>
          <w:iCs/>
        </w:rPr>
        <w:t>Ecology</w:t>
      </w:r>
      <w:r w:rsidRPr="00E25215">
        <w:rPr>
          <w:rFonts w:cs="Times New Roman"/>
        </w:rPr>
        <w:t xml:space="preserve">, </w:t>
      </w:r>
      <w:r w:rsidRPr="00E25215">
        <w:rPr>
          <w:rFonts w:cs="Times New Roman"/>
          <w:i/>
          <w:iCs/>
        </w:rPr>
        <w:t>88</w:t>
      </w:r>
      <w:r w:rsidRPr="00E25215">
        <w:rPr>
          <w:rFonts w:cs="Times New Roman"/>
        </w:rPr>
        <w:t>(10), 2651–2661. https://doi.org/10.1890/06-1993.1</w:t>
      </w:r>
    </w:p>
    <w:p w14:paraId="3EECD3B6"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Marrack, L. (2016). Modeling Potential Shifts in Hawaiian Anchialine Pool Habitat and Introduced Fish Distribution due to Sea Level Rise. </w:t>
      </w:r>
      <w:r w:rsidRPr="00E25215">
        <w:rPr>
          <w:rFonts w:cs="Times New Roman"/>
          <w:i/>
          <w:iCs/>
        </w:rPr>
        <w:t>Estuaries and Coasts</w:t>
      </w:r>
      <w:r w:rsidRPr="00E25215">
        <w:rPr>
          <w:rFonts w:cs="Times New Roman"/>
        </w:rPr>
        <w:t xml:space="preserve">, </w:t>
      </w:r>
      <w:r w:rsidRPr="00E25215">
        <w:rPr>
          <w:rFonts w:cs="Times New Roman"/>
          <w:i/>
          <w:iCs/>
        </w:rPr>
        <w:t>39</w:t>
      </w:r>
      <w:r w:rsidRPr="00E25215">
        <w:rPr>
          <w:rFonts w:cs="Times New Roman"/>
        </w:rPr>
        <w:t>(3), 781–797. https://doi.org/10.1007/s12237-015-0025-5</w:t>
      </w:r>
    </w:p>
    <w:p w14:paraId="1E82B307"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Marshall, B. E. (2018). Guilty as charged: Nile perch was the cause of the haplochromine decline in Lake Victoria. </w:t>
      </w:r>
      <w:r w:rsidRPr="00E25215">
        <w:rPr>
          <w:rFonts w:cs="Times New Roman"/>
          <w:i/>
          <w:iCs/>
        </w:rPr>
        <w:t>Canadian Journal of Fisheries and Aquatic Sciences</w:t>
      </w:r>
      <w:r w:rsidRPr="00E25215">
        <w:rPr>
          <w:rFonts w:cs="Times New Roman"/>
        </w:rPr>
        <w:t xml:space="preserve">, </w:t>
      </w:r>
      <w:r w:rsidRPr="00E25215">
        <w:rPr>
          <w:rFonts w:cs="Times New Roman"/>
          <w:i/>
          <w:iCs/>
        </w:rPr>
        <w:t>75</w:t>
      </w:r>
      <w:r w:rsidRPr="00E25215">
        <w:rPr>
          <w:rFonts w:cs="Times New Roman"/>
        </w:rPr>
        <w:t>(9), 1542–1559. https://doi.org/10.1139/cjfas-2017-0056</w:t>
      </w:r>
    </w:p>
    <w:p w14:paraId="171AD914" w14:textId="77777777" w:rsidR="001379C0" w:rsidRPr="00E25215" w:rsidRDefault="001379C0" w:rsidP="009B3E7F">
      <w:pPr>
        <w:pStyle w:val="Bibliography"/>
        <w:spacing w:before="0" w:after="0" w:line="240" w:lineRule="auto"/>
        <w:rPr>
          <w:rFonts w:cs="Times New Roman"/>
        </w:rPr>
      </w:pPr>
      <w:r w:rsidRPr="00E25215">
        <w:rPr>
          <w:rFonts w:cs="Times New Roman"/>
        </w:rPr>
        <w:t>Marshall, V. M., Lewis, M. M., &amp; Ostendorf, B. (2012). Buffel grass (</w:t>
      </w:r>
      <w:r w:rsidRPr="00E25215">
        <w:rPr>
          <w:rFonts w:cs="Times New Roman"/>
          <w:i/>
          <w:iCs/>
        </w:rPr>
        <w:t>Cenchrus ciliaris</w:t>
      </w:r>
      <w:r w:rsidRPr="00E25215">
        <w:rPr>
          <w:rFonts w:cs="Times New Roman"/>
        </w:rPr>
        <w:t xml:space="preserve">) as an invader and threat to biodiversity in arid environments: A review. </w:t>
      </w:r>
      <w:r w:rsidRPr="00E25215">
        <w:rPr>
          <w:rFonts w:cs="Times New Roman"/>
          <w:i/>
          <w:iCs/>
        </w:rPr>
        <w:t>Journal of Arid Environments</w:t>
      </w:r>
      <w:r w:rsidRPr="00E25215">
        <w:rPr>
          <w:rFonts w:cs="Times New Roman"/>
        </w:rPr>
        <w:t xml:space="preserve">, </w:t>
      </w:r>
      <w:r w:rsidRPr="00E25215">
        <w:rPr>
          <w:rFonts w:cs="Times New Roman"/>
          <w:i/>
          <w:iCs/>
        </w:rPr>
        <w:t>78</w:t>
      </w:r>
      <w:r w:rsidRPr="00E25215">
        <w:rPr>
          <w:rFonts w:cs="Times New Roman"/>
        </w:rPr>
        <w:t>, 1–12. https://doi.org/10.1016/j.jaridenv.2011.11.005</w:t>
      </w:r>
    </w:p>
    <w:p w14:paraId="7C069D51"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Martin, T. G., Murphy, H., Liedloff, A., Thomas, C., Chadès, I., Cook, G., Fensham, R., McIvor, J., &amp; van Klinken, R. D. (2015). Buffel grass and climate change: A framework for projecting invasive species distributions when data are scarce. </w:t>
      </w:r>
      <w:r w:rsidRPr="00E25215">
        <w:rPr>
          <w:rFonts w:cs="Times New Roman"/>
          <w:i/>
          <w:iCs/>
        </w:rPr>
        <w:t>Biological Invasions</w:t>
      </w:r>
      <w:r w:rsidRPr="00E25215">
        <w:rPr>
          <w:rFonts w:cs="Times New Roman"/>
        </w:rPr>
        <w:t xml:space="preserve">, </w:t>
      </w:r>
      <w:r w:rsidRPr="00E25215">
        <w:rPr>
          <w:rFonts w:cs="Times New Roman"/>
          <w:i/>
          <w:iCs/>
        </w:rPr>
        <w:t>17</w:t>
      </w:r>
      <w:r w:rsidRPr="00E25215">
        <w:rPr>
          <w:rFonts w:cs="Times New Roman"/>
        </w:rPr>
        <w:t>(11), 3197–3210. https://doi.org/10.1007/s10530-015-0945-9</w:t>
      </w:r>
    </w:p>
    <w:p w14:paraId="24CE3074"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Martinez-Cordero, F. J., &amp; Sanchez-Zazueta, E. (2022). Poverty and vulnerability assessment of tilapia farmers in the southwestern States of Oaxaca, Guerrero, and Chiapas in Mexico. </w:t>
      </w:r>
      <w:r w:rsidRPr="00E25215">
        <w:rPr>
          <w:rFonts w:cs="Times New Roman"/>
          <w:i/>
          <w:iCs/>
        </w:rPr>
        <w:t>Aquaculture Economics &amp; Management</w:t>
      </w:r>
      <w:r w:rsidRPr="00E25215">
        <w:rPr>
          <w:rFonts w:cs="Times New Roman"/>
        </w:rPr>
        <w:t xml:space="preserve">, </w:t>
      </w:r>
      <w:r w:rsidRPr="00E25215">
        <w:rPr>
          <w:rFonts w:cs="Times New Roman"/>
          <w:i/>
          <w:iCs/>
        </w:rPr>
        <w:t>26</w:t>
      </w:r>
      <w:r w:rsidRPr="00E25215">
        <w:rPr>
          <w:rFonts w:cs="Times New Roman"/>
        </w:rPr>
        <w:t>(1), 36–56. https://doi.org/10.1080/13657305.2021.1896604</w:t>
      </w:r>
    </w:p>
    <w:p w14:paraId="152587B8"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Mason, S. C., Palmer, G., Fox, R., Gillings, S., Hill, J. K., Thomas, C. D., &amp; Oliver, T. H. (2015). Geographical range margins of many taxonomic groups continue to shift polewards. </w:t>
      </w:r>
      <w:r w:rsidRPr="00E25215">
        <w:rPr>
          <w:rFonts w:cs="Times New Roman"/>
          <w:i/>
          <w:iCs/>
        </w:rPr>
        <w:t>Biological Journal of the Linnean Society</w:t>
      </w:r>
      <w:r w:rsidRPr="00E25215">
        <w:rPr>
          <w:rFonts w:cs="Times New Roman"/>
        </w:rPr>
        <w:t xml:space="preserve">, </w:t>
      </w:r>
      <w:r w:rsidRPr="00E25215">
        <w:rPr>
          <w:rFonts w:cs="Times New Roman"/>
          <w:i/>
          <w:iCs/>
        </w:rPr>
        <w:t>115</w:t>
      </w:r>
      <w:r w:rsidRPr="00E25215">
        <w:rPr>
          <w:rFonts w:cs="Times New Roman"/>
        </w:rPr>
        <w:t>(3), 586–597. https://doi.org/10.1111/bij.12574</w:t>
      </w:r>
    </w:p>
    <w:p w14:paraId="5BD44C73" w14:textId="77777777" w:rsidR="001379C0" w:rsidRPr="00E25215" w:rsidRDefault="001379C0" w:rsidP="009B3E7F">
      <w:pPr>
        <w:pStyle w:val="Bibliography"/>
        <w:spacing w:before="0" w:after="0" w:line="240" w:lineRule="auto"/>
        <w:rPr>
          <w:rFonts w:cs="Times New Roman"/>
        </w:rPr>
      </w:pPr>
      <w:r w:rsidRPr="00E25215">
        <w:rPr>
          <w:rFonts w:cs="Times New Roman"/>
        </w:rPr>
        <w:t>Massa, C., Doyle, M., &amp; Fortunato, R. C. (2014). On how Cattle Egret (</w:t>
      </w:r>
      <w:r w:rsidRPr="00E25215">
        <w:rPr>
          <w:rFonts w:cs="Times New Roman"/>
          <w:i/>
          <w:iCs/>
        </w:rPr>
        <w:t>Bubulcus ibis</w:t>
      </w:r>
      <w:r w:rsidRPr="00E25215">
        <w:rPr>
          <w:rFonts w:cs="Times New Roman"/>
        </w:rPr>
        <w:t xml:space="preserve">) spread to the Americas: Meteorological tools to assess probable colonization trajectories. </w:t>
      </w:r>
      <w:r w:rsidRPr="00E25215">
        <w:rPr>
          <w:rFonts w:cs="Times New Roman"/>
          <w:i/>
          <w:iCs/>
        </w:rPr>
        <w:t>International Journal of Biometeorology</w:t>
      </w:r>
      <w:r w:rsidRPr="00E25215">
        <w:rPr>
          <w:rFonts w:cs="Times New Roman"/>
        </w:rPr>
        <w:t xml:space="preserve">, </w:t>
      </w:r>
      <w:r w:rsidRPr="00E25215">
        <w:rPr>
          <w:rFonts w:cs="Times New Roman"/>
          <w:i/>
          <w:iCs/>
        </w:rPr>
        <w:t>58</w:t>
      </w:r>
      <w:r w:rsidRPr="00E25215">
        <w:rPr>
          <w:rFonts w:cs="Times New Roman"/>
        </w:rPr>
        <w:t>, 1879–1891. https://doi.org/10.1007/s00484-014-0790-z</w:t>
      </w:r>
    </w:p>
    <w:p w14:paraId="7A85B0DD"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Masters, G., &amp; Norgrove, L. (2010). </w:t>
      </w:r>
      <w:r w:rsidRPr="00E25215">
        <w:rPr>
          <w:rFonts w:cs="Times New Roman"/>
          <w:i/>
          <w:iCs/>
        </w:rPr>
        <w:t>Climate change and invasive alien species</w:t>
      </w:r>
      <w:r w:rsidRPr="00E25215">
        <w:rPr>
          <w:rFonts w:cs="Times New Roman"/>
        </w:rPr>
        <w:t xml:space="preserve"> (p. 30) [CABI Working Paper 1]. https://www.cabi.org/Uploads/CABI/expertise/invasive-alien-species-working-paper.pdf</w:t>
      </w:r>
    </w:p>
    <w:p w14:paraId="75DF0D5C" w14:textId="77777777" w:rsidR="001379C0" w:rsidRPr="00E25215" w:rsidRDefault="001379C0" w:rsidP="009B3E7F">
      <w:pPr>
        <w:pStyle w:val="Bibliography"/>
        <w:spacing w:before="0" w:after="0" w:line="240" w:lineRule="auto"/>
        <w:rPr>
          <w:rFonts w:cs="Times New Roman"/>
        </w:rPr>
      </w:pPr>
      <w:r w:rsidRPr="00E25215">
        <w:rPr>
          <w:rFonts w:cs="Times New Roman"/>
        </w:rPr>
        <w:lastRenderedPageBreak/>
        <w:t xml:space="preserve">Maus, V., Giljum, S., Gutschlhofer, J., da Silva, D. M., Probst, M., Gass, S. L. B., Luckeneder, S., Lieber, M., &amp; McCallum, I. (2020). A global-scale data set of mining areas. </w:t>
      </w:r>
      <w:r w:rsidRPr="00E25215">
        <w:rPr>
          <w:rFonts w:cs="Times New Roman"/>
          <w:i/>
          <w:iCs/>
        </w:rPr>
        <w:t>Scientific Data</w:t>
      </w:r>
      <w:r w:rsidRPr="00E25215">
        <w:rPr>
          <w:rFonts w:cs="Times New Roman"/>
        </w:rPr>
        <w:t xml:space="preserve">, </w:t>
      </w:r>
      <w:r w:rsidRPr="00E25215">
        <w:rPr>
          <w:rFonts w:cs="Times New Roman"/>
          <w:i/>
          <w:iCs/>
        </w:rPr>
        <w:t>7</w:t>
      </w:r>
      <w:r w:rsidRPr="00E25215">
        <w:rPr>
          <w:rFonts w:cs="Times New Roman"/>
        </w:rPr>
        <w:t>(1), Article 1. https://doi.org/10.1038/s41597-020-00624-w</w:t>
      </w:r>
    </w:p>
    <w:p w14:paraId="09108507"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Mayer, K., Haeuser, E., Dawson, W., Essl, F., Kreft, H., Pergl, J., Pyšek, P., Weigelt, P., Winter, M., Lenzner, B., &amp; van Kleunen, M. (2017). Naturalization of ornamental plant species in public green spaces and private gardens. </w:t>
      </w:r>
      <w:r w:rsidRPr="00E25215">
        <w:rPr>
          <w:rFonts w:cs="Times New Roman"/>
          <w:i/>
          <w:iCs/>
        </w:rPr>
        <w:t>Biological Invasions</w:t>
      </w:r>
      <w:r w:rsidRPr="00E25215">
        <w:rPr>
          <w:rFonts w:cs="Times New Roman"/>
        </w:rPr>
        <w:t xml:space="preserve">, </w:t>
      </w:r>
      <w:r w:rsidRPr="00E25215">
        <w:rPr>
          <w:rFonts w:cs="Times New Roman"/>
          <w:i/>
          <w:iCs/>
        </w:rPr>
        <w:t>19</w:t>
      </w:r>
      <w:r w:rsidRPr="00E25215">
        <w:rPr>
          <w:rFonts w:cs="Times New Roman"/>
        </w:rPr>
        <w:t>(12), Article 12. https://doi.org/10.1007/s10530-017-1594-y</w:t>
      </w:r>
    </w:p>
    <w:p w14:paraId="59CC01BB"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Mayonde, S. G., Cron, G. V., Gaskin, J. F., &amp; Byrne, M. J. (2015). Evidence of </w:t>
      </w:r>
      <w:r w:rsidRPr="00E25215">
        <w:rPr>
          <w:rFonts w:cs="Times New Roman"/>
          <w:i/>
          <w:iCs/>
        </w:rPr>
        <w:t>Tamarix</w:t>
      </w:r>
      <w:r w:rsidRPr="00E25215">
        <w:rPr>
          <w:rFonts w:cs="Times New Roman"/>
        </w:rPr>
        <w:t xml:space="preserve"> hybrids in South Africa, as inferred by nuclear ITS and plastid </w:t>
      </w:r>
      <w:r w:rsidRPr="00E25215">
        <w:rPr>
          <w:rFonts w:cs="Times New Roman"/>
          <w:i/>
          <w:iCs/>
        </w:rPr>
        <w:t>trn</w:t>
      </w:r>
      <w:r w:rsidRPr="00E25215">
        <w:rPr>
          <w:rFonts w:cs="Times New Roman"/>
        </w:rPr>
        <w:t>S–</w:t>
      </w:r>
      <w:r w:rsidRPr="00E25215">
        <w:rPr>
          <w:rFonts w:cs="Times New Roman"/>
          <w:i/>
          <w:iCs/>
        </w:rPr>
        <w:t>trn</w:t>
      </w:r>
      <w:r w:rsidRPr="00E25215">
        <w:rPr>
          <w:rFonts w:cs="Times New Roman"/>
        </w:rPr>
        <w:t xml:space="preserve">G DNA sequences. </w:t>
      </w:r>
      <w:r w:rsidRPr="00E25215">
        <w:rPr>
          <w:rFonts w:cs="Times New Roman"/>
          <w:i/>
          <w:iCs/>
        </w:rPr>
        <w:t>South African Journal of Botany</w:t>
      </w:r>
      <w:r w:rsidRPr="00E25215">
        <w:rPr>
          <w:rFonts w:cs="Times New Roman"/>
        </w:rPr>
        <w:t xml:space="preserve">, </w:t>
      </w:r>
      <w:r w:rsidRPr="00E25215">
        <w:rPr>
          <w:rFonts w:cs="Times New Roman"/>
          <w:i/>
          <w:iCs/>
        </w:rPr>
        <w:t>96</w:t>
      </w:r>
      <w:r w:rsidRPr="00E25215">
        <w:rPr>
          <w:rFonts w:cs="Times New Roman"/>
        </w:rPr>
        <w:t>, 122–131. https://doi.org/10.1016/j.sajb.2014.10.011</w:t>
      </w:r>
    </w:p>
    <w:p w14:paraId="026B58E0"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Mazur, M. C., Kowalski, K., &amp; David Galbraith, D. (2014). Assessment of suitable habitat for </w:t>
      </w:r>
      <w:r w:rsidRPr="00E25215">
        <w:rPr>
          <w:rFonts w:cs="Times New Roman"/>
          <w:i/>
          <w:iCs/>
        </w:rPr>
        <w:t>Phragmites australis</w:t>
      </w:r>
      <w:r w:rsidRPr="00E25215">
        <w:rPr>
          <w:rFonts w:cs="Times New Roman"/>
        </w:rPr>
        <w:t xml:space="preserve"> (common reed) in the Great Lakes coastal zone. </w:t>
      </w:r>
      <w:r w:rsidRPr="00E25215">
        <w:rPr>
          <w:rFonts w:cs="Times New Roman"/>
          <w:i/>
          <w:iCs/>
        </w:rPr>
        <w:t>Aquatic Invasions</w:t>
      </w:r>
      <w:r w:rsidRPr="00E25215">
        <w:rPr>
          <w:rFonts w:cs="Times New Roman"/>
        </w:rPr>
        <w:t xml:space="preserve">, </w:t>
      </w:r>
      <w:r w:rsidRPr="00E25215">
        <w:rPr>
          <w:rFonts w:cs="Times New Roman"/>
          <w:i/>
          <w:iCs/>
        </w:rPr>
        <w:t>9</w:t>
      </w:r>
      <w:r w:rsidRPr="00E25215">
        <w:rPr>
          <w:rFonts w:cs="Times New Roman"/>
        </w:rPr>
        <w:t>(1), 1–19. https://doi.org/10.3391/ai.2014.9.1.01</w:t>
      </w:r>
    </w:p>
    <w:p w14:paraId="6B3D391A"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Mazza, G., Aquiloni, L., Inghilesi, A. F., Giuliani, C., Lazzaro, L., Ferretti, G., Lastrucci, L., Foggi, B., &amp; Tricarico, E. (2015). Aliens just a click away: The online aquarium trade in Italy. </w:t>
      </w:r>
      <w:r w:rsidRPr="00E25215">
        <w:rPr>
          <w:rFonts w:cs="Times New Roman"/>
          <w:i/>
          <w:iCs/>
        </w:rPr>
        <w:t>Management of Biological Invasions</w:t>
      </w:r>
      <w:r w:rsidRPr="00E25215">
        <w:rPr>
          <w:rFonts w:cs="Times New Roman"/>
        </w:rPr>
        <w:t xml:space="preserve">, </w:t>
      </w:r>
      <w:r w:rsidRPr="00E25215">
        <w:rPr>
          <w:rFonts w:cs="Times New Roman"/>
          <w:i/>
          <w:iCs/>
        </w:rPr>
        <w:t>6</w:t>
      </w:r>
      <w:r w:rsidRPr="00E25215">
        <w:rPr>
          <w:rFonts w:cs="Times New Roman"/>
        </w:rPr>
        <w:t>(3), 253–261. https://doi.org/10.3391/mbi.2015.6.3.04</w:t>
      </w:r>
    </w:p>
    <w:p w14:paraId="26C48F56"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Mazzamuto, M. V., Wauters, L. A., &amp; Koprowski, J. L. (2021). Exotic Pet Trade as a Cause of Biological Invasions: The Case of Tree Squirrels of the Genus </w:t>
      </w:r>
      <w:r w:rsidRPr="00E25215">
        <w:rPr>
          <w:rFonts w:cs="Times New Roman"/>
          <w:i/>
          <w:iCs/>
        </w:rPr>
        <w:t>Callosciurus</w:t>
      </w:r>
      <w:r w:rsidRPr="00E25215">
        <w:rPr>
          <w:rFonts w:cs="Times New Roman"/>
        </w:rPr>
        <w:t xml:space="preserve">. </w:t>
      </w:r>
      <w:r w:rsidRPr="00E25215">
        <w:rPr>
          <w:rFonts w:cs="Times New Roman"/>
          <w:i/>
          <w:iCs/>
        </w:rPr>
        <w:t>Biology</w:t>
      </w:r>
      <w:r w:rsidRPr="00E25215">
        <w:rPr>
          <w:rFonts w:cs="Times New Roman"/>
        </w:rPr>
        <w:t xml:space="preserve">, </w:t>
      </w:r>
      <w:r w:rsidRPr="00E25215">
        <w:rPr>
          <w:rFonts w:cs="Times New Roman"/>
          <w:i/>
          <w:iCs/>
        </w:rPr>
        <w:t>10</w:t>
      </w:r>
      <w:r w:rsidRPr="00E25215">
        <w:rPr>
          <w:rFonts w:cs="Times New Roman"/>
        </w:rPr>
        <w:t>(10), 1046. https://doi.org/10.3390/biology10101046</w:t>
      </w:r>
    </w:p>
    <w:p w14:paraId="5DBBAE95"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McCullough, D. G., Work, T. T., Cavey, J. F., Liebhold, A. M., &amp; Marshall, D. (2006). Interceptions of nonindigenous plant pests at US ports of entry and border crossings over a 17-year period. </w:t>
      </w:r>
      <w:r w:rsidRPr="00E25215">
        <w:rPr>
          <w:rFonts w:cs="Times New Roman"/>
          <w:i/>
          <w:iCs/>
        </w:rPr>
        <w:t>Biological Invasions</w:t>
      </w:r>
      <w:r w:rsidRPr="00E25215">
        <w:rPr>
          <w:rFonts w:cs="Times New Roman"/>
        </w:rPr>
        <w:t xml:space="preserve">, </w:t>
      </w:r>
      <w:r w:rsidRPr="00E25215">
        <w:rPr>
          <w:rFonts w:cs="Times New Roman"/>
          <w:i/>
          <w:iCs/>
        </w:rPr>
        <w:t>8</w:t>
      </w:r>
      <w:r w:rsidRPr="00E25215">
        <w:rPr>
          <w:rFonts w:cs="Times New Roman"/>
        </w:rPr>
        <w:t>(4), 611–630. https://doi.org/10.1007/s10530-005-1798-4</w:t>
      </w:r>
    </w:p>
    <w:p w14:paraId="042569E4"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McDougall, K. L., Alexander, J. M., Haider, S., Pauchard, A., Walsh, N. G., &amp; Kueffer, C. (2011). Alien flora of mountains: Global comparisons for the development of local preventive measures against plant invasions. </w:t>
      </w:r>
      <w:r w:rsidRPr="00E25215">
        <w:rPr>
          <w:rFonts w:cs="Times New Roman"/>
          <w:i/>
          <w:iCs/>
        </w:rPr>
        <w:t>Diversity and Distributions</w:t>
      </w:r>
      <w:r w:rsidRPr="00E25215">
        <w:rPr>
          <w:rFonts w:cs="Times New Roman"/>
        </w:rPr>
        <w:t xml:space="preserve">, </w:t>
      </w:r>
      <w:r w:rsidRPr="00E25215">
        <w:rPr>
          <w:rFonts w:cs="Times New Roman"/>
          <w:i/>
          <w:iCs/>
        </w:rPr>
        <w:t>17</w:t>
      </w:r>
      <w:r w:rsidRPr="00E25215">
        <w:rPr>
          <w:rFonts w:cs="Times New Roman"/>
        </w:rPr>
        <w:t>(1), 103–111. https://doi.org/10.1111/j.1472-4642.2010.00713.x</w:t>
      </w:r>
    </w:p>
    <w:p w14:paraId="2A5C088D"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McGregor, H. W., Legge, S., Jones, M. E., &amp; Johnson, C. N. (2014). Landscape Management of Fire and Grazing Regimes Alters the Fine-Scale Habitat Utilisation by Feral Cats. </w:t>
      </w:r>
      <w:r w:rsidRPr="00E25215">
        <w:rPr>
          <w:rFonts w:cs="Times New Roman"/>
          <w:i/>
          <w:iCs/>
        </w:rPr>
        <w:t>PLoS ONE</w:t>
      </w:r>
      <w:r w:rsidRPr="00E25215">
        <w:rPr>
          <w:rFonts w:cs="Times New Roman"/>
        </w:rPr>
        <w:t xml:space="preserve">, </w:t>
      </w:r>
      <w:r w:rsidRPr="00E25215">
        <w:rPr>
          <w:rFonts w:cs="Times New Roman"/>
          <w:i/>
          <w:iCs/>
        </w:rPr>
        <w:t>9</w:t>
      </w:r>
      <w:r w:rsidRPr="00E25215">
        <w:rPr>
          <w:rFonts w:cs="Times New Roman"/>
        </w:rPr>
        <w:t>(10), e109097. https://doi.org/10.1371/journal.pone.0109097</w:t>
      </w:r>
    </w:p>
    <w:p w14:paraId="27C0CFF5"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McGregor, H. W., Legge, S., Jones, M. E., &amp; Johnson, C. N. (2016). Extraterritorial hunting expeditions to intense fire scars by feral cats. </w:t>
      </w:r>
      <w:r w:rsidRPr="00E25215">
        <w:rPr>
          <w:rFonts w:cs="Times New Roman"/>
          <w:i/>
          <w:iCs/>
        </w:rPr>
        <w:t>Scientific Reports</w:t>
      </w:r>
      <w:r w:rsidRPr="00E25215">
        <w:rPr>
          <w:rFonts w:cs="Times New Roman"/>
        </w:rPr>
        <w:t xml:space="preserve">, </w:t>
      </w:r>
      <w:r w:rsidRPr="00E25215">
        <w:rPr>
          <w:rFonts w:cs="Times New Roman"/>
          <w:i/>
          <w:iCs/>
        </w:rPr>
        <w:t>6</w:t>
      </w:r>
      <w:r w:rsidRPr="00E25215">
        <w:rPr>
          <w:rFonts w:cs="Times New Roman"/>
        </w:rPr>
        <w:t>(1), Article 1. https://doi.org/10.1038/srep22559</w:t>
      </w:r>
    </w:p>
    <w:p w14:paraId="2AF6AF77"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McGregor, K. F., Watt, M. S., Hulme, P. E., &amp; Duncan, R. P. (2012). What determines pine naturalization: Species traits, climate suitability or forestry use? </w:t>
      </w:r>
      <w:r w:rsidRPr="00E25215">
        <w:rPr>
          <w:rFonts w:cs="Times New Roman"/>
          <w:i/>
          <w:iCs/>
        </w:rPr>
        <w:t>Diversity and Distributions</w:t>
      </w:r>
      <w:r w:rsidRPr="00E25215">
        <w:rPr>
          <w:rFonts w:cs="Times New Roman"/>
        </w:rPr>
        <w:t xml:space="preserve">, </w:t>
      </w:r>
      <w:r w:rsidRPr="00E25215">
        <w:rPr>
          <w:rFonts w:cs="Times New Roman"/>
          <w:i/>
          <w:iCs/>
        </w:rPr>
        <w:t>18</w:t>
      </w:r>
      <w:r w:rsidRPr="00E25215">
        <w:rPr>
          <w:rFonts w:cs="Times New Roman"/>
        </w:rPr>
        <w:t>(10), 1013–1023. https://doi.org/10.1111/j.1472-4642.2012.00942.x</w:t>
      </w:r>
    </w:p>
    <w:p w14:paraId="54B62A51"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McKenzie, L. A., Brooks, R. C., &amp; Johnston, E. L. (2012). A widespread contaminant enhances invasion success of a marine invader. </w:t>
      </w:r>
      <w:r w:rsidRPr="00E25215">
        <w:rPr>
          <w:rFonts w:cs="Times New Roman"/>
          <w:i/>
          <w:iCs/>
        </w:rPr>
        <w:t>Journal of Applied Ecology</w:t>
      </w:r>
      <w:r w:rsidRPr="00E25215">
        <w:rPr>
          <w:rFonts w:cs="Times New Roman"/>
        </w:rPr>
        <w:t xml:space="preserve">, </w:t>
      </w:r>
      <w:r w:rsidRPr="00E25215">
        <w:rPr>
          <w:rFonts w:cs="Times New Roman"/>
          <w:i/>
          <w:iCs/>
        </w:rPr>
        <w:t>49</w:t>
      </w:r>
      <w:r w:rsidRPr="00E25215">
        <w:rPr>
          <w:rFonts w:cs="Times New Roman"/>
        </w:rPr>
        <w:t>(4), 767–773. https://doi.org/10.1111/j.1365-2664.2012.02158.x</w:t>
      </w:r>
    </w:p>
    <w:p w14:paraId="6B824734"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McKinney, M. L. (2002). Do human activities raise species richness? Contrasting patterns in United States plants and fishes. </w:t>
      </w:r>
      <w:r w:rsidRPr="00E25215">
        <w:rPr>
          <w:rFonts w:cs="Times New Roman"/>
          <w:i/>
          <w:iCs/>
        </w:rPr>
        <w:t>Global Ecology and Biogeography</w:t>
      </w:r>
      <w:r w:rsidRPr="00E25215">
        <w:rPr>
          <w:rFonts w:cs="Times New Roman"/>
        </w:rPr>
        <w:t xml:space="preserve">, </w:t>
      </w:r>
      <w:r w:rsidRPr="00E25215">
        <w:rPr>
          <w:rFonts w:cs="Times New Roman"/>
          <w:i/>
          <w:iCs/>
        </w:rPr>
        <w:t>11</w:t>
      </w:r>
      <w:r w:rsidRPr="00E25215">
        <w:rPr>
          <w:rFonts w:cs="Times New Roman"/>
        </w:rPr>
        <w:t>(4), 343–348. https://doi.org/10.1046/j.1466-822X.2002.00293.x</w:t>
      </w:r>
    </w:p>
    <w:p w14:paraId="7FF297AA"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McNeely, J. A. (2001). An introduction to human dimensions of invasive alien species. In </w:t>
      </w:r>
      <w:r w:rsidRPr="00E25215">
        <w:rPr>
          <w:rFonts w:cs="Times New Roman"/>
          <w:i/>
          <w:iCs/>
        </w:rPr>
        <w:t>The Great Reshuffling;  Human Dimensions of Invasive Alien Species</w:t>
      </w:r>
      <w:r w:rsidRPr="00E25215">
        <w:rPr>
          <w:rFonts w:cs="Times New Roman"/>
        </w:rPr>
        <w:t xml:space="preserve"> (pp. 1–9). IUCN – The World Conservation Union.</w:t>
      </w:r>
    </w:p>
    <w:p w14:paraId="18B145AD"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McQuaid, C. D., &amp; Phillips, T. E. (2000). Limited wind-driven dispersal of intertidal mussel larvae: </w:t>
      </w:r>
      <w:r w:rsidRPr="00E25215">
        <w:rPr>
          <w:rFonts w:cs="Times New Roman"/>
          <w:i/>
          <w:iCs/>
        </w:rPr>
        <w:t>In situ</w:t>
      </w:r>
      <w:r w:rsidRPr="00E25215">
        <w:rPr>
          <w:rFonts w:cs="Times New Roman"/>
        </w:rPr>
        <w:t xml:space="preserve"> evidence from the plankton and the spread of the invasive species </w:t>
      </w:r>
      <w:r w:rsidRPr="00E25215">
        <w:rPr>
          <w:rFonts w:cs="Times New Roman"/>
          <w:i/>
          <w:iCs/>
        </w:rPr>
        <w:t>Mytilus galloprovincialis</w:t>
      </w:r>
      <w:r w:rsidRPr="00E25215">
        <w:rPr>
          <w:rFonts w:cs="Times New Roman"/>
        </w:rPr>
        <w:t xml:space="preserve"> in South Africa. </w:t>
      </w:r>
      <w:r w:rsidRPr="00E25215">
        <w:rPr>
          <w:rFonts w:cs="Times New Roman"/>
          <w:i/>
          <w:iCs/>
        </w:rPr>
        <w:t>Marine Ecology Progress Series</w:t>
      </w:r>
      <w:r w:rsidRPr="00E25215">
        <w:rPr>
          <w:rFonts w:cs="Times New Roman"/>
        </w:rPr>
        <w:t xml:space="preserve">, </w:t>
      </w:r>
      <w:r w:rsidRPr="00E25215">
        <w:rPr>
          <w:rFonts w:cs="Times New Roman"/>
          <w:i/>
          <w:iCs/>
        </w:rPr>
        <w:t>201</w:t>
      </w:r>
      <w:r w:rsidRPr="00E25215">
        <w:rPr>
          <w:rFonts w:cs="Times New Roman"/>
        </w:rPr>
        <w:t>, 211–220. https://doi.org/10.3354/meps201211</w:t>
      </w:r>
    </w:p>
    <w:p w14:paraId="63CACD7F"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Mdweshu, L., &amp; Maroyi, A. (2020). Short Communication: Local perceptions about utilization of invasive alien species </w:t>
      </w:r>
      <w:r w:rsidRPr="00E25215">
        <w:rPr>
          <w:rFonts w:cs="Times New Roman"/>
          <w:i/>
          <w:iCs/>
        </w:rPr>
        <w:t>Opuntia ficus-indica</w:t>
      </w:r>
      <w:r w:rsidRPr="00E25215">
        <w:rPr>
          <w:rFonts w:cs="Times New Roman"/>
        </w:rPr>
        <w:t xml:space="preserve"> in three Local Municipalities in the Eastern Cape </w:t>
      </w:r>
      <w:r w:rsidRPr="00E25215">
        <w:rPr>
          <w:rFonts w:cs="Times New Roman"/>
        </w:rPr>
        <w:lastRenderedPageBreak/>
        <w:t xml:space="preserve">Province, South Africa. </w:t>
      </w:r>
      <w:r w:rsidRPr="00E25215">
        <w:rPr>
          <w:rFonts w:cs="Times New Roman"/>
          <w:i/>
          <w:iCs/>
        </w:rPr>
        <w:t>Biodiversitas Journal of Biological Diversity</w:t>
      </w:r>
      <w:r w:rsidRPr="00E25215">
        <w:rPr>
          <w:rFonts w:cs="Times New Roman"/>
        </w:rPr>
        <w:t xml:space="preserve">, </w:t>
      </w:r>
      <w:r w:rsidRPr="00E25215">
        <w:rPr>
          <w:rFonts w:cs="Times New Roman"/>
          <w:i/>
          <w:iCs/>
        </w:rPr>
        <w:t>21</w:t>
      </w:r>
      <w:r w:rsidRPr="00E25215">
        <w:rPr>
          <w:rFonts w:cs="Times New Roman"/>
        </w:rPr>
        <w:t>(4), Article 4. https://doi.org/10.13057/biodiv/d210446</w:t>
      </w:r>
    </w:p>
    <w:p w14:paraId="763A5E32"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Mead, A., Griffiths, C. L., Branch, G. M., McQuaid, C. D., Blamey, L. K., Bolton, J. J., Anderson, R. J., Dufois, F., Rouault, M., Froneman, P. W., Whitfield, A. K., Harris, L. R., Nel, R., Pillay, D., &amp; Adams, J. B. (2013). Human-mediated drivers of change—Impacts on coastal ecosystems and marine biota of South Africa. </w:t>
      </w:r>
      <w:r w:rsidRPr="00E25215">
        <w:rPr>
          <w:rFonts w:cs="Times New Roman"/>
          <w:i/>
          <w:iCs/>
        </w:rPr>
        <w:t>African Journal of Marine Science</w:t>
      </w:r>
      <w:r w:rsidRPr="00E25215">
        <w:rPr>
          <w:rFonts w:cs="Times New Roman"/>
        </w:rPr>
        <w:t xml:space="preserve">, </w:t>
      </w:r>
      <w:r w:rsidRPr="00E25215">
        <w:rPr>
          <w:rFonts w:cs="Times New Roman"/>
          <w:i/>
          <w:iCs/>
        </w:rPr>
        <w:t>35</w:t>
      </w:r>
      <w:r w:rsidRPr="00E25215">
        <w:rPr>
          <w:rFonts w:cs="Times New Roman"/>
        </w:rPr>
        <w:t>(3), 403–425. https://doi.org/10.2989/1814232X.2013.830147</w:t>
      </w:r>
    </w:p>
    <w:p w14:paraId="383C94EF"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Measey, J., Visser, V., Dgebuadze, Y., Inderjit, Li, B., Dechoum, M., Ziller, S. R., &amp; Richardson, D. M. (2019). The world needs BRICS countries to build capacity in invasion science. </w:t>
      </w:r>
      <w:r w:rsidRPr="00E25215">
        <w:rPr>
          <w:rFonts w:cs="Times New Roman"/>
          <w:i/>
          <w:iCs/>
        </w:rPr>
        <w:t>PLOS Biology</w:t>
      </w:r>
      <w:r w:rsidRPr="00E25215">
        <w:rPr>
          <w:rFonts w:cs="Times New Roman"/>
        </w:rPr>
        <w:t xml:space="preserve">, </w:t>
      </w:r>
      <w:r w:rsidRPr="00E25215">
        <w:rPr>
          <w:rFonts w:cs="Times New Roman"/>
          <w:i/>
          <w:iCs/>
        </w:rPr>
        <w:t>17</w:t>
      </w:r>
      <w:r w:rsidRPr="00E25215">
        <w:rPr>
          <w:rFonts w:cs="Times New Roman"/>
        </w:rPr>
        <w:t>(9), e3000404. https://doi.org/10.1371/journal.pbio.3000404</w:t>
      </w:r>
    </w:p>
    <w:p w14:paraId="072A568A"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Medley, K. A., Jenkins, D. G., &amp; Hoffman, E. A. (2015). Human-aided and natural dispersal drive gene flow across the range of an invasive mosquito. </w:t>
      </w:r>
      <w:r w:rsidRPr="00E25215">
        <w:rPr>
          <w:rFonts w:cs="Times New Roman"/>
          <w:i/>
          <w:iCs/>
        </w:rPr>
        <w:t>Molecular Ecology</w:t>
      </w:r>
      <w:r w:rsidRPr="00E25215">
        <w:rPr>
          <w:rFonts w:cs="Times New Roman"/>
        </w:rPr>
        <w:t>, 284–295. https://doi.org/10.1111/mec.12925</w:t>
      </w:r>
    </w:p>
    <w:p w14:paraId="7E46AB12"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Megahed, M. E. (2014). Design breeding program for the Indian white shrimp </w:t>
      </w:r>
      <w:r w:rsidRPr="00E25215">
        <w:rPr>
          <w:rFonts w:cs="Times New Roman"/>
          <w:i/>
          <w:iCs/>
        </w:rPr>
        <w:t>Fenneropenaeus indicus</w:t>
      </w:r>
      <w:r w:rsidRPr="00E25215">
        <w:rPr>
          <w:rFonts w:cs="Times New Roman"/>
        </w:rPr>
        <w:t xml:space="preserve"> in Egypt. </w:t>
      </w:r>
      <w:r w:rsidRPr="00E25215">
        <w:rPr>
          <w:rFonts w:cs="Times New Roman"/>
          <w:i/>
          <w:iCs/>
        </w:rPr>
        <w:t>Aquaculture America</w:t>
      </w:r>
      <w:r w:rsidRPr="00E25215">
        <w:rPr>
          <w:rFonts w:cs="Times New Roman"/>
        </w:rPr>
        <w:t>. https://www.researchgate.net/publication/310509811_DESIGN_BREEDING_PROGRAM_FOR_THE_INDIAN_WHITE_SHRIMP_Fenneropenaeus_indicus_IN_EGYPT</w:t>
      </w:r>
    </w:p>
    <w:p w14:paraId="781DC18E"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Meijer, J. R., Huijbregts, M. A. J., Schotten, K. C. G. J., &amp; Schipper, A. M. (2018). Global patterns of current and future road infrastructure. </w:t>
      </w:r>
      <w:r w:rsidRPr="00E25215">
        <w:rPr>
          <w:rFonts w:cs="Times New Roman"/>
          <w:i/>
          <w:iCs/>
        </w:rPr>
        <w:t>Environmental Research Letters</w:t>
      </w:r>
      <w:r w:rsidRPr="00E25215">
        <w:rPr>
          <w:rFonts w:cs="Times New Roman"/>
        </w:rPr>
        <w:t xml:space="preserve">, </w:t>
      </w:r>
      <w:r w:rsidRPr="00E25215">
        <w:rPr>
          <w:rFonts w:cs="Times New Roman"/>
          <w:i/>
          <w:iCs/>
        </w:rPr>
        <w:t>13</w:t>
      </w:r>
      <w:r w:rsidRPr="00E25215">
        <w:rPr>
          <w:rFonts w:cs="Times New Roman"/>
        </w:rPr>
        <w:t>(6), Article 6. https://doi.org/10.1088/1748-9326/aabd42</w:t>
      </w:r>
    </w:p>
    <w:p w14:paraId="289753B5"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Migliorini, D., Ghelardini, L., Tondini, E., Luchi, N., &amp; Santini, A. (2015). The potential of symptomless potted plants for carrying invasive soilborne plant pathogens. </w:t>
      </w:r>
      <w:r w:rsidRPr="00E25215">
        <w:rPr>
          <w:rFonts w:cs="Times New Roman"/>
          <w:i/>
          <w:iCs/>
        </w:rPr>
        <w:t>Diversity and Distributions</w:t>
      </w:r>
      <w:r w:rsidRPr="00E25215">
        <w:rPr>
          <w:rFonts w:cs="Times New Roman"/>
        </w:rPr>
        <w:t xml:space="preserve">, </w:t>
      </w:r>
      <w:r w:rsidRPr="00E25215">
        <w:rPr>
          <w:rFonts w:cs="Times New Roman"/>
          <w:i/>
          <w:iCs/>
        </w:rPr>
        <w:t>21</w:t>
      </w:r>
      <w:r w:rsidRPr="00E25215">
        <w:rPr>
          <w:rFonts w:cs="Times New Roman"/>
        </w:rPr>
        <w:t>(10), 1218–1229. https://doi.org/10.1111/ddi.12347</w:t>
      </w:r>
    </w:p>
    <w:p w14:paraId="5073089D"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Millennium Ecosystem Assessment (Ed.). (2005a). </w:t>
      </w:r>
      <w:r w:rsidRPr="00E25215">
        <w:rPr>
          <w:rFonts w:cs="Times New Roman"/>
          <w:i/>
          <w:iCs/>
        </w:rPr>
        <w:t>Ecosystems and human well-being: Desertification synthesis</w:t>
      </w:r>
      <w:r w:rsidRPr="00E25215">
        <w:rPr>
          <w:rFonts w:cs="Times New Roman"/>
        </w:rPr>
        <w:t>. Island Press.</w:t>
      </w:r>
    </w:p>
    <w:p w14:paraId="681E6246"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Millennium Ecosystem Assessment. (2005b). </w:t>
      </w:r>
      <w:r w:rsidRPr="00E25215">
        <w:rPr>
          <w:rFonts w:cs="Times New Roman"/>
          <w:i/>
          <w:iCs/>
        </w:rPr>
        <w:t>Ecosystems and Human Well-being: Synthesis</w:t>
      </w:r>
      <w:r w:rsidRPr="00E25215">
        <w:rPr>
          <w:rFonts w:cs="Times New Roman"/>
        </w:rPr>
        <w:t>. Island Press.</w:t>
      </w:r>
    </w:p>
    <w:p w14:paraId="70ACFF34" w14:textId="77777777" w:rsidR="001379C0" w:rsidRPr="00E25215" w:rsidRDefault="001379C0" w:rsidP="009B3E7F">
      <w:pPr>
        <w:pStyle w:val="Bibliography"/>
        <w:spacing w:before="0" w:after="0" w:line="240" w:lineRule="auto"/>
        <w:rPr>
          <w:rFonts w:cs="Times New Roman"/>
        </w:rPr>
      </w:pPr>
      <w:r w:rsidRPr="00E25215">
        <w:rPr>
          <w:rFonts w:cs="Times New Roman"/>
        </w:rPr>
        <w:t>Miller, G., Friedel, M., Adam, P., &amp; Chewings, V. (2010). Ecological impacts of buffel grass (</w:t>
      </w:r>
      <w:r w:rsidRPr="00E25215">
        <w:rPr>
          <w:rFonts w:cs="Times New Roman"/>
          <w:i/>
          <w:iCs/>
        </w:rPr>
        <w:t>Cenchrus ciliaris</w:t>
      </w:r>
      <w:r w:rsidRPr="00E25215">
        <w:rPr>
          <w:rFonts w:cs="Times New Roman"/>
        </w:rPr>
        <w:t xml:space="preserve"> L.) invasion in central Australia—Does field evidence support a fire-invasion feedback? </w:t>
      </w:r>
      <w:r w:rsidRPr="00E25215">
        <w:rPr>
          <w:rFonts w:cs="Times New Roman"/>
          <w:i/>
          <w:iCs/>
        </w:rPr>
        <w:t>The Rangeland Journal</w:t>
      </w:r>
      <w:r w:rsidRPr="00E25215">
        <w:rPr>
          <w:rFonts w:cs="Times New Roman"/>
        </w:rPr>
        <w:t xml:space="preserve">, </w:t>
      </w:r>
      <w:r w:rsidRPr="00E25215">
        <w:rPr>
          <w:rFonts w:cs="Times New Roman"/>
          <w:i/>
          <w:iCs/>
        </w:rPr>
        <w:t>32</w:t>
      </w:r>
      <w:r w:rsidRPr="00E25215">
        <w:rPr>
          <w:rFonts w:cs="Times New Roman"/>
        </w:rPr>
        <w:t>(4), 353. https://doi.org/10.1071/RJ09076</w:t>
      </w:r>
    </w:p>
    <w:p w14:paraId="37C75DAF"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Miller, J. A., Carlton, J. T., Chapman, J. W., Geller, J. B., &amp; Ruiz, G. M. (2018). Transoceanic dispersal of the mussel </w:t>
      </w:r>
      <w:r w:rsidRPr="00E25215">
        <w:rPr>
          <w:rFonts w:cs="Times New Roman"/>
          <w:i/>
          <w:iCs/>
        </w:rPr>
        <w:t>Mytilus galloprovincialis</w:t>
      </w:r>
      <w:r w:rsidRPr="00E25215">
        <w:rPr>
          <w:rFonts w:cs="Times New Roman"/>
        </w:rPr>
        <w:t xml:space="preserve"> on Japanese tsunami marine debris: An approach for evaluating rafting of a coastal species at sea. </w:t>
      </w:r>
      <w:r w:rsidRPr="00E25215">
        <w:rPr>
          <w:rFonts w:cs="Times New Roman"/>
          <w:i/>
          <w:iCs/>
        </w:rPr>
        <w:t>Marine Pollution Bulletin</w:t>
      </w:r>
      <w:r w:rsidRPr="00E25215">
        <w:rPr>
          <w:rFonts w:cs="Times New Roman"/>
        </w:rPr>
        <w:t xml:space="preserve">, </w:t>
      </w:r>
      <w:r w:rsidRPr="00E25215">
        <w:rPr>
          <w:rFonts w:cs="Times New Roman"/>
          <w:i/>
          <w:iCs/>
        </w:rPr>
        <w:t>132</w:t>
      </w:r>
      <w:r w:rsidRPr="00E25215">
        <w:rPr>
          <w:rFonts w:cs="Times New Roman"/>
        </w:rPr>
        <w:t>, 60–69. https://doi.org/10.1016/j.marpolbul.2017.10.040</w:t>
      </w:r>
    </w:p>
    <w:p w14:paraId="7661DCB6"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Mineur, F., Belsher, T., Johnson, M. P., Maggs, C. A., &amp; Verlaque, M. (2007). Experimental assessment of oyster transfers as a vector for macroalgal introductions. </w:t>
      </w:r>
      <w:r w:rsidRPr="00E25215">
        <w:rPr>
          <w:rFonts w:cs="Times New Roman"/>
          <w:i/>
          <w:iCs/>
        </w:rPr>
        <w:t>Biological Conservation</w:t>
      </w:r>
      <w:r w:rsidRPr="00E25215">
        <w:rPr>
          <w:rFonts w:cs="Times New Roman"/>
        </w:rPr>
        <w:t xml:space="preserve">, </w:t>
      </w:r>
      <w:r w:rsidRPr="00E25215">
        <w:rPr>
          <w:rFonts w:cs="Times New Roman"/>
          <w:i/>
          <w:iCs/>
        </w:rPr>
        <w:t>137</w:t>
      </w:r>
      <w:r w:rsidRPr="00E25215">
        <w:rPr>
          <w:rFonts w:cs="Times New Roman"/>
        </w:rPr>
        <w:t>(2), 237–247. https://doi.org/10.1016/j.biocon.2007.02.001</w:t>
      </w:r>
    </w:p>
    <w:p w14:paraId="235D1FAA"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Mineur, F., Cook, E. J., Minchin, D., Bohn, K., MacLeod, A., &amp; Maggs, C. A. (2012). Changing coasts: Marine aliens and artificial structures. In R. N. Gibson, R. J. A. Atkinson, J. D. M. Gordon, &amp; R. N. Hughes (Eds.), </w:t>
      </w:r>
      <w:r w:rsidRPr="00E25215">
        <w:rPr>
          <w:rFonts w:cs="Times New Roman"/>
          <w:i/>
          <w:iCs/>
        </w:rPr>
        <w:t>Oceanography and Marine Biology: An Annual Review</w:t>
      </w:r>
      <w:r w:rsidRPr="00E25215">
        <w:rPr>
          <w:rFonts w:cs="Times New Roman"/>
        </w:rPr>
        <w:t xml:space="preserve"> (First edition, Vol. 50, pp. 189–233). CRC Press. https://www.taylorfrancis.com/chapters/edit/10.1201/b12157-6/changing-coasts-marine-aliens-arti%C2%8Dcial-structures-fr%C3%A9d%C3%A9ric-mineur-elizabeth-cook-dan-minchin-katrin-bohn-adrian-macleod-christine-maggs?context=ubx&amp;refId=2930e715-4984-4ce8-81b6-66fa5cbd65e9</w:t>
      </w:r>
    </w:p>
    <w:p w14:paraId="469485D0"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Mineur, F., Le Roux, A., Maggs, C. A., &amp; Verlaque, M. (2014). Positive feedback loop between introductions of non-native marine species and cultivation of oysters in Europe. </w:t>
      </w:r>
      <w:r w:rsidRPr="00E25215">
        <w:rPr>
          <w:rFonts w:cs="Times New Roman"/>
          <w:i/>
          <w:iCs/>
        </w:rPr>
        <w:t>Conservation Biology: The Journal of the Society for Conservation Biology</w:t>
      </w:r>
      <w:r w:rsidRPr="00E25215">
        <w:rPr>
          <w:rFonts w:cs="Times New Roman"/>
        </w:rPr>
        <w:t xml:space="preserve">, </w:t>
      </w:r>
      <w:r w:rsidRPr="00E25215">
        <w:rPr>
          <w:rFonts w:cs="Times New Roman"/>
          <w:i/>
          <w:iCs/>
        </w:rPr>
        <w:t>28</w:t>
      </w:r>
      <w:r w:rsidRPr="00E25215">
        <w:rPr>
          <w:rFonts w:cs="Times New Roman"/>
        </w:rPr>
        <w:t>(6), 1667–1676. https://doi.org/10.1111/cobi.12363</w:t>
      </w:r>
    </w:p>
    <w:p w14:paraId="4ADE5A39"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Miralles, L., Gomez-Agenjo, M., Rayon-Viña, F., Gyraitė, G., &amp; Garcia-Vazquez, E. (2018). Alert calling in port areas: Marine litter as possible secondary dispersal vector for hitchhiking </w:t>
      </w:r>
      <w:r w:rsidRPr="00E25215">
        <w:rPr>
          <w:rFonts w:cs="Times New Roman"/>
        </w:rPr>
        <w:lastRenderedPageBreak/>
        <w:t xml:space="preserve">invasive species. </w:t>
      </w:r>
      <w:r w:rsidRPr="00E25215">
        <w:rPr>
          <w:rFonts w:cs="Times New Roman"/>
          <w:i/>
          <w:iCs/>
        </w:rPr>
        <w:t>Journal for Nature Conservation</w:t>
      </w:r>
      <w:r w:rsidRPr="00E25215">
        <w:rPr>
          <w:rFonts w:cs="Times New Roman"/>
        </w:rPr>
        <w:t xml:space="preserve">, </w:t>
      </w:r>
      <w:r w:rsidRPr="00E25215">
        <w:rPr>
          <w:rFonts w:cs="Times New Roman"/>
          <w:i/>
          <w:iCs/>
        </w:rPr>
        <w:t>42</w:t>
      </w:r>
      <w:r w:rsidRPr="00E25215">
        <w:rPr>
          <w:rFonts w:cs="Times New Roman"/>
        </w:rPr>
        <w:t>, 12–18. https://doi.org/10.1016/j.jnc.2018.01.005</w:t>
      </w:r>
    </w:p>
    <w:p w14:paraId="4F38187E"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Moles, A. T., Flores-Moreno, H., Bonser, S. P., Warton, D. I., Helm, A., Warman, L., Eldridge, D. J., Jurado, E., Hemmings, F. A., Reich, P. B., Cavender-Bares, J., Seabloom, E. W., Mayfield, M. M., Sheil, D., Djietror, J. C., Peri, P. L., Enrico, L., Cabido, M. R., Setterfield, S. A., … Thomson, F. J. (2012). Invasions: The trail behind, the path ahead, and a test of a disturbing idea. </w:t>
      </w:r>
      <w:r w:rsidRPr="00E25215">
        <w:rPr>
          <w:rFonts w:cs="Times New Roman"/>
          <w:i/>
          <w:iCs/>
        </w:rPr>
        <w:t>Journal of Ecology</w:t>
      </w:r>
      <w:r w:rsidRPr="00E25215">
        <w:rPr>
          <w:rFonts w:cs="Times New Roman"/>
        </w:rPr>
        <w:t xml:space="preserve">, </w:t>
      </w:r>
      <w:r w:rsidRPr="00E25215">
        <w:rPr>
          <w:rFonts w:cs="Times New Roman"/>
          <w:i/>
          <w:iCs/>
        </w:rPr>
        <w:t>100</w:t>
      </w:r>
      <w:r w:rsidRPr="00E25215">
        <w:rPr>
          <w:rFonts w:cs="Times New Roman"/>
        </w:rPr>
        <w:t>(1), Article 1. https://doi.org/10.1111/j.1365-2745.2011.01915.x</w:t>
      </w:r>
    </w:p>
    <w:p w14:paraId="3610872B"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Molina-Montenegro, M. A., Carrasco-Urra, F., Acuna-Rodriguez, I., Oses, R., Torres-Diaz, C., &amp; Chwedorzewska, K. J. (2014). Assessing the importance of human activities for the establishment of the invasive </w:t>
      </w:r>
      <w:r w:rsidRPr="00E25215">
        <w:rPr>
          <w:rFonts w:cs="Times New Roman"/>
          <w:i/>
          <w:iCs/>
        </w:rPr>
        <w:t>Poa annua</w:t>
      </w:r>
      <w:r w:rsidRPr="00E25215">
        <w:rPr>
          <w:rFonts w:cs="Times New Roman"/>
        </w:rPr>
        <w:t xml:space="preserve"> in Antarctica. </w:t>
      </w:r>
      <w:r w:rsidRPr="00E25215">
        <w:rPr>
          <w:rFonts w:cs="Times New Roman"/>
          <w:i/>
          <w:iCs/>
        </w:rPr>
        <w:t>Polar Research</w:t>
      </w:r>
      <w:r w:rsidRPr="00E25215">
        <w:rPr>
          <w:rFonts w:cs="Times New Roman"/>
        </w:rPr>
        <w:t xml:space="preserve">, </w:t>
      </w:r>
      <w:r w:rsidRPr="00E25215">
        <w:rPr>
          <w:rFonts w:cs="Times New Roman"/>
          <w:i/>
          <w:iCs/>
        </w:rPr>
        <w:t>33</w:t>
      </w:r>
      <w:r w:rsidRPr="00E25215">
        <w:rPr>
          <w:rFonts w:cs="Times New Roman"/>
        </w:rPr>
        <w:t>, 21425. https://doi.org/10.3402/polar.v33.21425</w:t>
      </w:r>
    </w:p>
    <w:p w14:paraId="331E5DF4"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Molina-Montenegro, M. A., Carrasco-Urra, F., Rodrigo, C., Convey, P., Valladares, F., &amp; Gianoli, E. (2012). Occurrence of the Non-Native Annual Bluegrass on the Antarctic Mainland and Its Negative Effects on Native Plants. </w:t>
      </w:r>
      <w:r w:rsidRPr="00E25215">
        <w:rPr>
          <w:rFonts w:cs="Times New Roman"/>
          <w:i/>
          <w:iCs/>
        </w:rPr>
        <w:t>Conservation Biology</w:t>
      </w:r>
      <w:r w:rsidRPr="00E25215">
        <w:rPr>
          <w:rFonts w:cs="Times New Roman"/>
        </w:rPr>
        <w:t xml:space="preserve">, </w:t>
      </w:r>
      <w:r w:rsidRPr="00E25215">
        <w:rPr>
          <w:rFonts w:cs="Times New Roman"/>
          <w:i/>
          <w:iCs/>
        </w:rPr>
        <w:t>26</w:t>
      </w:r>
      <w:r w:rsidRPr="00E25215">
        <w:rPr>
          <w:rFonts w:cs="Times New Roman"/>
        </w:rPr>
        <w:t>(4), 717–723. https://doi.org/10.1111/j.1523-1739.2012.01865.x</w:t>
      </w:r>
    </w:p>
    <w:p w14:paraId="2F07319C"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Molnar, J. L., Gamboa, R. L., Revenga, C., &amp; Spalding, M. D. (2008). Assessing the global threat of invasive species to marine biodiversity. </w:t>
      </w:r>
      <w:r w:rsidRPr="00E25215">
        <w:rPr>
          <w:rFonts w:cs="Times New Roman"/>
          <w:i/>
          <w:iCs/>
        </w:rPr>
        <w:t>Frontiers in Ecology and the Environment</w:t>
      </w:r>
      <w:r w:rsidRPr="00E25215">
        <w:rPr>
          <w:rFonts w:cs="Times New Roman"/>
        </w:rPr>
        <w:t xml:space="preserve">, </w:t>
      </w:r>
      <w:r w:rsidRPr="00E25215">
        <w:rPr>
          <w:rFonts w:cs="Times New Roman"/>
          <w:i/>
          <w:iCs/>
        </w:rPr>
        <w:t>6</w:t>
      </w:r>
      <w:r w:rsidRPr="00E25215">
        <w:rPr>
          <w:rFonts w:cs="Times New Roman"/>
        </w:rPr>
        <w:t>(9), 485–492. https://doi.org/10.1890/070064</w:t>
      </w:r>
    </w:p>
    <w:p w14:paraId="4206EA97" w14:textId="77777777" w:rsidR="001379C0" w:rsidRPr="00E25215" w:rsidRDefault="001379C0" w:rsidP="009B3E7F">
      <w:pPr>
        <w:pStyle w:val="Bibliography"/>
        <w:spacing w:before="0" w:after="0" w:line="240" w:lineRule="auto"/>
        <w:rPr>
          <w:rFonts w:cs="Times New Roman"/>
        </w:rPr>
      </w:pPr>
      <w:r w:rsidRPr="00E25215">
        <w:rPr>
          <w:rFonts w:cs="Times New Roman"/>
        </w:rPr>
        <w:t>Montalva, J., Dudley, L., Arroyo, M. K., Retamales, H., &amp; Abrahamovich, A. H. (2011). Geographic distribution and associated flora of native and introduced bumble bees (</w:t>
      </w:r>
      <w:r w:rsidRPr="00E25215">
        <w:rPr>
          <w:rFonts w:cs="Times New Roman"/>
          <w:i/>
          <w:iCs/>
        </w:rPr>
        <w:t>Bombus</w:t>
      </w:r>
      <w:r w:rsidRPr="00E25215">
        <w:rPr>
          <w:rFonts w:cs="Times New Roman"/>
        </w:rPr>
        <w:t xml:space="preserve"> spp.) in Chile. </w:t>
      </w:r>
      <w:r w:rsidRPr="00E25215">
        <w:rPr>
          <w:rFonts w:cs="Times New Roman"/>
          <w:i/>
          <w:iCs/>
        </w:rPr>
        <w:t>Journal of Apicultural Research</w:t>
      </w:r>
      <w:r w:rsidRPr="00E25215">
        <w:rPr>
          <w:rFonts w:cs="Times New Roman"/>
        </w:rPr>
        <w:t xml:space="preserve">, </w:t>
      </w:r>
      <w:r w:rsidRPr="00E25215">
        <w:rPr>
          <w:rFonts w:cs="Times New Roman"/>
          <w:i/>
          <w:iCs/>
        </w:rPr>
        <w:t>50</w:t>
      </w:r>
      <w:r w:rsidRPr="00E25215">
        <w:rPr>
          <w:rFonts w:cs="Times New Roman"/>
        </w:rPr>
        <w:t>(1), 11–21. https://doi.org/10.3896/IBRA.1.50.1.02</w:t>
      </w:r>
    </w:p>
    <w:p w14:paraId="1E62702F"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Montefalcone, M., Morri, C., Bianchi, C. N., Bavestrello, G., &amp; Piazzi, L. (2017). The two facets of species sensitivity: Stress and disturbance on coralligenous assemblages in space and time. </w:t>
      </w:r>
      <w:r w:rsidRPr="00E25215">
        <w:rPr>
          <w:rFonts w:cs="Times New Roman"/>
          <w:i/>
          <w:iCs/>
        </w:rPr>
        <w:t>Marine Pollution Bulletin</w:t>
      </w:r>
      <w:r w:rsidRPr="00E25215">
        <w:rPr>
          <w:rFonts w:cs="Times New Roman"/>
        </w:rPr>
        <w:t xml:space="preserve">, </w:t>
      </w:r>
      <w:r w:rsidRPr="00E25215">
        <w:rPr>
          <w:rFonts w:cs="Times New Roman"/>
          <w:i/>
          <w:iCs/>
        </w:rPr>
        <w:t>117</w:t>
      </w:r>
      <w:r w:rsidRPr="00E25215">
        <w:rPr>
          <w:rFonts w:cs="Times New Roman"/>
        </w:rPr>
        <w:t>(1–2), 229–238. https://doi.org/10.1016/j.marpolbul.2017.01.072</w:t>
      </w:r>
    </w:p>
    <w:p w14:paraId="41767FEF"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Moodley, D., Geerts, S., Richardson, D. M., &amp; Wilson, J. R. U. (2013). Different Traits Determine Introduction, Naturalization and Invasion Success In Woody Plants: Proteaceae as a Test Case. </w:t>
      </w:r>
      <w:r w:rsidRPr="00E25215">
        <w:rPr>
          <w:rFonts w:cs="Times New Roman"/>
          <w:i/>
          <w:iCs/>
        </w:rPr>
        <w:t>PLoS ONE</w:t>
      </w:r>
      <w:r w:rsidRPr="00E25215">
        <w:rPr>
          <w:rFonts w:cs="Times New Roman"/>
        </w:rPr>
        <w:t xml:space="preserve">, </w:t>
      </w:r>
      <w:r w:rsidRPr="00E25215">
        <w:rPr>
          <w:rFonts w:cs="Times New Roman"/>
          <w:i/>
          <w:iCs/>
        </w:rPr>
        <w:t>8</w:t>
      </w:r>
      <w:r w:rsidRPr="00E25215">
        <w:rPr>
          <w:rFonts w:cs="Times New Roman"/>
        </w:rPr>
        <w:t>(9), e75078. https://doi.org/10.1371/journal.pone.0075078</w:t>
      </w:r>
    </w:p>
    <w:p w14:paraId="7A16CAE3"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Moore, B. A. (2005). </w:t>
      </w:r>
      <w:r w:rsidRPr="00E25215">
        <w:rPr>
          <w:rFonts w:cs="Times New Roman"/>
          <w:i/>
          <w:iCs/>
        </w:rPr>
        <w:t>Alien Invasive Species: Impacts on Forests and Forestry—A Review</w:t>
      </w:r>
      <w:r w:rsidRPr="00E25215">
        <w:rPr>
          <w:rFonts w:cs="Times New Roman"/>
        </w:rPr>
        <w:t xml:space="preserve"> (Working Paper 8; Forest Resources Development Service Working Paper FBS/8E). Forest Resources Division FAO. https://www.fao.org/3/j6854e/j6854e00.htm</w:t>
      </w:r>
    </w:p>
    <w:p w14:paraId="57726937"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Morales, C. L., &amp; Aizen, M. A. (2002). Does Invasion of Exotic Plants Promote Invasion of Exotic Flower Visitors? A Case Study from the Temperate Forests of the Southern Andes. </w:t>
      </w:r>
      <w:r w:rsidRPr="00E25215">
        <w:rPr>
          <w:rFonts w:cs="Times New Roman"/>
          <w:i/>
          <w:iCs/>
        </w:rPr>
        <w:t>Biological Invasions</w:t>
      </w:r>
      <w:r w:rsidRPr="00E25215">
        <w:rPr>
          <w:rFonts w:cs="Times New Roman"/>
        </w:rPr>
        <w:t xml:space="preserve">, </w:t>
      </w:r>
      <w:r w:rsidRPr="00E25215">
        <w:rPr>
          <w:rFonts w:cs="Times New Roman"/>
          <w:i/>
          <w:iCs/>
        </w:rPr>
        <w:t>4</w:t>
      </w:r>
      <w:r w:rsidRPr="00E25215">
        <w:rPr>
          <w:rFonts w:cs="Times New Roman"/>
        </w:rPr>
        <w:t>(1), 87–100. https://doi.org/10.1023/A:1020513012689</w:t>
      </w:r>
    </w:p>
    <w:p w14:paraId="5B3B3B78"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Morales, C. L., Arbetman, M. P., Cameron, S. A., &amp; Aizen, M. A. (2013). Rapid ecological replacement of a native bumble bee by invasive species. </w:t>
      </w:r>
      <w:r w:rsidRPr="00E25215">
        <w:rPr>
          <w:rFonts w:cs="Times New Roman"/>
          <w:i/>
          <w:iCs/>
        </w:rPr>
        <w:t>Frontiers in Ecology and the Environment</w:t>
      </w:r>
      <w:r w:rsidRPr="00E25215">
        <w:rPr>
          <w:rFonts w:cs="Times New Roman"/>
        </w:rPr>
        <w:t xml:space="preserve">, </w:t>
      </w:r>
      <w:r w:rsidRPr="00E25215">
        <w:rPr>
          <w:rFonts w:cs="Times New Roman"/>
          <w:i/>
          <w:iCs/>
        </w:rPr>
        <w:t>11</w:t>
      </w:r>
      <w:r w:rsidRPr="00E25215">
        <w:rPr>
          <w:rFonts w:cs="Times New Roman"/>
        </w:rPr>
        <w:t>(10), 529–534. https://doi.org/10.1890/120321</w:t>
      </w:r>
    </w:p>
    <w:p w14:paraId="0A65584B"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Morales, C. L., Sáez, A., Garibaldi, L. A., &amp; Aizen, M. A. (2017). Disruption of Pollination Services by Invasive Pollinator Species. In M. Vilà &amp; P. E. Hulme (Eds.), </w:t>
      </w:r>
      <w:r w:rsidRPr="00E25215">
        <w:rPr>
          <w:rFonts w:cs="Times New Roman"/>
          <w:i/>
          <w:iCs/>
        </w:rPr>
        <w:t>Impact of Biological Invasions on Ecosystem Services</w:t>
      </w:r>
      <w:r w:rsidRPr="00E25215">
        <w:rPr>
          <w:rFonts w:cs="Times New Roman"/>
        </w:rPr>
        <w:t xml:space="preserve"> (Vol. 12, pp. 203–220). Springer International Publishing. https://doi.org/10.1007/978-3-319-45121-3_13</w:t>
      </w:r>
    </w:p>
    <w:p w14:paraId="6CF8E5B9"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Moran, V. C., &amp; Hoffmann, J. H. (2015). The fourteen International Symposia on Biological Control of Weeds, 1969–2014: Delegates, demographics and inferences from the debate on non-target effects. </w:t>
      </w:r>
      <w:r w:rsidRPr="00E25215">
        <w:rPr>
          <w:rFonts w:cs="Times New Roman"/>
          <w:i/>
          <w:iCs/>
        </w:rPr>
        <w:t>Biological Control</w:t>
      </w:r>
      <w:r w:rsidRPr="00E25215">
        <w:rPr>
          <w:rFonts w:cs="Times New Roman"/>
        </w:rPr>
        <w:t xml:space="preserve">, </w:t>
      </w:r>
      <w:r w:rsidRPr="00E25215">
        <w:rPr>
          <w:rFonts w:cs="Times New Roman"/>
          <w:i/>
          <w:iCs/>
        </w:rPr>
        <w:t>87</w:t>
      </w:r>
      <w:r w:rsidRPr="00E25215">
        <w:rPr>
          <w:rFonts w:cs="Times New Roman"/>
        </w:rPr>
        <w:t>, 23–31. https://doi.org/10.1016/j.biocontrol.2015.04.008</w:t>
      </w:r>
    </w:p>
    <w:p w14:paraId="2391D80E"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Morrisey, D., Inglis, G., Neil, K., Bradley, A., &amp; Fitridge, I. (2011). Characterization of the marine aquarium trade and management of associated marine pests in Australia, a country with stringent import biosecurity regulation. </w:t>
      </w:r>
      <w:r w:rsidRPr="00E25215">
        <w:rPr>
          <w:rFonts w:cs="Times New Roman"/>
          <w:i/>
          <w:iCs/>
        </w:rPr>
        <w:t>Environmental Conservation</w:t>
      </w:r>
      <w:r w:rsidRPr="00E25215">
        <w:rPr>
          <w:rFonts w:cs="Times New Roman"/>
        </w:rPr>
        <w:t xml:space="preserve">, </w:t>
      </w:r>
      <w:r w:rsidRPr="00E25215">
        <w:rPr>
          <w:rFonts w:cs="Times New Roman"/>
          <w:i/>
          <w:iCs/>
        </w:rPr>
        <w:t>38</w:t>
      </w:r>
      <w:r w:rsidRPr="00E25215">
        <w:rPr>
          <w:rFonts w:cs="Times New Roman"/>
        </w:rPr>
        <w:t>(1), 89–100. https://doi.org/10.1017/S0376892911000014</w:t>
      </w:r>
    </w:p>
    <w:p w14:paraId="2D1A4FA7" w14:textId="77777777" w:rsidR="001379C0" w:rsidRPr="00E25215" w:rsidRDefault="001379C0" w:rsidP="009B3E7F">
      <w:pPr>
        <w:pStyle w:val="Bibliography"/>
        <w:spacing w:before="0" w:after="0" w:line="240" w:lineRule="auto"/>
        <w:rPr>
          <w:rFonts w:cs="Times New Roman"/>
        </w:rPr>
      </w:pPr>
      <w:r w:rsidRPr="00E25215">
        <w:rPr>
          <w:rFonts w:cs="Times New Roman"/>
        </w:rPr>
        <w:lastRenderedPageBreak/>
        <w:t xml:space="preserve">Morrison, L. W., Porter, S. D., Daniels, E., &amp; Korzukhin, M. D. (2004). Potential Global Range Expansion of the Invasive Fire Ant, </w:t>
      </w:r>
      <w:r w:rsidRPr="00E25215">
        <w:rPr>
          <w:rFonts w:cs="Times New Roman"/>
          <w:i/>
          <w:iCs/>
        </w:rPr>
        <w:t>Solenopsis invicta</w:t>
      </w:r>
      <w:r w:rsidRPr="00E25215">
        <w:rPr>
          <w:rFonts w:cs="Times New Roman"/>
        </w:rPr>
        <w:t xml:space="preserve">. </w:t>
      </w:r>
      <w:r w:rsidRPr="00E25215">
        <w:rPr>
          <w:rFonts w:cs="Times New Roman"/>
          <w:i/>
          <w:iCs/>
        </w:rPr>
        <w:t>Biological Invasions</w:t>
      </w:r>
      <w:r w:rsidRPr="00E25215">
        <w:rPr>
          <w:rFonts w:cs="Times New Roman"/>
        </w:rPr>
        <w:t xml:space="preserve">, </w:t>
      </w:r>
      <w:r w:rsidRPr="00E25215">
        <w:rPr>
          <w:rFonts w:cs="Times New Roman"/>
          <w:i/>
          <w:iCs/>
        </w:rPr>
        <w:t>6</w:t>
      </w:r>
      <w:r w:rsidRPr="00E25215">
        <w:rPr>
          <w:rFonts w:cs="Times New Roman"/>
        </w:rPr>
        <w:t>(2), 183–191. https://doi.org/10.1023/B:BINV.0000022135.96042.90</w:t>
      </w:r>
    </w:p>
    <w:p w14:paraId="656E86D8"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Morse, N. B., Pellissier, P. A., Cianciola, E. N., Brereton, R. L., Sullivan, M. M., Shonka, N. K., Wheeler, T. B., &amp; McDowell, W. H. (2014). Novel ecosystems in the Anthropocene: A revision of the novel ecosystem concept for pragmatic applications. </w:t>
      </w:r>
      <w:r w:rsidRPr="00E25215">
        <w:rPr>
          <w:rFonts w:cs="Times New Roman"/>
          <w:i/>
          <w:iCs/>
        </w:rPr>
        <w:t>Ecology and Society</w:t>
      </w:r>
      <w:r w:rsidRPr="00E25215">
        <w:rPr>
          <w:rFonts w:cs="Times New Roman"/>
        </w:rPr>
        <w:t xml:space="preserve">, </w:t>
      </w:r>
      <w:r w:rsidRPr="00E25215">
        <w:rPr>
          <w:rFonts w:cs="Times New Roman"/>
          <w:i/>
          <w:iCs/>
        </w:rPr>
        <w:t>19</w:t>
      </w:r>
      <w:r w:rsidRPr="00E25215">
        <w:rPr>
          <w:rFonts w:cs="Times New Roman"/>
        </w:rPr>
        <w:t>(2), art12. https://doi.org/10.5751/ES-06192-190212</w:t>
      </w:r>
    </w:p>
    <w:p w14:paraId="5C37E9C1"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Mortensen, D. A., Rauschert, E. S. J., Nord, A. N., &amp; Jones, B. P. (2009). Forest Roads Facilitate the Spread of Invasive Plants. </w:t>
      </w:r>
      <w:r w:rsidRPr="00E25215">
        <w:rPr>
          <w:rFonts w:cs="Times New Roman"/>
          <w:i/>
          <w:iCs/>
        </w:rPr>
        <w:t>Invasive Plant Science and Management</w:t>
      </w:r>
      <w:r w:rsidRPr="00E25215">
        <w:rPr>
          <w:rFonts w:cs="Times New Roman"/>
        </w:rPr>
        <w:t xml:space="preserve">, </w:t>
      </w:r>
      <w:r w:rsidRPr="00E25215">
        <w:rPr>
          <w:rFonts w:cs="Times New Roman"/>
          <w:i/>
          <w:iCs/>
        </w:rPr>
        <w:t>2</w:t>
      </w:r>
      <w:r w:rsidRPr="00E25215">
        <w:rPr>
          <w:rFonts w:cs="Times New Roman"/>
        </w:rPr>
        <w:t>(3), 191–199. https://doi.org/10.1614/IPSM-08-125.1</w:t>
      </w:r>
    </w:p>
    <w:p w14:paraId="680F706C"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Mosina, G. K. E., Maroyi, A., &amp; Potgieter, M. J. (2015). Useful Plants Grown and Maintained in Domestic Gardens of the Capricorn District, Limpopo Province, South Africa. </w:t>
      </w:r>
      <w:r w:rsidRPr="00E25215">
        <w:rPr>
          <w:rFonts w:cs="Times New Roman"/>
          <w:i/>
          <w:iCs/>
        </w:rPr>
        <w:t>Studies on Ethno-Medicine</w:t>
      </w:r>
      <w:r w:rsidRPr="00E25215">
        <w:rPr>
          <w:rFonts w:cs="Times New Roman"/>
        </w:rPr>
        <w:t xml:space="preserve">, </w:t>
      </w:r>
      <w:r w:rsidRPr="00E25215">
        <w:rPr>
          <w:rFonts w:cs="Times New Roman"/>
          <w:i/>
          <w:iCs/>
        </w:rPr>
        <w:t>9</w:t>
      </w:r>
      <w:r w:rsidRPr="00E25215">
        <w:rPr>
          <w:rFonts w:cs="Times New Roman"/>
        </w:rPr>
        <w:t>(1), 43–58. https://doi.org/10.1080/09735070.2015.11905420</w:t>
      </w:r>
    </w:p>
    <w:p w14:paraId="3358BADF"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Mosweu, S., Munyati, C., Kabanda, T., Setshogo, M., &amp; Muzila, M. (2013). </w:t>
      </w:r>
      <w:r w:rsidRPr="00E25215">
        <w:rPr>
          <w:rFonts w:cs="Times New Roman"/>
          <w:i/>
          <w:iCs/>
        </w:rPr>
        <w:t>Prosopis</w:t>
      </w:r>
      <w:r w:rsidRPr="00E25215">
        <w:rPr>
          <w:rFonts w:cs="Times New Roman"/>
        </w:rPr>
        <w:t xml:space="preserve"> L. Invasion in the South-Western Region of Botswana: The Perceptions of Rural Communities and Management Options. </w:t>
      </w:r>
      <w:r w:rsidRPr="00E25215">
        <w:rPr>
          <w:rFonts w:cs="Times New Roman"/>
          <w:i/>
          <w:iCs/>
        </w:rPr>
        <w:t>Natural Resources</w:t>
      </w:r>
      <w:r w:rsidRPr="00E25215">
        <w:rPr>
          <w:rFonts w:cs="Times New Roman"/>
        </w:rPr>
        <w:t xml:space="preserve">, </w:t>
      </w:r>
      <w:r w:rsidRPr="00E25215">
        <w:rPr>
          <w:rFonts w:cs="Times New Roman"/>
          <w:i/>
          <w:iCs/>
        </w:rPr>
        <w:t>4</w:t>
      </w:r>
      <w:r w:rsidRPr="00E25215">
        <w:rPr>
          <w:rFonts w:cs="Times New Roman"/>
        </w:rPr>
        <w:t>(8), Article 8. https://doi.org/10.4236/nr.2013.48061</w:t>
      </w:r>
    </w:p>
    <w:p w14:paraId="6E05DC78"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Mountain Research Initiative EDW Working Group. (2015). Elevation-dependent warming in mountain regions of the world. </w:t>
      </w:r>
      <w:r w:rsidRPr="00E25215">
        <w:rPr>
          <w:rFonts w:cs="Times New Roman"/>
          <w:i/>
          <w:iCs/>
        </w:rPr>
        <w:t>Nature Climate Change</w:t>
      </w:r>
      <w:r w:rsidRPr="00E25215">
        <w:rPr>
          <w:rFonts w:cs="Times New Roman"/>
        </w:rPr>
        <w:t xml:space="preserve">, </w:t>
      </w:r>
      <w:r w:rsidRPr="00E25215">
        <w:rPr>
          <w:rFonts w:cs="Times New Roman"/>
          <w:i/>
          <w:iCs/>
        </w:rPr>
        <w:t>5</w:t>
      </w:r>
      <w:r w:rsidRPr="00E25215">
        <w:rPr>
          <w:rFonts w:cs="Times New Roman"/>
        </w:rPr>
        <w:t>(5), 424–430. https://doi.org/10.1038/nclimate2563</w:t>
      </w:r>
    </w:p>
    <w:p w14:paraId="71E7D12A"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Mueller, J. M., &amp; Hellmann, J. J. (2008). An assessment of invasion risk from assisted migration. </w:t>
      </w:r>
      <w:r w:rsidRPr="00E25215">
        <w:rPr>
          <w:rFonts w:cs="Times New Roman"/>
          <w:i/>
          <w:iCs/>
        </w:rPr>
        <w:t>Conservation Biology</w:t>
      </w:r>
      <w:r w:rsidRPr="00E25215">
        <w:rPr>
          <w:rFonts w:cs="Times New Roman"/>
        </w:rPr>
        <w:t xml:space="preserve">, </w:t>
      </w:r>
      <w:r w:rsidRPr="00E25215">
        <w:rPr>
          <w:rFonts w:cs="Times New Roman"/>
          <w:i/>
          <w:iCs/>
        </w:rPr>
        <w:t>22</w:t>
      </w:r>
      <w:r w:rsidRPr="00E25215">
        <w:rPr>
          <w:rFonts w:cs="Times New Roman"/>
        </w:rPr>
        <w:t>(3), 562–567. https://doi.org/10.1111/j.1523-1739.2008.00952.x</w:t>
      </w:r>
    </w:p>
    <w:p w14:paraId="655035E9"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Mueller, S. E., Thode, A. E., Margolis, E. Q., Yocom, L. L., Young, J. D., &amp; Iniguez, J. M. (2020). Climate relationships with increasing wildfire in the southwestern US from 1984 to 2015. </w:t>
      </w:r>
      <w:r w:rsidRPr="00E25215">
        <w:rPr>
          <w:rFonts w:cs="Times New Roman"/>
          <w:i/>
          <w:iCs/>
        </w:rPr>
        <w:t>Forest Ecology and Management</w:t>
      </w:r>
      <w:r w:rsidRPr="00E25215">
        <w:rPr>
          <w:rFonts w:cs="Times New Roman"/>
        </w:rPr>
        <w:t xml:space="preserve">, </w:t>
      </w:r>
      <w:r w:rsidRPr="00E25215">
        <w:rPr>
          <w:rFonts w:cs="Times New Roman"/>
          <w:i/>
          <w:iCs/>
        </w:rPr>
        <w:t>460</w:t>
      </w:r>
      <w:r w:rsidRPr="00E25215">
        <w:rPr>
          <w:rFonts w:cs="Times New Roman"/>
        </w:rPr>
        <w:t>, 117861. https://doi.org/10.1016/j.foreco.2019.117861</w:t>
      </w:r>
    </w:p>
    <w:p w14:paraId="51311D03"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Mungi, N. A., Coops, N. C., Ramesh, K., &amp; Rawat, G. S. (2018). How global climate change and regional disturbance can expand the invasion risk? Case study of </w:t>
      </w:r>
      <w:r w:rsidRPr="00E25215">
        <w:rPr>
          <w:rFonts w:cs="Times New Roman"/>
          <w:i/>
          <w:iCs/>
        </w:rPr>
        <w:t>Lantana camara</w:t>
      </w:r>
      <w:r w:rsidRPr="00E25215">
        <w:rPr>
          <w:rFonts w:cs="Times New Roman"/>
        </w:rPr>
        <w:t xml:space="preserve"> invasion in the Himalaya. </w:t>
      </w:r>
      <w:r w:rsidRPr="00E25215">
        <w:rPr>
          <w:rFonts w:cs="Times New Roman"/>
          <w:i/>
          <w:iCs/>
        </w:rPr>
        <w:t>Biological Invasions</w:t>
      </w:r>
      <w:r w:rsidRPr="00E25215">
        <w:rPr>
          <w:rFonts w:cs="Times New Roman"/>
        </w:rPr>
        <w:t xml:space="preserve">, </w:t>
      </w:r>
      <w:r w:rsidRPr="00E25215">
        <w:rPr>
          <w:rFonts w:cs="Times New Roman"/>
          <w:i/>
          <w:iCs/>
        </w:rPr>
        <w:t>20</w:t>
      </w:r>
      <w:r w:rsidRPr="00E25215">
        <w:rPr>
          <w:rFonts w:cs="Times New Roman"/>
        </w:rPr>
        <w:t>(7), 1849–1863. https://doi.org/10.1007/s10530-018-1666-7</w:t>
      </w:r>
    </w:p>
    <w:p w14:paraId="6432CF1C"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Munoz, J., Felicisimo, Á. M., Cabezas, F., Burgaz, A. R., &amp; Martinez, I. (2004). Wind as a long-distance dispersal vehicle in the Southern Hemisphere. </w:t>
      </w:r>
      <w:r w:rsidRPr="00E25215">
        <w:rPr>
          <w:rFonts w:cs="Times New Roman"/>
          <w:i/>
          <w:iCs/>
        </w:rPr>
        <w:t>Science</w:t>
      </w:r>
      <w:r w:rsidRPr="00E25215">
        <w:rPr>
          <w:rFonts w:cs="Times New Roman"/>
        </w:rPr>
        <w:t xml:space="preserve">, </w:t>
      </w:r>
      <w:r w:rsidRPr="00E25215">
        <w:rPr>
          <w:rFonts w:cs="Times New Roman"/>
          <w:i/>
          <w:iCs/>
        </w:rPr>
        <w:t>304</w:t>
      </w:r>
      <w:r w:rsidRPr="00E25215">
        <w:rPr>
          <w:rFonts w:cs="Times New Roman"/>
        </w:rPr>
        <w:t>, 1144–1147. https://doi.org/10.1126/science.1095210</w:t>
      </w:r>
    </w:p>
    <w:p w14:paraId="0C4048E8"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Murphy, S. T., &amp; Cheesman, O. D. (2006). </w:t>
      </w:r>
      <w:r w:rsidRPr="00E25215">
        <w:rPr>
          <w:rFonts w:cs="Times New Roman"/>
          <w:i/>
          <w:iCs/>
        </w:rPr>
        <w:t>The Aid Trade—International Assistance Programs as Pathways for the Introduction of Invasive Alien Species</w:t>
      </w:r>
      <w:r w:rsidRPr="00E25215">
        <w:rPr>
          <w:rFonts w:cs="Times New Roman"/>
        </w:rPr>
        <w:t xml:space="preserve"> (Biodiversity Series, p. 50) [A Preliminary Report]. World Bank Environmental Department.</w:t>
      </w:r>
    </w:p>
    <w:p w14:paraId="193996B2"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Murray, C. C., Gartner, H., Gregr, E. J., Chan, K., Pakhomov, E., &amp; Therriault, T. W. (2014). Spatial distribution of marine invasive species: Environmental, demographic and vector drivers. </w:t>
      </w:r>
      <w:r w:rsidRPr="00E25215">
        <w:rPr>
          <w:rFonts w:cs="Times New Roman"/>
          <w:i/>
          <w:iCs/>
        </w:rPr>
        <w:t>Diversity and Distributions</w:t>
      </w:r>
      <w:r w:rsidRPr="00E25215">
        <w:rPr>
          <w:rFonts w:cs="Times New Roman"/>
        </w:rPr>
        <w:t xml:space="preserve">, </w:t>
      </w:r>
      <w:r w:rsidRPr="00E25215">
        <w:rPr>
          <w:rFonts w:cs="Times New Roman"/>
          <w:i/>
          <w:iCs/>
        </w:rPr>
        <w:t>20</w:t>
      </w:r>
      <w:r w:rsidRPr="00E25215">
        <w:rPr>
          <w:rFonts w:cs="Times New Roman"/>
        </w:rPr>
        <w:t>(7), 824–836. https://doi.org/10.1111/ddi.12215</w:t>
      </w:r>
    </w:p>
    <w:p w14:paraId="5156D6CC"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Murray, J. V., Stokes, K. E., &amp; Klinken, R. D. van. (2012). Predicting the potential distribution of a riparian invasive plant: The effects of changing climate, flood regimes and land-use patterns. </w:t>
      </w:r>
      <w:r w:rsidRPr="00E25215">
        <w:rPr>
          <w:rFonts w:cs="Times New Roman"/>
          <w:i/>
          <w:iCs/>
        </w:rPr>
        <w:t>Global Change Biology</w:t>
      </w:r>
      <w:r w:rsidRPr="00E25215">
        <w:rPr>
          <w:rFonts w:cs="Times New Roman"/>
        </w:rPr>
        <w:t xml:space="preserve">, </w:t>
      </w:r>
      <w:r w:rsidRPr="00E25215">
        <w:rPr>
          <w:rFonts w:cs="Times New Roman"/>
          <w:i/>
          <w:iCs/>
        </w:rPr>
        <w:t>18</w:t>
      </w:r>
      <w:r w:rsidRPr="00E25215">
        <w:rPr>
          <w:rFonts w:cs="Times New Roman"/>
        </w:rPr>
        <w:t>(5), 1738–1753. https://doi.org/10.1111/j.1365-2486.2011.02621.x</w:t>
      </w:r>
    </w:p>
    <w:p w14:paraId="0B7B296D"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Mwangi, E., &amp; Swallow, B. (2008). </w:t>
      </w:r>
      <w:r w:rsidRPr="00E25215">
        <w:rPr>
          <w:rFonts w:cs="Times New Roman"/>
          <w:i/>
          <w:iCs/>
        </w:rPr>
        <w:t>Prosopis juliflora</w:t>
      </w:r>
      <w:r w:rsidRPr="00E25215">
        <w:rPr>
          <w:rFonts w:cs="Times New Roman"/>
        </w:rPr>
        <w:t xml:space="preserve"> invasion and rural livelihoods in the Lake Baringo area of Kenya. </w:t>
      </w:r>
      <w:r w:rsidRPr="00E25215">
        <w:rPr>
          <w:rFonts w:cs="Times New Roman"/>
          <w:i/>
          <w:iCs/>
        </w:rPr>
        <w:t>Conservation and Society</w:t>
      </w:r>
      <w:r w:rsidRPr="00E25215">
        <w:rPr>
          <w:rFonts w:cs="Times New Roman"/>
        </w:rPr>
        <w:t xml:space="preserve">, </w:t>
      </w:r>
      <w:r w:rsidRPr="00E25215">
        <w:rPr>
          <w:rFonts w:cs="Times New Roman"/>
          <w:i/>
          <w:iCs/>
        </w:rPr>
        <w:t>6</w:t>
      </w:r>
      <w:r w:rsidRPr="00E25215">
        <w:rPr>
          <w:rFonts w:cs="Times New Roman"/>
        </w:rPr>
        <w:t>(2), 130–140. https://doi.org/10.4103/0972-4923.49207</w:t>
      </w:r>
    </w:p>
    <w:p w14:paraId="0EF101DC"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Myers, K., Parer, I., Wood, D., &amp; Cooke, B. D. (1994). The rabbit in Australia. In H. Thompson &amp; C. King (Eds.), </w:t>
      </w:r>
      <w:r w:rsidRPr="00E25215">
        <w:rPr>
          <w:rFonts w:cs="Times New Roman"/>
          <w:i/>
          <w:iCs/>
        </w:rPr>
        <w:t>The European Rabbit: The History and Biology of a Successful Coloniser</w:t>
      </w:r>
      <w:r w:rsidRPr="00E25215">
        <w:rPr>
          <w:rFonts w:cs="Times New Roman"/>
        </w:rPr>
        <w:t>. Oxford University Press: New York. https://edepot.wur.nl/469421#page=476</w:t>
      </w:r>
    </w:p>
    <w:p w14:paraId="4EE0FE6E"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Nagarajan, S., &amp; Singh, D. V. (1990). Long-distance dispersion of rust pathogens. </w:t>
      </w:r>
      <w:r w:rsidRPr="00E25215">
        <w:rPr>
          <w:rFonts w:cs="Times New Roman"/>
          <w:i/>
          <w:iCs/>
        </w:rPr>
        <w:t>Annual Review of Phytopathology</w:t>
      </w:r>
      <w:r w:rsidRPr="00E25215">
        <w:rPr>
          <w:rFonts w:cs="Times New Roman"/>
        </w:rPr>
        <w:t xml:space="preserve">, </w:t>
      </w:r>
      <w:r w:rsidRPr="00E25215">
        <w:rPr>
          <w:rFonts w:cs="Times New Roman"/>
          <w:i/>
          <w:iCs/>
        </w:rPr>
        <w:t>28</w:t>
      </w:r>
      <w:r w:rsidRPr="00E25215">
        <w:rPr>
          <w:rFonts w:cs="Times New Roman"/>
        </w:rPr>
        <w:t>, 139–153. https://doi.org/10.1146/annurev.py.28.090190.001035</w:t>
      </w:r>
    </w:p>
    <w:p w14:paraId="288DB3EE" w14:textId="77777777" w:rsidR="001379C0" w:rsidRPr="00E25215" w:rsidRDefault="001379C0" w:rsidP="009B3E7F">
      <w:pPr>
        <w:pStyle w:val="Bibliography"/>
        <w:spacing w:before="0" w:after="0" w:line="240" w:lineRule="auto"/>
        <w:rPr>
          <w:rFonts w:cs="Times New Roman"/>
        </w:rPr>
      </w:pPr>
      <w:r w:rsidRPr="00E25215">
        <w:rPr>
          <w:rFonts w:cs="Times New Roman"/>
        </w:rPr>
        <w:lastRenderedPageBreak/>
        <w:t xml:space="preserve">Navarro, L. A., &amp; Phiri, G. (2000). </w:t>
      </w:r>
      <w:r w:rsidRPr="00E25215">
        <w:rPr>
          <w:rFonts w:cs="Times New Roman"/>
          <w:i/>
          <w:iCs/>
        </w:rPr>
        <w:t>Water hyacinth in Africa and the Middle East: A survey of problems and solutions</w:t>
      </w:r>
      <w:r w:rsidRPr="00E25215">
        <w:rPr>
          <w:rFonts w:cs="Times New Roman"/>
        </w:rPr>
        <w:t>.</w:t>
      </w:r>
    </w:p>
    <w:p w14:paraId="5F3C6F80"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Naylor, R. L., Williams, S. L., &amp; Strong, D. R. (2001). Aquaculture—A Gateway for Exotic Species. </w:t>
      </w:r>
      <w:r w:rsidRPr="00E25215">
        <w:rPr>
          <w:rFonts w:cs="Times New Roman"/>
          <w:i/>
          <w:iCs/>
        </w:rPr>
        <w:t>Science</w:t>
      </w:r>
      <w:r w:rsidRPr="00E25215">
        <w:rPr>
          <w:rFonts w:cs="Times New Roman"/>
        </w:rPr>
        <w:t xml:space="preserve">, </w:t>
      </w:r>
      <w:r w:rsidRPr="00E25215">
        <w:rPr>
          <w:rFonts w:cs="Times New Roman"/>
          <w:i/>
          <w:iCs/>
        </w:rPr>
        <w:t>294</w:t>
      </w:r>
      <w:r w:rsidRPr="00E25215">
        <w:rPr>
          <w:rFonts w:cs="Times New Roman"/>
        </w:rPr>
        <w:t>(5547), 1655–1656. https://doi.org/10.1126/science.1064875</w:t>
      </w:r>
    </w:p>
    <w:p w14:paraId="2C8E6AA0"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Neill, P. E., &amp; Arim, M. (2011). Human Health Link to Invasive Species. </w:t>
      </w:r>
      <w:r w:rsidRPr="00E25215">
        <w:rPr>
          <w:rFonts w:cs="Times New Roman"/>
          <w:i/>
          <w:iCs/>
        </w:rPr>
        <w:t>Encyclopedia of Environmental Health</w:t>
      </w:r>
      <w:r w:rsidRPr="00E25215">
        <w:rPr>
          <w:rFonts w:cs="Times New Roman"/>
        </w:rPr>
        <w:t>, 116–123. https://doi.org/10.1016/B978-0-444-52272-6.00528-6</w:t>
      </w:r>
    </w:p>
    <w:p w14:paraId="6E9D4FE4"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Nel, P. J. (1983). </w:t>
      </w:r>
      <w:r w:rsidRPr="00E25215">
        <w:rPr>
          <w:rFonts w:cs="Times New Roman"/>
          <w:i/>
          <w:iCs/>
        </w:rPr>
        <w:t>Deciduous Fruits and Vines: Pests and Diseases and Their Control</w:t>
      </w:r>
      <w:r w:rsidRPr="00E25215">
        <w:rPr>
          <w:rFonts w:cs="Times New Roman"/>
        </w:rPr>
        <w:t>. David Philip, Cape Town, South Africa.</w:t>
      </w:r>
    </w:p>
    <w:p w14:paraId="240EE0E1"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Nelson, G. C., Bennett, E., Berhe, A. A., Cassman, K., DeFries, R., Dietz, T., Dobermann, A., Dobson, A., Janetos, A., Levy, M., Marco, D., Nakicenovic, N., O’Neill, B., Norgaard, R., Petschel-Held, G., Ojima, D., Pingali, P., Watson, R., &amp; Zurek, M. (2006). Anthropogenic drivers of ecosystem change: An overview. </w:t>
      </w:r>
      <w:r w:rsidRPr="00E25215">
        <w:rPr>
          <w:rFonts w:cs="Times New Roman"/>
          <w:i/>
          <w:iCs/>
        </w:rPr>
        <w:t>Ecology and Society</w:t>
      </w:r>
      <w:r w:rsidRPr="00E25215">
        <w:rPr>
          <w:rFonts w:cs="Times New Roman"/>
        </w:rPr>
        <w:t xml:space="preserve">, </w:t>
      </w:r>
      <w:r w:rsidRPr="00E25215">
        <w:rPr>
          <w:rFonts w:cs="Times New Roman"/>
          <w:i/>
          <w:iCs/>
        </w:rPr>
        <w:t>11</w:t>
      </w:r>
      <w:r w:rsidRPr="00E25215">
        <w:rPr>
          <w:rFonts w:cs="Times New Roman"/>
        </w:rPr>
        <w:t>(2), 29. https://www.jstor.org/stable/26266018</w:t>
      </w:r>
    </w:p>
    <w:p w14:paraId="69D5E5BD"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Ni, M., &amp; Hulme, P. E. (2021). Botanic gardens play key roles in the regional distribution of first records of alien plants in China. </w:t>
      </w:r>
      <w:r w:rsidRPr="00E25215">
        <w:rPr>
          <w:rFonts w:cs="Times New Roman"/>
          <w:i/>
          <w:iCs/>
        </w:rPr>
        <w:t>Global Ecology and Biogeography</w:t>
      </w:r>
      <w:r w:rsidRPr="00E25215">
        <w:rPr>
          <w:rFonts w:cs="Times New Roman"/>
        </w:rPr>
        <w:t xml:space="preserve">, </w:t>
      </w:r>
      <w:r w:rsidRPr="00E25215">
        <w:rPr>
          <w:rFonts w:cs="Times New Roman"/>
          <w:i/>
          <w:iCs/>
        </w:rPr>
        <w:t>30</w:t>
      </w:r>
      <w:r w:rsidRPr="00E25215">
        <w:rPr>
          <w:rFonts w:cs="Times New Roman"/>
        </w:rPr>
        <w:t>(8), 1572–1582. https://doi.org/10.1111/geb.13319</w:t>
      </w:r>
    </w:p>
    <w:p w14:paraId="4DDB60DF"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Nicholls, R. J., Hanson, S. E., Lowe, J. A., Warrick, R. A., Lu, X., &amp; Long, A. J. (2014). Sea-level scenarios for evaluating coastal impacts. </w:t>
      </w:r>
      <w:r w:rsidRPr="00E25215">
        <w:rPr>
          <w:rFonts w:cs="Times New Roman"/>
          <w:i/>
          <w:iCs/>
        </w:rPr>
        <w:t>WIREs Climate Change</w:t>
      </w:r>
      <w:r w:rsidRPr="00E25215">
        <w:rPr>
          <w:rFonts w:cs="Times New Roman"/>
        </w:rPr>
        <w:t xml:space="preserve">, </w:t>
      </w:r>
      <w:r w:rsidRPr="00E25215">
        <w:rPr>
          <w:rFonts w:cs="Times New Roman"/>
          <w:i/>
          <w:iCs/>
        </w:rPr>
        <w:t>5</w:t>
      </w:r>
      <w:r w:rsidRPr="00E25215">
        <w:rPr>
          <w:rFonts w:cs="Times New Roman"/>
        </w:rPr>
        <w:t>(1), 129–150. https://doi.org/10.1002/wcc.253</w:t>
      </w:r>
    </w:p>
    <w:p w14:paraId="74202359"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Ning, Z., Xie, T., Liu, Z., Bai, J., &amp; Cui, B. (2019). Native herbivores enhance the resistance of an anthropogenically disturbed salt marsh to </w:t>
      </w:r>
      <w:r w:rsidRPr="00E25215">
        <w:rPr>
          <w:rFonts w:cs="Times New Roman"/>
          <w:i/>
          <w:iCs/>
        </w:rPr>
        <w:t>Spartina alterniflora</w:t>
      </w:r>
      <w:r w:rsidRPr="00E25215">
        <w:rPr>
          <w:rFonts w:cs="Times New Roman"/>
        </w:rPr>
        <w:t xml:space="preserve"> invasion. </w:t>
      </w:r>
      <w:r w:rsidRPr="00E25215">
        <w:rPr>
          <w:rFonts w:cs="Times New Roman"/>
          <w:i/>
          <w:iCs/>
        </w:rPr>
        <w:t>Ecosphere</w:t>
      </w:r>
      <w:r w:rsidRPr="00E25215">
        <w:rPr>
          <w:rFonts w:cs="Times New Roman"/>
        </w:rPr>
        <w:t xml:space="preserve">, </w:t>
      </w:r>
      <w:r w:rsidRPr="00E25215">
        <w:rPr>
          <w:rFonts w:cs="Times New Roman"/>
          <w:i/>
          <w:iCs/>
        </w:rPr>
        <w:t>10</w:t>
      </w:r>
      <w:r w:rsidRPr="00E25215">
        <w:rPr>
          <w:rFonts w:cs="Times New Roman"/>
        </w:rPr>
        <w:t>(1). https://doi.org/10.1002/ecs2.2565</w:t>
      </w:r>
    </w:p>
    <w:p w14:paraId="0FF91375"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Nobis, M. P., Jaeger, J. A. G., &amp; Zimmermann, N. E. (2009). Neophyte species richness at the landscape scale under urban sprawl and climate warming. </w:t>
      </w:r>
      <w:r w:rsidRPr="00E25215">
        <w:rPr>
          <w:rFonts w:cs="Times New Roman"/>
          <w:i/>
          <w:iCs/>
        </w:rPr>
        <w:t>Diversity and Distributions</w:t>
      </w:r>
      <w:r w:rsidRPr="00E25215">
        <w:rPr>
          <w:rFonts w:cs="Times New Roman"/>
        </w:rPr>
        <w:t xml:space="preserve">, </w:t>
      </w:r>
      <w:r w:rsidRPr="00E25215">
        <w:rPr>
          <w:rFonts w:cs="Times New Roman"/>
          <w:i/>
          <w:iCs/>
        </w:rPr>
        <w:t>15</w:t>
      </w:r>
      <w:r w:rsidRPr="00E25215">
        <w:rPr>
          <w:rFonts w:cs="Times New Roman"/>
        </w:rPr>
        <w:t>(6), 928–939. https://doi.org/10.1111/j.1472-4642.2009.00610.x</w:t>
      </w:r>
    </w:p>
    <w:p w14:paraId="616C285F"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Nolan, C., Overpeck, J. T., Allen, J. R., Anderson, P. M., Betancourt, J. L., Binney, H. A., Brewer, S., Bush, M. B., Chase, B. M., &amp; Cheddadi, R. (2018). Past and future global transformation of terrestrial ecosystems under climate change. </w:t>
      </w:r>
      <w:r w:rsidRPr="00E25215">
        <w:rPr>
          <w:rFonts w:cs="Times New Roman"/>
          <w:i/>
          <w:iCs/>
        </w:rPr>
        <w:t>Science</w:t>
      </w:r>
      <w:r w:rsidRPr="00E25215">
        <w:rPr>
          <w:rFonts w:cs="Times New Roman"/>
        </w:rPr>
        <w:t xml:space="preserve">, </w:t>
      </w:r>
      <w:r w:rsidRPr="00E25215">
        <w:rPr>
          <w:rFonts w:cs="Times New Roman"/>
          <w:i/>
          <w:iCs/>
        </w:rPr>
        <w:t>361</w:t>
      </w:r>
      <w:r w:rsidRPr="00E25215">
        <w:rPr>
          <w:rFonts w:cs="Times New Roman"/>
        </w:rPr>
        <w:t>(6405), 920–923. https://doi.org/10.1126/science.aan5360</w:t>
      </w:r>
    </w:p>
    <w:p w14:paraId="0D55BF8C"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Nolan, R. H., Boer, M. M., Collins, L., Resco de Dios, V., Clarke, H., Jenkins, M., Kenny, B., &amp; Bradstock, R. A. (2020). Causes and consequences of eastern Australia’s 2019–20 season of mega-fires. </w:t>
      </w:r>
      <w:r w:rsidRPr="00E25215">
        <w:rPr>
          <w:rFonts w:cs="Times New Roman"/>
          <w:i/>
          <w:iCs/>
        </w:rPr>
        <w:t>Global Change Biology</w:t>
      </w:r>
      <w:r w:rsidRPr="00E25215">
        <w:rPr>
          <w:rFonts w:cs="Times New Roman"/>
        </w:rPr>
        <w:t xml:space="preserve">, </w:t>
      </w:r>
      <w:r w:rsidRPr="00E25215">
        <w:rPr>
          <w:rFonts w:cs="Times New Roman"/>
          <w:i/>
          <w:iCs/>
        </w:rPr>
        <w:t>26</w:t>
      </w:r>
      <w:r w:rsidRPr="00E25215">
        <w:rPr>
          <w:rFonts w:cs="Times New Roman"/>
        </w:rPr>
        <w:t>(3), 1039–1041. https://doi.org/10.1111/gcb.14987</w:t>
      </w:r>
    </w:p>
    <w:p w14:paraId="2DA21B14" w14:textId="77777777" w:rsidR="001379C0" w:rsidRPr="00E25215" w:rsidRDefault="001379C0" w:rsidP="009B3E7F">
      <w:pPr>
        <w:pStyle w:val="Bibliography"/>
        <w:spacing w:before="0" w:after="0" w:line="240" w:lineRule="auto"/>
        <w:rPr>
          <w:rFonts w:cs="Times New Roman"/>
        </w:rPr>
      </w:pPr>
      <w:r w:rsidRPr="00E25215">
        <w:rPr>
          <w:rFonts w:cs="Times New Roman"/>
        </w:rPr>
        <w:t>Nowak, R. S., Ellsworth, D. S., &amp; Smith, S. D. (2004). Functional responses of plants to elevated atmospheric CO</w:t>
      </w:r>
      <w:r w:rsidRPr="00E25215">
        <w:rPr>
          <w:rFonts w:cs="Times New Roman"/>
          <w:vertAlign w:val="subscript"/>
        </w:rPr>
        <w:t>2</w:t>
      </w:r>
      <w:r w:rsidRPr="00E25215">
        <w:rPr>
          <w:rFonts w:cs="Times New Roman"/>
        </w:rPr>
        <w:t xml:space="preserve">—Do photosynthetic and productivity data from FACE experiments support early predictions? </w:t>
      </w:r>
      <w:r w:rsidRPr="00E25215">
        <w:rPr>
          <w:rFonts w:cs="Times New Roman"/>
          <w:i/>
          <w:iCs/>
        </w:rPr>
        <w:t>New Phytologist</w:t>
      </w:r>
      <w:r w:rsidRPr="00E25215">
        <w:rPr>
          <w:rFonts w:cs="Times New Roman"/>
        </w:rPr>
        <w:t xml:space="preserve">, </w:t>
      </w:r>
      <w:r w:rsidRPr="00E25215">
        <w:rPr>
          <w:rFonts w:cs="Times New Roman"/>
          <w:i/>
          <w:iCs/>
        </w:rPr>
        <w:t>162</w:t>
      </w:r>
      <w:r w:rsidRPr="00E25215">
        <w:rPr>
          <w:rFonts w:cs="Times New Roman"/>
        </w:rPr>
        <w:t>(2), 253–280. https://doi.org/10.1111/j.1469-8137.2004.01033.x</w:t>
      </w:r>
    </w:p>
    <w:p w14:paraId="3EF5911A" w14:textId="77777777" w:rsidR="001379C0" w:rsidRPr="00E25215" w:rsidRDefault="001379C0" w:rsidP="009B3E7F">
      <w:pPr>
        <w:pStyle w:val="Bibliography"/>
        <w:spacing w:before="0" w:after="0" w:line="240" w:lineRule="auto"/>
        <w:rPr>
          <w:rFonts w:cs="Times New Roman"/>
        </w:rPr>
      </w:pPr>
      <w:r w:rsidRPr="00E25215">
        <w:rPr>
          <w:rFonts w:cs="Times New Roman"/>
        </w:rPr>
        <w:t>Numbere, A. O. (2019). Impact of Invasive Nypa Palm (</w:t>
      </w:r>
      <w:r w:rsidRPr="00E25215">
        <w:rPr>
          <w:rFonts w:cs="Times New Roman"/>
          <w:i/>
          <w:iCs/>
        </w:rPr>
        <w:t>Nypa Fruticans</w:t>
      </w:r>
      <w:r w:rsidRPr="00E25215">
        <w:rPr>
          <w:rFonts w:cs="Times New Roman"/>
        </w:rPr>
        <w:t xml:space="preserve">) on Mangroves in Coastal Areas of the Niger Delta Region, Nigeria. In C. Makowski &amp; C. W. Finkl (Eds.), </w:t>
      </w:r>
      <w:r w:rsidRPr="00E25215">
        <w:rPr>
          <w:rFonts w:cs="Times New Roman"/>
          <w:i/>
          <w:iCs/>
        </w:rPr>
        <w:t>Impacts of Invasive Species on Coastal Environments: Coasts in Crisis</w:t>
      </w:r>
      <w:r w:rsidRPr="00E25215">
        <w:rPr>
          <w:rFonts w:cs="Times New Roman"/>
        </w:rPr>
        <w:t xml:space="preserve"> (pp. 425–454). Springer International Publishing. https://doi.org/10.1007/978-3-319-91382-7_13</w:t>
      </w:r>
    </w:p>
    <w:p w14:paraId="6DCC6D2E"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Nunes, A. L., Tricarico, E., Panov, V. E., Cardoso, A. C., &amp; Katsanevakis, S. (2015). Pathways and gateways of freshwater invasions in Europe. </w:t>
      </w:r>
      <w:r w:rsidRPr="00E25215">
        <w:rPr>
          <w:rFonts w:cs="Times New Roman"/>
          <w:i/>
          <w:iCs/>
        </w:rPr>
        <w:t>Aquatic Invasions</w:t>
      </w:r>
      <w:r w:rsidRPr="00E25215">
        <w:rPr>
          <w:rFonts w:cs="Times New Roman"/>
        </w:rPr>
        <w:t xml:space="preserve">, </w:t>
      </w:r>
      <w:r w:rsidRPr="00E25215">
        <w:rPr>
          <w:rFonts w:cs="Times New Roman"/>
          <w:i/>
          <w:iCs/>
        </w:rPr>
        <w:t>10</w:t>
      </w:r>
      <w:r w:rsidRPr="00E25215">
        <w:rPr>
          <w:rFonts w:cs="Times New Roman"/>
        </w:rPr>
        <w:t>(4), 359–370. https://doi.org/10.3391/ai.2015.10.4.01</w:t>
      </w:r>
    </w:p>
    <w:p w14:paraId="56857CA3"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Nuñez, M. A., Chiuffo, M. C., Torres, A., Paul, T., Dimarco, R. D., Raal, P., Policelli, N., Moyano, J., García, R. A., van Wilgen, B. W., Pauchard, A., &amp; Richardson, D. M. (2017). Ecology and management of invasive Pinaceae around the world: Progress and challenges. </w:t>
      </w:r>
      <w:r w:rsidRPr="00E25215">
        <w:rPr>
          <w:rFonts w:cs="Times New Roman"/>
          <w:i/>
          <w:iCs/>
        </w:rPr>
        <w:t>Biological Invasions</w:t>
      </w:r>
      <w:r w:rsidRPr="00E25215">
        <w:rPr>
          <w:rFonts w:cs="Times New Roman"/>
        </w:rPr>
        <w:t xml:space="preserve">, </w:t>
      </w:r>
      <w:r w:rsidRPr="00E25215">
        <w:rPr>
          <w:rFonts w:cs="Times New Roman"/>
          <w:i/>
          <w:iCs/>
        </w:rPr>
        <w:t>19</w:t>
      </w:r>
      <w:r w:rsidRPr="00E25215">
        <w:rPr>
          <w:rFonts w:cs="Times New Roman"/>
        </w:rPr>
        <w:t>(11), 3099–3120. https://doi.org/10.1007/s10530-017-1483-4</w:t>
      </w:r>
    </w:p>
    <w:p w14:paraId="5A0B6E07"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Nuñez, M. A., Hayward, J., Horton, T. R., Amico, G. C., Dimarco, R. D., Barrios-Garcia, M. N., &amp; Simberloff, D. (2013). Exotic Mammals Disperse Exotic Fungi That Promote Invasion by Exotic Trees. </w:t>
      </w:r>
      <w:r w:rsidRPr="00E25215">
        <w:rPr>
          <w:rFonts w:cs="Times New Roman"/>
          <w:i/>
          <w:iCs/>
        </w:rPr>
        <w:t>PLoS ONE</w:t>
      </w:r>
      <w:r w:rsidRPr="00E25215">
        <w:rPr>
          <w:rFonts w:cs="Times New Roman"/>
        </w:rPr>
        <w:t xml:space="preserve">, </w:t>
      </w:r>
      <w:r w:rsidRPr="00E25215">
        <w:rPr>
          <w:rFonts w:cs="Times New Roman"/>
          <w:i/>
          <w:iCs/>
        </w:rPr>
        <w:t>8</w:t>
      </w:r>
      <w:r w:rsidRPr="00E25215">
        <w:rPr>
          <w:rFonts w:cs="Times New Roman"/>
        </w:rPr>
        <w:t>(6), e66832. https://doi.org/10.1371/journal.pone.0066832</w:t>
      </w:r>
    </w:p>
    <w:p w14:paraId="0388E334" w14:textId="77777777" w:rsidR="001379C0" w:rsidRPr="00E25215" w:rsidRDefault="001379C0" w:rsidP="009B3E7F">
      <w:pPr>
        <w:pStyle w:val="Bibliography"/>
        <w:spacing w:before="0" w:after="0" w:line="240" w:lineRule="auto"/>
        <w:rPr>
          <w:rFonts w:cs="Times New Roman"/>
        </w:rPr>
      </w:pPr>
      <w:r w:rsidRPr="00E25215">
        <w:rPr>
          <w:rFonts w:cs="Times New Roman"/>
        </w:rPr>
        <w:lastRenderedPageBreak/>
        <w:t>Nwobi, C., Williams, M., &amp; Mitchard, E. T. A. (2020). Rapid Mangrove Forest Loss and Nipa Palm (</w:t>
      </w:r>
      <w:r w:rsidRPr="00E25215">
        <w:rPr>
          <w:rFonts w:cs="Times New Roman"/>
          <w:i/>
          <w:iCs/>
        </w:rPr>
        <w:t>Nypa fruticans</w:t>
      </w:r>
      <w:r w:rsidRPr="00E25215">
        <w:rPr>
          <w:rFonts w:cs="Times New Roman"/>
        </w:rPr>
        <w:t xml:space="preserve">) Expansion in the Niger Delta, 2007–2017. </w:t>
      </w:r>
      <w:r w:rsidRPr="00E25215">
        <w:rPr>
          <w:rFonts w:cs="Times New Roman"/>
          <w:i/>
          <w:iCs/>
        </w:rPr>
        <w:t>Remote Sensing</w:t>
      </w:r>
      <w:r w:rsidRPr="00E25215">
        <w:rPr>
          <w:rFonts w:cs="Times New Roman"/>
        </w:rPr>
        <w:t xml:space="preserve">, </w:t>
      </w:r>
      <w:r w:rsidRPr="00E25215">
        <w:rPr>
          <w:rFonts w:cs="Times New Roman"/>
          <w:i/>
          <w:iCs/>
        </w:rPr>
        <w:t>12</w:t>
      </w:r>
      <w:r w:rsidRPr="00E25215">
        <w:rPr>
          <w:rFonts w:cs="Times New Roman"/>
        </w:rPr>
        <w:t>(14), 2344. https://doi.org/10.3390/rs12142344</w:t>
      </w:r>
    </w:p>
    <w:p w14:paraId="35810181"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Obermeister, N. (2019). Local knowledge, global ambitions: IPBES and the advent of multi-scale models and scenarios. </w:t>
      </w:r>
      <w:r w:rsidRPr="00E25215">
        <w:rPr>
          <w:rFonts w:cs="Times New Roman"/>
          <w:i/>
          <w:iCs/>
        </w:rPr>
        <w:t>Sustainability Science</w:t>
      </w:r>
      <w:r w:rsidRPr="00E25215">
        <w:rPr>
          <w:rFonts w:cs="Times New Roman"/>
        </w:rPr>
        <w:t xml:space="preserve">, </w:t>
      </w:r>
      <w:r w:rsidRPr="00E25215">
        <w:rPr>
          <w:rFonts w:cs="Times New Roman"/>
          <w:i/>
          <w:iCs/>
        </w:rPr>
        <w:t>14</w:t>
      </w:r>
      <w:r w:rsidRPr="00E25215">
        <w:rPr>
          <w:rFonts w:cs="Times New Roman"/>
        </w:rPr>
        <w:t>(3), 843–856. https://doi.org/10.1007/s11625-018-0616-8</w:t>
      </w:r>
    </w:p>
    <w:p w14:paraId="312393DF"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Ochoa-Hueso, R., Allen, E. B., Branquinho, C., Cruz, C., Dias, T., Fenn, M. E., Manrique, E., Pérez-Corona, M. E., Sheppard, L. J., &amp; Stock, W. D. (2011). Nitrogen deposition effects on Mediterranean-type ecosystems: An ecological assessment. </w:t>
      </w:r>
      <w:r w:rsidRPr="00E25215">
        <w:rPr>
          <w:rFonts w:cs="Times New Roman"/>
          <w:i/>
          <w:iCs/>
        </w:rPr>
        <w:t>Environmental Pollution</w:t>
      </w:r>
      <w:r w:rsidRPr="00E25215">
        <w:rPr>
          <w:rFonts w:cs="Times New Roman"/>
        </w:rPr>
        <w:t xml:space="preserve">, </w:t>
      </w:r>
      <w:r w:rsidRPr="00E25215">
        <w:rPr>
          <w:rFonts w:cs="Times New Roman"/>
          <w:i/>
          <w:iCs/>
        </w:rPr>
        <w:t>159</w:t>
      </w:r>
      <w:r w:rsidRPr="00E25215">
        <w:rPr>
          <w:rFonts w:cs="Times New Roman"/>
        </w:rPr>
        <w:t>(10), Article 10. https://doi.org/10.1016/j.envpol.2010.12.019</w:t>
      </w:r>
    </w:p>
    <w:p w14:paraId="3CEC9BF7"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Ochoa-Hueso, R., &amp; Manrique, E. (2010). Nitrogen Fertilization and Water Supply Affect Germination and Plant Establishment of the Soil Seed Bank Present in a Semi-Arid Mediterranean Scrubland. </w:t>
      </w:r>
      <w:r w:rsidRPr="00E25215">
        <w:rPr>
          <w:rFonts w:cs="Times New Roman"/>
          <w:i/>
          <w:iCs/>
        </w:rPr>
        <w:t>Plant Ecology</w:t>
      </w:r>
      <w:r w:rsidRPr="00E25215">
        <w:rPr>
          <w:rFonts w:cs="Times New Roman"/>
        </w:rPr>
        <w:t xml:space="preserve">, </w:t>
      </w:r>
      <w:r w:rsidRPr="00E25215">
        <w:rPr>
          <w:rFonts w:cs="Times New Roman"/>
          <w:i/>
          <w:iCs/>
        </w:rPr>
        <w:t>210</w:t>
      </w:r>
      <w:r w:rsidRPr="00E25215">
        <w:rPr>
          <w:rFonts w:cs="Times New Roman"/>
        </w:rPr>
        <w:t>(2), 263–273. https://doi.org/10.1007/s11258-010-9755-4</w:t>
      </w:r>
    </w:p>
    <w:p w14:paraId="5C283748"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O’Connor, T. G., &amp; van Wilgen, B. W. (2020). The Impact of Invasive Alien Plants on Rangelands in South Africa. In B. W. van Wilgen, J. Measey, D. M. Richardson, J. R. Wilson, &amp; T. A. Zengeya (Eds.), </w:t>
      </w:r>
      <w:r w:rsidRPr="00E25215">
        <w:rPr>
          <w:rFonts w:cs="Times New Roman"/>
          <w:i/>
          <w:iCs/>
        </w:rPr>
        <w:t>Biological Invasions in South Africa</w:t>
      </w:r>
      <w:r w:rsidRPr="00E25215">
        <w:rPr>
          <w:rFonts w:cs="Times New Roman"/>
        </w:rPr>
        <w:t xml:space="preserve"> (pp. 459–487). Springer International Publishing. https://doi.org/10.1007/978-3-030-32394-3_16</w:t>
      </w:r>
    </w:p>
    <w:p w14:paraId="0DDDBC38"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Odom, R. L., Solomon, J. A., &amp; Walters, L. J. (2014). Alternatives to Release: Efficient Methods for Disposal of Excess or Unwanted Aquarium Macroalgae in the Genus </w:t>
      </w:r>
      <w:r w:rsidRPr="00E25215">
        <w:rPr>
          <w:rFonts w:cs="Times New Roman"/>
          <w:i/>
          <w:iCs/>
        </w:rPr>
        <w:t>Chaetomorpha</w:t>
      </w:r>
      <w:r w:rsidRPr="00E25215">
        <w:rPr>
          <w:rFonts w:cs="Times New Roman"/>
        </w:rPr>
        <w:t xml:space="preserve">. </w:t>
      </w:r>
      <w:r w:rsidRPr="00E25215">
        <w:rPr>
          <w:rFonts w:cs="Times New Roman"/>
          <w:i/>
          <w:iCs/>
        </w:rPr>
        <w:t>Invasive Plant Science and Management</w:t>
      </w:r>
      <w:r w:rsidRPr="00E25215">
        <w:rPr>
          <w:rFonts w:cs="Times New Roman"/>
        </w:rPr>
        <w:t xml:space="preserve">, </w:t>
      </w:r>
      <w:r w:rsidRPr="00E25215">
        <w:rPr>
          <w:rFonts w:cs="Times New Roman"/>
          <w:i/>
          <w:iCs/>
        </w:rPr>
        <w:t>7</w:t>
      </w:r>
      <w:r w:rsidRPr="00E25215">
        <w:rPr>
          <w:rFonts w:cs="Times New Roman"/>
        </w:rPr>
        <w:t>(1), 76–83. https://doi.org/10.1614/IPSM-D-13-00053.1</w:t>
      </w:r>
    </w:p>
    <w:p w14:paraId="0E8A7BE0"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O’Donnell, J., Gallagher, R. V., Wilson, P. D., Downey, P. O., Hughes, L., &amp; Leishman, M. R. (2012). Invasion hotspots for non-native plants in Australia under current and future climates. </w:t>
      </w:r>
      <w:r w:rsidRPr="00E25215">
        <w:rPr>
          <w:rFonts w:cs="Times New Roman"/>
          <w:i/>
          <w:iCs/>
        </w:rPr>
        <w:t>Global Change Biology</w:t>
      </w:r>
      <w:r w:rsidRPr="00E25215">
        <w:rPr>
          <w:rFonts w:cs="Times New Roman"/>
        </w:rPr>
        <w:t xml:space="preserve">, </w:t>
      </w:r>
      <w:r w:rsidRPr="00E25215">
        <w:rPr>
          <w:rFonts w:cs="Times New Roman"/>
          <w:i/>
          <w:iCs/>
        </w:rPr>
        <w:t>18</w:t>
      </w:r>
      <w:r w:rsidRPr="00E25215">
        <w:rPr>
          <w:rFonts w:cs="Times New Roman"/>
        </w:rPr>
        <w:t>(2), 617–629. https://doi.org/10.1111/j.1365-2486.2011.02537.x</w:t>
      </w:r>
    </w:p>
    <w:p w14:paraId="71BEF772"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O’Dowd, D. J., Green, P. T., &amp; Lake, P. S. (2003). Invasional ‘meltdown’ on an oceanic island. </w:t>
      </w:r>
      <w:r w:rsidRPr="00E25215">
        <w:rPr>
          <w:rFonts w:cs="Times New Roman"/>
          <w:i/>
          <w:iCs/>
        </w:rPr>
        <w:t>Ecology Letters</w:t>
      </w:r>
      <w:r w:rsidRPr="00E25215">
        <w:rPr>
          <w:rFonts w:cs="Times New Roman"/>
        </w:rPr>
        <w:t xml:space="preserve">, </w:t>
      </w:r>
      <w:r w:rsidRPr="00E25215">
        <w:rPr>
          <w:rFonts w:cs="Times New Roman"/>
          <w:i/>
          <w:iCs/>
        </w:rPr>
        <w:t>6</w:t>
      </w:r>
      <w:r w:rsidRPr="00E25215">
        <w:rPr>
          <w:rFonts w:cs="Times New Roman"/>
        </w:rPr>
        <w:t>(9), 812–817. https://doi.org/10.1046/j.1461-0248.2003.00512.x</w:t>
      </w:r>
    </w:p>
    <w:p w14:paraId="4627BDA9"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Ogutu-Ohwayo, R. (1998). Nile perch: The great lake experiment. </w:t>
      </w:r>
      <w:r w:rsidRPr="00E25215">
        <w:rPr>
          <w:rFonts w:cs="Times New Roman"/>
          <w:i/>
          <w:iCs/>
        </w:rPr>
        <w:t>World Conservation</w:t>
      </w:r>
      <w:r w:rsidRPr="00E25215">
        <w:rPr>
          <w:rFonts w:cs="Times New Roman"/>
        </w:rPr>
        <w:t xml:space="preserve">, </w:t>
      </w:r>
      <w:r w:rsidRPr="00E25215">
        <w:rPr>
          <w:rFonts w:cs="Times New Roman"/>
          <w:i/>
          <w:iCs/>
        </w:rPr>
        <w:t>1</w:t>
      </w:r>
      <w:r w:rsidRPr="00E25215">
        <w:rPr>
          <w:rFonts w:cs="Times New Roman"/>
        </w:rPr>
        <w:t>, 11–12. https://pubmed.ncbi.nlm.nih.gov/12295947/</w:t>
      </w:r>
    </w:p>
    <w:p w14:paraId="7DA3CFF0"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Ogutu-Ohwayo, R., Natugonza, V., Musinguzi, L., Olokotum, M., &amp; Naigaga, S. (2016). Implications of climate variability and change for African lake ecosystems, fisheries productivity, and livelihoods. </w:t>
      </w:r>
      <w:r w:rsidRPr="00E25215">
        <w:rPr>
          <w:rFonts w:cs="Times New Roman"/>
          <w:i/>
          <w:iCs/>
        </w:rPr>
        <w:t>Journal of Great Lakes Research</w:t>
      </w:r>
      <w:r w:rsidRPr="00E25215">
        <w:rPr>
          <w:rFonts w:cs="Times New Roman"/>
        </w:rPr>
        <w:t xml:space="preserve">, </w:t>
      </w:r>
      <w:r w:rsidRPr="00E25215">
        <w:rPr>
          <w:rFonts w:cs="Times New Roman"/>
          <w:i/>
          <w:iCs/>
        </w:rPr>
        <w:t>42</w:t>
      </w:r>
      <w:r w:rsidRPr="00E25215">
        <w:rPr>
          <w:rFonts w:cs="Times New Roman"/>
        </w:rPr>
        <w:t>(3), 498–510. https://doi.org/10.1016/j.jglr.2016.03.004</w:t>
      </w:r>
    </w:p>
    <w:p w14:paraId="106D1856"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Oguz, T., Fach, B., &amp; Salihoglu, B. (2008). Invasion dynamics of the alien ctenophore </w:t>
      </w:r>
      <w:r w:rsidRPr="00E25215">
        <w:rPr>
          <w:rFonts w:cs="Times New Roman"/>
          <w:i/>
          <w:iCs/>
        </w:rPr>
        <w:t>Mnemiopsis leidyi</w:t>
      </w:r>
      <w:r w:rsidRPr="00E25215">
        <w:rPr>
          <w:rFonts w:cs="Times New Roman"/>
        </w:rPr>
        <w:t xml:space="preserve"> and its impact on anchovy collapse in the Black Sea. </w:t>
      </w:r>
      <w:r w:rsidRPr="00E25215">
        <w:rPr>
          <w:rFonts w:cs="Times New Roman"/>
          <w:i/>
          <w:iCs/>
        </w:rPr>
        <w:t>Journal of Plankton Research</w:t>
      </w:r>
      <w:r w:rsidRPr="00E25215">
        <w:rPr>
          <w:rFonts w:cs="Times New Roman"/>
        </w:rPr>
        <w:t xml:space="preserve">, </w:t>
      </w:r>
      <w:r w:rsidRPr="00E25215">
        <w:rPr>
          <w:rFonts w:cs="Times New Roman"/>
          <w:i/>
          <w:iCs/>
        </w:rPr>
        <w:t>30</w:t>
      </w:r>
      <w:r w:rsidRPr="00E25215">
        <w:rPr>
          <w:rFonts w:cs="Times New Roman"/>
        </w:rPr>
        <w:t>(12), 1385–1397. https://doi.org/10.1093/plankt/fbn094</w:t>
      </w:r>
    </w:p>
    <w:p w14:paraId="444B4F51"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Ojaveer, H., Galil, B. S., Carlton, J. T., Alleway, H., Goulletquer, P., Lehtiniemi, M., Marchini, A., Miller, W., Occhipinti-Ambrogi, A., Peharda, M., Ruiz, G. M., Williams, S. L., &amp; Zaiko, A. (2018). Historical baselines in marine bioinvasions: Implications for policy and management. </w:t>
      </w:r>
      <w:r w:rsidRPr="00E25215">
        <w:rPr>
          <w:rFonts w:cs="Times New Roman"/>
          <w:i/>
          <w:iCs/>
        </w:rPr>
        <w:t>PLoS ONE</w:t>
      </w:r>
      <w:r w:rsidRPr="00E25215">
        <w:rPr>
          <w:rFonts w:cs="Times New Roman"/>
        </w:rPr>
        <w:t xml:space="preserve">, </w:t>
      </w:r>
      <w:r w:rsidRPr="00E25215">
        <w:rPr>
          <w:rFonts w:cs="Times New Roman"/>
          <w:i/>
          <w:iCs/>
        </w:rPr>
        <w:t>13</w:t>
      </w:r>
      <w:r w:rsidRPr="00E25215">
        <w:rPr>
          <w:rFonts w:cs="Times New Roman"/>
        </w:rPr>
        <w:t>(8), e0202383. https://doi.org/10.1371/journal.pone.0202383</w:t>
      </w:r>
    </w:p>
    <w:p w14:paraId="182EB97C"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Olfert, O., Weiss, R. M., &amp; Elliott, R. H. (2016). Bioclimatic approach to assessing the potential impact of climate change on wheat midge (Diptera: Cecidomyiidae) in North America. </w:t>
      </w:r>
      <w:r w:rsidRPr="00E25215">
        <w:rPr>
          <w:rFonts w:cs="Times New Roman"/>
          <w:i/>
          <w:iCs/>
        </w:rPr>
        <w:t>The Canadian Entomologist</w:t>
      </w:r>
      <w:r w:rsidRPr="00E25215">
        <w:rPr>
          <w:rFonts w:cs="Times New Roman"/>
        </w:rPr>
        <w:t xml:space="preserve">, </w:t>
      </w:r>
      <w:r w:rsidRPr="00E25215">
        <w:rPr>
          <w:rFonts w:cs="Times New Roman"/>
          <w:i/>
          <w:iCs/>
        </w:rPr>
        <w:t>148</w:t>
      </w:r>
      <w:r w:rsidRPr="00E25215">
        <w:rPr>
          <w:rFonts w:cs="Times New Roman"/>
        </w:rPr>
        <w:t>(1), 52–67. https://doi.org/10.4039/tce.2015.40</w:t>
      </w:r>
    </w:p>
    <w:p w14:paraId="538E8278"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Olfert, O., Weiss, R. M., Elliott, R. H., &amp; Soroka, J. J. (2017). Bioclimatic approach to assessing the potential impact of climate change on two flea beetle (Coleoptera: Chrysomelidae) species in Canada. </w:t>
      </w:r>
      <w:r w:rsidRPr="00E25215">
        <w:rPr>
          <w:rFonts w:cs="Times New Roman"/>
          <w:i/>
          <w:iCs/>
        </w:rPr>
        <w:t>The Canadian Entomologist</w:t>
      </w:r>
      <w:r w:rsidRPr="00E25215">
        <w:rPr>
          <w:rFonts w:cs="Times New Roman"/>
        </w:rPr>
        <w:t xml:space="preserve">, </w:t>
      </w:r>
      <w:r w:rsidRPr="00E25215">
        <w:rPr>
          <w:rFonts w:cs="Times New Roman"/>
          <w:i/>
          <w:iCs/>
        </w:rPr>
        <w:t>149</w:t>
      </w:r>
      <w:r w:rsidRPr="00E25215">
        <w:rPr>
          <w:rFonts w:cs="Times New Roman"/>
        </w:rPr>
        <w:t>(5), 616–627.</w:t>
      </w:r>
    </w:p>
    <w:p w14:paraId="1D3006D2" w14:textId="77777777" w:rsidR="001379C0" w:rsidRPr="00E25215" w:rsidRDefault="001379C0" w:rsidP="009B3E7F">
      <w:pPr>
        <w:pStyle w:val="Bibliography"/>
        <w:spacing w:before="0" w:after="0" w:line="240" w:lineRule="auto"/>
        <w:rPr>
          <w:rFonts w:cs="Times New Roman"/>
        </w:rPr>
      </w:pPr>
      <w:r w:rsidRPr="00E25215">
        <w:rPr>
          <w:rFonts w:cs="Times New Roman"/>
        </w:rPr>
        <w:t>Oliphant, A. J., Wynne, R. H., Zipper, C. E., Ford, W. M., Donovan, P. F., &amp; Li, J. (2017). Autumn olive (</w:t>
      </w:r>
      <w:r w:rsidRPr="00E25215">
        <w:rPr>
          <w:rFonts w:cs="Times New Roman"/>
          <w:i/>
          <w:iCs/>
        </w:rPr>
        <w:t>Elaeagnus umbellata</w:t>
      </w:r>
      <w:r w:rsidRPr="00E25215">
        <w:rPr>
          <w:rFonts w:cs="Times New Roman"/>
        </w:rPr>
        <w:t xml:space="preserve">) presence and proliferation on former surface coal mines in Eastern USA. </w:t>
      </w:r>
      <w:r w:rsidRPr="00E25215">
        <w:rPr>
          <w:rFonts w:cs="Times New Roman"/>
          <w:i/>
          <w:iCs/>
        </w:rPr>
        <w:t>Biological Invasions</w:t>
      </w:r>
      <w:r w:rsidRPr="00E25215">
        <w:rPr>
          <w:rFonts w:cs="Times New Roman"/>
        </w:rPr>
        <w:t xml:space="preserve">, </w:t>
      </w:r>
      <w:r w:rsidRPr="00E25215">
        <w:rPr>
          <w:rFonts w:cs="Times New Roman"/>
          <w:i/>
          <w:iCs/>
        </w:rPr>
        <w:t>19</w:t>
      </w:r>
      <w:r w:rsidRPr="00E25215">
        <w:rPr>
          <w:rFonts w:cs="Times New Roman"/>
        </w:rPr>
        <w:t>(1), 179–195. https://doi.org/10.1007/s10530-016-1271-6</w:t>
      </w:r>
    </w:p>
    <w:p w14:paraId="568255DE" w14:textId="77777777" w:rsidR="001379C0" w:rsidRPr="00E25215" w:rsidRDefault="001379C0" w:rsidP="009B3E7F">
      <w:pPr>
        <w:pStyle w:val="Bibliography"/>
        <w:spacing w:before="0" w:after="0" w:line="240" w:lineRule="auto"/>
        <w:rPr>
          <w:rFonts w:cs="Times New Roman"/>
        </w:rPr>
      </w:pPr>
      <w:r w:rsidRPr="00E25215">
        <w:rPr>
          <w:rFonts w:cs="Times New Roman"/>
        </w:rPr>
        <w:lastRenderedPageBreak/>
        <w:t>Oliveira, S. V. de, Vargas, A., Rocha, S. M., Pereira, L. R. M., Oliveira, C. G. de, &amp; Silva, V. S. (2018). The nature of attacks by wild boar (</w:t>
      </w:r>
      <w:r w:rsidRPr="00E25215">
        <w:rPr>
          <w:rFonts w:cs="Times New Roman"/>
          <w:i/>
          <w:iCs/>
        </w:rPr>
        <w:t>Sus scrofa</w:t>
      </w:r>
      <w:r w:rsidRPr="00E25215">
        <w:rPr>
          <w:rFonts w:cs="Times New Roman"/>
        </w:rPr>
        <w:t>) and wild boar/domestic pig hybrids (</w:t>
      </w:r>
      <w:r w:rsidRPr="00E25215">
        <w:rPr>
          <w:rFonts w:cs="Times New Roman"/>
          <w:i/>
          <w:iCs/>
        </w:rPr>
        <w:t>´javaporcos´</w:t>
      </w:r>
      <w:r w:rsidRPr="00E25215">
        <w:rPr>
          <w:rFonts w:cs="Times New Roman"/>
        </w:rPr>
        <w:t xml:space="preserve">) and the conduct of anti-rabies care in Brazil. </w:t>
      </w:r>
      <w:r w:rsidRPr="00E25215">
        <w:rPr>
          <w:rFonts w:cs="Times New Roman"/>
          <w:i/>
          <w:iCs/>
        </w:rPr>
        <w:t>InterAmerican Journal of Medicine and Health</w:t>
      </w:r>
      <w:r w:rsidRPr="00E25215">
        <w:rPr>
          <w:rFonts w:cs="Times New Roman"/>
        </w:rPr>
        <w:t xml:space="preserve">, </w:t>
      </w:r>
      <w:r w:rsidRPr="00E25215">
        <w:rPr>
          <w:rFonts w:cs="Times New Roman"/>
          <w:i/>
          <w:iCs/>
        </w:rPr>
        <w:t>1</w:t>
      </w:r>
      <w:r w:rsidRPr="00E25215">
        <w:rPr>
          <w:rFonts w:cs="Times New Roman"/>
        </w:rPr>
        <w:t>, e-201801001. https://doi.org/10.31005/iajmh.v1i1.19</w:t>
      </w:r>
    </w:p>
    <w:p w14:paraId="61250C99"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O’Loughlin, L. S., &amp; Green, P. T. (2017). Secondary invasion: When invasion success is contingent on other invaders altering the properties of recipient ecosystems. </w:t>
      </w:r>
      <w:r w:rsidRPr="00E25215">
        <w:rPr>
          <w:rFonts w:cs="Times New Roman"/>
          <w:i/>
          <w:iCs/>
        </w:rPr>
        <w:t>Ecology and Evolution</w:t>
      </w:r>
      <w:r w:rsidRPr="00E25215">
        <w:rPr>
          <w:rFonts w:cs="Times New Roman"/>
        </w:rPr>
        <w:t xml:space="preserve">, </w:t>
      </w:r>
      <w:r w:rsidRPr="00E25215">
        <w:rPr>
          <w:rFonts w:cs="Times New Roman"/>
          <w:i/>
          <w:iCs/>
        </w:rPr>
        <w:t>7</w:t>
      </w:r>
      <w:r w:rsidRPr="00E25215">
        <w:rPr>
          <w:rFonts w:cs="Times New Roman"/>
        </w:rPr>
        <w:t>(19), 7628–7637. https://doi.org/10.1002/ece3.3315</w:t>
      </w:r>
    </w:p>
    <w:p w14:paraId="65613973"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Oppenheimer, M., Glavovic, B., Hinkel, J., van de Wal, R., Magnan, A. K., Abd-Elgawad, A., Cai, R., Cifuentes-Jara, M., Deconto, R. M., &amp; Ghosh, T. (2019). Sea level rise and implications for low lying islands, coasts and communities. In </w:t>
      </w:r>
      <w:r w:rsidRPr="00E25215">
        <w:rPr>
          <w:rFonts w:cs="Times New Roman"/>
          <w:i/>
          <w:iCs/>
        </w:rPr>
        <w:t>IPCC Special Report on the Ocean and Cryosphere in a Changing Climate [H.-O. Pörtner, D.C. Roberts, V. Masson-Delmotte, P. Zhai, M. Tignor, E. Poloczanska, K. Mintenbeck, A. Alegría, M. Nicolai, A. Okem, J. Petzold, B. Rama, N.M. Weyer (eds.)]</w:t>
      </w:r>
      <w:r w:rsidRPr="00E25215">
        <w:rPr>
          <w:rFonts w:cs="Times New Roman"/>
        </w:rPr>
        <w:t>. The Intergovernmental Panel on Climate Change. https://repositorio.catie.ac.cr/handle/11554/9280</w:t>
      </w:r>
    </w:p>
    <w:p w14:paraId="5DE5D1E2"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Orsenigo, S., Mondoni, A., Rossi, G., &amp; Abeli, T. (2014). Some like it hot and some like it cold, but not too much: Plant responses to climate extremes. </w:t>
      </w:r>
      <w:r w:rsidRPr="00E25215">
        <w:rPr>
          <w:rFonts w:cs="Times New Roman"/>
          <w:i/>
          <w:iCs/>
        </w:rPr>
        <w:t>Plant Ecology</w:t>
      </w:r>
      <w:r w:rsidRPr="00E25215">
        <w:rPr>
          <w:rFonts w:cs="Times New Roman"/>
        </w:rPr>
        <w:t xml:space="preserve">, </w:t>
      </w:r>
      <w:r w:rsidRPr="00E25215">
        <w:rPr>
          <w:rFonts w:cs="Times New Roman"/>
          <w:i/>
          <w:iCs/>
        </w:rPr>
        <w:t>215</w:t>
      </w:r>
      <w:r w:rsidRPr="00E25215">
        <w:rPr>
          <w:rFonts w:cs="Times New Roman"/>
        </w:rPr>
        <w:t>(7), 677–688. https://doi.org/10.1007/s11258-014-0363-6</w:t>
      </w:r>
    </w:p>
    <w:p w14:paraId="54B1B486"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Ortega, J. C. G., Júlio, H. F., Gomes, L. C., &amp; Agostinho, A. A. (2015). Fish farming as the main driver of fish introductions in Neotropical reservoirs. </w:t>
      </w:r>
      <w:r w:rsidRPr="00E25215">
        <w:rPr>
          <w:rFonts w:cs="Times New Roman"/>
          <w:i/>
          <w:iCs/>
        </w:rPr>
        <w:t>Hydrobiologia</w:t>
      </w:r>
      <w:r w:rsidRPr="00E25215">
        <w:rPr>
          <w:rFonts w:cs="Times New Roman"/>
        </w:rPr>
        <w:t xml:space="preserve">, </w:t>
      </w:r>
      <w:r w:rsidRPr="00E25215">
        <w:rPr>
          <w:rFonts w:cs="Times New Roman"/>
          <w:i/>
          <w:iCs/>
        </w:rPr>
        <w:t>746</w:t>
      </w:r>
      <w:r w:rsidRPr="00E25215">
        <w:rPr>
          <w:rFonts w:cs="Times New Roman"/>
        </w:rPr>
        <w:t>(1), 147–158. https://doi.org/10.1007/s10750-014-2025-z</w:t>
      </w:r>
    </w:p>
    <w:p w14:paraId="40676853"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Ortiz-Alcaraz, A., Arnaud, G., Aguirre-Muñoz, A., Galina-Tessaro, P., Méndez-Sánchez, F., Ortega-Rubio, A., Ortiz-Alcaraz, A., Arnaud, G., Aguirre-Muñoz, A., Galina-Tessaro, P., Méndez-Sánchez, F., &amp; Ortega-Rubio, A. (2017). Dieta y ámbito hogareño del gato feral, </w:t>
      </w:r>
      <w:r w:rsidRPr="00E25215">
        <w:rPr>
          <w:rFonts w:cs="Times New Roman"/>
          <w:i/>
          <w:iCs/>
        </w:rPr>
        <w:t>Felis catus</w:t>
      </w:r>
      <w:r w:rsidRPr="00E25215">
        <w:rPr>
          <w:rFonts w:cs="Times New Roman"/>
        </w:rPr>
        <w:t xml:space="preserve"> (Carnivora: Felidae) en la Isla Socorro, Archipiélago de Revillagigedo, México. </w:t>
      </w:r>
      <w:r w:rsidRPr="00E25215">
        <w:rPr>
          <w:rFonts w:cs="Times New Roman"/>
          <w:i/>
          <w:iCs/>
        </w:rPr>
        <w:t>Acta Zoológica Mexicana</w:t>
      </w:r>
      <w:r w:rsidRPr="00E25215">
        <w:rPr>
          <w:rFonts w:cs="Times New Roman"/>
        </w:rPr>
        <w:t xml:space="preserve">, </w:t>
      </w:r>
      <w:r w:rsidRPr="00E25215">
        <w:rPr>
          <w:rFonts w:cs="Times New Roman"/>
          <w:i/>
          <w:iCs/>
        </w:rPr>
        <w:t>33</w:t>
      </w:r>
      <w:r w:rsidRPr="00E25215">
        <w:rPr>
          <w:rFonts w:cs="Times New Roman"/>
        </w:rPr>
        <w:t>(3), 482–489. http://www.scielo.org.mx/scielo.php?script=sci_abstract&amp;pid=S0065-17372017000300482&amp;lng=es&amp;nrm=iso&amp;tlng=pt</w:t>
      </w:r>
    </w:p>
    <w:p w14:paraId="5A1A045A"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Osborne, K., &amp; Poynton, H. (2019). Copper pollution enhances the competitive advantage of invasive ascidians. </w:t>
      </w:r>
      <w:r w:rsidRPr="00E25215">
        <w:rPr>
          <w:rFonts w:cs="Times New Roman"/>
          <w:i/>
          <w:iCs/>
        </w:rPr>
        <w:t>Management of Biological Invasions</w:t>
      </w:r>
      <w:r w:rsidRPr="00E25215">
        <w:rPr>
          <w:rFonts w:cs="Times New Roman"/>
        </w:rPr>
        <w:t xml:space="preserve">, </w:t>
      </w:r>
      <w:r w:rsidRPr="00E25215">
        <w:rPr>
          <w:rFonts w:cs="Times New Roman"/>
          <w:i/>
          <w:iCs/>
        </w:rPr>
        <w:t>10</w:t>
      </w:r>
      <w:r w:rsidRPr="00E25215">
        <w:rPr>
          <w:rFonts w:cs="Times New Roman"/>
        </w:rPr>
        <w:t>(4), 641–656. https://doi.org/10.3391/mbi.2019.10.4.05</w:t>
      </w:r>
    </w:p>
    <w:p w14:paraId="3325E67C"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Osterman, J., Aizen, M. A., Biesmeijer, J. C., Bosch, J., Howlett, B. G., Inouye, D. W., Jung, C., Martins, D. J., Medel, R., Pauw, A., Seymour, C. L., &amp; Paxton, R. J. (2021). Global trends in the number and diversity of managed pollinator species. </w:t>
      </w:r>
      <w:r w:rsidRPr="00E25215">
        <w:rPr>
          <w:rFonts w:cs="Times New Roman"/>
          <w:i/>
          <w:iCs/>
        </w:rPr>
        <w:t>Agriculture, Ecosystems &amp; Environment</w:t>
      </w:r>
      <w:r w:rsidRPr="00E25215">
        <w:rPr>
          <w:rFonts w:cs="Times New Roman"/>
        </w:rPr>
        <w:t xml:space="preserve">, </w:t>
      </w:r>
      <w:r w:rsidRPr="00E25215">
        <w:rPr>
          <w:rFonts w:cs="Times New Roman"/>
          <w:i/>
          <w:iCs/>
        </w:rPr>
        <w:t>322</w:t>
      </w:r>
      <w:r w:rsidRPr="00E25215">
        <w:rPr>
          <w:rFonts w:cs="Times New Roman"/>
        </w:rPr>
        <w:t>, 107653. https://doi.org/10.1016/j.agee.2021.107653</w:t>
      </w:r>
    </w:p>
    <w:p w14:paraId="5007EB34"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Özcan, T., &amp; Galil, B. (2006). </w:t>
      </w:r>
      <w:r w:rsidRPr="00E25215">
        <w:rPr>
          <w:rFonts w:cs="Times New Roman"/>
          <w:i/>
          <w:iCs/>
        </w:rPr>
        <w:t xml:space="preserve">The first record of the banana prawn </w:t>
      </w:r>
      <w:r w:rsidRPr="00E25215">
        <w:rPr>
          <w:rFonts w:cs="Times New Roman"/>
        </w:rPr>
        <w:t>Fenneropenaeus merguiensis</w:t>
      </w:r>
      <w:r w:rsidRPr="00E25215">
        <w:rPr>
          <w:rFonts w:cs="Times New Roman"/>
          <w:i/>
          <w:iCs/>
        </w:rPr>
        <w:t xml:space="preserve"> (De Man, 1888) (Crustacea: Decapoda: Penaeidae) from the Mediterranean Sea</w:t>
      </w:r>
      <w:r w:rsidRPr="00E25215">
        <w:rPr>
          <w:rFonts w:cs="Times New Roman"/>
        </w:rPr>
        <w:t>. https://doi.org/10.3391/AI.2006.1.4.13</w:t>
      </w:r>
    </w:p>
    <w:p w14:paraId="5AD700A8"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Paap, T., Wingfield, M. J., Burgess, T. I., Hulbert, J. M., &amp; Santini, A. (2020). Harmonising the fields of invasion science and forest pathology. </w:t>
      </w:r>
      <w:r w:rsidRPr="00E25215">
        <w:rPr>
          <w:rFonts w:cs="Times New Roman"/>
          <w:i/>
          <w:iCs/>
        </w:rPr>
        <w:t>NeoBiota</w:t>
      </w:r>
      <w:r w:rsidRPr="00E25215">
        <w:rPr>
          <w:rFonts w:cs="Times New Roman"/>
        </w:rPr>
        <w:t xml:space="preserve">, </w:t>
      </w:r>
      <w:r w:rsidRPr="00E25215">
        <w:rPr>
          <w:rFonts w:cs="Times New Roman"/>
          <w:i/>
          <w:iCs/>
        </w:rPr>
        <w:t>62</w:t>
      </w:r>
      <w:r w:rsidRPr="00E25215">
        <w:rPr>
          <w:rFonts w:cs="Times New Roman"/>
        </w:rPr>
        <w:t>, 301–332. https://doi.org/10.3897/neobiota.62.52991</w:t>
      </w:r>
    </w:p>
    <w:p w14:paraId="054113E9"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Padayachee, A. L., Irlich, U. M., Faulkner, K. T., Gaertner, M., Procheş, Ş., Wilson, J. R. U., &amp; Rouget, M. (2017). How do invasive species travel to and through urban environments? </w:t>
      </w:r>
      <w:r w:rsidRPr="00E25215">
        <w:rPr>
          <w:rFonts w:cs="Times New Roman"/>
          <w:i/>
          <w:iCs/>
        </w:rPr>
        <w:t>Biological Invasions</w:t>
      </w:r>
      <w:r w:rsidRPr="00E25215">
        <w:rPr>
          <w:rFonts w:cs="Times New Roman"/>
        </w:rPr>
        <w:t xml:space="preserve">, </w:t>
      </w:r>
      <w:r w:rsidRPr="00E25215">
        <w:rPr>
          <w:rFonts w:cs="Times New Roman"/>
          <w:i/>
          <w:iCs/>
        </w:rPr>
        <w:t>19</w:t>
      </w:r>
      <w:r w:rsidRPr="00E25215">
        <w:rPr>
          <w:rFonts w:cs="Times New Roman"/>
        </w:rPr>
        <w:t>(12), 3557–3570. https://doi.org/10.1007/s10530-017-1596-9</w:t>
      </w:r>
    </w:p>
    <w:p w14:paraId="2CA5942F"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Padilha, D. L., Loregian, A. C., &amp; Budke, J. C. (2015). Forest fragmentation does not matter to invasions by </w:t>
      </w:r>
      <w:r w:rsidRPr="00E25215">
        <w:rPr>
          <w:rFonts w:cs="Times New Roman"/>
          <w:i/>
          <w:iCs/>
        </w:rPr>
        <w:t>Hovenia dulcis</w:t>
      </w:r>
      <w:r w:rsidRPr="00E25215">
        <w:rPr>
          <w:rFonts w:cs="Times New Roman"/>
        </w:rPr>
        <w:t xml:space="preserve">. </w:t>
      </w:r>
      <w:r w:rsidRPr="00E25215">
        <w:rPr>
          <w:rFonts w:cs="Times New Roman"/>
          <w:i/>
          <w:iCs/>
        </w:rPr>
        <w:t>Biodiversity and Conservation</w:t>
      </w:r>
      <w:r w:rsidRPr="00E25215">
        <w:rPr>
          <w:rFonts w:cs="Times New Roman"/>
        </w:rPr>
        <w:t xml:space="preserve">, </w:t>
      </w:r>
      <w:r w:rsidRPr="00E25215">
        <w:rPr>
          <w:rFonts w:cs="Times New Roman"/>
          <w:i/>
          <w:iCs/>
        </w:rPr>
        <w:t>24</w:t>
      </w:r>
      <w:r w:rsidRPr="00E25215">
        <w:rPr>
          <w:rFonts w:cs="Times New Roman"/>
        </w:rPr>
        <w:t>(9), 2293–2304. https://doi.org/10.1007/s10531-015-0930-8</w:t>
      </w:r>
    </w:p>
    <w:p w14:paraId="67328DF0"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Padilla, D. K., &amp; Williams, S. L. (2004). Beyond ballast water: Aquarium and ornamental trades as sources of invasive species in aquatic ecosystems. </w:t>
      </w:r>
      <w:r w:rsidRPr="00E25215">
        <w:rPr>
          <w:rFonts w:cs="Times New Roman"/>
          <w:i/>
          <w:iCs/>
        </w:rPr>
        <w:t>Frontiers in Ecology and the Environment</w:t>
      </w:r>
      <w:r w:rsidRPr="00E25215">
        <w:rPr>
          <w:rFonts w:cs="Times New Roman"/>
        </w:rPr>
        <w:t xml:space="preserve">, </w:t>
      </w:r>
      <w:r w:rsidRPr="00E25215">
        <w:rPr>
          <w:rFonts w:cs="Times New Roman"/>
          <w:i/>
          <w:iCs/>
        </w:rPr>
        <w:t>2</w:t>
      </w:r>
      <w:r w:rsidRPr="00E25215">
        <w:rPr>
          <w:rFonts w:cs="Times New Roman"/>
        </w:rPr>
        <w:t>(3), 131–138. https://doi.org/10.1890/1540-9295(2004)002[0131:BBWAAO]2.0.CO;2</w:t>
      </w:r>
    </w:p>
    <w:p w14:paraId="197C193D"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Pallewatta, N., Reaser, J. K., &amp; Gutierrez, A. T. (Eds.). (2003). Sri Lanka. In </w:t>
      </w:r>
      <w:r w:rsidRPr="00E25215">
        <w:rPr>
          <w:rFonts w:cs="Times New Roman"/>
          <w:i/>
          <w:iCs/>
        </w:rPr>
        <w:t>Invasive Alien Species in South-Southeast Asia: National Reports &amp; Directory of Resources</w:t>
      </w:r>
      <w:r w:rsidRPr="00E25215">
        <w:rPr>
          <w:rFonts w:cs="Times New Roman"/>
        </w:rPr>
        <w:t xml:space="preserve"> (p. 111). Global </w:t>
      </w:r>
      <w:r w:rsidRPr="00E25215">
        <w:rPr>
          <w:rFonts w:cs="Times New Roman"/>
        </w:rPr>
        <w:lastRenderedPageBreak/>
        <w:t>Invasive Species Programme. https://www.doi.gov/sites/doi.gov/files/uploads/invasive_alien_species_in_south_southeast_asia.pdf</w:t>
      </w:r>
    </w:p>
    <w:p w14:paraId="48E105F6"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Pándi, I., Penksza, K., Botta-Dukát, Z., &amp; Kröel-Dulay, G. (2014). People move but cultivated plants stay: Abandoned farmsteads support the persistence and spread of alien plants. </w:t>
      </w:r>
      <w:r w:rsidRPr="00E25215">
        <w:rPr>
          <w:rFonts w:cs="Times New Roman"/>
          <w:i/>
          <w:iCs/>
        </w:rPr>
        <w:t>Biodiversity and Conservation</w:t>
      </w:r>
      <w:r w:rsidRPr="00E25215">
        <w:rPr>
          <w:rFonts w:cs="Times New Roman"/>
        </w:rPr>
        <w:t xml:space="preserve">, </w:t>
      </w:r>
      <w:r w:rsidRPr="00E25215">
        <w:rPr>
          <w:rFonts w:cs="Times New Roman"/>
          <w:i/>
          <w:iCs/>
        </w:rPr>
        <w:t>23</w:t>
      </w:r>
      <w:r w:rsidRPr="00E25215">
        <w:rPr>
          <w:rFonts w:cs="Times New Roman"/>
        </w:rPr>
        <w:t>(5), 1289–1302. https://doi.org/10.1007/s10531-014-0665-y</w:t>
      </w:r>
    </w:p>
    <w:p w14:paraId="7BAE8F2C"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Panzavolta, T., Bracalini, M., Benigno, A., &amp; Moricca, S. (2021). Alien Invasive Pathogens and Pests Harming Trees, Forests, and Plantations: Pathways, Global Consequences and Management. </w:t>
      </w:r>
      <w:r w:rsidRPr="00E25215">
        <w:rPr>
          <w:rFonts w:cs="Times New Roman"/>
          <w:i/>
          <w:iCs/>
        </w:rPr>
        <w:t>Forests</w:t>
      </w:r>
      <w:r w:rsidRPr="00E25215">
        <w:rPr>
          <w:rFonts w:cs="Times New Roman"/>
        </w:rPr>
        <w:t xml:space="preserve">, </w:t>
      </w:r>
      <w:r w:rsidRPr="00E25215">
        <w:rPr>
          <w:rFonts w:cs="Times New Roman"/>
          <w:i/>
          <w:iCs/>
        </w:rPr>
        <w:t>12</w:t>
      </w:r>
      <w:r w:rsidRPr="00E25215">
        <w:rPr>
          <w:rFonts w:cs="Times New Roman"/>
        </w:rPr>
        <w:t>(10), Article 10. https://doi.org/10.3390/f12101364</w:t>
      </w:r>
    </w:p>
    <w:p w14:paraId="72B77EE5"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Papavlasopoulou, I., Perdikaris, C., Vardakas, L., &amp; Paschos, I. (2014). Enemy at the gates: Introduction potential of non-indigenous freshwater crayfish in Greece via the aquarium trade. </w:t>
      </w:r>
      <w:r w:rsidRPr="00E25215">
        <w:rPr>
          <w:rFonts w:cs="Times New Roman"/>
          <w:i/>
          <w:iCs/>
        </w:rPr>
        <w:t>Open Life Sciences</w:t>
      </w:r>
      <w:r w:rsidRPr="00E25215">
        <w:rPr>
          <w:rFonts w:cs="Times New Roman"/>
        </w:rPr>
        <w:t xml:space="preserve">, </w:t>
      </w:r>
      <w:r w:rsidRPr="00E25215">
        <w:rPr>
          <w:rFonts w:cs="Times New Roman"/>
          <w:i/>
          <w:iCs/>
        </w:rPr>
        <w:t>9</w:t>
      </w:r>
      <w:r w:rsidRPr="00E25215">
        <w:rPr>
          <w:rFonts w:cs="Times New Roman"/>
        </w:rPr>
        <w:t>(1), 11–18. https://doi.org/10.2478/s11535-013-0120-6</w:t>
      </w:r>
    </w:p>
    <w:p w14:paraId="048C1766"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Pardo, L. H., Fenn, M. E., Goodale, C. L., Geiser, L. H., Driscoll, C. T., Allen, E. B., Baron, J. S., Bobbink, R., Bowman, W. D., Clark, C. M., Emmett, B., Gilliam, F. S., Greaver, T. L., Hall, S. J., Lilleskov, E. A., Liu, L., Lynch, J. A., Nadelhoffer, K. J., Perakis, S. S., … Dennis, R. L. (2011). Effects of nitrogen deposition and empirical nitrogen critical loads for ecoregions of the United States. </w:t>
      </w:r>
      <w:r w:rsidRPr="00E25215">
        <w:rPr>
          <w:rFonts w:cs="Times New Roman"/>
          <w:i/>
          <w:iCs/>
        </w:rPr>
        <w:t>Ecological Applications</w:t>
      </w:r>
      <w:r w:rsidRPr="00E25215">
        <w:rPr>
          <w:rFonts w:cs="Times New Roman"/>
        </w:rPr>
        <w:t xml:space="preserve">, </w:t>
      </w:r>
      <w:r w:rsidRPr="00E25215">
        <w:rPr>
          <w:rFonts w:cs="Times New Roman"/>
          <w:i/>
          <w:iCs/>
        </w:rPr>
        <w:t>21</w:t>
      </w:r>
      <w:r w:rsidRPr="00E25215">
        <w:rPr>
          <w:rFonts w:cs="Times New Roman"/>
        </w:rPr>
        <w:t>(8), Article 8. https://doi.org/10.1890/10-2341.1</w:t>
      </w:r>
    </w:p>
    <w:p w14:paraId="0D6A4F71"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Parker, J. D., &amp; Hay, M. E. (2005). Biotic resistance to plant invasions? Native herbivores prefer non-native plants. </w:t>
      </w:r>
      <w:r w:rsidRPr="00E25215">
        <w:rPr>
          <w:rFonts w:cs="Times New Roman"/>
          <w:i/>
          <w:iCs/>
        </w:rPr>
        <w:t>Ecology Letters</w:t>
      </w:r>
      <w:r w:rsidRPr="00E25215">
        <w:rPr>
          <w:rFonts w:cs="Times New Roman"/>
        </w:rPr>
        <w:t xml:space="preserve">, </w:t>
      </w:r>
      <w:r w:rsidRPr="00E25215">
        <w:rPr>
          <w:rFonts w:cs="Times New Roman"/>
          <w:i/>
          <w:iCs/>
        </w:rPr>
        <w:t>8</w:t>
      </w:r>
      <w:r w:rsidRPr="00E25215">
        <w:rPr>
          <w:rFonts w:cs="Times New Roman"/>
        </w:rPr>
        <w:t>(9), 959–967. https://doi.org/10.1111/j.1461-0248.2005.00799.x</w:t>
      </w:r>
    </w:p>
    <w:p w14:paraId="42765C0C"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Parmesan, C., &amp; Yohe, G. (2003). A globally coherent fingerprint of climate change impacts across natural systems. </w:t>
      </w:r>
      <w:r w:rsidRPr="00E25215">
        <w:rPr>
          <w:rFonts w:cs="Times New Roman"/>
          <w:i/>
          <w:iCs/>
        </w:rPr>
        <w:t>Nature</w:t>
      </w:r>
      <w:r w:rsidRPr="00E25215">
        <w:rPr>
          <w:rFonts w:cs="Times New Roman"/>
        </w:rPr>
        <w:t xml:space="preserve">, </w:t>
      </w:r>
      <w:r w:rsidRPr="00E25215">
        <w:rPr>
          <w:rFonts w:cs="Times New Roman"/>
          <w:i/>
          <w:iCs/>
        </w:rPr>
        <w:t>421</w:t>
      </w:r>
      <w:r w:rsidRPr="00E25215">
        <w:rPr>
          <w:rFonts w:cs="Times New Roman"/>
        </w:rPr>
        <w:t>(6918), Article 6918. https://doi.org/10.1038/nature01286</w:t>
      </w:r>
    </w:p>
    <w:p w14:paraId="51B60276"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Pasiecznik, N. M., Choge, S. K., Rosenfeld, A. B., &amp; Harris, P. J. C. (2007). Underutilised crops for famine and poverty alleviation: A case study on the potential of the multipurpose </w:t>
      </w:r>
      <w:r w:rsidRPr="00E25215">
        <w:rPr>
          <w:rFonts w:cs="Times New Roman"/>
          <w:i/>
          <w:iCs/>
        </w:rPr>
        <w:t>Prosopis</w:t>
      </w:r>
      <w:r w:rsidRPr="00E25215">
        <w:rPr>
          <w:rFonts w:cs="Times New Roman"/>
        </w:rPr>
        <w:t xml:space="preserve"> tree. </w:t>
      </w:r>
      <w:r w:rsidRPr="00E25215">
        <w:rPr>
          <w:rFonts w:cs="Times New Roman"/>
          <w:i/>
          <w:iCs/>
        </w:rPr>
        <w:t>5th International Symposium on New Crops and Uses: Their Role in a Rapidly Changing World</w:t>
      </w:r>
      <w:r w:rsidRPr="00E25215">
        <w:rPr>
          <w:rFonts w:cs="Times New Roman"/>
        </w:rPr>
        <w:t>, 326–346. https://eprints.soton.ac.uk/74294/1/New.pdf#page=329</w:t>
      </w:r>
    </w:p>
    <w:p w14:paraId="4E895B5B"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Pauchard, A., Milbau, A., Albihn, A., Alexander, J., Burgess, T., Daehler, C., Englund, G., Essl, F., Evengård, B., Greenwood, G. B., Haider, S., Lenoir, J., McDougall, K., Muths, E., Nuñez, M. A., Olofsson, J., Pellissier, L., Rabitsch, W., Rew, L. J., … Kueffer, C. (2016). Non-native and native organisms moving into high elevation and high latitude ecosystems in an era of climate change: New challenges for ecology and conservation. </w:t>
      </w:r>
      <w:r w:rsidRPr="00E25215">
        <w:rPr>
          <w:rFonts w:cs="Times New Roman"/>
          <w:i/>
          <w:iCs/>
        </w:rPr>
        <w:t>Biological Invasions</w:t>
      </w:r>
      <w:r w:rsidRPr="00E25215">
        <w:rPr>
          <w:rFonts w:cs="Times New Roman"/>
        </w:rPr>
        <w:t xml:space="preserve">, </w:t>
      </w:r>
      <w:r w:rsidRPr="00E25215">
        <w:rPr>
          <w:rFonts w:cs="Times New Roman"/>
          <w:i/>
          <w:iCs/>
        </w:rPr>
        <w:t>18</w:t>
      </w:r>
      <w:r w:rsidRPr="00E25215">
        <w:rPr>
          <w:rFonts w:cs="Times New Roman"/>
        </w:rPr>
        <w:t>(2), 345–353. https://doi.org/10.1007/s10530-015-1025-x</w:t>
      </w:r>
    </w:p>
    <w:p w14:paraId="0682A0E2"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Pausas, J. G., &amp; Keeley, J. E. (2019). Wildfires as an ecosystem service. </w:t>
      </w:r>
      <w:r w:rsidRPr="00E25215">
        <w:rPr>
          <w:rFonts w:cs="Times New Roman"/>
          <w:i/>
          <w:iCs/>
        </w:rPr>
        <w:t>Frontiers in Ecology and the Environment</w:t>
      </w:r>
      <w:r w:rsidRPr="00E25215">
        <w:rPr>
          <w:rFonts w:cs="Times New Roman"/>
        </w:rPr>
        <w:t xml:space="preserve">, </w:t>
      </w:r>
      <w:r w:rsidRPr="00E25215">
        <w:rPr>
          <w:rFonts w:cs="Times New Roman"/>
          <w:i/>
          <w:iCs/>
        </w:rPr>
        <w:t>17</w:t>
      </w:r>
      <w:r w:rsidRPr="00E25215">
        <w:rPr>
          <w:rFonts w:cs="Times New Roman"/>
        </w:rPr>
        <w:t>(5), Article 5. https://doi.org/10.1002/fee.2044</w:t>
      </w:r>
    </w:p>
    <w:p w14:paraId="5C62A404" w14:textId="77777777" w:rsidR="001379C0" w:rsidRPr="00E25215" w:rsidRDefault="001379C0" w:rsidP="009B3E7F">
      <w:pPr>
        <w:pStyle w:val="Bibliography"/>
        <w:spacing w:before="0" w:after="0" w:line="240" w:lineRule="auto"/>
        <w:rPr>
          <w:rFonts w:cs="Times New Roman"/>
        </w:rPr>
      </w:pPr>
      <w:r w:rsidRPr="00E25215">
        <w:rPr>
          <w:rFonts w:cs="Times New Roman"/>
        </w:rPr>
        <w:t>Pautasso, M., Aas, G., Queloz, V., &amp; Holdenrieder, O. (2013). European ash (</w:t>
      </w:r>
      <w:r w:rsidRPr="00E25215">
        <w:rPr>
          <w:rFonts w:cs="Times New Roman"/>
          <w:i/>
          <w:iCs/>
        </w:rPr>
        <w:t>Fraxinus excelsior</w:t>
      </w:r>
      <w:r w:rsidRPr="00E25215">
        <w:rPr>
          <w:rFonts w:cs="Times New Roman"/>
        </w:rPr>
        <w:t xml:space="preserve">) dieback–A conservation biology challenge. </w:t>
      </w:r>
      <w:r w:rsidRPr="00E25215">
        <w:rPr>
          <w:rFonts w:cs="Times New Roman"/>
          <w:i/>
          <w:iCs/>
        </w:rPr>
        <w:t>Biological Conservation</w:t>
      </w:r>
      <w:r w:rsidRPr="00E25215">
        <w:rPr>
          <w:rFonts w:cs="Times New Roman"/>
        </w:rPr>
        <w:t xml:space="preserve">, </w:t>
      </w:r>
      <w:r w:rsidRPr="00E25215">
        <w:rPr>
          <w:rFonts w:cs="Times New Roman"/>
          <w:i/>
          <w:iCs/>
        </w:rPr>
        <w:t>158</w:t>
      </w:r>
      <w:r w:rsidRPr="00E25215">
        <w:rPr>
          <w:rFonts w:cs="Times New Roman"/>
        </w:rPr>
        <w:t>, 37–49.</w:t>
      </w:r>
    </w:p>
    <w:p w14:paraId="4F3B03D8"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Pendrill, F., Persson, U. M., Godar, J., Kastner, T., Moran, D., Schmidt, S., &amp; Wood, R. (2019). Agricultural and forestry trade drives large share of tropical deforestation emissions. </w:t>
      </w:r>
      <w:r w:rsidRPr="00E25215">
        <w:rPr>
          <w:rFonts w:cs="Times New Roman"/>
          <w:i/>
          <w:iCs/>
        </w:rPr>
        <w:t>Global Environmental Change-Human and Policy Dimensions</w:t>
      </w:r>
      <w:r w:rsidRPr="00E25215">
        <w:rPr>
          <w:rFonts w:cs="Times New Roman"/>
        </w:rPr>
        <w:t xml:space="preserve">, </w:t>
      </w:r>
      <w:r w:rsidRPr="00E25215">
        <w:rPr>
          <w:rFonts w:cs="Times New Roman"/>
          <w:i/>
          <w:iCs/>
        </w:rPr>
        <w:t>56</w:t>
      </w:r>
      <w:r w:rsidRPr="00E25215">
        <w:rPr>
          <w:rFonts w:cs="Times New Roman"/>
        </w:rPr>
        <w:t>, 1–10. https://doi.org/10.1016/j.gloenvcha.2019.03.002</w:t>
      </w:r>
    </w:p>
    <w:p w14:paraId="260F5FDE"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Pereira, H. M., Leadley, P. W., Proença, V., Alkemade, R., Scharlemann, J. P. W., Fernandez-Manjarrés, J. F., Araújo, M. B., Balvanera, P., Biggs, R., Cheung, W. W. L., Chini, L., Cooper, H. D., Gilman, E. L., Guénette, S., Hurtt, G. C., Huntington, H. P., Mace, G. M., Oberdorff, T., Revenga, C., … Walpole, M. (2010). Scenarios for Global Biodiversity in the 21st Century. </w:t>
      </w:r>
      <w:r w:rsidRPr="00E25215">
        <w:rPr>
          <w:rFonts w:cs="Times New Roman"/>
          <w:i/>
          <w:iCs/>
        </w:rPr>
        <w:t>Science</w:t>
      </w:r>
      <w:r w:rsidRPr="00E25215">
        <w:rPr>
          <w:rFonts w:cs="Times New Roman"/>
        </w:rPr>
        <w:t xml:space="preserve">, </w:t>
      </w:r>
      <w:r w:rsidRPr="00E25215">
        <w:rPr>
          <w:rFonts w:cs="Times New Roman"/>
          <w:i/>
          <w:iCs/>
        </w:rPr>
        <w:t>330</w:t>
      </w:r>
      <w:r w:rsidRPr="00E25215">
        <w:rPr>
          <w:rFonts w:cs="Times New Roman"/>
        </w:rPr>
        <w:t>(6010), 1496–1501. https://doi.org/10.1126/science.1196624</w:t>
      </w:r>
    </w:p>
    <w:p w14:paraId="36DD9ECA"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Peres, C. K., Lambrecht, R. W., Tavares, D. A., &amp; Chiba de Castro, W. A. (2018). Alien Express: The threat of aquarium e-commerce introducing invasive aquatic plants in Brazil. </w:t>
      </w:r>
      <w:r w:rsidRPr="00E25215">
        <w:rPr>
          <w:rFonts w:cs="Times New Roman"/>
          <w:i/>
          <w:iCs/>
        </w:rPr>
        <w:t>Perspectives in Ecology and Conservation</w:t>
      </w:r>
      <w:r w:rsidRPr="00E25215">
        <w:rPr>
          <w:rFonts w:cs="Times New Roman"/>
        </w:rPr>
        <w:t xml:space="preserve">, </w:t>
      </w:r>
      <w:r w:rsidRPr="00E25215">
        <w:rPr>
          <w:rFonts w:cs="Times New Roman"/>
          <w:i/>
          <w:iCs/>
        </w:rPr>
        <w:t>16</w:t>
      </w:r>
      <w:r w:rsidRPr="00E25215">
        <w:rPr>
          <w:rFonts w:cs="Times New Roman"/>
        </w:rPr>
        <w:t>(4), 221–227. https://doi.org/10.1016/j.pecon.2018.10.001</w:t>
      </w:r>
    </w:p>
    <w:p w14:paraId="6F218EBC" w14:textId="77777777" w:rsidR="001379C0" w:rsidRPr="00E25215" w:rsidRDefault="001379C0" w:rsidP="009B3E7F">
      <w:pPr>
        <w:pStyle w:val="Bibliography"/>
        <w:spacing w:before="0" w:after="0" w:line="240" w:lineRule="auto"/>
        <w:rPr>
          <w:rFonts w:cs="Times New Roman"/>
        </w:rPr>
      </w:pPr>
      <w:r w:rsidRPr="00E25215">
        <w:rPr>
          <w:rFonts w:cs="Times New Roman"/>
        </w:rPr>
        <w:lastRenderedPageBreak/>
        <w:t xml:space="preserve">Pérez, J. E., Alfonsi, C., Nirchio, M., Muñoz, C., &amp; Gómez, J. A. (2003). The introduction of exotic species in aquaculture: A solution or part of the problem? </w:t>
      </w:r>
      <w:r w:rsidRPr="00E25215">
        <w:rPr>
          <w:rFonts w:cs="Times New Roman"/>
          <w:i/>
          <w:iCs/>
        </w:rPr>
        <w:t>Interciencia</w:t>
      </w:r>
      <w:r w:rsidRPr="00E25215">
        <w:rPr>
          <w:rFonts w:cs="Times New Roman"/>
        </w:rPr>
        <w:t xml:space="preserve">, </w:t>
      </w:r>
      <w:r w:rsidRPr="00E25215">
        <w:rPr>
          <w:rFonts w:cs="Times New Roman"/>
          <w:i/>
          <w:iCs/>
        </w:rPr>
        <w:t>28</w:t>
      </w:r>
      <w:r w:rsidRPr="00E25215">
        <w:rPr>
          <w:rFonts w:cs="Times New Roman"/>
        </w:rPr>
        <w:t>(4), 234–238. https://www.researchgate.net/publication/233808881_The_introduction_of_exotic_species_in_aquaculture_A_solution_or_part_of_the_problem</w:t>
      </w:r>
    </w:p>
    <w:p w14:paraId="756DBCF4"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Perrings, C. (2010). Exotic effects of capital accumulation. </w:t>
      </w:r>
      <w:r w:rsidRPr="00E25215">
        <w:rPr>
          <w:rFonts w:cs="Times New Roman"/>
          <w:i/>
          <w:iCs/>
        </w:rPr>
        <w:t>Proceedings of the National Academy of Sciences</w:t>
      </w:r>
      <w:r w:rsidRPr="00E25215">
        <w:rPr>
          <w:rFonts w:cs="Times New Roman"/>
        </w:rPr>
        <w:t xml:space="preserve">, </w:t>
      </w:r>
      <w:r w:rsidRPr="00E25215">
        <w:rPr>
          <w:rFonts w:cs="Times New Roman"/>
          <w:i/>
          <w:iCs/>
        </w:rPr>
        <w:t>107</w:t>
      </w:r>
      <w:r w:rsidRPr="00E25215">
        <w:rPr>
          <w:rFonts w:cs="Times New Roman"/>
        </w:rPr>
        <w:t>(27), Article 27. https://doi.org/10.1073/pnas.1007335107</w:t>
      </w:r>
    </w:p>
    <w:p w14:paraId="0DF6C3D2"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Perrings, C., Dehnen-Schmutz, K., Touza, J., &amp; Williamson, M. (2005). How to manage biological invasions under globalization. </w:t>
      </w:r>
      <w:r w:rsidRPr="00E25215">
        <w:rPr>
          <w:rFonts w:cs="Times New Roman"/>
          <w:i/>
          <w:iCs/>
        </w:rPr>
        <w:t>Trends in Ecology &amp; Evolution</w:t>
      </w:r>
      <w:r w:rsidRPr="00E25215">
        <w:rPr>
          <w:rFonts w:cs="Times New Roman"/>
        </w:rPr>
        <w:t xml:space="preserve">, </w:t>
      </w:r>
      <w:r w:rsidRPr="00E25215">
        <w:rPr>
          <w:rFonts w:cs="Times New Roman"/>
          <w:i/>
          <w:iCs/>
        </w:rPr>
        <w:t>20</w:t>
      </w:r>
      <w:r w:rsidRPr="00E25215">
        <w:rPr>
          <w:rFonts w:cs="Times New Roman"/>
        </w:rPr>
        <w:t>(5), 212–215. https://doi.org/10.1016/j.tree.2005.02.011</w:t>
      </w:r>
    </w:p>
    <w:p w14:paraId="4EC30769"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Persley, D. M., &amp; Syme, J. R. (1990). </w:t>
      </w:r>
      <w:r w:rsidRPr="00E25215">
        <w:rPr>
          <w:rFonts w:cs="Times New Roman"/>
          <w:i/>
          <w:iCs/>
        </w:rPr>
        <w:t>Field Crops and Pastures: A Disease Management Guide</w:t>
      </w:r>
      <w:r w:rsidRPr="00E25215">
        <w:rPr>
          <w:rFonts w:cs="Times New Roman"/>
        </w:rPr>
        <w:t>. Queensland Department of Primary Industries, Brisbane, Australia.</w:t>
      </w:r>
    </w:p>
    <w:p w14:paraId="2B0022DC"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Pesante, D. G., Rinderer, T. E., &amp; Collins, A. M. (1987). Differential Pollen Collection by Africanized and European Honeybees in Venezuela. </w:t>
      </w:r>
      <w:r w:rsidRPr="00E25215">
        <w:rPr>
          <w:rFonts w:cs="Times New Roman"/>
          <w:i/>
          <w:iCs/>
        </w:rPr>
        <w:t>Journal of Apicultural Research</w:t>
      </w:r>
      <w:r w:rsidRPr="00E25215">
        <w:rPr>
          <w:rFonts w:cs="Times New Roman"/>
        </w:rPr>
        <w:t xml:space="preserve">, </w:t>
      </w:r>
      <w:r w:rsidRPr="00E25215">
        <w:rPr>
          <w:rFonts w:cs="Times New Roman"/>
          <w:i/>
          <w:iCs/>
        </w:rPr>
        <w:t>26</w:t>
      </w:r>
      <w:r w:rsidRPr="00E25215">
        <w:rPr>
          <w:rFonts w:cs="Times New Roman"/>
        </w:rPr>
        <w:t>(1), 24–29. https://doi.org/10.1080/00218839.1987.11100730</w:t>
      </w:r>
    </w:p>
    <w:p w14:paraId="3F4611FC" w14:textId="77777777" w:rsidR="001379C0" w:rsidRPr="00E25215" w:rsidRDefault="001379C0" w:rsidP="009B3E7F">
      <w:pPr>
        <w:pStyle w:val="Bibliography"/>
        <w:spacing w:before="0" w:after="0" w:line="240" w:lineRule="auto"/>
        <w:rPr>
          <w:rFonts w:cs="Times New Roman"/>
        </w:rPr>
      </w:pPr>
      <w:r w:rsidRPr="00E25215">
        <w:rPr>
          <w:rFonts w:cs="Times New Roman"/>
        </w:rPr>
        <w:t>Pessel, D., Lecomte, J., Emeriau, V., Krouti, M., Messean, A., &amp; Gouyon, P. H. (2001). Persistence of oilseed rape (</w:t>
      </w:r>
      <w:r w:rsidRPr="00E25215">
        <w:rPr>
          <w:rFonts w:cs="Times New Roman"/>
          <w:i/>
          <w:iCs/>
        </w:rPr>
        <w:t>Brassica napus</w:t>
      </w:r>
      <w:r w:rsidRPr="00E25215">
        <w:rPr>
          <w:rFonts w:cs="Times New Roman"/>
        </w:rPr>
        <w:t xml:space="preserve"> L.) outside of cultivated fields. </w:t>
      </w:r>
      <w:r w:rsidRPr="00E25215">
        <w:rPr>
          <w:rFonts w:cs="Times New Roman"/>
          <w:i/>
          <w:iCs/>
        </w:rPr>
        <w:t>Theoretical and Applied Genetics</w:t>
      </w:r>
      <w:r w:rsidRPr="00E25215">
        <w:rPr>
          <w:rFonts w:cs="Times New Roman"/>
        </w:rPr>
        <w:t xml:space="preserve">, </w:t>
      </w:r>
      <w:r w:rsidRPr="00E25215">
        <w:rPr>
          <w:rFonts w:cs="Times New Roman"/>
          <w:i/>
          <w:iCs/>
        </w:rPr>
        <w:t>102</w:t>
      </w:r>
      <w:r w:rsidRPr="00E25215">
        <w:rPr>
          <w:rFonts w:cs="Times New Roman"/>
        </w:rPr>
        <w:t>(6), 841–846. https://doi.org/10.1007/s001220100583</w:t>
      </w:r>
    </w:p>
    <w:p w14:paraId="7E2CD5FF"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Petrick, S., Riemann-Campe, K., Hoog, S., Growitsch, C., Schwind, H., Gerdes, R., &amp; Rehdanz, K. (2017). Climate change, future Arctic Sea ice, and the competitiveness of European Arctic offshore oil and gas production on world markets. </w:t>
      </w:r>
      <w:r w:rsidRPr="00E25215">
        <w:rPr>
          <w:rFonts w:cs="Times New Roman"/>
          <w:i/>
          <w:iCs/>
        </w:rPr>
        <w:t>Ambio</w:t>
      </w:r>
      <w:r w:rsidRPr="00E25215">
        <w:rPr>
          <w:rFonts w:cs="Times New Roman"/>
        </w:rPr>
        <w:t xml:space="preserve">, </w:t>
      </w:r>
      <w:r w:rsidRPr="00E25215">
        <w:rPr>
          <w:rFonts w:cs="Times New Roman"/>
          <w:i/>
          <w:iCs/>
        </w:rPr>
        <w:t>46</w:t>
      </w:r>
      <w:r w:rsidRPr="00E25215">
        <w:rPr>
          <w:rFonts w:cs="Times New Roman"/>
        </w:rPr>
        <w:t>(3), 410–422. https://doi.org/10.1007/s13280-017-0957-z</w:t>
      </w:r>
    </w:p>
    <w:p w14:paraId="191A9598"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Petrides, G. A. (1975). The importation of wild ungulates into Latin America, with remarks on their environmental effects. </w:t>
      </w:r>
      <w:r w:rsidRPr="00E25215">
        <w:rPr>
          <w:rFonts w:cs="Times New Roman"/>
          <w:i/>
          <w:iCs/>
        </w:rPr>
        <w:t>Environmental Conservation</w:t>
      </w:r>
      <w:r w:rsidRPr="00E25215">
        <w:rPr>
          <w:rFonts w:cs="Times New Roman"/>
        </w:rPr>
        <w:t xml:space="preserve">, </w:t>
      </w:r>
      <w:r w:rsidRPr="00E25215">
        <w:rPr>
          <w:rFonts w:cs="Times New Roman"/>
          <w:i/>
          <w:iCs/>
        </w:rPr>
        <w:t>2</w:t>
      </w:r>
      <w:r w:rsidRPr="00E25215">
        <w:rPr>
          <w:rFonts w:cs="Times New Roman"/>
        </w:rPr>
        <w:t>(1), 47–51. https://doi.org/10.1017/S0376892900000667</w:t>
      </w:r>
    </w:p>
    <w:p w14:paraId="2BE9A8BC"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Pfeifer-Meister, L., Cole, E. M., Roy, B. A., &amp; Bridgham, S. D. (2008). Abiotic constraints on the competitive ability of exotic and native grasses in a Pacific Northwest prairie. </w:t>
      </w:r>
      <w:r w:rsidRPr="00E25215">
        <w:rPr>
          <w:rFonts w:cs="Times New Roman"/>
          <w:i/>
          <w:iCs/>
        </w:rPr>
        <w:t>Oecologia</w:t>
      </w:r>
      <w:r w:rsidRPr="00E25215">
        <w:rPr>
          <w:rFonts w:cs="Times New Roman"/>
        </w:rPr>
        <w:t xml:space="preserve">, </w:t>
      </w:r>
      <w:r w:rsidRPr="00E25215">
        <w:rPr>
          <w:rFonts w:cs="Times New Roman"/>
          <w:i/>
          <w:iCs/>
        </w:rPr>
        <w:t>155</w:t>
      </w:r>
      <w:r w:rsidRPr="00E25215">
        <w:rPr>
          <w:rFonts w:cs="Times New Roman"/>
        </w:rPr>
        <w:t>(2), 357–366. https://doi.org/10.1007/s00442-007-0909-6</w:t>
      </w:r>
    </w:p>
    <w:p w14:paraId="3DFAF6D5"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Phillips, M. L., Murray, B. R., Py\vsek, P., Pergl, J., Jaro\vsík, V., Chytrý, M., &amp; Kühn, I. (2010). </w:t>
      </w:r>
      <w:r w:rsidRPr="00E25215">
        <w:rPr>
          <w:rFonts w:cs="Times New Roman"/>
          <w:i/>
          <w:iCs/>
        </w:rPr>
        <w:t>Plant species of the Central European flora as aliens in Australia</w:t>
      </w:r>
      <w:r w:rsidRPr="00E25215">
        <w:rPr>
          <w:rFonts w:cs="Times New Roman"/>
        </w:rPr>
        <w:t>.</w:t>
      </w:r>
    </w:p>
    <w:p w14:paraId="5FDC2E9B"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Pickering, C., &amp; Hill, W. (2007). Roadside weeds of the snowy mountains, Australia. </w:t>
      </w:r>
      <w:r w:rsidRPr="00E25215">
        <w:rPr>
          <w:rFonts w:cs="Times New Roman"/>
          <w:i/>
          <w:iCs/>
        </w:rPr>
        <w:t>Mountain Research and Development</w:t>
      </w:r>
      <w:r w:rsidRPr="00E25215">
        <w:rPr>
          <w:rFonts w:cs="Times New Roman"/>
        </w:rPr>
        <w:t xml:space="preserve">, </w:t>
      </w:r>
      <w:r w:rsidRPr="00E25215">
        <w:rPr>
          <w:rFonts w:cs="Times New Roman"/>
          <w:i/>
          <w:iCs/>
        </w:rPr>
        <w:t>27</w:t>
      </w:r>
      <w:r w:rsidRPr="00E25215">
        <w:rPr>
          <w:rFonts w:cs="Times New Roman"/>
        </w:rPr>
        <w:t>(4), 359–367. https://doi.org/10.1659/mrd.0805</w:t>
      </w:r>
    </w:p>
    <w:p w14:paraId="1CF4D95C"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Pickering, C., &amp; Mount, A. (2010). Do tourists disperse weed seed? A global review of unintentional human-mediated terrestrial seed dispersal on clothing, vehicles and horses. </w:t>
      </w:r>
      <w:r w:rsidRPr="00E25215">
        <w:rPr>
          <w:rFonts w:cs="Times New Roman"/>
          <w:i/>
          <w:iCs/>
        </w:rPr>
        <w:t>Journal of Sustainable Tourism</w:t>
      </w:r>
      <w:r w:rsidRPr="00E25215">
        <w:rPr>
          <w:rFonts w:cs="Times New Roman"/>
        </w:rPr>
        <w:t xml:space="preserve">, </w:t>
      </w:r>
      <w:r w:rsidRPr="00E25215">
        <w:rPr>
          <w:rFonts w:cs="Times New Roman"/>
          <w:i/>
          <w:iCs/>
        </w:rPr>
        <w:t>18</w:t>
      </w:r>
      <w:r w:rsidRPr="00E25215">
        <w:rPr>
          <w:rFonts w:cs="Times New Roman"/>
        </w:rPr>
        <w:t>(2), 239–256. https://doi.org/10.1080/09669580903406613</w:t>
      </w:r>
    </w:p>
    <w:p w14:paraId="78436B38"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Pienimäki, M., &amp; Leppäkoski, E. (2004). Invasion Pressure on the Finnish Lake District: Invasion Corridors and Barriers. </w:t>
      </w:r>
      <w:r w:rsidRPr="00E25215">
        <w:rPr>
          <w:rFonts w:cs="Times New Roman"/>
          <w:i/>
          <w:iCs/>
        </w:rPr>
        <w:t>Biological Invasions</w:t>
      </w:r>
      <w:r w:rsidRPr="00E25215">
        <w:rPr>
          <w:rFonts w:cs="Times New Roman"/>
        </w:rPr>
        <w:t xml:space="preserve">, </w:t>
      </w:r>
      <w:r w:rsidRPr="00E25215">
        <w:rPr>
          <w:rFonts w:cs="Times New Roman"/>
          <w:i/>
          <w:iCs/>
        </w:rPr>
        <w:t>6</w:t>
      </w:r>
      <w:r w:rsidRPr="00E25215">
        <w:rPr>
          <w:rFonts w:cs="Times New Roman"/>
        </w:rPr>
        <w:t>(3), 331–346. https://doi.org/10.1023/B:BINV.0000034607.00490.95</w:t>
      </w:r>
    </w:p>
    <w:p w14:paraId="4D754A84"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Pietsch, M. (2005). </w:t>
      </w:r>
      <w:r w:rsidRPr="00E25215">
        <w:rPr>
          <w:rFonts w:cs="Times New Roman"/>
          <w:i/>
          <w:iCs/>
        </w:rPr>
        <w:t>Soil and biowaste as potential pathways for invasive alien species, and regulatory approaches to minimize the risks</w:t>
      </w:r>
      <w:r w:rsidRPr="00E25215">
        <w:rPr>
          <w:rFonts w:cs="Times New Roman"/>
        </w:rPr>
        <w:t xml:space="preserve">. </w:t>
      </w:r>
      <w:r w:rsidRPr="00E25215">
        <w:rPr>
          <w:rFonts w:cs="Times New Roman"/>
          <w:i/>
          <w:iCs/>
        </w:rPr>
        <w:t>81</w:t>
      </w:r>
      <w:r w:rsidRPr="00E25215">
        <w:rPr>
          <w:rFonts w:cs="Times New Roman"/>
        </w:rPr>
        <w:t>.</w:t>
      </w:r>
    </w:p>
    <w:p w14:paraId="27B87781"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Pilcher, H. R. (2004). US army may have killed Italian trees. </w:t>
      </w:r>
      <w:r w:rsidRPr="00E25215">
        <w:rPr>
          <w:rFonts w:cs="Times New Roman"/>
          <w:i/>
          <w:iCs/>
        </w:rPr>
        <w:t>Nature</w:t>
      </w:r>
      <w:r w:rsidRPr="00E25215">
        <w:rPr>
          <w:rFonts w:cs="Times New Roman"/>
        </w:rPr>
        <w:t>, news040405-1. https://doi.org/10.1038/news040405-1</w:t>
      </w:r>
    </w:p>
    <w:p w14:paraId="6ACD69A0"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Pimentel, D., Acquay, H., Biltonen, M., Rice, P., Silva, M., Nelson, J., Lipner, V., Giordano, S., Horowitz, A., &amp; D’Amore, M. (1992). Environmental and Economic Costs of Pesticide Use. </w:t>
      </w:r>
      <w:r w:rsidRPr="00E25215">
        <w:rPr>
          <w:rFonts w:cs="Times New Roman"/>
          <w:i/>
          <w:iCs/>
        </w:rPr>
        <w:t>BioScience</w:t>
      </w:r>
      <w:r w:rsidRPr="00E25215">
        <w:rPr>
          <w:rFonts w:cs="Times New Roman"/>
        </w:rPr>
        <w:t xml:space="preserve">, </w:t>
      </w:r>
      <w:r w:rsidRPr="00E25215">
        <w:rPr>
          <w:rFonts w:cs="Times New Roman"/>
          <w:i/>
          <w:iCs/>
        </w:rPr>
        <w:t>42</w:t>
      </w:r>
      <w:r w:rsidRPr="00E25215">
        <w:rPr>
          <w:rFonts w:cs="Times New Roman"/>
        </w:rPr>
        <w:t>(10), 750–760. https://doi.org/10.2307/1311994</w:t>
      </w:r>
    </w:p>
    <w:p w14:paraId="655A1031"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Pimentel, D., McNair, S., Janecka, J., Wightman, J., Simmonds, C., O’Connell, C., Wong, E., Russel, L., Zern, J., Aquino, T., &amp; Tsomondo, T. (2001). Economic and environmental threats of alien plant, animal, and microbe invasions. </w:t>
      </w:r>
      <w:r w:rsidRPr="00E25215">
        <w:rPr>
          <w:rFonts w:cs="Times New Roman"/>
          <w:i/>
          <w:iCs/>
        </w:rPr>
        <w:t>Agriculture, Ecosystems &amp; Environment</w:t>
      </w:r>
      <w:r w:rsidRPr="00E25215">
        <w:rPr>
          <w:rFonts w:cs="Times New Roman"/>
        </w:rPr>
        <w:t xml:space="preserve">, </w:t>
      </w:r>
      <w:r w:rsidRPr="00E25215">
        <w:rPr>
          <w:rFonts w:cs="Times New Roman"/>
          <w:i/>
          <w:iCs/>
        </w:rPr>
        <w:t>84</w:t>
      </w:r>
      <w:r w:rsidRPr="00E25215">
        <w:rPr>
          <w:rFonts w:cs="Times New Roman"/>
        </w:rPr>
        <w:t>(1), Article 1. https://doi.org/10.1016/S0167-8809(00)00178-X</w:t>
      </w:r>
    </w:p>
    <w:p w14:paraId="4B2C0563"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Pinochet, J., Urbina, M. A., &amp; Lagos, M. E. (2020). Marine invertebrate larvae love plastics: Habitat selection and settlement on artificial substrates. </w:t>
      </w:r>
      <w:r w:rsidRPr="00E25215">
        <w:rPr>
          <w:rFonts w:cs="Times New Roman"/>
          <w:i/>
          <w:iCs/>
        </w:rPr>
        <w:t>Environmental Pollution</w:t>
      </w:r>
      <w:r w:rsidRPr="00E25215">
        <w:rPr>
          <w:rFonts w:cs="Times New Roman"/>
        </w:rPr>
        <w:t xml:space="preserve">, </w:t>
      </w:r>
      <w:r w:rsidRPr="00E25215">
        <w:rPr>
          <w:rFonts w:cs="Times New Roman"/>
          <w:i/>
          <w:iCs/>
        </w:rPr>
        <w:t>257</w:t>
      </w:r>
      <w:r w:rsidRPr="00E25215">
        <w:rPr>
          <w:rFonts w:cs="Times New Roman"/>
        </w:rPr>
        <w:t>, 113571. https://doi.org/10.1016/j.envpol.2019.113571</w:t>
      </w:r>
    </w:p>
    <w:p w14:paraId="72D77BC8" w14:textId="77777777" w:rsidR="001379C0" w:rsidRPr="00E25215" w:rsidRDefault="001379C0" w:rsidP="009B3E7F">
      <w:pPr>
        <w:pStyle w:val="Bibliography"/>
        <w:spacing w:before="0" w:after="0" w:line="240" w:lineRule="auto"/>
        <w:rPr>
          <w:rFonts w:cs="Times New Roman"/>
        </w:rPr>
      </w:pPr>
      <w:r w:rsidRPr="00E25215">
        <w:rPr>
          <w:rFonts w:cs="Times New Roman"/>
        </w:rPr>
        <w:lastRenderedPageBreak/>
        <w:t xml:space="preserve">Piola, R. F., &amp; Johnston, E. L. (2008). Pollution reduces native diversity and increases invader dominance in marine hard-substrate communities. </w:t>
      </w:r>
      <w:r w:rsidRPr="00E25215">
        <w:rPr>
          <w:rFonts w:cs="Times New Roman"/>
          <w:i/>
          <w:iCs/>
        </w:rPr>
        <w:t>Diversity and Distributions</w:t>
      </w:r>
      <w:r w:rsidRPr="00E25215">
        <w:rPr>
          <w:rFonts w:cs="Times New Roman"/>
        </w:rPr>
        <w:t xml:space="preserve">, </w:t>
      </w:r>
      <w:r w:rsidRPr="00E25215">
        <w:rPr>
          <w:rFonts w:cs="Times New Roman"/>
          <w:i/>
          <w:iCs/>
        </w:rPr>
        <w:t>14</w:t>
      </w:r>
      <w:r w:rsidRPr="00E25215">
        <w:rPr>
          <w:rFonts w:cs="Times New Roman"/>
        </w:rPr>
        <w:t>(2), 329–342. https://doi.org/10.1111/j.1472-4642.2007.00430.x</w:t>
      </w:r>
    </w:p>
    <w:p w14:paraId="4FB4992C"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Piria, M., Simonović, P., Kalogianni, E., Vardakas, L., Koutsikos, N., Zanella, D., Ristovska, M., Apostolou, A., Adrović, A., Mrdak, D., Tarkan, A. S., Milošević, D., Zanella, L. N., Bakiu, R., Ekmekçi, F. G., Povž, M., Korro, K., Nikolić, V., Škrijelj, R., … Joy, M. K. (2018). Alien freshwater fish species in the Balkans-Vectors and pathways of introduction. </w:t>
      </w:r>
      <w:r w:rsidRPr="00E25215">
        <w:rPr>
          <w:rFonts w:cs="Times New Roman"/>
          <w:i/>
          <w:iCs/>
        </w:rPr>
        <w:t>Fish and Fisheries</w:t>
      </w:r>
      <w:r w:rsidRPr="00E25215">
        <w:rPr>
          <w:rFonts w:cs="Times New Roman"/>
        </w:rPr>
        <w:t xml:space="preserve">, </w:t>
      </w:r>
      <w:r w:rsidRPr="00E25215">
        <w:rPr>
          <w:rFonts w:cs="Times New Roman"/>
          <w:i/>
          <w:iCs/>
        </w:rPr>
        <w:t>19</w:t>
      </w:r>
      <w:r w:rsidRPr="00E25215">
        <w:rPr>
          <w:rFonts w:cs="Times New Roman"/>
        </w:rPr>
        <w:t>(1), 138–169. https://doi.org/10.1111/faf.12242</w:t>
      </w:r>
    </w:p>
    <w:p w14:paraId="5E650E04"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Pirotta, V., Grech, A., Jonsen, I. D., Laurance, W. F., &amp; Harcourt, R. G. (2019). Consequences of global shipping traffic for marine giants. </w:t>
      </w:r>
      <w:r w:rsidRPr="00E25215">
        <w:rPr>
          <w:rFonts w:cs="Times New Roman"/>
          <w:i/>
          <w:iCs/>
        </w:rPr>
        <w:t>Frontiers in Ecology and the Environment</w:t>
      </w:r>
      <w:r w:rsidRPr="00E25215">
        <w:rPr>
          <w:rFonts w:cs="Times New Roman"/>
        </w:rPr>
        <w:t xml:space="preserve">, </w:t>
      </w:r>
      <w:r w:rsidRPr="00E25215">
        <w:rPr>
          <w:rFonts w:cs="Times New Roman"/>
          <w:i/>
          <w:iCs/>
        </w:rPr>
        <w:t>17</w:t>
      </w:r>
      <w:r w:rsidRPr="00E25215">
        <w:rPr>
          <w:rFonts w:cs="Times New Roman"/>
        </w:rPr>
        <w:t>(1), 39–47. https://doi.org/10.1002/fee.1987</w:t>
      </w:r>
    </w:p>
    <w:p w14:paraId="65D791E8"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Plaza, P. I., &amp; Lambertucci, S. A. (2017). How are garbage dumps impacting vertebrate demography, health, and conservation? </w:t>
      </w:r>
      <w:r w:rsidRPr="00E25215">
        <w:rPr>
          <w:rFonts w:cs="Times New Roman"/>
          <w:i/>
          <w:iCs/>
        </w:rPr>
        <w:t>Global Ecology and Conservation</w:t>
      </w:r>
      <w:r w:rsidRPr="00E25215">
        <w:rPr>
          <w:rFonts w:cs="Times New Roman"/>
        </w:rPr>
        <w:t xml:space="preserve">, </w:t>
      </w:r>
      <w:r w:rsidRPr="00E25215">
        <w:rPr>
          <w:rFonts w:cs="Times New Roman"/>
          <w:i/>
          <w:iCs/>
        </w:rPr>
        <w:t>12</w:t>
      </w:r>
      <w:r w:rsidRPr="00E25215">
        <w:rPr>
          <w:rFonts w:cs="Times New Roman"/>
        </w:rPr>
        <w:t>, 9–20. https://doi.org/10.1016/j.gecco.2017.08.002</w:t>
      </w:r>
    </w:p>
    <w:p w14:paraId="1A05650C"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Plaza, P. I., Speziale, K. L., &amp; Lambertucci, S. A. (2018). Rubbish dumps as invasive plant epicentres. </w:t>
      </w:r>
      <w:r w:rsidRPr="00E25215">
        <w:rPr>
          <w:rFonts w:cs="Times New Roman"/>
          <w:i/>
          <w:iCs/>
        </w:rPr>
        <w:t>Biological Invasions</w:t>
      </w:r>
      <w:r w:rsidRPr="00E25215">
        <w:rPr>
          <w:rFonts w:cs="Times New Roman"/>
        </w:rPr>
        <w:t xml:space="preserve">, </w:t>
      </w:r>
      <w:r w:rsidRPr="00E25215">
        <w:rPr>
          <w:rFonts w:cs="Times New Roman"/>
          <w:i/>
          <w:iCs/>
        </w:rPr>
        <w:t>20</w:t>
      </w:r>
      <w:r w:rsidRPr="00E25215">
        <w:rPr>
          <w:rFonts w:cs="Times New Roman"/>
        </w:rPr>
        <w:t>(9), 2277–2283. https://doi.org/10.1007/s10530-018-1708-1</w:t>
      </w:r>
    </w:p>
    <w:p w14:paraId="5C02492F"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Policelli, N., Bruns, T. D., Vilgalys, R., &amp; Nuñez, M. A. (2019). Suilloid fungi as global drivers of pine invasions. </w:t>
      </w:r>
      <w:r w:rsidRPr="00E25215">
        <w:rPr>
          <w:rFonts w:cs="Times New Roman"/>
          <w:i/>
          <w:iCs/>
        </w:rPr>
        <w:t>New Phytologist</w:t>
      </w:r>
      <w:r w:rsidRPr="00E25215">
        <w:rPr>
          <w:rFonts w:cs="Times New Roman"/>
        </w:rPr>
        <w:t xml:space="preserve">, </w:t>
      </w:r>
      <w:r w:rsidRPr="00E25215">
        <w:rPr>
          <w:rFonts w:cs="Times New Roman"/>
          <w:i/>
          <w:iCs/>
        </w:rPr>
        <w:t>222</w:t>
      </w:r>
      <w:r w:rsidRPr="00E25215">
        <w:rPr>
          <w:rFonts w:cs="Times New Roman"/>
        </w:rPr>
        <w:t>(2), 714–725. https://doi.org/10.1111/nph.15660</w:t>
      </w:r>
    </w:p>
    <w:p w14:paraId="5EBE8962"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Policelli, N., Vietorisz, C., Bhatnagar, J. M., &amp; Nuñez, M. A. (2022). Ectomycorrhizal Fungi Invasions in Southern South America. In M. A. Lugo &amp; M. C. Pagano (Eds.), </w:t>
      </w:r>
      <w:r w:rsidRPr="00E25215">
        <w:rPr>
          <w:rFonts w:cs="Times New Roman"/>
          <w:i/>
          <w:iCs/>
        </w:rPr>
        <w:t>Mycorrhizal Fungi in South America</w:t>
      </w:r>
      <w:r w:rsidRPr="00E25215">
        <w:rPr>
          <w:rFonts w:cs="Times New Roman"/>
        </w:rPr>
        <w:t xml:space="preserve"> (pp. 25–46). Springer International Publishing. https://doi.org/10.1007/978-3-031-12994-0_2</w:t>
      </w:r>
    </w:p>
    <w:p w14:paraId="4EA9515D"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Poorter, H., &amp; Navas, M. (2003). Plant growth and competition at elevated CO </w:t>
      </w:r>
      <w:r w:rsidRPr="00E25215">
        <w:rPr>
          <w:rFonts w:cs="Times New Roman"/>
          <w:vertAlign w:val="subscript"/>
        </w:rPr>
        <w:t>2</w:t>
      </w:r>
      <w:r w:rsidRPr="00E25215">
        <w:rPr>
          <w:rFonts w:cs="Times New Roman"/>
        </w:rPr>
        <w:t xml:space="preserve">: On winners, losers and functional groups. </w:t>
      </w:r>
      <w:r w:rsidRPr="00E25215">
        <w:rPr>
          <w:rFonts w:cs="Times New Roman"/>
          <w:i/>
          <w:iCs/>
        </w:rPr>
        <w:t>New Phytologist</w:t>
      </w:r>
      <w:r w:rsidRPr="00E25215">
        <w:rPr>
          <w:rFonts w:cs="Times New Roman"/>
        </w:rPr>
        <w:t xml:space="preserve">, </w:t>
      </w:r>
      <w:r w:rsidRPr="00E25215">
        <w:rPr>
          <w:rFonts w:cs="Times New Roman"/>
          <w:i/>
          <w:iCs/>
        </w:rPr>
        <w:t>157</w:t>
      </w:r>
      <w:r w:rsidRPr="00E25215">
        <w:rPr>
          <w:rFonts w:cs="Times New Roman"/>
        </w:rPr>
        <w:t>(2), 175–198. https://doi.org/10.1046/j.1469-8137.2003.00680.x</w:t>
      </w:r>
    </w:p>
    <w:p w14:paraId="50A331AE"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Pörtner, H.-O., Scholes, R. J., Agard, J., Archer, E., Bai, X., Barnes, D., Burrows, M., Chan, L., Cheung, W. L. (William), Diamond, S., Donatti, C., Duarte, C., Eisenhauer, N., Foden, W., Gasalla, M. A., Handa, C., Hickler, T., Hoegh-Guldberg, O., Ichii, K., … Ngo, H. (2021). </w:t>
      </w:r>
      <w:r w:rsidRPr="00E25215">
        <w:rPr>
          <w:rFonts w:cs="Times New Roman"/>
          <w:i/>
          <w:iCs/>
        </w:rPr>
        <w:t>IPBES-IPCC co-sponsored workshop report on biodiversity and climate change</w:t>
      </w:r>
      <w:r w:rsidRPr="00E25215">
        <w:rPr>
          <w:rFonts w:cs="Times New Roman"/>
        </w:rPr>
        <w:t xml:space="preserve"> (Version 2). Zenodo. https://doi.org/10.5281/ZENODO.4782538</w:t>
      </w:r>
    </w:p>
    <w:p w14:paraId="1FB5B256"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Prabakaran, K., Li, J., Anandkumar, A., Leng, Z., Zou, C. B., &amp; Du, D. (2019). Managing environmental contamination through phytoremediation by invasive plants: A review. </w:t>
      </w:r>
      <w:r w:rsidRPr="00E25215">
        <w:rPr>
          <w:rFonts w:cs="Times New Roman"/>
          <w:i/>
          <w:iCs/>
        </w:rPr>
        <w:t>Ecological Engineering</w:t>
      </w:r>
      <w:r w:rsidRPr="00E25215">
        <w:rPr>
          <w:rFonts w:cs="Times New Roman"/>
        </w:rPr>
        <w:t xml:space="preserve">, </w:t>
      </w:r>
      <w:r w:rsidRPr="00E25215">
        <w:rPr>
          <w:rFonts w:cs="Times New Roman"/>
          <w:i/>
          <w:iCs/>
        </w:rPr>
        <w:t>138</w:t>
      </w:r>
      <w:r w:rsidRPr="00E25215">
        <w:rPr>
          <w:rFonts w:cs="Times New Roman"/>
        </w:rPr>
        <w:t>, 28–37. https://doi.org/10.1016/j.ecoleng.2019.07.002</w:t>
      </w:r>
    </w:p>
    <w:p w14:paraId="188743B8"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Pratt, C., &amp; Lottermoser, B. G. (2007). Trace metal uptake by the grass </w:t>
      </w:r>
      <w:r w:rsidRPr="00E25215">
        <w:rPr>
          <w:rFonts w:cs="Times New Roman"/>
          <w:i/>
          <w:iCs/>
        </w:rPr>
        <w:t>Melinis repens</w:t>
      </w:r>
      <w:r w:rsidRPr="00E25215">
        <w:rPr>
          <w:rFonts w:cs="Times New Roman"/>
        </w:rPr>
        <w:t xml:space="preserve"> from roadside soils and sediments, tropical Australia. </w:t>
      </w:r>
      <w:r w:rsidRPr="00E25215">
        <w:rPr>
          <w:rFonts w:cs="Times New Roman"/>
          <w:i/>
          <w:iCs/>
        </w:rPr>
        <w:t>Environmental Geology</w:t>
      </w:r>
      <w:r w:rsidRPr="00E25215">
        <w:rPr>
          <w:rFonts w:cs="Times New Roman"/>
        </w:rPr>
        <w:t xml:space="preserve">, </w:t>
      </w:r>
      <w:r w:rsidRPr="00E25215">
        <w:rPr>
          <w:rFonts w:cs="Times New Roman"/>
          <w:i/>
          <w:iCs/>
        </w:rPr>
        <w:t>52</w:t>
      </w:r>
      <w:r w:rsidRPr="00E25215">
        <w:rPr>
          <w:rFonts w:cs="Times New Roman"/>
        </w:rPr>
        <w:t>(8), 1651–1662. https://doi.org/10.1007/s00254-006-0610-9</w:t>
      </w:r>
    </w:p>
    <w:p w14:paraId="183D9F58"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Pratt, T. C., O’Connor, L. M., Stacey, J. A., Stanley, D. R., Mathers, A., Johnson, L. E., Reid, S. M., Verreault, G., &amp; Pearce, J. (2019). Pattern of </w:t>
      </w:r>
      <w:r w:rsidRPr="00E25215">
        <w:rPr>
          <w:rFonts w:cs="Times New Roman"/>
          <w:i/>
          <w:iCs/>
        </w:rPr>
        <w:t>Anguillicoloides crassus</w:t>
      </w:r>
      <w:r w:rsidRPr="00E25215">
        <w:rPr>
          <w:rFonts w:cs="Times New Roman"/>
        </w:rPr>
        <w:t xml:space="preserve"> infestation in the St. Lawrence River watershed. </w:t>
      </w:r>
      <w:r w:rsidRPr="00E25215">
        <w:rPr>
          <w:rFonts w:cs="Times New Roman"/>
          <w:i/>
          <w:iCs/>
        </w:rPr>
        <w:t>Journal of Great Lakes Research</w:t>
      </w:r>
      <w:r w:rsidRPr="00E25215">
        <w:rPr>
          <w:rFonts w:cs="Times New Roman"/>
        </w:rPr>
        <w:t xml:space="preserve">, </w:t>
      </w:r>
      <w:r w:rsidRPr="00E25215">
        <w:rPr>
          <w:rFonts w:cs="Times New Roman"/>
          <w:i/>
          <w:iCs/>
        </w:rPr>
        <w:t>45</w:t>
      </w:r>
      <w:r w:rsidRPr="00E25215">
        <w:rPr>
          <w:rFonts w:cs="Times New Roman"/>
        </w:rPr>
        <w:t>(5), 991–997. https://doi.org/10.1016/j.jglr.2019.06.005</w:t>
      </w:r>
    </w:p>
    <w:p w14:paraId="0F16C0F9"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Puckett, E. E., &amp; Munshi-South, J. (2019). Brown rat demography reveals pre-commensal structure in eastern Asia prior to expansion into Southeast Asia. </w:t>
      </w:r>
      <w:r w:rsidRPr="00E25215">
        <w:rPr>
          <w:rFonts w:cs="Times New Roman"/>
          <w:i/>
          <w:iCs/>
        </w:rPr>
        <w:t>Genome Research</w:t>
      </w:r>
      <w:r w:rsidRPr="00E25215">
        <w:rPr>
          <w:rFonts w:cs="Times New Roman"/>
        </w:rPr>
        <w:t>, gr.235754.118. https://doi.org/10.1101/gr.235754.118</w:t>
      </w:r>
    </w:p>
    <w:p w14:paraId="76F5C74D"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Puechmaille, S. J., Frick, W. F., Kunz, T. H., Racey, P. A., Voigt, C. C., Wibbelt, G., &amp; Teeling, E. C. (2011). White-nose syndrome: Is this emerging disease a threat to European bats? </w:t>
      </w:r>
      <w:r w:rsidRPr="00E25215">
        <w:rPr>
          <w:rFonts w:cs="Times New Roman"/>
          <w:i/>
          <w:iCs/>
        </w:rPr>
        <w:t>Trends in Ecology &amp; Evolution</w:t>
      </w:r>
      <w:r w:rsidRPr="00E25215">
        <w:rPr>
          <w:rFonts w:cs="Times New Roman"/>
        </w:rPr>
        <w:t xml:space="preserve">, </w:t>
      </w:r>
      <w:r w:rsidRPr="00E25215">
        <w:rPr>
          <w:rFonts w:cs="Times New Roman"/>
          <w:i/>
          <w:iCs/>
        </w:rPr>
        <w:t>26</w:t>
      </w:r>
      <w:r w:rsidRPr="00E25215">
        <w:rPr>
          <w:rFonts w:cs="Times New Roman"/>
        </w:rPr>
        <w:t>(11), 570–576. https://doi.org/10.1016/j.tree.2011.06.013</w:t>
      </w:r>
    </w:p>
    <w:p w14:paraId="4DEBD3AD"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Puth, L. M., &amp; Post, D. M. (2005). Studying invasion: Have we missed the boat? </w:t>
      </w:r>
      <w:r w:rsidRPr="00E25215">
        <w:rPr>
          <w:rFonts w:cs="Times New Roman"/>
          <w:i/>
          <w:iCs/>
        </w:rPr>
        <w:t>Ecology Letters</w:t>
      </w:r>
      <w:r w:rsidRPr="00E25215">
        <w:rPr>
          <w:rFonts w:cs="Times New Roman"/>
        </w:rPr>
        <w:t xml:space="preserve">, </w:t>
      </w:r>
      <w:r w:rsidRPr="00E25215">
        <w:rPr>
          <w:rFonts w:cs="Times New Roman"/>
          <w:i/>
          <w:iCs/>
        </w:rPr>
        <w:t>8</w:t>
      </w:r>
      <w:r w:rsidRPr="00E25215">
        <w:rPr>
          <w:rFonts w:cs="Times New Roman"/>
        </w:rPr>
        <w:t>(7), 715–721. https://doi.org/10.1111/j.1461-0248.2005.00774.x</w:t>
      </w:r>
    </w:p>
    <w:p w14:paraId="6B2473AE" w14:textId="77777777" w:rsidR="001379C0" w:rsidRPr="00E25215" w:rsidRDefault="001379C0" w:rsidP="009B3E7F">
      <w:pPr>
        <w:pStyle w:val="Bibliography"/>
        <w:spacing w:before="0" w:after="0" w:line="240" w:lineRule="auto"/>
        <w:rPr>
          <w:rFonts w:cs="Times New Roman"/>
        </w:rPr>
      </w:pPr>
      <w:r w:rsidRPr="00E25215">
        <w:rPr>
          <w:rFonts w:cs="Times New Roman"/>
        </w:rPr>
        <w:t>Pyšek, P., Bacher, S., Chytrý, M., Jarošík, V., Wild, J., Celesti</w:t>
      </w:r>
      <w:r w:rsidRPr="00E25215">
        <w:rPr>
          <w:rFonts w:cs="Times New Roman" w:hint="eastAsia"/>
        </w:rPr>
        <w:t>‐</w:t>
      </w:r>
      <w:r w:rsidRPr="00E25215">
        <w:rPr>
          <w:rFonts w:cs="Times New Roman"/>
        </w:rPr>
        <w:t xml:space="preserve">Grapow, L., Gassó, N., Kenis, M., Lambdon, P. W., Nentwig, W., Pergl, J., Roques, A., Sádlo, J., Solarz, W., Vilà, M., &amp; Hulme, P. E. (2010). Contrasting patterns in the invasions of European terrestrial and </w:t>
      </w:r>
      <w:r w:rsidRPr="00E25215">
        <w:rPr>
          <w:rFonts w:cs="Times New Roman"/>
        </w:rPr>
        <w:lastRenderedPageBreak/>
        <w:t xml:space="preserve">freshwater habitats by alien plants, insects and vertebrates. </w:t>
      </w:r>
      <w:r w:rsidRPr="00E25215">
        <w:rPr>
          <w:rFonts w:cs="Times New Roman"/>
          <w:i/>
          <w:iCs/>
        </w:rPr>
        <w:t>Global Ecology and Biogeography</w:t>
      </w:r>
      <w:r w:rsidRPr="00E25215">
        <w:rPr>
          <w:rFonts w:cs="Times New Roman"/>
        </w:rPr>
        <w:t xml:space="preserve">, </w:t>
      </w:r>
      <w:r w:rsidRPr="00E25215">
        <w:rPr>
          <w:rFonts w:cs="Times New Roman"/>
          <w:i/>
          <w:iCs/>
        </w:rPr>
        <w:t>19</w:t>
      </w:r>
      <w:r w:rsidRPr="00E25215">
        <w:rPr>
          <w:rFonts w:cs="Times New Roman"/>
        </w:rPr>
        <w:t>(3), 317–331. https://doi.org/10.1111/j.1466-8238.2009.00514.x</w:t>
      </w:r>
    </w:p>
    <w:p w14:paraId="7076C043"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Pyšek, P., Hulme, P. E., Simberloff, D., Bacher, S., Blackburn, T. M., Carlton, J. T., Dawson, W., Essl, F., Foxcroft, L. C., Genovesi, P., Jeschke, J. M., Kühn, I., Liebhold, A. M., Mandrak, N. E., Meyerson, L. A., Pauchard, A., Pergl, J., Roy, H. E., Seebens, H., … Richardson, D. M. (2020). Scientists’ warning on invasive alien species. </w:t>
      </w:r>
      <w:r w:rsidRPr="00E25215">
        <w:rPr>
          <w:rFonts w:cs="Times New Roman"/>
          <w:i/>
          <w:iCs/>
        </w:rPr>
        <w:t>Biological Reviews</w:t>
      </w:r>
      <w:r w:rsidRPr="00E25215">
        <w:rPr>
          <w:rFonts w:cs="Times New Roman"/>
        </w:rPr>
        <w:t xml:space="preserve">, </w:t>
      </w:r>
      <w:r w:rsidRPr="00E25215">
        <w:rPr>
          <w:rFonts w:cs="Times New Roman"/>
          <w:i/>
          <w:iCs/>
        </w:rPr>
        <w:t>95</w:t>
      </w:r>
      <w:r w:rsidRPr="00E25215">
        <w:rPr>
          <w:rFonts w:cs="Times New Roman"/>
        </w:rPr>
        <w:t>(6), 1511–1534. https://doi.org/10.1111/brv.12627</w:t>
      </w:r>
    </w:p>
    <w:p w14:paraId="16BAB378"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Pyšek, P., Jarosik, V., Hulme, P. E., Kühn, I., Wild, J., Arianoutsou, M., Bacher, S., Chiron, F., Didžiulis, V., Essl, F., Genovesi, P., Gherardi, F., Hejda, M., Kark, S., Lambdon, P. W., Desprez-Loustau, M.-L., Nentwig, W., Pergl, J., Poboljšaj, K., … Winter, M. (2010). Disentangling the role of environmental and human pressures on biological invasions across Europe. </w:t>
      </w:r>
      <w:r w:rsidRPr="00E25215">
        <w:rPr>
          <w:rFonts w:cs="Times New Roman"/>
          <w:i/>
          <w:iCs/>
        </w:rPr>
        <w:t>Proceedings of the National Academy of Sciences</w:t>
      </w:r>
      <w:r w:rsidRPr="00E25215">
        <w:rPr>
          <w:rFonts w:cs="Times New Roman"/>
        </w:rPr>
        <w:t xml:space="preserve">, </w:t>
      </w:r>
      <w:r w:rsidRPr="00E25215">
        <w:rPr>
          <w:rFonts w:cs="Times New Roman"/>
          <w:i/>
          <w:iCs/>
        </w:rPr>
        <w:t>107</w:t>
      </w:r>
      <w:r w:rsidRPr="00E25215">
        <w:rPr>
          <w:rFonts w:cs="Times New Roman"/>
        </w:rPr>
        <w:t>(27), 12157–12162. https://doi.org/10.1073/pnas.1002314107</w:t>
      </w:r>
    </w:p>
    <w:p w14:paraId="1383B014"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Pyšek, P., Jarošík, V., Müllerová, J., Pergl, J., &amp; Wild, J. (2008). Comparing the rate of invasion by </w:t>
      </w:r>
      <w:r w:rsidRPr="00E25215">
        <w:rPr>
          <w:rFonts w:cs="Times New Roman"/>
          <w:i/>
          <w:iCs/>
        </w:rPr>
        <w:t>Heracleum mantegazzianum</w:t>
      </w:r>
      <w:r w:rsidRPr="00E25215">
        <w:rPr>
          <w:rFonts w:cs="Times New Roman"/>
        </w:rPr>
        <w:t xml:space="preserve"> at continental, regional, and local scales. </w:t>
      </w:r>
      <w:r w:rsidRPr="00E25215">
        <w:rPr>
          <w:rFonts w:cs="Times New Roman"/>
          <w:i/>
          <w:iCs/>
        </w:rPr>
        <w:t>Diversity and Distributions</w:t>
      </w:r>
      <w:r w:rsidRPr="00E25215">
        <w:rPr>
          <w:rFonts w:cs="Times New Roman"/>
        </w:rPr>
        <w:t xml:space="preserve">, </w:t>
      </w:r>
      <w:r w:rsidRPr="00E25215">
        <w:rPr>
          <w:rFonts w:cs="Times New Roman"/>
          <w:i/>
          <w:iCs/>
        </w:rPr>
        <w:t>14</w:t>
      </w:r>
      <w:r w:rsidRPr="00E25215">
        <w:rPr>
          <w:rFonts w:cs="Times New Roman"/>
        </w:rPr>
        <w:t>(2), 355–363. https://doi.org/10.1111/j.1472-4642.2007.00431.x</w:t>
      </w:r>
    </w:p>
    <w:p w14:paraId="3E06AC8F"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Pyšek, P., &amp; Prach, K. (1996). Plant Invasions and the Role of Riparian Habitats: A Comparison of Four Species Alien to Central Europe. In F. B. Samson &amp; F. L. Knopf (Eds.), </w:t>
      </w:r>
      <w:r w:rsidRPr="00E25215">
        <w:rPr>
          <w:rFonts w:cs="Times New Roman"/>
          <w:i/>
          <w:iCs/>
        </w:rPr>
        <w:t>Ecosystem Management: Selected Readings</w:t>
      </w:r>
      <w:r w:rsidRPr="00E25215">
        <w:rPr>
          <w:rFonts w:cs="Times New Roman"/>
        </w:rPr>
        <w:t xml:space="preserve"> (pp. 254–263). Springer. https://doi.org/10.1007/978-1-4612-4018-1_23</w:t>
      </w:r>
    </w:p>
    <w:p w14:paraId="2116B3C1"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Quinn, L. D., Gordon, D. R., Glaser, A., Lieurance, D., &amp; Flory, S. L. (2015). Bioenergy Feedstocks at Low Risk for Invasion in the USA: A “White List” Approach. </w:t>
      </w:r>
      <w:r w:rsidRPr="00E25215">
        <w:rPr>
          <w:rFonts w:cs="Times New Roman"/>
          <w:i/>
          <w:iCs/>
        </w:rPr>
        <w:t>BioEnergy Research</w:t>
      </w:r>
      <w:r w:rsidRPr="00E25215">
        <w:rPr>
          <w:rFonts w:cs="Times New Roman"/>
        </w:rPr>
        <w:t xml:space="preserve">, </w:t>
      </w:r>
      <w:r w:rsidRPr="00E25215">
        <w:rPr>
          <w:rFonts w:cs="Times New Roman"/>
          <w:i/>
          <w:iCs/>
        </w:rPr>
        <w:t>8</w:t>
      </w:r>
      <w:r w:rsidRPr="00E25215">
        <w:rPr>
          <w:rFonts w:cs="Times New Roman"/>
        </w:rPr>
        <w:t>(2), 471–481. https://doi.org/10.1007/s12155-014-9503-z</w:t>
      </w:r>
    </w:p>
    <w:p w14:paraId="7EFAC9BA"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Raffaele, E., Nuñez, M. A., Eneström, J., &amp; Blackhall, M. (2016). Fire as mediator of pine invasion: Evidence from Patagonia, Argentina. </w:t>
      </w:r>
      <w:r w:rsidRPr="00E25215">
        <w:rPr>
          <w:rFonts w:cs="Times New Roman"/>
          <w:i/>
          <w:iCs/>
        </w:rPr>
        <w:t>Biological Invasions</w:t>
      </w:r>
      <w:r w:rsidRPr="00E25215">
        <w:rPr>
          <w:rFonts w:cs="Times New Roman"/>
        </w:rPr>
        <w:t xml:space="preserve">, </w:t>
      </w:r>
      <w:r w:rsidRPr="00E25215">
        <w:rPr>
          <w:rFonts w:cs="Times New Roman"/>
          <w:i/>
          <w:iCs/>
        </w:rPr>
        <w:t>18</w:t>
      </w:r>
      <w:r w:rsidRPr="00E25215">
        <w:rPr>
          <w:rFonts w:cs="Times New Roman"/>
        </w:rPr>
        <w:t>(3), 597–601. https://doi.org/10.1007/s10530-015-1038-5</w:t>
      </w:r>
    </w:p>
    <w:p w14:paraId="7619E3DF"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Rahel, F. J. (2002). Homogenization of Freshwater Faunas. </w:t>
      </w:r>
      <w:r w:rsidRPr="00E25215">
        <w:rPr>
          <w:rFonts w:cs="Times New Roman"/>
          <w:i/>
          <w:iCs/>
        </w:rPr>
        <w:t>Annual Review of Ecology and Systematics</w:t>
      </w:r>
      <w:r w:rsidRPr="00E25215">
        <w:rPr>
          <w:rFonts w:cs="Times New Roman"/>
        </w:rPr>
        <w:t xml:space="preserve">, </w:t>
      </w:r>
      <w:r w:rsidRPr="00E25215">
        <w:rPr>
          <w:rFonts w:cs="Times New Roman"/>
          <w:i/>
          <w:iCs/>
        </w:rPr>
        <w:t>33</w:t>
      </w:r>
      <w:r w:rsidRPr="00E25215">
        <w:rPr>
          <w:rFonts w:cs="Times New Roman"/>
        </w:rPr>
        <w:t>(1), 291–315. https://doi.org/10.1146/annurev.ecolsys.33.010802.150429</w:t>
      </w:r>
    </w:p>
    <w:p w14:paraId="5A47D33A" w14:textId="77777777" w:rsidR="001379C0" w:rsidRPr="00E25215" w:rsidRDefault="001379C0" w:rsidP="009B3E7F">
      <w:pPr>
        <w:pStyle w:val="Bibliography"/>
        <w:spacing w:before="0" w:after="0" w:line="240" w:lineRule="auto"/>
        <w:rPr>
          <w:rFonts w:cs="Times New Roman"/>
        </w:rPr>
      </w:pPr>
      <w:r w:rsidRPr="00E25215">
        <w:rPr>
          <w:rFonts w:cs="Times New Roman"/>
        </w:rPr>
        <w:t>Rahlao, S. J., Milton, S. J., Esler, K. J., &amp; Barnard, P. (2014). Performance of invasive alien fountain grass (</w:t>
      </w:r>
      <w:r w:rsidRPr="00E25215">
        <w:rPr>
          <w:rFonts w:cs="Times New Roman"/>
          <w:i/>
          <w:iCs/>
        </w:rPr>
        <w:t>Pennisetum setaceum</w:t>
      </w:r>
      <w:r w:rsidRPr="00E25215">
        <w:rPr>
          <w:rFonts w:cs="Times New Roman"/>
        </w:rPr>
        <w:t xml:space="preserve">) along a climatic gradient through three South African biomes. </w:t>
      </w:r>
      <w:r w:rsidRPr="00E25215">
        <w:rPr>
          <w:rFonts w:cs="Times New Roman"/>
          <w:i/>
          <w:iCs/>
        </w:rPr>
        <w:t>South African Journal of Botany</w:t>
      </w:r>
      <w:r w:rsidRPr="00E25215">
        <w:rPr>
          <w:rFonts w:cs="Times New Roman"/>
        </w:rPr>
        <w:t xml:space="preserve">, </w:t>
      </w:r>
      <w:r w:rsidRPr="00E25215">
        <w:rPr>
          <w:rFonts w:cs="Times New Roman"/>
          <w:i/>
          <w:iCs/>
        </w:rPr>
        <w:t>91</w:t>
      </w:r>
      <w:r w:rsidRPr="00E25215">
        <w:rPr>
          <w:rFonts w:cs="Times New Roman"/>
        </w:rPr>
        <w:t>, 43–48. https://doi.org/10.1016/j.sajb.2013.11.013</w:t>
      </w:r>
    </w:p>
    <w:p w14:paraId="107F4398" w14:textId="77777777" w:rsidR="001379C0" w:rsidRPr="00E25215" w:rsidRDefault="001379C0" w:rsidP="009B3E7F">
      <w:pPr>
        <w:pStyle w:val="Bibliography"/>
        <w:spacing w:before="0" w:after="0" w:line="240" w:lineRule="auto"/>
        <w:rPr>
          <w:rFonts w:cs="Times New Roman"/>
        </w:rPr>
      </w:pPr>
      <w:r w:rsidRPr="00E25215">
        <w:rPr>
          <w:rFonts w:cs="Times New Roman"/>
        </w:rPr>
        <w:t>Rahlao, S. J., Milton, S. J., Esler, K. J., Wilgen, B. W., &amp; Barnard, P. (2009). Effects of invasion of fire-free arid shrublands by a fire-promoting invasive alien grass (</w:t>
      </w:r>
      <w:r w:rsidRPr="00E25215">
        <w:rPr>
          <w:rFonts w:cs="Times New Roman"/>
          <w:i/>
          <w:iCs/>
        </w:rPr>
        <w:t>Pennisetum setaceum</w:t>
      </w:r>
      <w:r w:rsidRPr="00E25215">
        <w:rPr>
          <w:rFonts w:cs="Times New Roman"/>
        </w:rPr>
        <w:t xml:space="preserve">) in South Africa. </w:t>
      </w:r>
      <w:r w:rsidRPr="00E25215">
        <w:rPr>
          <w:rFonts w:cs="Times New Roman"/>
          <w:i/>
          <w:iCs/>
        </w:rPr>
        <w:t>Austral Ecology</w:t>
      </w:r>
      <w:r w:rsidRPr="00E25215">
        <w:rPr>
          <w:rFonts w:cs="Times New Roman"/>
        </w:rPr>
        <w:t xml:space="preserve">, </w:t>
      </w:r>
      <w:r w:rsidRPr="00E25215">
        <w:rPr>
          <w:rFonts w:cs="Times New Roman"/>
          <w:i/>
          <w:iCs/>
        </w:rPr>
        <w:t>34</w:t>
      </w:r>
      <w:r w:rsidRPr="00E25215">
        <w:rPr>
          <w:rFonts w:cs="Times New Roman"/>
        </w:rPr>
        <w:t>(8), 920–928. https://doi.org/10.1111/j.1442-9993.2009.02000.x</w:t>
      </w:r>
    </w:p>
    <w:p w14:paraId="7D50EACB"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Rahman, M. L., Tarrant, S., Ollerton, J., &amp; McCollin, D. (2016). Effect of soil conditions and landscape factors on macro-snail communities in newly created grasslands of restored landfill sites in the UK. </w:t>
      </w:r>
      <w:r w:rsidRPr="00E25215">
        <w:rPr>
          <w:rFonts w:cs="Times New Roman"/>
          <w:i/>
          <w:iCs/>
        </w:rPr>
        <w:t>Zoology and Ecology</w:t>
      </w:r>
      <w:r w:rsidRPr="00E25215">
        <w:rPr>
          <w:rFonts w:cs="Times New Roman"/>
        </w:rPr>
        <w:t xml:space="preserve">, </w:t>
      </w:r>
      <w:r w:rsidRPr="00E25215">
        <w:rPr>
          <w:rFonts w:cs="Times New Roman"/>
          <w:i/>
          <w:iCs/>
        </w:rPr>
        <w:t>26</w:t>
      </w:r>
      <w:r w:rsidRPr="00E25215">
        <w:rPr>
          <w:rFonts w:cs="Times New Roman"/>
        </w:rPr>
        <w:t>(4), 275–281. https://doi.org/10.1080/21658005.2016.1216102</w:t>
      </w:r>
    </w:p>
    <w:p w14:paraId="244C6004"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Rakauskas, V., Stakėnas, S., Virbickas, T., &amp; Bukelskis, E. (2016). Non-indigenous fish in the northern branch of the central European invasion corridor. </w:t>
      </w:r>
      <w:r w:rsidRPr="00E25215">
        <w:rPr>
          <w:rFonts w:cs="Times New Roman"/>
          <w:i/>
          <w:iCs/>
        </w:rPr>
        <w:t>Reviews in Fish Biology and Fisheries</w:t>
      </w:r>
      <w:r w:rsidRPr="00E25215">
        <w:rPr>
          <w:rFonts w:cs="Times New Roman"/>
        </w:rPr>
        <w:t xml:space="preserve">, </w:t>
      </w:r>
      <w:r w:rsidRPr="00E25215">
        <w:rPr>
          <w:rFonts w:cs="Times New Roman"/>
          <w:i/>
          <w:iCs/>
        </w:rPr>
        <w:t>26</w:t>
      </w:r>
      <w:r w:rsidRPr="00E25215">
        <w:rPr>
          <w:rFonts w:cs="Times New Roman"/>
        </w:rPr>
        <w:t>(3), 491–508. https://doi.org/10.1007/s11160-016-9438-x</w:t>
      </w:r>
    </w:p>
    <w:p w14:paraId="210C2D15"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Rakha, M., Zekeya, N., Sevgan, S., Musembi, M., Ramasamy, S., &amp; Hanson, P. (2017). Screening recently identified whitefly/spider mite-resistant wild tomato accessions for resistance to </w:t>
      </w:r>
      <w:r w:rsidRPr="00E25215">
        <w:rPr>
          <w:rFonts w:cs="Times New Roman"/>
          <w:i/>
          <w:iCs/>
        </w:rPr>
        <w:t>Tuta absoluta</w:t>
      </w:r>
      <w:r w:rsidRPr="00E25215">
        <w:rPr>
          <w:rFonts w:cs="Times New Roman"/>
        </w:rPr>
        <w:t xml:space="preserve">. </w:t>
      </w:r>
      <w:r w:rsidRPr="00E25215">
        <w:rPr>
          <w:rFonts w:cs="Times New Roman"/>
          <w:i/>
          <w:iCs/>
        </w:rPr>
        <w:t>Plant Breeding</w:t>
      </w:r>
      <w:r w:rsidRPr="00E25215">
        <w:rPr>
          <w:rFonts w:cs="Times New Roman"/>
        </w:rPr>
        <w:t xml:space="preserve">, </w:t>
      </w:r>
      <w:r w:rsidRPr="00E25215">
        <w:rPr>
          <w:rFonts w:cs="Times New Roman"/>
          <w:i/>
          <w:iCs/>
        </w:rPr>
        <w:t>136</w:t>
      </w:r>
      <w:r w:rsidRPr="00E25215">
        <w:rPr>
          <w:rFonts w:cs="Times New Roman"/>
        </w:rPr>
        <w:t>(4), 562–568. https://doi.org/10.1111/pbr.12503</w:t>
      </w:r>
    </w:p>
    <w:p w14:paraId="6B2A37DF"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Rand, T. A., &amp; Tscharntke, T. (2007). Contrasting effects of natural habitat loss on generalist and specialist aphid natural enemies. </w:t>
      </w:r>
      <w:r w:rsidRPr="00E25215">
        <w:rPr>
          <w:rFonts w:cs="Times New Roman"/>
          <w:i/>
          <w:iCs/>
        </w:rPr>
        <w:t>Oikos</w:t>
      </w:r>
      <w:r w:rsidRPr="00E25215">
        <w:rPr>
          <w:rFonts w:cs="Times New Roman"/>
        </w:rPr>
        <w:t xml:space="preserve">, </w:t>
      </w:r>
      <w:r w:rsidRPr="00E25215">
        <w:rPr>
          <w:rFonts w:cs="Times New Roman"/>
          <w:i/>
          <w:iCs/>
        </w:rPr>
        <w:t>116</w:t>
      </w:r>
      <w:r w:rsidRPr="00E25215">
        <w:rPr>
          <w:rFonts w:cs="Times New Roman"/>
        </w:rPr>
        <w:t>(8), 1353–1362. https://doi.org/10.1111/j.0030-1299.2007.15871.x</w:t>
      </w:r>
    </w:p>
    <w:p w14:paraId="4DAE5D86"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Randall, R. P. (2017). </w:t>
      </w:r>
      <w:r w:rsidRPr="00E25215">
        <w:rPr>
          <w:rFonts w:cs="Times New Roman"/>
          <w:i/>
          <w:iCs/>
        </w:rPr>
        <w:t>A global compendium of weeds.</w:t>
      </w:r>
      <w:r w:rsidRPr="00E25215">
        <w:rPr>
          <w:rFonts w:cs="Times New Roman"/>
        </w:rPr>
        <w:t xml:space="preserve"> (Ed.3). R. P. Randall. https://www.cabdirect.org/cabdirect/abstract/20173071957</w:t>
      </w:r>
    </w:p>
    <w:p w14:paraId="3546ACBB" w14:textId="77777777" w:rsidR="001379C0" w:rsidRPr="00E25215" w:rsidRDefault="001379C0" w:rsidP="009B3E7F">
      <w:pPr>
        <w:pStyle w:val="Bibliography"/>
        <w:spacing w:before="0" w:after="0" w:line="240" w:lineRule="auto"/>
        <w:rPr>
          <w:rFonts w:cs="Times New Roman"/>
        </w:rPr>
      </w:pPr>
      <w:r w:rsidRPr="00E25215">
        <w:rPr>
          <w:rFonts w:cs="Times New Roman"/>
        </w:rPr>
        <w:lastRenderedPageBreak/>
        <w:t xml:space="preserve">Randerson, J. (2003, June 27). </w:t>
      </w:r>
      <w:r w:rsidRPr="00E25215">
        <w:rPr>
          <w:rFonts w:cs="Times New Roman"/>
          <w:i/>
          <w:iCs/>
        </w:rPr>
        <w:t>Fungus in your tea, sir?</w:t>
      </w:r>
      <w:r w:rsidRPr="00E25215">
        <w:rPr>
          <w:rFonts w:cs="Times New Roman"/>
        </w:rPr>
        <w:t xml:space="preserve"> New Scientist. https://www.newscientist.com/article/mg17824010-900-fungus-in-your-tea-sir/</w:t>
      </w:r>
    </w:p>
    <w:p w14:paraId="735D4D9C"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Rashid, I., Haq, S. M., Lembrechts, J. J., Khuroo, A. A., Pauchard, A., &amp; Dukes, J. S. (2021). Railways redistribute plant species in mountain landscapes. </w:t>
      </w:r>
      <w:r w:rsidRPr="00E25215">
        <w:rPr>
          <w:rFonts w:cs="Times New Roman"/>
          <w:i/>
          <w:iCs/>
        </w:rPr>
        <w:t>Journal of Applied Ecology</w:t>
      </w:r>
      <w:r w:rsidRPr="00E25215">
        <w:rPr>
          <w:rFonts w:cs="Times New Roman"/>
        </w:rPr>
        <w:t xml:space="preserve">, </w:t>
      </w:r>
      <w:r w:rsidRPr="00E25215">
        <w:rPr>
          <w:rFonts w:cs="Times New Roman"/>
          <w:i/>
          <w:iCs/>
        </w:rPr>
        <w:t>58</w:t>
      </w:r>
      <w:r w:rsidRPr="00E25215">
        <w:rPr>
          <w:rFonts w:cs="Times New Roman"/>
        </w:rPr>
        <w:t>(9), 1967–1980. https://doi.org/10.1111/1365-2664.13961</w:t>
      </w:r>
    </w:p>
    <w:p w14:paraId="5D77450B"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Ravi, S., D’Odorico, P., Collins, S. L., &amp; Huxman, T. E. (2009). Can Biological Invasions Induce Desertification? </w:t>
      </w:r>
      <w:r w:rsidRPr="00E25215">
        <w:rPr>
          <w:rFonts w:cs="Times New Roman"/>
          <w:i/>
          <w:iCs/>
        </w:rPr>
        <w:t>The New Phytologist</w:t>
      </w:r>
      <w:r w:rsidRPr="00E25215">
        <w:rPr>
          <w:rFonts w:cs="Times New Roman"/>
        </w:rPr>
        <w:t xml:space="preserve">, </w:t>
      </w:r>
      <w:r w:rsidRPr="00E25215">
        <w:rPr>
          <w:rFonts w:cs="Times New Roman"/>
          <w:i/>
          <w:iCs/>
        </w:rPr>
        <w:t>181</w:t>
      </w:r>
      <w:r w:rsidRPr="00E25215">
        <w:rPr>
          <w:rFonts w:cs="Times New Roman"/>
        </w:rPr>
        <w:t>(3), 512–515. https://www.jstor.org/stable/30224699</w:t>
      </w:r>
    </w:p>
    <w:p w14:paraId="43A09C13"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Reaser, J. K. (2003). Invasive alien species: Definitions, causes, consequences, and the way forward. In N. Pallewatta, J. K. Reaser, &amp; A. Gutierrez (Eds.), </w:t>
      </w:r>
      <w:r w:rsidRPr="00E25215">
        <w:rPr>
          <w:rFonts w:cs="Times New Roman"/>
          <w:i/>
          <w:iCs/>
        </w:rPr>
        <w:t>Prevention and Management of Invasive Alien Species: Proceedings of a Workshop on Forging Cooperation throughout South and Southeast Asia</w:t>
      </w:r>
      <w:r w:rsidRPr="00E25215">
        <w:rPr>
          <w:rFonts w:cs="Times New Roman"/>
        </w:rPr>
        <w:t xml:space="preserve"> (pp. 11–18). Global Invasive Species Programme. https://giasipartnership.myspecies.info/en/content/pallewatta-n-jk-reaser-gutierrez-eds-2003-prevention-and-management-invasive-alien-species</w:t>
      </w:r>
    </w:p>
    <w:p w14:paraId="03906005"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Rebbeck, J., Hutchinson, T., Iverson, L., Yaussy, D., &amp; Fox, T. (2017). Distribution and demographics of </w:t>
      </w:r>
      <w:r w:rsidRPr="00E25215">
        <w:rPr>
          <w:rFonts w:cs="Times New Roman"/>
          <w:i/>
          <w:iCs/>
        </w:rPr>
        <w:t>Ailanthus altissima</w:t>
      </w:r>
      <w:r w:rsidRPr="00E25215">
        <w:rPr>
          <w:rFonts w:cs="Times New Roman"/>
        </w:rPr>
        <w:t xml:space="preserve"> in an oak forest landscape managed with timber harvesting and prescribed fire. </w:t>
      </w:r>
      <w:r w:rsidRPr="00E25215">
        <w:rPr>
          <w:rFonts w:cs="Times New Roman"/>
          <w:i/>
          <w:iCs/>
        </w:rPr>
        <w:t>Forest Ecology and Management</w:t>
      </w:r>
      <w:r w:rsidRPr="00E25215">
        <w:rPr>
          <w:rFonts w:cs="Times New Roman"/>
        </w:rPr>
        <w:t xml:space="preserve">, </w:t>
      </w:r>
      <w:r w:rsidRPr="00E25215">
        <w:rPr>
          <w:rFonts w:cs="Times New Roman"/>
          <w:i/>
          <w:iCs/>
        </w:rPr>
        <w:t>401</w:t>
      </w:r>
      <w:r w:rsidRPr="00E25215">
        <w:rPr>
          <w:rFonts w:cs="Times New Roman"/>
        </w:rPr>
        <w:t>, 233–241. https://doi.org/10.1016/j.foreco.2017.06.050</w:t>
      </w:r>
    </w:p>
    <w:p w14:paraId="54C04E7F"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Rech, S., Borrell, Y., &amp; Garcia-Vazquez, E. (2016). Marine litter as a vector for non-native species: What we need to know. </w:t>
      </w:r>
      <w:r w:rsidRPr="00E25215">
        <w:rPr>
          <w:rFonts w:cs="Times New Roman"/>
          <w:i/>
          <w:iCs/>
        </w:rPr>
        <w:t>Marine Pollution Bulletin</w:t>
      </w:r>
      <w:r w:rsidRPr="00E25215">
        <w:rPr>
          <w:rFonts w:cs="Times New Roman"/>
        </w:rPr>
        <w:t xml:space="preserve">, </w:t>
      </w:r>
      <w:r w:rsidRPr="00E25215">
        <w:rPr>
          <w:rFonts w:cs="Times New Roman"/>
          <w:i/>
          <w:iCs/>
        </w:rPr>
        <w:t>113</w:t>
      </w:r>
      <w:r w:rsidRPr="00E25215">
        <w:rPr>
          <w:rFonts w:cs="Times New Roman"/>
        </w:rPr>
        <w:t>(1–2), 40–43. https://doi.org/10.1016/j.marpolbul.2016.08.032</w:t>
      </w:r>
    </w:p>
    <w:p w14:paraId="70903E31"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Rech, S., Pichs, Y., &amp; Garcia-Vasquez, E. (2018). Anthropogenic marine litter composition in coastal areas may be a predictor of potentially invasive rafting fauna. </w:t>
      </w:r>
      <w:r w:rsidRPr="00E25215">
        <w:rPr>
          <w:rFonts w:cs="Times New Roman"/>
          <w:i/>
          <w:iCs/>
        </w:rPr>
        <w:t>PLoS ONE</w:t>
      </w:r>
      <w:r w:rsidRPr="00E25215">
        <w:rPr>
          <w:rFonts w:cs="Times New Roman"/>
        </w:rPr>
        <w:t xml:space="preserve">, </w:t>
      </w:r>
      <w:r w:rsidRPr="00E25215">
        <w:rPr>
          <w:rFonts w:cs="Times New Roman"/>
          <w:i/>
          <w:iCs/>
        </w:rPr>
        <w:t>13</w:t>
      </w:r>
      <w:r w:rsidRPr="00E25215">
        <w:rPr>
          <w:rFonts w:cs="Times New Roman"/>
        </w:rPr>
        <w:t>(1), 1–22. https://doi.org/10.1371/journal.pone.0191859</w:t>
      </w:r>
    </w:p>
    <w:p w14:paraId="68AED8C2" w14:textId="77777777" w:rsidR="001379C0" w:rsidRPr="00E25215" w:rsidRDefault="001379C0" w:rsidP="009B3E7F">
      <w:pPr>
        <w:pStyle w:val="Bibliography"/>
        <w:spacing w:before="0" w:after="0" w:line="240" w:lineRule="auto"/>
        <w:rPr>
          <w:rFonts w:cs="Times New Roman"/>
        </w:rPr>
      </w:pPr>
      <w:r w:rsidRPr="00E25215">
        <w:rPr>
          <w:rFonts w:cs="Times New Roman"/>
        </w:rPr>
        <w:t>Reichman, J. R., Watrud, L. S., Lee, E. H., Burdick, C. A., Bollman, M. A., Storm, M. J., King, G. A., &amp; Mallory</w:t>
      </w:r>
      <w:r w:rsidRPr="00E25215">
        <w:rPr>
          <w:rFonts w:cs="Times New Roman" w:hint="eastAsia"/>
        </w:rPr>
        <w:t>‐</w:t>
      </w:r>
      <w:r w:rsidRPr="00E25215">
        <w:rPr>
          <w:rFonts w:cs="Times New Roman"/>
        </w:rPr>
        <w:t>Smith, C. (2006). Establishment of transgenic herbicide-resistant creeping bentgrass (</w:t>
      </w:r>
      <w:r w:rsidRPr="00E25215">
        <w:rPr>
          <w:rFonts w:cs="Times New Roman"/>
          <w:i/>
          <w:iCs/>
        </w:rPr>
        <w:t>Agrostis stolonifera</w:t>
      </w:r>
      <w:r w:rsidRPr="00E25215">
        <w:rPr>
          <w:rFonts w:cs="Times New Roman"/>
        </w:rPr>
        <w:t xml:space="preserve"> L.) in nonagronomic habitats. </w:t>
      </w:r>
      <w:r w:rsidRPr="00E25215">
        <w:rPr>
          <w:rFonts w:cs="Times New Roman"/>
          <w:i/>
          <w:iCs/>
        </w:rPr>
        <w:t>Molecular Ecology</w:t>
      </w:r>
      <w:r w:rsidRPr="00E25215">
        <w:rPr>
          <w:rFonts w:cs="Times New Roman"/>
        </w:rPr>
        <w:t xml:space="preserve">, </w:t>
      </w:r>
      <w:r w:rsidRPr="00E25215">
        <w:rPr>
          <w:rFonts w:cs="Times New Roman"/>
          <w:i/>
          <w:iCs/>
        </w:rPr>
        <w:t>15</w:t>
      </w:r>
      <w:r w:rsidRPr="00E25215">
        <w:rPr>
          <w:rFonts w:cs="Times New Roman"/>
        </w:rPr>
        <w:t>(13), 4243–4255. https://doi.org/10.1111/j.1365-294X.2006.03072.x</w:t>
      </w:r>
    </w:p>
    <w:p w14:paraId="16BE672A"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Reise, K., Gollasch, S., &amp; Wolff, W. J. (1998). Introduced marine species of the North Sea coasts. </w:t>
      </w:r>
      <w:r w:rsidRPr="00E25215">
        <w:rPr>
          <w:rFonts w:cs="Times New Roman"/>
          <w:i/>
          <w:iCs/>
        </w:rPr>
        <w:t>Helgolander Meeresunters</w:t>
      </w:r>
      <w:r w:rsidRPr="00E25215">
        <w:rPr>
          <w:rFonts w:cs="Times New Roman"/>
        </w:rPr>
        <w:t xml:space="preserve">, </w:t>
      </w:r>
      <w:r w:rsidRPr="00E25215">
        <w:rPr>
          <w:rFonts w:cs="Times New Roman"/>
          <w:i/>
          <w:iCs/>
        </w:rPr>
        <w:t>52</w:t>
      </w:r>
      <w:r w:rsidRPr="00E25215">
        <w:rPr>
          <w:rFonts w:cs="Times New Roman"/>
        </w:rPr>
        <w:t>(3–4), 219–234. https://doi.org/10.1007/BF02908898</w:t>
      </w:r>
    </w:p>
    <w:p w14:paraId="2188842F"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Renault, D., Laparie, M., McCauley, S. J., &amp; Bonte, D. (2018). Environmental Adaptations, Ecological Filtering, and Dispersal Central to Insect Invasions. </w:t>
      </w:r>
      <w:r w:rsidRPr="00E25215">
        <w:rPr>
          <w:rFonts w:cs="Times New Roman"/>
          <w:i/>
          <w:iCs/>
        </w:rPr>
        <w:t>Annual Review of Entomology</w:t>
      </w:r>
      <w:r w:rsidRPr="00E25215">
        <w:rPr>
          <w:rFonts w:cs="Times New Roman"/>
        </w:rPr>
        <w:t xml:space="preserve">, </w:t>
      </w:r>
      <w:r w:rsidRPr="00E25215">
        <w:rPr>
          <w:rFonts w:cs="Times New Roman"/>
          <w:i/>
          <w:iCs/>
        </w:rPr>
        <w:t>63</w:t>
      </w:r>
      <w:r w:rsidRPr="00E25215">
        <w:rPr>
          <w:rFonts w:cs="Times New Roman"/>
        </w:rPr>
        <w:t>(1), 345–368. https://doi.org/10.1146/annurev-ento-020117-043315</w:t>
      </w:r>
    </w:p>
    <w:p w14:paraId="0D43D552"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Rentch, J. S., Fortney, R. H., Stephenson, S. L., Adams, H. S., Grafton, W. N., &amp; Anderson, J. T. (2005). Vegetation–site relationships of roadside plant communities in West Virginia, USA. </w:t>
      </w:r>
      <w:r w:rsidRPr="00E25215">
        <w:rPr>
          <w:rFonts w:cs="Times New Roman"/>
          <w:i/>
          <w:iCs/>
        </w:rPr>
        <w:t>Journal of Applied Ecology</w:t>
      </w:r>
      <w:r w:rsidRPr="00E25215">
        <w:rPr>
          <w:rFonts w:cs="Times New Roman"/>
        </w:rPr>
        <w:t xml:space="preserve">, </w:t>
      </w:r>
      <w:r w:rsidRPr="00E25215">
        <w:rPr>
          <w:rFonts w:cs="Times New Roman"/>
          <w:i/>
          <w:iCs/>
        </w:rPr>
        <w:t>42</w:t>
      </w:r>
      <w:r w:rsidRPr="00E25215">
        <w:rPr>
          <w:rFonts w:cs="Times New Roman"/>
        </w:rPr>
        <w:t>(1), 129–138. https://doi.org/10.1111/j.1365-2664.2004.00993.x</w:t>
      </w:r>
    </w:p>
    <w:p w14:paraId="7E5B60E2"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Rew, L. J., Brummer, T. J., Pollnac, F. W., Larson, C. D., Taylor, K. T., Taper, M. L., Fleming, J. D., &amp; Balbach, H. E. (2018). Hitching a ride: Seed accrual rates on different types of vehicles. </w:t>
      </w:r>
      <w:r w:rsidRPr="00E25215">
        <w:rPr>
          <w:rFonts w:cs="Times New Roman"/>
          <w:i/>
          <w:iCs/>
        </w:rPr>
        <w:t>Journal of Environmental Management</w:t>
      </w:r>
      <w:r w:rsidRPr="00E25215">
        <w:rPr>
          <w:rFonts w:cs="Times New Roman"/>
        </w:rPr>
        <w:t xml:space="preserve">, </w:t>
      </w:r>
      <w:r w:rsidRPr="00E25215">
        <w:rPr>
          <w:rFonts w:cs="Times New Roman"/>
          <w:i/>
          <w:iCs/>
        </w:rPr>
        <w:t>206</w:t>
      </w:r>
      <w:r w:rsidRPr="00E25215">
        <w:rPr>
          <w:rFonts w:cs="Times New Roman"/>
        </w:rPr>
        <w:t>, 547–555. https://doi.org/10.1016/j.jenvman.2017.10.060</w:t>
      </w:r>
    </w:p>
    <w:p w14:paraId="12A0C3DA"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Reynolds, C., Miranda, N. A. F., &amp; Cumming, G. S. (2015). The role of waterbirds in the dispersal of aquatic alien and invasive species. </w:t>
      </w:r>
      <w:r w:rsidRPr="00E25215">
        <w:rPr>
          <w:rFonts w:cs="Times New Roman"/>
          <w:i/>
          <w:iCs/>
        </w:rPr>
        <w:t>Diversity and Distributions</w:t>
      </w:r>
      <w:r w:rsidRPr="00E25215">
        <w:rPr>
          <w:rFonts w:cs="Times New Roman"/>
        </w:rPr>
        <w:t xml:space="preserve">, </w:t>
      </w:r>
      <w:r w:rsidRPr="00E25215">
        <w:rPr>
          <w:rFonts w:cs="Times New Roman"/>
          <w:i/>
          <w:iCs/>
        </w:rPr>
        <w:t>21</w:t>
      </w:r>
      <w:r w:rsidRPr="00E25215">
        <w:rPr>
          <w:rFonts w:cs="Times New Roman"/>
        </w:rPr>
        <w:t>(7), 744–754. https://doi.org/10.1111/ddi.12334</w:t>
      </w:r>
    </w:p>
    <w:p w14:paraId="3C863E83" w14:textId="77777777" w:rsidR="001379C0" w:rsidRPr="00E25215" w:rsidRDefault="001379C0" w:rsidP="009B3E7F">
      <w:pPr>
        <w:pStyle w:val="Bibliography"/>
        <w:spacing w:before="0" w:after="0" w:line="240" w:lineRule="auto"/>
        <w:rPr>
          <w:rFonts w:cs="Times New Roman"/>
        </w:rPr>
      </w:pPr>
      <w:r w:rsidRPr="00E25215">
        <w:rPr>
          <w:rFonts w:cs="Times New Roman"/>
        </w:rPr>
        <w:t>Rhodes, A. C., Plowes, R. M., Goolsby, J. A., Gaskin, J. F., Musyoka, B., Calatayud, P.-A., Cristofaro, M., Grahmann, E. D., Martins, D. J., &amp; Gilbert, L. E. (2021). The dilemma of Guinea grass (</w:t>
      </w:r>
      <w:r w:rsidRPr="00E25215">
        <w:rPr>
          <w:rFonts w:cs="Times New Roman"/>
          <w:i/>
          <w:iCs/>
        </w:rPr>
        <w:t>Megathyrsus maximus</w:t>
      </w:r>
      <w:r w:rsidRPr="00E25215">
        <w:rPr>
          <w:rFonts w:cs="Times New Roman"/>
        </w:rPr>
        <w:t xml:space="preserve">): A valued pasture grass and a highly invasive species. </w:t>
      </w:r>
      <w:r w:rsidRPr="00E25215">
        <w:rPr>
          <w:rFonts w:cs="Times New Roman"/>
          <w:i/>
          <w:iCs/>
        </w:rPr>
        <w:t>Biological Invasions</w:t>
      </w:r>
      <w:r w:rsidRPr="00E25215">
        <w:rPr>
          <w:rFonts w:cs="Times New Roman"/>
        </w:rPr>
        <w:t xml:space="preserve">, </w:t>
      </w:r>
      <w:r w:rsidRPr="00E25215">
        <w:rPr>
          <w:rFonts w:cs="Times New Roman"/>
          <w:i/>
          <w:iCs/>
        </w:rPr>
        <w:t>23</w:t>
      </w:r>
      <w:r w:rsidRPr="00E25215">
        <w:rPr>
          <w:rFonts w:cs="Times New Roman"/>
        </w:rPr>
        <w:t>(12), Article 12. https://doi.org/10.1007/s10530-021-02607-3</w:t>
      </w:r>
    </w:p>
    <w:p w14:paraId="051909E6" w14:textId="77777777" w:rsidR="001379C0" w:rsidRPr="00E25215" w:rsidRDefault="001379C0" w:rsidP="009B3E7F">
      <w:pPr>
        <w:pStyle w:val="Bibliography"/>
        <w:spacing w:before="0" w:after="0" w:line="240" w:lineRule="auto"/>
        <w:rPr>
          <w:rFonts w:cs="Times New Roman"/>
        </w:rPr>
      </w:pPr>
      <w:r w:rsidRPr="00E25215">
        <w:rPr>
          <w:rFonts w:cs="Times New Roman"/>
        </w:rPr>
        <w:t>Rhymer, J. M., Williams, M. J., &amp; Braun, M. J. (1994). Mitochondrial Analysis of Gene Flow between New Zealand Mallards (</w:t>
      </w:r>
      <w:r w:rsidRPr="00E25215">
        <w:rPr>
          <w:rFonts w:cs="Times New Roman"/>
          <w:i/>
          <w:iCs/>
        </w:rPr>
        <w:t>Anas Platyrhynchos</w:t>
      </w:r>
      <w:r w:rsidRPr="00E25215">
        <w:rPr>
          <w:rFonts w:cs="Times New Roman"/>
        </w:rPr>
        <w:t>) and Grey Ducks (</w:t>
      </w:r>
      <w:r w:rsidRPr="00E25215">
        <w:rPr>
          <w:rFonts w:cs="Times New Roman"/>
          <w:i/>
          <w:iCs/>
        </w:rPr>
        <w:t>A. Superciliosa</w:t>
      </w:r>
      <w:r w:rsidRPr="00E25215">
        <w:rPr>
          <w:rFonts w:cs="Times New Roman"/>
        </w:rPr>
        <w:t xml:space="preserve">). </w:t>
      </w:r>
      <w:r w:rsidRPr="00E25215">
        <w:rPr>
          <w:rFonts w:cs="Times New Roman"/>
          <w:i/>
          <w:iCs/>
        </w:rPr>
        <w:t>The Auk</w:t>
      </w:r>
      <w:r w:rsidRPr="00E25215">
        <w:rPr>
          <w:rFonts w:cs="Times New Roman"/>
        </w:rPr>
        <w:t xml:space="preserve">, </w:t>
      </w:r>
      <w:r w:rsidRPr="00E25215">
        <w:rPr>
          <w:rFonts w:cs="Times New Roman"/>
          <w:i/>
          <w:iCs/>
        </w:rPr>
        <w:t>111</w:t>
      </w:r>
      <w:r w:rsidRPr="00E25215">
        <w:rPr>
          <w:rFonts w:cs="Times New Roman"/>
        </w:rPr>
        <w:t>(4), Article 4. https://doi.org/10.2307/4088829</w:t>
      </w:r>
    </w:p>
    <w:p w14:paraId="2C9D7C05" w14:textId="77777777" w:rsidR="001379C0" w:rsidRPr="00E25215" w:rsidRDefault="001379C0" w:rsidP="009B3E7F">
      <w:pPr>
        <w:pStyle w:val="Bibliography"/>
        <w:spacing w:before="0" w:after="0" w:line="240" w:lineRule="auto"/>
        <w:rPr>
          <w:rFonts w:cs="Times New Roman"/>
        </w:rPr>
      </w:pPr>
      <w:r w:rsidRPr="00E25215">
        <w:rPr>
          <w:rFonts w:cs="Times New Roman"/>
        </w:rPr>
        <w:lastRenderedPageBreak/>
        <w:t xml:space="preserve">Ribeiro, F., Elvira, B., Collares-Pereira, M. J., &amp; Moyle, P. B. (2008). Life-history traits of non-native fishes in Iberian watersheds across several invasion stages: A first approach. </w:t>
      </w:r>
      <w:r w:rsidRPr="00E25215">
        <w:rPr>
          <w:rFonts w:cs="Times New Roman"/>
          <w:i/>
          <w:iCs/>
        </w:rPr>
        <w:t>Biological Invasions</w:t>
      </w:r>
      <w:r w:rsidRPr="00E25215">
        <w:rPr>
          <w:rFonts w:cs="Times New Roman"/>
        </w:rPr>
        <w:t xml:space="preserve">, </w:t>
      </w:r>
      <w:r w:rsidRPr="00E25215">
        <w:rPr>
          <w:rFonts w:cs="Times New Roman"/>
          <w:i/>
          <w:iCs/>
        </w:rPr>
        <w:t>10</w:t>
      </w:r>
      <w:r w:rsidRPr="00E25215">
        <w:rPr>
          <w:rFonts w:cs="Times New Roman"/>
        </w:rPr>
        <w:t>(1), 89–102. https://doi.org/10.1007/s10530-007-9112-2</w:t>
      </w:r>
    </w:p>
    <w:p w14:paraId="30AB9FE3"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Ribeiro, V. R., Silva, P. R. L. da, Gubiani, É. A., Faria, L., Daga, V. S., &amp; Vitule, J. R. S. (2017). Imminent threat of the predator fish invasion </w:t>
      </w:r>
      <w:r w:rsidRPr="00E25215">
        <w:rPr>
          <w:rFonts w:cs="Times New Roman"/>
          <w:i/>
          <w:iCs/>
        </w:rPr>
        <w:t>Salminus brasiliensis</w:t>
      </w:r>
      <w:r w:rsidRPr="00E25215">
        <w:rPr>
          <w:rFonts w:cs="Times New Roman"/>
        </w:rPr>
        <w:t xml:space="preserve"> in a Neotropical ecoregion: Eco-vandalism masked as an environmental project. </w:t>
      </w:r>
      <w:r w:rsidRPr="00E25215">
        <w:rPr>
          <w:rFonts w:cs="Times New Roman"/>
          <w:i/>
          <w:iCs/>
        </w:rPr>
        <w:t>Perspectives in Ecology and Conservation</w:t>
      </w:r>
      <w:r w:rsidRPr="00E25215">
        <w:rPr>
          <w:rFonts w:cs="Times New Roman"/>
        </w:rPr>
        <w:t xml:space="preserve">, </w:t>
      </w:r>
      <w:r w:rsidRPr="00E25215">
        <w:rPr>
          <w:rFonts w:cs="Times New Roman"/>
          <w:i/>
          <w:iCs/>
        </w:rPr>
        <w:t>15</w:t>
      </w:r>
      <w:r w:rsidRPr="00E25215">
        <w:rPr>
          <w:rFonts w:cs="Times New Roman"/>
        </w:rPr>
        <w:t>(2), 132–135. https://doi.org/10.1016/j.pecon.2017.03.004</w:t>
      </w:r>
    </w:p>
    <w:p w14:paraId="432199A9"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Ricciardi, A. (2001). Facilitative interactions among aquatic invaders: Is an “invasional meltdown” occurring in the Great Lakes? </w:t>
      </w:r>
      <w:r w:rsidRPr="00E25215">
        <w:rPr>
          <w:rFonts w:cs="Times New Roman"/>
          <w:i/>
          <w:iCs/>
        </w:rPr>
        <w:t>Canadian Journal of Fisheries and Aquatic Sciences</w:t>
      </w:r>
      <w:r w:rsidRPr="00E25215">
        <w:rPr>
          <w:rFonts w:cs="Times New Roman"/>
        </w:rPr>
        <w:t xml:space="preserve">, </w:t>
      </w:r>
      <w:r w:rsidRPr="00E25215">
        <w:rPr>
          <w:rFonts w:cs="Times New Roman"/>
          <w:i/>
          <w:iCs/>
        </w:rPr>
        <w:t>58</w:t>
      </w:r>
      <w:r w:rsidRPr="00E25215">
        <w:rPr>
          <w:rFonts w:cs="Times New Roman"/>
        </w:rPr>
        <w:t>(12), 2513–2525. https://doi.org/10.1139/f01-178</w:t>
      </w:r>
    </w:p>
    <w:p w14:paraId="7B10CC32"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Ricciardi, A. (2007). Are Modern Biological Invasions an Unprecedented Form of Global Change? </w:t>
      </w:r>
      <w:r w:rsidRPr="00E25215">
        <w:rPr>
          <w:rFonts w:cs="Times New Roman"/>
          <w:i/>
          <w:iCs/>
        </w:rPr>
        <w:t>Conservation Biology</w:t>
      </w:r>
      <w:r w:rsidRPr="00E25215">
        <w:rPr>
          <w:rFonts w:cs="Times New Roman"/>
        </w:rPr>
        <w:t xml:space="preserve">, </w:t>
      </w:r>
      <w:r w:rsidRPr="00E25215">
        <w:rPr>
          <w:rFonts w:cs="Times New Roman"/>
          <w:i/>
          <w:iCs/>
        </w:rPr>
        <w:t>21</w:t>
      </w:r>
      <w:r w:rsidRPr="00E25215">
        <w:rPr>
          <w:rFonts w:cs="Times New Roman"/>
        </w:rPr>
        <w:t>(2), 329–336. https://doi.org/10.1111/j.1523-1739.2006.00615.x</w:t>
      </w:r>
    </w:p>
    <w:p w14:paraId="4E769845"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Ricciardi, A., Blackburn, T. M., Carlton, J. T., Dick, J. T. A., Hulme, P. E., Iacarella, J. C., Jeschke, J. M., Liebhold, A. M., Lockwood, J. L., MacIsaac, H. J., Pyšek, P., Richardson, D. M., Ruiz, G. M., Simberloff, D., Sutherland, W. J., Wardle, D. A., &amp; Aldridge, D. C. (2017). Invasion Science: A Horizon Scan of Emerging Challenges and Opportunities. </w:t>
      </w:r>
      <w:r w:rsidRPr="00E25215">
        <w:rPr>
          <w:rFonts w:cs="Times New Roman"/>
          <w:i/>
          <w:iCs/>
        </w:rPr>
        <w:t>Trends in Ecology &amp; Evolution</w:t>
      </w:r>
      <w:r w:rsidRPr="00E25215">
        <w:rPr>
          <w:rFonts w:cs="Times New Roman"/>
        </w:rPr>
        <w:t xml:space="preserve">, </w:t>
      </w:r>
      <w:r w:rsidRPr="00E25215">
        <w:rPr>
          <w:rFonts w:cs="Times New Roman"/>
          <w:i/>
          <w:iCs/>
        </w:rPr>
        <w:t>32</w:t>
      </w:r>
      <w:r w:rsidRPr="00E25215">
        <w:rPr>
          <w:rFonts w:cs="Times New Roman"/>
        </w:rPr>
        <w:t>(6), 464–474. https://doi.org/10.1016/j.tree.2017.03.007</w:t>
      </w:r>
    </w:p>
    <w:p w14:paraId="36BC5D84"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Ricciardi, A., Iacarella, J. C., Aldridge, D. C., Blackburn, T. M., Carlton, J. T., Catford, J. A., Dick, J. T. A., Hulme, P. E., Jeschke, J. M., Liebhold, A. M., Lockwood, J. L., MacIsaac, H. J., Meyerson, L. A., Pyšek, P., Richardson, D. M., Ruiz, G. M., Simberloff, D., Vilà, M., &amp; Wardle, D. A. (2020). Four priority areas to advance invasion science in the face of rapid environmental change. </w:t>
      </w:r>
      <w:r w:rsidRPr="00E25215">
        <w:rPr>
          <w:rFonts w:cs="Times New Roman"/>
          <w:i/>
          <w:iCs/>
        </w:rPr>
        <w:t>Environmental Reviews</w:t>
      </w:r>
      <w:r w:rsidRPr="00E25215">
        <w:rPr>
          <w:rFonts w:cs="Times New Roman"/>
        </w:rPr>
        <w:t xml:space="preserve">, </w:t>
      </w:r>
      <w:r w:rsidRPr="00E25215">
        <w:rPr>
          <w:rFonts w:cs="Times New Roman"/>
          <w:i/>
          <w:iCs/>
        </w:rPr>
        <w:t>29</w:t>
      </w:r>
      <w:r w:rsidRPr="00E25215">
        <w:rPr>
          <w:rFonts w:cs="Times New Roman"/>
        </w:rPr>
        <w:t>(2), 119–141. https://doi.org/10.1139/er-2020-0088</w:t>
      </w:r>
    </w:p>
    <w:p w14:paraId="735C719C"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Ricciardi, A., &amp; Simberloff, D. (2009). Assisted colonization is not a viable conservation strategy. </w:t>
      </w:r>
      <w:r w:rsidRPr="00E25215">
        <w:rPr>
          <w:rFonts w:cs="Times New Roman"/>
          <w:i/>
          <w:iCs/>
        </w:rPr>
        <w:t>Trends in Ecology &amp; Evolution</w:t>
      </w:r>
      <w:r w:rsidRPr="00E25215">
        <w:rPr>
          <w:rFonts w:cs="Times New Roman"/>
        </w:rPr>
        <w:t xml:space="preserve">, </w:t>
      </w:r>
      <w:r w:rsidRPr="00E25215">
        <w:rPr>
          <w:rFonts w:cs="Times New Roman"/>
          <w:i/>
          <w:iCs/>
        </w:rPr>
        <w:t>24</w:t>
      </w:r>
      <w:r w:rsidRPr="00E25215">
        <w:rPr>
          <w:rFonts w:cs="Times New Roman"/>
        </w:rPr>
        <w:t>(5), 248–253. https://doi.org/10.1016/j.tree.2008.12.006</w:t>
      </w:r>
    </w:p>
    <w:p w14:paraId="3C7F53A6"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Richardson, D. M. (1998). Forestry Trees as Invasive Aliens. </w:t>
      </w:r>
      <w:r w:rsidRPr="00E25215">
        <w:rPr>
          <w:rFonts w:cs="Times New Roman"/>
          <w:i/>
          <w:iCs/>
        </w:rPr>
        <w:t>Conservation Biology</w:t>
      </w:r>
      <w:r w:rsidRPr="00E25215">
        <w:rPr>
          <w:rFonts w:cs="Times New Roman"/>
        </w:rPr>
        <w:t xml:space="preserve">, </w:t>
      </w:r>
      <w:r w:rsidRPr="00E25215">
        <w:rPr>
          <w:rFonts w:cs="Times New Roman"/>
          <w:i/>
          <w:iCs/>
        </w:rPr>
        <w:t>12</w:t>
      </w:r>
      <w:r w:rsidRPr="00E25215">
        <w:rPr>
          <w:rFonts w:cs="Times New Roman"/>
        </w:rPr>
        <w:t>(1), 18–26. https://doi.org/10.1046/j.1523-1739.1998.96392.x</w:t>
      </w:r>
    </w:p>
    <w:p w14:paraId="7BB8E962"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Richardson, D. M. (2006). </w:t>
      </w:r>
      <w:r w:rsidRPr="00E25215">
        <w:rPr>
          <w:rFonts w:cs="Times New Roman"/>
          <w:i/>
          <w:iCs/>
        </w:rPr>
        <w:t>Pinus</w:t>
      </w:r>
      <w:r w:rsidRPr="00E25215">
        <w:rPr>
          <w:rFonts w:cs="Times New Roman"/>
        </w:rPr>
        <w:t xml:space="preserve">: A model group for unlocking the secrets of alien plant invasions? </w:t>
      </w:r>
      <w:r w:rsidRPr="00E25215">
        <w:rPr>
          <w:rFonts w:cs="Times New Roman"/>
          <w:i/>
          <w:iCs/>
        </w:rPr>
        <w:t>Preslia</w:t>
      </w:r>
      <w:r w:rsidRPr="00E25215">
        <w:rPr>
          <w:rFonts w:cs="Times New Roman"/>
        </w:rPr>
        <w:t xml:space="preserve">, </w:t>
      </w:r>
      <w:r w:rsidRPr="00E25215">
        <w:rPr>
          <w:rFonts w:cs="Times New Roman"/>
          <w:i/>
          <w:iCs/>
        </w:rPr>
        <w:t>78</w:t>
      </w:r>
      <w:r w:rsidRPr="00E25215">
        <w:rPr>
          <w:rFonts w:cs="Times New Roman"/>
        </w:rPr>
        <w:t>, 375–388. https://www.preslia.cz/P064CRic.pdf</w:t>
      </w:r>
    </w:p>
    <w:p w14:paraId="7FDE4BE2"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Richardson, D. M., Allsopp, N., D’Antonio, C. M., Milton, S. J., &amp; Rejmánek, M. (2007). Plant invasions—The role of mutualisms. </w:t>
      </w:r>
      <w:r w:rsidRPr="00E25215">
        <w:rPr>
          <w:rFonts w:cs="Times New Roman"/>
          <w:i/>
          <w:iCs/>
        </w:rPr>
        <w:t>Biological Reviews</w:t>
      </w:r>
      <w:r w:rsidRPr="00E25215">
        <w:rPr>
          <w:rFonts w:cs="Times New Roman"/>
        </w:rPr>
        <w:t xml:space="preserve">, </w:t>
      </w:r>
      <w:r w:rsidRPr="00E25215">
        <w:rPr>
          <w:rFonts w:cs="Times New Roman"/>
          <w:i/>
          <w:iCs/>
        </w:rPr>
        <w:t>75</w:t>
      </w:r>
      <w:r w:rsidRPr="00E25215">
        <w:rPr>
          <w:rFonts w:cs="Times New Roman"/>
        </w:rPr>
        <w:t>(1), 65–93. https://doi.org/10.1111/j.1469-185X.1999.tb00041.x</w:t>
      </w:r>
    </w:p>
    <w:p w14:paraId="0E1223E7"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Richardson, D. M., &amp; Blanchard, R. (2011). Learning from our mistakes: Minimizing problems with invasive biofuel plants. </w:t>
      </w:r>
      <w:r w:rsidRPr="00E25215">
        <w:rPr>
          <w:rFonts w:cs="Times New Roman"/>
          <w:i/>
          <w:iCs/>
        </w:rPr>
        <w:t>Current Opinion in Environmental Sustainability</w:t>
      </w:r>
      <w:r w:rsidRPr="00E25215">
        <w:rPr>
          <w:rFonts w:cs="Times New Roman"/>
        </w:rPr>
        <w:t xml:space="preserve">, </w:t>
      </w:r>
      <w:r w:rsidRPr="00E25215">
        <w:rPr>
          <w:rFonts w:cs="Times New Roman"/>
          <w:i/>
          <w:iCs/>
        </w:rPr>
        <w:t>3</w:t>
      </w:r>
      <w:r w:rsidRPr="00E25215">
        <w:rPr>
          <w:rFonts w:cs="Times New Roman"/>
        </w:rPr>
        <w:t>(1–2), Article 1–2. https://doi.org/10.1016/j.cosust.2010.11.006</w:t>
      </w:r>
    </w:p>
    <w:p w14:paraId="68F7FFB3"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Richardson, D. M., Carruthers, J., Hui, C., Impson, F. A. C., Miller, J. T., Robertson, M. P., Rouget, M., Le Roux, J. J., &amp; Wilson, J. R. U. (2011). Human-mediated introductions of Australian acacias – a global experiment in biogeography. </w:t>
      </w:r>
      <w:r w:rsidRPr="00E25215">
        <w:rPr>
          <w:rFonts w:cs="Times New Roman"/>
          <w:i/>
          <w:iCs/>
        </w:rPr>
        <w:t>Diversity and Distributions</w:t>
      </w:r>
      <w:r w:rsidRPr="00E25215">
        <w:rPr>
          <w:rFonts w:cs="Times New Roman"/>
        </w:rPr>
        <w:t xml:space="preserve">, </w:t>
      </w:r>
      <w:r w:rsidRPr="00E25215">
        <w:rPr>
          <w:rFonts w:cs="Times New Roman"/>
          <w:i/>
          <w:iCs/>
        </w:rPr>
        <w:t>17</w:t>
      </w:r>
      <w:r w:rsidRPr="00E25215">
        <w:rPr>
          <w:rFonts w:cs="Times New Roman"/>
        </w:rPr>
        <w:t>(5), 771–787. https://doi.org/10.1111/j.1472-4642.2011.00824.x</w:t>
      </w:r>
    </w:p>
    <w:p w14:paraId="0D196B5E"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Richardson, D. M., Hellmann, J. J., McLachlan, J. S., Sax, D. F., Schwartz, M. W., Gonzalez, P., Brennan, E. J., Camacho, A., Root, T. L., Sala, O. E., Schneider, S. H., Ashe, D. M., Clark, J. R., Early, R., Etterson, J. R., Fielder, E. D., Gill, J. L., Minteer, B. A., Polasky, S., … Vellend, M. (2009). Multidimensional evaluation of managed relocation. </w:t>
      </w:r>
      <w:r w:rsidRPr="00E25215">
        <w:rPr>
          <w:rFonts w:cs="Times New Roman"/>
          <w:i/>
          <w:iCs/>
        </w:rPr>
        <w:t>Proceedings of the National Academy of Sciences</w:t>
      </w:r>
      <w:r w:rsidRPr="00E25215">
        <w:rPr>
          <w:rFonts w:cs="Times New Roman"/>
        </w:rPr>
        <w:t xml:space="preserve">, </w:t>
      </w:r>
      <w:r w:rsidRPr="00E25215">
        <w:rPr>
          <w:rFonts w:cs="Times New Roman"/>
          <w:i/>
          <w:iCs/>
        </w:rPr>
        <w:t>106</w:t>
      </w:r>
      <w:r w:rsidRPr="00E25215">
        <w:rPr>
          <w:rFonts w:cs="Times New Roman"/>
        </w:rPr>
        <w:t>(24), 9721–9724. https://doi.org/10.1073/pnas.0902327106</w:t>
      </w:r>
    </w:p>
    <w:p w14:paraId="2338B9DC"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Richardson, D. M., Holmes, P. M., Esler, K. J., Galatowitsch, S. M., Stromberg, J. C., Kirkman, S. P., Pyšek, P., &amp; Hobbs, R. J. (2007). Riparian vegetation: Degradation, alien plant invasions, and restoration prospects. </w:t>
      </w:r>
      <w:r w:rsidRPr="00E25215">
        <w:rPr>
          <w:rFonts w:cs="Times New Roman"/>
          <w:i/>
          <w:iCs/>
        </w:rPr>
        <w:t>Diversity and Distributions</w:t>
      </w:r>
      <w:r w:rsidRPr="00E25215">
        <w:rPr>
          <w:rFonts w:cs="Times New Roman"/>
        </w:rPr>
        <w:t xml:space="preserve">, </w:t>
      </w:r>
      <w:r w:rsidRPr="00E25215">
        <w:rPr>
          <w:rFonts w:cs="Times New Roman"/>
          <w:i/>
          <w:iCs/>
        </w:rPr>
        <w:t>13</w:t>
      </w:r>
      <w:r w:rsidRPr="00E25215">
        <w:rPr>
          <w:rFonts w:cs="Times New Roman"/>
        </w:rPr>
        <w:t>(1), 126–139. https://doi.org/10.1111/j.1366-9516.2006.00314.x</w:t>
      </w:r>
    </w:p>
    <w:p w14:paraId="523EF60D"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Richardson, D. M., Le Roux, J. J., &amp; Wilson, J. R. (2015). Australian acacias as invasive species: Lessons to be learnt from regions with long planting histories. </w:t>
      </w:r>
      <w:r w:rsidRPr="00E25215">
        <w:rPr>
          <w:rFonts w:cs="Times New Roman"/>
          <w:i/>
          <w:iCs/>
        </w:rPr>
        <w:t>Southern Forests: A Journal of Forest Science</w:t>
      </w:r>
      <w:r w:rsidRPr="00E25215">
        <w:rPr>
          <w:rFonts w:cs="Times New Roman"/>
        </w:rPr>
        <w:t xml:space="preserve">, </w:t>
      </w:r>
      <w:r w:rsidRPr="00E25215">
        <w:rPr>
          <w:rFonts w:cs="Times New Roman"/>
          <w:i/>
          <w:iCs/>
        </w:rPr>
        <w:t>77</w:t>
      </w:r>
      <w:r w:rsidRPr="00E25215">
        <w:rPr>
          <w:rFonts w:cs="Times New Roman"/>
        </w:rPr>
        <w:t>(1), Article 1. https://doi.org/10.2989/20702620.2014.999305</w:t>
      </w:r>
    </w:p>
    <w:p w14:paraId="5472355A" w14:textId="77777777" w:rsidR="001379C0" w:rsidRPr="00E25215" w:rsidRDefault="001379C0" w:rsidP="009B3E7F">
      <w:pPr>
        <w:pStyle w:val="Bibliography"/>
        <w:spacing w:before="0" w:after="0" w:line="240" w:lineRule="auto"/>
        <w:rPr>
          <w:rFonts w:cs="Times New Roman"/>
        </w:rPr>
      </w:pPr>
      <w:r w:rsidRPr="00E25215">
        <w:rPr>
          <w:rFonts w:cs="Times New Roman"/>
        </w:rPr>
        <w:lastRenderedPageBreak/>
        <w:t xml:space="preserve">Richardson, D. M., &amp; Nsikani, M. M. (2021). Mediterranean Pines as Invasive Species in the Southern Hemisphere. In G. Ne’eman &amp; Y. Osem (Eds.), </w:t>
      </w:r>
      <w:r w:rsidRPr="00E25215">
        <w:rPr>
          <w:rFonts w:cs="Times New Roman"/>
          <w:i/>
          <w:iCs/>
        </w:rPr>
        <w:t>Pines and Their Mixed Forest Ecosystems in the Mediterranean Basin</w:t>
      </w:r>
      <w:r w:rsidRPr="00E25215">
        <w:rPr>
          <w:rFonts w:cs="Times New Roman"/>
        </w:rPr>
        <w:t xml:space="preserve"> (pp. 83–99). Springer International Publishing. https://doi.org/10.1007/978-3-030-63625-8_5</w:t>
      </w:r>
    </w:p>
    <w:p w14:paraId="3C75955D"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Richardson, D. M., &amp; Rejmánek, M. (2011). Trees and shrubs as invasive alien species - a global review: Global review of invasive trees &amp; shrubs. </w:t>
      </w:r>
      <w:r w:rsidRPr="00E25215">
        <w:rPr>
          <w:rFonts w:cs="Times New Roman"/>
          <w:i/>
          <w:iCs/>
        </w:rPr>
        <w:t>Diversity and Distributions</w:t>
      </w:r>
      <w:r w:rsidRPr="00E25215">
        <w:rPr>
          <w:rFonts w:cs="Times New Roman"/>
        </w:rPr>
        <w:t xml:space="preserve">, </w:t>
      </w:r>
      <w:r w:rsidRPr="00E25215">
        <w:rPr>
          <w:rFonts w:cs="Times New Roman"/>
          <w:i/>
          <w:iCs/>
        </w:rPr>
        <w:t>17</w:t>
      </w:r>
      <w:r w:rsidRPr="00E25215">
        <w:rPr>
          <w:rFonts w:cs="Times New Roman"/>
        </w:rPr>
        <w:t>(5), Article 5. https://doi.org/10.1111/j.1472-4642.2011.00782.x</w:t>
      </w:r>
    </w:p>
    <w:p w14:paraId="05EFD832"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Richardson, D. M., Witt, A. B. R., Pergl, J., Dawson, W., Essl, F., Kreft, H., van Kleunen, M., Weigelt, P., Winter, M., &amp; Pyšek, P. (2021). Plant invasions in Africa. In D. R. Clements, M. K. Upadhyaya, S. Joshi, &amp; A. Shrestha (Eds.), </w:t>
      </w:r>
      <w:r w:rsidRPr="00E25215">
        <w:rPr>
          <w:rFonts w:cs="Times New Roman"/>
          <w:i/>
          <w:iCs/>
        </w:rPr>
        <w:t>Global Plant Invasions</w:t>
      </w:r>
      <w:r w:rsidRPr="00E25215">
        <w:rPr>
          <w:rFonts w:cs="Times New Roman"/>
        </w:rPr>
        <w:t xml:space="preserve"> (pp. 225–252). Springer. https://doi.org/10.1007/978-3-030-89684-3_11</w:t>
      </w:r>
    </w:p>
    <w:p w14:paraId="5D45AD9C"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Rigaud, K. K., de Sherbinin, A., Jones, B., Bergmann, J., Clement, V., Ober, K., Schewe, J., Adamo, S., McCusker, B., Heuser, S., &amp; Midgley, A. (2018). </w:t>
      </w:r>
      <w:r w:rsidRPr="00E25215">
        <w:rPr>
          <w:rFonts w:cs="Times New Roman"/>
          <w:i/>
          <w:iCs/>
        </w:rPr>
        <w:t>Groundswell: Preparing for Internal Climate Migration</w:t>
      </w:r>
      <w:r w:rsidRPr="00E25215">
        <w:rPr>
          <w:rFonts w:cs="Times New Roman"/>
        </w:rPr>
        <w:t>. World Bank. http://hdl.handle.net/10986/29461</w:t>
      </w:r>
    </w:p>
    <w:p w14:paraId="55222365"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Rigling, D., &amp; Prospero, S. (2018). </w:t>
      </w:r>
      <w:r w:rsidRPr="00E25215">
        <w:rPr>
          <w:rFonts w:cs="Times New Roman"/>
          <w:i/>
          <w:iCs/>
        </w:rPr>
        <w:t>Cryphonectria parasitica</w:t>
      </w:r>
      <w:r w:rsidRPr="00E25215">
        <w:rPr>
          <w:rFonts w:cs="Times New Roman"/>
        </w:rPr>
        <w:t xml:space="preserve">, the causal agent of chestnut blight: Invasion history, population biology and disease control. </w:t>
      </w:r>
      <w:r w:rsidRPr="00E25215">
        <w:rPr>
          <w:rFonts w:cs="Times New Roman"/>
          <w:i/>
          <w:iCs/>
        </w:rPr>
        <w:t>Molecular Plant Pathology</w:t>
      </w:r>
      <w:r w:rsidRPr="00E25215">
        <w:rPr>
          <w:rFonts w:cs="Times New Roman"/>
        </w:rPr>
        <w:t xml:space="preserve">, </w:t>
      </w:r>
      <w:r w:rsidRPr="00E25215">
        <w:rPr>
          <w:rFonts w:cs="Times New Roman"/>
          <w:i/>
          <w:iCs/>
        </w:rPr>
        <w:t>19</w:t>
      </w:r>
      <w:r w:rsidRPr="00E25215">
        <w:rPr>
          <w:rFonts w:cs="Times New Roman"/>
        </w:rPr>
        <w:t>(1), 7–20.</w:t>
      </w:r>
    </w:p>
    <w:p w14:paraId="19B4BED9"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Rignot, E., Velicogna, I., van den Broeke, M. R., Monaghan, A., &amp; Lenaerts, J. T. M. (2018). Acceleration of the contribution of the Greenland and Antarctic ice sheets to sea level rise. </w:t>
      </w:r>
      <w:r w:rsidRPr="00E25215">
        <w:rPr>
          <w:rFonts w:cs="Times New Roman"/>
          <w:i/>
          <w:iCs/>
        </w:rPr>
        <w:t>Geophysical Research Letters</w:t>
      </w:r>
      <w:r w:rsidRPr="00E25215">
        <w:rPr>
          <w:rFonts w:cs="Times New Roman"/>
        </w:rPr>
        <w:t>. https://doi.org/10.1029/2011GL046583@10.1002/(ISSN)1944-8007.GRL40</w:t>
      </w:r>
    </w:p>
    <w:p w14:paraId="460A468D"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Riley, S. (2005). Invasive Alien Species and the Protection of Biodiversity: The Role of Quarantine Laws in Resolving Inadequacies in the International Legal Regime. </w:t>
      </w:r>
      <w:r w:rsidRPr="00E25215">
        <w:rPr>
          <w:rFonts w:cs="Times New Roman"/>
          <w:i/>
          <w:iCs/>
        </w:rPr>
        <w:t>Journal of Environmental Law</w:t>
      </w:r>
      <w:r w:rsidRPr="00E25215">
        <w:rPr>
          <w:rFonts w:cs="Times New Roman"/>
        </w:rPr>
        <w:t xml:space="preserve">, </w:t>
      </w:r>
      <w:r w:rsidRPr="00E25215">
        <w:rPr>
          <w:rFonts w:cs="Times New Roman"/>
          <w:i/>
          <w:iCs/>
        </w:rPr>
        <w:t>17</w:t>
      </w:r>
      <w:r w:rsidRPr="00E25215">
        <w:rPr>
          <w:rFonts w:cs="Times New Roman"/>
        </w:rPr>
        <w:t>(3), 323–359. https://doi.org/10.1093/jel/eqi028</w:t>
      </w:r>
    </w:p>
    <w:p w14:paraId="13416026"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Riley, S. J., &amp; Banks, R. G. (1996). The role of phosphorus and heavy metals in the spread of weeds in urban bushlands: An example from the Lane Cove Valley, NSW, Australia. </w:t>
      </w:r>
      <w:r w:rsidRPr="00E25215">
        <w:rPr>
          <w:rFonts w:cs="Times New Roman"/>
          <w:i/>
          <w:iCs/>
        </w:rPr>
        <w:t>Science of The Total Environment</w:t>
      </w:r>
      <w:r w:rsidRPr="00E25215">
        <w:rPr>
          <w:rFonts w:cs="Times New Roman"/>
        </w:rPr>
        <w:t xml:space="preserve">, </w:t>
      </w:r>
      <w:r w:rsidRPr="00E25215">
        <w:rPr>
          <w:rFonts w:cs="Times New Roman"/>
          <w:i/>
          <w:iCs/>
        </w:rPr>
        <w:t>182</w:t>
      </w:r>
      <w:r w:rsidRPr="00E25215">
        <w:rPr>
          <w:rFonts w:cs="Times New Roman"/>
        </w:rPr>
        <w:t>(1–3), 39–52. https://doi.org/10.1016/0048-9697(95)05033-7</w:t>
      </w:r>
    </w:p>
    <w:p w14:paraId="4E124BE0" w14:textId="77777777" w:rsidR="001379C0" w:rsidRPr="00E25215" w:rsidRDefault="001379C0" w:rsidP="009B3E7F">
      <w:pPr>
        <w:pStyle w:val="Bibliography"/>
        <w:spacing w:before="0" w:after="0" w:line="240" w:lineRule="auto"/>
        <w:rPr>
          <w:rFonts w:cs="Times New Roman"/>
        </w:rPr>
      </w:pPr>
      <w:r w:rsidRPr="00E25215">
        <w:rPr>
          <w:rFonts w:cs="Times New Roman"/>
        </w:rPr>
        <w:t>Rilov, G., Peleg, O., Yeruham, E., Garval, T., Vichik, A., &amp; Raveh, O. (2018). Alien turf: Overfishing, overgrazing and invader domination in south</w:t>
      </w:r>
      <w:r w:rsidRPr="00E25215">
        <w:rPr>
          <w:rFonts w:cs="Times New Roman" w:hint="eastAsia"/>
        </w:rPr>
        <w:t>‐</w:t>
      </w:r>
      <w:r w:rsidRPr="00E25215">
        <w:rPr>
          <w:rFonts w:cs="Times New Roman"/>
        </w:rPr>
        <w:t xml:space="preserve">eastern Levant reef ecosystems. </w:t>
      </w:r>
      <w:r w:rsidRPr="00E25215">
        <w:rPr>
          <w:rFonts w:cs="Times New Roman"/>
          <w:i/>
          <w:iCs/>
        </w:rPr>
        <w:t>Aquatic Conservation: Marine and Freshwater Ecosystems</w:t>
      </w:r>
      <w:r w:rsidRPr="00E25215">
        <w:rPr>
          <w:rFonts w:cs="Times New Roman"/>
        </w:rPr>
        <w:t xml:space="preserve">, </w:t>
      </w:r>
      <w:r w:rsidRPr="00E25215">
        <w:rPr>
          <w:rFonts w:cs="Times New Roman"/>
          <w:i/>
          <w:iCs/>
        </w:rPr>
        <w:t>28</w:t>
      </w:r>
      <w:r w:rsidRPr="00E25215">
        <w:rPr>
          <w:rFonts w:cs="Times New Roman"/>
        </w:rPr>
        <w:t>(2), 351–369. https://doi.org/10.1002/aqc.2862</w:t>
      </w:r>
    </w:p>
    <w:p w14:paraId="2EF5A173"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Río-Rama, M., Maldonado-Erazo, C., Durán-Sánchez, A., &amp; Álvarez-García, J. (2019). Mountain tourism research. A review. </w:t>
      </w:r>
      <w:r w:rsidRPr="00E25215">
        <w:rPr>
          <w:rFonts w:cs="Times New Roman"/>
          <w:i/>
          <w:iCs/>
        </w:rPr>
        <w:t>European Journal of Tourism Research</w:t>
      </w:r>
      <w:r w:rsidRPr="00E25215">
        <w:rPr>
          <w:rFonts w:cs="Times New Roman"/>
        </w:rPr>
        <w:t xml:space="preserve">, </w:t>
      </w:r>
      <w:r w:rsidRPr="00E25215">
        <w:rPr>
          <w:rFonts w:cs="Times New Roman"/>
          <w:i/>
          <w:iCs/>
        </w:rPr>
        <w:t>22</w:t>
      </w:r>
      <w:r w:rsidRPr="00E25215">
        <w:rPr>
          <w:rFonts w:cs="Times New Roman"/>
        </w:rPr>
        <w:t>(2019), 130–150. https://www.semanticscholar.org/paper/Mountain-tourism-research.-A-review-R%C3%ADo-Rama-Maldonado-Erazo/14a7b727a2bb05d19fd7f2a8f4ac97f5e36b79bb</w:t>
      </w:r>
    </w:p>
    <w:p w14:paraId="203F80C9"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Rizzo, D. M., &amp; Garbelotto, M. (2003). Sudden oak death: Endangering California and Oregon forest ecosystems. </w:t>
      </w:r>
      <w:r w:rsidRPr="00E25215">
        <w:rPr>
          <w:rFonts w:cs="Times New Roman"/>
          <w:i/>
          <w:iCs/>
        </w:rPr>
        <w:t>Frontiers in Ecology and the Environment</w:t>
      </w:r>
      <w:r w:rsidRPr="00E25215">
        <w:rPr>
          <w:rFonts w:cs="Times New Roman"/>
        </w:rPr>
        <w:t xml:space="preserve">, </w:t>
      </w:r>
      <w:r w:rsidRPr="00E25215">
        <w:rPr>
          <w:rFonts w:cs="Times New Roman"/>
          <w:i/>
          <w:iCs/>
        </w:rPr>
        <w:t>1</w:t>
      </w:r>
      <w:r w:rsidRPr="00E25215">
        <w:rPr>
          <w:rFonts w:cs="Times New Roman"/>
        </w:rPr>
        <w:t>(4), 197–204. https://doi.org/10.1890/1540-9295(2003)001[0197:SODECA]2.0.CO;2</w:t>
      </w:r>
    </w:p>
    <w:p w14:paraId="3F3C67DA"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Roberge, C., Normandeau, É., Einum, S., Guderley, H., &amp; Bernatchez, L. (2008). Genetic consequences of interbreeding between farmed and wild Atlantic salmon: Insights from the transcriptome. </w:t>
      </w:r>
      <w:r w:rsidRPr="00E25215">
        <w:rPr>
          <w:rFonts w:cs="Times New Roman"/>
          <w:i/>
          <w:iCs/>
        </w:rPr>
        <w:t>Molecular Ecology</w:t>
      </w:r>
      <w:r w:rsidRPr="00E25215">
        <w:rPr>
          <w:rFonts w:cs="Times New Roman"/>
        </w:rPr>
        <w:t xml:space="preserve">, </w:t>
      </w:r>
      <w:r w:rsidRPr="00E25215">
        <w:rPr>
          <w:rFonts w:cs="Times New Roman"/>
          <w:i/>
          <w:iCs/>
        </w:rPr>
        <w:t>17</w:t>
      </w:r>
      <w:r w:rsidRPr="00E25215">
        <w:rPr>
          <w:rFonts w:cs="Times New Roman"/>
        </w:rPr>
        <w:t>(1), 314–324. https://doi.org/10.1111/j.1365-294X.2007.03438.x</w:t>
      </w:r>
    </w:p>
    <w:p w14:paraId="0B68DEF4"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Roberts, J., &amp; Florentine, S. (2021). Biology, distribution and control of the invasive species </w:t>
      </w:r>
      <w:r w:rsidRPr="00E25215">
        <w:rPr>
          <w:rFonts w:cs="Times New Roman"/>
          <w:i/>
          <w:iCs/>
        </w:rPr>
        <w:t>Ulex europaeus</w:t>
      </w:r>
      <w:r w:rsidRPr="00E25215">
        <w:rPr>
          <w:rFonts w:cs="Times New Roman"/>
        </w:rPr>
        <w:t xml:space="preserve"> (Gorse): A global synthesis of current and future management challenges and research gaps. </w:t>
      </w:r>
      <w:r w:rsidRPr="00E25215">
        <w:rPr>
          <w:rFonts w:cs="Times New Roman"/>
          <w:i/>
          <w:iCs/>
        </w:rPr>
        <w:t>Weed Research</w:t>
      </w:r>
      <w:r w:rsidRPr="00E25215">
        <w:rPr>
          <w:rFonts w:cs="Times New Roman"/>
        </w:rPr>
        <w:t xml:space="preserve">, </w:t>
      </w:r>
      <w:r w:rsidRPr="00E25215">
        <w:rPr>
          <w:rFonts w:cs="Times New Roman"/>
          <w:i/>
          <w:iCs/>
        </w:rPr>
        <w:t>61</w:t>
      </w:r>
      <w:r w:rsidRPr="00E25215">
        <w:rPr>
          <w:rFonts w:cs="Times New Roman"/>
        </w:rPr>
        <w:t>(4), Article 4. https://doi.org/10.1111/wre.12491</w:t>
      </w:r>
    </w:p>
    <w:p w14:paraId="513DF86D"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Rödder, D., Schmidtlein, S., Veith, M., &amp; Lötters, S. (2009). Alien Invasive Slider Turtle in Unpredicted Habitat: A Matter of Niche Shift or of Predictors Studied? </w:t>
      </w:r>
      <w:r w:rsidRPr="00E25215">
        <w:rPr>
          <w:rFonts w:cs="Times New Roman"/>
          <w:i/>
          <w:iCs/>
        </w:rPr>
        <w:t>PLoS ONE</w:t>
      </w:r>
      <w:r w:rsidRPr="00E25215">
        <w:rPr>
          <w:rFonts w:cs="Times New Roman"/>
        </w:rPr>
        <w:t xml:space="preserve">, </w:t>
      </w:r>
      <w:r w:rsidRPr="00E25215">
        <w:rPr>
          <w:rFonts w:cs="Times New Roman"/>
          <w:i/>
          <w:iCs/>
        </w:rPr>
        <w:t>4</w:t>
      </w:r>
      <w:r w:rsidRPr="00E25215">
        <w:rPr>
          <w:rFonts w:cs="Times New Roman"/>
        </w:rPr>
        <w:t>(11), e7843. https://doi.org/10.1371/journal.pone.0007843</w:t>
      </w:r>
    </w:p>
    <w:p w14:paraId="517059DE"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Rodewald, A. D., &amp; Arcese, P. (2016). Direct and Indirect Interactions between Landscape Structure and Invasive or Overabundant Species. </w:t>
      </w:r>
      <w:r w:rsidRPr="00E25215">
        <w:rPr>
          <w:rFonts w:cs="Times New Roman"/>
          <w:i/>
          <w:iCs/>
        </w:rPr>
        <w:t>Current Landscape Ecology Reports</w:t>
      </w:r>
      <w:r w:rsidRPr="00E25215">
        <w:rPr>
          <w:rFonts w:cs="Times New Roman"/>
        </w:rPr>
        <w:t xml:space="preserve">, </w:t>
      </w:r>
      <w:r w:rsidRPr="00E25215">
        <w:rPr>
          <w:rFonts w:cs="Times New Roman"/>
          <w:i/>
          <w:iCs/>
        </w:rPr>
        <w:t>1</w:t>
      </w:r>
      <w:r w:rsidRPr="00E25215">
        <w:rPr>
          <w:rFonts w:cs="Times New Roman"/>
        </w:rPr>
        <w:t>(1), 30–39. https://doi.org/10.1007/s40823-016-0004-y</w:t>
      </w:r>
    </w:p>
    <w:p w14:paraId="5E34858B" w14:textId="77777777" w:rsidR="001379C0" w:rsidRPr="00E25215" w:rsidRDefault="001379C0" w:rsidP="009B3E7F">
      <w:pPr>
        <w:pStyle w:val="Bibliography"/>
        <w:spacing w:before="0" w:after="0" w:line="240" w:lineRule="auto"/>
        <w:rPr>
          <w:rFonts w:cs="Times New Roman"/>
        </w:rPr>
      </w:pPr>
      <w:r w:rsidRPr="00E25215">
        <w:rPr>
          <w:rFonts w:cs="Times New Roman"/>
        </w:rPr>
        <w:lastRenderedPageBreak/>
        <w:t>Roiz, D., Neteler, M., Castellani, C., Arnoldi, D., &amp; Rizzoli, A. (2011). Climatic Factors Driving Invasion of the Tiger Mosquito (</w:t>
      </w:r>
      <w:r w:rsidRPr="00E25215">
        <w:rPr>
          <w:rFonts w:cs="Times New Roman"/>
          <w:i/>
          <w:iCs/>
        </w:rPr>
        <w:t>Aedes albopictus</w:t>
      </w:r>
      <w:r w:rsidRPr="00E25215">
        <w:rPr>
          <w:rFonts w:cs="Times New Roman"/>
        </w:rPr>
        <w:t xml:space="preserve">) into New Areas of Trentino, Northern Italy. </w:t>
      </w:r>
      <w:r w:rsidRPr="00E25215">
        <w:rPr>
          <w:rFonts w:cs="Times New Roman"/>
          <w:i/>
          <w:iCs/>
        </w:rPr>
        <w:t>PLoS ONE</w:t>
      </w:r>
      <w:r w:rsidRPr="00E25215">
        <w:rPr>
          <w:rFonts w:cs="Times New Roman"/>
        </w:rPr>
        <w:t xml:space="preserve">, </w:t>
      </w:r>
      <w:r w:rsidRPr="00E25215">
        <w:rPr>
          <w:rFonts w:cs="Times New Roman"/>
          <w:i/>
          <w:iCs/>
        </w:rPr>
        <w:t>6</w:t>
      </w:r>
      <w:r w:rsidRPr="00E25215">
        <w:rPr>
          <w:rFonts w:cs="Times New Roman"/>
        </w:rPr>
        <w:t>(4), e14800. https://doi.org/10.1371/journal.pone.0014800</w:t>
      </w:r>
    </w:p>
    <w:p w14:paraId="1FF414EB"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Rojas-Sandoval, J., &amp; Acevedo-Rodríguez, P. (2015). Naturalization and invasion of alien plants in Puerto Rico and the Virgin Islands. </w:t>
      </w:r>
      <w:r w:rsidRPr="00E25215">
        <w:rPr>
          <w:rFonts w:cs="Times New Roman"/>
          <w:i/>
          <w:iCs/>
        </w:rPr>
        <w:t>Biological Invasions</w:t>
      </w:r>
      <w:r w:rsidRPr="00E25215">
        <w:rPr>
          <w:rFonts w:cs="Times New Roman"/>
        </w:rPr>
        <w:t xml:space="preserve">, </w:t>
      </w:r>
      <w:r w:rsidRPr="00E25215">
        <w:rPr>
          <w:rFonts w:cs="Times New Roman"/>
          <w:i/>
          <w:iCs/>
        </w:rPr>
        <w:t>17</w:t>
      </w:r>
      <w:r w:rsidRPr="00E25215">
        <w:rPr>
          <w:rFonts w:cs="Times New Roman"/>
        </w:rPr>
        <w:t>(1), 149–163. https://doi.org/10.1007/s10530-014-0712-3</w:t>
      </w:r>
    </w:p>
    <w:p w14:paraId="71D332AA" w14:textId="77777777" w:rsidR="001379C0" w:rsidRPr="00E25215" w:rsidRDefault="001379C0" w:rsidP="009B3E7F">
      <w:pPr>
        <w:pStyle w:val="Bibliography"/>
        <w:spacing w:before="0" w:after="0" w:line="240" w:lineRule="auto"/>
        <w:rPr>
          <w:rFonts w:cs="Times New Roman"/>
        </w:rPr>
      </w:pPr>
      <w:r w:rsidRPr="00E25215">
        <w:rPr>
          <w:rFonts w:cs="Times New Roman"/>
        </w:rPr>
        <w:t>Rojas-Sandoval, J., Tremblay, R. L., Acevedo</w:t>
      </w:r>
      <w:r w:rsidRPr="00E25215">
        <w:rPr>
          <w:rFonts w:cs="Times New Roman" w:hint="eastAsia"/>
        </w:rPr>
        <w:t>‐</w:t>
      </w:r>
      <w:r w:rsidRPr="00E25215">
        <w:rPr>
          <w:rFonts w:cs="Times New Roman"/>
        </w:rPr>
        <w:t>Rodríguez, P., &amp; Díaz</w:t>
      </w:r>
      <w:r w:rsidRPr="00E25215">
        <w:rPr>
          <w:rFonts w:cs="Times New Roman" w:hint="eastAsia"/>
        </w:rPr>
        <w:t>‐</w:t>
      </w:r>
      <w:r w:rsidRPr="00E25215">
        <w:rPr>
          <w:rFonts w:cs="Times New Roman"/>
        </w:rPr>
        <w:t xml:space="preserve">Soltero, H. (2017). Invasive plant species in the West Indies: Geographical, ecological, and floristic insights. </w:t>
      </w:r>
      <w:r w:rsidRPr="00E25215">
        <w:rPr>
          <w:rFonts w:cs="Times New Roman"/>
          <w:i/>
          <w:iCs/>
        </w:rPr>
        <w:t>Ecology and Evolution</w:t>
      </w:r>
      <w:r w:rsidRPr="00E25215">
        <w:rPr>
          <w:rFonts w:cs="Times New Roman"/>
        </w:rPr>
        <w:t xml:space="preserve">, </w:t>
      </w:r>
      <w:r w:rsidRPr="00E25215">
        <w:rPr>
          <w:rFonts w:cs="Times New Roman"/>
          <w:i/>
          <w:iCs/>
        </w:rPr>
        <w:t>7</w:t>
      </w:r>
      <w:r w:rsidRPr="00E25215">
        <w:rPr>
          <w:rFonts w:cs="Times New Roman"/>
        </w:rPr>
        <w:t>(13), 4522–4533. https://doi.org/10.1002/ece3.2984</w:t>
      </w:r>
    </w:p>
    <w:p w14:paraId="4E4BA5E8"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Rolls, R. J., Hayden, B., &amp; Kahilainen, K. K. (2017). Conceptualising the interactive effects of climate change and biological invasions on subarctic freshwater fish. </w:t>
      </w:r>
      <w:r w:rsidRPr="00E25215">
        <w:rPr>
          <w:rFonts w:cs="Times New Roman"/>
          <w:i/>
          <w:iCs/>
        </w:rPr>
        <w:t>Ecology and Evolution</w:t>
      </w:r>
      <w:r w:rsidRPr="00E25215">
        <w:rPr>
          <w:rFonts w:cs="Times New Roman"/>
        </w:rPr>
        <w:t xml:space="preserve">, </w:t>
      </w:r>
      <w:r w:rsidRPr="00E25215">
        <w:rPr>
          <w:rFonts w:cs="Times New Roman"/>
          <w:i/>
          <w:iCs/>
        </w:rPr>
        <w:t>7</w:t>
      </w:r>
      <w:r w:rsidRPr="00E25215">
        <w:rPr>
          <w:rFonts w:cs="Times New Roman"/>
        </w:rPr>
        <w:t>(12), 4109–4128. https://doi.org/10.1002/ece3.2982</w:t>
      </w:r>
    </w:p>
    <w:p w14:paraId="4728A2C0"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Romañach, S. S., Beerens, J. M., Patton, B. A., Chapman, J. P., &amp; Hanson, M. R. (2019). Impacts of Saltwater Intrusion on Wetland Prey Production and Composition in a Historically Freshwater Marsh. </w:t>
      </w:r>
      <w:r w:rsidRPr="00E25215">
        <w:rPr>
          <w:rFonts w:cs="Times New Roman"/>
          <w:i/>
          <w:iCs/>
        </w:rPr>
        <w:t>Estuaries and Coasts</w:t>
      </w:r>
      <w:r w:rsidRPr="00E25215">
        <w:rPr>
          <w:rFonts w:cs="Times New Roman"/>
        </w:rPr>
        <w:t xml:space="preserve">, </w:t>
      </w:r>
      <w:r w:rsidRPr="00E25215">
        <w:rPr>
          <w:rFonts w:cs="Times New Roman"/>
          <w:i/>
          <w:iCs/>
        </w:rPr>
        <w:t>42</w:t>
      </w:r>
      <w:r w:rsidRPr="00E25215">
        <w:rPr>
          <w:rFonts w:cs="Times New Roman"/>
        </w:rPr>
        <w:t>(6), 1600–1611. https://doi.org/10.1007/s12237-019-00572-8</w:t>
      </w:r>
    </w:p>
    <w:p w14:paraId="7CF8880C"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Roques, A., Auger-Rozenberg, M.-A., Blackburn, T. M., Garnas, J., Pyšek, P., Rabitsch, W., Richardson, D. M., Wingfield, M. J., Liebhold, A. M., &amp; Duncan, R. P. (2016). Temporal and interspecific variation in rates of spread for insect species invading Europe during the last 200 years. </w:t>
      </w:r>
      <w:r w:rsidRPr="00E25215">
        <w:rPr>
          <w:rFonts w:cs="Times New Roman"/>
          <w:i/>
          <w:iCs/>
        </w:rPr>
        <w:t>Biological Invasions</w:t>
      </w:r>
      <w:r w:rsidRPr="00E25215">
        <w:rPr>
          <w:rFonts w:cs="Times New Roman"/>
        </w:rPr>
        <w:t xml:space="preserve">, </w:t>
      </w:r>
      <w:r w:rsidRPr="00E25215">
        <w:rPr>
          <w:rFonts w:cs="Times New Roman"/>
          <w:i/>
          <w:iCs/>
        </w:rPr>
        <w:t>18</w:t>
      </w:r>
      <w:r w:rsidRPr="00E25215">
        <w:rPr>
          <w:rFonts w:cs="Times New Roman"/>
        </w:rPr>
        <w:t>(4), 907–920. https://doi.org/10.1007/s10530-016-1080-y</w:t>
      </w:r>
    </w:p>
    <w:p w14:paraId="65882E91"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Ross, C. A., Auge, H., &amp; Durka, W. (2008). Genetic relationships among three native North-American </w:t>
      </w:r>
      <w:r w:rsidRPr="00E25215">
        <w:rPr>
          <w:rFonts w:cs="Times New Roman"/>
          <w:i/>
          <w:iCs/>
        </w:rPr>
        <w:t>Mahonia</w:t>
      </w:r>
      <w:r w:rsidRPr="00E25215">
        <w:rPr>
          <w:rFonts w:cs="Times New Roman"/>
        </w:rPr>
        <w:t xml:space="preserve"> species, invasive </w:t>
      </w:r>
      <w:r w:rsidRPr="00E25215">
        <w:rPr>
          <w:rFonts w:cs="Times New Roman"/>
          <w:i/>
          <w:iCs/>
        </w:rPr>
        <w:t>Mahonia</w:t>
      </w:r>
      <w:r w:rsidRPr="00E25215">
        <w:rPr>
          <w:rFonts w:cs="Times New Roman"/>
        </w:rPr>
        <w:t xml:space="preserve"> populations from Europe, and commercial cultivars. </w:t>
      </w:r>
      <w:r w:rsidRPr="00E25215">
        <w:rPr>
          <w:rFonts w:cs="Times New Roman"/>
          <w:i/>
          <w:iCs/>
        </w:rPr>
        <w:t>Plant Systematics and Evolution</w:t>
      </w:r>
      <w:r w:rsidRPr="00E25215">
        <w:rPr>
          <w:rFonts w:cs="Times New Roman"/>
        </w:rPr>
        <w:t xml:space="preserve">, </w:t>
      </w:r>
      <w:r w:rsidRPr="00E25215">
        <w:rPr>
          <w:rFonts w:cs="Times New Roman"/>
          <w:i/>
          <w:iCs/>
        </w:rPr>
        <w:t>275</w:t>
      </w:r>
      <w:r w:rsidRPr="00E25215">
        <w:rPr>
          <w:rFonts w:cs="Times New Roman"/>
        </w:rPr>
        <w:t>(3–4), 219–229. https://doi.org/10.1007/s00606-008-0066-3</w:t>
      </w:r>
    </w:p>
    <w:p w14:paraId="346F5468"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Ross, L. C., Lambdon, P. W., &amp; Hulme, P. E. (2008). Disentangling the roles of climate, propagule pressure and land use on the current and potential elevational distribution of the invasive weed </w:t>
      </w:r>
      <w:r w:rsidRPr="00E25215">
        <w:rPr>
          <w:rFonts w:cs="Times New Roman"/>
          <w:i/>
          <w:iCs/>
        </w:rPr>
        <w:t>Oxalis pes-caprae</w:t>
      </w:r>
      <w:r w:rsidRPr="00E25215">
        <w:rPr>
          <w:rFonts w:cs="Times New Roman"/>
        </w:rPr>
        <w:t xml:space="preserve">, L. on Crete. </w:t>
      </w:r>
      <w:r w:rsidRPr="00E25215">
        <w:rPr>
          <w:rFonts w:cs="Times New Roman"/>
          <w:i/>
          <w:iCs/>
        </w:rPr>
        <w:t>Perspectives in Plant Ecology, Evolution and Systematics</w:t>
      </w:r>
      <w:r w:rsidRPr="00E25215">
        <w:rPr>
          <w:rFonts w:cs="Times New Roman"/>
        </w:rPr>
        <w:t xml:space="preserve">, </w:t>
      </w:r>
      <w:r w:rsidRPr="00E25215">
        <w:rPr>
          <w:rFonts w:cs="Times New Roman"/>
          <w:i/>
          <w:iCs/>
        </w:rPr>
        <w:t>10</w:t>
      </w:r>
      <w:r w:rsidRPr="00E25215">
        <w:rPr>
          <w:rFonts w:cs="Times New Roman"/>
        </w:rPr>
        <w:t>(4), 251–258. https://doi.org/10.1016/j.ppees.2008.06.001</w:t>
      </w:r>
    </w:p>
    <w:p w14:paraId="2E05EA8E"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Rouget, M., Robertson, M. P., Wilson, J. R. U., Hui, C., Essl, F., Renteria, J. L., &amp; Richardson, D. M. (2016). Invasion debt—Quantifying future biological invasions. </w:t>
      </w:r>
      <w:r w:rsidRPr="00E25215">
        <w:rPr>
          <w:rFonts w:cs="Times New Roman"/>
          <w:i/>
          <w:iCs/>
        </w:rPr>
        <w:t>Diversity and Distributions</w:t>
      </w:r>
      <w:r w:rsidRPr="00E25215">
        <w:rPr>
          <w:rFonts w:cs="Times New Roman"/>
        </w:rPr>
        <w:t xml:space="preserve">, </w:t>
      </w:r>
      <w:r w:rsidRPr="00E25215">
        <w:rPr>
          <w:rFonts w:cs="Times New Roman"/>
          <w:i/>
          <w:iCs/>
        </w:rPr>
        <w:t>22</w:t>
      </w:r>
      <w:r w:rsidRPr="00E25215">
        <w:rPr>
          <w:rFonts w:cs="Times New Roman"/>
        </w:rPr>
        <w:t>(4), 445–456. https://doi.org/10.1111/ddi.12408</w:t>
      </w:r>
    </w:p>
    <w:p w14:paraId="34041C15"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Roundy, B. A., Young, K., Cline, N., Hulet, A., Miller, R. F., Tausch, R. J., Chambers, J. C., &amp; Rau, B. (2014). Piñon–Juniper Reduction Increases Soil Water Availability of the Resource Growth Pool. </w:t>
      </w:r>
      <w:r w:rsidRPr="00E25215">
        <w:rPr>
          <w:rFonts w:cs="Times New Roman"/>
          <w:i/>
          <w:iCs/>
        </w:rPr>
        <w:t>Rangeland Ecology &amp; Management</w:t>
      </w:r>
      <w:r w:rsidRPr="00E25215">
        <w:rPr>
          <w:rFonts w:cs="Times New Roman"/>
        </w:rPr>
        <w:t xml:space="preserve">, </w:t>
      </w:r>
      <w:r w:rsidRPr="00E25215">
        <w:rPr>
          <w:rFonts w:cs="Times New Roman"/>
          <w:i/>
          <w:iCs/>
        </w:rPr>
        <w:t>67</w:t>
      </w:r>
      <w:r w:rsidRPr="00E25215">
        <w:rPr>
          <w:rFonts w:cs="Times New Roman"/>
        </w:rPr>
        <w:t>(5), 495–505. https://doi.org/10.2111/REM-D-13-00022.1</w:t>
      </w:r>
    </w:p>
    <w:p w14:paraId="1CB62AF2"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Roura-Pascual, N., Hui, C., Ikeda, T., Leday, G., Richardson, D. M., Carpintero, S., Espadaler, X., Gomez, C., Guenard, B., Hartley, S., Krushelnycky, P., Lester, P. J., McGeoch, M. A., Menke, S. B., Pedersen, J. S., Pitt, J. P. W., Reyes, J., Sanders, N. J., Suarez, A. V., … Worner, S. P. (2011). Relative roles of climatic suitability and anthropogenic influence in determining the pattern of spread in a global invader. </w:t>
      </w:r>
      <w:r w:rsidRPr="00E25215">
        <w:rPr>
          <w:rFonts w:cs="Times New Roman"/>
          <w:i/>
          <w:iCs/>
        </w:rPr>
        <w:t>Proceedings of the National Academy of Sciences of the United States of America</w:t>
      </w:r>
      <w:r w:rsidRPr="00E25215">
        <w:rPr>
          <w:rFonts w:cs="Times New Roman"/>
        </w:rPr>
        <w:t xml:space="preserve">, </w:t>
      </w:r>
      <w:r w:rsidRPr="00E25215">
        <w:rPr>
          <w:rFonts w:cs="Times New Roman"/>
          <w:i/>
          <w:iCs/>
        </w:rPr>
        <w:t>108</w:t>
      </w:r>
      <w:r w:rsidRPr="00E25215">
        <w:rPr>
          <w:rFonts w:cs="Times New Roman"/>
        </w:rPr>
        <w:t>(1), 220–225. https://doi.org/10.1073/pnas.1011723108</w:t>
      </w:r>
    </w:p>
    <w:p w14:paraId="139A4D2D"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Roura-Pascual, N., Leung, B., Rabitsch, W., Rutting, L., Vervoort, J., Bacher, S., Dullinger, S., Erb, K.-H., Jeschke, J. M., Katsanevakis, S., Kühn, I., Lenzner, B., Liebhold, A. M., Obersteiner, M., Pauchard, A., Peterson, G. D., Roy, H. E., Seebens, H., Winter, M., … Essl, F. (2021). Alternative futures for global biological invasions. </w:t>
      </w:r>
      <w:r w:rsidRPr="00E25215">
        <w:rPr>
          <w:rFonts w:cs="Times New Roman"/>
          <w:i/>
          <w:iCs/>
        </w:rPr>
        <w:t>Sustainability Science</w:t>
      </w:r>
      <w:r w:rsidRPr="00E25215">
        <w:rPr>
          <w:rFonts w:cs="Times New Roman"/>
        </w:rPr>
        <w:t xml:space="preserve">, </w:t>
      </w:r>
      <w:r w:rsidRPr="00E25215">
        <w:rPr>
          <w:rFonts w:cs="Times New Roman"/>
          <w:i/>
          <w:iCs/>
        </w:rPr>
        <w:t>16</w:t>
      </w:r>
      <w:r w:rsidRPr="00E25215">
        <w:rPr>
          <w:rFonts w:cs="Times New Roman"/>
        </w:rPr>
        <w:t>(5), 1637–1650. https://doi.org/10.1007/s11625-021-00963-6</w:t>
      </w:r>
    </w:p>
    <w:p w14:paraId="218F60DC"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Roy, H. E., Adriaens, T., Isaac, N. J. B., Kenis, M., Onkelinx, T., Martin, G. S., Brown, P. M. J., Hautier, L., Poland, R., Roy, D. B., Comont, R., Eschen, R., Frost, R., Zindel, R., Van Vlaenderen, J., Nedvěd, O., Ravn, H. P., Grégoire, J.-C., de Biseau, J.-C., &amp; Maes, D. </w:t>
      </w:r>
      <w:r w:rsidRPr="00E25215">
        <w:rPr>
          <w:rFonts w:cs="Times New Roman"/>
        </w:rPr>
        <w:lastRenderedPageBreak/>
        <w:t xml:space="preserve">(2012). Invasive alien predator causes rapid declines of native European ladybirds. </w:t>
      </w:r>
      <w:r w:rsidRPr="00E25215">
        <w:rPr>
          <w:rFonts w:cs="Times New Roman"/>
          <w:i/>
          <w:iCs/>
        </w:rPr>
        <w:t>Diversity and Distributions</w:t>
      </w:r>
      <w:r w:rsidRPr="00E25215">
        <w:rPr>
          <w:rFonts w:cs="Times New Roman"/>
        </w:rPr>
        <w:t xml:space="preserve">, </w:t>
      </w:r>
      <w:r w:rsidRPr="00E25215">
        <w:rPr>
          <w:rFonts w:cs="Times New Roman"/>
          <w:i/>
          <w:iCs/>
        </w:rPr>
        <w:t>18</w:t>
      </w:r>
      <w:r w:rsidRPr="00E25215">
        <w:rPr>
          <w:rFonts w:cs="Times New Roman"/>
        </w:rPr>
        <w:t>(7), 717–725. https://doi.org/10.1111/j.1472-4642.2012.00883.x</w:t>
      </w:r>
    </w:p>
    <w:p w14:paraId="1483A387"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RSPB. (2021). </w:t>
      </w:r>
      <w:r w:rsidRPr="00E25215">
        <w:rPr>
          <w:rFonts w:cs="Times New Roman"/>
          <w:i/>
          <w:iCs/>
        </w:rPr>
        <w:t>The RSPB Wildlife Charity: Nature Reserves &amp; Wildlife Conservation</w:t>
      </w:r>
      <w:r w:rsidRPr="00E25215">
        <w:rPr>
          <w:rFonts w:cs="Times New Roman"/>
        </w:rPr>
        <w:t>. The RSPB. https://rspb.org.uk/</w:t>
      </w:r>
    </w:p>
    <w:p w14:paraId="19253016"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Rusterholz, H.-P., Wirz, D., &amp; Baur, B. (2012). Garden waste deposits as a source for non-native plants in mixed deciduous forests. </w:t>
      </w:r>
      <w:r w:rsidRPr="00E25215">
        <w:rPr>
          <w:rFonts w:cs="Times New Roman"/>
          <w:i/>
          <w:iCs/>
        </w:rPr>
        <w:t>Applied Vegetation Science</w:t>
      </w:r>
      <w:r w:rsidRPr="00E25215">
        <w:rPr>
          <w:rFonts w:cs="Times New Roman"/>
        </w:rPr>
        <w:t xml:space="preserve">, </w:t>
      </w:r>
      <w:r w:rsidRPr="00E25215">
        <w:rPr>
          <w:rFonts w:cs="Times New Roman"/>
          <w:i/>
          <w:iCs/>
        </w:rPr>
        <w:t>15</w:t>
      </w:r>
      <w:r w:rsidRPr="00E25215">
        <w:rPr>
          <w:rFonts w:cs="Times New Roman"/>
        </w:rPr>
        <w:t>(3), 329–337. https://doi.org/10.1111/j.1654-109X.2011.01175.x</w:t>
      </w:r>
    </w:p>
    <w:p w14:paraId="42B27EC1"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Saba, A. O., Ismail, A., Zulkifli, S. Z., Shohaimi, S., Jamil, N. R., Nawi, N. M., Ghani, I. F. A., Halim, M. R. A., &amp; Amal, M. N. A. (2020). Checklists, production trends, and potential ecological and socioeconomic impacts of non-native freshwater fishes in Malaysia: A review. </w:t>
      </w:r>
      <w:r w:rsidRPr="00E25215">
        <w:rPr>
          <w:rFonts w:cs="Times New Roman"/>
          <w:i/>
          <w:iCs/>
        </w:rPr>
        <w:t>Aquatic Invasions</w:t>
      </w:r>
      <w:r w:rsidRPr="00E25215">
        <w:rPr>
          <w:rFonts w:cs="Times New Roman"/>
        </w:rPr>
        <w:t xml:space="preserve">, </w:t>
      </w:r>
      <w:r w:rsidRPr="00E25215">
        <w:rPr>
          <w:rFonts w:cs="Times New Roman"/>
          <w:i/>
          <w:iCs/>
        </w:rPr>
        <w:t>15</w:t>
      </w:r>
      <w:r w:rsidRPr="00E25215">
        <w:rPr>
          <w:rFonts w:cs="Times New Roman"/>
        </w:rPr>
        <w:t>(4), 646–670. https://doi.org/10.3391/ai.2020.15.4.07</w:t>
      </w:r>
    </w:p>
    <w:p w14:paraId="54B585E2"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Salomidi, M., Katsanevakis, S., Issaris, Y., Tsiamis, K., &amp; Katsiaras, N. (2013). Anthropogenic disturbance of coastal habitats promotes the spread of the introduced scleractinian coral </w:t>
      </w:r>
      <w:r w:rsidRPr="00E25215">
        <w:rPr>
          <w:rFonts w:cs="Times New Roman"/>
          <w:i/>
          <w:iCs/>
        </w:rPr>
        <w:t>Oculina patagonica</w:t>
      </w:r>
      <w:r w:rsidRPr="00E25215">
        <w:rPr>
          <w:rFonts w:cs="Times New Roman"/>
        </w:rPr>
        <w:t xml:space="preserve"> in the Mediterranean Sea. </w:t>
      </w:r>
      <w:r w:rsidRPr="00E25215">
        <w:rPr>
          <w:rFonts w:cs="Times New Roman"/>
          <w:i/>
          <w:iCs/>
        </w:rPr>
        <w:t>Biological Invasions</w:t>
      </w:r>
      <w:r w:rsidRPr="00E25215">
        <w:rPr>
          <w:rFonts w:cs="Times New Roman"/>
        </w:rPr>
        <w:t xml:space="preserve">, </w:t>
      </w:r>
      <w:r w:rsidRPr="00E25215">
        <w:rPr>
          <w:rFonts w:cs="Times New Roman"/>
          <w:i/>
          <w:iCs/>
        </w:rPr>
        <w:t>15</w:t>
      </w:r>
      <w:r w:rsidRPr="00E25215">
        <w:rPr>
          <w:rFonts w:cs="Times New Roman"/>
        </w:rPr>
        <w:t>(9), 1961–1971. https://doi.org/10.1007/s10530-013-0424-0</w:t>
      </w:r>
    </w:p>
    <w:p w14:paraId="52DE0BC9"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Sánchez-Ortiz, K., Taylor, K. J. M., Palma, A. D., Essl, F., Dawson, W., Kreft, H., Pergl, J., Pyšek, P., Kleunen, M. van, Weigelt, P., &amp; Purvis, A. (2020). Effects of land-use change and related pressures on alien and native subsets of island communities. </w:t>
      </w:r>
      <w:r w:rsidRPr="00E25215">
        <w:rPr>
          <w:rFonts w:cs="Times New Roman"/>
          <w:i/>
          <w:iCs/>
        </w:rPr>
        <w:t>PLoS ONE</w:t>
      </w:r>
      <w:r w:rsidRPr="00E25215">
        <w:rPr>
          <w:rFonts w:cs="Times New Roman"/>
        </w:rPr>
        <w:t xml:space="preserve">, </w:t>
      </w:r>
      <w:r w:rsidRPr="00E25215">
        <w:rPr>
          <w:rFonts w:cs="Times New Roman"/>
          <w:i/>
          <w:iCs/>
        </w:rPr>
        <w:t>15</w:t>
      </w:r>
      <w:r w:rsidRPr="00E25215">
        <w:rPr>
          <w:rFonts w:cs="Times New Roman"/>
        </w:rPr>
        <w:t>(12), Article 12. https://doi.org/10.1371/journal.pone.0227169</w:t>
      </w:r>
    </w:p>
    <w:p w14:paraId="2B77124F"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Sandvik, H., Dolmen, D., Elven, R., Falkenhaug, T., Forsgren, E., Hansen, H., Hassel, K., Husa, V., Kjærstad, G., Ødegaard, F., Pedersen, H. C., Solheim, H., Stokke, B. G., Åsen, P. A., Åström, S., Brandrud, T.-E., Elven, H., Endrestøl, A., Finstad, A., … Gederaas, L. (2019). Alien plants, animals, fungi and algae in Norway: An inventory of neobiota. </w:t>
      </w:r>
      <w:r w:rsidRPr="00E25215">
        <w:rPr>
          <w:rFonts w:cs="Times New Roman"/>
          <w:i/>
          <w:iCs/>
        </w:rPr>
        <w:t>Biological Invasions</w:t>
      </w:r>
      <w:r w:rsidRPr="00E25215">
        <w:rPr>
          <w:rFonts w:cs="Times New Roman"/>
        </w:rPr>
        <w:t xml:space="preserve">, </w:t>
      </w:r>
      <w:r w:rsidRPr="00E25215">
        <w:rPr>
          <w:rFonts w:cs="Times New Roman"/>
          <w:i/>
          <w:iCs/>
        </w:rPr>
        <w:t>21</w:t>
      </w:r>
      <w:r w:rsidRPr="00E25215">
        <w:rPr>
          <w:rFonts w:cs="Times New Roman"/>
        </w:rPr>
        <w:t>(10), 2997–3012. https://doi.org/10.1007/s10530-019-02058-x</w:t>
      </w:r>
    </w:p>
    <w:p w14:paraId="120636F2"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Sanford, E., Gaylord, B., Hettinger, A., Lenz, E. A., Meyer, K., &amp; Hill, T. M. (2014). Ocean acidification increases the vulnerability of native oysters to predation by invasive snails. </w:t>
      </w:r>
      <w:r w:rsidRPr="00E25215">
        <w:rPr>
          <w:rFonts w:cs="Times New Roman"/>
          <w:i/>
          <w:iCs/>
        </w:rPr>
        <w:t>Proceedings of the Royal Society B-Biological Sciences</w:t>
      </w:r>
      <w:r w:rsidRPr="00E25215">
        <w:rPr>
          <w:rFonts w:cs="Times New Roman"/>
        </w:rPr>
        <w:t xml:space="preserve">, </w:t>
      </w:r>
      <w:r w:rsidRPr="00E25215">
        <w:rPr>
          <w:rFonts w:cs="Times New Roman"/>
          <w:i/>
          <w:iCs/>
        </w:rPr>
        <w:t>281</w:t>
      </w:r>
      <w:r w:rsidRPr="00E25215">
        <w:rPr>
          <w:rFonts w:cs="Times New Roman"/>
        </w:rPr>
        <w:t>(1778), 20132681. https://doi.org/10.1098/rspb.2013.2681</w:t>
      </w:r>
    </w:p>
    <w:p w14:paraId="13769804"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Santana, O. A., &amp; Encinas, J. I. (2008). Levantamento das espécies exóticas arbóreas e seu impacto nas espécies nativas em áreas adjacentes a depósitos de resíduos domiciliares. </w:t>
      </w:r>
      <w:r w:rsidRPr="00E25215">
        <w:rPr>
          <w:rFonts w:cs="Times New Roman"/>
          <w:i/>
          <w:iCs/>
        </w:rPr>
        <w:t>Biotemas</w:t>
      </w:r>
      <w:r w:rsidRPr="00E25215">
        <w:rPr>
          <w:rFonts w:cs="Times New Roman"/>
        </w:rPr>
        <w:t xml:space="preserve">, </w:t>
      </w:r>
      <w:r w:rsidRPr="00E25215">
        <w:rPr>
          <w:rFonts w:cs="Times New Roman"/>
          <w:i/>
          <w:iCs/>
        </w:rPr>
        <w:t>21</w:t>
      </w:r>
      <w:r w:rsidRPr="00E25215">
        <w:rPr>
          <w:rFonts w:cs="Times New Roman"/>
        </w:rPr>
        <w:t>(4), Article 4. https://doi.org/10.5007/2175-7925.2008v21n4p29</w:t>
      </w:r>
    </w:p>
    <w:p w14:paraId="47B28A79"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Santini, A., Ghelardini, L., De Pace, C., Desprez-Loustau, M. L., Capretti, P., Chandelier, A., Cech, T., Chira, D., Diamandis, S., Gaitniekis, T., Hantula, J., Holdenrieder, O., Jankovsky, L., Jung, T., Jurc, D., Kirisits, T., Kunca, A., Lygis, V., Malecka, M., … Stenlid, J. (2013). Biogeographical patterns and determinants of invasion by forest pathogens in Europe. </w:t>
      </w:r>
      <w:r w:rsidRPr="00E25215">
        <w:rPr>
          <w:rFonts w:cs="Times New Roman"/>
          <w:i/>
          <w:iCs/>
        </w:rPr>
        <w:t>New Phytologist</w:t>
      </w:r>
      <w:r w:rsidRPr="00E25215">
        <w:rPr>
          <w:rFonts w:cs="Times New Roman"/>
        </w:rPr>
        <w:t xml:space="preserve">, </w:t>
      </w:r>
      <w:r w:rsidRPr="00E25215">
        <w:rPr>
          <w:rFonts w:cs="Times New Roman"/>
          <w:i/>
          <w:iCs/>
        </w:rPr>
        <w:t>197</w:t>
      </w:r>
      <w:r w:rsidRPr="00E25215">
        <w:rPr>
          <w:rFonts w:cs="Times New Roman"/>
        </w:rPr>
        <w:t>(1), 238–250. https://doi.org/10.1111/j.1469-8137.2012.04364.x</w:t>
      </w:r>
    </w:p>
    <w:p w14:paraId="27772691"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Santos, B. A., Peres, C. A., Oliveira, M. A., Grillo, A., Alves-Costa, C. P., &amp; Tabarelli, M. (2008). Drastic erosion in functional attributes of tree assemblages in Atlantic forest fragments of northeastern Brazil. </w:t>
      </w:r>
      <w:r w:rsidRPr="00E25215">
        <w:rPr>
          <w:rFonts w:cs="Times New Roman"/>
          <w:i/>
          <w:iCs/>
        </w:rPr>
        <w:t>Biological Conservation</w:t>
      </w:r>
      <w:r w:rsidRPr="00E25215">
        <w:rPr>
          <w:rFonts w:cs="Times New Roman"/>
        </w:rPr>
        <w:t xml:space="preserve">, </w:t>
      </w:r>
      <w:r w:rsidRPr="00E25215">
        <w:rPr>
          <w:rFonts w:cs="Times New Roman"/>
          <w:i/>
          <w:iCs/>
        </w:rPr>
        <w:t>141</w:t>
      </w:r>
      <w:r w:rsidRPr="00E25215">
        <w:rPr>
          <w:rFonts w:cs="Times New Roman"/>
        </w:rPr>
        <w:t>(1), 249–260. https://doi.org/10.1016/j.biocon.2007.09.018</w:t>
      </w:r>
    </w:p>
    <w:p w14:paraId="210F3DA7"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Santos, G. M., Aguiar, C. M. L., Genini, J., Martins, C. F., Zanella, F. C. V., &amp; Mello, M. A. R. (2012). Invasive Africanized honeybees change the structure of native pollination networks in Brazil. </w:t>
      </w:r>
      <w:r w:rsidRPr="00E25215">
        <w:rPr>
          <w:rFonts w:cs="Times New Roman"/>
          <w:i/>
          <w:iCs/>
        </w:rPr>
        <w:t>Biological Invasions</w:t>
      </w:r>
      <w:r w:rsidRPr="00E25215">
        <w:rPr>
          <w:rFonts w:cs="Times New Roman"/>
        </w:rPr>
        <w:t xml:space="preserve">, </w:t>
      </w:r>
      <w:r w:rsidRPr="00E25215">
        <w:rPr>
          <w:rFonts w:cs="Times New Roman"/>
          <w:i/>
          <w:iCs/>
        </w:rPr>
        <w:t>14</w:t>
      </w:r>
      <w:r w:rsidRPr="00E25215">
        <w:rPr>
          <w:rFonts w:cs="Times New Roman"/>
        </w:rPr>
        <w:t>(11), 2369–2378. https://doi.org/10.1007/s10530-012-0235-8</w:t>
      </w:r>
    </w:p>
    <w:p w14:paraId="60BCF340"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Sarà, G., Porporato, E. M. D., Mangano, M. C., &amp; Mieszkowska, N. (2018). Multiple stressors facilitate the spread of a non-indigenous bivalve in the Mediterranean Sea. </w:t>
      </w:r>
      <w:r w:rsidRPr="00E25215">
        <w:rPr>
          <w:rFonts w:cs="Times New Roman"/>
          <w:i/>
          <w:iCs/>
        </w:rPr>
        <w:t>Journal of Biogeography</w:t>
      </w:r>
      <w:r w:rsidRPr="00E25215">
        <w:rPr>
          <w:rFonts w:cs="Times New Roman"/>
        </w:rPr>
        <w:t xml:space="preserve">, </w:t>
      </w:r>
      <w:r w:rsidRPr="00E25215">
        <w:rPr>
          <w:rFonts w:cs="Times New Roman"/>
          <w:i/>
          <w:iCs/>
        </w:rPr>
        <w:t>45</w:t>
      </w:r>
      <w:r w:rsidRPr="00E25215">
        <w:rPr>
          <w:rFonts w:cs="Times New Roman"/>
        </w:rPr>
        <w:t>(5), 1090–1103. https://doi.org/10.1111/jbi.13184</w:t>
      </w:r>
    </w:p>
    <w:p w14:paraId="4BCCD84F"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Saunders, G., Cooke, B., McColl, K., Shine, R., &amp; Peacock, T. (2010). Modern approaches for the biological control of vertebrate pests: An Australian perspective. </w:t>
      </w:r>
      <w:r w:rsidRPr="00E25215">
        <w:rPr>
          <w:rFonts w:cs="Times New Roman"/>
          <w:i/>
          <w:iCs/>
        </w:rPr>
        <w:t>Biological Control</w:t>
      </w:r>
      <w:r w:rsidRPr="00E25215">
        <w:rPr>
          <w:rFonts w:cs="Times New Roman"/>
        </w:rPr>
        <w:t xml:space="preserve">, </w:t>
      </w:r>
      <w:r w:rsidRPr="00E25215">
        <w:rPr>
          <w:rFonts w:cs="Times New Roman"/>
          <w:i/>
          <w:iCs/>
        </w:rPr>
        <w:t>52</w:t>
      </w:r>
      <w:r w:rsidRPr="00E25215">
        <w:rPr>
          <w:rFonts w:cs="Times New Roman"/>
        </w:rPr>
        <w:t>(3), 288–295. https://doi.org/10.1016/j.biocontrol.2009.06.014</w:t>
      </w:r>
    </w:p>
    <w:p w14:paraId="0C93246C" w14:textId="77777777" w:rsidR="001379C0" w:rsidRPr="00E25215" w:rsidRDefault="001379C0" w:rsidP="009B3E7F">
      <w:pPr>
        <w:pStyle w:val="Bibliography"/>
        <w:spacing w:before="0" w:after="0" w:line="240" w:lineRule="auto"/>
        <w:rPr>
          <w:rFonts w:cs="Times New Roman"/>
        </w:rPr>
      </w:pPr>
      <w:r w:rsidRPr="00E25215">
        <w:rPr>
          <w:rFonts w:cs="Times New Roman"/>
        </w:rPr>
        <w:lastRenderedPageBreak/>
        <w:t xml:space="preserve">Scanes, E., Johnston, E., Cole, V., O’Connor, W., Parker, L., &amp; Ross, P. (2016). Quantifying abundance and distribution of native and invasive oysters in an urbanised estuary. </w:t>
      </w:r>
      <w:r w:rsidRPr="00E25215">
        <w:rPr>
          <w:rFonts w:cs="Times New Roman"/>
          <w:i/>
          <w:iCs/>
        </w:rPr>
        <w:t>Aquatic Invasions</w:t>
      </w:r>
      <w:r w:rsidRPr="00E25215">
        <w:rPr>
          <w:rFonts w:cs="Times New Roman"/>
        </w:rPr>
        <w:t xml:space="preserve">, </w:t>
      </w:r>
      <w:r w:rsidRPr="00E25215">
        <w:rPr>
          <w:rFonts w:cs="Times New Roman"/>
          <w:i/>
          <w:iCs/>
        </w:rPr>
        <w:t>11</w:t>
      </w:r>
      <w:r w:rsidRPr="00E25215">
        <w:rPr>
          <w:rFonts w:cs="Times New Roman"/>
        </w:rPr>
        <w:t>(4), 425–436. https://doi.org/10.3391/ai.2016.11.4.07</w:t>
      </w:r>
    </w:p>
    <w:p w14:paraId="03E8EEEC"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Schlaepfer, M. A., Sax, D. F., &amp; Olden, J. D. (2011). The potential conservation value of non-native species. </w:t>
      </w:r>
      <w:r w:rsidRPr="00E25215">
        <w:rPr>
          <w:rFonts w:cs="Times New Roman"/>
          <w:i/>
          <w:iCs/>
        </w:rPr>
        <w:t>Conservation Biology</w:t>
      </w:r>
      <w:r w:rsidRPr="00E25215">
        <w:rPr>
          <w:rFonts w:cs="Times New Roman"/>
        </w:rPr>
        <w:t xml:space="preserve">, </w:t>
      </w:r>
      <w:r w:rsidRPr="00E25215">
        <w:rPr>
          <w:rFonts w:cs="Times New Roman"/>
          <w:i/>
          <w:iCs/>
        </w:rPr>
        <w:t>25</w:t>
      </w:r>
      <w:r w:rsidRPr="00E25215">
        <w:rPr>
          <w:rFonts w:cs="Times New Roman"/>
        </w:rPr>
        <w:t>(3), 428–437. https://doi.org/10.1111/j.1523-1739.2010.01646.x</w:t>
      </w:r>
    </w:p>
    <w:p w14:paraId="1A22833E"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Schloegel, L. M., Toledo, L. F., Longcore, J. E., Greenspan, S. E., Vieira, C. A., Lee, M., Zhao, S., Wangen, C., Ferreira, C. M., Hipolito, M., Davies, A. J., Cuomo, C. A., Daszak, P., &amp; James, T. Y. (2012). Novel, panzootic and hybrid genotypes of amphibian chytridiomycosis associated with the bullfrog trade. </w:t>
      </w:r>
      <w:r w:rsidRPr="00E25215">
        <w:rPr>
          <w:rFonts w:cs="Times New Roman"/>
          <w:i/>
          <w:iCs/>
        </w:rPr>
        <w:t>Molecular Ecology</w:t>
      </w:r>
      <w:r w:rsidRPr="00E25215">
        <w:rPr>
          <w:rFonts w:cs="Times New Roman"/>
        </w:rPr>
        <w:t xml:space="preserve">, </w:t>
      </w:r>
      <w:r w:rsidRPr="00E25215">
        <w:rPr>
          <w:rFonts w:cs="Times New Roman"/>
          <w:i/>
          <w:iCs/>
        </w:rPr>
        <w:t>21</w:t>
      </w:r>
      <w:r w:rsidRPr="00E25215">
        <w:rPr>
          <w:rFonts w:cs="Times New Roman"/>
        </w:rPr>
        <w:t>(21), 5162–5177. https://doi.org/10.1111/j.1365-294X.2012.05710.x</w:t>
      </w:r>
    </w:p>
    <w:p w14:paraId="39119B25"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Schmitz, C., Kreidenweis, U., Lotze-Campen, H., Popp, A., Krause, M., Dietrich, J. P., &amp; Mueller, C. (2015). Agricultural trade and tropical deforestation: Interactions and related policy options. </w:t>
      </w:r>
      <w:r w:rsidRPr="00E25215">
        <w:rPr>
          <w:rFonts w:cs="Times New Roman"/>
          <w:i/>
          <w:iCs/>
        </w:rPr>
        <w:t>Regional Environmental Change</w:t>
      </w:r>
      <w:r w:rsidRPr="00E25215">
        <w:rPr>
          <w:rFonts w:cs="Times New Roman"/>
        </w:rPr>
        <w:t xml:space="preserve">, </w:t>
      </w:r>
      <w:r w:rsidRPr="00E25215">
        <w:rPr>
          <w:rFonts w:cs="Times New Roman"/>
          <w:i/>
          <w:iCs/>
        </w:rPr>
        <w:t>15</w:t>
      </w:r>
      <w:r w:rsidRPr="00E25215">
        <w:rPr>
          <w:rFonts w:cs="Times New Roman"/>
        </w:rPr>
        <w:t>, 1757–1772. https://doi.org/10.1007/s10113-014-0700-2</w:t>
      </w:r>
    </w:p>
    <w:p w14:paraId="7379A810"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Schnitzler, A., &amp; Essl, F. (2015). From horticulture and biofuel to invasion: The spread of </w:t>
      </w:r>
      <w:r w:rsidRPr="00E25215">
        <w:rPr>
          <w:rFonts w:cs="Times New Roman"/>
          <w:i/>
          <w:iCs/>
        </w:rPr>
        <w:t>Miscanthus</w:t>
      </w:r>
      <w:r w:rsidRPr="00E25215">
        <w:rPr>
          <w:rFonts w:cs="Times New Roman"/>
        </w:rPr>
        <w:t xml:space="preserve"> taxa in the USA and Europe. </w:t>
      </w:r>
      <w:r w:rsidRPr="00E25215">
        <w:rPr>
          <w:rFonts w:cs="Times New Roman"/>
          <w:i/>
          <w:iCs/>
        </w:rPr>
        <w:t>Weed Research</w:t>
      </w:r>
      <w:r w:rsidRPr="00E25215">
        <w:rPr>
          <w:rFonts w:cs="Times New Roman"/>
        </w:rPr>
        <w:t xml:space="preserve">, </w:t>
      </w:r>
      <w:r w:rsidRPr="00E25215">
        <w:rPr>
          <w:rFonts w:cs="Times New Roman"/>
          <w:i/>
          <w:iCs/>
        </w:rPr>
        <w:t>55</w:t>
      </w:r>
      <w:r w:rsidRPr="00E25215">
        <w:rPr>
          <w:rFonts w:cs="Times New Roman"/>
        </w:rPr>
        <w:t>(3), Article 3. https://doi.org/10.1111/wre.12141</w:t>
      </w:r>
    </w:p>
    <w:p w14:paraId="1D3174E9"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Schrama, M., &amp; Bardgett, R. D. (2016). Grassland invasibility varies with drought effects on soil functioning. </w:t>
      </w:r>
      <w:r w:rsidRPr="00E25215">
        <w:rPr>
          <w:rFonts w:cs="Times New Roman"/>
          <w:i/>
          <w:iCs/>
        </w:rPr>
        <w:t>Journal of Ecology</w:t>
      </w:r>
      <w:r w:rsidRPr="00E25215">
        <w:rPr>
          <w:rFonts w:cs="Times New Roman"/>
        </w:rPr>
        <w:t xml:space="preserve">, </w:t>
      </w:r>
      <w:r w:rsidRPr="00E25215">
        <w:rPr>
          <w:rFonts w:cs="Times New Roman"/>
          <w:i/>
          <w:iCs/>
        </w:rPr>
        <w:t>104</w:t>
      </w:r>
      <w:r w:rsidRPr="00E25215">
        <w:rPr>
          <w:rFonts w:cs="Times New Roman"/>
        </w:rPr>
        <w:t>(5), 1250–1258. https://doi.org/10.1111/1365-2745.12606</w:t>
      </w:r>
    </w:p>
    <w:p w14:paraId="0D5ED54E"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Schweiger, O., Biesmeijer, J. C., Bommarco, R., Hickler, T., Hulme, P. E., Klotz, S., Kühn, I., Moora, M., Nielsen, A., Ohlemüller, R., Petanidou, T., Potts, S. G., Pyšek, P., Stout, J. C., Sykes, M. T., Tscheulin, T., Vilà, M., Walther, G.-R., Westphal, C., … Settele, J. (2010). Multiple stressors on biotic interactions: How climate change and alien species interact to affect pollination. </w:t>
      </w:r>
      <w:r w:rsidRPr="00E25215">
        <w:rPr>
          <w:rFonts w:cs="Times New Roman"/>
          <w:i/>
          <w:iCs/>
        </w:rPr>
        <w:t>Biological Reviews</w:t>
      </w:r>
      <w:r w:rsidRPr="00E25215">
        <w:rPr>
          <w:rFonts w:cs="Times New Roman"/>
        </w:rPr>
        <w:t>, no-no. https://doi.org/10.1111/j.1469-185X.2010.00125.x</w:t>
      </w:r>
    </w:p>
    <w:p w14:paraId="0A29CFD4"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Schwilch, G., Adhikari, A., Jaboyedoff, M., Jaquet, S., Kaenzig, R., Liniger, H., Penna, I. M., Sudmeier-Rieux, K., &amp; Upreti, B. R. (2017). Impacts of Outmigration on Land Management in a Nepali Mountain Area. In K. Sudmeier-Rieux, M. Fernández, I. M. Penna, M. Jaboyedoff, &amp; J. C. Gaillard (Eds.), </w:t>
      </w:r>
      <w:r w:rsidRPr="00E25215">
        <w:rPr>
          <w:rFonts w:cs="Times New Roman"/>
          <w:i/>
          <w:iCs/>
        </w:rPr>
        <w:t>Identifying Emerging Issues in Disaster Risk Reduction, Migration, Climate Change and Sustainable Development</w:t>
      </w:r>
      <w:r w:rsidRPr="00E25215">
        <w:rPr>
          <w:rFonts w:cs="Times New Roman"/>
        </w:rPr>
        <w:t xml:space="preserve"> (pp. 177–194). Springer International Publishing. https://doi.org/10.1007/978-3-319-33880-4_11</w:t>
      </w:r>
    </w:p>
    <w:p w14:paraId="0116BE3A"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Scoleri, V. P., Johnson, C. N., Vertigan, P., &amp; Jones, M. E. (2020). Conservation trade-offs: Island introduction of a threatened predator suppresses invasive mesopredators but eliminates a seabird colony. </w:t>
      </w:r>
      <w:r w:rsidRPr="00E25215">
        <w:rPr>
          <w:rFonts w:cs="Times New Roman"/>
          <w:i/>
          <w:iCs/>
        </w:rPr>
        <w:t>Biological Conservation</w:t>
      </w:r>
      <w:r w:rsidRPr="00E25215">
        <w:rPr>
          <w:rFonts w:cs="Times New Roman"/>
        </w:rPr>
        <w:t xml:space="preserve">, </w:t>
      </w:r>
      <w:r w:rsidRPr="00E25215">
        <w:rPr>
          <w:rFonts w:cs="Times New Roman"/>
          <w:i/>
          <w:iCs/>
        </w:rPr>
        <w:t>248</w:t>
      </w:r>
      <w:r w:rsidRPr="00E25215">
        <w:rPr>
          <w:rFonts w:cs="Times New Roman"/>
        </w:rPr>
        <w:t>, 108635. https://doi.org/10.1016/j.biocon.2020.108635</w:t>
      </w:r>
    </w:p>
    <w:p w14:paraId="608C721D"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Seabloom, E. W., Borer, E. T., Buckley, Y., Cleland, E. E., Davies, K., Firn, J., Harpole, W. S., Hautier, Y., Lind, E., MacDougall, A., Orrock, J. L., Prober, S. M., Adler, P., Alberti, J., Anderson, T. M., Bakker, J. D., Biederman, L. A., Blumenthal, D., Brown, C. S., … Yang, L. (2013). Predicting invasion in grassland ecosystems: Is exotic dominance the real embarrassment of richness? </w:t>
      </w:r>
      <w:r w:rsidRPr="00E25215">
        <w:rPr>
          <w:rFonts w:cs="Times New Roman"/>
          <w:i/>
          <w:iCs/>
        </w:rPr>
        <w:t>Global Change Biology</w:t>
      </w:r>
      <w:r w:rsidRPr="00E25215">
        <w:rPr>
          <w:rFonts w:cs="Times New Roman"/>
        </w:rPr>
        <w:t xml:space="preserve">, </w:t>
      </w:r>
      <w:r w:rsidRPr="00E25215">
        <w:rPr>
          <w:rFonts w:cs="Times New Roman"/>
          <w:i/>
          <w:iCs/>
        </w:rPr>
        <w:t>19</w:t>
      </w:r>
      <w:r w:rsidRPr="00E25215">
        <w:rPr>
          <w:rFonts w:cs="Times New Roman"/>
        </w:rPr>
        <w:t>(12), Article 12. https://doi.org/10.1111/gcb.12370</w:t>
      </w:r>
    </w:p>
    <w:p w14:paraId="0702A179"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Seastedt, T. R., Hobbs, R. J., &amp; Suding, K. N. (2008). Management of novel ecosystems: Are novel approaches required? </w:t>
      </w:r>
      <w:r w:rsidRPr="00E25215">
        <w:rPr>
          <w:rFonts w:cs="Times New Roman"/>
          <w:i/>
          <w:iCs/>
        </w:rPr>
        <w:t>Frontiers in Ecology and the Environment</w:t>
      </w:r>
      <w:r w:rsidRPr="00E25215">
        <w:rPr>
          <w:rFonts w:cs="Times New Roman"/>
        </w:rPr>
        <w:t xml:space="preserve">, </w:t>
      </w:r>
      <w:r w:rsidRPr="00E25215">
        <w:rPr>
          <w:rFonts w:cs="Times New Roman"/>
          <w:i/>
          <w:iCs/>
        </w:rPr>
        <w:t>6</w:t>
      </w:r>
      <w:r w:rsidRPr="00E25215">
        <w:rPr>
          <w:rFonts w:cs="Times New Roman"/>
        </w:rPr>
        <w:t>(10), 547–553. https://doi.org/10.1890/070046</w:t>
      </w:r>
    </w:p>
    <w:p w14:paraId="0AF96338"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Seddon, P. (2010). From Reintroduction to Assisted Colonization: Moving along the Conservation Translocation Spectrum. </w:t>
      </w:r>
      <w:r w:rsidRPr="00E25215">
        <w:rPr>
          <w:rFonts w:cs="Times New Roman"/>
          <w:i/>
          <w:iCs/>
        </w:rPr>
        <w:t>Restoration Ecology</w:t>
      </w:r>
      <w:r w:rsidRPr="00E25215">
        <w:rPr>
          <w:rFonts w:cs="Times New Roman"/>
        </w:rPr>
        <w:t xml:space="preserve">, </w:t>
      </w:r>
      <w:r w:rsidRPr="00E25215">
        <w:rPr>
          <w:rFonts w:cs="Times New Roman"/>
          <w:i/>
          <w:iCs/>
        </w:rPr>
        <w:t>18</w:t>
      </w:r>
      <w:r w:rsidRPr="00E25215">
        <w:rPr>
          <w:rFonts w:cs="Times New Roman"/>
        </w:rPr>
        <w:t>(6), 796–802. https://doi.org/10.1111/j.1526-100X.2010.00724.x</w:t>
      </w:r>
    </w:p>
    <w:p w14:paraId="1C602108"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Seebens, H., Blackburn, T. M., Dyer, E. E., Genovesi, P., Hulme, P. E., Jeschke, J. M., Pagad, S., Pyšek, P., van Kleunen, M., Winter, M., Ansong, M., Arianoutsou, M., Bacher, S., Blasius, B., Brockerhoff, E. G., Brundu, G., Capinha, C., Causton, C. E., Celesti-Grapow, L., … </w:t>
      </w:r>
      <w:r w:rsidRPr="00E25215">
        <w:rPr>
          <w:rFonts w:cs="Times New Roman"/>
        </w:rPr>
        <w:lastRenderedPageBreak/>
        <w:t xml:space="preserve">Essl, F. (2018). Global rise in emerging alien species results from increased accessibility of new source pools. </w:t>
      </w:r>
      <w:r w:rsidRPr="00E25215">
        <w:rPr>
          <w:rFonts w:cs="Times New Roman"/>
          <w:i/>
          <w:iCs/>
        </w:rPr>
        <w:t>Proceedings of the National Academy of Sciences</w:t>
      </w:r>
      <w:r w:rsidRPr="00E25215">
        <w:rPr>
          <w:rFonts w:cs="Times New Roman"/>
        </w:rPr>
        <w:t xml:space="preserve">, </w:t>
      </w:r>
      <w:r w:rsidRPr="00E25215">
        <w:rPr>
          <w:rFonts w:cs="Times New Roman"/>
          <w:i/>
          <w:iCs/>
        </w:rPr>
        <w:t>115</w:t>
      </w:r>
      <w:r w:rsidRPr="00E25215">
        <w:rPr>
          <w:rFonts w:cs="Times New Roman"/>
        </w:rPr>
        <w:t>(10), E2264–E2273. https://doi.org/10.1073/pnas.1719429115</w:t>
      </w:r>
    </w:p>
    <w:p w14:paraId="2EDFE089"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Seebens, H., Blackburn, T. M., Dyer, E. E., Genovesi, P., Hulme, P. E., Jeschke, J. M., Pagad, S., Pyšek, P., Winter, M., Arianoutsou, M., Bacher, S., Blasius, B., Brundu, G., Capinha, C., Celesti-Grapow, L., Dawson, W., Dullinger, S., Fuentes, N., Jäger, H., … Essl, F. (2017). No saturation in the accumulation of alien species worldwide. </w:t>
      </w:r>
      <w:r w:rsidRPr="00E25215">
        <w:rPr>
          <w:rFonts w:cs="Times New Roman"/>
          <w:i/>
          <w:iCs/>
        </w:rPr>
        <w:t>Nature Communications</w:t>
      </w:r>
      <w:r w:rsidRPr="00E25215">
        <w:rPr>
          <w:rFonts w:cs="Times New Roman"/>
        </w:rPr>
        <w:t xml:space="preserve">, </w:t>
      </w:r>
      <w:r w:rsidRPr="00E25215">
        <w:rPr>
          <w:rFonts w:cs="Times New Roman"/>
          <w:i/>
          <w:iCs/>
        </w:rPr>
        <w:t>8</w:t>
      </w:r>
      <w:r w:rsidRPr="00E25215">
        <w:rPr>
          <w:rFonts w:cs="Times New Roman"/>
        </w:rPr>
        <w:t>(1), 14435. https://doi.org/10.1038/ncomms14435</w:t>
      </w:r>
    </w:p>
    <w:p w14:paraId="5DB5BD30"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Seebens, H., Essl, F., Dawson, W., Fuentes, N., Moser, D., Pergl, J., Pyšek, P., Van Kleunen, M., Weber, E., Winter, M., &amp; Blasius, B. (2015). Global trade will accelerate plant invasions in emerging economies under climate change. </w:t>
      </w:r>
      <w:r w:rsidRPr="00E25215">
        <w:rPr>
          <w:rFonts w:cs="Times New Roman"/>
          <w:i/>
          <w:iCs/>
        </w:rPr>
        <w:t>Global Change Biology</w:t>
      </w:r>
      <w:r w:rsidRPr="00E25215">
        <w:rPr>
          <w:rFonts w:cs="Times New Roman"/>
        </w:rPr>
        <w:t xml:space="preserve">, </w:t>
      </w:r>
      <w:r w:rsidRPr="00E25215">
        <w:rPr>
          <w:rFonts w:cs="Times New Roman"/>
          <w:i/>
          <w:iCs/>
        </w:rPr>
        <w:t>21</w:t>
      </w:r>
      <w:r w:rsidRPr="00E25215">
        <w:rPr>
          <w:rFonts w:cs="Times New Roman"/>
        </w:rPr>
        <w:t>(11), 4128–4140. https://doi.org/10.1111/gcb.13021</w:t>
      </w:r>
    </w:p>
    <w:p w14:paraId="2027B6FA"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Seebens, H., Gastner, M. T., &amp; Blasius, B. (2013). The risk of marine bioinvasion caused by global shipping. </w:t>
      </w:r>
      <w:r w:rsidRPr="00E25215">
        <w:rPr>
          <w:rFonts w:cs="Times New Roman"/>
          <w:i/>
          <w:iCs/>
        </w:rPr>
        <w:t>Ecology Letters</w:t>
      </w:r>
      <w:r w:rsidRPr="00E25215">
        <w:rPr>
          <w:rFonts w:cs="Times New Roman"/>
        </w:rPr>
        <w:t xml:space="preserve">, </w:t>
      </w:r>
      <w:r w:rsidRPr="00E25215">
        <w:rPr>
          <w:rFonts w:cs="Times New Roman"/>
          <w:i/>
          <w:iCs/>
        </w:rPr>
        <w:t>16</w:t>
      </w:r>
      <w:r w:rsidRPr="00E25215">
        <w:rPr>
          <w:rFonts w:cs="Times New Roman"/>
        </w:rPr>
        <w:t>(6), 782–790. https://doi.org/10.1111/ele.12111</w:t>
      </w:r>
    </w:p>
    <w:p w14:paraId="2EA354CF"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Seebens, H., Schwartz, N., Schupp, P. J., &amp; Blasius, B. (2016). Predicting the spread of marine species introduced by global shipping. </w:t>
      </w:r>
      <w:r w:rsidRPr="00E25215">
        <w:rPr>
          <w:rFonts w:cs="Times New Roman"/>
          <w:i/>
          <w:iCs/>
        </w:rPr>
        <w:t>Proceedings of the National Academy of Sciences</w:t>
      </w:r>
      <w:r w:rsidRPr="00E25215">
        <w:rPr>
          <w:rFonts w:cs="Times New Roman"/>
        </w:rPr>
        <w:t xml:space="preserve">, </w:t>
      </w:r>
      <w:r w:rsidRPr="00E25215">
        <w:rPr>
          <w:rFonts w:cs="Times New Roman"/>
          <w:i/>
          <w:iCs/>
        </w:rPr>
        <w:t>113</w:t>
      </w:r>
      <w:r w:rsidRPr="00E25215">
        <w:rPr>
          <w:rFonts w:cs="Times New Roman"/>
        </w:rPr>
        <w:t>(20), 5646–5651. https://doi.org/10.1073/pnas.1524427113</w:t>
      </w:r>
    </w:p>
    <w:p w14:paraId="4AF967AF"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Seipel, T., Kueffer, C., Rew, L. J., Daehler, C. C., Pauchard, A., Naylor, B. J., Alexander, J. M., Edwards, P. J., Parks, C. G., Arevalo, J. R., Cavieres, L. A., Dietz, H., Jakobs, G., McDougall, K., Otto, R., &amp; Walsh, N. (2012). Processes at multiple scales affect richness and similarity of non-native plant species in mountains around the world. </w:t>
      </w:r>
      <w:r w:rsidRPr="00E25215">
        <w:rPr>
          <w:rFonts w:cs="Times New Roman"/>
          <w:i/>
          <w:iCs/>
        </w:rPr>
        <w:t>Global Ecology and Biogeography</w:t>
      </w:r>
      <w:r w:rsidRPr="00E25215">
        <w:rPr>
          <w:rFonts w:cs="Times New Roman"/>
        </w:rPr>
        <w:t xml:space="preserve">, </w:t>
      </w:r>
      <w:r w:rsidRPr="00E25215">
        <w:rPr>
          <w:rFonts w:cs="Times New Roman"/>
          <w:i/>
          <w:iCs/>
        </w:rPr>
        <w:t>21</w:t>
      </w:r>
      <w:r w:rsidRPr="00E25215">
        <w:rPr>
          <w:rFonts w:cs="Times New Roman"/>
        </w:rPr>
        <w:t>(2), 236–246. https://doi.org/10.1111/j.1466-8238.2011.00664.x</w:t>
      </w:r>
    </w:p>
    <w:p w14:paraId="5D0B8049"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Senasica. (2019). </w:t>
      </w:r>
      <w:r w:rsidRPr="00E25215">
        <w:rPr>
          <w:rFonts w:cs="Times New Roman"/>
          <w:i/>
          <w:iCs/>
        </w:rPr>
        <w:t>PALOMILLA DEL NOPAL. Cactoblastis cactorum. Aviso público del riesgo y situación actual.</w:t>
      </w:r>
      <w:r w:rsidRPr="00E25215">
        <w:rPr>
          <w:rFonts w:cs="Times New Roman"/>
        </w:rPr>
        <w:t xml:space="preserve"> https://prod.senasica.gob.mx/SIRVEF/ContenidoPublico/Avisos%20y%20alertas/Avisos%20publicos/Aviso%20p%C3%BAblico%20Palomilla%20del%20nopal.pdf</w:t>
      </w:r>
    </w:p>
    <w:p w14:paraId="1D4556F3"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Serbesoff-King, K. (2003). Melaleuca in Florida: A Literature Review on the Taxonomy, Distribution, Biology, Ecology, Economic Importance and Control Measures. </w:t>
      </w:r>
      <w:r w:rsidRPr="00E25215">
        <w:rPr>
          <w:rFonts w:cs="Times New Roman"/>
          <w:i/>
          <w:iCs/>
        </w:rPr>
        <w:t>Journal of Aquatic Plant Management</w:t>
      </w:r>
      <w:r w:rsidRPr="00E25215">
        <w:rPr>
          <w:rFonts w:cs="Times New Roman"/>
        </w:rPr>
        <w:t xml:space="preserve">, </w:t>
      </w:r>
      <w:r w:rsidRPr="00E25215">
        <w:rPr>
          <w:rFonts w:cs="Times New Roman"/>
          <w:i/>
          <w:iCs/>
        </w:rPr>
        <w:t>41</w:t>
      </w:r>
      <w:r w:rsidRPr="00E25215">
        <w:rPr>
          <w:rFonts w:cs="Times New Roman"/>
        </w:rPr>
        <w:t>, 15.</w:t>
      </w:r>
    </w:p>
    <w:p w14:paraId="0825675F"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Sestrich, C. M., McMahon, T. E., &amp; Young, M. K. (2011). Influence of Fire on Native and Nonnative Salmonid Populations and Habitat in a Western Montana Basin. </w:t>
      </w:r>
      <w:r w:rsidRPr="00E25215">
        <w:rPr>
          <w:rFonts w:cs="Times New Roman"/>
          <w:i/>
          <w:iCs/>
        </w:rPr>
        <w:t>Transactions of the American Fisheries Society</w:t>
      </w:r>
      <w:r w:rsidRPr="00E25215">
        <w:rPr>
          <w:rFonts w:cs="Times New Roman"/>
        </w:rPr>
        <w:t xml:space="preserve">, </w:t>
      </w:r>
      <w:r w:rsidRPr="00E25215">
        <w:rPr>
          <w:rFonts w:cs="Times New Roman"/>
          <w:i/>
          <w:iCs/>
        </w:rPr>
        <w:t>140</w:t>
      </w:r>
      <w:r w:rsidRPr="00E25215">
        <w:rPr>
          <w:rFonts w:cs="Times New Roman"/>
        </w:rPr>
        <w:t>(1), 136–146. https://doi.org/10.1080/00028487.2011.557019</w:t>
      </w:r>
    </w:p>
    <w:p w14:paraId="1DFB58BE" w14:textId="77777777" w:rsidR="001379C0" w:rsidRPr="00E25215" w:rsidRDefault="001379C0" w:rsidP="009B3E7F">
      <w:pPr>
        <w:pStyle w:val="Bibliography"/>
        <w:spacing w:before="0" w:after="0" w:line="240" w:lineRule="auto"/>
        <w:rPr>
          <w:rFonts w:cs="Times New Roman"/>
        </w:rPr>
      </w:pPr>
      <w:r w:rsidRPr="00E25215">
        <w:rPr>
          <w:rFonts w:cs="Times New Roman"/>
        </w:rPr>
        <w:t>Shackleton, C. M., &amp; Gambiza, J. (2008). Social and ecological trade offs in combating land degradation: The case of invasion by a woody shrub (</w:t>
      </w:r>
      <w:r w:rsidRPr="00E25215">
        <w:rPr>
          <w:rFonts w:cs="Times New Roman"/>
          <w:i/>
          <w:iCs/>
        </w:rPr>
        <w:t>Euryops Floribundus</w:t>
      </w:r>
      <w:r w:rsidRPr="00E25215">
        <w:rPr>
          <w:rFonts w:cs="Times New Roman"/>
        </w:rPr>
        <w:t xml:space="preserve">) at Macubeni, South Africa. </w:t>
      </w:r>
      <w:r w:rsidRPr="00E25215">
        <w:rPr>
          <w:rFonts w:cs="Times New Roman"/>
          <w:i/>
          <w:iCs/>
        </w:rPr>
        <w:t>Land Degradation &amp; Development</w:t>
      </w:r>
      <w:r w:rsidRPr="00E25215">
        <w:rPr>
          <w:rFonts w:cs="Times New Roman"/>
        </w:rPr>
        <w:t xml:space="preserve">, </w:t>
      </w:r>
      <w:r w:rsidRPr="00E25215">
        <w:rPr>
          <w:rFonts w:cs="Times New Roman"/>
          <w:i/>
          <w:iCs/>
        </w:rPr>
        <w:t>19</w:t>
      </w:r>
      <w:r w:rsidRPr="00E25215">
        <w:rPr>
          <w:rFonts w:cs="Times New Roman"/>
        </w:rPr>
        <w:t>(4), 454–464. https://doi.org/10.1002/ldr.849</w:t>
      </w:r>
    </w:p>
    <w:p w14:paraId="4E883176"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Shackleton, C. M., McGarry, D., Fourie, S., Gambiza, J., Shackleton, S. E., &amp; Fabricius, C. (2007). Assessing the Effects of Invasive Alien Species on Rural Livelihoods: Case Examples and a Framework from South Africa. </w:t>
      </w:r>
      <w:r w:rsidRPr="00E25215">
        <w:rPr>
          <w:rFonts w:cs="Times New Roman"/>
          <w:i/>
          <w:iCs/>
        </w:rPr>
        <w:t>Human Ecology</w:t>
      </w:r>
      <w:r w:rsidRPr="00E25215">
        <w:rPr>
          <w:rFonts w:cs="Times New Roman"/>
        </w:rPr>
        <w:t xml:space="preserve">, </w:t>
      </w:r>
      <w:r w:rsidRPr="00E25215">
        <w:rPr>
          <w:rFonts w:cs="Times New Roman"/>
          <w:i/>
          <w:iCs/>
        </w:rPr>
        <w:t>35</w:t>
      </w:r>
      <w:r w:rsidRPr="00E25215">
        <w:rPr>
          <w:rFonts w:cs="Times New Roman"/>
        </w:rPr>
        <w:t>(1), 113–127. https://doi.org/10.1007/s10745-006-9095-0</w:t>
      </w:r>
    </w:p>
    <w:p w14:paraId="59DE5DCC"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Shackleton, R. T., Richardson, D. M., Shackleton, C. M., Bennett, B., Crowley, S. L., Dehnen-Schmutz, K., Estévez, R. A., Fischer, A., Kueffer, C., Kull, C. A., Marchante, E., Novoa, A., Potgieter, L. J., Vaas, J., Vaz, A. S., &amp; Larson, B. M. H. (2019). Explaining people’s perceptions of invasive alien species: A conceptual framework. </w:t>
      </w:r>
      <w:r w:rsidRPr="00E25215">
        <w:rPr>
          <w:rFonts w:cs="Times New Roman"/>
          <w:i/>
          <w:iCs/>
        </w:rPr>
        <w:t>Journal of Environmental Management</w:t>
      </w:r>
      <w:r w:rsidRPr="00E25215">
        <w:rPr>
          <w:rFonts w:cs="Times New Roman"/>
        </w:rPr>
        <w:t xml:space="preserve">, </w:t>
      </w:r>
      <w:r w:rsidRPr="00E25215">
        <w:rPr>
          <w:rFonts w:cs="Times New Roman"/>
          <w:i/>
          <w:iCs/>
        </w:rPr>
        <w:t>229</w:t>
      </w:r>
      <w:r w:rsidRPr="00E25215">
        <w:rPr>
          <w:rFonts w:cs="Times New Roman"/>
        </w:rPr>
        <w:t>, 10–26. https://doi.org/10.1016/j.jenvman.2018.04.045</w:t>
      </w:r>
    </w:p>
    <w:p w14:paraId="42C14475"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Shackleton, R. T., Shackleton, C. M., &amp; Kull, C. A. (2019). The role of invasive alien species in shaping local livelihoods and human well-being: A review. </w:t>
      </w:r>
      <w:r w:rsidRPr="00E25215">
        <w:rPr>
          <w:rFonts w:cs="Times New Roman"/>
          <w:i/>
          <w:iCs/>
        </w:rPr>
        <w:t>Journal of Environmental Management</w:t>
      </w:r>
      <w:r w:rsidRPr="00E25215">
        <w:rPr>
          <w:rFonts w:cs="Times New Roman"/>
        </w:rPr>
        <w:t xml:space="preserve">, </w:t>
      </w:r>
      <w:r w:rsidRPr="00E25215">
        <w:rPr>
          <w:rFonts w:cs="Times New Roman"/>
          <w:i/>
          <w:iCs/>
        </w:rPr>
        <w:t>229</w:t>
      </w:r>
      <w:r w:rsidRPr="00E25215">
        <w:rPr>
          <w:rFonts w:cs="Times New Roman"/>
        </w:rPr>
        <w:t>, 145–157. https://doi.org/10.1016/j.jenvman.2018.05.007</w:t>
      </w:r>
    </w:p>
    <w:p w14:paraId="0B6C252F"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Shackleton, S. E., &amp; Shackleton, R. T. (2018). Local knowledge regarding ecosystem services and disservices from invasive alien plants in the arid Kalahari, South Africa. </w:t>
      </w:r>
      <w:r w:rsidRPr="00E25215">
        <w:rPr>
          <w:rFonts w:cs="Times New Roman"/>
          <w:i/>
          <w:iCs/>
        </w:rPr>
        <w:t>Journal of Arid Environments</w:t>
      </w:r>
      <w:r w:rsidRPr="00E25215">
        <w:rPr>
          <w:rFonts w:cs="Times New Roman"/>
        </w:rPr>
        <w:t xml:space="preserve">, </w:t>
      </w:r>
      <w:r w:rsidRPr="00E25215">
        <w:rPr>
          <w:rFonts w:cs="Times New Roman"/>
          <w:i/>
          <w:iCs/>
        </w:rPr>
        <w:t>159</w:t>
      </w:r>
      <w:r w:rsidRPr="00E25215">
        <w:rPr>
          <w:rFonts w:cs="Times New Roman"/>
        </w:rPr>
        <w:t>, 22–33. https://doi.org/10.1016/j.jaridenv.2017.07.001</w:t>
      </w:r>
    </w:p>
    <w:p w14:paraId="4EDB2609" w14:textId="77777777" w:rsidR="001379C0" w:rsidRPr="00E25215" w:rsidRDefault="001379C0" w:rsidP="009B3E7F">
      <w:pPr>
        <w:pStyle w:val="Bibliography"/>
        <w:spacing w:before="0" w:after="0" w:line="240" w:lineRule="auto"/>
        <w:rPr>
          <w:rFonts w:cs="Times New Roman"/>
        </w:rPr>
      </w:pPr>
      <w:r w:rsidRPr="00E25215">
        <w:rPr>
          <w:rFonts w:cs="Times New Roman"/>
        </w:rPr>
        <w:lastRenderedPageBreak/>
        <w:t xml:space="preserve">Sharma, A., Aggarwal, N. K., Saini, A., &amp; Yadav, A. (2015). Beyond Biocontrol: Water Hyacinth-Opportunities and Challenges. </w:t>
      </w:r>
      <w:r w:rsidRPr="00E25215">
        <w:rPr>
          <w:rFonts w:cs="Times New Roman"/>
          <w:i/>
          <w:iCs/>
        </w:rPr>
        <w:t>Journal of Environmental Science and Technology</w:t>
      </w:r>
      <w:r w:rsidRPr="00E25215">
        <w:rPr>
          <w:rFonts w:cs="Times New Roman"/>
        </w:rPr>
        <w:t xml:space="preserve">, </w:t>
      </w:r>
      <w:r w:rsidRPr="00E25215">
        <w:rPr>
          <w:rFonts w:cs="Times New Roman"/>
          <w:i/>
          <w:iCs/>
        </w:rPr>
        <w:t>9</w:t>
      </w:r>
      <w:r w:rsidRPr="00E25215">
        <w:rPr>
          <w:rFonts w:cs="Times New Roman"/>
        </w:rPr>
        <w:t>(1), 26–48. https://doi.org/10.3923/jest.2016.26.48</w:t>
      </w:r>
    </w:p>
    <w:p w14:paraId="484EF652"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Sharrock, S. L. (2011). The biodiversity benefits of botanic gardens. </w:t>
      </w:r>
      <w:r w:rsidRPr="00E25215">
        <w:rPr>
          <w:rFonts w:cs="Times New Roman"/>
          <w:i/>
          <w:iCs/>
        </w:rPr>
        <w:t>Trends in Ecology &amp; Evolution</w:t>
      </w:r>
      <w:r w:rsidRPr="00E25215">
        <w:rPr>
          <w:rFonts w:cs="Times New Roman"/>
        </w:rPr>
        <w:t xml:space="preserve">, </w:t>
      </w:r>
      <w:r w:rsidRPr="00E25215">
        <w:rPr>
          <w:rFonts w:cs="Times New Roman"/>
          <w:i/>
          <w:iCs/>
        </w:rPr>
        <w:t>26</w:t>
      </w:r>
      <w:r w:rsidRPr="00E25215">
        <w:rPr>
          <w:rFonts w:cs="Times New Roman"/>
        </w:rPr>
        <w:t>(9), 433. https://doi.org/10.1016/j.tree.2011.05.008</w:t>
      </w:r>
    </w:p>
    <w:p w14:paraId="184C7378"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Shearer, B. L., Crane, C. E., Barrett, S., &amp; Cochrane, A. (2007). </w:t>
      </w:r>
      <w:r w:rsidRPr="00E25215">
        <w:rPr>
          <w:rFonts w:cs="Times New Roman"/>
          <w:i/>
          <w:iCs/>
        </w:rPr>
        <w:t>Phytophthora cinnamomi</w:t>
      </w:r>
      <w:r w:rsidRPr="00E25215">
        <w:rPr>
          <w:rFonts w:cs="Times New Roman"/>
        </w:rPr>
        <w:t xml:space="preserve"> invasion, a major threatening process to conservation of flora diversity in the South-west Botanical Province of Western Australia. </w:t>
      </w:r>
      <w:r w:rsidRPr="00E25215">
        <w:rPr>
          <w:rFonts w:cs="Times New Roman"/>
          <w:i/>
          <w:iCs/>
        </w:rPr>
        <w:t>Australian Journal of Botany</w:t>
      </w:r>
      <w:r w:rsidRPr="00E25215">
        <w:rPr>
          <w:rFonts w:cs="Times New Roman"/>
        </w:rPr>
        <w:t xml:space="preserve">, </w:t>
      </w:r>
      <w:r w:rsidRPr="00E25215">
        <w:rPr>
          <w:rFonts w:cs="Times New Roman"/>
          <w:i/>
          <w:iCs/>
        </w:rPr>
        <w:t>55</w:t>
      </w:r>
      <w:r w:rsidRPr="00E25215">
        <w:rPr>
          <w:rFonts w:cs="Times New Roman"/>
        </w:rPr>
        <w:t>(3), 225–238. https://doi.org/10.1071/BT06019</w:t>
      </w:r>
    </w:p>
    <w:p w14:paraId="47F6879A"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Shelton, W. L., &amp; Rothbard, S. (2006). Exotic species in global aquaculture—A review. </w:t>
      </w:r>
      <w:r w:rsidRPr="00E25215">
        <w:rPr>
          <w:rFonts w:cs="Times New Roman"/>
          <w:i/>
          <w:iCs/>
        </w:rPr>
        <w:t>Israeli Journal of Aquaculture - Bamidgeh</w:t>
      </w:r>
      <w:r w:rsidRPr="00E25215">
        <w:rPr>
          <w:rFonts w:cs="Times New Roman"/>
        </w:rPr>
        <w:t xml:space="preserve">, </w:t>
      </w:r>
      <w:r w:rsidRPr="00E25215">
        <w:rPr>
          <w:rFonts w:cs="Times New Roman"/>
          <w:i/>
          <w:iCs/>
        </w:rPr>
        <w:t>58</w:t>
      </w:r>
      <w:r w:rsidRPr="00E25215">
        <w:rPr>
          <w:rFonts w:cs="Times New Roman"/>
        </w:rPr>
        <w:t>(1), 3–28. https://doi.org/10.46989/001c.20429</w:t>
      </w:r>
    </w:p>
    <w:p w14:paraId="57BD03F3"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Shiba-Reyes, M., Troyo, E., Martínez-Rincón, R., &amp; Breceda, A. (2021). Impacts of tropical hurricanes on the vegetation cover of the lower basin and estuary of San José del Cabo, Baja California Sur, Mexico. </w:t>
      </w:r>
      <w:r w:rsidRPr="00E25215">
        <w:rPr>
          <w:rFonts w:cs="Times New Roman"/>
          <w:i/>
          <w:iCs/>
        </w:rPr>
        <w:t>Revista Chapingo Serie Ciencias Forestales y Del Ambiente</w:t>
      </w:r>
      <w:r w:rsidRPr="00E25215">
        <w:rPr>
          <w:rFonts w:cs="Times New Roman"/>
        </w:rPr>
        <w:t xml:space="preserve">, </w:t>
      </w:r>
      <w:r w:rsidRPr="00E25215">
        <w:rPr>
          <w:rFonts w:cs="Times New Roman"/>
          <w:i/>
          <w:iCs/>
        </w:rPr>
        <w:t>27</w:t>
      </w:r>
      <w:r w:rsidRPr="00E25215">
        <w:rPr>
          <w:rFonts w:cs="Times New Roman"/>
        </w:rPr>
        <w:t>(1), 165–180. http://dx.doi.org/10.5154/r.rchscfa.2020.03.011</w:t>
      </w:r>
    </w:p>
    <w:p w14:paraId="094D556D"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Shimada, N. (2016). Outline of the Great East Japan Earthquake. In </w:t>
      </w:r>
      <w:r w:rsidRPr="00E25215">
        <w:rPr>
          <w:rFonts w:cs="Times New Roman"/>
          <w:i/>
          <w:iCs/>
        </w:rPr>
        <w:t>Ecological Impacts of Tsunamis on Coastal Ecosystems</w:t>
      </w:r>
      <w:r w:rsidRPr="00E25215">
        <w:rPr>
          <w:rFonts w:cs="Times New Roman"/>
        </w:rPr>
        <w:t xml:space="preserve"> (pp. 1–8). Springer. https://link.springer.com/chapter/10.1007/978-4-431-56448-5_1</w:t>
      </w:r>
    </w:p>
    <w:p w14:paraId="76D2E965" w14:textId="77777777" w:rsidR="001379C0" w:rsidRPr="00E25215" w:rsidRDefault="001379C0" w:rsidP="009B3E7F">
      <w:pPr>
        <w:pStyle w:val="Bibliography"/>
        <w:spacing w:before="0" w:after="0" w:line="240" w:lineRule="auto"/>
        <w:rPr>
          <w:rFonts w:cs="Times New Roman"/>
        </w:rPr>
      </w:pPr>
      <w:r w:rsidRPr="00E25215">
        <w:rPr>
          <w:rFonts w:cs="Times New Roman"/>
        </w:rPr>
        <w:t>Shine, R. (2010). The Ecological Impact of Invasive Cane Toads (</w:t>
      </w:r>
      <w:r w:rsidRPr="00E25215">
        <w:rPr>
          <w:rFonts w:cs="Times New Roman"/>
          <w:i/>
          <w:iCs/>
        </w:rPr>
        <w:t>Bufo marinus</w:t>
      </w:r>
      <w:r w:rsidRPr="00E25215">
        <w:rPr>
          <w:rFonts w:cs="Times New Roman"/>
        </w:rPr>
        <w:t xml:space="preserve">) in Australia. </w:t>
      </w:r>
      <w:r w:rsidRPr="00E25215">
        <w:rPr>
          <w:rFonts w:cs="Times New Roman"/>
          <w:i/>
          <w:iCs/>
        </w:rPr>
        <w:t>The Quarterly Review of Biology</w:t>
      </w:r>
      <w:r w:rsidRPr="00E25215">
        <w:rPr>
          <w:rFonts w:cs="Times New Roman"/>
        </w:rPr>
        <w:t xml:space="preserve">, </w:t>
      </w:r>
      <w:r w:rsidRPr="00E25215">
        <w:rPr>
          <w:rFonts w:cs="Times New Roman"/>
          <w:i/>
          <w:iCs/>
        </w:rPr>
        <w:t>85</w:t>
      </w:r>
      <w:r w:rsidRPr="00E25215">
        <w:rPr>
          <w:rFonts w:cs="Times New Roman"/>
        </w:rPr>
        <w:t>(3), Article 3. https://doi.org/10.1086/655116</w:t>
      </w:r>
    </w:p>
    <w:p w14:paraId="1450CDBE"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Shochat, E., Lerman, S. B., Anderies, J. M., Warren, P. S., Faeth, S. H., &amp; Nilon, C. H. (2010). Invasion, Competition, and Biodiversity Loss in Urban Ecosystems. </w:t>
      </w:r>
      <w:r w:rsidRPr="00E25215">
        <w:rPr>
          <w:rFonts w:cs="Times New Roman"/>
          <w:i/>
          <w:iCs/>
        </w:rPr>
        <w:t>BioScience</w:t>
      </w:r>
      <w:r w:rsidRPr="00E25215">
        <w:rPr>
          <w:rFonts w:cs="Times New Roman"/>
        </w:rPr>
        <w:t xml:space="preserve">, </w:t>
      </w:r>
      <w:r w:rsidRPr="00E25215">
        <w:rPr>
          <w:rFonts w:cs="Times New Roman"/>
          <w:i/>
          <w:iCs/>
        </w:rPr>
        <w:t>60</w:t>
      </w:r>
      <w:r w:rsidRPr="00E25215">
        <w:rPr>
          <w:rFonts w:cs="Times New Roman"/>
        </w:rPr>
        <w:t>(3), 199–208. https://doi.org/10.1525/bio.2010.60.3.6</w:t>
      </w:r>
    </w:p>
    <w:p w14:paraId="7AF1A3D9"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Shukla, P. R., Skea, J., Calvo Buendia, E., Masson-Delmotte, V., Pörtner, H. O., Roberts, D. C., Zhai, P., Slade, R., Connors, S., &amp; Van Diemen, R. (2019). </w:t>
      </w:r>
      <w:r w:rsidRPr="00E25215">
        <w:rPr>
          <w:rFonts w:cs="Times New Roman"/>
          <w:i/>
          <w:iCs/>
        </w:rPr>
        <w:t>Climate Change and Land: An IPCC special report on climate change, desertification, land degradation, sustainable land management, food security, and greenhouse gas fluxes in terrestrial ecosystems</w:t>
      </w:r>
      <w:r w:rsidRPr="00E25215">
        <w:rPr>
          <w:rFonts w:cs="Times New Roman"/>
        </w:rPr>
        <w:t>. Intergovernmental Panel on Climate Change (IPCC). https://www.ipcc.ch/srccl/</w:t>
      </w:r>
    </w:p>
    <w:p w14:paraId="2327B405" w14:textId="77777777" w:rsidR="001379C0" w:rsidRPr="00E25215" w:rsidRDefault="001379C0" w:rsidP="009B3E7F">
      <w:pPr>
        <w:pStyle w:val="Bibliography"/>
        <w:spacing w:before="0" w:after="0" w:line="240" w:lineRule="auto"/>
        <w:rPr>
          <w:rFonts w:cs="Times New Roman"/>
        </w:rPr>
      </w:pPr>
      <w:r w:rsidRPr="00E25215">
        <w:rPr>
          <w:rFonts w:cs="Times New Roman"/>
        </w:rPr>
        <w:t>Shwartz, A., Strubbe, D., Butler, C. J., Matthysen, E., &amp; Kark, S. (2009). The effect of enemy</w:t>
      </w:r>
      <w:r w:rsidRPr="00E25215">
        <w:rPr>
          <w:rFonts w:cs="Times New Roman" w:hint="eastAsia"/>
        </w:rPr>
        <w:t>‐</w:t>
      </w:r>
      <w:r w:rsidRPr="00E25215">
        <w:rPr>
          <w:rFonts w:cs="Times New Roman"/>
        </w:rPr>
        <w:t>release and climate conditions on invasive birds: A regional test using the rose</w:t>
      </w:r>
      <w:r w:rsidRPr="00E25215">
        <w:rPr>
          <w:rFonts w:cs="Times New Roman" w:hint="eastAsia"/>
        </w:rPr>
        <w:t>‐</w:t>
      </w:r>
      <w:r w:rsidRPr="00E25215">
        <w:rPr>
          <w:rFonts w:cs="Times New Roman"/>
        </w:rPr>
        <w:t>ringed parakeet (</w:t>
      </w:r>
      <w:r w:rsidRPr="00E25215">
        <w:rPr>
          <w:rFonts w:cs="Times New Roman"/>
          <w:i/>
          <w:iCs/>
        </w:rPr>
        <w:t>Psittacula krameri</w:t>
      </w:r>
      <w:r w:rsidRPr="00E25215">
        <w:rPr>
          <w:rFonts w:cs="Times New Roman"/>
        </w:rPr>
        <w:t xml:space="preserve">) as a case study. </w:t>
      </w:r>
      <w:r w:rsidRPr="00E25215">
        <w:rPr>
          <w:rFonts w:cs="Times New Roman"/>
          <w:i/>
          <w:iCs/>
        </w:rPr>
        <w:t>Diversity and Distributions</w:t>
      </w:r>
      <w:r w:rsidRPr="00E25215">
        <w:rPr>
          <w:rFonts w:cs="Times New Roman"/>
        </w:rPr>
        <w:t xml:space="preserve">, </w:t>
      </w:r>
      <w:r w:rsidRPr="00E25215">
        <w:rPr>
          <w:rFonts w:cs="Times New Roman"/>
          <w:i/>
          <w:iCs/>
        </w:rPr>
        <w:t>15</w:t>
      </w:r>
      <w:r w:rsidRPr="00E25215">
        <w:rPr>
          <w:rFonts w:cs="Times New Roman"/>
        </w:rPr>
        <w:t>(2), 310–318. https://doi.org/10.1111/j.1472-4642.2008.00538.x</w:t>
      </w:r>
    </w:p>
    <w:p w14:paraId="4531E4C7"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Silcock, J. L. (2018). Aboriginal Translocations: The Intentional Propagation and Dispersal of Plants in Aboriginal Australia. </w:t>
      </w:r>
      <w:r w:rsidRPr="00E25215">
        <w:rPr>
          <w:rFonts w:cs="Times New Roman"/>
          <w:i/>
          <w:iCs/>
        </w:rPr>
        <w:t>Journal of Ethnobiology</w:t>
      </w:r>
      <w:r w:rsidRPr="00E25215">
        <w:rPr>
          <w:rFonts w:cs="Times New Roman"/>
        </w:rPr>
        <w:t xml:space="preserve">, </w:t>
      </w:r>
      <w:r w:rsidRPr="00E25215">
        <w:rPr>
          <w:rFonts w:cs="Times New Roman"/>
          <w:i/>
          <w:iCs/>
        </w:rPr>
        <w:t>38</w:t>
      </w:r>
      <w:r w:rsidRPr="00E25215">
        <w:rPr>
          <w:rFonts w:cs="Times New Roman"/>
        </w:rPr>
        <w:t>(3), 390. https://doi.org/10.2993/0278-0771-38.3.390</w:t>
      </w:r>
    </w:p>
    <w:p w14:paraId="262292A4"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Simberloff, D. (2006). Invasional meltdown 6 years later: Important phenomenon, unfortunate metaphor, or both? </w:t>
      </w:r>
      <w:r w:rsidRPr="00E25215">
        <w:rPr>
          <w:rFonts w:cs="Times New Roman"/>
          <w:i/>
          <w:iCs/>
        </w:rPr>
        <w:t>Ecology Letters</w:t>
      </w:r>
      <w:r w:rsidRPr="00E25215">
        <w:rPr>
          <w:rFonts w:cs="Times New Roman"/>
        </w:rPr>
        <w:t xml:space="preserve">, </w:t>
      </w:r>
      <w:r w:rsidRPr="00E25215">
        <w:rPr>
          <w:rFonts w:cs="Times New Roman"/>
          <w:i/>
          <w:iCs/>
        </w:rPr>
        <w:t>9</w:t>
      </w:r>
      <w:r w:rsidRPr="00E25215">
        <w:rPr>
          <w:rFonts w:cs="Times New Roman"/>
        </w:rPr>
        <w:t>(8), 912–919. https://doi.org/10.1111/j.1461-0248.2006.00939.x</w:t>
      </w:r>
    </w:p>
    <w:p w14:paraId="17606A15"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Simberloff, D., &amp; Rejmanek, M. (Eds.). (2011). </w:t>
      </w:r>
      <w:r w:rsidRPr="00E25215">
        <w:rPr>
          <w:rFonts w:cs="Times New Roman"/>
          <w:i/>
          <w:iCs/>
        </w:rPr>
        <w:t>Encyclopedia of Biological Invasions</w:t>
      </w:r>
      <w:r w:rsidRPr="00E25215">
        <w:rPr>
          <w:rFonts w:cs="Times New Roman"/>
        </w:rPr>
        <w:t xml:space="preserve"> (Vol. 3). University of California Press. https://doi.org/10.1525/9780520948433</w:t>
      </w:r>
    </w:p>
    <w:p w14:paraId="68D26C90"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Simberloff, D., &amp; Von Holle, B. (1999). Positive Interactions of Nonindigenous Species: Invasional Meltdown? </w:t>
      </w:r>
      <w:r w:rsidRPr="00E25215">
        <w:rPr>
          <w:rFonts w:cs="Times New Roman"/>
          <w:i/>
          <w:iCs/>
        </w:rPr>
        <w:t>Biological Invasions</w:t>
      </w:r>
      <w:r w:rsidRPr="00E25215">
        <w:rPr>
          <w:rFonts w:cs="Times New Roman"/>
        </w:rPr>
        <w:t xml:space="preserve">, </w:t>
      </w:r>
      <w:r w:rsidRPr="00E25215">
        <w:rPr>
          <w:rFonts w:cs="Times New Roman"/>
          <w:i/>
          <w:iCs/>
        </w:rPr>
        <w:t>1</w:t>
      </w:r>
      <w:r w:rsidRPr="00E25215">
        <w:rPr>
          <w:rFonts w:cs="Times New Roman"/>
        </w:rPr>
        <w:t>(1), 21–32. https://doi.org/10.1023/A:1010086329619</w:t>
      </w:r>
    </w:p>
    <w:p w14:paraId="6B9BAE58"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Simkanin, C., Carlton, J. T., Steves, B., Fofonoff, P., Nelson, J. C., Clarke Murray, C., &amp; Ruiz, G. M. (2019). Exploring potential establishment of marine rafting species after transoceanic long-distance dispersal. </w:t>
      </w:r>
      <w:r w:rsidRPr="00E25215">
        <w:rPr>
          <w:rFonts w:cs="Times New Roman"/>
          <w:i/>
          <w:iCs/>
        </w:rPr>
        <w:t>Global Ecology and Biogeography</w:t>
      </w:r>
      <w:r w:rsidRPr="00E25215">
        <w:rPr>
          <w:rFonts w:cs="Times New Roman"/>
        </w:rPr>
        <w:t xml:space="preserve">, </w:t>
      </w:r>
      <w:r w:rsidRPr="00E25215">
        <w:rPr>
          <w:rFonts w:cs="Times New Roman"/>
          <w:i/>
          <w:iCs/>
        </w:rPr>
        <w:t>28</w:t>
      </w:r>
      <w:r w:rsidRPr="00E25215">
        <w:rPr>
          <w:rFonts w:cs="Times New Roman"/>
        </w:rPr>
        <w:t>(5), 588–600. https://doi.org/10.1111/geb.12878</w:t>
      </w:r>
    </w:p>
    <w:p w14:paraId="4E7C6499"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Simkanin, C., Davidson, I. C., Dower, J. F., Jamieson, G., &amp; Therriault, T. W. (2012). Anthropogenic structures and the infiltration of natural benthos by invasive ascidians. </w:t>
      </w:r>
      <w:r w:rsidRPr="00E25215">
        <w:rPr>
          <w:rFonts w:cs="Times New Roman"/>
          <w:i/>
          <w:iCs/>
        </w:rPr>
        <w:t>Marine Ecology</w:t>
      </w:r>
      <w:r w:rsidRPr="00E25215">
        <w:rPr>
          <w:rFonts w:cs="Times New Roman"/>
        </w:rPr>
        <w:t xml:space="preserve">, </w:t>
      </w:r>
      <w:r w:rsidRPr="00E25215">
        <w:rPr>
          <w:rFonts w:cs="Times New Roman"/>
          <w:i/>
          <w:iCs/>
        </w:rPr>
        <w:t>33</w:t>
      </w:r>
      <w:r w:rsidRPr="00E25215">
        <w:rPr>
          <w:rFonts w:cs="Times New Roman"/>
        </w:rPr>
        <w:t>(4), 499–511. https://doi.org/10.1111/j.1439-0485.2012.00516.x</w:t>
      </w:r>
    </w:p>
    <w:p w14:paraId="152C1A86"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Simler, A. B., Williamson, M., Schwartz, M. W., &amp; Rizzo, D. M. (2019). Amplifying plant disease risk through assisted migration. </w:t>
      </w:r>
      <w:r w:rsidRPr="00E25215">
        <w:rPr>
          <w:rFonts w:cs="Times New Roman"/>
          <w:i/>
          <w:iCs/>
        </w:rPr>
        <w:t>Conservation Letters</w:t>
      </w:r>
      <w:r w:rsidRPr="00E25215">
        <w:rPr>
          <w:rFonts w:cs="Times New Roman"/>
        </w:rPr>
        <w:t xml:space="preserve">, </w:t>
      </w:r>
      <w:r w:rsidRPr="00E25215">
        <w:rPr>
          <w:rFonts w:cs="Times New Roman"/>
          <w:i/>
          <w:iCs/>
        </w:rPr>
        <w:t>12</w:t>
      </w:r>
      <w:r w:rsidRPr="00E25215">
        <w:rPr>
          <w:rFonts w:cs="Times New Roman"/>
        </w:rPr>
        <w:t>(2), e12605. https://doi.org/10.1111/conl.12605</w:t>
      </w:r>
    </w:p>
    <w:p w14:paraId="58025175" w14:textId="77777777" w:rsidR="001379C0" w:rsidRPr="00E25215" w:rsidRDefault="001379C0" w:rsidP="009B3E7F">
      <w:pPr>
        <w:pStyle w:val="Bibliography"/>
        <w:spacing w:before="0" w:after="0" w:line="240" w:lineRule="auto"/>
        <w:rPr>
          <w:rFonts w:cs="Times New Roman"/>
        </w:rPr>
      </w:pPr>
      <w:r w:rsidRPr="00E25215">
        <w:rPr>
          <w:rFonts w:cs="Times New Roman"/>
        </w:rPr>
        <w:lastRenderedPageBreak/>
        <w:t>Simões, K. C. C., Hay, J. D. V., Andrade, C. O. de, Júnior, O. A. de C., &amp; Gomes, R. A. T. (2014). Distribuição de cana-do-reino (</w:t>
      </w:r>
      <w:r w:rsidRPr="00E25215">
        <w:rPr>
          <w:rFonts w:cs="Times New Roman"/>
          <w:i/>
          <w:iCs/>
        </w:rPr>
        <w:t>Arundo donax</w:t>
      </w:r>
      <w:r w:rsidRPr="00E25215">
        <w:rPr>
          <w:rFonts w:cs="Times New Roman"/>
        </w:rPr>
        <w:t xml:space="preserve"> L.) no Distrito Federal, Brasil. </w:t>
      </w:r>
      <w:r w:rsidRPr="00E25215">
        <w:rPr>
          <w:rFonts w:cs="Times New Roman"/>
          <w:i/>
          <w:iCs/>
        </w:rPr>
        <w:t>Biodiversidade Brasileira</w:t>
      </w:r>
      <w:r w:rsidRPr="00E25215">
        <w:rPr>
          <w:rFonts w:cs="Times New Roman"/>
        </w:rPr>
        <w:t xml:space="preserve">, </w:t>
      </w:r>
      <w:r w:rsidRPr="00E25215">
        <w:rPr>
          <w:rFonts w:cs="Times New Roman"/>
          <w:i/>
          <w:iCs/>
        </w:rPr>
        <w:t>0</w:t>
      </w:r>
      <w:r w:rsidRPr="00E25215">
        <w:rPr>
          <w:rFonts w:cs="Times New Roman"/>
        </w:rPr>
        <w:t>(2), Article 2. https://www.icmbio.gov.br/revistaeletronica/index.php/BioBR/article/view/329</w:t>
      </w:r>
    </w:p>
    <w:p w14:paraId="6BFBD9FB" w14:textId="77777777" w:rsidR="001379C0" w:rsidRPr="00E25215" w:rsidRDefault="001379C0" w:rsidP="009B3E7F">
      <w:pPr>
        <w:pStyle w:val="Bibliography"/>
        <w:spacing w:before="0" w:after="0" w:line="240" w:lineRule="auto"/>
        <w:rPr>
          <w:rFonts w:cs="Times New Roman"/>
        </w:rPr>
      </w:pPr>
      <w:r w:rsidRPr="00E25215">
        <w:rPr>
          <w:rFonts w:cs="Times New Roman"/>
        </w:rPr>
        <w:t>Simon, R., Xie, C. H., Clausen, A., Jansky, S. H., Halterman, D., Conner, T., Knapp, S., Brundage, J., Symon, D., &amp; Spooner, D. (2010). Wild and Cultivated Potato (</w:t>
      </w:r>
      <w:r w:rsidRPr="00E25215">
        <w:rPr>
          <w:rFonts w:cs="Times New Roman"/>
          <w:i/>
          <w:iCs/>
        </w:rPr>
        <w:t>Solanum</w:t>
      </w:r>
      <w:r w:rsidRPr="00E25215">
        <w:rPr>
          <w:rFonts w:cs="Times New Roman"/>
        </w:rPr>
        <w:t xml:space="preserve"> sect. </w:t>
      </w:r>
      <w:r w:rsidRPr="00E25215">
        <w:rPr>
          <w:rFonts w:cs="Times New Roman"/>
          <w:i/>
          <w:iCs/>
        </w:rPr>
        <w:t>Petota</w:t>
      </w:r>
      <w:r w:rsidRPr="00E25215">
        <w:rPr>
          <w:rFonts w:cs="Times New Roman"/>
        </w:rPr>
        <w:t xml:space="preserve">) Escaped and Persistent Outside of its Natural Range. </w:t>
      </w:r>
      <w:r w:rsidRPr="00E25215">
        <w:rPr>
          <w:rFonts w:cs="Times New Roman"/>
          <w:i/>
          <w:iCs/>
        </w:rPr>
        <w:t>Invasive Plant Science and Management</w:t>
      </w:r>
      <w:r w:rsidRPr="00E25215">
        <w:rPr>
          <w:rFonts w:cs="Times New Roman"/>
        </w:rPr>
        <w:t xml:space="preserve">, </w:t>
      </w:r>
      <w:r w:rsidRPr="00E25215">
        <w:rPr>
          <w:rFonts w:cs="Times New Roman"/>
          <w:i/>
          <w:iCs/>
        </w:rPr>
        <w:t>3</w:t>
      </w:r>
      <w:r w:rsidRPr="00E25215">
        <w:rPr>
          <w:rFonts w:cs="Times New Roman"/>
        </w:rPr>
        <w:t>(3), 286–293. https://doi.org/10.1614/IPSM-D-09-00043.1</w:t>
      </w:r>
    </w:p>
    <w:p w14:paraId="37E66247"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Singh, R. S. (1985). </w:t>
      </w:r>
      <w:r w:rsidRPr="00E25215">
        <w:rPr>
          <w:rFonts w:cs="Times New Roman"/>
          <w:i/>
          <w:iCs/>
        </w:rPr>
        <w:t>Diseases of Vegetable Crops</w:t>
      </w:r>
      <w:r w:rsidRPr="00E25215">
        <w:rPr>
          <w:rFonts w:cs="Times New Roman"/>
        </w:rPr>
        <w:t>. Oxford &amp; IBH Publishers.</w:t>
      </w:r>
    </w:p>
    <w:p w14:paraId="1C550D72" w14:textId="77777777" w:rsidR="001379C0" w:rsidRPr="00E25215" w:rsidRDefault="001379C0" w:rsidP="009B3E7F">
      <w:pPr>
        <w:pStyle w:val="Bibliography"/>
        <w:spacing w:before="0" w:after="0" w:line="240" w:lineRule="auto"/>
        <w:rPr>
          <w:rFonts w:cs="Times New Roman"/>
        </w:rPr>
      </w:pPr>
      <w:r w:rsidRPr="00E25215">
        <w:rPr>
          <w:rFonts w:cs="Times New Roman"/>
        </w:rPr>
        <w:t>Sloane, D. R., Ens, E., Wunungmurra, Y., Gumana, Y., Wunungmurra, B., Wirrpanda, M., Towler, G., Preece, D., &amp; Rangers, Y. (2021). Lessons from old fenced plots: Eco</w:t>
      </w:r>
      <w:r w:rsidRPr="00E25215">
        <w:rPr>
          <w:rFonts w:cs="Times New Roman" w:hint="eastAsia"/>
        </w:rPr>
        <w:t>‐</w:t>
      </w:r>
      <w:r w:rsidRPr="00E25215">
        <w:rPr>
          <w:rFonts w:cs="Times New Roman"/>
        </w:rPr>
        <w:t>cultural Impacts of feral ungulates and potential decline in sea</w:t>
      </w:r>
      <w:r w:rsidRPr="00E25215">
        <w:rPr>
          <w:rFonts w:cs="Times New Roman" w:hint="eastAsia"/>
        </w:rPr>
        <w:t>‐</w:t>
      </w:r>
      <w:r w:rsidRPr="00E25215">
        <w:rPr>
          <w:rFonts w:cs="Times New Roman"/>
        </w:rPr>
        <w:t xml:space="preserve">level rise resilience of coastal floodplains in northern Australia. </w:t>
      </w:r>
      <w:r w:rsidRPr="00E25215">
        <w:rPr>
          <w:rFonts w:cs="Times New Roman"/>
          <w:i/>
          <w:iCs/>
        </w:rPr>
        <w:t>Ecological Management &amp; Restoration</w:t>
      </w:r>
      <w:r w:rsidRPr="00E25215">
        <w:rPr>
          <w:rFonts w:cs="Times New Roman"/>
        </w:rPr>
        <w:t xml:space="preserve">, </w:t>
      </w:r>
      <w:r w:rsidRPr="00E25215">
        <w:rPr>
          <w:rFonts w:cs="Times New Roman"/>
          <w:i/>
          <w:iCs/>
        </w:rPr>
        <w:t>22</w:t>
      </w:r>
      <w:r w:rsidRPr="00E25215">
        <w:rPr>
          <w:rFonts w:cs="Times New Roman"/>
        </w:rPr>
        <w:t>(2), 191–203. https://doi.org/10.1111/emr.12464</w:t>
      </w:r>
    </w:p>
    <w:p w14:paraId="05F1851E"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Smith, E. R. C., Bennion, H., Sayer, C. D., Aldridge, D. C., &amp; Owen, M. (2020). Recreational angling as a pathway for invasive non-native species spread: Awareness of biosecurity and the risk of long distance movement into Great Britain. </w:t>
      </w:r>
      <w:r w:rsidRPr="00E25215">
        <w:rPr>
          <w:rFonts w:cs="Times New Roman"/>
          <w:i/>
          <w:iCs/>
        </w:rPr>
        <w:t>Biological Invasions</w:t>
      </w:r>
      <w:r w:rsidRPr="00E25215">
        <w:rPr>
          <w:rFonts w:cs="Times New Roman"/>
        </w:rPr>
        <w:t xml:space="preserve">, </w:t>
      </w:r>
      <w:r w:rsidRPr="00E25215">
        <w:rPr>
          <w:rFonts w:cs="Times New Roman"/>
          <w:i/>
          <w:iCs/>
        </w:rPr>
        <w:t>22</w:t>
      </w:r>
      <w:r w:rsidRPr="00E25215">
        <w:rPr>
          <w:rFonts w:cs="Times New Roman"/>
        </w:rPr>
        <w:t>(3), 1135–1159. https://doi.org/10.1007/s10530-019-02169-5</w:t>
      </w:r>
    </w:p>
    <w:p w14:paraId="1D8C73F1"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Smith, H. T., &amp; Engeman, R. M. (2003). A review of the range, distribution, and ecology of the invasive northern curly-tailed lizard in Florida. </w:t>
      </w:r>
      <w:r w:rsidRPr="00E25215">
        <w:rPr>
          <w:rFonts w:cs="Times New Roman"/>
          <w:i/>
          <w:iCs/>
        </w:rPr>
        <w:t>USDA National Wildlife Research Center-Staff Publications</w:t>
      </w:r>
      <w:r w:rsidRPr="00E25215">
        <w:rPr>
          <w:rFonts w:cs="Times New Roman"/>
        </w:rPr>
        <w:t>, 218. https://doi.org/10.1111/emr.12464</w:t>
      </w:r>
    </w:p>
    <w:p w14:paraId="3048A630"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Smith, L. L., Allen, D. J., &amp; Barney, J. (2015). The thin green line: Sustainable bioenergy feedstocks or invaders in waiting. </w:t>
      </w:r>
      <w:r w:rsidRPr="00E25215">
        <w:rPr>
          <w:rFonts w:cs="Times New Roman"/>
          <w:i/>
          <w:iCs/>
        </w:rPr>
        <w:t>NeoBiota</w:t>
      </w:r>
      <w:r w:rsidRPr="00E25215">
        <w:rPr>
          <w:rFonts w:cs="Times New Roman"/>
        </w:rPr>
        <w:t xml:space="preserve">, </w:t>
      </w:r>
      <w:r w:rsidRPr="00E25215">
        <w:rPr>
          <w:rFonts w:cs="Times New Roman"/>
          <w:i/>
          <w:iCs/>
        </w:rPr>
        <w:t>25</w:t>
      </w:r>
      <w:r w:rsidRPr="00E25215">
        <w:rPr>
          <w:rFonts w:cs="Times New Roman"/>
        </w:rPr>
        <w:t>, 47.</w:t>
      </w:r>
    </w:p>
    <w:p w14:paraId="6E1C5DC5"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Smith, N. H. (2012). The global distribution and phylogeography of </w:t>
      </w:r>
      <w:r w:rsidRPr="00E25215">
        <w:rPr>
          <w:rFonts w:cs="Times New Roman"/>
          <w:i/>
          <w:iCs/>
        </w:rPr>
        <w:t>Mycobacterium bovis</w:t>
      </w:r>
      <w:r w:rsidRPr="00E25215">
        <w:rPr>
          <w:rFonts w:cs="Times New Roman"/>
        </w:rPr>
        <w:t xml:space="preserve"> clonal complexes. </w:t>
      </w:r>
      <w:r w:rsidRPr="00E25215">
        <w:rPr>
          <w:rFonts w:cs="Times New Roman"/>
          <w:i/>
          <w:iCs/>
        </w:rPr>
        <w:t>Infection, Genetics and Evolution</w:t>
      </w:r>
      <w:r w:rsidRPr="00E25215">
        <w:rPr>
          <w:rFonts w:cs="Times New Roman"/>
        </w:rPr>
        <w:t xml:space="preserve">, </w:t>
      </w:r>
      <w:r w:rsidRPr="00E25215">
        <w:rPr>
          <w:rFonts w:cs="Times New Roman"/>
          <w:i/>
          <w:iCs/>
        </w:rPr>
        <w:t>12</w:t>
      </w:r>
      <w:r w:rsidRPr="00E25215">
        <w:rPr>
          <w:rFonts w:cs="Times New Roman"/>
        </w:rPr>
        <w:t>(4), Article 4. https://doi.org/10.1016/j.meegid.2011.09.007</w:t>
      </w:r>
    </w:p>
    <w:p w14:paraId="514642B4"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Smith, P. T., Imbun, B. Y., &amp; Duarte, F. P. (2016). Impacts of a Fish Kill at Lake Kutubu, Papua New Guinea. </w:t>
      </w:r>
      <w:r w:rsidRPr="00E25215">
        <w:rPr>
          <w:rFonts w:cs="Times New Roman"/>
          <w:i/>
          <w:iCs/>
        </w:rPr>
        <w:t>Pacific Science</w:t>
      </w:r>
      <w:r w:rsidRPr="00E25215">
        <w:rPr>
          <w:rFonts w:cs="Times New Roman"/>
        </w:rPr>
        <w:t xml:space="preserve">, </w:t>
      </w:r>
      <w:r w:rsidRPr="00E25215">
        <w:rPr>
          <w:rFonts w:cs="Times New Roman"/>
          <w:i/>
          <w:iCs/>
        </w:rPr>
        <w:t>70</w:t>
      </w:r>
      <w:r w:rsidRPr="00E25215">
        <w:rPr>
          <w:rFonts w:cs="Times New Roman"/>
        </w:rPr>
        <w:t>(1), 21–33. https://doi.org/10.2984/70.1.2</w:t>
      </w:r>
    </w:p>
    <w:p w14:paraId="0F79E236" w14:textId="77777777" w:rsidR="001379C0" w:rsidRPr="00E25215" w:rsidRDefault="001379C0" w:rsidP="009B3E7F">
      <w:pPr>
        <w:pStyle w:val="Bibliography"/>
        <w:spacing w:before="0" w:after="0" w:line="240" w:lineRule="auto"/>
        <w:rPr>
          <w:rFonts w:cs="Times New Roman"/>
        </w:rPr>
      </w:pPr>
      <w:r w:rsidRPr="00E25215">
        <w:rPr>
          <w:rFonts w:cs="Times New Roman"/>
        </w:rPr>
        <w:t>Smith, S. D., Huxman, T. E., Zitzer, S. F., Charlet, T. N., Housman, D. C., Coleman, J. S., Fenstermaker, L. K., Seemann, J. R., &amp; Nowak, R. S. (2000). Elevated CO</w:t>
      </w:r>
      <w:r w:rsidRPr="00E25215">
        <w:rPr>
          <w:rFonts w:cs="Times New Roman"/>
          <w:vertAlign w:val="subscript"/>
        </w:rPr>
        <w:t>2</w:t>
      </w:r>
      <w:r w:rsidRPr="00E25215">
        <w:rPr>
          <w:rFonts w:cs="Times New Roman"/>
        </w:rPr>
        <w:t xml:space="preserve"> increases productivity and invasive species success in an arid ecosystem. </w:t>
      </w:r>
      <w:r w:rsidRPr="00E25215">
        <w:rPr>
          <w:rFonts w:cs="Times New Roman"/>
          <w:i/>
          <w:iCs/>
        </w:rPr>
        <w:t>Nature</w:t>
      </w:r>
      <w:r w:rsidRPr="00E25215">
        <w:rPr>
          <w:rFonts w:cs="Times New Roman"/>
        </w:rPr>
        <w:t xml:space="preserve">, </w:t>
      </w:r>
      <w:r w:rsidRPr="00E25215">
        <w:rPr>
          <w:rFonts w:cs="Times New Roman"/>
          <w:i/>
          <w:iCs/>
        </w:rPr>
        <w:t>408</w:t>
      </w:r>
      <w:r w:rsidRPr="00E25215">
        <w:rPr>
          <w:rFonts w:cs="Times New Roman"/>
        </w:rPr>
        <w:t>(6808), 79–82. https://doi.org/10.1038/35040544</w:t>
      </w:r>
    </w:p>
    <w:p w14:paraId="51E7FDE5"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Smyser, T. J., Tabak, M. A., Slootmaker, C., Robeson, M. S., Miller, R. S., Bosse, M., Megens, H.-J., Groenen, M. A. M., Paiva, S. R., Faria, D. A. de, Blackburn, H. D., Schmit, B. S., &amp; Piaggio, A. J. (2020). Mixed ancestry from wild and domestic lineages contributes to the rapid expansion of invasive feral swine. </w:t>
      </w:r>
      <w:r w:rsidRPr="00E25215">
        <w:rPr>
          <w:rFonts w:cs="Times New Roman"/>
          <w:i/>
          <w:iCs/>
        </w:rPr>
        <w:t>Molecular Ecology</w:t>
      </w:r>
      <w:r w:rsidRPr="00E25215">
        <w:rPr>
          <w:rFonts w:cs="Times New Roman"/>
        </w:rPr>
        <w:t xml:space="preserve">, </w:t>
      </w:r>
      <w:r w:rsidRPr="00E25215">
        <w:rPr>
          <w:rFonts w:cs="Times New Roman"/>
          <w:i/>
          <w:iCs/>
        </w:rPr>
        <w:t>29</w:t>
      </w:r>
      <w:r w:rsidRPr="00E25215">
        <w:rPr>
          <w:rFonts w:cs="Times New Roman"/>
        </w:rPr>
        <w:t>(6), 1103–1119. https://doi.org/10.1111/mec.15392</w:t>
      </w:r>
    </w:p>
    <w:p w14:paraId="4C041095"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Snyder, M. R., Stepien, C. A., Marshall, N. T., Scheppler, H. B., Black, C. L., &amp; Czajkowski, K. P. (2020). Detecting aquatic invasive species in bait and pond stores with targeted environmental (e)DNA high-throughput sequencing metabarcode assays: Angler, retailer, and manager implications. </w:t>
      </w:r>
      <w:r w:rsidRPr="00E25215">
        <w:rPr>
          <w:rFonts w:cs="Times New Roman"/>
          <w:i/>
          <w:iCs/>
        </w:rPr>
        <w:t>Biological Conservation</w:t>
      </w:r>
      <w:r w:rsidRPr="00E25215">
        <w:rPr>
          <w:rFonts w:cs="Times New Roman"/>
        </w:rPr>
        <w:t xml:space="preserve">, </w:t>
      </w:r>
      <w:r w:rsidRPr="00E25215">
        <w:rPr>
          <w:rFonts w:cs="Times New Roman"/>
          <w:i/>
          <w:iCs/>
        </w:rPr>
        <w:t>245</w:t>
      </w:r>
      <w:r w:rsidRPr="00E25215">
        <w:rPr>
          <w:rFonts w:cs="Times New Roman"/>
        </w:rPr>
        <w:t>, 108430. https://doi.org/10.1016/j.biocon.2020.108430</w:t>
      </w:r>
    </w:p>
    <w:p w14:paraId="52FD0E87"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Snyder, W. E., &amp; Evans, E. W. (2006). Ecological Effects of Invasive Arthropod Generalist Predators. </w:t>
      </w:r>
      <w:r w:rsidRPr="00E25215">
        <w:rPr>
          <w:rFonts w:cs="Times New Roman"/>
          <w:i/>
          <w:iCs/>
        </w:rPr>
        <w:t>Annual Review of Ecology, Evolution, and Systematics</w:t>
      </w:r>
      <w:r w:rsidRPr="00E25215">
        <w:rPr>
          <w:rFonts w:cs="Times New Roman"/>
        </w:rPr>
        <w:t xml:space="preserve">, </w:t>
      </w:r>
      <w:r w:rsidRPr="00E25215">
        <w:rPr>
          <w:rFonts w:cs="Times New Roman"/>
          <w:i/>
          <w:iCs/>
        </w:rPr>
        <w:t>37</w:t>
      </w:r>
      <w:r w:rsidRPr="00E25215">
        <w:rPr>
          <w:rFonts w:cs="Times New Roman"/>
        </w:rPr>
        <w:t>(1), 95–122. https://doi.org/10.1146/annurev.ecolsys.37.091305.110107</w:t>
      </w:r>
    </w:p>
    <w:p w14:paraId="5123282F"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Sodhi, N. S., Koh, L. P., Clements, R., Wanger, T. C., Hill, J. K., Hamer, K. C., Clough, Y., Tscharntke, T., Posa, M. R. C., &amp; Lee, T. M. (2010). Conserving Southeast Asian forest biodiversity in human-modified landscapes. </w:t>
      </w:r>
      <w:r w:rsidRPr="00E25215">
        <w:rPr>
          <w:rFonts w:cs="Times New Roman"/>
          <w:i/>
          <w:iCs/>
        </w:rPr>
        <w:t>Biological Conservation</w:t>
      </w:r>
      <w:r w:rsidRPr="00E25215">
        <w:rPr>
          <w:rFonts w:cs="Times New Roman"/>
        </w:rPr>
        <w:t xml:space="preserve">, </w:t>
      </w:r>
      <w:r w:rsidRPr="00E25215">
        <w:rPr>
          <w:rFonts w:cs="Times New Roman"/>
          <w:i/>
          <w:iCs/>
        </w:rPr>
        <w:t>143</w:t>
      </w:r>
      <w:r w:rsidRPr="00E25215">
        <w:rPr>
          <w:rFonts w:cs="Times New Roman"/>
        </w:rPr>
        <w:t>(10), 2375–2384. https://doi.org/10.1016/j.biocon.2009.12.029</w:t>
      </w:r>
    </w:p>
    <w:p w14:paraId="4CC9766E"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Solberg, M. F., Robertsen, G., Sundt-Hansen, L. E., Hindar, K., &amp; Glover, K. A. (2020). Domestication leads to increased predation susceptibility. </w:t>
      </w:r>
      <w:r w:rsidRPr="00E25215">
        <w:rPr>
          <w:rFonts w:cs="Times New Roman"/>
          <w:i/>
          <w:iCs/>
        </w:rPr>
        <w:t>Scientific Reports</w:t>
      </w:r>
      <w:r w:rsidRPr="00E25215">
        <w:rPr>
          <w:rFonts w:cs="Times New Roman"/>
        </w:rPr>
        <w:t xml:space="preserve">, </w:t>
      </w:r>
      <w:r w:rsidRPr="00E25215">
        <w:rPr>
          <w:rFonts w:cs="Times New Roman"/>
          <w:i/>
          <w:iCs/>
        </w:rPr>
        <w:t>10</w:t>
      </w:r>
      <w:r w:rsidRPr="00E25215">
        <w:rPr>
          <w:rFonts w:cs="Times New Roman"/>
        </w:rPr>
        <w:t>(1), 1929. https://doi.org/10.1038/s41598-020-58661-9</w:t>
      </w:r>
    </w:p>
    <w:p w14:paraId="67D12E41" w14:textId="77777777" w:rsidR="001379C0" w:rsidRPr="00E25215" w:rsidRDefault="001379C0" w:rsidP="009B3E7F">
      <w:pPr>
        <w:pStyle w:val="Bibliography"/>
        <w:spacing w:before="0" w:after="0" w:line="240" w:lineRule="auto"/>
        <w:rPr>
          <w:rFonts w:cs="Times New Roman"/>
        </w:rPr>
      </w:pPr>
      <w:r w:rsidRPr="00E25215">
        <w:rPr>
          <w:rFonts w:cs="Times New Roman"/>
        </w:rPr>
        <w:lastRenderedPageBreak/>
        <w:t xml:space="preserve">Somarakis, S., Pavlidis, M., Saapoglou, C., Tsigenopoulos, C. S., &amp; Dempster, T. (2013). Evidence for ‘escape through spawning’in large gilthead sea bream </w:t>
      </w:r>
      <w:r w:rsidRPr="00E25215">
        <w:rPr>
          <w:rFonts w:cs="Times New Roman"/>
          <w:i/>
          <w:iCs/>
        </w:rPr>
        <w:t>Sparus aurata</w:t>
      </w:r>
      <w:r w:rsidRPr="00E25215">
        <w:rPr>
          <w:rFonts w:cs="Times New Roman"/>
        </w:rPr>
        <w:t xml:space="preserve"> reared in commercial sea-cages. </w:t>
      </w:r>
      <w:r w:rsidRPr="00E25215">
        <w:rPr>
          <w:rFonts w:cs="Times New Roman"/>
          <w:i/>
          <w:iCs/>
        </w:rPr>
        <w:t>Aquaculture Environment Interactions</w:t>
      </w:r>
      <w:r w:rsidRPr="00E25215">
        <w:rPr>
          <w:rFonts w:cs="Times New Roman"/>
        </w:rPr>
        <w:t xml:space="preserve">, </w:t>
      </w:r>
      <w:r w:rsidRPr="00E25215">
        <w:rPr>
          <w:rFonts w:cs="Times New Roman"/>
          <w:i/>
          <w:iCs/>
        </w:rPr>
        <w:t>3</w:t>
      </w:r>
      <w:r w:rsidRPr="00E25215">
        <w:rPr>
          <w:rFonts w:cs="Times New Roman"/>
        </w:rPr>
        <w:t>(2), 135–152. https://doi.org/10.3354/aei00057</w:t>
      </w:r>
    </w:p>
    <w:p w14:paraId="5EE85AB7"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Sonter, L. J., Moran, C. J., Barrett, D. J., &amp; Soares-Filho, B. S. (2014). Processes of land use change in mining regions. </w:t>
      </w:r>
      <w:r w:rsidRPr="00E25215">
        <w:rPr>
          <w:rFonts w:cs="Times New Roman"/>
          <w:i/>
          <w:iCs/>
        </w:rPr>
        <w:t>Journal of Cleaner Production</w:t>
      </w:r>
      <w:r w:rsidRPr="00E25215">
        <w:rPr>
          <w:rFonts w:cs="Times New Roman"/>
        </w:rPr>
        <w:t xml:space="preserve">, </w:t>
      </w:r>
      <w:r w:rsidRPr="00E25215">
        <w:rPr>
          <w:rFonts w:cs="Times New Roman"/>
          <w:i/>
          <w:iCs/>
        </w:rPr>
        <w:t>84</w:t>
      </w:r>
      <w:r w:rsidRPr="00E25215">
        <w:rPr>
          <w:rFonts w:cs="Times New Roman"/>
        </w:rPr>
        <w:t>, 494–501. https://doi.org/10.1016/j.jclepro.2014.03.084</w:t>
      </w:r>
    </w:p>
    <w:p w14:paraId="12ECF5ED"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Soon, J. M., &amp; Manning, L. (2018). Food smuggling and trafficking: The key factors of influence. </w:t>
      </w:r>
      <w:r w:rsidRPr="00E25215">
        <w:rPr>
          <w:rFonts w:cs="Times New Roman"/>
          <w:i/>
          <w:iCs/>
        </w:rPr>
        <w:t>Trends in Food Science &amp; Technology</w:t>
      </w:r>
      <w:r w:rsidRPr="00E25215">
        <w:rPr>
          <w:rFonts w:cs="Times New Roman"/>
        </w:rPr>
        <w:t xml:space="preserve">, </w:t>
      </w:r>
      <w:r w:rsidRPr="00E25215">
        <w:rPr>
          <w:rFonts w:cs="Times New Roman"/>
          <w:i/>
          <w:iCs/>
        </w:rPr>
        <w:t>81</w:t>
      </w:r>
      <w:r w:rsidRPr="00E25215">
        <w:rPr>
          <w:rFonts w:cs="Times New Roman"/>
        </w:rPr>
        <w:t>, 132–138. https://doi.org/10.1016/j.tifs.2018.09.007</w:t>
      </w:r>
    </w:p>
    <w:p w14:paraId="27A3379A"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Souza-Alonso, P., Rodríguez, J., González, L., &amp; Lorenzo, P. (2017). Here to stay. Recent advances and perspectives about </w:t>
      </w:r>
      <w:r w:rsidRPr="00E25215">
        <w:rPr>
          <w:rFonts w:cs="Times New Roman"/>
          <w:i/>
          <w:iCs/>
        </w:rPr>
        <w:t>Acacia</w:t>
      </w:r>
      <w:r w:rsidRPr="00E25215">
        <w:rPr>
          <w:rFonts w:cs="Times New Roman"/>
        </w:rPr>
        <w:t xml:space="preserve"> invasion in Mediterranean areas. </w:t>
      </w:r>
      <w:r w:rsidRPr="00E25215">
        <w:rPr>
          <w:rFonts w:cs="Times New Roman"/>
          <w:i/>
          <w:iCs/>
        </w:rPr>
        <w:t>Annals of Forest Science</w:t>
      </w:r>
      <w:r w:rsidRPr="00E25215">
        <w:rPr>
          <w:rFonts w:cs="Times New Roman"/>
        </w:rPr>
        <w:t xml:space="preserve">, </w:t>
      </w:r>
      <w:r w:rsidRPr="00E25215">
        <w:rPr>
          <w:rFonts w:cs="Times New Roman"/>
          <w:i/>
          <w:iCs/>
        </w:rPr>
        <w:t>74</w:t>
      </w:r>
      <w:r w:rsidRPr="00E25215">
        <w:rPr>
          <w:rFonts w:cs="Times New Roman"/>
        </w:rPr>
        <w:t>(3), 55. https://doi.org/10.1007/s13595-017-0651-0</w:t>
      </w:r>
    </w:p>
    <w:p w14:paraId="3B98D2C2"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Space, J. C., &amp; Flynn, T. (2001). </w:t>
      </w:r>
      <w:r w:rsidRPr="00E25215">
        <w:rPr>
          <w:rFonts w:cs="Times New Roman"/>
          <w:i/>
          <w:iCs/>
        </w:rPr>
        <w:t>Report to the Kingdom of Tonga on Invasive Plant Species of Environmental Concern</w:t>
      </w:r>
      <w:r w:rsidRPr="00E25215">
        <w:rPr>
          <w:rFonts w:cs="Times New Roman"/>
        </w:rPr>
        <w:t xml:space="preserve"> (p. 79). U.S.D.A. Forest Service, Pacific Southwest Research Station Institute of Pacific Islands Forestry Honolulu, Hawai‘i, USA. http://hear.org/pier/pdf/tonga_report.pdf</w:t>
      </w:r>
    </w:p>
    <w:p w14:paraId="70DA1EB6"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Spear, D., &amp; Chown, S. L. (2009). The extent and impacts of ungulate translocations: South Africa in a global context. </w:t>
      </w:r>
      <w:r w:rsidRPr="00E25215">
        <w:rPr>
          <w:rFonts w:cs="Times New Roman"/>
          <w:i/>
          <w:iCs/>
        </w:rPr>
        <w:t>Biological Conservation</w:t>
      </w:r>
      <w:r w:rsidRPr="00E25215">
        <w:rPr>
          <w:rFonts w:cs="Times New Roman"/>
        </w:rPr>
        <w:t xml:space="preserve">, </w:t>
      </w:r>
      <w:r w:rsidRPr="00E25215">
        <w:rPr>
          <w:rFonts w:cs="Times New Roman"/>
          <w:i/>
          <w:iCs/>
        </w:rPr>
        <w:t>142</w:t>
      </w:r>
      <w:r w:rsidRPr="00E25215">
        <w:rPr>
          <w:rFonts w:cs="Times New Roman"/>
        </w:rPr>
        <w:t>(2), 353–363. https://doi.org/10.1016/j.biocon.2008.10.031</w:t>
      </w:r>
    </w:p>
    <w:p w14:paraId="7AD91BD5"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Spear, D., Foxcroft, L. C., Bezuidenhout, H., &amp; McGeoch, M. A. (2013). Human population density explains alien species richness in protected areas. </w:t>
      </w:r>
      <w:r w:rsidRPr="00E25215">
        <w:rPr>
          <w:rFonts w:cs="Times New Roman"/>
          <w:i/>
          <w:iCs/>
        </w:rPr>
        <w:t>Biological Conservation</w:t>
      </w:r>
      <w:r w:rsidRPr="00E25215">
        <w:rPr>
          <w:rFonts w:cs="Times New Roman"/>
        </w:rPr>
        <w:t xml:space="preserve">, </w:t>
      </w:r>
      <w:r w:rsidRPr="00E25215">
        <w:rPr>
          <w:rFonts w:cs="Times New Roman"/>
          <w:i/>
          <w:iCs/>
        </w:rPr>
        <w:t>159</w:t>
      </w:r>
      <w:r w:rsidRPr="00E25215">
        <w:rPr>
          <w:rFonts w:cs="Times New Roman"/>
        </w:rPr>
        <w:t>, 137–147. https://doi.org/10.1016/j.biocon.2012.11.022</w:t>
      </w:r>
    </w:p>
    <w:p w14:paraId="760DB3FC"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Spooner, P. G. (2015). Minor rural road networks: Values, challenges, and opportunities for biodiversity conservation. </w:t>
      </w:r>
      <w:r w:rsidRPr="00E25215">
        <w:rPr>
          <w:rFonts w:cs="Times New Roman"/>
          <w:i/>
          <w:iCs/>
        </w:rPr>
        <w:t>Nature Conservation</w:t>
      </w:r>
      <w:r w:rsidRPr="00E25215">
        <w:rPr>
          <w:rFonts w:cs="Times New Roman"/>
        </w:rPr>
        <w:t xml:space="preserve">, </w:t>
      </w:r>
      <w:r w:rsidRPr="00E25215">
        <w:rPr>
          <w:rFonts w:cs="Times New Roman"/>
          <w:i/>
          <w:iCs/>
        </w:rPr>
        <w:t>11</w:t>
      </w:r>
      <w:r w:rsidRPr="00E25215">
        <w:rPr>
          <w:rFonts w:cs="Times New Roman"/>
        </w:rPr>
        <w:t>, 129–142. https://doi.org/10.3897/natureconservation.11.4434</w:t>
      </w:r>
    </w:p>
    <w:p w14:paraId="06BEC343"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Squires, V. R., &amp; Glenn, E. P. (2011). Salination, Desertification, and Soil Erosion. </w:t>
      </w:r>
      <w:r w:rsidRPr="00E25215">
        <w:rPr>
          <w:rFonts w:cs="Times New Roman"/>
          <w:i/>
          <w:iCs/>
        </w:rPr>
        <w:t>EOLSS Publications</w:t>
      </w:r>
      <w:r w:rsidRPr="00E25215">
        <w:rPr>
          <w:rFonts w:cs="Times New Roman"/>
        </w:rPr>
        <w:t xml:space="preserve">, </w:t>
      </w:r>
      <w:r w:rsidRPr="00E25215">
        <w:rPr>
          <w:rFonts w:cs="Times New Roman"/>
          <w:i/>
          <w:iCs/>
        </w:rPr>
        <w:t>3</w:t>
      </w:r>
      <w:r w:rsidRPr="00E25215">
        <w:rPr>
          <w:rFonts w:cs="Times New Roman"/>
        </w:rPr>
        <w:t>, 9. https://www.eolss.net/sample-chapters/C10/E5-01A-04-05.pdf</w:t>
      </w:r>
    </w:p>
    <w:p w14:paraId="5F55866E"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Sritrairat, S., Peteet, D. M., Kenna, T. C., Sambrotto, R., Kurdyla, D., &amp; Guilderson, T. (2012). A history of vegetation, sediment and nutrient dynamics at Tivoli North Bay, Hudson Estuary, New York. </w:t>
      </w:r>
      <w:r w:rsidRPr="00E25215">
        <w:rPr>
          <w:rFonts w:cs="Times New Roman"/>
          <w:i/>
          <w:iCs/>
        </w:rPr>
        <w:t>Estuarine, Coastal and Shelf Science</w:t>
      </w:r>
      <w:r w:rsidRPr="00E25215">
        <w:rPr>
          <w:rFonts w:cs="Times New Roman"/>
        </w:rPr>
        <w:t xml:space="preserve">, </w:t>
      </w:r>
      <w:r w:rsidRPr="00E25215">
        <w:rPr>
          <w:rFonts w:cs="Times New Roman"/>
          <w:i/>
          <w:iCs/>
        </w:rPr>
        <w:t>102–103</w:t>
      </w:r>
      <w:r w:rsidRPr="00E25215">
        <w:rPr>
          <w:rFonts w:cs="Times New Roman"/>
        </w:rPr>
        <w:t>, 24–35. https://doi.org/10.1016/j.ecss.2012.03.003</w:t>
      </w:r>
    </w:p>
    <w:p w14:paraId="6F13006D"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St. Clair, S. B., O’Connor, R., Gill, R., &amp; McMillan, B. (2016). Biotic resistance and disturbance: Rodent consumers regulate post-fire plant invasions and increase plant community diversity. </w:t>
      </w:r>
      <w:r w:rsidRPr="00E25215">
        <w:rPr>
          <w:rFonts w:cs="Times New Roman"/>
          <w:i/>
          <w:iCs/>
        </w:rPr>
        <w:t>Ecology</w:t>
      </w:r>
      <w:r w:rsidRPr="00E25215">
        <w:rPr>
          <w:rFonts w:cs="Times New Roman"/>
        </w:rPr>
        <w:t xml:space="preserve">, </w:t>
      </w:r>
      <w:r w:rsidRPr="00E25215">
        <w:rPr>
          <w:rFonts w:cs="Times New Roman"/>
          <w:i/>
          <w:iCs/>
        </w:rPr>
        <w:t>97</w:t>
      </w:r>
      <w:r w:rsidRPr="00E25215">
        <w:rPr>
          <w:rFonts w:cs="Times New Roman"/>
        </w:rPr>
        <w:t>(7), 1700–1711. https://doi.org/10.1002/ecy.1391</w:t>
      </w:r>
    </w:p>
    <w:p w14:paraId="470446F7"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Steffen, W., Broadgate, W., Deutsch, L., Gaffney, O., &amp; Ludwig, C. (2015). The trajectory of the Anthropocene: The Great Acceleration. </w:t>
      </w:r>
      <w:r w:rsidRPr="00E25215">
        <w:rPr>
          <w:rFonts w:cs="Times New Roman"/>
          <w:i/>
          <w:iCs/>
        </w:rPr>
        <w:t>The Anthropocene Review</w:t>
      </w:r>
      <w:r w:rsidRPr="00E25215">
        <w:rPr>
          <w:rFonts w:cs="Times New Roman"/>
        </w:rPr>
        <w:t xml:space="preserve">, </w:t>
      </w:r>
      <w:r w:rsidRPr="00E25215">
        <w:rPr>
          <w:rFonts w:cs="Times New Roman"/>
          <w:i/>
          <w:iCs/>
        </w:rPr>
        <w:t>2</w:t>
      </w:r>
      <w:r w:rsidRPr="00E25215">
        <w:rPr>
          <w:rFonts w:cs="Times New Roman"/>
        </w:rPr>
        <w:t>(1), 81–98. https://doi.org/10.1177/2053019614564785</w:t>
      </w:r>
    </w:p>
    <w:p w14:paraId="0A2344D4"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Stentiford, G. D., &amp; Lightner, D. V. (2011). Cases of White Spot Disease (WSD) in European shrimp farms. </w:t>
      </w:r>
      <w:r w:rsidRPr="00E25215">
        <w:rPr>
          <w:rFonts w:cs="Times New Roman"/>
          <w:i/>
          <w:iCs/>
        </w:rPr>
        <w:t>Aquaculture</w:t>
      </w:r>
      <w:r w:rsidRPr="00E25215">
        <w:rPr>
          <w:rFonts w:cs="Times New Roman"/>
        </w:rPr>
        <w:t xml:space="preserve">, </w:t>
      </w:r>
      <w:r w:rsidRPr="00E25215">
        <w:rPr>
          <w:rFonts w:cs="Times New Roman"/>
          <w:i/>
          <w:iCs/>
        </w:rPr>
        <w:t>319</w:t>
      </w:r>
      <w:r w:rsidRPr="00E25215">
        <w:rPr>
          <w:rFonts w:cs="Times New Roman"/>
        </w:rPr>
        <w:t>(1), 302–306. https://doi.org/10.1016/j.aquaculture.2011.06.032</w:t>
      </w:r>
    </w:p>
    <w:p w14:paraId="06143D5B"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Stephens, A. E. A., Kriticos, D. J., &amp; Leriche, A. (2007). The current and future potential geographical distribution of the oriental fruit fly, </w:t>
      </w:r>
      <w:r w:rsidRPr="00E25215">
        <w:rPr>
          <w:rFonts w:cs="Times New Roman"/>
          <w:i/>
          <w:iCs/>
        </w:rPr>
        <w:t>Bactrocera dorsalis</w:t>
      </w:r>
      <w:r w:rsidRPr="00E25215">
        <w:rPr>
          <w:rFonts w:cs="Times New Roman"/>
        </w:rPr>
        <w:t xml:space="preserve"> (Diptera: Tephritidae). </w:t>
      </w:r>
      <w:r w:rsidRPr="00E25215">
        <w:rPr>
          <w:rFonts w:cs="Times New Roman"/>
          <w:i/>
          <w:iCs/>
        </w:rPr>
        <w:t>Bulletin of Entomological Research</w:t>
      </w:r>
      <w:r w:rsidRPr="00E25215">
        <w:rPr>
          <w:rFonts w:cs="Times New Roman"/>
        </w:rPr>
        <w:t xml:space="preserve">, </w:t>
      </w:r>
      <w:r w:rsidRPr="00E25215">
        <w:rPr>
          <w:rFonts w:cs="Times New Roman"/>
          <w:i/>
          <w:iCs/>
        </w:rPr>
        <w:t>97</w:t>
      </w:r>
      <w:r w:rsidRPr="00E25215">
        <w:rPr>
          <w:rFonts w:cs="Times New Roman"/>
        </w:rPr>
        <w:t>(4), 369–378. https://doi.org/10.1017/S0007485307005044</w:t>
      </w:r>
    </w:p>
    <w:p w14:paraId="51827259"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Stevens, C. J. (2019). Nitrogen in the environment. </w:t>
      </w:r>
      <w:r w:rsidRPr="00E25215">
        <w:rPr>
          <w:rFonts w:cs="Times New Roman"/>
          <w:i/>
          <w:iCs/>
        </w:rPr>
        <w:t>Science</w:t>
      </w:r>
      <w:r w:rsidRPr="00E25215">
        <w:rPr>
          <w:rFonts w:cs="Times New Roman"/>
        </w:rPr>
        <w:t xml:space="preserve">, </w:t>
      </w:r>
      <w:r w:rsidRPr="00E25215">
        <w:rPr>
          <w:rFonts w:cs="Times New Roman"/>
          <w:i/>
          <w:iCs/>
        </w:rPr>
        <w:t>363</w:t>
      </w:r>
      <w:r w:rsidRPr="00E25215">
        <w:rPr>
          <w:rFonts w:cs="Times New Roman"/>
        </w:rPr>
        <w:t>(6427), 578–580. https://doi.org/10.1126/science.aav8215</w:t>
      </w:r>
    </w:p>
    <w:p w14:paraId="14699335"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Stilley, J. A., &amp; Gabler, C. A. (2021). Effects of Patch Size, Fragmentation, and Invasive Species on Plant and Lepidoptera Communities in Southern Texas. </w:t>
      </w:r>
      <w:r w:rsidRPr="00E25215">
        <w:rPr>
          <w:rFonts w:cs="Times New Roman"/>
          <w:i/>
          <w:iCs/>
        </w:rPr>
        <w:t>Insects</w:t>
      </w:r>
      <w:r w:rsidRPr="00E25215">
        <w:rPr>
          <w:rFonts w:cs="Times New Roman"/>
        </w:rPr>
        <w:t xml:space="preserve">, </w:t>
      </w:r>
      <w:r w:rsidRPr="00E25215">
        <w:rPr>
          <w:rFonts w:cs="Times New Roman"/>
          <w:i/>
          <w:iCs/>
        </w:rPr>
        <w:t>12</w:t>
      </w:r>
      <w:r w:rsidRPr="00E25215">
        <w:rPr>
          <w:rFonts w:cs="Times New Roman"/>
        </w:rPr>
        <w:t>(9), 777. https://doi.org/10.3390/insects12090777</w:t>
      </w:r>
    </w:p>
    <w:p w14:paraId="314107AF"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Stuart-Smith, R. D., Edgar, G. J., Stuart-Smith, J. F., Barrett, N. S., Fowles, A. E., Hill, N. A., Cooper, A. T., Myers, A. P., Oh, E. S., Pocklington, J. B., &amp; Thomson, R. J. (2015). Loss of </w:t>
      </w:r>
      <w:r w:rsidRPr="00E25215">
        <w:rPr>
          <w:rFonts w:cs="Times New Roman"/>
        </w:rPr>
        <w:lastRenderedPageBreak/>
        <w:t xml:space="preserve">native rocky reef biodiversity in Australian metropolitan embayments. </w:t>
      </w:r>
      <w:r w:rsidRPr="00E25215">
        <w:rPr>
          <w:rFonts w:cs="Times New Roman"/>
          <w:i/>
          <w:iCs/>
        </w:rPr>
        <w:t>Marine Pollution Bulletin</w:t>
      </w:r>
      <w:r w:rsidRPr="00E25215">
        <w:rPr>
          <w:rFonts w:cs="Times New Roman"/>
        </w:rPr>
        <w:t xml:space="preserve">, </w:t>
      </w:r>
      <w:r w:rsidRPr="00E25215">
        <w:rPr>
          <w:rFonts w:cs="Times New Roman"/>
          <w:i/>
          <w:iCs/>
        </w:rPr>
        <w:t>95</w:t>
      </w:r>
      <w:r w:rsidRPr="00E25215">
        <w:rPr>
          <w:rFonts w:cs="Times New Roman"/>
        </w:rPr>
        <w:t>(1), 324–332. https://doi.org/10.1016/j.marpolbul.2015.03.023</w:t>
      </w:r>
    </w:p>
    <w:p w14:paraId="26D09D97"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Suárez-Esteban, A., Fahrig, L., Delibes, M., &amp; Fedriani, J. M. (2016). Can anthropogenic linear gaps increase plant abundance and diversity? </w:t>
      </w:r>
      <w:r w:rsidRPr="00E25215">
        <w:rPr>
          <w:rFonts w:cs="Times New Roman"/>
          <w:i/>
          <w:iCs/>
        </w:rPr>
        <w:t>Landscape Ecology</w:t>
      </w:r>
      <w:r w:rsidRPr="00E25215">
        <w:rPr>
          <w:rFonts w:cs="Times New Roman"/>
        </w:rPr>
        <w:t xml:space="preserve">, </w:t>
      </w:r>
      <w:r w:rsidRPr="00E25215">
        <w:rPr>
          <w:rFonts w:cs="Times New Roman"/>
          <w:i/>
          <w:iCs/>
        </w:rPr>
        <w:t>31</w:t>
      </w:r>
      <w:r w:rsidRPr="00E25215">
        <w:rPr>
          <w:rFonts w:cs="Times New Roman"/>
        </w:rPr>
        <w:t>(4), 721–729. https://doi.org/10.1007/s10980-015-0329-7</w:t>
      </w:r>
    </w:p>
    <w:p w14:paraId="2C3A7B9B"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Subbarao, K. V., Sundin, G. W., &amp; Klosterman, S. J. (2015). Focus Issue Articles on Emerging and Re-Emerging Plant Diseases. </w:t>
      </w:r>
      <w:r w:rsidRPr="00E25215">
        <w:rPr>
          <w:rFonts w:cs="Times New Roman"/>
          <w:i/>
          <w:iCs/>
        </w:rPr>
        <w:t>Phytopathology</w:t>
      </w:r>
      <w:r w:rsidRPr="00E25215">
        <w:rPr>
          <w:rFonts w:cs="Times New Roman"/>
          <w:i/>
          <w:iCs/>
          <w:vertAlign w:val="superscript"/>
        </w:rPr>
        <w:t>TM</w:t>
      </w:r>
      <w:r w:rsidRPr="00E25215">
        <w:rPr>
          <w:rFonts w:cs="Times New Roman"/>
        </w:rPr>
        <w:t xml:space="preserve">, </w:t>
      </w:r>
      <w:r w:rsidRPr="00E25215">
        <w:rPr>
          <w:rFonts w:cs="Times New Roman"/>
          <w:i/>
          <w:iCs/>
        </w:rPr>
        <w:t>105</w:t>
      </w:r>
      <w:r w:rsidRPr="00E25215">
        <w:rPr>
          <w:rFonts w:cs="Times New Roman"/>
        </w:rPr>
        <w:t>(7), 852–854. https://doi.org/10.1094/PHYTO-105-7-0001</w:t>
      </w:r>
    </w:p>
    <w:p w14:paraId="5AA4A34D"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Suckling, D. M., &amp; Sforza, R. F. H. (2014). What Magnitude Are Observed Non-Target Impacts from Weed Biocontrol? </w:t>
      </w:r>
      <w:r w:rsidRPr="00E25215">
        <w:rPr>
          <w:rFonts w:cs="Times New Roman"/>
          <w:i/>
          <w:iCs/>
        </w:rPr>
        <w:t>PLoS ONE</w:t>
      </w:r>
      <w:r w:rsidRPr="00E25215">
        <w:rPr>
          <w:rFonts w:cs="Times New Roman"/>
        </w:rPr>
        <w:t xml:space="preserve">, </w:t>
      </w:r>
      <w:r w:rsidRPr="00E25215">
        <w:rPr>
          <w:rFonts w:cs="Times New Roman"/>
          <w:i/>
          <w:iCs/>
        </w:rPr>
        <w:t>9</w:t>
      </w:r>
      <w:r w:rsidRPr="00E25215">
        <w:rPr>
          <w:rFonts w:cs="Times New Roman"/>
        </w:rPr>
        <w:t>(1), e84847. https://doi.org/10.1371/journal.pone.0084847</w:t>
      </w:r>
    </w:p>
    <w:p w14:paraId="7919B170"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Sullivan, J. J., Williams, P. A., Timmins, S. M., &amp; Smale, M. C. (2009). Distribution and spread of environmental weeds along New Zealand roadsides. </w:t>
      </w:r>
      <w:r w:rsidRPr="00E25215">
        <w:rPr>
          <w:rFonts w:cs="Times New Roman"/>
          <w:i/>
          <w:iCs/>
        </w:rPr>
        <w:t>New Zealand Journal of Ecology</w:t>
      </w:r>
      <w:r w:rsidRPr="00E25215">
        <w:rPr>
          <w:rFonts w:cs="Times New Roman"/>
        </w:rPr>
        <w:t xml:space="preserve">, </w:t>
      </w:r>
      <w:r w:rsidRPr="00E25215">
        <w:rPr>
          <w:rFonts w:cs="Times New Roman"/>
          <w:i/>
          <w:iCs/>
        </w:rPr>
        <w:t>33</w:t>
      </w:r>
      <w:r w:rsidRPr="00E25215">
        <w:rPr>
          <w:rFonts w:cs="Times New Roman"/>
        </w:rPr>
        <w:t>(2), 190–204. https://researcharchive.lincoln.ac.nz/handle/10182/4962</w:t>
      </w:r>
    </w:p>
    <w:p w14:paraId="69B9082D"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Svenning, J.-C., &amp; Sandel, B. (2013). Disequilibrium Vegetation Dynamics Under Future Climate Change. </w:t>
      </w:r>
      <w:r w:rsidRPr="00E25215">
        <w:rPr>
          <w:rFonts w:cs="Times New Roman"/>
          <w:i/>
          <w:iCs/>
        </w:rPr>
        <w:t>American Journal of Botany</w:t>
      </w:r>
      <w:r w:rsidRPr="00E25215">
        <w:rPr>
          <w:rFonts w:cs="Times New Roman"/>
        </w:rPr>
        <w:t xml:space="preserve">, </w:t>
      </w:r>
      <w:r w:rsidRPr="00E25215">
        <w:rPr>
          <w:rFonts w:cs="Times New Roman"/>
          <w:i/>
          <w:iCs/>
        </w:rPr>
        <w:t>100</w:t>
      </w:r>
      <w:r w:rsidRPr="00E25215">
        <w:rPr>
          <w:rFonts w:cs="Times New Roman"/>
        </w:rPr>
        <w:t>(7), 1266–1286. https://doi.org/10.3732/ajb.1200469</w:t>
      </w:r>
    </w:p>
    <w:p w14:paraId="7A7B952A"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Tabarelli, M., Lopes, A. V., &amp; Peres, C. A. (2008). Edge-effects Drive Tropical Forest Fragments Towards an Early-Successional System. </w:t>
      </w:r>
      <w:r w:rsidRPr="00E25215">
        <w:rPr>
          <w:rFonts w:cs="Times New Roman"/>
          <w:i/>
          <w:iCs/>
        </w:rPr>
        <w:t>Biotropica</w:t>
      </w:r>
      <w:r w:rsidRPr="00E25215">
        <w:rPr>
          <w:rFonts w:cs="Times New Roman"/>
        </w:rPr>
        <w:t xml:space="preserve">, </w:t>
      </w:r>
      <w:r w:rsidRPr="00E25215">
        <w:rPr>
          <w:rFonts w:cs="Times New Roman"/>
          <w:i/>
          <w:iCs/>
        </w:rPr>
        <w:t>40</w:t>
      </w:r>
      <w:r w:rsidRPr="00E25215">
        <w:rPr>
          <w:rFonts w:cs="Times New Roman"/>
        </w:rPr>
        <w:t>(6), 657–661. https://doi.org/10.1111/j.1744-7429.2008.00454.x</w:t>
      </w:r>
    </w:p>
    <w:p w14:paraId="72165EE5" w14:textId="77777777" w:rsidR="001379C0" w:rsidRPr="00E25215" w:rsidRDefault="001379C0" w:rsidP="009B3E7F">
      <w:pPr>
        <w:pStyle w:val="Bibliography"/>
        <w:spacing w:before="0" w:after="0" w:line="240" w:lineRule="auto"/>
        <w:rPr>
          <w:rFonts w:cs="Times New Roman"/>
        </w:rPr>
      </w:pPr>
      <w:r w:rsidRPr="00E25215">
        <w:rPr>
          <w:rFonts w:cs="Times New Roman"/>
        </w:rPr>
        <w:t>Tamburello, L., Bulleri, F., Balata, D., &amp; Benedetti</w:t>
      </w:r>
      <w:r w:rsidRPr="00E25215">
        <w:rPr>
          <w:rFonts w:cs="Times New Roman" w:hint="eastAsia"/>
        </w:rPr>
        <w:t>‐</w:t>
      </w:r>
      <w:r w:rsidRPr="00E25215">
        <w:rPr>
          <w:rFonts w:cs="Times New Roman"/>
        </w:rPr>
        <w:t xml:space="preserve">Cecchi, L. (2014). The role of overgrazing and anthropogenic disturbance in shaping spatial patterns of distribution of an invasive seaweed. </w:t>
      </w:r>
      <w:r w:rsidRPr="00E25215">
        <w:rPr>
          <w:rFonts w:cs="Times New Roman"/>
          <w:i/>
          <w:iCs/>
        </w:rPr>
        <w:t>Journal of Applied Ecology</w:t>
      </w:r>
      <w:r w:rsidRPr="00E25215">
        <w:rPr>
          <w:rFonts w:cs="Times New Roman"/>
        </w:rPr>
        <w:t xml:space="preserve">, </w:t>
      </w:r>
      <w:r w:rsidRPr="00E25215">
        <w:rPr>
          <w:rFonts w:cs="Times New Roman"/>
          <w:i/>
          <w:iCs/>
        </w:rPr>
        <w:t>51</w:t>
      </w:r>
      <w:r w:rsidRPr="00E25215">
        <w:rPr>
          <w:rFonts w:cs="Times New Roman"/>
        </w:rPr>
        <w:t>(2), 406–414. https://doi.org/10.1111/1365-2664.12199</w:t>
      </w:r>
    </w:p>
    <w:p w14:paraId="5F437418"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Tano, S. A., Halling, C., Lind, E., Buriyo, A., &amp; Wikström, S. A. (2015). Extensive spread of farmed seaweeds causes a shift from native to non-native haplotypes in natural seaweed beds. </w:t>
      </w:r>
      <w:r w:rsidRPr="00E25215">
        <w:rPr>
          <w:rFonts w:cs="Times New Roman"/>
          <w:i/>
          <w:iCs/>
        </w:rPr>
        <w:t>Marine Biology</w:t>
      </w:r>
      <w:r w:rsidRPr="00E25215">
        <w:rPr>
          <w:rFonts w:cs="Times New Roman"/>
        </w:rPr>
        <w:t xml:space="preserve">, </w:t>
      </w:r>
      <w:r w:rsidRPr="00E25215">
        <w:rPr>
          <w:rFonts w:cs="Times New Roman"/>
          <w:i/>
          <w:iCs/>
        </w:rPr>
        <w:t>162</w:t>
      </w:r>
      <w:r w:rsidRPr="00E25215">
        <w:rPr>
          <w:rFonts w:cs="Times New Roman"/>
        </w:rPr>
        <w:t>(10), 1983–1992. https://doi.org/10.1007/s00227-015-2724-7</w:t>
      </w:r>
    </w:p>
    <w:p w14:paraId="39C9B521"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Tatem, A. J. (2009). The worldwide airline network and the dispersal of exotic species: 2007-2010. </w:t>
      </w:r>
      <w:r w:rsidRPr="00E25215">
        <w:rPr>
          <w:rFonts w:cs="Times New Roman"/>
          <w:i/>
          <w:iCs/>
        </w:rPr>
        <w:t>Ecography</w:t>
      </w:r>
      <w:r w:rsidRPr="00E25215">
        <w:rPr>
          <w:rFonts w:cs="Times New Roman"/>
        </w:rPr>
        <w:t xml:space="preserve">, </w:t>
      </w:r>
      <w:r w:rsidRPr="00E25215">
        <w:rPr>
          <w:rFonts w:cs="Times New Roman"/>
          <w:i/>
          <w:iCs/>
        </w:rPr>
        <w:t>32</w:t>
      </w:r>
      <w:r w:rsidRPr="00E25215">
        <w:rPr>
          <w:rFonts w:cs="Times New Roman"/>
        </w:rPr>
        <w:t>(1), 94–102. https://doi.org/10.1111/j.1600-0587.2008.05588.x</w:t>
      </w:r>
    </w:p>
    <w:p w14:paraId="0A3688DC"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Taylor, S., Kumar, L., &amp; Reid, N. (2012). Impacts of climate change and land-use on the potential distribution of an invasive weed: A case study of </w:t>
      </w:r>
      <w:r w:rsidRPr="00E25215">
        <w:rPr>
          <w:rFonts w:cs="Times New Roman"/>
          <w:i/>
          <w:iCs/>
        </w:rPr>
        <w:t>Lantana camara</w:t>
      </w:r>
      <w:r w:rsidRPr="00E25215">
        <w:rPr>
          <w:rFonts w:cs="Times New Roman"/>
        </w:rPr>
        <w:t xml:space="preserve"> in Australia. </w:t>
      </w:r>
      <w:r w:rsidRPr="00E25215">
        <w:rPr>
          <w:rFonts w:cs="Times New Roman"/>
          <w:i/>
          <w:iCs/>
        </w:rPr>
        <w:t>Weed Research</w:t>
      </w:r>
      <w:r w:rsidRPr="00E25215">
        <w:rPr>
          <w:rFonts w:cs="Times New Roman"/>
        </w:rPr>
        <w:t xml:space="preserve">, </w:t>
      </w:r>
      <w:r w:rsidRPr="00E25215">
        <w:rPr>
          <w:rFonts w:cs="Times New Roman"/>
          <w:i/>
          <w:iCs/>
        </w:rPr>
        <w:t>52</w:t>
      </w:r>
      <w:r w:rsidRPr="00E25215">
        <w:rPr>
          <w:rFonts w:cs="Times New Roman"/>
        </w:rPr>
        <w:t>(5), 391–401. https://doi.org/10.1111/j.1365-3180.2012.00930.x</w:t>
      </w:r>
    </w:p>
    <w:p w14:paraId="692D198A"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Tedeschi, L., Biancolini, D., Capinha, C., Rondinini, C., &amp; Essl, F. (2021). Introduction, spread, and impacts of invasive alien mammal species in Europe. </w:t>
      </w:r>
      <w:r w:rsidRPr="00E25215">
        <w:rPr>
          <w:rFonts w:cs="Times New Roman"/>
          <w:i/>
          <w:iCs/>
        </w:rPr>
        <w:t>Mammal Review</w:t>
      </w:r>
      <w:r w:rsidRPr="00E25215">
        <w:rPr>
          <w:rFonts w:cs="Times New Roman"/>
        </w:rPr>
        <w:t>, mam.12277. https://doi.org/10.1111/mam.12277</w:t>
      </w:r>
    </w:p>
    <w:p w14:paraId="0239B720"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Teletchea, F. (2019). Fish domestication in aquaculture: Reassessment and emerging questions. </w:t>
      </w:r>
      <w:r w:rsidRPr="00E25215">
        <w:rPr>
          <w:rFonts w:cs="Times New Roman"/>
          <w:i/>
          <w:iCs/>
        </w:rPr>
        <w:t>Cybium</w:t>
      </w:r>
      <w:r w:rsidRPr="00E25215">
        <w:rPr>
          <w:rFonts w:cs="Times New Roman"/>
        </w:rPr>
        <w:t xml:space="preserve">, </w:t>
      </w:r>
      <w:r w:rsidRPr="00E25215">
        <w:rPr>
          <w:rFonts w:cs="Times New Roman"/>
          <w:i/>
          <w:iCs/>
        </w:rPr>
        <w:t>43</w:t>
      </w:r>
      <w:r w:rsidRPr="00E25215">
        <w:rPr>
          <w:rFonts w:cs="Times New Roman"/>
        </w:rPr>
        <w:t>(1), 7–15. https://doi.org/10.26028/cybium/2019-431-001</w:t>
      </w:r>
    </w:p>
    <w:p w14:paraId="7B3300FE"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Téllez, T. R., López, E., Granado, G., Pérez, E., López, R., &amp; Guzmán, J. (2008). The Water Hyacinth, </w:t>
      </w:r>
      <w:r w:rsidRPr="00E25215">
        <w:rPr>
          <w:rFonts w:cs="Times New Roman"/>
          <w:i/>
          <w:iCs/>
        </w:rPr>
        <w:t>Eichhornia crassipes</w:t>
      </w:r>
      <w:r w:rsidRPr="00E25215">
        <w:rPr>
          <w:rFonts w:cs="Times New Roman"/>
        </w:rPr>
        <w:t xml:space="preserve">: An invasive plant in the Guadiana River Basin (Spain). </w:t>
      </w:r>
      <w:r w:rsidRPr="00E25215">
        <w:rPr>
          <w:rFonts w:cs="Times New Roman"/>
          <w:i/>
          <w:iCs/>
        </w:rPr>
        <w:t>Aquatic Invasions</w:t>
      </w:r>
      <w:r w:rsidRPr="00E25215">
        <w:rPr>
          <w:rFonts w:cs="Times New Roman"/>
        </w:rPr>
        <w:t xml:space="preserve">, </w:t>
      </w:r>
      <w:r w:rsidRPr="00E25215">
        <w:rPr>
          <w:rFonts w:cs="Times New Roman"/>
          <w:i/>
          <w:iCs/>
        </w:rPr>
        <w:t>3</w:t>
      </w:r>
      <w:r w:rsidRPr="00E25215">
        <w:rPr>
          <w:rFonts w:cs="Times New Roman"/>
        </w:rPr>
        <w:t>(1), 42–53. https://doi.org/10.3391/ai.2008.3.1.8</w:t>
      </w:r>
    </w:p>
    <w:p w14:paraId="6EB9FD38"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Thaler, A. D., Freitag, A., Bergman, E., Fretz, D., &amp; Saleu, W. (2015). Robots as Vectors for Marine Invasions: Best Practices for Minimizing Transmission of Invasive Species Via Observation-Class ROVs. </w:t>
      </w:r>
      <w:r w:rsidRPr="00E25215">
        <w:rPr>
          <w:rFonts w:cs="Times New Roman"/>
          <w:i/>
          <w:iCs/>
        </w:rPr>
        <w:t>Tropical Conservation Science</w:t>
      </w:r>
      <w:r w:rsidRPr="00E25215">
        <w:rPr>
          <w:rFonts w:cs="Times New Roman"/>
        </w:rPr>
        <w:t xml:space="preserve">, </w:t>
      </w:r>
      <w:r w:rsidRPr="00E25215">
        <w:rPr>
          <w:rFonts w:cs="Times New Roman"/>
          <w:i/>
          <w:iCs/>
        </w:rPr>
        <w:t>8</w:t>
      </w:r>
      <w:r w:rsidRPr="00E25215">
        <w:rPr>
          <w:rFonts w:cs="Times New Roman"/>
        </w:rPr>
        <w:t>(3), 711–717. https://doi.org/10.1177/194008291500800308</w:t>
      </w:r>
    </w:p>
    <w:p w14:paraId="7034424E" w14:textId="77777777" w:rsidR="001379C0" w:rsidRPr="00E25215" w:rsidRDefault="001379C0" w:rsidP="009B3E7F">
      <w:pPr>
        <w:pStyle w:val="Bibliography"/>
        <w:spacing w:before="0" w:after="0" w:line="240" w:lineRule="auto"/>
        <w:rPr>
          <w:rFonts w:cs="Times New Roman"/>
        </w:rPr>
      </w:pPr>
      <w:r w:rsidRPr="00E25215">
        <w:rPr>
          <w:rFonts w:cs="Times New Roman"/>
        </w:rPr>
        <w:t>Thamaga, K. H., &amp; Dube, T. (2018). Remote sensing of invasive water hyacinth (</w:t>
      </w:r>
      <w:r w:rsidRPr="00E25215">
        <w:rPr>
          <w:rFonts w:cs="Times New Roman"/>
          <w:i/>
          <w:iCs/>
        </w:rPr>
        <w:t>Eichhornia crassipes</w:t>
      </w:r>
      <w:r w:rsidRPr="00E25215">
        <w:rPr>
          <w:rFonts w:cs="Times New Roman"/>
        </w:rPr>
        <w:t xml:space="preserve">): A review on applications and challenges. </w:t>
      </w:r>
      <w:r w:rsidRPr="00E25215">
        <w:rPr>
          <w:rFonts w:cs="Times New Roman"/>
          <w:i/>
          <w:iCs/>
        </w:rPr>
        <w:t>Remote Sensing Applications: Society and Environment</w:t>
      </w:r>
      <w:r w:rsidRPr="00E25215">
        <w:rPr>
          <w:rFonts w:cs="Times New Roman"/>
        </w:rPr>
        <w:t xml:space="preserve">, </w:t>
      </w:r>
      <w:r w:rsidRPr="00E25215">
        <w:rPr>
          <w:rFonts w:cs="Times New Roman"/>
          <w:i/>
          <w:iCs/>
        </w:rPr>
        <w:t>10</w:t>
      </w:r>
      <w:r w:rsidRPr="00E25215">
        <w:rPr>
          <w:rFonts w:cs="Times New Roman"/>
        </w:rPr>
        <w:t>, 36–46. https://doi.org/10.1016/j.rsase.2018.02.005</w:t>
      </w:r>
    </w:p>
    <w:p w14:paraId="1FE09902"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Theoharides, K. A., &amp; Dukes, J. S. (2007). Plant invasion across space and time: Factors affecting nonindigenous species success during four stages of invasion. </w:t>
      </w:r>
      <w:r w:rsidRPr="00E25215">
        <w:rPr>
          <w:rFonts w:cs="Times New Roman"/>
          <w:i/>
          <w:iCs/>
        </w:rPr>
        <w:t>New Phytologist</w:t>
      </w:r>
      <w:r w:rsidRPr="00E25215">
        <w:rPr>
          <w:rFonts w:cs="Times New Roman"/>
        </w:rPr>
        <w:t xml:space="preserve">, </w:t>
      </w:r>
      <w:r w:rsidRPr="00E25215">
        <w:rPr>
          <w:rFonts w:cs="Times New Roman"/>
          <w:i/>
          <w:iCs/>
        </w:rPr>
        <w:t>176</w:t>
      </w:r>
      <w:r w:rsidRPr="00E25215">
        <w:rPr>
          <w:rFonts w:cs="Times New Roman"/>
        </w:rPr>
        <w:t>(2), 256–273. https://doi.org/10.1111/j.1469-8137.2007.02207.x</w:t>
      </w:r>
    </w:p>
    <w:p w14:paraId="065AA025"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Thia, J. P. (2016). Trade and Urbanisation. </w:t>
      </w:r>
      <w:r w:rsidRPr="00E25215">
        <w:rPr>
          <w:rFonts w:cs="Times New Roman"/>
          <w:i/>
          <w:iCs/>
        </w:rPr>
        <w:t>World Economy</w:t>
      </w:r>
      <w:r w:rsidRPr="00E25215">
        <w:rPr>
          <w:rFonts w:cs="Times New Roman"/>
        </w:rPr>
        <w:t xml:space="preserve">, </w:t>
      </w:r>
      <w:r w:rsidRPr="00E25215">
        <w:rPr>
          <w:rFonts w:cs="Times New Roman"/>
          <w:i/>
          <w:iCs/>
        </w:rPr>
        <w:t>39</w:t>
      </w:r>
      <w:r w:rsidRPr="00E25215">
        <w:rPr>
          <w:rFonts w:cs="Times New Roman"/>
        </w:rPr>
        <w:t>, 853–872. https://doi.org/10.1111/twec.13187</w:t>
      </w:r>
    </w:p>
    <w:p w14:paraId="5DBE6AAE" w14:textId="77777777" w:rsidR="001379C0" w:rsidRPr="00E25215" w:rsidRDefault="001379C0" w:rsidP="009B3E7F">
      <w:pPr>
        <w:pStyle w:val="Bibliography"/>
        <w:spacing w:before="0" w:after="0" w:line="240" w:lineRule="auto"/>
        <w:rPr>
          <w:rFonts w:cs="Times New Roman"/>
        </w:rPr>
      </w:pPr>
      <w:r w:rsidRPr="00E25215">
        <w:rPr>
          <w:rFonts w:cs="Times New Roman"/>
        </w:rPr>
        <w:lastRenderedPageBreak/>
        <w:t xml:space="preserve">Thiengo, S. C., Faraco, F. A., Salgado, N. C., Cowie, R. H., &amp; Fernandez, M. A. (2007). Rapid spread of an invasive snail in South America: The giant African snail, </w:t>
      </w:r>
      <w:r w:rsidRPr="00E25215">
        <w:rPr>
          <w:rFonts w:cs="Times New Roman"/>
          <w:i/>
          <w:iCs/>
        </w:rPr>
        <w:t>Achatina fulica</w:t>
      </w:r>
      <w:r w:rsidRPr="00E25215">
        <w:rPr>
          <w:rFonts w:cs="Times New Roman"/>
        </w:rPr>
        <w:t xml:space="preserve">, in Brasil. </w:t>
      </w:r>
      <w:r w:rsidRPr="00E25215">
        <w:rPr>
          <w:rFonts w:cs="Times New Roman"/>
          <w:i/>
          <w:iCs/>
        </w:rPr>
        <w:t>Biological Invasions</w:t>
      </w:r>
      <w:r w:rsidRPr="00E25215">
        <w:rPr>
          <w:rFonts w:cs="Times New Roman"/>
        </w:rPr>
        <w:t xml:space="preserve">, </w:t>
      </w:r>
      <w:r w:rsidRPr="00E25215">
        <w:rPr>
          <w:rFonts w:cs="Times New Roman"/>
          <w:i/>
          <w:iCs/>
        </w:rPr>
        <w:t>9</w:t>
      </w:r>
      <w:r w:rsidRPr="00E25215">
        <w:rPr>
          <w:rFonts w:cs="Times New Roman"/>
        </w:rPr>
        <w:t>(6), 693–702. https://doi.org/10.1007/s10530-006-9069-6</w:t>
      </w:r>
    </w:p>
    <w:p w14:paraId="6D0F7ABD"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Thomas, Z. A., Turney, C. S. M., Palmer, J. G., Lloydd, S., Klaricich, J. N. L., &amp; Hogg, A. (2018). Extending the observational record to provide new insights into invasive alien species in a coastal dune environment of New Zealand. </w:t>
      </w:r>
      <w:r w:rsidRPr="00E25215">
        <w:rPr>
          <w:rFonts w:cs="Times New Roman"/>
          <w:i/>
          <w:iCs/>
        </w:rPr>
        <w:t>Applied Geography</w:t>
      </w:r>
      <w:r w:rsidRPr="00E25215">
        <w:rPr>
          <w:rFonts w:cs="Times New Roman"/>
        </w:rPr>
        <w:t xml:space="preserve">, </w:t>
      </w:r>
      <w:r w:rsidRPr="00E25215">
        <w:rPr>
          <w:rFonts w:cs="Times New Roman"/>
          <w:i/>
          <w:iCs/>
        </w:rPr>
        <w:t>98</w:t>
      </w:r>
      <w:r w:rsidRPr="00E25215">
        <w:rPr>
          <w:rFonts w:cs="Times New Roman"/>
        </w:rPr>
        <w:t>, 100–109. https://doi.org/10.1016/j.apgeog.2018.07.006</w:t>
      </w:r>
    </w:p>
    <w:p w14:paraId="05E48339"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Thompson, J., Lugo, A. E., &amp; Thomlinson, J. (2007). Land use history, hurricane disturbance, and the fate of introduced species in a subtropical wet forest in Puerto Rico. </w:t>
      </w:r>
      <w:r w:rsidRPr="00E25215">
        <w:rPr>
          <w:rFonts w:cs="Times New Roman"/>
          <w:i/>
          <w:iCs/>
        </w:rPr>
        <w:t>Plant Ecology</w:t>
      </w:r>
      <w:r w:rsidRPr="00E25215">
        <w:rPr>
          <w:rFonts w:cs="Times New Roman"/>
        </w:rPr>
        <w:t xml:space="preserve">, </w:t>
      </w:r>
      <w:r w:rsidRPr="00E25215">
        <w:rPr>
          <w:rFonts w:cs="Times New Roman"/>
          <w:i/>
          <w:iCs/>
        </w:rPr>
        <w:t>192</w:t>
      </w:r>
      <w:r w:rsidRPr="00E25215">
        <w:rPr>
          <w:rFonts w:cs="Times New Roman"/>
        </w:rPr>
        <w:t>, 289–301. https://doi.org/10.1007/s11258-007-9318-5</w:t>
      </w:r>
    </w:p>
    <w:p w14:paraId="2A8ADE2D"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Timbilla, J. A., &amp; Braimah, H. (1993). A survey of the introduction, distribution and spread of </w:t>
      </w:r>
      <w:r w:rsidRPr="00E25215">
        <w:rPr>
          <w:rFonts w:cs="Times New Roman"/>
          <w:i/>
          <w:iCs/>
        </w:rPr>
        <w:t>Chromolaena odorata</w:t>
      </w:r>
      <w:r w:rsidRPr="00E25215">
        <w:rPr>
          <w:rFonts w:cs="Times New Roman"/>
        </w:rPr>
        <w:t xml:space="preserve"> in Ghana. </w:t>
      </w:r>
      <w:r w:rsidRPr="00E25215">
        <w:rPr>
          <w:rFonts w:cs="Times New Roman"/>
          <w:i/>
          <w:iCs/>
        </w:rPr>
        <w:t>Distribution, Ecology and Management of Chromolaena Odorata</w:t>
      </w:r>
      <w:r w:rsidRPr="00E25215">
        <w:rPr>
          <w:rFonts w:cs="Times New Roman"/>
        </w:rPr>
        <w:t xml:space="preserve">, </w:t>
      </w:r>
      <w:r w:rsidRPr="00E25215">
        <w:rPr>
          <w:rFonts w:cs="Times New Roman"/>
          <w:i/>
          <w:iCs/>
        </w:rPr>
        <w:t>202</w:t>
      </w:r>
      <w:r w:rsidRPr="00E25215">
        <w:rPr>
          <w:rFonts w:cs="Times New Roman"/>
        </w:rPr>
        <w:t>, 6–18. https://horizon.documentation.ird.fr/exl-doc/pleins_textes/doc34-03/010006224.pdf</w:t>
      </w:r>
    </w:p>
    <w:p w14:paraId="2C7A2E3A"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Todd, P. A., Heery, E. C., Loke, L. H. L., Thurstan, R. H., Kotze, D. J., &amp; Swan, C. (2019). Towards an urban marine ecology: Characterizing the drivers, patterns and processes of marine ecosystems in coastal cities. </w:t>
      </w:r>
      <w:r w:rsidRPr="00E25215">
        <w:rPr>
          <w:rFonts w:cs="Times New Roman"/>
          <w:i/>
          <w:iCs/>
        </w:rPr>
        <w:t>Oikos</w:t>
      </w:r>
      <w:r w:rsidRPr="00E25215">
        <w:rPr>
          <w:rFonts w:cs="Times New Roman"/>
        </w:rPr>
        <w:t xml:space="preserve">, </w:t>
      </w:r>
      <w:r w:rsidRPr="00E25215">
        <w:rPr>
          <w:rFonts w:cs="Times New Roman"/>
          <w:i/>
          <w:iCs/>
        </w:rPr>
        <w:t>128</w:t>
      </w:r>
      <w:r w:rsidRPr="00E25215">
        <w:rPr>
          <w:rFonts w:cs="Times New Roman"/>
        </w:rPr>
        <w:t>(9), 1215–1242. https://doi.org/10.1111/oik.05946</w:t>
      </w:r>
    </w:p>
    <w:p w14:paraId="664C44A7"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Toepfer, I., Favet, J., Schulte, A., Schmölling, M., Butte, W., Triplett, E. W., &amp; Broughton, W. J. (2012). Pathogens as potential hitchhikers on intercontinental dust. </w:t>
      </w:r>
      <w:r w:rsidRPr="00E25215">
        <w:rPr>
          <w:rFonts w:cs="Times New Roman"/>
          <w:i/>
          <w:iCs/>
        </w:rPr>
        <w:t>Aerobiologia</w:t>
      </w:r>
      <w:r w:rsidRPr="00E25215">
        <w:rPr>
          <w:rFonts w:cs="Times New Roman"/>
        </w:rPr>
        <w:t xml:space="preserve">, </w:t>
      </w:r>
      <w:r w:rsidRPr="00E25215">
        <w:rPr>
          <w:rFonts w:cs="Times New Roman"/>
          <w:i/>
          <w:iCs/>
        </w:rPr>
        <w:t>28</w:t>
      </w:r>
      <w:r w:rsidRPr="00E25215">
        <w:rPr>
          <w:rFonts w:cs="Times New Roman"/>
        </w:rPr>
        <w:t>(2), 221–231. https://doi.org/10.1007/s10453-011-9230-2</w:t>
      </w:r>
    </w:p>
    <w:p w14:paraId="16F2B5DA"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Tolfts, A. (1997). Cordia alliodora: The best laid plans. </w:t>
      </w:r>
      <w:r w:rsidRPr="00E25215">
        <w:rPr>
          <w:rFonts w:cs="Times New Roman"/>
          <w:i/>
          <w:iCs/>
        </w:rPr>
        <w:t>Alien</w:t>
      </w:r>
      <w:r w:rsidRPr="00E25215">
        <w:rPr>
          <w:rFonts w:cs="Times New Roman"/>
        </w:rPr>
        <w:t xml:space="preserve">, </w:t>
      </w:r>
      <w:r w:rsidRPr="00E25215">
        <w:rPr>
          <w:rFonts w:cs="Times New Roman"/>
          <w:i/>
          <w:iCs/>
        </w:rPr>
        <w:t>6</w:t>
      </w:r>
      <w:r w:rsidRPr="00E25215">
        <w:rPr>
          <w:rFonts w:cs="Times New Roman"/>
        </w:rPr>
        <w:t>, 12–13.</w:t>
      </w:r>
    </w:p>
    <w:p w14:paraId="78373758"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Tollington, S., Turbé, A., Rabitsch, W., Groombridge, J. J., Scalera, R., Essl, F., &amp; Shwartz, A. (2017). Making the EU Legislation on Invasive Species a Conservation Success. </w:t>
      </w:r>
      <w:r w:rsidRPr="00E25215">
        <w:rPr>
          <w:rFonts w:cs="Times New Roman"/>
          <w:i/>
          <w:iCs/>
        </w:rPr>
        <w:t>Conservation Letters</w:t>
      </w:r>
      <w:r w:rsidRPr="00E25215">
        <w:rPr>
          <w:rFonts w:cs="Times New Roman"/>
        </w:rPr>
        <w:t xml:space="preserve">, </w:t>
      </w:r>
      <w:r w:rsidRPr="00E25215">
        <w:rPr>
          <w:rFonts w:cs="Times New Roman"/>
          <w:i/>
          <w:iCs/>
        </w:rPr>
        <w:t>10</w:t>
      </w:r>
      <w:r w:rsidRPr="00E25215">
        <w:rPr>
          <w:rFonts w:cs="Times New Roman"/>
        </w:rPr>
        <w:t>(1), 112–120. https://doi.org/10.1111/conl.12214</w:t>
      </w:r>
    </w:p>
    <w:p w14:paraId="79533249"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Tooth, I. M., &amp; Leishman, M. R. (2014). Elevated carbon dioxide and fire reduce biomass of native grass species when grown in competition with invasive exotic grasses in a savanna experimental system. </w:t>
      </w:r>
      <w:r w:rsidRPr="00E25215">
        <w:rPr>
          <w:rFonts w:cs="Times New Roman"/>
          <w:i/>
          <w:iCs/>
        </w:rPr>
        <w:t>Biological Invasions</w:t>
      </w:r>
      <w:r w:rsidRPr="00E25215">
        <w:rPr>
          <w:rFonts w:cs="Times New Roman"/>
        </w:rPr>
        <w:t xml:space="preserve">, </w:t>
      </w:r>
      <w:r w:rsidRPr="00E25215">
        <w:rPr>
          <w:rFonts w:cs="Times New Roman"/>
          <w:i/>
          <w:iCs/>
        </w:rPr>
        <w:t>16</w:t>
      </w:r>
      <w:r w:rsidRPr="00E25215">
        <w:rPr>
          <w:rFonts w:cs="Times New Roman"/>
        </w:rPr>
        <w:t>(2), 257–268. https://doi.org/10.1007/s10530-013-0448-5</w:t>
      </w:r>
    </w:p>
    <w:p w14:paraId="07BD1C86"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Tøttrup, A. P., Chan, B. K. K., Koskinen, H., &amp; Høeg, J. T. (2010). ‘Flying barnacles’: Implications for the spread of non-indigenous species. </w:t>
      </w:r>
      <w:r w:rsidRPr="00E25215">
        <w:rPr>
          <w:rFonts w:cs="Times New Roman"/>
          <w:i/>
          <w:iCs/>
        </w:rPr>
        <w:t>Biofouling</w:t>
      </w:r>
      <w:r w:rsidRPr="00E25215">
        <w:rPr>
          <w:rFonts w:cs="Times New Roman"/>
        </w:rPr>
        <w:t xml:space="preserve">, </w:t>
      </w:r>
      <w:r w:rsidRPr="00E25215">
        <w:rPr>
          <w:rFonts w:cs="Times New Roman"/>
          <w:i/>
          <w:iCs/>
        </w:rPr>
        <w:t>26</w:t>
      </w:r>
      <w:r w:rsidRPr="00E25215">
        <w:rPr>
          <w:rFonts w:cs="Times New Roman"/>
        </w:rPr>
        <w:t>(5), 577–582. https://doi.org/10.1080/08927014.2010.489203</w:t>
      </w:r>
    </w:p>
    <w:p w14:paraId="7CFBF9D9"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Touza, J., Dehnen-Schmutz, K., &amp; Jones, G. (2008). Economic Analysis of Invasive Species Policies. </w:t>
      </w:r>
      <w:r w:rsidRPr="00E25215">
        <w:rPr>
          <w:rFonts w:cs="Times New Roman"/>
          <w:i/>
          <w:iCs/>
        </w:rPr>
        <w:t>Biological Invasions</w:t>
      </w:r>
      <w:r w:rsidRPr="00E25215">
        <w:rPr>
          <w:rFonts w:cs="Times New Roman"/>
        </w:rPr>
        <w:t xml:space="preserve">, </w:t>
      </w:r>
      <w:r w:rsidRPr="00E25215">
        <w:rPr>
          <w:rFonts w:cs="Times New Roman"/>
          <w:i/>
          <w:iCs/>
        </w:rPr>
        <w:t>193</w:t>
      </w:r>
      <w:r w:rsidRPr="00E25215">
        <w:rPr>
          <w:rFonts w:cs="Times New Roman"/>
        </w:rPr>
        <w:t>, 353–366. https://doi.org/10.1007/978-3-540-36920-2_20</w:t>
      </w:r>
    </w:p>
    <w:p w14:paraId="69ACEA5F"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Towerton, A. L., Penman, T. D., Kavanagh, R. P., &amp; Dickman, C. R. (2011). Detecting pest and prey responses to fox control across the landscape using remote cameras. </w:t>
      </w:r>
      <w:r w:rsidRPr="00E25215">
        <w:rPr>
          <w:rFonts w:cs="Times New Roman"/>
          <w:i/>
          <w:iCs/>
        </w:rPr>
        <w:t>Wildlife Research</w:t>
      </w:r>
      <w:r w:rsidRPr="00E25215">
        <w:rPr>
          <w:rFonts w:cs="Times New Roman"/>
        </w:rPr>
        <w:t xml:space="preserve">, </w:t>
      </w:r>
      <w:r w:rsidRPr="00E25215">
        <w:rPr>
          <w:rFonts w:cs="Times New Roman"/>
          <w:i/>
          <w:iCs/>
        </w:rPr>
        <w:t>38</w:t>
      </w:r>
      <w:r w:rsidRPr="00E25215">
        <w:rPr>
          <w:rFonts w:cs="Times New Roman"/>
        </w:rPr>
        <w:t>(3), 208. https://doi.org/10.1071/WR10213</w:t>
      </w:r>
    </w:p>
    <w:p w14:paraId="29A8381F"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Traill, L. W., Perhans, K., Lovelock, C. E., Prohaska, A., McFallan, S., Rhodes, J. R., &amp; Wilson, K. A. (2011). Managing for Change: Wetland Transitions under Sea-Level Rise and Outcomes for Threatened Species. </w:t>
      </w:r>
      <w:r w:rsidRPr="00E25215">
        <w:rPr>
          <w:rFonts w:cs="Times New Roman"/>
          <w:i/>
          <w:iCs/>
        </w:rPr>
        <w:t>Diversity and Distributions</w:t>
      </w:r>
      <w:r w:rsidRPr="00E25215">
        <w:rPr>
          <w:rFonts w:cs="Times New Roman"/>
        </w:rPr>
        <w:t xml:space="preserve">, </w:t>
      </w:r>
      <w:r w:rsidRPr="00E25215">
        <w:rPr>
          <w:rFonts w:cs="Times New Roman"/>
          <w:i/>
          <w:iCs/>
        </w:rPr>
        <w:t>17</w:t>
      </w:r>
      <w:r w:rsidRPr="00E25215">
        <w:rPr>
          <w:rFonts w:cs="Times New Roman"/>
        </w:rPr>
        <w:t>(6), 1225–1233. https://doi.org/10.1111/j.1472-4642.2011.00807.x</w:t>
      </w:r>
    </w:p>
    <w:p w14:paraId="357DCF89"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Traveset, A., &amp; Richardson, D. M. (2014). Mutualistic Interactions and Biological Invasions. </w:t>
      </w:r>
      <w:r w:rsidRPr="00E25215">
        <w:rPr>
          <w:rFonts w:cs="Times New Roman"/>
          <w:i/>
          <w:iCs/>
        </w:rPr>
        <w:t>Annual Review of Ecology, Evolution, and Systematics</w:t>
      </w:r>
      <w:r w:rsidRPr="00E25215">
        <w:rPr>
          <w:rFonts w:cs="Times New Roman"/>
        </w:rPr>
        <w:t xml:space="preserve">, </w:t>
      </w:r>
      <w:r w:rsidRPr="00E25215">
        <w:rPr>
          <w:rFonts w:cs="Times New Roman"/>
          <w:i/>
          <w:iCs/>
        </w:rPr>
        <w:t>45</w:t>
      </w:r>
      <w:r w:rsidRPr="00E25215">
        <w:rPr>
          <w:rFonts w:cs="Times New Roman"/>
        </w:rPr>
        <w:t>(1), 89–113. https://doi.org/10.1146/annurev-ecolsys-120213-091857</w:t>
      </w:r>
    </w:p>
    <w:p w14:paraId="368F7F2E"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Tricarico, E. (2012). A review on pathways and drivers of use regarding non-native freshwater fish introductions in the Mediterranean region. </w:t>
      </w:r>
      <w:r w:rsidRPr="00E25215">
        <w:rPr>
          <w:rFonts w:cs="Times New Roman"/>
          <w:i/>
          <w:iCs/>
        </w:rPr>
        <w:t>Fisheries Management and Ecology</w:t>
      </w:r>
      <w:r w:rsidRPr="00E25215">
        <w:rPr>
          <w:rFonts w:cs="Times New Roman"/>
        </w:rPr>
        <w:t xml:space="preserve">, </w:t>
      </w:r>
      <w:r w:rsidRPr="00E25215">
        <w:rPr>
          <w:rFonts w:cs="Times New Roman"/>
          <w:i/>
          <w:iCs/>
        </w:rPr>
        <w:t>19</w:t>
      </w:r>
      <w:r w:rsidRPr="00E25215">
        <w:rPr>
          <w:rFonts w:cs="Times New Roman"/>
        </w:rPr>
        <w:t>(2), 133–141. https://doi.org/10.1111/j.1365-2400.2011.00834.x</w:t>
      </w:r>
    </w:p>
    <w:p w14:paraId="3A0EDB55"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Tripathi, S. (2020). Do macroeconomic factors promote urbanization? Evidence from BRICS countries. </w:t>
      </w:r>
      <w:r w:rsidRPr="00E25215">
        <w:rPr>
          <w:rFonts w:cs="Times New Roman"/>
          <w:i/>
          <w:iCs/>
        </w:rPr>
        <w:t>Asia-Pacific Journal of Regional Science</w:t>
      </w:r>
      <w:r w:rsidRPr="00E25215">
        <w:rPr>
          <w:rFonts w:cs="Times New Roman"/>
        </w:rPr>
        <w:t xml:space="preserve">, </w:t>
      </w:r>
      <w:r w:rsidRPr="00E25215">
        <w:rPr>
          <w:rFonts w:cs="Times New Roman"/>
          <w:i/>
          <w:iCs/>
        </w:rPr>
        <w:t>5</w:t>
      </w:r>
      <w:r w:rsidRPr="00E25215">
        <w:rPr>
          <w:rFonts w:cs="Times New Roman"/>
        </w:rPr>
        <w:t>, 397–426. https://doi.org/10.1007/s41685-020-00179-z</w:t>
      </w:r>
    </w:p>
    <w:p w14:paraId="67011AA0" w14:textId="77777777" w:rsidR="001379C0" w:rsidRPr="00E25215" w:rsidRDefault="001379C0" w:rsidP="009B3E7F">
      <w:pPr>
        <w:pStyle w:val="Bibliography"/>
        <w:spacing w:before="0" w:after="0" w:line="240" w:lineRule="auto"/>
        <w:rPr>
          <w:rFonts w:cs="Times New Roman"/>
        </w:rPr>
      </w:pPr>
      <w:r w:rsidRPr="00E25215">
        <w:rPr>
          <w:rFonts w:cs="Times New Roman"/>
        </w:rPr>
        <w:lastRenderedPageBreak/>
        <w:t xml:space="preserve">Trombulak, S. C., &amp; Frissell, C. A. (2000). Review of Ecological Effects of Roads on Terrestrial and Aquatic Communities. </w:t>
      </w:r>
      <w:r w:rsidRPr="00E25215">
        <w:rPr>
          <w:rFonts w:cs="Times New Roman"/>
          <w:i/>
          <w:iCs/>
        </w:rPr>
        <w:t>Conservation Biology</w:t>
      </w:r>
      <w:r w:rsidRPr="00E25215">
        <w:rPr>
          <w:rFonts w:cs="Times New Roman"/>
        </w:rPr>
        <w:t xml:space="preserve">, </w:t>
      </w:r>
      <w:r w:rsidRPr="00E25215">
        <w:rPr>
          <w:rFonts w:cs="Times New Roman"/>
          <w:i/>
          <w:iCs/>
        </w:rPr>
        <w:t>14</w:t>
      </w:r>
      <w:r w:rsidRPr="00E25215">
        <w:rPr>
          <w:rFonts w:cs="Times New Roman"/>
        </w:rPr>
        <w:t>(1), 18–30. https://doi.org/10.1046/j.1523-1739.2000.99084.x</w:t>
      </w:r>
    </w:p>
    <w:p w14:paraId="306768A8"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Truscott, A.-M., Soulsby, C., Palmer, S. C. F., Newell, L., &amp; Hulme, P. E. (2006). The dispersal characteristics of the invasive plant </w:t>
      </w:r>
      <w:r w:rsidRPr="00E25215">
        <w:rPr>
          <w:rFonts w:cs="Times New Roman"/>
          <w:i/>
          <w:iCs/>
        </w:rPr>
        <w:t>Mimulus guttatus</w:t>
      </w:r>
      <w:r w:rsidRPr="00E25215">
        <w:rPr>
          <w:rFonts w:cs="Times New Roman"/>
        </w:rPr>
        <w:t xml:space="preserve"> and the ecological significance of increased occurrence of high-flow events. </w:t>
      </w:r>
      <w:r w:rsidRPr="00E25215">
        <w:rPr>
          <w:rFonts w:cs="Times New Roman"/>
          <w:i/>
          <w:iCs/>
        </w:rPr>
        <w:t>Journal of Ecology</w:t>
      </w:r>
      <w:r w:rsidRPr="00E25215">
        <w:rPr>
          <w:rFonts w:cs="Times New Roman"/>
        </w:rPr>
        <w:t xml:space="preserve">, </w:t>
      </w:r>
      <w:r w:rsidRPr="00E25215">
        <w:rPr>
          <w:rFonts w:cs="Times New Roman"/>
          <w:i/>
          <w:iCs/>
        </w:rPr>
        <w:t>94</w:t>
      </w:r>
      <w:r w:rsidRPr="00E25215">
        <w:rPr>
          <w:rFonts w:cs="Times New Roman"/>
        </w:rPr>
        <w:t>(6), 1080–1091. https://doi.org/10.1111/j.1365-2745.2006.01171.x</w:t>
      </w:r>
    </w:p>
    <w:p w14:paraId="0A26CA87"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Tuinoula, M. (2003). American Samoa. In C. Shine, J. K. Reaser, &amp; A. T. Gutierrez (Eds.), </w:t>
      </w:r>
      <w:r w:rsidRPr="00E25215">
        <w:rPr>
          <w:rFonts w:cs="Times New Roman"/>
          <w:i/>
          <w:iCs/>
        </w:rPr>
        <w:t>Prevention and Management of Invasive Alien Species: Proceedings of a Workshop on Forging Cooperation Throughout the Austral-Pacific</w:t>
      </w:r>
      <w:r w:rsidRPr="00E25215">
        <w:rPr>
          <w:rFonts w:cs="Times New Roman"/>
        </w:rPr>
        <w:t xml:space="preserve"> (pp. 64–65). https://www.doi.gov/sites/doi.gov/files/uploads/forging_cooperation_in_the_austral_pacific.pdf</w:t>
      </w:r>
    </w:p>
    <w:p w14:paraId="0D345A30"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Turbelin, A. J., Malamud, B. D., &amp; Francis, R. A. (2017). Mapping the global state of invasive alien species: Patterns of invasion and policy responses: Mapping the global state of invasive alien species. </w:t>
      </w:r>
      <w:r w:rsidRPr="00E25215">
        <w:rPr>
          <w:rFonts w:cs="Times New Roman"/>
          <w:i/>
          <w:iCs/>
        </w:rPr>
        <w:t>Global Ecology and Biogeography</w:t>
      </w:r>
      <w:r w:rsidRPr="00E25215">
        <w:rPr>
          <w:rFonts w:cs="Times New Roman"/>
        </w:rPr>
        <w:t xml:space="preserve">, </w:t>
      </w:r>
      <w:r w:rsidRPr="00E25215">
        <w:rPr>
          <w:rFonts w:cs="Times New Roman"/>
          <w:i/>
          <w:iCs/>
        </w:rPr>
        <w:t>26</w:t>
      </w:r>
      <w:r w:rsidRPr="00E25215">
        <w:rPr>
          <w:rFonts w:cs="Times New Roman"/>
        </w:rPr>
        <w:t>(1), 78–92. https://doi.org/10.1111/geb.12517</w:t>
      </w:r>
    </w:p>
    <w:p w14:paraId="2C749F4F"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Tylianakis, J. M., Didham, R. K., Bascompte, J., &amp; Wardle, D. A. (2008). Global change and species interactions in terrestrial ecosystems. </w:t>
      </w:r>
      <w:r w:rsidRPr="00E25215">
        <w:rPr>
          <w:rFonts w:cs="Times New Roman"/>
          <w:i/>
          <w:iCs/>
        </w:rPr>
        <w:t>Ecology Letters</w:t>
      </w:r>
      <w:r w:rsidRPr="00E25215">
        <w:rPr>
          <w:rFonts w:cs="Times New Roman"/>
        </w:rPr>
        <w:t xml:space="preserve">, </w:t>
      </w:r>
      <w:r w:rsidRPr="00E25215">
        <w:rPr>
          <w:rFonts w:cs="Times New Roman"/>
          <w:i/>
          <w:iCs/>
        </w:rPr>
        <w:t>11</w:t>
      </w:r>
      <w:r w:rsidRPr="00E25215">
        <w:rPr>
          <w:rFonts w:cs="Times New Roman"/>
        </w:rPr>
        <w:t>(12), 1351–1363. https://doi.org/10.1111/j.1461-0248.2008.01250.x</w:t>
      </w:r>
    </w:p>
    <w:p w14:paraId="11105233"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UNEP. (2019). </w:t>
      </w:r>
      <w:r w:rsidRPr="00E25215">
        <w:rPr>
          <w:rFonts w:cs="Times New Roman"/>
          <w:i/>
          <w:iCs/>
        </w:rPr>
        <w:t>Global Environment Outlook-GEO-6: Healthy Planet, Healthy People.</w:t>
      </w:r>
      <w:r w:rsidRPr="00E25215">
        <w:rPr>
          <w:rFonts w:cs="Times New Roman"/>
        </w:rPr>
        <w:t xml:space="preserve"> Cambridge University Press. https://doi.org/10.1017/9781108627146</w:t>
      </w:r>
    </w:p>
    <w:p w14:paraId="3A2E205B"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UNHCR. (2020). UNHCR Global Report 2020. </w:t>
      </w:r>
      <w:r w:rsidRPr="00E25215">
        <w:rPr>
          <w:rFonts w:cs="Times New Roman"/>
          <w:i/>
          <w:iCs/>
        </w:rPr>
        <w:t>UNHCR Flagship Reports</w:t>
      </w:r>
      <w:r w:rsidRPr="00E25215">
        <w:rPr>
          <w:rFonts w:cs="Times New Roman"/>
        </w:rPr>
        <w:t>. https://www.unhcr.org/flagship-reports/globalreport/</w:t>
      </w:r>
    </w:p>
    <w:p w14:paraId="169C14E2"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United Nations. (1997). </w:t>
      </w:r>
      <w:r w:rsidRPr="00E25215">
        <w:rPr>
          <w:rFonts w:cs="Times New Roman"/>
          <w:i/>
          <w:iCs/>
        </w:rPr>
        <w:t>Kyoto Protocol to the United Nations Framework Convention on Climate Change</w:t>
      </w:r>
      <w:r w:rsidRPr="00E25215">
        <w:rPr>
          <w:rFonts w:cs="Times New Roman"/>
        </w:rPr>
        <w:t>. https://unfccc.int/sites/default/files/resource/docs/cop3/l07a01.pdf</w:t>
      </w:r>
    </w:p>
    <w:p w14:paraId="7CD9E310"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United Nations. (2020). UN World Water Development Report 2020. </w:t>
      </w:r>
      <w:r w:rsidRPr="00E25215">
        <w:rPr>
          <w:rFonts w:cs="Times New Roman"/>
          <w:i/>
          <w:iCs/>
        </w:rPr>
        <w:t>UN-Water</w:t>
      </w:r>
      <w:r w:rsidRPr="00E25215">
        <w:rPr>
          <w:rFonts w:cs="Times New Roman"/>
        </w:rPr>
        <w:t>. https://www.unwater.org/publications/world-water-development-report-2020/</w:t>
      </w:r>
    </w:p>
    <w:p w14:paraId="4DE8C929"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United Nations Convention to Combat Desertification. (2017). </w:t>
      </w:r>
      <w:r w:rsidRPr="00E25215">
        <w:rPr>
          <w:rFonts w:cs="Times New Roman"/>
          <w:i/>
          <w:iCs/>
        </w:rPr>
        <w:t>Global Land Outlook</w:t>
      </w:r>
      <w:r w:rsidRPr="00E25215">
        <w:rPr>
          <w:rFonts w:cs="Times New Roman"/>
        </w:rPr>
        <w:t>.</w:t>
      </w:r>
    </w:p>
    <w:p w14:paraId="7679F68B"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United Nations Department of Economic and Social Affairs. (2019). </w:t>
      </w:r>
      <w:r w:rsidRPr="00E25215">
        <w:rPr>
          <w:rFonts w:cs="Times New Roman"/>
          <w:i/>
          <w:iCs/>
        </w:rPr>
        <w:t>World Urbanization Prospects 2018: Highlights</w:t>
      </w:r>
      <w:r w:rsidRPr="00E25215">
        <w:rPr>
          <w:rFonts w:cs="Times New Roman"/>
        </w:rPr>
        <w:t>. https://doi.org/10.18356/6255ead2-en</w:t>
      </w:r>
    </w:p>
    <w:p w14:paraId="3FF42BBB"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United Nations, Department of Economic and Social Affairs, &amp; Population Division. (2019). </w:t>
      </w:r>
      <w:r w:rsidRPr="00E25215">
        <w:rPr>
          <w:rFonts w:cs="Times New Roman"/>
          <w:i/>
          <w:iCs/>
        </w:rPr>
        <w:t>World population prospects Highlights, 2019 revision Highlights, 2019 revision</w:t>
      </w:r>
      <w:r w:rsidRPr="00E25215">
        <w:rPr>
          <w:rFonts w:cs="Times New Roman"/>
        </w:rPr>
        <w:t>.</w:t>
      </w:r>
    </w:p>
    <w:p w14:paraId="153E7AE1"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United Nations Department of Economic and Social Affairs, Population Division. (2020). </w:t>
      </w:r>
      <w:r w:rsidRPr="00E25215">
        <w:rPr>
          <w:rFonts w:cs="Times New Roman"/>
          <w:i/>
          <w:iCs/>
        </w:rPr>
        <w:t>International Migration 2020 Highlights (ST/ESA/SER.A/452)</w:t>
      </w:r>
      <w:r w:rsidRPr="00E25215">
        <w:rPr>
          <w:rFonts w:cs="Times New Roman"/>
        </w:rPr>
        <w:t>. https://www.un.org/en/desa/international-migration-2020-highlights</w:t>
      </w:r>
    </w:p>
    <w:p w14:paraId="18FCCA54"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United Nations Environment Programme. (2021). </w:t>
      </w:r>
      <w:r w:rsidRPr="00E25215">
        <w:rPr>
          <w:rFonts w:cs="Times New Roman"/>
          <w:i/>
          <w:iCs/>
        </w:rPr>
        <w:t>From Pollution to Solution. A global assessment of marine litter and plastic pollution Nairobi</w:t>
      </w:r>
      <w:r w:rsidRPr="00E25215">
        <w:rPr>
          <w:rFonts w:cs="Times New Roman"/>
        </w:rPr>
        <w:t>. https://nottingham-repository.worktribe.com/output/8047115</w:t>
      </w:r>
    </w:p>
    <w:p w14:paraId="34EAC205"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UNWTO. (2021). </w:t>
      </w:r>
      <w:r w:rsidRPr="00E25215">
        <w:rPr>
          <w:rFonts w:cs="Times New Roman"/>
          <w:i/>
          <w:iCs/>
        </w:rPr>
        <w:t>Compendium of Tourism Statistics Data  2015 –  2019</w:t>
      </w:r>
      <w:r w:rsidRPr="00E25215">
        <w:rPr>
          <w:rFonts w:cs="Times New Roman"/>
        </w:rPr>
        <w:t>. https://www.e-unwto.org/doi/epdf/10.18111/9789284422494.1</w:t>
      </w:r>
    </w:p>
    <w:p w14:paraId="2D221AED"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Uyi, O. O., &amp; Igbinosa, I. B. (2013). The status of </w:t>
      </w:r>
      <w:r w:rsidRPr="00E25215">
        <w:rPr>
          <w:rFonts w:cs="Times New Roman"/>
          <w:i/>
          <w:iCs/>
        </w:rPr>
        <w:t>Chromolaena odorata</w:t>
      </w:r>
      <w:r w:rsidRPr="00E25215">
        <w:rPr>
          <w:rFonts w:cs="Times New Roman"/>
        </w:rPr>
        <w:t xml:space="preserve"> and its biocontrol in West Africa. </w:t>
      </w:r>
      <w:r w:rsidRPr="00E25215">
        <w:rPr>
          <w:rFonts w:cs="Times New Roman"/>
          <w:i/>
          <w:iCs/>
        </w:rPr>
        <w:t>Proceedings of the Eighth International Workshop on Biological Control and Management of Chromolaena Odorata and Other Eupatorieae, 1-2 November 2010, Nairobi, Kenya</w:t>
      </w:r>
      <w:r w:rsidRPr="00E25215">
        <w:rPr>
          <w:rFonts w:cs="Times New Roman"/>
        </w:rPr>
        <w:t>, 86–98. https://www.cabdirect.org/cabdirect/abstract/20173115399</w:t>
      </w:r>
    </w:p>
    <w:p w14:paraId="106FB929"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Uzair, M., Ahmed, M., &amp; Nazim, K. (2009). Effect of industrial waste on seed bank and growth of wild plants in Dhabeji area, Karachi, Pakistan. </w:t>
      </w:r>
      <w:r w:rsidRPr="00E25215">
        <w:rPr>
          <w:rFonts w:cs="Times New Roman"/>
          <w:i/>
          <w:iCs/>
        </w:rPr>
        <w:t>Pakistan Journal of Botany</w:t>
      </w:r>
      <w:r w:rsidRPr="00E25215">
        <w:rPr>
          <w:rFonts w:cs="Times New Roman"/>
        </w:rPr>
        <w:t xml:space="preserve">, </w:t>
      </w:r>
      <w:r w:rsidRPr="00E25215">
        <w:rPr>
          <w:rFonts w:cs="Times New Roman"/>
          <w:i/>
          <w:iCs/>
        </w:rPr>
        <w:t>41</w:t>
      </w:r>
      <w:r w:rsidRPr="00E25215">
        <w:rPr>
          <w:rFonts w:cs="Times New Roman"/>
        </w:rPr>
        <w:t>(4), 1659–1665. http://pakbs.org/pjbot/PDFs/41(4)/PJB41(4)1659.pdf</w:t>
      </w:r>
    </w:p>
    <w:p w14:paraId="291F232D"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van den Burg, M. P., Brisbane, J. L. K., &amp; Knapp, C. R. (2019). Post-hurricane relief facilitates invasion and establishment of two invasive alien vertebrate species in the Commonwealth of Dominica, West Indies. </w:t>
      </w:r>
      <w:r w:rsidRPr="00E25215">
        <w:rPr>
          <w:rFonts w:cs="Times New Roman"/>
          <w:i/>
          <w:iCs/>
        </w:rPr>
        <w:t>Biological Invasions</w:t>
      </w:r>
      <w:r w:rsidRPr="00E25215">
        <w:rPr>
          <w:rFonts w:cs="Times New Roman"/>
        </w:rPr>
        <w:t>. https://doi.org/10.1007/s10530-019-02107-5</w:t>
      </w:r>
    </w:p>
    <w:p w14:paraId="2A95418D" w14:textId="77777777" w:rsidR="001379C0" w:rsidRPr="00E25215" w:rsidRDefault="001379C0" w:rsidP="009B3E7F">
      <w:pPr>
        <w:pStyle w:val="Bibliography"/>
        <w:spacing w:before="0" w:after="0" w:line="240" w:lineRule="auto"/>
        <w:rPr>
          <w:rFonts w:cs="Times New Roman"/>
        </w:rPr>
      </w:pPr>
      <w:r w:rsidRPr="00E25215">
        <w:rPr>
          <w:rFonts w:cs="Times New Roman"/>
        </w:rPr>
        <w:lastRenderedPageBreak/>
        <w:t xml:space="preserve">van der Zanden, E. H., Verburg, P. H., Schulp, C. J. E., &amp; Verkerk, P. J. (2017). Trade-offs of European agricultural abandonment. </w:t>
      </w:r>
      <w:r w:rsidRPr="00E25215">
        <w:rPr>
          <w:rFonts w:cs="Times New Roman"/>
          <w:i/>
          <w:iCs/>
        </w:rPr>
        <w:t>Land Use Policy</w:t>
      </w:r>
      <w:r w:rsidRPr="00E25215">
        <w:rPr>
          <w:rFonts w:cs="Times New Roman"/>
        </w:rPr>
        <w:t xml:space="preserve">, </w:t>
      </w:r>
      <w:r w:rsidRPr="00E25215">
        <w:rPr>
          <w:rFonts w:cs="Times New Roman"/>
          <w:i/>
          <w:iCs/>
        </w:rPr>
        <w:t>62</w:t>
      </w:r>
      <w:r w:rsidRPr="00E25215">
        <w:rPr>
          <w:rFonts w:cs="Times New Roman"/>
        </w:rPr>
        <w:t>, 290–301. https://doi.org/10.1016/j.landusepol.2017.01.003</w:t>
      </w:r>
    </w:p>
    <w:p w14:paraId="3B008DA6"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van Kleunen, M., Essl, F., Pergl, J., Brundu, G., Carboni, M., Dullinger, S., Early, R., González-Moreno, P., Groom, Q. J., Hulme, P. E., Kueffer, C., Kühn, I., Máguas, C., Maurel, N., Novoa, A., Parepa, M., Pyšek, P., Seebens, H., Tanner, R., … Dehnen-Schmutz, K. (2018). The changing role of ornamental horticulture in alien plant invasions. </w:t>
      </w:r>
      <w:r w:rsidRPr="00E25215">
        <w:rPr>
          <w:rFonts w:cs="Times New Roman"/>
          <w:i/>
          <w:iCs/>
        </w:rPr>
        <w:t>Biological Reviews</w:t>
      </w:r>
      <w:r w:rsidRPr="00E25215">
        <w:rPr>
          <w:rFonts w:cs="Times New Roman"/>
        </w:rPr>
        <w:t xml:space="preserve">, </w:t>
      </w:r>
      <w:r w:rsidRPr="00E25215">
        <w:rPr>
          <w:rFonts w:cs="Times New Roman"/>
          <w:i/>
          <w:iCs/>
        </w:rPr>
        <w:t>93</w:t>
      </w:r>
      <w:r w:rsidRPr="00E25215">
        <w:rPr>
          <w:rFonts w:cs="Times New Roman"/>
        </w:rPr>
        <w:t>(3), 1421–1437. https://doi.org/10.1111/brv.12402</w:t>
      </w:r>
    </w:p>
    <w:p w14:paraId="1F46E177"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van Kleunen, M., Xu, X., Yang, Q., Maurel, N., Zhang, Z., Dawson, W., Essl, F., Kreft, H., Pergl, J., Pyšek, P., Weigelt, P., Moser, D., Lenzner, B., &amp; Fristoe, T. S. (2020). Economic use of plants is key to their naturalization success. </w:t>
      </w:r>
      <w:r w:rsidRPr="00E25215">
        <w:rPr>
          <w:rFonts w:cs="Times New Roman"/>
          <w:i/>
          <w:iCs/>
        </w:rPr>
        <w:t>Nature Communications</w:t>
      </w:r>
      <w:r w:rsidRPr="00E25215">
        <w:rPr>
          <w:rFonts w:cs="Times New Roman"/>
        </w:rPr>
        <w:t xml:space="preserve">, </w:t>
      </w:r>
      <w:r w:rsidRPr="00E25215">
        <w:rPr>
          <w:rFonts w:cs="Times New Roman"/>
          <w:i/>
          <w:iCs/>
        </w:rPr>
        <w:t>11</w:t>
      </w:r>
      <w:r w:rsidRPr="00E25215">
        <w:rPr>
          <w:rFonts w:cs="Times New Roman"/>
        </w:rPr>
        <w:t>(1), 3201. https://doi.org/10.1038/s41467-020-16982-3</w:t>
      </w:r>
    </w:p>
    <w:p w14:paraId="7D4442A1"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Van Leeuwen, C. H. (2018). Internal and external dispersal of plants by animals: An aquatic perspective on alien interference. </w:t>
      </w:r>
      <w:r w:rsidRPr="00E25215">
        <w:rPr>
          <w:rFonts w:cs="Times New Roman"/>
          <w:i/>
          <w:iCs/>
        </w:rPr>
        <w:t>Frontiers in Plant Science</w:t>
      </w:r>
      <w:r w:rsidRPr="00E25215">
        <w:rPr>
          <w:rFonts w:cs="Times New Roman"/>
        </w:rPr>
        <w:t xml:space="preserve">, </w:t>
      </w:r>
      <w:r w:rsidRPr="00E25215">
        <w:rPr>
          <w:rFonts w:cs="Times New Roman"/>
          <w:i/>
          <w:iCs/>
        </w:rPr>
        <w:t>9</w:t>
      </w:r>
      <w:r w:rsidRPr="00E25215">
        <w:rPr>
          <w:rFonts w:cs="Times New Roman"/>
        </w:rPr>
        <w:t>, 153.</w:t>
      </w:r>
    </w:p>
    <w:p w14:paraId="3EBD27BB"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van Ruijven, J., De Deyn, G. B., &amp; Berendse, F. (2003). Diversity reduces invasibility in experimental plant communities: The role of plant species. </w:t>
      </w:r>
      <w:r w:rsidRPr="00E25215">
        <w:rPr>
          <w:rFonts w:cs="Times New Roman"/>
          <w:i/>
          <w:iCs/>
        </w:rPr>
        <w:t>Ecology Letters</w:t>
      </w:r>
      <w:r w:rsidRPr="00E25215">
        <w:rPr>
          <w:rFonts w:cs="Times New Roman"/>
        </w:rPr>
        <w:t xml:space="preserve">, </w:t>
      </w:r>
      <w:r w:rsidRPr="00E25215">
        <w:rPr>
          <w:rFonts w:cs="Times New Roman"/>
          <w:i/>
          <w:iCs/>
        </w:rPr>
        <w:t>6</w:t>
      </w:r>
      <w:r w:rsidRPr="00E25215">
        <w:rPr>
          <w:rFonts w:cs="Times New Roman"/>
        </w:rPr>
        <w:t>(10), 910–918. https://doi.org/10.1046/j.1461-0248.2003.00516.x</w:t>
      </w:r>
    </w:p>
    <w:p w14:paraId="79A9F38B"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Van Wilgen, B. W., Dyer, C., Hoffmann, J. H., Ivey, P., Le Maitre, D. C., Moore, J. L., Richardson, D. M., Rouget, M., Wannenburgh, A., &amp; Wilson, J. R. U. (2011). National-scale strategic approaches for managing introduced plants: Insights from Australian acacias in South Africa: Strategic approaches for managing introduced acacias. </w:t>
      </w:r>
      <w:r w:rsidRPr="00E25215">
        <w:rPr>
          <w:rFonts w:cs="Times New Roman"/>
          <w:i/>
          <w:iCs/>
        </w:rPr>
        <w:t>Diversity and Distributions</w:t>
      </w:r>
      <w:r w:rsidRPr="00E25215">
        <w:rPr>
          <w:rFonts w:cs="Times New Roman"/>
        </w:rPr>
        <w:t xml:space="preserve">, </w:t>
      </w:r>
      <w:r w:rsidRPr="00E25215">
        <w:rPr>
          <w:rFonts w:cs="Times New Roman"/>
          <w:i/>
          <w:iCs/>
        </w:rPr>
        <w:t>17</w:t>
      </w:r>
      <w:r w:rsidRPr="00E25215">
        <w:rPr>
          <w:rFonts w:cs="Times New Roman"/>
        </w:rPr>
        <w:t>(5), 1060–1075. https://doi.org/10.1111/j.1472-4642.2011.00785.x</w:t>
      </w:r>
    </w:p>
    <w:p w14:paraId="07F107B2"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van Zwieten, P. A. M., Kolding, J., Plank, M. J., Hecky, R. E., Bridgeman, T. B., MacIntyre, S., Seehausen, O., &amp; Silsbe, G. M. (2015). The Nile perch invasion in Lake Victoria: Cause or consequence of the haplochromine decline? </w:t>
      </w:r>
      <w:r w:rsidRPr="00E25215">
        <w:rPr>
          <w:rFonts w:cs="Times New Roman"/>
          <w:i/>
          <w:iCs/>
        </w:rPr>
        <w:t>Canadian Journal of Fisheries and Aquatic Sciences</w:t>
      </w:r>
      <w:r w:rsidRPr="00E25215">
        <w:rPr>
          <w:rFonts w:cs="Times New Roman"/>
        </w:rPr>
        <w:t xml:space="preserve">, </w:t>
      </w:r>
      <w:r w:rsidRPr="00E25215">
        <w:rPr>
          <w:rFonts w:cs="Times New Roman"/>
          <w:i/>
          <w:iCs/>
        </w:rPr>
        <w:t>73</w:t>
      </w:r>
      <w:r w:rsidRPr="00E25215">
        <w:rPr>
          <w:rFonts w:cs="Times New Roman"/>
        </w:rPr>
        <w:t>(4), 622–643. https://doi.org/10.1139/cjfas-2015-0130</w:t>
      </w:r>
    </w:p>
    <w:p w14:paraId="44C0F63B"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Vaselli, S., Bulleri, F., &amp; Benedetti-Cecchi, L. (2008). Hard coastal-defence structures as habitats for native and exotic rocky-bottom species. </w:t>
      </w:r>
      <w:r w:rsidRPr="00E25215">
        <w:rPr>
          <w:rFonts w:cs="Times New Roman"/>
          <w:i/>
          <w:iCs/>
        </w:rPr>
        <w:t>Marine Environmental Research</w:t>
      </w:r>
      <w:r w:rsidRPr="00E25215">
        <w:rPr>
          <w:rFonts w:cs="Times New Roman"/>
        </w:rPr>
        <w:t xml:space="preserve">, </w:t>
      </w:r>
      <w:r w:rsidRPr="00E25215">
        <w:rPr>
          <w:rFonts w:cs="Times New Roman"/>
          <w:i/>
          <w:iCs/>
        </w:rPr>
        <w:t>66</w:t>
      </w:r>
      <w:r w:rsidRPr="00E25215">
        <w:rPr>
          <w:rFonts w:cs="Times New Roman"/>
        </w:rPr>
        <w:t>(4), 395–403. https://doi.org/10.1016/j.marenvres.2008.06.002</w:t>
      </w:r>
    </w:p>
    <w:p w14:paraId="39B3029C"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Vasquez, E. A., Glenn, E. P., Brown, J. J., Guntenspergen, G. R., &amp; Nelson, S. G. (2005). Salt tolerance underlies the cryptic invasion of North American salt marshes by an introduced haplotype of the common reed </w:t>
      </w:r>
      <w:r w:rsidRPr="00E25215">
        <w:rPr>
          <w:rFonts w:cs="Times New Roman"/>
          <w:i/>
          <w:iCs/>
        </w:rPr>
        <w:t>Phragmites australis</w:t>
      </w:r>
      <w:r w:rsidRPr="00E25215">
        <w:rPr>
          <w:rFonts w:cs="Times New Roman"/>
        </w:rPr>
        <w:t xml:space="preserve"> (Poaceae). </w:t>
      </w:r>
      <w:r w:rsidRPr="00E25215">
        <w:rPr>
          <w:rFonts w:cs="Times New Roman"/>
          <w:i/>
          <w:iCs/>
        </w:rPr>
        <w:t>Marine Ecology Progress Series</w:t>
      </w:r>
      <w:r w:rsidRPr="00E25215">
        <w:rPr>
          <w:rFonts w:cs="Times New Roman"/>
        </w:rPr>
        <w:t xml:space="preserve">, </w:t>
      </w:r>
      <w:r w:rsidRPr="00E25215">
        <w:rPr>
          <w:rFonts w:cs="Times New Roman"/>
          <w:i/>
          <w:iCs/>
        </w:rPr>
        <w:t>298</w:t>
      </w:r>
      <w:r w:rsidRPr="00E25215">
        <w:rPr>
          <w:rFonts w:cs="Times New Roman"/>
        </w:rPr>
        <w:t>, 1–8. https://doi.org/10.3354/meps298001</w:t>
      </w:r>
    </w:p>
    <w:p w14:paraId="2377F7F6"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Vasquez, E. A., Sheley, R., &amp; Svejcar, T. (2008). Creating Invasion Resistant Soils via Nitrogen Management. </w:t>
      </w:r>
      <w:r w:rsidRPr="00E25215">
        <w:rPr>
          <w:rFonts w:cs="Times New Roman"/>
          <w:i/>
          <w:iCs/>
        </w:rPr>
        <w:t>Invasive Plant Science and Management</w:t>
      </w:r>
      <w:r w:rsidRPr="00E25215">
        <w:rPr>
          <w:rFonts w:cs="Times New Roman"/>
        </w:rPr>
        <w:t xml:space="preserve">, </w:t>
      </w:r>
      <w:r w:rsidRPr="00E25215">
        <w:rPr>
          <w:rFonts w:cs="Times New Roman"/>
          <w:i/>
          <w:iCs/>
        </w:rPr>
        <w:t>1</w:t>
      </w:r>
      <w:r w:rsidRPr="00E25215">
        <w:rPr>
          <w:rFonts w:cs="Times New Roman"/>
        </w:rPr>
        <w:t>(3), Article 3. https://doi.org/10.1614/IPSM-07-059.1</w:t>
      </w:r>
    </w:p>
    <w:p w14:paraId="4C705150"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Vaverková, M. D., Adamcová, D., Winkler, J., Koda, E., Petrželová, L., &amp; Maxianová, A. (2020). Alternative method of composting on a reclaimed municipal waste landfill in accordance with the circular economy: Benefits and risks. </w:t>
      </w:r>
      <w:r w:rsidRPr="00E25215">
        <w:rPr>
          <w:rFonts w:cs="Times New Roman"/>
          <w:i/>
          <w:iCs/>
        </w:rPr>
        <w:t>Science of The Total Environment</w:t>
      </w:r>
      <w:r w:rsidRPr="00E25215">
        <w:rPr>
          <w:rFonts w:cs="Times New Roman"/>
        </w:rPr>
        <w:t xml:space="preserve">, </w:t>
      </w:r>
      <w:r w:rsidRPr="00E25215">
        <w:rPr>
          <w:rFonts w:cs="Times New Roman"/>
          <w:i/>
          <w:iCs/>
        </w:rPr>
        <w:t>723</w:t>
      </w:r>
      <w:r w:rsidRPr="00E25215">
        <w:rPr>
          <w:rFonts w:cs="Times New Roman"/>
        </w:rPr>
        <w:t>, 137971. https://doi.org/10.1016/j.scitotenv.2020.137971</w:t>
      </w:r>
    </w:p>
    <w:p w14:paraId="0BEC45B4"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Veiga, A. (2021, March 30). </w:t>
      </w:r>
      <w:r w:rsidRPr="00E25215">
        <w:rPr>
          <w:rFonts w:cs="Times New Roman"/>
          <w:i/>
          <w:iCs/>
        </w:rPr>
        <w:t>Suez Canal blockage adds to pressure points in global trade</w:t>
      </w:r>
      <w:r w:rsidRPr="00E25215">
        <w:rPr>
          <w:rFonts w:cs="Times New Roman"/>
        </w:rPr>
        <w:t>. AP NEWS. https://apnews.com/article/europe-global-trade-egypt-coronavirus-pandemic-suez-canal-166bc8f21e9705f2921a67ef2dea176c</w:t>
      </w:r>
    </w:p>
    <w:p w14:paraId="023AC37D"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Veldman, J. W., Mostacedo, B., Peña-Claros, M., &amp; Putz, F. E. (2009). Selective logging and fire as drivers of alien grass invasion in a Bolivian tropical dry forest. </w:t>
      </w:r>
      <w:r w:rsidRPr="00E25215">
        <w:rPr>
          <w:rFonts w:cs="Times New Roman"/>
          <w:i/>
          <w:iCs/>
        </w:rPr>
        <w:t>Forest Ecology and Management</w:t>
      </w:r>
      <w:r w:rsidRPr="00E25215">
        <w:rPr>
          <w:rFonts w:cs="Times New Roman"/>
        </w:rPr>
        <w:t xml:space="preserve">, </w:t>
      </w:r>
      <w:r w:rsidRPr="00E25215">
        <w:rPr>
          <w:rFonts w:cs="Times New Roman"/>
          <w:i/>
          <w:iCs/>
        </w:rPr>
        <w:t>258</w:t>
      </w:r>
      <w:r w:rsidRPr="00E25215">
        <w:rPr>
          <w:rFonts w:cs="Times New Roman"/>
        </w:rPr>
        <w:t>(7), 1643–1649. https://doi.org/10.1016/j.foreco.2009.07.024</w:t>
      </w:r>
    </w:p>
    <w:p w14:paraId="236A559F"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Veldman, J. W., &amp; Putz, F. E. (2010). Long-distance Dispersal of Invasive Grasses by Logging Vehicles in a Tropical Dry Forest. </w:t>
      </w:r>
      <w:r w:rsidRPr="00E25215">
        <w:rPr>
          <w:rFonts w:cs="Times New Roman"/>
          <w:i/>
          <w:iCs/>
        </w:rPr>
        <w:t>Biotropica</w:t>
      </w:r>
      <w:r w:rsidRPr="00E25215">
        <w:rPr>
          <w:rFonts w:cs="Times New Roman"/>
        </w:rPr>
        <w:t xml:space="preserve">, </w:t>
      </w:r>
      <w:r w:rsidRPr="00E25215">
        <w:rPr>
          <w:rFonts w:cs="Times New Roman"/>
          <w:i/>
          <w:iCs/>
        </w:rPr>
        <w:t>42</w:t>
      </w:r>
      <w:r w:rsidRPr="00E25215">
        <w:rPr>
          <w:rFonts w:cs="Times New Roman"/>
        </w:rPr>
        <w:t>(6), 697–703. JSTOR. https://doi.org/10.1111/j.1744-7429.201 0.00647.x</w:t>
      </w:r>
    </w:p>
    <w:p w14:paraId="41638BFB"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Velle, L. G., Nilsen, L. S., Norderhaug, A., &amp; Vandvik, V. (2014). Does prescribed burning result in biotic homogenization of coastal heathlands? </w:t>
      </w:r>
      <w:r w:rsidRPr="00E25215">
        <w:rPr>
          <w:rFonts w:cs="Times New Roman"/>
          <w:i/>
          <w:iCs/>
        </w:rPr>
        <w:t>Global Change Biology</w:t>
      </w:r>
      <w:r w:rsidRPr="00E25215">
        <w:rPr>
          <w:rFonts w:cs="Times New Roman"/>
        </w:rPr>
        <w:t xml:space="preserve">, </w:t>
      </w:r>
      <w:r w:rsidRPr="00E25215">
        <w:rPr>
          <w:rFonts w:cs="Times New Roman"/>
          <w:i/>
          <w:iCs/>
        </w:rPr>
        <w:t>20</w:t>
      </w:r>
      <w:r w:rsidRPr="00E25215">
        <w:rPr>
          <w:rFonts w:cs="Times New Roman"/>
        </w:rPr>
        <w:t>(5), 1429–1440. https://doi.org/10.1111/gcb.12448</w:t>
      </w:r>
    </w:p>
    <w:p w14:paraId="22FDF726" w14:textId="77777777" w:rsidR="001379C0" w:rsidRPr="00E25215" w:rsidRDefault="001379C0" w:rsidP="009B3E7F">
      <w:pPr>
        <w:pStyle w:val="Bibliography"/>
        <w:spacing w:before="0" w:after="0" w:line="240" w:lineRule="auto"/>
        <w:rPr>
          <w:rFonts w:cs="Times New Roman"/>
        </w:rPr>
      </w:pPr>
      <w:r w:rsidRPr="00E25215">
        <w:rPr>
          <w:rFonts w:cs="Times New Roman"/>
        </w:rPr>
        <w:lastRenderedPageBreak/>
        <w:t xml:space="preserve">Verbrugge, L. N. H., Schipper, A. M., Huijbregts, M. A. J., Van der Velde, G., &amp; Leuven, R. S. E. W. (2012). Sensitivity of native and non-native mollusc species to changing river water temperature and salinity. </w:t>
      </w:r>
      <w:r w:rsidRPr="00E25215">
        <w:rPr>
          <w:rFonts w:cs="Times New Roman"/>
          <w:i/>
          <w:iCs/>
        </w:rPr>
        <w:t>Biological Invasions</w:t>
      </w:r>
      <w:r w:rsidRPr="00E25215">
        <w:rPr>
          <w:rFonts w:cs="Times New Roman"/>
        </w:rPr>
        <w:t xml:space="preserve">, </w:t>
      </w:r>
      <w:r w:rsidRPr="00E25215">
        <w:rPr>
          <w:rFonts w:cs="Times New Roman"/>
          <w:i/>
          <w:iCs/>
        </w:rPr>
        <w:t>14</w:t>
      </w:r>
      <w:r w:rsidRPr="00E25215">
        <w:rPr>
          <w:rFonts w:cs="Times New Roman"/>
        </w:rPr>
        <w:t>(6), 1187–1199. https://doi.org/10.1007/s10530-011-0148-y</w:t>
      </w:r>
    </w:p>
    <w:p w14:paraId="03FF33EA"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Verlaque, M., Ruitton, S., Mineur, F., &amp; Boudouresque, C.-F. (2015). </w:t>
      </w:r>
      <w:r w:rsidRPr="00E25215">
        <w:rPr>
          <w:rFonts w:cs="Times New Roman"/>
          <w:i/>
          <w:iCs/>
        </w:rPr>
        <w:t>CIESM Atlas of Exotic species in the Mediterranean Sea</w:t>
      </w:r>
      <w:r w:rsidRPr="00E25215">
        <w:rPr>
          <w:rFonts w:cs="Times New Roman"/>
        </w:rPr>
        <w:t>. https://www.ciesm.org/online/archives/abstracts/pdf/38/CIESM_Congress_2007_Istanbul_article_0014.pdf</w:t>
      </w:r>
    </w:p>
    <w:p w14:paraId="707759F1"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Vermonden, K., Leuven, R. S. E. W., &amp; van der Velde, G. (2010). Environmental factors determining invasibility of urban waters for exotic macroinvertebrates. </w:t>
      </w:r>
      <w:r w:rsidRPr="00E25215">
        <w:rPr>
          <w:rFonts w:cs="Times New Roman"/>
          <w:i/>
          <w:iCs/>
        </w:rPr>
        <w:t>Diversity and Distributions</w:t>
      </w:r>
      <w:r w:rsidRPr="00E25215">
        <w:rPr>
          <w:rFonts w:cs="Times New Roman"/>
        </w:rPr>
        <w:t xml:space="preserve">, </w:t>
      </w:r>
      <w:r w:rsidRPr="00E25215">
        <w:rPr>
          <w:rFonts w:cs="Times New Roman"/>
          <w:i/>
          <w:iCs/>
        </w:rPr>
        <w:t>16</w:t>
      </w:r>
      <w:r w:rsidRPr="00E25215">
        <w:rPr>
          <w:rFonts w:cs="Times New Roman"/>
        </w:rPr>
        <w:t>(6), 1009–1021. https://doi.org/10.1111/j.1472-4642.2010.00702.x</w:t>
      </w:r>
    </w:p>
    <w:p w14:paraId="2DC26CC3"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Vestergaard, N., Kaiser, B., Fernandez, L., &amp; Larsen, J. N. (Eds.). (2018). </w:t>
      </w:r>
      <w:r w:rsidRPr="00E25215">
        <w:rPr>
          <w:rFonts w:cs="Times New Roman"/>
          <w:i/>
          <w:iCs/>
        </w:rPr>
        <w:t>Arctic Marine Resource Governance and Development</w:t>
      </w:r>
      <w:r w:rsidRPr="00E25215">
        <w:rPr>
          <w:rFonts w:cs="Times New Roman"/>
        </w:rPr>
        <w:t>. Springer. https://doi.org/10.1007/978-3-319-67365-3</w:t>
      </w:r>
    </w:p>
    <w:p w14:paraId="16D33235"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Vidal, E. M., Tjaden, J. D., &amp; Global Migration Data Analysis Centre. (2018). </w:t>
      </w:r>
      <w:r w:rsidRPr="00E25215">
        <w:rPr>
          <w:rFonts w:cs="Times New Roman"/>
          <w:i/>
          <w:iCs/>
        </w:rPr>
        <w:t>Global migration indicators 2018: Insights from the Global Migration Data Portal: www.migrationdataportal.org</w:t>
      </w:r>
      <w:r w:rsidRPr="00E25215">
        <w:rPr>
          <w:rFonts w:cs="Times New Roman"/>
        </w:rPr>
        <w:t>. https://publications.iom.int/system/files/pdf/global_migration_indicators_2018.pdf</w:t>
      </w:r>
    </w:p>
    <w:p w14:paraId="3F39EC07"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Vilà, M., &amp; Ibáñez, I. (2011). Plant invasions in the landscape. </w:t>
      </w:r>
      <w:r w:rsidRPr="00E25215">
        <w:rPr>
          <w:rFonts w:cs="Times New Roman"/>
          <w:i/>
          <w:iCs/>
        </w:rPr>
        <w:t>Landscape Ecology</w:t>
      </w:r>
      <w:r w:rsidRPr="00E25215">
        <w:rPr>
          <w:rFonts w:cs="Times New Roman"/>
        </w:rPr>
        <w:t xml:space="preserve">, </w:t>
      </w:r>
      <w:r w:rsidRPr="00E25215">
        <w:rPr>
          <w:rFonts w:cs="Times New Roman"/>
          <w:i/>
          <w:iCs/>
        </w:rPr>
        <w:t>26</w:t>
      </w:r>
      <w:r w:rsidRPr="00E25215">
        <w:rPr>
          <w:rFonts w:cs="Times New Roman"/>
        </w:rPr>
        <w:t>(4), Article 4. https://doi.org/10.1007/s10980-011-9585-3</w:t>
      </w:r>
    </w:p>
    <w:p w14:paraId="2C209B0A"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Violle, C., Nemergut, D. R., Pu, Z., &amp; Jiang, L. (2011). Phylogenetic limiting similarity and competitive exclusion. </w:t>
      </w:r>
      <w:r w:rsidRPr="00E25215">
        <w:rPr>
          <w:rFonts w:cs="Times New Roman"/>
          <w:i/>
          <w:iCs/>
        </w:rPr>
        <w:t>Ecology Letters</w:t>
      </w:r>
      <w:r w:rsidRPr="00E25215">
        <w:rPr>
          <w:rFonts w:cs="Times New Roman"/>
        </w:rPr>
        <w:t xml:space="preserve">, </w:t>
      </w:r>
      <w:r w:rsidRPr="00E25215">
        <w:rPr>
          <w:rFonts w:cs="Times New Roman"/>
          <w:i/>
          <w:iCs/>
        </w:rPr>
        <w:t>14</w:t>
      </w:r>
      <w:r w:rsidRPr="00E25215">
        <w:rPr>
          <w:rFonts w:cs="Times New Roman"/>
        </w:rPr>
        <w:t>(8), 782–787. https://doi.org/10.1111/j.1461-0248.2011.01644.x</w:t>
      </w:r>
    </w:p>
    <w:p w14:paraId="79E8A7F2"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Voight, J. R., Lee, R. W., Reft, A. J., &amp; Bates, A. E. (2012). Scientific gear as a vector for non-native species at deep-sea hydrothermal vents. </w:t>
      </w:r>
      <w:r w:rsidRPr="00E25215">
        <w:rPr>
          <w:rFonts w:cs="Times New Roman"/>
          <w:i/>
          <w:iCs/>
        </w:rPr>
        <w:t>Conservation Biology</w:t>
      </w:r>
      <w:r w:rsidRPr="00E25215">
        <w:rPr>
          <w:rFonts w:cs="Times New Roman"/>
        </w:rPr>
        <w:t xml:space="preserve">, </w:t>
      </w:r>
      <w:r w:rsidRPr="00E25215">
        <w:rPr>
          <w:rFonts w:cs="Times New Roman"/>
          <w:i/>
          <w:iCs/>
        </w:rPr>
        <w:t>26</w:t>
      </w:r>
      <w:r w:rsidRPr="00E25215">
        <w:rPr>
          <w:rFonts w:cs="Times New Roman"/>
        </w:rPr>
        <w:t>(5), 938–942. https://doi.org/10.1111/j.1523-1739.2012.01864.x</w:t>
      </w:r>
    </w:p>
    <w:p w14:paraId="6D7FDC88"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Vranken, S., Bosch, S., Peña, V., Leliaert, F., Mineur, F., &amp; De Clerck, O. (2018). A risk assessment of aquarium trade introductions of seaweed in European waters. </w:t>
      </w:r>
      <w:r w:rsidRPr="00E25215">
        <w:rPr>
          <w:rFonts w:cs="Times New Roman"/>
          <w:i/>
          <w:iCs/>
        </w:rPr>
        <w:t>Biological Invasions</w:t>
      </w:r>
      <w:r w:rsidRPr="00E25215">
        <w:rPr>
          <w:rFonts w:cs="Times New Roman"/>
        </w:rPr>
        <w:t xml:space="preserve">, </w:t>
      </w:r>
      <w:r w:rsidRPr="00E25215">
        <w:rPr>
          <w:rFonts w:cs="Times New Roman"/>
          <w:i/>
          <w:iCs/>
        </w:rPr>
        <w:t>20</w:t>
      </w:r>
      <w:r w:rsidRPr="00E25215">
        <w:rPr>
          <w:rFonts w:cs="Times New Roman"/>
        </w:rPr>
        <w:t>(5), 1171–1187. https://doi.org/10.1007/s10530-017-1618-7</w:t>
      </w:r>
    </w:p>
    <w:p w14:paraId="5D3C43B7"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Vrees, L. de. (2021). Adaptive marine spatial planning in the Netherlands sector of the North Sea. </w:t>
      </w:r>
      <w:r w:rsidRPr="00E25215">
        <w:rPr>
          <w:rFonts w:cs="Times New Roman"/>
          <w:i/>
          <w:iCs/>
        </w:rPr>
        <w:t>Marine Policy</w:t>
      </w:r>
      <w:r w:rsidRPr="00E25215">
        <w:rPr>
          <w:rFonts w:cs="Times New Roman"/>
        </w:rPr>
        <w:t xml:space="preserve">, </w:t>
      </w:r>
      <w:r w:rsidRPr="00E25215">
        <w:rPr>
          <w:rFonts w:cs="Times New Roman"/>
          <w:i/>
          <w:iCs/>
        </w:rPr>
        <w:t>132</w:t>
      </w:r>
      <w:r w:rsidRPr="00E25215">
        <w:rPr>
          <w:rFonts w:cs="Times New Roman"/>
        </w:rPr>
        <w:t>, 103418. https://doi.org/10.1016/j.marpol.2019.01.007</w:t>
      </w:r>
    </w:p>
    <w:p w14:paraId="6BFEBC7D"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Waddell, E. H., Banin, L. F., Fleiss, S., Hill, J. K., Hughes, M., Jelling, A., Yeong, K. L., Ola, B. B., Sailim, A. B., Tangah, J., &amp; Chapman, D. S. (2020). Land-use change and propagule pressure promote plant invasions in tropical rainforest remnants. </w:t>
      </w:r>
      <w:r w:rsidRPr="00E25215">
        <w:rPr>
          <w:rFonts w:cs="Times New Roman"/>
          <w:i/>
          <w:iCs/>
        </w:rPr>
        <w:t>Landscape Ecology</w:t>
      </w:r>
      <w:r w:rsidRPr="00E25215">
        <w:rPr>
          <w:rFonts w:cs="Times New Roman"/>
        </w:rPr>
        <w:t xml:space="preserve">, </w:t>
      </w:r>
      <w:r w:rsidRPr="00E25215">
        <w:rPr>
          <w:rFonts w:cs="Times New Roman"/>
          <w:i/>
          <w:iCs/>
        </w:rPr>
        <w:t>35</w:t>
      </w:r>
      <w:r w:rsidRPr="00E25215">
        <w:rPr>
          <w:rFonts w:cs="Times New Roman"/>
        </w:rPr>
        <w:t>, 1891–1906. https://doi.org/10.1007/s10980-020-01067-9</w:t>
      </w:r>
    </w:p>
    <w:p w14:paraId="2691EEAA"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Wagner, D. L., Metzler, K. J., Leicht-Young, S. A., &amp; Motzkin, G. (2014). Vegetation composition along a New England transmission line corridor and its implications for other trophic levels. </w:t>
      </w:r>
      <w:r w:rsidRPr="00E25215">
        <w:rPr>
          <w:rFonts w:cs="Times New Roman"/>
          <w:i/>
          <w:iCs/>
        </w:rPr>
        <w:t>Forest Ecology and Management</w:t>
      </w:r>
      <w:r w:rsidRPr="00E25215">
        <w:rPr>
          <w:rFonts w:cs="Times New Roman"/>
        </w:rPr>
        <w:t xml:space="preserve">, </w:t>
      </w:r>
      <w:r w:rsidRPr="00E25215">
        <w:rPr>
          <w:rFonts w:cs="Times New Roman"/>
          <w:i/>
          <w:iCs/>
        </w:rPr>
        <w:t>327</w:t>
      </w:r>
      <w:r w:rsidRPr="00E25215">
        <w:rPr>
          <w:rFonts w:cs="Times New Roman"/>
        </w:rPr>
        <w:t>, 231–239. https://doi.org/10.1016/j.foreco.2014.04.026</w:t>
      </w:r>
    </w:p>
    <w:p w14:paraId="477DAEEC"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Wakie, T. T., Laituri, M., &amp; Evangelista, P. H. (2016). Assessing the distribution and impacts of </w:t>
      </w:r>
      <w:r w:rsidRPr="00E25215">
        <w:rPr>
          <w:rFonts w:cs="Times New Roman"/>
          <w:i/>
          <w:iCs/>
        </w:rPr>
        <w:t>Prosopis juliflora</w:t>
      </w:r>
      <w:r w:rsidRPr="00E25215">
        <w:rPr>
          <w:rFonts w:cs="Times New Roman"/>
        </w:rPr>
        <w:t xml:space="preserve"> through participatory approaches. </w:t>
      </w:r>
      <w:r w:rsidRPr="00E25215">
        <w:rPr>
          <w:rFonts w:cs="Times New Roman"/>
          <w:i/>
          <w:iCs/>
        </w:rPr>
        <w:t>Applied Geography</w:t>
      </w:r>
      <w:r w:rsidRPr="00E25215">
        <w:rPr>
          <w:rFonts w:cs="Times New Roman"/>
        </w:rPr>
        <w:t xml:space="preserve">, </w:t>
      </w:r>
      <w:r w:rsidRPr="00E25215">
        <w:rPr>
          <w:rFonts w:cs="Times New Roman"/>
          <w:i/>
          <w:iCs/>
        </w:rPr>
        <w:t>66</w:t>
      </w:r>
      <w:r w:rsidRPr="00E25215">
        <w:rPr>
          <w:rFonts w:cs="Times New Roman"/>
        </w:rPr>
        <w:t>, 132–143. https://doi.org/10.1016/j.apgeog.2015.11.017</w:t>
      </w:r>
    </w:p>
    <w:p w14:paraId="3BAC724B"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Walters, L. J., Brown, K. R., Stam, W. T., &amp; Olsen, J. L. (2006). E-commerce and </w:t>
      </w:r>
      <w:r w:rsidRPr="00E25215">
        <w:rPr>
          <w:rFonts w:cs="Times New Roman"/>
          <w:i/>
          <w:iCs/>
        </w:rPr>
        <w:t>Caulerpa</w:t>
      </w:r>
      <w:r w:rsidRPr="00E25215">
        <w:rPr>
          <w:rFonts w:cs="Times New Roman"/>
        </w:rPr>
        <w:t xml:space="preserve">: Unregulated dispersal of invasive species. </w:t>
      </w:r>
      <w:r w:rsidRPr="00E25215">
        <w:rPr>
          <w:rFonts w:cs="Times New Roman"/>
          <w:i/>
          <w:iCs/>
        </w:rPr>
        <w:t>Frontiers in Ecology and the Environment</w:t>
      </w:r>
      <w:r w:rsidRPr="00E25215">
        <w:rPr>
          <w:rFonts w:cs="Times New Roman"/>
        </w:rPr>
        <w:t xml:space="preserve">, </w:t>
      </w:r>
      <w:r w:rsidRPr="00E25215">
        <w:rPr>
          <w:rFonts w:cs="Times New Roman"/>
          <w:i/>
          <w:iCs/>
        </w:rPr>
        <w:t>4</w:t>
      </w:r>
      <w:r w:rsidRPr="00E25215">
        <w:rPr>
          <w:rFonts w:cs="Times New Roman"/>
        </w:rPr>
        <w:t>(2), 75–79. https://doi.org/10.1890/1540-9295(2006)004[0075:EACUDO]2.0.CO;2</w:t>
      </w:r>
    </w:p>
    <w:p w14:paraId="61A989ED"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Walther, G.-R., Roques, A., Hulme, P. E., Sykes, M. T., Pyšek, P., Kühn, I., Zobel, M., Bacher, S., Botta-Dukát, Z., Bugmann, H., Czúcz, B., Dauber, J., Hickler, T., Jarošík, V., Kenis, M., Klotz, S., Minchin, D., Moora, M., Nentwig, W., … Settele, J. (2009). Alien species in a warmer world: Risks and opportunities. </w:t>
      </w:r>
      <w:r w:rsidRPr="00E25215">
        <w:rPr>
          <w:rFonts w:cs="Times New Roman"/>
          <w:i/>
          <w:iCs/>
        </w:rPr>
        <w:t>Trends in Ecology &amp; Evolution</w:t>
      </w:r>
      <w:r w:rsidRPr="00E25215">
        <w:rPr>
          <w:rFonts w:cs="Times New Roman"/>
        </w:rPr>
        <w:t xml:space="preserve">, </w:t>
      </w:r>
      <w:r w:rsidRPr="00E25215">
        <w:rPr>
          <w:rFonts w:cs="Times New Roman"/>
          <w:i/>
          <w:iCs/>
        </w:rPr>
        <w:t>24</w:t>
      </w:r>
      <w:r w:rsidRPr="00E25215">
        <w:rPr>
          <w:rFonts w:cs="Times New Roman"/>
        </w:rPr>
        <w:t>(12), 686–693. https://doi.org/10.1016/j.tree.2009.06.008</w:t>
      </w:r>
    </w:p>
    <w:p w14:paraId="401D2B67"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Walton, C. S. (2003). </w:t>
      </w:r>
      <w:r w:rsidRPr="00E25215">
        <w:rPr>
          <w:rFonts w:cs="Times New Roman"/>
          <w:i/>
          <w:iCs/>
        </w:rPr>
        <w:t>Leucaena (</w:t>
      </w:r>
      <w:r w:rsidRPr="00E25215">
        <w:rPr>
          <w:rFonts w:cs="Times New Roman"/>
        </w:rPr>
        <w:t>Leucaena leucocephala</w:t>
      </w:r>
      <w:r w:rsidRPr="00E25215">
        <w:rPr>
          <w:rFonts w:cs="Times New Roman"/>
          <w:i/>
          <w:iCs/>
        </w:rPr>
        <w:t>) in Queensland</w:t>
      </w:r>
      <w:r w:rsidRPr="00E25215">
        <w:rPr>
          <w:rFonts w:cs="Times New Roman"/>
        </w:rPr>
        <w:t>. Land Protection, Department of Natural Resources, Mines, and Energy.</w:t>
      </w:r>
    </w:p>
    <w:p w14:paraId="3A16F43F" w14:textId="77777777" w:rsidR="001379C0" w:rsidRPr="00E25215" w:rsidRDefault="001379C0" w:rsidP="009B3E7F">
      <w:pPr>
        <w:pStyle w:val="Bibliography"/>
        <w:spacing w:before="0" w:after="0" w:line="240" w:lineRule="auto"/>
        <w:rPr>
          <w:rFonts w:cs="Times New Roman"/>
        </w:rPr>
      </w:pPr>
      <w:r w:rsidRPr="00E25215">
        <w:rPr>
          <w:rFonts w:cs="Times New Roman"/>
        </w:rPr>
        <w:lastRenderedPageBreak/>
        <w:t xml:space="preserve">Walton, W. E., Henke, J. A., &amp; Why, A. M. (2012). </w:t>
      </w:r>
      <w:r w:rsidRPr="00E25215">
        <w:rPr>
          <w:rFonts w:cs="Times New Roman"/>
          <w:i/>
          <w:iCs/>
        </w:rPr>
        <w:t>Gambusia affinis</w:t>
      </w:r>
      <w:r w:rsidRPr="00E25215">
        <w:rPr>
          <w:rFonts w:cs="Times New Roman"/>
        </w:rPr>
        <w:t xml:space="preserve"> (Baird and Girard) and </w:t>
      </w:r>
      <w:r w:rsidRPr="00E25215">
        <w:rPr>
          <w:rFonts w:cs="Times New Roman"/>
          <w:i/>
          <w:iCs/>
        </w:rPr>
        <w:t>Gambusia holbrooki</w:t>
      </w:r>
      <w:r w:rsidRPr="00E25215">
        <w:rPr>
          <w:rFonts w:cs="Times New Roman"/>
        </w:rPr>
        <w:t xml:space="preserve"> Girard (Mosquitofish). In </w:t>
      </w:r>
      <w:r w:rsidRPr="00E25215">
        <w:rPr>
          <w:rFonts w:cs="Times New Roman"/>
          <w:i/>
          <w:iCs/>
        </w:rPr>
        <w:t>A handbook of global freshwater invasive species</w:t>
      </w:r>
      <w:r w:rsidRPr="00E25215">
        <w:rPr>
          <w:rFonts w:cs="Times New Roman"/>
        </w:rPr>
        <w:t xml:space="preserve"> (pp. 261–273). Earthscan London.</w:t>
      </w:r>
    </w:p>
    <w:p w14:paraId="1DA4E8F5"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Wang, Q., Cheng, L., Liu, J., Li, Z., Xie, S., &amp; De Silva, S. S. (2015). Freshwater aquaculture in PR China: Trends and prospects. </w:t>
      </w:r>
      <w:r w:rsidRPr="00E25215">
        <w:rPr>
          <w:rFonts w:cs="Times New Roman"/>
          <w:i/>
          <w:iCs/>
        </w:rPr>
        <w:t>Reviews in Aquaculture</w:t>
      </w:r>
      <w:r w:rsidRPr="00E25215">
        <w:rPr>
          <w:rFonts w:cs="Times New Roman"/>
        </w:rPr>
        <w:t xml:space="preserve">, </w:t>
      </w:r>
      <w:r w:rsidRPr="00E25215">
        <w:rPr>
          <w:rFonts w:cs="Times New Roman"/>
          <w:i/>
          <w:iCs/>
        </w:rPr>
        <w:t>7</w:t>
      </w:r>
      <w:r w:rsidRPr="00E25215">
        <w:rPr>
          <w:rFonts w:cs="Times New Roman"/>
        </w:rPr>
        <w:t>(4), 283–302. https://doi.org/10.1111/raq.12086</w:t>
      </w:r>
    </w:p>
    <w:p w14:paraId="5A89D133"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Wang, Q., Fan, X., &amp; Wang, M. (2016). Evidence of high-elevation amplification versus Arctic amplification. </w:t>
      </w:r>
      <w:r w:rsidRPr="00E25215">
        <w:rPr>
          <w:rFonts w:cs="Times New Roman"/>
          <w:i/>
          <w:iCs/>
        </w:rPr>
        <w:t>Scientific Reports</w:t>
      </w:r>
      <w:r w:rsidRPr="00E25215">
        <w:rPr>
          <w:rFonts w:cs="Times New Roman"/>
        </w:rPr>
        <w:t xml:space="preserve">, </w:t>
      </w:r>
      <w:r w:rsidRPr="00E25215">
        <w:rPr>
          <w:rFonts w:cs="Times New Roman"/>
          <w:i/>
          <w:iCs/>
        </w:rPr>
        <w:t>6</w:t>
      </w:r>
      <w:r w:rsidRPr="00E25215">
        <w:rPr>
          <w:rFonts w:cs="Times New Roman"/>
        </w:rPr>
        <w:t>(1), 19219. https://doi.org/10.1038/srep19219</w:t>
      </w:r>
    </w:p>
    <w:p w14:paraId="742B7554"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Wang, Q., Zhuang, Z., Deng, J., &amp; Ye, Y. (2006). Stock enhancement and translocation of the shrimp </w:t>
      </w:r>
      <w:r w:rsidRPr="00E25215">
        <w:rPr>
          <w:rFonts w:cs="Times New Roman"/>
          <w:i/>
          <w:iCs/>
        </w:rPr>
        <w:t>Penaeus chinensis</w:t>
      </w:r>
      <w:r w:rsidRPr="00E25215">
        <w:rPr>
          <w:rFonts w:cs="Times New Roman"/>
        </w:rPr>
        <w:t xml:space="preserve"> in China. </w:t>
      </w:r>
      <w:r w:rsidRPr="00E25215">
        <w:rPr>
          <w:rFonts w:cs="Times New Roman"/>
          <w:i/>
          <w:iCs/>
        </w:rPr>
        <w:t>Fisheries Research</w:t>
      </w:r>
      <w:r w:rsidRPr="00E25215">
        <w:rPr>
          <w:rFonts w:cs="Times New Roman"/>
        </w:rPr>
        <w:t xml:space="preserve">, </w:t>
      </w:r>
      <w:r w:rsidRPr="00E25215">
        <w:rPr>
          <w:rFonts w:cs="Times New Roman"/>
          <w:i/>
          <w:iCs/>
        </w:rPr>
        <w:t>80</w:t>
      </w:r>
      <w:r w:rsidRPr="00E25215">
        <w:rPr>
          <w:rFonts w:cs="Times New Roman"/>
        </w:rPr>
        <w:t>(1), 67–79. https://doi.org/10.1016/j.fishres.2006.03.015</w:t>
      </w:r>
    </w:p>
    <w:p w14:paraId="4241159F"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Wang, W., Wang, C., Sardans, J., Tong, C., Jia, R., Zeng, C., &amp; Peñuelas, J. (2015). Flood regime affects soil stoichiometry and the distribution of the invasive plants in subtropical estuarine wetlands in China. </w:t>
      </w:r>
      <w:r w:rsidRPr="00E25215">
        <w:rPr>
          <w:rFonts w:cs="Times New Roman"/>
          <w:i/>
          <w:iCs/>
        </w:rPr>
        <w:t>Catena</w:t>
      </w:r>
      <w:r w:rsidRPr="00E25215">
        <w:rPr>
          <w:rFonts w:cs="Times New Roman"/>
        </w:rPr>
        <w:t xml:space="preserve">, </w:t>
      </w:r>
      <w:r w:rsidRPr="00E25215">
        <w:rPr>
          <w:rFonts w:cs="Times New Roman"/>
          <w:i/>
          <w:iCs/>
        </w:rPr>
        <w:t>128</w:t>
      </w:r>
      <w:r w:rsidRPr="00E25215">
        <w:rPr>
          <w:rFonts w:cs="Times New Roman"/>
        </w:rPr>
        <w:t>, 144–154. https://doi.org/10.1016/j.catena.2015.01.017</w:t>
      </w:r>
    </w:p>
    <w:p w14:paraId="55E74336"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Wang, X., Yi, T., Li, W., Xu, C., Wang, S., Wang, Y., Li, Y., &amp; Liu, X. (2022). Anthropogenic habitat loss accelerates the range expansion of a global invader. </w:t>
      </w:r>
      <w:r w:rsidRPr="00E25215">
        <w:rPr>
          <w:rFonts w:cs="Times New Roman"/>
          <w:i/>
          <w:iCs/>
        </w:rPr>
        <w:t>Diversity and Distributions</w:t>
      </w:r>
      <w:r w:rsidRPr="00E25215">
        <w:rPr>
          <w:rFonts w:cs="Times New Roman"/>
        </w:rPr>
        <w:t xml:space="preserve">, </w:t>
      </w:r>
      <w:r w:rsidRPr="00E25215">
        <w:rPr>
          <w:rFonts w:cs="Times New Roman"/>
          <w:i/>
          <w:iCs/>
        </w:rPr>
        <w:t>28</w:t>
      </w:r>
      <w:r w:rsidRPr="00E25215">
        <w:rPr>
          <w:rFonts w:cs="Times New Roman"/>
        </w:rPr>
        <w:t>(8), 1610–1619. https://doi.org/10.1111/ddi.13359</w:t>
      </w:r>
    </w:p>
    <w:p w14:paraId="240A4F47"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Wanless, R. M., Scott, S., Sauer, W. H. H., Andrew, T. G., Glass, J. P., Godfrey, B., Griffiths, C., &amp; Yeld, E. (2010). Semi-submersible rigs: A vector transporting entire marine communities around the world. </w:t>
      </w:r>
      <w:r w:rsidRPr="00E25215">
        <w:rPr>
          <w:rFonts w:cs="Times New Roman"/>
          <w:i/>
          <w:iCs/>
        </w:rPr>
        <w:t>Biological Invasions</w:t>
      </w:r>
      <w:r w:rsidRPr="00E25215">
        <w:rPr>
          <w:rFonts w:cs="Times New Roman"/>
        </w:rPr>
        <w:t xml:space="preserve">, </w:t>
      </w:r>
      <w:r w:rsidRPr="00E25215">
        <w:rPr>
          <w:rFonts w:cs="Times New Roman"/>
          <w:i/>
          <w:iCs/>
        </w:rPr>
        <w:t>12</w:t>
      </w:r>
      <w:r w:rsidRPr="00E25215">
        <w:rPr>
          <w:rFonts w:cs="Times New Roman"/>
        </w:rPr>
        <w:t>(8), 2573–2583. https://doi.org/10.1007/s10530-009-9666-2</w:t>
      </w:r>
    </w:p>
    <w:p w14:paraId="3A901668"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Ward, N. L., &amp; Masters, G. J. (2007). Linking climate change and species invasion: An illustration using insect herbivores. </w:t>
      </w:r>
      <w:r w:rsidRPr="00E25215">
        <w:rPr>
          <w:rFonts w:cs="Times New Roman"/>
          <w:i/>
          <w:iCs/>
        </w:rPr>
        <w:t>Global Change Biology</w:t>
      </w:r>
      <w:r w:rsidRPr="00E25215">
        <w:rPr>
          <w:rFonts w:cs="Times New Roman"/>
        </w:rPr>
        <w:t xml:space="preserve">, </w:t>
      </w:r>
      <w:r w:rsidRPr="00E25215">
        <w:rPr>
          <w:rFonts w:cs="Times New Roman"/>
          <w:i/>
          <w:iCs/>
        </w:rPr>
        <w:t>13</w:t>
      </w:r>
      <w:r w:rsidRPr="00E25215">
        <w:rPr>
          <w:rFonts w:cs="Times New Roman"/>
        </w:rPr>
        <w:t>(8), 1605–1615. https://doi.org/10.1111/j.1365-2486.2007.01399.x</w:t>
      </w:r>
    </w:p>
    <w:p w14:paraId="44B875CA"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Warrant, E., Frost, B., Green, K., Mouritsen, H., Dreyer, D., Adden, A., Brauburger, K., &amp; Heinze, S. (2016). The Australian Bogong moth </w:t>
      </w:r>
      <w:r w:rsidRPr="00E25215">
        <w:rPr>
          <w:rFonts w:cs="Times New Roman"/>
          <w:i/>
          <w:iCs/>
        </w:rPr>
        <w:t>Agrotis infusa</w:t>
      </w:r>
      <w:r w:rsidRPr="00E25215">
        <w:rPr>
          <w:rFonts w:cs="Times New Roman"/>
        </w:rPr>
        <w:t xml:space="preserve">: A long-distance nocturnal navigator. </w:t>
      </w:r>
      <w:r w:rsidRPr="00E25215">
        <w:rPr>
          <w:rFonts w:cs="Times New Roman"/>
          <w:i/>
          <w:iCs/>
        </w:rPr>
        <w:t>Frontiers in Behavioral Neuroscience</w:t>
      </w:r>
      <w:r w:rsidRPr="00E25215">
        <w:rPr>
          <w:rFonts w:cs="Times New Roman"/>
        </w:rPr>
        <w:t xml:space="preserve">, </w:t>
      </w:r>
      <w:r w:rsidRPr="00E25215">
        <w:rPr>
          <w:rFonts w:cs="Times New Roman"/>
          <w:i/>
          <w:iCs/>
        </w:rPr>
        <w:t>10</w:t>
      </w:r>
      <w:r w:rsidRPr="00E25215">
        <w:rPr>
          <w:rFonts w:cs="Times New Roman"/>
        </w:rPr>
        <w:t>, 77. https://doi.org/10.3389/fnbeh.2016.00077</w:t>
      </w:r>
    </w:p>
    <w:p w14:paraId="738B9056"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Warshafsky, Z. T., Tuckey, T. D., Vogelbein, W. K., Latour, R. J., &amp; Wargo, A. R. (2019). Temporal, spatial, and biological variation of nematode epidemiology in American eels. </w:t>
      </w:r>
      <w:r w:rsidRPr="00E25215">
        <w:rPr>
          <w:rFonts w:cs="Times New Roman"/>
          <w:i/>
          <w:iCs/>
        </w:rPr>
        <w:t>Canadian Journal of Fisheries and Aquatic Sciences</w:t>
      </w:r>
      <w:r w:rsidRPr="00E25215">
        <w:rPr>
          <w:rFonts w:cs="Times New Roman"/>
        </w:rPr>
        <w:t xml:space="preserve">, </w:t>
      </w:r>
      <w:r w:rsidRPr="00E25215">
        <w:rPr>
          <w:rFonts w:cs="Times New Roman"/>
          <w:i/>
          <w:iCs/>
        </w:rPr>
        <w:t>76</w:t>
      </w:r>
      <w:r w:rsidRPr="00E25215">
        <w:rPr>
          <w:rFonts w:cs="Times New Roman"/>
        </w:rPr>
        <w:t>(10), 1808–1818. https://doi.org/10.1139/cjfas-2018-0136</w:t>
      </w:r>
    </w:p>
    <w:p w14:paraId="4C2D17CC"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Wasowicz, P., Sennikov, A. N., Westergaard, K. B., Spellman, K., Carlson, M., Gillespie, L. J., Saarela, J. M., Seefeldt, S. S., Bennett, B., Bay, C., Ickert-Bond, S., &amp; Väre, H. (2020). Non-native vascular flora of the Arctic: Taxonomic richness, distribution and pathways. </w:t>
      </w:r>
      <w:r w:rsidRPr="00E25215">
        <w:rPr>
          <w:rFonts w:cs="Times New Roman"/>
          <w:i/>
          <w:iCs/>
        </w:rPr>
        <w:t>Ambio</w:t>
      </w:r>
      <w:r w:rsidRPr="00E25215">
        <w:rPr>
          <w:rFonts w:cs="Times New Roman"/>
        </w:rPr>
        <w:t xml:space="preserve">, </w:t>
      </w:r>
      <w:r w:rsidRPr="00E25215">
        <w:rPr>
          <w:rFonts w:cs="Times New Roman"/>
          <w:i/>
          <w:iCs/>
        </w:rPr>
        <w:t>49</w:t>
      </w:r>
      <w:r w:rsidRPr="00E25215">
        <w:rPr>
          <w:rFonts w:cs="Times New Roman"/>
        </w:rPr>
        <w:t>(3), 693–703. https://doi.org/10.1007/s13280-019-01296-6</w:t>
      </w:r>
    </w:p>
    <w:p w14:paraId="78F6BDF4"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Way, A. G. (2014). “A Cosmopolitan Weed of the World”: Following Bermudagrass. </w:t>
      </w:r>
      <w:r w:rsidRPr="00E25215">
        <w:rPr>
          <w:rFonts w:cs="Times New Roman"/>
          <w:i/>
          <w:iCs/>
        </w:rPr>
        <w:t>Agricultural History</w:t>
      </w:r>
      <w:r w:rsidRPr="00E25215">
        <w:rPr>
          <w:rFonts w:cs="Times New Roman"/>
        </w:rPr>
        <w:t xml:space="preserve">, </w:t>
      </w:r>
      <w:r w:rsidRPr="00E25215">
        <w:rPr>
          <w:rFonts w:cs="Times New Roman"/>
          <w:i/>
          <w:iCs/>
        </w:rPr>
        <w:t>88</w:t>
      </w:r>
      <w:r w:rsidRPr="00E25215">
        <w:rPr>
          <w:rFonts w:cs="Times New Roman"/>
        </w:rPr>
        <w:t>(3), 354–367. https://doi.org/10.3098/ah.2014.88.3.354</w:t>
      </w:r>
    </w:p>
    <w:p w14:paraId="2CE23978"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Weldon, C., du Preez, L. H., Hyatt, A. D., Muller, R., &amp; Speare, R. (2004). Origin of the amphibian chytrid fungus. </w:t>
      </w:r>
      <w:r w:rsidRPr="00E25215">
        <w:rPr>
          <w:rFonts w:cs="Times New Roman"/>
          <w:i/>
          <w:iCs/>
        </w:rPr>
        <w:t>Emerging Infectious Diseases</w:t>
      </w:r>
      <w:r w:rsidRPr="00E25215">
        <w:rPr>
          <w:rFonts w:cs="Times New Roman"/>
        </w:rPr>
        <w:t xml:space="preserve">, </w:t>
      </w:r>
      <w:r w:rsidRPr="00E25215">
        <w:rPr>
          <w:rFonts w:cs="Times New Roman"/>
          <w:i/>
          <w:iCs/>
        </w:rPr>
        <w:t>10</w:t>
      </w:r>
      <w:r w:rsidRPr="00E25215">
        <w:rPr>
          <w:rFonts w:cs="Times New Roman"/>
        </w:rPr>
        <w:t>(12), 2100–2105. https://doi.org/10.3201/eid1012.030804</w:t>
      </w:r>
    </w:p>
    <w:p w14:paraId="7DC385EF"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Weslawski, J., &amp; Kotwicki, L. (2018). Macro-plastic litter, a new vector for boreal species dispersal on Svalbard. </w:t>
      </w:r>
      <w:r w:rsidRPr="00E25215">
        <w:rPr>
          <w:rFonts w:cs="Times New Roman"/>
          <w:i/>
          <w:iCs/>
        </w:rPr>
        <w:t>Polish Polar Research</w:t>
      </w:r>
      <w:r w:rsidRPr="00E25215">
        <w:rPr>
          <w:rFonts w:cs="Times New Roman"/>
        </w:rPr>
        <w:t xml:space="preserve">, </w:t>
      </w:r>
      <w:r w:rsidRPr="00E25215">
        <w:rPr>
          <w:rFonts w:cs="Times New Roman"/>
          <w:i/>
          <w:iCs/>
        </w:rPr>
        <w:t>39</w:t>
      </w:r>
      <w:r w:rsidRPr="00E25215">
        <w:rPr>
          <w:rFonts w:cs="Times New Roman"/>
        </w:rPr>
        <w:t>(1), 165–174. https://doi.org/10.24425/118743</w:t>
      </w:r>
    </w:p>
    <w:p w14:paraId="50F61DC1"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Westphal, M. I., Browne, M., MacKinnon, K., &amp; Noble, I. (2008). The link between international trade and the global distribution of invasive alien species. </w:t>
      </w:r>
      <w:r w:rsidRPr="00E25215">
        <w:rPr>
          <w:rFonts w:cs="Times New Roman"/>
          <w:i/>
          <w:iCs/>
        </w:rPr>
        <w:t>Biological Invasions</w:t>
      </w:r>
      <w:r w:rsidRPr="00E25215">
        <w:rPr>
          <w:rFonts w:cs="Times New Roman"/>
        </w:rPr>
        <w:t xml:space="preserve">, </w:t>
      </w:r>
      <w:r w:rsidRPr="00E25215">
        <w:rPr>
          <w:rFonts w:cs="Times New Roman"/>
          <w:i/>
          <w:iCs/>
        </w:rPr>
        <w:t>10</w:t>
      </w:r>
      <w:r w:rsidRPr="00E25215">
        <w:rPr>
          <w:rFonts w:cs="Times New Roman"/>
        </w:rPr>
        <w:t>(4), 391–398. https://doi.org/10.1007/s10530-007-9138-5</w:t>
      </w:r>
    </w:p>
    <w:p w14:paraId="0CE05FBD"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Weyl, O. L. F., Ellender, B. R., Wassermann, R. J., Truter, M., Dalu, T., Zengeya, T. A., &amp; Smit, N. J. (2020). Alien freshwater fauna in South Africa. In </w:t>
      </w:r>
      <w:r w:rsidRPr="00E25215">
        <w:rPr>
          <w:rFonts w:cs="Times New Roman"/>
          <w:i/>
          <w:iCs/>
        </w:rPr>
        <w:t>Biological invasions in South Africa</w:t>
      </w:r>
      <w:r w:rsidRPr="00E25215">
        <w:rPr>
          <w:rFonts w:cs="Times New Roman"/>
        </w:rPr>
        <w:t xml:space="preserve"> (Vol. 14, pp. 151–182). Springer. https://doi.org/10.1007/978-3-030-32394-3_6</w:t>
      </w:r>
    </w:p>
    <w:p w14:paraId="16C59B59"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Wied, J. P., Perotto-Baldivieso, H. L., Conkey, A. A. T., Brennan, L. A., &amp; Mata, J. M. (2020). Invasive grasses in South Texas rangelands: Historical perspectives and future directions. </w:t>
      </w:r>
      <w:r w:rsidRPr="00E25215">
        <w:rPr>
          <w:rFonts w:cs="Times New Roman"/>
          <w:i/>
          <w:iCs/>
        </w:rPr>
        <w:t>Invasive Plant Science and Management</w:t>
      </w:r>
      <w:r w:rsidRPr="00E25215">
        <w:rPr>
          <w:rFonts w:cs="Times New Roman"/>
        </w:rPr>
        <w:t xml:space="preserve">, </w:t>
      </w:r>
      <w:r w:rsidRPr="00E25215">
        <w:rPr>
          <w:rFonts w:cs="Times New Roman"/>
          <w:i/>
          <w:iCs/>
        </w:rPr>
        <w:t>13</w:t>
      </w:r>
      <w:r w:rsidRPr="00E25215">
        <w:rPr>
          <w:rFonts w:cs="Times New Roman"/>
        </w:rPr>
        <w:t>(2), Article 2. https://doi.org/10.1017/inp.2020.11</w:t>
      </w:r>
    </w:p>
    <w:p w14:paraId="35E555F6" w14:textId="77777777" w:rsidR="001379C0" w:rsidRPr="00E25215" w:rsidRDefault="001379C0" w:rsidP="009B3E7F">
      <w:pPr>
        <w:pStyle w:val="Bibliography"/>
        <w:spacing w:before="0" w:after="0" w:line="240" w:lineRule="auto"/>
        <w:rPr>
          <w:rFonts w:cs="Times New Roman"/>
        </w:rPr>
      </w:pPr>
      <w:r w:rsidRPr="00E25215">
        <w:rPr>
          <w:rFonts w:cs="Times New Roman"/>
        </w:rPr>
        <w:lastRenderedPageBreak/>
        <w:t xml:space="preserve">Wilk-Woźniak, E., &amp; Najberek, K. (2013). Towards clarifying the presence of alien algae in inland waters—Can we predict places of their occurrence? </w:t>
      </w:r>
      <w:r w:rsidRPr="00E25215">
        <w:rPr>
          <w:rFonts w:cs="Times New Roman"/>
          <w:i/>
          <w:iCs/>
        </w:rPr>
        <w:t>Biologia</w:t>
      </w:r>
      <w:r w:rsidRPr="00E25215">
        <w:rPr>
          <w:rFonts w:cs="Times New Roman"/>
        </w:rPr>
        <w:t xml:space="preserve">, </w:t>
      </w:r>
      <w:r w:rsidRPr="00E25215">
        <w:rPr>
          <w:rFonts w:cs="Times New Roman"/>
          <w:i/>
          <w:iCs/>
        </w:rPr>
        <w:t>68</w:t>
      </w:r>
      <w:r w:rsidRPr="00E25215">
        <w:rPr>
          <w:rFonts w:cs="Times New Roman"/>
        </w:rPr>
        <w:t>(5), Article 5. https://doi.org/10.2478/s11756-013-0221-3</w:t>
      </w:r>
    </w:p>
    <w:p w14:paraId="3A1F93C9"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Williams, A. E., Duthie, H. C., &amp; Hecky, R. E. (2005). Water hyacinth in Lake Victoria: Why did it vanish so quickly and will it return? </w:t>
      </w:r>
      <w:r w:rsidRPr="00E25215">
        <w:rPr>
          <w:rFonts w:cs="Times New Roman"/>
          <w:i/>
          <w:iCs/>
        </w:rPr>
        <w:t>Aquatic Botany</w:t>
      </w:r>
      <w:r w:rsidRPr="00E25215">
        <w:rPr>
          <w:rFonts w:cs="Times New Roman"/>
        </w:rPr>
        <w:t xml:space="preserve">, </w:t>
      </w:r>
      <w:r w:rsidRPr="00E25215">
        <w:rPr>
          <w:rFonts w:cs="Times New Roman"/>
          <w:i/>
          <w:iCs/>
        </w:rPr>
        <w:t>81</w:t>
      </w:r>
      <w:r w:rsidRPr="00E25215">
        <w:rPr>
          <w:rFonts w:cs="Times New Roman"/>
        </w:rPr>
        <w:t>(4), 300–314. https://doi.org/10.1016/j.aquabot.2005.01.003</w:t>
      </w:r>
    </w:p>
    <w:p w14:paraId="6875628E"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Williams, K., Ewel, K. C., Stumpf, R. P., Putz, F. E., &amp; Workman, T. W. (1999). Sea-Level Rise and Coastal Forest Retreat on the West Coast of Florida, Usa. </w:t>
      </w:r>
      <w:r w:rsidRPr="00E25215">
        <w:rPr>
          <w:rFonts w:cs="Times New Roman"/>
          <w:i/>
          <w:iCs/>
        </w:rPr>
        <w:t>Ecology</w:t>
      </w:r>
      <w:r w:rsidRPr="00E25215">
        <w:rPr>
          <w:rFonts w:cs="Times New Roman"/>
        </w:rPr>
        <w:t xml:space="preserve">, </w:t>
      </w:r>
      <w:r w:rsidRPr="00E25215">
        <w:rPr>
          <w:rFonts w:cs="Times New Roman"/>
          <w:i/>
          <w:iCs/>
        </w:rPr>
        <w:t>80</w:t>
      </w:r>
      <w:r w:rsidRPr="00E25215">
        <w:rPr>
          <w:rFonts w:cs="Times New Roman"/>
        </w:rPr>
        <w:t>(6), 2045–2063. https://doi.org/10.1890/0012-9658(1999)080[2045:SLRACF]2.0.CO;2</w:t>
      </w:r>
    </w:p>
    <w:p w14:paraId="7A52C7EF"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Williams, S. L., &amp; Smith, J. E. (2007). A global review of the distribution, taxonomy, and impacts of introduced seaweeds. </w:t>
      </w:r>
      <w:r w:rsidRPr="00E25215">
        <w:rPr>
          <w:rFonts w:cs="Times New Roman"/>
          <w:i/>
          <w:iCs/>
        </w:rPr>
        <w:t>Annual Review of Ecology, Evolution, and Systematics</w:t>
      </w:r>
      <w:r w:rsidRPr="00E25215">
        <w:rPr>
          <w:rFonts w:cs="Times New Roman"/>
        </w:rPr>
        <w:t xml:space="preserve">, </w:t>
      </w:r>
      <w:r w:rsidRPr="00E25215">
        <w:rPr>
          <w:rFonts w:cs="Times New Roman"/>
          <w:i/>
          <w:iCs/>
        </w:rPr>
        <w:t>38</w:t>
      </w:r>
      <w:r w:rsidRPr="00E25215">
        <w:rPr>
          <w:rFonts w:cs="Times New Roman"/>
        </w:rPr>
        <w:t>(1), 327–359. https://doi.org/10.1146/annurev.ecolsys.38.091206.095543</w:t>
      </w:r>
    </w:p>
    <w:p w14:paraId="54CD20AC"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Willis, S. G., &amp; Hulme, P. E. (2002). Does temperature limit the invasion of </w:t>
      </w:r>
      <w:r w:rsidRPr="00E25215">
        <w:rPr>
          <w:rFonts w:cs="Times New Roman"/>
          <w:i/>
          <w:iCs/>
        </w:rPr>
        <w:t>Impatiens glandulifera</w:t>
      </w:r>
      <w:r w:rsidRPr="00E25215">
        <w:rPr>
          <w:rFonts w:cs="Times New Roman"/>
        </w:rPr>
        <w:t xml:space="preserve"> and </w:t>
      </w:r>
      <w:r w:rsidRPr="00E25215">
        <w:rPr>
          <w:rFonts w:cs="Times New Roman"/>
          <w:i/>
          <w:iCs/>
        </w:rPr>
        <w:t>Heracleum mantegazzianum</w:t>
      </w:r>
      <w:r w:rsidRPr="00E25215">
        <w:rPr>
          <w:rFonts w:cs="Times New Roman"/>
        </w:rPr>
        <w:t xml:space="preserve"> in the UK? </w:t>
      </w:r>
      <w:r w:rsidRPr="00E25215">
        <w:rPr>
          <w:rFonts w:cs="Times New Roman"/>
          <w:i/>
          <w:iCs/>
        </w:rPr>
        <w:t>Functional Ecology</w:t>
      </w:r>
      <w:r w:rsidRPr="00E25215">
        <w:rPr>
          <w:rFonts w:cs="Times New Roman"/>
        </w:rPr>
        <w:t xml:space="preserve">, </w:t>
      </w:r>
      <w:r w:rsidRPr="00E25215">
        <w:rPr>
          <w:rFonts w:cs="Times New Roman"/>
          <w:i/>
          <w:iCs/>
        </w:rPr>
        <w:t>16</w:t>
      </w:r>
      <w:r w:rsidRPr="00E25215">
        <w:rPr>
          <w:rFonts w:cs="Times New Roman"/>
        </w:rPr>
        <w:t>(4), 530–539. https://doi.org/10.1046/j.1365-2435.2002.00653.x</w:t>
      </w:r>
    </w:p>
    <w:p w14:paraId="5C6B4245"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Wilson, H. E., Carroll, G. C., Roy, B. A., &amp; Blaisdell, G. K. (2014). Tall fescue is a potential spillover reservoir host for Alternaria species. </w:t>
      </w:r>
      <w:r w:rsidRPr="00E25215">
        <w:rPr>
          <w:rFonts w:cs="Times New Roman"/>
          <w:i/>
          <w:iCs/>
        </w:rPr>
        <w:t>Mycologia</w:t>
      </w:r>
      <w:r w:rsidRPr="00E25215">
        <w:rPr>
          <w:rFonts w:cs="Times New Roman"/>
        </w:rPr>
        <w:t xml:space="preserve">, </w:t>
      </w:r>
      <w:r w:rsidRPr="00E25215">
        <w:rPr>
          <w:rFonts w:cs="Times New Roman"/>
          <w:i/>
          <w:iCs/>
        </w:rPr>
        <w:t>106</w:t>
      </w:r>
      <w:r w:rsidRPr="00E25215">
        <w:rPr>
          <w:rFonts w:cs="Times New Roman"/>
        </w:rPr>
        <w:t>(1), Article 1. https://doi.org/10.3852/12-330</w:t>
      </w:r>
    </w:p>
    <w:p w14:paraId="19DA3E77"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Wilson, S. B., &amp; Mecca, L. K. (2003). Seed Production and Germination of Eight Cultivars and the Wild Type of </w:t>
      </w:r>
      <w:r w:rsidRPr="00E25215">
        <w:rPr>
          <w:rFonts w:cs="Times New Roman"/>
          <w:i/>
          <w:iCs/>
        </w:rPr>
        <w:t>Ruellia tweediana</w:t>
      </w:r>
      <w:r w:rsidRPr="00E25215">
        <w:rPr>
          <w:rFonts w:cs="Times New Roman"/>
        </w:rPr>
        <w:t xml:space="preserve">: A Potentially Invasive Ornamental. </w:t>
      </w:r>
      <w:r w:rsidRPr="00E25215">
        <w:rPr>
          <w:rFonts w:cs="Times New Roman"/>
          <w:i/>
          <w:iCs/>
        </w:rPr>
        <w:t>Journal of Environmental Horticulture</w:t>
      </w:r>
      <w:r w:rsidRPr="00E25215">
        <w:rPr>
          <w:rFonts w:cs="Times New Roman"/>
        </w:rPr>
        <w:t xml:space="preserve">, </w:t>
      </w:r>
      <w:r w:rsidRPr="00E25215">
        <w:rPr>
          <w:rFonts w:cs="Times New Roman"/>
          <w:i/>
          <w:iCs/>
        </w:rPr>
        <w:t>21</w:t>
      </w:r>
      <w:r w:rsidRPr="00E25215">
        <w:rPr>
          <w:rFonts w:cs="Times New Roman"/>
        </w:rPr>
        <w:t>(3), 137–143. https://doi.org/10.24266/0738-2898-21.3.137</w:t>
      </w:r>
    </w:p>
    <w:p w14:paraId="649B1632"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Wilson, S. D. (1988). The effects of military tank traffic on prairie: A management model. </w:t>
      </w:r>
      <w:r w:rsidRPr="00E25215">
        <w:rPr>
          <w:rFonts w:cs="Times New Roman"/>
          <w:i/>
          <w:iCs/>
        </w:rPr>
        <w:t>Environmental Management</w:t>
      </w:r>
      <w:r w:rsidRPr="00E25215">
        <w:rPr>
          <w:rFonts w:cs="Times New Roman"/>
        </w:rPr>
        <w:t xml:space="preserve">, </w:t>
      </w:r>
      <w:r w:rsidRPr="00E25215">
        <w:rPr>
          <w:rFonts w:cs="Times New Roman"/>
          <w:i/>
          <w:iCs/>
        </w:rPr>
        <w:t>12</w:t>
      </w:r>
      <w:r w:rsidRPr="00E25215">
        <w:rPr>
          <w:rFonts w:cs="Times New Roman"/>
        </w:rPr>
        <w:t>(3), 397–403. https://doi.org/10.1007/BF01867529</w:t>
      </w:r>
    </w:p>
    <w:p w14:paraId="2CAF7A7F"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Wittenberg, R., &amp; Cock, M. J. W. (2003). </w:t>
      </w:r>
      <w:r w:rsidRPr="00E25215">
        <w:rPr>
          <w:rFonts w:cs="Times New Roman"/>
          <w:i/>
          <w:iCs/>
        </w:rPr>
        <w:t>Invasive Alien Species: A Toolkit of Best Prevention and Management Practices</w:t>
      </w:r>
      <w:r w:rsidRPr="00E25215">
        <w:rPr>
          <w:rFonts w:cs="Times New Roman"/>
        </w:rPr>
        <w:t>. CAB International. https://www.cabidigitallibrary.org/doi/10.1079/9780851995694.0000</w:t>
      </w:r>
    </w:p>
    <w:p w14:paraId="62FB170D"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Wolff, W. J., &amp; Reise, K. (2002). Oyster Imports as a Vector for the Introduction of Alien Species into Northern and Western European Coastal Waters. In E. Leppäkoski, S. Gollasch, &amp; S. Olenin (Eds.), </w:t>
      </w:r>
      <w:r w:rsidRPr="00E25215">
        <w:rPr>
          <w:rFonts w:cs="Times New Roman"/>
          <w:i/>
          <w:iCs/>
        </w:rPr>
        <w:t>Invasive Aquatic Species of Europe. Distribution, Impacts and Management</w:t>
      </w:r>
      <w:r w:rsidRPr="00E25215">
        <w:rPr>
          <w:rFonts w:cs="Times New Roman"/>
        </w:rPr>
        <w:t xml:space="preserve"> (pp. 193–205). Springer Netherlands. https://doi.org/10.1007/978-94-015-9956-6_21</w:t>
      </w:r>
    </w:p>
    <w:p w14:paraId="55B04169"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Woodruff, J. D., Irish, J. L., &amp; Camargo, S. J. (2013). Coastal flooding by tropical cyclones and sea-level rise. </w:t>
      </w:r>
      <w:r w:rsidRPr="00E25215">
        <w:rPr>
          <w:rFonts w:cs="Times New Roman"/>
          <w:i/>
          <w:iCs/>
        </w:rPr>
        <w:t>Nature</w:t>
      </w:r>
      <w:r w:rsidRPr="00E25215">
        <w:rPr>
          <w:rFonts w:cs="Times New Roman"/>
        </w:rPr>
        <w:t xml:space="preserve">, </w:t>
      </w:r>
      <w:r w:rsidRPr="00E25215">
        <w:rPr>
          <w:rFonts w:cs="Times New Roman"/>
          <w:i/>
          <w:iCs/>
        </w:rPr>
        <w:t>504</w:t>
      </w:r>
      <w:r w:rsidRPr="00E25215">
        <w:rPr>
          <w:rFonts w:cs="Times New Roman"/>
        </w:rPr>
        <w:t>(7478), Article 7478. https://doi.org/10.1038/nature12855</w:t>
      </w:r>
    </w:p>
    <w:p w14:paraId="65CA445D"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Work, T. T., McCullough, D. G., Cavey, J. F., &amp; Komsa, R. (2005). Arrival rate of nonindigenous insect species into the United States through foreign trade. </w:t>
      </w:r>
      <w:r w:rsidRPr="00E25215">
        <w:rPr>
          <w:rFonts w:cs="Times New Roman"/>
          <w:i/>
          <w:iCs/>
        </w:rPr>
        <w:t>Biological Invasions</w:t>
      </w:r>
      <w:r w:rsidRPr="00E25215">
        <w:rPr>
          <w:rFonts w:cs="Times New Roman"/>
        </w:rPr>
        <w:t xml:space="preserve">, </w:t>
      </w:r>
      <w:r w:rsidRPr="00E25215">
        <w:rPr>
          <w:rFonts w:cs="Times New Roman"/>
          <w:i/>
          <w:iCs/>
        </w:rPr>
        <w:t>7</w:t>
      </w:r>
      <w:r w:rsidRPr="00E25215">
        <w:rPr>
          <w:rFonts w:cs="Times New Roman"/>
        </w:rPr>
        <w:t>(2), 323–332. https://doi.org/10.1007/s10530-004-1663-x</w:t>
      </w:r>
    </w:p>
    <w:p w14:paraId="1BADA138"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World Bank, &amp; International Monetary Fund. (2012). </w:t>
      </w:r>
      <w:r w:rsidRPr="00E25215">
        <w:rPr>
          <w:rFonts w:cs="Times New Roman"/>
          <w:i/>
          <w:iCs/>
        </w:rPr>
        <w:t>Global Monitoring Report 2012: Food Prices, Nutrition, and the Millennium Development Goals</w:t>
      </w:r>
      <w:r w:rsidRPr="00E25215">
        <w:rPr>
          <w:rFonts w:cs="Times New Roman"/>
        </w:rPr>
        <w:t>. The World Bank.</w:t>
      </w:r>
    </w:p>
    <w:p w14:paraId="6F0E975D"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Wringe, B. F., Jeffery, N. W., Stanley, R. R. E., Hamilton, L. C., Anderson, E. C., Fleming, I. A., Grant, C., Dempson, J. B., Veinott, G., Duffy, S. J., &amp; Bradbury, I. R. (2018). Extensive hybridization following a large escape of domesticated Atlantic salmon in the Northwest Atlantic. </w:t>
      </w:r>
      <w:r w:rsidRPr="00E25215">
        <w:rPr>
          <w:rFonts w:cs="Times New Roman"/>
          <w:i/>
          <w:iCs/>
        </w:rPr>
        <w:t>Communications Biology</w:t>
      </w:r>
      <w:r w:rsidRPr="00E25215">
        <w:rPr>
          <w:rFonts w:cs="Times New Roman"/>
        </w:rPr>
        <w:t xml:space="preserve">, </w:t>
      </w:r>
      <w:r w:rsidRPr="00E25215">
        <w:rPr>
          <w:rFonts w:cs="Times New Roman"/>
          <w:i/>
          <w:iCs/>
        </w:rPr>
        <w:t>1</w:t>
      </w:r>
      <w:r w:rsidRPr="00E25215">
        <w:rPr>
          <w:rFonts w:cs="Times New Roman"/>
        </w:rPr>
        <w:t>(1), 1–9. https://doi.org/10.1038/s42003-018-0112-9</w:t>
      </w:r>
    </w:p>
    <w:p w14:paraId="1DD1C991"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WTO. (2021). </w:t>
      </w:r>
      <w:r w:rsidRPr="00E25215">
        <w:rPr>
          <w:rFonts w:cs="Times New Roman"/>
          <w:i/>
          <w:iCs/>
        </w:rPr>
        <w:t>World Trade Report</w:t>
      </w:r>
      <w:r w:rsidRPr="00E25215">
        <w:rPr>
          <w:rFonts w:cs="Times New Roman"/>
        </w:rPr>
        <w:t xml:space="preserve"> [Text]. https://www.wto-ilibrary.org/trade-monitoring/world-trade-report_0949bcf3-en</w:t>
      </w:r>
    </w:p>
    <w:p w14:paraId="142E800B"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Wu, H., &amp; Ding, J. (2019). Global Change Sharpens the Double-Edged Sword Effect of Aquatic Alien Plants in China and Beyond. </w:t>
      </w:r>
      <w:r w:rsidRPr="00E25215">
        <w:rPr>
          <w:rFonts w:cs="Times New Roman"/>
          <w:i/>
          <w:iCs/>
        </w:rPr>
        <w:t>Frontiers in Plant Science</w:t>
      </w:r>
      <w:r w:rsidRPr="00E25215">
        <w:rPr>
          <w:rFonts w:cs="Times New Roman"/>
        </w:rPr>
        <w:t xml:space="preserve">, </w:t>
      </w:r>
      <w:r w:rsidRPr="00E25215">
        <w:rPr>
          <w:rFonts w:cs="Times New Roman"/>
          <w:i/>
          <w:iCs/>
        </w:rPr>
        <w:t>10</w:t>
      </w:r>
      <w:r w:rsidRPr="00E25215">
        <w:rPr>
          <w:rFonts w:cs="Times New Roman"/>
        </w:rPr>
        <w:t>, 787. https://doi.org/10.3389/fpls.2019.00787</w:t>
      </w:r>
    </w:p>
    <w:p w14:paraId="56F2DA98" w14:textId="77777777" w:rsidR="001379C0" w:rsidRPr="00E25215" w:rsidRDefault="001379C0" w:rsidP="009B3E7F">
      <w:pPr>
        <w:pStyle w:val="Bibliography"/>
        <w:spacing w:before="0" w:after="0" w:line="240" w:lineRule="auto"/>
        <w:rPr>
          <w:rFonts w:cs="Times New Roman"/>
        </w:rPr>
      </w:pPr>
      <w:r w:rsidRPr="00E25215">
        <w:rPr>
          <w:rFonts w:cs="Times New Roman"/>
        </w:rPr>
        <w:t>Xavier, R. de O., Leite, M. B., &amp; Silva</w:t>
      </w:r>
      <w:r w:rsidRPr="00E25215">
        <w:rPr>
          <w:rFonts w:cs="Times New Roman" w:hint="eastAsia"/>
        </w:rPr>
        <w:t>‐</w:t>
      </w:r>
      <w:r w:rsidRPr="00E25215">
        <w:rPr>
          <w:rFonts w:cs="Times New Roman"/>
        </w:rPr>
        <w:t xml:space="preserve">Matos, D. M. da. (2017). Stress responses of native and exotic grasses in a Neotropical savanna predict impacts of global change on invasion spread. </w:t>
      </w:r>
      <w:r w:rsidRPr="00E25215">
        <w:rPr>
          <w:rFonts w:cs="Times New Roman"/>
          <w:i/>
          <w:iCs/>
        </w:rPr>
        <w:t>Austral Ecology</w:t>
      </w:r>
      <w:r w:rsidRPr="00E25215">
        <w:rPr>
          <w:rFonts w:cs="Times New Roman"/>
        </w:rPr>
        <w:t xml:space="preserve">, </w:t>
      </w:r>
      <w:r w:rsidRPr="00E25215">
        <w:rPr>
          <w:rFonts w:cs="Times New Roman"/>
          <w:i/>
          <w:iCs/>
        </w:rPr>
        <w:t>42</w:t>
      </w:r>
      <w:r w:rsidRPr="00E25215">
        <w:rPr>
          <w:rFonts w:cs="Times New Roman"/>
        </w:rPr>
        <w:t>(5), 562–576. https://doi.org/10.1111/aec.12475</w:t>
      </w:r>
    </w:p>
    <w:p w14:paraId="3DB8E6B0"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Xi, K., Kumar, K., Holtz, M. D., Turkington, T. K., &amp; Chapman, B. (2015). Understanding the development and management of stripe rust in central Alberta. </w:t>
      </w:r>
      <w:r w:rsidRPr="00E25215">
        <w:rPr>
          <w:rFonts w:cs="Times New Roman"/>
          <w:i/>
          <w:iCs/>
        </w:rPr>
        <w:t>Canadian Journal of Plant Pathology</w:t>
      </w:r>
      <w:r w:rsidRPr="00E25215">
        <w:rPr>
          <w:rFonts w:cs="Times New Roman"/>
        </w:rPr>
        <w:t xml:space="preserve">, </w:t>
      </w:r>
      <w:r w:rsidRPr="00E25215">
        <w:rPr>
          <w:rFonts w:cs="Times New Roman"/>
          <w:i/>
          <w:iCs/>
        </w:rPr>
        <w:t>37</w:t>
      </w:r>
      <w:r w:rsidRPr="00E25215">
        <w:rPr>
          <w:rFonts w:cs="Times New Roman"/>
        </w:rPr>
        <w:t>(1), 21–39. https://doi.org/10.1080/07060661.2014.981215</w:t>
      </w:r>
    </w:p>
    <w:p w14:paraId="7976D63C" w14:textId="77777777" w:rsidR="001379C0" w:rsidRPr="00E25215" w:rsidRDefault="001379C0" w:rsidP="009B3E7F">
      <w:pPr>
        <w:pStyle w:val="Bibliography"/>
        <w:spacing w:before="0" w:after="0" w:line="240" w:lineRule="auto"/>
        <w:rPr>
          <w:rFonts w:cs="Times New Roman"/>
        </w:rPr>
      </w:pPr>
      <w:r w:rsidRPr="00E25215">
        <w:rPr>
          <w:rFonts w:cs="Times New Roman"/>
        </w:rPr>
        <w:lastRenderedPageBreak/>
        <w:t xml:space="preserve">Yager, L. Y., Jones, J., &amp; Miller, D. L. (2009). Military Training and Road Effects on </w:t>
      </w:r>
      <w:r w:rsidRPr="00E25215">
        <w:rPr>
          <w:rFonts w:cs="Times New Roman"/>
          <w:i/>
          <w:iCs/>
        </w:rPr>
        <w:t>Imperata cylindrica</w:t>
      </w:r>
      <w:r w:rsidRPr="00E25215">
        <w:rPr>
          <w:rFonts w:cs="Times New Roman"/>
        </w:rPr>
        <w:t xml:space="preserve"> (L.) Beauv. (Cogongrass). </w:t>
      </w:r>
      <w:r w:rsidRPr="00E25215">
        <w:rPr>
          <w:rFonts w:cs="Times New Roman"/>
          <w:i/>
          <w:iCs/>
        </w:rPr>
        <w:t>Southeastern Naturalist</w:t>
      </w:r>
      <w:r w:rsidRPr="00E25215">
        <w:rPr>
          <w:rFonts w:cs="Times New Roman"/>
        </w:rPr>
        <w:t xml:space="preserve">, </w:t>
      </w:r>
      <w:r w:rsidRPr="00E25215">
        <w:rPr>
          <w:rFonts w:cs="Times New Roman"/>
          <w:i/>
          <w:iCs/>
        </w:rPr>
        <w:t>8</w:t>
      </w:r>
      <w:r w:rsidRPr="00E25215">
        <w:rPr>
          <w:rFonts w:cs="Times New Roman"/>
        </w:rPr>
        <w:t>(4), 695–708. https://www.jstor.org/stable/25599364</w:t>
      </w:r>
    </w:p>
    <w:p w14:paraId="5F05B601"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Yang, M., Lu, Z., Fan, Z., Liu, X., Hens, L., De Wulf, R., &amp; Ou, X. (2018). Distribution of non-native plant species along elevation gradients in a protected area in the eastern Himalayas, China. </w:t>
      </w:r>
      <w:r w:rsidRPr="00E25215">
        <w:rPr>
          <w:rFonts w:cs="Times New Roman"/>
          <w:i/>
          <w:iCs/>
        </w:rPr>
        <w:t>Alpine Botany</w:t>
      </w:r>
      <w:r w:rsidRPr="00E25215">
        <w:rPr>
          <w:rFonts w:cs="Times New Roman"/>
        </w:rPr>
        <w:t xml:space="preserve">, </w:t>
      </w:r>
      <w:r w:rsidRPr="00E25215">
        <w:rPr>
          <w:rFonts w:cs="Times New Roman"/>
          <w:i/>
          <w:iCs/>
        </w:rPr>
        <w:t>128</w:t>
      </w:r>
      <w:r w:rsidRPr="00E25215">
        <w:rPr>
          <w:rFonts w:cs="Times New Roman"/>
        </w:rPr>
        <w:t>(2), 169–178. https://doi.org/10.1007/s00035-018-0205-6</w:t>
      </w:r>
    </w:p>
    <w:p w14:paraId="79242817"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Zenni, R. D. (2014). Analysis of introduction history of invasive plants in Brazil reveals patterns of association between biogeographical origin and reason for introduction. </w:t>
      </w:r>
      <w:r w:rsidRPr="00E25215">
        <w:rPr>
          <w:rFonts w:cs="Times New Roman"/>
          <w:i/>
          <w:iCs/>
        </w:rPr>
        <w:t>Austral Ecology</w:t>
      </w:r>
      <w:r w:rsidRPr="00E25215">
        <w:rPr>
          <w:rFonts w:cs="Times New Roman"/>
        </w:rPr>
        <w:t xml:space="preserve">, </w:t>
      </w:r>
      <w:r w:rsidRPr="00E25215">
        <w:rPr>
          <w:rFonts w:cs="Times New Roman"/>
          <w:i/>
          <w:iCs/>
        </w:rPr>
        <w:t>39</w:t>
      </w:r>
      <w:r w:rsidRPr="00E25215">
        <w:rPr>
          <w:rFonts w:cs="Times New Roman"/>
        </w:rPr>
        <w:t>(4), Article 4. https://doi.org/10.1111/aec.12097</w:t>
      </w:r>
    </w:p>
    <w:p w14:paraId="7B22F17D"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Zenni, R. D., Dickie, I. A., Wingfield, M. J., Hirsch, H., Crous, C. J., Meyerson, L. A., Burgess, T. I., Zimmermann, T. G., Klock, M. M., Siemann, E., Erfmeier, A., Aragon, R., Montti, L., &amp; Le Roux, J. J. (2017). Evolutionary dynamics of tree invasions: Complementing the unified framework for biological invasions. </w:t>
      </w:r>
      <w:r w:rsidRPr="00E25215">
        <w:rPr>
          <w:rFonts w:cs="Times New Roman"/>
          <w:i/>
          <w:iCs/>
        </w:rPr>
        <w:t>AoB Plants</w:t>
      </w:r>
      <w:r w:rsidRPr="00E25215">
        <w:rPr>
          <w:rFonts w:cs="Times New Roman"/>
        </w:rPr>
        <w:t xml:space="preserve">, </w:t>
      </w:r>
      <w:r w:rsidRPr="00E25215">
        <w:rPr>
          <w:rFonts w:cs="Times New Roman"/>
          <w:i/>
          <w:iCs/>
        </w:rPr>
        <w:t>9</w:t>
      </w:r>
      <w:r w:rsidRPr="00E25215">
        <w:rPr>
          <w:rFonts w:cs="Times New Roman"/>
        </w:rPr>
        <w:t>(1). https://doi.org/10.1093/aobpla/plw085</w:t>
      </w:r>
    </w:p>
    <w:p w14:paraId="0697416C"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Zenni, R. D., &amp; Ziller, S. R. (2011). An overview of invasive plants in Brazil. </w:t>
      </w:r>
      <w:r w:rsidRPr="00E25215">
        <w:rPr>
          <w:rFonts w:cs="Times New Roman"/>
          <w:i/>
          <w:iCs/>
        </w:rPr>
        <w:t>Revista Brasileira de Botânica</w:t>
      </w:r>
      <w:r w:rsidRPr="00E25215">
        <w:rPr>
          <w:rFonts w:cs="Times New Roman"/>
        </w:rPr>
        <w:t xml:space="preserve">, </w:t>
      </w:r>
      <w:r w:rsidRPr="00E25215">
        <w:rPr>
          <w:rFonts w:cs="Times New Roman"/>
          <w:i/>
          <w:iCs/>
        </w:rPr>
        <w:t>34</w:t>
      </w:r>
      <w:r w:rsidRPr="00E25215">
        <w:rPr>
          <w:rFonts w:cs="Times New Roman"/>
        </w:rPr>
        <w:t>(3), 431–446. https://doi.org/10.1590/S0100-84042011000300016</w:t>
      </w:r>
    </w:p>
    <w:p w14:paraId="73B58D32"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Zhang, G., Qu, H., Chen, G., Zhao, C., Zhang, F., Yang, H., Zhao, Z., &amp; Ma, M. (2019). Giant discoveries of oil and gas fields in global deepwaters in the past 40 years and the prospect of exploration. </w:t>
      </w:r>
      <w:r w:rsidRPr="00E25215">
        <w:rPr>
          <w:rFonts w:cs="Times New Roman"/>
          <w:i/>
          <w:iCs/>
        </w:rPr>
        <w:t>Journal of Natural Gas Geoscience</w:t>
      </w:r>
      <w:r w:rsidRPr="00E25215">
        <w:rPr>
          <w:rFonts w:cs="Times New Roman"/>
        </w:rPr>
        <w:t xml:space="preserve">, </w:t>
      </w:r>
      <w:r w:rsidRPr="00E25215">
        <w:rPr>
          <w:rFonts w:cs="Times New Roman"/>
          <w:i/>
          <w:iCs/>
        </w:rPr>
        <w:t>4</w:t>
      </w:r>
      <w:r w:rsidRPr="00E25215">
        <w:rPr>
          <w:rFonts w:cs="Times New Roman"/>
        </w:rPr>
        <w:t>(1), 1–28. https://doi.org/10.1016/j.jnggs.2019.03.002</w:t>
      </w:r>
    </w:p>
    <w:p w14:paraId="16F6A383"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Zhang, Q., Yang, R., Tang, J., &amp; Chen, X. (2008). Competitive interaction between the invasive </w:t>
      </w:r>
      <w:r w:rsidRPr="00E25215">
        <w:rPr>
          <w:rFonts w:cs="Times New Roman"/>
          <w:i/>
          <w:iCs/>
        </w:rPr>
        <w:t>Solidago canadensis</w:t>
      </w:r>
      <w:r w:rsidRPr="00E25215">
        <w:rPr>
          <w:rFonts w:cs="Times New Roman"/>
        </w:rPr>
        <w:t xml:space="preserve"> and native </w:t>
      </w:r>
      <w:r w:rsidRPr="00E25215">
        <w:rPr>
          <w:rFonts w:cs="Times New Roman"/>
          <w:i/>
          <w:iCs/>
        </w:rPr>
        <w:t>Kummerowia striata</w:t>
      </w:r>
      <w:r w:rsidRPr="00E25215">
        <w:rPr>
          <w:rFonts w:cs="Times New Roman"/>
        </w:rPr>
        <w:t xml:space="preserve"> in lead contaminated soil. </w:t>
      </w:r>
      <w:r w:rsidRPr="00E25215">
        <w:rPr>
          <w:rFonts w:cs="Times New Roman"/>
          <w:i/>
          <w:iCs/>
        </w:rPr>
        <w:t>Botanical Studies</w:t>
      </w:r>
      <w:r w:rsidRPr="00E25215">
        <w:rPr>
          <w:rFonts w:cs="Times New Roman"/>
        </w:rPr>
        <w:t xml:space="preserve">, </w:t>
      </w:r>
      <w:r w:rsidRPr="00E25215">
        <w:rPr>
          <w:rFonts w:cs="Times New Roman"/>
          <w:i/>
          <w:iCs/>
        </w:rPr>
        <w:t>49</w:t>
      </w:r>
      <w:r w:rsidRPr="00E25215">
        <w:rPr>
          <w:rFonts w:cs="Times New Roman"/>
        </w:rPr>
        <w:t>(4), 385–391.</w:t>
      </w:r>
    </w:p>
    <w:p w14:paraId="0EEBA53F"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Zhang, Z., Li, J., Li, Y., Liu, W., Chen, Y., Zhang, Y., &amp; Li, Y. (2021). Spatially discontinuous relationships between salt marsh invasion and mangrove forest fragmentation. </w:t>
      </w:r>
      <w:r w:rsidRPr="00E25215">
        <w:rPr>
          <w:rFonts w:cs="Times New Roman"/>
          <w:i/>
          <w:iCs/>
        </w:rPr>
        <w:t>Forest Ecology and Management</w:t>
      </w:r>
      <w:r w:rsidRPr="00E25215">
        <w:rPr>
          <w:rFonts w:cs="Times New Roman"/>
        </w:rPr>
        <w:t xml:space="preserve">, </w:t>
      </w:r>
      <w:r w:rsidRPr="00E25215">
        <w:rPr>
          <w:rFonts w:cs="Times New Roman"/>
          <w:i/>
          <w:iCs/>
        </w:rPr>
        <w:t>499</w:t>
      </w:r>
      <w:r w:rsidRPr="00E25215">
        <w:rPr>
          <w:rFonts w:cs="Times New Roman"/>
        </w:rPr>
        <w:t>, 119611. https://doi.org/10.1016/j.foreco.2021.119611</w:t>
      </w:r>
    </w:p>
    <w:p w14:paraId="012F0E66"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Zheng, Y. L., Burns, J. H., Liao, Z. Y., Li, Y. P., Yang, J., Chen, Y. J., Zhang, J. L., &amp; Zheng, Y. G. (2018). Species composition, functional and phylogenetic distances correlate with success of invasive </w:t>
      </w:r>
      <w:r w:rsidRPr="00E25215">
        <w:rPr>
          <w:rFonts w:cs="Times New Roman"/>
          <w:i/>
          <w:iCs/>
        </w:rPr>
        <w:t>Chromolaena odorata</w:t>
      </w:r>
      <w:r w:rsidRPr="00E25215">
        <w:rPr>
          <w:rFonts w:cs="Times New Roman"/>
        </w:rPr>
        <w:t xml:space="preserve"> in an experimental test. </w:t>
      </w:r>
      <w:r w:rsidRPr="00E25215">
        <w:rPr>
          <w:rFonts w:cs="Times New Roman"/>
          <w:i/>
          <w:iCs/>
        </w:rPr>
        <w:t>Ecology Letters</w:t>
      </w:r>
      <w:r w:rsidRPr="00E25215">
        <w:rPr>
          <w:rFonts w:cs="Times New Roman"/>
        </w:rPr>
        <w:t>. https://doi.org/10.1111/ele.13090</w:t>
      </w:r>
    </w:p>
    <w:p w14:paraId="05480E7D" w14:textId="77777777" w:rsidR="001379C0" w:rsidRPr="00E25215" w:rsidRDefault="001379C0" w:rsidP="009B3E7F">
      <w:pPr>
        <w:pStyle w:val="Bibliography"/>
        <w:spacing w:before="0" w:after="0" w:line="240" w:lineRule="auto"/>
        <w:rPr>
          <w:rFonts w:cs="Times New Roman"/>
        </w:rPr>
      </w:pPr>
      <w:r w:rsidRPr="00E25215">
        <w:rPr>
          <w:rFonts w:cs="Times New Roman"/>
        </w:rPr>
        <w:t>Ziska, L. H., Reeves, J. B., &amp; Blank, B. (2005). The impact of recent increases in atmospheric CO</w:t>
      </w:r>
      <w:r w:rsidRPr="00E25215">
        <w:rPr>
          <w:rFonts w:cs="Times New Roman"/>
          <w:vertAlign w:val="subscript"/>
        </w:rPr>
        <w:t>2</w:t>
      </w:r>
      <w:r w:rsidRPr="00E25215">
        <w:rPr>
          <w:rFonts w:cs="Times New Roman"/>
        </w:rPr>
        <w:t xml:space="preserve"> on biomass production and vegetative retention of Cheatgrass (</w:t>
      </w:r>
      <w:r w:rsidRPr="00E25215">
        <w:rPr>
          <w:rFonts w:cs="Times New Roman"/>
          <w:i/>
          <w:iCs/>
        </w:rPr>
        <w:t>Bromus tectorum</w:t>
      </w:r>
      <w:r w:rsidRPr="00E25215">
        <w:rPr>
          <w:rFonts w:cs="Times New Roman"/>
        </w:rPr>
        <w:t xml:space="preserve">): Implications for fire disturbance. </w:t>
      </w:r>
      <w:r w:rsidRPr="00E25215">
        <w:rPr>
          <w:rFonts w:cs="Times New Roman"/>
          <w:i/>
          <w:iCs/>
        </w:rPr>
        <w:t>Global Change Biology</w:t>
      </w:r>
      <w:r w:rsidRPr="00E25215">
        <w:rPr>
          <w:rFonts w:cs="Times New Roman"/>
        </w:rPr>
        <w:t xml:space="preserve">, </w:t>
      </w:r>
      <w:r w:rsidRPr="00E25215">
        <w:rPr>
          <w:rFonts w:cs="Times New Roman"/>
          <w:i/>
          <w:iCs/>
        </w:rPr>
        <w:t>11</w:t>
      </w:r>
      <w:r w:rsidRPr="00E25215">
        <w:rPr>
          <w:rFonts w:cs="Times New Roman"/>
        </w:rPr>
        <w:t>(8), 1325–1332. https://doi.org/10.1111/j.1365-2486.2005.00992.x</w:t>
      </w:r>
    </w:p>
    <w:p w14:paraId="38608410"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Zobel, D. B., Roroth, L., &amp; Hawk, G. (1985). </w:t>
      </w:r>
      <w:r w:rsidRPr="00E25215">
        <w:rPr>
          <w:rFonts w:cs="Times New Roman"/>
          <w:i/>
          <w:iCs/>
        </w:rPr>
        <w:t>Ecology, Pathology, and Management of Port-Orford-cedar (Chamaecyparis lawsoniana)</w:t>
      </w:r>
      <w:r w:rsidRPr="00E25215">
        <w:rPr>
          <w:rFonts w:cs="Times New Roman"/>
        </w:rPr>
        <w:t>. U.S. Department of Agriculture, Forest Service, Pacific Northwest Forest and Range Experiment Station. https://doi.org/10.2737/PNW-GTR-184</w:t>
      </w:r>
    </w:p>
    <w:p w14:paraId="69B7370E" w14:textId="77777777" w:rsidR="001379C0" w:rsidRPr="00E25215" w:rsidRDefault="001379C0" w:rsidP="009B3E7F">
      <w:pPr>
        <w:pStyle w:val="Bibliography"/>
        <w:spacing w:before="0" w:after="0" w:line="240" w:lineRule="auto"/>
        <w:rPr>
          <w:rFonts w:cs="Times New Roman"/>
        </w:rPr>
      </w:pPr>
      <w:r w:rsidRPr="00E25215">
        <w:rPr>
          <w:rFonts w:cs="Times New Roman"/>
        </w:rPr>
        <w:t xml:space="preserve">Zozaya, S. M., Alford, R. A., &amp; Schwarzkopf, L. (2015). Invasive house geckos are more willing to use artificial lights than are native geckos. </w:t>
      </w:r>
      <w:r w:rsidRPr="00E25215">
        <w:rPr>
          <w:rFonts w:cs="Times New Roman"/>
          <w:i/>
          <w:iCs/>
        </w:rPr>
        <w:t>Austral Ecology</w:t>
      </w:r>
      <w:r w:rsidRPr="00E25215">
        <w:rPr>
          <w:rFonts w:cs="Times New Roman"/>
        </w:rPr>
        <w:t xml:space="preserve">, </w:t>
      </w:r>
      <w:r w:rsidRPr="00E25215">
        <w:rPr>
          <w:rFonts w:cs="Times New Roman"/>
          <w:i/>
          <w:iCs/>
        </w:rPr>
        <w:t>40</w:t>
      </w:r>
      <w:r w:rsidRPr="00E25215">
        <w:rPr>
          <w:rFonts w:cs="Times New Roman"/>
        </w:rPr>
        <w:t>(8), 982–987. https://doi.org/10.1111/aec.12287</w:t>
      </w:r>
    </w:p>
    <w:p w14:paraId="5A35BA82" w14:textId="34C7FB7D" w:rsidR="008C1BF7" w:rsidRPr="001379C0" w:rsidRDefault="00CC70B0" w:rsidP="001379C0">
      <w:pPr>
        <w:spacing w:before="0" w:after="0"/>
        <w:contextualSpacing/>
        <w:rPr>
          <w:rFonts w:eastAsia="Times New Roman"/>
          <w:szCs w:val="24"/>
          <w:lang w:val="en-GB"/>
        </w:rPr>
      </w:pPr>
      <w:r w:rsidRPr="001379C0">
        <w:rPr>
          <w:rFonts w:eastAsia="Times New Roman"/>
          <w:szCs w:val="24"/>
          <w:lang w:val="en-GB"/>
        </w:rPr>
        <w:fldChar w:fldCharType="end"/>
      </w:r>
    </w:p>
    <w:sectPr w:rsidR="008C1BF7" w:rsidRPr="001379C0" w:rsidSect="00BD2CA7">
      <w:headerReference w:type="even" r:id="rId64"/>
      <w:headerReference w:type="default" r:id="rId65"/>
      <w:footerReference w:type="default" r:id="rId66"/>
      <w:headerReference w:type="first" r:id="rId67"/>
      <w:pgSz w:w="11906" w:h="16838" w:code="9"/>
      <w:pgMar w:top="1138" w:right="1138" w:bottom="1138" w:left="1138" w:header="216" w:footer="216" w:gutter="0"/>
      <w:pgNumType w:start="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D4A7798" w14:textId="77777777" w:rsidR="005E43B8" w:rsidRDefault="005E43B8" w:rsidP="0090109B">
      <w:r>
        <w:separator/>
      </w:r>
    </w:p>
    <w:p w14:paraId="4CDABF82" w14:textId="77777777" w:rsidR="005E43B8" w:rsidRDefault="005E43B8" w:rsidP="0090109B"/>
  </w:endnote>
  <w:endnote w:type="continuationSeparator" w:id="0">
    <w:p w14:paraId="1D87CF50" w14:textId="77777777" w:rsidR="005E43B8" w:rsidRDefault="005E43B8" w:rsidP="0090109B">
      <w:r>
        <w:continuationSeparator/>
      </w:r>
    </w:p>
    <w:p w14:paraId="7E28E2A3" w14:textId="77777777" w:rsidR="005E43B8" w:rsidRDefault="005E43B8" w:rsidP="0090109B"/>
  </w:endnote>
  <w:endnote w:type="continuationNotice" w:id="1">
    <w:p w14:paraId="5E951FB0" w14:textId="77777777" w:rsidR="005E43B8" w:rsidRDefault="005E43B8" w:rsidP="0090109B"/>
    <w:p w14:paraId="19ED7A9B" w14:textId="77777777" w:rsidR="005E43B8" w:rsidRDefault="005E43B8" w:rsidP="0090109B"/>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DengXian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ＭＳ 明朝">
    <w:altName w:val="MS Mincho"/>
    <w:panose1 w:val="02020609040205080304"/>
    <w:charset w:val="80"/>
    <w:family w:val="roman"/>
    <w:pitch w:val="fixed"/>
    <w:sig w:usb0="E00002FF" w:usb1="6AC7FDFB" w:usb2="08000012" w:usb3="00000000" w:csb0="0002009F" w:csb1="00000000"/>
  </w:font>
  <w:font w:name="ＭＳ Ｐゴシック">
    <w:altName w:val="MS PGothic"/>
    <w:panose1 w:val="020B0600070205080204"/>
    <w:charset w:val="80"/>
    <w:family w:val="modern"/>
    <w:pitch w:val="variable"/>
    <w:sig w:usb0="E00002FF" w:usb1="6AC7FDFB" w:usb2="08000012" w:usb3="00000000" w:csb0="0002009F" w:csb1="00000000"/>
  </w:font>
  <w:font w:name="Consolas">
    <w:panose1 w:val="020B0609020204030204"/>
    <w:charset w:val="00"/>
    <w:family w:val="modern"/>
    <w:pitch w:val="fixed"/>
    <w:sig w:usb0="E00006FF" w:usb1="0000FCFF" w:usb2="00000001" w:usb3="00000000" w:csb0="0000019F" w:csb1="00000000"/>
  </w:font>
  <w:font w:name="Minion Pro">
    <w:charset w:val="00"/>
    <w:family w:val="roman"/>
    <w:pitch w:val="default"/>
    <w:sig w:usb0="00000003" w:usb1="00000000" w:usb2="00000000" w:usb3="00000000" w:csb0="00000001" w:csb1="00000000"/>
  </w:font>
  <w:font w:name="NKARVQ+NewsGothicStd">
    <w:altName w:val="Calibri"/>
    <w:panose1 w:val="00000000000000000000"/>
    <w:charset w:val="00"/>
    <w:family w:val="swiss"/>
    <w:notTrueType/>
    <w:pitch w:val="default"/>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Times New Roman Bold">
    <w:altName w:val="Times New Roman"/>
    <w:panose1 w:val="02020803070505020304"/>
    <w:charset w:val="00"/>
    <w:family w:val="roman"/>
    <w:notTrueType/>
    <w:pitch w:val="default"/>
  </w:font>
  <w:font w:name="游明朝">
    <w:panose1 w:val="02020400000000000000"/>
    <w:charset w:val="80"/>
    <w:family w:val="roman"/>
    <w:pitch w:val="variable"/>
    <w:sig w:usb0="800002E7" w:usb1="2AC7FCFF" w:usb2="00000012" w:usb3="00000000" w:csb0="0002009F" w:csb1="00000000"/>
  </w:font>
  <w:font w:name="Yu Gothic">
    <w:altName w:val="游ゴシック"/>
    <w:panose1 w:val="020B0400000000000000"/>
    <w:charset w:val="80"/>
    <w:family w:val="modern"/>
    <w:pitch w:val="variable"/>
    <w:sig w:usb0="E00002FF" w:usb1="2AC7FDFF" w:usb2="00000016" w:usb3="00000000" w:csb0="0002009F" w:csb1="00000000"/>
  </w:font>
  <w:font w:name="AdvTimes_new">
    <w:altName w:val="MS Gothic"/>
    <w:panose1 w:val="00000000000000000000"/>
    <w:charset w:val="80"/>
    <w:family w:val="auto"/>
    <w:notTrueType/>
    <w:pitch w:val="default"/>
    <w:sig w:usb0="00000001" w:usb1="08070000" w:usb2="00000010" w:usb3="00000000" w:csb0="00020000" w:csb1="00000000"/>
  </w:font>
  <w:font w:name="Cambria Math">
    <w:panose1 w:val="02040503050406030204"/>
    <w:charset w:val="00"/>
    <w:family w:val="roman"/>
    <w:pitch w:val="variable"/>
    <w:sig w:usb0="E00006FF" w:usb1="420024FF" w:usb2="02000000" w:usb3="00000000" w:csb0="0000019F" w:csb1="00000000"/>
  </w:font>
  <w:font w:name="Time New Roman">
    <w:altName w:val="Times New Roman"/>
    <w:panose1 w:val="00000000000000000000"/>
    <w:charset w:val="00"/>
    <w:family w:val="roman"/>
    <w:notTrueType/>
    <w:pitch w:val="default"/>
  </w:font>
  <w:font w:name="Roboto">
    <w:charset w:val="00"/>
    <w:family w:val="auto"/>
    <w:pitch w:val="variable"/>
    <w:sig w:usb0="E0000AFF" w:usb1="5000217F" w:usb2="00000021"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99D1069" w14:textId="77777777" w:rsidR="00E25215" w:rsidRDefault="00E25215">
    <w:pPr>
      <w:pStyle w:val="Footer"/>
      <w:framePr w:wrap="none" w:vAnchor="text" w:hAnchor="margin" w:xAlign="center" w:y="1"/>
      <w:rPr>
        <w:rStyle w:val="PageNumber"/>
      </w:rPr>
    </w:pPr>
    <w:r>
      <w:rPr>
        <w:rStyle w:val="PageNumber"/>
      </w:rPr>
      <w:fldChar w:fldCharType="begin"/>
    </w:r>
    <w:r>
      <w:rPr>
        <w:rStyle w:val="PageNumber"/>
      </w:rPr>
      <w:instrText xml:space="preserve"> PAGE </w:instrText>
    </w:r>
    <w:r>
      <w:rPr>
        <w:rStyle w:val="PageNumber"/>
      </w:rPr>
      <w:fldChar w:fldCharType="separate"/>
    </w:r>
    <w:r>
      <w:rPr>
        <w:rStyle w:val="PageNumber"/>
        <w:noProof/>
      </w:rPr>
      <w:t>4</w:t>
    </w:r>
    <w:r>
      <w:rPr>
        <w:rStyle w:val="PageNumber"/>
      </w:rPr>
      <w:fldChar w:fldCharType="end"/>
    </w:r>
  </w:p>
  <w:p w14:paraId="698B3A26" w14:textId="77777777" w:rsidR="00E25215" w:rsidRDefault="00E25215" w:rsidP="00920621">
    <w:pPr>
      <w:pStyle w:val="Footer"/>
      <w:spacing w:before="0" w:after="0"/>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4AE1D33" w14:textId="77777777" w:rsidR="00E25215" w:rsidRPr="00791A7C" w:rsidRDefault="00E25215">
    <w:pPr>
      <w:pStyle w:val="Footer"/>
      <w:tabs>
        <w:tab w:val="clear" w:pos="4680"/>
        <w:tab w:val="clear" w:pos="9360"/>
      </w:tabs>
      <w:contextualSpacing/>
      <w:jc w:val="center"/>
      <w:rPr>
        <w:caps/>
        <w:noProof/>
        <w:color w:val="000000" w:themeColor="text1"/>
      </w:rPr>
    </w:pPr>
    <w:r w:rsidRPr="00791A7C">
      <w:rPr>
        <w:caps/>
        <w:color w:val="000000" w:themeColor="text1"/>
      </w:rPr>
      <w:fldChar w:fldCharType="begin"/>
    </w:r>
    <w:r w:rsidRPr="00791A7C">
      <w:rPr>
        <w:caps/>
        <w:color w:val="000000" w:themeColor="text1"/>
      </w:rPr>
      <w:instrText xml:space="preserve"> PAGE   \* MERGEFORMAT </w:instrText>
    </w:r>
    <w:r w:rsidRPr="00791A7C">
      <w:rPr>
        <w:caps/>
        <w:color w:val="000000" w:themeColor="text1"/>
      </w:rPr>
      <w:fldChar w:fldCharType="separate"/>
    </w:r>
    <w:r w:rsidRPr="00791A7C">
      <w:rPr>
        <w:caps/>
        <w:noProof/>
        <w:color w:val="000000" w:themeColor="text1"/>
      </w:rPr>
      <w:t>2</w:t>
    </w:r>
    <w:r w:rsidRPr="00791A7C">
      <w:rPr>
        <w:caps/>
        <w:noProof/>
        <w:color w:val="000000" w:themeColor="text1"/>
      </w:rPr>
      <w:fldChar w:fldCharType="end"/>
    </w:r>
  </w:p>
  <w:p w14:paraId="66A2FF92" w14:textId="77777777" w:rsidR="00E25215" w:rsidRDefault="00E25215" w:rsidP="00791A7C">
    <w:pPr>
      <w:pStyle w:val="Footer"/>
      <w:tabs>
        <w:tab w:val="clear" w:pos="4680"/>
        <w:tab w:val="clear" w:pos="9360"/>
        <w:tab w:val="left" w:pos="3794"/>
      </w:tabs>
      <w:spacing w:before="120"/>
      <w:contextualSpacing/>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9FF583E" w14:textId="77777777" w:rsidR="005E43B8" w:rsidRDefault="005E43B8" w:rsidP="00920621">
      <w:pPr>
        <w:spacing w:before="0" w:after="0"/>
      </w:pPr>
      <w:r>
        <w:separator/>
      </w:r>
    </w:p>
  </w:footnote>
  <w:footnote w:type="continuationSeparator" w:id="0">
    <w:p w14:paraId="4C997F81" w14:textId="77777777" w:rsidR="005E43B8" w:rsidRDefault="005E43B8" w:rsidP="0090109B">
      <w:r>
        <w:continuationSeparator/>
      </w:r>
    </w:p>
    <w:p w14:paraId="37BD6748" w14:textId="77777777" w:rsidR="005E43B8" w:rsidRDefault="005E43B8" w:rsidP="0090109B"/>
  </w:footnote>
  <w:footnote w:type="continuationNotice" w:id="1">
    <w:p w14:paraId="674EB7B6" w14:textId="77777777" w:rsidR="005E43B8" w:rsidRDefault="005E43B8" w:rsidP="0090109B"/>
    <w:p w14:paraId="51EAAE96" w14:textId="77777777" w:rsidR="005E43B8" w:rsidRDefault="005E43B8" w:rsidP="0090109B"/>
  </w:footnote>
  <w:footnote w:id="2">
    <w:p w14:paraId="074F0474" w14:textId="77777777" w:rsidR="00E25215" w:rsidRPr="00DD6234" w:rsidRDefault="00E25215" w:rsidP="00BB24EC">
      <w:pPr>
        <w:pStyle w:val="FootnoteText"/>
        <w:spacing w:before="0" w:after="0"/>
        <w:contextualSpacing/>
        <w:rPr>
          <w:rFonts w:cs="Times New Roman"/>
        </w:rPr>
      </w:pPr>
      <w:r w:rsidRPr="00710AC3">
        <w:rPr>
          <w:rStyle w:val="FootnoteReference"/>
        </w:rPr>
        <w:footnoteRef/>
      </w:r>
      <w:r w:rsidRPr="00D00FBD">
        <w:rPr>
          <w:rFonts w:cs="Times New Roman"/>
          <w:color w:val="000000"/>
          <w:lang w:eastAsia="zh-CN"/>
        </w:rPr>
        <w:t>Authors are listed in alphabetical order with, in parentheses, their country or countries of citizenship, separated by a comma when they have more than one; and, following a slash, their country of affiliation, if different from that or those of their citizenship, or their organization if they belong to an international organization. The countries and organizations having nominated the experts are listed on the IPBES website (except for contributing authors who were not nominated).</w:t>
      </w:r>
    </w:p>
  </w:footnote>
  <w:footnote w:id="3">
    <w:p w14:paraId="7D6A9680" w14:textId="77777777" w:rsidR="00E25215" w:rsidRPr="002E3C9A" w:rsidRDefault="00E25215" w:rsidP="002E3C9A">
      <w:pPr>
        <w:pStyle w:val="FootnoteText"/>
        <w:spacing w:before="0" w:after="0"/>
        <w:contextualSpacing/>
      </w:pPr>
      <w:r w:rsidRPr="00710AC3">
        <w:rPr>
          <w:rStyle w:val="FootnoteReference"/>
        </w:rPr>
        <w:footnoteRef/>
      </w:r>
      <w:r>
        <w:t xml:space="preserve"> </w:t>
      </w:r>
      <w:r>
        <w:rPr>
          <w:lang w:val="en-US"/>
        </w:rPr>
        <w:t xml:space="preserve">Data management report available at: </w:t>
      </w:r>
      <w:hyperlink r:id="rId1" w:history="1">
        <w:r w:rsidRPr="008A141D">
          <w:rPr>
            <w:rStyle w:val="Hyperlink"/>
            <w:lang w:val="en-GB"/>
          </w:rPr>
          <w:t>https://doi.org/10.5281/zenodo.5529309</w:t>
        </w:r>
      </w:hyperlink>
    </w:p>
  </w:footnote>
  <w:footnote w:id="4">
    <w:p w14:paraId="7D1CADD3" w14:textId="77777777" w:rsidR="00E25215" w:rsidRPr="0008098D" w:rsidRDefault="00E25215" w:rsidP="002E3C9A">
      <w:pPr>
        <w:pStyle w:val="FootnoteText"/>
        <w:spacing w:before="0" w:after="0"/>
        <w:contextualSpacing/>
        <w:rPr>
          <w:lang w:val="nb-NO"/>
        </w:rPr>
      </w:pPr>
      <w:r w:rsidRPr="00710AC3">
        <w:rPr>
          <w:rStyle w:val="FootnoteReference"/>
        </w:rPr>
        <w:footnoteRef/>
      </w:r>
      <w:r>
        <w:t xml:space="preserve"> D</w:t>
      </w:r>
      <w:r w:rsidRPr="006C0677">
        <w:t xml:space="preserve">ata management report </w:t>
      </w:r>
      <w:r>
        <w:t xml:space="preserve">available at: </w:t>
      </w:r>
      <w:hyperlink r:id="rId2" w:history="1">
        <w:r w:rsidRPr="000C6798">
          <w:rPr>
            <w:rStyle w:val="Hyperlink"/>
            <w:lang w:val="en-GB"/>
          </w:rPr>
          <w:t>https://doi.org/10.5281/zenodo.5760266</w:t>
        </w:r>
      </w:hyperlink>
      <w:r>
        <w:t xml:space="preserve"> </w:t>
      </w:r>
    </w:p>
  </w:footnote>
  <w:footnote w:id="5">
    <w:p w14:paraId="50456546" w14:textId="77777777" w:rsidR="00E25215" w:rsidRPr="004027D0" w:rsidRDefault="00E25215" w:rsidP="002E3C9A">
      <w:pPr>
        <w:pStyle w:val="FootnoteText"/>
        <w:spacing w:before="0" w:after="0"/>
        <w:rPr>
          <w:lang w:val="en-US"/>
        </w:rPr>
      </w:pPr>
      <w:r w:rsidRPr="00710AC3">
        <w:rPr>
          <w:rStyle w:val="FootnoteReference"/>
        </w:rPr>
        <w:footnoteRef/>
      </w:r>
      <w:r>
        <w:t xml:space="preserve"> </w:t>
      </w:r>
      <w:r>
        <w:rPr>
          <w:lang w:val="en-US"/>
        </w:rPr>
        <w:t xml:space="preserve">Data management report available at: </w:t>
      </w:r>
      <w:hyperlink r:id="rId3" w:history="1">
        <w:r w:rsidRPr="008A141D">
          <w:rPr>
            <w:rStyle w:val="Hyperlink"/>
            <w:lang w:val="en-GB"/>
          </w:rPr>
          <w:t>https://doi.org/10.5281/zenodo.5529309</w:t>
        </w:r>
      </w:hyperlink>
    </w:p>
  </w:footnote>
  <w:footnote w:id="6">
    <w:p w14:paraId="114AFE62" w14:textId="77777777" w:rsidR="00E25215" w:rsidRPr="002C397A" w:rsidRDefault="00E25215" w:rsidP="0041711B">
      <w:pPr>
        <w:pStyle w:val="FootnoteText"/>
        <w:spacing w:before="0" w:after="0"/>
        <w:rPr>
          <w:lang w:val="en-US"/>
        </w:rPr>
      </w:pPr>
      <w:r w:rsidRPr="00710AC3">
        <w:rPr>
          <w:rStyle w:val="FootnoteReference"/>
        </w:rPr>
        <w:footnoteRef/>
      </w:r>
      <w:r>
        <w:t xml:space="preserve"> </w:t>
      </w:r>
      <w:r>
        <w:rPr>
          <w:lang w:val="en-US"/>
        </w:rPr>
        <w:t xml:space="preserve">Data management report available at </w:t>
      </w:r>
      <w:hyperlink r:id="rId4" w:history="1">
        <w:r w:rsidRPr="002C397A">
          <w:rPr>
            <w:rStyle w:val="Hyperlink"/>
            <w:lang w:val="en-US"/>
          </w:rPr>
          <w:t>https://doi.org/10.5281/zenodo.5529309</w:t>
        </w:r>
      </w:hyperlink>
    </w:p>
  </w:footnote>
  <w:footnote w:id="7">
    <w:p w14:paraId="050DA1D0" w14:textId="77777777" w:rsidR="00E25215" w:rsidRPr="00636537" w:rsidRDefault="00E25215" w:rsidP="00636537">
      <w:pPr>
        <w:pStyle w:val="FootnoteText"/>
        <w:spacing w:before="0" w:after="0"/>
        <w:contextualSpacing/>
      </w:pPr>
      <w:r w:rsidRPr="00710AC3">
        <w:rPr>
          <w:rStyle w:val="FootnoteReference"/>
        </w:rPr>
        <w:footnoteRef/>
      </w:r>
      <w:r>
        <w:t xml:space="preserve"> </w:t>
      </w:r>
      <w:r>
        <w:rPr>
          <w:lang w:val="en-US"/>
        </w:rPr>
        <w:t xml:space="preserve">Data management report available at </w:t>
      </w:r>
      <w:hyperlink r:id="rId5" w:history="1">
        <w:r w:rsidRPr="002C397A">
          <w:rPr>
            <w:rStyle w:val="Hyperlink"/>
            <w:lang w:val="en-US"/>
          </w:rPr>
          <w:t>https://doi.org/10.5281/zenodo.5529309</w:t>
        </w:r>
      </w:hyperlink>
    </w:p>
  </w:footnote>
  <w:footnote w:id="8">
    <w:p w14:paraId="7705627B" w14:textId="77777777" w:rsidR="00E25215" w:rsidRPr="00D16DEA" w:rsidRDefault="00E25215" w:rsidP="00596CA2">
      <w:pPr>
        <w:pStyle w:val="FootnoteText"/>
        <w:spacing w:before="0" w:after="0"/>
      </w:pPr>
      <w:r w:rsidRPr="00710AC3">
        <w:rPr>
          <w:rStyle w:val="FootnoteReference"/>
        </w:rPr>
        <w:footnoteRef/>
      </w:r>
      <w:r>
        <w:t xml:space="preserve"> </w:t>
      </w:r>
      <w:r>
        <w:rPr>
          <w:lang w:val="en-US"/>
        </w:rPr>
        <w:t xml:space="preserve">Data management report available at </w:t>
      </w:r>
      <w:hyperlink r:id="rId6" w:history="1">
        <w:r w:rsidRPr="008A141D">
          <w:rPr>
            <w:rStyle w:val="Hyperlink"/>
            <w:lang w:val="en-GB"/>
          </w:rPr>
          <w:t>https://doi.org/10.5281/zenodo.5529309</w:t>
        </w:r>
      </w:hyperlink>
    </w:p>
  </w:footnote>
  <w:footnote w:id="9">
    <w:p w14:paraId="249FF22F" w14:textId="77777777" w:rsidR="00E25215" w:rsidRPr="00596FAA" w:rsidRDefault="00E25215" w:rsidP="002E065A">
      <w:pPr>
        <w:pStyle w:val="FootnoteText"/>
        <w:spacing w:before="0" w:after="0"/>
      </w:pPr>
      <w:r w:rsidRPr="00710AC3">
        <w:rPr>
          <w:rStyle w:val="FootnoteReference"/>
        </w:rPr>
        <w:footnoteRef/>
      </w:r>
      <w:r>
        <w:t xml:space="preserve"> Data management report available at: </w:t>
      </w:r>
      <w:hyperlink r:id="rId7" w:history="1">
        <w:r w:rsidRPr="00574D0F">
          <w:rPr>
            <w:rStyle w:val="Hyperlink"/>
          </w:rPr>
          <w:t>https://doi.org/10.5281/zenodo.5760266</w:t>
        </w:r>
      </w:hyperlink>
      <w:r>
        <w:t xml:space="preserve"> </w:t>
      </w:r>
    </w:p>
  </w:footnote>
  <w:footnote w:id="10">
    <w:p w14:paraId="271AC553" w14:textId="2EE12C3F" w:rsidR="00E25215" w:rsidRPr="00886872" w:rsidRDefault="00E25215" w:rsidP="009622C0">
      <w:pPr>
        <w:pStyle w:val="FootnoteText"/>
        <w:spacing w:before="0" w:after="0"/>
        <w:contextualSpacing/>
        <w:rPr>
          <w:lang w:val="en-US"/>
        </w:rPr>
      </w:pPr>
      <w:r w:rsidRPr="00710AC3">
        <w:rPr>
          <w:rStyle w:val="FootnoteReference"/>
        </w:rPr>
        <w:footnoteRef/>
      </w:r>
      <w:r>
        <w:t xml:space="preserve"> Data management report available at: </w:t>
      </w:r>
      <w:hyperlink r:id="rId8" w:history="1">
        <w:r w:rsidRPr="00DB16DB">
          <w:rPr>
            <w:rStyle w:val="Hyperlink"/>
          </w:rPr>
          <w:t>https://doi.org/</w:t>
        </w:r>
        <w:r w:rsidRPr="001379C0">
          <w:rPr>
            <w:rStyle w:val="Hyperlink"/>
            <w:lang w:val="en-US"/>
          </w:rPr>
          <w:t>10.5281/zenodo.5529309</w:t>
        </w:r>
      </w:hyperlink>
    </w:p>
  </w:footnote>
  <w:footnote w:id="11">
    <w:p w14:paraId="4910C93C" w14:textId="77777777" w:rsidR="00E25215" w:rsidRPr="00542F7F" w:rsidRDefault="00E25215" w:rsidP="00624C7F">
      <w:pPr>
        <w:pStyle w:val="FootnoteText"/>
        <w:spacing w:before="0" w:after="0"/>
      </w:pPr>
      <w:r w:rsidRPr="00710AC3">
        <w:rPr>
          <w:rStyle w:val="FootnoteReference"/>
        </w:rPr>
        <w:footnoteRef/>
      </w:r>
      <w:r>
        <w:t xml:space="preserve"> Data management report available at: </w:t>
      </w:r>
      <w:hyperlink r:id="rId9" w:history="1">
        <w:r w:rsidRPr="00886872">
          <w:rPr>
            <w:rStyle w:val="Hyperlink"/>
            <w:rFonts w:eastAsiaTheme="majorEastAsia"/>
            <w:lang w:val="en-US"/>
          </w:rPr>
          <w:t>https://doi.org/10.5281/zenodo.5706520</w:t>
        </w:r>
      </w:hyperlink>
    </w:p>
  </w:footnote>
  <w:footnote w:id="12">
    <w:p w14:paraId="2404D299" w14:textId="77777777" w:rsidR="00E25215" w:rsidRPr="00B601B5" w:rsidRDefault="00E25215" w:rsidP="00624C7F">
      <w:pPr>
        <w:pStyle w:val="FootnoteText"/>
        <w:spacing w:before="0" w:after="0"/>
        <w:rPr>
          <w:lang w:val="en-US"/>
        </w:rPr>
      </w:pPr>
      <w:r w:rsidRPr="00710AC3">
        <w:rPr>
          <w:rStyle w:val="FootnoteReference"/>
        </w:rPr>
        <w:footnoteRef/>
      </w:r>
      <w:r w:rsidRPr="00F50F6A">
        <w:rPr>
          <w:lang w:val="en-US"/>
        </w:rPr>
        <w:t xml:space="preserve"> Data management report available at: </w:t>
      </w:r>
      <w:hyperlink r:id="rId10" w:history="1">
        <w:r w:rsidRPr="000C6798">
          <w:rPr>
            <w:rStyle w:val="Hyperlink"/>
            <w:lang w:val="en-GB"/>
          </w:rPr>
          <w:t>https://doi.org/10.5281/zenodo.5706520</w:t>
        </w:r>
      </w:hyperlink>
      <w:r w:rsidRPr="00F50F6A">
        <w:rPr>
          <w:lang w:val="en-US"/>
        </w:rPr>
        <w:t xml:space="preserve"> </w:t>
      </w:r>
    </w:p>
  </w:footnote>
  <w:footnote w:id="13">
    <w:p w14:paraId="680FFC37" w14:textId="77777777" w:rsidR="00E25215" w:rsidRPr="00EF6F00" w:rsidRDefault="00E25215" w:rsidP="00347358">
      <w:pPr>
        <w:pStyle w:val="FootnoteText"/>
        <w:spacing w:before="0" w:after="0"/>
      </w:pPr>
      <w:r w:rsidRPr="00710AC3">
        <w:rPr>
          <w:rStyle w:val="FootnoteReference"/>
        </w:rPr>
        <w:footnoteRef/>
      </w:r>
      <w:r>
        <w:t xml:space="preserve"> Data management report available at: </w:t>
      </w:r>
      <w:hyperlink r:id="rId11" w:history="1">
        <w:r w:rsidRPr="008A141D">
          <w:rPr>
            <w:rStyle w:val="Hyperlink"/>
            <w:lang w:val="en-GB"/>
          </w:rPr>
          <w:t>https://doi.org/10.5281/zenodo.7861162</w:t>
        </w:r>
      </w:hyperlink>
    </w:p>
  </w:footnote>
  <w:footnote w:id="14">
    <w:p w14:paraId="484BB281" w14:textId="77777777" w:rsidR="00E25215" w:rsidRDefault="00E25215" w:rsidP="00301B26">
      <w:pPr>
        <w:pStyle w:val="FootnoteText"/>
        <w:spacing w:before="0" w:after="0"/>
      </w:pPr>
      <w:r w:rsidRPr="00710AC3">
        <w:rPr>
          <w:rStyle w:val="FootnoteReference"/>
        </w:rPr>
        <w:footnoteRef/>
      </w:r>
      <w:r w:rsidRPr="00F50F6A">
        <w:rPr>
          <w:lang w:val="en-US"/>
        </w:rPr>
        <w:t xml:space="preserve"> Data management report available at: </w:t>
      </w:r>
      <w:hyperlink r:id="rId12" w:history="1">
        <w:r w:rsidRPr="000C6798">
          <w:rPr>
            <w:rStyle w:val="Hyperlink"/>
            <w:lang w:val="en-GB"/>
          </w:rPr>
          <w:t>https://doi.org/10.5281/zenodo.5760266</w:t>
        </w:r>
      </w:hyperlink>
      <w:r w:rsidRPr="00F50F6A">
        <w:rPr>
          <w:lang w:val="en-US"/>
        </w:rPr>
        <w:t xml:space="preserve"> </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2B2D0A3" w14:textId="77777777" w:rsidR="00E25215" w:rsidRPr="00B566C9" w:rsidRDefault="00E25215" w:rsidP="00B566C9">
    <w:pPr>
      <w:pStyle w:val="Header"/>
      <w:jc w:val="center"/>
      <w:rPr>
        <w:color w:val="FF0000"/>
        <w:sz w:val="20"/>
        <w:szCs w:val="18"/>
        <w:lang w:val="en-US"/>
      </w:rPr>
    </w:pPr>
    <w:r>
      <w:rPr>
        <w:noProof/>
      </w:rPr>
      <mc:AlternateContent>
        <mc:Choice Requires="wps">
          <w:drawing>
            <wp:anchor distT="0" distB="0" distL="114300" distR="114300" simplePos="0" relativeHeight="251658241" behindDoc="1" locked="0" layoutInCell="0" allowOverlap="1" wp14:anchorId="3D5B7E83" wp14:editId="65754781">
              <wp:simplePos x="0" y="0"/>
              <wp:positionH relativeFrom="margin">
                <wp:align>center</wp:align>
              </wp:positionH>
              <wp:positionV relativeFrom="margin">
                <wp:align>center</wp:align>
              </wp:positionV>
              <wp:extent cx="7805420" cy="1115060"/>
              <wp:effectExtent l="0" t="0" r="0" b="0"/>
              <wp:wrapNone/>
              <wp:docPr id="52" name="PowerPlusWaterMarkObject20093919"/>
              <wp:cNvGraphicFramePr>
                <a:graphicFrameLocks xmlns:a="http://schemas.openxmlformats.org/drawingml/2006/main" noGrp="1" noChangeAspect="1" noResize="1"/>
              </wp:cNvGraphicFramePr>
              <a:graphic xmlns:a="http://schemas.openxmlformats.org/drawingml/2006/main">
                <a:graphicData uri="http://schemas.microsoft.com/office/word/2010/wordprocessingShape">
                  <wps:wsp>
                    <wps:cNvSpPr txBox="1">
                      <a:spLocks noGrp="1" noRot="1" noChangeAspect="1" noResize="1" noEditPoints="1" noAdjustHandles="1" noChangeArrowheads="1" noChangeShapeType="1" noTextEdit="1"/>
                    </wps:cNvSpPr>
                    <wps:spPr bwMode="auto">
                      <a:xfrm rot="18900000">
                        <a:off x="0" y="0"/>
                        <a:ext cx="7805420" cy="111506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1B0BE79E" w14:textId="77777777" w:rsidR="00E25215" w:rsidRDefault="00E25215" w:rsidP="00D55CB6">
                          <w:pPr>
                            <w:jc w:val="center"/>
                            <w:rPr>
                              <w:color w:val="C0C0C0"/>
                              <w:sz w:val="72"/>
                              <w:szCs w:val="72"/>
                            </w:rPr>
                          </w:pPr>
                          <w:r>
                            <w:rPr>
                              <w:color w:val="C0C0C0"/>
                              <w:sz w:val="72"/>
                              <w:szCs w:val="72"/>
                            </w:rPr>
                            <w:t>CONFIDENTIAL</w:t>
                          </w:r>
                        </w:p>
                      </w:txbxContent>
                    </wps:txbx>
                    <wps:bodyPr wrap="square" numCol="1" fromWordArt="1">
                      <a:prstTxWarp prst="textPlain">
                        <a:avLst>
                          <a:gd name="adj" fmla="val 50000"/>
                        </a:avLst>
                      </a:prstTxWarp>
                      <a:noAutofit/>
                    </wps:bodyPr>
                  </wps:wsp>
                </a:graphicData>
              </a:graphic>
              <wp14:sizeRelH relativeFrom="page">
                <wp14:pctWidth>0</wp14:pctWidth>
              </wp14:sizeRelH>
              <wp14:sizeRelV relativeFrom="page">
                <wp14:pctHeight>0</wp14:pctHeight>
              </wp14:sizeRelV>
            </wp:anchor>
          </w:drawing>
        </mc:Choice>
        <mc:Fallback>
          <w:pict>
            <v:shapetype w14:anchorId="3D5B7E83" id="_x0000_t202" coordsize="21600,21600" o:spt="202" path="m,l,21600r21600,l21600,xe">
              <v:stroke joinstyle="miter"/>
              <v:path gradientshapeok="t" o:connecttype="rect"/>
            </v:shapetype>
            <v:shape id="PowerPlusWaterMarkObject20093919" o:spid="_x0000_s1026" type="#_x0000_t202" style="position:absolute;left:0;text-align:left;margin-left:0;margin-top:0;width:614.6pt;height:87.8pt;rotation:-45;z-index:-251658239;visibility:visible;mso-wrap-style:square;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" o:allowincell="f" filled="f" stroked="f">
              <v:stroke joinstyle="round"/>
              <o:lock v:ext="edit" rotation="t" aspectratio="t" verticies="t" adjusthandles="t" grouping="t" shapetype="t"/>
              <v:textbox>
                <w:txbxContent>
                  <w:p w14:paraId="1B0BE79E" w14:textId="77777777" w:rsidR="00E25215" w:rsidRDefault="00E25215" w:rsidP="00D55CB6">
                    <w:pPr>
                      <w:jc w:val="center"/>
                      <w:rPr>
                        <w:color w:val="C0C0C0"/>
                        <w:sz w:val="72"/>
                        <w:szCs w:val="72"/>
                      </w:rPr>
                    </w:pPr>
                    <w:r>
                      <w:rPr>
                        <w:color w:val="C0C0C0"/>
                        <w:sz w:val="72"/>
                        <w:szCs w:val="72"/>
                      </w:rPr>
                      <w:t>CONFIDENTIAL</w:t>
                    </w:r>
                  </w:p>
                </w:txbxContent>
              </v:textbox>
              <w10:wrap anchorx="margin" anchory="margin"/>
            </v:shape>
          </w:pict>
        </mc:Fallback>
      </mc:AlternateContent>
    </w:r>
    <w:r w:rsidRPr="00B566C9">
      <w:rPr>
        <w:color w:val="FF0000"/>
        <w:sz w:val="20"/>
        <w:szCs w:val="18"/>
        <w:lang w:val="en-US"/>
      </w:rPr>
      <w:t>Please do not cite, quote or circulate</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066F949" w14:textId="038F822F" w:rsidR="00E25215" w:rsidRPr="000A6124" w:rsidRDefault="00E25215" w:rsidP="000A6124">
    <w:pPr>
      <w:pStyle w:val="Header"/>
      <w:jc w:val="center"/>
      <w:rPr>
        <w:color w:val="FF0000"/>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2AEB1B3" w14:textId="77777777" w:rsidR="00E25215" w:rsidRDefault="00E25215">
    <w:pPr>
      <w:pStyle w:val="Header"/>
    </w:pPr>
    <w:r>
      <w:rPr>
        <w:noProof/>
      </w:rPr>
      <mc:AlternateContent>
        <mc:Choice Requires="wps">
          <w:drawing>
            <wp:anchor distT="0" distB="0" distL="114300" distR="114300" simplePos="0" relativeHeight="251658240" behindDoc="1" locked="0" layoutInCell="0" allowOverlap="1" wp14:anchorId="3DDE1EF4" wp14:editId="4D7928A9">
              <wp:simplePos x="0" y="0"/>
              <wp:positionH relativeFrom="margin">
                <wp:align>center</wp:align>
              </wp:positionH>
              <wp:positionV relativeFrom="margin">
                <wp:align>center</wp:align>
              </wp:positionV>
              <wp:extent cx="7805420" cy="1115060"/>
              <wp:effectExtent l="0" t="0" r="0" b="0"/>
              <wp:wrapNone/>
              <wp:docPr id="49" name="PowerPlusWaterMarkObject20093918"/>
              <wp:cNvGraphicFramePr>
                <a:graphicFrameLocks xmlns:a="http://schemas.openxmlformats.org/drawingml/2006/main" noGrp="1" noChangeAspect="1" noResize="1"/>
              </wp:cNvGraphicFramePr>
              <a:graphic xmlns:a="http://schemas.openxmlformats.org/drawingml/2006/main">
                <a:graphicData uri="http://schemas.microsoft.com/office/word/2010/wordprocessingShape">
                  <wps:wsp>
                    <wps:cNvSpPr txBox="1">
                      <a:spLocks noGrp="1" noRot="1" noChangeAspect="1" noResize="1" noEditPoints="1" noAdjustHandles="1" noChangeArrowheads="1" noChangeShapeType="1" noTextEdit="1"/>
                    </wps:cNvSpPr>
                    <wps:spPr bwMode="auto">
                      <a:xfrm rot="18900000">
                        <a:off x="0" y="0"/>
                        <a:ext cx="7805420" cy="111506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70B81014" w14:textId="77777777" w:rsidR="00E25215" w:rsidRDefault="00E25215" w:rsidP="00D55CB6">
                          <w:pPr>
                            <w:jc w:val="center"/>
                            <w:rPr>
                              <w:color w:val="C0C0C0"/>
                              <w:sz w:val="72"/>
                              <w:szCs w:val="72"/>
                            </w:rPr>
                          </w:pPr>
                          <w:r>
                            <w:rPr>
                              <w:color w:val="C0C0C0"/>
                              <w:sz w:val="72"/>
                              <w:szCs w:val="72"/>
                            </w:rPr>
                            <w:t>CONFIDENTIAL</w:t>
                          </w:r>
                        </w:p>
                      </w:txbxContent>
                    </wps:txbx>
                    <wps:bodyPr wrap="square" numCol="1" fromWordArt="1">
                      <a:prstTxWarp prst="textPlain">
                        <a:avLst>
                          <a:gd name="adj" fmla="val 50000"/>
                        </a:avLst>
                      </a:prstTxWarp>
                      <a:noAutofit/>
                    </wps:bodyPr>
                  </wps:wsp>
                </a:graphicData>
              </a:graphic>
              <wp14:sizeRelH relativeFrom="page">
                <wp14:pctWidth>0</wp14:pctWidth>
              </wp14:sizeRelH>
              <wp14:sizeRelV relativeFrom="page">
                <wp14:pctHeight>0</wp14:pctHeight>
              </wp14:sizeRelV>
            </wp:anchor>
          </w:drawing>
        </mc:Choice>
        <mc:Fallback>
          <w:pict>
            <v:shapetype w14:anchorId="3DDE1EF4" id="_x0000_t202" coordsize="21600,21600" o:spt="202" path="m,l,21600r21600,l21600,xe">
              <v:stroke joinstyle="miter"/>
              <v:path gradientshapeok="t" o:connecttype="rect"/>
            </v:shapetype>
            <v:shape id="PowerPlusWaterMarkObject20093918" o:spid="_x0000_s1027" type="#_x0000_t202" style="position:absolute;margin-left:0;margin-top:0;width:614.6pt;height:87.8pt;rotation:-45;z-index:-251658240;visibility:visible;mso-wrap-style:square;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" o:allowincell="f" filled="f" stroked="f">
              <v:stroke joinstyle="round"/>
              <o:lock v:ext="edit" rotation="t" aspectratio="t" verticies="t" adjusthandles="t" grouping="t" shapetype="t"/>
              <v:textbox>
                <w:txbxContent>
                  <w:p w14:paraId="70B81014" w14:textId="77777777" w:rsidR="00E25215" w:rsidRDefault="00E25215" w:rsidP="00D55CB6">
                    <w:pPr>
                      <w:jc w:val="center"/>
                      <w:rPr>
                        <w:color w:val="C0C0C0"/>
                        <w:sz w:val="72"/>
                        <w:szCs w:val="72"/>
                      </w:rPr>
                    </w:pPr>
                    <w:r>
                      <w:rPr>
                        <w:color w:val="C0C0C0"/>
                        <w:sz w:val="72"/>
                        <w:szCs w:val="72"/>
                      </w:rPr>
                      <w:t>CONFIDENTIAL</w:t>
                    </w:r>
                  </w:p>
                </w:txbxContent>
              </v:textbox>
              <w10:wrap anchorx="margin" anchory="margin"/>
            </v:shape>
          </w:pict>
        </mc:Fallback>
      </mc:AlternateConten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5E7EE9B" w14:textId="77777777" w:rsidR="00E25215" w:rsidRDefault="00E25215">
    <w:pPr>
      <w:pStyle w:val="Header"/>
    </w:pPr>
    <w:r>
      <w:rPr>
        <w:noProof/>
      </w:rPr>
      <mc:AlternateContent>
        <mc:Choice Requires="wps">
          <w:drawing>
            <wp:anchor distT="0" distB="0" distL="114300" distR="114300" simplePos="0" relativeHeight="251658244" behindDoc="1" locked="0" layoutInCell="0" allowOverlap="1" wp14:anchorId="2CF1AACF" wp14:editId="33B090AA">
              <wp:simplePos x="0" y="0"/>
              <wp:positionH relativeFrom="margin">
                <wp:align>center</wp:align>
              </wp:positionH>
              <wp:positionV relativeFrom="margin">
                <wp:align>center</wp:align>
              </wp:positionV>
              <wp:extent cx="7805420" cy="1115060"/>
              <wp:effectExtent l="0" t="0" r="0" b="0"/>
              <wp:wrapNone/>
              <wp:docPr id="48" name="PowerPlusWaterMarkObject20093922"/>
              <wp:cNvGraphicFramePr>
                <a:graphicFrameLocks xmlns:a="http://schemas.openxmlformats.org/drawingml/2006/main" noGrp="1" noChangeAspect="1" noResize="1"/>
              </wp:cNvGraphicFramePr>
              <a:graphic xmlns:a="http://schemas.openxmlformats.org/drawingml/2006/main">
                <a:graphicData uri="http://schemas.microsoft.com/office/word/2010/wordprocessingShape">
                  <wps:wsp>
                    <wps:cNvSpPr txBox="1">
                      <a:spLocks noGrp="1" noRot="1" noChangeAspect="1" noResize="1" noEditPoints="1" noAdjustHandles="1" noChangeArrowheads="1" noChangeShapeType="1" noTextEdit="1"/>
                    </wps:cNvSpPr>
                    <wps:spPr bwMode="auto">
                      <a:xfrm rot="18900000">
                        <a:off x="0" y="0"/>
                        <a:ext cx="7805420" cy="111506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191ECE93" w14:textId="77777777" w:rsidR="00E25215" w:rsidRDefault="00E25215" w:rsidP="00D55CB6">
                          <w:pPr>
                            <w:jc w:val="center"/>
                            <w:rPr>
                              <w:color w:val="C0C0C0"/>
                              <w:sz w:val="72"/>
                              <w:szCs w:val="72"/>
                            </w:rPr>
                          </w:pPr>
                          <w:r>
                            <w:rPr>
                              <w:color w:val="C0C0C0"/>
                              <w:sz w:val="72"/>
                              <w:szCs w:val="72"/>
                            </w:rPr>
                            <w:t>CONFIDENTIAL</w:t>
                          </w:r>
                        </w:p>
                      </w:txbxContent>
                    </wps:txbx>
                    <wps:bodyPr wrap="square" numCol="1" fromWordArt="1">
                      <a:prstTxWarp prst="textPlain">
                        <a:avLst>
                          <a:gd name="adj" fmla="val 50000"/>
                        </a:avLst>
                      </a:prstTxWarp>
                      <a:noAutofit/>
                    </wps:bodyPr>
                  </wps:wsp>
                </a:graphicData>
              </a:graphic>
              <wp14:sizeRelH relativeFrom="page">
                <wp14:pctWidth>0</wp14:pctWidth>
              </wp14:sizeRelH>
              <wp14:sizeRelV relativeFrom="page">
                <wp14:pctHeight>0</wp14:pctHeight>
              </wp14:sizeRelV>
            </wp:anchor>
          </w:drawing>
        </mc:Choice>
        <mc:Fallback>
          <w:pict>
            <v:shapetype w14:anchorId="2CF1AACF" id="_x0000_t202" coordsize="21600,21600" o:spt="202" path="m,l,21600r21600,l21600,xe">
              <v:stroke joinstyle="miter"/>
              <v:path gradientshapeok="t" o:connecttype="rect"/>
            </v:shapetype>
            <v:shape id="PowerPlusWaterMarkObject20093922" o:spid="_x0000_s1028" type="#_x0000_t202" style="position:absolute;margin-left:0;margin-top:0;width:614.6pt;height:87.8pt;rotation:-45;z-index:-251658236;visibility:visible;mso-wrap-style:square;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" o:allowincell="f" filled="f" stroked="f">
              <v:stroke joinstyle="round"/>
              <o:lock v:ext="edit" rotation="t" aspectratio="t" verticies="t" adjusthandles="t" grouping="t" shapetype="t"/>
              <v:textbox>
                <w:txbxContent>
                  <w:p w14:paraId="191ECE93" w14:textId="77777777" w:rsidR="00E25215" w:rsidRDefault="00E25215" w:rsidP="00D55CB6">
                    <w:pPr>
                      <w:jc w:val="center"/>
                      <w:rPr>
                        <w:color w:val="C0C0C0"/>
                        <w:sz w:val="72"/>
                        <w:szCs w:val="72"/>
                      </w:rPr>
                    </w:pPr>
                    <w:r>
                      <w:rPr>
                        <w:color w:val="C0C0C0"/>
                        <w:sz w:val="72"/>
                        <w:szCs w:val="72"/>
                      </w:rPr>
                      <w:t>CONFIDENTIAL</w:t>
                    </w:r>
                  </w:p>
                </w:txbxContent>
              </v:textbox>
              <w10:wrap anchorx="margin" anchory="margin"/>
            </v:shape>
          </w:pict>
        </mc:Fallback>
      </mc:AlternateConten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E5DCEDC" w14:textId="55293570" w:rsidR="00E25215" w:rsidRPr="00184ECF" w:rsidRDefault="00E25215" w:rsidP="00F70735">
    <w:pPr>
      <w:pStyle w:val="Header"/>
      <w:jc w:val="center"/>
      <w:rPr>
        <w:color w:val="FF0000"/>
        <w:sz w:val="20"/>
        <w:szCs w:val="18"/>
        <w:lang w:val="en-US"/>
      </w:rP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0CCB70D" w14:textId="77777777" w:rsidR="00E25215" w:rsidRDefault="00E25215">
    <w:pPr>
      <w:pStyle w:val="Header"/>
    </w:pPr>
    <w:r>
      <w:rPr>
        <w:noProof/>
      </w:rPr>
      <mc:AlternateContent>
        <mc:Choice Requires="wps">
          <w:drawing>
            <wp:anchor distT="0" distB="0" distL="114300" distR="114300" simplePos="0" relativeHeight="251658243" behindDoc="1" locked="0" layoutInCell="0" allowOverlap="1" wp14:anchorId="779C9E51" wp14:editId="168D42EE">
              <wp:simplePos x="0" y="0"/>
              <wp:positionH relativeFrom="margin">
                <wp:align>center</wp:align>
              </wp:positionH>
              <wp:positionV relativeFrom="margin">
                <wp:align>center</wp:align>
              </wp:positionV>
              <wp:extent cx="7805420" cy="1115060"/>
              <wp:effectExtent l="0" t="0" r="0" b="0"/>
              <wp:wrapNone/>
              <wp:docPr id="43" name="PowerPlusWaterMarkObject20093921"/>
              <wp:cNvGraphicFramePr>
                <a:graphicFrameLocks xmlns:a="http://schemas.openxmlformats.org/drawingml/2006/main" noGrp="1" noChangeAspect="1" noResize="1"/>
              </wp:cNvGraphicFramePr>
              <a:graphic xmlns:a="http://schemas.openxmlformats.org/drawingml/2006/main">
                <a:graphicData uri="http://schemas.microsoft.com/office/word/2010/wordprocessingShape">
                  <wps:wsp>
                    <wps:cNvSpPr txBox="1">
                      <a:spLocks noGrp="1" noRot="1" noChangeAspect="1" noResize="1" noEditPoints="1" noAdjustHandles="1" noChangeArrowheads="1" noChangeShapeType="1" noTextEdit="1"/>
                    </wps:cNvSpPr>
                    <wps:spPr bwMode="auto">
                      <a:xfrm rot="18900000">
                        <a:off x="0" y="0"/>
                        <a:ext cx="7805420" cy="111506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3915682E" w14:textId="77777777" w:rsidR="00E25215" w:rsidRDefault="00E25215" w:rsidP="00D55CB6">
                          <w:pPr>
                            <w:jc w:val="center"/>
                            <w:rPr>
                              <w:color w:val="C0C0C0"/>
                              <w:sz w:val="72"/>
                              <w:szCs w:val="72"/>
                            </w:rPr>
                          </w:pPr>
                          <w:r>
                            <w:rPr>
                              <w:color w:val="C0C0C0"/>
                              <w:sz w:val="72"/>
                              <w:szCs w:val="72"/>
                            </w:rPr>
                            <w:t>CONFIDENTIAL</w:t>
                          </w:r>
                        </w:p>
                      </w:txbxContent>
                    </wps:txbx>
                    <wps:bodyPr wrap="square" numCol="1" fromWordArt="1">
                      <a:prstTxWarp prst="textPlain">
                        <a:avLst>
                          <a:gd name="adj" fmla="val 50000"/>
                        </a:avLst>
                      </a:prstTxWarp>
                      <a:noAutofit/>
                    </wps:bodyPr>
                  </wps:wsp>
                </a:graphicData>
              </a:graphic>
              <wp14:sizeRelH relativeFrom="page">
                <wp14:pctWidth>0</wp14:pctWidth>
              </wp14:sizeRelH>
              <wp14:sizeRelV relativeFrom="page">
                <wp14:pctHeight>0</wp14:pctHeight>
              </wp14:sizeRelV>
            </wp:anchor>
          </w:drawing>
        </mc:Choice>
        <mc:Fallback>
          <w:pict>
            <v:shapetype w14:anchorId="779C9E51" id="_x0000_t202" coordsize="21600,21600" o:spt="202" path="m,l,21600r21600,l21600,xe">
              <v:stroke joinstyle="miter"/>
              <v:path gradientshapeok="t" o:connecttype="rect"/>
            </v:shapetype>
            <v:shape id="PowerPlusWaterMarkObject20093921" o:spid="_x0000_s1029" type="#_x0000_t202" style="position:absolute;margin-left:0;margin-top:0;width:614.6pt;height:87.8pt;rotation:-45;z-index:-251658237;visibility:visible;mso-wrap-style:square;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" o:allowincell="f" filled="f" stroked="f">
              <v:stroke joinstyle="round"/>
              <o:lock v:ext="edit" rotation="t" aspectratio="t" verticies="t" adjusthandles="t" grouping="t" shapetype="t"/>
              <v:textbox>
                <w:txbxContent>
                  <w:p w14:paraId="3915682E" w14:textId="77777777" w:rsidR="00E25215" w:rsidRDefault="00E25215" w:rsidP="00D55CB6">
                    <w:pPr>
                      <w:jc w:val="center"/>
                      <w:rPr>
                        <w:color w:val="C0C0C0"/>
                        <w:sz w:val="72"/>
                        <w:szCs w:val="72"/>
                      </w:rPr>
                    </w:pPr>
                    <w:r>
                      <w:rPr>
                        <w:color w:val="C0C0C0"/>
                        <w:sz w:val="72"/>
                        <w:szCs w:val="72"/>
                      </w:rPr>
                      <w:t>CONFIDENTIAL</w:t>
                    </w:r>
                  </w:p>
                </w:txbxContent>
              </v:textbox>
              <w10:wrap anchorx="margin" anchory="margin"/>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38E07680"/>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hybridMultilevel"/>
    <w:tmpl w:val="ED102462"/>
    <w:lvl w:ilvl="0" w:tplc="0A68B1E2">
      <w:start w:val="1"/>
      <w:numFmt w:val="decimal"/>
      <w:pStyle w:val="ListNumber4"/>
      <w:lvlText w:val="%1."/>
      <w:lvlJc w:val="left"/>
      <w:pPr>
        <w:tabs>
          <w:tab w:val="num" w:pos="1209"/>
        </w:tabs>
        <w:ind w:left="1209" w:hanging="360"/>
      </w:pPr>
    </w:lvl>
    <w:lvl w:ilvl="1" w:tplc="B838D966">
      <w:numFmt w:val="decimal"/>
      <w:lvlText w:val=""/>
      <w:lvlJc w:val="left"/>
    </w:lvl>
    <w:lvl w:ilvl="2" w:tplc="C9FC6210">
      <w:numFmt w:val="decimal"/>
      <w:lvlText w:val=""/>
      <w:lvlJc w:val="left"/>
    </w:lvl>
    <w:lvl w:ilvl="3" w:tplc="85C0753C">
      <w:numFmt w:val="decimal"/>
      <w:lvlText w:val=""/>
      <w:lvlJc w:val="left"/>
    </w:lvl>
    <w:lvl w:ilvl="4" w:tplc="1F042A06">
      <w:numFmt w:val="decimal"/>
      <w:lvlText w:val=""/>
      <w:lvlJc w:val="left"/>
    </w:lvl>
    <w:lvl w:ilvl="5" w:tplc="72A6BB12">
      <w:numFmt w:val="decimal"/>
      <w:lvlText w:val=""/>
      <w:lvlJc w:val="left"/>
    </w:lvl>
    <w:lvl w:ilvl="6" w:tplc="110E81BE">
      <w:numFmt w:val="decimal"/>
      <w:lvlText w:val=""/>
      <w:lvlJc w:val="left"/>
    </w:lvl>
    <w:lvl w:ilvl="7" w:tplc="DA9E952E">
      <w:numFmt w:val="decimal"/>
      <w:lvlText w:val=""/>
      <w:lvlJc w:val="left"/>
    </w:lvl>
    <w:lvl w:ilvl="8" w:tplc="9ED27004">
      <w:numFmt w:val="decimal"/>
      <w:lvlText w:val=""/>
      <w:lvlJc w:val="left"/>
    </w:lvl>
  </w:abstractNum>
  <w:abstractNum w:abstractNumId="2" w15:restartNumberingAfterBreak="0">
    <w:nsid w:val="FFFFFF7E"/>
    <w:multiLevelType w:val="hybridMultilevel"/>
    <w:tmpl w:val="7590B6CC"/>
    <w:lvl w:ilvl="0" w:tplc="8C922FA2">
      <w:start w:val="1"/>
      <w:numFmt w:val="decimal"/>
      <w:pStyle w:val="ListNumber3"/>
      <w:lvlText w:val="%1."/>
      <w:lvlJc w:val="left"/>
      <w:pPr>
        <w:tabs>
          <w:tab w:val="num" w:pos="926"/>
        </w:tabs>
        <w:ind w:left="926" w:hanging="360"/>
      </w:pPr>
    </w:lvl>
    <w:lvl w:ilvl="1" w:tplc="CF966DA6">
      <w:numFmt w:val="decimal"/>
      <w:lvlText w:val=""/>
      <w:lvlJc w:val="left"/>
    </w:lvl>
    <w:lvl w:ilvl="2" w:tplc="F4785BA2">
      <w:numFmt w:val="decimal"/>
      <w:lvlText w:val=""/>
      <w:lvlJc w:val="left"/>
    </w:lvl>
    <w:lvl w:ilvl="3" w:tplc="E62E2512">
      <w:numFmt w:val="decimal"/>
      <w:lvlText w:val=""/>
      <w:lvlJc w:val="left"/>
    </w:lvl>
    <w:lvl w:ilvl="4" w:tplc="707A696E">
      <w:numFmt w:val="decimal"/>
      <w:lvlText w:val=""/>
      <w:lvlJc w:val="left"/>
    </w:lvl>
    <w:lvl w:ilvl="5" w:tplc="0CDA43D4">
      <w:numFmt w:val="decimal"/>
      <w:lvlText w:val=""/>
      <w:lvlJc w:val="left"/>
    </w:lvl>
    <w:lvl w:ilvl="6" w:tplc="B11888B0">
      <w:numFmt w:val="decimal"/>
      <w:lvlText w:val=""/>
      <w:lvlJc w:val="left"/>
    </w:lvl>
    <w:lvl w:ilvl="7" w:tplc="5D10CCE4">
      <w:numFmt w:val="decimal"/>
      <w:lvlText w:val=""/>
      <w:lvlJc w:val="left"/>
    </w:lvl>
    <w:lvl w:ilvl="8" w:tplc="02A02096">
      <w:numFmt w:val="decimal"/>
      <w:lvlText w:val=""/>
      <w:lvlJc w:val="left"/>
    </w:lvl>
  </w:abstractNum>
  <w:abstractNum w:abstractNumId="3" w15:restartNumberingAfterBreak="0">
    <w:nsid w:val="FFFFFF7F"/>
    <w:multiLevelType w:val="hybridMultilevel"/>
    <w:tmpl w:val="64125FD0"/>
    <w:lvl w:ilvl="0" w:tplc="B9966252">
      <w:start w:val="1"/>
      <w:numFmt w:val="decimal"/>
      <w:pStyle w:val="ListNumber2"/>
      <w:lvlText w:val="%1."/>
      <w:lvlJc w:val="left"/>
      <w:pPr>
        <w:tabs>
          <w:tab w:val="num" w:pos="643"/>
        </w:tabs>
        <w:ind w:left="643" w:hanging="360"/>
      </w:pPr>
    </w:lvl>
    <w:lvl w:ilvl="1" w:tplc="5BBC8D82">
      <w:numFmt w:val="decimal"/>
      <w:lvlText w:val=""/>
      <w:lvlJc w:val="left"/>
    </w:lvl>
    <w:lvl w:ilvl="2" w:tplc="1D7EE098">
      <w:numFmt w:val="decimal"/>
      <w:lvlText w:val=""/>
      <w:lvlJc w:val="left"/>
    </w:lvl>
    <w:lvl w:ilvl="3" w:tplc="E46A67D0">
      <w:numFmt w:val="decimal"/>
      <w:lvlText w:val=""/>
      <w:lvlJc w:val="left"/>
    </w:lvl>
    <w:lvl w:ilvl="4" w:tplc="0A7202C8">
      <w:numFmt w:val="decimal"/>
      <w:lvlText w:val=""/>
      <w:lvlJc w:val="left"/>
    </w:lvl>
    <w:lvl w:ilvl="5" w:tplc="0C50CAE6">
      <w:numFmt w:val="decimal"/>
      <w:lvlText w:val=""/>
      <w:lvlJc w:val="left"/>
    </w:lvl>
    <w:lvl w:ilvl="6" w:tplc="83D4DBB2">
      <w:numFmt w:val="decimal"/>
      <w:lvlText w:val=""/>
      <w:lvlJc w:val="left"/>
    </w:lvl>
    <w:lvl w:ilvl="7" w:tplc="E7EA9DFA">
      <w:numFmt w:val="decimal"/>
      <w:lvlText w:val=""/>
      <w:lvlJc w:val="left"/>
    </w:lvl>
    <w:lvl w:ilvl="8" w:tplc="FF841EE2">
      <w:numFmt w:val="decimal"/>
      <w:lvlText w:val=""/>
      <w:lvlJc w:val="left"/>
    </w:lvl>
  </w:abstractNum>
  <w:abstractNum w:abstractNumId="4" w15:restartNumberingAfterBreak="0">
    <w:nsid w:val="FFFFFF80"/>
    <w:multiLevelType w:val="hybridMultilevel"/>
    <w:tmpl w:val="CBDAE658"/>
    <w:lvl w:ilvl="0" w:tplc="A4802BB8">
      <w:start w:val="1"/>
      <w:numFmt w:val="bullet"/>
      <w:pStyle w:val="ListBullet5"/>
      <w:lvlText w:val=""/>
      <w:lvlJc w:val="left"/>
      <w:pPr>
        <w:tabs>
          <w:tab w:val="num" w:pos="1492"/>
        </w:tabs>
        <w:ind w:left="1492" w:hanging="360"/>
      </w:pPr>
      <w:rPr>
        <w:rFonts w:ascii="Symbol" w:hAnsi="Symbol" w:hint="default"/>
      </w:rPr>
    </w:lvl>
    <w:lvl w:ilvl="1" w:tplc="AD307986">
      <w:numFmt w:val="decimal"/>
      <w:lvlText w:val=""/>
      <w:lvlJc w:val="left"/>
    </w:lvl>
    <w:lvl w:ilvl="2" w:tplc="7FCA08F8">
      <w:numFmt w:val="decimal"/>
      <w:lvlText w:val=""/>
      <w:lvlJc w:val="left"/>
    </w:lvl>
    <w:lvl w:ilvl="3" w:tplc="8C4CCD22">
      <w:numFmt w:val="decimal"/>
      <w:lvlText w:val=""/>
      <w:lvlJc w:val="left"/>
    </w:lvl>
    <w:lvl w:ilvl="4" w:tplc="45A674FE">
      <w:numFmt w:val="decimal"/>
      <w:lvlText w:val=""/>
      <w:lvlJc w:val="left"/>
    </w:lvl>
    <w:lvl w:ilvl="5" w:tplc="BFEA2CD6">
      <w:numFmt w:val="decimal"/>
      <w:lvlText w:val=""/>
      <w:lvlJc w:val="left"/>
    </w:lvl>
    <w:lvl w:ilvl="6" w:tplc="7D5477FA">
      <w:numFmt w:val="decimal"/>
      <w:lvlText w:val=""/>
      <w:lvlJc w:val="left"/>
    </w:lvl>
    <w:lvl w:ilvl="7" w:tplc="345E632E">
      <w:numFmt w:val="decimal"/>
      <w:lvlText w:val=""/>
      <w:lvlJc w:val="left"/>
    </w:lvl>
    <w:lvl w:ilvl="8" w:tplc="666CC57E">
      <w:numFmt w:val="decimal"/>
      <w:lvlText w:val=""/>
      <w:lvlJc w:val="left"/>
    </w:lvl>
  </w:abstractNum>
  <w:abstractNum w:abstractNumId="5" w15:restartNumberingAfterBreak="0">
    <w:nsid w:val="FFFFFF81"/>
    <w:multiLevelType w:val="hybridMultilevel"/>
    <w:tmpl w:val="76B2096C"/>
    <w:lvl w:ilvl="0" w:tplc="15DCF234">
      <w:start w:val="1"/>
      <w:numFmt w:val="bullet"/>
      <w:pStyle w:val="ListBullet4"/>
      <w:lvlText w:val=""/>
      <w:lvlJc w:val="left"/>
      <w:pPr>
        <w:tabs>
          <w:tab w:val="num" w:pos="1209"/>
        </w:tabs>
        <w:ind w:left="1209" w:hanging="360"/>
      </w:pPr>
      <w:rPr>
        <w:rFonts w:ascii="Symbol" w:hAnsi="Symbol" w:hint="default"/>
      </w:rPr>
    </w:lvl>
    <w:lvl w:ilvl="1" w:tplc="3E2C9DB6">
      <w:numFmt w:val="decimal"/>
      <w:lvlText w:val=""/>
      <w:lvlJc w:val="left"/>
    </w:lvl>
    <w:lvl w:ilvl="2" w:tplc="C16AA70E">
      <w:numFmt w:val="decimal"/>
      <w:lvlText w:val=""/>
      <w:lvlJc w:val="left"/>
    </w:lvl>
    <w:lvl w:ilvl="3" w:tplc="3E9C4E4E">
      <w:numFmt w:val="decimal"/>
      <w:lvlText w:val=""/>
      <w:lvlJc w:val="left"/>
    </w:lvl>
    <w:lvl w:ilvl="4" w:tplc="6AF84288">
      <w:numFmt w:val="decimal"/>
      <w:lvlText w:val=""/>
      <w:lvlJc w:val="left"/>
    </w:lvl>
    <w:lvl w:ilvl="5" w:tplc="BB20717A">
      <w:numFmt w:val="decimal"/>
      <w:lvlText w:val=""/>
      <w:lvlJc w:val="left"/>
    </w:lvl>
    <w:lvl w:ilvl="6" w:tplc="E8964E12">
      <w:numFmt w:val="decimal"/>
      <w:lvlText w:val=""/>
      <w:lvlJc w:val="left"/>
    </w:lvl>
    <w:lvl w:ilvl="7" w:tplc="7D9C3F96">
      <w:numFmt w:val="decimal"/>
      <w:lvlText w:val=""/>
      <w:lvlJc w:val="left"/>
    </w:lvl>
    <w:lvl w:ilvl="8" w:tplc="D9063DB4">
      <w:numFmt w:val="decimal"/>
      <w:lvlText w:val=""/>
      <w:lvlJc w:val="left"/>
    </w:lvl>
  </w:abstractNum>
  <w:abstractNum w:abstractNumId="6" w15:restartNumberingAfterBreak="0">
    <w:nsid w:val="FFFFFF82"/>
    <w:multiLevelType w:val="hybridMultilevel"/>
    <w:tmpl w:val="3D72ACB0"/>
    <w:lvl w:ilvl="0" w:tplc="AE8CC474">
      <w:start w:val="1"/>
      <w:numFmt w:val="bullet"/>
      <w:pStyle w:val="ListBullet3"/>
      <w:lvlText w:val=""/>
      <w:lvlJc w:val="left"/>
      <w:pPr>
        <w:tabs>
          <w:tab w:val="num" w:pos="926"/>
        </w:tabs>
        <w:ind w:left="926" w:hanging="360"/>
      </w:pPr>
      <w:rPr>
        <w:rFonts w:ascii="Symbol" w:hAnsi="Symbol" w:hint="default"/>
      </w:rPr>
    </w:lvl>
    <w:lvl w:ilvl="1" w:tplc="1CCC2920">
      <w:numFmt w:val="decimal"/>
      <w:lvlText w:val=""/>
      <w:lvlJc w:val="left"/>
    </w:lvl>
    <w:lvl w:ilvl="2" w:tplc="1B422D58">
      <w:numFmt w:val="decimal"/>
      <w:lvlText w:val=""/>
      <w:lvlJc w:val="left"/>
    </w:lvl>
    <w:lvl w:ilvl="3" w:tplc="D11215C2">
      <w:numFmt w:val="decimal"/>
      <w:lvlText w:val=""/>
      <w:lvlJc w:val="left"/>
    </w:lvl>
    <w:lvl w:ilvl="4" w:tplc="348C52EE">
      <w:numFmt w:val="decimal"/>
      <w:lvlText w:val=""/>
      <w:lvlJc w:val="left"/>
    </w:lvl>
    <w:lvl w:ilvl="5" w:tplc="E94A63AA">
      <w:numFmt w:val="decimal"/>
      <w:lvlText w:val=""/>
      <w:lvlJc w:val="left"/>
    </w:lvl>
    <w:lvl w:ilvl="6" w:tplc="F692E73E">
      <w:numFmt w:val="decimal"/>
      <w:lvlText w:val=""/>
      <w:lvlJc w:val="left"/>
    </w:lvl>
    <w:lvl w:ilvl="7" w:tplc="C8E47A5E">
      <w:numFmt w:val="decimal"/>
      <w:lvlText w:val=""/>
      <w:lvlJc w:val="left"/>
    </w:lvl>
    <w:lvl w:ilvl="8" w:tplc="F4DEA21C">
      <w:numFmt w:val="decimal"/>
      <w:lvlText w:val=""/>
      <w:lvlJc w:val="left"/>
    </w:lvl>
  </w:abstractNum>
  <w:abstractNum w:abstractNumId="7" w15:restartNumberingAfterBreak="0">
    <w:nsid w:val="FFFFFF83"/>
    <w:multiLevelType w:val="hybridMultilevel"/>
    <w:tmpl w:val="A83EC0EC"/>
    <w:lvl w:ilvl="0" w:tplc="709EE09C">
      <w:start w:val="1"/>
      <w:numFmt w:val="bullet"/>
      <w:pStyle w:val="ListBullet2"/>
      <w:lvlText w:val=""/>
      <w:lvlJc w:val="left"/>
      <w:pPr>
        <w:tabs>
          <w:tab w:val="num" w:pos="643"/>
        </w:tabs>
        <w:ind w:left="643" w:hanging="360"/>
      </w:pPr>
      <w:rPr>
        <w:rFonts w:ascii="Symbol" w:hAnsi="Symbol" w:hint="default"/>
      </w:rPr>
    </w:lvl>
    <w:lvl w:ilvl="1" w:tplc="666EF218">
      <w:numFmt w:val="decimal"/>
      <w:lvlText w:val=""/>
      <w:lvlJc w:val="left"/>
    </w:lvl>
    <w:lvl w:ilvl="2" w:tplc="43DE1B76">
      <w:numFmt w:val="decimal"/>
      <w:lvlText w:val=""/>
      <w:lvlJc w:val="left"/>
    </w:lvl>
    <w:lvl w:ilvl="3" w:tplc="05ACF4A2">
      <w:numFmt w:val="decimal"/>
      <w:lvlText w:val=""/>
      <w:lvlJc w:val="left"/>
    </w:lvl>
    <w:lvl w:ilvl="4" w:tplc="8C620866">
      <w:numFmt w:val="decimal"/>
      <w:lvlText w:val=""/>
      <w:lvlJc w:val="left"/>
    </w:lvl>
    <w:lvl w:ilvl="5" w:tplc="A686F170">
      <w:numFmt w:val="decimal"/>
      <w:lvlText w:val=""/>
      <w:lvlJc w:val="left"/>
    </w:lvl>
    <w:lvl w:ilvl="6" w:tplc="E77E5F52">
      <w:numFmt w:val="decimal"/>
      <w:lvlText w:val=""/>
      <w:lvlJc w:val="left"/>
    </w:lvl>
    <w:lvl w:ilvl="7" w:tplc="36B06D38">
      <w:numFmt w:val="decimal"/>
      <w:lvlText w:val=""/>
      <w:lvlJc w:val="left"/>
    </w:lvl>
    <w:lvl w:ilvl="8" w:tplc="5816953C">
      <w:numFmt w:val="decimal"/>
      <w:lvlText w:val=""/>
      <w:lvlJc w:val="left"/>
    </w:lvl>
  </w:abstractNum>
  <w:abstractNum w:abstractNumId="8" w15:restartNumberingAfterBreak="0">
    <w:nsid w:val="FFFFFF88"/>
    <w:multiLevelType w:val="hybridMultilevel"/>
    <w:tmpl w:val="1DD268F0"/>
    <w:lvl w:ilvl="0" w:tplc="B4C0A5DA">
      <w:start w:val="1"/>
      <w:numFmt w:val="decimal"/>
      <w:pStyle w:val="ListNumber"/>
      <w:lvlText w:val="%1."/>
      <w:lvlJc w:val="left"/>
      <w:pPr>
        <w:tabs>
          <w:tab w:val="num" w:pos="360"/>
        </w:tabs>
        <w:ind w:left="360" w:hanging="360"/>
      </w:pPr>
    </w:lvl>
    <w:lvl w:ilvl="1" w:tplc="1876C2AA">
      <w:numFmt w:val="decimal"/>
      <w:lvlText w:val=""/>
      <w:lvlJc w:val="left"/>
    </w:lvl>
    <w:lvl w:ilvl="2" w:tplc="7E503F06">
      <w:numFmt w:val="decimal"/>
      <w:lvlText w:val=""/>
      <w:lvlJc w:val="left"/>
    </w:lvl>
    <w:lvl w:ilvl="3" w:tplc="14EA96B2">
      <w:numFmt w:val="decimal"/>
      <w:lvlText w:val=""/>
      <w:lvlJc w:val="left"/>
    </w:lvl>
    <w:lvl w:ilvl="4" w:tplc="B2F00FEE">
      <w:numFmt w:val="decimal"/>
      <w:lvlText w:val=""/>
      <w:lvlJc w:val="left"/>
    </w:lvl>
    <w:lvl w:ilvl="5" w:tplc="58EEF752">
      <w:numFmt w:val="decimal"/>
      <w:lvlText w:val=""/>
      <w:lvlJc w:val="left"/>
    </w:lvl>
    <w:lvl w:ilvl="6" w:tplc="BA64412C">
      <w:numFmt w:val="decimal"/>
      <w:lvlText w:val=""/>
      <w:lvlJc w:val="left"/>
    </w:lvl>
    <w:lvl w:ilvl="7" w:tplc="A97C7C3E">
      <w:numFmt w:val="decimal"/>
      <w:lvlText w:val=""/>
      <w:lvlJc w:val="left"/>
    </w:lvl>
    <w:lvl w:ilvl="8" w:tplc="C644D136">
      <w:numFmt w:val="decimal"/>
      <w:lvlText w:val=""/>
      <w:lvlJc w:val="left"/>
    </w:lvl>
  </w:abstractNum>
  <w:abstractNum w:abstractNumId="9" w15:restartNumberingAfterBreak="0">
    <w:nsid w:val="FFFFFF89"/>
    <w:multiLevelType w:val="hybridMultilevel"/>
    <w:tmpl w:val="CD4673E4"/>
    <w:lvl w:ilvl="0" w:tplc="9E0E2770">
      <w:start w:val="1"/>
      <w:numFmt w:val="bullet"/>
      <w:pStyle w:val="ListBullet"/>
      <w:lvlText w:val=""/>
      <w:lvlJc w:val="left"/>
      <w:pPr>
        <w:tabs>
          <w:tab w:val="num" w:pos="360"/>
        </w:tabs>
        <w:ind w:left="360" w:hanging="360"/>
      </w:pPr>
      <w:rPr>
        <w:rFonts w:ascii="Symbol" w:hAnsi="Symbol" w:hint="default"/>
      </w:rPr>
    </w:lvl>
    <w:lvl w:ilvl="1" w:tplc="6D0013CA">
      <w:numFmt w:val="decimal"/>
      <w:lvlText w:val=""/>
      <w:lvlJc w:val="left"/>
    </w:lvl>
    <w:lvl w:ilvl="2" w:tplc="98904AF2">
      <w:numFmt w:val="decimal"/>
      <w:lvlText w:val=""/>
      <w:lvlJc w:val="left"/>
    </w:lvl>
    <w:lvl w:ilvl="3" w:tplc="96D297BE">
      <w:numFmt w:val="decimal"/>
      <w:lvlText w:val=""/>
      <w:lvlJc w:val="left"/>
    </w:lvl>
    <w:lvl w:ilvl="4" w:tplc="FDAAEE2A">
      <w:numFmt w:val="decimal"/>
      <w:lvlText w:val=""/>
      <w:lvlJc w:val="left"/>
    </w:lvl>
    <w:lvl w:ilvl="5" w:tplc="701E8BA4">
      <w:numFmt w:val="decimal"/>
      <w:lvlText w:val=""/>
      <w:lvlJc w:val="left"/>
    </w:lvl>
    <w:lvl w:ilvl="6" w:tplc="AB323CA8">
      <w:numFmt w:val="decimal"/>
      <w:lvlText w:val=""/>
      <w:lvlJc w:val="left"/>
    </w:lvl>
    <w:lvl w:ilvl="7" w:tplc="6DBC4A3E">
      <w:numFmt w:val="decimal"/>
      <w:lvlText w:val=""/>
      <w:lvlJc w:val="left"/>
    </w:lvl>
    <w:lvl w:ilvl="8" w:tplc="8DDE0B9E">
      <w:numFmt w:val="decimal"/>
      <w:lvlText w:val=""/>
      <w:lvlJc w:val="left"/>
    </w:lvl>
  </w:abstractNum>
  <w:abstractNum w:abstractNumId="10" w15:restartNumberingAfterBreak="0">
    <w:nsid w:val="06076058"/>
    <w:multiLevelType w:val="multilevel"/>
    <w:tmpl w:val="A47E0DA8"/>
    <w:styleLink w:val="CurrentList15"/>
    <w:lvl w:ilvl="0">
      <w:start w:val="3"/>
      <w:numFmt w:val="decimal"/>
      <w:suff w:val="space"/>
      <w:lvlText w:val="%1."/>
      <w:lvlJc w:val="left"/>
      <w:pPr>
        <w:ind w:left="360" w:hanging="360"/>
      </w:pPr>
      <w:rPr>
        <w:rFonts w:hint="default"/>
        <w:b/>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1" w15:restartNumberingAfterBreak="0">
    <w:nsid w:val="09454716"/>
    <w:multiLevelType w:val="multilevel"/>
    <w:tmpl w:val="F5AC6D2E"/>
    <w:styleLink w:val="CurrentList13"/>
    <w:lvl w:ilvl="0">
      <w:start w:val="1"/>
      <w:numFmt w:val="none"/>
      <w:suff w:val="space"/>
      <w:lvlText w:val="3.1."/>
      <w:lvlJc w:val="left"/>
      <w:pPr>
        <w:ind w:left="-360" w:firstLine="360"/>
      </w:pPr>
      <w:rPr>
        <w:rFonts w:hint="default"/>
      </w:rPr>
    </w:lvl>
    <w:lvl w:ilvl="1">
      <w:start w:val="1"/>
      <w:numFmt w:val="decimal"/>
      <w:suff w:val="space"/>
      <w:lvlText w:val="%1.%2."/>
      <w:lvlJc w:val="left"/>
      <w:pPr>
        <w:ind w:left="792" w:hanging="79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2" w15:restartNumberingAfterBreak="0">
    <w:nsid w:val="0A337209"/>
    <w:multiLevelType w:val="multilevel"/>
    <w:tmpl w:val="0409001F"/>
    <w:styleLink w:val="CurrentList18"/>
    <w:lvl w:ilvl="0">
      <w:start w:val="1"/>
      <w:numFmt w:val="decimal"/>
      <w:lvlText w:val="%1."/>
      <w:lvlJc w:val="left"/>
      <w:pPr>
        <w:ind w:left="360" w:hanging="360"/>
      </w:pPr>
      <w:rPr>
        <w:rFonts w:hint="default"/>
        <w:b/>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3" w15:restartNumberingAfterBreak="0">
    <w:nsid w:val="0A7E357C"/>
    <w:multiLevelType w:val="hybridMultilevel"/>
    <w:tmpl w:val="7382BC1C"/>
    <w:lvl w:ilvl="0" w:tplc="C3C2A282">
      <w:start w:val="1"/>
      <w:numFmt w:val="decimal"/>
      <w:lvlText w:val="%1."/>
      <w:lvlJc w:val="left"/>
      <w:pPr>
        <w:ind w:left="1656" w:firstLine="0"/>
      </w:pPr>
      <w:rPr>
        <w:rFonts w:hint="default"/>
      </w:rPr>
    </w:lvl>
    <w:lvl w:ilvl="1" w:tplc="04090019">
      <w:start w:val="1"/>
      <w:numFmt w:val="lowerLetter"/>
      <w:lvlText w:val="%2."/>
      <w:lvlJc w:val="left"/>
      <w:pPr>
        <w:ind w:left="2687" w:hanging="360"/>
      </w:pPr>
    </w:lvl>
    <w:lvl w:ilvl="2" w:tplc="0409001B" w:tentative="1">
      <w:start w:val="1"/>
      <w:numFmt w:val="lowerRoman"/>
      <w:lvlText w:val="%3."/>
      <w:lvlJc w:val="right"/>
      <w:pPr>
        <w:ind w:left="3407" w:hanging="180"/>
      </w:pPr>
    </w:lvl>
    <w:lvl w:ilvl="3" w:tplc="0409000F" w:tentative="1">
      <w:start w:val="1"/>
      <w:numFmt w:val="decimal"/>
      <w:lvlText w:val="%4."/>
      <w:lvlJc w:val="left"/>
      <w:pPr>
        <w:ind w:left="4127" w:hanging="360"/>
      </w:pPr>
    </w:lvl>
    <w:lvl w:ilvl="4" w:tplc="04090019" w:tentative="1">
      <w:start w:val="1"/>
      <w:numFmt w:val="lowerLetter"/>
      <w:lvlText w:val="%5."/>
      <w:lvlJc w:val="left"/>
      <w:pPr>
        <w:ind w:left="4847" w:hanging="360"/>
      </w:pPr>
    </w:lvl>
    <w:lvl w:ilvl="5" w:tplc="0409001B" w:tentative="1">
      <w:start w:val="1"/>
      <w:numFmt w:val="lowerRoman"/>
      <w:lvlText w:val="%6."/>
      <w:lvlJc w:val="right"/>
      <w:pPr>
        <w:ind w:left="5567" w:hanging="180"/>
      </w:pPr>
    </w:lvl>
    <w:lvl w:ilvl="6" w:tplc="0409000F" w:tentative="1">
      <w:start w:val="1"/>
      <w:numFmt w:val="decimal"/>
      <w:lvlText w:val="%7."/>
      <w:lvlJc w:val="left"/>
      <w:pPr>
        <w:ind w:left="6287" w:hanging="360"/>
      </w:pPr>
    </w:lvl>
    <w:lvl w:ilvl="7" w:tplc="04090019" w:tentative="1">
      <w:start w:val="1"/>
      <w:numFmt w:val="lowerLetter"/>
      <w:lvlText w:val="%8."/>
      <w:lvlJc w:val="left"/>
      <w:pPr>
        <w:ind w:left="7007" w:hanging="360"/>
      </w:pPr>
    </w:lvl>
    <w:lvl w:ilvl="8" w:tplc="0409001B" w:tentative="1">
      <w:start w:val="1"/>
      <w:numFmt w:val="lowerRoman"/>
      <w:lvlText w:val="%9."/>
      <w:lvlJc w:val="right"/>
      <w:pPr>
        <w:ind w:left="7727" w:hanging="180"/>
      </w:pPr>
    </w:lvl>
  </w:abstractNum>
  <w:abstractNum w:abstractNumId="14" w15:restartNumberingAfterBreak="0">
    <w:nsid w:val="1730340D"/>
    <w:multiLevelType w:val="multilevel"/>
    <w:tmpl w:val="0409001F"/>
    <w:styleLink w:val="CurrentList14"/>
    <w:lvl w:ilvl="0">
      <w:start w:val="1"/>
      <w:numFmt w:val="decimal"/>
      <w:lvlText w:val="%1."/>
      <w:lvlJc w:val="left"/>
      <w:pPr>
        <w:ind w:left="360" w:hanging="360"/>
      </w:pPr>
      <w:rPr>
        <w:rFonts w:hint="default"/>
        <w:b/>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5" w15:restartNumberingAfterBreak="0">
    <w:nsid w:val="1AEA4636"/>
    <w:multiLevelType w:val="multilevel"/>
    <w:tmpl w:val="CE9A64BA"/>
    <w:styleLink w:val="CurrentList17"/>
    <w:lvl w:ilvl="0">
      <w:start w:val="3"/>
      <w:numFmt w:val="decimal"/>
      <w:suff w:val="space"/>
      <w:lvlText w:val="%1."/>
      <w:lvlJc w:val="left"/>
      <w:pPr>
        <w:ind w:left="360" w:hanging="360"/>
      </w:pPr>
      <w:rPr>
        <w:rFonts w:hint="default"/>
        <w:b/>
      </w:rPr>
    </w:lvl>
    <w:lvl w:ilvl="1">
      <w:start w:val="1"/>
      <w:numFmt w:val="decimal"/>
      <w:suff w:val="space"/>
      <w:lvlText w:val="%1.%2."/>
      <w:lvlJc w:val="left"/>
      <w:pPr>
        <w:ind w:left="0" w:firstLine="0"/>
      </w:pPr>
      <w:rPr>
        <w:rFonts w:hint="default"/>
      </w:rPr>
    </w:lvl>
    <w:lvl w:ilvl="2">
      <w:start w:val="1"/>
      <w:numFmt w:val="decimal"/>
      <w:suff w:val="space"/>
      <w:lvlText w:val="%1.%2.%3."/>
      <w:lvlJc w:val="left"/>
      <w:pPr>
        <w:ind w:left="0" w:firstLine="0"/>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6" w15:restartNumberingAfterBreak="0">
    <w:nsid w:val="1BEB369F"/>
    <w:multiLevelType w:val="multilevel"/>
    <w:tmpl w:val="CCBE2878"/>
    <w:lvl w:ilvl="0">
      <w:start w:val="1"/>
      <w:numFmt w:val="decimal"/>
      <w:suff w:val="space"/>
      <w:lvlText w:val="%1."/>
      <w:lvlJc w:val="left"/>
      <w:pPr>
        <w:ind w:left="0" w:firstLine="0"/>
      </w:pPr>
      <w:rPr>
        <w:rFonts w:ascii="Times New Roman" w:hAnsi="Times New Roman" w:cs="Times New Roman" w:hint="default"/>
        <w:b/>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7" w15:restartNumberingAfterBreak="0">
    <w:nsid w:val="1F0826B1"/>
    <w:multiLevelType w:val="multilevel"/>
    <w:tmpl w:val="48184704"/>
    <w:styleLink w:val="CurrentList12"/>
    <w:lvl w:ilvl="0">
      <w:start w:val="1"/>
      <w:numFmt w:val="none"/>
      <w:lvlText w:val="3.1"/>
      <w:lvlJc w:val="left"/>
      <w:pPr>
        <w:ind w:left="-360" w:firstLine="360"/>
      </w:pPr>
      <w:rPr>
        <w:rFonts w:hint="default"/>
      </w:rPr>
    </w:lvl>
    <w:lvl w:ilvl="1">
      <w:start w:val="1"/>
      <w:numFmt w:val="decimal"/>
      <w:suff w:val="space"/>
      <w:lvlText w:val="%1.%2."/>
      <w:lvlJc w:val="left"/>
      <w:pPr>
        <w:ind w:left="792" w:hanging="79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8" w15:restartNumberingAfterBreak="0">
    <w:nsid w:val="2183541D"/>
    <w:multiLevelType w:val="multilevel"/>
    <w:tmpl w:val="BA94644E"/>
    <w:styleLink w:val="CurrentList8"/>
    <w:lvl w:ilvl="0">
      <w:start w:val="1"/>
      <w:numFmt w:val="decimal"/>
      <w:lvlText w:val="%1."/>
      <w:lvlJc w:val="left"/>
      <w:pPr>
        <w:ind w:left="720" w:hanging="72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9" w15:restartNumberingAfterBreak="0">
    <w:nsid w:val="2C557E54"/>
    <w:multiLevelType w:val="multilevel"/>
    <w:tmpl w:val="A156E404"/>
    <w:styleLink w:val="CurrentList19"/>
    <w:lvl w:ilvl="0">
      <w:start w:val="3"/>
      <w:numFmt w:val="decimal"/>
      <w:suff w:val="space"/>
      <w:lvlText w:val="%1."/>
      <w:lvlJc w:val="left"/>
      <w:pPr>
        <w:ind w:left="360" w:hanging="360"/>
      </w:pPr>
      <w:rPr>
        <w:rFonts w:hint="default"/>
        <w:b/>
      </w:rPr>
    </w:lvl>
    <w:lvl w:ilvl="1">
      <w:start w:val="1"/>
      <w:numFmt w:val="decimal"/>
      <w:suff w:val="space"/>
      <w:lvlText w:val="%1.%2."/>
      <w:lvlJc w:val="left"/>
      <w:pPr>
        <w:ind w:left="0" w:firstLine="0"/>
      </w:pPr>
      <w:rPr>
        <w:rFonts w:hint="default"/>
      </w:rPr>
    </w:lvl>
    <w:lvl w:ilvl="2">
      <w:start w:val="1"/>
      <w:numFmt w:val="decimal"/>
      <w:suff w:val="space"/>
      <w:lvlText w:val="%1.%2.%3."/>
      <w:lvlJc w:val="left"/>
      <w:pPr>
        <w:ind w:left="0" w:firstLine="0"/>
      </w:pPr>
      <w:rPr>
        <w:rFonts w:hint="default"/>
      </w:rPr>
    </w:lvl>
    <w:lvl w:ilvl="3">
      <w:start w:val="1"/>
      <w:numFmt w:val="decimal"/>
      <w:suff w:val="space"/>
      <w:lvlText w:val="%1.%2.%3.%4."/>
      <w:lvlJc w:val="left"/>
      <w:pPr>
        <w:ind w:left="0" w:firstLine="0"/>
      </w:pPr>
      <w:rPr>
        <w:b/>
        <w:bCs/>
        <w:sz w:val="24"/>
        <w:szCs w:val="24"/>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0" w15:restartNumberingAfterBreak="0">
    <w:nsid w:val="333714F1"/>
    <w:multiLevelType w:val="multilevel"/>
    <w:tmpl w:val="8708C39A"/>
    <w:styleLink w:val="CurrentList16"/>
    <w:lvl w:ilvl="0">
      <w:start w:val="3"/>
      <w:numFmt w:val="decimal"/>
      <w:suff w:val="space"/>
      <w:lvlText w:val="%1."/>
      <w:lvlJc w:val="left"/>
      <w:pPr>
        <w:ind w:left="360" w:hanging="360"/>
      </w:pPr>
      <w:rPr>
        <w:rFonts w:hint="default"/>
        <w:b/>
      </w:rPr>
    </w:lvl>
    <w:lvl w:ilvl="1">
      <w:start w:val="1"/>
      <w:numFmt w:val="decimal"/>
      <w:suff w:val="space"/>
      <w:lvlText w:val="%1.%2."/>
      <w:lvlJc w:val="left"/>
      <w:pPr>
        <w:ind w:left="0" w:firstLine="0"/>
      </w:p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1" w15:restartNumberingAfterBreak="0">
    <w:nsid w:val="35331754"/>
    <w:multiLevelType w:val="multilevel"/>
    <w:tmpl w:val="A920B0E0"/>
    <w:styleLink w:val="CurrentList4"/>
    <w:lvl w:ilvl="0">
      <w:start w:val="3"/>
      <w:numFmt w:val="decimal"/>
      <w:lvlText w:val="%1."/>
      <w:lvlJc w:val="left"/>
      <w:pPr>
        <w:ind w:left="360" w:hanging="360"/>
      </w:pPr>
      <w:rPr>
        <w:rFonts w:ascii="Times New Roman" w:hAnsi="Times New Roman" w:cs="Times New Roman" w:hint="default"/>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suff w:val="space"/>
      <w:lvlText w:val="%1.%2."/>
      <w:lvlJc w:val="left"/>
      <w:pPr>
        <w:ind w:left="0" w:firstLine="0"/>
      </w:pPr>
      <w:rPr>
        <w:rFonts w:hint="default"/>
        <w:specVanish w:val="0"/>
      </w:rPr>
    </w:lvl>
    <w:lvl w:ilvl="2">
      <w:start w:val="1"/>
      <w:numFmt w:val="decimal"/>
      <w:lvlText w:val="%1.%2.%3."/>
      <w:lvlJc w:val="left"/>
      <w:pPr>
        <w:ind w:left="504" w:hanging="504"/>
      </w:pPr>
      <w:rPr>
        <w:rFonts w:ascii="Times New Roman" w:hAnsi="Times New Roman" w:cs="Times New Roman" w:hint="default"/>
        <w:b/>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lvlText w:val="%1.%2.%3.%4."/>
      <w:lvlJc w:val="left"/>
      <w:pPr>
        <w:ind w:left="2633" w:hanging="648"/>
      </w:pPr>
      <w:rPr>
        <w:rFonts w:hint="default"/>
        <w:specVanish w:val="0"/>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2" w15:restartNumberingAfterBreak="0">
    <w:nsid w:val="3DF650C2"/>
    <w:multiLevelType w:val="multilevel"/>
    <w:tmpl w:val="B64E8550"/>
    <w:styleLink w:val="CurrentList5"/>
    <w:lvl w:ilvl="0">
      <w:start w:val="3"/>
      <w:numFmt w:val="decimal"/>
      <w:lvlText w:val="%1."/>
      <w:lvlJc w:val="left"/>
      <w:pPr>
        <w:ind w:left="360" w:hanging="360"/>
      </w:pPr>
      <w:rPr>
        <w:rFonts w:ascii="Times New Roman" w:hAnsi="Times New Roman" w:cs="Times New Roman" w:hint="default"/>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suff w:val="space"/>
      <w:lvlText w:val="%1.%2."/>
      <w:lvlJc w:val="left"/>
      <w:pPr>
        <w:ind w:left="0" w:firstLine="0"/>
      </w:pPr>
      <w:rPr>
        <w:rFonts w:hint="default"/>
        <w:specVanish w:val="0"/>
      </w:rPr>
    </w:lvl>
    <w:lvl w:ilvl="2">
      <w:start w:val="1"/>
      <w:numFmt w:val="decimal"/>
      <w:suff w:val="space"/>
      <w:lvlText w:val="%1.%2.%3."/>
      <w:lvlJc w:val="left"/>
      <w:pPr>
        <w:ind w:left="504" w:hanging="504"/>
      </w:pPr>
      <w:rPr>
        <w:rFonts w:ascii="Times New Roman" w:hAnsi="Times New Roman" w:cs="Times New Roman" w:hint="default"/>
        <w:b/>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lvlText w:val="%1.%2.%3.%4."/>
      <w:lvlJc w:val="left"/>
      <w:pPr>
        <w:ind w:left="2633" w:hanging="648"/>
      </w:pPr>
      <w:rPr>
        <w:rFonts w:hint="default"/>
        <w:specVanish w:val="0"/>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3" w15:restartNumberingAfterBreak="0">
    <w:nsid w:val="433A37D3"/>
    <w:multiLevelType w:val="multilevel"/>
    <w:tmpl w:val="0409001F"/>
    <w:styleLink w:val="CurrentList10"/>
    <w:lvl w:ilvl="0">
      <w:start w:val="1"/>
      <w:numFmt w:val="decimal"/>
      <w:lvlText w:val="%1."/>
      <w:lvlJc w:val="left"/>
      <w:pPr>
        <w:ind w:left="360" w:hanging="360"/>
      </w:pPr>
      <w:rPr>
        <w:rFonts w:hint="default"/>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4" w15:restartNumberingAfterBreak="0">
    <w:nsid w:val="43E86EA9"/>
    <w:multiLevelType w:val="hybridMultilevel"/>
    <w:tmpl w:val="0C240096"/>
    <w:lvl w:ilvl="0" w:tplc="49CC7004">
      <w:start w:val="1"/>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5" w15:restartNumberingAfterBreak="0">
    <w:nsid w:val="464C21BE"/>
    <w:multiLevelType w:val="hybridMultilevel"/>
    <w:tmpl w:val="3CD637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4E0E2544"/>
    <w:multiLevelType w:val="multilevel"/>
    <w:tmpl w:val="C408D934"/>
    <w:styleLink w:val="CurrentList2"/>
    <w:lvl w:ilvl="0">
      <w:start w:val="1"/>
      <w:numFmt w:val="decimal"/>
      <w:lvlText w:val="%1."/>
      <w:lvlJc w:val="left"/>
      <w:pPr>
        <w:ind w:left="360" w:hanging="360"/>
      </w:pPr>
      <w:rPr>
        <w:rFonts w:ascii="Times New Roman" w:hAnsi="Times New Roman" w:cs="Times New Roman" w:hint="default"/>
        <w:b/>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27" w15:restartNumberingAfterBreak="0">
    <w:nsid w:val="4E5425C8"/>
    <w:multiLevelType w:val="multilevel"/>
    <w:tmpl w:val="47EEED4A"/>
    <w:lvl w:ilvl="0">
      <w:start w:val="3"/>
      <w:numFmt w:val="decimal"/>
      <w:suff w:val="space"/>
      <w:lvlText w:val="%1."/>
      <w:lvlJc w:val="left"/>
      <w:pPr>
        <w:ind w:left="360" w:hanging="360"/>
      </w:pPr>
      <w:rPr>
        <w:rFonts w:hint="default"/>
        <w:b/>
      </w:rPr>
    </w:lvl>
    <w:lvl w:ilvl="1">
      <w:start w:val="1"/>
      <w:numFmt w:val="decimal"/>
      <w:pStyle w:val="Heading1"/>
      <w:suff w:val="space"/>
      <w:lvlText w:val="%1.%2."/>
      <w:lvlJc w:val="left"/>
      <w:pPr>
        <w:ind w:left="0" w:firstLine="0"/>
      </w:pPr>
      <w:rPr>
        <w:rFonts w:hint="default"/>
      </w:rPr>
    </w:lvl>
    <w:lvl w:ilvl="2">
      <w:start w:val="1"/>
      <w:numFmt w:val="decimal"/>
      <w:pStyle w:val="Heading2"/>
      <w:suff w:val="space"/>
      <w:lvlText w:val="%1.%2.%3."/>
      <w:lvlJc w:val="left"/>
      <w:pPr>
        <w:ind w:left="0" w:firstLine="0"/>
      </w:pPr>
      <w:rPr>
        <w:rFonts w:hint="default"/>
      </w:rPr>
    </w:lvl>
    <w:lvl w:ilvl="3">
      <w:start w:val="1"/>
      <w:numFmt w:val="decimal"/>
      <w:pStyle w:val="Heading3"/>
      <w:suff w:val="space"/>
      <w:lvlText w:val="%1.%2.%3.%4."/>
      <w:lvlJc w:val="left"/>
      <w:pPr>
        <w:ind w:left="0" w:firstLine="0"/>
      </w:pPr>
      <w:rPr>
        <w:rFonts w:hint="default"/>
        <w:b/>
        <w:bCs/>
        <w:i w:val="0"/>
        <w:iCs/>
        <w:sz w:val="24"/>
        <w:szCs w:val="24"/>
      </w:rPr>
    </w:lvl>
    <w:lvl w:ilvl="4">
      <w:start w:val="1"/>
      <w:numFmt w:val="decimal"/>
      <w:suff w:val="space"/>
      <w:lvlText w:val="%1.%2.%3.%4.%5."/>
      <w:lvlJc w:val="left"/>
      <w:pPr>
        <w:ind w:left="0" w:firstLine="0"/>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8" w15:restartNumberingAfterBreak="0">
    <w:nsid w:val="50D06F0D"/>
    <w:multiLevelType w:val="multilevel"/>
    <w:tmpl w:val="DC44D4DE"/>
    <w:styleLink w:val="CurrentList11"/>
    <w:lvl w:ilvl="0">
      <w:start w:val="1"/>
      <w:numFmt w:val="decimal"/>
      <w:lvlText w:val="%1."/>
      <w:lvlJc w:val="left"/>
      <w:pPr>
        <w:ind w:left="360" w:hanging="360"/>
      </w:pPr>
      <w:rPr>
        <w:rFonts w:hint="default"/>
      </w:rPr>
    </w:lvl>
    <w:lvl w:ilvl="1">
      <w:start w:val="1"/>
      <w:numFmt w:val="decimal"/>
      <w:suff w:val="space"/>
      <w:lvlText w:val="%1.%2."/>
      <w:lvlJc w:val="left"/>
      <w:pPr>
        <w:ind w:left="792" w:hanging="79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9" w15:restartNumberingAfterBreak="0">
    <w:nsid w:val="52A66A9D"/>
    <w:multiLevelType w:val="multilevel"/>
    <w:tmpl w:val="1F46421A"/>
    <w:styleLink w:val="Normallist"/>
    <w:lvl w:ilvl="0">
      <w:start w:val="1"/>
      <w:numFmt w:val="decimal"/>
      <w:pStyle w:val="Normalnumber"/>
      <w:lvlText w:val="%1."/>
      <w:lvlJc w:val="left"/>
      <w:pPr>
        <w:tabs>
          <w:tab w:val="num" w:pos="568"/>
        </w:tabs>
        <w:ind w:left="1248" w:firstLine="0"/>
      </w:pPr>
      <w:rPr>
        <w:rFonts w:hint="default"/>
      </w:rPr>
    </w:lvl>
    <w:lvl w:ilvl="1">
      <w:start w:val="1"/>
      <w:numFmt w:val="lowerLetter"/>
      <w:lvlText w:val="(%2)"/>
      <w:lvlJc w:val="left"/>
      <w:pPr>
        <w:tabs>
          <w:tab w:val="num" w:pos="568"/>
        </w:tabs>
        <w:ind w:left="1248" w:firstLine="567"/>
      </w:pPr>
      <w:rPr>
        <w:rFonts w:hint="default"/>
      </w:rPr>
    </w:lvl>
    <w:lvl w:ilvl="2">
      <w:start w:val="1"/>
      <w:numFmt w:val="lowerRoman"/>
      <w:lvlText w:val="(%3)"/>
      <w:lvlJc w:val="left"/>
      <w:pPr>
        <w:tabs>
          <w:tab w:val="num" w:pos="568"/>
        </w:tabs>
        <w:ind w:left="2949" w:hanging="567"/>
      </w:pPr>
      <w:rPr>
        <w:rFonts w:hint="default"/>
      </w:rPr>
    </w:lvl>
    <w:lvl w:ilvl="3">
      <w:start w:val="1"/>
      <w:numFmt w:val="lowerLetter"/>
      <w:lvlText w:val="%4."/>
      <w:lvlJc w:val="left"/>
      <w:pPr>
        <w:tabs>
          <w:tab w:val="num" w:pos="568"/>
        </w:tabs>
        <w:ind w:left="3516" w:hanging="567"/>
      </w:pPr>
      <w:rPr>
        <w:rFonts w:hint="default"/>
      </w:rPr>
    </w:lvl>
    <w:lvl w:ilvl="4">
      <w:start w:val="1"/>
      <w:numFmt w:val="lowerRoman"/>
      <w:lvlText w:val="%5."/>
      <w:lvlJc w:val="left"/>
      <w:pPr>
        <w:tabs>
          <w:tab w:val="num" w:pos="568"/>
        </w:tabs>
        <w:ind w:left="4083" w:hanging="567"/>
      </w:pPr>
      <w:rPr>
        <w:rFonts w:hint="default"/>
      </w:rPr>
    </w:lvl>
    <w:lvl w:ilvl="5">
      <w:start w:val="1"/>
      <w:numFmt w:val="lowerRoman"/>
      <w:lvlText w:val="%6."/>
      <w:lvlJc w:val="right"/>
      <w:pPr>
        <w:tabs>
          <w:tab w:val="num" w:pos="7836"/>
        </w:tabs>
        <w:ind w:left="7836" w:hanging="180"/>
      </w:pPr>
      <w:rPr>
        <w:rFonts w:hint="default"/>
      </w:rPr>
    </w:lvl>
    <w:lvl w:ilvl="6">
      <w:start w:val="1"/>
      <w:numFmt w:val="decimal"/>
      <w:lvlText w:val="%7."/>
      <w:lvlJc w:val="left"/>
      <w:pPr>
        <w:tabs>
          <w:tab w:val="num" w:pos="8556"/>
        </w:tabs>
        <w:ind w:left="8556" w:hanging="360"/>
      </w:pPr>
      <w:rPr>
        <w:rFonts w:hint="default"/>
      </w:rPr>
    </w:lvl>
    <w:lvl w:ilvl="7">
      <w:start w:val="1"/>
      <w:numFmt w:val="lowerLetter"/>
      <w:lvlText w:val="%8."/>
      <w:lvlJc w:val="left"/>
      <w:pPr>
        <w:tabs>
          <w:tab w:val="num" w:pos="9276"/>
        </w:tabs>
        <w:ind w:left="9276" w:hanging="360"/>
      </w:pPr>
      <w:rPr>
        <w:rFonts w:hint="default"/>
      </w:rPr>
    </w:lvl>
    <w:lvl w:ilvl="8">
      <w:start w:val="1"/>
      <w:numFmt w:val="lowerRoman"/>
      <w:lvlText w:val="%9."/>
      <w:lvlJc w:val="right"/>
      <w:pPr>
        <w:tabs>
          <w:tab w:val="num" w:pos="9996"/>
        </w:tabs>
        <w:ind w:left="9996" w:hanging="180"/>
      </w:pPr>
      <w:rPr>
        <w:rFonts w:hint="default"/>
      </w:rPr>
    </w:lvl>
  </w:abstractNum>
  <w:abstractNum w:abstractNumId="30" w15:restartNumberingAfterBreak="0">
    <w:nsid w:val="58422BFD"/>
    <w:multiLevelType w:val="multilevel"/>
    <w:tmpl w:val="38DCA386"/>
    <w:styleLink w:val="CurrentList1"/>
    <w:lvl w:ilvl="0">
      <w:start w:val="3"/>
      <w:numFmt w:val="decimal"/>
      <w:lvlText w:val="%1."/>
      <w:lvlJc w:val="left"/>
      <w:pPr>
        <w:ind w:left="360" w:hanging="360"/>
      </w:pPr>
      <w:rPr>
        <w:rFonts w:ascii="Times New Roman" w:hAnsi="Times New Roman" w:cs="Times New Roman" w:hint="default"/>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lvlText w:val="%1.%2."/>
      <w:lvlJc w:val="left"/>
      <w:pPr>
        <w:ind w:left="432" w:hanging="432"/>
      </w:pPr>
      <w:rPr>
        <w:rFonts w:ascii="Times New Roman" w:hAnsi="Times New Roman" w:cs="Times New Roman"/>
        <w:b/>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lvlText w:val="%1.%2.%3."/>
      <w:lvlJc w:val="left"/>
      <w:pPr>
        <w:ind w:left="504" w:hanging="504"/>
      </w:pPr>
      <w:rPr>
        <w:rFonts w:ascii="Times New Roman" w:hAnsi="Times New Roman" w:cs="Times New Roman"/>
        <w:b/>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lvlText w:val="%1.%2.%3.%4."/>
      <w:lvlJc w:val="left"/>
      <w:pPr>
        <w:ind w:left="2633" w:hanging="648"/>
      </w:pPr>
      <w:rPr>
        <w:rFonts w:ascii="Times New Roman" w:hAnsi="Times New Roman" w:cs="Times New Roman"/>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1" w15:restartNumberingAfterBreak="0">
    <w:nsid w:val="5CC536A8"/>
    <w:multiLevelType w:val="multilevel"/>
    <w:tmpl w:val="96606052"/>
    <w:styleLink w:val="CurrentList3"/>
    <w:lvl w:ilvl="0">
      <w:start w:val="3"/>
      <w:numFmt w:val="decimal"/>
      <w:lvlText w:val="%1."/>
      <w:lvlJc w:val="left"/>
      <w:pPr>
        <w:ind w:left="360" w:hanging="360"/>
      </w:pPr>
      <w:rPr>
        <w:rFonts w:ascii="Times New Roman" w:hAnsi="Times New Roman" w:cs="Times New Roman" w:hint="default"/>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lvlText w:val="%1.%2."/>
      <w:lvlJc w:val="left"/>
      <w:pPr>
        <w:ind w:left="432" w:hanging="432"/>
      </w:pPr>
      <w:rPr>
        <w:specVanish w:val="0"/>
      </w:rPr>
    </w:lvl>
    <w:lvl w:ilvl="2">
      <w:start w:val="1"/>
      <w:numFmt w:val="decimal"/>
      <w:lvlText w:val="%1.%2.%3."/>
      <w:lvlJc w:val="left"/>
      <w:pPr>
        <w:ind w:left="504" w:hanging="504"/>
      </w:pPr>
      <w:rPr>
        <w:rFonts w:ascii="Times New Roman" w:hAnsi="Times New Roman" w:cs="Times New Roman"/>
        <w:b/>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lvlText w:val="%1.%2.%3.%4."/>
      <w:lvlJc w:val="left"/>
      <w:pPr>
        <w:ind w:left="2633" w:hanging="648"/>
      </w:pPr>
      <w:rPr>
        <w:specVanish w:val="0"/>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2" w15:restartNumberingAfterBreak="0">
    <w:nsid w:val="5D376304"/>
    <w:multiLevelType w:val="hybridMultilevel"/>
    <w:tmpl w:val="D52EE3DE"/>
    <w:lvl w:ilvl="0" w:tplc="49CC7004">
      <w:start w:val="1"/>
      <w:numFmt w:val="bullet"/>
      <w:lvlText w:val="-"/>
      <w:lvlJc w:val="left"/>
      <w:pPr>
        <w:ind w:left="360" w:hanging="360"/>
      </w:pPr>
      <w:rPr>
        <w:rFonts w:ascii="Times New Roman" w:eastAsia="Times New Roman" w:hAnsi="Times New Roman" w:cs="Times New Roman" w:hint="default"/>
      </w:r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3" w15:restartNumberingAfterBreak="0">
    <w:nsid w:val="64711E7B"/>
    <w:multiLevelType w:val="multilevel"/>
    <w:tmpl w:val="F2DA4BE4"/>
    <w:styleLink w:val="CurrentList6"/>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4" w15:restartNumberingAfterBreak="0">
    <w:nsid w:val="657053D9"/>
    <w:multiLevelType w:val="hybridMultilevel"/>
    <w:tmpl w:val="FF3E7A4A"/>
    <w:lvl w:ilvl="0" w:tplc="49CC7004">
      <w:start w:val="1"/>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5" w15:restartNumberingAfterBreak="0">
    <w:nsid w:val="6BA4339D"/>
    <w:multiLevelType w:val="hybridMultilevel"/>
    <w:tmpl w:val="89BEC37C"/>
    <w:lvl w:ilvl="0" w:tplc="49CC7004">
      <w:start w:val="1"/>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6" w15:restartNumberingAfterBreak="0">
    <w:nsid w:val="6D2B4BA9"/>
    <w:multiLevelType w:val="multilevel"/>
    <w:tmpl w:val="71983622"/>
    <w:styleLink w:val="CurrentList7"/>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7" w15:restartNumberingAfterBreak="0">
    <w:nsid w:val="70E26497"/>
    <w:multiLevelType w:val="hybridMultilevel"/>
    <w:tmpl w:val="98301550"/>
    <w:lvl w:ilvl="0" w:tplc="55BCA38C">
      <w:numFmt w:val="decimal"/>
      <w:lvlText w:val=""/>
      <w:lvlJc w:val="left"/>
    </w:lvl>
    <w:lvl w:ilvl="1" w:tplc="04090003">
      <w:numFmt w:val="decimal"/>
      <w:lvlText w:val=""/>
      <w:lvlJc w:val="left"/>
    </w:lvl>
    <w:lvl w:ilvl="2" w:tplc="04090005">
      <w:numFmt w:val="decimal"/>
      <w:lvlText w:val=""/>
      <w:lvlJc w:val="left"/>
    </w:lvl>
    <w:lvl w:ilvl="3" w:tplc="04090001">
      <w:numFmt w:val="decimal"/>
      <w:lvlText w:val=""/>
      <w:lvlJc w:val="left"/>
    </w:lvl>
    <w:lvl w:ilvl="4" w:tplc="04090003">
      <w:numFmt w:val="decimal"/>
      <w:lvlText w:val=""/>
      <w:lvlJc w:val="left"/>
    </w:lvl>
    <w:lvl w:ilvl="5" w:tplc="04090005">
      <w:numFmt w:val="decimal"/>
      <w:lvlText w:val=""/>
      <w:lvlJc w:val="left"/>
    </w:lvl>
    <w:lvl w:ilvl="6" w:tplc="04090001">
      <w:numFmt w:val="decimal"/>
      <w:lvlText w:val=""/>
      <w:lvlJc w:val="left"/>
    </w:lvl>
    <w:lvl w:ilvl="7" w:tplc="04090003">
      <w:numFmt w:val="decimal"/>
      <w:lvlText w:val=""/>
      <w:lvlJc w:val="left"/>
    </w:lvl>
    <w:lvl w:ilvl="8" w:tplc="04090005">
      <w:numFmt w:val="decimal"/>
      <w:lvlText w:val=""/>
      <w:lvlJc w:val="left"/>
    </w:lvl>
  </w:abstractNum>
  <w:abstractNum w:abstractNumId="38" w15:restartNumberingAfterBreak="0">
    <w:nsid w:val="74041AD2"/>
    <w:multiLevelType w:val="multilevel"/>
    <w:tmpl w:val="32D2FDAE"/>
    <w:styleLink w:val="CurrentList9"/>
    <w:lvl w:ilvl="0">
      <w:start w:val="1"/>
      <w:numFmt w:val="decimal"/>
      <w:lvlText w:val="%1."/>
      <w:lvlJc w:val="left"/>
      <w:pPr>
        <w:ind w:left="72" w:hanging="72"/>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abstractNumId w:val="9"/>
  </w:num>
  <w:num w:numId="2">
    <w:abstractNumId w:val="7"/>
  </w:num>
  <w:num w:numId="3">
    <w:abstractNumId w:val="6"/>
  </w:num>
  <w:num w:numId="4">
    <w:abstractNumId w:val="5"/>
  </w:num>
  <w:num w:numId="5">
    <w:abstractNumId w:val="4"/>
  </w:num>
  <w:num w:numId="6">
    <w:abstractNumId w:val="8"/>
  </w:num>
  <w:num w:numId="7">
    <w:abstractNumId w:val="3"/>
  </w:num>
  <w:num w:numId="8">
    <w:abstractNumId w:val="2"/>
  </w:num>
  <w:num w:numId="9">
    <w:abstractNumId w:val="1"/>
  </w:num>
  <w:num w:numId="10">
    <w:abstractNumId w:val="0"/>
  </w:num>
  <w:num w:numId="11">
    <w:abstractNumId w:val="37"/>
  </w:num>
  <w:num w:numId="12">
    <w:abstractNumId w:val="16"/>
  </w:num>
  <w:num w:numId="13">
    <w:abstractNumId w:val="30"/>
  </w:num>
  <w:num w:numId="14">
    <w:abstractNumId w:val="35"/>
  </w:num>
  <w:num w:numId="15">
    <w:abstractNumId w:val="24"/>
  </w:num>
  <w:num w:numId="16">
    <w:abstractNumId w:val="34"/>
  </w:num>
  <w:num w:numId="17">
    <w:abstractNumId w:val="32"/>
  </w:num>
  <w:num w:numId="18">
    <w:abstractNumId w:val="26"/>
  </w:num>
  <w:num w:numId="19">
    <w:abstractNumId w:val="31"/>
  </w:num>
  <w:num w:numId="20">
    <w:abstractNumId w:val="21"/>
  </w:num>
  <w:num w:numId="21">
    <w:abstractNumId w:val="22"/>
  </w:num>
  <w:num w:numId="22">
    <w:abstractNumId w:val="33"/>
  </w:num>
  <w:num w:numId="23">
    <w:abstractNumId w:val="36"/>
  </w:num>
  <w:num w:numId="24">
    <w:abstractNumId w:val="18"/>
  </w:num>
  <w:num w:numId="25">
    <w:abstractNumId w:val="38"/>
  </w:num>
  <w:num w:numId="26">
    <w:abstractNumId w:val="23"/>
  </w:num>
  <w:num w:numId="27">
    <w:abstractNumId w:val="28"/>
  </w:num>
  <w:num w:numId="28">
    <w:abstractNumId w:val="17"/>
  </w:num>
  <w:num w:numId="29">
    <w:abstractNumId w:val="11"/>
  </w:num>
  <w:num w:numId="30">
    <w:abstractNumId w:val="27"/>
  </w:num>
  <w:num w:numId="31">
    <w:abstractNumId w:val="14"/>
  </w:num>
  <w:num w:numId="32">
    <w:abstractNumId w:val="10"/>
  </w:num>
  <w:num w:numId="33">
    <w:abstractNumId w:val="20"/>
  </w:num>
  <w:num w:numId="34">
    <w:abstractNumId w:val="15"/>
  </w:num>
  <w:num w:numId="35">
    <w:abstractNumId w:val="12"/>
  </w:num>
  <w:num w:numId="36">
    <w:abstractNumId w:val="25"/>
  </w:num>
  <w:num w:numId="37">
    <w:abstractNumId w:val="19"/>
  </w:num>
  <w:num w:numId="38">
    <w:abstractNumId w:val="29"/>
  </w:num>
  <w:num w:numId="39">
    <w:abstractNumId w:val="13"/>
  </w:num>
  <w:num w:numId="40">
    <w:abstractNumId w:val="27"/>
  </w:num>
  <w:num w:numId="41">
    <w:abstractNumId w:val="27"/>
  </w:num>
  <w:numIdMacAtCleanup w:val="3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bordersDoNotSurroundHeader/>
  <w:bordersDoNotSurroundFooter/>
  <w:hideSpellingErrors/>
  <w:activeWritingStyle w:appName="MSWord" w:lang="en-NZ" w:vendorID="64" w:dllVersion="0" w:nlCheck="1" w:checkStyle="0"/>
  <w:activeWritingStyle w:appName="MSWord" w:lang="en-GB" w:vendorID="64" w:dllVersion="0" w:nlCheck="1" w:checkStyle="0"/>
  <w:activeWritingStyle w:appName="MSWord" w:lang="en-GB" w:vendorID="64" w:dllVersion="4096" w:nlCheck="1" w:checkStyle="0"/>
  <w:activeWritingStyle w:appName="MSWord" w:lang="en-US" w:vendorID="64" w:dllVersion="4096" w:nlCheck="1" w:checkStyle="0"/>
  <w:activeWritingStyle w:appName="MSWord" w:lang="en-NZ" w:vendorID="64" w:dllVersion="4096" w:nlCheck="1" w:checkStyle="0"/>
  <w:activeWritingStyle w:appName="MSWord" w:lang="en-AU" w:vendorID="64" w:dllVersion="4096" w:nlCheck="1" w:checkStyle="0"/>
  <w:activeWritingStyle w:appName="MSWord" w:lang="ja-JP" w:vendorID="64" w:dllVersion="0" w:nlCheck="1" w:checkStyle="1"/>
  <w:activeWritingStyle w:appName="MSWord" w:lang="en-AU" w:vendorID="64" w:dllVersion="0" w:nlCheck="1" w:checkStyle="0"/>
  <w:activeWritingStyle w:appName="MSWord" w:lang="en-US" w:vendorID="64" w:dllVersion="0" w:nlCheck="1" w:checkStyle="0"/>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0"/>
  <w:hyphenationZone w:val="425"/>
  <w:characterSpacingControl w:val="doNotCompress"/>
  <w:hdrShapeDefaults>
    <o:shapedefaults v:ext="edit" spidmax="2049">
      <v:textbox inset="5.85pt,.7pt,5.85pt,.7pt"/>
    </o:shapedefaults>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paperpile-doc-id" w:val="S565Z622V992S696"/>
    <w:docVar w:name="paperpile-doc-name" w:val="Chapter 3_December2022.docx"/>
  </w:docVars>
  <w:rsids>
    <w:rsidRoot w:val="000F2BEE"/>
    <w:rsid w:val="00000102"/>
    <w:rsid w:val="0000021F"/>
    <w:rsid w:val="00000310"/>
    <w:rsid w:val="000003DE"/>
    <w:rsid w:val="00000B57"/>
    <w:rsid w:val="00000CB8"/>
    <w:rsid w:val="00000D67"/>
    <w:rsid w:val="00000DFA"/>
    <w:rsid w:val="00000F73"/>
    <w:rsid w:val="00000F8B"/>
    <w:rsid w:val="00001185"/>
    <w:rsid w:val="0000130D"/>
    <w:rsid w:val="00001392"/>
    <w:rsid w:val="00001560"/>
    <w:rsid w:val="00001C75"/>
    <w:rsid w:val="00001C93"/>
    <w:rsid w:val="00001CA4"/>
    <w:rsid w:val="00001CE7"/>
    <w:rsid w:val="00001CFF"/>
    <w:rsid w:val="000021F2"/>
    <w:rsid w:val="00002390"/>
    <w:rsid w:val="0000249C"/>
    <w:rsid w:val="00002645"/>
    <w:rsid w:val="000028CE"/>
    <w:rsid w:val="000029D6"/>
    <w:rsid w:val="00002A42"/>
    <w:rsid w:val="00002A47"/>
    <w:rsid w:val="00002CA9"/>
    <w:rsid w:val="00002D8F"/>
    <w:rsid w:val="00003709"/>
    <w:rsid w:val="00003ADD"/>
    <w:rsid w:val="00003B43"/>
    <w:rsid w:val="00003B9B"/>
    <w:rsid w:val="00003C19"/>
    <w:rsid w:val="00003F7C"/>
    <w:rsid w:val="000044BF"/>
    <w:rsid w:val="00004667"/>
    <w:rsid w:val="0000470A"/>
    <w:rsid w:val="00004D8C"/>
    <w:rsid w:val="00004F47"/>
    <w:rsid w:val="00005060"/>
    <w:rsid w:val="00005629"/>
    <w:rsid w:val="00005758"/>
    <w:rsid w:val="00005794"/>
    <w:rsid w:val="0000580E"/>
    <w:rsid w:val="00005A00"/>
    <w:rsid w:val="00005A06"/>
    <w:rsid w:val="00005FF5"/>
    <w:rsid w:val="000065A1"/>
    <w:rsid w:val="00006893"/>
    <w:rsid w:val="000069BC"/>
    <w:rsid w:val="00006B56"/>
    <w:rsid w:val="00006C59"/>
    <w:rsid w:val="00006CAA"/>
    <w:rsid w:val="00006D6D"/>
    <w:rsid w:val="00007050"/>
    <w:rsid w:val="00007545"/>
    <w:rsid w:val="000076C6"/>
    <w:rsid w:val="000079DA"/>
    <w:rsid w:val="000079E2"/>
    <w:rsid w:val="00007AD0"/>
    <w:rsid w:val="000100D6"/>
    <w:rsid w:val="000100EC"/>
    <w:rsid w:val="00010208"/>
    <w:rsid w:val="0001027A"/>
    <w:rsid w:val="000102EB"/>
    <w:rsid w:val="00010574"/>
    <w:rsid w:val="000107E9"/>
    <w:rsid w:val="00010828"/>
    <w:rsid w:val="00010ADB"/>
    <w:rsid w:val="00010CB9"/>
    <w:rsid w:val="00010E0F"/>
    <w:rsid w:val="00010F38"/>
    <w:rsid w:val="00010FBC"/>
    <w:rsid w:val="00010FD7"/>
    <w:rsid w:val="000111D8"/>
    <w:rsid w:val="000113D9"/>
    <w:rsid w:val="000115ED"/>
    <w:rsid w:val="000117D4"/>
    <w:rsid w:val="00011B33"/>
    <w:rsid w:val="00011D52"/>
    <w:rsid w:val="00011F51"/>
    <w:rsid w:val="00011FA1"/>
    <w:rsid w:val="000123A6"/>
    <w:rsid w:val="0001261A"/>
    <w:rsid w:val="00012CA1"/>
    <w:rsid w:val="00013020"/>
    <w:rsid w:val="000130AF"/>
    <w:rsid w:val="000131B8"/>
    <w:rsid w:val="00013375"/>
    <w:rsid w:val="0001345D"/>
    <w:rsid w:val="00013A77"/>
    <w:rsid w:val="00013AB7"/>
    <w:rsid w:val="00013BD8"/>
    <w:rsid w:val="00014115"/>
    <w:rsid w:val="0001411E"/>
    <w:rsid w:val="00014195"/>
    <w:rsid w:val="00014824"/>
    <w:rsid w:val="00014A4F"/>
    <w:rsid w:val="00014D80"/>
    <w:rsid w:val="00014DB2"/>
    <w:rsid w:val="00014E62"/>
    <w:rsid w:val="0001507F"/>
    <w:rsid w:val="00015267"/>
    <w:rsid w:val="0001549D"/>
    <w:rsid w:val="0001558F"/>
    <w:rsid w:val="000159D3"/>
    <w:rsid w:val="00015B2C"/>
    <w:rsid w:val="00015B44"/>
    <w:rsid w:val="00015B96"/>
    <w:rsid w:val="00015D0A"/>
    <w:rsid w:val="00015EAB"/>
    <w:rsid w:val="00015FE3"/>
    <w:rsid w:val="0001615A"/>
    <w:rsid w:val="00016C8F"/>
    <w:rsid w:val="00016DC1"/>
    <w:rsid w:val="000170C7"/>
    <w:rsid w:val="00017135"/>
    <w:rsid w:val="0001743A"/>
    <w:rsid w:val="00017466"/>
    <w:rsid w:val="0001792B"/>
    <w:rsid w:val="00017A26"/>
    <w:rsid w:val="00017CCB"/>
    <w:rsid w:val="00017DEB"/>
    <w:rsid w:val="00020296"/>
    <w:rsid w:val="00020354"/>
    <w:rsid w:val="00020524"/>
    <w:rsid w:val="0002065C"/>
    <w:rsid w:val="00020669"/>
    <w:rsid w:val="000206F2"/>
    <w:rsid w:val="0002072F"/>
    <w:rsid w:val="0002096A"/>
    <w:rsid w:val="0002097C"/>
    <w:rsid w:val="00020A82"/>
    <w:rsid w:val="00020AAB"/>
    <w:rsid w:val="00020AEC"/>
    <w:rsid w:val="00020C91"/>
    <w:rsid w:val="00020DD0"/>
    <w:rsid w:val="00020E4C"/>
    <w:rsid w:val="00020F1F"/>
    <w:rsid w:val="00021291"/>
    <w:rsid w:val="000215DE"/>
    <w:rsid w:val="000216DD"/>
    <w:rsid w:val="00021749"/>
    <w:rsid w:val="00021796"/>
    <w:rsid w:val="00021883"/>
    <w:rsid w:val="000218F4"/>
    <w:rsid w:val="00021AAB"/>
    <w:rsid w:val="00021C36"/>
    <w:rsid w:val="0002272C"/>
    <w:rsid w:val="000229EA"/>
    <w:rsid w:val="00022A00"/>
    <w:rsid w:val="00022B68"/>
    <w:rsid w:val="00022E5F"/>
    <w:rsid w:val="00022F42"/>
    <w:rsid w:val="00022FA5"/>
    <w:rsid w:val="000231ED"/>
    <w:rsid w:val="00023873"/>
    <w:rsid w:val="00023958"/>
    <w:rsid w:val="00023965"/>
    <w:rsid w:val="00023A4F"/>
    <w:rsid w:val="00023D10"/>
    <w:rsid w:val="000241AE"/>
    <w:rsid w:val="0002423B"/>
    <w:rsid w:val="00024430"/>
    <w:rsid w:val="000249E3"/>
    <w:rsid w:val="00025077"/>
    <w:rsid w:val="00025482"/>
    <w:rsid w:val="00025513"/>
    <w:rsid w:val="000255A5"/>
    <w:rsid w:val="00025639"/>
    <w:rsid w:val="00025827"/>
    <w:rsid w:val="0002588E"/>
    <w:rsid w:val="000258AF"/>
    <w:rsid w:val="000258B4"/>
    <w:rsid w:val="00025959"/>
    <w:rsid w:val="00025AF2"/>
    <w:rsid w:val="00025C6F"/>
    <w:rsid w:val="00026149"/>
    <w:rsid w:val="000261F9"/>
    <w:rsid w:val="0002658F"/>
    <w:rsid w:val="000267C3"/>
    <w:rsid w:val="0002699F"/>
    <w:rsid w:val="000269FA"/>
    <w:rsid w:val="00026A4E"/>
    <w:rsid w:val="00026C25"/>
    <w:rsid w:val="00026DA5"/>
    <w:rsid w:val="0002710C"/>
    <w:rsid w:val="0002726B"/>
    <w:rsid w:val="00027354"/>
    <w:rsid w:val="0002759A"/>
    <w:rsid w:val="00027719"/>
    <w:rsid w:val="00027794"/>
    <w:rsid w:val="0002C70D"/>
    <w:rsid w:val="00030025"/>
    <w:rsid w:val="00030772"/>
    <w:rsid w:val="00030933"/>
    <w:rsid w:val="00030C5F"/>
    <w:rsid w:val="00030EA5"/>
    <w:rsid w:val="00030FC1"/>
    <w:rsid w:val="000313A9"/>
    <w:rsid w:val="0003159B"/>
    <w:rsid w:val="00031651"/>
    <w:rsid w:val="000317FC"/>
    <w:rsid w:val="00031927"/>
    <w:rsid w:val="00031A42"/>
    <w:rsid w:val="00031C70"/>
    <w:rsid w:val="00031F50"/>
    <w:rsid w:val="00032151"/>
    <w:rsid w:val="0003219B"/>
    <w:rsid w:val="00032273"/>
    <w:rsid w:val="0003277B"/>
    <w:rsid w:val="00032AD7"/>
    <w:rsid w:val="000330CB"/>
    <w:rsid w:val="0003311E"/>
    <w:rsid w:val="00033146"/>
    <w:rsid w:val="00033275"/>
    <w:rsid w:val="000332FD"/>
    <w:rsid w:val="000337F3"/>
    <w:rsid w:val="00033DA4"/>
    <w:rsid w:val="00033DDF"/>
    <w:rsid w:val="00033E66"/>
    <w:rsid w:val="00033F22"/>
    <w:rsid w:val="00033F4D"/>
    <w:rsid w:val="0003404F"/>
    <w:rsid w:val="0003407F"/>
    <w:rsid w:val="000340C9"/>
    <w:rsid w:val="0003412F"/>
    <w:rsid w:val="000342BC"/>
    <w:rsid w:val="00034BAD"/>
    <w:rsid w:val="00034D2B"/>
    <w:rsid w:val="00035591"/>
    <w:rsid w:val="000356A1"/>
    <w:rsid w:val="000356BE"/>
    <w:rsid w:val="000356C5"/>
    <w:rsid w:val="00035801"/>
    <w:rsid w:val="00035B17"/>
    <w:rsid w:val="00035BFF"/>
    <w:rsid w:val="00035D2E"/>
    <w:rsid w:val="0003614E"/>
    <w:rsid w:val="00036287"/>
    <w:rsid w:val="000364BC"/>
    <w:rsid w:val="000365C5"/>
    <w:rsid w:val="00036CCC"/>
    <w:rsid w:val="00037151"/>
    <w:rsid w:val="00037167"/>
    <w:rsid w:val="000373B8"/>
    <w:rsid w:val="000377C8"/>
    <w:rsid w:val="000377E9"/>
    <w:rsid w:val="000379D2"/>
    <w:rsid w:val="00037A60"/>
    <w:rsid w:val="00037CD3"/>
    <w:rsid w:val="0003B984"/>
    <w:rsid w:val="00040362"/>
    <w:rsid w:val="000404F6"/>
    <w:rsid w:val="00040602"/>
    <w:rsid w:val="000407FD"/>
    <w:rsid w:val="00040AB1"/>
    <w:rsid w:val="00040BC0"/>
    <w:rsid w:val="00040D10"/>
    <w:rsid w:val="00041226"/>
    <w:rsid w:val="00041322"/>
    <w:rsid w:val="000415C9"/>
    <w:rsid w:val="00041732"/>
    <w:rsid w:val="0004197E"/>
    <w:rsid w:val="00042165"/>
    <w:rsid w:val="0004218A"/>
    <w:rsid w:val="000422F5"/>
    <w:rsid w:val="000426DA"/>
    <w:rsid w:val="00042773"/>
    <w:rsid w:val="00042845"/>
    <w:rsid w:val="000429AA"/>
    <w:rsid w:val="000429CB"/>
    <w:rsid w:val="00042C42"/>
    <w:rsid w:val="00042E44"/>
    <w:rsid w:val="00042E4B"/>
    <w:rsid w:val="00042EA3"/>
    <w:rsid w:val="00043155"/>
    <w:rsid w:val="00043204"/>
    <w:rsid w:val="00043453"/>
    <w:rsid w:val="00043545"/>
    <w:rsid w:val="00043D54"/>
    <w:rsid w:val="00043DE7"/>
    <w:rsid w:val="000441BB"/>
    <w:rsid w:val="00044292"/>
    <w:rsid w:val="0004429A"/>
    <w:rsid w:val="000443F1"/>
    <w:rsid w:val="00044462"/>
    <w:rsid w:val="00044542"/>
    <w:rsid w:val="000447CC"/>
    <w:rsid w:val="0004482D"/>
    <w:rsid w:val="00044899"/>
    <w:rsid w:val="00044A96"/>
    <w:rsid w:val="00044BF8"/>
    <w:rsid w:val="00044EC2"/>
    <w:rsid w:val="00045D98"/>
    <w:rsid w:val="00045DC0"/>
    <w:rsid w:val="00045DEC"/>
    <w:rsid w:val="00045E9C"/>
    <w:rsid w:val="00045EEE"/>
    <w:rsid w:val="00045F3F"/>
    <w:rsid w:val="00046072"/>
    <w:rsid w:val="000464D6"/>
    <w:rsid w:val="00046675"/>
    <w:rsid w:val="000466AF"/>
    <w:rsid w:val="0004677C"/>
    <w:rsid w:val="00047344"/>
    <w:rsid w:val="0004769B"/>
    <w:rsid w:val="00047770"/>
    <w:rsid w:val="000478AA"/>
    <w:rsid w:val="00047957"/>
    <w:rsid w:val="000479E2"/>
    <w:rsid w:val="00050028"/>
    <w:rsid w:val="000504E0"/>
    <w:rsid w:val="000507F2"/>
    <w:rsid w:val="00050854"/>
    <w:rsid w:val="000508E7"/>
    <w:rsid w:val="00050B2C"/>
    <w:rsid w:val="00050C81"/>
    <w:rsid w:val="00051035"/>
    <w:rsid w:val="00051065"/>
    <w:rsid w:val="00051767"/>
    <w:rsid w:val="000517C9"/>
    <w:rsid w:val="00051817"/>
    <w:rsid w:val="000518CF"/>
    <w:rsid w:val="00051B25"/>
    <w:rsid w:val="00051BAF"/>
    <w:rsid w:val="00051BC9"/>
    <w:rsid w:val="00051D0B"/>
    <w:rsid w:val="0005220B"/>
    <w:rsid w:val="0005223F"/>
    <w:rsid w:val="00052632"/>
    <w:rsid w:val="000527D8"/>
    <w:rsid w:val="000527F4"/>
    <w:rsid w:val="00052A23"/>
    <w:rsid w:val="00052BCB"/>
    <w:rsid w:val="00052C2E"/>
    <w:rsid w:val="00052FF6"/>
    <w:rsid w:val="0005301E"/>
    <w:rsid w:val="00053292"/>
    <w:rsid w:val="0005336F"/>
    <w:rsid w:val="00053651"/>
    <w:rsid w:val="000537D1"/>
    <w:rsid w:val="0005393A"/>
    <w:rsid w:val="00053EB4"/>
    <w:rsid w:val="0005424E"/>
    <w:rsid w:val="00054568"/>
    <w:rsid w:val="00054680"/>
    <w:rsid w:val="000549FC"/>
    <w:rsid w:val="00054A98"/>
    <w:rsid w:val="00054C1C"/>
    <w:rsid w:val="00054F88"/>
    <w:rsid w:val="00055596"/>
    <w:rsid w:val="000556A9"/>
    <w:rsid w:val="00055B81"/>
    <w:rsid w:val="000560E5"/>
    <w:rsid w:val="00056855"/>
    <w:rsid w:val="00056D76"/>
    <w:rsid w:val="000575B3"/>
    <w:rsid w:val="0005764E"/>
    <w:rsid w:val="000577BF"/>
    <w:rsid w:val="000579E7"/>
    <w:rsid w:val="00057C74"/>
    <w:rsid w:val="00060067"/>
    <w:rsid w:val="00060094"/>
    <w:rsid w:val="0006014B"/>
    <w:rsid w:val="0006022A"/>
    <w:rsid w:val="00060722"/>
    <w:rsid w:val="00060899"/>
    <w:rsid w:val="00060B0D"/>
    <w:rsid w:val="00060C51"/>
    <w:rsid w:val="00060E8C"/>
    <w:rsid w:val="000611AA"/>
    <w:rsid w:val="00061634"/>
    <w:rsid w:val="00061649"/>
    <w:rsid w:val="0006165F"/>
    <w:rsid w:val="00061950"/>
    <w:rsid w:val="00061E86"/>
    <w:rsid w:val="00061E8D"/>
    <w:rsid w:val="00061EF7"/>
    <w:rsid w:val="00062004"/>
    <w:rsid w:val="00062299"/>
    <w:rsid w:val="00062450"/>
    <w:rsid w:val="000624B2"/>
    <w:rsid w:val="00062825"/>
    <w:rsid w:val="00062D9C"/>
    <w:rsid w:val="00062DE8"/>
    <w:rsid w:val="000631C0"/>
    <w:rsid w:val="000631FE"/>
    <w:rsid w:val="0006327E"/>
    <w:rsid w:val="00063941"/>
    <w:rsid w:val="00063955"/>
    <w:rsid w:val="0006396D"/>
    <w:rsid w:val="00063988"/>
    <w:rsid w:val="00063CB7"/>
    <w:rsid w:val="00063F80"/>
    <w:rsid w:val="000642C6"/>
    <w:rsid w:val="0006443F"/>
    <w:rsid w:val="0006455D"/>
    <w:rsid w:val="00064653"/>
    <w:rsid w:val="000647A7"/>
    <w:rsid w:val="00064A62"/>
    <w:rsid w:val="00064BD3"/>
    <w:rsid w:val="00064C06"/>
    <w:rsid w:val="00064CD0"/>
    <w:rsid w:val="00064DE1"/>
    <w:rsid w:val="00064ED1"/>
    <w:rsid w:val="00064F26"/>
    <w:rsid w:val="00065192"/>
    <w:rsid w:val="000652E4"/>
    <w:rsid w:val="00065742"/>
    <w:rsid w:val="0006579F"/>
    <w:rsid w:val="00065992"/>
    <w:rsid w:val="00065CA7"/>
    <w:rsid w:val="00065CD1"/>
    <w:rsid w:val="0006610A"/>
    <w:rsid w:val="00066768"/>
    <w:rsid w:val="00066B1C"/>
    <w:rsid w:val="00066BF9"/>
    <w:rsid w:val="00066F1A"/>
    <w:rsid w:val="00067048"/>
    <w:rsid w:val="00067CFA"/>
    <w:rsid w:val="00067DB2"/>
    <w:rsid w:val="00067F7E"/>
    <w:rsid w:val="0006E565"/>
    <w:rsid w:val="000704AB"/>
    <w:rsid w:val="00070694"/>
    <w:rsid w:val="00070BA6"/>
    <w:rsid w:val="00071157"/>
    <w:rsid w:val="0007140C"/>
    <w:rsid w:val="0007157C"/>
    <w:rsid w:val="00071824"/>
    <w:rsid w:val="000718D6"/>
    <w:rsid w:val="00071AE6"/>
    <w:rsid w:val="00071E6D"/>
    <w:rsid w:val="000720E5"/>
    <w:rsid w:val="000721E9"/>
    <w:rsid w:val="0007235F"/>
    <w:rsid w:val="000723F2"/>
    <w:rsid w:val="0007247B"/>
    <w:rsid w:val="000725EB"/>
    <w:rsid w:val="0007262A"/>
    <w:rsid w:val="00072AAA"/>
    <w:rsid w:val="00072B66"/>
    <w:rsid w:val="00072B8E"/>
    <w:rsid w:val="00072CA3"/>
    <w:rsid w:val="00073072"/>
    <w:rsid w:val="00073396"/>
    <w:rsid w:val="000734BB"/>
    <w:rsid w:val="0007352C"/>
    <w:rsid w:val="0007374E"/>
    <w:rsid w:val="00073797"/>
    <w:rsid w:val="00073A85"/>
    <w:rsid w:val="00073CE5"/>
    <w:rsid w:val="00073D03"/>
    <w:rsid w:val="0007456C"/>
    <w:rsid w:val="000746BA"/>
    <w:rsid w:val="000746CD"/>
    <w:rsid w:val="000747A0"/>
    <w:rsid w:val="000747D8"/>
    <w:rsid w:val="0007484B"/>
    <w:rsid w:val="00074931"/>
    <w:rsid w:val="00074BA7"/>
    <w:rsid w:val="00074CDF"/>
    <w:rsid w:val="00075022"/>
    <w:rsid w:val="000752C8"/>
    <w:rsid w:val="000753C1"/>
    <w:rsid w:val="0007553D"/>
    <w:rsid w:val="000759BD"/>
    <w:rsid w:val="000762CF"/>
    <w:rsid w:val="00076B53"/>
    <w:rsid w:val="00076CEF"/>
    <w:rsid w:val="00077062"/>
    <w:rsid w:val="00077102"/>
    <w:rsid w:val="000773A8"/>
    <w:rsid w:val="00077559"/>
    <w:rsid w:val="00077A2A"/>
    <w:rsid w:val="00077C92"/>
    <w:rsid w:val="00077EB4"/>
    <w:rsid w:val="000799EE"/>
    <w:rsid w:val="00080120"/>
    <w:rsid w:val="00080794"/>
    <w:rsid w:val="000807CF"/>
    <w:rsid w:val="0008098D"/>
    <w:rsid w:val="000809CA"/>
    <w:rsid w:val="00080C10"/>
    <w:rsid w:val="000810E2"/>
    <w:rsid w:val="00081374"/>
    <w:rsid w:val="00081462"/>
    <w:rsid w:val="000818DC"/>
    <w:rsid w:val="00081A41"/>
    <w:rsid w:val="00081F8D"/>
    <w:rsid w:val="00081FDD"/>
    <w:rsid w:val="00082087"/>
    <w:rsid w:val="000820E3"/>
    <w:rsid w:val="0008231D"/>
    <w:rsid w:val="00082349"/>
    <w:rsid w:val="000825D0"/>
    <w:rsid w:val="00082A58"/>
    <w:rsid w:val="00082B89"/>
    <w:rsid w:val="00082BCE"/>
    <w:rsid w:val="00082CBD"/>
    <w:rsid w:val="00082CCC"/>
    <w:rsid w:val="00082D78"/>
    <w:rsid w:val="0008305D"/>
    <w:rsid w:val="00083316"/>
    <w:rsid w:val="0008388F"/>
    <w:rsid w:val="00083F45"/>
    <w:rsid w:val="00083FD3"/>
    <w:rsid w:val="00083FE9"/>
    <w:rsid w:val="0008448D"/>
    <w:rsid w:val="00084510"/>
    <w:rsid w:val="00084671"/>
    <w:rsid w:val="000846C8"/>
    <w:rsid w:val="000846FE"/>
    <w:rsid w:val="000849BC"/>
    <w:rsid w:val="00084ACA"/>
    <w:rsid w:val="00084BAE"/>
    <w:rsid w:val="00084CEC"/>
    <w:rsid w:val="00084DA8"/>
    <w:rsid w:val="00085019"/>
    <w:rsid w:val="00085116"/>
    <w:rsid w:val="0008535B"/>
    <w:rsid w:val="0008538E"/>
    <w:rsid w:val="00085453"/>
    <w:rsid w:val="0008557F"/>
    <w:rsid w:val="00085886"/>
    <w:rsid w:val="00085B2D"/>
    <w:rsid w:val="00085B35"/>
    <w:rsid w:val="00085CBE"/>
    <w:rsid w:val="00086014"/>
    <w:rsid w:val="000860DC"/>
    <w:rsid w:val="00086459"/>
    <w:rsid w:val="00086724"/>
    <w:rsid w:val="000869E0"/>
    <w:rsid w:val="00086A34"/>
    <w:rsid w:val="00086A78"/>
    <w:rsid w:val="00086AA7"/>
    <w:rsid w:val="00086BE5"/>
    <w:rsid w:val="00086D62"/>
    <w:rsid w:val="00086FEC"/>
    <w:rsid w:val="0008703D"/>
    <w:rsid w:val="000870E7"/>
    <w:rsid w:val="000872EA"/>
    <w:rsid w:val="000873EE"/>
    <w:rsid w:val="000874D4"/>
    <w:rsid w:val="00087619"/>
    <w:rsid w:val="0008772F"/>
    <w:rsid w:val="0008784A"/>
    <w:rsid w:val="00087CE9"/>
    <w:rsid w:val="00087E34"/>
    <w:rsid w:val="00087E69"/>
    <w:rsid w:val="0008F5B4"/>
    <w:rsid w:val="00090078"/>
    <w:rsid w:val="000900F6"/>
    <w:rsid w:val="00090308"/>
    <w:rsid w:val="0009076C"/>
    <w:rsid w:val="00090A30"/>
    <w:rsid w:val="00090AAC"/>
    <w:rsid w:val="000918AD"/>
    <w:rsid w:val="00091A57"/>
    <w:rsid w:val="0009212E"/>
    <w:rsid w:val="00092231"/>
    <w:rsid w:val="0009232D"/>
    <w:rsid w:val="000923FE"/>
    <w:rsid w:val="00092437"/>
    <w:rsid w:val="00092942"/>
    <w:rsid w:val="00092A1F"/>
    <w:rsid w:val="00092B10"/>
    <w:rsid w:val="00092C51"/>
    <w:rsid w:val="00092DE6"/>
    <w:rsid w:val="00092E71"/>
    <w:rsid w:val="00093327"/>
    <w:rsid w:val="000933D8"/>
    <w:rsid w:val="0009363B"/>
    <w:rsid w:val="00093685"/>
    <w:rsid w:val="000936B4"/>
    <w:rsid w:val="0009387A"/>
    <w:rsid w:val="00093DB1"/>
    <w:rsid w:val="00093DC3"/>
    <w:rsid w:val="00093EEE"/>
    <w:rsid w:val="00094031"/>
    <w:rsid w:val="0009446C"/>
    <w:rsid w:val="000944CF"/>
    <w:rsid w:val="00094522"/>
    <w:rsid w:val="00094833"/>
    <w:rsid w:val="000948BC"/>
    <w:rsid w:val="00094A81"/>
    <w:rsid w:val="00094B58"/>
    <w:rsid w:val="00094DCA"/>
    <w:rsid w:val="00094E38"/>
    <w:rsid w:val="00094E83"/>
    <w:rsid w:val="00094ED2"/>
    <w:rsid w:val="0009520A"/>
    <w:rsid w:val="000952BE"/>
    <w:rsid w:val="00095386"/>
    <w:rsid w:val="00095408"/>
    <w:rsid w:val="000958B0"/>
    <w:rsid w:val="00095C59"/>
    <w:rsid w:val="00095CC4"/>
    <w:rsid w:val="00096101"/>
    <w:rsid w:val="000964E0"/>
    <w:rsid w:val="00096975"/>
    <w:rsid w:val="00096B64"/>
    <w:rsid w:val="00096B6F"/>
    <w:rsid w:val="00096C53"/>
    <w:rsid w:val="00096C5A"/>
    <w:rsid w:val="00096C7C"/>
    <w:rsid w:val="00096D32"/>
    <w:rsid w:val="00096D5D"/>
    <w:rsid w:val="00097870"/>
    <w:rsid w:val="00097BC6"/>
    <w:rsid w:val="00097DCE"/>
    <w:rsid w:val="00097E5B"/>
    <w:rsid w:val="00097E79"/>
    <w:rsid w:val="00097EDE"/>
    <w:rsid w:val="000A00B9"/>
    <w:rsid w:val="000A00EE"/>
    <w:rsid w:val="000A021A"/>
    <w:rsid w:val="000A062E"/>
    <w:rsid w:val="000A06CA"/>
    <w:rsid w:val="000A0A2F"/>
    <w:rsid w:val="000A0A48"/>
    <w:rsid w:val="000A0A67"/>
    <w:rsid w:val="000A0BDD"/>
    <w:rsid w:val="000A0C61"/>
    <w:rsid w:val="000A10E1"/>
    <w:rsid w:val="000A111E"/>
    <w:rsid w:val="000A1A34"/>
    <w:rsid w:val="000A1C02"/>
    <w:rsid w:val="000A1CC2"/>
    <w:rsid w:val="000A1DAB"/>
    <w:rsid w:val="000A2184"/>
    <w:rsid w:val="000A2206"/>
    <w:rsid w:val="000A22D5"/>
    <w:rsid w:val="000A253A"/>
    <w:rsid w:val="000A2A30"/>
    <w:rsid w:val="000A2EB8"/>
    <w:rsid w:val="000A303F"/>
    <w:rsid w:val="000A320D"/>
    <w:rsid w:val="000A41EF"/>
    <w:rsid w:val="000A4214"/>
    <w:rsid w:val="000A42FD"/>
    <w:rsid w:val="000A4520"/>
    <w:rsid w:val="000A46E2"/>
    <w:rsid w:val="000A47EE"/>
    <w:rsid w:val="000A48E4"/>
    <w:rsid w:val="000A4C2B"/>
    <w:rsid w:val="000A4ED1"/>
    <w:rsid w:val="000A4EE1"/>
    <w:rsid w:val="000A4F13"/>
    <w:rsid w:val="000A4F15"/>
    <w:rsid w:val="000A5199"/>
    <w:rsid w:val="000A5428"/>
    <w:rsid w:val="000A5449"/>
    <w:rsid w:val="000A58C3"/>
    <w:rsid w:val="000A5BB9"/>
    <w:rsid w:val="000A5C00"/>
    <w:rsid w:val="000A5D29"/>
    <w:rsid w:val="000A5ECF"/>
    <w:rsid w:val="000A6124"/>
    <w:rsid w:val="000A61A9"/>
    <w:rsid w:val="000A62B9"/>
    <w:rsid w:val="000A654B"/>
    <w:rsid w:val="000A6690"/>
    <w:rsid w:val="000A679A"/>
    <w:rsid w:val="000A69F2"/>
    <w:rsid w:val="000A6ED8"/>
    <w:rsid w:val="000A6F99"/>
    <w:rsid w:val="000A7250"/>
    <w:rsid w:val="000A7291"/>
    <w:rsid w:val="000A72AB"/>
    <w:rsid w:val="000A793B"/>
    <w:rsid w:val="000B0032"/>
    <w:rsid w:val="000B0598"/>
    <w:rsid w:val="000B0BAB"/>
    <w:rsid w:val="000B0C56"/>
    <w:rsid w:val="000B10AB"/>
    <w:rsid w:val="000B159F"/>
    <w:rsid w:val="000B167D"/>
    <w:rsid w:val="000B1C25"/>
    <w:rsid w:val="000B1E3D"/>
    <w:rsid w:val="000B2079"/>
    <w:rsid w:val="000B2098"/>
    <w:rsid w:val="000B218E"/>
    <w:rsid w:val="000B21A2"/>
    <w:rsid w:val="000B2293"/>
    <w:rsid w:val="000B2448"/>
    <w:rsid w:val="000B259B"/>
    <w:rsid w:val="000B273F"/>
    <w:rsid w:val="000B2B0A"/>
    <w:rsid w:val="000B2BAA"/>
    <w:rsid w:val="000B303E"/>
    <w:rsid w:val="000B3078"/>
    <w:rsid w:val="000B31F8"/>
    <w:rsid w:val="000B34AF"/>
    <w:rsid w:val="000B3630"/>
    <w:rsid w:val="000B36C7"/>
    <w:rsid w:val="000B3A0B"/>
    <w:rsid w:val="000B427B"/>
    <w:rsid w:val="000B44D8"/>
    <w:rsid w:val="000B4615"/>
    <w:rsid w:val="000B46C9"/>
    <w:rsid w:val="000B490E"/>
    <w:rsid w:val="000B4EDA"/>
    <w:rsid w:val="000B5008"/>
    <w:rsid w:val="000B5042"/>
    <w:rsid w:val="000B5122"/>
    <w:rsid w:val="000B5186"/>
    <w:rsid w:val="000B51A4"/>
    <w:rsid w:val="000B5323"/>
    <w:rsid w:val="000B5412"/>
    <w:rsid w:val="000B54C2"/>
    <w:rsid w:val="000B579D"/>
    <w:rsid w:val="000B5A2C"/>
    <w:rsid w:val="000B5C16"/>
    <w:rsid w:val="000B5C6D"/>
    <w:rsid w:val="000B6384"/>
    <w:rsid w:val="000B63C5"/>
    <w:rsid w:val="000B653A"/>
    <w:rsid w:val="000B66D8"/>
    <w:rsid w:val="000B69A7"/>
    <w:rsid w:val="000B6B01"/>
    <w:rsid w:val="000B6B27"/>
    <w:rsid w:val="000B6BC7"/>
    <w:rsid w:val="000B6BEB"/>
    <w:rsid w:val="000B6D59"/>
    <w:rsid w:val="000B6E2C"/>
    <w:rsid w:val="000B7080"/>
    <w:rsid w:val="000B71B8"/>
    <w:rsid w:val="000B71CF"/>
    <w:rsid w:val="000B756A"/>
    <w:rsid w:val="000B7838"/>
    <w:rsid w:val="000B787C"/>
    <w:rsid w:val="000B7ABA"/>
    <w:rsid w:val="000B7B61"/>
    <w:rsid w:val="000B7B7C"/>
    <w:rsid w:val="000B7D21"/>
    <w:rsid w:val="000B7ECB"/>
    <w:rsid w:val="000C0159"/>
    <w:rsid w:val="000C0301"/>
    <w:rsid w:val="000C0417"/>
    <w:rsid w:val="000C06FE"/>
    <w:rsid w:val="000C07B9"/>
    <w:rsid w:val="000C0858"/>
    <w:rsid w:val="000C0A8E"/>
    <w:rsid w:val="000C0D8F"/>
    <w:rsid w:val="000C0E8B"/>
    <w:rsid w:val="000C1006"/>
    <w:rsid w:val="000C1047"/>
    <w:rsid w:val="000C1396"/>
    <w:rsid w:val="000C16C3"/>
    <w:rsid w:val="000C1710"/>
    <w:rsid w:val="000C1870"/>
    <w:rsid w:val="000C19C6"/>
    <w:rsid w:val="000C1C82"/>
    <w:rsid w:val="000C2041"/>
    <w:rsid w:val="000C211E"/>
    <w:rsid w:val="000C21E2"/>
    <w:rsid w:val="000C2340"/>
    <w:rsid w:val="000C24B7"/>
    <w:rsid w:val="000C2705"/>
    <w:rsid w:val="000C27B8"/>
    <w:rsid w:val="000C28B6"/>
    <w:rsid w:val="000C28D4"/>
    <w:rsid w:val="000C297C"/>
    <w:rsid w:val="000C2AB8"/>
    <w:rsid w:val="000C33A9"/>
    <w:rsid w:val="000C39E7"/>
    <w:rsid w:val="000C3B3A"/>
    <w:rsid w:val="000C3CD7"/>
    <w:rsid w:val="000C3E1A"/>
    <w:rsid w:val="000C4086"/>
    <w:rsid w:val="000C4143"/>
    <w:rsid w:val="000C42C3"/>
    <w:rsid w:val="000C4477"/>
    <w:rsid w:val="000C452A"/>
    <w:rsid w:val="000C45B8"/>
    <w:rsid w:val="000C4698"/>
    <w:rsid w:val="000C485D"/>
    <w:rsid w:val="000C4963"/>
    <w:rsid w:val="000C4E75"/>
    <w:rsid w:val="000C4FB9"/>
    <w:rsid w:val="000C5225"/>
    <w:rsid w:val="000C52E1"/>
    <w:rsid w:val="000C535B"/>
    <w:rsid w:val="000C53CC"/>
    <w:rsid w:val="000C5493"/>
    <w:rsid w:val="000C586B"/>
    <w:rsid w:val="000C5875"/>
    <w:rsid w:val="000C60A0"/>
    <w:rsid w:val="000C61EB"/>
    <w:rsid w:val="000C61FD"/>
    <w:rsid w:val="000C637A"/>
    <w:rsid w:val="000C66C2"/>
    <w:rsid w:val="000C6798"/>
    <w:rsid w:val="000C6C83"/>
    <w:rsid w:val="000C6D55"/>
    <w:rsid w:val="000C730F"/>
    <w:rsid w:val="000C74D3"/>
    <w:rsid w:val="000C759D"/>
    <w:rsid w:val="000C7770"/>
    <w:rsid w:val="000C77F9"/>
    <w:rsid w:val="000C7C60"/>
    <w:rsid w:val="000C7DBD"/>
    <w:rsid w:val="000C7E75"/>
    <w:rsid w:val="000C7EB0"/>
    <w:rsid w:val="000D0501"/>
    <w:rsid w:val="000D056E"/>
    <w:rsid w:val="000D060F"/>
    <w:rsid w:val="000D07E1"/>
    <w:rsid w:val="000D0936"/>
    <w:rsid w:val="000D0BC7"/>
    <w:rsid w:val="000D0FFA"/>
    <w:rsid w:val="000D1105"/>
    <w:rsid w:val="000D1141"/>
    <w:rsid w:val="000D1610"/>
    <w:rsid w:val="000D1DF3"/>
    <w:rsid w:val="000D1F2C"/>
    <w:rsid w:val="000D22EB"/>
    <w:rsid w:val="000D246C"/>
    <w:rsid w:val="000D24E4"/>
    <w:rsid w:val="000D25A8"/>
    <w:rsid w:val="000D287A"/>
    <w:rsid w:val="000D2983"/>
    <w:rsid w:val="000D2B92"/>
    <w:rsid w:val="000D33B4"/>
    <w:rsid w:val="000D3538"/>
    <w:rsid w:val="000D381D"/>
    <w:rsid w:val="000D3930"/>
    <w:rsid w:val="000D3D04"/>
    <w:rsid w:val="000D4071"/>
    <w:rsid w:val="000D40A9"/>
    <w:rsid w:val="000D4250"/>
    <w:rsid w:val="000D43B1"/>
    <w:rsid w:val="000D440E"/>
    <w:rsid w:val="000D472F"/>
    <w:rsid w:val="000D4879"/>
    <w:rsid w:val="000D4A12"/>
    <w:rsid w:val="000D4A72"/>
    <w:rsid w:val="000D4FB8"/>
    <w:rsid w:val="000D4FE9"/>
    <w:rsid w:val="000D51A2"/>
    <w:rsid w:val="000D51CD"/>
    <w:rsid w:val="000D5452"/>
    <w:rsid w:val="000D571E"/>
    <w:rsid w:val="000D5EEF"/>
    <w:rsid w:val="000D64E0"/>
    <w:rsid w:val="000D65ED"/>
    <w:rsid w:val="000D66FA"/>
    <w:rsid w:val="000D693E"/>
    <w:rsid w:val="000D6974"/>
    <w:rsid w:val="000D6A92"/>
    <w:rsid w:val="000D6B4F"/>
    <w:rsid w:val="000D6CE1"/>
    <w:rsid w:val="000D7016"/>
    <w:rsid w:val="000D70F6"/>
    <w:rsid w:val="000D7359"/>
    <w:rsid w:val="000D74E9"/>
    <w:rsid w:val="000D76EC"/>
    <w:rsid w:val="000D775B"/>
    <w:rsid w:val="000D798A"/>
    <w:rsid w:val="000D7EFA"/>
    <w:rsid w:val="000D7FAB"/>
    <w:rsid w:val="000E01D1"/>
    <w:rsid w:val="000E0541"/>
    <w:rsid w:val="000E0FE5"/>
    <w:rsid w:val="000E120D"/>
    <w:rsid w:val="000E12E4"/>
    <w:rsid w:val="000E1C79"/>
    <w:rsid w:val="000E20B3"/>
    <w:rsid w:val="000E2106"/>
    <w:rsid w:val="000E210F"/>
    <w:rsid w:val="000E291A"/>
    <w:rsid w:val="000E2CF0"/>
    <w:rsid w:val="000E2FA6"/>
    <w:rsid w:val="000E3015"/>
    <w:rsid w:val="000E30AF"/>
    <w:rsid w:val="000E3501"/>
    <w:rsid w:val="000E3689"/>
    <w:rsid w:val="000E373E"/>
    <w:rsid w:val="000E39BF"/>
    <w:rsid w:val="000E3BCE"/>
    <w:rsid w:val="000E3DB9"/>
    <w:rsid w:val="000E3EA7"/>
    <w:rsid w:val="000E420C"/>
    <w:rsid w:val="000E426F"/>
    <w:rsid w:val="000E432A"/>
    <w:rsid w:val="000E48CB"/>
    <w:rsid w:val="000E5357"/>
    <w:rsid w:val="000E557B"/>
    <w:rsid w:val="000E567E"/>
    <w:rsid w:val="000E5C08"/>
    <w:rsid w:val="000E5CD1"/>
    <w:rsid w:val="000E5CF9"/>
    <w:rsid w:val="000E5F76"/>
    <w:rsid w:val="000E631D"/>
    <w:rsid w:val="000E63D6"/>
    <w:rsid w:val="000E646D"/>
    <w:rsid w:val="000E65D6"/>
    <w:rsid w:val="000E69B2"/>
    <w:rsid w:val="000E6EC8"/>
    <w:rsid w:val="000E6F81"/>
    <w:rsid w:val="000E70E6"/>
    <w:rsid w:val="000E710E"/>
    <w:rsid w:val="000E72D3"/>
    <w:rsid w:val="000E7596"/>
    <w:rsid w:val="000E760A"/>
    <w:rsid w:val="000E76A6"/>
    <w:rsid w:val="000E7731"/>
    <w:rsid w:val="000E7935"/>
    <w:rsid w:val="000E79AB"/>
    <w:rsid w:val="000E7AEB"/>
    <w:rsid w:val="000E7C76"/>
    <w:rsid w:val="000F0115"/>
    <w:rsid w:val="000F022E"/>
    <w:rsid w:val="000F0314"/>
    <w:rsid w:val="000F03AF"/>
    <w:rsid w:val="000F0418"/>
    <w:rsid w:val="000F053A"/>
    <w:rsid w:val="000F074C"/>
    <w:rsid w:val="000F087F"/>
    <w:rsid w:val="000F08EF"/>
    <w:rsid w:val="000F0A44"/>
    <w:rsid w:val="000F0A45"/>
    <w:rsid w:val="000F0C84"/>
    <w:rsid w:val="000F0C89"/>
    <w:rsid w:val="000F10C1"/>
    <w:rsid w:val="000F13C6"/>
    <w:rsid w:val="000F1669"/>
    <w:rsid w:val="000F1966"/>
    <w:rsid w:val="000F1B63"/>
    <w:rsid w:val="000F204C"/>
    <w:rsid w:val="000F2A9A"/>
    <w:rsid w:val="000F2B64"/>
    <w:rsid w:val="000F2BC1"/>
    <w:rsid w:val="000F2BEE"/>
    <w:rsid w:val="000F2C38"/>
    <w:rsid w:val="000F2CA6"/>
    <w:rsid w:val="000F2CDE"/>
    <w:rsid w:val="000F327C"/>
    <w:rsid w:val="000F32D7"/>
    <w:rsid w:val="000F3548"/>
    <w:rsid w:val="000F3963"/>
    <w:rsid w:val="000F3A64"/>
    <w:rsid w:val="000F420B"/>
    <w:rsid w:val="000F43CF"/>
    <w:rsid w:val="000F45AB"/>
    <w:rsid w:val="000F4AE2"/>
    <w:rsid w:val="000F4C85"/>
    <w:rsid w:val="000F4F87"/>
    <w:rsid w:val="000F4FD4"/>
    <w:rsid w:val="000F50B0"/>
    <w:rsid w:val="000F5220"/>
    <w:rsid w:val="000F563D"/>
    <w:rsid w:val="000F5956"/>
    <w:rsid w:val="000F5D6D"/>
    <w:rsid w:val="000F5EE9"/>
    <w:rsid w:val="000F5F8A"/>
    <w:rsid w:val="000F6135"/>
    <w:rsid w:val="000F6171"/>
    <w:rsid w:val="000F61EB"/>
    <w:rsid w:val="000F63AE"/>
    <w:rsid w:val="000F64E1"/>
    <w:rsid w:val="000F6603"/>
    <w:rsid w:val="000F6624"/>
    <w:rsid w:val="000F6984"/>
    <w:rsid w:val="000F6B25"/>
    <w:rsid w:val="000F6B46"/>
    <w:rsid w:val="000F6C1A"/>
    <w:rsid w:val="000F6D0C"/>
    <w:rsid w:val="000F6DE0"/>
    <w:rsid w:val="000F6FB4"/>
    <w:rsid w:val="000F7147"/>
    <w:rsid w:val="000F727C"/>
    <w:rsid w:val="000F7339"/>
    <w:rsid w:val="000F73CB"/>
    <w:rsid w:val="000F74AA"/>
    <w:rsid w:val="000F7710"/>
    <w:rsid w:val="000F794A"/>
    <w:rsid w:val="000F79D2"/>
    <w:rsid w:val="000F7A7D"/>
    <w:rsid w:val="000F7CF1"/>
    <w:rsid w:val="000F7E23"/>
    <w:rsid w:val="000F7F9D"/>
    <w:rsid w:val="000F7FC6"/>
    <w:rsid w:val="00100042"/>
    <w:rsid w:val="0010023D"/>
    <w:rsid w:val="0010028A"/>
    <w:rsid w:val="001002FE"/>
    <w:rsid w:val="001004CD"/>
    <w:rsid w:val="00100697"/>
    <w:rsid w:val="00100BA6"/>
    <w:rsid w:val="00100CC9"/>
    <w:rsid w:val="00100CF7"/>
    <w:rsid w:val="00100D10"/>
    <w:rsid w:val="00100D19"/>
    <w:rsid w:val="00100DA0"/>
    <w:rsid w:val="0010186E"/>
    <w:rsid w:val="00101875"/>
    <w:rsid w:val="001018A5"/>
    <w:rsid w:val="00101979"/>
    <w:rsid w:val="00101991"/>
    <w:rsid w:val="00101A48"/>
    <w:rsid w:val="00102102"/>
    <w:rsid w:val="00102273"/>
    <w:rsid w:val="0010264A"/>
    <w:rsid w:val="001026D3"/>
    <w:rsid w:val="00102A40"/>
    <w:rsid w:val="00102B59"/>
    <w:rsid w:val="00102C10"/>
    <w:rsid w:val="00102F45"/>
    <w:rsid w:val="001039DF"/>
    <w:rsid w:val="00103A9D"/>
    <w:rsid w:val="00103B3B"/>
    <w:rsid w:val="00103C48"/>
    <w:rsid w:val="00103C58"/>
    <w:rsid w:val="00103EB7"/>
    <w:rsid w:val="00103F0D"/>
    <w:rsid w:val="00104130"/>
    <w:rsid w:val="001043CA"/>
    <w:rsid w:val="00104618"/>
    <w:rsid w:val="00104784"/>
    <w:rsid w:val="001047E0"/>
    <w:rsid w:val="0010496D"/>
    <w:rsid w:val="00104C26"/>
    <w:rsid w:val="00104C83"/>
    <w:rsid w:val="00104D15"/>
    <w:rsid w:val="00104D36"/>
    <w:rsid w:val="001053C6"/>
    <w:rsid w:val="00105402"/>
    <w:rsid w:val="00105953"/>
    <w:rsid w:val="00105D7B"/>
    <w:rsid w:val="00105E49"/>
    <w:rsid w:val="00106318"/>
    <w:rsid w:val="00106444"/>
    <w:rsid w:val="001068C7"/>
    <w:rsid w:val="00106A8B"/>
    <w:rsid w:val="00106AE1"/>
    <w:rsid w:val="00106BEC"/>
    <w:rsid w:val="00106C6D"/>
    <w:rsid w:val="00106FD7"/>
    <w:rsid w:val="0010730F"/>
    <w:rsid w:val="0010736F"/>
    <w:rsid w:val="0010756A"/>
    <w:rsid w:val="0010775A"/>
    <w:rsid w:val="00107869"/>
    <w:rsid w:val="00107A89"/>
    <w:rsid w:val="00107FA5"/>
    <w:rsid w:val="00110179"/>
    <w:rsid w:val="0011024B"/>
    <w:rsid w:val="001106E5"/>
    <w:rsid w:val="00110845"/>
    <w:rsid w:val="00110B12"/>
    <w:rsid w:val="00110B23"/>
    <w:rsid w:val="00110B42"/>
    <w:rsid w:val="00110C5B"/>
    <w:rsid w:val="00110CD0"/>
    <w:rsid w:val="00110D88"/>
    <w:rsid w:val="00111898"/>
    <w:rsid w:val="001118B7"/>
    <w:rsid w:val="0011190A"/>
    <w:rsid w:val="00111D74"/>
    <w:rsid w:val="00111F34"/>
    <w:rsid w:val="0011278C"/>
    <w:rsid w:val="0011295C"/>
    <w:rsid w:val="00112974"/>
    <w:rsid w:val="001129F3"/>
    <w:rsid w:val="00112CB6"/>
    <w:rsid w:val="00112E08"/>
    <w:rsid w:val="00112EBB"/>
    <w:rsid w:val="00112ED4"/>
    <w:rsid w:val="001130DE"/>
    <w:rsid w:val="001132FD"/>
    <w:rsid w:val="001133F9"/>
    <w:rsid w:val="00113483"/>
    <w:rsid w:val="001134AC"/>
    <w:rsid w:val="0011370D"/>
    <w:rsid w:val="001139FF"/>
    <w:rsid w:val="00113B16"/>
    <w:rsid w:val="00113BCF"/>
    <w:rsid w:val="00113F26"/>
    <w:rsid w:val="00113F67"/>
    <w:rsid w:val="00114009"/>
    <w:rsid w:val="00114143"/>
    <w:rsid w:val="001142C8"/>
    <w:rsid w:val="00114547"/>
    <w:rsid w:val="00114ACA"/>
    <w:rsid w:val="001151A6"/>
    <w:rsid w:val="001151DE"/>
    <w:rsid w:val="00115307"/>
    <w:rsid w:val="00115488"/>
    <w:rsid w:val="001158CE"/>
    <w:rsid w:val="00115A28"/>
    <w:rsid w:val="00115AAC"/>
    <w:rsid w:val="00115AC0"/>
    <w:rsid w:val="00115BC7"/>
    <w:rsid w:val="00115CA1"/>
    <w:rsid w:val="00115D44"/>
    <w:rsid w:val="00115FA1"/>
    <w:rsid w:val="001160C6"/>
    <w:rsid w:val="0011653F"/>
    <w:rsid w:val="0011675E"/>
    <w:rsid w:val="001169FC"/>
    <w:rsid w:val="00116C6B"/>
    <w:rsid w:val="00116CA6"/>
    <w:rsid w:val="00116D7B"/>
    <w:rsid w:val="0011726C"/>
    <w:rsid w:val="00117413"/>
    <w:rsid w:val="001178CD"/>
    <w:rsid w:val="001179EA"/>
    <w:rsid w:val="00117CA3"/>
    <w:rsid w:val="00117FEF"/>
    <w:rsid w:val="0011C5CB"/>
    <w:rsid w:val="0011E46F"/>
    <w:rsid w:val="0012002E"/>
    <w:rsid w:val="00120156"/>
    <w:rsid w:val="0012027D"/>
    <w:rsid w:val="001203E0"/>
    <w:rsid w:val="001204CF"/>
    <w:rsid w:val="00120759"/>
    <w:rsid w:val="001207E8"/>
    <w:rsid w:val="00120A8A"/>
    <w:rsid w:val="00120B77"/>
    <w:rsid w:val="00121345"/>
    <w:rsid w:val="0012135E"/>
    <w:rsid w:val="001213B5"/>
    <w:rsid w:val="001213D3"/>
    <w:rsid w:val="00121450"/>
    <w:rsid w:val="00121454"/>
    <w:rsid w:val="00121521"/>
    <w:rsid w:val="001215CE"/>
    <w:rsid w:val="00121984"/>
    <w:rsid w:val="00121AEC"/>
    <w:rsid w:val="00121AF2"/>
    <w:rsid w:val="00121D4A"/>
    <w:rsid w:val="00121FB2"/>
    <w:rsid w:val="001220CA"/>
    <w:rsid w:val="001220D9"/>
    <w:rsid w:val="001227AC"/>
    <w:rsid w:val="00122816"/>
    <w:rsid w:val="00122A50"/>
    <w:rsid w:val="00122C7D"/>
    <w:rsid w:val="00122D48"/>
    <w:rsid w:val="00122D7E"/>
    <w:rsid w:val="00122E97"/>
    <w:rsid w:val="00123275"/>
    <w:rsid w:val="001232BD"/>
    <w:rsid w:val="001233A3"/>
    <w:rsid w:val="001234B3"/>
    <w:rsid w:val="0012350E"/>
    <w:rsid w:val="00123B27"/>
    <w:rsid w:val="00123B75"/>
    <w:rsid w:val="00123D8D"/>
    <w:rsid w:val="001248BB"/>
    <w:rsid w:val="00124A47"/>
    <w:rsid w:val="00124A4C"/>
    <w:rsid w:val="00124B1F"/>
    <w:rsid w:val="00125028"/>
    <w:rsid w:val="0012509E"/>
    <w:rsid w:val="0012524B"/>
    <w:rsid w:val="001252CF"/>
    <w:rsid w:val="00125332"/>
    <w:rsid w:val="00125829"/>
    <w:rsid w:val="00125A1B"/>
    <w:rsid w:val="00125B02"/>
    <w:rsid w:val="00125CF5"/>
    <w:rsid w:val="00125E5D"/>
    <w:rsid w:val="001260BC"/>
    <w:rsid w:val="0012616A"/>
    <w:rsid w:val="001262DA"/>
    <w:rsid w:val="00126692"/>
    <w:rsid w:val="00126C8F"/>
    <w:rsid w:val="00126EB4"/>
    <w:rsid w:val="00126EC0"/>
    <w:rsid w:val="0012704A"/>
    <w:rsid w:val="0012730A"/>
    <w:rsid w:val="0012733A"/>
    <w:rsid w:val="001273DD"/>
    <w:rsid w:val="0012751E"/>
    <w:rsid w:val="001276CB"/>
    <w:rsid w:val="00127B97"/>
    <w:rsid w:val="00127D6A"/>
    <w:rsid w:val="00127F0D"/>
    <w:rsid w:val="00130086"/>
    <w:rsid w:val="001301A8"/>
    <w:rsid w:val="00130212"/>
    <w:rsid w:val="00130448"/>
    <w:rsid w:val="00130513"/>
    <w:rsid w:val="00130792"/>
    <w:rsid w:val="00130A0F"/>
    <w:rsid w:val="00130BA0"/>
    <w:rsid w:val="00130E61"/>
    <w:rsid w:val="00130ED6"/>
    <w:rsid w:val="00130EDB"/>
    <w:rsid w:val="001311E9"/>
    <w:rsid w:val="00131943"/>
    <w:rsid w:val="00131BC2"/>
    <w:rsid w:val="00131E1A"/>
    <w:rsid w:val="00131EB5"/>
    <w:rsid w:val="00132189"/>
    <w:rsid w:val="00132321"/>
    <w:rsid w:val="001323BA"/>
    <w:rsid w:val="00132691"/>
    <w:rsid w:val="00132780"/>
    <w:rsid w:val="001329A1"/>
    <w:rsid w:val="00132EF4"/>
    <w:rsid w:val="00133003"/>
    <w:rsid w:val="00133132"/>
    <w:rsid w:val="0013322F"/>
    <w:rsid w:val="00133C6F"/>
    <w:rsid w:val="00134860"/>
    <w:rsid w:val="00134B39"/>
    <w:rsid w:val="00135020"/>
    <w:rsid w:val="0013510D"/>
    <w:rsid w:val="00135124"/>
    <w:rsid w:val="00135180"/>
    <w:rsid w:val="001354EC"/>
    <w:rsid w:val="00135B6A"/>
    <w:rsid w:val="00135C4D"/>
    <w:rsid w:val="00136036"/>
    <w:rsid w:val="001360F9"/>
    <w:rsid w:val="00136162"/>
    <w:rsid w:val="00136347"/>
    <w:rsid w:val="00136495"/>
    <w:rsid w:val="00136518"/>
    <w:rsid w:val="00136982"/>
    <w:rsid w:val="00136C58"/>
    <w:rsid w:val="00136D5F"/>
    <w:rsid w:val="00136E6A"/>
    <w:rsid w:val="00136E87"/>
    <w:rsid w:val="00136ED4"/>
    <w:rsid w:val="00136ED5"/>
    <w:rsid w:val="00136ED8"/>
    <w:rsid w:val="00137100"/>
    <w:rsid w:val="0013725E"/>
    <w:rsid w:val="0013757A"/>
    <w:rsid w:val="0013763F"/>
    <w:rsid w:val="001376CB"/>
    <w:rsid w:val="0013781C"/>
    <w:rsid w:val="001379C0"/>
    <w:rsid w:val="00137AAA"/>
    <w:rsid w:val="00137AD1"/>
    <w:rsid w:val="00137DC7"/>
    <w:rsid w:val="00137E60"/>
    <w:rsid w:val="00137FA0"/>
    <w:rsid w:val="00140034"/>
    <w:rsid w:val="001401F3"/>
    <w:rsid w:val="001404ED"/>
    <w:rsid w:val="0014064F"/>
    <w:rsid w:val="00140769"/>
    <w:rsid w:val="00140A08"/>
    <w:rsid w:val="00140CAC"/>
    <w:rsid w:val="00140EE9"/>
    <w:rsid w:val="00140F87"/>
    <w:rsid w:val="00141020"/>
    <w:rsid w:val="0014106B"/>
    <w:rsid w:val="00141355"/>
    <w:rsid w:val="00141459"/>
    <w:rsid w:val="0014164B"/>
    <w:rsid w:val="00141706"/>
    <w:rsid w:val="0014174B"/>
    <w:rsid w:val="00141773"/>
    <w:rsid w:val="00141C2B"/>
    <w:rsid w:val="00141F80"/>
    <w:rsid w:val="001428BA"/>
    <w:rsid w:val="00142DC5"/>
    <w:rsid w:val="001435D3"/>
    <w:rsid w:val="00143CFD"/>
    <w:rsid w:val="00143DB3"/>
    <w:rsid w:val="0014408F"/>
    <w:rsid w:val="00144141"/>
    <w:rsid w:val="001443E2"/>
    <w:rsid w:val="001443F4"/>
    <w:rsid w:val="001445D0"/>
    <w:rsid w:val="0014476A"/>
    <w:rsid w:val="00144D96"/>
    <w:rsid w:val="00144DD8"/>
    <w:rsid w:val="00144EF7"/>
    <w:rsid w:val="00144F61"/>
    <w:rsid w:val="00145189"/>
    <w:rsid w:val="00145BE9"/>
    <w:rsid w:val="00145C5B"/>
    <w:rsid w:val="00145D1E"/>
    <w:rsid w:val="00145DD2"/>
    <w:rsid w:val="00145E54"/>
    <w:rsid w:val="0014608B"/>
    <w:rsid w:val="0014640A"/>
    <w:rsid w:val="001466DD"/>
    <w:rsid w:val="0014671F"/>
    <w:rsid w:val="00146787"/>
    <w:rsid w:val="0014684B"/>
    <w:rsid w:val="001469AF"/>
    <w:rsid w:val="00146C24"/>
    <w:rsid w:val="00146CFC"/>
    <w:rsid w:val="00146D89"/>
    <w:rsid w:val="00146F58"/>
    <w:rsid w:val="00147018"/>
    <w:rsid w:val="001476AF"/>
    <w:rsid w:val="001477A3"/>
    <w:rsid w:val="00147BF2"/>
    <w:rsid w:val="00150439"/>
    <w:rsid w:val="00150515"/>
    <w:rsid w:val="0015053F"/>
    <w:rsid w:val="0015057E"/>
    <w:rsid w:val="00150936"/>
    <w:rsid w:val="00150D78"/>
    <w:rsid w:val="00151469"/>
    <w:rsid w:val="0015172C"/>
    <w:rsid w:val="00151C86"/>
    <w:rsid w:val="00151D7D"/>
    <w:rsid w:val="00151EDC"/>
    <w:rsid w:val="0015208F"/>
    <w:rsid w:val="00152425"/>
    <w:rsid w:val="00152633"/>
    <w:rsid w:val="00152C83"/>
    <w:rsid w:val="00152D2B"/>
    <w:rsid w:val="00152F6F"/>
    <w:rsid w:val="00152F9F"/>
    <w:rsid w:val="0015316D"/>
    <w:rsid w:val="00153488"/>
    <w:rsid w:val="00153539"/>
    <w:rsid w:val="0015392E"/>
    <w:rsid w:val="00153B74"/>
    <w:rsid w:val="00153C50"/>
    <w:rsid w:val="0015406C"/>
    <w:rsid w:val="00154240"/>
    <w:rsid w:val="00154246"/>
    <w:rsid w:val="001542EB"/>
    <w:rsid w:val="00154658"/>
    <w:rsid w:val="001546A4"/>
    <w:rsid w:val="00154A49"/>
    <w:rsid w:val="00154B39"/>
    <w:rsid w:val="00154CB1"/>
    <w:rsid w:val="00154E43"/>
    <w:rsid w:val="0015505B"/>
    <w:rsid w:val="0015514B"/>
    <w:rsid w:val="001555C6"/>
    <w:rsid w:val="001557C6"/>
    <w:rsid w:val="00155851"/>
    <w:rsid w:val="00155963"/>
    <w:rsid w:val="00155C44"/>
    <w:rsid w:val="00155D58"/>
    <w:rsid w:val="00156216"/>
    <w:rsid w:val="0015664B"/>
    <w:rsid w:val="00156DCD"/>
    <w:rsid w:val="00156F6B"/>
    <w:rsid w:val="00157341"/>
    <w:rsid w:val="00157490"/>
    <w:rsid w:val="0015750E"/>
    <w:rsid w:val="0015758B"/>
    <w:rsid w:val="0015784A"/>
    <w:rsid w:val="00157C58"/>
    <w:rsid w:val="00157D08"/>
    <w:rsid w:val="00157D61"/>
    <w:rsid w:val="00160087"/>
    <w:rsid w:val="00160316"/>
    <w:rsid w:val="00160883"/>
    <w:rsid w:val="00160A5A"/>
    <w:rsid w:val="00161226"/>
    <w:rsid w:val="0016143E"/>
    <w:rsid w:val="0016165E"/>
    <w:rsid w:val="001616FE"/>
    <w:rsid w:val="001617C2"/>
    <w:rsid w:val="001618D4"/>
    <w:rsid w:val="00161975"/>
    <w:rsid w:val="00161D44"/>
    <w:rsid w:val="00161E76"/>
    <w:rsid w:val="00162085"/>
    <w:rsid w:val="00162472"/>
    <w:rsid w:val="001625D6"/>
    <w:rsid w:val="00162676"/>
    <w:rsid w:val="001629F1"/>
    <w:rsid w:val="00162A8F"/>
    <w:rsid w:val="00162D0B"/>
    <w:rsid w:val="00162D4F"/>
    <w:rsid w:val="00162E53"/>
    <w:rsid w:val="0016313B"/>
    <w:rsid w:val="00163950"/>
    <w:rsid w:val="001639DB"/>
    <w:rsid w:val="00163E9E"/>
    <w:rsid w:val="00163EDE"/>
    <w:rsid w:val="00164303"/>
    <w:rsid w:val="001644CD"/>
    <w:rsid w:val="00164501"/>
    <w:rsid w:val="001646CD"/>
    <w:rsid w:val="00164735"/>
    <w:rsid w:val="00164932"/>
    <w:rsid w:val="0016517C"/>
    <w:rsid w:val="00165315"/>
    <w:rsid w:val="001654C5"/>
    <w:rsid w:val="00165758"/>
    <w:rsid w:val="00165A2F"/>
    <w:rsid w:val="00165A56"/>
    <w:rsid w:val="00165C29"/>
    <w:rsid w:val="0016634A"/>
    <w:rsid w:val="001663EC"/>
    <w:rsid w:val="0016663A"/>
    <w:rsid w:val="00166A3E"/>
    <w:rsid w:val="00166A97"/>
    <w:rsid w:val="00166A99"/>
    <w:rsid w:val="00166D4E"/>
    <w:rsid w:val="0016710D"/>
    <w:rsid w:val="0016744F"/>
    <w:rsid w:val="001674D9"/>
    <w:rsid w:val="0016786A"/>
    <w:rsid w:val="00167ABB"/>
    <w:rsid w:val="00167D9C"/>
    <w:rsid w:val="00170007"/>
    <w:rsid w:val="001700E6"/>
    <w:rsid w:val="00170212"/>
    <w:rsid w:val="001709AA"/>
    <w:rsid w:val="001709CF"/>
    <w:rsid w:val="00170A3E"/>
    <w:rsid w:val="00170B75"/>
    <w:rsid w:val="00170CA2"/>
    <w:rsid w:val="00170CF2"/>
    <w:rsid w:val="00170D0D"/>
    <w:rsid w:val="0017117B"/>
    <w:rsid w:val="001716E2"/>
    <w:rsid w:val="001717AE"/>
    <w:rsid w:val="00171EF6"/>
    <w:rsid w:val="00171F65"/>
    <w:rsid w:val="00172137"/>
    <w:rsid w:val="00172194"/>
    <w:rsid w:val="001721F5"/>
    <w:rsid w:val="001723C1"/>
    <w:rsid w:val="001726DE"/>
    <w:rsid w:val="0017306A"/>
    <w:rsid w:val="0017306E"/>
    <w:rsid w:val="00173441"/>
    <w:rsid w:val="0017353A"/>
    <w:rsid w:val="001736EE"/>
    <w:rsid w:val="001739E7"/>
    <w:rsid w:val="00173C85"/>
    <w:rsid w:val="00173DA7"/>
    <w:rsid w:val="00173FC2"/>
    <w:rsid w:val="00173FF3"/>
    <w:rsid w:val="00174027"/>
    <w:rsid w:val="00174104"/>
    <w:rsid w:val="0017453C"/>
    <w:rsid w:val="00174C02"/>
    <w:rsid w:val="00174CEC"/>
    <w:rsid w:val="00174E87"/>
    <w:rsid w:val="00174F4B"/>
    <w:rsid w:val="001752D4"/>
    <w:rsid w:val="00175317"/>
    <w:rsid w:val="001753DF"/>
    <w:rsid w:val="001758CA"/>
    <w:rsid w:val="00175A94"/>
    <w:rsid w:val="00175AFD"/>
    <w:rsid w:val="00175BB9"/>
    <w:rsid w:val="00176437"/>
    <w:rsid w:val="001765E0"/>
    <w:rsid w:val="00176668"/>
    <w:rsid w:val="00176897"/>
    <w:rsid w:val="00176B54"/>
    <w:rsid w:val="00176BE0"/>
    <w:rsid w:val="00176C76"/>
    <w:rsid w:val="00176C83"/>
    <w:rsid w:val="00176D3B"/>
    <w:rsid w:val="00176D46"/>
    <w:rsid w:val="0017731B"/>
    <w:rsid w:val="0017734C"/>
    <w:rsid w:val="001777D4"/>
    <w:rsid w:val="00177C8A"/>
    <w:rsid w:val="00177D35"/>
    <w:rsid w:val="00177E53"/>
    <w:rsid w:val="00177EA3"/>
    <w:rsid w:val="001804B4"/>
    <w:rsid w:val="001805B8"/>
    <w:rsid w:val="001806DC"/>
    <w:rsid w:val="00180897"/>
    <w:rsid w:val="00180AB2"/>
    <w:rsid w:val="00180B42"/>
    <w:rsid w:val="00180C65"/>
    <w:rsid w:val="00180DC2"/>
    <w:rsid w:val="001814FE"/>
    <w:rsid w:val="0018162C"/>
    <w:rsid w:val="001817DC"/>
    <w:rsid w:val="001818D0"/>
    <w:rsid w:val="00181929"/>
    <w:rsid w:val="00181BBF"/>
    <w:rsid w:val="00181D65"/>
    <w:rsid w:val="00181DB6"/>
    <w:rsid w:val="00181FC2"/>
    <w:rsid w:val="0018202C"/>
    <w:rsid w:val="001822CA"/>
    <w:rsid w:val="00182719"/>
    <w:rsid w:val="00182B29"/>
    <w:rsid w:val="00182B3E"/>
    <w:rsid w:val="00182E9D"/>
    <w:rsid w:val="001833B5"/>
    <w:rsid w:val="001835C8"/>
    <w:rsid w:val="001837B7"/>
    <w:rsid w:val="00183CF6"/>
    <w:rsid w:val="00183F19"/>
    <w:rsid w:val="001843A4"/>
    <w:rsid w:val="00184509"/>
    <w:rsid w:val="00184C6A"/>
    <w:rsid w:val="00184CFE"/>
    <w:rsid w:val="00184ECF"/>
    <w:rsid w:val="00184EEB"/>
    <w:rsid w:val="00184EF2"/>
    <w:rsid w:val="00184F44"/>
    <w:rsid w:val="00185129"/>
    <w:rsid w:val="001851B6"/>
    <w:rsid w:val="00185222"/>
    <w:rsid w:val="0018523F"/>
    <w:rsid w:val="001853AC"/>
    <w:rsid w:val="00185F3A"/>
    <w:rsid w:val="00185F8F"/>
    <w:rsid w:val="00186371"/>
    <w:rsid w:val="00186681"/>
    <w:rsid w:val="00186B40"/>
    <w:rsid w:val="00187005"/>
    <w:rsid w:val="00187577"/>
    <w:rsid w:val="001876C5"/>
    <w:rsid w:val="00187BFC"/>
    <w:rsid w:val="0018D06F"/>
    <w:rsid w:val="001901BE"/>
    <w:rsid w:val="0019041D"/>
    <w:rsid w:val="0019050E"/>
    <w:rsid w:val="001905C1"/>
    <w:rsid w:val="00190D00"/>
    <w:rsid w:val="00190DA8"/>
    <w:rsid w:val="00191135"/>
    <w:rsid w:val="001913D0"/>
    <w:rsid w:val="001914E9"/>
    <w:rsid w:val="00191690"/>
    <w:rsid w:val="001916DB"/>
    <w:rsid w:val="00191764"/>
    <w:rsid w:val="00191839"/>
    <w:rsid w:val="00191A38"/>
    <w:rsid w:val="00191B2F"/>
    <w:rsid w:val="00191DE8"/>
    <w:rsid w:val="00191E71"/>
    <w:rsid w:val="00191EFF"/>
    <w:rsid w:val="00191F42"/>
    <w:rsid w:val="00192166"/>
    <w:rsid w:val="00192818"/>
    <w:rsid w:val="001929C1"/>
    <w:rsid w:val="00192A96"/>
    <w:rsid w:val="00192D71"/>
    <w:rsid w:val="00192E21"/>
    <w:rsid w:val="00192E83"/>
    <w:rsid w:val="001931C4"/>
    <w:rsid w:val="001935A7"/>
    <w:rsid w:val="0019370A"/>
    <w:rsid w:val="001939E2"/>
    <w:rsid w:val="00193C06"/>
    <w:rsid w:val="00193EF4"/>
    <w:rsid w:val="001940D0"/>
    <w:rsid w:val="001940D7"/>
    <w:rsid w:val="00194541"/>
    <w:rsid w:val="0019465B"/>
    <w:rsid w:val="00194718"/>
    <w:rsid w:val="001948B1"/>
    <w:rsid w:val="001948DE"/>
    <w:rsid w:val="00194E12"/>
    <w:rsid w:val="00195161"/>
    <w:rsid w:val="001954AC"/>
    <w:rsid w:val="0019597F"/>
    <w:rsid w:val="001959BA"/>
    <w:rsid w:val="00195B6E"/>
    <w:rsid w:val="00195C08"/>
    <w:rsid w:val="00195C93"/>
    <w:rsid w:val="001961A0"/>
    <w:rsid w:val="00196B2D"/>
    <w:rsid w:val="00196B7B"/>
    <w:rsid w:val="00196D60"/>
    <w:rsid w:val="00196D6B"/>
    <w:rsid w:val="00196EE5"/>
    <w:rsid w:val="001973C2"/>
    <w:rsid w:val="00197605"/>
    <w:rsid w:val="001976DF"/>
    <w:rsid w:val="001977F3"/>
    <w:rsid w:val="00197844"/>
    <w:rsid w:val="00197856"/>
    <w:rsid w:val="0019793B"/>
    <w:rsid w:val="00197A4B"/>
    <w:rsid w:val="00197FBC"/>
    <w:rsid w:val="001A0248"/>
    <w:rsid w:val="001A02B2"/>
    <w:rsid w:val="001A03E9"/>
    <w:rsid w:val="001A0796"/>
    <w:rsid w:val="001A0851"/>
    <w:rsid w:val="001A09AC"/>
    <w:rsid w:val="001A0D2D"/>
    <w:rsid w:val="001A0E22"/>
    <w:rsid w:val="001A120E"/>
    <w:rsid w:val="001A1665"/>
    <w:rsid w:val="001A171B"/>
    <w:rsid w:val="001A1897"/>
    <w:rsid w:val="001A1BF2"/>
    <w:rsid w:val="001A1DB4"/>
    <w:rsid w:val="001A2235"/>
    <w:rsid w:val="001A2317"/>
    <w:rsid w:val="001A25ED"/>
    <w:rsid w:val="001A2650"/>
    <w:rsid w:val="001A2E19"/>
    <w:rsid w:val="001A3127"/>
    <w:rsid w:val="001A350F"/>
    <w:rsid w:val="001A368B"/>
    <w:rsid w:val="001A3BFF"/>
    <w:rsid w:val="001A3D7D"/>
    <w:rsid w:val="001A449F"/>
    <w:rsid w:val="001A4592"/>
    <w:rsid w:val="001A4652"/>
    <w:rsid w:val="001A469A"/>
    <w:rsid w:val="001A4731"/>
    <w:rsid w:val="001A48A7"/>
    <w:rsid w:val="001A4BA4"/>
    <w:rsid w:val="001A4F1B"/>
    <w:rsid w:val="001A4F76"/>
    <w:rsid w:val="001A509C"/>
    <w:rsid w:val="001A5396"/>
    <w:rsid w:val="001A547A"/>
    <w:rsid w:val="001A554A"/>
    <w:rsid w:val="001A56F4"/>
    <w:rsid w:val="001A575C"/>
    <w:rsid w:val="001A58A0"/>
    <w:rsid w:val="001A5ED6"/>
    <w:rsid w:val="001A61C9"/>
    <w:rsid w:val="001A62A9"/>
    <w:rsid w:val="001A633A"/>
    <w:rsid w:val="001A6B4E"/>
    <w:rsid w:val="001A6D6B"/>
    <w:rsid w:val="001A6DEF"/>
    <w:rsid w:val="001A7182"/>
    <w:rsid w:val="001A7250"/>
    <w:rsid w:val="001A7285"/>
    <w:rsid w:val="001A7413"/>
    <w:rsid w:val="001A75C8"/>
    <w:rsid w:val="001A7602"/>
    <w:rsid w:val="001A789A"/>
    <w:rsid w:val="001A7ADA"/>
    <w:rsid w:val="001A7D85"/>
    <w:rsid w:val="001A7EDD"/>
    <w:rsid w:val="001A7F7D"/>
    <w:rsid w:val="001AE2AC"/>
    <w:rsid w:val="001B02E5"/>
    <w:rsid w:val="001B0364"/>
    <w:rsid w:val="001B0391"/>
    <w:rsid w:val="001B03E0"/>
    <w:rsid w:val="001B04C7"/>
    <w:rsid w:val="001B050C"/>
    <w:rsid w:val="001B0599"/>
    <w:rsid w:val="001B069D"/>
    <w:rsid w:val="001B06E9"/>
    <w:rsid w:val="001B08CE"/>
    <w:rsid w:val="001B0F72"/>
    <w:rsid w:val="001B11AF"/>
    <w:rsid w:val="001B135F"/>
    <w:rsid w:val="001B161B"/>
    <w:rsid w:val="001B1BDB"/>
    <w:rsid w:val="001B1EAC"/>
    <w:rsid w:val="001B223B"/>
    <w:rsid w:val="001B248C"/>
    <w:rsid w:val="001B24C4"/>
    <w:rsid w:val="001B25CE"/>
    <w:rsid w:val="001B2717"/>
    <w:rsid w:val="001B2B19"/>
    <w:rsid w:val="001B2B32"/>
    <w:rsid w:val="001B2BDF"/>
    <w:rsid w:val="001B2D34"/>
    <w:rsid w:val="001B2FAD"/>
    <w:rsid w:val="001B337C"/>
    <w:rsid w:val="001B3396"/>
    <w:rsid w:val="001B3420"/>
    <w:rsid w:val="001B34AE"/>
    <w:rsid w:val="001B3667"/>
    <w:rsid w:val="001B38EF"/>
    <w:rsid w:val="001B3B40"/>
    <w:rsid w:val="001B4176"/>
    <w:rsid w:val="001B41D1"/>
    <w:rsid w:val="001B4325"/>
    <w:rsid w:val="001B43A1"/>
    <w:rsid w:val="001B4437"/>
    <w:rsid w:val="001B4B2F"/>
    <w:rsid w:val="001B4E45"/>
    <w:rsid w:val="001B4ED3"/>
    <w:rsid w:val="001B50D2"/>
    <w:rsid w:val="001B5139"/>
    <w:rsid w:val="001B5279"/>
    <w:rsid w:val="001B52DC"/>
    <w:rsid w:val="001B53B1"/>
    <w:rsid w:val="001B53E0"/>
    <w:rsid w:val="001B5698"/>
    <w:rsid w:val="001B587B"/>
    <w:rsid w:val="001B5C4E"/>
    <w:rsid w:val="001B5E22"/>
    <w:rsid w:val="001B6012"/>
    <w:rsid w:val="001B6195"/>
    <w:rsid w:val="001B62D0"/>
    <w:rsid w:val="001B6585"/>
    <w:rsid w:val="001B6650"/>
    <w:rsid w:val="001B7473"/>
    <w:rsid w:val="001B7B72"/>
    <w:rsid w:val="001B7D7B"/>
    <w:rsid w:val="001C0206"/>
    <w:rsid w:val="001C027F"/>
    <w:rsid w:val="001C07BC"/>
    <w:rsid w:val="001C1012"/>
    <w:rsid w:val="001C11C2"/>
    <w:rsid w:val="001C15D9"/>
    <w:rsid w:val="001C16D9"/>
    <w:rsid w:val="001C176E"/>
    <w:rsid w:val="001C187F"/>
    <w:rsid w:val="001C1AF2"/>
    <w:rsid w:val="001C1F6C"/>
    <w:rsid w:val="001C2014"/>
    <w:rsid w:val="001C2366"/>
    <w:rsid w:val="001C2406"/>
    <w:rsid w:val="001C2492"/>
    <w:rsid w:val="001C257E"/>
    <w:rsid w:val="001C2BDA"/>
    <w:rsid w:val="001C2C83"/>
    <w:rsid w:val="001C2D45"/>
    <w:rsid w:val="001C2FBB"/>
    <w:rsid w:val="001C30B8"/>
    <w:rsid w:val="001C3204"/>
    <w:rsid w:val="001C37AD"/>
    <w:rsid w:val="001C386D"/>
    <w:rsid w:val="001C4367"/>
    <w:rsid w:val="001C43E4"/>
    <w:rsid w:val="001C471D"/>
    <w:rsid w:val="001C47B5"/>
    <w:rsid w:val="001C4819"/>
    <w:rsid w:val="001C4915"/>
    <w:rsid w:val="001C4B31"/>
    <w:rsid w:val="001C4BEB"/>
    <w:rsid w:val="001C5378"/>
    <w:rsid w:val="001C570B"/>
    <w:rsid w:val="001C57AC"/>
    <w:rsid w:val="001C58A4"/>
    <w:rsid w:val="001C5D3D"/>
    <w:rsid w:val="001C5F66"/>
    <w:rsid w:val="001C5F6F"/>
    <w:rsid w:val="001C6109"/>
    <w:rsid w:val="001C6276"/>
    <w:rsid w:val="001C6296"/>
    <w:rsid w:val="001C62E6"/>
    <w:rsid w:val="001C6484"/>
    <w:rsid w:val="001C652D"/>
    <w:rsid w:val="001C6579"/>
    <w:rsid w:val="001C65D6"/>
    <w:rsid w:val="001C6895"/>
    <w:rsid w:val="001C6AA7"/>
    <w:rsid w:val="001C6C17"/>
    <w:rsid w:val="001C70B4"/>
    <w:rsid w:val="001C70F4"/>
    <w:rsid w:val="001C776A"/>
    <w:rsid w:val="001C7824"/>
    <w:rsid w:val="001C7AA6"/>
    <w:rsid w:val="001C7D9A"/>
    <w:rsid w:val="001D00A3"/>
    <w:rsid w:val="001D0171"/>
    <w:rsid w:val="001D01C4"/>
    <w:rsid w:val="001D0264"/>
    <w:rsid w:val="001D0CB1"/>
    <w:rsid w:val="001D0DFA"/>
    <w:rsid w:val="001D0E56"/>
    <w:rsid w:val="001D1080"/>
    <w:rsid w:val="001D12E9"/>
    <w:rsid w:val="001D1494"/>
    <w:rsid w:val="001D164B"/>
    <w:rsid w:val="001D1A2D"/>
    <w:rsid w:val="001D1B6C"/>
    <w:rsid w:val="001D1B84"/>
    <w:rsid w:val="001D1BD6"/>
    <w:rsid w:val="001D200E"/>
    <w:rsid w:val="001D2084"/>
    <w:rsid w:val="001D2587"/>
    <w:rsid w:val="001D26D3"/>
    <w:rsid w:val="001D2796"/>
    <w:rsid w:val="001D2834"/>
    <w:rsid w:val="001D2F0F"/>
    <w:rsid w:val="001D3153"/>
    <w:rsid w:val="001D37CB"/>
    <w:rsid w:val="001D3976"/>
    <w:rsid w:val="001D4019"/>
    <w:rsid w:val="001D428E"/>
    <w:rsid w:val="001D4407"/>
    <w:rsid w:val="001D47DA"/>
    <w:rsid w:val="001D4867"/>
    <w:rsid w:val="001D4BD9"/>
    <w:rsid w:val="001D4F0F"/>
    <w:rsid w:val="001D5004"/>
    <w:rsid w:val="001D5052"/>
    <w:rsid w:val="001D50AC"/>
    <w:rsid w:val="001D531C"/>
    <w:rsid w:val="001D54EE"/>
    <w:rsid w:val="001D5A2A"/>
    <w:rsid w:val="001D5B06"/>
    <w:rsid w:val="001D5D00"/>
    <w:rsid w:val="001D5DBB"/>
    <w:rsid w:val="001D66B2"/>
    <w:rsid w:val="001D676F"/>
    <w:rsid w:val="001D6DF5"/>
    <w:rsid w:val="001D6FB8"/>
    <w:rsid w:val="001D715D"/>
    <w:rsid w:val="001D74D4"/>
    <w:rsid w:val="001D77B0"/>
    <w:rsid w:val="001D79EB"/>
    <w:rsid w:val="001D7B38"/>
    <w:rsid w:val="001D7E90"/>
    <w:rsid w:val="001D7EF0"/>
    <w:rsid w:val="001D7FC2"/>
    <w:rsid w:val="001E0382"/>
    <w:rsid w:val="001E06BB"/>
    <w:rsid w:val="001E090D"/>
    <w:rsid w:val="001E0C54"/>
    <w:rsid w:val="001E0D5B"/>
    <w:rsid w:val="001E1648"/>
    <w:rsid w:val="001E172D"/>
    <w:rsid w:val="001E17BD"/>
    <w:rsid w:val="001E1B03"/>
    <w:rsid w:val="001E1CB3"/>
    <w:rsid w:val="001E1EED"/>
    <w:rsid w:val="001E2215"/>
    <w:rsid w:val="001E243B"/>
    <w:rsid w:val="001E2792"/>
    <w:rsid w:val="001E2819"/>
    <w:rsid w:val="001E298D"/>
    <w:rsid w:val="001E347C"/>
    <w:rsid w:val="001E361E"/>
    <w:rsid w:val="001E3B95"/>
    <w:rsid w:val="001E3CA1"/>
    <w:rsid w:val="001E3D7E"/>
    <w:rsid w:val="001E3FA3"/>
    <w:rsid w:val="001E4668"/>
    <w:rsid w:val="001E46DE"/>
    <w:rsid w:val="001E4DFB"/>
    <w:rsid w:val="001E5001"/>
    <w:rsid w:val="001E54F3"/>
    <w:rsid w:val="001E5521"/>
    <w:rsid w:val="001E5860"/>
    <w:rsid w:val="001E5C94"/>
    <w:rsid w:val="001E5D6C"/>
    <w:rsid w:val="001E60D9"/>
    <w:rsid w:val="001E6378"/>
    <w:rsid w:val="001E650D"/>
    <w:rsid w:val="001E65FA"/>
    <w:rsid w:val="001E6700"/>
    <w:rsid w:val="001E673E"/>
    <w:rsid w:val="001E697E"/>
    <w:rsid w:val="001E6D40"/>
    <w:rsid w:val="001E6F88"/>
    <w:rsid w:val="001E6FEF"/>
    <w:rsid w:val="001E77C4"/>
    <w:rsid w:val="001E7AF1"/>
    <w:rsid w:val="001F0109"/>
    <w:rsid w:val="001F0250"/>
    <w:rsid w:val="001F02F6"/>
    <w:rsid w:val="001F03CE"/>
    <w:rsid w:val="001F067A"/>
    <w:rsid w:val="001F081A"/>
    <w:rsid w:val="001F0D1A"/>
    <w:rsid w:val="001F0F28"/>
    <w:rsid w:val="001F1046"/>
    <w:rsid w:val="001F1195"/>
    <w:rsid w:val="001F11B9"/>
    <w:rsid w:val="001F11E4"/>
    <w:rsid w:val="001F12A5"/>
    <w:rsid w:val="001F13CF"/>
    <w:rsid w:val="001F1467"/>
    <w:rsid w:val="001F15D6"/>
    <w:rsid w:val="001F16FC"/>
    <w:rsid w:val="001F191D"/>
    <w:rsid w:val="001F1A9B"/>
    <w:rsid w:val="001F1E4A"/>
    <w:rsid w:val="001F1FB6"/>
    <w:rsid w:val="001F2091"/>
    <w:rsid w:val="001F2135"/>
    <w:rsid w:val="001F2194"/>
    <w:rsid w:val="001F2393"/>
    <w:rsid w:val="001F239F"/>
    <w:rsid w:val="001F2890"/>
    <w:rsid w:val="001F2B53"/>
    <w:rsid w:val="001F2CA3"/>
    <w:rsid w:val="001F33F0"/>
    <w:rsid w:val="001F33FB"/>
    <w:rsid w:val="001F3406"/>
    <w:rsid w:val="001F344B"/>
    <w:rsid w:val="001F3544"/>
    <w:rsid w:val="001F3761"/>
    <w:rsid w:val="001F399B"/>
    <w:rsid w:val="001F3BBB"/>
    <w:rsid w:val="001F3DC9"/>
    <w:rsid w:val="001F417E"/>
    <w:rsid w:val="001F447E"/>
    <w:rsid w:val="001F44F6"/>
    <w:rsid w:val="001F45D3"/>
    <w:rsid w:val="001F4861"/>
    <w:rsid w:val="001F495E"/>
    <w:rsid w:val="001F4C3A"/>
    <w:rsid w:val="001F4F27"/>
    <w:rsid w:val="001F501C"/>
    <w:rsid w:val="001F50BA"/>
    <w:rsid w:val="001F5188"/>
    <w:rsid w:val="001F5214"/>
    <w:rsid w:val="001F522B"/>
    <w:rsid w:val="001F538C"/>
    <w:rsid w:val="001F54A3"/>
    <w:rsid w:val="001F582C"/>
    <w:rsid w:val="001F5BB1"/>
    <w:rsid w:val="001F5D5D"/>
    <w:rsid w:val="001F5D8A"/>
    <w:rsid w:val="001F5E30"/>
    <w:rsid w:val="001F60B0"/>
    <w:rsid w:val="001F639D"/>
    <w:rsid w:val="001F685D"/>
    <w:rsid w:val="001F6923"/>
    <w:rsid w:val="001F6927"/>
    <w:rsid w:val="001F6A12"/>
    <w:rsid w:val="001F6C69"/>
    <w:rsid w:val="001F7351"/>
    <w:rsid w:val="001F7AC7"/>
    <w:rsid w:val="001F7DE4"/>
    <w:rsid w:val="001F7F99"/>
    <w:rsid w:val="00200A5B"/>
    <w:rsid w:val="00200E29"/>
    <w:rsid w:val="00201201"/>
    <w:rsid w:val="00201210"/>
    <w:rsid w:val="002012E3"/>
    <w:rsid w:val="0020152A"/>
    <w:rsid w:val="00201599"/>
    <w:rsid w:val="00201784"/>
    <w:rsid w:val="002017E6"/>
    <w:rsid w:val="00201DBD"/>
    <w:rsid w:val="00201EE7"/>
    <w:rsid w:val="00201F2E"/>
    <w:rsid w:val="0020201B"/>
    <w:rsid w:val="00202041"/>
    <w:rsid w:val="0020228C"/>
    <w:rsid w:val="002022E8"/>
    <w:rsid w:val="00202436"/>
    <w:rsid w:val="002025C0"/>
    <w:rsid w:val="0020261F"/>
    <w:rsid w:val="002028A8"/>
    <w:rsid w:val="00202AEF"/>
    <w:rsid w:val="00202B39"/>
    <w:rsid w:val="00202E0B"/>
    <w:rsid w:val="0020303C"/>
    <w:rsid w:val="0020339D"/>
    <w:rsid w:val="00203485"/>
    <w:rsid w:val="00203923"/>
    <w:rsid w:val="00203946"/>
    <w:rsid w:val="0020397C"/>
    <w:rsid w:val="00203BFC"/>
    <w:rsid w:val="00203E61"/>
    <w:rsid w:val="00203F27"/>
    <w:rsid w:val="00203F59"/>
    <w:rsid w:val="002040DC"/>
    <w:rsid w:val="00204186"/>
    <w:rsid w:val="002043BB"/>
    <w:rsid w:val="00204F7A"/>
    <w:rsid w:val="002050A1"/>
    <w:rsid w:val="0020517B"/>
    <w:rsid w:val="0020558B"/>
    <w:rsid w:val="002055E6"/>
    <w:rsid w:val="002058A7"/>
    <w:rsid w:val="00205942"/>
    <w:rsid w:val="002059B6"/>
    <w:rsid w:val="00206090"/>
    <w:rsid w:val="002061FD"/>
    <w:rsid w:val="0020620C"/>
    <w:rsid w:val="002062FD"/>
    <w:rsid w:val="00206344"/>
    <w:rsid w:val="00206548"/>
    <w:rsid w:val="002065D7"/>
    <w:rsid w:val="0020697E"/>
    <w:rsid w:val="00206E9E"/>
    <w:rsid w:val="0020714F"/>
    <w:rsid w:val="0020730E"/>
    <w:rsid w:val="002074FD"/>
    <w:rsid w:val="00207967"/>
    <w:rsid w:val="002100EB"/>
    <w:rsid w:val="002103E7"/>
    <w:rsid w:val="00210758"/>
    <w:rsid w:val="0021093E"/>
    <w:rsid w:val="00210A3E"/>
    <w:rsid w:val="00210EA9"/>
    <w:rsid w:val="002111EC"/>
    <w:rsid w:val="00211401"/>
    <w:rsid w:val="002119CE"/>
    <w:rsid w:val="00211CF4"/>
    <w:rsid w:val="00212328"/>
    <w:rsid w:val="00212411"/>
    <w:rsid w:val="0021257C"/>
    <w:rsid w:val="002129A7"/>
    <w:rsid w:val="00212ABD"/>
    <w:rsid w:val="00212DAE"/>
    <w:rsid w:val="00212DB0"/>
    <w:rsid w:val="00212F2B"/>
    <w:rsid w:val="0021351F"/>
    <w:rsid w:val="00213678"/>
    <w:rsid w:val="002137EA"/>
    <w:rsid w:val="00213BD3"/>
    <w:rsid w:val="00213C52"/>
    <w:rsid w:val="00213E23"/>
    <w:rsid w:val="00214149"/>
    <w:rsid w:val="0021434C"/>
    <w:rsid w:val="0021447D"/>
    <w:rsid w:val="0021467C"/>
    <w:rsid w:val="00214701"/>
    <w:rsid w:val="00214A1F"/>
    <w:rsid w:val="00214C15"/>
    <w:rsid w:val="00214C4B"/>
    <w:rsid w:val="00214CEE"/>
    <w:rsid w:val="00214DCA"/>
    <w:rsid w:val="0021500B"/>
    <w:rsid w:val="0021507F"/>
    <w:rsid w:val="00215147"/>
    <w:rsid w:val="00215247"/>
    <w:rsid w:val="002153F9"/>
    <w:rsid w:val="0021556A"/>
    <w:rsid w:val="0021565F"/>
    <w:rsid w:val="00215723"/>
    <w:rsid w:val="0021592C"/>
    <w:rsid w:val="00215C74"/>
    <w:rsid w:val="00216096"/>
    <w:rsid w:val="002161DC"/>
    <w:rsid w:val="0021647A"/>
    <w:rsid w:val="0021662B"/>
    <w:rsid w:val="0021674D"/>
    <w:rsid w:val="002167BC"/>
    <w:rsid w:val="0021691B"/>
    <w:rsid w:val="002169EF"/>
    <w:rsid w:val="00216B5C"/>
    <w:rsid w:val="00216D01"/>
    <w:rsid w:val="00216DB1"/>
    <w:rsid w:val="00216F93"/>
    <w:rsid w:val="00216FAB"/>
    <w:rsid w:val="00217084"/>
    <w:rsid w:val="002172F7"/>
    <w:rsid w:val="002173B8"/>
    <w:rsid w:val="00217437"/>
    <w:rsid w:val="002176C5"/>
    <w:rsid w:val="002178AC"/>
    <w:rsid w:val="002179B7"/>
    <w:rsid w:val="00217B20"/>
    <w:rsid w:val="00217BF0"/>
    <w:rsid w:val="00217D58"/>
    <w:rsid w:val="00217E85"/>
    <w:rsid w:val="00217F32"/>
    <w:rsid w:val="00217F7A"/>
    <w:rsid w:val="0021E8F1"/>
    <w:rsid w:val="0022001C"/>
    <w:rsid w:val="00220111"/>
    <w:rsid w:val="00220235"/>
    <w:rsid w:val="0022063E"/>
    <w:rsid w:val="002208A0"/>
    <w:rsid w:val="00220AE5"/>
    <w:rsid w:val="00220CAB"/>
    <w:rsid w:val="00220CCA"/>
    <w:rsid w:val="00220EEB"/>
    <w:rsid w:val="00220EF8"/>
    <w:rsid w:val="00221470"/>
    <w:rsid w:val="00221542"/>
    <w:rsid w:val="00221AF6"/>
    <w:rsid w:val="002221EE"/>
    <w:rsid w:val="002223BD"/>
    <w:rsid w:val="002225A3"/>
    <w:rsid w:val="002225BC"/>
    <w:rsid w:val="002225FE"/>
    <w:rsid w:val="00222621"/>
    <w:rsid w:val="00222898"/>
    <w:rsid w:val="00222C51"/>
    <w:rsid w:val="00222E74"/>
    <w:rsid w:val="00222E8C"/>
    <w:rsid w:val="00222E90"/>
    <w:rsid w:val="00223018"/>
    <w:rsid w:val="002230FB"/>
    <w:rsid w:val="00223595"/>
    <w:rsid w:val="002238EC"/>
    <w:rsid w:val="002238F3"/>
    <w:rsid w:val="00223907"/>
    <w:rsid w:val="00223A98"/>
    <w:rsid w:val="00223C69"/>
    <w:rsid w:val="00223D79"/>
    <w:rsid w:val="00223E85"/>
    <w:rsid w:val="00223FB9"/>
    <w:rsid w:val="00223FF7"/>
    <w:rsid w:val="0022447F"/>
    <w:rsid w:val="00224556"/>
    <w:rsid w:val="00224584"/>
    <w:rsid w:val="002246EF"/>
    <w:rsid w:val="002248C1"/>
    <w:rsid w:val="00224960"/>
    <w:rsid w:val="00224AB5"/>
    <w:rsid w:val="00224B00"/>
    <w:rsid w:val="00224B50"/>
    <w:rsid w:val="00224D97"/>
    <w:rsid w:val="00224D98"/>
    <w:rsid w:val="002251C4"/>
    <w:rsid w:val="00225668"/>
    <w:rsid w:val="00225889"/>
    <w:rsid w:val="00225C57"/>
    <w:rsid w:val="00225D23"/>
    <w:rsid w:val="00225FA3"/>
    <w:rsid w:val="002265DC"/>
    <w:rsid w:val="00226CD3"/>
    <w:rsid w:val="00226D8A"/>
    <w:rsid w:val="00227030"/>
    <w:rsid w:val="002271F8"/>
    <w:rsid w:val="00227204"/>
    <w:rsid w:val="0022758E"/>
    <w:rsid w:val="0022763D"/>
    <w:rsid w:val="00227905"/>
    <w:rsid w:val="00227E7A"/>
    <w:rsid w:val="00227E96"/>
    <w:rsid w:val="00227EF4"/>
    <w:rsid w:val="00230216"/>
    <w:rsid w:val="0023044B"/>
    <w:rsid w:val="002309F6"/>
    <w:rsid w:val="00230BE8"/>
    <w:rsid w:val="002310F9"/>
    <w:rsid w:val="0023145E"/>
    <w:rsid w:val="00231512"/>
    <w:rsid w:val="002315A7"/>
    <w:rsid w:val="00231AC7"/>
    <w:rsid w:val="00231ED1"/>
    <w:rsid w:val="00232338"/>
    <w:rsid w:val="00232349"/>
    <w:rsid w:val="00232389"/>
    <w:rsid w:val="00232B19"/>
    <w:rsid w:val="00232BF8"/>
    <w:rsid w:val="00232C53"/>
    <w:rsid w:val="00233041"/>
    <w:rsid w:val="00233428"/>
    <w:rsid w:val="00233567"/>
    <w:rsid w:val="002335DF"/>
    <w:rsid w:val="002337D4"/>
    <w:rsid w:val="002337D5"/>
    <w:rsid w:val="00233A51"/>
    <w:rsid w:val="00234249"/>
    <w:rsid w:val="00234395"/>
    <w:rsid w:val="002347A7"/>
    <w:rsid w:val="00234971"/>
    <w:rsid w:val="00234B42"/>
    <w:rsid w:val="00235579"/>
    <w:rsid w:val="002357BD"/>
    <w:rsid w:val="0023585B"/>
    <w:rsid w:val="0023586C"/>
    <w:rsid w:val="00235926"/>
    <w:rsid w:val="00235A73"/>
    <w:rsid w:val="002361B6"/>
    <w:rsid w:val="0023686D"/>
    <w:rsid w:val="00236EED"/>
    <w:rsid w:val="002372F9"/>
    <w:rsid w:val="00237326"/>
    <w:rsid w:val="00237580"/>
    <w:rsid w:val="00237984"/>
    <w:rsid w:val="00237C4E"/>
    <w:rsid w:val="00237E80"/>
    <w:rsid w:val="00237F2B"/>
    <w:rsid w:val="00240175"/>
    <w:rsid w:val="00240379"/>
    <w:rsid w:val="00240486"/>
    <w:rsid w:val="00240782"/>
    <w:rsid w:val="002407E6"/>
    <w:rsid w:val="00240AE2"/>
    <w:rsid w:val="00240F2D"/>
    <w:rsid w:val="002417C9"/>
    <w:rsid w:val="0024180A"/>
    <w:rsid w:val="0024184E"/>
    <w:rsid w:val="00241878"/>
    <w:rsid w:val="00241A0B"/>
    <w:rsid w:val="00241A93"/>
    <w:rsid w:val="00241DC0"/>
    <w:rsid w:val="00241E8C"/>
    <w:rsid w:val="00241F5A"/>
    <w:rsid w:val="00241FA2"/>
    <w:rsid w:val="002420B4"/>
    <w:rsid w:val="00242286"/>
    <w:rsid w:val="00242291"/>
    <w:rsid w:val="00243666"/>
    <w:rsid w:val="00243A00"/>
    <w:rsid w:val="00243AA0"/>
    <w:rsid w:val="00243B1E"/>
    <w:rsid w:val="00243B93"/>
    <w:rsid w:val="00243C6C"/>
    <w:rsid w:val="00243E21"/>
    <w:rsid w:val="002441B3"/>
    <w:rsid w:val="002442EB"/>
    <w:rsid w:val="002445A0"/>
    <w:rsid w:val="0024469C"/>
    <w:rsid w:val="0024499E"/>
    <w:rsid w:val="00244BBB"/>
    <w:rsid w:val="00244C39"/>
    <w:rsid w:val="00244E0B"/>
    <w:rsid w:val="00245090"/>
    <w:rsid w:val="002450C8"/>
    <w:rsid w:val="00245131"/>
    <w:rsid w:val="002453D4"/>
    <w:rsid w:val="002453F6"/>
    <w:rsid w:val="00245B0D"/>
    <w:rsid w:val="00245BE0"/>
    <w:rsid w:val="00245D8C"/>
    <w:rsid w:val="002462B8"/>
    <w:rsid w:val="00246326"/>
    <w:rsid w:val="00246857"/>
    <w:rsid w:val="0024691B"/>
    <w:rsid w:val="00246BA7"/>
    <w:rsid w:val="00247341"/>
    <w:rsid w:val="0024782F"/>
    <w:rsid w:val="00247865"/>
    <w:rsid w:val="0024796C"/>
    <w:rsid w:val="00247A22"/>
    <w:rsid w:val="00247CC3"/>
    <w:rsid w:val="00247E54"/>
    <w:rsid w:val="00250077"/>
    <w:rsid w:val="00250261"/>
    <w:rsid w:val="002507BA"/>
    <w:rsid w:val="00250F3A"/>
    <w:rsid w:val="00250F53"/>
    <w:rsid w:val="00251116"/>
    <w:rsid w:val="002512D5"/>
    <w:rsid w:val="00251366"/>
    <w:rsid w:val="00251CE3"/>
    <w:rsid w:val="00251E46"/>
    <w:rsid w:val="002524D8"/>
    <w:rsid w:val="002524F4"/>
    <w:rsid w:val="0025257A"/>
    <w:rsid w:val="002525D4"/>
    <w:rsid w:val="00252800"/>
    <w:rsid w:val="00252A84"/>
    <w:rsid w:val="00252B6A"/>
    <w:rsid w:val="00252F21"/>
    <w:rsid w:val="00253367"/>
    <w:rsid w:val="0025352C"/>
    <w:rsid w:val="002535C9"/>
    <w:rsid w:val="00253E7D"/>
    <w:rsid w:val="00253EBB"/>
    <w:rsid w:val="00253FBF"/>
    <w:rsid w:val="002540ED"/>
    <w:rsid w:val="002543E6"/>
    <w:rsid w:val="00254946"/>
    <w:rsid w:val="00254A72"/>
    <w:rsid w:val="0025536F"/>
    <w:rsid w:val="0025553A"/>
    <w:rsid w:val="002556D6"/>
    <w:rsid w:val="00255862"/>
    <w:rsid w:val="00255B7A"/>
    <w:rsid w:val="00255BA1"/>
    <w:rsid w:val="00255F14"/>
    <w:rsid w:val="002562C0"/>
    <w:rsid w:val="002568D1"/>
    <w:rsid w:val="00256C5D"/>
    <w:rsid w:val="002574C5"/>
    <w:rsid w:val="002574F5"/>
    <w:rsid w:val="00257547"/>
    <w:rsid w:val="0025776C"/>
    <w:rsid w:val="00257A8F"/>
    <w:rsid w:val="00257B1F"/>
    <w:rsid w:val="00257DC1"/>
    <w:rsid w:val="00257F1D"/>
    <w:rsid w:val="00260153"/>
    <w:rsid w:val="0026017D"/>
    <w:rsid w:val="002603DB"/>
    <w:rsid w:val="00260592"/>
    <w:rsid w:val="002605D1"/>
    <w:rsid w:val="002606E9"/>
    <w:rsid w:val="002609F5"/>
    <w:rsid w:val="00260A2E"/>
    <w:rsid w:val="00260E1D"/>
    <w:rsid w:val="00261199"/>
    <w:rsid w:val="0026124C"/>
    <w:rsid w:val="002613EA"/>
    <w:rsid w:val="00261627"/>
    <w:rsid w:val="002617E8"/>
    <w:rsid w:val="00261803"/>
    <w:rsid w:val="002619A8"/>
    <w:rsid w:val="002619DA"/>
    <w:rsid w:val="00261AFB"/>
    <w:rsid w:val="00261CFD"/>
    <w:rsid w:val="0026207B"/>
    <w:rsid w:val="0026211E"/>
    <w:rsid w:val="00262149"/>
    <w:rsid w:val="002621B7"/>
    <w:rsid w:val="002621D9"/>
    <w:rsid w:val="00262598"/>
    <w:rsid w:val="00262821"/>
    <w:rsid w:val="00262843"/>
    <w:rsid w:val="002630B3"/>
    <w:rsid w:val="0026349C"/>
    <w:rsid w:val="0026379E"/>
    <w:rsid w:val="002639FC"/>
    <w:rsid w:val="00263C86"/>
    <w:rsid w:val="00263DCE"/>
    <w:rsid w:val="00263F1F"/>
    <w:rsid w:val="0026404F"/>
    <w:rsid w:val="002643C6"/>
    <w:rsid w:val="002643EA"/>
    <w:rsid w:val="00264482"/>
    <w:rsid w:val="0026464B"/>
    <w:rsid w:val="00264854"/>
    <w:rsid w:val="00264AE7"/>
    <w:rsid w:val="00264AF7"/>
    <w:rsid w:val="00264C03"/>
    <w:rsid w:val="00264C22"/>
    <w:rsid w:val="00264D57"/>
    <w:rsid w:val="00264E5D"/>
    <w:rsid w:val="002650DE"/>
    <w:rsid w:val="002652AD"/>
    <w:rsid w:val="0026533A"/>
    <w:rsid w:val="002655A6"/>
    <w:rsid w:val="00265817"/>
    <w:rsid w:val="00265894"/>
    <w:rsid w:val="00265980"/>
    <w:rsid w:val="00265983"/>
    <w:rsid w:val="00265BC6"/>
    <w:rsid w:val="00265DAD"/>
    <w:rsid w:val="00265FD4"/>
    <w:rsid w:val="00266020"/>
    <w:rsid w:val="002660A9"/>
    <w:rsid w:val="00266209"/>
    <w:rsid w:val="00266229"/>
    <w:rsid w:val="002665D5"/>
    <w:rsid w:val="00266714"/>
    <w:rsid w:val="0026677E"/>
    <w:rsid w:val="00266926"/>
    <w:rsid w:val="00266B0D"/>
    <w:rsid w:val="00266CC3"/>
    <w:rsid w:val="00266D23"/>
    <w:rsid w:val="00266DD4"/>
    <w:rsid w:val="00266DFC"/>
    <w:rsid w:val="00266EA0"/>
    <w:rsid w:val="00266F1B"/>
    <w:rsid w:val="00267227"/>
    <w:rsid w:val="002673C9"/>
    <w:rsid w:val="00267D64"/>
    <w:rsid w:val="00270B72"/>
    <w:rsid w:val="00271180"/>
    <w:rsid w:val="002714E1"/>
    <w:rsid w:val="00271599"/>
    <w:rsid w:val="00271705"/>
    <w:rsid w:val="002717C1"/>
    <w:rsid w:val="00271865"/>
    <w:rsid w:val="0027192C"/>
    <w:rsid w:val="00271DD3"/>
    <w:rsid w:val="00271FD8"/>
    <w:rsid w:val="00272963"/>
    <w:rsid w:val="00272B28"/>
    <w:rsid w:val="002733B8"/>
    <w:rsid w:val="00273446"/>
    <w:rsid w:val="0027355F"/>
    <w:rsid w:val="00273CC1"/>
    <w:rsid w:val="00273FC9"/>
    <w:rsid w:val="0027441F"/>
    <w:rsid w:val="002745E6"/>
    <w:rsid w:val="00274879"/>
    <w:rsid w:val="002748AF"/>
    <w:rsid w:val="002749A1"/>
    <w:rsid w:val="00274B3C"/>
    <w:rsid w:val="00274B98"/>
    <w:rsid w:val="0027520F"/>
    <w:rsid w:val="002752AA"/>
    <w:rsid w:val="002752B6"/>
    <w:rsid w:val="002753CE"/>
    <w:rsid w:val="0027582F"/>
    <w:rsid w:val="00275E83"/>
    <w:rsid w:val="00275F73"/>
    <w:rsid w:val="00276123"/>
    <w:rsid w:val="002763DA"/>
    <w:rsid w:val="002765ED"/>
    <w:rsid w:val="0027687F"/>
    <w:rsid w:val="002768F1"/>
    <w:rsid w:val="00276A09"/>
    <w:rsid w:val="00276A61"/>
    <w:rsid w:val="00276B00"/>
    <w:rsid w:val="00276C66"/>
    <w:rsid w:val="00276C6C"/>
    <w:rsid w:val="00276CB8"/>
    <w:rsid w:val="00276F74"/>
    <w:rsid w:val="00276F81"/>
    <w:rsid w:val="002771AA"/>
    <w:rsid w:val="002773CA"/>
    <w:rsid w:val="00277470"/>
    <w:rsid w:val="002776AA"/>
    <w:rsid w:val="00277848"/>
    <w:rsid w:val="00277A32"/>
    <w:rsid w:val="00277ED7"/>
    <w:rsid w:val="0028002E"/>
    <w:rsid w:val="00280492"/>
    <w:rsid w:val="00280789"/>
    <w:rsid w:val="00280864"/>
    <w:rsid w:val="0028087D"/>
    <w:rsid w:val="00280913"/>
    <w:rsid w:val="00280B41"/>
    <w:rsid w:val="00280DC7"/>
    <w:rsid w:val="00280EBA"/>
    <w:rsid w:val="002810BD"/>
    <w:rsid w:val="00281148"/>
    <w:rsid w:val="00281229"/>
    <w:rsid w:val="002813E4"/>
    <w:rsid w:val="0028166D"/>
    <w:rsid w:val="002817DE"/>
    <w:rsid w:val="002819AB"/>
    <w:rsid w:val="00281C5C"/>
    <w:rsid w:val="00281E6C"/>
    <w:rsid w:val="00281F16"/>
    <w:rsid w:val="00282207"/>
    <w:rsid w:val="00282889"/>
    <w:rsid w:val="002828D8"/>
    <w:rsid w:val="00282A75"/>
    <w:rsid w:val="00282CDA"/>
    <w:rsid w:val="00282F29"/>
    <w:rsid w:val="002831EF"/>
    <w:rsid w:val="002832B6"/>
    <w:rsid w:val="00283342"/>
    <w:rsid w:val="0028344F"/>
    <w:rsid w:val="002835A4"/>
    <w:rsid w:val="00283675"/>
    <w:rsid w:val="00283967"/>
    <w:rsid w:val="00283B63"/>
    <w:rsid w:val="00284128"/>
    <w:rsid w:val="00284716"/>
    <w:rsid w:val="00284890"/>
    <w:rsid w:val="00284D4D"/>
    <w:rsid w:val="00284F85"/>
    <w:rsid w:val="00285318"/>
    <w:rsid w:val="0028557F"/>
    <w:rsid w:val="00285630"/>
    <w:rsid w:val="00285790"/>
    <w:rsid w:val="00285E0A"/>
    <w:rsid w:val="0028617C"/>
    <w:rsid w:val="00286265"/>
    <w:rsid w:val="002862B5"/>
    <w:rsid w:val="0028648A"/>
    <w:rsid w:val="00286AF2"/>
    <w:rsid w:val="00286CE6"/>
    <w:rsid w:val="00286D9C"/>
    <w:rsid w:val="00286E43"/>
    <w:rsid w:val="00286E48"/>
    <w:rsid w:val="00287078"/>
    <w:rsid w:val="00287421"/>
    <w:rsid w:val="00287526"/>
    <w:rsid w:val="002875DF"/>
    <w:rsid w:val="0028774F"/>
    <w:rsid w:val="00287929"/>
    <w:rsid w:val="00287954"/>
    <w:rsid w:val="00287958"/>
    <w:rsid w:val="002879E0"/>
    <w:rsid w:val="002879F0"/>
    <w:rsid w:val="00287BC7"/>
    <w:rsid w:val="0028D223"/>
    <w:rsid w:val="002900D9"/>
    <w:rsid w:val="00290267"/>
    <w:rsid w:val="0029047A"/>
    <w:rsid w:val="00290613"/>
    <w:rsid w:val="0029077D"/>
    <w:rsid w:val="00290A33"/>
    <w:rsid w:val="00290AE7"/>
    <w:rsid w:val="00290B76"/>
    <w:rsid w:val="00290D6C"/>
    <w:rsid w:val="0029102D"/>
    <w:rsid w:val="00291410"/>
    <w:rsid w:val="002914EC"/>
    <w:rsid w:val="00291828"/>
    <w:rsid w:val="00291D32"/>
    <w:rsid w:val="00291D57"/>
    <w:rsid w:val="002922CA"/>
    <w:rsid w:val="002926E1"/>
    <w:rsid w:val="00292BC3"/>
    <w:rsid w:val="00292C7A"/>
    <w:rsid w:val="00292DCE"/>
    <w:rsid w:val="00293288"/>
    <w:rsid w:val="00293350"/>
    <w:rsid w:val="00293555"/>
    <w:rsid w:val="00293559"/>
    <w:rsid w:val="0029356E"/>
    <w:rsid w:val="00293644"/>
    <w:rsid w:val="00293799"/>
    <w:rsid w:val="00293A96"/>
    <w:rsid w:val="00293B81"/>
    <w:rsid w:val="00293F11"/>
    <w:rsid w:val="002946C2"/>
    <w:rsid w:val="00294741"/>
    <w:rsid w:val="00294AC5"/>
    <w:rsid w:val="00294D40"/>
    <w:rsid w:val="00294FA4"/>
    <w:rsid w:val="0029531D"/>
    <w:rsid w:val="00295523"/>
    <w:rsid w:val="00295AAB"/>
    <w:rsid w:val="00295C45"/>
    <w:rsid w:val="00295C4B"/>
    <w:rsid w:val="00295E70"/>
    <w:rsid w:val="00295FFC"/>
    <w:rsid w:val="0029649C"/>
    <w:rsid w:val="002965A4"/>
    <w:rsid w:val="002966B7"/>
    <w:rsid w:val="00296785"/>
    <w:rsid w:val="00296972"/>
    <w:rsid w:val="002969BA"/>
    <w:rsid w:val="00296AA6"/>
    <w:rsid w:val="00297381"/>
    <w:rsid w:val="00297390"/>
    <w:rsid w:val="00297502"/>
    <w:rsid w:val="002975F9"/>
    <w:rsid w:val="002976B5"/>
    <w:rsid w:val="00297CFD"/>
    <w:rsid w:val="00297FFC"/>
    <w:rsid w:val="0029C5B2"/>
    <w:rsid w:val="002A026F"/>
    <w:rsid w:val="002A03BF"/>
    <w:rsid w:val="002A07D3"/>
    <w:rsid w:val="002A086B"/>
    <w:rsid w:val="002A0993"/>
    <w:rsid w:val="002A0A5C"/>
    <w:rsid w:val="002A0D79"/>
    <w:rsid w:val="002A0EE8"/>
    <w:rsid w:val="002A116F"/>
    <w:rsid w:val="002A11F6"/>
    <w:rsid w:val="002A15F4"/>
    <w:rsid w:val="002A1627"/>
    <w:rsid w:val="002A191A"/>
    <w:rsid w:val="002A1C3C"/>
    <w:rsid w:val="002A1D7B"/>
    <w:rsid w:val="002A1FCC"/>
    <w:rsid w:val="002A215B"/>
    <w:rsid w:val="002A2195"/>
    <w:rsid w:val="002A2C14"/>
    <w:rsid w:val="002A2D42"/>
    <w:rsid w:val="002A2E56"/>
    <w:rsid w:val="002A2ED1"/>
    <w:rsid w:val="002A314D"/>
    <w:rsid w:val="002A315C"/>
    <w:rsid w:val="002A3C1C"/>
    <w:rsid w:val="002A3CEF"/>
    <w:rsid w:val="002A4127"/>
    <w:rsid w:val="002A4308"/>
    <w:rsid w:val="002A436E"/>
    <w:rsid w:val="002A44C7"/>
    <w:rsid w:val="002A4500"/>
    <w:rsid w:val="002A4515"/>
    <w:rsid w:val="002A4624"/>
    <w:rsid w:val="002A4705"/>
    <w:rsid w:val="002A4BB8"/>
    <w:rsid w:val="002A5482"/>
    <w:rsid w:val="002A55DB"/>
    <w:rsid w:val="002A59BE"/>
    <w:rsid w:val="002A59F0"/>
    <w:rsid w:val="002A5B31"/>
    <w:rsid w:val="002A5C4F"/>
    <w:rsid w:val="002A60CF"/>
    <w:rsid w:val="002A616D"/>
    <w:rsid w:val="002A63A9"/>
    <w:rsid w:val="002A63C4"/>
    <w:rsid w:val="002A6496"/>
    <w:rsid w:val="002A6563"/>
    <w:rsid w:val="002A65D9"/>
    <w:rsid w:val="002A663B"/>
    <w:rsid w:val="002A68E9"/>
    <w:rsid w:val="002A6D98"/>
    <w:rsid w:val="002A6E1D"/>
    <w:rsid w:val="002A6F0C"/>
    <w:rsid w:val="002A6FCB"/>
    <w:rsid w:val="002A7253"/>
    <w:rsid w:val="002A73B7"/>
    <w:rsid w:val="002A75D6"/>
    <w:rsid w:val="002A7610"/>
    <w:rsid w:val="002A7893"/>
    <w:rsid w:val="002A7A49"/>
    <w:rsid w:val="002A7DCD"/>
    <w:rsid w:val="002B04AD"/>
    <w:rsid w:val="002B04FB"/>
    <w:rsid w:val="002B053D"/>
    <w:rsid w:val="002B05A6"/>
    <w:rsid w:val="002B0686"/>
    <w:rsid w:val="002B092F"/>
    <w:rsid w:val="002B09D1"/>
    <w:rsid w:val="002B0A9C"/>
    <w:rsid w:val="002B0BA1"/>
    <w:rsid w:val="002B0DA0"/>
    <w:rsid w:val="002B0DDA"/>
    <w:rsid w:val="002B1030"/>
    <w:rsid w:val="002B110B"/>
    <w:rsid w:val="002B12FC"/>
    <w:rsid w:val="002B1778"/>
    <w:rsid w:val="002B1970"/>
    <w:rsid w:val="002B1C20"/>
    <w:rsid w:val="002B22FD"/>
    <w:rsid w:val="002B248D"/>
    <w:rsid w:val="002B2539"/>
    <w:rsid w:val="002B267A"/>
    <w:rsid w:val="002B2745"/>
    <w:rsid w:val="002B2936"/>
    <w:rsid w:val="002B306A"/>
    <w:rsid w:val="002B3170"/>
    <w:rsid w:val="002B32A9"/>
    <w:rsid w:val="002B3314"/>
    <w:rsid w:val="002B34D2"/>
    <w:rsid w:val="002B3611"/>
    <w:rsid w:val="002B365F"/>
    <w:rsid w:val="002B3676"/>
    <w:rsid w:val="002B3815"/>
    <w:rsid w:val="002B3B55"/>
    <w:rsid w:val="002B3B7A"/>
    <w:rsid w:val="002B3BBC"/>
    <w:rsid w:val="002B3C1A"/>
    <w:rsid w:val="002B3E5F"/>
    <w:rsid w:val="002B40DE"/>
    <w:rsid w:val="002B4520"/>
    <w:rsid w:val="002B453F"/>
    <w:rsid w:val="002B4E1C"/>
    <w:rsid w:val="002B4FB3"/>
    <w:rsid w:val="002B50C3"/>
    <w:rsid w:val="002B5583"/>
    <w:rsid w:val="002B565E"/>
    <w:rsid w:val="002B57B1"/>
    <w:rsid w:val="002B57D7"/>
    <w:rsid w:val="002B5822"/>
    <w:rsid w:val="002B592C"/>
    <w:rsid w:val="002B5AB4"/>
    <w:rsid w:val="002B5AFC"/>
    <w:rsid w:val="002B5C13"/>
    <w:rsid w:val="002B5DD5"/>
    <w:rsid w:val="002B5DD8"/>
    <w:rsid w:val="002B5E19"/>
    <w:rsid w:val="002B5E2E"/>
    <w:rsid w:val="002B5E45"/>
    <w:rsid w:val="002B5EAA"/>
    <w:rsid w:val="002B67AA"/>
    <w:rsid w:val="002B6930"/>
    <w:rsid w:val="002B6D48"/>
    <w:rsid w:val="002B6DB8"/>
    <w:rsid w:val="002B6E53"/>
    <w:rsid w:val="002B6E82"/>
    <w:rsid w:val="002B7807"/>
    <w:rsid w:val="002B79A1"/>
    <w:rsid w:val="002B7C55"/>
    <w:rsid w:val="002B7F96"/>
    <w:rsid w:val="002B7FD7"/>
    <w:rsid w:val="002C0063"/>
    <w:rsid w:val="002C0147"/>
    <w:rsid w:val="002C0185"/>
    <w:rsid w:val="002C0561"/>
    <w:rsid w:val="002C060A"/>
    <w:rsid w:val="002C098E"/>
    <w:rsid w:val="002C099D"/>
    <w:rsid w:val="002C0D05"/>
    <w:rsid w:val="002C1737"/>
    <w:rsid w:val="002C18D3"/>
    <w:rsid w:val="002C1B57"/>
    <w:rsid w:val="002C1C91"/>
    <w:rsid w:val="002C1EE4"/>
    <w:rsid w:val="002C2166"/>
    <w:rsid w:val="002C2325"/>
    <w:rsid w:val="002C26BA"/>
    <w:rsid w:val="002C27A9"/>
    <w:rsid w:val="002C2949"/>
    <w:rsid w:val="002C2AD1"/>
    <w:rsid w:val="002C2C24"/>
    <w:rsid w:val="002C30AE"/>
    <w:rsid w:val="002C3270"/>
    <w:rsid w:val="002C397A"/>
    <w:rsid w:val="002C3BBD"/>
    <w:rsid w:val="002C3D68"/>
    <w:rsid w:val="002C412B"/>
    <w:rsid w:val="002C4C63"/>
    <w:rsid w:val="002C4E26"/>
    <w:rsid w:val="002C5546"/>
    <w:rsid w:val="002C55F9"/>
    <w:rsid w:val="002C5952"/>
    <w:rsid w:val="002C5C7D"/>
    <w:rsid w:val="002C5D4C"/>
    <w:rsid w:val="002C5DAC"/>
    <w:rsid w:val="002C5E5D"/>
    <w:rsid w:val="002C6342"/>
    <w:rsid w:val="002C6560"/>
    <w:rsid w:val="002C6A26"/>
    <w:rsid w:val="002C6A37"/>
    <w:rsid w:val="002C72E1"/>
    <w:rsid w:val="002C770B"/>
    <w:rsid w:val="002C79A0"/>
    <w:rsid w:val="002C7BB6"/>
    <w:rsid w:val="002C7C03"/>
    <w:rsid w:val="002C7DA3"/>
    <w:rsid w:val="002C7EA5"/>
    <w:rsid w:val="002D0048"/>
    <w:rsid w:val="002D025D"/>
    <w:rsid w:val="002D08BE"/>
    <w:rsid w:val="002D0BE2"/>
    <w:rsid w:val="002D0DCC"/>
    <w:rsid w:val="002D0E08"/>
    <w:rsid w:val="002D1429"/>
    <w:rsid w:val="002D14EF"/>
    <w:rsid w:val="002D1938"/>
    <w:rsid w:val="002D1AF1"/>
    <w:rsid w:val="002D1C19"/>
    <w:rsid w:val="002D1C3C"/>
    <w:rsid w:val="002D1F21"/>
    <w:rsid w:val="002D22A4"/>
    <w:rsid w:val="002D2719"/>
    <w:rsid w:val="002D2A5F"/>
    <w:rsid w:val="002D2E69"/>
    <w:rsid w:val="002D35ED"/>
    <w:rsid w:val="002D37ED"/>
    <w:rsid w:val="002D3969"/>
    <w:rsid w:val="002D3CAC"/>
    <w:rsid w:val="002D3E28"/>
    <w:rsid w:val="002D3F46"/>
    <w:rsid w:val="002D3F4E"/>
    <w:rsid w:val="002D4002"/>
    <w:rsid w:val="002D4057"/>
    <w:rsid w:val="002D4590"/>
    <w:rsid w:val="002D4669"/>
    <w:rsid w:val="002D4962"/>
    <w:rsid w:val="002D4C39"/>
    <w:rsid w:val="002D4D55"/>
    <w:rsid w:val="002D4E9F"/>
    <w:rsid w:val="002D5075"/>
    <w:rsid w:val="002D547A"/>
    <w:rsid w:val="002D57A5"/>
    <w:rsid w:val="002D5837"/>
    <w:rsid w:val="002D59D6"/>
    <w:rsid w:val="002D5CB4"/>
    <w:rsid w:val="002D5DD2"/>
    <w:rsid w:val="002D5E10"/>
    <w:rsid w:val="002D608D"/>
    <w:rsid w:val="002D6237"/>
    <w:rsid w:val="002D62D7"/>
    <w:rsid w:val="002D6376"/>
    <w:rsid w:val="002D64D0"/>
    <w:rsid w:val="002D6682"/>
    <w:rsid w:val="002D676C"/>
    <w:rsid w:val="002D6B8E"/>
    <w:rsid w:val="002D6C42"/>
    <w:rsid w:val="002D6ECA"/>
    <w:rsid w:val="002D7074"/>
    <w:rsid w:val="002D74C9"/>
    <w:rsid w:val="002D791B"/>
    <w:rsid w:val="002D7A03"/>
    <w:rsid w:val="002D7F0A"/>
    <w:rsid w:val="002DFD0A"/>
    <w:rsid w:val="002E025C"/>
    <w:rsid w:val="002E065A"/>
    <w:rsid w:val="002E06C8"/>
    <w:rsid w:val="002E0EB7"/>
    <w:rsid w:val="002E0F70"/>
    <w:rsid w:val="002E1193"/>
    <w:rsid w:val="002E12AA"/>
    <w:rsid w:val="002E1399"/>
    <w:rsid w:val="002E1423"/>
    <w:rsid w:val="002E14B2"/>
    <w:rsid w:val="002E158A"/>
    <w:rsid w:val="002E1592"/>
    <w:rsid w:val="002E16F8"/>
    <w:rsid w:val="002E193A"/>
    <w:rsid w:val="002E1940"/>
    <w:rsid w:val="002E1A0B"/>
    <w:rsid w:val="002E1A39"/>
    <w:rsid w:val="002E1D5C"/>
    <w:rsid w:val="002E1EFC"/>
    <w:rsid w:val="002E2093"/>
    <w:rsid w:val="002E21D8"/>
    <w:rsid w:val="002E2698"/>
    <w:rsid w:val="002E2890"/>
    <w:rsid w:val="002E2B14"/>
    <w:rsid w:val="002E2E8B"/>
    <w:rsid w:val="002E2EF9"/>
    <w:rsid w:val="002E3249"/>
    <w:rsid w:val="002E339E"/>
    <w:rsid w:val="002E33B4"/>
    <w:rsid w:val="002E347D"/>
    <w:rsid w:val="002E34F8"/>
    <w:rsid w:val="002E350F"/>
    <w:rsid w:val="002E3737"/>
    <w:rsid w:val="002E3A7F"/>
    <w:rsid w:val="002E3C9A"/>
    <w:rsid w:val="002E3CEA"/>
    <w:rsid w:val="002E3DC8"/>
    <w:rsid w:val="002E3EA6"/>
    <w:rsid w:val="002E3F2F"/>
    <w:rsid w:val="002E436F"/>
    <w:rsid w:val="002E45A8"/>
    <w:rsid w:val="002E4820"/>
    <w:rsid w:val="002E489A"/>
    <w:rsid w:val="002E499E"/>
    <w:rsid w:val="002E4E8A"/>
    <w:rsid w:val="002E4E8C"/>
    <w:rsid w:val="002E4EE3"/>
    <w:rsid w:val="002E4EFF"/>
    <w:rsid w:val="002E5149"/>
    <w:rsid w:val="002E55DE"/>
    <w:rsid w:val="002E5631"/>
    <w:rsid w:val="002E56FA"/>
    <w:rsid w:val="002E5776"/>
    <w:rsid w:val="002E57FB"/>
    <w:rsid w:val="002E5B0D"/>
    <w:rsid w:val="002E5D0D"/>
    <w:rsid w:val="002E5E14"/>
    <w:rsid w:val="002E5FA2"/>
    <w:rsid w:val="002E6141"/>
    <w:rsid w:val="002E637B"/>
    <w:rsid w:val="002E6425"/>
    <w:rsid w:val="002E68C7"/>
    <w:rsid w:val="002E6A9D"/>
    <w:rsid w:val="002E6ACB"/>
    <w:rsid w:val="002E6B3A"/>
    <w:rsid w:val="002E6CF4"/>
    <w:rsid w:val="002E6E9C"/>
    <w:rsid w:val="002E6F27"/>
    <w:rsid w:val="002E6F78"/>
    <w:rsid w:val="002E7092"/>
    <w:rsid w:val="002E70BB"/>
    <w:rsid w:val="002E7160"/>
    <w:rsid w:val="002E725D"/>
    <w:rsid w:val="002E7466"/>
    <w:rsid w:val="002E7520"/>
    <w:rsid w:val="002E76DF"/>
    <w:rsid w:val="002E78C4"/>
    <w:rsid w:val="002E794D"/>
    <w:rsid w:val="002E79C7"/>
    <w:rsid w:val="002E7AE2"/>
    <w:rsid w:val="002E7B44"/>
    <w:rsid w:val="002E7BFD"/>
    <w:rsid w:val="002E7DE0"/>
    <w:rsid w:val="002E7E28"/>
    <w:rsid w:val="002EAE5C"/>
    <w:rsid w:val="002F015E"/>
    <w:rsid w:val="002F0315"/>
    <w:rsid w:val="002F0470"/>
    <w:rsid w:val="002F06DE"/>
    <w:rsid w:val="002F07AE"/>
    <w:rsid w:val="002F0805"/>
    <w:rsid w:val="002F0940"/>
    <w:rsid w:val="002F09E4"/>
    <w:rsid w:val="002F0A56"/>
    <w:rsid w:val="002F0B8C"/>
    <w:rsid w:val="002F0DA5"/>
    <w:rsid w:val="002F0F54"/>
    <w:rsid w:val="002F1032"/>
    <w:rsid w:val="002F10F4"/>
    <w:rsid w:val="002F157F"/>
    <w:rsid w:val="002F166F"/>
    <w:rsid w:val="002F16C6"/>
    <w:rsid w:val="002F1B37"/>
    <w:rsid w:val="002F1EAE"/>
    <w:rsid w:val="002F21E5"/>
    <w:rsid w:val="002F2289"/>
    <w:rsid w:val="002F23D4"/>
    <w:rsid w:val="002F26B0"/>
    <w:rsid w:val="002F2837"/>
    <w:rsid w:val="002F2E7F"/>
    <w:rsid w:val="002F3257"/>
    <w:rsid w:val="002F3824"/>
    <w:rsid w:val="002F3A4F"/>
    <w:rsid w:val="002F3B5B"/>
    <w:rsid w:val="002F3C42"/>
    <w:rsid w:val="002F3CEC"/>
    <w:rsid w:val="002F3D79"/>
    <w:rsid w:val="002F4127"/>
    <w:rsid w:val="002F484E"/>
    <w:rsid w:val="002F5123"/>
    <w:rsid w:val="002F54C2"/>
    <w:rsid w:val="002F5560"/>
    <w:rsid w:val="002F58AB"/>
    <w:rsid w:val="002F5CED"/>
    <w:rsid w:val="002F6075"/>
    <w:rsid w:val="002F6212"/>
    <w:rsid w:val="002F6287"/>
    <w:rsid w:val="002F6537"/>
    <w:rsid w:val="002F664B"/>
    <w:rsid w:val="002F6C75"/>
    <w:rsid w:val="002F6CD5"/>
    <w:rsid w:val="002F6E8C"/>
    <w:rsid w:val="002F7269"/>
    <w:rsid w:val="002F731F"/>
    <w:rsid w:val="002F73DC"/>
    <w:rsid w:val="002F75C7"/>
    <w:rsid w:val="002F7BDA"/>
    <w:rsid w:val="003000E0"/>
    <w:rsid w:val="003004EC"/>
    <w:rsid w:val="003005FA"/>
    <w:rsid w:val="003006F6"/>
    <w:rsid w:val="003008B1"/>
    <w:rsid w:val="00300925"/>
    <w:rsid w:val="00300D53"/>
    <w:rsid w:val="0030102C"/>
    <w:rsid w:val="003012B1"/>
    <w:rsid w:val="00301416"/>
    <w:rsid w:val="00301627"/>
    <w:rsid w:val="0030163F"/>
    <w:rsid w:val="00301770"/>
    <w:rsid w:val="00301834"/>
    <w:rsid w:val="0030183E"/>
    <w:rsid w:val="003018E2"/>
    <w:rsid w:val="00301B26"/>
    <w:rsid w:val="00301C29"/>
    <w:rsid w:val="00301DB9"/>
    <w:rsid w:val="00301FBF"/>
    <w:rsid w:val="00302568"/>
    <w:rsid w:val="00302628"/>
    <w:rsid w:val="0030282F"/>
    <w:rsid w:val="003028F8"/>
    <w:rsid w:val="00302925"/>
    <w:rsid w:val="003029A3"/>
    <w:rsid w:val="00302C24"/>
    <w:rsid w:val="00302ED6"/>
    <w:rsid w:val="0030329E"/>
    <w:rsid w:val="00303543"/>
    <w:rsid w:val="00303882"/>
    <w:rsid w:val="003038BE"/>
    <w:rsid w:val="00303CB1"/>
    <w:rsid w:val="00304233"/>
    <w:rsid w:val="003042B5"/>
    <w:rsid w:val="0030431C"/>
    <w:rsid w:val="003044D6"/>
    <w:rsid w:val="0030451A"/>
    <w:rsid w:val="00304633"/>
    <w:rsid w:val="003046D6"/>
    <w:rsid w:val="0030472F"/>
    <w:rsid w:val="00304B66"/>
    <w:rsid w:val="00305134"/>
    <w:rsid w:val="00305498"/>
    <w:rsid w:val="003054B5"/>
    <w:rsid w:val="00305775"/>
    <w:rsid w:val="00305AD5"/>
    <w:rsid w:val="00305F73"/>
    <w:rsid w:val="003060C1"/>
    <w:rsid w:val="00306271"/>
    <w:rsid w:val="0030633C"/>
    <w:rsid w:val="00306586"/>
    <w:rsid w:val="003065B3"/>
    <w:rsid w:val="0030683F"/>
    <w:rsid w:val="00306C3C"/>
    <w:rsid w:val="00306D4F"/>
    <w:rsid w:val="00306D8C"/>
    <w:rsid w:val="00306FF5"/>
    <w:rsid w:val="00307350"/>
    <w:rsid w:val="0030753D"/>
    <w:rsid w:val="0030756F"/>
    <w:rsid w:val="003075B0"/>
    <w:rsid w:val="00307893"/>
    <w:rsid w:val="003078ED"/>
    <w:rsid w:val="00307B9D"/>
    <w:rsid w:val="00307CDE"/>
    <w:rsid w:val="00307E49"/>
    <w:rsid w:val="00307F2B"/>
    <w:rsid w:val="00307FB1"/>
    <w:rsid w:val="00310076"/>
    <w:rsid w:val="00310188"/>
    <w:rsid w:val="003101D7"/>
    <w:rsid w:val="00310934"/>
    <w:rsid w:val="0031098F"/>
    <w:rsid w:val="00310C36"/>
    <w:rsid w:val="0031127F"/>
    <w:rsid w:val="003113D7"/>
    <w:rsid w:val="003115DF"/>
    <w:rsid w:val="00311893"/>
    <w:rsid w:val="00311BE6"/>
    <w:rsid w:val="003120ED"/>
    <w:rsid w:val="0031215F"/>
    <w:rsid w:val="003123AB"/>
    <w:rsid w:val="00312413"/>
    <w:rsid w:val="003124D2"/>
    <w:rsid w:val="00312956"/>
    <w:rsid w:val="00312C15"/>
    <w:rsid w:val="00312C4A"/>
    <w:rsid w:val="00312CDE"/>
    <w:rsid w:val="0031319E"/>
    <w:rsid w:val="00313231"/>
    <w:rsid w:val="0031333D"/>
    <w:rsid w:val="003135A7"/>
    <w:rsid w:val="00313821"/>
    <w:rsid w:val="00313D39"/>
    <w:rsid w:val="003140BA"/>
    <w:rsid w:val="0031419F"/>
    <w:rsid w:val="00314223"/>
    <w:rsid w:val="003145E2"/>
    <w:rsid w:val="0031470A"/>
    <w:rsid w:val="0031490E"/>
    <w:rsid w:val="00314ADF"/>
    <w:rsid w:val="00314C36"/>
    <w:rsid w:val="00314C5F"/>
    <w:rsid w:val="003150F9"/>
    <w:rsid w:val="003156FC"/>
    <w:rsid w:val="00315AD9"/>
    <w:rsid w:val="00315E65"/>
    <w:rsid w:val="00315F10"/>
    <w:rsid w:val="00316468"/>
    <w:rsid w:val="00316B17"/>
    <w:rsid w:val="00316E79"/>
    <w:rsid w:val="00316F3C"/>
    <w:rsid w:val="003170BF"/>
    <w:rsid w:val="003171BA"/>
    <w:rsid w:val="0031750D"/>
    <w:rsid w:val="003178F7"/>
    <w:rsid w:val="00317960"/>
    <w:rsid w:val="00317AFB"/>
    <w:rsid w:val="00317B20"/>
    <w:rsid w:val="00317B67"/>
    <w:rsid w:val="00317D08"/>
    <w:rsid w:val="0032039E"/>
    <w:rsid w:val="00320A64"/>
    <w:rsid w:val="00320F0A"/>
    <w:rsid w:val="003210A3"/>
    <w:rsid w:val="003212AC"/>
    <w:rsid w:val="00321423"/>
    <w:rsid w:val="0032186D"/>
    <w:rsid w:val="003218D3"/>
    <w:rsid w:val="00321AF1"/>
    <w:rsid w:val="00321DFA"/>
    <w:rsid w:val="0032208A"/>
    <w:rsid w:val="00322179"/>
    <w:rsid w:val="00322340"/>
    <w:rsid w:val="003227D4"/>
    <w:rsid w:val="00322997"/>
    <w:rsid w:val="00322C79"/>
    <w:rsid w:val="00322C99"/>
    <w:rsid w:val="00322D8C"/>
    <w:rsid w:val="0032319C"/>
    <w:rsid w:val="00323430"/>
    <w:rsid w:val="00323637"/>
    <w:rsid w:val="00323A67"/>
    <w:rsid w:val="00323C06"/>
    <w:rsid w:val="00323C88"/>
    <w:rsid w:val="00323CB6"/>
    <w:rsid w:val="00323F2A"/>
    <w:rsid w:val="00323F58"/>
    <w:rsid w:val="003246F0"/>
    <w:rsid w:val="003247ED"/>
    <w:rsid w:val="00324816"/>
    <w:rsid w:val="003248B9"/>
    <w:rsid w:val="0032494C"/>
    <w:rsid w:val="003249C4"/>
    <w:rsid w:val="00324EF1"/>
    <w:rsid w:val="003250A7"/>
    <w:rsid w:val="00325379"/>
    <w:rsid w:val="003257BA"/>
    <w:rsid w:val="0032582A"/>
    <w:rsid w:val="00325B00"/>
    <w:rsid w:val="003262A2"/>
    <w:rsid w:val="003263DB"/>
    <w:rsid w:val="0032703B"/>
    <w:rsid w:val="00327525"/>
    <w:rsid w:val="0032764F"/>
    <w:rsid w:val="00327704"/>
    <w:rsid w:val="00327815"/>
    <w:rsid w:val="00327A33"/>
    <w:rsid w:val="00327BAE"/>
    <w:rsid w:val="003302C9"/>
    <w:rsid w:val="003309F8"/>
    <w:rsid w:val="00330A2C"/>
    <w:rsid w:val="00330A77"/>
    <w:rsid w:val="00330A7D"/>
    <w:rsid w:val="00330B69"/>
    <w:rsid w:val="00330DE7"/>
    <w:rsid w:val="0033115A"/>
    <w:rsid w:val="003311B8"/>
    <w:rsid w:val="0033163C"/>
    <w:rsid w:val="003317B8"/>
    <w:rsid w:val="003317EA"/>
    <w:rsid w:val="003319BE"/>
    <w:rsid w:val="00331A35"/>
    <w:rsid w:val="00331A52"/>
    <w:rsid w:val="00331A79"/>
    <w:rsid w:val="00331D72"/>
    <w:rsid w:val="00331E05"/>
    <w:rsid w:val="00331F12"/>
    <w:rsid w:val="0033224D"/>
    <w:rsid w:val="003322C2"/>
    <w:rsid w:val="00332307"/>
    <w:rsid w:val="0033241A"/>
    <w:rsid w:val="0033254B"/>
    <w:rsid w:val="003329FD"/>
    <w:rsid w:val="00332A64"/>
    <w:rsid w:val="00332D7B"/>
    <w:rsid w:val="00332EA4"/>
    <w:rsid w:val="00333052"/>
    <w:rsid w:val="00333583"/>
    <w:rsid w:val="003338AF"/>
    <w:rsid w:val="00333A18"/>
    <w:rsid w:val="003340D5"/>
    <w:rsid w:val="00334268"/>
    <w:rsid w:val="00334303"/>
    <w:rsid w:val="0033436A"/>
    <w:rsid w:val="003344AB"/>
    <w:rsid w:val="0033491C"/>
    <w:rsid w:val="00334A14"/>
    <w:rsid w:val="00334D68"/>
    <w:rsid w:val="0033589F"/>
    <w:rsid w:val="00335B16"/>
    <w:rsid w:val="00335CD0"/>
    <w:rsid w:val="00335DCA"/>
    <w:rsid w:val="00335FE2"/>
    <w:rsid w:val="003365B3"/>
    <w:rsid w:val="00336737"/>
    <w:rsid w:val="00336DB7"/>
    <w:rsid w:val="00336F6B"/>
    <w:rsid w:val="00337013"/>
    <w:rsid w:val="003374C4"/>
    <w:rsid w:val="00337723"/>
    <w:rsid w:val="00337875"/>
    <w:rsid w:val="003378F8"/>
    <w:rsid w:val="00337AB2"/>
    <w:rsid w:val="00337D47"/>
    <w:rsid w:val="0033864B"/>
    <w:rsid w:val="00340155"/>
    <w:rsid w:val="003401E8"/>
    <w:rsid w:val="00340255"/>
    <w:rsid w:val="00340782"/>
    <w:rsid w:val="00341017"/>
    <w:rsid w:val="00341105"/>
    <w:rsid w:val="003412C4"/>
    <w:rsid w:val="00341485"/>
    <w:rsid w:val="003416E2"/>
    <w:rsid w:val="00341C24"/>
    <w:rsid w:val="00341EDA"/>
    <w:rsid w:val="00341EE0"/>
    <w:rsid w:val="00342065"/>
    <w:rsid w:val="00342212"/>
    <w:rsid w:val="003422C5"/>
    <w:rsid w:val="003425E9"/>
    <w:rsid w:val="0034261D"/>
    <w:rsid w:val="00342731"/>
    <w:rsid w:val="0034298B"/>
    <w:rsid w:val="00342AB9"/>
    <w:rsid w:val="00342C05"/>
    <w:rsid w:val="00342D57"/>
    <w:rsid w:val="0034316B"/>
    <w:rsid w:val="00343611"/>
    <w:rsid w:val="00343CDA"/>
    <w:rsid w:val="00343FB2"/>
    <w:rsid w:val="003440D3"/>
    <w:rsid w:val="0034410A"/>
    <w:rsid w:val="00344144"/>
    <w:rsid w:val="00344249"/>
    <w:rsid w:val="003442B1"/>
    <w:rsid w:val="003442B4"/>
    <w:rsid w:val="00344431"/>
    <w:rsid w:val="00344818"/>
    <w:rsid w:val="0034486A"/>
    <w:rsid w:val="00344BD2"/>
    <w:rsid w:val="00344E49"/>
    <w:rsid w:val="00344F70"/>
    <w:rsid w:val="00345148"/>
    <w:rsid w:val="003451FE"/>
    <w:rsid w:val="0034543D"/>
    <w:rsid w:val="00345649"/>
    <w:rsid w:val="0034572D"/>
    <w:rsid w:val="00345A73"/>
    <w:rsid w:val="00345AFC"/>
    <w:rsid w:val="00345C32"/>
    <w:rsid w:val="00345CA7"/>
    <w:rsid w:val="00345E97"/>
    <w:rsid w:val="0034627F"/>
    <w:rsid w:val="00346316"/>
    <w:rsid w:val="00346669"/>
    <w:rsid w:val="003467B2"/>
    <w:rsid w:val="00346AF2"/>
    <w:rsid w:val="00346C18"/>
    <w:rsid w:val="00346D49"/>
    <w:rsid w:val="003470D2"/>
    <w:rsid w:val="00347215"/>
    <w:rsid w:val="00347260"/>
    <w:rsid w:val="00347358"/>
    <w:rsid w:val="00347819"/>
    <w:rsid w:val="0034790B"/>
    <w:rsid w:val="0034797C"/>
    <w:rsid w:val="003479BA"/>
    <w:rsid w:val="00347CF8"/>
    <w:rsid w:val="00347E19"/>
    <w:rsid w:val="00347F91"/>
    <w:rsid w:val="0034947D"/>
    <w:rsid w:val="003500CC"/>
    <w:rsid w:val="00350236"/>
    <w:rsid w:val="0035034F"/>
    <w:rsid w:val="003504E2"/>
    <w:rsid w:val="0035066C"/>
    <w:rsid w:val="003507E9"/>
    <w:rsid w:val="003508D7"/>
    <w:rsid w:val="0035092A"/>
    <w:rsid w:val="00350DDC"/>
    <w:rsid w:val="003514F6"/>
    <w:rsid w:val="003519C9"/>
    <w:rsid w:val="00351C06"/>
    <w:rsid w:val="00351C76"/>
    <w:rsid w:val="00351E8E"/>
    <w:rsid w:val="003522FA"/>
    <w:rsid w:val="003523B7"/>
    <w:rsid w:val="003524A3"/>
    <w:rsid w:val="0035259A"/>
    <w:rsid w:val="0035259E"/>
    <w:rsid w:val="003526A0"/>
    <w:rsid w:val="003527C3"/>
    <w:rsid w:val="00352810"/>
    <w:rsid w:val="00352B87"/>
    <w:rsid w:val="00352C17"/>
    <w:rsid w:val="00352C82"/>
    <w:rsid w:val="00352DDF"/>
    <w:rsid w:val="00352ED2"/>
    <w:rsid w:val="003538FC"/>
    <w:rsid w:val="00353CAA"/>
    <w:rsid w:val="0035404D"/>
    <w:rsid w:val="0035489E"/>
    <w:rsid w:val="003548DE"/>
    <w:rsid w:val="00354C15"/>
    <w:rsid w:val="00354DF3"/>
    <w:rsid w:val="00354FC0"/>
    <w:rsid w:val="003556AD"/>
    <w:rsid w:val="0035599F"/>
    <w:rsid w:val="00355C09"/>
    <w:rsid w:val="00355E98"/>
    <w:rsid w:val="003560C8"/>
    <w:rsid w:val="003562CD"/>
    <w:rsid w:val="0035643F"/>
    <w:rsid w:val="00356452"/>
    <w:rsid w:val="003564E6"/>
    <w:rsid w:val="00356886"/>
    <w:rsid w:val="00356956"/>
    <w:rsid w:val="00356C98"/>
    <w:rsid w:val="00356CB9"/>
    <w:rsid w:val="00356CD4"/>
    <w:rsid w:val="003571C2"/>
    <w:rsid w:val="003572BB"/>
    <w:rsid w:val="003572EC"/>
    <w:rsid w:val="003574C4"/>
    <w:rsid w:val="003574C8"/>
    <w:rsid w:val="00357793"/>
    <w:rsid w:val="003577ED"/>
    <w:rsid w:val="00357A5C"/>
    <w:rsid w:val="00357B7D"/>
    <w:rsid w:val="0035B520"/>
    <w:rsid w:val="00360147"/>
    <w:rsid w:val="003601DD"/>
    <w:rsid w:val="003609FF"/>
    <w:rsid w:val="00360AA6"/>
    <w:rsid w:val="00360D5C"/>
    <w:rsid w:val="00360FBF"/>
    <w:rsid w:val="00360FDF"/>
    <w:rsid w:val="0036137C"/>
    <w:rsid w:val="003613B8"/>
    <w:rsid w:val="003614C4"/>
    <w:rsid w:val="003617AE"/>
    <w:rsid w:val="00361831"/>
    <w:rsid w:val="00361894"/>
    <w:rsid w:val="003619A8"/>
    <w:rsid w:val="00361DBE"/>
    <w:rsid w:val="0036235A"/>
    <w:rsid w:val="00362389"/>
    <w:rsid w:val="0036245A"/>
    <w:rsid w:val="00362939"/>
    <w:rsid w:val="00362943"/>
    <w:rsid w:val="00362A01"/>
    <w:rsid w:val="00362B03"/>
    <w:rsid w:val="00362D44"/>
    <w:rsid w:val="00362E33"/>
    <w:rsid w:val="003632B8"/>
    <w:rsid w:val="003633FC"/>
    <w:rsid w:val="0036340F"/>
    <w:rsid w:val="003638E2"/>
    <w:rsid w:val="00363ABE"/>
    <w:rsid w:val="00363D5A"/>
    <w:rsid w:val="00363E25"/>
    <w:rsid w:val="00363E81"/>
    <w:rsid w:val="00364424"/>
    <w:rsid w:val="00364637"/>
    <w:rsid w:val="0036479A"/>
    <w:rsid w:val="00364ABA"/>
    <w:rsid w:val="00364B30"/>
    <w:rsid w:val="00364C16"/>
    <w:rsid w:val="00364C8C"/>
    <w:rsid w:val="00365034"/>
    <w:rsid w:val="0036526D"/>
    <w:rsid w:val="003653FE"/>
    <w:rsid w:val="003654E1"/>
    <w:rsid w:val="003658B0"/>
    <w:rsid w:val="00365A39"/>
    <w:rsid w:val="00365B81"/>
    <w:rsid w:val="00365F5B"/>
    <w:rsid w:val="003663BE"/>
    <w:rsid w:val="003665C7"/>
    <w:rsid w:val="003666A4"/>
    <w:rsid w:val="003667E7"/>
    <w:rsid w:val="0036691B"/>
    <w:rsid w:val="00366C3A"/>
    <w:rsid w:val="00366E53"/>
    <w:rsid w:val="00366F8D"/>
    <w:rsid w:val="00366FD2"/>
    <w:rsid w:val="003671B8"/>
    <w:rsid w:val="0036781C"/>
    <w:rsid w:val="003679BE"/>
    <w:rsid w:val="00367AA0"/>
    <w:rsid w:val="00367C50"/>
    <w:rsid w:val="00367E07"/>
    <w:rsid w:val="00370303"/>
    <w:rsid w:val="003703CC"/>
    <w:rsid w:val="0037053C"/>
    <w:rsid w:val="00370A61"/>
    <w:rsid w:val="00370C81"/>
    <w:rsid w:val="00370E30"/>
    <w:rsid w:val="00370F09"/>
    <w:rsid w:val="003710E2"/>
    <w:rsid w:val="00371349"/>
    <w:rsid w:val="003713E4"/>
    <w:rsid w:val="003714E7"/>
    <w:rsid w:val="00371611"/>
    <w:rsid w:val="00371637"/>
    <w:rsid w:val="003716D9"/>
    <w:rsid w:val="0037171C"/>
    <w:rsid w:val="00371752"/>
    <w:rsid w:val="0037178B"/>
    <w:rsid w:val="003718C2"/>
    <w:rsid w:val="00371B80"/>
    <w:rsid w:val="00371FE6"/>
    <w:rsid w:val="003720D4"/>
    <w:rsid w:val="003724A8"/>
    <w:rsid w:val="003724BB"/>
    <w:rsid w:val="0037258E"/>
    <w:rsid w:val="003726C0"/>
    <w:rsid w:val="00372B87"/>
    <w:rsid w:val="00372D72"/>
    <w:rsid w:val="00372E94"/>
    <w:rsid w:val="00373169"/>
    <w:rsid w:val="00373A46"/>
    <w:rsid w:val="00373B9F"/>
    <w:rsid w:val="00373C62"/>
    <w:rsid w:val="00373FC1"/>
    <w:rsid w:val="003743A3"/>
    <w:rsid w:val="003746A9"/>
    <w:rsid w:val="003747C8"/>
    <w:rsid w:val="003749F4"/>
    <w:rsid w:val="00374B1F"/>
    <w:rsid w:val="00374D34"/>
    <w:rsid w:val="00374DA0"/>
    <w:rsid w:val="00375096"/>
    <w:rsid w:val="003751CB"/>
    <w:rsid w:val="00375222"/>
    <w:rsid w:val="00375429"/>
    <w:rsid w:val="0037546C"/>
    <w:rsid w:val="00375826"/>
    <w:rsid w:val="00375B42"/>
    <w:rsid w:val="00375B52"/>
    <w:rsid w:val="00376133"/>
    <w:rsid w:val="00376478"/>
    <w:rsid w:val="003764A4"/>
    <w:rsid w:val="003764D8"/>
    <w:rsid w:val="0037654F"/>
    <w:rsid w:val="003766AE"/>
    <w:rsid w:val="00376C62"/>
    <w:rsid w:val="00376E19"/>
    <w:rsid w:val="00376F0C"/>
    <w:rsid w:val="00376F61"/>
    <w:rsid w:val="003774F2"/>
    <w:rsid w:val="00377E39"/>
    <w:rsid w:val="00380064"/>
    <w:rsid w:val="003800EE"/>
    <w:rsid w:val="00380221"/>
    <w:rsid w:val="0038039E"/>
    <w:rsid w:val="003804F2"/>
    <w:rsid w:val="00380903"/>
    <w:rsid w:val="0038095F"/>
    <w:rsid w:val="00380A04"/>
    <w:rsid w:val="00380CC6"/>
    <w:rsid w:val="00380F2B"/>
    <w:rsid w:val="00381239"/>
    <w:rsid w:val="00381A44"/>
    <w:rsid w:val="00381A83"/>
    <w:rsid w:val="00381AC2"/>
    <w:rsid w:val="00381E02"/>
    <w:rsid w:val="0038253A"/>
    <w:rsid w:val="00382722"/>
    <w:rsid w:val="003827D2"/>
    <w:rsid w:val="00382952"/>
    <w:rsid w:val="00382C14"/>
    <w:rsid w:val="00383119"/>
    <w:rsid w:val="003832AA"/>
    <w:rsid w:val="003832C6"/>
    <w:rsid w:val="003833CE"/>
    <w:rsid w:val="003834E0"/>
    <w:rsid w:val="003834EA"/>
    <w:rsid w:val="00383541"/>
    <w:rsid w:val="0038364D"/>
    <w:rsid w:val="00383833"/>
    <w:rsid w:val="00383947"/>
    <w:rsid w:val="0038396C"/>
    <w:rsid w:val="00383AF0"/>
    <w:rsid w:val="00383E55"/>
    <w:rsid w:val="003842C3"/>
    <w:rsid w:val="0038448D"/>
    <w:rsid w:val="003848AD"/>
    <w:rsid w:val="00385000"/>
    <w:rsid w:val="003853D3"/>
    <w:rsid w:val="003855E8"/>
    <w:rsid w:val="00385656"/>
    <w:rsid w:val="00385BCC"/>
    <w:rsid w:val="00386146"/>
    <w:rsid w:val="00386234"/>
    <w:rsid w:val="00386296"/>
    <w:rsid w:val="0038636F"/>
    <w:rsid w:val="0038685F"/>
    <w:rsid w:val="00386903"/>
    <w:rsid w:val="00386F53"/>
    <w:rsid w:val="003871A4"/>
    <w:rsid w:val="003871E8"/>
    <w:rsid w:val="00387798"/>
    <w:rsid w:val="0038789E"/>
    <w:rsid w:val="00387AF0"/>
    <w:rsid w:val="00387F63"/>
    <w:rsid w:val="0038D7A2"/>
    <w:rsid w:val="00390507"/>
    <w:rsid w:val="003906F0"/>
    <w:rsid w:val="003907F3"/>
    <w:rsid w:val="003908FC"/>
    <w:rsid w:val="00390DFE"/>
    <w:rsid w:val="00391426"/>
    <w:rsid w:val="003916C8"/>
    <w:rsid w:val="00391AC5"/>
    <w:rsid w:val="00391B20"/>
    <w:rsid w:val="00391BF8"/>
    <w:rsid w:val="00391EDE"/>
    <w:rsid w:val="00391F0E"/>
    <w:rsid w:val="00391F23"/>
    <w:rsid w:val="00392107"/>
    <w:rsid w:val="0039248F"/>
    <w:rsid w:val="003928D6"/>
    <w:rsid w:val="00392CB7"/>
    <w:rsid w:val="00392D95"/>
    <w:rsid w:val="00392DE3"/>
    <w:rsid w:val="00393044"/>
    <w:rsid w:val="0039315B"/>
    <w:rsid w:val="0039321E"/>
    <w:rsid w:val="003933BF"/>
    <w:rsid w:val="0039377C"/>
    <w:rsid w:val="00393806"/>
    <w:rsid w:val="0039384F"/>
    <w:rsid w:val="00393914"/>
    <w:rsid w:val="00393C03"/>
    <w:rsid w:val="00393E28"/>
    <w:rsid w:val="00393E5E"/>
    <w:rsid w:val="0039409D"/>
    <w:rsid w:val="003948A7"/>
    <w:rsid w:val="0039490F"/>
    <w:rsid w:val="00394CCF"/>
    <w:rsid w:val="00394F6A"/>
    <w:rsid w:val="00395129"/>
    <w:rsid w:val="00395302"/>
    <w:rsid w:val="003957D0"/>
    <w:rsid w:val="00395A26"/>
    <w:rsid w:val="00395A62"/>
    <w:rsid w:val="00395D59"/>
    <w:rsid w:val="00395E17"/>
    <w:rsid w:val="00395FE0"/>
    <w:rsid w:val="0039608A"/>
    <w:rsid w:val="00396AFF"/>
    <w:rsid w:val="00396F94"/>
    <w:rsid w:val="00397201"/>
    <w:rsid w:val="00397308"/>
    <w:rsid w:val="003975B1"/>
    <w:rsid w:val="003977B9"/>
    <w:rsid w:val="003A01A7"/>
    <w:rsid w:val="003A080E"/>
    <w:rsid w:val="003A099B"/>
    <w:rsid w:val="003A0A1E"/>
    <w:rsid w:val="003A0EAC"/>
    <w:rsid w:val="003A1089"/>
    <w:rsid w:val="003A1459"/>
    <w:rsid w:val="003A1479"/>
    <w:rsid w:val="003A1794"/>
    <w:rsid w:val="003A187D"/>
    <w:rsid w:val="003A1CDB"/>
    <w:rsid w:val="003A1E36"/>
    <w:rsid w:val="003A1F14"/>
    <w:rsid w:val="003A2271"/>
    <w:rsid w:val="003A22ED"/>
    <w:rsid w:val="003A2347"/>
    <w:rsid w:val="003A2621"/>
    <w:rsid w:val="003A2659"/>
    <w:rsid w:val="003A2BB2"/>
    <w:rsid w:val="003A2C42"/>
    <w:rsid w:val="003A2C95"/>
    <w:rsid w:val="003A2F32"/>
    <w:rsid w:val="003A2F4C"/>
    <w:rsid w:val="003A3113"/>
    <w:rsid w:val="003A3136"/>
    <w:rsid w:val="003A331D"/>
    <w:rsid w:val="003A34BF"/>
    <w:rsid w:val="003A3553"/>
    <w:rsid w:val="003A368A"/>
    <w:rsid w:val="003A3811"/>
    <w:rsid w:val="003A3E85"/>
    <w:rsid w:val="003A3EED"/>
    <w:rsid w:val="003A3F85"/>
    <w:rsid w:val="003A4171"/>
    <w:rsid w:val="003A43DC"/>
    <w:rsid w:val="003A4708"/>
    <w:rsid w:val="003A483D"/>
    <w:rsid w:val="003A4A81"/>
    <w:rsid w:val="003A4CCD"/>
    <w:rsid w:val="003A4D43"/>
    <w:rsid w:val="003A516F"/>
    <w:rsid w:val="003A547D"/>
    <w:rsid w:val="003A5BC4"/>
    <w:rsid w:val="003A5BF8"/>
    <w:rsid w:val="003A5BFF"/>
    <w:rsid w:val="003A5D57"/>
    <w:rsid w:val="003A5E28"/>
    <w:rsid w:val="003A649F"/>
    <w:rsid w:val="003A6659"/>
    <w:rsid w:val="003A67E0"/>
    <w:rsid w:val="003A6A43"/>
    <w:rsid w:val="003A6D3F"/>
    <w:rsid w:val="003A6FC1"/>
    <w:rsid w:val="003A7051"/>
    <w:rsid w:val="003A7154"/>
    <w:rsid w:val="003A71AE"/>
    <w:rsid w:val="003A764F"/>
    <w:rsid w:val="003A7B63"/>
    <w:rsid w:val="003A7DA6"/>
    <w:rsid w:val="003A7DD8"/>
    <w:rsid w:val="003B035A"/>
    <w:rsid w:val="003B0649"/>
    <w:rsid w:val="003B0A36"/>
    <w:rsid w:val="003B0E02"/>
    <w:rsid w:val="003B0EEE"/>
    <w:rsid w:val="003B0F89"/>
    <w:rsid w:val="003B0FE3"/>
    <w:rsid w:val="003B10C0"/>
    <w:rsid w:val="003B13B5"/>
    <w:rsid w:val="003B147A"/>
    <w:rsid w:val="003B150C"/>
    <w:rsid w:val="003B17E7"/>
    <w:rsid w:val="003B18AC"/>
    <w:rsid w:val="003B1C1F"/>
    <w:rsid w:val="003B1DE2"/>
    <w:rsid w:val="003B1EC3"/>
    <w:rsid w:val="003B1F00"/>
    <w:rsid w:val="003B21C9"/>
    <w:rsid w:val="003B2263"/>
    <w:rsid w:val="003B2283"/>
    <w:rsid w:val="003B2307"/>
    <w:rsid w:val="003B2566"/>
    <w:rsid w:val="003B28BB"/>
    <w:rsid w:val="003B2946"/>
    <w:rsid w:val="003B2992"/>
    <w:rsid w:val="003B2A52"/>
    <w:rsid w:val="003B2ABC"/>
    <w:rsid w:val="003B2B48"/>
    <w:rsid w:val="003B2C34"/>
    <w:rsid w:val="003B3257"/>
    <w:rsid w:val="003B331F"/>
    <w:rsid w:val="003B3364"/>
    <w:rsid w:val="003B3D69"/>
    <w:rsid w:val="003B3E95"/>
    <w:rsid w:val="003B3F97"/>
    <w:rsid w:val="003B3FAF"/>
    <w:rsid w:val="003B42BC"/>
    <w:rsid w:val="003B4305"/>
    <w:rsid w:val="003B43EE"/>
    <w:rsid w:val="003B47F1"/>
    <w:rsid w:val="003B480D"/>
    <w:rsid w:val="003B48E8"/>
    <w:rsid w:val="003B4A03"/>
    <w:rsid w:val="003B4A2E"/>
    <w:rsid w:val="003B4E86"/>
    <w:rsid w:val="003B5490"/>
    <w:rsid w:val="003B57B2"/>
    <w:rsid w:val="003B5B1E"/>
    <w:rsid w:val="003B5BD7"/>
    <w:rsid w:val="003B5C63"/>
    <w:rsid w:val="003B61C4"/>
    <w:rsid w:val="003B66F9"/>
    <w:rsid w:val="003B69F0"/>
    <w:rsid w:val="003B6AB9"/>
    <w:rsid w:val="003B6AE2"/>
    <w:rsid w:val="003B6B03"/>
    <w:rsid w:val="003B6BF5"/>
    <w:rsid w:val="003B6CDF"/>
    <w:rsid w:val="003B6E8D"/>
    <w:rsid w:val="003B70B8"/>
    <w:rsid w:val="003B718E"/>
    <w:rsid w:val="003B729A"/>
    <w:rsid w:val="003B7860"/>
    <w:rsid w:val="003B79C9"/>
    <w:rsid w:val="003B7CD0"/>
    <w:rsid w:val="003B7DE4"/>
    <w:rsid w:val="003C00F3"/>
    <w:rsid w:val="003C0379"/>
    <w:rsid w:val="003C047A"/>
    <w:rsid w:val="003C061B"/>
    <w:rsid w:val="003C069C"/>
    <w:rsid w:val="003C0704"/>
    <w:rsid w:val="003C0758"/>
    <w:rsid w:val="003C0E29"/>
    <w:rsid w:val="003C1708"/>
    <w:rsid w:val="003C1976"/>
    <w:rsid w:val="003C1B52"/>
    <w:rsid w:val="003C1E10"/>
    <w:rsid w:val="003C22BE"/>
    <w:rsid w:val="003C2492"/>
    <w:rsid w:val="003C24CF"/>
    <w:rsid w:val="003C2508"/>
    <w:rsid w:val="003C2588"/>
    <w:rsid w:val="003C25B9"/>
    <w:rsid w:val="003C2CDB"/>
    <w:rsid w:val="003C2D51"/>
    <w:rsid w:val="003C2E63"/>
    <w:rsid w:val="003C3285"/>
    <w:rsid w:val="003C335A"/>
    <w:rsid w:val="003C3446"/>
    <w:rsid w:val="003C352F"/>
    <w:rsid w:val="003C3873"/>
    <w:rsid w:val="003C39E7"/>
    <w:rsid w:val="003C3AE1"/>
    <w:rsid w:val="003C40E3"/>
    <w:rsid w:val="003C43B5"/>
    <w:rsid w:val="003C443B"/>
    <w:rsid w:val="003C4515"/>
    <w:rsid w:val="003C45C2"/>
    <w:rsid w:val="003C52AD"/>
    <w:rsid w:val="003C52CA"/>
    <w:rsid w:val="003C52E3"/>
    <w:rsid w:val="003C535D"/>
    <w:rsid w:val="003C5377"/>
    <w:rsid w:val="003C5410"/>
    <w:rsid w:val="003C5463"/>
    <w:rsid w:val="003C56BD"/>
    <w:rsid w:val="003C5A90"/>
    <w:rsid w:val="003C5B05"/>
    <w:rsid w:val="003C5C50"/>
    <w:rsid w:val="003C5C79"/>
    <w:rsid w:val="003C5F1E"/>
    <w:rsid w:val="003C63AD"/>
    <w:rsid w:val="003C646E"/>
    <w:rsid w:val="003C6645"/>
    <w:rsid w:val="003C6C4D"/>
    <w:rsid w:val="003C6C7D"/>
    <w:rsid w:val="003C6D2C"/>
    <w:rsid w:val="003C6E82"/>
    <w:rsid w:val="003C7182"/>
    <w:rsid w:val="003C732C"/>
    <w:rsid w:val="003C7352"/>
    <w:rsid w:val="003C740A"/>
    <w:rsid w:val="003C747A"/>
    <w:rsid w:val="003C751F"/>
    <w:rsid w:val="003C768C"/>
    <w:rsid w:val="003C7711"/>
    <w:rsid w:val="003C780D"/>
    <w:rsid w:val="003C7F70"/>
    <w:rsid w:val="003CA8A5"/>
    <w:rsid w:val="003D02A4"/>
    <w:rsid w:val="003D048E"/>
    <w:rsid w:val="003D0839"/>
    <w:rsid w:val="003D0851"/>
    <w:rsid w:val="003D0982"/>
    <w:rsid w:val="003D0CC1"/>
    <w:rsid w:val="003D124D"/>
    <w:rsid w:val="003D15B9"/>
    <w:rsid w:val="003D1694"/>
    <w:rsid w:val="003D1BA7"/>
    <w:rsid w:val="003D1CE8"/>
    <w:rsid w:val="003D1FA7"/>
    <w:rsid w:val="003D285A"/>
    <w:rsid w:val="003D2AA8"/>
    <w:rsid w:val="003D350F"/>
    <w:rsid w:val="003D3633"/>
    <w:rsid w:val="003D390F"/>
    <w:rsid w:val="003D3D6F"/>
    <w:rsid w:val="003D3E76"/>
    <w:rsid w:val="003D402B"/>
    <w:rsid w:val="003D451B"/>
    <w:rsid w:val="003D4611"/>
    <w:rsid w:val="003D4651"/>
    <w:rsid w:val="003D492F"/>
    <w:rsid w:val="003D4B9D"/>
    <w:rsid w:val="003D4CCB"/>
    <w:rsid w:val="003D4E2F"/>
    <w:rsid w:val="003D4E43"/>
    <w:rsid w:val="003D4FAE"/>
    <w:rsid w:val="003D53D6"/>
    <w:rsid w:val="003D54B3"/>
    <w:rsid w:val="003D5938"/>
    <w:rsid w:val="003D59F8"/>
    <w:rsid w:val="003D5E29"/>
    <w:rsid w:val="003D5E6A"/>
    <w:rsid w:val="003D613B"/>
    <w:rsid w:val="003D6184"/>
    <w:rsid w:val="003D62A1"/>
    <w:rsid w:val="003D68E0"/>
    <w:rsid w:val="003D6A18"/>
    <w:rsid w:val="003D6C33"/>
    <w:rsid w:val="003D6DD0"/>
    <w:rsid w:val="003D6F69"/>
    <w:rsid w:val="003D705D"/>
    <w:rsid w:val="003D7181"/>
    <w:rsid w:val="003D7228"/>
    <w:rsid w:val="003D7727"/>
    <w:rsid w:val="003D77CC"/>
    <w:rsid w:val="003D7F10"/>
    <w:rsid w:val="003E0052"/>
    <w:rsid w:val="003E008F"/>
    <w:rsid w:val="003E00BE"/>
    <w:rsid w:val="003E053B"/>
    <w:rsid w:val="003E05B9"/>
    <w:rsid w:val="003E0C0E"/>
    <w:rsid w:val="003E0D72"/>
    <w:rsid w:val="003E0F8C"/>
    <w:rsid w:val="003E1067"/>
    <w:rsid w:val="003E1116"/>
    <w:rsid w:val="003E11D0"/>
    <w:rsid w:val="003E1278"/>
    <w:rsid w:val="003E1854"/>
    <w:rsid w:val="003E1E2B"/>
    <w:rsid w:val="003E202F"/>
    <w:rsid w:val="003E23CA"/>
    <w:rsid w:val="003E26A6"/>
    <w:rsid w:val="003E26B1"/>
    <w:rsid w:val="003E2727"/>
    <w:rsid w:val="003E2851"/>
    <w:rsid w:val="003E296D"/>
    <w:rsid w:val="003E2B92"/>
    <w:rsid w:val="003E2BCF"/>
    <w:rsid w:val="003E2BD3"/>
    <w:rsid w:val="003E2CE7"/>
    <w:rsid w:val="003E2D40"/>
    <w:rsid w:val="003E306D"/>
    <w:rsid w:val="003E3152"/>
    <w:rsid w:val="003E3174"/>
    <w:rsid w:val="003E35B3"/>
    <w:rsid w:val="003E3884"/>
    <w:rsid w:val="003E3CD0"/>
    <w:rsid w:val="003E4535"/>
    <w:rsid w:val="003E453F"/>
    <w:rsid w:val="003E45F7"/>
    <w:rsid w:val="003E469F"/>
    <w:rsid w:val="003E4735"/>
    <w:rsid w:val="003E4836"/>
    <w:rsid w:val="003E486D"/>
    <w:rsid w:val="003E48CB"/>
    <w:rsid w:val="003E4934"/>
    <w:rsid w:val="003E49D2"/>
    <w:rsid w:val="003E4B84"/>
    <w:rsid w:val="003E50FB"/>
    <w:rsid w:val="003E5164"/>
    <w:rsid w:val="003E51A9"/>
    <w:rsid w:val="003E5426"/>
    <w:rsid w:val="003E599B"/>
    <w:rsid w:val="003E5B14"/>
    <w:rsid w:val="003E5B7A"/>
    <w:rsid w:val="003E5C6E"/>
    <w:rsid w:val="003E5D36"/>
    <w:rsid w:val="003E6366"/>
    <w:rsid w:val="003E666F"/>
    <w:rsid w:val="003E6850"/>
    <w:rsid w:val="003E697D"/>
    <w:rsid w:val="003E6A66"/>
    <w:rsid w:val="003E6B73"/>
    <w:rsid w:val="003E6B90"/>
    <w:rsid w:val="003E6D28"/>
    <w:rsid w:val="003E6E18"/>
    <w:rsid w:val="003E6FAC"/>
    <w:rsid w:val="003E7131"/>
    <w:rsid w:val="003E741D"/>
    <w:rsid w:val="003E743B"/>
    <w:rsid w:val="003E7825"/>
    <w:rsid w:val="003E796D"/>
    <w:rsid w:val="003E798D"/>
    <w:rsid w:val="003E7C53"/>
    <w:rsid w:val="003F000E"/>
    <w:rsid w:val="003F00F1"/>
    <w:rsid w:val="003F0569"/>
    <w:rsid w:val="003F08AA"/>
    <w:rsid w:val="003F0B45"/>
    <w:rsid w:val="003F0CB9"/>
    <w:rsid w:val="003F0DC5"/>
    <w:rsid w:val="003F0FDD"/>
    <w:rsid w:val="003F10A3"/>
    <w:rsid w:val="003F1226"/>
    <w:rsid w:val="003F13F6"/>
    <w:rsid w:val="003F1423"/>
    <w:rsid w:val="003F1499"/>
    <w:rsid w:val="003F16C2"/>
    <w:rsid w:val="003F1956"/>
    <w:rsid w:val="003F19C1"/>
    <w:rsid w:val="003F1DB0"/>
    <w:rsid w:val="003F2323"/>
    <w:rsid w:val="003F235D"/>
    <w:rsid w:val="003F24E8"/>
    <w:rsid w:val="003F2541"/>
    <w:rsid w:val="003F280B"/>
    <w:rsid w:val="003F2A9F"/>
    <w:rsid w:val="003F2AA2"/>
    <w:rsid w:val="003F2D42"/>
    <w:rsid w:val="003F321A"/>
    <w:rsid w:val="003F3310"/>
    <w:rsid w:val="003F3590"/>
    <w:rsid w:val="003F3896"/>
    <w:rsid w:val="003F391F"/>
    <w:rsid w:val="003F3AA4"/>
    <w:rsid w:val="003F3AAA"/>
    <w:rsid w:val="003F3F73"/>
    <w:rsid w:val="003F3FE4"/>
    <w:rsid w:val="003F4085"/>
    <w:rsid w:val="003F40CC"/>
    <w:rsid w:val="003F4499"/>
    <w:rsid w:val="003F45C7"/>
    <w:rsid w:val="003F4870"/>
    <w:rsid w:val="003F4A71"/>
    <w:rsid w:val="003F4C1C"/>
    <w:rsid w:val="003F4FC7"/>
    <w:rsid w:val="003F5594"/>
    <w:rsid w:val="003F5A6B"/>
    <w:rsid w:val="003F683C"/>
    <w:rsid w:val="003F68D7"/>
    <w:rsid w:val="003F6981"/>
    <w:rsid w:val="003F6CB5"/>
    <w:rsid w:val="003F703D"/>
    <w:rsid w:val="003F71DB"/>
    <w:rsid w:val="003F724E"/>
    <w:rsid w:val="003F72BA"/>
    <w:rsid w:val="003F7761"/>
    <w:rsid w:val="003F776E"/>
    <w:rsid w:val="003F7EA0"/>
    <w:rsid w:val="003F9E8D"/>
    <w:rsid w:val="004004F7"/>
    <w:rsid w:val="00400841"/>
    <w:rsid w:val="00400B9F"/>
    <w:rsid w:val="0040118F"/>
    <w:rsid w:val="004011B4"/>
    <w:rsid w:val="004012C9"/>
    <w:rsid w:val="004014C2"/>
    <w:rsid w:val="0040186E"/>
    <w:rsid w:val="00401895"/>
    <w:rsid w:val="004019B1"/>
    <w:rsid w:val="00401B73"/>
    <w:rsid w:val="00401BDD"/>
    <w:rsid w:val="00401E7B"/>
    <w:rsid w:val="00402067"/>
    <w:rsid w:val="00402224"/>
    <w:rsid w:val="00402511"/>
    <w:rsid w:val="00402554"/>
    <w:rsid w:val="004025F2"/>
    <w:rsid w:val="004027D0"/>
    <w:rsid w:val="00402808"/>
    <w:rsid w:val="00402920"/>
    <w:rsid w:val="004029AA"/>
    <w:rsid w:val="00402B48"/>
    <w:rsid w:val="00402D79"/>
    <w:rsid w:val="004031C1"/>
    <w:rsid w:val="0040355F"/>
    <w:rsid w:val="004035E8"/>
    <w:rsid w:val="00403644"/>
    <w:rsid w:val="004036E2"/>
    <w:rsid w:val="00403809"/>
    <w:rsid w:val="00403A22"/>
    <w:rsid w:val="00403A8A"/>
    <w:rsid w:val="004043AF"/>
    <w:rsid w:val="004043DD"/>
    <w:rsid w:val="00404725"/>
    <w:rsid w:val="00404A37"/>
    <w:rsid w:val="00404A58"/>
    <w:rsid w:val="00404C6C"/>
    <w:rsid w:val="00404C91"/>
    <w:rsid w:val="00404DEE"/>
    <w:rsid w:val="00404F63"/>
    <w:rsid w:val="004052B4"/>
    <w:rsid w:val="004054FD"/>
    <w:rsid w:val="00405516"/>
    <w:rsid w:val="004056CE"/>
    <w:rsid w:val="0040584F"/>
    <w:rsid w:val="00405A0D"/>
    <w:rsid w:val="00405B25"/>
    <w:rsid w:val="00405E30"/>
    <w:rsid w:val="00405EAF"/>
    <w:rsid w:val="00406051"/>
    <w:rsid w:val="004061EC"/>
    <w:rsid w:val="0040648F"/>
    <w:rsid w:val="00406A17"/>
    <w:rsid w:val="00406D35"/>
    <w:rsid w:val="00406DDA"/>
    <w:rsid w:val="00406FCA"/>
    <w:rsid w:val="0040728D"/>
    <w:rsid w:val="00407394"/>
    <w:rsid w:val="004074CA"/>
    <w:rsid w:val="004075BA"/>
    <w:rsid w:val="004076F5"/>
    <w:rsid w:val="004077DC"/>
    <w:rsid w:val="004078A5"/>
    <w:rsid w:val="004079B8"/>
    <w:rsid w:val="00407E27"/>
    <w:rsid w:val="0040B750"/>
    <w:rsid w:val="004101C0"/>
    <w:rsid w:val="00410254"/>
    <w:rsid w:val="004103E1"/>
    <w:rsid w:val="004106D2"/>
    <w:rsid w:val="0041082B"/>
    <w:rsid w:val="00410A10"/>
    <w:rsid w:val="00410C1D"/>
    <w:rsid w:val="00410C48"/>
    <w:rsid w:val="00410F95"/>
    <w:rsid w:val="0041150C"/>
    <w:rsid w:val="004116F6"/>
    <w:rsid w:val="0041196E"/>
    <w:rsid w:val="00411E34"/>
    <w:rsid w:val="00412658"/>
    <w:rsid w:val="00412AA1"/>
    <w:rsid w:val="00412AF5"/>
    <w:rsid w:val="00412CFF"/>
    <w:rsid w:val="00413025"/>
    <w:rsid w:val="00413039"/>
    <w:rsid w:val="00413339"/>
    <w:rsid w:val="0041334B"/>
    <w:rsid w:val="004136BF"/>
    <w:rsid w:val="0041396C"/>
    <w:rsid w:val="004139C5"/>
    <w:rsid w:val="00413A13"/>
    <w:rsid w:val="00413B48"/>
    <w:rsid w:val="00413DB1"/>
    <w:rsid w:val="004140B2"/>
    <w:rsid w:val="00414169"/>
    <w:rsid w:val="0041428D"/>
    <w:rsid w:val="004142C8"/>
    <w:rsid w:val="004143F7"/>
    <w:rsid w:val="004144A7"/>
    <w:rsid w:val="004145CC"/>
    <w:rsid w:val="00414702"/>
    <w:rsid w:val="0041481E"/>
    <w:rsid w:val="004149D8"/>
    <w:rsid w:val="00414E1D"/>
    <w:rsid w:val="00414ED0"/>
    <w:rsid w:val="00414EFC"/>
    <w:rsid w:val="00415003"/>
    <w:rsid w:val="004151C3"/>
    <w:rsid w:val="00415713"/>
    <w:rsid w:val="00415769"/>
    <w:rsid w:val="00415BA2"/>
    <w:rsid w:val="00415E85"/>
    <w:rsid w:val="00415EDE"/>
    <w:rsid w:val="00415EF3"/>
    <w:rsid w:val="00416210"/>
    <w:rsid w:val="004162D0"/>
    <w:rsid w:val="00416427"/>
    <w:rsid w:val="0041663E"/>
    <w:rsid w:val="004168DD"/>
    <w:rsid w:val="00416906"/>
    <w:rsid w:val="00416A05"/>
    <w:rsid w:val="00416AA5"/>
    <w:rsid w:val="00416CC9"/>
    <w:rsid w:val="00416E5F"/>
    <w:rsid w:val="00416FE4"/>
    <w:rsid w:val="0041711B"/>
    <w:rsid w:val="00417444"/>
    <w:rsid w:val="0041745F"/>
    <w:rsid w:val="0041751D"/>
    <w:rsid w:val="004176F6"/>
    <w:rsid w:val="004179F2"/>
    <w:rsid w:val="00417E9D"/>
    <w:rsid w:val="0041DB6F"/>
    <w:rsid w:val="00420103"/>
    <w:rsid w:val="0042035C"/>
    <w:rsid w:val="0042067F"/>
    <w:rsid w:val="004207A5"/>
    <w:rsid w:val="004208AA"/>
    <w:rsid w:val="004208E8"/>
    <w:rsid w:val="004209CD"/>
    <w:rsid w:val="00420A00"/>
    <w:rsid w:val="00420A4C"/>
    <w:rsid w:val="00420BE5"/>
    <w:rsid w:val="00420E40"/>
    <w:rsid w:val="00420ECC"/>
    <w:rsid w:val="00420F0C"/>
    <w:rsid w:val="004211CF"/>
    <w:rsid w:val="004212FF"/>
    <w:rsid w:val="004213E8"/>
    <w:rsid w:val="004214ED"/>
    <w:rsid w:val="004215AD"/>
    <w:rsid w:val="00421835"/>
    <w:rsid w:val="00421BE1"/>
    <w:rsid w:val="004221FA"/>
    <w:rsid w:val="00422215"/>
    <w:rsid w:val="0042250E"/>
    <w:rsid w:val="00422514"/>
    <w:rsid w:val="00422528"/>
    <w:rsid w:val="004225AA"/>
    <w:rsid w:val="00422951"/>
    <w:rsid w:val="00422AE2"/>
    <w:rsid w:val="00422C90"/>
    <w:rsid w:val="00422CA7"/>
    <w:rsid w:val="00422CC0"/>
    <w:rsid w:val="0042345B"/>
    <w:rsid w:val="00423B60"/>
    <w:rsid w:val="004243F8"/>
    <w:rsid w:val="0042480C"/>
    <w:rsid w:val="00424836"/>
    <w:rsid w:val="0042489C"/>
    <w:rsid w:val="00424B83"/>
    <w:rsid w:val="00424B89"/>
    <w:rsid w:val="00424DDC"/>
    <w:rsid w:val="0042569B"/>
    <w:rsid w:val="00425A96"/>
    <w:rsid w:val="00425B09"/>
    <w:rsid w:val="0042613A"/>
    <w:rsid w:val="00426278"/>
    <w:rsid w:val="004265D2"/>
    <w:rsid w:val="0042680E"/>
    <w:rsid w:val="0042683C"/>
    <w:rsid w:val="00426DA5"/>
    <w:rsid w:val="00426DBD"/>
    <w:rsid w:val="00426EA4"/>
    <w:rsid w:val="00426FDB"/>
    <w:rsid w:val="00426FE8"/>
    <w:rsid w:val="00427848"/>
    <w:rsid w:val="004278D1"/>
    <w:rsid w:val="00427B4C"/>
    <w:rsid w:val="00427B99"/>
    <w:rsid w:val="00430168"/>
    <w:rsid w:val="00430174"/>
    <w:rsid w:val="004304D8"/>
    <w:rsid w:val="00430736"/>
    <w:rsid w:val="0043093D"/>
    <w:rsid w:val="00430B78"/>
    <w:rsid w:val="00430E2A"/>
    <w:rsid w:val="004310AC"/>
    <w:rsid w:val="0043130E"/>
    <w:rsid w:val="004318DC"/>
    <w:rsid w:val="004318E4"/>
    <w:rsid w:val="0043195B"/>
    <w:rsid w:val="004319B2"/>
    <w:rsid w:val="004319B8"/>
    <w:rsid w:val="00431B03"/>
    <w:rsid w:val="00431C05"/>
    <w:rsid w:val="00431C57"/>
    <w:rsid w:val="00431CF3"/>
    <w:rsid w:val="00431D63"/>
    <w:rsid w:val="00431D6C"/>
    <w:rsid w:val="00431F78"/>
    <w:rsid w:val="00432524"/>
    <w:rsid w:val="00432BF9"/>
    <w:rsid w:val="00432D86"/>
    <w:rsid w:val="00432DDB"/>
    <w:rsid w:val="0043300B"/>
    <w:rsid w:val="00433112"/>
    <w:rsid w:val="0043324E"/>
    <w:rsid w:val="0043365C"/>
    <w:rsid w:val="004337DE"/>
    <w:rsid w:val="00433D5F"/>
    <w:rsid w:val="0043469C"/>
    <w:rsid w:val="004346A3"/>
    <w:rsid w:val="00434A47"/>
    <w:rsid w:val="00434CBF"/>
    <w:rsid w:val="00434FB1"/>
    <w:rsid w:val="0043501F"/>
    <w:rsid w:val="0043506D"/>
    <w:rsid w:val="00435191"/>
    <w:rsid w:val="0043523A"/>
    <w:rsid w:val="0043532F"/>
    <w:rsid w:val="004353ED"/>
    <w:rsid w:val="004356EC"/>
    <w:rsid w:val="00435960"/>
    <w:rsid w:val="004359AA"/>
    <w:rsid w:val="00436172"/>
    <w:rsid w:val="004362E2"/>
    <w:rsid w:val="004364CC"/>
    <w:rsid w:val="00436562"/>
    <w:rsid w:val="004368C2"/>
    <w:rsid w:val="00436D98"/>
    <w:rsid w:val="004370A3"/>
    <w:rsid w:val="00437B87"/>
    <w:rsid w:val="00437E0A"/>
    <w:rsid w:val="0044052D"/>
    <w:rsid w:val="00440CAB"/>
    <w:rsid w:val="00440E29"/>
    <w:rsid w:val="00440F75"/>
    <w:rsid w:val="00440FD1"/>
    <w:rsid w:val="00441457"/>
    <w:rsid w:val="00441567"/>
    <w:rsid w:val="00441605"/>
    <w:rsid w:val="004416EF"/>
    <w:rsid w:val="00441979"/>
    <w:rsid w:val="00441C7A"/>
    <w:rsid w:val="00441C88"/>
    <w:rsid w:val="00442271"/>
    <w:rsid w:val="00442274"/>
    <w:rsid w:val="00442CB6"/>
    <w:rsid w:val="00443362"/>
    <w:rsid w:val="00444199"/>
    <w:rsid w:val="00444209"/>
    <w:rsid w:val="00444241"/>
    <w:rsid w:val="004442A5"/>
    <w:rsid w:val="0044482D"/>
    <w:rsid w:val="004449BE"/>
    <w:rsid w:val="00444CEA"/>
    <w:rsid w:val="00444D7A"/>
    <w:rsid w:val="00444DD7"/>
    <w:rsid w:val="00444E2C"/>
    <w:rsid w:val="00444E79"/>
    <w:rsid w:val="00444F54"/>
    <w:rsid w:val="00445030"/>
    <w:rsid w:val="0044520B"/>
    <w:rsid w:val="004454CE"/>
    <w:rsid w:val="00445507"/>
    <w:rsid w:val="00445577"/>
    <w:rsid w:val="0044589D"/>
    <w:rsid w:val="00445D1B"/>
    <w:rsid w:val="00445E51"/>
    <w:rsid w:val="00445FEB"/>
    <w:rsid w:val="0044616C"/>
    <w:rsid w:val="00446565"/>
    <w:rsid w:val="004468BE"/>
    <w:rsid w:val="00446FD9"/>
    <w:rsid w:val="004478A9"/>
    <w:rsid w:val="004478EC"/>
    <w:rsid w:val="00447D29"/>
    <w:rsid w:val="00447EA2"/>
    <w:rsid w:val="0045016A"/>
    <w:rsid w:val="00450483"/>
    <w:rsid w:val="0045097A"/>
    <w:rsid w:val="0045098D"/>
    <w:rsid w:val="00450C08"/>
    <w:rsid w:val="00450D80"/>
    <w:rsid w:val="00450EDE"/>
    <w:rsid w:val="00450EE4"/>
    <w:rsid w:val="00451117"/>
    <w:rsid w:val="0045131A"/>
    <w:rsid w:val="004515FE"/>
    <w:rsid w:val="00451A05"/>
    <w:rsid w:val="00451AD7"/>
    <w:rsid w:val="00451E5C"/>
    <w:rsid w:val="0045234E"/>
    <w:rsid w:val="004523CC"/>
    <w:rsid w:val="004524FA"/>
    <w:rsid w:val="00452D56"/>
    <w:rsid w:val="0045302C"/>
    <w:rsid w:val="0045304C"/>
    <w:rsid w:val="00453207"/>
    <w:rsid w:val="004539EB"/>
    <w:rsid w:val="00454087"/>
    <w:rsid w:val="00454315"/>
    <w:rsid w:val="0045436C"/>
    <w:rsid w:val="004543AE"/>
    <w:rsid w:val="00454403"/>
    <w:rsid w:val="0045472A"/>
    <w:rsid w:val="00454740"/>
    <w:rsid w:val="004548F3"/>
    <w:rsid w:val="004548F5"/>
    <w:rsid w:val="00454EA3"/>
    <w:rsid w:val="00454EF6"/>
    <w:rsid w:val="0045511D"/>
    <w:rsid w:val="00455534"/>
    <w:rsid w:val="004558C0"/>
    <w:rsid w:val="00455C18"/>
    <w:rsid w:val="004560C7"/>
    <w:rsid w:val="0045620D"/>
    <w:rsid w:val="0045635B"/>
    <w:rsid w:val="004564D0"/>
    <w:rsid w:val="0045668B"/>
    <w:rsid w:val="004567C3"/>
    <w:rsid w:val="00456B46"/>
    <w:rsid w:val="00456BDF"/>
    <w:rsid w:val="00456C66"/>
    <w:rsid w:val="00457696"/>
    <w:rsid w:val="00457E55"/>
    <w:rsid w:val="00457E73"/>
    <w:rsid w:val="0046040C"/>
    <w:rsid w:val="00460530"/>
    <w:rsid w:val="004605FA"/>
    <w:rsid w:val="00460664"/>
    <w:rsid w:val="004608B8"/>
    <w:rsid w:val="004609EF"/>
    <w:rsid w:val="00461056"/>
    <w:rsid w:val="00461330"/>
    <w:rsid w:val="00461504"/>
    <w:rsid w:val="0046185A"/>
    <w:rsid w:val="00461877"/>
    <w:rsid w:val="00461CCF"/>
    <w:rsid w:val="00461ECF"/>
    <w:rsid w:val="00462199"/>
    <w:rsid w:val="004621A8"/>
    <w:rsid w:val="0046238A"/>
    <w:rsid w:val="00462420"/>
    <w:rsid w:val="004626AC"/>
    <w:rsid w:val="00462757"/>
    <w:rsid w:val="00462789"/>
    <w:rsid w:val="004628D3"/>
    <w:rsid w:val="00462C19"/>
    <w:rsid w:val="00462C47"/>
    <w:rsid w:val="00462FCB"/>
    <w:rsid w:val="00463011"/>
    <w:rsid w:val="004632A7"/>
    <w:rsid w:val="004635BE"/>
    <w:rsid w:val="00463658"/>
    <w:rsid w:val="00463A2F"/>
    <w:rsid w:val="00463A5B"/>
    <w:rsid w:val="00463D19"/>
    <w:rsid w:val="00463FB8"/>
    <w:rsid w:val="004641B5"/>
    <w:rsid w:val="00464396"/>
    <w:rsid w:val="0046497A"/>
    <w:rsid w:val="004649A6"/>
    <w:rsid w:val="00464B0A"/>
    <w:rsid w:val="00464B4F"/>
    <w:rsid w:val="00464E8A"/>
    <w:rsid w:val="00464F96"/>
    <w:rsid w:val="00465217"/>
    <w:rsid w:val="004657EA"/>
    <w:rsid w:val="00465D53"/>
    <w:rsid w:val="00465FB4"/>
    <w:rsid w:val="00466125"/>
    <w:rsid w:val="004663FC"/>
    <w:rsid w:val="004664AC"/>
    <w:rsid w:val="004665F4"/>
    <w:rsid w:val="0046664F"/>
    <w:rsid w:val="004666E7"/>
    <w:rsid w:val="0046670A"/>
    <w:rsid w:val="004667AD"/>
    <w:rsid w:val="00466992"/>
    <w:rsid w:val="00466A33"/>
    <w:rsid w:val="00466BE4"/>
    <w:rsid w:val="00466E4C"/>
    <w:rsid w:val="004670C8"/>
    <w:rsid w:val="004670CC"/>
    <w:rsid w:val="004671DD"/>
    <w:rsid w:val="004672CA"/>
    <w:rsid w:val="004675B3"/>
    <w:rsid w:val="0046776C"/>
    <w:rsid w:val="00467D00"/>
    <w:rsid w:val="00467D14"/>
    <w:rsid w:val="00467D69"/>
    <w:rsid w:val="00470099"/>
    <w:rsid w:val="00470136"/>
    <w:rsid w:val="00470468"/>
    <w:rsid w:val="00470488"/>
    <w:rsid w:val="0047055E"/>
    <w:rsid w:val="00470848"/>
    <w:rsid w:val="00470871"/>
    <w:rsid w:val="00470A58"/>
    <w:rsid w:val="00470B7A"/>
    <w:rsid w:val="00470F6F"/>
    <w:rsid w:val="00471094"/>
    <w:rsid w:val="004712A3"/>
    <w:rsid w:val="004715E4"/>
    <w:rsid w:val="00471640"/>
    <w:rsid w:val="00471893"/>
    <w:rsid w:val="00471899"/>
    <w:rsid w:val="00471A52"/>
    <w:rsid w:val="00471C56"/>
    <w:rsid w:val="00471E35"/>
    <w:rsid w:val="00471EAE"/>
    <w:rsid w:val="00471F03"/>
    <w:rsid w:val="0047218F"/>
    <w:rsid w:val="0047222B"/>
    <w:rsid w:val="0047226F"/>
    <w:rsid w:val="004726D5"/>
    <w:rsid w:val="0047272D"/>
    <w:rsid w:val="00472855"/>
    <w:rsid w:val="00472B23"/>
    <w:rsid w:val="00472B34"/>
    <w:rsid w:val="00472DAE"/>
    <w:rsid w:val="00472E74"/>
    <w:rsid w:val="0047320C"/>
    <w:rsid w:val="0047353E"/>
    <w:rsid w:val="004735B2"/>
    <w:rsid w:val="004735F2"/>
    <w:rsid w:val="00473C9C"/>
    <w:rsid w:val="00473EEC"/>
    <w:rsid w:val="00473FAF"/>
    <w:rsid w:val="00474065"/>
    <w:rsid w:val="00474072"/>
    <w:rsid w:val="004740F4"/>
    <w:rsid w:val="0047433E"/>
    <w:rsid w:val="0047472C"/>
    <w:rsid w:val="00474786"/>
    <w:rsid w:val="00474974"/>
    <w:rsid w:val="00474D4E"/>
    <w:rsid w:val="00474D88"/>
    <w:rsid w:val="00474F12"/>
    <w:rsid w:val="0047534F"/>
    <w:rsid w:val="00475992"/>
    <w:rsid w:val="00475D40"/>
    <w:rsid w:val="00475FEC"/>
    <w:rsid w:val="00476236"/>
    <w:rsid w:val="00476625"/>
    <w:rsid w:val="00476A0D"/>
    <w:rsid w:val="00476BAC"/>
    <w:rsid w:val="00476D7E"/>
    <w:rsid w:val="00476DC0"/>
    <w:rsid w:val="00476E0B"/>
    <w:rsid w:val="00476F49"/>
    <w:rsid w:val="004771A3"/>
    <w:rsid w:val="004772A0"/>
    <w:rsid w:val="004774F6"/>
    <w:rsid w:val="0047756D"/>
    <w:rsid w:val="0047758A"/>
    <w:rsid w:val="00477622"/>
    <w:rsid w:val="00477836"/>
    <w:rsid w:val="00477B49"/>
    <w:rsid w:val="00477B69"/>
    <w:rsid w:val="00477CB0"/>
    <w:rsid w:val="00477E69"/>
    <w:rsid w:val="0048064E"/>
    <w:rsid w:val="00480748"/>
    <w:rsid w:val="00480E5C"/>
    <w:rsid w:val="00480F66"/>
    <w:rsid w:val="00481415"/>
    <w:rsid w:val="0048146C"/>
    <w:rsid w:val="004814DF"/>
    <w:rsid w:val="0048150C"/>
    <w:rsid w:val="0048164A"/>
    <w:rsid w:val="004817C1"/>
    <w:rsid w:val="00481A89"/>
    <w:rsid w:val="00481E49"/>
    <w:rsid w:val="00481FAB"/>
    <w:rsid w:val="004823B3"/>
    <w:rsid w:val="004823B4"/>
    <w:rsid w:val="004825D6"/>
    <w:rsid w:val="004825E5"/>
    <w:rsid w:val="004826A3"/>
    <w:rsid w:val="00482709"/>
    <w:rsid w:val="00482B0A"/>
    <w:rsid w:val="00482C28"/>
    <w:rsid w:val="00482F4F"/>
    <w:rsid w:val="00482FE7"/>
    <w:rsid w:val="00483975"/>
    <w:rsid w:val="00483AC1"/>
    <w:rsid w:val="00483DA1"/>
    <w:rsid w:val="00483DED"/>
    <w:rsid w:val="00483E33"/>
    <w:rsid w:val="00483E8E"/>
    <w:rsid w:val="00483FCE"/>
    <w:rsid w:val="0048423B"/>
    <w:rsid w:val="00484269"/>
    <w:rsid w:val="004843DF"/>
    <w:rsid w:val="0048445C"/>
    <w:rsid w:val="0048460C"/>
    <w:rsid w:val="004847D7"/>
    <w:rsid w:val="004849DB"/>
    <w:rsid w:val="00484D30"/>
    <w:rsid w:val="00484E51"/>
    <w:rsid w:val="00484FC5"/>
    <w:rsid w:val="00485184"/>
    <w:rsid w:val="004851EF"/>
    <w:rsid w:val="0048571D"/>
    <w:rsid w:val="00485861"/>
    <w:rsid w:val="00485E0C"/>
    <w:rsid w:val="00486355"/>
    <w:rsid w:val="00486379"/>
    <w:rsid w:val="00486729"/>
    <w:rsid w:val="004868A6"/>
    <w:rsid w:val="0048699A"/>
    <w:rsid w:val="00486ABB"/>
    <w:rsid w:val="0048718B"/>
    <w:rsid w:val="004871AB"/>
    <w:rsid w:val="004871D9"/>
    <w:rsid w:val="0048740B"/>
    <w:rsid w:val="00487818"/>
    <w:rsid w:val="0048784E"/>
    <w:rsid w:val="004878A8"/>
    <w:rsid w:val="00487EEE"/>
    <w:rsid w:val="00487F95"/>
    <w:rsid w:val="0049022B"/>
    <w:rsid w:val="00490310"/>
    <w:rsid w:val="0049050C"/>
    <w:rsid w:val="00490786"/>
    <w:rsid w:val="00490F59"/>
    <w:rsid w:val="00491226"/>
    <w:rsid w:val="004913B3"/>
    <w:rsid w:val="00491491"/>
    <w:rsid w:val="004915C1"/>
    <w:rsid w:val="004915E9"/>
    <w:rsid w:val="0049167B"/>
    <w:rsid w:val="00491A29"/>
    <w:rsid w:val="00491BCD"/>
    <w:rsid w:val="00491C94"/>
    <w:rsid w:val="00492111"/>
    <w:rsid w:val="004927E5"/>
    <w:rsid w:val="0049291C"/>
    <w:rsid w:val="00492BA8"/>
    <w:rsid w:val="00492F45"/>
    <w:rsid w:val="00492FEA"/>
    <w:rsid w:val="004930B8"/>
    <w:rsid w:val="0049395F"/>
    <w:rsid w:val="00493964"/>
    <w:rsid w:val="00493A07"/>
    <w:rsid w:val="00493AB6"/>
    <w:rsid w:val="00493C51"/>
    <w:rsid w:val="00493C9F"/>
    <w:rsid w:val="00493ED8"/>
    <w:rsid w:val="00493EE0"/>
    <w:rsid w:val="004942F8"/>
    <w:rsid w:val="004947E0"/>
    <w:rsid w:val="00494A48"/>
    <w:rsid w:val="00494B6F"/>
    <w:rsid w:val="00494B9D"/>
    <w:rsid w:val="00494F29"/>
    <w:rsid w:val="00495165"/>
    <w:rsid w:val="0049525E"/>
    <w:rsid w:val="004954F0"/>
    <w:rsid w:val="00495734"/>
    <w:rsid w:val="0049582D"/>
    <w:rsid w:val="00495CC6"/>
    <w:rsid w:val="004960F2"/>
    <w:rsid w:val="00496183"/>
    <w:rsid w:val="004965AD"/>
    <w:rsid w:val="00496748"/>
    <w:rsid w:val="004968A1"/>
    <w:rsid w:val="00496970"/>
    <w:rsid w:val="00496A2B"/>
    <w:rsid w:val="004972DD"/>
    <w:rsid w:val="0049742A"/>
    <w:rsid w:val="004975F9"/>
    <w:rsid w:val="004979F3"/>
    <w:rsid w:val="00497AE5"/>
    <w:rsid w:val="00497E49"/>
    <w:rsid w:val="00497E8D"/>
    <w:rsid w:val="004A0038"/>
    <w:rsid w:val="004A07BF"/>
    <w:rsid w:val="004A0ECE"/>
    <w:rsid w:val="004A0F50"/>
    <w:rsid w:val="004A107E"/>
    <w:rsid w:val="004A108E"/>
    <w:rsid w:val="004A10EC"/>
    <w:rsid w:val="004A11CD"/>
    <w:rsid w:val="004A1B0F"/>
    <w:rsid w:val="004A1BB5"/>
    <w:rsid w:val="004A1DB0"/>
    <w:rsid w:val="004A1E94"/>
    <w:rsid w:val="004A1EE1"/>
    <w:rsid w:val="004A2150"/>
    <w:rsid w:val="004A21D7"/>
    <w:rsid w:val="004A229C"/>
    <w:rsid w:val="004A24CC"/>
    <w:rsid w:val="004A25E1"/>
    <w:rsid w:val="004A2651"/>
    <w:rsid w:val="004A2653"/>
    <w:rsid w:val="004A2771"/>
    <w:rsid w:val="004A2776"/>
    <w:rsid w:val="004A29A0"/>
    <w:rsid w:val="004A2D14"/>
    <w:rsid w:val="004A2DD8"/>
    <w:rsid w:val="004A2E49"/>
    <w:rsid w:val="004A2F33"/>
    <w:rsid w:val="004A31FA"/>
    <w:rsid w:val="004A32C8"/>
    <w:rsid w:val="004A3349"/>
    <w:rsid w:val="004A356B"/>
    <w:rsid w:val="004A359F"/>
    <w:rsid w:val="004A378B"/>
    <w:rsid w:val="004A3968"/>
    <w:rsid w:val="004A3985"/>
    <w:rsid w:val="004A3A49"/>
    <w:rsid w:val="004A3C3B"/>
    <w:rsid w:val="004A3F14"/>
    <w:rsid w:val="004A40E0"/>
    <w:rsid w:val="004A414B"/>
    <w:rsid w:val="004A46EB"/>
    <w:rsid w:val="004A4B50"/>
    <w:rsid w:val="004A4DE5"/>
    <w:rsid w:val="004A4EB5"/>
    <w:rsid w:val="004A50E7"/>
    <w:rsid w:val="004A5143"/>
    <w:rsid w:val="004A5182"/>
    <w:rsid w:val="004A57E1"/>
    <w:rsid w:val="004A5911"/>
    <w:rsid w:val="004A5A3B"/>
    <w:rsid w:val="004A5B40"/>
    <w:rsid w:val="004A5C35"/>
    <w:rsid w:val="004A5C3B"/>
    <w:rsid w:val="004A5CE5"/>
    <w:rsid w:val="004A619C"/>
    <w:rsid w:val="004A66B5"/>
    <w:rsid w:val="004A6933"/>
    <w:rsid w:val="004A6C7B"/>
    <w:rsid w:val="004A6DC8"/>
    <w:rsid w:val="004A6FCC"/>
    <w:rsid w:val="004A6FF0"/>
    <w:rsid w:val="004A7259"/>
    <w:rsid w:val="004A7432"/>
    <w:rsid w:val="004A7488"/>
    <w:rsid w:val="004A79D4"/>
    <w:rsid w:val="004A7B51"/>
    <w:rsid w:val="004A7FA4"/>
    <w:rsid w:val="004B0029"/>
    <w:rsid w:val="004B0154"/>
    <w:rsid w:val="004B017B"/>
    <w:rsid w:val="004B072F"/>
    <w:rsid w:val="004B0913"/>
    <w:rsid w:val="004B0A7B"/>
    <w:rsid w:val="004B0A99"/>
    <w:rsid w:val="004B0CFC"/>
    <w:rsid w:val="004B0EC9"/>
    <w:rsid w:val="004B136E"/>
    <w:rsid w:val="004B1439"/>
    <w:rsid w:val="004B1697"/>
    <w:rsid w:val="004B16B3"/>
    <w:rsid w:val="004B1810"/>
    <w:rsid w:val="004B19D3"/>
    <w:rsid w:val="004B1B64"/>
    <w:rsid w:val="004B1C0A"/>
    <w:rsid w:val="004B1CF7"/>
    <w:rsid w:val="004B2106"/>
    <w:rsid w:val="004B24F2"/>
    <w:rsid w:val="004B265C"/>
    <w:rsid w:val="004B2939"/>
    <w:rsid w:val="004B2956"/>
    <w:rsid w:val="004B2A7B"/>
    <w:rsid w:val="004B2A82"/>
    <w:rsid w:val="004B3243"/>
    <w:rsid w:val="004B32D3"/>
    <w:rsid w:val="004B33AE"/>
    <w:rsid w:val="004B36A9"/>
    <w:rsid w:val="004B370A"/>
    <w:rsid w:val="004B38B6"/>
    <w:rsid w:val="004B3ADA"/>
    <w:rsid w:val="004B3C40"/>
    <w:rsid w:val="004B3CFE"/>
    <w:rsid w:val="004B43C9"/>
    <w:rsid w:val="004B45BC"/>
    <w:rsid w:val="004B461A"/>
    <w:rsid w:val="004B467B"/>
    <w:rsid w:val="004B489E"/>
    <w:rsid w:val="004B4CC3"/>
    <w:rsid w:val="004B4F06"/>
    <w:rsid w:val="004B5192"/>
    <w:rsid w:val="004B51B5"/>
    <w:rsid w:val="004B52EE"/>
    <w:rsid w:val="004B5477"/>
    <w:rsid w:val="004B56DE"/>
    <w:rsid w:val="004B57FA"/>
    <w:rsid w:val="004B59CA"/>
    <w:rsid w:val="004B5C9B"/>
    <w:rsid w:val="004B6007"/>
    <w:rsid w:val="004B658D"/>
    <w:rsid w:val="004B67FC"/>
    <w:rsid w:val="004B6B61"/>
    <w:rsid w:val="004B6B64"/>
    <w:rsid w:val="004B6C87"/>
    <w:rsid w:val="004B6D12"/>
    <w:rsid w:val="004B6D32"/>
    <w:rsid w:val="004B6FCB"/>
    <w:rsid w:val="004B7110"/>
    <w:rsid w:val="004B71C6"/>
    <w:rsid w:val="004B7347"/>
    <w:rsid w:val="004B73E9"/>
    <w:rsid w:val="004B74CC"/>
    <w:rsid w:val="004B7B63"/>
    <w:rsid w:val="004B7F4D"/>
    <w:rsid w:val="004C0007"/>
    <w:rsid w:val="004C04D8"/>
    <w:rsid w:val="004C088D"/>
    <w:rsid w:val="004C0923"/>
    <w:rsid w:val="004C1087"/>
    <w:rsid w:val="004C1362"/>
    <w:rsid w:val="004C1C1A"/>
    <w:rsid w:val="004C1C5A"/>
    <w:rsid w:val="004C1D69"/>
    <w:rsid w:val="004C1F59"/>
    <w:rsid w:val="004C21C0"/>
    <w:rsid w:val="004C24DE"/>
    <w:rsid w:val="004C25BD"/>
    <w:rsid w:val="004C28E9"/>
    <w:rsid w:val="004C2BB5"/>
    <w:rsid w:val="004C2DE7"/>
    <w:rsid w:val="004C2E70"/>
    <w:rsid w:val="004C3364"/>
    <w:rsid w:val="004C3462"/>
    <w:rsid w:val="004C36DC"/>
    <w:rsid w:val="004C36FC"/>
    <w:rsid w:val="004C37FE"/>
    <w:rsid w:val="004C387D"/>
    <w:rsid w:val="004C39D7"/>
    <w:rsid w:val="004C3C05"/>
    <w:rsid w:val="004C3F82"/>
    <w:rsid w:val="004C415E"/>
    <w:rsid w:val="004C41A6"/>
    <w:rsid w:val="004C41D9"/>
    <w:rsid w:val="004C42B6"/>
    <w:rsid w:val="004C4A8C"/>
    <w:rsid w:val="004C4E4A"/>
    <w:rsid w:val="004C5347"/>
    <w:rsid w:val="004C5966"/>
    <w:rsid w:val="004C5A6D"/>
    <w:rsid w:val="004C5C47"/>
    <w:rsid w:val="004C5FD1"/>
    <w:rsid w:val="004C61A6"/>
    <w:rsid w:val="004C6232"/>
    <w:rsid w:val="004C64C5"/>
    <w:rsid w:val="004C64D8"/>
    <w:rsid w:val="004C65BC"/>
    <w:rsid w:val="004C689C"/>
    <w:rsid w:val="004C692F"/>
    <w:rsid w:val="004C6D38"/>
    <w:rsid w:val="004C7191"/>
    <w:rsid w:val="004C7307"/>
    <w:rsid w:val="004C734B"/>
    <w:rsid w:val="004C77CD"/>
    <w:rsid w:val="004C7889"/>
    <w:rsid w:val="004C7A23"/>
    <w:rsid w:val="004C7A66"/>
    <w:rsid w:val="004C7E9E"/>
    <w:rsid w:val="004C7E9F"/>
    <w:rsid w:val="004C7EED"/>
    <w:rsid w:val="004D0029"/>
    <w:rsid w:val="004D008B"/>
    <w:rsid w:val="004D02AB"/>
    <w:rsid w:val="004D0448"/>
    <w:rsid w:val="004D07EB"/>
    <w:rsid w:val="004D0B28"/>
    <w:rsid w:val="004D0BF1"/>
    <w:rsid w:val="004D0F59"/>
    <w:rsid w:val="004D10B7"/>
    <w:rsid w:val="004D1219"/>
    <w:rsid w:val="004D158D"/>
    <w:rsid w:val="004D1613"/>
    <w:rsid w:val="004D17AA"/>
    <w:rsid w:val="004D1A92"/>
    <w:rsid w:val="004D1DAD"/>
    <w:rsid w:val="004D2143"/>
    <w:rsid w:val="004D2515"/>
    <w:rsid w:val="004D27DD"/>
    <w:rsid w:val="004D2AA2"/>
    <w:rsid w:val="004D2AB4"/>
    <w:rsid w:val="004D2D0B"/>
    <w:rsid w:val="004D2D1E"/>
    <w:rsid w:val="004D2D59"/>
    <w:rsid w:val="004D2E02"/>
    <w:rsid w:val="004D2ECB"/>
    <w:rsid w:val="004D2F0C"/>
    <w:rsid w:val="004D30FD"/>
    <w:rsid w:val="004D317E"/>
    <w:rsid w:val="004D323C"/>
    <w:rsid w:val="004D34EA"/>
    <w:rsid w:val="004D36E0"/>
    <w:rsid w:val="004D4157"/>
    <w:rsid w:val="004D4360"/>
    <w:rsid w:val="004D455B"/>
    <w:rsid w:val="004D490A"/>
    <w:rsid w:val="004D49EB"/>
    <w:rsid w:val="004D4C77"/>
    <w:rsid w:val="004D4CAA"/>
    <w:rsid w:val="004D4D6F"/>
    <w:rsid w:val="004D50A6"/>
    <w:rsid w:val="004D536C"/>
    <w:rsid w:val="004D552D"/>
    <w:rsid w:val="004D5C02"/>
    <w:rsid w:val="004D5E1F"/>
    <w:rsid w:val="004D5E4A"/>
    <w:rsid w:val="004D61E8"/>
    <w:rsid w:val="004D6301"/>
    <w:rsid w:val="004D660F"/>
    <w:rsid w:val="004D6729"/>
    <w:rsid w:val="004D6801"/>
    <w:rsid w:val="004D6896"/>
    <w:rsid w:val="004D6905"/>
    <w:rsid w:val="004D6A9E"/>
    <w:rsid w:val="004D6B96"/>
    <w:rsid w:val="004D6DB4"/>
    <w:rsid w:val="004D6E5C"/>
    <w:rsid w:val="004D6F4E"/>
    <w:rsid w:val="004E01BD"/>
    <w:rsid w:val="004E0378"/>
    <w:rsid w:val="004E0477"/>
    <w:rsid w:val="004E0560"/>
    <w:rsid w:val="004E070D"/>
    <w:rsid w:val="004E098A"/>
    <w:rsid w:val="004E0AB5"/>
    <w:rsid w:val="004E0BFD"/>
    <w:rsid w:val="004E0C4D"/>
    <w:rsid w:val="004E0CB4"/>
    <w:rsid w:val="004E127E"/>
    <w:rsid w:val="004E1429"/>
    <w:rsid w:val="004E1894"/>
    <w:rsid w:val="004E1A1C"/>
    <w:rsid w:val="004E23EE"/>
    <w:rsid w:val="004E2504"/>
    <w:rsid w:val="004E271C"/>
    <w:rsid w:val="004E2A9F"/>
    <w:rsid w:val="004E2DE1"/>
    <w:rsid w:val="004E2E3E"/>
    <w:rsid w:val="004E2E78"/>
    <w:rsid w:val="004E3181"/>
    <w:rsid w:val="004E332D"/>
    <w:rsid w:val="004E38F4"/>
    <w:rsid w:val="004E3B38"/>
    <w:rsid w:val="004E3EF3"/>
    <w:rsid w:val="004E405F"/>
    <w:rsid w:val="004E40EC"/>
    <w:rsid w:val="004E4282"/>
    <w:rsid w:val="004E4412"/>
    <w:rsid w:val="004E451B"/>
    <w:rsid w:val="004E4AE6"/>
    <w:rsid w:val="004E4E5C"/>
    <w:rsid w:val="004E5115"/>
    <w:rsid w:val="004E51B2"/>
    <w:rsid w:val="004E5386"/>
    <w:rsid w:val="004E5479"/>
    <w:rsid w:val="004E54EF"/>
    <w:rsid w:val="004E56E7"/>
    <w:rsid w:val="004E5C07"/>
    <w:rsid w:val="004E6344"/>
    <w:rsid w:val="004E6AB5"/>
    <w:rsid w:val="004E6B50"/>
    <w:rsid w:val="004E6C6B"/>
    <w:rsid w:val="004E6D3A"/>
    <w:rsid w:val="004E6F41"/>
    <w:rsid w:val="004E70B2"/>
    <w:rsid w:val="004E70DA"/>
    <w:rsid w:val="004E76A4"/>
    <w:rsid w:val="004E7766"/>
    <w:rsid w:val="004E79D3"/>
    <w:rsid w:val="004E7A90"/>
    <w:rsid w:val="004E7B89"/>
    <w:rsid w:val="004E7D07"/>
    <w:rsid w:val="004E7D7A"/>
    <w:rsid w:val="004F0155"/>
    <w:rsid w:val="004F02A7"/>
    <w:rsid w:val="004F0602"/>
    <w:rsid w:val="004F0705"/>
    <w:rsid w:val="004F1233"/>
    <w:rsid w:val="004F12D8"/>
    <w:rsid w:val="004F151A"/>
    <w:rsid w:val="004F1646"/>
    <w:rsid w:val="004F1673"/>
    <w:rsid w:val="004F1906"/>
    <w:rsid w:val="004F19E4"/>
    <w:rsid w:val="004F1A41"/>
    <w:rsid w:val="004F1B63"/>
    <w:rsid w:val="004F1C1D"/>
    <w:rsid w:val="004F1D1B"/>
    <w:rsid w:val="004F1D37"/>
    <w:rsid w:val="004F1E75"/>
    <w:rsid w:val="004F1FEF"/>
    <w:rsid w:val="004F20BF"/>
    <w:rsid w:val="004F20EE"/>
    <w:rsid w:val="004F24D3"/>
    <w:rsid w:val="004F259D"/>
    <w:rsid w:val="004F26D6"/>
    <w:rsid w:val="004F298E"/>
    <w:rsid w:val="004F2C47"/>
    <w:rsid w:val="004F3106"/>
    <w:rsid w:val="004F3214"/>
    <w:rsid w:val="004F32CF"/>
    <w:rsid w:val="004F32E4"/>
    <w:rsid w:val="004F3313"/>
    <w:rsid w:val="004F33D5"/>
    <w:rsid w:val="004F382F"/>
    <w:rsid w:val="004F3B90"/>
    <w:rsid w:val="004F4639"/>
    <w:rsid w:val="004F46C9"/>
    <w:rsid w:val="004F48CE"/>
    <w:rsid w:val="004F4BDE"/>
    <w:rsid w:val="004F4C77"/>
    <w:rsid w:val="004F50B4"/>
    <w:rsid w:val="004F53DC"/>
    <w:rsid w:val="004F5BC6"/>
    <w:rsid w:val="004F6125"/>
    <w:rsid w:val="004F657F"/>
    <w:rsid w:val="004F6637"/>
    <w:rsid w:val="004F69AD"/>
    <w:rsid w:val="004F6E77"/>
    <w:rsid w:val="004F6FCE"/>
    <w:rsid w:val="004F7185"/>
    <w:rsid w:val="004F72B0"/>
    <w:rsid w:val="004F74F2"/>
    <w:rsid w:val="004F7713"/>
    <w:rsid w:val="004F786A"/>
    <w:rsid w:val="004F7870"/>
    <w:rsid w:val="004F7E71"/>
    <w:rsid w:val="00500149"/>
    <w:rsid w:val="005002C4"/>
    <w:rsid w:val="005006A1"/>
    <w:rsid w:val="00500989"/>
    <w:rsid w:val="00500AE5"/>
    <w:rsid w:val="00500D70"/>
    <w:rsid w:val="00500EFC"/>
    <w:rsid w:val="00500F83"/>
    <w:rsid w:val="005010FA"/>
    <w:rsid w:val="00501170"/>
    <w:rsid w:val="005012BB"/>
    <w:rsid w:val="00501395"/>
    <w:rsid w:val="005013E5"/>
    <w:rsid w:val="00501506"/>
    <w:rsid w:val="005017A2"/>
    <w:rsid w:val="005017BC"/>
    <w:rsid w:val="0050199A"/>
    <w:rsid w:val="00501CA0"/>
    <w:rsid w:val="0050260B"/>
    <w:rsid w:val="0050276A"/>
    <w:rsid w:val="005030E9"/>
    <w:rsid w:val="00503114"/>
    <w:rsid w:val="0050333A"/>
    <w:rsid w:val="00503698"/>
    <w:rsid w:val="00503728"/>
    <w:rsid w:val="005037FB"/>
    <w:rsid w:val="00503A0D"/>
    <w:rsid w:val="00503A9A"/>
    <w:rsid w:val="00503E9B"/>
    <w:rsid w:val="00504246"/>
    <w:rsid w:val="005046DA"/>
    <w:rsid w:val="0050479B"/>
    <w:rsid w:val="00504976"/>
    <w:rsid w:val="00504A1E"/>
    <w:rsid w:val="00504D6C"/>
    <w:rsid w:val="0050516C"/>
    <w:rsid w:val="005051E0"/>
    <w:rsid w:val="00505301"/>
    <w:rsid w:val="005056F9"/>
    <w:rsid w:val="00505805"/>
    <w:rsid w:val="005058FF"/>
    <w:rsid w:val="00505B8E"/>
    <w:rsid w:val="0050604A"/>
    <w:rsid w:val="00506376"/>
    <w:rsid w:val="00506432"/>
    <w:rsid w:val="00506440"/>
    <w:rsid w:val="00506548"/>
    <w:rsid w:val="00506D23"/>
    <w:rsid w:val="00506D58"/>
    <w:rsid w:val="00506F04"/>
    <w:rsid w:val="00507322"/>
    <w:rsid w:val="0050767E"/>
    <w:rsid w:val="00507788"/>
    <w:rsid w:val="005078CA"/>
    <w:rsid w:val="005078D7"/>
    <w:rsid w:val="0050DDC4"/>
    <w:rsid w:val="0050E552"/>
    <w:rsid w:val="005100D3"/>
    <w:rsid w:val="005103B8"/>
    <w:rsid w:val="005103C2"/>
    <w:rsid w:val="00510410"/>
    <w:rsid w:val="00510697"/>
    <w:rsid w:val="005106A2"/>
    <w:rsid w:val="005106D0"/>
    <w:rsid w:val="00510798"/>
    <w:rsid w:val="00510A6B"/>
    <w:rsid w:val="00510C28"/>
    <w:rsid w:val="00510E88"/>
    <w:rsid w:val="00510ED6"/>
    <w:rsid w:val="00511328"/>
    <w:rsid w:val="0051176E"/>
    <w:rsid w:val="005117C9"/>
    <w:rsid w:val="00511A1B"/>
    <w:rsid w:val="00511D05"/>
    <w:rsid w:val="005120CD"/>
    <w:rsid w:val="0051225F"/>
    <w:rsid w:val="005122CC"/>
    <w:rsid w:val="00512331"/>
    <w:rsid w:val="00513061"/>
    <w:rsid w:val="00513315"/>
    <w:rsid w:val="005135DD"/>
    <w:rsid w:val="00513701"/>
    <w:rsid w:val="00513DB7"/>
    <w:rsid w:val="00513FF9"/>
    <w:rsid w:val="00514200"/>
    <w:rsid w:val="00514290"/>
    <w:rsid w:val="005142AC"/>
    <w:rsid w:val="005143DF"/>
    <w:rsid w:val="00514441"/>
    <w:rsid w:val="00514B58"/>
    <w:rsid w:val="005156AC"/>
    <w:rsid w:val="00516428"/>
    <w:rsid w:val="00516506"/>
    <w:rsid w:val="005165F0"/>
    <w:rsid w:val="00516648"/>
    <w:rsid w:val="00516D76"/>
    <w:rsid w:val="00516DDF"/>
    <w:rsid w:val="00517126"/>
    <w:rsid w:val="00517246"/>
    <w:rsid w:val="005174B6"/>
    <w:rsid w:val="0051766E"/>
    <w:rsid w:val="00517831"/>
    <w:rsid w:val="00517A79"/>
    <w:rsid w:val="00517D78"/>
    <w:rsid w:val="00517E38"/>
    <w:rsid w:val="00517F31"/>
    <w:rsid w:val="00517F4B"/>
    <w:rsid w:val="0051B866"/>
    <w:rsid w:val="0052008D"/>
    <w:rsid w:val="005200A8"/>
    <w:rsid w:val="005203BC"/>
    <w:rsid w:val="005209AF"/>
    <w:rsid w:val="005209EC"/>
    <w:rsid w:val="00520B0D"/>
    <w:rsid w:val="00520B45"/>
    <w:rsid w:val="00520CCA"/>
    <w:rsid w:val="00520CEF"/>
    <w:rsid w:val="00521121"/>
    <w:rsid w:val="00521522"/>
    <w:rsid w:val="005215DF"/>
    <w:rsid w:val="00521955"/>
    <w:rsid w:val="0052195F"/>
    <w:rsid w:val="00521BFE"/>
    <w:rsid w:val="00521D1F"/>
    <w:rsid w:val="00521E3B"/>
    <w:rsid w:val="00521F9F"/>
    <w:rsid w:val="005220F2"/>
    <w:rsid w:val="00522242"/>
    <w:rsid w:val="0052258C"/>
    <w:rsid w:val="005225C3"/>
    <w:rsid w:val="00522604"/>
    <w:rsid w:val="00522606"/>
    <w:rsid w:val="00522955"/>
    <w:rsid w:val="00522BE6"/>
    <w:rsid w:val="00522C9B"/>
    <w:rsid w:val="0052327F"/>
    <w:rsid w:val="00523566"/>
    <w:rsid w:val="00523581"/>
    <w:rsid w:val="005236DB"/>
    <w:rsid w:val="0052370C"/>
    <w:rsid w:val="00523974"/>
    <w:rsid w:val="005239D2"/>
    <w:rsid w:val="00523B22"/>
    <w:rsid w:val="00523E8F"/>
    <w:rsid w:val="00524052"/>
    <w:rsid w:val="00524421"/>
    <w:rsid w:val="005245F4"/>
    <w:rsid w:val="0052472B"/>
    <w:rsid w:val="00524AEE"/>
    <w:rsid w:val="00525323"/>
    <w:rsid w:val="005254E0"/>
    <w:rsid w:val="0052558F"/>
    <w:rsid w:val="00525F39"/>
    <w:rsid w:val="00526345"/>
    <w:rsid w:val="0052661E"/>
    <w:rsid w:val="00526874"/>
    <w:rsid w:val="005268A0"/>
    <w:rsid w:val="00526F18"/>
    <w:rsid w:val="005272AA"/>
    <w:rsid w:val="00527323"/>
    <w:rsid w:val="00527349"/>
    <w:rsid w:val="005274CC"/>
    <w:rsid w:val="00527910"/>
    <w:rsid w:val="00527B70"/>
    <w:rsid w:val="00527DD2"/>
    <w:rsid w:val="00527EEF"/>
    <w:rsid w:val="00527F94"/>
    <w:rsid w:val="0052BF7B"/>
    <w:rsid w:val="005302D7"/>
    <w:rsid w:val="00530413"/>
    <w:rsid w:val="005305F5"/>
    <w:rsid w:val="00530617"/>
    <w:rsid w:val="0053094C"/>
    <w:rsid w:val="00530AFC"/>
    <w:rsid w:val="00530BA6"/>
    <w:rsid w:val="00530E77"/>
    <w:rsid w:val="005313C0"/>
    <w:rsid w:val="0053154C"/>
    <w:rsid w:val="0053199B"/>
    <w:rsid w:val="005319DD"/>
    <w:rsid w:val="00531B4A"/>
    <w:rsid w:val="00531D63"/>
    <w:rsid w:val="00531F5E"/>
    <w:rsid w:val="005320BF"/>
    <w:rsid w:val="005320CB"/>
    <w:rsid w:val="005320E5"/>
    <w:rsid w:val="00532136"/>
    <w:rsid w:val="00532299"/>
    <w:rsid w:val="00532437"/>
    <w:rsid w:val="00532563"/>
    <w:rsid w:val="005329F7"/>
    <w:rsid w:val="00532DE7"/>
    <w:rsid w:val="0053329F"/>
    <w:rsid w:val="005339E7"/>
    <w:rsid w:val="00533BDD"/>
    <w:rsid w:val="00534345"/>
    <w:rsid w:val="005345A4"/>
    <w:rsid w:val="00534601"/>
    <w:rsid w:val="0053481C"/>
    <w:rsid w:val="005348D4"/>
    <w:rsid w:val="00534961"/>
    <w:rsid w:val="00534ACA"/>
    <w:rsid w:val="00534B4F"/>
    <w:rsid w:val="00535052"/>
    <w:rsid w:val="00535405"/>
    <w:rsid w:val="0053599F"/>
    <w:rsid w:val="00535C40"/>
    <w:rsid w:val="00535DF9"/>
    <w:rsid w:val="00535EB3"/>
    <w:rsid w:val="005362D5"/>
    <w:rsid w:val="00536485"/>
    <w:rsid w:val="00536538"/>
    <w:rsid w:val="00536982"/>
    <w:rsid w:val="00536BAB"/>
    <w:rsid w:val="00536C55"/>
    <w:rsid w:val="00536CE8"/>
    <w:rsid w:val="00536F58"/>
    <w:rsid w:val="00536FB6"/>
    <w:rsid w:val="00537180"/>
    <w:rsid w:val="00537306"/>
    <w:rsid w:val="00537CFD"/>
    <w:rsid w:val="00537E30"/>
    <w:rsid w:val="00540001"/>
    <w:rsid w:val="00540494"/>
    <w:rsid w:val="005405C1"/>
    <w:rsid w:val="00540D10"/>
    <w:rsid w:val="00540D1A"/>
    <w:rsid w:val="005411D6"/>
    <w:rsid w:val="00541574"/>
    <w:rsid w:val="0054180E"/>
    <w:rsid w:val="005419B9"/>
    <w:rsid w:val="005419F1"/>
    <w:rsid w:val="00541CEF"/>
    <w:rsid w:val="00541E16"/>
    <w:rsid w:val="0054226D"/>
    <w:rsid w:val="005423D6"/>
    <w:rsid w:val="0054259E"/>
    <w:rsid w:val="005427C6"/>
    <w:rsid w:val="00542892"/>
    <w:rsid w:val="00542A62"/>
    <w:rsid w:val="00542A94"/>
    <w:rsid w:val="00542BEC"/>
    <w:rsid w:val="00542CA0"/>
    <w:rsid w:val="00542F7F"/>
    <w:rsid w:val="005433C6"/>
    <w:rsid w:val="005438CB"/>
    <w:rsid w:val="00543ABD"/>
    <w:rsid w:val="00543E5E"/>
    <w:rsid w:val="00543F58"/>
    <w:rsid w:val="00543F92"/>
    <w:rsid w:val="00544082"/>
    <w:rsid w:val="005444EA"/>
    <w:rsid w:val="00544518"/>
    <w:rsid w:val="00544662"/>
    <w:rsid w:val="00544824"/>
    <w:rsid w:val="00544B13"/>
    <w:rsid w:val="00544BE9"/>
    <w:rsid w:val="00544C5D"/>
    <w:rsid w:val="005450DB"/>
    <w:rsid w:val="005458E6"/>
    <w:rsid w:val="00545C24"/>
    <w:rsid w:val="00545F41"/>
    <w:rsid w:val="0054648E"/>
    <w:rsid w:val="0054675B"/>
    <w:rsid w:val="00546773"/>
    <w:rsid w:val="005467E5"/>
    <w:rsid w:val="005468DF"/>
    <w:rsid w:val="005468EC"/>
    <w:rsid w:val="00546A15"/>
    <w:rsid w:val="00546C99"/>
    <w:rsid w:val="00546CC9"/>
    <w:rsid w:val="00546D43"/>
    <w:rsid w:val="00546F6F"/>
    <w:rsid w:val="0054707F"/>
    <w:rsid w:val="00547171"/>
    <w:rsid w:val="005473CC"/>
    <w:rsid w:val="005474D9"/>
    <w:rsid w:val="00547519"/>
    <w:rsid w:val="005476CB"/>
    <w:rsid w:val="005477A8"/>
    <w:rsid w:val="00547B65"/>
    <w:rsid w:val="00547BBA"/>
    <w:rsid w:val="00547C2E"/>
    <w:rsid w:val="00547DA8"/>
    <w:rsid w:val="00547EC0"/>
    <w:rsid w:val="0054A28D"/>
    <w:rsid w:val="005500FE"/>
    <w:rsid w:val="00550169"/>
    <w:rsid w:val="0055030B"/>
    <w:rsid w:val="0055055F"/>
    <w:rsid w:val="005505FC"/>
    <w:rsid w:val="00550763"/>
    <w:rsid w:val="0055078D"/>
    <w:rsid w:val="005509E0"/>
    <w:rsid w:val="00551055"/>
    <w:rsid w:val="0055111A"/>
    <w:rsid w:val="00551289"/>
    <w:rsid w:val="00551431"/>
    <w:rsid w:val="00551468"/>
    <w:rsid w:val="00551637"/>
    <w:rsid w:val="00551833"/>
    <w:rsid w:val="00551B21"/>
    <w:rsid w:val="005521D6"/>
    <w:rsid w:val="00552433"/>
    <w:rsid w:val="0055279A"/>
    <w:rsid w:val="00552BA5"/>
    <w:rsid w:val="00552DB2"/>
    <w:rsid w:val="005530F0"/>
    <w:rsid w:val="0055310B"/>
    <w:rsid w:val="0055352F"/>
    <w:rsid w:val="00553738"/>
    <w:rsid w:val="00553780"/>
    <w:rsid w:val="00553BAF"/>
    <w:rsid w:val="00553D01"/>
    <w:rsid w:val="00554156"/>
    <w:rsid w:val="00554190"/>
    <w:rsid w:val="005543CC"/>
    <w:rsid w:val="005548B3"/>
    <w:rsid w:val="005548CA"/>
    <w:rsid w:val="0055490A"/>
    <w:rsid w:val="00554B8D"/>
    <w:rsid w:val="00554FEA"/>
    <w:rsid w:val="00554FEF"/>
    <w:rsid w:val="00555111"/>
    <w:rsid w:val="005554FF"/>
    <w:rsid w:val="0055555A"/>
    <w:rsid w:val="0055562A"/>
    <w:rsid w:val="00555744"/>
    <w:rsid w:val="00555A1E"/>
    <w:rsid w:val="00555A6C"/>
    <w:rsid w:val="00555B91"/>
    <w:rsid w:val="00555DB4"/>
    <w:rsid w:val="00555E58"/>
    <w:rsid w:val="00555F89"/>
    <w:rsid w:val="00555FF5"/>
    <w:rsid w:val="005562C6"/>
    <w:rsid w:val="0055630A"/>
    <w:rsid w:val="005565A4"/>
    <w:rsid w:val="00556843"/>
    <w:rsid w:val="00556ABB"/>
    <w:rsid w:val="00556DC5"/>
    <w:rsid w:val="00556E00"/>
    <w:rsid w:val="00556FAB"/>
    <w:rsid w:val="005570BA"/>
    <w:rsid w:val="005579E7"/>
    <w:rsid w:val="00557CB6"/>
    <w:rsid w:val="00557DA7"/>
    <w:rsid w:val="00557F7F"/>
    <w:rsid w:val="005600DC"/>
    <w:rsid w:val="0056031A"/>
    <w:rsid w:val="00560581"/>
    <w:rsid w:val="00560674"/>
    <w:rsid w:val="00560752"/>
    <w:rsid w:val="0056097A"/>
    <w:rsid w:val="00560B11"/>
    <w:rsid w:val="00560FF9"/>
    <w:rsid w:val="00561003"/>
    <w:rsid w:val="005616E0"/>
    <w:rsid w:val="005618F4"/>
    <w:rsid w:val="00561B99"/>
    <w:rsid w:val="00561DEA"/>
    <w:rsid w:val="0056217B"/>
    <w:rsid w:val="00562375"/>
    <w:rsid w:val="00562524"/>
    <w:rsid w:val="005625A2"/>
    <w:rsid w:val="00562A9A"/>
    <w:rsid w:val="00562B6E"/>
    <w:rsid w:val="00562D40"/>
    <w:rsid w:val="00563227"/>
    <w:rsid w:val="0056323A"/>
    <w:rsid w:val="00563813"/>
    <w:rsid w:val="0056396C"/>
    <w:rsid w:val="00563C33"/>
    <w:rsid w:val="00563CE0"/>
    <w:rsid w:val="00563E48"/>
    <w:rsid w:val="00563E79"/>
    <w:rsid w:val="005640C5"/>
    <w:rsid w:val="0056417C"/>
    <w:rsid w:val="005641F8"/>
    <w:rsid w:val="0056439A"/>
    <w:rsid w:val="00564598"/>
    <w:rsid w:val="00564C22"/>
    <w:rsid w:val="00564CAF"/>
    <w:rsid w:val="00564CBB"/>
    <w:rsid w:val="00564CC4"/>
    <w:rsid w:val="00564DFC"/>
    <w:rsid w:val="00564EEE"/>
    <w:rsid w:val="00565024"/>
    <w:rsid w:val="005653EF"/>
    <w:rsid w:val="00565654"/>
    <w:rsid w:val="005656BF"/>
    <w:rsid w:val="00565761"/>
    <w:rsid w:val="005659F3"/>
    <w:rsid w:val="00565CC7"/>
    <w:rsid w:val="00566340"/>
    <w:rsid w:val="00566581"/>
    <w:rsid w:val="0056683F"/>
    <w:rsid w:val="0056691C"/>
    <w:rsid w:val="00566966"/>
    <w:rsid w:val="00566A6E"/>
    <w:rsid w:val="00566B89"/>
    <w:rsid w:val="00566D5D"/>
    <w:rsid w:val="00566E85"/>
    <w:rsid w:val="00566F50"/>
    <w:rsid w:val="005674B7"/>
    <w:rsid w:val="005678C8"/>
    <w:rsid w:val="00567C46"/>
    <w:rsid w:val="00567D19"/>
    <w:rsid w:val="00567DB8"/>
    <w:rsid w:val="00567DFF"/>
    <w:rsid w:val="0057015E"/>
    <w:rsid w:val="005702F7"/>
    <w:rsid w:val="0057030E"/>
    <w:rsid w:val="00570323"/>
    <w:rsid w:val="00570395"/>
    <w:rsid w:val="0057053D"/>
    <w:rsid w:val="0057091F"/>
    <w:rsid w:val="0057098C"/>
    <w:rsid w:val="00570D37"/>
    <w:rsid w:val="00570E0B"/>
    <w:rsid w:val="00570E42"/>
    <w:rsid w:val="00571C9C"/>
    <w:rsid w:val="00571CF5"/>
    <w:rsid w:val="00572366"/>
    <w:rsid w:val="00572608"/>
    <w:rsid w:val="0057269E"/>
    <w:rsid w:val="00572778"/>
    <w:rsid w:val="005727BD"/>
    <w:rsid w:val="00572AC1"/>
    <w:rsid w:val="00572B2F"/>
    <w:rsid w:val="00572F78"/>
    <w:rsid w:val="0057331E"/>
    <w:rsid w:val="005734B6"/>
    <w:rsid w:val="0057370E"/>
    <w:rsid w:val="0057395D"/>
    <w:rsid w:val="00573E7A"/>
    <w:rsid w:val="00573F01"/>
    <w:rsid w:val="00573F4D"/>
    <w:rsid w:val="00573FEA"/>
    <w:rsid w:val="00574129"/>
    <w:rsid w:val="005742A6"/>
    <w:rsid w:val="0057451A"/>
    <w:rsid w:val="005749F0"/>
    <w:rsid w:val="00574A06"/>
    <w:rsid w:val="00574ABD"/>
    <w:rsid w:val="00574D0F"/>
    <w:rsid w:val="00574F69"/>
    <w:rsid w:val="00574FB0"/>
    <w:rsid w:val="00575156"/>
    <w:rsid w:val="0057526A"/>
    <w:rsid w:val="00575E09"/>
    <w:rsid w:val="00575E49"/>
    <w:rsid w:val="0057619D"/>
    <w:rsid w:val="0057679C"/>
    <w:rsid w:val="00576B36"/>
    <w:rsid w:val="00576BD5"/>
    <w:rsid w:val="00576CF7"/>
    <w:rsid w:val="00576E03"/>
    <w:rsid w:val="00577152"/>
    <w:rsid w:val="00577449"/>
    <w:rsid w:val="00577491"/>
    <w:rsid w:val="005774F8"/>
    <w:rsid w:val="00577567"/>
    <w:rsid w:val="005801AB"/>
    <w:rsid w:val="00580366"/>
    <w:rsid w:val="0058089C"/>
    <w:rsid w:val="00580AA4"/>
    <w:rsid w:val="00580AEB"/>
    <w:rsid w:val="00580BE9"/>
    <w:rsid w:val="00581017"/>
    <w:rsid w:val="00581063"/>
    <w:rsid w:val="005810F1"/>
    <w:rsid w:val="00581579"/>
    <w:rsid w:val="00581609"/>
    <w:rsid w:val="0058161B"/>
    <w:rsid w:val="00581AC7"/>
    <w:rsid w:val="00581AD0"/>
    <w:rsid w:val="00581EAA"/>
    <w:rsid w:val="005821C5"/>
    <w:rsid w:val="00582245"/>
    <w:rsid w:val="00582483"/>
    <w:rsid w:val="00582C68"/>
    <w:rsid w:val="00582D6E"/>
    <w:rsid w:val="00582E60"/>
    <w:rsid w:val="00583250"/>
    <w:rsid w:val="005834C5"/>
    <w:rsid w:val="00583A3D"/>
    <w:rsid w:val="00583B55"/>
    <w:rsid w:val="00583CA1"/>
    <w:rsid w:val="00583CC9"/>
    <w:rsid w:val="00583E3C"/>
    <w:rsid w:val="00583EBE"/>
    <w:rsid w:val="005842F6"/>
    <w:rsid w:val="00584558"/>
    <w:rsid w:val="005846D9"/>
    <w:rsid w:val="005849F7"/>
    <w:rsid w:val="00584A28"/>
    <w:rsid w:val="00584D46"/>
    <w:rsid w:val="00584DB1"/>
    <w:rsid w:val="00584E96"/>
    <w:rsid w:val="0058544B"/>
    <w:rsid w:val="0058562B"/>
    <w:rsid w:val="00585890"/>
    <w:rsid w:val="00585998"/>
    <w:rsid w:val="005859B2"/>
    <w:rsid w:val="00585AE0"/>
    <w:rsid w:val="00585E59"/>
    <w:rsid w:val="00585F94"/>
    <w:rsid w:val="005864CF"/>
    <w:rsid w:val="0058657F"/>
    <w:rsid w:val="00586A45"/>
    <w:rsid w:val="00586B47"/>
    <w:rsid w:val="00586D7D"/>
    <w:rsid w:val="00586E04"/>
    <w:rsid w:val="00586EB6"/>
    <w:rsid w:val="00586F6E"/>
    <w:rsid w:val="00586FCC"/>
    <w:rsid w:val="0058702D"/>
    <w:rsid w:val="00587211"/>
    <w:rsid w:val="0058729E"/>
    <w:rsid w:val="0058756E"/>
    <w:rsid w:val="005876DF"/>
    <w:rsid w:val="00587718"/>
    <w:rsid w:val="005877AF"/>
    <w:rsid w:val="0058792F"/>
    <w:rsid w:val="00587BB4"/>
    <w:rsid w:val="00587D67"/>
    <w:rsid w:val="00590193"/>
    <w:rsid w:val="0059030F"/>
    <w:rsid w:val="00590542"/>
    <w:rsid w:val="005905B4"/>
    <w:rsid w:val="00590785"/>
    <w:rsid w:val="005908E0"/>
    <w:rsid w:val="00590BEF"/>
    <w:rsid w:val="00590C58"/>
    <w:rsid w:val="00591097"/>
    <w:rsid w:val="0059145C"/>
    <w:rsid w:val="00591676"/>
    <w:rsid w:val="00591680"/>
    <w:rsid w:val="00591C6F"/>
    <w:rsid w:val="00592402"/>
    <w:rsid w:val="0059267C"/>
    <w:rsid w:val="005926A8"/>
    <w:rsid w:val="005926B9"/>
    <w:rsid w:val="00592741"/>
    <w:rsid w:val="00592849"/>
    <w:rsid w:val="00592886"/>
    <w:rsid w:val="005928AF"/>
    <w:rsid w:val="00592A8D"/>
    <w:rsid w:val="00592BD1"/>
    <w:rsid w:val="00592DC6"/>
    <w:rsid w:val="00592E04"/>
    <w:rsid w:val="00592EE9"/>
    <w:rsid w:val="00593384"/>
    <w:rsid w:val="00593486"/>
    <w:rsid w:val="005934E6"/>
    <w:rsid w:val="005935C7"/>
    <w:rsid w:val="00593652"/>
    <w:rsid w:val="005936F4"/>
    <w:rsid w:val="00593A8A"/>
    <w:rsid w:val="00593CD3"/>
    <w:rsid w:val="00593D95"/>
    <w:rsid w:val="00593DE1"/>
    <w:rsid w:val="0059422E"/>
    <w:rsid w:val="005943A3"/>
    <w:rsid w:val="00594459"/>
    <w:rsid w:val="0059450B"/>
    <w:rsid w:val="005945A1"/>
    <w:rsid w:val="005945EA"/>
    <w:rsid w:val="00594691"/>
    <w:rsid w:val="005947CC"/>
    <w:rsid w:val="00594808"/>
    <w:rsid w:val="00594BB3"/>
    <w:rsid w:val="00594CF4"/>
    <w:rsid w:val="00594D03"/>
    <w:rsid w:val="00594E93"/>
    <w:rsid w:val="00594EB9"/>
    <w:rsid w:val="0059516E"/>
    <w:rsid w:val="00595474"/>
    <w:rsid w:val="005955CB"/>
    <w:rsid w:val="00595C99"/>
    <w:rsid w:val="00595D26"/>
    <w:rsid w:val="00595E44"/>
    <w:rsid w:val="005960A6"/>
    <w:rsid w:val="00596417"/>
    <w:rsid w:val="005964E8"/>
    <w:rsid w:val="00596895"/>
    <w:rsid w:val="00596906"/>
    <w:rsid w:val="00596C32"/>
    <w:rsid w:val="00596CA2"/>
    <w:rsid w:val="00596FAA"/>
    <w:rsid w:val="005970BF"/>
    <w:rsid w:val="005971CC"/>
    <w:rsid w:val="005972B5"/>
    <w:rsid w:val="005979DB"/>
    <w:rsid w:val="005A038B"/>
    <w:rsid w:val="005A04BB"/>
    <w:rsid w:val="005A0633"/>
    <w:rsid w:val="005A06FA"/>
    <w:rsid w:val="005A0AAA"/>
    <w:rsid w:val="005A0AAB"/>
    <w:rsid w:val="005A0B11"/>
    <w:rsid w:val="005A10F1"/>
    <w:rsid w:val="005A123E"/>
    <w:rsid w:val="005A143F"/>
    <w:rsid w:val="005A14ED"/>
    <w:rsid w:val="005A1548"/>
    <w:rsid w:val="005A1689"/>
    <w:rsid w:val="005A18B3"/>
    <w:rsid w:val="005A1A77"/>
    <w:rsid w:val="005A1A81"/>
    <w:rsid w:val="005A1DE3"/>
    <w:rsid w:val="005A1DFF"/>
    <w:rsid w:val="005A2090"/>
    <w:rsid w:val="005A2980"/>
    <w:rsid w:val="005A2997"/>
    <w:rsid w:val="005A2C2E"/>
    <w:rsid w:val="005A2C69"/>
    <w:rsid w:val="005A2E05"/>
    <w:rsid w:val="005A2E5E"/>
    <w:rsid w:val="005A2FC8"/>
    <w:rsid w:val="005A30B6"/>
    <w:rsid w:val="005A30FD"/>
    <w:rsid w:val="005A3235"/>
    <w:rsid w:val="005A326C"/>
    <w:rsid w:val="005A3461"/>
    <w:rsid w:val="005A3463"/>
    <w:rsid w:val="005A39D6"/>
    <w:rsid w:val="005A3A02"/>
    <w:rsid w:val="005A3B7F"/>
    <w:rsid w:val="005A3CEE"/>
    <w:rsid w:val="005A3E70"/>
    <w:rsid w:val="005A3F85"/>
    <w:rsid w:val="005A4450"/>
    <w:rsid w:val="005A4589"/>
    <w:rsid w:val="005A46F1"/>
    <w:rsid w:val="005A4976"/>
    <w:rsid w:val="005A4A5E"/>
    <w:rsid w:val="005A4AEF"/>
    <w:rsid w:val="005A4CDA"/>
    <w:rsid w:val="005A4FAA"/>
    <w:rsid w:val="005A5031"/>
    <w:rsid w:val="005A5186"/>
    <w:rsid w:val="005A54B5"/>
    <w:rsid w:val="005A5508"/>
    <w:rsid w:val="005A5757"/>
    <w:rsid w:val="005A5A80"/>
    <w:rsid w:val="005A5B7E"/>
    <w:rsid w:val="005A5F64"/>
    <w:rsid w:val="005A6091"/>
    <w:rsid w:val="005A633F"/>
    <w:rsid w:val="005A6420"/>
    <w:rsid w:val="005A646A"/>
    <w:rsid w:val="005A6621"/>
    <w:rsid w:val="005A677B"/>
    <w:rsid w:val="005A6DFA"/>
    <w:rsid w:val="005A6E7F"/>
    <w:rsid w:val="005A6F1A"/>
    <w:rsid w:val="005A72EB"/>
    <w:rsid w:val="005A7579"/>
    <w:rsid w:val="005A7850"/>
    <w:rsid w:val="005A7EAD"/>
    <w:rsid w:val="005A7F3C"/>
    <w:rsid w:val="005B01FD"/>
    <w:rsid w:val="005B066C"/>
    <w:rsid w:val="005B08F4"/>
    <w:rsid w:val="005B08FE"/>
    <w:rsid w:val="005B0C32"/>
    <w:rsid w:val="005B179F"/>
    <w:rsid w:val="005B187D"/>
    <w:rsid w:val="005B1ABE"/>
    <w:rsid w:val="005B1B45"/>
    <w:rsid w:val="005B1C2C"/>
    <w:rsid w:val="005B1DC9"/>
    <w:rsid w:val="005B20BD"/>
    <w:rsid w:val="005B220E"/>
    <w:rsid w:val="005B22D4"/>
    <w:rsid w:val="005B25DC"/>
    <w:rsid w:val="005B27E8"/>
    <w:rsid w:val="005B28F7"/>
    <w:rsid w:val="005B2904"/>
    <w:rsid w:val="005B2906"/>
    <w:rsid w:val="005B2BE5"/>
    <w:rsid w:val="005B2C80"/>
    <w:rsid w:val="005B2DB3"/>
    <w:rsid w:val="005B2DD4"/>
    <w:rsid w:val="005B326A"/>
    <w:rsid w:val="005B34B1"/>
    <w:rsid w:val="005B351C"/>
    <w:rsid w:val="005B3613"/>
    <w:rsid w:val="005B361B"/>
    <w:rsid w:val="005B37F9"/>
    <w:rsid w:val="005B3926"/>
    <w:rsid w:val="005B3991"/>
    <w:rsid w:val="005B3994"/>
    <w:rsid w:val="005B3CCF"/>
    <w:rsid w:val="005B3D65"/>
    <w:rsid w:val="005B3DA3"/>
    <w:rsid w:val="005B40F4"/>
    <w:rsid w:val="005B43E6"/>
    <w:rsid w:val="005B4974"/>
    <w:rsid w:val="005B4978"/>
    <w:rsid w:val="005B4D52"/>
    <w:rsid w:val="005B51FB"/>
    <w:rsid w:val="005B51FD"/>
    <w:rsid w:val="005B5763"/>
    <w:rsid w:val="005B59CB"/>
    <w:rsid w:val="005B5C9E"/>
    <w:rsid w:val="005B5E18"/>
    <w:rsid w:val="005B5E70"/>
    <w:rsid w:val="005B5EB9"/>
    <w:rsid w:val="005B63E6"/>
    <w:rsid w:val="005B65E4"/>
    <w:rsid w:val="005B685A"/>
    <w:rsid w:val="005B6A85"/>
    <w:rsid w:val="005B6ADF"/>
    <w:rsid w:val="005B6D46"/>
    <w:rsid w:val="005B70F5"/>
    <w:rsid w:val="005B71A8"/>
    <w:rsid w:val="005B7270"/>
    <w:rsid w:val="005B73AD"/>
    <w:rsid w:val="005B757E"/>
    <w:rsid w:val="005B760B"/>
    <w:rsid w:val="005B76FF"/>
    <w:rsid w:val="005B7E9B"/>
    <w:rsid w:val="005B7F82"/>
    <w:rsid w:val="005C004E"/>
    <w:rsid w:val="005C0777"/>
    <w:rsid w:val="005C0937"/>
    <w:rsid w:val="005C09AD"/>
    <w:rsid w:val="005C0B22"/>
    <w:rsid w:val="005C0CC7"/>
    <w:rsid w:val="005C1116"/>
    <w:rsid w:val="005C1188"/>
    <w:rsid w:val="005C16B5"/>
    <w:rsid w:val="005C1743"/>
    <w:rsid w:val="005C188F"/>
    <w:rsid w:val="005C1B66"/>
    <w:rsid w:val="005C1C2E"/>
    <w:rsid w:val="005C27EB"/>
    <w:rsid w:val="005C281C"/>
    <w:rsid w:val="005C28C7"/>
    <w:rsid w:val="005C2987"/>
    <w:rsid w:val="005C2D65"/>
    <w:rsid w:val="005C2EFD"/>
    <w:rsid w:val="005C2F72"/>
    <w:rsid w:val="005C2FB8"/>
    <w:rsid w:val="005C35E2"/>
    <w:rsid w:val="005C3ACF"/>
    <w:rsid w:val="005C3CB3"/>
    <w:rsid w:val="005C3E51"/>
    <w:rsid w:val="005C404E"/>
    <w:rsid w:val="005C4148"/>
    <w:rsid w:val="005C43C9"/>
    <w:rsid w:val="005C4781"/>
    <w:rsid w:val="005C4D60"/>
    <w:rsid w:val="005C5404"/>
    <w:rsid w:val="005C5CFB"/>
    <w:rsid w:val="005C5CFC"/>
    <w:rsid w:val="005C5EDC"/>
    <w:rsid w:val="005C5FCF"/>
    <w:rsid w:val="005C6079"/>
    <w:rsid w:val="005C61A5"/>
    <w:rsid w:val="005C61AB"/>
    <w:rsid w:val="005C642D"/>
    <w:rsid w:val="005C64F6"/>
    <w:rsid w:val="005C66F4"/>
    <w:rsid w:val="005C68F6"/>
    <w:rsid w:val="005C6C70"/>
    <w:rsid w:val="005C6CA1"/>
    <w:rsid w:val="005C72C2"/>
    <w:rsid w:val="005C77BF"/>
    <w:rsid w:val="005C7C91"/>
    <w:rsid w:val="005D0115"/>
    <w:rsid w:val="005D0208"/>
    <w:rsid w:val="005D02E1"/>
    <w:rsid w:val="005D041B"/>
    <w:rsid w:val="005D0662"/>
    <w:rsid w:val="005D0868"/>
    <w:rsid w:val="005D0A15"/>
    <w:rsid w:val="005D0CAC"/>
    <w:rsid w:val="005D0D2C"/>
    <w:rsid w:val="005D10C3"/>
    <w:rsid w:val="005D142A"/>
    <w:rsid w:val="005D14F4"/>
    <w:rsid w:val="005D15A2"/>
    <w:rsid w:val="005D15D9"/>
    <w:rsid w:val="005D16D0"/>
    <w:rsid w:val="005D18C1"/>
    <w:rsid w:val="005D1A0D"/>
    <w:rsid w:val="005D1AC2"/>
    <w:rsid w:val="005D241D"/>
    <w:rsid w:val="005D2748"/>
    <w:rsid w:val="005D36B4"/>
    <w:rsid w:val="005D3825"/>
    <w:rsid w:val="005D3864"/>
    <w:rsid w:val="005D38AF"/>
    <w:rsid w:val="005D3963"/>
    <w:rsid w:val="005D3AC1"/>
    <w:rsid w:val="005D3AD9"/>
    <w:rsid w:val="005D3C5B"/>
    <w:rsid w:val="005D3C9A"/>
    <w:rsid w:val="005D3CF4"/>
    <w:rsid w:val="005D3DC5"/>
    <w:rsid w:val="005D3ED2"/>
    <w:rsid w:val="005D4164"/>
    <w:rsid w:val="005D4593"/>
    <w:rsid w:val="005D471F"/>
    <w:rsid w:val="005D4B19"/>
    <w:rsid w:val="005D5382"/>
    <w:rsid w:val="005D54AB"/>
    <w:rsid w:val="005D54D1"/>
    <w:rsid w:val="005D6001"/>
    <w:rsid w:val="005D6474"/>
    <w:rsid w:val="005D64C1"/>
    <w:rsid w:val="005D64FA"/>
    <w:rsid w:val="005D6547"/>
    <w:rsid w:val="005D6FA6"/>
    <w:rsid w:val="005D727D"/>
    <w:rsid w:val="005D73FE"/>
    <w:rsid w:val="005D77D4"/>
    <w:rsid w:val="005D77E7"/>
    <w:rsid w:val="005D79D5"/>
    <w:rsid w:val="005D79F4"/>
    <w:rsid w:val="005D7B80"/>
    <w:rsid w:val="005D7D75"/>
    <w:rsid w:val="005D7EB9"/>
    <w:rsid w:val="005D8522"/>
    <w:rsid w:val="005E001C"/>
    <w:rsid w:val="005E0611"/>
    <w:rsid w:val="005E0620"/>
    <w:rsid w:val="005E065E"/>
    <w:rsid w:val="005E06F0"/>
    <w:rsid w:val="005E08D7"/>
    <w:rsid w:val="005E0B0D"/>
    <w:rsid w:val="005E0B0F"/>
    <w:rsid w:val="005E118D"/>
    <w:rsid w:val="005E131D"/>
    <w:rsid w:val="005E13C9"/>
    <w:rsid w:val="005E16AC"/>
    <w:rsid w:val="005E1781"/>
    <w:rsid w:val="005E1E44"/>
    <w:rsid w:val="005E208D"/>
    <w:rsid w:val="005E2145"/>
    <w:rsid w:val="005E22F3"/>
    <w:rsid w:val="005E23E7"/>
    <w:rsid w:val="005E2430"/>
    <w:rsid w:val="005E2951"/>
    <w:rsid w:val="005E2C31"/>
    <w:rsid w:val="005E3242"/>
    <w:rsid w:val="005E34BE"/>
    <w:rsid w:val="005E3545"/>
    <w:rsid w:val="005E369A"/>
    <w:rsid w:val="005E39C3"/>
    <w:rsid w:val="005E3DEE"/>
    <w:rsid w:val="005E3FAD"/>
    <w:rsid w:val="005E405C"/>
    <w:rsid w:val="005E43AC"/>
    <w:rsid w:val="005E43B8"/>
    <w:rsid w:val="005E4424"/>
    <w:rsid w:val="005E47B6"/>
    <w:rsid w:val="005E47C3"/>
    <w:rsid w:val="005E48EA"/>
    <w:rsid w:val="005E4F90"/>
    <w:rsid w:val="005E5158"/>
    <w:rsid w:val="005E5283"/>
    <w:rsid w:val="005E5308"/>
    <w:rsid w:val="005E55CE"/>
    <w:rsid w:val="005E578C"/>
    <w:rsid w:val="005E584B"/>
    <w:rsid w:val="005E5CDC"/>
    <w:rsid w:val="005E5CDF"/>
    <w:rsid w:val="005E5FDA"/>
    <w:rsid w:val="005E6289"/>
    <w:rsid w:val="005E6A2C"/>
    <w:rsid w:val="005E700A"/>
    <w:rsid w:val="005E734D"/>
    <w:rsid w:val="005E74C9"/>
    <w:rsid w:val="005E788C"/>
    <w:rsid w:val="005E7B57"/>
    <w:rsid w:val="005E7D13"/>
    <w:rsid w:val="005E89B1"/>
    <w:rsid w:val="005F011D"/>
    <w:rsid w:val="005F02D4"/>
    <w:rsid w:val="005F0430"/>
    <w:rsid w:val="005F05B2"/>
    <w:rsid w:val="005F0C0C"/>
    <w:rsid w:val="005F117F"/>
    <w:rsid w:val="005F12F8"/>
    <w:rsid w:val="005F14E2"/>
    <w:rsid w:val="005F193D"/>
    <w:rsid w:val="005F1BE3"/>
    <w:rsid w:val="005F1F90"/>
    <w:rsid w:val="005F2173"/>
    <w:rsid w:val="005F227E"/>
    <w:rsid w:val="005F2414"/>
    <w:rsid w:val="005F255C"/>
    <w:rsid w:val="005F27BC"/>
    <w:rsid w:val="005F2808"/>
    <w:rsid w:val="005F2AD4"/>
    <w:rsid w:val="005F2BA6"/>
    <w:rsid w:val="005F2C46"/>
    <w:rsid w:val="005F2C65"/>
    <w:rsid w:val="005F2CD1"/>
    <w:rsid w:val="005F3011"/>
    <w:rsid w:val="005F305E"/>
    <w:rsid w:val="005F3472"/>
    <w:rsid w:val="005F37C6"/>
    <w:rsid w:val="005F38F0"/>
    <w:rsid w:val="005F3A89"/>
    <w:rsid w:val="005F3C51"/>
    <w:rsid w:val="005F3C61"/>
    <w:rsid w:val="005F410A"/>
    <w:rsid w:val="005F418E"/>
    <w:rsid w:val="005F43C9"/>
    <w:rsid w:val="005F44A4"/>
    <w:rsid w:val="005F478E"/>
    <w:rsid w:val="005F4A5B"/>
    <w:rsid w:val="005F4FE3"/>
    <w:rsid w:val="005F5095"/>
    <w:rsid w:val="005F5434"/>
    <w:rsid w:val="005F58D1"/>
    <w:rsid w:val="005F59DE"/>
    <w:rsid w:val="005F5BD9"/>
    <w:rsid w:val="005F6331"/>
    <w:rsid w:val="005F6541"/>
    <w:rsid w:val="005F65DC"/>
    <w:rsid w:val="005F6973"/>
    <w:rsid w:val="005F6BDF"/>
    <w:rsid w:val="005F6C31"/>
    <w:rsid w:val="005F6D54"/>
    <w:rsid w:val="005F73CE"/>
    <w:rsid w:val="005F74E2"/>
    <w:rsid w:val="005F75D8"/>
    <w:rsid w:val="005F78F5"/>
    <w:rsid w:val="005F79EF"/>
    <w:rsid w:val="005F7C7A"/>
    <w:rsid w:val="005F7DF7"/>
    <w:rsid w:val="0060013B"/>
    <w:rsid w:val="006003E2"/>
    <w:rsid w:val="006003F7"/>
    <w:rsid w:val="0060053A"/>
    <w:rsid w:val="006005AD"/>
    <w:rsid w:val="00600792"/>
    <w:rsid w:val="00600816"/>
    <w:rsid w:val="006008AD"/>
    <w:rsid w:val="00600A90"/>
    <w:rsid w:val="00600C27"/>
    <w:rsid w:val="006011CB"/>
    <w:rsid w:val="00601314"/>
    <w:rsid w:val="00601323"/>
    <w:rsid w:val="00601598"/>
    <w:rsid w:val="006017CF"/>
    <w:rsid w:val="00601A49"/>
    <w:rsid w:val="00601A72"/>
    <w:rsid w:val="00601B3D"/>
    <w:rsid w:val="00601BC1"/>
    <w:rsid w:val="00601BC5"/>
    <w:rsid w:val="00601F47"/>
    <w:rsid w:val="006022C8"/>
    <w:rsid w:val="006023C5"/>
    <w:rsid w:val="0060251A"/>
    <w:rsid w:val="0060269F"/>
    <w:rsid w:val="0060287E"/>
    <w:rsid w:val="0060299E"/>
    <w:rsid w:val="00602CDC"/>
    <w:rsid w:val="00602CF0"/>
    <w:rsid w:val="00602ED9"/>
    <w:rsid w:val="006036D8"/>
    <w:rsid w:val="00603A59"/>
    <w:rsid w:val="00603AA9"/>
    <w:rsid w:val="00603BBB"/>
    <w:rsid w:val="00603CE2"/>
    <w:rsid w:val="00603D29"/>
    <w:rsid w:val="00603D99"/>
    <w:rsid w:val="00603FBC"/>
    <w:rsid w:val="006040A3"/>
    <w:rsid w:val="00604207"/>
    <w:rsid w:val="0060422E"/>
    <w:rsid w:val="006042AE"/>
    <w:rsid w:val="00604309"/>
    <w:rsid w:val="00604419"/>
    <w:rsid w:val="0060445F"/>
    <w:rsid w:val="0060455C"/>
    <w:rsid w:val="006045CD"/>
    <w:rsid w:val="006047BF"/>
    <w:rsid w:val="00604EC2"/>
    <w:rsid w:val="00605008"/>
    <w:rsid w:val="00605145"/>
    <w:rsid w:val="006058B1"/>
    <w:rsid w:val="006059D5"/>
    <w:rsid w:val="00605D07"/>
    <w:rsid w:val="00605ECB"/>
    <w:rsid w:val="00605FA8"/>
    <w:rsid w:val="00605FF2"/>
    <w:rsid w:val="006060D9"/>
    <w:rsid w:val="006062F5"/>
    <w:rsid w:val="00606643"/>
    <w:rsid w:val="006066F2"/>
    <w:rsid w:val="006067B0"/>
    <w:rsid w:val="006069A1"/>
    <w:rsid w:val="00606D78"/>
    <w:rsid w:val="00606EF6"/>
    <w:rsid w:val="00607030"/>
    <w:rsid w:val="006070F9"/>
    <w:rsid w:val="00607562"/>
    <w:rsid w:val="00607B1F"/>
    <w:rsid w:val="00610152"/>
    <w:rsid w:val="0061044D"/>
    <w:rsid w:val="0061078F"/>
    <w:rsid w:val="00610A7A"/>
    <w:rsid w:val="00610AD6"/>
    <w:rsid w:val="00610B0B"/>
    <w:rsid w:val="00611040"/>
    <w:rsid w:val="006111B0"/>
    <w:rsid w:val="00611537"/>
    <w:rsid w:val="006116FE"/>
    <w:rsid w:val="0061178F"/>
    <w:rsid w:val="00611904"/>
    <w:rsid w:val="00611A44"/>
    <w:rsid w:val="00611F0D"/>
    <w:rsid w:val="00611F8A"/>
    <w:rsid w:val="0061249A"/>
    <w:rsid w:val="00612783"/>
    <w:rsid w:val="00612881"/>
    <w:rsid w:val="006129D0"/>
    <w:rsid w:val="00612A20"/>
    <w:rsid w:val="00612D96"/>
    <w:rsid w:val="006131EC"/>
    <w:rsid w:val="00613219"/>
    <w:rsid w:val="00613401"/>
    <w:rsid w:val="00613448"/>
    <w:rsid w:val="0061369E"/>
    <w:rsid w:val="006136E0"/>
    <w:rsid w:val="00613BA6"/>
    <w:rsid w:val="00613D6C"/>
    <w:rsid w:val="0061408E"/>
    <w:rsid w:val="00614138"/>
    <w:rsid w:val="0061471E"/>
    <w:rsid w:val="00614C0F"/>
    <w:rsid w:val="00614D63"/>
    <w:rsid w:val="00615002"/>
    <w:rsid w:val="0061538E"/>
    <w:rsid w:val="006155F7"/>
    <w:rsid w:val="00615DD7"/>
    <w:rsid w:val="00615E24"/>
    <w:rsid w:val="00615EA5"/>
    <w:rsid w:val="00615FC3"/>
    <w:rsid w:val="0061615B"/>
    <w:rsid w:val="0061621F"/>
    <w:rsid w:val="0061653D"/>
    <w:rsid w:val="00617279"/>
    <w:rsid w:val="006175C1"/>
    <w:rsid w:val="00617685"/>
    <w:rsid w:val="006176DB"/>
    <w:rsid w:val="0061772C"/>
    <w:rsid w:val="00617897"/>
    <w:rsid w:val="00617AFB"/>
    <w:rsid w:val="00617C13"/>
    <w:rsid w:val="00617F9D"/>
    <w:rsid w:val="00617FD9"/>
    <w:rsid w:val="00620049"/>
    <w:rsid w:val="006200BC"/>
    <w:rsid w:val="00620214"/>
    <w:rsid w:val="006205F1"/>
    <w:rsid w:val="006207B3"/>
    <w:rsid w:val="006208C8"/>
    <w:rsid w:val="006209AE"/>
    <w:rsid w:val="00620C52"/>
    <w:rsid w:val="00620C81"/>
    <w:rsid w:val="00620D0B"/>
    <w:rsid w:val="00620E63"/>
    <w:rsid w:val="00621562"/>
    <w:rsid w:val="006215F6"/>
    <w:rsid w:val="0062175B"/>
    <w:rsid w:val="0062181D"/>
    <w:rsid w:val="00621964"/>
    <w:rsid w:val="00621A8D"/>
    <w:rsid w:val="00621BAB"/>
    <w:rsid w:val="00621EE8"/>
    <w:rsid w:val="00621FC9"/>
    <w:rsid w:val="00622303"/>
    <w:rsid w:val="00622480"/>
    <w:rsid w:val="00622775"/>
    <w:rsid w:val="00622971"/>
    <w:rsid w:val="00622A31"/>
    <w:rsid w:val="00622C0B"/>
    <w:rsid w:val="00622D48"/>
    <w:rsid w:val="00623044"/>
    <w:rsid w:val="00623565"/>
    <w:rsid w:val="0062373D"/>
    <w:rsid w:val="00623A42"/>
    <w:rsid w:val="00623A55"/>
    <w:rsid w:val="00623A63"/>
    <w:rsid w:val="00623A75"/>
    <w:rsid w:val="00623C64"/>
    <w:rsid w:val="00623CD1"/>
    <w:rsid w:val="00623DCB"/>
    <w:rsid w:val="00624102"/>
    <w:rsid w:val="00624762"/>
    <w:rsid w:val="00624771"/>
    <w:rsid w:val="006247AE"/>
    <w:rsid w:val="006249B2"/>
    <w:rsid w:val="00624C7F"/>
    <w:rsid w:val="00624DCC"/>
    <w:rsid w:val="00625119"/>
    <w:rsid w:val="006253FE"/>
    <w:rsid w:val="006257E3"/>
    <w:rsid w:val="0062596C"/>
    <w:rsid w:val="006259B4"/>
    <w:rsid w:val="00625A80"/>
    <w:rsid w:val="00625BC4"/>
    <w:rsid w:val="00626462"/>
    <w:rsid w:val="0062683C"/>
    <w:rsid w:val="00626B84"/>
    <w:rsid w:val="00626B9A"/>
    <w:rsid w:val="00626D14"/>
    <w:rsid w:val="00626D3A"/>
    <w:rsid w:val="00627228"/>
    <w:rsid w:val="00627790"/>
    <w:rsid w:val="0062793B"/>
    <w:rsid w:val="006279BC"/>
    <w:rsid w:val="00627A4B"/>
    <w:rsid w:val="00627A93"/>
    <w:rsid w:val="00627B55"/>
    <w:rsid w:val="00627D16"/>
    <w:rsid w:val="00627EEC"/>
    <w:rsid w:val="0062CE29"/>
    <w:rsid w:val="00630175"/>
    <w:rsid w:val="006302CC"/>
    <w:rsid w:val="006303A9"/>
    <w:rsid w:val="00630667"/>
    <w:rsid w:val="006308DB"/>
    <w:rsid w:val="00630DAB"/>
    <w:rsid w:val="00630E45"/>
    <w:rsid w:val="006317C2"/>
    <w:rsid w:val="00631A26"/>
    <w:rsid w:val="00631A89"/>
    <w:rsid w:val="00631CA9"/>
    <w:rsid w:val="00631E02"/>
    <w:rsid w:val="00631F3D"/>
    <w:rsid w:val="006321EF"/>
    <w:rsid w:val="006323D4"/>
    <w:rsid w:val="0063261E"/>
    <w:rsid w:val="00632678"/>
    <w:rsid w:val="00632873"/>
    <w:rsid w:val="00632947"/>
    <w:rsid w:val="006329AB"/>
    <w:rsid w:val="00632A72"/>
    <w:rsid w:val="00632BB1"/>
    <w:rsid w:val="00632DF0"/>
    <w:rsid w:val="00632F46"/>
    <w:rsid w:val="006330C3"/>
    <w:rsid w:val="00633247"/>
    <w:rsid w:val="006336B2"/>
    <w:rsid w:val="006336FC"/>
    <w:rsid w:val="00633796"/>
    <w:rsid w:val="0063390D"/>
    <w:rsid w:val="00633CB7"/>
    <w:rsid w:val="00633EA7"/>
    <w:rsid w:val="00634382"/>
    <w:rsid w:val="006343FF"/>
    <w:rsid w:val="00634480"/>
    <w:rsid w:val="006351E7"/>
    <w:rsid w:val="00635386"/>
    <w:rsid w:val="00635544"/>
    <w:rsid w:val="006358D2"/>
    <w:rsid w:val="00635958"/>
    <w:rsid w:val="00635D1B"/>
    <w:rsid w:val="0063627F"/>
    <w:rsid w:val="006364EF"/>
    <w:rsid w:val="00636537"/>
    <w:rsid w:val="006366B1"/>
    <w:rsid w:val="0063677B"/>
    <w:rsid w:val="0063689F"/>
    <w:rsid w:val="006369FC"/>
    <w:rsid w:val="00636DEA"/>
    <w:rsid w:val="00636E43"/>
    <w:rsid w:val="00636EB3"/>
    <w:rsid w:val="006371A7"/>
    <w:rsid w:val="00637352"/>
    <w:rsid w:val="006374BD"/>
    <w:rsid w:val="00637585"/>
    <w:rsid w:val="00637646"/>
    <w:rsid w:val="0063769F"/>
    <w:rsid w:val="0063792F"/>
    <w:rsid w:val="00637D1C"/>
    <w:rsid w:val="00637FD7"/>
    <w:rsid w:val="0063C9D2"/>
    <w:rsid w:val="0063D058"/>
    <w:rsid w:val="00640006"/>
    <w:rsid w:val="006407BA"/>
    <w:rsid w:val="00640833"/>
    <w:rsid w:val="00640A17"/>
    <w:rsid w:val="00640A82"/>
    <w:rsid w:val="00640A96"/>
    <w:rsid w:val="00640CD8"/>
    <w:rsid w:val="00640FB9"/>
    <w:rsid w:val="00641242"/>
    <w:rsid w:val="00641246"/>
    <w:rsid w:val="006416CF"/>
    <w:rsid w:val="00641DB2"/>
    <w:rsid w:val="00642070"/>
    <w:rsid w:val="0064211B"/>
    <w:rsid w:val="006421EB"/>
    <w:rsid w:val="00642211"/>
    <w:rsid w:val="0064233D"/>
    <w:rsid w:val="00642559"/>
    <w:rsid w:val="006426A7"/>
    <w:rsid w:val="00642809"/>
    <w:rsid w:val="00642CAD"/>
    <w:rsid w:val="00642EB7"/>
    <w:rsid w:val="00642ED8"/>
    <w:rsid w:val="0064382E"/>
    <w:rsid w:val="00643CA9"/>
    <w:rsid w:val="00643DB8"/>
    <w:rsid w:val="006441AB"/>
    <w:rsid w:val="00644312"/>
    <w:rsid w:val="006446A6"/>
    <w:rsid w:val="00644826"/>
    <w:rsid w:val="00644896"/>
    <w:rsid w:val="00644A80"/>
    <w:rsid w:val="00644C32"/>
    <w:rsid w:val="00644D1D"/>
    <w:rsid w:val="00644E04"/>
    <w:rsid w:val="00644F45"/>
    <w:rsid w:val="00645120"/>
    <w:rsid w:val="00645209"/>
    <w:rsid w:val="0064546B"/>
    <w:rsid w:val="006456C1"/>
    <w:rsid w:val="006457D0"/>
    <w:rsid w:val="006457DA"/>
    <w:rsid w:val="006458BC"/>
    <w:rsid w:val="00645BBD"/>
    <w:rsid w:val="00646180"/>
    <w:rsid w:val="006462C0"/>
    <w:rsid w:val="006463AF"/>
    <w:rsid w:val="00646794"/>
    <w:rsid w:val="00646B4F"/>
    <w:rsid w:val="00646BAD"/>
    <w:rsid w:val="00646BFB"/>
    <w:rsid w:val="00646C07"/>
    <w:rsid w:val="00646D41"/>
    <w:rsid w:val="00646E8D"/>
    <w:rsid w:val="00646EAB"/>
    <w:rsid w:val="00646F42"/>
    <w:rsid w:val="006471D9"/>
    <w:rsid w:val="006472C7"/>
    <w:rsid w:val="006474D0"/>
    <w:rsid w:val="006478D0"/>
    <w:rsid w:val="00647A26"/>
    <w:rsid w:val="00647A7C"/>
    <w:rsid w:val="00647AFA"/>
    <w:rsid w:val="00647B24"/>
    <w:rsid w:val="00647B5E"/>
    <w:rsid w:val="00647B82"/>
    <w:rsid w:val="00647B86"/>
    <w:rsid w:val="00647D56"/>
    <w:rsid w:val="006503C7"/>
    <w:rsid w:val="0065077A"/>
    <w:rsid w:val="006507C6"/>
    <w:rsid w:val="00650829"/>
    <w:rsid w:val="0065096F"/>
    <w:rsid w:val="006509C9"/>
    <w:rsid w:val="00650AC4"/>
    <w:rsid w:val="00650DE0"/>
    <w:rsid w:val="00651189"/>
    <w:rsid w:val="006512E4"/>
    <w:rsid w:val="006516B0"/>
    <w:rsid w:val="0065176D"/>
    <w:rsid w:val="00651828"/>
    <w:rsid w:val="00651871"/>
    <w:rsid w:val="00651AB7"/>
    <w:rsid w:val="00651F0A"/>
    <w:rsid w:val="00651F16"/>
    <w:rsid w:val="00652227"/>
    <w:rsid w:val="00652A0E"/>
    <w:rsid w:val="00652A59"/>
    <w:rsid w:val="00652AAB"/>
    <w:rsid w:val="00652BBE"/>
    <w:rsid w:val="00652DF7"/>
    <w:rsid w:val="00652F4D"/>
    <w:rsid w:val="0065331F"/>
    <w:rsid w:val="00653576"/>
    <w:rsid w:val="00653672"/>
    <w:rsid w:val="00653718"/>
    <w:rsid w:val="00653771"/>
    <w:rsid w:val="00653864"/>
    <w:rsid w:val="006538B7"/>
    <w:rsid w:val="006538BE"/>
    <w:rsid w:val="00653FE4"/>
    <w:rsid w:val="006540C6"/>
    <w:rsid w:val="00654464"/>
    <w:rsid w:val="0065491B"/>
    <w:rsid w:val="00654A00"/>
    <w:rsid w:val="006550B3"/>
    <w:rsid w:val="00655102"/>
    <w:rsid w:val="0065512E"/>
    <w:rsid w:val="00655435"/>
    <w:rsid w:val="0065569E"/>
    <w:rsid w:val="0065572D"/>
    <w:rsid w:val="006558FE"/>
    <w:rsid w:val="006559D0"/>
    <w:rsid w:val="00655B81"/>
    <w:rsid w:val="00655BF2"/>
    <w:rsid w:val="00655DEA"/>
    <w:rsid w:val="00655E27"/>
    <w:rsid w:val="00655ED1"/>
    <w:rsid w:val="00655F28"/>
    <w:rsid w:val="00655F3E"/>
    <w:rsid w:val="00656292"/>
    <w:rsid w:val="0065632C"/>
    <w:rsid w:val="0065689F"/>
    <w:rsid w:val="00656AA0"/>
    <w:rsid w:val="00656F5C"/>
    <w:rsid w:val="00657320"/>
    <w:rsid w:val="00657AD8"/>
    <w:rsid w:val="00657E76"/>
    <w:rsid w:val="00657F4A"/>
    <w:rsid w:val="0066007A"/>
    <w:rsid w:val="00660265"/>
    <w:rsid w:val="006605A3"/>
    <w:rsid w:val="006607EF"/>
    <w:rsid w:val="006607F9"/>
    <w:rsid w:val="00660C15"/>
    <w:rsid w:val="00660D23"/>
    <w:rsid w:val="00660DE7"/>
    <w:rsid w:val="006611C1"/>
    <w:rsid w:val="00661320"/>
    <w:rsid w:val="00661580"/>
    <w:rsid w:val="00661638"/>
    <w:rsid w:val="006616D2"/>
    <w:rsid w:val="00661BFF"/>
    <w:rsid w:val="00661CFA"/>
    <w:rsid w:val="00661D9A"/>
    <w:rsid w:val="00662991"/>
    <w:rsid w:val="00662C3F"/>
    <w:rsid w:val="00662D10"/>
    <w:rsid w:val="00662E63"/>
    <w:rsid w:val="00662FBD"/>
    <w:rsid w:val="00663130"/>
    <w:rsid w:val="006632B6"/>
    <w:rsid w:val="00663623"/>
    <w:rsid w:val="006636FC"/>
    <w:rsid w:val="0066382F"/>
    <w:rsid w:val="00663939"/>
    <w:rsid w:val="00663948"/>
    <w:rsid w:val="00663C6C"/>
    <w:rsid w:val="00663CCD"/>
    <w:rsid w:val="00663DE1"/>
    <w:rsid w:val="00664254"/>
    <w:rsid w:val="00664775"/>
    <w:rsid w:val="006647CB"/>
    <w:rsid w:val="00664DE0"/>
    <w:rsid w:val="00664F0F"/>
    <w:rsid w:val="006653B6"/>
    <w:rsid w:val="00665431"/>
    <w:rsid w:val="00665578"/>
    <w:rsid w:val="00665606"/>
    <w:rsid w:val="006657AC"/>
    <w:rsid w:val="006657BE"/>
    <w:rsid w:val="00665954"/>
    <w:rsid w:val="00665DC4"/>
    <w:rsid w:val="0066623C"/>
    <w:rsid w:val="006662DC"/>
    <w:rsid w:val="00666902"/>
    <w:rsid w:val="00666988"/>
    <w:rsid w:val="00666B67"/>
    <w:rsid w:val="00666D5C"/>
    <w:rsid w:val="00666E1B"/>
    <w:rsid w:val="0066747D"/>
    <w:rsid w:val="006674C3"/>
    <w:rsid w:val="00667534"/>
    <w:rsid w:val="006675A0"/>
    <w:rsid w:val="00667618"/>
    <w:rsid w:val="006677CE"/>
    <w:rsid w:val="006678F2"/>
    <w:rsid w:val="006678FC"/>
    <w:rsid w:val="00667B37"/>
    <w:rsid w:val="00667CA1"/>
    <w:rsid w:val="00667E4B"/>
    <w:rsid w:val="00667E70"/>
    <w:rsid w:val="00670658"/>
    <w:rsid w:val="00670679"/>
    <w:rsid w:val="006706B2"/>
    <w:rsid w:val="00670717"/>
    <w:rsid w:val="00670A1C"/>
    <w:rsid w:val="00670A5C"/>
    <w:rsid w:val="00670C0E"/>
    <w:rsid w:val="00670D6A"/>
    <w:rsid w:val="00670D6B"/>
    <w:rsid w:val="00670F91"/>
    <w:rsid w:val="006710DE"/>
    <w:rsid w:val="00671436"/>
    <w:rsid w:val="006716D8"/>
    <w:rsid w:val="00671B73"/>
    <w:rsid w:val="00671E84"/>
    <w:rsid w:val="00671F9D"/>
    <w:rsid w:val="00671FEB"/>
    <w:rsid w:val="006720A1"/>
    <w:rsid w:val="006720CC"/>
    <w:rsid w:val="00672135"/>
    <w:rsid w:val="00672742"/>
    <w:rsid w:val="006728D4"/>
    <w:rsid w:val="00672AC5"/>
    <w:rsid w:val="00672B25"/>
    <w:rsid w:val="00672F6C"/>
    <w:rsid w:val="00672FDA"/>
    <w:rsid w:val="0067310D"/>
    <w:rsid w:val="0067322F"/>
    <w:rsid w:val="0067334C"/>
    <w:rsid w:val="0067389D"/>
    <w:rsid w:val="00673A53"/>
    <w:rsid w:val="00673B88"/>
    <w:rsid w:val="00673BB6"/>
    <w:rsid w:val="006742E9"/>
    <w:rsid w:val="0067435E"/>
    <w:rsid w:val="00674361"/>
    <w:rsid w:val="006743C0"/>
    <w:rsid w:val="0067459D"/>
    <w:rsid w:val="0067459E"/>
    <w:rsid w:val="00674975"/>
    <w:rsid w:val="00674B3F"/>
    <w:rsid w:val="006751F1"/>
    <w:rsid w:val="00675231"/>
    <w:rsid w:val="00675A69"/>
    <w:rsid w:val="00675C6E"/>
    <w:rsid w:val="00675CC1"/>
    <w:rsid w:val="00676089"/>
    <w:rsid w:val="006760E0"/>
    <w:rsid w:val="0067617C"/>
    <w:rsid w:val="00676222"/>
    <w:rsid w:val="00676306"/>
    <w:rsid w:val="006763CA"/>
    <w:rsid w:val="0067658C"/>
    <w:rsid w:val="00676649"/>
    <w:rsid w:val="006769F9"/>
    <w:rsid w:val="00676A58"/>
    <w:rsid w:val="00676C93"/>
    <w:rsid w:val="00676CE2"/>
    <w:rsid w:val="00676D83"/>
    <w:rsid w:val="00676F19"/>
    <w:rsid w:val="006772A9"/>
    <w:rsid w:val="00677751"/>
    <w:rsid w:val="00677A43"/>
    <w:rsid w:val="00680122"/>
    <w:rsid w:val="00680404"/>
    <w:rsid w:val="0068068E"/>
    <w:rsid w:val="00680709"/>
    <w:rsid w:val="006807A0"/>
    <w:rsid w:val="006808C8"/>
    <w:rsid w:val="006810B7"/>
    <w:rsid w:val="00681278"/>
    <w:rsid w:val="006819B5"/>
    <w:rsid w:val="00681B3A"/>
    <w:rsid w:val="00681BE8"/>
    <w:rsid w:val="00681C08"/>
    <w:rsid w:val="00681CEF"/>
    <w:rsid w:val="00681E25"/>
    <w:rsid w:val="00681E34"/>
    <w:rsid w:val="006821B2"/>
    <w:rsid w:val="0068240C"/>
    <w:rsid w:val="00682469"/>
    <w:rsid w:val="00682542"/>
    <w:rsid w:val="00682844"/>
    <w:rsid w:val="00682BF9"/>
    <w:rsid w:val="00682F41"/>
    <w:rsid w:val="00682FA2"/>
    <w:rsid w:val="00683532"/>
    <w:rsid w:val="006835D5"/>
    <w:rsid w:val="00683C18"/>
    <w:rsid w:val="00683C95"/>
    <w:rsid w:val="00684668"/>
    <w:rsid w:val="006846A8"/>
    <w:rsid w:val="006847AD"/>
    <w:rsid w:val="00684896"/>
    <w:rsid w:val="006848EE"/>
    <w:rsid w:val="00684BA9"/>
    <w:rsid w:val="00684DA6"/>
    <w:rsid w:val="00685121"/>
    <w:rsid w:val="00685179"/>
    <w:rsid w:val="006854D1"/>
    <w:rsid w:val="006855C5"/>
    <w:rsid w:val="00685647"/>
    <w:rsid w:val="00685913"/>
    <w:rsid w:val="006859E2"/>
    <w:rsid w:val="00685A40"/>
    <w:rsid w:val="00685BD6"/>
    <w:rsid w:val="00686175"/>
    <w:rsid w:val="0068627B"/>
    <w:rsid w:val="00686528"/>
    <w:rsid w:val="00686661"/>
    <w:rsid w:val="00686AE2"/>
    <w:rsid w:val="00686B61"/>
    <w:rsid w:val="00686C68"/>
    <w:rsid w:val="00686C97"/>
    <w:rsid w:val="00686E89"/>
    <w:rsid w:val="00686F71"/>
    <w:rsid w:val="006870B8"/>
    <w:rsid w:val="0068779B"/>
    <w:rsid w:val="00687825"/>
    <w:rsid w:val="006878E7"/>
    <w:rsid w:val="00687B1F"/>
    <w:rsid w:val="00687F59"/>
    <w:rsid w:val="006900EF"/>
    <w:rsid w:val="00690110"/>
    <w:rsid w:val="006906A3"/>
    <w:rsid w:val="006907B7"/>
    <w:rsid w:val="00690A8B"/>
    <w:rsid w:val="00690B8C"/>
    <w:rsid w:val="00690C8C"/>
    <w:rsid w:val="00690D5E"/>
    <w:rsid w:val="00690DC9"/>
    <w:rsid w:val="00690DF7"/>
    <w:rsid w:val="00690EC7"/>
    <w:rsid w:val="00690F65"/>
    <w:rsid w:val="0069139A"/>
    <w:rsid w:val="00691716"/>
    <w:rsid w:val="006919A2"/>
    <w:rsid w:val="00691A85"/>
    <w:rsid w:val="00691CCD"/>
    <w:rsid w:val="00691D91"/>
    <w:rsid w:val="00691E51"/>
    <w:rsid w:val="00691F57"/>
    <w:rsid w:val="00692029"/>
    <w:rsid w:val="0069225B"/>
    <w:rsid w:val="00692305"/>
    <w:rsid w:val="006924AE"/>
    <w:rsid w:val="00692C09"/>
    <w:rsid w:val="00692C43"/>
    <w:rsid w:val="00692CBA"/>
    <w:rsid w:val="00693047"/>
    <w:rsid w:val="006932D4"/>
    <w:rsid w:val="0069348B"/>
    <w:rsid w:val="0069364D"/>
    <w:rsid w:val="00693903"/>
    <w:rsid w:val="00693E22"/>
    <w:rsid w:val="00693ED9"/>
    <w:rsid w:val="00694063"/>
    <w:rsid w:val="00694103"/>
    <w:rsid w:val="006941BF"/>
    <w:rsid w:val="006941E9"/>
    <w:rsid w:val="006943FB"/>
    <w:rsid w:val="00694938"/>
    <w:rsid w:val="00694943"/>
    <w:rsid w:val="006949F6"/>
    <w:rsid w:val="00694ABE"/>
    <w:rsid w:val="00694ACA"/>
    <w:rsid w:val="00694BF6"/>
    <w:rsid w:val="00694CB5"/>
    <w:rsid w:val="00694F44"/>
    <w:rsid w:val="00694F6A"/>
    <w:rsid w:val="006950A4"/>
    <w:rsid w:val="00695637"/>
    <w:rsid w:val="00695891"/>
    <w:rsid w:val="00695AC0"/>
    <w:rsid w:val="00695B24"/>
    <w:rsid w:val="00695C01"/>
    <w:rsid w:val="00695C54"/>
    <w:rsid w:val="00695E1A"/>
    <w:rsid w:val="00696048"/>
    <w:rsid w:val="0069624A"/>
    <w:rsid w:val="0069642A"/>
    <w:rsid w:val="0069696E"/>
    <w:rsid w:val="006969B3"/>
    <w:rsid w:val="00696D6F"/>
    <w:rsid w:val="0069723A"/>
    <w:rsid w:val="0069728A"/>
    <w:rsid w:val="00697568"/>
    <w:rsid w:val="00697644"/>
    <w:rsid w:val="0069775C"/>
    <w:rsid w:val="006979DD"/>
    <w:rsid w:val="0069D5CD"/>
    <w:rsid w:val="006A041D"/>
    <w:rsid w:val="006A0439"/>
    <w:rsid w:val="006A0A5A"/>
    <w:rsid w:val="006A0E15"/>
    <w:rsid w:val="006A0EBC"/>
    <w:rsid w:val="006A0EDF"/>
    <w:rsid w:val="006A1113"/>
    <w:rsid w:val="006A1547"/>
    <w:rsid w:val="006A198C"/>
    <w:rsid w:val="006A21A8"/>
    <w:rsid w:val="006A21C7"/>
    <w:rsid w:val="006A2747"/>
    <w:rsid w:val="006A2752"/>
    <w:rsid w:val="006A29B4"/>
    <w:rsid w:val="006A2A8C"/>
    <w:rsid w:val="006A2C1A"/>
    <w:rsid w:val="006A2C23"/>
    <w:rsid w:val="006A2DE3"/>
    <w:rsid w:val="006A308B"/>
    <w:rsid w:val="006A32F4"/>
    <w:rsid w:val="006A3402"/>
    <w:rsid w:val="006A3405"/>
    <w:rsid w:val="006A34DE"/>
    <w:rsid w:val="006A39FF"/>
    <w:rsid w:val="006A3CF5"/>
    <w:rsid w:val="006A3F73"/>
    <w:rsid w:val="006A4289"/>
    <w:rsid w:val="006A42BD"/>
    <w:rsid w:val="006A430F"/>
    <w:rsid w:val="006A457D"/>
    <w:rsid w:val="006A4BA5"/>
    <w:rsid w:val="006A4C1C"/>
    <w:rsid w:val="006A4D23"/>
    <w:rsid w:val="006A5200"/>
    <w:rsid w:val="006A55C4"/>
    <w:rsid w:val="006A5739"/>
    <w:rsid w:val="006A5752"/>
    <w:rsid w:val="006A5825"/>
    <w:rsid w:val="006A58C9"/>
    <w:rsid w:val="006A5A4D"/>
    <w:rsid w:val="006A5E25"/>
    <w:rsid w:val="006A626C"/>
    <w:rsid w:val="006A67D3"/>
    <w:rsid w:val="006A6801"/>
    <w:rsid w:val="006A6837"/>
    <w:rsid w:val="006A6894"/>
    <w:rsid w:val="006A68D5"/>
    <w:rsid w:val="006A6D25"/>
    <w:rsid w:val="006A722B"/>
    <w:rsid w:val="006A7453"/>
    <w:rsid w:val="006A756D"/>
    <w:rsid w:val="006A769D"/>
    <w:rsid w:val="006A777F"/>
    <w:rsid w:val="006A790C"/>
    <w:rsid w:val="006A7973"/>
    <w:rsid w:val="006A7E8E"/>
    <w:rsid w:val="006A7E90"/>
    <w:rsid w:val="006B000E"/>
    <w:rsid w:val="006B003C"/>
    <w:rsid w:val="006B0198"/>
    <w:rsid w:val="006B0629"/>
    <w:rsid w:val="006B0B98"/>
    <w:rsid w:val="006B0DF4"/>
    <w:rsid w:val="006B1386"/>
    <w:rsid w:val="006B188A"/>
    <w:rsid w:val="006B18A3"/>
    <w:rsid w:val="006B18E2"/>
    <w:rsid w:val="006B1978"/>
    <w:rsid w:val="006B197C"/>
    <w:rsid w:val="006B1A7E"/>
    <w:rsid w:val="006B1AFC"/>
    <w:rsid w:val="006B1BB4"/>
    <w:rsid w:val="006B1DCD"/>
    <w:rsid w:val="006B1FEC"/>
    <w:rsid w:val="006B2026"/>
    <w:rsid w:val="006B26A1"/>
    <w:rsid w:val="006B2F6A"/>
    <w:rsid w:val="006B2FEE"/>
    <w:rsid w:val="006B3372"/>
    <w:rsid w:val="006B33FD"/>
    <w:rsid w:val="006B3452"/>
    <w:rsid w:val="006B399A"/>
    <w:rsid w:val="006B3E5A"/>
    <w:rsid w:val="006B424A"/>
    <w:rsid w:val="006B425B"/>
    <w:rsid w:val="006B431C"/>
    <w:rsid w:val="006B4579"/>
    <w:rsid w:val="006B45D3"/>
    <w:rsid w:val="006B4F13"/>
    <w:rsid w:val="006B4F1C"/>
    <w:rsid w:val="006B5281"/>
    <w:rsid w:val="006B5303"/>
    <w:rsid w:val="006B54D7"/>
    <w:rsid w:val="006B5524"/>
    <w:rsid w:val="006B5573"/>
    <w:rsid w:val="006B5945"/>
    <w:rsid w:val="006B5BE2"/>
    <w:rsid w:val="006B5BEE"/>
    <w:rsid w:val="006B5C1B"/>
    <w:rsid w:val="006B5CD6"/>
    <w:rsid w:val="006B5ED9"/>
    <w:rsid w:val="006B5FA4"/>
    <w:rsid w:val="006B63A5"/>
    <w:rsid w:val="006B64ED"/>
    <w:rsid w:val="006B66A0"/>
    <w:rsid w:val="006B66D1"/>
    <w:rsid w:val="006B68ED"/>
    <w:rsid w:val="006B691C"/>
    <w:rsid w:val="006B6A59"/>
    <w:rsid w:val="006B6A60"/>
    <w:rsid w:val="006B6B9E"/>
    <w:rsid w:val="006B6D20"/>
    <w:rsid w:val="006B6FD7"/>
    <w:rsid w:val="006B7138"/>
    <w:rsid w:val="006B72FC"/>
    <w:rsid w:val="006B73C5"/>
    <w:rsid w:val="006B73E6"/>
    <w:rsid w:val="006B742D"/>
    <w:rsid w:val="006B742E"/>
    <w:rsid w:val="006B7474"/>
    <w:rsid w:val="006B74CF"/>
    <w:rsid w:val="006B766B"/>
    <w:rsid w:val="006B7687"/>
    <w:rsid w:val="006B78B8"/>
    <w:rsid w:val="006B797E"/>
    <w:rsid w:val="006B7A42"/>
    <w:rsid w:val="006B7BBF"/>
    <w:rsid w:val="006B7C20"/>
    <w:rsid w:val="006B7E42"/>
    <w:rsid w:val="006C053B"/>
    <w:rsid w:val="006C05CA"/>
    <w:rsid w:val="006C0677"/>
    <w:rsid w:val="006C12A4"/>
    <w:rsid w:val="006C12AF"/>
    <w:rsid w:val="006C1636"/>
    <w:rsid w:val="006C1B8F"/>
    <w:rsid w:val="006C1D31"/>
    <w:rsid w:val="006C1FA2"/>
    <w:rsid w:val="006C25F4"/>
    <w:rsid w:val="006C2650"/>
    <w:rsid w:val="006C29C8"/>
    <w:rsid w:val="006C2AEE"/>
    <w:rsid w:val="006C2DA3"/>
    <w:rsid w:val="006C31A3"/>
    <w:rsid w:val="006C31CD"/>
    <w:rsid w:val="006C3BBA"/>
    <w:rsid w:val="006C3C59"/>
    <w:rsid w:val="006C3EA8"/>
    <w:rsid w:val="006C4276"/>
    <w:rsid w:val="006C4304"/>
    <w:rsid w:val="006C43D2"/>
    <w:rsid w:val="006C47F4"/>
    <w:rsid w:val="006C483A"/>
    <w:rsid w:val="006C4C61"/>
    <w:rsid w:val="006C4E84"/>
    <w:rsid w:val="006C4F0F"/>
    <w:rsid w:val="006C530F"/>
    <w:rsid w:val="006C5739"/>
    <w:rsid w:val="006C5758"/>
    <w:rsid w:val="006C5E6B"/>
    <w:rsid w:val="006C5F97"/>
    <w:rsid w:val="006C601C"/>
    <w:rsid w:val="006C606D"/>
    <w:rsid w:val="006C60D3"/>
    <w:rsid w:val="006C61B6"/>
    <w:rsid w:val="006C646B"/>
    <w:rsid w:val="006C6AA0"/>
    <w:rsid w:val="006C6C34"/>
    <w:rsid w:val="006C6F39"/>
    <w:rsid w:val="006C734C"/>
    <w:rsid w:val="006C7435"/>
    <w:rsid w:val="006C7797"/>
    <w:rsid w:val="006C785A"/>
    <w:rsid w:val="006C7AFA"/>
    <w:rsid w:val="006C7B7C"/>
    <w:rsid w:val="006D01A9"/>
    <w:rsid w:val="006D0580"/>
    <w:rsid w:val="006D0597"/>
    <w:rsid w:val="006D0CD1"/>
    <w:rsid w:val="006D11FF"/>
    <w:rsid w:val="006D140B"/>
    <w:rsid w:val="006D1427"/>
    <w:rsid w:val="006D172E"/>
    <w:rsid w:val="006D1982"/>
    <w:rsid w:val="006D1E70"/>
    <w:rsid w:val="006D1F0E"/>
    <w:rsid w:val="006D1F44"/>
    <w:rsid w:val="006D2191"/>
    <w:rsid w:val="006D2517"/>
    <w:rsid w:val="006D261F"/>
    <w:rsid w:val="006D2743"/>
    <w:rsid w:val="006D29F0"/>
    <w:rsid w:val="006D2BB6"/>
    <w:rsid w:val="006D2C3C"/>
    <w:rsid w:val="006D2D10"/>
    <w:rsid w:val="006D3301"/>
    <w:rsid w:val="006D3686"/>
    <w:rsid w:val="006D390E"/>
    <w:rsid w:val="006D3B50"/>
    <w:rsid w:val="006D3BF5"/>
    <w:rsid w:val="006D3D0C"/>
    <w:rsid w:val="006D3EF2"/>
    <w:rsid w:val="006D3EF5"/>
    <w:rsid w:val="006D4142"/>
    <w:rsid w:val="006D41DB"/>
    <w:rsid w:val="006D4359"/>
    <w:rsid w:val="006D44AE"/>
    <w:rsid w:val="006D466D"/>
    <w:rsid w:val="006D4BCE"/>
    <w:rsid w:val="006D4E01"/>
    <w:rsid w:val="006D5416"/>
    <w:rsid w:val="006D5B6C"/>
    <w:rsid w:val="006D5CDD"/>
    <w:rsid w:val="006D63B0"/>
    <w:rsid w:val="006D652D"/>
    <w:rsid w:val="006D668B"/>
    <w:rsid w:val="006D66D9"/>
    <w:rsid w:val="006D6A5D"/>
    <w:rsid w:val="006D6B92"/>
    <w:rsid w:val="006D6BEA"/>
    <w:rsid w:val="006D6C39"/>
    <w:rsid w:val="006D6ED4"/>
    <w:rsid w:val="006D71F0"/>
    <w:rsid w:val="006D73C7"/>
    <w:rsid w:val="006D75AC"/>
    <w:rsid w:val="006D77D9"/>
    <w:rsid w:val="006D7964"/>
    <w:rsid w:val="006D7BF0"/>
    <w:rsid w:val="006D7C47"/>
    <w:rsid w:val="006D7CFB"/>
    <w:rsid w:val="006D7D10"/>
    <w:rsid w:val="006D7D6F"/>
    <w:rsid w:val="006D7DF3"/>
    <w:rsid w:val="006E0149"/>
    <w:rsid w:val="006E024F"/>
    <w:rsid w:val="006E04D3"/>
    <w:rsid w:val="006E059B"/>
    <w:rsid w:val="006E05E9"/>
    <w:rsid w:val="006E0811"/>
    <w:rsid w:val="006E084C"/>
    <w:rsid w:val="006E0874"/>
    <w:rsid w:val="006E0B10"/>
    <w:rsid w:val="006E0CB3"/>
    <w:rsid w:val="006E0D25"/>
    <w:rsid w:val="006E0E7F"/>
    <w:rsid w:val="006E0F24"/>
    <w:rsid w:val="006E0F7A"/>
    <w:rsid w:val="006E0FD0"/>
    <w:rsid w:val="006E0FD1"/>
    <w:rsid w:val="006E0FFF"/>
    <w:rsid w:val="006E1094"/>
    <w:rsid w:val="006E1199"/>
    <w:rsid w:val="006E14C7"/>
    <w:rsid w:val="006E18B3"/>
    <w:rsid w:val="006E1B50"/>
    <w:rsid w:val="006E231F"/>
    <w:rsid w:val="006E2338"/>
    <w:rsid w:val="006E2364"/>
    <w:rsid w:val="006E23CA"/>
    <w:rsid w:val="006E2520"/>
    <w:rsid w:val="006E27F7"/>
    <w:rsid w:val="006E2811"/>
    <w:rsid w:val="006E29E3"/>
    <w:rsid w:val="006E2A59"/>
    <w:rsid w:val="006E2DFE"/>
    <w:rsid w:val="006E2FE2"/>
    <w:rsid w:val="006E320F"/>
    <w:rsid w:val="006E330F"/>
    <w:rsid w:val="006E3769"/>
    <w:rsid w:val="006E3E48"/>
    <w:rsid w:val="006E43BA"/>
    <w:rsid w:val="006E460C"/>
    <w:rsid w:val="006E466B"/>
    <w:rsid w:val="006E4968"/>
    <w:rsid w:val="006E49F6"/>
    <w:rsid w:val="006E4B78"/>
    <w:rsid w:val="006E53DF"/>
    <w:rsid w:val="006E540B"/>
    <w:rsid w:val="006E5E1C"/>
    <w:rsid w:val="006E603A"/>
    <w:rsid w:val="006E61BE"/>
    <w:rsid w:val="006E61C3"/>
    <w:rsid w:val="006E68FA"/>
    <w:rsid w:val="006E6A42"/>
    <w:rsid w:val="006E6F64"/>
    <w:rsid w:val="006E720B"/>
    <w:rsid w:val="006E73C6"/>
    <w:rsid w:val="006E749B"/>
    <w:rsid w:val="006E78CE"/>
    <w:rsid w:val="006E7906"/>
    <w:rsid w:val="006E7B2F"/>
    <w:rsid w:val="006E7F4E"/>
    <w:rsid w:val="006F00E7"/>
    <w:rsid w:val="006F02BA"/>
    <w:rsid w:val="006F030D"/>
    <w:rsid w:val="006F099C"/>
    <w:rsid w:val="006F09FC"/>
    <w:rsid w:val="006F10C7"/>
    <w:rsid w:val="006F10D8"/>
    <w:rsid w:val="006F1162"/>
    <w:rsid w:val="006F1456"/>
    <w:rsid w:val="006F1701"/>
    <w:rsid w:val="006F1BB2"/>
    <w:rsid w:val="006F1D85"/>
    <w:rsid w:val="006F2115"/>
    <w:rsid w:val="006F22A6"/>
    <w:rsid w:val="006F24EF"/>
    <w:rsid w:val="006F2557"/>
    <w:rsid w:val="006F2740"/>
    <w:rsid w:val="006F275D"/>
    <w:rsid w:val="006F2AF5"/>
    <w:rsid w:val="006F2B15"/>
    <w:rsid w:val="006F2BC5"/>
    <w:rsid w:val="006F2C83"/>
    <w:rsid w:val="006F2D62"/>
    <w:rsid w:val="006F2E00"/>
    <w:rsid w:val="006F320F"/>
    <w:rsid w:val="006F32C9"/>
    <w:rsid w:val="006F33A5"/>
    <w:rsid w:val="006F351C"/>
    <w:rsid w:val="006F370D"/>
    <w:rsid w:val="006F38FF"/>
    <w:rsid w:val="006F3A29"/>
    <w:rsid w:val="006F3AF9"/>
    <w:rsid w:val="006F3D00"/>
    <w:rsid w:val="006F3E12"/>
    <w:rsid w:val="006F3E83"/>
    <w:rsid w:val="006F3EAC"/>
    <w:rsid w:val="006F40D9"/>
    <w:rsid w:val="006F4426"/>
    <w:rsid w:val="006F4720"/>
    <w:rsid w:val="006F49F9"/>
    <w:rsid w:val="006F4EB5"/>
    <w:rsid w:val="006F512A"/>
    <w:rsid w:val="006F5165"/>
    <w:rsid w:val="006F5362"/>
    <w:rsid w:val="006F53C5"/>
    <w:rsid w:val="006F56C6"/>
    <w:rsid w:val="006F5C6F"/>
    <w:rsid w:val="006F5E20"/>
    <w:rsid w:val="006F5E2F"/>
    <w:rsid w:val="006F61DE"/>
    <w:rsid w:val="006F622B"/>
    <w:rsid w:val="006F65B2"/>
    <w:rsid w:val="006F708C"/>
    <w:rsid w:val="006F732B"/>
    <w:rsid w:val="006F77AE"/>
    <w:rsid w:val="006F7D3C"/>
    <w:rsid w:val="006F7FBA"/>
    <w:rsid w:val="0070022D"/>
    <w:rsid w:val="007002AA"/>
    <w:rsid w:val="00700356"/>
    <w:rsid w:val="00700475"/>
    <w:rsid w:val="00700518"/>
    <w:rsid w:val="00700812"/>
    <w:rsid w:val="00700A2C"/>
    <w:rsid w:val="00700A77"/>
    <w:rsid w:val="00700B05"/>
    <w:rsid w:val="007011CC"/>
    <w:rsid w:val="007012FE"/>
    <w:rsid w:val="00701337"/>
    <w:rsid w:val="007013CF"/>
    <w:rsid w:val="007016C4"/>
    <w:rsid w:val="0070171D"/>
    <w:rsid w:val="00701AB9"/>
    <w:rsid w:val="00701E70"/>
    <w:rsid w:val="00701EE3"/>
    <w:rsid w:val="0070237A"/>
    <w:rsid w:val="007025BC"/>
    <w:rsid w:val="007025C9"/>
    <w:rsid w:val="00702887"/>
    <w:rsid w:val="00702908"/>
    <w:rsid w:val="00702BB6"/>
    <w:rsid w:val="00702CA9"/>
    <w:rsid w:val="00702D7A"/>
    <w:rsid w:val="00702DED"/>
    <w:rsid w:val="00702EE5"/>
    <w:rsid w:val="007033CB"/>
    <w:rsid w:val="007036EB"/>
    <w:rsid w:val="00703735"/>
    <w:rsid w:val="007038EA"/>
    <w:rsid w:val="00703BC2"/>
    <w:rsid w:val="00704013"/>
    <w:rsid w:val="0070433B"/>
    <w:rsid w:val="0070464B"/>
    <w:rsid w:val="00704B21"/>
    <w:rsid w:val="00704CDD"/>
    <w:rsid w:val="00704FFC"/>
    <w:rsid w:val="007054DF"/>
    <w:rsid w:val="007056B2"/>
    <w:rsid w:val="007056E3"/>
    <w:rsid w:val="0070576B"/>
    <w:rsid w:val="00705B0B"/>
    <w:rsid w:val="00706326"/>
    <w:rsid w:val="00706731"/>
    <w:rsid w:val="00706974"/>
    <w:rsid w:val="00706AE4"/>
    <w:rsid w:val="00706D46"/>
    <w:rsid w:val="00706F44"/>
    <w:rsid w:val="00706F62"/>
    <w:rsid w:val="007071D9"/>
    <w:rsid w:val="0070780F"/>
    <w:rsid w:val="00707BC4"/>
    <w:rsid w:val="00707FF5"/>
    <w:rsid w:val="00710642"/>
    <w:rsid w:val="007107DE"/>
    <w:rsid w:val="0071083B"/>
    <w:rsid w:val="00710AC3"/>
    <w:rsid w:val="00710C20"/>
    <w:rsid w:val="00710C79"/>
    <w:rsid w:val="00710C86"/>
    <w:rsid w:val="00710E37"/>
    <w:rsid w:val="00710ECD"/>
    <w:rsid w:val="007112A3"/>
    <w:rsid w:val="007113E3"/>
    <w:rsid w:val="007113FB"/>
    <w:rsid w:val="0071150F"/>
    <w:rsid w:val="0071159F"/>
    <w:rsid w:val="00711A89"/>
    <w:rsid w:val="00711AFB"/>
    <w:rsid w:val="00711B52"/>
    <w:rsid w:val="00711DB5"/>
    <w:rsid w:val="007120EC"/>
    <w:rsid w:val="00712164"/>
    <w:rsid w:val="00712364"/>
    <w:rsid w:val="00712373"/>
    <w:rsid w:val="00712379"/>
    <w:rsid w:val="00712807"/>
    <w:rsid w:val="0071296F"/>
    <w:rsid w:val="00712C4B"/>
    <w:rsid w:val="00712E0D"/>
    <w:rsid w:val="00712FBF"/>
    <w:rsid w:val="0071308E"/>
    <w:rsid w:val="007133CA"/>
    <w:rsid w:val="00713414"/>
    <w:rsid w:val="00713C4C"/>
    <w:rsid w:val="00713D82"/>
    <w:rsid w:val="00713F43"/>
    <w:rsid w:val="00714000"/>
    <w:rsid w:val="007142A1"/>
    <w:rsid w:val="0071459A"/>
    <w:rsid w:val="00714682"/>
    <w:rsid w:val="0071479C"/>
    <w:rsid w:val="00714B5A"/>
    <w:rsid w:val="00714C7E"/>
    <w:rsid w:val="00714CA1"/>
    <w:rsid w:val="0071514D"/>
    <w:rsid w:val="007152FC"/>
    <w:rsid w:val="00715798"/>
    <w:rsid w:val="00715A90"/>
    <w:rsid w:val="0071605E"/>
    <w:rsid w:val="007161C4"/>
    <w:rsid w:val="00716211"/>
    <w:rsid w:val="0071649A"/>
    <w:rsid w:val="0071677D"/>
    <w:rsid w:val="007169D6"/>
    <w:rsid w:val="00716DB0"/>
    <w:rsid w:val="00716E00"/>
    <w:rsid w:val="00716ECE"/>
    <w:rsid w:val="00716F7F"/>
    <w:rsid w:val="00717022"/>
    <w:rsid w:val="0071755F"/>
    <w:rsid w:val="00717593"/>
    <w:rsid w:val="007175D3"/>
    <w:rsid w:val="00717848"/>
    <w:rsid w:val="00717F93"/>
    <w:rsid w:val="0071B0AE"/>
    <w:rsid w:val="0071B1AA"/>
    <w:rsid w:val="007204A2"/>
    <w:rsid w:val="00720999"/>
    <w:rsid w:val="00720E71"/>
    <w:rsid w:val="00720FFB"/>
    <w:rsid w:val="007210BB"/>
    <w:rsid w:val="007212EF"/>
    <w:rsid w:val="0072132F"/>
    <w:rsid w:val="0072151C"/>
    <w:rsid w:val="007215E0"/>
    <w:rsid w:val="0072192B"/>
    <w:rsid w:val="00721983"/>
    <w:rsid w:val="00721FA5"/>
    <w:rsid w:val="00722076"/>
    <w:rsid w:val="0072208D"/>
    <w:rsid w:val="00722123"/>
    <w:rsid w:val="00722124"/>
    <w:rsid w:val="0072212A"/>
    <w:rsid w:val="00722AB0"/>
    <w:rsid w:val="00722E12"/>
    <w:rsid w:val="00723199"/>
    <w:rsid w:val="007235FA"/>
    <w:rsid w:val="007238CA"/>
    <w:rsid w:val="007239A4"/>
    <w:rsid w:val="00723E8F"/>
    <w:rsid w:val="00723EBE"/>
    <w:rsid w:val="007243CB"/>
    <w:rsid w:val="00724439"/>
    <w:rsid w:val="00724A57"/>
    <w:rsid w:val="00724B5F"/>
    <w:rsid w:val="00724CBB"/>
    <w:rsid w:val="00724F6A"/>
    <w:rsid w:val="00725028"/>
    <w:rsid w:val="0072505E"/>
    <w:rsid w:val="0072547E"/>
    <w:rsid w:val="0072564B"/>
    <w:rsid w:val="0072595E"/>
    <w:rsid w:val="007259FA"/>
    <w:rsid w:val="00725C38"/>
    <w:rsid w:val="00725F54"/>
    <w:rsid w:val="007260BD"/>
    <w:rsid w:val="0072621A"/>
    <w:rsid w:val="0072621B"/>
    <w:rsid w:val="00726351"/>
    <w:rsid w:val="007263ED"/>
    <w:rsid w:val="00726900"/>
    <w:rsid w:val="00726B6F"/>
    <w:rsid w:val="00727193"/>
    <w:rsid w:val="0072748D"/>
    <w:rsid w:val="0072780A"/>
    <w:rsid w:val="00727887"/>
    <w:rsid w:val="00727942"/>
    <w:rsid w:val="00727BF2"/>
    <w:rsid w:val="00727F2B"/>
    <w:rsid w:val="0072E264"/>
    <w:rsid w:val="00730260"/>
    <w:rsid w:val="0073028F"/>
    <w:rsid w:val="007305D1"/>
    <w:rsid w:val="00730785"/>
    <w:rsid w:val="007307AB"/>
    <w:rsid w:val="007307BF"/>
    <w:rsid w:val="0073099B"/>
    <w:rsid w:val="00730A10"/>
    <w:rsid w:val="00730EF9"/>
    <w:rsid w:val="00730F8E"/>
    <w:rsid w:val="007311A5"/>
    <w:rsid w:val="0073153B"/>
    <w:rsid w:val="00731679"/>
    <w:rsid w:val="00731720"/>
    <w:rsid w:val="00731A56"/>
    <w:rsid w:val="00731CBC"/>
    <w:rsid w:val="007321FB"/>
    <w:rsid w:val="00732241"/>
    <w:rsid w:val="007323BB"/>
    <w:rsid w:val="00732571"/>
    <w:rsid w:val="0073260A"/>
    <w:rsid w:val="00732618"/>
    <w:rsid w:val="00732785"/>
    <w:rsid w:val="007327CD"/>
    <w:rsid w:val="0073291D"/>
    <w:rsid w:val="00732ACE"/>
    <w:rsid w:val="00732E55"/>
    <w:rsid w:val="00732E57"/>
    <w:rsid w:val="007338D0"/>
    <w:rsid w:val="0073394E"/>
    <w:rsid w:val="00733E48"/>
    <w:rsid w:val="00733ECC"/>
    <w:rsid w:val="00733EDA"/>
    <w:rsid w:val="00733F4F"/>
    <w:rsid w:val="00734567"/>
    <w:rsid w:val="0073480C"/>
    <w:rsid w:val="007348F2"/>
    <w:rsid w:val="00734972"/>
    <w:rsid w:val="00734A37"/>
    <w:rsid w:val="00734B59"/>
    <w:rsid w:val="00734C01"/>
    <w:rsid w:val="00734CC3"/>
    <w:rsid w:val="00734E51"/>
    <w:rsid w:val="00735244"/>
    <w:rsid w:val="00736148"/>
    <w:rsid w:val="0073618A"/>
    <w:rsid w:val="007363AA"/>
    <w:rsid w:val="007368AA"/>
    <w:rsid w:val="00736A08"/>
    <w:rsid w:val="00736A79"/>
    <w:rsid w:val="00736F11"/>
    <w:rsid w:val="00736F61"/>
    <w:rsid w:val="00736FCC"/>
    <w:rsid w:val="0073703A"/>
    <w:rsid w:val="00737A04"/>
    <w:rsid w:val="00737D6B"/>
    <w:rsid w:val="00737FD0"/>
    <w:rsid w:val="00740586"/>
    <w:rsid w:val="00740732"/>
    <w:rsid w:val="00740A0B"/>
    <w:rsid w:val="00740D7B"/>
    <w:rsid w:val="00740DE2"/>
    <w:rsid w:val="007410F2"/>
    <w:rsid w:val="00741332"/>
    <w:rsid w:val="0074196D"/>
    <w:rsid w:val="00741C20"/>
    <w:rsid w:val="00741CFE"/>
    <w:rsid w:val="00742004"/>
    <w:rsid w:val="00742012"/>
    <w:rsid w:val="00742646"/>
    <w:rsid w:val="0074268A"/>
    <w:rsid w:val="007426B5"/>
    <w:rsid w:val="00742783"/>
    <w:rsid w:val="007427F3"/>
    <w:rsid w:val="00742D33"/>
    <w:rsid w:val="00742E0B"/>
    <w:rsid w:val="007432B6"/>
    <w:rsid w:val="007434A5"/>
    <w:rsid w:val="00743AD5"/>
    <w:rsid w:val="00743AF8"/>
    <w:rsid w:val="00743E2F"/>
    <w:rsid w:val="007440C6"/>
    <w:rsid w:val="0074416B"/>
    <w:rsid w:val="007449CE"/>
    <w:rsid w:val="00744AA3"/>
    <w:rsid w:val="00744BED"/>
    <w:rsid w:val="00744DF8"/>
    <w:rsid w:val="00744EEC"/>
    <w:rsid w:val="007454DA"/>
    <w:rsid w:val="0074556B"/>
    <w:rsid w:val="007455BD"/>
    <w:rsid w:val="0074570D"/>
    <w:rsid w:val="00745BA7"/>
    <w:rsid w:val="00745F5A"/>
    <w:rsid w:val="00746023"/>
    <w:rsid w:val="00746107"/>
    <w:rsid w:val="0074615B"/>
    <w:rsid w:val="0074641D"/>
    <w:rsid w:val="00746AE0"/>
    <w:rsid w:val="00746C30"/>
    <w:rsid w:val="00746E4B"/>
    <w:rsid w:val="00746E55"/>
    <w:rsid w:val="007470C7"/>
    <w:rsid w:val="00747161"/>
    <w:rsid w:val="00747193"/>
    <w:rsid w:val="007472AD"/>
    <w:rsid w:val="007472D5"/>
    <w:rsid w:val="00747F05"/>
    <w:rsid w:val="00750119"/>
    <w:rsid w:val="00750319"/>
    <w:rsid w:val="0075037F"/>
    <w:rsid w:val="0075061C"/>
    <w:rsid w:val="0075062A"/>
    <w:rsid w:val="007507CB"/>
    <w:rsid w:val="00750E83"/>
    <w:rsid w:val="00750F81"/>
    <w:rsid w:val="007513EF"/>
    <w:rsid w:val="0075140E"/>
    <w:rsid w:val="007514CE"/>
    <w:rsid w:val="00751514"/>
    <w:rsid w:val="007515E2"/>
    <w:rsid w:val="0075162B"/>
    <w:rsid w:val="00751678"/>
    <w:rsid w:val="00751A66"/>
    <w:rsid w:val="00751B22"/>
    <w:rsid w:val="00751BD3"/>
    <w:rsid w:val="00751CB8"/>
    <w:rsid w:val="00751E98"/>
    <w:rsid w:val="007521D7"/>
    <w:rsid w:val="007522AF"/>
    <w:rsid w:val="007524D8"/>
    <w:rsid w:val="00752751"/>
    <w:rsid w:val="00752763"/>
    <w:rsid w:val="007529F2"/>
    <w:rsid w:val="00752DF9"/>
    <w:rsid w:val="00752E1E"/>
    <w:rsid w:val="007533F0"/>
    <w:rsid w:val="00753433"/>
    <w:rsid w:val="00753E04"/>
    <w:rsid w:val="00754175"/>
    <w:rsid w:val="00754A21"/>
    <w:rsid w:val="00754E76"/>
    <w:rsid w:val="00754F56"/>
    <w:rsid w:val="00755046"/>
    <w:rsid w:val="0075524E"/>
    <w:rsid w:val="007556E5"/>
    <w:rsid w:val="00755904"/>
    <w:rsid w:val="00755958"/>
    <w:rsid w:val="00755C5E"/>
    <w:rsid w:val="00755DE4"/>
    <w:rsid w:val="00755E68"/>
    <w:rsid w:val="00756129"/>
    <w:rsid w:val="00756373"/>
    <w:rsid w:val="00756977"/>
    <w:rsid w:val="00756A20"/>
    <w:rsid w:val="00756A62"/>
    <w:rsid w:val="00756B64"/>
    <w:rsid w:val="00756C1F"/>
    <w:rsid w:val="00756C40"/>
    <w:rsid w:val="0075718A"/>
    <w:rsid w:val="0075736C"/>
    <w:rsid w:val="007574C9"/>
    <w:rsid w:val="00757770"/>
    <w:rsid w:val="00757791"/>
    <w:rsid w:val="007579F3"/>
    <w:rsid w:val="00757A0F"/>
    <w:rsid w:val="00757AAD"/>
    <w:rsid w:val="00757F79"/>
    <w:rsid w:val="00758C01"/>
    <w:rsid w:val="00759A78"/>
    <w:rsid w:val="007600E0"/>
    <w:rsid w:val="007607AF"/>
    <w:rsid w:val="0076080D"/>
    <w:rsid w:val="00760B7B"/>
    <w:rsid w:val="00760BFC"/>
    <w:rsid w:val="00760C7D"/>
    <w:rsid w:val="00760E6B"/>
    <w:rsid w:val="00761071"/>
    <w:rsid w:val="007612A9"/>
    <w:rsid w:val="00761328"/>
    <w:rsid w:val="0076166B"/>
    <w:rsid w:val="0076187E"/>
    <w:rsid w:val="0076216E"/>
    <w:rsid w:val="00762DB5"/>
    <w:rsid w:val="00763140"/>
    <w:rsid w:val="007631F5"/>
    <w:rsid w:val="00763A5B"/>
    <w:rsid w:val="00763B54"/>
    <w:rsid w:val="00763CA8"/>
    <w:rsid w:val="00764468"/>
    <w:rsid w:val="00764494"/>
    <w:rsid w:val="00764544"/>
    <w:rsid w:val="007647E2"/>
    <w:rsid w:val="0076484B"/>
    <w:rsid w:val="007649B2"/>
    <w:rsid w:val="0076534A"/>
    <w:rsid w:val="00765785"/>
    <w:rsid w:val="00765AE1"/>
    <w:rsid w:val="00765D1D"/>
    <w:rsid w:val="007661AF"/>
    <w:rsid w:val="00766495"/>
    <w:rsid w:val="007665DB"/>
    <w:rsid w:val="00766941"/>
    <w:rsid w:val="00766AE1"/>
    <w:rsid w:val="00766CB8"/>
    <w:rsid w:val="00767031"/>
    <w:rsid w:val="007670C0"/>
    <w:rsid w:val="007672E3"/>
    <w:rsid w:val="0076755D"/>
    <w:rsid w:val="007677A7"/>
    <w:rsid w:val="00767B47"/>
    <w:rsid w:val="00770024"/>
    <w:rsid w:val="007700EA"/>
    <w:rsid w:val="0077046B"/>
    <w:rsid w:val="00770527"/>
    <w:rsid w:val="00770D08"/>
    <w:rsid w:val="00770E8B"/>
    <w:rsid w:val="007717B2"/>
    <w:rsid w:val="0077185A"/>
    <w:rsid w:val="0077195E"/>
    <w:rsid w:val="00771B2F"/>
    <w:rsid w:val="00772098"/>
    <w:rsid w:val="00772674"/>
    <w:rsid w:val="007728B5"/>
    <w:rsid w:val="00772AD5"/>
    <w:rsid w:val="00772AE9"/>
    <w:rsid w:val="00772B2B"/>
    <w:rsid w:val="00772C0F"/>
    <w:rsid w:val="00772DBB"/>
    <w:rsid w:val="0077304C"/>
    <w:rsid w:val="0077349E"/>
    <w:rsid w:val="007736A7"/>
    <w:rsid w:val="00773874"/>
    <w:rsid w:val="00773C07"/>
    <w:rsid w:val="00773D75"/>
    <w:rsid w:val="00773F94"/>
    <w:rsid w:val="00773FD7"/>
    <w:rsid w:val="0077410B"/>
    <w:rsid w:val="0077431B"/>
    <w:rsid w:val="00774588"/>
    <w:rsid w:val="0077467B"/>
    <w:rsid w:val="00774819"/>
    <w:rsid w:val="007749BF"/>
    <w:rsid w:val="00774B1E"/>
    <w:rsid w:val="00774B5C"/>
    <w:rsid w:val="00774B86"/>
    <w:rsid w:val="00774BA0"/>
    <w:rsid w:val="00774DA1"/>
    <w:rsid w:val="0077532B"/>
    <w:rsid w:val="00775546"/>
    <w:rsid w:val="007756E8"/>
    <w:rsid w:val="00775739"/>
    <w:rsid w:val="00775866"/>
    <w:rsid w:val="007758EE"/>
    <w:rsid w:val="00775B54"/>
    <w:rsid w:val="00775C28"/>
    <w:rsid w:val="00775C2A"/>
    <w:rsid w:val="00776072"/>
    <w:rsid w:val="00776957"/>
    <w:rsid w:val="00776A25"/>
    <w:rsid w:val="00776B12"/>
    <w:rsid w:val="00776BF5"/>
    <w:rsid w:val="00776CAE"/>
    <w:rsid w:val="00776E33"/>
    <w:rsid w:val="00776FEB"/>
    <w:rsid w:val="0077725F"/>
    <w:rsid w:val="00777272"/>
    <w:rsid w:val="007775E9"/>
    <w:rsid w:val="007776EE"/>
    <w:rsid w:val="007777C4"/>
    <w:rsid w:val="00777C9F"/>
    <w:rsid w:val="00777E63"/>
    <w:rsid w:val="007802CF"/>
    <w:rsid w:val="00780388"/>
    <w:rsid w:val="007805EA"/>
    <w:rsid w:val="007807A0"/>
    <w:rsid w:val="00780991"/>
    <w:rsid w:val="00780B56"/>
    <w:rsid w:val="00780B6F"/>
    <w:rsid w:val="00780EFD"/>
    <w:rsid w:val="00780F00"/>
    <w:rsid w:val="0078109C"/>
    <w:rsid w:val="00781343"/>
    <w:rsid w:val="007818FA"/>
    <w:rsid w:val="00781BCE"/>
    <w:rsid w:val="00781C76"/>
    <w:rsid w:val="00781DE6"/>
    <w:rsid w:val="00781F7B"/>
    <w:rsid w:val="00782097"/>
    <w:rsid w:val="00782524"/>
    <w:rsid w:val="00782691"/>
    <w:rsid w:val="00782766"/>
    <w:rsid w:val="00782A9A"/>
    <w:rsid w:val="00782C6E"/>
    <w:rsid w:val="00782C9F"/>
    <w:rsid w:val="00782EB2"/>
    <w:rsid w:val="00782F73"/>
    <w:rsid w:val="007830F3"/>
    <w:rsid w:val="0078316A"/>
    <w:rsid w:val="00783E6C"/>
    <w:rsid w:val="007840D4"/>
    <w:rsid w:val="007841FF"/>
    <w:rsid w:val="007844B3"/>
    <w:rsid w:val="0078464B"/>
    <w:rsid w:val="0078469B"/>
    <w:rsid w:val="00784BB8"/>
    <w:rsid w:val="00784C1F"/>
    <w:rsid w:val="00784ECC"/>
    <w:rsid w:val="00784F1E"/>
    <w:rsid w:val="00785187"/>
    <w:rsid w:val="007851A5"/>
    <w:rsid w:val="007852D5"/>
    <w:rsid w:val="0078558E"/>
    <w:rsid w:val="00785692"/>
    <w:rsid w:val="00785984"/>
    <w:rsid w:val="007859A8"/>
    <w:rsid w:val="00785A3B"/>
    <w:rsid w:val="00785B5C"/>
    <w:rsid w:val="007861D1"/>
    <w:rsid w:val="007867B0"/>
    <w:rsid w:val="007867E6"/>
    <w:rsid w:val="0078697D"/>
    <w:rsid w:val="00786AFA"/>
    <w:rsid w:val="00786BA8"/>
    <w:rsid w:val="00786BCB"/>
    <w:rsid w:val="00786D9A"/>
    <w:rsid w:val="00786E60"/>
    <w:rsid w:val="00786EEF"/>
    <w:rsid w:val="00787526"/>
    <w:rsid w:val="00787794"/>
    <w:rsid w:val="007877EE"/>
    <w:rsid w:val="00787944"/>
    <w:rsid w:val="0078798C"/>
    <w:rsid w:val="00787A01"/>
    <w:rsid w:val="00787A04"/>
    <w:rsid w:val="00787C67"/>
    <w:rsid w:val="00787C75"/>
    <w:rsid w:val="00787CD0"/>
    <w:rsid w:val="00787EAD"/>
    <w:rsid w:val="00790238"/>
    <w:rsid w:val="007907FE"/>
    <w:rsid w:val="00790BA1"/>
    <w:rsid w:val="00790CBC"/>
    <w:rsid w:val="00790EE5"/>
    <w:rsid w:val="00790F2A"/>
    <w:rsid w:val="00791057"/>
    <w:rsid w:val="00791337"/>
    <w:rsid w:val="007913F3"/>
    <w:rsid w:val="00791566"/>
    <w:rsid w:val="007917A9"/>
    <w:rsid w:val="00791A7C"/>
    <w:rsid w:val="00791C66"/>
    <w:rsid w:val="00791CB7"/>
    <w:rsid w:val="0079253A"/>
    <w:rsid w:val="0079286F"/>
    <w:rsid w:val="00792873"/>
    <w:rsid w:val="00792B2A"/>
    <w:rsid w:val="00792EC9"/>
    <w:rsid w:val="00792FF5"/>
    <w:rsid w:val="007931E0"/>
    <w:rsid w:val="00793285"/>
    <w:rsid w:val="007932E7"/>
    <w:rsid w:val="00793317"/>
    <w:rsid w:val="007933C8"/>
    <w:rsid w:val="007935E2"/>
    <w:rsid w:val="007936E2"/>
    <w:rsid w:val="0079372D"/>
    <w:rsid w:val="00793927"/>
    <w:rsid w:val="007939D1"/>
    <w:rsid w:val="00793A06"/>
    <w:rsid w:val="00793CB6"/>
    <w:rsid w:val="0079454D"/>
    <w:rsid w:val="00794584"/>
    <w:rsid w:val="007945E4"/>
    <w:rsid w:val="0079474E"/>
    <w:rsid w:val="007947DD"/>
    <w:rsid w:val="0079482F"/>
    <w:rsid w:val="00794BBC"/>
    <w:rsid w:val="00795858"/>
    <w:rsid w:val="00795C8E"/>
    <w:rsid w:val="00795E28"/>
    <w:rsid w:val="007962E0"/>
    <w:rsid w:val="007963B1"/>
    <w:rsid w:val="007965B9"/>
    <w:rsid w:val="00796711"/>
    <w:rsid w:val="00796930"/>
    <w:rsid w:val="00796FFE"/>
    <w:rsid w:val="007972D9"/>
    <w:rsid w:val="007973A1"/>
    <w:rsid w:val="00797444"/>
    <w:rsid w:val="00797503"/>
    <w:rsid w:val="00797614"/>
    <w:rsid w:val="007976F7"/>
    <w:rsid w:val="00797877"/>
    <w:rsid w:val="007978E1"/>
    <w:rsid w:val="00797F66"/>
    <w:rsid w:val="00798063"/>
    <w:rsid w:val="0079F2BC"/>
    <w:rsid w:val="007A03F2"/>
    <w:rsid w:val="007A054B"/>
    <w:rsid w:val="007A09D7"/>
    <w:rsid w:val="007A0A02"/>
    <w:rsid w:val="007A0CED"/>
    <w:rsid w:val="007A0D64"/>
    <w:rsid w:val="007A0DCF"/>
    <w:rsid w:val="007A0F26"/>
    <w:rsid w:val="007A1378"/>
    <w:rsid w:val="007A1444"/>
    <w:rsid w:val="007A1914"/>
    <w:rsid w:val="007A1936"/>
    <w:rsid w:val="007A1BB1"/>
    <w:rsid w:val="007A1C22"/>
    <w:rsid w:val="007A1CE7"/>
    <w:rsid w:val="007A1EE2"/>
    <w:rsid w:val="007A2020"/>
    <w:rsid w:val="007A2240"/>
    <w:rsid w:val="007A232C"/>
    <w:rsid w:val="007A29CF"/>
    <w:rsid w:val="007A2D99"/>
    <w:rsid w:val="007A2E2B"/>
    <w:rsid w:val="007A2F18"/>
    <w:rsid w:val="007A2F4A"/>
    <w:rsid w:val="007A2F51"/>
    <w:rsid w:val="007A3005"/>
    <w:rsid w:val="007A33F9"/>
    <w:rsid w:val="007A35D3"/>
    <w:rsid w:val="007A3C1B"/>
    <w:rsid w:val="007A3C23"/>
    <w:rsid w:val="007A3D6E"/>
    <w:rsid w:val="007A4002"/>
    <w:rsid w:val="007A449E"/>
    <w:rsid w:val="007A46D3"/>
    <w:rsid w:val="007A47F8"/>
    <w:rsid w:val="007A4923"/>
    <w:rsid w:val="007A4FA5"/>
    <w:rsid w:val="007A4FAC"/>
    <w:rsid w:val="007A5146"/>
    <w:rsid w:val="007A52AD"/>
    <w:rsid w:val="007A55C3"/>
    <w:rsid w:val="007A58A3"/>
    <w:rsid w:val="007A5A48"/>
    <w:rsid w:val="007A5ABB"/>
    <w:rsid w:val="007A5ACF"/>
    <w:rsid w:val="007A5CC1"/>
    <w:rsid w:val="007A5CDB"/>
    <w:rsid w:val="007A5D80"/>
    <w:rsid w:val="007A5DAC"/>
    <w:rsid w:val="007A5E17"/>
    <w:rsid w:val="007A6094"/>
    <w:rsid w:val="007A6305"/>
    <w:rsid w:val="007A6443"/>
    <w:rsid w:val="007A6697"/>
    <w:rsid w:val="007A69CD"/>
    <w:rsid w:val="007A6AC2"/>
    <w:rsid w:val="007A6DB1"/>
    <w:rsid w:val="007A6E29"/>
    <w:rsid w:val="007A72BB"/>
    <w:rsid w:val="007A759E"/>
    <w:rsid w:val="007A76E7"/>
    <w:rsid w:val="007A786D"/>
    <w:rsid w:val="007A7935"/>
    <w:rsid w:val="007A798A"/>
    <w:rsid w:val="007A7B4B"/>
    <w:rsid w:val="007A7B6B"/>
    <w:rsid w:val="007A7BD6"/>
    <w:rsid w:val="007A7BF5"/>
    <w:rsid w:val="007AEE07"/>
    <w:rsid w:val="007B0067"/>
    <w:rsid w:val="007B0154"/>
    <w:rsid w:val="007B0219"/>
    <w:rsid w:val="007B05A6"/>
    <w:rsid w:val="007B0684"/>
    <w:rsid w:val="007B07CC"/>
    <w:rsid w:val="007B094C"/>
    <w:rsid w:val="007B09D4"/>
    <w:rsid w:val="007B0C08"/>
    <w:rsid w:val="007B0F1E"/>
    <w:rsid w:val="007B1062"/>
    <w:rsid w:val="007B11B1"/>
    <w:rsid w:val="007B11E6"/>
    <w:rsid w:val="007B1236"/>
    <w:rsid w:val="007B139C"/>
    <w:rsid w:val="007B166A"/>
    <w:rsid w:val="007B1765"/>
    <w:rsid w:val="007B17A7"/>
    <w:rsid w:val="007B1812"/>
    <w:rsid w:val="007B18B9"/>
    <w:rsid w:val="007B2056"/>
    <w:rsid w:val="007B23E8"/>
    <w:rsid w:val="007B25C5"/>
    <w:rsid w:val="007B2AC3"/>
    <w:rsid w:val="007B2BC4"/>
    <w:rsid w:val="007B2F7B"/>
    <w:rsid w:val="007B3011"/>
    <w:rsid w:val="007B322A"/>
    <w:rsid w:val="007B336E"/>
    <w:rsid w:val="007B341E"/>
    <w:rsid w:val="007B3464"/>
    <w:rsid w:val="007B387C"/>
    <w:rsid w:val="007B3C47"/>
    <w:rsid w:val="007B3F56"/>
    <w:rsid w:val="007B4596"/>
    <w:rsid w:val="007B471E"/>
    <w:rsid w:val="007B4C9A"/>
    <w:rsid w:val="007B4DA7"/>
    <w:rsid w:val="007B4E3D"/>
    <w:rsid w:val="007B4E7A"/>
    <w:rsid w:val="007B5445"/>
    <w:rsid w:val="007B564F"/>
    <w:rsid w:val="007B5651"/>
    <w:rsid w:val="007B5702"/>
    <w:rsid w:val="007B58C3"/>
    <w:rsid w:val="007B590C"/>
    <w:rsid w:val="007B59A8"/>
    <w:rsid w:val="007B5B8D"/>
    <w:rsid w:val="007B5CB7"/>
    <w:rsid w:val="007B6493"/>
    <w:rsid w:val="007B6539"/>
    <w:rsid w:val="007B6589"/>
    <w:rsid w:val="007B65E6"/>
    <w:rsid w:val="007B6749"/>
    <w:rsid w:val="007B6901"/>
    <w:rsid w:val="007B6A53"/>
    <w:rsid w:val="007B6ADE"/>
    <w:rsid w:val="007B700C"/>
    <w:rsid w:val="007B7074"/>
    <w:rsid w:val="007B7315"/>
    <w:rsid w:val="007B74CC"/>
    <w:rsid w:val="007B754D"/>
    <w:rsid w:val="007B77D7"/>
    <w:rsid w:val="007C0219"/>
    <w:rsid w:val="007C0333"/>
    <w:rsid w:val="007C0340"/>
    <w:rsid w:val="007C0465"/>
    <w:rsid w:val="007C0716"/>
    <w:rsid w:val="007C0A23"/>
    <w:rsid w:val="007C0C7A"/>
    <w:rsid w:val="007C1077"/>
    <w:rsid w:val="007C11A4"/>
    <w:rsid w:val="007C16A9"/>
    <w:rsid w:val="007C1813"/>
    <w:rsid w:val="007C1939"/>
    <w:rsid w:val="007C197F"/>
    <w:rsid w:val="007C1AFB"/>
    <w:rsid w:val="007C1D38"/>
    <w:rsid w:val="007C1F29"/>
    <w:rsid w:val="007C2033"/>
    <w:rsid w:val="007C2394"/>
    <w:rsid w:val="007C2792"/>
    <w:rsid w:val="007C28DB"/>
    <w:rsid w:val="007C2963"/>
    <w:rsid w:val="007C2AAE"/>
    <w:rsid w:val="007C2C0D"/>
    <w:rsid w:val="007C2CA4"/>
    <w:rsid w:val="007C2EC6"/>
    <w:rsid w:val="007C2FFD"/>
    <w:rsid w:val="007C30F2"/>
    <w:rsid w:val="007C3759"/>
    <w:rsid w:val="007C3C4F"/>
    <w:rsid w:val="007C3D1A"/>
    <w:rsid w:val="007C3E1C"/>
    <w:rsid w:val="007C3FEE"/>
    <w:rsid w:val="007C4055"/>
    <w:rsid w:val="007C40C2"/>
    <w:rsid w:val="007C462F"/>
    <w:rsid w:val="007C4741"/>
    <w:rsid w:val="007C4840"/>
    <w:rsid w:val="007C4AE7"/>
    <w:rsid w:val="007C4D70"/>
    <w:rsid w:val="007C4DA5"/>
    <w:rsid w:val="007C4DB4"/>
    <w:rsid w:val="007C4EDC"/>
    <w:rsid w:val="007C4F19"/>
    <w:rsid w:val="007C4F97"/>
    <w:rsid w:val="007C5002"/>
    <w:rsid w:val="007C50D5"/>
    <w:rsid w:val="007C54B3"/>
    <w:rsid w:val="007C56F3"/>
    <w:rsid w:val="007C5954"/>
    <w:rsid w:val="007C59CB"/>
    <w:rsid w:val="007C59F2"/>
    <w:rsid w:val="007C5C4E"/>
    <w:rsid w:val="007C6025"/>
    <w:rsid w:val="007C6197"/>
    <w:rsid w:val="007C62E7"/>
    <w:rsid w:val="007C6322"/>
    <w:rsid w:val="007C636A"/>
    <w:rsid w:val="007C6597"/>
    <w:rsid w:val="007C65BA"/>
    <w:rsid w:val="007C6BD4"/>
    <w:rsid w:val="007C6D00"/>
    <w:rsid w:val="007C6DAB"/>
    <w:rsid w:val="007C6EAF"/>
    <w:rsid w:val="007C6EB7"/>
    <w:rsid w:val="007C711D"/>
    <w:rsid w:val="007C7150"/>
    <w:rsid w:val="007C74C8"/>
    <w:rsid w:val="007C7523"/>
    <w:rsid w:val="007C7906"/>
    <w:rsid w:val="007C793D"/>
    <w:rsid w:val="007C7979"/>
    <w:rsid w:val="007C7B8C"/>
    <w:rsid w:val="007C7C5F"/>
    <w:rsid w:val="007C7F85"/>
    <w:rsid w:val="007C7FC6"/>
    <w:rsid w:val="007CEF19"/>
    <w:rsid w:val="007D0007"/>
    <w:rsid w:val="007D00C3"/>
    <w:rsid w:val="007D0367"/>
    <w:rsid w:val="007D03D9"/>
    <w:rsid w:val="007D047D"/>
    <w:rsid w:val="007D05E7"/>
    <w:rsid w:val="007D0DE0"/>
    <w:rsid w:val="007D0FF8"/>
    <w:rsid w:val="007D12C8"/>
    <w:rsid w:val="007D142E"/>
    <w:rsid w:val="007D1639"/>
    <w:rsid w:val="007D1A8C"/>
    <w:rsid w:val="007D1F4D"/>
    <w:rsid w:val="007D22BB"/>
    <w:rsid w:val="007D23F2"/>
    <w:rsid w:val="007D2430"/>
    <w:rsid w:val="007D24A5"/>
    <w:rsid w:val="007D278E"/>
    <w:rsid w:val="007D2B12"/>
    <w:rsid w:val="007D2D1F"/>
    <w:rsid w:val="007D2D68"/>
    <w:rsid w:val="007D2D81"/>
    <w:rsid w:val="007D31EE"/>
    <w:rsid w:val="007D32E2"/>
    <w:rsid w:val="007D37B0"/>
    <w:rsid w:val="007D39A5"/>
    <w:rsid w:val="007D3E59"/>
    <w:rsid w:val="007D42F2"/>
    <w:rsid w:val="007D480C"/>
    <w:rsid w:val="007D49AD"/>
    <w:rsid w:val="007D4AF3"/>
    <w:rsid w:val="007D4C02"/>
    <w:rsid w:val="007D53B0"/>
    <w:rsid w:val="007D58D9"/>
    <w:rsid w:val="007D5F03"/>
    <w:rsid w:val="007D5F54"/>
    <w:rsid w:val="007D6329"/>
    <w:rsid w:val="007D67FB"/>
    <w:rsid w:val="007D698A"/>
    <w:rsid w:val="007D6A05"/>
    <w:rsid w:val="007D6DFB"/>
    <w:rsid w:val="007D7066"/>
    <w:rsid w:val="007D7162"/>
    <w:rsid w:val="007D73CB"/>
    <w:rsid w:val="007D778A"/>
    <w:rsid w:val="007D78D2"/>
    <w:rsid w:val="007D7991"/>
    <w:rsid w:val="007D7C2E"/>
    <w:rsid w:val="007D7CB9"/>
    <w:rsid w:val="007D7FE5"/>
    <w:rsid w:val="007E0042"/>
    <w:rsid w:val="007E0116"/>
    <w:rsid w:val="007E0132"/>
    <w:rsid w:val="007E0225"/>
    <w:rsid w:val="007E0854"/>
    <w:rsid w:val="007E099C"/>
    <w:rsid w:val="007E0A9F"/>
    <w:rsid w:val="007E0D9A"/>
    <w:rsid w:val="007E1382"/>
    <w:rsid w:val="007E15C2"/>
    <w:rsid w:val="007E1E62"/>
    <w:rsid w:val="007E1F8C"/>
    <w:rsid w:val="007E2002"/>
    <w:rsid w:val="007E2208"/>
    <w:rsid w:val="007E23F6"/>
    <w:rsid w:val="007E2658"/>
    <w:rsid w:val="007E2835"/>
    <w:rsid w:val="007E2B17"/>
    <w:rsid w:val="007E2C45"/>
    <w:rsid w:val="007E2F41"/>
    <w:rsid w:val="007E30B7"/>
    <w:rsid w:val="007E32B1"/>
    <w:rsid w:val="007E33B9"/>
    <w:rsid w:val="007E360C"/>
    <w:rsid w:val="007E3951"/>
    <w:rsid w:val="007E3BF3"/>
    <w:rsid w:val="007E3D58"/>
    <w:rsid w:val="007E3DB6"/>
    <w:rsid w:val="007E415B"/>
    <w:rsid w:val="007E42A2"/>
    <w:rsid w:val="007E42E4"/>
    <w:rsid w:val="007E4976"/>
    <w:rsid w:val="007E4B64"/>
    <w:rsid w:val="007E4B95"/>
    <w:rsid w:val="007E4E8F"/>
    <w:rsid w:val="007E500D"/>
    <w:rsid w:val="007E506E"/>
    <w:rsid w:val="007E5340"/>
    <w:rsid w:val="007E54CD"/>
    <w:rsid w:val="007E5708"/>
    <w:rsid w:val="007E6135"/>
    <w:rsid w:val="007E623F"/>
    <w:rsid w:val="007E63AE"/>
    <w:rsid w:val="007E64CF"/>
    <w:rsid w:val="007E66B0"/>
    <w:rsid w:val="007E6F88"/>
    <w:rsid w:val="007E723B"/>
    <w:rsid w:val="007E730E"/>
    <w:rsid w:val="007E74E3"/>
    <w:rsid w:val="007E754B"/>
    <w:rsid w:val="007E7664"/>
    <w:rsid w:val="007E76C3"/>
    <w:rsid w:val="007E774B"/>
    <w:rsid w:val="007E777C"/>
    <w:rsid w:val="007E7B58"/>
    <w:rsid w:val="007E7EB7"/>
    <w:rsid w:val="007E7EE8"/>
    <w:rsid w:val="007F068B"/>
    <w:rsid w:val="007F06A9"/>
    <w:rsid w:val="007F0752"/>
    <w:rsid w:val="007F0991"/>
    <w:rsid w:val="007F1186"/>
    <w:rsid w:val="007F1191"/>
    <w:rsid w:val="007F1214"/>
    <w:rsid w:val="007F13A4"/>
    <w:rsid w:val="007F1455"/>
    <w:rsid w:val="007F146C"/>
    <w:rsid w:val="007F1558"/>
    <w:rsid w:val="007F15F1"/>
    <w:rsid w:val="007F1A24"/>
    <w:rsid w:val="007F1C43"/>
    <w:rsid w:val="007F1E5A"/>
    <w:rsid w:val="007F1F81"/>
    <w:rsid w:val="007F222D"/>
    <w:rsid w:val="007F2751"/>
    <w:rsid w:val="007F2874"/>
    <w:rsid w:val="007F29D8"/>
    <w:rsid w:val="007F2D85"/>
    <w:rsid w:val="007F2DE6"/>
    <w:rsid w:val="007F30B0"/>
    <w:rsid w:val="007F310E"/>
    <w:rsid w:val="007F312E"/>
    <w:rsid w:val="007F3232"/>
    <w:rsid w:val="007F3279"/>
    <w:rsid w:val="007F3429"/>
    <w:rsid w:val="007F348C"/>
    <w:rsid w:val="007F3760"/>
    <w:rsid w:val="007F37A2"/>
    <w:rsid w:val="007F3800"/>
    <w:rsid w:val="007F3BEB"/>
    <w:rsid w:val="007F3C32"/>
    <w:rsid w:val="007F449C"/>
    <w:rsid w:val="007F46D1"/>
    <w:rsid w:val="007F48AB"/>
    <w:rsid w:val="007F4C2D"/>
    <w:rsid w:val="007F4E73"/>
    <w:rsid w:val="007F4ED2"/>
    <w:rsid w:val="007F5254"/>
    <w:rsid w:val="007F52BC"/>
    <w:rsid w:val="007F5A97"/>
    <w:rsid w:val="007F5AD6"/>
    <w:rsid w:val="007F60E8"/>
    <w:rsid w:val="007F62BA"/>
    <w:rsid w:val="007F6661"/>
    <w:rsid w:val="007F67D0"/>
    <w:rsid w:val="007F6A81"/>
    <w:rsid w:val="007F6AD7"/>
    <w:rsid w:val="007F6C85"/>
    <w:rsid w:val="007F7112"/>
    <w:rsid w:val="007F7169"/>
    <w:rsid w:val="007F7240"/>
    <w:rsid w:val="007F7526"/>
    <w:rsid w:val="007F77DB"/>
    <w:rsid w:val="00800132"/>
    <w:rsid w:val="0080037E"/>
    <w:rsid w:val="00800515"/>
    <w:rsid w:val="0080052F"/>
    <w:rsid w:val="008005AA"/>
    <w:rsid w:val="00800991"/>
    <w:rsid w:val="00800E11"/>
    <w:rsid w:val="00800F7F"/>
    <w:rsid w:val="00801373"/>
    <w:rsid w:val="008017D6"/>
    <w:rsid w:val="008017FD"/>
    <w:rsid w:val="00801E24"/>
    <w:rsid w:val="008021CB"/>
    <w:rsid w:val="008023EE"/>
    <w:rsid w:val="00802AAA"/>
    <w:rsid w:val="00802AD9"/>
    <w:rsid w:val="00802BE4"/>
    <w:rsid w:val="00802D95"/>
    <w:rsid w:val="00802DFD"/>
    <w:rsid w:val="0080317A"/>
    <w:rsid w:val="008034A6"/>
    <w:rsid w:val="00803552"/>
    <w:rsid w:val="0080366A"/>
    <w:rsid w:val="008039CB"/>
    <w:rsid w:val="00803A62"/>
    <w:rsid w:val="00803CB4"/>
    <w:rsid w:val="00803E43"/>
    <w:rsid w:val="008041AB"/>
    <w:rsid w:val="00804410"/>
    <w:rsid w:val="008047BE"/>
    <w:rsid w:val="00804A10"/>
    <w:rsid w:val="00804C06"/>
    <w:rsid w:val="00804D34"/>
    <w:rsid w:val="00805067"/>
    <w:rsid w:val="008051D7"/>
    <w:rsid w:val="008052D6"/>
    <w:rsid w:val="008054D7"/>
    <w:rsid w:val="0080576D"/>
    <w:rsid w:val="00805A92"/>
    <w:rsid w:val="00805C4C"/>
    <w:rsid w:val="00805D71"/>
    <w:rsid w:val="00805DDD"/>
    <w:rsid w:val="00805F8D"/>
    <w:rsid w:val="0080600C"/>
    <w:rsid w:val="00806119"/>
    <w:rsid w:val="008061C9"/>
    <w:rsid w:val="00806453"/>
    <w:rsid w:val="0080675A"/>
    <w:rsid w:val="00806A34"/>
    <w:rsid w:val="00806EF2"/>
    <w:rsid w:val="00806FF8"/>
    <w:rsid w:val="0080708C"/>
    <w:rsid w:val="008070F5"/>
    <w:rsid w:val="008078CA"/>
    <w:rsid w:val="00807B02"/>
    <w:rsid w:val="00807FB5"/>
    <w:rsid w:val="0080ADBF"/>
    <w:rsid w:val="0081013A"/>
    <w:rsid w:val="008103D1"/>
    <w:rsid w:val="00810642"/>
    <w:rsid w:val="00810737"/>
    <w:rsid w:val="00810A9E"/>
    <w:rsid w:val="00810ABA"/>
    <w:rsid w:val="00810AC8"/>
    <w:rsid w:val="00810C93"/>
    <w:rsid w:val="00810E83"/>
    <w:rsid w:val="0081127F"/>
    <w:rsid w:val="008113FA"/>
    <w:rsid w:val="00811423"/>
    <w:rsid w:val="00811579"/>
    <w:rsid w:val="00811808"/>
    <w:rsid w:val="00811817"/>
    <w:rsid w:val="0081198C"/>
    <w:rsid w:val="00811D80"/>
    <w:rsid w:val="00812373"/>
    <w:rsid w:val="0081260D"/>
    <w:rsid w:val="00812822"/>
    <w:rsid w:val="0081288A"/>
    <w:rsid w:val="00812932"/>
    <w:rsid w:val="00812B3A"/>
    <w:rsid w:val="00812F87"/>
    <w:rsid w:val="00813223"/>
    <w:rsid w:val="008133E3"/>
    <w:rsid w:val="00813757"/>
    <w:rsid w:val="00813AB6"/>
    <w:rsid w:val="00813D47"/>
    <w:rsid w:val="00813DA6"/>
    <w:rsid w:val="00813F14"/>
    <w:rsid w:val="00813F7F"/>
    <w:rsid w:val="00813FF4"/>
    <w:rsid w:val="00814014"/>
    <w:rsid w:val="008143F0"/>
    <w:rsid w:val="00814527"/>
    <w:rsid w:val="008148F1"/>
    <w:rsid w:val="00814A11"/>
    <w:rsid w:val="00814D5B"/>
    <w:rsid w:val="00814DB1"/>
    <w:rsid w:val="00814DEF"/>
    <w:rsid w:val="00814FD2"/>
    <w:rsid w:val="008150FF"/>
    <w:rsid w:val="008151A1"/>
    <w:rsid w:val="00815318"/>
    <w:rsid w:val="00815380"/>
    <w:rsid w:val="0081594D"/>
    <w:rsid w:val="00815979"/>
    <w:rsid w:val="00816205"/>
    <w:rsid w:val="00816366"/>
    <w:rsid w:val="00816592"/>
    <w:rsid w:val="0081661D"/>
    <w:rsid w:val="00816861"/>
    <w:rsid w:val="008168F6"/>
    <w:rsid w:val="00816BF3"/>
    <w:rsid w:val="00816C3B"/>
    <w:rsid w:val="00816CA5"/>
    <w:rsid w:val="00816D6E"/>
    <w:rsid w:val="00816E1C"/>
    <w:rsid w:val="0081720C"/>
    <w:rsid w:val="00817331"/>
    <w:rsid w:val="00817336"/>
    <w:rsid w:val="00817368"/>
    <w:rsid w:val="0081750B"/>
    <w:rsid w:val="00817683"/>
    <w:rsid w:val="0081772F"/>
    <w:rsid w:val="00817BBF"/>
    <w:rsid w:val="00817C75"/>
    <w:rsid w:val="00817DE7"/>
    <w:rsid w:val="0082026F"/>
    <w:rsid w:val="008203A0"/>
    <w:rsid w:val="0082058F"/>
    <w:rsid w:val="008207EE"/>
    <w:rsid w:val="00820D9A"/>
    <w:rsid w:val="00820E1A"/>
    <w:rsid w:val="00821242"/>
    <w:rsid w:val="00821251"/>
    <w:rsid w:val="00821268"/>
    <w:rsid w:val="008214E8"/>
    <w:rsid w:val="008214EE"/>
    <w:rsid w:val="00821A10"/>
    <w:rsid w:val="00821EB3"/>
    <w:rsid w:val="00821F38"/>
    <w:rsid w:val="008221F2"/>
    <w:rsid w:val="008223F4"/>
    <w:rsid w:val="00822543"/>
    <w:rsid w:val="00822AFA"/>
    <w:rsid w:val="00822BFB"/>
    <w:rsid w:val="00822D5A"/>
    <w:rsid w:val="008230C3"/>
    <w:rsid w:val="0082315B"/>
    <w:rsid w:val="00823205"/>
    <w:rsid w:val="0082326C"/>
    <w:rsid w:val="008232B9"/>
    <w:rsid w:val="008234FB"/>
    <w:rsid w:val="008238D2"/>
    <w:rsid w:val="0082396A"/>
    <w:rsid w:val="00823C55"/>
    <w:rsid w:val="00823C66"/>
    <w:rsid w:val="00823E76"/>
    <w:rsid w:val="00823FDA"/>
    <w:rsid w:val="00824A3E"/>
    <w:rsid w:val="00824A7A"/>
    <w:rsid w:val="00824AAE"/>
    <w:rsid w:val="00824CC0"/>
    <w:rsid w:val="00824DBE"/>
    <w:rsid w:val="00824DC7"/>
    <w:rsid w:val="008253C7"/>
    <w:rsid w:val="0082551B"/>
    <w:rsid w:val="00825CBF"/>
    <w:rsid w:val="00826123"/>
    <w:rsid w:val="008263B3"/>
    <w:rsid w:val="00826606"/>
    <w:rsid w:val="00826769"/>
    <w:rsid w:val="0082691F"/>
    <w:rsid w:val="008269E8"/>
    <w:rsid w:val="00826D7D"/>
    <w:rsid w:val="00826D9B"/>
    <w:rsid w:val="00826FDD"/>
    <w:rsid w:val="008270EC"/>
    <w:rsid w:val="0082734E"/>
    <w:rsid w:val="00827362"/>
    <w:rsid w:val="008279BC"/>
    <w:rsid w:val="00827B8E"/>
    <w:rsid w:val="00827D75"/>
    <w:rsid w:val="00827FE7"/>
    <w:rsid w:val="0083026F"/>
    <w:rsid w:val="00830425"/>
    <w:rsid w:val="00830795"/>
    <w:rsid w:val="00830C29"/>
    <w:rsid w:val="00831041"/>
    <w:rsid w:val="008312C1"/>
    <w:rsid w:val="008313F5"/>
    <w:rsid w:val="008314A9"/>
    <w:rsid w:val="00831509"/>
    <w:rsid w:val="008316F6"/>
    <w:rsid w:val="008317AD"/>
    <w:rsid w:val="008317BA"/>
    <w:rsid w:val="00831B68"/>
    <w:rsid w:val="00832706"/>
    <w:rsid w:val="008328B4"/>
    <w:rsid w:val="0083291F"/>
    <w:rsid w:val="00832936"/>
    <w:rsid w:val="00832C09"/>
    <w:rsid w:val="00832CEA"/>
    <w:rsid w:val="00832DE3"/>
    <w:rsid w:val="00832F7B"/>
    <w:rsid w:val="0083312F"/>
    <w:rsid w:val="008331A6"/>
    <w:rsid w:val="0083325C"/>
    <w:rsid w:val="00833334"/>
    <w:rsid w:val="00833530"/>
    <w:rsid w:val="00833B4D"/>
    <w:rsid w:val="00833C44"/>
    <w:rsid w:val="00833D1F"/>
    <w:rsid w:val="00833DB8"/>
    <w:rsid w:val="00834342"/>
    <w:rsid w:val="00834608"/>
    <w:rsid w:val="00834612"/>
    <w:rsid w:val="00834830"/>
    <w:rsid w:val="008348A3"/>
    <w:rsid w:val="008349BD"/>
    <w:rsid w:val="00834A22"/>
    <w:rsid w:val="00834E03"/>
    <w:rsid w:val="00834F8E"/>
    <w:rsid w:val="00835150"/>
    <w:rsid w:val="00835346"/>
    <w:rsid w:val="008355BB"/>
    <w:rsid w:val="00835BCD"/>
    <w:rsid w:val="00835D38"/>
    <w:rsid w:val="00835E3C"/>
    <w:rsid w:val="00836029"/>
    <w:rsid w:val="0083614B"/>
    <w:rsid w:val="0083658E"/>
    <w:rsid w:val="00836E1D"/>
    <w:rsid w:val="00836E44"/>
    <w:rsid w:val="00837887"/>
    <w:rsid w:val="008378B0"/>
    <w:rsid w:val="00837C45"/>
    <w:rsid w:val="00837FEB"/>
    <w:rsid w:val="00840078"/>
    <w:rsid w:val="00840146"/>
    <w:rsid w:val="00840183"/>
    <w:rsid w:val="00840294"/>
    <w:rsid w:val="00840363"/>
    <w:rsid w:val="008406C7"/>
    <w:rsid w:val="008407BC"/>
    <w:rsid w:val="00840B09"/>
    <w:rsid w:val="00840BB6"/>
    <w:rsid w:val="00840C21"/>
    <w:rsid w:val="00840EBE"/>
    <w:rsid w:val="008412DA"/>
    <w:rsid w:val="00841D06"/>
    <w:rsid w:val="00842025"/>
    <w:rsid w:val="008424B6"/>
    <w:rsid w:val="00842592"/>
    <w:rsid w:val="008428F3"/>
    <w:rsid w:val="00842A37"/>
    <w:rsid w:val="00842C52"/>
    <w:rsid w:val="008431A4"/>
    <w:rsid w:val="00843825"/>
    <w:rsid w:val="00843982"/>
    <w:rsid w:val="00843A6F"/>
    <w:rsid w:val="00843D3B"/>
    <w:rsid w:val="00843D60"/>
    <w:rsid w:val="00844383"/>
    <w:rsid w:val="00844465"/>
    <w:rsid w:val="00844475"/>
    <w:rsid w:val="008445EC"/>
    <w:rsid w:val="008448D1"/>
    <w:rsid w:val="00844B86"/>
    <w:rsid w:val="00844BD6"/>
    <w:rsid w:val="00844CE6"/>
    <w:rsid w:val="00844F9F"/>
    <w:rsid w:val="00844FB4"/>
    <w:rsid w:val="008450EF"/>
    <w:rsid w:val="008458B5"/>
    <w:rsid w:val="008459E5"/>
    <w:rsid w:val="00845D91"/>
    <w:rsid w:val="00845ED7"/>
    <w:rsid w:val="00845F65"/>
    <w:rsid w:val="008462A2"/>
    <w:rsid w:val="00846639"/>
    <w:rsid w:val="008470E8"/>
    <w:rsid w:val="00847235"/>
    <w:rsid w:val="00847377"/>
    <w:rsid w:val="00847428"/>
    <w:rsid w:val="0084742D"/>
    <w:rsid w:val="0084794D"/>
    <w:rsid w:val="00847B20"/>
    <w:rsid w:val="00847E38"/>
    <w:rsid w:val="00847F9F"/>
    <w:rsid w:val="008500F2"/>
    <w:rsid w:val="008502BE"/>
    <w:rsid w:val="008502F0"/>
    <w:rsid w:val="0085031A"/>
    <w:rsid w:val="0085033E"/>
    <w:rsid w:val="0085034A"/>
    <w:rsid w:val="0085047D"/>
    <w:rsid w:val="00850590"/>
    <w:rsid w:val="008506F2"/>
    <w:rsid w:val="0085090C"/>
    <w:rsid w:val="00850BE0"/>
    <w:rsid w:val="00850DA5"/>
    <w:rsid w:val="0085134F"/>
    <w:rsid w:val="00851548"/>
    <w:rsid w:val="008516A4"/>
    <w:rsid w:val="00851737"/>
    <w:rsid w:val="008518A1"/>
    <w:rsid w:val="008518D9"/>
    <w:rsid w:val="00851CF2"/>
    <w:rsid w:val="00851E5D"/>
    <w:rsid w:val="008521D1"/>
    <w:rsid w:val="0085237A"/>
    <w:rsid w:val="0085280B"/>
    <w:rsid w:val="00852964"/>
    <w:rsid w:val="00852FD6"/>
    <w:rsid w:val="008532FA"/>
    <w:rsid w:val="00853377"/>
    <w:rsid w:val="00853440"/>
    <w:rsid w:val="0085360C"/>
    <w:rsid w:val="008539D4"/>
    <w:rsid w:val="00853A22"/>
    <w:rsid w:val="00853F1E"/>
    <w:rsid w:val="00854005"/>
    <w:rsid w:val="008543C4"/>
    <w:rsid w:val="008544DF"/>
    <w:rsid w:val="008548B3"/>
    <w:rsid w:val="00854F23"/>
    <w:rsid w:val="008550BF"/>
    <w:rsid w:val="008551A5"/>
    <w:rsid w:val="00855233"/>
    <w:rsid w:val="00855AB1"/>
    <w:rsid w:val="00855B13"/>
    <w:rsid w:val="00855E7D"/>
    <w:rsid w:val="00855E99"/>
    <w:rsid w:val="00855F11"/>
    <w:rsid w:val="00855F72"/>
    <w:rsid w:val="0085641C"/>
    <w:rsid w:val="00856A0E"/>
    <w:rsid w:val="00856D0D"/>
    <w:rsid w:val="00856D7E"/>
    <w:rsid w:val="00856F94"/>
    <w:rsid w:val="0085720A"/>
    <w:rsid w:val="00857496"/>
    <w:rsid w:val="00857B7A"/>
    <w:rsid w:val="00857BFF"/>
    <w:rsid w:val="00857C7A"/>
    <w:rsid w:val="00857D79"/>
    <w:rsid w:val="00857E29"/>
    <w:rsid w:val="008600C4"/>
    <w:rsid w:val="008602EE"/>
    <w:rsid w:val="00860524"/>
    <w:rsid w:val="00860921"/>
    <w:rsid w:val="00860D6B"/>
    <w:rsid w:val="00860DE1"/>
    <w:rsid w:val="00860EAF"/>
    <w:rsid w:val="00861188"/>
    <w:rsid w:val="00861190"/>
    <w:rsid w:val="00861247"/>
    <w:rsid w:val="008617BA"/>
    <w:rsid w:val="008618F8"/>
    <w:rsid w:val="00861B7F"/>
    <w:rsid w:val="00861BDD"/>
    <w:rsid w:val="00861C49"/>
    <w:rsid w:val="00862142"/>
    <w:rsid w:val="00862180"/>
    <w:rsid w:val="0086223C"/>
    <w:rsid w:val="00862486"/>
    <w:rsid w:val="008625EE"/>
    <w:rsid w:val="008627D1"/>
    <w:rsid w:val="00862AB7"/>
    <w:rsid w:val="00862CB5"/>
    <w:rsid w:val="00863154"/>
    <w:rsid w:val="0086317F"/>
    <w:rsid w:val="00863401"/>
    <w:rsid w:val="00863486"/>
    <w:rsid w:val="00863637"/>
    <w:rsid w:val="008637E2"/>
    <w:rsid w:val="00863812"/>
    <w:rsid w:val="00863B14"/>
    <w:rsid w:val="00863E6F"/>
    <w:rsid w:val="00863F5A"/>
    <w:rsid w:val="00864458"/>
    <w:rsid w:val="00864643"/>
    <w:rsid w:val="0086496D"/>
    <w:rsid w:val="008649C5"/>
    <w:rsid w:val="00864B27"/>
    <w:rsid w:val="00864B3E"/>
    <w:rsid w:val="00864D27"/>
    <w:rsid w:val="00864DCC"/>
    <w:rsid w:val="00864F1D"/>
    <w:rsid w:val="0086529B"/>
    <w:rsid w:val="0086559E"/>
    <w:rsid w:val="008655EB"/>
    <w:rsid w:val="00865608"/>
    <w:rsid w:val="00865614"/>
    <w:rsid w:val="00865674"/>
    <w:rsid w:val="00865805"/>
    <w:rsid w:val="00866EBE"/>
    <w:rsid w:val="00866F57"/>
    <w:rsid w:val="0086704D"/>
    <w:rsid w:val="008674E2"/>
    <w:rsid w:val="00867902"/>
    <w:rsid w:val="008679C2"/>
    <w:rsid w:val="0086F681"/>
    <w:rsid w:val="008700AB"/>
    <w:rsid w:val="00870283"/>
    <w:rsid w:val="00870569"/>
    <w:rsid w:val="0087083B"/>
    <w:rsid w:val="00870F75"/>
    <w:rsid w:val="008711B0"/>
    <w:rsid w:val="00871310"/>
    <w:rsid w:val="00871411"/>
    <w:rsid w:val="00871904"/>
    <w:rsid w:val="00871960"/>
    <w:rsid w:val="0087198C"/>
    <w:rsid w:val="008719C8"/>
    <w:rsid w:val="00871A10"/>
    <w:rsid w:val="00871D27"/>
    <w:rsid w:val="0087204C"/>
    <w:rsid w:val="0087275B"/>
    <w:rsid w:val="00872A58"/>
    <w:rsid w:val="00872BFA"/>
    <w:rsid w:val="00872C69"/>
    <w:rsid w:val="00872DBE"/>
    <w:rsid w:val="00872F13"/>
    <w:rsid w:val="008730D9"/>
    <w:rsid w:val="008730DE"/>
    <w:rsid w:val="00873387"/>
    <w:rsid w:val="008735BA"/>
    <w:rsid w:val="0087366A"/>
    <w:rsid w:val="0087380F"/>
    <w:rsid w:val="00873B75"/>
    <w:rsid w:val="00873BFE"/>
    <w:rsid w:val="00873D56"/>
    <w:rsid w:val="008742BC"/>
    <w:rsid w:val="0087430B"/>
    <w:rsid w:val="00874564"/>
    <w:rsid w:val="008745E0"/>
    <w:rsid w:val="00874714"/>
    <w:rsid w:val="00874AA7"/>
    <w:rsid w:val="00874CE3"/>
    <w:rsid w:val="00874DDE"/>
    <w:rsid w:val="00874E8F"/>
    <w:rsid w:val="008750BB"/>
    <w:rsid w:val="0087515F"/>
    <w:rsid w:val="008751A7"/>
    <w:rsid w:val="008751F5"/>
    <w:rsid w:val="00875423"/>
    <w:rsid w:val="00875D2D"/>
    <w:rsid w:val="00876098"/>
    <w:rsid w:val="00876120"/>
    <w:rsid w:val="00876481"/>
    <w:rsid w:val="008766AF"/>
    <w:rsid w:val="00876A1F"/>
    <w:rsid w:val="00876DBF"/>
    <w:rsid w:val="008770C1"/>
    <w:rsid w:val="008770FD"/>
    <w:rsid w:val="008772F0"/>
    <w:rsid w:val="008774ED"/>
    <w:rsid w:val="00877832"/>
    <w:rsid w:val="00877BCB"/>
    <w:rsid w:val="008789AB"/>
    <w:rsid w:val="008800D0"/>
    <w:rsid w:val="0088049F"/>
    <w:rsid w:val="00880519"/>
    <w:rsid w:val="00880802"/>
    <w:rsid w:val="00880A30"/>
    <w:rsid w:val="00880A8A"/>
    <w:rsid w:val="00880B1F"/>
    <w:rsid w:val="00880E70"/>
    <w:rsid w:val="00880F2E"/>
    <w:rsid w:val="00881122"/>
    <w:rsid w:val="008811FA"/>
    <w:rsid w:val="0088124B"/>
    <w:rsid w:val="00881446"/>
    <w:rsid w:val="008814AA"/>
    <w:rsid w:val="0088155E"/>
    <w:rsid w:val="008815DB"/>
    <w:rsid w:val="00881888"/>
    <w:rsid w:val="008818D8"/>
    <w:rsid w:val="00881D24"/>
    <w:rsid w:val="00881D98"/>
    <w:rsid w:val="00882522"/>
    <w:rsid w:val="00882572"/>
    <w:rsid w:val="00882658"/>
    <w:rsid w:val="00882770"/>
    <w:rsid w:val="00882A03"/>
    <w:rsid w:val="00882A15"/>
    <w:rsid w:val="00882B35"/>
    <w:rsid w:val="00882E44"/>
    <w:rsid w:val="00883084"/>
    <w:rsid w:val="0088317B"/>
    <w:rsid w:val="00883310"/>
    <w:rsid w:val="0088350D"/>
    <w:rsid w:val="008835C1"/>
    <w:rsid w:val="00883888"/>
    <w:rsid w:val="008839CC"/>
    <w:rsid w:val="008839E1"/>
    <w:rsid w:val="00883ABD"/>
    <w:rsid w:val="00883CDE"/>
    <w:rsid w:val="00883CEB"/>
    <w:rsid w:val="00883DD0"/>
    <w:rsid w:val="00883E76"/>
    <w:rsid w:val="00884052"/>
    <w:rsid w:val="008840AA"/>
    <w:rsid w:val="008842F7"/>
    <w:rsid w:val="008847C7"/>
    <w:rsid w:val="008848F2"/>
    <w:rsid w:val="0088499D"/>
    <w:rsid w:val="00885121"/>
    <w:rsid w:val="00885155"/>
    <w:rsid w:val="00885160"/>
    <w:rsid w:val="00885327"/>
    <w:rsid w:val="0088545B"/>
    <w:rsid w:val="00885529"/>
    <w:rsid w:val="00885700"/>
    <w:rsid w:val="008859B4"/>
    <w:rsid w:val="00885E2E"/>
    <w:rsid w:val="00885F70"/>
    <w:rsid w:val="00885FFF"/>
    <w:rsid w:val="0088603F"/>
    <w:rsid w:val="008860FF"/>
    <w:rsid w:val="00886315"/>
    <w:rsid w:val="0088631C"/>
    <w:rsid w:val="008864B3"/>
    <w:rsid w:val="0088653F"/>
    <w:rsid w:val="0088658D"/>
    <w:rsid w:val="008865CF"/>
    <w:rsid w:val="008866AE"/>
    <w:rsid w:val="0088680E"/>
    <w:rsid w:val="00886872"/>
    <w:rsid w:val="00886A5B"/>
    <w:rsid w:val="00886B0E"/>
    <w:rsid w:val="00886C1B"/>
    <w:rsid w:val="00886D31"/>
    <w:rsid w:val="00886E8E"/>
    <w:rsid w:val="00886F3A"/>
    <w:rsid w:val="00887048"/>
    <w:rsid w:val="0088712F"/>
    <w:rsid w:val="008871E4"/>
    <w:rsid w:val="008871FB"/>
    <w:rsid w:val="008872B3"/>
    <w:rsid w:val="00887478"/>
    <w:rsid w:val="00887525"/>
    <w:rsid w:val="00887609"/>
    <w:rsid w:val="008877C7"/>
    <w:rsid w:val="00887C22"/>
    <w:rsid w:val="00887F94"/>
    <w:rsid w:val="00890134"/>
    <w:rsid w:val="008901E1"/>
    <w:rsid w:val="008904A2"/>
    <w:rsid w:val="008905C5"/>
    <w:rsid w:val="00890930"/>
    <w:rsid w:val="00890CF5"/>
    <w:rsid w:val="00890D09"/>
    <w:rsid w:val="0089140D"/>
    <w:rsid w:val="00891900"/>
    <w:rsid w:val="00891956"/>
    <w:rsid w:val="008919FB"/>
    <w:rsid w:val="00891B75"/>
    <w:rsid w:val="00891C37"/>
    <w:rsid w:val="00891C76"/>
    <w:rsid w:val="00891D85"/>
    <w:rsid w:val="00891D8E"/>
    <w:rsid w:val="00892019"/>
    <w:rsid w:val="00892239"/>
    <w:rsid w:val="0089225B"/>
    <w:rsid w:val="0089227C"/>
    <w:rsid w:val="0089273F"/>
    <w:rsid w:val="008927F8"/>
    <w:rsid w:val="0089284B"/>
    <w:rsid w:val="008929C2"/>
    <w:rsid w:val="00892AE8"/>
    <w:rsid w:val="00892D53"/>
    <w:rsid w:val="00893298"/>
    <w:rsid w:val="00893A93"/>
    <w:rsid w:val="00893B73"/>
    <w:rsid w:val="00893C2F"/>
    <w:rsid w:val="0089402F"/>
    <w:rsid w:val="0089437B"/>
    <w:rsid w:val="00894400"/>
    <w:rsid w:val="008946E3"/>
    <w:rsid w:val="008947AB"/>
    <w:rsid w:val="008948A5"/>
    <w:rsid w:val="00894A86"/>
    <w:rsid w:val="00894B79"/>
    <w:rsid w:val="0089525A"/>
    <w:rsid w:val="00895CC9"/>
    <w:rsid w:val="00895CE1"/>
    <w:rsid w:val="00895D0B"/>
    <w:rsid w:val="00895E8B"/>
    <w:rsid w:val="008961BB"/>
    <w:rsid w:val="008962B1"/>
    <w:rsid w:val="0089637C"/>
    <w:rsid w:val="00896884"/>
    <w:rsid w:val="00896F25"/>
    <w:rsid w:val="0089709B"/>
    <w:rsid w:val="008971BA"/>
    <w:rsid w:val="00897335"/>
    <w:rsid w:val="00897721"/>
    <w:rsid w:val="00897C7F"/>
    <w:rsid w:val="008A0596"/>
    <w:rsid w:val="008A0658"/>
    <w:rsid w:val="008A0782"/>
    <w:rsid w:val="008A0A10"/>
    <w:rsid w:val="008A0CF4"/>
    <w:rsid w:val="008A0D6D"/>
    <w:rsid w:val="008A0E67"/>
    <w:rsid w:val="008A181A"/>
    <w:rsid w:val="008A1898"/>
    <w:rsid w:val="008A18CA"/>
    <w:rsid w:val="008A1A41"/>
    <w:rsid w:val="008A1AB9"/>
    <w:rsid w:val="008A1D2C"/>
    <w:rsid w:val="008A1DF0"/>
    <w:rsid w:val="008A1E19"/>
    <w:rsid w:val="008A1E80"/>
    <w:rsid w:val="008A1F79"/>
    <w:rsid w:val="008A2016"/>
    <w:rsid w:val="008A254E"/>
    <w:rsid w:val="008A25F9"/>
    <w:rsid w:val="008A26C3"/>
    <w:rsid w:val="008A2739"/>
    <w:rsid w:val="008A29D4"/>
    <w:rsid w:val="008A2B84"/>
    <w:rsid w:val="008A2D92"/>
    <w:rsid w:val="008A2F5E"/>
    <w:rsid w:val="008A34F2"/>
    <w:rsid w:val="008A3776"/>
    <w:rsid w:val="008A3AD0"/>
    <w:rsid w:val="008A3C49"/>
    <w:rsid w:val="008A4075"/>
    <w:rsid w:val="008A42FC"/>
    <w:rsid w:val="008A4A96"/>
    <w:rsid w:val="008A4D6B"/>
    <w:rsid w:val="008A4DE3"/>
    <w:rsid w:val="008A5029"/>
    <w:rsid w:val="008A511F"/>
    <w:rsid w:val="008A54D1"/>
    <w:rsid w:val="008A55D2"/>
    <w:rsid w:val="008A57A0"/>
    <w:rsid w:val="008A5BCD"/>
    <w:rsid w:val="008A6028"/>
    <w:rsid w:val="008A6222"/>
    <w:rsid w:val="008A6650"/>
    <w:rsid w:val="008A6AA7"/>
    <w:rsid w:val="008A6E11"/>
    <w:rsid w:val="008A7CCB"/>
    <w:rsid w:val="008A7DC8"/>
    <w:rsid w:val="008A7FCC"/>
    <w:rsid w:val="008B00BA"/>
    <w:rsid w:val="008B01E1"/>
    <w:rsid w:val="008B02CA"/>
    <w:rsid w:val="008B0567"/>
    <w:rsid w:val="008B0573"/>
    <w:rsid w:val="008B0A20"/>
    <w:rsid w:val="008B0BDF"/>
    <w:rsid w:val="008B0ED7"/>
    <w:rsid w:val="008B1276"/>
    <w:rsid w:val="008B1279"/>
    <w:rsid w:val="008B1440"/>
    <w:rsid w:val="008B1775"/>
    <w:rsid w:val="008B183E"/>
    <w:rsid w:val="008B1858"/>
    <w:rsid w:val="008B1A6E"/>
    <w:rsid w:val="008B1AC0"/>
    <w:rsid w:val="008B1B5A"/>
    <w:rsid w:val="008B1BCF"/>
    <w:rsid w:val="008B1BE8"/>
    <w:rsid w:val="008B1F52"/>
    <w:rsid w:val="008B1FBB"/>
    <w:rsid w:val="008B1FCB"/>
    <w:rsid w:val="008B24B1"/>
    <w:rsid w:val="008B24FD"/>
    <w:rsid w:val="008B2588"/>
    <w:rsid w:val="008B2BC1"/>
    <w:rsid w:val="008B2BCA"/>
    <w:rsid w:val="008B2BFC"/>
    <w:rsid w:val="008B2CC6"/>
    <w:rsid w:val="008B2CD2"/>
    <w:rsid w:val="008B2CDB"/>
    <w:rsid w:val="008B2D01"/>
    <w:rsid w:val="008B2DE2"/>
    <w:rsid w:val="008B2F7F"/>
    <w:rsid w:val="008B317A"/>
    <w:rsid w:val="008B345B"/>
    <w:rsid w:val="008B39AA"/>
    <w:rsid w:val="008B3F73"/>
    <w:rsid w:val="008B40E4"/>
    <w:rsid w:val="008B4BE8"/>
    <w:rsid w:val="008B4C7B"/>
    <w:rsid w:val="008B4DDC"/>
    <w:rsid w:val="008B506A"/>
    <w:rsid w:val="008B52BE"/>
    <w:rsid w:val="008B53F8"/>
    <w:rsid w:val="008B5EDE"/>
    <w:rsid w:val="008B6289"/>
    <w:rsid w:val="008B63D0"/>
    <w:rsid w:val="008B66F2"/>
    <w:rsid w:val="008B6C2C"/>
    <w:rsid w:val="008B6FF9"/>
    <w:rsid w:val="008B70DB"/>
    <w:rsid w:val="008B7142"/>
    <w:rsid w:val="008B72F7"/>
    <w:rsid w:val="008B7B5D"/>
    <w:rsid w:val="008B7BC0"/>
    <w:rsid w:val="008B7EE3"/>
    <w:rsid w:val="008B7F25"/>
    <w:rsid w:val="008BA5C7"/>
    <w:rsid w:val="008C0149"/>
    <w:rsid w:val="008C02EE"/>
    <w:rsid w:val="008C038B"/>
    <w:rsid w:val="008C0403"/>
    <w:rsid w:val="008C057C"/>
    <w:rsid w:val="008C0A00"/>
    <w:rsid w:val="008C0CAB"/>
    <w:rsid w:val="008C0D76"/>
    <w:rsid w:val="008C0F90"/>
    <w:rsid w:val="008C127D"/>
    <w:rsid w:val="008C14D6"/>
    <w:rsid w:val="008C15C4"/>
    <w:rsid w:val="008C1731"/>
    <w:rsid w:val="008C1BF7"/>
    <w:rsid w:val="008C1CD1"/>
    <w:rsid w:val="008C1DBB"/>
    <w:rsid w:val="008C1DCE"/>
    <w:rsid w:val="008C235D"/>
    <w:rsid w:val="008C24B4"/>
    <w:rsid w:val="008C257E"/>
    <w:rsid w:val="008C26AF"/>
    <w:rsid w:val="008C272C"/>
    <w:rsid w:val="008C2765"/>
    <w:rsid w:val="008C2A6F"/>
    <w:rsid w:val="008C2C05"/>
    <w:rsid w:val="008C2C75"/>
    <w:rsid w:val="008C2C96"/>
    <w:rsid w:val="008C2E50"/>
    <w:rsid w:val="008C2EF6"/>
    <w:rsid w:val="008C32A0"/>
    <w:rsid w:val="008C333A"/>
    <w:rsid w:val="008C382E"/>
    <w:rsid w:val="008C385A"/>
    <w:rsid w:val="008C38D9"/>
    <w:rsid w:val="008C394F"/>
    <w:rsid w:val="008C3B0F"/>
    <w:rsid w:val="008C3D49"/>
    <w:rsid w:val="008C40E7"/>
    <w:rsid w:val="008C41C5"/>
    <w:rsid w:val="008C45CB"/>
    <w:rsid w:val="008C4992"/>
    <w:rsid w:val="008C4ACB"/>
    <w:rsid w:val="008C4F79"/>
    <w:rsid w:val="008C58A1"/>
    <w:rsid w:val="008C58E5"/>
    <w:rsid w:val="008C5A9D"/>
    <w:rsid w:val="008C5B2A"/>
    <w:rsid w:val="008C6036"/>
    <w:rsid w:val="008C6195"/>
    <w:rsid w:val="008C624F"/>
    <w:rsid w:val="008C66FD"/>
    <w:rsid w:val="008C6BB6"/>
    <w:rsid w:val="008C6CE5"/>
    <w:rsid w:val="008C6F8B"/>
    <w:rsid w:val="008C6F92"/>
    <w:rsid w:val="008C71AD"/>
    <w:rsid w:val="008C72A8"/>
    <w:rsid w:val="008C7387"/>
    <w:rsid w:val="008C764C"/>
    <w:rsid w:val="008C767F"/>
    <w:rsid w:val="008C79B6"/>
    <w:rsid w:val="008C7A59"/>
    <w:rsid w:val="008D03E1"/>
    <w:rsid w:val="008D0743"/>
    <w:rsid w:val="008D0AD8"/>
    <w:rsid w:val="008D0DD8"/>
    <w:rsid w:val="008D0FB6"/>
    <w:rsid w:val="008D0FFB"/>
    <w:rsid w:val="008D12C0"/>
    <w:rsid w:val="008D1336"/>
    <w:rsid w:val="008D15D2"/>
    <w:rsid w:val="008D1661"/>
    <w:rsid w:val="008D192D"/>
    <w:rsid w:val="008D1C4B"/>
    <w:rsid w:val="008D1DC1"/>
    <w:rsid w:val="008D1EF4"/>
    <w:rsid w:val="008D1FD6"/>
    <w:rsid w:val="008D1FDF"/>
    <w:rsid w:val="008D200D"/>
    <w:rsid w:val="008D227E"/>
    <w:rsid w:val="008D28DC"/>
    <w:rsid w:val="008D2B03"/>
    <w:rsid w:val="008D3224"/>
    <w:rsid w:val="008D3255"/>
    <w:rsid w:val="008D3509"/>
    <w:rsid w:val="008D352D"/>
    <w:rsid w:val="008D379D"/>
    <w:rsid w:val="008D3C69"/>
    <w:rsid w:val="008D3DC8"/>
    <w:rsid w:val="008D4145"/>
    <w:rsid w:val="008D49B1"/>
    <w:rsid w:val="008D5013"/>
    <w:rsid w:val="008D50A5"/>
    <w:rsid w:val="008D5140"/>
    <w:rsid w:val="008D547D"/>
    <w:rsid w:val="008D5A9A"/>
    <w:rsid w:val="008D5BA2"/>
    <w:rsid w:val="008D608D"/>
    <w:rsid w:val="008D616D"/>
    <w:rsid w:val="008D6329"/>
    <w:rsid w:val="008D63A7"/>
    <w:rsid w:val="008D63B3"/>
    <w:rsid w:val="008D64BF"/>
    <w:rsid w:val="008D6581"/>
    <w:rsid w:val="008D6772"/>
    <w:rsid w:val="008D69E2"/>
    <w:rsid w:val="008D6A1A"/>
    <w:rsid w:val="008D6BBB"/>
    <w:rsid w:val="008D6EB7"/>
    <w:rsid w:val="008D6F68"/>
    <w:rsid w:val="008D72D2"/>
    <w:rsid w:val="008D77F9"/>
    <w:rsid w:val="008D7885"/>
    <w:rsid w:val="008D7ACF"/>
    <w:rsid w:val="008D7D2C"/>
    <w:rsid w:val="008D7FE9"/>
    <w:rsid w:val="008DA2A3"/>
    <w:rsid w:val="008E0009"/>
    <w:rsid w:val="008E0099"/>
    <w:rsid w:val="008E01ED"/>
    <w:rsid w:val="008E027B"/>
    <w:rsid w:val="008E04B1"/>
    <w:rsid w:val="008E0618"/>
    <w:rsid w:val="008E062E"/>
    <w:rsid w:val="008E07F3"/>
    <w:rsid w:val="008E08F7"/>
    <w:rsid w:val="008E0980"/>
    <w:rsid w:val="008E0A58"/>
    <w:rsid w:val="008E0BED"/>
    <w:rsid w:val="008E0C92"/>
    <w:rsid w:val="008E0DAA"/>
    <w:rsid w:val="008E100E"/>
    <w:rsid w:val="008E185C"/>
    <w:rsid w:val="008E1965"/>
    <w:rsid w:val="008E1AFF"/>
    <w:rsid w:val="008E1D22"/>
    <w:rsid w:val="008E1D60"/>
    <w:rsid w:val="008E1E3B"/>
    <w:rsid w:val="008E1F01"/>
    <w:rsid w:val="008E202A"/>
    <w:rsid w:val="008E228B"/>
    <w:rsid w:val="008E2347"/>
    <w:rsid w:val="008E24F5"/>
    <w:rsid w:val="008E25C5"/>
    <w:rsid w:val="008E2793"/>
    <w:rsid w:val="008E2AD9"/>
    <w:rsid w:val="008E302A"/>
    <w:rsid w:val="008E3030"/>
    <w:rsid w:val="008E304E"/>
    <w:rsid w:val="008E321C"/>
    <w:rsid w:val="008E35AE"/>
    <w:rsid w:val="008E35B5"/>
    <w:rsid w:val="008E3822"/>
    <w:rsid w:val="008E3F41"/>
    <w:rsid w:val="008E41B4"/>
    <w:rsid w:val="008E426B"/>
    <w:rsid w:val="008E431B"/>
    <w:rsid w:val="008E47FE"/>
    <w:rsid w:val="008E492D"/>
    <w:rsid w:val="008E49FC"/>
    <w:rsid w:val="008E4FD1"/>
    <w:rsid w:val="008E5161"/>
    <w:rsid w:val="008E55B9"/>
    <w:rsid w:val="008E5DCB"/>
    <w:rsid w:val="008E5FC6"/>
    <w:rsid w:val="008E61CD"/>
    <w:rsid w:val="008E63B3"/>
    <w:rsid w:val="008E6906"/>
    <w:rsid w:val="008E691F"/>
    <w:rsid w:val="008E6EEC"/>
    <w:rsid w:val="008E7163"/>
    <w:rsid w:val="008E74BB"/>
    <w:rsid w:val="008E751E"/>
    <w:rsid w:val="008E79C8"/>
    <w:rsid w:val="008E8AC4"/>
    <w:rsid w:val="008F0281"/>
    <w:rsid w:val="008F02B5"/>
    <w:rsid w:val="008F0F7B"/>
    <w:rsid w:val="008F0FE7"/>
    <w:rsid w:val="008F1259"/>
    <w:rsid w:val="008F1283"/>
    <w:rsid w:val="008F1379"/>
    <w:rsid w:val="008F178B"/>
    <w:rsid w:val="008F1AC3"/>
    <w:rsid w:val="008F1B14"/>
    <w:rsid w:val="008F1B24"/>
    <w:rsid w:val="008F1E2B"/>
    <w:rsid w:val="008F2234"/>
    <w:rsid w:val="008F227A"/>
    <w:rsid w:val="008F22A1"/>
    <w:rsid w:val="008F236F"/>
    <w:rsid w:val="008F245A"/>
    <w:rsid w:val="008F26A0"/>
    <w:rsid w:val="008F26A9"/>
    <w:rsid w:val="008F28CB"/>
    <w:rsid w:val="008F2CE7"/>
    <w:rsid w:val="008F2D86"/>
    <w:rsid w:val="008F2E4D"/>
    <w:rsid w:val="008F3213"/>
    <w:rsid w:val="008F37CF"/>
    <w:rsid w:val="008F3C15"/>
    <w:rsid w:val="008F40D7"/>
    <w:rsid w:val="008F415C"/>
    <w:rsid w:val="008F4221"/>
    <w:rsid w:val="008F432B"/>
    <w:rsid w:val="008F4498"/>
    <w:rsid w:val="008F4AE2"/>
    <w:rsid w:val="008F4BB3"/>
    <w:rsid w:val="008F4D62"/>
    <w:rsid w:val="008F4E22"/>
    <w:rsid w:val="008F5548"/>
    <w:rsid w:val="008F56DA"/>
    <w:rsid w:val="008F5875"/>
    <w:rsid w:val="008F5C38"/>
    <w:rsid w:val="008F5CFD"/>
    <w:rsid w:val="008F5DA4"/>
    <w:rsid w:val="008F5DF3"/>
    <w:rsid w:val="008F5E6A"/>
    <w:rsid w:val="008F5EB1"/>
    <w:rsid w:val="008F6237"/>
    <w:rsid w:val="008F63B8"/>
    <w:rsid w:val="008F6926"/>
    <w:rsid w:val="008F69CE"/>
    <w:rsid w:val="008F6AAF"/>
    <w:rsid w:val="008F6BDB"/>
    <w:rsid w:val="008F6DF2"/>
    <w:rsid w:val="008F6EA4"/>
    <w:rsid w:val="008F6EAF"/>
    <w:rsid w:val="008F6FC4"/>
    <w:rsid w:val="008F73FA"/>
    <w:rsid w:val="008F744F"/>
    <w:rsid w:val="008F7799"/>
    <w:rsid w:val="008F78C9"/>
    <w:rsid w:val="008FB310"/>
    <w:rsid w:val="009000BB"/>
    <w:rsid w:val="0090041B"/>
    <w:rsid w:val="009005EF"/>
    <w:rsid w:val="00900ADD"/>
    <w:rsid w:val="0090109B"/>
    <w:rsid w:val="009011D6"/>
    <w:rsid w:val="00901899"/>
    <w:rsid w:val="00901C32"/>
    <w:rsid w:val="0090243C"/>
    <w:rsid w:val="00902CC2"/>
    <w:rsid w:val="00902CFF"/>
    <w:rsid w:val="00902EE5"/>
    <w:rsid w:val="009032BF"/>
    <w:rsid w:val="0090338C"/>
    <w:rsid w:val="009033DB"/>
    <w:rsid w:val="00903440"/>
    <w:rsid w:val="00903593"/>
    <w:rsid w:val="009035FC"/>
    <w:rsid w:val="0090376A"/>
    <w:rsid w:val="00903993"/>
    <w:rsid w:val="00903B93"/>
    <w:rsid w:val="00903B97"/>
    <w:rsid w:val="00903DC6"/>
    <w:rsid w:val="00903EF7"/>
    <w:rsid w:val="00903F41"/>
    <w:rsid w:val="00904007"/>
    <w:rsid w:val="009041AD"/>
    <w:rsid w:val="00904297"/>
    <w:rsid w:val="00904323"/>
    <w:rsid w:val="009047BB"/>
    <w:rsid w:val="00904A35"/>
    <w:rsid w:val="00904C92"/>
    <w:rsid w:val="00904F83"/>
    <w:rsid w:val="00904F8D"/>
    <w:rsid w:val="0090554B"/>
    <w:rsid w:val="0090556D"/>
    <w:rsid w:val="0090562D"/>
    <w:rsid w:val="00905658"/>
    <w:rsid w:val="00905AF6"/>
    <w:rsid w:val="00905C49"/>
    <w:rsid w:val="00906111"/>
    <w:rsid w:val="009061C6"/>
    <w:rsid w:val="009065E4"/>
    <w:rsid w:val="0090672D"/>
    <w:rsid w:val="009068E1"/>
    <w:rsid w:val="00906A9A"/>
    <w:rsid w:val="00906B00"/>
    <w:rsid w:val="00907237"/>
    <w:rsid w:val="0090724B"/>
    <w:rsid w:val="009073AD"/>
    <w:rsid w:val="0090785C"/>
    <w:rsid w:val="0090790A"/>
    <w:rsid w:val="00907B9E"/>
    <w:rsid w:val="00907CE1"/>
    <w:rsid w:val="00907E03"/>
    <w:rsid w:val="0091009B"/>
    <w:rsid w:val="009100E6"/>
    <w:rsid w:val="00910369"/>
    <w:rsid w:val="00910558"/>
    <w:rsid w:val="00910937"/>
    <w:rsid w:val="009110B1"/>
    <w:rsid w:val="009113C8"/>
    <w:rsid w:val="009113E0"/>
    <w:rsid w:val="0091167E"/>
    <w:rsid w:val="00911708"/>
    <w:rsid w:val="00911B1E"/>
    <w:rsid w:val="00911DF0"/>
    <w:rsid w:val="00911E36"/>
    <w:rsid w:val="00911F06"/>
    <w:rsid w:val="00911F8C"/>
    <w:rsid w:val="0091209D"/>
    <w:rsid w:val="009121A9"/>
    <w:rsid w:val="00912256"/>
    <w:rsid w:val="0091275C"/>
    <w:rsid w:val="0091316F"/>
    <w:rsid w:val="0091327F"/>
    <w:rsid w:val="0091331E"/>
    <w:rsid w:val="0091349E"/>
    <w:rsid w:val="00913939"/>
    <w:rsid w:val="00913CC5"/>
    <w:rsid w:val="00913D8A"/>
    <w:rsid w:val="00913F67"/>
    <w:rsid w:val="00914371"/>
    <w:rsid w:val="009145EB"/>
    <w:rsid w:val="00914A76"/>
    <w:rsid w:val="00914B9A"/>
    <w:rsid w:val="00914DA8"/>
    <w:rsid w:val="00914FD8"/>
    <w:rsid w:val="009151AA"/>
    <w:rsid w:val="0091524D"/>
    <w:rsid w:val="009154F3"/>
    <w:rsid w:val="00915648"/>
    <w:rsid w:val="00915D4E"/>
    <w:rsid w:val="00915E56"/>
    <w:rsid w:val="009160E6"/>
    <w:rsid w:val="009165CA"/>
    <w:rsid w:val="00916972"/>
    <w:rsid w:val="00916A5D"/>
    <w:rsid w:val="00916AEF"/>
    <w:rsid w:val="00916D18"/>
    <w:rsid w:val="00916E9D"/>
    <w:rsid w:val="00916FC8"/>
    <w:rsid w:val="00917C71"/>
    <w:rsid w:val="00917E06"/>
    <w:rsid w:val="00917E2D"/>
    <w:rsid w:val="00917E3A"/>
    <w:rsid w:val="00917EAA"/>
    <w:rsid w:val="009202D9"/>
    <w:rsid w:val="009205E4"/>
    <w:rsid w:val="00920621"/>
    <w:rsid w:val="009206A5"/>
    <w:rsid w:val="00920964"/>
    <w:rsid w:val="009209E3"/>
    <w:rsid w:val="00920D61"/>
    <w:rsid w:val="00920E8D"/>
    <w:rsid w:val="009210EE"/>
    <w:rsid w:val="00921262"/>
    <w:rsid w:val="00921394"/>
    <w:rsid w:val="00921430"/>
    <w:rsid w:val="00921764"/>
    <w:rsid w:val="00921A09"/>
    <w:rsid w:val="00921B97"/>
    <w:rsid w:val="00921FBD"/>
    <w:rsid w:val="00922001"/>
    <w:rsid w:val="00922368"/>
    <w:rsid w:val="00922385"/>
    <w:rsid w:val="00922903"/>
    <w:rsid w:val="0092298B"/>
    <w:rsid w:val="009229E9"/>
    <w:rsid w:val="00922A50"/>
    <w:rsid w:val="00922AA3"/>
    <w:rsid w:val="00922B90"/>
    <w:rsid w:val="00922FDE"/>
    <w:rsid w:val="0092301F"/>
    <w:rsid w:val="009231BF"/>
    <w:rsid w:val="00923234"/>
    <w:rsid w:val="0092324E"/>
    <w:rsid w:val="00923596"/>
    <w:rsid w:val="00923D4A"/>
    <w:rsid w:val="00923EA7"/>
    <w:rsid w:val="00924130"/>
    <w:rsid w:val="00924200"/>
    <w:rsid w:val="009242BE"/>
    <w:rsid w:val="00924382"/>
    <w:rsid w:val="009245F8"/>
    <w:rsid w:val="0092493D"/>
    <w:rsid w:val="009249C2"/>
    <w:rsid w:val="00924A45"/>
    <w:rsid w:val="00924BE9"/>
    <w:rsid w:val="00924C2A"/>
    <w:rsid w:val="00924D40"/>
    <w:rsid w:val="00924E69"/>
    <w:rsid w:val="0092509C"/>
    <w:rsid w:val="00925117"/>
    <w:rsid w:val="009253FA"/>
    <w:rsid w:val="009256AC"/>
    <w:rsid w:val="00925966"/>
    <w:rsid w:val="00925A1A"/>
    <w:rsid w:val="00925A24"/>
    <w:rsid w:val="00925AB3"/>
    <w:rsid w:val="00925B1A"/>
    <w:rsid w:val="00925DBA"/>
    <w:rsid w:val="00925DE7"/>
    <w:rsid w:val="00925F31"/>
    <w:rsid w:val="00926234"/>
    <w:rsid w:val="0092638E"/>
    <w:rsid w:val="00926530"/>
    <w:rsid w:val="00926821"/>
    <w:rsid w:val="00926969"/>
    <w:rsid w:val="0092696C"/>
    <w:rsid w:val="0092698F"/>
    <w:rsid w:val="00926C47"/>
    <w:rsid w:val="00926DC8"/>
    <w:rsid w:val="0092701A"/>
    <w:rsid w:val="0092704D"/>
    <w:rsid w:val="009270C1"/>
    <w:rsid w:val="00927791"/>
    <w:rsid w:val="009278EE"/>
    <w:rsid w:val="00927D09"/>
    <w:rsid w:val="00927EA5"/>
    <w:rsid w:val="00927EAC"/>
    <w:rsid w:val="00930037"/>
    <w:rsid w:val="00930142"/>
    <w:rsid w:val="00930187"/>
    <w:rsid w:val="009301DD"/>
    <w:rsid w:val="00930403"/>
    <w:rsid w:val="00930849"/>
    <w:rsid w:val="00930B90"/>
    <w:rsid w:val="00930DB5"/>
    <w:rsid w:val="00930FB2"/>
    <w:rsid w:val="00931446"/>
    <w:rsid w:val="0093150B"/>
    <w:rsid w:val="00931795"/>
    <w:rsid w:val="00931ACD"/>
    <w:rsid w:val="00931DD1"/>
    <w:rsid w:val="00931FB4"/>
    <w:rsid w:val="00932099"/>
    <w:rsid w:val="009320B8"/>
    <w:rsid w:val="0093216D"/>
    <w:rsid w:val="00932473"/>
    <w:rsid w:val="00932667"/>
    <w:rsid w:val="0093273F"/>
    <w:rsid w:val="00932A24"/>
    <w:rsid w:val="00932A89"/>
    <w:rsid w:val="0093328E"/>
    <w:rsid w:val="0093352B"/>
    <w:rsid w:val="0093354D"/>
    <w:rsid w:val="00933A67"/>
    <w:rsid w:val="00933BAE"/>
    <w:rsid w:val="00933CE0"/>
    <w:rsid w:val="00933E24"/>
    <w:rsid w:val="00933E76"/>
    <w:rsid w:val="009343B9"/>
    <w:rsid w:val="009343C3"/>
    <w:rsid w:val="009344EA"/>
    <w:rsid w:val="0093451B"/>
    <w:rsid w:val="00934DCC"/>
    <w:rsid w:val="00935070"/>
    <w:rsid w:val="00935119"/>
    <w:rsid w:val="0093513D"/>
    <w:rsid w:val="00935449"/>
    <w:rsid w:val="00935ACD"/>
    <w:rsid w:val="00936066"/>
    <w:rsid w:val="0093611A"/>
    <w:rsid w:val="009361B3"/>
    <w:rsid w:val="009364FD"/>
    <w:rsid w:val="00936C70"/>
    <w:rsid w:val="00936D0B"/>
    <w:rsid w:val="00937346"/>
    <w:rsid w:val="00937455"/>
    <w:rsid w:val="00937478"/>
    <w:rsid w:val="0093752A"/>
    <w:rsid w:val="00937735"/>
    <w:rsid w:val="00937978"/>
    <w:rsid w:val="00937AC4"/>
    <w:rsid w:val="00937AC5"/>
    <w:rsid w:val="00937DB3"/>
    <w:rsid w:val="00937EC5"/>
    <w:rsid w:val="0094004B"/>
    <w:rsid w:val="009402DA"/>
    <w:rsid w:val="00940379"/>
    <w:rsid w:val="009403C6"/>
    <w:rsid w:val="009405B0"/>
    <w:rsid w:val="00940642"/>
    <w:rsid w:val="009414FA"/>
    <w:rsid w:val="009418D4"/>
    <w:rsid w:val="00941B07"/>
    <w:rsid w:val="00941CBC"/>
    <w:rsid w:val="00941D79"/>
    <w:rsid w:val="00941D82"/>
    <w:rsid w:val="00941ED6"/>
    <w:rsid w:val="00942018"/>
    <w:rsid w:val="009423C8"/>
    <w:rsid w:val="009423CD"/>
    <w:rsid w:val="009423ED"/>
    <w:rsid w:val="0094245C"/>
    <w:rsid w:val="009428A4"/>
    <w:rsid w:val="00942CEE"/>
    <w:rsid w:val="00942DAE"/>
    <w:rsid w:val="00942FF5"/>
    <w:rsid w:val="00943018"/>
    <w:rsid w:val="00943028"/>
    <w:rsid w:val="00943124"/>
    <w:rsid w:val="00943169"/>
    <w:rsid w:val="0094330B"/>
    <w:rsid w:val="00943B37"/>
    <w:rsid w:val="00943BEB"/>
    <w:rsid w:val="00943C9C"/>
    <w:rsid w:val="00943DFB"/>
    <w:rsid w:val="00943F7C"/>
    <w:rsid w:val="00944001"/>
    <w:rsid w:val="00944004"/>
    <w:rsid w:val="00944031"/>
    <w:rsid w:val="009440E1"/>
    <w:rsid w:val="009441BE"/>
    <w:rsid w:val="0094453D"/>
    <w:rsid w:val="009445F9"/>
    <w:rsid w:val="00944708"/>
    <w:rsid w:val="009448DB"/>
    <w:rsid w:val="00944A5C"/>
    <w:rsid w:val="00944BAD"/>
    <w:rsid w:val="00944DCF"/>
    <w:rsid w:val="009450DC"/>
    <w:rsid w:val="00945137"/>
    <w:rsid w:val="00945274"/>
    <w:rsid w:val="0094527B"/>
    <w:rsid w:val="00945692"/>
    <w:rsid w:val="009457B4"/>
    <w:rsid w:val="009459D3"/>
    <w:rsid w:val="00945C67"/>
    <w:rsid w:val="00945CA7"/>
    <w:rsid w:val="00945E77"/>
    <w:rsid w:val="009464F8"/>
    <w:rsid w:val="00947614"/>
    <w:rsid w:val="0094764A"/>
    <w:rsid w:val="009476FA"/>
    <w:rsid w:val="009478C6"/>
    <w:rsid w:val="00947BF3"/>
    <w:rsid w:val="00947D24"/>
    <w:rsid w:val="00947F43"/>
    <w:rsid w:val="00947F8A"/>
    <w:rsid w:val="00947FD7"/>
    <w:rsid w:val="00950046"/>
    <w:rsid w:val="00950212"/>
    <w:rsid w:val="0095033C"/>
    <w:rsid w:val="00950364"/>
    <w:rsid w:val="0095042B"/>
    <w:rsid w:val="0095047E"/>
    <w:rsid w:val="009505BB"/>
    <w:rsid w:val="009506D1"/>
    <w:rsid w:val="0095078C"/>
    <w:rsid w:val="00950F57"/>
    <w:rsid w:val="00951252"/>
    <w:rsid w:val="009513D0"/>
    <w:rsid w:val="009515AF"/>
    <w:rsid w:val="0095172A"/>
    <w:rsid w:val="0095179D"/>
    <w:rsid w:val="00951A48"/>
    <w:rsid w:val="00951DAF"/>
    <w:rsid w:val="00952198"/>
    <w:rsid w:val="0095241D"/>
    <w:rsid w:val="0095248F"/>
    <w:rsid w:val="009528F2"/>
    <w:rsid w:val="00952A60"/>
    <w:rsid w:val="00952B6A"/>
    <w:rsid w:val="00952C15"/>
    <w:rsid w:val="00952EE1"/>
    <w:rsid w:val="00953192"/>
    <w:rsid w:val="00953291"/>
    <w:rsid w:val="009532F3"/>
    <w:rsid w:val="00953472"/>
    <w:rsid w:val="009536F4"/>
    <w:rsid w:val="00953787"/>
    <w:rsid w:val="00953834"/>
    <w:rsid w:val="00953A65"/>
    <w:rsid w:val="00953D5C"/>
    <w:rsid w:val="00954246"/>
    <w:rsid w:val="009543A5"/>
    <w:rsid w:val="009545CE"/>
    <w:rsid w:val="00954815"/>
    <w:rsid w:val="00954901"/>
    <w:rsid w:val="00954A8B"/>
    <w:rsid w:val="00955056"/>
    <w:rsid w:val="009550B2"/>
    <w:rsid w:val="009550CC"/>
    <w:rsid w:val="009553FF"/>
    <w:rsid w:val="00955644"/>
    <w:rsid w:val="00955D0F"/>
    <w:rsid w:val="00955E04"/>
    <w:rsid w:val="00955E78"/>
    <w:rsid w:val="00955FA2"/>
    <w:rsid w:val="00955FAD"/>
    <w:rsid w:val="009560A4"/>
    <w:rsid w:val="0095623A"/>
    <w:rsid w:val="00956314"/>
    <w:rsid w:val="009563D6"/>
    <w:rsid w:val="00956460"/>
    <w:rsid w:val="009566F8"/>
    <w:rsid w:val="0095688A"/>
    <w:rsid w:val="009568CF"/>
    <w:rsid w:val="009569C0"/>
    <w:rsid w:val="00956A24"/>
    <w:rsid w:val="00956C6A"/>
    <w:rsid w:val="00956F02"/>
    <w:rsid w:val="00957343"/>
    <w:rsid w:val="00957514"/>
    <w:rsid w:val="009576E9"/>
    <w:rsid w:val="0095789B"/>
    <w:rsid w:val="00957C07"/>
    <w:rsid w:val="00957DE1"/>
    <w:rsid w:val="00957F5E"/>
    <w:rsid w:val="0096007B"/>
    <w:rsid w:val="009606CE"/>
    <w:rsid w:val="009608FE"/>
    <w:rsid w:val="00960C7B"/>
    <w:rsid w:val="00960EC7"/>
    <w:rsid w:val="00961074"/>
    <w:rsid w:val="0096147F"/>
    <w:rsid w:val="009614B9"/>
    <w:rsid w:val="00961AA7"/>
    <w:rsid w:val="00961B1B"/>
    <w:rsid w:val="00961E57"/>
    <w:rsid w:val="00961F64"/>
    <w:rsid w:val="00962039"/>
    <w:rsid w:val="009620B7"/>
    <w:rsid w:val="009622C0"/>
    <w:rsid w:val="00962588"/>
    <w:rsid w:val="00962A97"/>
    <w:rsid w:val="00962EC7"/>
    <w:rsid w:val="00963764"/>
    <w:rsid w:val="00963A02"/>
    <w:rsid w:val="00963BC9"/>
    <w:rsid w:val="00963EAE"/>
    <w:rsid w:val="00963EB6"/>
    <w:rsid w:val="00964018"/>
    <w:rsid w:val="00964055"/>
    <w:rsid w:val="00964152"/>
    <w:rsid w:val="00964335"/>
    <w:rsid w:val="00964687"/>
    <w:rsid w:val="0096470C"/>
    <w:rsid w:val="00964907"/>
    <w:rsid w:val="00964A88"/>
    <w:rsid w:val="00964B3E"/>
    <w:rsid w:val="00964B76"/>
    <w:rsid w:val="00964CC4"/>
    <w:rsid w:val="00964E2C"/>
    <w:rsid w:val="00965757"/>
    <w:rsid w:val="00965A7B"/>
    <w:rsid w:val="00965B2C"/>
    <w:rsid w:val="00965D20"/>
    <w:rsid w:val="00966001"/>
    <w:rsid w:val="00966312"/>
    <w:rsid w:val="00966487"/>
    <w:rsid w:val="00966AA3"/>
    <w:rsid w:val="0096709D"/>
    <w:rsid w:val="00967255"/>
    <w:rsid w:val="00967685"/>
    <w:rsid w:val="0096773F"/>
    <w:rsid w:val="00967A5D"/>
    <w:rsid w:val="00967CB3"/>
    <w:rsid w:val="00967D3C"/>
    <w:rsid w:val="00967DC8"/>
    <w:rsid w:val="0097026A"/>
    <w:rsid w:val="0097095E"/>
    <w:rsid w:val="0097098D"/>
    <w:rsid w:val="00970B6E"/>
    <w:rsid w:val="009710A6"/>
    <w:rsid w:val="009712FF"/>
    <w:rsid w:val="009713AF"/>
    <w:rsid w:val="009716C3"/>
    <w:rsid w:val="0097190A"/>
    <w:rsid w:val="00971F71"/>
    <w:rsid w:val="00972006"/>
    <w:rsid w:val="009721D2"/>
    <w:rsid w:val="009721EC"/>
    <w:rsid w:val="00972200"/>
    <w:rsid w:val="009726FE"/>
    <w:rsid w:val="00972C3F"/>
    <w:rsid w:val="00972F87"/>
    <w:rsid w:val="00972F96"/>
    <w:rsid w:val="00973249"/>
    <w:rsid w:val="009732CE"/>
    <w:rsid w:val="0097338A"/>
    <w:rsid w:val="00973514"/>
    <w:rsid w:val="00973597"/>
    <w:rsid w:val="00973765"/>
    <w:rsid w:val="0097409C"/>
    <w:rsid w:val="0097423F"/>
    <w:rsid w:val="0097447A"/>
    <w:rsid w:val="00974930"/>
    <w:rsid w:val="00974AC3"/>
    <w:rsid w:val="00974F82"/>
    <w:rsid w:val="009753FA"/>
    <w:rsid w:val="00975426"/>
    <w:rsid w:val="0097552F"/>
    <w:rsid w:val="009758AA"/>
    <w:rsid w:val="00975A51"/>
    <w:rsid w:val="00975C41"/>
    <w:rsid w:val="009762D2"/>
    <w:rsid w:val="00976386"/>
    <w:rsid w:val="00976482"/>
    <w:rsid w:val="009765D4"/>
    <w:rsid w:val="009767DD"/>
    <w:rsid w:val="009768E7"/>
    <w:rsid w:val="00976AB6"/>
    <w:rsid w:val="00976ACD"/>
    <w:rsid w:val="00976DB8"/>
    <w:rsid w:val="009772DD"/>
    <w:rsid w:val="00977946"/>
    <w:rsid w:val="00977ACE"/>
    <w:rsid w:val="00977DF2"/>
    <w:rsid w:val="00977E99"/>
    <w:rsid w:val="00977EB9"/>
    <w:rsid w:val="00977F25"/>
    <w:rsid w:val="00980153"/>
    <w:rsid w:val="009804F5"/>
    <w:rsid w:val="009805C5"/>
    <w:rsid w:val="0098060F"/>
    <w:rsid w:val="009807E7"/>
    <w:rsid w:val="00980827"/>
    <w:rsid w:val="00980AA5"/>
    <w:rsid w:val="00981CE4"/>
    <w:rsid w:val="00981EAF"/>
    <w:rsid w:val="009823F7"/>
    <w:rsid w:val="009826A4"/>
    <w:rsid w:val="00982B79"/>
    <w:rsid w:val="00982B92"/>
    <w:rsid w:val="00982F79"/>
    <w:rsid w:val="00982FE5"/>
    <w:rsid w:val="009830C3"/>
    <w:rsid w:val="0098319F"/>
    <w:rsid w:val="00983551"/>
    <w:rsid w:val="0098374A"/>
    <w:rsid w:val="00983889"/>
    <w:rsid w:val="00983C57"/>
    <w:rsid w:val="009841B8"/>
    <w:rsid w:val="009842B4"/>
    <w:rsid w:val="00984446"/>
    <w:rsid w:val="009844F9"/>
    <w:rsid w:val="00984A2C"/>
    <w:rsid w:val="00984DCB"/>
    <w:rsid w:val="0098507D"/>
    <w:rsid w:val="0098513E"/>
    <w:rsid w:val="00985463"/>
    <w:rsid w:val="009856D7"/>
    <w:rsid w:val="009857C0"/>
    <w:rsid w:val="009859ED"/>
    <w:rsid w:val="00985BE3"/>
    <w:rsid w:val="00985C93"/>
    <w:rsid w:val="00985C95"/>
    <w:rsid w:val="00986104"/>
    <w:rsid w:val="00986241"/>
    <w:rsid w:val="00986281"/>
    <w:rsid w:val="00986331"/>
    <w:rsid w:val="0098637C"/>
    <w:rsid w:val="00986672"/>
    <w:rsid w:val="0098674F"/>
    <w:rsid w:val="00986A5F"/>
    <w:rsid w:val="00986A60"/>
    <w:rsid w:val="009870C1"/>
    <w:rsid w:val="009871BD"/>
    <w:rsid w:val="009872A4"/>
    <w:rsid w:val="00987730"/>
    <w:rsid w:val="00987785"/>
    <w:rsid w:val="0098793A"/>
    <w:rsid w:val="00987A4D"/>
    <w:rsid w:val="00987CB8"/>
    <w:rsid w:val="00987E46"/>
    <w:rsid w:val="0098A0CC"/>
    <w:rsid w:val="0099024C"/>
    <w:rsid w:val="009902A2"/>
    <w:rsid w:val="009902B0"/>
    <w:rsid w:val="009903EA"/>
    <w:rsid w:val="00990778"/>
    <w:rsid w:val="00990BFB"/>
    <w:rsid w:val="00990E18"/>
    <w:rsid w:val="00990F84"/>
    <w:rsid w:val="009913E9"/>
    <w:rsid w:val="0099172C"/>
    <w:rsid w:val="00991766"/>
    <w:rsid w:val="00991B96"/>
    <w:rsid w:val="00991C65"/>
    <w:rsid w:val="009922F0"/>
    <w:rsid w:val="00992645"/>
    <w:rsid w:val="009927C6"/>
    <w:rsid w:val="009928EE"/>
    <w:rsid w:val="00992D47"/>
    <w:rsid w:val="00992F11"/>
    <w:rsid w:val="00993092"/>
    <w:rsid w:val="009931FE"/>
    <w:rsid w:val="009933A1"/>
    <w:rsid w:val="009935B8"/>
    <w:rsid w:val="0099371E"/>
    <w:rsid w:val="00993C5D"/>
    <w:rsid w:val="00993DFC"/>
    <w:rsid w:val="00994057"/>
    <w:rsid w:val="00994401"/>
    <w:rsid w:val="009944BE"/>
    <w:rsid w:val="00994584"/>
    <w:rsid w:val="009946BF"/>
    <w:rsid w:val="00994DD3"/>
    <w:rsid w:val="00994EBD"/>
    <w:rsid w:val="00995024"/>
    <w:rsid w:val="0099506A"/>
    <w:rsid w:val="0099512E"/>
    <w:rsid w:val="00995354"/>
    <w:rsid w:val="0099539B"/>
    <w:rsid w:val="009954F7"/>
    <w:rsid w:val="00995684"/>
    <w:rsid w:val="00995945"/>
    <w:rsid w:val="00995BF2"/>
    <w:rsid w:val="0099606E"/>
    <w:rsid w:val="00996508"/>
    <w:rsid w:val="00996511"/>
    <w:rsid w:val="009965CA"/>
    <w:rsid w:val="009968CB"/>
    <w:rsid w:val="00996E79"/>
    <w:rsid w:val="00996E94"/>
    <w:rsid w:val="00996EC8"/>
    <w:rsid w:val="009970B2"/>
    <w:rsid w:val="00997414"/>
    <w:rsid w:val="009974E3"/>
    <w:rsid w:val="00997576"/>
    <w:rsid w:val="00997C24"/>
    <w:rsid w:val="00997C88"/>
    <w:rsid w:val="00997E55"/>
    <w:rsid w:val="00997F04"/>
    <w:rsid w:val="0099EDAA"/>
    <w:rsid w:val="009A0226"/>
    <w:rsid w:val="009A0472"/>
    <w:rsid w:val="009A061D"/>
    <w:rsid w:val="009A06C0"/>
    <w:rsid w:val="009A0850"/>
    <w:rsid w:val="009A09D7"/>
    <w:rsid w:val="009A0D6C"/>
    <w:rsid w:val="009A0DBF"/>
    <w:rsid w:val="009A0F5E"/>
    <w:rsid w:val="009A102F"/>
    <w:rsid w:val="009A1E41"/>
    <w:rsid w:val="009A2169"/>
    <w:rsid w:val="009A29B9"/>
    <w:rsid w:val="009A2AC1"/>
    <w:rsid w:val="009A2DD7"/>
    <w:rsid w:val="009A2EE4"/>
    <w:rsid w:val="009A2FDE"/>
    <w:rsid w:val="009A3136"/>
    <w:rsid w:val="009A330D"/>
    <w:rsid w:val="009A35B8"/>
    <w:rsid w:val="009A35E6"/>
    <w:rsid w:val="009A3736"/>
    <w:rsid w:val="009A3776"/>
    <w:rsid w:val="009A3A28"/>
    <w:rsid w:val="009A3B49"/>
    <w:rsid w:val="009A3B6C"/>
    <w:rsid w:val="009A3D60"/>
    <w:rsid w:val="009A42BE"/>
    <w:rsid w:val="009A4310"/>
    <w:rsid w:val="009A483C"/>
    <w:rsid w:val="009A4864"/>
    <w:rsid w:val="009A4EAE"/>
    <w:rsid w:val="009A515A"/>
    <w:rsid w:val="009A516A"/>
    <w:rsid w:val="009A51B7"/>
    <w:rsid w:val="009A5238"/>
    <w:rsid w:val="009A5414"/>
    <w:rsid w:val="009A585C"/>
    <w:rsid w:val="009A58EC"/>
    <w:rsid w:val="009A66AD"/>
    <w:rsid w:val="009A6859"/>
    <w:rsid w:val="009A6A8D"/>
    <w:rsid w:val="009A6CF8"/>
    <w:rsid w:val="009A6FD7"/>
    <w:rsid w:val="009A701B"/>
    <w:rsid w:val="009A7BB7"/>
    <w:rsid w:val="009A7BEF"/>
    <w:rsid w:val="009B03BA"/>
    <w:rsid w:val="009B056A"/>
    <w:rsid w:val="009B08D3"/>
    <w:rsid w:val="009B0954"/>
    <w:rsid w:val="009B0E60"/>
    <w:rsid w:val="009B1429"/>
    <w:rsid w:val="009B1450"/>
    <w:rsid w:val="009B145E"/>
    <w:rsid w:val="009B151C"/>
    <w:rsid w:val="009B1598"/>
    <w:rsid w:val="009B16E8"/>
    <w:rsid w:val="009B187D"/>
    <w:rsid w:val="009B19F4"/>
    <w:rsid w:val="009B1A95"/>
    <w:rsid w:val="009B1C53"/>
    <w:rsid w:val="009B237A"/>
    <w:rsid w:val="009B2532"/>
    <w:rsid w:val="009B2702"/>
    <w:rsid w:val="009B2856"/>
    <w:rsid w:val="009B28D0"/>
    <w:rsid w:val="009B2E4D"/>
    <w:rsid w:val="009B3016"/>
    <w:rsid w:val="009B308E"/>
    <w:rsid w:val="009B32D3"/>
    <w:rsid w:val="009B3700"/>
    <w:rsid w:val="009B3809"/>
    <w:rsid w:val="009B3A82"/>
    <w:rsid w:val="009B3BE4"/>
    <w:rsid w:val="009B3D48"/>
    <w:rsid w:val="009B3E0F"/>
    <w:rsid w:val="009B3E7F"/>
    <w:rsid w:val="009B40DC"/>
    <w:rsid w:val="009B41E5"/>
    <w:rsid w:val="009B41E8"/>
    <w:rsid w:val="009B42F5"/>
    <w:rsid w:val="009B4524"/>
    <w:rsid w:val="009B473A"/>
    <w:rsid w:val="009B485A"/>
    <w:rsid w:val="009B5126"/>
    <w:rsid w:val="009B5281"/>
    <w:rsid w:val="009B5516"/>
    <w:rsid w:val="009B55C1"/>
    <w:rsid w:val="009B5DF8"/>
    <w:rsid w:val="009B5ECB"/>
    <w:rsid w:val="009B6160"/>
    <w:rsid w:val="009B61CE"/>
    <w:rsid w:val="009B6260"/>
    <w:rsid w:val="009B6341"/>
    <w:rsid w:val="009B655E"/>
    <w:rsid w:val="009B6573"/>
    <w:rsid w:val="009B6AF4"/>
    <w:rsid w:val="009B7184"/>
    <w:rsid w:val="009B72EF"/>
    <w:rsid w:val="009B7A99"/>
    <w:rsid w:val="009BC525"/>
    <w:rsid w:val="009C0131"/>
    <w:rsid w:val="009C01F8"/>
    <w:rsid w:val="009C020B"/>
    <w:rsid w:val="009C0215"/>
    <w:rsid w:val="009C049F"/>
    <w:rsid w:val="009C04BC"/>
    <w:rsid w:val="009C0576"/>
    <w:rsid w:val="009C0602"/>
    <w:rsid w:val="009C06FF"/>
    <w:rsid w:val="009C07E4"/>
    <w:rsid w:val="009C0880"/>
    <w:rsid w:val="009C08BB"/>
    <w:rsid w:val="009C0E0D"/>
    <w:rsid w:val="009C11DB"/>
    <w:rsid w:val="009C1256"/>
    <w:rsid w:val="009C1393"/>
    <w:rsid w:val="009C1592"/>
    <w:rsid w:val="009C163F"/>
    <w:rsid w:val="009C1CC6"/>
    <w:rsid w:val="009C1F00"/>
    <w:rsid w:val="009C26CA"/>
    <w:rsid w:val="009C2778"/>
    <w:rsid w:val="009C28AC"/>
    <w:rsid w:val="009C3225"/>
    <w:rsid w:val="009C377B"/>
    <w:rsid w:val="009C3811"/>
    <w:rsid w:val="009C389D"/>
    <w:rsid w:val="009C3C9E"/>
    <w:rsid w:val="009C3D6B"/>
    <w:rsid w:val="009C40AA"/>
    <w:rsid w:val="009C4200"/>
    <w:rsid w:val="009C436F"/>
    <w:rsid w:val="009C459F"/>
    <w:rsid w:val="009C4BDC"/>
    <w:rsid w:val="009C4D01"/>
    <w:rsid w:val="009C4D4A"/>
    <w:rsid w:val="009C4DB9"/>
    <w:rsid w:val="009C4E81"/>
    <w:rsid w:val="009C4EB6"/>
    <w:rsid w:val="009C55F2"/>
    <w:rsid w:val="009C56CA"/>
    <w:rsid w:val="009C593F"/>
    <w:rsid w:val="009C5B08"/>
    <w:rsid w:val="009C5DD5"/>
    <w:rsid w:val="009C608A"/>
    <w:rsid w:val="009C614E"/>
    <w:rsid w:val="009C6399"/>
    <w:rsid w:val="009C63E4"/>
    <w:rsid w:val="009C696C"/>
    <w:rsid w:val="009C6B20"/>
    <w:rsid w:val="009C6DAD"/>
    <w:rsid w:val="009C6DB0"/>
    <w:rsid w:val="009C6F24"/>
    <w:rsid w:val="009C7261"/>
    <w:rsid w:val="009C72A9"/>
    <w:rsid w:val="009C7921"/>
    <w:rsid w:val="009C7BF6"/>
    <w:rsid w:val="009C7CB1"/>
    <w:rsid w:val="009C7EC1"/>
    <w:rsid w:val="009C8E71"/>
    <w:rsid w:val="009CEE65"/>
    <w:rsid w:val="009D06ED"/>
    <w:rsid w:val="009D07CE"/>
    <w:rsid w:val="009D0978"/>
    <w:rsid w:val="009D0AFF"/>
    <w:rsid w:val="009D0BB3"/>
    <w:rsid w:val="009D0BC3"/>
    <w:rsid w:val="009D0C1B"/>
    <w:rsid w:val="009D0D05"/>
    <w:rsid w:val="009D0DFF"/>
    <w:rsid w:val="009D0EFA"/>
    <w:rsid w:val="009D0FA0"/>
    <w:rsid w:val="009D0FFB"/>
    <w:rsid w:val="009D12A3"/>
    <w:rsid w:val="009D1412"/>
    <w:rsid w:val="009D1533"/>
    <w:rsid w:val="009D160F"/>
    <w:rsid w:val="009D168C"/>
    <w:rsid w:val="009D1B4F"/>
    <w:rsid w:val="009D1CB6"/>
    <w:rsid w:val="009D1E3E"/>
    <w:rsid w:val="009D23AA"/>
    <w:rsid w:val="009D260C"/>
    <w:rsid w:val="009D261D"/>
    <w:rsid w:val="009D2650"/>
    <w:rsid w:val="009D28A6"/>
    <w:rsid w:val="009D2A77"/>
    <w:rsid w:val="009D2F10"/>
    <w:rsid w:val="009D305D"/>
    <w:rsid w:val="009D30B8"/>
    <w:rsid w:val="009D3168"/>
    <w:rsid w:val="009D320B"/>
    <w:rsid w:val="009D3261"/>
    <w:rsid w:val="009D3281"/>
    <w:rsid w:val="009D3B4C"/>
    <w:rsid w:val="009D3BF0"/>
    <w:rsid w:val="009D3DB4"/>
    <w:rsid w:val="009D3E71"/>
    <w:rsid w:val="009D3EF1"/>
    <w:rsid w:val="009D3F7A"/>
    <w:rsid w:val="009D40B4"/>
    <w:rsid w:val="009D41AE"/>
    <w:rsid w:val="009D4653"/>
    <w:rsid w:val="009D48E8"/>
    <w:rsid w:val="009D49A6"/>
    <w:rsid w:val="009D4C42"/>
    <w:rsid w:val="009D554F"/>
    <w:rsid w:val="009D579D"/>
    <w:rsid w:val="009D5BCC"/>
    <w:rsid w:val="009D5D02"/>
    <w:rsid w:val="009D5E99"/>
    <w:rsid w:val="009D5EC5"/>
    <w:rsid w:val="009D5F3E"/>
    <w:rsid w:val="009D63B8"/>
    <w:rsid w:val="009D68E1"/>
    <w:rsid w:val="009D6B01"/>
    <w:rsid w:val="009D6C18"/>
    <w:rsid w:val="009D6FD7"/>
    <w:rsid w:val="009D70C5"/>
    <w:rsid w:val="009D7121"/>
    <w:rsid w:val="009D71B7"/>
    <w:rsid w:val="009D7307"/>
    <w:rsid w:val="009D749A"/>
    <w:rsid w:val="009D798F"/>
    <w:rsid w:val="009D7BCA"/>
    <w:rsid w:val="009D7BD2"/>
    <w:rsid w:val="009D7DF9"/>
    <w:rsid w:val="009E0016"/>
    <w:rsid w:val="009E0042"/>
    <w:rsid w:val="009E0146"/>
    <w:rsid w:val="009E01EB"/>
    <w:rsid w:val="009E02C4"/>
    <w:rsid w:val="009E0437"/>
    <w:rsid w:val="009E072E"/>
    <w:rsid w:val="009E0897"/>
    <w:rsid w:val="009E09C5"/>
    <w:rsid w:val="009E0BF1"/>
    <w:rsid w:val="009E0DD7"/>
    <w:rsid w:val="009E0F9B"/>
    <w:rsid w:val="009E1014"/>
    <w:rsid w:val="009E108F"/>
    <w:rsid w:val="009E11FD"/>
    <w:rsid w:val="009E13AF"/>
    <w:rsid w:val="009E13F4"/>
    <w:rsid w:val="009E1566"/>
    <w:rsid w:val="009E1B17"/>
    <w:rsid w:val="009E1BBE"/>
    <w:rsid w:val="009E1C32"/>
    <w:rsid w:val="009E1C8A"/>
    <w:rsid w:val="009E2176"/>
    <w:rsid w:val="009E2276"/>
    <w:rsid w:val="009E22FB"/>
    <w:rsid w:val="009E25A0"/>
    <w:rsid w:val="009E282F"/>
    <w:rsid w:val="009E2878"/>
    <w:rsid w:val="009E2916"/>
    <w:rsid w:val="009E2D85"/>
    <w:rsid w:val="009E2E09"/>
    <w:rsid w:val="009E31A6"/>
    <w:rsid w:val="009E36DC"/>
    <w:rsid w:val="009E3774"/>
    <w:rsid w:val="009E387C"/>
    <w:rsid w:val="009E3CB2"/>
    <w:rsid w:val="009E3CD6"/>
    <w:rsid w:val="009E3FAA"/>
    <w:rsid w:val="009E4018"/>
    <w:rsid w:val="009E4402"/>
    <w:rsid w:val="009E4457"/>
    <w:rsid w:val="009E4728"/>
    <w:rsid w:val="009E49F7"/>
    <w:rsid w:val="009E4A38"/>
    <w:rsid w:val="009E4A6F"/>
    <w:rsid w:val="009E4F1A"/>
    <w:rsid w:val="009E4FD0"/>
    <w:rsid w:val="009E5034"/>
    <w:rsid w:val="009E533D"/>
    <w:rsid w:val="009E5DB2"/>
    <w:rsid w:val="009E5DB3"/>
    <w:rsid w:val="009E5EDF"/>
    <w:rsid w:val="009E62D2"/>
    <w:rsid w:val="009E6447"/>
    <w:rsid w:val="009E64D2"/>
    <w:rsid w:val="009E64E8"/>
    <w:rsid w:val="009E64F4"/>
    <w:rsid w:val="009E6600"/>
    <w:rsid w:val="009E7B7B"/>
    <w:rsid w:val="009E7D6C"/>
    <w:rsid w:val="009E97C6"/>
    <w:rsid w:val="009F036A"/>
    <w:rsid w:val="009F0CEE"/>
    <w:rsid w:val="009F0E80"/>
    <w:rsid w:val="009F12AC"/>
    <w:rsid w:val="009F12F3"/>
    <w:rsid w:val="009F144A"/>
    <w:rsid w:val="009F14EB"/>
    <w:rsid w:val="009F159D"/>
    <w:rsid w:val="009F182D"/>
    <w:rsid w:val="009F1985"/>
    <w:rsid w:val="009F19A0"/>
    <w:rsid w:val="009F1C3C"/>
    <w:rsid w:val="009F1CFB"/>
    <w:rsid w:val="009F230C"/>
    <w:rsid w:val="009F233D"/>
    <w:rsid w:val="009F25D2"/>
    <w:rsid w:val="009F2691"/>
    <w:rsid w:val="009F2804"/>
    <w:rsid w:val="009F2ABD"/>
    <w:rsid w:val="009F2BDB"/>
    <w:rsid w:val="009F2D68"/>
    <w:rsid w:val="009F2D82"/>
    <w:rsid w:val="009F2DF3"/>
    <w:rsid w:val="009F2E54"/>
    <w:rsid w:val="009F355E"/>
    <w:rsid w:val="009F36B5"/>
    <w:rsid w:val="009F3826"/>
    <w:rsid w:val="009F3C7C"/>
    <w:rsid w:val="009F3C99"/>
    <w:rsid w:val="009F3F54"/>
    <w:rsid w:val="009F407D"/>
    <w:rsid w:val="009F4274"/>
    <w:rsid w:val="009F4718"/>
    <w:rsid w:val="009F496B"/>
    <w:rsid w:val="009F497D"/>
    <w:rsid w:val="009F4985"/>
    <w:rsid w:val="009F4C41"/>
    <w:rsid w:val="009F4D97"/>
    <w:rsid w:val="009F4DBF"/>
    <w:rsid w:val="009F4F15"/>
    <w:rsid w:val="009F51DA"/>
    <w:rsid w:val="009F54B7"/>
    <w:rsid w:val="009F57CA"/>
    <w:rsid w:val="009F58C3"/>
    <w:rsid w:val="009F596C"/>
    <w:rsid w:val="009F5980"/>
    <w:rsid w:val="009F5A31"/>
    <w:rsid w:val="009F5F58"/>
    <w:rsid w:val="009F5FFC"/>
    <w:rsid w:val="009F61F1"/>
    <w:rsid w:val="009F6C10"/>
    <w:rsid w:val="009F6CF2"/>
    <w:rsid w:val="009F7230"/>
    <w:rsid w:val="009F7404"/>
    <w:rsid w:val="009F74C6"/>
    <w:rsid w:val="009F753D"/>
    <w:rsid w:val="009F7752"/>
    <w:rsid w:val="009F7F05"/>
    <w:rsid w:val="00A00279"/>
    <w:rsid w:val="00A00695"/>
    <w:rsid w:val="00A0097E"/>
    <w:rsid w:val="00A009F1"/>
    <w:rsid w:val="00A00B52"/>
    <w:rsid w:val="00A00CA2"/>
    <w:rsid w:val="00A00F6A"/>
    <w:rsid w:val="00A00FC8"/>
    <w:rsid w:val="00A01122"/>
    <w:rsid w:val="00A01143"/>
    <w:rsid w:val="00A01370"/>
    <w:rsid w:val="00A01434"/>
    <w:rsid w:val="00A017A0"/>
    <w:rsid w:val="00A01864"/>
    <w:rsid w:val="00A018F2"/>
    <w:rsid w:val="00A01976"/>
    <w:rsid w:val="00A019FA"/>
    <w:rsid w:val="00A01F8A"/>
    <w:rsid w:val="00A02144"/>
    <w:rsid w:val="00A024CA"/>
    <w:rsid w:val="00A028CE"/>
    <w:rsid w:val="00A02B92"/>
    <w:rsid w:val="00A02FBE"/>
    <w:rsid w:val="00A033C6"/>
    <w:rsid w:val="00A034DE"/>
    <w:rsid w:val="00A03837"/>
    <w:rsid w:val="00A0391B"/>
    <w:rsid w:val="00A03A6C"/>
    <w:rsid w:val="00A03EAA"/>
    <w:rsid w:val="00A0412B"/>
    <w:rsid w:val="00A0428F"/>
    <w:rsid w:val="00A04534"/>
    <w:rsid w:val="00A0476F"/>
    <w:rsid w:val="00A049EE"/>
    <w:rsid w:val="00A04A07"/>
    <w:rsid w:val="00A04A3A"/>
    <w:rsid w:val="00A04B98"/>
    <w:rsid w:val="00A04C03"/>
    <w:rsid w:val="00A04D0C"/>
    <w:rsid w:val="00A04F44"/>
    <w:rsid w:val="00A0506E"/>
    <w:rsid w:val="00A05328"/>
    <w:rsid w:val="00A0563B"/>
    <w:rsid w:val="00A058BF"/>
    <w:rsid w:val="00A059ED"/>
    <w:rsid w:val="00A05DE0"/>
    <w:rsid w:val="00A0616C"/>
    <w:rsid w:val="00A061E3"/>
    <w:rsid w:val="00A065CA"/>
    <w:rsid w:val="00A065EE"/>
    <w:rsid w:val="00A06803"/>
    <w:rsid w:val="00A06AFB"/>
    <w:rsid w:val="00A06C5D"/>
    <w:rsid w:val="00A06F25"/>
    <w:rsid w:val="00A06F8F"/>
    <w:rsid w:val="00A0729F"/>
    <w:rsid w:val="00A0774D"/>
    <w:rsid w:val="00A0777A"/>
    <w:rsid w:val="00A07D39"/>
    <w:rsid w:val="00A07EAC"/>
    <w:rsid w:val="00A10131"/>
    <w:rsid w:val="00A10437"/>
    <w:rsid w:val="00A10682"/>
    <w:rsid w:val="00A10689"/>
    <w:rsid w:val="00A10812"/>
    <w:rsid w:val="00A10C0A"/>
    <w:rsid w:val="00A1121B"/>
    <w:rsid w:val="00A1175C"/>
    <w:rsid w:val="00A11860"/>
    <w:rsid w:val="00A1186B"/>
    <w:rsid w:val="00A11BCC"/>
    <w:rsid w:val="00A11BD7"/>
    <w:rsid w:val="00A11E4F"/>
    <w:rsid w:val="00A1230A"/>
    <w:rsid w:val="00A1253B"/>
    <w:rsid w:val="00A129DF"/>
    <w:rsid w:val="00A12DA8"/>
    <w:rsid w:val="00A13448"/>
    <w:rsid w:val="00A1347F"/>
    <w:rsid w:val="00A13A4E"/>
    <w:rsid w:val="00A13B65"/>
    <w:rsid w:val="00A13D61"/>
    <w:rsid w:val="00A13DCC"/>
    <w:rsid w:val="00A13F34"/>
    <w:rsid w:val="00A13F76"/>
    <w:rsid w:val="00A14073"/>
    <w:rsid w:val="00A140C9"/>
    <w:rsid w:val="00A14340"/>
    <w:rsid w:val="00A14747"/>
    <w:rsid w:val="00A147AB"/>
    <w:rsid w:val="00A14AD8"/>
    <w:rsid w:val="00A14B9A"/>
    <w:rsid w:val="00A15053"/>
    <w:rsid w:val="00A153A0"/>
    <w:rsid w:val="00A154DE"/>
    <w:rsid w:val="00A1551D"/>
    <w:rsid w:val="00A156EA"/>
    <w:rsid w:val="00A15E15"/>
    <w:rsid w:val="00A16179"/>
    <w:rsid w:val="00A16398"/>
    <w:rsid w:val="00A163AD"/>
    <w:rsid w:val="00A16448"/>
    <w:rsid w:val="00A1645A"/>
    <w:rsid w:val="00A165FD"/>
    <w:rsid w:val="00A16ECB"/>
    <w:rsid w:val="00A16F5C"/>
    <w:rsid w:val="00A17071"/>
    <w:rsid w:val="00A171B6"/>
    <w:rsid w:val="00A174F5"/>
    <w:rsid w:val="00A1750B"/>
    <w:rsid w:val="00A1761A"/>
    <w:rsid w:val="00A1771F"/>
    <w:rsid w:val="00A17A6D"/>
    <w:rsid w:val="00A17AB1"/>
    <w:rsid w:val="00A17B1A"/>
    <w:rsid w:val="00A17CD5"/>
    <w:rsid w:val="00A17F8C"/>
    <w:rsid w:val="00A20256"/>
    <w:rsid w:val="00A2048A"/>
    <w:rsid w:val="00A204CE"/>
    <w:rsid w:val="00A207AB"/>
    <w:rsid w:val="00A207F7"/>
    <w:rsid w:val="00A20A3E"/>
    <w:rsid w:val="00A20A85"/>
    <w:rsid w:val="00A20AF4"/>
    <w:rsid w:val="00A214F4"/>
    <w:rsid w:val="00A21A5E"/>
    <w:rsid w:val="00A21D54"/>
    <w:rsid w:val="00A21E23"/>
    <w:rsid w:val="00A22124"/>
    <w:rsid w:val="00A223B6"/>
    <w:rsid w:val="00A224C3"/>
    <w:rsid w:val="00A2267C"/>
    <w:rsid w:val="00A2297B"/>
    <w:rsid w:val="00A22C19"/>
    <w:rsid w:val="00A22D70"/>
    <w:rsid w:val="00A23007"/>
    <w:rsid w:val="00A232EE"/>
    <w:rsid w:val="00A234A5"/>
    <w:rsid w:val="00A23646"/>
    <w:rsid w:val="00A2384E"/>
    <w:rsid w:val="00A23C2B"/>
    <w:rsid w:val="00A23DF0"/>
    <w:rsid w:val="00A23F6D"/>
    <w:rsid w:val="00A24003"/>
    <w:rsid w:val="00A245C5"/>
    <w:rsid w:val="00A24681"/>
    <w:rsid w:val="00A249FA"/>
    <w:rsid w:val="00A24DAE"/>
    <w:rsid w:val="00A25189"/>
    <w:rsid w:val="00A252DD"/>
    <w:rsid w:val="00A2539F"/>
    <w:rsid w:val="00A2564A"/>
    <w:rsid w:val="00A2574C"/>
    <w:rsid w:val="00A25757"/>
    <w:rsid w:val="00A25D9D"/>
    <w:rsid w:val="00A2624F"/>
    <w:rsid w:val="00A262E9"/>
    <w:rsid w:val="00A2664E"/>
    <w:rsid w:val="00A266E1"/>
    <w:rsid w:val="00A266F2"/>
    <w:rsid w:val="00A267AF"/>
    <w:rsid w:val="00A26A6D"/>
    <w:rsid w:val="00A26E1D"/>
    <w:rsid w:val="00A26FB4"/>
    <w:rsid w:val="00A273A3"/>
    <w:rsid w:val="00A27442"/>
    <w:rsid w:val="00A27692"/>
    <w:rsid w:val="00A276F2"/>
    <w:rsid w:val="00A27D06"/>
    <w:rsid w:val="00A27E21"/>
    <w:rsid w:val="00A27F9A"/>
    <w:rsid w:val="00A30104"/>
    <w:rsid w:val="00A30611"/>
    <w:rsid w:val="00A30653"/>
    <w:rsid w:val="00A30DD8"/>
    <w:rsid w:val="00A30E24"/>
    <w:rsid w:val="00A30F7E"/>
    <w:rsid w:val="00A310EF"/>
    <w:rsid w:val="00A311E3"/>
    <w:rsid w:val="00A31380"/>
    <w:rsid w:val="00A3144A"/>
    <w:rsid w:val="00A314D2"/>
    <w:rsid w:val="00A3160F"/>
    <w:rsid w:val="00A31634"/>
    <w:rsid w:val="00A3169E"/>
    <w:rsid w:val="00A31A23"/>
    <w:rsid w:val="00A31E7F"/>
    <w:rsid w:val="00A31F15"/>
    <w:rsid w:val="00A31FA2"/>
    <w:rsid w:val="00A32049"/>
    <w:rsid w:val="00A322BB"/>
    <w:rsid w:val="00A32336"/>
    <w:rsid w:val="00A32365"/>
    <w:rsid w:val="00A324A3"/>
    <w:rsid w:val="00A326DD"/>
    <w:rsid w:val="00A32D33"/>
    <w:rsid w:val="00A32FE8"/>
    <w:rsid w:val="00A33075"/>
    <w:rsid w:val="00A3323D"/>
    <w:rsid w:val="00A33273"/>
    <w:rsid w:val="00A33748"/>
    <w:rsid w:val="00A338D0"/>
    <w:rsid w:val="00A33C3B"/>
    <w:rsid w:val="00A33D85"/>
    <w:rsid w:val="00A33E9B"/>
    <w:rsid w:val="00A34029"/>
    <w:rsid w:val="00A3409D"/>
    <w:rsid w:val="00A3421C"/>
    <w:rsid w:val="00A34227"/>
    <w:rsid w:val="00A34668"/>
    <w:rsid w:val="00A34B76"/>
    <w:rsid w:val="00A35011"/>
    <w:rsid w:val="00A351B2"/>
    <w:rsid w:val="00A3544F"/>
    <w:rsid w:val="00A3548C"/>
    <w:rsid w:val="00A354A2"/>
    <w:rsid w:val="00A357DD"/>
    <w:rsid w:val="00A357EE"/>
    <w:rsid w:val="00A35AC7"/>
    <w:rsid w:val="00A35C30"/>
    <w:rsid w:val="00A35CB7"/>
    <w:rsid w:val="00A35D04"/>
    <w:rsid w:val="00A35F92"/>
    <w:rsid w:val="00A361B0"/>
    <w:rsid w:val="00A36644"/>
    <w:rsid w:val="00A366AB"/>
    <w:rsid w:val="00A367E8"/>
    <w:rsid w:val="00A36907"/>
    <w:rsid w:val="00A36932"/>
    <w:rsid w:val="00A36AE5"/>
    <w:rsid w:val="00A36B3B"/>
    <w:rsid w:val="00A36D8C"/>
    <w:rsid w:val="00A36F95"/>
    <w:rsid w:val="00A3729C"/>
    <w:rsid w:val="00A373F4"/>
    <w:rsid w:val="00A37429"/>
    <w:rsid w:val="00A3757D"/>
    <w:rsid w:val="00A376F0"/>
    <w:rsid w:val="00A378E6"/>
    <w:rsid w:val="00A379DF"/>
    <w:rsid w:val="00A37BC1"/>
    <w:rsid w:val="00A37CB9"/>
    <w:rsid w:val="00A37DDF"/>
    <w:rsid w:val="00A37F66"/>
    <w:rsid w:val="00A402E7"/>
    <w:rsid w:val="00A4039C"/>
    <w:rsid w:val="00A405FE"/>
    <w:rsid w:val="00A40A69"/>
    <w:rsid w:val="00A40CA2"/>
    <w:rsid w:val="00A414CF"/>
    <w:rsid w:val="00A4166B"/>
    <w:rsid w:val="00A41843"/>
    <w:rsid w:val="00A41B26"/>
    <w:rsid w:val="00A41B8F"/>
    <w:rsid w:val="00A4219D"/>
    <w:rsid w:val="00A4221E"/>
    <w:rsid w:val="00A42309"/>
    <w:rsid w:val="00A424A2"/>
    <w:rsid w:val="00A428E1"/>
    <w:rsid w:val="00A42B45"/>
    <w:rsid w:val="00A42C1A"/>
    <w:rsid w:val="00A42C86"/>
    <w:rsid w:val="00A432BE"/>
    <w:rsid w:val="00A432E4"/>
    <w:rsid w:val="00A4384E"/>
    <w:rsid w:val="00A43898"/>
    <w:rsid w:val="00A43A80"/>
    <w:rsid w:val="00A43DD9"/>
    <w:rsid w:val="00A44036"/>
    <w:rsid w:val="00A44BFE"/>
    <w:rsid w:val="00A44C03"/>
    <w:rsid w:val="00A44D27"/>
    <w:rsid w:val="00A44F63"/>
    <w:rsid w:val="00A45147"/>
    <w:rsid w:val="00A451E2"/>
    <w:rsid w:val="00A452E9"/>
    <w:rsid w:val="00A452EF"/>
    <w:rsid w:val="00A45507"/>
    <w:rsid w:val="00A4561F"/>
    <w:rsid w:val="00A45BAA"/>
    <w:rsid w:val="00A45C69"/>
    <w:rsid w:val="00A45C93"/>
    <w:rsid w:val="00A45D18"/>
    <w:rsid w:val="00A45FFD"/>
    <w:rsid w:val="00A461A5"/>
    <w:rsid w:val="00A462A5"/>
    <w:rsid w:val="00A46627"/>
    <w:rsid w:val="00A46C28"/>
    <w:rsid w:val="00A46D11"/>
    <w:rsid w:val="00A46D77"/>
    <w:rsid w:val="00A47333"/>
    <w:rsid w:val="00A475DF"/>
    <w:rsid w:val="00A477E6"/>
    <w:rsid w:val="00A47A73"/>
    <w:rsid w:val="00A47C22"/>
    <w:rsid w:val="00A47D2F"/>
    <w:rsid w:val="00A47F40"/>
    <w:rsid w:val="00A50521"/>
    <w:rsid w:val="00A50563"/>
    <w:rsid w:val="00A507AF"/>
    <w:rsid w:val="00A508C1"/>
    <w:rsid w:val="00A50EC6"/>
    <w:rsid w:val="00A50F6E"/>
    <w:rsid w:val="00A51007"/>
    <w:rsid w:val="00A51363"/>
    <w:rsid w:val="00A51577"/>
    <w:rsid w:val="00A515A8"/>
    <w:rsid w:val="00A51758"/>
    <w:rsid w:val="00A518F5"/>
    <w:rsid w:val="00A51F61"/>
    <w:rsid w:val="00A51FF9"/>
    <w:rsid w:val="00A5215D"/>
    <w:rsid w:val="00A52226"/>
    <w:rsid w:val="00A52328"/>
    <w:rsid w:val="00A523AF"/>
    <w:rsid w:val="00A52AA2"/>
    <w:rsid w:val="00A52B4F"/>
    <w:rsid w:val="00A52C80"/>
    <w:rsid w:val="00A52D30"/>
    <w:rsid w:val="00A52EA6"/>
    <w:rsid w:val="00A53043"/>
    <w:rsid w:val="00A531D7"/>
    <w:rsid w:val="00A5365B"/>
    <w:rsid w:val="00A5369A"/>
    <w:rsid w:val="00A536D4"/>
    <w:rsid w:val="00A53E71"/>
    <w:rsid w:val="00A53F4B"/>
    <w:rsid w:val="00A542F0"/>
    <w:rsid w:val="00A54554"/>
    <w:rsid w:val="00A545A0"/>
    <w:rsid w:val="00A5483C"/>
    <w:rsid w:val="00A5484F"/>
    <w:rsid w:val="00A549F9"/>
    <w:rsid w:val="00A553E9"/>
    <w:rsid w:val="00A554B7"/>
    <w:rsid w:val="00A5551B"/>
    <w:rsid w:val="00A55543"/>
    <w:rsid w:val="00A556EF"/>
    <w:rsid w:val="00A55759"/>
    <w:rsid w:val="00A55876"/>
    <w:rsid w:val="00A558C6"/>
    <w:rsid w:val="00A55ABD"/>
    <w:rsid w:val="00A55D0A"/>
    <w:rsid w:val="00A5652F"/>
    <w:rsid w:val="00A565DB"/>
    <w:rsid w:val="00A56B8D"/>
    <w:rsid w:val="00A56E53"/>
    <w:rsid w:val="00A5715F"/>
    <w:rsid w:val="00A57179"/>
    <w:rsid w:val="00A57355"/>
    <w:rsid w:val="00A57638"/>
    <w:rsid w:val="00A577BD"/>
    <w:rsid w:val="00A57882"/>
    <w:rsid w:val="00A57C54"/>
    <w:rsid w:val="00A57EF3"/>
    <w:rsid w:val="00A57F41"/>
    <w:rsid w:val="00A6007F"/>
    <w:rsid w:val="00A600C2"/>
    <w:rsid w:val="00A604CE"/>
    <w:rsid w:val="00A605C1"/>
    <w:rsid w:val="00A60621"/>
    <w:rsid w:val="00A606D4"/>
    <w:rsid w:val="00A60C41"/>
    <w:rsid w:val="00A60DE1"/>
    <w:rsid w:val="00A60F6E"/>
    <w:rsid w:val="00A61097"/>
    <w:rsid w:val="00A6116C"/>
    <w:rsid w:val="00A61982"/>
    <w:rsid w:val="00A619CA"/>
    <w:rsid w:val="00A61DDC"/>
    <w:rsid w:val="00A62342"/>
    <w:rsid w:val="00A62422"/>
    <w:rsid w:val="00A624D3"/>
    <w:rsid w:val="00A62708"/>
    <w:rsid w:val="00A62CFB"/>
    <w:rsid w:val="00A62F6F"/>
    <w:rsid w:val="00A632EB"/>
    <w:rsid w:val="00A63315"/>
    <w:rsid w:val="00A63460"/>
    <w:rsid w:val="00A634E6"/>
    <w:rsid w:val="00A63675"/>
    <w:rsid w:val="00A637B1"/>
    <w:rsid w:val="00A63B66"/>
    <w:rsid w:val="00A6420D"/>
    <w:rsid w:val="00A64416"/>
    <w:rsid w:val="00A6450C"/>
    <w:rsid w:val="00A6451F"/>
    <w:rsid w:val="00A6452F"/>
    <w:rsid w:val="00A64614"/>
    <w:rsid w:val="00A64697"/>
    <w:rsid w:val="00A647A8"/>
    <w:rsid w:val="00A6480A"/>
    <w:rsid w:val="00A64C28"/>
    <w:rsid w:val="00A6558A"/>
    <w:rsid w:val="00A65BFF"/>
    <w:rsid w:val="00A65EAC"/>
    <w:rsid w:val="00A6632E"/>
    <w:rsid w:val="00A6632F"/>
    <w:rsid w:val="00A66469"/>
    <w:rsid w:val="00A6655E"/>
    <w:rsid w:val="00A66626"/>
    <w:rsid w:val="00A6667A"/>
    <w:rsid w:val="00A667AB"/>
    <w:rsid w:val="00A66E82"/>
    <w:rsid w:val="00A67474"/>
    <w:rsid w:val="00A6798F"/>
    <w:rsid w:val="00A67C03"/>
    <w:rsid w:val="00A67CF9"/>
    <w:rsid w:val="00A67E34"/>
    <w:rsid w:val="00A67EA5"/>
    <w:rsid w:val="00A67FBD"/>
    <w:rsid w:val="00A705B9"/>
    <w:rsid w:val="00A70816"/>
    <w:rsid w:val="00A70E9C"/>
    <w:rsid w:val="00A70F7C"/>
    <w:rsid w:val="00A71653"/>
    <w:rsid w:val="00A71867"/>
    <w:rsid w:val="00A718E7"/>
    <w:rsid w:val="00A719A2"/>
    <w:rsid w:val="00A719BB"/>
    <w:rsid w:val="00A71FFB"/>
    <w:rsid w:val="00A72104"/>
    <w:rsid w:val="00A724CE"/>
    <w:rsid w:val="00A7254D"/>
    <w:rsid w:val="00A726DD"/>
    <w:rsid w:val="00A72711"/>
    <w:rsid w:val="00A72858"/>
    <w:rsid w:val="00A72915"/>
    <w:rsid w:val="00A72A44"/>
    <w:rsid w:val="00A72B9E"/>
    <w:rsid w:val="00A730C5"/>
    <w:rsid w:val="00A73178"/>
    <w:rsid w:val="00A739B8"/>
    <w:rsid w:val="00A73C9F"/>
    <w:rsid w:val="00A73D5D"/>
    <w:rsid w:val="00A73D96"/>
    <w:rsid w:val="00A74359"/>
    <w:rsid w:val="00A7449E"/>
    <w:rsid w:val="00A7479E"/>
    <w:rsid w:val="00A74883"/>
    <w:rsid w:val="00A74D64"/>
    <w:rsid w:val="00A74EAA"/>
    <w:rsid w:val="00A74EC9"/>
    <w:rsid w:val="00A74F5E"/>
    <w:rsid w:val="00A75386"/>
    <w:rsid w:val="00A75566"/>
    <w:rsid w:val="00A76408"/>
    <w:rsid w:val="00A76463"/>
    <w:rsid w:val="00A76785"/>
    <w:rsid w:val="00A76842"/>
    <w:rsid w:val="00A76ED0"/>
    <w:rsid w:val="00A77039"/>
    <w:rsid w:val="00A7740F"/>
    <w:rsid w:val="00A77466"/>
    <w:rsid w:val="00A77A65"/>
    <w:rsid w:val="00A77C1D"/>
    <w:rsid w:val="00A77E3F"/>
    <w:rsid w:val="00A8029D"/>
    <w:rsid w:val="00A80515"/>
    <w:rsid w:val="00A80533"/>
    <w:rsid w:val="00A8059F"/>
    <w:rsid w:val="00A806D0"/>
    <w:rsid w:val="00A8079A"/>
    <w:rsid w:val="00A807BD"/>
    <w:rsid w:val="00A80A09"/>
    <w:rsid w:val="00A80A45"/>
    <w:rsid w:val="00A80ECB"/>
    <w:rsid w:val="00A80ECE"/>
    <w:rsid w:val="00A80FAE"/>
    <w:rsid w:val="00A81252"/>
    <w:rsid w:val="00A8158B"/>
    <w:rsid w:val="00A81680"/>
    <w:rsid w:val="00A819C1"/>
    <w:rsid w:val="00A819C9"/>
    <w:rsid w:val="00A81C54"/>
    <w:rsid w:val="00A81CED"/>
    <w:rsid w:val="00A81F76"/>
    <w:rsid w:val="00A8216C"/>
    <w:rsid w:val="00A82307"/>
    <w:rsid w:val="00A82737"/>
    <w:rsid w:val="00A827DA"/>
    <w:rsid w:val="00A828F1"/>
    <w:rsid w:val="00A82B94"/>
    <w:rsid w:val="00A82CF6"/>
    <w:rsid w:val="00A832ED"/>
    <w:rsid w:val="00A8368C"/>
    <w:rsid w:val="00A836A2"/>
    <w:rsid w:val="00A836B3"/>
    <w:rsid w:val="00A83DEB"/>
    <w:rsid w:val="00A83F45"/>
    <w:rsid w:val="00A83F48"/>
    <w:rsid w:val="00A8400A"/>
    <w:rsid w:val="00A840DC"/>
    <w:rsid w:val="00A8424F"/>
    <w:rsid w:val="00A84354"/>
    <w:rsid w:val="00A84801"/>
    <w:rsid w:val="00A84825"/>
    <w:rsid w:val="00A8495F"/>
    <w:rsid w:val="00A849BA"/>
    <w:rsid w:val="00A84B34"/>
    <w:rsid w:val="00A84D4B"/>
    <w:rsid w:val="00A84E3F"/>
    <w:rsid w:val="00A84F63"/>
    <w:rsid w:val="00A8500A"/>
    <w:rsid w:val="00A854D1"/>
    <w:rsid w:val="00A85619"/>
    <w:rsid w:val="00A8566A"/>
    <w:rsid w:val="00A8581F"/>
    <w:rsid w:val="00A85A96"/>
    <w:rsid w:val="00A85B72"/>
    <w:rsid w:val="00A85C84"/>
    <w:rsid w:val="00A85D1B"/>
    <w:rsid w:val="00A85D42"/>
    <w:rsid w:val="00A85ED1"/>
    <w:rsid w:val="00A85F8C"/>
    <w:rsid w:val="00A860FA"/>
    <w:rsid w:val="00A8624D"/>
    <w:rsid w:val="00A863D8"/>
    <w:rsid w:val="00A863ED"/>
    <w:rsid w:val="00A866BB"/>
    <w:rsid w:val="00A86764"/>
    <w:rsid w:val="00A86861"/>
    <w:rsid w:val="00A86B90"/>
    <w:rsid w:val="00A86C88"/>
    <w:rsid w:val="00A87142"/>
    <w:rsid w:val="00A872BD"/>
    <w:rsid w:val="00A8739C"/>
    <w:rsid w:val="00A87A8D"/>
    <w:rsid w:val="00A87B41"/>
    <w:rsid w:val="00A87B6B"/>
    <w:rsid w:val="00A87B74"/>
    <w:rsid w:val="00A87BD8"/>
    <w:rsid w:val="00A87C00"/>
    <w:rsid w:val="00A87C47"/>
    <w:rsid w:val="00A8EF2A"/>
    <w:rsid w:val="00A902EA"/>
    <w:rsid w:val="00A9038B"/>
    <w:rsid w:val="00A906D0"/>
    <w:rsid w:val="00A9084D"/>
    <w:rsid w:val="00A90857"/>
    <w:rsid w:val="00A90EE6"/>
    <w:rsid w:val="00A912CC"/>
    <w:rsid w:val="00A91439"/>
    <w:rsid w:val="00A914C2"/>
    <w:rsid w:val="00A91C92"/>
    <w:rsid w:val="00A91CD3"/>
    <w:rsid w:val="00A91D4F"/>
    <w:rsid w:val="00A91E0A"/>
    <w:rsid w:val="00A92015"/>
    <w:rsid w:val="00A92022"/>
    <w:rsid w:val="00A92C42"/>
    <w:rsid w:val="00A92C80"/>
    <w:rsid w:val="00A92D11"/>
    <w:rsid w:val="00A92D1C"/>
    <w:rsid w:val="00A930E6"/>
    <w:rsid w:val="00A9318D"/>
    <w:rsid w:val="00A932AD"/>
    <w:rsid w:val="00A93B72"/>
    <w:rsid w:val="00A93DF7"/>
    <w:rsid w:val="00A93E64"/>
    <w:rsid w:val="00A93EF2"/>
    <w:rsid w:val="00A94C0C"/>
    <w:rsid w:val="00A94D3A"/>
    <w:rsid w:val="00A94DB3"/>
    <w:rsid w:val="00A94E5D"/>
    <w:rsid w:val="00A94E78"/>
    <w:rsid w:val="00A95082"/>
    <w:rsid w:val="00A9517C"/>
    <w:rsid w:val="00A953C6"/>
    <w:rsid w:val="00A95489"/>
    <w:rsid w:val="00A956F4"/>
    <w:rsid w:val="00A95AB2"/>
    <w:rsid w:val="00A95AB7"/>
    <w:rsid w:val="00A95B96"/>
    <w:rsid w:val="00A95BB4"/>
    <w:rsid w:val="00A95D1E"/>
    <w:rsid w:val="00A95DB3"/>
    <w:rsid w:val="00A95E8A"/>
    <w:rsid w:val="00A960CE"/>
    <w:rsid w:val="00A96109"/>
    <w:rsid w:val="00A96171"/>
    <w:rsid w:val="00A96B3B"/>
    <w:rsid w:val="00A96F5F"/>
    <w:rsid w:val="00A96FF8"/>
    <w:rsid w:val="00A970AE"/>
    <w:rsid w:val="00A97262"/>
    <w:rsid w:val="00A97276"/>
    <w:rsid w:val="00A97802"/>
    <w:rsid w:val="00A978AD"/>
    <w:rsid w:val="00A97B1F"/>
    <w:rsid w:val="00A97DC5"/>
    <w:rsid w:val="00A97DCE"/>
    <w:rsid w:val="00AA00C9"/>
    <w:rsid w:val="00AA0145"/>
    <w:rsid w:val="00AA0166"/>
    <w:rsid w:val="00AA0286"/>
    <w:rsid w:val="00AA0481"/>
    <w:rsid w:val="00AA06A7"/>
    <w:rsid w:val="00AA078F"/>
    <w:rsid w:val="00AA0B87"/>
    <w:rsid w:val="00AA0B9F"/>
    <w:rsid w:val="00AA0CCC"/>
    <w:rsid w:val="00AA159D"/>
    <w:rsid w:val="00AA1765"/>
    <w:rsid w:val="00AA19C2"/>
    <w:rsid w:val="00AA1C02"/>
    <w:rsid w:val="00AA1E8E"/>
    <w:rsid w:val="00AA1F79"/>
    <w:rsid w:val="00AA21FC"/>
    <w:rsid w:val="00AA2583"/>
    <w:rsid w:val="00AA26E8"/>
    <w:rsid w:val="00AA28FE"/>
    <w:rsid w:val="00AA2C03"/>
    <w:rsid w:val="00AA2FB5"/>
    <w:rsid w:val="00AA31FC"/>
    <w:rsid w:val="00AA3499"/>
    <w:rsid w:val="00AA34A8"/>
    <w:rsid w:val="00AA36F7"/>
    <w:rsid w:val="00AA37AE"/>
    <w:rsid w:val="00AA37F7"/>
    <w:rsid w:val="00AA3972"/>
    <w:rsid w:val="00AA3BC3"/>
    <w:rsid w:val="00AA41A2"/>
    <w:rsid w:val="00AA43DD"/>
    <w:rsid w:val="00AA43FC"/>
    <w:rsid w:val="00AA4515"/>
    <w:rsid w:val="00AA4758"/>
    <w:rsid w:val="00AA4860"/>
    <w:rsid w:val="00AA4B50"/>
    <w:rsid w:val="00AA5211"/>
    <w:rsid w:val="00AA5357"/>
    <w:rsid w:val="00AA55BF"/>
    <w:rsid w:val="00AA5B5E"/>
    <w:rsid w:val="00AA5C5C"/>
    <w:rsid w:val="00AA5CDC"/>
    <w:rsid w:val="00AA5F60"/>
    <w:rsid w:val="00AA64CC"/>
    <w:rsid w:val="00AA6790"/>
    <w:rsid w:val="00AA6BFB"/>
    <w:rsid w:val="00AA700A"/>
    <w:rsid w:val="00AA70FA"/>
    <w:rsid w:val="00AA728E"/>
    <w:rsid w:val="00AA7377"/>
    <w:rsid w:val="00AA7416"/>
    <w:rsid w:val="00AA742B"/>
    <w:rsid w:val="00AA7557"/>
    <w:rsid w:val="00AA7607"/>
    <w:rsid w:val="00AA77B9"/>
    <w:rsid w:val="00AA7A84"/>
    <w:rsid w:val="00AA7ACF"/>
    <w:rsid w:val="00AB0073"/>
    <w:rsid w:val="00AB007C"/>
    <w:rsid w:val="00AB0697"/>
    <w:rsid w:val="00AB0AE2"/>
    <w:rsid w:val="00AB0AE8"/>
    <w:rsid w:val="00AB0C43"/>
    <w:rsid w:val="00AB0CD3"/>
    <w:rsid w:val="00AB0FC6"/>
    <w:rsid w:val="00AB0FD6"/>
    <w:rsid w:val="00AB103F"/>
    <w:rsid w:val="00AB1163"/>
    <w:rsid w:val="00AB1243"/>
    <w:rsid w:val="00AB13D5"/>
    <w:rsid w:val="00AB1526"/>
    <w:rsid w:val="00AB15B6"/>
    <w:rsid w:val="00AB1612"/>
    <w:rsid w:val="00AB19E5"/>
    <w:rsid w:val="00AB1A94"/>
    <w:rsid w:val="00AB1AC2"/>
    <w:rsid w:val="00AB1D24"/>
    <w:rsid w:val="00AB1F63"/>
    <w:rsid w:val="00AB1F91"/>
    <w:rsid w:val="00AB20FA"/>
    <w:rsid w:val="00AB211C"/>
    <w:rsid w:val="00AB231B"/>
    <w:rsid w:val="00AB2494"/>
    <w:rsid w:val="00AB264F"/>
    <w:rsid w:val="00AB2663"/>
    <w:rsid w:val="00AB270E"/>
    <w:rsid w:val="00AB29E0"/>
    <w:rsid w:val="00AB2BF4"/>
    <w:rsid w:val="00AB2CA2"/>
    <w:rsid w:val="00AB2D47"/>
    <w:rsid w:val="00AB2E0F"/>
    <w:rsid w:val="00AB2F1B"/>
    <w:rsid w:val="00AB3474"/>
    <w:rsid w:val="00AB3DF2"/>
    <w:rsid w:val="00AB40BE"/>
    <w:rsid w:val="00AB4154"/>
    <w:rsid w:val="00AB41AB"/>
    <w:rsid w:val="00AB422D"/>
    <w:rsid w:val="00AB449C"/>
    <w:rsid w:val="00AB46C3"/>
    <w:rsid w:val="00AB498A"/>
    <w:rsid w:val="00AB4C7F"/>
    <w:rsid w:val="00AB4EB2"/>
    <w:rsid w:val="00AB4FC9"/>
    <w:rsid w:val="00AB50F2"/>
    <w:rsid w:val="00AB51C8"/>
    <w:rsid w:val="00AB5203"/>
    <w:rsid w:val="00AB5416"/>
    <w:rsid w:val="00AB5486"/>
    <w:rsid w:val="00AB56CC"/>
    <w:rsid w:val="00AB5937"/>
    <w:rsid w:val="00AB5A91"/>
    <w:rsid w:val="00AB5CAB"/>
    <w:rsid w:val="00AB5D54"/>
    <w:rsid w:val="00AB6093"/>
    <w:rsid w:val="00AB62E4"/>
    <w:rsid w:val="00AB65C4"/>
    <w:rsid w:val="00AB67A8"/>
    <w:rsid w:val="00AB67EA"/>
    <w:rsid w:val="00AB68DF"/>
    <w:rsid w:val="00AB6AB5"/>
    <w:rsid w:val="00AB6B61"/>
    <w:rsid w:val="00AB6E65"/>
    <w:rsid w:val="00AB7003"/>
    <w:rsid w:val="00AB7149"/>
    <w:rsid w:val="00AB723A"/>
    <w:rsid w:val="00AB77DD"/>
    <w:rsid w:val="00AB78A7"/>
    <w:rsid w:val="00AB78E5"/>
    <w:rsid w:val="00AB7B22"/>
    <w:rsid w:val="00AB7B2B"/>
    <w:rsid w:val="00AB7B86"/>
    <w:rsid w:val="00AB7D0B"/>
    <w:rsid w:val="00AB7E8F"/>
    <w:rsid w:val="00AC0023"/>
    <w:rsid w:val="00AC00CF"/>
    <w:rsid w:val="00AC00DA"/>
    <w:rsid w:val="00AC0117"/>
    <w:rsid w:val="00AC051B"/>
    <w:rsid w:val="00AC05F3"/>
    <w:rsid w:val="00AC082A"/>
    <w:rsid w:val="00AC0942"/>
    <w:rsid w:val="00AC0962"/>
    <w:rsid w:val="00AC0C35"/>
    <w:rsid w:val="00AC0D92"/>
    <w:rsid w:val="00AC0DE2"/>
    <w:rsid w:val="00AC0E0F"/>
    <w:rsid w:val="00AC0E7F"/>
    <w:rsid w:val="00AC1394"/>
    <w:rsid w:val="00AC14BD"/>
    <w:rsid w:val="00AC1836"/>
    <w:rsid w:val="00AC1998"/>
    <w:rsid w:val="00AC1BB8"/>
    <w:rsid w:val="00AC1F33"/>
    <w:rsid w:val="00AC2283"/>
    <w:rsid w:val="00AC2300"/>
    <w:rsid w:val="00AC275F"/>
    <w:rsid w:val="00AC2826"/>
    <w:rsid w:val="00AC295B"/>
    <w:rsid w:val="00AC2C75"/>
    <w:rsid w:val="00AC2C83"/>
    <w:rsid w:val="00AC2C9B"/>
    <w:rsid w:val="00AC2CFC"/>
    <w:rsid w:val="00AC2D84"/>
    <w:rsid w:val="00AC3296"/>
    <w:rsid w:val="00AC34FC"/>
    <w:rsid w:val="00AC370F"/>
    <w:rsid w:val="00AC381A"/>
    <w:rsid w:val="00AC3A25"/>
    <w:rsid w:val="00AC3B9D"/>
    <w:rsid w:val="00AC3D55"/>
    <w:rsid w:val="00AC40B4"/>
    <w:rsid w:val="00AC41EA"/>
    <w:rsid w:val="00AC421D"/>
    <w:rsid w:val="00AC42CD"/>
    <w:rsid w:val="00AC4309"/>
    <w:rsid w:val="00AC4763"/>
    <w:rsid w:val="00AC4811"/>
    <w:rsid w:val="00AC4BDA"/>
    <w:rsid w:val="00AC4CDC"/>
    <w:rsid w:val="00AC4DFB"/>
    <w:rsid w:val="00AC5122"/>
    <w:rsid w:val="00AC5286"/>
    <w:rsid w:val="00AC56F4"/>
    <w:rsid w:val="00AC5864"/>
    <w:rsid w:val="00AC5DAD"/>
    <w:rsid w:val="00AC5F98"/>
    <w:rsid w:val="00AC6024"/>
    <w:rsid w:val="00AC606A"/>
    <w:rsid w:val="00AC61DE"/>
    <w:rsid w:val="00AC6291"/>
    <w:rsid w:val="00AC648C"/>
    <w:rsid w:val="00AC64B4"/>
    <w:rsid w:val="00AC65A5"/>
    <w:rsid w:val="00AC6C26"/>
    <w:rsid w:val="00AC6D6D"/>
    <w:rsid w:val="00AC706A"/>
    <w:rsid w:val="00AC7363"/>
    <w:rsid w:val="00AC75A1"/>
    <w:rsid w:val="00AC75DD"/>
    <w:rsid w:val="00AC76DD"/>
    <w:rsid w:val="00AC7B3F"/>
    <w:rsid w:val="00AC7C26"/>
    <w:rsid w:val="00AC7DE3"/>
    <w:rsid w:val="00ACD249"/>
    <w:rsid w:val="00AD0338"/>
    <w:rsid w:val="00AD0420"/>
    <w:rsid w:val="00AD05E0"/>
    <w:rsid w:val="00AD0B08"/>
    <w:rsid w:val="00AD0DDD"/>
    <w:rsid w:val="00AD0E32"/>
    <w:rsid w:val="00AD11CE"/>
    <w:rsid w:val="00AD121C"/>
    <w:rsid w:val="00AD1233"/>
    <w:rsid w:val="00AD12DA"/>
    <w:rsid w:val="00AD1440"/>
    <w:rsid w:val="00AD15C8"/>
    <w:rsid w:val="00AD16EC"/>
    <w:rsid w:val="00AD1796"/>
    <w:rsid w:val="00AD22FC"/>
    <w:rsid w:val="00AD2355"/>
    <w:rsid w:val="00AD273F"/>
    <w:rsid w:val="00AD2860"/>
    <w:rsid w:val="00AD28D9"/>
    <w:rsid w:val="00AD2CDC"/>
    <w:rsid w:val="00AD2ECA"/>
    <w:rsid w:val="00AD347D"/>
    <w:rsid w:val="00AD37DE"/>
    <w:rsid w:val="00AD38E0"/>
    <w:rsid w:val="00AD3C2F"/>
    <w:rsid w:val="00AD3CFD"/>
    <w:rsid w:val="00AD3D9F"/>
    <w:rsid w:val="00AD3E46"/>
    <w:rsid w:val="00AD3EB1"/>
    <w:rsid w:val="00AD4071"/>
    <w:rsid w:val="00AD40CB"/>
    <w:rsid w:val="00AD42B5"/>
    <w:rsid w:val="00AD4414"/>
    <w:rsid w:val="00AD4566"/>
    <w:rsid w:val="00AD4735"/>
    <w:rsid w:val="00AD4C76"/>
    <w:rsid w:val="00AD5005"/>
    <w:rsid w:val="00AD550F"/>
    <w:rsid w:val="00AD5776"/>
    <w:rsid w:val="00AD58F4"/>
    <w:rsid w:val="00AD60EF"/>
    <w:rsid w:val="00AD63FA"/>
    <w:rsid w:val="00AD64B5"/>
    <w:rsid w:val="00AD64C3"/>
    <w:rsid w:val="00AD6597"/>
    <w:rsid w:val="00AD69C5"/>
    <w:rsid w:val="00AD6BC8"/>
    <w:rsid w:val="00AD6DBD"/>
    <w:rsid w:val="00AD6E4E"/>
    <w:rsid w:val="00AD737C"/>
    <w:rsid w:val="00AD754C"/>
    <w:rsid w:val="00AD77B2"/>
    <w:rsid w:val="00AD7868"/>
    <w:rsid w:val="00AD78FF"/>
    <w:rsid w:val="00AD790C"/>
    <w:rsid w:val="00ADF929"/>
    <w:rsid w:val="00AE01FB"/>
    <w:rsid w:val="00AE02EF"/>
    <w:rsid w:val="00AE0778"/>
    <w:rsid w:val="00AE0B51"/>
    <w:rsid w:val="00AE11C8"/>
    <w:rsid w:val="00AE14C6"/>
    <w:rsid w:val="00AE18E4"/>
    <w:rsid w:val="00AE1AA5"/>
    <w:rsid w:val="00AE1B20"/>
    <w:rsid w:val="00AE1BFA"/>
    <w:rsid w:val="00AE1D07"/>
    <w:rsid w:val="00AE1E1E"/>
    <w:rsid w:val="00AE20F8"/>
    <w:rsid w:val="00AE22E6"/>
    <w:rsid w:val="00AE26E5"/>
    <w:rsid w:val="00AE2888"/>
    <w:rsid w:val="00AE29E6"/>
    <w:rsid w:val="00AE2A63"/>
    <w:rsid w:val="00AE2EB4"/>
    <w:rsid w:val="00AE2F9E"/>
    <w:rsid w:val="00AE30D8"/>
    <w:rsid w:val="00AE3289"/>
    <w:rsid w:val="00AE32A3"/>
    <w:rsid w:val="00AE3437"/>
    <w:rsid w:val="00AE3455"/>
    <w:rsid w:val="00AE3A8F"/>
    <w:rsid w:val="00AE3AD3"/>
    <w:rsid w:val="00AE3B59"/>
    <w:rsid w:val="00AE3C3F"/>
    <w:rsid w:val="00AE3C7A"/>
    <w:rsid w:val="00AE3DAC"/>
    <w:rsid w:val="00AE3DD9"/>
    <w:rsid w:val="00AE3E00"/>
    <w:rsid w:val="00AE3E5D"/>
    <w:rsid w:val="00AE3FB1"/>
    <w:rsid w:val="00AE3FF6"/>
    <w:rsid w:val="00AE4247"/>
    <w:rsid w:val="00AE451E"/>
    <w:rsid w:val="00AE46D6"/>
    <w:rsid w:val="00AE46E5"/>
    <w:rsid w:val="00AE48E5"/>
    <w:rsid w:val="00AE497A"/>
    <w:rsid w:val="00AE4A9E"/>
    <w:rsid w:val="00AE4E3C"/>
    <w:rsid w:val="00AE5017"/>
    <w:rsid w:val="00AE5385"/>
    <w:rsid w:val="00AE578A"/>
    <w:rsid w:val="00AE5877"/>
    <w:rsid w:val="00AE5BB7"/>
    <w:rsid w:val="00AE6242"/>
    <w:rsid w:val="00AE6554"/>
    <w:rsid w:val="00AE66FC"/>
    <w:rsid w:val="00AE6888"/>
    <w:rsid w:val="00AE7219"/>
    <w:rsid w:val="00AE7283"/>
    <w:rsid w:val="00AE733C"/>
    <w:rsid w:val="00AE734B"/>
    <w:rsid w:val="00AE746C"/>
    <w:rsid w:val="00AE7A85"/>
    <w:rsid w:val="00AE7B5C"/>
    <w:rsid w:val="00AE7B61"/>
    <w:rsid w:val="00AE7CB5"/>
    <w:rsid w:val="00AE7D1F"/>
    <w:rsid w:val="00AE7E15"/>
    <w:rsid w:val="00AE7EC8"/>
    <w:rsid w:val="00AE7F05"/>
    <w:rsid w:val="00AE7FE2"/>
    <w:rsid w:val="00AF0066"/>
    <w:rsid w:val="00AF00AC"/>
    <w:rsid w:val="00AF03E4"/>
    <w:rsid w:val="00AF0618"/>
    <w:rsid w:val="00AF0784"/>
    <w:rsid w:val="00AF087C"/>
    <w:rsid w:val="00AF08CC"/>
    <w:rsid w:val="00AF092C"/>
    <w:rsid w:val="00AF095E"/>
    <w:rsid w:val="00AF0A1E"/>
    <w:rsid w:val="00AF0B17"/>
    <w:rsid w:val="00AF0F75"/>
    <w:rsid w:val="00AF1162"/>
    <w:rsid w:val="00AF118F"/>
    <w:rsid w:val="00AF11EE"/>
    <w:rsid w:val="00AF122D"/>
    <w:rsid w:val="00AF1289"/>
    <w:rsid w:val="00AF13B7"/>
    <w:rsid w:val="00AF1805"/>
    <w:rsid w:val="00AF1856"/>
    <w:rsid w:val="00AF199B"/>
    <w:rsid w:val="00AF1A64"/>
    <w:rsid w:val="00AF1C12"/>
    <w:rsid w:val="00AF1D4F"/>
    <w:rsid w:val="00AF1E35"/>
    <w:rsid w:val="00AF255C"/>
    <w:rsid w:val="00AF2954"/>
    <w:rsid w:val="00AF2AEF"/>
    <w:rsid w:val="00AF2B3F"/>
    <w:rsid w:val="00AF2F3A"/>
    <w:rsid w:val="00AF3235"/>
    <w:rsid w:val="00AF3504"/>
    <w:rsid w:val="00AF3670"/>
    <w:rsid w:val="00AF379E"/>
    <w:rsid w:val="00AF37B5"/>
    <w:rsid w:val="00AF37B7"/>
    <w:rsid w:val="00AF3889"/>
    <w:rsid w:val="00AF38F1"/>
    <w:rsid w:val="00AF3A63"/>
    <w:rsid w:val="00AF3F20"/>
    <w:rsid w:val="00AF42A3"/>
    <w:rsid w:val="00AF4432"/>
    <w:rsid w:val="00AF48B7"/>
    <w:rsid w:val="00AF4E74"/>
    <w:rsid w:val="00AF4FD3"/>
    <w:rsid w:val="00AF5207"/>
    <w:rsid w:val="00AF52F4"/>
    <w:rsid w:val="00AF530F"/>
    <w:rsid w:val="00AF5654"/>
    <w:rsid w:val="00AF5887"/>
    <w:rsid w:val="00AF5E15"/>
    <w:rsid w:val="00AF5E34"/>
    <w:rsid w:val="00AF62BE"/>
    <w:rsid w:val="00AF6309"/>
    <w:rsid w:val="00AF6339"/>
    <w:rsid w:val="00AF6442"/>
    <w:rsid w:val="00AF64FC"/>
    <w:rsid w:val="00AF668B"/>
    <w:rsid w:val="00AF6912"/>
    <w:rsid w:val="00AF6B3C"/>
    <w:rsid w:val="00AF6C9D"/>
    <w:rsid w:val="00AF6D0A"/>
    <w:rsid w:val="00AF7034"/>
    <w:rsid w:val="00AF71CB"/>
    <w:rsid w:val="00AF729E"/>
    <w:rsid w:val="00AF7466"/>
    <w:rsid w:val="00AF7509"/>
    <w:rsid w:val="00AF7B8E"/>
    <w:rsid w:val="00AF7D83"/>
    <w:rsid w:val="00AF7E0B"/>
    <w:rsid w:val="00B00143"/>
    <w:rsid w:val="00B00350"/>
    <w:rsid w:val="00B00469"/>
    <w:rsid w:val="00B0047D"/>
    <w:rsid w:val="00B00532"/>
    <w:rsid w:val="00B0056B"/>
    <w:rsid w:val="00B00607"/>
    <w:rsid w:val="00B00F9D"/>
    <w:rsid w:val="00B01172"/>
    <w:rsid w:val="00B014A0"/>
    <w:rsid w:val="00B014E4"/>
    <w:rsid w:val="00B016EB"/>
    <w:rsid w:val="00B0184D"/>
    <w:rsid w:val="00B01B6B"/>
    <w:rsid w:val="00B01D0A"/>
    <w:rsid w:val="00B01D8D"/>
    <w:rsid w:val="00B01ED6"/>
    <w:rsid w:val="00B01FF1"/>
    <w:rsid w:val="00B0205E"/>
    <w:rsid w:val="00B02331"/>
    <w:rsid w:val="00B0281E"/>
    <w:rsid w:val="00B029B2"/>
    <w:rsid w:val="00B02AC1"/>
    <w:rsid w:val="00B02DA6"/>
    <w:rsid w:val="00B02E24"/>
    <w:rsid w:val="00B02E60"/>
    <w:rsid w:val="00B030F3"/>
    <w:rsid w:val="00B0320F"/>
    <w:rsid w:val="00B032AC"/>
    <w:rsid w:val="00B03578"/>
    <w:rsid w:val="00B039BA"/>
    <w:rsid w:val="00B03A07"/>
    <w:rsid w:val="00B03A4B"/>
    <w:rsid w:val="00B03C9A"/>
    <w:rsid w:val="00B03E0D"/>
    <w:rsid w:val="00B03FC3"/>
    <w:rsid w:val="00B03FC4"/>
    <w:rsid w:val="00B04310"/>
    <w:rsid w:val="00B04418"/>
    <w:rsid w:val="00B0460E"/>
    <w:rsid w:val="00B04694"/>
    <w:rsid w:val="00B0495B"/>
    <w:rsid w:val="00B04E13"/>
    <w:rsid w:val="00B04EF2"/>
    <w:rsid w:val="00B04F6E"/>
    <w:rsid w:val="00B0501A"/>
    <w:rsid w:val="00B051AC"/>
    <w:rsid w:val="00B052E4"/>
    <w:rsid w:val="00B05540"/>
    <w:rsid w:val="00B05668"/>
    <w:rsid w:val="00B0579D"/>
    <w:rsid w:val="00B05932"/>
    <w:rsid w:val="00B06107"/>
    <w:rsid w:val="00B06B83"/>
    <w:rsid w:val="00B06F5C"/>
    <w:rsid w:val="00B07066"/>
    <w:rsid w:val="00B07423"/>
    <w:rsid w:val="00B07680"/>
    <w:rsid w:val="00B076E6"/>
    <w:rsid w:val="00B07A0E"/>
    <w:rsid w:val="00B07C3F"/>
    <w:rsid w:val="00B07D65"/>
    <w:rsid w:val="00B07F92"/>
    <w:rsid w:val="00B0C705"/>
    <w:rsid w:val="00B100D8"/>
    <w:rsid w:val="00B10128"/>
    <w:rsid w:val="00B10158"/>
    <w:rsid w:val="00B1017A"/>
    <w:rsid w:val="00B10798"/>
    <w:rsid w:val="00B109FC"/>
    <w:rsid w:val="00B11157"/>
    <w:rsid w:val="00B11693"/>
    <w:rsid w:val="00B1178E"/>
    <w:rsid w:val="00B11816"/>
    <w:rsid w:val="00B119ED"/>
    <w:rsid w:val="00B11B1F"/>
    <w:rsid w:val="00B11E3B"/>
    <w:rsid w:val="00B11EC9"/>
    <w:rsid w:val="00B11F48"/>
    <w:rsid w:val="00B11FE2"/>
    <w:rsid w:val="00B12455"/>
    <w:rsid w:val="00B12949"/>
    <w:rsid w:val="00B12992"/>
    <w:rsid w:val="00B12B14"/>
    <w:rsid w:val="00B12DF9"/>
    <w:rsid w:val="00B12F7E"/>
    <w:rsid w:val="00B13033"/>
    <w:rsid w:val="00B1318E"/>
    <w:rsid w:val="00B131E5"/>
    <w:rsid w:val="00B13929"/>
    <w:rsid w:val="00B139FC"/>
    <w:rsid w:val="00B13AD5"/>
    <w:rsid w:val="00B14044"/>
    <w:rsid w:val="00B142C7"/>
    <w:rsid w:val="00B143B9"/>
    <w:rsid w:val="00B144F7"/>
    <w:rsid w:val="00B14614"/>
    <w:rsid w:val="00B14729"/>
    <w:rsid w:val="00B14A6A"/>
    <w:rsid w:val="00B14A80"/>
    <w:rsid w:val="00B14AA9"/>
    <w:rsid w:val="00B14AAF"/>
    <w:rsid w:val="00B14C4A"/>
    <w:rsid w:val="00B14F0C"/>
    <w:rsid w:val="00B14FD8"/>
    <w:rsid w:val="00B15178"/>
    <w:rsid w:val="00B1518B"/>
    <w:rsid w:val="00B152E0"/>
    <w:rsid w:val="00B1550F"/>
    <w:rsid w:val="00B159BC"/>
    <w:rsid w:val="00B159E3"/>
    <w:rsid w:val="00B15A12"/>
    <w:rsid w:val="00B16369"/>
    <w:rsid w:val="00B164FA"/>
    <w:rsid w:val="00B1653C"/>
    <w:rsid w:val="00B16711"/>
    <w:rsid w:val="00B16801"/>
    <w:rsid w:val="00B16869"/>
    <w:rsid w:val="00B16882"/>
    <w:rsid w:val="00B16955"/>
    <w:rsid w:val="00B16B2B"/>
    <w:rsid w:val="00B16CD2"/>
    <w:rsid w:val="00B16E52"/>
    <w:rsid w:val="00B171FD"/>
    <w:rsid w:val="00B1749C"/>
    <w:rsid w:val="00B17527"/>
    <w:rsid w:val="00B17A1E"/>
    <w:rsid w:val="00B17CAA"/>
    <w:rsid w:val="00B17F84"/>
    <w:rsid w:val="00B2001D"/>
    <w:rsid w:val="00B200A2"/>
    <w:rsid w:val="00B2014E"/>
    <w:rsid w:val="00B20154"/>
    <w:rsid w:val="00B20197"/>
    <w:rsid w:val="00B20274"/>
    <w:rsid w:val="00B2036E"/>
    <w:rsid w:val="00B203B2"/>
    <w:rsid w:val="00B20526"/>
    <w:rsid w:val="00B2099E"/>
    <w:rsid w:val="00B20AAE"/>
    <w:rsid w:val="00B20B70"/>
    <w:rsid w:val="00B20C02"/>
    <w:rsid w:val="00B20D80"/>
    <w:rsid w:val="00B21286"/>
    <w:rsid w:val="00B21336"/>
    <w:rsid w:val="00B216CB"/>
    <w:rsid w:val="00B217C0"/>
    <w:rsid w:val="00B21824"/>
    <w:rsid w:val="00B21885"/>
    <w:rsid w:val="00B21917"/>
    <w:rsid w:val="00B21A58"/>
    <w:rsid w:val="00B21A7D"/>
    <w:rsid w:val="00B21E47"/>
    <w:rsid w:val="00B22408"/>
    <w:rsid w:val="00B22575"/>
    <w:rsid w:val="00B22A91"/>
    <w:rsid w:val="00B22CBB"/>
    <w:rsid w:val="00B22F47"/>
    <w:rsid w:val="00B2344D"/>
    <w:rsid w:val="00B23F40"/>
    <w:rsid w:val="00B2449B"/>
    <w:rsid w:val="00B24622"/>
    <w:rsid w:val="00B24B12"/>
    <w:rsid w:val="00B24B45"/>
    <w:rsid w:val="00B24BFF"/>
    <w:rsid w:val="00B24CC0"/>
    <w:rsid w:val="00B24CED"/>
    <w:rsid w:val="00B24F3E"/>
    <w:rsid w:val="00B24F6B"/>
    <w:rsid w:val="00B24FBC"/>
    <w:rsid w:val="00B2506E"/>
    <w:rsid w:val="00B256EE"/>
    <w:rsid w:val="00B259AD"/>
    <w:rsid w:val="00B25B44"/>
    <w:rsid w:val="00B25EB7"/>
    <w:rsid w:val="00B261A1"/>
    <w:rsid w:val="00B26483"/>
    <w:rsid w:val="00B26B2E"/>
    <w:rsid w:val="00B26C36"/>
    <w:rsid w:val="00B26D4C"/>
    <w:rsid w:val="00B26E1B"/>
    <w:rsid w:val="00B2705F"/>
    <w:rsid w:val="00B274F3"/>
    <w:rsid w:val="00B2789A"/>
    <w:rsid w:val="00B27C4C"/>
    <w:rsid w:val="00B27C69"/>
    <w:rsid w:val="00B27F8E"/>
    <w:rsid w:val="00B27FD2"/>
    <w:rsid w:val="00B3029D"/>
    <w:rsid w:val="00B30524"/>
    <w:rsid w:val="00B30638"/>
    <w:rsid w:val="00B3090D"/>
    <w:rsid w:val="00B31CB6"/>
    <w:rsid w:val="00B31D95"/>
    <w:rsid w:val="00B32024"/>
    <w:rsid w:val="00B3208E"/>
    <w:rsid w:val="00B322D3"/>
    <w:rsid w:val="00B3237E"/>
    <w:rsid w:val="00B3262D"/>
    <w:rsid w:val="00B32879"/>
    <w:rsid w:val="00B32B25"/>
    <w:rsid w:val="00B32BC7"/>
    <w:rsid w:val="00B32C30"/>
    <w:rsid w:val="00B32D13"/>
    <w:rsid w:val="00B32DDC"/>
    <w:rsid w:val="00B331BC"/>
    <w:rsid w:val="00B33363"/>
    <w:rsid w:val="00B334F8"/>
    <w:rsid w:val="00B33509"/>
    <w:rsid w:val="00B335CE"/>
    <w:rsid w:val="00B33723"/>
    <w:rsid w:val="00B33850"/>
    <w:rsid w:val="00B338F2"/>
    <w:rsid w:val="00B33A27"/>
    <w:rsid w:val="00B33BC2"/>
    <w:rsid w:val="00B33CA4"/>
    <w:rsid w:val="00B33E81"/>
    <w:rsid w:val="00B33FFB"/>
    <w:rsid w:val="00B3403E"/>
    <w:rsid w:val="00B343BD"/>
    <w:rsid w:val="00B346C9"/>
    <w:rsid w:val="00B3492F"/>
    <w:rsid w:val="00B34F4A"/>
    <w:rsid w:val="00B3513B"/>
    <w:rsid w:val="00B352A6"/>
    <w:rsid w:val="00B355B4"/>
    <w:rsid w:val="00B35774"/>
    <w:rsid w:val="00B358EC"/>
    <w:rsid w:val="00B35C08"/>
    <w:rsid w:val="00B35C44"/>
    <w:rsid w:val="00B35F20"/>
    <w:rsid w:val="00B3604D"/>
    <w:rsid w:val="00B360DB"/>
    <w:rsid w:val="00B361D5"/>
    <w:rsid w:val="00B361ED"/>
    <w:rsid w:val="00B3622B"/>
    <w:rsid w:val="00B362AA"/>
    <w:rsid w:val="00B36ACF"/>
    <w:rsid w:val="00B36CB8"/>
    <w:rsid w:val="00B371AC"/>
    <w:rsid w:val="00B3729F"/>
    <w:rsid w:val="00B372D4"/>
    <w:rsid w:val="00B3730A"/>
    <w:rsid w:val="00B3771C"/>
    <w:rsid w:val="00B37769"/>
    <w:rsid w:val="00B379CD"/>
    <w:rsid w:val="00B37A44"/>
    <w:rsid w:val="00B37AC8"/>
    <w:rsid w:val="00B37ADE"/>
    <w:rsid w:val="00B37AE9"/>
    <w:rsid w:val="00B37F22"/>
    <w:rsid w:val="00B3BB5E"/>
    <w:rsid w:val="00B40390"/>
    <w:rsid w:val="00B404A7"/>
    <w:rsid w:val="00B405AE"/>
    <w:rsid w:val="00B406A8"/>
    <w:rsid w:val="00B406AA"/>
    <w:rsid w:val="00B40705"/>
    <w:rsid w:val="00B40C41"/>
    <w:rsid w:val="00B40C6D"/>
    <w:rsid w:val="00B41117"/>
    <w:rsid w:val="00B41764"/>
    <w:rsid w:val="00B41978"/>
    <w:rsid w:val="00B41A84"/>
    <w:rsid w:val="00B4219D"/>
    <w:rsid w:val="00B42647"/>
    <w:rsid w:val="00B4294D"/>
    <w:rsid w:val="00B42A1D"/>
    <w:rsid w:val="00B42ACB"/>
    <w:rsid w:val="00B42C9F"/>
    <w:rsid w:val="00B42CE0"/>
    <w:rsid w:val="00B42D28"/>
    <w:rsid w:val="00B42D94"/>
    <w:rsid w:val="00B43172"/>
    <w:rsid w:val="00B433B1"/>
    <w:rsid w:val="00B439EF"/>
    <w:rsid w:val="00B43DC9"/>
    <w:rsid w:val="00B43E7B"/>
    <w:rsid w:val="00B43E7D"/>
    <w:rsid w:val="00B441BC"/>
    <w:rsid w:val="00B441E6"/>
    <w:rsid w:val="00B44650"/>
    <w:rsid w:val="00B4467F"/>
    <w:rsid w:val="00B447B3"/>
    <w:rsid w:val="00B44A2A"/>
    <w:rsid w:val="00B44F76"/>
    <w:rsid w:val="00B45155"/>
    <w:rsid w:val="00B45255"/>
    <w:rsid w:val="00B458E4"/>
    <w:rsid w:val="00B458ED"/>
    <w:rsid w:val="00B45A06"/>
    <w:rsid w:val="00B45C36"/>
    <w:rsid w:val="00B45FCD"/>
    <w:rsid w:val="00B46052"/>
    <w:rsid w:val="00B46107"/>
    <w:rsid w:val="00B462F4"/>
    <w:rsid w:val="00B466DC"/>
    <w:rsid w:val="00B4690A"/>
    <w:rsid w:val="00B469B9"/>
    <w:rsid w:val="00B469E7"/>
    <w:rsid w:val="00B46A88"/>
    <w:rsid w:val="00B46C96"/>
    <w:rsid w:val="00B46DED"/>
    <w:rsid w:val="00B46F8F"/>
    <w:rsid w:val="00B47088"/>
    <w:rsid w:val="00B47870"/>
    <w:rsid w:val="00B478CF"/>
    <w:rsid w:val="00B47A42"/>
    <w:rsid w:val="00B47BE2"/>
    <w:rsid w:val="00B47DA6"/>
    <w:rsid w:val="00B50A3D"/>
    <w:rsid w:val="00B50C14"/>
    <w:rsid w:val="00B50D04"/>
    <w:rsid w:val="00B50E01"/>
    <w:rsid w:val="00B50ECB"/>
    <w:rsid w:val="00B5104F"/>
    <w:rsid w:val="00B51126"/>
    <w:rsid w:val="00B514CE"/>
    <w:rsid w:val="00B514EF"/>
    <w:rsid w:val="00B51572"/>
    <w:rsid w:val="00B5157E"/>
    <w:rsid w:val="00B5158E"/>
    <w:rsid w:val="00B51691"/>
    <w:rsid w:val="00B51769"/>
    <w:rsid w:val="00B517C1"/>
    <w:rsid w:val="00B51806"/>
    <w:rsid w:val="00B51898"/>
    <w:rsid w:val="00B51BD6"/>
    <w:rsid w:val="00B51D11"/>
    <w:rsid w:val="00B51EF9"/>
    <w:rsid w:val="00B51F52"/>
    <w:rsid w:val="00B520A9"/>
    <w:rsid w:val="00B522C7"/>
    <w:rsid w:val="00B523CC"/>
    <w:rsid w:val="00B525B8"/>
    <w:rsid w:val="00B5266C"/>
    <w:rsid w:val="00B52C87"/>
    <w:rsid w:val="00B52DD7"/>
    <w:rsid w:val="00B5328D"/>
    <w:rsid w:val="00B53596"/>
    <w:rsid w:val="00B535F2"/>
    <w:rsid w:val="00B5363A"/>
    <w:rsid w:val="00B538A7"/>
    <w:rsid w:val="00B53B97"/>
    <w:rsid w:val="00B53DC1"/>
    <w:rsid w:val="00B53F08"/>
    <w:rsid w:val="00B543AC"/>
    <w:rsid w:val="00B54BDB"/>
    <w:rsid w:val="00B54D1F"/>
    <w:rsid w:val="00B54DC3"/>
    <w:rsid w:val="00B54EF1"/>
    <w:rsid w:val="00B54F1B"/>
    <w:rsid w:val="00B555F8"/>
    <w:rsid w:val="00B55608"/>
    <w:rsid w:val="00B558E7"/>
    <w:rsid w:val="00B559CA"/>
    <w:rsid w:val="00B55B41"/>
    <w:rsid w:val="00B55BAE"/>
    <w:rsid w:val="00B55DE6"/>
    <w:rsid w:val="00B560E6"/>
    <w:rsid w:val="00B56148"/>
    <w:rsid w:val="00B5648C"/>
    <w:rsid w:val="00B56556"/>
    <w:rsid w:val="00B565BF"/>
    <w:rsid w:val="00B56661"/>
    <w:rsid w:val="00B566C9"/>
    <w:rsid w:val="00B5690B"/>
    <w:rsid w:val="00B56A5E"/>
    <w:rsid w:val="00B56FB1"/>
    <w:rsid w:val="00B57031"/>
    <w:rsid w:val="00B57328"/>
    <w:rsid w:val="00B5751A"/>
    <w:rsid w:val="00B578CB"/>
    <w:rsid w:val="00B579C7"/>
    <w:rsid w:val="00B57B74"/>
    <w:rsid w:val="00B6001D"/>
    <w:rsid w:val="00B601B5"/>
    <w:rsid w:val="00B606DB"/>
    <w:rsid w:val="00B60DD7"/>
    <w:rsid w:val="00B60E2F"/>
    <w:rsid w:val="00B60E63"/>
    <w:rsid w:val="00B61296"/>
    <w:rsid w:val="00B61403"/>
    <w:rsid w:val="00B61434"/>
    <w:rsid w:val="00B61485"/>
    <w:rsid w:val="00B61709"/>
    <w:rsid w:val="00B61AFD"/>
    <w:rsid w:val="00B61B3B"/>
    <w:rsid w:val="00B61BEC"/>
    <w:rsid w:val="00B62551"/>
    <w:rsid w:val="00B62574"/>
    <w:rsid w:val="00B62722"/>
    <w:rsid w:val="00B627C2"/>
    <w:rsid w:val="00B62836"/>
    <w:rsid w:val="00B628AC"/>
    <w:rsid w:val="00B62999"/>
    <w:rsid w:val="00B62C79"/>
    <w:rsid w:val="00B62C9C"/>
    <w:rsid w:val="00B62D50"/>
    <w:rsid w:val="00B63023"/>
    <w:rsid w:val="00B631E2"/>
    <w:rsid w:val="00B63391"/>
    <w:rsid w:val="00B6342E"/>
    <w:rsid w:val="00B63573"/>
    <w:rsid w:val="00B637AE"/>
    <w:rsid w:val="00B63B25"/>
    <w:rsid w:val="00B63CC4"/>
    <w:rsid w:val="00B63F6A"/>
    <w:rsid w:val="00B6405F"/>
    <w:rsid w:val="00B64437"/>
    <w:rsid w:val="00B645B0"/>
    <w:rsid w:val="00B64657"/>
    <w:rsid w:val="00B6470F"/>
    <w:rsid w:val="00B64741"/>
    <w:rsid w:val="00B64ACA"/>
    <w:rsid w:val="00B6536B"/>
    <w:rsid w:val="00B65490"/>
    <w:rsid w:val="00B65B44"/>
    <w:rsid w:val="00B65B8B"/>
    <w:rsid w:val="00B65EF3"/>
    <w:rsid w:val="00B6641B"/>
    <w:rsid w:val="00B66C5B"/>
    <w:rsid w:val="00B66E02"/>
    <w:rsid w:val="00B66EF7"/>
    <w:rsid w:val="00B66F3A"/>
    <w:rsid w:val="00B671E2"/>
    <w:rsid w:val="00B67731"/>
    <w:rsid w:val="00B67BA0"/>
    <w:rsid w:val="00B67BDF"/>
    <w:rsid w:val="00B67C1A"/>
    <w:rsid w:val="00B67E4E"/>
    <w:rsid w:val="00B67F2B"/>
    <w:rsid w:val="00B67F2C"/>
    <w:rsid w:val="00B67F7B"/>
    <w:rsid w:val="00B6F98D"/>
    <w:rsid w:val="00B70522"/>
    <w:rsid w:val="00B70903"/>
    <w:rsid w:val="00B70B23"/>
    <w:rsid w:val="00B70B2B"/>
    <w:rsid w:val="00B70BBB"/>
    <w:rsid w:val="00B70F1C"/>
    <w:rsid w:val="00B7150D"/>
    <w:rsid w:val="00B716C4"/>
    <w:rsid w:val="00B7170D"/>
    <w:rsid w:val="00B71A70"/>
    <w:rsid w:val="00B71BDD"/>
    <w:rsid w:val="00B71CCC"/>
    <w:rsid w:val="00B71E6C"/>
    <w:rsid w:val="00B721D5"/>
    <w:rsid w:val="00B72200"/>
    <w:rsid w:val="00B722CF"/>
    <w:rsid w:val="00B724A8"/>
    <w:rsid w:val="00B72554"/>
    <w:rsid w:val="00B729F4"/>
    <w:rsid w:val="00B72D09"/>
    <w:rsid w:val="00B73093"/>
    <w:rsid w:val="00B7312F"/>
    <w:rsid w:val="00B735B3"/>
    <w:rsid w:val="00B73712"/>
    <w:rsid w:val="00B73AD1"/>
    <w:rsid w:val="00B73AF2"/>
    <w:rsid w:val="00B73C29"/>
    <w:rsid w:val="00B73DA8"/>
    <w:rsid w:val="00B73ED8"/>
    <w:rsid w:val="00B73F73"/>
    <w:rsid w:val="00B740FB"/>
    <w:rsid w:val="00B745E6"/>
    <w:rsid w:val="00B74A73"/>
    <w:rsid w:val="00B74F92"/>
    <w:rsid w:val="00B750DF"/>
    <w:rsid w:val="00B75187"/>
    <w:rsid w:val="00B757A6"/>
    <w:rsid w:val="00B75983"/>
    <w:rsid w:val="00B75CC8"/>
    <w:rsid w:val="00B76002"/>
    <w:rsid w:val="00B764A0"/>
    <w:rsid w:val="00B766CE"/>
    <w:rsid w:val="00B7683E"/>
    <w:rsid w:val="00B76888"/>
    <w:rsid w:val="00B768B7"/>
    <w:rsid w:val="00B76B7A"/>
    <w:rsid w:val="00B76CBD"/>
    <w:rsid w:val="00B76CED"/>
    <w:rsid w:val="00B76DA5"/>
    <w:rsid w:val="00B76DB3"/>
    <w:rsid w:val="00B76DE7"/>
    <w:rsid w:val="00B7712F"/>
    <w:rsid w:val="00B7733C"/>
    <w:rsid w:val="00B7748F"/>
    <w:rsid w:val="00B77973"/>
    <w:rsid w:val="00B77A1A"/>
    <w:rsid w:val="00B77A1F"/>
    <w:rsid w:val="00B77A9B"/>
    <w:rsid w:val="00B77D1C"/>
    <w:rsid w:val="00B77DA8"/>
    <w:rsid w:val="00B80154"/>
    <w:rsid w:val="00B804C5"/>
    <w:rsid w:val="00B8054D"/>
    <w:rsid w:val="00B805C9"/>
    <w:rsid w:val="00B8081F"/>
    <w:rsid w:val="00B808F0"/>
    <w:rsid w:val="00B80978"/>
    <w:rsid w:val="00B80A75"/>
    <w:rsid w:val="00B80F24"/>
    <w:rsid w:val="00B8112A"/>
    <w:rsid w:val="00B8171B"/>
    <w:rsid w:val="00B81942"/>
    <w:rsid w:val="00B81B53"/>
    <w:rsid w:val="00B81F9B"/>
    <w:rsid w:val="00B81FB6"/>
    <w:rsid w:val="00B820BF"/>
    <w:rsid w:val="00B8214E"/>
    <w:rsid w:val="00B822B3"/>
    <w:rsid w:val="00B8233A"/>
    <w:rsid w:val="00B824D0"/>
    <w:rsid w:val="00B82528"/>
    <w:rsid w:val="00B82578"/>
    <w:rsid w:val="00B82817"/>
    <w:rsid w:val="00B82D3F"/>
    <w:rsid w:val="00B83070"/>
    <w:rsid w:val="00B83374"/>
    <w:rsid w:val="00B83398"/>
    <w:rsid w:val="00B83457"/>
    <w:rsid w:val="00B83551"/>
    <w:rsid w:val="00B836AF"/>
    <w:rsid w:val="00B83AA8"/>
    <w:rsid w:val="00B83B70"/>
    <w:rsid w:val="00B83F25"/>
    <w:rsid w:val="00B843FA"/>
    <w:rsid w:val="00B848E1"/>
    <w:rsid w:val="00B84943"/>
    <w:rsid w:val="00B84B32"/>
    <w:rsid w:val="00B84CEA"/>
    <w:rsid w:val="00B84E2F"/>
    <w:rsid w:val="00B85107"/>
    <w:rsid w:val="00B851CC"/>
    <w:rsid w:val="00B85392"/>
    <w:rsid w:val="00B85449"/>
    <w:rsid w:val="00B855D4"/>
    <w:rsid w:val="00B85943"/>
    <w:rsid w:val="00B85A31"/>
    <w:rsid w:val="00B85D63"/>
    <w:rsid w:val="00B85E01"/>
    <w:rsid w:val="00B86025"/>
    <w:rsid w:val="00B8610C"/>
    <w:rsid w:val="00B86133"/>
    <w:rsid w:val="00B862B9"/>
    <w:rsid w:val="00B86797"/>
    <w:rsid w:val="00B86997"/>
    <w:rsid w:val="00B86C38"/>
    <w:rsid w:val="00B86C75"/>
    <w:rsid w:val="00B86E2F"/>
    <w:rsid w:val="00B87735"/>
    <w:rsid w:val="00B879C4"/>
    <w:rsid w:val="00B87DE6"/>
    <w:rsid w:val="00B87E7D"/>
    <w:rsid w:val="00B90234"/>
    <w:rsid w:val="00B90282"/>
    <w:rsid w:val="00B90439"/>
    <w:rsid w:val="00B9054F"/>
    <w:rsid w:val="00B90573"/>
    <w:rsid w:val="00B9083C"/>
    <w:rsid w:val="00B90D2D"/>
    <w:rsid w:val="00B90DAB"/>
    <w:rsid w:val="00B90F57"/>
    <w:rsid w:val="00B91187"/>
    <w:rsid w:val="00B911FF"/>
    <w:rsid w:val="00B914C9"/>
    <w:rsid w:val="00B91B4A"/>
    <w:rsid w:val="00B91DD9"/>
    <w:rsid w:val="00B920AC"/>
    <w:rsid w:val="00B920CB"/>
    <w:rsid w:val="00B92252"/>
    <w:rsid w:val="00B922A8"/>
    <w:rsid w:val="00B9273A"/>
    <w:rsid w:val="00B92A15"/>
    <w:rsid w:val="00B92B2D"/>
    <w:rsid w:val="00B92B93"/>
    <w:rsid w:val="00B92C7D"/>
    <w:rsid w:val="00B92DBC"/>
    <w:rsid w:val="00B92E67"/>
    <w:rsid w:val="00B930C8"/>
    <w:rsid w:val="00B933BC"/>
    <w:rsid w:val="00B9395C"/>
    <w:rsid w:val="00B93A2B"/>
    <w:rsid w:val="00B93B30"/>
    <w:rsid w:val="00B93BE1"/>
    <w:rsid w:val="00B93CAC"/>
    <w:rsid w:val="00B93F3B"/>
    <w:rsid w:val="00B93FCC"/>
    <w:rsid w:val="00B93FE2"/>
    <w:rsid w:val="00B94152"/>
    <w:rsid w:val="00B9453C"/>
    <w:rsid w:val="00B945B6"/>
    <w:rsid w:val="00B94991"/>
    <w:rsid w:val="00B94B29"/>
    <w:rsid w:val="00B94BDA"/>
    <w:rsid w:val="00B94C51"/>
    <w:rsid w:val="00B94CD8"/>
    <w:rsid w:val="00B94D5B"/>
    <w:rsid w:val="00B94F5F"/>
    <w:rsid w:val="00B95142"/>
    <w:rsid w:val="00B95529"/>
    <w:rsid w:val="00B9555E"/>
    <w:rsid w:val="00B9593F"/>
    <w:rsid w:val="00B959A0"/>
    <w:rsid w:val="00B95C21"/>
    <w:rsid w:val="00B95C60"/>
    <w:rsid w:val="00B95F56"/>
    <w:rsid w:val="00B9609D"/>
    <w:rsid w:val="00B96143"/>
    <w:rsid w:val="00B9623E"/>
    <w:rsid w:val="00B96300"/>
    <w:rsid w:val="00B96776"/>
    <w:rsid w:val="00B96BF7"/>
    <w:rsid w:val="00B96E10"/>
    <w:rsid w:val="00B97148"/>
    <w:rsid w:val="00B9715D"/>
    <w:rsid w:val="00BA0100"/>
    <w:rsid w:val="00BA03A9"/>
    <w:rsid w:val="00BA0A4D"/>
    <w:rsid w:val="00BA0D80"/>
    <w:rsid w:val="00BA0E7A"/>
    <w:rsid w:val="00BA12C6"/>
    <w:rsid w:val="00BA14FA"/>
    <w:rsid w:val="00BA1562"/>
    <w:rsid w:val="00BA17D9"/>
    <w:rsid w:val="00BA1C75"/>
    <w:rsid w:val="00BA1C94"/>
    <w:rsid w:val="00BA1FD1"/>
    <w:rsid w:val="00BA2101"/>
    <w:rsid w:val="00BA2738"/>
    <w:rsid w:val="00BA2C1D"/>
    <w:rsid w:val="00BA2DE3"/>
    <w:rsid w:val="00BA35D0"/>
    <w:rsid w:val="00BA3702"/>
    <w:rsid w:val="00BA3761"/>
    <w:rsid w:val="00BA3A7E"/>
    <w:rsid w:val="00BA3ADC"/>
    <w:rsid w:val="00BA3C6C"/>
    <w:rsid w:val="00BA3FE1"/>
    <w:rsid w:val="00BA450B"/>
    <w:rsid w:val="00BA49A9"/>
    <w:rsid w:val="00BA4D8F"/>
    <w:rsid w:val="00BA4E5D"/>
    <w:rsid w:val="00BA515E"/>
    <w:rsid w:val="00BA5477"/>
    <w:rsid w:val="00BA559B"/>
    <w:rsid w:val="00BA5824"/>
    <w:rsid w:val="00BA5AC1"/>
    <w:rsid w:val="00BA5CFF"/>
    <w:rsid w:val="00BA6285"/>
    <w:rsid w:val="00BA62F9"/>
    <w:rsid w:val="00BA64CA"/>
    <w:rsid w:val="00BA676E"/>
    <w:rsid w:val="00BA69D5"/>
    <w:rsid w:val="00BA6B71"/>
    <w:rsid w:val="00BA6D8D"/>
    <w:rsid w:val="00BA7145"/>
    <w:rsid w:val="00BA73A8"/>
    <w:rsid w:val="00BA7467"/>
    <w:rsid w:val="00BA76A1"/>
    <w:rsid w:val="00BA76B3"/>
    <w:rsid w:val="00BB009F"/>
    <w:rsid w:val="00BB0125"/>
    <w:rsid w:val="00BB01E1"/>
    <w:rsid w:val="00BB0428"/>
    <w:rsid w:val="00BB0523"/>
    <w:rsid w:val="00BB08AC"/>
    <w:rsid w:val="00BB098E"/>
    <w:rsid w:val="00BB0A1E"/>
    <w:rsid w:val="00BB0C22"/>
    <w:rsid w:val="00BB0DBC"/>
    <w:rsid w:val="00BB10F7"/>
    <w:rsid w:val="00BB1314"/>
    <w:rsid w:val="00BB18F6"/>
    <w:rsid w:val="00BB1AF8"/>
    <w:rsid w:val="00BB1D0D"/>
    <w:rsid w:val="00BB205E"/>
    <w:rsid w:val="00BB2214"/>
    <w:rsid w:val="00BB234A"/>
    <w:rsid w:val="00BB24B2"/>
    <w:rsid w:val="00BB24EC"/>
    <w:rsid w:val="00BB2704"/>
    <w:rsid w:val="00BB295B"/>
    <w:rsid w:val="00BB2A72"/>
    <w:rsid w:val="00BB2B18"/>
    <w:rsid w:val="00BB2FA8"/>
    <w:rsid w:val="00BB2FF5"/>
    <w:rsid w:val="00BB3178"/>
    <w:rsid w:val="00BB328F"/>
    <w:rsid w:val="00BB3336"/>
    <w:rsid w:val="00BB336A"/>
    <w:rsid w:val="00BB33EC"/>
    <w:rsid w:val="00BB341C"/>
    <w:rsid w:val="00BB36BA"/>
    <w:rsid w:val="00BB37CD"/>
    <w:rsid w:val="00BB39D2"/>
    <w:rsid w:val="00BB40E1"/>
    <w:rsid w:val="00BB418E"/>
    <w:rsid w:val="00BB420B"/>
    <w:rsid w:val="00BB42D1"/>
    <w:rsid w:val="00BB4547"/>
    <w:rsid w:val="00BB456D"/>
    <w:rsid w:val="00BB45B7"/>
    <w:rsid w:val="00BB4832"/>
    <w:rsid w:val="00BB48C4"/>
    <w:rsid w:val="00BB497B"/>
    <w:rsid w:val="00BB49EA"/>
    <w:rsid w:val="00BB4CA6"/>
    <w:rsid w:val="00BB4CFC"/>
    <w:rsid w:val="00BB4F8B"/>
    <w:rsid w:val="00BB4FEA"/>
    <w:rsid w:val="00BB5261"/>
    <w:rsid w:val="00BB554E"/>
    <w:rsid w:val="00BB5555"/>
    <w:rsid w:val="00BB58E7"/>
    <w:rsid w:val="00BB590B"/>
    <w:rsid w:val="00BB5CD4"/>
    <w:rsid w:val="00BB5D42"/>
    <w:rsid w:val="00BB5D6D"/>
    <w:rsid w:val="00BB5D7D"/>
    <w:rsid w:val="00BB5E42"/>
    <w:rsid w:val="00BB607D"/>
    <w:rsid w:val="00BB6166"/>
    <w:rsid w:val="00BB6374"/>
    <w:rsid w:val="00BB640D"/>
    <w:rsid w:val="00BB641C"/>
    <w:rsid w:val="00BB6830"/>
    <w:rsid w:val="00BB6CD1"/>
    <w:rsid w:val="00BB6D62"/>
    <w:rsid w:val="00BB6D64"/>
    <w:rsid w:val="00BB6DAD"/>
    <w:rsid w:val="00BB6DFA"/>
    <w:rsid w:val="00BB72C4"/>
    <w:rsid w:val="00BB73A3"/>
    <w:rsid w:val="00BB7488"/>
    <w:rsid w:val="00BB7966"/>
    <w:rsid w:val="00BB7A8C"/>
    <w:rsid w:val="00BB7C26"/>
    <w:rsid w:val="00BB7D9C"/>
    <w:rsid w:val="00BB8B29"/>
    <w:rsid w:val="00BB9F3D"/>
    <w:rsid w:val="00BC0069"/>
    <w:rsid w:val="00BC03A8"/>
    <w:rsid w:val="00BC0844"/>
    <w:rsid w:val="00BC0B55"/>
    <w:rsid w:val="00BC0C8C"/>
    <w:rsid w:val="00BC1052"/>
    <w:rsid w:val="00BC1092"/>
    <w:rsid w:val="00BC154F"/>
    <w:rsid w:val="00BC17DD"/>
    <w:rsid w:val="00BC19A2"/>
    <w:rsid w:val="00BC19ED"/>
    <w:rsid w:val="00BC19FD"/>
    <w:rsid w:val="00BC1CA6"/>
    <w:rsid w:val="00BC1CF4"/>
    <w:rsid w:val="00BC1DC0"/>
    <w:rsid w:val="00BC2761"/>
    <w:rsid w:val="00BC28A1"/>
    <w:rsid w:val="00BC2A84"/>
    <w:rsid w:val="00BC2C1B"/>
    <w:rsid w:val="00BC2CEE"/>
    <w:rsid w:val="00BC30A7"/>
    <w:rsid w:val="00BC32F3"/>
    <w:rsid w:val="00BC389E"/>
    <w:rsid w:val="00BC39E5"/>
    <w:rsid w:val="00BC3B27"/>
    <w:rsid w:val="00BC3DF0"/>
    <w:rsid w:val="00BC3DFE"/>
    <w:rsid w:val="00BC3E6B"/>
    <w:rsid w:val="00BC4359"/>
    <w:rsid w:val="00BC43CE"/>
    <w:rsid w:val="00BC442F"/>
    <w:rsid w:val="00BC4492"/>
    <w:rsid w:val="00BC45B1"/>
    <w:rsid w:val="00BC4849"/>
    <w:rsid w:val="00BC4AA6"/>
    <w:rsid w:val="00BC4B5D"/>
    <w:rsid w:val="00BC4DF5"/>
    <w:rsid w:val="00BC4E41"/>
    <w:rsid w:val="00BC517D"/>
    <w:rsid w:val="00BC537B"/>
    <w:rsid w:val="00BC5465"/>
    <w:rsid w:val="00BC5494"/>
    <w:rsid w:val="00BC5628"/>
    <w:rsid w:val="00BC5646"/>
    <w:rsid w:val="00BC58BD"/>
    <w:rsid w:val="00BC5F55"/>
    <w:rsid w:val="00BC62A7"/>
    <w:rsid w:val="00BC63A6"/>
    <w:rsid w:val="00BC6553"/>
    <w:rsid w:val="00BC686F"/>
    <w:rsid w:val="00BC696A"/>
    <w:rsid w:val="00BC6A6D"/>
    <w:rsid w:val="00BC6AC7"/>
    <w:rsid w:val="00BC72D7"/>
    <w:rsid w:val="00BC789A"/>
    <w:rsid w:val="00BC7921"/>
    <w:rsid w:val="00BC797E"/>
    <w:rsid w:val="00BC7AB7"/>
    <w:rsid w:val="00BC7AEF"/>
    <w:rsid w:val="00BC7B9B"/>
    <w:rsid w:val="00BC7BB4"/>
    <w:rsid w:val="00BCB3AE"/>
    <w:rsid w:val="00BD0017"/>
    <w:rsid w:val="00BD04E6"/>
    <w:rsid w:val="00BD0780"/>
    <w:rsid w:val="00BD0A2B"/>
    <w:rsid w:val="00BD0B64"/>
    <w:rsid w:val="00BD0FB5"/>
    <w:rsid w:val="00BD146A"/>
    <w:rsid w:val="00BD1546"/>
    <w:rsid w:val="00BD1567"/>
    <w:rsid w:val="00BD1665"/>
    <w:rsid w:val="00BD1955"/>
    <w:rsid w:val="00BD1B8C"/>
    <w:rsid w:val="00BD1E2B"/>
    <w:rsid w:val="00BD1E57"/>
    <w:rsid w:val="00BD2007"/>
    <w:rsid w:val="00BD256F"/>
    <w:rsid w:val="00BD26DF"/>
    <w:rsid w:val="00BD29AC"/>
    <w:rsid w:val="00BD2CA7"/>
    <w:rsid w:val="00BD30B3"/>
    <w:rsid w:val="00BD33DF"/>
    <w:rsid w:val="00BD3519"/>
    <w:rsid w:val="00BD38B3"/>
    <w:rsid w:val="00BD3919"/>
    <w:rsid w:val="00BD398D"/>
    <w:rsid w:val="00BD3FE1"/>
    <w:rsid w:val="00BD4017"/>
    <w:rsid w:val="00BD4042"/>
    <w:rsid w:val="00BD40B7"/>
    <w:rsid w:val="00BD4108"/>
    <w:rsid w:val="00BD464B"/>
    <w:rsid w:val="00BD4AC1"/>
    <w:rsid w:val="00BD4BCD"/>
    <w:rsid w:val="00BD4C04"/>
    <w:rsid w:val="00BD5B32"/>
    <w:rsid w:val="00BD5E16"/>
    <w:rsid w:val="00BD5EAB"/>
    <w:rsid w:val="00BD5F31"/>
    <w:rsid w:val="00BD62AC"/>
    <w:rsid w:val="00BD62B8"/>
    <w:rsid w:val="00BD62E2"/>
    <w:rsid w:val="00BD6322"/>
    <w:rsid w:val="00BD675C"/>
    <w:rsid w:val="00BD6CD5"/>
    <w:rsid w:val="00BD6E36"/>
    <w:rsid w:val="00BD6F6C"/>
    <w:rsid w:val="00BD70D1"/>
    <w:rsid w:val="00BD7213"/>
    <w:rsid w:val="00BD729B"/>
    <w:rsid w:val="00BD7589"/>
    <w:rsid w:val="00BD7991"/>
    <w:rsid w:val="00BD7A92"/>
    <w:rsid w:val="00BD7ADE"/>
    <w:rsid w:val="00BD7EEC"/>
    <w:rsid w:val="00BDDA89"/>
    <w:rsid w:val="00BE01C6"/>
    <w:rsid w:val="00BE0517"/>
    <w:rsid w:val="00BE057A"/>
    <w:rsid w:val="00BE0DF4"/>
    <w:rsid w:val="00BE109D"/>
    <w:rsid w:val="00BE1269"/>
    <w:rsid w:val="00BE1271"/>
    <w:rsid w:val="00BE145A"/>
    <w:rsid w:val="00BE1727"/>
    <w:rsid w:val="00BE1852"/>
    <w:rsid w:val="00BE1D30"/>
    <w:rsid w:val="00BE1DCF"/>
    <w:rsid w:val="00BE2042"/>
    <w:rsid w:val="00BE23FA"/>
    <w:rsid w:val="00BE2609"/>
    <w:rsid w:val="00BE27B3"/>
    <w:rsid w:val="00BE2A9F"/>
    <w:rsid w:val="00BE2B20"/>
    <w:rsid w:val="00BE2F56"/>
    <w:rsid w:val="00BE2F87"/>
    <w:rsid w:val="00BE3154"/>
    <w:rsid w:val="00BE31DD"/>
    <w:rsid w:val="00BE3359"/>
    <w:rsid w:val="00BE3791"/>
    <w:rsid w:val="00BE3BA8"/>
    <w:rsid w:val="00BE3C60"/>
    <w:rsid w:val="00BE3F45"/>
    <w:rsid w:val="00BE40BA"/>
    <w:rsid w:val="00BE40E0"/>
    <w:rsid w:val="00BE41AD"/>
    <w:rsid w:val="00BE43C9"/>
    <w:rsid w:val="00BE49AA"/>
    <w:rsid w:val="00BE4A73"/>
    <w:rsid w:val="00BE4AF8"/>
    <w:rsid w:val="00BE4D98"/>
    <w:rsid w:val="00BE52EE"/>
    <w:rsid w:val="00BE5457"/>
    <w:rsid w:val="00BE5476"/>
    <w:rsid w:val="00BE547F"/>
    <w:rsid w:val="00BE56B1"/>
    <w:rsid w:val="00BE5BF5"/>
    <w:rsid w:val="00BE64AE"/>
    <w:rsid w:val="00BE6598"/>
    <w:rsid w:val="00BE67F3"/>
    <w:rsid w:val="00BE69E5"/>
    <w:rsid w:val="00BE6C17"/>
    <w:rsid w:val="00BE6CAC"/>
    <w:rsid w:val="00BE6E23"/>
    <w:rsid w:val="00BE6FD4"/>
    <w:rsid w:val="00BE70B4"/>
    <w:rsid w:val="00BE712C"/>
    <w:rsid w:val="00BE7169"/>
    <w:rsid w:val="00BE724B"/>
    <w:rsid w:val="00BE7532"/>
    <w:rsid w:val="00BE7602"/>
    <w:rsid w:val="00BE763D"/>
    <w:rsid w:val="00BE76B0"/>
    <w:rsid w:val="00BE7AD8"/>
    <w:rsid w:val="00BE7E5E"/>
    <w:rsid w:val="00BF0003"/>
    <w:rsid w:val="00BF1309"/>
    <w:rsid w:val="00BF1440"/>
    <w:rsid w:val="00BF151A"/>
    <w:rsid w:val="00BF1947"/>
    <w:rsid w:val="00BF1CB5"/>
    <w:rsid w:val="00BF1DB9"/>
    <w:rsid w:val="00BF1DF1"/>
    <w:rsid w:val="00BF1E48"/>
    <w:rsid w:val="00BF1F41"/>
    <w:rsid w:val="00BF2082"/>
    <w:rsid w:val="00BF234D"/>
    <w:rsid w:val="00BF254C"/>
    <w:rsid w:val="00BF25A3"/>
    <w:rsid w:val="00BF285D"/>
    <w:rsid w:val="00BF2883"/>
    <w:rsid w:val="00BF2930"/>
    <w:rsid w:val="00BF2A85"/>
    <w:rsid w:val="00BF2BF9"/>
    <w:rsid w:val="00BF2DA3"/>
    <w:rsid w:val="00BF2EDF"/>
    <w:rsid w:val="00BF2FDE"/>
    <w:rsid w:val="00BF325E"/>
    <w:rsid w:val="00BF3302"/>
    <w:rsid w:val="00BF33D4"/>
    <w:rsid w:val="00BF345F"/>
    <w:rsid w:val="00BF34E1"/>
    <w:rsid w:val="00BF360B"/>
    <w:rsid w:val="00BF362B"/>
    <w:rsid w:val="00BF3699"/>
    <w:rsid w:val="00BF369C"/>
    <w:rsid w:val="00BF3757"/>
    <w:rsid w:val="00BF37C5"/>
    <w:rsid w:val="00BF3835"/>
    <w:rsid w:val="00BF3A29"/>
    <w:rsid w:val="00BF3A99"/>
    <w:rsid w:val="00BF400E"/>
    <w:rsid w:val="00BF427E"/>
    <w:rsid w:val="00BF46E2"/>
    <w:rsid w:val="00BF5087"/>
    <w:rsid w:val="00BF5089"/>
    <w:rsid w:val="00BF5212"/>
    <w:rsid w:val="00BF5495"/>
    <w:rsid w:val="00BF55F1"/>
    <w:rsid w:val="00BF5651"/>
    <w:rsid w:val="00BF5708"/>
    <w:rsid w:val="00BF58D5"/>
    <w:rsid w:val="00BF5963"/>
    <w:rsid w:val="00BF5EBE"/>
    <w:rsid w:val="00BF62BA"/>
    <w:rsid w:val="00BF63BE"/>
    <w:rsid w:val="00BF63DB"/>
    <w:rsid w:val="00BF64FC"/>
    <w:rsid w:val="00BF65BC"/>
    <w:rsid w:val="00BF671C"/>
    <w:rsid w:val="00BF681A"/>
    <w:rsid w:val="00BF69C2"/>
    <w:rsid w:val="00BF69D8"/>
    <w:rsid w:val="00BF6A26"/>
    <w:rsid w:val="00BF71F2"/>
    <w:rsid w:val="00BF7556"/>
    <w:rsid w:val="00BF7855"/>
    <w:rsid w:val="00BF7A17"/>
    <w:rsid w:val="00BF7D60"/>
    <w:rsid w:val="00BF7F69"/>
    <w:rsid w:val="00BF8E5F"/>
    <w:rsid w:val="00BFB7F3"/>
    <w:rsid w:val="00BFCC46"/>
    <w:rsid w:val="00C0000C"/>
    <w:rsid w:val="00C001F0"/>
    <w:rsid w:val="00C001FD"/>
    <w:rsid w:val="00C0020B"/>
    <w:rsid w:val="00C002CD"/>
    <w:rsid w:val="00C003C0"/>
    <w:rsid w:val="00C003CC"/>
    <w:rsid w:val="00C0042C"/>
    <w:rsid w:val="00C0065F"/>
    <w:rsid w:val="00C00730"/>
    <w:rsid w:val="00C007C9"/>
    <w:rsid w:val="00C00BD2"/>
    <w:rsid w:val="00C01D21"/>
    <w:rsid w:val="00C0220F"/>
    <w:rsid w:val="00C02317"/>
    <w:rsid w:val="00C02318"/>
    <w:rsid w:val="00C0233C"/>
    <w:rsid w:val="00C02575"/>
    <w:rsid w:val="00C02781"/>
    <w:rsid w:val="00C02D92"/>
    <w:rsid w:val="00C02E11"/>
    <w:rsid w:val="00C02FCD"/>
    <w:rsid w:val="00C0313E"/>
    <w:rsid w:val="00C033C3"/>
    <w:rsid w:val="00C03768"/>
    <w:rsid w:val="00C0378B"/>
    <w:rsid w:val="00C03887"/>
    <w:rsid w:val="00C03ADD"/>
    <w:rsid w:val="00C03C14"/>
    <w:rsid w:val="00C03C32"/>
    <w:rsid w:val="00C03C4C"/>
    <w:rsid w:val="00C03C81"/>
    <w:rsid w:val="00C03E9C"/>
    <w:rsid w:val="00C03EAF"/>
    <w:rsid w:val="00C040E5"/>
    <w:rsid w:val="00C043D4"/>
    <w:rsid w:val="00C0444C"/>
    <w:rsid w:val="00C0483A"/>
    <w:rsid w:val="00C048E4"/>
    <w:rsid w:val="00C052BF"/>
    <w:rsid w:val="00C053C9"/>
    <w:rsid w:val="00C05664"/>
    <w:rsid w:val="00C05AEA"/>
    <w:rsid w:val="00C05C70"/>
    <w:rsid w:val="00C05C8A"/>
    <w:rsid w:val="00C05F9D"/>
    <w:rsid w:val="00C06351"/>
    <w:rsid w:val="00C06789"/>
    <w:rsid w:val="00C068FB"/>
    <w:rsid w:val="00C0695B"/>
    <w:rsid w:val="00C06A06"/>
    <w:rsid w:val="00C06B60"/>
    <w:rsid w:val="00C06CDF"/>
    <w:rsid w:val="00C0757C"/>
    <w:rsid w:val="00C07A36"/>
    <w:rsid w:val="00C07B6B"/>
    <w:rsid w:val="00C07CA2"/>
    <w:rsid w:val="00C07E95"/>
    <w:rsid w:val="00C10052"/>
    <w:rsid w:val="00C100EA"/>
    <w:rsid w:val="00C10632"/>
    <w:rsid w:val="00C106C8"/>
    <w:rsid w:val="00C10DCA"/>
    <w:rsid w:val="00C110FD"/>
    <w:rsid w:val="00C1110F"/>
    <w:rsid w:val="00C11682"/>
    <w:rsid w:val="00C116F7"/>
    <w:rsid w:val="00C117EA"/>
    <w:rsid w:val="00C1182D"/>
    <w:rsid w:val="00C11B79"/>
    <w:rsid w:val="00C11DC1"/>
    <w:rsid w:val="00C11E19"/>
    <w:rsid w:val="00C11F1D"/>
    <w:rsid w:val="00C1202B"/>
    <w:rsid w:val="00C121C1"/>
    <w:rsid w:val="00C12224"/>
    <w:rsid w:val="00C1226C"/>
    <w:rsid w:val="00C12376"/>
    <w:rsid w:val="00C123B1"/>
    <w:rsid w:val="00C12669"/>
    <w:rsid w:val="00C126F9"/>
    <w:rsid w:val="00C12811"/>
    <w:rsid w:val="00C129E4"/>
    <w:rsid w:val="00C12AF9"/>
    <w:rsid w:val="00C12FDF"/>
    <w:rsid w:val="00C133FC"/>
    <w:rsid w:val="00C1348A"/>
    <w:rsid w:val="00C13550"/>
    <w:rsid w:val="00C1385C"/>
    <w:rsid w:val="00C13C07"/>
    <w:rsid w:val="00C13E34"/>
    <w:rsid w:val="00C1429F"/>
    <w:rsid w:val="00C14353"/>
    <w:rsid w:val="00C144BE"/>
    <w:rsid w:val="00C147BB"/>
    <w:rsid w:val="00C14A60"/>
    <w:rsid w:val="00C14EDC"/>
    <w:rsid w:val="00C14EEB"/>
    <w:rsid w:val="00C14FA5"/>
    <w:rsid w:val="00C15233"/>
    <w:rsid w:val="00C15541"/>
    <w:rsid w:val="00C156D4"/>
    <w:rsid w:val="00C15720"/>
    <w:rsid w:val="00C15765"/>
    <w:rsid w:val="00C15857"/>
    <w:rsid w:val="00C15874"/>
    <w:rsid w:val="00C158E9"/>
    <w:rsid w:val="00C15955"/>
    <w:rsid w:val="00C15986"/>
    <w:rsid w:val="00C15ABF"/>
    <w:rsid w:val="00C15BC9"/>
    <w:rsid w:val="00C15D1F"/>
    <w:rsid w:val="00C15EB1"/>
    <w:rsid w:val="00C16105"/>
    <w:rsid w:val="00C16216"/>
    <w:rsid w:val="00C16425"/>
    <w:rsid w:val="00C1690A"/>
    <w:rsid w:val="00C17149"/>
    <w:rsid w:val="00C1716B"/>
    <w:rsid w:val="00C17962"/>
    <w:rsid w:val="00C179DA"/>
    <w:rsid w:val="00C17BCC"/>
    <w:rsid w:val="00C17DC8"/>
    <w:rsid w:val="00C17E4A"/>
    <w:rsid w:val="00C1A7A9"/>
    <w:rsid w:val="00C2032E"/>
    <w:rsid w:val="00C2042A"/>
    <w:rsid w:val="00C208E2"/>
    <w:rsid w:val="00C20A88"/>
    <w:rsid w:val="00C20C6B"/>
    <w:rsid w:val="00C20D03"/>
    <w:rsid w:val="00C20F0B"/>
    <w:rsid w:val="00C21092"/>
    <w:rsid w:val="00C21735"/>
    <w:rsid w:val="00C21855"/>
    <w:rsid w:val="00C21EC3"/>
    <w:rsid w:val="00C21F98"/>
    <w:rsid w:val="00C22081"/>
    <w:rsid w:val="00C224C8"/>
    <w:rsid w:val="00C224D4"/>
    <w:rsid w:val="00C227A3"/>
    <w:rsid w:val="00C229CF"/>
    <w:rsid w:val="00C229FB"/>
    <w:rsid w:val="00C22A0D"/>
    <w:rsid w:val="00C22B58"/>
    <w:rsid w:val="00C23405"/>
    <w:rsid w:val="00C23550"/>
    <w:rsid w:val="00C23B16"/>
    <w:rsid w:val="00C23BED"/>
    <w:rsid w:val="00C23DBB"/>
    <w:rsid w:val="00C2406C"/>
    <w:rsid w:val="00C24087"/>
    <w:rsid w:val="00C240CA"/>
    <w:rsid w:val="00C24244"/>
    <w:rsid w:val="00C24361"/>
    <w:rsid w:val="00C249B1"/>
    <w:rsid w:val="00C24AED"/>
    <w:rsid w:val="00C24BB6"/>
    <w:rsid w:val="00C24D7E"/>
    <w:rsid w:val="00C24FA2"/>
    <w:rsid w:val="00C24FF4"/>
    <w:rsid w:val="00C24FFF"/>
    <w:rsid w:val="00C250A3"/>
    <w:rsid w:val="00C250AA"/>
    <w:rsid w:val="00C2594A"/>
    <w:rsid w:val="00C25D68"/>
    <w:rsid w:val="00C26117"/>
    <w:rsid w:val="00C263E9"/>
    <w:rsid w:val="00C26886"/>
    <w:rsid w:val="00C26A5E"/>
    <w:rsid w:val="00C26AAD"/>
    <w:rsid w:val="00C26BEC"/>
    <w:rsid w:val="00C26E50"/>
    <w:rsid w:val="00C26EE6"/>
    <w:rsid w:val="00C26F49"/>
    <w:rsid w:val="00C27118"/>
    <w:rsid w:val="00C272FE"/>
    <w:rsid w:val="00C274EB"/>
    <w:rsid w:val="00C275D4"/>
    <w:rsid w:val="00C276D1"/>
    <w:rsid w:val="00C27818"/>
    <w:rsid w:val="00C27F27"/>
    <w:rsid w:val="00C27FA5"/>
    <w:rsid w:val="00C2EABE"/>
    <w:rsid w:val="00C308D9"/>
    <w:rsid w:val="00C30976"/>
    <w:rsid w:val="00C30B77"/>
    <w:rsid w:val="00C30BE5"/>
    <w:rsid w:val="00C30E5E"/>
    <w:rsid w:val="00C3111A"/>
    <w:rsid w:val="00C3134B"/>
    <w:rsid w:val="00C3145C"/>
    <w:rsid w:val="00C31561"/>
    <w:rsid w:val="00C317AE"/>
    <w:rsid w:val="00C317F5"/>
    <w:rsid w:val="00C31872"/>
    <w:rsid w:val="00C31A31"/>
    <w:rsid w:val="00C31A89"/>
    <w:rsid w:val="00C31B07"/>
    <w:rsid w:val="00C31BC1"/>
    <w:rsid w:val="00C31BD9"/>
    <w:rsid w:val="00C31C78"/>
    <w:rsid w:val="00C31E53"/>
    <w:rsid w:val="00C32045"/>
    <w:rsid w:val="00C3223C"/>
    <w:rsid w:val="00C3239D"/>
    <w:rsid w:val="00C32460"/>
    <w:rsid w:val="00C326E9"/>
    <w:rsid w:val="00C327A2"/>
    <w:rsid w:val="00C3288F"/>
    <w:rsid w:val="00C3292F"/>
    <w:rsid w:val="00C32B60"/>
    <w:rsid w:val="00C3306D"/>
    <w:rsid w:val="00C3337F"/>
    <w:rsid w:val="00C33550"/>
    <w:rsid w:val="00C33582"/>
    <w:rsid w:val="00C335D7"/>
    <w:rsid w:val="00C33B91"/>
    <w:rsid w:val="00C33DF8"/>
    <w:rsid w:val="00C3443B"/>
    <w:rsid w:val="00C348C0"/>
    <w:rsid w:val="00C34E34"/>
    <w:rsid w:val="00C34E51"/>
    <w:rsid w:val="00C34EC5"/>
    <w:rsid w:val="00C34F52"/>
    <w:rsid w:val="00C351B4"/>
    <w:rsid w:val="00C3527F"/>
    <w:rsid w:val="00C35301"/>
    <w:rsid w:val="00C355B4"/>
    <w:rsid w:val="00C356D6"/>
    <w:rsid w:val="00C35C4D"/>
    <w:rsid w:val="00C35EEC"/>
    <w:rsid w:val="00C36025"/>
    <w:rsid w:val="00C361A9"/>
    <w:rsid w:val="00C3642B"/>
    <w:rsid w:val="00C364A4"/>
    <w:rsid w:val="00C36A41"/>
    <w:rsid w:val="00C36AAA"/>
    <w:rsid w:val="00C36D76"/>
    <w:rsid w:val="00C36DA7"/>
    <w:rsid w:val="00C36DC8"/>
    <w:rsid w:val="00C36F1A"/>
    <w:rsid w:val="00C374AA"/>
    <w:rsid w:val="00C376BA"/>
    <w:rsid w:val="00C37A59"/>
    <w:rsid w:val="00C37C43"/>
    <w:rsid w:val="00C37D6F"/>
    <w:rsid w:val="00C37EAF"/>
    <w:rsid w:val="00C4048C"/>
    <w:rsid w:val="00C404EB"/>
    <w:rsid w:val="00C405F1"/>
    <w:rsid w:val="00C406BA"/>
    <w:rsid w:val="00C40742"/>
    <w:rsid w:val="00C40757"/>
    <w:rsid w:val="00C40B01"/>
    <w:rsid w:val="00C40BC3"/>
    <w:rsid w:val="00C40F1B"/>
    <w:rsid w:val="00C4110E"/>
    <w:rsid w:val="00C413CB"/>
    <w:rsid w:val="00C41475"/>
    <w:rsid w:val="00C41966"/>
    <w:rsid w:val="00C41B0F"/>
    <w:rsid w:val="00C41D7B"/>
    <w:rsid w:val="00C41DE2"/>
    <w:rsid w:val="00C42393"/>
    <w:rsid w:val="00C423AD"/>
    <w:rsid w:val="00C424E0"/>
    <w:rsid w:val="00C427EC"/>
    <w:rsid w:val="00C42D4C"/>
    <w:rsid w:val="00C433AD"/>
    <w:rsid w:val="00C433F9"/>
    <w:rsid w:val="00C4360B"/>
    <w:rsid w:val="00C43A3D"/>
    <w:rsid w:val="00C43A98"/>
    <w:rsid w:val="00C4455B"/>
    <w:rsid w:val="00C44958"/>
    <w:rsid w:val="00C44B13"/>
    <w:rsid w:val="00C44D14"/>
    <w:rsid w:val="00C45128"/>
    <w:rsid w:val="00C452A9"/>
    <w:rsid w:val="00C45441"/>
    <w:rsid w:val="00C45596"/>
    <w:rsid w:val="00C4562D"/>
    <w:rsid w:val="00C45926"/>
    <w:rsid w:val="00C45A85"/>
    <w:rsid w:val="00C45AA3"/>
    <w:rsid w:val="00C45B6A"/>
    <w:rsid w:val="00C45CED"/>
    <w:rsid w:val="00C45E93"/>
    <w:rsid w:val="00C45F26"/>
    <w:rsid w:val="00C4629C"/>
    <w:rsid w:val="00C46671"/>
    <w:rsid w:val="00C46D69"/>
    <w:rsid w:val="00C46F7B"/>
    <w:rsid w:val="00C4708E"/>
    <w:rsid w:val="00C470C8"/>
    <w:rsid w:val="00C471E8"/>
    <w:rsid w:val="00C47490"/>
    <w:rsid w:val="00C474A7"/>
    <w:rsid w:val="00C47634"/>
    <w:rsid w:val="00C476A9"/>
    <w:rsid w:val="00C47A83"/>
    <w:rsid w:val="00C47D20"/>
    <w:rsid w:val="00C47EED"/>
    <w:rsid w:val="00C47F62"/>
    <w:rsid w:val="00C4D35C"/>
    <w:rsid w:val="00C50407"/>
    <w:rsid w:val="00C5066B"/>
    <w:rsid w:val="00C50727"/>
    <w:rsid w:val="00C507BE"/>
    <w:rsid w:val="00C50BAA"/>
    <w:rsid w:val="00C50ECE"/>
    <w:rsid w:val="00C50FB9"/>
    <w:rsid w:val="00C510F9"/>
    <w:rsid w:val="00C51686"/>
    <w:rsid w:val="00C51B49"/>
    <w:rsid w:val="00C51B6A"/>
    <w:rsid w:val="00C51BD3"/>
    <w:rsid w:val="00C51CA5"/>
    <w:rsid w:val="00C51D7B"/>
    <w:rsid w:val="00C51DD5"/>
    <w:rsid w:val="00C51E07"/>
    <w:rsid w:val="00C520CB"/>
    <w:rsid w:val="00C5226C"/>
    <w:rsid w:val="00C52572"/>
    <w:rsid w:val="00C525B4"/>
    <w:rsid w:val="00C5262A"/>
    <w:rsid w:val="00C5279F"/>
    <w:rsid w:val="00C52CFC"/>
    <w:rsid w:val="00C52D23"/>
    <w:rsid w:val="00C52D4C"/>
    <w:rsid w:val="00C52ECE"/>
    <w:rsid w:val="00C5300A"/>
    <w:rsid w:val="00C530D1"/>
    <w:rsid w:val="00C53397"/>
    <w:rsid w:val="00C533F0"/>
    <w:rsid w:val="00C5365B"/>
    <w:rsid w:val="00C53BCC"/>
    <w:rsid w:val="00C53E55"/>
    <w:rsid w:val="00C53FD5"/>
    <w:rsid w:val="00C543BF"/>
    <w:rsid w:val="00C5441F"/>
    <w:rsid w:val="00C54C44"/>
    <w:rsid w:val="00C54DAB"/>
    <w:rsid w:val="00C55151"/>
    <w:rsid w:val="00C552FE"/>
    <w:rsid w:val="00C55307"/>
    <w:rsid w:val="00C55360"/>
    <w:rsid w:val="00C55739"/>
    <w:rsid w:val="00C5581E"/>
    <w:rsid w:val="00C5594D"/>
    <w:rsid w:val="00C55985"/>
    <w:rsid w:val="00C55B37"/>
    <w:rsid w:val="00C55BB8"/>
    <w:rsid w:val="00C55C58"/>
    <w:rsid w:val="00C55FED"/>
    <w:rsid w:val="00C56060"/>
    <w:rsid w:val="00C5633B"/>
    <w:rsid w:val="00C5673E"/>
    <w:rsid w:val="00C568AC"/>
    <w:rsid w:val="00C56BC8"/>
    <w:rsid w:val="00C5704A"/>
    <w:rsid w:val="00C570A8"/>
    <w:rsid w:val="00C57186"/>
    <w:rsid w:val="00C5727B"/>
    <w:rsid w:val="00C573F5"/>
    <w:rsid w:val="00C57471"/>
    <w:rsid w:val="00C575CA"/>
    <w:rsid w:val="00C57E8D"/>
    <w:rsid w:val="00C605E1"/>
    <w:rsid w:val="00C6070F"/>
    <w:rsid w:val="00C60A8B"/>
    <w:rsid w:val="00C60C9E"/>
    <w:rsid w:val="00C61073"/>
    <w:rsid w:val="00C61118"/>
    <w:rsid w:val="00C61275"/>
    <w:rsid w:val="00C613A2"/>
    <w:rsid w:val="00C6155E"/>
    <w:rsid w:val="00C618FF"/>
    <w:rsid w:val="00C61EF7"/>
    <w:rsid w:val="00C62020"/>
    <w:rsid w:val="00C620AA"/>
    <w:rsid w:val="00C62189"/>
    <w:rsid w:val="00C62240"/>
    <w:rsid w:val="00C622CC"/>
    <w:rsid w:val="00C6231E"/>
    <w:rsid w:val="00C6257A"/>
    <w:rsid w:val="00C625D5"/>
    <w:rsid w:val="00C6272A"/>
    <w:rsid w:val="00C629D3"/>
    <w:rsid w:val="00C62E0F"/>
    <w:rsid w:val="00C63114"/>
    <w:rsid w:val="00C633B0"/>
    <w:rsid w:val="00C63653"/>
    <w:rsid w:val="00C63CF7"/>
    <w:rsid w:val="00C63EF7"/>
    <w:rsid w:val="00C64048"/>
    <w:rsid w:val="00C64172"/>
    <w:rsid w:val="00C641D8"/>
    <w:rsid w:val="00C642F9"/>
    <w:rsid w:val="00C64439"/>
    <w:rsid w:val="00C6443B"/>
    <w:rsid w:val="00C64645"/>
    <w:rsid w:val="00C64BA8"/>
    <w:rsid w:val="00C64CE4"/>
    <w:rsid w:val="00C650C7"/>
    <w:rsid w:val="00C651D5"/>
    <w:rsid w:val="00C6530F"/>
    <w:rsid w:val="00C65388"/>
    <w:rsid w:val="00C655D2"/>
    <w:rsid w:val="00C655F5"/>
    <w:rsid w:val="00C65758"/>
    <w:rsid w:val="00C65B6E"/>
    <w:rsid w:val="00C65F60"/>
    <w:rsid w:val="00C665EE"/>
    <w:rsid w:val="00C666D4"/>
    <w:rsid w:val="00C668CD"/>
    <w:rsid w:val="00C66901"/>
    <w:rsid w:val="00C6691D"/>
    <w:rsid w:val="00C66B65"/>
    <w:rsid w:val="00C66B90"/>
    <w:rsid w:val="00C66F95"/>
    <w:rsid w:val="00C67E89"/>
    <w:rsid w:val="00C67F9B"/>
    <w:rsid w:val="00C7021D"/>
    <w:rsid w:val="00C70480"/>
    <w:rsid w:val="00C7055F"/>
    <w:rsid w:val="00C70AE8"/>
    <w:rsid w:val="00C70E74"/>
    <w:rsid w:val="00C7125B"/>
    <w:rsid w:val="00C712D2"/>
    <w:rsid w:val="00C71567"/>
    <w:rsid w:val="00C71910"/>
    <w:rsid w:val="00C7198F"/>
    <w:rsid w:val="00C719A9"/>
    <w:rsid w:val="00C71C9F"/>
    <w:rsid w:val="00C720B0"/>
    <w:rsid w:val="00C726F3"/>
    <w:rsid w:val="00C72920"/>
    <w:rsid w:val="00C72937"/>
    <w:rsid w:val="00C72C13"/>
    <w:rsid w:val="00C72F83"/>
    <w:rsid w:val="00C73488"/>
    <w:rsid w:val="00C73564"/>
    <w:rsid w:val="00C73969"/>
    <w:rsid w:val="00C73A9E"/>
    <w:rsid w:val="00C73FAD"/>
    <w:rsid w:val="00C74610"/>
    <w:rsid w:val="00C74673"/>
    <w:rsid w:val="00C7473E"/>
    <w:rsid w:val="00C748A8"/>
    <w:rsid w:val="00C749F8"/>
    <w:rsid w:val="00C74BBE"/>
    <w:rsid w:val="00C74CAA"/>
    <w:rsid w:val="00C74E6B"/>
    <w:rsid w:val="00C75098"/>
    <w:rsid w:val="00C750BF"/>
    <w:rsid w:val="00C753D4"/>
    <w:rsid w:val="00C75615"/>
    <w:rsid w:val="00C75E22"/>
    <w:rsid w:val="00C75E30"/>
    <w:rsid w:val="00C761D1"/>
    <w:rsid w:val="00C761FD"/>
    <w:rsid w:val="00C769AC"/>
    <w:rsid w:val="00C769DF"/>
    <w:rsid w:val="00C76BF4"/>
    <w:rsid w:val="00C77018"/>
    <w:rsid w:val="00C77186"/>
    <w:rsid w:val="00C771CD"/>
    <w:rsid w:val="00C77219"/>
    <w:rsid w:val="00C7749E"/>
    <w:rsid w:val="00C77753"/>
    <w:rsid w:val="00C77770"/>
    <w:rsid w:val="00C77957"/>
    <w:rsid w:val="00C77DE5"/>
    <w:rsid w:val="00C80164"/>
    <w:rsid w:val="00C805D9"/>
    <w:rsid w:val="00C8062D"/>
    <w:rsid w:val="00C80714"/>
    <w:rsid w:val="00C808BB"/>
    <w:rsid w:val="00C8096B"/>
    <w:rsid w:val="00C80A9D"/>
    <w:rsid w:val="00C80C7A"/>
    <w:rsid w:val="00C80E36"/>
    <w:rsid w:val="00C810EE"/>
    <w:rsid w:val="00C810FA"/>
    <w:rsid w:val="00C81555"/>
    <w:rsid w:val="00C81950"/>
    <w:rsid w:val="00C819EE"/>
    <w:rsid w:val="00C81D48"/>
    <w:rsid w:val="00C821FC"/>
    <w:rsid w:val="00C822F3"/>
    <w:rsid w:val="00C82516"/>
    <w:rsid w:val="00C82864"/>
    <w:rsid w:val="00C82902"/>
    <w:rsid w:val="00C82B03"/>
    <w:rsid w:val="00C82B37"/>
    <w:rsid w:val="00C82CCC"/>
    <w:rsid w:val="00C83089"/>
    <w:rsid w:val="00C830E5"/>
    <w:rsid w:val="00C83469"/>
    <w:rsid w:val="00C838DE"/>
    <w:rsid w:val="00C838E1"/>
    <w:rsid w:val="00C839A8"/>
    <w:rsid w:val="00C83C59"/>
    <w:rsid w:val="00C83D6A"/>
    <w:rsid w:val="00C83E2F"/>
    <w:rsid w:val="00C83F2D"/>
    <w:rsid w:val="00C84105"/>
    <w:rsid w:val="00C8412D"/>
    <w:rsid w:val="00C8413E"/>
    <w:rsid w:val="00C84496"/>
    <w:rsid w:val="00C8473A"/>
    <w:rsid w:val="00C84B6D"/>
    <w:rsid w:val="00C84C6D"/>
    <w:rsid w:val="00C84CC5"/>
    <w:rsid w:val="00C84CCB"/>
    <w:rsid w:val="00C84D82"/>
    <w:rsid w:val="00C84DDC"/>
    <w:rsid w:val="00C851D1"/>
    <w:rsid w:val="00C85286"/>
    <w:rsid w:val="00C85542"/>
    <w:rsid w:val="00C85857"/>
    <w:rsid w:val="00C85CA7"/>
    <w:rsid w:val="00C85CC5"/>
    <w:rsid w:val="00C85DFF"/>
    <w:rsid w:val="00C85F63"/>
    <w:rsid w:val="00C85F6D"/>
    <w:rsid w:val="00C86051"/>
    <w:rsid w:val="00C86A15"/>
    <w:rsid w:val="00C86A63"/>
    <w:rsid w:val="00C86B19"/>
    <w:rsid w:val="00C874B1"/>
    <w:rsid w:val="00C87A2F"/>
    <w:rsid w:val="00C87AD3"/>
    <w:rsid w:val="00C87E37"/>
    <w:rsid w:val="00C87EC6"/>
    <w:rsid w:val="00C87FD6"/>
    <w:rsid w:val="00C90015"/>
    <w:rsid w:val="00C90182"/>
    <w:rsid w:val="00C903A8"/>
    <w:rsid w:val="00C90649"/>
    <w:rsid w:val="00C907D8"/>
    <w:rsid w:val="00C90886"/>
    <w:rsid w:val="00C908FB"/>
    <w:rsid w:val="00C90BE7"/>
    <w:rsid w:val="00C90BFB"/>
    <w:rsid w:val="00C90D80"/>
    <w:rsid w:val="00C90DF0"/>
    <w:rsid w:val="00C90F93"/>
    <w:rsid w:val="00C91244"/>
    <w:rsid w:val="00C91488"/>
    <w:rsid w:val="00C91699"/>
    <w:rsid w:val="00C91806"/>
    <w:rsid w:val="00C9184E"/>
    <w:rsid w:val="00C91B55"/>
    <w:rsid w:val="00C924F7"/>
    <w:rsid w:val="00C927D7"/>
    <w:rsid w:val="00C92925"/>
    <w:rsid w:val="00C92C62"/>
    <w:rsid w:val="00C92EFA"/>
    <w:rsid w:val="00C930F3"/>
    <w:rsid w:val="00C9362F"/>
    <w:rsid w:val="00C93A19"/>
    <w:rsid w:val="00C93C1C"/>
    <w:rsid w:val="00C93D2C"/>
    <w:rsid w:val="00C940F0"/>
    <w:rsid w:val="00C947FE"/>
    <w:rsid w:val="00C94CD0"/>
    <w:rsid w:val="00C94DCC"/>
    <w:rsid w:val="00C94E3F"/>
    <w:rsid w:val="00C95030"/>
    <w:rsid w:val="00C95076"/>
    <w:rsid w:val="00C950DF"/>
    <w:rsid w:val="00C952E7"/>
    <w:rsid w:val="00C95437"/>
    <w:rsid w:val="00C95511"/>
    <w:rsid w:val="00C955FA"/>
    <w:rsid w:val="00C95753"/>
    <w:rsid w:val="00C9589B"/>
    <w:rsid w:val="00C95AA9"/>
    <w:rsid w:val="00C95BD9"/>
    <w:rsid w:val="00C95EE0"/>
    <w:rsid w:val="00C960DE"/>
    <w:rsid w:val="00C96B84"/>
    <w:rsid w:val="00C96EA9"/>
    <w:rsid w:val="00C97380"/>
    <w:rsid w:val="00C9769F"/>
    <w:rsid w:val="00C97C15"/>
    <w:rsid w:val="00C97E85"/>
    <w:rsid w:val="00C97FEE"/>
    <w:rsid w:val="00C9FCE1"/>
    <w:rsid w:val="00CA00DA"/>
    <w:rsid w:val="00CA0463"/>
    <w:rsid w:val="00CA06AC"/>
    <w:rsid w:val="00CA092E"/>
    <w:rsid w:val="00CA0A63"/>
    <w:rsid w:val="00CA0ADF"/>
    <w:rsid w:val="00CA0BDA"/>
    <w:rsid w:val="00CA0C6B"/>
    <w:rsid w:val="00CA0E59"/>
    <w:rsid w:val="00CA0EE2"/>
    <w:rsid w:val="00CA128D"/>
    <w:rsid w:val="00CA136A"/>
    <w:rsid w:val="00CA1918"/>
    <w:rsid w:val="00CA1AB1"/>
    <w:rsid w:val="00CA1BB7"/>
    <w:rsid w:val="00CA1C0D"/>
    <w:rsid w:val="00CA1D59"/>
    <w:rsid w:val="00CA1E97"/>
    <w:rsid w:val="00CA2173"/>
    <w:rsid w:val="00CA224F"/>
    <w:rsid w:val="00CA250F"/>
    <w:rsid w:val="00CA2599"/>
    <w:rsid w:val="00CA2AFC"/>
    <w:rsid w:val="00CA2B19"/>
    <w:rsid w:val="00CA2B33"/>
    <w:rsid w:val="00CA2F20"/>
    <w:rsid w:val="00CA3032"/>
    <w:rsid w:val="00CA3064"/>
    <w:rsid w:val="00CA3185"/>
    <w:rsid w:val="00CA32D4"/>
    <w:rsid w:val="00CA33D9"/>
    <w:rsid w:val="00CA393A"/>
    <w:rsid w:val="00CA3ABD"/>
    <w:rsid w:val="00CA3E02"/>
    <w:rsid w:val="00CA3FCD"/>
    <w:rsid w:val="00CA4134"/>
    <w:rsid w:val="00CA4192"/>
    <w:rsid w:val="00CA4348"/>
    <w:rsid w:val="00CA4462"/>
    <w:rsid w:val="00CA4529"/>
    <w:rsid w:val="00CA45FD"/>
    <w:rsid w:val="00CA476B"/>
    <w:rsid w:val="00CA47B2"/>
    <w:rsid w:val="00CA4875"/>
    <w:rsid w:val="00CA4BBC"/>
    <w:rsid w:val="00CA4F35"/>
    <w:rsid w:val="00CA515B"/>
    <w:rsid w:val="00CA52E8"/>
    <w:rsid w:val="00CA5412"/>
    <w:rsid w:val="00CA5434"/>
    <w:rsid w:val="00CA5705"/>
    <w:rsid w:val="00CA5815"/>
    <w:rsid w:val="00CA5838"/>
    <w:rsid w:val="00CA596F"/>
    <w:rsid w:val="00CA59CD"/>
    <w:rsid w:val="00CA5A89"/>
    <w:rsid w:val="00CA5E6D"/>
    <w:rsid w:val="00CA5F2C"/>
    <w:rsid w:val="00CA5F97"/>
    <w:rsid w:val="00CA6231"/>
    <w:rsid w:val="00CA62D5"/>
    <w:rsid w:val="00CA6397"/>
    <w:rsid w:val="00CA67F1"/>
    <w:rsid w:val="00CA6807"/>
    <w:rsid w:val="00CA69C8"/>
    <w:rsid w:val="00CA6ABA"/>
    <w:rsid w:val="00CA6C3A"/>
    <w:rsid w:val="00CA71D9"/>
    <w:rsid w:val="00CA72F6"/>
    <w:rsid w:val="00CA7319"/>
    <w:rsid w:val="00CA753D"/>
    <w:rsid w:val="00CA7E6C"/>
    <w:rsid w:val="00CB042E"/>
    <w:rsid w:val="00CB0448"/>
    <w:rsid w:val="00CB05D5"/>
    <w:rsid w:val="00CB0B2F"/>
    <w:rsid w:val="00CB0F8B"/>
    <w:rsid w:val="00CB118A"/>
    <w:rsid w:val="00CB1210"/>
    <w:rsid w:val="00CB12FF"/>
    <w:rsid w:val="00CB1723"/>
    <w:rsid w:val="00CB17CF"/>
    <w:rsid w:val="00CB1848"/>
    <w:rsid w:val="00CB19D9"/>
    <w:rsid w:val="00CB1AA4"/>
    <w:rsid w:val="00CB1CE5"/>
    <w:rsid w:val="00CB1D7C"/>
    <w:rsid w:val="00CB224C"/>
    <w:rsid w:val="00CB237D"/>
    <w:rsid w:val="00CB24A7"/>
    <w:rsid w:val="00CB259D"/>
    <w:rsid w:val="00CB2974"/>
    <w:rsid w:val="00CB2ACD"/>
    <w:rsid w:val="00CB2BE1"/>
    <w:rsid w:val="00CB2E26"/>
    <w:rsid w:val="00CB38FD"/>
    <w:rsid w:val="00CB396E"/>
    <w:rsid w:val="00CB3B94"/>
    <w:rsid w:val="00CB3C6B"/>
    <w:rsid w:val="00CB414A"/>
    <w:rsid w:val="00CB43DA"/>
    <w:rsid w:val="00CB44DB"/>
    <w:rsid w:val="00CB4529"/>
    <w:rsid w:val="00CB4A85"/>
    <w:rsid w:val="00CB4CD9"/>
    <w:rsid w:val="00CB4E05"/>
    <w:rsid w:val="00CB4E16"/>
    <w:rsid w:val="00CB4FE5"/>
    <w:rsid w:val="00CB52F2"/>
    <w:rsid w:val="00CB553B"/>
    <w:rsid w:val="00CB556B"/>
    <w:rsid w:val="00CB578E"/>
    <w:rsid w:val="00CB5A2A"/>
    <w:rsid w:val="00CB5C7F"/>
    <w:rsid w:val="00CB5CAA"/>
    <w:rsid w:val="00CB5CB9"/>
    <w:rsid w:val="00CB5DAF"/>
    <w:rsid w:val="00CB5F9B"/>
    <w:rsid w:val="00CB6030"/>
    <w:rsid w:val="00CB6063"/>
    <w:rsid w:val="00CB6AE1"/>
    <w:rsid w:val="00CB6CB7"/>
    <w:rsid w:val="00CB6CB9"/>
    <w:rsid w:val="00CB7274"/>
    <w:rsid w:val="00CB7769"/>
    <w:rsid w:val="00CB7880"/>
    <w:rsid w:val="00CB7975"/>
    <w:rsid w:val="00CC0323"/>
    <w:rsid w:val="00CC06C0"/>
    <w:rsid w:val="00CC0706"/>
    <w:rsid w:val="00CC0E1A"/>
    <w:rsid w:val="00CC0FE6"/>
    <w:rsid w:val="00CC1263"/>
    <w:rsid w:val="00CC15C0"/>
    <w:rsid w:val="00CC1612"/>
    <w:rsid w:val="00CC1689"/>
    <w:rsid w:val="00CC16F3"/>
    <w:rsid w:val="00CC1A13"/>
    <w:rsid w:val="00CC1B29"/>
    <w:rsid w:val="00CC1F59"/>
    <w:rsid w:val="00CC206D"/>
    <w:rsid w:val="00CC2510"/>
    <w:rsid w:val="00CC25F8"/>
    <w:rsid w:val="00CC26A6"/>
    <w:rsid w:val="00CC26BA"/>
    <w:rsid w:val="00CC2736"/>
    <w:rsid w:val="00CC29AF"/>
    <w:rsid w:val="00CC2D98"/>
    <w:rsid w:val="00CC2F43"/>
    <w:rsid w:val="00CC2FEE"/>
    <w:rsid w:val="00CC309B"/>
    <w:rsid w:val="00CC30C6"/>
    <w:rsid w:val="00CC32C5"/>
    <w:rsid w:val="00CC33CF"/>
    <w:rsid w:val="00CC3796"/>
    <w:rsid w:val="00CC3829"/>
    <w:rsid w:val="00CC38FE"/>
    <w:rsid w:val="00CC3903"/>
    <w:rsid w:val="00CC3AE9"/>
    <w:rsid w:val="00CC3FC2"/>
    <w:rsid w:val="00CC3FD8"/>
    <w:rsid w:val="00CC40D0"/>
    <w:rsid w:val="00CC41D2"/>
    <w:rsid w:val="00CC434B"/>
    <w:rsid w:val="00CC4702"/>
    <w:rsid w:val="00CC4960"/>
    <w:rsid w:val="00CC4BDC"/>
    <w:rsid w:val="00CC4C89"/>
    <w:rsid w:val="00CC4FCF"/>
    <w:rsid w:val="00CC5139"/>
    <w:rsid w:val="00CC52BB"/>
    <w:rsid w:val="00CC54F0"/>
    <w:rsid w:val="00CC5662"/>
    <w:rsid w:val="00CC572E"/>
    <w:rsid w:val="00CC5A9F"/>
    <w:rsid w:val="00CC5B10"/>
    <w:rsid w:val="00CC5C57"/>
    <w:rsid w:val="00CC6237"/>
    <w:rsid w:val="00CC6350"/>
    <w:rsid w:val="00CC68C9"/>
    <w:rsid w:val="00CC6CE9"/>
    <w:rsid w:val="00CC6D06"/>
    <w:rsid w:val="00CC6E6A"/>
    <w:rsid w:val="00CC6EF6"/>
    <w:rsid w:val="00CC6F58"/>
    <w:rsid w:val="00CC70B0"/>
    <w:rsid w:val="00CC727C"/>
    <w:rsid w:val="00CC7287"/>
    <w:rsid w:val="00CC74A9"/>
    <w:rsid w:val="00CC7ABC"/>
    <w:rsid w:val="00CC7BC2"/>
    <w:rsid w:val="00CCC27C"/>
    <w:rsid w:val="00CD0041"/>
    <w:rsid w:val="00CD02AD"/>
    <w:rsid w:val="00CD02F6"/>
    <w:rsid w:val="00CD06BB"/>
    <w:rsid w:val="00CD13E9"/>
    <w:rsid w:val="00CD18BB"/>
    <w:rsid w:val="00CD1AA1"/>
    <w:rsid w:val="00CD1C7F"/>
    <w:rsid w:val="00CD1DD7"/>
    <w:rsid w:val="00CD1ED1"/>
    <w:rsid w:val="00CD214F"/>
    <w:rsid w:val="00CD2220"/>
    <w:rsid w:val="00CD252F"/>
    <w:rsid w:val="00CD276A"/>
    <w:rsid w:val="00CD2845"/>
    <w:rsid w:val="00CD292B"/>
    <w:rsid w:val="00CD29E5"/>
    <w:rsid w:val="00CD32DF"/>
    <w:rsid w:val="00CD37D0"/>
    <w:rsid w:val="00CD3832"/>
    <w:rsid w:val="00CD3F06"/>
    <w:rsid w:val="00CD404C"/>
    <w:rsid w:val="00CD4105"/>
    <w:rsid w:val="00CD424B"/>
    <w:rsid w:val="00CD453A"/>
    <w:rsid w:val="00CD4790"/>
    <w:rsid w:val="00CD48AD"/>
    <w:rsid w:val="00CD4B3E"/>
    <w:rsid w:val="00CD4BC5"/>
    <w:rsid w:val="00CD4C7E"/>
    <w:rsid w:val="00CD4E6B"/>
    <w:rsid w:val="00CD51EA"/>
    <w:rsid w:val="00CD5334"/>
    <w:rsid w:val="00CD53DE"/>
    <w:rsid w:val="00CD5411"/>
    <w:rsid w:val="00CD55AD"/>
    <w:rsid w:val="00CD566A"/>
    <w:rsid w:val="00CD569E"/>
    <w:rsid w:val="00CD5712"/>
    <w:rsid w:val="00CD57BB"/>
    <w:rsid w:val="00CD5DF2"/>
    <w:rsid w:val="00CD5FA0"/>
    <w:rsid w:val="00CD6094"/>
    <w:rsid w:val="00CD6125"/>
    <w:rsid w:val="00CD62E2"/>
    <w:rsid w:val="00CD6465"/>
    <w:rsid w:val="00CD65AF"/>
    <w:rsid w:val="00CD6605"/>
    <w:rsid w:val="00CD6726"/>
    <w:rsid w:val="00CD694B"/>
    <w:rsid w:val="00CD6951"/>
    <w:rsid w:val="00CD6A8F"/>
    <w:rsid w:val="00CD6C0C"/>
    <w:rsid w:val="00CD6FC1"/>
    <w:rsid w:val="00CD71EA"/>
    <w:rsid w:val="00CD7A62"/>
    <w:rsid w:val="00CE0081"/>
    <w:rsid w:val="00CE00CB"/>
    <w:rsid w:val="00CE0230"/>
    <w:rsid w:val="00CE02C3"/>
    <w:rsid w:val="00CE0332"/>
    <w:rsid w:val="00CE0375"/>
    <w:rsid w:val="00CE0699"/>
    <w:rsid w:val="00CE0960"/>
    <w:rsid w:val="00CE0B9B"/>
    <w:rsid w:val="00CE0D92"/>
    <w:rsid w:val="00CE0DA8"/>
    <w:rsid w:val="00CE0EC5"/>
    <w:rsid w:val="00CE0F49"/>
    <w:rsid w:val="00CE1654"/>
    <w:rsid w:val="00CE16C5"/>
    <w:rsid w:val="00CE1A22"/>
    <w:rsid w:val="00CE1E84"/>
    <w:rsid w:val="00CE22B4"/>
    <w:rsid w:val="00CE22C3"/>
    <w:rsid w:val="00CE233B"/>
    <w:rsid w:val="00CE2500"/>
    <w:rsid w:val="00CE26B0"/>
    <w:rsid w:val="00CE2AEC"/>
    <w:rsid w:val="00CE307C"/>
    <w:rsid w:val="00CE313F"/>
    <w:rsid w:val="00CE3943"/>
    <w:rsid w:val="00CE411C"/>
    <w:rsid w:val="00CE413B"/>
    <w:rsid w:val="00CE42AD"/>
    <w:rsid w:val="00CE4697"/>
    <w:rsid w:val="00CE4770"/>
    <w:rsid w:val="00CE478F"/>
    <w:rsid w:val="00CE4793"/>
    <w:rsid w:val="00CE4836"/>
    <w:rsid w:val="00CE4AB3"/>
    <w:rsid w:val="00CE4C91"/>
    <w:rsid w:val="00CE5212"/>
    <w:rsid w:val="00CE521B"/>
    <w:rsid w:val="00CE540A"/>
    <w:rsid w:val="00CE54D9"/>
    <w:rsid w:val="00CE5513"/>
    <w:rsid w:val="00CE5578"/>
    <w:rsid w:val="00CE576A"/>
    <w:rsid w:val="00CE5A48"/>
    <w:rsid w:val="00CE5DBF"/>
    <w:rsid w:val="00CE5DD6"/>
    <w:rsid w:val="00CE5F04"/>
    <w:rsid w:val="00CE5F33"/>
    <w:rsid w:val="00CE601A"/>
    <w:rsid w:val="00CE6578"/>
    <w:rsid w:val="00CE66F7"/>
    <w:rsid w:val="00CE677C"/>
    <w:rsid w:val="00CE6D53"/>
    <w:rsid w:val="00CE6E7F"/>
    <w:rsid w:val="00CE6E99"/>
    <w:rsid w:val="00CE70BB"/>
    <w:rsid w:val="00CE7463"/>
    <w:rsid w:val="00CE7536"/>
    <w:rsid w:val="00CE794C"/>
    <w:rsid w:val="00CE79A8"/>
    <w:rsid w:val="00CE7DEC"/>
    <w:rsid w:val="00CE7FEB"/>
    <w:rsid w:val="00CF01D6"/>
    <w:rsid w:val="00CF02C0"/>
    <w:rsid w:val="00CF0482"/>
    <w:rsid w:val="00CF07CE"/>
    <w:rsid w:val="00CF08FC"/>
    <w:rsid w:val="00CF0909"/>
    <w:rsid w:val="00CF0B33"/>
    <w:rsid w:val="00CF0DAF"/>
    <w:rsid w:val="00CF0DFB"/>
    <w:rsid w:val="00CF1488"/>
    <w:rsid w:val="00CF1655"/>
    <w:rsid w:val="00CF18C7"/>
    <w:rsid w:val="00CF1A82"/>
    <w:rsid w:val="00CF1F61"/>
    <w:rsid w:val="00CF2028"/>
    <w:rsid w:val="00CF2065"/>
    <w:rsid w:val="00CF218C"/>
    <w:rsid w:val="00CF21AF"/>
    <w:rsid w:val="00CF235B"/>
    <w:rsid w:val="00CF2677"/>
    <w:rsid w:val="00CF2A3F"/>
    <w:rsid w:val="00CF2CE5"/>
    <w:rsid w:val="00CF2DF3"/>
    <w:rsid w:val="00CF2F0D"/>
    <w:rsid w:val="00CF2FC0"/>
    <w:rsid w:val="00CF2FF4"/>
    <w:rsid w:val="00CF30E2"/>
    <w:rsid w:val="00CF31B5"/>
    <w:rsid w:val="00CF3436"/>
    <w:rsid w:val="00CF3529"/>
    <w:rsid w:val="00CF376A"/>
    <w:rsid w:val="00CF3851"/>
    <w:rsid w:val="00CF3877"/>
    <w:rsid w:val="00CF3893"/>
    <w:rsid w:val="00CF39FC"/>
    <w:rsid w:val="00CF3A82"/>
    <w:rsid w:val="00CF3B20"/>
    <w:rsid w:val="00CF3EC5"/>
    <w:rsid w:val="00CF411A"/>
    <w:rsid w:val="00CF487E"/>
    <w:rsid w:val="00CF4A9C"/>
    <w:rsid w:val="00CF4BD6"/>
    <w:rsid w:val="00CF4DA9"/>
    <w:rsid w:val="00CF530C"/>
    <w:rsid w:val="00CF54EA"/>
    <w:rsid w:val="00CF5567"/>
    <w:rsid w:val="00CF567F"/>
    <w:rsid w:val="00CF6019"/>
    <w:rsid w:val="00CF6097"/>
    <w:rsid w:val="00CF6385"/>
    <w:rsid w:val="00CF63BD"/>
    <w:rsid w:val="00CF661E"/>
    <w:rsid w:val="00CF66CA"/>
    <w:rsid w:val="00CF6703"/>
    <w:rsid w:val="00CF6771"/>
    <w:rsid w:val="00CF68A2"/>
    <w:rsid w:val="00CF68EB"/>
    <w:rsid w:val="00CF6B3B"/>
    <w:rsid w:val="00CF6D99"/>
    <w:rsid w:val="00CF6F2A"/>
    <w:rsid w:val="00CF6F91"/>
    <w:rsid w:val="00CF7019"/>
    <w:rsid w:val="00CF70EB"/>
    <w:rsid w:val="00CF7203"/>
    <w:rsid w:val="00CF7476"/>
    <w:rsid w:val="00CF74A7"/>
    <w:rsid w:val="00CF74AE"/>
    <w:rsid w:val="00CF74E0"/>
    <w:rsid w:val="00CF7519"/>
    <w:rsid w:val="00CF7881"/>
    <w:rsid w:val="00CF9000"/>
    <w:rsid w:val="00D00029"/>
    <w:rsid w:val="00D009EB"/>
    <w:rsid w:val="00D00DDA"/>
    <w:rsid w:val="00D00E0F"/>
    <w:rsid w:val="00D01005"/>
    <w:rsid w:val="00D0122C"/>
    <w:rsid w:val="00D0123B"/>
    <w:rsid w:val="00D012EC"/>
    <w:rsid w:val="00D01341"/>
    <w:rsid w:val="00D0162F"/>
    <w:rsid w:val="00D01785"/>
    <w:rsid w:val="00D0186C"/>
    <w:rsid w:val="00D0196F"/>
    <w:rsid w:val="00D01B89"/>
    <w:rsid w:val="00D01C5B"/>
    <w:rsid w:val="00D01C80"/>
    <w:rsid w:val="00D01FA0"/>
    <w:rsid w:val="00D021EA"/>
    <w:rsid w:val="00D02738"/>
    <w:rsid w:val="00D0276A"/>
    <w:rsid w:val="00D0277E"/>
    <w:rsid w:val="00D02DE4"/>
    <w:rsid w:val="00D03047"/>
    <w:rsid w:val="00D0369C"/>
    <w:rsid w:val="00D036A5"/>
    <w:rsid w:val="00D038BF"/>
    <w:rsid w:val="00D03B5E"/>
    <w:rsid w:val="00D03C90"/>
    <w:rsid w:val="00D03EC6"/>
    <w:rsid w:val="00D03EF0"/>
    <w:rsid w:val="00D04043"/>
    <w:rsid w:val="00D041B1"/>
    <w:rsid w:val="00D044A0"/>
    <w:rsid w:val="00D04563"/>
    <w:rsid w:val="00D04977"/>
    <w:rsid w:val="00D04A46"/>
    <w:rsid w:val="00D04F29"/>
    <w:rsid w:val="00D0506C"/>
    <w:rsid w:val="00D050A2"/>
    <w:rsid w:val="00D054C0"/>
    <w:rsid w:val="00D056D4"/>
    <w:rsid w:val="00D05707"/>
    <w:rsid w:val="00D05A65"/>
    <w:rsid w:val="00D05C3A"/>
    <w:rsid w:val="00D05C5F"/>
    <w:rsid w:val="00D05EFF"/>
    <w:rsid w:val="00D05F3D"/>
    <w:rsid w:val="00D05FDE"/>
    <w:rsid w:val="00D062FD"/>
    <w:rsid w:val="00D06981"/>
    <w:rsid w:val="00D069C0"/>
    <w:rsid w:val="00D06B47"/>
    <w:rsid w:val="00D06BBD"/>
    <w:rsid w:val="00D06CE5"/>
    <w:rsid w:val="00D06DF6"/>
    <w:rsid w:val="00D0712B"/>
    <w:rsid w:val="00D0717E"/>
    <w:rsid w:val="00D0738D"/>
    <w:rsid w:val="00D07490"/>
    <w:rsid w:val="00D07522"/>
    <w:rsid w:val="00D07639"/>
    <w:rsid w:val="00D077C6"/>
    <w:rsid w:val="00D07C59"/>
    <w:rsid w:val="00D07F31"/>
    <w:rsid w:val="00D089FD"/>
    <w:rsid w:val="00D10052"/>
    <w:rsid w:val="00D10393"/>
    <w:rsid w:val="00D103A2"/>
    <w:rsid w:val="00D10627"/>
    <w:rsid w:val="00D1062E"/>
    <w:rsid w:val="00D106F6"/>
    <w:rsid w:val="00D10815"/>
    <w:rsid w:val="00D10D35"/>
    <w:rsid w:val="00D10DC9"/>
    <w:rsid w:val="00D10F35"/>
    <w:rsid w:val="00D1111F"/>
    <w:rsid w:val="00D1130C"/>
    <w:rsid w:val="00D11959"/>
    <w:rsid w:val="00D11B0C"/>
    <w:rsid w:val="00D11B55"/>
    <w:rsid w:val="00D11C49"/>
    <w:rsid w:val="00D11CD9"/>
    <w:rsid w:val="00D1256B"/>
    <w:rsid w:val="00D1272F"/>
    <w:rsid w:val="00D12843"/>
    <w:rsid w:val="00D128AB"/>
    <w:rsid w:val="00D129D7"/>
    <w:rsid w:val="00D12BF1"/>
    <w:rsid w:val="00D12C5A"/>
    <w:rsid w:val="00D12DC9"/>
    <w:rsid w:val="00D1317F"/>
    <w:rsid w:val="00D132A7"/>
    <w:rsid w:val="00D138A1"/>
    <w:rsid w:val="00D13930"/>
    <w:rsid w:val="00D13AED"/>
    <w:rsid w:val="00D13C06"/>
    <w:rsid w:val="00D13C1E"/>
    <w:rsid w:val="00D14190"/>
    <w:rsid w:val="00D143EC"/>
    <w:rsid w:val="00D14828"/>
    <w:rsid w:val="00D1491F"/>
    <w:rsid w:val="00D14DB9"/>
    <w:rsid w:val="00D14EB5"/>
    <w:rsid w:val="00D150D0"/>
    <w:rsid w:val="00D151E9"/>
    <w:rsid w:val="00D15332"/>
    <w:rsid w:val="00D1553E"/>
    <w:rsid w:val="00D1558E"/>
    <w:rsid w:val="00D15A24"/>
    <w:rsid w:val="00D15F8A"/>
    <w:rsid w:val="00D15FCB"/>
    <w:rsid w:val="00D16086"/>
    <w:rsid w:val="00D16225"/>
    <w:rsid w:val="00D16453"/>
    <w:rsid w:val="00D16713"/>
    <w:rsid w:val="00D1672F"/>
    <w:rsid w:val="00D16775"/>
    <w:rsid w:val="00D1699A"/>
    <w:rsid w:val="00D16B57"/>
    <w:rsid w:val="00D16D10"/>
    <w:rsid w:val="00D16DEA"/>
    <w:rsid w:val="00D16DEE"/>
    <w:rsid w:val="00D16E3F"/>
    <w:rsid w:val="00D16E82"/>
    <w:rsid w:val="00D16FAB"/>
    <w:rsid w:val="00D170D2"/>
    <w:rsid w:val="00D17311"/>
    <w:rsid w:val="00D17649"/>
    <w:rsid w:val="00D176BA"/>
    <w:rsid w:val="00D17707"/>
    <w:rsid w:val="00D17A0B"/>
    <w:rsid w:val="00D17AD3"/>
    <w:rsid w:val="00D2002F"/>
    <w:rsid w:val="00D20162"/>
    <w:rsid w:val="00D201AB"/>
    <w:rsid w:val="00D2055C"/>
    <w:rsid w:val="00D20575"/>
    <w:rsid w:val="00D20580"/>
    <w:rsid w:val="00D205B0"/>
    <w:rsid w:val="00D205E7"/>
    <w:rsid w:val="00D207C3"/>
    <w:rsid w:val="00D20843"/>
    <w:rsid w:val="00D208A4"/>
    <w:rsid w:val="00D20E08"/>
    <w:rsid w:val="00D20E72"/>
    <w:rsid w:val="00D20F51"/>
    <w:rsid w:val="00D21256"/>
    <w:rsid w:val="00D21306"/>
    <w:rsid w:val="00D213D1"/>
    <w:rsid w:val="00D215FD"/>
    <w:rsid w:val="00D21834"/>
    <w:rsid w:val="00D21A8C"/>
    <w:rsid w:val="00D21AC7"/>
    <w:rsid w:val="00D21CCA"/>
    <w:rsid w:val="00D225C3"/>
    <w:rsid w:val="00D22A17"/>
    <w:rsid w:val="00D22A70"/>
    <w:rsid w:val="00D22B3D"/>
    <w:rsid w:val="00D22D84"/>
    <w:rsid w:val="00D22DAE"/>
    <w:rsid w:val="00D22F3C"/>
    <w:rsid w:val="00D22F9B"/>
    <w:rsid w:val="00D23713"/>
    <w:rsid w:val="00D23A7B"/>
    <w:rsid w:val="00D23CDC"/>
    <w:rsid w:val="00D23F90"/>
    <w:rsid w:val="00D24310"/>
    <w:rsid w:val="00D2469E"/>
    <w:rsid w:val="00D246C1"/>
    <w:rsid w:val="00D246C9"/>
    <w:rsid w:val="00D2481E"/>
    <w:rsid w:val="00D24A07"/>
    <w:rsid w:val="00D24A56"/>
    <w:rsid w:val="00D24AAB"/>
    <w:rsid w:val="00D24DA6"/>
    <w:rsid w:val="00D251A9"/>
    <w:rsid w:val="00D25511"/>
    <w:rsid w:val="00D25748"/>
    <w:rsid w:val="00D2583D"/>
    <w:rsid w:val="00D25AC4"/>
    <w:rsid w:val="00D25BDB"/>
    <w:rsid w:val="00D26034"/>
    <w:rsid w:val="00D26072"/>
    <w:rsid w:val="00D262E4"/>
    <w:rsid w:val="00D2630E"/>
    <w:rsid w:val="00D264B6"/>
    <w:rsid w:val="00D267B5"/>
    <w:rsid w:val="00D2695E"/>
    <w:rsid w:val="00D26BDE"/>
    <w:rsid w:val="00D2718A"/>
    <w:rsid w:val="00D27383"/>
    <w:rsid w:val="00D27641"/>
    <w:rsid w:val="00D27C10"/>
    <w:rsid w:val="00D27DA1"/>
    <w:rsid w:val="00D30497"/>
    <w:rsid w:val="00D306FD"/>
    <w:rsid w:val="00D30CE6"/>
    <w:rsid w:val="00D31113"/>
    <w:rsid w:val="00D31131"/>
    <w:rsid w:val="00D31334"/>
    <w:rsid w:val="00D314C7"/>
    <w:rsid w:val="00D3169C"/>
    <w:rsid w:val="00D318E0"/>
    <w:rsid w:val="00D319E1"/>
    <w:rsid w:val="00D319E4"/>
    <w:rsid w:val="00D319E7"/>
    <w:rsid w:val="00D31CD8"/>
    <w:rsid w:val="00D31EB4"/>
    <w:rsid w:val="00D320AA"/>
    <w:rsid w:val="00D32171"/>
    <w:rsid w:val="00D32498"/>
    <w:rsid w:val="00D325CD"/>
    <w:rsid w:val="00D3262D"/>
    <w:rsid w:val="00D32724"/>
    <w:rsid w:val="00D32848"/>
    <w:rsid w:val="00D32C2B"/>
    <w:rsid w:val="00D32F0D"/>
    <w:rsid w:val="00D3302C"/>
    <w:rsid w:val="00D334E3"/>
    <w:rsid w:val="00D33630"/>
    <w:rsid w:val="00D33646"/>
    <w:rsid w:val="00D33B10"/>
    <w:rsid w:val="00D33FA4"/>
    <w:rsid w:val="00D34339"/>
    <w:rsid w:val="00D345F2"/>
    <w:rsid w:val="00D34785"/>
    <w:rsid w:val="00D3483C"/>
    <w:rsid w:val="00D35151"/>
    <w:rsid w:val="00D351CB"/>
    <w:rsid w:val="00D35262"/>
    <w:rsid w:val="00D352AF"/>
    <w:rsid w:val="00D35448"/>
    <w:rsid w:val="00D3571D"/>
    <w:rsid w:val="00D35800"/>
    <w:rsid w:val="00D3586E"/>
    <w:rsid w:val="00D3598D"/>
    <w:rsid w:val="00D36113"/>
    <w:rsid w:val="00D361AC"/>
    <w:rsid w:val="00D364D0"/>
    <w:rsid w:val="00D364EF"/>
    <w:rsid w:val="00D366EE"/>
    <w:rsid w:val="00D3677B"/>
    <w:rsid w:val="00D36AF8"/>
    <w:rsid w:val="00D36C1A"/>
    <w:rsid w:val="00D36C94"/>
    <w:rsid w:val="00D36CAD"/>
    <w:rsid w:val="00D36E1D"/>
    <w:rsid w:val="00D36E3D"/>
    <w:rsid w:val="00D37016"/>
    <w:rsid w:val="00D370F5"/>
    <w:rsid w:val="00D372B2"/>
    <w:rsid w:val="00D373BF"/>
    <w:rsid w:val="00D37563"/>
    <w:rsid w:val="00D37ABC"/>
    <w:rsid w:val="00D37B22"/>
    <w:rsid w:val="00D37E02"/>
    <w:rsid w:val="00D37EF0"/>
    <w:rsid w:val="00D4012C"/>
    <w:rsid w:val="00D4041F"/>
    <w:rsid w:val="00D40454"/>
    <w:rsid w:val="00D405A2"/>
    <w:rsid w:val="00D405BB"/>
    <w:rsid w:val="00D4067A"/>
    <w:rsid w:val="00D40688"/>
    <w:rsid w:val="00D40C38"/>
    <w:rsid w:val="00D40D16"/>
    <w:rsid w:val="00D40E57"/>
    <w:rsid w:val="00D41270"/>
    <w:rsid w:val="00D418DD"/>
    <w:rsid w:val="00D418F2"/>
    <w:rsid w:val="00D41B5A"/>
    <w:rsid w:val="00D41EA4"/>
    <w:rsid w:val="00D41FBC"/>
    <w:rsid w:val="00D42464"/>
    <w:rsid w:val="00D42664"/>
    <w:rsid w:val="00D42E2D"/>
    <w:rsid w:val="00D43041"/>
    <w:rsid w:val="00D433EB"/>
    <w:rsid w:val="00D43522"/>
    <w:rsid w:val="00D43526"/>
    <w:rsid w:val="00D43804"/>
    <w:rsid w:val="00D43B89"/>
    <w:rsid w:val="00D440C3"/>
    <w:rsid w:val="00D4415D"/>
    <w:rsid w:val="00D441E2"/>
    <w:rsid w:val="00D4425D"/>
    <w:rsid w:val="00D44592"/>
    <w:rsid w:val="00D447BA"/>
    <w:rsid w:val="00D447FA"/>
    <w:rsid w:val="00D44A61"/>
    <w:rsid w:val="00D44F26"/>
    <w:rsid w:val="00D4502C"/>
    <w:rsid w:val="00D45399"/>
    <w:rsid w:val="00D45508"/>
    <w:rsid w:val="00D457B2"/>
    <w:rsid w:val="00D45828"/>
    <w:rsid w:val="00D458F4"/>
    <w:rsid w:val="00D45972"/>
    <w:rsid w:val="00D45CCC"/>
    <w:rsid w:val="00D46228"/>
    <w:rsid w:val="00D462CC"/>
    <w:rsid w:val="00D4668D"/>
    <w:rsid w:val="00D46751"/>
    <w:rsid w:val="00D46761"/>
    <w:rsid w:val="00D46898"/>
    <w:rsid w:val="00D4691A"/>
    <w:rsid w:val="00D4698A"/>
    <w:rsid w:val="00D46B49"/>
    <w:rsid w:val="00D46CAD"/>
    <w:rsid w:val="00D46F35"/>
    <w:rsid w:val="00D46FBC"/>
    <w:rsid w:val="00D470EE"/>
    <w:rsid w:val="00D471F6"/>
    <w:rsid w:val="00D4723B"/>
    <w:rsid w:val="00D4733C"/>
    <w:rsid w:val="00D47684"/>
    <w:rsid w:val="00D478D7"/>
    <w:rsid w:val="00D47C04"/>
    <w:rsid w:val="00D47D66"/>
    <w:rsid w:val="00D47DB7"/>
    <w:rsid w:val="00D47E19"/>
    <w:rsid w:val="00D47F6E"/>
    <w:rsid w:val="00D47F7F"/>
    <w:rsid w:val="00D50310"/>
    <w:rsid w:val="00D506D8"/>
    <w:rsid w:val="00D507EC"/>
    <w:rsid w:val="00D507FD"/>
    <w:rsid w:val="00D50850"/>
    <w:rsid w:val="00D50C82"/>
    <w:rsid w:val="00D51016"/>
    <w:rsid w:val="00D51278"/>
    <w:rsid w:val="00D51563"/>
    <w:rsid w:val="00D51590"/>
    <w:rsid w:val="00D515AA"/>
    <w:rsid w:val="00D51888"/>
    <w:rsid w:val="00D5196E"/>
    <w:rsid w:val="00D51E71"/>
    <w:rsid w:val="00D52135"/>
    <w:rsid w:val="00D52149"/>
    <w:rsid w:val="00D527D3"/>
    <w:rsid w:val="00D529E6"/>
    <w:rsid w:val="00D52B15"/>
    <w:rsid w:val="00D52C18"/>
    <w:rsid w:val="00D52CBE"/>
    <w:rsid w:val="00D52E62"/>
    <w:rsid w:val="00D531EA"/>
    <w:rsid w:val="00D53205"/>
    <w:rsid w:val="00D534A8"/>
    <w:rsid w:val="00D5355A"/>
    <w:rsid w:val="00D53697"/>
    <w:rsid w:val="00D53B10"/>
    <w:rsid w:val="00D53B54"/>
    <w:rsid w:val="00D53C2F"/>
    <w:rsid w:val="00D53C78"/>
    <w:rsid w:val="00D53D2A"/>
    <w:rsid w:val="00D53DD1"/>
    <w:rsid w:val="00D5407D"/>
    <w:rsid w:val="00D54254"/>
    <w:rsid w:val="00D5425A"/>
    <w:rsid w:val="00D54808"/>
    <w:rsid w:val="00D54949"/>
    <w:rsid w:val="00D5495A"/>
    <w:rsid w:val="00D54E93"/>
    <w:rsid w:val="00D54F42"/>
    <w:rsid w:val="00D54FA3"/>
    <w:rsid w:val="00D55079"/>
    <w:rsid w:val="00D552BD"/>
    <w:rsid w:val="00D553BD"/>
    <w:rsid w:val="00D55487"/>
    <w:rsid w:val="00D555AD"/>
    <w:rsid w:val="00D55602"/>
    <w:rsid w:val="00D556B6"/>
    <w:rsid w:val="00D5598D"/>
    <w:rsid w:val="00D55CB6"/>
    <w:rsid w:val="00D55CC4"/>
    <w:rsid w:val="00D55EA1"/>
    <w:rsid w:val="00D55F1A"/>
    <w:rsid w:val="00D56196"/>
    <w:rsid w:val="00D56411"/>
    <w:rsid w:val="00D57370"/>
    <w:rsid w:val="00D57376"/>
    <w:rsid w:val="00D57480"/>
    <w:rsid w:val="00D57631"/>
    <w:rsid w:val="00D57941"/>
    <w:rsid w:val="00D57F9A"/>
    <w:rsid w:val="00D60395"/>
    <w:rsid w:val="00D6041F"/>
    <w:rsid w:val="00D60464"/>
    <w:rsid w:val="00D60A48"/>
    <w:rsid w:val="00D60B34"/>
    <w:rsid w:val="00D60B80"/>
    <w:rsid w:val="00D60CA8"/>
    <w:rsid w:val="00D60FF5"/>
    <w:rsid w:val="00D610D4"/>
    <w:rsid w:val="00D613F9"/>
    <w:rsid w:val="00D614ED"/>
    <w:rsid w:val="00D6194B"/>
    <w:rsid w:val="00D61E91"/>
    <w:rsid w:val="00D620EF"/>
    <w:rsid w:val="00D62251"/>
    <w:rsid w:val="00D62397"/>
    <w:rsid w:val="00D62689"/>
    <w:rsid w:val="00D6281D"/>
    <w:rsid w:val="00D628B1"/>
    <w:rsid w:val="00D62A0A"/>
    <w:rsid w:val="00D62B30"/>
    <w:rsid w:val="00D62DC6"/>
    <w:rsid w:val="00D62E71"/>
    <w:rsid w:val="00D62E92"/>
    <w:rsid w:val="00D62EDB"/>
    <w:rsid w:val="00D62F9B"/>
    <w:rsid w:val="00D630D8"/>
    <w:rsid w:val="00D63145"/>
    <w:rsid w:val="00D63189"/>
    <w:rsid w:val="00D63337"/>
    <w:rsid w:val="00D634C0"/>
    <w:rsid w:val="00D63981"/>
    <w:rsid w:val="00D63FDD"/>
    <w:rsid w:val="00D6400C"/>
    <w:rsid w:val="00D644D0"/>
    <w:rsid w:val="00D64761"/>
    <w:rsid w:val="00D647A2"/>
    <w:rsid w:val="00D64B9F"/>
    <w:rsid w:val="00D64C0C"/>
    <w:rsid w:val="00D64CB6"/>
    <w:rsid w:val="00D64DD6"/>
    <w:rsid w:val="00D64E06"/>
    <w:rsid w:val="00D64E6A"/>
    <w:rsid w:val="00D64EB3"/>
    <w:rsid w:val="00D65046"/>
    <w:rsid w:val="00D6535C"/>
    <w:rsid w:val="00D65484"/>
    <w:rsid w:val="00D65A6B"/>
    <w:rsid w:val="00D65C5D"/>
    <w:rsid w:val="00D65C76"/>
    <w:rsid w:val="00D65C8D"/>
    <w:rsid w:val="00D65CC0"/>
    <w:rsid w:val="00D65F5D"/>
    <w:rsid w:val="00D65FEB"/>
    <w:rsid w:val="00D6618E"/>
    <w:rsid w:val="00D6627B"/>
    <w:rsid w:val="00D6652A"/>
    <w:rsid w:val="00D66A3D"/>
    <w:rsid w:val="00D66EB2"/>
    <w:rsid w:val="00D672A2"/>
    <w:rsid w:val="00D6773A"/>
    <w:rsid w:val="00D67B14"/>
    <w:rsid w:val="00D70007"/>
    <w:rsid w:val="00D70136"/>
    <w:rsid w:val="00D706AD"/>
    <w:rsid w:val="00D70ABA"/>
    <w:rsid w:val="00D70B09"/>
    <w:rsid w:val="00D70BC0"/>
    <w:rsid w:val="00D70C15"/>
    <w:rsid w:val="00D70D59"/>
    <w:rsid w:val="00D70D80"/>
    <w:rsid w:val="00D70F71"/>
    <w:rsid w:val="00D71409"/>
    <w:rsid w:val="00D71C43"/>
    <w:rsid w:val="00D71CE6"/>
    <w:rsid w:val="00D71D90"/>
    <w:rsid w:val="00D7209E"/>
    <w:rsid w:val="00D720BA"/>
    <w:rsid w:val="00D72253"/>
    <w:rsid w:val="00D7269F"/>
    <w:rsid w:val="00D72723"/>
    <w:rsid w:val="00D728E3"/>
    <w:rsid w:val="00D72965"/>
    <w:rsid w:val="00D7299C"/>
    <w:rsid w:val="00D72A96"/>
    <w:rsid w:val="00D72BEF"/>
    <w:rsid w:val="00D73098"/>
    <w:rsid w:val="00D7311E"/>
    <w:rsid w:val="00D736C5"/>
    <w:rsid w:val="00D73894"/>
    <w:rsid w:val="00D73BC2"/>
    <w:rsid w:val="00D741EC"/>
    <w:rsid w:val="00D74261"/>
    <w:rsid w:val="00D74348"/>
    <w:rsid w:val="00D74564"/>
    <w:rsid w:val="00D746D7"/>
    <w:rsid w:val="00D7479D"/>
    <w:rsid w:val="00D74900"/>
    <w:rsid w:val="00D74A1D"/>
    <w:rsid w:val="00D74BC2"/>
    <w:rsid w:val="00D74C81"/>
    <w:rsid w:val="00D74C9D"/>
    <w:rsid w:val="00D74CEF"/>
    <w:rsid w:val="00D74D42"/>
    <w:rsid w:val="00D74D6E"/>
    <w:rsid w:val="00D752C1"/>
    <w:rsid w:val="00D75426"/>
    <w:rsid w:val="00D755A2"/>
    <w:rsid w:val="00D755BE"/>
    <w:rsid w:val="00D75861"/>
    <w:rsid w:val="00D7591E"/>
    <w:rsid w:val="00D75AA9"/>
    <w:rsid w:val="00D75DB1"/>
    <w:rsid w:val="00D760F4"/>
    <w:rsid w:val="00D76394"/>
    <w:rsid w:val="00D765D5"/>
    <w:rsid w:val="00D76760"/>
    <w:rsid w:val="00D767E4"/>
    <w:rsid w:val="00D76919"/>
    <w:rsid w:val="00D77187"/>
    <w:rsid w:val="00D773CD"/>
    <w:rsid w:val="00D77451"/>
    <w:rsid w:val="00D77492"/>
    <w:rsid w:val="00D776B0"/>
    <w:rsid w:val="00D7771D"/>
    <w:rsid w:val="00D7774A"/>
    <w:rsid w:val="00D77821"/>
    <w:rsid w:val="00D77F30"/>
    <w:rsid w:val="00D77FD1"/>
    <w:rsid w:val="00D801D5"/>
    <w:rsid w:val="00D8044A"/>
    <w:rsid w:val="00D805CA"/>
    <w:rsid w:val="00D805E6"/>
    <w:rsid w:val="00D80A1A"/>
    <w:rsid w:val="00D80A38"/>
    <w:rsid w:val="00D80EB4"/>
    <w:rsid w:val="00D8129B"/>
    <w:rsid w:val="00D81411"/>
    <w:rsid w:val="00D8175D"/>
    <w:rsid w:val="00D81774"/>
    <w:rsid w:val="00D81A51"/>
    <w:rsid w:val="00D81AD0"/>
    <w:rsid w:val="00D81BF0"/>
    <w:rsid w:val="00D8208D"/>
    <w:rsid w:val="00D82126"/>
    <w:rsid w:val="00D822A2"/>
    <w:rsid w:val="00D8270F"/>
    <w:rsid w:val="00D82A91"/>
    <w:rsid w:val="00D82C7E"/>
    <w:rsid w:val="00D83112"/>
    <w:rsid w:val="00D8334C"/>
    <w:rsid w:val="00D83747"/>
    <w:rsid w:val="00D83798"/>
    <w:rsid w:val="00D83981"/>
    <w:rsid w:val="00D83DCE"/>
    <w:rsid w:val="00D83EE7"/>
    <w:rsid w:val="00D84173"/>
    <w:rsid w:val="00D8427C"/>
    <w:rsid w:val="00D846A1"/>
    <w:rsid w:val="00D84D1A"/>
    <w:rsid w:val="00D84E05"/>
    <w:rsid w:val="00D84E24"/>
    <w:rsid w:val="00D8500B"/>
    <w:rsid w:val="00D850AB"/>
    <w:rsid w:val="00D8550B"/>
    <w:rsid w:val="00D85652"/>
    <w:rsid w:val="00D85757"/>
    <w:rsid w:val="00D857FC"/>
    <w:rsid w:val="00D85845"/>
    <w:rsid w:val="00D85A51"/>
    <w:rsid w:val="00D85FE3"/>
    <w:rsid w:val="00D8608E"/>
    <w:rsid w:val="00D8608F"/>
    <w:rsid w:val="00D861DE"/>
    <w:rsid w:val="00D8622B"/>
    <w:rsid w:val="00D8636D"/>
    <w:rsid w:val="00D86590"/>
    <w:rsid w:val="00D866AD"/>
    <w:rsid w:val="00D86B1E"/>
    <w:rsid w:val="00D87437"/>
    <w:rsid w:val="00D875B3"/>
    <w:rsid w:val="00D875B9"/>
    <w:rsid w:val="00D8767B"/>
    <w:rsid w:val="00D8788E"/>
    <w:rsid w:val="00D87B83"/>
    <w:rsid w:val="00D87C24"/>
    <w:rsid w:val="00D8990C"/>
    <w:rsid w:val="00D89CF9"/>
    <w:rsid w:val="00D90A34"/>
    <w:rsid w:val="00D90A67"/>
    <w:rsid w:val="00D90C44"/>
    <w:rsid w:val="00D90EFA"/>
    <w:rsid w:val="00D913CD"/>
    <w:rsid w:val="00D915BE"/>
    <w:rsid w:val="00D91690"/>
    <w:rsid w:val="00D91728"/>
    <w:rsid w:val="00D91762"/>
    <w:rsid w:val="00D9181E"/>
    <w:rsid w:val="00D91987"/>
    <w:rsid w:val="00D91992"/>
    <w:rsid w:val="00D919E8"/>
    <w:rsid w:val="00D91AF4"/>
    <w:rsid w:val="00D91BF7"/>
    <w:rsid w:val="00D92083"/>
    <w:rsid w:val="00D9252F"/>
    <w:rsid w:val="00D927AF"/>
    <w:rsid w:val="00D92C95"/>
    <w:rsid w:val="00D92CAD"/>
    <w:rsid w:val="00D931E7"/>
    <w:rsid w:val="00D936AB"/>
    <w:rsid w:val="00D936E8"/>
    <w:rsid w:val="00D93A53"/>
    <w:rsid w:val="00D9414D"/>
    <w:rsid w:val="00D94182"/>
    <w:rsid w:val="00D9437F"/>
    <w:rsid w:val="00D94524"/>
    <w:rsid w:val="00D94535"/>
    <w:rsid w:val="00D94573"/>
    <w:rsid w:val="00D94620"/>
    <w:rsid w:val="00D9480A"/>
    <w:rsid w:val="00D94850"/>
    <w:rsid w:val="00D950AA"/>
    <w:rsid w:val="00D95189"/>
    <w:rsid w:val="00D9578A"/>
    <w:rsid w:val="00D95A64"/>
    <w:rsid w:val="00D95C31"/>
    <w:rsid w:val="00D95D04"/>
    <w:rsid w:val="00D9632F"/>
    <w:rsid w:val="00D9643B"/>
    <w:rsid w:val="00D9682E"/>
    <w:rsid w:val="00D969C0"/>
    <w:rsid w:val="00D96C7F"/>
    <w:rsid w:val="00D96E49"/>
    <w:rsid w:val="00D970EF"/>
    <w:rsid w:val="00D972D0"/>
    <w:rsid w:val="00D973C4"/>
    <w:rsid w:val="00D973C5"/>
    <w:rsid w:val="00D97507"/>
    <w:rsid w:val="00D975D9"/>
    <w:rsid w:val="00D975F3"/>
    <w:rsid w:val="00D97935"/>
    <w:rsid w:val="00D97A51"/>
    <w:rsid w:val="00D97B74"/>
    <w:rsid w:val="00D97EA9"/>
    <w:rsid w:val="00D97EEF"/>
    <w:rsid w:val="00D97FEB"/>
    <w:rsid w:val="00DA0643"/>
    <w:rsid w:val="00DA0684"/>
    <w:rsid w:val="00DA0798"/>
    <w:rsid w:val="00DA086D"/>
    <w:rsid w:val="00DA08AD"/>
    <w:rsid w:val="00DA093D"/>
    <w:rsid w:val="00DA0FC0"/>
    <w:rsid w:val="00DA10E3"/>
    <w:rsid w:val="00DA1454"/>
    <w:rsid w:val="00DA1943"/>
    <w:rsid w:val="00DA1DBC"/>
    <w:rsid w:val="00DA1EDD"/>
    <w:rsid w:val="00DA1EEB"/>
    <w:rsid w:val="00DA1FDD"/>
    <w:rsid w:val="00DA2323"/>
    <w:rsid w:val="00DA249F"/>
    <w:rsid w:val="00DA26C1"/>
    <w:rsid w:val="00DA274F"/>
    <w:rsid w:val="00DA28D7"/>
    <w:rsid w:val="00DA2DF1"/>
    <w:rsid w:val="00DA2F4E"/>
    <w:rsid w:val="00DA300C"/>
    <w:rsid w:val="00DA3820"/>
    <w:rsid w:val="00DA38EE"/>
    <w:rsid w:val="00DA3A90"/>
    <w:rsid w:val="00DA3AB9"/>
    <w:rsid w:val="00DA4041"/>
    <w:rsid w:val="00DA411F"/>
    <w:rsid w:val="00DA415D"/>
    <w:rsid w:val="00DA429C"/>
    <w:rsid w:val="00DA49E9"/>
    <w:rsid w:val="00DA4C6C"/>
    <w:rsid w:val="00DA4D27"/>
    <w:rsid w:val="00DA4D79"/>
    <w:rsid w:val="00DA4DEC"/>
    <w:rsid w:val="00DA4E1E"/>
    <w:rsid w:val="00DA5177"/>
    <w:rsid w:val="00DA53C7"/>
    <w:rsid w:val="00DA55D3"/>
    <w:rsid w:val="00DA5710"/>
    <w:rsid w:val="00DA57B6"/>
    <w:rsid w:val="00DA58B5"/>
    <w:rsid w:val="00DA58CE"/>
    <w:rsid w:val="00DA58DA"/>
    <w:rsid w:val="00DA5931"/>
    <w:rsid w:val="00DA59D9"/>
    <w:rsid w:val="00DA59FF"/>
    <w:rsid w:val="00DA5C11"/>
    <w:rsid w:val="00DA5D36"/>
    <w:rsid w:val="00DA5FAD"/>
    <w:rsid w:val="00DA649E"/>
    <w:rsid w:val="00DA64CA"/>
    <w:rsid w:val="00DA6763"/>
    <w:rsid w:val="00DA6884"/>
    <w:rsid w:val="00DA68B5"/>
    <w:rsid w:val="00DA6A5F"/>
    <w:rsid w:val="00DA6A7F"/>
    <w:rsid w:val="00DA6C0C"/>
    <w:rsid w:val="00DA6D93"/>
    <w:rsid w:val="00DA6F8D"/>
    <w:rsid w:val="00DA700E"/>
    <w:rsid w:val="00DA735D"/>
    <w:rsid w:val="00DA735F"/>
    <w:rsid w:val="00DA7485"/>
    <w:rsid w:val="00DAE676"/>
    <w:rsid w:val="00DB0166"/>
    <w:rsid w:val="00DB019D"/>
    <w:rsid w:val="00DB0375"/>
    <w:rsid w:val="00DB04B2"/>
    <w:rsid w:val="00DB059F"/>
    <w:rsid w:val="00DB07C3"/>
    <w:rsid w:val="00DB0898"/>
    <w:rsid w:val="00DB0A97"/>
    <w:rsid w:val="00DB0B8E"/>
    <w:rsid w:val="00DB0D7D"/>
    <w:rsid w:val="00DB0FCE"/>
    <w:rsid w:val="00DB107C"/>
    <w:rsid w:val="00DB1197"/>
    <w:rsid w:val="00DB120B"/>
    <w:rsid w:val="00DB1387"/>
    <w:rsid w:val="00DB1607"/>
    <w:rsid w:val="00DB168A"/>
    <w:rsid w:val="00DB16C2"/>
    <w:rsid w:val="00DB16DB"/>
    <w:rsid w:val="00DB1983"/>
    <w:rsid w:val="00DB1BE6"/>
    <w:rsid w:val="00DB1CFC"/>
    <w:rsid w:val="00DB1DD4"/>
    <w:rsid w:val="00DB1EEF"/>
    <w:rsid w:val="00DB22E8"/>
    <w:rsid w:val="00DB27EC"/>
    <w:rsid w:val="00DB2840"/>
    <w:rsid w:val="00DB2AFA"/>
    <w:rsid w:val="00DB2B44"/>
    <w:rsid w:val="00DB2DB2"/>
    <w:rsid w:val="00DB2E6F"/>
    <w:rsid w:val="00DB2F71"/>
    <w:rsid w:val="00DB30A6"/>
    <w:rsid w:val="00DB312E"/>
    <w:rsid w:val="00DB349F"/>
    <w:rsid w:val="00DB397C"/>
    <w:rsid w:val="00DB3B60"/>
    <w:rsid w:val="00DB3FB2"/>
    <w:rsid w:val="00DB46E8"/>
    <w:rsid w:val="00DB473E"/>
    <w:rsid w:val="00DB4820"/>
    <w:rsid w:val="00DB48C2"/>
    <w:rsid w:val="00DB4B9C"/>
    <w:rsid w:val="00DB4D19"/>
    <w:rsid w:val="00DB4EB0"/>
    <w:rsid w:val="00DB518D"/>
    <w:rsid w:val="00DB55EA"/>
    <w:rsid w:val="00DB5788"/>
    <w:rsid w:val="00DB5BBE"/>
    <w:rsid w:val="00DB5E34"/>
    <w:rsid w:val="00DB6054"/>
    <w:rsid w:val="00DB623E"/>
    <w:rsid w:val="00DB6411"/>
    <w:rsid w:val="00DB686C"/>
    <w:rsid w:val="00DB6BAC"/>
    <w:rsid w:val="00DB6CCE"/>
    <w:rsid w:val="00DB70F5"/>
    <w:rsid w:val="00DB71DB"/>
    <w:rsid w:val="00DB760A"/>
    <w:rsid w:val="00DB7BBB"/>
    <w:rsid w:val="00DB7CF6"/>
    <w:rsid w:val="00DB7DA6"/>
    <w:rsid w:val="00DC052D"/>
    <w:rsid w:val="00DC0613"/>
    <w:rsid w:val="00DC0929"/>
    <w:rsid w:val="00DC09B5"/>
    <w:rsid w:val="00DC1115"/>
    <w:rsid w:val="00DC11AA"/>
    <w:rsid w:val="00DC1730"/>
    <w:rsid w:val="00DC1AA0"/>
    <w:rsid w:val="00DC1D78"/>
    <w:rsid w:val="00DC20B1"/>
    <w:rsid w:val="00DC2197"/>
    <w:rsid w:val="00DC228B"/>
    <w:rsid w:val="00DC23CE"/>
    <w:rsid w:val="00DC2407"/>
    <w:rsid w:val="00DC2712"/>
    <w:rsid w:val="00DC2990"/>
    <w:rsid w:val="00DC2EFD"/>
    <w:rsid w:val="00DC2FDC"/>
    <w:rsid w:val="00DC3541"/>
    <w:rsid w:val="00DC369F"/>
    <w:rsid w:val="00DC36B0"/>
    <w:rsid w:val="00DC3749"/>
    <w:rsid w:val="00DC377F"/>
    <w:rsid w:val="00DC39F5"/>
    <w:rsid w:val="00DC3BC8"/>
    <w:rsid w:val="00DC3BCE"/>
    <w:rsid w:val="00DC4168"/>
    <w:rsid w:val="00DC438D"/>
    <w:rsid w:val="00DC4526"/>
    <w:rsid w:val="00DC4546"/>
    <w:rsid w:val="00DC463A"/>
    <w:rsid w:val="00DC482E"/>
    <w:rsid w:val="00DC48D7"/>
    <w:rsid w:val="00DC4ABD"/>
    <w:rsid w:val="00DC5109"/>
    <w:rsid w:val="00DC56B6"/>
    <w:rsid w:val="00DC5A77"/>
    <w:rsid w:val="00DC5BE5"/>
    <w:rsid w:val="00DC60F9"/>
    <w:rsid w:val="00DC62A9"/>
    <w:rsid w:val="00DC66FE"/>
    <w:rsid w:val="00DC72B5"/>
    <w:rsid w:val="00DC74B5"/>
    <w:rsid w:val="00DC7742"/>
    <w:rsid w:val="00DC784E"/>
    <w:rsid w:val="00DC7983"/>
    <w:rsid w:val="00DC7A21"/>
    <w:rsid w:val="00DC7B54"/>
    <w:rsid w:val="00DC7B75"/>
    <w:rsid w:val="00DC7C56"/>
    <w:rsid w:val="00DC7CA5"/>
    <w:rsid w:val="00DC7CB5"/>
    <w:rsid w:val="00DC7ECC"/>
    <w:rsid w:val="00DD02FE"/>
    <w:rsid w:val="00DD031B"/>
    <w:rsid w:val="00DD05AD"/>
    <w:rsid w:val="00DD0743"/>
    <w:rsid w:val="00DD08DE"/>
    <w:rsid w:val="00DD0950"/>
    <w:rsid w:val="00DD0AF3"/>
    <w:rsid w:val="00DD0C09"/>
    <w:rsid w:val="00DD113B"/>
    <w:rsid w:val="00DD1289"/>
    <w:rsid w:val="00DD12D3"/>
    <w:rsid w:val="00DD1764"/>
    <w:rsid w:val="00DD1925"/>
    <w:rsid w:val="00DD1ADE"/>
    <w:rsid w:val="00DD1C3C"/>
    <w:rsid w:val="00DD1EBB"/>
    <w:rsid w:val="00DD216B"/>
    <w:rsid w:val="00DD21CF"/>
    <w:rsid w:val="00DD22BC"/>
    <w:rsid w:val="00DD2500"/>
    <w:rsid w:val="00DD2623"/>
    <w:rsid w:val="00DD2955"/>
    <w:rsid w:val="00DD2D9F"/>
    <w:rsid w:val="00DD2E66"/>
    <w:rsid w:val="00DD2F18"/>
    <w:rsid w:val="00DD3320"/>
    <w:rsid w:val="00DD33BE"/>
    <w:rsid w:val="00DD33CA"/>
    <w:rsid w:val="00DD3479"/>
    <w:rsid w:val="00DD35A7"/>
    <w:rsid w:val="00DD3683"/>
    <w:rsid w:val="00DD3697"/>
    <w:rsid w:val="00DD3869"/>
    <w:rsid w:val="00DD3BC6"/>
    <w:rsid w:val="00DD3BF4"/>
    <w:rsid w:val="00DD3F03"/>
    <w:rsid w:val="00DD40D0"/>
    <w:rsid w:val="00DD4127"/>
    <w:rsid w:val="00DD41CB"/>
    <w:rsid w:val="00DD41FC"/>
    <w:rsid w:val="00DD422C"/>
    <w:rsid w:val="00DD42BB"/>
    <w:rsid w:val="00DD460B"/>
    <w:rsid w:val="00DD4642"/>
    <w:rsid w:val="00DD464C"/>
    <w:rsid w:val="00DD4664"/>
    <w:rsid w:val="00DD4887"/>
    <w:rsid w:val="00DD4CBB"/>
    <w:rsid w:val="00DD4F56"/>
    <w:rsid w:val="00DD51C3"/>
    <w:rsid w:val="00DD529A"/>
    <w:rsid w:val="00DD52D4"/>
    <w:rsid w:val="00DD58DB"/>
    <w:rsid w:val="00DD5D87"/>
    <w:rsid w:val="00DD5F04"/>
    <w:rsid w:val="00DD60F2"/>
    <w:rsid w:val="00DD659A"/>
    <w:rsid w:val="00DD6616"/>
    <w:rsid w:val="00DD6928"/>
    <w:rsid w:val="00DD69D6"/>
    <w:rsid w:val="00DD6A6E"/>
    <w:rsid w:val="00DD6A79"/>
    <w:rsid w:val="00DD6AAD"/>
    <w:rsid w:val="00DD6C4A"/>
    <w:rsid w:val="00DD6DD5"/>
    <w:rsid w:val="00DD7081"/>
    <w:rsid w:val="00DD7176"/>
    <w:rsid w:val="00DD7512"/>
    <w:rsid w:val="00DD785C"/>
    <w:rsid w:val="00DD79FB"/>
    <w:rsid w:val="00DD7A5A"/>
    <w:rsid w:val="00DD7B5F"/>
    <w:rsid w:val="00DD7C01"/>
    <w:rsid w:val="00DDCCD3"/>
    <w:rsid w:val="00DE05C2"/>
    <w:rsid w:val="00DE0C91"/>
    <w:rsid w:val="00DE124F"/>
    <w:rsid w:val="00DE137E"/>
    <w:rsid w:val="00DE13CB"/>
    <w:rsid w:val="00DE1BF0"/>
    <w:rsid w:val="00DE1C48"/>
    <w:rsid w:val="00DE1CA2"/>
    <w:rsid w:val="00DE1E4A"/>
    <w:rsid w:val="00DE2056"/>
    <w:rsid w:val="00DE2331"/>
    <w:rsid w:val="00DE2A2B"/>
    <w:rsid w:val="00DE2AA6"/>
    <w:rsid w:val="00DE2E23"/>
    <w:rsid w:val="00DE337B"/>
    <w:rsid w:val="00DE3535"/>
    <w:rsid w:val="00DE3558"/>
    <w:rsid w:val="00DE3616"/>
    <w:rsid w:val="00DE36D4"/>
    <w:rsid w:val="00DE3716"/>
    <w:rsid w:val="00DE3885"/>
    <w:rsid w:val="00DE3C71"/>
    <w:rsid w:val="00DE3DA0"/>
    <w:rsid w:val="00DE41A4"/>
    <w:rsid w:val="00DE422E"/>
    <w:rsid w:val="00DE4840"/>
    <w:rsid w:val="00DE4959"/>
    <w:rsid w:val="00DE49A6"/>
    <w:rsid w:val="00DE49CD"/>
    <w:rsid w:val="00DE4A65"/>
    <w:rsid w:val="00DE4D55"/>
    <w:rsid w:val="00DE51F1"/>
    <w:rsid w:val="00DE5248"/>
    <w:rsid w:val="00DE5610"/>
    <w:rsid w:val="00DE5792"/>
    <w:rsid w:val="00DE57F8"/>
    <w:rsid w:val="00DE5A6B"/>
    <w:rsid w:val="00DE5A94"/>
    <w:rsid w:val="00DE5B20"/>
    <w:rsid w:val="00DE5F44"/>
    <w:rsid w:val="00DE6209"/>
    <w:rsid w:val="00DE6524"/>
    <w:rsid w:val="00DE6AED"/>
    <w:rsid w:val="00DE6C60"/>
    <w:rsid w:val="00DE6E37"/>
    <w:rsid w:val="00DE6F16"/>
    <w:rsid w:val="00DE71F1"/>
    <w:rsid w:val="00DE73D7"/>
    <w:rsid w:val="00DE7543"/>
    <w:rsid w:val="00DE7549"/>
    <w:rsid w:val="00DE75F9"/>
    <w:rsid w:val="00DE791F"/>
    <w:rsid w:val="00DE7E4D"/>
    <w:rsid w:val="00DE7F73"/>
    <w:rsid w:val="00DE88A3"/>
    <w:rsid w:val="00DF0664"/>
    <w:rsid w:val="00DF0AEE"/>
    <w:rsid w:val="00DF0C17"/>
    <w:rsid w:val="00DF1006"/>
    <w:rsid w:val="00DF1098"/>
    <w:rsid w:val="00DF11D8"/>
    <w:rsid w:val="00DF1215"/>
    <w:rsid w:val="00DF1C04"/>
    <w:rsid w:val="00DF1EF4"/>
    <w:rsid w:val="00DF20AC"/>
    <w:rsid w:val="00DF2276"/>
    <w:rsid w:val="00DF2571"/>
    <w:rsid w:val="00DF267A"/>
    <w:rsid w:val="00DF2718"/>
    <w:rsid w:val="00DF2946"/>
    <w:rsid w:val="00DF2C1F"/>
    <w:rsid w:val="00DF2C90"/>
    <w:rsid w:val="00DF2C97"/>
    <w:rsid w:val="00DF2D11"/>
    <w:rsid w:val="00DF30EF"/>
    <w:rsid w:val="00DF3265"/>
    <w:rsid w:val="00DF3501"/>
    <w:rsid w:val="00DF3809"/>
    <w:rsid w:val="00DF40F2"/>
    <w:rsid w:val="00DF410F"/>
    <w:rsid w:val="00DF4C99"/>
    <w:rsid w:val="00DF4F91"/>
    <w:rsid w:val="00DF5068"/>
    <w:rsid w:val="00DF508E"/>
    <w:rsid w:val="00DF527E"/>
    <w:rsid w:val="00DF5347"/>
    <w:rsid w:val="00DF54AF"/>
    <w:rsid w:val="00DF54E9"/>
    <w:rsid w:val="00DF5579"/>
    <w:rsid w:val="00DF5634"/>
    <w:rsid w:val="00DF58AF"/>
    <w:rsid w:val="00DF5977"/>
    <w:rsid w:val="00DF5A1D"/>
    <w:rsid w:val="00DF5BE0"/>
    <w:rsid w:val="00DF5C0C"/>
    <w:rsid w:val="00DF5E62"/>
    <w:rsid w:val="00DF6185"/>
    <w:rsid w:val="00DF6441"/>
    <w:rsid w:val="00DF6545"/>
    <w:rsid w:val="00DF65FF"/>
    <w:rsid w:val="00DF67E8"/>
    <w:rsid w:val="00DF685B"/>
    <w:rsid w:val="00DF695D"/>
    <w:rsid w:val="00DF697D"/>
    <w:rsid w:val="00DF6AFC"/>
    <w:rsid w:val="00DF6B29"/>
    <w:rsid w:val="00DF6D25"/>
    <w:rsid w:val="00DF6FB2"/>
    <w:rsid w:val="00DF70F4"/>
    <w:rsid w:val="00DF714A"/>
    <w:rsid w:val="00DF7639"/>
    <w:rsid w:val="00DF7663"/>
    <w:rsid w:val="00DF76CD"/>
    <w:rsid w:val="00DF7782"/>
    <w:rsid w:val="00DF79F3"/>
    <w:rsid w:val="00E00325"/>
    <w:rsid w:val="00E00684"/>
    <w:rsid w:val="00E008F7"/>
    <w:rsid w:val="00E00B4A"/>
    <w:rsid w:val="00E00C4E"/>
    <w:rsid w:val="00E01357"/>
    <w:rsid w:val="00E0141D"/>
    <w:rsid w:val="00E01460"/>
    <w:rsid w:val="00E01B08"/>
    <w:rsid w:val="00E01BAA"/>
    <w:rsid w:val="00E01DC7"/>
    <w:rsid w:val="00E02012"/>
    <w:rsid w:val="00E023B8"/>
    <w:rsid w:val="00E026DC"/>
    <w:rsid w:val="00E02755"/>
    <w:rsid w:val="00E02812"/>
    <w:rsid w:val="00E02927"/>
    <w:rsid w:val="00E029AC"/>
    <w:rsid w:val="00E02A12"/>
    <w:rsid w:val="00E032D9"/>
    <w:rsid w:val="00E034B9"/>
    <w:rsid w:val="00E0361B"/>
    <w:rsid w:val="00E03656"/>
    <w:rsid w:val="00E038A5"/>
    <w:rsid w:val="00E03A6E"/>
    <w:rsid w:val="00E03AE9"/>
    <w:rsid w:val="00E03B17"/>
    <w:rsid w:val="00E041FA"/>
    <w:rsid w:val="00E04297"/>
    <w:rsid w:val="00E04381"/>
    <w:rsid w:val="00E044BB"/>
    <w:rsid w:val="00E04529"/>
    <w:rsid w:val="00E04BBA"/>
    <w:rsid w:val="00E04D8C"/>
    <w:rsid w:val="00E04EED"/>
    <w:rsid w:val="00E04F30"/>
    <w:rsid w:val="00E054E8"/>
    <w:rsid w:val="00E055A2"/>
    <w:rsid w:val="00E055BB"/>
    <w:rsid w:val="00E05EFA"/>
    <w:rsid w:val="00E05F1F"/>
    <w:rsid w:val="00E05F53"/>
    <w:rsid w:val="00E05F85"/>
    <w:rsid w:val="00E06201"/>
    <w:rsid w:val="00E06666"/>
    <w:rsid w:val="00E06696"/>
    <w:rsid w:val="00E06981"/>
    <w:rsid w:val="00E06A61"/>
    <w:rsid w:val="00E06C0C"/>
    <w:rsid w:val="00E06FFF"/>
    <w:rsid w:val="00E07804"/>
    <w:rsid w:val="00E07B94"/>
    <w:rsid w:val="00E07D0B"/>
    <w:rsid w:val="00E07DC2"/>
    <w:rsid w:val="00E07EC3"/>
    <w:rsid w:val="00E0FFA1"/>
    <w:rsid w:val="00E103C8"/>
    <w:rsid w:val="00E10414"/>
    <w:rsid w:val="00E10520"/>
    <w:rsid w:val="00E10664"/>
    <w:rsid w:val="00E10704"/>
    <w:rsid w:val="00E10EA9"/>
    <w:rsid w:val="00E10ED7"/>
    <w:rsid w:val="00E10FBE"/>
    <w:rsid w:val="00E10FF7"/>
    <w:rsid w:val="00E11178"/>
    <w:rsid w:val="00E111A1"/>
    <w:rsid w:val="00E11282"/>
    <w:rsid w:val="00E11438"/>
    <w:rsid w:val="00E116C7"/>
    <w:rsid w:val="00E1185C"/>
    <w:rsid w:val="00E1199E"/>
    <w:rsid w:val="00E11AD0"/>
    <w:rsid w:val="00E11C8D"/>
    <w:rsid w:val="00E12162"/>
    <w:rsid w:val="00E12186"/>
    <w:rsid w:val="00E124AD"/>
    <w:rsid w:val="00E125DD"/>
    <w:rsid w:val="00E129F8"/>
    <w:rsid w:val="00E12C99"/>
    <w:rsid w:val="00E12EA2"/>
    <w:rsid w:val="00E13245"/>
    <w:rsid w:val="00E1326F"/>
    <w:rsid w:val="00E13521"/>
    <w:rsid w:val="00E1371C"/>
    <w:rsid w:val="00E13C40"/>
    <w:rsid w:val="00E13C74"/>
    <w:rsid w:val="00E13E05"/>
    <w:rsid w:val="00E1420D"/>
    <w:rsid w:val="00E14462"/>
    <w:rsid w:val="00E1456D"/>
    <w:rsid w:val="00E1495D"/>
    <w:rsid w:val="00E14FB7"/>
    <w:rsid w:val="00E15038"/>
    <w:rsid w:val="00E151C3"/>
    <w:rsid w:val="00E155AE"/>
    <w:rsid w:val="00E157B1"/>
    <w:rsid w:val="00E1580C"/>
    <w:rsid w:val="00E16026"/>
    <w:rsid w:val="00E160FD"/>
    <w:rsid w:val="00E16210"/>
    <w:rsid w:val="00E162A2"/>
    <w:rsid w:val="00E162DA"/>
    <w:rsid w:val="00E162ED"/>
    <w:rsid w:val="00E163EE"/>
    <w:rsid w:val="00E16A92"/>
    <w:rsid w:val="00E16FBA"/>
    <w:rsid w:val="00E16FF7"/>
    <w:rsid w:val="00E17138"/>
    <w:rsid w:val="00E17572"/>
    <w:rsid w:val="00E17A78"/>
    <w:rsid w:val="00E17CDA"/>
    <w:rsid w:val="00E1C404"/>
    <w:rsid w:val="00E20131"/>
    <w:rsid w:val="00E207A3"/>
    <w:rsid w:val="00E20820"/>
    <w:rsid w:val="00E20914"/>
    <w:rsid w:val="00E20AEF"/>
    <w:rsid w:val="00E20CC9"/>
    <w:rsid w:val="00E20CCA"/>
    <w:rsid w:val="00E20DA2"/>
    <w:rsid w:val="00E20DD4"/>
    <w:rsid w:val="00E210A3"/>
    <w:rsid w:val="00E21262"/>
    <w:rsid w:val="00E21553"/>
    <w:rsid w:val="00E2166E"/>
    <w:rsid w:val="00E21716"/>
    <w:rsid w:val="00E21994"/>
    <w:rsid w:val="00E21D18"/>
    <w:rsid w:val="00E22000"/>
    <w:rsid w:val="00E22202"/>
    <w:rsid w:val="00E22668"/>
    <w:rsid w:val="00E22AAF"/>
    <w:rsid w:val="00E22ADC"/>
    <w:rsid w:val="00E23016"/>
    <w:rsid w:val="00E23170"/>
    <w:rsid w:val="00E2348F"/>
    <w:rsid w:val="00E23540"/>
    <w:rsid w:val="00E237E4"/>
    <w:rsid w:val="00E23B69"/>
    <w:rsid w:val="00E23CC7"/>
    <w:rsid w:val="00E240E0"/>
    <w:rsid w:val="00E2432B"/>
    <w:rsid w:val="00E2436A"/>
    <w:rsid w:val="00E24B35"/>
    <w:rsid w:val="00E24C99"/>
    <w:rsid w:val="00E24CFD"/>
    <w:rsid w:val="00E24D0E"/>
    <w:rsid w:val="00E24FB8"/>
    <w:rsid w:val="00E25046"/>
    <w:rsid w:val="00E25215"/>
    <w:rsid w:val="00E25302"/>
    <w:rsid w:val="00E253B4"/>
    <w:rsid w:val="00E255B4"/>
    <w:rsid w:val="00E2569B"/>
    <w:rsid w:val="00E25A61"/>
    <w:rsid w:val="00E25AF6"/>
    <w:rsid w:val="00E25DCD"/>
    <w:rsid w:val="00E25FE8"/>
    <w:rsid w:val="00E261C1"/>
    <w:rsid w:val="00E26336"/>
    <w:rsid w:val="00E26398"/>
    <w:rsid w:val="00E263DC"/>
    <w:rsid w:val="00E26602"/>
    <w:rsid w:val="00E26756"/>
    <w:rsid w:val="00E26872"/>
    <w:rsid w:val="00E268F1"/>
    <w:rsid w:val="00E26A75"/>
    <w:rsid w:val="00E26DE8"/>
    <w:rsid w:val="00E26DFA"/>
    <w:rsid w:val="00E26FAD"/>
    <w:rsid w:val="00E2710B"/>
    <w:rsid w:val="00E27245"/>
    <w:rsid w:val="00E272FC"/>
    <w:rsid w:val="00E275BC"/>
    <w:rsid w:val="00E275F3"/>
    <w:rsid w:val="00E27746"/>
    <w:rsid w:val="00E2787F"/>
    <w:rsid w:val="00E27CBE"/>
    <w:rsid w:val="00E27EFA"/>
    <w:rsid w:val="00E27F78"/>
    <w:rsid w:val="00E3004D"/>
    <w:rsid w:val="00E307F1"/>
    <w:rsid w:val="00E308CF"/>
    <w:rsid w:val="00E3094B"/>
    <w:rsid w:val="00E30A32"/>
    <w:rsid w:val="00E30CC5"/>
    <w:rsid w:val="00E31183"/>
    <w:rsid w:val="00E31340"/>
    <w:rsid w:val="00E315F6"/>
    <w:rsid w:val="00E31606"/>
    <w:rsid w:val="00E316A0"/>
    <w:rsid w:val="00E31820"/>
    <w:rsid w:val="00E31CDC"/>
    <w:rsid w:val="00E31EA5"/>
    <w:rsid w:val="00E31FA4"/>
    <w:rsid w:val="00E32138"/>
    <w:rsid w:val="00E32369"/>
    <w:rsid w:val="00E32BA4"/>
    <w:rsid w:val="00E32EFF"/>
    <w:rsid w:val="00E33503"/>
    <w:rsid w:val="00E336BE"/>
    <w:rsid w:val="00E3387F"/>
    <w:rsid w:val="00E3392A"/>
    <w:rsid w:val="00E33948"/>
    <w:rsid w:val="00E33D68"/>
    <w:rsid w:val="00E3452A"/>
    <w:rsid w:val="00E345D1"/>
    <w:rsid w:val="00E348A9"/>
    <w:rsid w:val="00E34BD9"/>
    <w:rsid w:val="00E34D59"/>
    <w:rsid w:val="00E34E1E"/>
    <w:rsid w:val="00E34EEC"/>
    <w:rsid w:val="00E3505F"/>
    <w:rsid w:val="00E351AF"/>
    <w:rsid w:val="00E355A1"/>
    <w:rsid w:val="00E35746"/>
    <w:rsid w:val="00E35807"/>
    <w:rsid w:val="00E358D1"/>
    <w:rsid w:val="00E3664A"/>
    <w:rsid w:val="00E3666F"/>
    <w:rsid w:val="00E36955"/>
    <w:rsid w:val="00E369FD"/>
    <w:rsid w:val="00E36B92"/>
    <w:rsid w:val="00E36BD7"/>
    <w:rsid w:val="00E36CBF"/>
    <w:rsid w:val="00E36D2C"/>
    <w:rsid w:val="00E36F2D"/>
    <w:rsid w:val="00E37857"/>
    <w:rsid w:val="00E3794B"/>
    <w:rsid w:val="00E37976"/>
    <w:rsid w:val="00E379E8"/>
    <w:rsid w:val="00E37AB6"/>
    <w:rsid w:val="00E37B0C"/>
    <w:rsid w:val="00E37EF4"/>
    <w:rsid w:val="00E390C4"/>
    <w:rsid w:val="00E401CC"/>
    <w:rsid w:val="00E403F5"/>
    <w:rsid w:val="00E4052A"/>
    <w:rsid w:val="00E40583"/>
    <w:rsid w:val="00E406A8"/>
    <w:rsid w:val="00E40981"/>
    <w:rsid w:val="00E40C05"/>
    <w:rsid w:val="00E40C7C"/>
    <w:rsid w:val="00E40D17"/>
    <w:rsid w:val="00E40D65"/>
    <w:rsid w:val="00E40F41"/>
    <w:rsid w:val="00E412E3"/>
    <w:rsid w:val="00E4130E"/>
    <w:rsid w:val="00E41537"/>
    <w:rsid w:val="00E415D4"/>
    <w:rsid w:val="00E416DF"/>
    <w:rsid w:val="00E41A1B"/>
    <w:rsid w:val="00E41B06"/>
    <w:rsid w:val="00E41E62"/>
    <w:rsid w:val="00E41FF9"/>
    <w:rsid w:val="00E420D3"/>
    <w:rsid w:val="00E421C9"/>
    <w:rsid w:val="00E4236B"/>
    <w:rsid w:val="00E426F5"/>
    <w:rsid w:val="00E4291C"/>
    <w:rsid w:val="00E42936"/>
    <w:rsid w:val="00E4297D"/>
    <w:rsid w:val="00E42E30"/>
    <w:rsid w:val="00E42F61"/>
    <w:rsid w:val="00E430A1"/>
    <w:rsid w:val="00E4311C"/>
    <w:rsid w:val="00E4340E"/>
    <w:rsid w:val="00E43559"/>
    <w:rsid w:val="00E4355E"/>
    <w:rsid w:val="00E43608"/>
    <w:rsid w:val="00E43902"/>
    <w:rsid w:val="00E43960"/>
    <w:rsid w:val="00E43E35"/>
    <w:rsid w:val="00E43E90"/>
    <w:rsid w:val="00E43F3D"/>
    <w:rsid w:val="00E4434E"/>
    <w:rsid w:val="00E444E1"/>
    <w:rsid w:val="00E44A0B"/>
    <w:rsid w:val="00E44AE8"/>
    <w:rsid w:val="00E44DB4"/>
    <w:rsid w:val="00E44F20"/>
    <w:rsid w:val="00E45369"/>
    <w:rsid w:val="00E45975"/>
    <w:rsid w:val="00E45CD1"/>
    <w:rsid w:val="00E45CE6"/>
    <w:rsid w:val="00E45E5E"/>
    <w:rsid w:val="00E45FF0"/>
    <w:rsid w:val="00E4614A"/>
    <w:rsid w:val="00E464E9"/>
    <w:rsid w:val="00E4654C"/>
    <w:rsid w:val="00E46650"/>
    <w:rsid w:val="00E46B8B"/>
    <w:rsid w:val="00E46CD8"/>
    <w:rsid w:val="00E46FC3"/>
    <w:rsid w:val="00E471D9"/>
    <w:rsid w:val="00E471EA"/>
    <w:rsid w:val="00E4725B"/>
    <w:rsid w:val="00E47460"/>
    <w:rsid w:val="00E479AC"/>
    <w:rsid w:val="00E47AAD"/>
    <w:rsid w:val="00E47B16"/>
    <w:rsid w:val="00E47D86"/>
    <w:rsid w:val="00E47E0F"/>
    <w:rsid w:val="00E47E49"/>
    <w:rsid w:val="00E500BF"/>
    <w:rsid w:val="00E5012E"/>
    <w:rsid w:val="00E5017A"/>
    <w:rsid w:val="00E5028A"/>
    <w:rsid w:val="00E503A8"/>
    <w:rsid w:val="00E50665"/>
    <w:rsid w:val="00E50744"/>
    <w:rsid w:val="00E50784"/>
    <w:rsid w:val="00E507AE"/>
    <w:rsid w:val="00E508A5"/>
    <w:rsid w:val="00E50939"/>
    <w:rsid w:val="00E50AE2"/>
    <w:rsid w:val="00E50AF6"/>
    <w:rsid w:val="00E50D6A"/>
    <w:rsid w:val="00E50E10"/>
    <w:rsid w:val="00E510CF"/>
    <w:rsid w:val="00E51320"/>
    <w:rsid w:val="00E51FF4"/>
    <w:rsid w:val="00E520F9"/>
    <w:rsid w:val="00E522B2"/>
    <w:rsid w:val="00E523B8"/>
    <w:rsid w:val="00E52484"/>
    <w:rsid w:val="00E525BC"/>
    <w:rsid w:val="00E529CA"/>
    <w:rsid w:val="00E53109"/>
    <w:rsid w:val="00E5326B"/>
    <w:rsid w:val="00E533A0"/>
    <w:rsid w:val="00E533B9"/>
    <w:rsid w:val="00E5388B"/>
    <w:rsid w:val="00E53D11"/>
    <w:rsid w:val="00E53DE3"/>
    <w:rsid w:val="00E53EB6"/>
    <w:rsid w:val="00E5402F"/>
    <w:rsid w:val="00E54311"/>
    <w:rsid w:val="00E54366"/>
    <w:rsid w:val="00E54495"/>
    <w:rsid w:val="00E54666"/>
    <w:rsid w:val="00E54D93"/>
    <w:rsid w:val="00E54E97"/>
    <w:rsid w:val="00E5508D"/>
    <w:rsid w:val="00E551F0"/>
    <w:rsid w:val="00E5544E"/>
    <w:rsid w:val="00E55852"/>
    <w:rsid w:val="00E55A3B"/>
    <w:rsid w:val="00E55A68"/>
    <w:rsid w:val="00E55FEB"/>
    <w:rsid w:val="00E56050"/>
    <w:rsid w:val="00E5611C"/>
    <w:rsid w:val="00E5614A"/>
    <w:rsid w:val="00E5624D"/>
    <w:rsid w:val="00E5651D"/>
    <w:rsid w:val="00E56556"/>
    <w:rsid w:val="00E56577"/>
    <w:rsid w:val="00E5666C"/>
    <w:rsid w:val="00E56719"/>
    <w:rsid w:val="00E56872"/>
    <w:rsid w:val="00E569B8"/>
    <w:rsid w:val="00E56A2E"/>
    <w:rsid w:val="00E56AE4"/>
    <w:rsid w:val="00E56ED1"/>
    <w:rsid w:val="00E57004"/>
    <w:rsid w:val="00E575C8"/>
    <w:rsid w:val="00E57661"/>
    <w:rsid w:val="00E57C37"/>
    <w:rsid w:val="00E57D6F"/>
    <w:rsid w:val="00E57EBB"/>
    <w:rsid w:val="00E60180"/>
    <w:rsid w:val="00E6040B"/>
    <w:rsid w:val="00E60A24"/>
    <w:rsid w:val="00E60E42"/>
    <w:rsid w:val="00E60E73"/>
    <w:rsid w:val="00E60F35"/>
    <w:rsid w:val="00E61145"/>
    <w:rsid w:val="00E6135A"/>
    <w:rsid w:val="00E61386"/>
    <w:rsid w:val="00E613F9"/>
    <w:rsid w:val="00E617DE"/>
    <w:rsid w:val="00E617EC"/>
    <w:rsid w:val="00E61B12"/>
    <w:rsid w:val="00E61D52"/>
    <w:rsid w:val="00E621D4"/>
    <w:rsid w:val="00E62408"/>
    <w:rsid w:val="00E62B35"/>
    <w:rsid w:val="00E62D02"/>
    <w:rsid w:val="00E62D81"/>
    <w:rsid w:val="00E62FFC"/>
    <w:rsid w:val="00E631CA"/>
    <w:rsid w:val="00E63416"/>
    <w:rsid w:val="00E636E7"/>
    <w:rsid w:val="00E63972"/>
    <w:rsid w:val="00E63A0B"/>
    <w:rsid w:val="00E63ADB"/>
    <w:rsid w:val="00E63B57"/>
    <w:rsid w:val="00E63FA9"/>
    <w:rsid w:val="00E6416C"/>
    <w:rsid w:val="00E6429D"/>
    <w:rsid w:val="00E6448F"/>
    <w:rsid w:val="00E6454D"/>
    <w:rsid w:val="00E64583"/>
    <w:rsid w:val="00E6478C"/>
    <w:rsid w:val="00E64986"/>
    <w:rsid w:val="00E64AF3"/>
    <w:rsid w:val="00E64C0F"/>
    <w:rsid w:val="00E65268"/>
    <w:rsid w:val="00E65393"/>
    <w:rsid w:val="00E6542D"/>
    <w:rsid w:val="00E65632"/>
    <w:rsid w:val="00E65726"/>
    <w:rsid w:val="00E65770"/>
    <w:rsid w:val="00E6599D"/>
    <w:rsid w:val="00E659BF"/>
    <w:rsid w:val="00E65AA8"/>
    <w:rsid w:val="00E65C8A"/>
    <w:rsid w:val="00E65CA2"/>
    <w:rsid w:val="00E65E94"/>
    <w:rsid w:val="00E65FE9"/>
    <w:rsid w:val="00E66009"/>
    <w:rsid w:val="00E6602B"/>
    <w:rsid w:val="00E66271"/>
    <w:rsid w:val="00E665DC"/>
    <w:rsid w:val="00E66A37"/>
    <w:rsid w:val="00E66EDA"/>
    <w:rsid w:val="00E66F5E"/>
    <w:rsid w:val="00E66FF9"/>
    <w:rsid w:val="00E67547"/>
    <w:rsid w:val="00E67F49"/>
    <w:rsid w:val="00E700AD"/>
    <w:rsid w:val="00E701A8"/>
    <w:rsid w:val="00E702D0"/>
    <w:rsid w:val="00E705D3"/>
    <w:rsid w:val="00E706C4"/>
    <w:rsid w:val="00E707C5"/>
    <w:rsid w:val="00E70885"/>
    <w:rsid w:val="00E709AA"/>
    <w:rsid w:val="00E70CEA"/>
    <w:rsid w:val="00E70DB5"/>
    <w:rsid w:val="00E70DEA"/>
    <w:rsid w:val="00E70EF1"/>
    <w:rsid w:val="00E70F7B"/>
    <w:rsid w:val="00E70FCD"/>
    <w:rsid w:val="00E71219"/>
    <w:rsid w:val="00E7149E"/>
    <w:rsid w:val="00E71622"/>
    <w:rsid w:val="00E7181B"/>
    <w:rsid w:val="00E71D29"/>
    <w:rsid w:val="00E71FB8"/>
    <w:rsid w:val="00E720C9"/>
    <w:rsid w:val="00E72528"/>
    <w:rsid w:val="00E728EC"/>
    <w:rsid w:val="00E72E29"/>
    <w:rsid w:val="00E730B8"/>
    <w:rsid w:val="00E732A6"/>
    <w:rsid w:val="00E73746"/>
    <w:rsid w:val="00E73758"/>
    <w:rsid w:val="00E73993"/>
    <w:rsid w:val="00E73A85"/>
    <w:rsid w:val="00E73ADC"/>
    <w:rsid w:val="00E73E28"/>
    <w:rsid w:val="00E73FE4"/>
    <w:rsid w:val="00E74090"/>
    <w:rsid w:val="00E744F4"/>
    <w:rsid w:val="00E74708"/>
    <w:rsid w:val="00E74A5A"/>
    <w:rsid w:val="00E74E8E"/>
    <w:rsid w:val="00E74EA3"/>
    <w:rsid w:val="00E7509C"/>
    <w:rsid w:val="00E751B8"/>
    <w:rsid w:val="00E75811"/>
    <w:rsid w:val="00E75A9B"/>
    <w:rsid w:val="00E75C14"/>
    <w:rsid w:val="00E75D8D"/>
    <w:rsid w:val="00E760A5"/>
    <w:rsid w:val="00E7670E"/>
    <w:rsid w:val="00E767D3"/>
    <w:rsid w:val="00E76939"/>
    <w:rsid w:val="00E76C28"/>
    <w:rsid w:val="00E76DF4"/>
    <w:rsid w:val="00E7758E"/>
    <w:rsid w:val="00E77624"/>
    <w:rsid w:val="00E779F2"/>
    <w:rsid w:val="00E77D81"/>
    <w:rsid w:val="00E80098"/>
    <w:rsid w:val="00E8038A"/>
    <w:rsid w:val="00E80408"/>
    <w:rsid w:val="00E80498"/>
    <w:rsid w:val="00E8076E"/>
    <w:rsid w:val="00E80795"/>
    <w:rsid w:val="00E80ED9"/>
    <w:rsid w:val="00E80F9A"/>
    <w:rsid w:val="00E81068"/>
    <w:rsid w:val="00E816D1"/>
    <w:rsid w:val="00E819B9"/>
    <w:rsid w:val="00E81D81"/>
    <w:rsid w:val="00E81F8C"/>
    <w:rsid w:val="00E82407"/>
    <w:rsid w:val="00E824A6"/>
    <w:rsid w:val="00E82855"/>
    <w:rsid w:val="00E82C94"/>
    <w:rsid w:val="00E832A2"/>
    <w:rsid w:val="00E832E6"/>
    <w:rsid w:val="00E8354C"/>
    <w:rsid w:val="00E83676"/>
    <w:rsid w:val="00E8370C"/>
    <w:rsid w:val="00E838A2"/>
    <w:rsid w:val="00E83A0A"/>
    <w:rsid w:val="00E83A77"/>
    <w:rsid w:val="00E83CE3"/>
    <w:rsid w:val="00E84029"/>
    <w:rsid w:val="00E84472"/>
    <w:rsid w:val="00E84533"/>
    <w:rsid w:val="00E84718"/>
    <w:rsid w:val="00E84AA0"/>
    <w:rsid w:val="00E84C0C"/>
    <w:rsid w:val="00E84C29"/>
    <w:rsid w:val="00E84CAC"/>
    <w:rsid w:val="00E850AD"/>
    <w:rsid w:val="00E851A8"/>
    <w:rsid w:val="00E85213"/>
    <w:rsid w:val="00E8536A"/>
    <w:rsid w:val="00E85618"/>
    <w:rsid w:val="00E85853"/>
    <w:rsid w:val="00E8589D"/>
    <w:rsid w:val="00E85AC7"/>
    <w:rsid w:val="00E85DF0"/>
    <w:rsid w:val="00E85F0E"/>
    <w:rsid w:val="00E85FD7"/>
    <w:rsid w:val="00E860CF"/>
    <w:rsid w:val="00E8622B"/>
    <w:rsid w:val="00E863CB"/>
    <w:rsid w:val="00E86833"/>
    <w:rsid w:val="00E86B1A"/>
    <w:rsid w:val="00E86D21"/>
    <w:rsid w:val="00E86D90"/>
    <w:rsid w:val="00E87414"/>
    <w:rsid w:val="00E875B6"/>
    <w:rsid w:val="00E876DA"/>
    <w:rsid w:val="00E878F3"/>
    <w:rsid w:val="00E878F9"/>
    <w:rsid w:val="00E87C52"/>
    <w:rsid w:val="00E87E5C"/>
    <w:rsid w:val="00E883BF"/>
    <w:rsid w:val="00E890CE"/>
    <w:rsid w:val="00E901BB"/>
    <w:rsid w:val="00E9045F"/>
    <w:rsid w:val="00E909DF"/>
    <w:rsid w:val="00E90A90"/>
    <w:rsid w:val="00E90C43"/>
    <w:rsid w:val="00E90CFE"/>
    <w:rsid w:val="00E90D4A"/>
    <w:rsid w:val="00E9100E"/>
    <w:rsid w:val="00E910A2"/>
    <w:rsid w:val="00E910E6"/>
    <w:rsid w:val="00E91224"/>
    <w:rsid w:val="00E913FA"/>
    <w:rsid w:val="00E915D3"/>
    <w:rsid w:val="00E91657"/>
    <w:rsid w:val="00E9193B"/>
    <w:rsid w:val="00E91983"/>
    <w:rsid w:val="00E91B96"/>
    <w:rsid w:val="00E91C5C"/>
    <w:rsid w:val="00E91D71"/>
    <w:rsid w:val="00E91FEC"/>
    <w:rsid w:val="00E921F1"/>
    <w:rsid w:val="00E923D4"/>
    <w:rsid w:val="00E925AB"/>
    <w:rsid w:val="00E92746"/>
    <w:rsid w:val="00E92B00"/>
    <w:rsid w:val="00E92CFF"/>
    <w:rsid w:val="00E92FA6"/>
    <w:rsid w:val="00E9344C"/>
    <w:rsid w:val="00E936B9"/>
    <w:rsid w:val="00E938F8"/>
    <w:rsid w:val="00E939E7"/>
    <w:rsid w:val="00E93CBC"/>
    <w:rsid w:val="00E93D87"/>
    <w:rsid w:val="00E93DFD"/>
    <w:rsid w:val="00E93E27"/>
    <w:rsid w:val="00E9446E"/>
    <w:rsid w:val="00E944CA"/>
    <w:rsid w:val="00E94947"/>
    <w:rsid w:val="00E94A60"/>
    <w:rsid w:val="00E94C4F"/>
    <w:rsid w:val="00E94E00"/>
    <w:rsid w:val="00E94F85"/>
    <w:rsid w:val="00E9550F"/>
    <w:rsid w:val="00E95627"/>
    <w:rsid w:val="00E9564D"/>
    <w:rsid w:val="00E95AF9"/>
    <w:rsid w:val="00E95D5A"/>
    <w:rsid w:val="00E95DC2"/>
    <w:rsid w:val="00E9624F"/>
    <w:rsid w:val="00E96441"/>
    <w:rsid w:val="00E96605"/>
    <w:rsid w:val="00E96874"/>
    <w:rsid w:val="00E969A6"/>
    <w:rsid w:val="00E96BD3"/>
    <w:rsid w:val="00E96F2A"/>
    <w:rsid w:val="00E976E1"/>
    <w:rsid w:val="00E978B6"/>
    <w:rsid w:val="00E97D72"/>
    <w:rsid w:val="00E97ED2"/>
    <w:rsid w:val="00E97F57"/>
    <w:rsid w:val="00EA01CB"/>
    <w:rsid w:val="00EA03DA"/>
    <w:rsid w:val="00EA0434"/>
    <w:rsid w:val="00EA05D0"/>
    <w:rsid w:val="00EA093B"/>
    <w:rsid w:val="00EA0C76"/>
    <w:rsid w:val="00EA0CFD"/>
    <w:rsid w:val="00EA1489"/>
    <w:rsid w:val="00EA14CA"/>
    <w:rsid w:val="00EA14DE"/>
    <w:rsid w:val="00EA1746"/>
    <w:rsid w:val="00EA1879"/>
    <w:rsid w:val="00EA19C1"/>
    <w:rsid w:val="00EA1C83"/>
    <w:rsid w:val="00EA21F7"/>
    <w:rsid w:val="00EA22CA"/>
    <w:rsid w:val="00EA2304"/>
    <w:rsid w:val="00EA24A0"/>
    <w:rsid w:val="00EA2693"/>
    <w:rsid w:val="00EA274F"/>
    <w:rsid w:val="00EA2F31"/>
    <w:rsid w:val="00EA3066"/>
    <w:rsid w:val="00EA3216"/>
    <w:rsid w:val="00EA36DD"/>
    <w:rsid w:val="00EA3DAE"/>
    <w:rsid w:val="00EA3E01"/>
    <w:rsid w:val="00EA3FB7"/>
    <w:rsid w:val="00EA42F7"/>
    <w:rsid w:val="00EA4DDD"/>
    <w:rsid w:val="00EA4E7B"/>
    <w:rsid w:val="00EA5067"/>
    <w:rsid w:val="00EA509F"/>
    <w:rsid w:val="00EA553B"/>
    <w:rsid w:val="00EA5689"/>
    <w:rsid w:val="00EA5930"/>
    <w:rsid w:val="00EA5A7B"/>
    <w:rsid w:val="00EA5DDD"/>
    <w:rsid w:val="00EA5EE4"/>
    <w:rsid w:val="00EA62B5"/>
    <w:rsid w:val="00EA62C9"/>
    <w:rsid w:val="00EA63C2"/>
    <w:rsid w:val="00EA6453"/>
    <w:rsid w:val="00EA65A0"/>
    <w:rsid w:val="00EA66CA"/>
    <w:rsid w:val="00EA6765"/>
    <w:rsid w:val="00EA6891"/>
    <w:rsid w:val="00EA6BB3"/>
    <w:rsid w:val="00EA6C23"/>
    <w:rsid w:val="00EA6C78"/>
    <w:rsid w:val="00EA6D81"/>
    <w:rsid w:val="00EA6F5C"/>
    <w:rsid w:val="00EA704B"/>
    <w:rsid w:val="00EA735F"/>
    <w:rsid w:val="00EA73B2"/>
    <w:rsid w:val="00EA766E"/>
    <w:rsid w:val="00EA767C"/>
    <w:rsid w:val="00EA7C53"/>
    <w:rsid w:val="00EA7E06"/>
    <w:rsid w:val="00EA7E4C"/>
    <w:rsid w:val="00EA7EBF"/>
    <w:rsid w:val="00EB00A1"/>
    <w:rsid w:val="00EB0129"/>
    <w:rsid w:val="00EB0189"/>
    <w:rsid w:val="00EB0383"/>
    <w:rsid w:val="00EB03BA"/>
    <w:rsid w:val="00EB0939"/>
    <w:rsid w:val="00EB0AA0"/>
    <w:rsid w:val="00EB0BDC"/>
    <w:rsid w:val="00EB1154"/>
    <w:rsid w:val="00EB115E"/>
    <w:rsid w:val="00EB120C"/>
    <w:rsid w:val="00EB1285"/>
    <w:rsid w:val="00EB14F0"/>
    <w:rsid w:val="00EB17A2"/>
    <w:rsid w:val="00EB17A8"/>
    <w:rsid w:val="00EB17C9"/>
    <w:rsid w:val="00EB186F"/>
    <w:rsid w:val="00EB216B"/>
    <w:rsid w:val="00EB246D"/>
    <w:rsid w:val="00EB2743"/>
    <w:rsid w:val="00EB2975"/>
    <w:rsid w:val="00EB2A75"/>
    <w:rsid w:val="00EB2BC4"/>
    <w:rsid w:val="00EB3041"/>
    <w:rsid w:val="00EB3751"/>
    <w:rsid w:val="00EB380B"/>
    <w:rsid w:val="00EB38B9"/>
    <w:rsid w:val="00EB3D13"/>
    <w:rsid w:val="00EB3ED3"/>
    <w:rsid w:val="00EB3F26"/>
    <w:rsid w:val="00EB4171"/>
    <w:rsid w:val="00EB44EC"/>
    <w:rsid w:val="00EB4E29"/>
    <w:rsid w:val="00EB4E6F"/>
    <w:rsid w:val="00EB511A"/>
    <w:rsid w:val="00EB51C8"/>
    <w:rsid w:val="00EB56D0"/>
    <w:rsid w:val="00EB5856"/>
    <w:rsid w:val="00EB5A7E"/>
    <w:rsid w:val="00EB5BC1"/>
    <w:rsid w:val="00EB5ED1"/>
    <w:rsid w:val="00EB5FAE"/>
    <w:rsid w:val="00EB6052"/>
    <w:rsid w:val="00EB6623"/>
    <w:rsid w:val="00EB6770"/>
    <w:rsid w:val="00EB6909"/>
    <w:rsid w:val="00EB6AB8"/>
    <w:rsid w:val="00EB6F31"/>
    <w:rsid w:val="00EB6F3A"/>
    <w:rsid w:val="00EB6FEE"/>
    <w:rsid w:val="00EB7067"/>
    <w:rsid w:val="00EB7569"/>
    <w:rsid w:val="00EB75D4"/>
    <w:rsid w:val="00EB7B37"/>
    <w:rsid w:val="00EB7DEB"/>
    <w:rsid w:val="00EB7F8E"/>
    <w:rsid w:val="00EC010C"/>
    <w:rsid w:val="00EC0703"/>
    <w:rsid w:val="00EC085B"/>
    <w:rsid w:val="00EC0947"/>
    <w:rsid w:val="00EC0973"/>
    <w:rsid w:val="00EC0AE0"/>
    <w:rsid w:val="00EC0B01"/>
    <w:rsid w:val="00EC0BEE"/>
    <w:rsid w:val="00EC0F54"/>
    <w:rsid w:val="00EC1321"/>
    <w:rsid w:val="00EC13A7"/>
    <w:rsid w:val="00EC151A"/>
    <w:rsid w:val="00EC16DC"/>
    <w:rsid w:val="00EC1726"/>
    <w:rsid w:val="00EC1B11"/>
    <w:rsid w:val="00EC1BA2"/>
    <w:rsid w:val="00EC1BDA"/>
    <w:rsid w:val="00EC1D2C"/>
    <w:rsid w:val="00EC1F51"/>
    <w:rsid w:val="00EC22AF"/>
    <w:rsid w:val="00EC2409"/>
    <w:rsid w:val="00EC264F"/>
    <w:rsid w:val="00EC2784"/>
    <w:rsid w:val="00EC2AF9"/>
    <w:rsid w:val="00EC2C3D"/>
    <w:rsid w:val="00EC2DDA"/>
    <w:rsid w:val="00EC31F3"/>
    <w:rsid w:val="00EC3545"/>
    <w:rsid w:val="00EC36DE"/>
    <w:rsid w:val="00EC3A4B"/>
    <w:rsid w:val="00EC3CCD"/>
    <w:rsid w:val="00EC3D3E"/>
    <w:rsid w:val="00EC3E8A"/>
    <w:rsid w:val="00EC3F9D"/>
    <w:rsid w:val="00EC47A9"/>
    <w:rsid w:val="00EC495B"/>
    <w:rsid w:val="00EC4A09"/>
    <w:rsid w:val="00EC4A25"/>
    <w:rsid w:val="00EC4AFA"/>
    <w:rsid w:val="00EC4B4D"/>
    <w:rsid w:val="00EC4DE7"/>
    <w:rsid w:val="00EC4E1A"/>
    <w:rsid w:val="00EC5110"/>
    <w:rsid w:val="00EC5152"/>
    <w:rsid w:val="00EC52EF"/>
    <w:rsid w:val="00EC5364"/>
    <w:rsid w:val="00EC57E4"/>
    <w:rsid w:val="00EC5A1A"/>
    <w:rsid w:val="00EC5ED9"/>
    <w:rsid w:val="00EC6815"/>
    <w:rsid w:val="00EC6D9C"/>
    <w:rsid w:val="00EC7578"/>
    <w:rsid w:val="00EC75D9"/>
    <w:rsid w:val="00EC76CE"/>
    <w:rsid w:val="00EC78CA"/>
    <w:rsid w:val="00EC792F"/>
    <w:rsid w:val="00EC79C0"/>
    <w:rsid w:val="00EC7E18"/>
    <w:rsid w:val="00EC7EED"/>
    <w:rsid w:val="00ED0047"/>
    <w:rsid w:val="00ED009A"/>
    <w:rsid w:val="00ED00AC"/>
    <w:rsid w:val="00ED01B3"/>
    <w:rsid w:val="00ED0482"/>
    <w:rsid w:val="00ED0527"/>
    <w:rsid w:val="00ED0687"/>
    <w:rsid w:val="00ED077C"/>
    <w:rsid w:val="00ED07C2"/>
    <w:rsid w:val="00ED0B96"/>
    <w:rsid w:val="00ED0C19"/>
    <w:rsid w:val="00ED0C1B"/>
    <w:rsid w:val="00ED0E6F"/>
    <w:rsid w:val="00ED10B6"/>
    <w:rsid w:val="00ED10E7"/>
    <w:rsid w:val="00ED145B"/>
    <w:rsid w:val="00ED195D"/>
    <w:rsid w:val="00ED1A1C"/>
    <w:rsid w:val="00ED1B76"/>
    <w:rsid w:val="00ED1BE4"/>
    <w:rsid w:val="00ED1CB8"/>
    <w:rsid w:val="00ED1EE0"/>
    <w:rsid w:val="00ED2362"/>
    <w:rsid w:val="00ED269F"/>
    <w:rsid w:val="00ED2A68"/>
    <w:rsid w:val="00ED2B44"/>
    <w:rsid w:val="00ED2DE4"/>
    <w:rsid w:val="00ED2F6A"/>
    <w:rsid w:val="00ED31E9"/>
    <w:rsid w:val="00ED31F4"/>
    <w:rsid w:val="00ED33C2"/>
    <w:rsid w:val="00ED36FC"/>
    <w:rsid w:val="00ED37F6"/>
    <w:rsid w:val="00ED3916"/>
    <w:rsid w:val="00ED3BF9"/>
    <w:rsid w:val="00ED3C83"/>
    <w:rsid w:val="00ED3E74"/>
    <w:rsid w:val="00ED3FF6"/>
    <w:rsid w:val="00ED40DC"/>
    <w:rsid w:val="00ED4622"/>
    <w:rsid w:val="00ED48FC"/>
    <w:rsid w:val="00ED4AB7"/>
    <w:rsid w:val="00ED5041"/>
    <w:rsid w:val="00ED5182"/>
    <w:rsid w:val="00ED5507"/>
    <w:rsid w:val="00ED5E57"/>
    <w:rsid w:val="00ED621E"/>
    <w:rsid w:val="00ED624B"/>
    <w:rsid w:val="00ED645A"/>
    <w:rsid w:val="00ED65BC"/>
    <w:rsid w:val="00ED67F6"/>
    <w:rsid w:val="00ED68AF"/>
    <w:rsid w:val="00ED690D"/>
    <w:rsid w:val="00ED6E2A"/>
    <w:rsid w:val="00ED73BE"/>
    <w:rsid w:val="00ED73D9"/>
    <w:rsid w:val="00ED74F1"/>
    <w:rsid w:val="00ED7504"/>
    <w:rsid w:val="00ED7574"/>
    <w:rsid w:val="00ED771B"/>
    <w:rsid w:val="00ED78DC"/>
    <w:rsid w:val="00ED7B98"/>
    <w:rsid w:val="00ED7CB3"/>
    <w:rsid w:val="00ED7EE6"/>
    <w:rsid w:val="00ED7F07"/>
    <w:rsid w:val="00EE080D"/>
    <w:rsid w:val="00EE0BF4"/>
    <w:rsid w:val="00EE0D10"/>
    <w:rsid w:val="00EE0D7E"/>
    <w:rsid w:val="00EE10EE"/>
    <w:rsid w:val="00EE1155"/>
    <w:rsid w:val="00EE129D"/>
    <w:rsid w:val="00EE1B0E"/>
    <w:rsid w:val="00EE1D49"/>
    <w:rsid w:val="00EE214D"/>
    <w:rsid w:val="00EE2318"/>
    <w:rsid w:val="00EE2B9A"/>
    <w:rsid w:val="00EE30A8"/>
    <w:rsid w:val="00EE3274"/>
    <w:rsid w:val="00EE3B23"/>
    <w:rsid w:val="00EE3CDA"/>
    <w:rsid w:val="00EE3DE8"/>
    <w:rsid w:val="00EE3E03"/>
    <w:rsid w:val="00EE3E05"/>
    <w:rsid w:val="00EE3E1A"/>
    <w:rsid w:val="00EE4148"/>
    <w:rsid w:val="00EE4711"/>
    <w:rsid w:val="00EE4CC8"/>
    <w:rsid w:val="00EE4FFF"/>
    <w:rsid w:val="00EE54A6"/>
    <w:rsid w:val="00EE58A3"/>
    <w:rsid w:val="00EE5CAD"/>
    <w:rsid w:val="00EE5D59"/>
    <w:rsid w:val="00EE5E49"/>
    <w:rsid w:val="00EE63DF"/>
    <w:rsid w:val="00EE64CC"/>
    <w:rsid w:val="00EE64CF"/>
    <w:rsid w:val="00EE6599"/>
    <w:rsid w:val="00EE68E6"/>
    <w:rsid w:val="00EE6B1C"/>
    <w:rsid w:val="00EE7032"/>
    <w:rsid w:val="00EE703D"/>
    <w:rsid w:val="00EE70A9"/>
    <w:rsid w:val="00EE7193"/>
    <w:rsid w:val="00EE721C"/>
    <w:rsid w:val="00EE7290"/>
    <w:rsid w:val="00EE75CE"/>
    <w:rsid w:val="00EE7849"/>
    <w:rsid w:val="00EE7A2A"/>
    <w:rsid w:val="00EE7CDC"/>
    <w:rsid w:val="00EE7E03"/>
    <w:rsid w:val="00EE7F2F"/>
    <w:rsid w:val="00EE7F66"/>
    <w:rsid w:val="00EE7FFE"/>
    <w:rsid w:val="00EF005B"/>
    <w:rsid w:val="00EF0355"/>
    <w:rsid w:val="00EF0E87"/>
    <w:rsid w:val="00EF166F"/>
    <w:rsid w:val="00EF19D5"/>
    <w:rsid w:val="00EF1A79"/>
    <w:rsid w:val="00EF1DC3"/>
    <w:rsid w:val="00EF1EE1"/>
    <w:rsid w:val="00EF1F8F"/>
    <w:rsid w:val="00EF239F"/>
    <w:rsid w:val="00EF23B2"/>
    <w:rsid w:val="00EF26A6"/>
    <w:rsid w:val="00EF275F"/>
    <w:rsid w:val="00EF29CA"/>
    <w:rsid w:val="00EF2B44"/>
    <w:rsid w:val="00EF2CAB"/>
    <w:rsid w:val="00EF2E69"/>
    <w:rsid w:val="00EF306E"/>
    <w:rsid w:val="00EF30F8"/>
    <w:rsid w:val="00EF3126"/>
    <w:rsid w:val="00EF321C"/>
    <w:rsid w:val="00EF333B"/>
    <w:rsid w:val="00EF33C9"/>
    <w:rsid w:val="00EF3607"/>
    <w:rsid w:val="00EF36E0"/>
    <w:rsid w:val="00EF380A"/>
    <w:rsid w:val="00EF3B30"/>
    <w:rsid w:val="00EF3D7C"/>
    <w:rsid w:val="00EF402D"/>
    <w:rsid w:val="00EF429F"/>
    <w:rsid w:val="00EF497A"/>
    <w:rsid w:val="00EF49ED"/>
    <w:rsid w:val="00EF49F5"/>
    <w:rsid w:val="00EF4CD7"/>
    <w:rsid w:val="00EF4DA3"/>
    <w:rsid w:val="00EF4DD7"/>
    <w:rsid w:val="00EF4E6B"/>
    <w:rsid w:val="00EF4F26"/>
    <w:rsid w:val="00EF4FB2"/>
    <w:rsid w:val="00EF5090"/>
    <w:rsid w:val="00EF5120"/>
    <w:rsid w:val="00EF518D"/>
    <w:rsid w:val="00EF52C1"/>
    <w:rsid w:val="00EF55BF"/>
    <w:rsid w:val="00EF5992"/>
    <w:rsid w:val="00EF5A3D"/>
    <w:rsid w:val="00EF5A73"/>
    <w:rsid w:val="00EF5B2C"/>
    <w:rsid w:val="00EF5B6F"/>
    <w:rsid w:val="00EF5FC2"/>
    <w:rsid w:val="00EF606C"/>
    <w:rsid w:val="00EF62F2"/>
    <w:rsid w:val="00EF63DC"/>
    <w:rsid w:val="00EF684B"/>
    <w:rsid w:val="00EF6B69"/>
    <w:rsid w:val="00EF6B91"/>
    <w:rsid w:val="00EF6E07"/>
    <w:rsid w:val="00EF6F00"/>
    <w:rsid w:val="00EF703C"/>
    <w:rsid w:val="00EF71B3"/>
    <w:rsid w:val="00EF767F"/>
    <w:rsid w:val="00EF7686"/>
    <w:rsid w:val="00EF7882"/>
    <w:rsid w:val="00EF7B0E"/>
    <w:rsid w:val="00EF7B22"/>
    <w:rsid w:val="00EF7D4E"/>
    <w:rsid w:val="00EF7DF9"/>
    <w:rsid w:val="00EF7E4F"/>
    <w:rsid w:val="00F001A9"/>
    <w:rsid w:val="00F00415"/>
    <w:rsid w:val="00F00446"/>
    <w:rsid w:val="00F00542"/>
    <w:rsid w:val="00F00692"/>
    <w:rsid w:val="00F006D4"/>
    <w:rsid w:val="00F00846"/>
    <w:rsid w:val="00F009EE"/>
    <w:rsid w:val="00F00C10"/>
    <w:rsid w:val="00F00C2A"/>
    <w:rsid w:val="00F01094"/>
    <w:rsid w:val="00F01117"/>
    <w:rsid w:val="00F0119C"/>
    <w:rsid w:val="00F012CC"/>
    <w:rsid w:val="00F01397"/>
    <w:rsid w:val="00F016C7"/>
    <w:rsid w:val="00F01B2D"/>
    <w:rsid w:val="00F01D65"/>
    <w:rsid w:val="00F01DC6"/>
    <w:rsid w:val="00F020DE"/>
    <w:rsid w:val="00F026C7"/>
    <w:rsid w:val="00F02706"/>
    <w:rsid w:val="00F03325"/>
    <w:rsid w:val="00F0347B"/>
    <w:rsid w:val="00F035E0"/>
    <w:rsid w:val="00F0379B"/>
    <w:rsid w:val="00F03D62"/>
    <w:rsid w:val="00F040FE"/>
    <w:rsid w:val="00F045FB"/>
    <w:rsid w:val="00F049B3"/>
    <w:rsid w:val="00F04AD2"/>
    <w:rsid w:val="00F04D6A"/>
    <w:rsid w:val="00F051D9"/>
    <w:rsid w:val="00F05549"/>
    <w:rsid w:val="00F05750"/>
    <w:rsid w:val="00F05B27"/>
    <w:rsid w:val="00F05C49"/>
    <w:rsid w:val="00F05CDF"/>
    <w:rsid w:val="00F05F91"/>
    <w:rsid w:val="00F062AC"/>
    <w:rsid w:val="00F06323"/>
    <w:rsid w:val="00F06690"/>
    <w:rsid w:val="00F06911"/>
    <w:rsid w:val="00F069FD"/>
    <w:rsid w:val="00F06C34"/>
    <w:rsid w:val="00F06DA2"/>
    <w:rsid w:val="00F06F9A"/>
    <w:rsid w:val="00F0703C"/>
    <w:rsid w:val="00F072A2"/>
    <w:rsid w:val="00F07359"/>
    <w:rsid w:val="00F074C9"/>
    <w:rsid w:val="00F074E3"/>
    <w:rsid w:val="00F075A5"/>
    <w:rsid w:val="00F07847"/>
    <w:rsid w:val="00F078F8"/>
    <w:rsid w:val="00F07BF4"/>
    <w:rsid w:val="00F07C4C"/>
    <w:rsid w:val="00F07EC2"/>
    <w:rsid w:val="00F10043"/>
    <w:rsid w:val="00F1009B"/>
    <w:rsid w:val="00F107F3"/>
    <w:rsid w:val="00F10E38"/>
    <w:rsid w:val="00F10EF8"/>
    <w:rsid w:val="00F10F6E"/>
    <w:rsid w:val="00F10FE8"/>
    <w:rsid w:val="00F11271"/>
    <w:rsid w:val="00F11569"/>
    <w:rsid w:val="00F115AE"/>
    <w:rsid w:val="00F117EC"/>
    <w:rsid w:val="00F11811"/>
    <w:rsid w:val="00F11D0A"/>
    <w:rsid w:val="00F11E7A"/>
    <w:rsid w:val="00F11EB1"/>
    <w:rsid w:val="00F11F1A"/>
    <w:rsid w:val="00F12098"/>
    <w:rsid w:val="00F123B3"/>
    <w:rsid w:val="00F1251A"/>
    <w:rsid w:val="00F12990"/>
    <w:rsid w:val="00F12A0D"/>
    <w:rsid w:val="00F133B7"/>
    <w:rsid w:val="00F13541"/>
    <w:rsid w:val="00F13618"/>
    <w:rsid w:val="00F13645"/>
    <w:rsid w:val="00F138B0"/>
    <w:rsid w:val="00F13903"/>
    <w:rsid w:val="00F139BF"/>
    <w:rsid w:val="00F13C38"/>
    <w:rsid w:val="00F140B4"/>
    <w:rsid w:val="00F147C5"/>
    <w:rsid w:val="00F1482A"/>
    <w:rsid w:val="00F14CA0"/>
    <w:rsid w:val="00F14DE5"/>
    <w:rsid w:val="00F150E6"/>
    <w:rsid w:val="00F1515B"/>
    <w:rsid w:val="00F152C0"/>
    <w:rsid w:val="00F152E3"/>
    <w:rsid w:val="00F15648"/>
    <w:rsid w:val="00F156B4"/>
    <w:rsid w:val="00F1570F"/>
    <w:rsid w:val="00F15762"/>
    <w:rsid w:val="00F157A1"/>
    <w:rsid w:val="00F158D2"/>
    <w:rsid w:val="00F15BDB"/>
    <w:rsid w:val="00F15C4A"/>
    <w:rsid w:val="00F15CD2"/>
    <w:rsid w:val="00F15F65"/>
    <w:rsid w:val="00F15FF6"/>
    <w:rsid w:val="00F16128"/>
    <w:rsid w:val="00F16736"/>
    <w:rsid w:val="00F167F3"/>
    <w:rsid w:val="00F16C35"/>
    <w:rsid w:val="00F170BA"/>
    <w:rsid w:val="00F170FE"/>
    <w:rsid w:val="00F17220"/>
    <w:rsid w:val="00F1768F"/>
    <w:rsid w:val="00F17711"/>
    <w:rsid w:val="00F1778E"/>
    <w:rsid w:val="00F177F6"/>
    <w:rsid w:val="00F179D1"/>
    <w:rsid w:val="00F17FD8"/>
    <w:rsid w:val="00F2018E"/>
    <w:rsid w:val="00F20300"/>
    <w:rsid w:val="00F20371"/>
    <w:rsid w:val="00F2074B"/>
    <w:rsid w:val="00F20790"/>
    <w:rsid w:val="00F20876"/>
    <w:rsid w:val="00F20883"/>
    <w:rsid w:val="00F20AD4"/>
    <w:rsid w:val="00F20C93"/>
    <w:rsid w:val="00F20CCC"/>
    <w:rsid w:val="00F2111B"/>
    <w:rsid w:val="00F211D1"/>
    <w:rsid w:val="00F21320"/>
    <w:rsid w:val="00F217BA"/>
    <w:rsid w:val="00F21C1E"/>
    <w:rsid w:val="00F21C4C"/>
    <w:rsid w:val="00F21EC6"/>
    <w:rsid w:val="00F21EF1"/>
    <w:rsid w:val="00F22788"/>
    <w:rsid w:val="00F229A9"/>
    <w:rsid w:val="00F229EE"/>
    <w:rsid w:val="00F22A00"/>
    <w:rsid w:val="00F22AB8"/>
    <w:rsid w:val="00F22BBF"/>
    <w:rsid w:val="00F22BF6"/>
    <w:rsid w:val="00F22E5E"/>
    <w:rsid w:val="00F23009"/>
    <w:rsid w:val="00F23507"/>
    <w:rsid w:val="00F236F2"/>
    <w:rsid w:val="00F23B9E"/>
    <w:rsid w:val="00F23E51"/>
    <w:rsid w:val="00F23F5E"/>
    <w:rsid w:val="00F242AF"/>
    <w:rsid w:val="00F242CA"/>
    <w:rsid w:val="00F24591"/>
    <w:rsid w:val="00F2472B"/>
    <w:rsid w:val="00F24DA2"/>
    <w:rsid w:val="00F250D8"/>
    <w:rsid w:val="00F2595E"/>
    <w:rsid w:val="00F259D7"/>
    <w:rsid w:val="00F25BC3"/>
    <w:rsid w:val="00F25CC4"/>
    <w:rsid w:val="00F25CE5"/>
    <w:rsid w:val="00F260AC"/>
    <w:rsid w:val="00F2612E"/>
    <w:rsid w:val="00F26719"/>
    <w:rsid w:val="00F26B1F"/>
    <w:rsid w:val="00F26E2B"/>
    <w:rsid w:val="00F2700C"/>
    <w:rsid w:val="00F270FA"/>
    <w:rsid w:val="00F27218"/>
    <w:rsid w:val="00F277A7"/>
    <w:rsid w:val="00F277E9"/>
    <w:rsid w:val="00F2789F"/>
    <w:rsid w:val="00F27A87"/>
    <w:rsid w:val="00F27C10"/>
    <w:rsid w:val="00F27DDF"/>
    <w:rsid w:val="00F30034"/>
    <w:rsid w:val="00F3011B"/>
    <w:rsid w:val="00F303D1"/>
    <w:rsid w:val="00F3050B"/>
    <w:rsid w:val="00F305B4"/>
    <w:rsid w:val="00F30813"/>
    <w:rsid w:val="00F30A71"/>
    <w:rsid w:val="00F30D32"/>
    <w:rsid w:val="00F30DDE"/>
    <w:rsid w:val="00F30F23"/>
    <w:rsid w:val="00F30F25"/>
    <w:rsid w:val="00F31120"/>
    <w:rsid w:val="00F312EC"/>
    <w:rsid w:val="00F3151B"/>
    <w:rsid w:val="00F317A5"/>
    <w:rsid w:val="00F31974"/>
    <w:rsid w:val="00F31AD0"/>
    <w:rsid w:val="00F31B44"/>
    <w:rsid w:val="00F320F1"/>
    <w:rsid w:val="00F321CF"/>
    <w:rsid w:val="00F322A0"/>
    <w:rsid w:val="00F3243A"/>
    <w:rsid w:val="00F32520"/>
    <w:rsid w:val="00F326C6"/>
    <w:rsid w:val="00F32A39"/>
    <w:rsid w:val="00F32E23"/>
    <w:rsid w:val="00F33392"/>
    <w:rsid w:val="00F337BF"/>
    <w:rsid w:val="00F337E7"/>
    <w:rsid w:val="00F33AAC"/>
    <w:rsid w:val="00F33F04"/>
    <w:rsid w:val="00F3431C"/>
    <w:rsid w:val="00F3450A"/>
    <w:rsid w:val="00F3481C"/>
    <w:rsid w:val="00F349A0"/>
    <w:rsid w:val="00F34F37"/>
    <w:rsid w:val="00F34FED"/>
    <w:rsid w:val="00F35151"/>
    <w:rsid w:val="00F35231"/>
    <w:rsid w:val="00F3534E"/>
    <w:rsid w:val="00F358C6"/>
    <w:rsid w:val="00F359C3"/>
    <w:rsid w:val="00F35B91"/>
    <w:rsid w:val="00F35BC4"/>
    <w:rsid w:val="00F35DC4"/>
    <w:rsid w:val="00F35EF7"/>
    <w:rsid w:val="00F35F4A"/>
    <w:rsid w:val="00F360E8"/>
    <w:rsid w:val="00F3662E"/>
    <w:rsid w:val="00F368AE"/>
    <w:rsid w:val="00F369A7"/>
    <w:rsid w:val="00F36AD1"/>
    <w:rsid w:val="00F37132"/>
    <w:rsid w:val="00F374E2"/>
    <w:rsid w:val="00F377B9"/>
    <w:rsid w:val="00F37C86"/>
    <w:rsid w:val="00F37DB4"/>
    <w:rsid w:val="00F37EF3"/>
    <w:rsid w:val="00F3F7AF"/>
    <w:rsid w:val="00F4080B"/>
    <w:rsid w:val="00F408E9"/>
    <w:rsid w:val="00F408F5"/>
    <w:rsid w:val="00F40B0A"/>
    <w:rsid w:val="00F40B5C"/>
    <w:rsid w:val="00F40C18"/>
    <w:rsid w:val="00F40D1A"/>
    <w:rsid w:val="00F40F8C"/>
    <w:rsid w:val="00F4105C"/>
    <w:rsid w:val="00F41558"/>
    <w:rsid w:val="00F4156F"/>
    <w:rsid w:val="00F4172A"/>
    <w:rsid w:val="00F41737"/>
    <w:rsid w:val="00F41957"/>
    <w:rsid w:val="00F4196F"/>
    <w:rsid w:val="00F419F3"/>
    <w:rsid w:val="00F41A9C"/>
    <w:rsid w:val="00F41E4F"/>
    <w:rsid w:val="00F41E73"/>
    <w:rsid w:val="00F41F3C"/>
    <w:rsid w:val="00F42028"/>
    <w:rsid w:val="00F42466"/>
    <w:rsid w:val="00F4280C"/>
    <w:rsid w:val="00F42891"/>
    <w:rsid w:val="00F428AB"/>
    <w:rsid w:val="00F428EF"/>
    <w:rsid w:val="00F42D0C"/>
    <w:rsid w:val="00F42F78"/>
    <w:rsid w:val="00F430B1"/>
    <w:rsid w:val="00F4311F"/>
    <w:rsid w:val="00F4367C"/>
    <w:rsid w:val="00F436AD"/>
    <w:rsid w:val="00F438CD"/>
    <w:rsid w:val="00F43B97"/>
    <w:rsid w:val="00F43E15"/>
    <w:rsid w:val="00F43E4A"/>
    <w:rsid w:val="00F446A7"/>
    <w:rsid w:val="00F4474D"/>
    <w:rsid w:val="00F44955"/>
    <w:rsid w:val="00F44BC9"/>
    <w:rsid w:val="00F44CA0"/>
    <w:rsid w:val="00F44FFB"/>
    <w:rsid w:val="00F450E1"/>
    <w:rsid w:val="00F4552A"/>
    <w:rsid w:val="00F45DBD"/>
    <w:rsid w:val="00F45E25"/>
    <w:rsid w:val="00F461E0"/>
    <w:rsid w:val="00F4621B"/>
    <w:rsid w:val="00F463B3"/>
    <w:rsid w:val="00F465F5"/>
    <w:rsid w:val="00F4660B"/>
    <w:rsid w:val="00F46AC7"/>
    <w:rsid w:val="00F46C71"/>
    <w:rsid w:val="00F46F0A"/>
    <w:rsid w:val="00F46F1B"/>
    <w:rsid w:val="00F46F5B"/>
    <w:rsid w:val="00F46FE8"/>
    <w:rsid w:val="00F470A9"/>
    <w:rsid w:val="00F47206"/>
    <w:rsid w:val="00F4735C"/>
    <w:rsid w:val="00F47586"/>
    <w:rsid w:val="00F4798A"/>
    <w:rsid w:val="00F479E7"/>
    <w:rsid w:val="00F47A69"/>
    <w:rsid w:val="00F47B8F"/>
    <w:rsid w:val="00F47C30"/>
    <w:rsid w:val="00F490E2"/>
    <w:rsid w:val="00F4E855"/>
    <w:rsid w:val="00F50101"/>
    <w:rsid w:val="00F50118"/>
    <w:rsid w:val="00F501A8"/>
    <w:rsid w:val="00F50235"/>
    <w:rsid w:val="00F50769"/>
    <w:rsid w:val="00F50931"/>
    <w:rsid w:val="00F50B13"/>
    <w:rsid w:val="00F50DD0"/>
    <w:rsid w:val="00F50F5F"/>
    <w:rsid w:val="00F50FE8"/>
    <w:rsid w:val="00F5121E"/>
    <w:rsid w:val="00F514E6"/>
    <w:rsid w:val="00F5188D"/>
    <w:rsid w:val="00F518ED"/>
    <w:rsid w:val="00F51A47"/>
    <w:rsid w:val="00F51D53"/>
    <w:rsid w:val="00F526F5"/>
    <w:rsid w:val="00F52BF6"/>
    <w:rsid w:val="00F52E18"/>
    <w:rsid w:val="00F52E82"/>
    <w:rsid w:val="00F52EA2"/>
    <w:rsid w:val="00F5308E"/>
    <w:rsid w:val="00F532BF"/>
    <w:rsid w:val="00F5359C"/>
    <w:rsid w:val="00F53735"/>
    <w:rsid w:val="00F539B3"/>
    <w:rsid w:val="00F53AFB"/>
    <w:rsid w:val="00F53B87"/>
    <w:rsid w:val="00F53C10"/>
    <w:rsid w:val="00F53C28"/>
    <w:rsid w:val="00F53E80"/>
    <w:rsid w:val="00F540D0"/>
    <w:rsid w:val="00F5436D"/>
    <w:rsid w:val="00F54832"/>
    <w:rsid w:val="00F5483A"/>
    <w:rsid w:val="00F54983"/>
    <w:rsid w:val="00F54CCF"/>
    <w:rsid w:val="00F54F6B"/>
    <w:rsid w:val="00F54FF2"/>
    <w:rsid w:val="00F5524A"/>
    <w:rsid w:val="00F552A6"/>
    <w:rsid w:val="00F5551F"/>
    <w:rsid w:val="00F55898"/>
    <w:rsid w:val="00F55981"/>
    <w:rsid w:val="00F55E2D"/>
    <w:rsid w:val="00F55E32"/>
    <w:rsid w:val="00F56087"/>
    <w:rsid w:val="00F562D0"/>
    <w:rsid w:val="00F562ED"/>
    <w:rsid w:val="00F56429"/>
    <w:rsid w:val="00F5651E"/>
    <w:rsid w:val="00F56538"/>
    <w:rsid w:val="00F565E1"/>
    <w:rsid w:val="00F5669E"/>
    <w:rsid w:val="00F568BC"/>
    <w:rsid w:val="00F56BA7"/>
    <w:rsid w:val="00F56C84"/>
    <w:rsid w:val="00F56D68"/>
    <w:rsid w:val="00F5727D"/>
    <w:rsid w:val="00F57285"/>
    <w:rsid w:val="00F573D0"/>
    <w:rsid w:val="00F57440"/>
    <w:rsid w:val="00F57601"/>
    <w:rsid w:val="00F5787E"/>
    <w:rsid w:val="00F57FE3"/>
    <w:rsid w:val="00F60035"/>
    <w:rsid w:val="00F60098"/>
    <w:rsid w:val="00F6018C"/>
    <w:rsid w:val="00F60370"/>
    <w:rsid w:val="00F6073F"/>
    <w:rsid w:val="00F60745"/>
    <w:rsid w:val="00F607F9"/>
    <w:rsid w:val="00F60924"/>
    <w:rsid w:val="00F60B2E"/>
    <w:rsid w:val="00F60BFA"/>
    <w:rsid w:val="00F60D25"/>
    <w:rsid w:val="00F60ED2"/>
    <w:rsid w:val="00F61195"/>
    <w:rsid w:val="00F61404"/>
    <w:rsid w:val="00F61567"/>
    <w:rsid w:val="00F617EA"/>
    <w:rsid w:val="00F61955"/>
    <w:rsid w:val="00F61AC8"/>
    <w:rsid w:val="00F61D4D"/>
    <w:rsid w:val="00F61E65"/>
    <w:rsid w:val="00F61FA7"/>
    <w:rsid w:val="00F61FAE"/>
    <w:rsid w:val="00F624CE"/>
    <w:rsid w:val="00F626CD"/>
    <w:rsid w:val="00F628B5"/>
    <w:rsid w:val="00F628F8"/>
    <w:rsid w:val="00F62AD8"/>
    <w:rsid w:val="00F62DA4"/>
    <w:rsid w:val="00F62ED2"/>
    <w:rsid w:val="00F62F8C"/>
    <w:rsid w:val="00F6351E"/>
    <w:rsid w:val="00F63712"/>
    <w:rsid w:val="00F63923"/>
    <w:rsid w:val="00F639F9"/>
    <w:rsid w:val="00F63D92"/>
    <w:rsid w:val="00F64038"/>
    <w:rsid w:val="00F6413D"/>
    <w:rsid w:val="00F641AE"/>
    <w:rsid w:val="00F64352"/>
    <w:rsid w:val="00F646F5"/>
    <w:rsid w:val="00F64826"/>
    <w:rsid w:val="00F6482D"/>
    <w:rsid w:val="00F64852"/>
    <w:rsid w:val="00F64E0C"/>
    <w:rsid w:val="00F6559D"/>
    <w:rsid w:val="00F656B7"/>
    <w:rsid w:val="00F65A97"/>
    <w:rsid w:val="00F65C97"/>
    <w:rsid w:val="00F66253"/>
    <w:rsid w:val="00F663F6"/>
    <w:rsid w:val="00F66652"/>
    <w:rsid w:val="00F66E38"/>
    <w:rsid w:val="00F6715D"/>
    <w:rsid w:val="00F67217"/>
    <w:rsid w:val="00F6747C"/>
    <w:rsid w:val="00F675CF"/>
    <w:rsid w:val="00F67648"/>
    <w:rsid w:val="00F677F3"/>
    <w:rsid w:val="00F678BE"/>
    <w:rsid w:val="00F6792A"/>
    <w:rsid w:val="00F67C2A"/>
    <w:rsid w:val="00F67DC8"/>
    <w:rsid w:val="00F67E9F"/>
    <w:rsid w:val="00F67FC4"/>
    <w:rsid w:val="00F7000C"/>
    <w:rsid w:val="00F70186"/>
    <w:rsid w:val="00F7020C"/>
    <w:rsid w:val="00F70499"/>
    <w:rsid w:val="00F70735"/>
    <w:rsid w:val="00F707BE"/>
    <w:rsid w:val="00F70905"/>
    <w:rsid w:val="00F709F1"/>
    <w:rsid w:val="00F70A08"/>
    <w:rsid w:val="00F70ECA"/>
    <w:rsid w:val="00F710F6"/>
    <w:rsid w:val="00F71144"/>
    <w:rsid w:val="00F71683"/>
    <w:rsid w:val="00F7181D"/>
    <w:rsid w:val="00F719E6"/>
    <w:rsid w:val="00F71AFB"/>
    <w:rsid w:val="00F71CD5"/>
    <w:rsid w:val="00F71D31"/>
    <w:rsid w:val="00F7206A"/>
    <w:rsid w:val="00F72124"/>
    <w:rsid w:val="00F72283"/>
    <w:rsid w:val="00F7244A"/>
    <w:rsid w:val="00F727EB"/>
    <w:rsid w:val="00F7291A"/>
    <w:rsid w:val="00F72DB6"/>
    <w:rsid w:val="00F72F72"/>
    <w:rsid w:val="00F73252"/>
    <w:rsid w:val="00F732D9"/>
    <w:rsid w:val="00F73569"/>
    <w:rsid w:val="00F736D7"/>
    <w:rsid w:val="00F7370A"/>
    <w:rsid w:val="00F73913"/>
    <w:rsid w:val="00F73F37"/>
    <w:rsid w:val="00F73F9B"/>
    <w:rsid w:val="00F7414E"/>
    <w:rsid w:val="00F748EC"/>
    <w:rsid w:val="00F7491D"/>
    <w:rsid w:val="00F74A83"/>
    <w:rsid w:val="00F74AB9"/>
    <w:rsid w:val="00F74C41"/>
    <w:rsid w:val="00F74D10"/>
    <w:rsid w:val="00F74F35"/>
    <w:rsid w:val="00F7561E"/>
    <w:rsid w:val="00F756BC"/>
    <w:rsid w:val="00F75A3B"/>
    <w:rsid w:val="00F75C67"/>
    <w:rsid w:val="00F75F14"/>
    <w:rsid w:val="00F75FE6"/>
    <w:rsid w:val="00F76065"/>
    <w:rsid w:val="00F761D3"/>
    <w:rsid w:val="00F76677"/>
    <w:rsid w:val="00F76993"/>
    <w:rsid w:val="00F76CA0"/>
    <w:rsid w:val="00F76DE0"/>
    <w:rsid w:val="00F76E7D"/>
    <w:rsid w:val="00F772D2"/>
    <w:rsid w:val="00F773CD"/>
    <w:rsid w:val="00F77620"/>
    <w:rsid w:val="00F77745"/>
    <w:rsid w:val="00F77931"/>
    <w:rsid w:val="00F77B07"/>
    <w:rsid w:val="00F77BD9"/>
    <w:rsid w:val="00F77E77"/>
    <w:rsid w:val="00F79A03"/>
    <w:rsid w:val="00F80272"/>
    <w:rsid w:val="00F80284"/>
    <w:rsid w:val="00F80461"/>
    <w:rsid w:val="00F80557"/>
    <w:rsid w:val="00F80CFA"/>
    <w:rsid w:val="00F80EE6"/>
    <w:rsid w:val="00F81004"/>
    <w:rsid w:val="00F81107"/>
    <w:rsid w:val="00F811B4"/>
    <w:rsid w:val="00F8123F"/>
    <w:rsid w:val="00F816CA"/>
    <w:rsid w:val="00F81B27"/>
    <w:rsid w:val="00F82304"/>
    <w:rsid w:val="00F8230F"/>
    <w:rsid w:val="00F82845"/>
    <w:rsid w:val="00F82C74"/>
    <w:rsid w:val="00F82CA1"/>
    <w:rsid w:val="00F82CFC"/>
    <w:rsid w:val="00F82E6F"/>
    <w:rsid w:val="00F82ECA"/>
    <w:rsid w:val="00F82F3D"/>
    <w:rsid w:val="00F82F93"/>
    <w:rsid w:val="00F83232"/>
    <w:rsid w:val="00F832C9"/>
    <w:rsid w:val="00F8351D"/>
    <w:rsid w:val="00F838E0"/>
    <w:rsid w:val="00F83B4E"/>
    <w:rsid w:val="00F83C90"/>
    <w:rsid w:val="00F84489"/>
    <w:rsid w:val="00F84837"/>
    <w:rsid w:val="00F8485F"/>
    <w:rsid w:val="00F84CEC"/>
    <w:rsid w:val="00F84ED3"/>
    <w:rsid w:val="00F84F90"/>
    <w:rsid w:val="00F85063"/>
    <w:rsid w:val="00F850E5"/>
    <w:rsid w:val="00F85363"/>
    <w:rsid w:val="00F853A7"/>
    <w:rsid w:val="00F85743"/>
    <w:rsid w:val="00F85754"/>
    <w:rsid w:val="00F857A7"/>
    <w:rsid w:val="00F858A1"/>
    <w:rsid w:val="00F85A14"/>
    <w:rsid w:val="00F85A3C"/>
    <w:rsid w:val="00F85D76"/>
    <w:rsid w:val="00F86199"/>
    <w:rsid w:val="00F862A5"/>
    <w:rsid w:val="00F863E8"/>
    <w:rsid w:val="00F863F8"/>
    <w:rsid w:val="00F86778"/>
    <w:rsid w:val="00F8678A"/>
    <w:rsid w:val="00F867D6"/>
    <w:rsid w:val="00F86855"/>
    <w:rsid w:val="00F86B9B"/>
    <w:rsid w:val="00F86C41"/>
    <w:rsid w:val="00F86CD4"/>
    <w:rsid w:val="00F86FA9"/>
    <w:rsid w:val="00F87419"/>
    <w:rsid w:val="00F874C1"/>
    <w:rsid w:val="00F8755B"/>
    <w:rsid w:val="00F877AE"/>
    <w:rsid w:val="00F8780E"/>
    <w:rsid w:val="00F8797F"/>
    <w:rsid w:val="00F87DAA"/>
    <w:rsid w:val="00F8A844"/>
    <w:rsid w:val="00F8CE1D"/>
    <w:rsid w:val="00F901B9"/>
    <w:rsid w:val="00F90364"/>
    <w:rsid w:val="00F90730"/>
    <w:rsid w:val="00F90DF4"/>
    <w:rsid w:val="00F911AF"/>
    <w:rsid w:val="00F912E1"/>
    <w:rsid w:val="00F91321"/>
    <w:rsid w:val="00F9168F"/>
    <w:rsid w:val="00F919DC"/>
    <w:rsid w:val="00F91C59"/>
    <w:rsid w:val="00F91E3C"/>
    <w:rsid w:val="00F91E86"/>
    <w:rsid w:val="00F91F06"/>
    <w:rsid w:val="00F921A8"/>
    <w:rsid w:val="00F92B36"/>
    <w:rsid w:val="00F92FB9"/>
    <w:rsid w:val="00F93462"/>
    <w:rsid w:val="00F9374F"/>
    <w:rsid w:val="00F939D5"/>
    <w:rsid w:val="00F93A88"/>
    <w:rsid w:val="00F93AB4"/>
    <w:rsid w:val="00F93E58"/>
    <w:rsid w:val="00F93E78"/>
    <w:rsid w:val="00F93E8B"/>
    <w:rsid w:val="00F93EC0"/>
    <w:rsid w:val="00F941EC"/>
    <w:rsid w:val="00F94289"/>
    <w:rsid w:val="00F94356"/>
    <w:rsid w:val="00F94489"/>
    <w:rsid w:val="00F949DB"/>
    <w:rsid w:val="00F954C3"/>
    <w:rsid w:val="00F95706"/>
    <w:rsid w:val="00F957B8"/>
    <w:rsid w:val="00F95A0E"/>
    <w:rsid w:val="00F95D6C"/>
    <w:rsid w:val="00F95D8E"/>
    <w:rsid w:val="00F95EFF"/>
    <w:rsid w:val="00F95F3E"/>
    <w:rsid w:val="00F95F51"/>
    <w:rsid w:val="00F96574"/>
    <w:rsid w:val="00F969C5"/>
    <w:rsid w:val="00F97159"/>
    <w:rsid w:val="00F971A6"/>
    <w:rsid w:val="00F97279"/>
    <w:rsid w:val="00F973E1"/>
    <w:rsid w:val="00F975C1"/>
    <w:rsid w:val="00F977B1"/>
    <w:rsid w:val="00F97C5F"/>
    <w:rsid w:val="00F97E0E"/>
    <w:rsid w:val="00F983AC"/>
    <w:rsid w:val="00FA027D"/>
    <w:rsid w:val="00FA0463"/>
    <w:rsid w:val="00FA0747"/>
    <w:rsid w:val="00FA074C"/>
    <w:rsid w:val="00FA0B80"/>
    <w:rsid w:val="00FA0C71"/>
    <w:rsid w:val="00FA1999"/>
    <w:rsid w:val="00FA1A44"/>
    <w:rsid w:val="00FA1B9A"/>
    <w:rsid w:val="00FA1C81"/>
    <w:rsid w:val="00FA1D91"/>
    <w:rsid w:val="00FA1EDE"/>
    <w:rsid w:val="00FA280B"/>
    <w:rsid w:val="00FA2AD8"/>
    <w:rsid w:val="00FA2B94"/>
    <w:rsid w:val="00FA2CC7"/>
    <w:rsid w:val="00FA2DDF"/>
    <w:rsid w:val="00FA2EFD"/>
    <w:rsid w:val="00FA3037"/>
    <w:rsid w:val="00FA37E2"/>
    <w:rsid w:val="00FA39EF"/>
    <w:rsid w:val="00FA3B81"/>
    <w:rsid w:val="00FA3D21"/>
    <w:rsid w:val="00FA3E46"/>
    <w:rsid w:val="00FA405F"/>
    <w:rsid w:val="00FA41EC"/>
    <w:rsid w:val="00FA4405"/>
    <w:rsid w:val="00FA4441"/>
    <w:rsid w:val="00FA4D32"/>
    <w:rsid w:val="00FA4EBB"/>
    <w:rsid w:val="00FA4EC6"/>
    <w:rsid w:val="00FA4FED"/>
    <w:rsid w:val="00FA5105"/>
    <w:rsid w:val="00FA528F"/>
    <w:rsid w:val="00FA5332"/>
    <w:rsid w:val="00FA5420"/>
    <w:rsid w:val="00FA569F"/>
    <w:rsid w:val="00FA57F3"/>
    <w:rsid w:val="00FA5802"/>
    <w:rsid w:val="00FA5B2F"/>
    <w:rsid w:val="00FA5B48"/>
    <w:rsid w:val="00FA5BA6"/>
    <w:rsid w:val="00FA5CF8"/>
    <w:rsid w:val="00FA6116"/>
    <w:rsid w:val="00FA6136"/>
    <w:rsid w:val="00FA63A4"/>
    <w:rsid w:val="00FA64CC"/>
    <w:rsid w:val="00FA6520"/>
    <w:rsid w:val="00FA6646"/>
    <w:rsid w:val="00FA6768"/>
    <w:rsid w:val="00FA68F5"/>
    <w:rsid w:val="00FA6923"/>
    <w:rsid w:val="00FA6AB6"/>
    <w:rsid w:val="00FA6B37"/>
    <w:rsid w:val="00FA6B4F"/>
    <w:rsid w:val="00FA6B53"/>
    <w:rsid w:val="00FA6B70"/>
    <w:rsid w:val="00FA6BDF"/>
    <w:rsid w:val="00FA6F9A"/>
    <w:rsid w:val="00FA700E"/>
    <w:rsid w:val="00FA710B"/>
    <w:rsid w:val="00FA729A"/>
    <w:rsid w:val="00FA72DF"/>
    <w:rsid w:val="00FA730C"/>
    <w:rsid w:val="00FA74F4"/>
    <w:rsid w:val="00FA751A"/>
    <w:rsid w:val="00FA75E2"/>
    <w:rsid w:val="00FA76CF"/>
    <w:rsid w:val="00FA78E7"/>
    <w:rsid w:val="00FA79CD"/>
    <w:rsid w:val="00FA7A5B"/>
    <w:rsid w:val="00FA7DA6"/>
    <w:rsid w:val="00FA7EB8"/>
    <w:rsid w:val="00FA7F0D"/>
    <w:rsid w:val="00FB00D2"/>
    <w:rsid w:val="00FB029B"/>
    <w:rsid w:val="00FB031F"/>
    <w:rsid w:val="00FB0382"/>
    <w:rsid w:val="00FB03F8"/>
    <w:rsid w:val="00FB063C"/>
    <w:rsid w:val="00FB066C"/>
    <w:rsid w:val="00FB07F3"/>
    <w:rsid w:val="00FB099A"/>
    <w:rsid w:val="00FB0C34"/>
    <w:rsid w:val="00FB0D0C"/>
    <w:rsid w:val="00FB1033"/>
    <w:rsid w:val="00FB1223"/>
    <w:rsid w:val="00FB1A10"/>
    <w:rsid w:val="00FB1CA3"/>
    <w:rsid w:val="00FB1F43"/>
    <w:rsid w:val="00FB202A"/>
    <w:rsid w:val="00FB209F"/>
    <w:rsid w:val="00FB2134"/>
    <w:rsid w:val="00FB22B6"/>
    <w:rsid w:val="00FB27C7"/>
    <w:rsid w:val="00FB2B92"/>
    <w:rsid w:val="00FB2FCF"/>
    <w:rsid w:val="00FB3242"/>
    <w:rsid w:val="00FB3D9A"/>
    <w:rsid w:val="00FB3DDA"/>
    <w:rsid w:val="00FB4343"/>
    <w:rsid w:val="00FB45D1"/>
    <w:rsid w:val="00FB4674"/>
    <w:rsid w:val="00FB4706"/>
    <w:rsid w:val="00FB4895"/>
    <w:rsid w:val="00FB4982"/>
    <w:rsid w:val="00FB4A72"/>
    <w:rsid w:val="00FB4D6E"/>
    <w:rsid w:val="00FB5574"/>
    <w:rsid w:val="00FB570F"/>
    <w:rsid w:val="00FB5867"/>
    <w:rsid w:val="00FB5B1F"/>
    <w:rsid w:val="00FB5C03"/>
    <w:rsid w:val="00FB5CEC"/>
    <w:rsid w:val="00FB5DD7"/>
    <w:rsid w:val="00FB6294"/>
    <w:rsid w:val="00FB637A"/>
    <w:rsid w:val="00FB66B9"/>
    <w:rsid w:val="00FB6C54"/>
    <w:rsid w:val="00FB6D9D"/>
    <w:rsid w:val="00FB73EF"/>
    <w:rsid w:val="00FB7579"/>
    <w:rsid w:val="00FB7624"/>
    <w:rsid w:val="00FB7982"/>
    <w:rsid w:val="00FB7F96"/>
    <w:rsid w:val="00FC012A"/>
    <w:rsid w:val="00FC01DA"/>
    <w:rsid w:val="00FC01FB"/>
    <w:rsid w:val="00FC03D1"/>
    <w:rsid w:val="00FC0670"/>
    <w:rsid w:val="00FC0682"/>
    <w:rsid w:val="00FC080D"/>
    <w:rsid w:val="00FC0892"/>
    <w:rsid w:val="00FC0913"/>
    <w:rsid w:val="00FC0BAC"/>
    <w:rsid w:val="00FC10F7"/>
    <w:rsid w:val="00FC118F"/>
    <w:rsid w:val="00FC131B"/>
    <w:rsid w:val="00FC1547"/>
    <w:rsid w:val="00FC162D"/>
    <w:rsid w:val="00FC17BB"/>
    <w:rsid w:val="00FC1954"/>
    <w:rsid w:val="00FC1A85"/>
    <w:rsid w:val="00FC1AAA"/>
    <w:rsid w:val="00FC1AEB"/>
    <w:rsid w:val="00FC1BA2"/>
    <w:rsid w:val="00FC21B9"/>
    <w:rsid w:val="00FC27FE"/>
    <w:rsid w:val="00FC29E9"/>
    <w:rsid w:val="00FC2C4D"/>
    <w:rsid w:val="00FC2DBC"/>
    <w:rsid w:val="00FC2E47"/>
    <w:rsid w:val="00FC3573"/>
    <w:rsid w:val="00FC376F"/>
    <w:rsid w:val="00FC37EC"/>
    <w:rsid w:val="00FC3B4A"/>
    <w:rsid w:val="00FC3BEE"/>
    <w:rsid w:val="00FC3DB5"/>
    <w:rsid w:val="00FC3ECD"/>
    <w:rsid w:val="00FC3F74"/>
    <w:rsid w:val="00FC4115"/>
    <w:rsid w:val="00FC4246"/>
    <w:rsid w:val="00FC463C"/>
    <w:rsid w:val="00FC46C9"/>
    <w:rsid w:val="00FC47D2"/>
    <w:rsid w:val="00FC4954"/>
    <w:rsid w:val="00FC49CE"/>
    <w:rsid w:val="00FC4A65"/>
    <w:rsid w:val="00FC4B25"/>
    <w:rsid w:val="00FC4EF6"/>
    <w:rsid w:val="00FC5130"/>
    <w:rsid w:val="00FC5516"/>
    <w:rsid w:val="00FC558A"/>
    <w:rsid w:val="00FC560D"/>
    <w:rsid w:val="00FC58D0"/>
    <w:rsid w:val="00FC5AB2"/>
    <w:rsid w:val="00FC5C03"/>
    <w:rsid w:val="00FC6002"/>
    <w:rsid w:val="00FC617C"/>
    <w:rsid w:val="00FC63F1"/>
    <w:rsid w:val="00FC663A"/>
    <w:rsid w:val="00FC688D"/>
    <w:rsid w:val="00FC6999"/>
    <w:rsid w:val="00FC6A11"/>
    <w:rsid w:val="00FC6BCF"/>
    <w:rsid w:val="00FC6D10"/>
    <w:rsid w:val="00FC6D90"/>
    <w:rsid w:val="00FC6E20"/>
    <w:rsid w:val="00FC7214"/>
    <w:rsid w:val="00FC72E3"/>
    <w:rsid w:val="00FC73AB"/>
    <w:rsid w:val="00FC748B"/>
    <w:rsid w:val="00FC7699"/>
    <w:rsid w:val="00FC7A5A"/>
    <w:rsid w:val="00FC7B02"/>
    <w:rsid w:val="00FC7BBD"/>
    <w:rsid w:val="00FC7ECB"/>
    <w:rsid w:val="00FC7FCC"/>
    <w:rsid w:val="00FCC643"/>
    <w:rsid w:val="00FD008E"/>
    <w:rsid w:val="00FD01B8"/>
    <w:rsid w:val="00FD04AC"/>
    <w:rsid w:val="00FD0650"/>
    <w:rsid w:val="00FD0727"/>
    <w:rsid w:val="00FD09BD"/>
    <w:rsid w:val="00FD09D0"/>
    <w:rsid w:val="00FD0E24"/>
    <w:rsid w:val="00FD0F86"/>
    <w:rsid w:val="00FD1179"/>
    <w:rsid w:val="00FD126C"/>
    <w:rsid w:val="00FD1325"/>
    <w:rsid w:val="00FD1371"/>
    <w:rsid w:val="00FD1835"/>
    <w:rsid w:val="00FD1A47"/>
    <w:rsid w:val="00FD1A90"/>
    <w:rsid w:val="00FD1CB3"/>
    <w:rsid w:val="00FD1D2A"/>
    <w:rsid w:val="00FD20AE"/>
    <w:rsid w:val="00FD20B8"/>
    <w:rsid w:val="00FD231C"/>
    <w:rsid w:val="00FD249C"/>
    <w:rsid w:val="00FD268B"/>
    <w:rsid w:val="00FD3078"/>
    <w:rsid w:val="00FD3511"/>
    <w:rsid w:val="00FD363B"/>
    <w:rsid w:val="00FD3CDC"/>
    <w:rsid w:val="00FD3DDA"/>
    <w:rsid w:val="00FD3F23"/>
    <w:rsid w:val="00FD3F72"/>
    <w:rsid w:val="00FD4010"/>
    <w:rsid w:val="00FD402B"/>
    <w:rsid w:val="00FD4320"/>
    <w:rsid w:val="00FD49C8"/>
    <w:rsid w:val="00FD4C21"/>
    <w:rsid w:val="00FD4D3A"/>
    <w:rsid w:val="00FD4EE9"/>
    <w:rsid w:val="00FD4FB8"/>
    <w:rsid w:val="00FD5318"/>
    <w:rsid w:val="00FD531E"/>
    <w:rsid w:val="00FD5629"/>
    <w:rsid w:val="00FD579B"/>
    <w:rsid w:val="00FD59BC"/>
    <w:rsid w:val="00FD6122"/>
    <w:rsid w:val="00FD62E4"/>
    <w:rsid w:val="00FD67E0"/>
    <w:rsid w:val="00FD68FE"/>
    <w:rsid w:val="00FD71FA"/>
    <w:rsid w:val="00FD736E"/>
    <w:rsid w:val="00FD73C9"/>
    <w:rsid w:val="00FD7522"/>
    <w:rsid w:val="00FD75D1"/>
    <w:rsid w:val="00FD77AD"/>
    <w:rsid w:val="00FD7CD2"/>
    <w:rsid w:val="00FE04DA"/>
    <w:rsid w:val="00FE0823"/>
    <w:rsid w:val="00FE086B"/>
    <w:rsid w:val="00FE08C4"/>
    <w:rsid w:val="00FE0965"/>
    <w:rsid w:val="00FE0B92"/>
    <w:rsid w:val="00FE0CC1"/>
    <w:rsid w:val="00FE0F65"/>
    <w:rsid w:val="00FE129E"/>
    <w:rsid w:val="00FE136C"/>
    <w:rsid w:val="00FE15A1"/>
    <w:rsid w:val="00FE170E"/>
    <w:rsid w:val="00FE185D"/>
    <w:rsid w:val="00FE199C"/>
    <w:rsid w:val="00FE1A2F"/>
    <w:rsid w:val="00FE1C0F"/>
    <w:rsid w:val="00FE1D7B"/>
    <w:rsid w:val="00FE24A9"/>
    <w:rsid w:val="00FE277C"/>
    <w:rsid w:val="00FE2B42"/>
    <w:rsid w:val="00FE2BD5"/>
    <w:rsid w:val="00FE2D48"/>
    <w:rsid w:val="00FE2F15"/>
    <w:rsid w:val="00FE3025"/>
    <w:rsid w:val="00FE30DE"/>
    <w:rsid w:val="00FE31E0"/>
    <w:rsid w:val="00FE3661"/>
    <w:rsid w:val="00FE39D4"/>
    <w:rsid w:val="00FE3AA9"/>
    <w:rsid w:val="00FE3B2A"/>
    <w:rsid w:val="00FE3B96"/>
    <w:rsid w:val="00FE3C97"/>
    <w:rsid w:val="00FE403A"/>
    <w:rsid w:val="00FE422B"/>
    <w:rsid w:val="00FE47AC"/>
    <w:rsid w:val="00FE488A"/>
    <w:rsid w:val="00FE4B69"/>
    <w:rsid w:val="00FE4E5F"/>
    <w:rsid w:val="00FE510F"/>
    <w:rsid w:val="00FE51F6"/>
    <w:rsid w:val="00FE570F"/>
    <w:rsid w:val="00FE5764"/>
    <w:rsid w:val="00FE5A8B"/>
    <w:rsid w:val="00FE60B0"/>
    <w:rsid w:val="00FE60E3"/>
    <w:rsid w:val="00FE6163"/>
    <w:rsid w:val="00FE631D"/>
    <w:rsid w:val="00FE6425"/>
    <w:rsid w:val="00FE6457"/>
    <w:rsid w:val="00FE655B"/>
    <w:rsid w:val="00FE65A8"/>
    <w:rsid w:val="00FE66E9"/>
    <w:rsid w:val="00FE6778"/>
    <w:rsid w:val="00FE6800"/>
    <w:rsid w:val="00FE6AC9"/>
    <w:rsid w:val="00FE6E7D"/>
    <w:rsid w:val="00FE6EF1"/>
    <w:rsid w:val="00FE7272"/>
    <w:rsid w:val="00FE74CE"/>
    <w:rsid w:val="00FE7A6D"/>
    <w:rsid w:val="00FE7AAE"/>
    <w:rsid w:val="00FE7FED"/>
    <w:rsid w:val="00FF0069"/>
    <w:rsid w:val="00FF0093"/>
    <w:rsid w:val="00FF0290"/>
    <w:rsid w:val="00FF0BCC"/>
    <w:rsid w:val="00FF0C2A"/>
    <w:rsid w:val="00FF0C47"/>
    <w:rsid w:val="00FF0CD4"/>
    <w:rsid w:val="00FF0F28"/>
    <w:rsid w:val="00FF100B"/>
    <w:rsid w:val="00FF10EA"/>
    <w:rsid w:val="00FF1383"/>
    <w:rsid w:val="00FF1610"/>
    <w:rsid w:val="00FF1918"/>
    <w:rsid w:val="00FF19D2"/>
    <w:rsid w:val="00FF1AA9"/>
    <w:rsid w:val="00FF1C1B"/>
    <w:rsid w:val="00FF2024"/>
    <w:rsid w:val="00FF25FE"/>
    <w:rsid w:val="00FF2CF5"/>
    <w:rsid w:val="00FF2DD6"/>
    <w:rsid w:val="00FF2F61"/>
    <w:rsid w:val="00FF30B0"/>
    <w:rsid w:val="00FF3524"/>
    <w:rsid w:val="00FF3C9B"/>
    <w:rsid w:val="00FF3CA2"/>
    <w:rsid w:val="00FF3CC4"/>
    <w:rsid w:val="00FF3E49"/>
    <w:rsid w:val="00FF4215"/>
    <w:rsid w:val="00FF43A1"/>
    <w:rsid w:val="00FF448A"/>
    <w:rsid w:val="00FF459A"/>
    <w:rsid w:val="00FF4896"/>
    <w:rsid w:val="00FF48E1"/>
    <w:rsid w:val="00FF4994"/>
    <w:rsid w:val="00FF4AAC"/>
    <w:rsid w:val="00FF4B72"/>
    <w:rsid w:val="00FF4FF8"/>
    <w:rsid w:val="00FF5227"/>
    <w:rsid w:val="00FF5779"/>
    <w:rsid w:val="00FF5B84"/>
    <w:rsid w:val="00FF5E26"/>
    <w:rsid w:val="00FF6055"/>
    <w:rsid w:val="00FF62DE"/>
    <w:rsid w:val="00FF641D"/>
    <w:rsid w:val="00FF678D"/>
    <w:rsid w:val="00FF6880"/>
    <w:rsid w:val="00FF715D"/>
    <w:rsid w:val="00FF7333"/>
    <w:rsid w:val="00FF770E"/>
    <w:rsid w:val="00FF77F6"/>
    <w:rsid w:val="00FF7817"/>
    <w:rsid w:val="00FF7E01"/>
    <w:rsid w:val="00FFA9D0"/>
    <w:rsid w:val="01011BEF"/>
    <w:rsid w:val="0101A7B0"/>
    <w:rsid w:val="0101BEB2"/>
    <w:rsid w:val="01035F41"/>
    <w:rsid w:val="0103C3E8"/>
    <w:rsid w:val="01048BCD"/>
    <w:rsid w:val="0104DCC7"/>
    <w:rsid w:val="010659C5"/>
    <w:rsid w:val="0106E917"/>
    <w:rsid w:val="01085A60"/>
    <w:rsid w:val="0109F81D"/>
    <w:rsid w:val="010B4527"/>
    <w:rsid w:val="010B92D7"/>
    <w:rsid w:val="010F9200"/>
    <w:rsid w:val="010FBBD9"/>
    <w:rsid w:val="0110C0CA"/>
    <w:rsid w:val="011111E4"/>
    <w:rsid w:val="0112F68A"/>
    <w:rsid w:val="0113140C"/>
    <w:rsid w:val="0113C24E"/>
    <w:rsid w:val="01148B00"/>
    <w:rsid w:val="0114F991"/>
    <w:rsid w:val="0115F2C2"/>
    <w:rsid w:val="0117BF7E"/>
    <w:rsid w:val="011889AB"/>
    <w:rsid w:val="01189899"/>
    <w:rsid w:val="0118C3EA"/>
    <w:rsid w:val="0118F059"/>
    <w:rsid w:val="011956CC"/>
    <w:rsid w:val="011A0BEC"/>
    <w:rsid w:val="011AEA48"/>
    <w:rsid w:val="011E6EAB"/>
    <w:rsid w:val="011E7E0C"/>
    <w:rsid w:val="011EAB5E"/>
    <w:rsid w:val="011FBE1D"/>
    <w:rsid w:val="01200830"/>
    <w:rsid w:val="01203552"/>
    <w:rsid w:val="01281DD3"/>
    <w:rsid w:val="0128FE1D"/>
    <w:rsid w:val="012C3D0F"/>
    <w:rsid w:val="012D699E"/>
    <w:rsid w:val="012DC7AB"/>
    <w:rsid w:val="0130F72F"/>
    <w:rsid w:val="0131930B"/>
    <w:rsid w:val="01335B99"/>
    <w:rsid w:val="0133EB0B"/>
    <w:rsid w:val="0134739C"/>
    <w:rsid w:val="0134770F"/>
    <w:rsid w:val="01351D75"/>
    <w:rsid w:val="0136DECD"/>
    <w:rsid w:val="0139EC10"/>
    <w:rsid w:val="013AA053"/>
    <w:rsid w:val="013C3F61"/>
    <w:rsid w:val="013D185F"/>
    <w:rsid w:val="013EBD37"/>
    <w:rsid w:val="013F85F6"/>
    <w:rsid w:val="01444DE0"/>
    <w:rsid w:val="01480805"/>
    <w:rsid w:val="01499CFC"/>
    <w:rsid w:val="014A569E"/>
    <w:rsid w:val="014BA099"/>
    <w:rsid w:val="014C911E"/>
    <w:rsid w:val="014CADE6"/>
    <w:rsid w:val="014D1E2A"/>
    <w:rsid w:val="014D81AC"/>
    <w:rsid w:val="014EA7C8"/>
    <w:rsid w:val="015034DB"/>
    <w:rsid w:val="015153F1"/>
    <w:rsid w:val="01543189"/>
    <w:rsid w:val="01553404"/>
    <w:rsid w:val="0156C7F5"/>
    <w:rsid w:val="0157E39E"/>
    <w:rsid w:val="015880EF"/>
    <w:rsid w:val="01590035"/>
    <w:rsid w:val="01597327"/>
    <w:rsid w:val="015974BD"/>
    <w:rsid w:val="016051F2"/>
    <w:rsid w:val="01611D6C"/>
    <w:rsid w:val="01637D96"/>
    <w:rsid w:val="0163F94D"/>
    <w:rsid w:val="01640200"/>
    <w:rsid w:val="0164D895"/>
    <w:rsid w:val="01686617"/>
    <w:rsid w:val="016A29D2"/>
    <w:rsid w:val="016CA389"/>
    <w:rsid w:val="016F4282"/>
    <w:rsid w:val="0170753F"/>
    <w:rsid w:val="0170BFE4"/>
    <w:rsid w:val="0170C841"/>
    <w:rsid w:val="01734C43"/>
    <w:rsid w:val="0173C0BF"/>
    <w:rsid w:val="0174619F"/>
    <w:rsid w:val="01754869"/>
    <w:rsid w:val="01759A82"/>
    <w:rsid w:val="01783B9B"/>
    <w:rsid w:val="0178AAA3"/>
    <w:rsid w:val="0178BCA0"/>
    <w:rsid w:val="0179FBB0"/>
    <w:rsid w:val="017ADBB4"/>
    <w:rsid w:val="017BAF5A"/>
    <w:rsid w:val="017EC3FF"/>
    <w:rsid w:val="0182A945"/>
    <w:rsid w:val="0183C83E"/>
    <w:rsid w:val="0185663C"/>
    <w:rsid w:val="018962FC"/>
    <w:rsid w:val="0189F5FB"/>
    <w:rsid w:val="018C4193"/>
    <w:rsid w:val="018C4799"/>
    <w:rsid w:val="018CBCA1"/>
    <w:rsid w:val="018EFEA5"/>
    <w:rsid w:val="018FD0DC"/>
    <w:rsid w:val="01910D0C"/>
    <w:rsid w:val="0192B4B1"/>
    <w:rsid w:val="019336C5"/>
    <w:rsid w:val="0194C858"/>
    <w:rsid w:val="01960B64"/>
    <w:rsid w:val="019771F9"/>
    <w:rsid w:val="0199A021"/>
    <w:rsid w:val="019A365E"/>
    <w:rsid w:val="019AD09B"/>
    <w:rsid w:val="019C6DEC"/>
    <w:rsid w:val="019F6B0C"/>
    <w:rsid w:val="01A069C5"/>
    <w:rsid w:val="01A0C6BC"/>
    <w:rsid w:val="01A3FB67"/>
    <w:rsid w:val="01A64308"/>
    <w:rsid w:val="01A7A4E1"/>
    <w:rsid w:val="01A86F43"/>
    <w:rsid w:val="01A9311F"/>
    <w:rsid w:val="01AD1036"/>
    <w:rsid w:val="01B1A926"/>
    <w:rsid w:val="01B1B9D4"/>
    <w:rsid w:val="01B200C4"/>
    <w:rsid w:val="01B34D4F"/>
    <w:rsid w:val="01B4920C"/>
    <w:rsid w:val="01B5AA89"/>
    <w:rsid w:val="01B8E964"/>
    <w:rsid w:val="01BA7308"/>
    <w:rsid w:val="01BAB512"/>
    <w:rsid w:val="01C4D3AD"/>
    <w:rsid w:val="01C5896C"/>
    <w:rsid w:val="01C5CFA9"/>
    <w:rsid w:val="01C83B84"/>
    <w:rsid w:val="01CAD894"/>
    <w:rsid w:val="01CC2105"/>
    <w:rsid w:val="01CC3E19"/>
    <w:rsid w:val="01CCC1AE"/>
    <w:rsid w:val="01CD429B"/>
    <w:rsid w:val="01D12212"/>
    <w:rsid w:val="01D12C12"/>
    <w:rsid w:val="01D33C2B"/>
    <w:rsid w:val="01D36619"/>
    <w:rsid w:val="01D3C1FD"/>
    <w:rsid w:val="01D48BAC"/>
    <w:rsid w:val="01D694CD"/>
    <w:rsid w:val="01D7C5D6"/>
    <w:rsid w:val="01DA6F83"/>
    <w:rsid w:val="01DB6FA3"/>
    <w:rsid w:val="01DBDBBC"/>
    <w:rsid w:val="01DE59EA"/>
    <w:rsid w:val="01DF39AD"/>
    <w:rsid w:val="01DF5CC5"/>
    <w:rsid w:val="01DF8074"/>
    <w:rsid w:val="01DF9890"/>
    <w:rsid w:val="01E1B31E"/>
    <w:rsid w:val="01E1E181"/>
    <w:rsid w:val="01E538F4"/>
    <w:rsid w:val="01E82EF9"/>
    <w:rsid w:val="01E9566F"/>
    <w:rsid w:val="01EA61E4"/>
    <w:rsid w:val="01EA7B10"/>
    <w:rsid w:val="01EA8C13"/>
    <w:rsid w:val="01EB9E23"/>
    <w:rsid w:val="01EBFD45"/>
    <w:rsid w:val="01EC1857"/>
    <w:rsid w:val="01EE75DB"/>
    <w:rsid w:val="01EF4593"/>
    <w:rsid w:val="01F0657A"/>
    <w:rsid w:val="01F24CFC"/>
    <w:rsid w:val="01F3A2CB"/>
    <w:rsid w:val="01F5C8E6"/>
    <w:rsid w:val="01F66361"/>
    <w:rsid w:val="01F75921"/>
    <w:rsid w:val="01FA293E"/>
    <w:rsid w:val="01FA32CF"/>
    <w:rsid w:val="01FAB176"/>
    <w:rsid w:val="01FAC5B0"/>
    <w:rsid w:val="01FB12C7"/>
    <w:rsid w:val="01FB494E"/>
    <w:rsid w:val="01FCD5A4"/>
    <w:rsid w:val="01FDB909"/>
    <w:rsid w:val="01FE35BD"/>
    <w:rsid w:val="01FEC602"/>
    <w:rsid w:val="02004C1B"/>
    <w:rsid w:val="0202D41D"/>
    <w:rsid w:val="0202FAEB"/>
    <w:rsid w:val="02032102"/>
    <w:rsid w:val="02060590"/>
    <w:rsid w:val="0206A6AC"/>
    <w:rsid w:val="020DD38F"/>
    <w:rsid w:val="02103EC3"/>
    <w:rsid w:val="02111316"/>
    <w:rsid w:val="02120408"/>
    <w:rsid w:val="02148A2A"/>
    <w:rsid w:val="02167AA9"/>
    <w:rsid w:val="02168F44"/>
    <w:rsid w:val="0217EB08"/>
    <w:rsid w:val="021810C8"/>
    <w:rsid w:val="021949E0"/>
    <w:rsid w:val="0219842A"/>
    <w:rsid w:val="021B6BD2"/>
    <w:rsid w:val="021D0145"/>
    <w:rsid w:val="021DA3AB"/>
    <w:rsid w:val="021E6CD2"/>
    <w:rsid w:val="0220E1A2"/>
    <w:rsid w:val="0221DA9B"/>
    <w:rsid w:val="02230141"/>
    <w:rsid w:val="0225331C"/>
    <w:rsid w:val="022581F4"/>
    <w:rsid w:val="02258B7F"/>
    <w:rsid w:val="0227526E"/>
    <w:rsid w:val="0227C99F"/>
    <w:rsid w:val="0227E0DD"/>
    <w:rsid w:val="0228B5A1"/>
    <w:rsid w:val="02297543"/>
    <w:rsid w:val="022D6864"/>
    <w:rsid w:val="022E8785"/>
    <w:rsid w:val="02311607"/>
    <w:rsid w:val="0231CA54"/>
    <w:rsid w:val="023336B0"/>
    <w:rsid w:val="02354A74"/>
    <w:rsid w:val="0237A749"/>
    <w:rsid w:val="023978BE"/>
    <w:rsid w:val="023A0BC1"/>
    <w:rsid w:val="023AB6F2"/>
    <w:rsid w:val="023B5382"/>
    <w:rsid w:val="023E0E87"/>
    <w:rsid w:val="023E7675"/>
    <w:rsid w:val="0240D705"/>
    <w:rsid w:val="02418B64"/>
    <w:rsid w:val="0243E6C4"/>
    <w:rsid w:val="02462AE8"/>
    <w:rsid w:val="02473696"/>
    <w:rsid w:val="0247F430"/>
    <w:rsid w:val="024845C0"/>
    <w:rsid w:val="024AC8E0"/>
    <w:rsid w:val="024BDABA"/>
    <w:rsid w:val="024BE040"/>
    <w:rsid w:val="024C0B44"/>
    <w:rsid w:val="024EA343"/>
    <w:rsid w:val="0251BB68"/>
    <w:rsid w:val="0251C9F4"/>
    <w:rsid w:val="02535158"/>
    <w:rsid w:val="0254703F"/>
    <w:rsid w:val="0255B000"/>
    <w:rsid w:val="0255B611"/>
    <w:rsid w:val="02576093"/>
    <w:rsid w:val="02579070"/>
    <w:rsid w:val="02587624"/>
    <w:rsid w:val="0258E42A"/>
    <w:rsid w:val="0258E685"/>
    <w:rsid w:val="0259FF1B"/>
    <w:rsid w:val="025A2892"/>
    <w:rsid w:val="025B2DD0"/>
    <w:rsid w:val="025D8B60"/>
    <w:rsid w:val="025DD808"/>
    <w:rsid w:val="025FCBE3"/>
    <w:rsid w:val="025FE3F9"/>
    <w:rsid w:val="02637AB2"/>
    <w:rsid w:val="02638266"/>
    <w:rsid w:val="02672D84"/>
    <w:rsid w:val="026A06D6"/>
    <w:rsid w:val="026B63BD"/>
    <w:rsid w:val="026BDE3B"/>
    <w:rsid w:val="026D8A71"/>
    <w:rsid w:val="0270A823"/>
    <w:rsid w:val="0270AC01"/>
    <w:rsid w:val="02710058"/>
    <w:rsid w:val="02746DA4"/>
    <w:rsid w:val="02762426"/>
    <w:rsid w:val="02766AA8"/>
    <w:rsid w:val="02774558"/>
    <w:rsid w:val="0279B4A6"/>
    <w:rsid w:val="027A7B5E"/>
    <w:rsid w:val="027B177A"/>
    <w:rsid w:val="027B2CA2"/>
    <w:rsid w:val="027D3370"/>
    <w:rsid w:val="027E803D"/>
    <w:rsid w:val="027F3F32"/>
    <w:rsid w:val="027FAC66"/>
    <w:rsid w:val="028033B7"/>
    <w:rsid w:val="028055EE"/>
    <w:rsid w:val="02814C7D"/>
    <w:rsid w:val="0281CFDC"/>
    <w:rsid w:val="02829164"/>
    <w:rsid w:val="028586A1"/>
    <w:rsid w:val="02874770"/>
    <w:rsid w:val="02884169"/>
    <w:rsid w:val="0289D46F"/>
    <w:rsid w:val="028A0ECA"/>
    <w:rsid w:val="028CC640"/>
    <w:rsid w:val="029077A2"/>
    <w:rsid w:val="029131B2"/>
    <w:rsid w:val="0291AD6B"/>
    <w:rsid w:val="02934332"/>
    <w:rsid w:val="0295F6A4"/>
    <w:rsid w:val="029658D0"/>
    <w:rsid w:val="02997228"/>
    <w:rsid w:val="0299C5F3"/>
    <w:rsid w:val="0299F6FD"/>
    <w:rsid w:val="029B04B1"/>
    <w:rsid w:val="029C0B76"/>
    <w:rsid w:val="029D6D05"/>
    <w:rsid w:val="029E2EEA"/>
    <w:rsid w:val="029F3C30"/>
    <w:rsid w:val="02A41297"/>
    <w:rsid w:val="02A711B5"/>
    <w:rsid w:val="02A9CBDD"/>
    <w:rsid w:val="02ACC31A"/>
    <w:rsid w:val="02AE3128"/>
    <w:rsid w:val="02B0F820"/>
    <w:rsid w:val="02B362C5"/>
    <w:rsid w:val="02B48C67"/>
    <w:rsid w:val="02B6233C"/>
    <w:rsid w:val="02B74EDE"/>
    <w:rsid w:val="02B75195"/>
    <w:rsid w:val="02B94C14"/>
    <w:rsid w:val="02BA29E9"/>
    <w:rsid w:val="02BC5BD4"/>
    <w:rsid w:val="02BD8243"/>
    <w:rsid w:val="02BD88CE"/>
    <w:rsid w:val="02C07779"/>
    <w:rsid w:val="02C08309"/>
    <w:rsid w:val="02C10A16"/>
    <w:rsid w:val="02C11DC4"/>
    <w:rsid w:val="02C16A81"/>
    <w:rsid w:val="02C1B24E"/>
    <w:rsid w:val="02C1FFC6"/>
    <w:rsid w:val="02C23687"/>
    <w:rsid w:val="02C23BAF"/>
    <w:rsid w:val="02C6BACC"/>
    <w:rsid w:val="02C7A1CC"/>
    <w:rsid w:val="02C7AF1D"/>
    <w:rsid w:val="02CB4E51"/>
    <w:rsid w:val="02CD39BA"/>
    <w:rsid w:val="02CD7CF4"/>
    <w:rsid w:val="02CDEBBC"/>
    <w:rsid w:val="02CEB72E"/>
    <w:rsid w:val="02D06806"/>
    <w:rsid w:val="02D17D0C"/>
    <w:rsid w:val="02D1D186"/>
    <w:rsid w:val="02D492FE"/>
    <w:rsid w:val="02D55E72"/>
    <w:rsid w:val="02D642F7"/>
    <w:rsid w:val="02D68425"/>
    <w:rsid w:val="02D6F739"/>
    <w:rsid w:val="02D8426B"/>
    <w:rsid w:val="02D8DB6A"/>
    <w:rsid w:val="02D94569"/>
    <w:rsid w:val="02D94B42"/>
    <w:rsid w:val="02D9A4DC"/>
    <w:rsid w:val="02DD4E71"/>
    <w:rsid w:val="02E00274"/>
    <w:rsid w:val="02E147A3"/>
    <w:rsid w:val="02E18985"/>
    <w:rsid w:val="02E35E0E"/>
    <w:rsid w:val="02E404B8"/>
    <w:rsid w:val="02E847F5"/>
    <w:rsid w:val="02E86EA1"/>
    <w:rsid w:val="02EBB095"/>
    <w:rsid w:val="02ECE391"/>
    <w:rsid w:val="02ED843B"/>
    <w:rsid w:val="02F032CD"/>
    <w:rsid w:val="02F033C1"/>
    <w:rsid w:val="02F0EFD5"/>
    <w:rsid w:val="02F10643"/>
    <w:rsid w:val="02F2904C"/>
    <w:rsid w:val="02F4FEF9"/>
    <w:rsid w:val="02F6EB59"/>
    <w:rsid w:val="02FA5883"/>
    <w:rsid w:val="02FBB8BC"/>
    <w:rsid w:val="02FDC715"/>
    <w:rsid w:val="0300C6E9"/>
    <w:rsid w:val="03015F32"/>
    <w:rsid w:val="0302E9D8"/>
    <w:rsid w:val="030602BC"/>
    <w:rsid w:val="03064138"/>
    <w:rsid w:val="030655E0"/>
    <w:rsid w:val="030941CF"/>
    <w:rsid w:val="03099FEC"/>
    <w:rsid w:val="030C15CB"/>
    <w:rsid w:val="030E1428"/>
    <w:rsid w:val="030FC988"/>
    <w:rsid w:val="03123888"/>
    <w:rsid w:val="0313CF92"/>
    <w:rsid w:val="03157827"/>
    <w:rsid w:val="03173AB4"/>
    <w:rsid w:val="031A052F"/>
    <w:rsid w:val="031CC153"/>
    <w:rsid w:val="031CC706"/>
    <w:rsid w:val="031D70B9"/>
    <w:rsid w:val="031E6079"/>
    <w:rsid w:val="031FFCAE"/>
    <w:rsid w:val="03226D9D"/>
    <w:rsid w:val="0322B02A"/>
    <w:rsid w:val="03230BBD"/>
    <w:rsid w:val="032321F9"/>
    <w:rsid w:val="03232C29"/>
    <w:rsid w:val="032493EE"/>
    <w:rsid w:val="03253C14"/>
    <w:rsid w:val="03289369"/>
    <w:rsid w:val="03292903"/>
    <w:rsid w:val="03296A6D"/>
    <w:rsid w:val="03296FCE"/>
    <w:rsid w:val="032A30DD"/>
    <w:rsid w:val="032DCF27"/>
    <w:rsid w:val="032DE319"/>
    <w:rsid w:val="0332760F"/>
    <w:rsid w:val="0335FB44"/>
    <w:rsid w:val="03370D7A"/>
    <w:rsid w:val="0338143A"/>
    <w:rsid w:val="033A2123"/>
    <w:rsid w:val="033AFD1A"/>
    <w:rsid w:val="033D4D4F"/>
    <w:rsid w:val="033EEBF7"/>
    <w:rsid w:val="033F4C09"/>
    <w:rsid w:val="033FB9C8"/>
    <w:rsid w:val="0340161F"/>
    <w:rsid w:val="0340C402"/>
    <w:rsid w:val="034535A1"/>
    <w:rsid w:val="0345627F"/>
    <w:rsid w:val="03467C67"/>
    <w:rsid w:val="0348BC14"/>
    <w:rsid w:val="034AF113"/>
    <w:rsid w:val="034EFE19"/>
    <w:rsid w:val="034F43E0"/>
    <w:rsid w:val="03544F17"/>
    <w:rsid w:val="0356858A"/>
    <w:rsid w:val="03573FFE"/>
    <w:rsid w:val="0357BEF2"/>
    <w:rsid w:val="035AA996"/>
    <w:rsid w:val="035AB944"/>
    <w:rsid w:val="035C713D"/>
    <w:rsid w:val="035CA812"/>
    <w:rsid w:val="035D0359"/>
    <w:rsid w:val="035D9E2E"/>
    <w:rsid w:val="035E196B"/>
    <w:rsid w:val="035E8850"/>
    <w:rsid w:val="035F03FF"/>
    <w:rsid w:val="035F6CB8"/>
    <w:rsid w:val="035F92CD"/>
    <w:rsid w:val="0360AE60"/>
    <w:rsid w:val="0361C564"/>
    <w:rsid w:val="0362ED03"/>
    <w:rsid w:val="0363BE50"/>
    <w:rsid w:val="03649E1B"/>
    <w:rsid w:val="03649FD7"/>
    <w:rsid w:val="0364A5E2"/>
    <w:rsid w:val="0365CE9F"/>
    <w:rsid w:val="03661520"/>
    <w:rsid w:val="03663A14"/>
    <w:rsid w:val="0366EBB5"/>
    <w:rsid w:val="0369204E"/>
    <w:rsid w:val="03694542"/>
    <w:rsid w:val="03698427"/>
    <w:rsid w:val="0370BBA5"/>
    <w:rsid w:val="03716261"/>
    <w:rsid w:val="03724F5A"/>
    <w:rsid w:val="0372F1F5"/>
    <w:rsid w:val="03770F9B"/>
    <w:rsid w:val="0377FA39"/>
    <w:rsid w:val="037907E4"/>
    <w:rsid w:val="03796049"/>
    <w:rsid w:val="03799356"/>
    <w:rsid w:val="037A3FFE"/>
    <w:rsid w:val="037C36B0"/>
    <w:rsid w:val="037F3766"/>
    <w:rsid w:val="03813C40"/>
    <w:rsid w:val="03814709"/>
    <w:rsid w:val="03815401"/>
    <w:rsid w:val="03834D53"/>
    <w:rsid w:val="0385539B"/>
    <w:rsid w:val="03860363"/>
    <w:rsid w:val="03865A27"/>
    <w:rsid w:val="038941CE"/>
    <w:rsid w:val="038B7FD2"/>
    <w:rsid w:val="038BC858"/>
    <w:rsid w:val="038CF4A4"/>
    <w:rsid w:val="038D63E7"/>
    <w:rsid w:val="038F124B"/>
    <w:rsid w:val="038FF6C0"/>
    <w:rsid w:val="03902F3C"/>
    <w:rsid w:val="0390EFE7"/>
    <w:rsid w:val="039204C2"/>
    <w:rsid w:val="0393B5A7"/>
    <w:rsid w:val="0394ABCE"/>
    <w:rsid w:val="0394C8E7"/>
    <w:rsid w:val="0395CDEA"/>
    <w:rsid w:val="0395EE39"/>
    <w:rsid w:val="03992C73"/>
    <w:rsid w:val="039D8FE8"/>
    <w:rsid w:val="039DF848"/>
    <w:rsid w:val="039E1B7A"/>
    <w:rsid w:val="039E25A5"/>
    <w:rsid w:val="039E4048"/>
    <w:rsid w:val="03A132F9"/>
    <w:rsid w:val="03A1386A"/>
    <w:rsid w:val="03A5DCF0"/>
    <w:rsid w:val="03A62156"/>
    <w:rsid w:val="03A83638"/>
    <w:rsid w:val="03A99EEC"/>
    <w:rsid w:val="03AEA2A2"/>
    <w:rsid w:val="03B02000"/>
    <w:rsid w:val="03B123D1"/>
    <w:rsid w:val="03B14FCA"/>
    <w:rsid w:val="03B2105B"/>
    <w:rsid w:val="03B2AE1E"/>
    <w:rsid w:val="03B32BAB"/>
    <w:rsid w:val="03B433F1"/>
    <w:rsid w:val="03B6E60B"/>
    <w:rsid w:val="03B6FE5F"/>
    <w:rsid w:val="03B79A7B"/>
    <w:rsid w:val="03B79C0B"/>
    <w:rsid w:val="03B802BB"/>
    <w:rsid w:val="03B95A5D"/>
    <w:rsid w:val="03BA23D3"/>
    <w:rsid w:val="03BAFCD4"/>
    <w:rsid w:val="03BB2231"/>
    <w:rsid w:val="03BF3DE0"/>
    <w:rsid w:val="03C13C28"/>
    <w:rsid w:val="03C14CFE"/>
    <w:rsid w:val="03C1C6E3"/>
    <w:rsid w:val="03C1EC4A"/>
    <w:rsid w:val="03C26251"/>
    <w:rsid w:val="03C2DF3B"/>
    <w:rsid w:val="03C387E1"/>
    <w:rsid w:val="03C3D2EE"/>
    <w:rsid w:val="03C51F04"/>
    <w:rsid w:val="03C529DD"/>
    <w:rsid w:val="03C58E43"/>
    <w:rsid w:val="03CC78D4"/>
    <w:rsid w:val="03CD3942"/>
    <w:rsid w:val="03CDD3C7"/>
    <w:rsid w:val="03CE8A6F"/>
    <w:rsid w:val="03CEFF30"/>
    <w:rsid w:val="03D372BE"/>
    <w:rsid w:val="03D54098"/>
    <w:rsid w:val="03D570E4"/>
    <w:rsid w:val="03D8B76F"/>
    <w:rsid w:val="03D93D48"/>
    <w:rsid w:val="03DADD3E"/>
    <w:rsid w:val="03DE6D84"/>
    <w:rsid w:val="03E05D27"/>
    <w:rsid w:val="03E0841A"/>
    <w:rsid w:val="03E114EC"/>
    <w:rsid w:val="03E4B816"/>
    <w:rsid w:val="03E53BD7"/>
    <w:rsid w:val="03E6F30A"/>
    <w:rsid w:val="03EB5A34"/>
    <w:rsid w:val="03ED3B70"/>
    <w:rsid w:val="03EDFA11"/>
    <w:rsid w:val="03EE7406"/>
    <w:rsid w:val="03EE863F"/>
    <w:rsid w:val="03EEA1EF"/>
    <w:rsid w:val="03F0377A"/>
    <w:rsid w:val="03F07117"/>
    <w:rsid w:val="03F1D239"/>
    <w:rsid w:val="03F4046D"/>
    <w:rsid w:val="03F451FC"/>
    <w:rsid w:val="03F5A63F"/>
    <w:rsid w:val="03F61911"/>
    <w:rsid w:val="03F8FCD2"/>
    <w:rsid w:val="03FD228F"/>
    <w:rsid w:val="04023EED"/>
    <w:rsid w:val="0402CD64"/>
    <w:rsid w:val="040A129E"/>
    <w:rsid w:val="040A35E6"/>
    <w:rsid w:val="040AC0B4"/>
    <w:rsid w:val="040E8153"/>
    <w:rsid w:val="04105EC3"/>
    <w:rsid w:val="0410831F"/>
    <w:rsid w:val="041220C1"/>
    <w:rsid w:val="041324BE"/>
    <w:rsid w:val="04135706"/>
    <w:rsid w:val="0413D7CD"/>
    <w:rsid w:val="04166ED9"/>
    <w:rsid w:val="0416A4CC"/>
    <w:rsid w:val="04192537"/>
    <w:rsid w:val="041D99E2"/>
    <w:rsid w:val="041FDFF1"/>
    <w:rsid w:val="04204669"/>
    <w:rsid w:val="04243F72"/>
    <w:rsid w:val="04250442"/>
    <w:rsid w:val="042643DF"/>
    <w:rsid w:val="042838D5"/>
    <w:rsid w:val="04283EF9"/>
    <w:rsid w:val="0428D23D"/>
    <w:rsid w:val="042D343E"/>
    <w:rsid w:val="042D46B6"/>
    <w:rsid w:val="042D6AC3"/>
    <w:rsid w:val="042EC613"/>
    <w:rsid w:val="042F73B2"/>
    <w:rsid w:val="04300379"/>
    <w:rsid w:val="04308FB9"/>
    <w:rsid w:val="04316C96"/>
    <w:rsid w:val="04368BBF"/>
    <w:rsid w:val="0437C6C7"/>
    <w:rsid w:val="0437F32B"/>
    <w:rsid w:val="0438F23D"/>
    <w:rsid w:val="0439B158"/>
    <w:rsid w:val="0439C2C2"/>
    <w:rsid w:val="043B7EC6"/>
    <w:rsid w:val="043C3F1F"/>
    <w:rsid w:val="043D74C6"/>
    <w:rsid w:val="043E26EA"/>
    <w:rsid w:val="043EDE70"/>
    <w:rsid w:val="0440C91A"/>
    <w:rsid w:val="04419AC5"/>
    <w:rsid w:val="0446880F"/>
    <w:rsid w:val="0446944F"/>
    <w:rsid w:val="04476D3F"/>
    <w:rsid w:val="044D68A1"/>
    <w:rsid w:val="044DFB1D"/>
    <w:rsid w:val="0450CFD9"/>
    <w:rsid w:val="0450E8F6"/>
    <w:rsid w:val="045388C5"/>
    <w:rsid w:val="04546163"/>
    <w:rsid w:val="0456C835"/>
    <w:rsid w:val="04593187"/>
    <w:rsid w:val="045AB098"/>
    <w:rsid w:val="046050EC"/>
    <w:rsid w:val="0463F713"/>
    <w:rsid w:val="046473CB"/>
    <w:rsid w:val="0464A0C7"/>
    <w:rsid w:val="0464B395"/>
    <w:rsid w:val="0464DA44"/>
    <w:rsid w:val="04653C3C"/>
    <w:rsid w:val="046B0958"/>
    <w:rsid w:val="046C85E4"/>
    <w:rsid w:val="046CD92A"/>
    <w:rsid w:val="046DB941"/>
    <w:rsid w:val="04702294"/>
    <w:rsid w:val="0470CC8B"/>
    <w:rsid w:val="0470FE71"/>
    <w:rsid w:val="04731D0D"/>
    <w:rsid w:val="0473BBEF"/>
    <w:rsid w:val="04740D8D"/>
    <w:rsid w:val="047646DD"/>
    <w:rsid w:val="047A1BAF"/>
    <w:rsid w:val="047B0066"/>
    <w:rsid w:val="047C02B8"/>
    <w:rsid w:val="047C7E4B"/>
    <w:rsid w:val="047CE3D1"/>
    <w:rsid w:val="047EE074"/>
    <w:rsid w:val="047FA74D"/>
    <w:rsid w:val="047FCF16"/>
    <w:rsid w:val="047FF346"/>
    <w:rsid w:val="0481071B"/>
    <w:rsid w:val="04866B1D"/>
    <w:rsid w:val="048733E5"/>
    <w:rsid w:val="04899ED9"/>
    <w:rsid w:val="048A317E"/>
    <w:rsid w:val="048A5EB0"/>
    <w:rsid w:val="048C96D0"/>
    <w:rsid w:val="048D55A2"/>
    <w:rsid w:val="048FECED"/>
    <w:rsid w:val="04900395"/>
    <w:rsid w:val="0491A47E"/>
    <w:rsid w:val="049298C6"/>
    <w:rsid w:val="0492C417"/>
    <w:rsid w:val="0492F38B"/>
    <w:rsid w:val="04936D5D"/>
    <w:rsid w:val="0493B2FC"/>
    <w:rsid w:val="0497F2B4"/>
    <w:rsid w:val="049C0FCA"/>
    <w:rsid w:val="049C1240"/>
    <w:rsid w:val="049E1675"/>
    <w:rsid w:val="049EF438"/>
    <w:rsid w:val="04A18C61"/>
    <w:rsid w:val="04A23833"/>
    <w:rsid w:val="04A289F0"/>
    <w:rsid w:val="04A2FC68"/>
    <w:rsid w:val="04A7B5B6"/>
    <w:rsid w:val="04A984E4"/>
    <w:rsid w:val="04AA0469"/>
    <w:rsid w:val="04ADBF6F"/>
    <w:rsid w:val="04B33CDD"/>
    <w:rsid w:val="04B36AA9"/>
    <w:rsid w:val="04B37BDD"/>
    <w:rsid w:val="04B46F14"/>
    <w:rsid w:val="04B77F8F"/>
    <w:rsid w:val="04B7B792"/>
    <w:rsid w:val="04B7B9C1"/>
    <w:rsid w:val="04B98A42"/>
    <w:rsid w:val="04B98A8E"/>
    <w:rsid w:val="04BB7DC4"/>
    <w:rsid w:val="04BE0A65"/>
    <w:rsid w:val="04BF1EF6"/>
    <w:rsid w:val="04BF22F7"/>
    <w:rsid w:val="04C3DE87"/>
    <w:rsid w:val="04C6078E"/>
    <w:rsid w:val="04C7FD8A"/>
    <w:rsid w:val="04CB052B"/>
    <w:rsid w:val="04CC1FE8"/>
    <w:rsid w:val="04CCE80A"/>
    <w:rsid w:val="04CCF1B3"/>
    <w:rsid w:val="04CD9A78"/>
    <w:rsid w:val="04CDB63C"/>
    <w:rsid w:val="04D2BEC2"/>
    <w:rsid w:val="04D6425A"/>
    <w:rsid w:val="04D820B4"/>
    <w:rsid w:val="04D954E9"/>
    <w:rsid w:val="04DAB5F8"/>
    <w:rsid w:val="04DC0D94"/>
    <w:rsid w:val="04DCC82D"/>
    <w:rsid w:val="04DF9574"/>
    <w:rsid w:val="04DFAD71"/>
    <w:rsid w:val="04E37F0A"/>
    <w:rsid w:val="04E4CEE1"/>
    <w:rsid w:val="04E8A7B1"/>
    <w:rsid w:val="04E8C683"/>
    <w:rsid w:val="04E9103B"/>
    <w:rsid w:val="04EDF2C9"/>
    <w:rsid w:val="04F2A8AD"/>
    <w:rsid w:val="04F2B448"/>
    <w:rsid w:val="04F2E671"/>
    <w:rsid w:val="04F51B0A"/>
    <w:rsid w:val="04F5530E"/>
    <w:rsid w:val="04F600B7"/>
    <w:rsid w:val="04F64058"/>
    <w:rsid w:val="04F6E2EE"/>
    <w:rsid w:val="04F95675"/>
    <w:rsid w:val="04FBB885"/>
    <w:rsid w:val="04FCB566"/>
    <w:rsid w:val="04FD41BC"/>
    <w:rsid w:val="04FFA6C9"/>
    <w:rsid w:val="04FFD13E"/>
    <w:rsid w:val="05022D0C"/>
    <w:rsid w:val="05053588"/>
    <w:rsid w:val="05061E4A"/>
    <w:rsid w:val="05065168"/>
    <w:rsid w:val="0509D377"/>
    <w:rsid w:val="050D15E6"/>
    <w:rsid w:val="050F03D6"/>
    <w:rsid w:val="0511070C"/>
    <w:rsid w:val="0514B648"/>
    <w:rsid w:val="05152AB7"/>
    <w:rsid w:val="05158F91"/>
    <w:rsid w:val="0516F9DF"/>
    <w:rsid w:val="0519EF02"/>
    <w:rsid w:val="051C2C69"/>
    <w:rsid w:val="051E4176"/>
    <w:rsid w:val="051F01F3"/>
    <w:rsid w:val="051FA07F"/>
    <w:rsid w:val="05209BE6"/>
    <w:rsid w:val="0520CC39"/>
    <w:rsid w:val="0522A120"/>
    <w:rsid w:val="0522B8C7"/>
    <w:rsid w:val="0522E9BA"/>
    <w:rsid w:val="0522E9D6"/>
    <w:rsid w:val="05238B1D"/>
    <w:rsid w:val="0523A782"/>
    <w:rsid w:val="0523B919"/>
    <w:rsid w:val="05240BE9"/>
    <w:rsid w:val="05249BA5"/>
    <w:rsid w:val="05253C9C"/>
    <w:rsid w:val="0528D07F"/>
    <w:rsid w:val="0529A199"/>
    <w:rsid w:val="052B12F2"/>
    <w:rsid w:val="052B9CD2"/>
    <w:rsid w:val="052D9BCE"/>
    <w:rsid w:val="052EA31E"/>
    <w:rsid w:val="052EC58B"/>
    <w:rsid w:val="052FA361"/>
    <w:rsid w:val="0530F8F9"/>
    <w:rsid w:val="05318ECC"/>
    <w:rsid w:val="0531B83A"/>
    <w:rsid w:val="0532217B"/>
    <w:rsid w:val="0535F1A3"/>
    <w:rsid w:val="0536355C"/>
    <w:rsid w:val="0537ECA5"/>
    <w:rsid w:val="0539EE96"/>
    <w:rsid w:val="053AA683"/>
    <w:rsid w:val="053AD349"/>
    <w:rsid w:val="053DFD23"/>
    <w:rsid w:val="05400323"/>
    <w:rsid w:val="05414E90"/>
    <w:rsid w:val="05417F39"/>
    <w:rsid w:val="054297A2"/>
    <w:rsid w:val="0542E203"/>
    <w:rsid w:val="0543FC0F"/>
    <w:rsid w:val="054619A9"/>
    <w:rsid w:val="0546EB11"/>
    <w:rsid w:val="0549B3E8"/>
    <w:rsid w:val="054B89B1"/>
    <w:rsid w:val="054BFD80"/>
    <w:rsid w:val="054D0461"/>
    <w:rsid w:val="054FC3DD"/>
    <w:rsid w:val="0551408C"/>
    <w:rsid w:val="0551B607"/>
    <w:rsid w:val="05570139"/>
    <w:rsid w:val="05577123"/>
    <w:rsid w:val="0558C350"/>
    <w:rsid w:val="055927F3"/>
    <w:rsid w:val="05604AF9"/>
    <w:rsid w:val="0560C271"/>
    <w:rsid w:val="05612164"/>
    <w:rsid w:val="056132B7"/>
    <w:rsid w:val="05624034"/>
    <w:rsid w:val="05636964"/>
    <w:rsid w:val="05639258"/>
    <w:rsid w:val="056550E6"/>
    <w:rsid w:val="0566DAD0"/>
    <w:rsid w:val="0568D96C"/>
    <w:rsid w:val="05697C71"/>
    <w:rsid w:val="05697FD3"/>
    <w:rsid w:val="056A6197"/>
    <w:rsid w:val="056ABA18"/>
    <w:rsid w:val="056CCE2C"/>
    <w:rsid w:val="056DD30A"/>
    <w:rsid w:val="056F0175"/>
    <w:rsid w:val="0571B8A0"/>
    <w:rsid w:val="0571C668"/>
    <w:rsid w:val="05724698"/>
    <w:rsid w:val="0575C292"/>
    <w:rsid w:val="05762239"/>
    <w:rsid w:val="0576F38D"/>
    <w:rsid w:val="05771190"/>
    <w:rsid w:val="05775678"/>
    <w:rsid w:val="057793FA"/>
    <w:rsid w:val="0579E183"/>
    <w:rsid w:val="057ADDDC"/>
    <w:rsid w:val="057AFD37"/>
    <w:rsid w:val="057B2297"/>
    <w:rsid w:val="057B6C6C"/>
    <w:rsid w:val="057B6E9B"/>
    <w:rsid w:val="057B791E"/>
    <w:rsid w:val="057B834B"/>
    <w:rsid w:val="057CC467"/>
    <w:rsid w:val="057D9DF4"/>
    <w:rsid w:val="057F4167"/>
    <w:rsid w:val="057F4DC6"/>
    <w:rsid w:val="0583F8A7"/>
    <w:rsid w:val="0584EB50"/>
    <w:rsid w:val="0585136F"/>
    <w:rsid w:val="05865B9D"/>
    <w:rsid w:val="05892F50"/>
    <w:rsid w:val="0589CC44"/>
    <w:rsid w:val="058A6D76"/>
    <w:rsid w:val="058BAE9C"/>
    <w:rsid w:val="058CE90A"/>
    <w:rsid w:val="058FE147"/>
    <w:rsid w:val="0593C762"/>
    <w:rsid w:val="0595616C"/>
    <w:rsid w:val="05957172"/>
    <w:rsid w:val="0596B012"/>
    <w:rsid w:val="059788C0"/>
    <w:rsid w:val="05978FF5"/>
    <w:rsid w:val="059A9A00"/>
    <w:rsid w:val="059A9BA8"/>
    <w:rsid w:val="059C4848"/>
    <w:rsid w:val="059CA946"/>
    <w:rsid w:val="059CABE7"/>
    <w:rsid w:val="059ECC24"/>
    <w:rsid w:val="05A27995"/>
    <w:rsid w:val="05A6EF5F"/>
    <w:rsid w:val="05AA96A8"/>
    <w:rsid w:val="05AB7A48"/>
    <w:rsid w:val="05AB859E"/>
    <w:rsid w:val="05ABC961"/>
    <w:rsid w:val="05AC3E05"/>
    <w:rsid w:val="05AEF250"/>
    <w:rsid w:val="05AF566E"/>
    <w:rsid w:val="05B32D26"/>
    <w:rsid w:val="05B334E4"/>
    <w:rsid w:val="05B34B60"/>
    <w:rsid w:val="05B3EC76"/>
    <w:rsid w:val="05B721AA"/>
    <w:rsid w:val="05B73182"/>
    <w:rsid w:val="05B7907C"/>
    <w:rsid w:val="05B7BFD0"/>
    <w:rsid w:val="05B85750"/>
    <w:rsid w:val="05BB3F67"/>
    <w:rsid w:val="05BBE2D6"/>
    <w:rsid w:val="05BBFDA4"/>
    <w:rsid w:val="05C574A5"/>
    <w:rsid w:val="05C6E9A6"/>
    <w:rsid w:val="05CA3340"/>
    <w:rsid w:val="05CAB4F5"/>
    <w:rsid w:val="05CC6170"/>
    <w:rsid w:val="05CCAF79"/>
    <w:rsid w:val="05CF745D"/>
    <w:rsid w:val="05D001F0"/>
    <w:rsid w:val="05D0CF9E"/>
    <w:rsid w:val="05D4B552"/>
    <w:rsid w:val="05D50736"/>
    <w:rsid w:val="05D52F18"/>
    <w:rsid w:val="05D991A1"/>
    <w:rsid w:val="05DCACE3"/>
    <w:rsid w:val="05DF4A06"/>
    <w:rsid w:val="05E122F7"/>
    <w:rsid w:val="05E13C19"/>
    <w:rsid w:val="05E19414"/>
    <w:rsid w:val="05E272E2"/>
    <w:rsid w:val="05E4BDC7"/>
    <w:rsid w:val="05E4CA82"/>
    <w:rsid w:val="05E5381B"/>
    <w:rsid w:val="05E55EE8"/>
    <w:rsid w:val="05E5E200"/>
    <w:rsid w:val="05E6D37A"/>
    <w:rsid w:val="05E72380"/>
    <w:rsid w:val="05E733AF"/>
    <w:rsid w:val="05ED5A69"/>
    <w:rsid w:val="05EFB55D"/>
    <w:rsid w:val="05F05BB3"/>
    <w:rsid w:val="05F0B0CA"/>
    <w:rsid w:val="05F29084"/>
    <w:rsid w:val="05F296B8"/>
    <w:rsid w:val="05F39480"/>
    <w:rsid w:val="05F690FC"/>
    <w:rsid w:val="05F701D4"/>
    <w:rsid w:val="05F7EAD4"/>
    <w:rsid w:val="05F944E9"/>
    <w:rsid w:val="05F9E540"/>
    <w:rsid w:val="0600098E"/>
    <w:rsid w:val="060211E0"/>
    <w:rsid w:val="0606D864"/>
    <w:rsid w:val="0607715D"/>
    <w:rsid w:val="060802C3"/>
    <w:rsid w:val="06098119"/>
    <w:rsid w:val="060ABE7D"/>
    <w:rsid w:val="060B45FA"/>
    <w:rsid w:val="060D4B95"/>
    <w:rsid w:val="060DFC66"/>
    <w:rsid w:val="060E96E9"/>
    <w:rsid w:val="061069DE"/>
    <w:rsid w:val="06124827"/>
    <w:rsid w:val="0613BE82"/>
    <w:rsid w:val="0613FFF2"/>
    <w:rsid w:val="0614BE74"/>
    <w:rsid w:val="06166B14"/>
    <w:rsid w:val="061B5FCE"/>
    <w:rsid w:val="061CC663"/>
    <w:rsid w:val="061D2152"/>
    <w:rsid w:val="061F5170"/>
    <w:rsid w:val="061F5DC0"/>
    <w:rsid w:val="06225245"/>
    <w:rsid w:val="0625F6FD"/>
    <w:rsid w:val="0626AA56"/>
    <w:rsid w:val="0626C563"/>
    <w:rsid w:val="0627E5C0"/>
    <w:rsid w:val="0629792E"/>
    <w:rsid w:val="0629ED26"/>
    <w:rsid w:val="062BBCC4"/>
    <w:rsid w:val="062C8021"/>
    <w:rsid w:val="062D73B1"/>
    <w:rsid w:val="0631D1C0"/>
    <w:rsid w:val="06330C6A"/>
    <w:rsid w:val="063479D1"/>
    <w:rsid w:val="063507C0"/>
    <w:rsid w:val="0635793D"/>
    <w:rsid w:val="0636879C"/>
    <w:rsid w:val="06376EA5"/>
    <w:rsid w:val="063AB90A"/>
    <w:rsid w:val="063AFFE7"/>
    <w:rsid w:val="063C24EE"/>
    <w:rsid w:val="063C4610"/>
    <w:rsid w:val="063C752D"/>
    <w:rsid w:val="063ECB50"/>
    <w:rsid w:val="064129C4"/>
    <w:rsid w:val="06435CB6"/>
    <w:rsid w:val="064475B1"/>
    <w:rsid w:val="06454930"/>
    <w:rsid w:val="06460FB3"/>
    <w:rsid w:val="06462621"/>
    <w:rsid w:val="0649EFA6"/>
    <w:rsid w:val="064A3391"/>
    <w:rsid w:val="064A9D35"/>
    <w:rsid w:val="064C042C"/>
    <w:rsid w:val="064CDC3E"/>
    <w:rsid w:val="064F4B87"/>
    <w:rsid w:val="06502994"/>
    <w:rsid w:val="06518D98"/>
    <w:rsid w:val="06519731"/>
    <w:rsid w:val="0651B51B"/>
    <w:rsid w:val="065269C9"/>
    <w:rsid w:val="065B199B"/>
    <w:rsid w:val="065B8FC4"/>
    <w:rsid w:val="065D02A9"/>
    <w:rsid w:val="065D0891"/>
    <w:rsid w:val="065DA1CD"/>
    <w:rsid w:val="065F4FDE"/>
    <w:rsid w:val="06624656"/>
    <w:rsid w:val="0664779D"/>
    <w:rsid w:val="06652A17"/>
    <w:rsid w:val="0665E82D"/>
    <w:rsid w:val="066BCE5D"/>
    <w:rsid w:val="066EE8C0"/>
    <w:rsid w:val="066EF6C1"/>
    <w:rsid w:val="06741595"/>
    <w:rsid w:val="0675C6D1"/>
    <w:rsid w:val="06761D30"/>
    <w:rsid w:val="067AB683"/>
    <w:rsid w:val="067AF69A"/>
    <w:rsid w:val="067C1E4A"/>
    <w:rsid w:val="067CF527"/>
    <w:rsid w:val="067DB33B"/>
    <w:rsid w:val="067E6E7B"/>
    <w:rsid w:val="067E84A1"/>
    <w:rsid w:val="06850E8B"/>
    <w:rsid w:val="0687A0B1"/>
    <w:rsid w:val="0689B8BF"/>
    <w:rsid w:val="0689C500"/>
    <w:rsid w:val="068A59C1"/>
    <w:rsid w:val="068B98B6"/>
    <w:rsid w:val="068BEFB6"/>
    <w:rsid w:val="068C6199"/>
    <w:rsid w:val="068C7BE7"/>
    <w:rsid w:val="068CB028"/>
    <w:rsid w:val="06906609"/>
    <w:rsid w:val="06926C68"/>
    <w:rsid w:val="06937440"/>
    <w:rsid w:val="06972217"/>
    <w:rsid w:val="069AB876"/>
    <w:rsid w:val="069B4F2C"/>
    <w:rsid w:val="069CB594"/>
    <w:rsid w:val="069CF5E9"/>
    <w:rsid w:val="069E2BE1"/>
    <w:rsid w:val="06A0E385"/>
    <w:rsid w:val="06A53A26"/>
    <w:rsid w:val="06A5F7BC"/>
    <w:rsid w:val="06A7B6E7"/>
    <w:rsid w:val="06AA094D"/>
    <w:rsid w:val="06AB699B"/>
    <w:rsid w:val="06AED108"/>
    <w:rsid w:val="06AF0540"/>
    <w:rsid w:val="06B0AC27"/>
    <w:rsid w:val="06B0D2BD"/>
    <w:rsid w:val="06B20FCE"/>
    <w:rsid w:val="06B355C4"/>
    <w:rsid w:val="06B385DD"/>
    <w:rsid w:val="06B3DE26"/>
    <w:rsid w:val="06B4A7AF"/>
    <w:rsid w:val="06B61C54"/>
    <w:rsid w:val="06B74552"/>
    <w:rsid w:val="06B7FDD5"/>
    <w:rsid w:val="06B891F4"/>
    <w:rsid w:val="06B8EE02"/>
    <w:rsid w:val="06BA3329"/>
    <w:rsid w:val="06BAD228"/>
    <w:rsid w:val="06BBBF8C"/>
    <w:rsid w:val="06BBD893"/>
    <w:rsid w:val="06BC9BD2"/>
    <w:rsid w:val="06BD11F9"/>
    <w:rsid w:val="06BD5AC0"/>
    <w:rsid w:val="06BE67DD"/>
    <w:rsid w:val="06BEF494"/>
    <w:rsid w:val="06C3E2DF"/>
    <w:rsid w:val="06C47BF1"/>
    <w:rsid w:val="06C497EC"/>
    <w:rsid w:val="06C5BECC"/>
    <w:rsid w:val="06C7F38A"/>
    <w:rsid w:val="06C8014A"/>
    <w:rsid w:val="06CA73B2"/>
    <w:rsid w:val="06CAEA7C"/>
    <w:rsid w:val="06CF6C60"/>
    <w:rsid w:val="06D18E04"/>
    <w:rsid w:val="06D25E74"/>
    <w:rsid w:val="06D29B91"/>
    <w:rsid w:val="06D2DEBA"/>
    <w:rsid w:val="06D73FAD"/>
    <w:rsid w:val="06D79B45"/>
    <w:rsid w:val="06DA2DDC"/>
    <w:rsid w:val="06DBEE6D"/>
    <w:rsid w:val="06E090F9"/>
    <w:rsid w:val="06E0952A"/>
    <w:rsid w:val="06E335A5"/>
    <w:rsid w:val="06E4256A"/>
    <w:rsid w:val="06E42BD4"/>
    <w:rsid w:val="06E657FD"/>
    <w:rsid w:val="06E6E54B"/>
    <w:rsid w:val="06E76EA3"/>
    <w:rsid w:val="06E82D1A"/>
    <w:rsid w:val="06E97E12"/>
    <w:rsid w:val="06E998CD"/>
    <w:rsid w:val="06EAA3EC"/>
    <w:rsid w:val="06EACE25"/>
    <w:rsid w:val="06EADC6F"/>
    <w:rsid w:val="06EB452D"/>
    <w:rsid w:val="06EC6975"/>
    <w:rsid w:val="06ECBE24"/>
    <w:rsid w:val="06EFBE8B"/>
    <w:rsid w:val="06F118C4"/>
    <w:rsid w:val="06F14BA9"/>
    <w:rsid w:val="06F174D8"/>
    <w:rsid w:val="06F2ACAA"/>
    <w:rsid w:val="06F4A714"/>
    <w:rsid w:val="06F54B30"/>
    <w:rsid w:val="06F55E93"/>
    <w:rsid w:val="06F5CCB6"/>
    <w:rsid w:val="06F6C36B"/>
    <w:rsid w:val="06F6CC93"/>
    <w:rsid w:val="06F6E7D5"/>
    <w:rsid w:val="06F8F614"/>
    <w:rsid w:val="06FAB916"/>
    <w:rsid w:val="06FD96B5"/>
    <w:rsid w:val="070172A8"/>
    <w:rsid w:val="070579A1"/>
    <w:rsid w:val="07065DB2"/>
    <w:rsid w:val="07074BB0"/>
    <w:rsid w:val="07080E59"/>
    <w:rsid w:val="070B8DA9"/>
    <w:rsid w:val="070BDDA1"/>
    <w:rsid w:val="070CC1A8"/>
    <w:rsid w:val="070E3CF0"/>
    <w:rsid w:val="07123774"/>
    <w:rsid w:val="0713355D"/>
    <w:rsid w:val="07138043"/>
    <w:rsid w:val="0713A670"/>
    <w:rsid w:val="0714E2C3"/>
    <w:rsid w:val="07153AA1"/>
    <w:rsid w:val="071649B5"/>
    <w:rsid w:val="07164EDB"/>
    <w:rsid w:val="0717F79F"/>
    <w:rsid w:val="0718BD9D"/>
    <w:rsid w:val="07198670"/>
    <w:rsid w:val="07203CED"/>
    <w:rsid w:val="0721A80D"/>
    <w:rsid w:val="0721ADE1"/>
    <w:rsid w:val="0721AE00"/>
    <w:rsid w:val="0723BA9A"/>
    <w:rsid w:val="0723E66D"/>
    <w:rsid w:val="0724ADA0"/>
    <w:rsid w:val="07254BEA"/>
    <w:rsid w:val="07277499"/>
    <w:rsid w:val="0729516A"/>
    <w:rsid w:val="072AFD5D"/>
    <w:rsid w:val="072C679B"/>
    <w:rsid w:val="072D2327"/>
    <w:rsid w:val="0730EC96"/>
    <w:rsid w:val="073122EC"/>
    <w:rsid w:val="0731C2C1"/>
    <w:rsid w:val="0731ED5B"/>
    <w:rsid w:val="07348A3C"/>
    <w:rsid w:val="07349406"/>
    <w:rsid w:val="07359065"/>
    <w:rsid w:val="0738E08C"/>
    <w:rsid w:val="0738F2B7"/>
    <w:rsid w:val="073920E3"/>
    <w:rsid w:val="07392840"/>
    <w:rsid w:val="073936C9"/>
    <w:rsid w:val="07398279"/>
    <w:rsid w:val="073A2C97"/>
    <w:rsid w:val="073B70DD"/>
    <w:rsid w:val="073C84E0"/>
    <w:rsid w:val="073D94FD"/>
    <w:rsid w:val="073DFB6F"/>
    <w:rsid w:val="073F4A32"/>
    <w:rsid w:val="0740C6BC"/>
    <w:rsid w:val="07439C97"/>
    <w:rsid w:val="0745442E"/>
    <w:rsid w:val="07474A5B"/>
    <w:rsid w:val="0747AD59"/>
    <w:rsid w:val="0748CE7D"/>
    <w:rsid w:val="074A4369"/>
    <w:rsid w:val="074D5172"/>
    <w:rsid w:val="074FC99D"/>
    <w:rsid w:val="074FDD9B"/>
    <w:rsid w:val="07508CFD"/>
    <w:rsid w:val="0750E335"/>
    <w:rsid w:val="07522646"/>
    <w:rsid w:val="07522E6F"/>
    <w:rsid w:val="07546CF7"/>
    <w:rsid w:val="0756A27E"/>
    <w:rsid w:val="0756A9F0"/>
    <w:rsid w:val="075841EA"/>
    <w:rsid w:val="07589D91"/>
    <w:rsid w:val="0759831C"/>
    <w:rsid w:val="075A9B60"/>
    <w:rsid w:val="075CA311"/>
    <w:rsid w:val="075CC287"/>
    <w:rsid w:val="075E0940"/>
    <w:rsid w:val="0760361E"/>
    <w:rsid w:val="0761A047"/>
    <w:rsid w:val="07636BCB"/>
    <w:rsid w:val="0763907C"/>
    <w:rsid w:val="0763CEEF"/>
    <w:rsid w:val="07667337"/>
    <w:rsid w:val="0767F506"/>
    <w:rsid w:val="0769A2D6"/>
    <w:rsid w:val="076B653F"/>
    <w:rsid w:val="076D0FD8"/>
    <w:rsid w:val="076D582D"/>
    <w:rsid w:val="076F38E7"/>
    <w:rsid w:val="07736CB0"/>
    <w:rsid w:val="0774D150"/>
    <w:rsid w:val="0775C6CA"/>
    <w:rsid w:val="077642AA"/>
    <w:rsid w:val="07783EDE"/>
    <w:rsid w:val="07787A67"/>
    <w:rsid w:val="0778B660"/>
    <w:rsid w:val="0778ED9D"/>
    <w:rsid w:val="077AB98F"/>
    <w:rsid w:val="077BEE1C"/>
    <w:rsid w:val="077D4643"/>
    <w:rsid w:val="077E7FA8"/>
    <w:rsid w:val="07809516"/>
    <w:rsid w:val="07812142"/>
    <w:rsid w:val="078209B6"/>
    <w:rsid w:val="07844844"/>
    <w:rsid w:val="078595CE"/>
    <w:rsid w:val="0788445F"/>
    <w:rsid w:val="078AC656"/>
    <w:rsid w:val="078C4164"/>
    <w:rsid w:val="0790A136"/>
    <w:rsid w:val="0791AE87"/>
    <w:rsid w:val="0792E8D1"/>
    <w:rsid w:val="0793215E"/>
    <w:rsid w:val="07935DC3"/>
    <w:rsid w:val="0794AE95"/>
    <w:rsid w:val="07955D78"/>
    <w:rsid w:val="07956C02"/>
    <w:rsid w:val="07969181"/>
    <w:rsid w:val="07970A55"/>
    <w:rsid w:val="07990C0A"/>
    <w:rsid w:val="079ABCDA"/>
    <w:rsid w:val="079B496C"/>
    <w:rsid w:val="079B990D"/>
    <w:rsid w:val="079C0DD9"/>
    <w:rsid w:val="079D1954"/>
    <w:rsid w:val="079ED2BC"/>
    <w:rsid w:val="07A2AA1A"/>
    <w:rsid w:val="07A708A7"/>
    <w:rsid w:val="07A7D99D"/>
    <w:rsid w:val="07A89CFF"/>
    <w:rsid w:val="07AA03A3"/>
    <w:rsid w:val="07AAAE62"/>
    <w:rsid w:val="07ADCA7D"/>
    <w:rsid w:val="07AE558B"/>
    <w:rsid w:val="07B98233"/>
    <w:rsid w:val="07BA5138"/>
    <w:rsid w:val="07BB5230"/>
    <w:rsid w:val="07BBCECA"/>
    <w:rsid w:val="07BBEC92"/>
    <w:rsid w:val="07BD9F3A"/>
    <w:rsid w:val="07BDE621"/>
    <w:rsid w:val="07C016DE"/>
    <w:rsid w:val="07C15621"/>
    <w:rsid w:val="07C3006A"/>
    <w:rsid w:val="07C40200"/>
    <w:rsid w:val="07C5004C"/>
    <w:rsid w:val="07C53659"/>
    <w:rsid w:val="07C5D059"/>
    <w:rsid w:val="07C6D7AD"/>
    <w:rsid w:val="07C6DF5C"/>
    <w:rsid w:val="07C75AC4"/>
    <w:rsid w:val="07C7DAC4"/>
    <w:rsid w:val="07C7EE9F"/>
    <w:rsid w:val="07C9B4E4"/>
    <w:rsid w:val="07CBE344"/>
    <w:rsid w:val="07CDC107"/>
    <w:rsid w:val="07CF4B42"/>
    <w:rsid w:val="07D059CC"/>
    <w:rsid w:val="07D09B62"/>
    <w:rsid w:val="07D1DAAC"/>
    <w:rsid w:val="07D3A5DA"/>
    <w:rsid w:val="07D6EF2E"/>
    <w:rsid w:val="07D9ACC5"/>
    <w:rsid w:val="07DBEBCD"/>
    <w:rsid w:val="07DEA16E"/>
    <w:rsid w:val="07E092D2"/>
    <w:rsid w:val="07E2E77A"/>
    <w:rsid w:val="07E32D52"/>
    <w:rsid w:val="07E337F9"/>
    <w:rsid w:val="07E3671D"/>
    <w:rsid w:val="07E4621C"/>
    <w:rsid w:val="07E5A0A5"/>
    <w:rsid w:val="07E6259C"/>
    <w:rsid w:val="07E747F1"/>
    <w:rsid w:val="07E778D0"/>
    <w:rsid w:val="07EA968A"/>
    <w:rsid w:val="07ED15CD"/>
    <w:rsid w:val="07ED1AD4"/>
    <w:rsid w:val="07ED88B1"/>
    <w:rsid w:val="07EEC2E0"/>
    <w:rsid w:val="07F16A67"/>
    <w:rsid w:val="07F266FB"/>
    <w:rsid w:val="07F5B565"/>
    <w:rsid w:val="07F71429"/>
    <w:rsid w:val="07F82ED9"/>
    <w:rsid w:val="07FC52F5"/>
    <w:rsid w:val="07FCDB8B"/>
    <w:rsid w:val="07FDA7F6"/>
    <w:rsid w:val="07FF8633"/>
    <w:rsid w:val="080004A2"/>
    <w:rsid w:val="08013300"/>
    <w:rsid w:val="0801EA4F"/>
    <w:rsid w:val="080291FD"/>
    <w:rsid w:val="0806CEDB"/>
    <w:rsid w:val="0806FD88"/>
    <w:rsid w:val="0807867E"/>
    <w:rsid w:val="0807B715"/>
    <w:rsid w:val="0808D5FE"/>
    <w:rsid w:val="080910CE"/>
    <w:rsid w:val="08097B4C"/>
    <w:rsid w:val="080AD172"/>
    <w:rsid w:val="080BB71D"/>
    <w:rsid w:val="080F3BE9"/>
    <w:rsid w:val="080FE4E1"/>
    <w:rsid w:val="081052AC"/>
    <w:rsid w:val="081246F1"/>
    <w:rsid w:val="0812873D"/>
    <w:rsid w:val="0815B85F"/>
    <w:rsid w:val="08162EA1"/>
    <w:rsid w:val="0816485C"/>
    <w:rsid w:val="08169591"/>
    <w:rsid w:val="0818E70A"/>
    <w:rsid w:val="0818EA33"/>
    <w:rsid w:val="0821D98F"/>
    <w:rsid w:val="082560CC"/>
    <w:rsid w:val="08256B43"/>
    <w:rsid w:val="0826CB72"/>
    <w:rsid w:val="082953A9"/>
    <w:rsid w:val="082ADBB6"/>
    <w:rsid w:val="082DFCAA"/>
    <w:rsid w:val="08326F02"/>
    <w:rsid w:val="083455BB"/>
    <w:rsid w:val="0834A32E"/>
    <w:rsid w:val="0835BCF3"/>
    <w:rsid w:val="0835D4A2"/>
    <w:rsid w:val="083612CB"/>
    <w:rsid w:val="083669C0"/>
    <w:rsid w:val="0836B5F7"/>
    <w:rsid w:val="0838CE51"/>
    <w:rsid w:val="0839D82A"/>
    <w:rsid w:val="083AD81D"/>
    <w:rsid w:val="083D8209"/>
    <w:rsid w:val="083E8D6D"/>
    <w:rsid w:val="083F090E"/>
    <w:rsid w:val="083F6F57"/>
    <w:rsid w:val="0841EB6C"/>
    <w:rsid w:val="08425A20"/>
    <w:rsid w:val="08433756"/>
    <w:rsid w:val="08438A15"/>
    <w:rsid w:val="08442BDA"/>
    <w:rsid w:val="08448982"/>
    <w:rsid w:val="08462939"/>
    <w:rsid w:val="0846DB30"/>
    <w:rsid w:val="08477682"/>
    <w:rsid w:val="08493508"/>
    <w:rsid w:val="084C3C9D"/>
    <w:rsid w:val="084D3079"/>
    <w:rsid w:val="084D6D43"/>
    <w:rsid w:val="084E956D"/>
    <w:rsid w:val="085034D3"/>
    <w:rsid w:val="08579809"/>
    <w:rsid w:val="0857F26B"/>
    <w:rsid w:val="0859194B"/>
    <w:rsid w:val="085BA85D"/>
    <w:rsid w:val="085C7611"/>
    <w:rsid w:val="085DCEB7"/>
    <w:rsid w:val="0861DE19"/>
    <w:rsid w:val="0865248B"/>
    <w:rsid w:val="086588C2"/>
    <w:rsid w:val="0865DBF6"/>
    <w:rsid w:val="08666B15"/>
    <w:rsid w:val="0866FEFD"/>
    <w:rsid w:val="0867DDFD"/>
    <w:rsid w:val="0868C55D"/>
    <w:rsid w:val="08694644"/>
    <w:rsid w:val="08696A81"/>
    <w:rsid w:val="086FAEEF"/>
    <w:rsid w:val="08709EEF"/>
    <w:rsid w:val="08728291"/>
    <w:rsid w:val="08737867"/>
    <w:rsid w:val="08758847"/>
    <w:rsid w:val="08766ABE"/>
    <w:rsid w:val="08768CA1"/>
    <w:rsid w:val="08778F57"/>
    <w:rsid w:val="08781A53"/>
    <w:rsid w:val="087EBD84"/>
    <w:rsid w:val="087FA6BE"/>
    <w:rsid w:val="08806B48"/>
    <w:rsid w:val="0880AD94"/>
    <w:rsid w:val="08816E29"/>
    <w:rsid w:val="0882B864"/>
    <w:rsid w:val="08847B93"/>
    <w:rsid w:val="0884B60B"/>
    <w:rsid w:val="0884C9A3"/>
    <w:rsid w:val="088548F8"/>
    <w:rsid w:val="0885DABE"/>
    <w:rsid w:val="0886355F"/>
    <w:rsid w:val="0886F5EB"/>
    <w:rsid w:val="0887AFC9"/>
    <w:rsid w:val="0887E6BA"/>
    <w:rsid w:val="088824CE"/>
    <w:rsid w:val="088827D7"/>
    <w:rsid w:val="088854F3"/>
    <w:rsid w:val="0888D106"/>
    <w:rsid w:val="0889CE67"/>
    <w:rsid w:val="088A94CA"/>
    <w:rsid w:val="088CEA26"/>
    <w:rsid w:val="088D924F"/>
    <w:rsid w:val="088DA958"/>
    <w:rsid w:val="088DE491"/>
    <w:rsid w:val="088E7F87"/>
    <w:rsid w:val="088FFB44"/>
    <w:rsid w:val="08915380"/>
    <w:rsid w:val="08916FA3"/>
    <w:rsid w:val="08924858"/>
    <w:rsid w:val="08932199"/>
    <w:rsid w:val="0893331D"/>
    <w:rsid w:val="0895987D"/>
    <w:rsid w:val="0896A1E1"/>
    <w:rsid w:val="0896E239"/>
    <w:rsid w:val="0897F9E4"/>
    <w:rsid w:val="089A5227"/>
    <w:rsid w:val="089BB01E"/>
    <w:rsid w:val="089C7FA6"/>
    <w:rsid w:val="089ECB38"/>
    <w:rsid w:val="089FB370"/>
    <w:rsid w:val="089FF1E1"/>
    <w:rsid w:val="08A05D12"/>
    <w:rsid w:val="08A19C2A"/>
    <w:rsid w:val="08A1FC19"/>
    <w:rsid w:val="08A20259"/>
    <w:rsid w:val="08A20C59"/>
    <w:rsid w:val="08A42830"/>
    <w:rsid w:val="08A4E0A7"/>
    <w:rsid w:val="08A5001B"/>
    <w:rsid w:val="08A589B9"/>
    <w:rsid w:val="08A5C142"/>
    <w:rsid w:val="08AFFD6E"/>
    <w:rsid w:val="08B0527F"/>
    <w:rsid w:val="08B20222"/>
    <w:rsid w:val="08B30B9D"/>
    <w:rsid w:val="08B3EB8D"/>
    <w:rsid w:val="08B49856"/>
    <w:rsid w:val="08B4A229"/>
    <w:rsid w:val="08B65872"/>
    <w:rsid w:val="08BB655C"/>
    <w:rsid w:val="08BB8273"/>
    <w:rsid w:val="08BB98E6"/>
    <w:rsid w:val="08BE7F45"/>
    <w:rsid w:val="08C0F03D"/>
    <w:rsid w:val="08C13CFA"/>
    <w:rsid w:val="08C1CBDC"/>
    <w:rsid w:val="08C57346"/>
    <w:rsid w:val="08C80789"/>
    <w:rsid w:val="08C8F92C"/>
    <w:rsid w:val="08CA9525"/>
    <w:rsid w:val="08CD76D7"/>
    <w:rsid w:val="08CDCE63"/>
    <w:rsid w:val="08CDE69E"/>
    <w:rsid w:val="08CDE7B6"/>
    <w:rsid w:val="08CF1D44"/>
    <w:rsid w:val="08CFBF00"/>
    <w:rsid w:val="08D27274"/>
    <w:rsid w:val="08D2E68B"/>
    <w:rsid w:val="08D4EA16"/>
    <w:rsid w:val="08D561FB"/>
    <w:rsid w:val="08D6C271"/>
    <w:rsid w:val="08DA3CD9"/>
    <w:rsid w:val="08DB65B5"/>
    <w:rsid w:val="08DBBFDE"/>
    <w:rsid w:val="08DC8219"/>
    <w:rsid w:val="08DD78E1"/>
    <w:rsid w:val="08DDF64C"/>
    <w:rsid w:val="08DF1153"/>
    <w:rsid w:val="08DF17F2"/>
    <w:rsid w:val="08E02D4C"/>
    <w:rsid w:val="08E09C7F"/>
    <w:rsid w:val="08E2AD00"/>
    <w:rsid w:val="08E2F345"/>
    <w:rsid w:val="08E60D76"/>
    <w:rsid w:val="08E647F2"/>
    <w:rsid w:val="08E67373"/>
    <w:rsid w:val="08E8877A"/>
    <w:rsid w:val="08EA4C57"/>
    <w:rsid w:val="08EC13ED"/>
    <w:rsid w:val="08ED8DA3"/>
    <w:rsid w:val="08EDBE54"/>
    <w:rsid w:val="08EE9B7F"/>
    <w:rsid w:val="08F02CEF"/>
    <w:rsid w:val="08F20A46"/>
    <w:rsid w:val="08F2DDEF"/>
    <w:rsid w:val="08F6DF23"/>
    <w:rsid w:val="08F9F000"/>
    <w:rsid w:val="08F9F028"/>
    <w:rsid w:val="08FF6C18"/>
    <w:rsid w:val="08FF8A03"/>
    <w:rsid w:val="09007415"/>
    <w:rsid w:val="090282A6"/>
    <w:rsid w:val="0903ACDA"/>
    <w:rsid w:val="09040595"/>
    <w:rsid w:val="0907BA3C"/>
    <w:rsid w:val="0908F4B8"/>
    <w:rsid w:val="090AD8DC"/>
    <w:rsid w:val="090AE4CB"/>
    <w:rsid w:val="090AF50B"/>
    <w:rsid w:val="090B375D"/>
    <w:rsid w:val="090D11F2"/>
    <w:rsid w:val="090D7F9B"/>
    <w:rsid w:val="090DCCDE"/>
    <w:rsid w:val="090E4DC6"/>
    <w:rsid w:val="090E8B29"/>
    <w:rsid w:val="090EAB5F"/>
    <w:rsid w:val="090F2E15"/>
    <w:rsid w:val="091113D1"/>
    <w:rsid w:val="0911FF08"/>
    <w:rsid w:val="09135AFD"/>
    <w:rsid w:val="0914ABCC"/>
    <w:rsid w:val="0916C902"/>
    <w:rsid w:val="0916E611"/>
    <w:rsid w:val="09181481"/>
    <w:rsid w:val="09193805"/>
    <w:rsid w:val="091A13A4"/>
    <w:rsid w:val="091CDA6A"/>
    <w:rsid w:val="091D8AB9"/>
    <w:rsid w:val="091D8BB6"/>
    <w:rsid w:val="091DBF35"/>
    <w:rsid w:val="091E3121"/>
    <w:rsid w:val="091F3C4F"/>
    <w:rsid w:val="091F5F31"/>
    <w:rsid w:val="09205437"/>
    <w:rsid w:val="092079D1"/>
    <w:rsid w:val="09215A28"/>
    <w:rsid w:val="09219AFC"/>
    <w:rsid w:val="0925C05F"/>
    <w:rsid w:val="09262592"/>
    <w:rsid w:val="09265100"/>
    <w:rsid w:val="0926E30C"/>
    <w:rsid w:val="0928B11C"/>
    <w:rsid w:val="09294EE6"/>
    <w:rsid w:val="092A44DE"/>
    <w:rsid w:val="092B5DE8"/>
    <w:rsid w:val="092BBD9E"/>
    <w:rsid w:val="093013F4"/>
    <w:rsid w:val="09358E69"/>
    <w:rsid w:val="0936E429"/>
    <w:rsid w:val="093A9FF6"/>
    <w:rsid w:val="093BBFA5"/>
    <w:rsid w:val="093D8780"/>
    <w:rsid w:val="093E761B"/>
    <w:rsid w:val="093E7A7B"/>
    <w:rsid w:val="093F2CBE"/>
    <w:rsid w:val="09401906"/>
    <w:rsid w:val="0944820C"/>
    <w:rsid w:val="0945A859"/>
    <w:rsid w:val="09467EC3"/>
    <w:rsid w:val="0946A74E"/>
    <w:rsid w:val="0946C022"/>
    <w:rsid w:val="0949784F"/>
    <w:rsid w:val="094B21CE"/>
    <w:rsid w:val="094D643E"/>
    <w:rsid w:val="094DA43C"/>
    <w:rsid w:val="094EBE6A"/>
    <w:rsid w:val="094F3935"/>
    <w:rsid w:val="09506BE2"/>
    <w:rsid w:val="0950B02F"/>
    <w:rsid w:val="095551BE"/>
    <w:rsid w:val="0955F6B0"/>
    <w:rsid w:val="0957C2A6"/>
    <w:rsid w:val="09585ADB"/>
    <w:rsid w:val="09586163"/>
    <w:rsid w:val="095992EE"/>
    <w:rsid w:val="095A0E20"/>
    <w:rsid w:val="095B4815"/>
    <w:rsid w:val="095C7A26"/>
    <w:rsid w:val="096221AF"/>
    <w:rsid w:val="0963B62C"/>
    <w:rsid w:val="0965A7C4"/>
    <w:rsid w:val="0965CD0C"/>
    <w:rsid w:val="09660DC2"/>
    <w:rsid w:val="09662553"/>
    <w:rsid w:val="0966C393"/>
    <w:rsid w:val="096740A0"/>
    <w:rsid w:val="0967F065"/>
    <w:rsid w:val="09681064"/>
    <w:rsid w:val="0969F2FE"/>
    <w:rsid w:val="096EF9C3"/>
    <w:rsid w:val="096F225F"/>
    <w:rsid w:val="096FCA9E"/>
    <w:rsid w:val="0971251F"/>
    <w:rsid w:val="0973518E"/>
    <w:rsid w:val="097434C6"/>
    <w:rsid w:val="09765E42"/>
    <w:rsid w:val="09767B77"/>
    <w:rsid w:val="09772A58"/>
    <w:rsid w:val="097A4DFE"/>
    <w:rsid w:val="097B0B3C"/>
    <w:rsid w:val="097B4E42"/>
    <w:rsid w:val="097D170A"/>
    <w:rsid w:val="097E0850"/>
    <w:rsid w:val="097EE845"/>
    <w:rsid w:val="09809E1E"/>
    <w:rsid w:val="0980D25B"/>
    <w:rsid w:val="09817070"/>
    <w:rsid w:val="098245D3"/>
    <w:rsid w:val="0982AB55"/>
    <w:rsid w:val="09863A60"/>
    <w:rsid w:val="09894BD6"/>
    <w:rsid w:val="098A1516"/>
    <w:rsid w:val="098A7EA6"/>
    <w:rsid w:val="098AC05B"/>
    <w:rsid w:val="098B3860"/>
    <w:rsid w:val="098B397B"/>
    <w:rsid w:val="098E8626"/>
    <w:rsid w:val="0990B018"/>
    <w:rsid w:val="099113CA"/>
    <w:rsid w:val="0991B1ED"/>
    <w:rsid w:val="0994A517"/>
    <w:rsid w:val="099552C1"/>
    <w:rsid w:val="0995752F"/>
    <w:rsid w:val="09958A94"/>
    <w:rsid w:val="099592E3"/>
    <w:rsid w:val="0996EBF1"/>
    <w:rsid w:val="0996F0D8"/>
    <w:rsid w:val="099729A6"/>
    <w:rsid w:val="0998D006"/>
    <w:rsid w:val="09995F7B"/>
    <w:rsid w:val="099BCEB3"/>
    <w:rsid w:val="099E0DFA"/>
    <w:rsid w:val="099F0027"/>
    <w:rsid w:val="09A002D2"/>
    <w:rsid w:val="09A470F3"/>
    <w:rsid w:val="09A58090"/>
    <w:rsid w:val="09A761DB"/>
    <w:rsid w:val="09A9A6DE"/>
    <w:rsid w:val="09AC37F7"/>
    <w:rsid w:val="09AD057D"/>
    <w:rsid w:val="09AD6772"/>
    <w:rsid w:val="09AEB236"/>
    <w:rsid w:val="09AFEA1C"/>
    <w:rsid w:val="09B08282"/>
    <w:rsid w:val="09B1627A"/>
    <w:rsid w:val="09B22238"/>
    <w:rsid w:val="09B3C6FD"/>
    <w:rsid w:val="09B5117E"/>
    <w:rsid w:val="09B65C99"/>
    <w:rsid w:val="09B82C7E"/>
    <w:rsid w:val="09B9DFC5"/>
    <w:rsid w:val="09BB6BBC"/>
    <w:rsid w:val="09BCEF7F"/>
    <w:rsid w:val="09BD05D9"/>
    <w:rsid w:val="09BE78CE"/>
    <w:rsid w:val="09BFE74E"/>
    <w:rsid w:val="09C069BF"/>
    <w:rsid w:val="09C19A10"/>
    <w:rsid w:val="09C20C4A"/>
    <w:rsid w:val="09C211AA"/>
    <w:rsid w:val="09C556B1"/>
    <w:rsid w:val="09C798F7"/>
    <w:rsid w:val="09C7AC2F"/>
    <w:rsid w:val="09CAB395"/>
    <w:rsid w:val="09CC35B2"/>
    <w:rsid w:val="09CCD078"/>
    <w:rsid w:val="09CD59F6"/>
    <w:rsid w:val="09CD9C6C"/>
    <w:rsid w:val="09CFC268"/>
    <w:rsid w:val="09CFD17E"/>
    <w:rsid w:val="09D409CB"/>
    <w:rsid w:val="09D4245B"/>
    <w:rsid w:val="09D52306"/>
    <w:rsid w:val="09D81159"/>
    <w:rsid w:val="09DC741F"/>
    <w:rsid w:val="09DCCC57"/>
    <w:rsid w:val="09DCCED4"/>
    <w:rsid w:val="09DCE242"/>
    <w:rsid w:val="09DDCF44"/>
    <w:rsid w:val="09DF7119"/>
    <w:rsid w:val="09E511E8"/>
    <w:rsid w:val="09E59FAA"/>
    <w:rsid w:val="09EA05AF"/>
    <w:rsid w:val="09EDD643"/>
    <w:rsid w:val="09EF1F01"/>
    <w:rsid w:val="09F2C7C9"/>
    <w:rsid w:val="09F319B3"/>
    <w:rsid w:val="09F3CDE8"/>
    <w:rsid w:val="09F3E54E"/>
    <w:rsid w:val="09F3F29C"/>
    <w:rsid w:val="09F5178C"/>
    <w:rsid w:val="09FA5061"/>
    <w:rsid w:val="09FC7C57"/>
    <w:rsid w:val="09FCA496"/>
    <w:rsid w:val="09FCBF88"/>
    <w:rsid w:val="09FDB969"/>
    <w:rsid w:val="09FF6C7F"/>
    <w:rsid w:val="0A0095EE"/>
    <w:rsid w:val="0A009FCD"/>
    <w:rsid w:val="0A01A199"/>
    <w:rsid w:val="0A06CCF2"/>
    <w:rsid w:val="0A091639"/>
    <w:rsid w:val="0A0F23EC"/>
    <w:rsid w:val="0A10B6EC"/>
    <w:rsid w:val="0A11475B"/>
    <w:rsid w:val="0A12B745"/>
    <w:rsid w:val="0A13327C"/>
    <w:rsid w:val="0A15DE08"/>
    <w:rsid w:val="0A161ECA"/>
    <w:rsid w:val="0A1B8ADD"/>
    <w:rsid w:val="0A1C8020"/>
    <w:rsid w:val="0A20D590"/>
    <w:rsid w:val="0A211959"/>
    <w:rsid w:val="0A21AD1B"/>
    <w:rsid w:val="0A22ECC6"/>
    <w:rsid w:val="0A230639"/>
    <w:rsid w:val="0A234A43"/>
    <w:rsid w:val="0A2422A8"/>
    <w:rsid w:val="0A253DA9"/>
    <w:rsid w:val="0A26A848"/>
    <w:rsid w:val="0A26F82D"/>
    <w:rsid w:val="0A28C2AB"/>
    <w:rsid w:val="0A2B9180"/>
    <w:rsid w:val="0A2C2713"/>
    <w:rsid w:val="0A2C5CD9"/>
    <w:rsid w:val="0A2DC309"/>
    <w:rsid w:val="0A2E4414"/>
    <w:rsid w:val="0A2FAAD8"/>
    <w:rsid w:val="0A3119DB"/>
    <w:rsid w:val="0A32167A"/>
    <w:rsid w:val="0A32FD61"/>
    <w:rsid w:val="0A341A8B"/>
    <w:rsid w:val="0A34A497"/>
    <w:rsid w:val="0A3536CA"/>
    <w:rsid w:val="0A36E10C"/>
    <w:rsid w:val="0A37D050"/>
    <w:rsid w:val="0A3B2C4E"/>
    <w:rsid w:val="0A3BFC54"/>
    <w:rsid w:val="0A3BFE2A"/>
    <w:rsid w:val="0A3C3A5C"/>
    <w:rsid w:val="0A3E0E65"/>
    <w:rsid w:val="0A3F0F26"/>
    <w:rsid w:val="0A426FBD"/>
    <w:rsid w:val="0A440AA2"/>
    <w:rsid w:val="0A4543A7"/>
    <w:rsid w:val="0A45B74B"/>
    <w:rsid w:val="0A476A8C"/>
    <w:rsid w:val="0A49F3AD"/>
    <w:rsid w:val="0A4A0A8A"/>
    <w:rsid w:val="0A4AB63A"/>
    <w:rsid w:val="0A4AF291"/>
    <w:rsid w:val="0A4B84CA"/>
    <w:rsid w:val="0A4BFAB4"/>
    <w:rsid w:val="0A4D0206"/>
    <w:rsid w:val="0A4DC2B7"/>
    <w:rsid w:val="0A4F933C"/>
    <w:rsid w:val="0A5160E1"/>
    <w:rsid w:val="0A51FF7A"/>
    <w:rsid w:val="0A528E38"/>
    <w:rsid w:val="0A53BD2C"/>
    <w:rsid w:val="0A555E75"/>
    <w:rsid w:val="0A569B87"/>
    <w:rsid w:val="0A583196"/>
    <w:rsid w:val="0A593FB9"/>
    <w:rsid w:val="0A5AEF6F"/>
    <w:rsid w:val="0A5CC1BC"/>
    <w:rsid w:val="0A5CE476"/>
    <w:rsid w:val="0A5D814E"/>
    <w:rsid w:val="0A5EBA72"/>
    <w:rsid w:val="0A5F3991"/>
    <w:rsid w:val="0A638683"/>
    <w:rsid w:val="0A63D59A"/>
    <w:rsid w:val="0A63D7EA"/>
    <w:rsid w:val="0A65B4EE"/>
    <w:rsid w:val="0A65CC75"/>
    <w:rsid w:val="0A67CDE7"/>
    <w:rsid w:val="0A686193"/>
    <w:rsid w:val="0A68F4BE"/>
    <w:rsid w:val="0A6B9AE1"/>
    <w:rsid w:val="0A6F28E2"/>
    <w:rsid w:val="0A70CBDD"/>
    <w:rsid w:val="0A71FD40"/>
    <w:rsid w:val="0A720000"/>
    <w:rsid w:val="0A724AAA"/>
    <w:rsid w:val="0A72F263"/>
    <w:rsid w:val="0A72F62C"/>
    <w:rsid w:val="0A748A5A"/>
    <w:rsid w:val="0A765684"/>
    <w:rsid w:val="0A77D69C"/>
    <w:rsid w:val="0A7A24A1"/>
    <w:rsid w:val="0A7AEC00"/>
    <w:rsid w:val="0A7B25AF"/>
    <w:rsid w:val="0A7D4805"/>
    <w:rsid w:val="0A7DB41B"/>
    <w:rsid w:val="0A7FCD2D"/>
    <w:rsid w:val="0A80B215"/>
    <w:rsid w:val="0A81389A"/>
    <w:rsid w:val="0A829A9E"/>
    <w:rsid w:val="0A835951"/>
    <w:rsid w:val="0A84878D"/>
    <w:rsid w:val="0A879801"/>
    <w:rsid w:val="0A88F538"/>
    <w:rsid w:val="0A8B5183"/>
    <w:rsid w:val="0A8C9E49"/>
    <w:rsid w:val="0A8D59D4"/>
    <w:rsid w:val="0A8DACD8"/>
    <w:rsid w:val="0A8EBB5C"/>
    <w:rsid w:val="0A8F1322"/>
    <w:rsid w:val="0A90AD1F"/>
    <w:rsid w:val="0A923E93"/>
    <w:rsid w:val="0A952886"/>
    <w:rsid w:val="0A9637DC"/>
    <w:rsid w:val="0A968592"/>
    <w:rsid w:val="0A97BADA"/>
    <w:rsid w:val="0A9983C8"/>
    <w:rsid w:val="0A9AF4FE"/>
    <w:rsid w:val="0A9BC4F4"/>
    <w:rsid w:val="0A9D6C09"/>
    <w:rsid w:val="0AA2EA21"/>
    <w:rsid w:val="0AA38802"/>
    <w:rsid w:val="0AA55949"/>
    <w:rsid w:val="0AA61F00"/>
    <w:rsid w:val="0AA66A54"/>
    <w:rsid w:val="0AA7FB4D"/>
    <w:rsid w:val="0AA86374"/>
    <w:rsid w:val="0AAAD006"/>
    <w:rsid w:val="0AAEB769"/>
    <w:rsid w:val="0AAF2C29"/>
    <w:rsid w:val="0AB00077"/>
    <w:rsid w:val="0AB065F4"/>
    <w:rsid w:val="0AB346DA"/>
    <w:rsid w:val="0AB409FB"/>
    <w:rsid w:val="0AB43C85"/>
    <w:rsid w:val="0AB4475D"/>
    <w:rsid w:val="0AB70C51"/>
    <w:rsid w:val="0AB767DB"/>
    <w:rsid w:val="0AB7D6BA"/>
    <w:rsid w:val="0AB8E571"/>
    <w:rsid w:val="0AB8F5BB"/>
    <w:rsid w:val="0AB93145"/>
    <w:rsid w:val="0AB98F44"/>
    <w:rsid w:val="0ABA4361"/>
    <w:rsid w:val="0ABA79C1"/>
    <w:rsid w:val="0ABB90AA"/>
    <w:rsid w:val="0ABBD391"/>
    <w:rsid w:val="0ABE38F1"/>
    <w:rsid w:val="0ABE9FB6"/>
    <w:rsid w:val="0ABF6ED8"/>
    <w:rsid w:val="0AC05EBF"/>
    <w:rsid w:val="0AC0E8C6"/>
    <w:rsid w:val="0AC15F1F"/>
    <w:rsid w:val="0AC27943"/>
    <w:rsid w:val="0AC4AAB5"/>
    <w:rsid w:val="0AC4B2CA"/>
    <w:rsid w:val="0AC60A86"/>
    <w:rsid w:val="0AC71B01"/>
    <w:rsid w:val="0AC7540A"/>
    <w:rsid w:val="0AC92F97"/>
    <w:rsid w:val="0AC947F9"/>
    <w:rsid w:val="0ACA2D8B"/>
    <w:rsid w:val="0ACEA21D"/>
    <w:rsid w:val="0ACED070"/>
    <w:rsid w:val="0ACEE5E7"/>
    <w:rsid w:val="0AD00889"/>
    <w:rsid w:val="0AD0739F"/>
    <w:rsid w:val="0AD0977A"/>
    <w:rsid w:val="0AD1754A"/>
    <w:rsid w:val="0AD7C85E"/>
    <w:rsid w:val="0ADA15AF"/>
    <w:rsid w:val="0ADA5DF1"/>
    <w:rsid w:val="0ADEA00D"/>
    <w:rsid w:val="0AE06348"/>
    <w:rsid w:val="0AE3A0F5"/>
    <w:rsid w:val="0AE488C1"/>
    <w:rsid w:val="0AE4B6FD"/>
    <w:rsid w:val="0AE5A10A"/>
    <w:rsid w:val="0AE71E6B"/>
    <w:rsid w:val="0AE86F0E"/>
    <w:rsid w:val="0AE8D2AF"/>
    <w:rsid w:val="0AE9DE95"/>
    <w:rsid w:val="0AE9FC91"/>
    <w:rsid w:val="0AEB9643"/>
    <w:rsid w:val="0AEC5157"/>
    <w:rsid w:val="0AEC69D1"/>
    <w:rsid w:val="0AEFBA4A"/>
    <w:rsid w:val="0AF0A3E1"/>
    <w:rsid w:val="0AF107F1"/>
    <w:rsid w:val="0AF1BC5B"/>
    <w:rsid w:val="0AF23A63"/>
    <w:rsid w:val="0AF38615"/>
    <w:rsid w:val="0AF412B7"/>
    <w:rsid w:val="0AF7B7A0"/>
    <w:rsid w:val="0AFAE4ED"/>
    <w:rsid w:val="0AFB01F7"/>
    <w:rsid w:val="0AFDDC86"/>
    <w:rsid w:val="0AFF248C"/>
    <w:rsid w:val="0AFF4A00"/>
    <w:rsid w:val="0AFFD372"/>
    <w:rsid w:val="0B00A4FA"/>
    <w:rsid w:val="0B015742"/>
    <w:rsid w:val="0B02D72C"/>
    <w:rsid w:val="0B04048A"/>
    <w:rsid w:val="0B057A1B"/>
    <w:rsid w:val="0B0710EA"/>
    <w:rsid w:val="0B07CA34"/>
    <w:rsid w:val="0B09A712"/>
    <w:rsid w:val="0B0A11D9"/>
    <w:rsid w:val="0B0B2FAF"/>
    <w:rsid w:val="0B0EAD46"/>
    <w:rsid w:val="0B1078DF"/>
    <w:rsid w:val="0B10F5CC"/>
    <w:rsid w:val="0B10FCD2"/>
    <w:rsid w:val="0B11319D"/>
    <w:rsid w:val="0B11B817"/>
    <w:rsid w:val="0B126DC8"/>
    <w:rsid w:val="0B160F32"/>
    <w:rsid w:val="0B17FACB"/>
    <w:rsid w:val="0B183394"/>
    <w:rsid w:val="0B1861E7"/>
    <w:rsid w:val="0B1B1371"/>
    <w:rsid w:val="0B1F6044"/>
    <w:rsid w:val="0B2604E1"/>
    <w:rsid w:val="0B26D253"/>
    <w:rsid w:val="0B28290E"/>
    <w:rsid w:val="0B2CB49D"/>
    <w:rsid w:val="0B2DA436"/>
    <w:rsid w:val="0B2DEFE5"/>
    <w:rsid w:val="0B2ED9E9"/>
    <w:rsid w:val="0B312D3A"/>
    <w:rsid w:val="0B321F99"/>
    <w:rsid w:val="0B34E8EF"/>
    <w:rsid w:val="0B363309"/>
    <w:rsid w:val="0B3A0D7E"/>
    <w:rsid w:val="0B3A112E"/>
    <w:rsid w:val="0B3D476E"/>
    <w:rsid w:val="0B3DE684"/>
    <w:rsid w:val="0B3F9B16"/>
    <w:rsid w:val="0B3FC1BE"/>
    <w:rsid w:val="0B402B8F"/>
    <w:rsid w:val="0B40560F"/>
    <w:rsid w:val="0B40E0E8"/>
    <w:rsid w:val="0B414216"/>
    <w:rsid w:val="0B43BAF1"/>
    <w:rsid w:val="0B446729"/>
    <w:rsid w:val="0B44B1F0"/>
    <w:rsid w:val="0B44CED3"/>
    <w:rsid w:val="0B45B4E0"/>
    <w:rsid w:val="0B495EA7"/>
    <w:rsid w:val="0B49A7BE"/>
    <w:rsid w:val="0B4A6FDC"/>
    <w:rsid w:val="0B4BFB2D"/>
    <w:rsid w:val="0B4E69D1"/>
    <w:rsid w:val="0B4E9DA4"/>
    <w:rsid w:val="0B5118D4"/>
    <w:rsid w:val="0B513AD6"/>
    <w:rsid w:val="0B523015"/>
    <w:rsid w:val="0B538593"/>
    <w:rsid w:val="0B575FAB"/>
    <w:rsid w:val="0B583362"/>
    <w:rsid w:val="0B583C90"/>
    <w:rsid w:val="0B593BC3"/>
    <w:rsid w:val="0B5C5308"/>
    <w:rsid w:val="0B60A4BF"/>
    <w:rsid w:val="0B62D03E"/>
    <w:rsid w:val="0B63035E"/>
    <w:rsid w:val="0B667B13"/>
    <w:rsid w:val="0B690578"/>
    <w:rsid w:val="0B6A9EEA"/>
    <w:rsid w:val="0B6B8DB0"/>
    <w:rsid w:val="0B6BF9DF"/>
    <w:rsid w:val="0B6CC6F1"/>
    <w:rsid w:val="0B6D98E5"/>
    <w:rsid w:val="0B6DD31C"/>
    <w:rsid w:val="0B6F6733"/>
    <w:rsid w:val="0B733EC3"/>
    <w:rsid w:val="0B73C359"/>
    <w:rsid w:val="0B7536DB"/>
    <w:rsid w:val="0B76117A"/>
    <w:rsid w:val="0B765D67"/>
    <w:rsid w:val="0B77E8FE"/>
    <w:rsid w:val="0B78B734"/>
    <w:rsid w:val="0B78E86E"/>
    <w:rsid w:val="0B7A5797"/>
    <w:rsid w:val="0B7A7F58"/>
    <w:rsid w:val="0B7AD55D"/>
    <w:rsid w:val="0B7B5034"/>
    <w:rsid w:val="0B7C7A7C"/>
    <w:rsid w:val="0B7F3B47"/>
    <w:rsid w:val="0B840CFE"/>
    <w:rsid w:val="0B85CF82"/>
    <w:rsid w:val="0B861816"/>
    <w:rsid w:val="0B875B4D"/>
    <w:rsid w:val="0B88962F"/>
    <w:rsid w:val="0B89DA47"/>
    <w:rsid w:val="0B8C7190"/>
    <w:rsid w:val="0B8CBBF0"/>
    <w:rsid w:val="0B8D892D"/>
    <w:rsid w:val="0B8D8F85"/>
    <w:rsid w:val="0B8E7B7A"/>
    <w:rsid w:val="0B8F4193"/>
    <w:rsid w:val="0B8F89D5"/>
    <w:rsid w:val="0B9038B5"/>
    <w:rsid w:val="0B91833F"/>
    <w:rsid w:val="0B91CD55"/>
    <w:rsid w:val="0B91D959"/>
    <w:rsid w:val="0B92BAE9"/>
    <w:rsid w:val="0B939E94"/>
    <w:rsid w:val="0B941D69"/>
    <w:rsid w:val="0B94D608"/>
    <w:rsid w:val="0B9600C7"/>
    <w:rsid w:val="0B968A1F"/>
    <w:rsid w:val="0B96B1D2"/>
    <w:rsid w:val="0B994EE4"/>
    <w:rsid w:val="0B9D9C76"/>
    <w:rsid w:val="0B9EB660"/>
    <w:rsid w:val="0B9EDAC8"/>
    <w:rsid w:val="0BA14AFF"/>
    <w:rsid w:val="0BA150E4"/>
    <w:rsid w:val="0BA1E730"/>
    <w:rsid w:val="0BA2A0E4"/>
    <w:rsid w:val="0BA4F4B4"/>
    <w:rsid w:val="0BA67243"/>
    <w:rsid w:val="0BA68E30"/>
    <w:rsid w:val="0BA850A1"/>
    <w:rsid w:val="0BB00438"/>
    <w:rsid w:val="0BB108E7"/>
    <w:rsid w:val="0BB1D972"/>
    <w:rsid w:val="0BB1F4B2"/>
    <w:rsid w:val="0BB3111E"/>
    <w:rsid w:val="0BB325DF"/>
    <w:rsid w:val="0BB3ED03"/>
    <w:rsid w:val="0BB66FC3"/>
    <w:rsid w:val="0BB7968D"/>
    <w:rsid w:val="0BBB29BC"/>
    <w:rsid w:val="0BBB30B0"/>
    <w:rsid w:val="0BBD229F"/>
    <w:rsid w:val="0BBD4AA0"/>
    <w:rsid w:val="0BBE1E5D"/>
    <w:rsid w:val="0BBEDF58"/>
    <w:rsid w:val="0BC1C03A"/>
    <w:rsid w:val="0BC1D4F5"/>
    <w:rsid w:val="0BC42325"/>
    <w:rsid w:val="0BC42CBC"/>
    <w:rsid w:val="0BC4783C"/>
    <w:rsid w:val="0BC67B0B"/>
    <w:rsid w:val="0BC70940"/>
    <w:rsid w:val="0BC807D9"/>
    <w:rsid w:val="0BCA15B3"/>
    <w:rsid w:val="0BCA780B"/>
    <w:rsid w:val="0BCB555D"/>
    <w:rsid w:val="0BCB7EA6"/>
    <w:rsid w:val="0BCE5BF6"/>
    <w:rsid w:val="0BCF042A"/>
    <w:rsid w:val="0BCF681A"/>
    <w:rsid w:val="0BCFE208"/>
    <w:rsid w:val="0BD451C0"/>
    <w:rsid w:val="0BD46032"/>
    <w:rsid w:val="0BD491DE"/>
    <w:rsid w:val="0BD83EF9"/>
    <w:rsid w:val="0BD86066"/>
    <w:rsid w:val="0BD9BDB8"/>
    <w:rsid w:val="0BDA135C"/>
    <w:rsid w:val="0BDEFE15"/>
    <w:rsid w:val="0BE31379"/>
    <w:rsid w:val="0BE47673"/>
    <w:rsid w:val="0BE4ACAA"/>
    <w:rsid w:val="0BE50F64"/>
    <w:rsid w:val="0BE652A6"/>
    <w:rsid w:val="0BE76685"/>
    <w:rsid w:val="0BE7AF96"/>
    <w:rsid w:val="0BE88D22"/>
    <w:rsid w:val="0BE976EF"/>
    <w:rsid w:val="0BEE3D8F"/>
    <w:rsid w:val="0BF036FB"/>
    <w:rsid w:val="0BF06715"/>
    <w:rsid w:val="0BF1D7B8"/>
    <w:rsid w:val="0BF43CB0"/>
    <w:rsid w:val="0BF476B1"/>
    <w:rsid w:val="0BF51BD1"/>
    <w:rsid w:val="0BF53FE7"/>
    <w:rsid w:val="0BF5A4AA"/>
    <w:rsid w:val="0BF72B5F"/>
    <w:rsid w:val="0BF77666"/>
    <w:rsid w:val="0BF90A71"/>
    <w:rsid w:val="0BF9107D"/>
    <w:rsid w:val="0BF987B6"/>
    <w:rsid w:val="0BFDC410"/>
    <w:rsid w:val="0BFE9105"/>
    <w:rsid w:val="0BFFC725"/>
    <w:rsid w:val="0C006B7E"/>
    <w:rsid w:val="0C00F4FF"/>
    <w:rsid w:val="0C01437F"/>
    <w:rsid w:val="0C028A1F"/>
    <w:rsid w:val="0C02FE5B"/>
    <w:rsid w:val="0C031356"/>
    <w:rsid w:val="0C031641"/>
    <w:rsid w:val="0C03888D"/>
    <w:rsid w:val="0C048FE9"/>
    <w:rsid w:val="0C07308B"/>
    <w:rsid w:val="0C0751AA"/>
    <w:rsid w:val="0C09793E"/>
    <w:rsid w:val="0C09BCB9"/>
    <w:rsid w:val="0C0A22D1"/>
    <w:rsid w:val="0C0B3A29"/>
    <w:rsid w:val="0C0BD93C"/>
    <w:rsid w:val="0C0CCC2E"/>
    <w:rsid w:val="0C0CDBF3"/>
    <w:rsid w:val="0C0DAA52"/>
    <w:rsid w:val="0C0E849E"/>
    <w:rsid w:val="0C0EDD2E"/>
    <w:rsid w:val="0C109724"/>
    <w:rsid w:val="0C10E421"/>
    <w:rsid w:val="0C111A97"/>
    <w:rsid w:val="0C1136B3"/>
    <w:rsid w:val="0C11A7CD"/>
    <w:rsid w:val="0C1227C6"/>
    <w:rsid w:val="0C15EA33"/>
    <w:rsid w:val="0C16C510"/>
    <w:rsid w:val="0C177342"/>
    <w:rsid w:val="0C178528"/>
    <w:rsid w:val="0C17ED93"/>
    <w:rsid w:val="0C1C656F"/>
    <w:rsid w:val="0C21058F"/>
    <w:rsid w:val="0C22DB60"/>
    <w:rsid w:val="0C256643"/>
    <w:rsid w:val="0C2804C9"/>
    <w:rsid w:val="0C2910F3"/>
    <w:rsid w:val="0C2B2FE7"/>
    <w:rsid w:val="0C2CC41E"/>
    <w:rsid w:val="0C2EB0AC"/>
    <w:rsid w:val="0C30128D"/>
    <w:rsid w:val="0C3035A8"/>
    <w:rsid w:val="0C332E7A"/>
    <w:rsid w:val="0C338868"/>
    <w:rsid w:val="0C339A75"/>
    <w:rsid w:val="0C3863B7"/>
    <w:rsid w:val="0C3A06DC"/>
    <w:rsid w:val="0C3D0F8C"/>
    <w:rsid w:val="0C3EFB41"/>
    <w:rsid w:val="0C422979"/>
    <w:rsid w:val="0C42D0E4"/>
    <w:rsid w:val="0C44B37C"/>
    <w:rsid w:val="0C47C191"/>
    <w:rsid w:val="0C482451"/>
    <w:rsid w:val="0C486B06"/>
    <w:rsid w:val="0C48E437"/>
    <w:rsid w:val="0C48FC5C"/>
    <w:rsid w:val="0C4BF166"/>
    <w:rsid w:val="0C4D59B0"/>
    <w:rsid w:val="0C4D72E8"/>
    <w:rsid w:val="0C4EC543"/>
    <w:rsid w:val="0C4F4705"/>
    <w:rsid w:val="0C4F708D"/>
    <w:rsid w:val="0C508E2E"/>
    <w:rsid w:val="0C51FF7D"/>
    <w:rsid w:val="0C523BAB"/>
    <w:rsid w:val="0C524921"/>
    <w:rsid w:val="0C525DC1"/>
    <w:rsid w:val="0C54C122"/>
    <w:rsid w:val="0C564C31"/>
    <w:rsid w:val="0C57FEBB"/>
    <w:rsid w:val="0C58878A"/>
    <w:rsid w:val="0C5E28F8"/>
    <w:rsid w:val="0C5FE9EB"/>
    <w:rsid w:val="0C617530"/>
    <w:rsid w:val="0C61974D"/>
    <w:rsid w:val="0C61BE44"/>
    <w:rsid w:val="0C628339"/>
    <w:rsid w:val="0C62B825"/>
    <w:rsid w:val="0C679123"/>
    <w:rsid w:val="0C6A11F5"/>
    <w:rsid w:val="0C6D729A"/>
    <w:rsid w:val="0C6D9420"/>
    <w:rsid w:val="0C6DDEB1"/>
    <w:rsid w:val="0C6F591B"/>
    <w:rsid w:val="0C723F25"/>
    <w:rsid w:val="0C732ABC"/>
    <w:rsid w:val="0C7372E8"/>
    <w:rsid w:val="0C7456D3"/>
    <w:rsid w:val="0C752824"/>
    <w:rsid w:val="0C756309"/>
    <w:rsid w:val="0C76731B"/>
    <w:rsid w:val="0C799DF1"/>
    <w:rsid w:val="0C7AAD8F"/>
    <w:rsid w:val="0C7C04BB"/>
    <w:rsid w:val="0C7C5F2E"/>
    <w:rsid w:val="0C7D490F"/>
    <w:rsid w:val="0C7D75F4"/>
    <w:rsid w:val="0C7DD92F"/>
    <w:rsid w:val="0C7E6B7C"/>
    <w:rsid w:val="0C82750D"/>
    <w:rsid w:val="0C830903"/>
    <w:rsid w:val="0C8347A3"/>
    <w:rsid w:val="0C83A6C5"/>
    <w:rsid w:val="0C83FBA8"/>
    <w:rsid w:val="0C84F1A0"/>
    <w:rsid w:val="0C872E8A"/>
    <w:rsid w:val="0C888DD7"/>
    <w:rsid w:val="0C8928BC"/>
    <w:rsid w:val="0C89C730"/>
    <w:rsid w:val="0C8A6750"/>
    <w:rsid w:val="0C8C3B6A"/>
    <w:rsid w:val="0C8E3882"/>
    <w:rsid w:val="0C8FD6A8"/>
    <w:rsid w:val="0C92A46B"/>
    <w:rsid w:val="0C92BFA6"/>
    <w:rsid w:val="0C935F53"/>
    <w:rsid w:val="0C9530F7"/>
    <w:rsid w:val="0C964D51"/>
    <w:rsid w:val="0C976F59"/>
    <w:rsid w:val="0C97F238"/>
    <w:rsid w:val="0C99082F"/>
    <w:rsid w:val="0CA182E7"/>
    <w:rsid w:val="0CA2B6D0"/>
    <w:rsid w:val="0CA3AD56"/>
    <w:rsid w:val="0CA589AD"/>
    <w:rsid w:val="0CA65805"/>
    <w:rsid w:val="0CA65F7F"/>
    <w:rsid w:val="0CA75BC3"/>
    <w:rsid w:val="0CA8BB95"/>
    <w:rsid w:val="0CB1087E"/>
    <w:rsid w:val="0CB14851"/>
    <w:rsid w:val="0CB215CD"/>
    <w:rsid w:val="0CB403F5"/>
    <w:rsid w:val="0CB72839"/>
    <w:rsid w:val="0CB8FC7C"/>
    <w:rsid w:val="0CB93F0B"/>
    <w:rsid w:val="0CBA5041"/>
    <w:rsid w:val="0CBD18FD"/>
    <w:rsid w:val="0CBD71DF"/>
    <w:rsid w:val="0CBE512E"/>
    <w:rsid w:val="0CBFCFBF"/>
    <w:rsid w:val="0CBFD855"/>
    <w:rsid w:val="0CC167CB"/>
    <w:rsid w:val="0CC16AB9"/>
    <w:rsid w:val="0CC187A3"/>
    <w:rsid w:val="0CC40AF3"/>
    <w:rsid w:val="0CC4FB66"/>
    <w:rsid w:val="0CC64FC5"/>
    <w:rsid w:val="0CC655D0"/>
    <w:rsid w:val="0CC6AFE5"/>
    <w:rsid w:val="0CC7DEB5"/>
    <w:rsid w:val="0CC85B0C"/>
    <w:rsid w:val="0CC9401B"/>
    <w:rsid w:val="0CC9C7DE"/>
    <w:rsid w:val="0CCACEB2"/>
    <w:rsid w:val="0CCBF902"/>
    <w:rsid w:val="0CCDE538"/>
    <w:rsid w:val="0CCEC9E2"/>
    <w:rsid w:val="0CCEE742"/>
    <w:rsid w:val="0CCFBAD4"/>
    <w:rsid w:val="0CD24B21"/>
    <w:rsid w:val="0CD26E04"/>
    <w:rsid w:val="0CD8F0DC"/>
    <w:rsid w:val="0CD96C5A"/>
    <w:rsid w:val="0CDC2514"/>
    <w:rsid w:val="0CDF6DF3"/>
    <w:rsid w:val="0CE01601"/>
    <w:rsid w:val="0CE056DA"/>
    <w:rsid w:val="0CE1B327"/>
    <w:rsid w:val="0CE1FCA7"/>
    <w:rsid w:val="0CE2F905"/>
    <w:rsid w:val="0CE33565"/>
    <w:rsid w:val="0CE42B8F"/>
    <w:rsid w:val="0CE96566"/>
    <w:rsid w:val="0CEA727B"/>
    <w:rsid w:val="0CEC4376"/>
    <w:rsid w:val="0CECE532"/>
    <w:rsid w:val="0CED6029"/>
    <w:rsid w:val="0CEE2CCE"/>
    <w:rsid w:val="0CEEAE8D"/>
    <w:rsid w:val="0CF23BD8"/>
    <w:rsid w:val="0CF430A8"/>
    <w:rsid w:val="0CF4EEA0"/>
    <w:rsid w:val="0CF56282"/>
    <w:rsid w:val="0CF5F13B"/>
    <w:rsid w:val="0CF957C3"/>
    <w:rsid w:val="0CF96ADB"/>
    <w:rsid w:val="0CFA2CC1"/>
    <w:rsid w:val="0CFB7944"/>
    <w:rsid w:val="0CFC569F"/>
    <w:rsid w:val="0CFCFF63"/>
    <w:rsid w:val="0CFF03CE"/>
    <w:rsid w:val="0CFFB219"/>
    <w:rsid w:val="0CFFCF89"/>
    <w:rsid w:val="0D02821F"/>
    <w:rsid w:val="0D0294E6"/>
    <w:rsid w:val="0D02A78E"/>
    <w:rsid w:val="0D02E9FA"/>
    <w:rsid w:val="0D0382B4"/>
    <w:rsid w:val="0D05B3C4"/>
    <w:rsid w:val="0D05CEF9"/>
    <w:rsid w:val="0D0613F6"/>
    <w:rsid w:val="0D063561"/>
    <w:rsid w:val="0D0731CB"/>
    <w:rsid w:val="0D07805F"/>
    <w:rsid w:val="0D07F4B9"/>
    <w:rsid w:val="0D099108"/>
    <w:rsid w:val="0D09C341"/>
    <w:rsid w:val="0D0B683E"/>
    <w:rsid w:val="0D0D1F71"/>
    <w:rsid w:val="0D0FEC92"/>
    <w:rsid w:val="0D12F507"/>
    <w:rsid w:val="0D133AAD"/>
    <w:rsid w:val="0D14321A"/>
    <w:rsid w:val="0D14821D"/>
    <w:rsid w:val="0D16739F"/>
    <w:rsid w:val="0D169794"/>
    <w:rsid w:val="0D19D438"/>
    <w:rsid w:val="0D1DF620"/>
    <w:rsid w:val="0D21C0C0"/>
    <w:rsid w:val="0D21C1EC"/>
    <w:rsid w:val="0D2589BD"/>
    <w:rsid w:val="0D282DCC"/>
    <w:rsid w:val="0D28E570"/>
    <w:rsid w:val="0D2CFEFE"/>
    <w:rsid w:val="0D2DC3F0"/>
    <w:rsid w:val="0D307916"/>
    <w:rsid w:val="0D30932C"/>
    <w:rsid w:val="0D3096B6"/>
    <w:rsid w:val="0D3172A8"/>
    <w:rsid w:val="0D324ED8"/>
    <w:rsid w:val="0D337401"/>
    <w:rsid w:val="0D33E7AB"/>
    <w:rsid w:val="0D34A1DD"/>
    <w:rsid w:val="0D37AA68"/>
    <w:rsid w:val="0D3E055D"/>
    <w:rsid w:val="0D42792F"/>
    <w:rsid w:val="0D42D987"/>
    <w:rsid w:val="0D43B683"/>
    <w:rsid w:val="0D43FC41"/>
    <w:rsid w:val="0D45729E"/>
    <w:rsid w:val="0D457EFA"/>
    <w:rsid w:val="0D48534E"/>
    <w:rsid w:val="0D491916"/>
    <w:rsid w:val="0D49684A"/>
    <w:rsid w:val="0D4A0FFB"/>
    <w:rsid w:val="0D4A2717"/>
    <w:rsid w:val="0D4D9F40"/>
    <w:rsid w:val="0D4DF3C1"/>
    <w:rsid w:val="0D5212D4"/>
    <w:rsid w:val="0D53749B"/>
    <w:rsid w:val="0D53A804"/>
    <w:rsid w:val="0D5485BD"/>
    <w:rsid w:val="0D551599"/>
    <w:rsid w:val="0D55DBFF"/>
    <w:rsid w:val="0D577ADA"/>
    <w:rsid w:val="0D580A44"/>
    <w:rsid w:val="0D586486"/>
    <w:rsid w:val="0D58BA1B"/>
    <w:rsid w:val="0D5B87DC"/>
    <w:rsid w:val="0D5C9250"/>
    <w:rsid w:val="0D5F5185"/>
    <w:rsid w:val="0D62ED0E"/>
    <w:rsid w:val="0D669461"/>
    <w:rsid w:val="0D68265F"/>
    <w:rsid w:val="0D683BF5"/>
    <w:rsid w:val="0D69597D"/>
    <w:rsid w:val="0D69CF0D"/>
    <w:rsid w:val="0D6BED82"/>
    <w:rsid w:val="0D6D7E80"/>
    <w:rsid w:val="0D6E2944"/>
    <w:rsid w:val="0D6F3F40"/>
    <w:rsid w:val="0D72BE52"/>
    <w:rsid w:val="0D72CF49"/>
    <w:rsid w:val="0D74BED0"/>
    <w:rsid w:val="0D760387"/>
    <w:rsid w:val="0D761FA9"/>
    <w:rsid w:val="0D766F9B"/>
    <w:rsid w:val="0D77A9A0"/>
    <w:rsid w:val="0D79A5EF"/>
    <w:rsid w:val="0D79DB9D"/>
    <w:rsid w:val="0D7A1776"/>
    <w:rsid w:val="0D7AB2A1"/>
    <w:rsid w:val="0D7D6966"/>
    <w:rsid w:val="0D7E4444"/>
    <w:rsid w:val="0D7E9C49"/>
    <w:rsid w:val="0D7FA247"/>
    <w:rsid w:val="0D7FB360"/>
    <w:rsid w:val="0D8082EB"/>
    <w:rsid w:val="0D822709"/>
    <w:rsid w:val="0D8235B3"/>
    <w:rsid w:val="0D84D05A"/>
    <w:rsid w:val="0D8817F2"/>
    <w:rsid w:val="0D8C5925"/>
    <w:rsid w:val="0D8E5211"/>
    <w:rsid w:val="0D8E77AA"/>
    <w:rsid w:val="0D8EFEFC"/>
    <w:rsid w:val="0D95EA41"/>
    <w:rsid w:val="0D985DD9"/>
    <w:rsid w:val="0D98B513"/>
    <w:rsid w:val="0D9E8BE3"/>
    <w:rsid w:val="0D9F0FCF"/>
    <w:rsid w:val="0D9F299A"/>
    <w:rsid w:val="0D9FBF78"/>
    <w:rsid w:val="0DA043AC"/>
    <w:rsid w:val="0DA215D4"/>
    <w:rsid w:val="0DA22720"/>
    <w:rsid w:val="0DA300EC"/>
    <w:rsid w:val="0DA498E0"/>
    <w:rsid w:val="0DA6AB99"/>
    <w:rsid w:val="0DA79777"/>
    <w:rsid w:val="0DA7D669"/>
    <w:rsid w:val="0DA88F5D"/>
    <w:rsid w:val="0DAB5607"/>
    <w:rsid w:val="0DACB63A"/>
    <w:rsid w:val="0DACDE8A"/>
    <w:rsid w:val="0DAD2B87"/>
    <w:rsid w:val="0DB04F27"/>
    <w:rsid w:val="0DB0BFD8"/>
    <w:rsid w:val="0DB21712"/>
    <w:rsid w:val="0DB2E5F1"/>
    <w:rsid w:val="0DB4D222"/>
    <w:rsid w:val="0DB567E2"/>
    <w:rsid w:val="0DB6E0BC"/>
    <w:rsid w:val="0DB7DC08"/>
    <w:rsid w:val="0DB7E5D2"/>
    <w:rsid w:val="0DB88F8E"/>
    <w:rsid w:val="0DBA5971"/>
    <w:rsid w:val="0DBA613F"/>
    <w:rsid w:val="0DBFBC4F"/>
    <w:rsid w:val="0DC0E4D5"/>
    <w:rsid w:val="0DC0E7B0"/>
    <w:rsid w:val="0DC3577A"/>
    <w:rsid w:val="0DC3C2E2"/>
    <w:rsid w:val="0DC4EE52"/>
    <w:rsid w:val="0DC54223"/>
    <w:rsid w:val="0DC60462"/>
    <w:rsid w:val="0DC6BC74"/>
    <w:rsid w:val="0DC9256B"/>
    <w:rsid w:val="0DC95E75"/>
    <w:rsid w:val="0DC9848E"/>
    <w:rsid w:val="0DCB3FFC"/>
    <w:rsid w:val="0DCB53DD"/>
    <w:rsid w:val="0DCBAED2"/>
    <w:rsid w:val="0DCC924D"/>
    <w:rsid w:val="0DCDCA40"/>
    <w:rsid w:val="0DCFE393"/>
    <w:rsid w:val="0DCFFAE6"/>
    <w:rsid w:val="0DD03CC1"/>
    <w:rsid w:val="0DD2CB7E"/>
    <w:rsid w:val="0DD2D208"/>
    <w:rsid w:val="0DD44008"/>
    <w:rsid w:val="0DD441F8"/>
    <w:rsid w:val="0DD44B8A"/>
    <w:rsid w:val="0DD6F8BC"/>
    <w:rsid w:val="0DD71FA9"/>
    <w:rsid w:val="0DDA9864"/>
    <w:rsid w:val="0DDC5844"/>
    <w:rsid w:val="0DDC79A6"/>
    <w:rsid w:val="0DDF70DB"/>
    <w:rsid w:val="0DE26405"/>
    <w:rsid w:val="0DE340E2"/>
    <w:rsid w:val="0DE47C03"/>
    <w:rsid w:val="0DE75541"/>
    <w:rsid w:val="0DE80BD0"/>
    <w:rsid w:val="0DEC477A"/>
    <w:rsid w:val="0DEEBED6"/>
    <w:rsid w:val="0DEEC87A"/>
    <w:rsid w:val="0DEFA6CE"/>
    <w:rsid w:val="0DF1148D"/>
    <w:rsid w:val="0DF4D4F9"/>
    <w:rsid w:val="0DF57A06"/>
    <w:rsid w:val="0DF5D3CA"/>
    <w:rsid w:val="0DFDE7D9"/>
    <w:rsid w:val="0DFF4341"/>
    <w:rsid w:val="0E008AAB"/>
    <w:rsid w:val="0E02D67C"/>
    <w:rsid w:val="0E03E42E"/>
    <w:rsid w:val="0E04675D"/>
    <w:rsid w:val="0E060830"/>
    <w:rsid w:val="0E06C564"/>
    <w:rsid w:val="0E06FC15"/>
    <w:rsid w:val="0E07ABA8"/>
    <w:rsid w:val="0E0A1F7D"/>
    <w:rsid w:val="0E0A8844"/>
    <w:rsid w:val="0E0AB499"/>
    <w:rsid w:val="0E0B5F04"/>
    <w:rsid w:val="0E0D0641"/>
    <w:rsid w:val="0E0DBAC7"/>
    <w:rsid w:val="0E0E4E00"/>
    <w:rsid w:val="0E1104DE"/>
    <w:rsid w:val="0E15F78A"/>
    <w:rsid w:val="0E169546"/>
    <w:rsid w:val="0E174404"/>
    <w:rsid w:val="0E195305"/>
    <w:rsid w:val="0E197329"/>
    <w:rsid w:val="0E19EFE6"/>
    <w:rsid w:val="0E1A3145"/>
    <w:rsid w:val="0E1AE976"/>
    <w:rsid w:val="0E1B5164"/>
    <w:rsid w:val="0E1B7DC2"/>
    <w:rsid w:val="0E1BA733"/>
    <w:rsid w:val="0E1D1084"/>
    <w:rsid w:val="0E1E4E4D"/>
    <w:rsid w:val="0E1FCE0B"/>
    <w:rsid w:val="0E20620A"/>
    <w:rsid w:val="0E21348F"/>
    <w:rsid w:val="0E216225"/>
    <w:rsid w:val="0E21D399"/>
    <w:rsid w:val="0E224F1F"/>
    <w:rsid w:val="0E2327E4"/>
    <w:rsid w:val="0E2339EF"/>
    <w:rsid w:val="0E25D4F6"/>
    <w:rsid w:val="0E26CAB8"/>
    <w:rsid w:val="0E27B7D7"/>
    <w:rsid w:val="0E2A1E9E"/>
    <w:rsid w:val="0E2A8AAF"/>
    <w:rsid w:val="0E2BAA85"/>
    <w:rsid w:val="0E2D22BA"/>
    <w:rsid w:val="0E2DE00B"/>
    <w:rsid w:val="0E31FB9F"/>
    <w:rsid w:val="0E33C9C6"/>
    <w:rsid w:val="0E347E7B"/>
    <w:rsid w:val="0E34C6BF"/>
    <w:rsid w:val="0E350DD1"/>
    <w:rsid w:val="0E35A4BC"/>
    <w:rsid w:val="0E37055C"/>
    <w:rsid w:val="0E38F668"/>
    <w:rsid w:val="0E395349"/>
    <w:rsid w:val="0E39E40E"/>
    <w:rsid w:val="0E3AE66F"/>
    <w:rsid w:val="0E3B2CA8"/>
    <w:rsid w:val="0E3B3BD3"/>
    <w:rsid w:val="0E405B1A"/>
    <w:rsid w:val="0E41FCFD"/>
    <w:rsid w:val="0E42CB8A"/>
    <w:rsid w:val="0E45E8D6"/>
    <w:rsid w:val="0E487ABC"/>
    <w:rsid w:val="0E49D0FC"/>
    <w:rsid w:val="0E49F606"/>
    <w:rsid w:val="0E4A81D0"/>
    <w:rsid w:val="0E4BF47D"/>
    <w:rsid w:val="0E4C1CE5"/>
    <w:rsid w:val="0E4CDF57"/>
    <w:rsid w:val="0E4D5317"/>
    <w:rsid w:val="0E4D8D07"/>
    <w:rsid w:val="0E4F6B47"/>
    <w:rsid w:val="0E4FCA95"/>
    <w:rsid w:val="0E503C75"/>
    <w:rsid w:val="0E50AF47"/>
    <w:rsid w:val="0E530136"/>
    <w:rsid w:val="0E565540"/>
    <w:rsid w:val="0E58D997"/>
    <w:rsid w:val="0E59EBAD"/>
    <w:rsid w:val="0E5DFEBE"/>
    <w:rsid w:val="0E60D5CF"/>
    <w:rsid w:val="0E618136"/>
    <w:rsid w:val="0E61D4FD"/>
    <w:rsid w:val="0E63B242"/>
    <w:rsid w:val="0E6400F0"/>
    <w:rsid w:val="0E658CDB"/>
    <w:rsid w:val="0E6597FF"/>
    <w:rsid w:val="0E67A8FF"/>
    <w:rsid w:val="0E67AD80"/>
    <w:rsid w:val="0E69E710"/>
    <w:rsid w:val="0E6A8E58"/>
    <w:rsid w:val="0E6AF283"/>
    <w:rsid w:val="0E6DA418"/>
    <w:rsid w:val="0E6E57F6"/>
    <w:rsid w:val="0E6E7C4D"/>
    <w:rsid w:val="0E72D6A1"/>
    <w:rsid w:val="0E731D0C"/>
    <w:rsid w:val="0E7577C6"/>
    <w:rsid w:val="0E75DA6E"/>
    <w:rsid w:val="0E75E6F4"/>
    <w:rsid w:val="0E76CA22"/>
    <w:rsid w:val="0E76D1E4"/>
    <w:rsid w:val="0E76DFAD"/>
    <w:rsid w:val="0E7772BB"/>
    <w:rsid w:val="0E77D0C8"/>
    <w:rsid w:val="0E791091"/>
    <w:rsid w:val="0E79E87E"/>
    <w:rsid w:val="0E7C6883"/>
    <w:rsid w:val="0E7D612C"/>
    <w:rsid w:val="0E7E83A4"/>
    <w:rsid w:val="0E84784E"/>
    <w:rsid w:val="0E84DD3D"/>
    <w:rsid w:val="0E859FFD"/>
    <w:rsid w:val="0E8707E1"/>
    <w:rsid w:val="0E89F05E"/>
    <w:rsid w:val="0E8B22DD"/>
    <w:rsid w:val="0E8CCD44"/>
    <w:rsid w:val="0E8D2B94"/>
    <w:rsid w:val="0E8FB21A"/>
    <w:rsid w:val="0E925C6F"/>
    <w:rsid w:val="0E9290A6"/>
    <w:rsid w:val="0E93582E"/>
    <w:rsid w:val="0E9367D6"/>
    <w:rsid w:val="0E943A1E"/>
    <w:rsid w:val="0E94A1AD"/>
    <w:rsid w:val="0E95716F"/>
    <w:rsid w:val="0E972AE1"/>
    <w:rsid w:val="0E9744A6"/>
    <w:rsid w:val="0E976754"/>
    <w:rsid w:val="0E97F858"/>
    <w:rsid w:val="0E999973"/>
    <w:rsid w:val="0E9D7A45"/>
    <w:rsid w:val="0E9E9DF4"/>
    <w:rsid w:val="0E9F54FD"/>
    <w:rsid w:val="0E9F5EEE"/>
    <w:rsid w:val="0E9F6BE9"/>
    <w:rsid w:val="0E9F933C"/>
    <w:rsid w:val="0EA18F51"/>
    <w:rsid w:val="0EA21324"/>
    <w:rsid w:val="0EA23FAC"/>
    <w:rsid w:val="0EA489EC"/>
    <w:rsid w:val="0EA49DC3"/>
    <w:rsid w:val="0EA55A82"/>
    <w:rsid w:val="0EA6B1FE"/>
    <w:rsid w:val="0EA7BB12"/>
    <w:rsid w:val="0EA9A531"/>
    <w:rsid w:val="0EAA6FBD"/>
    <w:rsid w:val="0EAA81BD"/>
    <w:rsid w:val="0EAD4A9F"/>
    <w:rsid w:val="0EAE24B9"/>
    <w:rsid w:val="0EAEB0AF"/>
    <w:rsid w:val="0EAFAA84"/>
    <w:rsid w:val="0EB210F7"/>
    <w:rsid w:val="0EB2684A"/>
    <w:rsid w:val="0EB3F577"/>
    <w:rsid w:val="0EB59D16"/>
    <w:rsid w:val="0EB6DC09"/>
    <w:rsid w:val="0EB74F8F"/>
    <w:rsid w:val="0EB8160A"/>
    <w:rsid w:val="0EB9C198"/>
    <w:rsid w:val="0EBB71EC"/>
    <w:rsid w:val="0EBCD2D2"/>
    <w:rsid w:val="0EBD430E"/>
    <w:rsid w:val="0EBE08E1"/>
    <w:rsid w:val="0EBE09CC"/>
    <w:rsid w:val="0EBE1BC1"/>
    <w:rsid w:val="0EBF2955"/>
    <w:rsid w:val="0EBF7A2A"/>
    <w:rsid w:val="0EC2B8A9"/>
    <w:rsid w:val="0EC5FB50"/>
    <w:rsid w:val="0EC8ECFC"/>
    <w:rsid w:val="0ECBF682"/>
    <w:rsid w:val="0ECD2AD3"/>
    <w:rsid w:val="0ECDE14A"/>
    <w:rsid w:val="0ECF3F49"/>
    <w:rsid w:val="0ECFADE4"/>
    <w:rsid w:val="0ED28EBE"/>
    <w:rsid w:val="0ED303B5"/>
    <w:rsid w:val="0ED319B2"/>
    <w:rsid w:val="0ED343DA"/>
    <w:rsid w:val="0ED4A759"/>
    <w:rsid w:val="0ED7378E"/>
    <w:rsid w:val="0ED8127C"/>
    <w:rsid w:val="0ED8DD1A"/>
    <w:rsid w:val="0ED944C4"/>
    <w:rsid w:val="0EDC3707"/>
    <w:rsid w:val="0EDF4F4D"/>
    <w:rsid w:val="0EE1F3EE"/>
    <w:rsid w:val="0EE417B4"/>
    <w:rsid w:val="0EE47DDB"/>
    <w:rsid w:val="0EE4B3BB"/>
    <w:rsid w:val="0EE6B07F"/>
    <w:rsid w:val="0EE6CD5D"/>
    <w:rsid w:val="0EE9D9AC"/>
    <w:rsid w:val="0EEA3738"/>
    <w:rsid w:val="0EEA6943"/>
    <w:rsid w:val="0EEA72E2"/>
    <w:rsid w:val="0EEB817A"/>
    <w:rsid w:val="0EECECB6"/>
    <w:rsid w:val="0EF14794"/>
    <w:rsid w:val="0EF1523F"/>
    <w:rsid w:val="0EF165AC"/>
    <w:rsid w:val="0EF3A3EC"/>
    <w:rsid w:val="0EF94E32"/>
    <w:rsid w:val="0EFB8F14"/>
    <w:rsid w:val="0EFBD13A"/>
    <w:rsid w:val="0EFC32FF"/>
    <w:rsid w:val="0EFDE9B6"/>
    <w:rsid w:val="0EFF860B"/>
    <w:rsid w:val="0EFFA4E6"/>
    <w:rsid w:val="0F0247E3"/>
    <w:rsid w:val="0F035ED6"/>
    <w:rsid w:val="0F0477A0"/>
    <w:rsid w:val="0F0537CA"/>
    <w:rsid w:val="0F089B3C"/>
    <w:rsid w:val="0F09DDC8"/>
    <w:rsid w:val="0F0CEEBC"/>
    <w:rsid w:val="0F0D3D69"/>
    <w:rsid w:val="0F0F13E2"/>
    <w:rsid w:val="0F0FC98A"/>
    <w:rsid w:val="0F12E034"/>
    <w:rsid w:val="0F134BAF"/>
    <w:rsid w:val="0F172154"/>
    <w:rsid w:val="0F192843"/>
    <w:rsid w:val="0F1A2F4C"/>
    <w:rsid w:val="0F1A4940"/>
    <w:rsid w:val="0F1BC97D"/>
    <w:rsid w:val="0F1EACA1"/>
    <w:rsid w:val="0F1ED9C6"/>
    <w:rsid w:val="0F215D2C"/>
    <w:rsid w:val="0F21F4FB"/>
    <w:rsid w:val="0F22958D"/>
    <w:rsid w:val="0F241D73"/>
    <w:rsid w:val="0F24CBD5"/>
    <w:rsid w:val="0F259779"/>
    <w:rsid w:val="0F275604"/>
    <w:rsid w:val="0F27E251"/>
    <w:rsid w:val="0F2A53C4"/>
    <w:rsid w:val="0F2ADF27"/>
    <w:rsid w:val="0F2CE5D8"/>
    <w:rsid w:val="0F2DE027"/>
    <w:rsid w:val="0F30A8A9"/>
    <w:rsid w:val="0F320B54"/>
    <w:rsid w:val="0F3234AA"/>
    <w:rsid w:val="0F32FFB0"/>
    <w:rsid w:val="0F363E54"/>
    <w:rsid w:val="0F37C165"/>
    <w:rsid w:val="0F3975F1"/>
    <w:rsid w:val="0F3AFCBB"/>
    <w:rsid w:val="0F3BBFAB"/>
    <w:rsid w:val="0F3E7DF8"/>
    <w:rsid w:val="0F3FF0D5"/>
    <w:rsid w:val="0F41A0B1"/>
    <w:rsid w:val="0F4247EF"/>
    <w:rsid w:val="0F43A70D"/>
    <w:rsid w:val="0F441C35"/>
    <w:rsid w:val="0F463ED7"/>
    <w:rsid w:val="0F4738A9"/>
    <w:rsid w:val="0F4789AA"/>
    <w:rsid w:val="0F48BEE1"/>
    <w:rsid w:val="0F492AE2"/>
    <w:rsid w:val="0F4A4A8C"/>
    <w:rsid w:val="0F4A91F6"/>
    <w:rsid w:val="0F4B48FD"/>
    <w:rsid w:val="0F4DDE86"/>
    <w:rsid w:val="0F4E3A18"/>
    <w:rsid w:val="0F512827"/>
    <w:rsid w:val="0F520CBE"/>
    <w:rsid w:val="0F530131"/>
    <w:rsid w:val="0F564B84"/>
    <w:rsid w:val="0F5994DC"/>
    <w:rsid w:val="0F59FCDC"/>
    <w:rsid w:val="0F5A2CD0"/>
    <w:rsid w:val="0F5AAC64"/>
    <w:rsid w:val="0F5CEB4E"/>
    <w:rsid w:val="0F5E321A"/>
    <w:rsid w:val="0F5EDC80"/>
    <w:rsid w:val="0F604520"/>
    <w:rsid w:val="0F607653"/>
    <w:rsid w:val="0F609642"/>
    <w:rsid w:val="0F63A510"/>
    <w:rsid w:val="0F63BBF2"/>
    <w:rsid w:val="0F650390"/>
    <w:rsid w:val="0F68511E"/>
    <w:rsid w:val="0F6A97F1"/>
    <w:rsid w:val="0F6AE9E5"/>
    <w:rsid w:val="0F6DB872"/>
    <w:rsid w:val="0F6F30CB"/>
    <w:rsid w:val="0F6FBD53"/>
    <w:rsid w:val="0F70A430"/>
    <w:rsid w:val="0F730A24"/>
    <w:rsid w:val="0F7361BA"/>
    <w:rsid w:val="0F751578"/>
    <w:rsid w:val="0F75216C"/>
    <w:rsid w:val="0F78CC54"/>
    <w:rsid w:val="0F7B270D"/>
    <w:rsid w:val="0F7D2839"/>
    <w:rsid w:val="0F7E7AAF"/>
    <w:rsid w:val="0F802C18"/>
    <w:rsid w:val="0F808BF2"/>
    <w:rsid w:val="0F814298"/>
    <w:rsid w:val="0F82351D"/>
    <w:rsid w:val="0F82BF68"/>
    <w:rsid w:val="0F8348CE"/>
    <w:rsid w:val="0F887189"/>
    <w:rsid w:val="0F8B12C7"/>
    <w:rsid w:val="0F9040E0"/>
    <w:rsid w:val="0F90DFC6"/>
    <w:rsid w:val="0F91FBE0"/>
    <w:rsid w:val="0F92CC8E"/>
    <w:rsid w:val="0F92F71E"/>
    <w:rsid w:val="0F93015D"/>
    <w:rsid w:val="0F93830F"/>
    <w:rsid w:val="0F94BD80"/>
    <w:rsid w:val="0F956D77"/>
    <w:rsid w:val="0F958D94"/>
    <w:rsid w:val="0F95ADBE"/>
    <w:rsid w:val="0F97B6E5"/>
    <w:rsid w:val="0F97C571"/>
    <w:rsid w:val="0F9D7329"/>
    <w:rsid w:val="0F9E4268"/>
    <w:rsid w:val="0F9FAC9A"/>
    <w:rsid w:val="0F9FB421"/>
    <w:rsid w:val="0FA0689D"/>
    <w:rsid w:val="0FA08B6E"/>
    <w:rsid w:val="0FA15F5D"/>
    <w:rsid w:val="0FA99643"/>
    <w:rsid w:val="0FA9DFE7"/>
    <w:rsid w:val="0FAA5013"/>
    <w:rsid w:val="0FABA3A3"/>
    <w:rsid w:val="0FACE682"/>
    <w:rsid w:val="0FAD7C5D"/>
    <w:rsid w:val="0FAF1E48"/>
    <w:rsid w:val="0FB6B3EA"/>
    <w:rsid w:val="0FB729C8"/>
    <w:rsid w:val="0FB72F55"/>
    <w:rsid w:val="0FB8E50D"/>
    <w:rsid w:val="0FB90E84"/>
    <w:rsid w:val="0FBB1673"/>
    <w:rsid w:val="0FBDFEBE"/>
    <w:rsid w:val="0FBE73D6"/>
    <w:rsid w:val="0FBFB259"/>
    <w:rsid w:val="0FC0C1B1"/>
    <w:rsid w:val="0FC558A6"/>
    <w:rsid w:val="0FC657F4"/>
    <w:rsid w:val="0FCC6ABD"/>
    <w:rsid w:val="0FCDC826"/>
    <w:rsid w:val="0FCE52A5"/>
    <w:rsid w:val="0FD2C2F8"/>
    <w:rsid w:val="0FD31282"/>
    <w:rsid w:val="0FD5944A"/>
    <w:rsid w:val="0FD7851A"/>
    <w:rsid w:val="0FD816F1"/>
    <w:rsid w:val="0FD997B6"/>
    <w:rsid w:val="0FDE1856"/>
    <w:rsid w:val="0FDE6F1E"/>
    <w:rsid w:val="0FDEDD91"/>
    <w:rsid w:val="0FDF5B3B"/>
    <w:rsid w:val="0FE090F9"/>
    <w:rsid w:val="0FE2F1B6"/>
    <w:rsid w:val="0FE41159"/>
    <w:rsid w:val="0FE4EF5A"/>
    <w:rsid w:val="0FE6BD18"/>
    <w:rsid w:val="0FE790B8"/>
    <w:rsid w:val="0FE798AC"/>
    <w:rsid w:val="0FE85D15"/>
    <w:rsid w:val="0FEB16F1"/>
    <w:rsid w:val="0FEC1A45"/>
    <w:rsid w:val="0FEDFEF4"/>
    <w:rsid w:val="0FEEF399"/>
    <w:rsid w:val="0FEF9FF8"/>
    <w:rsid w:val="0FF126AF"/>
    <w:rsid w:val="0FF22426"/>
    <w:rsid w:val="0FF56579"/>
    <w:rsid w:val="0FF5CD96"/>
    <w:rsid w:val="0FFBF08E"/>
    <w:rsid w:val="0FFBFAFF"/>
    <w:rsid w:val="0FFD2367"/>
    <w:rsid w:val="0FFDA4E9"/>
    <w:rsid w:val="0FFDCCD2"/>
    <w:rsid w:val="0FFEA4CC"/>
    <w:rsid w:val="1000EEF5"/>
    <w:rsid w:val="1001E4E3"/>
    <w:rsid w:val="100480DB"/>
    <w:rsid w:val="100891D6"/>
    <w:rsid w:val="1009169B"/>
    <w:rsid w:val="10095AE6"/>
    <w:rsid w:val="1009BFFA"/>
    <w:rsid w:val="100C49DF"/>
    <w:rsid w:val="1011419C"/>
    <w:rsid w:val="10139CC9"/>
    <w:rsid w:val="1013BC36"/>
    <w:rsid w:val="1014D49F"/>
    <w:rsid w:val="1015EB2B"/>
    <w:rsid w:val="1016B698"/>
    <w:rsid w:val="1016E16C"/>
    <w:rsid w:val="10184C88"/>
    <w:rsid w:val="10194968"/>
    <w:rsid w:val="1019E470"/>
    <w:rsid w:val="101A05B8"/>
    <w:rsid w:val="101A0AB3"/>
    <w:rsid w:val="101A89F6"/>
    <w:rsid w:val="101B7F91"/>
    <w:rsid w:val="101BB4DE"/>
    <w:rsid w:val="101CDB72"/>
    <w:rsid w:val="101D17C8"/>
    <w:rsid w:val="1020C180"/>
    <w:rsid w:val="1021E42A"/>
    <w:rsid w:val="1022B110"/>
    <w:rsid w:val="1025C4C1"/>
    <w:rsid w:val="1027B403"/>
    <w:rsid w:val="102ACD71"/>
    <w:rsid w:val="102B6447"/>
    <w:rsid w:val="102CD8A1"/>
    <w:rsid w:val="1030F39D"/>
    <w:rsid w:val="10313E6E"/>
    <w:rsid w:val="103178C4"/>
    <w:rsid w:val="1031E4CC"/>
    <w:rsid w:val="1032E616"/>
    <w:rsid w:val="1033C903"/>
    <w:rsid w:val="1035741B"/>
    <w:rsid w:val="10359A65"/>
    <w:rsid w:val="1037BC42"/>
    <w:rsid w:val="1038DE23"/>
    <w:rsid w:val="10399797"/>
    <w:rsid w:val="103A408C"/>
    <w:rsid w:val="103C103F"/>
    <w:rsid w:val="103CFB9C"/>
    <w:rsid w:val="103F508D"/>
    <w:rsid w:val="1040BEB7"/>
    <w:rsid w:val="10416217"/>
    <w:rsid w:val="1042FDCE"/>
    <w:rsid w:val="1044E031"/>
    <w:rsid w:val="104E232B"/>
    <w:rsid w:val="10502223"/>
    <w:rsid w:val="10514BBB"/>
    <w:rsid w:val="105196D7"/>
    <w:rsid w:val="105338AB"/>
    <w:rsid w:val="105494E7"/>
    <w:rsid w:val="1055EAD2"/>
    <w:rsid w:val="105CB9BF"/>
    <w:rsid w:val="105D1A55"/>
    <w:rsid w:val="105EB01A"/>
    <w:rsid w:val="105F03D9"/>
    <w:rsid w:val="105F138C"/>
    <w:rsid w:val="106090C6"/>
    <w:rsid w:val="1061F4D2"/>
    <w:rsid w:val="10654D4B"/>
    <w:rsid w:val="1068CF3A"/>
    <w:rsid w:val="1069EAB0"/>
    <w:rsid w:val="106C0621"/>
    <w:rsid w:val="106D1DC1"/>
    <w:rsid w:val="106D7424"/>
    <w:rsid w:val="1070BA5E"/>
    <w:rsid w:val="1072EA09"/>
    <w:rsid w:val="1074DCD4"/>
    <w:rsid w:val="1075604F"/>
    <w:rsid w:val="1077195E"/>
    <w:rsid w:val="10791F95"/>
    <w:rsid w:val="107CC581"/>
    <w:rsid w:val="1080FDDD"/>
    <w:rsid w:val="1081ACAA"/>
    <w:rsid w:val="1082355C"/>
    <w:rsid w:val="1083BACE"/>
    <w:rsid w:val="1084907E"/>
    <w:rsid w:val="10857902"/>
    <w:rsid w:val="10864343"/>
    <w:rsid w:val="10866DAE"/>
    <w:rsid w:val="108697BC"/>
    <w:rsid w:val="10882C8F"/>
    <w:rsid w:val="1089DFFE"/>
    <w:rsid w:val="108B819B"/>
    <w:rsid w:val="108BB3BA"/>
    <w:rsid w:val="108BE176"/>
    <w:rsid w:val="108D18F3"/>
    <w:rsid w:val="108E2A28"/>
    <w:rsid w:val="10904157"/>
    <w:rsid w:val="109337DE"/>
    <w:rsid w:val="1098A434"/>
    <w:rsid w:val="109A13CA"/>
    <w:rsid w:val="109A14F9"/>
    <w:rsid w:val="109CBAB3"/>
    <w:rsid w:val="109EBF39"/>
    <w:rsid w:val="109EE99E"/>
    <w:rsid w:val="109FB4B1"/>
    <w:rsid w:val="10A1A521"/>
    <w:rsid w:val="10A24575"/>
    <w:rsid w:val="10A2B9B4"/>
    <w:rsid w:val="10A3ACB6"/>
    <w:rsid w:val="10A3FFF3"/>
    <w:rsid w:val="10A43D44"/>
    <w:rsid w:val="10A57BA1"/>
    <w:rsid w:val="10A70818"/>
    <w:rsid w:val="10A7EDD1"/>
    <w:rsid w:val="10AA50E1"/>
    <w:rsid w:val="10AE239A"/>
    <w:rsid w:val="10AF2145"/>
    <w:rsid w:val="10AF5F70"/>
    <w:rsid w:val="10B134B2"/>
    <w:rsid w:val="10B47E3D"/>
    <w:rsid w:val="10B592D2"/>
    <w:rsid w:val="10B727D0"/>
    <w:rsid w:val="10B98616"/>
    <w:rsid w:val="10BB3FBE"/>
    <w:rsid w:val="10BC7215"/>
    <w:rsid w:val="10BD5FF9"/>
    <w:rsid w:val="10BE1E24"/>
    <w:rsid w:val="10BF454F"/>
    <w:rsid w:val="10BF9C6A"/>
    <w:rsid w:val="10BF9D8B"/>
    <w:rsid w:val="10C00A0F"/>
    <w:rsid w:val="10C219DA"/>
    <w:rsid w:val="10C33FDB"/>
    <w:rsid w:val="10C60EBA"/>
    <w:rsid w:val="10C85EC8"/>
    <w:rsid w:val="10C91280"/>
    <w:rsid w:val="10C9727C"/>
    <w:rsid w:val="10CA221C"/>
    <w:rsid w:val="10CB304F"/>
    <w:rsid w:val="10CD7A09"/>
    <w:rsid w:val="10CDA5BD"/>
    <w:rsid w:val="10CE8CFE"/>
    <w:rsid w:val="10CECFAF"/>
    <w:rsid w:val="10CEE13C"/>
    <w:rsid w:val="10CF67D9"/>
    <w:rsid w:val="10CFC9B3"/>
    <w:rsid w:val="10D1C892"/>
    <w:rsid w:val="10D20592"/>
    <w:rsid w:val="10D2FEED"/>
    <w:rsid w:val="10D46FEB"/>
    <w:rsid w:val="10D4D6C2"/>
    <w:rsid w:val="10D67389"/>
    <w:rsid w:val="10D6D2C3"/>
    <w:rsid w:val="10DB2E39"/>
    <w:rsid w:val="10DBCC96"/>
    <w:rsid w:val="10DDCF3F"/>
    <w:rsid w:val="10DE3F96"/>
    <w:rsid w:val="10DF1A8C"/>
    <w:rsid w:val="10DFDD96"/>
    <w:rsid w:val="10E02782"/>
    <w:rsid w:val="10E338EA"/>
    <w:rsid w:val="10E3A467"/>
    <w:rsid w:val="10E4479C"/>
    <w:rsid w:val="10E80F36"/>
    <w:rsid w:val="10ED1B4C"/>
    <w:rsid w:val="10ED4537"/>
    <w:rsid w:val="10ED8C83"/>
    <w:rsid w:val="10EE0168"/>
    <w:rsid w:val="10EFAEE7"/>
    <w:rsid w:val="10F04480"/>
    <w:rsid w:val="10F10C97"/>
    <w:rsid w:val="10F134CE"/>
    <w:rsid w:val="10F1BAF4"/>
    <w:rsid w:val="10F2F5B4"/>
    <w:rsid w:val="10F2FDD4"/>
    <w:rsid w:val="10F4CDA2"/>
    <w:rsid w:val="10F4E449"/>
    <w:rsid w:val="10F5AFF9"/>
    <w:rsid w:val="10F9A69C"/>
    <w:rsid w:val="10FA2D97"/>
    <w:rsid w:val="10FE7219"/>
    <w:rsid w:val="10FF0A41"/>
    <w:rsid w:val="10FF2E3D"/>
    <w:rsid w:val="10FF6269"/>
    <w:rsid w:val="1100826C"/>
    <w:rsid w:val="110365A2"/>
    <w:rsid w:val="11043831"/>
    <w:rsid w:val="11052C8F"/>
    <w:rsid w:val="1105CE8C"/>
    <w:rsid w:val="1106445F"/>
    <w:rsid w:val="11072B7B"/>
    <w:rsid w:val="11088AAC"/>
    <w:rsid w:val="110A8097"/>
    <w:rsid w:val="110EE452"/>
    <w:rsid w:val="110FE063"/>
    <w:rsid w:val="11151C03"/>
    <w:rsid w:val="11156494"/>
    <w:rsid w:val="111718AB"/>
    <w:rsid w:val="1118ABB9"/>
    <w:rsid w:val="1118D378"/>
    <w:rsid w:val="1118FAE9"/>
    <w:rsid w:val="111AB9E4"/>
    <w:rsid w:val="11214828"/>
    <w:rsid w:val="1122312C"/>
    <w:rsid w:val="11282565"/>
    <w:rsid w:val="11282812"/>
    <w:rsid w:val="11291B50"/>
    <w:rsid w:val="11298B4B"/>
    <w:rsid w:val="1129C0BE"/>
    <w:rsid w:val="112FF0BA"/>
    <w:rsid w:val="11306403"/>
    <w:rsid w:val="1132A29B"/>
    <w:rsid w:val="11335A55"/>
    <w:rsid w:val="113380FA"/>
    <w:rsid w:val="1133F1A7"/>
    <w:rsid w:val="1133F828"/>
    <w:rsid w:val="11340242"/>
    <w:rsid w:val="1134251F"/>
    <w:rsid w:val="1137FEFD"/>
    <w:rsid w:val="113877B8"/>
    <w:rsid w:val="1138B229"/>
    <w:rsid w:val="1138CC51"/>
    <w:rsid w:val="113C8A09"/>
    <w:rsid w:val="113DCB8D"/>
    <w:rsid w:val="113F367F"/>
    <w:rsid w:val="113F855A"/>
    <w:rsid w:val="11400FF3"/>
    <w:rsid w:val="11405CD5"/>
    <w:rsid w:val="1141A2BB"/>
    <w:rsid w:val="1143169B"/>
    <w:rsid w:val="1143DE2B"/>
    <w:rsid w:val="1145EBB2"/>
    <w:rsid w:val="114A884D"/>
    <w:rsid w:val="114C0DD1"/>
    <w:rsid w:val="114D529D"/>
    <w:rsid w:val="114EEC56"/>
    <w:rsid w:val="114F8B6C"/>
    <w:rsid w:val="115190A8"/>
    <w:rsid w:val="1153A08E"/>
    <w:rsid w:val="115410FE"/>
    <w:rsid w:val="11558E18"/>
    <w:rsid w:val="1157418F"/>
    <w:rsid w:val="1158353A"/>
    <w:rsid w:val="115978DB"/>
    <w:rsid w:val="115ABF6D"/>
    <w:rsid w:val="115BFC1C"/>
    <w:rsid w:val="115E0F35"/>
    <w:rsid w:val="11611A8E"/>
    <w:rsid w:val="1167CA65"/>
    <w:rsid w:val="11687F15"/>
    <w:rsid w:val="1168CCAD"/>
    <w:rsid w:val="116A7079"/>
    <w:rsid w:val="116AED11"/>
    <w:rsid w:val="116AFFC1"/>
    <w:rsid w:val="116B7DF6"/>
    <w:rsid w:val="116F4817"/>
    <w:rsid w:val="11711443"/>
    <w:rsid w:val="11712D7A"/>
    <w:rsid w:val="11717282"/>
    <w:rsid w:val="11718D09"/>
    <w:rsid w:val="1171BA9D"/>
    <w:rsid w:val="1172B663"/>
    <w:rsid w:val="11733350"/>
    <w:rsid w:val="1173FA36"/>
    <w:rsid w:val="1174911D"/>
    <w:rsid w:val="1174BA5A"/>
    <w:rsid w:val="1174C833"/>
    <w:rsid w:val="117611B6"/>
    <w:rsid w:val="1177DA5F"/>
    <w:rsid w:val="1179042C"/>
    <w:rsid w:val="117AF5F4"/>
    <w:rsid w:val="117B2E97"/>
    <w:rsid w:val="117C4659"/>
    <w:rsid w:val="117E919A"/>
    <w:rsid w:val="117EAA0A"/>
    <w:rsid w:val="117ECC5B"/>
    <w:rsid w:val="11810692"/>
    <w:rsid w:val="1183887B"/>
    <w:rsid w:val="11845E8D"/>
    <w:rsid w:val="11846812"/>
    <w:rsid w:val="11847C6F"/>
    <w:rsid w:val="1184F5AC"/>
    <w:rsid w:val="1185ADBD"/>
    <w:rsid w:val="11877CC0"/>
    <w:rsid w:val="11888A10"/>
    <w:rsid w:val="1189DA45"/>
    <w:rsid w:val="118A5C15"/>
    <w:rsid w:val="118A7167"/>
    <w:rsid w:val="118A7681"/>
    <w:rsid w:val="118B39CC"/>
    <w:rsid w:val="118C226B"/>
    <w:rsid w:val="118C2687"/>
    <w:rsid w:val="118C5C4E"/>
    <w:rsid w:val="118D44A8"/>
    <w:rsid w:val="118DFCBC"/>
    <w:rsid w:val="118F2A45"/>
    <w:rsid w:val="1190057A"/>
    <w:rsid w:val="1191DBA3"/>
    <w:rsid w:val="1192F7AA"/>
    <w:rsid w:val="11935CB3"/>
    <w:rsid w:val="11960DAB"/>
    <w:rsid w:val="11987B78"/>
    <w:rsid w:val="11996182"/>
    <w:rsid w:val="119C0030"/>
    <w:rsid w:val="119C19B2"/>
    <w:rsid w:val="119FBDF8"/>
    <w:rsid w:val="11A05FF0"/>
    <w:rsid w:val="11A4F97E"/>
    <w:rsid w:val="11A5406D"/>
    <w:rsid w:val="11A67AAC"/>
    <w:rsid w:val="11A6BCEF"/>
    <w:rsid w:val="11A6D454"/>
    <w:rsid w:val="11AA2988"/>
    <w:rsid w:val="11AA443A"/>
    <w:rsid w:val="11AB434E"/>
    <w:rsid w:val="11ABFD56"/>
    <w:rsid w:val="11B0A2B2"/>
    <w:rsid w:val="11B14C97"/>
    <w:rsid w:val="11B1D99D"/>
    <w:rsid w:val="11B1E8E3"/>
    <w:rsid w:val="11B26AE9"/>
    <w:rsid w:val="11B4B7CA"/>
    <w:rsid w:val="11B60B1A"/>
    <w:rsid w:val="11B7BE5F"/>
    <w:rsid w:val="11BA4069"/>
    <w:rsid w:val="11BAC9E8"/>
    <w:rsid w:val="11BBA41E"/>
    <w:rsid w:val="11BBBE06"/>
    <w:rsid w:val="11BDF88A"/>
    <w:rsid w:val="11BF7A75"/>
    <w:rsid w:val="11C221F5"/>
    <w:rsid w:val="11C467E2"/>
    <w:rsid w:val="11C57D28"/>
    <w:rsid w:val="11C61934"/>
    <w:rsid w:val="11C8F550"/>
    <w:rsid w:val="11CC94E2"/>
    <w:rsid w:val="11CD0B4E"/>
    <w:rsid w:val="11CDFB7C"/>
    <w:rsid w:val="11D04DBE"/>
    <w:rsid w:val="11D06B00"/>
    <w:rsid w:val="11D18775"/>
    <w:rsid w:val="11D83F51"/>
    <w:rsid w:val="11D84384"/>
    <w:rsid w:val="11D9563F"/>
    <w:rsid w:val="11DB1CB0"/>
    <w:rsid w:val="11DB44B7"/>
    <w:rsid w:val="11DBE1C1"/>
    <w:rsid w:val="11DFE21A"/>
    <w:rsid w:val="11E05180"/>
    <w:rsid w:val="11E0C060"/>
    <w:rsid w:val="11E1B386"/>
    <w:rsid w:val="11E1E9D6"/>
    <w:rsid w:val="11E41C91"/>
    <w:rsid w:val="11E5BBEE"/>
    <w:rsid w:val="11E5E979"/>
    <w:rsid w:val="11EAAD12"/>
    <w:rsid w:val="11EED095"/>
    <w:rsid w:val="11F370E2"/>
    <w:rsid w:val="11F3CA5F"/>
    <w:rsid w:val="11F69F6A"/>
    <w:rsid w:val="11F70AF0"/>
    <w:rsid w:val="11F876A5"/>
    <w:rsid w:val="11F91C65"/>
    <w:rsid w:val="11FA55CA"/>
    <w:rsid w:val="11FCFF67"/>
    <w:rsid w:val="11FD60B2"/>
    <w:rsid w:val="11FD8A9E"/>
    <w:rsid w:val="11FE72B4"/>
    <w:rsid w:val="11FF4983"/>
    <w:rsid w:val="1201F66B"/>
    <w:rsid w:val="12043425"/>
    <w:rsid w:val="1204A64C"/>
    <w:rsid w:val="12087612"/>
    <w:rsid w:val="12089660"/>
    <w:rsid w:val="1209269F"/>
    <w:rsid w:val="120B4A6E"/>
    <w:rsid w:val="120D7726"/>
    <w:rsid w:val="120F0A81"/>
    <w:rsid w:val="120FCA53"/>
    <w:rsid w:val="1210A38E"/>
    <w:rsid w:val="1210B94E"/>
    <w:rsid w:val="12111771"/>
    <w:rsid w:val="1211F000"/>
    <w:rsid w:val="121293A2"/>
    <w:rsid w:val="1217D6D2"/>
    <w:rsid w:val="121AA632"/>
    <w:rsid w:val="121B1748"/>
    <w:rsid w:val="121B3258"/>
    <w:rsid w:val="121B7806"/>
    <w:rsid w:val="121B93D6"/>
    <w:rsid w:val="121BBCA7"/>
    <w:rsid w:val="121C2B08"/>
    <w:rsid w:val="121CB431"/>
    <w:rsid w:val="121D3B0A"/>
    <w:rsid w:val="121D631E"/>
    <w:rsid w:val="121F57B4"/>
    <w:rsid w:val="121FEB66"/>
    <w:rsid w:val="1220E9B1"/>
    <w:rsid w:val="1222AB1C"/>
    <w:rsid w:val="1226285D"/>
    <w:rsid w:val="1227E490"/>
    <w:rsid w:val="122C9BCF"/>
    <w:rsid w:val="122DAD35"/>
    <w:rsid w:val="122ECE11"/>
    <w:rsid w:val="122FFEAA"/>
    <w:rsid w:val="1230C8BA"/>
    <w:rsid w:val="12352355"/>
    <w:rsid w:val="1235D2F2"/>
    <w:rsid w:val="12367784"/>
    <w:rsid w:val="1236B0E7"/>
    <w:rsid w:val="123713E6"/>
    <w:rsid w:val="12375C61"/>
    <w:rsid w:val="123785EA"/>
    <w:rsid w:val="1239235A"/>
    <w:rsid w:val="12395F87"/>
    <w:rsid w:val="123A558C"/>
    <w:rsid w:val="123A666B"/>
    <w:rsid w:val="123AA6FE"/>
    <w:rsid w:val="123EA5D8"/>
    <w:rsid w:val="123F9CB8"/>
    <w:rsid w:val="1242E7A6"/>
    <w:rsid w:val="124529CF"/>
    <w:rsid w:val="124610FA"/>
    <w:rsid w:val="12480C3C"/>
    <w:rsid w:val="1248E76A"/>
    <w:rsid w:val="124BE438"/>
    <w:rsid w:val="1251EA02"/>
    <w:rsid w:val="125254FD"/>
    <w:rsid w:val="12527F69"/>
    <w:rsid w:val="125384A9"/>
    <w:rsid w:val="1253A55E"/>
    <w:rsid w:val="1254AA2B"/>
    <w:rsid w:val="1255430D"/>
    <w:rsid w:val="12571DB2"/>
    <w:rsid w:val="125794FA"/>
    <w:rsid w:val="1258E151"/>
    <w:rsid w:val="125B0D15"/>
    <w:rsid w:val="125BD1D5"/>
    <w:rsid w:val="125CFADF"/>
    <w:rsid w:val="125EB3DF"/>
    <w:rsid w:val="12635E80"/>
    <w:rsid w:val="12645827"/>
    <w:rsid w:val="12649A29"/>
    <w:rsid w:val="12661244"/>
    <w:rsid w:val="12692DA2"/>
    <w:rsid w:val="126DE735"/>
    <w:rsid w:val="126E4BB2"/>
    <w:rsid w:val="126ECB13"/>
    <w:rsid w:val="126FDB3F"/>
    <w:rsid w:val="1270E207"/>
    <w:rsid w:val="12729B4D"/>
    <w:rsid w:val="1273046F"/>
    <w:rsid w:val="127510C3"/>
    <w:rsid w:val="127594F4"/>
    <w:rsid w:val="12775DE1"/>
    <w:rsid w:val="1277C10D"/>
    <w:rsid w:val="1278249F"/>
    <w:rsid w:val="12786E26"/>
    <w:rsid w:val="1278E5B7"/>
    <w:rsid w:val="127A3872"/>
    <w:rsid w:val="127A79C4"/>
    <w:rsid w:val="127AAF15"/>
    <w:rsid w:val="127DA584"/>
    <w:rsid w:val="127ED1C4"/>
    <w:rsid w:val="127F587D"/>
    <w:rsid w:val="12810DD1"/>
    <w:rsid w:val="1281E695"/>
    <w:rsid w:val="12828EEC"/>
    <w:rsid w:val="1285EE7B"/>
    <w:rsid w:val="1285FADA"/>
    <w:rsid w:val="128827AB"/>
    <w:rsid w:val="1289EE1D"/>
    <w:rsid w:val="128A3D23"/>
    <w:rsid w:val="128BF559"/>
    <w:rsid w:val="128E0AEF"/>
    <w:rsid w:val="128E978D"/>
    <w:rsid w:val="128EE859"/>
    <w:rsid w:val="128FF4B2"/>
    <w:rsid w:val="12900D9D"/>
    <w:rsid w:val="12905762"/>
    <w:rsid w:val="1292A6EB"/>
    <w:rsid w:val="1292C2D3"/>
    <w:rsid w:val="1293F444"/>
    <w:rsid w:val="1293FFAF"/>
    <w:rsid w:val="12958ED3"/>
    <w:rsid w:val="129664BA"/>
    <w:rsid w:val="12982F01"/>
    <w:rsid w:val="129B8BBD"/>
    <w:rsid w:val="129E287A"/>
    <w:rsid w:val="129FD67A"/>
    <w:rsid w:val="12A0F313"/>
    <w:rsid w:val="12A37F55"/>
    <w:rsid w:val="12A3858A"/>
    <w:rsid w:val="12A38A3E"/>
    <w:rsid w:val="12A464AF"/>
    <w:rsid w:val="12A76FBA"/>
    <w:rsid w:val="12AB3CF1"/>
    <w:rsid w:val="12AC3077"/>
    <w:rsid w:val="12AC345C"/>
    <w:rsid w:val="12AC5461"/>
    <w:rsid w:val="12B01BD6"/>
    <w:rsid w:val="12B0D278"/>
    <w:rsid w:val="12B13637"/>
    <w:rsid w:val="12B1A4F2"/>
    <w:rsid w:val="12B3A0C2"/>
    <w:rsid w:val="12B655BA"/>
    <w:rsid w:val="12B759F4"/>
    <w:rsid w:val="12BAD4E7"/>
    <w:rsid w:val="12BD40DF"/>
    <w:rsid w:val="12BD44F2"/>
    <w:rsid w:val="12BE43C1"/>
    <w:rsid w:val="12BF2899"/>
    <w:rsid w:val="12BFDD3B"/>
    <w:rsid w:val="12C0CECC"/>
    <w:rsid w:val="12C255E9"/>
    <w:rsid w:val="12C2C161"/>
    <w:rsid w:val="12C4966F"/>
    <w:rsid w:val="12C4E14A"/>
    <w:rsid w:val="12C5CE64"/>
    <w:rsid w:val="12C62F92"/>
    <w:rsid w:val="12C70A41"/>
    <w:rsid w:val="12C7D4DA"/>
    <w:rsid w:val="12C8891E"/>
    <w:rsid w:val="12C9E418"/>
    <w:rsid w:val="12CBBD3E"/>
    <w:rsid w:val="12CC7360"/>
    <w:rsid w:val="12CE5B5A"/>
    <w:rsid w:val="12CE870C"/>
    <w:rsid w:val="12CF2F9A"/>
    <w:rsid w:val="12CF63A9"/>
    <w:rsid w:val="12D04522"/>
    <w:rsid w:val="12D1F559"/>
    <w:rsid w:val="12D2BE03"/>
    <w:rsid w:val="12D32A79"/>
    <w:rsid w:val="12D36682"/>
    <w:rsid w:val="12D36CC0"/>
    <w:rsid w:val="12D394A6"/>
    <w:rsid w:val="12D495FE"/>
    <w:rsid w:val="12D53368"/>
    <w:rsid w:val="12D55E69"/>
    <w:rsid w:val="12D8A977"/>
    <w:rsid w:val="12D8BAE0"/>
    <w:rsid w:val="12DA537C"/>
    <w:rsid w:val="12DC9B24"/>
    <w:rsid w:val="12DEA014"/>
    <w:rsid w:val="12DED342"/>
    <w:rsid w:val="12E03A87"/>
    <w:rsid w:val="12E1985D"/>
    <w:rsid w:val="12E276E3"/>
    <w:rsid w:val="12E287E5"/>
    <w:rsid w:val="12E29110"/>
    <w:rsid w:val="12E2C0F5"/>
    <w:rsid w:val="12E5AD2E"/>
    <w:rsid w:val="12E686A0"/>
    <w:rsid w:val="12E7DE32"/>
    <w:rsid w:val="12E954B6"/>
    <w:rsid w:val="12EB51DA"/>
    <w:rsid w:val="12EB653C"/>
    <w:rsid w:val="12EBDF02"/>
    <w:rsid w:val="12ECBB12"/>
    <w:rsid w:val="12EDEA0D"/>
    <w:rsid w:val="12EEFA57"/>
    <w:rsid w:val="12F18A4E"/>
    <w:rsid w:val="12F25A26"/>
    <w:rsid w:val="12F30D61"/>
    <w:rsid w:val="12F37A03"/>
    <w:rsid w:val="12F5C71C"/>
    <w:rsid w:val="12F5E766"/>
    <w:rsid w:val="12F667AE"/>
    <w:rsid w:val="12F9AECC"/>
    <w:rsid w:val="12FAA156"/>
    <w:rsid w:val="12FF5864"/>
    <w:rsid w:val="13001595"/>
    <w:rsid w:val="13003FDA"/>
    <w:rsid w:val="130146E8"/>
    <w:rsid w:val="13029F7C"/>
    <w:rsid w:val="13037BD7"/>
    <w:rsid w:val="13041D24"/>
    <w:rsid w:val="1305CA8B"/>
    <w:rsid w:val="1306397A"/>
    <w:rsid w:val="1308BF0D"/>
    <w:rsid w:val="1309CC72"/>
    <w:rsid w:val="130ADFAF"/>
    <w:rsid w:val="130AFBF3"/>
    <w:rsid w:val="130E212C"/>
    <w:rsid w:val="130F132B"/>
    <w:rsid w:val="130FEC6F"/>
    <w:rsid w:val="131041F4"/>
    <w:rsid w:val="1315060B"/>
    <w:rsid w:val="1315E4E1"/>
    <w:rsid w:val="1317CE95"/>
    <w:rsid w:val="131D23F7"/>
    <w:rsid w:val="132009C0"/>
    <w:rsid w:val="13201AE9"/>
    <w:rsid w:val="13204A02"/>
    <w:rsid w:val="1320AB6B"/>
    <w:rsid w:val="13216FB7"/>
    <w:rsid w:val="1321796A"/>
    <w:rsid w:val="13219D8C"/>
    <w:rsid w:val="1322C775"/>
    <w:rsid w:val="13249139"/>
    <w:rsid w:val="13295D03"/>
    <w:rsid w:val="132A35BB"/>
    <w:rsid w:val="132B37E2"/>
    <w:rsid w:val="132BE11A"/>
    <w:rsid w:val="132D2D3C"/>
    <w:rsid w:val="132EDAC3"/>
    <w:rsid w:val="132F412F"/>
    <w:rsid w:val="13304A19"/>
    <w:rsid w:val="13313796"/>
    <w:rsid w:val="13324FCF"/>
    <w:rsid w:val="133277D9"/>
    <w:rsid w:val="13330417"/>
    <w:rsid w:val="13374480"/>
    <w:rsid w:val="13387188"/>
    <w:rsid w:val="13396348"/>
    <w:rsid w:val="133A4815"/>
    <w:rsid w:val="133ACF30"/>
    <w:rsid w:val="133CD533"/>
    <w:rsid w:val="133D74A6"/>
    <w:rsid w:val="133DAF55"/>
    <w:rsid w:val="133FBC30"/>
    <w:rsid w:val="13403155"/>
    <w:rsid w:val="13404639"/>
    <w:rsid w:val="1341CA2D"/>
    <w:rsid w:val="1341E993"/>
    <w:rsid w:val="1341F144"/>
    <w:rsid w:val="1342A2E7"/>
    <w:rsid w:val="1343A15D"/>
    <w:rsid w:val="1346367F"/>
    <w:rsid w:val="134788A3"/>
    <w:rsid w:val="13482617"/>
    <w:rsid w:val="134D4189"/>
    <w:rsid w:val="134E8162"/>
    <w:rsid w:val="134EE71E"/>
    <w:rsid w:val="134F3F3C"/>
    <w:rsid w:val="134F701F"/>
    <w:rsid w:val="1351E79D"/>
    <w:rsid w:val="1354293F"/>
    <w:rsid w:val="13555B89"/>
    <w:rsid w:val="1356004E"/>
    <w:rsid w:val="13592AEF"/>
    <w:rsid w:val="135BC43E"/>
    <w:rsid w:val="1360F18C"/>
    <w:rsid w:val="136250F4"/>
    <w:rsid w:val="1364E56D"/>
    <w:rsid w:val="136578A8"/>
    <w:rsid w:val="13687D39"/>
    <w:rsid w:val="1368BEFD"/>
    <w:rsid w:val="136A9503"/>
    <w:rsid w:val="136B0CCC"/>
    <w:rsid w:val="136C1A30"/>
    <w:rsid w:val="136CC6EA"/>
    <w:rsid w:val="136F8F03"/>
    <w:rsid w:val="137121DB"/>
    <w:rsid w:val="137228E1"/>
    <w:rsid w:val="13730A47"/>
    <w:rsid w:val="1373C1D7"/>
    <w:rsid w:val="13742FC3"/>
    <w:rsid w:val="1374BA31"/>
    <w:rsid w:val="1374D3CE"/>
    <w:rsid w:val="1379350A"/>
    <w:rsid w:val="137BB9CE"/>
    <w:rsid w:val="137E01F8"/>
    <w:rsid w:val="1380B26E"/>
    <w:rsid w:val="138213C5"/>
    <w:rsid w:val="138265BD"/>
    <w:rsid w:val="13848322"/>
    <w:rsid w:val="1384F0FE"/>
    <w:rsid w:val="1385DC86"/>
    <w:rsid w:val="1386EE2C"/>
    <w:rsid w:val="138AB19A"/>
    <w:rsid w:val="138AD96D"/>
    <w:rsid w:val="138BE7DB"/>
    <w:rsid w:val="138E3858"/>
    <w:rsid w:val="138E6710"/>
    <w:rsid w:val="138EDD30"/>
    <w:rsid w:val="13906454"/>
    <w:rsid w:val="1391B421"/>
    <w:rsid w:val="13921573"/>
    <w:rsid w:val="13935E07"/>
    <w:rsid w:val="1396960E"/>
    <w:rsid w:val="13997630"/>
    <w:rsid w:val="139B1459"/>
    <w:rsid w:val="139B44E5"/>
    <w:rsid w:val="139C49E3"/>
    <w:rsid w:val="139C90FB"/>
    <w:rsid w:val="139E3E32"/>
    <w:rsid w:val="13A05605"/>
    <w:rsid w:val="13A08995"/>
    <w:rsid w:val="13A0D0FF"/>
    <w:rsid w:val="13A2B20D"/>
    <w:rsid w:val="13A4CEF2"/>
    <w:rsid w:val="13A7D957"/>
    <w:rsid w:val="13ABF8B7"/>
    <w:rsid w:val="13AF40AC"/>
    <w:rsid w:val="13B0FD94"/>
    <w:rsid w:val="13B12390"/>
    <w:rsid w:val="13B14FD9"/>
    <w:rsid w:val="13B29A5B"/>
    <w:rsid w:val="13B3EE92"/>
    <w:rsid w:val="13B4B9B5"/>
    <w:rsid w:val="13B50058"/>
    <w:rsid w:val="13B822C2"/>
    <w:rsid w:val="13B90A0B"/>
    <w:rsid w:val="13BA4B17"/>
    <w:rsid w:val="13BBCCC5"/>
    <w:rsid w:val="13BDD503"/>
    <w:rsid w:val="13BE8E2F"/>
    <w:rsid w:val="13BEBF83"/>
    <w:rsid w:val="13BF67A9"/>
    <w:rsid w:val="13C195A6"/>
    <w:rsid w:val="13C3C3C3"/>
    <w:rsid w:val="13C4D942"/>
    <w:rsid w:val="13C6FB4C"/>
    <w:rsid w:val="13C787FE"/>
    <w:rsid w:val="13C79859"/>
    <w:rsid w:val="13C829A4"/>
    <w:rsid w:val="13C8BBE3"/>
    <w:rsid w:val="13C8C237"/>
    <w:rsid w:val="13C9EEBA"/>
    <w:rsid w:val="13CE9F54"/>
    <w:rsid w:val="13D0A920"/>
    <w:rsid w:val="13DB7538"/>
    <w:rsid w:val="13DC4FDA"/>
    <w:rsid w:val="13DD9F82"/>
    <w:rsid w:val="13E04920"/>
    <w:rsid w:val="13E04F07"/>
    <w:rsid w:val="13E11183"/>
    <w:rsid w:val="13E135D9"/>
    <w:rsid w:val="13E4A801"/>
    <w:rsid w:val="13E6EF95"/>
    <w:rsid w:val="13E7C488"/>
    <w:rsid w:val="13E8F327"/>
    <w:rsid w:val="13E8FEAB"/>
    <w:rsid w:val="13EBD5DD"/>
    <w:rsid w:val="13ECD75A"/>
    <w:rsid w:val="13EF9412"/>
    <w:rsid w:val="13F0A850"/>
    <w:rsid w:val="13F2748E"/>
    <w:rsid w:val="13F312F1"/>
    <w:rsid w:val="13F57E63"/>
    <w:rsid w:val="13F5C135"/>
    <w:rsid w:val="13F884B8"/>
    <w:rsid w:val="13FD03FD"/>
    <w:rsid w:val="13FD7608"/>
    <w:rsid w:val="13FFA28D"/>
    <w:rsid w:val="13FFFD61"/>
    <w:rsid w:val="14027914"/>
    <w:rsid w:val="14044A72"/>
    <w:rsid w:val="14067071"/>
    <w:rsid w:val="14067DA6"/>
    <w:rsid w:val="140773B1"/>
    <w:rsid w:val="140DB07E"/>
    <w:rsid w:val="140F1900"/>
    <w:rsid w:val="140F59FF"/>
    <w:rsid w:val="140FC46C"/>
    <w:rsid w:val="140FC789"/>
    <w:rsid w:val="14105771"/>
    <w:rsid w:val="14109557"/>
    <w:rsid w:val="1411133B"/>
    <w:rsid w:val="14114485"/>
    <w:rsid w:val="1412C86D"/>
    <w:rsid w:val="14130655"/>
    <w:rsid w:val="141390DD"/>
    <w:rsid w:val="1413AAB1"/>
    <w:rsid w:val="141433A2"/>
    <w:rsid w:val="141A0E3B"/>
    <w:rsid w:val="141BA4F3"/>
    <w:rsid w:val="141BB78B"/>
    <w:rsid w:val="141ED7FD"/>
    <w:rsid w:val="141FE41B"/>
    <w:rsid w:val="14209B12"/>
    <w:rsid w:val="142378AE"/>
    <w:rsid w:val="14246630"/>
    <w:rsid w:val="14246DCE"/>
    <w:rsid w:val="1424AB63"/>
    <w:rsid w:val="1425D0B3"/>
    <w:rsid w:val="14266F75"/>
    <w:rsid w:val="1426B587"/>
    <w:rsid w:val="1427718C"/>
    <w:rsid w:val="1427DA6B"/>
    <w:rsid w:val="142A0FDB"/>
    <w:rsid w:val="142B477B"/>
    <w:rsid w:val="142B560E"/>
    <w:rsid w:val="142B6CC2"/>
    <w:rsid w:val="142B776A"/>
    <w:rsid w:val="142B9EFE"/>
    <w:rsid w:val="142C092C"/>
    <w:rsid w:val="142C3367"/>
    <w:rsid w:val="142D7DE4"/>
    <w:rsid w:val="142E0E90"/>
    <w:rsid w:val="142E34B3"/>
    <w:rsid w:val="14308A51"/>
    <w:rsid w:val="1430D510"/>
    <w:rsid w:val="1431015D"/>
    <w:rsid w:val="14318332"/>
    <w:rsid w:val="1432351B"/>
    <w:rsid w:val="14349446"/>
    <w:rsid w:val="1434D38D"/>
    <w:rsid w:val="143770D6"/>
    <w:rsid w:val="1439C5AE"/>
    <w:rsid w:val="1439EA6A"/>
    <w:rsid w:val="143A2B0E"/>
    <w:rsid w:val="143CFFF0"/>
    <w:rsid w:val="143D74B0"/>
    <w:rsid w:val="143EA9F9"/>
    <w:rsid w:val="144069F8"/>
    <w:rsid w:val="1440AC1E"/>
    <w:rsid w:val="14411367"/>
    <w:rsid w:val="1443258C"/>
    <w:rsid w:val="14441EB5"/>
    <w:rsid w:val="144506FA"/>
    <w:rsid w:val="1445A84E"/>
    <w:rsid w:val="1446755D"/>
    <w:rsid w:val="14478EDF"/>
    <w:rsid w:val="14479241"/>
    <w:rsid w:val="14483DBB"/>
    <w:rsid w:val="14490E26"/>
    <w:rsid w:val="14493964"/>
    <w:rsid w:val="1449A085"/>
    <w:rsid w:val="144A3E89"/>
    <w:rsid w:val="144C909A"/>
    <w:rsid w:val="144C9CAE"/>
    <w:rsid w:val="144F92EA"/>
    <w:rsid w:val="14507E5A"/>
    <w:rsid w:val="1450E8CC"/>
    <w:rsid w:val="14522E70"/>
    <w:rsid w:val="1455EF77"/>
    <w:rsid w:val="14571F19"/>
    <w:rsid w:val="1458EB1E"/>
    <w:rsid w:val="1458F27C"/>
    <w:rsid w:val="145AF4E1"/>
    <w:rsid w:val="145B8C3D"/>
    <w:rsid w:val="145BC153"/>
    <w:rsid w:val="145D1712"/>
    <w:rsid w:val="145D3F56"/>
    <w:rsid w:val="145DE3C4"/>
    <w:rsid w:val="145E0C33"/>
    <w:rsid w:val="1460D114"/>
    <w:rsid w:val="1463346A"/>
    <w:rsid w:val="14634ACC"/>
    <w:rsid w:val="146448A0"/>
    <w:rsid w:val="1464C283"/>
    <w:rsid w:val="14655492"/>
    <w:rsid w:val="14679E62"/>
    <w:rsid w:val="1469C7B3"/>
    <w:rsid w:val="146B191E"/>
    <w:rsid w:val="146B5B21"/>
    <w:rsid w:val="146E50B9"/>
    <w:rsid w:val="146F1E6B"/>
    <w:rsid w:val="147006BE"/>
    <w:rsid w:val="14708495"/>
    <w:rsid w:val="14714D9A"/>
    <w:rsid w:val="1473FB1B"/>
    <w:rsid w:val="14740DD9"/>
    <w:rsid w:val="1474D36E"/>
    <w:rsid w:val="1474F41E"/>
    <w:rsid w:val="1476691B"/>
    <w:rsid w:val="147B25B4"/>
    <w:rsid w:val="147C5667"/>
    <w:rsid w:val="147D3EB5"/>
    <w:rsid w:val="1481D7A8"/>
    <w:rsid w:val="14829A59"/>
    <w:rsid w:val="1485375D"/>
    <w:rsid w:val="14869C3F"/>
    <w:rsid w:val="1487A28D"/>
    <w:rsid w:val="1488F484"/>
    <w:rsid w:val="1488FC3E"/>
    <w:rsid w:val="14895954"/>
    <w:rsid w:val="148A986F"/>
    <w:rsid w:val="148D5C9D"/>
    <w:rsid w:val="148DC723"/>
    <w:rsid w:val="148E1A73"/>
    <w:rsid w:val="148FFD0B"/>
    <w:rsid w:val="1490AF96"/>
    <w:rsid w:val="1491EF7B"/>
    <w:rsid w:val="149276B7"/>
    <w:rsid w:val="14942CF9"/>
    <w:rsid w:val="14969F4E"/>
    <w:rsid w:val="14972BDB"/>
    <w:rsid w:val="14983549"/>
    <w:rsid w:val="14992F91"/>
    <w:rsid w:val="149A0BFF"/>
    <w:rsid w:val="149C7EC2"/>
    <w:rsid w:val="149CA9FB"/>
    <w:rsid w:val="149EA785"/>
    <w:rsid w:val="149F4E60"/>
    <w:rsid w:val="149FB2AB"/>
    <w:rsid w:val="149FEAF4"/>
    <w:rsid w:val="14A03C54"/>
    <w:rsid w:val="14A118A9"/>
    <w:rsid w:val="14A12474"/>
    <w:rsid w:val="14A14E66"/>
    <w:rsid w:val="14A1F666"/>
    <w:rsid w:val="14A5FA75"/>
    <w:rsid w:val="14A6CD8B"/>
    <w:rsid w:val="14A86876"/>
    <w:rsid w:val="14ABD33F"/>
    <w:rsid w:val="14AD745F"/>
    <w:rsid w:val="14AE2764"/>
    <w:rsid w:val="14AF8570"/>
    <w:rsid w:val="14B040D6"/>
    <w:rsid w:val="14B0E133"/>
    <w:rsid w:val="14B0F28B"/>
    <w:rsid w:val="14B194DF"/>
    <w:rsid w:val="14B19F9B"/>
    <w:rsid w:val="14B255BB"/>
    <w:rsid w:val="14B4B16D"/>
    <w:rsid w:val="14B530EB"/>
    <w:rsid w:val="14B64474"/>
    <w:rsid w:val="14B9109D"/>
    <w:rsid w:val="14BB6906"/>
    <w:rsid w:val="14BCF00D"/>
    <w:rsid w:val="14BF4DC6"/>
    <w:rsid w:val="14C2F061"/>
    <w:rsid w:val="14C55EA4"/>
    <w:rsid w:val="14C56853"/>
    <w:rsid w:val="14C684AF"/>
    <w:rsid w:val="14C9AA72"/>
    <w:rsid w:val="14CABF2B"/>
    <w:rsid w:val="14CD8417"/>
    <w:rsid w:val="14D06CB4"/>
    <w:rsid w:val="14D06E7C"/>
    <w:rsid w:val="14D16F97"/>
    <w:rsid w:val="14D2FB26"/>
    <w:rsid w:val="14D3CD93"/>
    <w:rsid w:val="14D3D3EB"/>
    <w:rsid w:val="14D3D9AB"/>
    <w:rsid w:val="14D57C9B"/>
    <w:rsid w:val="14D5E685"/>
    <w:rsid w:val="14D6CE0B"/>
    <w:rsid w:val="14D73D95"/>
    <w:rsid w:val="14D8273E"/>
    <w:rsid w:val="14D87914"/>
    <w:rsid w:val="14D8B177"/>
    <w:rsid w:val="14D9F172"/>
    <w:rsid w:val="14DA0103"/>
    <w:rsid w:val="14DE4359"/>
    <w:rsid w:val="14E540DA"/>
    <w:rsid w:val="14E712F5"/>
    <w:rsid w:val="14E82274"/>
    <w:rsid w:val="14E8D619"/>
    <w:rsid w:val="14EA284A"/>
    <w:rsid w:val="14ED23A0"/>
    <w:rsid w:val="14ED4C79"/>
    <w:rsid w:val="14EE5EA8"/>
    <w:rsid w:val="14EEF01C"/>
    <w:rsid w:val="14EEFF95"/>
    <w:rsid w:val="14F2E851"/>
    <w:rsid w:val="14F4B570"/>
    <w:rsid w:val="14F50CAF"/>
    <w:rsid w:val="14F62D1B"/>
    <w:rsid w:val="14FBA55A"/>
    <w:rsid w:val="14FE2155"/>
    <w:rsid w:val="1501D69C"/>
    <w:rsid w:val="1502B610"/>
    <w:rsid w:val="1503087B"/>
    <w:rsid w:val="1504AEAF"/>
    <w:rsid w:val="1505726D"/>
    <w:rsid w:val="1505CC9A"/>
    <w:rsid w:val="1505EBDF"/>
    <w:rsid w:val="1505F1AE"/>
    <w:rsid w:val="15072F90"/>
    <w:rsid w:val="15084860"/>
    <w:rsid w:val="150DCA97"/>
    <w:rsid w:val="150E5108"/>
    <w:rsid w:val="151045E6"/>
    <w:rsid w:val="15111000"/>
    <w:rsid w:val="1513EDCD"/>
    <w:rsid w:val="15143DE9"/>
    <w:rsid w:val="151475FC"/>
    <w:rsid w:val="151568E2"/>
    <w:rsid w:val="15182F70"/>
    <w:rsid w:val="15184886"/>
    <w:rsid w:val="15185068"/>
    <w:rsid w:val="151ABF0F"/>
    <w:rsid w:val="151B27F1"/>
    <w:rsid w:val="151B3AEC"/>
    <w:rsid w:val="151BA853"/>
    <w:rsid w:val="151CE3D7"/>
    <w:rsid w:val="151D5964"/>
    <w:rsid w:val="1520548E"/>
    <w:rsid w:val="1522C44F"/>
    <w:rsid w:val="15233782"/>
    <w:rsid w:val="1523F130"/>
    <w:rsid w:val="15240CFD"/>
    <w:rsid w:val="15287BE7"/>
    <w:rsid w:val="15287F20"/>
    <w:rsid w:val="15289C87"/>
    <w:rsid w:val="152CA120"/>
    <w:rsid w:val="152D7705"/>
    <w:rsid w:val="152E3DD4"/>
    <w:rsid w:val="152EFFBF"/>
    <w:rsid w:val="15309E54"/>
    <w:rsid w:val="1533594A"/>
    <w:rsid w:val="1533D2A6"/>
    <w:rsid w:val="15352DF4"/>
    <w:rsid w:val="15354095"/>
    <w:rsid w:val="15361861"/>
    <w:rsid w:val="1536209B"/>
    <w:rsid w:val="1536917D"/>
    <w:rsid w:val="153A3032"/>
    <w:rsid w:val="153ADC8D"/>
    <w:rsid w:val="153B0399"/>
    <w:rsid w:val="153B8CD0"/>
    <w:rsid w:val="153CA241"/>
    <w:rsid w:val="153DB21D"/>
    <w:rsid w:val="153DE011"/>
    <w:rsid w:val="153E6F71"/>
    <w:rsid w:val="153FED4D"/>
    <w:rsid w:val="15404C93"/>
    <w:rsid w:val="1545F986"/>
    <w:rsid w:val="154B6610"/>
    <w:rsid w:val="154C3F39"/>
    <w:rsid w:val="154D3A4C"/>
    <w:rsid w:val="154EBDA9"/>
    <w:rsid w:val="154F901D"/>
    <w:rsid w:val="1552A820"/>
    <w:rsid w:val="1555AD60"/>
    <w:rsid w:val="15563F18"/>
    <w:rsid w:val="15580756"/>
    <w:rsid w:val="15585FCA"/>
    <w:rsid w:val="1558FDDC"/>
    <w:rsid w:val="155BD4F8"/>
    <w:rsid w:val="155C1677"/>
    <w:rsid w:val="155FC428"/>
    <w:rsid w:val="15601E5C"/>
    <w:rsid w:val="15626E02"/>
    <w:rsid w:val="1562769B"/>
    <w:rsid w:val="1564BE15"/>
    <w:rsid w:val="15664035"/>
    <w:rsid w:val="156874E9"/>
    <w:rsid w:val="156D2B9E"/>
    <w:rsid w:val="156D4C0A"/>
    <w:rsid w:val="156D8DEA"/>
    <w:rsid w:val="156D939A"/>
    <w:rsid w:val="156ED2F2"/>
    <w:rsid w:val="156EF84F"/>
    <w:rsid w:val="156F3250"/>
    <w:rsid w:val="156F6706"/>
    <w:rsid w:val="15702598"/>
    <w:rsid w:val="1572111B"/>
    <w:rsid w:val="15730A3C"/>
    <w:rsid w:val="1573373F"/>
    <w:rsid w:val="1574AE93"/>
    <w:rsid w:val="15796FE3"/>
    <w:rsid w:val="157A6639"/>
    <w:rsid w:val="157C152B"/>
    <w:rsid w:val="157EAA1E"/>
    <w:rsid w:val="157F1462"/>
    <w:rsid w:val="157F77AA"/>
    <w:rsid w:val="157FA803"/>
    <w:rsid w:val="157FF582"/>
    <w:rsid w:val="1581C6E4"/>
    <w:rsid w:val="15824CF5"/>
    <w:rsid w:val="158416AD"/>
    <w:rsid w:val="15846752"/>
    <w:rsid w:val="158682D9"/>
    <w:rsid w:val="1587C06F"/>
    <w:rsid w:val="1587EF7E"/>
    <w:rsid w:val="15891486"/>
    <w:rsid w:val="158B2063"/>
    <w:rsid w:val="158B7EF1"/>
    <w:rsid w:val="158CB4B9"/>
    <w:rsid w:val="158E16F4"/>
    <w:rsid w:val="15914117"/>
    <w:rsid w:val="15934329"/>
    <w:rsid w:val="159681DF"/>
    <w:rsid w:val="159822A2"/>
    <w:rsid w:val="1599D8DA"/>
    <w:rsid w:val="159D7C9F"/>
    <w:rsid w:val="159FF80E"/>
    <w:rsid w:val="15A0438F"/>
    <w:rsid w:val="15A0E4DD"/>
    <w:rsid w:val="15A456EC"/>
    <w:rsid w:val="15AA71E0"/>
    <w:rsid w:val="15AB6366"/>
    <w:rsid w:val="15AD35B6"/>
    <w:rsid w:val="15AFD22D"/>
    <w:rsid w:val="15B09B7E"/>
    <w:rsid w:val="15B4DBFF"/>
    <w:rsid w:val="15B66A0F"/>
    <w:rsid w:val="15B7330E"/>
    <w:rsid w:val="15B82664"/>
    <w:rsid w:val="15B92DC6"/>
    <w:rsid w:val="15BB2491"/>
    <w:rsid w:val="15BEAD2D"/>
    <w:rsid w:val="15BFBCD9"/>
    <w:rsid w:val="15C0F15F"/>
    <w:rsid w:val="15C6C826"/>
    <w:rsid w:val="15C805D4"/>
    <w:rsid w:val="15C84AF8"/>
    <w:rsid w:val="15C8EB10"/>
    <w:rsid w:val="15C91B3F"/>
    <w:rsid w:val="15CB816C"/>
    <w:rsid w:val="15CF4BF7"/>
    <w:rsid w:val="15CFD829"/>
    <w:rsid w:val="15D587EB"/>
    <w:rsid w:val="15D590CC"/>
    <w:rsid w:val="15D7C9F7"/>
    <w:rsid w:val="15D942D9"/>
    <w:rsid w:val="15DA590D"/>
    <w:rsid w:val="15DCA57F"/>
    <w:rsid w:val="15DE636B"/>
    <w:rsid w:val="15DE7B76"/>
    <w:rsid w:val="15DFB966"/>
    <w:rsid w:val="15E0AA96"/>
    <w:rsid w:val="15E119C2"/>
    <w:rsid w:val="15E20CCE"/>
    <w:rsid w:val="15E2F381"/>
    <w:rsid w:val="15E475BE"/>
    <w:rsid w:val="15E4E080"/>
    <w:rsid w:val="15E8D34C"/>
    <w:rsid w:val="15EC1ED6"/>
    <w:rsid w:val="15ECFABD"/>
    <w:rsid w:val="15F09309"/>
    <w:rsid w:val="15F1253E"/>
    <w:rsid w:val="15F1BEE9"/>
    <w:rsid w:val="15F2BA24"/>
    <w:rsid w:val="15F33A61"/>
    <w:rsid w:val="15F5BFA1"/>
    <w:rsid w:val="15F75C9E"/>
    <w:rsid w:val="15FA1D48"/>
    <w:rsid w:val="15FA59AB"/>
    <w:rsid w:val="15FACEE1"/>
    <w:rsid w:val="15FEDA2B"/>
    <w:rsid w:val="15FF603E"/>
    <w:rsid w:val="15FFE85D"/>
    <w:rsid w:val="160054B5"/>
    <w:rsid w:val="1602991B"/>
    <w:rsid w:val="1603CF90"/>
    <w:rsid w:val="1606078B"/>
    <w:rsid w:val="160D7762"/>
    <w:rsid w:val="160F4FC3"/>
    <w:rsid w:val="16118D87"/>
    <w:rsid w:val="1611A5D0"/>
    <w:rsid w:val="1617649B"/>
    <w:rsid w:val="1617714A"/>
    <w:rsid w:val="161ABB97"/>
    <w:rsid w:val="161ABCD2"/>
    <w:rsid w:val="161BBCEB"/>
    <w:rsid w:val="161C2E91"/>
    <w:rsid w:val="161CF4B2"/>
    <w:rsid w:val="161E2B89"/>
    <w:rsid w:val="1621D5AD"/>
    <w:rsid w:val="1621F25A"/>
    <w:rsid w:val="1624AF37"/>
    <w:rsid w:val="16277503"/>
    <w:rsid w:val="162A3277"/>
    <w:rsid w:val="162AC5A4"/>
    <w:rsid w:val="162B8D81"/>
    <w:rsid w:val="162BCE7A"/>
    <w:rsid w:val="162C7FF7"/>
    <w:rsid w:val="162D5791"/>
    <w:rsid w:val="162FFD5A"/>
    <w:rsid w:val="1630D575"/>
    <w:rsid w:val="1631A4EA"/>
    <w:rsid w:val="163280FF"/>
    <w:rsid w:val="1634FE39"/>
    <w:rsid w:val="16367F06"/>
    <w:rsid w:val="16371D0F"/>
    <w:rsid w:val="1637B4DE"/>
    <w:rsid w:val="163863BC"/>
    <w:rsid w:val="163B13A8"/>
    <w:rsid w:val="163BC64D"/>
    <w:rsid w:val="163C8EB1"/>
    <w:rsid w:val="163F0A45"/>
    <w:rsid w:val="16435102"/>
    <w:rsid w:val="164702C2"/>
    <w:rsid w:val="164913EC"/>
    <w:rsid w:val="1649219C"/>
    <w:rsid w:val="16498704"/>
    <w:rsid w:val="164A1D34"/>
    <w:rsid w:val="164BA11F"/>
    <w:rsid w:val="164DE116"/>
    <w:rsid w:val="164E5C12"/>
    <w:rsid w:val="16500C04"/>
    <w:rsid w:val="16501DD8"/>
    <w:rsid w:val="165081C2"/>
    <w:rsid w:val="1651AB46"/>
    <w:rsid w:val="16521B2D"/>
    <w:rsid w:val="1653B0AA"/>
    <w:rsid w:val="16540D31"/>
    <w:rsid w:val="16558107"/>
    <w:rsid w:val="1655B260"/>
    <w:rsid w:val="16580FBF"/>
    <w:rsid w:val="165A98DF"/>
    <w:rsid w:val="165C315E"/>
    <w:rsid w:val="165CDDCD"/>
    <w:rsid w:val="165D4328"/>
    <w:rsid w:val="166290DE"/>
    <w:rsid w:val="1664F1E2"/>
    <w:rsid w:val="16652978"/>
    <w:rsid w:val="166546F1"/>
    <w:rsid w:val="16658E21"/>
    <w:rsid w:val="1665AFA0"/>
    <w:rsid w:val="1669CB9E"/>
    <w:rsid w:val="166D657C"/>
    <w:rsid w:val="166E084E"/>
    <w:rsid w:val="1672AB06"/>
    <w:rsid w:val="16755047"/>
    <w:rsid w:val="1675C1D0"/>
    <w:rsid w:val="16762DF4"/>
    <w:rsid w:val="16772561"/>
    <w:rsid w:val="1677BC26"/>
    <w:rsid w:val="16785178"/>
    <w:rsid w:val="167A79F1"/>
    <w:rsid w:val="167A7EF1"/>
    <w:rsid w:val="167C9EF7"/>
    <w:rsid w:val="167D1927"/>
    <w:rsid w:val="167DE886"/>
    <w:rsid w:val="167F49D4"/>
    <w:rsid w:val="168042FB"/>
    <w:rsid w:val="1684FC4A"/>
    <w:rsid w:val="16872F8F"/>
    <w:rsid w:val="16883CCC"/>
    <w:rsid w:val="16890631"/>
    <w:rsid w:val="1689C6C2"/>
    <w:rsid w:val="168C29EF"/>
    <w:rsid w:val="168DEA51"/>
    <w:rsid w:val="168E7FD3"/>
    <w:rsid w:val="168EFDE1"/>
    <w:rsid w:val="1692B4AF"/>
    <w:rsid w:val="16940DD7"/>
    <w:rsid w:val="16943E31"/>
    <w:rsid w:val="169461C4"/>
    <w:rsid w:val="1695C42A"/>
    <w:rsid w:val="169C693C"/>
    <w:rsid w:val="169DC478"/>
    <w:rsid w:val="169DDDD2"/>
    <w:rsid w:val="169F6A8C"/>
    <w:rsid w:val="169F9202"/>
    <w:rsid w:val="16A1E504"/>
    <w:rsid w:val="16A59D43"/>
    <w:rsid w:val="16A5A0E0"/>
    <w:rsid w:val="16A5BAAB"/>
    <w:rsid w:val="16AA7807"/>
    <w:rsid w:val="16AAF116"/>
    <w:rsid w:val="16AB0293"/>
    <w:rsid w:val="16AD35E4"/>
    <w:rsid w:val="16ADA717"/>
    <w:rsid w:val="16AE0893"/>
    <w:rsid w:val="16AE188A"/>
    <w:rsid w:val="16AFE02B"/>
    <w:rsid w:val="16B092EC"/>
    <w:rsid w:val="16B11061"/>
    <w:rsid w:val="16B15EB3"/>
    <w:rsid w:val="16B2C0D5"/>
    <w:rsid w:val="16B439C0"/>
    <w:rsid w:val="16B51747"/>
    <w:rsid w:val="16B51ED9"/>
    <w:rsid w:val="16B54295"/>
    <w:rsid w:val="16B5818E"/>
    <w:rsid w:val="16B5E92F"/>
    <w:rsid w:val="16B63E69"/>
    <w:rsid w:val="16B8426C"/>
    <w:rsid w:val="16B86F1B"/>
    <w:rsid w:val="16B8F1DF"/>
    <w:rsid w:val="16BBCFB7"/>
    <w:rsid w:val="16BC8CDB"/>
    <w:rsid w:val="16C34CE5"/>
    <w:rsid w:val="16C4A686"/>
    <w:rsid w:val="16C5232C"/>
    <w:rsid w:val="16C6186F"/>
    <w:rsid w:val="16C71017"/>
    <w:rsid w:val="16C72B71"/>
    <w:rsid w:val="16C8005D"/>
    <w:rsid w:val="16CBE675"/>
    <w:rsid w:val="16CD1B9D"/>
    <w:rsid w:val="16CE07F7"/>
    <w:rsid w:val="16CF5257"/>
    <w:rsid w:val="16D074DF"/>
    <w:rsid w:val="16D0C97F"/>
    <w:rsid w:val="16D772FE"/>
    <w:rsid w:val="16D801E1"/>
    <w:rsid w:val="16D8341D"/>
    <w:rsid w:val="16D92806"/>
    <w:rsid w:val="16DA9196"/>
    <w:rsid w:val="16E02228"/>
    <w:rsid w:val="16E09D23"/>
    <w:rsid w:val="16E20786"/>
    <w:rsid w:val="16E2AE78"/>
    <w:rsid w:val="16E2BF7E"/>
    <w:rsid w:val="16E5388A"/>
    <w:rsid w:val="16E55F9B"/>
    <w:rsid w:val="16E8519F"/>
    <w:rsid w:val="16E86766"/>
    <w:rsid w:val="16EA41EA"/>
    <w:rsid w:val="16EC1006"/>
    <w:rsid w:val="16EEC463"/>
    <w:rsid w:val="16F03323"/>
    <w:rsid w:val="16F38625"/>
    <w:rsid w:val="16F43D4B"/>
    <w:rsid w:val="16F66C3E"/>
    <w:rsid w:val="16F6EA7B"/>
    <w:rsid w:val="16F6ED96"/>
    <w:rsid w:val="16F854E4"/>
    <w:rsid w:val="16F85CC7"/>
    <w:rsid w:val="16F8B8AB"/>
    <w:rsid w:val="16F90522"/>
    <w:rsid w:val="16FF46EC"/>
    <w:rsid w:val="17035B1D"/>
    <w:rsid w:val="1703A34E"/>
    <w:rsid w:val="170427C5"/>
    <w:rsid w:val="17080641"/>
    <w:rsid w:val="1708ACF0"/>
    <w:rsid w:val="17098F82"/>
    <w:rsid w:val="170A6B9C"/>
    <w:rsid w:val="170B9B98"/>
    <w:rsid w:val="170D8E35"/>
    <w:rsid w:val="1711F78E"/>
    <w:rsid w:val="17123A89"/>
    <w:rsid w:val="1713794C"/>
    <w:rsid w:val="1714FE33"/>
    <w:rsid w:val="1718C9EE"/>
    <w:rsid w:val="1718E831"/>
    <w:rsid w:val="171D5697"/>
    <w:rsid w:val="171EB658"/>
    <w:rsid w:val="171FAFC6"/>
    <w:rsid w:val="172054A3"/>
    <w:rsid w:val="1721A275"/>
    <w:rsid w:val="17256B4D"/>
    <w:rsid w:val="1725E19C"/>
    <w:rsid w:val="1726B84F"/>
    <w:rsid w:val="1727A973"/>
    <w:rsid w:val="17289478"/>
    <w:rsid w:val="1729BC11"/>
    <w:rsid w:val="1729EB88"/>
    <w:rsid w:val="172A8DB0"/>
    <w:rsid w:val="172A9520"/>
    <w:rsid w:val="172CCC74"/>
    <w:rsid w:val="172D120B"/>
    <w:rsid w:val="172D832E"/>
    <w:rsid w:val="172EFAB3"/>
    <w:rsid w:val="1733AB29"/>
    <w:rsid w:val="17373021"/>
    <w:rsid w:val="17383C57"/>
    <w:rsid w:val="17396C6D"/>
    <w:rsid w:val="173ABF40"/>
    <w:rsid w:val="173F16A2"/>
    <w:rsid w:val="173F784C"/>
    <w:rsid w:val="173FD322"/>
    <w:rsid w:val="1742185D"/>
    <w:rsid w:val="17426BF1"/>
    <w:rsid w:val="17433239"/>
    <w:rsid w:val="17435322"/>
    <w:rsid w:val="1744047D"/>
    <w:rsid w:val="174582A3"/>
    <w:rsid w:val="1747AEC7"/>
    <w:rsid w:val="17480D49"/>
    <w:rsid w:val="174B4A1E"/>
    <w:rsid w:val="174B56D8"/>
    <w:rsid w:val="174BD527"/>
    <w:rsid w:val="174EE6AE"/>
    <w:rsid w:val="1751EED9"/>
    <w:rsid w:val="1751F4B4"/>
    <w:rsid w:val="17526D78"/>
    <w:rsid w:val="1752AE0D"/>
    <w:rsid w:val="175393A6"/>
    <w:rsid w:val="1756605F"/>
    <w:rsid w:val="17576ED4"/>
    <w:rsid w:val="175D4362"/>
    <w:rsid w:val="175E0C37"/>
    <w:rsid w:val="17622D36"/>
    <w:rsid w:val="17649CB6"/>
    <w:rsid w:val="17679D64"/>
    <w:rsid w:val="1768EEC1"/>
    <w:rsid w:val="176A7CF8"/>
    <w:rsid w:val="176B06A4"/>
    <w:rsid w:val="176FBF0C"/>
    <w:rsid w:val="1770D613"/>
    <w:rsid w:val="1771CB9F"/>
    <w:rsid w:val="1772F9AB"/>
    <w:rsid w:val="1773257B"/>
    <w:rsid w:val="177400C1"/>
    <w:rsid w:val="17743DF8"/>
    <w:rsid w:val="1777B763"/>
    <w:rsid w:val="1777FC3D"/>
    <w:rsid w:val="1778677E"/>
    <w:rsid w:val="17795C38"/>
    <w:rsid w:val="177D4377"/>
    <w:rsid w:val="177E0C91"/>
    <w:rsid w:val="177FB68C"/>
    <w:rsid w:val="1780C1BE"/>
    <w:rsid w:val="1780EB7F"/>
    <w:rsid w:val="1781AF58"/>
    <w:rsid w:val="17821559"/>
    <w:rsid w:val="17823994"/>
    <w:rsid w:val="17824B81"/>
    <w:rsid w:val="17836C96"/>
    <w:rsid w:val="17837127"/>
    <w:rsid w:val="1784E82A"/>
    <w:rsid w:val="17855BD7"/>
    <w:rsid w:val="17866B59"/>
    <w:rsid w:val="1786D311"/>
    <w:rsid w:val="1786DDDE"/>
    <w:rsid w:val="17884636"/>
    <w:rsid w:val="1788D207"/>
    <w:rsid w:val="178945B7"/>
    <w:rsid w:val="178CF883"/>
    <w:rsid w:val="178CF8CE"/>
    <w:rsid w:val="178D4DF1"/>
    <w:rsid w:val="178E0C70"/>
    <w:rsid w:val="17922BD4"/>
    <w:rsid w:val="17927610"/>
    <w:rsid w:val="17935EC9"/>
    <w:rsid w:val="179389E9"/>
    <w:rsid w:val="179391A6"/>
    <w:rsid w:val="1793E054"/>
    <w:rsid w:val="17949941"/>
    <w:rsid w:val="179512CB"/>
    <w:rsid w:val="17985A43"/>
    <w:rsid w:val="1798A844"/>
    <w:rsid w:val="179902EE"/>
    <w:rsid w:val="179A59AC"/>
    <w:rsid w:val="179C9B88"/>
    <w:rsid w:val="179D20CF"/>
    <w:rsid w:val="179D9BEC"/>
    <w:rsid w:val="179DBA3A"/>
    <w:rsid w:val="179DCC8B"/>
    <w:rsid w:val="179F3769"/>
    <w:rsid w:val="179F92D4"/>
    <w:rsid w:val="17A3B149"/>
    <w:rsid w:val="17A4B8A8"/>
    <w:rsid w:val="17A7497F"/>
    <w:rsid w:val="17A9EEC2"/>
    <w:rsid w:val="17AAB537"/>
    <w:rsid w:val="17AB50A7"/>
    <w:rsid w:val="17B0EFDA"/>
    <w:rsid w:val="17B14CC0"/>
    <w:rsid w:val="17B2EF4F"/>
    <w:rsid w:val="17B3F8EA"/>
    <w:rsid w:val="17B45FC7"/>
    <w:rsid w:val="17B4B316"/>
    <w:rsid w:val="17B64EF3"/>
    <w:rsid w:val="17B846BA"/>
    <w:rsid w:val="17B89A5A"/>
    <w:rsid w:val="17B8D782"/>
    <w:rsid w:val="17B9FB85"/>
    <w:rsid w:val="17BCA188"/>
    <w:rsid w:val="17BCD233"/>
    <w:rsid w:val="17BDB80D"/>
    <w:rsid w:val="17BDC2EC"/>
    <w:rsid w:val="17C1B5CA"/>
    <w:rsid w:val="17C1FF57"/>
    <w:rsid w:val="17C3AE78"/>
    <w:rsid w:val="17C5609D"/>
    <w:rsid w:val="17C7FD84"/>
    <w:rsid w:val="17CB3707"/>
    <w:rsid w:val="17CBFBAB"/>
    <w:rsid w:val="17CC8BEB"/>
    <w:rsid w:val="17CD08A3"/>
    <w:rsid w:val="17CD95CF"/>
    <w:rsid w:val="17CF35B8"/>
    <w:rsid w:val="17D0D044"/>
    <w:rsid w:val="17D1B642"/>
    <w:rsid w:val="17D331F5"/>
    <w:rsid w:val="17D3CCE3"/>
    <w:rsid w:val="17D4D319"/>
    <w:rsid w:val="17D6C6F4"/>
    <w:rsid w:val="17DC1DFA"/>
    <w:rsid w:val="17DC55C4"/>
    <w:rsid w:val="17DCCBE6"/>
    <w:rsid w:val="17DE3B9A"/>
    <w:rsid w:val="17DF1E1E"/>
    <w:rsid w:val="17DF8D67"/>
    <w:rsid w:val="17E2C54F"/>
    <w:rsid w:val="17E5F899"/>
    <w:rsid w:val="17E6F11B"/>
    <w:rsid w:val="17E79D37"/>
    <w:rsid w:val="17E7CBFB"/>
    <w:rsid w:val="17E7E8B3"/>
    <w:rsid w:val="17E7F566"/>
    <w:rsid w:val="17E925EA"/>
    <w:rsid w:val="17EA81F4"/>
    <w:rsid w:val="17EAAF84"/>
    <w:rsid w:val="17EDD236"/>
    <w:rsid w:val="17EDDE01"/>
    <w:rsid w:val="17F00092"/>
    <w:rsid w:val="17F23226"/>
    <w:rsid w:val="17F3D05F"/>
    <w:rsid w:val="17F5708E"/>
    <w:rsid w:val="17F5D467"/>
    <w:rsid w:val="17F6885A"/>
    <w:rsid w:val="17F6D4B2"/>
    <w:rsid w:val="17F85754"/>
    <w:rsid w:val="17F8BFA4"/>
    <w:rsid w:val="17FA3FB8"/>
    <w:rsid w:val="17FBC6B9"/>
    <w:rsid w:val="17FCD2F8"/>
    <w:rsid w:val="17FD09E1"/>
    <w:rsid w:val="1801BFF4"/>
    <w:rsid w:val="1803C055"/>
    <w:rsid w:val="1807510D"/>
    <w:rsid w:val="180770EE"/>
    <w:rsid w:val="180BECE0"/>
    <w:rsid w:val="180D630C"/>
    <w:rsid w:val="180FC288"/>
    <w:rsid w:val="18106EC9"/>
    <w:rsid w:val="18126B8C"/>
    <w:rsid w:val="1812C759"/>
    <w:rsid w:val="1814E8EA"/>
    <w:rsid w:val="18178102"/>
    <w:rsid w:val="1817E640"/>
    <w:rsid w:val="1817FDA9"/>
    <w:rsid w:val="18180A01"/>
    <w:rsid w:val="1819000D"/>
    <w:rsid w:val="181F1194"/>
    <w:rsid w:val="181F3EE0"/>
    <w:rsid w:val="181F871F"/>
    <w:rsid w:val="18209810"/>
    <w:rsid w:val="1820B66A"/>
    <w:rsid w:val="18256B75"/>
    <w:rsid w:val="182573D9"/>
    <w:rsid w:val="18287FFF"/>
    <w:rsid w:val="182A1F9C"/>
    <w:rsid w:val="182C126F"/>
    <w:rsid w:val="182C70F4"/>
    <w:rsid w:val="182C817A"/>
    <w:rsid w:val="182CC8F0"/>
    <w:rsid w:val="182FEF2A"/>
    <w:rsid w:val="1830C5BB"/>
    <w:rsid w:val="1831E62B"/>
    <w:rsid w:val="18335C5A"/>
    <w:rsid w:val="18358CCD"/>
    <w:rsid w:val="183656A1"/>
    <w:rsid w:val="1838BF64"/>
    <w:rsid w:val="1840463E"/>
    <w:rsid w:val="184251A4"/>
    <w:rsid w:val="18425B79"/>
    <w:rsid w:val="1842F0BE"/>
    <w:rsid w:val="184332BB"/>
    <w:rsid w:val="1843928C"/>
    <w:rsid w:val="184513CA"/>
    <w:rsid w:val="184560F7"/>
    <w:rsid w:val="18460BD6"/>
    <w:rsid w:val="1849C91A"/>
    <w:rsid w:val="184B1AE3"/>
    <w:rsid w:val="184BD8D0"/>
    <w:rsid w:val="184C1202"/>
    <w:rsid w:val="184C7E2E"/>
    <w:rsid w:val="184C8CB0"/>
    <w:rsid w:val="184DECD1"/>
    <w:rsid w:val="184E5F32"/>
    <w:rsid w:val="184ECF28"/>
    <w:rsid w:val="184EE700"/>
    <w:rsid w:val="184F7E3E"/>
    <w:rsid w:val="18515002"/>
    <w:rsid w:val="1851DD30"/>
    <w:rsid w:val="185221F9"/>
    <w:rsid w:val="18543E2C"/>
    <w:rsid w:val="18561005"/>
    <w:rsid w:val="1857265D"/>
    <w:rsid w:val="185A0E5E"/>
    <w:rsid w:val="185B23DE"/>
    <w:rsid w:val="185B9D58"/>
    <w:rsid w:val="185E9CBC"/>
    <w:rsid w:val="185F4D69"/>
    <w:rsid w:val="185FF3C9"/>
    <w:rsid w:val="18609F90"/>
    <w:rsid w:val="18650246"/>
    <w:rsid w:val="186769E4"/>
    <w:rsid w:val="1868F1B6"/>
    <w:rsid w:val="18696CD0"/>
    <w:rsid w:val="186AA58B"/>
    <w:rsid w:val="186B573F"/>
    <w:rsid w:val="186D54E6"/>
    <w:rsid w:val="186E9EBD"/>
    <w:rsid w:val="1870D5E5"/>
    <w:rsid w:val="18718607"/>
    <w:rsid w:val="1871EF71"/>
    <w:rsid w:val="187417B6"/>
    <w:rsid w:val="18743849"/>
    <w:rsid w:val="18749182"/>
    <w:rsid w:val="18761A5E"/>
    <w:rsid w:val="18794F6F"/>
    <w:rsid w:val="187B86CA"/>
    <w:rsid w:val="187BCB26"/>
    <w:rsid w:val="187C5D37"/>
    <w:rsid w:val="187C7DC3"/>
    <w:rsid w:val="1882120D"/>
    <w:rsid w:val="18835EB5"/>
    <w:rsid w:val="188373EF"/>
    <w:rsid w:val="18844ED6"/>
    <w:rsid w:val="18849DE5"/>
    <w:rsid w:val="1885574A"/>
    <w:rsid w:val="1885C5BB"/>
    <w:rsid w:val="18861761"/>
    <w:rsid w:val="18863539"/>
    <w:rsid w:val="18868D53"/>
    <w:rsid w:val="18870AE9"/>
    <w:rsid w:val="1887BD1A"/>
    <w:rsid w:val="188AC4B2"/>
    <w:rsid w:val="188F43C5"/>
    <w:rsid w:val="188FEF36"/>
    <w:rsid w:val="18903FA5"/>
    <w:rsid w:val="18938337"/>
    <w:rsid w:val="18938716"/>
    <w:rsid w:val="18943592"/>
    <w:rsid w:val="189658A9"/>
    <w:rsid w:val="1897C48D"/>
    <w:rsid w:val="189AF370"/>
    <w:rsid w:val="189C2B81"/>
    <w:rsid w:val="189EA0A6"/>
    <w:rsid w:val="189EAE3B"/>
    <w:rsid w:val="18A216AF"/>
    <w:rsid w:val="18A6F2E3"/>
    <w:rsid w:val="18A795F2"/>
    <w:rsid w:val="18AB4648"/>
    <w:rsid w:val="18AC4C7E"/>
    <w:rsid w:val="18AC5031"/>
    <w:rsid w:val="18AE3AAD"/>
    <w:rsid w:val="18AFF5E8"/>
    <w:rsid w:val="18B2C908"/>
    <w:rsid w:val="18B3DF14"/>
    <w:rsid w:val="18B50619"/>
    <w:rsid w:val="18B5DAE9"/>
    <w:rsid w:val="18B64D13"/>
    <w:rsid w:val="18B82C73"/>
    <w:rsid w:val="18B84C25"/>
    <w:rsid w:val="18BD94A6"/>
    <w:rsid w:val="18C0241D"/>
    <w:rsid w:val="18C0C5EB"/>
    <w:rsid w:val="18C16C6C"/>
    <w:rsid w:val="18C3AE50"/>
    <w:rsid w:val="18C48666"/>
    <w:rsid w:val="18C50786"/>
    <w:rsid w:val="18C51089"/>
    <w:rsid w:val="18C64B0E"/>
    <w:rsid w:val="18C6DD20"/>
    <w:rsid w:val="18CAE42D"/>
    <w:rsid w:val="18CB9B7F"/>
    <w:rsid w:val="18D0060C"/>
    <w:rsid w:val="18D566B4"/>
    <w:rsid w:val="18D7E9AF"/>
    <w:rsid w:val="18D885F7"/>
    <w:rsid w:val="18D8A5C9"/>
    <w:rsid w:val="18D931D5"/>
    <w:rsid w:val="18D976C8"/>
    <w:rsid w:val="18E1FC2E"/>
    <w:rsid w:val="18E259A6"/>
    <w:rsid w:val="18E44914"/>
    <w:rsid w:val="18E489B7"/>
    <w:rsid w:val="18E62FE8"/>
    <w:rsid w:val="18E6F836"/>
    <w:rsid w:val="18E8E256"/>
    <w:rsid w:val="18E9E75E"/>
    <w:rsid w:val="18EAC14D"/>
    <w:rsid w:val="18EB974F"/>
    <w:rsid w:val="18EE2A42"/>
    <w:rsid w:val="18F30561"/>
    <w:rsid w:val="18F363A1"/>
    <w:rsid w:val="18F3E779"/>
    <w:rsid w:val="18F4C4F0"/>
    <w:rsid w:val="18F4D8A4"/>
    <w:rsid w:val="18F5C9AB"/>
    <w:rsid w:val="18F67759"/>
    <w:rsid w:val="18F707B9"/>
    <w:rsid w:val="18FC670B"/>
    <w:rsid w:val="18FE22EC"/>
    <w:rsid w:val="19009964"/>
    <w:rsid w:val="19039501"/>
    <w:rsid w:val="1903CD81"/>
    <w:rsid w:val="190448AB"/>
    <w:rsid w:val="1905EDD2"/>
    <w:rsid w:val="19077D33"/>
    <w:rsid w:val="19089B65"/>
    <w:rsid w:val="190970D2"/>
    <w:rsid w:val="190C2643"/>
    <w:rsid w:val="190E1522"/>
    <w:rsid w:val="190E7DB9"/>
    <w:rsid w:val="190EB304"/>
    <w:rsid w:val="1912B623"/>
    <w:rsid w:val="1915566D"/>
    <w:rsid w:val="1915DB25"/>
    <w:rsid w:val="191603C5"/>
    <w:rsid w:val="1919E5F4"/>
    <w:rsid w:val="191B23D4"/>
    <w:rsid w:val="191BAD60"/>
    <w:rsid w:val="191C7B2C"/>
    <w:rsid w:val="191C91ED"/>
    <w:rsid w:val="191CDF47"/>
    <w:rsid w:val="191FE395"/>
    <w:rsid w:val="19206E02"/>
    <w:rsid w:val="192158BE"/>
    <w:rsid w:val="19219138"/>
    <w:rsid w:val="192412AC"/>
    <w:rsid w:val="192839FC"/>
    <w:rsid w:val="1929A991"/>
    <w:rsid w:val="192A1933"/>
    <w:rsid w:val="192AA368"/>
    <w:rsid w:val="1930E458"/>
    <w:rsid w:val="1931F2BC"/>
    <w:rsid w:val="1931F9D5"/>
    <w:rsid w:val="193583B3"/>
    <w:rsid w:val="1936F891"/>
    <w:rsid w:val="1937EB18"/>
    <w:rsid w:val="19385349"/>
    <w:rsid w:val="193BA2BD"/>
    <w:rsid w:val="193F053E"/>
    <w:rsid w:val="193F6C1A"/>
    <w:rsid w:val="193FE2B7"/>
    <w:rsid w:val="19406F58"/>
    <w:rsid w:val="19418944"/>
    <w:rsid w:val="1941EC77"/>
    <w:rsid w:val="1945C036"/>
    <w:rsid w:val="19475C59"/>
    <w:rsid w:val="1948360E"/>
    <w:rsid w:val="194848DE"/>
    <w:rsid w:val="194AEAEF"/>
    <w:rsid w:val="194B0B3E"/>
    <w:rsid w:val="194B7A72"/>
    <w:rsid w:val="194C18F7"/>
    <w:rsid w:val="194C6A89"/>
    <w:rsid w:val="194D005B"/>
    <w:rsid w:val="194DF513"/>
    <w:rsid w:val="194E789C"/>
    <w:rsid w:val="194F1C7E"/>
    <w:rsid w:val="1950B6F2"/>
    <w:rsid w:val="19560330"/>
    <w:rsid w:val="195B2227"/>
    <w:rsid w:val="195B43A0"/>
    <w:rsid w:val="195EC801"/>
    <w:rsid w:val="195F64D6"/>
    <w:rsid w:val="19610C01"/>
    <w:rsid w:val="1962A702"/>
    <w:rsid w:val="196353A5"/>
    <w:rsid w:val="1964FEDA"/>
    <w:rsid w:val="19669996"/>
    <w:rsid w:val="19676673"/>
    <w:rsid w:val="196A5BA0"/>
    <w:rsid w:val="196C096E"/>
    <w:rsid w:val="196D1928"/>
    <w:rsid w:val="196D3704"/>
    <w:rsid w:val="196D3B80"/>
    <w:rsid w:val="196E45F6"/>
    <w:rsid w:val="196ECF12"/>
    <w:rsid w:val="19729A4D"/>
    <w:rsid w:val="1972BCD1"/>
    <w:rsid w:val="1972EFBC"/>
    <w:rsid w:val="1976A2E2"/>
    <w:rsid w:val="1978E90D"/>
    <w:rsid w:val="19790074"/>
    <w:rsid w:val="197ACC0F"/>
    <w:rsid w:val="197BDE35"/>
    <w:rsid w:val="197BDF16"/>
    <w:rsid w:val="197CBCC3"/>
    <w:rsid w:val="197ED784"/>
    <w:rsid w:val="197F82ED"/>
    <w:rsid w:val="197FD827"/>
    <w:rsid w:val="19817DC8"/>
    <w:rsid w:val="1981C100"/>
    <w:rsid w:val="1981CA78"/>
    <w:rsid w:val="19820295"/>
    <w:rsid w:val="1987E703"/>
    <w:rsid w:val="198A97D1"/>
    <w:rsid w:val="198B0B8E"/>
    <w:rsid w:val="198E4CBE"/>
    <w:rsid w:val="198F8309"/>
    <w:rsid w:val="19900238"/>
    <w:rsid w:val="19907692"/>
    <w:rsid w:val="19924CC8"/>
    <w:rsid w:val="199326AE"/>
    <w:rsid w:val="19952736"/>
    <w:rsid w:val="1998903A"/>
    <w:rsid w:val="199C46DC"/>
    <w:rsid w:val="199EAF52"/>
    <w:rsid w:val="199ED43E"/>
    <w:rsid w:val="19A26F44"/>
    <w:rsid w:val="19A377E5"/>
    <w:rsid w:val="19A5992A"/>
    <w:rsid w:val="19A5F95F"/>
    <w:rsid w:val="19A61DA4"/>
    <w:rsid w:val="19A663D3"/>
    <w:rsid w:val="19A7109C"/>
    <w:rsid w:val="19A77503"/>
    <w:rsid w:val="19A84FFE"/>
    <w:rsid w:val="19A8DC3E"/>
    <w:rsid w:val="19A9C09B"/>
    <w:rsid w:val="19AC5AC0"/>
    <w:rsid w:val="19AD00DD"/>
    <w:rsid w:val="19AD1758"/>
    <w:rsid w:val="19AE4B7B"/>
    <w:rsid w:val="19AF299D"/>
    <w:rsid w:val="19AF33A7"/>
    <w:rsid w:val="19B1F0D7"/>
    <w:rsid w:val="19B3BD77"/>
    <w:rsid w:val="19B49A3B"/>
    <w:rsid w:val="19B9A393"/>
    <w:rsid w:val="19B9B539"/>
    <w:rsid w:val="19BA66CF"/>
    <w:rsid w:val="19BB29BB"/>
    <w:rsid w:val="19BB99F0"/>
    <w:rsid w:val="19BBCCF8"/>
    <w:rsid w:val="19BD5260"/>
    <w:rsid w:val="19BE5950"/>
    <w:rsid w:val="19BE9089"/>
    <w:rsid w:val="19BEEB45"/>
    <w:rsid w:val="19C037B6"/>
    <w:rsid w:val="19C16D44"/>
    <w:rsid w:val="19C1A6D3"/>
    <w:rsid w:val="19C2B527"/>
    <w:rsid w:val="19C4067E"/>
    <w:rsid w:val="19C4C765"/>
    <w:rsid w:val="19C5BCE8"/>
    <w:rsid w:val="19C5F1C6"/>
    <w:rsid w:val="19C731FB"/>
    <w:rsid w:val="19C7FFA9"/>
    <w:rsid w:val="19C88DC2"/>
    <w:rsid w:val="19CB3DF0"/>
    <w:rsid w:val="19CBE534"/>
    <w:rsid w:val="19CD0B7A"/>
    <w:rsid w:val="19CD63BC"/>
    <w:rsid w:val="19CFEEE3"/>
    <w:rsid w:val="19D052FC"/>
    <w:rsid w:val="19D1284E"/>
    <w:rsid w:val="19D2470B"/>
    <w:rsid w:val="19D5BCD9"/>
    <w:rsid w:val="19D7EC84"/>
    <w:rsid w:val="19D955B0"/>
    <w:rsid w:val="19D9748C"/>
    <w:rsid w:val="19DA630B"/>
    <w:rsid w:val="19DCDD31"/>
    <w:rsid w:val="19DCDFA4"/>
    <w:rsid w:val="19DD6F6E"/>
    <w:rsid w:val="19DF0D7C"/>
    <w:rsid w:val="19E028EA"/>
    <w:rsid w:val="19E2BC86"/>
    <w:rsid w:val="19E2EBF0"/>
    <w:rsid w:val="19E3340C"/>
    <w:rsid w:val="19E47698"/>
    <w:rsid w:val="19E4B844"/>
    <w:rsid w:val="19E5997B"/>
    <w:rsid w:val="19E74E28"/>
    <w:rsid w:val="19E81E25"/>
    <w:rsid w:val="19E88409"/>
    <w:rsid w:val="19EAFEAD"/>
    <w:rsid w:val="19EBD9D4"/>
    <w:rsid w:val="19EC943A"/>
    <w:rsid w:val="19EEBC8E"/>
    <w:rsid w:val="19F06B3B"/>
    <w:rsid w:val="19F32FEF"/>
    <w:rsid w:val="19F47A20"/>
    <w:rsid w:val="19F5DB3E"/>
    <w:rsid w:val="19F7846A"/>
    <w:rsid w:val="19F7847D"/>
    <w:rsid w:val="19FB75DB"/>
    <w:rsid w:val="19FD9CE3"/>
    <w:rsid w:val="19FEF4E1"/>
    <w:rsid w:val="1A0030BB"/>
    <w:rsid w:val="1A00686B"/>
    <w:rsid w:val="1A00B191"/>
    <w:rsid w:val="1A04138B"/>
    <w:rsid w:val="1A06946B"/>
    <w:rsid w:val="1A07A2CA"/>
    <w:rsid w:val="1A07C038"/>
    <w:rsid w:val="1A09573B"/>
    <w:rsid w:val="1A0A0C96"/>
    <w:rsid w:val="1A0C2A5E"/>
    <w:rsid w:val="1A0E4CA8"/>
    <w:rsid w:val="1A121ABD"/>
    <w:rsid w:val="1A122F79"/>
    <w:rsid w:val="1A1328FF"/>
    <w:rsid w:val="1A15ECD0"/>
    <w:rsid w:val="1A175E67"/>
    <w:rsid w:val="1A17C7A5"/>
    <w:rsid w:val="1A18CB88"/>
    <w:rsid w:val="1A195807"/>
    <w:rsid w:val="1A197EBA"/>
    <w:rsid w:val="1A1C8918"/>
    <w:rsid w:val="1A21BB3A"/>
    <w:rsid w:val="1A22A75D"/>
    <w:rsid w:val="1A232013"/>
    <w:rsid w:val="1A23CAE3"/>
    <w:rsid w:val="1A253E14"/>
    <w:rsid w:val="1A267B33"/>
    <w:rsid w:val="1A27F939"/>
    <w:rsid w:val="1A28BA52"/>
    <w:rsid w:val="1A29DB3F"/>
    <w:rsid w:val="1A2B326A"/>
    <w:rsid w:val="1A2F1B69"/>
    <w:rsid w:val="1A30E876"/>
    <w:rsid w:val="1A3466C6"/>
    <w:rsid w:val="1A364DCE"/>
    <w:rsid w:val="1A3B36D7"/>
    <w:rsid w:val="1A3C6A54"/>
    <w:rsid w:val="1A3DD1A4"/>
    <w:rsid w:val="1A3E7B74"/>
    <w:rsid w:val="1A408726"/>
    <w:rsid w:val="1A40EC33"/>
    <w:rsid w:val="1A40EED9"/>
    <w:rsid w:val="1A40FEA4"/>
    <w:rsid w:val="1A421573"/>
    <w:rsid w:val="1A421F9B"/>
    <w:rsid w:val="1A42A528"/>
    <w:rsid w:val="1A4310BE"/>
    <w:rsid w:val="1A4370C5"/>
    <w:rsid w:val="1A46F7AD"/>
    <w:rsid w:val="1A47541F"/>
    <w:rsid w:val="1A482E4E"/>
    <w:rsid w:val="1A488ABF"/>
    <w:rsid w:val="1A4A5746"/>
    <w:rsid w:val="1A4D0376"/>
    <w:rsid w:val="1A51A154"/>
    <w:rsid w:val="1A51CB7C"/>
    <w:rsid w:val="1A52B8AE"/>
    <w:rsid w:val="1A52FD0E"/>
    <w:rsid w:val="1A556320"/>
    <w:rsid w:val="1A556D45"/>
    <w:rsid w:val="1A559371"/>
    <w:rsid w:val="1A5693CB"/>
    <w:rsid w:val="1A59DC78"/>
    <w:rsid w:val="1A5ACF8E"/>
    <w:rsid w:val="1A5AF5E4"/>
    <w:rsid w:val="1A5AFE2B"/>
    <w:rsid w:val="1A5B24DD"/>
    <w:rsid w:val="1A5D4E50"/>
    <w:rsid w:val="1A5EC2FB"/>
    <w:rsid w:val="1A5F2ED8"/>
    <w:rsid w:val="1A5FB547"/>
    <w:rsid w:val="1A608F30"/>
    <w:rsid w:val="1A634937"/>
    <w:rsid w:val="1A634A63"/>
    <w:rsid w:val="1A64F28B"/>
    <w:rsid w:val="1A65C971"/>
    <w:rsid w:val="1A68E6ED"/>
    <w:rsid w:val="1A6BA22F"/>
    <w:rsid w:val="1A6D145A"/>
    <w:rsid w:val="1A701EE2"/>
    <w:rsid w:val="1A72346F"/>
    <w:rsid w:val="1A73A27D"/>
    <w:rsid w:val="1A791939"/>
    <w:rsid w:val="1A79FEF4"/>
    <w:rsid w:val="1A7C9F81"/>
    <w:rsid w:val="1A80C419"/>
    <w:rsid w:val="1A820458"/>
    <w:rsid w:val="1A82D478"/>
    <w:rsid w:val="1A8393ED"/>
    <w:rsid w:val="1A83A3CB"/>
    <w:rsid w:val="1A84A1B9"/>
    <w:rsid w:val="1A86A5BE"/>
    <w:rsid w:val="1A870E5B"/>
    <w:rsid w:val="1A87D202"/>
    <w:rsid w:val="1A8862A6"/>
    <w:rsid w:val="1A88AD80"/>
    <w:rsid w:val="1A88F917"/>
    <w:rsid w:val="1A8980E2"/>
    <w:rsid w:val="1A89C85B"/>
    <w:rsid w:val="1A8BA6D7"/>
    <w:rsid w:val="1A8CE3C9"/>
    <w:rsid w:val="1A8DE5F3"/>
    <w:rsid w:val="1A8E435A"/>
    <w:rsid w:val="1A8EA308"/>
    <w:rsid w:val="1A900036"/>
    <w:rsid w:val="1A935948"/>
    <w:rsid w:val="1A9A3821"/>
    <w:rsid w:val="1A9EAF4D"/>
    <w:rsid w:val="1A9F5171"/>
    <w:rsid w:val="1A9F739D"/>
    <w:rsid w:val="1AA1507B"/>
    <w:rsid w:val="1AA18798"/>
    <w:rsid w:val="1AA200C5"/>
    <w:rsid w:val="1AA43643"/>
    <w:rsid w:val="1AA813E1"/>
    <w:rsid w:val="1AA8B457"/>
    <w:rsid w:val="1AAEC038"/>
    <w:rsid w:val="1AB2F823"/>
    <w:rsid w:val="1AB312EA"/>
    <w:rsid w:val="1AB3508A"/>
    <w:rsid w:val="1AB631D5"/>
    <w:rsid w:val="1ABC14F4"/>
    <w:rsid w:val="1ABD0434"/>
    <w:rsid w:val="1ABD7D70"/>
    <w:rsid w:val="1AC071CC"/>
    <w:rsid w:val="1AC19A2C"/>
    <w:rsid w:val="1AC1D23B"/>
    <w:rsid w:val="1AC2035D"/>
    <w:rsid w:val="1AC206E1"/>
    <w:rsid w:val="1AC49486"/>
    <w:rsid w:val="1AC59219"/>
    <w:rsid w:val="1AC6B875"/>
    <w:rsid w:val="1AC8C872"/>
    <w:rsid w:val="1AC9F1DA"/>
    <w:rsid w:val="1ACA8DC7"/>
    <w:rsid w:val="1ACAAB23"/>
    <w:rsid w:val="1ACAE091"/>
    <w:rsid w:val="1ACB0976"/>
    <w:rsid w:val="1ACB8AE4"/>
    <w:rsid w:val="1ACB9403"/>
    <w:rsid w:val="1ACC2281"/>
    <w:rsid w:val="1ACD6A7E"/>
    <w:rsid w:val="1ACDF68C"/>
    <w:rsid w:val="1ACEC72C"/>
    <w:rsid w:val="1ACF278D"/>
    <w:rsid w:val="1AD057CD"/>
    <w:rsid w:val="1AD0DA11"/>
    <w:rsid w:val="1AD22741"/>
    <w:rsid w:val="1AD4B4BE"/>
    <w:rsid w:val="1AD5CF29"/>
    <w:rsid w:val="1AD6019D"/>
    <w:rsid w:val="1AD643EE"/>
    <w:rsid w:val="1AD8C53A"/>
    <w:rsid w:val="1AD8CD4F"/>
    <w:rsid w:val="1AD942F1"/>
    <w:rsid w:val="1AD9902F"/>
    <w:rsid w:val="1ADB63A3"/>
    <w:rsid w:val="1ADBD881"/>
    <w:rsid w:val="1ADD393F"/>
    <w:rsid w:val="1ADE7292"/>
    <w:rsid w:val="1ADEADB0"/>
    <w:rsid w:val="1AE270F9"/>
    <w:rsid w:val="1AE2F75C"/>
    <w:rsid w:val="1AE4F9CB"/>
    <w:rsid w:val="1AE5AAE3"/>
    <w:rsid w:val="1AE5E7C5"/>
    <w:rsid w:val="1AE7D1EE"/>
    <w:rsid w:val="1AE7D4DD"/>
    <w:rsid w:val="1AE87956"/>
    <w:rsid w:val="1AE8F768"/>
    <w:rsid w:val="1AE9C7AC"/>
    <w:rsid w:val="1AEAD1C9"/>
    <w:rsid w:val="1AEADCAA"/>
    <w:rsid w:val="1AEC4333"/>
    <w:rsid w:val="1AED7F88"/>
    <w:rsid w:val="1AF11EBB"/>
    <w:rsid w:val="1AF24427"/>
    <w:rsid w:val="1AF57C53"/>
    <w:rsid w:val="1AF663BF"/>
    <w:rsid w:val="1AF79561"/>
    <w:rsid w:val="1AF8825B"/>
    <w:rsid w:val="1AFEA64E"/>
    <w:rsid w:val="1AFF67A3"/>
    <w:rsid w:val="1B00AF04"/>
    <w:rsid w:val="1B06FAA0"/>
    <w:rsid w:val="1B0AEAFD"/>
    <w:rsid w:val="1B0C0098"/>
    <w:rsid w:val="1B0D6AE8"/>
    <w:rsid w:val="1B0E985B"/>
    <w:rsid w:val="1B0F8BEA"/>
    <w:rsid w:val="1B10A009"/>
    <w:rsid w:val="1B142C56"/>
    <w:rsid w:val="1B14A30D"/>
    <w:rsid w:val="1B15E7FE"/>
    <w:rsid w:val="1B1A6238"/>
    <w:rsid w:val="1B1C10ED"/>
    <w:rsid w:val="1B1C9360"/>
    <w:rsid w:val="1B1D2049"/>
    <w:rsid w:val="1B1DFF73"/>
    <w:rsid w:val="1B1FEFAB"/>
    <w:rsid w:val="1B213610"/>
    <w:rsid w:val="1B229086"/>
    <w:rsid w:val="1B231048"/>
    <w:rsid w:val="1B2523AD"/>
    <w:rsid w:val="1B267775"/>
    <w:rsid w:val="1B275AEF"/>
    <w:rsid w:val="1B279731"/>
    <w:rsid w:val="1B27BE1D"/>
    <w:rsid w:val="1B28D877"/>
    <w:rsid w:val="1B2C34FB"/>
    <w:rsid w:val="1B2C779E"/>
    <w:rsid w:val="1B2CA145"/>
    <w:rsid w:val="1B2D064F"/>
    <w:rsid w:val="1B2D3FEE"/>
    <w:rsid w:val="1B2EAD03"/>
    <w:rsid w:val="1B2F0882"/>
    <w:rsid w:val="1B2FBFB5"/>
    <w:rsid w:val="1B30329F"/>
    <w:rsid w:val="1B30B7FD"/>
    <w:rsid w:val="1B321BB6"/>
    <w:rsid w:val="1B35E9B4"/>
    <w:rsid w:val="1B35FD05"/>
    <w:rsid w:val="1B35FF17"/>
    <w:rsid w:val="1B3654FD"/>
    <w:rsid w:val="1B3679D6"/>
    <w:rsid w:val="1B368F60"/>
    <w:rsid w:val="1B36E0E8"/>
    <w:rsid w:val="1B38B9D6"/>
    <w:rsid w:val="1B3A566D"/>
    <w:rsid w:val="1B3C989D"/>
    <w:rsid w:val="1B3E4147"/>
    <w:rsid w:val="1B3F4846"/>
    <w:rsid w:val="1B3F6BDA"/>
    <w:rsid w:val="1B453F47"/>
    <w:rsid w:val="1B482AFD"/>
    <w:rsid w:val="1B4A7BBF"/>
    <w:rsid w:val="1B4C2614"/>
    <w:rsid w:val="1B4CF811"/>
    <w:rsid w:val="1B4D733F"/>
    <w:rsid w:val="1B4E3CB5"/>
    <w:rsid w:val="1B4E6A70"/>
    <w:rsid w:val="1B51BA89"/>
    <w:rsid w:val="1B533665"/>
    <w:rsid w:val="1B57EFC3"/>
    <w:rsid w:val="1B585904"/>
    <w:rsid w:val="1B58D18E"/>
    <w:rsid w:val="1B59DC18"/>
    <w:rsid w:val="1B5B012F"/>
    <w:rsid w:val="1B5D82B2"/>
    <w:rsid w:val="1B5E6FD3"/>
    <w:rsid w:val="1B5F18AA"/>
    <w:rsid w:val="1B613BB1"/>
    <w:rsid w:val="1B614C80"/>
    <w:rsid w:val="1B65A3C4"/>
    <w:rsid w:val="1B65E5A6"/>
    <w:rsid w:val="1B65EE6A"/>
    <w:rsid w:val="1B692EC3"/>
    <w:rsid w:val="1B69D71B"/>
    <w:rsid w:val="1B6C9CDC"/>
    <w:rsid w:val="1B6CFA42"/>
    <w:rsid w:val="1B6D6CDB"/>
    <w:rsid w:val="1B6D8E47"/>
    <w:rsid w:val="1B6E14E4"/>
    <w:rsid w:val="1B6FD675"/>
    <w:rsid w:val="1B7261FD"/>
    <w:rsid w:val="1B74E47E"/>
    <w:rsid w:val="1B782111"/>
    <w:rsid w:val="1B78B061"/>
    <w:rsid w:val="1B790EA9"/>
    <w:rsid w:val="1B7CA789"/>
    <w:rsid w:val="1B7E129B"/>
    <w:rsid w:val="1B80C2B4"/>
    <w:rsid w:val="1B8140EA"/>
    <w:rsid w:val="1B81EB07"/>
    <w:rsid w:val="1B82CCB7"/>
    <w:rsid w:val="1B8355A7"/>
    <w:rsid w:val="1B83FCFC"/>
    <w:rsid w:val="1B85575A"/>
    <w:rsid w:val="1B86A3A3"/>
    <w:rsid w:val="1B882D93"/>
    <w:rsid w:val="1B893EAF"/>
    <w:rsid w:val="1B8A8F47"/>
    <w:rsid w:val="1B8C0C3C"/>
    <w:rsid w:val="1B925AE3"/>
    <w:rsid w:val="1B951107"/>
    <w:rsid w:val="1B95DD26"/>
    <w:rsid w:val="1B95F85C"/>
    <w:rsid w:val="1B97D758"/>
    <w:rsid w:val="1B9A84A8"/>
    <w:rsid w:val="1B9DFB16"/>
    <w:rsid w:val="1B9E5C1A"/>
    <w:rsid w:val="1B9FA9E6"/>
    <w:rsid w:val="1BA15A2F"/>
    <w:rsid w:val="1BA1EDC1"/>
    <w:rsid w:val="1BA4D9A4"/>
    <w:rsid w:val="1BA5EAF6"/>
    <w:rsid w:val="1BAA5F05"/>
    <w:rsid w:val="1BAAC90B"/>
    <w:rsid w:val="1BAB338A"/>
    <w:rsid w:val="1BAB61FF"/>
    <w:rsid w:val="1BAEC820"/>
    <w:rsid w:val="1BB000E6"/>
    <w:rsid w:val="1BB3F4DE"/>
    <w:rsid w:val="1BB42402"/>
    <w:rsid w:val="1BB5C61B"/>
    <w:rsid w:val="1BB63783"/>
    <w:rsid w:val="1BB75F75"/>
    <w:rsid w:val="1BB7902B"/>
    <w:rsid w:val="1BB964D7"/>
    <w:rsid w:val="1BB99B94"/>
    <w:rsid w:val="1BB9E3D8"/>
    <w:rsid w:val="1BBB1BA4"/>
    <w:rsid w:val="1BBD636C"/>
    <w:rsid w:val="1BBE855E"/>
    <w:rsid w:val="1BBEF685"/>
    <w:rsid w:val="1BBEF6C5"/>
    <w:rsid w:val="1BC2440A"/>
    <w:rsid w:val="1BC2DB0F"/>
    <w:rsid w:val="1BC3BF8D"/>
    <w:rsid w:val="1BC4DB88"/>
    <w:rsid w:val="1BC56857"/>
    <w:rsid w:val="1BC72C04"/>
    <w:rsid w:val="1BC809D2"/>
    <w:rsid w:val="1BC9645D"/>
    <w:rsid w:val="1BCAD39F"/>
    <w:rsid w:val="1BCAEBCA"/>
    <w:rsid w:val="1BCAFAE6"/>
    <w:rsid w:val="1BCBB881"/>
    <w:rsid w:val="1BCC96BB"/>
    <w:rsid w:val="1BCD7548"/>
    <w:rsid w:val="1BCEA4B9"/>
    <w:rsid w:val="1BCF5706"/>
    <w:rsid w:val="1BCF89C9"/>
    <w:rsid w:val="1BD1B867"/>
    <w:rsid w:val="1BD7070E"/>
    <w:rsid w:val="1BD7F75A"/>
    <w:rsid w:val="1BDA46B0"/>
    <w:rsid w:val="1BDBFFFC"/>
    <w:rsid w:val="1BDE3A25"/>
    <w:rsid w:val="1BE00EE6"/>
    <w:rsid w:val="1BE3A70C"/>
    <w:rsid w:val="1BE3FD6B"/>
    <w:rsid w:val="1BE53293"/>
    <w:rsid w:val="1BE53681"/>
    <w:rsid w:val="1BE62A09"/>
    <w:rsid w:val="1BE71A10"/>
    <w:rsid w:val="1BE7BC65"/>
    <w:rsid w:val="1BE7E9A0"/>
    <w:rsid w:val="1BE85711"/>
    <w:rsid w:val="1BF16BC8"/>
    <w:rsid w:val="1BF1C0EF"/>
    <w:rsid w:val="1BF20C15"/>
    <w:rsid w:val="1BF23EB1"/>
    <w:rsid w:val="1BF2A5DD"/>
    <w:rsid w:val="1BF4313E"/>
    <w:rsid w:val="1BF45E74"/>
    <w:rsid w:val="1BF4F9AB"/>
    <w:rsid w:val="1BF51694"/>
    <w:rsid w:val="1BF53C98"/>
    <w:rsid w:val="1BF674C3"/>
    <w:rsid w:val="1BFC059B"/>
    <w:rsid w:val="1BFFFD74"/>
    <w:rsid w:val="1C0087F6"/>
    <w:rsid w:val="1C010328"/>
    <w:rsid w:val="1C02C043"/>
    <w:rsid w:val="1C03174B"/>
    <w:rsid w:val="1C05048B"/>
    <w:rsid w:val="1C051BAC"/>
    <w:rsid w:val="1C06AD0F"/>
    <w:rsid w:val="1C09D363"/>
    <w:rsid w:val="1C0B6A07"/>
    <w:rsid w:val="1C0D92C4"/>
    <w:rsid w:val="1C0E64EA"/>
    <w:rsid w:val="1C0E87FA"/>
    <w:rsid w:val="1C0FF559"/>
    <w:rsid w:val="1C102087"/>
    <w:rsid w:val="1C104A20"/>
    <w:rsid w:val="1C10F77D"/>
    <w:rsid w:val="1C1107E8"/>
    <w:rsid w:val="1C11A2F9"/>
    <w:rsid w:val="1C16004A"/>
    <w:rsid w:val="1C17A08B"/>
    <w:rsid w:val="1C17B40C"/>
    <w:rsid w:val="1C183A68"/>
    <w:rsid w:val="1C1C9C60"/>
    <w:rsid w:val="1C1DAC81"/>
    <w:rsid w:val="1C1F3C46"/>
    <w:rsid w:val="1C1F64BB"/>
    <w:rsid w:val="1C2149E9"/>
    <w:rsid w:val="1C21AB7C"/>
    <w:rsid w:val="1C22620F"/>
    <w:rsid w:val="1C23AFF9"/>
    <w:rsid w:val="1C24FA5D"/>
    <w:rsid w:val="1C25AEEF"/>
    <w:rsid w:val="1C26172A"/>
    <w:rsid w:val="1C29F563"/>
    <w:rsid w:val="1C2B4AC2"/>
    <w:rsid w:val="1C2DE61B"/>
    <w:rsid w:val="1C2E6D09"/>
    <w:rsid w:val="1C325625"/>
    <w:rsid w:val="1C32F5A8"/>
    <w:rsid w:val="1C3424E0"/>
    <w:rsid w:val="1C37EE4A"/>
    <w:rsid w:val="1C38D7EC"/>
    <w:rsid w:val="1C3B204F"/>
    <w:rsid w:val="1C3E58C2"/>
    <w:rsid w:val="1C3EBED3"/>
    <w:rsid w:val="1C4081B8"/>
    <w:rsid w:val="1C411169"/>
    <w:rsid w:val="1C43CF3D"/>
    <w:rsid w:val="1C445306"/>
    <w:rsid w:val="1C44B4A2"/>
    <w:rsid w:val="1C46850B"/>
    <w:rsid w:val="1C4B6745"/>
    <w:rsid w:val="1C4C9E5C"/>
    <w:rsid w:val="1C4CD982"/>
    <w:rsid w:val="1C4FF875"/>
    <w:rsid w:val="1C52BD5A"/>
    <w:rsid w:val="1C543DBC"/>
    <w:rsid w:val="1C558E92"/>
    <w:rsid w:val="1C57DDB5"/>
    <w:rsid w:val="1C5A393C"/>
    <w:rsid w:val="1C5AB106"/>
    <w:rsid w:val="1C5BE135"/>
    <w:rsid w:val="1C5D26EB"/>
    <w:rsid w:val="1C5F1F16"/>
    <w:rsid w:val="1C60A706"/>
    <w:rsid w:val="1C61872C"/>
    <w:rsid w:val="1C6592F2"/>
    <w:rsid w:val="1C67C3D9"/>
    <w:rsid w:val="1C68E00C"/>
    <w:rsid w:val="1C694605"/>
    <w:rsid w:val="1C69C92A"/>
    <w:rsid w:val="1C6AE54D"/>
    <w:rsid w:val="1C6AF7D4"/>
    <w:rsid w:val="1C6D93B4"/>
    <w:rsid w:val="1C6E14C9"/>
    <w:rsid w:val="1C6EF9A1"/>
    <w:rsid w:val="1C6F51A0"/>
    <w:rsid w:val="1C713FCB"/>
    <w:rsid w:val="1C729CC2"/>
    <w:rsid w:val="1C72A183"/>
    <w:rsid w:val="1C736C99"/>
    <w:rsid w:val="1C754794"/>
    <w:rsid w:val="1C75D13A"/>
    <w:rsid w:val="1C767F0A"/>
    <w:rsid w:val="1C786DFC"/>
    <w:rsid w:val="1C7A78E2"/>
    <w:rsid w:val="1C7BACB8"/>
    <w:rsid w:val="1C7CE3CB"/>
    <w:rsid w:val="1C7CFDFF"/>
    <w:rsid w:val="1C7D94B2"/>
    <w:rsid w:val="1C7DE562"/>
    <w:rsid w:val="1C7F8FCC"/>
    <w:rsid w:val="1C7FAC1F"/>
    <w:rsid w:val="1C809725"/>
    <w:rsid w:val="1C81381C"/>
    <w:rsid w:val="1C82D324"/>
    <w:rsid w:val="1C836B4E"/>
    <w:rsid w:val="1C846FBC"/>
    <w:rsid w:val="1C852C59"/>
    <w:rsid w:val="1C85D907"/>
    <w:rsid w:val="1C880028"/>
    <w:rsid w:val="1C881394"/>
    <w:rsid w:val="1C8A5B67"/>
    <w:rsid w:val="1C8D7665"/>
    <w:rsid w:val="1C8EC740"/>
    <w:rsid w:val="1C8F6DB2"/>
    <w:rsid w:val="1C8F82B8"/>
    <w:rsid w:val="1C8F96E4"/>
    <w:rsid w:val="1C91B0DA"/>
    <w:rsid w:val="1C931CAA"/>
    <w:rsid w:val="1C96E814"/>
    <w:rsid w:val="1C9B2DE2"/>
    <w:rsid w:val="1C9BAAA7"/>
    <w:rsid w:val="1C9BE6C6"/>
    <w:rsid w:val="1C9C2B2E"/>
    <w:rsid w:val="1C9C3C38"/>
    <w:rsid w:val="1C9D68AE"/>
    <w:rsid w:val="1C9E3605"/>
    <w:rsid w:val="1C9F3A06"/>
    <w:rsid w:val="1C9FADC3"/>
    <w:rsid w:val="1CA3DD5B"/>
    <w:rsid w:val="1CA50406"/>
    <w:rsid w:val="1CA51B69"/>
    <w:rsid w:val="1CA59AD8"/>
    <w:rsid w:val="1CA86715"/>
    <w:rsid w:val="1CAA7567"/>
    <w:rsid w:val="1CAB94E7"/>
    <w:rsid w:val="1CAC2289"/>
    <w:rsid w:val="1CAD327D"/>
    <w:rsid w:val="1CAE537B"/>
    <w:rsid w:val="1CAF4DF0"/>
    <w:rsid w:val="1CB0E993"/>
    <w:rsid w:val="1CB1B0BE"/>
    <w:rsid w:val="1CB1EF03"/>
    <w:rsid w:val="1CB50E2B"/>
    <w:rsid w:val="1CB53E7F"/>
    <w:rsid w:val="1CB55E6F"/>
    <w:rsid w:val="1CB80849"/>
    <w:rsid w:val="1CBB1F3A"/>
    <w:rsid w:val="1CBB353C"/>
    <w:rsid w:val="1CBCD3C2"/>
    <w:rsid w:val="1CBFA755"/>
    <w:rsid w:val="1CC01D0D"/>
    <w:rsid w:val="1CC51EA5"/>
    <w:rsid w:val="1CC62D0F"/>
    <w:rsid w:val="1CC6A3B0"/>
    <w:rsid w:val="1CC8BD57"/>
    <w:rsid w:val="1CC92593"/>
    <w:rsid w:val="1CCE91C1"/>
    <w:rsid w:val="1CCEAF52"/>
    <w:rsid w:val="1CCF21DE"/>
    <w:rsid w:val="1CCF70B6"/>
    <w:rsid w:val="1CD0A277"/>
    <w:rsid w:val="1CD3228D"/>
    <w:rsid w:val="1CD497D6"/>
    <w:rsid w:val="1CD5511D"/>
    <w:rsid w:val="1CD5DAD0"/>
    <w:rsid w:val="1CD5F18A"/>
    <w:rsid w:val="1CD5FF65"/>
    <w:rsid w:val="1CD6D1F4"/>
    <w:rsid w:val="1CD87477"/>
    <w:rsid w:val="1CDBB665"/>
    <w:rsid w:val="1CDC002D"/>
    <w:rsid w:val="1CDCA107"/>
    <w:rsid w:val="1CDD2A14"/>
    <w:rsid w:val="1CDD7E94"/>
    <w:rsid w:val="1CDD8F9B"/>
    <w:rsid w:val="1CE04EB9"/>
    <w:rsid w:val="1CE2BE81"/>
    <w:rsid w:val="1CE4352C"/>
    <w:rsid w:val="1CE4B417"/>
    <w:rsid w:val="1CE5A249"/>
    <w:rsid w:val="1CE5B7D4"/>
    <w:rsid w:val="1CE733AF"/>
    <w:rsid w:val="1CE85EB8"/>
    <w:rsid w:val="1CEAA420"/>
    <w:rsid w:val="1CEBC98B"/>
    <w:rsid w:val="1CEC696E"/>
    <w:rsid w:val="1CEC80DA"/>
    <w:rsid w:val="1CEE47BA"/>
    <w:rsid w:val="1CEE6E50"/>
    <w:rsid w:val="1CF001C1"/>
    <w:rsid w:val="1CF038D0"/>
    <w:rsid w:val="1CF2F72C"/>
    <w:rsid w:val="1CF34309"/>
    <w:rsid w:val="1CF37B72"/>
    <w:rsid w:val="1CF3BD04"/>
    <w:rsid w:val="1CF42BAE"/>
    <w:rsid w:val="1CF46D77"/>
    <w:rsid w:val="1CF489DC"/>
    <w:rsid w:val="1CF5DAD7"/>
    <w:rsid w:val="1CF63DFB"/>
    <w:rsid w:val="1CF7576F"/>
    <w:rsid w:val="1CF8619D"/>
    <w:rsid w:val="1CFA08F2"/>
    <w:rsid w:val="1CFD09F6"/>
    <w:rsid w:val="1CFDF274"/>
    <w:rsid w:val="1D02BDDA"/>
    <w:rsid w:val="1D02E869"/>
    <w:rsid w:val="1D05E988"/>
    <w:rsid w:val="1D06081C"/>
    <w:rsid w:val="1D0764BF"/>
    <w:rsid w:val="1D0AACF9"/>
    <w:rsid w:val="1D0D4515"/>
    <w:rsid w:val="1D0EBF70"/>
    <w:rsid w:val="1D0ED234"/>
    <w:rsid w:val="1D0F5963"/>
    <w:rsid w:val="1D104244"/>
    <w:rsid w:val="1D10D85C"/>
    <w:rsid w:val="1D15F0AE"/>
    <w:rsid w:val="1D182806"/>
    <w:rsid w:val="1D18C721"/>
    <w:rsid w:val="1D18F429"/>
    <w:rsid w:val="1D1A5790"/>
    <w:rsid w:val="1D1ACC96"/>
    <w:rsid w:val="1D1C0415"/>
    <w:rsid w:val="1D1CC007"/>
    <w:rsid w:val="1D1CF50E"/>
    <w:rsid w:val="1D1E828D"/>
    <w:rsid w:val="1D2070B4"/>
    <w:rsid w:val="1D2102B1"/>
    <w:rsid w:val="1D2114A1"/>
    <w:rsid w:val="1D229A08"/>
    <w:rsid w:val="1D27B855"/>
    <w:rsid w:val="1D286303"/>
    <w:rsid w:val="1D2A8EF7"/>
    <w:rsid w:val="1D2AD65F"/>
    <w:rsid w:val="1D2C2673"/>
    <w:rsid w:val="1D2C9CB9"/>
    <w:rsid w:val="1D30E999"/>
    <w:rsid w:val="1D3123E1"/>
    <w:rsid w:val="1D33041B"/>
    <w:rsid w:val="1D33F77C"/>
    <w:rsid w:val="1D34C04C"/>
    <w:rsid w:val="1D3720BE"/>
    <w:rsid w:val="1D3C2BEA"/>
    <w:rsid w:val="1D3D816F"/>
    <w:rsid w:val="1D3DE2D8"/>
    <w:rsid w:val="1D3E29D6"/>
    <w:rsid w:val="1D3E9AA6"/>
    <w:rsid w:val="1D3F21D2"/>
    <w:rsid w:val="1D44AC94"/>
    <w:rsid w:val="1D44B635"/>
    <w:rsid w:val="1D474D4B"/>
    <w:rsid w:val="1D4A542E"/>
    <w:rsid w:val="1D4A78E1"/>
    <w:rsid w:val="1D4F842A"/>
    <w:rsid w:val="1D4FC0FB"/>
    <w:rsid w:val="1D502DE1"/>
    <w:rsid w:val="1D50E01E"/>
    <w:rsid w:val="1D515842"/>
    <w:rsid w:val="1D54642B"/>
    <w:rsid w:val="1D54AC90"/>
    <w:rsid w:val="1D55A94A"/>
    <w:rsid w:val="1D56D019"/>
    <w:rsid w:val="1D57110A"/>
    <w:rsid w:val="1D578488"/>
    <w:rsid w:val="1D580AB3"/>
    <w:rsid w:val="1D58F4BC"/>
    <w:rsid w:val="1D5AB62B"/>
    <w:rsid w:val="1D5B7959"/>
    <w:rsid w:val="1D5CCF0B"/>
    <w:rsid w:val="1D5DF6B0"/>
    <w:rsid w:val="1D5F5C91"/>
    <w:rsid w:val="1D60D9F3"/>
    <w:rsid w:val="1D6510DF"/>
    <w:rsid w:val="1D67E052"/>
    <w:rsid w:val="1D67EC2A"/>
    <w:rsid w:val="1D6834E0"/>
    <w:rsid w:val="1D69CAD2"/>
    <w:rsid w:val="1D6A1848"/>
    <w:rsid w:val="1D6A7336"/>
    <w:rsid w:val="1D6B325C"/>
    <w:rsid w:val="1D6BC4CA"/>
    <w:rsid w:val="1D6D2944"/>
    <w:rsid w:val="1D6F7D5A"/>
    <w:rsid w:val="1D6FFC85"/>
    <w:rsid w:val="1D729089"/>
    <w:rsid w:val="1D735FF8"/>
    <w:rsid w:val="1D74C4FC"/>
    <w:rsid w:val="1D75E657"/>
    <w:rsid w:val="1D76B1F6"/>
    <w:rsid w:val="1D76E758"/>
    <w:rsid w:val="1D77CCB0"/>
    <w:rsid w:val="1D786F3F"/>
    <w:rsid w:val="1D7AAA70"/>
    <w:rsid w:val="1D7CAB6A"/>
    <w:rsid w:val="1D7D6C7F"/>
    <w:rsid w:val="1D7E50B1"/>
    <w:rsid w:val="1D7E94E7"/>
    <w:rsid w:val="1D7EAFCF"/>
    <w:rsid w:val="1D7F8138"/>
    <w:rsid w:val="1D803DFA"/>
    <w:rsid w:val="1D82C45A"/>
    <w:rsid w:val="1D8394BE"/>
    <w:rsid w:val="1D83E944"/>
    <w:rsid w:val="1D866914"/>
    <w:rsid w:val="1D880C4E"/>
    <w:rsid w:val="1D883399"/>
    <w:rsid w:val="1D8A29FA"/>
    <w:rsid w:val="1D8BDFB0"/>
    <w:rsid w:val="1D8F6F4E"/>
    <w:rsid w:val="1D920FCF"/>
    <w:rsid w:val="1D922D0A"/>
    <w:rsid w:val="1D9311CC"/>
    <w:rsid w:val="1D9507A4"/>
    <w:rsid w:val="1D96B061"/>
    <w:rsid w:val="1D98F83C"/>
    <w:rsid w:val="1D99EC78"/>
    <w:rsid w:val="1D9A7F55"/>
    <w:rsid w:val="1D9C7C84"/>
    <w:rsid w:val="1D9E1FCE"/>
    <w:rsid w:val="1D9E504B"/>
    <w:rsid w:val="1D9FAF8E"/>
    <w:rsid w:val="1DA066F5"/>
    <w:rsid w:val="1DA347E6"/>
    <w:rsid w:val="1DA3C1FD"/>
    <w:rsid w:val="1DA73EF5"/>
    <w:rsid w:val="1DA951E6"/>
    <w:rsid w:val="1DA9522F"/>
    <w:rsid w:val="1DA9D9F7"/>
    <w:rsid w:val="1DAA6E22"/>
    <w:rsid w:val="1DAA83EA"/>
    <w:rsid w:val="1DAAAE64"/>
    <w:rsid w:val="1DACB11B"/>
    <w:rsid w:val="1DAD1922"/>
    <w:rsid w:val="1DADF130"/>
    <w:rsid w:val="1DADF9C3"/>
    <w:rsid w:val="1DB08CEE"/>
    <w:rsid w:val="1DB273CE"/>
    <w:rsid w:val="1DB39996"/>
    <w:rsid w:val="1DB4E723"/>
    <w:rsid w:val="1DB4EFB7"/>
    <w:rsid w:val="1DB607D8"/>
    <w:rsid w:val="1DB80A32"/>
    <w:rsid w:val="1DB80AB3"/>
    <w:rsid w:val="1DB9BE38"/>
    <w:rsid w:val="1DBA2098"/>
    <w:rsid w:val="1DBAC9D3"/>
    <w:rsid w:val="1DC36254"/>
    <w:rsid w:val="1DC9C826"/>
    <w:rsid w:val="1DCBC7B6"/>
    <w:rsid w:val="1DCE2C1D"/>
    <w:rsid w:val="1DCF5D43"/>
    <w:rsid w:val="1DD21EE7"/>
    <w:rsid w:val="1DD2AEBD"/>
    <w:rsid w:val="1DD53B06"/>
    <w:rsid w:val="1DD6838B"/>
    <w:rsid w:val="1DD7F259"/>
    <w:rsid w:val="1DD8077F"/>
    <w:rsid w:val="1DDABBC8"/>
    <w:rsid w:val="1DDB301C"/>
    <w:rsid w:val="1DDCA2C8"/>
    <w:rsid w:val="1DDCA609"/>
    <w:rsid w:val="1DDF9DFD"/>
    <w:rsid w:val="1DE1A3E5"/>
    <w:rsid w:val="1DE2DDB1"/>
    <w:rsid w:val="1DE776A0"/>
    <w:rsid w:val="1DE8E011"/>
    <w:rsid w:val="1DEB7E8D"/>
    <w:rsid w:val="1DEC6415"/>
    <w:rsid w:val="1DEDD563"/>
    <w:rsid w:val="1DEDF0E4"/>
    <w:rsid w:val="1DEF1487"/>
    <w:rsid w:val="1DF20B07"/>
    <w:rsid w:val="1DF346F6"/>
    <w:rsid w:val="1DF566EB"/>
    <w:rsid w:val="1DF65414"/>
    <w:rsid w:val="1DFA920B"/>
    <w:rsid w:val="1DFB4E62"/>
    <w:rsid w:val="1E024747"/>
    <w:rsid w:val="1E024BE5"/>
    <w:rsid w:val="1E026E83"/>
    <w:rsid w:val="1E062948"/>
    <w:rsid w:val="1E071E3A"/>
    <w:rsid w:val="1E0944F3"/>
    <w:rsid w:val="1E0C4BFB"/>
    <w:rsid w:val="1E0D2FA3"/>
    <w:rsid w:val="1E10C86E"/>
    <w:rsid w:val="1E10E058"/>
    <w:rsid w:val="1E118C0B"/>
    <w:rsid w:val="1E118D69"/>
    <w:rsid w:val="1E1334E6"/>
    <w:rsid w:val="1E148643"/>
    <w:rsid w:val="1E1A2733"/>
    <w:rsid w:val="1E1AC343"/>
    <w:rsid w:val="1E1CA87B"/>
    <w:rsid w:val="1E1CAFF3"/>
    <w:rsid w:val="1E221970"/>
    <w:rsid w:val="1E249D0F"/>
    <w:rsid w:val="1E252CBD"/>
    <w:rsid w:val="1E29CADF"/>
    <w:rsid w:val="1E2A2B37"/>
    <w:rsid w:val="1E2B16E2"/>
    <w:rsid w:val="1E2E392B"/>
    <w:rsid w:val="1E2F81DB"/>
    <w:rsid w:val="1E2FC7F1"/>
    <w:rsid w:val="1E30015E"/>
    <w:rsid w:val="1E31CB37"/>
    <w:rsid w:val="1E36EE77"/>
    <w:rsid w:val="1E390EEF"/>
    <w:rsid w:val="1E39F866"/>
    <w:rsid w:val="1E3CF5BF"/>
    <w:rsid w:val="1E40A996"/>
    <w:rsid w:val="1E40D939"/>
    <w:rsid w:val="1E411122"/>
    <w:rsid w:val="1E43580B"/>
    <w:rsid w:val="1E43DA30"/>
    <w:rsid w:val="1E444FB3"/>
    <w:rsid w:val="1E461289"/>
    <w:rsid w:val="1E462D3C"/>
    <w:rsid w:val="1E4657E1"/>
    <w:rsid w:val="1E482456"/>
    <w:rsid w:val="1E490EF1"/>
    <w:rsid w:val="1E494905"/>
    <w:rsid w:val="1E49565B"/>
    <w:rsid w:val="1E49B101"/>
    <w:rsid w:val="1E49E951"/>
    <w:rsid w:val="1E4B9E22"/>
    <w:rsid w:val="1E4C0A85"/>
    <w:rsid w:val="1E4C7B1C"/>
    <w:rsid w:val="1E4E6448"/>
    <w:rsid w:val="1E514FD9"/>
    <w:rsid w:val="1E526686"/>
    <w:rsid w:val="1E52BDF5"/>
    <w:rsid w:val="1E54E74E"/>
    <w:rsid w:val="1E55A812"/>
    <w:rsid w:val="1E56EB61"/>
    <w:rsid w:val="1E583E20"/>
    <w:rsid w:val="1E594B6F"/>
    <w:rsid w:val="1E5A852D"/>
    <w:rsid w:val="1E5B8424"/>
    <w:rsid w:val="1E5EBC89"/>
    <w:rsid w:val="1E62371B"/>
    <w:rsid w:val="1E62A0D8"/>
    <w:rsid w:val="1E633F2D"/>
    <w:rsid w:val="1E652A91"/>
    <w:rsid w:val="1E667E99"/>
    <w:rsid w:val="1E66D0C8"/>
    <w:rsid w:val="1E687174"/>
    <w:rsid w:val="1E689DCD"/>
    <w:rsid w:val="1E6A401A"/>
    <w:rsid w:val="1E6B8D78"/>
    <w:rsid w:val="1E6E0E60"/>
    <w:rsid w:val="1E6E2B78"/>
    <w:rsid w:val="1E6E31AF"/>
    <w:rsid w:val="1E71FA63"/>
    <w:rsid w:val="1E725768"/>
    <w:rsid w:val="1E725B49"/>
    <w:rsid w:val="1E734BC4"/>
    <w:rsid w:val="1E73C868"/>
    <w:rsid w:val="1E73EFA6"/>
    <w:rsid w:val="1E788D8D"/>
    <w:rsid w:val="1E7A3713"/>
    <w:rsid w:val="1E7E3B84"/>
    <w:rsid w:val="1E81F0BD"/>
    <w:rsid w:val="1E833076"/>
    <w:rsid w:val="1E841D24"/>
    <w:rsid w:val="1E85BFE0"/>
    <w:rsid w:val="1E868933"/>
    <w:rsid w:val="1E8738AD"/>
    <w:rsid w:val="1E88E5AC"/>
    <w:rsid w:val="1E8AC508"/>
    <w:rsid w:val="1E8B505C"/>
    <w:rsid w:val="1E8E8C58"/>
    <w:rsid w:val="1E93BF4C"/>
    <w:rsid w:val="1E945813"/>
    <w:rsid w:val="1E950B2B"/>
    <w:rsid w:val="1E96A61B"/>
    <w:rsid w:val="1E96E386"/>
    <w:rsid w:val="1E990A6F"/>
    <w:rsid w:val="1E9DF1B2"/>
    <w:rsid w:val="1E9F9783"/>
    <w:rsid w:val="1EA0E23A"/>
    <w:rsid w:val="1EA293C6"/>
    <w:rsid w:val="1EA4168A"/>
    <w:rsid w:val="1EA67C08"/>
    <w:rsid w:val="1EA78480"/>
    <w:rsid w:val="1EA8E27E"/>
    <w:rsid w:val="1EAA6C45"/>
    <w:rsid w:val="1EAA6FA2"/>
    <w:rsid w:val="1EABDD96"/>
    <w:rsid w:val="1EAD9730"/>
    <w:rsid w:val="1EAF6B72"/>
    <w:rsid w:val="1EAF769B"/>
    <w:rsid w:val="1EB22440"/>
    <w:rsid w:val="1EB3A2E4"/>
    <w:rsid w:val="1EB4DF91"/>
    <w:rsid w:val="1EB52ACC"/>
    <w:rsid w:val="1EB6E9AA"/>
    <w:rsid w:val="1EB86559"/>
    <w:rsid w:val="1EB89453"/>
    <w:rsid w:val="1EBA6130"/>
    <w:rsid w:val="1EBDECD4"/>
    <w:rsid w:val="1EBE12CC"/>
    <w:rsid w:val="1EC1BEB8"/>
    <w:rsid w:val="1EC1F8F8"/>
    <w:rsid w:val="1EC27662"/>
    <w:rsid w:val="1EC37468"/>
    <w:rsid w:val="1EC61C34"/>
    <w:rsid w:val="1EC77E8B"/>
    <w:rsid w:val="1EC79B0B"/>
    <w:rsid w:val="1ECB6106"/>
    <w:rsid w:val="1ECBD976"/>
    <w:rsid w:val="1ECF3382"/>
    <w:rsid w:val="1ED3E237"/>
    <w:rsid w:val="1ED3E42E"/>
    <w:rsid w:val="1ED3E81C"/>
    <w:rsid w:val="1ED57F71"/>
    <w:rsid w:val="1ED5F8DC"/>
    <w:rsid w:val="1ED67896"/>
    <w:rsid w:val="1ED71362"/>
    <w:rsid w:val="1ED82DF9"/>
    <w:rsid w:val="1EDA418E"/>
    <w:rsid w:val="1EDD5473"/>
    <w:rsid w:val="1EDE1362"/>
    <w:rsid w:val="1EDF4819"/>
    <w:rsid w:val="1EE209B5"/>
    <w:rsid w:val="1EE2B538"/>
    <w:rsid w:val="1EE3A900"/>
    <w:rsid w:val="1EE61476"/>
    <w:rsid w:val="1EECF555"/>
    <w:rsid w:val="1EF02D0C"/>
    <w:rsid w:val="1EF1A150"/>
    <w:rsid w:val="1EF3CE7B"/>
    <w:rsid w:val="1EF43FB5"/>
    <w:rsid w:val="1EF4BA21"/>
    <w:rsid w:val="1EF86A01"/>
    <w:rsid w:val="1EFD4B8E"/>
    <w:rsid w:val="1EFD9F34"/>
    <w:rsid w:val="1F02A053"/>
    <w:rsid w:val="1F050F1A"/>
    <w:rsid w:val="1F052ACB"/>
    <w:rsid w:val="1F058037"/>
    <w:rsid w:val="1F062570"/>
    <w:rsid w:val="1F0C7E6F"/>
    <w:rsid w:val="1F0CA859"/>
    <w:rsid w:val="1F0DEA26"/>
    <w:rsid w:val="1F0E555F"/>
    <w:rsid w:val="1F0FF200"/>
    <w:rsid w:val="1F11AFDE"/>
    <w:rsid w:val="1F11D6FC"/>
    <w:rsid w:val="1F1432D6"/>
    <w:rsid w:val="1F16187E"/>
    <w:rsid w:val="1F167F0E"/>
    <w:rsid w:val="1F194DC0"/>
    <w:rsid w:val="1F1A4A42"/>
    <w:rsid w:val="1F1B3920"/>
    <w:rsid w:val="1F1B986D"/>
    <w:rsid w:val="1F1C9A9D"/>
    <w:rsid w:val="1F1CB4A5"/>
    <w:rsid w:val="1F1D204A"/>
    <w:rsid w:val="1F1D975B"/>
    <w:rsid w:val="1F1E7B07"/>
    <w:rsid w:val="1F20F1AE"/>
    <w:rsid w:val="1F249E7C"/>
    <w:rsid w:val="1F29717E"/>
    <w:rsid w:val="1F2B3558"/>
    <w:rsid w:val="1F2B521C"/>
    <w:rsid w:val="1F2BB346"/>
    <w:rsid w:val="1F2D0F79"/>
    <w:rsid w:val="1F2DAE32"/>
    <w:rsid w:val="1F2F77C5"/>
    <w:rsid w:val="1F3163CE"/>
    <w:rsid w:val="1F31D07B"/>
    <w:rsid w:val="1F329186"/>
    <w:rsid w:val="1F34194A"/>
    <w:rsid w:val="1F3784A3"/>
    <w:rsid w:val="1F380217"/>
    <w:rsid w:val="1F386772"/>
    <w:rsid w:val="1F3A7F57"/>
    <w:rsid w:val="1F3AF96E"/>
    <w:rsid w:val="1F3B3124"/>
    <w:rsid w:val="1F3F370D"/>
    <w:rsid w:val="1F3F8B79"/>
    <w:rsid w:val="1F41D5B7"/>
    <w:rsid w:val="1F41EAF1"/>
    <w:rsid w:val="1F427CB6"/>
    <w:rsid w:val="1F4500B2"/>
    <w:rsid w:val="1F4795E0"/>
    <w:rsid w:val="1F496998"/>
    <w:rsid w:val="1F4A11FB"/>
    <w:rsid w:val="1F4CC03A"/>
    <w:rsid w:val="1F4CFFC8"/>
    <w:rsid w:val="1F4E30DE"/>
    <w:rsid w:val="1F4F31D3"/>
    <w:rsid w:val="1F51A824"/>
    <w:rsid w:val="1F52AA1F"/>
    <w:rsid w:val="1F537D78"/>
    <w:rsid w:val="1F54A4DA"/>
    <w:rsid w:val="1F5617EB"/>
    <w:rsid w:val="1F58BD44"/>
    <w:rsid w:val="1F594580"/>
    <w:rsid w:val="1F5A68AC"/>
    <w:rsid w:val="1F5AF3E5"/>
    <w:rsid w:val="1F5B0BE5"/>
    <w:rsid w:val="1F5CEDB4"/>
    <w:rsid w:val="1F5FD50A"/>
    <w:rsid w:val="1F619975"/>
    <w:rsid w:val="1F6206A6"/>
    <w:rsid w:val="1F6317AD"/>
    <w:rsid w:val="1F632CBE"/>
    <w:rsid w:val="1F6383C3"/>
    <w:rsid w:val="1F63B910"/>
    <w:rsid w:val="1F65E5F6"/>
    <w:rsid w:val="1F669DB4"/>
    <w:rsid w:val="1F6773E4"/>
    <w:rsid w:val="1F691C27"/>
    <w:rsid w:val="1F69DD26"/>
    <w:rsid w:val="1F6A5248"/>
    <w:rsid w:val="1F6CC3E0"/>
    <w:rsid w:val="1F6E7A1A"/>
    <w:rsid w:val="1F70D37A"/>
    <w:rsid w:val="1F72BA6E"/>
    <w:rsid w:val="1F7E27A3"/>
    <w:rsid w:val="1F7E9D94"/>
    <w:rsid w:val="1F7F0323"/>
    <w:rsid w:val="1F7F9A59"/>
    <w:rsid w:val="1F81BD03"/>
    <w:rsid w:val="1F84B348"/>
    <w:rsid w:val="1F84F8DB"/>
    <w:rsid w:val="1F88E252"/>
    <w:rsid w:val="1F8A286B"/>
    <w:rsid w:val="1F8AC8C4"/>
    <w:rsid w:val="1F8B2C4F"/>
    <w:rsid w:val="1F8C0A30"/>
    <w:rsid w:val="1F8E1DB8"/>
    <w:rsid w:val="1F8E62CF"/>
    <w:rsid w:val="1F95AC28"/>
    <w:rsid w:val="1F95CD46"/>
    <w:rsid w:val="1F982541"/>
    <w:rsid w:val="1F9A1C2C"/>
    <w:rsid w:val="1F9C0470"/>
    <w:rsid w:val="1F9C2EEA"/>
    <w:rsid w:val="1F9D9C77"/>
    <w:rsid w:val="1F9F5CD2"/>
    <w:rsid w:val="1FA13176"/>
    <w:rsid w:val="1FA20BE1"/>
    <w:rsid w:val="1FA3F508"/>
    <w:rsid w:val="1FA45BAD"/>
    <w:rsid w:val="1FA7F88F"/>
    <w:rsid w:val="1FAB2C39"/>
    <w:rsid w:val="1FAC48DB"/>
    <w:rsid w:val="1FAC8E8F"/>
    <w:rsid w:val="1FACC5AB"/>
    <w:rsid w:val="1FAF29D4"/>
    <w:rsid w:val="1FAF57E7"/>
    <w:rsid w:val="1FAF7571"/>
    <w:rsid w:val="1FAFA8DE"/>
    <w:rsid w:val="1FB0EB7E"/>
    <w:rsid w:val="1FB5FE20"/>
    <w:rsid w:val="1FB6CC46"/>
    <w:rsid w:val="1FB7FB66"/>
    <w:rsid w:val="1FBA998E"/>
    <w:rsid w:val="1FBC4B68"/>
    <w:rsid w:val="1FBE29A5"/>
    <w:rsid w:val="1FBECCE3"/>
    <w:rsid w:val="1FC11B6B"/>
    <w:rsid w:val="1FC1985E"/>
    <w:rsid w:val="1FC23675"/>
    <w:rsid w:val="1FC7E71B"/>
    <w:rsid w:val="1FC909C7"/>
    <w:rsid w:val="1FCBE7CB"/>
    <w:rsid w:val="1FCC7430"/>
    <w:rsid w:val="1FCC8380"/>
    <w:rsid w:val="1FCE2D34"/>
    <w:rsid w:val="1FCECD72"/>
    <w:rsid w:val="1FCEFEBC"/>
    <w:rsid w:val="1FD07B75"/>
    <w:rsid w:val="1FD19822"/>
    <w:rsid w:val="1FD1CCC2"/>
    <w:rsid w:val="1FD286E8"/>
    <w:rsid w:val="1FD436D5"/>
    <w:rsid w:val="1FD5B1EF"/>
    <w:rsid w:val="1FD5DE61"/>
    <w:rsid w:val="1FD74BB2"/>
    <w:rsid w:val="1FD8279C"/>
    <w:rsid w:val="1FD8628B"/>
    <w:rsid w:val="1FD8ECAD"/>
    <w:rsid w:val="1FDA8045"/>
    <w:rsid w:val="1FDD09A2"/>
    <w:rsid w:val="1FDD838A"/>
    <w:rsid w:val="1FE206E3"/>
    <w:rsid w:val="1FE20864"/>
    <w:rsid w:val="1FE27499"/>
    <w:rsid w:val="1FE3A66A"/>
    <w:rsid w:val="1FE49244"/>
    <w:rsid w:val="1FE71208"/>
    <w:rsid w:val="1FE81721"/>
    <w:rsid w:val="1FEAE7BF"/>
    <w:rsid w:val="1FEC9B92"/>
    <w:rsid w:val="1FEEA870"/>
    <w:rsid w:val="1FF21E12"/>
    <w:rsid w:val="1FF4E776"/>
    <w:rsid w:val="1FF63E33"/>
    <w:rsid w:val="1FF69743"/>
    <w:rsid w:val="1FF81952"/>
    <w:rsid w:val="1FFA39F4"/>
    <w:rsid w:val="1FFCF482"/>
    <w:rsid w:val="2001F707"/>
    <w:rsid w:val="20034B4C"/>
    <w:rsid w:val="20049C31"/>
    <w:rsid w:val="20054CD0"/>
    <w:rsid w:val="20068A6F"/>
    <w:rsid w:val="20068C9E"/>
    <w:rsid w:val="2006BFCE"/>
    <w:rsid w:val="2008DBB5"/>
    <w:rsid w:val="200A419C"/>
    <w:rsid w:val="200C08A3"/>
    <w:rsid w:val="200EA9F0"/>
    <w:rsid w:val="200ECB0E"/>
    <w:rsid w:val="200F8147"/>
    <w:rsid w:val="2010D45F"/>
    <w:rsid w:val="201253F2"/>
    <w:rsid w:val="2013054E"/>
    <w:rsid w:val="20150D61"/>
    <w:rsid w:val="20198273"/>
    <w:rsid w:val="201B1DE2"/>
    <w:rsid w:val="201DF167"/>
    <w:rsid w:val="201F81C1"/>
    <w:rsid w:val="201F8B75"/>
    <w:rsid w:val="20213C46"/>
    <w:rsid w:val="20215044"/>
    <w:rsid w:val="20218114"/>
    <w:rsid w:val="2021DF96"/>
    <w:rsid w:val="20222634"/>
    <w:rsid w:val="20225A0A"/>
    <w:rsid w:val="2022A66D"/>
    <w:rsid w:val="2024DA90"/>
    <w:rsid w:val="2024E2B6"/>
    <w:rsid w:val="20256D7B"/>
    <w:rsid w:val="2026A3C1"/>
    <w:rsid w:val="2028168D"/>
    <w:rsid w:val="202856D9"/>
    <w:rsid w:val="20295B62"/>
    <w:rsid w:val="202A02BF"/>
    <w:rsid w:val="202A356A"/>
    <w:rsid w:val="202F7C77"/>
    <w:rsid w:val="202F84D5"/>
    <w:rsid w:val="202FB4BC"/>
    <w:rsid w:val="203045D9"/>
    <w:rsid w:val="2030CDC7"/>
    <w:rsid w:val="20358E35"/>
    <w:rsid w:val="20372728"/>
    <w:rsid w:val="203CC572"/>
    <w:rsid w:val="203EA733"/>
    <w:rsid w:val="2043DE4A"/>
    <w:rsid w:val="20441731"/>
    <w:rsid w:val="204447C2"/>
    <w:rsid w:val="2046AAB0"/>
    <w:rsid w:val="20470BF4"/>
    <w:rsid w:val="2049B684"/>
    <w:rsid w:val="2049C220"/>
    <w:rsid w:val="204C253B"/>
    <w:rsid w:val="204F57F0"/>
    <w:rsid w:val="20518109"/>
    <w:rsid w:val="2052EFBC"/>
    <w:rsid w:val="20538D05"/>
    <w:rsid w:val="2055601F"/>
    <w:rsid w:val="20572B68"/>
    <w:rsid w:val="205A970A"/>
    <w:rsid w:val="205FD642"/>
    <w:rsid w:val="205FE540"/>
    <w:rsid w:val="2060753C"/>
    <w:rsid w:val="206193C9"/>
    <w:rsid w:val="20642347"/>
    <w:rsid w:val="206A53D5"/>
    <w:rsid w:val="206A8B3A"/>
    <w:rsid w:val="206C92F7"/>
    <w:rsid w:val="207054D7"/>
    <w:rsid w:val="20717DBD"/>
    <w:rsid w:val="2072EB1C"/>
    <w:rsid w:val="2073B00F"/>
    <w:rsid w:val="2076DD20"/>
    <w:rsid w:val="2079B9F6"/>
    <w:rsid w:val="207C7C13"/>
    <w:rsid w:val="207D10D7"/>
    <w:rsid w:val="207DC9E1"/>
    <w:rsid w:val="2080A241"/>
    <w:rsid w:val="20828A1D"/>
    <w:rsid w:val="2083509D"/>
    <w:rsid w:val="2083B7E2"/>
    <w:rsid w:val="2084AEE2"/>
    <w:rsid w:val="2085AAB0"/>
    <w:rsid w:val="20868BEA"/>
    <w:rsid w:val="20881BDB"/>
    <w:rsid w:val="2088219D"/>
    <w:rsid w:val="208998B7"/>
    <w:rsid w:val="2089E68C"/>
    <w:rsid w:val="208A7AC6"/>
    <w:rsid w:val="208C25B7"/>
    <w:rsid w:val="208D5A40"/>
    <w:rsid w:val="208E7053"/>
    <w:rsid w:val="208E9876"/>
    <w:rsid w:val="2093A62B"/>
    <w:rsid w:val="2093CA3E"/>
    <w:rsid w:val="20942B8F"/>
    <w:rsid w:val="20947D42"/>
    <w:rsid w:val="2095EB55"/>
    <w:rsid w:val="2095ED86"/>
    <w:rsid w:val="20974C0E"/>
    <w:rsid w:val="2098ECD5"/>
    <w:rsid w:val="20999453"/>
    <w:rsid w:val="2099CC21"/>
    <w:rsid w:val="209D2B08"/>
    <w:rsid w:val="209E7B90"/>
    <w:rsid w:val="209ED1A2"/>
    <w:rsid w:val="20A0B6E0"/>
    <w:rsid w:val="20A13F32"/>
    <w:rsid w:val="20A26576"/>
    <w:rsid w:val="20A2E72E"/>
    <w:rsid w:val="20A30329"/>
    <w:rsid w:val="20A30343"/>
    <w:rsid w:val="20A55920"/>
    <w:rsid w:val="20A58279"/>
    <w:rsid w:val="20A66309"/>
    <w:rsid w:val="20A69518"/>
    <w:rsid w:val="20A71CA5"/>
    <w:rsid w:val="20A7486D"/>
    <w:rsid w:val="20A86A91"/>
    <w:rsid w:val="20AA0DA9"/>
    <w:rsid w:val="20AAA31D"/>
    <w:rsid w:val="20AC57A0"/>
    <w:rsid w:val="20ACF435"/>
    <w:rsid w:val="20AD76A0"/>
    <w:rsid w:val="20AE938E"/>
    <w:rsid w:val="20AEC42E"/>
    <w:rsid w:val="20B00318"/>
    <w:rsid w:val="20B08A70"/>
    <w:rsid w:val="20B10D7F"/>
    <w:rsid w:val="20B60864"/>
    <w:rsid w:val="20B67F30"/>
    <w:rsid w:val="20B7A2BC"/>
    <w:rsid w:val="20B7D43E"/>
    <w:rsid w:val="20BB14CD"/>
    <w:rsid w:val="20BBB54D"/>
    <w:rsid w:val="20BC184F"/>
    <w:rsid w:val="20C15832"/>
    <w:rsid w:val="20C35A09"/>
    <w:rsid w:val="20C35C99"/>
    <w:rsid w:val="20C54376"/>
    <w:rsid w:val="20C708B7"/>
    <w:rsid w:val="20C8CC43"/>
    <w:rsid w:val="20C9C7A4"/>
    <w:rsid w:val="20CCD8CC"/>
    <w:rsid w:val="20CD3552"/>
    <w:rsid w:val="20CE2AA6"/>
    <w:rsid w:val="20D2E0FF"/>
    <w:rsid w:val="20D3F759"/>
    <w:rsid w:val="20D46AED"/>
    <w:rsid w:val="20D73681"/>
    <w:rsid w:val="20DA9C56"/>
    <w:rsid w:val="20DE5CA1"/>
    <w:rsid w:val="20DF28DD"/>
    <w:rsid w:val="20E08442"/>
    <w:rsid w:val="20E36249"/>
    <w:rsid w:val="20E3E522"/>
    <w:rsid w:val="20E6AA80"/>
    <w:rsid w:val="20E798D6"/>
    <w:rsid w:val="20E7B976"/>
    <w:rsid w:val="20E8864F"/>
    <w:rsid w:val="20EA9495"/>
    <w:rsid w:val="20ED13A9"/>
    <w:rsid w:val="20EDA1E1"/>
    <w:rsid w:val="20EEEEE1"/>
    <w:rsid w:val="20EFC1FC"/>
    <w:rsid w:val="20F46E81"/>
    <w:rsid w:val="20F54470"/>
    <w:rsid w:val="20F63379"/>
    <w:rsid w:val="20F6713C"/>
    <w:rsid w:val="20F9AF85"/>
    <w:rsid w:val="20FBE613"/>
    <w:rsid w:val="20FD4D39"/>
    <w:rsid w:val="20FE19CC"/>
    <w:rsid w:val="20FEDCF2"/>
    <w:rsid w:val="20FF69BD"/>
    <w:rsid w:val="2100B884"/>
    <w:rsid w:val="2101224F"/>
    <w:rsid w:val="21028999"/>
    <w:rsid w:val="21035294"/>
    <w:rsid w:val="21064403"/>
    <w:rsid w:val="21065F63"/>
    <w:rsid w:val="21091653"/>
    <w:rsid w:val="210E263E"/>
    <w:rsid w:val="210F7CCC"/>
    <w:rsid w:val="2110BBA4"/>
    <w:rsid w:val="2110F94A"/>
    <w:rsid w:val="2111B3F8"/>
    <w:rsid w:val="2112BB1F"/>
    <w:rsid w:val="211409CC"/>
    <w:rsid w:val="21142CCD"/>
    <w:rsid w:val="2115EEA2"/>
    <w:rsid w:val="21165E6D"/>
    <w:rsid w:val="21168BF0"/>
    <w:rsid w:val="211911AA"/>
    <w:rsid w:val="2119D5A1"/>
    <w:rsid w:val="211B2994"/>
    <w:rsid w:val="211BA152"/>
    <w:rsid w:val="211C0AB7"/>
    <w:rsid w:val="211C0AC0"/>
    <w:rsid w:val="211C6EEF"/>
    <w:rsid w:val="211CD6CA"/>
    <w:rsid w:val="2120A006"/>
    <w:rsid w:val="21217602"/>
    <w:rsid w:val="2121B283"/>
    <w:rsid w:val="21232F24"/>
    <w:rsid w:val="2123DB74"/>
    <w:rsid w:val="212429DC"/>
    <w:rsid w:val="2127F7F6"/>
    <w:rsid w:val="2128E708"/>
    <w:rsid w:val="212BD2E2"/>
    <w:rsid w:val="212BEF0E"/>
    <w:rsid w:val="212E3F93"/>
    <w:rsid w:val="212EAADD"/>
    <w:rsid w:val="212EB785"/>
    <w:rsid w:val="21305863"/>
    <w:rsid w:val="213094AB"/>
    <w:rsid w:val="2131A0A4"/>
    <w:rsid w:val="21335527"/>
    <w:rsid w:val="21382245"/>
    <w:rsid w:val="213BA9A6"/>
    <w:rsid w:val="213DB8F3"/>
    <w:rsid w:val="213F9317"/>
    <w:rsid w:val="2142D918"/>
    <w:rsid w:val="21436933"/>
    <w:rsid w:val="2143D91D"/>
    <w:rsid w:val="2143FDF2"/>
    <w:rsid w:val="214505D0"/>
    <w:rsid w:val="21459A95"/>
    <w:rsid w:val="2148AABB"/>
    <w:rsid w:val="21496323"/>
    <w:rsid w:val="214B481C"/>
    <w:rsid w:val="214C79F8"/>
    <w:rsid w:val="214CCA59"/>
    <w:rsid w:val="214D1157"/>
    <w:rsid w:val="214DB6DF"/>
    <w:rsid w:val="214F0D7B"/>
    <w:rsid w:val="21506CCB"/>
    <w:rsid w:val="2151004A"/>
    <w:rsid w:val="2151477F"/>
    <w:rsid w:val="21515685"/>
    <w:rsid w:val="21528FB3"/>
    <w:rsid w:val="2152F7C2"/>
    <w:rsid w:val="215329E3"/>
    <w:rsid w:val="21556983"/>
    <w:rsid w:val="215728AB"/>
    <w:rsid w:val="2157E730"/>
    <w:rsid w:val="2158B8FA"/>
    <w:rsid w:val="215997FA"/>
    <w:rsid w:val="215C4DBC"/>
    <w:rsid w:val="215DC474"/>
    <w:rsid w:val="215DDE37"/>
    <w:rsid w:val="215E06AE"/>
    <w:rsid w:val="215E09D3"/>
    <w:rsid w:val="2161B5B1"/>
    <w:rsid w:val="2163968F"/>
    <w:rsid w:val="2164DDF7"/>
    <w:rsid w:val="216A70F6"/>
    <w:rsid w:val="216A8952"/>
    <w:rsid w:val="216B78B0"/>
    <w:rsid w:val="216DE6FB"/>
    <w:rsid w:val="216E7A9D"/>
    <w:rsid w:val="216EFF99"/>
    <w:rsid w:val="216F226A"/>
    <w:rsid w:val="216F8B68"/>
    <w:rsid w:val="216FA735"/>
    <w:rsid w:val="2170AEEA"/>
    <w:rsid w:val="2170EC10"/>
    <w:rsid w:val="2171A295"/>
    <w:rsid w:val="21730859"/>
    <w:rsid w:val="21747AA6"/>
    <w:rsid w:val="2174922A"/>
    <w:rsid w:val="217582FE"/>
    <w:rsid w:val="217606AC"/>
    <w:rsid w:val="217847A9"/>
    <w:rsid w:val="21798293"/>
    <w:rsid w:val="217A5BA2"/>
    <w:rsid w:val="217B4379"/>
    <w:rsid w:val="217B7496"/>
    <w:rsid w:val="217B9BD3"/>
    <w:rsid w:val="2181668C"/>
    <w:rsid w:val="2181EE54"/>
    <w:rsid w:val="2183321C"/>
    <w:rsid w:val="21841F46"/>
    <w:rsid w:val="2185AEBC"/>
    <w:rsid w:val="21878318"/>
    <w:rsid w:val="21879DD1"/>
    <w:rsid w:val="21882488"/>
    <w:rsid w:val="218842BD"/>
    <w:rsid w:val="2188A1A9"/>
    <w:rsid w:val="21895F72"/>
    <w:rsid w:val="218963F9"/>
    <w:rsid w:val="218D5129"/>
    <w:rsid w:val="218DD5C4"/>
    <w:rsid w:val="218FC7FA"/>
    <w:rsid w:val="2190A297"/>
    <w:rsid w:val="21939FA4"/>
    <w:rsid w:val="2194CFB4"/>
    <w:rsid w:val="2195F689"/>
    <w:rsid w:val="2195F909"/>
    <w:rsid w:val="2199242E"/>
    <w:rsid w:val="219AA1E4"/>
    <w:rsid w:val="219BEE4D"/>
    <w:rsid w:val="219DCBB3"/>
    <w:rsid w:val="219FD151"/>
    <w:rsid w:val="21A04E3B"/>
    <w:rsid w:val="21A0BB11"/>
    <w:rsid w:val="21A17BE4"/>
    <w:rsid w:val="21A322D3"/>
    <w:rsid w:val="21A37414"/>
    <w:rsid w:val="21A3B2AA"/>
    <w:rsid w:val="21A3D5F8"/>
    <w:rsid w:val="21A3D860"/>
    <w:rsid w:val="21A5A606"/>
    <w:rsid w:val="21A644E0"/>
    <w:rsid w:val="21A6698F"/>
    <w:rsid w:val="21A75C94"/>
    <w:rsid w:val="21AA0325"/>
    <w:rsid w:val="21AA6190"/>
    <w:rsid w:val="21AAB6C5"/>
    <w:rsid w:val="21AB4726"/>
    <w:rsid w:val="21ABC300"/>
    <w:rsid w:val="21ACEE1B"/>
    <w:rsid w:val="21AD273A"/>
    <w:rsid w:val="21ADEA5B"/>
    <w:rsid w:val="21AF33D7"/>
    <w:rsid w:val="21AF6056"/>
    <w:rsid w:val="21B1AA9D"/>
    <w:rsid w:val="21B626FF"/>
    <w:rsid w:val="21B6F887"/>
    <w:rsid w:val="21B7BABA"/>
    <w:rsid w:val="21B84F55"/>
    <w:rsid w:val="21BBE96C"/>
    <w:rsid w:val="21BD1625"/>
    <w:rsid w:val="21BDC7A7"/>
    <w:rsid w:val="21C1DDD2"/>
    <w:rsid w:val="21C35D15"/>
    <w:rsid w:val="21C6C018"/>
    <w:rsid w:val="21C84639"/>
    <w:rsid w:val="21C88519"/>
    <w:rsid w:val="21C8ADF4"/>
    <w:rsid w:val="21C8D32E"/>
    <w:rsid w:val="21C9C224"/>
    <w:rsid w:val="21CBD99F"/>
    <w:rsid w:val="21CC39E1"/>
    <w:rsid w:val="21CCA217"/>
    <w:rsid w:val="21CCBE45"/>
    <w:rsid w:val="21CCF2AB"/>
    <w:rsid w:val="21CD5979"/>
    <w:rsid w:val="21CF28C6"/>
    <w:rsid w:val="21D4144F"/>
    <w:rsid w:val="21D43C2E"/>
    <w:rsid w:val="21D66394"/>
    <w:rsid w:val="21D816D4"/>
    <w:rsid w:val="21D8D465"/>
    <w:rsid w:val="21D9893B"/>
    <w:rsid w:val="21D98EE0"/>
    <w:rsid w:val="21DA37F0"/>
    <w:rsid w:val="21DAF4E9"/>
    <w:rsid w:val="21E027DC"/>
    <w:rsid w:val="21E0A773"/>
    <w:rsid w:val="21E0AC6C"/>
    <w:rsid w:val="21E1B029"/>
    <w:rsid w:val="21E1EB24"/>
    <w:rsid w:val="21E26865"/>
    <w:rsid w:val="21E2AB52"/>
    <w:rsid w:val="21E40330"/>
    <w:rsid w:val="21E62EF3"/>
    <w:rsid w:val="21E6D279"/>
    <w:rsid w:val="21E84DAA"/>
    <w:rsid w:val="21E8E207"/>
    <w:rsid w:val="21E8F72D"/>
    <w:rsid w:val="21E94D46"/>
    <w:rsid w:val="21E977F2"/>
    <w:rsid w:val="21E9C948"/>
    <w:rsid w:val="21E9E84D"/>
    <w:rsid w:val="21EA6DD1"/>
    <w:rsid w:val="21EB3ACF"/>
    <w:rsid w:val="21ECA3FA"/>
    <w:rsid w:val="21F0A4D2"/>
    <w:rsid w:val="21F1AD58"/>
    <w:rsid w:val="21F4653A"/>
    <w:rsid w:val="21F66EC8"/>
    <w:rsid w:val="21F8BB64"/>
    <w:rsid w:val="21F9711B"/>
    <w:rsid w:val="21FCA89C"/>
    <w:rsid w:val="21FD2368"/>
    <w:rsid w:val="2200050F"/>
    <w:rsid w:val="220009C7"/>
    <w:rsid w:val="22005658"/>
    <w:rsid w:val="22013B8E"/>
    <w:rsid w:val="22026FCD"/>
    <w:rsid w:val="22031538"/>
    <w:rsid w:val="2204A095"/>
    <w:rsid w:val="2205AB82"/>
    <w:rsid w:val="2205DDDE"/>
    <w:rsid w:val="220756F3"/>
    <w:rsid w:val="2207674F"/>
    <w:rsid w:val="22086EFF"/>
    <w:rsid w:val="2209C586"/>
    <w:rsid w:val="220B21E9"/>
    <w:rsid w:val="220C2003"/>
    <w:rsid w:val="220F0C8B"/>
    <w:rsid w:val="22120E0A"/>
    <w:rsid w:val="22141F0D"/>
    <w:rsid w:val="2214A8D2"/>
    <w:rsid w:val="22158BB5"/>
    <w:rsid w:val="22159ABE"/>
    <w:rsid w:val="2216E844"/>
    <w:rsid w:val="221842A6"/>
    <w:rsid w:val="221AF540"/>
    <w:rsid w:val="221D3234"/>
    <w:rsid w:val="221E017A"/>
    <w:rsid w:val="221E145A"/>
    <w:rsid w:val="221F64DA"/>
    <w:rsid w:val="222078CE"/>
    <w:rsid w:val="22223A35"/>
    <w:rsid w:val="2222FC58"/>
    <w:rsid w:val="2224F469"/>
    <w:rsid w:val="2226B04D"/>
    <w:rsid w:val="222906A1"/>
    <w:rsid w:val="222924BC"/>
    <w:rsid w:val="2229ED9D"/>
    <w:rsid w:val="222BD436"/>
    <w:rsid w:val="222CBB08"/>
    <w:rsid w:val="222D060A"/>
    <w:rsid w:val="222E5E35"/>
    <w:rsid w:val="2230D9F3"/>
    <w:rsid w:val="2230DAC0"/>
    <w:rsid w:val="2233338A"/>
    <w:rsid w:val="22336FB1"/>
    <w:rsid w:val="22342752"/>
    <w:rsid w:val="223573A4"/>
    <w:rsid w:val="22365B0C"/>
    <w:rsid w:val="2236EDF4"/>
    <w:rsid w:val="2237B5CC"/>
    <w:rsid w:val="2238C212"/>
    <w:rsid w:val="223A9934"/>
    <w:rsid w:val="223AB34F"/>
    <w:rsid w:val="223CDC24"/>
    <w:rsid w:val="224046B1"/>
    <w:rsid w:val="224163BC"/>
    <w:rsid w:val="22425E75"/>
    <w:rsid w:val="2243BBD8"/>
    <w:rsid w:val="2245F1EC"/>
    <w:rsid w:val="22481F35"/>
    <w:rsid w:val="224856AB"/>
    <w:rsid w:val="22491FC1"/>
    <w:rsid w:val="2249DA79"/>
    <w:rsid w:val="224A1F15"/>
    <w:rsid w:val="224C6086"/>
    <w:rsid w:val="224D25A0"/>
    <w:rsid w:val="224FFBE3"/>
    <w:rsid w:val="2250B364"/>
    <w:rsid w:val="2252AD55"/>
    <w:rsid w:val="2254D940"/>
    <w:rsid w:val="22557804"/>
    <w:rsid w:val="225684C7"/>
    <w:rsid w:val="22580423"/>
    <w:rsid w:val="225916E9"/>
    <w:rsid w:val="22596836"/>
    <w:rsid w:val="225B0483"/>
    <w:rsid w:val="225C55A5"/>
    <w:rsid w:val="225DC6D6"/>
    <w:rsid w:val="22609833"/>
    <w:rsid w:val="2261558A"/>
    <w:rsid w:val="22616F23"/>
    <w:rsid w:val="226198FF"/>
    <w:rsid w:val="22633891"/>
    <w:rsid w:val="2264A62A"/>
    <w:rsid w:val="22660E2C"/>
    <w:rsid w:val="2266766F"/>
    <w:rsid w:val="2266A7BC"/>
    <w:rsid w:val="2267D53C"/>
    <w:rsid w:val="22685FCE"/>
    <w:rsid w:val="226B85B7"/>
    <w:rsid w:val="22721B9E"/>
    <w:rsid w:val="22728B23"/>
    <w:rsid w:val="2274EB5D"/>
    <w:rsid w:val="22759597"/>
    <w:rsid w:val="2276FA06"/>
    <w:rsid w:val="22770E2D"/>
    <w:rsid w:val="227B41F6"/>
    <w:rsid w:val="227DAE27"/>
    <w:rsid w:val="22808AD1"/>
    <w:rsid w:val="2281CD1F"/>
    <w:rsid w:val="228212FD"/>
    <w:rsid w:val="2283BFA4"/>
    <w:rsid w:val="228407D8"/>
    <w:rsid w:val="228568CD"/>
    <w:rsid w:val="22867D1F"/>
    <w:rsid w:val="22875DD2"/>
    <w:rsid w:val="22878AE9"/>
    <w:rsid w:val="22894395"/>
    <w:rsid w:val="22896697"/>
    <w:rsid w:val="2289C53D"/>
    <w:rsid w:val="228C588A"/>
    <w:rsid w:val="228C8897"/>
    <w:rsid w:val="228D14CF"/>
    <w:rsid w:val="228E0908"/>
    <w:rsid w:val="228E953D"/>
    <w:rsid w:val="228ED542"/>
    <w:rsid w:val="228F16D7"/>
    <w:rsid w:val="22900AB3"/>
    <w:rsid w:val="22902203"/>
    <w:rsid w:val="2290D4D7"/>
    <w:rsid w:val="22943010"/>
    <w:rsid w:val="22950EA5"/>
    <w:rsid w:val="22984C17"/>
    <w:rsid w:val="2298FC35"/>
    <w:rsid w:val="22990954"/>
    <w:rsid w:val="229A4670"/>
    <w:rsid w:val="229B0BCB"/>
    <w:rsid w:val="229B7515"/>
    <w:rsid w:val="229D6C7F"/>
    <w:rsid w:val="229DA8CF"/>
    <w:rsid w:val="229E458A"/>
    <w:rsid w:val="229EB034"/>
    <w:rsid w:val="229F32BE"/>
    <w:rsid w:val="229F8D1A"/>
    <w:rsid w:val="22A0D748"/>
    <w:rsid w:val="22A30DFC"/>
    <w:rsid w:val="22A36C9A"/>
    <w:rsid w:val="22A41494"/>
    <w:rsid w:val="22A55FE5"/>
    <w:rsid w:val="22A7856F"/>
    <w:rsid w:val="22A804AA"/>
    <w:rsid w:val="22AABAF2"/>
    <w:rsid w:val="22AC21AA"/>
    <w:rsid w:val="22AC709A"/>
    <w:rsid w:val="22AEF98D"/>
    <w:rsid w:val="22AFC4B3"/>
    <w:rsid w:val="22AFCC15"/>
    <w:rsid w:val="22B441CE"/>
    <w:rsid w:val="22B4491B"/>
    <w:rsid w:val="22B475A7"/>
    <w:rsid w:val="22B52821"/>
    <w:rsid w:val="22B69F08"/>
    <w:rsid w:val="22B713A8"/>
    <w:rsid w:val="22B97D8C"/>
    <w:rsid w:val="22BAA33B"/>
    <w:rsid w:val="22BB007D"/>
    <w:rsid w:val="22BC33B5"/>
    <w:rsid w:val="22C09299"/>
    <w:rsid w:val="22C1A105"/>
    <w:rsid w:val="22C2601C"/>
    <w:rsid w:val="22C36EA9"/>
    <w:rsid w:val="22C5894A"/>
    <w:rsid w:val="22C6D481"/>
    <w:rsid w:val="22C6F46F"/>
    <w:rsid w:val="22C725CE"/>
    <w:rsid w:val="22CAB2F7"/>
    <w:rsid w:val="22CBB006"/>
    <w:rsid w:val="22CC7077"/>
    <w:rsid w:val="22CD0C76"/>
    <w:rsid w:val="22CD74CE"/>
    <w:rsid w:val="22CFAE56"/>
    <w:rsid w:val="22D156B7"/>
    <w:rsid w:val="22D18868"/>
    <w:rsid w:val="22D23DE9"/>
    <w:rsid w:val="22D2F3CD"/>
    <w:rsid w:val="22D3CE72"/>
    <w:rsid w:val="22D57560"/>
    <w:rsid w:val="22D7C830"/>
    <w:rsid w:val="22D9962E"/>
    <w:rsid w:val="22DB2007"/>
    <w:rsid w:val="22DCBE58"/>
    <w:rsid w:val="22DDFE2D"/>
    <w:rsid w:val="22DF1990"/>
    <w:rsid w:val="22E0A420"/>
    <w:rsid w:val="22E3564A"/>
    <w:rsid w:val="22E37D91"/>
    <w:rsid w:val="22E90919"/>
    <w:rsid w:val="22E962A9"/>
    <w:rsid w:val="22E9F5E1"/>
    <w:rsid w:val="22EC8EAC"/>
    <w:rsid w:val="22EDAB5A"/>
    <w:rsid w:val="22F0E199"/>
    <w:rsid w:val="22F2770D"/>
    <w:rsid w:val="22F46012"/>
    <w:rsid w:val="22F64C8E"/>
    <w:rsid w:val="22F67839"/>
    <w:rsid w:val="22F6B703"/>
    <w:rsid w:val="22F83938"/>
    <w:rsid w:val="22F85820"/>
    <w:rsid w:val="22F9D4A8"/>
    <w:rsid w:val="22FACA55"/>
    <w:rsid w:val="22FD9C5A"/>
    <w:rsid w:val="22FDC5BF"/>
    <w:rsid w:val="22FE952E"/>
    <w:rsid w:val="22FEEAAD"/>
    <w:rsid w:val="230667D9"/>
    <w:rsid w:val="23078883"/>
    <w:rsid w:val="23080260"/>
    <w:rsid w:val="2308BE28"/>
    <w:rsid w:val="2309AB2B"/>
    <w:rsid w:val="230A04F7"/>
    <w:rsid w:val="230B1263"/>
    <w:rsid w:val="230EED72"/>
    <w:rsid w:val="230F5D3A"/>
    <w:rsid w:val="23106388"/>
    <w:rsid w:val="23114DFC"/>
    <w:rsid w:val="23125A97"/>
    <w:rsid w:val="2314AD95"/>
    <w:rsid w:val="2315A835"/>
    <w:rsid w:val="2316050E"/>
    <w:rsid w:val="23161E6F"/>
    <w:rsid w:val="2316205C"/>
    <w:rsid w:val="231677C8"/>
    <w:rsid w:val="231A9DCF"/>
    <w:rsid w:val="231AEDC2"/>
    <w:rsid w:val="231C0122"/>
    <w:rsid w:val="231C09EF"/>
    <w:rsid w:val="231CBD7D"/>
    <w:rsid w:val="231D38BA"/>
    <w:rsid w:val="231D40E2"/>
    <w:rsid w:val="231DFC22"/>
    <w:rsid w:val="231E7384"/>
    <w:rsid w:val="231E8D5D"/>
    <w:rsid w:val="232028B9"/>
    <w:rsid w:val="2320ECFB"/>
    <w:rsid w:val="23225A7F"/>
    <w:rsid w:val="23242413"/>
    <w:rsid w:val="2324E7CA"/>
    <w:rsid w:val="2325396D"/>
    <w:rsid w:val="23257A62"/>
    <w:rsid w:val="2327B0F9"/>
    <w:rsid w:val="2327CF77"/>
    <w:rsid w:val="232812D5"/>
    <w:rsid w:val="232906D6"/>
    <w:rsid w:val="232953FA"/>
    <w:rsid w:val="232A72E9"/>
    <w:rsid w:val="232BB4A0"/>
    <w:rsid w:val="232CD14A"/>
    <w:rsid w:val="23306E86"/>
    <w:rsid w:val="23308A4F"/>
    <w:rsid w:val="23308B0E"/>
    <w:rsid w:val="2332A701"/>
    <w:rsid w:val="23334C93"/>
    <w:rsid w:val="233567F4"/>
    <w:rsid w:val="23371A76"/>
    <w:rsid w:val="2338CD13"/>
    <w:rsid w:val="23393093"/>
    <w:rsid w:val="2339D114"/>
    <w:rsid w:val="233A1647"/>
    <w:rsid w:val="233AC2D2"/>
    <w:rsid w:val="233ACDB6"/>
    <w:rsid w:val="233B59CA"/>
    <w:rsid w:val="233C610F"/>
    <w:rsid w:val="233E7235"/>
    <w:rsid w:val="233FE449"/>
    <w:rsid w:val="234065A7"/>
    <w:rsid w:val="2343DBD3"/>
    <w:rsid w:val="23470C01"/>
    <w:rsid w:val="234877FC"/>
    <w:rsid w:val="2349B86E"/>
    <w:rsid w:val="234C5B81"/>
    <w:rsid w:val="234C85CA"/>
    <w:rsid w:val="234D9E7F"/>
    <w:rsid w:val="2350F133"/>
    <w:rsid w:val="23515B10"/>
    <w:rsid w:val="23519767"/>
    <w:rsid w:val="2351C693"/>
    <w:rsid w:val="2352C260"/>
    <w:rsid w:val="23549995"/>
    <w:rsid w:val="2355441B"/>
    <w:rsid w:val="23562AE4"/>
    <w:rsid w:val="23585BDC"/>
    <w:rsid w:val="235BFF7B"/>
    <w:rsid w:val="235CB439"/>
    <w:rsid w:val="235E531B"/>
    <w:rsid w:val="235F0222"/>
    <w:rsid w:val="23603B7C"/>
    <w:rsid w:val="2362571F"/>
    <w:rsid w:val="236324EF"/>
    <w:rsid w:val="2363583E"/>
    <w:rsid w:val="23639378"/>
    <w:rsid w:val="236A19F1"/>
    <w:rsid w:val="236C2CCA"/>
    <w:rsid w:val="237085FC"/>
    <w:rsid w:val="23714901"/>
    <w:rsid w:val="2371E4AF"/>
    <w:rsid w:val="2373D30E"/>
    <w:rsid w:val="2374738F"/>
    <w:rsid w:val="2374DDB2"/>
    <w:rsid w:val="2375664D"/>
    <w:rsid w:val="23758E02"/>
    <w:rsid w:val="2376CF75"/>
    <w:rsid w:val="23797890"/>
    <w:rsid w:val="237A041B"/>
    <w:rsid w:val="237B46B8"/>
    <w:rsid w:val="237CC3D8"/>
    <w:rsid w:val="237F0E12"/>
    <w:rsid w:val="238013B5"/>
    <w:rsid w:val="23836BF5"/>
    <w:rsid w:val="2387E121"/>
    <w:rsid w:val="238807BD"/>
    <w:rsid w:val="238A7B60"/>
    <w:rsid w:val="238A9CE3"/>
    <w:rsid w:val="238C1DBF"/>
    <w:rsid w:val="238C806F"/>
    <w:rsid w:val="238DEE4C"/>
    <w:rsid w:val="238E8504"/>
    <w:rsid w:val="239006BC"/>
    <w:rsid w:val="23914E2A"/>
    <w:rsid w:val="23948811"/>
    <w:rsid w:val="23957AE8"/>
    <w:rsid w:val="2398B4F2"/>
    <w:rsid w:val="2399FC31"/>
    <w:rsid w:val="239C4D23"/>
    <w:rsid w:val="239F90A0"/>
    <w:rsid w:val="23A04351"/>
    <w:rsid w:val="23A1900C"/>
    <w:rsid w:val="23A1AC5A"/>
    <w:rsid w:val="23A34382"/>
    <w:rsid w:val="23A48E3C"/>
    <w:rsid w:val="23A5046C"/>
    <w:rsid w:val="23A6D4DE"/>
    <w:rsid w:val="23A80CC7"/>
    <w:rsid w:val="23A8237D"/>
    <w:rsid w:val="23AA16F3"/>
    <w:rsid w:val="23AAA026"/>
    <w:rsid w:val="23AAB4BD"/>
    <w:rsid w:val="23ABAF60"/>
    <w:rsid w:val="23ACBBB4"/>
    <w:rsid w:val="23B0BC92"/>
    <w:rsid w:val="23B1CB56"/>
    <w:rsid w:val="23B1E3A1"/>
    <w:rsid w:val="23B26D99"/>
    <w:rsid w:val="23B38041"/>
    <w:rsid w:val="23B3ADE4"/>
    <w:rsid w:val="23B54F44"/>
    <w:rsid w:val="23B673BE"/>
    <w:rsid w:val="23B7206C"/>
    <w:rsid w:val="23B77D31"/>
    <w:rsid w:val="23B8E074"/>
    <w:rsid w:val="23B993F5"/>
    <w:rsid w:val="23B9FDFA"/>
    <w:rsid w:val="23BC7102"/>
    <w:rsid w:val="23BF183D"/>
    <w:rsid w:val="23BF2FFE"/>
    <w:rsid w:val="23BFA8C5"/>
    <w:rsid w:val="23C05EDF"/>
    <w:rsid w:val="23C070F2"/>
    <w:rsid w:val="23C1A318"/>
    <w:rsid w:val="23C1B2BF"/>
    <w:rsid w:val="23C2D227"/>
    <w:rsid w:val="23C3FFF9"/>
    <w:rsid w:val="23C52874"/>
    <w:rsid w:val="23C54D8A"/>
    <w:rsid w:val="23C7E88B"/>
    <w:rsid w:val="23C9B494"/>
    <w:rsid w:val="23C9B4BC"/>
    <w:rsid w:val="23CA70F3"/>
    <w:rsid w:val="23CA7E27"/>
    <w:rsid w:val="23CA98C3"/>
    <w:rsid w:val="23CB7134"/>
    <w:rsid w:val="23CBDC81"/>
    <w:rsid w:val="23CC2C5A"/>
    <w:rsid w:val="23D0E82A"/>
    <w:rsid w:val="23D13515"/>
    <w:rsid w:val="23D311E9"/>
    <w:rsid w:val="23D6BBA1"/>
    <w:rsid w:val="23D6C49D"/>
    <w:rsid w:val="23D90E2D"/>
    <w:rsid w:val="23DA5331"/>
    <w:rsid w:val="23DBF91C"/>
    <w:rsid w:val="23DC6693"/>
    <w:rsid w:val="23DCD607"/>
    <w:rsid w:val="23DDAC41"/>
    <w:rsid w:val="23E3153C"/>
    <w:rsid w:val="23E3E27F"/>
    <w:rsid w:val="23E49085"/>
    <w:rsid w:val="23E522F2"/>
    <w:rsid w:val="23E73C57"/>
    <w:rsid w:val="23E90F54"/>
    <w:rsid w:val="23E96C75"/>
    <w:rsid w:val="23E9AF7E"/>
    <w:rsid w:val="23E9EAB0"/>
    <w:rsid w:val="23E9F8ED"/>
    <w:rsid w:val="23ED26D0"/>
    <w:rsid w:val="23EE2F4F"/>
    <w:rsid w:val="23EF1B7C"/>
    <w:rsid w:val="23F19A29"/>
    <w:rsid w:val="23F21EA5"/>
    <w:rsid w:val="23F30B06"/>
    <w:rsid w:val="23F5873E"/>
    <w:rsid w:val="23F58FDC"/>
    <w:rsid w:val="23F660BB"/>
    <w:rsid w:val="23F942F8"/>
    <w:rsid w:val="23F9528E"/>
    <w:rsid w:val="23F95EC8"/>
    <w:rsid w:val="23FA3BE3"/>
    <w:rsid w:val="23FA3F50"/>
    <w:rsid w:val="23FEA67B"/>
    <w:rsid w:val="23FFF76A"/>
    <w:rsid w:val="2400CD41"/>
    <w:rsid w:val="24046C58"/>
    <w:rsid w:val="24061F01"/>
    <w:rsid w:val="24068699"/>
    <w:rsid w:val="2406AFF1"/>
    <w:rsid w:val="2406B4F4"/>
    <w:rsid w:val="2406CD30"/>
    <w:rsid w:val="2407D635"/>
    <w:rsid w:val="2409BF98"/>
    <w:rsid w:val="240B6733"/>
    <w:rsid w:val="240ED8B0"/>
    <w:rsid w:val="240F1619"/>
    <w:rsid w:val="240F6061"/>
    <w:rsid w:val="24101205"/>
    <w:rsid w:val="24103664"/>
    <w:rsid w:val="24114BB7"/>
    <w:rsid w:val="24180D50"/>
    <w:rsid w:val="24181F1C"/>
    <w:rsid w:val="2418D7AE"/>
    <w:rsid w:val="2419854B"/>
    <w:rsid w:val="2419BFEA"/>
    <w:rsid w:val="241CE5A9"/>
    <w:rsid w:val="241D6008"/>
    <w:rsid w:val="241E4582"/>
    <w:rsid w:val="241EC904"/>
    <w:rsid w:val="241F689A"/>
    <w:rsid w:val="242080F0"/>
    <w:rsid w:val="2422CD80"/>
    <w:rsid w:val="2423FC68"/>
    <w:rsid w:val="2424E63B"/>
    <w:rsid w:val="24252507"/>
    <w:rsid w:val="2425CBDE"/>
    <w:rsid w:val="2426E508"/>
    <w:rsid w:val="2427866C"/>
    <w:rsid w:val="2427DF7B"/>
    <w:rsid w:val="2429F887"/>
    <w:rsid w:val="242D3F21"/>
    <w:rsid w:val="242F9DC0"/>
    <w:rsid w:val="242FCA92"/>
    <w:rsid w:val="24318A4B"/>
    <w:rsid w:val="24340811"/>
    <w:rsid w:val="2435214F"/>
    <w:rsid w:val="24380814"/>
    <w:rsid w:val="243974F5"/>
    <w:rsid w:val="2439E15D"/>
    <w:rsid w:val="243BD8F8"/>
    <w:rsid w:val="243C74E6"/>
    <w:rsid w:val="243F0BD4"/>
    <w:rsid w:val="24409327"/>
    <w:rsid w:val="2440AB5F"/>
    <w:rsid w:val="244250CB"/>
    <w:rsid w:val="24453D6A"/>
    <w:rsid w:val="2447F54C"/>
    <w:rsid w:val="2449F8C3"/>
    <w:rsid w:val="244FF39A"/>
    <w:rsid w:val="2452564A"/>
    <w:rsid w:val="245295CF"/>
    <w:rsid w:val="2455313E"/>
    <w:rsid w:val="2455CEB4"/>
    <w:rsid w:val="245889C1"/>
    <w:rsid w:val="2459EABD"/>
    <w:rsid w:val="245BFC8D"/>
    <w:rsid w:val="245CBA16"/>
    <w:rsid w:val="245CE624"/>
    <w:rsid w:val="245D70A3"/>
    <w:rsid w:val="245DA355"/>
    <w:rsid w:val="245DC1A6"/>
    <w:rsid w:val="245E4E28"/>
    <w:rsid w:val="245E685C"/>
    <w:rsid w:val="245E9E8E"/>
    <w:rsid w:val="24614E70"/>
    <w:rsid w:val="2461BE09"/>
    <w:rsid w:val="24658081"/>
    <w:rsid w:val="24669748"/>
    <w:rsid w:val="2466BEE4"/>
    <w:rsid w:val="2467A750"/>
    <w:rsid w:val="24691F68"/>
    <w:rsid w:val="246B5C41"/>
    <w:rsid w:val="246BD3EE"/>
    <w:rsid w:val="246DACF4"/>
    <w:rsid w:val="246FB31F"/>
    <w:rsid w:val="247103B6"/>
    <w:rsid w:val="24717C59"/>
    <w:rsid w:val="2473B8B5"/>
    <w:rsid w:val="24745925"/>
    <w:rsid w:val="2474ED79"/>
    <w:rsid w:val="24761E02"/>
    <w:rsid w:val="2478A8D2"/>
    <w:rsid w:val="2478F0D0"/>
    <w:rsid w:val="247C4973"/>
    <w:rsid w:val="247DC3FE"/>
    <w:rsid w:val="24828AFC"/>
    <w:rsid w:val="24851EF4"/>
    <w:rsid w:val="248521EF"/>
    <w:rsid w:val="2486D2AB"/>
    <w:rsid w:val="248BA6F0"/>
    <w:rsid w:val="248C01BD"/>
    <w:rsid w:val="248CB439"/>
    <w:rsid w:val="248D7D7C"/>
    <w:rsid w:val="248E2EE0"/>
    <w:rsid w:val="248F5B9C"/>
    <w:rsid w:val="248FD928"/>
    <w:rsid w:val="24934DB0"/>
    <w:rsid w:val="2493EB08"/>
    <w:rsid w:val="24948A84"/>
    <w:rsid w:val="249513C9"/>
    <w:rsid w:val="249615C8"/>
    <w:rsid w:val="24964ACA"/>
    <w:rsid w:val="249682C9"/>
    <w:rsid w:val="2499A188"/>
    <w:rsid w:val="249B4E4D"/>
    <w:rsid w:val="249C4E57"/>
    <w:rsid w:val="249C7EB9"/>
    <w:rsid w:val="249CD00B"/>
    <w:rsid w:val="249E7A20"/>
    <w:rsid w:val="249F69CD"/>
    <w:rsid w:val="24A0438A"/>
    <w:rsid w:val="24A09E53"/>
    <w:rsid w:val="24A0E74F"/>
    <w:rsid w:val="24A263E7"/>
    <w:rsid w:val="24A35633"/>
    <w:rsid w:val="24A37682"/>
    <w:rsid w:val="24A723EB"/>
    <w:rsid w:val="24A79070"/>
    <w:rsid w:val="24A87432"/>
    <w:rsid w:val="24A8D762"/>
    <w:rsid w:val="24A9AC7B"/>
    <w:rsid w:val="24AEBECC"/>
    <w:rsid w:val="24B00800"/>
    <w:rsid w:val="24B76EEA"/>
    <w:rsid w:val="24B7DD85"/>
    <w:rsid w:val="24B9BE4E"/>
    <w:rsid w:val="24BA83D7"/>
    <w:rsid w:val="24BB329D"/>
    <w:rsid w:val="24BC47AE"/>
    <w:rsid w:val="24BCDA84"/>
    <w:rsid w:val="24BCFE7E"/>
    <w:rsid w:val="24BE2510"/>
    <w:rsid w:val="24C2FF6C"/>
    <w:rsid w:val="24C31816"/>
    <w:rsid w:val="24C37F06"/>
    <w:rsid w:val="24C44943"/>
    <w:rsid w:val="24C4F034"/>
    <w:rsid w:val="24C5A21E"/>
    <w:rsid w:val="24C5DD62"/>
    <w:rsid w:val="24C81200"/>
    <w:rsid w:val="24C932CC"/>
    <w:rsid w:val="24C9F3D0"/>
    <w:rsid w:val="24CA5F52"/>
    <w:rsid w:val="24CAD157"/>
    <w:rsid w:val="24CDDBD4"/>
    <w:rsid w:val="24CF6928"/>
    <w:rsid w:val="24CFF5E7"/>
    <w:rsid w:val="24D1411D"/>
    <w:rsid w:val="24D256C3"/>
    <w:rsid w:val="24D45ECB"/>
    <w:rsid w:val="24D53746"/>
    <w:rsid w:val="24D56118"/>
    <w:rsid w:val="24D5D40A"/>
    <w:rsid w:val="24D7D90A"/>
    <w:rsid w:val="24D7FBE8"/>
    <w:rsid w:val="24DBDE30"/>
    <w:rsid w:val="24DCE598"/>
    <w:rsid w:val="24DD93FD"/>
    <w:rsid w:val="24DE7A50"/>
    <w:rsid w:val="24E09D48"/>
    <w:rsid w:val="24E30D1B"/>
    <w:rsid w:val="24E590A7"/>
    <w:rsid w:val="24E96992"/>
    <w:rsid w:val="24EAA7D0"/>
    <w:rsid w:val="24EB0512"/>
    <w:rsid w:val="24EBDB4B"/>
    <w:rsid w:val="24EC74BE"/>
    <w:rsid w:val="24EF9A5F"/>
    <w:rsid w:val="24F04792"/>
    <w:rsid w:val="24F3945D"/>
    <w:rsid w:val="24F56869"/>
    <w:rsid w:val="24F6CF5A"/>
    <w:rsid w:val="24F8D8A4"/>
    <w:rsid w:val="24FA092D"/>
    <w:rsid w:val="24FBF3D7"/>
    <w:rsid w:val="24FC1C92"/>
    <w:rsid w:val="24FCD3B2"/>
    <w:rsid w:val="24FE1678"/>
    <w:rsid w:val="250000A6"/>
    <w:rsid w:val="2500147C"/>
    <w:rsid w:val="25016757"/>
    <w:rsid w:val="25083AF6"/>
    <w:rsid w:val="25090189"/>
    <w:rsid w:val="25095C7E"/>
    <w:rsid w:val="250A01A7"/>
    <w:rsid w:val="250DDA9D"/>
    <w:rsid w:val="250FFF10"/>
    <w:rsid w:val="25101F1E"/>
    <w:rsid w:val="25137578"/>
    <w:rsid w:val="25139E53"/>
    <w:rsid w:val="25143C03"/>
    <w:rsid w:val="25167C74"/>
    <w:rsid w:val="25176657"/>
    <w:rsid w:val="251A2066"/>
    <w:rsid w:val="251A89A5"/>
    <w:rsid w:val="251B2073"/>
    <w:rsid w:val="251F7F47"/>
    <w:rsid w:val="251F9BA5"/>
    <w:rsid w:val="252214C2"/>
    <w:rsid w:val="252269CB"/>
    <w:rsid w:val="2522C16E"/>
    <w:rsid w:val="252318FA"/>
    <w:rsid w:val="252506B9"/>
    <w:rsid w:val="25264A69"/>
    <w:rsid w:val="25267F94"/>
    <w:rsid w:val="25272C2B"/>
    <w:rsid w:val="25298552"/>
    <w:rsid w:val="2529C75D"/>
    <w:rsid w:val="252A8845"/>
    <w:rsid w:val="252B5C59"/>
    <w:rsid w:val="252B9F80"/>
    <w:rsid w:val="252DE623"/>
    <w:rsid w:val="252FCD14"/>
    <w:rsid w:val="25311648"/>
    <w:rsid w:val="25314F74"/>
    <w:rsid w:val="2533FCC5"/>
    <w:rsid w:val="25345F01"/>
    <w:rsid w:val="25349A6F"/>
    <w:rsid w:val="2534F35C"/>
    <w:rsid w:val="2535F9F9"/>
    <w:rsid w:val="2536A042"/>
    <w:rsid w:val="2536E81D"/>
    <w:rsid w:val="25372C83"/>
    <w:rsid w:val="25388FEF"/>
    <w:rsid w:val="253EB252"/>
    <w:rsid w:val="253EBA5C"/>
    <w:rsid w:val="25445E55"/>
    <w:rsid w:val="2546ADD7"/>
    <w:rsid w:val="25472B31"/>
    <w:rsid w:val="2548DBEE"/>
    <w:rsid w:val="254B1868"/>
    <w:rsid w:val="254C1095"/>
    <w:rsid w:val="2550398C"/>
    <w:rsid w:val="25518D80"/>
    <w:rsid w:val="2552B0D4"/>
    <w:rsid w:val="2554232D"/>
    <w:rsid w:val="25548D15"/>
    <w:rsid w:val="2555D83A"/>
    <w:rsid w:val="2556A369"/>
    <w:rsid w:val="2557CBCD"/>
    <w:rsid w:val="2558CCC1"/>
    <w:rsid w:val="25598425"/>
    <w:rsid w:val="255CD4A7"/>
    <w:rsid w:val="255DB1BE"/>
    <w:rsid w:val="255F3FB4"/>
    <w:rsid w:val="2562239E"/>
    <w:rsid w:val="2564AF0B"/>
    <w:rsid w:val="25665A34"/>
    <w:rsid w:val="2566BB74"/>
    <w:rsid w:val="256963FE"/>
    <w:rsid w:val="25696987"/>
    <w:rsid w:val="256A3500"/>
    <w:rsid w:val="256A3B00"/>
    <w:rsid w:val="256A5DF3"/>
    <w:rsid w:val="256AA505"/>
    <w:rsid w:val="256B96A8"/>
    <w:rsid w:val="256CDC36"/>
    <w:rsid w:val="256E120E"/>
    <w:rsid w:val="256E7929"/>
    <w:rsid w:val="256EEAD2"/>
    <w:rsid w:val="256F9EFD"/>
    <w:rsid w:val="2572DE36"/>
    <w:rsid w:val="2574338C"/>
    <w:rsid w:val="2574A4E5"/>
    <w:rsid w:val="25755C30"/>
    <w:rsid w:val="25766DAB"/>
    <w:rsid w:val="2577F8C1"/>
    <w:rsid w:val="2579EFCA"/>
    <w:rsid w:val="257A2A25"/>
    <w:rsid w:val="257B1A79"/>
    <w:rsid w:val="257D4884"/>
    <w:rsid w:val="2580A719"/>
    <w:rsid w:val="2582AA94"/>
    <w:rsid w:val="258521EC"/>
    <w:rsid w:val="25857CF5"/>
    <w:rsid w:val="2587081A"/>
    <w:rsid w:val="25881E04"/>
    <w:rsid w:val="258846D4"/>
    <w:rsid w:val="2589C87B"/>
    <w:rsid w:val="258B3C62"/>
    <w:rsid w:val="258CACE5"/>
    <w:rsid w:val="258EC474"/>
    <w:rsid w:val="25913858"/>
    <w:rsid w:val="2592944D"/>
    <w:rsid w:val="259534C2"/>
    <w:rsid w:val="25993D5F"/>
    <w:rsid w:val="259962C0"/>
    <w:rsid w:val="259C2577"/>
    <w:rsid w:val="259C9885"/>
    <w:rsid w:val="259D2F34"/>
    <w:rsid w:val="259DF231"/>
    <w:rsid w:val="259E17D3"/>
    <w:rsid w:val="259FB8C2"/>
    <w:rsid w:val="25A1AC7F"/>
    <w:rsid w:val="25A229F3"/>
    <w:rsid w:val="25A32C81"/>
    <w:rsid w:val="25A554BC"/>
    <w:rsid w:val="25A8B2A8"/>
    <w:rsid w:val="25A9E01A"/>
    <w:rsid w:val="25ACB300"/>
    <w:rsid w:val="25AE7F3D"/>
    <w:rsid w:val="25AECCFD"/>
    <w:rsid w:val="25AFE876"/>
    <w:rsid w:val="25B02B21"/>
    <w:rsid w:val="25B04FE6"/>
    <w:rsid w:val="25B5B5FE"/>
    <w:rsid w:val="25B5E371"/>
    <w:rsid w:val="25B760DE"/>
    <w:rsid w:val="25B8D232"/>
    <w:rsid w:val="25BB2BC3"/>
    <w:rsid w:val="25BB3CBD"/>
    <w:rsid w:val="25BBBD86"/>
    <w:rsid w:val="25BC319A"/>
    <w:rsid w:val="25BE3598"/>
    <w:rsid w:val="25BE68DC"/>
    <w:rsid w:val="25BF12C7"/>
    <w:rsid w:val="25BFEAC1"/>
    <w:rsid w:val="25C1BCD4"/>
    <w:rsid w:val="25C3A18C"/>
    <w:rsid w:val="25C53E32"/>
    <w:rsid w:val="25C7C66C"/>
    <w:rsid w:val="25C7FFC4"/>
    <w:rsid w:val="25C85B34"/>
    <w:rsid w:val="25C8F6CC"/>
    <w:rsid w:val="25C8F90A"/>
    <w:rsid w:val="25C9028C"/>
    <w:rsid w:val="25CA980A"/>
    <w:rsid w:val="25CD7D29"/>
    <w:rsid w:val="25D01F91"/>
    <w:rsid w:val="25D082D8"/>
    <w:rsid w:val="25D1176E"/>
    <w:rsid w:val="25D29660"/>
    <w:rsid w:val="25D45FD1"/>
    <w:rsid w:val="25D4A744"/>
    <w:rsid w:val="25D6FE8E"/>
    <w:rsid w:val="25DB0BB0"/>
    <w:rsid w:val="25DC7105"/>
    <w:rsid w:val="25DE0B11"/>
    <w:rsid w:val="25DF3542"/>
    <w:rsid w:val="25E1FD14"/>
    <w:rsid w:val="25E356DE"/>
    <w:rsid w:val="25E43C18"/>
    <w:rsid w:val="25E693E6"/>
    <w:rsid w:val="25E8181C"/>
    <w:rsid w:val="25E83A87"/>
    <w:rsid w:val="25E947F4"/>
    <w:rsid w:val="25E9DE38"/>
    <w:rsid w:val="25EBA09E"/>
    <w:rsid w:val="25ECE140"/>
    <w:rsid w:val="25ED1C7A"/>
    <w:rsid w:val="25ED8D22"/>
    <w:rsid w:val="25EE5124"/>
    <w:rsid w:val="25EFA679"/>
    <w:rsid w:val="25EFDF99"/>
    <w:rsid w:val="25EFEAA2"/>
    <w:rsid w:val="25F05ABA"/>
    <w:rsid w:val="25F1112C"/>
    <w:rsid w:val="25F2C56E"/>
    <w:rsid w:val="25F2F072"/>
    <w:rsid w:val="25F512F5"/>
    <w:rsid w:val="25F5DDE5"/>
    <w:rsid w:val="25F5E03A"/>
    <w:rsid w:val="25F74AB9"/>
    <w:rsid w:val="25F94942"/>
    <w:rsid w:val="25FA9825"/>
    <w:rsid w:val="25FC66F0"/>
    <w:rsid w:val="2600193C"/>
    <w:rsid w:val="2604F802"/>
    <w:rsid w:val="26077A2B"/>
    <w:rsid w:val="26086EE2"/>
    <w:rsid w:val="2608B767"/>
    <w:rsid w:val="260A2A88"/>
    <w:rsid w:val="260D5250"/>
    <w:rsid w:val="260E1897"/>
    <w:rsid w:val="26104633"/>
    <w:rsid w:val="2610A7C5"/>
    <w:rsid w:val="2612959F"/>
    <w:rsid w:val="2612DE4D"/>
    <w:rsid w:val="2615F84E"/>
    <w:rsid w:val="26162558"/>
    <w:rsid w:val="26165591"/>
    <w:rsid w:val="261A957D"/>
    <w:rsid w:val="261AFDD0"/>
    <w:rsid w:val="261D3D07"/>
    <w:rsid w:val="261D5ABC"/>
    <w:rsid w:val="261F5718"/>
    <w:rsid w:val="26202FC9"/>
    <w:rsid w:val="26216782"/>
    <w:rsid w:val="26217591"/>
    <w:rsid w:val="2621E626"/>
    <w:rsid w:val="26230BEE"/>
    <w:rsid w:val="262383C1"/>
    <w:rsid w:val="26263969"/>
    <w:rsid w:val="26267CA7"/>
    <w:rsid w:val="26278CF7"/>
    <w:rsid w:val="262CAEB4"/>
    <w:rsid w:val="262D6F3C"/>
    <w:rsid w:val="2630EBCC"/>
    <w:rsid w:val="263204DF"/>
    <w:rsid w:val="2633924F"/>
    <w:rsid w:val="2634D2F0"/>
    <w:rsid w:val="2635B605"/>
    <w:rsid w:val="2636426E"/>
    <w:rsid w:val="2636EC20"/>
    <w:rsid w:val="263871CC"/>
    <w:rsid w:val="26394EC7"/>
    <w:rsid w:val="263952E1"/>
    <w:rsid w:val="263D5366"/>
    <w:rsid w:val="263DE98C"/>
    <w:rsid w:val="263E0E68"/>
    <w:rsid w:val="263E3AB8"/>
    <w:rsid w:val="26400FAF"/>
    <w:rsid w:val="26409FFC"/>
    <w:rsid w:val="264360D1"/>
    <w:rsid w:val="26453336"/>
    <w:rsid w:val="264634F1"/>
    <w:rsid w:val="2648049E"/>
    <w:rsid w:val="26492A5D"/>
    <w:rsid w:val="264A4D02"/>
    <w:rsid w:val="264AB048"/>
    <w:rsid w:val="264AB1C4"/>
    <w:rsid w:val="264B1ED0"/>
    <w:rsid w:val="264B2673"/>
    <w:rsid w:val="264DE5B9"/>
    <w:rsid w:val="264F4D60"/>
    <w:rsid w:val="264F816A"/>
    <w:rsid w:val="264FB8FF"/>
    <w:rsid w:val="2650486E"/>
    <w:rsid w:val="265390D9"/>
    <w:rsid w:val="26562AD7"/>
    <w:rsid w:val="265642D4"/>
    <w:rsid w:val="2656AE8A"/>
    <w:rsid w:val="2657E84D"/>
    <w:rsid w:val="2659945C"/>
    <w:rsid w:val="265A4530"/>
    <w:rsid w:val="265A6FFB"/>
    <w:rsid w:val="265ED6A6"/>
    <w:rsid w:val="26601071"/>
    <w:rsid w:val="2660E459"/>
    <w:rsid w:val="2665FA77"/>
    <w:rsid w:val="26698DA3"/>
    <w:rsid w:val="2669D235"/>
    <w:rsid w:val="266A7FBC"/>
    <w:rsid w:val="266AB561"/>
    <w:rsid w:val="266B6930"/>
    <w:rsid w:val="266C06C2"/>
    <w:rsid w:val="266DB12A"/>
    <w:rsid w:val="266FF9DC"/>
    <w:rsid w:val="26743F77"/>
    <w:rsid w:val="267611A0"/>
    <w:rsid w:val="2676FBDA"/>
    <w:rsid w:val="2677FF03"/>
    <w:rsid w:val="267A161C"/>
    <w:rsid w:val="267AC95F"/>
    <w:rsid w:val="267BE6D4"/>
    <w:rsid w:val="267C583F"/>
    <w:rsid w:val="267C7FC2"/>
    <w:rsid w:val="267CBBBE"/>
    <w:rsid w:val="267D33CE"/>
    <w:rsid w:val="2682A23C"/>
    <w:rsid w:val="2682C424"/>
    <w:rsid w:val="2683A39D"/>
    <w:rsid w:val="2683E8F4"/>
    <w:rsid w:val="2685E140"/>
    <w:rsid w:val="2689C52C"/>
    <w:rsid w:val="268AF7EE"/>
    <w:rsid w:val="268B3798"/>
    <w:rsid w:val="268DD3BE"/>
    <w:rsid w:val="268F6CFA"/>
    <w:rsid w:val="268F7C95"/>
    <w:rsid w:val="26921CD9"/>
    <w:rsid w:val="26949E6E"/>
    <w:rsid w:val="2694C327"/>
    <w:rsid w:val="2695F30A"/>
    <w:rsid w:val="2699D5B8"/>
    <w:rsid w:val="269A4E64"/>
    <w:rsid w:val="269BF2B0"/>
    <w:rsid w:val="269E7714"/>
    <w:rsid w:val="269F33D6"/>
    <w:rsid w:val="26A0A262"/>
    <w:rsid w:val="26A0F42A"/>
    <w:rsid w:val="26A0FD1F"/>
    <w:rsid w:val="26A29C8D"/>
    <w:rsid w:val="26A46840"/>
    <w:rsid w:val="26A4B2DE"/>
    <w:rsid w:val="26A748CE"/>
    <w:rsid w:val="26A899C9"/>
    <w:rsid w:val="26A8C550"/>
    <w:rsid w:val="26AB04FB"/>
    <w:rsid w:val="26AE6695"/>
    <w:rsid w:val="26AF3DD8"/>
    <w:rsid w:val="26B1CCA5"/>
    <w:rsid w:val="26B20DD7"/>
    <w:rsid w:val="26B2B00A"/>
    <w:rsid w:val="26B54628"/>
    <w:rsid w:val="26B5A8B2"/>
    <w:rsid w:val="26B8ACFC"/>
    <w:rsid w:val="26B950F0"/>
    <w:rsid w:val="26BC385C"/>
    <w:rsid w:val="26BF0280"/>
    <w:rsid w:val="26BF7EF2"/>
    <w:rsid w:val="26C082EA"/>
    <w:rsid w:val="26C09C33"/>
    <w:rsid w:val="26C09CC0"/>
    <w:rsid w:val="26C0E4D8"/>
    <w:rsid w:val="26C3D121"/>
    <w:rsid w:val="26C4FDF3"/>
    <w:rsid w:val="26C5514F"/>
    <w:rsid w:val="26C7CD74"/>
    <w:rsid w:val="26C8E680"/>
    <w:rsid w:val="26C9B995"/>
    <w:rsid w:val="26CC3DD3"/>
    <w:rsid w:val="26CC9264"/>
    <w:rsid w:val="26CDC2C0"/>
    <w:rsid w:val="26D0B69B"/>
    <w:rsid w:val="26D105DD"/>
    <w:rsid w:val="26D19B12"/>
    <w:rsid w:val="26D1C8A3"/>
    <w:rsid w:val="26D346FD"/>
    <w:rsid w:val="26D4AA35"/>
    <w:rsid w:val="26D5C2CE"/>
    <w:rsid w:val="26D685B6"/>
    <w:rsid w:val="26D78EDA"/>
    <w:rsid w:val="26D87CD6"/>
    <w:rsid w:val="26DDD568"/>
    <w:rsid w:val="26DEF99C"/>
    <w:rsid w:val="26DF4B88"/>
    <w:rsid w:val="26E01FB9"/>
    <w:rsid w:val="26E0A268"/>
    <w:rsid w:val="26E0A76D"/>
    <w:rsid w:val="26E11AC7"/>
    <w:rsid w:val="26E12E10"/>
    <w:rsid w:val="26E1EEB5"/>
    <w:rsid w:val="26E40C6A"/>
    <w:rsid w:val="26E446A6"/>
    <w:rsid w:val="26E590CB"/>
    <w:rsid w:val="26E624D3"/>
    <w:rsid w:val="26E6CB9B"/>
    <w:rsid w:val="26E792AD"/>
    <w:rsid w:val="26ECF908"/>
    <w:rsid w:val="26EE7D6A"/>
    <w:rsid w:val="26EF9C13"/>
    <w:rsid w:val="26F063E5"/>
    <w:rsid w:val="26F384EC"/>
    <w:rsid w:val="26F45B96"/>
    <w:rsid w:val="26F463BD"/>
    <w:rsid w:val="26F5AAAB"/>
    <w:rsid w:val="26F7D8D9"/>
    <w:rsid w:val="26F8D293"/>
    <w:rsid w:val="26FAA07D"/>
    <w:rsid w:val="26FB5EC9"/>
    <w:rsid w:val="26FCA29B"/>
    <w:rsid w:val="26FCA5C0"/>
    <w:rsid w:val="26FCA73B"/>
    <w:rsid w:val="26FD6D2C"/>
    <w:rsid w:val="26FFEC5F"/>
    <w:rsid w:val="27050B31"/>
    <w:rsid w:val="2705AE87"/>
    <w:rsid w:val="2706BF07"/>
    <w:rsid w:val="2706E3F6"/>
    <w:rsid w:val="27076709"/>
    <w:rsid w:val="2707A704"/>
    <w:rsid w:val="2707B040"/>
    <w:rsid w:val="2708DB65"/>
    <w:rsid w:val="2709EFBD"/>
    <w:rsid w:val="270A1BFE"/>
    <w:rsid w:val="270B3531"/>
    <w:rsid w:val="270B94A8"/>
    <w:rsid w:val="270E5008"/>
    <w:rsid w:val="27106B5F"/>
    <w:rsid w:val="27132304"/>
    <w:rsid w:val="271353C5"/>
    <w:rsid w:val="2713B0FC"/>
    <w:rsid w:val="27164CDF"/>
    <w:rsid w:val="2716B4A6"/>
    <w:rsid w:val="2716D90C"/>
    <w:rsid w:val="2718FE50"/>
    <w:rsid w:val="271B631C"/>
    <w:rsid w:val="271C82AF"/>
    <w:rsid w:val="271CCDC6"/>
    <w:rsid w:val="271D113C"/>
    <w:rsid w:val="271DE5C2"/>
    <w:rsid w:val="271E9A4E"/>
    <w:rsid w:val="271F9A47"/>
    <w:rsid w:val="271FB07C"/>
    <w:rsid w:val="272199F7"/>
    <w:rsid w:val="2721A762"/>
    <w:rsid w:val="2721C346"/>
    <w:rsid w:val="27225CBC"/>
    <w:rsid w:val="2722C1C9"/>
    <w:rsid w:val="27248A7E"/>
    <w:rsid w:val="2724D806"/>
    <w:rsid w:val="27257C14"/>
    <w:rsid w:val="27287AA7"/>
    <w:rsid w:val="2728BE1A"/>
    <w:rsid w:val="272916ED"/>
    <w:rsid w:val="272B121C"/>
    <w:rsid w:val="272CE4D0"/>
    <w:rsid w:val="272EB35C"/>
    <w:rsid w:val="27300475"/>
    <w:rsid w:val="273147F7"/>
    <w:rsid w:val="27338B52"/>
    <w:rsid w:val="27339E75"/>
    <w:rsid w:val="2733F352"/>
    <w:rsid w:val="27361CEC"/>
    <w:rsid w:val="273737BB"/>
    <w:rsid w:val="273B00A8"/>
    <w:rsid w:val="273B1A1B"/>
    <w:rsid w:val="273B2638"/>
    <w:rsid w:val="273CD69F"/>
    <w:rsid w:val="273DDDBD"/>
    <w:rsid w:val="273E9B9C"/>
    <w:rsid w:val="273EFDEE"/>
    <w:rsid w:val="273F9B8A"/>
    <w:rsid w:val="2740AACF"/>
    <w:rsid w:val="2740AB66"/>
    <w:rsid w:val="2740DCD7"/>
    <w:rsid w:val="27418C02"/>
    <w:rsid w:val="27423302"/>
    <w:rsid w:val="274286AE"/>
    <w:rsid w:val="274361A4"/>
    <w:rsid w:val="2744C98C"/>
    <w:rsid w:val="27450214"/>
    <w:rsid w:val="2745E07E"/>
    <w:rsid w:val="2746DEFB"/>
    <w:rsid w:val="2746F97D"/>
    <w:rsid w:val="2746FEDC"/>
    <w:rsid w:val="27483408"/>
    <w:rsid w:val="27486FCC"/>
    <w:rsid w:val="2748A305"/>
    <w:rsid w:val="2748C797"/>
    <w:rsid w:val="274CE56F"/>
    <w:rsid w:val="274D2615"/>
    <w:rsid w:val="274E2603"/>
    <w:rsid w:val="274FD236"/>
    <w:rsid w:val="2750D79A"/>
    <w:rsid w:val="27512EC9"/>
    <w:rsid w:val="27568589"/>
    <w:rsid w:val="2756881C"/>
    <w:rsid w:val="275840A7"/>
    <w:rsid w:val="275985A9"/>
    <w:rsid w:val="275A1210"/>
    <w:rsid w:val="275B1AD1"/>
    <w:rsid w:val="275CAAD2"/>
    <w:rsid w:val="275CAC78"/>
    <w:rsid w:val="275CE365"/>
    <w:rsid w:val="275DE3E4"/>
    <w:rsid w:val="275FFF65"/>
    <w:rsid w:val="2761EA43"/>
    <w:rsid w:val="2762B063"/>
    <w:rsid w:val="2765FA69"/>
    <w:rsid w:val="2767040F"/>
    <w:rsid w:val="2768EADE"/>
    <w:rsid w:val="27697F4A"/>
    <w:rsid w:val="2769E9FE"/>
    <w:rsid w:val="276A1D33"/>
    <w:rsid w:val="276C81FB"/>
    <w:rsid w:val="276D8CE4"/>
    <w:rsid w:val="276EC3CD"/>
    <w:rsid w:val="2770B513"/>
    <w:rsid w:val="2771AAFF"/>
    <w:rsid w:val="2772C9F4"/>
    <w:rsid w:val="2773B25B"/>
    <w:rsid w:val="2775B801"/>
    <w:rsid w:val="2776C4C2"/>
    <w:rsid w:val="27774536"/>
    <w:rsid w:val="27789C6E"/>
    <w:rsid w:val="277A0F3C"/>
    <w:rsid w:val="277B886D"/>
    <w:rsid w:val="277D08AC"/>
    <w:rsid w:val="277EE531"/>
    <w:rsid w:val="277FEBBD"/>
    <w:rsid w:val="2782A3AD"/>
    <w:rsid w:val="2784F823"/>
    <w:rsid w:val="278A0A69"/>
    <w:rsid w:val="278C5C99"/>
    <w:rsid w:val="278D7892"/>
    <w:rsid w:val="278E655D"/>
    <w:rsid w:val="27937007"/>
    <w:rsid w:val="2793EDEA"/>
    <w:rsid w:val="2797B14B"/>
    <w:rsid w:val="2797C9FA"/>
    <w:rsid w:val="27995005"/>
    <w:rsid w:val="279A6EFD"/>
    <w:rsid w:val="279B6987"/>
    <w:rsid w:val="279D84F3"/>
    <w:rsid w:val="279F9B92"/>
    <w:rsid w:val="27A08B90"/>
    <w:rsid w:val="27A24266"/>
    <w:rsid w:val="27A24398"/>
    <w:rsid w:val="27A5A4E2"/>
    <w:rsid w:val="27A68071"/>
    <w:rsid w:val="27A8449E"/>
    <w:rsid w:val="27A8574B"/>
    <w:rsid w:val="27A8744F"/>
    <w:rsid w:val="27A907A2"/>
    <w:rsid w:val="27AC3D66"/>
    <w:rsid w:val="27ADDA0F"/>
    <w:rsid w:val="27B081DE"/>
    <w:rsid w:val="27B0899B"/>
    <w:rsid w:val="27B10D50"/>
    <w:rsid w:val="27B1EF95"/>
    <w:rsid w:val="27B57335"/>
    <w:rsid w:val="27B6ADB6"/>
    <w:rsid w:val="27BB4DEF"/>
    <w:rsid w:val="27BC7CEC"/>
    <w:rsid w:val="27BCB599"/>
    <w:rsid w:val="27BEC79B"/>
    <w:rsid w:val="27C1D99F"/>
    <w:rsid w:val="27C887EB"/>
    <w:rsid w:val="27C9B00E"/>
    <w:rsid w:val="27C9D4A7"/>
    <w:rsid w:val="27CB8E65"/>
    <w:rsid w:val="27CC08F6"/>
    <w:rsid w:val="27CCA2F9"/>
    <w:rsid w:val="27CE4D18"/>
    <w:rsid w:val="27CED8ED"/>
    <w:rsid w:val="27CFD4F3"/>
    <w:rsid w:val="27CFFF9B"/>
    <w:rsid w:val="27D01418"/>
    <w:rsid w:val="27D18666"/>
    <w:rsid w:val="27D3C744"/>
    <w:rsid w:val="27D47E4A"/>
    <w:rsid w:val="27D49963"/>
    <w:rsid w:val="27D5621A"/>
    <w:rsid w:val="27D67C7B"/>
    <w:rsid w:val="27D6E1E9"/>
    <w:rsid w:val="27D767FF"/>
    <w:rsid w:val="27DC3D56"/>
    <w:rsid w:val="27DCD1C4"/>
    <w:rsid w:val="27DE7C4C"/>
    <w:rsid w:val="27DEC6BB"/>
    <w:rsid w:val="27DEDBAB"/>
    <w:rsid w:val="27DF9BAB"/>
    <w:rsid w:val="27E0D8F1"/>
    <w:rsid w:val="27E1527E"/>
    <w:rsid w:val="27E2205B"/>
    <w:rsid w:val="27E32DC8"/>
    <w:rsid w:val="27E38289"/>
    <w:rsid w:val="27E3854C"/>
    <w:rsid w:val="27E41F0F"/>
    <w:rsid w:val="27E63DF9"/>
    <w:rsid w:val="27E74D15"/>
    <w:rsid w:val="27E89DD1"/>
    <w:rsid w:val="27E9C9B5"/>
    <w:rsid w:val="27E9FF48"/>
    <w:rsid w:val="27EADD4C"/>
    <w:rsid w:val="27EC0843"/>
    <w:rsid w:val="27EE2EFE"/>
    <w:rsid w:val="27EE682B"/>
    <w:rsid w:val="27EEC092"/>
    <w:rsid w:val="27EEF33F"/>
    <w:rsid w:val="27F0B862"/>
    <w:rsid w:val="27F23B1D"/>
    <w:rsid w:val="27F2AD6B"/>
    <w:rsid w:val="27F34BFB"/>
    <w:rsid w:val="27F69E2C"/>
    <w:rsid w:val="27FA3D71"/>
    <w:rsid w:val="27FB7A9C"/>
    <w:rsid w:val="27FDED74"/>
    <w:rsid w:val="27FE7A13"/>
    <w:rsid w:val="280489AE"/>
    <w:rsid w:val="280565D0"/>
    <w:rsid w:val="28085E28"/>
    <w:rsid w:val="280951C7"/>
    <w:rsid w:val="280D39E2"/>
    <w:rsid w:val="28101144"/>
    <w:rsid w:val="2810C412"/>
    <w:rsid w:val="28127736"/>
    <w:rsid w:val="2812C5F0"/>
    <w:rsid w:val="2814E8DE"/>
    <w:rsid w:val="28157150"/>
    <w:rsid w:val="28173846"/>
    <w:rsid w:val="281DD733"/>
    <w:rsid w:val="281FBB95"/>
    <w:rsid w:val="28200A6F"/>
    <w:rsid w:val="28201C0E"/>
    <w:rsid w:val="282452AD"/>
    <w:rsid w:val="28251311"/>
    <w:rsid w:val="28285175"/>
    <w:rsid w:val="2828CE0C"/>
    <w:rsid w:val="2828F157"/>
    <w:rsid w:val="28296BDA"/>
    <w:rsid w:val="282A91FE"/>
    <w:rsid w:val="282B072C"/>
    <w:rsid w:val="2832E8F4"/>
    <w:rsid w:val="2833767D"/>
    <w:rsid w:val="28338F07"/>
    <w:rsid w:val="283BD9C1"/>
    <w:rsid w:val="283C728F"/>
    <w:rsid w:val="283C9CEB"/>
    <w:rsid w:val="283CA7BE"/>
    <w:rsid w:val="283D5301"/>
    <w:rsid w:val="283E994F"/>
    <w:rsid w:val="283F2A97"/>
    <w:rsid w:val="283F960B"/>
    <w:rsid w:val="28410D38"/>
    <w:rsid w:val="28446EA4"/>
    <w:rsid w:val="28447F30"/>
    <w:rsid w:val="2844AE51"/>
    <w:rsid w:val="2845FFE9"/>
    <w:rsid w:val="28468C9C"/>
    <w:rsid w:val="284782A3"/>
    <w:rsid w:val="284C4B0E"/>
    <w:rsid w:val="284E40A8"/>
    <w:rsid w:val="284F3169"/>
    <w:rsid w:val="284F8430"/>
    <w:rsid w:val="284FD49A"/>
    <w:rsid w:val="28506DEE"/>
    <w:rsid w:val="2851C1B2"/>
    <w:rsid w:val="2852DF5A"/>
    <w:rsid w:val="285396B5"/>
    <w:rsid w:val="28540715"/>
    <w:rsid w:val="285422EC"/>
    <w:rsid w:val="28546A11"/>
    <w:rsid w:val="28595CCB"/>
    <w:rsid w:val="2859F2AF"/>
    <w:rsid w:val="285E46D4"/>
    <w:rsid w:val="285FEC66"/>
    <w:rsid w:val="2860463A"/>
    <w:rsid w:val="28628F77"/>
    <w:rsid w:val="286475E4"/>
    <w:rsid w:val="2866C696"/>
    <w:rsid w:val="2867F042"/>
    <w:rsid w:val="286835DC"/>
    <w:rsid w:val="2868B6E6"/>
    <w:rsid w:val="286A3A03"/>
    <w:rsid w:val="286B11A2"/>
    <w:rsid w:val="286B7E73"/>
    <w:rsid w:val="286CD388"/>
    <w:rsid w:val="286FD21A"/>
    <w:rsid w:val="2873106E"/>
    <w:rsid w:val="28732DA6"/>
    <w:rsid w:val="28736B95"/>
    <w:rsid w:val="28751C86"/>
    <w:rsid w:val="28753E71"/>
    <w:rsid w:val="2876349C"/>
    <w:rsid w:val="287658F7"/>
    <w:rsid w:val="2876D10A"/>
    <w:rsid w:val="28780BFD"/>
    <w:rsid w:val="2878E7D9"/>
    <w:rsid w:val="28797C3F"/>
    <w:rsid w:val="287D7C15"/>
    <w:rsid w:val="28802681"/>
    <w:rsid w:val="28815E7B"/>
    <w:rsid w:val="28825705"/>
    <w:rsid w:val="28833AEA"/>
    <w:rsid w:val="288392C2"/>
    <w:rsid w:val="2883D269"/>
    <w:rsid w:val="28843A37"/>
    <w:rsid w:val="28848FB6"/>
    <w:rsid w:val="28854370"/>
    <w:rsid w:val="2885773F"/>
    <w:rsid w:val="28873CF6"/>
    <w:rsid w:val="28898078"/>
    <w:rsid w:val="28898559"/>
    <w:rsid w:val="288A18DE"/>
    <w:rsid w:val="288A7731"/>
    <w:rsid w:val="288BDB85"/>
    <w:rsid w:val="288DCBB1"/>
    <w:rsid w:val="2892509A"/>
    <w:rsid w:val="2892FE9B"/>
    <w:rsid w:val="28947ACB"/>
    <w:rsid w:val="2895DCF0"/>
    <w:rsid w:val="28970784"/>
    <w:rsid w:val="2897C07D"/>
    <w:rsid w:val="2898F3D9"/>
    <w:rsid w:val="289A42B1"/>
    <w:rsid w:val="289B3A21"/>
    <w:rsid w:val="289BCA82"/>
    <w:rsid w:val="289C43E9"/>
    <w:rsid w:val="289DF92F"/>
    <w:rsid w:val="289FAF94"/>
    <w:rsid w:val="28A279AD"/>
    <w:rsid w:val="28A2A9EF"/>
    <w:rsid w:val="28A3376A"/>
    <w:rsid w:val="28A5B2A0"/>
    <w:rsid w:val="28ABAA04"/>
    <w:rsid w:val="28AF3919"/>
    <w:rsid w:val="28AF5B02"/>
    <w:rsid w:val="28B051C5"/>
    <w:rsid w:val="28B0905B"/>
    <w:rsid w:val="28B0D86A"/>
    <w:rsid w:val="28B18EDA"/>
    <w:rsid w:val="28B4A74A"/>
    <w:rsid w:val="28B4E4CA"/>
    <w:rsid w:val="28B5F3FF"/>
    <w:rsid w:val="28B62297"/>
    <w:rsid w:val="28B62930"/>
    <w:rsid w:val="28B742EF"/>
    <w:rsid w:val="28BAC851"/>
    <w:rsid w:val="28BB30E3"/>
    <w:rsid w:val="28BCC404"/>
    <w:rsid w:val="28BD400F"/>
    <w:rsid w:val="28BD825E"/>
    <w:rsid w:val="28BF0552"/>
    <w:rsid w:val="28BFC52E"/>
    <w:rsid w:val="28C01978"/>
    <w:rsid w:val="28C75536"/>
    <w:rsid w:val="28C804D3"/>
    <w:rsid w:val="28C842B0"/>
    <w:rsid w:val="28C9C7EC"/>
    <w:rsid w:val="28C9DB16"/>
    <w:rsid w:val="28CA2309"/>
    <w:rsid w:val="28CC09EB"/>
    <w:rsid w:val="28CC90ED"/>
    <w:rsid w:val="28CE8F70"/>
    <w:rsid w:val="28CEC968"/>
    <w:rsid w:val="28CFEA77"/>
    <w:rsid w:val="28D0218D"/>
    <w:rsid w:val="28D13E04"/>
    <w:rsid w:val="28D15BEA"/>
    <w:rsid w:val="28D26D57"/>
    <w:rsid w:val="28D4B049"/>
    <w:rsid w:val="28D951D6"/>
    <w:rsid w:val="28DA77B9"/>
    <w:rsid w:val="28DB2A59"/>
    <w:rsid w:val="28DE0934"/>
    <w:rsid w:val="28E0536A"/>
    <w:rsid w:val="28E1629C"/>
    <w:rsid w:val="28E183A6"/>
    <w:rsid w:val="28E198AF"/>
    <w:rsid w:val="28E28CDB"/>
    <w:rsid w:val="28E45998"/>
    <w:rsid w:val="28E5CE4B"/>
    <w:rsid w:val="28E80CBF"/>
    <w:rsid w:val="28E91D61"/>
    <w:rsid w:val="28E9C707"/>
    <w:rsid w:val="28EB1F68"/>
    <w:rsid w:val="28EF7891"/>
    <w:rsid w:val="28F05F97"/>
    <w:rsid w:val="28F1D289"/>
    <w:rsid w:val="28F4C89D"/>
    <w:rsid w:val="28F7D24B"/>
    <w:rsid w:val="28FB85BA"/>
    <w:rsid w:val="28FB86ED"/>
    <w:rsid w:val="28FD07DA"/>
    <w:rsid w:val="28FD5962"/>
    <w:rsid w:val="28FEDF29"/>
    <w:rsid w:val="28FFCB93"/>
    <w:rsid w:val="29003085"/>
    <w:rsid w:val="2902268A"/>
    <w:rsid w:val="2902EF21"/>
    <w:rsid w:val="29039A7E"/>
    <w:rsid w:val="2904ED7F"/>
    <w:rsid w:val="29068F6A"/>
    <w:rsid w:val="290842E4"/>
    <w:rsid w:val="29086251"/>
    <w:rsid w:val="290D13E8"/>
    <w:rsid w:val="290F5D51"/>
    <w:rsid w:val="290F8B95"/>
    <w:rsid w:val="290FE1F3"/>
    <w:rsid w:val="29117C6E"/>
    <w:rsid w:val="2916661C"/>
    <w:rsid w:val="29175BF9"/>
    <w:rsid w:val="291A13FB"/>
    <w:rsid w:val="291A2FCC"/>
    <w:rsid w:val="291AAF84"/>
    <w:rsid w:val="291E16DA"/>
    <w:rsid w:val="291E94E2"/>
    <w:rsid w:val="291ED228"/>
    <w:rsid w:val="291ED4D4"/>
    <w:rsid w:val="291F04C0"/>
    <w:rsid w:val="29208104"/>
    <w:rsid w:val="292446C8"/>
    <w:rsid w:val="292535C0"/>
    <w:rsid w:val="29268077"/>
    <w:rsid w:val="29268F47"/>
    <w:rsid w:val="29284A9D"/>
    <w:rsid w:val="292B4E4E"/>
    <w:rsid w:val="292D9A36"/>
    <w:rsid w:val="292EBCBD"/>
    <w:rsid w:val="292F1553"/>
    <w:rsid w:val="2931239B"/>
    <w:rsid w:val="2933056F"/>
    <w:rsid w:val="2934E8CC"/>
    <w:rsid w:val="29357828"/>
    <w:rsid w:val="2936159A"/>
    <w:rsid w:val="29396ABB"/>
    <w:rsid w:val="293BC300"/>
    <w:rsid w:val="293C55D3"/>
    <w:rsid w:val="293D088C"/>
    <w:rsid w:val="293E868A"/>
    <w:rsid w:val="293FCDAA"/>
    <w:rsid w:val="29404A08"/>
    <w:rsid w:val="29425046"/>
    <w:rsid w:val="2942EF5D"/>
    <w:rsid w:val="2943400D"/>
    <w:rsid w:val="294508B8"/>
    <w:rsid w:val="2947A7AF"/>
    <w:rsid w:val="2948B4B8"/>
    <w:rsid w:val="294A2080"/>
    <w:rsid w:val="294B1711"/>
    <w:rsid w:val="294BB14F"/>
    <w:rsid w:val="294BDC2D"/>
    <w:rsid w:val="294CEC12"/>
    <w:rsid w:val="29506800"/>
    <w:rsid w:val="29517FF8"/>
    <w:rsid w:val="295222D4"/>
    <w:rsid w:val="29524DDE"/>
    <w:rsid w:val="29526EEE"/>
    <w:rsid w:val="29529D65"/>
    <w:rsid w:val="2953DBCB"/>
    <w:rsid w:val="29556805"/>
    <w:rsid w:val="2955EDD6"/>
    <w:rsid w:val="2956A79E"/>
    <w:rsid w:val="29574687"/>
    <w:rsid w:val="2958C190"/>
    <w:rsid w:val="295BBD91"/>
    <w:rsid w:val="295FBFF4"/>
    <w:rsid w:val="296388EE"/>
    <w:rsid w:val="2963F19A"/>
    <w:rsid w:val="2965348E"/>
    <w:rsid w:val="2965DD01"/>
    <w:rsid w:val="29680BE1"/>
    <w:rsid w:val="29698037"/>
    <w:rsid w:val="296DE18D"/>
    <w:rsid w:val="296F17EE"/>
    <w:rsid w:val="297311B7"/>
    <w:rsid w:val="29736836"/>
    <w:rsid w:val="29751213"/>
    <w:rsid w:val="297B8548"/>
    <w:rsid w:val="297D7EA3"/>
    <w:rsid w:val="297D864F"/>
    <w:rsid w:val="297F4D57"/>
    <w:rsid w:val="2980725F"/>
    <w:rsid w:val="2982D493"/>
    <w:rsid w:val="2984CDE4"/>
    <w:rsid w:val="298656CA"/>
    <w:rsid w:val="29873166"/>
    <w:rsid w:val="29874584"/>
    <w:rsid w:val="298AD5BD"/>
    <w:rsid w:val="298CE7F2"/>
    <w:rsid w:val="298CF0F0"/>
    <w:rsid w:val="29911914"/>
    <w:rsid w:val="2991686A"/>
    <w:rsid w:val="2991CB56"/>
    <w:rsid w:val="2994AA6E"/>
    <w:rsid w:val="2995BB5C"/>
    <w:rsid w:val="2995E79E"/>
    <w:rsid w:val="29960C51"/>
    <w:rsid w:val="299647CC"/>
    <w:rsid w:val="299677F5"/>
    <w:rsid w:val="2996D0AE"/>
    <w:rsid w:val="2996F55B"/>
    <w:rsid w:val="29976FF0"/>
    <w:rsid w:val="2998E6F9"/>
    <w:rsid w:val="299A9A3F"/>
    <w:rsid w:val="299C8A6F"/>
    <w:rsid w:val="299DB3EC"/>
    <w:rsid w:val="299E3632"/>
    <w:rsid w:val="299E3F7A"/>
    <w:rsid w:val="299FD4ED"/>
    <w:rsid w:val="29A0D28F"/>
    <w:rsid w:val="29A5620D"/>
    <w:rsid w:val="29A73C6D"/>
    <w:rsid w:val="29AE2497"/>
    <w:rsid w:val="29AE58EB"/>
    <w:rsid w:val="29B34D81"/>
    <w:rsid w:val="29B47E82"/>
    <w:rsid w:val="29B5ACC8"/>
    <w:rsid w:val="29BA4F2F"/>
    <w:rsid w:val="29BA9E88"/>
    <w:rsid w:val="29BBAF88"/>
    <w:rsid w:val="29BCD379"/>
    <w:rsid w:val="29BD69A8"/>
    <w:rsid w:val="29BF695A"/>
    <w:rsid w:val="29C1416A"/>
    <w:rsid w:val="29C2D7BA"/>
    <w:rsid w:val="29C53CE7"/>
    <w:rsid w:val="29C69086"/>
    <w:rsid w:val="29C6CED4"/>
    <w:rsid w:val="29C85730"/>
    <w:rsid w:val="29C8CBF4"/>
    <w:rsid w:val="29CA14CE"/>
    <w:rsid w:val="29CB803B"/>
    <w:rsid w:val="29CC990C"/>
    <w:rsid w:val="29CD1344"/>
    <w:rsid w:val="29CD480E"/>
    <w:rsid w:val="29CD7F5D"/>
    <w:rsid w:val="29CE3436"/>
    <w:rsid w:val="29CFEBDD"/>
    <w:rsid w:val="29D30F1E"/>
    <w:rsid w:val="29D31909"/>
    <w:rsid w:val="29D3E90D"/>
    <w:rsid w:val="29DD8AA5"/>
    <w:rsid w:val="29DDCB89"/>
    <w:rsid w:val="29DE02AB"/>
    <w:rsid w:val="29DE4DC4"/>
    <w:rsid w:val="29DE8D10"/>
    <w:rsid w:val="29E0A350"/>
    <w:rsid w:val="29E0BF0E"/>
    <w:rsid w:val="29E304A0"/>
    <w:rsid w:val="29E3D520"/>
    <w:rsid w:val="29E3E010"/>
    <w:rsid w:val="29E4541F"/>
    <w:rsid w:val="29E57676"/>
    <w:rsid w:val="29E57D5B"/>
    <w:rsid w:val="29E667AC"/>
    <w:rsid w:val="29E70F76"/>
    <w:rsid w:val="29E786A0"/>
    <w:rsid w:val="29EB6D7C"/>
    <w:rsid w:val="29EC4F62"/>
    <w:rsid w:val="29ECF93F"/>
    <w:rsid w:val="29ED03DB"/>
    <w:rsid w:val="29EEE430"/>
    <w:rsid w:val="29EF78EA"/>
    <w:rsid w:val="29EFE152"/>
    <w:rsid w:val="29F111F4"/>
    <w:rsid w:val="29F23C1E"/>
    <w:rsid w:val="29F25136"/>
    <w:rsid w:val="29F25F06"/>
    <w:rsid w:val="29F266B2"/>
    <w:rsid w:val="29F27867"/>
    <w:rsid w:val="29F62215"/>
    <w:rsid w:val="29F83428"/>
    <w:rsid w:val="29F8D331"/>
    <w:rsid w:val="29FFFA8B"/>
    <w:rsid w:val="2A00DF21"/>
    <w:rsid w:val="2A016EE2"/>
    <w:rsid w:val="2A01A8BE"/>
    <w:rsid w:val="2A0545A2"/>
    <w:rsid w:val="2A05CBEA"/>
    <w:rsid w:val="2A05D7C3"/>
    <w:rsid w:val="2A05F39A"/>
    <w:rsid w:val="2A062BB9"/>
    <w:rsid w:val="2A080610"/>
    <w:rsid w:val="2A09D873"/>
    <w:rsid w:val="2A0B2452"/>
    <w:rsid w:val="2A0BD8AB"/>
    <w:rsid w:val="2A0C6D53"/>
    <w:rsid w:val="2A0D3E94"/>
    <w:rsid w:val="2A0DCA40"/>
    <w:rsid w:val="2A0E84D3"/>
    <w:rsid w:val="2A0F3D1B"/>
    <w:rsid w:val="2A0F45CB"/>
    <w:rsid w:val="2A0F7965"/>
    <w:rsid w:val="2A119E94"/>
    <w:rsid w:val="2A1221C3"/>
    <w:rsid w:val="2A156A62"/>
    <w:rsid w:val="2A157EAF"/>
    <w:rsid w:val="2A15DFFC"/>
    <w:rsid w:val="2A1693AF"/>
    <w:rsid w:val="2A16A4FE"/>
    <w:rsid w:val="2A17BE19"/>
    <w:rsid w:val="2A188BD4"/>
    <w:rsid w:val="2A1937BD"/>
    <w:rsid w:val="2A1A05CD"/>
    <w:rsid w:val="2A1A66F1"/>
    <w:rsid w:val="2A1B077B"/>
    <w:rsid w:val="2A1C17E8"/>
    <w:rsid w:val="2A1C764C"/>
    <w:rsid w:val="2A1D72E4"/>
    <w:rsid w:val="2A1DE9EB"/>
    <w:rsid w:val="2A1EBD20"/>
    <w:rsid w:val="2A20E5B1"/>
    <w:rsid w:val="2A229F32"/>
    <w:rsid w:val="2A2358BD"/>
    <w:rsid w:val="2A236C8B"/>
    <w:rsid w:val="2A2422E4"/>
    <w:rsid w:val="2A26D81E"/>
    <w:rsid w:val="2A2A0251"/>
    <w:rsid w:val="2A2A3C81"/>
    <w:rsid w:val="2A2FA931"/>
    <w:rsid w:val="2A33242C"/>
    <w:rsid w:val="2A356963"/>
    <w:rsid w:val="2A369F58"/>
    <w:rsid w:val="2A3EFE61"/>
    <w:rsid w:val="2A42318C"/>
    <w:rsid w:val="2A43434A"/>
    <w:rsid w:val="2A446ED4"/>
    <w:rsid w:val="2A455358"/>
    <w:rsid w:val="2A45D3A0"/>
    <w:rsid w:val="2A47FE59"/>
    <w:rsid w:val="2A49B25E"/>
    <w:rsid w:val="2A4BC36D"/>
    <w:rsid w:val="2A4C031E"/>
    <w:rsid w:val="2A4C5B9C"/>
    <w:rsid w:val="2A4DDDC4"/>
    <w:rsid w:val="2A4E25C1"/>
    <w:rsid w:val="2A4EAD09"/>
    <w:rsid w:val="2A4F696A"/>
    <w:rsid w:val="2A51C41D"/>
    <w:rsid w:val="2A53C9FB"/>
    <w:rsid w:val="2A54D151"/>
    <w:rsid w:val="2A57ADAE"/>
    <w:rsid w:val="2A59B13B"/>
    <w:rsid w:val="2A5B4D39"/>
    <w:rsid w:val="2A5B8C07"/>
    <w:rsid w:val="2A5C9755"/>
    <w:rsid w:val="2A5CB167"/>
    <w:rsid w:val="2A5F6D3F"/>
    <w:rsid w:val="2A61DB3C"/>
    <w:rsid w:val="2A62B17F"/>
    <w:rsid w:val="2A647843"/>
    <w:rsid w:val="2A654C9A"/>
    <w:rsid w:val="2A667FD5"/>
    <w:rsid w:val="2A6A8C97"/>
    <w:rsid w:val="2A6AF899"/>
    <w:rsid w:val="2A6B83ED"/>
    <w:rsid w:val="2A6CBB00"/>
    <w:rsid w:val="2A6F8AF0"/>
    <w:rsid w:val="2A7188A5"/>
    <w:rsid w:val="2A72AD62"/>
    <w:rsid w:val="2A754F26"/>
    <w:rsid w:val="2A766D50"/>
    <w:rsid w:val="2A78D57E"/>
    <w:rsid w:val="2A7A3387"/>
    <w:rsid w:val="2A7A9653"/>
    <w:rsid w:val="2A7F347D"/>
    <w:rsid w:val="2A7F7475"/>
    <w:rsid w:val="2A818773"/>
    <w:rsid w:val="2A83B468"/>
    <w:rsid w:val="2A83F3F9"/>
    <w:rsid w:val="2A857C29"/>
    <w:rsid w:val="2A88AF4D"/>
    <w:rsid w:val="2A8A9316"/>
    <w:rsid w:val="2A8B48F2"/>
    <w:rsid w:val="2A8D4BA1"/>
    <w:rsid w:val="2A8D8919"/>
    <w:rsid w:val="2A8D9913"/>
    <w:rsid w:val="2A8DA72C"/>
    <w:rsid w:val="2A8F17AD"/>
    <w:rsid w:val="2A8F66CC"/>
    <w:rsid w:val="2A90132E"/>
    <w:rsid w:val="2A91178D"/>
    <w:rsid w:val="2A9130FE"/>
    <w:rsid w:val="2A919869"/>
    <w:rsid w:val="2A928662"/>
    <w:rsid w:val="2A97DA72"/>
    <w:rsid w:val="2A9AC87D"/>
    <w:rsid w:val="2A9B486F"/>
    <w:rsid w:val="2A9C3418"/>
    <w:rsid w:val="2AA04F25"/>
    <w:rsid w:val="2AA59CBF"/>
    <w:rsid w:val="2AA8EF39"/>
    <w:rsid w:val="2AA95987"/>
    <w:rsid w:val="2AAC1539"/>
    <w:rsid w:val="2AAC95F0"/>
    <w:rsid w:val="2AACF4C4"/>
    <w:rsid w:val="2AADB382"/>
    <w:rsid w:val="2AB075CB"/>
    <w:rsid w:val="2AB08B5F"/>
    <w:rsid w:val="2AB0E44E"/>
    <w:rsid w:val="2AB154A3"/>
    <w:rsid w:val="2AB17342"/>
    <w:rsid w:val="2AB4A278"/>
    <w:rsid w:val="2AB5C767"/>
    <w:rsid w:val="2AB6C122"/>
    <w:rsid w:val="2AB7CE43"/>
    <w:rsid w:val="2ABD4B68"/>
    <w:rsid w:val="2ABE412A"/>
    <w:rsid w:val="2ABFC596"/>
    <w:rsid w:val="2AC2C050"/>
    <w:rsid w:val="2AC39B8C"/>
    <w:rsid w:val="2AC4AD1E"/>
    <w:rsid w:val="2AC5A2F4"/>
    <w:rsid w:val="2AC693F5"/>
    <w:rsid w:val="2AC951A7"/>
    <w:rsid w:val="2ACD4B98"/>
    <w:rsid w:val="2ACD9C6C"/>
    <w:rsid w:val="2AD1366F"/>
    <w:rsid w:val="2AD1973C"/>
    <w:rsid w:val="2AD211C3"/>
    <w:rsid w:val="2AD25948"/>
    <w:rsid w:val="2AD33519"/>
    <w:rsid w:val="2AD53C6B"/>
    <w:rsid w:val="2AD75C70"/>
    <w:rsid w:val="2AD97DE4"/>
    <w:rsid w:val="2AD9EF7E"/>
    <w:rsid w:val="2ADB9447"/>
    <w:rsid w:val="2ADCD49D"/>
    <w:rsid w:val="2AE0E63C"/>
    <w:rsid w:val="2AE2BEAC"/>
    <w:rsid w:val="2AE475DF"/>
    <w:rsid w:val="2AE6279A"/>
    <w:rsid w:val="2AE6A3CE"/>
    <w:rsid w:val="2AE7B375"/>
    <w:rsid w:val="2AEA2A4B"/>
    <w:rsid w:val="2AEB8825"/>
    <w:rsid w:val="2AEE0AEA"/>
    <w:rsid w:val="2AF09B05"/>
    <w:rsid w:val="2AF133BE"/>
    <w:rsid w:val="2AF1A84A"/>
    <w:rsid w:val="2AF3443A"/>
    <w:rsid w:val="2AF5B258"/>
    <w:rsid w:val="2AF5DCC1"/>
    <w:rsid w:val="2AF61DC1"/>
    <w:rsid w:val="2AF65B48"/>
    <w:rsid w:val="2AF871A2"/>
    <w:rsid w:val="2AF9F439"/>
    <w:rsid w:val="2AFB5F2A"/>
    <w:rsid w:val="2AFB9F65"/>
    <w:rsid w:val="2AFDF5E7"/>
    <w:rsid w:val="2B009833"/>
    <w:rsid w:val="2B011545"/>
    <w:rsid w:val="2B0241AF"/>
    <w:rsid w:val="2B045ADB"/>
    <w:rsid w:val="2B04805A"/>
    <w:rsid w:val="2B0617E1"/>
    <w:rsid w:val="2B0850F5"/>
    <w:rsid w:val="2B08A40D"/>
    <w:rsid w:val="2B0C559A"/>
    <w:rsid w:val="2B0E38E0"/>
    <w:rsid w:val="2B10B323"/>
    <w:rsid w:val="2B11506B"/>
    <w:rsid w:val="2B1161AB"/>
    <w:rsid w:val="2B131B0C"/>
    <w:rsid w:val="2B148B26"/>
    <w:rsid w:val="2B1A9D86"/>
    <w:rsid w:val="2B1C6263"/>
    <w:rsid w:val="2B1F33D7"/>
    <w:rsid w:val="2B1F8F33"/>
    <w:rsid w:val="2B1FEABD"/>
    <w:rsid w:val="2B2163AA"/>
    <w:rsid w:val="2B236114"/>
    <w:rsid w:val="2B239E1A"/>
    <w:rsid w:val="2B23FB9F"/>
    <w:rsid w:val="2B2653F8"/>
    <w:rsid w:val="2B266D1D"/>
    <w:rsid w:val="2B272E22"/>
    <w:rsid w:val="2B27FB83"/>
    <w:rsid w:val="2B2A5D92"/>
    <w:rsid w:val="2B2BBF58"/>
    <w:rsid w:val="2B2C1EBF"/>
    <w:rsid w:val="2B2E4B58"/>
    <w:rsid w:val="2B3068AA"/>
    <w:rsid w:val="2B32784D"/>
    <w:rsid w:val="2B329293"/>
    <w:rsid w:val="2B32C186"/>
    <w:rsid w:val="2B33D820"/>
    <w:rsid w:val="2B352E61"/>
    <w:rsid w:val="2B3660F4"/>
    <w:rsid w:val="2B3729D6"/>
    <w:rsid w:val="2B3B48B5"/>
    <w:rsid w:val="2B3C8BFC"/>
    <w:rsid w:val="2B3D394D"/>
    <w:rsid w:val="2B3D629C"/>
    <w:rsid w:val="2B3D804E"/>
    <w:rsid w:val="2B4123E0"/>
    <w:rsid w:val="2B42F96B"/>
    <w:rsid w:val="2B43208E"/>
    <w:rsid w:val="2B4336CE"/>
    <w:rsid w:val="2B454083"/>
    <w:rsid w:val="2B45B1ED"/>
    <w:rsid w:val="2B4639B5"/>
    <w:rsid w:val="2B468DFF"/>
    <w:rsid w:val="2B475977"/>
    <w:rsid w:val="2B482542"/>
    <w:rsid w:val="2B4B7D1A"/>
    <w:rsid w:val="2B4BADDD"/>
    <w:rsid w:val="2B4CB859"/>
    <w:rsid w:val="2B4CBAC3"/>
    <w:rsid w:val="2B4DF026"/>
    <w:rsid w:val="2B4E4F61"/>
    <w:rsid w:val="2B4EBB77"/>
    <w:rsid w:val="2B4F4D7E"/>
    <w:rsid w:val="2B50D6FF"/>
    <w:rsid w:val="2B53C2ED"/>
    <w:rsid w:val="2B57B2FE"/>
    <w:rsid w:val="2B57EB31"/>
    <w:rsid w:val="2B584F82"/>
    <w:rsid w:val="2B59C850"/>
    <w:rsid w:val="2B5BBC8C"/>
    <w:rsid w:val="2B5ED71C"/>
    <w:rsid w:val="2B5FA0BC"/>
    <w:rsid w:val="2B5FD244"/>
    <w:rsid w:val="2B6080E8"/>
    <w:rsid w:val="2B61FE1F"/>
    <w:rsid w:val="2B631497"/>
    <w:rsid w:val="2B631A3C"/>
    <w:rsid w:val="2B6330BC"/>
    <w:rsid w:val="2B63336B"/>
    <w:rsid w:val="2B6369E1"/>
    <w:rsid w:val="2B64A43B"/>
    <w:rsid w:val="2B656156"/>
    <w:rsid w:val="2B65D723"/>
    <w:rsid w:val="2B67B686"/>
    <w:rsid w:val="2B67F8D3"/>
    <w:rsid w:val="2B68BE6E"/>
    <w:rsid w:val="2B69A25E"/>
    <w:rsid w:val="2B6AF264"/>
    <w:rsid w:val="2B6DD8F2"/>
    <w:rsid w:val="2B6DDD91"/>
    <w:rsid w:val="2B6F2042"/>
    <w:rsid w:val="2B723ECD"/>
    <w:rsid w:val="2B73F822"/>
    <w:rsid w:val="2B7830E4"/>
    <w:rsid w:val="2B79BAA1"/>
    <w:rsid w:val="2B7A3249"/>
    <w:rsid w:val="2B7A6747"/>
    <w:rsid w:val="2B7B69E8"/>
    <w:rsid w:val="2B7BB668"/>
    <w:rsid w:val="2B7C0AEC"/>
    <w:rsid w:val="2B7C58DC"/>
    <w:rsid w:val="2B7E6624"/>
    <w:rsid w:val="2B82DFD7"/>
    <w:rsid w:val="2B8703E2"/>
    <w:rsid w:val="2B870BF6"/>
    <w:rsid w:val="2B88471A"/>
    <w:rsid w:val="2B897585"/>
    <w:rsid w:val="2B8AF3BB"/>
    <w:rsid w:val="2B8BA926"/>
    <w:rsid w:val="2B8CB45C"/>
    <w:rsid w:val="2B8F8963"/>
    <w:rsid w:val="2B8FCE6A"/>
    <w:rsid w:val="2B90D40E"/>
    <w:rsid w:val="2B932C38"/>
    <w:rsid w:val="2B93C13B"/>
    <w:rsid w:val="2B963623"/>
    <w:rsid w:val="2B9793A7"/>
    <w:rsid w:val="2B97CE30"/>
    <w:rsid w:val="2B997357"/>
    <w:rsid w:val="2B9A2C11"/>
    <w:rsid w:val="2B9AFA14"/>
    <w:rsid w:val="2B9BBA20"/>
    <w:rsid w:val="2BA006CD"/>
    <w:rsid w:val="2BA49D11"/>
    <w:rsid w:val="2BA5F045"/>
    <w:rsid w:val="2BA61887"/>
    <w:rsid w:val="2BA808D3"/>
    <w:rsid w:val="2BA94D7E"/>
    <w:rsid w:val="2BA9A069"/>
    <w:rsid w:val="2BA9A6EB"/>
    <w:rsid w:val="2BAA42D8"/>
    <w:rsid w:val="2BAAA570"/>
    <w:rsid w:val="2BAB30B6"/>
    <w:rsid w:val="2BAC9B07"/>
    <w:rsid w:val="2BB13C31"/>
    <w:rsid w:val="2BB216DA"/>
    <w:rsid w:val="2BB4B681"/>
    <w:rsid w:val="2BB5B0A0"/>
    <w:rsid w:val="2BB5D30E"/>
    <w:rsid w:val="2BB5E863"/>
    <w:rsid w:val="2BB63984"/>
    <w:rsid w:val="2BB87394"/>
    <w:rsid w:val="2BBA9917"/>
    <w:rsid w:val="2BBE5EDB"/>
    <w:rsid w:val="2BBFB48B"/>
    <w:rsid w:val="2BBFE940"/>
    <w:rsid w:val="2BBFFB2F"/>
    <w:rsid w:val="2BC096EC"/>
    <w:rsid w:val="2BC77503"/>
    <w:rsid w:val="2BC7BF08"/>
    <w:rsid w:val="2BC86D30"/>
    <w:rsid w:val="2BC9011D"/>
    <w:rsid w:val="2BCB2641"/>
    <w:rsid w:val="2BCC97EC"/>
    <w:rsid w:val="2BCD08BD"/>
    <w:rsid w:val="2BD16384"/>
    <w:rsid w:val="2BD19D76"/>
    <w:rsid w:val="2BD2944A"/>
    <w:rsid w:val="2BD42FC2"/>
    <w:rsid w:val="2BD5892E"/>
    <w:rsid w:val="2BD70F70"/>
    <w:rsid w:val="2BD9B10B"/>
    <w:rsid w:val="2BDC1B1F"/>
    <w:rsid w:val="2BDC71DB"/>
    <w:rsid w:val="2BDC7E2B"/>
    <w:rsid w:val="2BDEB3EF"/>
    <w:rsid w:val="2BDEFB0F"/>
    <w:rsid w:val="2BDFDB6B"/>
    <w:rsid w:val="2BE26E88"/>
    <w:rsid w:val="2BE2B2B9"/>
    <w:rsid w:val="2BE32674"/>
    <w:rsid w:val="2BE34152"/>
    <w:rsid w:val="2BE91F3C"/>
    <w:rsid w:val="2BE9314E"/>
    <w:rsid w:val="2BED2FAD"/>
    <w:rsid w:val="2BED6133"/>
    <w:rsid w:val="2BF3F958"/>
    <w:rsid w:val="2BF4B0DB"/>
    <w:rsid w:val="2BF59BEB"/>
    <w:rsid w:val="2BF61E5D"/>
    <w:rsid w:val="2BF63F70"/>
    <w:rsid w:val="2BF6AD9B"/>
    <w:rsid w:val="2BF94FB6"/>
    <w:rsid w:val="2BFA10E8"/>
    <w:rsid w:val="2BFD47EB"/>
    <w:rsid w:val="2BFD7B02"/>
    <w:rsid w:val="2BFE6DC3"/>
    <w:rsid w:val="2C00582B"/>
    <w:rsid w:val="2C024A45"/>
    <w:rsid w:val="2C02BAB4"/>
    <w:rsid w:val="2C05A617"/>
    <w:rsid w:val="2C069FB5"/>
    <w:rsid w:val="2C072328"/>
    <w:rsid w:val="2C07781F"/>
    <w:rsid w:val="2C09DC70"/>
    <w:rsid w:val="2C0D60E1"/>
    <w:rsid w:val="2C0E3A08"/>
    <w:rsid w:val="2C0E740C"/>
    <w:rsid w:val="2C115309"/>
    <w:rsid w:val="2C11BA26"/>
    <w:rsid w:val="2C11DB49"/>
    <w:rsid w:val="2C123733"/>
    <w:rsid w:val="2C128C75"/>
    <w:rsid w:val="2C12CCBA"/>
    <w:rsid w:val="2C14E93D"/>
    <w:rsid w:val="2C157076"/>
    <w:rsid w:val="2C17CAA1"/>
    <w:rsid w:val="2C17E34D"/>
    <w:rsid w:val="2C1916E0"/>
    <w:rsid w:val="2C1B6BEF"/>
    <w:rsid w:val="2C1E097B"/>
    <w:rsid w:val="2C1F56B8"/>
    <w:rsid w:val="2C204634"/>
    <w:rsid w:val="2C216FD2"/>
    <w:rsid w:val="2C2256C2"/>
    <w:rsid w:val="2C24582C"/>
    <w:rsid w:val="2C259895"/>
    <w:rsid w:val="2C260E1F"/>
    <w:rsid w:val="2C279795"/>
    <w:rsid w:val="2C27D1C5"/>
    <w:rsid w:val="2C288291"/>
    <w:rsid w:val="2C2A48F7"/>
    <w:rsid w:val="2C2B027F"/>
    <w:rsid w:val="2C2FACF3"/>
    <w:rsid w:val="2C30AFE0"/>
    <w:rsid w:val="2C32D45B"/>
    <w:rsid w:val="2C351FC9"/>
    <w:rsid w:val="2C362989"/>
    <w:rsid w:val="2C377649"/>
    <w:rsid w:val="2C37B154"/>
    <w:rsid w:val="2C38006F"/>
    <w:rsid w:val="2C392372"/>
    <w:rsid w:val="2C3A6A5B"/>
    <w:rsid w:val="2C3A9132"/>
    <w:rsid w:val="2C3B390D"/>
    <w:rsid w:val="2C3B66A4"/>
    <w:rsid w:val="2C3CE442"/>
    <w:rsid w:val="2C3E0C0F"/>
    <w:rsid w:val="2C3F14DA"/>
    <w:rsid w:val="2C3F8F6E"/>
    <w:rsid w:val="2C41755E"/>
    <w:rsid w:val="2C42496F"/>
    <w:rsid w:val="2C44ADF4"/>
    <w:rsid w:val="2C459B79"/>
    <w:rsid w:val="2C47FE1E"/>
    <w:rsid w:val="2C482866"/>
    <w:rsid w:val="2C49F6B2"/>
    <w:rsid w:val="2C4A49B2"/>
    <w:rsid w:val="2C4B83CD"/>
    <w:rsid w:val="2C4D0179"/>
    <w:rsid w:val="2C4D597E"/>
    <w:rsid w:val="2C4E12AF"/>
    <w:rsid w:val="2C50E59B"/>
    <w:rsid w:val="2C5211CA"/>
    <w:rsid w:val="2C542EBC"/>
    <w:rsid w:val="2C568D40"/>
    <w:rsid w:val="2C58359B"/>
    <w:rsid w:val="2C583915"/>
    <w:rsid w:val="2C5877A7"/>
    <w:rsid w:val="2C59F513"/>
    <w:rsid w:val="2C5ACB94"/>
    <w:rsid w:val="2C5B0D29"/>
    <w:rsid w:val="2C5BDD4A"/>
    <w:rsid w:val="2C5D1017"/>
    <w:rsid w:val="2C5D84D6"/>
    <w:rsid w:val="2C5E2E00"/>
    <w:rsid w:val="2C5F2B07"/>
    <w:rsid w:val="2C629CC4"/>
    <w:rsid w:val="2C64125F"/>
    <w:rsid w:val="2C649110"/>
    <w:rsid w:val="2C6580C3"/>
    <w:rsid w:val="2C66C42C"/>
    <w:rsid w:val="2C66C671"/>
    <w:rsid w:val="2C66E734"/>
    <w:rsid w:val="2C6AFB73"/>
    <w:rsid w:val="2C6B08DD"/>
    <w:rsid w:val="2C6D98F6"/>
    <w:rsid w:val="2C6DED65"/>
    <w:rsid w:val="2C6DF937"/>
    <w:rsid w:val="2C6FC2D2"/>
    <w:rsid w:val="2C731CD1"/>
    <w:rsid w:val="2C7553CE"/>
    <w:rsid w:val="2C755DB5"/>
    <w:rsid w:val="2C75D21C"/>
    <w:rsid w:val="2C75FCD1"/>
    <w:rsid w:val="2C770404"/>
    <w:rsid w:val="2C795E6B"/>
    <w:rsid w:val="2C7C330A"/>
    <w:rsid w:val="2C7FD823"/>
    <w:rsid w:val="2C80557A"/>
    <w:rsid w:val="2C8125DF"/>
    <w:rsid w:val="2C816931"/>
    <w:rsid w:val="2C83483C"/>
    <w:rsid w:val="2C857E87"/>
    <w:rsid w:val="2C8845D6"/>
    <w:rsid w:val="2C8B5ACA"/>
    <w:rsid w:val="2C8D581C"/>
    <w:rsid w:val="2C8DADCD"/>
    <w:rsid w:val="2C8F5E42"/>
    <w:rsid w:val="2C92D69E"/>
    <w:rsid w:val="2C94BC89"/>
    <w:rsid w:val="2C9654D3"/>
    <w:rsid w:val="2C96F5B5"/>
    <w:rsid w:val="2C988F61"/>
    <w:rsid w:val="2C997082"/>
    <w:rsid w:val="2C9B2D7A"/>
    <w:rsid w:val="2C9B9D46"/>
    <w:rsid w:val="2C9F01ED"/>
    <w:rsid w:val="2CA08C3D"/>
    <w:rsid w:val="2CA27AC3"/>
    <w:rsid w:val="2CA526A8"/>
    <w:rsid w:val="2CA88D38"/>
    <w:rsid w:val="2CAB13DB"/>
    <w:rsid w:val="2CAC4496"/>
    <w:rsid w:val="2CACC517"/>
    <w:rsid w:val="2CADA06C"/>
    <w:rsid w:val="2CADB9DC"/>
    <w:rsid w:val="2CADD70A"/>
    <w:rsid w:val="2CB03022"/>
    <w:rsid w:val="2CB24B2A"/>
    <w:rsid w:val="2CB283D4"/>
    <w:rsid w:val="2CB3BAD7"/>
    <w:rsid w:val="2CB59132"/>
    <w:rsid w:val="2CB61AB8"/>
    <w:rsid w:val="2CB85C33"/>
    <w:rsid w:val="2CBB7652"/>
    <w:rsid w:val="2CBB9CC4"/>
    <w:rsid w:val="2CBC6F34"/>
    <w:rsid w:val="2CBDF618"/>
    <w:rsid w:val="2CBE0218"/>
    <w:rsid w:val="2CBFADCF"/>
    <w:rsid w:val="2CBFC58D"/>
    <w:rsid w:val="2CC3AA8E"/>
    <w:rsid w:val="2CC49A19"/>
    <w:rsid w:val="2CC5CD30"/>
    <w:rsid w:val="2CC6215E"/>
    <w:rsid w:val="2CC8DCDA"/>
    <w:rsid w:val="2CC9A807"/>
    <w:rsid w:val="2CCCED33"/>
    <w:rsid w:val="2CCDB652"/>
    <w:rsid w:val="2CD0C39B"/>
    <w:rsid w:val="2CD2FDF0"/>
    <w:rsid w:val="2CD543A3"/>
    <w:rsid w:val="2CD77FBF"/>
    <w:rsid w:val="2CD995FC"/>
    <w:rsid w:val="2CDA249E"/>
    <w:rsid w:val="2CDD5B3E"/>
    <w:rsid w:val="2CDD9DCB"/>
    <w:rsid w:val="2CDDE606"/>
    <w:rsid w:val="2CDE0B0A"/>
    <w:rsid w:val="2CE1C80D"/>
    <w:rsid w:val="2CE32F73"/>
    <w:rsid w:val="2CE40963"/>
    <w:rsid w:val="2CE473E9"/>
    <w:rsid w:val="2CE4DA32"/>
    <w:rsid w:val="2CE5603C"/>
    <w:rsid w:val="2CE73D82"/>
    <w:rsid w:val="2CE822B7"/>
    <w:rsid w:val="2CED148B"/>
    <w:rsid w:val="2CEDC101"/>
    <w:rsid w:val="2CEF6103"/>
    <w:rsid w:val="2CF05DC1"/>
    <w:rsid w:val="2CF19904"/>
    <w:rsid w:val="2CF2DBBF"/>
    <w:rsid w:val="2CF2F962"/>
    <w:rsid w:val="2CF67024"/>
    <w:rsid w:val="2CF72639"/>
    <w:rsid w:val="2CF7266D"/>
    <w:rsid w:val="2CF87020"/>
    <w:rsid w:val="2CF93F6D"/>
    <w:rsid w:val="2CFDE653"/>
    <w:rsid w:val="2CFE10F5"/>
    <w:rsid w:val="2CFEAADF"/>
    <w:rsid w:val="2CFF6F31"/>
    <w:rsid w:val="2D00FD3B"/>
    <w:rsid w:val="2D019954"/>
    <w:rsid w:val="2D0309A4"/>
    <w:rsid w:val="2D0410B8"/>
    <w:rsid w:val="2D058A04"/>
    <w:rsid w:val="2D05C6D6"/>
    <w:rsid w:val="2D0809B6"/>
    <w:rsid w:val="2D082F51"/>
    <w:rsid w:val="2D08E901"/>
    <w:rsid w:val="2D0A3D9A"/>
    <w:rsid w:val="2D0A4F19"/>
    <w:rsid w:val="2D0E0D63"/>
    <w:rsid w:val="2D0E9941"/>
    <w:rsid w:val="2D0F2AD0"/>
    <w:rsid w:val="2D10F20E"/>
    <w:rsid w:val="2D117C37"/>
    <w:rsid w:val="2D124588"/>
    <w:rsid w:val="2D129CCD"/>
    <w:rsid w:val="2D1380E8"/>
    <w:rsid w:val="2D14B558"/>
    <w:rsid w:val="2D1BFAB8"/>
    <w:rsid w:val="2D2069AD"/>
    <w:rsid w:val="2D225605"/>
    <w:rsid w:val="2D228D40"/>
    <w:rsid w:val="2D22D0BA"/>
    <w:rsid w:val="2D233075"/>
    <w:rsid w:val="2D2491D7"/>
    <w:rsid w:val="2D26F76E"/>
    <w:rsid w:val="2D272B48"/>
    <w:rsid w:val="2D284074"/>
    <w:rsid w:val="2D293F33"/>
    <w:rsid w:val="2D299924"/>
    <w:rsid w:val="2D29F71D"/>
    <w:rsid w:val="2D30EFE3"/>
    <w:rsid w:val="2D360997"/>
    <w:rsid w:val="2D36B658"/>
    <w:rsid w:val="2D3906D1"/>
    <w:rsid w:val="2D391C72"/>
    <w:rsid w:val="2D3B2BA1"/>
    <w:rsid w:val="2D3BC8BD"/>
    <w:rsid w:val="2D3D3BA2"/>
    <w:rsid w:val="2D3D51B7"/>
    <w:rsid w:val="2D3D9788"/>
    <w:rsid w:val="2D3E6335"/>
    <w:rsid w:val="2D3EF1B4"/>
    <w:rsid w:val="2D40BCBB"/>
    <w:rsid w:val="2D42AC44"/>
    <w:rsid w:val="2D431B78"/>
    <w:rsid w:val="2D43AF24"/>
    <w:rsid w:val="2D447F46"/>
    <w:rsid w:val="2D461339"/>
    <w:rsid w:val="2D475E00"/>
    <w:rsid w:val="2D47F640"/>
    <w:rsid w:val="2D4A00D1"/>
    <w:rsid w:val="2D4AD44D"/>
    <w:rsid w:val="2D4B468F"/>
    <w:rsid w:val="2D4C7562"/>
    <w:rsid w:val="2D51FBD3"/>
    <w:rsid w:val="2D557B32"/>
    <w:rsid w:val="2D587D57"/>
    <w:rsid w:val="2D5985EC"/>
    <w:rsid w:val="2D5A6883"/>
    <w:rsid w:val="2D5C91BE"/>
    <w:rsid w:val="2D5D11E5"/>
    <w:rsid w:val="2D5D582A"/>
    <w:rsid w:val="2D5D985D"/>
    <w:rsid w:val="2D5E40EE"/>
    <w:rsid w:val="2D618776"/>
    <w:rsid w:val="2D643347"/>
    <w:rsid w:val="2D653C01"/>
    <w:rsid w:val="2D65B725"/>
    <w:rsid w:val="2D65CD43"/>
    <w:rsid w:val="2D65CDCF"/>
    <w:rsid w:val="2D6643F6"/>
    <w:rsid w:val="2D6BCB78"/>
    <w:rsid w:val="2D6BE49C"/>
    <w:rsid w:val="2D6DB2D7"/>
    <w:rsid w:val="2D6E62BC"/>
    <w:rsid w:val="2D6E8947"/>
    <w:rsid w:val="2D6FD8B8"/>
    <w:rsid w:val="2D711FBE"/>
    <w:rsid w:val="2D73A499"/>
    <w:rsid w:val="2D73A4DD"/>
    <w:rsid w:val="2D73F74E"/>
    <w:rsid w:val="2D747FA2"/>
    <w:rsid w:val="2D74A763"/>
    <w:rsid w:val="2D74DB12"/>
    <w:rsid w:val="2D7542E2"/>
    <w:rsid w:val="2D7794CC"/>
    <w:rsid w:val="2D8128E8"/>
    <w:rsid w:val="2D82FA2B"/>
    <w:rsid w:val="2D83B20B"/>
    <w:rsid w:val="2D8470DF"/>
    <w:rsid w:val="2D86A1F0"/>
    <w:rsid w:val="2D885CD4"/>
    <w:rsid w:val="2D895C5D"/>
    <w:rsid w:val="2D89E1C4"/>
    <w:rsid w:val="2D8A29CD"/>
    <w:rsid w:val="2D8AE5B2"/>
    <w:rsid w:val="2D8C82F1"/>
    <w:rsid w:val="2D8F8760"/>
    <w:rsid w:val="2D8FB606"/>
    <w:rsid w:val="2D91BE3A"/>
    <w:rsid w:val="2D934763"/>
    <w:rsid w:val="2D936C58"/>
    <w:rsid w:val="2D936D8F"/>
    <w:rsid w:val="2D94DD8E"/>
    <w:rsid w:val="2D95B42B"/>
    <w:rsid w:val="2D95B57F"/>
    <w:rsid w:val="2D965AC9"/>
    <w:rsid w:val="2D97DD23"/>
    <w:rsid w:val="2D99F097"/>
    <w:rsid w:val="2D9A19F9"/>
    <w:rsid w:val="2D9A1BEF"/>
    <w:rsid w:val="2D9A3CF2"/>
    <w:rsid w:val="2D9D7B08"/>
    <w:rsid w:val="2DA4840B"/>
    <w:rsid w:val="2DA76BD0"/>
    <w:rsid w:val="2DA8397C"/>
    <w:rsid w:val="2DA8DBB4"/>
    <w:rsid w:val="2DA98819"/>
    <w:rsid w:val="2DA9C073"/>
    <w:rsid w:val="2DAB0720"/>
    <w:rsid w:val="2DAC24E9"/>
    <w:rsid w:val="2DADD90D"/>
    <w:rsid w:val="2DAE19E8"/>
    <w:rsid w:val="2DAE27D4"/>
    <w:rsid w:val="2DAE6509"/>
    <w:rsid w:val="2DAF47DA"/>
    <w:rsid w:val="2DAFB9FA"/>
    <w:rsid w:val="2DB0B422"/>
    <w:rsid w:val="2DB12240"/>
    <w:rsid w:val="2DB35DE7"/>
    <w:rsid w:val="2DB5E74C"/>
    <w:rsid w:val="2DB6DC4E"/>
    <w:rsid w:val="2DB93521"/>
    <w:rsid w:val="2DB9CDA1"/>
    <w:rsid w:val="2DBA444F"/>
    <w:rsid w:val="2DBB4373"/>
    <w:rsid w:val="2DBBAFB1"/>
    <w:rsid w:val="2DBBE46F"/>
    <w:rsid w:val="2DBC004F"/>
    <w:rsid w:val="2DBD3371"/>
    <w:rsid w:val="2DBDD3D7"/>
    <w:rsid w:val="2DBDEFD8"/>
    <w:rsid w:val="2DBF51E2"/>
    <w:rsid w:val="2DC0282F"/>
    <w:rsid w:val="2DC299CC"/>
    <w:rsid w:val="2DC2F32D"/>
    <w:rsid w:val="2DC32D0D"/>
    <w:rsid w:val="2DC35BAB"/>
    <w:rsid w:val="2DC49106"/>
    <w:rsid w:val="2DC6A1CC"/>
    <w:rsid w:val="2DC6CD99"/>
    <w:rsid w:val="2DC75F99"/>
    <w:rsid w:val="2DC760C4"/>
    <w:rsid w:val="2DC80503"/>
    <w:rsid w:val="2DC860AA"/>
    <w:rsid w:val="2DC8C773"/>
    <w:rsid w:val="2DC8F621"/>
    <w:rsid w:val="2DCA353C"/>
    <w:rsid w:val="2DCA940C"/>
    <w:rsid w:val="2DCB1620"/>
    <w:rsid w:val="2DCC2B64"/>
    <w:rsid w:val="2DCDF1CC"/>
    <w:rsid w:val="2DCEC942"/>
    <w:rsid w:val="2DD0B379"/>
    <w:rsid w:val="2DD2D577"/>
    <w:rsid w:val="2DD32EEC"/>
    <w:rsid w:val="2DD5ADD0"/>
    <w:rsid w:val="2DD5FB2B"/>
    <w:rsid w:val="2DD8DF96"/>
    <w:rsid w:val="2DDAEABF"/>
    <w:rsid w:val="2DDBAB7D"/>
    <w:rsid w:val="2DDCAC9E"/>
    <w:rsid w:val="2DDD9A30"/>
    <w:rsid w:val="2DE070F6"/>
    <w:rsid w:val="2DE0B14B"/>
    <w:rsid w:val="2DE3E926"/>
    <w:rsid w:val="2DE6EA73"/>
    <w:rsid w:val="2DE789DB"/>
    <w:rsid w:val="2DE7D267"/>
    <w:rsid w:val="2DE81AD7"/>
    <w:rsid w:val="2DE82530"/>
    <w:rsid w:val="2DE97C99"/>
    <w:rsid w:val="2DEAE8EB"/>
    <w:rsid w:val="2DEB94C6"/>
    <w:rsid w:val="2DEBD4F4"/>
    <w:rsid w:val="2DECE839"/>
    <w:rsid w:val="2DED2ED8"/>
    <w:rsid w:val="2DEDE07D"/>
    <w:rsid w:val="2DEEBA64"/>
    <w:rsid w:val="2DEF0221"/>
    <w:rsid w:val="2DEF58DB"/>
    <w:rsid w:val="2DF11661"/>
    <w:rsid w:val="2DF15544"/>
    <w:rsid w:val="2DF2AE1C"/>
    <w:rsid w:val="2DF349B5"/>
    <w:rsid w:val="2DF387A0"/>
    <w:rsid w:val="2DF42636"/>
    <w:rsid w:val="2DF4EDBC"/>
    <w:rsid w:val="2DF88552"/>
    <w:rsid w:val="2E0245A5"/>
    <w:rsid w:val="2E0380FF"/>
    <w:rsid w:val="2E045F93"/>
    <w:rsid w:val="2E05C121"/>
    <w:rsid w:val="2E061082"/>
    <w:rsid w:val="2E064CD3"/>
    <w:rsid w:val="2E06F595"/>
    <w:rsid w:val="2E075FAD"/>
    <w:rsid w:val="2E076D27"/>
    <w:rsid w:val="2E07E6C7"/>
    <w:rsid w:val="2E082CBF"/>
    <w:rsid w:val="2E0F0889"/>
    <w:rsid w:val="2E1119AC"/>
    <w:rsid w:val="2E1137C8"/>
    <w:rsid w:val="2E117806"/>
    <w:rsid w:val="2E11CF93"/>
    <w:rsid w:val="2E131C1B"/>
    <w:rsid w:val="2E14B1E2"/>
    <w:rsid w:val="2E15FC26"/>
    <w:rsid w:val="2E16F35E"/>
    <w:rsid w:val="2E18DB81"/>
    <w:rsid w:val="2E199543"/>
    <w:rsid w:val="2E1A289E"/>
    <w:rsid w:val="2E1B3682"/>
    <w:rsid w:val="2E1B88DE"/>
    <w:rsid w:val="2E1D9943"/>
    <w:rsid w:val="2E20714A"/>
    <w:rsid w:val="2E209465"/>
    <w:rsid w:val="2E212CA3"/>
    <w:rsid w:val="2E27965E"/>
    <w:rsid w:val="2E29FE0E"/>
    <w:rsid w:val="2E2BFBD1"/>
    <w:rsid w:val="2E2E04A1"/>
    <w:rsid w:val="2E335870"/>
    <w:rsid w:val="2E35A9B6"/>
    <w:rsid w:val="2E374D53"/>
    <w:rsid w:val="2E39972E"/>
    <w:rsid w:val="2E3AD35F"/>
    <w:rsid w:val="2E3C7E27"/>
    <w:rsid w:val="2E3E2CE2"/>
    <w:rsid w:val="2E3F0CFA"/>
    <w:rsid w:val="2E3FC1CC"/>
    <w:rsid w:val="2E406E2D"/>
    <w:rsid w:val="2E40D0A2"/>
    <w:rsid w:val="2E41AF12"/>
    <w:rsid w:val="2E4252C3"/>
    <w:rsid w:val="2E441BFE"/>
    <w:rsid w:val="2E44248F"/>
    <w:rsid w:val="2E45198C"/>
    <w:rsid w:val="2E45AA96"/>
    <w:rsid w:val="2E45E4F5"/>
    <w:rsid w:val="2E471A49"/>
    <w:rsid w:val="2E47D739"/>
    <w:rsid w:val="2E4903EA"/>
    <w:rsid w:val="2E4B42B2"/>
    <w:rsid w:val="2E4C9DDE"/>
    <w:rsid w:val="2E504E4E"/>
    <w:rsid w:val="2E52BEF1"/>
    <w:rsid w:val="2E53A5BC"/>
    <w:rsid w:val="2E54B699"/>
    <w:rsid w:val="2E54E5C3"/>
    <w:rsid w:val="2E57884D"/>
    <w:rsid w:val="2E5B3039"/>
    <w:rsid w:val="2E5B80CF"/>
    <w:rsid w:val="2E627A15"/>
    <w:rsid w:val="2E62C833"/>
    <w:rsid w:val="2E63B1A9"/>
    <w:rsid w:val="2E64507B"/>
    <w:rsid w:val="2E67D212"/>
    <w:rsid w:val="2E694C71"/>
    <w:rsid w:val="2E69C047"/>
    <w:rsid w:val="2E6B2193"/>
    <w:rsid w:val="2E6C3AF1"/>
    <w:rsid w:val="2E6E79F7"/>
    <w:rsid w:val="2E6EB7E6"/>
    <w:rsid w:val="2E6F51BC"/>
    <w:rsid w:val="2E712579"/>
    <w:rsid w:val="2E7200A5"/>
    <w:rsid w:val="2E72E4A8"/>
    <w:rsid w:val="2E778C25"/>
    <w:rsid w:val="2E796007"/>
    <w:rsid w:val="2E7982F3"/>
    <w:rsid w:val="2E7AE74B"/>
    <w:rsid w:val="2E7CAB79"/>
    <w:rsid w:val="2E7EDF4B"/>
    <w:rsid w:val="2E803C40"/>
    <w:rsid w:val="2E8055E5"/>
    <w:rsid w:val="2E82B260"/>
    <w:rsid w:val="2E851C96"/>
    <w:rsid w:val="2E86647D"/>
    <w:rsid w:val="2E8DD060"/>
    <w:rsid w:val="2E8F8434"/>
    <w:rsid w:val="2E904CCF"/>
    <w:rsid w:val="2E932B4C"/>
    <w:rsid w:val="2E951A2D"/>
    <w:rsid w:val="2E9676E5"/>
    <w:rsid w:val="2E997C7E"/>
    <w:rsid w:val="2E9ABE72"/>
    <w:rsid w:val="2E9C2BF8"/>
    <w:rsid w:val="2E9FCF01"/>
    <w:rsid w:val="2EA27951"/>
    <w:rsid w:val="2EA29A85"/>
    <w:rsid w:val="2EA339FE"/>
    <w:rsid w:val="2EA36C5D"/>
    <w:rsid w:val="2EA3C24E"/>
    <w:rsid w:val="2EA462DD"/>
    <w:rsid w:val="2EA4A3EC"/>
    <w:rsid w:val="2EA4AECE"/>
    <w:rsid w:val="2EA5A84F"/>
    <w:rsid w:val="2EA84960"/>
    <w:rsid w:val="2EA9838C"/>
    <w:rsid w:val="2EAA9D11"/>
    <w:rsid w:val="2EAED207"/>
    <w:rsid w:val="2EB087BA"/>
    <w:rsid w:val="2EB2904D"/>
    <w:rsid w:val="2EB2AE52"/>
    <w:rsid w:val="2EB3666F"/>
    <w:rsid w:val="2EB42152"/>
    <w:rsid w:val="2EB4854F"/>
    <w:rsid w:val="2EB4BFC6"/>
    <w:rsid w:val="2EB50C4A"/>
    <w:rsid w:val="2EB530E1"/>
    <w:rsid w:val="2EB643E5"/>
    <w:rsid w:val="2EB69814"/>
    <w:rsid w:val="2EB6ACA7"/>
    <w:rsid w:val="2EB7342B"/>
    <w:rsid w:val="2EB7E64A"/>
    <w:rsid w:val="2EB90DCE"/>
    <w:rsid w:val="2EBA14EA"/>
    <w:rsid w:val="2EBA8099"/>
    <w:rsid w:val="2EBBEFC0"/>
    <w:rsid w:val="2EBD0E94"/>
    <w:rsid w:val="2EBD4A6D"/>
    <w:rsid w:val="2EBDABD4"/>
    <w:rsid w:val="2EBF4756"/>
    <w:rsid w:val="2EC07612"/>
    <w:rsid w:val="2EC08113"/>
    <w:rsid w:val="2EC2937B"/>
    <w:rsid w:val="2EC3F603"/>
    <w:rsid w:val="2EC44B2C"/>
    <w:rsid w:val="2EC7A191"/>
    <w:rsid w:val="2EC927C8"/>
    <w:rsid w:val="2EC9EA8F"/>
    <w:rsid w:val="2ECA19D9"/>
    <w:rsid w:val="2ECA3EA9"/>
    <w:rsid w:val="2ECA93F6"/>
    <w:rsid w:val="2ECCC731"/>
    <w:rsid w:val="2ECD58FE"/>
    <w:rsid w:val="2ECE7CD1"/>
    <w:rsid w:val="2ECFC9F9"/>
    <w:rsid w:val="2ED000FF"/>
    <w:rsid w:val="2ED02280"/>
    <w:rsid w:val="2ED4AAA8"/>
    <w:rsid w:val="2ED5A279"/>
    <w:rsid w:val="2ED68499"/>
    <w:rsid w:val="2ED6CCA2"/>
    <w:rsid w:val="2ED70DFC"/>
    <w:rsid w:val="2ED84A5D"/>
    <w:rsid w:val="2EDBB96A"/>
    <w:rsid w:val="2EDC46D8"/>
    <w:rsid w:val="2EDCFA4C"/>
    <w:rsid w:val="2EDE5309"/>
    <w:rsid w:val="2EDE7CA5"/>
    <w:rsid w:val="2EDF1AFD"/>
    <w:rsid w:val="2EDF43DD"/>
    <w:rsid w:val="2EE1A365"/>
    <w:rsid w:val="2EE3C434"/>
    <w:rsid w:val="2EE60839"/>
    <w:rsid w:val="2EE68C94"/>
    <w:rsid w:val="2EE6C587"/>
    <w:rsid w:val="2EE79770"/>
    <w:rsid w:val="2EEC160F"/>
    <w:rsid w:val="2EEC39EF"/>
    <w:rsid w:val="2EEC51D0"/>
    <w:rsid w:val="2EEC5BF6"/>
    <w:rsid w:val="2EED1F57"/>
    <w:rsid w:val="2EEF010A"/>
    <w:rsid w:val="2EF1ED61"/>
    <w:rsid w:val="2EF4B1DA"/>
    <w:rsid w:val="2EF54CA5"/>
    <w:rsid w:val="2EF55581"/>
    <w:rsid w:val="2EF55672"/>
    <w:rsid w:val="2EF8928B"/>
    <w:rsid w:val="2EFAB87F"/>
    <w:rsid w:val="2EFAEB72"/>
    <w:rsid w:val="2EFBC12E"/>
    <w:rsid w:val="2EFD7374"/>
    <w:rsid w:val="2EFF3189"/>
    <w:rsid w:val="2F005D1A"/>
    <w:rsid w:val="2F0340A8"/>
    <w:rsid w:val="2F03CA80"/>
    <w:rsid w:val="2F05CF4C"/>
    <w:rsid w:val="2F06106E"/>
    <w:rsid w:val="2F08368F"/>
    <w:rsid w:val="2F0847B0"/>
    <w:rsid w:val="2F0A3E84"/>
    <w:rsid w:val="2F0D3533"/>
    <w:rsid w:val="2F0E35CD"/>
    <w:rsid w:val="2F0E41D4"/>
    <w:rsid w:val="2F0F6F64"/>
    <w:rsid w:val="2F1017AD"/>
    <w:rsid w:val="2F11B57C"/>
    <w:rsid w:val="2F12D66D"/>
    <w:rsid w:val="2F13201A"/>
    <w:rsid w:val="2F13758D"/>
    <w:rsid w:val="2F155268"/>
    <w:rsid w:val="2F18D2C7"/>
    <w:rsid w:val="2F1944C3"/>
    <w:rsid w:val="2F1AC243"/>
    <w:rsid w:val="2F1BEBAA"/>
    <w:rsid w:val="2F1C7198"/>
    <w:rsid w:val="2F1ED47A"/>
    <w:rsid w:val="2F1FF6A2"/>
    <w:rsid w:val="2F203261"/>
    <w:rsid w:val="2F22A89D"/>
    <w:rsid w:val="2F22E38D"/>
    <w:rsid w:val="2F23B071"/>
    <w:rsid w:val="2F25893F"/>
    <w:rsid w:val="2F2607A7"/>
    <w:rsid w:val="2F261AF3"/>
    <w:rsid w:val="2F273D99"/>
    <w:rsid w:val="2F276AAB"/>
    <w:rsid w:val="2F282F78"/>
    <w:rsid w:val="2F2AFEF1"/>
    <w:rsid w:val="2F2B49A0"/>
    <w:rsid w:val="2F2D67CF"/>
    <w:rsid w:val="2F2FB191"/>
    <w:rsid w:val="2F30008D"/>
    <w:rsid w:val="2F311961"/>
    <w:rsid w:val="2F31FC2E"/>
    <w:rsid w:val="2F326C5B"/>
    <w:rsid w:val="2F32FD5F"/>
    <w:rsid w:val="2F33CB75"/>
    <w:rsid w:val="2F377F3B"/>
    <w:rsid w:val="2F379F37"/>
    <w:rsid w:val="2F3A9E67"/>
    <w:rsid w:val="2F3AC179"/>
    <w:rsid w:val="2F3C7CBB"/>
    <w:rsid w:val="2F3EAACE"/>
    <w:rsid w:val="2F402A1C"/>
    <w:rsid w:val="2F40A88D"/>
    <w:rsid w:val="2F4179BB"/>
    <w:rsid w:val="2F419EA1"/>
    <w:rsid w:val="2F41DA15"/>
    <w:rsid w:val="2F42C5B1"/>
    <w:rsid w:val="2F467298"/>
    <w:rsid w:val="2F49F818"/>
    <w:rsid w:val="2F4E1ED7"/>
    <w:rsid w:val="2F4F34C6"/>
    <w:rsid w:val="2F508D0E"/>
    <w:rsid w:val="2F50C332"/>
    <w:rsid w:val="2F511369"/>
    <w:rsid w:val="2F520427"/>
    <w:rsid w:val="2F5458D2"/>
    <w:rsid w:val="2F54631A"/>
    <w:rsid w:val="2F56C68C"/>
    <w:rsid w:val="2F594877"/>
    <w:rsid w:val="2F5DBD9A"/>
    <w:rsid w:val="2F5EADD5"/>
    <w:rsid w:val="2F6202BC"/>
    <w:rsid w:val="2F633397"/>
    <w:rsid w:val="2F64F6B0"/>
    <w:rsid w:val="2F6778E3"/>
    <w:rsid w:val="2F67AE78"/>
    <w:rsid w:val="2F680354"/>
    <w:rsid w:val="2F68A94F"/>
    <w:rsid w:val="2F698CD4"/>
    <w:rsid w:val="2F6997AF"/>
    <w:rsid w:val="2F6A97CC"/>
    <w:rsid w:val="2F6C106D"/>
    <w:rsid w:val="2F6C3D31"/>
    <w:rsid w:val="2F6D8AD2"/>
    <w:rsid w:val="2F6E50F8"/>
    <w:rsid w:val="2F6F0343"/>
    <w:rsid w:val="2F6FCE81"/>
    <w:rsid w:val="2F73777B"/>
    <w:rsid w:val="2F75B775"/>
    <w:rsid w:val="2F772447"/>
    <w:rsid w:val="2F779ADE"/>
    <w:rsid w:val="2F78E0AC"/>
    <w:rsid w:val="2F79FA72"/>
    <w:rsid w:val="2F79FEEF"/>
    <w:rsid w:val="2F7ABB8F"/>
    <w:rsid w:val="2F7C8BCB"/>
    <w:rsid w:val="2F80A6D9"/>
    <w:rsid w:val="2F865BBF"/>
    <w:rsid w:val="2F8666E3"/>
    <w:rsid w:val="2F86FB0F"/>
    <w:rsid w:val="2F8762FE"/>
    <w:rsid w:val="2F8870B8"/>
    <w:rsid w:val="2F8BFD00"/>
    <w:rsid w:val="2F8C3031"/>
    <w:rsid w:val="2F8CCB7D"/>
    <w:rsid w:val="2F8EAB8A"/>
    <w:rsid w:val="2F8F5BD9"/>
    <w:rsid w:val="2F9329F1"/>
    <w:rsid w:val="2F948BC5"/>
    <w:rsid w:val="2F95B356"/>
    <w:rsid w:val="2F95BC5C"/>
    <w:rsid w:val="2F96EE2F"/>
    <w:rsid w:val="2F97095F"/>
    <w:rsid w:val="2F975D79"/>
    <w:rsid w:val="2F9E930C"/>
    <w:rsid w:val="2F9EC6C5"/>
    <w:rsid w:val="2FA20898"/>
    <w:rsid w:val="2FA21BCF"/>
    <w:rsid w:val="2FA24C5E"/>
    <w:rsid w:val="2FA2D7C1"/>
    <w:rsid w:val="2FA4649F"/>
    <w:rsid w:val="2FA55F43"/>
    <w:rsid w:val="2FA65606"/>
    <w:rsid w:val="2FA6641E"/>
    <w:rsid w:val="2FA6FA08"/>
    <w:rsid w:val="2FA70FAF"/>
    <w:rsid w:val="2FA7D368"/>
    <w:rsid w:val="2FA921D6"/>
    <w:rsid w:val="2FACAD67"/>
    <w:rsid w:val="2FB050FB"/>
    <w:rsid w:val="2FB1696B"/>
    <w:rsid w:val="2FB55174"/>
    <w:rsid w:val="2FB577F1"/>
    <w:rsid w:val="2FB6EAB9"/>
    <w:rsid w:val="2FB71B20"/>
    <w:rsid w:val="2FBA3AA3"/>
    <w:rsid w:val="2FC053BE"/>
    <w:rsid w:val="2FC1E190"/>
    <w:rsid w:val="2FC3F072"/>
    <w:rsid w:val="2FC50B1B"/>
    <w:rsid w:val="2FC69BE5"/>
    <w:rsid w:val="2FC7F167"/>
    <w:rsid w:val="2FCB3F99"/>
    <w:rsid w:val="2FCC0BDB"/>
    <w:rsid w:val="2FCDE1F3"/>
    <w:rsid w:val="2FCEA5D0"/>
    <w:rsid w:val="2FCF2A8C"/>
    <w:rsid w:val="2FCF759A"/>
    <w:rsid w:val="2FD1E158"/>
    <w:rsid w:val="2FD20DDA"/>
    <w:rsid w:val="2FD2E6B3"/>
    <w:rsid w:val="2FD78598"/>
    <w:rsid w:val="2FD91CB4"/>
    <w:rsid w:val="2FD9DCAC"/>
    <w:rsid w:val="2FDB5BDC"/>
    <w:rsid w:val="2FDB9C26"/>
    <w:rsid w:val="2FDD98AD"/>
    <w:rsid w:val="2FDEAA21"/>
    <w:rsid w:val="2FDEBFB6"/>
    <w:rsid w:val="2FE14328"/>
    <w:rsid w:val="2FE16E81"/>
    <w:rsid w:val="2FE38CF7"/>
    <w:rsid w:val="2FE44595"/>
    <w:rsid w:val="2FE4DAF2"/>
    <w:rsid w:val="2FE8D716"/>
    <w:rsid w:val="2FEA4DB4"/>
    <w:rsid w:val="2FED3A21"/>
    <w:rsid w:val="2FEDF6ED"/>
    <w:rsid w:val="2FEFE44E"/>
    <w:rsid w:val="2FF07861"/>
    <w:rsid w:val="2FF32092"/>
    <w:rsid w:val="2FF347F2"/>
    <w:rsid w:val="2FF3D0B5"/>
    <w:rsid w:val="2FF522FB"/>
    <w:rsid w:val="2FF566DB"/>
    <w:rsid w:val="2FF63CDA"/>
    <w:rsid w:val="2FF693CC"/>
    <w:rsid w:val="2FF6B350"/>
    <w:rsid w:val="2FF86F68"/>
    <w:rsid w:val="2FF9073B"/>
    <w:rsid w:val="2FFB393E"/>
    <w:rsid w:val="2FFC4B7A"/>
    <w:rsid w:val="2FFD0ECB"/>
    <w:rsid w:val="2FFE9812"/>
    <w:rsid w:val="30004466"/>
    <w:rsid w:val="300501CA"/>
    <w:rsid w:val="30063D60"/>
    <w:rsid w:val="3008E321"/>
    <w:rsid w:val="300B1D3A"/>
    <w:rsid w:val="300D7986"/>
    <w:rsid w:val="3011469C"/>
    <w:rsid w:val="3011C7CC"/>
    <w:rsid w:val="3011DD5F"/>
    <w:rsid w:val="3013F822"/>
    <w:rsid w:val="301445CF"/>
    <w:rsid w:val="3016AD0B"/>
    <w:rsid w:val="301B1321"/>
    <w:rsid w:val="301D1230"/>
    <w:rsid w:val="301D6AEF"/>
    <w:rsid w:val="30212B6A"/>
    <w:rsid w:val="302137EA"/>
    <w:rsid w:val="3021A0BC"/>
    <w:rsid w:val="3022254F"/>
    <w:rsid w:val="302260A3"/>
    <w:rsid w:val="30227812"/>
    <w:rsid w:val="30238ACE"/>
    <w:rsid w:val="3025359B"/>
    <w:rsid w:val="30298A0E"/>
    <w:rsid w:val="3029F128"/>
    <w:rsid w:val="302E041C"/>
    <w:rsid w:val="302E19D6"/>
    <w:rsid w:val="302E3329"/>
    <w:rsid w:val="3031C85E"/>
    <w:rsid w:val="3032A230"/>
    <w:rsid w:val="303A863E"/>
    <w:rsid w:val="303AE17F"/>
    <w:rsid w:val="303D4A98"/>
    <w:rsid w:val="303F69DF"/>
    <w:rsid w:val="3040213F"/>
    <w:rsid w:val="3040DEF0"/>
    <w:rsid w:val="30412F6A"/>
    <w:rsid w:val="3043B52E"/>
    <w:rsid w:val="30446A48"/>
    <w:rsid w:val="3044DAB9"/>
    <w:rsid w:val="3045F64D"/>
    <w:rsid w:val="30479526"/>
    <w:rsid w:val="30493B67"/>
    <w:rsid w:val="30499984"/>
    <w:rsid w:val="304A1804"/>
    <w:rsid w:val="304A75FF"/>
    <w:rsid w:val="304E4871"/>
    <w:rsid w:val="304FA777"/>
    <w:rsid w:val="304FC03C"/>
    <w:rsid w:val="304FC1A1"/>
    <w:rsid w:val="3052F3CF"/>
    <w:rsid w:val="305348F7"/>
    <w:rsid w:val="305555D9"/>
    <w:rsid w:val="305650FA"/>
    <w:rsid w:val="30574024"/>
    <w:rsid w:val="305A5393"/>
    <w:rsid w:val="305F51A5"/>
    <w:rsid w:val="306477CF"/>
    <w:rsid w:val="3066F4C7"/>
    <w:rsid w:val="306A2D66"/>
    <w:rsid w:val="306A5499"/>
    <w:rsid w:val="306B940D"/>
    <w:rsid w:val="306DB82E"/>
    <w:rsid w:val="30738869"/>
    <w:rsid w:val="3073989F"/>
    <w:rsid w:val="30748F63"/>
    <w:rsid w:val="3077C327"/>
    <w:rsid w:val="3077F4F5"/>
    <w:rsid w:val="30786598"/>
    <w:rsid w:val="3078E699"/>
    <w:rsid w:val="307BD8A2"/>
    <w:rsid w:val="307D1E1F"/>
    <w:rsid w:val="307E0926"/>
    <w:rsid w:val="30863325"/>
    <w:rsid w:val="3089502B"/>
    <w:rsid w:val="308D49B6"/>
    <w:rsid w:val="308D8A04"/>
    <w:rsid w:val="308E51EE"/>
    <w:rsid w:val="309029B5"/>
    <w:rsid w:val="3090610B"/>
    <w:rsid w:val="30919342"/>
    <w:rsid w:val="309509BA"/>
    <w:rsid w:val="30952567"/>
    <w:rsid w:val="30983B7A"/>
    <w:rsid w:val="3099E46B"/>
    <w:rsid w:val="309B1D92"/>
    <w:rsid w:val="309C59F1"/>
    <w:rsid w:val="309D9634"/>
    <w:rsid w:val="309DF901"/>
    <w:rsid w:val="309E2320"/>
    <w:rsid w:val="309EDBC8"/>
    <w:rsid w:val="309F06C2"/>
    <w:rsid w:val="309FCCD6"/>
    <w:rsid w:val="30A1E7EC"/>
    <w:rsid w:val="30A36DA0"/>
    <w:rsid w:val="30A4695A"/>
    <w:rsid w:val="30A6FC63"/>
    <w:rsid w:val="30A76F28"/>
    <w:rsid w:val="30A7CE2A"/>
    <w:rsid w:val="30A826DA"/>
    <w:rsid w:val="30A82A5A"/>
    <w:rsid w:val="30A8A0AE"/>
    <w:rsid w:val="30A96BCA"/>
    <w:rsid w:val="30A9E8FD"/>
    <w:rsid w:val="30AA8E5C"/>
    <w:rsid w:val="30AE2F63"/>
    <w:rsid w:val="30AEBE4C"/>
    <w:rsid w:val="30AF37DC"/>
    <w:rsid w:val="30B1BFC8"/>
    <w:rsid w:val="30B256F4"/>
    <w:rsid w:val="30B3B582"/>
    <w:rsid w:val="30B4E493"/>
    <w:rsid w:val="30B76DCB"/>
    <w:rsid w:val="30B884E3"/>
    <w:rsid w:val="30BA779B"/>
    <w:rsid w:val="30BB3545"/>
    <w:rsid w:val="30BB8A3E"/>
    <w:rsid w:val="30BBCA8A"/>
    <w:rsid w:val="30BDB073"/>
    <w:rsid w:val="30C0DE61"/>
    <w:rsid w:val="30C0FD1F"/>
    <w:rsid w:val="30C102BA"/>
    <w:rsid w:val="30C199EF"/>
    <w:rsid w:val="30C23B9A"/>
    <w:rsid w:val="30C29340"/>
    <w:rsid w:val="30C2AD62"/>
    <w:rsid w:val="30C2C0DC"/>
    <w:rsid w:val="30C4DA16"/>
    <w:rsid w:val="30C4E62A"/>
    <w:rsid w:val="30C67031"/>
    <w:rsid w:val="30C77FF7"/>
    <w:rsid w:val="30C859DA"/>
    <w:rsid w:val="30CBFEDB"/>
    <w:rsid w:val="30CD9765"/>
    <w:rsid w:val="30CE0BE4"/>
    <w:rsid w:val="30CE4CD3"/>
    <w:rsid w:val="30D017BF"/>
    <w:rsid w:val="30D01D3E"/>
    <w:rsid w:val="30D1433E"/>
    <w:rsid w:val="30D147ED"/>
    <w:rsid w:val="30D14A8A"/>
    <w:rsid w:val="30D303EA"/>
    <w:rsid w:val="30D3F11F"/>
    <w:rsid w:val="30D5801B"/>
    <w:rsid w:val="30D6CC51"/>
    <w:rsid w:val="30D8F72B"/>
    <w:rsid w:val="30DBA3E6"/>
    <w:rsid w:val="30DD5452"/>
    <w:rsid w:val="30DD6874"/>
    <w:rsid w:val="30E0DD25"/>
    <w:rsid w:val="30E53D76"/>
    <w:rsid w:val="30E60E4F"/>
    <w:rsid w:val="30E787B2"/>
    <w:rsid w:val="30E85614"/>
    <w:rsid w:val="30E9C3B2"/>
    <w:rsid w:val="30EA4E59"/>
    <w:rsid w:val="30ED5A59"/>
    <w:rsid w:val="30EE0E58"/>
    <w:rsid w:val="30EF94FA"/>
    <w:rsid w:val="30F185C4"/>
    <w:rsid w:val="30F3A0B3"/>
    <w:rsid w:val="30F4CEAF"/>
    <w:rsid w:val="30F6FBDB"/>
    <w:rsid w:val="30FA926A"/>
    <w:rsid w:val="30FC4E27"/>
    <w:rsid w:val="30FC8DEB"/>
    <w:rsid w:val="30FD4D0A"/>
    <w:rsid w:val="30FE81F6"/>
    <w:rsid w:val="30FF47B2"/>
    <w:rsid w:val="31016C44"/>
    <w:rsid w:val="3102026C"/>
    <w:rsid w:val="310294CA"/>
    <w:rsid w:val="31031D30"/>
    <w:rsid w:val="31072B07"/>
    <w:rsid w:val="310A2FC5"/>
    <w:rsid w:val="310AACA4"/>
    <w:rsid w:val="310B3AD3"/>
    <w:rsid w:val="310EFDC3"/>
    <w:rsid w:val="310F5193"/>
    <w:rsid w:val="31103F53"/>
    <w:rsid w:val="3110A01B"/>
    <w:rsid w:val="31116DC2"/>
    <w:rsid w:val="3113ACF2"/>
    <w:rsid w:val="311406DA"/>
    <w:rsid w:val="31165344"/>
    <w:rsid w:val="3117D74F"/>
    <w:rsid w:val="311B9E0E"/>
    <w:rsid w:val="311CEE04"/>
    <w:rsid w:val="311F49E4"/>
    <w:rsid w:val="3120397F"/>
    <w:rsid w:val="312279FB"/>
    <w:rsid w:val="3123C154"/>
    <w:rsid w:val="31267B3F"/>
    <w:rsid w:val="312A16A5"/>
    <w:rsid w:val="312AE769"/>
    <w:rsid w:val="312BB0B8"/>
    <w:rsid w:val="312BD474"/>
    <w:rsid w:val="312DEBC3"/>
    <w:rsid w:val="312E053A"/>
    <w:rsid w:val="312E6B2B"/>
    <w:rsid w:val="312F65A2"/>
    <w:rsid w:val="312FCCC8"/>
    <w:rsid w:val="31315E04"/>
    <w:rsid w:val="3131D497"/>
    <w:rsid w:val="3132D951"/>
    <w:rsid w:val="3133BFEA"/>
    <w:rsid w:val="313485EC"/>
    <w:rsid w:val="31358B4F"/>
    <w:rsid w:val="3137A415"/>
    <w:rsid w:val="3137A5B3"/>
    <w:rsid w:val="31381FB6"/>
    <w:rsid w:val="3139AAD5"/>
    <w:rsid w:val="313A39A4"/>
    <w:rsid w:val="313A9CA8"/>
    <w:rsid w:val="313B20D7"/>
    <w:rsid w:val="313B38EA"/>
    <w:rsid w:val="313D4754"/>
    <w:rsid w:val="313DEDC6"/>
    <w:rsid w:val="313DEF87"/>
    <w:rsid w:val="313E56E4"/>
    <w:rsid w:val="313E6D27"/>
    <w:rsid w:val="313EAE97"/>
    <w:rsid w:val="31406732"/>
    <w:rsid w:val="3144E20D"/>
    <w:rsid w:val="3144F237"/>
    <w:rsid w:val="31456F47"/>
    <w:rsid w:val="3147312F"/>
    <w:rsid w:val="3147E691"/>
    <w:rsid w:val="3149300F"/>
    <w:rsid w:val="314B0776"/>
    <w:rsid w:val="314BE166"/>
    <w:rsid w:val="314CFE44"/>
    <w:rsid w:val="314D5DE3"/>
    <w:rsid w:val="314FFDCE"/>
    <w:rsid w:val="31512F6E"/>
    <w:rsid w:val="3151E481"/>
    <w:rsid w:val="31539342"/>
    <w:rsid w:val="31542B36"/>
    <w:rsid w:val="31546320"/>
    <w:rsid w:val="31564A61"/>
    <w:rsid w:val="31578C63"/>
    <w:rsid w:val="315A47B3"/>
    <w:rsid w:val="315A6564"/>
    <w:rsid w:val="315A8451"/>
    <w:rsid w:val="315AD91D"/>
    <w:rsid w:val="315CD642"/>
    <w:rsid w:val="315E5ED6"/>
    <w:rsid w:val="31619F57"/>
    <w:rsid w:val="31625CBB"/>
    <w:rsid w:val="3163B2FD"/>
    <w:rsid w:val="3163E045"/>
    <w:rsid w:val="3164E7D8"/>
    <w:rsid w:val="3166610C"/>
    <w:rsid w:val="316852EC"/>
    <w:rsid w:val="316D4E5D"/>
    <w:rsid w:val="3171110B"/>
    <w:rsid w:val="31713B9F"/>
    <w:rsid w:val="317157EA"/>
    <w:rsid w:val="31720BD2"/>
    <w:rsid w:val="3173B6EB"/>
    <w:rsid w:val="31787AA1"/>
    <w:rsid w:val="3179072B"/>
    <w:rsid w:val="317923B2"/>
    <w:rsid w:val="31792C48"/>
    <w:rsid w:val="318192FF"/>
    <w:rsid w:val="3181BFE2"/>
    <w:rsid w:val="3182407F"/>
    <w:rsid w:val="318246FA"/>
    <w:rsid w:val="3184BFFE"/>
    <w:rsid w:val="318A2B1B"/>
    <w:rsid w:val="318A6C5A"/>
    <w:rsid w:val="318B5B87"/>
    <w:rsid w:val="319265EE"/>
    <w:rsid w:val="31930060"/>
    <w:rsid w:val="3193ED3E"/>
    <w:rsid w:val="3194B033"/>
    <w:rsid w:val="3195035D"/>
    <w:rsid w:val="31952FB6"/>
    <w:rsid w:val="3196A664"/>
    <w:rsid w:val="3196CE4F"/>
    <w:rsid w:val="31973D07"/>
    <w:rsid w:val="31999281"/>
    <w:rsid w:val="319DBC35"/>
    <w:rsid w:val="31A05996"/>
    <w:rsid w:val="31A24429"/>
    <w:rsid w:val="31A53BBF"/>
    <w:rsid w:val="31A5D580"/>
    <w:rsid w:val="31A720BC"/>
    <w:rsid w:val="31A9D52A"/>
    <w:rsid w:val="31AABB20"/>
    <w:rsid w:val="31AB9DD8"/>
    <w:rsid w:val="31ABE23F"/>
    <w:rsid w:val="31B17FB9"/>
    <w:rsid w:val="31B1AFA0"/>
    <w:rsid w:val="31B1BAD4"/>
    <w:rsid w:val="31B54B40"/>
    <w:rsid w:val="31B7F3C3"/>
    <w:rsid w:val="31B8611E"/>
    <w:rsid w:val="31BB0A59"/>
    <w:rsid w:val="31BBE0BB"/>
    <w:rsid w:val="31BD177E"/>
    <w:rsid w:val="31C0476F"/>
    <w:rsid w:val="31C16358"/>
    <w:rsid w:val="31C324EB"/>
    <w:rsid w:val="31C3CCFE"/>
    <w:rsid w:val="31C3DF17"/>
    <w:rsid w:val="31C43001"/>
    <w:rsid w:val="31C59C0A"/>
    <w:rsid w:val="31C833DC"/>
    <w:rsid w:val="31CACD84"/>
    <w:rsid w:val="31CC386A"/>
    <w:rsid w:val="31CE4E09"/>
    <w:rsid w:val="31CEC19E"/>
    <w:rsid w:val="31D03CBA"/>
    <w:rsid w:val="31D06801"/>
    <w:rsid w:val="31D06BD8"/>
    <w:rsid w:val="31D19E41"/>
    <w:rsid w:val="31D71CBA"/>
    <w:rsid w:val="31DB19F8"/>
    <w:rsid w:val="31DBED07"/>
    <w:rsid w:val="31DC97C2"/>
    <w:rsid w:val="31DFB089"/>
    <w:rsid w:val="31E018B4"/>
    <w:rsid w:val="31E0B821"/>
    <w:rsid w:val="31E331CF"/>
    <w:rsid w:val="31E3B94F"/>
    <w:rsid w:val="31E46578"/>
    <w:rsid w:val="31E4CC22"/>
    <w:rsid w:val="31E53854"/>
    <w:rsid w:val="31E829D9"/>
    <w:rsid w:val="31E868B9"/>
    <w:rsid w:val="31E8C161"/>
    <w:rsid w:val="31EAE82B"/>
    <w:rsid w:val="31EB35CB"/>
    <w:rsid w:val="31EC97ED"/>
    <w:rsid w:val="31ECE1E3"/>
    <w:rsid w:val="31EE1E41"/>
    <w:rsid w:val="31EE357C"/>
    <w:rsid w:val="31EEA38E"/>
    <w:rsid w:val="31F120B0"/>
    <w:rsid w:val="31FC9E88"/>
    <w:rsid w:val="31FCE52E"/>
    <w:rsid w:val="31FD1491"/>
    <w:rsid w:val="31FD54B7"/>
    <w:rsid w:val="31FE31B6"/>
    <w:rsid w:val="31FEB820"/>
    <w:rsid w:val="31FECAED"/>
    <w:rsid w:val="32050922"/>
    <w:rsid w:val="320B2E27"/>
    <w:rsid w:val="320C6FE1"/>
    <w:rsid w:val="32124CB8"/>
    <w:rsid w:val="3213C050"/>
    <w:rsid w:val="3215C08C"/>
    <w:rsid w:val="32165CD0"/>
    <w:rsid w:val="321712C7"/>
    <w:rsid w:val="321BEE6F"/>
    <w:rsid w:val="321D0DA5"/>
    <w:rsid w:val="321E3283"/>
    <w:rsid w:val="321E580B"/>
    <w:rsid w:val="321FEF6C"/>
    <w:rsid w:val="3220D596"/>
    <w:rsid w:val="3221141B"/>
    <w:rsid w:val="32223998"/>
    <w:rsid w:val="322283B6"/>
    <w:rsid w:val="322415D6"/>
    <w:rsid w:val="32258C05"/>
    <w:rsid w:val="3226345C"/>
    <w:rsid w:val="322713F2"/>
    <w:rsid w:val="32283559"/>
    <w:rsid w:val="3228EED9"/>
    <w:rsid w:val="32292753"/>
    <w:rsid w:val="322BCE45"/>
    <w:rsid w:val="322E3A70"/>
    <w:rsid w:val="323026CC"/>
    <w:rsid w:val="3231F3F4"/>
    <w:rsid w:val="3232C867"/>
    <w:rsid w:val="32361D1F"/>
    <w:rsid w:val="323644A6"/>
    <w:rsid w:val="3237B39C"/>
    <w:rsid w:val="323907AC"/>
    <w:rsid w:val="3239719C"/>
    <w:rsid w:val="3239C1CB"/>
    <w:rsid w:val="323AA69B"/>
    <w:rsid w:val="323B4A09"/>
    <w:rsid w:val="323C63DD"/>
    <w:rsid w:val="323F59E2"/>
    <w:rsid w:val="3240991E"/>
    <w:rsid w:val="32413119"/>
    <w:rsid w:val="324241A8"/>
    <w:rsid w:val="32438A57"/>
    <w:rsid w:val="32445D63"/>
    <w:rsid w:val="32446881"/>
    <w:rsid w:val="324626BC"/>
    <w:rsid w:val="32472752"/>
    <w:rsid w:val="32479CA6"/>
    <w:rsid w:val="32484992"/>
    <w:rsid w:val="324970F4"/>
    <w:rsid w:val="324975AC"/>
    <w:rsid w:val="3249EFE2"/>
    <w:rsid w:val="324A7A3D"/>
    <w:rsid w:val="324C653B"/>
    <w:rsid w:val="324C8DA8"/>
    <w:rsid w:val="324CC021"/>
    <w:rsid w:val="324ED101"/>
    <w:rsid w:val="324F04D9"/>
    <w:rsid w:val="3250512A"/>
    <w:rsid w:val="3251E639"/>
    <w:rsid w:val="32536F62"/>
    <w:rsid w:val="3253DF6D"/>
    <w:rsid w:val="3254CF7D"/>
    <w:rsid w:val="3254F585"/>
    <w:rsid w:val="325561A7"/>
    <w:rsid w:val="325876C8"/>
    <w:rsid w:val="325B6D7C"/>
    <w:rsid w:val="325DA0C1"/>
    <w:rsid w:val="325E1C69"/>
    <w:rsid w:val="325F5999"/>
    <w:rsid w:val="32617A97"/>
    <w:rsid w:val="3261D108"/>
    <w:rsid w:val="32636567"/>
    <w:rsid w:val="32643A79"/>
    <w:rsid w:val="3267560D"/>
    <w:rsid w:val="3267DD57"/>
    <w:rsid w:val="3268433D"/>
    <w:rsid w:val="3268721E"/>
    <w:rsid w:val="3269D387"/>
    <w:rsid w:val="326A287B"/>
    <w:rsid w:val="326C13CC"/>
    <w:rsid w:val="326CF5E0"/>
    <w:rsid w:val="326DC552"/>
    <w:rsid w:val="326E0D53"/>
    <w:rsid w:val="326E8C66"/>
    <w:rsid w:val="326EB680"/>
    <w:rsid w:val="3270A83E"/>
    <w:rsid w:val="32718013"/>
    <w:rsid w:val="32725CC2"/>
    <w:rsid w:val="32727688"/>
    <w:rsid w:val="3272E7E8"/>
    <w:rsid w:val="32747F59"/>
    <w:rsid w:val="3274ED19"/>
    <w:rsid w:val="3274F81E"/>
    <w:rsid w:val="32750CA0"/>
    <w:rsid w:val="3275C8D4"/>
    <w:rsid w:val="32777954"/>
    <w:rsid w:val="32783C6A"/>
    <w:rsid w:val="3278F399"/>
    <w:rsid w:val="3279A094"/>
    <w:rsid w:val="3279B941"/>
    <w:rsid w:val="327DEDDD"/>
    <w:rsid w:val="32805E82"/>
    <w:rsid w:val="32823691"/>
    <w:rsid w:val="32824ED7"/>
    <w:rsid w:val="32844E84"/>
    <w:rsid w:val="32846111"/>
    <w:rsid w:val="32848D52"/>
    <w:rsid w:val="32849F18"/>
    <w:rsid w:val="328623C2"/>
    <w:rsid w:val="3287BE60"/>
    <w:rsid w:val="3287C9DD"/>
    <w:rsid w:val="3288FC1A"/>
    <w:rsid w:val="328B89D0"/>
    <w:rsid w:val="328BE95B"/>
    <w:rsid w:val="328C9136"/>
    <w:rsid w:val="328D42E8"/>
    <w:rsid w:val="328EAA6F"/>
    <w:rsid w:val="328F64A6"/>
    <w:rsid w:val="328FC633"/>
    <w:rsid w:val="32934F46"/>
    <w:rsid w:val="32952E0B"/>
    <w:rsid w:val="32956FB6"/>
    <w:rsid w:val="329728EE"/>
    <w:rsid w:val="3298771B"/>
    <w:rsid w:val="32995319"/>
    <w:rsid w:val="3299721E"/>
    <w:rsid w:val="32998873"/>
    <w:rsid w:val="329A82F2"/>
    <w:rsid w:val="329B15FF"/>
    <w:rsid w:val="329B58BA"/>
    <w:rsid w:val="32A13871"/>
    <w:rsid w:val="32A162EF"/>
    <w:rsid w:val="32A2C02E"/>
    <w:rsid w:val="32A364C2"/>
    <w:rsid w:val="32A587BC"/>
    <w:rsid w:val="32A5F957"/>
    <w:rsid w:val="32A64455"/>
    <w:rsid w:val="32A8FD6A"/>
    <w:rsid w:val="32A9715A"/>
    <w:rsid w:val="32AB6F01"/>
    <w:rsid w:val="32AB9A77"/>
    <w:rsid w:val="32ABB89A"/>
    <w:rsid w:val="32ACD13D"/>
    <w:rsid w:val="32AD5202"/>
    <w:rsid w:val="32AE2212"/>
    <w:rsid w:val="32AE4B72"/>
    <w:rsid w:val="32AF01DA"/>
    <w:rsid w:val="32AFB484"/>
    <w:rsid w:val="32B09F3C"/>
    <w:rsid w:val="32B30D19"/>
    <w:rsid w:val="32B3A179"/>
    <w:rsid w:val="32B5C57A"/>
    <w:rsid w:val="32B5ED45"/>
    <w:rsid w:val="32B75276"/>
    <w:rsid w:val="32B7646B"/>
    <w:rsid w:val="32B79A77"/>
    <w:rsid w:val="32B7D118"/>
    <w:rsid w:val="32BADE50"/>
    <w:rsid w:val="32BD29AD"/>
    <w:rsid w:val="32BEBF28"/>
    <w:rsid w:val="32BF16A9"/>
    <w:rsid w:val="32BFC9D3"/>
    <w:rsid w:val="32BFD97F"/>
    <w:rsid w:val="32C29658"/>
    <w:rsid w:val="32C49C52"/>
    <w:rsid w:val="32C4EBDD"/>
    <w:rsid w:val="32C63C01"/>
    <w:rsid w:val="32C6D731"/>
    <w:rsid w:val="32C75DBE"/>
    <w:rsid w:val="32C8E716"/>
    <w:rsid w:val="32C91A74"/>
    <w:rsid w:val="32CAD29B"/>
    <w:rsid w:val="32CB0CBA"/>
    <w:rsid w:val="32CDC1ED"/>
    <w:rsid w:val="32CE456B"/>
    <w:rsid w:val="32CE465E"/>
    <w:rsid w:val="32CEC6D7"/>
    <w:rsid w:val="32CEE45F"/>
    <w:rsid w:val="32D36368"/>
    <w:rsid w:val="32D5AEB3"/>
    <w:rsid w:val="32D5CC91"/>
    <w:rsid w:val="32DB2A54"/>
    <w:rsid w:val="32DBB65C"/>
    <w:rsid w:val="32DDF50D"/>
    <w:rsid w:val="32DF1F7E"/>
    <w:rsid w:val="32DF7F9C"/>
    <w:rsid w:val="32DF9B5B"/>
    <w:rsid w:val="32E2AB28"/>
    <w:rsid w:val="32E420E9"/>
    <w:rsid w:val="32E5020B"/>
    <w:rsid w:val="32E52B45"/>
    <w:rsid w:val="32E56ED0"/>
    <w:rsid w:val="32E5B74C"/>
    <w:rsid w:val="32E5DDA4"/>
    <w:rsid w:val="32E66E87"/>
    <w:rsid w:val="32E789EE"/>
    <w:rsid w:val="32E7A125"/>
    <w:rsid w:val="32EEDF2A"/>
    <w:rsid w:val="32EF2D9B"/>
    <w:rsid w:val="32F1E844"/>
    <w:rsid w:val="32F4AC8A"/>
    <w:rsid w:val="32F597F7"/>
    <w:rsid w:val="32F6D4B4"/>
    <w:rsid w:val="32FACA87"/>
    <w:rsid w:val="32FB28FB"/>
    <w:rsid w:val="32FFADCB"/>
    <w:rsid w:val="33025F2D"/>
    <w:rsid w:val="3303FF68"/>
    <w:rsid w:val="3304DF53"/>
    <w:rsid w:val="330C04DC"/>
    <w:rsid w:val="330CC049"/>
    <w:rsid w:val="330E892C"/>
    <w:rsid w:val="330E9771"/>
    <w:rsid w:val="330FBD36"/>
    <w:rsid w:val="33101062"/>
    <w:rsid w:val="3310B6C8"/>
    <w:rsid w:val="33119B63"/>
    <w:rsid w:val="3311B949"/>
    <w:rsid w:val="3312DD87"/>
    <w:rsid w:val="33140CA0"/>
    <w:rsid w:val="331480CB"/>
    <w:rsid w:val="3314A382"/>
    <w:rsid w:val="3316D8C7"/>
    <w:rsid w:val="3317900F"/>
    <w:rsid w:val="33183D80"/>
    <w:rsid w:val="331AC6D8"/>
    <w:rsid w:val="331B2CE9"/>
    <w:rsid w:val="331DCDAC"/>
    <w:rsid w:val="331FC919"/>
    <w:rsid w:val="3323CB27"/>
    <w:rsid w:val="33250E0D"/>
    <w:rsid w:val="3325A193"/>
    <w:rsid w:val="3327C422"/>
    <w:rsid w:val="33287C06"/>
    <w:rsid w:val="33291C89"/>
    <w:rsid w:val="332BAEB7"/>
    <w:rsid w:val="332CE940"/>
    <w:rsid w:val="332DAC80"/>
    <w:rsid w:val="332EB3F0"/>
    <w:rsid w:val="332F2802"/>
    <w:rsid w:val="332F9100"/>
    <w:rsid w:val="3330D705"/>
    <w:rsid w:val="33318949"/>
    <w:rsid w:val="3331D8B3"/>
    <w:rsid w:val="3332E9E7"/>
    <w:rsid w:val="33330D68"/>
    <w:rsid w:val="333324E5"/>
    <w:rsid w:val="3333A20B"/>
    <w:rsid w:val="333576EF"/>
    <w:rsid w:val="3335C2B1"/>
    <w:rsid w:val="333657E6"/>
    <w:rsid w:val="33369B18"/>
    <w:rsid w:val="3337ED21"/>
    <w:rsid w:val="333B2047"/>
    <w:rsid w:val="333CB7A0"/>
    <w:rsid w:val="3342FF49"/>
    <w:rsid w:val="3345DB53"/>
    <w:rsid w:val="3346FB8C"/>
    <w:rsid w:val="334A5ECC"/>
    <w:rsid w:val="334B3BEB"/>
    <w:rsid w:val="334BD0D4"/>
    <w:rsid w:val="334C2ED9"/>
    <w:rsid w:val="334EA6B4"/>
    <w:rsid w:val="334ECE27"/>
    <w:rsid w:val="334F1E2B"/>
    <w:rsid w:val="334F86C4"/>
    <w:rsid w:val="33511291"/>
    <w:rsid w:val="335315FE"/>
    <w:rsid w:val="3357C20F"/>
    <w:rsid w:val="3357DC3D"/>
    <w:rsid w:val="335B4B2A"/>
    <w:rsid w:val="335D3426"/>
    <w:rsid w:val="335FAD6E"/>
    <w:rsid w:val="33600F22"/>
    <w:rsid w:val="33604BC3"/>
    <w:rsid w:val="33608522"/>
    <w:rsid w:val="33613AE9"/>
    <w:rsid w:val="33657CD1"/>
    <w:rsid w:val="33695EC4"/>
    <w:rsid w:val="3369BF7D"/>
    <w:rsid w:val="336A2F90"/>
    <w:rsid w:val="336A9039"/>
    <w:rsid w:val="336AE569"/>
    <w:rsid w:val="336D5545"/>
    <w:rsid w:val="336F401F"/>
    <w:rsid w:val="336FF6C9"/>
    <w:rsid w:val="3370C939"/>
    <w:rsid w:val="33732FE3"/>
    <w:rsid w:val="3374C0B5"/>
    <w:rsid w:val="337762A4"/>
    <w:rsid w:val="33787F0A"/>
    <w:rsid w:val="337AA00C"/>
    <w:rsid w:val="337B7BD0"/>
    <w:rsid w:val="3380A7AB"/>
    <w:rsid w:val="33814B06"/>
    <w:rsid w:val="338295F2"/>
    <w:rsid w:val="3386DFAB"/>
    <w:rsid w:val="3388F2D0"/>
    <w:rsid w:val="3388F9E2"/>
    <w:rsid w:val="338927A6"/>
    <w:rsid w:val="338CCAC2"/>
    <w:rsid w:val="338E48A4"/>
    <w:rsid w:val="338F3D08"/>
    <w:rsid w:val="3391B981"/>
    <w:rsid w:val="33926AB7"/>
    <w:rsid w:val="3392A02D"/>
    <w:rsid w:val="3394E2E7"/>
    <w:rsid w:val="33961BDE"/>
    <w:rsid w:val="339C11C9"/>
    <w:rsid w:val="339D0D45"/>
    <w:rsid w:val="339DD919"/>
    <w:rsid w:val="33A083F0"/>
    <w:rsid w:val="33A3880E"/>
    <w:rsid w:val="33A411CD"/>
    <w:rsid w:val="33A5FD98"/>
    <w:rsid w:val="33A77F40"/>
    <w:rsid w:val="33A8DF56"/>
    <w:rsid w:val="33AB82F5"/>
    <w:rsid w:val="33ABD929"/>
    <w:rsid w:val="33AE5C0F"/>
    <w:rsid w:val="33AF3CDF"/>
    <w:rsid w:val="33AF6693"/>
    <w:rsid w:val="33B0EC63"/>
    <w:rsid w:val="33B1A5CA"/>
    <w:rsid w:val="33B1D30E"/>
    <w:rsid w:val="33B40AE3"/>
    <w:rsid w:val="33B574E8"/>
    <w:rsid w:val="33B8FC75"/>
    <w:rsid w:val="33BAF292"/>
    <w:rsid w:val="33BD3827"/>
    <w:rsid w:val="33BDB748"/>
    <w:rsid w:val="33BDD41D"/>
    <w:rsid w:val="33BF674F"/>
    <w:rsid w:val="33C1EE0B"/>
    <w:rsid w:val="33C34826"/>
    <w:rsid w:val="33C4082D"/>
    <w:rsid w:val="33C4161A"/>
    <w:rsid w:val="33C4E01A"/>
    <w:rsid w:val="33C55165"/>
    <w:rsid w:val="33C7A80D"/>
    <w:rsid w:val="33C9D29C"/>
    <w:rsid w:val="33CA3EBD"/>
    <w:rsid w:val="33CA46DD"/>
    <w:rsid w:val="33CCCE91"/>
    <w:rsid w:val="33CD3DDA"/>
    <w:rsid w:val="33CDA106"/>
    <w:rsid w:val="33CE743A"/>
    <w:rsid w:val="33D36C7E"/>
    <w:rsid w:val="33D38D89"/>
    <w:rsid w:val="33D81008"/>
    <w:rsid w:val="33D8AB45"/>
    <w:rsid w:val="33D8D4FC"/>
    <w:rsid w:val="33DADC8A"/>
    <w:rsid w:val="33DB084D"/>
    <w:rsid w:val="33DB2A43"/>
    <w:rsid w:val="33DBDCE8"/>
    <w:rsid w:val="33DF035C"/>
    <w:rsid w:val="33E00821"/>
    <w:rsid w:val="33E11359"/>
    <w:rsid w:val="33E28EF5"/>
    <w:rsid w:val="33E2E738"/>
    <w:rsid w:val="33E2EACB"/>
    <w:rsid w:val="33E317C9"/>
    <w:rsid w:val="33E4D84F"/>
    <w:rsid w:val="33E8056C"/>
    <w:rsid w:val="33E80D5D"/>
    <w:rsid w:val="33E8BF71"/>
    <w:rsid w:val="33EB489A"/>
    <w:rsid w:val="33F0CDCF"/>
    <w:rsid w:val="33F15AF3"/>
    <w:rsid w:val="33F2986C"/>
    <w:rsid w:val="33F404AB"/>
    <w:rsid w:val="33F44A57"/>
    <w:rsid w:val="33F6D7CA"/>
    <w:rsid w:val="33F84ADA"/>
    <w:rsid w:val="33F84C33"/>
    <w:rsid w:val="33F92858"/>
    <w:rsid w:val="33F98829"/>
    <w:rsid w:val="33F9F382"/>
    <w:rsid w:val="33FBEFF5"/>
    <w:rsid w:val="33FC0905"/>
    <w:rsid w:val="34002CEF"/>
    <w:rsid w:val="34010519"/>
    <w:rsid w:val="34022280"/>
    <w:rsid w:val="340447EA"/>
    <w:rsid w:val="3406B190"/>
    <w:rsid w:val="34071EB4"/>
    <w:rsid w:val="34078440"/>
    <w:rsid w:val="3408277A"/>
    <w:rsid w:val="340B8800"/>
    <w:rsid w:val="340D7BE1"/>
    <w:rsid w:val="340F43A1"/>
    <w:rsid w:val="34112FA8"/>
    <w:rsid w:val="3411B7AA"/>
    <w:rsid w:val="34128549"/>
    <w:rsid w:val="3412BF49"/>
    <w:rsid w:val="3412F742"/>
    <w:rsid w:val="341426D0"/>
    <w:rsid w:val="3415420C"/>
    <w:rsid w:val="34173837"/>
    <w:rsid w:val="3418060F"/>
    <w:rsid w:val="3419F4A8"/>
    <w:rsid w:val="341A66C7"/>
    <w:rsid w:val="341C411B"/>
    <w:rsid w:val="341D1302"/>
    <w:rsid w:val="341DA2EC"/>
    <w:rsid w:val="341EA1B0"/>
    <w:rsid w:val="341FECA5"/>
    <w:rsid w:val="3423F787"/>
    <w:rsid w:val="3427188A"/>
    <w:rsid w:val="3428C74D"/>
    <w:rsid w:val="342C62EE"/>
    <w:rsid w:val="342CF639"/>
    <w:rsid w:val="342D6026"/>
    <w:rsid w:val="342E4524"/>
    <w:rsid w:val="342EB5DA"/>
    <w:rsid w:val="342FD3F6"/>
    <w:rsid w:val="34301B27"/>
    <w:rsid w:val="34323B58"/>
    <w:rsid w:val="3432C2D1"/>
    <w:rsid w:val="3434EFDA"/>
    <w:rsid w:val="34351477"/>
    <w:rsid w:val="34355BAC"/>
    <w:rsid w:val="34363E28"/>
    <w:rsid w:val="343749A3"/>
    <w:rsid w:val="343769EB"/>
    <w:rsid w:val="34376AFA"/>
    <w:rsid w:val="3438CB96"/>
    <w:rsid w:val="3438DB30"/>
    <w:rsid w:val="3439A111"/>
    <w:rsid w:val="343B176C"/>
    <w:rsid w:val="343C5AC7"/>
    <w:rsid w:val="343D5C7B"/>
    <w:rsid w:val="343DF1D3"/>
    <w:rsid w:val="343E7F27"/>
    <w:rsid w:val="343F8EA9"/>
    <w:rsid w:val="343F9C88"/>
    <w:rsid w:val="3441228D"/>
    <w:rsid w:val="344455C4"/>
    <w:rsid w:val="3445682F"/>
    <w:rsid w:val="34464088"/>
    <w:rsid w:val="3446E4B8"/>
    <w:rsid w:val="344767A8"/>
    <w:rsid w:val="3448299A"/>
    <w:rsid w:val="344949BC"/>
    <w:rsid w:val="344973D8"/>
    <w:rsid w:val="344EB268"/>
    <w:rsid w:val="344F4152"/>
    <w:rsid w:val="344F5470"/>
    <w:rsid w:val="34505233"/>
    <w:rsid w:val="3450A798"/>
    <w:rsid w:val="345111B1"/>
    <w:rsid w:val="34522EE2"/>
    <w:rsid w:val="3452C63F"/>
    <w:rsid w:val="345429F7"/>
    <w:rsid w:val="34544199"/>
    <w:rsid w:val="34548589"/>
    <w:rsid w:val="34552951"/>
    <w:rsid w:val="3456ABFE"/>
    <w:rsid w:val="3456BA7E"/>
    <w:rsid w:val="3458D50B"/>
    <w:rsid w:val="3458E1F3"/>
    <w:rsid w:val="345B2CEE"/>
    <w:rsid w:val="345C143D"/>
    <w:rsid w:val="345CB683"/>
    <w:rsid w:val="345CE5EB"/>
    <w:rsid w:val="345D4A99"/>
    <w:rsid w:val="3460D762"/>
    <w:rsid w:val="34618CB8"/>
    <w:rsid w:val="346278EF"/>
    <w:rsid w:val="3462C594"/>
    <w:rsid w:val="34634D20"/>
    <w:rsid w:val="346474DF"/>
    <w:rsid w:val="34660942"/>
    <w:rsid w:val="3466B13F"/>
    <w:rsid w:val="346C26E4"/>
    <w:rsid w:val="346D70B8"/>
    <w:rsid w:val="346F3339"/>
    <w:rsid w:val="34706BC5"/>
    <w:rsid w:val="3471077F"/>
    <w:rsid w:val="34731A0B"/>
    <w:rsid w:val="34762122"/>
    <w:rsid w:val="3476D084"/>
    <w:rsid w:val="3477E86B"/>
    <w:rsid w:val="34790159"/>
    <w:rsid w:val="347A0A0A"/>
    <w:rsid w:val="347B9C19"/>
    <w:rsid w:val="347D67DA"/>
    <w:rsid w:val="34810BE7"/>
    <w:rsid w:val="3482947A"/>
    <w:rsid w:val="34835A4F"/>
    <w:rsid w:val="34839A29"/>
    <w:rsid w:val="3483F46D"/>
    <w:rsid w:val="3484DB57"/>
    <w:rsid w:val="34869409"/>
    <w:rsid w:val="3488E41A"/>
    <w:rsid w:val="348AD832"/>
    <w:rsid w:val="348D20D3"/>
    <w:rsid w:val="348F1506"/>
    <w:rsid w:val="3490F1ED"/>
    <w:rsid w:val="3493319C"/>
    <w:rsid w:val="349356C2"/>
    <w:rsid w:val="3493A2D6"/>
    <w:rsid w:val="34976A87"/>
    <w:rsid w:val="34982CD1"/>
    <w:rsid w:val="349900E9"/>
    <w:rsid w:val="349A2F04"/>
    <w:rsid w:val="349E7670"/>
    <w:rsid w:val="34A260B3"/>
    <w:rsid w:val="34A2A88E"/>
    <w:rsid w:val="34A37D8D"/>
    <w:rsid w:val="34A559D0"/>
    <w:rsid w:val="34A5F37A"/>
    <w:rsid w:val="34A6C933"/>
    <w:rsid w:val="34A710FB"/>
    <w:rsid w:val="34A7648F"/>
    <w:rsid w:val="34AD1B43"/>
    <w:rsid w:val="34AD9CAB"/>
    <w:rsid w:val="34B12B36"/>
    <w:rsid w:val="34B221E3"/>
    <w:rsid w:val="34B22946"/>
    <w:rsid w:val="34B40DE1"/>
    <w:rsid w:val="34B49842"/>
    <w:rsid w:val="34B5C012"/>
    <w:rsid w:val="34B6FA3C"/>
    <w:rsid w:val="34B77E0B"/>
    <w:rsid w:val="34B8B156"/>
    <w:rsid w:val="34BB2C94"/>
    <w:rsid w:val="34BB5723"/>
    <w:rsid w:val="34BC16E5"/>
    <w:rsid w:val="34BDEC98"/>
    <w:rsid w:val="34BF90F0"/>
    <w:rsid w:val="34C06CC0"/>
    <w:rsid w:val="34C0B613"/>
    <w:rsid w:val="34C344A9"/>
    <w:rsid w:val="34C34B23"/>
    <w:rsid w:val="34C391C0"/>
    <w:rsid w:val="34C3E8A4"/>
    <w:rsid w:val="34C44A53"/>
    <w:rsid w:val="34C4C0C9"/>
    <w:rsid w:val="34C57F7F"/>
    <w:rsid w:val="34C59511"/>
    <w:rsid w:val="34C77B24"/>
    <w:rsid w:val="34C7D863"/>
    <w:rsid w:val="34C880B1"/>
    <w:rsid w:val="34C8DFA2"/>
    <w:rsid w:val="34CB991B"/>
    <w:rsid w:val="34CEC2B4"/>
    <w:rsid w:val="34CEDDC9"/>
    <w:rsid w:val="34CF7097"/>
    <w:rsid w:val="34D06488"/>
    <w:rsid w:val="34D213BF"/>
    <w:rsid w:val="34D4FB34"/>
    <w:rsid w:val="34D63067"/>
    <w:rsid w:val="34D7FB6A"/>
    <w:rsid w:val="34DB06F9"/>
    <w:rsid w:val="34DB7340"/>
    <w:rsid w:val="34DC816D"/>
    <w:rsid w:val="34DDDBB5"/>
    <w:rsid w:val="34DE6786"/>
    <w:rsid w:val="34DE7121"/>
    <w:rsid w:val="34DF5F9E"/>
    <w:rsid w:val="34E1D076"/>
    <w:rsid w:val="34E2CA90"/>
    <w:rsid w:val="34E37F6F"/>
    <w:rsid w:val="34E4707F"/>
    <w:rsid w:val="34E78B9E"/>
    <w:rsid w:val="34E9B65D"/>
    <w:rsid w:val="34ED58E9"/>
    <w:rsid w:val="34EE1FB2"/>
    <w:rsid w:val="34EEB175"/>
    <w:rsid w:val="34F0E735"/>
    <w:rsid w:val="34F118D9"/>
    <w:rsid w:val="34F3D16D"/>
    <w:rsid w:val="34F6295E"/>
    <w:rsid w:val="34F692B0"/>
    <w:rsid w:val="34F6BBB5"/>
    <w:rsid w:val="34F888C5"/>
    <w:rsid w:val="34FB0E0F"/>
    <w:rsid w:val="34FB7FD9"/>
    <w:rsid w:val="34FBDDBD"/>
    <w:rsid w:val="34FCCFE8"/>
    <w:rsid w:val="34FF440D"/>
    <w:rsid w:val="34FF9B3F"/>
    <w:rsid w:val="35022B3D"/>
    <w:rsid w:val="3502B6B9"/>
    <w:rsid w:val="3504F8FD"/>
    <w:rsid w:val="3509743E"/>
    <w:rsid w:val="350ABE18"/>
    <w:rsid w:val="350B94E5"/>
    <w:rsid w:val="3512389D"/>
    <w:rsid w:val="351436C0"/>
    <w:rsid w:val="3516BFCD"/>
    <w:rsid w:val="351B5733"/>
    <w:rsid w:val="351DF2D2"/>
    <w:rsid w:val="351E0B92"/>
    <w:rsid w:val="3521E4E3"/>
    <w:rsid w:val="3522D865"/>
    <w:rsid w:val="352349B2"/>
    <w:rsid w:val="352493C7"/>
    <w:rsid w:val="352559CB"/>
    <w:rsid w:val="35296304"/>
    <w:rsid w:val="352A0DCE"/>
    <w:rsid w:val="352A1CAF"/>
    <w:rsid w:val="352B80C7"/>
    <w:rsid w:val="352BB312"/>
    <w:rsid w:val="352CB5DC"/>
    <w:rsid w:val="352D1AFB"/>
    <w:rsid w:val="352E5278"/>
    <w:rsid w:val="35301933"/>
    <w:rsid w:val="35304CD9"/>
    <w:rsid w:val="3530BEB3"/>
    <w:rsid w:val="3530CBC5"/>
    <w:rsid w:val="353168D8"/>
    <w:rsid w:val="3534DD03"/>
    <w:rsid w:val="3536C3BA"/>
    <w:rsid w:val="35375249"/>
    <w:rsid w:val="353A6B25"/>
    <w:rsid w:val="353C6052"/>
    <w:rsid w:val="353C8485"/>
    <w:rsid w:val="35434E50"/>
    <w:rsid w:val="354474DD"/>
    <w:rsid w:val="3548965A"/>
    <w:rsid w:val="35494694"/>
    <w:rsid w:val="354C8CF4"/>
    <w:rsid w:val="354CB17A"/>
    <w:rsid w:val="354CC060"/>
    <w:rsid w:val="354DF17E"/>
    <w:rsid w:val="354FCEE8"/>
    <w:rsid w:val="35503957"/>
    <w:rsid w:val="35507AA7"/>
    <w:rsid w:val="3552CA67"/>
    <w:rsid w:val="35532D37"/>
    <w:rsid w:val="35538B19"/>
    <w:rsid w:val="35545D87"/>
    <w:rsid w:val="3555E81D"/>
    <w:rsid w:val="3559BA02"/>
    <w:rsid w:val="355A246D"/>
    <w:rsid w:val="355CA412"/>
    <w:rsid w:val="355D088F"/>
    <w:rsid w:val="355DD2A6"/>
    <w:rsid w:val="355DE722"/>
    <w:rsid w:val="355F9845"/>
    <w:rsid w:val="356067F6"/>
    <w:rsid w:val="35607BDC"/>
    <w:rsid w:val="3560CE6B"/>
    <w:rsid w:val="35610C52"/>
    <w:rsid w:val="3561ADA0"/>
    <w:rsid w:val="3561BFE4"/>
    <w:rsid w:val="35629BC2"/>
    <w:rsid w:val="3563F75F"/>
    <w:rsid w:val="35664D9D"/>
    <w:rsid w:val="3568192D"/>
    <w:rsid w:val="3568CE60"/>
    <w:rsid w:val="3569E757"/>
    <w:rsid w:val="356CDD81"/>
    <w:rsid w:val="356D4AD7"/>
    <w:rsid w:val="356F107A"/>
    <w:rsid w:val="35711444"/>
    <w:rsid w:val="3572DB15"/>
    <w:rsid w:val="35735C57"/>
    <w:rsid w:val="3577DC33"/>
    <w:rsid w:val="357902E3"/>
    <w:rsid w:val="35794EB1"/>
    <w:rsid w:val="3579ACC9"/>
    <w:rsid w:val="357F5B46"/>
    <w:rsid w:val="35807E93"/>
    <w:rsid w:val="35831FE1"/>
    <w:rsid w:val="3583902D"/>
    <w:rsid w:val="3583E30D"/>
    <w:rsid w:val="35858B12"/>
    <w:rsid w:val="3585E3AE"/>
    <w:rsid w:val="35872214"/>
    <w:rsid w:val="35875DA2"/>
    <w:rsid w:val="3587AB24"/>
    <w:rsid w:val="3587DD01"/>
    <w:rsid w:val="3588EEF6"/>
    <w:rsid w:val="35890F73"/>
    <w:rsid w:val="358A68C4"/>
    <w:rsid w:val="358A820E"/>
    <w:rsid w:val="358CF59B"/>
    <w:rsid w:val="358E66B1"/>
    <w:rsid w:val="358E68BC"/>
    <w:rsid w:val="358EA2C8"/>
    <w:rsid w:val="358F9EE7"/>
    <w:rsid w:val="3590B3C0"/>
    <w:rsid w:val="3591179C"/>
    <w:rsid w:val="3592B809"/>
    <w:rsid w:val="3593A296"/>
    <w:rsid w:val="35940D60"/>
    <w:rsid w:val="3596872F"/>
    <w:rsid w:val="3597AE58"/>
    <w:rsid w:val="35985299"/>
    <w:rsid w:val="35994C96"/>
    <w:rsid w:val="359A3EC2"/>
    <w:rsid w:val="359D7139"/>
    <w:rsid w:val="359FB399"/>
    <w:rsid w:val="35A06805"/>
    <w:rsid w:val="35A0E2EA"/>
    <w:rsid w:val="35A16297"/>
    <w:rsid w:val="35A46AE6"/>
    <w:rsid w:val="35A58BD9"/>
    <w:rsid w:val="35A5F119"/>
    <w:rsid w:val="35A6371B"/>
    <w:rsid w:val="35A92169"/>
    <w:rsid w:val="35A9E2AC"/>
    <w:rsid w:val="35AD6B29"/>
    <w:rsid w:val="35AD9B35"/>
    <w:rsid w:val="35AF4DBE"/>
    <w:rsid w:val="35AFEED9"/>
    <w:rsid w:val="35B1E616"/>
    <w:rsid w:val="35B38803"/>
    <w:rsid w:val="35B38A80"/>
    <w:rsid w:val="35B6435A"/>
    <w:rsid w:val="35B72F60"/>
    <w:rsid w:val="35BB3AF5"/>
    <w:rsid w:val="35BE3050"/>
    <w:rsid w:val="35BE4FFC"/>
    <w:rsid w:val="35BEB483"/>
    <w:rsid w:val="35BEEAAF"/>
    <w:rsid w:val="35BF8139"/>
    <w:rsid w:val="35C01577"/>
    <w:rsid w:val="35C1D022"/>
    <w:rsid w:val="35C32F63"/>
    <w:rsid w:val="35C473CF"/>
    <w:rsid w:val="35C4FF8F"/>
    <w:rsid w:val="35C5F816"/>
    <w:rsid w:val="35C72184"/>
    <w:rsid w:val="35C79BEA"/>
    <w:rsid w:val="35C91021"/>
    <w:rsid w:val="35CA52C8"/>
    <w:rsid w:val="35CC020F"/>
    <w:rsid w:val="35CD5B07"/>
    <w:rsid w:val="35CEB852"/>
    <w:rsid w:val="35CFEAD9"/>
    <w:rsid w:val="35D069C6"/>
    <w:rsid w:val="35D2DB35"/>
    <w:rsid w:val="35D2FEE0"/>
    <w:rsid w:val="35D3BD5F"/>
    <w:rsid w:val="35D3D0FE"/>
    <w:rsid w:val="35D5DB2E"/>
    <w:rsid w:val="35D70A9E"/>
    <w:rsid w:val="35D73B37"/>
    <w:rsid w:val="35D9BC5D"/>
    <w:rsid w:val="35DB2719"/>
    <w:rsid w:val="35DE5435"/>
    <w:rsid w:val="35DE6FB4"/>
    <w:rsid w:val="35DF60BF"/>
    <w:rsid w:val="35E0296C"/>
    <w:rsid w:val="35E30972"/>
    <w:rsid w:val="35E43E3B"/>
    <w:rsid w:val="35E55D9F"/>
    <w:rsid w:val="35E7E205"/>
    <w:rsid w:val="35E83938"/>
    <w:rsid w:val="35E85444"/>
    <w:rsid w:val="35E9759D"/>
    <w:rsid w:val="35EBDBA4"/>
    <w:rsid w:val="35EC21AB"/>
    <w:rsid w:val="35EC8DFD"/>
    <w:rsid w:val="35EF3712"/>
    <w:rsid w:val="35EF4EE0"/>
    <w:rsid w:val="35F15E44"/>
    <w:rsid w:val="35F38E23"/>
    <w:rsid w:val="35F396E9"/>
    <w:rsid w:val="35F4C65D"/>
    <w:rsid w:val="35F521D7"/>
    <w:rsid w:val="35F60741"/>
    <w:rsid w:val="35F63DD1"/>
    <w:rsid w:val="35F84585"/>
    <w:rsid w:val="35F84918"/>
    <w:rsid w:val="35FD5DB2"/>
    <w:rsid w:val="35FE3EC7"/>
    <w:rsid w:val="3600A722"/>
    <w:rsid w:val="3600D27A"/>
    <w:rsid w:val="360187DD"/>
    <w:rsid w:val="36020D58"/>
    <w:rsid w:val="360249C4"/>
    <w:rsid w:val="3602791C"/>
    <w:rsid w:val="3604D8B3"/>
    <w:rsid w:val="3605CEE8"/>
    <w:rsid w:val="36090322"/>
    <w:rsid w:val="360982EA"/>
    <w:rsid w:val="360B5E9D"/>
    <w:rsid w:val="360BC96E"/>
    <w:rsid w:val="360F1767"/>
    <w:rsid w:val="3610D82F"/>
    <w:rsid w:val="36117B14"/>
    <w:rsid w:val="361191F2"/>
    <w:rsid w:val="3611ED4F"/>
    <w:rsid w:val="3614FCD0"/>
    <w:rsid w:val="3615D135"/>
    <w:rsid w:val="3616156D"/>
    <w:rsid w:val="3616A186"/>
    <w:rsid w:val="36174A00"/>
    <w:rsid w:val="361A6162"/>
    <w:rsid w:val="361DC33A"/>
    <w:rsid w:val="361FC88B"/>
    <w:rsid w:val="36220094"/>
    <w:rsid w:val="3622BFFD"/>
    <w:rsid w:val="36251BD7"/>
    <w:rsid w:val="3627511A"/>
    <w:rsid w:val="3627CB65"/>
    <w:rsid w:val="362A8328"/>
    <w:rsid w:val="362BEBAD"/>
    <w:rsid w:val="362D8DDF"/>
    <w:rsid w:val="362FBBE4"/>
    <w:rsid w:val="3631EB9D"/>
    <w:rsid w:val="3632D532"/>
    <w:rsid w:val="36357FBC"/>
    <w:rsid w:val="36358674"/>
    <w:rsid w:val="3635E823"/>
    <w:rsid w:val="36362E5C"/>
    <w:rsid w:val="3636909B"/>
    <w:rsid w:val="3636DBFC"/>
    <w:rsid w:val="363A8E68"/>
    <w:rsid w:val="363D384B"/>
    <w:rsid w:val="363FD804"/>
    <w:rsid w:val="3641127C"/>
    <w:rsid w:val="3641F473"/>
    <w:rsid w:val="3643A6CE"/>
    <w:rsid w:val="364468E6"/>
    <w:rsid w:val="36448A6D"/>
    <w:rsid w:val="36450D07"/>
    <w:rsid w:val="3645C0C1"/>
    <w:rsid w:val="3645C747"/>
    <w:rsid w:val="364619D1"/>
    <w:rsid w:val="36491338"/>
    <w:rsid w:val="3649668D"/>
    <w:rsid w:val="3649EAD7"/>
    <w:rsid w:val="364A5865"/>
    <w:rsid w:val="364C9090"/>
    <w:rsid w:val="364E264D"/>
    <w:rsid w:val="364F498D"/>
    <w:rsid w:val="364FBC63"/>
    <w:rsid w:val="3650EC10"/>
    <w:rsid w:val="3651A46E"/>
    <w:rsid w:val="36520F1B"/>
    <w:rsid w:val="36543F84"/>
    <w:rsid w:val="3654F3B6"/>
    <w:rsid w:val="36550EFC"/>
    <w:rsid w:val="36588F81"/>
    <w:rsid w:val="36589544"/>
    <w:rsid w:val="36592DD6"/>
    <w:rsid w:val="365BC419"/>
    <w:rsid w:val="365CF7C6"/>
    <w:rsid w:val="365D698A"/>
    <w:rsid w:val="365E1F37"/>
    <w:rsid w:val="3661637F"/>
    <w:rsid w:val="36632761"/>
    <w:rsid w:val="36632A21"/>
    <w:rsid w:val="36634B85"/>
    <w:rsid w:val="36650F4C"/>
    <w:rsid w:val="36661F75"/>
    <w:rsid w:val="3666D4B9"/>
    <w:rsid w:val="3667E0CB"/>
    <w:rsid w:val="366948FD"/>
    <w:rsid w:val="366AA705"/>
    <w:rsid w:val="366ADA4C"/>
    <w:rsid w:val="366B64DA"/>
    <w:rsid w:val="366C6E89"/>
    <w:rsid w:val="366D0F14"/>
    <w:rsid w:val="366DB606"/>
    <w:rsid w:val="366E3D2C"/>
    <w:rsid w:val="366F752B"/>
    <w:rsid w:val="36707409"/>
    <w:rsid w:val="3670F647"/>
    <w:rsid w:val="36711FD4"/>
    <w:rsid w:val="367252DA"/>
    <w:rsid w:val="367304BF"/>
    <w:rsid w:val="3674C3E5"/>
    <w:rsid w:val="3674CFE0"/>
    <w:rsid w:val="367775A3"/>
    <w:rsid w:val="3679885F"/>
    <w:rsid w:val="367ACA8D"/>
    <w:rsid w:val="367D0353"/>
    <w:rsid w:val="367D5435"/>
    <w:rsid w:val="367D973F"/>
    <w:rsid w:val="367E9C93"/>
    <w:rsid w:val="367FD81D"/>
    <w:rsid w:val="367FE043"/>
    <w:rsid w:val="36809EF8"/>
    <w:rsid w:val="36812875"/>
    <w:rsid w:val="36816AD7"/>
    <w:rsid w:val="3681F03F"/>
    <w:rsid w:val="3681FB9A"/>
    <w:rsid w:val="36836BA4"/>
    <w:rsid w:val="368498DD"/>
    <w:rsid w:val="3684E18A"/>
    <w:rsid w:val="36854887"/>
    <w:rsid w:val="36863E1D"/>
    <w:rsid w:val="36877DAA"/>
    <w:rsid w:val="3688209D"/>
    <w:rsid w:val="3688C2CD"/>
    <w:rsid w:val="368922A4"/>
    <w:rsid w:val="36893492"/>
    <w:rsid w:val="368D4143"/>
    <w:rsid w:val="368E799B"/>
    <w:rsid w:val="369439DF"/>
    <w:rsid w:val="36955651"/>
    <w:rsid w:val="36960F23"/>
    <w:rsid w:val="36965617"/>
    <w:rsid w:val="3698388C"/>
    <w:rsid w:val="3699AFEC"/>
    <w:rsid w:val="369A0665"/>
    <w:rsid w:val="369A374F"/>
    <w:rsid w:val="369A3F4D"/>
    <w:rsid w:val="369BAAE2"/>
    <w:rsid w:val="369EE45B"/>
    <w:rsid w:val="36A20E1D"/>
    <w:rsid w:val="36A2DD09"/>
    <w:rsid w:val="36A36268"/>
    <w:rsid w:val="36A436A0"/>
    <w:rsid w:val="36A700B0"/>
    <w:rsid w:val="36A76434"/>
    <w:rsid w:val="36A7F5BE"/>
    <w:rsid w:val="36A8177A"/>
    <w:rsid w:val="36A8A983"/>
    <w:rsid w:val="36A8B473"/>
    <w:rsid w:val="36A8D120"/>
    <w:rsid w:val="36A8DD68"/>
    <w:rsid w:val="36AA06D5"/>
    <w:rsid w:val="36AB72CB"/>
    <w:rsid w:val="36AD8280"/>
    <w:rsid w:val="36AE2AC1"/>
    <w:rsid w:val="36B070B7"/>
    <w:rsid w:val="36B1C4FA"/>
    <w:rsid w:val="36B375B8"/>
    <w:rsid w:val="36B4602F"/>
    <w:rsid w:val="36B463B4"/>
    <w:rsid w:val="36B6429F"/>
    <w:rsid w:val="36B8C5B3"/>
    <w:rsid w:val="36BA4C1D"/>
    <w:rsid w:val="36BA9331"/>
    <w:rsid w:val="36BDA0E7"/>
    <w:rsid w:val="36BF0C1E"/>
    <w:rsid w:val="36BF5B74"/>
    <w:rsid w:val="36C01DC0"/>
    <w:rsid w:val="36C2E669"/>
    <w:rsid w:val="36C306FD"/>
    <w:rsid w:val="36C345D2"/>
    <w:rsid w:val="36C35B4C"/>
    <w:rsid w:val="36C69B60"/>
    <w:rsid w:val="36D38498"/>
    <w:rsid w:val="36D433DB"/>
    <w:rsid w:val="36D6C7FD"/>
    <w:rsid w:val="36D7A3C9"/>
    <w:rsid w:val="36D8331D"/>
    <w:rsid w:val="36D9129A"/>
    <w:rsid w:val="36D9B932"/>
    <w:rsid w:val="36DAA0FF"/>
    <w:rsid w:val="36DB1839"/>
    <w:rsid w:val="36DC972B"/>
    <w:rsid w:val="36E2F4BA"/>
    <w:rsid w:val="36E5ABA4"/>
    <w:rsid w:val="36EB108C"/>
    <w:rsid w:val="36EB895E"/>
    <w:rsid w:val="36EE1F91"/>
    <w:rsid w:val="36EE3A2C"/>
    <w:rsid w:val="36EE9644"/>
    <w:rsid w:val="36EF33A3"/>
    <w:rsid w:val="36EF44E9"/>
    <w:rsid w:val="36F1C372"/>
    <w:rsid w:val="36F22A7E"/>
    <w:rsid w:val="36F3391F"/>
    <w:rsid w:val="36F5B84F"/>
    <w:rsid w:val="36F96712"/>
    <w:rsid w:val="36F96BB0"/>
    <w:rsid w:val="36FFEAE7"/>
    <w:rsid w:val="370041A2"/>
    <w:rsid w:val="37016654"/>
    <w:rsid w:val="37031306"/>
    <w:rsid w:val="3706FEF0"/>
    <w:rsid w:val="370706B3"/>
    <w:rsid w:val="37090E55"/>
    <w:rsid w:val="370F65C1"/>
    <w:rsid w:val="37119CDE"/>
    <w:rsid w:val="371389C6"/>
    <w:rsid w:val="371429BE"/>
    <w:rsid w:val="371561AB"/>
    <w:rsid w:val="3715913D"/>
    <w:rsid w:val="3715CBBE"/>
    <w:rsid w:val="3716FB7A"/>
    <w:rsid w:val="3719D9CC"/>
    <w:rsid w:val="371A3D92"/>
    <w:rsid w:val="371BDCF7"/>
    <w:rsid w:val="371FD9A5"/>
    <w:rsid w:val="37205AA2"/>
    <w:rsid w:val="3720AFC4"/>
    <w:rsid w:val="3720C614"/>
    <w:rsid w:val="37214B7D"/>
    <w:rsid w:val="3725E745"/>
    <w:rsid w:val="37267678"/>
    <w:rsid w:val="3726A7B3"/>
    <w:rsid w:val="37278D36"/>
    <w:rsid w:val="372839D2"/>
    <w:rsid w:val="3728DD1D"/>
    <w:rsid w:val="37297B96"/>
    <w:rsid w:val="372A1622"/>
    <w:rsid w:val="372D07B5"/>
    <w:rsid w:val="373128FD"/>
    <w:rsid w:val="3733BA10"/>
    <w:rsid w:val="373455DA"/>
    <w:rsid w:val="373498CD"/>
    <w:rsid w:val="3736C88B"/>
    <w:rsid w:val="37381558"/>
    <w:rsid w:val="373D3236"/>
    <w:rsid w:val="373E12C3"/>
    <w:rsid w:val="373E5272"/>
    <w:rsid w:val="37405C25"/>
    <w:rsid w:val="3740D125"/>
    <w:rsid w:val="3740D2DD"/>
    <w:rsid w:val="37412160"/>
    <w:rsid w:val="3742ED18"/>
    <w:rsid w:val="3743AB51"/>
    <w:rsid w:val="3744D65A"/>
    <w:rsid w:val="3745BCB6"/>
    <w:rsid w:val="37481E58"/>
    <w:rsid w:val="374933A1"/>
    <w:rsid w:val="374A5AB8"/>
    <w:rsid w:val="374C3B69"/>
    <w:rsid w:val="374D988F"/>
    <w:rsid w:val="374EAFE9"/>
    <w:rsid w:val="374FB2A8"/>
    <w:rsid w:val="3751C696"/>
    <w:rsid w:val="3753222A"/>
    <w:rsid w:val="3753332A"/>
    <w:rsid w:val="37569304"/>
    <w:rsid w:val="3757101D"/>
    <w:rsid w:val="37597B4C"/>
    <w:rsid w:val="375C1574"/>
    <w:rsid w:val="375C58C9"/>
    <w:rsid w:val="375D16D7"/>
    <w:rsid w:val="37616A12"/>
    <w:rsid w:val="3761D44C"/>
    <w:rsid w:val="37630368"/>
    <w:rsid w:val="376D5169"/>
    <w:rsid w:val="376E41D4"/>
    <w:rsid w:val="3772FED5"/>
    <w:rsid w:val="37741500"/>
    <w:rsid w:val="37743AD6"/>
    <w:rsid w:val="37758A49"/>
    <w:rsid w:val="377662ED"/>
    <w:rsid w:val="37768804"/>
    <w:rsid w:val="37772872"/>
    <w:rsid w:val="3778EFA8"/>
    <w:rsid w:val="3778FEBA"/>
    <w:rsid w:val="377BE518"/>
    <w:rsid w:val="377C26FE"/>
    <w:rsid w:val="377CB4DB"/>
    <w:rsid w:val="377DE4F5"/>
    <w:rsid w:val="377DEF1A"/>
    <w:rsid w:val="377E11F8"/>
    <w:rsid w:val="378250C4"/>
    <w:rsid w:val="3784F247"/>
    <w:rsid w:val="37853772"/>
    <w:rsid w:val="37861AD5"/>
    <w:rsid w:val="37873EF0"/>
    <w:rsid w:val="3788B7A6"/>
    <w:rsid w:val="37892767"/>
    <w:rsid w:val="378A3C47"/>
    <w:rsid w:val="378B28D7"/>
    <w:rsid w:val="378B3771"/>
    <w:rsid w:val="378C0E52"/>
    <w:rsid w:val="378F234C"/>
    <w:rsid w:val="37904453"/>
    <w:rsid w:val="37913643"/>
    <w:rsid w:val="379232DE"/>
    <w:rsid w:val="37923C1B"/>
    <w:rsid w:val="379374CF"/>
    <w:rsid w:val="37941BCA"/>
    <w:rsid w:val="3795C494"/>
    <w:rsid w:val="379888E5"/>
    <w:rsid w:val="379A7764"/>
    <w:rsid w:val="379C21B3"/>
    <w:rsid w:val="379C9023"/>
    <w:rsid w:val="379CA8E6"/>
    <w:rsid w:val="379E4484"/>
    <w:rsid w:val="37A16AF9"/>
    <w:rsid w:val="37A29C2D"/>
    <w:rsid w:val="37A332B6"/>
    <w:rsid w:val="37A54EF8"/>
    <w:rsid w:val="37A5A712"/>
    <w:rsid w:val="37A61AA3"/>
    <w:rsid w:val="37A7B058"/>
    <w:rsid w:val="37AD3814"/>
    <w:rsid w:val="37AF24FD"/>
    <w:rsid w:val="37B2820E"/>
    <w:rsid w:val="37B3734E"/>
    <w:rsid w:val="37B61DAE"/>
    <w:rsid w:val="37BBA0F9"/>
    <w:rsid w:val="37BFBFB3"/>
    <w:rsid w:val="37C21433"/>
    <w:rsid w:val="37C2A743"/>
    <w:rsid w:val="37C3DF2E"/>
    <w:rsid w:val="37C48E4A"/>
    <w:rsid w:val="37C52091"/>
    <w:rsid w:val="37C6B5C8"/>
    <w:rsid w:val="37C78064"/>
    <w:rsid w:val="37C7E4C9"/>
    <w:rsid w:val="37C9E676"/>
    <w:rsid w:val="37CAD18B"/>
    <w:rsid w:val="37CBF541"/>
    <w:rsid w:val="37CC278B"/>
    <w:rsid w:val="37D1CE67"/>
    <w:rsid w:val="37D29FC4"/>
    <w:rsid w:val="37D2B6B6"/>
    <w:rsid w:val="37D3FB05"/>
    <w:rsid w:val="37D4519C"/>
    <w:rsid w:val="37D4A5A2"/>
    <w:rsid w:val="37D67998"/>
    <w:rsid w:val="37D71B51"/>
    <w:rsid w:val="37D7A692"/>
    <w:rsid w:val="37D967E2"/>
    <w:rsid w:val="37DBECAE"/>
    <w:rsid w:val="37DBF181"/>
    <w:rsid w:val="37DC2C9F"/>
    <w:rsid w:val="37DEDC18"/>
    <w:rsid w:val="37E0DAC9"/>
    <w:rsid w:val="37E44FF4"/>
    <w:rsid w:val="37E5154D"/>
    <w:rsid w:val="37E73C42"/>
    <w:rsid w:val="37E8100F"/>
    <w:rsid w:val="37E988D3"/>
    <w:rsid w:val="37EAE835"/>
    <w:rsid w:val="37EBCD8E"/>
    <w:rsid w:val="37EC374C"/>
    <w:rsid w:val="37ED2AE2"/>
    <w:rsid w:val="37EE7A4B"/>
    <w:rsid w:val="37F28B6F"/>
    <w:rsid w:val="37F2F7E5"/>
    <w:rsid w:val="37F35039"/>
    <w:rsid w:val="37F3A320"/>
    <w:rsid w:val="37F48C6C"/>
    <w:rsid w:val="37F502B5"/>
    <w:rsid w:val="37F64885"/>
    <w:rsid w:val="37F72C70"/>
    <w:rsid w:val="37F756B1"/>
    <w:rsid w:val="37F7AE6B"/>
    <w:rsid w:val="37F805EB"/>
    <w:rsid w:val="37FB67F5"/>
    <w:rsid w:val="37FE3653"/>
    <w:rsid w:val="37FE601F"/>
    <w:rsid w:val="37FE735B"/>
    <w:rsid w:val="37FE8E10"/>
    <w:rsid w:val="3800188F"/>
    <w:rsid w:val="38037247"/>
    <w:rsid w:val="38038EBB"/>
    <w:rsid w:val="38040A87"/>
    <w:rsid w:val="3806DAD5"/>
    <w:rsid w:val="3806F7E3"/>
    <w:rsid w:val="3808922B"/>
    <w:rsid w:val="3809775A"/>
    <w:rsid w:val="380A15AC"/>
    <w:rsid w:val="380C2510"/>
    <w:rsid w:val="3812A5D1"/>
    <w:rsid w:val="3815518C"/>
    <w:rsid w:val="38184236"/>
    <w:rsid w:val="38191998"/>
    <w:rsid w:val="381DE77A"/>
    <w:rsid w:val="381E584F"/>
    <w:rsid w:val="381F039C"/>
    <w:rsid w:val="3820DA51"/>
    <w:rsid w:val="382115F6"/>
    <w:rsid w:val="38212E66"/>
    <w:rsid w:val="38277770"/>
    <w:rsid w:val="38284215"/>
    <w:rsid w:val="3828C430"/>
    <w:rsid w:val="3828C590"/>
    <w:rsid w:val="382A8F03"/>
    <w:rsid w:val="382C37F3"/>
    <w:rsid w:val="382D07C6"/>
    <w:rsid w:val="382EC328"/>
    <w:rsid w:val="382F54E1"/>
    <w:rsid w:val="3832020E"/>
    <w:rsid w:val="38329DE3"/>
    <w:rsid w:val="38333E72"/>
    <w:rsid w:val="38336724"/>
    <w:rsid w:val="3835BC8E"/>
    <w:rsid w:val="3836D31E"/>
    <w:rsid w:val="3837E975"/>
    <w:rsid w:val="3838F59B"/>
    <w:rsid w:val="3839BFA3"/>
    <w:rsid w:val="383B62E2"/>
    <w:rsid w:val="383BDAF0"/>
    <w:rsid w:val="383F31AA"/>
    <w:rsid w:val="3842B77E"/>
    <w:rsid w:val="384372E2"/>
    <w:rsid w:val="3844C90B"/>
    <w:rsid w:val="3845F360"/>
    <w:rsid w:val="3847975F"/>
    <w:rsid w:val="38482734"/>
    <w:rsid w:val="38487127"/>
    <w:rsid w:val="3848B6A3"/>
    <w:rsid w:val="3849F88A"/>
    <w:rsid w:val="384A011E"/>
    <w:rsid w:val="384AE0C0"/>
    <w:rsid w:val="384B0A94"/>
    <w:rsid w:val="384D9EF1"/>
    <w:rsid w:val="384DA137"/>
    <w:rsid w:val="384E3500"/>
    <w:rsid w:val="3852E497"/>
    <w:rsid w:val="38552BCE"/>
    <w:rsid w:val="3855A70C"/>
    <w:rsid w:val="385BF7BC"/>
    <w:rsid w:val="385D5F08"/>
    <w:rsid w:val="385D87A4"/>
    <w:rsid w:val="385DCA55"/>
    <w:rsid w:val="385E6FFE"/>
    <w:rsid w:val="385FBB34"/>
    <w:rsid w:val="3862D0AB"/>
    <w:rsid w:val="38634FD4"/>
    <w:rsid w:val="3863D921"/>
    <w:rsid w:val="3866D297"/>
    <w:rsid w:val="38690179"/>
    <w:rsid w:val="3869DE92"/>
    <w:rsid w:val="386DD5ED"/>
    <w:rsid w:val="386DDECC"/>
    <w:rsid w:val="386DF2BC"/>
    <w:rsid w:val="386E3FFC"/>
    <w:rsid w:val="386E89AD"/>
    <w:rsid w:val="386EBA30"/>
    <w:rsid w:val="3870A20B"/>
    <w:rsid w:val="3872183C"/>
    <w:rsid w:val="3872390C"/>
    <w:rsid w:val="3874108F"/>
    <w:rsid w:val="3874A739"/>
    <w:rsid w:val="387579B1"/>
    <w:rsid w:val="387B0475"/>
    <w:rsid w:val="387C8F1C"/>
    <w:rsid w:val="387CA509"/>
    <w:rsid w:val="387DFC72"/>
    <w:rsid w:val="387F0F8E"/>
    <w:rsid w:val="38804ABB"/>
    <w:rsid w:val="3881166A"/>
    <w:rsid w:val="3884B7E9"/>
    <w:rsid w:val="38869356"/>
    <w:rsid w:val="38886BDB"/>
    <w:rsid w:val="3889B560"/>
    <w:rsid w:val="388AE0F9"/>
    <w:rsid w:val="388BC114"/>
    <w:rsid w:val="388C0281"/>
    <w:rsid w:val="389170D5"/>
    <w:rsid w:val="3891C518"/>
    <w:rsid w:val="3891F81D"/>
    <w:rsid w:val="38927ABD"/>
    <w:rsid w:val="3894CA81"/>
    <w:rsid w:val="38958C58"/>
    <w:rsid w:val="38969903"/>
    <w:rsid w:val="3897805A"/>
    <w:rsid w:val="3899FEB9"/>
    <w:rsid w:val="389B2FFE"/>
    <w:rsid w:val="389E3C80"/>
    <w:rsid w:val="38A3D82F"/>
    <w:rsid w:val="38A3DE15"/>
    <w:rsid w:val="38A653D3"/>
    <w:rsid w:val="38A712B3"/>
    <w:rsid w:val="38A73451"/>
    <w:rsid w:val="38A80969"/>
    <w:rsid w:val="38A87E06"/>
    <w:rsid w:val="38A98794"/>
    <w:rsid w:val="38A9A80F"/>
    <w:rsid w:val="38A9AD2F"/>
    <w:rsid w:val="38AC30DD"/>
    <w:rsid w:val="38AD899F"/>
    <w:rsid w:val="38AE9B66"/>
    <w:rsid w:val="38B2CBDB"/>
    <w:rsid w:val="38B42FF9"/>
    <w:rsid w:val="38B504F7"/>
    <w:rsid w:val="38B57D0F"/>
    <w:rsid w:val="38B63C2F"/>
    <w:rsid w:val="38B7C29B"/>
    <w:rsid w:val="38B89981"/>
    <w:rsid w:val="38BA6CF5"/>
    <w:rsid w:val="38BAFD99"/>
    <w:rsid w:val="38BBDD09"/>
    <w:rsid w:val="38BE128F"/>
    <w:rsid w:val="38BE735C"/>
    <w:rsid w:val="38BF3796"/>
    <w:rsid w:val="38BF5CC0"/>
    <w:rsid w:val="38BFFF8B"/>
    <w:rsid w:val="38C0C255"/>
    <w:rsid w:val="38C2A3A0"/>
    <w:rsid w:val="38C4795B"/>
    <w:rsid w:val="38C57F23"/>
    <w:rsid w:val="38C7BE1A"/>
    <w:rsid w:val="38CA1477"/>
    <w:rsid w:val="38CBD268"/>
    <w:rsid w:val="38CE3267"/>
    <w:rsid w:val="38CE9642"/>
    <w:rsid w:val="38CEA06B"/>
    <w:rsid w:val="38D21E62"/>
    <w:rsid w:val="38D38873"/>
    <w:rsid w:val="38D40781"/>
    <w:rsid w:val="38D51A52"/>
    <w:rsid w:val="38D6027F"/>
    <w:rsid w:val="38DA047F"/>
    <w:rsid w:val="38DD15B1"/>
    <w:rsid w:val="38DD32DE"/>
    <w:rsid w:val="38DDEF23"/>
    <w:rsid w:val="38E01459"/>
    <w:rsid w:val="38E1FA4B"/>
    <w:rsid w:val="38E1FFDB"/>
    <w:rsid w:val="38E3653F"/>
    <w:rsid w:val="38E68415"/>
    <w:rsid w:val="38E6BAD8"/>
    <w:rsid w:val="38EA634F"/>
    <w:rsid w:val="38EA6624"/>
    <w:rsid w:val="38EB6B24"/>
    <w:rsid w:val="38ED3396"/>
    <w:rsid w:val="38ED65CB"/>
    <w:rsid w:val="38EED4CC"/>
    <w:rsid w:val="38F39111"/>
    <w:rsid w:val="38F5B124"/>
    <w:rsid w:val="38F6A3FF"/>
    <w:rsid w:val="38FB106C"/>
    <w:rsid w:val="38FC3479"/>
    <w:rsid w:val="38FE421D"/>
    <w:rsid w:val="3901B191"/>
    <w:rsid w:val="390274C9"/>
    <w:rsid w:val="390523B1"/>
    <w:rsid w:val="39062108"/>
    <w:rsid w:val="39069442"/>
    <w:rsid w:val="3908F87B"/>
    <w:rsid w:val="390AF023"/>
    <w:rsid w:val="390B5E86"/>
    <w:rsid w:val="390B92C6"/>
    <w:rsid w:val="390C7769"/>
    <w:rsid w:val="390E09C4"/>
    <w:rsid w:val="390FBD7E"/>
    <w:rsid w:val="39125168"/>
    <w:rsid w:val="39126963"/>
    <w:rsid w:val="39147C41"/>
    <w:rsid w:val="3914FD89"/>
    <w:rsid w:val="39151AED"/>
    <w:rsid w:val="39155CAE"/>
    <w:rsid w:val="39167A39"/>
    <w:rsid w:val="3917F61E"/>
    <w:rsid w:val="391A57AD"/>
    <w:rsid w:val="391AABA7"/>
    <w:rsid w:val="391B0368"/>
    <w:rsid w:val="391B109D"/>
    <w:rsid w:val="391B4A39"/>
    <w:rsid w:val="391BE8C1"/>
    <w:rsid w:val="391EAF53"/>
    <w:rsid w:val="391EF608"/>
    <w:rsid w:val="391F0F84"/>
    <w:rsid w:val="39200905"/>
    <w:rsid w:val="3923159F"/>
    <w:rsid w:val="392319C6"/>
    <w:rsid w:val="39280FDC"/>
    <w:rsid w:val="3928902A"/>
    <w:rsid w:val="3929531E"/>
    <w:rsid w:val="392BA9DA"/>
    <w:rsid w:val="392BE2D4"/>
    <w:rsid w:val="392C894D"/>
    <w:rsid w:val="392E5C52"/>
    <w:rsid w:val="3933F0ED"/>
    <w:rsid w:val="3935D619"/>
    <w:rsid w:val="393A19EF"/>
    <w:rsid w:val="393B1538"/>
    <w:rsid w:val="393BAEFC"/>
    <w:rsid w:val="393C5D04"/>
    <w:rsid w:val="393F8BC1"/>
    <w:rsid w:val="39427B2A"/>
    <w:rsid w:val="3944A908"/>
    <w:rsid w:val="39475E06"/>
    <w:rsid w:val="394A5BBA"/>
    <w:rsid w:val="394AB76D"/>
    <w:rsid w:val="394ABCE0"/>
    <w:rsid w:val="394D2390"/>
    <w:rsid w:val="39501970"/>
    <w:rsid w:val="3952E42E"/>
    <w:rsid w:val="3952EA8D"/>
    <w:rsid w:val="395378A6"/>
    <w:rsid w:val="3953792C"/>
    <w:rsid w:val="3953DDDF"/>
    <w:rsid w:val="3954A92F"/>
    <w:rsid w:val="395668E4"/>
    <w:rsid w:val="39575526"/>
    <w:rsid w:val="395996A8"/>
    <w:rsid w:val="395CE475"/>
    <w:rsid w:val="395E5D09"/>
    <w:rsid w:val="395EA505"/>
    <w:rsid w:val="395ECAEA"/>
    <w:rsid w:val="3964077E"/>
    <w:rsid w:val="396519F9"/>
    <w:rsid w:val="39673BE1"/>
    <w:rsid w:val="39679C7D"/>
    <w:rsid w:val="39687B82"/>
    <w:rsid w:val="396C5D43"/>
    <w:rsid w:val="396E3168"/>
    <w:rsid w:val="396EBA34"/>
    <w:rsid w:val="3970974E"/>
    <w:rsid w:val="3970B188"/>
    <w:rsid w:val="39712F3D"/>
    <w:rsid w:val="3974E488"/>
    <w:rsid w:val="39766113"/>
    <w:rsid w:val="3977939A"/>
    <w:rsid w:val="3977E5DF"/>
    <w:rsid w:val="397915B4"/>
    <w:rsid w:val="39791C19"/>
    <w:rsid w:val="3979937B"/>
    <w:rsid w:val="3979D988"/>
    <w:rsid w:val="397A3B26"/>
    <w:rsid w:val="397BBB10"/>
    <w:rsid w:val="397C2BA0"/>
    <w:rsid w:val="397D3772"/>
    <w:rsid w:val="397D5C30"/>
    <w:rsid w:val="397D6A24"/>
    <w:rsid w:val="397F5741"/>
    <w:rsid w:val="3982FD0F"/>
    <w:rsid w:val="3983FE13"/>
    <w:rsid w:val="39847C12"/>
    <w:rsid w:val="398828D7"/>
    <w:rsid w:val="3988DE2E"/>
    <w:rsid w:val="398A0D97"/>
    <w:rsid w:val="398D70AB"/>
    <w:rsid w:val="398DEFE9"/>
    <w:rsid w:val="398E1168"/>
    <w:rsid w:val="39911BBF"/>
    <w:rsid w:val="3992423B"/>
    <w:rsid w:val="3992A9FE"/>
    <w:rsid w:val="3997CF16"/>
    <w:rsid w:val="399845E6"/>
    <w:rsid w:val="39995CF9"/>
    <w:rsid w:val="399AB4EC"/>
    <w:rsid w:val="399D27B0"/>
    <w:rsid w:val="399D5261"/>
    <w:rsid w:val="399E5F74"/>
    <w:rsid w:val="399EF22A"/>
    <w:rsid w:val="39A005D9"/>
    <w:rsid w:val="39A03FBD"/>
    <w:rsid w:val="39A1C621"/>
    <w:rsid w:val="39A41DCB"/>
    <w:rsid w:val="39A6E432"/>
    <w:rsid w:val="39A6F86D"/>
    <w:rsid w:val="39A74BE8"/>
    <w:rsid w:val="39A77734"/>
    <w:rsid w:val="39A8431D"/>
    <w:rsid w:val="39A9F594"/>
    <w:rsid w:val="39AA40D5"/>
    <w:rsid w:val="39ACCBE8"/>
    <w:rsid w:val="39AE3B59"/>
    <w:rsid w:val="39AE3C02"/>
    <w:rsid w:val="39AF87CA"/>
    <w:rsid w:val="39B041ED"/>
    <w:rsid w:val="39B07ECA"/>
    <w:rsid w:val="39B2C62C"/>
    <w:rsid w:val="39B3B687"/>
    <w:rsid w:val="39B702AE"/>
    <w:rsid w:val="39B7273C"/>
    <w:rsid w:val="39B88561"/>
    <w:rsid w:val="39B8D88D"/>
    <w:rsid w:val="39B91AA4"/>
    <w:rsid w:val="39BAA2F2"/>
    <w:rsid w:val="39BD6CE3"/>
    <w:rsid w:val="39BE2D4F"/>
    <w:rsid w:val="39BE5D00"/>
    <w:rsid w:val="39C04016"/>
    <w:rsid w:val="39C0B89D"/>
    <w:rsid w:val="39C2583D"/>
    <w:rsid w:val="39C3688C"/>
    <w:rsid w:val="39C3A4AA"/>
    <w:rsid w:val="39C3C00E"/>
    <w:rsid w:val="39C56DF4"/>
    <w:rsid w:val="39C5CE84"/>
    <w:rsid w:val="39C6F52C"/>
    <w:rsid w:val="39C7E0AA"/>
    <w:rsid w:val="39C8B34C"/>
    <w:rsid w:val="39C901DC"/>
    <w:rsid w:val="39C9BCFD"/>
    <w:rsid w:val="39CAA0F2"/>
    <w:rsid w:val="39CE2E4D"/>
    <w:rsid w:val="39CE2FE7"/>
    <w:rsid w:val="39CE3195"/>
    <w:rsid w:val="39CF5AF9"/>
    <w:rsid w:val="39CFAC79"/>
    <w:rsid w:val="39D22FFD"/>
    <w:rsid w:val="39D29583"/>
    <w:rsid w:val="39D39B0B"/>
    <w:rsid w:val="39D3ACBC"/>
    <w:rsid w:val="39D3D528"/>
    <w:rsid w:val="39D66E39"/>
    <w:rsid w:val="39D9378F"/>
    <w:rsid w:val="39DA7F23"/>
    <w:rsid w:val="39DCF334"/>
    <w:rsid w:val="39DD86D4"/>
    <w:rsid w:val="39DE60E1"/>
    <w:rsid w:val="39DF1202"/>
    <w:rsid w:val="39E0C3BE"/>
    <w:rsid w:val="39E2279B"/>
    <w:rsid w:val="39E28B9C"/>
    <w:rsid w:val="39E315EE"/>
    <w:rsid w:val="39E42B6F"/>
    <w:rsid w:val="39E477F6"/>
    <w:rsid w:val="39E88B20"/>
    <w:rsid w:val="39E99DCD"/>
    <w:rsid w:val="39EA508F"/>
    <w:rsid w:val="39EC1852"/>
    <w:rsid w:val="39EC53BF"/>
    <w:rsid w:val="39EC9619"/>
    <w:rsid w:val="39ECD895"/>
    <w:rsid w:val="39F24674"/>
    <w:rsid w:val="39F6FEA3"/>
    <w:rsid w:val="39F9D55E"/>
    <w:rsid w:val="39FABBF5"/>
    <w:rsid w:val="39FC5FC4"/>
    <w:rsid w:val="39FD6922"/>
    <w:rsid w:val="3A012538"/>
    <w:rsid w:val="3A01442C"/>
    <w:rsid w:val="3A03EA44"/>
    <w:rsid w:val="3A04AEE1"/>
    <w:rsid w:val="3A082676"/>
    <w:rsid w:val="3A09A740"/>
    <w:rsid w:val="3A124881"/>
    <w:rsid w:val="3A128281"/>
    <w:rsid w:val="3A12C02A"/>
    <w:rsid w:val="3A162550"/>
    <w:rsid w:val="3A1791C4"/>
    <w:rsid w:val="3A17DC39"/>
    <w:rsid w:val="3A1936C8"/>
    <w:rsid w:val="3A1AA1D9"/>
    <w:rsid w:val="3A1BFBD4"/>
    <w:rsid w:val="3A1CBC88"/>
    <w:rsid w:val="3A1E7885"/>
    <w:rsid w:val="3A1F3563"/>
    <w:rsid w:val="3A20A2B5"/>
    <w:rsid w:val="3A22A71F"/>
    <w:rsid w:val="3A231444"/>
    <w:rsid w:val="3A23A59B"/>
    <w:rsid w:val="3A23FB1A"/>
    <w:rsid w:val="3A24D7C7"/>
    <w:rsid w:val="3A24F45E"/>
    <w:rsid w:val="3A268121"/>
    <w:rsid w:val="3A28F90F"/>
    <w:rsid w:val="3A2B3AAF"/>
    <w:rsid w:val="3A2C0A18"/>
    <w:rsid w:val="3A2C3E5C"/>
    <w:rsid w:val="3A2D814B"/>
    <w:rsid w:val="3A2D8554"/>
    <w:rsid w:val="3A2E49E9"/>
    <w:rsid w:val="3A2F3177"/>
    <w:rsid w:val="3A322FB2"/>
    <w:rsid w:val="3A32AF89"/>
    <w:rsid w:val="3A32BC47"/>
    <w:rsid w:val="3A32E45B"/>
    <w:rsid w:val="3A349978"/>
    <w:rsid w:val="3A35C2CB"/>
    <w:rsid w:val="3A396E19"/>
    <w:rsid w:val="3A3DBA6A"/>
    <w:rsid w:val="3A3E4878"/>
    <w:rsid w:val="3A3E4E74"/>
    <w:rsid w:val="3A42FBE9"/>
    <w:rsid w:val="3A431CDA"/>
    <w:rsid w:val="3A43E89B"/>
    <w:rsid w:val="3A440464"/>
    <w:rsid w:val="3A453FE6"/>
    <w:rsid w:val="3A459A3D"/>
    <w:rsid w:val="3A45B157"/>
    <w:rsid w:val="3A472637"/>
    <w:rsid w:val="3A4AB319"/>
    <w:rsid w:val="3A4C515D"/>
    <w:rsid w:val="3A4CB8C6"/>
    <w:rsid w:val="3A4FFBCC"/>
    <w:rsid w:val="3A5047E1"/>
    <w:rsid w:val="3A50BDC6"/>
    <w:rsid w:val="3A52E872"/>
    <w:rsid w:val="3A557185"/>
    <w:rsid w:val="3A58A20E"/>
    <w:rsid w:val="3A59628B"/>
    <w:rsid w:val="3A599C2B"/>
    <w:rsid w:val="3A5B0339"/>
    <w:rsid w:val="3A5CBAE4"/>
    <w:rsid w:val="3A5D93B6"/>
    <w:rsid w:val="3A5E3E34"/>
    <w:rsid w:val="3A5E4582"/>
    <w:rsid w:val="3A5E84AD"/>
    <w:rsid w:val="3A5E9D80"/>
    <w:rsid w:val="3A623FB8"/>
    <w:rsid w:val="3A647DF7"/>
    <w:rsid w:val="3A66CF2D"/>
    <w:rsid w:val="3A66FAF8"/>
    <w:rsid w:val="3A674411"/>
    <w:rsid w:val="3A67B2F1"/>
    <w:rsid w:val="3A69CA19"/>
    <w:rsid w:val="3A6B1213"/>
    <w:rsid w:val="3A6DC5DB"/>
    <w:rsid w:val="3A6E69B2"/>
    <w:rsid w:val="3A6F733E"/>
    <w:rsid w:val="3A70AEC2"/>
    <w:rsid w:val="3A71B5A5"/>
    <w:rsid w:val="3A7220F8"/>
    <w:rsid w:val="3A75A848"/>
    <w:rsid w:val="3A772611"/>
    <w:rsid w:val="3A77CAD9"/>
    <w:rsid w:val="3A77D147"/>
    <w:rsid w:val="3A7A7898"/>
    <w:rsid w:val="3A7C3D15"/>
    <w:rsid w:val="3A7C9BA8"/>
    <w:rsid w:val="3A814E0B"/>
    <w:rsid w:val="3A81BC23"/>
    <w:rsid w:val="3A82F745"/>
    <w:rsid w:val="3A832D0D"/>
    <w:rsid w:val="3A83ED8B"/>
    <w:rsid w:val="3A86DA82"/>
    <w:rsid w:val="3A87D103"/>
    <w:rsid w:val="3A8886EB"/>
    <w:rsid w:val="3A8889CC"/>
    <w:rsid w:val="3A8923A2"/>
    <w:rsid w:val="3A8A7DC4"/>
    <w:rsid w:val="3A8BFA8D"/>
    <w:rsid w:val="3A8FCF16"/>
    <w:rsid w:val="3A92532A"/>
    <w:rsid w:val="3A942EAB"/>
    <w:rsid w:val="3A96F630"/>
    <w:rsid w:val="3A98DC60"/>
    <w:rsid w:val="3A9A37C6"/>
    <w:rsid w:val="3A9B6D19"/>
    <w:rsid w:val="3A9C2654"/>
    <w:rsid w:val="3A9C956D"/>
    <w:rsid w:val="3A9CC84F"/>
    <w:rsid w:val="3A9CE898"/>
    <w:rsid w:val="3A9D8983"/>
    <w:rsid w:val="3AA08BA3"/>
    <w:rsid w:val="3AA4B9B2"/>
    <w:rsid w:val="3AA4CD23"/>
    <w:rsid w:val="3AA5735B"/>
    <w:rsid w:val="3AA625F1"/>
    <w:rsid w:val="3AA65443"/>
    <w:rsid w:val="3AAA8436"/>
    <w:rsid w:val="3AAB6409"/>
    <w:rsid w:val="3AABEC60"/>
    <w:rsid w:val="3AAF47D2"/>
    <w:rsid w:val="3AAFC422"/>
    <w:rsid w:val="3AB1EDE2"/>
    <w:rsid w:val="3AB2AAB1"/>
    <w:rsid w:val="3AB63F59"/>
    <w:rsid w:val="3ABC9AA4"/>
    <w:rsid w:val="3ABE6AC0"/>
    <w:rsid w:val="3AC518D8"/>
    <w:rsid w:val="3AC8430E"/>
    <w:rsid w:val="3AC9007C"/>
    <w:rsid w:val="3ACB717B"/>
    <w:rsid w:val="3ACEE14A"/>
    <w:rsid w:val="3AD27F12"/>
    <w:rsid w:val="3AD3F2C4"/>
    <w:rsid w:val="3AD445DB"/>
    <w:rsid w:val="3AD4A0B6"/>
    <w:rsid w:val="3AD4EC6B"/>
    <w:rsid w:val="3AD6F3E2"/>
    <w:rsid w:val="3AD7EDEA"/>
    <w:rsid w:val="3AD8811A"/>
    <w:rsid w:val="3ADCCB8C"/>
    <w:rsid w:val="3ADCCC35"/>
    <w:rsid w:val="3ADE2861"/>
    <w:rsid w:val="3ADEB0B3"/>
    <w:rsid w:val="3ADF0313"/>
    <w:rsid w:val="3AE03CE5"/>
    <w:rsid w:val="3AE0C6BB"/>
    <w:rsid w:val="3AE45420"/>
    <w:rsid w:val="3AE64A3F"/>
    <w:rsid w:val="3AE73247"/>
    <w:rsid w:val="3AE7A080"/>
    <w:rsid w:val="3AE91C66"/>
    <w:rsid w:val="3AEB77B9"/>
    <w:rsid w:val="3AEB7E75"/>
    <w:rsid w:val="3AED315E"/>
    <w:rsid w:val="3AEE3913"/>
    <w:rsid w:val="3AEFB12F"/>
    <w:rsid w:val="3AF0077A"/>
    <w:rsid w:val="3AF19D42"/>
    <w:rsid w:val="3AF28EC4"/>
    <w:rsid w:val="3AF3F5A4"/>
    <w:rsid w:val="3AF9C80C"/>
    <w:rsid w:val="3AFB28E2"/>
    <w:rsid w:val="3AFB5FC3"/>
    <w:rsid w:val="3AFB8759"/>
    <w:rsid w:val="3AFBA616"/>
    <w:rsid w:val="3AFF2987"/>
    <w:rsid w:val="3B02B748"/>
    <w:rsid w:val="3B0405E4"/>
    <w:rsid w:val="3B04776D"/>
    <w:rsid w:val="3B05F21A"/>
    <w:rsid w:val="3B06348A"/>
    <w:rsid w:val="3B067F42"/>
    <w:rsid w:val="3B0870EF"/>
    <w:rsid w:val="3B0993B9"/>
    <w:rsid w:val="3B0A5D6D"/>
    <w:rsid w:val="3B0AB7AA"/>
    <w:rsid w:val="3B0B012D"/>
    <w:rsid w:val="3B0B0D79"/>
    <w:rsid w:val="3B0EBE1C"/>
    <w:rsid w:val="3B1167CE"/>
    <w:rsid w:val="3B1168C0"/>
    <w:rsid w:val="3B11BF3C"/>
    <w:rsid w:val="3B137636"/>
    <w:rsid w:val="3B14BC01"/>
    <w:rsid w:val="3B14E59A"/>
    <w:rsid w:val="3B153808"/>
    <w:rsid w:val="3B170EAD"/>
    <w:rsid w:val="3B17129A"/>
    <w:rsid w:val="3B17C358"/>
    <w:rsid w:val="3B1B2719"/>
    <w:rsid w:val="3B1BD718"/>
    <w:rsid w:val="3B1BE1E2"/>
    <w:rsid w:val="3B1D3289"/>
    <w:rsid w:val="3B1E7A20"/>
    <w:rsid w:val="3B2343E8"/>
    <w:rsid w:val="3B247AFF"/>
    <w:rsid w:val="3B25B5FE"/>
    <w:rsid w:val="3B260D14"/>
    <w:rsid w:val="3B2748AC"/>
    <w:rsid w:val="3B2C2C3E"/>
    <w:rsid w:val="3B2E5D85"/>
    <w:rsid w:val="3B2EF325"/>
    <w:rsid w:val="3B2EFE1F"/>
    <w:rsid w:val="3B2FE8A4"/>
    <w:rsid w:val="3B302002"/>
    <w:rsid w:val="3B318CFB"/>
    <w:rsid w:val="3B3244F9"/>
    <w:rsid w:val="3B3623F4"/>
    <w:rsid w:val="3B37F682"/>
    <w:rsid w:val="3B382C8A"/>
    <w:rsid w:val="3B382E55"/>
    <w:rsid w:val="3B394682"/>
    <w:rsid w:val="3B3A0789"/>
    <w:rsid w:val="3B3B4AC3"/>
    <w:rsid w:val="3B3BB33C"/>
    <w:rsid w:val="3B3C4003"/>
    <w:rsid w:val="3B3D3437"/>
    <w:rsid w:val="3B3DB89C"/>
    <w:rsid w:val="3B3FD328"/>
    <w:rsid w:val="3B40634C"/>
    <w:rsid w:val="3B41F177"/>
    <w:rsid w:val="3B422762"/>
    <w:rsid w:val="3B4491F3"/>
    <w:rsid w:val="3B46DF56"/>
    <w:rsid w:val="3B4834A2"/>
    <w:rsid w:val="3B490724"/>
    <w:rsid w:val="3B4AB8CC"/>
    <w:rsid w:val="3B4F058F"/>
    <w:rsid w:val="3B4F3F9C"/>
    <w:rsid w:val="3B4FD36C"/>
    <w:rsid w:val="3B5434AE"/>
    <w:rsid w:val="3B55FCF9"/>
    <w:rsid w:val="3B5922BA"/>
    <w:rsid w:val="3B597363"/>
    <w:rsid w:val="3B59DB0C"/>
    <w:rsid w:val="3B5DE2D5"/>
    <w:rsid w:val="3B5EA65F"/>
    <w:rsid w:val="3B5FCBB5"/>
    <w:rsid w:val="3B644563"/>
    <w:rsid w:val="3B680554"/>
    <w:rsid w:val="3B696914"/>
    <w:rsid w:val="3B6DDA8B"/>
    <w:rsid w:val="3B70145D"/>
    <w:rsid w:val="3B702E7F"/>
    <w:rsid w:val="3B716C3C"/>
    <w:rsid w:val="3B71C0F9"/>
    <w:rsid w:val="3B723E0D"/>
    <w:rsid w:val="3B72F626"/>
    <w:rsid w:val="3B731E02"/>
    <w:rsid w:val="3B73A89E"/>
    <w:rsid w:val="3B7405CC"/>
    <w:rsid w:val="3B74D560"/>
    <w:rsid w:val="3B75EFF0"/>
    <w:rsid w:val="3B77FFAA"/>
    <w:rsid w:val="3B7CADFD"/>
    <w:rsid w:val="3B7E71E6"/>
    <w:rsid w:val="3B7ECEB7"/>
    <w:rsid w:val="3B880D90"/>
    <w:rsid w:val="3B8B8B85"/>
    <w:rsid w:val="3B8C6448"/>
    <w:rsid w:val="3B8CAF4A"/>
    <w:rsid w:val="3B8E45C0"/>
    <w:rsid w:val="3B8EB94F"/>
    <w:rsid w:val="3B8FF2D4"/>
    <w:rsid w:val="3B9247DF"/>
    <w:rsid w:val="3B92FA4B"/>
    <w:rsid w:val="3B943657"/>
    <w:rsid w:val="3B945BC4"/>
    <w:rsid w:val="3B94CFD8"/>
    <w:rsid w:val="3B96039E"/>
    <w:rsid w:val="3B9734A3"/>
    <w:rsid w:val="3B98ABFE"/>
    <w:rsid w:val="3B98C7EE"/>
    <w:rsid w:val="3B9A24E2"/>
    <w:rsid w:val="3B9A9FB0"/>
    <w:rsid w:val="3B9AE01A"/>
    <w:rsid w:val="3B9D62A1"/>
    <w:rsid w:val="3B9DA854"/>
    <w:rsid w:val="3B9F7FFE"/>
    <w:rsid w:val="3BA308D6"/>
    <w:rsid w:val="3BA3ADF7"/>
    <w:rsid w:val="3BA54148"/>
    <w:rsid w:val="3BA704BC"/>
    <w:rsid w:val="3BA966E0"/>
    <w:rsid w:val="3BAB3229"/>
    <w:rsid w:val="3BAB4C9B"/>
    <w:rsid w:val="3BAE48A0"/>
    <w:rsid w:val="3BAEC23B"/>
    <w:rsid w:val="3BAFC6B2"/>
    <w:rsid w:val="3BB06BCE"/>
    <w:rsid w:val="3BB1F6E0"/>
    <w:rsid w:val="3BB5DC4F"/>
    <w:rsid w:val="3BB686A8"/>
    <w:rsid w:val="3BB82D61"/>
    <w:rsid w:val="3BB8602C"/>
    <w:rsid w:val="3BB9AA51"/>
    <w:rsid w:val="3BBA2082"/>
    <w:rsid w:val="3BBA3C80"/>
    <w:rsid w:val="3BBB976B"/>
    <w:rsid w:val="3BBC7A57"/>
    <w:rsid w:val="3BBEB187"/>
    <w:rsid w:val="3BC11522"/>
    <w:rsid w:val="3BC19E0F"/>
    <w:rsid w:val="3BC235BC"/>
    <w:rsid w:val="3BC58532"/>
    <w:rsid w:val="3BC65A00"/>
    <w:rsid w:val="3BC81931"/>
    <w:rsid w:val="3BCCB18B"/>
    <w:rsid w:val="3BCD3C40"/>
    <w:rsid w:val="3BCDB1C9"/>
    <w:rsid w:val="3BD00E65"/>
    <w:rsid w:val="3BD35FD2"/>
    <w:rsid w:val="3BD41CB7"/>
    <w:rsid w:val="3BD62051"/>
    <w:rsid w:val="3BD6C72D"/>
    <w:rsid w:val="3BD9E42C"/>
    <w:rsid w:val="3BDA0026"/>
    <w:rsid w:val="3BDB07DA"/>
    <w:rsid w:val="3BDDACCA"/>
    <w:rsid w:val="3BDEA9F3"/>
    <w:rsid w:val="3BDF400D"/>
    <w:rsid w:val="3BE22994"/>
    <w:rsid w:val="3BE3E685"/>
    <w:rsid w:val="3BE3E6B0"/>
    <w:rsid w:val="3BE4C8BA"/>
    <w:rsid w:val="3BE6678E"/>
    <w:rsid w:val="3BE84475"/>
    <w:rsid w:val="3BEBF0BD"/>
    <w:rsid w:val="3BED460A"/>
    <w:rsid w:val="3BEDA603"/>
    <w:rsid w:val="3BEE2B5A"/>
    <w:rsid w:val="3BEE6940"/>
    <w:rsid w:val="3BEE6ECD"/>
    <w:rsid w:val="3BF00FFA"/>
    <w:rsid w:val="3BF363CF"/>
    <w:rsid w:val="3BF4726F"/>
    <w:rsid w:val="3BF5333C"/>
    <w:rsid w:val="3BF540EE"/>
    <w:rsid w:val="3BF5AC23"/>
    <w:rsid w:val="3BF62948"/>
    <w:rsid w:val="3BF6C426"/>
    <w:rsid w:val="3BF76FEF"/>
    <w:rsid w:val="3BF864BA"/>
    <w:rsid w:val="3BF915D0"/>
    <w:rsid w:val="3BF9C0E4"/>
    <w:rsid w:val="3BFD46F1"/>
    <w:rsid w:val="3BFEE80B"/>
    <w:rsid w:val="3BFEE900"/>
    <w:rsid w:val="3BFF5293"/>
    <w:rsid w:val="3BFF5DA8"/>
    <w:rsid w:val="3BFFF778"/>
    <w:rsid w:val="3C01D647"/>
    <w:rsid w:val="3C05D37D"/>
    <w:rsid w:val="3C06BA19"/>
    <w:rsid w:val="3C07556B"/>
    <w:rsid w:val="3C080EEF"/>
    <w:rsid w:val="3C0933DB"/>
    <w:rsid w:val="3C09D780"/>
    <w:rsid w:val="3C0C1799"/>
    <w:rsid w:val="3C0C7F23"/>
    <w:rsid w:val="3C0D57A1"/>
    <w:rsid w:val="3C0EE147"/>
    <w:rsid w:val="3C0F1895"/>
    <w:rsid w:val="3C10427D"/>
    <w:rsid w:val="3C11DE53"/>
    <w:rsid w:val="3C13F8BE"/>
    <w:rsid w:val="3C14507C"/>
    <w:rsid w:val="3C1473F0"/>
    <w:rsid w:val="3C14DD9D"/>
    <w:rsid w:val="3C198EDD"/>
    <w:rsid w:val="3C1BD68D"/>
    <w:rsid w:val="3C1CFA2F"/>
    <w:rsid w:val="3C1E2C75"/>
    <w:rsid w:val="3C1EF22C"/>
    <w:rsid w:val="3C21033A"/>
    <w:rsid w:val="3C21E409"/>
    <w:rsid w:val="3C23BA8A"/>
    <w:rsid w:val="3C24BEFA"/>
    <w:rsid w:val="3C269931"/>
    <w:rsid w:val="3C271305"/>
    <w:rsid w:val="3C2C340C"/>
    <w:rsid w:val="3C2EFE73"/>
    <w:rsid w:val="3C2FC6CA"/>
    <w:rsid w:val="3C307FB3"/>
    <w:rsid w:val="3C31916B"/>
    <w:rsid w:val="3C357185"/>
    <w:rsid w:val="3C357D4C"/>
    <w:rsid w:val="3C37F495"/>
    <w:rsid w:val="3C39229D"/>
    <w:rsid w:val="3C39FDCB"/>
    <w:rsid w:val="3C3AEEC6"/>
    <w:rsid w:val="3C3B2D0C"/>
    <w:rsid w:val="3C3B4E7D"/>
    <w:rsid w:val="3C3CE2E7"/>
    <w:rsid w:val="3C3D5DD7"/>
    <w:rsid w:val="3C3D960A"/>
    <w:rsid w:val="3C3F6E60"/>
    <w:rsid w:val="3C4145D3"/>
    <w:rsid w:val="3C437318"/>
    <w:rsid w:val="3C44454C"/>
    <w:rsid w:val="3C465A43"/>
    <w:rsid w:val="3C467107"/>
    <w:rsid w:val="3C46A6C4"/>
    <w:rsid w:val="3C46ED8B"/>
    <w:rsid w:val="3C47D706"/>
    <w:rsid w:val="3C4859B4"/>
    <w:rsid w:val="3C4939E6"/>
    <w:rsid w:val="3C4952E9"/>
    <w:rsid w:val="3C4AC940"/>
    <w:rsid w:val="3C4FD9B9"/>
    <w:rsid w:val="3C4FFF9D"/>
    <w:rsid w:val="3C50EA28"/>
    <w:rsid w:val="3C512662"/>
    <w:rsid w:val="3C5140CF"/>
    <w:rsid w:val="3C5219A7"/>
    <w:rsid w:val="3C530AB0"/>
    <w:rsid w:val="3C537338"/>
    <w:rsid w:val="3C55CDA4"/>
    <w:rsid w:val="3C5A0AC5"/>
    <w:rsid w:val="3C5ED448"/>
    <w:rsid w:val="3C5F813B"/>
    <w:rsid w:val="3C64FABD"/>
    <w:rsid w:val="3C65E8BA"/>
    <w:rsid w:val="3C6694DF"/>
    <w:rsid w:val="3C685B01"/>
    <w:rsid w:val="3C695CFF"/>
    <w:rsid w:val="3C6A11EA"/>
    <w:rsid w:val="3C6C3C24"/>
    <w:rsid w:val="3C6D2068"/>
    <w:rsid w:val="3C6D48C1"/>
    <w:rsid w:val="3C6DA6D6"/>
    <w:rsid w:val="3C6E205C"/>
    <w:rsid w:val="3C6E7C6B"/>
    <w:rsid w:val="3C7022D7"/>
    <w:rsid w:val="3C72DCB7"/>
    <w:rsid w:val="3C74B460"/>
    <w:rsid w:val="3C76BC89"/>
    <w:rsid w:val="3C7830B3"/>
    <w:rsid w:val="3C784218"/>
    <w:rsid w:val="3C78C405"/>
    <w:rsid w:val="3C7B7948"/>
    <w:rsid w:val="3C811F3D"/>
    <w:rsid w:val="3C821E09"/>
    <w:rsid w:val="3C847FA3"/>
    <w:rsid w:val="3C862A5F"/>
    <w:rsid w:val="3C86B675"/>
    <w:rsid w:val="3C86F071"/>
    <w:rsid w:val="3C870B1B"/>
    <w:rsid w:val="3C88229C"/>
    <w:rsid w:val="3C887B34"/>
    <w:rsid w:val="3C8B19EE"/>
    <w:rsid w:val="3C901130"/>
    <w:rsid w:val="3C914315"/>
    <w:rsid w:val="3C921A17"/>
    <w:rsid w:val="3C929036"/>
    <w:rsid w:val="3C935288"/>
    <w:rsid w:val="3C94F33D"/>
    <w:rsid w:val="3C954406"/>
    <w:rsid w:val="3C964B27"/>
    <w:rsid w:val="3C98FD61"/>
    <w:rsid w:val="3C997128"/>
    <w:rsid w:val="3C9A5641"/>
    <w:rsid w:val="3C9B08F6"/>
    <w:rsid w:val="3C9C1BBC"/>
    <w:rsid w:val="3C9C51B1"/>
    <w:rsid w:val="3C9CAD6C"/>
    <w:rsid w:val="3C9E46F5"/>
    <w:rsid w:val="3C9EE7B8"/>
    <w:rsid w:val="3C9FDC96"/>
    <w:rsid w:val="3C9FE865"/>
    <w:rsid w:val="3CA0AFC6"/>
    <w:rsid w:val="3CA23295"/>
    <w:rsid w:val="3CA3C33E"/>
    <w:rsid w:val="3CA4C763"/>
    <w:rsid w:val="3CA4FE2B"/>
    <w:rsid w:val="3CA9ECDE"/>
    <w:rsid w:val="3CAB6757"/>
    <w:rsid w:val="3CABAA62"/>
    <w:rsid w:val="3CAC413B"/>
    <w:rsid w:val="3CB14DB2"/>
    <w:rsid w:val="3CB21D83"/>
    <w:rsid w:val="3CB4432D"/>
    <w:rsid w:val="3CB6747B"/>
    <w:rsid w:val="3CB88371"/>
    <w:rsid w:val="3CB967F8"/>
    <w:rsid w:val="3CBA3BEC"/>
    <w:rsid w:val="3CBBAF71"/>
    <w:rsid w:val="3CC2C89D"/>
    <w:rsid w:val="3CC36183"/>
    <w:rsid w:val="3CC43B5F"/>
    <w:rsid w:val="3CC67B19"/>
    <w:rsid w:val="3CC7081B"/>
    <w:rsid w:val="3CC874C8"/>
    <w:rsid w:val="3CC99C70"/>
    <w:rsid w:val="3CC9AD26"/>
    <w:rsid w:val="3CCA1586"/>
    <w:rsid w:val="3CCB2937"/>
    <w:rsid w:val="3CCBC7F8"/>
    <w:rsid w:val="3CCFCCF9"/>
    <w:rsid w:val="3CD2DB9B"/>
    <w:rsid w:val="3CD3A73B"/>
    <w:rsid w:val="3CD3EA44"/>
    <w:rsid w:val="3CD51CC2"/>
    <w:rsid w:val="3CD59AC8"/>
    <w:rsid w:val="3CD62BD8"/>
    <w:rsid w:val="3CD77D13"/>
    <w:rsid w:val="3CD89A49"/>
    <w:rsid w:val="3CDE2010"/>
    <w:rsid w:val="3CDE66A8"/>
    <w:rsid w:val="3CDE7B93"/>
    <w:rsid w:val="3CDEC62F"/>
    <w:rsid w:val="3CDED7AD"/>
    <w:rsid w:val="3CE1AD08"/>
    <w:rsid w:val="3CE23905"/>
    <w:rsid w:val="3CE2E8FB"/>
    <w:rsid w:val="3CE3AC2F"/>
    <w:rsid w:val="3CE45451"/>
    <w:rsid w:val="3CE47890"/>
    <w:rsid w:val="3CE488F4"/>
    <w:rsid w:val="3CE4F894"/>
    <w:rsid w:val="3CE5D020"/>
    <w:rsid w:val="3CE73590"/>
    <w:rsid w:val="3CEA3AD2"/>
    <w:rsid w:val="3CEC4873"/>
    <w:rsid w:val="3CEC949E"/>
    <w:rsid w:val="3CECC0D5"/>
    <w:rsid w:val="3CEE0421"/>
    <w:rsid w:val="3CEE23BA"/>
    <w:rsid w:val="3CEE6A31"/>
    <w:rsid w:val="3CEF3D00"/>
    <w:rsid w:val="3CF02FE6"/>
    <w:rsid w:val="3CF139F6"/>
    <w:rsid w:val="3CF171DD"/>
    <w:rsid w:val="3CF1E545"/>
    <w:rsid w:val="3CF23A60"/>
    <w:rsid w:val="3CF3E688"/>
    <w:rsid w:val="3CF6A157"/>
    <w:rsid w:val="3D00F65E"/>
    <w:rsid w:val="3D01BD9D"/>
    <w:rsid w:val="3D028FF0"/>
    <w:rsid w:val="3D02C5D2"/>
    <w:rsid w:val="3D0471BE"/>
    <w:rsid w:val="3D04D128"/>
    <w:rsid w:val="3D05F19B"/>
    <w:rsid w:val="3D07688A"/>
    <w:rsid w:val="3D07782E"/>
    <w:rsid w:val="3D08DBA8"/>
    <w:rsid w:val="3D0A72E9"/>
    <w:rsid w:val="3D0A8303"/>
    <w:rsid w:val="3D0A9576"/>
    <w:rsid w:val="3D0C48EC"/>
    <w:rsid w:val="3D0D28B4"/>
    <w:rsid w:val="3D0E4EC0"/>
    <w:rsid w:val="3D0F8183"/>
    <w:rsid w:val="3D10915A"/>
    <w:rsid w:val="3D116453"/>
    <w:rsid w:val="3D140AF8"/>
    <w:rsid w:val="3D142F0C"/>
    <w:rsid w:val="3D15AD43"/>
    <w:rsid w:val="3D176003"/>
    <w:rsid w:val="3D18428C"/>
    <w:rsid w:val="3D1A47EF"/>
    <w:rsid w:val="3D1CE9D8"/>
    <w:rsid w:val="3D21CA73"/>
    <w:rsid w:val="3D21F209"/>
    <w:rsid w:val="3D227A4F"/>
    <w:rsid w:val="3D236267"/>
    <w:rsid w:val="3D23992B"/>
    <w:rsid w:val="3D24D529"/>
    <w:rsid w:val="3D25ABDB"/>
    <w:rsid w:val="3D26394E"/>
    <w:rsid w:val="3D26523B"/>
    <w:rsid w:val="3D2692D8"/>
    <w:rsid w:val="3D26B767"/>
    <w:rsid w:val="3D26B77D"/>
    <w:rsid w:val="3D27D305"/>
    <w:rsid w:val="3D28B854"/>
    <w:rsid w:val="3D2C07CD"/>
    <w:rsid w:val="3D2C8863"/>
    <w:rsid w:val="3D2CE75B"/>
    <w:rsid w:val="3D2D8C9A"/>
    <w:rsid w:val="3D2E38FC"/>
    <w:rsid w:val="3D2FCE86"/>
    <w:rsid w:val="3D305772"/>
    <w:rsid w:val="3D33D90C"/>
    <w:rsid w:val="3D34D295"/>
    <w:rsid w:val="3D35B4CC"/>
    <w:rsid w:val="3D35FA48"/>
    <w:rsid w:val="3D377E2A"/>
    <w:rsid w:val="3D3878A8"/>
    <w:rsid w:val="3D3B6A36"/>
    <w:rsid w:val="3D3F96DB"/>
    <w:rsid w:val="3D3FD765"/>
    <w:rsid w:val="3D406288"/>
    <w:rsid w:val="3D40E069"/>
    <w:rsid w:val="3D417C4F"/>
    <w:rsid w:val="3D45361B"/>
    <w:rsid w:val="3D456E5D"/>
    <w:rsid w:val="3D46C406"/>
    <w:rsid w:val="3D4775DD"/>
    <w:rsid w:val="3D4841AA"/>
    <w:rsid w:val="3D48FE50"/>
    <w:rsid w:val="3D4A1A26"/>
    <w:rsid w:val="3D4B29FA"/>
    <w:rsid w:val="3D4E3995"/>
    <w:rsid w:val="3D4F0031"/>
    <w:rsid w:val="3D500F4C"/>
    <w:rsid w:val="3D50561D"/>
    <w:rsid w:val="3D560CBE"/>
    <w:rsid w:val="3D572096"/>
    <w:rsid w:val="3D580F2E"/>
    <w:rsid w:val="3D5884A0"/>
    <w:rsid w:val="3D59603C"/>
    <w:rsid w:val="3D59C6A8"/>
    <w:rsid w:val="3D5A7F3D"/>
    <w:rsid w:val="3D5A8C5F"/>
    <w:rsid w:val="3D5AF42E"/>
    <w:rsid w:val="3D61625F"/>
    <w:rsid w:val="3D62D4D5"/>
    <w:rsid w:val="3D63605F"/>
    <w:rsid w:val="3D663382"/>
    <w:rsid w:val="3D684C27"/>
    <w:rsid w:val="3D6B63C6"/>
    <w:rsid w:val="3D6C5C12"/>
    <w:rsid w:val="3D6C97A9"/>
    <w:rsid w:val="3D6DE119"/>
    <w:rsid w:val="3D6F1E07"/>
    <w:rsid w:val="3D6F5325"/>
    <w:rsid w:val="3D6FEC8A"/>
    <w:rsid w:val="3D70398D"/>
    <w:rsid w:val="3D703E7D"/>
    <w:rsid w:val="3D71FF91"/>
    <w:rsid w:val="3D73A284"/>
    <w:rsid w:val="3D758FE3"/>
    <w:rsid w:val="3D77FAB1"/>
    <w:rsid w:val="3D780693"/>
    <w:rsid w:val="3D78E0C5"/>
    <w:rsid w:val="3D799745"/>
    <w:rsid w:val="3D79CCF3"/>
    <w:rsid w:val="3D7A1360"/>
    <w:rsid w:val="3D7AEFDA"/>
    <w:rsid w:val="3D7F72AD"/>
    <w:rsid w:val="3D7F9A86"/>
    <w:rsid w:val="3D8034A4"/>
    <w:rsid w:val="3D805F13"/>
    <w:rsid w:val="3D8177D9"/>
    <w:rsid w:val="3D82D44C"/>
    <w:rsid w:val="3D858C6B"/>
    <w:rsid w:val="3D85C317"/>
    <w:rsid w:val="3D86AE84"/>
    <w:rsid w:val="3D8AD948"/>
    <w:rsid w:val="3D8BB629"/>
    <w:rsid w:val="3D8C550F"/>
    <w:rsid w:val="3D8C8EE6"/>
    <w:rsid w:val="3D8D8A54"/>
    <w:rsid w:val="3D8E3B00"/>
    <w:rsid w:val="3D8EED26"/>
    <w:rsid w:val="3D9005A8"/>
    <w:rsid w:val="3D90F297"/>
    <w:rsid w:val="3D910B65"/>
    <w:rsid w:val="3D949216"/>
    <w:rsid w:val="3D95D341"/>
    <w:rsid w:val="3D962544"/>
    <w:rsid w:val="3D97319F"/>
    <w:rsid w:val="3D992014"/>
    <w:rsid w:val="3D9920B9"/>
    <w:rsid w:val="3D9979C6"/>
    <w:rsid w:val="3D9AA0C4"/>
    <w:rsid w:val="3D9B116C"/>
    <w:rsid w:val="3D9CC5B8"/>
    <w:rsid w:val="3D9F78F2"/>
    <w:rsid w:val="3DA25BE9"/>
    <w:rsid w:val="3DA4A217"/>
    <w:rsid w:val="3DA4EA16"/>
    <w:rsid w:val="3DA7E299"/>
    <w:rsid w:val="3DA8FDF5"/>
    <w:rsid w:val="3DABA379"/>
    <w:rsid w:val="3DAD3759"/>
    <w:rsid w:val="3DAE0687"/>
    <w:rsid w:val="3DB17934"/>
    <w:rsid w:val="3DB24251"/>
    <w:rsid w:val="3DB395E0"/>
    <w:rsid w:val="3DB4F7EA"/>
    <w:rsid w:val="3DB5E347"/>
    <w:rsid w:val="3DB6CFEB"/>
    <w:rsid w:val="3DB7C978"/>
    <w:rsid w:val="3DBF22E3"/>
    <w:rsid w:val="3DC2D82B"/>
    <w:rsid w:val="3DC43870"/>
    <w:rsid w:val="3DC49FE4"/>
    <w:rsid w:val="3DC4C711"/>
    <w:rsid w:val="3DC8A7B8"/>
    <w:rsid w:val="3DC8C58C"/>
    <w:rsid w:val="3DCA5662"/>
    <w:rsid w:val="3DCA6D5C"/>
    <w:rsid w:val="3DCDB901"/>
    <w:rsid w:val="3DCF47B8"/>
    <w:rsid w:val="3DCF6893"/>
    <w:rsid w:val="3DD5E2C1"/>
    <w:rsid w:val="3DD61881"/>
    <w:rsid w:val="3DD80A66"/>
    <w:rsid w:val="3DDC16D3"/>
    <w:rsid w:val="3DDC9BC2"/>
    <w:rsid w:val="3DDE5EC5"/>
    <w:rsid w:val="3DE10E49"/>
    <w:rsid w:val="3DE15E03"/>
    <w:rsid w:val="3DE1E495"/>
    <w:rsid w:val="3DE2311D"/>
    <w:rsid w:val="3DE467AA"/>
    <w:rsid w:val="3DE50F06"/>
    <w:rsid w:val="3DE764E4"/>
    <w:rsid w:val="3DE7BE83"/>
    <w:rsid w:val="3DE8CAA6"/>
    <w:rsid w:val="3DE8D1C8"/>
    <w:rsid w:val="3DE99E40"/>
    <w:rsid w:val="3DE9C25B"/>
    <w:rsid w:val="3DEBB44E"/>
    <w:rsid w:val="3DECC616"/>
    <w:rsid w:val="3DEE6351"/>
    <w:rsid w:val="3DEEE211"/>
    <w:rsid w:val="3DF0F817"/>
    <w:rsid w:val="3DF2212F"/>
    <w:rsid w:val="3DF28A75"/>
    <w:rsid w:val="3DF290E5"/>
    <w:rsid w:val="3DF44123"/>
    <w:rsid w:val="3DF44EFD"/>
    <w:rsid w:val="3DF4E463"/>
    <w:rsid w:val="3DF71B29"/>
    <w:rsid w:val="3DF81A2E"/>
    <w:rsid w:val="3DF8F8BC"/>
    <w:rsid w:val="3DF90628"/>
    <w:rsid w:val="3DFB7610"/>
    <w:rsid w:val="3DFBDB34"/>
    <w:rsid w:val="3DFC213C"/>
    <w:rsid w:val="3DFFD29B"/>
    <w:rsid w:val="3E01758C"/>
    <w:rsid w:val="3E02180D"/>
    <w:rsid w:val="3E032164"/>
    <w:rsid w:val="3E03EF3D"/>
    <w:rsid w:val="3E049957"/>
    <w:rsid w:val="3E05DA42"/>
    <w:rsid w:val="3E06BFC5"/>
    <w:rsid w:val="3E078C83"/>
    <w:rsid w:val="3E07EBE2"/>
    <w:rsid w:val="3E07F9AF"/>
    <w:rsid w:val="3E095BBC"/>
    <w:rsid w:val="3E0998E5"/>
    <w:rsid w:val="3E0ABF52"/>
    <w:rsid w:val="3E0C5A32"/>
    <w:rsid w:val="3E0EF2EB"/>
    <w:rsid w:val="3E106912"/>
    <w:rsid w:val="3E10FD2D"/>
    <w:rsid w:val="3E13BEAB"/>
    <w:rsid w:val="3E1673B8"/>
    <w:rsid w:val="3E1675ED"/>
    <w:rsid w:val="3E18E544"/>
    <w:rsid w:val="3E1E34D0"/>
    <w:rsid w:val="3E1EDB9C"/>
    <w:rsid w:val="3E20B627"/>
    <w:rsid w:val="3E21358E"/>
    <w:rsid w:val="3E237BBF"/>
    <w:rsid w:val="3E24D2AB"/>
    <w:rsid w:val="3E261976"/>
    <w:rsid w:val="3E2687FF"/>
    <w:rsid w:val="3E28135E"/>
    <w:rsid w:val="3E282D64"/>
    <w:rsid w:val="3E2953DC"/>
    <w:rsid w:val="3E2C434A"/>
    <w:rsid w:val="3E2CDB7C"/>
    <w:rsid w:val="3E2ED1EC"/>
    <w:rsid w:val="3E30EDCE"/>
    <w:rsid w:val="3E315600"/>
    <w:rsid w:val="3E333B19"/>
    <w:rsid w:val="3E34476A"/>
    <w:rsid w:val="3E3533C8"/>
    <w:rsid w:val="3E358F0D"/>
    <w:rsid w:val="3E35A47A"/>
    <w:rsid w:val="3E35E0B0"/>
    <w:rsid w:val="3E36E93A"/>
    <w:rsid w:val="3E37EC1D"/>
    <w:rsid w:val="3E3ABFEA"/>
    <w:rsid w:val="3E3B26D5"/>
    <w:rsid w:val="3E3D35C9"/>
    <w:rsid w:val="3E3D39AA"/>
    <w:rsid w:val="3E3DCA98"/>
    <w:rsid w:val="3E3DF648"/>
    <w:rsid w:val="3E3EC85B"/>
    <w:rsid w:val="3E4225CC"/>
    <w:rsid w:val="3E43B732"/>
    <w:rsid w:val="3E43C199"/>
    <w:rsid w:val="3E446399"/>
    <w:rsid w:val="3E460805"/>
    <w:rsid w:val="3E472DFC"/>
    <w:rsid w:val="3E4757EA"/>
    <w:rsid w:val="3E479FA3"/>
    <w:rsid w:val="3E4802A9"/>
    <w:rsid w:val="3E485FCA"/>
    <w:rsid w:val="3E487543"/>
    <w:rsid w:val="3E4904F8"/>
    <w:rsid w:val="3E499EF8"/>
    <w:rsid w:val="3E4A1DD6"/>
    <w:rsid w:val="3E4A8BCE"/>
    <w:rsid w:val="3E4BCDEF"/>
    <w:rsid w:val="3E4C50F1"/>
    <w:rsid w:val="3E4E2074"/>
    <w:rsid w:val="3E4EAAC6"/>
    <w:rsid w:val="3E4EAE99"/>
    <w:rsid w:val="3E5144FC"/>
    <w:rsid w:val="3E52E9B0"/>
    <w:rsid w:val="3E54B13A"/>
    <w:rsid w:val="3E5516CE"/>
    <w:rsid w:val="3E55A94B"/>
    <w:rsid w:val="3E572D67"/>
    <w:rsid w:val="3E57BC98"/>
    <w:rsid w:val="3E5936F0"/>
    <w:rsid w:val="3E5A13B7"/>
    <w:rsid w:val="3E5B094F"/>
    <w:rsid w:val="3E5CC8E0"/>
    <w:rsid w:val="3E5DA6EE"/>
    <w:rsid w:val="3E60ACE4"/>
    <w:rsid w:val="3E60C90C"/>
    <w:rsid w:val="3E61D6DB"/>
    <w:rsid w:val="3E6292D4"/>
    <w:rsid w:val="3E65EBEE"/>
    <w:rsid w:val="3E65F9F5"/>
    <w:rsid w:val="3E6691A7"/>
    <w:rsid w:val="3E67D4DC"/>
    <w:rsid w:val="3E6A6AD3"/>
    <w:rsid w:val="3E6A6DB8"/>
    <w:rsid w:val="3E6BFD40"/>
    <w:rsid w:val="3E718E4E"/>
    <w:rsid w:val="3E752265"/>
    <w:rsid w:val="3E75DA17"/>
    <w:rsid w:val="3E7676E5"/>
    <w:rsid w:val="3E77DA9D"/>
    <w:rsid w:val="3E7885BC"/>
    <w:rsid w:val="3E790C31"/>
    <w:rsid w:val="3E7A5EDF"/>
    <w:rsid w:val="3E7BFBC0"/>
    <w:rsid w:val="3E7D2E2E"/>
    <w:rsid w:val="3E804F90"/>
    <w:rsid w:val="3E80A83F"/>
    <w:rsid w:val="3E823979"/>
    <w:rsid w:val="3E85858A"/>
    <w:rsid w:val="3E86882A"/>
    <w:rsid w:val="3E89EB1D"/>
    <w:rsid w:val="3E8A7D2F"/>
    <w:rsid w:val="3E8AB644"/>
    <w:rsid w:val="3E8ABB96"/>
    <w:rsid w:val="3E8ADF35"/>
    <w:rsid w:val="3E8BE504"/>
    <w:rsid w:val="3E8D8BD3"/>
    <w:rsid w:val="3E8ECF9A"/>
    <w:rsid w:val="3E8F30A2"/>
    <w:rsid w:val="3E904C9E"/>
    <w:rsid w:val="3E952B9C"/>
    <w:rsid w:val="3E96D63F"/>
    <w:rsid w:val="3E970172"/>
    <w:rsid w:val="3E983948"/>
    <w:rsid w:val="3E99BED5"/>
    <w:rsid w:val="3E9DF9E0"/>
    <w:rsid w:val="3EA147B2"/>
    <w:rsid w:val="3EA4330F"/>
    <w:rsid w:val="3EA4BD53"/>
    <w:rsid w:val="3EA501F8"/>
    <w:rsid w:val="3EA6434A"/>
    <w:rsid w:val="3EA66C85"/>
    <w:rsid w:val="3EA6A5AC"/>
    <w:rsid w:val="3EA97C27"/>
    <w:rsid w:val="3EAB6058"/>
    <w:rsid w:val="3EACB081"/>
    <w:rsid w:val="3EAD4095"/>
    <w:rsid w:val="3EAE21EE"/>
    <w:rsid w:val="3EAFB4D1"/>
    <w:rsid w:val="3EAFEA43"/>
    <w:rsid w:val="3EB16C98"/>
    <w:rsid w:val="3EB18FF1"/>
    <w:rsid w:val="3EB3B080"/>
    <w:rsid w:val="3EB44220"/>
    <w:rsid w:val="3EB55DE9"/>
    <w:rsid w:val="3EB6B824"/>
    <w:rsid w:val="3EB7676E"/>
    <w:rsid w:val="3EB7C522"/>
    <w:rsid w:val="3EB8896A"/>
    <w:rsid w:val="3EBB5728"/>
    <w:rsid w:val="3EBB72E8"/>
    <w:rsid w:val="3EBD3A5A"/>
    <w:rsid w:val="3EBFDA53"/>
    <w:rsid w:val="3EC16049"/>
    <w:rsid w:val="3EC4A4BC"/>
    <w:rsid w:val="3EC675BC"/>
    <w:rsid w:val="3EC747FD"/>
    <w:rsid w:val="3EC7DB5A"/>
    <w:rsid w:val="3EC97252"/>
    <w:rsid w:val="3ECC0076"/>
    <w:rsid w:val="3ECC6019"/>
    <w:rsid w:val="3ECC6078"/>
    <w:rsid w:val="3ECDC645"/>
    <w:rsid w:val="3ECE3FF7"/>
    <w:rsid w:val="3ECE7FA5"/>
    <w:rsid w:val="3ECF679B"/>
    <w:rsid w:val="3ECF9EEF"/>
    <w:rsid w:val="3ED3AA3F"/>
    <w:rsid w:val="3ED51801"/>
    <w:rsid w:val="3ED7A330"/>
    <w:rsid w:val="3ED8FEFA"/>
    <w:rsid w:val="3EDABAA8"/>
    <w:rsid w:val="3EDAD77E"/>
    <w:rsid w:val="3EDB491E"/>
    <w:rsid w:val="3EDC0F8A"/>
    <w:rsid w:val="3EE1841E"/>
    <w:rsid w:val="3EE352EE"/>
    <w:rsid w:val="3EE3A035"/>
    <w:rsid w:val="3EE483EF"/>
    <w:rsid w:val="3EE49496"/>
    <w:rsid w:val="3EEAC3A9"/>
    <w:rsid w:val="3EEB2CD7"/>
    <w:rsid w:val="3EECD61C"/>
    <w:rsid w:val="3EED4FC0"/>
    <w:rsid w:val="3EEE91DA"/>
    <w:rsid w:val="3EEF756B"/>
    <w:rsid w:val="3EF29F21"/>
    <w:rsid w:val="3EF2BA5B"/>
    <w:rsid w:val="3EF30E1A"/>
    <w:rsid w:val="3EF6ACF5"/>
    <w:rsid w:val="3EF6D813"/>
    <w:rsid w:val="3EF81A30"/>
    <w:rsid w:val="3EF8B5BA"/>
    <w:rsid w:val="3EF9F2CC"/>
    <w:rsid w:val="3EFAE1AB"/>
    <w:rsid w:val="3F016AE0"/>
    <w:rsid w:val="3F080C16"/>
    <w:rsid w:val="3F093D46"/>
    <w:rsid w:val="3F102E47"/>
    <w:rsid w:val="3F139B6B"/>
    <w:rsid w:val="3F157319"/>
    <w:rsid w:val="3F18310D"/>
    <w:rsid w:val="3F1983B5"/>
    <w:rsid w:val="3F1A5B67"/>
    <w:rsid w:val="3F1F9504"/>
    <w:rsid w:val="3F211579"/>
    <w:rsid w:val="3F2375DB"/>
    <w:rsid w:val="3F23E6B8"/>
    <w:rsid w:val="3F24F86B"/>
    <w:rsid w:val="3F25E9A9"/>
    <w:rsid w:val="3F29A8E1"/>
    <w:rsid w:val="3F2A2328"/>
    <w:rsid w:val="3F2A6163"/>
    <w:rsid w:val="3F2B1BC5"/>
    <w:rsid w:val="3F2BCD4B"/>
    <w:rsid w:val="3F2CB296"/>
    <w:rsid w:val="3F2D968E"/>
    <w:rsid w:val="3F2E41CA"/>
    <w:rsid w:val="3F32E3D5"/>
    <w:rsid w:val="3F35F003"/>
    <w:rsid w:val="3F396B93"/>
    <w:rsid w:val="3F3A4035"/>
    <w:rsid w:val="3F3B0FCA"/>
    <w:rsid w:val="3F3BC2C1"/>
    <w:rsid w:val="3F3BF203"/>
    <w:rsid w:val="3F3F8180"/>
    <w:rsid w:val="3F445B03"/>
    <w:rsid w:val="3F45A4BD"/>
    <w:rsid w:val="3F478BC0"/>
    <w:rsid w:val="3F4877C2"/>
    <w:rsid w:val="3F499320"/>
    <w:rsid w:val="3F4A17FD"/>
    <w:rsid w:val="3F4B9E40"/>
    <w:rsid w:val="3F4E696B"/>
    <w:rsid w:val="3F4F2B89"/>
    <w:rsid w:val="3F50123A"/>
    <w:rsid w:val="3F5380F2"/>
    <w:rsid w:val="3F545CED"/>
    <w:rsid w:val="3F54D448"/>
    <w:rsid w:val="3F55FC5C"/>
    <w:rsid w:val="3F567BB2"/>
    <w:rsid w:val="3F5976A0"/>
    <w:rsid w:val="3F5C066B"/>
    <w:rsid w:val="3F5CA3A1"/>
    <w:rsid w:val="3F605CD3"/>
    <w:rsid w:val="3F62AA77"/>
    <w:rsid w:val="3F6380EF"/>
    <w:rsid w:val="3F64B70D"/>
    <w:rsid w:val="3F65AD7F"/>
    <w:rsid w:val="3F66CFAE"/>
    <w:rsid w:val="3F6750B8"/>
    <w:rsid w:val="3F69FFB3"/>
    <w:rsid w:val="3F6A2925"/>
    <w:rsid w:val="3F6A5585"/>
    <w:rsid w:val="3F6AC34D"/>
    <w:rsid w:val="3F6DFBC6"/>
    <w:rsid w:val="3F6EA378"/>
    <w:rsid w:val="3F724719"/>
    <w:rsid w:val="3F72D4F4"/>
    <w:rsid w:val="3F75A8BB"/>
    <w:rsid w:val="3F75B4FF"/>
    <w:rsid w:val="3F7609F2"/>
    <w:rsid w:val="3F78453C"/>
    <w:rsid w:val="3F78E66F"/>
    <w:rsid w:val="3F78FFF2"/>
    <w:rsid w:val="3F791430"/>
    <w:rsid w:val="3F79F5E1"/>
    <w:rsid w:val="3F7A7336"/>
    <w:rsid w:val="3F7A8793"/>
    <w:rsid w:val="3F7ADE60"/>
    <w:rsid w:val="3F7B2AAD"/>
    <w:rsid w:val="3F7B9D6B"/>
    <w:rsid w:val="3F7C43FC"/>
    <w:rsid w:val="3F7C876E"/>
    <w:rsid w:val="3F7D465A"/>
    <w:rsid w:val="3F7E468D"/>
    <w:rsid w:val="3F80C3B1"/>
    <w:rsid w:val="3F83A507"/>
    <w:rsid w:val="3F847D7E"/>
    <w:rsid w:val="3F857A6D"/>
    <w:rsid w:val="3F86B05F"/>
    <w:rsid w:val="3F882F73"/>
    <w:rsid w:val="3F8B5C2B"/>
    <w:rsid w:val="3F8C410A"/>
    <w:rsid w:val="3F8CBD57"/>
    <w:rsid w:val="3F8CE948"/>
    <w:rsid w:val="3F8E24D7"/>
    <w:rsid w:val="3F8E435B"/>
    <w:rsid w:val="3F911CC1"/>
    <w:rsid w:val="3F919AED"/>
    <w:rsid w:val="3F91EDA9"/>
    <w:rsid w:val="3F92E1B1"/>
    <w:rsid w:val="3F92EBDE"/>
    <w:rsid w:val="3F9464B8"/>
    <w:rsid w:val="3F94E034"/>
    <w:rsid w:val="3F9693C3"/>
    <w:rsid w:val="3F96C826"/>
    <w:rsid w:val="3F99717A"/>
    <w:rsid w:val="3F9A833D"/>
    <w:rsid w:val="3F9A8F8A"/>
    <w:rsid w:val="3F9B0B01"/>
    <w:rsid w:val="3F9C2172"/>
    <w:rsid w:val="3F9C7F3F"/>
    <w:rsid w:val="3F9CEB89"/>
    <w:rsid w:val="3F9D9230"/>
    <w:rsid w:val="3F9E1BA6"/>
    <w:rsid w:val="3FA0B301"/>
    <w:rsid w:val="3FA0C69D"/>
    <w:rsid w:val="3FA154DA"/>
    <w:rsid w:val="3FA1AC0D"/>
    <w:rsid w:val="3FA24B47"/>
    <w:rsid w:val="3FA24F33"/>
    <w:rsid w:val="3FA4D3D9"/>
    <w:rsid w:val="3FA5C6A1"/>
    <w:rsid w:val="3FA5DC2A"/>
    <w:rsid w:val="3FA75F43"/>
    <w:rsid w:val="3FADA4A3"/>
    <w:rsid w:val="3FAE2A1C"/>
    <w:rsid w:val="3FAFA0C2"/>
    <w:rsid w:val="3FB1318B"/>
    <w:rsid w:val="3FB42635"/>
    <w:rsid w:val="3FB445CE"/>
    <w:rsid w:val="3FB525D7"/>
    <w:rsid w:val="3FB5915B"/>
    <w:rsid w:val="3FB5CCC1"/>
    <w:rsid w:val="3FB6E47E"/>
    <w:rsid w:val="3FB98156"/>
    <w:rsid w:val="3FBADEDD"/>
    <w:rsid w:val="3FC2FA28"/>
    <w:rsid w:val="3FC3B553"/>
    <w:rsid w:val="3FC8BDAD"/>
    <w:rsid w:val="3FC8C5ED"/>
    <w:rsid w:val="3FC99197"/>
    <w:rsid w:val="3FCD2630"/>
    <w:rsid w:val="3FCE1B62"/>
    <w:rsid w:val="3FCE493C"/>
    <w:rsid w:val="3FCE7C53"/>
    <w:rsid w:val="3FCE7FAA"/>
    <w:rsid w:val="3FCF79FF"/>
    <w:rsid w:val="3FD06E9F"/>
    <w:rsid w:val="3FD0EABB"/>
    <w:rsid w:val="3FD1245D"/>
    <w:rsid w:val="3FD2435A"/>
    <w:rsid w:val="3FD26234"/>
    <w:rsid w:val="3FD31206"/>
    <w:rsid w:val="3FD38130"/>
    <w:rsid w:val="3FD4B716"/>
    <w:rsid w:val="3FD661CA"/>
    <w:rsid w:val="3FD7443F"/>
    <w:rsid w:val="3FD7D55D"/>
    <w:rsid w:val="3FD9D543"/>
    <w:rsid w:val="3FDA115F"/>
    <w:rsid w:val="3FDD3F9D"/>
    <w:rsid w:val="3FDD9F91"/>
    <w:rsid w:val="3FDF8584"/>
    <w:rsid w:val="3FE18518"/>
    <w:rsid w:val="3FE1B192"/>
    <w:rsid w:val="3FE3529E"/>
    <w:rsid w:val="3FE3DE7B"/>
    <w:rsid w:val="3FE75424"/>
    <w:rsid w:val="3FECAF8D"/>
    <w:rsid w:val="3FEF0A8E"/>
    <w:rsid w:val="3FEF7E20"/>
    <w:rsid w:val="3FEFD6B8"/>
    <w:rsid w:val="3FF0D516"/>
    <w:rsid w:val="3FF1682C"/>
    <w:rsid w:val="3FF2A0FC"/>
    <w:rsid w:val="3FF52AA5"/>
    <w:rsid w:val="3FF577BF"/>
    <w:rsid w:val="3FF623B3"/>
    <w:rsid w:val="3FF83FDF"/>
    <w:rsid w:val="3FF85643"/>
    <w:rsid w:val="3FF9D799"/>
    <w:rsid w:val="3FFBB7CF"/>
    <w:rsid w:val="3FFBD728"/>
    <w:rsid w:val="3FFFD0D4"/>
    <w:rsid w:val="4003CB39"/>
    <w:rsid w:val="40055502"/>
    <w:rsid w:val="40059CE7"/>
    <w:rsid w:val="40061036"/>
    <w:rsid w:val="40063B34"/>
    <w:rsid w:val="40064F9C"/>
    <w:rsid w:val="400A9FBB"/>
    <w:rsid w:val="400ACD54"/>
    <w:rsid w:val="400E2E72"/>
    <w:rsid w:val="400FB498"/>
    <w:rsid w:val="40111E73"/>
    <w:rsid w:val="401335D5"/>
    <w:rsid w:val="40134389"/>
    <w:rsid w:val="40174F67"/>
    <w:rsid w:val="4017B66F"/>
    <w:rsid w:val="4017BCBE"/>
    <w:rsid w:val="401A50B7"/>
    <w:rsid w:val="401A7292"/>
    <w:rsid w:val="401DA7CF"/>
    <w:rsid w:val="401E282B"/>
    <w:rsid w:val="4023E855"/>
    <w:rsid w:val="40259B10"/>
    <w:rsid w:val="402BA42A"/>
    <w:rsid w:val="402BAEF9"/>
    <w:rsid w:val="402FFB11"/>
    <w:rsid w:val="4030BD8F"/>
    <w:rsid w:val="4033C38F"/>
    <w:rsid w:val="4033E381"/>
    <w:rsid w:val="4034E0E3"/>
    <w:rsid w:val="4034E8B1"/>
    <w:rsid w:val="40359426"/>
    <w:rsid w:val="4036143B"/>
    <w:rsid w:val="403777E1"/>
    <w:rsid w:val="4038EAB1"/>
    <w:rsid w:val="403C27F1"/>
    <w:rsid w:val="4040857D"/>
    <w:rsid w:val="4041EA7A"/>
    <w:rsid w:val="404213AB"/>
    <w:rsid w:val="4043348B"/>
    <w:rsid w:val="4043CD1F"/>
    <w:rsid w:val="40442D8E"/>
    <w:rsid w:val="4044E665"/>
    <w:rsid w:val="404568B0"/>
    <w:rsid w:val="404599E0"/>
    <w:rsid w:val="4045A181"/>
    <w:rsid w:val="4049E849"/>
    <w:rsid w:val="404A3966"/>
    <w:rsid w:val="404BEBA1"/>
    <w:rsid w:val="404C0847"/>
    <w:rsid w:val="404CEDE6"/>
    <w:rsid w:val="404E12FA"/>
    <w:rsid w:val="404E4A4C"/>
    <w:rsid w:val="404F6AEC"/>
    <w:rsid w:val="4050056F"/>
    <w:rsid w:val="40521E5E"/>
    <w:rsid w:val="4055BE77"/>
    <w:rsid w:val="4055C520"/>
    <w:rsid w:val="4056DD74"/>
    <w:rsid w:val="405BD79D"/>
    <w:rsid w:val="405C8748"/>
    <w:rsid w:val="405CF727"/>
    <w:rsid w:val="405E583F"/>
    <w:rsid w:val="405FE049"/>
    <w:rsid w:val="405FFB36"/>
    <w:rsid w:val="40619346"/>
    <w:rsid w:val="406294BC"/>
    <w:rsid w:val="4062DAB1"/>
    <w:rsid w:val="40630F4D"/>
    <w:rsid w:val="40631F26"/>
    <w:rsid w:val="40645CFF"/>
    <w:rsid w:val="4064D14B"/>
    <w:rsid w:val="4066279B"/>
    <w:rsid w:val="4067DEA8"/>
    <w:rsid w:val="40680251"/>
    <w:rsid w:val="40681A33"/>
    <w:rsid w:val="4068D756"/>
    <w:rsid w:val="4069D1A2"/>
    <w:rsid w:val="406AB494"/>
    <w:rsid w:val="406B37F9"/>
    <w:rsid w:val="406C0A43"/>
    <w:rsid w:val="406CFCA2"/>
    <w:rsid w:val="406DD3B3"/>
    <w:rsid w:val="406EA411"/>
    <w:rsid w:val="406F27F2"/>
    <w:rsid w:val="406F51FA"/>
    <w:rsid w:val="40712E5F"/>
    <w:rsid w:val="407299AF"/>
    <w:rsid w:val="407857FC"/>
    <w:rsid w:val="4078B0C4"/>
    <w:rsid w:val="407E6C92"/>
    <w:rsid w:val="407FE8D9"/>
    <w:rsid w:val="40813F07"/>
    <w:rsid w:val="40814DBE"/>
    <w:rsid w:val="40823F56"/>
    <w:rsid w:val="408304B9"/>
    <w:rsid w:val="4083E44B"/>
    <w:rsid w:val="4086C492"/>
    <w:rsid w:val="4089355F"/>
    <w:rsid w:val="4089651D"/>
    <w:rsid w:val="408B0977"/>
    <w:rsid w:val="408BF795"/>
    <w:rsid w:val="408C19FC"/>
    <w:rsid w:val="408C491C"/>
    <w:rsid w:val="408C4977"/>
    <w:rsid w:val="408CACD5"/>
    <w:rsid w:val="408D58CA"/>
    <w:rsid w:val="408E13A6"/>
    <w:rsid w:val="408E3B0B"/>
    <w:rsid w:val="408F8DE4"/>
    <w:rsid w:val="40922D21"/>
    <w:rsid w:val="40955109"/>
    <w:rsid w:val="40958346"/>
    <w:rsid w:val="4096BB05"/>
    <w:rsid w:val="4098EF3C"/>
    <w:rsid w:val="409AC042"/>
    <w:rsid w:val="409B719B"/>
    <w:rsid w:val="409C23FD"/>
    <w:rsid w:val="409C8187"/>
    <w:rsid w:val="409D69F5"/>
    <w:rsid w:val="40A0CF02"/>
    <w:rsid w:val="40A10114"/>
    <w:rsid w:val="40A19579"/>
    <w:rsid w:val="40A245F0"/>
    <w:rsid w:val="40A3FAE6"/>
    <w:rsid w:val="40A707FC"/>
    <w:rsid w:val="40AB4F66"/>
    <w:rsid w:val="40ABF764"/>
    <w:rsid w:val="40AFFB61"/>
    <w:rsid w:val="40B12E07"/>
    <w:rsid w:val="40B3062A"/>
    <w:rsid w:val="40B5818E"/>
    <w:rsid w:val="40B6978E"/>
    <w:rsid w:val="40B72895"/>
    <w:rsid w:val="40B792F2"/>
    <w:rsid w:val="40BB5A92"/>
    <w:rsid w:val="40BD81F8"/>
    <w:rsid w:val="40BEA6AC"/>
    <w:rsid w:val="40BF5E55"/>
    <w:rsid w:val="40C21C78"/>
    <w:rsid w:val="40C2758E"/>
    <w:rsid w:val="40C31870"/>
    <w:rsid w:val="40C358A4"/>
    <w:rsid w:val="40C496BA"/>
    <w:rsid w:val="40C54DAC"/>
    <w:rsid w:val="40C648CA"/>
    <w:rsid w:val="40C6D048"/>
    <w:rsid w:val="40C8B8D9"/>
    <w:rsid w:val="40C91877"/>
    <w:rsid w:val="40C9304B"/>
    <w:rsid w:val="40C97F92"/>
    <w:rsid w:val="40CBA04F"/>
    <w:rsid w:val="40CC2543"/>
    <w:rsid w:val="40CC2C76"/>
    <w:rsid w:val="40CEB229"/>
    <w:rsid w:val="40D104CD"/>
    <w:rsid w:val="40D24316"/>
    <w:rsid w:val="40D65A65"/>
    <w:rsid w:val="40D6D29A"/>
    <w:rsid w:val="40D8DEFB"/>
    <w:rsid w:val="40DCB657"/>
    <w:rsid w:val="40DD7902"/>
    <w:rsid w:val="40DDD1B5"/>
    <w:rsid w:val="40DE2EF7"/>
    <w:rsid w:val="40E12054"/>
    <w:rsid w:val="40E24622"/>
    <w:rsid w:val="40E45206"/>
    <w:rsid w:val="40E479E3"/>
    <w:rsid w:val="40E4CD81"/>
    <w:rsid w:val="40E891D7"/>
    <w:rsid w:val="40EA425A"/>
    <w:rsid w:val="40ED830F"/>
    <w:rsid w:val="40EF3590"/>
    <w:rsid w:val="40F13502"/>
    <w:rsid w:val="40F210A1"/>
    <w:rsid w:val="40F46E91"/>
    <w:rsid w:val="40FB6CD0"/>
    <w:rsid w:val="40FB713C"/>
    <w:rsid w:val="40FB8C47"/>
    <w:rsid w:val="40FC2605"/>
    <w:rsid w:val="40FDB772"/>
    <w:rsid w:val="410079A8"/>
    <w:rsid w:val="4101C2C7"/>
    <w:rsid w:val="41040EEB"/>
    <w:rsid w:val="41049E98"/>
    <w:rsid w:val="4105681E"/>
    <w:rsid w:val="410C90F1"/>
    <w:rsid w:val="410CCE36"/>
    <w:rsid w:val="410D539C"/>
    <w:rsid w:val="410D5E01"/>
    <w:rsid w:val="410EEC07"/>
    <w:rsid w:val="410F8A87"/>
    <w:rsid w:val="41103112"/>
    <w:rsid w:val="411099B1"/>
    <w:rsid w:val="411168C3"/>
    <w:rsid w:val="4111FCA2"/>
    <w:rsid w:val="411271B2"/>
    <w:rsid w:val="4112D5A5"/>
    <w:rsid w:val="4113F8CC"/>
    <w:rsid w:val="41153C43"/>
    <w:rsid w:val="4115A69E"/>
    <w:rsid w:val="4118ACAE"/>
    <w:rsid w:val="411982CC"/>
    <w:rsid w:val="4119EF7D"/>
    <w:rsid w:val="411A9395"/>
    <w:rsid w:val="411ABF6F"/>
    <w:rsid w:val="411BEEEE"/>
    <w:rsid w:val="411C06A9"/>
    <w:rsid w:val="411CD25E"/>
    <w:rsid w:val="411E1B4D"/>
    <w:rsid w:val="411E6D4C"/>
    <w:rsid w:val="411F71C7"/>
    <w:rsid w:val="412040D6"/>
    <w:rsid w:val="412110A2"/>
    <w:rsid w:val="41235DD3"/>
    <w:rsid w:val="41235F89"/>
    <w:rsid w:val="41285796"/>
    <w:rsid w:val="412A348B"/>
    <w:rsid w:val="412B8A56"/>
    <w:rsid w:val="412BC630"/>
    <w:rsid w:val="412CC74D"/>
    <w:rsid w:val="412EA040"/>
    <w:rsid w:val="412F3E3D"/>
    <w:rsid w:val="412F92D8"/>
    <w:rsid w:val="4130C879"/>
    <w:rsid w:val="4131BB59"/>
    <w:rsid w:val="4132EFE7"/>
    <w:rsid w:val="4132F665"/>
    <w:rsid w:val="4134951D"/>
    <w:rsid w:val="4136B2F3"/>
    <w:rsid w:val="4136DD28"/>
    <w:rsid w:val="4136E90A"/>
    <w:rsid w:val="413A69E0"/>
    <w:rsid w:val="413A7E5C"/>
    <w:rsid w:val="413B82CF"/>
    <w:rsid w:val="413BC13C"/>
    <w:rsid w:val="413C84DC"/>
    <w:rsid w:val="413F139F"/>
    <w:rsid w:val="413F3A9E"/>
    <w:rsid w:val="4140A45E"/>
    <w:rsid w:val="4140E272"/>
    <w:rsid w:val="4141B12D"/>
    <w:rsid w:val="41423474"/>
    <w:rsid w:val="4145F532"/>
    <w:rsid w:val="4146E606"/>
    <w:rsid w:val="414789DA"/>
    <w:rsid w:val="414827F5"/>
    <w:rsid w:val="414A5301"/>
    <w:rsid w:val="414D9771"/>
    <w:rsid w:val="414EB346"/>
    <w:rsid w:val="4153D937"/>
    <w:rsid w:val="41558504"/>
    <w:rsid w:val="4157F5B0"/>
    <w:rsid w:val="41582790"/>
    <w:rsid w:val="415AB93A"/>
    <w:rsid w:val="415D2FB4"/>
    <w:rsid w:val="415E44CF"/>
    <w:rsid w:val="415F49EF"/>
    <w:rsid w:val="41626E04"/>
    <w:rsid w:val="41636CCE"/>
    <w:rsid w:val="4165C040"/>
    <w:rsid w:val="4165E3E8"/>
    <w:rsid w:val="41673B3D"/>
    <w:rsid w:val="4167F0E9"/>
    <w:rsid w:val="41680727"/>
    <w:rsid w:val="41680AC3"/>
    <w:rsid w:val="41697FD2"/>
    <w:rsid w:val="416982C3"/>
    <w:rsid w:val="416A9094"/>
    <w:rsid w:val="416BE2C6"/>
    <w:rsid w:val="416C08DE"/>
    <w:rsid w:val="416C4683"/>
    <w:rsid w:val="416ED2A2"/>
    <w:rsid w:val="416EF208"/>
    <w:rsid w:val="417275A8"/>
    <w:rsid w:val="417335BF"/>
    <w:rsid w:val="4174CD5B"/>
    <w:rsid w:val="4175A313"/>
    <w:rsid w:val="417696B0"/>
    <w:rsid w:val="4176EC97"/>
    <w:rsid w:val="4176F724"/>
    <w:rsid w:val="417A6F50"/>
    <w:rsid w:val="417A7242"/>
    <w:rsid w:val="417DB9F7"/>
    <w:rsid w:val="4180AFD3"/>
    <w:rsid w:val="4181018E"/>
    <w:rsid w:val="418297B5"/>
    <w:rsid w:val="41854F81"/>
    <w:rsid w:val="41871ADE"/>
    <w:rsid w:val="41880ED3"/>
    <w:rsid w:val="41882C23"/>
    <w:rsid w:val="418A2CB3"/>
    <w:rsid w:val="418BA627"/>
    <w:rsid w:val="418BB2CE"/>
    <w:rsid w:val="418BEFF4"/>
    <w:rsid w:val="418C8DCD"/>
    <w:rsid w:val="418DAD25"/>
    <w:rsid w:val="418E4FD3"/>
    <w:rsid w:val="418F3CE4"/>
    <w:rsid w:val="418F4C38"/>
    <w:rsid w:val="418FC142"/>
    <w:rsid w:val="418FF5AA"/>
    <w:rsid w:val="41912C30"/>
    <w:rsid w:val="4193013A"/>
    <w:rsid w:val="41985DCE"/>
    <w:rsid w:val="4199217B"/>
    <w:rsid w:val="419A0B44"/>
    <w:rsid w:val="419AD291"/>
    <w:rsid w:val="419AEA2E"/>
    <w:rsid w:val="419B8FF7"/>
    <w:rsid w:val="419BAB9C"/>
    <w:rsid w:val="41A19370"/>
    <w:rsid w:val="41A1A638"/>
    <w:rsid w:val="41A263DA"/>
    <w:rsid w:val="41A28624"/>
    <w:rsid w:val="41A2D2A3"/>
    <w:rsid w:val="41A3356C"/>
    <w:rsid w:val="41A40727"/>
    <w:rsid w:val="41A447C3"/>
    <w:rsid w:val="41A52208"/>
    <w:rsid w:val="41A5CCF5"/>
    <w:rsid w:val="41A61C16"/>
    <w:rsid w:val="41AD6188"/>
    <w:rsid w:val="41AD7D81"/>
    <w:rsid w:val="41ADA673"/>
    <w:rsid w:val="41AE1F39"/>
    <w:rsid w:val="41AF1A2B"/>
    <w:rsid w:val="41B2C762"/>
    <w:rsid w:val="41B31629"/>
    <w:rsid w:val="41B3E45B"/>
    <w:rsid w:val="41B54E57"/>
    <w:rsid w:val="41B65D9C"/>
    <w:rsid w:val="41B8FF80"/>
    <w:rsid w:val="41BB401F"/>
    <w:rsid w:val="41BB494C"/>
    <w:rsid w:val="41BEF065"/>
    <w:rsid w:val="41C09040"/>
    <w:rsid w:val="41C1198D"/>
    <w:rsid w:val="41C1E260"/>
    <w:rsid w:val="41C303BE"/>
    <w:rsid w:val="41C36632"/>
    <w:rsid w:val="41C684E8"/>
    <w:rsid w:val="41C99827"/>
    <w:rsid w:val="41CB3B44"/>
    <w:rsid w:val="41CBF369"/>
    <w:rsid w:val="41CCC391"/>
    <w:rsid w:val="41CE417A"/>
    <w:rsid w:val="41D1DD4E"/>
    <w:rsid w:val="41D380CD"/>
    <w:rsid w:val="41D3C30C"/>
    <w:rsid w:val="41D435B1"/>
    <w:rsid w:val="41D75F16"/>
    <w:rsid w:val="41D910BE"/>
    <w:rsid w:val="41DC09D7"/>
    <w:rsid w:val="41DE466E"/>
    <w:rsid w:val="41E04718"/>
    <w:rsid w:val="41E0EA5E"/>
    <w:rsid w:val="41E6E2DC"/>
    <w:rsid w:val="41E79ADB"/>
    <w:rsid w:val="41ECD622"/>
    <w:rsid w:val="41F02575"/>
    <w:rsid w:val="41F52883"/>
    <w:rsid w:val="41F56D42"/>
    <w:rsid w:val="41F5B73E"/>
    <w:rsid w:val="41F67297"/>
    <w:rsid w:val="41F6D1CE"/>
    <w:rsid w:val="41F6E64C"/>
    <w:rsid w:val="41F7B165"/>
    <w:rsid w:val="41F9B203"/>
    <w:rsid w:val="41FB3B55"/>
    <w:rsid w:val="41FB70DB"/>
    <w:rsid w:val="41FC453B"/>
    <w:rsid w:val="41FCEE96"/>
    <w:rsid w:val="41FEE9ED"/>
    <w:rsid w:val="42012E3D"/>
    <w:rsid w:val="42021A9A"/>
    <w:rsid w:val="4202457B"/>
    <w:rsid w:val="42044DF0"/>
    <w:rsid w:val="42055839"/>
    <w:rsid w:val="4205F97E"/>
    <w:rsid w:val="420772B1"/>
    <w:rsid w:val="4208A381"/>
    <w:rsid w:val="4210E5F0"/>
    <w:rsid w:val="42123561"/>
    <w:rsid w:val="421282AB"/>
    <w:rsid w:val="4212CEF2"/>
    <w:rsid w:val="421546F8"/>
    <w:rsid w:val="421547F8"/>
    <w:rsid w:val="42158446"/>
    <w:rsid w:val="4216CF36"/>
    <w:rsid w:val="42190567"/>
    <w:rsid w:val="421A3529"/>
    <w:rsid w:val="421D56F9"/>
    <w:rsid w:val="42233A52"/>
    <w:rsid w:val="422515E5"/>
    <w:rsid w:val="42260C8E"/>
    <w:rsid w:val="4227236E"/>
    <w:rsid w:val="422833B0"/>
    <w:rsid w:val="4229482D"/>
    <w:rsid w:val="42299763"/>
    <w:rsid w:val="422AE65D"/>
    <w:rsid w:val="422AFC20"/>
    <w:rsid w:val="422D1525"/>
    <w:rsid w:val="422DEBE6"/>
    <w:rsid w:val="422EB2F6"/>
    <w:rsid w:val="422F36E0"/>
    <w:rsid w:val="422FA288"/>
    <w:rsid w:val="422FD7F7"/>
    <w:rsid w:val="42304064"/>
    <w:rsid w:val="423095DA"/>
    <w:rsid w:val="42342D92"/>
    <w:rsid w:val="4235F2BC"/>
    <w:rsid w:val="4237EE93"/>
    <w:rsid w:val="42393A56"/>
    <w:rsid w:val="423A436E"/>
    <w:rsid w:val="423BEEAF"/>
    <w:rsid w:val="423D626D"/>
    <w:rsid w:val="423EE458"/>
    <w:rsid w:val="423EFDFC"/>
    <w:rsid w:val="4240D37D"/>
    <w:rsid w:val="42442220"/>
    <w:rsid w:val="42477A20"/>
    <w:rsid w:val="42479AA7"/>
    <w:rsid w:val="4249625D"/>
    <w:rsid w:val="424A1EDC"/>
    <w:rsid w:val="424C3880"/>
    <w:rsid w:val="424EEC3D"/>
    <w:rsid w:val="42501944"/>
    <w:rsid w:val="42515827"/>
    <w:rsid w:val="4251D70C"/>
    <w:rsid w:val="4252E616"/>
    <w:rsid w:val="4254665D"/>
    <w:rsid w:val="42559570"/>
    <w:rsid w:val="42568E75"/>
    <w:rsid w:val="42574053"/>
    <w:rsid w:val="425B574A"/>
    <w:rsid w:val="425DB3C3"/>
    <w:rsid w:val="425E79CD"/>
    <w:rsid w:val="425F0B04"/>
    <w:rsid w:val="425F5355"/>
    <w:rsid w:val="42625A7D"/>
    <w:rsid w:val="42627B31"/>
    <w:rsid w:val="426316D7"/>
    <w:rsid w:val="4266B4FA"/>
    <w:rsid w:val="42678408"/>
    <w:rsid w:val="426AED84"/>
    <w:rsid w:val="426C2019"/>
    <w:rsid w:val="426DA527"/>
    <w:rsid w:val="426E5EF9"/>
    <w:rsid w:val="42724137"/>
    <w:rsid w:val="42754939"/>
    <w:rsid w:val="42771903"/>
    <w:rsid w:val="4277223B"/>
    <w:rsid w:val="4277D476"/>
    <w:rsid w:val="4277EA5A"/>
    <w:rsid w:val="4278AD70"/>
    <w:rsid w:val="427A7CB5"/>
    <w:rsid w:val="427B0F96"/>
    <w:rsid w:val="427B14F2"/>
    <w:rsid w:val="427B4CEF"/>
    <w:rsid w:val="427C72BB"/>
    <w:rsid w:val="427C93CD"/>
    <w:rsid w:val="427D1B2E"/>
    <w:rsid w:val="427D721F"/>
    <w:rsid w:val="427DD08A"/>
    <w:rsid w:val="42801CE4"/>
    <w:rsid w:val="42804BFD"/>
    <w:rsid w:val="4280B195"/>
    <w:rsid w:val="42818ABA"/>
    <w:rsid w:val="42818C56"/>
    <w:rsid w:val="4283EEBA"/>
    <w:rsid w:val="428448EE"/>
    <w:rsid w:val="428580FC"/>
    <w:rsid w:val="428754A6"/>
    <w:rsid w:val="4289F810"/>
    <w:rsid w:val="428DE753"/>
    <w:rsid w:val="428F34A5"/>
    <w:rsid w:val="428F55AE"/>
    <w:rsid w:val="428FA68D"/>
    <w:rsid w:val="42907466"/>
    <w:rsid w:val="42924207"/>
    <w:rsid w:val="4297F918"/>
    <w:rsid w:val="4298CBDC"/>
    <w:rsid w:val="429A5B7C"/>
    <w:rsid w:val="429A875C"/>
    <w:rsid w:val="429C82D0"/>
    <w:rsid w:val="429DA1A9"/>
    <w:rsid w:val="429DAE1A"/>
    <w:rsid w:val="429ECAB9"/>
    <w:rsid w:val="429F0BFF"/>
    <w:rsid w:val="42A06290"/>
    <w:rsid w:val="42A1F33C"/>
    <w:rsid w:val="42A35F2E"/>
    <w:rsid w:val="42A397F9"/>
    <w:rsid w:val="42A47EFF"/>
    <w:rsid w:val="42A491C0"/>
    <w:rsid w:val="42A8E6C3"/>
    <w:rsid w:val="42A96D1B"/>
    <w:rsid w:val="42AB7F5B"/>
    <w:rsid w:val="42AD46A0"/>
    <w:rsid w:val="42ADC74B"/>
    <w:rsid w:val="42AFDFAD"/>
    <w:rsid w:val="42B0332E"/>
    <w:rsid w:val="42B64280"/>
    <w:rsid w:val="42B6C46C"/>
    <w:rsid w:val="42B8E70F"/>
    <w:rsid w:val="42BB25C5"/>
    <w:rsid w:val="42BB938B"/>
    <w:rsid w:val="42BDAE5A"/>
    <w:rsid w:val="42C139DD"/>
    <w:rsid w:val="42C13A32"/>
    <w:rsid w:val="42C15F28"/>
    <w:rsid w:val="42C1F2FD"/>
    <w:rsid w:val="42C3301E"/>
    <w:rsid w:val="42C5C7C2"/>
    <w:rsid w:val="42C71EEB"/>
    <w:rsid w:val="42C724AD"/>
    <w:rsid w:val="42C8ACA8"/>
    <w:rsid w:val="42CB8EE1"/>
    <w:rsid w:val="42CD0BA8"/>
    <w:rsid w:val="42CE0935"/>
    <w:rsid w:val="42CE9AAA"/>
    <w:rsid w:val="42D06D79"/>
    <w:rsid w:val="42D1D774"/>
    <w:rsid w:val="42D21F9D"/>
    <w:rsid w:val="42D32DFF"/>
    <w:rsid w:val="42D45937"/>
    <w:rsid w:val="42D56966"/>
    <w:rsid w:val="42D58BAA"/>
    <w:rsid w:val="42D5F7FA"/>
    <w:rsid w:val="42D86F21"/>
    <w:rsid w:val="42D978D5"/>
    <w:rsid w:val="42DA0DDC"/>
    <w:rsid w:val="42DB75C3"/>
    <w:rsid w:val="42DC93CD"/>
    <w:rsid w:val="42DD2837"/>
    <w:rsid w:val="42DD4FD4"/>
    <w:rsid w:val="42DD51C3"/>
    <w:rsid w:val="42E03F9E"/>
    <w:rsid w:val="42E14361"/>
    <w:rsid w:val="42E38CCF"/>
    <w:rsid w:val="42E618F5"/>
    <w:rsid w:val="42E67AFB"/>
    <w:rsid w:val="42E6FD50"/>
    <w:rsid w:val="42E7CDD4"/>
    <w:rsid w:val="42EA6406"/>
    <w:rsid w:val="42ECC7A0"/>
    <w:rsid w:val="42ED3D62"/>
    <w:rsid w:val="42EE2647"/>
    <w:rsid w:val="42F1AAD6"/>
    <w:rsid w:val="42F216B0"/>
    <w:rsid w:val="42F43D46"/>
    <w:rsid w:val="42F6B181"/>
    <w:rsid w:val="42F70ED8"/>
    <w:rsid w:val="42F75DC3"/>
    <w:rsid w:val="42F79BEF"/>
    <w:rsid w:val="42F84CBF"/>
    <w:rsid w:val="42F88B35"/>
    <w:rsid w:val="42F96FAF"/>
    <w:rsid w:val="42FBC737"/>
    <w:rsid w:val="42FEAFBE"/>
    <w:rsid w:val="430158EA"/>
    <w:rsid w:val="4301F662"/>
    <w:rsid w:val="4303B1FC"/>
    <w:rsid w:val="4303C75C"/>
    <w:rsid w:val="4303F043"/>
    <w:rsid w:val="43046149"/>
    <w:rsid w:val="4305A5A6"/>
    <w:rsid w:val="4305E81D"/>
    <w:rsid w:val="43072946"/>
    <w:rsid w:val="4307F1FE"/>
    <w:rsid w:val="430A42BC"/>
    <w:rsid w:val="430A8ECB"/>
    <w:rsid w:val="430B4556"/>
    <w:rsid w:val="430C0154"/>
    <w:rsid w:val="430C2BBA"/>
    <w:rsid w:val="430EF7F1"/>
    <w:rsid w:val="43125CEE"/>
    <w:rsid w:val="43149B2F"/>
    <w:rsid w:val="43159AE0"/>
    <w:rsid w:val="431663C0"/>
    <w:rsid w:val="431763EE"/>
    <w:rsid w:val="4319C370"/>
    <w:rsid w:val="431ACD6D"/>
    <w:rsid w:val="431C1A11"/>
    <w:rsid w:val="431C97DE"/>
    <w:rsid w:val="431CC853"/>
    <w:rsid w:val="431D9727"/>
    <w:rsid w:val="431F7B16"/>
    <w:rsid w:val="432010FE"/>
    <w:rsid w:val="4320BACF"/>
    <w:rsid w:val="43217AC8"/>
    <w:rsid w:val="43217F3E"/>
    <w:rsid w:val="4321E713"/>
    <w:rsid w:val="4322F74A"/>
    <w:rsid w:val="4326CE00"/>
    <w:rsid w:val="432736EF"/>
    <w:rsid w:val="43274CAE"/>
    <w:rsid w:val="432771CB"/>
    <w:rsid w:val="43283070"/>
    <w:rsid w:val="4329687F"/>
    <w:rsid w:val="432BC7A2"/>
    <w:rsid w:val="432FCC67"/>
    <w:rsid w:val="43307D5B"/>
    <w:rsid w:val="433369EE"/>
    <w:rsid w:val="433432D2"/>
    <w:rsid w:val="4334FB67"/>
    <w:rsid w:val="43356761"/>
    <w:rsid w:val="433571F3"/>
    <w:rsid w:val="43365B59"/>
    <w:rsid w:val="433A64D0"/>
    <w:rsid w:val="433C8A7B"/>
    <w:rsid w:val="433C9A2F"/>
    <w:rsid w:val="433DFAAE"/>
    <w:rsid w:val="433E3878"/>
    <w:rsid w:val="433F1D5A"/>
    <w:rsid w:val="43415EAF"/>
    <w:rsid w:val="4341C99E"/>
    <w:rsid w:val="43434B73"/>
    <w:rsid w:val="43435FD0"/>
    <w:rsid w:val="4343B429"/>
    <w:rsid w:val="434428A4"/>
    <w:rsid w:val="43460CC3"/>
    <w:rsid w:val="43468B52"/>
    <w:rsid w:val="4346EE43"/>
    <w:rsid w:val="43483626"/>
    <w:rsid w:val="43488F79"/>
    <w:rsid w:val="434890A5"/>
    <w:rsid w:val="434A0E36"/>
    <w:rsid w:val="434AE1B8"/>
    <w:rsid w:val="434BABFB"/>
    <w:rsid w:val="434BBF60"/>
    <w:rsid w:val="434C052D"/>
    <w:rsid w:val="434DBC90"/>
    <w:rsid w:val="434F24D9"/>
    <w:rsid w:val="43505636"/>
    <w:rsid w:val="4350D6D6"/>
    <w:rsid w:val="43511EB8"/>
    <w:rsid w:val="43514C7A"/>
    <w:rsid w:val="43518880"/>
    <w:rsid w:val="4353C42E"/>
    <w:rsid w:val="43545097"/>
    <w:rsid w:val="4356AA02"/>
    <w:rsid w:val="4357CDC0"/>
    <w:rsid w:val="4358D5C3"/>
    <w:rsid w:val="43592BE2"/>
    <w:rsid w:val="435AD0B0"/>
    <w:rsid w:val="435DB1F0"/>
    <w:rsid w:val="435DE485"/>
    <w:rsid w:val="435E3FFE"/>
    <w:rsid w:val="435E6C4D"/>
    <w:rsid w:val="43626309"/>
    <w:rsid w:val="43639952"/>
    <w:rsid w:val="43663AE5"/>
    <w:rsid w:val="436707CD"/>
    <w:rsid w:val="436F87B9"/>
    <w:rsid w:val="436FDAC6"/>
    <w:rsid w:val="4370C490"/>
    <w:rsid w:val="437109EB"/>
    <w:rsid w:val="4372116C"/>
    <w:rsid w:val="43729847"/>
    <w:rsid w:val="43739B13"/>
    <w:rsid w:val="437695BB"/>
    <w:rsid w:val="43791973"/>
    <w:rsid w:val="437C8D7A"/>
    <w:rsid w:val="43804945"/>
    <w:rsid w:val="43812E2B"/>
    <w:rsid w:val="43823D2C"/>
    <w:rsid w:val="4383250E"/>
    <w:rsid w:val="43833AF7"/>
    <w:rsid w:val="438717B3"/>
    <w:rsid w:val="4388F62F"/>
    <w:rsid w:val="43891A0D"/>
    <w:rsid w:val="438957E3"/>
    <w:rsid w:val="438ADFBB"/>
    <w:rsid w:val="438B028B"/>
    <w:rsid w:val="438B8494"/>
    <w:rsid w:val="438C4B36"/>
    <w:rsid w:val="438CF2B2"/>
    <w:rsid w:val="438DE068"/>
    <w:rsid w:val="438ECA45"/>
    <w:rsid w:val="438F3D96"/>
    <w:rsid w:val="4392DAAF"/>
    <w:rsid w:val="43931DCF"/>
    <w:rsid w:val="43999E93"/>
    <w:rsid w:val="439B43A1"/>
    <w:rsid w:val="439F60F9"/>
    <w:rsid w:val="43A1FAC1"/>
    <w:rsid w:val="43A22324"/>
    <w:rsid w:val="43A2B084"/>
    <w:rsid w:val="43A4A9BB"/>
    <w:rsid w:val="43A5C99A"/>
    <w:rsid w:val="43A67232"/>
    <w:rsid w:val="43A676ED"/>
    <w:rsid w:val="43A6A638"/>
    <w:rsid w:val="43A77AA2"/>
    <w:rsid w:val="43A8376E"/>
    <w:rsid w:val="43AA10B0"/>
    <w:rsid w:val="43ABC587"/>
    <w:rsid w:val="43AC414C"/>
    <w:rsid w:val="43AF6721"/>
    <w:rsid w:val="43B48C6D"/>
    <w:rsid w:val="43B4E0E2"/>
    <w:rsid w:val="43B4F14F"/>
    <w:rsid w:val="43B79AAA"/>
    <w:rsid w:val="43B7F5D5"/>
    <w:rsid w:val="43B88A8F"/>
    <w:rsid w:val="43BA289A"/>
    <w:rsid w:val="43BA42AB"/>
    <w:rsid w:val="43BA9633"/>
    <w:rsid w:val="43BC8A32"/>
    <w:rsid w:val="43BE3542"/>
    <w:rsid w:val="43BE52EE"/>
    <w:rsid w:val="43BF5FCD"/>
    <w:rsid w:val="43C04468"/>
    <w:rsid w:val="43C0C93E"/>
    <w:rsid w:val="43C44869"/>
    <w:rsid w:val="43C4A7D2"/>
    <w:rsid w:val="43C4E42F"/>
    <w:rsid w:val="43C767ED"/>
    <w:rsid w:val="43C7D27E"/>
    <w:rsid w:val="43C83119"/>
    <w:rsid w:val="43C92BFA"/>
    <w:rsid w:val="43C95620"/>
    <w:rsid w:val="43CD78BC"/>
    <w:rsid w:val="43CF7341"/>
    <w:rsid w:val="43D0FF94"/>
    <w:rsid w:val="43D1DB9D"/>
    <w:rsid w:val="43D2EB9E"/>
    <w:rsid w:val="43D62C6F"/>
    <w:rsid w:val="43D7F4FF"/>
    <w:rsid w:val="43DA2DFD"/>
    <w:rsid w:val="43DBFB16"/>
    <w:rsid w:val="43DE6D34"/>
    <w:rsid w:val="43DF0EAE"/>
    <w:rsid w:val="43DF4E50"/>
    <w:rsid w:val="43E0CBFA"/>
    <w:rsid w:val="43E47029"/>
    <w:rsid w:val="43E830AF"/>
    <w:rsid w:val="43E96239"/>
    <w:rsid w:val="43E9F18D"/>
    <w:rsid w:val="43EB813D"/>
    <w:rsid w:val="43EBE281"/>
    <w:rsid w:val="43EC3A1E"/>
    <w:rsid w:val="43EC5158"/>
    <w:rsid w:val="43ED2BE0"/>
    <w:rsid w:val="43ED2D5A"/>
    <w:rsid w:val="43EE04B7"/>
    <w:rsid w:val="43F1427F"/>
    <w:rsid w:val="43F19F0C"/>
    <w:rsid w:val="43F2954A"/>
    <w:rsid w:val="43F88F45"/>
    <w:rsid w:val="43F8D544"/>
    <w:rsid w:val="43FCC8D6"/>
    <w:rsid w:val="43FDA437"/>
    <w:rsid w:val="43FEB9C4"/>
    <w:rsid w:val="43FF518C"/>
    <w:rsid w:val="43FF67C7"/>
    <w:rsid w:val="440146E8"/>
    <w:rsid w:val="44015588"/>
    <w:rsid w:val="44016300"/>
    <w:rsid w:val="44031640"/>
    <w:rsid w:val="4406F03F"/>
    <w:rsid w:val="44070AFF"/>
    <w:rsid w:val="440724F8"/>
    <w:rsid w:val="440745C7"/>
    <w:rsid w:val="44094D12"/>
    <w:rsid w:val="44094D7C"/>
    <w:rsid w:val="440B2C26"/>
    <w:rsid w:val="440C41E7"/>
    <w:rsid w:val="440EDC49"/>
    <w:rsid w:val="440F1B66"/>
    <w:rsid w:val="440F59C6"/>
    <w:rsid w:val="44100804"/>
    <w:rsid w:val="44100D14"/>
    <w:rsid w:val="44109989"/>
    <w:rsid w:val="4413AC32"/>
    <w:rsid w:val="44149ABA"/>
    <w:rsid w:val="44192CFF"/>
    <w:rsid w:val="441AF88B"/>
    <w:rsid w:val="441BE86E"/>
    <w:rsid w:val="441F074B"/>
    <w:rsid w:val="441FBEA9"/>
    <w:rsid w:val="44218779"/>
    <w:rsid w:val="4421B57B"/>
    <w:rsid w:val="4424C00C"/>
    <w:rsid w:val="4425A82B"/>
    <w:rsid w:val="442C76E6"/>
    <w:rsid w:val="442D370D"/>
    <w:rsid w:val="442E54BD"/>
    <w:rsid w:val="44303687"/>
    <w:rsid w:val="4430F4A9"/>
    <w:rsid w:val="44325E05"/>
    <w:rsid w:val="44349199"/>
    <w:rsid w:val="44357CE8"/>
    <w:rsid w:val="4437310B"/>
    <w:rsid w:val="443B0EBB"/>
    <w:rsid w:val="443DFADE"/>
    <w:rsid w:val="443E7AE2"/>
    <w:rsid w:val="443FA09D"/>
    <w:rsid w:val="443FBC22"/>
    <w:rsid w:val="444349DA"/>
    <w:rsid w:val="444643B5"/>
    <w:rsid w:val="4448DBFC"/>
    <w:rsid w:val="444986A6"/>
    <w:rsid w:val="444A3418"/>
    <w:rsid w:val="444B1FCB"/>
    <w:rsid w:val="444D9D0C"/>
    <w:rsid w:val="444E2C77"/>
    <w:rsid w:val="444F59D2"/>
    <w:rsid w:val="4451248C"/>
    <w:rsid w:val="4451AB0B"/>
    <w:rsid w:val="44533C94"/>
    <w:rsid w:val="4456EF53"/>
    <w:rsid w:val="445845D0"/>
    <w:rsid w:val="445A5AD0"/>
    <w:rsid w:val="445E4BB2"/>
    <w:rsid w:val="445EEED6"/>
    <w:rsid w:val="445F5A6D"/>
    <w:rsid w:val="446031D7"/>
    <w:rsid w:val="44663A49"/>
    <w:rsid w:val="4467434C"/>
    <w:rsid w:val="4468A38D"/>
    <w:rsid w:val="4469F18B"/>
    <w:rsid w:val="446A2A72"/>
    <w:rsid w:val="446BBF29"/>
    <w:rsid w:val="446DFFDE"/>
    <w:rsid w:val="446E1C11"/>
    <w:rsid w:val="446E9168"/>
    <w:rsid w:val="4470270B"/>
    <w:rsid w:val="447185A4"/>
    <w:rsid w:val="4472B114"/>
    <w:rsid w:val="447313F1"/>
    <w:rsid w:val="44751153"/>
    <w:rsid w:val="4477E450"/>
    <w:rsid w:val="4479A89F"/>
    <w:rsid w:val="447AD488"/>
    <w:rsid w:val="447BB567"/>
    <w:rsid w:val="447C4794"/>
    <w:rsid w:val="447DE9EC"/>
    <w:rsid w:val="447FEA70"/>
    <w:rsid w:val="448067AB"/>
    <w:rsid w:val="4480ACEC"/>
    <w:rsid w:val="44869FCC"/>
    <w:rsid w:val="4488A320"/>
    <w:rsid w:val="448A641B"/>
    <w:rsid w:val="448A8AF7"/>
    <w:rsid w:val="448AEF96"/>
    <w:rsid w:val="448AF366"/>
    <w:rsid w:val="448B2E4D"/>
    <w:rsid w:val="448E9633"/>
    <w:rsid w:val="44905FA6"/>
    <w:rsid w:val="4494392B"/>
    <w:rsid w:val="4495BEC2"/>
    <w:rsid w:val="449754E2"/>
    <w:rsid w:val="449D1B05"/>
    <w:rsid w:val="449F6F3D"/>
    <w:rsid w:val="449F9627"/>
    <w:rsid w:val="44A2492C"/>
    <w:rsid w:val="44A28CDE"/>
    <w:rsid w:val="44A3FFB7"/>
    <w:rsid w:val="44A5FCF5"/>
    <w:rsid w:val="44A72461"/>
    <w:rsid w:val="44A7EC84"/>
    <w:rsid w:val="44A92E08"/>
    <w:rsid w:val="44ACD0EA"/>
    <w:rsid w:val="44AD63A2"/>
    <w:rsid w:val="44AE3722"/>
    <w:rsid w:val="44AEC6E4"/>
    <w:rsid w:val="44B0A443"/>
    <w:rsid w:val="44B42FDE"/>
    <w:rsid w:val="44B44A0D"/>
    <w:rsid w:val="44B49568"/>
    <w:rsid w:val="44B4B5FF"/>
    <w:rsid w:val="44B4B64C"/>
    <w:rsid w:val="44B71516"/>
    <w:rsid w:val="44B72B72"/>
    <w:rsid w:val="44B8703D"/>
    <w:rsid w:val="44B9E204"/>
    <w:rsid w:val="44BA8CF2"/>
    <w:rsid w:val="44BAC177"/>
    <w:rsid w:val="44BBE6E6"/>
    <w:rsid w:val="44BEC1B4"/>
    <w:rsid w:val="44C06457"/>
    <w:rsid w:val="44C07E2E"/>
    <w:rsid w:val="44C0851D"/>
    <w:rsid w:val="44C17F7C"/>
    <w:rsid w:val="44C1FF1E"/>
    <w:rsid w:val="44C28288"/>
    <w:rsid w:val="44C3B9F6"/>
    <w:rsid w:val="44C5BCBF"/>
    <w:rsid w:val="44C6AFFE"/>
    <w:rsid w:val="44C9290E"/>
    <w:rsid w:val="44C9E996"/>
    <w:rsid w:val="44CA4251"/>
    <w:rsid w:val="44CBE902"/>
    <w:rsid w:val="44CF7C31"/>
    <w:rsid w:val="44CF8192"/>
    <w:rsid w:val="44D02760"/>
    <w:rsid w:val="44D02948"/>
    <w:rsid w:val="44D0BFFA"/>
    <w:rsid w:val="44D1B78D"/>
    <w:rsid w:val="44D245B9"/>
    <w:rsid w:val="44D279C6"/>
    <w:rsid w:val="44D460D9"/>
    <w:rsid w:val="44D47F48"/>
    <w:rsid w:val="44D6A29C"/>
    <w:rsid w:val="44D6AEFE"/>
    <w:rsid w:val="44DC1B80"/>
    <w:rsid w:val="44DD1511"/>
    <w:rsid w:val="44DF2FFA"/>
    <w:rsid w:val="44E363FA"/>
    <w:rsid w:val="44E3B87B"/>
    <w:rsid w:val="44E4742C"/>
    <w:rsid w:val="44E50DFA"/>
    <w:rsid w:val="44E7580E"/>
    <w:rsid w:val="44E8D0CB"/>
    <w:rsid w:val="44EB10D0"/>
    <w:rsid w:val="44EC8B1C"/>
    <w:rsid w:val="44ECEF19"/>
    <w:rsid w:val="44EEE48C"/>
    <w:rsid w:val="44F0F4B1"/>
    <w:rsid w:val="44F19901"/>
    <w:rsid w:val="44F27E89"/>
    <w:rsid w:val="44F5CF8C"/>
    <w:rsid w:val="44F612B1"/>
    <w:rsid w:val="44F78C2A"/>
    <w:rsid w:val="44F95D94"/>
    <w:rsid w:val="44FA3BCB"/>
    <w:rsid w:val="44FB68A5"/>
    <w:rsid w:val="4500EBE9"/>
    <w:rsid w:val="4501A401"/>
    <w:rsid w:val="45026B0A"/>
    <w:rsid w:val="4504D8E4"/>
    <w:rsid w:val="45050CD7"/>
    <w:rsid w:val="4506B4BB"/>
    <w:rsid w:val="4508CCF6"/>
    <w:rsid w:val="4509B192"/>
    <w:rsid w:val="450A4112"/>
    <w:rsid w:val="450A6FF4"/>
    <w:rsid w:val="450C2FF1"/>
    <w:rsid w:val="450CFEC6"/>
    <w:rsid w:val="450D52D5"/>
    <w:rsid w:val="450EB4B3"/>
    <w:rsid w:val="451164F6"/>
    <w:rsid w:val="4511EB96"/>
    <w:rsid w:val="45121AF5"/>
    <w:rsid w:val="451341C8"/>
    <w:rsid w:val="451580F4"/>
    <w:rsid w:val="451714C3"/>
    <w:rsid w:val="4518532E"/>
    <w:rsid w:val="4519364A"/>
    <w:rsid w:val="45193BE8"/>
    <w:rsid w:val="4519C3A2"/>
    <w:rsid w:val="451ACDD6"/>
    <w:rsid w:val="451B18F4"/>
    <w:rsid w:val="451D9ABC"/>
    <w:rsid w:val="451DE261"/>
    <w:rsid w:val="451E77B1"/>
    <w:rsid w:val="451F7A49"/>
    <w:rsid w:val="451FD812"/>
    <w:rsid w:val="4522E30A"/>
    <w:rsid w:val="45239655"/>
    <w:rsid w:val="45272C64"/>
    <w:rsid w:val="452B4FC2"/>
    <w:rsid w:val="452B8649"/>
    <w:rsid w:val="452EA7E9"/>
    <w:rsid w:val="452F0546"/>
    <w:rsid w:val="453101CA"/>
    <w:rsid w:val="453161C5"/>
    <w:rsid w:val="4531A035"/>
    <w:rsid w:val="4531CB5B"/>
    <w:rsid w:val="45344131"/>
    <w:rsid w:val="4534DE74"/>
    <w:rsid w:val="4535492A"/>
    <w:rsid w:val="45358915"/>
    <w:rsid w:val="453668F5"/>
    <w:rsid w:val="45368101"/>
    <w:rsid w:val="453B3F60"/>
    <w:rsid w:val="453D74AC"/>
    <w:rsid w:val="454012FB"/>
    <w:rsid w:val="4544270C"/>
    <w:rsid w:val="4544B16E"/>
    <w:rsid w:val="4545CE48"/>
    <w:rsid w:val="4545F440"/>
    <w:rsid w:val="4546F096"/>
    <w:rsid w:val="4547564E"/>
    <w:rsid w:val="45478545"/>
    <w:rsid w:val="45489A8C"/>
    <w:rsid w:val="454C9629"/>
    <w:rsid w:val="454D4DB2"/>
    <w:rsid w:val="454E4DF9"/>
    <w:rsid w:val="4550F52F"/>
    <w:rsid w:val="4556D9A4"/>
    <w:rsid w:val="4559644C"/>
    <w:rsid w:val="4559E694"/>
    <w:rsid w:val="455A9FA1"/>
    <w:rsid w:val="455AB923"/>
    <w:rsid w:val="455C6904"/>
    <w:rsid w:val="455CBEDB"/>
    <w:rsid w:val="455F9DF8"/>
    <w:rsid w:val="456017EC"/>
    <w:rsid w:val="45616861"/>
    <w:rsid w:val="45630473"/>
    <w:rsid w:val="4564283C"/>
    <w:rsid w:val="45667D2B"/>
    <w:rsid w:val="45677210"/>
    <w:rsid w:val="456AD291"/>
    <w:rsid w:val="456E8276"/>
    <w:rsid w:val="4571EA8F"/>
    <w:rsid w:val="45732406"/>
    <w:rsid w:val="45733B37"/>
    <w:rsid w:val="457563DB"/>
    <w:rsid w:val="4575BAA2"/>
    <w:rsid w:val="457669C7"/>
    <w:rsid w:val="4576A573"/>
    <w:rsid w:val="4579CEF9"/>
    <w:rsid w:val="457AEA8F"/>
    <w:rsid w:val="457BE69F"/>
    <w:rsid w:val="457D714D"/>
    <w:rsid w:val="457EDA89"/>
    <w:rsid w:val="457FE42A"/>
    <w:rsid w:val="45804B1D"/>
    <w:rsid w:val="45818556"/>
    <w:rsid w:val="4581CAF1"/>
    <w:rsid w:val="4581CF68"/>
    <w:rsid w:val="4582AC8D"/>
    <w:rsid w:val="4582B614"/>
    <w:rsid w:val="458306E5"/>
    <w:rsid w:val="4583B851"/>
    <w:rsid w:val="458429C1"/>
    <w:rsid w:val="45852754"/>
    <w:rsid w:val="45893A9F"/>
    <w:rsid w:val="458952F4"/>
    <w:rsid w:val="458977CE"/>
    <w:rsid w:val="458B74AC"/>
    <w:rsid w:val="458DAAF9"/>
    <w:rsid w:val="458F0BF8"/>
    <w:rsid w:val="458FD66F"/>
    <w:rsid w:val="4591D7A3"/>
    <w:rsid w:val="4592CE97"/>
    <w:rsid w:val="459791DB"/>
    <w:rsid w:val="45984723"/>
    <w:rsid w:val="4599BCB4"/>
    <w:rsid w:val="459AE2F2"/>
    <w:rsid w:val="459B9E2A"/>
    <w:rsid w:val="459C1D86"/>
    <w:rsid w:val="459C6976"/>
    <w:rsid w:val="459CC5CA"/>
    <w:rsid w:val="459ECD6F"/>
    <w:rsid w:val="45A16E11"/>
    <w:rsid w:val="45A2CDB6"/>
    <w:rsid w:val="45A3FF55"/>
    <w:rsid w:val="45A6062D"/>
    <w:rsid w:val="45A66625"/>
    <w:rsid w:val="45A672EB"/>
    <w:rsid w:val="45A86538"/>
    <w:rsid w:val="45AD1F34"/>
    <w:rsid w:val="45B0601D"/>
    <w:rsid w:val="45B0BC2B"/>
    <w:rsid w:val="45B14323"/>
    <w:rsid w:val="45B19D1C"/>
    <w:rsid w:val="45B1E0B3"/>
    <w:rsid w:val="45B5E164"/>
    <w:rsid w:val="45B673B2"/>
    <w:rsid w:val="45B9ED73"/>
    <w:rsid w:val="45BBF126"/>
    <w:rsid w:val="45C20786"/>
    <w:rsid w:val="45C32FC0"/>
    <w:rsid w:val="45C4F90C"/>
    <w:rsid w:val="45C7DDA1"/>
    <w:rsid w:val="45CA7336"/>
    <w:rsid w:val="45CB8A9B"/>
    <w:rsid w:val="45CEB7CA"/>
    <w:rsid w:val="45CF21CE"/>
    <w:rsid w:val="45D11AFD"/>
    <w:rsid w:val="45D2F3BE"/>
    <w:rsid w:val="45D2FB76"/>
    <w:rsid w:val="45D775E3"/>
    <w:rsid w:val="45D7A402"/>
    <w:rsid w:val="45D8EEAB"/>
    <w:rsid w:val="45D92CE7"/>
    <w:rsid w:val="45D95054"/>
    <w:rsid w:val="45DACAF5"/>
    <w:rsid w:val="45DB1E55"/>
    <w:rsid w:val="45DC0AC5"/>
    <w:rsid w:val="45DC0C1A"/>
    <w:rsid w:val="45DC1FC1"/>
    <w:rsid w:val="45DC6A40"/>
    <w:rsid w:val="45DDC226"/>
    <w:rsid w:val="45DE7B8F"/>
    <w:rsid w:val="45DEA0A9"/>
    <w:rsid w:val="45E08D51"/>
    <w:rsid w:val="45E0DB89"/>
    <w:rsid w:val="45E1F12A"/>
    <w:rsid w:val="45E24348"/>
    <w:rsid w:val="45E320CC"/>
    <w:rsid w:val="45E37853"/>
    <w:rsid w:val="45E3E0F1"/>
    <w:rsid w:val="45E47529"/>
    <w:rsid w:val="45E759DB"/>
    <w:rsid w:val="45E8E43E"/>
    <w:rsid w:val="45E9FCD8"/>
    <w:rsid w:val="45EC4670"/>
    <w:rsid w:val="45ECA9A3"/>
    <w:rsid w:val="45ED7FF0"/>
    <w:rsid w:val="45ED8DCD"/>
    <w:rsid w:val="45ED8FA1"/>
    <w:rsid w:val="45EEFCFD"/>
    <w:rsid w:val="45F101C9"/>
    <w:rsid w:val="45F13512"/>
    <w:rsid w:val="45F22308"/>
    <w:rsid w:val="45F3E507"/>
    <w:rsid w:val="45F4D993"/>
    <w:rsid w:val="45F6A93C"/>
    <w:rsid w:val="45F79226"/>
    <w:rsid w:val="45FBA8F2"/>
    <w:rsid w:val="45FBEC10"/>
    <w:rsid w:val="45FDD361"/>
    <w:rsid w:val="45FDEE1D"/>
    <w:rsid w:val="45FE41F1"/>
    <w:rsid w:val="45FE439C"/>
    <w:rsid w:val="45FE8B16"/>
    <w:rsid w:val="45FFC0C8"/>
    <w:rsid w:val="460073EC"/>
    <w:rsid w:val="4601D6C7"/>
    <w:rsid w:val="4604BA6F"/>
    <w:rsid w:val="46051A5F"/>
    <w:rsid w:val="460676DB"/>
    <w:rsid w:val="4606F1A9"/>
    <w:rsid w:val="4607CD65"/>
    <w:rsid w:val="46081983"/>
    <w:rsid w:val="46084F63"/>
    <w:rsid w:val="460881AE"/>
    <w:rsid w:val="460A68C0"/>
    <w:rsid w:val="460A69A5"/>
    <w:rsid w:val="460C2B0B"/>
    <w:rsid w:val="460E1547"/>
    <w:rsid w:val="460E8175"/>
    <w:rsid w:val="4612D251"/>
    <w:rsid w:val="4613A3E1"/>
    <w:rsid w:val="461446CC"/>
    <w:rsid w:val="4614CFD3"/>
    <w:rsid w:val="46183273"/>
    <w:rsid w:val="46188C01"/>
    <w:rsid w:val="461C7D4D"/>
    <w:rsid w:val="461CE1F4"/>
    <w:rsid w:val="4627D656"/>
    <w:rsid w:val="462C0AEF"/>
    <w:rsid w:val="462D0B5A"/>
    <w:rsid w:val="462DFD21"/>
    <w:rsid w:val="462EF62C"/>
    <w:rsid w:val="4633A8DA"/>
    <w:rsid w:val="4633AD9F"/>
    <w:rsid w:val="4633B69B"/>
    <w:rsid w:val="4636C72C"/>
    <w:rsid w:val="4638D754"/>
    <w:rsid w:val="4638D8D3"/>
    <w:rsid w:val="4639ACA7"/>
    <w:rsid w:val="463AABA1"/>
    <w:rsid w:val="463D1347"/>
    <w:rsid w:val="463D3677"/>
    <w:rsid w:val="463D9865"/>
    <w:rsid w:val="463E9C10"/>
    <w:rsid w:val="463F4517"/>
    <w:rsid w:val="46414F57"/>
    <w:rsid w:val="46440671"/>
    <w:rsid w:val="4645D522"/>
    <w:rsid w:val="464638BA"/>
    <w:rsid w:val="4646F3AF"/>
    <w:rsid w:val="464A0A08"/>
    <w:rsid w:val="464AE3B0"/>
    <w:rsid w:val="464B3BD9"/>
    <w:rsid w:val="464CA4F2"/>
    <w:rsid w:val="464CB8BF"/>
    <w:rsid w:val="464D42C5"/>
    <w:rsid w:val="464D5146"/>
    <w:rsid w:val="464E4703"/>
    <w:rsid w:val="464E7542"/>
    <w:rsid w:val="464FF30A"/>
    <w:rsid w:val="46507D0B"/>
    <w:rsid w:val="4650A42E"/>
    <w:rsid w:val="465120AB"/>
    <w:rsid w:val="46533572"/>
    <w:rsid w:val="46534BA4"/>
    <w:rsid w:val="4653A923"/>
    <w:rsid w:val="465670EC"/>
    <w:rsid w:val="465A13C6"/>
    <w:rsid w:val="465DAB0C"/>
    <w:rsid w:val="4663B6E2"/>
    <w:rsid w:val="4664A0A8"/>
    <w:rsid w:val="4667D199"/>
    <w:rsid w:val="4667FB2C"/>
    <w:rsid w:val="46681DC5"/>
    <w:rsid w:val="4669F71A"/>
    <w:rsid w:val="466ADEB0"/>
    <w:rsid w:val="466C1EA3"/>
    <w:rsid w:val="466EE7EB"/>
    <w:rsid w:val="466F3E72"/>
    <w:rsid w:val="466F6C43"/>
    <w:rsid w:val="466FE87D"/>
    <w:rsid w:val="46702DDF"/>
    <w:rsid w:val="46706928"/>
    <w:rsid w:val="46707023"/>
    <w:rsid w:val="4670CB0A"/>
    <w:rsid w:val="467124FF"/>
    <w:rsid w:val="46762D64"/>
    <w:rsid w:val="46771660"/>
    <w:rsid w:val="4677288B"/>
    <w:rsid w:val="467E1D03"/>
    <w:rsid w:val="467EB24F"/>
    <w:rsid w:val="468213EF"/>
    <w:rsid w:val="4682C05A"/>
    <w:rsid w:val="4683A037"/>
    <w:rsid w:val="4689A680"/>
    <w:rsid w:val="468A6F9D"/>
    <w:rsid w:val="468AEC26"/>
    <w:rsid w:val="468DA9B4"/>
    <w:rsid w:val="468F03D8"/>
    <w:rsid w:val="468FC4AA"/>
    <w:rsid w:val="468FD037"/>
    <w:rsid w:val="4692C2BB"/>
    <w:rsid w:val="46930FCB"/>
    <w:rsid w:val="46932F7C"/>
    <w:rsid w:val="4694C92F"/>
    <w:rsid w:val="46960777"/>
    <w:rsid w:val="4696A85C"/>
    <w:rsid w:val="46981194"/>
    <w:rsid w:val="46996C1A"/>
    <w:rsid w:val="469B46A5"/>
    <w:rsid w:val="469CEE7D"/>
    <w:rsid w:val="469E79FA"/>
    <w:rsid w:val="46A004F8"/>
    <w:rsid w:val="46A06F03"/>
    <w:rsid w:val="46A07884"/>
    <w:rsid w:val="46A0DF6D"/>
    <w:rsid w:val="46A3D796"/>
    <w:rsid w:val="46A564C5"/>
    <w:rsid w:val="46A622EF"/>
    <w:rsid w:val="46A674AC"/>
    <w:rsid w:val="46A73C1C"/>
    <w:rsid w:val="46AA2E6E"/>
    <w:rsid w:val="46AA4603"/>
    <w:rsid w:val="46AA4B88"/>
    <w:rsid w:val="46AAAB75"/>
    <w:rsid w:val="46AB5E5A"/>
    <w:rsid w:val="46AB8BAD"/>
    <w:rsid w:val="46ABFF14"/>
    <w:rsid w:val="46ADB126"/>
    <w:rsid w:val="46ADFAAA"/>
    <w:rsid w:val="46AE0699"/>
    <w:rsid w:val="46AE256A"/>
    <w:rsid w:val="46B02480"/>
    <w:rsid w:val="46B11BE3"/>
    <w:rsid w:val="46B15314"/>
    <w:rsid w:val="46B38F6E"/>
    <w:rsid w:val="46B57C31"/>
    <w:rsid w:val="46BA2B9B"/>
    <w:rsid w:val="46BB5A67"/>
    <w:rsid w:val="46BCB57B"/>
    <w:rsid w:val="46BD4474"/>
    <w:rsid w:val="46C09365"/>
    <w:rsid w:val="46C19CB1"/>
    <w:rsid w:val="46C27AF0"/>
    <w:rsid w:val="46C2A676"/>
    <w:rsid w:val="46C2FA56"/>
    <w:rsid w:val="46C51E73"/>
    <w:rsid w:val="46C5405B"/>
    <w:rsid w:val="46C54BB3"/>
    <w:rsid w:val="46C585F5"/>
    <w:rsid w:val="46CB1921"/>
    <w:rsid w:val="46CDD203"/>
    <w:rsid w:val="46CE208F"/>
    <w:rsid w:val="46D120F1"/>
    <w:rsid w:val="46D145E2"/>
    <w:rsid w:val="46D27CA6"/>
    <w:rsid w:val="46D61EA8"/>
    <w:rsid w:val="46DA051E"/>
    <w:rsid w:val="46DB192A"/>
    <w:rsid w:val="46DB6918"/>
    <w:rsid w:val="46DC8B2A"/>
    <w:rsid w:val="46DCB048"/>
    <w:rsid w:val="46DFDDF4"/>
    <w:rsid w:val="46E1195F"/>
    <w:rsid w:val="46E11AB2"/>
    <w:rsid w:val="46E547D9"/>
    <w:rsid w:val="46E6467C"/>
    <w:rsid w:val="46E83650"/>
    <w:rsid w:val="46E8E94F"/>
    <w:rsid w:val="46EA4C13"/>
    <w:rsid w:val="46EF6EDF"/>
    <w:rsid w:val="46F01A20"/>
    <w:rsid w:val="46F103DC"/>
    <w:rsid w:val="46F32ABC"/>
    <w:rsid w:val="46F5F910"/>
    <w:rsid w:val="46F918B7"/>
    <w:rsid w:val="46F945E9"/>
    <w:rsid w:val="46F9F155"/>
    <w:rsid w:val="46FB6ECD"/>
    <w:rsid w:val="46FC1CC4"/>
    <w:rsid w:val="46FF85A0"/>
    <w:rsid w:val="47023DCA"/>
    <w:rsid w:val="470566F3"/>
    <w:rsid w:val="47056852"/>
    <w:rsid w:val="470623D1"/>
    <w:rsid w:val="4707838B"/>
    <w:rsid w:val="4708970D"/>
    <w:rsid w:val="470AB577"/>
    <w:rsid w:val="470C48E0"/>
    <w:rsid w:val="470C5ACC"/>
    <w:rsid w:val="470D6DD2"/>
    <w:rsid w:val="470DD117"/>
    <w:rsid w:val="470E38E4"/>
    <w:rsid w:val="470F6769"/>
    <w:rsid w:val="47111766"/>
    <w:rsid w:val="4711B1F8"/>
    <w:rsid w:val="47145273"/>
    <w:rsid w:val="471570AF"/>
    <w:rsid w:val="4716CA4D"/>
    <w:rsid w:val="47182D3F"/>
    <w:rsid w:val="471898CF"/>
    <w:rsid w:val="471951E2"/>
    <w:rsid w:val="471CAC07"/>
    <w:rsid w:val="471ECD61"/>
    <w:rsid w:val="47200735"/>
    <w:rsid w:val="47202BA9"/>
    <w:rsid w:val="47240087"/>
    <w:rsid w:val="47263B5E"/>
    <w:rsid w:val="47277939"/>
    <w:rsid w:val="4728FA65"/>
    <w:rsid w:val="472BCA9C"/>
    <w:rsid w:val="472C8347"/>
    <w:rsid w:val="472D28FA"/>
    <w:rsid w:val="472D8155"/>
    <w:rsid w:val="472DC8F3"/>
    <w:rsid w:val="472E355A"/>
    <w:rsid w:val="473253E6"/>
    <w:rsid w:val="47332ED6"/>
    <w:rsid w:val="4733EEFD"/>
    <w:rsid w:val="4735391D"/>
    <w:rsid w:val="4735DE85"/>
    <w:rsid w:val="47371C1B"/>
    <w:rsid w:val="4737561C"/>
    <w:rsid w:val="47377DDC"/>
    <w:rsid w:val="47385268"/>
    <w:rsid w:val="4738F9A2"/>
    <w:rsid w:val="473B5B35"/>
    <w:rsid w:val="473BFCB0"/>
    <w:rsid w:val="473D7D6D"/>
    <w:rsid w:val="473EDD7F"/>
    <w:rsid w:val="473EDE53"/>
    <w:rsid w:val="473F24DD"/>
    <w:rsid w:val="473F3144"/>
    <w:rsid w:val="473FAE31"/>
    <w:rsid w:val="474049F3"/>
    <w:rsid w:val="47421EEF"/>
    <w:rsid w:val="4743B2EB"/>
    <w:rsid w:val="47441BBF"/>
    <w:rsid w:val="474764BF"/>
    <w:rsid w:val="47479F36"/>
    <w:rsid w:val="4749F545"/>
    <w:rsid w:val="474BF07E"/>
    <w:rsid w:val="474F78AF"/>
    <w:rsid w:val="474FD7A0"/>
    <w:rsid w:val="47506B45"/>
    <w:rsid w:val="4751EC02"/>
    <w:rsid w:val="4752FF0B"/>
    <w:rsid w:val="47534BB2"/>
    <w:rsid w:val="475CC71C"/>
    <w:rsid w:val="475D1600"/>
    <w:rsid w:val="475E28C3"/>
    <w:rsid w:val="475EBCB0"/>
    <w:rsid w:val="475FDE5E"/>
    <w:rsid w:val="47609B6F"/>
    <w:rsid w:val="4760A2F2"/>
    <w:rsid w:val="4760A42A"/>
    <w:rsid w:val="47612F01"/>
    <w:rsid w:val="476184D1"/>
    <w:rsid w:val="4764FE13"/>
    <w:rsid w:val="4765B808"/>
    <w:rsid w:val="47666686"/>
    <w:rsid w:val="4768C181"/>
    <w:rsid w:val="476B99FB"/>
    <w:rsid w:val="476BA095"/>
    <w:rsid w:val="476DA132"/>
    <w:rsid w:val="476E2787"/>
    <w:rsid w:val="476EFCDA"/>
    <w:rsid w:val="47716998"/>
    <w:rsid w:val="47752A04"/>
    <w:rsid w:val="47752CC2"/>
    <w:rsid w:val="4776C647"/>
    <w:rsid w:val="47784FB6"/>
    <w:rsid w:val="47788E71"/>
    <w:rsid w:val="4778B969"/>
    <w:rsid w:val="4778E665"/>
    <w:rsid w:val="4780D0A3"/>
    <w:rsid w:val="47820E5C"/>
    <w:rsid w:val="4784CC4B"/>
    <w:rsid w:val="4785C0B6"/>
    <w:rsid w:val="478A10AC"/>
    <w:rsid w:val="478C24AA"/>
    <w:rsid w:val="478DDF29"/>
    <w:rsid w:val="478F3551"/>
    <w:rsid w:val="4790446F"/>
    <w:rsid w:val="47905226"/>
    <w:rsid w:val="47959922"/>
    <w:rsid w:val="47978567"/>
    <w:rsid w:val="4798CE2C"/>
    <w:rsid w:val="479ACB00"/>
    <w:rsid w:val="479AFA47"/>
    <w:rsid w:val="479B73C1"/>
    <w:rsid w:val="479CA224"/>
    <w:rsid w:val="47A1B35D"/>
    <w:rsid w:val="47A2CFE7"/>
    <w:rsid w:val="47A57C3B"/>
    <w:rsid w:val="47A80DE0"/>
    <w:rsid w:val="47AA3F7F"/>
    <w:rsid w:val="47AA7480"/>
    <w:rsid w:val="47AF064E"/>
    <w:rsid w:val="47AFE3FE"/>
    <w:rsid w:val="47B22D06"/>
    <w:rsid w:val="47B24D22"/>
    <w:rsid w:val="47B41324"/>
    <w:rsid w:val="47B5829D"/>
    <w:rsid w:val="47B6602F"/>
    <w:rsid w:val="47B6D2F1"/>
    <w:rsid w:val="47B89700"/>
    <w:rsid w:val="47BA8E30"/>
    <w:rsid w:val="47BB007F"/>
    <w:rsid w:val="47BB00D4"/>
    <w:rsid w:val="47BBFDA4"/>
    <w:rsid w:val="47BCE9F2"/>
    <w:rsid w:val="47C1728F"/>
    <w:rsid w:val="47C180FF"/>
    <w:rsid w:val="47C22C05"/>
    <w:rsid w:val="47C2C658"/>
    <w:rsid w:val="47C2D9E2"/>
    <w:rsid w:val="47C41C38"/>
    <w:rsid w:val="47C681DB"/>
    <w:rsid w:val="47C6DF7D"/>
    <w:rsid w:val="47C73472"/>
    <w:rsid w:val="47C75607"/>
    <w:rsid w:val="47C7BD91"/>
    <w:rsid w:val="47C7CA70"/>
    <w:rsid w:val="47C80E95"/>
    <w:rsid w:val="47C9394E"/>
    <w:rsid w:val="47CB6489"/>
    <w:rsid w:val="47CCAE6D"/>
    <w:rsid w:val="47CD07B1"/>
    <w:rsid w:val="47CEB0ED"/>
    <w:rsid w:val="47CF15EA"/>
    <w:rsid w:val="47D0B3B5"/>
    <w:rsid w:val="47D1D2F9"/>
    <w:rsid w:val="47DB3F3F"/>
    <w:rsid w:val="47DF95B0"/>
    <w:rsid w:val="47E14E1D"/>
    <w:rsid w:val="47E2091B"/>
    <w:rsid w:val="47E41648"/>
    <w:rsid w:val="47E66230"/>
    <w:rsid w:val="47E7D992"/>
    <w:rsid w:val="47E981C5"/>
    <w:rsid w:val="47E9C463"/>
    <w:rsid w:val="47EB92AD"/>
    <w:rsid w:val="47EBC36B"/>
    <w:rsid w:val="47EBC56D"/>
    <w:rsid w:val="47EDDCC8"/>
    <w:rsid w:val="47EE1C0B"/>
    <w:rsid w:val="47EE35AF"/>
    <w:rsid w:val="47F400CF"/>
    <w:rsid w:val="47F4B3E5"/>
    <w:rsid w:val="47F52F10"/>
    <w:rsid w:val="47F5A014"/>
    <w:rsid w:val="47F5CE7B"/>
    <w:rsid w:val="47F77D5C"/>
    <w:rsid w:val="47F88B36"/>
    <w:rsid w:val="47F9686F"/>
    <w:rsid w:val="47FA2FFD"/>
    <w:rsid w:val="47FACD76"/>
    <w:rsid w:val="47FAFEA1"/>
    <w:rsid w:val="47FBFACD"/>
    <w:rsid w:val="47FDB41C"/>
    <w:rsid w:val="47FF88FA"/>
    <w:rsid w:val="4800421C"/>
    <w:rsid w:val="480065A1"/>
    <w:rsid w:val="480156A2"/>
    <w:rsid w:val="4801A5ED"/>
    <w:rsid w:val="48026747"/>
    <w:rsid w:val="48038FF9"/>
    <w:rsid w:val="4804CF9A"/>
    <w:rsid w:val="4804F39F"/>
    <w:rsid w:val="48059B94"/>
    <w:rsid w:val="4806ECB9"/>
    <w:rsid w:val="48082F45"/>
    <w:rsid w:val="4808F951"/>
    <w:rsid w:val="480948BF"/>
    <w:rsid w:val="48094BE8"/>
    <w:rsid w:val="480BA7EC"/>
    <w:rsid w:val="480D5D37"/>
    <w:rsid w:val="48102C0F"/>
    <w:rsid w:val="481068E4"/>
    <w:rsid w:val="4810AE55"/>
    <w:rsid w:val="481196CC"/>
    <w:rsid w:val="4811B080"/>
    <w:rsid w:val="4812FD7E"/>
    <w:rsid w:val="48135E17"/>
    <w:rsid w:val="4813DE80"/>
    <w:rsid w:val="4816502F"/>
    <w:rsid w:val="4818F36D"/>
    <w:rsid w:val="48198C29"/>
    <w:rsid w:val="481ACE39"/>
    <w:rsid w:val="481CA255"/>
    <w:rsid w:val="48209115"/>
    <w:rsid w:val="48227D5C"/>
    <w:rsid w:val="48271309"/>
    <w:rsid w:val="482932C5"/>
    <w:rsid w:val="48294D7B"/>
    <w:rsid w:val="48295D39"/>
    <w:rsid w:val="482B3DA7"/>
    <w:rsid w:val="482E0C8E"/>
    <w:rsid w:val="482FE2C2"/>
    <w:rsid w:val="4830CDE4"/>
    <w:rsid w:val="4830F15F"/>
    <w:rsid w:val="48310795"/>
    <w:rsid w:val="48313DA8"/>
    <w:rsid w:val="483256DE"/>
    <w:rsid w:val="4836D569"/>
    <w:rsid w:val="483B47E3"/>
    <w:rsid w:val="483DD035"/>
    <w:rsid w:val="48402CCA"/>
    <w:rsid w:val="484172F7"/>
    <w:rsid w:val="48425301"/>
    <w:rsid w:val="4843AA77"/>
    <w:rsid w:val="48445B78"/>
    <w:rsid w:val="4844C733"/>
    <w:rsid w:val="4844FF7F"/>
    <w:rsid w:val="48455414"/>
    <w:rsid w:val="48455565"/>
    <w:rsid w:val="48470825"/>
    <w:rsid w:val="48471D78"/>
    <w:rsid w:val="4849DC50"/>
    <w:rsid w:val="484A6CC7"/>
    <w:rsid w:val="484B0933"/>
    <w:rsid w:val="484BCAA0"/>
    <w:rsid w:val="484C7A19"/>
    <w:rsid w:val="484D0444"/>
    <w:rsid w:val="484D87F2"/>
    <w:rsid w:val="484E2895"/>
    <w:rsid w:val="484F6654"/>
    <w:rsid w:val="484F85B4"/>
    <w:rsid w:val="484FD785"/>
    <w:rsid w:val="4851F12C"/>
    <w:rsid w:val="4852037A"/>
    <w:rsid w:val="4852201E"/>
    <w:rsid w:val="48534E4D"/>
    <w:rsid w:val="48542EBC"/>
    <w:rsid w:val="48543336"/>
    <w:rsid w:val="4854E678"/>
    <w:rsid w:val="4856D2DD"/>
    <w:rsid w:val="48573CCA"/>
    <w:rsid w:val="4857970C"/>
    <w:rsid w:val="4857EDB2"/>
    <w:rsid w:val="4858D691"/>
    <w:rsid w:val="485A0D98"/>
    <w:rsid w:val="485B78CF"/>
    <w:rsid w:val="485C3B17"/>
    <w:rsid w:val="485C9698"/>
    <w:rsid w:val="485F3C02"/>
    <w:rsid w:val="485FDA2C"/>
    <w:rsid w:val="48602135"/>
    <w:rsid w:val="48626E41"/>
    <w:rsid w:val="48627228"/>
    <w:rsid w:val="4862785E"/>
    <w:rsid w:val="48646C5A"/>
    <w:rsid w:val="48649EFF"/>
    <w:rsid w:val="4868DBB2"/>
    <w:rsid w:val="486E573A"/>
    <w:rsid w:val="486FCAA5"/>
    <w:rsid w:val="487012A1"/>
    <w:rsid w:val="487169D4"/>
    <w:rsid w:val="4871C878"/>
    <w:rsid w:val="487281B8"/>
    <w:rsid w:val="487309E6"/>
    <w:rsid w:val="48735EA8"/>
    <w:rsid w:val="48735F1E"/>
    <w:rsid w:val="4874810A"/>
    <w:rsid w:val="4874CF2C"/>
    <w:rsid w:val="4875181B"/>
    <w:rsid w:val="4875A0FA"/>
    <w:rsid w:val="4876B142"/>
    <w:rsid w:val="48777C54"/>
    <w:rsid w:val="4877F632"/>
    <w:rsid w:val="487AEEA4"/>
    <w:rsid w:val="487B4D59"/>
    <w:rsid w:val="4880782B"/>
    <w:rsid w:val="4880D756"/>
    <w:rsid w:val="4880FCD5"/>
    <w:rsid w:val="48810225"/>
    <w:rsid w:val="48827472"/>
    <w:rsid w:val="4882CBF1"/>
    <w:rsid w:val="48838062"/>
    <w:rsid w:val="488564E4"/>
    <w:rsid w:val="48869A8C"/>
    <w:rsid w:val="48890957"/>
    <w:rsid w:val="48897111"/>
    <w:rsid w:val="488B8E5C"/>
    <w:rsid w:val="488DAED3"/>
    <w:rsid w:val="4890086A"/>
    <w:rsid w:val="48901C3D"/>
    <w:rsid w:val="48908E6C"/>
    <w:rsid w:val="489121E5"/>
    <w:rsid w:val="489195B4"/>
    <w:rsid w:val="4893E9F9"/>
    <w:rsid w:val="4894D455"/>
    <w:rsid w:val="4895FAA2"/>
    <w:rsid w:val="489642A3"/>
    <w:rsid w:val="489BE18A"/>
    <w:rsid w:val="489E20B3"/>
    <w:rsid w:val="489FA1DE"/>
    <w:rsid w:val="489FC3B7"/>
    <w:rsid w:val="48A3C36A"/>
    <w:rsid w:val="48A470B7"/>
    <w:rsid w:val="48A6BC72"/>
    <w:rsid w:val="48A78055"/>
    <w:rsid w:val="48A94405"/>
    <w:rsid w:val="48AC85A9"/>
    <w:rsid w:val="48AD11A2"/>
    <w:rsid w:val="48ADF479"/>
    <w:rsid w:val="48B1E36D"/>
    <w:rsid w:val="48B286E8"/>
    <w:rsid w:val="48B49CE6"/>
    <w:rsid w:val="48B5678D"/>
    <w:rsid w:val="48B6EDE1"/>
    <w:rsid w:val="48B8C717"/>
    <w:rsid w:val="48BF561B"/>
    <w:rsid w:val="48C11321"/>
    <w:rsid w:val="48C36FE4"/>
    <w:rsid w:val="48C39FAF"/>
    <w:rsid w:val="48C4E6F0"/>
    <w:rsid w:val="48C6A5C8"/>
    <w:rsid w:val="48C7B7CC"/>
    <w:rsid w:val="48CA3800"/>
    <w:rsid w:val="48CAA508"/>
    <w:rsid w:val="48CB0CF5"/>
    <w:rsid w:val="48CC50F3"/>
    <w:rsid w:val="48D1E28D"/>
    <w:rsid w:val="48D1F00C"/>
    <w:rsid w:val="48D2285C"/>
    <w:rsid w:val="48D538CD"/>
    <w:rsid w:val="48D5B33E"/>
    <w:rsid w:val="48D6B57C"/>
    <w:rsid w:val="48D77B9C"/>
    <w:rsid w:val="48D8C68D"/>
    <w:rsid w:val="48D8ED8E"/>
    <w:rsid w:val="48DA8D24"/>
    <w:rsid w:val="48DC40BA"/>
    <w:rsid w:val="48DCE541"/>
    <w:rsid w:val="48DE7063"/>
    <w:rsid w:val="48DF4020"/>
    <w:rsid w:val="48E74145"/>
    <w:rsid w:val="48E7EDD9"/>
    <w:rsid w:val="48E7EEF4"/>
    <w:rsid w:val="48E81E71"/>
    <w:rsid w:val="48E8325D"/>
    <w:rsid w:val="48E95A83"/>
    <w:rsid w:val="48EAE5C2"/>
    <w:rsid w:val="48EE212B"/>
    <w:rsid w:val="48EE30A7"/>
    <w:rsid w:val="48EE9491"/>
    <w:rsid w:val="48EFDA46"/>
    <w:rsid w:val="48F0608E"/>
    <w:rsid w:val="48F2D88A"/>
    <w:rsid w:val="48F44AE8"/>
    <w:rsid w:val="48F4A346"/>
    <w:rsid w:val="48F548A3"/>
    <w:rsid w:val="48F5E628"/>
    <w:rsid w:val="48F62D6B"/>
    <w:rsid w:val="48F7D6C8"/>
    <w:rsid w:val="48F99F8D"/>
    <w:rsid w:val="48FA02F8"/>
    <w:rsid w:val="48FAC704"/>
    <w:rsid w:val="48FB9A38"/>
    <w:rsid w:val="48FBE362"/>
    <w:rsid w:val="48FEFEE2"/>
    <w:rsid w:val="48FFED1D"/>
    <w:rsid w:val="4902C4E4"/>
    <w:rsid w:val="4904A58E"/>
    <w:rsid w:val="4904EFB9"/>
    <w:rsid w:val="49061229"/>
    <w:rsid w:val="490874CD"/>
    <w:rsid w:val="490A4C6F"/>
    <w:rsid w:val="490B5BD5"/>
    <w:rsid w:val="490D27E8"/>
    <w:rsid w:val="490E1477"/>
    <w:rsid w:val="490F08A9"/>
    <w:rsid w:val="4910BD64"/>
    <w:rsid w:val="4911491E"/>
    <w:rsid w:val="4911ED96"/>
    <w:rsid w:val="49125BA7"/>
    <w:rsid w:val="49160EF6"/>
    <w:rsid w:val="491668C5"/>
    <w:rsid w:val="49185E75"/>
    <w:rsid w:val="49190ED7"/>
    <w:rsid w:val="491A7337"/>
    <w:rsid w:val="491A88F8"/>
    <w:rsid w:val="491A913B"/>
    <w:rsid w:val="491B1088"/>
    <w:rsid w:val="49203EB7"/>
    <w:rsid w:val="49216B28"/>
    <w:rsid w:val="4921A389"/>
    <w:rsid w:val="4921A541"/>
    <w:rsid w:val="49222F42"/>
    <w:rsid w:val="4924426C"/>
    <w:rsid w:val="49249308"/>
    <w:rsid w:val="49259BEE"/>
    <w:rsid w:val="49288854"/>
    <w:rsid w:val="4928D6DC"/>
    <w:rsid w:val="492A8F79"/>
    <w:rsid w:val="492AD2D3"/>
    <w:rsid w:val="492E8B45"/>
    <w:rsid w:val="493071B8"/>
    <w:rsid w:val="4933F2F5"/>
    <w:rsid w:val="49384159"/>
    <w:rsid w:val="493A1021"/>
    <w:rsid w:val="493A8C24"/>
    <w:rsid w:val="493B19EE"/>
    <w:rsid w:val="493C4F74"/>
    <w:rsid w:val="493CCEC8"/>
    <w:rsid w:val="493D5A34"/>
    <w:rsid w:val="494072FE"/>
    <w:rsid w:val="49407671"/>
    <w:rsid w:val="4941C7FE"/>
    <w:rsid w:val="494291FC"/>
    <w:rsid w:val="494389E8"/>
    <w:rsid w:val="49439DC6"/>
    <w:rsid w:val="4944FB5B"/>
    <w:rsid w:val="4945757D"/>
    <w:rsid w:val="4945EC94"/>
    <w:rsid w:val="4945ED9A"/>
    <w:rsid w:val="494B1E75"/>
    <w:rsid w:val="494BDD6B"/>
    <w:rsid w:val="494C7347"/>
    <w:rsid w:val="494C7AB5"/>
    <w:rsid w:val="494C97D1"/>
    <w:rsid w:val="494CDCE4"/>
    <w:rsid w:val="494D39FA"/>
    <w:rsid w:val="494DDE17"/>
    <w:rsid w:val="494F6AF9"/>
    <w:rsid w:val="494FEBBB"/>
    <w:rsid w:val="49522F5C"/>
    <w:rsid w:val="49530D17"/>
    <w:rsid w:val="495339DA"/>
    <w:rsid w:val="4953787C"/>
    <w:rsid w:val="4954FDC1"/>
    <w:rsid w:val="495735CB"/>
    <w:rsid w:val="4957E97E"/>
    <w:rsid w:val="495846D1"/>
    <w:rsid w:val="4959B00D"/>
    <w:rsid w:val="4959DAC5"/>
    <w:rsid w:val="495A10FE"/>
    <w:rsid w:val="495A1A13"/>
    <w:rsid w:val="495C0AFC"/>
    <w:rsid w:val="495C82C8"/>
    <w:rsid w:val="495CE31B"/>
    <w:rsid w:val="495E4D84"/>
    <w:rsid w:val="495E9669"/>
    <w:rsid w:val="495EE861"/>
    <w:rsid w:val="495F16A0"/>
    <w:rsid w:val="496041C3"/>
    <w:rsid w:val="4962B457"/>
    <w:rsid w:val="4962BCE2"/>
    <w:rsid w:val="496334F4"/>
    <w:rsid w:val="496384D3"/>
    <w:rsid w:val="49652976"/>
    <w:rsid w:val="49677B5F"/>
    <w:rsid w:val="4968A3E5"/>
    <w:rsid w:val="496A35CC"/>
    <w:rsid w:val="49705352"/>
    <w:rsid w:val="4970D1DC"/>
    <w:rsid w:val="49728476"/>
    <w:rsid w:val="4973018A"/>
    <w:rsid w:val="49733078"/>
    <w:rsid w:val="49760C77"/>
    <w:rsid w:val="497696F9"/>
    <w:rsid w:val="4977BC90"/>
    <w:rsid w:val="49790A4E"/>
    <w:rsid w:val="497DD97C"/>
    <w:rsid w:val="4980BCDC"/>
    <w:rsid w:val="498166A9"/>
    <w:rsid w:val="4983436B"/>
    <w:rsid w:val="4984F208"/>
    <w:rsid w:val="49856323"/>
    <w:rsid w:val="4985C423"/>
    <w:rsid w:val="49865EB2"/>
    <w:rsid w:val="49869DD8"/>
    <w:rsid w:val="4987C35E"/>
    <w:rsid w:val="49885770"/>
    <w:rsid w:val="4989E858"/>
    <w:rsid w:val="498A03EE"/>
    <w:rsid w:val="498A3C34"/>
    <w:rsid w:val="498B1771"/>
    <w:rsid w:val="498DD4D4"/>
    <w:rsid w:val="498F5EEE"/>
    <w:rsid w:val="4991AED3"/>
    <w:rsid w:val="49941339"/>
    <w:rsid w:val="4995F006"/>
    <w:rsid w:val="49960E50"/>
    <w:rsid w:val="4996B407"/>
    <w:rsid w:val="4997C330"/>
    <w:rsid w:val="49982830"/>
    <w:rsid w:val="49985CF6"/>
    <w:rsid w:val="4998A6F3"/>
    <w:rsid w:val="499A61AC"/>
    <w:rsid w:val="499AD4A9"/>
    <w:rsid w:val="499DD616"/>
    <w:rsid w:val="49A164D7"/>
    <w:rsid w:val="49A242D8"/>
    <w:rsid w:val="49A5066C"/>
    <w:rsid w:val="49A59B04"/>
    <w:rsid w:val="49A6FE6C"/>
    <w:rsid w:val="49A7706A"/>
    <w:rsid w:val="49A90B51"/>
    <w:rsid w:val="49AA7713"/>
    <w:rsid w:val="49ABAB11"/>
    <w:rsid w:val="49AC1AC4"/>
    <w:rsid w:val="49AD5C8B"/>
    <w:rsid w:val="49AEAA65"/>
    <w:rsid w:val="49B132A7"/>
    <w:rsid w:val="49B1FBB7"/>
    <w:rsid w:val="49B2CB45"/>
    <w:rsid w:val="49B2EE7B"/>
    <w:rsid w:val="49B34064"/>
    <w:rsid w:val="49B5D9D9"/>
    <w:rsid w:val="49B6AB3C"/>
    <w:rsid w:val="49B6C330"/>
    <w:rsid w:val="49B78143"/>
    <w:rsid w:val="49B7F309"/>
    <w:rsid w:val="49B9047C"/>
    <w:rsid w:val="49B99C21"/>
    <w:rsid w:val="49BA04D1"/>
    <w:rsid w:val="49BA64AA"/>
    <w:rsid w:val="49BA9B74"/>
    <w:rsid w:val="49BDA84D"/>
    <w:rsid w:val="49BE04C1"/>
    <w:rsid w:val="49BE2F59"/>
    <w:rsid w:val="49BECAB4"/>
    <w:rsid w:val="49BEDEB7"/>
    <w:rsid w:val="49BFC35B"/>
    <w:rsid w:val="49C132BF"/>
    <w:rsid w:val="49C5E101"/>
    <w:rsid w:val="49C68202"/>
    <w:rsid w:val="49C81D1D"/>
    <w:rsid w:val="49C899A0"/>
    <w:rsid w:val="49C90AFA"/>
    <w:rsid w:val="49C99324"/>
    <w:rsid w:val="49CA86C9"/>
    <w:rsid w:val="49D08B51"/>
    <w:rsid w:val="49D12312"/>
    <w:rsid w:val="49D1AB6D"/>
    <w:rsid w:val="49D345DE"/>
    <w:rsid w:val="49D4979B"/>
    <w:rsid w:val="49D59FA4"/>
    <w:rsid w:val="49D63DBA"/>
    <w:rsid w:val="49D91F16"/>
    <w:rsid w:val="49DA8486"/>
    <w:rsid w:val="49DB60DE"/>
    <w:rsid w:val="49DBE5B9"/>
    <w:rsid w:val="49DD6525"/>
    <w:rsid w:val="49E021E0"/>
    <w:rsid w:val="49E04ADF"/>
    <w:rsid w:val="49E826BD"/>
    <w:rsid w:val="49E87807"/>
    <w:rsid w:val="49E912EB"/>
    <w:rsid w:val="49EB2AFC"/>
    <w:rsid w:val="49EBF945"/>
    <w:rsid w:val="49ECBE16"/>
    <w:rsid w:val="49EDF6A5"/>
    <w:rsid w:val="49EE98DB"/>
    <w:rsid w:val="49EFA575"/>
    <w:rsid w:val="49F17A58"/>
    <w:rsid w:val="49F81986"/>
    <w:rsid w:val="49F85546"/>
    <w:rsid w:val="49F8E8C5"/>
    <w:rsid w:val="49F9997D"/>
    <w:rsid w:val="49FFF970"/>
    <w:rsid w:val="4A036C4C"/>
    <w:rsid w:val="4A05A172"/>
    <w:rsid w:val="4A066973"/>
    <w:rsid w:val="4A07B254"/>
    <w:rsid w:val="4A07C5EC"/>
    <w:rsid w:val="4A0BD59D"/>
    <w:rsid w:val="4A0CD853"/>
    <w:rsid w:val="4A0EAC06"/>
    <w:rsid w:val="4A11715B"/>
    <w:rsid w:val="4A12AE29"/>
    <w:rsid w:val="4A12F7CF"/>
    <w:rsid w:val="4A1375CC"/>
    <w:rsid w:val="4A13BFFA"/>
    <w:rsid w:val="4A14D876"/>
    <w:rsid w:val="4A15F7D6"/>
    <w:rsid w:val="4A179E57"/>
    <w:rsid w:val="4A17C621"/>
    <w:rsid w:val="4A18C527"/>
    <w:rsid w:val="4A1A28B6"/>
    <w:rsid w:val="4A2058F4"/>
    <w:rsid w:val="4A217B03"/>
    <w:rsid w:val="4A22BBAF"/>
    <w:rsid w:val="4A2391BB"/>
    <w:rsid w:val="4A2413C7"/>
    <w:rsid w:val="4A24EDC5"/>
    <w:rsid w:val="4A27B280"/>
    <w:rsid w:val="4A28FEC4"/>
    <w:rsid w:val="4A290A85"/>
    <w:rsid w:val="4A2A3DF8"/>
    <w:rsid w:val="4A2B3A2F"/>
    <w:rsid w:val="4A2B7F84"/>
    <w:rsid w:val="4A2B9747"/>
    <w:rsid w:val="4A2DC01C"/>
    <w:rsid w:val="4A2E23D9"/>
    <w:rsid w:val="4A2F1E1C"/>
    <w:rsid w:val="4A301D30"/>
    <w:rsid w:val="4A30E1DF"/>
    <w:rsid w:val="4A33AE69"/>
    <w:rsid w:val="4A380B43"/>
    <w:rsid w:val="4A38BA3D"/>
    <w:rsid w:val="4A38F5EB"/>
    <w:rsid w:val="4A39BFEB"/>
    <w:rsid w:val="4A39DEF6"/>
    <w:rsid w:val="4A3BA310"/>
    <w:rsid w:val="4A3D3606"/>
    <w:rsid w:val="4A3D66D6"/>
    <w:rsid w:val="4A3F18D8"/>
    <w:rsid w:val="4A4288DA"/>
    <w:rsid w:val="4A434B35"/>
    <w:rsid w:val="4A4407D8"/>
    <w:rsid w:val="4A44F579"/>
    <w:rsid w:val="4A4707E2"/>
    <w:rsid w:val="4A4859B6"/>
    <w:rsid w:val="4A492314"/>
    <w:rsid w:val="4A498D26"/>
    <w:rsid w:val="4A4995EF"/>
    <w:rsid w:val="4A4AD90D"/>
    <w:rsid w:val="4A4B283B"/>
    <w:rsid w:val="4A4E0CAD"/>
    <w:rsid w:val="4A4E0E2E"/>
    <w:rsid w:val="4A4FE0B2"/>
    <w:rsid w:val="4A507507"/>
    <w:rsid w:val="4A52F01D"/>
    <w:rsid w:val="4A548CB3"/>
    <w:rsid w:val="4A555379"/>
    <w:rsid w:val="4A55A332"/>
    <w:rsid w:val="4A5B1EF3"/>
    <w:rsid w:val="4A5CB95D"/>
    <w:rsid w:val="4A61EC95"/>
    <w:rsid w:val="4A62C83C"/>
    <w:rsid w:val="4A6312C9"/>
    <w:rsid w:val="4A631439"/>
    <w:rsid w:val="4A633734"/>
    <w:rsid w:val="4A63A766"/>
    <w:rsid w:val="4A6523B5"/>
    <w:rsid w:val="4A677613"/>
    <w:rsid w:val="4A67BBB5"/>
    <w:rsid w:val="4A67CC30"/>
    <w:rsid w:val="4A67E02B"/>
    <w:rsid w:val="4A69846C"/>
    <w:rsid w:val="4A6D3677"/>
    <w:rsid w:val="4A6E18AE"/>
    <w:rsid w:val="4A6E3B74"/>
    <w:rsid w:val="4A6E6438"/>
    <w:rsid w:val="4A6EC69E"/>
    <w:rsid w:val="4A711F03"/>
    <w:rsid w:val="4A740296"/>
    <w:rsid w:val="4A741B94"/>
    <w:rsid w:val="4A74822E"/>
    <w:rsid w:val="4A78D2B0"/>
    <w:rsid w:val="4A796E31"/>
    <w:rsid w:val="4A7B45DB"/>
    <w:rsid w:val="4A7BDC84"/>
    <w:rsid w:val="4A7DFB9D"/>
    <w:rsid w:val="4A7E0DAD"/>
    <w:rsid w:val="4A7F0AC1"/>
    <w:rsid w:val="4A812A3A"/>
    <w:rsid w:val="4A8379AC"/>
    <w:rsid w:val="4A84EBF6"/>
    <w:rsid w:val="4A8C9081"/>
    <w:rsid w:val="4A8EC434"/>
    <w:rsid w:val="4A91984E"/>
    <w:rsid w:val="4A963972"/>
    <w:rsid w:val="4A978C3D"/>
    <w:rsid w:val="4A9829CE"/>
    <w:rsid w:val="4A99AD2D"/>
    <w:rsid w:val="4A9B1C2E"/>
    <w:rsid w:val="4AA0159D"/>
    <w:rsid w:val="4AA03B08"/>
    <w:rsid w:val="4AA16EEE"/>
    <w:rsid w:val="4AA4D351"/>
    <w:rsid w:val="4AA50048"/>
    <w:rsid w:val="4AA86C33"/>
    <w:rsid w:val="4AA8728C"/>
    <w:rsid w:val="4AA9D7BB"/>
    <w:rsid w:val="4AAA245C"/>
    <w:rsid w:val="4AAEAC74"/>
    <w:rsid w:val="4AAFC4AB"/>
    <w:rsid w:val="4AB0C0AD"/>
    <w:rsid w:val="4AB5593C"/>
    <w:rsid w:val="4AB8AAE3"/>
    <w:rsid w:val="4ABAB12D"/>
    <w:rsid w:val="4ABAE561"/>
    <w:rsid w:val="4ABFCB66"/>
    <w:rsid w:val="4AC52095"/>
    <w:rsid w:val="4AC5268C"/>
    <w:rsid w:val="4AC5FB1B"/>
    <w:rsid w:val="4AC787B2"/>
    <w:rsid w:val="4AC84EF0"/>
    <w:rsid w:val="4ACA2B6D"/>
    <w:rsid w:val="4ACA44DC"/>
    <w:rsid w:val="4ACA8E98"/>
    <w:rsid w:val="4ACAFEEC"/>
    <w:rsid w:val="4ACB33D0"/>
    <w:rsid w:val="4ACC91D3"/>
    <w:rsid w:val="4AD0052C"/>
    <w:rsid w:val="4AD01E36"/>
    <w:rsid w:val="4AD0B30B"/>
    <w:rsid w:val="4AD0FBBE"/>
    <w:rsid w:val="4AD1CCCF"/>
    <w:rsid w:val="4AD5334F"/>
    <w:rsid w:val="4AD6E1E9"/>
    <w:rsid w:val="4AD8AD39"/>
    <w:rsid w:val="4AD8BDB7"/>
    <w:rsid w:val="4ADAE0B8"/>
    <w:rsid w:val="4ADB735B"/>
    <w:rsid w:val="4ADE7768"/>
    <w:rsid w:val="4ADF4601"/>
    <w:rsid w:val="4ADFAAFC"/>
    <w:rsid w:val="4AE08549"/>
    <w:rsid w:val="4AE112DC"/>
    <w:rsid w:val="4AE36FE7"/>
    <w:rsid w:val="4AE4CF4C"/>
    <w:rsid w:val="4AE7303E"/>
    <w:rsid w:val="4AE886B9"/>
    <w:rsid w:val="4AE99F02"/>
    <w:rsid w:val="4AEC5546"/>
    <w:rsid w:val="4AECBB5B"/>
    <w:rsid w:val="4AED33AB"/>
    <w:rsid w:val="4AEDDD41"/>
    <w:rsid w:val="4AEDE5E3"/>
    <w:rsid w:val="4AF31546"/>
    <w:rsid w:val="4AF4DB9C"/>
    <w:rsid w:val="4AF66602"/>
    <w:rsid w:val="4AF9D562"/>
    <w:rsid w:val="4AFAC689"/>
    <w:rsid w:val="4AFB08B4"/>
    <w:rsid w:val="4AFB6C15"/>
    <w:rsid w:val="4AFC35F2"/>
    <w:rsid w:val="4AFD549A"/>
    <w:rsid w:val="4AFE45D9"/>
    <w:rsid w:val="4AFFE830"/>
    <w:rsid w:val="4B00806F"/>
    <w:rsid w:val="4B00AF7D"/>
    <w:rsid w:val="4B011346"/>
    <w:rsid w:val="4B026312"/>
    <w:rsid w:val="4B06361F"/>
    <w:rsid w:val="4B0719FD"/>
    <w:rsid w:val="4B08620D"/>
    <w:rsid w:val="4B09B19F"/>
    <w:rsid w:val="4B0A4A3E"/>
    <w:rsid w:val="4B0AEDE5"/>
    <w:rsid w:val="4B0BC68A"/>
    <w:rsid w:val="4B106F9E"/>
    <w:rsid w:val="4B10714D"/>
    <w:rsid w:val="4B123B39"/>
    <w:rsid w:val="4B129279"/>
    <w:rsid w:val="4B132EF6"/>
    <w:rsid w:val="4B1442F3"/>
    <w:rsid w:val="4B15195C"/>
    <w:rsid w:val="4B154454"/>
    <w:rsid w:val="4B1862FA"/>
    <w:rsid w:val="4B19B5DB"/>
    <w:rsid w:val="4B1A59F6"/>
    <w:rsid w:val="4B1ACF94"/>
    <w:rsid w:val="4B1CE35C"/>
    <w:rsid w:val="4B1ED4DF"/>
    <w:rsid w:val="4B1F1437"/>
    <w:rsid w:val="4B1FAB05"/>
    <w:rsid w:val="4B208A38"/>
    <w:rsid w:val="4B2163DF"/>
    <w:rsid w:val="4B23642D"/>
    <w:rsid w:val="4B273145"/>
    <w:rsid w:val="4B28308E"/>
    <w:rsid w:val="4B288F36"/>
    <w:rsid w:val="4B28BBD9"/>
    <w:rsid w:val="4B2DDC4C"/>
    <w:rsid w:val="4B2F0685"/>
    <w:rsid w:val="4B2F5AC1"/>
    <w:rsid w:val="4B2F6C7E"/>
    <w:rsid w:val="4B2FFD62"/>
    <w:rsid w:val="4B300EC3"/>
    <w:rsid w:val="4B31AF22"/>
    <w:rsid w:val="4B31C5F0"/>
    <w:rsid w:val="4B32FEC6"/>
    <w:rsid w:val="4B34A711"/>
    <w:rsid w:val="4B34C764"/>
    <w:rsid w:val="4B366A05"/>
    <w:rsid w:val="4B3753B5"/>
    <w:rsid w:val="4B378DA3"/>
    <w:rsid w:val="4B37F749"/>
    <w:rsid w:val="4B398B2C"/>
    <w:rsid w:val="4B3ACDE6"/>
    <w:rsid w:val="4B3E68A5"/>
    <w:rsid w:val="4B3EA2EE"/>
    <w:rsid w:val="4B409F01"/>
    <w:rsid w:val="4B41B2DB"/>
    <w:rsid w:val="4B41D35B"/>
    <w:rsid w:val="4B424C26"/>
    <w:rsid w:val="4B438AC1"/>
    <w:rsid w:val="4B44C049"/>
    <w:rsid w:val="4B46807A"/>
    <w:rsid w:val="4B495B19"/>
    <w:rsid w:val="4B495EB2"/>
    <w:rsid w:val="4B498600"/>
    <w:rsid w:val="4B4A0CD8"/>
    <w:rsid w:val="4B4B7C12"/>
    <w:rsid w:val="4B4CFA49"/>
    <w:rsid w:val="4B5233E8"/>
    <w:rsid w:val="4B53A893"/>
    <w:rsid w:val="4B53EA9D"/>
    <w:rsid w:val="4B57131A"/>
    <w:rsid w:val="4B583410"/>
    <w:rsid w:val="4B58F52B"/>
    <w:rsid w:val="4B59F0C4"/>
    <w:rsid w:val="4B5CE477"/>
    <w:rsid w:val="4B5D17F9"/>
    <w:rsid w:val="4B5E5B83"/>
    <w:rsid w:val="4B604109"/>
    <w:rsid w:val="4B611A08"/>
    <w:rsid w:val="4B61D283"/>
    <w:rsid w:val="4B66782A"/>
    <w:rsid w:val="4B6883C3"/>
    <w:rsid w:val="4B69B1C5"/>
    <w:rsid w:val="4B6A666C"/>
    <w:rsid w:val="4B6B45D7"/>
    <w:rsid w:val="4B6B8667"/>
    <w:rsid w:val="4B6BB487"/>
    <w:rsid w:val="4B6DC75E"/>
    <w:rsid w:val="4B70C87E"/>
    <w:rsid w:val="4B70D52F"/>
    <w:rsid w:val="4B729CC5"/>
    <w:rsid w:val="4B72E2E0"/>
    <w:rsid w:val="4B739732"/>
    <w:rsid w:val="4B7403F9"/>
    <w:rsid w:val="4B756901"/>
    <w:rsid w:val="4B77492C"/>
    <w:rsid w:val="4B788C88"/>
    <w:rsid w:val="4B78F5AB"/>
    <w:rsid w:val="4B79727B"/>
    <w:rsid w:val="4B79E090"/>
    <w:rsid w:val="4B79E3E9"/>
    <w:rsid w:val="4B7B371F"/>
    <w:rsid w:val="4B7B66B4"/>
    <w:rsid w:val="4B7DB0F6"/>
    <w:rsid w:val="4B7E499E"/>
    <w:rsid w:val="4B7EC0F2"/>
    <w:rsid w:val="4B8343A1"/>
    <w:rsid w:val="4B8474BF"/>
    <w:rsid w:val="4B85D470"/>
    <w:rsid w:val="4B85EA64"/>
    <w:rsid w:val="4B866F78"/>
    <w:rsid w:val="4B873DAA"/>
    <w:rsid w:val="4B882848"/>
    <w:rsid w:val="4B89DD1C"/>
    <w:rsid w:val="4B89E272"/>
    <w:rsid w:val="4B8B3D8F"/>
    <w:rsid w:val="4B8D636F"/>
    <w:rsid w:val="4B8F6FC2"/>
    <w:rsid w:val="4B92142D"/>
    <w:rsid w:val="4B959052"/>
    <w:rsid w:val="4B99E3B7"/>
    <w:rsid w:val="4B9ACA93"/>
    <w:rsid w:val="4B9ACD20"/>
    <w:rsid w:val="4B9B00FB"/>
    <w:rsid w:val="4B9B0D8C"/>
    <w:rsid w:val="4B9B8530"/>
    <w:rsid w:val="4B9B928E"/>
    <w:rsid w:val="4B9BCFF9"/>
    <w:rsid w:val="4B9C2913"/>
    <w:rsid w:val="4B9C8709"/>
    <w:rsid w:val="4B9DB498"/>
    <w:rsid w:val="4B9DE96D"/>
    <w:rsid w:val="4B9EA337"/>
    <w:rsid w:val="4B9F43D1"/>
    <w:rsid w:val="4B9F884A"/>
    <w:rsid w:val="4B9F979F"/>
    <w:rsid w:val="4BA300E2"/>
    <w:rsid w:val="4BA41D40"/>
    <w:rsid w:val="4BA70C52"/>
    <w:rsid w:val="4BA76328"/>
    <w:rsid w:val="4BA7EF12"/>
    <w:rsid w:val="4BA9535E"/>
    <w:rsid w:val="4BAA0B4D"/>
    <w:rsid w:val="4BAA3674"/>
    <w:rsid w:val="4BAA6E96"/>
    <w:rsid w:val="4BAC4D60"/>
    <w:rsid w:val="4BAD1A11"/>
    <w:rsid w:val="4BAD94F5"/>
    <w:rsid w:val="4BAE2F26"/>
    <w:rsid w:val="4BAE3D8C"/>
    <w:rsid w:val="4BAEA317"/>
    <w:rsid w:val="4BAF1AA7"/>
    <w:rsid w:val="4BB27336"/>
    <w:rsid w:val="4BB391C8"/>
    <w:rsid w:val="4BB4E4F3"/>
    <w:rsid w:val="4BB60A3D"/>
    <w:rsid w:val="4BB61370"/>
    <w:rsid w:val="4BB7FF44"/>
    <w:rsid w:val="4BB96499"/>
    <w:rsid w:val="4BBA09D1"/>
    <w:rsid w:val="4BBAA0DC"/>
    <w:rsid w:val="4BBB4F03"/>
    <w:rsid w:val="4BBBAA16"/>
    <w:rsid w:val="4BBCA9D9"/>
    <w:rsid w:val="4BBD91E1"/>
    <w:rsid w:val="4BBF15E9"/>
    <w:rsid w:val="4BC03446"/>
    <w:rsid w:val="4BC1BFE3"/>
    <w:rsid w:val="4BC265B7"/>
    <w:rsid w:val="4BC28DBE"/>
    <w:rsid w:val="4BC32C99"/>
    <w:rsid w:val="4BC4CBA0"/>
    <w:rsid w:val="4BC555BB"/>
    <w:rsid w:val="4BC5F230"/>
    <w:rsid w:val="4BC741A5"/>
    <w:rsid w:val="4BC8E6EB"/>
    <w:rsid w:val="4BC9D915"/>
    <w:rsid w:val="4BCCF775"/>
    <w:rsid w:val="4BCE3F13"/>
    <w:rsid w:val="4BCEA974"/>
    <w:rsid w:val="4BD08A06"/>
    <w:rsid w:val="4BD09CEC"/>
    <w:rsid w:val="4BD0DB29"/>
    <w:rsid w:val="4BD12E27"/>
    <w:rsid w:val="4BD4F79B"/>
    <w:rsid w:val="4BD599AB"/>
    <w:rsid w:val="4BD62FAB"/>
    <w:rsid w:val="4BD67E18"/>
    <w:rsid w:val="4BDB1B63"/>
    <w:rsid w:val="4BDB3A1E"/>
    <w:rsid w:val="4BDCD6EB"/>
    <w:rsid w:val="4BDF858A"/>
    <w:rsid w:val="4BE1E77C"/>
    <w:rsid w:val="4BE47EBE"/>
    <w:rsid w:val="4BE4A3DF"/>
    <w:rsid w:val="4BE54DAB"/>
    <w:rsid w:val="4BE62605"/>
    <w:rsid w:val="4BE64963"/>
    <w:rsid w:val="4BE66DA9"/>
    <w:rsid w:val="4BE66ED8"/>
    <w:rsid w:val="4BE6724C"/>
    <w:rsid w:val="4BE68963"/>
    <w:rsid w:val="4BE727B6"/>
    <w:rsid w:val="4BE74A71"/>
    <w:rsid w:val="4BE9BFE7"/>
    <w:rsid w:val="4BEA8736"/>
    <w:rsid w:val="4BEAE249"/>
    <w:rsid w:val="4BEB1892"/>
    <w:rsid w:val="4BECC650"/>
    <w:rsid w:val="4BEE5D11"/>
    <w:rsid w:val="4BEFE9CB"/>
    <w:rsid w:val="4BF40616"/>
    <w:rsid w:val="4BF50F6A"/>
    <w:rsid w:val="4BF548E0"/>
    <w:rsid w:val="4BF552A9"/>
    <w:rsid w:val="4BF60DAF"/>
    <w:rsid w:val="4BF6B6DE"/>
    <w:rsid w:val="4BF7588C"/>
    <w:rsid w:val="4BF7AD3B"/>
    <w:rsid w:val="4BF82B4B"/>
    <w:rsid w:val="4BFB4F2B"/>
    <w:rsid w:val="4BFB5303"/>
    <w:rsid w:val="4C00F120"/>
    <w:rsid w:val="4C031FD5"/>
    <w:rsid w:val="4C05F650"/>
    <w:rsid w:val="4C061F87"/>
    <w:rsid w:val="4C071B5C"/>
    <w:rsid w:val="4C082925"/>
    <w:rsid w:val="4C0EA1DF"/>
    <w:rsid w:val="4C0F8805"/>
    <w:rsid w:val="4C0FCDC1"/>
    <w:rsid w:val="4C11120C"/>
    <w:rsid w:val="4C1250C1"/>
    <w:rsid w:val="4C184EFB"/>
    <w:rsid w:val="4C188776"/>
    <w:rsid w:val="4C18BAE0"/>
    <w:rsid w:val="4C19E7F9"/>
    <w:rsid w:val="4C1A89A6"/>
    <w:rsid w:val="4C1A9DD5"/>
    <w:rsid w:val="4C1AE43E"/>
    <w:rsid w:val="4C1C7366"/>
    <w:rsid w:val="4C1EB481"/>
    <w:rsid w:val="4C1EC79F"/>
    <w:rsid w:val="4C1FF72C"/>
    <w:rsid w:val="4C22028F"/>
    <w:rsid w:val="4C22A1E2"/>
    <w:rsid w:val="4C22B8BC"/>
    <w:rsid w:val="4C24A7BE"/>
    <w:rsid w:val="4C24B71E"/>
    <w:rsid w:val="4C256F85"/>
    <w:rsid w:val="4C26A2D7"/>
    <w:rsid w:val="4C28157A"/>
    <w:rsid w:val="4C29E0B2"/>
    <w:rsid w:val="4C2A2390"/>
    <w:rsid w:val="4C2BCA78"/>
    <w:rsid w:val="4C2C2FC6"/>
    <w:rsid w:val="4C2C6B2D"/>
    <w:rsid w:val="4C2E00AD"/>
    <w:rsid w:val="4C31D3FA"/>
    <w:rsid w:val="4C32A26E"/>
    <w:rsid w:val="4C37225B"/>
    <w:rsid w:val="4C384219"/>
    <w:rsid w:val="4C38A3BD"/>
    <w:rsid w:val="4C3B8FC5"/>
    <w:rsid w:val="4C3BD370"/>
    <w:rsid w:val="4C3D9457"/>
    <w:rsid w:val="4C3EA8D8"/>
    <w:rsid w:val="4C3EB972"/>
    <w:rsid w:val="4C4126B4"/>
    <w:rsid w:val="4C41AD91"/>
    <w:rsid w:val="4C425855"/>
    <w:rsid w:val="4C42A7C6"/>
    <w:rsid w:val="4C4390A5"/>
    <w:rsid w:val="4C44D163"/>
    <w:rsid w:val="4C46DC31"/>
    <w:rsid w:val="4C47DB4C"/>
    <w:rsid w:val="4C48B18F"/>
    <w:rsid w:val="4C49F2CB"/>
    <w:rsid w:val="4C4D9F3D"/>
    <w:rsid w:val="4C4EBFFF"/>
    <w:rsid w:val="4C505A00"/>
    <w:rsid w:val="4C52FA6E"/>
    <w:rsid w:val="4C53B858"/>
    <w:rsid w:val="4C5469CC"/>
    <w:rsid w:val="4C55B8A7"/>
    <w:rsid w:val="4C574D61"/>
    <w:rsid w:val="4C580801"/>
    <w:rsid w:val="4C58BCDA"/>
    <w:rsid w:val="4C596859"/>
    <w:rsid w:val="4C5C18A2"/>
    <w:rsid w:val="4C5E179D"/>
    <w:rsid w:val="4C5F776D"/>
    <w:rsid w:val="4C60DE66"/>
    <w:rsid w:val="4C6310DC"/>
    <w:rsid w:val="4C641415"/>
    <w:rsid w:val="4C644DE0"/>
    <w:rsid w:val="4C659130"/>
    <w:rsid w:val="4C663CEC"/>
    <w:rsid w:val="4C667600"/>
    <w:rsid w:val="4C6886DE"/>
    <w:rsid w:val="4C68DF56"/>
    <w:rsid w:val="4C69A58B"/>
    <w:rsid w:val="4C6CA7EE"/>
    <w:rsid w:val="4C6D4DBE"/>
    <w:rsid w:val="4C6D7998"/>
    <w:rsid w:val="4C6FD260"/>
    <w:rsid w:val="4C6FD7A0"/>
    <w:rsid w:val="4C70B7D1"/>
    <w:rsid w:val="4C72CFCC"/>
    <w:rsid w:val="4C73DC9B"/>
    <w:rsid w:val="4C7427AD"/>
    <w:rsid w:val="4C754244"/>
    <w:rsid w:val="4C75DD3F"/>
    <w:rsid w:val="4C77527A"/>
    <w:rsid w:val="4C7A564F"/>
    <w:rsid w:val="4C7A7C5C"/>
    <w:rsid w:val="4C7CD912"/>
    <w:rsid w:val="4C7E055E"/>
    <w:rsid w:val="4C7E9FE8"/>
    <w:rsid w:val="4C7F3284"/>
    <w:rsid w:val="4C8049F9"/>
    <w:rsid w:val="4C84266D"/>
    <w:rsid w:val="4C85F5D7"/>
    <w:rsid w:val="4C8603A7"/>
    <w:rsid w:val="4C88EF80"/>
    <w:rsid w:val="4C898DCC"/>
    <w:rsid w:val="4C89EB71"/>
    <w:rsid w:val="4C8A21F0"/>
    <w:rsid w:val="4C8B3756"/>
    <w:rsid w:val="4C8C43DF"/>
    <w:rsid w:val="4C8D8BA5"/>
    <w:rsid w:val="4C8DB22B"/>
    <w:rsid w:val="4C8E264E"/>
    <w:rsid w:val="4C912043"/>
    <w:rsid w:val="4C91FD3A"/>
    <w:rsid w:val="4C97AE1C"/>
    <w:rsid w:val="4C981102"/>
    <w:rsid w:val="4C98C314"/>
    <w:rsid w:val="4C9BCE92"/>
    <w:rsid w:val="4C9C04C2"/>
    <w:rsid w:val="4C9D17C5"/>
    <w:rsid w:val="4C9F58EB"/>
    <w:rsid w:val="4C9FF1C4"/>
    <w:rsid w:val="4CA011AD"/>
    <w:rsid w:val="4CA0C12E"/>
    <w:rsid w:val="4CA2033A"/>
    <w:rsid w:val="4CA2683B"/>
    <w:rsid w:val="4CA40315"/>
    <w:rsid w:val="4CA5104C"/>
    <w:rsid w:val="4CA99EBD"/>
    <w:rsid w:val="4CAB38C9"/>
    <w:rsid w:val="4CAD1536"/>
    <w:rsid w:val="4CAD4685"/>
    <w:rsid w:val="4CADAA91"/>
    <w:rsid w:val="4CAF647C"/>
    <w:rsid w:val="4CAF9537"/>
    <w:rsid w:val="4CAFD5D2"/>
    <w:rsid w:val="4CB12502"/>
    <w:rsid w:val="4CB42547"/>
    <w:rsid w:val="4CB60325"/>
    <w:rsid w:val="4CB61D30"/>
    <w:rsid w:val="4CBC42E6"/>
    <w:rsid w:val="4CBC7E66"/>
    <w:rsid w:val="4CBEB2E5"/>
    <w:rsid w:val="4CBEB450"/>
    <w:rsid w:val="4CC015AF"/>
    <w:rsid w:val="4CC13232"/>
    <w:rsid w:val="4CC2EFA4"/>
    <w:rsid w:val="4CC651BA"/>
    <w:rsid w:val="4CC6B515"/>
    <w:rsid w:val="4CC72997"/>
    <w:rsid w:val="4CC7DC8F"/>
    <w:rsid w:val="4CCA0502"/>
    <w:rsid w:val="4CCA23CA"/>
    <w:rsid w:val="4CCA76EF"/>
    <w:rsid w:val="4CCAB206"/>
    <w:rsid w:val="4CCB1F76"/>
    <w:rsid w:val="4CCBCBD3"/>
    <w:rsid w:val="4CCCA023"/>
    <w:rsid w:val="4CCCA56C"/>
    <w:rsid w:val="4CCF1898"/>
    <w:rsid w:val="4CD0A852"/>
    <w:rsid w:val="4CD30E6C"/>
    <w:rsid w:val="4CD411F1"/>
    <w:rsid w:val="4CD542E3"/>
    <w:rsid w:val="4CD54AC0"/>
    <w:rsid w:val="4CD59945"/>
    <w:rsid w:val="4CD64021"/>
    <w:rsid w:val="4CD95E42"/>
    <w:rsid w:val="4CD9736E"/>
    <w:rsid w:val="4CDAA623"/>
    <w:rsid w:val="4CDC1465"/>
    <w:rsid w:val="4CDC1C25"/>
    <w:rsid w:val="4CDCF14E"/>
    <w:rsid w:val="4CDCFC27"/>
    <w:rsid w:val="4CDDD000"/>
    <w:rsid w:val="4CDF1276"/>
    <w:rsid w:val="4CE321AC"/>
    <w:rsid w:val="4CE35861"/>
    <w:rsid w:val="4CE3A8C1"/>
    <w:rsid w:val="4CE68175"/>
    <w:rsid w:val="4CE72949"/>
    <w:rsid w:val="4CEA3842"/>
    <w:rsid w:val="4CEB6B15"/>
    <w:rsid w:val="4CEF3FC7"/>
    <w:rsid w:val="4CF01378"/>
    <w:rsid w:val="4CF4DDD5"/>
    <w:rsid w:val="4CF69BC2"/>
    <w:rsid w:val="4CF984FE"/>
    <w:rsid w:val="4CFB4C83"/>
    <w:rsid w:val="4CFE936F"/>
    <w:rsid w:val="4CFFAC0C"/>
    <w:rsid w:val="4D063C46"/>
    <w:rsid w:val="4D0BA0A5"/>
    <w:rsid w:val="4D0D3546"/>
    <w:rsid w:val="4D0D5D23"/>
    <w:rsid w:val="4D0EA3D3"/>
    <w:rsid w:val="4D11A927"/>
    <w:rsid w:val="4D121C85"/>
    <w:rsid w:val="4D159A42"/>
    <w:rsid w:val="4D16300B"/>
    <w:rsid w:val="4D16E602"/>
    <w:rsid w:val="4D19251C"/>
    <w:rsid w:val="4D198E7B"/>
    <w:rsid w:val="4D1AB3AD"/>
    <w:rsid w:val="4D1B139E"/>
    <w:rsid w:val="4D1C6A8D"/>
    <w:rsid w:val="4D1F04CE"/>
    <w:rsid w:val="4D1F0F62"/>
    <w:rsid w:val="4D22B091"/>
    <w:rsid w:val="4D23236F"/>
    <w:rsid w:val="4D254C1F"/>
    <w:rsid w:val="4D26ADB1"/>
    <w:rsid w:val="4D2926F8"/>
    <w:rsid w:val="4D295C98"/>
    <w:rsid w:val="4D29A0EE"/>
    <w:rsid w:val="4D2A5238"/>
    <w:rsid w:val="4D2AE9F7"/>
    <w:rsid w:val="4D2D223B"/>
    <w:rsid w:val="4D2DF651"/>
    <w:rsid w:val="4D30ED33"/>
    <w:rsid w:val="4D31C3CB"/>
    <w:rsid w:val="4D33C71A"/>
    <w:rsid w:val="4D344924"/>
    <w:rsid w:val="4D34F943"/>
    <w:rsid w:val="4D35B9E4"/>
    <w:rsid w:val="4D35C8AD"/>
    <w:rsid w:val="4D37C1BB"/>
    <w:rsid w:val="4D38CE48"/>
    <w:rsid w:val="4D38FB9E"/>
    <w:rsid w:val="4D3A42D3"/>
    <w:rsid w:val="4D3A69EB"/>
    <w:rsid w:val="4D3A87FD"/>
    <w:rsid w:val="4D3B9562"/>
    <w:rsid w:val="4D3F2F81"/>
    <w:rsid w:val="4D47787B"/>
    <w:rsid w:val="4D49562E"/>
    <w:rsid w:val="4D4C7AEA"/>
    <w:rsid w:val="4D4D8B01"/>
    <w:rsid w:val="4D4E5235"/>
    <w:rsid w:val="4D4ED5EB"/>
    <w:rsid w:val="4D508246"/>
    <w:rsid w:val="4D520DFF"/>
    <w:rsid w:val="4D5920F4"/>
    <w:rsid w:val="4D5AA384"/>
    <w:rsid w:val="4D5D254B"/>
    <w:rsid w:val="4D5E26AC"/>
    <w:rsid w:val="4D5F3A90"/>
    <w:rsid w:val="4D603F79"/>
    <w:rsid w:val="4D60D993"/>
    <w:rsid w:val="4D616AAD"/>
    <w:rsid w:val="4D61B5B6"/>
    <w:rsid w:val="4D624F95"/>
    <w:rsid w:val="4D64918A"/>
    <w:rsid w:val="4D6705C3"/>
    <w:rsid w:val="4D675419"/>
    <w:rsid w:val="4D68A99D"/>
    <w:rsid w:val="4D68E43C"/>
    <w:rsid w:val="4D69022C"/>
    <w:rsid w:val="4D6ABB59"/>
    <w:rsid w:val="4D6AD3F9"/>
    <w:rsid w:val="4D6D7CCC"/>
    <w:rsid w:val="4D6E98F9"/>
    <w:rsid w:val="4D6EB9B4"/>
    <w:rsid w:val="4D7009AD"/>
    <w:rsid w:val="4D70AEF0"/>
    <w:rsid w:val="4D724352"/>
    <w:rsid w:val="4D74A016"/>
    <w:rsid w:val="4D79E8F2"/>
    <w:rsid w:val="4D7A2798"/>
    <w:rsid w:val="4D7AC647"/>
    <w:rsid w:val="4D7B2DB4"/>
    <w:rsid w:val="4D7C1674"/>
    <w:rsid w:val="4D7DD7C5"/>
    <w:rsid w:val="4D7E036A"/>
    <w:rsid w:val="4D81D507"/>
    <w:rsid w:val="4D823277"/>
    <w:rsid w:val="4D828754"/>
    <w:rsid w:val="4D840C6F"/>
    <w:rsid w:val="4D856E12"/>
    <w:rsid w:val="4D8ACB6D"/>
    <w:rsid w:val="4D8EF011"/>
    <w:rsid w:val="4D8FE3FE"/>
    <w:rsid w:val="4D90FC6C"/>
    <w:rsid w:val="4D9125C3"/>
    <w:rsid w:val="4D92B156"/>
    <w:rsid w:val="4D942091"/>
    <w:rsid w:val="4D97F856"/>
    <w:rsid w:val="4D98811F"/>
    <w:rsid w:val="4D993308"/>
    <w:rsid w:val="4D99D5DE"/>
    <w:rsid w:val="4D99E8ED"/>
    <w:rsid w:val="4D9A0157"/>
    <w:rsid w:val="4D9A3D6B"/>
    <w:rsid w:val="4D9B57C6"/>
    <w:rsid w:val="4D9B7D62"/>
    <w:rsid w:val="4D9C51CC"/>
    <w:rsid w:val="4D9D5C99"/>
    <w:rsid w:val="4D9E5CA6"/>
    <w:rsid w:val="4D9EC30C"/>
    <w:rsid w:val="4D9F0F46"/>
    <w:rsid w:val="4DA1E010"/>
    <w:rsid w:val="4DA2189B"/>
    <w:rsid w:val="4DA26037"/>
    <w:rsid w:val="4DA4A858"/>
    <w:rsid w:val="4DA9AA8E"/>
    <w:rsid w:val="4DAAEDD8"/>
    <w:rsid w:val="4DABAA71"/>
    <w:rsid w:val="4DAC56C0"/>
    <w:rsid w:val="4DAC9C43"/>
    <w:rsid w:val="4DACA2BB"/>
    <w:rsid w:val="4DAD83FC"/>
    <w:rsid w:val="4DAE3174"/>
    <w:rsid w:val="4DB3CF4B"/>
    <w:rsid w:val="4DB627F8"/>
    <w:rsid w:val="4DB98B8B"/>
    <w:rsid w:val="4DBD0439"/>
    <w:rsid w:val="4DBE52B4"/>
    <w:rsid w:val="4DBFD710"/>
    <w:rsid w:val="4DC107BE"/>
    <w:rsid w:val="4DC1EF16"/>
    <w:rsid w:val="4DC35A59"/>
    <w:rsid w:val="4DC57111"/>
    <w:rsid w:val="4DC5D543"/>
    <w:rsid w:val="4DC5E6F1"/>
    <w:rsid w:val="4DCA5C01"/>
    <w:rsid w:val="4DCE7C98"/>
    <w:rsid w:val="4DD117F2"/>
    <w:rsid w:val="4DD13C34"/>
    <w:rsid w:val="4DD23F1D"/>
    <w:rsid w:val="4DD3546D"/>
    <w:rsid w:val="4DD37F51"/>
    <w:rsid w:val="4DD5DE00"/>
    <w:rsid w:val="4DD9C7D4"/>
    <w:rsid w:val="4DDB21D9"/>
    <w:rsid w:val="4DE06D90"/>
    <w:rsid w:val="4DE23C01"/>
    <w:rsid w:val="4DE35DC4"/>
    <w:rsid w:val="4DE38477"/>
    <w:rsid w:val="4DE4D05D"/>
    <w:rsid w:val="4DE5EAFA"/>
    <w:rsid w:val="4DE630A1"/>
    <w:rsid w:val="4DEBCBBE"/>
    <w:rsid w:val="4DECFCF7"/>
    <w:rsid w:val="4DF2702A"/>
    <w:rsid w:val="4DF393F8"/>
    <w:rsid w:val="4DF58FAE"/>
    <w:rsid w:val="4DF5937F"/>
    <w:rsid w:val="4DF777F0"/>
    <w:rsid w:val="4DF84C0B"/>
    <w:rsid w:val="4DFADF74"/>
    <w:rsid w:val="4DFD063E"/>
    <w:rsid w:val="4DFDF1CB"/>
    <w:rsid w:val="4DFF8D1B"/>
    <w:rsid w:val="4E01A283"/>
    <w:rsid w:val="4E0599E7"/>
    <w:rsid w:val="4E06D826"/>
    <w:rsid w:val="4E07AD14"/>
    <w:rsid w:val="4E086215"/>
    <w:rsid w:val="4E08F88E"/>
    <w:rsid w:val="4E094664"/>
    <w:rsid w:val="4E0947AC"/>
    <w:rsid w:val="4E0BC1AF"/>
    <w:rsid w:val="4E0C0EDF"/>
    <w:rsid w:val="4E0E6C87"/>
    <w:rsid w:val="4E11BCB0"/>
    <w:rsid w:val="4E142586"/>
    <w:rsid w:val="4E153646"/>
    <w:rsid w:val="4E16B9F2"/>
    <w:rsid w:val="4E178590"/>
    <w:rsid w:val="4E182C4B"/>
    <w:rsid w:val="4E183D7D"/>
    <w:rsid w:val="4E1CF6E2"/>
    <w:rsid w:val="4E1EFC43"/>
    <w:rsid w:val="4E1F0BA4"/>
    <w:rsid w:val="4E1FC265"/>
    <w:rsid w:val="4E1FEA17"/>
    <w:rsid w:val="4E21B96D"/>
    <w:rsid w:val="4E23925D"/>
    <w:rsid w:val="4E27769F"/>
    <w:rsid w:val="4E2AF745"/>
    <w:rsid w:val="4E2BBF79"/>
    <w:rsid w:val="4E2C8086"/>
    <w:rsid w:val="4E2F91EE"/>
    <w:rsid w:val="4E32CB77"/>
    <w:rsid w:val="4E337BE2"/>
    <w:rsid w:val="4E346B4E"/>
    <w:rsid w:val="4E34F5B7"/>
    <w:rsid w:val="4E372D10"/>
    <w:rsid w:val="4E386806"/>
    <w:rsid w:val="4E392AD6"/>
    <w:rsid w:val="4E3C0921"/>
    <w:rsid w:val="4E3EFA9D"/>
    <w:rsid w:val="4E40F03E"/>
    <w:rsid w:val="4E421559"/>
    <w:rsid w:val="4E4349BC"/>
    <w:rsid w:val="4E45F63D"/>
    <w:rsid w:val="4E4723A8"/>
    <w:rsid w:val="4E4CB2E7"/>
    <w:rsid w:val="4E4F491A"/>
    <w:rsid w:val="4E508D05"/>
    <w:rsid w:val="4E534455"/>
    <w:rsid w:val="4E559169"/>
    <w:rsid w:val="4E573828"/>
    <w:rsid w:val="4E579067"/>
    <w:rsid w:val="4E5BF881"/>
    <w:rsid w:val="4E5FB2D2"/>
    <w:rsid w:val="4E617938"/>
    <w:rsid w:val="4E635628"/>
    <w:rsid w:val="4E63C668"/>
    <w:rsid w:val="4E66968B"/>
    <w:rsid w:val="4E674BAF"/>
    <w:rsid w:val="4E685553"/>
    <w:rsid w:val="4E685742"/>
    <w:rsid w:val="4E695DBE"/>
    <w:rsid w:val="4E6A824E"/>
    <w:rsid w:val="4E6C0486"/>
    <w:rsid w:val="4E6C0E0B"/>
    <w:rsid w:val="4E6D47E0"/>
    <w:rsid w:val="4E7060D6"/>
    <w:rsid w:val="4E70FD13"/>
    <w:rsid w:val="4E717480"/>
    <w:rsid w:val="4E730D11"/>
    <w:rsid w:val="4E742ECE"/>
    <w:rsid w:val="4E746A1F"/>
    <w:rsid w:val="4E746EA5"/>
    <w:rsid w:val="4E74992A"/>
    <w:rsid w:val="4E74D373"/>
    <w:rsid w:val="4E7555D5"/>
    <w:rsid w:val="4E7783CC"/>
    <w:rsid w:val="4E7A0F31"/>
    <w:rsid w:val="4E7B82CC"/>
    <w:rsid w:val="4E7E6DE3"/>
    <w:rsid w:val="4E7EEDB9"/>
    <w:rsid w:val="4E831996"/>
    <w:rsid w:val="4E85B492"/>
    <w:rsid w:val="4E87A7E5"/>
    <w:rsid w:val="4E87A7F1"/>
    <w:rsid w:val="4E883617"/>
    <w:rsid w:val="4E887123"/>
    <w:rsid w:val="4E894091"/>
    <w:rsid w:val="4E8A6E70"/>
    <w:rsid w:val="4E8B54A4"/>
    <w:rsid w:val="4E8BC978"/>
    <w:rsid w:val="4E8D76ED"/>
    <w:rsid w:val="4E8F320F"/>
    <w:rsid w:val="4E9002D9"/>
    <w:rsid w:val="4E92D785"/>
    <w:rsid w:val="4E933395"/>
    <w:rsid w:val="4E957822"/>
    <w:rsid w:val="4E95FD13"/>
    <w:rsid w:val="4E968AE3"/>
    <w:rsid w:val="4E98EFBF"/>
    <w:rsid w:val="4E996868"/>
    <w:rsid w:val="4E9972D9"/>
    <w:rsid w:val="4E9A67C1"/>
    <w:rsid w:val="4E9A7D04"/>
    <w:rsid w:val="4E9DDF84"/>
    <w:rsid w:val="4EA0D2C1"/>
    <w:rsid w:val="4EA1FC8F"/>
    <w:rsid w:val="4EA2FBED"/>
    <w:rsid w:val="4EA3A119"/>
    <w:rsid w:val="4EA4B907"/>
    <w:rsid w:val="4EA603FC"/>
    <w:rsid w:val="4EA66764"/>
    <w:rsid w:val="4EA72B9A"/>
    <w:rsid w:val="4EA7F7AF"/>
    <w:rsid w:val="4EAA09D6"/>
    <w:rsid w:val="4EAA0CBA"/>
    <w:rsid w:val="4EAA20F3"/>
    <w:rsid w:val="4EAA4A23"/>
    <w:rsid w:val="4EAAE79A"/>
    <w:rsid w:val="4EAB0D4C"/>
    <w:rsid w:val="4EAC5496"/>
    <w:rsid w:val="4EAE1351"/>
    <w:rsid w:val="4EAE142E"/>
    <w:rsid w:val="4EAF2C11"/>
    <w:rsid w:val="4EAF7C2C"/>
    <w:rsid w:val="4EB1546A"/>
    <w:rsid w:val="4EB4DEFD"/>
    <w:rsid w:val="4EB5093C"/>
    <w:rsid w:val="4EB62AEF"/>
    <w:rsid w:val="4EB8F782"/>
    <w:rsid w:val="4EBA3B0C"/>
    <w:rsid w:val="4EBCB686"/>
    <w:rsid w:val="4EBCC441"/>
    <w:rsid w:val="4EBCEFFE"/>
    <w:rsid w:val="4EC06C8E"/>
    <w:rsid w:val="4EC15B62"/>
    <w:rsid w:val="4EC1C175"/>
    <w:rsid w:val="4EC41D81"/>
    <w:rsid w:val="4EC4ABE1"/>
    <w:rsid w:val="4EC6669A"/>
    <w:rsid w:val="4EC77D1E"/>
    <w:rsid w:val="4EC8452B"/>
    <w:rsid w:val="4EC86821"/>
    <w:rsid w:val="4ECA33F3"/>
    <w:rsid w:val="4ECD6468"/>
    <w:rsid w:val="4ECDE3AB"/>
    <w:rsid w:val="4ED06B6D"/>
    <w:rsid w:val="4ED1CE75"/>
    <w:rsid w:val="4ED32189"/>
    <w:rsid w:val="4ED410B0"/>
    <w:rsid w:val="4ED49E9D"/>
    <w:rsid w:val="4ED8AF7C"/>
    <w:rsid w:val="4ED90FE6"/>
    <w:rsid w:val="4ED94D37"/>
    <w:rsid w:val="4ED96A5E"/>
    <w:rsid w:val="4EDA799D"/>
    <w:rsid w:val="4EDAA416"/>
    <w:rsid w:val="4EDB2385"/>
    <w:rsid w:val="4EDB8568"/>
    <w:rsid w:val="4EDBF6CB"/>
    <w:rsid w:val="4EDC2B7D"/>
    <w:rsid w:val="4EDD3CEB"/>
    <w:rsid w:val="4EDE4B9B"/>
    <w:rsid w:val="4EDE4D8F"/>
    <w:rsid w:val="4EDE7F6D"/>
    <w:rsid w:val="4EDFED6B"/>
    <w:rsid w:val="4EE1E5A4"/>
    <w:rsid w:val="4EE1EADC"/>
    <w:rsid w:val="4EE3C28E"/>
    <w:rsid w:val="4EE64956"/>
    <w:rsid w:val="4EE7D71E"/>
    <w:rsid w:val="4EE97C3D"/>
    <w:rsid w:val="4EEAD1F1"/>
    <w:rsid w:val="4EEAF3D9"/>
    <w:rsid w:val="4EEF1F23"/>
    <w:rsid w:val="4EF00F9E"/>
    <w:rsid w:val="4EF10F8D"/>
    <w:rsid w:val="4EF12EB6"/>
    <w:rsid w:val="4EF2F4C0"/>
    <w:rsid w:val="4EF5BF90"/>
    <w:rsid w:val="4EF7B4C5"/>
    <w:rsid w:val="4EF881E8"/>
    <w:rsid w:val="4EFA1491"/>
    <w:rsid w:val="4EFA852C"/>
    <w:rsid w:val="4EFAB943"/>
    <w:rsid w:val="4EFBDF43"/>
    <w:rsid w:val="4EFDDA84"/>
    <w:rsid w:val="4EFF2F8A"/>
    <w:rsid w:val="4EFF4B41"/>
    <w:rsid w:val="4EFF9069"/>
    <w:rsid w:val="4F033D65"/>
    <w:rsid w:val="4F03BA26"/>
    <w:rsid w:val="4F053C71"/>
    <w:rsid w:val="4F055709"/>
    <w:rsid w:val="4F05FFF5"/>
    <w:rsid w:val="4F061CD7"/>
    <w:rsid w:val="4F068AC8"/>
    <w:rsid w:val="4F0746CD"/>
    <w:rsid w:val="4F08F052"/>
    <w:rsid w:val="4F0976D2"/>
    <w:rsid w:val="4F0BA278"/>
    <w:rsid w:val="4F0BB7C2"/>
    <w:rsid w:val="4F0C06F3"/>
    <w:rsid w:val="4F0C7F51"/>
    <w:rsid w:val="4F0DA21B"/>
    <w:rsid w:val="4F0F30C1"/>
    <w:rsid w:val="4F0F5A75"/>
    <w:rsid w:val="4F122C69"/>
    <w:rsid w:val="4F12380F"/>
    <w:rsid w:val="4F190329"/>
    <w:rsid w:val="4F195555"/>
    <w:rsid w:val="4F1B0B5F"/>
    <w:rsid w:val="4F1D3898"/>
    <w:rsid w:val="4F23C040"/>
    <w:rsid w:val="4F2459F0"/>
    <w:rsid w:val="4F24ECE5"/>
    <w:rsid w:val="4F260D0E"/>
    <w:rsid w:val="4F273A5F"/>
    <w:rsid w:val="4F2944C1"/>
    <w:rsid w:val="4F2A8278"/>
    <w:rsid w:val="4F2C5D04"/>
    <w:rsid w:val="4F2C9501"/>
    <w:rsid w:val="4F2D716C"/>
    <w:rsid w:val="4F2DCDA6"/>
    <w:rsid w:val="4F2DD1CC"/>
    <w:rsid w:val="4F2EAE64"/>
    <w:rsid w:val="4F2F5592"/>
    <w:rsid w:val="4F308D28"/>
    <w:rsid w:val="4F322CC8"/>
    <w:rsid w:val="4F32DB38"/>
    <w:rsid w:val="4F32ED14"/>
    <w:rsid w:val="4F337231"/>
    <w:rsid w:val="4F347A3A"/>
    <w:rsid w:val="4F363082"/>
    <w:rsid w:val="4F367D98"/>
    <w:rsid w:val="4F3AA4BF"/>
    <w:rsid w:val="4F3B2F31"/>
    <w:rsid w:val="4F3D0F8A"/>
    <w:rsid w:val="4F3D478E"/>
    <w:rsid w:val="4F3EF550"/>
    <w:rsid w:val="4F4151E6"/>
    <w:rsid w:val="4F43F3B5"/>
    <w:rsid w:val="4F45B2A2"/>
    <w:rsid w:val="4F479A34"/>
    <w:rsid w:val="4F487F31"/>
    <w:rsid w:val="4F4DA41C"/>
    <w:rsid w:val="4F4E7EBC"/>
    <w:rsid w:val="4F4EC7E2"/>
    <w:rsid w:val="4F4FDB65"/>
    <w:rsid w:val="4F4FECAD"/>
    <w:rsid w:val="4F51E3EA"/>
    <w:rsid w:val="4F52C82E"/>
    <w:rsid w:val="4F53D8D8"/>
    <w:rsid w:val="4F57B9F9"/>
    <w:rsid w:val="4F595B86"/>
    <w:rsid w:val="4F596288"/>
    <w:rsid w:val="4F59795C"/>
    <w:rsid w:val="4F5AAC60"/>
    <w:rsid w:val="4F5B2AF2"/>
    <w:rsid w:val="4F5E3EE6"/>
    <w:rsid w:val="4F5EF165"/>
    <w:rsid w:val="4F5F74E8"/>
    <w:rsid w:val="4F604A77"/>
    <w:rsid w:val="4F60F064"/>
    <w:rsid w:val="4F626F48"/>
    <w:rsid w:val="4F62F554"/>
    <w:rsid w:val="4F66FEEE"/>
    <w:rsid w:val="4F674A33"/>
    <w:rsid w:val="4F679311"/>
    <w:rsid w:val="4F679925"/>
    <w:rsid w:val="4F67EDF5"/>
    <w:rsid w:val="4F68856B"/>
    <w:rsid w:val="4F6A4DB7"/>
    <w:rsid w:val="4F6C3CCD"/>
    <w:rsid w:val="4F708F93"/>
    <w:rsid w:val="4F70DD9D"/>
    <w:rsid w:val="4F717784"/>
    <w:rsid w:val="4F71AB10"/>
    <w:rsid w:val="4F71AE61"/>
    <w:rsid w:val="4F71BA7D"/>
    <w:rsid w:val="4F722781"/>
    <w:rsid w:val="4F74614C"/>
    <w:rsid w:val="4F747EDF"/>
    <w:rsid w:val="4F77346B"/>
    <w:rsid w:val="4F773D7E"/>
    <w:rsid w:val="4F7870F6"/>
    <w:rsid w:val="4F7B7DBA"/>
    <w:rsid w:val="4F7EACF2"/>
    <w:rsid w:val="4F7EB346"/>
    <w:rsid w:val="4F80059A"/>
    <w:rsid w:val="4F831F8B"/>
    <w:rsid w:val="4F83273E"/>
    <w:rsid w:val="4F835832"/>
    <w:rsid w:val="4F83E2B1"/>
    <w:rsid w:val="4F850FFD"/>
    <w:rsid w:val="4F8B576F"/>
    <w:rsid w:val="4F8CE81D"/>
    <w:rsid w:val="4F8D7192"/>
    <w:rsid w:val="4F8FC31D"/>
    <w:rsid w:val="4F900B86"/>
    <w:rsid w:val="4F97F792"/>
    <w:rsid w:val="4F98476A"/>
    <w:rsid w:val="4F98A290"/>
    <w:rsid w:val="4F993EE4"/>
    <w:rsid w:val="4F9AB1BF"/>
    <w:rsid w:val="4F9BCD46"/>
    <w:rsid w:val="4F9CD484"/>
    <w:rsid w:val="4F9D213F"/>
    <w:rsid w:val="4F9D501A"/>
    <w:rsid w:val="4FA150D1"/>
    <w:rsid w:val="4FA16DA4"/>
    <w:rsid w:val="4FA186B9"/>
    <w:rsid w:val="4FA2091B"/>
    <w:rsid w:val="4FA3026B"/>
    <w:rsid w:val="4FA73A2A"/>
    <w:rsid w:val="4FA76F66"/>
    <w:rsid w:val="4FA8E381"/>
    <w:rsid w:val="4FA96093"/>
    <w:rsid w:val="4FAA29D7"/>
    <w:rsid w:val="4FAA84D2"/>
    <w:rsid w:val="4FAC61B3"/>
    <w:rsid w:val="4FB2E565"/>
    <w:rsid w:val="4FB70DE7"/>
    <w:rsid w:val="4FB76F31"/>
    <w:rsid w:val="4FB992E1"/>
    <w:rsid w:val="4FBA2CFD"/>
    <w:rsid w:val="4FBB3FF7"/>
    <w:rsid w:val="4FBB8A0D"/>
    <w:rsid w:val="4FBBB5CB"/>
    <w:rsid w:val="4FBBE554"/>
    <w:rsid w:val="4FBD3B22"/>
    <w:rsid w:val="4FBE9D9B"/>
    <w:rsid w:val="4FC0B2CD"/>
    <w:rsid w:val="4FC0EDE6"/>
    <w:rsid w:val="4FC1331B"/>
    <w:rsid w:val="4FC1C562"/>
    <w:rsid w:val="4FC1E980"/>
    <w:rsid w:val="4FC3C2A5"/>
    <w:rsid w:val="4FC4B166"/>
    <w:rsid w:val="4FC556BC"/>
    <w:rsid w:val="4FC76855"/>
    <w:rsid w:val="4FC79484"/>
    <w:rsid w:val="4FC8E40A"/>
    <w:rsid w:val="4FC9AA6C"/>
    <w:rsid w:val="4FC9C0E5"/>
    <w:rsid w:val="4FCB1573"/>
    <w:rsid w:val="4FCCDB98"/>
    <w:rsid w:val="4FCE75ED"/>
    <w:rsid w:val="4FD23695"/>
    <w:rsid w:val="4FD3BFBA"/>
    <w:rsid w:val="4FD3CC91"/>
    <w:rsid w:val="4FD728B5"/>
    <w:rsid w:val="4FD97B35"/>
    <w:rsid w:val="4FD98C52"/>
    <w:rsid w:val="4FDAD83E"/>
    <w:rsid w:val="4FDC95CB"/>
    <w:rsid w:val="4FDD3548"/>
    <w:rsid w:val="4FDDBA67"/>
    <w:rsid w:val="4FDF1878"/>
    <w:rsid w:val="4FDF3160"/>
    <w:rsid w:val="4FE1CF9C"/>
    <w:rsid w:val="4FE29079"/>
    <w:rsid w:val="4FE3049F"/>
    <w:rsid w:val="4FE6DCC7"/>
    <w:rsid w:val="4FE7D0E6"/>
    <w:rsid w:val="4FE8960F"/>
    <w:rsid w:val="4FE8F038"/>
    <w:rsid w:val="4FEB1D90"/>
    <w:rsid w:val="4FEBDC42"/>
    <w:rsid w:val="4FEC772A"/>
    <w:rsid w:val="4FECE438"/>
    <w:rsid w:val="4FEDEAE9"/>
    <w:rsid w:val="4FEE5F92"/>
    <w:rsid w:val="4FF07E49"/>
    <w:rsid w:val="4FF35F82"/>
    <w:rsid w:val="4FF38CD9"/>
    <w:rsid w:val="4FF48879"/>
    <w:rsid w:val="4FF80F68"/>
    <w:rsid w:val="4FF96BE3"/>
    <w:rsid w:val="4FF9AAA9"/>
    <w:rsid w:val="4FFBBEFD"/>
    <w:rsid w:val="4FFBDA4A"/>
    <w:rsid w:val="4FFEF25C"/>
    <w:rsid w:val="5000907D"/>
    <w:rsid w:val="5000BED1"/>
    <w:rsid w:val="5000DB51"/>
    <w:rsid w:val="5000FECD"/>
    <w:rsid w:val="50046790"/>
    <w:rsid w:val="5004E884"/>
    <w:rsid w:val="500ADD76"/>
    <w:rsid w:val="500B25E6"/>
    <w:rsid w:val="500BC233"/>
    <w:rsid w:val="500D7C69"/>
    <w:rsid w:val="500D891C"/>
    <w:rsid w:val="500ED3A0"/>
    <w:rsid w:val="50100228"/>
    <w:rsid w:val="501400E4"/>
    <w:rsid w:val="5016F351"/>
    <w:rsid w:val="501AAA2D"/>
    <w:rsid w:val="501B4868"/>
    <w:rsid w:val="501C18DC"/>
    <w:rsid w:val="501D1EB4"/>
    <w:rsid w:val="501DDBF1"/>
    <w:rsid w:val="501F80E6"/>
    <w:rsid w:val="5021B8CA"/>
    <w:rsid w:val="502425E2"/>
    <w:rsid w:val="5027B43A"/>
    <w:rsid w:val="5028652E"/>
    <w:rsid w:val="5028B4B0"/>
    <w:rsid w:val="502A5489"/>
    <w:rsid w:val="502C34C0"/>
    <w:rsid w:val="502C7FA2"/>
    <w:rsid w:val="502D5CA9"/>
    <w:rsid w:val="502E4C5B"/>
    <w:rsid w:val="502FF09C"/>
    <w:rsid w:val="5031D02D"/>
    <w:rsid w:val="5032FF67"/>
    <w:rsid w:val="503B6E96"/>
    <w:rsid w:val="503BC927"/>
    <w:rsid w:val="503C401B"/>
    <w:rsid w:val="503D42A3"/>
    <w:rsid w:val="503E4084"/>
    <w:rsid w:val="5044C7A8"/>
    <w:rsid w:val="504519FF"/>
    <w:rsid w:val="50454497"/>
    <w:rsid w:val="50466E3B"/>
    <w:rsid w:val="5046F557"/>
    <w:rsid w:val="50477A5A"/>
    <w:rsid w:val="5048280E"/>
    <w:rsid w:val="5048E016"/>
    <w:rsid w:val="504C3652"/>
    <w:rsid w:val="504D091F"/>
    <w:rsid w:val="504DA1C0"/>
    <w:rsid w:val="504E018A"/>
    <w:rsid w:val="504FECF7"/>
    <w:rsid w:val="50516E97"/>
    <w:rsid w:val="50517BC6"/>
    <w:rsid w:val="5052C819"/>
    <w:rsid w:val="50539A9F"/>
    <w:rsid w:val="5054E882"/>
    <w:rsid w:val="5055E839"/>
    <w:rsid w:val="50568240"/>
    <w:rsid w:val="505773F5"/>
    <w:rsid w:val="505BD2D8"/>
    <w:rsid w:val="505D6045"/>
    <w:rsid w:val="50603899"/>
    <w:rsid w:val="5060AD29"/>
    <w:rsid w:val="5065DDEE"/>
    <w:rsid w:val="5066A7BB"/>
    <w:rsid w:val="506B9CEE"/>
    <w:rsid w:val="506D2CF3"/>
    <w:rsid w:val="506D9B0D"/>
    <w:rsid w:val="506F77AF"/>
    <w:rsid w:val="506FFEFA"/>
    <w:rsid w:val="50769193"/>
    <w:rsid w:val="507837A3"/>
    <w:rsid w:val="507838C4"/>
    <w:rsid w:val="507C1A29"/>
    <w:rsid w:val="507D3F5D"/>
    <w:rsid w:val="5080B1BC"/>
    <w:rsid w:val="50821393"/>
    <w:rsid w:val="5082E738"/>
    <w:rsid w:val="5084F457"/>
    <w:rsid w:val="5087D21B"/>
    <w:rsid w:val="5088022A"/>
    <w:rsid w:val="508A642C"/>
    <w:rsid w:val="508AC9BE"/>
    <w:rsid w:val="508BA799"/>
    <w:rsid w:val="508D652E"/>
    <w:rsid w:val="508DA7E7"/>
    <w:rsid w:val="508DB130"/>
    <w:rsid w:val="508E00D3"/>
    <w:rsid w:val="508E68E2"/>
    <w:rsid w:val="508E94B2"/>
    <w:rsid w:val="50906B17"/>
    <w:rsid w:val="50929F56"/>
    <w:rsid w:val="5094764B"/>
    <w:rsid w:val="509533E8"/>
    <w:rsid w:val="50957DB0"/>
    <w:rsid w:val="5098C0B8"/>
    <w:rsid w:val="509AA36D"/>
    <w:rsid w:val="509BCF3C"/>
    <w:rsid w:val="509C25FB"/>
    <w:rsid w:val="509C71D7"/>
    <w:rsid w:val="509C7EEB"/>
    <w:rsid w:val="509F8BA5"/>
    <w:rsid w:val="50A088D3"/>
    <w:rsid w:val="50A12F44"/>
    <w:rsid w:val="50A420E3"/>
    <w:rsid w:val="50A456A7"/>
    <w:rsid w:val="50A4F7C7"/>
    <w:rsid w:val="50A516A8"/>
    <w:rsid w:val="50A5AE48"/>
    <w:rsid w:val="50A6B421"/>
    <w:rsid w:val="50A6CD5C"/>
    <w:rsid w:val="50A742C6"/>
    <w:rsid w:val="50AD6794"/>
    <w:rsid w:val="50AF48F7"/>
    <w:rsid w:val="50B35FF9"/>
    <w:rsid w:val="50B388A8"/>
    <w:rsid w:val="50B47774"/>
    <w:rsid w:val="50B7E04B"/>
    <w:rsid w:val="50B8FE7C"/>
    <w:rsid w:val="50B9F361"/>
    <w:rsid w:val="50BA416D"/>
    <w:rsid w:val="50BA6750"/>
    <w:rsid w:val="50BB2EED"/>
    <w:rsid w:val="50BC8274"/>
    <w:rsid w:val="50C1207B"/>
    <w:rsid w:val="50C25585"/>
    <w:rsid w:val="50C38E39"/>
    <w:rsid w:val="50C41AD8"/>
    <w:rsid w:val="50C6DC04"/>
    <w:rsid w:val="50C913DE"/>
    <w:rsid w:val="50C97B3F"/>
    <w:rsid w:val="50CA039C"/>
    <w:rsid w:val="50CB2250"/>
    <w:rsid w:val="50CCC5EE"/>
    <w:rsid w:val="50CCD0D3"/>
    <w:rsid w:val="50CE0EAC"/>
    <w:rsid w:val="50D01C3B"/>
    <w:rsid w:val="50D0BA19"/>
    <w:rsid w:val="50D0D152"/>
    <w:rsid w:val="50D21B59"/>
    <w:rsid w:val="50D2341E"/>
    <w:rsid w:val="50D2B38F"/>
    <w:rsid w:val="50D3547F"/>
    <w:rsid w:val="50D3A063"/>
    <w:rsid w:val="50D52705"/>
    <w:rsid w:val="50D57BBA"/>
    <w:rsid w:val="50D59FFF"/>
    <w:rsid w:val="50D7AF2E"/>
    <w:rsid w:val="50D7C38A"/>
    <w:rsid w:val="50D8B3E6"/>
    <w:rsid w:val="50D8EF1F"/>
    <w:rsid w:val="50DA03EE"/>
    <w:rsid w:val="50DA3B26"/>
    <w:rsid w:val="50DC35A8"/>
    <w:rsid w:val="50DDE06B"/>
    <w:rsid w:val="50E23E5A"/>
    <w:rsid w:val="50E2CE27"/>
    <w:rsid w:val="50E39BE8"/>
    <w:rsid w:val="50E729C7"/>
    <w:rsid w:val="50E81D76"/>
    <w:rsid w:val="50EA7C20"/>
    <w:rsid w:val="50EB4FDF"/>
    <w:rsid w:val="50EC4727"/>
    <w:rsid w:val="50EF60B4"/>
    <w:rsid w:val="50F11F9E"/>
    <w:rsid w:val="50F1F173"/>
    <w:rsid w:val="50F324B5"/>
    <w:rsid w:val="50F96756"/>
    <w:rsid w:val="50FC5E4D"/>
    <w:rsid w:val="5100BCAD"/>
    <w:rsid w:val="51015762"/>
    <w:rsid w:val="5101AB20"/>
    <w:rsid w:val="5101B5B5"/>
    <w:rsid w:val="5102100A"/>
    <w:rsid w:val="5102533A"/>
    <w:rsid w:val="51027D44"/>
    <w:rsid w:val="51029FFC"/>
    <w:rsid w:val="5103DB55"/>
    <w:rsid w:val="510522DB"/>
    <w:rsid w:val="5106AB25"/>
    <w:rsid w:val="5109A024"/>
    <w:rsid w:val="510AEEA8"/>
    <w:rsid w:val="510BAB80"/>
    <w:rsid w:val="510CAEA8"/>
    <w:rsid w:val="510EC40A"/>
    <w:rsid w:val="510F8A36"/>
    <w:rsid w:val="510FC3E3"/>
    <w:rsid w:val="5110735D"/>
    <w:rsid w:val="5110781E"/>
    <w:rsid w:val="511123FE"/>
    <w:rsid w:val="511214DA"/>
    <w:rsid w:val="5115E545"/>
    <w:rsid w:val="511656CB"/>
    <w:rsid w:val="5119EA05"/>
    <w:rsid w:val="511A68BB"/>
    <w:rsid w:val="511A9AEA"/>
    <w:rsid w:val="511BFC1A"/>
    <w:rsid w:val="511BFD78"/>
    <w:rsid w:val="511E2A1D"/>
    <w:rsid w:val="511EE688"/>
    <w:rsid w:val="51208EA7"/>
    <w:rsid w:val="5122551C"/>
    <w:rsid w:val="51227E0A"/>
    <w:rsid w:val="51230AFE"/>
    <w:rsid w:val="5123595C"/>
    <w:rsid w:val="5124B5B2"/>
    <w:rsid w:val="51255756"/>
    <w:rsid w:val="512672BC"/>
    <w:rsid w:val="51284616"/>
    <w:rsid w:val="5129ECFB"/>
    <w:rsid w:val="512A0AAA"/>
    <w:rsid w:val="512B53C2"/>
    <w:rsid w:val="512BE1A5"/>
    <w:rsid w:val="512E2F47"/>
    <w:rsid w:val="512F0C92"/>
    <w:rsid w:val="5130379F"/>
    <w:rsid w:val="51346A5E"/>
    <w:rsid w:val="5134A9B8"/>
    <w:rsid w:val="5134B437"/>
    <w:rsid w:val="51357389"/>
    <w:rsid w:val="5135DC6C"/>
    <w:rsid w:val="5135E0C9"/>
    <w:rsid w:val="51370D2D"/>
    <w:rsid w:val="51391ACE"/>
    <w:rsid w:val="51397A5D"/>
    <w:rsid w:val="513AB4D9"/>
    <w:rsid w:val="513B7274"/>
    <w:rsid w:val="513BABC7"/>
    <w:rsid w:val="513CBB76"/>
    <w:rsid w:val="513DABD4"/>
    <w:rsid w:val="513EAA43"/>
    <w:rsid w:val="513F1B3E"/>
    <w:rsid w:val="5141E8CF"/>
    <w:rsid w:val="514331E8"/>
    <w:rsid w:val="5143A071"/>
    <w:rsid w:val="5143AB6E"/>
    <w:rsid w:val="5145486C"/>
    <w:rsid w:val="51455D05"/>
    <w:rsid w:val="5145FE7E"/>
    <w:rsid w:val="51468A1A"/>
    <w:rsid w:val="51480691"/>
    <w:rsid w:val="514994C4"/>
    <w:rsid w:val="514B8997"/>
    <w:rsid w:val="514CFFAD"/>
    <w:rsid w:val="514F4C84"/>
    <w:rsid w:val="51503652"/>
    <w:rsid w:val="5151E71E"/>
    <w:rsid w:val="5152F2B3"/>
    <w:rsid w:val="515391E2"/>
    <w:rsid w:val="5155D2E8"/>
    <w:rsid w:val="51567019"/>
    <w:rsid w:val="51578BEA"/>
    <w:rsid w:val="515959F4"/>
    <w:rsid w:val="515BA5DE"/>
    <w:rsid w:val="515CAB04"/>
    <w:rsid w:val="515D48FB"/>
    <w:rsid w:val="515FFBCB"/>
    <w:rsid w:val="51616E5E"/>
    <w:rsid w:val="51627901"/>
    <w:rsid w:val="516367B4"/>
    <w:rsid w:val="5165BA74"/>
    <w:rsid w:val="516693A8"/>
    <w:rsid w:val="5167AFDE"/>
    <w:rsid w:val="5168CBF4"/>
    <w:rsid w:val="516A99B0"/>
    <w:rsid w:val="516DCCEC"/>
    <w:rsid w:val="516DE8E4"/>
    <w:rsid w:val="516F2328"/>
    <w:rsid w:val="516F3593"/>
    <w:rsid w:val="517304AC"/>
    <w:rsid w:val="51739768"/>
    <w:rsid w:val="51761692"/>
    <w:rsid w:val="5176DB9C"/>
    <w:rsid w:val="51779881"/>
    <w:rsid w:val="517BDA33"/>
    <w:rsid w:val="517DD363"/>
    <w:rsid w:val="517E6BE0"/>
    <w:rsid w:val="517E7C85"/>
    <w:rsid w:val="51812C4C"/>
    <w:rsid w:val="51818E27"/>
    <w:rsid w:val="5182C86E"/>
    <w:rsid w:val="51840BA0"/>
    <w:rsid w:val="51843C28"/>
    <w:rsid w:val="5186ED93"/>
    <w:rsid w:val="518719F1"/>
    <w:rsid w:val="51879803"/>
    <w:rsid w:val="51881863"/>
    <w:rsid w:val="5189B6F0"/>
    <w:rsid w:val="5189F136"/>
    <w:rsid w:val="518A6266"/>
    <w:rsid w:val="518AC5BB"/>
    <w:rsid w:val="518BE01A"/>
    <w:rsid w:val="518C81F0"/>
    <w:rsid w:val="518CB0A0"/>
    <w:rsid w:val="518D0145"/>
    <w:rsid w:val="518D26F1"/>
    <w:rsid w:val="518D2E27"/>
    <w:rsid w:val="518DD57C"/>
    <w:rsid w:val="518DE2A8"/>
    <w:rsid w:val="51944502"/>
    <w:rsid w:val="5197A064"/>
    <w:rsid w:val="5198C15D"/>
    <w:rsid w:val="51997C84"/>
    <w:rsid w:val="5199853B"/>
    <w:rsid w:val="519985AE"/>
    <w:rsid w:val="519C609B"/>
    <w:rsid w:val="519D6B53"/>
    <w:rsid w:val="51A0E30F"/>
    <w:rsid w:val="51A1201F"/>
    <w:rsid w:val="51A289BB"/>
    <w:rsid w:val="51A2FBCD"/>
    <w:rsid w:val="51A5F9FF"/>
    <w:rsid w:val="51A79795"/>
    <w:rsid w:val="51A89EEF"/>
    <w:rsid w:val="51A8B2A6"/>
    <w:rsid w:val="51AB3CE1"/>
    <w:rsid w:val="51AB5082"/>
    <w:rsid w:val="51AB660E"/>
    <w:rsid w:val="51AB67CA"/>
    <w:rsid w:val="51AC002A"/>
    <w:rsid w:val="51AC8B04"/>
    <w:rsid w:val="51ACE191"/>
    <w:rsid w:val="51AF4403"/>
    <w:rsid w:val="51B0AFD1"/>
    <w:rsid w:val="51B1F914"/>
    <w:rsid w:val="51B352BD"/>
    <w:rsid w:val="51B46B1C"/>
    <w:rsid w:val="51B8FDDF"/>
    <w:rsid w:val="51C190AE"/>
    <w:rsid w:val="51C36DD9"/>
    <w:rsid w:val="51C6A70E"/>
    <w:rsid w:val="51C6BA80"/>
    <w:rsid w:val="51C6DA0D"/>
    <w:rsid w:val="51C6DF9C"/>
    <w:rsid w:val="51C71C73"/>
    <w:rsid w:val="51C799B9"/>
    <w:rsid w:val="51C8AF5C"/>
    <w:rsid w:val="51C9A1A9"/>
    <w:rsid w:val="51CFA3C0"/>
    <w:rsid w:val="51D086F4"/>
    <w:rsid w:val="51D09B51"/>
    <w:rsid w:val="51D16DF8"/>
    <w:rsid w:val="51D18BAD"/>
    <w:rsid w:val="51D2D8D1"/>
    <w:rsid w:val="51D302C8"/>
    <w:rsid w:val="51D69DDE"/>
    <w:rsid w:val="51DE305C"/>
    <w:rsid w:val="51DE69D3"/>
    <w:rsid w:val="51E055BC"/>
    <w:rsid w:val="51E48486"/>
    <w:rsid w:val="51E51F65"/>
    <w:rsid w:val="51E6C3CC"/>
    <w:rsid w:val="51E7AD84"/>
    <w:rsid w:val="51E96563"/>
    <w:rsid w:val="51EBA4F8"/>
    <w:rsid w:val="51ECB813"/>
    <w:rsid w:val="51ED4381"/>
    <w:rsid w:val="51EEF4C0"/>
    <w:rsid w:val="51EFF7FA"/>
    <w:rsid w:val="51F0C63A"/>
    <w:rsid w:val="51F10B3D"/>
    <w:rsid w:val="51F187E2"/>
    <w:rsid w:val="51F3221F"/>
    <w:rsid w:val="51F3242C"/>
    <w:rsid w:val="51F36F8E"/>
    <w:rsid w:val="51F5E70F"/>
    <w:rsid w:val="51F6E446"/>
    <w:rsid w:val="51F8128E"/>
    <w:rsid w:val="51F87661"/>
    <w:rsid w:val="51FA5614"/>
    <w:rsid w:val="51FB9717"/>
    <w:rsid w:val="51FCC7D7"/>
    <w:rsid w:val="51FE6192"/>
    <w:rsid w:val="51FEB6EE"/>
    <w:rsid w:val="51FF9466"/>
    <w:rsid w:val="5200584D"/>
    <w:rsid w:val="5205201C"/>
    <w:rsid w:val="52070417"/>
    <w:rsid w:val="5207EAA2"/>
    <w:rsid w:val="520846D3"/>
    <w:rsid w:val="5209DD48"/>
    <w:rsid w:val="520B4CC7"/>
    <w:rsid w:val="520C7460"/>
    <w:rsid w:val="520CB92C"/>
    <w:rsid w:val="520D13D0"/>
    <w:rsid w:val="520D7EF0"/>
    <w:rsid w:val="520DC035"/>
    <w:rsid w:val="520E5BE6"/>
    <w:rsid w:val="5211390F"/>
    <w:rsid w:val="5211640D"/>
    <w:rsid w:val="52118F10"/>
    <w:rsid w:val="52119FF7"/>
    <w:rsid w:val="5217CBB6"/>
    <w:rsid w:val="52188112"/>
    <w:rsid w:val="5219A297"/>
    <w:rsid w:val="521B415B"/>
    <w:rsid w:val="521BACA6"/>
    <w:rsid w:val="521C82F1"/>
    <w:rsid w:val="521CABA1"/>
    <w:rsid w:val="521EB285"/>
    <w:rsid w:val="521EC818"/>
    <w:rsid w:val="52225489"/>
    <w:rsid w:val="5223FE07"/>
    <w:rsid w:val="5224190D"/>
    <w:rsid w:val="522475EF"/>
    <w:rsid w:val="522616A7"/>
    <w:rsid w:val="5226FC29"/>
    <w:rsid w:val="52294499"/>
    <w:rsid w:val="5229B740"/>
    <w:rsid w:val="522A8AE5"/>
    <w:rsid w:val="522C34B7"/>
    <w:rsid w:val="522ED9E5"/>
    <w:rsid w:val="522F129F"/>
    <w:rsid w:val="5230869A"/>
    <w:rsid w:val="523331DF"/>
    <w:rsid w:val="5234A3EB"/>
    <w:rsid w:val="523700B8"/>
    <w:rsid w:val="52374FB9"/>
    <w:rsid w:val="5237A521"/>
    <w:rsid w:val="523C72C9"/>
    <w:rsid w:val="523D6DD1"/>
    <w:rsid w:val="523DC368"/>
    <w:rsid w:val="523DF644"/>
    <w:rsid w:val="524076FF"/>
    <w:rsid w:val="52412164"/>
    <w:rsid w:val="52415F09"/>
    <w:rsid w:val="5244DA69"/>
    <w:rsid w:val="524502F9"/>
    <w:rsid w:val="5245D966"/>
    <w:rsid w:val="52467748"/>
    <w:rsid w:val="52467756"/>
    <w:rsid w:val="5246A5FD"/>
    <w:rsid w:val="5249586C"/>
    <w:rsid w:val="524D9368"/>
    <w:rsid w:val="524FC15F"/>
    <w:rsid w:val="524FE716"/>
    <w:rsid w:val="525088EC"/>
    <w:rsid w:val="525089B7"/>
    <w:rsid w:val="52514B3F"/>
    <w:rsid w:val="525390A5"/>
    <w:rsid w:val="52553E5A"/>
    <w:rsid w:val="5259C0CE"/>
    <w:rsid w:val="525B6102"/>
    <w:rsid w:val="525CCDD6"/>
    <w:rsid w:val="525CF29B"/>
    <w:rsid w:val="525D7BB7"/>
    <w:rsid w:val="525E29A5"/>
    <w:rsid w:val="525F59A2"/>
    <w:rsid w:val="526145D3"/>
    <w:rsid w:val="52652589"/>
    <w:rsid w:val="52681A19"/>
    <w:rsid w:val="52685AB9"/>
    <w:rsid w:val="526910A5"/>
    <w:rsid w:val="5269BD8E"/>
    <w:rsid w:val="526A8121"/>
    <w:rsid w:val="526B1A19"/>
    <w:rsid w:val="526DB93D"/>
    <w:rsid w:val="526E3102"/>
    <w:rsid w:val="526E6DE8"/>
    <w:rsid w:val="526F19C3"/>
    <w:rsid w:val="526FFE69"/>
    <w:rsid w:val="5270DB70"/>
    <w:rsid w:val="527157AD"/>
    <w:rsid w:val="5276E43F"/>
    <w:rsid w:val="52770F40"/>
    <w:rsid w:val="52796214"/>
    <w:rsid w:val="527A8CD7"/>
    <w:rsid w:val="527AD744"/>
    <w:rsid w:val="527CC754"/>
    <w:rsid w:val="527CFC25"/>
    <w:rsid w:val="5280CE9C"/>
    <w:rsid w:val="528239F8"/>
    <w:rsid w:val="528339BB"/>
    <w:rsid w:val="528730A0"/>
    <w:rsid w:val="52875166"/>
    <w:rsid w:val="5287E812"/>
    <w:rsid w:val="5287FB8D"/>
    <w:rsid w:val="52886978"/>
    <w:rsid w:val="528C2C22"/>
    <w:rsid w:val="528CD6E2"/>
    <w:rsid w:val="528E477E"/>
    <w:rsid w:val="528E70F5"/>
    <w:rsid w:val="5290F05B"/>
    <w:rsid w:val="52911D38"/>
    <w:rsid w:val="52934DCB"/>
    <w:rsid w:val="5293FBDB"/>
    <w:rsid w:val="52960491"/>
    <w:rsid w:val="52962EB6"/>
    <w:rsid w:val="5297A82A"/>
    <w:rsid w:val="5297C33E"/>
    <w:rsid w:val="529AB93A"/>
    <w:rsid w:val="52A0096A"/>
    <w:rsid w:val="52A1BDBE"/>
    <w:rsid w:val="52A4A3C7"/>
    <w:rsid w:val="52A5F64C"/>
    <w:rsid w:val="52A60A46"/>
    <w:rsid w:val="52A63716"/>
    <w:rsid w:val="52A6C9F1"/>
    <w:rsid w:val="52A6EE3B"/>
    <w:rsid w:val="52A7D9C4"/>
    <w:rsid w:val="52AA22CE"/>
    <w:rsid w:val="52AD43F5"/>
    <w:rsid w:val="52B0D090"/>
    <w:rsid w:val="52B17E99"/>
    <w:rsid w:val="52B347E4"/>
    <w:rsid w:val="52B3AE40"/>
    <w:rsid w:val="52B5637F"/>
    <w:rsid w:val="52B7929C"/>
    <w:rsid w:val="52BA8375"/>
    <w:rsid w:val="52BA9370"/>
    <w:rsid w:val="52BBA4AB"/>
    <w:rsid w:val="52BE8A5E"/>
    <w:rsid w:val="52C080CB"/>
    <w:rsid w:val="52C1DF6A"/>
    <w:rsid w:val="52C5B9AE"/>
    <w:rsid w:val="52C5C46A"/>
    <w:rsid w:val="52C6DA7E"/>
    <w:rsid w:val="52C7C12E"/>
    <w:rsid w:val="52C7D31F"/>
    <w:rsid w:val="52C87FE0"/>
    <w:rsid w:val="52CA5987"/>
    <w:rsid w:val="52CC2FB8"/>
    <w:rsid w:val="52CDB5C3"/>
    <w:rsid w:val="52D01DD7"/>
    <w:rsid w:val="52D3FEED"/>
    <w:rsid w:val="52D5B1D2"/>
    <w:rsid w:val="52D635F2"/>
    <w:rsid w:val="52D8AB1C"/>
    <w:rsid w:val="52D9CBCA"/>
    <w:rsid w:val="52DA9E91"/>
    <w:rsid w:val="52DB4381"/>
    <w:rsid w:val="52DD6B5D"/>
    <w:rsid w:val="52DDDF29"/>
    <w:rsid w:val="52DDE7BF"/>
    <w:rsid w:val="52DF0EF1"/>
    <w:rsid w:val="52E0C73F"/>
    <w:rsid w:val="52E1BF17"/>
    <w:rsid w:val="52E31CCA"/>
    <w:rsid w:val="52E327E6"/>
    <w:rsid w:val="52E77A6C"/>
    <w:rsid w:val="52E899E8"/>
    <w:rsid w:val="52EAA18D"/>
    <w:rsid w:val="52EAEADD"/>
    <w:rsid w:val="52EBAF76"/>
    <w:rsid w:val="52ECAA7D"/>
    <w:rsid w:val="52ECBEA0"/>
    <w:rsid w:val="52ED8DE4"/>
    <w:rsid w:val="52ED8EFF"/>
    <w:rsid w:val="52EFF437"/>
    <w:rsid w:val="52F23994"/>
    <w:rsid w:val="52F2E8C6"/>
    <w:rsid w:val="52F4A676"/>
    <w:rsid w:val="52F4E5D3"/>
    <w:rsid w:val="52F814F3"/>
    <w:rsid w:val="52FA3A2A"/>
    <w:rsid w:val="52FA840E"/>
    <w:rsid w:val="52FABB11"/>
    <w:rsid w:val="52FD1B40"/>
    <w:rsid w:val="52FE15A9"/>
    <w:rsid w:val="52FECA73"/>
    <w:rsid w:val="52FF3F17"/>
    <w:rsid w:val="5301515A"/>
    <w:rsid w:val="5302F930"/>
    <w:rsid w:val="53052F10"/>
    <w:rsid w:val="5307E41B"/>
    <w:rsid w:val="530A9A95"/>
    <w:rsid w:val="530B8699"/>
    <w:rsid w:val="530D7755"/>
    <w:rsid w:val="530D950F"/>
    <w:rsid w:val="53108072"/>
    <w:rsid w:val="5310AFF1"/>
    <w:rsid w:val="53129CB2"/>
    <w:rsid w:val="5313A3FB"/>
    <w:rsid w:val="5314C9DD"/>
    <w:rsid w:val="53170B51"/>
    <w:rsid w:val="53174B03"/>
    <w:rsid w:val="53190A0A"/>
    <w:rsid w:val="53195704"/>
    <w:rsid w:val="5319FF44"/>
    <w:rsid w:val="531B49A6"/>
    <w:rsid w:val="532138D7"/>
    <w:rsid w:val="5324EE9E"/>
    <w:rsid w:val="5328D7C5"/>
    <w:rsid w:val="53292941"/>
    <w:rsid w:val="532D8FB4"/>
    <w:rsid w:val="532D9EE4"/>
    <w:rsid w:val="532F7A9A"/>
    <w:rsid w:val="5331F12D"/>
    <w:rsid w:val="53343CFD"/>
    <w:rsid w:val="5334C051"/>
    <w:rsid w:val="533550F4"/>
    <w:rsid w:val="533835A1"/>
    <w:rsid w:val="5339FF60"/>
    <w:rsid w:val="533A8483"/>
    <w:rsid w:val="533B33FA"/>
    <w:rsid w:val="533CC7A2"/>
    <w:rsid w:val="533DFEB8"/>
    <w:rsid w:val="533E660E"/>
    <w:rsid w:val="53432544"/>
    <w:rsid w:val="53438319"/>
    <w:rsid w:val="534497A5"/>
    <w:rsid w:val="53487622"/>
    <w:rsid w:val="53499C94"/>
    <w:rsid w:val="5349E7BC"/>
    <w:rsid w:val="534B05BB"/>
    <w:rsid w:val="534E6DB3"/>
    <w:rsid w:val="534E86CB"/>
    <w:rsid w:val="534FD0AC"/>
    <w:rsid w:val="5350CA66"/>
    <w:rsid w:val="53516ED0"/>
    <w:rsid w:val="5352E92A"/>
    <w:rsid w:val="5354C1C5"/>
    <w:rsid w:val="535527A9"/>
    <w:rsid w:val="5355339A"/>
    <w:rsid w:val="5357D52B"/>
    <w:rsid w:val="53588713"/>
    <w:rsid w:val="535A3D73"/>
    <w:rsid w:val="535B6301"/>
    <w:rsid w:val="535C21D2"/>
    <w:rsid w:val="535D0F84"/>
    <w:rsid w:val="535E4C5D"/>
    <w:rsid w:val="535FB34F"/>
    <w:rsid w:val="53600552"/>
    <w:rsid w:val="53637FE8"/>
    <w:rsid w:val="53647FC6"/>
    <w:rsid w:val="5365ED1D"/>
    <w:rsid w:val="53699901"/>
    <w:rsid w:val="536B5A6C"/>
    <w:rsid w:val="536D4467"/>
    <w:rsid w:val="536F4C96"/>
    <w:rsid w:val="53708B96"/>
    <w:rsid w:val="5370EB8F"/>
    <w:rsid w:val="5372FE98"/>
    <w:rsid w:val="53744558"/>
    <w:rsid w:val="53793278"/>
    <w:rsid w:val="537A00BD"/>
    <w:rsid w:val="537A17DC"/>
    <w:rsid w:val="537B402C"/>
    <w:rsid w:val="537F004E"/>
    <w:rsid w:val="53822027"/>
    <w:rsid w:val="538316EA"/>
    <w:rsid w:val="5383A29A"/>
    <w:rsid w:val="5384E4DC"/>
    <w:rsid w:val="5385EB03"/>
    <w:rsid w:val="53861E86"/>
    <w:rsid w:val="5387CA8A"/>
    <w:rsid w:val="53883024"/>
    <w:rsid w:val="538A8C24"/>
    <w:rsid w:val="538AA00D"/>
    <w:rsid w:val="538B392B"/>
    <w:rsid w:val="538C2CF3"/>
    <w:rsid w:val="538CB737"/>
    <w:rsid w:val="538EF6A8"/>
    <w:rsid w:val="538FCDD1"/>
    <w:rsid w:val="53900DA6"/>
    <w:rsid w:val="53901802"/>
    <w:rsid w:val="5393B3A4"/>
    <w:rsid w:val="5393E223"/>
    <w:rsid w:val="5398C7EB"/>
    <w:rsid w:val="5399EF34"/>
    <w:rsid w:val="539B6168"/>
    <w:rsid w:val="539CDDCC"/>
    <w:rsid w:val="539DC6B5"/>
    <w:rsid w:val="539DE021"/>
    <w:rsid w:val="53A0A257"/>
    <w:rsid w:val="53A3F2A9"/>
    <w:rsid w:val="53A41734"/>
    <w:rsid w:val="53A59807"/>
    <w:rsid w:val="53A770E6"/>
    <w:rsid w:val="53AAE57A"/>
    <w:rsid w:val="53AFB392"/>
    <w:rsid w:val="53B101B2"/>
    <w:rsid w:val="53B18CCF"/>
    <w:rsid w:val="53B2FEAF"/>
    <w:rsid w:val="53B4B83F"/>
    <w:rsid w:val="53B52935"/>
    <w:rsid w:val="53B5A368"/>
    <w:rsid w:val="53B5D7C8"/>
    <w:rsid w:val="53B77D03"/>
    <w:rsid w:val="53B9063D"/>
    <w:rsid w:val="53B9FF71"/>
    <w:rsid w:val="53BB0868"/>
    <w:rsid w:val="53BB97EC"/>
    <w:rsid w:val="53BBEF03"/>
    <w:rsid w:val="53BE3498"/>
    <w:rsid w:val="53BF7B12"/>
    <w:rsid w:val="53C14CD9"/>
    <w:rsid w:val="53C3200C"/>
    <w:rsid w:val="53C3C447"/>
    <w:rsid w:val="53C3C5E2"/>
    <w:rsid w:val="53C43BDE"/>
    <w:rsid w:val="53C737A3"/>
    <w:rsid w:val="53C94015"/>
    <w:rsid w:val="53CA078B"/>
    <w:rsid w:val="53CE795C"/>
    <w:rsid w:val="53D66823"/>
    <w:rsid w:val="53D84391"/>
    <w:rsid w:val="53D9D01B"/>
    <w:rsid w:val="53DC326D"/>
    <w:rsid w:val="53DDA580"/>
    <w:rsid w:val="53DDB681"/>
    <w:rsid w:val="53DDC2D2"/>
    <w:rsid w:val="53E0D22C"/>
    <w:rsid w:val="53E153AA"/>
    <w:rsid w:val="53E3A13F"/>
    <w:rsid w:val="53E5EF48"/>
    <w:rsid w:val="53E68F0A"/>
    <w:rsid w:val="53E69C5C"/>
    <w:rsid w:val="53E6F56C"/>
    <w:rsid w:val="53EACE7D"/>
    <w:rsid w:val="53EE421E"/>
    <w:rsid w:val="53EEE11E"/>
    <w:rsid w:val="53EF0DF5"/>
    <w:rsid w:val="53EFB56C"/>
    <w:rsid w:val="53F0462C"/>
    <w:rsid w:val="53F2901A"/>
    <w:rsid w:val="53F3FFB1"/>
    <w:rsid w:val="53F4E739"/>
    <w:rsid w:val="53F5B0EC"/>
    <w:rsid w:val="53F5B488"/>
    <w:rsid w:val="53F5E307"/>
    <w:rsid w:val="53F6738A"/>
    <w:rsid w:val="53F67A3E"/>
    <w:rsid w:val="53F7BA35"/>
    <w:rsid w:val="53FA02A0"/>
    <w:rsid w:val="53FA229F"/>
    <w:rsid w:val="53FA7B56"/>
    <w:rsid w:val="53FB92B3"/>
    <w:rsid w:val="53FFFD3E"/>
    <w:rsid w:val="54000D57"/>
    <w:rsid w:val="54004F42"/>
    <w:rsid w:val="5400D3F6"/>
    <w:rsid w:val="54017D75"/>
    <w:rsid w:val="54037B3E"/>
    <w:rsid w:val="5403B097"/>
    <w:rsid w:val="5403FE32"/>
    <w:rsid w:val="540546C8"/>
    <w:rsid w:val="5406ADF2"/>
    <w:rsid w:val="5408E365"/>
    <w:rsid w:val="5409A1BF"/>
    <w:rsid w:val="5409E07D"/>
    <w:rsid w:val="540A0D9B"/>
    <w:rsid w:val="540A7C6B"/>
    <w:rsid w:val="5416786B"/>
    <w:rsid w:val="54197B1E"/>
    <w:rsid w:val="541A4367"/>
    <w:rsid w:val="541B382B"/>
    <w:rsid w:val="541B5713"/>
    <w:rsid w:val="541C7325"/>
    <w:rsid w:val="541CBB99"/>
    <w:rsid w:val="541D3FA4"/>
    <w:rsid w:val="541DCD26"/>
    <w:rsid w:val="541E4D73"/>
    <w:rsid w:val="54226886"/>
    <w:rsid w:val="5422B736"/>
    <w:rsid w:val="5423A205"/>
    <w:rsid w:val="5424987F"/>
    <w:rsid w:val="5424E7D2"/>
    <w:rsid w:val="542C37CF"/>
    <w:rsid w:val="542C48D5"/>
    <w:rsid w:val="542D152B"/>
    <w:rsid w:val="542EA67A"/>
    <w:rsid w:val="542FD0B7"/>
    <w:rsid w:val="543025F9"/>
    <w:rsid w:val="5430376B"/>
    <w:rsid w:val="5430F2F3"/>
    <w:rsid w:val="54326FC1"/>
    <w:rsid w:val="54328CED"/>
    <w:rsid w:val="54356D97"/>
    <w:rsid w:val="5435B5F9"/>
    <w:rsid w:val="54368D45"/>
    <w:rsid w:val="54389FFB"/>
    <w:rsid w:val="5438D33E"/>
    <w:rsid w:val="543A1BA8"/>
    <w:rsid w:val="543C774B"/>
    <w:rsid w:val="543D761E"/>
    <w:rsid w:val="543E15EB"/>
    <w:rsid w:val="543E9DB5"/>
    <w:rsid w:val="5440358D"/>
    <w:rsid w:val="5443A302"/>
    <w:rsid w:val="5443A568"/>
    <w:rsid w:val="54474AB8"/>
    <w:rsid w:val="54490E0B"/>
    <w:rsid w:val="544BB5A7"/>
    <w:rsid w:val="544BE5EB"/>
    <w:rsid w:val="544BEA18"/>
    <w:rsid w:val="544FFC71"/>
    <w:rsid w:val="545058D8"/>
    <w:rsid w:val="5452704E"/>
    <w:rsid w:val="54529FDE"/>
    <w:rsid w:val="5452E0AA"/>
    <w:rsid w:val="545317EF"/>
    <w:rsid w:val="545457B2"/>
    <w:rsid w:val="54549FBE"/>
    <w:rsid w:val="54554777"/>
    <w:rsid w:val="54565212"/>
    <w:rsid w:val="54573C4A"/>
    <w:rsid w:val="5457A8DD"/>
    <w:rsid w:val="545850F6"/>
    <w:rsid w:val="5459F517"/>
    <w:rsid w:val="545B8C46"/>
    <w:rsid w:val="545C3F52"/>
    <w:rsid w:val="545C5197"/>
    <w:rsid w:val="545E156C"/>
    <w:rsid w:val="5461364E"/>
    <w:rsid w:val="54613D13"/>
    <w:rsid w:val="5463CEE9"/>
    <w:rsid w:val="54646C37"/>
    <w:rsid w:val="546473F1"/>
    <w:rsid w:val="546596F6"/>
    <w:rsid w:val="5465FFE0"/>
    <w:rsid w:val="5466DFBF"/>
    <w:rsid w:val="54680019"/>
    <w:rsid w:val="546EAD45"/>
    <w:rsid w:val="54703D1A"/>
    <w:rsid w:val="54711A76"/>
    <w:rsid w:val="5472B59E"/>
    <w:rsid w:val="54741DF6"/>
    <w:rsid w:val="54751D97"/>
    <w:rsid w:val="5475CA04"/>
    <w:rsid w:val="5475F5F7"/>
    <w:rsid w:val="5476EE2B"/>
    <w:rsid w:val="5477397D"/>
    <w:rsid w:val="547970CA"/>
    <w:rsid w:val="547B8A27"/>
    <w:rsid w:val="547BAA58"/>
    <w:rsid w:val="547EA3E0"/>
    <w:rsid w:val="547FEAAF"/>
    <w:rsid w:val="5480B56B"/>
    <w:rsid w:val="548189F3"/>
    <w:rsid w:val="5481A46F"/>
    <w:rsid w:val="54880D96"/>
    <w:rsid w:val="54883868"/>
    <w:rsid w:val="54886F20"/>
    <w:rsid w:val="548A7FB0"/>
    <w:rsid w:val="548C8056"/>
    <w:rsid w:val="548D7666"/>
    <w:rsid w:val="549042AD"/>
    <w:rsid w:val="5491A714"/>
    <w:rsid w:val="5498428A"/>
    <w:rsid w:val="5499AF90"/>
    <w:rsid w:val="549B56E8"/>
    <w:rsid w:val="549C3945"/>
    <w:rsid w:val="549D91FA"/>
    <w:rsid w:val="549F95A9"/>
    <w:rsid w:val="549FD7D7"/>
    <w:rsid w:val="54A0C049"/>
    <w:rsid w:val="54A199B1"/>
    <w:rsid w:val="54A38F50"/>
    <w:rsid w:val="54A40A80"/>
    <w:rsid w:val="54A45F1F"/>
    <w:rsid w:val="54A59A17"/>
    <w:rsid w:val="54A7EFAF"/>
    <w:rsid w:val="54A93242"/>
    <w:rsid w:val="54AAE89D"/>
    <w:rsid w:val="54AD6DA4"/>
    <w:rsid w:val="54AD9E22"/>
    <w:rsid w:val="54ADDAEC"/>
    <w:rsid w:val="54AEC6DB"/>
    <w:rsid w:val="54AF0F39"/>
    <w:rsid w:val="54AF870C"/>
    <w:rsid w:val="54AFEB02"/>
    <w:rsid w:val="54B02F96"/>
    <w:rsid w:val="54B076C9"/>
    <w:rsid w:val="54B48BA6"/>
    <w:rsid w:val="54B5DC83"/>
    <w:rsid w:val="54B675C2"/>
    <w:rsid w:val="54B793D1"/>
    <w:rsid w:val="54B7A83C"/>
    <w:rsid w:val="54BAB3EF"/>
    <w:rsid w:val="54BF53C6"/>
    <w:rsid w:val="54BF93FD"/>
    <w:rsid w:val="54C11A09"/>
    <w:rsid w:val="54C17010"/>
    <w:rsid w:val="54C3D2A2"/>
    <w:rsid w:val="54C45FD0"/>
    <w:rsid w:val="54C4C5AA"/>
    <w:rsid w:val="54C6E09F"/>
    <w:rsid w:val="54C73F9E"/>
    <w:rsid w:val="54CB098D"/>
    <w:rsid w:val="54CBD3E0"/>
    <w:rsid w:val="54CCAFC3"/>
    <w:rsid w:val="54CD290F"/>
    <w:rsid w:val="54CDE3ED"/>
    <w:rsid w:val="54CE5C76"/>
    <w:rsid w:val="54D0F0FA"/>
    <w:rsid w:val="54D3049D"/>
    <w:rsid w:val="54D356BA"/>
    <w:rsid w:val="54D37F29"/>
    <w:rsid w:val="54D41D1A"/>
    <w:rsid w:val="54D5B27B"/>
    <w:rsid w:val="54D7A208"/>
    <w:rsid w:val="54D7E430"/>
    <w:rsid w:val="54DB1EA2"/>
    <w:rsid w:val="54DB54C5"/>
    <w:rsid w:val="54DC0B0B"/>
    <w:rsid w:val="54DC6D4B"/>
    <w:rsid w:val="54DE6084"/>
    <w:rsid w:val="54DFEE87"/>
    <w:rsid w:val="54E00CDD"/>
    <w:rsid w:val="54E1E63E"/>
    <w:rsid w:val="54E3AD8F"/>
    <w:rsid w:val="54E426AF"/>
    <w:rsid w:val="54E5BA46"/>
    <w:rsid w:val="54E64171"/>
    <w:rsid w:val="54E7AD8C"/>
    <w:rsid w:val="54E88F3B"/>
    <w:rsid w:val="54E95B8C"/>
    <w:rsid w:val="54E96665"/>
    <w:rsid w:val="54E9C13C"/>
    <w:rsid w:val="54EA214D"/>
    <w:rsid w:val="54EA48A3"/>
    <w:rsid w:val="54EA76F1"/>
    <w:rsid w:val="54EE5557"/>
    <w:rsid w:val="54EE876A"/>
    <w:rsid w:val="54EFE518"/>
    <w:rsid w:val="54EFF0A1"/>
    <w:rsid w:val="54EFF90C"/>
    <w:rsid w:val="54F0F2F8"/>
    <w:rsid w:val="54F128D7"/>
    <w:rsid w:val="54F413B7"/>
    <w:rsid w:val="54F46C29"/>
    <w:rsid w:val="54F6FC0C"/>
    <w:rsid w:val="54F7C07D"/>
    <w:rsid w:val="54F9421D"/>
    <w:rsid w:val="54FBF74B"/>
    <w:rsid w:val="54FF9D22"/>
    <w:rsid w:val="54FFF237"/>
    <w:rsid w:val="54FFFECC"/>
    <w:rsid w:val="55002192"/>
    <w:rsid w:val="55095218"/>
    <w:rsid w:val="550A53E9"/>
    <w:rsid w:val="550B6493"/>
    <w:rsid w:val="550CA111"/>
    <w:rsid w:val="550E5B17"/>
    <w:rsid w:val="55112C84"/>
    <w:rsid w:val="5515D11E"/>
    <w:rsid w:val="55176F48"/>
    <w:rsid w:val="55188DDA"/>
    <w:rsid w:val="55193B6A"/>
    <w:rsid w:val="551B2731"/>
    <w:rsid w:val="551B406B"/>
    <w:rsid w:val="551D7C7F"/>
    <w:rsid w:val="551E8689"/>
    <w:rsid w:val="55211170"/>
    <w:rsid w:val="5523E890"/>
    <w:rsid w:val="5524982E"/>
    <w:rsid w:val="552E2C36"/>
    <w:rsid w:val="552EBB3F"/>
    <w:rsid w:val="552F3337"/>
    <w:rsid w:val="552FE9AE"/>
    <w:rsid w:val="55333B07"/>
    <w:rsid w:val="55336563"/>
    <w:rsid w:val="55359D6D"/>
    <w:rsid w:val="5537FECB"/>
    <w:rsid w:val="553857D6"/>
    <w:rsid w:val="5538EB24"/>
    <w:rsid w:val="5538F753"/>
    <w:rsid w:val="553C7E0B"/>
    <w:rsid w:val="553E7E0E"/>
    <w:rsid w:val="553EC599"/>
    <w:rsid w:val="553F8DE3"/>
    <w:rsid w:val="553FC4B7"/>
    <w:rsid w:val="5543773C"/>
    <w:rsid w:val="5543AB71"/>
    <w:rsid w:val="55440F2F"/>
    <w:rsid w:val="5545B2C1"/>
    <w:rsid w:val="5545B3B7"/>
    <w:rsid w:val="5547656D"/>
    <w:rsid w:val="5548A8F0"/>
    <w:rsid w:val="5548FC7C"/>
    <w:rsid w:val="5549C3A7"/>
    <w:rsid w:val="554A2022"/>
    <w:rsid w:val="554B635A"/>
    <w:rsid w:val="554D68EC"/>
    <w:rsid w:val="554DFD14"/>
    <w:rsid w:val="55500DB2"/>
    <w:rsid w:val="55528B85"/>
    <w:rsid w:val="55534DE7"/>
    <w:rsid w:val="5553BEAC"/>
    <w:rsid w:val="555448AF"/>
    <w:rsid w:val="55548ECF"/>
    <w:rsid w:val="5556D80C"/>
    <w:rsid w:val="5557628D"/>
    <w:rsid w:val="5557F125"/>
    <w:rsid w:val="5559FDE7"/>
    <w:rsid w:val="555ACC30"/>
    <w:rsid w:val="555BEFE4"/>
    <w:rsid w:val="555C6DC2"/>
    <w:rsid w:val="555E6D8C"/>
    <w:rsid w:val="555F295D"/>
    <w:rsid w:val="555F49E3"/>
    <w:rsid w:val="55609A33"/>
    <w:rsid w:val="5560BAC5"/>
    <w:rsid w:val="5560C310"/>
    <w:rsid w:val="5561914E"/>
    <w:rsid w:val="55625BE9"/>
    <w:rsid w:val="55633939"/>
    <w:rsid w:val="55638956"/>
    <w:rsid w:val="55643317"/>
    <w:rsid w:val="5564C7E7"/>
    <w:rsid w:val="5565CECF"/>
    <w:rsid w:val="55662D42"/>
    <w:rsid w:val="5566527B"/>
    <w:rsid w:val="55674445"/>
    <w:rsid w:val="556B587B"/>
    <w:rsid w:val="556C611A"/>
    <w:rsid w:val="556C8431"/>
    <w:rsid w:val="556E4A65"/>
    <w:rsid w:val="556FBD5A"/>
    <w:rsid w:val="55701C9C"/>
    <w:rsid w:val="557035E9"/>
    <w:rsid w:val="55708717"/>
    <w:rsid w:val="55718AC0"/>
    <w:rsid w:val="5572C97A"/>
    <w:rsid w:val="5575EBFC"/>
    <w:rsid w:val="557846DF"/>
    <w:rsid w:val="55786F2C"/>
    <w:rsid w:val="557A83C1"/>
    <w:rsid w:val="557B0E24"/>
    <w:rsid w:val="557B1998"/>
    <w:rsid w:val="557C5DFF"/>
    <w:rsid w:val="557CC3A0"/>
    <w:rsid w:val="557D2503"/>
    <w:rsid w:val="557D2E9C"/>
    <w:rsid w:val="557E7422"/>
    <w:rsid w:val="557EDE37"/>
    <w:rsid w:val="558423D6"/>
    <w:rsid w:val="55851275"/>
    <w:rsid w:val="55860CB0"/>
    <w:rsid w:val="55862393"/>
    <w:rsid w:val="55877470"/>
    <w:rsid w:val="5589B3B3"/>
    <w:rsid w:val="558AA59F"/>
    <w:rsid w:val="558C7F86"/>
    <w:rsid w:val="558DBC7D"/>
    <w:rsid w:val="558DC0A6"/>
    <w:rsid w:val="55920305"/>
    <w:rsid w:val="55921C58"/>
    <w:rsid w:val="55925CE4"/>
    <w:rsid w:val="5597A0DF"/>
    <w:rsid w:val="5597BCED"/>
    <w:rsid w:val="5597D417"/>
    <w:rsid w:val="55991BC1"/>
    <w:rsid w:val="559C3104"/>
    <w:rsid w:val="559DDC80"/>
    <w:rsid w:val="55A06F33"/>
    <w:rsid w:val="55A1E336"/>
    <w:rsid w:val="55A2033D"/>
    <w:rsid w:val="55A4BE53"/>
    <w:rsid w:val="55A7092E"/>
    <w:rsid w:val="55A7684F"/>
    <w:rsid w:val="55A7B4EA"/>
    <w:rsid w:val="55AE3F52"/>
    <w:rsid w:val="55B31C2D"/>
    <w:rsid w:val="55B3289A"/>
    <w:rsid w:val="55B3D42B"/>
    <w:rsid w:val="55B4DB22"/>
    <w:rsid w:val="55B53786"/>
    <w:rsid w:val="55B62787"/>
    <w:rsid w:val="55B737ED"/>
    <w:rsid w:val="55B92270"/>
    <w:rsid w:val="55BAAF57"/>
    <w:rsid w:val="55BBE9DE"/>
    <w:rsid w:val="55BCD89A"/>
    <w:rsid w:val="55BD5A0A"/>
    <w:rsid w:val="55BF1D6F"/>
    <w:rsid w:val="55C0B0AA"/>
    <w:rsid w:val="55C3D960"/>
    <w:rsid w:val="55C3F388"/>
    <w:rsid w:val="55C4B54F"/>
    <w:rsid w:val="55C60FF5"/>
    <w:rsid w:val="55C672E4"/>
    <w:rsid w:val="55CC7D54"/>
    <w:rsid w:val="55CD5548"/>
    <w:rsid w:val="55CE5D4E"/>
    <w:rsid w:val="55CFD7E2"/>
    <w:rsid w:val="55D0D43D"/>
    <w:rsid w:val="55D15FC4"/>
    <w:rsid w:val="55D1602E"/>
    <w:rsid w:val="55D2939D"/>
    <w:rsid w:val="55D5CF60"/>
    <w:rsid w:val="55D69A30"/>
    <w:rsid w:val="55D8FF53"/>
    <w:rsid w:val="55DC5658"/>
    <w:rsid w:val="55DD4F37"/>
    <w:rsid w:val="55DFD73D"/>
    <w:rsid w:val="55E08063"/>
    <w:rsid w:val="55E22D90"/>
    <w:rsid w:val="55E44185"/>
    <w:rsid w:val="55E51774"/>
    <w:rsid w:val="55E6B5AD"/>
    <w:rsid w:val="55E6D15C"/>
    <w:rsid w:val="55E7849F"/>
    <w:rsid w:val="55E7D350"/>
    <w:rsid w:val="55E7F9BF"/>
    <w:rsid w:val="55E81CC7"/>
    <w:rsid w:val="55E81D24"/>
    <w:rsid w:val="55EB9C5F"/>
    <w:rsid w:val="55EC3DD4"/>
    <w:rsid w:val="55EC5032"/>
    <w:rsid w:val="55EC6931"/>
    <w:rsid w:val="55ECAD60"/>
    <w:rsid w:val="55ECC06E"/>
    <w:rsid w:val="55ECF17A"/>
    <w:rsid w:val="55EDE2FF"/>
    <w:rsid w:val="55F2CFA1"/>
    <w:rsid w:val="55F31CA2"/>
    <w:rsid w:val="55F509A9"/>
    <w:rsid w:val="55F7BCDC"/>
    <w:rsid w:val="55F89311"/>
    <w:rsid w:val="55F980F7"/>
    <w:rsid w:val="55FB624A"/>
    <w:rsid w:val="55FB7627"/>
    <w:rsid w:val="55FB8AE5"/>
    <w:rsid w:val="55FB90FC"/>
    <w:rsid w:val="55FBB5C7"/>
    <w:rsid w:val="55FCD67A"/>
    <w:rsid w:val="55FCE32E"/>
    <w:rsid w:val="55FD1DA0"/>
    <w:rsid w:val="55FF411A"/>
    <w:rsid w:val="56005AD3"/>
    <w:rsid w:val="5600C5D4"/>
    <w:rsid w:val="560179ED"/>
    <w:rsid w:val="56062BA2"/>
    <w:rsid w:val="5606C8F4"/>
    <w:rsid w:val="560A8596"/>
    <w:rsid w:val="560AB1A3"/>
    <w:rsid w:val="560B21B3"/>
    <w:rsid w:val="560B4300"/>
    <w:rsid w:val="560B9ADB"/>
    <w:rsid w:val="560BF8D2"/>
    <w:rsid w:val="560BFC6D"/>
    <w:rsid w:val="560D0078"/>
    <w:rsid w:val="560DF2ED"/>
    <w:rsid w:val="560E03FD"/>
    <w:rsid w:val="560E1245"/>
    <w:rsid w:val="560F0DCA"/>
    <w:rsid w:val="56134D87"/>
    <w:rsid w:val="5615BC09"/>
    <w:rsid w:val="5616A457"/>
    <w:rsid w:val="5618FF3A"/>
    <w:rsid w:val="561B08E1"/>
    <w:rsid w:val="561B4F95"/>
    <w:rsid w:val="561BCF68"/>
    <w:rsid w:val="561FC2BA"/>
    <w:rsid w:val="561FF82C"/>
    <w:rsid w:val="5620BDD8"/>
    <w:rsid w:val="5621FF30"/>
    <w:rsid w:val="5622C010"/>
    <w:rsid w:val="56296584"/>
    <w:rsid w:val="5629D3C8"/>
    <w:rsid w:val="562CF60A"/>
    <w:rsid w:val="562E09B6"/>
    <w:rsid w:val="562ED201"/>
    <w:rsid w:val="562F1128"/>
    <w:rsid w:val="562F3D03"/>
    <w:rsid w:val="562F8AFC"/>
    <w:rsid w:val="5630CC94"/>
    <w:rsid w:val="5631654E"/>
    <w:rsid w:val="56328362"/>
    <w:rsid w:val="5637D86D"/>
    <w:rsid w:val="5638A9EF"/>
    <w:rsid w:val="5639A04B"/>
    <w:rsid w:val="5639D033"/>
    <w:rsid w:val="5639D837"/>
    <w:rsid w:val="563C78D6"/>
    <w:rsid w:val="563D3D51"/>
    <w:rsid w:val="563DBF19"/>
    <w:rsid w:val="5640E224"/>
    <w:rsid w:val="56421EFE"/>
    <w:rsid w:val="56423F19"/>
    <w:rsid w:val="56448043"/>
    <w:rsid w:val="5646DC94"/>
    <w:rsid w:val="564730AD"/>
    <w:rsid w:val="56481628"/>
    <w:rsid w:val="564AAAB7"/>
    <w:rsid w:val="564BD7E2"/>
    <w:rsid w:val="564BE2CE"/>
    <w:rsid w:val="564C2C32"/>
    <w:rsid w:val="564E0305"/>
    <w:rsid w:val="564E57B9"/>
    <w:rsid w:val="564F8040"/>
    <w:rsid w:val="564FCC00"/>
    <w:rsid w:val="5650EADE"/>
    <w:rsid w:val="56533761"/>
    <w:rsid w:val="56543CF8"/>
    <w:rsid w:val="565667DD"/>
    <w:rsid w:val="5658884F"/>
    <w:rsid w:val="5658B6AA"/>
    <w:rsid w:val="56596397"/>
    <w:rsid w:val="565A030F"/>
    <w:rsid w:val="565A62FE"/>
    <w:rsid w:val="565B74B9"/>
    <w:rsid w:val="565C6789"/>
    <w:rsid w:val="565D82DB"/>
    <w:rsid w:val="565FAB86"/>
    <w:rsid w:val="56602BC3"/>
    <w:rsid w:val="566089A1"/>
    <w:rsid w:val="5661F238"/>
    <w:rsid w:val="5666DEB3"/>
    <w:rsid w:val="5668A776"/>
    <w:rsid w:val="566920C4"/>
    <w:rsid w:val="566A48FC"/>
    <w:rsid w:val="566B08B2"/>
    <w:rsid w:val="56720E93"/>
    <w:rsid w:val="5673526E"/>
    <w:rsid w:val="5673F958"/>
    <w:rsid w:val="56750EE0"/>
    <w:rsid w:val="567584E1"/>
    <w:rsid w:val="56758EE5"/>
    <w:rsid w:val="56764218"/>
    <w:rsid w:val="56766263"/>
    <w:rsid w:val="56780E55"/>
    <w:rsid w:val="567842CB"/>
    <w:rsid w:val="56795931"/>
    <w:rsid w:val="567A3696"/>
    <w:rsid w:val="567B75EE"/>
    <w:rsid w:val="567C1EB1"/>
    <w:rsid w:val="567C9242"/>
    <w:rsid w:val="567D6D50"/>
    <w:rsid w:val="567E7905"/>
    <w:rsid w:val="567F230E"/>
    <w:rsid w:val="56837686"/>
    <w:rsid w:val="56882396"/>
    <w:rsid w:val="5689823F"/>
    <w:rsid w:val="568AA775"/>
    <w:rsid w:val="56915683"/>
    <w:rsid w:val="56919997"/>
    <w:rsid w:val="5693FCEB"/>
    <w:rsid w:val="56976ED8"/>
    <w:rsid w:val="56983FCE"/>
    <w:rsid w:val="5698FD33"/>
    <w:rsid w:val="5699ED58"/>
    <w:rsid w:val="569E7B33"/>
    <w:rsid w:val="56A02307"/>
    <w:rsid w:val="56A06860"/>
    <w:rsid w:val="56A13FCB"/>
    <w:rsid w:val="56A32DE8"/>
    <w:rsid w:val="56A3B52F"/>
    <w:rsid w:val="56A44399"/>
    <w:rsid w:val="56A4945C"/>
    <w:rsid w:val="56A8F9F9"/>
    <w:rsid w:val="56A9C2B0"/>
    <w:rsid w:val="56AA3DA2"/>
    <w:rsid w:val="56AC073E"/>
    <w:rsid w:val="56AD54CB"/>
    <w:rsid w:val="56AD7E79"/>
    <w:rsid w:val="56AE75AB"/>
    <w:rsid w:val="56B00AB0"/>
    <w:rsid w:val="56B0514D"/>
    <w:rsid w:val="56B3FD3C"/>
    <w:rsid w:val="56B5485B"/>
    <w:rsid w:val="56B7A126"/>
    <w:rsid w:val="56B8B710"/>
    <w:rsid w:val="56B8D1F0"/>
    <w:rsid w:val="56BBE15B"/>
    <w:rsid w:val="56BC235A"/>
    <w:rsid w:val="56BC664F"/>
    <w:rsid w:val="56BC74FE"/>
    <w:rsid w:val="56BFD509"/>
    <w:rsid w:val="56C144E5"/>
    <w:rsid w:val="56C283A8"/>
    <w:rsid w:val="56C32BED"/>
    <w:rsid w:val="56C37662"/>
    <w:rsid w:val="56C43AA6"/>
    <w:rsid w:val="56C4C409"/>
    <w:rsid w:val="56C6535F"/>
    <w:rsid w:val="56C6C9E7"/>
    <w:rsid w:val="56C9FDFB"/>
    <w:rsid w:val="56CA5029"/>
    <w:rsid w:val="56CB2BA5"/>
    <w:rsid w:val="56CBE3F2"/>
    <w:rsid w:val="56CD0B57"/>
    <w:rsid w:val="56D03EDE"/>
    <w:rsid w:val="56D09771"/>
    <w:rsid w:val="56D2710C"/>
    <w:rsid w:val="56D6938E"/>
    <w:rsid w:val="56D734A2"/>
    <w:rsid w:val="56D835DA"/>
    <w:rsid w:val="56DB016E"/>
    <w:rsid w:val="56DB71F4"/>
    <w:rsid w:val="56DCF06F"/>
    <w:rsid w:val="56DFF0A5"/>
    <w:rsid w:val="56E17526"/>
    <w:rsid w:val="56E18C3C"/>
    <w:rsid w:val="56E1B169"/>
    <w:rsid w:val="56E23DF0"/>
    <w:rsid w:val="56E33923"/>
    <w:rsid w:val="56E3A788"/>
    <w:rsid w:val="56E45821"/>
    <w:rsid w:val="56E55280"/>
    <w:rsid w:val="56E61D3C"/>
    <w:rsid w:val="56E65E3D"/>
    <w:rsid w:val="56E6EFC4"/>
    <w:rsid w:val="56E79E08"/>
    <w:rsid w:val="56E7A01B"/>
    <w:rsid w:val="56E9476F"/>
    <w:rsid w:val="56EBA3E7"/>
    <w:rsid w:val="56ECF027"/>
    <w:rsid w:val="56ED1CB5"/>
    <w:rsid w:val="56EDFE10"/>
    <w:rsid w:val="56EE5CAC"/>
    <w:rsid w:val="56EEA6AC"/>
    <w:rsid w:val="56EEE9C6"/>
    <w:rsid w:val="56F04294"/>
    <w:rsid w:val="56F4D300"/>
    <w:rsid w:val="56F80C81"/>
    <w:rsid w:val="56FA1850"/>
    <w:rsid w:val="56FBF00C"/>
    <w:rsid w:val="56FC2907"/>
    <w:rsid w:val="56FDA804"/>
    <w:rsid w:val="57042EE3"/>
    <w:rsid w:val="570469F2"/>
    <w:rsid w:val="57084E9D"/>
    <w:rsid w:val="5708F0EA"/>
    <w:rsid w:val="57092054"/>
    <w:rsid w:val="5709C1CA"/>
    <w:rsid w:val="570A2F02"/>
    <w:rsid w:val="570A61EF"/>
    <w:rsid w:val="570A96AB"/>
    <w:rsid w:val="570CE38B"/>
    <w:rsid w:val="570E497E"/>
    <w:rsid w:val="570F2C08"/>
    <w:rsid w:val="57106D9F"/>
    <w:rsid w:val="5710AC29"/>
    <w:rsid w:val="57111D4A"/>
    <w:rsid w:val="57127680"/>
    <w:rsid w:val="571413A2"/>
    <w:rsid w:val="571EB87E"/>
    <w:rsid w:val="571F2F26"/>
    <w:rsid w:val="57202664"/>
    <w:rsid w:val="57229F2D"/>
    <w:rsid w:val="57249595"/>
    <w:rsid w:val="5727858C"/>
    <w:rsid w:val="57287D73"/>
    <w:rsid w:val="5729AE82"/>
    <w:rsid w:val="572A5471"/>
    <w:rsid w:val="572D4BD0"/>
    <w:rsid w:val="572E3F48"/>
    <w:rsid w:val="572F189A"/>
    <w:rsid w:val="573005F2"/>
    <w:rsid w:val="5730AC95"/>
    <w:rsid w:val="57310085"/>
    <w:rsid w:val="57325742"/>
    <w:rsid w:val="5736C5D4"/>
    <w:rsid w:val="573BB374"/>
    <w:rsid w:val="573C150A"/>
    <w:rsid w:val="57403DAF"/>
    <w:rsid w:val="5743C9ED"/>
    <w:rsid w:val="574447AB"/>
    <w:rsid w:val="5744DEF6"/>
    <w:rsid w:val="574519D3"/>
    <w:rsid w:val="57461EDE"/>
    <w:rsid w:val="57475D51"/>
    <w:rsid w:val="5748610F"/>
    <w:rsid w:val="574A03C4"/>
    <w:rsid w:val="574A23F8"/>
    <w:rsid w:val="574A3A2F"/>
    <w:rsid w:val="574D6EE5"/>
    <w:rsid w:val="574E943F"/>
    <w:rsid w:val="5750856A"/>
    <w:rsid w:val="57510AE5"/>
    <w:rsid w:val="5754DEDC"/>
    <w:rsid w:val="5754E8DA"/>
    <w:rsid w:val="57578FCA"/>
    <w:rsid w:val="575E5126"/>
    <w:rsid w:val="575F0F1B"/>
    <w:rsid w:val="575F67A5"/>
    <w:rsid w:val="57611725"/>
    <w:rsid w:val="576136A7"/>
    <w:rsid w:val="5762DE07"/>
    <w:rsid w:val="57645C7E"/>
    <w:rsid w:val="5765F734"/>
    <w:rsid w:val="5769BFD1"/>
    <w:rsid w:val="5769D2D2"/>
    <w:rsid w:val="576BDE37"/>
    <w:rsid w:val="576DFCB4"/>
    <w:rsid w:val="576E6274"/>
    <w:rsid w:val="576F9F4B"/>
    <w:rsid w:val="576FD39E"/>
    <w:rsid w:val="577089DF"/>
    <w:rsid w:val="5771A282"/>
    <w:rsid w:val="5771B2BD"/>
    <w:rsid w:val="5772442F"/>
    <w:rsid w:val="577466C7"/>
    <w:rsid w:val="5775B123"/>
    <w:rsid w:val="57773185"/>
    <w:rsid w:val="57791A60"/>
    <w:rsid w:val="577BB9A8"/>
    <w:rsid w:val="577CC327"/>
    <w:rsid w:val="577D80ED"/>
    <w:rsid w:val="577E058E"/>
    <w:rsid w:val="577EF3E8"/>
    <w:rsid w:val="577F1A67"/>
    <w:rsid w:val="57819656"/>
    <w:rsid w:val="5781A517"/>
    <w:rsid w:val="57822D8C"/>
    <w:rsid w:val="57828F9D"/>
    <w:rsid w:val="578292E9"/>
    <w:rsid w:val="578594FC"/>
    <w:rsid w:val="5785C460"/>
    <w:rsid w:val="578690AE"/>
    <w:rsid w:val="5787C5DA"/>
    <w:rsid w:val="5788E4C2"/>
    <w:rsid w:val="578AC78A"/>
    <w:rsid w:val="578CFD43"/>
    <w:rsid w:val="578D5044"/>
    <w:rsid w:val="578DDE6B"/>
    <w:rsid w:val="578EDA5D"/>
    <w:rsid w:val="578F8D34"/>
    <w:rsid w:val="579075B0"/>
    <w:rsid w:val="5790884F"/>
    <w:rsid w:val="5791CD07"/>
    <w:rsid w:val="57932D9B"/>
    <w:rsid w:val="5795FCE0"/>
    <w:rsid w:val="57968FA2"/>
    <w:rsid w:val="5797BE17"/>
    <w:rsid w:val="5798BDAA"/>
    <w:rsid w:val="579BB9F1"/>
    <w:rsid w:val="579BF103"/>
    <w:rsid w:val="579BF835"/>
    <w:rsid w:val="579DE9E0"/>
    <w:rsid w:val="579E0CF6"/>
    <w:rsid w:val="579E5ECD"/>
    <w:rsid w:val="57A014D6"/>
    <w:rsid w:val="57A0C2CC"/>
    <w:rsid w:val="57A1B737"/>
    <w:rsid w:val="57A38244"/>
    <w:rsid w:val="57A38C52"/>
    <w:rsid w:val="57A3AE3D"/>
    <w:rsid w:val="57A4A5EA"/>
    <w:rsid w:val="57A5C605"/>
    <w:rsid w:val="57A5F2AA"/>
    <w:rsid w:val="57A6B44C"/>
    <w:rsid w:val="57AC8E0F"/>
    <w:rsid w:val="57ACABA7"/>
    <w:rsid w:val="57ACCB8A"/>
    <w:rsid w:val="57AD41B4"/>
    <w:rsid w:val="57AE82F2"/>
    <w:rsid w:val="57AF3CBE"/>
    <w:rsid w:val="57B07A75"/>
    <w:rsid w:val="57B0A722"/>
    <w:rsid w:val="57B1A195"/>
    <w:rsid w:val="57B28E7B"/>
    <w:rsid w:val="57B59D48"/>
    <w:rsid w:val="57B61982"/>
    <w:rsid w:val="57B70319"/>
    <w:rsid w:val="57B778FB"/>
    <w:rsid w:val="57B82B60"/>
    <w:rsid w:val="57B890AC"/>
    <w:rsid w:val="57B99FA4"/>
    <w:rsid w:val="57BA1045"/>
    <w:rsid w:val="57BA6D02"/>
    <w:rsid w:val="57BAC056"/>
    <w:rsid w:val="57BC551C"/>
    <w:rsid w:val="57BFD54F"/>
    <w:rsid w:val="57BFDB4E"/>
    <w:rsid w:val="57C15A31"/>
    <w:rsid w:val="57C3FB29"/>
    <w:rsid w:val="57C619CF"/>
    <w:rsid w:val="57CA3E23"/>
    <w:rsid w:val="57CB93CA"/>
    <w:rsid w:val="57CC3B0B"/>
    <w:rsid w:val="57CCDE3F"/>
    <w:rsid w:val="57CEAA98"/>
    <w:rsid w:val="57CF1761"/>
    <w:rsid w:val="57CFFFB1"/>
    <w:rsid w:val="57D1A9CA"/>
    <w:rsid w:val="57D40EE1"/>
    <w:rsid w:val="57D4FAC5"/>
    <w:rsid w:val="57D607CE"/>
    <w:rsid w:val="57D75AA8"/>
    <w:rsid w:val="57D83336"/>
    <w:rsid w:val="57D871F1"/>
    <w:rsid w:val="57DA0561"/>
    <w:rsid w:val="57DA5595"/>
    <w:rsid w:val="57DB5D8B"/>
    <w:rsid w:val="57DB6A62"/>
    <w:rsid w:val="57E13999"/>
    <w:rsid w:val="57E1404C"/>
    <w:rsid w:val="57E14D14"/>
    <w:rsid w:val="57E947A7"/>
    <w:rsid w:val="57EA2B91"/>
    <w:rsid w:val="57EC27A5"/>
    <w:rsid w:val="57EC2A46"/>
    <w:rsid w:val="57ED06F4"/>
    <w:rsid w:val="57EE3199"/>
    <w:rsid w:val="57EF259A"/>
    <w:rsid w:val="57EFE449"/>
    <w:rsid w:val="57F02ED2"/>
    <w:rsid w:val="57F0AC5E"/>
    <w:rsid w:val="57F18B89"/>
    <w:rsid w:val="57F22C0E"/>
    <w:rsid w:val="57F25884"/>
    <w:rsid w:val="57F28AEC"/>
    <w:rsid w:val="57F4C256"/>
    <w:rsid w:val="57F6F590"/>
    <w:rsid w:val="57F85C77"/>
    <w:rsid w:val="57F9E720"/>
    <w:rsid w:val="57FADCAD"/>
    <w:rsid w:val="57FC3ACB"/>
    <w:rsid w:val="57FD69D9"/>
    <w:rsid w:val="57FFFA4F"/>
    <w:rsid w:val="58015ECE"/>
    <w:rsid w:val="5801E120"/>
    <w:rsid w:val="5804661D"/>
    <w:rsid w:val="5805C878"/>
    <w:rsid w:val="580A9AF7"/>
    <w:rsid w:val="580B1A6E"/>
    <w:rsid w:val="580B4EE8"/>
    <w:rsid w:val="580B96BB"/>
    <w:rsid w:val="580C69F1"/>
    <w:rsid w:val="580D6B0D"/>
    <w:rsid w:val="580D71A1"/>
    <w:rsid w:val="580E5B53"/>
    <w:rsid w:val="580EF8C0"/>
    <w:rsid w:val="580F6783"/>
    <w:rsid w:val="5810F344"/>
    <w:rsid w:val="5811117D"/>
    <w:rsid w:val="5813C9FA"/>
    <w:rsid w:val="5814480B"/>
    <w:rsid w:val="5814EABF"/>
    <w:rsid w:val="5817B823"/>
    <w:rsid w:val="5817F1AD"/>
    <w:rsid w:val="581A0AA8"/>
    <w:rsid w:val="581B101F"/>
    <w:rsid w:val="581B6497"/>
    <w:rsid w:val="581CC5AB"/>
    <w:rsid w:val="581D4FD1"/>
    <w:rsid w:val="581DB5A2"/>
    <w:rsid w:val="581E658D"/>
    <w:rsid w:val="581F7DA6"/>
    <w:rsid w:val="5820EE67"/>
    <w:rsid w:val="58218F9C"/>
    <w:rsid w:val="58222CC0"/>
    <w:rsid w:val="58240508"/>
    <w:rsid w:val="5825F263"/>
    <w:rsid w:val="5826CDE9"/>
    <w:rsid w:val="5827EA61"/>
    <w:rsid w:val="582D5327"/>
    <w:rsid w:val="582DCC40"/>
    <w:rsid w:val="5832AC52"/>
    <w:rsid w:val="58387A2B"/>
    <w:rsid w:val="5839539D"/>
    <w:rsid w:val="583971F7"/>
    <w:rsid w:val="583A16C4"/>
    <w:rsid w:val="583C35CB"/>
    <w:rsid w:val="583D599F"/>
    <w:rsid w:val="583DB48E"/>
    <w:rsid w:val="58424621"/>
    <w:rsid w:val="5843A6E5"/>
    <w:rsid w:val="5844C2AC"/>
    <w:rsid w:val="5845EABB"/>
    <w:rsid w:val="58461930"/>
    <w:rsid w:val="5846676F"/>
    <w:rsid w:val="584A1158"/>
    <w:rsid w:val="584AB412"/>
    <w:rsid w:val="584ACA03"/>
    <w:rsid w:val="584ACC2B"/>
    <w:rsid w:val="584B7051"/>
    <w:rsid w:val="584CD291"/>
    <w:rsid w:val="584ED233"/>
    <w:rsid w:val="5850F7D6"/>
    <w:rsid w:val="58516B3A"/>
    <w:rsid w:val="5853913E"/>
    <w:rsid w:val="5853E221"/>
    <w:rsid w:val="5854D615"/>
    <w:rsid w:val="58578FBD"/>
    <w:rsid w:val="585AA236"/>
    <w:rsid w:val="585BFF92"/>
    <w:rsid w:val="585D1C8A"/>
    <w:rsid w:val="585F59D7"/>
    <w:rsid w:val="585F5EBA"/>
    <w:rsid w:val="5860686F"/>
    <w:rsid w:val="5860EBDC"/>
    <w:rsid w:val="58623CF7"/>
    <w:rsid w:val="586324D6"/>
    <w:rsid w:val="586368F6"/>
    <w:rsid w:val="586507DF"/>
    <w:rsid w:val="5866B7D9"/>
    <w:rsid w:val="586785C6"/>
    <w:rsid w:val="5868A46B"/>
    <w:rsid w:val="586C8229"/>
    <w:rsid w:val="586D5FA9"/>
    <w:rsid w:val="5870A99E"/>
    <w:rsid w:val="58738E39"/>
    <w:rsid w:val="587704BE"/>
    <w:rsid w:val="58779C4E"/>
    <w:rsid w:val="58786708"/>
    <w:rsid w:val="587BCA49"/>
    <w:rsid w:val="587C52BB"/>
    <w:rsid w:val="587CBB4D"/>
    <w:rsid w:val="587EA782"/>
    <w:rsid w:val="587F0D6A"/>
    <w:rsid w:val="587F6637"/>
    <w:rsid w:val="587FD1F0"/>
    <w:rsid w:val="58871745"/>
    <w:rsid w:val="58882C54"/>
    <w:rsid w:val="588A7792"/>
    <w:rsid w:val="588A8094"/>
    <w:rsid w:val="588C18EC"/>
    <w:rsid w:val="588E22D1"/>
    <w:rsid w:val="588F2447"/>
    <w:rsid w:val="58905A1E"/>
    <w:rsid w:val="5893621E"/>
    <w:rsid w:val="58939B4B"/>
    <w:rsid w:val="5893CFBE"/>
    <w:rsid w:val="5894D123"/>
    <w:rsid w:val="5896EE3B"/>
    <w:rsid w:val="589B48D7"/>
    <w:rsid w:val="589B8C19"/>
    <w:rsid w:val="589BCB0C"/>
    <w:rsid w:val="589E75EF"/>
    <w:rsid w:val="589EE659"/>
    <w:rsid w:val="589F03F2"/>
    <w:rsid w:val="589FC3B3"/>
    <w:rsid w:val="589FC91B"/>
    <w:rsid w:val="589FE53C"/>
    <w:rsid w:val="58A35BA3"/>
    <w:rsid w:val="58A38472"/>
    <w:rsid w:val="58A3D30F"/>
    <w:rsid w:val="58A49110"/>
    <w:rsid w:val="58A5A32B"/>
    <w:rsid w:val="58AA8697"/>
    <w:rsid w:val="58AF61F1"/>
    <w:rsid w:val="58AF9161"/>
    <w:rsid w:val="58B181F2"/>
    <w:rsid w:val="58B63E09"/>
    <w:rsid w:val="58B69887"/>
    <w:rsid w:val="58B6C294"/>
    <w:rsid w:val="58B763B9"/>
    <w:rsid w:val="58B79F6F"/>
    <w:rsid w:val="58B883BD"/>
    <w:rsid w:val="58B8FA86"/>
    <w:rsid w:val="58B9498B"/>
    <w:rsid w:val="58BA3451"/>
    <w:rsid w:val="58BAEA4F"/>
    <w:rsid w:val="58BE0E88"/>
    <w:rsid w:val="58BE46CB"/>
    <w:rsid w:val="58BE5DAD"/>
    <w:rsid w:val="58C0A043"/>
    <w:rsid w:val="58C5AA69"/>
    <w:rsid w:val="58C6DB82"/>
    <w:rsid w:val="58CA89C6"/>
    <w:rsid w:val="58CAF9F3"/>
    <w:rsid w:val="58CBE40D"/>
    <w:rsid w:val="58CCD896"/>
    <w:rsid w:val="58CD97F2"/>
    <w:rsid w:val="58CFC5E5"/>
    <w:rsid w:val="58D47624"/>
    <w:rsid w:val="58D57D7F"/>
    <w:rsid w:val="58D604AA"/>
    <w:rsid w:val="58D6A607"/>
    <w:rsid w:val="58D6AE52"/>
    <w:rsid w:val="58D7075E"/>
    <w:rsid w:val="58D814DB"/>
    <w:rsid w:val="58DA46A5"/>
    <w:rsid w:val="58DA66AF"/>
    <w:rsid w:val="58DB2308"/>
    <w:rsid w:val="58DB5B63"/>
    <w:rsid w:val="58DC0C7B"/>
    <w:rsid w:val="58DD7FD9"/>
    <w:rsid w:val="58DDB13E"/>
    <w:rsid w:val="58DFD55C"/>
    <w:rsid w:val="58E052D6"/>
    <w:rsid w:val="58E10AB2"/>
    <w:rsid w:val="58E2997C"/>
    <w:rsid w:val="58E635E3"/>
    <w:rsid w:val="58E6A66E"/>
    <w:rsid w:val="58E909EB"/>
    <w:rsid w:val="58E9F4B1"/>
    <w:rsid w:val="58EA5E75"/>
    <w:rsid w:val="58EC6F63"/>
    <w:rsid w:val="58ED1734"/>
    <w:rsid w:val="58ED5698"/>
    <w:rsid w:val="58EDC849"/>
    <w:rsid w:val="58EF37AC"/>
    <w:rsid w:val="58F079EE"/>
    <w:rsid w:val="58F46A92"/>
    <w:rsid w:val="58F4EB11"/>
    <w:rsid w:val="58F64F1F"/>
    <w:rsid w:val="58F9F6C1"/>
    <w:rsid w:val="58FAA999"/>
    <w:rsid w:val="58FB929E"/>
    <w:rsid w:val="58FC21AD"/>
    <w:rsid w:val="58FCE037"/>
    <w:rsid w:val="58FDD748"/>
    <w:rsid w:val="58FFA6F8"/>
    <w:rsid w:val="5902629B"/>
    <w:rsid w:val="5902BEE0"/>
    <w:rsid w:val="5902D893"/>
    <w:rsid w:val="590626FC"/>
    <w:rsid w:val="5907A653"/>
    <w:rsid w:val="59092807"/>
    <w:rsid w:val="590A8D00"/>
    <w:rsid w:val="590CA93D"/>
    <w:rsid w:val="590FFFB3"/>
    <w:rsid w:val="59111243"/>
    <w:rsid w:val="591150BB"/>
    <w:rsid w:val="5911B478"/>
    <w:rsid w:val="59122DD0"/>
    <w:rsid w:val="59156E09"/>
    <w:rsid w:val="5915F748"/>
    <w:rsid w:val="59163028"/>
    <w:rsid w:val="59171D42"/>
    <w:rsid w:val="5919137B"/>
    <w:rsid w:val="59194D77"/>
    <w:rsid w:val="591BA669"/>
    <w:rsid w:val="591C1E75"/>
    <w:rsid w:val="591CFB5E"/>
    <w:rsid w:val="591DEDD8"/>
    <w:rsid w:val="591E53A4"/>
    <w:rsid w:val="591EA83D"/>
    <w:rsid w:val="591EB1E0"/>
    <w:rsid w:val="591F9040"/>
    <w:rsid w:val="591FD022"/>
    <w:rsid w:val="5920B2A7"/>
    <w:rsid w:val="5924C32B"/>
    <w:rsid w:val="5924E709"/>
    <w:rsid w:val="59253A8D"/>
    <w:rsid w:val="5927BAC1"/>
    <w:rsid w:val="592814A1"/>
    <w:rsid w:val="59296EDB"/>
    <w:rsid w:val="5929CE65"/>
    <w:rsid w:val="592A9C3D"/>
    <w:rsid w:val="592D0C29"/>
    <w:rsid w:val="592F6F24"/>
    <w:rsid w:val="59318F37"/>
    <w:rsid w:val="59348E91"/>
    <w:rsid w:val="59361AC0"/>
    <w:rsid w:val="59371207"/>
    <w:rsid w:val="59373427"/>
    <w:rsid w:val="5937AC5A"/>
    <w:rsid w:val="5938B0E5"/>
    <w:rsid w:val="593C94CA"/>
    <w:rsid w:val="593CC3A1"/>
    <w:rsid w:val="593E2375"/>
    <w:rsid w:val="594007AA"/>
    <w:rsid w:val="5942CA68"/>
    <w:rsid w:val="5949F2AD"/>
    <w:rsid w:val="594BB05E"/>
    <w:rsid w:val="594D73A2"/>
    <w:rsid w:val="594DE539"/>
    <w:rsid w:val="594F73DC"/>
    <w:rsid w:val="59502BBA"/>
    <w:rsid w:val="5950C43D"/>
    <w:rsid w:val="595167B2"/>
    <w:rsid w:val="5956461C"/>
    <w:rsid w:val="59581D78"/>
    <w:rsid w:val="595D43D3"/>
    <w:rsid w:val="595DBF23"/>
    <w:rsid w:val="595EE9CE"/>
    <w:rsid w:val="595F9721"/>
    <w:rsid w:val="59625BE7"/>
    <w:rsid w:val="5964B67C"/>
    <w:rsid w:val="5965CEA5"/>
    <w:rsid w:val="59665DF7"/>
    <w:rsid w:val="5966DD99"/>
    <w:rsid w:val="59678111"/>
    <w:rsid w:val="5968292F"/>
    <w:rsid w:val="59690C14"/>
    <w:rsid w:val="5969353E"/>
    <w:rsid w:val="596AA921"/>
    <w:rsid w:val="596C04EA"/>
    <w:rsid w:val="596F4B2E"/>
    <w:rsid w:val="5971D82F"/>
    <w:rsid w:val="59726A67"/>
    <w:rsid w:val="5972C207"/>
    <w:rsid w:val="59755833"/>
    <w:rsid w:val="59756138"/>
    <w:rsid w:val="597848FC"/>
    <w:rsid w:val="5979141C"/>
    <w:rsid w:val="59797E44"/>
    <w:rsid w:val="597A53FE"/>
    <w:rsid w:val="597C1D0F"/>
    <w:rsid w:val="597CB1F3"/>
    <w:rsid w:val="597DF599"/>
    <w:rsid w:val="597F3D41"/>
    <w:rsid w:val="597F98FA"/>
    <w:rsid w:val="598226FE"/>
    <w:rsid w:val="59826204"/>
    <w:rsid w:val="59837416"/>
    <w:rsid w:val="5984EF3D"/>
    <w:rsid w:val="598525CE"/>
    <w:rsid w:val="5985444D"/>
    <w:rsid w:val="5985AC82"/>
    <w:rsid w:val="5985AC90"/>
    <w:rsid w:val="598C9FC7"/>
    <w:rsid w:val="59924CCA"/>
    <w:rsid w:val="5992CEB4"/>
    <w:rsid w:val="5992F676"/>
    <w:rsid w:val="59949D1F"/>
    <w:rsid w:val="5994FC8A"/>
    <w:rsid w:val="599691C5"/>
    <w:rsid w:val="599829AC"/>
    <w:rsid w:val="59987793"/>
    <w:rsid w:val="59992841"/>
    <w:rsid w:val="599968D5"/>
    <w:rsid w:val="599A2CC4"/>
    <w:rsid w:val="599A3577"/>
    <w:rsid w:val="599A9FFC"/>
    <w:rsid w:val="599BCC89"/>
    <w:rsid w:val="599FE052"/>
    <w:rsid w:val="59A343B6"/>
    <w:rsid w:val="59A3DF23"/>
    <w:rsid w:val="59A4966C"/>
    <w:rsid w:val="59A4FBCC"/>
    <w:rsid w:val="59A7B02C"/>
    <w:rsid w:val="59A7EEE2"/>
    <w:rsid w:val="59A96EC8"/>
    <w:rsid w:val="59B0AD2A"/>
    <w:rsid w:val="59B19957"/>
    <w:rsid w:val="59B26AD1"/>
    <w:rsid w:val="59B2A083"/>
    <w:rsid w:val="59B31C84"/>
    <w:rsid w:val="59B3B2CF"/>
    <w:rsid w:val="59B9DF41"/>
    <w:rsid w:val="59BA0FEA"/>
    <w:rsid w:val="59BC79ED"/>
    <w:rsid w:val="59BCBEC8"/>
    <w:rsid w:val="59BD3618"/>
    <w:rsid w:val="59BDBEF0"/>
    <w:rsid w:val="59BDF3DC"/>
    <w:rsid w:val="59C068EB"/>
    <w:rsid w:val="59C166E7"/>
    <w:rsid w:val="59C4DD83"/>
    <w:rsid w:val="59C8299B"/>
    <w:rsid w:val="59C901D7"/>
    <w:rsid w:val="59C90349"/>
    <w:rsid w:val="59CA5961"/>
    <w:rsid w:val="59CB7481"/>
    <w:rsid w:val="59CBF2A8"/>
    <w:rsid w:val="59CD6C78"/>
    <w:rsid w:val="59CE1D7B"/>
    <w:rsid w:val="59CE99F0"/>
    <w:rsid w:val="59CEE0F1"/>
    <w:rsid w:val="59CFC156"/>
    <w:rsid w:val="59D12067"/>
    <w:rsid w:val="59D1C45B"/>
    <w:rsid w:val="59D20E32"/>
    <w:rsid w:val="59D26D41"/>
    <w:rsid w:val="59D28344"/>
    <w:rsid w:val="59D54CCA"/>
    <w:rsid w:val="59D76385"/>
    <w:rsid w:val="59D908C0"/>
    <w:rsid w:val="59D96988"/>
    <w:rsid w:val="59DD2FC0"/>
    <w:rsid w:val="59DD5104"/>
    <w:rsid w:val="59DE60F9"/>
    <w:rsid w:val="59E12E35"/>
    <w:rsid w:val="59E38568"/>
    <w:rsid w:val="59E64D64"/>
    <w:rsid w:val="59E76059"/>
    <w:rsid w:val="59E83CE0"/>
    <w:rsid w:val="59E91F37"/>
    <w:rsid w:val="59EA1594"/>
    <w:rsid w:val="59EA74DD"/>
    <w:rsid w:val="59EBE364"/>
    <w:rsid w:val="59EE7A79"/>
    <w:rsid w:val="59F038FB"/>
    <w:rsid w:val="59F1C240"/>
    <w:rsid w:val="59F42B0C"/>
    <w:rsid w:val="59F48BBF"/>
    <w:rsid w:val="59F4EDAE"/>
    <w:rsid w:val="59F714C5"/>
    <w:rsid w:val="59F8BB22"/>
    <w:rsid w:val="59F90920"/>
    <w:rsid w:val="59F9CF8C"/>
    <w:rsid w:val="59FA212F"/>
    <w:rsid w:val="59FB43AC"/>
    <w:rsid w:val="59FB97CB"/>
    <w:rsid w:val="59FBB409"/>
    <w:rsid w:val="59FEB340"/>
    <w:rsid w:val="59FF9557"/>
    <w:rsid w:val="5A009156"/>
    <w:rsid w:val="5A01C7A1"/>
    <w:rsid w:val="5A01E50C"/>
    <w:rsid w:val="5A0222AB"/>
    <w:rsid w:val="5A0444C1"/>
    <w:rsid w:val="5A0480D4"/>
    <w:rsid w:val="5A05884D"/>
    <w:rsid w:val="5A07A55B"/>
    <w:rsid w:val="5A08D9C8"/>
    <w:rsid w:val="5A0A6AED"/>
    <w:rsid w:val="5A0B55D7"/>
    <w:rsid w:val="5A0BE3AA"/>
    <w:rsid w:val="5A10AD65"/>
    <w:rsid w:val="5A1234BC"/>
    <w:rsid w:val="5A1374B3"/>
    <w:rsid w:val="5A147D06"/>
    <w:rsid w:val="5A153BF2"/>
    <w:rsid w:val="5A1858B2"/>
    <w:rsid w:val="5A18A221"/>
    <w:rsid w:val="5A196B97"/>
    <w:rsid w:val="5A1A7611"/>
    <w:rsid w:val="5A1BFCB2"/>
    <w:rsid w:val="5A1D6F67"/>
    <w:rsid w:val="5A1DF4C4"/>
    <w:rsid w:val="5A1E81FD"/>
    <w:rsid w:val="5A1F266F"/>
    <w:rsid w:val="5A1F8D59"/>
    <w:rsid w:val="5A1FF241"/>
    <w:rsid w:val="5A224532"/>
    <w:rsid w:val="5A228506"/>
    <w:rsid w:val="5A235BDE"/>
    <w:rsid w:val="5A241661"/>
    <w:rsid w:val="5A253F84"/>
    <w:rsid w:val="5A26B5AC"/>
    <w:rsid w:val="5A280964"/>
    <w:rsid w:val="5A295512"/>
    <w:rsid w:val="5A2972D3"/>
    <w:rsid w:val="5A2A8104"/>
    <w:rsid w:val="5A2B870E"/>
    <w:rsid w:val="5A2D0C63"/>
    <w:rsid w:val="5A2D78F8"/>
    <w:rsid w:val="5A2F0737"/>
    <w:rsid w:val="5A333430"/>
    <w:rsid w:val="5A333F36"/>
    <w:rsid w:val="5A338D6E"/>
    <w:rsid w:val="5A34E2A4"/>
    <w:rsid w:val="5A353532"/>
    <w:rsid w:val="5A35BA99"/>
    <w:rsid w:val="5A36392D"/>
    <w:rsid w:val="5A36C3C7"/>
    <w:rsid w:val="5A386F05"/>
    <w:rsid w:val="5A3A38E4"/>
    <w:rsid w:val="5A3AFE78"/>
    <w:rsid w:val="5A3B46A6"/>
    <w:rsid w:val="5A3CE661"/>
    <w:rsid w:val="5A3D3C6D"/>
    <w:rsid w:val="5A3EA5BB"/>
    <w:rsid w:val="5A3F3A14"/>
    <w:rsid w:val="5A3FA190"/>
    <w:rsid w:val="5A408E61"/>
    <w:rsid w:val="5A40C519"/>
    <w:rsid w:val="5A40E124"/>
    <w:rsid w:val="5A431475"/>
    <w:rsid w:val="5A4375E2"/>
    <w:rsid w:val="5A441F8C"/>
    <w:rsid w:val="5A451E91"/>
    <w:rsid w:val="5A467065"/>
    <w:rsid w:val="5A4972F6"/>
    <w:rsid w:val="5A4D526A"/>
    <w:rsid w:val="5A4D743C"/>
    <w:rsid w:val="5A4DF7FE"/>
    <w:rsid w:val="5A4F542A"/>
    <w:rsid w:val="5A51927F"/>
    <w:rsid w:val="5A51ED1F"/>
    <w:rsid w:val="5A529162"/>
    <w:rsid w:val="5A560989"/>
    <w:rsid w:val="5A592009"/>
    <w:rsid w:val="5A59CA42"/>
    <w:rsid w:val="5A5AD755"/>
    <w:rsid w:val="5A5B35F9"/>
    <w:rsid w:val="5A5CCB93"/>
    <w:rsid w:val="5A5F264E"/>
    <w:rsid w:val="5A5F4B4D"/>
    <w:rsid w:val="5A612DA0"/>
    <w:rsid w:val="5A621FD6"/>
    <w:rsid w:val="5A63E60B"/>
    <w:rsid w:val="5A65189C"/>
    <w:rsid w:val="5A66160D"/>
    <w:rsid w:val="5A66F732"/>
    <w:rsid w:val="5A690809"/>
    <w:rsid w:val="5A69A8A1"/>
    <w:rsid w:val="5A6A687E"/>
    <w:rsid w:val="5A6AB0CE"/>
    <w:rsid w:val="5A6CFA72"/>
    <w:rsid w:val="5A6E7ECC"/>
    <w:rsid w:val="5A7022DF"/>
    <w:rsid w:val="5A707B70"/>
    <w:rsid w:val="5A71D3B9"/>
    <w:rsid w:val="5A746CB6"/>
    <w:rsid w:val="5A756322"/>
    <w:rsid w:val="5A75809B"/>
    <w:rsid w:val="5A76C66C"/>
    <w:rsid w:val="5A7788F0"/>
    <w:rsid w:val="5A77C107"/>
    <w:rsid w:val="5A78841B"/>
    <w:rsid w:val="5A7BA876"/>
    <w:rsid w:val="5A7C5460"/>
    <w:rsid w:val="5A7ECEBD"/>
    <w:rsid w:val="5A807ABB"/>
    <w:rsid w:val="5A85781A"/>
    <w:rsid w:val="5A87EB87"/>
    <w:rsid w:val="5A87FEDB"/>
    <w:rsid w:val="5A88A46E"/>
    <w:rsid w:val="5A89A2EB"/>
    <w:rsid w:val="5A89CB05"/>
    <w:rsid w:val="5A8B343C"/>
    <w:rsid w:val="5A8C17FA"/>
    <w:rsid w:val="5A8C6A61"/>
    <w:rsid w:val="5A8F3521"/>
    <w:rsid w:val="5A8FD1E6"/>
    <w:rsid w:val="5A8FFAD6"/>
    <w:rsid w:val="5A90FAEF"/>
    <w:rsid w:val="5A91D25E"/>
    <w:rsid w:val="5A940285"/>
    <w:rsid w:val="5A9406B2"/>
    <w:rsid w:val="5A97E6CF"/>
    <w:rsid w:val="5A98C962"/>
    <w:rsid w:val="5A994B0D"/>
    <w:rsid w:val="5A9A2B3D"/>
    <w:rsid w:val="5A9A3A51"/>
    <w:rsid w:val="5A9A3E9A"/>
    <w:rsid w:val="5A9AE693"/>
    <w:rsid w:val="5A9C04AE"/>
    <w:rsid w:val="5A9C2214"/>
    <w:rsid w:val="5A9D9998"/>
    <w:rsid w:val="5A9E5E66"/>
    <w:rsid w:val="5AA3FEFB"/>
    <w:rsid w:val="5AA464D7"/>
    <w:rsid w:val="5AA69B6C"/>
    <w:rsid w:val="5AA828FA"/>
    <w:rsid w:val="5AA94E3D"/>
    <w:rsid w:val="5AAC5069"/>
    <w:rsid w:val="5AAC65E4"/>
    <w:rsid w:val="5AAD4267"/>
    <w:rsid w:val="5AB11624"/>
    <w:rsid w:val="5AB32593"/>
    <w:rsid w:val="5AB38E7C"/>
    <w:rsid w:val="5AB3E6E5"/>
    <w:rsid w:val="5AB53464"/>
    <w:rsid w:val="5AB5665C"/>
    <w:rsid w:val="5AB5AF7B"/>
    <w:rsid w:val="5AB6F51B"/>
    <w:rsid w:val="5AB70485"/>
    <w:rsid w:val="5AB7542C"/>
    <w:rsid w:val="5AB80CAC"/>
    <w:rsid w:val="5ABA2A27"/>
    <w:rsid w:val="5ABB4430"/>
    <w:rsid w:val="5ABC3A88"/>
    <w:rsid w:val="5ABCD4AB"/>
    <w:rsid w:val="5ABF7424"/>
    <w:rsid w:val="5ABFD14A"/>
    <w:rsid w:val="5AC0164E"/>
    <w:rsid w:val="5AC07F30"/>
    <w:rsid w:val="5AC1BC05"/>
    <w:rsid w:val="5AC2945D"/>
    <w:rsid w:val="5AC3977A"/>
    <w:rsid w:val="5AC3B037"/>
    <w:rsid w:val="5AC40A65"/>
    <w:rsid w:val="5AC4F0D2"/>
    <w:rsid w:val="5AC61C30"/>
    <w:rsid w:val="5AC7FBF8"/>
    <w:rsid w:val="5AC94D1F"/>
    <w:rsid w:val="5ACB8055"/>
    <w:rsid w:val="5ACB9111"/>
    <w:rsid w:val="5ACCCEAF"/>
    <w:rsid w:val="5AD0B536"/>
    <w:rsid w:val="5AD15C2F"/>
    <w:rsid w:val="5AD24CE7"/>
    <w:rsid w:val="5AD3ED03"/>
    <w:rsid w:val="5AD3FD9E"/>
    <w:rsid w:val="5AD51EF9"/>
    <w:rsid w:val="5AD5A5B5"/>
    <w:rsid w:val="5AD708FF"/>
    <w:rsid w:val="5ADB8378"/>
    <w:rsid w:val="5ADC2053"/>
    <w:rsid w:val="5ADD0A02"/>
    <w:rsid w:val="5ADECAE7"/>
    <w:rsid w:val="5ADF1F66"/>
    <w:rsid w:val="5AE1E394"/>
    <w:rsid w:val="5AE24373"/>
    <w:rsid w:val="5AE73C8C"/>
    <w:rsid w:val="5AE7C2B0"/>
    <w:rsid w:val="5AE80508"/>
    <w:rsid w:val="5AEA1D8C"/>
    <w:rsid w:val="5AEF51B0"/>
    <w:rsid w:val="5AF16E96"/>
    <w:rsid w:val="5AF2F3C5"/>
    <w:rsid w:val="5AF42CE9"/>
    <w:rsid w:val="5AF63125"/>
    <w:rsid w:val="5AF70598"/>
    <w:rsid w:val="5AFB908E"/>
    <w:rsid w:val="5AFBE971"/>
    <w:rsid w:val="5AFC12CC"/>
    <w:rsid w:val="5AFC8BFF"/>
    <w:rsid w:val="5AFD7005"/>
    <w:rsid w:val="5AFD8FC7"/>
    <w:rsid w:val="5AFF7816"/>
    <w:rsid w:val="5B00B2A8"/>
    <w:rsid w:val="5B00DE20"/>
    <w:rsid w:val="5B02390D"/>
    <w:rsid w:val="5B02C0B8"/>
    <w:rsid w:val="5B03212D"/>
    <w:rsid w:val="5B046220"/>
    <w:rsid w:val="5B04C40B"/>
    <w:rsid w:val="5B082A59"/>
    <w:rsid w:val="5B098A42"/>
    <w:rsid w:val="5B0A5A66"/>
    <w:rsid w:val="5B0ADFFF"/>
    <w:rsid w:val="5B0B4336"/>
    <w:rsid w:val="5B0B7CA4"/>
    <w:rsid w:val="5B0C13A3"/>
    <w:rsid w:val="5B0C7291"/>
    <w:rsid w:val="5B0D33E5"/>
    <w:rsid w:val="5B0DA890"/>
    <w:rsid w:val="5B0E216C"/>
    <w:rsid w:val="5B0F8248"/>
    <w:rsid w:val="5B0FE993"/>
    <w:rsid w:val="5B10CCBC"/>
    <w:rsid w:val="5B13AD0E"/>
    <w:rsid w:val="5B173E57"/>
    <w:rsid w:val="5B186748"/>
    <w:rsid w:val="5B1966B1"/>
    <w:rsid w:val="5B1AE08F"/>
    <w:rsid w:val="5B1CE1CA"/>
    <w:rsid w:val="5B1D6614"/>
    <w:rsid w:val="5B1D6D55"/>
    <w:rsid w:val="5B1D8A34"/>
    <w:rsid w:val="5B1E011B"/>
    <w:rsid w:val="5B21AD21"/>
    <w:rsid w:val="5B230C46"/>
    <w:rsid w:val="5B234F2A"/>
    <w:rsid w:val="5B24A7B6"/>
    <w:rsid w:val="5B24E5F9"/>
    <w:rsid w:val="5B2682CE"/>
    <w:rsid w:val="5B294C26"/>
    <w:rsid w:val="5B2984E6"/>
    <w:rsid w:val="5B2BC0F1"/>
    <w:rsid w:val="5B2C552C"/>
    <w:rsid w:val="5B2E6C41"/>
    <w:rsid w:val="5B2F3492"/>
    <w:rsid w:val="5B2F83BF"/>
    <w:rsid w:val="5B2F8607"/>
    <w:rsid w:val="5B2FE59A"/>
    <w:rsid w:val="5B304CF2"/>
    <w:rsid w:val="5B30E2DE"/>
    <w:rsid w:val="5B3123D5"/>
    <w:rsid w:val="5B329245"/>
    <w:rsid w:val="5B33DC60"/>
    <w:rsid w:val="5B356CAB"/>
    <w:rsid w:val="5B35C58A"/>
    <w:rsid w:val="5B37433B"/>
    <w:rsid w:val="5B3B1EE6"/>
    <w:rsid w:val="5B3BF221"/>
    <w:rsid w:val="5B3CEF19"/>
    <w:rsid w:val="5B3D3A8B"/>
    <w:rsid w:val="5B3D958A"/>
    <w:rsid w:val="5B3E8887"/>
    <w:rsid w:val="5B411587"/>
    <w:rsid w:val="5B42C62B"/>
    <w:rsid w:val="5B42D0F4"/>
    <w:rsid w:val="5B44F8D5"/>
    <w:rsid w:val="5B45D1A9"/>
    <w:rsid w:val="5B45F023"/>
    <w:rsid w:val="5B49C584"/>
    <w:rsid w:val="5B4B1B24"/>
    <w:rsid w:val="5B4D67CD"/>
    <w:rsid w:val="5B4D8D39"/>
    <w:rsid w:val="5B4FF1F0"/>
    <w:rsid w:val="5B51B9F9"/>
    <w:rsid w:val="5B5364D3"/>
    <w:rsid w:val="5B5368AA"/>
    <w:rsid w:val="5B53F96F"/>
    <w:rsid w:val="5B5439A0"/>
    <w:rsid w:val="5B54AECA"/>
    <w:rsid w:val="5B56F28D"/>
    <w:rsid w:val="5B584E84"/>
    <w:rsid w:val="5B590FE6"/>
    <w:rsid w:val="5B5AD3A3"/>
    <w:rsid w:val="5B5C9BDA"/>
    <w:rsid w:val="5B5CE803"/>
    <w:rsid w:val="5B5CF8A3"/>
    <w:rsid w:val="5B5E1B3E"/>
    <w:rsid w:val="5B6216FC"/>
    <w:rsid w:val="5B631C07"/>
    <w:rsid w:val="5B6323F0"/>
    <w:rsid w:val="5B636C73"/>
    <w:rsid w:val="5B638409"/>
    <w:rsid w:val="5B64BA30"/>
    <w:rsid w:val="5B674ADC"/>
    <w:rsid w:val="5B6990D2"/>
    <w:rsid w:val="5B6B8397"/>
    <w:rsid w:val="5B6DC938"/>
    <w:rsid w:val="5B715195"/>
    <w:rsid w:val="5B727D21"/>
    <w:rsid w:val="5B772EB6"/>
    <w:rsid w:val="5B7A3A17"/>
    <w:rsid w:val="5B7C241C"/>
    <w:rsid w:val="5B7C41C9"/>
    <w:rsid w:val="5B7C64B9"/>
    <w:rsid w:val="5B7DD06F"/>
    <w:rsid w:val="5B7E3DC1"/>
    <w:rsid w:val="5B804B14"/>
    <w:rsid w:val="5B80D77C"/>
    <w:rsid w:val="5B8103C5"/>
    <w:rsid w:val="5B8329F5"/>
    <w:rsid w:val="5B83624E"/>
    <w:rsid w:val="5B83F9EC"/>
    <w:rsid w:val="5B8476F9"/>
    <w:rsid w:val="5B851056"/>
    <w:rsid w:val="5B852159"/>
    <w:rsid w:val="5B86CF2C"/>
    <w:rsid w:val="5B87BD5F"/>
    <w:rsid w:val="5B8922C7"/>
    <w:rsid w:val="5B89B143"/>
    <w:rsid w:val="5B8A1903"/>
    <w:rsid w:val="5B8A69D4"/>
    <w:rsid w:val="5B8B8A57"/>
    <w:rsid w:val="5B8E5643"/>
    <w:rsid w:val="5B8E5703"/>
    <w:rsid w:val="5B8E62F0"/>
    <w:rsid w:val="5B90A804"/>
    <w:rsid w:val="5B9151E1"/>
    <w:rsid w:val="5B915A77"/>
    <w:rsid w:val="5B915D5B"/>
    <w:rsid w:val="5B91BABF"/>
    <w:rsid w:val="5B922494"/>
    <w:rsid w:val="5B9566FF"/>
    <w:rsid w:val="5B95C86A"/>
    <w:rsid w:val="5B966688"/>
    <w:rsid w:val="5B979C0D"/>
    <w:rsid w:val="5B98C747"/>
    <w:rsid w:val="5B98F9A1"/>
    <w:rsid w:val="5B996DC8"/>
    <w:rsid w:val="5B9ADC9D"/>
    <w:rsid w:val="5B9DE4AF"/>
    <w:rsid w:val="5B9E944A"/>
    <w:rsid w:val="5B9F4983"/>
    <w:rsid w:val="5BA00661"/>
    <w:rsid w:val="5BA21A04"/>
    <w:rsid w:val="5BA37337"/>
    <w:rsid w:val="5BA59EC9"/>
    <w:rsid w:val="5BA7141F"/>
    <w:rsid w:val="5BA7F713"/>
    <w:rsid w:val="5BA81F2B"/>
    <w:rsid w:val="5BAA1738"/>
    <w:rsid w:val="5BAF5474"/>
    <w:rsid w:val="5BB05D52"/>
    <w:rsid w:val="5BB16D05"/>
    <w:rsid w:val="5BB46B86"/>
    <w:rsid w:val="5BB55CED"/>
    <w:rsid w:val="5BB5DD08"/>
    <w:rsid w:val="5BB84CCF"/>
    <w:rsid w:val="5BB8BCA4"/>
    <w:rsid w:val="5BBAB92A"/>
    <w:rsid w:val="5BBC5911"/>
    <w:rsid w:val="5BBCEDAA"/>
    <w:rsid w:val="5BBD48B8"/>
    <w:rsid w:val="5BBDA328"/>
    <w:rsid w:val="5BBF0394"/>
    <w:rsid w:val="5BBF3624"/>
    <w:rsid w:val="5BBF8E54"/>
    <w:rsid w:val="5BC0B23D"/>
    <w:rsid w:val="5BC138D1"/>
    <w:rsid w:val="5BC19F6A"/>
    <w:rsid w:val="5BC31161"/>
    <w:rsid w:val="5BC3BAB1"/>
    <w:rsid w:val="5BC44784"/>
    <w:rsid w:val="5BC7089C"/>
    <w:rsid w:val="5BC86AC4"/>
    <w:rsid w:val="5BC988CE"/>
    <w:rsid w:val="5BCB01E4"/>
    <w:rsid w:val="5BCC9486"/>
    <w:rsid w:val="5BCE58A1"/>
    <w:rsid w:val="5BCE9ABA"/>
    <w:rsid w:val="5BCFDA9A"/>
    <w:rsid w:val="5BD251EC"/>
    <w:rsid w:val="5BD4BA0D"/>
    <w:rsid w:val="5BD4D7E2"/>
    <w:rsid w:val="5BD57830"/>
    <w:rsid w:val="5BD6685E"/>
    <w:rsid w:val="5BD6A378"/>
    <w:rsid w:val="5BD851A0"/>
    <w:rsid w:val="5BD8F928"/>
    <w:rsid w:val="5BD99753"/>
    <w:rsid w:val="5BDB08AD"/>
    <w:rsid w:val="5BDBCEF5"/>
    <w:rsid w:val="5BDCCEE1"/>
    <w:rsid w:val="5BDD44C5"/>
    <w:rsid w:val="5BDFB554"/>
    <w:rsid w:val="5BE1BC1D"/>
    <w:rsid w:val="5BE5BBBC"/>
    <w:rsid w:val="5BE8B995"/>
    <w:rsid w:val="5BE938BC"/>
    <w:rsid w:val="5BE958AD"/>
    <w:rsid w:val="5BE98535"/>
    <w:rsid w:val="5BEA5DBE"/>
    <w:rsid w:val="5BEB5BA9"/>
    <w:rsid w:val="5BEB606C"/>
    <w:rsid w:val="5BF04869"/>
    <w:rsid w:val="5BF087C8"/>
    <w:rsid w:val="5BF3C409"/>
    <w:rsid w:val="5BF47CCC"/>
    <w:rsid w:val="5BF584C1"/>
    <w:rsid w:val="5BF89A43"/>
    <w:rsid w:val="5BF907EB"/>
    <w:rsid w:val="5BFB5494"/>
    <w:rsid w:val="5C004786"/>
    <w:rsid w:val="5C0375E0"/>
    <w:rsid w:val="5C03C554"/>
    <w:rsid w:val="5C05582D"/>
    <w:rsid w:val="5C062255"/>
    <w:rsid w:val="5C086E83"/>
    <w:rsid w:val="5C0BEB39"/>
    <w:rsid w:val="5C0EE5F5"/>
    <w:rsid w:val="5C11CF7B"/>
    <w:rsid w:val="5C130A40"/>
    <w:rsid w:val="5C14773A"/>
    <w:rsid w:val="5C14A365"/>
    <w:rsid w:val="5C159C1B"/>
    <w:rsid w:val="5C16A792"/>
    <w:rsid w:val="5C194C96"/>
    <w:rsid w:val="5C1AC9E4"/>
    <w:rsid w:val="5C1CC9E1"/>
    <w:rsid w:val="5C1CF92D"/>
    <w:rsid w:val="5C1ED721"/>
    <w:rsid w:val="5C1EF909"/>
    <w:rsid w:val="5C1FD359"/>
    <w:rsid w:val="5C20133A"/>
    <w:rsid w:val="5C24EEF8"/>
    <w:rsid w:val="5C2577EF"/>
    <w:rsid w:val="5C258D11"/>
    <w:rsid w:val="5C28090F"/>
    <w:rsid w:val="5C2A4C74"/>
    <w:rsid w:val="5C2BC733"/>
    <w:rsid w:val="5C2E0329"/>
    <w:rsid w:val="5C2E42D4"/>
    <w:rsid w:val="5C2EC35B"/>
    <w:rsid w:val="5C2FB332"/>
    <w:rsid w:val="5C320A71"/>
    <w:rsid w:val="5C326DC3"/>
    <w:rsid w:val="5C33FB62"/>
    <w:rsid w:val="5C34BD0F"/>
    <w:rsid w:val="5C37FF7E"/>
    <w:rsid w:val="5C38AC87"/>
    <w:rsid w:val="5C3927F1"/>
    <w:rsid w:val="5C3D0027"/>
    <w:rsid w:val="5C3FDE2A"/>
    <w:rsid w:val="5C4288E6"/>
    <w:rsid w:val="5C4717F7"/>
    <w:rsid w:val="5C482D17"/>
    <w:rsid w:val="5C485B8C"/>
    <w:rsid w:val="5C4D53B3"/>
    <w:rsid w:val="5C4E6FF8"/>
    <w:rsid w:val="5C52C17E"/>
    <w:rsid w:val="5C536874"/>
    <w:rsid w:val="5C548D52"/>
    <w:rsid w:val="5C557CFE"/>
    <w:rsid w:val="5C5656B9"/>
    <w:rsid w:val="5C56CFFF"/>
    <w:rsid w:val="5C57487F"/>
    <w:rsid w:val="5C5865D2"/>
    <w:rsid w:val="5C593ACE"/>
    <w:rsid w:val="5C59BB1E"/>
    <w:rsid w:val="5C5B5359"/>
    <w:rsid w:val="5C5B6ABD"/>
    <w:rsid w:val="5C5E29D4"/>
    <w:rsid w:val="5C623276"/>
    <w:rsid w:val="5C63BC49"/>
    <w:rsid w:val="5C649558"/>
    <w:rsid w:val="5C64C1F5"/>
    <w:rsid w:val="5C64FFBB"/>
    <w:rsid w:val="5C6522F7"/>
    <w:rsid w:val="5C66964C"/>
    <w:rsid w:val="5C677BDF"/>
    <w:rsid w:val="5C681F05"/>
    <w:rsid w:val="5C6910E6"/>
    <w:rsid w:val="5C69708B"/>
    <w:rsid w:val="5C69A421"/>
    <w:rsid w:val="5C6B0260"/>
    <w:rsid w:val="5C6B6108"/>
    <w:rsid w:val="5C6C0B67"/>
    <w:rsid w:val="5C6D33EA"/>
    <w:rsid w:val="5C6FED75"/>
    <w:rsid w:val="5C74A00A"/>
    <w:rsid w:val="5C75C2F2"/>
    <w:rsid w:val="5C77C768"/>
    <w:rsid w:val="5C786849"/>
    <w:rsid w:val="5C793662"/>
    <w:rsid w:val="5C7A10CD"/>
    <w:rsid w:val="5C7A1915"/>
    <w:rsid w:val="5C7AA628"/>
    <w:rsid w:val="5C7DC26D"/>
    <w:rsid w:val="5C7F17A3"/>
    <w:rsid w:val="5C7FD7F6"/>
    <w:rsid w:val="5C85AE65"/>
    <w:rsid w:val="5C85B582"/>
    <w:rsid w:val="5C87337F"/>
    <w:rsid w:val="5C89B62B"/>
    <w:rsid w:val="5C89F80E"/>
    <w:rsid w:val="5C8CEE0A"/>
    <w:rsid w:val="5C8D4509"/>
    <w:rsid w:val="5C8D980B"/>
    <w:rsid w:val="5C91890E"/>
    <w:rsid w:val="5C9EF537"/>
    <w:rsid w:val="5CA08B5B"/>
    <w:rsid w:val="5CA2FC13"/>
    <w:rsid w:val="5CA48C80"/>
    <w:rsid w:val="5CA592AA"/>
    <w:rsid w:val="5CA5D18E"/>
    <w:rsid w:val="5CA63A3A"/>
    <w:rsid w:val="5CA7845E"/>
    <w:rsid w:val="5CA98325"/>
    <w:rsid w:val="5CA9B49B"/>
    <w:rsid w:val="5CAB282F"/>
    <w:rsid w:val="5CABAA16"/>
    <w:rsid w:val="5CAC0136"/>
    <w:rsid w:val="5CACFD80"/>
    <w:rsid w:val="5CB127C3"/>
    <w:rsid w:val="5CB1D065"/>
    <w:rsid w:val="5CB42A49"/>
    <w:rsid w:val="5CB6C3CD"/>
    <w:rsid w:val="5CB74DF8"/>
    <w:rsid w:val="5CB85420"/>
    <w:rsid w:val="5CBA3A27"/>
    <w:rsid w:val="5CBEB6EE"/>
    <w:rsid w:val="5CBF79F3"/>
    <w:rsid w:val="5CC02F6F"/>
    <w:rsid w:val="5CC16F4A"/>
    <w:rsid w:val="5CC22BD6"/>
    <w:rsid w:val="5CC380A1"/>
    <w:rsid w:val="5CC67DDA"/>
    <w:rsid w:val="5CC68010"/>
    <w:rsid w:val="5CC7D2AE"/>
    <w:rsid w:val="5CC7FD2E"/>
    <w:rsid w:val="5CC81F74"/>
    <w:rsid w:val="5CC96B23"/>
    <w:rsid w:val="5CCB1FA3"/>
    <w:rsid w:val="5CCB37C5"/>
    <w:rsid w:val="5CCC823D"/>
    <w:rsid w:val="5CCEFF1C"/>
    <w:rsid w:val="5CD1F587"/>
    <w:rsid w:val="5CD39467"/>
    <w:rsid w:val="5CD4759D"/>
    <w:rsid w:val="5CD49E9E"/>
    <w:rsid w:val="5CD52614"/>
    <w:rsid w:val="5CD81CF6"/>
    <w:rsid w:val="5CDA0585"/>
    <w:rsid w:val="5CDA16D1"/>
    <w:rsid w:val="5CDAB470"/>
    <w:rsid w:val="5CDAB4AF"/>
    <w:rsid w:val="5CDCA2BD"/>
    <w:rsid w:val="5CE23D55"/>
    <w:rsid w:val="5CE4523D"/>
    <w:rsid w:val="5CE47887"/>
    <w:rsid w:val="5CE5B4E0"/>
    <w:rsid w:val="5CE603E0"/>
    <w:rsid w:val="5CE7FDB3"/>
    <w:rsid w:val="5CE89B87"/>
    <w:rsid w:val="5CEA9421"/>
    <w:rsid w:val="5CEC3900"/>
    <w:rsid w:val="5CEC51F3"/>
    <w:rsid w:val="5CECFC5D"/>
    <w:rsid w:val="5CEF6446"/>
    <w:rsid w:val="5CF28AFA"/>
    <w:rsid w:val="5CF392E0"/>
    <w:rsid w:val="5CF39BF1"/>
    <w:rsid w:val="5CF413FB"/>
    <w:rsid w:val="5CF4B054"/>
    <w:rsid w:val="5CF7762B"/>
    <w:rsid w:val="5CF788AC"/>
    <w:rsid w:val="5CF9B68F"/>
    <w:rsid w:val="5CFB0B66"/>
    <w:rsid w:val="5CFC7CD4"/>
    <w:rsid w:val="5CFD83CC"/>
    <w:rsid w:val="5CFDBC74"/>
    <w:rsid w:val="5CFDC7D8"/>
    <w:rsid w:val="5CFE22D9"/>
    <w:rsid w:val="5D01FDCD"/>
    <w:rsid w:val="5D072B2A"/>
    <w:rsid w:val="5D0A9010"/>
    <w:rsid w:val="5D0B198B"/>
    <w:rsid w:val="5D0B4BDC"/>
    <w:rsid w:val="5D0DB905"/>
    <w:rsid w:val="5D0E0E6A"/>
    <w:rsid w:val="5D0E821E"/>
    <w:rsid w:val="5D0F8716"/>
    <w:rsid w:val="5D127F76"/>
    <w:rsid w:val="5D12ED95"/>
    <w:rsid w:val="5D15AB07"/>
    <w:rsid w:val="5D162FAC"/>
    <w:rsid w:val="5D1A48E0"/>
    <w:rsid w:val="5D1A7E85"/>
    <w:rsid w:val="5D1B33EC"/>
    <w:rsid w:val="5D1F69F7"/>
    <w:rsid w:val="5D1FDC8B"/>
    <w:rsid w:val="5D2319D1"/>
    <w:rsid w:val="5D238F40"/>
    <w:rsid w:val="5D24AC80"/>
    <w:rsid w:val="5D26AC7E"/>
    <w:rsid w:val="5D27CFC3"/>
    <w:rsid w:val="5D28E159"/>
    <w:rsid w:val="5D2DA0AF"/>
    <w:rsid w:val="5D30D17B"/>
    <w:rsid w:val="5D32E8D0"/>
    <w:rsid w:val="5D33DF36"/>
    <w:rsid w:val="5D354802"/>
    <w:rsid w:val="5D35D344"/>
    <w:rsid w:val="5D3A0135"/>
    <w:rsid w:val="5D3BE92C"/>
    <w:rsid w:val="5D3C4A54"/>
    <w:rsid w:val="5D3C939E"/>
    <w:rsid w:val="5D3F7E08"/>
    <w:rsid w:val="5D40B908"/>
    <w:rsid w:val="5D439C09"/>
    <w:rsid w:val="5D45F718"/>
    <w:rsid w:val="5D47C7F1"/>
    <w:rsid w:val="5D481BF5"/>
    <w:rsid w:val="5D4E5C39"/>
    <w:rsid w:val="5D50283A"/>
    <w:rsid w:val="5D5087B5"/>
    <w:rsid w:val="5D52C62C"/>
    <w:rsid w:val="5D54E566"/>
    <w:rsid w:val="5D56B81C"/>
    <w:rsid w:val="5D58CD00"/>
    <w:rsid w:val="5D5A6E3C"/>
    <w:rsid w:val="5D5AD679"/>
    <w:rsid w:val="5D5D6F0E"/>
    <w:rsid w:val="5D5DB9D8"/>
    <w:rsid w:val="5D5E832E"/>
    <w:rsid w:val="5D62709F"/>
    <w:rsid w:val="5D63CBB3"/>
    <w:rsid w:val="5D63E951"/>
    <w:rsid w:val="5D6475C0"/>
    <w:rsid w:val="5D6839CB"/>
    <w:rsid w:val="5D684184"/>
    <w:rsid w:val="5D686F43"/>
    <w:rsid w:val="5D687BF1"/>
    <w:rsid w:val="5D68CC8D"/>
    <w:rsid w:val="5D6A2624"/>
    <w:rsid w:val="5D6C4CD8"/>
    <w:rsid w:val="5D6CD552"/>
    <w:rsid w:val="5D6D2BCA"/>
    <w:rsid w:val="5D6D8834"/>
    <w:rsid w:val="5D6FD97D"/>
    <w:rsid w:val="5D716065"/>
    <w:rsid w:val="5D72201A"/>
    <w:rsid w:val="5D77393C"/>
    <w:rsid w:val="5D7C4C11"/>
    <w:rsid w:val="5D7C8FF3"/>
    <w:rsid w:val="5D7D63FB"/>
    <w:rsid w:val="5D7F274E"/>
    <w:rsid w:val="5D7F5401"/>
    <w:rsid w:val="5D804F22"/>
    <w:rsid w:val="5D8417FB"/>
    <w:rsid w:val="5D841B46"/>
    <w:rsid w:val="5D845183"/>
    <w:rsid w:val="5D8651EC"/>
    <w:rsid w:val="5D869167"/>
    <w:rsid w:val="5D878D19"/>
    <w:rsid w:val="5D8B1B92"/>
    <w:rsid w:val="5D8C1D9A"/>
    <w:rsid w:val="5D8C8AA9"/>
    <w:rsid w:val="5D8CA8DB"/>
    <w:rsid w:val="5D8CEB46"/>
    <w:rsid w:val="5D8DF1BE"/>
    <w:rsid w:val="5D8ED570"/>
    <w:rsid w:val="5D8F8CBB"/>
    <w:rsid w:val="5D900053"/>
    <w:rsid w:val="5D912CCE"/>
    <w:rsid w:val="5D915522"/>
    <w:rsid w:val="5D91B45A"/>
    <w:rsid w:val="5D94E159"/>
    <w:rsid w:val="5D977B4D"/>
    <w:rsid w:val="5D99303A"/>
    <w:rsid w:val="5D995850"/>
    <w:rsid w:val="5D99E530"/>
    <w:rsid w:val="5D9B22B7"/>
    <w:rsid w:val="5D9B852A"/>
    <w:rsid w:val="5D9D3BE4"/>
    <w:rsid w:val="5D9F3DBF"/>
    <w:rsid w:val="5DA0FFE4"/>
    <w:rsid w:val="5DA197A7"/>
    <w:rsid w:val="5DA27FAD"/>
    <w:rsid w:val="5DA429DE"/>
    <w:rsid w:val="5DA4A76A"/>
    <w:rsid w:val="5DA83138"/>
    <w:rsid w:val="5DAA2474"/>
    <w:rsid w:val="5DAAA516"/>
    <w:rsid w:val="5DAAB96C"/>
    <w:rsid w:val="5DAE0988"/>
    <w:rsid w:val="5DAEEC14"/>
    <w:rsid w:val="5DAF1198"/>
    <w:rsid w:val="5DB02588"/>
    <w:rsid w:val="5DB2683E"/>
    <w:rsid w:val="5DB27556"/>
    <w:rsid w:val="5DB2FE17"/>
    <w:rsid w:val="5DB468B1"/>
    <w:rsid w:val="5DB47EEB"/>
    <w:rsid w:val="5DB5A09C"/>
    <w:rsid w:val="5DB6AD48"/>
    <w:rsid w:val="5DB87E67"/>
    <w:rsid w:val="5DB8FC35"/>
    <w:rsid w:val="5DB93938"/>
    <w:rsid w:val="5DB9A48E"/>
    <w:rsid w:val="5DBC1CE3"/>
    <w:rsid w:val="5DBCA169"/>
    <w:rsid w:val="5DBD8EC5"/>
    <w:rsid w:val="5DC1470D"/>
    <w:rsid w:val="5DC39BF5"/>
    <w:rsid w:val="5DC628B0"/>
    <w:rsid w:val="5DC6BAAA"/>
    <w:rsid w:val="5DC7BD42"/>
    <w:rsid w:val="5DC7BFBF"/>
    <w:rsid w:val="5DC8E650"/>
    <w:rsid w:val="5DCB44CA"/>
    <w:rsid w:val="5DCC2FF5"/>
    <w:rsid w:val="5DCD6024"/>
    <w:rsid w:val="5DCE0823"/>
    <w:rsid w:val="5DCE339D"/>
    <w:rsid w:val="5DCE3E24"/>
    <w:rsid w:val="5DCE4C32"/>
    <w:rsid w:val="5DCEE9B8"/>
    <w:rsid w:val="5DD21C89"/>
    <w:rsid w:val="5DD2468F"/>
    <w:rsid w:val="5DD51D72"/>
    <w:rsid w:val="5DD5CC77"/>
    <w:rsid w:val="5DD604E7"/>
    <w:rsid w:val="5DD72BA7"/>
    <w:rsid w:val="5DD7C7EC"/>
    <w:rsid w:val="5DD8E014"/>
    <w:rsid w:val="5DD94851"/>
    <w:rsid w:val="5DDC1030"/>
    <w:rsid w:val="5DDC5495"/>
    <w:rsid w:val="5DDE5DB6"/>
    <w:rsid w:val="5DDE694B"/>
    <w:rsid w:val="5DDF4E0A"/>
    <w:rsid w:val="5DE0B0A3"/>
    <w:rsid w:val="5DE0E145"/>
    <w:rsid w:val="5DE644F1"/>
    <w:rsid w:val="5DE659A0"/>
    <w:rsid w:val="5DE6F011"/>
    <w:rsid w:val="5DE8CECB"/>
    <w:rsid w:val="5DED62DA"/>
    <w:rsid w:val="5DF2DEE1"/>
    <w:rsid w:val="5DF7FB4A"/>
    <w:rsid w:val="5DF849A1"/>
    <w:rsid w:val="5DF97CC9"/>
    <w:rsid w:val="5DFBD547"/>
    <w:rsid w:val="5DFC0D41"/>
    <w:rsid w:val="5DFD5740"/>
    <w:rsid w:val="5E014A73"/>
    <w:rsid w:val="5E01A7F7"/>
    <w:rsid w:val="5E021671"/>
    <w:rsid w:val="5E023571"/>
    <w:rsid w:val="5E0235B8"/>
    <w:rsid w:val="5E06DD4B"/>
    <w:rsid w:val="5E087052"/>
    <w:rsid w:val="5E0C4952"/>
    <w:rsid w:val="5E0FC33C"/>
    <w:rsid w:val="5E0FD310"/>
    <w:rsid w:val="5E125D7D"/>
    <w:rsid w:val="5E140D20"/>
    <w:rsid w:val="5E15617A"/>
    <w:rsid w:val="5E1773DB"/>
    <w:rsid w:val="5E194A92"/>
    <w:rsid w:val="5E1B05A8"/>
    <w:rsid w:val="5E1D407F"/>
    <w:rsid w:val="5E1DA56C"/>
    <w:rsid w:val="5E1E9D47"/>
    <w:rsid w:val="5E1EA2C1"/>
    <w:rsid w:val="5E1F490D"/>
    <w:rsid w:val="5E1FABAA"/>
    <w:rsid w:val="5E20ED2A"/>
    <w:rsid w:val="5E21248C"/>
    <w:rsid w:val="5E21FB84"/>
    <w:rsid w:val="5E23BE0D"/>
    <w:rsid w:val="5E240B58"/>
    <w:rsid w:val="5E28F4D5"/>
    <w:rsid w:val="5E2964F5"/>
    <w:rsid w:val="5E298B59"/>
    <w:rsid w:val="5E29A162"/>
    <w:rsid w:val="5E2A693A"/>
    <w:rsid w:val="5E2BD292"/>
    <w:rsid w:val="5E2C4FEB"/>
    <w:rsid w:val="5E2CB89C"/>
    <w:rsid w:val="5E2CD944"/>
    <w:rsid w:val="5E2D4497"/>
    <w:rsid w:val="5E2F4576"/>
    <w:rsid w:val="5E30BE77"/>
    <w:rsid w:val="5E329A56"/>
    <w:rsid w:val="5E346119"/>
    <w:rsid w:val="5E37BD61"/>
    <w:rsid w:val="5E398E2D"/>
    <w:rsid w:val="5E399D57"/>
    <w:rsid w:val="5E3AA78F"/>
    <w:rsid w:val="5E3AC9E7"/>
    <w:rsid w:val="5E3B9A52"/>
    <w:rsid w:val="5E3C1D4B"/>
    <w:rsid w:val="5E3CFE30"/>
    <w:rsid w:val="5E3EEDD6"/>
    <w:rsid w:val="5E41CF29"/>
    <w:rsid w:val="5E43204B"/>
    <w:rsid w:val="5E45ACF2"/>
    <w:rsid w:val="5E46A962"/>
    <w:rsid w:val="5E46AAC6"/>
    <w:rsid w:val="5E48DB75"/>
    <w:rsid w:val="5E49BCFD"/>
    <w:rsid w:val="5E4A5738"/>
    <w:rsid w:val="5E4A9F0F"/>
    <w:rsid w:val="5E4B4574"/>
    <w:rsid w:val="5E4B5E72"/>
    <w:rsid w:val="5E4C61F7"/>
    <w:rsid w:val="5E4CE40E"/>
    <w:rsid w:val="5E4CE888"/>
    <w:rsid w:val="5E4E1160"/>
    <w:rsid w:val="5E510773"/>
    <w:rsid w:val="5E513BE7"/>
    <w:rsid w:val="5E534431"/>
    <w:rsid w:val="5E57EBF5"/>
    <w:rsid w:val="5E5882F6"/>
    <w:rsid w:val="5E591DB3"/>
    <w:rsid w:val="5E5931FD"/>
    <w:rsid w:val="5E5C419A"/>
    <w:rsid w:val="5E5C95A4"/>
    <w:rsid w:val="5E5CEB25"/>
    <w:rsid w:val="5E5E45C7"/>
    <w:rsid w:val="5E5F13B2"/>
    <w:rsid w:val="5E5F7333"/>
    <w:rsid w:val="5E5F956E"/>
    <w:rsid w:val="5E61D17B"/>
    <w:rsid w:val="5E6403DA"/>
    <w:rsid w:val="5E65C831"/>
    <w:rsid w:val="5E679ABF"/>
    <w:rsid w:val="5E68B9FF"/>
    <w:rsid w:val="5E6C10F0"/>
    <w:rsid w:val="5E6C16E0"/>
    <w:rsid w:val="5E6D23C1"/>
    <w:rsid w:val="5E6D6E30"/>
    <w:rsid w:val="5E7048D0"/>
    <w:rsid w:val="5E715501"/>
    <w:rsid w:val="5E72E9C3"/>
    <w:rsid w:val="5E72FC75"/>
    <w:rsid w:val="5E73E694"/>
    <w:rsid w:val="5E77AAC5"/>
    <w:rsid w:val="5E78FE74"/>
    <w:rsid w:val="5E796B34"/>
    <w:rsid w:val="5E7A2942"/>
    <w:rsid w:val="5E7BA3AB"/>
    <w:rsid w:val="5E7D4515"/>
    <w:rsid w:val="5E7F3DF1"/>
    <w:rsid w:val="5E7FF2F2"/>
    <w:rsid w:val="5E80A684"/>
    <w:rsid w:val="5E82476D"/>
    <w:rsid w:val="5E85D96E"/>
    <w:rsid w:val="5E87C799"/>
    <w:rsid w:val="5E88C884"/>
    <w:rsid w:val="5E893B1C"/>
    <w:rsid w:val="5E8B2355"/>
    <w:rsid w:val="5E8B88CE"/>
    <w:rsid w:val="5E8D275E"/>
    <w:rsid w:val="5E8E5D2E"/>
    <w:rsid w:val="5E8F544F"/>
    <w:rsid w:val="5E911622"/>
    <w:rsid w:val="5E91D10A"/>
    <w:rsid w:val="5E91D51F"/>
    <w:rsid w:val="5E91E134"/>
    <w:rsid w:val="5E93EBEA"/>
    <w:rsid w:val="5E956C80"/>
    <w:rsid w:val="5E96144C"/>
    <w:rsid w:val="5E96B65F"/>
    <w:rsid w:val="5E974FC2"/>
    <w:rsid w:val="5E99A158"/>
    <w:rsid w:val="5E99E703"/>
    <w:rsid w:val="5E9A1651"/>
    <w:rsid w:val="5E9C24BB"/>
    <w:rsid w:val="5E9D4725"/>
    <w:rsid w:val="5E9D61D0"/>
    <w:rsid w:val="5E9D7D51"/>
    <w:rsid w:val="5E9DF78D"/>
    <w:rsid w:val="5E9E770A"/>
    <w:rsid w:val="5E9F4849"/>
    <w:rsid w:val="5EA08D58"/>
    <w:rsid w:val="5EA4EB1B"/>
    <w:rsid w:val="5EA5ADF3"/>
    <w:rsid w:val="5EA67A44"/>
    <w:rsid w:val="5EA7B2A3"/>
    <w:rsid w:val="5EA823BF"/>
    <w:rsid w:val="5EA923B0"/>
    <w:rsid w:val="5EABAA1A"/>
    <w:rsid w:val="5EAEBDF6"/>
    <w:rsid w:val="5EAF3E34"/>
    <w:rsid w:val="5EAFD34E"/>
    <w:rsid w:val="5EB31D33"/>
    <w:rsid w:val="5EB327F6"/>
    <w:rsid w:val="5EB7B94A"/>
    <w:rsid w:val="5EB8291C"/>
    <w:rsid w:val="5EB85F52"/>
    <w:rsid w:val="5EB96350"/>
    <w:rsid w:val="5EBB3CFA"/>
    <w:rsid w:val="5EBE3805"/>
    <w:rsid w:val="5EBF960F"/>
    <w:rsid w:val="5EC06C2D"/>
    <w:rsid w:val="5EC11BE7"/>
    <w:rsid w:val="5EC35B69"/>
    <w:rsid w:val="5EC3E83C"/>
    <w:rsid w:val="5EC41DD9"/>
    <w:rsid w:val="5EC531B3"/>
    <w:rsid w:val="5EC5327E"/>
    <w:rsid w:val="5EC591A1"/>
    <w:rsid w:val="5EC6D22E"/>
    <w:rsid w:val="5EC7B0BF"/>
    <w:rsid w:val="5EC88672"/>
    <w:rsid w:val="5EC91073"/>
    <w:rsid w:val="5ECA1AB0"/>
    <w:rsid w:val="5ECA6FC7"/>
    <w:rsid w:val="5ECA953C"/>
    <w:rsid w:val="5ECAD12B"/>
    <w:rsid w:val="5ECB695A"/>
    <w:rsid w:val="5ECCB07F"/>
    <w:rsid w:val="5ECE4361"/>
    <w:rsid w:val="5ECF9737"/>
    <w:rsid w:val="5ECFB3D1"/>
    <w:rsid w:val="5ED36E7E"/>
    <w:rsid w:val="5ED48593"/>
    <w:rsid w:val="5ED5F94B"/>
    <w:rsid w:val="5ED86AE9"/>
    <w:rsid w:val="5EDCC6CD"/>
    <w:rsid w:val="5EDD203A"/>
    <w:rsid w:val="5EDF2909"/>
    <w:rsid w:val="5EE0F7DA"/>
    <w:rsid w:val="5EE291B8"/>
    <w:rsid w:val="5EE2E39B"/>
    <w:rsid w:val="5EE36AC7"/>
    <w:rsid w:val="5EE5F695"/>
    <w:rsid w:val="5EEACDDD"/>
    <w:rsid w:val="5EEBA28E"/>
    <w:rsid w:val="5EEC068A"/>
    <w:rsid w:val="5EECDCD2"/>
    <w:rsid w:val="5EEF1BAC"/>
    <w:rsid w:val="5EEF2F76"/>
    <w:rsid w:val="5EF144CB"/>
    <w:rsid w:val="5EF185EA"/>
    <w:rsid w:val="5EF30D0A"/>
    <w:rsid w:val="5EF46E7C"/>
    <w:rsid w:val="5EF56B61"/>
    <w:rsid w:val="5EF6E391"/>
    <w:rsid w:val="5EF7C749"/>
    <w:rsid w:val="5EFADB7B"/>
    <w:rsid w:val="5EFCE0BD"/>
    <w:rsid w:val="5EFD237B"/>
    <w:rsid w:val="5EFD5018"/>
    <w:rsid w:val="5EFE6867"/>
    <w:rsid w:val="5EFF9152"/>
    <w:rsid w:val="5F013EBE"/>
    <w:rsid w:val="5F015ACA"/>
    <w:rsid w:val="5F01AA1E"/>
    <w:rsid w:val="5F025720"/>
    <w:rsid w:val="5F02FB4F"/>
    <w:rsid w:val="5F03D0D3"/>
    <w:rsid w:val="5F041A44"/>
    <w:rsid w:val="5F07B8A2"/>
    <w:rsid w:val="5F0A3514"/>
    <w:rsid w:val="5F102EFC"/>
    <w:rsid w:val="5F11697D"/>
    <w:rsid w:val="5F142882"/>
    <w:rsid w:val="5F16B1E8"/>
    <w:rsid w:val="5F191C92"/>
    <w:rsid w:val="5F1D6CFE"/>
    <w:rsid w:val="5F1E7687"/>
    <w:rsid w:val="5F1EDB17"/>
    <w:rsid w:val="5F216883"/>
    <w:rsid w:val="5F22108B"/>
    <w:rsid w:val="5F237795"/>
    <w:rsid w:val="5F245606"/>
    <w:rsid w:val="5F24877E"/>
    <w:rsid w:val="5F25FF90"/>
    <w:rsid w:val="5F27BA1E"/>
    <w:rsid w:val="5F29893F"/>
    <w:rsid w:val="5F29BED2"/>
    <w:rsid w:val="5F2A940A"/>
    <w:rsid w:val="5F2CDFB3"/>
    <w:rsid w:val="5F2D0595"/>
    <w:rsid w:val="5F2E3A4B"/>
    <w:rsid w:val="5F2EABBA"/>
    <w:rsid w:val="5F2F8116"/>
    <w:rsid w:val="5F302BA0"/>
    <w:rsid w:val="5F3136C4"/>
    <w:rsid w:val="5F319749"/>
    <w:rsid w:val="5F32F3B2"/>
    <w:rsid w:val="5F340FD7"/>
    <w:rsid w:val="5F359920"/>
    <w:rsid w:val="5F35C8B3"/>
    <w:rsid w:val="5F3875F9"/>
    <w:rsid w:val="5F38B8D3"/>
    <w:rsid w:val="5F38C428"/>
    <w:rsid w:val="5F390C45"/>
    <w:rsid w:val="5F3A350A"/>
    <w:rsid w:val="5F3AB734"/>
    <w:rsid w:val="5F3ABFCB"/>
    <w:rsid w:val="5F3AFE78"/>
    <w:rsid w:val="5F40B14D"/>
    <w:rsid w:val="5F4292ED"/>
    <w:rsid w:val="5F43BF42"/>
    <w:rsid w:val="5F472116"/>
    <w:rsid w:val="5F4764B1"/>
    <w:rsid w:val="5F47AD6B"/>
    <w:rsid w:val="5F4863FB"/>
    <w:rsid w:val="5F48C869"/>
    <w:rsid w:val="5F4A322A"/>
    <w:rsid w:val="5F4B7B23"/>
    <w:rsid w:val="5F4C7F75"/>
    <w:rsid w:val="5F511AFB"/>
    <w:rsid w:val="5F518D6E"/>
    <w:rsid w:val="5F531084"/>
    <w:rsid w:val="5F552EF4"/>
    <w:rsid w:val="5F556F8D"/>
    <w:rsid w:val="5F562A71"/>
    <w:rsid w:val="5F58C472"/>
    <w:rsid w:val="5F58C80D"/>
    <w:rsid w:val="5F5935FA"/>
    <w:rsid w:val="5F5C9949"/>
    <w:rsid w:val="5F5D0E1B"/>
    <w:rsid w:val="5F5E0EB1"/>
    <w:rsid w:val="5F5E57AF"/>
    <w:rsid w:val="5F5F3515"/>
    <w:rsid w:val="5F5FB731"/>
    <w:rsid w:val="5F61625C"/>
    <w:rsid w:val="5F61BC41"/>
    <w:rsid w:val="5F623074"/>
    <w:rsid w:val="5F629157"/>
    <w:rsid w:val="5F640F44"/>
    <w:rsid w:val="5F645BEE"/>
    <w:rsid w:val="5F677A00"/>
    <w:rsid w:val="5F6859E3"/>
    <w:rsid w:val="5F6D3DEB"/>
    <w:rsid w:val="5F6DB757"/>
    <w:rsid w:val="5F6E5FF9"/>
    <w:rsid w:val="5F6F3793"/>
    <w:rsid w:val="5F70CABF"/>
    <w:rsid w:val="5F7119D4"/>
    <w:rsid w:val="5F7313C3"/>
    <w:rsid w:val="5F7468C4"/>
    <w:rsid w:val="5F75B7E2"/>
    <w:rsid w:val="5F798C0D"/>
    <w:rsid w:val="5F7C7E6B"/>
    <w:rsid w:val="5F7CC0E7"/>
    <w:rsid w:val="5F7F71D6"/>
    <w:rsid w:val="5F804BF8"/>
    <w:rsid w:val="5F805DC8"/>
    <w:rsid w:val="5F80C32A"/>
    <w:rsid w:val="5F828090"/>
    <w:rsid w:val="5F829101"/>
    <w:rsid w:val="5F82D6C5"/>
    <w:rsid w:val="5F890EBE"/>
    <w:rsid w:val="5F89D823"/>
    <w:rsid w:val="5F8B0D26"/>
    <w:rsid w:val="5F8CFFB5"/>
    <w:rsid w:val="5F8DED7A"/>
    <w:rsid w:val="5F920A5E"/>
    <w:rsid w:val="5F937008"/>
    <w:rsid w:val="5F95DA03"/>
    <w:rsid w:val="5F993B6D"/>
    <w:rsid w:val="5F9A851B"/>
    <w:rsid w:val="5F9B887F"/>
    <w:rsid w:val="5FA0BFDD"/>
    <w:rsid w:val="5FA15877"/>
    <w:rsid w:val="5FA35126"/>
    <w:rsid w:val="5FA65C00"/>
    <w:rsid w:val="5FA9B305"/>
    <w:rsid w:val="5FAB8679"/>
    <w:rsid w:val="5FAD11D1"/>
    <w:rsid w:val="5FAF873A"/>
    <w:rsid w:val="5FB0E06D"/>
    <w:rsid w:val="5FB4A69E"/>
    <w:rsid w:val="5FB5D4CF"/>
    <w:rsid w:val="5FB5DBC5"/>
    <w:rsid w:val="5FB71243"/>
    <w:rsid w:val="5FBA4CAE"/>
    <w:rsid w:val="5FBB0880"/>
    <w:rsid w:val="5FBD96DA"/>
    <w:rsid w:val="5FBE7067"/>
    <w:rsid w:val="5FBEAC2E"/>
    <w:rsid w:val="5FBEAC40"/>
    <w:rsid w:val="5FBF2987"/>
    <w:rsid w:val="5FC08979"/>
    <w:rsid w:val="5FC18707"/>
    <w:rsid w:val="5FC1BBFB"/>
    <w:rsid w:val="5FC57A79"/>
    <w:rsid w:val="5FC7A2F3"/>
    <w:rsid w:val="5FC90F2C"/>
    <w:rsid w:val="5FCAA289"/>
    <w:rsid w:val="5FCB0D89"/>
    <w:rsid w:val="5FCBEE01"/>
    <w:rsid w:val="5FCCDD27"/>
    <w:rsid w:val="5FCCE3CA"/>
    <w:rsid w:val="5FCED6BF"/>
    <w:rsid w:val="5FD32FFB"/>
    <w:rsid w:val="5FD3FA51"/>
    <w:rsid w:val="5FD4E445"/>
    <w:rsid w:val="5FD8F161"/>
    <w:rsid w:val="5FD93968"/>
    <w:rsid w:val="5FD9586B"/>
    <w:rsid w:val="5FDBC2D3"/>
    <w:rsid w:val="5FDD767A"/>
    <w:rsid w:val="5FDF7424"/>
    <w:rsid w:val="5FDFF4F0"/>
    <w:rsid w:val="5FDFF955"/>
    <w:rsid w:val="5FE1FE09"/>
    <w:rsid w:val="5FE37BD5"/>
    <w:rsid w:val="5FE3B2C6"/>
    <w:rsid w:val="5FE63DC2"/>
    <w:rsid w:val="5FE7AC4D"/>
    <w:rsid w:val="5FE8E877"/>
    <w:rsid w:val="5FE90C7A"/>
    <w:rsid w:val="5FE97691"/>
    <w:rsid w:val="5FE9E353"/>
    <w:rsid w:val="5FEA08A9"/>
    <w:rsid w:val="5FEAB728"/>
    <w:rsid w:val="5FEADEC4"/>
    <w:rsid w:val="5FEAF4F6"/>
    <w:rsid w:val="5FEFBAC2"/>
    <w:rsid w:val="5FF27C93"/>
    <w:rsid w:val="5FF2FB29"/>
    <w:rsid w:val="5FF3507F"/>
    <w:rsid w:val="5FF571E8"/>
    <w:rsid w:val="5FF7EB83"/>
    <w:rsid w:val="5FF8EE0D"/>
    <w:rsid w:val="5FFF28B6"/>
    <w:rsid w:val="5FFF2DEC"/>
    <w:rsid w:val="60024078"/>
    <w:rsid w:val="60033023"/>
    <w:rsid w:val="6003659B"/>
    <w:rsid w:val="60043EC9"/>
    <w:rsid w:val="600441C0"/>
    <w:rsid w:val="60051339"/>
    <w:rsid w:val="600647F7"/>
    <w:rsid w:val="60087B50"/>
    <w:rsid w:val="6009C398"/>
    <w:rsid w:val="600B4289"/>
    <w:rsid w:val="600C2F4E"/>
    <w:rsid w:val="600EDBDC"/>
    <w:rsid w:val="6012CE63"/>
    <w:rsid w:val="60147121"/>
    <w:rsid w:val="6014B9CC"/>
    <w:rsid w:val="6019C235"/>
    <w:rsid w:val="601B200E"/>
    <w:rsid w:val="601C35E0"/>
    <w:rsid w:val="601DDF4F"/>
    <w:rsid w:val="601E7577"/>
    <w:rsid w:val="601EE83F"/>
    <w:rsid w:val="60228F6B"/>
    <w:rsid w:val="6023FB4B"/>
    <w:rsid w:val="6025E106"/>
    <w:rsid w:val="6026FE35"/>
    <w:rsid w:val="60279A3F"/>
    <w:rsid w:val="6028C239"/>
    <w:rsid w:val="60298814"/>
    <w:rsid w:val="602A96E3"/>
    <w:rsid w:val="602AF2D4"/>
    <w:rsid w:val="602C2D4B"/>
    <w:rsid w:val="602D2AF4"/>
    <w:rsid w:val="602D59B0"/>
    <w:rsid w:val="602D9490"/>
    <w:rsid w:val="602E34D0"/>
    <w:rsid w:val="602F4837"/>
    <w:rsid w:val="6030008A"/>
    <w:rsid w:val="60301F7C"/>
    <w:rsid w:val="6034A602"/>
    <w:rsid w:val="6034D0AA"/>
    <w:rsid w:val="6034D59F"/>
    <w:rsid w:val="603504CF"/>
    <w:rsid w:val="6036D70C"/>
    <w:rsid w:val="60398677"/>
    <w:rsid w:val="603AB17C"/>
    <w:rsid w:val="603AEBFD"/>
    <w:rsid w:val="603C0142"/>
    <w:rsid w:val="603E657A"/>
    <w:rsid w:val="6041C720"/>
    <w:rsid w:val="60442A1D"/>
    <w:rsid w:val="60461340"/>
    <w:rsid w:val="6048EEA6"/>
    <w:rsid w:val="604D00EC"/>
    <w:rsid w:val="604D5416"/>
    <w:rsid w:val="604DD83E"/>
    <w:rsid w:val="6050FA06"/>
    <w:rsid w:val="60527209"/>
    <w:rsid w:val="60554EB2"/>
    <w:rsid w:val="6055DF36"/>
    <w:rsid w:val="6056F0A6"/>
    <w:rsid w:val="6058077D"/>
    <w:rsid w:val="60598DE1"/>
    <w:rsid w:val="605A3462"/>
    <w:rsid w:val="605A38C4"/>
    <w:rsid w:val="605C32F7"/>
    <w:rsid w:val="605CC8FA"/>
    <w:rsid w:val="605EEFB3"/>
    <w:rsid w:val="60646840"/>
    <w:rsid w:val="606520EA"/>
    <w:rsid w:val="6066B9DF"/>
    <w:rsid w:val="606870FE"/>
    <w:rsid w:val="60688321"/>
    <w:rsid w:val="60695209"/>
    <w:rsid w:val="606973F6"/>
    <w:rsid w:val="606CDC11"/>
    <w:rsid w:val="606CEA98"/>
    <w:rsid w:val="606DF1A7"/>
    <w:rsid w:val="607065B2"/>
    <w:rsid w:val="6072AC72"/>
    <w:rsid w:val="6072E296"/>
    <w:rsid w:val="6073336D"/>
    <w:rsid w:val="607387FD"/>
    <w:rsid w:val="6073F64F"/>
    <w:rsid w:val="60745FF8"/>
    <w:rsid w:val="607475A9"/>
    <w:rsid w:val="6075190C"/>
    <w:rsid w:val="607577B9"/>
    <w:rsid w:val="607831A2"/>
    <w:rsid w:val="607871CA"/>
    <w:rsid w:val="6078C300"/>
    <w:rsid w:val="607959A5"/>
    <w:rsid w:val="6079C044"/>
    <w:rsid w:val="607A6E1B"/>
    <w:rsid w:val="607AC17C"/>
    <w:rsid w:val="607D6873"/>
    <w:rsid w:val="607EA687"/>
    <w:rsid w:val="607EB997"/>
    <w:rsid w:val="608003F1"/>
    <w:rsid w:val="6081504E"/>
    <w:rsid w:val="60843EFC"/>
    <w:rsid w:val="6084E0F0"/>
    <w:rsid w:val="6084E6BB"/>
    <w:rsid w:val="60857F70"/>
    <w:rsid w:val="6085BAA6"/>
    <w:rsid w:val="6086395E"/>
    <w:rsid w:val="608A488D"/>
    <w:rsid w:val="608B92DD"/>
    <w:rsid w:val="608E015A"/>
    <w:rsid w:val="608F624F"/>
    <w:rsid w:val="609210C2"/>
    <w:rsid w:val="6093288F"/>
    <w:rsid w:val="6094AFD0"/>
    <w:rsid w:val="6094D9E8"/>
    <w:rsid w:val="609621F9"/>
    <w:rsid w:val="609770A1"/>
    <w:rsid w:val="60977BB3"/>
    <w:rsid w:val="60995462"/>
    <w:rsid w:val="609B5EFD"/>
    <w:rsid w:val="609BE8B0"/>
    <w:rsid w:val="609C7893"/>
    <w:rsid w:val="609C8712"/>
    <w:rsid w:val="60A0D548"/>
    <w:rsid w:val="60A226AB"/>
    <w:rsid w:val="60A500D6"/>
    <w:rsid w:val="60A5CB33"/>
    <w:rsid w:val="60A7BFA5"/>
    <w:rsid w:val="60AA88E6"/>
    <w:rsid w:val="60AC3138"/>
    <w:rsid w:val="60AC3638"/>
    <w:rsid w:val="60ADEE51"/>
    <w:rsid w:val="60AEAE5E"/>
    <w:rsid w:val="60B049B4"/>
    <w:rsid w:val="60B3B909"/>
    <w:rsid w:val="60B534BB"/>
    <w:rsid w:val="60B59AD7"/>
    <w:rsid w:val="60B76274"/>
    <w:rsid w:val="60BBE383"/>
    <w:rsid w:val="60BD1283"/>
    <w:rsid w:val="60BD4FC0"/>
    <w:rsid w:val="60BE1CDC"/>
    <w:rsid w:val="60BE20C8"/>
    <w:rsid w:val="60BF5DE1"/>
    <w:rsid w:val="60C09D9F"/>
    <w:rsid w:val="60C144E7"/>
    <w:rsid w:val="60C7C5F3"/>
    <w:rsid w:val="60C92497"/>
    <w:rsid w:val="60C9533D"/>
    <w:rsid w:val="60C9E59B"/>
    <w:rsid w:val="60CA0646"/>
    <w:rsid w:val="60CAF771"/>
    <w:rsid w:val="60D00CC8"/>
    <w:rsid w:val="60D02988"/>
    <w:rsid w:val="60D165A6"/>
    <w:rsid w:val="60D3EF83"/>
    <w:rsid w:val="60D48A93"/>
    <w:rsid w:val="60D7276B"/>
    <w:rsid w:val="60D7FBF4"/>
    <w:rsid w:val="60DE275E"/>
    <w:rsid w:val="60E458D4"/>
    <w:rsid w:val="60E50292"/>
    <w:rsid w:val="60E69ADC"/>
    <w:rsid w:val="60E80244"/>
    <w:rsid w:val="60E81FA5"/>
    <w:rsid w:val="60E8C8D5"/>
    <w:rsid w:val="60E972BC"/>
    <w:rsid w:val="60EBAE17"/>
    <w:rsid w:val="60EDECBD"/>
    <w:rsid w:val="60F03FA9"/>
    <w:rsid w:val="60F0499C"/>
    <w:rsid w:val="60F1043B"/>
    <w:rsid w:val="60F1E5CB"/>
    <w:rsid w:val="60F2F617"/>
    <w:rsid w:val="60F39314"/>
    <w:rsid w:val="60F41E06"/>
    <w:rsid w:val="60F73556"/>
    <w:rsid w:val="60F80B6E"/>
    <w:rsid w:val="60F86CEE"/>
    <w:rsid w:val="60FAD1B9"/>
    <w:rsid w:val="60FB3A6B"/>
    <w:rsid w:val="60FF6E5B"/>
    <w:rsid w:val="61003BC6"/>
    <w:rsid w:val="6100B7E1"/>
    <w:rsid w:val="6100D047"/>
    <w:rsid w:val="61037797"/>
    <w:rsid w:val="6103D370"/>
    <w:rsid w:val="61046969"/>
    <w:rsid w:val="6106CEC4"/>
    <w:rsid w:val="610A973E"/>
    <w:rsid w:val="610B05D6"/>
    <w:rsid w:val="610B6398"/>
    <w:rsid w:val="610B846F"/>
    <w:rsid w:val="610B95CE"/>
    <w:rsid w:val="610C115C"/>
    <w:rsid w:val="610C54B2"/>
    <w:rsid w:val="610E8CB0"/>
    <w:rsid w:val="61126797"/>
    <w:rsid w:val="61141768"/>
    <w:rsid w:val="6116230E"/>
    <w:rsid w:val="611791A9"/>
    <w:rsid w:val="61187B45"/>
    <w:rsid w:val="6118FD7B"/>
    <w:rsid w:val="611A7202"/>
    <w:rsid w:val="611D4C4A"/>
    <w:rsid w:val="611FFBE8"/>
    <w:rsid w:val="61234618"/>
    <w:rsid w:val="6126DE69"/>
    <w:rsid w:val="6127C7AF"/>
    <w:rsid w:val="6127D193"/>
    <w:rsid w:val="612D225F"/>
    <w:rsid w:val="612D6182"/>
    <w:rsid w:val="612F18EC"/>
    <w:rsid w:val="61309935"/>
    <w:rsid w:val="6130F518"/>
    <w:rsid w:val="61313AC4"/>
    <w:rsid w:val="61321E62"/>
    <w:rsid w:val="61350734"/>
    <w:rsid w:val="6136EE34"/>
    <w:rsid w:val="6138CC96"/>
    <w:rsid w:val="6138F20E"/>
    <w:rsid w:val="613D366D"/>
    <w:rsid w:val="613E2A43"/>
    <w:rsid w:val="6149C9AA"/>
    <w:rsid w:val="614A711E"/>
    <w:rsid w:val="614C64A0"/>
    <w:rsid w:val="614D266D"/>
    <w:rsid w:val="614E6D52"/>
    <w:rsid w:val="614E96C0"/>
    <w:rsid w:val="61511B0B"/>
    <w:rsid w:val="6151CDE7"/>
    <w:rsid w:val="6152C2CD"/>
    <w:rsid w:val="615563C8"/>
    <w:rsid w:val="6157E77C"/>
    <w:rsid w:val="61582325"/>
    <w:rsid w:val="6158E339"/>
    <w:rsid w:val="615B472C"/>
    <w:rsid w:val="615B53C8"/>
    <w:rsid w:val="615DBC37"/>
    <w:rsid w:val="616007EE"/>
    <w:rsid w:val="6162679B"/>
    <w:rsid w:val="6162EFD0"/>
    <w:rsid w:val="6165FF44"/>
    <w:rsid w:val="61660D6B"/>
    <w:rsid w:val="6168AFFC"/>
    <w:rsid w:val="616B5D55"/>
    <w:rsid w:val="616DB7AA"/>
    <w:rsid w:val="617074EF"/>
    <w:rsid w:val="6172F6B9"/>
    <w:rsid w:val="6174355D"/>
    <w:rsid w:val="6174D90B"/>
    <w:rsid w:val="617652C9"/>
    <w:rsid w:val="6176A2B9"/>
    <w:rsid w:val="6177F821"/>
    <w:rsid w:val="6179BE86"/>
    <w:rsid w:val="617D903B"/>
    <w:rsid w:val="618085FA"/>
    <w:rsid w:val="61819F5F"/>
    <w:rsid w:val="61821BB9"/>
    <w:rsid w:val="6182B293"/>
    <w:rsid w:val="61833B5A"/>
    <w:rsid w:val="61837571"/>
    <w:rsid w:val="6185578F"/>
    <w:rsid w:val="618583AC"/>
    <w:rsid w:val="61859D51"/>
    <w:rsid w:val="61866E1A"/>
    <w:rsid w:val="6188DCA9"/>
    <w:rsid w:val="6188E3E0"/>
    <w:rsid w:val="618AB62F"/>
    <w:rsid w:val="618AD685"/>
    <w:rsid w:val="618D24D5"/>
    <w:rsid w:val="618F0B63"/>
    <w:rsid w:val="61911991"/>
    <w:rsid w:val="6191FA00"/>
    <w:rsid w:val="619202A5"/>
    <w:rsid w:val="61924917"/>
    <w:rsid w:val="61936A47"/>
    <w:rsid w:val="61937595"/>
    <w:rsid w:val="6194CD69"/>
    <w:rsid w:val="6195C3FA"/>
    <w:rsid w:val="61964290"/>
    <w:rsid w:val="619712A7"/>
    <w:rsid w:val="619811A7"/>
    <w:rsid w:val="6199832F"/>
    <w:rsid w:val="6199CD2D"/>
    <w:rsid w:val="619AFEB6"/>
    <w:rsid w:val="619C375B"/>
    <w:rsid w:val="619F2D70"/>
    <w:rsid w:val="61A058C7"/>
    <w:rsid w:val="61A0ED37"/>
    <w:rsid w:val="61A14D24"/>
    <w:rsid w:val="61A19DC8"/>
    <w:rsid w:val="61A396F5"/>
    <w:rsid w:val="61A81A3E"/>
    <w:rsid w:val="61A9341A"/>
    <w:rsid w:val="61AA88E3"/>
    <w:rsid w:val="61AC25D9"/>
    <w:rsid w:val="61ACA59B"/>
    <w:rsid w:val="61B2AF8D"/>
    <w:rsid w:val="61B74CAD"/>
    <w:rsid w:val="61B81284"/>
    <w:rsid w:val="61B8A652"/>
    <w:rsid w:val="61BA0F46"/>
    <w:rsid w:val="61BA4CC7"/>
    <w:rsid w:val="61BA7056"/>
    <w:rsid w:val="61BC2DB0"/>
    <w:rsid w:val="61C0BDF1"/>
    <w:rsid w:val="61C13986"/>
    <w:rsid w:val="61C1AFCD"/>
    <w:rsid w:val="61C6C335"/>
    <w:rsid w:val="61C86D8E"/>
    <w:rsid w:val="61C93737"/>
    <w:rsid w:val="61CB8175"/>
    <w:rsid w:val="61CBB6D0"/>
    <w:rsid w:val="61CF7CF3"/>
    <w:rsid w:val="61D02FA9"/>
    <w:rsid w:val="61D5E7AB"/>
    <w:rsid w:val="61D62013"/>
    <w:rsid w:val="61D63C93"/>
    <w:rsid w:val="61D6B342"/>
    <w:rsid w:val="61D75130"/>
    <w:rsid w:val="61DAF3BF"/>
    <w:rsid w:val="61DC4360"/>
    <w:rsid w:val="61DCA01C"/>
    <w:rsid w:val="61DDCDF7"/>
    <w:rsid w:val="61DF674C"/>
    <w:rsid w:val="61E04997"/>
    <w:rsid w:val="61E255D2"/>
    <w:rsid w:val="61E5A929"/>
    <w:rsid w:val="61E9E509"/>
    <w:rsid w:val="61EB8DD1"/>
    <w:rsid w:val="61EC0D68"/>
    <w:rsid w:val="61EF2ADE"/>
    <w:rsid w:val="61EFA58A"/>
    <w:rsid w:val="61EFF1BB"/>
    <w:rsid w:val="61F14CC8"/>
    <w:rsid w:val="61F1DB2B"/>
    <w:rsid w:val="61F1E315"/>
    <w:rsid w:val="61F3FC75"/>
    <w:rsid w:val="61F95549"/>
    <w:rsid w:val="61FA50A3"/>
    <w:rsid w:val="61FA6C7A"/>
    <w:rsid w:val="61FD4AC1"/>
    <w:rsid w:val="61FF078D"/>
    <w:rsid w:val="62031E4B"/>
    <w:rsid w:val="6203452C"/>
    <w:rsid w:val="6203D819"/>
    <w:rsid w:val="6204CD41"/>
    <w:rsid w:val="6207E385"/>
    <w:rsid w:val="62086202"/>
    <w:rsid w:val="620A22AC"/>
    <w:rsid w:val="620BAB00"/>
    <w:rsid w:val="620D3760"/>
    <w:rsid w:val="620E185B"/>
    <w:rsid w:val="620ECA5E"/>
    <w:rsid w:val="6210FB14"/>
    <w:rsid w:val="6211C0A6"/>
    <w:rsid w:val="6212299A"/>
    <w:rsid w:val="6213929C"/>
    <w:rsid w:val="62168447"/>
    <w:rsid w:val="621A4711"/>
    <w:rsid w:val="621B12F8"/>
    <w:rsid w:val="621C1989"/>
    <w:rsid w:val="621C5424"/>
    <w:rsid w:val="621CFECA"/>
    <w:rsid w:val="621DE949"/>
    <w:rsid w:val="621DF132"/>
    <w:rsid w:val="621E5E7B"/>
    <w:rsid w:val="62201CD4"/>
    <w:rsid w:val="6220D52D"/>
    <w:rsid w:val="6221A655"/>
    <w:rsid w:val="6222546D"/>
    <w:rsid w:val="62237CC5"/>
    <w:rsid w:val="62252B2B"/>
    <w:rsid w:val="62255F4D"/>
    <w:rsid w:val="6226FBB5"/>
    <w:rsid w:val="622A0B4C"/>
    <w:rsid w:val="622B0A32"/>
    <w:rsid w:val="622B32B0"/>
    <w:rsid w:val="622B4045"/>
    <w:rsid w:val="622C19FE"/>
    <w:rsid w:val="622CE4EA"/>
    <w:rsid w:val="622E87E0"/>
    <w:rsid w:val="622EB214"/>
    <w:rsid w:val="62327B01"/>
    <w:rsid w:val="62344FA5"/>
    <w:rsid w:val="623589E6"/>
    <w:rsid w:val="6235CBEF"/>
    <w:rsid w:val="62369117"/>
    <w:rsid w:val="6236C5F7"/>
    <w:rsid w:val="6237B5C4"/>
    <w:rsid w:val="6237E57A"/>
    <w:rsid w:val="62383BCF"/>
    <w:rsid w:val="623A742E"/>
    <w:rsid w:val="623C0D17"/>
    <w:rsid w:val="623CB8C8"/>
    <w:rsid w:val="623F2D11"/>
    <w:rsid w:val="6241D473"/>
    <w:rsid w:val="62446EB9"/>
    <w:rsid w:val="624563F8"/>
    <w:rsid w:val="62457EAD"/>
    <w:rsid w:val="62463AAF"/>
    <w:rsid w:val="62470D85"/>
    <w:rsid w:val="62476228"/>
    <w:rsid w:val="6249CA7C"/>
    <w:rsid w:val="624A0C23"/>
    <w:rsid w:val="624AAA5F"/>
    <w:rsid w:val="624E17E3"/>
    <w:rsid w:val="624F8D29"/>
    <w:rsid w:val="62501460"/>
    <w:rsid w:val="6250BD54"/>
    <w:rsid w:val="62518AC1"/>
    <w:rsid w:val="6252810B"/>
    <w:rsid w:val="62541351"/>
    <w:rsid w:val="6255A846"/>
    <w:rsid w:val="62589874"/>
    <w:rsid w:val="625F4C4D"/>
    <w:rsid w:val="62600876"/>
    <w:rsid w:val="6261D1FB"/>
    <w:rsid w:val="62627A1A"/>
    <w:rsid w:val="6265AA74"/>
    <w:rsid w:val="6265AAF1"/>
    <w:rsid w:val="6266C8E4"/>
    <w:rsid w:val="626993EF"/>
    <w:rsid w:val="626A1D73"/>
    <w:rsid w:val="626ABFB8"/>
    <w:rsid w:val="626AC463"/>
    <w:rsid w:val="626B8D7F"/>
    <w:rsid w:val="626DE3A5"/>
    <w:rsid w:val="626DEB33"/>
    <w:rsid w:val="627043D7"/>
    <w:rsid w:val="62725D24"/>
    <w:rsid w:val="627394B6"/>
    <w:rsid w:val="6278408F"/>
    <w:rsid w:val="62784FAE"/>
    <w:rsid w:val="627968A1"/>
    <w:rsid w:val="627A5E3B"/>
    <w:rsid w:val="627C1AAF"/>
    <w:rsid w:val="627EF642"/>
    <w:rsid w:val="627F2AB4"/>
    <w:rsid w:val="62811B59"/>
    <w:rsid w:val="6283EA07"/>
    <w:rsid w:val="62846FE7"/>
    <w:rsid w:val="6284935A"/>
    <w:rsid w:val="62861803"/>
    <w:rsid w:val="6286F525"/>
    <w:rsid w:val="62874359"/>
    <w:rsid w:val="6287A0AB"/>
    <w:rsid w:val="628A5163"/>
    <w:rsid w:val="628B9010"/>
    <w:rsid w:val="628C6B0D"/>
    <w:rsid w:val="628CC11E"/>
    <w:rsid w:val="628D1D40"/>
    <w:rsid w:val="628F2AE4"/>
    <w:rsid w:val="62903648"/>
    <w:rsid w:val="6293EB69"/>
    <w:rsid w:val="62965127"/>
    <w:rsid w:val="62987318"/>
    <w:rsid w:val="629978FC"/>
    <w:rsid w:val="629AACED"/>
    <w:rsid w:val="629AB67B"/>
    <w:rsid w:val="629FC5EE"/>
    <w:rsid w:val="629FEBD6"/>
    <w:rsid w:val="62A361F1"/>
    <w:rsid w:val="62A49169"/>
    <w:rsid w:val="62A74F0A"/>
    <w:rsid w:val="62AAF630"/>
    <w:rsid w:val="62AB34D2"/>
    <w:rsid w:val="62AB6062"/>
    <w:rsid w:val="62AD2CBC"/>
    <w:rsid w:val="62AE6769"/>
    <w:rsid w:val="62AE9A63"/>
    <w:rsid w:val="62AF62C7"/>
    <w:rsid w:val="62AF7F1C"/>
    <w:rsid w:val="62B0059A"/>
    <w:rsid w:val="62B09F9A"/>
    <w:rsid w:val="62B326F8"/>
    <w:rsid w:val="62B3AE34"/>
    <w:rsid w:val="62B53188"/>
    <w:rsid w:val="62B53902"/>
    <w:rsid w:val="62B6C565"/>
    <w:rsid w:val="62B6F7C6"/>
    <w:rsid w:val="62B8D094"/>
    <w:rsid w:val="62BC6476"/>
    <w:rsid w:val="62BDFEB1"/>
    <w:rsid w:val="62BEAE5F"/>
    <w:rsid w:val="62BEB011"/>
    <w:rsid w:val="62BEBA83"/>
    <w:rsid w:val="62BF92BD"/>
    <w:rsid w:val="62C0AEE2"/>
    <w:rsid w:val="62C0D580"/>
    <w:rsid w:val="62C3624A"/>
    <w:rsid w:val="62C5615F"/>
    <w:rsid w:val="62C91CA9"/>
    <w:rsid w:val="62C93A47"/>
    <w:rsid w:val="62C99ECA"/>
    <w:rsid w:val="62C9D7BA"/>
    <w:rsid w:val="62C9EA19"/>
    <w:rsid w:val="62CA790F"/>
    <w:rsid w:val="62CB215A"/>
    <w:rsid w:val="62CDECA2"/>
    <w:rsid w:val="62D1D837"/>
    <w:rsid w:val="62D1E566"/>
    <w:rsid w:val="62D20BE5"/>
    <w:rsid w:val="62D21889"/>
    <w:rsid w:val="62D28748"/>
    <w:rsid w:val="62D3251E"/>
    <w:rsid w:val="62D47911"/>
    <w:rsid w:val="62D809B6"/>
    <w:rsid w:val="62D9D7D6"/>
    <w:rsid w:val="62DB5E2B"/>
    <w:rsid w:val="62DCA059"/>
    <w:rsid w:val="62DCD9A5"/>
    <w:rsid w:val="62DE3EC5"/>
    <w:rsid w:val="62DECC2C"/>
    <w:rsid w:val="62E0B461"/>
    <w:rsid w:val="62E1C656"/>
    <w:rsid w:val="62E28F95"/>
    <w:rsid w:val="62E44B1E"/>
    <w:rsid w:val="62E73593"/>
    <w:rsid w:val="62E79498"/>
    <w:rsid w:val="62E81AAD"/>
    <w:rsid w:val="62E93646"/>
    <w:rsid w:val="62EA159A"/>
    <w:rsid w:val="62EBD6F6"/>
    <w:rsid w:val="62EC71DA"/>
    <w:rsid w:val="62ED3ECB"/>
    <w:rsid w:val="62F051B6"/>
    <w:rsid w:val="62F24B85"/>
    <w:rsid w:val="62F39207"/>
    <w:rsid w:val="62F492D8"/>
    <w:rsid w:val="62F4EA26"/>
    <w:rsid w:val="62F6F61E"/>
    <w:rsid w:val="62F7EE6A"/>
    <w:rsid w:val="62F93481"/>
    <w:rsid w:val="62FAB185"/>
    <w:rsid w:val="62FB78DB"/>
    <w:rsid w:val="62FC752A"/>
    <w:rsid w:val="62FD509B"/>
    <w:rsid w:val="62FF6D77"/>
    <w:rsid w:val="63004561"/>
    <w:rsid w:val="6300B617"/>
    <w:rsid w:val="6302E020"/>
    <w:rsid w:val="63076B4B"/>
    <w:rsid w:val="63094711"/>
    <w:rsid w:val="630B850E"/>
    <w:rsid w:val="630C0449"/>
    <w:rsid w:val="630D6D46"/>
    <w:rsid w:val="63138B38"/>
    <w:rsid w:val="631442DE"/>
    <w:rsid w:val="631521ED"/>
    <w:rsid w:val="63155B0D"/>
    <w:rsid w:val="6315F76C"/>
    <w:rsid w:val="6319280F"/>
    <w:rsid w:val="631A2683"/>
    <w:rsid w:val="631BA346"/>
    <w:rsid w:val="631E2070"/>
    <w:rsid w:val="631FAAC4"/>
    <w:rsid w:val="63209A10"/>
    <w:rsid w:val="6321F363"/>
    <w:rsid w:val="6322367A"/>
    <w:rsid w:val="63237397"/>
    <w:rsid w:val="63249D33"/>
    <w:rsid w:val="6324A624"/>
    <w:rsid w:val="6325E324"/>
    <w:rsid w:val="632603AF"/>
    <w:rsid w:val="6326BF1A"/>
    <w:rsid w:val="6326FF28"/>
    <w:rsid w:val="6327032D"/>
    <w:rsid w:val="63276A52"/>
    <w:rsid w:val="6328ABB1"/>
    <w:rsid w:val="6328C97F"/>
    <w:rsid w:val="63297C61"/>
    <w:rsid w:val="632A3276"/>
    <w:rsid w:val="632B870D"/>
    <w:rsid w:val="633255FF"/>
    <w:rsid w:val="633286FC"/>
    <w:rsid w:val="633332AC"/>
    <w:rsid w:val="63339B70"/>
    <w:rsid w:val="6335DD3D"/>
    <w:rsid w:val="633867F0"/>
    <w:rsid w:val="633A496D"/>
    <w:rsid w:val="633C0507"/>
    <w:rsid w:val="633E06D6"/>
    <w:rsid w:val="633EE0DB"/>
    <w:rsid w:val="63402004"/>
    <w:rsid w:val="63422F67"/>
    <w:rsid w:val="634292D7"/>
    <w:rsid w:val="63438F70"/>
    <w:rsid w:val="6344ED08"/>
    <w:rsid w:val="63452944"/>
    <w:rsid w:val="634697CE"/>
    <w:rsid w:val="63477C5A"/>
    <w:rsid w:val="6348EA0C"/>
    <w:rsid w:val="63497479"/>
    <w:rsid w:val="634F2F20"/>
    <w:rsid w:val="63514824"/>
    <w:rsid w:val="635148DF"/>
    <w:rsid w:val="635193DE"/>
    <w:rsid w:val="635194C0"/>
    <w:rsid w:val="63523C3F"/>
    <w:rsid w:val="6352B03F"/>
    <w:rsid w:val="63556711"/>
    <w:rsid w:val="6359D289"/>
    <w:rsid w:val="635B03AF"/>
    <w:rsid w:val="635C39A7"/>
    <w:rsid w:val="635E8929"/>
    <w:rsid w:val="6360C205"/>
    <w:rsid w:val="63627139"/>
    <w:rsid w:val="6363774D"/>
    <w:rsid w:val="636526A0"/>
    <w:rsid w:val="63659762"/>
    <w:rsid w:val="6365D131"/>
    <w:rsid w:val="636632B4"/>
    <w:rsid w:val="6367EAFF"/>
    <w:rsid w:val="636A6F1F"/>
    <w:rsid w:val="636AA525"/>
    <w:rsid w:val="636AF0A3"/>
    <w:rsid w:val="636BE5EB"/>
    <w:rsid w:val="636D03D8"/>
    <w:rsid w:val="636DD8FE"/>
    <w:rsid w:val="636EDD32"/>
    <w:rsid w:val="63719AFB"/>
    <w:rsid w:val="6371F858"/>
    <w:rsid w:val="63721C42"/>
    <w:rsid w:val="6372D3C5"/>
    <w:rsid w:val="637392FC"/>
    <w:rsid w:val="6374AFD9"/>
    <w:rsid w:val="637543C9"/>
    <w:rsid w:val="6376126B"/>
    <w:rsid w:val="63791C48"/>
    <w:rsid w:val="63799000"/>
    <w:rsid w:val="637AE434"/>
    <w:rsid w:val="637B2DC7"/>
    <w:rsid w:val="637DA05B"/>
    <w:rsid w:val="637E6252"/>
    <w:rsid w:val="637EBD8E"/>
    <w:rsid w:val="637F9BF3"/>
    <w:rsid w:val="637FC3CD"/>
    <w:rsid w:val="63816279"/>
    <w:rsid w:val="638263EC"/>
    <w:rsid w:val="6382725B"/>
    <w:rsid w:val="6382FE1C"/>
    <w:rsid w:val="6383048B"/>
    <w:rsid w:val="63845DC2"/>
    <w:rsid w:val="6384D9CF"/>
    <w:rsid w:val="6385D84E"/>
    <w:rsid w:val="6386BDFC"/>
    <w:rsid w:val="638707C8"/>
    <w:rsid w:val="6389492C"/>
    <w:rsid w:val="638AA909"/>
    <w:rsid w:val="638B830E"/>
    <w:rsid w:val="638F9906"/>
    <w:rsid w:val="63918F32"/>
    <w:rsid w:val="6391AA57"/>
    <w:rsid w:val="63971DD4"/>
    <w:rsid w:val="63982524"/>
    <w:rsid w:val="6399A487"/>
    <w:rsid w:val="6399B809"/>
    <w:rsid w:val="639A558E"/>
    <w:rsid w:val="639CBAA1"/>
    <w:rsid w:val="639CD19D"/>
    <w:rsid w:val="639F1AE6"/>
    <w:rsid w:val="63A0FAFA"/>
    <w:rsid w:val="63A1362B"/>
    <w:rsid w:val="63A1D171"/>
    <w:rsid w:val="63A229A4"/>
    <w:rsid w:val="63A28C3A"/>
    <w:rsid w:val="63A3E7CF"/>
    <w:rsid w:val="63A5AC63"/>
    <w:rsid w:val="63A910A0"/>
    <w:rsid w:val="63A910CF"/>
    <w:rsid w:val="63A96267"/>
    <w:rsid w:val="63ADE89B"/>
    <w:rsid w:val="63AE0AD4"/>
    <w:rsid w:val="63AE70B0"/>
    <w:rsid w:val="63AFF374"/>
    <w:rsid w:val="63AFFF1B"/>
    <w:rsid w:val="63B122CB"/>
    <w:rsid w:val="63B3D879"/>
    <w:rsid w:val="63B6CE40"/>
    <w:rsid w:val="63B8B5E2"/>
    <w:rsid w:val="63B94584"/>
    <w:rsid w:val="63BA35AD"/>
    <w:rsid w:val="63BA4796"/>
    <w:rsid w:val="63C05147"/>
    <w:rsid w:val="63C06729"/>
    <w:rsid w:val="63C090E0"/>
    <w:rsid w:val="63C0E5A3"/>
    <w:rsid w:val="63C11CE2"/>
    <w:rsid w:val="63C196E7"/>
    <w:rsid w:val="63C3A141"/>
    <w:rsid w:val="63C415F5"/>
    <w:rsid w:val="63C4FDFA"/>
    <w:rsid w:val="63C5B9C1"/>
    <w:rsid w:val="63CAFF38"/>
    <w:rsid w:val="63CD0CAE"/>
    <w:rsid w:val="63CDBDC3"/>
    <w:rsid w:val="63CE1D20"/>
    <w:rsid w:val="63D06F81"/>
    <w:rsid w:val="63D08E80"/>
    <w:rsid w:val="63D12837"/>
    <w:rsid w:val="63D32E6F"/>
    <w:rsid w:val="63D5149F"/>
    <w:rsid w:val="63D793FC"/>
    <w:rsid w:val="63D895B8"/>
    <w:rsid w:val="63D92DDA"/>
    <w:rsid w:val="63D93F02"/>
    <w:rsid w:val="63D97CBC"/>
    <w:rsid w:val="63D9B8D9"/>
    <w:rsid w:val="63D9EF3F"/>
    <w:rsid w:val="63DAFAC5"/>
    <w:rsid w:val="63DB0BD0"/>
    <w:rsid w:val="63DE604A"/>
    <w:rsid w:val="63DF9188"/>
    <w:rsid w:val="63E33874"/>
    <w:rsid w:val="63E4B218"/>
    <w:rsid w:val="63E67AC0"/>
    <w:rsid w:val="63E75696"/>
    <w:rsid w:val="63E96196"/>
    <w:rsid w:val="63E9E106"/>
    <w:rsid w:val="63EC3335"/>
    <w:rsid w:val="63EE6728"/>
    <w:rsid w:val="63EE7826"/>
    <w:rsid w:val="63F06524"/>
    <w:rsid w:val="63F3D15E"/>
    <w:rsid w:val="63F3E61E"/>
    <w:rsid w:val="63F6BB49"/>
    <w:rsid w:val="63FB6E5E"/>
    <w:rsid w:val="63FB73A1"/>
    <w:rsid w:val="63FBB797"/>
    <w:rsid w:val="63FE5134"/>
    <w:rsid w:val="6402B72E"/>
    <w:rsid w:val="6404C0BF"/>
    <w:rsid w:val="6404C1B8"/>
    <w:rsid w:val="6408FB28"/>
    <w:rsid w:val="640974E2"/>
    <w:rsid w:val="640B31EB"/>
    <w:rsid w:val="640BF3A4"/>
    <w:rsid w:val="640E0D2B"/>
    <w:rsid w:val="6411B49C"/>
    <w:rsid w:val="6411E22F"/>
    <w:rsid w:val="64131745"/>
    <w:rsid w:val="6414EFE2"/>
    <w:rsid w:val="64188EAD"/>
    <w:rsid w:val="6418979A"/>
    <w:rsid w:val="64197D6B"/>
    <w:rsid w:val="6419E7FC"/>
    <w:rsid w:val="641A45CD"/>
    <w:rsid w:val="641DDA0F"/>
    <w:rsid w:val="641DDE3B"/>
    <w:rsid w:val="641F80CC"/>
    <w:rsid w:val="6422AFC2"/>
    <w:rsid w:val="6422E0EB"/>
    <w:rsid w:val="6423A6D6"/>
    <w:rsid w:val="642964B1"/>
    <w:rsid w:val="6429DA4C"/>
    <w:rsid w:val="6429F67A"/>
    <w:rsid w:val="642B2EEB"/>
    <w:rsid w:val="642BA81B"/>
    <w:rsid w:val="642CE779"/>
    <w:rsid w:val="642F4690"/>
    <w:rsid w:val="6430267F"/>
    <w:rsid w:val="64305C10"/>
    <w:rsid w:val="64314269"/>
    <w:rsid w:val="64319953"/>
    <w:rsid w:val="64337CCB"/>
    <w:rsid w:val="6433A57E"/>
    <w:rsid w:val="64360999"/>
    <w:rsid w:val="643A9422"/>
    <w:rsid w:val="643A9F35"/>
    <w:rsid w:val="643C16D7"/>
    <w:rsid w:val="643C2F56"/>
    <w:rsid w:val="643E8A27"/>
    <w:rsid w:val="643FE9CA"/>
    <w:rsid w:val="64400F79"/>
    <w:rsid w:val="644143EF"/>
    <w:rsid w:val="64417A84"/>
    <w:rsid w:val="6444203F"/>
    <w:rsid w:val="64442130"/>
    <w:rsid w:val="64443202"/>
    <w:rsid w:val="64447A3C"/>
    <w:rsid w:val="6445256E"/>
    <w:rsid w:val="6446BA00"/>
    <w:rsid w:val="64477E69"/>
    <w:rsid w:val="644A979F"/>
    <w:rsid w:val="644AAE7F"/>
    <w:rsid w:val="644D42FB"/>
    <w:rsid w:val="644D6FC8"/>
    <w:rsid w:val="644FAB76"/>
    <w:rsid w:val="6450D948"/>
    <w:rsid w:val="64538FFB"/>
    <w:rsid w:val="6454FED8"/>
    <w:rsid w:val="64553517"/>
    <w:rsid w:val="64561C63"/>
    <w:rsid w:val="6457DE8F"/>
    <w:rsid w:val="6458A3C1"/>
    <w:rsid w:val="645B1A7E"/>
    <w:rsid w:val="645B8140"/>
    <w:rsid w:val="645BDF1A"/>
    <w:rsid w:val="645CD447"/>
    <w:rsid w:val="645D64FF"/>
    <w:rsid w:val="645D6534"/>
    <w:rsid w:val="645EA318"/>
    <w:rsid w:val="6460BC40"/>
    <w:rsid w:val="64631D34"/>
    <w:rsid w:val="64639A62"/>
    <w:rsid w:val="64650417"/>
    <w:rsid w:val="6465FC00"/>
    <w:rsid w:val="646884BB"/>
    <w:rsid w:val="6469AC36"/>
    <w:rsid w:val="6469CE08"/>
    <w:rsid w:val="646C1C38"/>
    <w:rsid w:val="646C6358"/>
    <w:rsid w:val="646EBB57"/>
    <w:rsid w:val="646ECF4F"/>
    <w:rsid w:val="64720185"/>
    <w:rsid w:val="64726EED"/>
    <w:rsid w:val="6475A8D6"/>
    <w:rsid w:val="6475DF09"/>
    <w:rsid w:val="64769E50"/>
    <w:rsid w:val="64777DD6"/>
    <w:rsid w:val="6477EA0C"/>
    <w:rsid w:val="6479DD04"/>
    <w:rsid w:val="647A0E84"/>
    <w:rsid w:val="647BC279"/>
    <w:rsid w:val="647E7135"/>
    <w:rsid w:val="647EDD9B"/>
    <w:rsid w:val="647F44E7"/>
    <w:rsid w:val="648020B8"/>
    <w:rsid w:val="6483A026"/>
    <w:rsid w:val="648429C2"/>
    <w:rsid w:val="64857B54"/>
    <w:rsid w:val="6485E96F"/>
    <w:rsid w:val="6486E567"/>
    <w:rsid w:val="64873BB6"/>
    <w:rsid w:val="64894528"/>
    <w:rsid w:val="648A74FD"/>
    <w:rsid w:val="648BC81F"/>
    <w:rsid w:val="648DCA2E"/>
    <w:rsid w:val="6490D637"/>
    <w:rsid w:val="6492BB29"/>
    <w:rsid w:val="6493F9B0"/>
    <w:rsid w:val="6496012F"/>
    <w:rsid w:val="6497E5F6"/>
    <w:rsid w:val="64986E34"/>
    <w:rsid w:val="6498CE20"/>
    <w:rsid w:val="6498E7B5"/>
    <w:rsid w:val="649C32CE"/>
    <w:rsid w:val="649CDA0A"/>
    <w:rsid w:val="649D2FC0"/>
    <w:rsid w:val="649E0DC8"/>
    <w:rsid w:val="649E9745"/>
    <w:rsid w:val="649EF286"/>
    <w:rsid w:val="649EFCC5"/>
    <w:rsid w:val="649F097D"/>
    <w:rsid w:val="649F411B"/>
    <w:rsid w:val="64A37794"/>
    <w:rsid w:val="64A3AADB"/>
    <w:rsid w:val="64A45A5A"/>
    <w:rsid w:val="64A47A3A"/>
    <w:rsid w:val="64A4F680"/>
    <w:rsid w:val="64A76077"/>
    <w:rsid w:val="64A9F11F"/>
    <w:rsid w:val="64AA43D2"/>
    <w:rsid w:val="64AA81B8"/>
    <w:rsid w:val="64AE3047"/>
    <w:rsid w:val="64AF2FF1"/>
    <w:rsid w:val="64B0E79D"/>
    <w:rsid w:val="64B27C27"/>
    <w:rsid w:val="64B31370"/>
    <w:rsid w:val="64B685A9"/>
    <w:rsid w:val="64B6F692"/>
    <w:rsid w:val="64B87B05"/>
    <w:rsid w:val="64B9B353"/>
    <w:rsid w:val="64BA1B42"/>
    <w:rsid w:val="64BA5D90"/>
    <w:rsid w:val="64BC4386"/>
    <w:rsid w:val="64BDE44A"/>
    <w:rsid w:val="64BE60F2"/>
    <w:rsid w:val="64C030CC"/>
    <w:rsid w:val="64C34A1B"/>
    <w:rsid w:val="64C50D72"/>
    <w:rsid w:val="64C55243"/>
    <w:rsid w:val="64C6987F"/>
    <w:rsid w:val="64C9DB6F"/>
    <w:rsid w:val="64CE9789"/>
    <w:rsid w:val="64D11B9A"/>
    <w:rsid w:val="64D23BF1"/>
    <w:rsid w:val="64D3A13C"/>
    <w:rsid w:val="64D67A11"/>
    <w:rsid w:val="64D794C2"/>
    <w:rsid w:val="64D7B99E"/>
    <w:rsid w:val="64D9499F"/>
    <w:rsid w:val="64DDBBCD"/>
    <w:rsid w:val="64DDCCA6"/>
    <w:rsid w:val="64DE4BFA"/>
    <w:rsid w:val="64DE78F3"/>
    <w:rsid w:val="64DE8E12"/>
    <w:rsid w:val="64DEA80B"/>
    <w:rsid w:val="64DF00F5"/>
    <w:rsid w:val="64DF6A73"/>
    <w:rsid w:val="64DFF786"/>
    <w:rsid w:val="64E31803"/>
    <w:rsid w:val="64E58DF1"/>
    <w:rsid w:val="64E58E12"/>
    <w:rsid w:val="64E7856A"/>
    <w:rsid w:val="64E986C7"/>
    <w:rsid w:val="64ED49A2"/>
    <w:rsid w:val="64EDB904"/>
    <w:rsid w:val="64EE518E"/>
    <w:rsid w:val="64F07CC2"/>
    <w:rsid w:val="64F0F771"/>
    <w:rsid w:val="64F1D262"/>
    <w:rsid w:val="64F23850"/>
    <w:rsid w:val="64F28524"/>
    <w:rsid w:val="64F43009"/>
    <w:rsid w:val="64F583A1"/>
    <w:rsid w:val="64F883E1"/>
    <w:rsid w:val="64F8A29A"/>
    <w:rsid w:val="64F9D93D"/>
    <w:rsid w:val="64FA90D0"/>
    <w:rsid w:val="64FAB556"/>
    <w:rsid w:val="64FB4BFF"/>
    <w:rsid w:val="64FD7AAB"/>
    <w:rsid w:val="6500304F"/>
    <w:rsid w:val="6500AC0F"/>
    <w:rsid w:val="6502B0F0"/>
    <w:rsid w:val="6503AFED"/>
    <w:rsid w:val="65057074"/>
    <w:rsid w:val="65098544"/>
    <w:rsid w:val="650B09DF"/>
    <w:rsid w:val="650C61C3"/>
    <w:rsid w:val="6510558E"/>
    <w:rsid w:val="65116DC3"/>
    <w:rsid w:val="65124986"/>
    <w:rsid w:val="651296BA"/>
    <w:rsid w:val="6512DB85"/>
    <w:rsid w:val="65145191"/>
    <w:rsid w:val="651496D0"/>
    <w:rsid w:val="6514A4FF"/>
    <w:rsid w:val="65162ECF"/>
    <w:rsid w:val="6517275F"/>
    <w:rsid w:val="65173B54"/>
    <w:rsid w:val="6517FA67"/>
    <w:rsid w:val="6518FB51"/>
    <w:rsid w:val="65190EE6"/>
    <w:rsid w:val="651A6045"/>
    <w:rsid w:val="651D1007"/>
    <w:rsid w:val="651F80C1"/>
    <w:rsid w:val="65218ACA"/>
    <w:rsid w:val="65219CD1"/>
    <w:rsid w:val="6522E59A"/>
    <w:rsid w:val="65249633"/>
    <w:rsid w:val="6524B845"/>
    <w:rsid w:val="6524C963"/>
    <w:rsid w:val="652689E6"/>
    <w:rsid w:val="652CD2A9"/>
    <w:rsid w:val="65304FA9"/>
    <w:rsid w:val="6531061C"/>
    <w:rsid w:val="653119AE"/>
    <w:rsid w:val="653224E6"/>
    <w:rsid w:val="6532B1F7"/>
    <w:rsid w:val="653710B0"/>
    <w:rsid w:val="653902EA"/>
    <w:rsid w:val="653C1CCC"/>
    <w:rsid w:val="653CC260"/>
    <w:rsid w:val="653D7436"/>
    <w:rsid w:val="653D7926"/>
    <w:rsid w:val="653F5E0E"/>
    <w:rsid w:val="653FEBE2"/>
    <w:rsid w:val="654543F5"/>
    <w:rsid w:val="6545A643"/>
    <w:rsid w:val="6546D47B"/>
    <w:rsid w:val="65485C88"/>
    <w:rsid w:val="654BD706"/>
    <w:rsid w:val="654DB0B5"/>
    <w:rsid w:val="654FB0D5"/>
    <w:rsid w:val="654FBD31"/>
    <w:rsid w:val="655001B7"/>
    <w:rsid w:val="6551E58B"/>
    <w:rsid w:val="65521E2D"/>
    <w:rsid w:val="65533254"/>
    <w:rsid w:val="6553D073"/>
    <w:rsid w:val="65558C3D"/>
    <w:rsid w:val="6556E0A2"/>
    <w:rsid w:val="65587722"/>
    <w:rsid w:val="655938B7"/>
    <w:rsid w:val="655A66A9"/>
    <w:rsid w:val="655B60FF"/>
    <w:rsid w:val="655C0C53"/>
    <w:rsid w:val="655E3F56"/>
    <w:rsid w:val="656038E6"/>
    <w:rsid w:val="6563939A"/>
    <w:rsid w:val="6563C54F"/>
    <w:rsid w:val="6565187A"/>
    <w:rsid w:val="6566BA15"/>
    <w:rsid w:val="6569BAA0"/>
    <w:rsid w:val="656A416A"/>
    <w:rsid w:val="656D12A6"/>
    <w:rsid w:val="656EB455"/>
    <w:rsid w:val="656F3562"/>
    <w:rsid w:val="656F8C55"/>
    <w:rsid w:val="65706C13"/>
    <w:rsid w:val="65717E54"/>
    <w:rsid w:val="6571F78E"/>
    <w:rsid w:val="65723A7F"/>
    <w:rsid w:val="65732B9B"/>
    <w:rsid w:val="6574F51F"/>
    <w:rsid w:val="6574FE57"/>
    <w:rsid w:val="65751155"/>
    <w:rsid w:val="6575AF3A"/>
    <w:rsid w:val="65784C8B"/>
    <w:rsid w:val="65799084"/>
    <w:rsid w:val="657BB3E2"/>
    <w:rsid w:val="657D2E1C"/>
    <w:rsid w:val="6580CC03"/>
    <w:rsid w:val="6581E450"/>
    <w:rsid w:val="65827DEC"/>
    <w:rsid w:val="65839200"/>
    <w:rsid w:val="65840160"/>
    <w:rsid w:val="65843C8C"/>
    <w:rsid w:val="65852FAF"/>
    <w:rsid w:val="65859246"/>
    <w:rsid w:val="6585FEA5"/>
    <w:rsid w:val="658629EE"/>
    <w:rsid w:val="65869078"/>
    <w:rsid w:val="6586B086"/>
    <w:rsid w:val="65872333"/>
    <w:rsid w:val="65885550"/>
    <w:rsid w:val="6588C21E"/>
    <w:rsid w:val="658A9D48"/>
    <w:rsid w:val="658AB41F"/>
    <w:rsid w:val="658E0B6A"/>
    <w:rsid w:val="658F4BF4"/>
    <w:rsid w:val="658F87AD"/>
    <w:rsid w:val="65905DBE"/>
    <w:rsid w:val="6590C16C"/>
    <w:rsid w:val="65920575"/>
    <w:rsid w:val="65924991"/>
    <w:rsid w:val="6594D5BD"/>
    <w:rsid w:val="65968C0F"/>
    <w:rsid w:val="659877F4"/>
    <w:rsid w:val="65994123"/>
    <w:rsid w:val="659AE3BA"/>
    <w:rsid w:val="659BBD95"/>
    <w:rsid w:val="659BD4B0"/>
    <w:rsid w:val="659F2B45"/>
    <w:rsid w:val="659FE844"/>
    <w:rsid w:val="65A20F9C"/>
    <w:rsid w:val="65A24991"/>
    <w:rsid w:val="65A3B743"/>
    <w:rsid w:val="65A83380"/>
    <w:rsid w:val="65B02004"/>
    <w:rsid w:val="65B0AC0B"/>
    <w:rsid w:val="65B1BB99"/>
    <w:rsid w:val="65B2C578"/>
    <w:rsid w:val="65B514AA"/>
    <w:rsid w:val="65B58129"/>
    <w:rsid w:val="65B8A53C"/>
    <w:rsid w:val="65BA25BC"/>
    <w:rsid w:val="65BA8AF2"/>
    <w:rsid w:val="65BAA402"/>
    <w:rsid w:val="65BBB9E7"/>
    <w:rsid w:val="65BBCAD1"/>
    <w:rsid w:val="65BD01E6"/>
    <w:rsid w:val="65BD21A7"/>
    <w:rsid w:val="65BDCCE1"/>
    <w:rsid w:val="65BECE0D"/>
    <w:rsid w:val="65C0C2D9"/>
    <w:rsid w:val="65C0ED20"/>
    <w:rsid w:val="65C1FB4C"/>
    <w:rsid w:val="65C2EE26"/>
    <w:rsid w:val="65C31B2C"/>
    <w:rsid w:val="65C3774D"/>
    <w:rsid w:val="65C4069F"/>
    <w:rsid w:val="65C53053"/>
    <w:rsid w:val="65C5B967"/>
    <w:rsid w:val="65C70F9F"/>
    <w:rsid w:val="65C723B8"/>
    <w:rsid w:val="65C737A6"/>
    <w:rsid w:val="65CB5AEF"/>
    <w:rsid w:val="65CBC545"/>
    <w:rsid w:val="65CC089B"/>
    <w:rsid w:val="65CC08DF"/>
    <w:rsid w:val="65CCFC1B"/>
    <w:rsid w:val="65CD917F"/>
    <w:rsid w:val="65CE2DF5"/>
    <w:rsid w:val="65CF635F"/>
    <w:rsid w:val="65CF6540"/>
    <w:rsid w:val="65D21B9D"/>
    <w:rsid w:val="65D53520"/>
    <w:rsid w:val="65D59527"/>
    <w:rsid w:val="65D5ACA7"/>
    <w:rsid w:val="65D6B6F5"/>
    <w:rsid w:val="65D82629"/>
    <w:rsid w:val="65D894F0"/>
    <w:rsid w:val="65DB494E"/>
    <w:rsid w:val="65DB677D"/>
    <w:rsid w:val="65E06A16"/>
    <w:rsid w:val="65E34C27"/>
    <w:rsid w:val="65E3820C"/>
    <w:rsid w:val="65E4B2CF"/>
    <w:rsid w:val="65E5C442"/>
    <w:rsid w:val="65E5CE5A"/>
    <w:rsid w:val="65E72A81"/>
    <w:rsid w:val="65E83763"/>
    <w:rsid w:val="65E980CD"/>
    <w:rsid w:val="65EBE213"/>
    <w:rsid w:val="65EC6E9E"/>
    <w:rsid w:val="65ECEEBD"/>
    <w:rsid w:val="65EE05B2"/>
    <w:rsid w:val="65F0CB1E"/>
    <w:rsid w:val="65F0D1BD"/>
    <w:rsid w:val="65F16C76"/>
    <w:rsid w:val="65F268F3"/>
    <w:rsid w:val="65F3D143"/>
    <w:rsid w:val="65F41EF9"/>
    <w:rsid w:val="65F82E16"/>
    <w:rsid w:val="65F8E3B6"/>
    <w:rsid w:val="65F98C64"/>
    <w:rsid w:val="65F9F091"/>
    <w:rsid w:val="65FC0AA7"/>
    <w:rsid w:val="65FC85BC"/>
    <w:rsid w:val="65FD3F31"/>
    <w:rsid w:val="65FDB70A"/>
    <w:rsid w:val="65FE6833"/>
    <w:rsid w:val="65FFE0DB"/>
    <w:rsid w:val="660067AA"/>
    <w:rsid w:val="66013114"/>
    <w:rsid w:val="6601868F"/>
    <w:rsid w:val="6601FCB3"/>
    <w:rsid w:val="66022E47"/>
    <w:rsid w:val="6602882C"/>
    <w:rsid w:val="6603FAA9"/>
    <w:rsid w:val="66044DA7"/>
    <w:rsid w:val="660645BB"/>
    <w:rsid w:val="6606FA89"/>
    <w:rsid w:val="66098040"/>
    <w:rsid w:val="6609E78A"/>
    <w:rsid w:val="660A0BCF"/>
    <w:rsid w:val="660A5B25"/>
    <w:rsid w:val="660B7173"/>
    <w:rsid w:val="660C91D6"/>
    <w:rsid w:val="660C9236"/>
    <w:rsid w:val="660CE2C0"/>
    <w:rsid w:val="660D135D"/>
    <w:rsid w:val="660E04FB"/>
    <w:rsid w:val="660EBF96"/>
    <w:rsid w:val="660FA957"/>
    <w:rsid w:val="6610D820"/>
    <w:rsid w:val="6611225E"/>
    <w:rsid w:val="6619E8BF"/>
    <w:rsid w:val="661B838C"/>
    <w:rsid w:val="661CFB7D"/>
    <w:rsid w:val="661D1808"/>
    <w:rsid w:val="661DE3CC"/>
    <w:rsid w:val="661E4141"/>
    <w:rsid w:val="661EBFEE"/>
    <w:rsid w:val="6620E79B"/>
    <w:rsid w:val="662373C2"/>
    <w:rsid w:val="66242BA2"/>
    <w:rsid w:val="6625A1AF"/>
    <w:rsid w:val="662617BB"/>
    <w:rsid w:val="6627F789"/>
    <w:rsid w:val="66282235"/>
    <w:rsid w:val="66286BA3"/>
    <w:rsid w:val="662F2C43"/>
    <w:rsid w:val="6633EA33"/>
    <w:rsid w:val="6633FC8D"/>
    <w:rsid w:val="6638737C"/>
    <w:rsid w:val="663A0A8C"/>
    <w:rsid w:val="663A1FD1"/>
    <w:rsid w:val="663F4EB3"/>
    <w:rsid w:val="663FAD86"/>
    <w:rsid w:val="664370C0"/>
    <w:rsid w:val="66437FD5"/>
    <w:rsid w:val="66449CD4"/>
    <w:rsid w:val="66451F42"/>
    <w:rsid w:val="664739E0"/>
    <w:rsid w:val="6647708B"/>
    <w:rsid w:val="6647A856"/>
    <w:rsid w:val="66497070"/>
    <w:rsid w:val="6649B02E"/>
    <w:rsid w:val="664B7BDE"/>
    <w:rsid w:val="664BC8AB"/>
    <w:rsid w:val="664C6217"/>
    <w:rsid w:val="664DDDCD"/>
    <w:rsid w:val="665197D7"/>
    <w:rsid w:val="665549A4"/>
    <w:rsid w:val="6655F3F9"/>
    <w:rsid w:val="6656CC41"/>
    <w:rsid w:val="66594148"/>
    <w:rsid w:val="6659CA24"/>
    <w:rsid w:val="665CA8A7"/>
    <w:rsid w:val="665DF2D5"/>
    <w:rsid w:val="665E32C3"/>
    <w:rsid w:val="665F2E77"/>
    <w:rsid w:val="6662F6AB"/>
    <w:rsid w:val="66648416"/>
    <w:rsid w:val="6664D89F"/>
    <w:rsid w:val="6667CF99"/>
    <w:rsid w:val="666ABE5E"/>
    <w:rsid w:val="666AF3D8"/>
    <w:rsid w:val="666E5D5D"/>
    <w:rsid w:val="66710C3E"/>
    <w:rsid w:val="66718FF2"/>
    <w:rsid w:val="667500B0"/>
    <w:rsid w:val="667542A7"/>
    <w:rsid w:val="6676F17F"/>
    <w:rsid w:val="6678EF87"/>
    <w:rsid w:val="667B1C54"/>
    <w:rsid w:val="667CE7E5"/>
    <w:rsid w:val="667DACD3"/>
    <w:rsid w:val="667EBCFA"/>
    <w:rsid w:val="667FA54B"/>
    <w:rsid w:val="6683A044"/>
    <w:rsid w:val="66847E48"/>
    <w:rsid w:val="6684EC79"/>
    <w:rsid w:val="6686ADDC"/>
    <w:rsid w:val="6687D893"/>
    <w:rsid w:val="668E2F2C"/>
    <w:rsid w:val="668E4E11"/>
    <w:rsid w:val="66909F47"/>
    <w:rsid w:val="6690D0F0"/>
    <w:rsid w:val="66917236"/>
    <w:rsid w:val="66932E3D"/>
    <w:rsid w:val="6693D004"/>
    <w:rsid w:val="6694FEFB"/>
    <w:rsid w:val="6698F381"/>
    <w:rsid w:val="669D8B0B"/>
    <w:rsid w:val="66A181D3"/>
    <w:rsid w:val="66A31A2F"/>
    <w:rsid w:val="66A6F7B5"/>
    <w:rsid w:val="66A9BD04"/>
    <w:rsid w:val="66AA73C3"/>
    <w:rsid w:val="66ABDBEA"/>
    <w:rsid w:val="66AD01BA"/>
    <w:rsid w:val="66AD2627"/>
    <w:rsid w:val="66B12D60"/>
    <w:rsid w:val="66B1774D"/>
    <w:rsid w:val="66B322C7"/>
    <w:rsid w:val="66B334DE"/>
    <w:rsid w:val="66B6484D"/>
    <w:rsid w:val="66B8F7CB"/>
    <w:rsid w:val="66BAEB6B"/>
    <w:rsid w:val="66BC2412"/>
    <w:rsid w:val="66BDAE0A"/>
    <w:rsid w:val="66BE013F"/>
    <w:rsid w:val="66BEF577"/>
    <w:rsid w:val="66BF1750"/>
    <w:rsid w:val="66BF18D0"/>
    <w:rsid w:val="66BF20E2"/>
    <w:rsid w:val="66C000D4"/>
    <w:rsid w:val="66C020DD"/>
    <w:rsid w:val="66C1358D"/>
    <w:rsid w:val="66C16887"/>
    <w:rsid w:val="66C23DB2"/>
    <w:rsid w:val="66C5B570"/>
    <w:rsid w:val="66C6E67B"/>
    <w:rsid w:val="66C6FB6B"/>
    <w:rsid w:val="66CE1912"/>
    <w:rsid w:val="66CF7DEA"/>
    <w:rsid w:val="66D266DE"/>
    <w:rsid w:val="66D2926E"/>
    <w:rsid w:val="66D2EEE0"/>
    <w:rsid w:val="66D519C6"/>
    <w:rsid w:val="66DA5383"/>
    <w:rsid w:val="66DE88C2"/>
    <w:rsid w:val="66DE891A"/>
    <w:rsid w:val="66DE9570"/>
    <w:rsid w:val="66DF5408"/>
    <w:rsid w:val="66E01015"/>
    <w:rsid w:val="66E1A1AB"/>
    <w:rsid w:val="66E2163F"/>
    <w:rsid w:val="66E24D69"/>
    <w:rsid w:val="66E2FA36"/>
    <w:rsid w:val="66E4CD26"/>
    <w:rsid w:val="66E9C6F0"/>
    <w:rsid w:val="66EA5FD3"/>
    <w:rsid w:val="66EAC3DA"/>
    <w:rsid w:val="66EAD1D6"/>
    <w:rsid w:val="66EB1B27"/>
    <w:rsid w:val="66EB253A"/>
    <w:rsid w:val="66EF2DB6"/>
    <w:rsid w:val="66EF40EC"/>
    <w:rsid w:val="66F11FFA"/>
    <w:rsid w:val="66F4477C"/>
    <w:rsid w:val="66FDCCAD"/>
    <w:rsid w:val="66FE6385"/>
    <w:rsid w:val="67003DB9"/>
    <w:rsid w:val="67075801"/>
    <w:rsid w:val="670A27DF"/>
    <w:rsid w:val="670A52D3"/>
    <w:rsid w:val="670A8994"/>
    <w:rsid w:val="6710D9A0"/>
    <w:rsid w:val="6711FE03"/>
    <w:rsid w:val="67123947"/>
    <w:rsid w:val="67134622"/>
    <w:rsid w:val="67167332"/>
    <w:rsid w:val="671711F6"/>
    <w:rsid w:val="6717A147"/>
    <w:rsid w:val="6718DEC1"/>
    <w:rsid w:val="67190F6D"/>
    <w:rsid w:val="671A7D2F"/>
    <w:rsid w:val="671BA4BC"/>
    <w:rsid w:val="671C12DE"/>
    <w:rsid w:val="671C7B62"/>
    <w:rsid w:val="671CE6F6"/>
    <w:rsid w:val="671E1741"/>
    <w:rsid w:val="6723C044"/>
    <w:rsid w:val="67249195"/>
    <w:rsid w:val="67260380"/>
    <w:rsid w:val="6726652D"/>
    <w:rsid w:val="6727030C"/>
    <w:rsid w:val="67277A26"/>
    <w:rsid w:val="672A7347"/>
    <w:rsid w:val="672A9795"/>
    <w:rsid w:val="672C5854"/>
    <w:rsid w:val="672CD14E"/>
    <w:rsid w:val="672CDFC4"/>
    <w:rsid w:val="672E75D1"/>
    <w:rsid w:val="6730F97F"/>
    <w:rsid w:val="67315769"/>
    <w:rsid w:val="67317E93"/>
    <w:rsid w:val="673345F5"/>
    <w:rsid w:val="67341EDD"/>
    <w:rsid w:val="67352B08"/>
    <w:rsid w:val="673567B9"/>
    <w:rsid w:val="673657C4"/>
    <w:rsid w:val="6736EE5A"/>
    <w:rsid w:val="67388D3C"/>
    <w:rsid w:val="6738B1BB"/>
    <w:rsid w:val="673A28DF"/>
    <w:rsid w:val="673C362F"/>
    <w:rsid w:val="673C8F45"/>
    <w:rsid w:val="673E7094"/>
    <w:rsid w:val="673F6969"/>
    <w:rsid w:val="673FB9B8"/>
    <w:rsid w:val="67408B21"/>
    <w:rsid w:val="67453268"/>
    <w:rsid w:val="6745E0A8"/>
    <w:rsid w:val="674745DD"/>
    <w:rsid w:val="67485EFF"/>
    <w:rsid w:val="67498146"/>
    <w:rsid w:val="6749DC0F"/>
    <w:rsid w:val="674A9570"/>
    <w:rsid w:val="674B25CD"/>
    <w:rsid w:val="674B3C0E"/>
    <w:rsid w:val="674CDD34"/>
    <w:rsid w:val="674E614F"/>
    <w:rsid w:val="67530A19"/>
    <w:rsid w:val="67533CC5"/>
    <w:rsid w:val="67537CEC"/>
    <w:rsid w:val="6754C9C5"/>
    <w:rsid w:val="675513D4"/>
    <w:rsid w:val="67566997"/>
    <w:rsid w:val="6759B557"/>
    <w:rsid w:val="6759F124"/>
    <w:rsid w:val="675A9DC1"/>
    <w:rsid w:val="675B3520"/>
    <w:rsid w:val="675C34B2"/>
    <w:rsid w:val="675C3E09"/>
    <w:rsid w:val="675C81D2"/>
    <w:rsid w:val="675D4ED4"/>
    <w:rsid w:val="675EBB40"/>
    <w:rsid w:val="675F67A8"/>
    <w:rsid w:val="675F68A3"/>
    <w:rsid w:val="6760C9BF"/>
    <w:rsid w:val="6763ACDC"/>
    <w:rsid w:val="676479B9"/>
    <w:rsid w:val="6765B60B"/>
    <w:rsid w:val="6766BFEE"/>
    <w:rsid w:val="6767C1B0"/>
    <w:rsid w:val="676D3DD9"/>
    <w:rsid w:val="676F3AC0"/>
    <w:rsid w:val="6771B2D2"/>
    <w:rsid w:val="6771BE9B"/>
    <w:rsid w:val="6771C11E"/>
    <w:rsid w:val="67748BB8"/>
    <w:rsid w:val="6775206A"/>
    <w:rsid w:val="6775B500"/>
    <w:rsid w:val="67795EAF"/>
    <w:rsid w:val="677A2290"/>
    <w:rsid w:val="677C1AFE"/>
    <w:rsid w:val="677C2637"/>
    <w:rsid w:val="677E7FA5"/>
    <w:rsid w:val="677F4E2F"/>
    <w:rsid w:val="67857D66"/>
    <w:rsid w:val="678B982D"/>
    <w:rsid w:val="678D87A8"/>
    <w:rsid w:val="67910ED2"/>
    <w:rsid w:val="67932F18"/>
    <w:rsid w:val="6793CEE6"/>
    <w:rsid w:val="6794640C"/>
    <w:rsid w:val="6797DF8D"/>
    <w:rsid w:val="679BD7E5"/>
    <w:rsid w:val="679BFC85"/>
    <w:rsid w:val="679C69EF"/>
    <w:rsid w:val="679D649D"/>
    <w:rsid w:val="679E5FD7"/>
    <w:rsid w:val="67A13CBE"/>
    <w:rsid w:val="67A1B494"/>
    <w:rsid w:val="67A2C841"/>
    <w:rsid w:val="67A3C6EC"/>
    <w:rsid w:val="67A5B7B9"/>
    <w:rsid w:val="67A64401"/>
    <w:rsid w:val="67A74E33"/>
    <w:rsid w:val="67A8A936"/>
    <w:rsid w:val="67A90A49"/>
    <w:rsid w:val="67AA113B"/>
    <w:rsid w:val="67AD953B"/>
    <w:rsid w:val="67AF3183"/>
    <w:rsid w:val="67B14449"/>
    <w:rsid w:val="67B590DB"/>
    <w:rsid w:val="67B5F13B"/>
    <w:rsid w:val="67B63544"/>
    <w:rsid w:val="67B6B008"/>
    <w:rsid w:val="67B79F5C"/>
    <w:rsid w:val="67B89515"/>
    <w:rsid w:val="67BA0BAE"/>
    <w:rsid w:val="67BAFFB2"/>
    <w:rsid w:val="67BB9A62"/>
    <w:rsid w:val="67BCE088"/>
    <w:rsid w:val="67BD27B5"/>
    <w:rsid w:val="67BDA682"/>
    <w:rsid w:val="67BDD350"/>
    <w:rsid w:val="67BEA138"/>
    <w:rsid w:val="67BF1B41"/>
    <w:rsid w:val="67BF95BA"/>
    <w:rsid w:val="67C175C0"/>
    <w:rsid w:val="67C32970"/>
    <w:rsid w:val="67C503AE"/>
    <w:rsid w:val="67C55E93"/>
    <w:rsid w:val="67C8C3BF"/>
    <w:rsid w:val="67CA57B3"/>
    <w:rsid w:val="67CB55D6"/>
    <w:rsid w:val="67CC5D36"/>
    <w:rsid w:val="67CEC8C5"/>
    <w:rsid w:val="67CF1A84"/>
    <w:rsid w:val="67D015B5"/>
    <w:rsid w:val="67D047C8"/>
    <w:rsid w:val="67D33533"/>
    <w:rsid w:val="67D3BC77"/>
    <w:rsid w:val="67D489A2"/>
    <w:rsid w:val="67D51D28"/>
    <w:rsid w:val="67D63AD7"/>
    <w:rsid w:val="67D98FFE"/>
    <w:rsid w:val="67DAD527"/>
    <w:rsid w:val="67DFBF68"/>
    <w:rsid w:val="67E15808"/>
    <w:rsid w:val="67E4788D"/>
    <w:rsid w:val="67E49C18"/>
    <w:rsid w:val="67E59294"/>
    <w:rsid w:val="67E704D7"/>
    <w:rsid w:val="67E7C82E"/>
    <w:rsid w:val="67E8E422"/>
    <w:rsid w:val="67E9B0D4"/>
    <w:rsid w:val="67ED0645"/>
    <w:rsid w:val="67EE86BD"/>
    <w:rsid w:val="67F124A2"/>
    <w:rsid w:val="67F23031"/>
    <w:rsid w:val="67F4A7A1"/>
    <w:rsid w:val="67F640E9"/>
    <w:rsid w:val="67F7F5BA"/>
    <w:rsid w:val="67FBDE06"/>
    <w:rsid w:val="67FE9625"/>
    <w:rsid w:val="68027CFB"/>
    <w:rsid w:val="68040283"/>
    <w:rsid w:val="68070A50"/>
    <w:rsid w:val="680821F3"/>
    <w:rsid w:val="680BC528"/>
    <w:rsid w:val="680D1912"/>
    <w:rsid w:val="680DA94B"/>
    <w:rsid w:val="680F4A74"/>
    <w:rsid w:val="681052D2"/>
    <w:rsid w:val="681175FA"/>
    <w:rsid w:val="6812CCA0"/>
    <w:rsid w:val="68132117"/>
    <w:rsid w:val="6813DB99"/>
    <w:rsid w:val="6813FEF0"/>
    <w:rsid w:val="6816E260"/>
    <w:rsid w:val="6818402C"/>
    <w:rsid w:val="681D371E"/>
    <w:rsid w:val="681E5751"/>
    <w:rsid w:val="681F8171"/>
    <w:rsid w:val="681FE238"/>
    <w:rsid w:val="68213708"/>
    <w:rsid w:val="6821A49C"/>
    <w:rsid w:val="6821FDB1"/>
    <w:rsid w:val="68257FA6"/>
    <w:rsid w:val="68258F9B"/>
    <w:rsid w:val="68262737"/>
    <w:rsid w:val="6826BBA5"/>
    <w:rsid w:val="6826F960"/>
    <w:rsid w:val="68292F61"/>
    <w:rsid w:val="682BCA72"/>
    <w:rsid w:val="682FC5DB"/>
    <w:rsid w:val="682FEE77"/>
    <w:rsid w:val="6831285B"/>
    <w:rsid w:val="68323AFC"/>
    <w:rsid w:val="6834C76B"/>
    <w:rsid w:val="68352121"/>
    <w:rsid w:val="68368095"/>
    <w:rsid w:val="6837C763"/>
    <w:rsid w:val="683CF73A"/>
    <w:rsid w:val="683F0E26"/>
    <w:rsid w:val="683F4823"/>
    <w:rsid w:val="683FEBB4"/>
    <w:rsid w:val="6841034E"/>
    <w:rsid w:val="68416966"/>
    <w:rsid w:val="68423A57"/>
    <w:rsid w:val="68436914"/>
    <w:rsid w:val="6843957D"/>
    <w:rsid w:val="6847CD7A"/>
    <w:rsid w:val="6848FC87"/>
    <w:rsid w:val="6849035B"/>
    <w:rsid w:val="684BE4E7"/>
    <w:rsid w:val="684C8A23"/>
    <w:rsid w:val="684DB4BB"/>
    <w:rsid w:val="684EB4FB"/>
    <w:rsid w:val="68510C72"/>
    <w:rsid w:val="68520EBB"/>
    <w:rsid w:val="68523A84"/>
    <w:rsid w:val="68523E2B"/>
    <w:rsid w:val="6852E8F4"/>
    <w:rsid w:val="685423ED"/>
    <w:rsid w:val="6855F270"/>
    <w:rsid w:val="685704C3"/>
    <w:rsid w:val="685755A2"/>
    <w:rsid w:val="6857C689"/>
    <w:rsid w:val="6858DF86"/>
    <w:rsid w:val="68593F77"/>
    <w:rsid w:val="6859FB83"/>
    <w:rsid w:val="685B23B1"/>
    <w:rsid w:val="685B7785"/>
    <w:rsid w:val="685C7AC5"/>
    <w:rsid w:val="685DBB7F"/>
    <w:rsid w:val="6860576B"/>
    <w:rsid w:val="68615010"/>
    <w:rsid w:val="6861AA29"/>
    <w:rsid w:val="6862A049"/>
    <w:rsid w:val="68639FD4"/>
    <w:rsid w:val="68647E63"/>
    <w:rsid w:val="686553AA"/>
    <w:rsid w:val="6867FABC"/>
    <w:rsid w:val="686885E1"/>
    <w:rsid w:val="686B4DB9"/>
    <w:rsid w:val="686BB7C7"/>
    <w:rsid w:val="686E2666"/>
    <w:rsid w:val="686EEF80"/>
    <w:rsid w:val="68705A3C"/>
    <w:rsid w:val="68705CCA"/>
    <w:rsid w:val="68712604"/>
    <w:rsid w:val="687207EE"/>
    <w:rsid w:val="68737A96"/>
    <w:rsid w:val="6874B9B1"/>
    <w:rsid w:val="687711FE"/>
    <w:rsid w:val="687753C9"/>
    <w:rsid w:val="6878F45D"/>
    <w:rsid w:val="6879A330"/>
    <w:rsid w:val="687A10E2"/>
    <w:rsid w:val="687ADD53"/>
    <w:rsid w:val="687CD528"/>
    <w:rsid w:val="687D457C"/>
    <w:rsid w:val="6880A011"/>
    <w:rsid w:val="68834869"/>
    <w:rsid w:val="6884371A"/>
    <w:rsid w:val="68851A22"/>
    <w:rsid w:val="68858A25"/>
    <w:rsid w:val="688713A6"/>
    <w:rsid w:val="68878949"/>
    <w:rsid w:val="6887DD88"/>
    <w:rsid w:val="6889A89A"/>
    <w:rsid w:val="688B7716"/>
    <w:rsid w:val="688CAF63"/>
    <w:rsid w:val="68927E86"/>
    <w:rsid w:val="6892D19B"/>
    <w:rsid w:val="6895EE94"/>
    <w:rsid w:val="68975622"/>
    <w:rsid w:val="68992FD1"/>
    <w:rsid w:val="68993527"/>
    <w:rsid w:val="689998B0"/>
    <w:rsid w:val="6899B6EC"/>
    <w:rsid w:val="689DBE41"/>
    <w:rsid w:val="689E1FE7"/>
    <w:rsid w:val="68A0563E"/>
    <w:rsid w:val="68A115AF"/>
    <w:rsid w:val="68A17D34"/>
    <w:rsid w:val="68A1E313"/>
    <w:rsid w:val="68A26A9E"/>
    <w:rsid w:val="68A4708B"/>
    <w:rsid w:val="68AE8E54"/>
    <w:rsid w:val="68AF322A"/>
    <w:rsid w:val="68B0FE1E"/>
    <w:rsid w:val="68B18024"/>
    <w:rsid w:val="68B1EE02"/>
    <w:rsid w:val="68B32245"/>
    <w:rsid w:val="68B7DE91"/>
    <w:rsid w:val="68B8AE35"/>
    <w:rsid w:val="68BAA5F7"/>
    <w:rsid w:val="68BDD236"/>
    <w:rsid w:val="68C1F32E"/>
    <w:rsid w:val="68C3DAC4"/>
    <w:rsid w:val="68C42211"/>
    <w:rsid w:val="68C4B477"/>
    <w:rsid w:val="68C53A70"/>
    <w:rsid w:val="68C6E1F7"/>
    <w:rsid w:val="68C72CB9"/>
    <w:rsid w:val="68C73494"/>
    <w:rsid w:val="68C762F4"/>
    <w:rsid w:val="68CC6A3D"/>
    <w:rsid w:val="68CC84F2"/>
    <w:rsid w:val="68CD2D16"/>
    <w:rsid w:val="68CD30EE"/>
    <w:rsid w:val="68CF9360"/>
    <w:rsid w:val="68D0747E"/>
    <w:rsid w:val="68D163D3"/>
    <w:rsid w:val="68D257E9"/>
    <w:rsid w:val="68D32D36"/>
    <w:rsid w:val="68D3568C"/>
    <w:rsid w:val="68D43EB8"/>
    <w:rsid w:val="68D53B1E"/>
    <w:rsid w:val="68D5FEF0"/>
    <w:rsid w:val="68D64EDF"/>
    <w:rsid w:val="68D8BCF9"/>
    <w:rsid w:val="68D8F12E"/>
    <w:rsid w:val="68D9066F"/>
    <w:rsid w:val="68D9C9FB"/>
    <w:rsid w:val="68D9F773"/>
    <w:rsid w:val="68D9FCBB"/>
    <w:rsid w:val="68DAC812"/>
    <w:rsid w:val="68DC6C56"/>
    <w:rsid w:val="68DE80F9"/>
    <w:rsid w:val="68DFD4C9"/>
    <w:rsid w:val="68E17CFD"/>
    <w:rsid w:val="68E18B5A"/>
    <w:rsid w:val="68E1E7C7"/>
    <w:rsid w:val="68E3BEB1"/>
    <w:rsid w:val="68E4DE9F"/>
    <w:rsid w:val="68E52E47"/>
    <w:rsid w:val="68E62F7F"/>
    <w:rsid w:val="68E800EC"/>
    <w:rsid w:val="68E8B41A"/>
    <w:rsid w:val="68E9F868"/>
    <w:rsid w:val="68EA8260"/>
    <w:rsid w:val="68EA96FE"/>
    <w:rsid w:val="68EBD0B6"/>
    <w:rsid w:val="68EE2FC3"/>
    <w:rsid w:val="68EECA90"/>
    <w:rsid w:val="68F17747"/>
    <w:rsid w:val="68F4668C"/>
    <w:rsid w:val="68F7DB86"/>
    <w:rsid w:val="68F86AA6"/>
    <w:rsid w:val="68F8969A"/>
    <w:rsid w:val="68F8E31C"/>
    <w:rsid w:val="68F973D8"/>
    <w:rsid w:val="68F97974"/>
    <w:rsid w:val="68F98E77"/>
    <w:rsid w:val="68FA47D5"/>
    <w:rsid w:val="6900AF99"/>
    <w:rsid w:val="6903B8D2"/>
    <w:rsid w:val="6904B282"/>
    <w:rsid w:val="6904F737"/>
    <w:rsid w:val="69055424"/>
    <w:rsid w:val="69063018"/>
    <w:rsid w:val="6908EDED"/>
    <w:rsid w:val="690C73DC"/>
    <w:rsid w:val="690D0BA8"/>
    <w:rsid w:val="69126D38"/>
    <w:rsid w:val="691819BF"/>
    <w:rsid w:val="691C47E7"/>
    <w:rsid w:val="6920EBBD"/>
    <w:rsid w:val="692286BD"/>
    <w:rsid w:val="69245C39"/>
    <w:rsid w:val="69258567"/>
    <w:rsid w:val="69271B8F"/>
    <w:rsid w:val="6927368E"/>
    <w:rsid w:val="69283297"/>
    <w:rsid w:val="6928B6EA"/>
    <w:rsid w:val="692AC2FD"/>
    <w:rsid w:val="692B3BE6"/>
    <w:rsid w:val="692B9728"/>
    <w:rsid w:val="692C844F"/>
    <w:rsid w:val="69317103"/>
    <w:rsid w:val="69325E59"/>
    <w:rsid w:val="6935FD49"/>
    <w:rsid w:val="69398BA6"/>
    <w:rsid w:val="693A81BE"/>
    <w:rsid w:val="693B897A"/>
    <w:rsid w:val="693FDAAE"/>
    <w:rsid w:val="69405775"/>
    <w:rsid w:val="6940F5C1"/>
    <w:rsid w:val="694144B8"/>
    <w:rsid w:val="6941781F"/>
    <w:rsid w:val="6941AA7C"/>
    <w:rsid w:val="69426CAA"/>
    <w:rsid w:val="69439AED"/>
    <w:rsid w:val="6943AA2E"/>
    <w:rsid w:val="69466269"/>
    <w:rsid w:val="6946B280"/>
    <w:rsid w:val="6949AAB2"/>
    <w:rsid w:val="694A4315"/>
    <w:rsid w:val="694A5A30"/>
    <w:rsid w:val="694C7581"/>
    <w:rsid w:val="6951C6CE"/>
    <w:rsid w:val="69523163"/>
    <w:rsid w:val="69530563"/>
    <w:rsid w:val="6953C1A8"/>
    <w:rsid w:val="69565DD0"/>
    <w:rsid w:val="6956F9A8"/>
    <w:rsid w:val="695917BE"/>
    <w:rsid w:val="6959B7EE"/>
    <w:rsid w:val="695B68CC"/>
    <w:rsid w:val="695C6DDF"/>
    <w:rsid w:val="695DD5EF"/>
    <w:rsid w:val="695F466F"/>
    <w:rsid w:val="69605D70"/>
    <w:rsid w:val="6963F7BD"/>
    <w:rsid w:val="6964E462"/>
    <w:rsid w:val="696533B1"/>
    <w:rsid w:val="6967B1EE"/>
    <w:rsid w:val="6968DE55"/>
    <w:rsid w:val="69692D8D"/>
    <w:rsid w:val="696B5D7F"/>
    <w:rsid w:val="696B9AB4"/>
    <w:rsid w:val="696C214D"/>
    <w:rsid w:val="696C2F7F"/>
    <w:rsid w:val="696CD7C7"/>
    <w:rsid w:val="697214FF"/>
    <w:rsid w:val="697263A8"/>
    <w:rsid w:val="6974F022"/>
    <w:rsid w:val="6974FAA7"/>
    <w:rsid w:val="69754820"/>
    <w:rsid w:val="69783C52"/>
    <w:rsid w:val="6979137E"/>
    <w:rsid w:val="69796D7E"/>
    <w:rsid w:val="697C49FC"/>
    <w:rsid w:val="697DBC9B"/>
    <w:rsid w:val="697E9DA6"/>
    <w:rsid w:val="697F035F"/>
    <w:rsid w:val="697FF9DC"/>
    <w:rsid w:val="69823FBA"/>
    <w:rsid w:val="6985A07F"/>
    <w:rsid w:val="6986838A"/>
    <w:rsid w:val="6987EACE"/>
    <w:rsid w:val="69892D29"/>
    <w:rsid w:val="698E6D03"/>
    <w:rsid w:val="6990A20D"/>
    <w:rsid w:val="69945EF2"/>
    <w:rsid w:val="6994B59A"/>
    <w:rsid w:val="69970B07"/>
    <w:rsid w:val="6999D092"/>
    <w:rsid w:val="699BE4C6"/>
    <w:rsid w:val="699C20D4"/>
    <w:rsid w:val="699E55BF"/>
    <w:rsid w:val="699E954F"/>
    <w:rsid w:val="69A04CF9"/>
    <w:rsid w:val="69A07BD1"/>
    <w:rsid w:val="69A131A1"/>
    <w:rsid w:val="69A2F6B7"/>
    <w:rsid w:val="69A4E7C4"/>
    <w:rsid w:val="69A5810E"/>
    <w:rsid w:val="69A91124"/>
    <w:rsid w:val="69AB5718"/>
    <w:rsid w:val="69AC258E"/>
    <w:rsid w:val="69AD2C4A"/>
    <w:rsid w:val="69AED772"/>
    <w:rsid w:val="69B05BE2"/>
    <w:rsid w:val="69B0A4A1"/>
    <w:rsid w:val="69B3EA87"/>
    <w:rsid w:val="69B5EB44"/>
    <w:rsid w:val="69BB9F91"/>
    <w:rsid w:val="69BBB4CA"/>
    <w:rsid w:val="69BF46FB"/>
    <w:rsid w:val="69C17B3C"/>
    <w:rsid w:val="69C3171F"/>
    <w:rsid w:val="69C649DB"/>
    <w:rsid w:val="69CB40D9"/>
    <w:rsid w:val="69CBE415"/>
    <w:rsid w:val="69CBF226"/>
    <w:rsid w:val="69CD98EB"/>
    <w:rsid w:val="69CE188C"/>
    <w:rsid w:val="69CECE35"/>
    <w:rsid w:val="69D02722"/>
    <w:rsid w:val="69D33291"/>
    <w:rsid w:val="69D33EE6"/>
    <w:rsid w:val="69D36659"/>
    <w:rsid w:val="69D676FD"/>
    <w:rsid w:val="69D71BBD"/>
    <w:rsid w:val="69D81955"/>
    <w:rsid w:val="69D86B5A"/>
    <w:rsid w:val="69DAF85F"/>
    <w:rsid w:val="69DC028E"/>
    <w:rsid w:val="69DE7B02"/>
    <w:rsid w:val="69E2B6B2"/>
    <w:rsid w:val="69E8FC02"/>
    <w:rsid w:val="69EB528A"/>
    <w:rsid w:val="69EC073F"/>
    <w:rsid w:val="69EEB12C"/>
    <w:rsid w:val="69EFB8D6"/>
    <w:rsid w:val="69F1A7DF"/>
    <w:rsid w:val="69F25A6B"/>
    <w:rsid w:val="69F40AE5"/>
    <w:rsid w:val="69F63C88"/>
    <w:rsid w:val="69F64290"/>
    <w:rsid w:val="69F83699"/>
    <w:rsid w:val="69F8593C"/>
    <w:rsid w:val="69FAB33C"/>
    <w:rsid w:val="69FAE8ED"/>
    <w:rsid w:val="69FB94B7"/>
    <w:rsid w:val="69FFA9A3"/>
    <w:rsid w:val="6A00D204"/>
    <w:rsid w:val="6A00D7D3"/>
    <w:rsid w:val="6A0104DC"/>
    <w:rsid w:val="6A0153FF"/>
    <w:rsid w:val="6A017EB5"/>
    <w:rsid w:val="6A045642"/>
    <w:rsid w:val="6A083C66"/>
    <w:rsid w:val="6A087330"/>
    <w:rsid w:val="6A08F07B"/>
    <w:rsid w:val="6A0A237A"/>
    <w:rsid w:val="6A0B379A"/>
    <w:rsid w:val="6A0BF5D1"/>
    <w:rsid w:val="6A10F4A1"/>
    <w:rsid w:val="6A13250E"/>
    <w:rsid w:val="6A156391"/>
    <w:rsid w:val="6A1651BC"/>
    <w:rsid w:val="6A17F28B"/>
    <w:rsid w:val="6A1A4C16"/>
    <w:rsid w:val="6A1DC4F4"/>
    <w:rsid w:val="6A1EAF2F"/>
    <w:rsid w:val="6A1EEC31"/>
    <w:rsid w:val="6A1F497B"/>
    <w:rsid w:val="6A202DB5"/>
    <w:rsid w:val="6A222CB7"/>
    <w:rsid w:val="6A22A51D"/>
    <w:rsid w:val="6A235B61"/>
    <w:rsid w:val="6A2A8CB1"/>
    <w:rsid w:val="6A2B3883"/>
    <w:rsid w:val="6A2C0CBE"/>
    <w:rsid w:val="6A2DAF30"/>
    <w:rsid w:val="6A2DD574"/>
    <w:rsid w:val="6A3068C2"/>
    <w:rsid w:val="6A333A28"/>
    <w:rsid w:val="6A337505"/>
    <w:rsid w:val="6A3630AA"/>
    <w:rsid w:val="6A3684D5"/>
    <w:rsid w:val="6A368ACD"/>
    <w:rsid w:val="6A370E15"/>
    <w:rsid w:val="6A396DD8"/>
    <w:rsid w:val="6A39B2A1"/>
    <w:rsid w:val="6A39C09D"/>
    <w:rsid w:val="6A3B1E1B"/>
    <w:rsid w:val="6A3D0E49"/>
    <w:rsid w:val="6A3E0A10"/>
    <w:rsid w:val="6A3EC9B7"/>
    <w:rsid w:val="6A3ECA8F"/>
    <w:rsid w:val="6A3F2E40"/>
    <w:rsid w:val="6A41A8D1"/>
    <w:rsid w:val="6A41EE22"/>
    <w:rsid w:val="6A42BB05"/>
    <w:rsid w:val="6A4368AE"/>
    <w:rsid w:val="6A444288"/>
    <w:rsid w:val="6A44C49A"/>
    <w:rsid w:val="6A46BA6B"/>
    <w:rsid w:val="6A46F446"/>
    <w:rsid w:val="6A478546"/>
    <w:rsid w:val="6A488201"/>
    <w:rsid w:val="6A494157"/>
    <w:rsid w:val="6A498EB7"/>
    <w:rsid w:val="6A4CFDBF"/>
    <w:rsid w:val="6A4D5A03"/>
    <w:rsid w:val="6A4DE44C"/>
    <w:rsid w:val="6A4F0D58"/>
    <w:rsid w:val="6A4FC634"/>
    <w:rsid w:val="6A50B943"/>
    <w:rsid w:val="6A537D25"/>
    <w:rsid w:val="6A53CCB0"/>
    <w:rsid w:val="6A557550"/>
    <w:rsid w:val="6A55975B"/>
    <w:rsid w:val="6A55ACE1"/>
    <w:rsid w:val="6A582F61"/>
    <w:rsid w:val="6A59A2FD"/>
    <w:rsid w:val="6A5A4889"/>
    <w:rsid w:val="6A5AA3BB"/>
    <w:rsid w:val="6A5BDC69"/>
    <w:rsid w:val="6A5C8E7B"/>
    <w:rsid w:val="6A5E5FB7"/>
    <w:rsid w:val="6A5EA3CE"/>
    <w:rsid w:val="6A5EE385"/>
    <w:rsid w:val="6A6266C3"/>
    <w:rsid w:val="6A628F45"/>
    <w:rsid w:val="6A630DA1"/>
    <w:rsid w:val="6A684537"/>
    <w:rsid w:val="6A69C66E"/>
    <w:rsid w:val="6A6BBCF4"/>
    <w:rsid w:val="6A6C9539"/>
    <w:rsid w:val="6A6D7F23"/>
    <w:rsid w:val="6A6E6272"/>
    <w:rsid w:val="6A6E6A49"/>
    <w:rsid w:val="6A700D31"/>
    <w:rsid w:val="6A72ECD9"/>
    <w:rsid w:val="6A7648B5"/>
    <w:rsid w:val="6A7962F8"/>
    <w:rsid w:val="6A7A7D8F"/>
    <w:rsid w:val="6A7C35CE"/>
    <w:rsid w:val="6A7F64F0"/>
    <w:rsid w:val="6A801344"/>
    <w:rsid w:val="6A821068"/>
    <w:rsid w:val="6A8383F4"/>
    <w:rsid w:val="6A83DD53"/>
    <w:rsid w:val="6A8413F1"/>
    <w:rsid w:val="6A84AB94"/>
    <w:rsid w:val="6A878DCE"/>
    <w:rsid w:val="6A8835E0"/>
    <w:rsid w:val="6A88ED79"/>
    <w:rsid w:val="6A89556A"/>
    <w:rsid w:val="6A8A4F3B"/>
    <w:rsid w:val="6A8BF3D8"/>
    <w:rsid w:val="6A8C0C94"/>
    <w:rsid w:val="6A8C56AB"/>
    <w:rsid w:val="6A8DDB58"/>
    <w:rsid w:val="6A8E4E01"/>
    <w:rsid w:val="6A8F0157"/>
    <w:rsid w:val="6A907384"/>
    <w:rsid w:val="6A90CEB9"/>
    <w:rsid w:val="6A910874"/>
    <w:rsid w:val="6A911500"/>
    <w:rsid w:val="6A923809"/>
    <w:rsid w:val="6A92E4AE"/>
    <w:rsid w:val="6A935380"/>
    <w:rsid w:val="6A93BA83"/>
    <w:rsid w:val="6A98E981"/>
    <w:rsid w:val="6A9A8DAE"/>
    <w:rsid w:val="6A9D0133"/>
    <w:rsid w:val="6A9EEDB4"/>
    <w:rsid w:val="6A9FDE43"/>
    <w:rsid w:val="6AA0852D"/>
    <w:rsid w:val="6AA3B8C3"/>
    <w:rsid w:val="6AA5BBF3"/>
    <w:rsid w:val="6AA6B764"/>
    <w:rsid w:val="6AA78230"/>
    <w:rsid w:val="6AA8032A"/>
    <w:rsid w:val="6AA8C3D0"/>
    <w:rsid w:val="6AB07B76"/>
    <w:rsid w:val="6AB0F7CC"/>
    <w:rsid w:val="6AB471D3"/>
    <w:rsid w:val="6AB4A82F"/>
    <w:rsid w:val="6AB60EC7"/>
    <w:rsid w:val="6AB634D8"/>
    <w:rsid w:val="6AB7DE1B"/>
    <w:rsid w:val="6AB88068"/>
    <w:rsid w:val="6AB8A1C3"/>
    <w:rsid w:val="6ABB7055"/>
    <w:rsid w:val="6ABC7B29"/>
    <w:rsid w:val="6ABDA3C6"/>
    <w:rsid w:val="6AC15551"/>
    <w:rsid w:val="6AC30583"/>
    <w:rsid w:val="6AC36F39"/>
    <w:rsid w:val="6AC59A2F"/>
    <w:rsid w:val="6AC733CB"/>
    <w:rsid w:val="6AC817C1"/>
    <w:rsid w:val="6AC96181"/>
    <w:rsid w:val="6ACA3FF4"/>
    <w:rsid w:val="6ACB8A5B"/>
    <w:rsid w:val="6ACCAEBF"/>
    <w:rsid w:val="6ACE9427"/>
    <w:rsid w:val="6AD0DBAA"/>
    <w:rsid w:val="6AD1EB1E"/>
    <w:rsid w:val="6AD348B7"/>
    <w:rsid w:val="6AD4AD94"/>
    <w:rsid w:val="6AD68CF5"/>
    <w:rsid w:val="6AD7F532"/>
    <w:rsid w:val="6AD941AC"/>
    <w:rsid w:val="6ADC3F36"/>
    <w:rsid w:val="6ADC69F8"/>
    <w:rsid w:val="6ADC7416"/>
    <w:rsid w:val="6ADF2BE3"/>
    <w:rsid w:val="6ADFC764"/>
    <w:rsid w:val="6AE0A7DF"/>
    <w:rsid w:val="6AE122CE"/>
    <w:rsid w:val="6AE20A27"/>
    <w:rsid w:val="6AE25FDE"/>
    <w:rsid w:val="6AE5A60F"/>
    <w:rsid w:val="6AE6795D"/>
    <w:rsid w:val="6AE84AAC"/>
    <w:rsid w:val="6AE8C36A"/>
    <w:rsid w:val="6AE8E81D"/>
    <w:rsid w:val="6AEB3BEE"/>
    <w:rsid w:val="6AEBD44C"/>
    <w:rsid w:val="6AEC7838"/>
    <w:rsid w:val="6AED6AD6"/>
    <w:rsid w:val="6AEF7E2C"/>
    <w:rsid w:val="6AF21AF5"/>
    <w:rsid w:val="6AF3D29F"/>
    <w:rsid w:val="6AF5CB81"/>
    <w:rsid w:val="6AF79A30"/>
    <w:rsid w:val="6AF866FE"/>
    <w:rsid w:val="6AF9FBC9"/>
    <w:rsid w:val="6AFA4A7E"/>
    <w:rsid w:val="6AFAB102"/>
    <w:rsid w:val="6AFBEA6B"/>
    <w:rsid w:val="6AFD2FFA"/>
    <w:rsid w:val="6B01B6B0"/>
    <w:rsid w:val="6B0218E5"/>
    <w:rsid w:val="6B0284E6"/>
    <w:rsid w:val="6B0322C8"/>
    <w:rsid w:val="6B04618C"/>
    <w:rsid w:val="6B052A6B"/>
    <w:rsid w:val="6B0A4349"/>
    <w:rsid w:val="6B0B8112"/>
    <w:rsid w:val="6B0D087B"/>
    <w:rsid w:val="6B0E46D9"/>
    <w:rsid w:val="6B103796"/>
    <w:rsid w:val="6B10C1BC"/>
    <w:rsid w:val="6B138C06"/>
    <w:rsid w:val="6B179F70"/>
    <w:rsid w:val="6B1D54B8"/>
    <w:rsid w:val="6B1D6CE9"/>
    <w:rsid w:val="6B1DAE3C"/>
    <w:rsid w:val="6B1DDDBC"/>
    <w:rsid w:val="6B1EC07F"/>
    <w:rsid w:val="6B20BF4A"/>
    <w:rsid w:val="6B2541FF"/>
    <w:rsid w:val="6B25F994"/>
    <w:rsid w:val="6B27E929"/>
    <w:rsid w:val="6B282ED1"/>
    <w:rsid w:val="6B28960D"/>
    <w:rsid w:val="6B28E9F5"/>
    <w:rsid w:val="6B2A22B3"/>
    <w:rsid w:val="6B2A7CF4"/>
    <w:rsid w:val="6B2AE141"/>
    <w:rsid w:val="6B2BB29F"/>
    <w:rsid w:val="6B2BB9E0"/>
    <w:rsid w:val="6B2C8E1E"/>
    <w:rsid w:val="6B2CBC42"/>
    <w:rsid w:val="6B2E807C"/>
    <w:rsid w:val="6B2EE13A"/>
    <w:rsid w:val="6B30ADBF"/>
    <w:rsid w:val="6B30D8B6"/>
    <w:rsid w:val="6B33EA25"/>
    <w:rsid w:val="6B344EF6"/>
    <w:rsid w:val="6B346AAC"/>
    <w:rsid w:val="6B37F156"/>
    <w:rsid w:val="6B38CF5A"/>
    <w:rsid w:val="6B39E246"/>
    <w:rsid w:val="6B3B46BA"/>
    <w:rsid w:val="6B3BE445"/>
    <w:rsid w:val="6B3E13E4"/>
    <w:rsid w:val="6B3F3F66"/>
    <w:rsid w:val="6B440B37"/>
    <w:rsid w:val="6B4579A5"/>
    <w:rsid w:val="6B45A9F6"/>
    <w:rsid w:val="6B45DD63"/>
    <w:rsid w:val="6B45EF2C"/>
    <w:rsid w:val="6B4607D1"/>
    <w:rsid w:val="6B50E28A"/>
    <w:rsid w:val="6B516F06"/>
    <w:rsid w:val="6B53BC5A"/>
    <w:rsid w:val="6B53BCAE"/>
    <w:rsid w:val="6B55E4FE"/>
    <w:rsid w:val="6B581FFB"/>
    <w:rsid w:val="6B5AAE5E"/>
    <w:rsid w:val="6B5BD7D7"/>
    <w:rsid w:val="6B5E6FC2"/>
    <w:rsid w:val="6B5F9B9E"/>
    <w:rsid w:val="6B613088"/>
    <w:rsid w:val="6B61B4A2"/>
    <w:rsid w:val="6B63002E"/>
    <w:rsid w:val="6B630A8D"/>
    <w:rsid w:val="6B64E0E5"/>
    <w:rsid w:val="6B67184E"/>
    <w:rsid w:val="6B6805B8"/>
    <w:rsid w:val="6B68B5A9"/>
    <w:rsid w:val="6B6AE719"/>
    <w:rsid w:val="6B6B3360"/>
    <w:rsid w:val="6B6BA934"/>
    <w:rsid w:val="6B6C0A97"/>
    <w:rsid w:val="6B6CB78C"/>
    <w:rsid w:val="6B6F5F41"/>
    <w:rsid w:val="6B741FCC"/>
    <w:rsid w:val="6B748329"/>
    <w:rsid w:val="6B75DA35"/>
    <w:rsid w:val="6B78296F"/>
    <w:rsid w:val="6B783421"/>
    <w:rsid w:val="6B7ACBC1"/>
    <w:rsid w:val="6B7CFC67"/>
    <w:rsid w:val="6B802944"/>
    <w:rsid w:val="6B809017"/>
    <w:rsid w:val="6B851C02"/>
    <w:rsid w:val="6B86792A"/>
    <w:rsid w:val="6B870B8E"/>
    <w:rsid w:val="6B879B13"/>
    <w:rsid w:val="6B8B193B"/>
    <w:rsid w:val="6B8B6BDE"/>
    <w:rsid w:val="6B8BA2A9"/>
    <w:rsid w:val="6B8C0308"/>
    <w:rsid w:val="6B9193AF"/>
    <w:rsid w:val="6B9324E8"/>
    <w:rsid w:val="6B948074"/>
    <w:rsid w:val="6B95B49E"/>
    <w:rsid w:val="6B98DE0B"/>
    <w:rsid w:val="6B9A263D"/>
    <w:rsid w:val="6B9A34C3"/>
    <w:rsid w:val="6B9AFEB2"/>
    <w:rsid w:val="6B9BFB39"/>
    <w:rsid w:val="6B9F25F2"/>
    <w:rsid w:val="6BA053D7"/>
    <w:rsid w:val="6BA06AF9"/>
    <w:rsid w:val="6BA238CD"/>
    <w:rsid w:val="6BA40E76"/>
    <w:rsid w:val="6BA43941"/>
    <w:rsid w:val="6BA5C7FC"/>
    <w:rsid w:val="6BAA9B74"/>
    <w:rsid w:val="6BABE286"/>
    <w:rsid w:val="6BAF787C"/>
    <w:rsid w:val="6BB01ADB"/>
    <w:rsid w:val="6BB06220"/>
    <w:rsid w:val="6BB4249A"/>
    <w:rsid w:val="6BB42D8D"/>
    <w:rsid w:val="6BB4C215"/>
    <w:rsid w:val="6BBCB4A3"/>
    <w:rsid w:val="6BBD798E"/>
    <w:rsid w:val="6BBEE865"/>
    <w:rsid w:val="6BC0C319"/>
    <w:rsid w:val="6BC6E616"/>
    <w:rsid w:val="6BC88133"/>
    <w:rsid w:val="6BCACDFC"/>
    <w:rsid w:val="6BCB03AF"/>
    <w:rsid w:val="6BCD2383"/>
    <w:rsid w:val="6BCE5276"/>
    <w:rsid w:val="6BCE61CA"/>
    <w:rsid w:val="6BCEAC0C"/>
    <w:rsid w:val="6BCFDD36"/>
    <w:rsid w:val="6BD46A7C"/>
    <w:rsid w:val="6BD4C5F5"/>
    <w:rsid w:val="6BD4C6C9"/>
    <w:rsid w:val="6BD83D11"/>
    <w:rsid w:val="6BD89E9D"/>
    <w:rsid w:val="6BD8A6C9"/>
    <w:rsid w:val="6BD91D14"/>
    <w:rsid w:val="6BD9BBFA"/>
    <w:rsid w:val="6BDA84F5"/>
    <w:rsid w:val="6BDC1898"/>
    <w:rsid w:val="6BDC91BA"/>
    <w:rsid w:val="6BDD6C13"/>
    <w:rsid w:val="6BE04277"/>
    <w:rsid w:val="6BE07B13"/>
    <w:rsid w:val="6BE1A590"/>
    <w:rsid w:val="6BE1CDAA"/>
    <w:rsid w:val="6BE2E627"/>
    <w:rsid w:val="6BE77298"/>
    <w:rsid w:val="6BE7DFE2"/>
    <w:rsid w:val="6BEA1534"/>
    <w:rsid w:val="6BEB0A8D"/>
    <w:rsid w:val="6BEBB989"/>
    <w:rsid w:val="6BEBF7CA"/>
    <w:rsid w:val="6BECC0F9"/>
    <w:rsid w:val="6BED1660"/>
    <w:rsid w:val="6BEF3A77"/>
    <w:rsid w:val="6BF729E7"/>
    <w:rsid w:val="6BF7A360"/>
    <w:rsid w:val="6BF8032D"/>
    <w:rsid w:val="6BF8D284"/>
    <w:rsid w:val="6BFB3395"/>
    <w:rsid w:val="6BFB960A"/>
    <w:rsid w:val="6BFBB853"/>
    <w:rsid w:val="6BFBCA9F"/>
    <w:rsid w:val="6BFC6A32"/>
    <w:rsid w:val="6C0273D4"/>
    <w:rsid w:val="6C03D32E"/>
    <w:rsid w:val="6C059C22"/>
    <w:rsid w:val="6C0802E1"/>
    <w:rsid w:val="6C08AA49"/>
    <w:rsid w:val="6C0A59E4"/>
    <w:rsid w:val="6C0AB968"/>
    <w:rsid w:val="6C0AB9A2"/>
    <w:rsid w:val="6C0BA7E4"/>
    <w:rsid w:val="6C0CA892"/>
    <w:rsid w:val="6C0D59E6"/>
    <w:rsid w:val="6C0FC2B7"/>
    <w:rsid w:val="6C1486C7"/>
    <w:rsid w:val="6C158780"/>
    <w:rsid w:val="6C15F8C5"/>
    <w:rsid w:val="6C179311"/>
    <w:rsid w:val="6C17F909"/>
    <w:rsid w:val="6C1CF72E"/>
    <w:rsid w:val="6C1D071A"/>
    <w:rsid w:val="6C1DBF41"/>
    <w:rsid w:val="6C1EE372"/>
    <w:rsid w:val="6C1F5317"/>
    <w:rsid w:val="6C215360"/>
    <w:rsid w:val="6C2166F6"/>
    <w:rsid w:val="6C218650"/>
    <w:rsid w:val="6C22D37B"/>
    <w:rsid w:val="6C237183"/>
    <w:rsid w:val="6C25D085"/>
    <w:rsid w:val="6C2FD130"/>
    <w:rsid w:val="6C319141"/>
    <w:rsid w:val="6C31F12F"/>
    <w:rsid w:val="6C33700D"/>
    <w:rsid w:val="6C36FF6F"/>
    <w:rsid w:val="6C370977"/>
    <w:rsid w:val="6C387802"/>
    <w:rsid w:val="6C3883B5"/>
    <w:rsid w:val="6C3927F3"/>
    <w:rsid w:val="6C393660"/>
    <w:rsid w:val="6C3AE635"/>
    <w:rsid w:val="6C3B47CE"/>
    <w:rsid w:val="6C3CD87E"/>
    <w:rsid w:val="6C3E9C61"/>
    <w:rsid w:val="6C411E76"/>
    <w:rsid w:val="6C425B5E"/>
    <w:rsid w:val="6C42C4AC"/>
    <w:rsid w:val="6C431690"/>
    <w:rsid w:val="6C433174"/>
    <w:rsid w:val="6C433E6B"/>
    <w:rsid w:val="6C435291"/>
    <w:rsid w:val="6C45D30D"/>
    <w:rsid w:val="6C4815C9"/>
    <w:rsid w:val="6C493B84"/>
    <w:rsid w:val="6C4EFCD5"/>
    <w:rsid w:val="6C4F2410"/>
    <w:rsid w:val="6C4FA7DD"/>
    <w:rsid w:val="6C4FC68D"/>
    <w:rsid w:val="6C50F99A"/>
    <w:rsid w:val="6C517666"/>
    <w:rsid w:val="6C51BD43"/>
    <w:rsid w:val="6C552BAA"/>
    <w:rsid w:val="6C5714AE"/>
    <w:rsid w:val="6C571CD8"/>
    <w:rsid w:val="6C59419B"/>
    <w:rsid w:val="6C597250"/>
    <w:rsid w:val="6C5CB75C"/>
    <w:rsid w:val="6C5D20EC"/>
    <w:rsid w:val="6C5DC489"/>
    <w:rsid w:val="6C5DE581"/>
    <w:rsid w:val="6C601ABB"/>
    <w:rsid w:val="6C6280F4"/>
    <w:rsid w:val="6C62F83F"/>
    <w:rsid w:val="6C635027"/>
    <w:rsid w:val="6C671E6D"/>
    <w:rsid w:val="6C68255D"/>
    <w:rsid w:val="6C6BB94D"/>
    <w:rsid w:val="6C6C9520"/>
    <w:rsid w:val="6C6CA7DB"/>
    <w:rsid w:val="6C6CBD09"/>
    <w:rsid w:val="6C6DA96D"/>
    <w:rsid w:val="6C6F519C"/>
    <w:rsid w:val="6C71F410"/>
    <w:rsid w:val="6C7226BF"/>
    <w:rsid w:val="6C72F9C2"/>
    <w:rsid w:val="6C731350"/>
    <w:rsid w:val="6C75336C"/>
    <w:rsid w:val="6C760396"/>
    <w:rsid w:val="6C76FD6A"/>
    <w:rsid w:val="6C77CF54"/>
    <w:rsid w:val="6C77CFEF"/>
    <w:rsid w:val="6C781568"/>
    <w:rsid w:val="6C785FF5"/>
    <w:rsid w:val="6C7867A0"/>
    <w:rsid w:val="6C7970BA"/>
    <w:rsid w:val="6C7D0323"/>
    <w:rsid w:val="6C7D7AE7"/>
    <w:rsid w:val="6C7EE080"/>
    <w:rsid w:val="6C7F43BB"/>
    <w:rsid w:val="6C7F98B1"/>
    <w:rsid w:val="6C7FA759"/>
    <w:rsid w:val="6C80D7FF"/>
    <w:rsid w:val="6C829076"/>
    <w:rsid w:val="6C836EF1"/>
    <w:rsid w:val="6C856623"/>
    <w:rsid w:val="6C8610E2"/>
    <w:rsid w:val="6C863E05"/>
    <w:rsid w:val="6C8746B7"/>
    <w:rsid w:val="6C8C0ADE"/>
    <w:rsid w:val="6C8E65EB"/>
    <w:rsid w:val="6C8EB542"/>
    <w:rsid w:val="6C8F0C35"/>
    <w:rsid w:val="6C90269E"/>
    <w:rsid w:val="6C9221EC"/>
    <w:rsid w:val="6C92C174"/>
    <w:rsid w:val="6C94CA1C"/>
    <w:rsid w:val="6C954C1F"/>
    <w:rsid w:val="6C959E93"/>
    <w:rsid w:val="6C962270"/>
    <w:rsid w:val="6C964084"/>
    <w:rsid w:val="6C9AE327"/>
    <w:rsid w:val="6C9CEDAB"/>
    <w:rsid w:val="6C9E6409"/>
    <w:rsid w:val="6C9ED829"/>
    <w:rsid w:val="6C9FE1AD"/>
    <w:rsid w:val="6CA16264"/>
    <w:rsid w:val="6CA23F08"/>
    <w:rsid w:val="6CA3B985"/>
    <w:rsid w:val="6CA40D24"/>
    <w:rsid w:val="6CA5339F"/>
    <w:rsid w:val="6CA5CFD8"/>
    <w:rsid w:val="6CA68760"/>
    <w:rsid w:val="6CA6C732"/>
    <w:rsid w:val="6CA6F0D3"/>
    <w:rsid w:val="6CA73107"/>
    <w:rsid w:val="6CAC4C30"/>
    <w:rsid w:val="6CAC5384"/>
    <w:rsid w:val="6CB001AB"/>
    <w:rsid w:val="6CB21C45"/>
    <w:rsid w:val="6CB28630"/>
    <w:rsid w:val="6CB42AF9"/>
    <w:rsid w:val="6CB63CC3"/>
    <w:rsid w:val="6CB91D64"/>
    <w:rsid w:val="6CBAD553"/>
    <w:rsid w:val="6CBB1D81"/>
    <w:rsid w:val="6CBB3561"/>
    <w:rsid w:val="6CBC0402"/>
    <w:rsid w:val="6CBCFB0D"/>
    <w:rsid w:val="6CBD1504"/>
    <w:rsid w:val="6CBD2621"/>
    <w:rsid w:val="6CBE0D9E"/>
    <w:rsid w:val="6CBED602"/>
    <w:rsid w:val="6CC11674"/>
    <w:rsid w:val="6CC12FF1"/>
    <w:rsid w:val="6CC1FF72"/>
    <w:rsid w:val="6CC28B52"/>
    <w:rsid w:val="6CC4B8D3"/>
    <w:rsid w:val="6CC500C3"/>
    <w:rsid w:val="6CC5F404"/>
    <w:rsid w:val="6CC64EB1"/>
    <w:rsid w:val="6CC6906F"/>
    <w:rsid w:val="6CC7A86A"/>
    <w:rsid w:val="6CCA5D89"/>
    <w:rsid w:val="6CCAF946"/>
    <w:rsid w:val="6CCBBB4D"/>
    <w:rsid w:val="6CCFDE48"/>
    <w:rsid w:val="6CD038C2"/>
    <w:rsid w:val="6CD08C11"/>
    <w:rsid w:val="6CD3B123"/>
    <w:rsid w:val="6CD53E81"/>
    <w:rsid w:val="6CD691B2"/>
    <w:rsid w:val="6CD8F566"/>
    <w:rsid w:val="6CD9208C"/>
    <w:rsid w:val="6CDCCBB2"/>
    <w:rsid w:val="6CE04DC2"/>
    <w:rsid w:val="6CE09408"/>
    <w:rsid w:val="6CE36BCF"/>
    <w:rsid w:val="6CE50EC2"/>
    <w:rsid w:val="6CE7A75F"/>
    <w:rsid w:val="6CE8CF30"/>
    <w:rsid w:val="6CEC4312"/>
    <w:rsid w:val="6CF01ADC"/>
    <w:rsid w:val="6CF13F83"/>
    <w:rsid w:val="6CF19C32"/>
    <w:rsid w:val="6CF354F1"/>
    <w:rsid w:val="6CF642B0"/>
    <w:rsid w:val="6CF6ABED"/>
    <w:rsid w:val="6CF6F21F"/>
    <w:rsid w:val="6CF71EB6"/>
    <w:rsid w:val="6CF9350B"/>
    <w:rsid w:val="6CFABCA1"/>
    <w:rsid w:val="6CFB4A76"/>
    <w:rsid w:val="6CFED424"/>
    <w:rsid w:val="6D00E342"/>
    <w:rsid w:val="6D018681"/>
    <w:rsid w:val="6D0219D3"/>
    <w:rsid w:val="6D041AB9"/>
    <w:rsid w:val="6D048D40"/>
    <w:rsid w:val="6D04B499"/>
    <w:rsid w:val="6D05EFEE"/>
    <w:rsid w:val="6D060000"/>
    <w:rsid w:val="6D0C534C"/>
    <w:rsid w:val="6D0EA8C4"/>
    <w:rsid w:val="6D1341C8"/>
    <w:rsid w:val="6D1565A0"/>
    <w:rsid w:val="6D165664"/>
    <w:rsid w:val="6D17BDBC"/>
    <w:rsid w:val="6D1A2CFC"/>
    <w:rsid w:val="6D1D0681"/>
    <w:rsid w:val="6D1D88DC"/>
    <w:rsid w:val="6D1F7832"/>
    <w:rsid w:val="6D2062FE"/>
    <w:rsid w:val="6D22A41D"/>
    <w:rsid w:val="6D243AE3"/>
    <w:rsid w:val="6D249EAC"/>
    <w:rsid w:val="6D26966F"/>
    <w:rsid w:val="6D27B4D1"/>
    <w:rsid w:val="6D2956DC"/>
    <w:rsid w:val="6D2A662C"/>
    <w:rsid w:val="6D2A8B5C"/>
    <w:rsid w:val="6D2B9306"/>
    <w:rsid w:val="6D2D9C50"/>
    <w:rsid w:val="6D303934"/>
    <w:rsid w:val="6D32BDB4"/>
    <w:rsid w:val="6D339411"/>
    <w:rsid w:val="6D3477E5"/>
    <w:rsid w:val="6D34B0BE"/>
    <w:rsid w:val="6D35BDA0"/>
    <w:rsid w:val="6D35E6EF"/>
    <w:rsid w:val="6D361492"/>
    <w:rsid w:val="6D378221"/>
    <w:rsid w:val="6D37A003"/>
    <w:rsid w:val="6D37E561"/>
    <w:rsid w:val="6D392371"/>
    <w:rsid w:val="6D39E86D"/>
    <w:rsid w:val="6D3B9E2E"/>
    <w:rsid w:val="6D40618B"/>
    <w:rsid w:val="6D407663"/>
    <w:rsid w:val="6D41CB59"/>
    <w:rsid w:val="6D4338B8"/>
    <w:rsid w:val="6D43DD6F"/>
    <w:rsid w:val="6D447A72"/>
    <w:rsid w:val="6D44DE20"/>
    <w:rsid w:val="6D45EA36"/>
    <w:rsid w:val="6D46E9E6"/>
    <w:rsid w:val="6D4786E3"/>
    <w:rsid w:val="6D47A59F"/>
    <w:rsid w:val="6D4A7105"/>
    <w:rsid w:val="6D4ADA75"/>
    <w:rsid w:val="6D4D2407"/>
    <w:rsid w:val="6D505D5D"/>
    <w:rsid w:val="6D50B97B"/>
    <w:rsid w:val="6D50C94E"/>
    <w:rsid w:val="6D51EC53"/>
    <w:rsid w:val="6D54CA87"/>
    <w:rsid w:val="6D558055"/>
    <w:rsid w:val="6D55C3CD"/>
    <w:rsid w:val="6D55E920"/>
    <w:rsid w:val="6D56C107"/>
    <w:rsid w:val="6D5732C4"/>
    <w:rsid w:val="6D5737FA"/>
    <w:rsid w:val="6D57A045"/>
    <w:rsid w:val="6D59668B"/>
    <w:rsid w:val="6D597EB9"/>
    <w:rsid w:val="6D5AD8CD"/>
    <w:rsid w:val="6D5BE62C"/>
    <w:rsid w:val="6D5CB8A9"/>
    <w:rsid w:val="6D5CBB26"/>
    <w:rsid w:val="6D5DE418"/>
    <w:rsid w:val="6D60895D"/>
    <w:rsid w:val="6D6137D6"/>
    <w:rsid w:val="6D61C0C6"/>
    <w:rsid w:val="6D6250F0"/>
    <w:rsid w:val="6D6261E7"/>
    <w:rsid w:val="6D64E379"/>
    <w:rsid w:val="6D660AD9"/>
    <w:rsid w:val="6D663A05"/>
    <w:rsid w:val="6D67221F"/>
    <w:rsid w:val="6D68FE62"/>
    <w:rsid w:val="6D6954E6"/>
    <w:rsid w:val="6D6A83A1"/>
    <w:rsid w:val="6D6A9A53"/>
    <w:rsid w:val="6D6C497F"/>
    <w:rsid w:val="6D6D2643"/>
    <w:rsid w:val="6D6D9BC2"/>
    <w:rsid w:val="6D6DA678"/>
    <w:rsid w:val="6D6E5465"/>
    <w:rsid w:val="6D6E61C7"/>
    <w:rsid w:val="6D71932F"/>
    <w:rsid w:val="6D720116"/>
    <w:rsid w:val="6D72ADDB"/>
    <w:rsid w:val="6D72BEDD"/>
    <w:rsid w:val="6D7353DE"/>
    <w:rsid w:val="6D738D39"/>
    <w:rsid w:val="6D768CD1"/>
    <w:rsid w:val="6D784456"/>
    <w:rsid w:val="6D799C18"/>
    <w:rsid w:val="6D7C6B12"/>
    <w:rsid w:val="6D7CA8A5"/>
    <w:rsid w:val="6D7F6770"/>
    <w:rsid w:val="6D823DC9"/>
    <w:rsid w:val="6D82BC6E"/>
    <w:rsid w:val="6D833B95"/>
    <w:rsid w:val="6D8365DE"/>
    <w:rsid w:val="6D83DBCD"/>
    <w:rsid w:val="6D85FF2D"/>
    <w:rsid w:val="6D86AFCB"/>
    <w:rsid w:val="6D87E23F"/>
    <w:rsid w:val="6D8988A4"/>
    <w:rsid w:val="6D8A2C06"/>
    <w:rsid w:val="6D8ADE21"/>
    <w:rsid w:val="6D8B00D4"/>
    <w:rsid w:val="6D8B02B1"/>
    <w:rsid w:val="6D8C9E93"/>
    <w:rsid w:val="6D8E0A9B"/>
    <w:rsid w:val="6D902257"/>
    <w:rsid w:val="6D90E96B"/>
    <w:rsid w:val="6D91D4C8"/>
    <w:rsid w:val="6D940A77"/>
    <w:rsid w:val="6D94C69E"/>
    <w:rsid w:val="6D94E9FA"/>
    <w:rsid w:val="6D95D69B"/>
    <w:rsid w:val="6D9728EB"/>
    <w:rsid w:val="6D980557"/>
    <w:rsid w:val="6D9907C4"/>
    <w:rsid w:val="6D999DAA"/>
    <w:rsid w:val="6D9AA289"/>
    <w:rsid w:val="6D9AF1D0"/>
    <w:rsid w:val="6D9C7A76"/>
    <w:rsid w:val="6D9DA6D0"/>
    <w:rsid w:val="6D9DF811"/>
    <w:rsid w:val="6DA058E6"/>
    <w:rsid w:val="6DA1A6A1"/>
    <w:rsid w:val="6DA55394"/>
    <w:rsid w:val="6DA61AE4"/>
    <w:rsid w:val="6DA6FF90"/>
    <w:rsid w:val="6DA98E55"/>
    <w:rsid w:val="6DAB86EC"/>
    <w:rsid w:val="6DAFD1A5"/>
    <w:rsid w:val="6DB1BF64"/>
    <w:rsid w:val="6DB3E46E"/>
    <w:rsid w:val="6DB4089A"/>
    <w:rsid w:val="6DB43D66"/>
    <w:rsid w:val="6DB6F078"/>
    <w:rsid w:val="6DBA1A58"/>
    <w:rsid w:val="6DBA5270"/>
    <w:rsid w:val="6DBCBD4E"/>
    <w:rsid w:val="6DBDB7A7"/>
    <w:rsid w:val="6DC16923"/>
    <w:rsid w:val="6DC2946F"/>
    <w:rsid w:val="6DC3B934"/>
    <w:rsid w:val="6DC59B4F"/>
    <w:rsid w:val="6DC5D92E"/>
    <w:rsid w:val="6DCED0D5"/>
    <w:rsid w:val="6DCF2A10"/>
    <w:rsid w:val="6DCF3FDE"/>
    <w:rsid w:val="6DD09650"/>
    <w:rsid w:val="6DD145B4"/>
    <w:rsid w:val="6DD31553"/>
    <w:rsid w:val="6DD5903F"/>
    <w:rsid w:val="6DD5E93F"/>
    <w:rsid w:val="6DD68A12"/>
    <w:rsid w:val="6DD72256"/>
    <w:rsid w:val="6DD7548C"/>
    <w:rsid w:val="6DD792C8"/>
    <w:rsid w:val="6DD8F015"/>
    <w:rsid w:val="6DD97171"/>
    <w:rsid w:val="6DDA2AEB"/>
    <w:rsid w:val="6DDA33FC"/>
    <w:rsid w:val="6DDA802D"/>
    <w:rsid w:val="6DDAE3B4"/>
    <w:rsid w:val="6DDCB999"/>
    <w:rsid w:val="6DDCD590"/>
    <w:rsid w:val="6DDE211E"/>
    <w:rsid w:val="6DE0A180"/>
    <w:rsid w:val="6DE4A2A8"/>
    <w:rsid w:val="6DE4EAF9"/>
    <w:rsid w:val="6DE4EBCB"/>
    <w:rsid w:val="6DE746C7"/>
    <w:rsid w:val="6DEBD545"/>
    <w:rsid w:val="6DEC3FE3"/>
    <w:rsid w:val="6DED1354"/>
    <w:rsid w:val="6DED3084"/>
    <w:rsid w:val="6DED8801"/>
    <w:rsid w:val="6DEE245F"/>
    <w:rsid w:val="6DEEBE96"/>
    <w:rsid w:val="6DF2FDBC"/>
    <w:rsid w:val="6DF367CE"/>
    <w:rsid w:val="6DF3B666"/>
    <w:rsid w:val="6DF5377A"/>
    <w:rsid w:val="6DF61F2A"/>
    <w:rsid w:val="6DF755DB"/>
    <w:rsid w:val="6DFB54B5"/>
    <w:rsid w:val="6DFD4D5B"/>
    <w:rsid w:val="6DFF83B6"/>
    <w:rsid w:val="6E01B7D1"/>
    <w:rsid w:val="6E024C17"/>
    <w:rsid w:val="6E027571"/>
    <w:rsid w:val="6E035A12"/>
    <w:rsid w:val="6E04F63B"/>
    <w:rsid w:val="6E050064"/>
    <w:rsid w:val="6E057414"/>
    <w:rsid w:val="6E091C51"/>
    <w:rsid w:val="6E0B9FFB"/>
    <w:rsid w:val="6E0BCE05"/>
    <w:rsid w:val="6E0CCB36"/>
    <w:rsid w:val="6E0D63AC"/>
    <w:rsid w:val="6E0EDAC3"/>
    <w:rsid w:val="6E0F279A"/>
    <w:rsid w:val="6E0F4BC2"/>
    <w:rsid w:val="6E10282C"/>
    <w:rsid w:val="6E125BB9"/>
    <w:rsid w:val="6E148642"/>
    <w:rsid w:val="6E171EE9"/>
    <w:rsid w:val="6E1B341A"/>
    <w:rsid w:val="6E1B77BA"/>
    <w:rsid w:val="6E1C58E5"/>
    <w:rsid w:val="6E1C8A04"/>
    <w:rsid w:val="6E213732"/>
    <w:rsid w:val="6E22737D"/>
    <w:rsid w:val="6E239875"/>
    <w:rsid w:val="6E23C9A4"/>
    <w:rsid w:val="6E26902B"/>
    <w:rsid w:val="6E29A3DB"/>
    <w:rsid w:val="6E29ABB8"/>
    <w:rsid w:val="6E2B38BF"/>
    <w:rsid w:val="6E2CAEE3"/>
    <w:rsid w:val="6E2FC8C5"/>
    <w:rsid w:val="6E2FEF4D"/>
    <w:rsid w:val="6E304817"/>
    <w:rsid w:val="6E3066E2"/>
    <w:rsid w:val="6E31A801"/>
    <w:rsid w:val="6E337D99"/>
    <w:rsid w:val="6E33ED48"/>
    <w:rsid w:val="6E34AF3B"/>
    <w:rsid w:val="6E3731D2"/>
    <w:rsid w:val="6E3947D1"/>
    <w:rsid w:val="6E3B4D13"/>
    <w:rsid w:val="6E3B773F"/>
    <w:rsid w:val="6E3BA505"/>
    <w:rsid w:val="6E3C1E6D"/>
    <w:rsid w:val="6E3D87F3"/>
    <w:rsid w:val="6E3FF45C"/>
    <w:rsid w:val="6E4018AE"/>
    <w:rsid w:val="6E40CD87"/>
    <w:rsid w:val="6E40EE4C"/>
    <w:rsid w:val="6E44B8DD"/>
    <w:rsid w:val="6E44BEEB"/>
    <w:rsid w:val="6E467D4B"/>
    <w:rsid w:val="6E479DEC"/>
    <w:rsid w:val="6E4C1173"/>
    <w:rsid w:val="6E4CD727"/>
    <w:rsid w:val="6E4DBAA0"/>
    <w:rsid w:val="6E4DC792"/>
    <w:rsid w:val="6E4DF784"/>
    <w:rsid w:val="6E4ED457"/>
    <w:rsid w:val="6E4FF460"/>
    <w:rsid w:val="6E520243"/>
    <w:rsid w:val="6E540785"/>
    <w:rsid w:val="6E54C666"/>
    <w:rsid w:val="6E54D087"/>
    <w:rsid w:val="6E54F52C"/>
    <w:rsid w:val="6E550072"/>
    <w:rsid w:val="6E561A02"/>
    <w:rsid w:val="6E597378"/>
    <w:rsid w:val="6E5A3C43"/>
    <w:rsid w:val="6E5C8BC8"/>
    <w:rsid w:val="6E5D71AD"/>
    <w:rsid w:val="6E5E5A01"/>
    <w:rsid w:val="6E5EAB06"/>
    <w:rsid w:val="6E5FEC94"/>
    <w:rsid w:val="6E61806A"/>
    <w:rsid w:val="6E61E7F0"/>
    <w:rsid w:val="6E622E97"/>
    <w:rsid w:val="6E634821"/>
    <w:rsid w:val="6E63BB8B"/>
    <w:rsid w:val="6E6544EE"/>
    <w:rsid w:val="6E6AC97F"/>
    <w:rsid w:val="6E6D5003"/>
    <w:rsid w:val="6E6DE64B"/>
    <w:rsid w:val="6E6EA0C3"/>
    <w:rsid w:val="6E70985E"/>
    <w:rsid w:val="6E75F6DE"/>
    <w:rsid w:val="6E76E912"/>
    <w:rsid w:val="6E777B90"/>
    <w:rsid w:val="6E7933E8"/>
    <w:rsid w:val="6E79FBEC"/>
    <w:rsid w:val="6E7A551B"/>
    <w:rsid w:val="6E7D565C"/>
    <w:rsid w:val="6E7D849E"/>
    <w:rsid w:val="6E7DDC07"/>
    <w:rsid w:val="6E7E84ED"/>
    <w:rsid w:val="6E7FD709"/>
    <w:rsid w:val="6E814901"/>
    <w:rsid w:val="6E8321AD"/>
    <w:rsid w:val="6E88005B"/>
    <w:rsid w:val="6E8A0760"/>
    <w:rsid w:val="6E8A9E67"/>
    <w:rsid w:val="6E8BEC53"/>
    <w:rsid w:val="6E8FDFF3"/>
    <w:rsid w:val="6E9140B7"/>
    <w:rsid w:val="6E976A4C"/>
    <w:rsid w:val="6E980825"/>
    <w:rsid w:val="6E990C9C"/>
    <w:rsid w:val="6E9929C3"/>
    <w:rsid w:val="6E992D3A"/>
    <w:rsid w:val="6E995D98"/>
    <w:rsid w:val="6E9A0086"/>
    <w:rsid w:val="6E9B61CB"/>
    <w:rsid w:val="6E9BC6CF"/>
    <w:rsid w:val="6E9BC7F0"/>
    <w:rsid w:val="6E9E2C83"/>
    <w:rsid w:val="6E9EF867"/>
    <w:rsid w:val="6E9F17AF"/>
    <w:rsid w:val="6EA08F9B"/>
    <w:rsid w:val="6EA394ED"/>
    <w:rsid w:val="6EA3D4CB"/>
    <w:rsid w:val="6EA4E4C8"/>
    <w:rsid w:val="6EA54F98"/>
    <w:rsid w:val="6EA65C8E"/>
    <w:rsid w:val="6EA68BF6"/>
    <w:rsid w:val="6EA8D839"/>
    <w:rsid w:val="6EA99134"/>
    <w:rsid w:val="6EAB7435"/>
    <w:rsid w:val="6EAB95E4"/>
    <w:rsid w:val="6EABA2B4"/>
    <w:rsid w:val="6EADC79D"/>
    <w:rsid w:val="6EADE88F"/>
    <w:rsid w:val="6EAE8038"/>
    <w:rsid w:val="6EB0980F"/>
    <w:rsid w:val="6EB4CDA8"/>
    <w:rsid w:val="6EB5B228"/>
    <w:rsid w:val="6EB69298"/>
    <w:rsid w:val="6EBB2C99"/>
    <w:rsid w:val="6EBE6128"/>
    <w:rsid w:val="6EBE7E80"/>
    <w:rsid w:val="6EBF0EE4"/>
    <w:rsid w:val="6EC04529"/>
    <w:rsid w:val="6EC1A990"/>
    <w:rsid w:val="6EC48BCB"/>
    <w:rsid w:val="6EC5E55D"/>
    <w:rsid w:val="6EC5F718"/>
    <w:rsid w:val="6EC632C1"/>
    <w:rsid w:val="6EC90DBE"/>
    <w:rsid w:val="6ECA3736"/>
    <w:rsid w:val="6ECC6FD6"/>
    <w:rsid w:val="6ECCA20B"/>
    <w:rsid w:val="6ECE5D33"/>
    <w:rsid w:val="6ECF908F"/>
    <w:rsid w:val="6ED0F3F9"/>
    <w:rsid w:val="6ED17354"/>
    <w:rsid w:val="6ED50680"/>
    <w:rsid w:val="6ED64DF8"/>
    <w:rsid w:val="6ED709A6"/>
    <w:rsid w:val="6ED9117A"/>
    <w:rsid w:val="6ED975F3"/>
    <w:rsid w:val="6EDB475E"/>
    <w:rsid w:val="6EDBC812"/>
    <w:rsid w:val="6EDBC8B0"/>
    <w:rsid w:val="6EDBE3AA"/>
    <w:rsid w:val="6EDBED36"/>
    <w:rsid w:val="6EDEC95B"/>
    <w:rsid w:val="6EDEDCAB"/>
    <w:rsid w:val="6EE031A6"/>
    <w:rsid w:val="6EE12B3E"/>
    <w:rsid w:val="6EE14778"/>
    <w:rsid w:val="6EE21729"/>
    <w:rsid w:val="6EE2EE57"/>
    <w:rsid w:val="6EE3168A"/>
    <w:rsid w:val="6EE344C2"/>
    <w:rsid w:val="6EE6086F"/>
    <w:rsid w:val="6EE6837F"/>
    <w:rsid w:val="6EE719A2"/>
    <w:rsid w:val="6EE81314"/>
    <w:rsid w:val="6EE9ED66"/>
    <w:rsid w:val="6EED66E1"/>
    <w:rsid w:val="6EEEA612"/>
    <w:rsid w:val="6EEEC29A"/>
    <w:rsid w:val="6EEFFF1F"/>
    <w:rsid w:val="6EF1D016"/>
    <w:rsid w:val="6EF263D1"/>
    <w:rsid w:val="6EF414E9"/>
    <w:rsid w:val="6EF4748F"/>
    <w:rsid w:val="6EF4F9BF"/>
    <w:rsid w:val="6EF5DFBC"/>
    <w:rsid w:val="6EF7628F"/>
    <w:rsid w:val="6EF8904F"/>
    <w:rsid w:val="6EF8D07D"/>
    <w:rsid w:val="6EFA6B92"/>
    <w:rsid w:val="6EFAE8E4"/>
    <w:rsid w:val="6EFBB1FF"/>
    <w:rsid w:val="6EFDD60D"/>
    <w:rsid w:val="6EFEC868"/>
    <w:rsid w:val="6F02A8B1"/>
    <w:rsid w:val="6F05D222"/>
    <w:rsid w:val="6F0739BF"/>
    <w:rsid w:val="6F076E95"/>
    <w:rsid w:val="6F082F6A"/>
    <w:rsid w:val="6F0B81FC"/>
    <w:rsid w:val="6F0C42BE"/>
    <w:rsid w:val="6F0DCB6D"/>
    <w:rsid w:val="6F0F777C"/>
    <w:rsid w:val="6F0FA634"/>
    <w:rsid w:val="6F1241FB"/>
    <w:rsid w:val="6F1561DC"/>
    <w:rsid w:val="6F15C965"/>
    <w:rsid w:val="6F161BA2"/>
    <w:rsid w:val="6F181E6E"/>
    <w:rsid w:val="6F193094"/>
    <w:rsid w:val="6F1A31B7"/>
    <w:rsid w:val="6F1AA0DA"/>
    <w:rsid w:val="6F1BA6FC"/>
    <w:rsid w:val="6F1BC5EC"/>
    <w:rsid w:val="6F1C90BD"/>
    <w:rsid w:val="6F2116F7"/>
    <w:rsid w:val="6F22FE8D"/>
    <w:rsid w:val="6F25A528"/>
    <w:rsid w:val="6F28095A"/>
    <w:rsid w:val="6F28609D"/>
    <w:rsid w:val="6F28B357"/>
    <w:rsid w:val="6F2927BA"/>
    <w:rsid w:val="6F2A4477"/>
    <w:rsid w:val="6F2FF1A9"/>
    <w:rsid w:val="6F325307"/>
    <w:rsid w:val="6F341485"/>
    <w:rsid w:val="6F3454ED"/>
    <w:rsid w:val="6F345B68"/>
    <w:rsid w:val="6F3498B5"/>
    <w:rsid w:val="6F369FE4"/>
    <w:rsid w:val="6F36F220"/>
    <w:rsid w:val="6F3C8AEF"/>
    <w:rsid w:val="6F3E679C"/>
    <w:rsid w:val="6F3FF9F7"/>
    <w:rsid w:val="6F41D4D4"/>
    <w:rsid w:val="6F448896"/>
    <w:rsid w:val="6F44C477"/>
    <w:rsid w:val="6F47E0EF"/>
    <w:rsid w:val="6F49D80A"/>
    <w:rsid w:val="6F4B2190"/>
    <w:rsid w:val="6F4BFDAE"/>
    <w:rsid w:val="6F4C2789"/>
    <w:rsid w:val="6F4C95D8"/>
    <w:rsid w:val="6F4E33A8"/>
    <w:rsid w:val="6F50F20E"/>
    <w:rsid w:val="6F51A485"/>
    <w:rsid w:val="6F53B229"/>
    <w:rsid w:val="6F5424B3"/>
    <w:rsid w:val="6F568F0F"/>
    <w:rsid w:val="6F582CC9"/>
    <w:rsid w:val="6F5D6D5E"/>
    <w:rsid w:val="6F5E01E4"/>
    <w:rsid w:val="6F5FCA4F"/>
    <w:rsid w:val="6F660F81"/>
    <w:rsid w:val="6F666F27"/>
    <w:rsid w:val="6F668323"/>
    <w:rsid w:val="6F67FBF9"/>
    <w:rsid w:val="6F6889ED"/>
    <w:rsid w:val="6F6CA4D7"/>
    <w:rsid w:val="6F6D0516"/>
    <w:rsid w:val="6F6FB0C0"/>
    <w:rsid w:val="6F70D019"/>
    <w:rsid w:val="6F70D3C0"/>
    <w:rsid w:val="6F7214A5"/>
    <w:rsid w:val="6F72D3AE"/>
    <w:rsid w:val="6F73E528"/>
    <w:rsid w:val="6F749B6C"/>
    <w:rsid w:val="6F74E625"/>
    <w:rsid w:val="6F7589D4"/>
    <w:rsid w:val="6F7605D7"/>
    <w:rsid w:val="6F77B257"/>
    <w:rsid w:val="6F78A507"/>
    <w:rsid w:val="6F7A9E75"/>
    <w:rsid w:val="6F7B5FD5"/>
    <w:rsid w:val="6F7B8E22"/>
    <w:rsid w:val="6F7E1A36"/>
    <w:rsid w:val="6F7FE27B"/>
    <w:rsid w:val="6F80036C"/>
    <w:rsid w:val="6F823796"/>
    <w:rsid w:val="6F87F345"/>
    <w:rsid w:val="6F883BEB"/>
    <w:rsid w:val="6F88E1E6"/>
    <w:rsid w:val="6F89C748"/>
    <w:rsid w:val="6F8A870C"/>
    <w:rsid w:val="6F8B406A"/>
    <w:rsid w:val="6F8DA26B"/>
    <w:rsid w:val="6F955FBA"/>
    <w:rsid w:val="6F956747"/>
    <w:rsid w:val="6F95952A"/>
    <w:rsid w:val="6F95DC29"/>
    <w:rsid w:val="6F9818B1"/>
    <w:rsid w:val="6F98A45A"/>
    <w:rsid w:val="6F9DBC86"/>
    <w:rsid w:val="6FA1BE7B"/>
    <w:rsid w:val="6FA1CCE9"/>
    <w:rsid w:val="6FA2475A"/>
    <w:rsid w:val="6FA29657"/>
    <w:rsid w:val="6FA2FF97"/>
    <w:rsid w:val="6FA36763"/>
    <w:rsid w:val="6FA3BDF5"/>
    <w:rsid w:val="6FA4300E"/>
    <w:rsid w:val="6FA77014"/>
    <w:rsid w:val="6FA8D3F5"/>
    <w:rsid w:val="6FAA234F"/>
    <w:rsid w:val="6FAB7D98"/>
    <w:rsid w:val="6FAE1C94"/>
    <w:rsid w:val="6FB207DC"/>
    <w:rsid w:val="6FB41D9D"/>
    <w:rsid w:val="6FB43089"/>
    <w:rsid w:val="6FB4D363"/>
    <w:rsid w:val="6FB53135"/>
    <w:rsid w:val="6FB6685F"/>
    <w:rsid w:val="6FB7D2E1"/>
    <w:rsid w:val="6FB8BAE9"/>
    <w:rsid w:val="6FB94F2D"/>
    <w:rsid w:val="6FB9E816"/>
    <w:rsid w:val="6FBB631C"/>
    <w:rsid w:val="6FBDB570"/>
    <w:rsid w:val="6FBE3A44"/>
    <w:rsid w:val="6FC09BCB"/>
    <w:rsid w:val="6FC20FD1"/>
    <w:rsid w:val="6FC33C61"/>
    <w:rsid w:val="6FC56536"/>
    <w:rsid w:val="6FC97CAA"/>
    <w:rsid w:val="6FCC7B54"/>
    <w:rsid w:val="6FCD638F"/>
    <w:rsid w:val="6FCDE24A"/>
    <w:rsid w:val="6FCE88E0"/>
    <w:rsid w:val="6FD2EB44"/>
    <w:rsid w:val="6FD3E9DD"/>
    <w:rsid w:val="6FD656BB"/>
    <w:rsid w:val="6FD77094"/>
    <w:rsid w:val="6FD89D79"/>
    <w:rsid w:val="6FDA7C98"/>
    <w:rsid w:val="6FDACE92"/>
    <w:rsid w:val="6FDB9DEF"/>
    <w:rsid w:val="6FDC8A34"/>
    <w:rsid w:val="6FE16436"/>
    <w:rsid w:val="6FE3F57D"/>
    <w:rsid w:val="6FE6C550"/>
    <w:rsid w:val="6FEB5078"/>
    <w:rsid w:val="6FEC1F35"/>
    <w:rsid w:val="6FEC57F9"/>
    <w:rsid w:val="6FED7491"/>
    <w:rsid w:val="6FEE4D81"/>
    <w:rsid w:val="6FF05BD9"/>
    <w:rsid w:val="6FF471B5"/>
    <w:rsid w:val="6FF6AEF1"/>
    <w:rsid w:val="6FF8B9B0"/>
    <w:rsid w:val="6FF933A3"/>
    <w:rsid w:val="6FF95FD5"/>
    <w:rsid w:val="6FFA0D7A"/>
    <w:rsid w:val="6FFC780E"/>
    <w:rsid w:val="700026DF"/>
    <w:rsid w:val="70014417"/>
    <w:rsid w:val="70058AA1"/>
    <w:rsid w:val="70068688"/>
    <w:rsid w:val="7007EB36"/>
    <w:rsid w:val="7007F322"/>
    <w:rsid w:val="700939EE"/>
    <w:rsid w:val="700AAFC2"/>
    <w:rsid w:val="700C8EFB"/>
    <w:rsid w:val="700C9AE6"/>
    <w:rsid w:val="700CDA31"/>
    <w:rsid w:val="700D81CE"/>
    <w:rsid w:val="700E64E3"/>
    <w:rsid w:val="70128476"/>
    <w:rsid w:val="70130521"/>
    <w:rsid w:val="70131FFF"/>
    <w:rsid w:val="70148239"/>
    <w:rsid w:val="70152305"/>
    <w:rsid w:val="70154F13"/>
    <w:rsid w:val="70160422"/>
    <w:rsid w:val="70168161"/>
    <w:rsid w:val="701874B0"/>
    <w:rsid w:val="70190924"/>
    <w:rsid w:val="701A8B5A"/>
    <w:rsid w:val="701C55C9"/>
    <w:rsid w:val="701D84C6"/>
    <w:rsid w:val="701F0FE4"/>
    <w:rsid w:val="701FF32B"/>
    <w:rsid w:val="7020A9F2"/>
    <w:rsid w:val="70221102"/>
    <w:rsid w:val="7023A2ED"/>
    <w:rsid w:val="702474AD"/>
    <w:rsid w:val="7024BA91"/>
    <w:rsid w:val="70251E2E"/>
    <w:rsid w:val="70258B0F"/>
    <w:rsid w:val="702679F1"/>
    <w:rsid w:val="702A2299"/>
    <w:rsid w:val="702CDA78"/>
    <w:rsid w:val="702D3830"/>
    <w:rsid w:val="702D4AA9"/>
    <w:rsid w:val="702E968C"/>
    <w:rsid w:val="703053E6"/>
    <w:rsid w:val="70315BD4"/>
    <w:rsid w:val="70351139"/>
    <w:rsid w:val="70393C78"/>
    <w:rsid w:val="703ADC2F"/>
    <w:rsid w:val="703C3BF0"/>
    <w:rsid w:val="704414C7"/>
    <w:rsid w:val="7044540B"/>
    <w:rsid w:val="70481135"/>
    <w:rsid w:val="704966DA"/>
    <w:rsid w:val="704B43FA"/>
    <w:rsid w:val="704DE679"/>
    <w:rsid w:val="704FC10A"/>
    <w:rsid w:val="7050E654"/>
    <w:rsid w:val="70515CE2"/>
    <w:rsid w:val="705253EB"/>
    <w:rsid w:val="7052AFDC"/>
    <w:rsid w:val="7053E107"/>
    <w:rsid w:val="7054838D"/>
    <w:rsid w:val="705569DB"/>
    <w:rsid w:val="7057CD0B"/>
    <w:rsid w:val="705C9134"/>
    <w:rsid w:val="705D2A93"/>
    <w:rsid w:val="705D88D7"/>
    <w:rsid w:val="705E9AEA"/>
    <w:rsid w:val="7060183F"/>
    <w:rsid w:val="70605EA0"/>
    <w:rsid w:val="70628349"/>
    <w:rsid w:val="7062AF42"/>
    <w:rsid w:val="70633E3E"/>
    <w:rsid w:val="70633FC9"/>
    <w:rsid w:val="70642E31"/>
    <w:rsid w:val="70644DB8"/>
    <w:rsid w:val="7064CDEB"/>
    <w:rsid w:val="7067A637"/>
    <w:rsid w:val="706C1998"/>
    <w:rsid w:val="70739108"/>
    <w:rsid w:val="7073CD1C"/>
    <w:rsid w:val="707798B8"/>
    <w:rsid w:val="707A37D1"/>
    <w:rsid w:val="707B2A42"/>
    <w:rsid w:val="707B575E"/>
    <w:rsid w:val="707BA2BC"/>
    <w:rsid w:val="707CE820"/>
    <w:rsid w:val="707F9A65"/>
    <w:rsid w:val="70826A2D"/>
    <w:rsid w:val="70827EC6"/>
    <w:rsid w:val="7083C705"/>
    <w:rsid w:val="7087CEE0"/>
    <w:rsid w:val="708B822D"/>
    <w:rsid w:val="708D853A"/>
    <w:rsid w:val="708E0182"/>
    <w:rsid w:val="708EC07D"/>
    <w:rsid w:val="7090233C"/>
    <w:rsid w:val="7090D32E"/>
    <w:rsid w:val="70918143"/>
    <w:rsid w:val="7094B612"/>
    <w:rsid w:val="7097B90F"/>
    <w:rsid w:val="7097EC68"/>
    <w:rsid w:val="7098678A"/>
    <w:rsid w:val="709A0FE5"/>
    <w:rsid w:val="709E92DF"/>
    <w:rsid w:val="709F16FB"/>
    <w:rsid w:val="70A08C98"/>
    <w:rsid w:val="70A37D15"/>
    <w:rsid w:val="70A3E530"/>
    <w:rsid w:val="70A4204B"/>
    <w:rsid w:val="70A5CF7E"/>
    <w:rsid w:val="70A664DE"/>
    <w:rsid w:val="70A834A2"/>
    <w:rsid w:val="70A9ED07"/>
    <w:rsid w:val="70AA631E"/>
    <w:rsid w:val="70AB22CA"/>
    <w:rsid w:val="70AF8E45"/>
    <w:rsid w:val="70B3AE71"/>
    <w:rsid w:val="70B6689C"/>
    <w:rsid w:val="70B7703D"/>
    <w:rsid w:val="70B7B885"/>
    <w:rsid w:val="70B899B8"/>
    <w:rsid w:val="70B95517"/>
    <w:rsid w:val="70B98395"/>
    <w:rsid w:val="70BA0BDB"/>
    <w:rsid w:val="70BA9C8F"/>
    <w:rsid w:val="70BB1A64"/>
    <w:rsid w:val="70BB38D8"/>
    <w:rsid w:val="70BB57FF"/>
    <w:rsid w:val="70BC018C"/>
    <w:rsid w:val="70BCB03B"/>
    <w:rsid w:val="70BDCA41"/>
    <w:rsid w:val="70C183DB"/>
    <w:rsid w:val="70C2BF19"/>
    <w:rsid w:val="70C516BE"/>
    <w:rsid w:val="70C5879E"/>
    <w:rsid w:val="70C66B2A"/>
    <w:rsid w:val="70C6DDE9"/>
    <w:rsid w:val="70C7661B"/>
    <w:rsid w:val="70C78EA9"/>
    <w:rsid w:val="70C95D6F"/>
    <w:rsid w:val="70CD2CA6"/>
    <w:rsid w:val="70CEFDBB"/>
    <w:rsid w:val="70D350C5"/>
    <w:rsid w:val="70D42127"/>
    <w:rsid w:val="70D63C79"/>
    <w:rsid w:val="70D684FA"/>
    <w:rsid w:val="70D685B8"/>
    <w:rsid w:val="70D8B91B"/>
    <w:rsid w:val="70DCA2EB"/>
    <w:rsid w:val="70DD7812"/>
    <w:rsid w:val="70DE999B"/>
    <w:rsid w:val="70DEC9A7"/>
    <w:rsid w:val="70DECB31"/>
    <w:rsid w:val="70DF700A"/>
    <w:rsid w:val="70E1AD10"/>
    <w:rsid w:val="70E1E34D"/>
    <w:rsid w:val="70E388BF"/>
    <w:rsid w:val="70E459E2"/>
    <w:rsid w:val="70E65019"/>
    <w:rsid w:val="70E6D646"/>
    <w:rsid w:val="70E6E159"/>
    <w:rsid w:val="70E885DC"/>
    <w:rsid w:val="70E8B8DA"/>
    <w:rsid w:val="70EA6839"/>
    <w:rsid w:val="70EAD4FF"/>
    <w:rsid w:val="70EAFF78"/>
    <w:rsid w:val="70EC314D"/>
    <w:rsid w:val="70ED2295"/>
    <w:rsid w:val="70F0005C"/>
    <w:rsid w:val="70F52DC5"/>
    <w:rsid w:val="70F5DBCD"/>
    <w:rsid w:val="70F7A86E"/>
    <w:rsid w:val="70F7AA6B"/>
    <w:rsid w:val="70F7D9B1"/>
    <w:rsid w:val="70F7ED86"/>
    <w:rsid w:val="70F84564"/>
    <w:rsid w:val="70FA6D1D"/>
    <w:rsid w:val="70FC628E"/>
    <w:rsid w:val="70FC7C77"/>
    <w:rsid w:val="70FD23F3"/>
    <w:rsid w:val="70FFA77C"/>
    <w:rsid w:val="7100E3A2"/>
    <w:rsid w:val="7100E435"/>
    <w:rsid w:val="71025418"/>
    <w:rsid w:val="710317B2"/>
    <w:rsid w:val="710419CC"/>
    <w:rsid w:val="7107CD36"/>
    <w:rsid w:val="7108473C"/>
    <w:rsid w:val="7109F3F4"/>
    <w:rsid w:val="710A8399"/>
    <w:rsid w:val="710B3CD4"/>
    <w:rsid w:val="710D3101"/>
    <w:rsid w:val="710E3DE8"/>
    <w:rsid w:val="710E4449"/>
    <w:rsid w:val="710EF485"/>
    <w:rsid w:val="7110296F"/>
    <w:rsid w:val="711131A2"/>
    <w:rsid w:val="71118366"/>
    <w:rsid w:val="711AB2AD"/>
    <w:rsid w:val="711B66EC"/>
    <w:rsid w:val="711BB148"/>
    <w:rsid w:val="711F914D"/>
    <w:rsid w:val="71224FDD"/>
    <w:rsid w:val="71226DF3"/>
    <w:rsid w:val="7122A3B1"/>
    <w:rsid w:val="71238026"/>
    <w:rsid w:val="7124E192"/>
    <w:rsid w:val="71294842"/>
    <w:rsid w:val="71298396"/>
    <w:rsid w:val="712CC4B8"/>
    <w:rsid w:val="712FFF55"/>
    <w:rsid w:val="7131D044"/>
    <w:rsid w:val="71328580"/>
    <w:rsid w:val="713288C5"/>
    <w:rsid w:val="71347A16"/>
    <w:rsid w:val="71349DDA"/>
    <w:rsid w:val="713873FA"/>
    <w:rsid w:val="7138AF7C"/>
    <w:rsid w:val="713975B3"/>
    <w:rsid w:val="713A16F8"/>
    <w:rsid w:val="713ABB04"/>
    <w:rsid w:val="713B34F1"/>
    <w:rsid w:val="713C0049"/>
    <w:rsid w:val="713C1F2B"/>
    <w:rsid w:val="713C620F"/>
    <w:rsid w:val="713D9684"/>
    <w:rsid w:val="713EBD88"/>
    <w:rsid w:val="713FB0A6"/>
    <w:rsid w:val="7142C0F2"/>
    <w:rsid w:val="7142F58A"/>
    <w:rsid w:val="71434075"/>
    <w:rsid w:val="7145DDB2"/>
    <w:rsid w:val="71461042"/>
    <w:rsid w:val="71468D50"/>
    <w:rsid w:val="714840CE"/>
    <w:rsid w:val="7148DE4F"/>
    <w:rsid w:val="71494225"/>
    <w:rsid w:val="714B20FD"/>
    <w:rsid w:val="714FB265"/>
    <w:rsid w:val="715281A7"/>
    <w:rsid w:val="7152A86D"/>
    <w:rsid w:val="7153ED4D"/>
    <w:rsid w:val="71549485"/>
    <w:rsid w:val="7154DFA0"/>
    <w:rsid w:val="71574684"/>
    <w:rsid w:val="715776AA"/>
    <w:rsid w:val="715823CF"/>
    <w:rsid w:val="71595695"/>
    <w:rsid w:val="715A3F79"/>
    <w:rsid w:val="715B2A81"/>
    <w:rsid w:val="715C2E77"/>
    <w:rsid w:val="715CDE80"/>
    <w:rsid w:val="715D642D"/>
    <w:rsid w:val="715D6CB5"/>
    <w:rsid w:val="715E1C94"/>
    <w:rsid w:val="7160F55B"/>
    <w:rsid w:val="71612C11"/>
    <w:rsid w:val="716345DB"/>
    <w:rsid w:val="716564EB"/>
    <w:rsid w:val="7165F078"/>
    <w:rsid w:val="71675352"/>
    <w:rsid w:val="71679748"/>
    <w:rsid w:val="716847C7"/>
    <w:rsid w:val="716A0191"/>
    <w:rsid w:val="716CF304"/>
    <w:rsid w:val="71701256"/>
    <w:rsid w:val="71725656"/>
    <w:rsid w:val="71754F79"/>
    <w:rsid w:val="71764CF9"/>
    <w:rsid w:val="7177C649"/>
    <w:rsid w:val="71786090"/>
    <w:rsid w:val="717AEEEC"/>
    <w:rsid w:val="717BFFC0"/>
    <w:rsid w:val="717D3BE9"/>
    <w:rsid w:val="717D6794"/>
    <w:rsid w:val="71811351"/>
    <w:rsid w:val="71815E1B"/>
    <w:rsid w:val="7184808B"/>
    <w:rsid w:val="71852F4A"/>
    <w:rsid w:val="71878C95"/>
    <w:rsid w:val="7189876B"/>
    <w:rsid w:val="7189C971"/>
    <w:rsid w:val="718A4C72"/>
    <w:rsid w:val="718C26DA"/>
    <w:rsid w:val="718E12A7"/>
    <w:rsid w:val="718ECD78"/>
    <w:rsid w:val="71908460"/>
    <w:rsid w:val="7191E494"/>
    <w:rsid w:val="71927A6C"/>
    <w:rsid w:val="7193A17B"/>
    <w:rsid w:val="719497F1"/>
    <w:rsid w:val="719871E6"/>
    <w:rsid w:val="719C5B74"/>
    <w:rsid w:val="719DC91F"/>
    <w:rsid w:val="719F1D2C"/>
    <w:rsid w:val="719F46F1"/>
    <w:rsid w:val="71A008DF"/>
    <w:rsid w:val="71A0D5D5"/>
    <w:rsid w:val="71A1358B"/>
    <w:rsid w:val="71A1D74B"/>
    <w:rsid w:val="71A1E9CB"/>
    <w:rsid w:val="71A602BE"/>
    <w:rsid w:val="71A60768"/>
    <w:rsid w:val="71A63975"/>
    <w:rsid w:val="71A6E653"/>
    <w:rsid w:val="71A7BD2B"/>
    <w:rsid w:val="71A83279"/>
    <w:rsid w:val="71A97846"/>
    <w:rsid w:val="71AB8EC8"/>
    <w:rsid w:val="71ACAB10"/>
    <w:rsid w:val="71ADF3E9"/>
    <w:rsid w:val="71AED556"/>
    <w:rsid w:val="71AF154C"/>
    <w:rsid w:val="71B16BD4"/>
    <w:rsid w:val="71B17A8C"/>
    <w:rsid w:val="71B31002"/>
    <w:rsid w:val="71B32B40"/>
    <w:rsid w:val="71B49175"/>
    <w:rsid w:val="71B4A73A"/>
    <w:rsid w:val="71B4ED61"/>
    <w:rsid w:val="71B6ACEC"/>
    <w:rsid w:val="71B72AC0"/>
    <w:rsid w:val="71B853D4"/>
    <w:rsid w:val="71B8E649"/>
    <w:rsid w:val="71B959A2"/>
    <w:rsid w:val="71BA7A6D"/>
    <w:rsid w:val="71BBC38C"/>
    <w:rsid w:val="71BC07E0"/>
    <w:rsid w:val="71BD470A"/>
    <w:rsid w:val="71BF23D6"/>
    <w:rsid w:val="71C08B59"/>
    <w:rsid w:val="71C51946"/>
    <w:rsid w:val="71C869AD"/>
    <w:rsid w:val="71C9647E"/>
    <w:rsid w:val="71CA4C6A"/>
    <w:rsid w:val="71CA7716"/>
    <w:rsid w:val="71CB762D"/>
    <w:rsid w:val="71CBFC63"/>
    <w:rsid w:val="71CD3211"/>
    <w:rsid w:val="71CD3C82"/>
    <w:rsid w:val="71CD65EE"/>
    <w:rsid w:val="71CDE989"/>
    <w:rsid w:val="71CED52A"/>
    <w:rsid w:val="71D1C990"/>
    <w:rsid w:val="71D28A86"/>
    <w:rsid w:val="71D332A4"/>
    <w:rsid w:val="71D39196"/>
    <w:rsid w:val="71D63BE6"/>
    <w:rsid w:val="71D85210"/>
    <w:rsid w:val="71D8526C"/>
    <w:rsid w:val="71DAA1A0"/>
    <w:rsid w:val="71DC3A62"/>
    <w:rsid w:val="71E09856"/>
    <w:rsid w:val="71E10536"/>
    <w:rsid w:val="71E229E7"/>
    <w:rsid w:val="71E6A1AA"/>
    <w:rsid w:val="71E6CC94"/>
    <w:rsid w:val="71E87B7D"/>
    <w:rsid w:val="71E882E9"/>
    <w:rsid w:val="71EAFAFF"/>
    <w:rsid w:val="71EBBB63"/>
    <w:rsid w:val="71EC23BA"/>
    <w:rsid w:val="71ECC6F2"/>
    <w:rsid w:val="71F1551D"/>
    <w:rsid w:val="71F1D0A8"/>
    <w:rsid w:val="71F28BA3"/>
    <w:rsid w:val="71F37015"/>
    <w:rsid w:val="71F3868B"/>
    <w:rsid w:val="71F4ADE1"/>
    <w:rsid w:val="71F4E1BB"/>
    <w:rsid w:val="71F54E31"/>
    <w:rsid w:val="71F56A63"/>
    <w:rsid w:val="71F5852D"/>
    <w:rsid w:val="71F5A7DF"/>
    <w:rsid w:val="71F68C20"/>
    <w:rsid w:val="71F6A25B"/>
    <w:rsid w:val="71F6AD64"/>
    <w:rsid w:val="71F6C8BC"/>
    <w:rsid w:val="71F700A8"/>
    <w:rsid w:val="71F80794"/>
    <w:rsid w:val="71FAB248"/>
    <w:rsid w:val="71FD76D4"/>
    <w:rsid w:val="71FFE30C"/>
    <w:rsid w:val="720045A5"/>
    <w:rsid w:val="72009090"/>
    <w:rsid w:val="7200994D"/>
    <w:rsid w:val="72039BFB"/>
    <w:rsid w:val="72048D5B"/>
    <w:rsid w:val="7205DF80"/>
    <w:rsid w:val="720756F7"/>
    <w:rsid w:val="720B04C4"/>
    <w:rsid w:val="720CDCE3"/>
    <w:rsid w:val="720D06E8"/>
    <w:rsid w:val="720E86C2"/>
    <w:rsid w:val="7212478B"/>
    <w:rsid w:val="72138B17"/>
    <w:rsid w:val="7215320D"/>
    <w:rsid w:val="7215B613"/>
    <w:rsid w:val="721626E9"/>
    <w:rsid w:val="7216C979"/>
    <w:rsid w:val="72182353"/>
    <w:rsid w:val="721B1CCE"/>
    <w:rsid w:val="721BCC4D"/>
    <w:rsid w:val="721E2CD4"/>
    <w:rsid w:val="721ECCB0"/>
    <w:rsid w:val="721FC493"/>
    <w:rsid w:val="7222D655"/>
    <w:rsid w:val="72235EB6"/>
    <w:rsid w:val="7223EB72"/>
    <w:rsid w:val="7224DA18"/>
    <w:rsid w:val="7225C51E"/>
    <w:rsid w:val="72271E7A"/>
    <w:rsid w:val="7228B61B"/>
    <w:rsid w:val="7228CB60"/>
    <w:rsid w:val="72293140"/>
    <w:rsid w:val="7229F7AC"/>
    <w:rsid w:val="722AC113"/>
    <w:rsid w:val="722BA80A"/>
    <w:rsid w:val="722CC614"/>
    <w:rsid w:val="722EA254"/>
    <w:rsid w:val="722F03C3"/>
    <w:rsid w:val="722F2E58"/>
    <w:rsid w:val="72324178"/>
    <w:rsid w:val="723262C5"/>
    <w:rsid w:val="7232686A"/>
    <w:rsid w:val="72350655"/>
    <w:rsid w:val="7236777C"/>
    <w:rsid w:val="72373E40"/>
    <w:rsid w:val="723866E2"/>
    <w:rsid w:val="723993DA"/>
    <w:rsid w:val="723A18ED"/>
    <w:rsid w:val="723A6DD8"/>
    <w:rsid w:val="723A6EBC"/>
    <w:rsid w:val="723A93E8"/>
    <w:rsid w:val="723E07F5"/>
    <w:rsid w:val="723E2EF5"/>
    <w:rsid w:val="723E9C03"/>
    <w:rsid w:val="72447A16"/>
    <w:rsid w:val="7245BD9E"/>
    <w:rsid w:val="7247D897"/>
    <w:rsid w:val="72480F12"/>
    <w:rsid w:val="724D4071"/>
    <w:rsid w:val="724EFFA8"/>
    <w:rsid w:val="724F11E7"/>
    <w:rsid w:val="725171E3"/>
    <w:rsid w:val="7253497F"/>
    <w:rsid w:val="7253FA01"/>
    <w:rsid w:val="7254385E"/>
    <w:rsid w:val="72563109"/>
    <w:rsid w:val="725A9205"/>
    <w:rsid w:val="725B545F"/>
    <w:rsid w:val="725DF516"/>
    <w:rsid w:val="725FEC87"/>
    <w:rsid w:val="72621531"/>
    <w:rsid w:val="726548B7"/>
    <w:rsid w:val="7265C010"/>
    <w:rsid w:val="7267D214"/>
    <w:rsid w:val="7269869C"/>
    <w:rsid w:val="7269DEC0"/>
    <w:rsid w:val="7271FF51"/>
    <w:rsid w:val="727293EF"/>
    <w:rsid w:val="7273EA74"/>
    <w:rsid w:val="7274D3C5"/>
    <w:rsid w:val="72769D91"/>
    <w:rsid w:val="7278FF9C"/>
    <w:rsid w:val="727AED38"/>
    <w:rsid w:val="727B544D"/>
    <w:rsid w:val="727B6922"/>
    <w:rsid w:val="727C7A02"/>
    <w:rsid w:val="727EDCEB"/>
    <w:rsid w:val="727FDF40"/>
    <w:rsid w:val="728047B9"/>
    <w:rsid w:val="7280809D"/>
    <w:rsid w:val="728080DD"/>
    <w:rsid w:val="7280E0BA"/>
    <w:rsid w:val="72810F55"/>
    <w:rsid w:val="7283CAEC"/>
    <w:rsid w:val="7284BC3A"/>
    <w:rsid w:val="7284D43C"/>
    <w:rsid w:val="7284F49F"/>
    <w:rsid w:val="72867F94"/>
    <w:rsid w:val="7286E6B4"/>
    <w:rsid w:val="7287185F"/>
    <w:rsid w:val="7287411E"/>
    <w:rsid w:val="7288A2D0"/>
    <w:rsid w:val="728BD185"/>
    <w:rsid w:val="728C8A99"/>
    <w:rsid w:val="728F2DAF"/>
    <w:rsid w:val="728FDC9F"/>
    <w:rsid w:val="72956E43"/>
    <w:rsid w:val="729CF74D"/>
    <w:rsid w:val="729D082F"/>
    <w:rsid w:val="729D64A4"/>
    <w:rsid w:val="72A114F3"/>
    <w:rsid w:val="72A1593E"/>
    <w:rsid w:val="72A269CB"/>
    <w:rsid w:val="72A35DB8"/>
    <w:rsid w:val="72A3D7B5"/>
    <w:rsid w:val="72A4A581"/>
    <w:rsid w:val="72A6DEE6"/>
    <w:rsid w:val="72AAEA83"/>
    <w:rsid w:val="72AB1232"/>
    <w:rsid w:val="72AED96C"/>
    <w:rsid w:val="72AFFFA6"/>
    <w:rsid w:val="72B00432"/>
    <w:rsid w:val="72B02DF3"/>
    <w:rsid w:val="72B4EB9D"/>
    <w:rsid w:val="72B6610B"/>
    <w:rsid w:val="72B6E300"/>
    <w:rsid w:val="72B7EC47"/>
    <w:rsid w:val="72B8F5CF"/>
    <w:rsid w:val="72B9C1F9"/>
    <w:rsid w:val="72BC8D01"/>
    <w:rsid w:val="72BD2B92"/>
    <w:rsid w:val="72BDF194"/>
    <w:rsid w:val="72C0A282"/>
    <w:rsid w:val="72C1092B"/>
    <w:rsid w:val="72C11974"/>
    <w:rsid w:val="72C1C189"/>
    <w:rsid w:val="72C2AFD7"/>
    <w:rsid w:val="72C32C09"/>
    <w:rsid w:val="72C3BFC1"/>
    <w:rsid w:val="72C5A501"/>
    <w:rsid w:val="72C5AA44"/>
    <w:rsid w:val="72C65078"/>
    <w:rsid w:val="72C6CC67"/>
    <w:rsid w:val="72C6DE62"/>
    <w:rsid w:val="72C8DB2D"/>
    <w:rsid w:val="72C9B4E9"/>
    <w:rsid w:val="72C9B9F6"/>
    <w:rsid w:val="72CBC645"/>
    <w:rsid w:val="72CD2BDF"/>
    <w:rsid w:val="72CE67CE"/>
    <w:rsid w:val="72CF984E"/>
    <w:rsid w:val="72CFBBFF"/>
    <w:rsid w:val="72D0B354"/>
    <w:rsid w:val="72D14D32"/>
    <w:rsid w:val="72D14EFA"/>
    <w:rsid w:val="72D4EDC0"/>
    <w:rsid w:val="72D63C1E"/>
    <w:rsid w:val="72D72CEB"/>
    <w:rsid w:val="72DAC6C1"/>
    <w:rsid w:val="72DCD61F"/>
    <w:rsid w:val="72DE5C0B"/>
    <w:rsid w:val="72DEF87D"/>
    <w:rsid w:val="72DFF727"/>
    <w:rsid w:val="72E2D0CE"/>
    <w:rsid w:val="72E3FDAA"/>
    <w:rsid w:val="72E4F340"/>
    <w:rsid w:val="72E68775"/>
    <w:rsid w:val="72EA88B7"/>
    <w:rsid w:val="72EC0123"/>
    <w:rsid w:val="72EF3D49"/>
    <w:rsid w:val="72F24371"/>
    <w:rsid w:val="72F2D5B1"/>
    <w:rsid w:val="72F3E677"/>
    <w:rsid w:val="72F404BD"/>
    <w:rsid w:val="72F48CA9"/>
    <w:rsid w:val="72F5EB70"/>
    <w:rsid w:val="72F78EC2"/>
    <w:rsid w:val="72FCC84A"/>
    <w:rsid w:val="72FD0DD5"/>
    <w:rsid w:val="72FD7E72"/>
    <w:rsid w:val="72FDE110"/>
    <w:rsid w:val="72FE86F8"/>
    <w:rsid w:val="72FFB509"/>
    <w:rsid w:val="73037809"/>
    <w:rsid w:val="7303C179"/>
    <w:rsid w:val="73060D10"/>
    <w:rsid w:val="7306106D"/>
    <w:rsid w:val="73076853"/>
    <w:rsid w:val="7307844F"/>
    <w:rsid w:val="730C241E"/>
    <w:rsid w:val="730CB485"/>
    <w:rsid w:val="730F9CA1"/>
    <w:rsid w:val="731132AA"/>
    <w:rsid w:val="7311EC0A"/>
    <w:rsid w:val="73121D5A"/>
    <w:rsid w:val="73121FCE"/>
    <w:rsid w:val="7315DC86"/>
    <w:rsid w:val="7315E9AC"/>
    <w:rsid w:val="7316B0BA"/>
    <w:rsid w:val="7316B3A1"/>
    <w:rsid w:val="7316F31A"/>
    <w:rsid w:val="731712E1"/>
    <w:rsid w:val="73171E1E"/>
    <w:rsid w:val="73196208"/>
    <w:rsid w:val="7319F06F"/>
    <w:rsid w:val="731DA473"/>
    <w:rsid w:val="731DAB8E"/>
    <w:rsid w:val="731F13EA"/>
    <w:rsid w:val="7320B007"/>
    <w:rsid w:val="732348AE"/>
    <w:rsid w:val="73238210"/>
    <w:rsid w:val="732450D4"/>
    <w:rsid w:val="7327549C"/>
    <w:rsid w:val="73287B19"/>
    <w:rsid w:val="7328CCDC"/>
    <w:rsid w:val="732919D0"/>
    <w:rsid w:val="732BFA18"/>
    <w:rsid w:val="732FBB70"/>
    <w:rsid w:val="732FDE60"/>
    <w:rsid w:val="7331F44C"/>
    <w:rsid w:val="73333DBC"/>
    <w:rsid w:val="7333ACEE"/>
    <w:rsid w:val="733480F6"/>
    <w:rsid w:val="7334EE99"/>
    <w:rsid w:val="7337064D"/>
    <w:rsid w:val="73389E9B"/>
    <w:rsid w:val="733904C9"/>
    <w:rsid w:val="733A1A69"/>
    <w:rsid w:val="733D5EE8"/>
    <w:rsid w:val="733DDD37"/>
    <w:rsid w:val="7340ACB4"/>
    <w:rsid w:val="73420004"/>
    <w:rsid w:val="7346E249"/>
    <w:rsid w:val="7347BEA9"/>
    <w:rsid w:val="734A13AD"/>
    <w:rsid w:val="734AF764"/>
    <w:rsid w:val="734B1E5D"/>
    <w:rsid w:val="734C8BE1"/>
    <w:rsid w:val="734E7DEC"/>
    <w:rsid w:val="73534BCB"/>
    <w:rsid w:val="7354058B"/>
    <w:rsid w:val="73540714"/>
    <w:rsid w:val="735485C4"/>
    <w:rsid w:val="73557937"/>
    <w:rsid w:val="7355D8CB"/>
    <w:rsid w:val="7356FAD6"/>
    <w:rsid w:val="7357A65E"/>
    <w:rsid w:val="73585D68"/>
    <w:rsid w:val="735B9D13"/>
    <w:rsid w:val="735BF81D"/>
    <w:rsid w:val="735D2186"/>
    <w:rsid w:val="735EF8DD"/>
    <w:rsid w:val="735F78E0"/>
    <w:rsid w:val="7361AD91"/>
    <w:rsid w:val="7362E419"/>
    <w:rsid w:val="736310AC"/>
    <w:rsid w:val="7363DD49"/>
    <w:rsid w:val="7363E88D"/>
    <w:rsid w:val="73642CE4"/>
    <w:rsid w:val="73642D58"/>
    <w:rsid w:val="73644C88"/>
    <w:rsid w:val="73649771"/>
    <w:rsid w:val="7364E9E5"/>
    <w:rsid w:val="73657E07"/>
    <w:rsid w:val="7366D751"/>
    <w:rsid w:val="7369E116"/>
    <w:rsid w:val="736B44B1"/>
    <w:rsid w:val="736B8151"/>
    <w:rsid w:val="736C7078"/>
    <w:rsid w:val="736C7909"/>
    <w:rsid w:val="736FB381"/>
    <w:rsid w:val="73700572"/>
    <w:rsid w:val="73706C35"/>
    <w:rsid w:val="7370A6D1"/>
    <w:rsid w:val="7370FD77"/>
    <w:rsid w:val="7371636B"/>
    <w:rsid w:val="7372BD96"/>
    <w:rsid w:val="73735007"/>
    <w:rsid w:val="7374FA4C"/>
    <w:rsid w:val="7375C7CA"/>
    <w:rsid w:val="7375EE84"/>
    <w:rsid w:val="737A4E4F"/>
    <w:rsid w:val="737C3513"/>
    <w:rsid w:val="737D493A"/>
    <w:rsid w:val="737D589B"/>
    <w:rsid w:val="737DBE2A"/>
    <w:rsid w:val="737FF465"/>
    <w:rsid w:val="7381749A"/>
    <w:rsid w:val="73840A5A"/>
    <w:rsid w:val="73847FAE"/>
    <w:rsid w:val="73854736"/>
    <w:rsid w:val="73874598"/>
    <w:rsid w:val="73893958"/>
    <w:rsid w:val="738BDD3F"/>
    <w:rsid w:val="738D48FD"/>
    <w:rsid w:val="738F50A1"/>
    <w:rsid w:val="7390ED9F"/>
    <w:rsid w:val="73926C28"/>
    <w:rsid w:val="73941F33"/>
    <w:rsid w:val="73945A94"/>
    <w:rsid w:val="7399683B"/>
    <w:rsid w:val="73997975"/>
    <w:rsid w:val="7399AD06"/>
    <w:rsid w:val="739B33FA"/>
    <w:rsid w:val="739E4B67"/>
    <w:rsid w:val="73A0762F"/>
    <w:rsid w:val="73A17F1A"/>
    <w:rsid w:val="73A29A0C"/>
    <w:rsid w:val="73A3246B"/>
    <w:rsid w:val="73A4098D"/>
    <w:rsid w:val="73A4B1A6"/>
    <w:rsid w:val="73A60159"/>
    <w:rsid w:val="73A6FD20"/>
    <w:rsid w:val="73A9E6BF"/>
    <w:rsid w:val="73AAD02E"/>
    <w:rsid w:val="73AD9581"/>
    <w:rsid w:val="73AEAA70"/>
    <w:rsid w:val="73B042F5"/>
    <w:rsid w:val="73B117F5"/>
    <w:rsid w:val="73B16C0D"/>
    <w:rsid w:val="73B2AF0B"/>
    <w:rsid w:val="73B51BFA"/>
    <w:rsid w:val="73B63D96"/>
    <w:rsid w:val="73B69823"/>
    <w:rsid w:val="73B718A2"/>
    <w:rsid w:val="73B780BC"/>
    <w:rsid w:val="73B8965E"/>
    <w:rsid w:val="73B8EC94"/>
    <w:rsid w:val="73B99EB6"/>
    <w:rsid w:val="73BD97D2"/>
    <w:rsid w:val="73BF2AFD"/>
    <w:rsid w:val="73BFB77A"/>
    <w:rsid w:val="73C0B7DC"/>
    <w:rsid w:val="73C1B3DF"/>
    <w:rsid w:val="73C456E7"/>
    <w:rsid w:val="73C56082"/>
    <w:rsid w:val="73C594EB"/>
    <w:rsid w:val="73C7D321"/>
    <w:rsid w:val="73C7F20F"/>
    <w:rsid w:val="73C961CB"/>
    <w:rsid w:val="73C98472"/>
    <w:rsid w:val="73CA079E"/>
    <w:rsid w:val="73CCBC4B"/>
    <w:rsid w:val="73CDCB6D"/>
    <w:rsid w:val="73CE0DB4"/>
    <w:rsid w:val="73CEBF57"/>
    <w:rsid w:val="73D0506E"/>
    <w:rsid w:val="73D1F598"/>
    <w:rsid w:val="73D3EB23"/>
    <w:rsid w:val="73D46C78"/>
    <w:rsid w:val="73D5E001"/>
    <w:rsid w:val="73D65AEA"/>
    <w:rsid w:val="73D903B2"/>
    <w:rsid w:val="73D91910"/>
    <w:rsid w:val="73D963C4"/>
    <w:rsid w:val="73D97300"/>
    <w:rsid w:val="73DD1A44"/>
    <w:rsid w:val="73DE2834"/>
    <w:rsid w:val="73DE2FF1"/>
    <w:rsid w:val="73DF313D"/>
    <w:rsid w:val="73E00726"/>
    <w:rsid w:val="73E07410"/>
    <w:rsid w:val="73E11C13"/>
    <w:rsid w:val="73E23C47"/>
    <w:rsid w:val="73E38BA7"/>
    <w:rsid w:val="73E629DA"/>
    <w:rsid w:val="73E6DCE1"/>
    <w:rsid w:val="73E7E167"/>
    <w:rsid w:val="73EC8B8D"/>
    <w:rsid w:val="73EEC4FD"/>
    <w:rsid w:val="73F05220"/>
    <w:rsid w:val="73F1C92A"/>
    <w:rsid w:val="73F2BF87"/>
    <w:rsid w:val="73F3088F"/>
    <w:rsid w:val="73F418CD"/>
    <w:rsid w:val="73F54453"/>
    <w:rsid w:val="73F7652C"/>
    <w:rsid w:val="73F8435F"/>
    <w:rsid w:val="73F9AF96"/>
    <w:rsid w:val="73FA2011"/>
    <w:rsid w:val="73FB2C44"/>
    <w:rsid w:val="73FC1E67"/>
    <w:rsid w:val="73FC82FD"/>
    <w:rsid w:val="73FEBFEB"/>
    <w:rsid w:val="73FF60E7"/>
    <w:rsid w:val="73FFE888"/>
    <w:rsid w:val="74002549"/>
    <w:rsid w:val="74015DEE"/>
    <w:rsid w:val="7402A7FE"/>
    <w:rsid w:val="74056767"/>
    <w:rsid w:val="7406D4B8"/>
    <w:rsid w:val="7408B860"/>
    <w:rsid w:val="74097606"/>
    <w:rsid w:val="7409E517"/>
    <w:rsid w:val="740ADF24"/>
    <w:rsid w:val="740C1F5E"/>
    <w:rsid w:val="740C8526"/>
    <w:rsid w:val="740EBF49"/>
    <w:rsid w:val="7412545F"/>
    <w:rsid w:val="741449C8"/>
    <w:rsid w:val="7415338C"/>
    <w:rsid w:val="7415EF76"/>
    <w:rsid w:val="7415EF9C"/>
    <w:rsid w:val="74161090"/>
    <w:rsid w:val="7416C689"/>
    <w:rsid w:val="7416DC12"/>
    <w:rsid w:val="7418F718"/>
    <w:rsid w:val="7419835D"/>
    <w:rsid w:val="741CF363"/>
    <w:rsid w:val="741D028A"/>
    <w:rsid w:val="741FC7A3"/>
    <w:rsid w:val="742201C3"/>
    <w:rsid w:val="74220AAC"/>
    <w:rsid w:val="74255809"/>
    <w:rsid w:val="7426ED31"/>
    <w:rsid w:val="742943D4"/>
    <w:rsid w:val="742A1D59"/>
    <w:rsid w:val="742A4F2C"/>
    <w:rsid w:val="742C72DC"/>
    <w:rsid w:val="742E28C3"/>
    <w:rsid w:val="74333AD8"/>
    <w:rsid w:val="7434E82F"/>
    <w:rsid w:val="7436522C"/>
    <w:rsid w:val="7438CAAE"/>
    <w:rsid w:val="743995D1"/>
    <w:rsid w:val="743AF5D4"/>
    <w:rsid w:val="743E1D1D"/>
    <w:rsid w:val="743F5E58"/>
    <w:rsid w:val="74412632"/>
    <w:rsid w:val="7442260C"/>
    <w:rsid w:val="744228A5"/>
    <w:rsid w:val="7444BB12"/>
    <w:rsid w:val="74462D92"/>
    <w:rsid w:val="74464178"/>
    <w:rsid w:val="74494A7C"/>
    <w:rsid w:val="7449F9C0"/>
    <w:rsid w:val="744A0979"/>
    <w:rsid w:val="744C2CE5"/>
    <w:rsid w:val="744CBE67"/>
    <w:rsid w:val="744CE4AB"/>
    <w:rsid w:val="744F5415"/>
    <w:rsid w:val="744FD939"/>
    <w:rsid w:val="7450C531"/>
    <w:rsid w:val="7450F7F8"/>
    <w:rsid w:val="74516968"/>
    <w:rsid w:val="7451C63A"/>
    <w:rsid w:val="745220A8"/>
    <w:rsid w:val="7453F043"/>
    <w:rsid w:val="7455F093"/>
    <w:rsid w:val="74569CF7"/>
    <w:rsid w:val="7456D313"/>
    <w:rsid w:val="7457AA8F"/>
    <w:rsid w:val="7457DE60"/>
    <w:rsid w:val="745A567E"/>
    <w:rsid w:val="745CF07D"/>
    <w:rsid w:val="745EBD94"/>
    <w:rsid w:val="745F055F"/>
    <w:rsid w:val="7460AEBA"/>
    <w:rsid w:val="7461E316"/>
    <w:rsid w:val="7462D307"/>
    <w:rsid w:val="74646721"/>
    <w:rsid w:val="7464AEE4"/>
    <w:rsid w:val="746723BB"/>
    <w:rsid w:val="746A372B"/>
    <w:rsid w:val="746C8C50"/>
    <w:rsid w:val="746D6262"/>
    <w:rsid w:val="746FA167"/>
    <w:rsid w:val="74735E7C"/>
    <w:rsid w:val="74756651"/>
    <w:rsid w:val="7475B598"/>
    <w:rsid w:val="747771D9"/>
    <w:rsid w:val="7479E2AD"/>
    <w:rsid w:val="7479F7FA"/>
    <w:rsid w:val="747B0E14"/>
    <w:rsid w:val="7480A8AE"/>
    <w:rsid w:val="7480CED7"/>
    <w:rsid w:val="74818E43"/>
    <w:rsid w:val="7482D924"/>
    <w:rsid w:val="7485F7C3"/>
    <w:rsid w:val="74875D99"/>
    <w:rsid w:val="7489856D"/>
    <w:rsid w:val="7489DF8E"/>
    <w:rsid w:val="748A5C06"/>
    <w:rsid w:val="748C4F88"/>
    <w:rsid w:val="748DD673"/>
    <w:rsid w:val="748FD2CE"/>
    <w:rsid w:val="74916B3B"/>
    <w:rsid w:val="74935233"/>
    <w:rsid w:val="7493FD18"/>
    <w:rsid w:val="74955B5A"/>
    <w:rsid w:val="74960139"/>
    <w:rsid w:val="749888A0"/>
    <w:rsid w:val="7498DA92"/>
    <w:rsid w:val="749A7A6D"/>
    <w:rsid w:val="749AF746"/>
    <w:rsid w:val="749B3333"/>
    <w:rsid w:val="749BE0A4"/>
    <w:rsid w:val="749DECAF"/>
    <w:rsid w:val="749E92E8"/>
    <w:rsid w:val="74A325A3"/>
    <w:rsid w:val="74A3691A"/>
    <w:rsid w:val="74A42B3C"/>
    <w:rsid w:val="74A66DB7"/>
    <w:rsid w:val="74A9323C"/>
    <w:rsid w:val="74AB6618"/>
    <w:rsid w:val="74AB792F"/>
    <w:rsid w:val="74AE815A"/>
    <w:rsid w:val="74B08633"/>
    <w:rsid w:val="74B23EF6"/>
    <w:rsid w:val="74B2DFA1"/>
    <w:rsid w:val="74B31C70"/>
    <w:rsid w:val="74B446FC"/>
    <w:rsid w:val="74B5E635"/>
    <w:rsid w:val="74B6DF70"/>
    <w:rsid w:val="74B84A1C"/>
    <w:rsid w:val="74B8D1CB"/>
    <w:rsid w:val="74BA3C3A"/>
    <w:rsid w:val="74BA8AB6"/>
    <w:rsid w:val="74BCBD7A"/>
    <w:rsid w:val="74BD1232"/>
    <w:rsid w:val="74BF4609"/>
    <w:rsid w:val="74BF5926"/>
    <w:rsid w:val="74C07265"/>
    <w:rsid w:val="74C09C6F"/>
    <w:rsid w:val="74C3101A"/>
    <w:rsid w:val="74C379DD"/>
    <w:rsid w:val="74C4AD6F"/>
    <w:rsid w:val="74C9BFD1"/>
    <w:rsid w:val="74CA0421"/>
    <w:rsid w:val="74CA22E4"/>
    <w:rsid w:val="74CAFB5D"/>
    <w:rsid w:val="74CB7275"/>
    <w:rsid w:val="74CB9576"/>
    <w:rsid w:val="74CDA79B"/>
    <w:rsid w:val="74CE9251"/>
    <w:rsid w:val="74CF3E2E"/>
    <w:rsid w:val="74D0471F"/>
    <w:rsid w:val="74D3BDE4"/>
    <w:rsid w:val="74D3DB55"/>
    <w:rsid w:val="74D531C7"/>
    <w:rsid w:val="74D711B4"/>
    <w:rsid w:val="74D74F02"/>
    <w:rsid w:val="74D806C4"/>
    <w:rsid w:val="74D8B5B3"/>
    <w:rsid w:val="74DB21D3"/>
    <w:rsid w:val="74DB98E0"/>
    <w:rsid w:val="74DC487A"/>
    <w:rsid w:val="74DC7D15"/>
    <w:rsid w:val="74DCDB36"/>
    <w:rsid w:val="74DDD7A7"/>
    <w:rsid w:val="74E175AB"/>
    <w:rsid w:val="74E2FBB1"/>
    <w:rsid w:val="74E3D65A"/>
    <w:rsid w:val="74E46277"/>
    <w:rsid w:val="74E48426"/>
    <w:rsid w:val="74E6340C"/>
    <w:rsid w:val="74E64FEE"/>
    <w:rsid w:val="74E65AC4"/>
    <w:rsid w:val="74E7529E"/>
    <w:rsid w:val="74E77E47"/>
    <w:rsid w:val="74E95D93"/>
    <w:rsid w:val="74EA9AD6"/>
    <w:rsid w:val="74EBF1A0"/>
    <w:rsid w:val="74EE7C40"/>
    <w:rsid w:val="74EEA9B6"/>
    <w:rsid w:val="74F052F2"/>
    <w:rsid w:val="74F4C925"/>
    <w:rsid w:val="74F53CB6"/>
    <w:rsid w:val="74F6A13C"/>
    <w:rsid w:val="74FB6F84"/>
    <w:rsid w:val="74FC5E1D"/>
    <w:rsid w:val="74FEE4C4"/>
    <w:rsid w:val="75001E7A"/>
    <w:rsid w:val="75036AFC"/>
    <w:rsid w:val="75071F51"/>
    <w:rsid w:val="75075FE8"/>
    <w:rsid w:val="75095135"/>
    <w:rsid w:val="7509CE4A"/>
    <w:rsid w:val="750AC6FB"/>
    <w:rsid w:val="750C6769"/>
    <w:rsid w:val="750CEBFB"/>
    <w:rsid w:val="750D9775"/>
    <w:rsid w:val="750F5D86"/>
    <w:rsid w:val="751094F7"/>
    <w:rsid w:val="75115077"/>
    <w:rsid w:val="75136B76"/>
    <w:rsid w:val="75137303"/>
    <w:rsid w:val="7514DBDF"/>
    <w:rsid w:val="7515080B"/>
    <w:rsid w:val="7515C646"/>
    <w:rsid w:val="751675B5"/>
    <w:rsid w:val="7516EDC8"/>
    <w:rsid w:val="7517195A"/>
    <w:rsid w:val="751A66B6"/>
    <w:rsid w:val="751AA415"/>
    <w:rsid w:val="751B1025"/>
    <w:rsid w:val="751B4235"/>
    <w:rsid w:val="751C7AF1"/>
    <w:rsid w:val="751C9DC0"/>
    <w:rsid w:val="751DA1D4"/>
    <w:rsid w:val="752200C8"/>
    <w:rsid w:val="75231661"/>
    <w:rsid w:val="7523802B"/>
    <w:rsid w:val="75250510"/>
    <w:rsid w:val="7527A04C"/>
    <w:rsid w:val="75284B0A"/>
    <w:rsid w:val="752B2102"/>
    <w:rsid w:val="752B7785"/>
    <w:rsid w:val="752CC324"/>
    <w:rsid w:val="752D999A"/>
    <w:rsid w:val="7531C2C8"/>
    <w:rsid w:val="7532A472"/>
    <w:rsid w:val="753599A9"/>
    <w:rsid w:val="7536277F"/>
    <w:rsid w:val="7537C87E"/>
    <w:rsid w:val="753983E2"/>
    <w:rsid w:val="7539C275"/>
    <w:rsid w:val="753BCFCC"/>
    <w:rsid w:val="753D37D5"/>
    <w:rsid w:val="753EF86E"/>
    <w:rsid w:val="753F7924"/>
    <w:rsid w:val="75415C9D"/>
    <w:rsid w:val="754298EA"/>
    <w:rsid w:val="7542CAB5"/>
    <w:rsid w:val="75435FB8"/>
    <w:rsid w:val="7543CF75"/>
    <w:rsid w:val="7544F558"/>
    <w:rsid w:val="7546D0D5"/>
    <w:rsid w:val="7548CEAF"/>
    <w:rsid w:val="7548D65F"/>
    <w:rsid w:val="754CC14A"/>
    <w:rsid w:val="754DF347"/>
    <w:rsid w:val="754F797A"/>
    <w:rsid w:val="7550222E"/>
    <w:rsid w:val="75503F72"/>
    <w:rsid w:val="75510439"/>
    <w:rsid w:val="7552EE40"/>
    <w:rsid w:val="7553F777"/>
    <w:rsid w:val="7555DF5C"/>
    <w:rsid w:val="75567F46"/>
    <w:rsid w:val="75569A3C"/>
    <w:rsid w:val="75597CCC"/>
    <w:rsid w:val="755B1388"/>
    <w:rsid w:val="755C6803"/>
    <w:rsid w:val="755CD6E4"/>
    <w:rsid w:val="755DE5E4"/>
    <w:rsid w:val="755E3E82"/>
    <w:rsid w:val="755EB22B"/>
    <w:rsid w:val="755F5CE3"/>
    <w:rsid w:val="75601886"/>
    <w:rsid w:val="7560BAD2"/>
    <w:rsid w:val="7562416E"/>
    <w:rsid w:val="7563B56A"/>
    <w:rsid w:val="75646C73"/>
    <w:rsid w:val="7565B60B"/>
    <w:rsid w:val="75675218"/>
    <w:rsid w:val="756804F6"/>
    <w:rsid w:val="756926A4"/>
    <w:rsid w:val="756A986B"/>
    <w:rsid w:val="756B9CD1"/>
    <w:rsid w:val="756BEB6C"/>
    <w:rsid w:val="756CAB8C"/>
    <w:rsid w:val="756DF5F8"/>
    <w:rsid w:val="756F8C2A"/>
    <w:rsid w:val="756FADAC"/>
    <w:rsid w:val="75700140"/>
    <w:rsid w:val="757176B1"/>
    <w:rsid w:val="75721EB3"/>
    <w:rsid w:val="75771907"/>
    <w:rsid w:val="757909F1"/>
    <w:rsid w:val="7579CE31"/>
    <w:rsid w:val="7579E4EB"/>
    <w:rsid w:val="757A793A"/>
    <w:rsid w:val="757AF71C"/>
    <w:rsid w:val="757F42EC"/>
    <w:rsid w:val="75805606"/>
    <w:rsid w:val="75805DB0"/>
    <w:rsid w:val="7580CEED"/>
    <w:rsid w:val="75829529"/>
    <w:rsid w:val="7585144F"/>
    <w:rsid w:val="75856F36"/>
    <w:rsid w:val="7587087B"/>
    <w:rsid w:val="75878B5E"/>
    <w:rsid w:val="7588107F"/>
    <w:rsid w:val="758AE631"/>
    <w:rsid w:val="758BBB6F"/>
    <w:rsid w:val="758BFFFE"/>
    <w:rsid w:val="758DEB2C"/>
    <w:rsid w:val="758E7F57"/>
    <w:rsid w:val="758EEE7F"/>
    <w:rsid w:val="7590C6F0"/>
    <w:rsid w:val="75925142"/>
    <w:rsid w:val="7592F1C9"/>
    <w:rsid w:val="75930F8B"/>
    <w:rsid w:val="7596051B"/>
    <w:rsid w:val="7596E81D"/>
    <w:rsid w:val="759BB4F5"/>
    <w:rsid w:val="759CEB47"/>
    <w:rsid w:val="759E9819"/>
    <w:rsid w:val="75A28CCA"/>
    <w:rsid w:val="75A332E7"/>
    <w:rsid w:val="75A3F617"/>
    <w:rsid w:val="75A67E95"/>
    <w:rsid w:val="75A72983"/>
    <w:rsid w:val="75A7A581"/>
    <w:rsid w:val="75A88AFF"/>
    <w:rsid w:val="75AA937E"/>
    <w:rsid w:val="75ABB0B2"/>
    <w:rsid w:val="75AD62D9"/>
    <w:rsid w:val="75ADA614"/>
    <w:rsid w:val="75AF74B3"/>
    <w:rsid w:val="75B27A9A"/>
    <w:rsid w:val="75B69353"/>
    <w:rsid w:val="75B7FAEE"/>
    <w:rsid w:val="75B92CA5"/>
    <w:rsid w:val="75BA495A"/>
    <w:rsid w:val="75BA8792"/>
    <w:rsid w:val="75BB8B69"/>
    <w:rsid w:val="75BC74AB"/>
    <w:rsid w:val="75BD49A8"/>
    <w:rsid w:val="75C04AC4"/>
    <w:rsid w:val="75C053D4"/>
    <w:rsid w:val="75C0C001"/>
    <w:rsid w:val="75C2D92B"/>
    <w:rsid w:val="75C4E518"/>
    <w:rsid w:val="75C5FC7E"/>
    <w:rsid w:val="75C712A1"/>
    <w:rsid w:val="75C779C7"/>
    <w:rsid w:val="75C79E7D"/>
    <w:rsid w:val="75C7BC43"/>
    <w:rsid w:val="75C837BA"/>
    <w:rsid w:val="75CAE793"/>
    <w:rsid w:val="75CD1750"/>
    <w:rsid w:val="75CD4A3A"/>
    <w:rsid w:val="75CD5B6C"/>
    <w:rsid w:val="75CE1811"/>
    <w:rsid w:val="75CE6510"/>
    <w:rsid w:val="75CE9B24"/>
    <w:rsid w:val="75CFC0BA"/>
    <w:rsid w:val="75CFC6F8"/>
    <w:rsid w:val="75CFDDF0"/>
    <w:rsid w:val="75D0E4C5"/>
    <w:rsid w:val="75D13E70"/>
    <w:rsid w:val="75D42536"/>
    <w:rsid w:val="75D45EF2"/>
    <w:rsid w:val="75DCA506"/>
    <w:rsid w:val="75E103EE"/>
    <w:rsid w:val="75E22473"/>
    <w:rsid w:val="75E41D2D"/>
    <w:rsid w:val="75E68752"/>
    <w:rsid w:val="75E70121"/>
    <w:rsid w:val="75E88745"/>
    <w:rsid w:val="75E89E33"/>
    <w:rsid w:val="75E9535A"/>
    <w:rsid w:val="75EAAB16"/>
    <w:rsid w:val="75EAB954"/>
    <w:rsid w:val="75EAC67C"/>
    <w:rsid w:val="75EAFBFD"/>
    <w:rsid w:val="75EB08D5"/>
    <w:rsid w:val="75ECDFBD"/>
    <w:rsid w:val="75EEBA0C"/>
    <w:rsid w:val="75EF2896"/>
    <w:rsid w:val="75F31AA0"/>
    <w:rsid w:val="75F3C2BA"/>
    <w:rsid w:val="75F3CD0F"/>
    <w:rsid w:val="75F66DE1"/>
    <w:rsid w:val="75F6E6BE"/>
    <w:rsid w:val="75F7E0CA"/>
    <w:rsid w:val="75F8122E"/>
    <w:rsid w:val="75F8719C"/>
    <w:rsid w:val="75F87433"/>
    <w:rsid w:val="75F8A796"/>
    <w:rsid w:val="75FBE99E"/>
    <w:rsid w:val="75FC8E59"/>
    <w:rsid w:val="75FFFD55"/>
    <w:rsid w:val="7603BE51"/>
    <w:rsid w:val="7603C27D"/>
    <w:rsid w:val="7604A832"/>
    <w:rsid w:val="7604F600"/>
    <w:rsid w:val="76064AEA"/>
    <w:rsid w:val="7606C94C"/>
    <w:rsid w:val="76077C0E"/>
    <w:rsid w:val="760938C0"/>
    <w:rsid w:val="760A047A"/>
    <w:rsid w:val="760B5B45"/>
    <w:rsid w:val="760C5426"/>
    <w:rsid w:val="760D6946"/>
    <w:rsid w:val="760F3078"/>
    <w:rsid w:val="7610BB92"/>
    <w:rsid w:val="76113446"/>
    <w:rsid w:val="76128743"/>
    <w:rsid w:val="7613BAC2"/>
    <w:rsid w:val="7615120B"/>
    <w:rsid w:val="76151F48"/>
    <w:rsid w:val="7616E264"/>
    <w:rsid w:val="761723F3"/>
    <w:rsid w:val="761867B1"/>
    <w:rsid w:val="76194151"/>
    <w:rsid w:val="76199B20"/>
    <w:rsid w:val="761CB735"/>
    <w:rsid w:val="761EEE2E"/>
    <w:rsid w:val="76213AA4"/>
    <w:rsid w:val="76230DE6"/>
    <w:rsid w:val="762394B8"/>
    <w:rsid w:val="7623CF73"/>
    <w:rsid w:val="76245372"/>
    <w:rsid w:val="7625E862"/>
    <w:rsid w:val="7626FC1E"/>
    <w:rsid w:val="7627E48E"/>
    <w:rsid w:val="76280FB3"/>
    <w:rsid w:val="762849D0"/>
    <w:rsid w:val="7628E4DC"/>
    <w:rsid w:val="762AC3CD"/>
    <w:rsid w:val="762C922C"/>
    <w:rsid w:val="76305A52"/>
    <w:rsid w:val="763432E6"/>
    <w:rsid w:val="763AA974"/>
    <w:rsid w:val="763DF946"/>
    <w:rsid w:val="763E3EBD"/>
    <w:rsid w:val="76417153"/>
    <w:rsid w:val="764467DB"/>
    <w:rsid w:val="76458DC0"/>
    <w:rsid w:val="7647D160"/>
    <w:rsid w:val="764B6FB7"/>
    <w:rsid w:val="764BDFE2"/>
    <w:rsid w:val="764EBC52"/>
    <w:rsid w:val="764F7CA3"/>
    <w:rsid w:val="76520154"/>
    <w:rsid w:val="7652FA03"/>
    <w:rsid w:val="765381DD"/>
    <w:rsid w:val="7654BE5D"/>
    <w:rsid w:val="765671D5"/>
    <w:rsid w:val="7657CC63"/>
    <w:rsid w:val="76581F39"/>
    <w:rsid w:val="765DDC5F"/>
    <w:rsid w:val="765F76D9"/>
    <w:rsid w:val="765FAB8E"/>
    <w:rsid w:val="765FEA76"/>
    <w:rsid w:val="766033EE"/>
    <w:rsid w:val="76612185"/>
    <w:rsid w:val="7664445B"/>
    <w:rsid w:val="7664B537"/>
    <w:rsid w:val="76651AE4"/>
    <w:rsid w:val="76667D6C"/>
    <w:rsid w:val="7666B14B"/>
    <w:rsid w:val="76671510"/>
    <w:rsid w:val="76686E19"/>
    <w:rsid w:val="766983C9"/>
    <w:rsid w:val="766C7173"/>
    <w:rsid w:val="766D630F"/>
    <w:rsid w:val="766DBBAF"/>
    <w:rsid w:val="766DEE0E"/>
    <w:rsid w:val="766E4F3E"/>
    <w:rsid w:val="766E7560"/>
    <w:rsid w:val="766EF234"/>
    <w:rsid w:val="76732365"/>
    <w:rsid w:val="76736291"/>
    <w:rsid w:val="767A0E35"/>
    <w:rsid w:val="767AB5AE"/>
    <w:rsid w:val="767B30C3"/>
    <w:rsid w:val="767C9C5F"/>
    <w:rsid w:val="767DC822"/>
    <w:rsid w:val="767EB0BE"/>
    <w:rsid w:val="767ECAAC"/>
    <w:rsid w:val="767F7209"/>
    <w:rsid w:val="767FB816"/>
    <w:rsid w:val="768172F3"/>
    <w:rsid w:val="7681CDDB"/>
    <w:rsid w:val="76824C74"/>
    <w:rsid w:val="7682A2EF"/>
    <w:rsid w:val="768395C6"/>
    <w:rsid w:val="7683CED4"/>
    <w:rsid w:val="7684DA73"/>
    <w:rsid w:val="76851A42"/>
    <w:rsid w:val="76875924"/>
    <w:rsid w:val="768BA69A"/>
    <w:rsid w:val="768D270F"/>
    <w:rsid w:val="768E39FF"/>
    <w:rsid w:val="7695DE11"/>
    <w:rsid w:val="769A031C"/>
    <w:rsid w:val="769B5B15"/>
    <w:rsid w:val="769B7495"/>
    <w:rsid w:val="769C74F6"/>
    <w:rsid w:val="76A1686C"/>
    <w:rsid w:val="76A42064"/>
    <w:rsid w:val="76A6B1F5"/>
    <w:rsid w:val="76AA94B0"/>
    <w:rsid w:val="76AAF633"/>
    <w:rsid w:val="76AEC5F4"/>
    <w:rsid w:val="76AF6133"/>
    <w:rsid w:val="76B23372"/>
    <w:rsid w:val="76B24B52"/>
    <w:rsid w:val="76B262A1"/>
    <w:rsid w:val="76B3CA91"/>
    <w:rsid w:val="76B633AB"/>
    <w:rsid w:val="76B74ED6"/>
    <w:rsid w:val="76B83115"/>
    <w:rsid w:val="76BB2989"/>
    <w:rsid w:val="76BB9991"/>
    <w:rsid w:val="76BDA9AD"/>
    <w:rsid w:val="76BEFDA5"/>
    <w:rsid w:val="76BF776D"/>
    <w:rsid w:val="76BFEB5B"/>
    <w:rsid w:val="76CA8507"/>
    <w:rsid w:val="76CB1F4F"/>
    <w:rsid w:val="76CD3A1E"/>
    <w:rsid w:val="76D40259"/>
    <w:rsid w:val="76D4D4D5"/>
    <w:rsid w:val="76D64A9D"/>
    <w:rsid w:val="76D6E755"/>
    <w:rsid w:val="76D6F5D1"/>
    <w:rsid w:val="76D84A75"/>
    <w:rsid w:val="76DADD91"/>
    <w:rsid w:val="76DC028F"/>
    <w:rsid w:val="76DD77F9"/>
    <w:rsid w:val="76DDB2B4"/>
    <w:rsid w:val="76E06C74"/>
    <w:rsid w:val="76E1DC2C"/>
    <w:rsid w:val="76E2734E"/>
    <w:rsid w:val="76E2B6AB"/>
    <w:rsid w:val="76E2B76D"/>
    <w:rsid w:val="76E2E0F8"/>
    <w:rsid w:val="76E35888"/>
    <w:rsid w:val="76E39723"/>
    <w:rsid w:val="76E3C887"/>
    <w:rsid w:val="76E4F20C"/>
    <w:rsid w:val="76E84364"/>
    <w:rsid w:val="76E84453"/>
    <w:rsid w:val="76E85554"/>
    <w:rsid w:val="76EA43B3"/>
    <w:rsid w:val="76ED494F"/>
    <w:rsid w:val="76ED8093"/>
    <w:rsid w:val="76EE85E2"/>
    <w:rsid w:val="76F30B63"/>
    <w:rsid w:val="76F3B255"/>
    <w:rsid w:val="76F3CDDC"/>
    <w:rsid w:val="76F8F677"/>
    <w:rsid w:val="76F96C57"/>
    <w:rsid w:val="76F9DAB5"/>
    <w:rsid w:val="76FE6A2A"/>
    <w:rsid w:val="76FF77D4"/>
    <w:rsid w:val="7700CF59"/>
    <w:rsid w:val="770240A0"/>
    <w:rsid w:val="77039C55"/>
    <w:rsid w:val="77060670"/>
    <w:rsid w:val="7706FE19"/>
    <w:rsid w:val="770877F4"/>
    <w:rsid w:val="7708DD0B"/>
    <w:rsid w:val="770CCAAC"/>
    <w:rsid w:val="770D52B4"/>
    <w:rsid w:val="770EDC24"/>
    <w:rsid w:val="770FB068"/>
    <w:rsid w:val="77105E2E"/>
    <w:rsid w:val="77107787"/>
    <w:rsid w:val="7711F16F"/>
    <w:rsid w:val="7711F360"/>
    <w:rsid w:val="771406FB"/>
    <w:rsid w:val="7715931F"/>
    <w:rsid w:val="7717690E"/>
    <w:rsid w:val="77188ED9"/>
    <w:rsid w:val="771992D9"/>
    <w:rsid w:val="771BAD44"/>
    <w:rsid w:val="771CE4EE"/>
    <w:rsid w:val="771DD620"/>
    <w:rsid w:val="771E8FC9"/>
    <w:rsid w:val="771EDF34"/>
    <w:rsid w:val="771F4678"/>
    <w:rsid w:val="77204147"/>
    <w:rsid w:val="772054E4"/>
    <w:rsid w:val="7724D120"/>
    <w:rsid w:val="77270551"/>
    <w:rsid w:val="77279C80"/>
    <w:rsid w:val="772C5EA8"/>
    <w:rsid w:val="772C6873"/>
    <w:rsid w:val="772CEF5E"/>
    <w:rsid w:val="772D06DE"/>
    <w:rsid w:val="772DE5B5"/>
    <w:rsid w:val="772F0AD3"/>
    <w:rsid w:val="77325100"/>
    <w:rsid w:val="77329B8C"/>
    <w:rsid w:val="7732FB99"/>
    <w:rsid w:val="7737F8E6"/>
    <w:rsid w:val="773826E6"/>
    <w:rsid w:val="773AA920"/>
    <w:rsid w:val="773C6A1F"/>
    <w:rsid w:val="773D6393"/>
    <w:rsid w:val="774546A2"/>
    <w:rsid w:val="774660D8"/>
    <w:rsid w:val="7749EC59"/>
    <w:rsid w:val="774AD591"/>
    <w:rsid w:val="774B73C4"/>
    <w:rsid w:val="774B835F"/>
    <w:rsid w:val="774BE704"/>
    <w:rsid w:val="774C3235"/>
    <w:rsid w:val="774D3DC7"/>
    <w:rsid w:val="774D4B03"/>
    <w:rsid w:val="774EEAA3"/>
    <w:rsid w:val="775040D1"/>
    <w:rsid w:val="7753BECC"/>
    <w:rsid w:val="7754D4A0"/>
    <w:rsid w:val="77575E0F"/>
    <w:rsid w:val="7758ACE9"/>
    <w:rsid w:val="77595837"/>
    <w:rsid w:val="7759825F"/>
    <w:rsid w:val="775DEEF9"/>
    <w:rsid w:val="775E9128"/>
    <w:rsid w:val="775EA90B"/>
    <w:rsid w:val="775F72A7"/>
    <w:rsid w:val="7761BDEB"/>
    <w:rsid w:val="77628799"/>
    <w:rsid w:val="7765717B"/>
    <w:rsid w:val="7766BE6F"/>
    <w:rsid w:val="7766D7D7"/>
    <w:rsid w:val="77686686"/>
    <w:rsid w:val="77691F07"/>
    <w:rsid w:val="776A19D1"/>
    <w:rsid w:val="776A4126"/>
    <w:rsid w:val="776A6454"/>
    <w:rsid w:val="776AC662"/>
    <w:rsid w:val="776D45AF"/>
    <w:rsid w:val="776E9CA9"/>
    <w:rsid w:val="776ED347"/>
    <w:rsid w:val="77706870"/>
    <w:rsid w:val="77723C27"/>
    <w:rsid w:val="77729E56"/>
    <w:rsid w:val="7775BBD2"/>
    <w:rsid w:val="7776DDB8"/>
    <w:rsid w:val="7777FDA3"/>
    <w:rsid w:val="77783E9B"/>
    <w:rsid w:val="77786E68"/>
    <w:rsid w:val="7778A3D6"/>
    <w:rsid w:val="77797F5E"/>
    <w:rsid w:val="777AF2FB"/>
    <w:rsid w:val="777DE1DB"/>
    <w:rsid w:val="777E148E"/>
    <w:rsid w:val="777EC2B2"/>
    <w:rsid w:val="7780EED5"/>
    <w:rsid w:val="7781F7FB"/>
    <w:rsid w:val="7784918A"/>
    <w:rsid w:val="7784FEAD"/>
    <w:rsid w:val="7786620F"/>
    <w:rsid w:val="778A0724"/>
    <w:rsid w:val="778A8DE2"/>
    <w:rsid w:val="778E379C"/>
    <w:rsid w:val="778E5910"/>
    <w:rsid w:val="778F8537"/>
    <w:rsid w:val="778F8BE1"/>
    <w:rsid w:val="77929D3F"/>
    <w:rsid w:val="77931616"/>
    <w:rsid w:val="7795333A"/>
    <w:rsid w:val="77954276"/>
    <w:rsid w:val="77968367"/>
    <w:rsid w:val="77969B90"/>
    <w:rsid w:val="77985A10"/>
    <w:rsid w:val="779EF988"/>
    <w:rsid w:val="779FB246"/>
    <w:rsid w:val="77A13233"/>
    <w:rsid w:val="77A2C82F"/>
    <w:rsid w:val="77A4F5BC"/>
    <w:rsid w:val="77A5B683"/>
    <w:rsid w:val="77AA9A29"/>
    <w:rsid w:val="77AB828D"/>
    <w:rsid w:val="77AC185A"/>
    <w:rsid w:val="77AF396F"/>
    <w:rsid w:val="77AFE265"/>
    <w:rsid w:val="77B14B5F"/>
    <w:rsid w:val="77B180D5"/>
    <w:rsid w:val="77B25A1B"/>
    <w:rsid w:val="77B35AB5"/>
    <w:rsid w:val="77B61463"/>
    <w:rsid w:val="77B6354D"/>
    <w:rsid w:val="77B867E3"/>
    <w:rsid w:val="77BB6A6A"/>
    <w:rsid w:val="77BBAE87"/>
    <w:rsid w:val="77BD8B90"/>
    <w:rsid w:val="77BF6815"/>
    <w:rsid w:val="77C05B13"/>
    <w:rsid w:val="77C2C32D"/>
    <w:rsid w:val="77C45B49"/>
    <w:rsid w:val="77C4CBF0"/>
    <w:rsid w:val="77C79BBD"/>
    <w:rsid w:val="77C86D0B"/>
    <w:rsid w:val="77C8DB89"/>
    <w:rsid w:val="77C9CD37"/>
    <w:rsid w:val="77CB9EC2"/>
    <w:rsid w:val="77CBD400"/>
    <w:rsid w:val="77CC79B1"/>
    <w:rsid w:val="77CCB96A"/>
    <w:rsid w:val="77CD0FAE"/>
    <w:rsid w:val="77CD44CF"/>
    <w:rsid w:val="77CE3857"/>
    <w:rsid w:val="77CE8F8E"/>
    <w:rsid w:val="77D0FAF4"/>
    <w:rsid w:val="77D5F33D"/>
    <w:rsid w:val="77D6B777"/>
    <w:rsid w:val="77D783B5"/>
    <w:rsid w:val="77D8FFEB"/>
    <w:rsid w:val="77DC9FC8"/>
    <w:rsid w:val="77DDFE1C"/>
    <w:rsid w:val="77DF9A91"/>
    <w:rsid w:val="77E03568"/>
    <w:rsid w:val="77E0C473"/>
    <w:rsid w:val="77E0F2C7"/>
    <w:rsid w:val="77E15440"/>
    <w:rsid w:val="77E56EE8"/>
    <w:rsid w:val="77E5F89E"/>
    <w:rsid w:val="77E619F5"/>
    <w:rsid w:val="77E7398B"/>
    <w:rsid w:val="77E77CD0"/>
    <w:rsid w:val="77E8521C"/>
    <w:rsid w:val="77EAD7A3"/>
    <w:rsid w:val="77EBA4DD"/>
    <w:rsid w:val="77EC4C08"/>
    <w:rsid w:val="77EC91A3"/>
    <w:rsid w:val="77EE3CD8"/>
    <w:rsid w:val="77EF9B35"/>
    <w:rsid w:val="77F0AEC7"/>
    <w:rsid w:val="77F354B7"/>
    <w:rsid w:val="77F468C6"/>
    <w:rsid w:val="77F650BE"/>
    <w:rsid w:val="77F7423F"/>
    <w:rsid w:val="77F872A5"/>
    <w:rsid w:val="77F96A20"/>
    <w:rsid w:val="77FBD819"/>
    <w:rsid w:val="77FCA623"/>
    <w:rsid w:val="77FCCC30"/>
    <w:rsid w:val="77FD7F2F"/>
    <w:rsid w:val="77FFDAB3"/>
    <w:rsid w:val="780007E9"/>
    <w:rsid w:val="78013982"/>
    <w:rsid w:val="780157D4"/>
    <w:rsid w:val="7801E9F3"/>
    <w:rsid w:val="7802C543"/>
    <w:rsid w:val="78035D29"/>
    <w:rsid w:val="7803ADAB"/>
    <w:rsid w:val="7803EBF2"/>
    <w:rsid w:val="7803ECF4"/>
    <w:rsid w:val="7804D004"/>
    <w:rsid w:val="780558D6"/>
    <w:rsid w:val="7805654C"/>
    <w:rsid w:val="7808142F"/>
    <w:rsid w:val="78082E39"/>
    <w:rsid w:val="780B4410"/>
    <w:rsid w:val="780D6E30"/>
    <w:rsid w:val="780E1C9B"/>
    <w:rsid w:val="780EC145"/>
    <w:rsid w:val="780EE037"/>
    <w:rsid w:val="780F2FD2"/>
    <w:rsid w:val="78107558"/>
    <w:rsid w:val="781075F8"/>
    <w:rsid w:val="7812CC62"/>
    <w:rsid w:val="781428B2"/>
    <w:rsid w:val="7818131E"/>
    <w:rsid w:val="7818DD2A"/>
    <w:rsid w:val="78199D62"/>
    <w:rsid w:val="781A331B"/>
    <w:rsid w:val="781A9A73"/>
    <w:rsid w:val="781AB559"/>
    <w:rsid w:val="781B4FAB"/>
    <w:rsid w:val="781C655C"/>
    <w:rsid w:val="781CAD49"/>
    <w:rsid w:val="781D5A21"/>
    <w:rsid w:val="781E03DE"/>
    <w:rsid w:val="781E3964"/>
    <w:rsid w:val="781F233A"/>
    <w:rsid w:val="78204A3D"/>
    <w:rsid w:val="7824F873"/>
    <w:rsid w:val="78255E06"/>
    <w:rsid w:val="7825C7E2"/>
    <w:rsid w:val="78287FF4"/>
    <w:rsid w:val="782987C2"/>
    <w:rsid w:val="782BB6A6"/>
    <w:rsid w:val="782C8124"/>
    <w:rsid w:val="782CE813"/>
    <w:rsid w:val="782CFB0F"/>
    <w:rsid w:val="782FA3C4"/>
    <w:rsid w:val="782FF2A1"/>
    <w:rsid w:val="7831F01B"/>
    <w:rsid w:val="7834FC14"/>
    <w:rsid w:val="7836A7F7"/>
    <w:rsid w:val="7836AFFA"/>
    <w:rsid w:val="783B42A0"/>
    <w:rsid w:val="7840D65E"/>
    <w:rsid w:val="78410B5B"/>
    <w:rsid w:val="784120F4"/>
    <w:rsid w:val="7842B156"/>
    <w:rsid w:val="784535D2"/>
    <w:rsid w:val="78476740"/>
    <w:rsid w:val="784873ED"/>
    <w:rsid w:val="784A3728"/>
    <w:rsid w:val="784B13C5"/>
    <w:rsid w:val="784BA096"/>
    <w:rsid w:val="784CA0D7"/>
    <w:rsid w:val="784CE8DE"/>
    <w:rsid w:val="784FFB7F"/>
    <w:rsid w:val="7857E378"/>
    <w:rsid w:val="785849A5"/>
    <w:rsid w:val="7858F624"/>
    <w:rsid w:val="7859D1F0"/>
    <w:rsid w:val="785A561B"/>
    <w:rsid w:val="785C05F3"/>
    <w:rsid w:val="785DC0F6"/>
    <w:rsid w:val="785E3AF0"/>
    <w:rsid w:val="785F502C"/>
    <w:rsid w:val="7862FD52"/>
    <w:rsid w:val="7863DA03"/>
    <w:rsid w:val="78658FDE"/>
    <w:rsid w:val="7867AC5E"/>
    <w:rsid w:val="7868E512"/>
    <w:rsid w:val="786AD167"/>
    <w:rsid w:val="786C88C1"/>
    <w:rsid w:val="786CFA32"/>
    <w:rsid w:val="786FFF18"/>
    <w:rsid w:val="787635B1"/>
    <w:rsid w:val="78797723"/>
    <w:rsid w:val="78798FB1"/>
    <w:rsid w:val="787AC126"/>
    <w:rsid w:val="787B355C"/>
    <w:rsid w:val="787B9A67"/>
    <w:rsid w:val="787BACF4"/>
    <w:rsid w:val="787C8667"/>
    <w:rsid w:val="787E43A7"/>
    <w:rsid w:val="7884E8F3"/>
    <w:rsid w:val="7885BD45"/>
    <w:rsid w:val="78864201"/>
    <w:rsid w:val="788D1295"/>
    <w:rsid w:val="7891AB54"/>
    <w:rsid w:val="7891F097"/>
    <w:rsid w:val="789263FC"/>
    <w:rsid w:val="7896F8A7"/>
    <w:rsid w:val="7897A807"/>
    <w:rsid w:val="7897BC50"/>
    <w:rsid w:val="789A064F"/>
    <w:rsid w:val="789ADE5E"/>
    <w:rsid w:val="789B5897"/>
    <w:rsid w:val="78A1E805"/>
    <w:rsid w:val="78A2C859"/>
    <w:rsid w:val="78A31F0F"/>
    <w:rsid w:val="78A3C286"/>
    <w:rsid w:val="78A4AFB7"/>
    <w:rsid w:val="78A8CFCF"/>
    <w:rsid w:val="78ABD6EE"/>
    <w:rsid w:val="78ADEAA0"/>
    <w:rsid w:val="78AE9872"/>
    <w:rsid w:val="78AFFDE7"/>
    <w:rsid w:val="78B137DB"/>
    <w:rsid w:val="78B18DE5"/>
    <w:rsid w:val="78B2F923"/>
    <w:rsid w:val="78B3CC22"/>
    <w:rsid w:val="78B3E74C"/>
    <w:rsid w:val="78B45056"/>
    <w:rsid w:val="78B564D8"/>
    <w:rsid w:val="78B5CDE5"/>
    <w:rsid w:val="78B6C0BF"/>
    <w:rsid w:val="78B6C584"/>
    <w:rsid w:val="78B6F5FB"/>
    <w:rsid w:val="78B704E6"/>
    <w:rsid w:val="78B85C94"/>
    <w:rsid w:val="78B887F9"/>
    <w:rsid w:val="78BABA7F"/>
    <w:rsid w:val="78BB5501"/>
    <w:rsid w:val="78BEC826"/>
    <w:rsid w:val="78BF0F2B"/>
    <w:rsid w:val="78C04F66"/>
    <w:rsid w:val="78C4393A"/>
    <w:rsid w:val="78C53A4D"/>
    <w:rsid w:val="78C5A543"/>
    <w:rsid w:val="78C77092"/>
    <w:rsid w:val="78C836B7"/>
    <w:rsid w:val="78CBC3D4"/>
    <w:rsid w:val="78CBC5FA"/>
    <w:rsid w:val="78CD3DA2"/>
    <w:rsid w:val="78CE18D6"/>
    <w:rsid w:val="78CE595F"/>
    <w:rsid w:val="78CF1DBB"/>
    <w:rsid w:val="78CF80E1"/>
    <w:rsid w:val="78D090A6"/>
    <w:rsid w:val="78D0E289"/>
    <w:rsid w:val="78D13254"/>
    <w:rsid w:val="78D4CA6C"/>
    <w:rsid w:val="78D65F03"/>
    <w:rsid w:val="78D72A55"/>
    <w:rsid w:val="78D74977"/>
    <w:rsid w:val="78D7C5E9"/>
    <w:rsid w:val="78D7DF57"/>
    <w:rsid w:val="78DBBA6B"/>
    <w:rsid w:val="78DC8E72"/>
    <w:rsid w:val="78DCCF13"/>
    <w:rsid w:val="78DD0E9A"/>
    <w:rsid w:val="78DE1028"/>
    <w:rsid w:val="78DF0898"/>
    <w:rsid w:val="78E13238"/>
    <w:rsid w:val="78E21944"/>
    <w:rsid w:val="78E2AB1E"/>
    <w:rsid w:val="78E344BF"/>
    <w:rsid w:val="78E43A86"/>
    <w:rsid w:val="78E53739"/>
    <w:rsid w:val="78E59BD8"/>
    <w:rsid w:val="78E5E550"/>
    <w:rsid w:val="78E639A2"/>
    <w:rsid w:val="78E93864"/>
    <w:rsid w:val="78EE89D7"/>
    <w:rsid w:val="78F060DA"/>
    <w:rsid w:val="78F2530F"/>
    <w:rsid w:val="78F375A1"/>
    <w:rsid w:val="78F67744"/>
    <w:rsid w:val="78F80BC2"/>
    <w:rsid w:val="78FC1396"/>
    <w:rsid w:val="78FE8B21"/>
    <w:rsid w:val="78FFF344"/>
    <w:rsid w:val="79003878"/>
    <w:rsid w:val="7900A302"/>
    <w:rsid w:val="7901D920"/>
    <w:rsid w:val="7901F47E"/>
    <w:rsid w:val="79061E17"/>
    <w:rsid w:val="79097D41"/>
    <w:rsid w:val="7909DCE2"/>
    <w:rsid w:val="790A0AE9"/>
    <w:rsid w:val="790A1628"/>
    <w:rsid w:val="790C38D1"/>
    <w:rsid w:val="790E3FB2"/>
    <w:rsid w:val="7912B728"/>
    <w:rsid w:val="79139608"/>
    <w:rsid w:val="7913EE03"/>
    <w:rsid w:val="79149BBD"/>
    <w:rsid w:val="791665A4"/>
    <w:rsid w:val="791878F6"/>
    <w:rsid w:val="791A867B"/>
    <w:rsid w:val="791AF670"/>
    <w:rsid w:val="791C8A4F"/>
    <w:rsid w:val="791D3E44"/>
    <w:rsid w:val="791E3461"/>
    <w:rsid w:val="791F2B9E"/>
    <w:rsid w:val="791FEB7A"/>
    <w:rsid w:val="7920692A"/>
    <w:rsid w:val="7921A74B"/>
    <w:rsid w:val="79238BFE"/>
    <w:rsid w:val="79242E85"/>
    <w:rsid w:val="79260992"/>
    <w:rsid w:val="792689B0"/>
    <w:rsid w:val="79270516"/>
    <w:rsid w:val="7929A69D"/>
    <w:rsid w:val="792C41BE"/>
    <w:rsid w:val="792E072B"/>
    <w:rsid w:val="792E2B7C"/>
    <w:rsid w:val="792FFC7B"/>
    <w:rsid w:val="79326446"/>
    <w:rsid w:val="79357D69"/>
    <w:rsid w:val="79363F32"/>
    <w:rsid w:val="793AA3BE"/>
    <w:rsid w:val="793CE6E8"/>
    <w:rsid w:val="793D9304"/>
    <w:rsid w:val="793DBDFF"/>
    <w:rsid w:val="793FB8BF"/>
    <w:rsid w:val="793FF9D9"/>
    <w:rsid w:val="79403A8D"/>
    <w:rsid w:val="79404EB2"/>
    <w:rsid w:val="79408892"/>
    <w:rsid w:val="7940C7C4"/>
    <w:rsid w:val="7941E06B"/>
    <w:rsid w:val="7942F94A"/>
    <w:rsid w:val="79472925"/>
    <w:rsid w:val="7949946E"/>
    <w:rsid w:val="794C0824"/>
    <w:rsid w:val="794C94AB"/>
    <w:rsid w:val="794CBCFB"/>
    <w:rsid w:val="794DF48C"/>
    <w:rsid w:val="794F2DB0"/>
    <w:rsid w:val="79524AF8"/>
    <w:rsid w:val="7952B353"/>
    <w:rsid w:val="7954424A"/>
    <w:rsid w:val="7954ADC3"/>
    <w:rsid w:val="7956B48B"/>
    <w:rsid w:val="7956D845"/>
    <w:rsid w:val="79579FAB"/>
    <w:rsid w:val="795844CB"/>
    <w:rsid w:val="79595E14"/>
    <w:rsid w:val="7959AE6A"/>
    <w:rsid w:val="795AB4B7"/>
    <w:rsid w:val="795AF615"/>
    <w:rsid w:val="795B357E"/>
    <w:rsid w:val="795D9854"/>
    <w:rsid w:val="795E18AD"/>
    <w:rsid w:val="795EDDEC"/>
    <w:rsid w:val="795F7B96"/>
    <w:rsid w:val="79602126"/>
    <w:rsid w:val="79626BCB"/>
    <w:rsid w:val="7965D9DC"/>
    <w:rsid w:val="7967E7D8"/>
    <w:rsid w:val="796D6E3A"/>
    <w:rsid w:val="796FFDC9"/>
    <w:rsid w:val="7972D658"/>
    <w:rsid w:val="79753429"/>
    <w:rsid w:val="797BDBFD"/>
    <w:rsid w:val="797C0197"/>
    <w:rsid w:val="797C8B39"/>
    <w:rsid w:val="797D2A3E"/>
    <w:rsid w:val="797F9438"/>
    <w:rsid w:val="798004E1"/>
    <w:rsid w:val="798064DA"/>
    <w:rsid w:val="7980C21A"/>
    <w:rsid w:val="798283A0"/>
    <w:rsid w:val="7982BC78"/>
    <w:rsid w:val="7983827A"/>
    <w:rsid w:val="79838328"/>
    <w:rsid w:val="7983A440"/>
    <w:rsid w:val="7987865E"/>
    <w:rsid w:val="798868F7"/>
    <w:rsid w:val="79895451"/>
    <w:rsid w:val="798A7345"/>
    <w:rsid w:val="798ADB7C"/>
    <w:rsid w:val="798BB3C8"/>
    <w:rsid w:val="798F6EBF"/>
    <w:rsid w:val="799130F8"/>
    <w:rsid w:val="7991733C"/>
    <w:rsid w:val="7994BE1F"/>
    <w:rsid w:val="799717CB"/>
    <w:rsid w:val="7998134F"/>
    <w:rsid w:val="799A2267"/>
    <w:rsid w:val="799C2B2F"/>
    <w:rsid w:val="799F9BF6"/>
    <w:rsid w:val="799FE453"/>
    <w:rsid w:val="79A1DA7C"/>
    <w:rsid w:val="79A3E311"/>
    <w:rsid w:val="79A4A3DF"/>
    <w:rsid w:val="79A69236"/>
    <w:rsid w:val="79A6B7C5"/>
    <w:rsid w:val="79A7897C"/>
    <w:rsid w:val="79AA0564"/>
    <w:rsid w:val="79AB2819"/>
    <w:rsid w:val="79AD2B0C"/>
    <w:rsid w:val="79AEC308"/>
    <w:rsid w:val="79AF595B"/>
    <w:rsid w:val="79B12453"/>
    <w:rsid w:val="79B25AE9"/>
    <w:rsid w:val="79B4D645"/>
    <w:rsid w:val="79B714F3"/>
    <w:rsid w:val="79B71B82"/>
    <w:rsid w:val="79B724A3"/>
    <w:rsid w:val="79B7DF59"/>
    <w:rsid w:val="79B8A79C"/>
    <w:rsid w:val="79B90CF3"/>
    <w:rsid w:val="79BA4563"/>
    <w:rsid w:val="79BAC8D7"/>
    <w:rsid w:val="79BE8A1D"/>
    <w:rsid w:val="79BED38D"/>
    <w:rsid w:val="79C054C5"/>
    <w:rsid w:val="79C0A723"/>
    <w:rsid w:val="79C108E5"/>
    <w:rsid w:val="79C27B6A"/>
    <w:rsid w:val="79C3A191"/>
    <w:rsid w:val="79C683D8"/>
    <w:rsid w:val="79C6E2E4"/>
    <w:rsid w:val="79C719C5"/>
    <w:rsid w:val="79C84535"/>
    <w:rsid w:val="79C8A894"/>
    <w:rsid w:val="79CADC23"/>
    <w:rsid w:val="79CBA19D"/>
    <w:rsid w:val="79CC112D"/>
    <w:rsid w:val="79CCE9A2"/>
    <w:rsid w:val="79CDB0E7"/>
    <w:rsid w:val="79CE1892"/>
    <w:rsid w:val="79CE228D"/>
    <w:rsid w:val="79D3144A"/>
    <w:rsid w:val="79D33131"/>
    <w:rsid w:val="79D34F8E"/>
    <w:rsid w:val="79D66BAF"/>
    <w:rsid w:val="79D71EED"/>
    <w:rsid w:val="79D773AA"/>
    <w:rsid w:val="79D7902B"/>
    <w:rsid w:val="79D8703A"/>
    <w:rsid w:val="79D877D3"/>
    <w:rsid w:val="79D9F30F"/>
    <w:rsid w:val="79DAFA0D"/>
    <w:rsid w:val="79DD5936"/>
    <w:rsid w:val="79E06A6F"/>
    <w:rsid w:val="79E337A1"/>
    <w:rsid w:val="79E69101"/>
    <w:rsid w:val="79E79C71"/>
    <w:rsid w:val="79E81086"/>
    <w:rsid w:val="79EB5617"/>
    <w:rsid w:val="79EBE42F"/>
    <w:rsid w:val="79EC0788"/>
    <w:rsid w:val="79ECA508"/>
    <w:rsid w:val="79EE1889"/>
    <w:rsid w:val="79EFC0D5"/>
    <w:rsid w:val="79F26135"/>
    <w:rsid w:val="79F4E888"/>
    <w:rsid w:val="79F76CE6"/>
    <w:rsid w:val="79FC702F"/>
    <w:rsid w:val="79FDC177"/>
    <w:rsid w:val="7A01740F"/>
    <w:rsid w:val="7A07AA4F"/>
    <w:rsid w:val="7A083B8C"/>
    <w:rsid w:val="7A0AEF5D"/>
    <w:rsid w:val="7A0B7037"/>
    <w:rsid w:val="7A0DD9A7"/>
    <w:rsid w:val="7A104188"/>
    <w:rsid w:val="7A105A3D"/>
    <w:rsid w:val="7A113A67"/>
    <w:rsid w:val="7A11806E"/>
    <w:rsid w:val="7A12F578"/>
    <w:rsid w:val="7A142C1D"/>
    <w:rsid w:val="7A15AEE4"/>
    <w:rsid w:val="7A174CAB"/>
    <w:rsid w:val="7A17A15A"/>
    <w:rsid w:val="7A1A2440"/>
    <w:rsid w:val="7A1ADB00"/>
    <w:rsid w:val="7A1AEFAE"/>
    <w:rsid w:val="7A1B2AC5"/>
    <w:rsid w:val="7A1CF4EA"/>
    <w:rsid w:val="7A1D5D1A"/>
    <w:rsid w:val="7A1DDA1F"/>
    <w:rsid w:val="7A1E1E24"/>
    <w:rsid w:val="7A1F596E"/>
    <w:rsid w:val="7A20C19E"/>
    <w:rsid w:val="7A211836"/>
    <w:rsid w:val="7A223963"/>
    <w:rsid w:val="7A22C2E9"/>
    <w:rsid w:val="7A24243E"/>
    <w:rsid w:val="7A24EE7F"/>
    <w:rsid w:val="7A25ECAE"/>
    <w:rsid w:val="7A27FEC7"/>
    <w:rsid w:val="7A2A3110"/>
    <w:rsid w:val="7A2BE856"/>
    <w:rsid w:val="7A2E2320"/>
    <w:rsid w:val="7A2F4277"/>
    <w:rsid w:val="7A2F94E0"/>
    <w:rsid w:val="7A30A947"/>
    <w:rsid w:val="7A311E5B"/>
    <w:rsid w:val="7A3125BB"/>
    <w:rsid w:val="7A313BC1"/>
    <w:rsid w:val="7A31FA6B"/>
    <w:rsid w:val="7A33DFD3"/>
    <w:rsid w:val="7A36F75F"/>
    <w:rsid w:val="7A374D48"/>
    <w:rsid w:val="7A3C4FFC"/>
    <w:rsid w:val="7A3DFA67"/>
    <w:rsid w:val="7A3E0B39"/>
    <w:rsid w:val="7A423B46"/>
    <w:rsid w:val="7A44115D"/>
    <w:rsid w:val="7A46C6A7"/>
    <w:rsid w:val="7A46F2D8"/>
    <w:rsid w:val="7A47C5C4"/>
    <w:rsid w:val="7A48C92A"/>
    <w:rsid w:val="7A4C3A7D"/>
    <w:rsid w:val="7A4DA54B"/>
    <w:rsid w:val="7A4F62BF"/>
    <w:rsid w:val="7A511D18"/>
    <w:rsid w:val="7A521C98"/>
    <w:rsid w:val="7A541218"/>
    <w:rsid w:val="7A56010C"/>
    <w:rsid w:val="7A56724E"/>
    <w:rsid w:val="7A59CFA4"/>
    <w:rsid w:val="7A5A30D8"/>
    <w:rsid w:val="7A5CBFE3"/>
    <w:rsid w:val="7A5D2734"/>
    <w:rsid w:val="7A5ED3C7"/>
    <w:rsid w:val="7A612EE1"/>
    <w:rsid w:val="7A61D1C1"/>
    <w:rsid w:val="7A62087C"/>
    <w:rsid w:val="7A6936C0"/>
    <w:rsid w:val="7A694475"/>
    <w:rsid w:val="7A6C15AA"/>
    <w:rsid w:val="7A6C3E3A"/>
    <w:rsid w:val="7A6CBEAE"/>
    <w:rsid w:val="7A6CE5F1"/>
    <w:rsid w:val="7A6F361A"/>
    <w:rsid w:val="7A716DC4"/>
    <w:rsid w:val="7A76B820"/>
    <w:rsid w:val="7A76CD03"/>
    <w:rsid w:val="7A772A50"/>
    <w:rsid w:val="7A77A309"/>
    <w:rsid w:val="7A77FED3"/>
    <w:rsid w:val="7A7901E8"/>
    <w:rsid w:val="7A7AB8AA"/>
    <w:rsid w:val="7A7CCCEC"/>
    <w:rsid w:val="7A7DF661"/>
    <w:rsid w:val="7A7E4DA6"/>
    <w:rsid w:val="7A7F0A69"/>
    <w:rsid w:val="7A81011D"/>
    <w:rsid w:val="7A83D04B"/>
    <w:rsid w:val="7A846422"/>
    <w:rsid w:val="7A85B2E2"/>
    <w:rsid w:val="7A888341"/>
    <w:rsid w:val="7A88A9B0"/>
    <w:rsid w:val="7A8A804F"/>
    <w:rsid w:val="7A8AB798"/>
    <w:rsid w:val="7A8B1CD8"/>
    <w:rsid w:val="7A8BF9C8"/>
    <w:rsid w:val="7A8C9D5E"/>
    <w:rsid w:val="7A8E01CF"/>
    <w:rsid w:val="7A8EA7B8"/>
    <w:rsid w:val="7A9096FB"/>
    <w:rsid w:val="7A90FBE0"/>
    <w:rsid w:val="7A923AAA"/>
    <w:rsid w:val="7A92437D"/>
    <w:rsid w:val="7A93B45A"/>
    <w:rsid w:val="7A9417CC"/>
    <w:rsid w:val="7A945181"/>
    <w:rsid w:val="7A946BAA"/>
    <w:rsid w:val="7A955677"/>
    <w:rsid w:val="7A95F40E"/>
    <w:rsid w:val="7A9A1541"/>
    <w:rsid w:val="7AA05873"/>
    <w:rsid w:val="7AA091A3"/>
    <w:rsid w:val="7AA0D9E6"/>
    <w:rsid w:val="7AA13B7A"/>
    <w:rsid w:val="7AA3EB99"/>
    <w:rsid w:val="7AA444EE"/>
    <w:rsid w:val="7AA57F2E"/>
    <w:rsid w:val="7AA5813A"/>
    <w:rsid w:val="7AA67E5B"/>
    <w:rsid w:val="7AA713CC"/>
    <w:rsid w:val="7AAB4B1C"/>
    <w:rsid w:val="7AABCC3D"/>
    <w:rsid w:val="7AAE0724"/>
    <w:rsid w:val="7AAE690D"/>
    <w:rsid w:val="7AAE9AA0"/>
    <w:rsid w:val="7AAF5110"/>
    <w:rsid w:val="7AB0BEE4"/>
    <w:rsid w:val="7AB1F01B"/>
    <w:rsid w:val="7AB2E0BD"/>
    <w:rsid w:val="7AB55237"/>
    <w:rsid w:val="7AB706A1"/>
    <w:rsid w:val="7AB849BF"/>
    <w:rsid w:val="7AB8B91A"/>
    <w:rsid w:val="7AB8EA7C"/>
    <w:rsid w:val="7ABA0794"/>
    <w:rsid w:val="7ABAA534"/>
    <w:rsid w:val="7ABB0BD1"/>
    <w:rsid w:val="7ABC6290"/>
    <w:rsid w:val="7ABCED67"/>
    <w:rsid w:val="7ABE0F8A"/>
    <w:rsid w:val="7ABE71F5"/>
    <w:rsid w:val="7ABF4D8E"/>
    <w:rsid w:val="7ABFEB81"/>
    <w:rsid w:val="7ABFFBFF"/>
    <w:rsid w:val="7AC090F3"/>
    <w:rsid w:val="7AC0C083"/>
    <w:rsid w:val="7AC0E8D0"/>
    <w:rsid w:val="7AC27881"/>
    <w:rsid w:val="7AC4AC39"/>
    <w:rsid w:val="7AC57C85"/>
    <w:rsid w:val="7AC5DA10"/>
    <w:rsid w:val="7AC68E07"/>
    <w:rsid w:val="7AC87DB5"/>
    <w:rsid w:val="7AC8A411"/>
    <w:rsid w:val="7AC9A8B8"/>
    <w:rsid w:val="7ACA93A9"/>
    <w:rsid w:val="7ACAC61A"/>
    <w:rsid w:val="7ACBC384"/>
    <w:rsid w:val="7ACD4BA3"/>
    <w:rsid w:val="7ACEE48C"/>
    <w:rsid w:val="7AD1E7D2"/>
    <w:rsid w:val="7AD3DB23"/>
    <w:rsid w:val="7AD409EE"/>
    <w:rsid w:val="7AD4820C"/>
    <w:rsid w:val="7AD5FA42"/>
    <w:rsid w:val="7AD7087D"/>
    <w:rsid w:val="7AD7DD12"/>
    <w:rsid w:val="7ADA4449"/>
    <w:rsid w:val="7ADA981C"/>
    <w:rsid w:val="7ADB62DA"/>
    <w:rsid w:val="7ADD3104"/>
    <w:rsid w:val="7ADD79B7"/>
    <w:rsid w:val="7ADE92FC"/>
    <w:rsid w:val="7ADFFE51"/>
    <w:rsid w:val="7AE01382"/>
    <w:rsid w:val="7AE0744B"/>
    <w:rsid w:val="7AE25191"/>
    <w:rsid w:val="7AE4865A"/>
    <w:rsid w:val="7AE4C219"/>
    <w:rsid w:val="7AE54924"/>
    <w:rsid w:val="7AECA317"/>
    <w:rsid w:val="7AEE038C"/>
    <w:rsid w:val="7AF03CBE"/>
    <w:rsid w:val="7AF1798E"/>
    <w:rsid w:val="7AF1BC9B"/>
    <w:rsid w:val="7AF3EB25"/>
    <w:rsid w:val="7AF43C83"/>
    <w:rsid w:val="7AF50296"/>
    <w:rsid w:val="7AF603AC"/>
    <w:rsid w:val="7AF706EF"/>
    <w:rsid w:val="7AF7B7C8"/>
    <w:rsid w:val="7AF89C7B"/>
    <w:rsid w:val="7AFA8A90"/>
    <w:rsid w:val="7AFADB09"/>
    <w:rsid w:val="7AFBF317"/>
    <w:rsid w:val="7AFDFCC6"/>
    <w:rsid w:val="7B033194"/>
    <w:rsid w:val="7B04622F"/>
    <w:rsid w:val="7B05F5E0"/>
    <w:rsid w:val="7B06014D"/>
    <w:rsid w:val="7B064523"/>
    <w:rsid w:val="7B0688B4"/>
    <w:rsid w:val="7B06AF69"/>
    <w:rsid w:val="7B093269"/>
    <w:rsid w:val="7B094350"/>
    <w:rsid w:val="7B0AF710"/>
    <w:rsid w:val="7B0C5605"/>
    <w:rsid w:val="7B0D19B0"/>
    <w:rsid w:val="7B0D6883"/>
    <w:rsid w:val="7B0D6D42"/>
    <w:rsid w:val="7B0E426E"/>
    <w:rsid w:val="7B0E5058"/>
    <w:rsid w:val="7B0EB381"/>
    <w:rsid w:val="7B0F60B9"/>
    <w:rsid w:val="7B10ECF2"/>
    <w:rsid w:val="7B15DC2B"/>
    <w:rsid w:val="7B160EA8"/>
    <w:rsid w:val="7B16E10F"/>
    <w:rsid w:val="7B174F6A"/>
    <w:rsid w:val="7B18FE45"/>
    <w:rsid w:val="7B1ABCAD"/>
    <w:rsid w:val="7B1B6A7B"/>
    <w:rsid w:val="7B1CE2F2"/>
    <w:rsid w:val="7B1FD23E"/>
    <w:rsid w:val="7B205E79"/>
    <w:rsid w:val="7B20EC47"/>
    <w:rsid w:val="7B20F9A0"/>
    <w:rsid w:val="7B22084D"/>
    <w:rsid w:val="7B22D0BC"/>
    <w:rsid w:val="7B2352D2"/>
    <w:rsid w:val="7B23F27A"/>
    <w:rsid w:val="7B241F48"/>
    <w:rsid w:val="7B276B76"/>
    <w:rsid w:val="7B280C75"/>
    <w:rsid w:val="7B2993BE"/>
    <w:rsid w:val="7B2A5971"/>
    <w:rsid w:val="7B2B5EFD"/>
    <w:rsid w:val="7B2B6FF1"/>
    <w:rsid w:val="7B2CBE66"/>
    <w:rsid w:val="7B2CDDB9"/>
    <w:rsid w:val="7B2D6782"/>
    <w:rsid w:val="7B2FFED3"/>
    <w:rsid w:val="7B32A007"/>
    <w:rsid w:val="7B34373C"/>
    <w:rsid w:val="7B34C871"/>
    <w:rsid w:val="7B37253E"/>
    <w:rsid w:val="7B38BDC9"/>
    <w:rsid w:val="7B3F542C"/>
    <w:rsid w:val="7B40BFA3"/>
    <w:rsid w:val="7B40EB8D"/>
    <w:rsid w:val="7B41088C"/>
    <w:rsid w:val="7B429843"/>
    <w:rsid w:val="7B43E9A4"/>
    <w:rsid w:val="7B4485F8"/>
    <w:rsid w:val="7B44A519"/>
    <w:rsid w:val="7B44A627"/>
    <w:rsid w:val="7B44D82B"/>
    <w:rsid w:val="7B450D98"/>
    <w:rsid w:val="7B46AE1E"/>
    <w:rsid w:val="7B4700FD"/>
    <w:rsid w:val="7B484B3A"/>
    <w:rsid w:val="7B48FA84"/>
    <w:rsid w:val="7B496D64"/>
    <w:rsid w:val="7B4A3488"/>
    <w:rsid w:val="7B4CFD1D"/>
    <w:rsid w:val="7B4E5A25"/>
    <w:rsid w:val="7B4F0A93"/>
    <w:rsid w:val="7B4FB9DB"/>
    <w:rsid w:val="7B50072A"/>
    <w:rsid w:val="7B5112AD"/>
    <w:rsid w:val="7B51673F"/>
    <w:rsid w:val="7B5214B0"/>
    <w:rsid w:val="7B52941D"/>
    <w:rsid w:val="7B52B9DB"/>
    <w:rsid w:val="7B52E689"/>
    <w:rsid w:val="7B535ECA"/>
    <w:rsid w:val="7B53D784"/>
    <w:rsid w:val="7B545F21"/>
    <w:rsid w:val="7B569000"/>
    <w:rsid w:val="7B574FF0"/>
    <w:rsid w:val="7B587180"/>
    <w:rsid w:val="7B58C403"/>
    <w:rsid w:val="7B592BE1"/>
    <w:rsid w:val="7B595551"/>
    <w:rsid w:val="7B628784"/>
    <w:rsid w:val="7B62EA26"/>
    <w:rsid w:val="7B64B01C"/>
    <w:rsid w:val="7B655D0B"/>
    <w:rsid w:val="7B670E5D"/>
    <w:rsid w:val="7B68F0E3"/>
    <w:rsid w:val="7B69402A"/>
    <w:rsid w:val="7B6A98F8"/>
    <w:rsid w:val="7B6E77B0"/>
    <w:rsid w:val="7B70B2EA"/>
    <w:rsid w:val="7B714437"/>
    <w:rsid w:val="7B724A5A"/>
    <w:rsid w:val="7B72C1A0"/>
    <w:rsid w:val="7B7304B5"/>
    <w:rsid w:val="7B7358EE"/>
    <w:rsid w:val="7B739687"/>
    <w:rsid w:val="7B73EA91"/>
    <w:rsid w:val="7B76C3D7"/>
    <w:rsid w:val="7B785FA7"/>
    <w:rsid w:val="7B7A8EC8"/>
    <w:rsid w:val="7B7AD0E8"/>
    <w:rsid w:val="7B7B0FBA"/>
    <w:rsid w:val="7B7B65CB"/>
    <w:rsid w:val="7B7C3AD0"/>
    <w:rsid w:val="7B7D8F29"/>
    <w:rsid w:val="7B7EEA6D"/>
    <w:rsid w:val="7B829D95"/>
    <w:rsid w:val="7B849666"/>
    <w:rsid w:val="7B84F9DE"/>
    <w:rsid w:val="7B854056"/>
    <w:rsid w:val="7B8556F3"/>
    <w:rsid w:val="7B8705B9"/>
    <w:rsid w:val="7B8883DB"/>
    <w:rsid w:val="7B889C19"/>
    <w:rsid w:val="7B894DCD"/>
    <w:rsid w:val="7B8A06DB"/>
    <w:rsid w:val="7B8E48FC"/>
    <w:rsid w:val="7B8E92BB"/>
    <w:rsid w:val="7B925571"/>
    <w:rsid w:val="7B92B27F"/>
    <w:rsid w:val="7B93C567"/>
    <w:rsid w:val="7B940459"/>
    <w:rsid w:val="7B943B39"/>
    <w:rsid w:val="7B951239"/>
    <w:rsid w:val="7B97E296"/>
    <w:rsid w:val="7B9997C4"/>
    <w:rsid w:val="7B9ACE0C"/>
    <w:rsid w:val="7B9AFFCD"/>
    <w:rsid w:val="7B9B50A3"/>
    <w:rsid w:val="7B9C5365"/>
    <w:rsid w:val="7B9E2B07"/>
    <w:rsid w:val="7B9FD422"/>
    <w:rsid w:val="7BA20FFF"/>
    <w:rsid w:val="7BA3D9CF"/>
    <w:rsid w:val="7BA49102"/>
    <w:rsid w:val="7BA4D901"/>
    <w:rsid w:val="7BA57817"/>
    <w:rsid w:val="7BA7AE89"/>
    <w:rsid w:val="7BA85C4B"/>
    <w:rsid w:val="7BA8DAB6"/>
    <w:rsid w:val="7BA93E3A"/>
    <w:rsid w:val="7BA94C7D"/>
    <w:rsid w:val="7BAA249B"/>
    <w:rsid w:val="7BAC0B0F"/>
    <w:rsid w:val="7BAE7137"/>
    <w:rsid w:val="7BAEA385"/>
    <w:rsid w:val="7BAEC8CA"/>
    <w:rsid w:val="7BB0CCD7"/>
    <w:rsid w:val="7BB5C14F"/>
    <w:rsid w:val="7BB5FDCA"/>
    <w:rsid w:val="7BB9D1C6"/>
    <w:rsid w:val="7BBB5DF2"/>
    <w:rsid w:val="7BBCBDC0"/>
    <w:rsid w:val="7BC002CF"/>
    <w:rsid w:val="7BC05E2A"/>
    <w:rsid w:val="7BC09B00"/>
    <w:rsid w:val="7BC0FECD"/>
    <w:rsid w:val="7BC10434"/>
    <w:rsid w:val="7BC328AA"/>
    <w:rsid w:val="7BC36B40"/>
    <w:rsid w:val="7BC4A61C"/>
    <w:rsid w:val="7BC4AEE0"/>
    <w:rsid w:val="7BC700F6"/>
    <w:rsid w:val="7BC8DE85"/>
    <w:rsid w:val="7BC9DD27"/>
    <w:rsid w:val="7BCACDB8"/>
    <w:rsid w:val="7BCB900F"/>
    <w:rsid w:val="7BCBB7D9"/>
    <w:rsid w:val="7BCC1490"/>
    <w:rsid w:val="7BCE50CC"/>
    <w:rsid w:val="7BD0ACAD"/>
    <w:rsid w:val="7BD20C74"/>
    <w:rsid w:val="7BD3C48D"/>
    <w:rsid w:val="7BD69EC7"/>
    <w:rsid w:val="7BD6BBDD"/>
    <w:rsid w:val="7BD724D6"/>
    <w:rsid w:val="7BD892CA"/>
    <w:rsid w:val="7BDA57E8"/>
    <w:rsid w:val="7BDB9D2C"/>
    <w:rsid w:val="7BDD196F"/>
    <w:rsid w:val="7BE1C7CB"/>
    <w:rsid w:val="7BE3EFAB"/>
    <w:rsid w:val="7BE6A1BA"/>
    <w:rsid w:val="7BEAE9FB"/>
    <w:rsid w:val="7BEB694D"/>
    <w:rsid w:val="7BEEA663"/>
    <w:rsid w:val="7BEF7CC3"/>
    <w:rsid w:val="7BEFE88B"/>
    <w:rsid w:val="7BF0F2F0"/>
    <w:rsid w:val="7BF56D4C"/>
    <w:rsid w:val="7BFB0F79"/>
    <w:rsid w:val="7BFB1461"/>
    <w:rsid w:val="7BFB4620"/>
    <w:rsid w:val="7BFBC47E"/>
    <w:rsid w:val="7BFDB849"/>
    <w:rsid w:val="7BFE9521"/>
    <w:rsid w:val="7BFEA095"/>
    <w:rsid w:val="7C001337"/>
    <w:rsid w:val="7C00C680"/>
    <w:rsid w:val="7C01BA63"/>
    <w:rsid w:val="7C0464DC"/>
    <w:rsid w:val="7C04D12C"/>
    <w:rsid w:val="7C055B8F"/>
    <w:rsid w:val="7C06D8D2"/>
    <w:rsid w:val="7C07C8B9"/>
    <w:rsid w:val="7C07F1F5"/>
    <w:rsid w:val="7C0B09B0"/>
    <w:rsid w:val="7C0D0117"/>
    <w:rsid w:val="7C0F4E0A"/>
    <w:rsid w:val="7C0F8694"/>
    <w:rsid w:val="7C0FAED7"/>
    <w:rsid w:val="7C107125"/>
    <w:rsid w:val="7C11AA86"/>
    <w:rsid w:val="7C12659F"/>
    <w:rsid w:val="7C13DFFA"/>
    <w:rsid w:val="7C148827"/>
    <w:rsid w:val="7C1557D3"/>
    <w:rsid w:val="7C19371E"/>
    <w:rsid w:val="7C1BFB42"/>
    <w:rsid w:val="7C1F5F22"/>
    <w:rsid w:val="7C1FAC6F"/>
    <w:rsid w:val="7C2359FC"/>
    <w:rsid w:val="7C2526C1"/>
    <w:rsid w:val="7C28305C"/>
    <w:rsid w:val="7C29F4D9"/>
    <w:rsid w:val="7C2D0134"/>
    <w:rsid w:val="7C2D749E"/>
    <w:rsid w:val="7C2E0477"/>
    <w:rsid w:val="7C2F5008"/>
    <w:rsid w:val="7C2F880A"/>
    <w:rsid w:val="7C329817"/>
    <w:rsid w:val="7C32A4A8"/>
    <w:rsid w:val="7C334FE8"/>
    <w:rsid w:val="7C338EE5"/>
    <w:rsid w:val="7C3483AE"/>
    <w:rsid w:val="7C363FC9"/>
    <w:rsid w:val="7C36C159"/>
    <w:rsid w:val="7C36FFF9"/>
    <w:rsid w:val="7C374435"/>
    <w:rsid w:val="7C38FA6B"/>
    <w:rsid w:val="7C399F7E"/>
    <w:rsid w:val="7C3CC41E"/>
    <w:rsid w:val="7C3D72DF"/>
    <w:rsid w:val="7C4121B8"/>
    <w:rsid w:val="7C4141D2"/>
    <w:rsid w:val="7C44AE4A"/>
    <w:rsid w:val="7C453C4A"/>
    <w:rsid w:val="7C461210"/>
    <w:rsid w:val="7C46FB68"/>
    <w:rsid w:val="7C4721A3"/>
    <w:rsid w:val="7C482DFF"/>
    <w:rsid w:val="7C4B00E8"/>
    <w:rsid w:val="7C4BC7B8"/>
    <w:rsid w:val="7C4F0C3F"/>
    <w:rsid w:val="7C4F1D2F"/>
    <w:rsid w:val="7C50DF6B"/>
    <w:rsid w:val="7C515DBE"/>
    <w:rsid w:val="7C53EBB8"/>
    <w:rsid w:val="7C54B8F8"/>
    <w:rsid w:val="7C55AAEC"/>
    <w:rsid w:val="7C55E7B8"/>
    <w:rsid w:val="7C576E9D"/>
    <w:rsid w:val="7C589B5D"/>
    <w:rsid w:val="7C5AFA34"/>
    <w:rsid w:val="7C5DBE5A"/>
    <w:rsid w:val="7C5E0F8F"/>
    <w:rsid w:val="7C5E63DB"/>
    <w:rsid w:val="7C5EC750"/>
    <w:rsid w:val="7C5F9A75"/>
    <w:rsid w:val="7C620EF7"/>
    <w:rsid w:val="7C69D957"/>
    <w:rsid w:val="7C6C7CF2"/>
    <w:rsid w:val="7C6DD88C"/>
    <w:rsid w:val="7C6E37C4"/>
    <w:rsid w:val="7C6E53E8"/>
    <w:rsid w:val="7C6F3973"/>
    <w:rsid w:val="7C705572"/>
    <w:rsid w:val="7C70A169"/>
    <w:rsid w:val="7C734E64"/>
    <w:rsid w:val="7C73785F"/>
    <w:rsid w:val="7C739964"/>
    <w:rsid w:val="7C73CA44"/>
    <w:rsid w:val="7C77BFB7"/>
    <w:rsid w:val="7C7B0E97"/>
    <w:rsid w:val="7C7CFB6E"/>
    <w:rsid w:val="7C7D913F"/>
    <w:rsid w:val="7C7E4A72"/>
    <w:rsid w:val="7C7F14B6"/>
    <w:rsid w:val="7C82F4F5"/>
    <w:rsid w:val="7C838E06"/>
    <w:rsid w:val="7C847AC0"/>
    <w:rsid w:val="7C84D8BC"/>
    <w:rsid w:val="7C857153"/>
    <w:rsid w:val="7C86378B"/>
    <w:rsid w:val="7C8724BB"/>
    <w:rsid w:val="7C8B3C97"/>
    <w:rsid w:val="7C8C2B76"/>
    <w:rsid w:val="7C8C4069"/>
    <w:rsid w:val="7C8C80FB"/>
    <w:rsid w:val="7C8DAE3A"/>
    <w:rsid w:val="7C94F124"/>
    <w:rsid w:val="7C952257"/>
    <w:rsid w:val="7C96624F"/>
    <w:rsid w:val="7C970CD4"/>
    <w:rsid w:val="7C976FA6"/>
    <w:rsid w:val="7C97DA6F"/>
    <w:rsid w:val="7C9B461A"/>
    <w:rsid w:val="7C9EF2AB"/>
    <w:rsid w:val="7C9F9ABC"/>
    <w:rsid w:val="7CA07B70"/>
    <w:rsid w:val="7CA10E22"/>
    <w:rsid w:val="7CA3B68D"/>
    <w:rsid w:val="7CA5B42D"/>
    <w:rsid w:val="7CA7CFBD"/>
    <w:rsid w:val="7CAB0989"/>
    <w:rsid w:val="7CAB3A49"/>
    <w:rsid w:val="7CAD6B32"/>
    <w:rsid w:val="7CADE5DB"/>
    <w:rsid w:val="7CAEBCED"/>
    <w:rsid w:val="7CAFCBED"/>
    <w:rsid w:val="7CB01A06"/>
    <w:rsid w:val="7CB259CB"/>
    <w:rsid w:val="7CB2E4FB"/>
    <w:rsid w:val="7CB5DF5A"/>
    <w:rsid w:val="7CB730C4"/>
    <w:rsid w:val="7CB93465"/>
    <w:rsid w:val="7CB9FBCB"/>
    <w:rsid w:val="7CBB5965"/>
    <w:rsid w:val="7CBC7A07"/>
    <w:rsid w:val="7CBF631E"/>
    <w:rsid w:val="7CC12596"/>
    <w:rsid w:val="7CC2D356"/>
    <w:rsid w:val="7CC2DAB3"/>
    <w:rsid w:val="7CC972C7"/>
    <w:rsid w:val="7CCAAC3E"/>
    <w:rsid w:val="7CCAB805"/>
    <w:rsid w:val="7CCEB98F"/>
    <w:rsid w:val="7CCFCFA7"/>
    <w:rsid w:val="7CD03A81"/>
    <w:rsid w:val="7CD132C9"/>
    <w:rsid w:val="7CD1A8F5"/>
    <w:rsid w:val="7CD48343"/>
    <w:rsid w:val="7CD60860"/>
    <w:rsid w:val="7CD6BC7A"/>
    <w:rsid w:val="7CD9DB95"/>
    <w:rsid w:val="7CDA0672"/>
    <w:rsid w:val="7CDA7183"/>
    <w:rsid w:val="7CDE710D"/>
    <w:rsid w:val="7CE0AA4B"/>
    <w:rsid w:val="7CE0AD6D"/>
    <w:rsid w:val="7CE0F32F"/>
    <w:rsid w:val="7CE3217D"/>
    <w:rsid w:val="7CE4DBA6"/>
    <w:rsid w:val="7CE5D1C9"/>
    <w:rsid w:val="7CE6C5B7"/>
    <w:rsid w:val="7CE6D71B"/>
    <w:rsid w:val="7CE6E2EC"/>
    <w:rsid w:val="7CE9CC9F"/>
    <w:rsid w:val="7CE9F301"/>
    <w:rsid w:val="7CEC6172"/>
    <w:rsid w:val="7CECA86E"/>
    <w:rsid w:val="7CEE6212"/>
    <w:rsid w:val="7CEE7FA6"/>
    <w:rsid w:val="7CF11153"/>
    <w:rsid w:val="7CF118BE"/>
    <w:rsid w:val="7CF2A554"/>
    <w:rsid w:val="7CF330B9"/>
    <w:rsid w:val="7CF3FD30"/>
    <w:rsid w:val="7CF9A70A"/>
    <w:rsid w:val="7CFC5860"/>
    <w:rsid w:val="7CFE71A4"/>
    <w:rsid w:val="7CFEF543"/>
    <w:rsid w:val="7CFF9FBC"/>
    <w:rsid w:val="7D00B41C"/>
    <w:rsid w:val="7D022995"/>
    <w:rsid w:val="7D02EB32"/>
    <w:rsid w:val="7D03EC21"/>
    <w:rsid w:val="7D043622"/>
    <w:rsid w:val="7D045BE8"/>
    <w:rsid w:val="7D056A5A"/>
    <w:rsid w:val="7D05E1DF"/>
    <w:rsid w:val="7D08A0C6"/>
    <w:rsid w:val="7D0AE612"/>
    <w:rsid w:val="7D0B9D77"/>
    <w:rsid w:val="7D0C71AF"/>
    <w:rsid w:val="7D0E1DA8"/>
    <w:rsid w:val="7D0FA66F"/>
    <w:rsid w:val="7D11204C"/>
    <w:rsid w:val="7D149852"/>
    <w:rsid w:val="7D180DEC"/>
    <w:rsid w:val="7D196634"/>
    <w:rsid w:val="7D1A0F39"/>
    <w:rsid w:val="7D1BCBCD"/>
    <w:rsid w:val="7D1C457E"/>
    <w:rsid w:val="7D1C57AE"/>
    <w:rsid w:val="7D1E4EDC"/>
    <w:rsid w:val="7D1EB866"/>
    <w:rsid w:val="7D1EF234"/>
    <w:rsid w:val="7D20DC7A"/>
    <w:rsid w:val="7D225E59"/>
    <w:rsid w:val="7D227F9D"/>
    <w:rsid w:val="7D22C9F3"/>
    <w:rsid w:val="7D24442A"/>
    <w:rsid w:val="7D2776A4"/>
    <w:rsid w:val="7D27A681"/>
    <w:rsid w:val="7D2971A0"/>
    <w:rsid w:val="7D2A21F4"/>
    <w:rsid w:val="7D2C269C"/>
    <w:rsid w:val="7D2D8668"/>
    <w:rsid w:val="7D2EC80B"/>
    <w:rsid w:val="7D2ECC86"/>
    <w:rsid w:val="7D2FE7A1"/>
    <w:rsid w:val="7D31BE1D"/>
    <w:rsid w:val="7D32AC32"/>
    <w:rsid w:val="7D32D6BF"/>
    <w:rsid w:val="7D3458BE"/>
    <w:rsid w:val="7D37D9AC"/>
    <w:rsid w:val="7D389A48"/>
    <w:rsid w:val="7D38A816"/>
    <w:rsid w:val="7D390C7F"/>
    <w:rsid w:val="7D3BEFC0"/>
    <w:rsid w:val="7D3C5548"/>
    <w:rsid w:val="7D3C7169"/>
    <w:rsid w:val="7D3D3226"/>
    <w:rsid w:val="7D3E68CD"/>
    <w:rsid w:val="7D400DD9"/>
    <w:rsid w:val="7D40861D"/>
    <w:rsid w:val="7D4166DD"/>
    <w:rsid w:val="7D41CCB5"/>
    <w:rsid w:val="7D426C86"/>
    <w:rsid w:val="7D42E869"/>
    <w:rsid w:val="7D453296"/>
    <w:rsid w:val="7D4868AD"/>
    <w:rsid w:val="7D4968DD"/>
    <w:rsid w:val="7D4B30B7"/>
    <w:rsid w:val="7D4B8E62"/>
    <w:rsid w:val="7D4BAF6D"/>
    <w:rsid w:val="7D4C3727"/>
    <w:rsid w:val="7D4D9F42"/>
    <w:rsid w:val="7D4E5E4B"/>
    <w:rsid w:val="7D5019A2"/>
    <w:rsid w:val="7D50A17B"/>
    <w:rsid w:val="7D54A11C"/>
    <w:rsid w:val="7D56FA30"/>
    <w:rsid w:val="7D5743CF"/>
    <w:rsid w:val="7D57CAB1"/>
    <w:rsid w:val="7D5866A6"/>
    <w:rsid w:val="7D587159"/>
    <w:rsid w:val="7D589B02"/>
    <w:rsid w:val="7D59EFC4"/>
    <w:rsid w:val="7D5A3786"/>
    <w:rsid w:val="7D5D5BD7"/>
    <w:rsid w:val="7D603F5D"/>
    <w:rsid w:val="7D61E1D8"/>
    <w:rsid w:val="7D664C4A"/>
    <w:rsid w:val="7D68AE83"/>
    <w:rsid w:val="7D697A77"/>
    <w:rsid w:val="7D6A4F5A"/>
    <w:rsid w:val="7D6C1240"/>
    <w:rsid w:val="7D6D7110"/>
    <w:rsid w:val="7D71D5AC"/>
    <w:rsid w:val="7D72FD00"/>
    <w:rsid w:val="7D730D3B"/>
    <w:rsid w:val="7D73302D"/>
    <w:rsid w:val="7D78FEA1"/>
    <w:rsid w:val="7D792820"/>
    <w:rsid w:val="7D7A403A"/>
    <w:rsid w:val="7D7D27F1"/>
    <w:rsid w:val="7D7DB762"/>
    <w:rsid w:val="7D7EF142"/>
    <w:rsid w:val="7D807337"/>
    <w:rsid w:val="7D819D0A"/>
    <w:rsid w:val="7D88EC35"/>
    <w:rsid w:val="7D8A22F4"/>
    <w:rsid w:val="7D8A4C96"/>
    <w:rsid w:val="7D8A7CFF"/>
    <w:rsid w:val="7D8ADD71"/>
    <w:rsid w:val="7D8C6D48"/>
    <w:rsid w:val="7D8D0032"/>
    <w:rsid w:val="7D8D790E"/>
    <w:rsid w:val="7D8F1C89"/>
    <w:rsid w:val="7D8F97B5"/>
    <w:rsid w:val="7D926ABD"/>
    <w:rsid w:val="7D93364B"/>
    <w:rsid w:val="7D9433FE"/>
    <w:rsid w:val="7D943AB9"/>
    <w:rsid w:val="7D952772"/>
    <w:rsid w:val="7D971601"/>
    <w:rsid w:val="7D97AF97"/>
    <w:rsid w:val="7D98C50D"/>
    <w:rsid w:val="7D9A1CAA"/>
    <w:rsid w:val="7D9ACECB"/>
    <w:rsid w:val="7D9D6F54"/>
    <w:rsid w:val="7D9E1854"/>
    <w:rsid w:val="7D9E7A33"/>
    <w:rsid w:val="7DA121FA"/>
    <w:rsid w:val="7DA1D4C6"/>
    <w:rsid w:val="7DA2E416"/>
    <w:rsid w:val="7DA40855"/>
    <w:rsid w:val="7DA5682D"/>
    <w:rsid w:val="7DA65F00"/>
    <w:rsid w:val="7DA6A31D"/>
    <w:rsid w:val="7DA8D178"/>
    <w:rsid w:val="7DAD71B0"/>
    <w:rsid w:val="7DAEA857"/>
    <w:rsid w:val="7DAEB862"/>
    <w:rsid w:val="7DB07191"/>
    <w:rsid w:val="7DB09655"/>
    <w:rsid w:val="7DB0AB7C"/>
    <w:rsid w:val="7DB26E73"/>
    <w:rsid w:val="7DB2E311"/>
    <w:rsid w:val="7DB48D92"/>
    <w:rsid w:val="7DB618F9"/>
    <w:rsid w:val="7DB79410"/>
    <w:rsid w:val="7DB8EB2B"/>
    <w:rsid w:val="7DB957EC"/>
    <w:rsid w:val="7DB9DE9D"/>
    <w:rsid w:val="7DBCACA2"/>
    <w:rsid w:val="7DBD9254"/>
    <w:rsid w:val="7DBDFC5B"/>
    <w:rsid w:val="7DBEC757"/>
    <w:rsid w:val="7DC02793"/>
    <w:rsid w:val="7DC0A842"/>
    <w:rsid w:val="7DC13DD3"/>
    <w:rsid w:val="7DC461E8"/>
    <w:rsid w:val="7DC50494"/>
    <w:rsid w:val="7DC67668"/>
    <w:rsid w:val="7DC8F22B"/>
    <w:rsid w:val="7DC8FE3E"/>
    <w:rsid w:val="7DC9A25E"/>
    <w:rsid w:val="7DCB0F87"/>
    <w:rsid w:val="7DCB42B4"/>
    <w:rsid w:val="7DCC7D0E"/>
    <w:rsid w:val="7DCCA4F0"/>
    <w:rsid w:val="7DCE8D9B"/>
    <w:rsid w:val="7DCF18F9"/>
    <w:rsid w:val="7DCF33DE"/>
    <w:rsid w:val="7DCF5ABC"/>
    <w:rsid w:val="7DD0FAB8"/>
    <w:rsid w:val="7DD5D1A3"/>
    <w:rsid w:val="7DD66EAE"/>
    <w:rsid w:val="7DD70EBD"/>
    <w:rsid w:val="7DD9647B"/>
    <w:rsid w:val="7DD9787E"/>
    <w:rsid w:val="7DD9C230"/>
    <w:rsid w:val="7DDA1E7B"/>
    <w:rsid w:val="7DDA48A6"/>
    <w:rsid w:val="7DDA658C"/>
    <w:rsid w:val="7DDB2269"/>
    <w:rsid w:val="7DDD48EB"/>
    <w:rsid w:val="7DDE660A"/>
    <w:rsid w:val="7DE0C9A6"/>
    <w:rsid w:val="7DE24F2A"/>
    <w:rsid w:val="7DE267A8"/>
    <w:rsid w:val="7DE2AAB1"/>
    <w:rsid w:val="7DEC7EFB"/>
    <w:rsid w:val="7DF02ED5"/>
    <w:rsid w:val="7DF250FA"/>
    <w:rsid w:val="7DF45148"/>
    <w:rsid w:val="7DFA1A35"/>
    <w:rsid w:val="7DFAC4B0"/>
    <w:rsid w:val="7DFB575B"/>
    <w:rsid w:val="7DFC846D"/>
    <w:rsid w:val="7DFD8136"/>
    <w:rsid w:val="7DFF29CE"/>
    <w:rsid w:val="7DFFD2AB"/>
    <w:rsid w:val="7E01AE15"/>
    <w:rsid w:val="7E030AE4"/>
    <w:rsid w:val="7E042DE9"/>
    <w:rsid w:val="7E05987D"/>
    <w:rsid w:val="7E05D928"/>
    <w:rsid w:val="7E06AE7A"/>
    <w:rsid w:val="7E08D6B5"/>
    <w:rsid w:val="7E08E40F"/>
    <w:rsid w:val="7E09DF6A"/>
    <w:rsid w:val="7E0C863E"/>
    <w:rsid w:val="7E0CE689"/>
    <w:rsid w:val="7E0D4A39"/>
    <w:rsid w:val="7E0D83F4"/>
    <w:rsid w:val="7E104844"/>
    <w:rsid w:val="7E152656"/>
    <w:rsid w:val="7E156B1E"/>
    <w:rsid w:val="7E16CB74"/>
    <w:rsid w:val="7E1ACD52"/>
    <w:rsid w:val="7E1AE517"/>
    <w:rsid w:val="7E1B9A41"/>
    <w:rsid w:val="7E1C0490"/>
    <w:rsid w:val="7E1C3B21"/>
    <w:rsid w:val="7E1ED82E"/>
    <w:rsid w:val="7E1FC161"/>
    <w:rsid w:val="7E1FC4A4"/>
    <w:rsid w:val="7E206BEE"/>
    <w:rsid w:val="7E24CC6F"/>
    <w:rsid w:val="7E25DF12"/>
    <w:rsid w:val="7E25F34D"/>
    <w:rsid w:val="7E270B30"/>
    <w:rsid w:val="7E27909B"/>
    <w:rsid w:val="7E279C33"/>
    <w:rsid w:val="7E28B12F"/>
    <w:rsid w:val="7E296427"/>
    <w:rsid w:val="7E29EB53"/>
    <w:rsid w:val="7E2B387D"/>
    <w:rsid w:val="7E2BBEA9"/>
    <w:rsid w:val="7E2BF55F"/>
    <w:rsid w:val="7E2DBFAA"/>
    <w:rsid w:val="7E33DDAF"/>
    <w:rsid w:val="7E347342"/>
    <w:rsid w:val="7E37676F"/>
    <w:rsid w:val="7E385364"/>
    <w:rsid w:val="7E38C300"/>
    <w:rsid w:val="7E3AAECD"/>
    <w:rsid w:val="7E3F0D79"/>
    <w:rsid w:val="7E40C542"/>
    <w:rsid w:val="7E41D86D"/>
    <w:rsid w:val="7E4247EE"/>
    <w:rsid w:val="7E433B8D"/>
    <w:rsid w:val="7E4427E1"/>
    <w:rsid w:val="7E44BEB0"/>
    <w:rsid w:val="7E44D404"/>
    <w:rsid w:val="7E45E94E"/>
    <w:rsid w:val="7E45F2B2"/>
    <w:rsid w:val="7E462227"/>
    <w:rsid w:val="7E47EF35"/>
    <w:rsid w:val="7E490B05"/>
    <w:rsid w:val="7E4AC2FF"/>
    <w:rsid w:val="7E4BB437"/>
    <w:rsid w:val="7E4F74B9"/>
    <w:rsid w:val="7E5058E9"/>
    <w:rsid w:val="7E52881F"/>
    <w:rsid w:val="7E54858C"/>
    <w:rsid w:val="7E5663AF"/>
    <w:rsid w:val="7E575775"/>
    <w:rsid w:val="7E579109"/>
    <w:rsid w:val="7E57E035"/>
    <w:rsid w:val="7E585642"/>
    <w:rsid w:val="7E58E251"/>
    <w:rsid w:val="7E5CB404"/>
    <w:rsid w:val="7E5CFD5F"/>
    <w:rsid w:val="7E5E4035"/>
    <w:rsid w:val="7E5EA6AF"/>
    <w:rsid w:val="7E623CFD"/>
    <w:rsid w:val="7E633DEA"/>
    <w:rsid w:val="7E635316"/>
    <w:rsid w:val="7E64E26E"/>
    <w:rsid w:val="7E653FB2"/>
    <w:rsid w:val="7E6BF52A"/>
    <w:rsid w:val="7E6C063E"/>
    <w:rsid w:val="7E6CF854"/>
    <w:rsid w:val="7E6DEFA7"/>
    <w:rsid w:val="7E6E145A"/>
    <w:rsid w:val="7E6E2558"/>
    <w:rsid w:val="7E6F80E8"/>
    <w:rsid w:val="7E712819"/>
    <w:rsid w:val="7E7324E4"/>
    <w:rsid w:val="7E75783D"/>
    <w:rsid w:val="7E767A2C"/>
    <w:rsid w:val="7E782CD2"/>
    <w:rsid w:val="7E7857AF"/>
    <w:rsid w:val="7E7E4E39"/>
    <w:rsid w:val="7E7EFFF7"/>
    <w:rsid w:val="7E81C9F7"/>
    <w:rsid w:val="7E82EFB0"/>
    <w:rsid w:val="7E862188"/>
    <w:rsid w:val="7E86C32E"/>
    <w:rsid w:val="7E87B5C6"/>
    <w:rsid w:val="7E87D41E"/>
    <w:rsid w:val="7E8852A3"/>
    <w:rsid w:val="7E895011"/>
    <w:rsid w:val="7E895A24"/>
    <w:rsid w:val="7E8A28A2"/>
    <w:rsid w:val="7E8B8027"/>
    <w:rsid w:val="7E8C36EB"/>
    <w:rsid w:val="7E8CDB60"/>
    <w:rsid w:val="7E8CE2CA"/>
    <w:rsid w:val="7E8E726A"/>
    <w:rsid w:val="7E8F70D7"/>
    <w:rsid w:val="7E8F9B51"/>
    <w:rsid w:val="7E90AFBC"/>
    <w:rsid w:val="7E926E97"/>
    <w:rsid w:val="7E9374B2"/>
    <w:rsid w:val="7E93AE1A"/>
    <w:rsid w:val="7E954F70"/>
    <w:rsid w:val="7E9562F5"/>
    <w:rsid w:val="7E969948"/>
    <w:rsid w:val="7E96EC78"/>
    <w:rsid w:val="7E9A3374"/>
    <w:rsid w:val="7E9A8AE8"/>
    <w:rsid w:val="7E9A9B64"/>
    <w:rsid w:val="7E9CF6C3"/>
    <w:rsid w:val="7E9D2DEB"/>
    <w:rsid w:val="7E9F6D1F"/>
    <w:rsid w:val="7E9F78A5"/>
    <w:rsid w:val="7E9FE346"/>
    <w:rsid w:val="7EA05477"/>
    <w:rsid w:val="7EA0974B"/>
    <w:rsid w:val="7EA1729B"/>
    <w:rsid w:val="7EA2C64F"/>
    <w:rsid w:val="7EA33A70"/>
    <w:rsid w:val="7EA40706"/>
    <w:rsid w:val="7EA5443E"/>
    <w:rsid w:val="7EA7788D"/>
    <w:rsid w:val="7EA80A37"/>
    <w:rsid w:val="7EA84210"/>
    <w:rsid w:val="7EA89EA1"/>
    <w:rsid w:val="7EAC8EAF"/>
    <w:rsid w:val="7EAD54F0"/>
    <w:rsid w:val="7EADEC87"/>
    <w:rsid w:val="7EAEDA61"/>
    <w:rsid w:val="7EAFABA8"/>
    <w:rsid w:val="7EB087A0"/>
    <w:rsid w:val="7EB3E2D6"/>
    <w:rsid w:val="7EB408F7"/>
    <w:rsid w:val="7EB62F2E"/>
    <w:rsid w:val="7EB8DAD3"/>
    <w:rsid w:val="7EBB8BB6"/>
    <w:rsid w:val="7EBE78CA"/>
    <w:rsid w:val="7EC0CA7F"/>
    <w:rsid w:val="7EC34227"/>
    <w:rsid w:val="7EC4363F"/>
    <w:rsid w:val="7EC549AD"/>
    <w:rsid w:val="7EC6E844"/>
    <w:rsid w:val="7ECA0579"/>
    <w:rsid w:val="7ECD288B"/>
    <w:rsid w:val="7ED01A1F"/>
    <w:rsid w:val="7ED46D0B"/>
    <w:rsid w:val="7ED5B7A9"/>
    <w:rsid w:val="7ED7D394"/>
    <w:rsid w:val="7ED866FD"/>
    <w:rsid w:val="7ED8A8AA"/>
    <w:rsid w:val="7ED95C4D"/>
    <w:rsid w:val="7ED9FD89"/>
    <w:rsid w:val="7EDA4053"/>
    <w:rsid w:val="7EDC1207"/>
    <w:rsid w:val="7EDC62DB"/>
    <w:rsid w:val="7EDD4513"/>
    <w:rsid w:val="7EDE858A"/>
    <w:rsid w:val="7EDF5BC4"/>
    <w:rsid w:val="7EE14492"/>
    <w:rsid w:val="7EEB558D"/>
    <w:rsid w:val="7EEEBC85"/>
    <w:rsid w:val="7EF0420E"/>
    <w:rsid w:val="7EF1827B"/>
    <w:rsid w:val="7EF2F7DC"/>
    <w:rsid w:val="7EF41A38"/>
    <w:rsid w:val="7EF5BB14"/>
    <w:rsid w:val="7EF70BBD"/>
    <w:rsid w:val="7EF9906F"/>
    <w:rsid w:val="7EFA2548"/>
    <w:rsid w:val="7EFC4C1C"/>
    <w:rsid w:val="7EFCDFC6"/>
    <w:rsid w:val="7EFF39CA"/>
    <w:rsid w:val="7F0029C8"/>
    <w:rsid w:val="7F010777"/>
    <w:rsid w:val="7F0173E0"/>
    <w:rsid w:val="7F024EF3"/>
    <w:rsid w:val="7F0779D3"/>
    <w:rsid w:val="7F08828B"/>
    <w:rsid w:val="7F0A6BC4"/>
    <w:rsid w:val="7F0E02BA"/>
    <w:rsid w:val="7F11C705"/>
    <w:rsid w:val="7F11E6EC"/>
    <w:rsid w:val="7F13E065"/>
    <w:rsid w:val="7F151E2B"/>
    <w:rsid w:val="7F17FF5A"/>
    <w:rsid w:val="7F180700"/>
    <w:rsid w:val="7F18D706"/>
    <w:rsid w:val="7F1B8ADA"/>
    <w:rsid w:val="7F1C544F"/>
    <w:rsid w:val="7F1CAAE4"/>
    <w:rsid w:val="7F1E260A"/>
    <w:rsid w:val="7F1FD455"/>
    <w:rsid w:val="7F20CC1A"/>
    <w:rsid w:val="7F27017B"/>
    <w:rsid w:val="7F295381"/>
    <w:rsid w:val="7F29CBB8"/>
    <w:rsid w:val="7F2F99F8"/>
    <w:rsid w:val="7F2FFB22"/>
    <w:rsid w:val="7F315D7F"/>
    <w:rsid w:val="7F320929"/>
    <w:rsid w:val="7F321698"/>
    <w:rsid w:val="7F32B4BC"/>
    <w:rsid w:val="7F332002"/>
    <w:rsid w:val="7F348B28"/>
    <w:rsid w:val="7F356F88"/>
    <w:rsid w:val="7F36B66B"/>
    <w:rsid w:val="7F3938C4"/>
    <w:rsid w:val="7F3AD47C"/>
    <w:rsid w:val="7F3BEC2A"/>
    <w:rsid w:val="7F3C1241"/>
    <w:rsid w:val="7F3D084D"/>
    <w:rsid w:val="7F3DD46D"/>
    <w:rsid w:val="7F3F3399"/>
    <w:rsid w:val="7F3F7EC0"/>
    <w:rsid w:val="7F41D0B8"/>
    <w:rsid w:val="7F43F7A4"/>
    <w:rsid w:val="7F44A1D9"/>
    <w:rsid w:val="7F44D179"/>
    <w:rsid w:val="7F462B5A"/>
    <w:rsid w:val="7F4735E6"/>
    <w:rsid w:val="7F47BD7F"/>
    <w:rsid w:val="7F4857A3"/>
    <w:rsid w:val="7F490347"/>
    <w:rsid w:val="7F4997A1"/>
    <w:rsid w:val="7F4A113A"/>
    <w:rsid w:val="7F4A5B88"/>
    <w:rsid w:val="7F4A68E2"/>
    <w:rsid w:val="7F4DA804"/>
    <w:rsid w:val="7F4ED04D"/>
    <w:rsid w:val="7F4EE9C8"/>
    <w:rsid w:val="7F4F5000"/>
    <w:rsid w:val="7F53D0E9"/>
    <w:rsid w:val="7F546F7A"/>
    <w:rsid w:val="7F552785"/>
    <w:rsid w:val="7F560FD3"/>
    <w:rsid w:val="7F57BF98"/>
    <w:rsid w:val="7F586560"/>
    <w:rsid w:val="7F59284B"/>
    <w:rsid w:val="7F59CB32"/>
    <w:rsid w:val="7F5E73EF"/>
    <w:rsid w:val="7F607FFF"/>
    <w:rsid w:val="7F61A0ED"/>
    <w:rsid w:val="7F655AAB"/>
    <w:rsid w:val="7F655F99"/>
    <w:rsid w:val="7F65D156"/>
    <w:rsid w:val="7F6653C3"/>
    <w:rsid w:val="7F688552"/>
    <w:rsid w:val="7F689888"/>
    <w:rsid w:val="7F6957B2"/>
    <w:rsid w:val="7F6A38D9"/>
    <w:rsid w:val="7F6A4A2C"/>
    <w:rsid w:val="7F6A90E7"/>
    <w:rsid w:val="7F6AD564"/>
    <w:rsid w:val="7F6C1DEF"/>
    <w:rsid w:val="7F6F81C0"/>
    <w:rsid w:val="7F703523"/>
    <w:rsid w:val="7F7091A2"/>
    <w:rsid w:val="7F72BE35"/>
    <w:rsid w:val="7F747FCE"/>
    <w:rsid w:val="7F763E19"/>
    <w:rsid w:val="7F78173B"/>
    <w:rsid w:val="7F796637"/>
    <w:rsid w:val="7F79C93A"/>
    <w:rsid w:val="7F7A5588"/>
    <w:rsid w:val="7F7A7108"/>
    <w:rsid w:val="7F7AEF20"/>
    <w:rsid w:val="7F7C3DE0"/>
    <w:rsid w:val="7F815195"/>
    <w:rsid w:val="7F8286D8"/>
    <w:rsid w:val="7F841DD5"/>
    <w:rsid w:val="7F8465D2"/>
    <w:rsid w:val="7F84A481"/>
    <w:rsid w:val="7F8DB39D"/>
    <w:rsid w:val="7F8E95B2"/>
    <w:rsid w:val="7F8F6CF7"/>
    <w:rsid w:val="7F905B57"/>
    <w:rsid w:val="7F90A799"/>
    <w:rsid w:val="7F9120DF"/>
    <w:rsid w:val="7F922473"/>
    <w:rsid w:val="7F93E8E0"/>
    <w:rsid w:val="7F94DB70"/>
    <w:rsid w:val="7F95208E"/>
    <w:rsid w:val="7F957BE5"/>
    <w:rsid w:val="7F95BBCE"/>
    <w:rsid w:val="7F969EA7"/>
    <w:rsid w:val="7F9A7AEB"/>
    <w:rsid w:val="7F9B11A2"/>
    <w:rsid w:val="7F9BD64B"/>
    <w:rsid w:val="7F9BE52A"/>
    <w:rsid w:val="7F9C893A"/>
    <w:rsid w:val="7F9F4E83"/>
    <w:rsid w:val="7FA09DCB"/>
    <w:rsid w:val="7FA09F7F"/>
    <w:rsid w:val="7FA0CD0D"/>
    <w:rsid w:val="7FA3553D"/>
    <w:rsid w:val="7FA3F670"/>
    <w:rsid w:val="7FA470F8"/>
    <w:rsid w:val="7FA51684"/>
    <w:rsid w:val="7FA62F04"/>
    <w:rsid w:val="7FA6720B"/>
    <w:rsid w:val="7FA6FBF0"/>
    <w:rsid w:val="7FAC165E"/>
    <w:rsid w:val="7FAE05DF"/>
    <w:rsid w:val="7FAE63E2"/>
    <w:rsid w:val="7FAF0980"/>
    <w:rsid w:val="7FAF6238"/>
    <w:rsid w:val="7FB3FAAB"/>
    <w:rsid w:val="7FB43FC0"/>
    <w:rsid w:val="7FB5AF2E"/>
    <w:rsid w:val="7FB5CF9A"/>
    <w:rsid w:val="7FB65E87"/>
    <w:rsid w:val="7FB777EA"/>
    <w:rsid w:val="7FB843FF"/>
    <w:rsid w:val="7FB8771D"/>
    <w:rsid w:val="7FB9917B"/>
    <w:rsid w:val="7FBBF55B"/>
    <w:rsid w:val="7FBBF6EC"/>
    <w:rsid w:val="7FBC135C"/>
    <w:rsid w:val="7FC0057B"/>
    <w:rsid w:val="7FC0DA18"/>
    <w:rsid w:val="7FC29597"/>
    <w:rsid w:val="7FC30371"/>
    <w:rsid w:val="7FC5AFB1"/>
    <w:rsid w:val="7FC6AE61"/>
    <w:rsid w:val="7FC704A6"/>
    <w:rsid w:val="7FCB119F"/>
    <w:rsid w:val="7FCB2372"/>
    <w:rsid w:val="7FCE9C91"/>
    <w:rsid w:val="7FCF0EC9"/>
    <w:rsid w:val="7FD1AC7E"/>
    <w:rsid w:val="7FD28575"/>
    <w:rsid w:val="7FD33C7D"/>
    <w:rsid w:val="7FD47D3A"/>
    <w:rsid w:val="7FD4BC26"/>
    <w:rsid w:val="7FD56DAA"/>
    <w:rsid w:val="7FD6D7B9"/>
    <w:rsid w:val="7FD9C167"/>
    <w:rsid w:val="7FDE479C"/>
    <w:rsid w:val="7FDF787C"/>
    <w:rsid w:val="7FE1B2A9"/>
    <w:rsid w:val="7FE1CC7F"/>
    <w:rsid w:val="7FE23F34"/>
    <w:rsid w:val="7FE2D448"/>
    <w:rsid w:val="7FE2F054"/>
    <w:rsid w:val="7FE3135E"/>
    <w:rsid w:val="7FE39F91"/>
    <w:rsid w:val="7FE5AD99"/>
    <w:rsid w:val="7FE67DC7"/>
    <w:rsid w:val="7FE758F0"/>
    <w:rsid w:val="7FE93FE3"/>
    <w:rsid w:val="7FEE3AFD"/>
    <w:rsid w:val="7FF13746"/>
    <w:rsid w:val="7FF5C099"/>
    <w:rsid w:val="7FF6CB63"/>
    <w:rsid w:val="7FF71A5E"/>
    <w:rsid w:val="7FF93BDC"/>
    <w:rsid w:val="7FFB4C63"/>
    <w:rsid w:val="7FFB8330"/>
    <w:rsid w:val="7FFBCF33"/>
    <w:rsid w:val="7FFE2EB0"/>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49">
      <v:textbox inset="5.85pt,.7pt,5.85pt,.7pt"/>
    </o:shapedefaults>
    <o:shapelayout v:ext="edit">
      <o:idmap v:ext="edit" data="1"/>
    </o:shapelayout>
  </w:shapeDefaults>
  <w:decimalSymbol w:val="."/>
  <w:listSeparator w:val=","/>
  <w14:docId w14:val="3ECFDD67"/>
  <w15:chartTrackingRefBased/>
  <w15:docId w15:val="{93E9DAE8-7107-476F-BE17-023B8D1E0CB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sz w:val="22"/>
        <w:szCs w:val="22"/>
        <w:lang w:val="en-US" w:eastAsia="zh-CN"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8F26A0"/>
    <w:pPr>
      <w:spacing w:before="240" w:after="120" w:line="240" w:lineRule="auto"/>
    </w:pPr>
    <w:rPr>
      <w:rFonts w:ascii="Times New Roman" w:hAnsi="Times New Roman" w:cs="Times New Roman"/>
      <w:sz w:val="24"/>
      <w:lang w:val="en-NZ" w:eastAsia="ja-JP"/>
    </w:rPr>
  </w:style>
  <w:style w:type="paragraph" w:styleId="Heading1">
    <w:name w:val="heading 1"/>
    <w:aliases w:val="Level 1"/>
    <w:basedOn w:val="Normal"/>
    <w:next w:val="Normal"/>
    <w:link w:val="Heading1Char"/>
    <w:uiPriority w:val="9"/>
    <w:qFormat/>
    <w:rsid w:val="00370C81"/>
    <w:pPr>
      <w:numPr>
        <w:ilvl w:val="1"/>
        <w:numId w:val="30"/>
      </w:numPr>
      <w:outlineLvl w:val="0"/>
    </w:pPr>
    <w:rPr>
      <w:rFonts w:eastAsiaTheme="majorEastAsia"/>
      <w:b/>
      <w:spacing w:val="-10"/>
      <w:kern w:val="28"/>
      <w:sz w:val="36"/>
      <w:szCs w:val="28"/>
    </w:rPr>
  </w:style>
  <w:style w:type="paragraph" w:styleId="Heading2">
    <w:name w:val="heading 2"/>
    <w:aliases w:val="Level 2"/>
    <w:basedOn w:val="Heading1"/>
    <w:next w:val="Normal"/>
    <w:link w:val="Heading2Char"/>
    <w:uiPriority w:val="9"/>
    <w:unhideWhenUsed/>
    <w:qFormat/>
    <w:rsid w:val="009A3B6C"/>
    <w:pPr>
      <w:keepNext/>
      <w:numPr>
        <w:ilvl w:val="2"/>
      </w:numPr>
      <w:outlineLvl w:val="1"/>
    </w:pPr>
    <w:rPr>
      <w:sz w:val="28"/>
      <w:szCs w:val="22"/>
    </w:rPr>
  </w:style>
  <w:style w:type="paragraph" w:styleId="Heading3">
    <w:name w:val="heading 3"/>
    <w:aliases w:val="Level 3"/>
    <w:basedOn w:val="Heading2"/>
    <w:next w:val="Normal"/>
    <w:link w:val="Heading3Char"/>
    <w:uiPriority w:val="9"/>
    <w:unhideWhenUsed/>
    <w:qFormat/>
    <w:rsid w:val="009A3B6C"/>
    <w:pPr>
      <w:numPr>
        <w:ilvl w:val="3"/>
      </w:numPr>
      <w:outlineLvl w:val="2"/>
    </w:pPr>
    <w:rPr>
      <w:sz w:val="24"/>
      <w:szCs w:val="21"/>
    </w:rPr>
  </w:style>
  <w:style w:type="paragraph" w:styleId="Heading4">
    <w:name w:val="heading 4"/>
    <w:aliases w:val="Level 4"/>
    <w:basedOn w:val="Heading3"/>
    <w:next w:val="Normal"/>
    <w:link w:val="Heading4Char"/>
    <w:uiPriority w:val="9"/>
    <w:unhideWhenUsed/>
    <w:qFormat/>
    <w:rsid w:val="00BF7D60"/>
    <w:pPr>
      <w:outlineLvl w:val="3"/>
    </w:pPr>
  </w:style>
  <w:style w:type="paragraph" w:styleId="Heading5">
    <w:name w:val="heading 5"/>
    <w:aliases w:val="Level 5"/>
    <w:basedOn w:val="Heading4"/>
    <w:next w:val="Normal"/>
    <w:link w:val="Heading5Char"/>
    <w:uiPriority w:val="9"/>
    <w:unhideWhenUsed/>
    <w:qFormat/>
    <w:rsid w:val="008C1BF7"/>
    <w:pPr>
      <w:keepLines/>
      <w:ind w:left="2232" w:hanging="792"/>
      <w:outlineLvl w:val="4"/>
    </w:pPr>
    <w:rPr>
      <w:rFonts w:cstheme="minorHAnsi"/>
      <w:b w:val="0"/>
      <w:szCs w:val="32"/>
      <w:lang w:val="en-AU" w:eastAsia="en-AU"/>
    </w:rPr>
  </w:style>
  <w:style w:type="paragraph" w:styleId="Heading6">
    <w:name w:val="heading 6"/>
    <w:basedOn w:val="Normal"/>
    <w:next w:val="Normal"/>
    <w:link w:val="Heading6Char"/>
    <w:uiPriority w:val="9"/>
    <w:semiHidden/>
    <w:unhideWhenUsed/>
    <w:rsid w:val="008C1BF7"/>
    <w:pPr>
      <w:keepNext/>
      <w:keepLines/>
      <w:spacing w:before="40"/>
      <w:outlineLvl w:val="5"/>
    </w:pPr>
    <w:rPr>
      <w:rFonts w:asciiTheme="majorHAnsi" w:eastAsiaTheme="majorEastAsia" w:hAnsiTheme="majorHAnsi" w:cstheme="majorBidi"/>
      <w:color w:val="1F4D78" w:themeColor="accent1" w:themeShade="7F"/>
      <w:szCs w:val="24"/>
      <w:lang w:val="en-AU" w:eastAsia="en-AU"/>
    </w:rPr>
  </w:style>
  <w:style w:type="paragraph" w:styleId="Heading7">
    <w:name w:val="heading 7"/>
    <w:basedOn w:val="Normal"/>
    <w:next w:val="Normal"/>
    <w:link w:val="Heading7Char"/>
    <w:uiPriority w:val="9"/>
    <w:semiHidden/>
    <w:unhideWhenUsed/>
    <w:qFormat/>
    <w:rsid w:val="008C1BF7"/>
    <w:pPr>
      <w:keepNext/>
      <w:keepLines/>
      <w:spacing w:before="40"/>
      <w:outlineLvl w:val="6"/>
    </w:pPr>
    <w:rPr>
      <w:rFonts w:asciiTheme="majorHAnsi" w:eastAsiaTheme="majorEastAsia" w:hAnsiTheme="majorHAnsi" w:cstheme="majorBidi"/>
      <w:i/>
      <w:iCs/>
      <w:color w:val="1F4D78" w:themeColor="accent1" w:themeShade="7F"/>
      <w:szCs w:val="24"/>
      <w:lang w:val="en-AU" w:eastAsia="en-AU"/>
    </w:rPr>
  </w:style>
  <w:style w:type="paragraph" w:styleId="Heading8">
    <w:name w:val="heading 8"/>
    <w:basedOn w:val="Normal"/>
    <w:next w:val="Normal"/>
    <w:link w:val="Heading8Char"/>
    <w:uiPriority w:val="9"/>
    <w:semiHidden/>
    <w:unhideWhenUsed/>
    <w:qFormat/>
    <w:rsid w:val="008C1BF7"/>
    <w:pPr>
      <w:keepNext/>
      <w:keepLines/>
      <w:spacing w:before="40"/>
      <w:outlineLvl w:val="7"/>
    </w:pPr>
    <w:rPr>
      <w:rFonts w:asciiTheme="majorHAnsi" w:eastAsiaTheme="majorEastAsia" w:hAnsiTheme="majorHAnsi" w:cstheme="majorBidi"/>
      <w:color w:val="272727" w:themeColor="text1" w:themeTint="D8"/>
      <w:sz w:val="21"/>
      <w:szCs w:val="21"/>
      <w:lang w:val="en-AU" w:eastAsia="en-AU"/>
    </w:rPr>
  </w:style>
  <w:style w:type="paragraph" w:styleId="Heading9">
    <w:name w:val="heading 9"/>
    <w:basedOn w:val="Normal"/>
    <w:next w:val="Normal"/>
    <w:link w:val="Heading9Char"/>
    <w:uiPriority w:val="9"/>
    <w:semiHidden/>
    <w:unhideWhenUsed/>
    <w:qFormat/>
    <w:rsid w:val="008C1BF7"/>
    <w:pPr>
      <w:keepNext/>
      <w:keepLines/>
      <w:spacing w:before="40"/>
      <w:outlineLvl w:val="8"/>
    </w:pPr>
    <w:rPr>
      <w:rFonts w:asciiTheme="majorHAnsi" w:eastAsiaTheme="majorEastAsia" w:hAnsiTheme="majorHAnsi" w:cstheme="majorBidi"/>
      <w:i/>
      <w:iCs/>
      <w:color w:val="272727" w:themeColor="text1" w:themeTint="D8"/>
      <w:sz w:val="21"/>
      <w:szCs w:val="21"/>
      <w:lang w:val="en-AU" w:eastAsia="en-AU"/>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link w:val="TitleChar"/>
    <w:uiPriority w:val="10"/>
    <w:qFormat/>
    <w:rsid w:val="00BF7D60"/>
    <w:pPr>
      <w:spacing w:after="100" w:afterAutospacing="1"/>
      <w:outlineLvl w:val="0"/>
    </w:pPr>
    <w:rPr>
      <w:rFonts w:eastAsiaTheme="majorEastAsia"/>
      <w:b/>
      <w:spacing w:val="-10"/>
      <w:kern w:val="28"/>
      <w:sz w:val="28"/>
      <w:szCs w:val="28"/>
    </w:rPr>
  </w:style>
  <w:style w:type="character" w:customStyle="1" w:styleId="TitleChar">
    <w:name w:val="Title Char"/>
    <w:basedOn w:val="DefaultParagraphFont"/>
    <w:link w:val="Title"/>
    <w:uiPriority w:val="10"/>
    <w:rsid w:val="00BF7D60"/>
    <w:rPr>
      <w:rFonts w:ascii="Times New Roman" w:eastAsiaTheme="majorEastAsia" w:hAnsi="Times New Roman" w:cs="Times New Roman"/>
      <w:b/>
      <w:spacing w:val="-10"/>
      <w:kern w:val="28"/>
      <w:sz w:val="28"/>
      <w:szCs w:val="28"/>
      <w:lang w:val="en-NZ" w:eastAsia="ja-JP"/>
    </w:rPr>
  </w:style>
  <w:style w:type="character" w:customStyle="1" w:styleId="Heading1Char">
    <w:name w:val="Heading 1 Char"/>
    <w:aliases w:val="Level 1 Char"/>
    <w:basedOn w:val="DefaultParagraphFont"/>
    <w:link w:val="Heading1"/>
    <w:uiPriority w:val="9"/>
    <w:rsid w:val="00370C81"/>
    <w:rPr>
      <w:rFonts w:ascii="Times New Roman" w:eastAsiaTheme="majorEastAsia" w:hAnsi="Times New Roman" w:cs="Times New Roman"/>
      <w:b/>
      <w:spacing w:val="-10"/>
      <w:kern w:val="28"/>
      <w:sz w:val="36"/>
      <w:szCs w:val="28"/>
      <w:lang w:val="en-NZ" w:eastAsia="ja-JP"/>
    </w:rPr>
  </w:style>
  <w:style w:type="character" w:customStyle="1" w:styleId="Heading2Char">
    <w:name w:val="Heading 2 Char"/>
    <w:aliases w:val="Level 2 Char"/>
    <w:basedOn w:val="DefaultParagraphFont"/>
    <w:link w:val="Heading2"/>
    <w:uiPriority w:val="9"/>
    <w:rsid w:val="009A3B6C"/>
    <w:rPr>
      <w:rFonts w:ascii="Times New Roman" w:eastAsiaTheme="majorEastAsia" w:hAnsi="Times New Roman" w:cs="Times New Roman"/>
      <w:b/>
      <w:spacing w:val="-10"/>
      <w:kern w:val="28"/>
      <w:sz w:val="28"/>
      <w:lang w:val="en-NZ" w:eastAsia="ja-JP"/>
    </w:rPr>
  </w:style>
  <w:style w:type="character" w:customStyle="1" w:styleId="Heading3Char">
    <w:name w:val="Heading 3 Char"/>
    <w:aliases w:val="Level 3 Char"/>
    <w:basedOn w:val="DefaultParagraphFont"/>
    <w:link w:val="Heading3"/>
    <w:uiPriority w:val="9"/>
    <w:rsid w:val="009A3B6C"/>
    <w:rPr>
      <w:rFonts w:ascii="Times New Roman" w:eastAsiaTheme="majorEastAsia" w:hAnsi="Times New Roman" w:cs="Times New Roman"/>
      <w:b/>
      <w:spacing w:val="-10"/>
      <w:kern w:val="28"/>
      <w:sz w:val="24"/>
      <w:szCs w:val="21"/>
      <w:lang w:val="en-NZ" w:eastAsia="ja-JP"/>
    </w:rPr>
  </w:style>
  <w:style w:type="character" w:customStyle="1" w:styleId="Heading4Char">
    <w:name w:val="Heading 4 Char"/>
    <w:aliases w:val="Level 4 Char"/>
    <w:basedOn w:val="DefaultParagraphFont"/>
    <w:link w:val="Heading4"/>
    <w:uiPriority w:val="9"/>
    <w:rsid w:val="00BF7D60"/>
    <w:rPr>
      <w:rFonts w:ascii="Times New Roman" w:eastAsiaTheme="majorEastAsia" w:hAnsi="Times New Roman" w:cs="Times New Roman"/>
      <w:b/>
      <w:spacing w:val="-10"/>
      <w:kern w:val="28"/>
      <w:sz w:val="24"/>
      <w:szCs w:val="21"/>
      <w:lang w:val="en-NZ" w:eastAsia="ja-JP"/>
    </w:rPr>
  </w:style>
  <w:style w:type="paragraph" w:styleId="TOCHeading">
    <w:name w:val="TOC Heading"/>
    <w:basedOn w:val="Heading1"/>
    <w:next w:val="Normal"/>
    <w:uiPriority w:val="39"/>
    <w:unhideWhenUsed/>
    <w:qFormat/>
    <w:rsid w:val="000F2BEE"/>
    <w:pPr>
      <w:keepNext/>
      <w:keepLines/>
      <w:spacing w:line="259" w:lineRule="auto"/>
      <w:outlineLvl w:val="9"/>
    </w:pPr>
    <w:rPr>
      <w:rFonts w:asciiTheme="majorHAnsi" w:hAnsiTheme="majorHAnsi" w:cstheme="majorBidi"/>
      <w:b w:val="0"/>
      <w:color w:val="2E74B5" w:themeColor="accent1" w:themeShade="BF"/>
      <w:spacing w:val="0"/>
      <w:kern w:val="0"/>
      <w:sz w:val="32"/>
      <w:szCs w:val="32"/>
      <w:lang w:val="en-US"/>
    </w:rPr>
  </w:style>
  <w:style w:type="paragraph" w:styleId="TOC1">
    <w:name w:val="toc 1"/>
    <w:basedOn w:val="Normal"/>
    <w:next w:val="Normal"/>
    <w:autoRedefine/>
    <w:uiPriority w:val="39"/>
    <w:unhideWhenUsed/>
    <w:rsid w:val="00033F4D"/>
    <w:pPr>
      <w:tabs>
        <w:tab w:val="right" w:leader="dot" w:pos="9620"/>
      </w:tabs>
      <w:spacing w:before="0" w:after="0"/>
      <w:contextualSpacing/>
    </w:pPr>
    <w:rPr>
      <w:b/>
      <w:bCs/>
      <w:noProof/>
      <w:szCs w:val="24"/>
      <w:lang w:val="en-GB"/>
    </w:rPr>
  </w:style>
  <w:style w:type="paragraph" w:styleId="TOC2">
    <w:name w:val="toc 2"/>
    <w:basedOn w:val="Normal"/>
    <w:next w:val="Normal"/>
    <w:autoRedefine/>
    <w:uiPriority w:val="39"/>
    <w:unhideWhenUsed/>
    <w:rsid w:val="004052B4"/>
    <w:pPr>
      <w:spacing w:before="120" w:after="0"/>
      <w:ind w:left="240"/>
    </w:pPr>
    <w:rPr>
      <w:rFonts w:asciiTheme="minorHAnsi" w:hAnsiTheme="minorHAnsi" w:cstheme="minorHAnsi"/>
      <w:b/>
      <w:bCs/>
      <w:sz w:val="22"/>
    </w:rPr>
  </w:style>
  <w:style w:type="paragraph" w:styleId="TOC3">
    <w:name w:val="toc 3"/>
    <w:basedOn w:val="Normal"/>
    <w:next w:val="Normal"/>
    <w:autoRedefine/>
    <w:uiPriority w:val="39"/>
    <w:unhideWhenUsed/>
    <w:rsid w:val="00E8076E"/>
    <w:pPr>
      <w:spacing w:before="0" w:after="0"/>
      <w:ind w:left="480"/>
    </w:pPr>
    <w:rPr>
      <w:rFonts w:asciiTheme="minorHAnsi" w:hAnsiTheme="minorHAnsi" w:cstheme="minorHAnsi"/>
      <w:sz w:val="20"/>
      <w:szCs w:val="20"/>
    </w:rPr>
  </w:style>
  <w:style w:type="character" w:styleId="Hyperlink">
    <w:name w:val="Hyperlink"/>
    <w:basedOn w:val="DefaultParagraphFont"/>
    <w:uiPriority w:val="99"/>
    <w:unhideWhenUsed/>
    <w:rsid w:val="000F2BEE"/>
    <w:rPr>
      <w:color w:val="0563C1" w:themeColor="hyperlink"/>
      <w:u w:val="single"/>
    </w:rPr>
  </w:style>
  <w:style w:type="paragraph" w:styleId="Header">
    <w:name w:val="header"/>
    <w:basedOn w:val="Normal"/>
    <w:link w:val="HeaderChar"/>
    <w:uiPriority w:val="99"/>
    <w:unhideWhenUsed/>
    <w:rsid w:val="007056B2"/>
    <w:pPr>
      <w:tabs>
        <w:tab w:val="center" w:pos="4680"/>
        <w:tab w:val="right" w:pos="9360"/>
      </w:tabs>
    </w:pPr>
  </w:style>
  <w:style w:type="character" w:customStyle="1" w:styleId="HeaderChar">
    <w:name w:val="Header Char"/>
    <w:basedOn w:val="DefaultParagraphFont"/>
    <w:link w:val="Header"/>
    <w:uiPriority w:val="99"/>
    <w:rsid w:val="007056B2"/>
    <w:rPr>
      <w:rFonts w:ascii="Times New Roman" w:hAnsi="Times New Roman" w:cs="Times New Roman"/>
      <w:lang w:val="en-GB"/>
    </w:rPr>
  </w:style>
  <w:style w:type="paragraph" w:styleId="Footer">
    <w:name w:val="footer"/>
    <w:basedOn w:val="Normal"/>
    <w:link w:val="FooterChar"/>
    <w:uiPriority w:val="99"/>
    <w:unhideWhenUsed/>
    <w:rsid w:val="007056B2"/>
    <w:pPr>
      <w:tabs>
        <w:tab w:val="center" w:pos="4680"/>
        <w:tab w:val="right" w:pos="9360"/>
      </w:tabs>
    </w:pPr>
  </w:style>
  <w:style w:type="character" w:customStyle="1" w:styleId="FooterChar">
    <w:name w:val="Footer Char"/>
    <w:basedOn w:val="DefaultParagraphFont"/>
    <w:link w:val="Footer"/>
    <w:uiPriority w:val="99"/>
    <w:rsid w:val="007056B2"/>
    <w:rPr>
      <w:rFonts w:ascii="Times New Roman" w:hAnsi="Times New Roman" w:cs="Times New Roman"/>
      <w:lang w:val="en-GB"/>
    </w:rPr>
  </w:style>
  <w:style w:type="paragraph" w:styleId="NoSpacing">
    <w:name w:val="No Spacing"/>
    <w:aliases w:val="Headings"/>
    <w:uiPriority w:val="1"/>
    <w:qFormat/>
    <w:rsid w:val="007056B2"/>
    <w:pPr>
      <w:spacing w:after="0" w:line="240" w:lineRule="auto"/>
      <w:jc w:val="both"/>
    </w:pPr>
    <w:rPr>
      <w:rFonts w:ascii="Times New Roman" w:hAnsi="Times New Roman" w:cs="Times New Roman"/>
      <w:sz w:val="24"/>
      <w:lang w:val="en-GB"/>
    </w:rPr>
  </w:style>
  <w:style w:type="character" w:styleId="LineNumber">
    <w:name w:val="line number"/>
    <w:basedOn w:val="DefaultParagraphFont"/>
    <w:uiPriority w:val="99"/>
    <w:semiHidden/>
    <w:unhideWhenUsed/>
    <w:rsid w:val="00644896"/>
  </w:style>
  <w:style w:type="paragraph" w:styleId="ListParagraph">
    <w:name w:val="List Paragraph"/>
    <w:basedOn w:val="Normal"/>
    <w:link w:val="ListParagraphChar"/>
    <w:uiPriority w:val="34"/>
    <w:qFormat/>
    <w:rsid w:val="00DB397C"/>
    <w:pPr>
      <w:spacing w:line="256" w:lineRule="auto"/>
      <w:ind w:left="720"/>
    </w:pPr>
  </w:style>
  <w:style w:type="character" w:customStyle="1" w:styleId="Heading5Char">
    <w:name w:val="Heading 5 Char"/>
    <w:aliases w:val="Level 5 Char"/>
    <w:basedOn w:val="DefaultParagraphFont"/>
    <w:link w:val="Heading5"/>
    <w:uiPriority w:val="9"/>
    <w:rsid w:val="008C1BF7"/>
    <w:rPr>
      <w:rFonts w:ascii="Times New Roman" w:eastAsiaTheme="majorEastAsia" w:hAnsi="Times New Roman" w:cstheme="minorHAnsi"/>
      <w:spacing w:val="-10"/>
      <w:kern w:val="28"/>
      <w:sz w:val="24"/>
      <w:szCs w:val="32"/>
      <w:lang w:val="en-AU" w:eastAsia="en-AU"/>
    </w:rPr>
  </w:style>
  <w:style w:type="character" w:customStyle="1" w:styleId="Heading6Char">
    <w:name w:val="Heading 6 Char"/>
    <w:basedOn w:val="DefaultParagraphFont"/>
    <w:link w:val="Heading6"/>
    <w:uiPriority w:val="9"/>
    <w:semiHidden/>
    <w:rsid w:val="008C1BF7"/>
    <w:rPr>
      <w:rFonts w:asciiTheme="majorHAnsi" w:eastAsiaTheme="majorEastAsia" w:hAnsiTheme="majorHAnsi" w:cstheme="majorBidi"/>
      <w:color w:val="1F4D78" w:themeColor="accent1" w:themeShade="7F"/>
      <w:sz w:val="24"/>
      <w:szCs w:val="24"/>
      <w:lang w:val="en-AU" w:eastAsia="en-AU"/>
    </w:rPr>
  </w:style>
  <w:style w:type="character" w:customStyle="1" w:styleId="Heading7Char">
    <w:name w:val="Heading 7 Char"/>
    <w:basedOn w:val="DefaultParagraphFont"/>
    <w:link w:val="Heading7"/>
    <w:uiPriority w:val="9"/>
    <w:semiHidden/>
    <w:rsid w:val="008C1BF7"/>
    <w:rPr>
      <w:rFonts w:asciiTheme="majorHAnsi" w:eastAsiaTheme="majorEastAsia" w:hAnsiTheme="majorHAnsi" w:cstheme="majorBidi"/>
      <w:i/>
      <w:iCs/>
      <w:color w:val="1F4D78" w:themeColor="accent1" w:themeShade="7F"/>
      <w:sz w:val="24"/>
      <w:szCs w:val="24"/>
      <w:lang w:val="en-AU" w:eastAsia="en-AU"/>
    </w:rPr>
  </w:style>
  <w:style w:type="character" w:customStyle="1" w:styleId="Heading8Char">
    <w:name w:val="Heading 8 Char"/>
    <w:basedOn w:val="DefaultParagraphFont"/>
    <w:link w:val="Heading8"/>
    <w:uiPriority w:val="9"/>
    <w:semiHidden/>
    <w:rsid w:val="008C1BF7"/>
    <w:rPr>
      <w:rFonts w:asciiTheme="majorHAnsi" w:eastAsiaTheme="majorEastAsia" w:hAnsiTheme="majorHAnsi" w:cstheme="majorBidi"/>
      <w:color w:val="272727" w:themeColor="text1" w:themeTint="D8"/>
      <w:sz w:val="21"/>
      <w:szCs w:val="21"/>
      <w:lang w:val="en-AU" w:eastAsia="en-AU"/>
    </w:rPr>
  </w:style>
  <w:style w:type="character" w:customStyle="1" w:styleId="Heading9Char">
    <w:name w:val="Heading 9 Char"/>
    <w:basedOn w:val="DefaultParagraphFont"/>
    <w:link w:val="Heading9"/>
    <w:uiPriority w:val="9"/>
    <w:semiHidden/>
    <w:rsid w:val="008C1BF7"/>
    <w:rPr>
      <w:rFonts w:asciiTheme="majorHAnsi" w:eastAsiaTheme="majorEastAsia" w:hAnsiTheme="majorHAnsi" w:cstheme="majorBidi"/>
      <w:i/>
      <w:iCs/>
      <w:color w:val="272727" w:themeColor="text1" w:themeTint="D8"/>
      <w:sz w:val="21"/>
      <w:szCs w:val="21"/>
      <w:lang w:val="en-AU" w:eastAsia="en-AU"/>
    </w:rPr>
  </w:style>
  <w:style w:type="table" w:styleId="TableGrid">
    <w:name w:val="Table Grid"/>
    <w:basedOn w:val="TableNormal"/>
    <w:uiPriority w:val="39"/>
    <w:rsid w:val="008C1BF7"/>
    <w:pPr>
      <w:spacing w:beforeLines="50" w:afterLines="50" w:after="0" w:line="240" w:lineRule="auto"/>
      <w:jc w:val="both"/>
    </w:pPr>
    <w:rPr>
      <w:rFonts w:ascii="Times New Roman" w:eastAsia="Times New Roman" w:hAnsi="Times New Roman" w:cs="Times New Roman"/>
      <w:sz w:val="20"/>
      <w:szCs w:val="20"/>
      <w:lang w:val="en-NZ" w:eastAsia="en-NZ"/>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ibliography">
    <w:name w:val="Bibliography"/>
    <w:basedOn w:val="Normal"/>
    <w:next w:val="Normal"/>
    <w:uiPriority w:val="37"/>
    <w:unhideWhenUsed/>
    <w:rsid w:val="008C1BF7"/>
    <w:pPr>
      <w:spacing w:line="480" w:lineRule="auto"/>
      <w:ind w:left="720" w:hanging="720"/>
    </w:pPr>
    <w:rPr>
      <w:rFonts w:eastAsia="Times New Roman" w:cstheme="minorHAnsi"/>
      <w:szCs w:val="24"/>
      <w:lang w:val="en-AU" w:eastAsia="en-AU"/>
    </w:rPr>
  </w:style>
  <w:style w:type="character" w:styleId="Emphasis">
    <w:name w:val="Emphasis"/>
    <w:basedOn w:val="DefaultParagraphFont"/>
    <w:uiPriority w:val="20"/>
    <w:qFormat/>
    <w:rsid w:val="008C1BF7"/>
    <w:rPr>
      <w:i/>
      <w:iCs/>
    </w:rPr>
  </w:style>
  <w:style w:type="character" w:customStyle="1" w:styleId="normaltextrun">
    <w:name w:val="normaltextrun"/>
    <w:basedOn w:val="DefaultParagraphFont"/>
    <w:rsid w:val="008C1BF7"/>
  </w:style>
  <w:style w:type="character" w:styleId="CommentReference">
    <w:name w:val="annotation reference"/>
    <w:basedOn w:val="DefaultParagraphFont"/>
    <w:uiPriority w:val="99"/>
    <w:unhideWhenUsed/>
    <w:qFormat/>
    <w:rsid w:val="008C1BF7"/>
    <w:rPr>
      <w:sz w:val="16"/>
      <w:szCs w:val="16"/>
    </w:rPr>
  </w:style>
  <w:style w:type="paragraph" w:styleId="CommentText">
    <w:name w:val="annotation text"/>
    <w:basedOn w:val="Normal"/>
    <w:link w:val="CommentTextChar"/>
    <w:uiPriority w:val="99"/>
    <w:unhideWhenUsed/>
    <w:qFormat/>
    <w:rsid w:val="008C1BF7"/>
    <w:rPr>
      <w:rFonts w:eastAsia="Times New Roman" w:cstheme="minorHAnsi"/>
      <w:sz w:val="20"/>
      <w:szCs w:val="20"/>
      <w:lang w:val="en-AU" w:eastAsia="en-AU"/>
    </w:rPr>
  </w:style>
  <w:style w:type="character" w:customStyle="1" w:styleId="CommentTextChar">
    <w:name w:val="Comment Text Char"/>
    <w:basedOn w:val="DefaultParagraphFont"/>
    <w:link w:val="CommentText"/>
    <w:uiPriority w:val="99"/>
    <w:qFormat/>
    <w:rsid w:val="008C1BF7"/>
    <w:rPr>
      <w:rFonts w:eastAsia="Times New Roman" w:cstheme="minorHAnsi"/>
      <w:sz w:val="20"/>
      <w:szCs w:val="20"/>
      <w:lang w:val="en-AU" w:eastAsia="en-AU"/>
    </w:rPr>
  </w:style>
  <w:style w:type="paragraph" w:styleId="CommentSubject">
    <w:name w:val="annotation subject"/>
    <w:basedOn w:val="CommentText"/>
    <w:next w:val="CommentText"/>
    <w:link w:val="CommentSubjectChar"/>
    <w:uiPriority w:val="99"/>
    <w:semiHidden/>
    <w:unhideWhenUsed/>
    <w:rsid w:val="008C1BF7"/>
    <w:rPr>
      <w:b/>
      <w:bCs/>
    </w:rPr>
  </w:style>
  <w:style w:type="character" w:customStyle="1" w:styleId="CommentSubjectChar">
    <w:name w:val="Comment Subject Char"/>
    <w:basedOn w:val="CommentTextChar"/>
    <w:link w:val="CommentSubject"/>
    <w:uiPriority w:val="99"/>
    <w:semiHidden/>
    <w:rsid w:val="008C1BF7"/>
    <w:rPr>
      <w:rFonts w:eastAsia="Times New Roman" w:cstheme="minorHAnsi"/>
      <w:b/>
      <w:bCs/>
      <w:sz w:val="20"/>
      <w:szCs w:val="20"/>
      <w:lang w:val="en-AU" w:eastAsia="en-AU"/>
    </w:rPr>
  </w:style>
  <w:style w:type="paragraph" w:styleId="BalloonText">
    <w:name w:val="Balloon Text"/>
    <w:basedOn w:val="Normal"/>
    <w:link w:val="BalloonTextChar"/>
    <w:uiPriority w:val="99"/>
    <w:semiHidden/>
    <w:unhideWhenUsed/>
    <w:rsid w:val="008C1BF7"/>
    <w:rPr>
      <w:rFonts w:ascii="Segoe UI" w:eastAsia="Times New Roman" w:hAnsi="Segoe UI" w:cs="Segoe UI"/>
      <w:sz w:val="18"/>
      <w:szCs w:val="18"/>
      <w:lang w:val="en-AU" w:eastAsia="en-AU"/>
    </w:rPr>
  </w:style>
  <w:style w:type="character" w:customStyle="1" w:styleId="BalloonTextChar">
    <w:name w:val="Balloon Text Char"/>
    <w:basedOn w:val="DefaultParagraphFont"/>
    <w:link w:val="BalloonText"/>
    <w:uiPriority w:val="99"/>
    <w:semiHidden/>
    <w:rsid w:val="008C1BF7"/>
    <w:rPr>
      <w:rFonts w:ascii="Segoe UI" w:eastAsia="Times New Roman" w:hAnsi="Segoe UI" w:cs="Segoe UI"/>
      <w:sz w:val="18"/>
      <w:szCs w:val="18"/>
      <w:lang w:val="en-AU" w:eastAsia="en-AU"/>
    </w:rPr>
  </w:style>
  <w:style w:type="paragraph" w:customStyle="1" w:styleId="EndNoteBibliography">
    <w:name w:val="EndNote Bibliography"/>
    <w:basedOn w:val="Normal"/>
    <w:link w:val="EndNoteBibliographyChar"/>
    <w:rsid w:val="008C1BF7"/>
    <w:pPr>
      <w:widowControl w:val="0"/>
    </w:pPr>
    <w:rPr>
      <w:rFonts w:ascii="Calibri" w:hAnsi="Calibri"/>
      <w:kern w:val="2"/>
      <w:sz w:val="20"/>
      <w:lang w:val="en-US"/>
    </w:rPr>
  </w:style>
  <w:style w:type="character" w:customStyle="1" w:styleId="EndNoteBibliographyChar">
    <w:name w:val="EndNote Bibliography Char"/>
    <w:basedOn w:val="DefaultParagraphFont"/>
    <w:link w:val="EndNoteBibliography"/>
    <w:rsid w:val="008C1BF7"/>
    <w:rPr>
      <w:rFonts w:ascii="Calibri" w:hAnsi="Calibri"/>
      <w:noProof/>
      <w:kern w:val="2"/>
      <w:sz w:val="20"/>
    </w:rPr>
  </w:style>
  <w:style w:type="paragraph" w:styleId="TOC4">
    <w:name w:val="toc 4"/>
    <w:basedOn w:val="Normal"/>
    <w:next w:val="Normal"/>
    <w:autoRedefine/>
    <w:uiPriority w:val="39"/>
    <w:unhideWhenUsed/>
    <w:rsid w:val="008C1BF7"/>
    <w:pPr>
      <w:spacing w:before="0" w:after="0"/>
      <w:ind w:left="720"/>
    </w:pPr>
    <w:rPr>
      <w:rFonts w:asciiTheme="minorHAnsi" w:hAnsiTheme="minorHAnsi" w:cstheme="minorHAnsi"/>
      <w:sz w:val="20"/>
      <w:szCs w:val="20"/>
    </w:rPr>
  </w:style>
  <w:style w:type="table" w:customStyle="1" w:styleId="1">
    <w:name w:val="表 (格子)1"/>
    <w:basedOn w:val="TableNormal"/>
    <w:next w:val="TableGrid"/>
    <w:rsid w:val="008C1BF7"/>
    <w:pPr>
      <w:spacing w:beforeLines="50" w:afterLines="50" w:after="0" w:line="240" w:lineRule="auto"/>
      <w:jc w:val="both"/>
    </w:pPr>
    <w:rPr>
      <w:rFonts w:ascii="Times New Roman" w:eastAsia="ＭＳ 明朝" w:hAnsi="Times New Roman" w:cs="Times New Roman"/>
      <w:sz w:val="20"/>
      <w:szCs w:val="20"/>
      <w:lang w:val="en-NZ" w:eastAsia="en-NZ"/>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
    <w:name w:val="表 (格子)2"/>
    <w:basedOn w:val="TableNormal"/>
    <w:next w:val="TableGrid"/>
    <w:uiPriority w:val="39"/>
    <w:rsid w:val="008C1BF7"/>
    <w:pPr>
      <w:spacing w:after="0" w:line="240" w:lineRule="auto"/>
    </w:pPr>
    <w:rPr>
      <w:rFonts w:ascii="Times New Roman" w:eastAsia="Times New Roman" w:hAnsi="Times New Roman" w:cs="Times New Roman"/>
      <w:sz w:val="20"/>
      <w:szCs w:val="20"/>
      <w:lang w:val="en-NZ" w:eastAsia="en-NZ"/>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aragraph">
    <w:name w:val="paragraph"/>
    <w:basedOn w:val="Normal"/>
    <w:rsid w:val="008C1BF7"/>
    <w:pPr>
      <w:spacing w:beforeAutospacing="1" w:afterAutospacing="1"/>
    </w:pPr>
    <w:rPr>
      <w:rFonts w:ascii="ＭＳ Ｐゴシック" w:eastAsia="ＭＳ Ｐゴシック" w:hAnsi="ＭＳ Ｐゴシック" w:cs="ＭＳ Ｐゴシック"/>
      <w:szCs w:val="24"/>
      <w:lang w:val="en-US"/>
    </w:rPr>
  </w:style>
  <w:style w:type="character" w:customStyle="1" w:styleId="eop">
    <w:name w:val="eop"/>
    <w:basedOn w:val="DefaultParagraphFont"/>
    <w:rsid w:val="008C1BF7"/>
  </w:style>
  <w:style w:type="character" w:customStyle="1" w:styleId="contextualspellingandgrammarerror">
    <w:name w:val="contextualspellingandgrammarerror"/>
    <w:basedOn w:val="DefaultParagraphFont"/>
    <w:rsid w:val="008C1BF7"/>
  </w:style>
  <w:style w:type="character" w:customStyle="1" w:styleId="advancedproofingissue">
    <w:name w:val="advancedproofingissue"/>
    <w:basedOn w:val="DefaultParagraphFont"/>
    <w:rsid w:val="008C1BF7"/>
  </w:style>
  <w:style w:type="character" w:customStyle="1" w:styleId="spellingerror">
    <w:name w:val="spellingerror"/>
    <w:basedOn w:val="DefaultParagraphFont"/>
    <w:rsid w:val="008C1BF7"/>
  </w:style>
  <w:style w:type="table" w:customStyle="1" w:styleId="3">
    <w:name w:val="表 (格子)3"/>
    <w:basedOn w:val="TableNormal"/>
    <w:next w:val="TableGrid"/>
    <w:uiPriority w:val="39"/>
    <w:rsid w:val="008C1BF7"/>
    <w:pPr>
      <w:spacing w:after="0" w:line="240" w:lineRule="auto"/>
    </w:pPr>
    <w:rPr>
      <w:lang w:val="en-ZA"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cxw244264050">
    <w:name w:val="scxw244264050"/>
    <w:basedOn w:val="DefaultParagraphFont"/>
    <w:rsid w:val="008C1BF7"/>
  </w:style>
  <w:style w:type="paragraph" w:styleId="BlockText">
    <w:name w:val="Block Text"/>
    <w:basedOn w:val="Normal"/>
    <w:uiPriority w:val="99"/>
    <w:semiHidden/>
    <w:unhideWhenUsed/>
    <w:rsid w:val="008C1BF7"/>
    <w:pPr>
      <w:pBdr>
        <w:top w:val="single" w:sz="2" w:space="10" w:color="5B9BD5" w:themeColor="accent1" w:shadow="1"/>
        <w:left w:val="single" w:sz="2" w:space="10" w:color="5B9BD5" w:themeColor="accent1" w:shadow="1"/>
        <w:bottom w:val="single" w:sz="2" w:space="10" w:color="5B9BD5" w:themeColor="accent1" w:shadow="1"/>
        <w:right w:val="single" w:sz="2" w:space="10" w:color="5B9BD5" w:themeColor="accent1" w:shadow="1"/>
      </w:pBdr>
      <w:ind w:left="1152" w:right="1152"/>
    </w:pPr>
    <w:rPr>
      <w:i/>
      <w:iCs/>
      <w:color w:val="5B9BD5" w:themeColor="accent1"/>
      <w:szCs w:val="24"/>
      <w:lang w:val="en-AU" w:eastAsia="en-AU"/>
    </w:rPr>
  </w:style>
  <w:style w:type="paragraph" w:styleId="BodyText">
    <w:name w:val="Body Text"/>
    <w:basedOn w:val="Normal"/>
    <w:link w:val="BodyTextChar"/>
    <w:uiPriority w:val="99"/>
    <w:semiHidden/>
    <w:unhideWhenUsed/>
    <w:rsid w:val="008C1BF7"/>
    <w:rPr>
      <w:rFonts w:eastAsia="Times New Roman" w:cstheme="minorHAnsi"/>
      <w:szCs w:val="24"/>
      <w:lang w:val="en-AU" w:eastAsia="en-AU"/>
    </w:rPr>
  </w:style>
  <w:style w:type="character" w:customStyle="1" w:styleId="BodyTextChar">
    <w:name w:val="Body Text Char"/>
    <w:basedOn w:val="DefaultParagraphFont"/>
    <w:link w:val="BodyText"/>
    <w:uiPriority w:val="99"/>
    <w:semiHidden/>
    <w:rsid w:val="008C1BF7"/>
    <w:rPr>
      <w:rFonts w:eastAsia="Times New Roman" w:cstheme="minorHAnsi"/>
      <w:sz w:val="24"/>
      <w:szCs w:val="24"/>
      <w:lang w:val="en-AU" w:eastAsia="en-AU"/>
    </w:rPr>
  </w:style>
  <w:style w:type="paragraph" w:styleId="BodyText2">
    <w:name w:val="Body Text 2"/>
    <w:basedOn w:val="Normal"/>
    <w:link w:val="BodyText2Char"/>
    <w:uiPriority w:val="99"/>
    <w:semiHidden/>
    <w:unhideWhenUsed/>
    <w:rsid w:val="008C1BF7"/>
    <w:pPr>
      <w:spacing w:line="480" w:lineRule="auto"/>
    </w:pPr>
    <w:rPr>
      <w:rFonts w:eastAsia="Times New Roman" w:cstheme="minorHAnsi"/>
      <w:szCs w:val="24"/>
      <w:lang w:val="en-AU" w:eastAsia="en-AU"/>
    </w:rPr>
  </w:style>
  <w:style w:type="character" w:customStyle="1" w:styleId="BodyText2Char">
    <w:name w:val="Body Text 2 Char"/>
    <w:basedOn w:val="DefaultParagraphFont"/>
    <w:link w:val="BodyText2"/>
    <w:uiPriority w:val="99"/>
    <w:semiHidden/>
    <w:rsid w:val="008C1BF7"/>
    <w:rPr>
      <w:rFonts w:eastAsia="Times New Roman" w:cstheme="minorHAnsi"/>
      <w:sz w:val="24"/>
      <w:szCs w:val="24"/>
      <w:lang w:val="en-AU" w:eastAsia="en-AU"/>
    </w:rPr>
  </w:style>
  <w:style w:type="paragraph" w:styleId="BodyText3">
    <w:name w:val="Body Text 3"/>
    <w:basedOn w:val="Normal"/>
    <w:link w:val="BodyText3Char"/>
    <w:uiPriority w:val="99"/>
    <w:semiHidden/>
    <w:unhideWhenUsed/>
    <w:rsid w:val="008C1BF7"/>
    <w:rPr>
      <w:rFonts w:eastAsia="Times New Roman" w:cstheme="minorHAnsi"/>
      <w:sz w:val="16"/>
      <w:szCs w:val="16"/>
      <w:lang w:val="en-AU" w:eastAsia="en-AU"/>
    </w:rPr>
  </w:style>
  <w:style w:type="character" w:customStyle="1" w:styleId="BodyText3Char">
    <w:name w:val="Body Text 3 Char"/>
    <w:basedOn w:val="DefaultParagraphFont"/>
    <w:link w:val="BodyText3"/>
    <w:uiPriority w:val="99"/>
    <w:semiHidden/>
    <w:rsid w:val="008C1BF7"/>
    <w:rPr>
      <w:rFonts w:eastAsia="Times New Roman" w:cstheme="minorHAnsi"/>
      <w:sz w:val="16"/>
      <w:szCs w:val="16"/>
      <w:lang w:val="en-AU" w:eastAsia="en-AU"/>
    </w:rPr>
  </w:style>
  <w:style w:type="paragraph" w:styleId="BodyTextFirstIndent">
    <w:name w:val="Body Text First Indent"/>
    <w:basedOn w:val="BodyText"/>
    <w:link w:val="BodyTextFirstIndentChar"/>
    <w:uiPriority w:val="99"/>
    <w:semiHidden/>
    <w:unhideWhenUsed/>
    <w:rsid w:val="008C1BF7"/>
    <w:pPr>
      <w:spacing w:after="50"/>
      <w:ind w:firstLine="360"/>
    </w:pPr>
  </w:style>
  <w:style w:type="character" w:customStyle="1" w:styleId="BodyTextFirstIndentChar">
    <w:name w:val="Body Text First Indent Char"/>
    <w:basedOn w:val="BodyTextChar"/>
    <w:link w:val="BodyTextFirstIndent"/>
    <w:uiPriority w:val="99"/>
    <w:semiHidden/>
    <w:rsid w:val="008C1BF7"/>
    <w:rPr>
      <w:rFonts w:eastAsia="Times New Roman" w:cstheme="minorHAnsi"/>
      <w:sz w:val="24"/>
      <w:szCs w:val="24"/>
      <w:lang w:val="en-AU" w:eastAsia="en-AU"/>
    </w:rPr>
  </w:style>
  <w:style w:type="paragraph" w:styleId="BodyTextIndent">
    <w:name w:val="Body Text Indent"/>
    <w:basedOn w:val="Normal"/>
    <w:link w:val="BodyTextIndentChar"/>
    <w:uiPriority w:val="99"/>
    <w:semiHidden/>
    <w:unhideWhenUsed/>
    <w:rsid w:val="008C1BF7"/>
    <w:pPr>
      <w:ind w:left="283"/>
    </w:pPr>
    <w:rPr>
      <w:rFonts w:eastAsia="Times New Roman" w:cstheme="minorHAnsi"/>
      <w:szCs w:val="24"/>
      <w:lang w:val="en-AU" w:eastAsia="en-AU"/>
    </w:rPr>
  </w:style>
  <w:style w:type="character" w:customStyle="1" w:styleId="BodyTextIndentChar">
    <w:name w:val="Body Text Indent Char"/>
    <w:basedOn w:val="DefaultParagraphFont"/>
    <w:link w:val="BodyTextIndent"/>
    <w:uiPriority w:val="99"/>
    <w:semiHidden/>
    <w:rsid w:val="008C1BF7"/>
    <w:rPr>
      <w:rFonts w:eastAsia="Times New Roman" w:cstheme="minorHAnsi"/>
      <w:sz w:val="24"/>
      <w:szCs w:val="24"/>
      <w:lang w:val="en-AU" w:eastAsia="en-AU"/>
    </w:rPr>
  </w:style>
  <w:style w:type="paragraph" w:styleId="BodyTextFirstIndent2">
    <w:name w:val="Body Text First Indent 2"/>
    <w:basedOn w:val="BodyTextIndent"/>
    <w:link w:val="BodyTextFirstIndent2Char"/>
    <w:uiPriority w:val="99"/>
    <w:semiHidden/>
    <w:unhideWhenUsed/>
    <w:rsid w:val="008C1BF7"/>
    <w:pPr>
      <w:spacing w:after="50"/>
      <w:ind w:left="360" w:firstLine="360"/>
    </w:pPr>
  </w:style>
  <w:style w:type="character" w:customStyle="1" w:styleId="BodyTextFirstIndent2Char">
    <w:name w:val="Body Text First Indent 2 Char"/>
    <w:basedOn w:val="BodyTextIndentChar"/>
    <w:link w:val="BodyTextFirstIndent2"/>
    <w:uiPriority w:val="99"/>
    <w:semiHidden/>
    <w:rsid w:val="008C1BF7"/>
    <w:rPr>
      <w:rFonts w:eastAsia="Times New Roman" w:cstheme="minorHAnsi"/>
      <w:sz w:val="24"/>
      <w:szCs w:val="24"/>
      <w:lang w:val="en-AU" w:eastAsia="en-AU"/>
    </w:rPr>
  </w:style>
  <w:style w:type="paragraph" w:styleId="BodyTextIndent2">
    <w:name w:val="Body Text Indent 2"/>
    <w:basedOn w:val="Normal"/>
    <w:link w:val="BodyTextIndent2Char"/>
    <w:uiPriority w:val="99"/>
    <w:semiHidden/>
    <w:unhideWhenUsed/>
    <w:rsid w:val="008C1BF7"/>
    <w:pPr>
      <w:spacing w:line="480" w:lineRule="auto"/>
      <w:ind w:left="283"/>
    </w:pPr>
    <w:rPr>
      <w:rFonts w:eastAsia="Times New Roman" w:cstheme="minorHAnsi"/>
      <w:szCs w:val="24"/>
      <w:lang w:val="en-AU" w:eastAsia="en-AU"/>
    </w:rPr>
  </w:style>
  <w:style w:type="character" w:customStyle="1" w:styleId="BodyTextIndent2Char">
    <w:name w:val="Body Text Indent 2 Char"/>
    <w:basedOn w:val="DefaultParagraphFont"/>
    <w:link w:val="BodyTextIndent2"/>
    <w:uiPriority w:val="99"/>
    <w:semiHidden/>
    <w:rsid w:val="008C1BF7"/>
    <w:rPr>
      <w:rFonts w:eastAsia="Times New Roman" w:cstheme="minorHAnsi"/>
      <w:sz w:val="24"/>
      <w:szCs w:val="24"/>
      <w:lang w:val="en-AU" w:eastAsia="en-AU"/>
    </w:rPr>
  </w:style>
  <w:style w:type="paragraph" w:styleId="BodyTextIndent3">
    <w:name w:val="Body Text Indent 3"/>
    <w:basedOn w:val="Normal"/>
    <w:link w:val="BodyTextIndent3Char"/>
    <w:uiPriority w:val="99"/>
    <w:semiHidden/>
    <w:unhideWhenUsed/>
    <w:rsid w:val="008C1BF7"/>
    <w:pPr>
      <w:ind w:left="283"/>
    </w:pPr>
    <w:rPr>
      <w:rFonts w:eastAsia="Times New Roman" w:cstheme="minorHAnsi"/>
      <w:sz w:val="16"/>
      <w:szCs w:val="16"/>
      <w:lang w:val="en-AU" w:eastAsia="en-AU"/>
    </w:rPr>
  </w:style>
  <w:style w:type="character" w:customStyle="1" w:styleId="BodyTextIndent3Char">
    <w:name w:val="Body Text Indent 3 Char"/>
    <w:basedOn w:val="DefaultParagraphFont"/>
    <w:link w:val="BodyTextIndent3"/>
    <w:uiPriority w:val="99"/>
    <w:semiHidden/>
    <w:rsid w:val="008C1BF7"/>
    <w:rPr>
      <w:rFonts w:eastAsia="Times New Roman" w:cstheme="minorHAnsi"/>
      <w:sz w:val="16"/>
      <w:szCs w:val="16"/>
      <w:lang w:val="en-AU" w:eastAsia="en-AU"/>
    </w:rPr>
  </w:style>
  <w:style w:type="paragraph" w:styleId="Caption">
    <w:name w:val="caption"/>
    <w:basedOn w:val="Normal"/>
    <w:next w:val="Normal"/>
    <w:uiPriority w:val="35"/>
    <w:unhideWhenUsed/>
    <w:qFormat/>
    <w:rsid w:val="00834E03"/>
    <w:rPr>
      <w:b/>
      <w:bCs/>
    </w:rPr>
  </w:style>
  <w:style w:type="paragraph" w:styleId="Closing">
    <w:name w:val="Closing"/>
    <w:basedOn w:val="Normal"/>
    <w:link w:val="ClosingChar"/>
    <w:uiPriority w:val="99"/>
    <w:semiHidden/>
    <w:unhideWhenUsed/>
    <w:rsid w:val="008C1BF7"/>
    <w:pPr>
      <w:ind w:left="4252"/>
    </w:pPr>
    <w:rPr>
      <w:rFonts w:eastAsia="Times New Roman" w:cstheme="minorHAnsi"/>
      <w:szCs w:val="24"/>
      <w:lang w:val="en-AU" w:eastAsia="en-AU"/>
    </w:rPr>
  </w:style>
  <w:style w:type="character" w:customStyle="1" w:styleId="ClosingChar">
    <w:name w:val="Closing Char"/>
    <w:basedOn w:val="DefaultParagraphFont"/>
    <w:link w:val="Closing"/>
    <w:uiPriority w:val="99"/>
    <w:semiHidden/>
    <w:rsid w:val="008C1BF7"/>
    <w:rPr>
      <w:rFonts w:eastAsia="Times New Roman" w:cstheme="minorHAnsi"/>
      <w:sz w:val="24"/>
      <w:szCs w:val="24"/>
      <w:lang w:val="en-AU" w:eastAsia="en-AU"/>
    </w:rPr>
  </w:style>
  <w:style w:type="paragraph" w:styleId="Date">
    <w:name w:val="Date"/>
    <w:basedOn w:val="Normal"/>
    <w:next w:val="Normal"/>
    <w:link w:val="DateChar"/>
    <w:uiPriority w:val="99"/>
    <w:semiHidden/>
    <w:unhideWhenUsed/>
    <w:rsid w:val="008C1BF7"/>
    <w:rPr>
      <w:rFonts w:eastAsia="Times New Roman" w:cstheme="minorHAnsi"/>
      <w:szCs w:val="24"/>
      <w:lang w:val="en-AU" w:eastAsia="en-AU"/>
    </w:rPr>
  </w:style>
  <w:style w:type="character" w:customStyle="1" w:styleId="DateChar">
    <w:name w:val="Date Char"/>
    <w:basedOn w:val="DefaultParagraphFont"/>
    <w:link w:val="Date"/>
    <w:uiPriority w:val="99"/>
    <w:semiHidden/>
    <w:rsid w:val="008C1BF7"/>
    <w:rPr>
      <w:rFonts w:eastAsia="Times New Roman" w:cstheme="minorHAnsi"/>
      <w:sz w:val="24"/>
      <w:szCs w:val="24"/>
      <w:lang w:val="en-AU" w:eastAsia="en-AU"/>
    </w:rPr>
  </w:style>
  <w:style w:type="paragraph" w:styleId="DocumentMap">
    <w:name w:val="Document Map"/>
    <w:basedOn w:val="Normal"/>
    <w:link w:val="DocumentMapChar"/>
    <w:uiPriority w:val="99"/>
    <w:semiHidden/>
    <w:unhideWhenUsed/>
    <w:rsid w:val="008C1BF7"/>
    <w:rPr>
      <w:rFonts w:ascii="Segoe UI" w:eastAsia="Times New Roman" w:hAnsi="Segoe UI" w:cs="Segoe UI"/>
      <w:sz w:val="16"/>
      <w:szCs w:val="16"/>
      <w:lang w:val="en-AU" w:eastAsia="en-AU"/>
    </w:rPr>
  </w:style>
  <w:style w:type="character" w:customStyle="1" w:styleId="DocumentMapChar">
    <w:name w:val="Document Map Char"/>
    <w:basedOn w:val="DefaultParagraphFont"/>
    <w:link w:val="DocumentMap"/>
    <w:uiPriority w:val="99"/>
    <w:semiHidden/>
    <w:rsid w:val="008C1BF7"/>
    <w:rPr>
      <w:rFonts w:ascii="Segoe UI" w:eastAsia="Times New Roman" w:hAnsi="Segoe UI" w:cs="Segoe UI"/>
      <w:sz w:val="16"/>
      <w:szCs w:val="16"/>
      <w:lang w:val="en-AU" w:eastAsia="en-AU"/>
    </w:rPr>
  </w:style>
  <w:style w:type="paragraph" w:styleId="E-mailSignature">
    <w:name w:val="E-mail Signature"/>
    <w:basedOn w:val="Normal"/>
    <w:link w:val="E-mailSignatureChar"/>
    <w:uiPriority w:val="99"/>
    <w:semiHidden/>
    <w:unhideWhenUsed/>
    <w:rsid w:val="008C1BF7"/>
    <w:rPr>
      <w:rFonts w:eastAsia="Times New Roman" w:cstheme="minorHAnsi"/>
      <w:szCs w:val="24"/>
      <w:lang w:val="en-AU" w:eastAsia="en-AU"/>
    </w:rPr>
  </w:style>
  <w:style w:type="character" w:customStyle="1" w:styleId="E-mailSignatureChar">
    <w:name w:val="E-mail Signature Char"/>
    <w:basedOn w:val="DefaultParagraphFont"/>
    <w:link w:val="E-mailSignature"/>
    <w:uiPriority w:val="99"/>
    <w:semiHidden/>
    <w:rsid w:val="008C1BF7"/>
    <w:rPr>
      <w:rFonts w:eastAsia="Times New Roman" w:cstheme="minorHAnsi"/>
      <w:sz w:val="24"/>
      <w:szCs w:val="24"/>
      <w:lang w:val="en-AU" w:eastAsia="en-AU"/>
    </w:rPr>
  </w:style>
  <w:style w:type="paragraph" w:styleId="EndnoteText">
    <w:name w:val="endnote text"/>
    <w:basedOn w:val="Normal"/>
    <w:link w:val="EndnoteTextChar"/>
    <w:uiPriority w:val="99"/>
    <w:semiHidden/>
    <w:unhideWhenUsed/>
    <w:rsid w:val="008C1BF7"/>
    <w:rPr>
      <w:rFonts w:eastAsia="Times New Roman" w:cstheme="minorHAnsi"/>
      <w:sz w:val="20"/>
      <w:szCs w:val="20"/>
      <w:lang w:val="en-AU" w:eastAsia="en-AU"/>
    </w:rPr>
  </w:style>
  <w:style w:type="character" w:customStyle="1" w:styleId="EndnoteTextChar">
    <w:name w:val="Endnote Text Char"/>
    <w:basedOn w:val="DefaultParagraphFont"/>
    <w:link w:val="EndnoteText"/>
    <w:uiPriority w:val="99"/>
    <w:semiHidden/>
    <w:rsid w:val="008C1BF7"/>
    <w:rPr>
      <w:rFonts w:eastAsia="Times New Roman" w:cstheme="minorHAnsi"/>
      <w:sz w:val="20"/>
      <w:szCs w:val="20"/>
      <w:lang w:val="en-AU" w:eastAsia="en-AU"/>
    </w:rPr>
  </w:style>
  <w:style w:type="paragraph" w:styleId="EnvelopeAddress">
    <w:name w:val="envelope address"/>
    <w:basedOn w:val="Normal"/>
    <w:uiPriority w:val="99"/>
    <w:semiHidden/>
    <w:unhideWhenUsed/>
    <w:rsid w:val="008C1BF7"/>
    <w:pPr>
      <w:framePr w:w="7920" w:h="1980" w:hRule="exact" w:hSpace="180" w:wrap="auto" w:hAnchor="page" w:xAlign="center" w:yAlign="bottom"/>
      <w:ind w:left="2880"/>
    </w:pPr>
    <w:rPr>
      <w:rFonts w:asciiTheme="majorHAnsi" w:eastAsiaTheme="majorEastAsia" w:hAnsiTheme="majorHAnsi" w:cstheme="majorBidi"/>
      <w:szCs w:val="24"/>
      <w:lang w:val="en-AU" w:eastAsia="en-AU"/>
    </w:rPr>
  </w:style>
  <w:style w:type="paragraph" w:styleId="EnvelopeReturn">
    <w:name w:val="envelope return"/>
    <w:basedOn w:val="Normal"/>
    <w:uiPriority w:val="99"/>
    <w:semiHidden/>
    <w:unhideWhenUsed/>
    <w:rsid w:val="008C1BF7"/>
    <w:rPr>
      <w:rFonts w:asciiTheme="majorHAnsi" w:eastAsiaTheme="majorEastAsia" w:hAnsiTheme="majorHAnsi" w:cstheme="majorBidi"/>
      <w:sz w:val="20"/>
      <w:szCs w:val="20"/>
      <w:lang w:val="en-AU" w:eastAsia="en-AU"/>
    </w:rPr>
  </w:style>
  <w:style w:type="paragraph" w:styleId="FootnoteText">
    <w:name w:val="footnote text"/>
    <w:basedOn w:val="Normal"/>
    <w:link w:val="FootnoteTextChar"/>
    <w:uiPriority w:val="99"/>
    <w:unhideWhenUsed/>
    <w:rsid w:val="008C1BF7"/>
    <w:rPr>
      <w:rFonts w:eastAsia="Times New Roman" w:cstheme="minorHAnsi"/>
      <w:sz w:val="20"/>
      <w:szCs w:val="20"/>
      <w:lang w:val="en-AU" w:eastAsia="en-AU"/>
    </w:rPr>
  </w:style>
  <w:style w:type="character" w:customStyle="1" w:styleId="FootnoteTextChar">
    <w:name w:val="Footnote Text Char"/>
    <w:basedOn w:val="DefaultParagraphFont"/>
    <w:link w:val="FootnoteText"/>
    <w:uiPriority w:val="99"/>
    <w:rsid w:val="008C1BF7"/>
    <w:rPr>
      <w:rFonts w:eastAsia="Times New Roman" w:cstheme="minorHAnsi"/>
      <w:sz w:val="20"/>
      <w:szCs w:val="20"/>
      <w:lang w:val="en-AU" w:eastAsia="en-AU"/>
    </w:rPr>
  </w:style>
  <w:style w:type="paragraph" w:styleId="HTMLAddress">
    <w:name w:val="HTML Address"/>
    <w:basedOn w:val="Normal"/>
    <w:link w:val="HTMLAddressChar"/>
    <w:uiPriority w:val="99"/>
    <w:semiHidden/>
    <w:unhideWhenUsed/>
    <w:rsid w:val="008C1BF7"/>
    <w:rPr>
      <w:rFonts w:eastAsia="Times New Roman" w:cstheme="minorHAnsi"/>
      <w:i/>
      <w:iCs/>
      <w:szCs w:val="24"/>
      <w:lang w:val="en-AU" w:eastAsia="en-AU"/>
    </w:rPr>
  </w:style>
  <w:style w:type="character" w:customStyle="1" w:styleId="HTMLAddressChar">
    <w:name w:val="HTML Address Char"/>
    <w:basedOn w:val="DefaultParagraphFont"/>
    <w:link w:val="HTMLAddress"/>
    <w:uiPriority w:val="99"/>
    <w:semiHidden/>
    <w:rsid w:val="008C1BF7"/>
    <w:rPr>
      <w:rFonts w:eastAsia="Times New Roman" w:cstheme="minorHAnsi"/>
      <w:i/>
      <w:iCs/>
      <w:sz w:val="24"/>
      <w:szCs w:val="24"/>
      <w:lang w:val="en-AU" w:eastAsia="en-AU"/>
    </w:rPr>
  </w:style>
  <w:style w:type="paragraph" w:styleId="HTMLPreformatted">
    <w:name w:val="HTML Preformatted"/>
    <w:basedOn w:val="Normal"/>
    <w:link w:val="HTMLPreformattedChar"/>
    <w:uiPriority w:val="99"/>
    <w:semiHidden/>
    <w:unhideWhenUsed/>
    <w:rsid w:val="008C1BF7"/>
    <w:rPr>
      <w:rFonts w:ascii="Consolas" w:eastAsia="Times New Roman" w:hAnsi="Consolas" w:cstheme="minorHAnsi"/>
      <w:sz w:val="20"/>
      <w:szCs w:val="20"/>
      <w:lang w:val="en-AU" w:eastAsia="en-AU"/>
    </w:rPr>
  </w:style>
  <w:style w:type="character" w:customStyle="1" w:styleId="HTMLPreformattedChar">
    <w:name w:val="HTML Preformatted Char"/>
    <w:basedOn w:val="DefaultParagraphFont"/>
    <w:link w:val="HTMLPreformatted"/>
    <w:uiPriority w:val="99"/>
    <w:semiHidden/>
    <w:rsid w:val="008C1BF7"/>
    <w:rPr>
      <w:rFonts w:ascii="Consolas" w:eastAsia="Times New Roman" w:hAnsi="Consolas" w:cstheme="minorHAnsi"/>
      <w:sz w:val="20"/>
      <w:szCs w:val="20"/>
      <w:lang w:val="en-AU" w:eastAsia="en-AU"/>
    </w:rPr>
  </w:style>
  <w:style w:type="paragraph" w:styleId="Index1">
    <w:name w:val="index 1"/>
    <w:basedOn w:val="Normal"/>
    <w:next w:val="Normal"/>
    <w:autoRedefine/>
    <w:uiPriority w:val="99"/>
    <w:semiHidden/>
    <w:unhideWhenUsed/>
    <w:rsid w:val="008C1BF7"/>
    <w:pPr>
      <w:ind w:left="240" w:hanging="240"/>
    </w:pPr>
    <w:rPr>
      <w:rFonts w:eastAsia="Times New Roman" w:cstheme="minorHAnsi"/>
      <w:szCs w:val="24"/>
      <w:lang w:val="en-AU" w:eastAsia="en-AU"/>
    </w:rPr>
  </w:style>
  <w:style w:type="paragraph" w:styleId="Index2">
    <w:name w:val="index 2"/>
    <w:basedOn w:val="Normal"/>
    <w:next w:val="Normal"/>
    <w:autoRedefine/>
    <w:uiPriority w:val="99"/>
    <w:semiHidden/>
    <w:unhideWhenUsed/>
    <w:rsid w:val="008C1BF7"/>
    <w:pPr>
      <w:ind w:left="480" w:hanging="240"/>
    </w:pPr>
    <w:rPr>
      <w:rFonts w:eastAsia="Times New Roman" w:cstheme="minorHAnsi"/>
      <w:szCs w:val="24"/>
      <w:lang w:val="en-AU" w:eastAsia="en-AU"/>
    </w:rPr>
  </w:style>
  <w:style w:type="paragraph" w:styleId="Index3">
    <w:name w:val="index 3"/>
    <w:basedOn w:val="Normal"/>
    <w:next w:val="Normal"/>
    <w:autoRedefine/>
    <w:uiPriority w:val="99"/>
    <w:semiHidden/>
    <w:unhideWhenUsed/>
    <w:rsid w:val="008C1BF7"/>
    <w:pPr>
      <w:ind w:left="720" w:hanging="240"/>
    </w:pPr>
    <w:rPr>
      <w:rFonts w:eastAsia="Times New Roman" w:cstheme="minorHAnsi"/>
      <w:szCs w:val="24"/>
      <w:lang w:val="en-AU" w:eastAsia="en-AU"/>
    </w:rPr>
  </w:style>
  <w:style w:type="paragraph" w:styleId="Index4">
    <w:name w:val="index 4"/>
    <w:basedOn w:val="Normal"/>
    <w:next w:val="Normal"/>
    <w:autoRedefine/>
    <w:uiPriority w:val="99"/>
    <w:semiHidden/>
    <w:unhideWhenUsed/>
    <w:rsid w:val="008C1BF7"/>
    <w:pPr>
      <w:ind w:left="960" w:hanging="240"/>
    </w:pPr>
    <w:rPr>
      <w:rFonts w:eastAsia="Times New Roman" w:cstheme="minorHAnsi"/>
      <w:szCs w:val="24"/>
      <w:lang w:val="en-AU" w:eastAsia="en-AU"/>
    </w:rPr>
  </w:style>
  <w:style w:type="paragraph" w:styleId="Index5">
    <w:name w:val="index 5"/>
    <w:basedOn w:val="Normal"/>
    <w:next w:val="Normal"/>
    <w:autoRedefine/>
    <w:uiPriority w:val="99"/>
    <w:semiHidden/>
    <w:unhideWhenUsed/>
    <w:rsid w:val="008C1BF7"/>
    <w:pPr>
      <w:ind w:left="1200" w:hanging="240"/>
    </w:pPr>
    <w:rPr>
      <w:rFonts w:eastAsia="Times New Roman" w:cstheme="minorHAnsi"/>
      <w:szCs w:val="24"/>
      <w:lang w:val="en-AU" w:eastAsia="en-AU"/>
    </w:rPr>
  </w:style>
  <w:style w:type="paragraph" w:styleId="Index6">
    <w:name w:val="index 6"/>
    <w:basedOn w:val="Normal"/>
    <w:next w:val="Normal"/>
    <w:autoRedefine/>
    <w:uiPriority w:val="99"/>
    <w:semiHidden/>
    <w:unhideWhenUsed/>
    <w:rsid w:val="008C1BF7"/>
    <w:pPr>
      <w:ind w:left="1440" w:hanging="240"/>
    </w:pPr>
    <w:rPr>
      <w:rFonts w:eastAsia="Times New Roman" w:cstheme="minorHAnsi"/>
      <w:szCs w:val="24"/>
      <w:lang w:val="en-AU" w:eastAsia="en-AU"/>
    </w:rPr>
  </w:style>
  <w:style w:type="paragraph" w:styleId="Index7">
    <w:name w:val="index 7"/>
    <w:basedOn w:val="Normal"/>
    <w:next w:val="Normal"/>
    <w:autoRedefine/>
    <w:uiPriority w:val="99"/>
    <w:semiHidden/>
    <w:unhideWhenUsed/>
    <w:rsid w:val="008C1BF7"/>
    <w:pPr>
      <w:ind w:left="1680" w:hanging="240"/>
    </w:pPr>
    <w:rPr>
      <w:rFonts w:eastAsia="Times New Roman" w:cstheme="minorHAnsi"/>
      <w:szCs w:val="24"/>
      <w:lang w:val="en-AU" w:eastAsia="en-AU"/>
    </w:rPr>
  </w:style>
  <w:style w:type="paragraph" w:styleId="Index8">
    <w:name w:val="index 8"/>
    <w:basedOn w:val="Normal"/>
    <w:next w:val="Normal"/>
    <w:autoRedefine/>
    <w:uiPriority w:val="99"/>
    <w:semiHidden/>
    <w:unhideWhenUsed/>
    <w:rsid w:val="008C1BF7"/>
    <w:pPr>
      <w:ind w:left="1920" w:hanging="240"/>
    </w:pPr>
    <w:rPr>
      <w:rFonts w:eastAsia="Times New Roman" w:cstheme="minorHAnsi"/>
      <w:szCs w:val="24"/>
      <w:lang w:val="en-AU" w:eastAsia="en-AU"/>
    </w:rPr>
  </w:style>
  <w:style w:type="paragraph" w:styleId="Index9">
    <w:name w:val="index 9"/>
    <w:basedOn w:val="Normal"/>
    <w:next w:val="Normal"/>
    <w:autoRedefine/>
    <w:uiPriority w:val="99"/>
    <w:semiHidden/>
    <w:unhideWhenUsed/>
    <w:rsid w:val="008C1BF7"/>
    <w:pPr>
      <w:ind w:left="2160" w:hanging="240"/>
    </w:pPr>
    <w:rPr>
      <w:rFonts w:eastAsia="Times New Roman" w:cstheme="minorHAnsi"/>
      <w:szCs w:val="24"/>
      <w:lang w:val="en-AU" w:eastAsia="en-AU"/>
    </w:rPr>
  </w:style>
  <w:style w:type="paragraph" w:styleId="IndexHeading">
    <w:name w:val="index heading"/>
    <w:basedOn w:val="Normal"/>
    <w:next w:val="Index1"/>
    <w:uiPriority w:val="99"/>
    <w:semiHidden/>
    <w:unhideWhenUsed/>
    <w:rsid w:val="008C1BF7"/>
    <w:rPr>
      <w:rFonts w:asciiTheme="majorHAnsi" w:eastAsiaTheme="majorEastAsia" w:hAnsiTheme="majorHAnsi" w:cstheme="majorBidi"/>
      <w:b/>
      <w:bCs/>
      <w:szCs w:val="24"/>
      <w:lang w:val="en-AU" w:eastAsia="en-AU"/>
    </w:rPr>
  </w:style>
  <w:style w:type="paragraph" w:styleId="IntenseQuote">
    <w:name w:val="Intense Quote"/>
    <w:basedOn w:val="Normal"/>
    <w:next w:val="Normal"/>
    <w:link w:val="IntenseQuoteChar"/>
    <w:uiPriority w:val="30"/>
    <w:qFormat/>
    <w:rsid w:val="008C1BF7"/>
    <w:pPr>
      <w:pBdr>
        <w:top w:val="single" w:sz="4" w:space="10" w:color="5B9BD5" w:themeColor="accent1"/>
        <w:bottom w:val="single" w:sz="4" w:space="10" w:color="5B9BD5" w:themeColor="accent1"/>
      </w:pBdr>
      <w:spacing w:before="360" w:after="360"/>
      <w:ind w:left="864" w:right="864"/>
      <w:jc w:val="center"/>
    </w:pPr>
    <w:rPr>
      <w:rFonts w:eastAsia="Times New Roman" w:cstheme="minorHAnsi"/>
      <w:i/>
      <w:iCs/>
      <w:color w:val="5B9BD5" w:themeColor="accent1"/>
      <w:szCs w:val="24"/>
      <w:lang w:val="en-AU" w:eastAsia="en-AU"/>
    </w:rPr>
  </w:style>
  <w:style w:type="character" w:customStyle="1" w:styleId="IntenseQuoteChar">
    <w:name w:val="Intense Quote Char"/>
    <w:basedOn w:val="DefaultParagraphFont"/>
    <w:link w:val="IntenseQuote"/>
    <w:uiPriority w:val="30"/>
    <w:rsid w:val="008C1BF7"/>
    <w:rPr>
      <w:rFonts w:eastAsia="Times New Roman" w:cstheme="minorHAnsi"/>
      <w:i/>
      <w:iCs/>
      <w:color w:val="5B9BD5" w:themeColor="accent1"/>
      <w:sz w:val="24"/>
      <w:szCs w:val="24"/>
      <w:lang w:val="en-AU" w:eastAsia="en-AU"/>
    </w:rPr>
  </w:style>
  <w:style w:type="paragraph" w:styleId="List">
    <w:name w:val="List"/>
    <w:basedOn w:val="Normal"/>
    <w:uiPriority w:val="99"/>
    <w:semiHidden/>
    <w:unhideWhenUsed/>
    <w:rsid w:val="008C1BF7"/>
    <w:pPr>
      <w:ind w:left="283" w:hanging="283"/>
    </w:pPr>
    <w:rPr>
      <w:rFonts w:eastAsia="Times New Roman" w:cstheme="minorHAnsi"/>
      <w:szCs w:val="24"/>
      <w:lang w:val="en-AU" w:eastAsia="en-AU"/>
    </w:rPr>
  </w:style>
  <w:style w:type="paragraph" w:styleId="List2">
    <w:name w:val="List 2"/>
    <w:basedOn w:val="Normal"/>
    <w:uiPriority w:val="99"/>
    <w:semiHidden/>
    <w:unhideWhenUsed/>
    <w:rsid w:val="008C1BF7"/>
    <w:pPr>
      <w:ind w:left="566" w:hanging="283"/>
    </w:pPr>
    <w:rPr>
      <w:rFonts w:eastAsia="Times New Roman" w:cstheme="minorHAnsi"/>
      <w:szCs w:val="24"/>
      <w:lang w:val="en-AU" w:eastAsia="en-AU"/>
    </w:rPr>
  </w:style>
  <w:style w:type="paragraph" w:styleId="List3">
    <w:name w:val="List 3"/>
    <w:basedOn w:val="Normal"/>
    <w:uiPriority w:val="99"/>
    <w:semiHidden/>
    <w:unhideWhenUsed/>
    <w:rsid w:val="008C1BF7"/>
    <w:pPr>
      <w:ind w:left="849" w:hanging="283"/>
    </w:pPr>
    <w:rPr>
      <w:rFonts w:eastAsia="Times New Roman" w:cstheme="minorHAnsi"/>
      <w:szCs w:val="24"/>
      <w:lang w:val="en-AU" w:eastAsia="en-AU"/>
    </w:rPr>
  </w:style>
  <w:style w:type="paragraph" w:styleId="List4">
    <w:name w:val="List 4"/>
    <w:basedOn w:val="Normal"/>
    <w:uiPriority w:val="99"/>
    <w:semiHidden/>
    <w:unhideWhenUsed/>
    <w:rsid w:val="008C1BF7"/>
    <w:pPr>
      <w:ind w:left="1132" w:hanging="283"/>
    </w:pPr>
    <w:rPr>
      <w:rFonts w:eastAsia="Times New Roman" w:cstheme="minorHAnsi"/>
      <w:szCs w:val="24"/>
      <w:lang w:val="en-AU" w:eastAsia="en-AU"/>
    </w:rPr>
  </w:style>
  <w:style w:type="paragraph" w:styleId="List5">
    <w:name w:val="List 5"/>
    <w:basedOn w:val="Normal"/>
    <w:uiPriority w:val="99"/>
    <w:semiHidden/>
    <w:unhideWhenUsed/>
    <w:rsid w:val="008C1BF7"/>
    <w:pPr>
      <w:ind w:left="1415" w:hanging="283"/>
    </w:pPr>
    <w:rPr>
      <w:rFonts w:eastAsia="Times New Roman" w:cstheme="minorHAnsi"/>
      <w:szCs w:val="24"/>
      <w:lang w:val="en-AU" w:eastAsia="en-AU"/>
    </w:rPr>
  </w:style>
  <w:style w:type="paragraph" w:styleId="ListBullet">
    <w:name w:val="List Bullet"/>
    <w:basedOn w:val="Normal"/>
    <w:uiPriority w:val="99"/>
    <w:semiHidden/>
    <w:unhideWhenUsed/>
    <w:rsid w:val="008C1BF7"/>
    <w:pPr>
      <w:numPr>
        <w:numId w:val="1"/>
      </w:numPr>
    </w:pPr>
    <w:rPr>
      <w:rFonts w:eastAsia="Times New Roman" w:cstheme="minorHAnsi"/>
      <w:szCs w:val="24"/>
      <w:lang w:val="en-AU" w:eastAsia="en-AU"/>
    </w:rPr>
  </w:style>
  <w:style w:type="paragraph" w:styleId="ListBullet2">
    <w:name w:val="List Bullet 2"/>
    <w:basedOn w:val="Normal"/>
    <w:uiPriority w:val="99"/>
    <w:semiHidden/>
    <w:unhideWhenUsed/>
    <w:rsid w:val="008C1BF7"/>
    <w:pPr>
      <w:numPr>
        <w:numId w:val="2"/>
      </w:numPr>
    </w:pPr>
    <w:rPr>
      <w:rFonts w:eastAsia="Times New Roman" w:cstheme="minorHAnsi"/>
      <w:szCs w:val="24"/>
      <w:lang w:val="en-AU" w:eastAsia="en-AU"/>
    </w:rPr>
  </w:style>
  <w:style w:type="paragraph" w:styleId="ListBullet3">
    <w:name w:val="List Bullet 3"/>
    <w:basedOn w:val="Normal"/>
    <w:uiPriority w:val="99"/>
    <w:semiHidden/>
    <w:unhideWhenUsed/>
    <w:rsid w:val="008C1BF7"/>
    <w:pPr>
      <w:numPr>
        <w:numId w:val="3"/>
      </w:numPr>
    </w:pPr>
    <w:rPr>
      <w:rFonts w:eastAsia="Times New Roman" w:cstheme="minorHAnsi"/>
      <w:szCs w:val="24"/>
      <w:lang w:val="en-AU" w:eastAsia="en-AU"/>
    </w:rPr>
  </w:style>
  <w:style w:type="paragraph" w:styleId="ListBullet4">
    <w:name w:val="List Bullet 4"/>
    <w:basedOn w:val="Normal"/>
    <w:uiPriority w:val="99"/>
    <w:semiHidden/>
    <w:unhideWhenUsed/>
    <w:rsid w:val="008C1BF7"/>
    <w:pPr>
      <w:numPr>
        <w:numId w:val="4"/>
      </w:numPr>
    </w:pPr>
    <w:rPr>
      <w:rFonts w:eastAsia="Times New Roman" w:cstheme="minorHAnsi"/>
      <w:szCs w:val="24"/>
      <w:lang w:val="en-AU" w:eastAsia="en-AU"/>
    </w:rPr>
  </w:style>
  <w:style w:type="paragraph" w:styleId="ListBullet5">
    <w:name w:val="List Bullet 5"/>
    <w:basedOn w:val="Normal"/>
    <w:uiPriority w:val="99"/>
    <w:semiHidden/>
    <w:unhideWhenUsed/>
    <w:rsid w:val="008C1BF7"/>
    <w:pPr>
      <w:numPr>
        <w:numId w:val="5"/>
      </w:numPr>
    </w:pPr>
    <w:rPr>
      <w:rFonts w:eastAsia="Times New Roman" w:cstheme="minorHAnsi"/>
      <w:szCs w:val="24"/>
      <w:lang w:val="en-AU" w:eastAsia="en-AU"/>
    </w:rPr>
  </w:style>
  <w:style w:type="paragraph" w:styleId="ListContinue">
    <w:name w:val="List Continue"/>
    <w:basedOn w:val="Normal"/>
    <w:uiPriority w:val="99"/>
    <w:semiHidden/>
    <w:unhideWhenUsed/>
    <w:rsid w:val="008C1BF7"/>
    <w:pPr>
      <w:ind w:left="283"/>
    </w:pPr>
    <w:rPr>
      <w:rFonts w:eastAsia="Times New Roman" w:cstheme="minorHAnsi"/>
      <w:szCs w:val="24"/>
      <w:lang w:val="en-AU" w:eastAsia="en-AU"/>
    </w:rPr>
  </w:style>
  <w:style w:type="paragraph" w:styleId="ListContinue2">
    <w:name w:val="List Continue 2"/>
    <w:basedOn w:val="Normal"/>
    <w:uiPriority w:val="99"/>
    <w:semiHidden/>
    <w:unhideWhenUsed/>
    <w:rsid w:val="008C1BF7"/>
    <w:pPr>
      <w:ind w:left="566"/>
    </w:pPr>
    <w:rPr>
      <w:rFonts w:eastAsia="Times New Roman" w:cstheme="minorHAnsi"/>
      <w:szCs w:val="24"/>
      <w:lang w:val="en-AU" w:eastAsia="en-AU"/>
    </w:rPr>
  </w:style>
  <w:style w:type="paragraph" w:styleId="ListContinue3">
    <w:name w:val="List Continue 3"/>
    <w:basedOn w:val="Normal"/>
    <w:uiPriority w:val="99"/>
    <w:semiHidden/>
    <w:unhideWhenUsed/>
    <w:rsid w:val="008C1BF7"/>
    <w:pPr>
      <w:ind w:left="849"/>
    </w:pPr>
    <w:rPr>
      <w:rFonts w:eastAsia="Times New Roman" w:cstheme="minorHAnsi"/>
      <w:szCs w:val="24"/>
      <w:lang w:val="en-AU" w:eastAsia="en-AU"/>
    </w:rPr>
  </w:style>
  <w:style w:type="paragraph" w:styleId="ListContinue4">
    <w:name w:val="List Continue 4"/>
    <w:basedOn w:val="Normal"/>
    <w:uiPriority w:val="99"/>
    <w:semiHidden/>
    <w:unhideWhenUsed/>
    <w:rsid w:val="008C1BF7"/>
    <w:pPr>
      <w:ind w:left="1132"/>
    </w:pPr>
    <w:rPr>
      <w:rFonts w:eastAsia="Times New Roman" w:cstheme="minorHAnsi"/>
      <w:szCs w:val="24"/>
      <w:lang w:val="en-AU" w:eastAsia="en-AU"/>
    </w:rPr>
  </w:style>
  <w:style w:type="paragraph" w:styleId="ListContinue5">
    <w:name w:val="List Continue 5"/>
    <w:basedOn w:val="Normal"/>
    <w:uiPriority w:val="99"/>
    <w:semiHidden/>
    <w:unhideWhenUsed/>
    <w:rsid w:val="008C1BF7"/>
    <w:pPr>
      <w:ind w:left="1415"/>
    </w:pPr>
    <w:rPr>
      <w:rFonts w:eastAsia="Times New Roman" w:cstheme="minorHAnsi"/>
      <w:szCs w:val="24"/>
      <w:lang w:val="en-AU" w:eastAsia="en-AU"/>
    </w:rPr>
  </w:style>
  <w:style w:type="paragraph" w:styleId="ListNumber">
    <w:name w:val="List Number"/>
    <w:basedOn w:val="Normal"/>
    <w:uiPriority w:val="99"/>
    <w:semiHidden/>
    <w:unhideWhenUsed/>
    <w:rsid w:val="008C1BF7"/>
    <w:pPr>
      <w:numPr>
        <w:numId w:val="6"/>
      </w:numPr>
    </w:pPr>
    <w:rPr>
      <w:rFonts w:eastAsia="Times New Roman" w:cstheme="minorHAnsi"/>
      <w:szCs w:val="24"/>
      <w:lang w:val="en-AU" w:eastAsia="en-AU"/>
    </w:rPr>
  </w:style>
  <w:style w:type="paragraph" w:styleId="ListNumber2">
    <w:name w:val="List Number 2"/>
    <w:basedOn w:val="Normal"/>
    <w:uiPriority w:val="99"/>
    <w:semiHidden/>
    <w:unhideWhenUsed/>
    <w:rsid w:val="008C1BF7"/>
    <w:pPr>
      <w:numPr>
        <w:numId w:val="7"/>
      </w:numPr>
    </w:pPr>
    <w:rPr>
      <w:rFonts w:eastAsia="Times New Roman" w:cstheme="minorHAnsi"/>
      <w:szCs w:val="24"/>
      <w:lang w:val="en-AU" w:eastAsia="en-AU"/>
    </w:rPr>
  </w:style>
  <w:style w:type="paragraph" w:styleId="ListNumber3">
    <w:name w:val="List Number 3"/>
    <w:basedOn w:val="Normal"/>
    <w:uiPriority w:val="99"/>
    <w:semiHidden/>
    <w:unhideWhenUsed/>
    <w:rsid w:val="008C1BF7"/>
    <w:pPr>
      <w:numPr>
        <w:numId w:val="8"/>
      </w:numPr>
    </w:pPr>
    <w:rPr>
      <w:rFonts w:eastAsia="Times New Roman" w:cstheme="minorHAnsi"/>
      <w:szCs w:val="24"/>
      <w:lang w:val="en-AU" w:eastAsia="en-AU"/>
    </w:rPr>
  </w:style>
  <w:style w:type="paragraph" w:styleId="ListNumber4">
    <w:name w:val="List Number 4"/>
    <w:basedOn w:val="Normal"/>
    <w:uiPriority w:val="99"/>
    <w:semiHidden/>
    <w:unhideWhenUsed/>
    <w:rsid w:val="008C1BF7"/>
    <w:pPr>
      <w:numPr>
        <w:numId w:val="9"/>
      </w:numPr>
    </w:pPr>
    <w:rPr>
      <w:rFonts w:eastAsia="Times New Roman" w:cstheme="minorHAnsi"/>
      <w:szCs w:val="24"/>
      <w:lang w:val="en-AU" w:eastAsia="en-AU"/>
    </w:rPr>
  </w:style>
  <w:style w:type="paragraph" w:styleId="ListNumber5">
    <w:name w:val="List Number 5"/>
    <w:basedOn w:val="Normal"/>
    <w:uiPriority w:val="99"/>
    <w:semiHidden/>
    <w:unhideWhenUsed/>
    <w:rsid w:val="008C1BF7"/>
    <w:pPr>
      <w:numPr>
        <w:numId w:val="10"/>
      </w:numPr>
    </w:pPr>
    <w:rPr>
      <w:rFonts w:eastAsia="Times New Roman" w:cstheme="minorHAnsi"/>
      <w:szCs w:val="24"/>
      <w:lang w:val="en-AU" w:eastAsia="en-AU"/>
    </w:rPr>
  </w:style>
  <w:style w:type="paragraph" w:styleId="MacroText">
    <w:name w:val="macro"/>
    <w:link w:val="MacroTextChar"/>
    <w:uiPriority w:val="99"/>
    <w:semiHidden/>
    <w:unhideWhenUsed/>
    <w:rsid w:val="008C1BF7"/>
    <w:pPr>
      <w:tabs>
        <w:tab w:val="left" w:pos="480"/>
        <w:tab w:val="left" w:pos="960"/>
        <w:tab w:val="left" w:pos="1440"/>
        <w:tab w:val="left" w:pos="1920"/>
        <w:tab w:val="left" w:pos="2400"/>
        <w:tab w:val="left" w:pos="2880"/>
        <w:tab w:val="left" w:pos="3360"/>
        <w:tab w:val="left" w:pos="3840"/>
        <w:tab w:val="left" w:pos="4320"/>
      </w:tabs>
      <w:spacing w:beforeLines="50" w:afterLines="50" w:after="0" w:line="240" w:lineRule="auto"/>
      <w:jc w:val="both"/>
    </w:pPr>
    <w:rPr>
      <w:rFonts w:ascii="Consolas" w:eastAsia="Times New Roman" w:hAnsi="Consolas" w:cstheme="minorHAnsi"/>
      <w:sz w:val="20"/>
      <w:szCs w:val="20"/>
      <w:lang w:val="en-AU" w:eastAsia="en-AU"/>
    </w:rPr>
  </w:style>
  <w:style w:type="character" w:customStyle="1" w:styleId="MacroTextChar">
    <w:name w:val="Macro Text Char"/>
    <w:basedOn w:val="DefaultParagraphFont"/>
    <w:link w:val="MacroText"/>
    <w:uiPriority w:val="99"/>
    <w:semiHidden/>
    <w:rsid w:val="008C1BF7"/>
    <w:rPr>
      <w:rFonts w:ascii="Consolas" w:eastAsia="Times New Roman" w:hAnsi="Consolas" w:cstheme="minorHAnsi"/>
      <w:sz w:val="20"/>
      <w:szCs w:val="20"/>
      <w:lang w:val="en-AU" w:eastAsia="en-AU"/>
    </w:rPr>
  </w:style>
  <w:style w:type="paragraph" w:styleId="MessageHeader">
    <w:name w:val="Message Header"/>
    <w:basedOn w:val="Normal"/>
    <w:link w:val="MessageHeaderChar"/>
    <w:uiPriority w:val="99"/>
    <w:semiHidden/>
    <w:unhideWhenUsed/>
    <w:rsid w:val="008C1BF7"/>
    <w:pPr>
      <w:pBdr>
        <w:top w:val="single" w:sz="6" w:space="1" w:color="auto"/>
        <w:left w:val="single" w:sz="6" w:space="1" w:color="auto"/>
        <w:bottom w:val="single" w:sz="6" w:space="1" w:color="auto"/>
        <w:right w:val="single" w:sz="6" w:space="1" w:color="auto"/>
      </w:pBdr>
      <w:shd w:val="pct20" w:color="auto" w:fill="auto"/>
      <w:ind w:left="1134" w:hanging="1134"/>
    </w:pPr>
    <w:rPr>
      <w:rFonts w:asciiTheme="majorHAnsi" w:eastAsiaTheme="majorEastAsia" w:hAnsiTheme="majorHAnsi" w:cstheme="majorBidi"/>
      <w:szCs w:val="24"/>
      <w:lang w:val="en-AU" w:eastAsia="en-AU"/>
    </w:rPr>
  </w:style>
  <w:style w:type="character" w:customStyle="1" w:styleId="MessageHeaderChar">
    <w:name w:val="Message Header Char"/>
    <w:basedOn w:val="DefaultParagraphFont"/>
    <w:link w:val="MessageHeader"/>
    <w:uiPriority w:val="99"/>
    <w:semiHidden/>
    <w:rsid w:val="008C1BF7"/>
    <w:rPr>
      <w:rFonts w:asciiTheme="majorHAnsi" w:eastAsiaTheme="majorEastAsia" w:hAnsiTheme="majorHAnsi" w:cstheme="majorBidi"/>
      <w:sz w:val="24"/>
      <w:szCs w:val="24"/>
      <w:shd w:val="pct20" w:color="auto" w:fill="auto"/>
      <w:lang w:val="en-AU" w:eastAsia="en-AU"/>
    </w:rPr>
  </w:style>
  <w:style w:type="paragraph" w:styleId="NormalWeb">
    <w:name w:val="Normal (Web)"/>
    <w:basedOn w:val="Normal"/>
    <w:uiPriority w:val="99"/>
    <w:unhideWhenUsed/>
    <w:rsid w:val="008C1BF7"/>
    <w:rPr>
      <w:rFonts w:eastAsia="Times New Roman"/>
      <w:szCs w:val="24"/>
      <w:lang w:val="en-AU" w:eastAsia="en-AU"/>
    </w:rPr>
  </w:style>
  <w:style w:type="paragraph" w:styleId="NormalIndent">
    <w:name w:val="Normal Indent"/>
    <w:basedOn w:val="Normal"/>
    <w:uiPriority w:val="99"/>
    <w:semiHidden/>
    <w:unhideWhenUsed/>
    <w:rsid w:val="008C1BF7"/>
    <w:pPr>
      <w:ind w:left="720"/>
    </w:pPr>
    <w:rPr>
      <w:rFonts w:eastAsia="Times New Roman" w:cstheme="minorHAnsi"/>
      <w:szCs w:val="24"/>
      <w:lang w:val="en-AU" w:eastAsia="en-AU"/>
    </w:rPr>
  </w:style>
  <w:style w:type="paragraph" w:styleId="NoteHeading">
    <w:name w:val="Note Heading"/>
    <w:basedOn w:val="Normal"/>
    <w:next w:val="Normal"/>
    <w:link w:val="NoteHeadingChar"/>
    <w:uiPriority w:val="99"/>
    <w:semiHidden/>
    <w:unhideWhenUsed/>
    <w:rsid w:val="008C1BF7"/>
    <w:rPr>
      <w:rFonts w:eastAsia="Times New Roman" w:cstheme="minorHAnsi"/>
      <w:szCs w:val="24"/>
      <w:lang w:val="en-AU" w:eastAsia="en-AU"/>
    </w:rPr>
  </w:style>
  <w:style w:type="character" w:customStyle="1" w:styleId="NoteHeadingChar">
    <w:name w:val="Note Heading Char"/>
    <w:basedOn w:val="DefaultParagraphFont"/>
    <w:link w:val="NoteHeading"/>
    <w:uiPriority w:val="99"/>
    <w:semiHidden/>
    <w:rsid w:val="008C1BF7"/>
    <w:rPr>
      <w:rFonts w:eastAsia="Times New Roman" w:cstheme="minorHAnsi"/>
      <w:sz w:val="24"/>
      <w:szCs w:val="24"/>
      <w:lang w:val="en-AU" w:eastAsia="en-AU"/>
    </w:rPr>
  </w:style>
  <w:style w:type="paragraph" w:styleId="PlainText">
    <w:name w:val="Plain Text"/>
    <w:basedOn w:val="Normal"/>
    <w:link w:val="PlainTextChar"/>
    <w:uiPriority w:val="99"/>
    <w:unhideWhenUsed/>
    <w:rsid w:val="008C1BF7"/>
    <w:rPr>
      <w:rFonts w:ascii="Consolas" w:eastAsia="Times New Roman" w:hAnsi="Consolas" w:cstheme="minorHAnsi"/>
      <w:sz w:val="21"/>
      <w:szCs w:val="21"/>
      <w:lang w:val="en-AU" w:eastAsia="en-AU"/>
    </w:rPr>
  </w:style>
  <w:style w:type="character" w:customStyle="1" w:styleId="PlainTextChar">
    <w:name w:val="Plain Text Char"/>
    <w:basedOn w:val="DefaultParagraphFont"/>
    <w:link w:val="PlainText"/>
    <w:uiPriority w:val="99"/>
    <w:rsid w:val="008C1BF7"/>
    <w:rPr>
      <w:rFonts w:ascii="Consolas" w:eastAsia="Times New Roman" w:hAnsi="Consolas" w:cstheme="minorHAnsi"/>
      <w:sz w:val="21"/>
      <w:szCs w:val="21"/>
      <w:lang w:val="en-AU" w:eastAsia="en-AU"/>
    </w:rPr>
  </w:style>
  <w:style w:type="paragraph" w:styleId="Quote">
    <w:name w:val="Quote"/>
    <w:basedOn w:val="Normal"/>
    <w:next w:val="Normal"/>
    <w:link w:val="QuoteChar"/>
    <w:uiPriority w:val="29"/>
    <w:qFormat/>
    <w:rsid w:val="008C1BF7"/>
    <w:pPr>
      <w:spacing w:before="200"/>
      <w:ind w:left="864" w:right="864"/>
      <w:jc w:val="center"/>
    </w:pPr>
    <w:rPr>
      <w:rFonts w:eastAsia="Times New Roman" w:cstheme="minorHAnsi"/>
      <w:i/>
      <w:iCs/>
      <w:color w:val="404040" w:themeColor="text1" w:themeTint="BF"/>
      <w:szCs w:val="24"/>
      <w:lang w:val="en-AU" w:eastAsia="en-AU"/>
    </w:rPr>
  </w:style>
  <w:style w:type="character" w:customStyle="1" w:styleId="QuoteChar">
    <w:name w:val="Quote Char"/>
    <w:basedOn w:val="DefaultParagraphFont"/>
    <w:link w:val="Quote"/>
    <w:uiPriority w:val="29"/>
    <w:rsid w:val="008C1BF7"/>
    <w:rPr>
      <w:rFonts w:eastAsia="Times New Roman" w:cstheme="minorHAnsi"/>
      <w:i/>
      <w:iCs/>
      <w:color w:val="404040" w:themeColor="text1" w:themeTint="BF"/>
      <w:sz w:val="24"/>
      <w:szCs w:val="24"/>
      <w:lang w:val="en-AU" w:eastAsia="en-AU"/>
    </w:rPr>
  </w:style>
  <w:style w:type="paragraph" w:styleId="Salutation">
    <w:name w:val="Salutation"/>
    <w:basedOn w:val="Normal"/>
    <w:next w:val="Normal"/>
    <w:link w:val="SalutationChar"/>
    <w:uiPriority w:val="99"/>
    <w:semiHidden/>
    <w:unhideWhenUsed/>
    <w:rsid w:val="008C1BF7"/>
    <w:rPr>
      <w:rFonts w:eastAsia="Times New Roman" w:cstheme="minorHAnsi"/>
      <w:szCs w:val="24"/>
      <w:lang w:val="en-AU" w:eastAsia="en-AU"/>
    </w:rPr>
  </w:style>
  <w:style w:type="character" w:customStyle="1" w:styleId="SalutationChar">
    <w:name w:val="Salutation Char"/>
    <w:basedOn w:val="DefaultParagraphFont"/>
    <w:link w:val="Salutation"/>
    <w:uiPriority w:val="99"/>
    <w:semiHidden/>
    <w:rsid w:val="008C1BF7"/>
    <w:rPr>
      <w:rFonts w:eastAsia="Times New Roman" w:cstheme="minorHAnsi"/>
      <w:sz w:val="24"/>
      <w:szCs w:val="24"/>
      <w:lang w:val="en-AU" w:eastAsia="en-AU"/>
    </w:rPr>
  </w:style>
  <w:style w:type="paragraph" w:styleId="Signature">
    <w:name w:val="Signature"/>
    <w:basedOn w:val="Normal"/>
    <w:link w:val="SignatureChar"/>
    <w:uiPriority w:val="99"/>
    <w:semiHidden/>
    <w:unhideWhenUsed/>
    <w:rsid w:val="008C1BF7"/>
    <w:pPr>
      <w:ind w:left="4252"/>
    </w:pPr>
    <w:rPr>
      <w:rFonts w:eastAsia="Times New Roman" w:cstheme="minorHAnsi"/>
      <w:szCs w:val="24"/>
      <w:lang w:val="en-AU" w:eastAsia="en-AU"/>
    </w:rPr>
  </w:style>
  <w:style w:type="character" w:customStyle="1" w:styleId="SignatureChar">
    <w:name w:val="Signature Char"/>
    <w:basedOn w:val="DefaultParagraphFont"/>
    <w:link w:val="Signature"/>
    <w:uiPriority w:val="99"/>
    <w:semiHidden/>
    <w:rsid w:val="008C1BF7"/>
    <w:rPr>
      <w:rFonts w:eastAsia="Times New Roman" w:cstheme="minorHAnsi"/>
      <w:sz w:val="24"/>
      <w:szCs w:val="24"/>
      <w:lang w:val="en-AU" w:eastAsia="en-AU"/>
    </w:rPr>
  </w:style>
  <w:style w:type="paragraph" w:styleId="Subtitle">
    <w:name w:val="Subtitle"/>
    <w:basedOn w:val="Normal"/>
    <w:next w:val="Normal"/>
    <w:link w:val="SubtitleChar"/>
    <w:uiPriority w:val="11"/>
    <w:qFormat/>
    <w:rsid w:val="008C1BF7"/>
    <w:pPr>
      <w:numPr>
        <w:ilvl w:val="1"/>
      </w:numPr>
    </w:pPr>
    <w:rPr>
      <w:color w:val="5A5A5A" w:themeColor="text1" w:themeTint="A5"/>
      <w:spacing w:val="15"/>
      <w:lang w:val="en-AU" w:eastAsia="en-AU"/>
    </w:rPr>
  </w:style>
  <w:style w:type="character" w:customStyle="1" w:styleId="SubtitleChar">
    <w:name w:val="Subtitle Char"/>
    <w:basedOn w:val="DefaultParagraphFont"/>
    <w:link w:val="Subtitle"/>
    <w:uiPriority w:val="11"/>
    <w:rsid w:val="008C1BF7"/>
    <w:rPr>
      <w:color w:val="5A5A5A" w:themeColor="text1" w:themeTint="A5"/>
      <w:spacing w:val="15"/>
      <w:lang w:val="en-AU" w:eastAsia="en-AU"/>
    </w:rPr>
  </w:style>
  <w:style w:type="paragraph" w:styleId="TableofAuthorities">
    <w:name w:val="table of authorities"/>
    <w:basedOn w:val="Normal"/>
    <w:next w:val="Normal"/>
    <w:uiPriority w:val="99"/>
    <w:semiHidden/>
    <w:unhideWhenUsed/>
    <w:rsid w:val="008C1BF7"/>
    <w:pPr>
      <w:ind w:left="240" w:hanging="240"/>
    </w:pPr>
    <w:rPr>
      <w:rFonts w:eastAsia="Times New Roman" w:cstheme="minorHAnsi"/>
      <w:szCs w:val="24"/>
      <w:lang w:val="en-AU" w:eastAsia="en-AU"/>
    </w:rPr>
  </w:style>
  <w:style w:type="paragraph" w:styleId="TableofFigures">
    <w:name w:val="table of figures"/>
    <w:basedOn w:val="Normal"/>
    <w:next w:val="Normal"/>
    <w:autoRedefine/>
    <w:uiPriority w:val="99"/>
    <w:unhideWhenUsed/>
    <w:rsid w:val="00774819"/>
    <w:pPr>
      <w:tabs>
        <w:tab w:val="right" w:leader="dot" w:pos="9350"/>
      </w:tabs>
      <w:spacing w:before="0" w:after="0"/>
    </w:pPr>
    <w:rPr>
      <w:rFonts w:eastAsiaTheme="majorEastAsia"/>
      <w:szCs w:val="24"/>
      <w:lang w:val="en-AU" w:eastAsia="en-AU"/>
    </w:rPr>
  </w:style>
  <w:style w:type="paragraph" w:styleId="TOAHeading">
    <w:name w:val="toa heading"/>
    <w:basedOn w:val="Normal"/>
    <w:next w:val="Normal"/>
    <w:uiPriority w:val="99"/>
    <w:semiHidden/>
    <w:unhideWhenUsed/>
    <w:rsid w:val="008C1BF7"/>
    <w:rPr>
      <w:rFonts w:asciiTheme="majorHAnsi" w:eastAsiaTheme="majorEastAsia" w:hAnsiTheme="majorHAnsi" w:cstheme="majorBidi"/>
      <w:b/>
      <w:bCs/>
      <w:szCs w:val="24"/>
      <w:lang w:val="en-AU" w:eastAsia="en-AU"/>
    </w:rPr>
  </w:style>
  <w:style w:type="paragraph" w:styleId="TOC5">
    <w:name w:val="toc 5"/>
    <w:basedOn w:val="Normal"/>
    <w:next w:val="Normal"/>
    <w:autoRedefine/>
    <w:uiPriority w:val="39"/>
    <w:unhideWhenUsed/>
    <w:rsid w:val="008C1BF7"/>
    <w:pPr>
      <w:spacing w:before="0" w:after="0"/>
      <w:ind w:left="960"/>
    </w:pPr>
    <w:rPr>
      <w:rFonts w:asciiTheme="minorHAnsi" w:hAnsiTheme="minorHAnsi" w:cstheme="minorHAnsi"/>
      <w:sz w:val="20"/>
      <w:szCs w:val="20"/>
    </w:rPr>
  </w:style>
  <w:style w:type="paragraph" w:styleId="TOC6">
    <w:name w:val="toc 6"/>
    <w:basedOn w:val="Normal"/>
    <w:next w:val="Normal"/>
    <w:autoRedefine/>
    <w:uiPriority w:val="39"/>
    <w:unhideWhenUsed/>
    <w:rsid w:val="008C1BF7"/>
    <w:pPr>
      <w:spacing w:before="0" w:after="0"/>
      <w:ind w:left="1200"/>
    </w:pPr>
    <w:rPr>
      <w:rFonts w:asciiTheme="minorHAnsi" w:hAnsiTheme="minorHAnsi" w:cstheme="minorHAnsi"/>
      <w:sz w:val="20"/>
      <w:szCs w:val="20"/>
    </w:rPr>
  </w:style>
  <w:style w:type="paragraph" w:styleId="TOC7">
    <w:name w:val="toc 7"/>
    <w:basedOn w:val="Normal"/>
    <w:next w:val="Normal"/>
    <w:autoRedefine/>
    <w:uiPriority w:val="39"/>
    <w:unhideWhenUsed/>
    <w:rsid w:val="008C1BF7"/>
    <w:pPr>
      <w:spacing w:before="0" w:after="0"/>
      <w:ind w:left="1440"/>
    </w:pPr>
    <w:rPr>
      <w:rFonts w:asciiTheme="minorHAnsi" w:hAnsiTheme="minorHAnsi" w:cstheme="minorHAnsi"/>
      <w:sz w:val="20"/>
      <w:szCs w:val="20"/>
    </w:rPr>
  </w:style>
  <w:style w:type="paragraph" w:styleId="TOC8">
    <w:name w:val="toc 8"/>
    <w:basedOn w:val="Normal"/>
    <w:next w:val="Normal"/>
    <w:autoRedefine/>
    <w:uiPriority w:val="39"/>
    <w:unhideWhenUsed/>
    <w:rsid w:val="008C1BF7"/>
    <w:pPr>
      <w:spacing w:before="0" w:after="0"/>
      <w:ind w:left="1680"/>
    </w:pPr>
    <w:rPr>
      <w:rFonts w:asciiTheme="minorHAnsi" w:hAnsiTheme="minorHAnsi" w:cstheme="minorHAnsi"/>
      <w:sz w:val="20"/>
      <w:szCs w:val="20"/>
    </w:rPr>
  </w:style>
  <w:style w:type="paragraph" w:styleId="TOC9">
    <w:name w:val="toc 9"/>
    <w:basedOn w:val="Normal"/>
    <w:next w:val="Normal"/>
    <w:autoRedefine/>
    <w:uiPriority w:val="39"/>
    <w:unhideWhenUsed/>
    <w:rsid w:val="008C1BF7"/>
    <w:pPr>
      <w:spacing w:before="0" w:after="0"/>
      <w:ind w:left="1920"/>
    </w:pPr>
    <w:rPr>
      <w:rFonts w:asciiTheme="minorHAnsi" w:hAnsiTheme="minorHAnsi" w:cstheme="minorHAnsi"/>
      <w:sz w:val="20"/>
      <w:szCs w:val="20"/>
    </w:rPr>
  </w:style>
  <w:style w:type="paragraph" w:customStyle="1" w:styleId="Default">
    <w:name w:val="Default"/>
    <w:rsid w:val="008C1BF7"/>
    <w:pPr>
      <w:autoSpaceDE w:val="0"/>
      <w:autoSpaceDN w:val="0"/>
      <w:adjustRightInd w:val="0"/>
      <w:spacing w:after="0" w:line="240" w:lineRule="auto"/>
    </w:pPr>
    <w:rPr>
      <w:rFonts w:ascii="Times New Roman" w:hAnsi="Times New Roman" w:cs="Times New Roman"/>
      <w:color w:val="000000"/>
      <w:sz w:val="24"/>
      <w:szCs w:val="24"/>
    </w:rPr>
  </w:style>
  <w:style w:type="character" w:customStyle="1" w:styleId="html-italic">
    <w:name w:val="html-italic"/>
    <w:basedOn w:val="DefaultParagraphFont"/>
    <w:rsid w:val="008C1BF7"/>
  </w:style>
  <w:style w:type="character" w:customStyle="1" w:styleId="UnresolvedMention1">
    <w:name w:val="Unresolved Mention1"/>
    <w:basedOn w:val="DefaultParagraphFont"/>
    <w:uiPriority w:val="99"/>
    <w:semiHidden/>
    <w:unhideWhenUsed/>
    <w:rsid w:val="008C1BF7"/>
    <w:rPr>
      <w:color w:val="605E5C"/>
      <w:shd w:val="clear" w:color="auto" w:fill="E1DFDD"/>
    </w:rPr>
  </w:style>
  <w:style w:type="paragraph" w:styleId="Revision">
    <w:name w:val="Revision"/>
    <w:hidden/>
    <w:uiPriority w:val="99"/>
    <w:semiHidden/>
    <w:rsid w:val="008C1BF7"/>
    <w:pPr>
      <w:spacing w:after="0" w:line="240" w:lineRule="auto"/>
    </w:pPr>
    <w:rPr>
      <w:rFonts w:eastAsia="Times New Roman" w:cstheme="minorHAnsi"/>
      <w:sz w:val="24"/>
      <w:szCs w:val="24"/>
      <w:lang w:val="en-AU" w:eastAsia="en-AU"/>
    </w:rPr>
  </w:style>
  <w:style w:type="character" w:styleId="FollowedHyperlink">
    <w:name w:val="FollowedHyperlink"/>
    <w:basedOn w:val="DefaultParagraphFont"/>
    <w:uiPriority w:val="99"/>
    <w:semiHidden/>
    <w:unhideWhenUsed/>
    <w:rsid w:val="009E4F1A"/>
    <w:rPr>
      <w:color w:val="954F72" w:themeColor="followedHyperlink"/>
      <w:u w:val="single"/>
    </w:rPr>
  </w:style>
  <w:style w:type="character" w:customStyle="1" w:styleId="jlqj4b">
    <w:name w:val="jlqj4b"/>
    <w:basedOn w:val="DefaultParagraphFont"/>
    <w:rsid w:val="00853440"/>
  </w:style>
  <w:style w:type="table" w:styleId="TableGridLight">
    <w:name w:val="Grid Table Light"/>
    <w:basedOn w:val="TableNormal"/>
    <w:uiPriority w:val="40"/>
    <w:rsid w:val="00F35DC4"/>
    <w:pPr>
      <w:spacing w:after="0" w:line="240" w:lineRule="auto"/>
    </w:pPr>
    <w:tblPr>
      <w:tblInd w:w="0" w:type="nil"/>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styleId="Strong">
    <w:name w:val="Strong"/>
    <w:basedOn w:val="DefaultParagraphFont"/>
    <w:uiPriority w:val="22"/>
    <w:qFormat/>
    <w:rsid w:val="00BA7145"/>
    <w:rPr>
      <w:b/>
      <w:bCs/>
    </w:rPr>
  </w:style>
  <w:style w:type="character" w:customStyle="1" w:styleId="nlmstring-name">
    <w:name w:val="nlm_string-name"/>
    <w:basedOn w:val="DefaultParagraphFont"/>
    <w:rsid w:val="00627D16"/>
  </w:style>
  <w:style w:type="character" w:customStyle="1" w:styleId="italic">
    <w:name w:val="italic"/>
    <w:basedOn w:val="DefaultParagraphFont"/>
    <w:rsid w:val="00DE57F8"/>
  </w:style>
  <w:style w:type="paragraph" w:customStyle="1" w:styleId="frfield">
    <w:name w:val="fr_field"/>
    <w:basedOn w:val="Normal"/>
    <w:rsid w:val="00DE57F8"/>
    <w:pPr>
      <w:spacing w:before="100" w:beforeAutospacing="1" w:after="100" w:afterAutospacing="1"/>
    </w:pPr>
    <w:rPr>
      <w:rFonts w:eastAsia="Times New Roman"/>
      <w:szCs w:val="24"/>
      <w:lang w:val="nb-NO" w:eastAsia="nb-NO"/>
    </w:rPr>
  </w:style>
  <w:style w:type="character" w:customStyle="1" w:styleId="frlabel">
    <w:name w:val="fr_label"/>
    <w:basedOn w:val="DefaultParagraphFont"/>
    <w:rsid w:val="00DE57F8"/>
  </w:style>
  <w:style w:type="character" w:customStyle="1" w:styleId="UnresolvedMention2">
    <w:name w:val="Unresolved Mention2"/>
    <w:basedOn w:val="DefaultParagraphFont"/>
    <w:uiPriority w:val="99"/>
    <w:semiHidden/>
    <w:unhideWhenUsed/>
    <w:rsid w:val="00DE57F8"/>
    <w:rPr>
      <w:color w:val="605E5C"/>
      <w:shd w:val="clear" w:color="auto" w:fill="E1DFDD"/>
    </w:rPr>
  </w:style>
  <w:style w:type="character" w:customStyle="1" w:styleId="A2">
    <w:name w:val="A2"/>
    <w:uiPriority w:val="99"/>
    <w:rsid w:val="00D3302C"/>
    <w:rPr>
      <w:rFonts w:ascii="Minion Pro" w:hAnsi="Minion Pro" w:cs="Minion Pro" w:hint="default"/>
      <w:color w:val="000000"/>
      <w:sz w:val="11"/>
      <w:szCs w:val="11"/>
    </w:rPr>
  </w:style>
  <w:style w:type="paragraph" w:customStyle="1" w:styleId="texttext3evx1j">
    <w:name w:val="text__text___3evx1j"/>
    <w:basedOn w:val="Normal"/>
    <w:rsid w:val="00444199"/>
    <w:pPr>
      <w:spacing w:before="100" w:beforeAutospacing="1" w:after="100" w:afterAutospacing="1"/>
    </w:pPr>
    <w:rPr>
      <w:rFonts w:eastAsia="Times New Roman"/>
      <w:szCs w:val="24"/>
      <w:lang w:val="en-US" w:bidi="he-IL"/>
    </w:rPr>
  </w:style>
  <w:style w:type="character" w:customStyle="1" w:styleId="table-captionlabel">
    <w:name w:val="table-caption__label"/>
    <w:basedOn w:val="DefaultParagraphFont"/>
    <w:rsid w:val="006559D0"/>
  </w:style>
  <w:style w:type="character" w:customStyle="1" w:styleId="A13">
    <w:name w:val="A13"/>
    <w:uiPriority w:val="99"/>
    <w:rsid w:val="006559D0"/>
    <w:rPr>
      <w:rFonts w:ascii="NKARVQ+NewsGothicStd" w:hAnsi="NKARVQ+NewsGothicStd" w:cs="NKARVQ+NewsGothicStd" w:hint="default"/>
      <w:color w:val="000000"/>
      <w:sz w:val="16"/>
      <w:szCs w:val="16"/>
    </w:rPr>
  </w:style>
  <w:style w:type="character" w:customStyle="1" w:styleId="titleauthoretc">
    <w:name w:val="titleauthoretc"/>
    <w:basedOn w:val="DefaultParagraphFont"/>
    <w:rsid w:val="006559D0"/>
  </w:style>
  <w:style w:type="character" w:styleId="FootnoteReference">
    <w:name w:val="footnote reference"/>
    <w:basedOn w:val="DefaultParagraphFont"/>
    <w:uiPriority w:val="99"/>
    <w:unhideWhenUsed/>
    <w:rsid w:val="00834E03"/>
    <w:rPr>
      <w:vertAlign w:val="superscript"/>
    </w:rPr>
  </w:style>
  <w:style w:type="character" w:customStyle="1" w:styleId="UnresolvedMention3">
    <w:name w:val="Unresolved Mention3"/>
    <w:basedOn w:val="DefaultParagraphFont"/>
    <w:uiPriority w:val="99"/>
    <w:semiHidden/>
    <w:unhideWhenUsed/>
    <w:rsid w:val="00250F3A"/>
    <w:rPr>
      <w:color w:val="605E5C"/>
      <w:shd w:val="clear" w:color="auto" w:fill="E1DFDD"/>
    </w:rPr>
  </w:style>
  <w:style w:type="character" w:styleId="EndnoteReference">
    <w:name w:val="endnote reference"/>
    <w:basedOn w:val="DefaultParagraphFont"/>
    <w:uiPriority w:val="99"/>
    <w:semiHidden/>
    <w:unhideWhenUsed/>
    <w:rsid w:val="00306D4F"/>
    <w:rPr>
      <w:vertAlign w:val="superscript"/>
    </w:rPr>
  </w:style>
  <w:style w:type="character" w:customStyle="1" w:styleId="UnresolvedMention4">
    <w:name w:val="Unresolved Mention4"/>
    <w:basedOn w:val="DefaultParagraphFont"/>
    <w:uiPriority w:val="99"/>
    <w:semiHidden/>
    <w:unhideWhenUsed/>
    <w:rsid w:val="00073072"/>
    <w:rPr>
      <w:color w:val="605E5C"/>
      <w:shd w:val="clear" w:color="auto" w:fill="E1DFDD"/>
    </w:rPr>
  </w:style>
  <w:style w:type="character" w:customStyle="1" w:styleId="apple-converted-space">
    <w:name w:val="apple-converted-space"/>
    <w:basedOn w:val="DefaultParagraphFont"/>
    <w:rsid w:val="00CB4FE5"/>
  </w:style>
  <w:style w:type="character" w:customStyle="1" w:styleId="UnresolvedMention5">
    <w:name w:val="Unresolved Mention5"/>
    <w:basedOn w:val="DefaultParagraphFont"/>
    <w:uiPriority w:val="99"/>
    <w:semiHidden/>
    <w:unhideWhenUsed/>
    <w:rsid w:val="001976DF"/>
    <w:rPr>
      <w:color w:val="605E5C"/>
      <w:shd w:val="clear" w:color="auto" w:fill="E1DFDD"/>
    </w:rPr>
  </w:style>
  <w:style w:type="character" w:customStyle="1" w:styleId="author">
    <w:name w:val="author"/>
    <w:basedOn w:val="DefaultParagraphFont"/>
    <w:rsid w:val="00D65FEB"/>
  </w:style>
  <w:style w:type="character" w:customStyle="1" w:styleId="pubyear">
    <w:name w:val="pubyear"/>
    <w:basedOn w:val="DefaultParagraphFont"/>
    <w:rsid w:val="00D65FEB"/>
  </w:style>
  <w:style w:type="character" w:customStyle="1" w:styleId="articletitle">
    <w:name w:val="articletitle"/>
    <w:basedOn w:val="DefaultParagraphFont"/>
    <w:rsid w:val="00D65FEB"/>
  </w:style>
  <w:style w:type="character" w:customStyle="1" w:styleId="vol">
    <w:name w:val="vol"/>
    <w:basedOn w:val="DefaultParagraphFont"/>
    <w:rsid w:val="00D65FEB"/>
  </w:style>
  <w:style w:type="character" w:customStyle="1" w:styleId="pagefirst">
    <w:name w:val="pagefirst"/>
    <w:basedOn w:val="DefaultParagraphFont"/>
    <w:rsid w:val="00D65FEB"/>
  </w:style>
  <w:style w:type="character" w:customStyle="1" w:styleId="pagelast">
    <w:name w:val="pagelast"/>
    <w:basedOn w:val="DefaultParagraphFont"/>
    <w:rsid w:val="00D65FEB"/>
  </w:style>
  <w:style w:type="character" w:customStyle="1" w:styleId="journaltitle">
    <w:name w:val="journaltitle"/>
    <w:basedOn w:val="DefaultParagraphFont"/>
    <w:rsid w:val="00D65FEB"/>
  </w:style>
  <w:style w:type="character" w:customStyle="1" w:styleId="booktitle">
    <w:name w:val="booktitle"/>
    <w:basedOn w:val="DefaultParagraphFont"/>
    <w:rsid w:val="00D65FEB"/>
  </w:style>
  <w:style w:type="character" w:customStyle="1" w:styleId="publisherlocation">
    <w:name w:val="publisherlocation"/>
    <w:basedOn w:val="DefaultParagraphFont"/>
    <w:rsid w:val="00D65FEB"/>
  </w:style>
  <w:style w:type="character" w:customStyle="1" w:styleId="hlfld-contribauthor">
    <w:name w:val="hlfld-contribauthor"/>
    <w:basedOn w:val="DefaultParagraphFont"/>
    <w:rsid w:val="008D6F68"/>
  </w:style>
  <w:style w:type="character" w:customStyle="1" w:styleId="nlmgiven-names">
    <w:name w:val="nlm_given-names"/>
    <w:basedOn w:val="DefaultParagraphFont"/>
    <w:rsid w:val="008D6F68"/>
  </w:style>
  <w:style w:type="character" w:customStyle="1" w:styleId="nlmyear">
    <w:name w:val="nlm_year"/>
    <w:basedOn w:val="DefaultParagraphFont"/>
    <w:rsid w:val="008D6F68"/>
  </w:style>
  <w:style w:type="character" w:customStyle="1" w:styleId="nlmarticle-title">
    <w:name w:val="nlm_article-title"/>
    <w:basedOn w:val="DefaultParagraphFont"/>
    <w:rsid w:val="008D6F68"/>
  </w:style>
  <w:style w:type="character" w:customStyle="1" w:styleId="nlmfpage">
    <w:name w:val="nlm_fpage"/>
    <w:basedOn w:val="DefaultParagraphFont"/>
    <w:rsid w:val="008D6F68"/>
  </w:style>
  <w:style w:type="character" w:customStyle="1" w:styleId="nlmlpage">
    <w:name w:val="nlm_lpage"/>
    <w:basedOn w:val="DefaultParagraphFont"/>
    <w:rsid w:val="008D6F68"/>
  </w:style>
  <w:style w:type="character" w:customStyle="1" w:styleId="nlmpub-id">
    <w:name w:val="nlm_pub-id"/>
    <w:basedOn w:val="DefaultParagraphFont"/>
    <w:rsid w:val="008D6F68"/>
  </w:style>
  <w:style w:type="character" w:customStyle="1" w:styleId="editor">
    <w:name w:val="editor"/>
    <w:basedOn w:val="DefaultParagraphFont"/>
    <w:rsid w:val="009C3225"/>
  </w:style>
  <w:style w:type="character" w:customStyle="1" w:styleId="edition">
    <w:name w:val="edition"/>
    <w:basedOn w:val="DefaultParagraphFont"/>
    <w:rsid w:val="009C3225"/>
  </w:style>
  <w:style w:type="paragraph" w:customStyle="1" w:styleId="c-reading-companionreference-citation">
    <w:name w:val="c-reading-companion__reference-citation"/>
    <w:basedOn w:val="Normal"/>
    <w:rsid w:val="009C3225"/>
    <w:pPr>
      <w:spacing w:before="100" w:beforeAutospacing="1" w:after="100" w:afterAutospacing="1"/>
    </w:pPr>
    <w:rPr>
      <w:rFonts w:eastAsia="Times New Roman"/>
      <w:szCs w:val="24"/>
      <w:lang w:val="en-US"/>
    </w:rPr>
  </w:style>
  <w:style w:type="character" w:customStyle="1" w:styleId="chaptertitle">
    <w:name w:val="chaptertitle"/>
    <w:basedOn w:val="DefaultParagraphFont"/>
    <w:rsid w:val="009C3225"/>
  </w:style>
  <w:style w:type="character" w:customStyle="1" w:styleId="UnresolvedMention6">
    <w:name w:val="Unresolved Mention6"/>
    <w:basedOn w:val="DefaultParagraphFont"/>
    <w:uiPriority w:val="99"/>
    <w:semiHidden/>
    <w:unhideWhenUsed/>
    <w:rsid w:val="00547BBA"/>
    <w:rPr>
      <w:color w:val="605E5C"/>
      <w:shd w:val="clear" w:color="auto" w:fill="E1DFDD"/>
    </w:rPr>
  </w:style>
  <w:style w:type="character" w:customStyle="1" w:styleId="reflink-block">
    <w:name w:val="reflink-block"/>
    <w:basedOn w:val="DefaultParagraphFont"/>
    <w:rsid w:val="001F067A"/>
  </w:style>
  <w:style w:type="character" w:customStyle="1" w:styleId="ListParagraphChar">
    <w:name w:val="List Paragraph Char"/>
    <w:basedOn w:val="DefaultParagraphFont"/>
    <w:link w:val="ListParagraph"/>
    <w:uiPriority w:val="34"/>
    <w:locked/>
    <w:rsid w:val="00164932"/>
    <w:rPr>
      <w:rFonts w:ascii="Times New Roman" w:hAnsi="Times New Roman" w:cs="Times New Roman"/>
      <w:sz w:val="24"/>
      <w:lang w:val="en-NZ" w:eastAsia="ja-JP"/>
    </w:rPr>
  </w:style>
  <w:style w:type="character" w:customStyle="1" w:styleId="UnresolvedMention7">
    <w:name w:val="Unresolved Mention7"/>
    <w:basedOn w:val="DefaultParagraphFont"/>
    <w:uiPriority w:val="99"/>
    <w:semiHidden/>
    <w:unhideWhenUsed/>
    <w:rsid w:val="0080052F"/>
    <w:rPr>
      <w:color w:val="605E5C"/>
      <w:shd w:val="clear" w:color="auto" w:fill="E1DFDD"/>
    </w:rPr>
  </w:style>
  <w:style w:type="character" w:customStyle="1" w:styleId="cf01">
    <w:name w:val="cf01"/>
    <w:basedOn w:val="DefaultParagraphFont"/>
    <w:rsid w:val="007E63AE"/>
    <w:rPr>
      <w:rFonts w:ascii="Segoe UI" w:hAnsi="Segoe UI" w:cs="Segoe UI" w:hint="default"/>
      <w:sz w:val="18"/>
      <w:szCs w:val="18"/>
    </w:rPr>
  </w:style>
  <w:style w:type="table" w:customStyle="1" w:styleId="10">
    <w:name w:val="1"/>
    <w:basedOn w:val="TableNormal"/>
    <w:rsid w:val="0020303C"/>
    <w:pPr>
      <w:spacing w:before="120" w:after="0" w:line="240" w:lineRule="auto"/>
      <w:jc w:val="both"/>
    </w:pPr>
    <w:rPr>
      <w:rFonts w:ascii="Times New Roman" w:eastAsia="Times New Roman" w:hAnsi="Times New Roman" w:cs="Times New Roman"/>
      <w:sz w:val="20"/>
      <w:szCs w:val="20"/>
      <w:lang w:val="en-AU" w:eastAsia="de-DE"/>
    </w:rPr>
    <w:tblPr>
      <w:tblStyleRowBandSize w:val="1"/>
      <w:tblStyleColBandSize w:val="1"/>
      <w:tblInd w:w="0" w:type="nil"/>
      <w:tblCellMar>
        <w:left w:w="115" w:type="dxa"/>
        <w:right w:w="115" w:type="dxa"/>
      </w:tblCellMar>
    </w:tblPr>
  </w:style>
  <w:style w:type="character" w:customStyle="1" w:styleId="UnresolvedMention8">
    <w:name w:val="Unresolved Mention8"/>
    <w:basedOn w:val="DefaultParagraphFont"/>
    <w:uiPriority w:val="99"/>
    <w:semiHidden/>
    <w:unhideWhenUsed/>
    <w:rsid w:val="008742BC"/>
    <w:rPr>
      <w:color w:val="605E5C"/>
      <w:shd w:val="clear" w:color="auto" w:fill="E1DFDD"/>
    </w:rPr>
  </w:style>
  <w:style w:type="character" w:styleId="UnresolvedMention">
    <w:name w:val="Unresolved Mention"/>
    <w:basedOn w:val="DefaultParagraphFont"/>
    <w:uiPriority w:val="99"/>
    <w:semiHidden/>
    <w:unhideWhenUsed/>
    <w:rsid w:val="00787CD0"/>
    <w:rPr>
      <w:color w:val="605E5C"/>
      <w:shd w:val="clear" w:color="auto" w:fill="E1DFDD"/>
    </w:rPr>
  </w:style>
  <w:style w:type="character" w:styleId="PageNumber">
    <w:name w:val="page number"/>
    <w:basedOn w:val="DefaultParagraphFont"/>
    <w:uiPriority w:val="99"/>
    <w:semiHidden/>
    <w:unhideWhenUsed/>
    <w:rsid w:val="003412C4"/>
  </w:style>
  <w:style w:type="numbering" w:customStyle="1" w:styleId="CurrentList1">
    <w:name w:val="Current List1"/>
    <w:uiPriority w:val="99"/>
    <w:rsid w:val="003713E4"/>
    <w:pPr>
      <w:numPr>
        <w:numId w:val="13"/>
      </w:numPr>
    </w:pPr>
  </w:style>
  <w:style w:type="numbering" w:customStyle="1" w:styleId="CurrentList2">
    <w:name w:val="Current List2"/>
    <w:uiPriority w:val="99"/>
    <w:rsid w:val="00AC4811"/>
    <w:pPr>
      <w:numPr>
        <w:numId w:val="18"/>
      </w:numPr>
    </w:pPr>
  </w:style>
  <w:style w:type="numbering" w:customStyle="1" w:styleId="CurrentList3">
    <w:name w:val="Current List3"/>
    <w:uiPriority w:val="99"/>
    <w:rsid w:val="001B0F72"/>
    <w:pPr>
      <w:numPr>
        <w:numId w:val="19"/>
      </w:numPr>
    </w:pPr>
  </w:style>
  <w:style w:type="numbering" w:customStyle="1" w:styleId="CurrentList4">
    <w:name w:val="Current List4"/>
    <w:uiPriority w:val="99"/>
    <w:rsid w:val="001B0F72"/>
    <w:pPr>
      <w:numPr>
        <w:numId w:val="20"/>
      </w:numPr>
    </w:pPr>
  </w:style>
  <w:style w:type="numbering" w:customStyle="1" w:styleId="CurrentList5">
    <w:name w:val="Current List5"/>
    <w:uiPriority w:val="99"/>
    <w:rsid w:val="001B0F72"/>
    <w:pPr>
      <w:numPr>
        <w:numId w:val="21"/>
      </w:numPr>
    </w:pPr>
  </w:style>
  <w:style w:type="numbering" w:customStyle="1" w:styleId="CurrentList6">
    <w:name w:val="Current List6"/>
    <w:uiPriority w:val="99"/>
    <w:rsid w:val="005245F4"/>
    <w:pPr>
      <w:numPr>
        <w:numId w:val="22"/>
      </w:numPr>
    </w:pPr>
  </w:style>
  <w:style w:type="numbering" w:customStyle="1" w:styleId="CurrentList7">
    <w:name w:val="Current List7"/>
    <w:uiPriority w:val="99"/>
    <w:rsid w:val="005245F4"/>
    <w:pPr>
      <w:numPr>
        <w:numId w:val="23"/>
      </w:numPr>
    </w:pPr>
  </w:style>
  <w:style w:type="numbering" w:customStyle="1" w:styleId="CurrentList8">
    <w:name w:val="Current List8"/>
    <w:uiPriority w:val="99"/>
    <w:rsid w:val="005245F4"/>
    <w:pPr>
      <w:numPr>
        <w:numId w:val="24"/>
      </w:numPr>
    </w:pPr>
  </w:style>
  <w:style w:type="numbering" w:customStyle="1" w:styleId="CurrentList9">
    <w:name w:val="Current List9"/>
    <w:uiPriority w:val="99"/>
    <w:rsid w:val="005245F4"/>
    <w:pPr>
      <w:numPr>
        <w:numId w:val="25"/>
      </w:numPr>
    </w:pPr>
  </w:style>
  <w:style w:type="numbering" w:customStyle="1" w:styleId="CurrentList10">
    <w:name w:val="Current List10"/>
    <w:uiPriority w:val="99"/>
    <w:rsid w:val="005245F4"/>
    <w:pPr>
      <w:numPr>
        <w:numId w:val="26"/>
      </w:numPr>
    </w:pPr>
  </w:style>
  <w:style w:type="numbering" w:customStyle="1" w:styleId="CurrentList11">
    <w:name w:val="Current List11"/>
    <w:uiPriority w:val="99"/>
    <w:rsid w:val="005245F4"/>
    <w:pPr>
      <w:numPr>
        <w:numId w:val="27"/>
      </w:numPr>
    </w:pPr>
  </w:style>
  <w:style w:type="numbering" w:customStyle="1" w:styleId="CurrentList12">
    <w:name w:val="Current List12"/>
    <w:uiPriority w:val="99"/>
    <w:rsid w:val="000E5F76"/>
    <w:pPr>
      <w:numPr>
        <w:numId w:val="28"/>
      </w:numPr>
    </w:pPr>
  </w:style>
  <w:style w:type="numbering" w:customStyle="1" w:styleId="CurrentList13">
    <w:name w:val="Current List13"/>
    <w:uiPriority w:val="99"/>
    <w:rsid w:val="000E5F76"/>
    <w:pPr>
      <w:numPr>
        <w:numId w:val="29"/>
      </w:numPr>
    </w:pPr>
  </w:style>
  <w:style w:type="numbering" w:customStyle="1" w:styleId="CurrentList14">
    <w:name w:val="Current List14"/>
    <w:uiPriority w:val="99"/>
    <w:rsid w:val="00370C81"/>
    <w:pPr>
      <w:numPr>
        <w:numId w:val="31"/>
      </w:numPr>
    </w:pPr>
  </w:style>
  <w:style w:type="numbering" w:customStyle="1" w:styleId="CurrentList15">
    <w:name w:val="Current List15"/>
    <w:uiPriority w:val="99"/>
    <w:rsid w:val="00370C81"/>
    <w:pPr>
      <w:numPr>
        <w:numId w:val="32"/>
      </w:numPr>
    </w:pPr>
  </w:style>
  <w:style w:type="numbering" w:customStyle="1" w:styleId="CurrentList16">
    <w:name w:val="Current List16"/>
    <w:uiPriority w:val="99"/>
    <w:rsid w:val="0081127F"/>
    <w:pPr>
      <w:numPr>
        <w:numId w:val="33"/>
      </w:numPr>
    </w:pPr>
  </w:style>
  <w:style w:type="numbering" w:customStyle="1" w:styleId="CurrentList17">
    <w:name w:val="Current List17"/>
    <w:uiPriority w:val="99"/>
    <w:rsid w:val="00375B42"/>
    <w:pPr>
      <w:numPr>
        <w:numId w:val="34"/>
      </w:numPr>
    </w:pPr>
  </w:style>
  <w:style w:type="numbering" w:customStyle="1" w:styleId="CurrentList18">
    <w:name w:val="Current List18"/>
    <w:uiPriority w:val="99"/>
    <w:rsid w:val="00CA0C6B"/>
    <w:pPr>
      <w:numPr>
        <w:numId w:val="35"/>
      </w:numPr>
    </w:pPr>
  </w:style>
  <w:style w:type="numbering" w:customStyle="1" w:styleId="CurrentList19">
    <w:name w:val="Current List19"/>
    <w:uiPriority w:val="99"/>
    <w:rsid w:val="007472D5"/>
    <w:pPr>
      <w:numPr>
        <w:numId w:val="37"/>
      </w:numPr>
    </w:pPr>
  </w:style>
  <w:style w:type="paragraph" w:customStyle="1" w:styleId="CH1">
    <w:name w:val="CH1"/>
    <w:basedOn w:val="Normal-pool"/>
    <w:next w:val="CH2"/>
    <w:qFormat/>
    <w:rsid w:val="00BD2CA7"/>
    <w:pPr>
      <w:keepNext/>
      <w:keepLines/>
      <w:tabs>
        <w:tab w:val="clear" w:pos="624"/>
        <w:tab w:val="right" w:pos="851"/>
      </w:tabs>
      <w:suppressAutoHyphens/>
      <w:spacing w:before="240" w:after="120"/>
      <w:ind w:left="1247" w:right="284" w:hanging="1247"/>
    </w:pPr>
    <w:rPr>
      <w:b/>
      <w:sz w:val="28"/>
      <w:szCs w:val="28"/>
    </w:rPr>
  </w:style>
  <w:style w:type="paragraph" w:customStyle="1" w:styleId="CH2">
    <w:name w:val="CH2"/>
    <w:basedOn w:val="Normal-pool"/>
    <w:next w:val="Normalnumber"/>
    <w:link w:val="CH2Char"/>
    <w:qFormat/>
    <w:rsid w:val="00BD2CA7"/>
    <w:pPr>
      <w:keepNext/>
      <w:keepLines/>
      <w:tabs>
        <w:tab w:val="clear" w:pos="624"/>
        <w:tab w:val="right" w:pos="851"/>
      </w:tabs>
      <w:suppressAutoHyphens/>
      <w:spacing w:before="240" w:after="120"/>
      <w:ind w:left="1247" w:right="284" w:hanging="1247"/>
    </w:pPr>
    <w:rPr>
      <w:b/>
      <w:sz w:val="24"/>
      <w:szCs w:val="24"/>
    </w:rPr>
  </w:style>
  <w:style w:type="paragraph" w:customStyle="1" w:styleId="Normal-pool">
    <w:name w:val="Normal-pool"/>
    <w:link w:val="Normal-poolChar"/>
    <w:qFormat/>
    <w:rsid w:val="00BD2CA7"/>
    <w:pPr>
      <w:tabs>
        <w:tab w:val="left" w:pos="624"/>
        <w:tab w:val="left" w:pos="1247"/>
        <w:tab w:val="left" w:pos="1814"/>
        <w:tab w:val="left" w:pos="2381"/>
        <w:tab w:val="left" w:pos="2948"/>
        <w:tab w:val="left" w:pos="3515"/>
        <w:tab w:val="left" w:pos="4082"/>
      </w:tabs>
      <w:spacing w:after="0" w:line="240" w:lineRule="auto"/>
    </w:pPr>
    <w:rPr>
      <w:rFonts w:ascii="Times New Roman" w:eastAsia="Times New Roman" w:hAnsi="Times New Roman" w:cs="Times New Roman"/>
      <w:sz w:val="20"/>
      <w:szCs w:val="20"/>
      <w:lang w:eastAsia="en-US"/>
    </w:rPr>
  </w:style>
  <w:style w:type="paragraph" w:customStyle="1" w:styleId="AATitle">
    <w:name w:val="AA_Title"/>
    <w:basedOn w:val="Normal-pool"/>
    <w:qFormat/>
    <w:rsid w:val="00BD2CA7"/>
    <w:pPr>
      <w:keepNext/>
      <w:keepLines/>
      <w:tabs>
        <w:tab w:val="clear" w:pos="1247"/>
        <w:tab w:val="clear" w:pos="1814"/>
        <w:tab w:val="clear" w:pos="2381"/>
        <w:tab w:val="clear" w:pos="2948"/>
        <w:tab w:val="clear" w:pos="3515"/>
        <w:tab w:val="clear" w:pos="4082"/>
        <w:tab w:val="right" w:pos="2920"/>
      </w:tabs>
      <w:suppressAutoHyphens/>
    </w:pPr>
    <w:rPr>
      <w:b/>
    </w:rPr>
  </w:style>
  <w:style w:type="paragraph" w:customStyle="1" w:styleId="AATitle2">
    <w:name w:val="AA_Title2"/>
    <w:basedOn w:val="AATitle"/>
    <w:qFormat/>
    <w:rsid w:val="00BD2CA7"/>
    <w:pPr>
      <w:spacing w:before="120" w:after="120"/>
    </w:pPr>
  </w:style>
  <w:style w:type="paragraph" w:customStyle="1" w:styleId="BBTitle">
    <w:name w:val="BB_Title"/>
    <w:basedOn w:val="Normal-pool"/>
    <w:qFormat/>
    <w:rsid w:val="00BD2CA7"/>
    <w:pPr>
      <w:keepNext/>
      <w:keepLines/>
      <w:suppressAutoHyphens/>
      <w:spacing w:before="320" w:after="240"/>
      <w:ind w:left="1247" w:right="567"/>
    </w:pPr>
    <w:rPr>
      <w:b/>
      <w:sz w:val="28"/>
      <w:szCs w:val="28"/>
    </w:rPr>
  </w:style>
  <w:style w:type="numbering" w:customStyle="1" w:styleId="Normallist">
    <w:name w:val="Normal_list"/>
    <w:basedOn w:val="NoList"/>
    <w:rsid w:val="00BD2CA7"/>
    <w:pPr>
      <w:numPr>
        <w:numId w:val="38"/>
      </w:numPr>
    </w:pPr>
  </w:style>
  <w:style w:type="paragraph" w:customStyle="1" w:styleId="Normalnumber">
    <w:name w:val="Normal_number"/>
    <w:basedOn w:val="Normal"/>
    <w:link w:val="NormalnumberChar"/>
    <w:rsid w:val="00BD2CA7"/>
    <w:pPr>
      <w:numPr>
        <w:numId w:val="38"/>
      </w:numPr>
      <w:tabs>
        <w:tab w:val="left" w:pos="1247"/>
        <w:tab w:val="left" w:pos="1814"/>
        <w:tab w:val="left" w:pos="2381"/>
        <w:tab w:val="left" w:pos="2948"/>
        <w:tab w:val="left" w:pos="3515"/>
        <w:tab w:val="left" w:pos="4082"/>
      </w:tabs>
      <w:spacing w:before="0"/>
    </w:pPr>
    <w:rPr>
      <w:rFonts w:eastAsia="Times New Roman"/>
      <w:sz w:val="20"/>
      <w:szCs w:val="20"/>
      <w:lang w:val="en-US" w:eastAsia="en-US"/>
    </w:rPr>
  </w:style>
  <w:style w:type="character" w:customStyle="1" w:styleId="Normal-poolChar">
    <w:name w:val="Normal-pool Char"/>
    <w:link w:val="Normal-pool"/>
    <w:locked/>
    <w:rsid w:val="00BD2CA7"/>
    <w:rPr>
      <w:rFonts w:ascii="Times New Roman" w:eastAsia="Times New Roman" w:hAnsi="Times New Roman" w:cs="Times New Roman"/>
      <w:sz w:val="20"/>
      <w:szCs w:val="20"/>
      <w:lang w:eastAsia="en-US"/>
    </w:rPr>
  </w:style>
  <w:style w:type="paragraph" w:customStyle="1" w:styleId="AConvName">
    <w:name w:val="A_ConvName"/>
    <w:basedOn w:val="Normal-pool"/>
    <w:next w:val="Normal-pool"/>
    <w:rsid w:val="00BD2CA7"/>
    <w:pPr>
      <w:tabs>
        <w:tab w:val="clear" w:pos="1247"/>
        <w:tab w:val="clear" w:pos="1814"/>
        <w:tab w:val="clear" w:pos="2381"/>
        <w:tab w:val="clear" w:pos="2948"/>
        <w:tab w:val="clear" w:pos="3515"/>
        <w:tab w:val="clear" w:pos="4082"/>
      </w:tabs>
      <w:spacing w:before="120" w:after="240"/>
    </w:pPr>
    <w:rPr>
      <w:rFonts w:ascii="Arial" w:hAnsi="Arial"/>
      <w:b/>
      <w:sz w:val="28"/>
    </w:rPr>
  </w:style>
  <w:style w:type="paragraph" w:customStyle="1" w:styleId="ASymbol">
    <w:name w:val="A_Symbol"/>
    <w:basedOn w:val="Normal-pool"/>
    <w:rsid w:val="00BD2CA7"/>
    <w:pPr>
      <w:tabs>
        <w:tab w:val="clear" w:pos="1247"/>
        <w:tab w:val="clear" w:pos="1814"/>
        <w:tab w:val="clear" w:pos="2381"/>
        <w:tab w:val="clear" w:pos="2948"/>
        <w:tab w:val="clear" w:pos="3515"/>
        <w:tab w:val="clear" w:pos="4082"/>
        <w:tab w:val="right" w:pos="2920"/>
      </w:tabs>
    </w:pPr>
    <w:rPr>
      <w:rFonts w:eastAsia="SimSun"/>
    </w:rPr>
  </w:style>
  <w:style w:type="paragraph" w:customStyle="1" w:styleId="AText">
    <w:name w:val="A_Text"/>
    <w:basedOn w:val="Normal-pool"/>
    <w:rsid w:val="00BD2CA7"/>
    <w:pPr>
      <w:spacing w:before="120" w:after="120"/>
    </w:pPr>
  </w:style>
  <w:style w:type="paragraph" w:customStyle="1" w:styleId="AUnitedNations">
    <w:name w:val="A_United_Nations"/>
    <w:basedOn w:val="Normal-pool"/>
    <w:next w:val="Normal-pool"/>
    <w:rsid w:val="00BD2CA7"/>
    <w:pPr>
      <w:tabs>
        <w:tab w:val="clear" w:pos="1247"/>
        <w:tab w:val="clear" w:pos="1814"/>
        <w:tab w:val="clear" w:pos="2381"/>
        <w:tab w:val="clear" w:pos="2948"/>
        <w:tab w:val="clear" w:pos="3515"/>
        <w:tab w:val="clear" w:pos="4082"/>
      </w:tabs>
      <w:spacing w:before="20" w:after="20"/>
    </w:pPr>
    <w:rPr>
      <w:rFonts w:ascii="Arial" w:hAnsi="Arial" w:cs="Times New Roman Bold"/>
      <w:b/>
      <w:caps/>
      <w:color w:val="000000" w:themeColor="text1"/>
      <w:sz w:val="27"/>
    </w:rPr>
  </w:style>
  <w:style w:type="character" w:customStyle="1" w:styleId="NormalnumberChar">
    <w:name w:val="Normal_number Char"/>
    <w:link w:val="Normalnumber"/>
    <w:rsid w:val="00BD2CA7"/>
    <w:rPr>
      <w:rFonts w:ascii="Times New Roman" w:eastAsia="Times New Roman" w:hAnsi="Times New Roman" w:cs="Times New Roman"/>
      <w:sz w:val="20"/>
      <w:szCs w:val="20"/>
      <w:lang w:eastAsia="en-US"/>
    </w:rPr>
  </w:style>
  <w:style w:type="paragraph" w:customStyle="1" w:styleId="ALogo">
    <w:name w:val="A_Logo"/>
    <w:basedOn w:val="Normal-pool"/>
    <w:link w:val="ALogoChar"/>
    <w:qFormat/>
    <w:rsid w:val="00BD2CA7"/>
    <w:pPr>
      <w:spacing w:before="120" w:after="240"/>
    </w:pPr>
  </w:style>
  <w:style w:type="character" w:customStyle="1" w:styleId="ALogoChar">
    <w:name w:val="A_Logo Char"/>
    <w:basedOn w:val="Normal-poolChar"/>
    <w:link w:val="ALogo"/>
    <w:rsid w:val="00BD2CA7"/>
    <w:rPr>
      <w:rFonts w:ascii="Times New Roman" w:eastAsia="Times New Roman" w:hAnsi="Times New Roman" w:cs="Times New Roman"/>
      <w:sz w:val="20"/>
      <w:szCs w:val="20"/>
      <w:lang w:eastAsia="en-US"/>
    </w:rPr>
  </w:style>
  <w:style w:type="paragraph" w:customStyle="1" w:styleId="ASpacer">
    <w:name w:val="A_Spacer"/>
    <w:basedOn w:val="Normal-pool"/>
    <w:link w:val="ASpacerChar"/>
    <w:qFormat/>
    <w:rsid w:val="00BD2CA7"/>
    <w:rPr>
      <w:sz w:val="2"/>
    </w:rPr>
  </w:style>
  <w:style w:type="character" w:customStyle="1" w:styleId="ASpacerChar">
    <w:name w:val="A_Spacer Char"/>
    <w:basedOn w:val="Normal-poolChar"/>
    <w:link w:val="ASpacer"/>
    <w:rsid w:val="00BD2CA7"/>
    <w:rPr>
      <w:rFonts w:ascii="Times New Roman" w:eastAsia="Times New Roman" w:hAnsi="Times New Roman" w:cs="Times New Roman"/>
      <w:sz w:val="2"/>
      <w:szCs w:val="20"/>
      <w:lang w:eastAsia="en-US"/>
    </w:rPr>
  </w:style>
  <w:style w:type="paragraph" w:customStyle="1" w:styleId="AATitle1">
    <w:name w:val="AA_Title1"/>
    <w:basedOn w:val="AATitle"/>
    <w:qFormat/>
    <w:rsid w:val="00BD2CA7"/>
    <w:rPr>
      <w:b w:val="0"/>
    </w:rPr>
  </w:style>
  <w:style w:type="character" w:customStyle="1" w:styleId="CH2Char">
    <w:name w:val="CH2 Char"/>
    <w:link w:val="CH2"/>
    <w:locked/>
    <w:rsid w:val="00BD2CA7"/>
    <w:rPr>
      <w:rFonts w:ascii="Times New Roman" w:eastAsia="Times New Roman" w:hAnsi="Times New Roman" w:cs="Times New Roman"/>
      <w:b/>
      <w:sz w:val="24"/>
      <w:szCs w:val="24"/>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202967">
      <w:bodyDiv w:val="1"/>
      <w:marLeft w:val="0"/>
      <w:marRight w:val="0"/>
      <w:marTop w:val="0"/>
      <w:marBottom w:val="0"/>
      <w:divBdr>
        <w:top w:val="none" w:sz="0" w:space="0" w:color="auto"/>
        <w:left w:val="none" w:sz="0" w:space="0" w:color="auto"/>
        <w:bottom w:val="none" w:sz="0" w:space="0" w:color="auto"/>
        <w:right w:val="none" w:sz="0" w:space="0" w:color="auto"/>
      </w:divBdr>
    </w:div>
    <w:div w:id="2711081">
      <w:bodyDiv w:val="1"/>
      <w:marLeft w:val="0"/>
      <w:marRight w:val="0"/>
      <w:marTop w:val="0"/>
      <w:marBottom w:val="0"/>
      <w:divBdr>
        <w:top w:val="none" w:sz="0" w:space="0" w:color="auto"/>
        <w:left w:val="none" w:sz="0" w:space="0" w:color="auto"/>
        <w:bottom w:val="none" w:sz="0" w:space="0" w:color="auto"/>
        <w:right w:val="none" w:sz="0" w:space="0" w:color="auto"/>
      </w:divBdr>
    </w:div>
    <w:div w:id="6031303">
      <w:bodyDiv w:val="1"/>
      <w:marLeft w:val="0"/>
      <w:marRight w:val="0"/>
      <w:marTop w:val="0"/>
      <w:marBottom w:val="0"/>
      <w:divBdr>
        <w:top w:val="none" w:sz="0" w:space="0" w:color="auto"/>
        <w:left w:val="none" w:sz="0" w:space="0" w:color="auto"/>
        <w:bottom w:val="none" w:sz="0" w:space="0" w:color="auto"/>
        <w:right w:val="none" w:sz="0" w:space="0" w:color="auto"/>
      </w:divBdr>
    </w:div>
    <w:div w:id="12651496">
      <w:bodyDiv w:val="1"/>
      <w:marLeft w:val="0"/>
      <w:marRight w:val="0"/>
      <w:marTop w:val="0"/>
      <w:marBottom w:val="0"/>
      <w:divBdr>
        <w:top w:val="none" w:sz="0" w:space="0" w:color="auto"/>
        <w:left w:val="none" w:sz="0" w:space="0" w:color="auto"/>
        <w:bottom w:val="none" w:sz="0" w:space="0" w:color="auto"/>
        <w:right w:val="none" w:sz="0" w:space="0" w:color="auto"/>
      </w:divBdr>
    </w:div>
    <w:div w:id="16007458">
      <w:bodyDiv w:val="1"/>
      <w:marLeft w:val="0"/>
      <w:marRight w:val="0"/>
      <w:marTop w:val="0"/>
      <w:marBottom w:val="0"/>
      <w:divBdr>
        <w:top w:val="none" w:sz="0" w:space="0" w:color="auto"/>
        <w:left w:val="none" w:sz="0" w:space="0" w:color="auto"/>
        <w:bottom w:val="none" w:sz="0" w:space="0" w:color="auto"/>
        <w:right w:val="none" w:sz="0" w:space="0" w:color="auto"/>
      </w:divBdr>
    </w:div>
    <w:div w:id="16545847">
      <w:bodyDiv w:val="1"/>
      <w:marLeft w:val="0"/>
      <w:marRight w:val="0"/>
      <w:marTop w:val="0"/>
      <w:marBottom w:val="0"/>
      <w:divBdr>
        <w:top w:val="none" w:sz="0" w:space="0" w:color="auto"/>
        <w:left w:val="none" w:sz="0" w:space="0" w:color="auto"/>
        <w:bottom w:val="none" w:sz="0" w:space="0" w:color="auto"/>
        <w:right w:val="none" w:sz="0" w:space="0" w:color="auto"/>
      </w:divBdr>
    </w:div>
    <w:div w:id="28141945">
      <w:bodyDiv w:val="1"/>
      <w:marLeft w:val="0"/>
      <w:marRight w:val="0"/>
      <w:marTop w:val="0"/>
      <w:marBottom w:val="0"/>
      <w:divBdr>
        <w:top w:val="none" w:sz="0" w:space="0" w:color="auto"/>
        <w:left w:val="none" w:sz="0" w:space="0" w:color="auto"/>
        <w:bottom w:val="none" w:sz="0" w:space="0" w:color="auto"/>
        <w:right w:val="none" w:sz="0" w:space="0" w:color="auto"/>
      </w:divBdr>
    </w:div>
    <w:div w:id="55475882">
      <w:bodyDiv w:val="1"/>
      <w:marLeft w:val="0"/>
      <w:marRight w:val="0"/>
      <w:marTop w:val="0"/>
      <w:marBottom w:val="0"/>
      <w:divBdr>
        <w:top w:val="none" w:sz="0" w:space="0" w:color="auto"/>
        <w:left w:val="none" w:sz="0" w:space="0" w:color="auto"/>
        <w:bottom w:val="none" w:sz="0" w:space="0" w:color="auto"/>
        <w:right w:val="none" w:sz="0" w:space="0" w:color="auto"/>
      </w:divBdr>
    </w:div>
    <w:div w:id="62417826">
      <w:bodyDiv w:val="1"/>
      <w:marLeft w:val="0"/>
      <w:marRight w:val="0"/>
      <w:marTop w:val="0"/>
      <w:marBottom w:val="0"/>
      <w:divBdr>
        <w:top w:val="none" w:sz="0" w:space="0" w:color="auto"/>
        <w:left w:val="none" w:sz="0" w:space="0" w:color="auto"/>
        <w:bottom w:val="none" w:sz="0" w:space="0" w:color="auto"/>
        <w:right w:val="none" w:sz="0" w:space="0" w:color="auto"/>
      </w:divBdr>
    </w:div>
    <w:div w:id="67117733">
      <w:bodyDiv w:val="1"/>
      <w:marLeft w:val="0"/>
      <w:marRight w:val="0"/>
      <w:marTop w:val="0"/>
      <w:marBottom w:val="0"/>
      <w:divBdr>
        <w:top w:val="none" w:sz="0" w:space="0" w:color="auto"/>
        <w:left w:val="none" w:sz="0" w:space="0" w:color="auto"/>
        <w:bottom w:val="none" w:sz="0" w:space="0" w:color="auto"/>
        <w:right w:val="none" w:sz="0" w:space="0" w:color="auto"/>
      </w:divBdr>
    </w:div>
    <w:div w:id="72628089">
      <w:bodyDiv w:val="1"/>
      <w:marLeft w:val="0"/>
      <w:marRight w:val="0"/>
      <w:marTop w:val="0"/>
      <w:marBottom w:val="0"/>
      <w:divBdr>
        <w:top w:val="none" w:sz="0" w:space="0" w:color="auto"/>
        <w:left w:val="none" w:sz="0" w:space="0" w:color="auto"/>
        <w:bottom w:val="none" w:sz="0" w:space="0" w:color="auto"/>
        <w:right w:val="none" w:sz="0" w:space="0" w:color="auto"/>
      </w:divBdr>
    </w:div>
    <w:div w:id="92021298">
      <w:bodyDiv w:val="1"/>
      <w:marLeft w:val="0"/>
      <w:marRight w:val="0"/>
      <w:marTop w:val="0"/>
      <w:marBottom w:val="0"/>
      <w:divBdr>
        <w:top w:val="none" w:sz="0" w:space="0" w:color="auto"/>
        <w:left w:val="none" w:sz="0" w:space="0" w:color="auto"/>
        <w:bottom w:val="none" w:sz="0" w:space="0" w:color="auto"/>
        <w:right w:val="none" w:sz="0" w:space="0" w:color="auto"/>
      </w:divBdr>
    </w:div>
    <w:div w:id="185296818">
      <w:bodyDiv w:val="1"/>
      <w:marLeft w:val="0"/>
      <w:marRight w:val="0"/>
      <w:marTop w:val="0"/>
      <w:marBottom w:val="0"/>
      <w:divBdr>
        <w:top w:val="none" w:sz="0" w:space="0" w:color="auto"/>
        <w:left w:val="none" w:sz="0" w:space="0" w:color="auto"/>
        <w:bottom w:val="none" w:sz="0" w:space="0" w:color="auto"/>
        <w:right w:val="none" w:sz="0" w:space="0" w:color="auto"/>
      </w:divBdr>
    </w:div>
    <w:div w:id="196626507">
      <w:bodyDiv w:val="1"/>
      <w:marLeft w:val="0"/>
      <w:marRight w:val="0"/>
      <w:marTop w:val="0"/>
      <w:marBottom w:val="0"/>
      <w:divBdr>
        <w:top w:val="none" w:sz="0" w:space="0" w:color="auto"/>
        <w:left w:val="none" w:sz="0" w:space="0" w:color="auto"/>
        <w:bottom w:val="none" w:sz="0" w:space="0" w:color="auto"/>
        <w:right w:val="none" w:sz="0" w:space="0" w:color="auto"/>
      </w:divBdr>
    </w:div>
    <w:div w:id="200243527">
      <w:bodyDiv w:val="1"/>
      <w:marLeft w:val="0"/>
      <w:marRight w:val="0"/>
      <w:marTop w:val="0"/>
      <w:marBottom w:val="0"/>
      <w:divBdr>
        <w:top w:val="none" w:sz="0" w:space="0" w:color="auto"/>
        <w:left w:val="none" w:sz="0" w:space="0" w:color="auto"/>
        <w:bottom w:val="none" w:sz="0" w:space="0" w:color="auto"/>
        <w:right w:val="none" w:sz="0" w:space="0" w:color="auto"/>
      </w:divBdr>
    </w:div>
    <w:div w:id="207645101">
      <w:bodyDiv w:val="1"/>
      <w:marLeft w:val="0"/>
      <w:marRight w:val="0"/>
      <w:marTop w:val="0"/>
      <w:marBottom w:val="0"/>
      <w:divBdr>
        <w:top w:val="none" w:sz="0" w:space="0" w:color="auto"/>
        <w:left w:val="none" w:sz="0" w:space="0" w:color="auto"/>
        <w:bottom w:val="none" w:sz="0" w:space="0" w:color="auto"/>
        <w:right w:val="none" w:sz="0" w:space="0" w:color="auto"/>
      </w:divBdr>
    </w:div>
    <w:div w:id="209415858">
      <w:bodyDiv w:val="1"/>
      <w:marLeft w:val="0"/>
      <w:marRight w:val="0"/>
      <w:marTop w:val="0"/>
      <w:marBottom w:val="0"/>
      <w:divBdr>
        <w:top w:val="none" w:sz="0" w:space="0" w:color="auto"/>
        <w:left w:val="none" w:sz="0" w:space="0" w:color="auto"/>
        <w:bottom w:val="none" w:sz="0" w:space="0" w:color="auto"/>
        <w:right w:val="none" w:sz="0" w:space="0" w:color="auto"/>
      </w:divBdr>
    </w:div>
    <w:div w:id="231434208">
      <w:bodyDiv w:val="1"/>
      <w:marLeft w:val="0"/>
      <w:marRight w:val="0"/>
      <w:marTop w:val="0"/>
      <w:marBottom w:val="0"/>
      <w:divBdr>
        <w:top w:val="none" w:sz="0" w:space="0" w:color="auto"/>
        <w:left w:val="none" w:sz="0" w:space="0" w:color="auto"/>
        <w:bottom w:val="none" w:sz="0" w:space="0" w:color="auto"/>
        <w:right w:val="none" w:sz="0" w:space="0" w:color="auto"/>
      </w:divBdr>
    </w:div>
    <w:div w:id="234439729">
      <w:bodyDiv w:val="1"/>
      <w:marLeft w:val="0"/>
      <w:marRight w:val="0"/>
      <w:marTop w:val="0"/>
      <w:marBottom w:val="0"/>
      <w:divBdr>
        <w:top w:val="none" w:sz="0" w:space="0" w:color="auto"/>
        <w:left w:val="none" w:sz="0" w:space="0" w:color="auto"/>
        <w:bottom w:val="none" w:sz="0" w:space="0" w:color="auto"/>
        <w:right w:val="none" w:sz="0" w:space="0" w:color="auto"/>
      </w:divBdr>
    </w:div>
    <w:div w:id="234825009">
      <w:bodyDiv w:val="1"/>
      <w:marLeft w:val="0"/>
      <w:marRight w:val="0"/>
      <w:marTop w:val="0"/>
      <w:marBottom w:val="0"/>
      <w:divBdr>
        <w:top w:val="none" w:sz="0" w:space="0" w:color="auto"/>
        <w:left w:val="none" w:sz="0" w:space="0" w:color="auto"/>
        <w:bottom w:val="none" w:sz="0" w:space="0" w:color="auto"/>
        <w:right w:val="none" w:sz="0" w:space="0" w:color="auto"/>
      </w:divBdr>
    </w:div>
    <w:div w:id="266621485">
      <w:bodyDiv w:val="1"/>
      <w:marLeft w:val="0"/>
      <w:marRight w:val="0"/>
      <w:marTop w:val="0"/>
      <w:marBottom w:val="0"/>
      <w:divBdr>
        <w:top w:val="none" w:sz="0" w:space="0" w:color="auto"/>
        <w:left w:val="none" w:sz="0" w:space="0" w:color="auto"/>
        <w:bottom w:val="none" w:sz="0" w:space="0" w:color="auto"/>
        <w:right w:val="none" w:sz="0" w:space="0" w:color="auto"/>
      </w:divBdr>
    </w:div>
    <w:div w:id="274679314">
      <w:bodyDiv w:val="1"/>
      <w:marLeft w:val="0"/>
      <w:marRight w:val="0"/>
      <w:marTop w:val="0"/>
      <w:marBottom w:val="0"/>
      <w:divBdr>
        <w:top w:val="none" w:sz="0" w:space="0" w:color="auto"/>
        <w:left w:val="none" w:sz="0" w:space="0" w:color="auto"/>
        <w:bottom w:val="none" w:sz="0" w:space="0" w:color="auto"/>
        <w:right w:val="none" w:sz="0" w:space="0" w:color="auto"/>
      </w:divBdr>
    </w:div>
    <w:div w:id="290719198">
      <w:bodyDiv w:val="1"/>
      <w:marLeft w:val="0"/>
      <w:marRight w:val="0"/>
      <w:marTop w:val="0"/>
      <w:marBottom w:val="0"/>
      <w:divBdr>
        <w:top w:val="none" w:sz="0" w:space="0" w:color="auto"/>
        <w:left w:val="none" w:sz="0" w:space="0" w:color="auto"/>
        <w:bottom w:val="none" w:sz="0" w:space="0" w:color="auto"/>
        <w:right w:val="none" w:sz="0" w:space="0" w:color="auto"/>
      </w:divBdr>
    </w:div>
    <w:div w:id="296230056">
      <w:bodyDiv w:val="1"/>
      <w:marLeft w:val="0"/>
      <w:marRight w:val="0"/>
      <w:marTop w:val="0"/>
      <w:marBottom w:val="0"/>
      <w:divBdr>
        <w:top w:val="none" w:sz="0" w:space="0" w:color="auto"/>
        <w:left w:val="none" w:sz="0" w:space="0" w:color="auto"/>
        <w:bottom w:val="none" w:sz="0" w:space="0" w:color="auto"/>
        <w:right w:val="none" w:sz="0" w:space="0" w:color="auto"/>
      </w:divBdr>
    </w:div>
    <w:div w:id="297491638">
      <w:bodyDiv w:val="1"/>
      <w:marLeft w:val="0"/>
      <w:marRight w:val="0"/>
      <w:marTop w:val="0"/>
      <w:marBottom w:val="0"/>
      <w:divBdr>
        <w:top w:val="none" w:sz="0" w:space="0" w:color="auto"/>
        <w:left w:val="none" w:sz="0" w:space="0" w:color="auto"/>
        <w:bottom w:val="none" w:sz="0" w:space="0" w:color="auto"/>
        <w:right w:val="none" w:sz="0" w:space="0" w:color="auto"/>
      </w:divBdr>
    </w:div>
    <w:div w:id="300430429">
      <w:bodyDiv w:val="1"/>
      <w:marLeft w:val="0"/>
      <w:marRight w:val="0"/>
      <w:marTop w:val="0"/>
      <w:marBottom w:val="0"/>
      <w:divBdr>
        <w:top w:val="none" w:sz="0" w:space="0" w:color="auto"/>
        <w:left w:val="none" w:sz="0" w:space="0" w:color="auto"/>
        <w:bottom w:val="none" w:sz="0" w:space="0" w:color="auto"/>
        <w:right w:val="none" w:sz="0" w:space="0" w:color="auto"/>
      </w:divBdr>
    </w:div>
    <w:div w:id="343628531">
      <w:bodyDiv w:val="1"/>
      <w:marLeft w:val="0"/>
      <w:marRight w:val="0"/>
      <w:marTop w:val="0"/>
      <w:marBottom w:val="0"/>
      <w:divBdr>
        <w:top w:val="none" w:sz="0" w:space="0" w:color="auto"/>
        <w:left w:val="none" w:sz="0" w:space="0" w:color="auto"/>
        <w:bottom w:val="none" w:sz="0" w:space="0" w:color="auto"/>
        <w:right w:val="none" w:sz="0" w:space="0" w:color="auto"/>
      </w:divBdr>
    </w:div>
    <w:div w:id="347802862">
      <w:bodyDiv w:val="1"/>
      <w:marLeft w:val="0"/>
      <w:marRight w:val="0"/>
      <w:marTop w:val="0"/>
      <w:marBottom w:val="0"/>
      <w:divBdr>
        <w:top w:val="none" w:sz="0" w:space="0" w:color="auto"/>
        <w:left w:val="none" w:sz="0" w:space="0" w:color="auto"/>
        <w:bottom w:val="none" w:sz="0" w:space="0" w:color="auto"/>
        <w:right w:val="none" w:sz="0" w:space="0" w:color="auto"/>
      </w:divBdr>
    </w:div>
    <w:div w:id="353658252">
      <w:bodyDiv w:val="1"/>
      <w:marLeft w:val="0"/>
      <w:marRight w:val="0"/>
      <w:marTop w:val="0"/>
      <w:marBottom w:val="0"/>
      <w:divBdr>
        <w:top w:val="none" w:sz="0" w:space="0" w:color="auto"/>
        <w:left w:val="none" w:sz="0" w:space="0" w:color="auto"/>
        <w:bottom w:val="none" w:sz="0" w:space="0" w:color="auto"/>
        <w:right w:val="none" w:sz="0" w:space="0" w:color="auto"/>
      </w:divBdr>
    </w:div>
    <w:div w:id="409543726">
      <w:bodyDiv w:val="1"/>
      <w:marLeft w:val="0"/>
      <w:marRight w:val="0"/>
      <w:marTop w:val="0"/>
      <w:marBottom w:val="0"/>
      <w:divBdr>
        <w:top w:val="none" w:sz="0" w:space="0" w:color="auto"/>
        <w:left w:val="none" w:sz="0" w:space="0" w:color="auto"/>
        <w:bottom w:val="none" w:sz="0" w:space="0" w:color="auto"/>
        <w:right w:val="none" w:sz="0" w:space="0" w:color="auto"/>
      </w:divBdr>
    </w:div>
    <w:div w:id="431511670">
      <w:bodyDiv w:val="1"/>
      <w:marLeft w:val="0"/>
      <w:marRight w:val="0"/>
      <w:marTop w:val="0"/>
      <w:marBottom w:val="0"/>
      <w:divBdr>
        <w:top w:val="none" w:sz="0" w:space="0" w:color="auto"/>
        <w:left w:val="none" w:sz="0" w:space="0" w:color="auto"/>
        <w:bottom w:val="none" w:sz="0" w:space="0" w:color="auto"/>
        <w:right w:val="none" w:sz="0" w:space="0" w:color="auto"/>
      </w:divBdr>
    </w:div>
    <w:div w:id="447358421">
      <w:bodyDiv w:val="1"/>
      <w:marLeft w:val="0"/>
      <w:marRight w:val="0"/>
      <w:marTop w:val="0"/>
      <w:marBottom w:val="0"/>
      <w:divBdr>
        <w:top w:val="none" w:sz="0" w:space="0" w:color="auto"/>
        <w:left w:val="none" w:sz="0" w:space="0" w:color="auto"/>
        <w:bottom w:val="none" w:sz="0" w:space="0" w:color="auto"/>
        <w:right w:val="none" w:sz="0" w:space="0" w:color="auto"/>
      </w:divBdr>
    </w:div>
    <w:div w:id="468982885">
      <w:bodyDiv w:val="1"/>
      <w:marLeft w:val="0"/>
      <w:marRight w:val="0"/>
      <w:marTop w:val="0"/>
      <w:marBottom w:val="0"/>
      <w:divBdr>
        <w:top w:val="none" w:sz="0" w:space="0" w:color="auto"/>
        <w:left w:val="none" w:sz="0" w:space="0" w:color="auto"/>
        <w:bottom w:val="none" w:sz="0" w:space="0" w:color="auto"/>
        <w:right w:val="none" w:sz="0" w:space="0" w:color="auto"/>
      </w:divBdr>
    </w:div>
    <w:div w:id="474685776">
      <w:bodyDiv w:val="1"/>
      <w:marLeft w:val="0"/>
      <w:marRight w:val="0"/>
      <w:marTop w:val="0"/>
      <w:marBottom w:val="0"/>
      <w:divBdr>
        <w:top w:val="none" w:sz="0" w:space="0" w:color="auto"/>
        <w:left w:val="none" w:sz="0" w:space="0" w:color="auto"/>
        <w:bottom w:val="none" w:sz="0" w:space="0" w:color="auto"/>
        <w:right w:val="none" w:sz="0" w:space="0" w:color="auto"/>
      </w:divBdr>
    </w:div>
    <w:div w:id="477454231">
      <w:bodyDiv w:val="1"/>
      <w:marLeft w:val="0"/>
      <w:marRight w:val="0"/>
      <w:marTop w:val="0"/>
      <w:marBottom w:val="0"/>
      <w:divBdr>
        <w:top w:val="none" w:sz="0" w:space="0" w:color="auto"/>
        <w:left w:val="none" w:sz="0" w:space="0" w:color="auto"/>
        <w:bottom w:val="none" w:sz="0" w:space="0" w:color="auto"/>
        <w:right w:val="none" w:sz="0" w:space="0" w:color="auto"/>
      </w:divBdr>
      <w:divsChild>
        <w:div w:id="205259563">
          <w:marLeft w:val="0"/>
          <w:marRight w:val="0"/>
          <w:marTop w:val="0"/>
          <w:marBottom w:val="0"/>
          <w:divBdr>
            <w:top w:val="none" w:sz="0" w:space="0" w:color="auto"/>
            <w:left w:val="none" w:sz="0" w:space="0" w:color="auto"/>
            <w:bottom w:val="none" w:sz="0" w:space="0" w:color="auto"/>
            <w:right w:val="none" w:sz="0" w:space="0" w:color="auto"/>
          </w:divBdr>
        </w:div>
        <w:div w:id="279849240">
          <w:marLeft w:val="0"/>
          <w:marRight w:val="0"/>
          <w:marTop w:val="0"/>
          <w:marBottom w:val="0"/>
          <w:divBdr>
            <w:top w:val="none" w:sz="0" w:space="0" w:color="auto"/>
            <w:left w:val="none" w:sz="0" w:space="0" w:color="auto"/>
            <w:bottom w:val="none" w:sz="0" w:space="0" w:color="auto"/>
            <w:right w:val="none" w:sz="0" w:space="0" w:color="auto"/>
          </w:divBdr>
        </w:div>
        <w:div w:id="364796691">
          <w:marLeft w:val="0"/>
          <w:marRight w:val="0"/>
          <w:marTop w:val="0"/>
          <w:marBottom w:val="0"/>
          <w:divBdr>
            <w:top w:val="none" w:sz="0" w:space="0" w:color="auto"/>
            <w:left w:val="none" w:sz="0" w:space="0" w:color="auto"/>
            <w:bottom w:val="none" w:sz="0" w:space="0" w:color="auto"/>
            <w:right w:val="none" w:sz="0" w:space="0" w:color="auto"/>
          </w:divBdr>
        </w:div>
        <w:div w:id="381055987">
          <w:marLeft w:val="0"/>
          <w:marRight w:val="0"/>
          <w:marTop w:val="0"/>
          <w:marBottom w:val="0"/>
          <w:divBdr>
            <w:top w:val="none" w:sz="0" w:space="0" w:color="auto"/>
            <w:left w:val="none" w:sz="0" w:space="0" w:color="auto"/>
            <w:bottom w:val="none" w:sz="0" w:space="0" w:color="auto"/>
            <w:right w:val="none" w:sz="0" w:space="0" w:color="auto"/>
          </w:divBdr>
        </w:div>
        <w:div w:id="447897529">
          <w:marLeft w:val="0"/>
          <w:marRight w:val="0"/>
          <w:marTop w:val="0"/>
          <w:marBottom w:val="0"/>
          <w:divBdr>
            <w:top w:val="none" w:sz="0" w:space="0" w:color="auto"/>
            <w:left w:val="none" w:sz="0" w:space="0" w:color="auto"/>
            <w:bottom w:val="none" w:sz="0" w:space="0" w:color="auto"/>
            <w:right w:val="none" w:sz="0" w:space="0" w:color="auto"/>
          </w:divBdr>
        </w:div>
        <w:div w:id="485516943">
          <w:marLeft w:val="0"/>
          <w:marRight w:val="0"/>
          <w:marTop w:val="0"/>
          <w:marBottom w:val="0"/>
          <w:divBdr>
            <w:top w:val="none" w:sz="0" w:space="0" w:color="auto"/>
            <w:left w:val="none" w:sz="0" w:space="0" w:color="auto"/>
            <w:bottom w:val="none" w:sz="0" w:space="0" w:color="auto"/>
            <w:right w:val="none" w:sz="0" w:space="0" w:color="auto"/>
          </w:divBdr>
        </w:div>
        <w:div w:id="574436266">
          <w:marLeft w:val="0"/>
          <w:marRight w:val="0"/>
          <w:marTop w:val="0"/>
          <w:marBottom w:val="0"/>
          <w:divBdr>
            <w:top w:val="none" w:sz="0" w:space="0" w:color="auto"/>
            <w:left w:val="none" w:sz="0" w:space="0" w:color="auto"/>
            <w:bottom w:val="none" w:sz="0" w:space="0" w:color="auto"/>
            <w:right w:val="none" w:sz="0" w:space="0" w:color="auto"/>
          </w:divBdr>
        </w:div>
        <w:div w:id="692147899">
          <w:marLeft w:val="0"/>
          <w:marRight w:val="0"/>
          <w:marTop w:val="0"/>
          <w:marBottom w:val="0"/>
          <w:divBdr>
            <w:top w:val="none" w:sz="0" w:space="0" w:color="auto"/>
            <w:left w:val="none" w:sz="0" w:space="0" w:color="auto"/>
            <w:bottom w:val="none" w:sz="0" w:space="0" w:color="auto"/>
            <w:right w:val="none" w:sz="0" w:space="0" w:color="auto"/>
          </w:divBdr>
        </w:div>
        <w:div w:id="854341189">
          <w:marLeft w:val="0"/>
          <w:marRight w:val="0"/>
          <w:marTop w:val="0"/>
          <w:marBottom w:val="0"/>
          <w:divBdr>
            <w:top w:val="none" w:sz="0" w:space="0" w:color="auto"/>
            <w:left w:val="none" w:sz="0" w:space="0" w:color="auto"/>
            <w:bottom w:val="none" w:sz="0" w:space="0" w:color="auto"/>
            <w:right w:val="none" w:sz="0" w:space="0" w:color="auto"/>
          </w:divBdr>
        </w:div>
        <w:div w:id="874275850">
          <w:marLeft w:val="0"/>
          <w:marRight w:val="0"/>
          <w:marTop w:val="0"/>
          <w:marBottom w:val="0"/>
          <w:divBdr>
            <w:top w:val="none" w:sz="0" w:space="0" w:color="auto"/>
            <w:left w:val="none" w:sz="0" w:space="0" w:color="auto"/>
            <w:bottom w:val="none" w:sz="0" w:space="0" w:color="auto"/>
            <w:right w:val="none" w:sz="0" w:space="0" w:color="auto"/>
          </w:divBdr>
        </w:div>
        <w:div w:id="960917305">
          <w:marLeft w:val="0"/>
          <w:marRight w:val="0"/>
          <w:marTop w:val="0"/>
          <w:marBottom w:val="0"/>
          <w:divBdr>
            <w:top w:val="none" w:sz="0" w:space="0" w:color="auto"/>
            <w:left w:val="none" w:sz="0" w:space="0" w:color="auto"/>
            <w:bottom w:val="none" w:sz="0" w:space="0" w:color="auto"/>
            <w:right w:val="none" w:sz="0" w:space="0" w:color="auto"/>
          </w:divBdr>
        </w:div>
        <w:div w:id="1508979729">
          <w:marLeft w:val="0"/>
          <w:marRight w:val="0"/>
          <w:marTop w:val="0"/>
          <w:marBottom w:val="0"/>
          <w:divBdr>
            <w:top w:val="none" w:sz="0" w:space="0" w:color="auto"/>
            <w:left w:val="none" w:sz="0" w:space="0" w:color="auto"/>
            <w:bottom w:val="none" w:sz="0" w:space="0" w:color="auto"/>
            <w:right w:val="none" w:sz="0" w:space="0" w:color="auto"/>
          </w:divBdr>
        </w:div>
        <w:div w:id="1780830908">
          <w:marLeft w:val="0"/>
          <w:marRight w:val="0"/>
          <w:marTop w:val="0"/>
          <w:marBottom w:val="0"/>
          <w:divBdr>
            <w:top w:val="none" w:sz="0" w:space="0" w:color="auto"/>
            <w:left w:val="none" w:sz="0" w:space="0" w:color="auto"/>
            <w:bottom w:val="none" w:sz="0" w:space="0" w:color="auto"/>
            <w:right w:val="none" w:sz="0" w:space="0" w:color="auto"/>
          </w:divBdr>
        </w:div>
        <w:div w:id="1812406706">
          <w:marLeft w:val="0"/>
          <w:marRight w:val="0"/>
          <w:marTop w:val="0"/>
          <w:marBottom w:val="0"/>
          <w:divBdr>
            <w:top w:val="none" w:sz="0" w:space="0" w:color="auto"/>
            <w:left w:val="none" w:sz="0" w:space="0" w:color="auto"/>
            <w:bottom w:val="none" w:sz="0" w:space="0" w:color="auto"/>
            <w:right w:val="none" w:sz="0" w:space="0" w:color="auto"/>
          </w:divBdr>
        </w:div>
        <w:div w:id="1965505314">
          <w:marLeft w:val="0"/>
          <w:marRight w:val="0"/>
          <w:marTop w:val="0"/>
          <w:marBottom w:val="0"/>
          <w:divBdr>
            <w:top w:val="none" w:sz="0" w:space="0" w:color="auto"/>
            <w:left w:val="none" w:sz="0" w:space="0" w:color="auto"/>
            <w:bottom w:val="none" w:sz="0" w:space="0" w:color="auto"/>
            <w:right w:val="none" w:sz="0" w:space="0" w:color="auto"/>
          </w:divBdr>
        </w:div>
        <w:div w:id="2048485074">
          <w:marLeft w:val="0"/>
          <w:marRight w:val="0"/>
          <w:marTop w:val="0"/>
          <w:marBottom w:val="0"/>
          <w:divBdr>
            <w:top w:val="none" w:sz="0" w:space="0" w:color="auto"/>
            <w:left w:val="none" w:sz="0" w:space="0" w:color="auto"/>
            <w:bottom w:val="none" w:sz="0" w:space="0" w:color="auto"/>
            <w:right w:val="none" w:sz="0" w:space="0" w:color="auto"/>
          </w:divBdr>
        </w:div>
      </w:divsChild>
    </w:div>
    <w:div w:id="479007713">
      <w:bodyDiv w:val="1"/>
      <w:marLeft w:val="0"/>
      <w:marRight w:val="0"/>
      <w:marTop w:val="0"/>
      <w:marBottom w:val="0"/>
      <w:divBdr>
        <w:top w:val="none" w:sz="0" w:space="0" w:color="auto"/>
        <w:left w:val="none" w:sz="0" w:space="0" w:color="auto"/>
        <w:bottom w:val="none" w:sz="0" w:space="0" w:color="auto"/>
        <w:right w:val="none" w:sz="0" w:space="0" w:color="auto"/>
      </w:divBdr>
    </w:div>
    <w:div w:id="488406582">
      <w:bodyDiv w:val="1"/>
      <w:marLeft w:val="0"/>
      <w:marRight w:val="0"/>
      <w:marTop w:val="0"/>
      <w:marBottom w:val="0"/>
      <w:divBdr>
        <w:top w:val="none" w:sz="0" w:space="0" w:color="auto"/>
        <w:left w:val="none" w:sz="0" w:space="0" w:color="auto"/>
        <w:bottom w:val="none" w:sz="0" w:space="0" w:color="auto"/>
        <w:right w:val="none" w:sz="0" w:space="0" w:color="auto"/>
      </w:divBdr>
      <w:divsChild>
        <w:div w:id="2057004183">
          <w:marLeft w:val="0"/>
          <w:marRight w:val="0"/>
          <w:marTop w:val="0"/>
          <w:marBottom w:val="0"/>
          <w:divBdr>
            <w:top w:val="none" w:sz="0" w:space="0" w:color="auto"/>
            <w:left w:val="none" w:sz="0" w:space="0" w:color="auto"/>
            <w:bottom w:val="none" w:sz="0" w:space="0" w:color="auto"/>
            <w:right w:val="none" w:sz="0" w:space="0" w:color="auto"/>
          </w:divBdr>
        </w:div>
      </w:divsChild>
    </w:div>
    <w:div w:id="491022747">
      <w:bodyDiv w:val="1"/>
      <w:marLeft w:val="0"/>
      <w:marRight w:val="0"/>
      <w:marTop w:val="0"/>
      <w:marBottom w:val="0"/>
      <w:divBdr>
        <w:top w:val="none" w:sz="0" w:space="0" w:color="auto"/>
        <w:left w:val="none" w:sz="0" w:space="0" w:color="auto"/>
        <w:bottom w:val="none" w:sz="0" w:space="0" w:color="auto"/>
        <w:right w:val="none" w:sz="0" w:space="0" w:color="auto"/>
      </w:divBdr>
    </w:div>
    <w:div w:id="503519840">
      <w:bodyDiv w:val="1"/>
      <w:marLeft w:val="0"/>
      <w:marRight w:val="0"/>
      <w:marTop w:val="0"/>
      <w:marBottom w:val="0"/>
      <w:divBdr>
        <w:top w:val="none" w:sz="0" w:space="0" w:color="auto"/>
        <w:left w:val="none" w:sz="0" w:space="0" w:color="auto"/>
        <w:bottom w:val="none" w:sz="0" w:space="0" w:color="auto"/>
        <w:right w:val="none" w:sz="0" w:space="0" w:color="auto"/>
      </w:divBdr>
    </w:div>
    <w:div w:id="503865125">
      <w:bodyDiv w:val="1"/>
      <w:marLeft w:val="0"/>
      <w:marRight w:val="0"/>
      <w:marTop w:val="0"/>
      <w:marBottom w:val="0"/>
      <w:divBdr>
        <w:top w:val="none" w:sz="0" w:space="0" w:color="auto"/>
        <w:left w:val="none" w:sz="0" w:space="0" w:color="auto"/>
        <w:bottom w:val="none" w:sz="0" w:space="0" w:color="auto"/>
        <w:right w:val="none" w:sz="0" w:space="0" w:color="auto"/>
      </w:divBdr>
    </w:div>
    <w:div w:id="534579719">
      <w:bodyDiv w:val="1"/>
      <w:marLeft w:val="0"/>
      <w:marRight w:val="0"/>
      <w:marTop w:val="0"/>
      <w:marBottom w:val="0"/>
      <w:divBdr>
        <w:top w:val="none" w:sz="0" w:space="0" w:color="auto"/>
        <w:left w:val="none" w:sz="0" w:space="0" w:color="auto"/>
        <w:bottom w:val="none" w:sz="0" w:space="0" w:color="auto"/>
        <w:right w:val="none" w:sz="0" w:space="0" w:color="auto"/>
      </w:divBdr>
    </w:div>
    <w:div w:id="570845653">
      <w:bodyDiv w:val="1"/>
      <w:marLeft w:val="0"/>
      <w:marRight w:val="0"/>
      <w:marTop w:val="0"/>
      <w:marBottom w:val="0"/>
      <w:divBdr>
        <w:top w:val="none" w:sz="0" w:space="0" w:color="auto"/>
        <w:left w:val="none" w:sz="0" w:space="0" w:color="auto"/>
        <w:bottom w:val="none" w:sz="0" w:space="0" w:color="auto"/>
        <w:right w:val="none" w:sz="0" w:space="0" w:color="auto"/>
      </w:divBdr>
    </w:div>
    <w:div w:id="572662506">
      <w:bodyDiv w:val="1"/>
      <w:marLeft w:val="0"/>
      <w:marRight w:val="0"/>
      <w:marTop w:val="0"/>
      <w:marBottom w:val="0"/>
      <w:divBdr>
        <w:top w:val="none" w:sz="0" w:space="0" w:color="auto"/>
        <w:left w:val="none" w:sz="0" w:space="0" w:color="auto"/>
        <w:bottom w:val="none" w:sz="0" w:space="0" w:color="auto"/>
        <w:right w:val="none" w:sz="0" w:space="0" w:color="auto"/>
      </w:divBdr>
    </w:div>
    <w:div w:id="574170176">
      <w:bodyDiv w:val="1"/>
      <w:marLeft w:val="0"/>
      <w:marRight w:val="0"/>
      <w:marTop w:val="0"/>
      <w:marBottom w:val="0"/>
      <w:divBdr>
        <w:top w:val="none" w:sz="0" w:space="0" w:color="auto"/>
        <w:left w:val="none" w:sz="0" w:space="0" w:color="auto"/>
        <w:bottom w:val="none" w:sz="0" w:space="0" w:color="auto"/>
        <w:right w:val="none" w:sz="0" w:space="0" w:color="auto"/>
      </w:divBdr>
    </w:div>
    <w:div w:id="593126329">
      <w:bodyDiv w:val="1"/>
      <w:marLeft w:val="0"/>
      <w:marRight w:val="0"/>
      <w:marTop w:val="0"/>
      <w:marBottom w:val="0"/>
      <w:divBdr>
        <w:top w:val="none" w:sz="0" w:space="0" w:color="auto"/>
        <w:left w:val="none" w:sz="0" w:space="0" w:color="auto"/>
        <w:bottom w:val="none" w:sz="0" w:space="0" w:color="auto"/>
        <w:right w:val="none" w:sz="0" w:space="0" w:color="auto"/>
      </w:divBdr>
    </w:div>
    <w:div w:id="596593400">
      <w:bodyDiv w:val="1"/>
      <w:marLeft w:val="0"/>
      <w:marRight w:val="0"/>
      <w:marTop w:val="0"/>
      <w:marBottom w:val="0"/>
      <w:divBdr>
        <w:top w:val="none" w:sz="0" w:space="0" w:color="auto"/>
        <w:left w:val="none" w:sz="0" w:space="0" w:color="auto"/>
        <w:bottom w:val="none" w:sz="0" w:space="0" w:color="auto"/>
        <w:right w:val="none" w:sz="0" w:space="0" w:color="auto"/>
      </w:divBdr>
    </w:div>
    <w:div w:id="608391656">
      <w:bodyDiv w:val="1"/>
      <w:marLeft w:val="0"/>
      <w:marRight w:val="0"/>
      <w:marTop w:val="0"/>
      <w:marBottom w:val="0"/>
      <w:divBdr>
        <w:top w:val="none" w:sz="0" w:space="0" w:color="auto"/>
        <w:left w:val="none" w:sz="0" w:space="0" w:color="auto"/>
        <w:bottom w:val="none" w:sz="0" w:space="0" w:color="auto"/>
        <w:right w:val="none" w:sz="0" w:space="0" w:color="auto"/>
      </w:divBdr>
    </w:div>
    <w:div w:id="609170729">
      <w:bodyDiv w:val="1"/>
      <w:marLeft w:val="0"/>
      <w:marRight w:val="0"/>
      <w:marTop w:val="0"/>
      <w:marBottom w:val="0"/>
      <w:divBdr>
        <w:top w:val="none" w:sz="0" w:space="0" w:color="auto"/>
        <w:left w:val="none" w:sz="0" w:space="0" w:color="auto"/>
        <w:bottom w:val="none" w:sz="0" w:space="0" w:color="auto"/>
        <w:right w:val="none" w:sz="0" w:space="0" w:color="auto"/>
      </w:divBdr>
    </w:div>
    <w:div w:id="639506075">
      <w:bodyDiv w:val="1"/>
      <w:marLeft w:val="0"/>
      <w:marRight w:val="0"/>
      <w:marTop w:val="0"/>
      <w:marBottom w:val="0"/>
      <w:divBdr>
        <w:top w:val="none" w:sz="0" w:space="0" w:color="auto"/>
        <w:left w:val="none" w:sz="0" w:space="0" w:color="auto"/>
        <w:bottom w:val="none" w:sz="0" w:space="0" w:color="auto"/>
        <w:right w:val="none" w:sz="0" w:space="0" w:color="auto"/>
      </w:divBdr>
    </w:div>
    <w:div w:id="650864596">
      <w:bodyDiv w:val="1"/>
      <w:marLeft w:val="0"/>
      <w:marRight w:val="0"/>
      <w:marTop w:val="0"/>
      <w:marBottom w:val="0"/>
      <w:divBdr>
        <w:top w:val="none" w:sz="0" w:space="0" w:color="auto"/>
        <w:left w:val="none" w:sz="0" w:space="0" w:color="auto"/>
        <w:bottom w:val="none" w:sz="0" w:space="0" w:color="auto"/>
        <w:right w:val="none" w:sz="0" w:space="0" w:color="auto"/>
      </w:divBdr>
    </w:div>
    <w:div w:id="707531901">
      <w:bodyDiv w:val="1"/>
      <w:marLeft w:val="0"/>
      <w:marRight w:val="0"/>
      <w:marTop w:val="0"/>
      <w:marBottom w:val="0"/>
      <w:divBdr>
        <w:top w:val="none" w:sz="0" w:space="0" w:color="auto"/>
        <w:left w:val="none" w:sz="0" w:space="0" w:color="auto"/>
        <w:bottom w:val="none" w:sz="0" w:space="0" w:color="auto"/>
        <w:right w:val="none" w:sz="0" w:space="0" w:color="auto"/>
      </w:divBdr>
    </w:div>
    <w:div w:id="734400570">
      <w:bodyDiv w:val="1"/>
      <w:marLeft w:val="0"/>
      <w:marRight w:val="0"/>
      <w:marTop w:val="0"/>
      <w:marBottom w:val="0"/>
      <w:divBdr>
        <w:top w:val="none" w:sz="0" w:space="0" w:color="auto"/>
        <w:left w:val="none" w:sz="0" w:space="0" w:color="auto"/>
        <w:bottom w:val="none" w:sz="0" w:space="0" w:color="auto"/>
        <w:right w:val="none" w:sz="0" w:space="0" w:color="auto"/>
      </w:divBdr>
    </w:div>
    <w:div w:id="749155528">
      <w:bodyDiv w:val="1"/>
      <w:marLeft w:val="0"/>
      <w:marRight w:val="0"/>
      <w:marTop w:val="0"/>
      <w:marBottom w:val="0"/>
      <w:divBdr>
        <w:top w:val="none" w:sz="0" w:space="0" w:color="auto"/>
        <w:left w:val="none" w:sz="0" w:space="0" w:color="auto"/>
        <w:bottom w:val="none" w:sz="0" w:space="0" w:color="auto"/>
        <w:right w:val="none" w:sz="0" w:space="0" w:color="auto"/>
      </w:divBdr>
    </w:div>
    <w:div w:id="768040470">
      <w:bodyDiv w:val="1"/>
      <w:marLeft w:val="0"/>
      <w:marRight w:val="0"/>
      <w:marTop w:val="0"/>
      <w:marBottom w:val="0"/>
      <w:divBdr>
        <w:top w:val="none" w:sz="0" w:space="0" w:color="auto"/>
        <w:left w:val="none" w:sz="0" w:space="0" w:color="auto"/>
        <w:bottom w:val="none" w:sz="0" w:space="0" w:color="auto"/>
        <w:right w:val="none" w:sz="0" w:space="0" w:color="auto"/>
      </w:divBdr>
    </w:div>
    <w:div w:id="803230866">
      <w:bodyDiv w:val="1"/>
      <w:marLeft w:val="0"/>
      <w:marRight w:val="0"/>
      <w:marTop w:val="0"/>
      <w:marBottom w:val="0"/>
      <w:divBdr>
        <w:top w:val="none" w:sz="0" w:space="0" w:color="auto"/>
        <w:left w:val="none" w:sz="0" w:space="0" w:color="auto"/>
        <w:bottom w:val="none" w:sz="0" w:space="0" w:color="auto"/>
        <w:right w:val="none" w:sz="0" w:space="0" w:color="auto"/>
      </w:divBdr>
    </w:div>
    <w:div w:id="822114915">
      <w:bodyDiv w:val="1"/>
      <w:marLeft w:val="0"/>
      <w:marRight w:val="0"/>
      <w:marTop w:val="0"/>
      <w:marBottom w:val="0"/>
      <w:divBdr>
        <w:top w:val="none" w:sz="0" w:space="0" w:color="auto"/>
        <w:left w:val="none" w:sz="0" w:space="0" w:color="auto"/>
        <w:bottom w:val="none" w:sz="0" w:space="0" w:color="auto"/>
        <w:right w:val="none" w:sz="0" w:space="0" w:color="auto"/>
      </w:divBdr>
    </w:div>
    <w:div w:id="894895077">
      <w:bodyDiv w:val="1"/>
      <w:marLeft w:val="0"/>
      <w:marRight w:val="0"/>
      <w:marTop w:val="0"/>
      <w:marBottom w:val="0"/>
      <w:divBdr>
        <w:top w:val="none" w:sz="0" w:space="0" w:color="auto"/>
        <w:left w:val="none" w:sz="0" w:space="0" w:color="auto"/>
        <w:bottom w:val="none" w:sz="0" w:space="0" w:color="auto"/>
        <w:right w:val="none" w:sz="0" w:space="0" w:color="auto"/>
      </w:divBdr>
    </w:div>
    <w:div w:id="896672254">
      <w:bodyDiv w:val="1"/>
      <w:marLeft w:val="0"/>
      <w:marRight w:val="0"/>
      <w:marTop w:val="0"/>
      <w:marBottom w:val="0"/>
      <w:divBdr>
        <w:top w:val="none" w:sz="0" w:space="0" w:color="auto"/>
        <w:left w:val="none" w:sz="0" w:space="0" w:color="auto"/>
        <w:bottom w:val="none" w:sz="0" w:space="0" w:color="auto"/>
        <w:right w:val="none" w:sz="0" w:space="0" w:color="auto"/>
      </w:divBdr>
    </w:div>
    <w:div w:id="915825972">
      <w:bodyDiv w:val="1"/>
      <w:marLeft w:val="0"/>
      <w:marRight w:val="0"/>
      <w:marTop w:val="0"/>
      <w:marBottom w:val="0"/>
      <w:divBdr>
        <w:top w:val="none" w:sz="0" w:space="0" w:color="auto"/>
        <w:left w:val="none" w:sz="0" w:space="0" w:color="auto"/>
        <w:bottom w:val="none" w:sz="0" w:space="0" w:color="auto"/>
        <w:right w:val="none" w:sz="0" w:space="0" w:color="auto"/>
      </w:divBdr>
    </w:div>
    <w:div w:id="922379903">
      <w:bodyDiv w:val="1"/>
      <w:marLeft w:val="0"/>
      <w:marRight w:val="0"/>
      <w:marTop w:val="0"/>
      <w:marBottom w:val="0"/>
      <w:divBdr>
        <w:top w:val="none" w:sz="0" w:space="0" w:color="auto"/>
        <w:left w:val="none" w:sz="0" w:space="0" w:color="auto"/>
        <w:bottom w:val="none" w:sz="0" w:space="0" w:color="auto"/>
        <w:right w:val="none" w:sz="0" w:space="0" w:color="auto"/>
      </w:divBdr>
    </w:div>
    <w:div w:id="922956013">
      <w:bodyDiv w:val="1"/>
      <w:marLeft w:val="0"/>
      <w:marRight w:val="0"/>
      <w:marTop w:val="0"/>
      <w:marBottom w:val="0"/>
      <w:divBdr>
        <w:top w:val="none" w:sz="0" w:space="0" w:color="auto"/>
        <w:left w:val="none" w:sz="0" w:space="0" w:color="auto"/>
        <w:bottom w:val="none" w:sz="0" w:space="0" w:color="auto"/>
        <w:right w:val="none" w:sz="0" w:space="0" w:color="auto"/>
      </w:divBdr>
      <w:divsChild>
        <w:div w:id="1076972140">
          <w:marLeft w:val="0"/>
          <w:marRight w:val="0"/>
          <w:marTop w:val="225"/>
          <w:marBottom w:val="225"/>
          <w:divBdr>
            <w:top w:val="none" w:sz="0" w:space="0" w:color="auto"/>
            <w:left w:val="none" w:sz="0" w:space="0" w:color="auto"/>
            <w:bottom w:val="none" w:sz="0" w:space="0" w:color="auto"/>
            <w:right w:val="none" w:sz="0" w:space="0" w:color="auto"/>
          </w:divBdr>
          <w:divsChild>
            <w:div w:id="415177638">
              <w:marLeft w:val="0"/>
              <w:marRight w:val="0"/>
              <w:marTop w:val="0"/>
              <w:marBottom w:val="0"/>
              <w:divBdr>
                <w:top w:val="none" w:sz="0" w:space="0" w:color="auto"/>
                <w:left w:val="none" w:sz="0" w:space="0" w:color="auto"/>
                <w:bottom w:val="none" w:sz="0" w:space="0" w:color="auto"/>
                <w:right w:val="none" w:sz="0" w:space="0" w:color="auto"/>
              </w:divBdr>
              <w:divsChild>
                <w:div w:id="476184987">
                  <w:marLeft w:val="0"/>
                  <w:marRight w:val="0"/>
                  <w:marTop w:val="0"/>
                  <w:marBottom w:val="0"/>
                  <w:divBdr>
                    <w:top w:val="none" w:sz="0" w:space="0" w:color="auto"/>
                    <w:left w:val="none" w:sz="0" w:space="0" w:color="auto"/>
                    <w:bottom w:val="none" w:sz="0" w:space="0" w:color="auto"/>
                    <w:right w:val="none" w:sz="0" w:space="0" w:color="auto"/>
                  </w:divBdr>
                  <w:divsChild>
                    <w:div w:id="12246337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87200852">
      <w:bodyDiv w:val="1"/>
      <w:marLeft w:val="0"/>
      <w:marRight w:val="0"/>
      <w:marTop w:val="0"/>
      <w:marBottom w:val="0"/>
      <w:divBdr>
        <w:top w:val="none" w:sz="0" w:space="0" w:color="auto"/>
        <w:left w:val="none" w:sz="0" w:space="0" w:color="auto"/>
        <w:bottom w:val="none" w:sz="0" w:space="0" w:color="auto"/>
        <w:right w:val="none" w:sz="0" w:space="0" w:color="auto"/>
      </w:divBdr>
    </w:div>
    <w:div w:id="988291010">
      <w:bodyDiv w:val="1"/>
      <w:marLeft w:val="0"/>
      <w:marRight w:val="0"/>
      <w:marTop w:val="0"/>
      <w:marBottom w:val="0"/>
      <w:divBdr>
        <w:top w:val="none" w:sz="0" w:space="0" w:color="auto"/>
        <w:left w:val="none" w:sz="0" w:space="0" w:color="auto"/>
        <w:bottom w:val="none" w:sz="0" w:space="0" w:color="auto"/>
        <w:right w:val="none" w:sz="0" w:space="0" w:color="auto"/>
      </w:divBdr>
    </w:div>
    <w:div w:id="1023241317">
      <w:bodyDiv w:val="1"/>
      <w:marLeft w:val="0"/>
      <w:marRight w:val="0"/>
      <w:marTop w:val="0"/>
      <w:marBottom w:val="0"/>
      <w:divBdr>
        <w:top w:val="none" w:sz="0" w:space="0" w:color="auto"/>
        <w:left w:val="none" w:sz="0" w:space="0" w:color="auto"/>
        <w:bottom w:val="none" w:sz="0" w:space="0" w:color="auto"/>
        <w:right w:val="none" w:sz="0" w:space="0" w:color="auto"/>
      </w:divBdr>
    </w:div>
    <w:div w:id="1037043685">
      <w:bodyDiv w:val="1"/>
      <w:marLeft w:val="0"/>
      <w:marRight w:val="0"/>
      <w:marTop w:val="0"/>
      <w:marBottom w:val="0"/>
      <w:divBdr>
        <w:top w:val="none" w:sz="0" w:space="0" w:color="auto"/>
        <w:left w:val="none" w:sz="0" w:space="0" w:color="auto"/>
        <w:bottom w:val="none" w:sz="0" w:space="0" w:color="auto"/>
        <w:right w:val="none" w:sz="0" w:space="0" w:color="auto"/>
      </w:divBdr>
    </w:div>
    <w:div w:id="1039552467">
      <w:bodyDiv w:val="1"/>
      <w:marLeft w:val="0"/>
      <w:marRight w:val="0"/>
      <w:marTop w:val="0"/>
      <w:marBottom w:val="0"/>
      <w:divBdr>
        <w:top w:val="none" w:sz="0" w:space="0" w:color="auto"/>
        <w:left w:val="none" w:sz="0" w:space="0" w:color="auto"/>
        <w:bottom w:val="none" w:sz="0" w:space="0" w:color="auto"/>
        <w:right w:val="none" w:sz="0" w:space="0" w:color="auto"/>
      </w:divBdr>
    </w:div>
    <w:div w:id="1040937492">
      <w:bodyDiv w:val="1"/>
      <w:marLeft w:val="0"/>
      <w:marRight w:val="0"/>
      <w:marTop w:val="0"/>
      <w:marBottom w:val="0"/>
      <w:divBdr>
        <w:top w:val="none" w:sz="0" w:space="0" w:color="auto"/>
        <w:left w:val="none" w:sz="0" w:space="0" w:color="auto"/>
        <w:bottom w:val="none" w:sz="0" w:space="0" w:color="auto"/>
        <w:right w:val="none" w:sz="0" w:space="0" w:color="auto"/>
      </w:divBdr>
    </w:div>
    <w:div w:id="1054737933">
      <w:bodyDiv w:val="1"/>
      <w:marLeft w:val="0"/>
      <w:marRight w:val="0"/>
      <w:marTop w:val="0"/>
      <w:marBottom w:val="0"/>
      <w:divBdr>
        <w:top w:val="none" w:sz="0" w:space="0" w:color="auto"/>
        <w:left w:val="none" w:sz="0" w:space="0" w:color="auto"/>
        <w:bottom w:val="none" w:sz="0" w:space="0" w:color="auto"/>
        <w:right w:val="none" w:sz="0" w:space="0" w:color="auto"/>
      </w:divBdr>
    </w:div>
    <w:div w:id="1065224153">
      <w:bodyDiv w:val="1"/>
      <w:marLeft w:val="0"/>
      <w:marRight w:val="0"/>
      <w:marTop w:val="0"/>
      <w:marBottom w:val="0"/>
      <w:divBdr>
        <w:top w:val="none" w:sz="0" w:space="0" w:color="auto"/>
        <w:left w:val="none" w:sz="0" w:space="0" w:color="auto"/>
        <w:bottom w:val="none" w:sz="0" w:space="0" w:color="auto"/>
        <w:right w:val="none" w:sz="0" w:space="0" w:color="auto"/>
      </w:divBdr>
    </w:div>
    <w:div w:id="1077440777">
      <w:bodyDiv w:val="1"/>
      <w:marLeft w:val="0"/>
      <w:marRight w:val="0"/>
      <w:marTop w:val="0"/>
      <w:marBottom w:val="0"/>
      <w:divBdr>
        <w:top w:val="none" w:sz="0" w:space="0" w:color="auto"/>
        <w:left w:val="none" w:sz="0" w:space="0" w:color="auto"/>
        <w:bottom w:val="none" w:sz="0" w:space="0" w:color="auto"/>
        <w:right w:val="none" w:sz="0" w:space="0" w:color="auto"/>
      </w:divBdr>
    </w:div>
    <w:div w:id="1078015181">
      <w:bodyDiv w:val="1"/>
      <w:marLeft w:val="0"/>
      <w:marRight w:val="0"/>
      <w:marTop w:val="0"/>
      <w:marBottom w:val="0"/>
      <w:divBdr>
        <w:top w:val="none" w:sz="0" w:space="0" w:color="auto"/>
        <w:left w:val="none" w:sz="0" w:space="0" w:color="auto"/>
        <w:bottom w:val="none" w:sz="0" w:space="0" w:color="auto"/>
        <w:right w:val="none" w:sz="0" w:space="0" w:color="auto"/>
      </w:divBdr>
    </w:div>
    <w:div w:id="1078941045">
      <w:bodyDiv w:val="1"/>
      <w:marLeft w:val="0"/>
      <w:marRight w:val="0"/>
      <w:marTop w:val="0"/>
      <w:marBottom w:val="0"/>
      <w:divBdr>
        <w:top w:val="none" w:sz="0" w:space="0" w:color="auto"/>
        <w:left w:val="none" w:sz="0" w:space="0" w:color="auto"/>
        <w:bottom w:val="none" w:sz="0" w:space="0" w:color="auto"/>
        <w:right w:val="none" w:sz="0" w:space="0" w:color="auto"/>
      </w:divBdr>
    </w:div>
    <w:div w:id="1104808056">
      <w:bodyDiv w:val="1"/>
      <w:marLeft w:val="0"/>
      <w:marRight w:val="0"/>
      <w:marTop w:val="0"/>
      <w:marBottom w:val="0"/>
      <w:divBdr>
        <w:top w:val="none" w:sz="0" w:space="0" w:color="auto"/>
        <w:left w:val="none" w:sz="0" w:space="0" w:color="auto"/>
        <w:bottom w:val="none" w:sz="0" w:space="0" w:color="auto"/>
        <w:right w:val="none" w:sz="0" w:space="0" w:color="auto"/>
      </w:divBdr>
    </w:div>
    <w:div w:id="1135876117">
      <w:bodyDiv w:val="1"/>
      <w:marLeft w:val="0"/>
      <w:marRight w:val="0"/>
      <w:marTop w:val="0"/>
      <w:marBottom w:val="0"/>
      <w:divBdr>
        <w:top w:val="none" w:sz="0" w:space="0" w:color="auto"/>
        <w:left w:val="none" w:sz="0" w:space="0" w:color="auto"/>
        <w:bottom w:val="none" w:sz="0" w:space="0" w:color="auto"/>
        <w:right w:val="none" w:sz="0" w:space="0" w:color="auto"/>
      </w:divBdr>
    </w:div>
    <w:div w:id="1145119637">
      <w:bodyDiv w:val="1"/>
      <w:marLeft w:val="0"/>
      <w:marRight w:val="0"/>
      <w:marTop w:val="0"/>
      <w:marBottom w:val="0"/>
      <w:divBdr>
        <w:top w:val="none" w:sz="0" w:space="0" w:color="auto"/>
        <w:left w:val="none" w:sz="0" w:space="0" w:color="auto"/>
        <w:bottom w:val="none" w:sz="0" w:space="0" w:color="auto"/>
        <w:right w:val="none" w:sz="0" w:space="0" w:color="auto"/>
      </w:divBdr>
    </w:div>
    <w:div w:id="1147358551">
      <w:bodyDiv w:val="1"/>
      <w:marLeft w:val="0"/>
      <w:marRight w:val="0"/>
      <w:marTop w:val="0"/>
      <w:marBottom w:val="0"/>
      <w:divBdr>
        <w:top w:val="none" w:sz="0" w:space="0" w:color="auto"/>
        <w:left w:val="none" w:sz="0" w:space="0" w:color="auto"/>
        <w:bottom w:val="none" w:sz="0" w:space="0" w:color="auto"/>
        <w:right w:val="none" w:sz="0" w:space="0" w:color="auto"/>
      </w:divBdr>
      <w:divsChild>
        <w:div w:id="65501051">
          <w:marLeft w:val="0"/>
          <w:marRight w:val="0"/>
          <w:marTop w:val="0"/>
          <w:marBottom w:val="0"/>
          <w:divBdr>
            <w:top w:val="none" w:sz="0" w:space="0" w:color="auto"/>
            <w:left w:val="none" w:sz="0" w:space="0" w:color="auto"/>
            <w:bottom w:val="none" w:sz="0" w:space="0" w:color="auto"/>
            <w:right w:val="none" w:sz="0" w:space="0" w:color="auto"/>
          </w:divBdr>
        </w:div>
        <w:div w:id="255090546">
          <w:marLeft w:val="0"/>
          <w:marRight w:val="0"/>
          <w:marTop w:val="0"/>
          <w:marBottom w:val="0"/>
          <w:divBdr>
            <w:top w:val="none" w:sz="0" w:space="0" w:color="auto"/>
            <w:left w:val="none" w:sz="0" w:space="0" w:color="auto"/>
            <w:bottom w:val="none" w:sz="0" w:space="0" w:color="auto"/>
            <w:right w:val="none" w:sz="0" w:space="0" w:color="auto"/>
          </w:divBdr>
        </w:div>
        <w:div w:id="257641772">
          <w:marLeft w:val="0"/>
          <w:marRight w:val="0"/>
          <w:marTop w:val="0"/>
          <w:marBottom w:val="0"/>
          <w:divBdr>
            <w:top w:val="none" w:sz="0" w:space="0" w:color="auto"/>
            <w:left w:val="none" w:sz="0" w:space="0" w:color="auto"/>
            <w:bottom w:val="none" w:sz="0" w:space="0" w:color="auto"/>
            <w:right w:val="none" w:sz="0" w:space="0" w:color="auto"/>
          </w:divBdr>
        </w:div>
        <w:div w:id="314604918">
          <w:marLeft w:val="0"/>
          <w:marRight w:val="0"/>
          <w:marTop w:val="0"/>
          <w:marBottom w:val="0"/>
          <w:divBdr>
            <w:top w:val="none" w:sz="0" w:space="0" w:color="auto"/>
            <w:left w:val="none" w:sz="0" w:space="0" w:color="auto"/>
            <w:bottom w:val="none" w:sz="0" w:space="0" w:color="auto"/>
            <w:right w:val="none" w:sz="0" w:space="0" w:color="auto"/>
          </w:divBdr>
        </w:div>
        <w:div w:id="352728185">
          <w:marLeft w:val="0"/>
          <w:marRight w:val="0"/>
          <w:marTop w:val="0"/>
          <w:marBottom w:val="0"/>
          <w:divBdr>
            <w:top w:val="none" w:sz="0" w:space="0" w:color="auto"/>
            <w:left w:val="none" w:sz="0" w:space="0" w:color="auto"/>
            <w:bottom w:val="none" w:sz="0" w:space="0" w:color="auto"/>
            <w:right w:val="none" w:sz="0" w:space="0" w:color="auto"/>
          </w:divBdr>
        </w:div>
        <w:div w:id="480074426">
          <w:marLeft w:val="0"/>
          <w:marRight w:val="0"/>
          <w:marTop w:val="0"/>
          <w:marBottom w:val="0"/>
          <w:divBdr>
            <w:top w:val="none" w:sz="0" w:space="0" w:color="auto"/>
            <w:left w:val="none" w:sz="0" w:space="0" w:color="auto"/>
            <w:bottom w:val="none" w:sz="0" w:space="0" w:color="auto"/>
            <w:right w:val="none" w:sz="0" w:space="0" w:color="auto"/>
          </w:divBdr>
        </w:div>
        <w:div w:id="536431159">
          <w:marLeft w:val="0"/>
          <w:marRight w:val="0"/>
          <w:marTop w:val="0"/>
          <w:marBottom w:val="0"/>
          <w:divBdr>
            <w:top w:val="none" w:sz="0" w:space="0" w:color="auto"/>
            <w:left w:val="none" w:sz="0" w:space="0" w:color="auto"/>
            <w:bottom w:val="none" w:sz="0" w:space="0" w:color="auto"/>
            <w:right w:val="none" w:sz="0" w:space="0" w:color="auto"/>
          </w:divBdr>
        </w:div>
        <w:div w:id="599408192">
          <w:marLeft w:val="0"/>
          <w:marRight w:val="0"/>
          <w:marTop w:val="0"/>
          <w:marBottom w:val="0"/>
          <w:divBdr>
            <w:top w:val="none" w:sz="0" w:space="0" w:color="auto"/>
            <w:left w:val="none" w:sz="0" w:space="0" w:color="auto"/>
            <w:bottom w:val="none" w:sz="0" w:space="0" w:color="auto"/>
            <w:right w:val="none" w:sz="0" w:space="0" w:color="auto"/>
          </w:divBdr>
        </w:div>
        <w:div w:id="645015766">
          <w:marLeft w:val="0"/>
          <w:marRight w:val="0"/>
          <w:marTop w:val="0"/>
          <w:marBottom w:val="0"/>
          <w:divBdr>
            <w:top w:val="none" w:sz="0" w:space="0" w:color="auto"/>
            <w:left w:val="none" w:sz="0" w:space="0" w:color="auto"/>
            <w:bottom w:val="none" w:sz="0" w:space="0" w:color="auto"/>
            <w:right w:val="none" w:sz="0" w:space="0" w:color="auto"/>
          </w:divBdr>
        </w:div>
        <w:div w:id="716664773">
          <w:marLeft w:val="0"/>
          <w:marRight w:val="0"/>
          <w:marTop w:val="0"/>
          <w:marBottom w:val="0"/>
          <w:divBdr>
            <w:top w:val="none" w:sz="0" w:space="0" w:color="auto"/>
            <w:left w:val="none" w:sz="0" w:space="0" w:color="auto"/>
            <w:bottom w:val="none" w:sz="0" w:space="0" w:color="auto"/>
            <w:right w:val="none" w:sz="0" w:space="0" w:color="auto"/>
          </w:divBdr>
        </w:div>
        <w:div w:id="816341524">
          <w:marLeft w:val="0"/>
          <w:marRight w:val="0"/>
          <w:marTop w:val="0"/>
          <w:marBottom w:val="0"/>
          <w:divBdr>
            <w:top w:val="none" w:sz="0" w:space="0" w:color="auto"/>
            <w:left w:val="none" w:sz="0" w:space="0" w:color="auto"/>
            <w:bottom w:val="none" w:sz="0" w:space="0" w:color="auto"/>
            <w:right w:val="none" w:sz="0" w:space="0" w:color="auto"/>
          </w:divBdr>
        </w:div>
        <w:div w:id="823157830">
          <w:marLeft w:val="0"/>
          <w:marRight w:val="0"/>
          <w:marTop w:val="0"/>
          <w:marBottom w:val="0"/>
          <w:divBdr>
            <w:top w:val="none" w:sz="0" w:space="0" w:color="auto"/>
            <w:left w:val="none" w:sz="0" w:space="0" w:color="auto"/>
            <w:bottom w:val="none" w:sz="0" w:space="0" w:color="auto"/>
            <w:right w:val="none" w:sz="0" w:space="0" w:color="auto"/>
          </w:divBdr>
        </w:div>
        <w:div w:id="1283655377">
          <w:marLeft w:val="0"/>
          <w:marRight w:val="0"/>
          <w:marTop w:val="0"/>
          <w:marBottom w:val="0"/>
          <w:divBdr>
            <w:top w:val="none" w:sz="0" w:space="0" w:color="auto"/>
            <w:left w:val="none" w:sz="0" w:space="0" w:color="auto"/>
            <w:bottom w:val="none" w:sz="0" w:space="0" w:color="auto"/>
            <w:right w:val="none" w:sz="0" w:space="0" w:color="auto"/>
          </w:divBdr>
        </w:div>
        <w:div w:id="1289042299">
          <w:marLeft w:val="0"/>
          <w:marRight w:val="0"/>
          <w:marTop w:val="0"/>
          <w:marBottom w:val="0"/>
          <w:divBdr>
            <w:top w:val="none" w:sz="0" w:space="0" w:color="auto"/>
            <w:left w:val="none" w:sz="0" w:space="0" w:color="auto"/>
            <w:bottom w:val="none" w:sz="0" w:space="0" w:color="auto"/>
            <w:right w:val="none" w:sz="0" w:space="0" w:color="auto"/>
          </w:divBdr>
        </w:div>
        <w:div w:id="1339043254">
          <w:marLeft w:val="0"/>
          <w:marRight w:val="0"/>
          <w:marTop w:val="0"/>
          <w:marBottom w:val="0"/>
          <w:divBdr>
            <w:top w:val="none" w:sz="0" w:space="0" w:color="auto"/>
            <w:left w:val="none" w:sz="0" w:space="0" w:color="auto"/>
            <w:bottom w:val="none" w:sz="0" w:space="0" w:color="auto"/>
            <w:right w:val="none" w:sz="0" w:space="0" w:color="auto"/>
          </w:divBdr>
        </w:div>
        <w:div w:id="1387072790">
          <w:marLeft w:val="0"/>
          <w:marRight w:val="0"/>
          <w:marTop w:val="0"/>
          <w:marBottom w:val="0"/>
          <w:divBdr>
            <w:top w:val="none" w:sz="0" w:space="0" w:color="auto"/>
            <w:left w:val="none" w:sz="0" w:space="0" w:color="auto"/>
            <w:bottom w:val="none" w:sz="0" w:space="0" w:color="auto"/>
            <w:right w:val="none" w:sz="0" w:space="0" w:color="auto"/>
          </w:divBdr>
        </w:div>
        <w:div w:id="1481731075">
          <w:marLeft w:val="0"/>
          <w:marRight w:val="0"/>
          <w:marTop w:val="0"/>
          <w:marBottom w:val="0"/>
          <w:divBdr>
            <w:top w:val="none" w:sz="0" w:space="0" w:color="auto"/>
            <w:left w:val="none" w:sz="0" w:space="0" w:color="auto"/>
            <w:bottom w:val="none" w:sz="0" w:space="0" w:color="auto"/>
            <w:right w:val="none" w:sz="0" w:space="0" w:color="auto"/>
          </w:divBdr>
        </w:div>
        <w:div w:id="1599947528">
          <w:marLeft w:val="0"/>
          <w:marRight w:val="0"/>
          <w:marTop w:val="0"/>
          <w:marBottom w:val="0"/>
          <w:divBdr>
            <w:top w:val="none" w:sz="0" w:space="0" w:color="auto"/>
            <w:left w:val="none" w:sz="0" w:space="0" w:color="auto"/>
            <w:bottom w:val="none" w:sz="0" w:space="0" w:color="auto"/>
            <w:right w:val="none" w:sz="0" w:space="0" w:color="auto"/>
          </w:divBdr>
        </w:div>
        <w:div w:id="1744134097">
          <w:marLeft w:val="0"/>
          <w:marRight w:val="0"/>
          <w:marTop w:val="0"/>
          <w:marBottom w:val="0"/>
          <w:divBdr>
            <w:top w:val="none" w:sz="0" w:space="0" w:color="auto"/>
            <w:left w:val="none" w:sz="0" w:space="0" w:color="auto"/>
            <w:bottom w:val="none" w:sz="0" w:space="0" w:color="auto"/>
            <w:right w:val="none" w:sz="0" w:space="0" w:color="auto"/>
          </w:divBdr>
        </w:div>
      </w:divsChild>
    </w:div>
    <w:div w:id="1162038795">
      <w:bodyDiv w:val="1"/>
      <w:marLeft w:val="0"/>
      <w:marRight w:val="0"/>
      <w:marTop w:val="0"/>
      <w:marBottom w:val="0"/>
      <w:divBdr>
        <w:top w:val="none" w:sz="0" w:space="0" w:color="auto"/>
        <w:left w:val="none" w:sz="0" w:space="0" w:color="auto"/>
        <w:bottom w:val="none" w:sz="0" w:space="0" w:color="auto"/>
        <w:right w:val="none" w:sz="0" w:space="0" w:color="auto"/>
      </w:divBdr>
    </w:div>
    <w:div w:id="1168012805">
      <w:bodyDiv w:val="1"/>
      <w:marLeft w:val="0"/>
      <w:marRight w:val="0"/>
      <w:marTop w:val="0"/>
      <w:marBottom w:val="0"/>
      <w:divBdr>
        <w:top w:val="none" w:sz="0" w:space="0" w:color="auto"/>
        <w:left w:val="none" w:sz="0" w:space="0" w:color="auto"/>
        <w:bottom w:val="none" w:sz="0" w:space="0" w:color="auto"/>
        <w:right w:val="none" w:sz="0" w:space="0" w:color="auto"/>
      </w:divBdr>
    </w:div>
    <w:div w:id="1172139651">
      <w:bodyDiv w:val="1"/>
      <w:marLeft w:val="0"/>
      <w:marRight w:val="0"/>
      <w:marTop w:val="0"/>
      <w:marBottom w:val="0"/>
      <w:divBdr>
        <w:top w:val="none" w:sz="0" w:space="0" w:color="auto"/>
        <w:left w:val="none" w:sz="0" w:space="0" w:color="auto"/>
        <w:bottom w:val="none" w:sz="0" w:space="0" w:color="auto"/>
        <w:right w:val="none" w:sz="0" w:space="0" w:color="auto"/>
      </w:divBdr>
      <w:divsChild>
        <w:div w:id="140974137">
          <w:marLeft w:val="480"/>
          <w:marRight w:val="0"/>
          <w:marTop w:val="0"/>
          <w:marBottom w:val="0"/>
          <w:divBdr>
            <w:top w:val="none" w:sz="0" w:space="0" w:color="auto"/>
            <w:left w:val="none" w:sz="0" w:space="0" w:color="auto"/>
            <w:bottom w:val="none" w:sz="0" w:space="0" w:color="auto"/>
            <w:right w:val="none" w:sz="0" w:space="0" w:color="auto"/>
          </w:divBdr>
          <w:divsChild>
            <w:div w:id="20476356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82008581">
      <w:bodyDiv w:val="1"/>
      <w:marLeft w:val="0"/>
      <w:marRight w:val="0"/>
      <w:marTop w:val="0"/>
      <w:marBottom w:val="0"/>
      <w:divBdr>
        <w:top w:val="none" w:sz="0" w:space="0" w:color="auto"/>
        <w:left w:val="none" w:sz="0" w:space="0" w:color="auto"/>
        <w:bottom w:val="none" w:sz="0" w:space="0" w:color="auto"/>
        <w:right w:val="none" w:sz="0" w:space="0" w:color="auto"/>
      </w:divBdr>
    </w:div>
    <w:div w:id="1192379457">
      <w:bodyDiv w:val="1"/>
      <w:marLeft w:val="0"/>
      <w:marRight w:val="0"/>
      <w:marTop w:val="0"/>
      <w:marBottom w:val="0"/>
      <w:divBdr>
        <w:top w:val="none" w:sz="0" w:space="0" w:color="auto"/>
        <w:left w:val="none" w:sz="0" w:space="0" w:color="auto"/>
        <w:bottom w:val="none" w:sz="0" w:space="0" w:color="auto"/>
        <w:right w:val="none" w:sz="0" w:space="0" w:color="auto"/>
      </w:divBdr>
    </w:div>
    <w:div w:id="1203323669">
      <w:bodyDiv w:val="1"/>
      <w:marLeft w:val="0"/>
      <w:marRight w:val="0"/>
      <w:marTop w:val="0"/>
      <w:marBottom w:val="0"/>
      <w:divBdr>
        <w:top w:val="none" w:sz="0" w:space="0" w:color="auto"/>
        <w:left w:val="none" w:sz="0" w:space="0" w:color="auto"/>
        <w:bottom w:val="none" w:sz="0" w:space="0" w:color="auto"/>
        <w:right w:val="none" w:sz="0" w:space="0" w:color="auto"/>
      </w:divBdr>
    </w:div>
    <w:div w:id="1215433018">
      <w:bodyDiv w:val="1"/>
      <w:marLeft w:val="0"/>
      <w:marRight w:val="0"/>
      <w:marTop w:val="0"/>
      <w:marBottom w:val="0"/>
      <w:divBdr>
        <w:top w:val="none" w:sz="0" w:space="0" w:color="auto"/>
        <w:left w:val="none" w:sz="0" w:space="0" w:color="auto"/>
        <w:bottom w:val="none" w:sz="0" w:space="0" w:color="auto"/>
        <w:right w:val="none" w:sz="0" w:space="0" w:color="auto"/>
      </w:divBdr>
    </w:div>
    <w:div w:id="1221014682">
      <w:bodyDiv w:val="1"/>
      <w:marLeft w:val="0"/>
      <w:marRight w:val="0"/>
      <w:marTop w:val="0"/>
      <w:marBottom w:val="0"/>
      <w:divBdr>
        <w:top w:val="none" w:sz="0" w:space="0" w:color="auto"/>
        <w:left w:val="none" w:sz="0" w:space="0" w:color="auto"/>
        <w:bottom w:val="none" w:sz="0" w:space="0" w:color="auto"/>
        <w:right w:val="none" w:sz="0" w:space="0" w:color="auto"/>
      </w:divBdr>
    </w:div>
    <w:div w:id="1222599212">
      <w:bodyDiv w:val="1"/>
      <w:marLeft w:val="0"/>
      <w:marRight w:val="0"/>
      <w:marTop w:val="0"/>
      <w:marBottom w:val="0"/>
      <w:divBdr>
        <w:top w:val="none" w:sz="0" w:space="0" w:color="auto"/>
        <w:left w:val="none" w:sz="0" w:space="0" w:color="auto"/>
        <w:bottom w:val="none" w:sz="0" w:space="0" w:color="auto"/>
        <w:right w:val="none" w:sz="0" w:space="0" w:color="auto"/>
      </w:divBdr>
    </w:div>
    <w:div w:id="1227451145">
      <w:bodyDiv w:val="1"/>
      <w:marLeft w:val="0"/>
      <w:marRight w:val="0"/>
      <w:marTop w:val="0"/>
      <w:marBottom w:val="0"/>
      <w:divBdr>
        <w:top w:val="none" w:sz="0" w:space="0" w:color="auto"/>
        <w:left w:val="none" w:sz="0" w:space="0" w:color="auto"/>
        <w:bottom w:val="none" w:sz="0" w:space="0" w:color="auto"/>
        <w:right w:val="none" w:sz="0" w:space="0" w:color="auto"/>
      </w:divBdr>
    </w:div>
    <w:div w:id="1253513387">
      <w:bodyDiv w:val="1"/>
      <w:marLeft w:val="0"/>
      <w:marRight w:val="0"/>
      <w:marTop w:val="0"/>
      <w:marBottom w:val="0"/>
      <w:divBdr>
        <w:top w:val="none" w:sz="0" w:space="0" w:color="auto"/>
        <w:left w:val="none" w:sz="0" w:space="0" w:color="auto"/>
        <w:bottom w:val="none" w:sz="0" w:space="0" w:color="auto"/>
        <w:right w:val="none" w:sz="0" w:space="0" w:color="auto"/>
      </w:divBdr>
    </w:div>
    <w:div w:id="1257595647">
      <w:bodyDiv w:val="1"/>
      <w:marLeft w:val="0"/>
      <w:marRight w:val="0"/>
      <w:marTop w:val="0"/>
      <w:marBottom w:val="0"/>
      <w:divBdr>
        <w:top w:val="none" w:sz="0" w:space="0" w:color="auto"/>
        <w:left w:val="none" w:sz="0" w:space="0" w:color="auto"/>
        <w:bottom w:val="none" w:sz="0" w:space="0" w:color="auto"/>
        <w:right w:val="none" w:sz="0" w:space="0" w:color="auto"/>
      </w:divBdr>
    </w:div>
    <w:div w:id="1262487992">
      <w:bodyDiv w:val="1"/>
      <w:marLeft w:val="0"/>
      <w:marRight w:val="0"/>
      <w:marTop w:val="0"/>
      <w:marBottom w:val="0"/>
      <w:divBdr>
        <w:top w:val="none" w:sz="0" w:space="0" w:color="auto"/>
        <w:left w:val="none" w:sz="0" w:space="0" w:color="auto"/>
        <w:bottom w:val="none" w:sz="0" w:space="0" w:color="auto"/>
        <w:right w:val="none" w:sz="0" w:space="0" w:color="auto"/>
      </w:divBdr>
    </w:div>
    <w:div w:id="1264604978">
      <w:bodyDiv w:val="1"/>
      <w:marLeft w:val="0"/>
      <w:marRight w:val="0"/>
      <w:marTop w:val="0"/>
      <w:marBottom w:val="0"/>
      <w:divBdr>
        <w:top w:val="none" w:sz="0" w:space="0" w:color="auto"/>
        <w:left w:val="none" w:sz="0" w:space="0" w:color="auto"/>
        <w:bottom w:val="none" w:sz="0" w:space="0" w:color="auto"/>
        <w:right w:val="none" w:sz="0" w:space="0" w:color="auto"/>
      </w:divBdr>
      <w:divsChild>
        <w:div w:id="225383751">
          <w:marLeft w:val="0"/>
          <w:marRight w:val="0"/>
          <w:marTop w:val="0"/>
          <w:marBottom w:val="0"/>
          <w:divBdr>
            <w:top w:val="none" w:sz="0" w:space="0" w:color="auto"/>
            <w:left w:val="none" w:sz="0" w:space="0" w:color="auto"/>
            <w:bottom w:val="none" w:sz="0" w:space="0" w:color="auto"/>
            <w:right w:val="none" w:sz="0" w:space="0" w:color="auto"/>
          </w:divBdr>
        </w:div>
        <w:div w:id="349725511">
          <w:marLeft w:val="0"/>
          <w:marRight w:val="0"/>
          <w:marTop w:val="0"/>
          <w:marBottom w:val="0"/>
          <w:divBdr>
            <w:top w:val="none" w:sz="0" w:space="0" w:color="auto"/>
            <w:left w:val="none" w:sz="0" w:space="0" w:color="auto"/>
            <w:bottom w:val="none" w:sz="0" w:space="0" w:color="auto"/>
            <w:right w:val="none" w:sz="0" w:space="0" w:color="auto"/>
          </w:divBdr>
        </w:div>
        <w:div w:id="376706511">
          <w:marLeft w:val="0"/>
          <w:marRight w:val="0"/>
          <w:marTop w:val="0"/>
          <w:marBottom w:val="0"/>
          <w:divBdr>
            <w:top w:val="none" w:sz="0" w:space="0" w:color="auto"/>
            <w:left w:val="none" w:sz="0" w:space="0" w:color="auto"/>
            <w:bottom w:val="none" w:sz="0" w:space="0" w:color="auto"/>
            <w:right w:val="none" w:sz="0" w:space="0" w:color="auto"/>
          </w:divBdr>
        </w:div>
        <w:div w:id="579950695">
          <w:marLeft w:val="0"/>
          <w:marRight w:val="0"/>
          <w:marTop w:val="0"/>
          <w:marBottom w:val="0"/>
          <w:divBdr>
            <w:top w:val="none" w:sz="0" w:space="0" w:color="auto"/>
            <w:left w:val="none" w:sz="0" w:space="0" w:color="auto"/>
            <w:bottom w:val="none" w:sz="0" w:space="0" w:color="auto"/>
            <w:right w:val="none" w:sz="0" w:space="0" w:color="auto"/>
          </w:divBdr>
        </w:div>
        <w:div w:id="884953836">
          <w:marLeft w:val="0"/>
          <w:marRight w:val="0"/>
          <w:marTop w:val="0"/>
          <w:marBottom w:val="0"/>
          <w:divBdr>
            <w:top w:val="none" w:sz="0" w:space="0" w:color="auto"/>
            <w:left w:val="none" w:sz="0" w:space="0" w:color="auto"/>
            <w:bottom w:val="none" w:sz="0" w:space="0" w:color="auto"/>
            <w:right w:val="none" w:sz="0" w:space="0" w:color="auto"/>
          </w:divBdr>
        </w:div>
        <w:div w:id="1065450607">
          <w:marLeft w:val="0"/>
          <w:marRight w:val="0"/>
          <w:marTop w:val="0"/>
          <w:marBottom w:val="0"/>
          <w:divBdr>
            <w:top w:val="none" w:sz="0" w:space="0" w:color="auto"/>
            <w:left w:val="none" w:sz="0" w:space="0" w:color="auto"/>
            <w:bottom w:val="none" w:sz="0" w:space="0" w:color="auto"/>
            <w:right w:val="none" w:sz="0" w:space="0" w:color="auto"/>
          </w:divBdr>
        </w:div>
        <w:div w:id="1338654468">
          <w:marLeft w:val="0"/>
          <w:marRight w:val="0"/>
          <w:marTop w:val="0"/>
          <w:marBottom w:val="0"/>
          <w:divBdr>
            <w:top w:val="none" w:sz="0" w:space="0" w:color="auto"/>
            <w:left w:val="none" w:sz="0" w:space="0" w:color="auto"/>
            <w:bottom w:val="none" w:sz="0" w:space="0" w:color="auto"/>
            <w:right w:val="none" w:sz="0" w:space="0" w:color="auto"/>
          </w:divBdr>
        </w:div>
        <w:div w:id="1385910615">
          <w:marLeft w:val="0"/>
          <w:marRight w:val="0"/>
          <w:marTop w:val="0"/>
          <w:marBottom w:val="0"/>
          <w:divBdr>
            <w:top w:val="none" w:sz="0" w:space="0" w:color="auto"/>
            <w:left w:val="none" w:sz="0" w:space="0" w:color="auto"/>
            <w:bottom w:val="none" w:sz="0" w:space="0" w:color="auto"/>
            <w:right w:val="none" w:sz="0" w:space="0" w:color="auto"/>
          </w:divBdr>
        </w:div>
        <w:div w:id="1783382027">
          <w:marLeft w:val="0"/>
          <w:marRight w:val="0"/>
          <w:marTop w:val="0"/>
          <w:marBottom w:val="0"/>
          <w:divBdr>
            <w:top w:val="none" w:sz="0" w:space="0" w:color="auto"/>
            <w:left w:val="none" w:sz="0" w:space="0" w:color="auto"/>
            <w:bottom w:val="none" w:sz="0" w:space="0" w:color="auto"/>
            <w:right w:val="none" w:sz="0" w:space="0" w:color="auto"/>
          </w:divBdr>
        </w:div>
        <w:div w:id="2037004736">
          <w:marLeft w:val="0"/>
          <w:marRight w:val="0"/>
          <w:marTop w:val="0"/>
          <w:marBottom w:val="0"/>
          <w:divBdr>
            <w:top w:val="none" w:sz="0" w:space="0" w:color="auto"/>
            <w:left w:val="none" w:sz="0" w:space="0" w:color="auto"/>
            <w:bottom w:val="none" w:sz="0" w:space="0" w:color="auto"/>
            <w:right w:val="none" w:sz="0" w:space="0" w:color="auto"/>
          </w:divBdr>
        </w:div>
      </w:divsChild>
    </w:div>
    <w:div w:id="1275015083">
      <w:bodyDiv w:val="1"/>
      <w:marLeft w:val="0"/>
      <w:marRight w:val="0"/>
      <w:marTop w:val="0"/>
      <w:marBottom w:val="0"/>
      <w:divBdr>
        <w:top w:val="none" w:sz="0" w:space="0" w:color="auto"/>
        <w:left w:val="none" w:sz="0" w:space="0" w:color="auto"/>
        <w:bottom w:val="none" w:sz="0" w:space="0" w:color="auto"/>
        <w:right w:val="none" w:sz="0" w:space="0" w:color="auto"/>
      </w:divBdr>
    </w:div>
    <w:div w:id="1284996129">
      <w:bodyDiv w:val="1"/>
      <w:marLeft w:val="0"/>
      <w:marRight w:val="0"/>
      <w:marTop w:val="0"/>
      <w:marBottom w:val="0"/>
      <w:divBdr>
        <w:top w:val="none" w:sz="0" w:space="0" w:color="auto"/>
        <w:left w:val="none" w:sz="0" w:space="0" w:color="auto"/>
        <w:bottom w:val="none" w:sz="0" w:space="0" w:color="auto"/>
        <w:right w:val="none" w:sz="0" w:space="0" w:color="auto"/>
      </w:divBdr>
    </w:div>
    <w:div w:id="1293444561">
      <w:bodyDiv w:val="1"/>
      <w:marLeft w:val="0"/>
      <w:marRight w:val="0"/>
      <w:marTop w:val="0"/>
      <w:marBottom w:val="0"/>
      <w:divBdr>
        <w:top w:val="none" w:sz="0" w:space="0" w:color="auto"/>
        <w:left w:val="none" w:sz="0" w:space="0" w:color="auto"/>
        <w:bottom w:val="none" w:sz="0" w:space="0" w:color="auto"/>
        <w:right w:val="none" w:sz="0" w:space="0" w:color="auto"/>
      </w:divBdr>
      <w:divsChild>
        <w:div w:id="559365613">
          <w:marLeft w:val="0"/>
          <w:marRight w:val="0"/>
          <w:marTop w:val="0"/>
          <w:marBottom w:val="0"/>
          <w:divBdr>
            <w:top w:val="none" w:sz="0" w:space="0" w:color="auto"/>
            <w:left w:val="none" w:sz="0" w:space="0" w:color="auto"/>
            <w:bottom w:val="none" w:sz="0" w:space="0" w:color="auto"/>
            <w:right w:val="none" w:sz="0" w:space="0" w:color="auto"/>
          </w:divBdr>
        </w:div>
      </w:divsChild>
    </w:div>
    <w:div w:id="1303921617">
      <w:bodyDiv w:val="1"/>
      <w:marLeft w:val="0"/>
      <w:marRight w:val="0"/>
      <w:marTop w:val="0"/>
      <w:marBottom w:val="0"/>
      <w:divBdr>
        <w:top w:val="none" w:sz="0" w:space="0" w:color="auto"/>
        <w:left w:val="none" w:sz="0" w:space="0" w:color="auto"/>
        <w:bottom w:val="none" w:sz="0" w:space="0" w:color="auto"/>
        <w:right w:val="none" w:sz="0" w:space="0" w:color="auto"/>
      </w:divBdr>
    </w:div>
    <w:div w:id="1313678770">
      <w:bodyDiv w:val="1"/>
      <w:marLeft w:val="0"/>
      <w:marRight w:val="0"/>
      <w:marTop w:val="0"/>
      <w:marBottom w:val="0"/>
      <w:divBdr>
        <w:top w:val="none" w:sz="0" w:space="0" w:color="auto"/>
        <w:left w:val="none" w:sz="0" w:space="0" w:color="auto"/>
        <w:bottom w:val="none" w:sz="0" w:space="0" w:color="auto"/>
        <w:right w:val="none" w:sz="0" w:space="0" w:color="auto"/>
      </w:divBdr>
    </w:div>
    <w:div w:id="1329863844">
      <w:bodyDiv w:val="1"/>
      <w:marLeft w:val="0"/>
      <w:marRight w:val="0"/>
      <w:marTop w:val="0"/>
      <w:marBottom w:val="0"/>
      <w:divBdr>
        <w:top w:val="none" w:sz="0" w:space="0" w:color="auto"/>
        <w:left w:val="none" w:sz="0" w:space="0" w:color="auto"/>
        <w:bottom w:val="none" w:sz="0" w:space="0" w:color="auto"/>
        <w:right w:val="none" w:sz="0" w:space="0" w:color="auto"/>
      </w:divBdr>
    </w:div>
    <w:div w:id="1425028686">
      <w:bodyDiv w:val="1"/>
      <w:marLeft w:val="0"/>
      <w:marRight w:val="0"/>
      <w:marTop w:val="0"/>
      <w:marBottom w:val="0"/>
      <w:divBdr>
        <w:top w:val="none" w:sz="0" w:space="0" w:color="auto"/>
        <w:left w:val="none" w:sz="0" w:space="0" w:color="auto"/>
        <w:bottom w:val="none" w:sz="0" w:space="0" w:color="auto"/>
        <w:right w:val="none" w:sz="0" w:space="0" w:color="auto"/>
      </w:divBdr>
    </w:div>
    <w:div w:id="1425613160">
      <w:bodyDiv w:val="1"/>
      <w:marLeft w:val="0"/>
      <w:marRight w:val="0"/>
      <w:marTop w:val="0"/>
      <w:marBottom w:val="0"/>
      <w:divBdr>
        <w:top w:val="none" w:sz="0" w:space="0" w:color="auto"/>
        <w:left w:val="none" w:sz="0" w:space="0" w:color="auto"/>
        <w:bottom w:val="none" w:sz="0" w:space="0" w:color="auto"/>
        <w:right w:val="none" w:sz="0" w:space="0" w:color="auto"/>
      </w:divBdr>
    </w:div>
    <w:div w:id="1457404275">
      <w:bodyDiv w:val="1"/>
      <w:marLeft w:val="0"/>
      <w:marRight w:val="0"/>
      <w:marTop w:val="0"/>
      <w:marBottom w:val="0"/>
      <w:divBdr>
        <w:top w:val="none" w:sz="0" w:space="0" w:color="auto"/>
        <w:left w:val="none" w:sz="0" w:space="0" w:color="auto"/>
        <w:bottom w:val="none" w:sz="0" w:space="0" w:color="auto"/>
        <w:right w:val="none" w:sz="0" w:space="0" w:color="auto"/>
      </w:divBdr>
    </w:div>
    <w:div w:id="1459375056">
      <w:bodyDiv w:val="1"/>
      <w:marLeft w:val="0"/>
      <w:marRight w:val="0"/>
      <w:marTop w:val="0"/>
      <w:marBottom w:val="0"/>
      <w:divBdr>
        <w:top w:val="none" w:sz="0" w:space="0" w:color="auto"/>
        <w:left w:val="none" w:sz="0" w:space="0" w:color="auto"/>
        <w:bottom w:val="none" w:sz="0" w:space="0" w:color="auto"/>
        <w:right w:val="none" w:sz="0" w:space="0" w:color="auto"/>
      </w:divBdr>
    </w:div>
    <w:div w:id="1478450009">
      <w:bodyDiv w:val="1"/>
      <w:marLeft w:val="0"/>
      <w:marRight w:val="0"/>
      <w:marTop w:val="0"/>
      <w:marBottom w:val="0"/>
      <w:divBdr>
        <w:top w:val="none" w:sz="0" w:space="0" w:color="auto"/>
        <w:left w:val="none" w:sz="0" w:space="0" w:color="auto"/>
        <w:bottom w:val="none" w:sz="0" w:space="0" w:color="auto"/>
        <w:right w:val="none" w:sz="0" w:space="0" w:color="auto"/>
      </w:divBdr>
    </w:div>
    <w:div w:id="1520703942">
      <w:bodyDiv w:val="1"/>
      <w:marLeft w:val="0"/>
      <w:marRight w:val="0"/>
      <w:marTop w:val="0"/>
      <w:marBottom w:val="0"/>
      <w:divBdr>
        <w:top w:val="none" w:sz="0" w:space="0" w:color="auto"/>
        <w:left w:val="none" w:sz="0" w:space="0" w:color="auto"/>
        <w:bottom w:val="none" w:sz="0" w:space="0" w:color="auto"/>
        <w:right w:val="none" w:sz="0" w:space="0" w:color="auto"/>
      </w:divBdr>
    </w:div>
    <w:div w:id="1534077934">
      <w:bodyDiv w:val="1"/>
      <w:marLeft w:val="0"/>
      <w:marRight w:val="0"/>
      <w:marTop w:val="0"/>
      <w:marBottom w:val="0"/>
      <w:divBdr>
        <w:top w:val="none" w:sz="0" w:space="0" w:color="auto"/>
        <w:left w:val="none" w:sz="0" w:space="0" w:color="auto"/>
        <w:bottom w:val="none" w:sz="0" w:space="0" w:color="auto"/>
        <w:right w:val="none" w:sz="0" w:space="0" w:color="auto"/>
      </w:divBdr>
    </w:div>
    <w:div w:id="1540127715">
      <w:bodyDiv w:val="1"/>
      <w:marLeft w:val="0"/>
      <w:marRight w:val="0"/>
      <w:marTop w:val="0"/>
      <w:marBottom w:val="0"/>
      <w:divBdr>
        <w:top w:val="none" w:sz="0" w:space="0" w:color="auto"/>
        <w:left w:val="none" w:sz="0" w:space="0" w:color="auto"/>
        <w:bottom w:val="none" w:sz="0" w:space="0" w:color="auto"/>
        <w:right w:val="none" w:sz="0" w:space="0" w:color="auto"/>
      </w:divBdr>
    </w:div>
    <w:div w:id="1542354460">
      <w:bodyDiv w:val="1"/>
      <w:marLeft w:val="0"/>
      <w:marRight w:val="0"/>
      <w:marTop w:val="0"/>
      <w:marBottom w:val="0"/>
      <w:divBdr>
        <w:top w:val="none" w:sz="0" w:space="0" w:color="auto"/>
        <w:left w:val="none" w:sz="0" w:space="0" w:color="auto"/>
        <w:bottom w:val="none" w:sz="0" w:space="0" w:color="auto"/>
        <w:right w:val="none" w:sz="0" w:space="0" w:color="auto"/>
      </w:divBdr>
    </w:div>
    <w:div w:id="1574312744">
      <w:bodyDiv w:val="1"/>
      <w:marLeft w:val="0"/>
      <w:marRight w:val="0"/>
      <w:marTop w:val="0"/>
      <w:marBottom w:val="0"/>
      <w:divBdr>
        <w:top w:val="none" w:sz="0" w:space="0" w:color="auto"/>
        <w:left w:val="none" w:sz="0" w:space="0" w:color="auto"/>
        <w:bottom w:val="none" w:sz="0" w:space="0" w:color="auto"/>
        <w:right w:val="none" w:sz="0" w:space="0" w:color="auto"/>
      </w:divBdr>
    </w:div>
    <w:div w:id="1577861694">
      <w:bodyDiv w:val="1"/>
      <w:marLeft w:val="0"/>
      <w:marRight w:val="0"/>
      <w:marTop w:val="0"/>
      <w:marBottom w:val="0"/>
      <w:divBdr>
        <w:top w:val="none" w:sz="0" w:space="0" w:color="auto"/>
        <w:left w:val="none" w:sz="0" w:space="0" w:color="auto"/>
        <w:bottom w:val="none" w:sz="0" w:space="0" w:color="auto"/>
        <w:right w:val="none" w:sz="0" w:space="0" w:color="auto"/>
      </w:divBdr>
    </w:div>
    <w:div w:id="1586643910">
      <w:bodyDiv w:val="1"/>
      <w:marLeft w:val="0"/>
      <w:marRight w:val="0"/>
      <w:marTop w:val="0"/>
      <w:marBottom w:val="0"/>
      <w:divBdr>
        <w:top w:val="none" w:sz="0" w:space="0" w:color="auto"/>
        <w:left w:val="none" w:sz="0" w:space="0" w:color="auto"/>
        <w:bottom w:val="none" w:sz="0" w:space="0" w:color="auto"/>
        <w:right w:val="none" w:sz="0" w:space="0" w:color="auto"/>
      </w:divBdr>
    </w:div>
    <w:div w:id="1613249246">
      <w:bodyDiv w:val="1"/>
      <w:marLeft w:val="0"/>
      <w:marRight w:val="0"/>
      <w:marTop w:val="0"/>
      <w:marBottom w:val="0"/>
      <w:divBdr>
        <w:top w:val="none" w:sz="0" w:space="0" w:color="auto"/>
        <w:left w:val="none" w:sz="0" w:space="0" w:color="auto"/>
        <w:bottom w:val="none" w:sz="0" w:space="0" w:color="auto"/>
        <w:right w:val="none" w:sz="0" w:space="0" w:color="auto"/>
      </w:divBdr>
    </w:div>
    <w:div w:id="1639607103">
      <w:bodyDiv w:val="1"/>
      <w:marLeft w:val="0"/>
      <w:marRight w:val="0"/>
      <w:marTop w:val="0"/>
      <w:marBottom w:val="0"/>
      <w:divBdr>
        <w:top w:val="none" w:sz="0" w:space="0" w:color="auto"/>
        <w:left w:val="none" w:sz="0" w:space="0" w:color="auto"/>
        <w:bottom w:val="none" w:sz="0" w:space="0" w:color="auto"/>
        <w:right w:val="none" w:sz="0" w:space="0" w:color="auto"/>
      </w:divBdr>
    </w:div>
    <w:div w:id="1675452580">
      <w:bodyDiv w:val="1"/>
      <w:marLeft w:val="0"/>
      <w:marRight w:val="0"/>
      <w:marTop w:val="0"/>
      <w:marBottom w:val="0"/>
      <w:divBdr>
        <w:top w:val="none" w:sz="0" w:space="0" w:color="auto"/>
        <w:left w:val="none" w:sz="0" w:space="0" w:color="auto"/>
        <w:bottom w:val="none" w:sz="0" w:space="0" w:color="auto"/>
        <w:right w:val="none" w:sz="0" w:space="0" w:color="auto"/>
      </w:divBdr>
    </w:div>
    <w:div w:id="1692607259">
      <w:bodyDiv w:val="1"/>
      <w:marLeft w:val="0"/>
      <w:marRight w:val="0"/>
      <w:marTop w:val="0"/>
      <w:marBottom w:val="0"/>
      <w:divBdr>
        <w:top w:val="none" w:sz="0" w:space="0" w:color="auto"/>
        <w:left w:val="none" w:sz="0" w:space="0" w:color="auto"/>
        <w:bottom w:val="none" w:sz="0" w:space="0" w:color="auto"/>
        <w:right w:val="none" w:sz="0" w:space="0" w:color="auto"/>
      </w:divBdr>
    </w:div>
    <w:div w:id="1697073752">
      <w:bodyDiv w:val="1"/>
      <w:marLeft w:val="0"/>
      <w:marRight w:val="0"/>
      <w:marTop w:val="0"/>
      <w:marBottom w:val="0"/>
      <w:divBdr>
        <w:top w:val="none" w:sz="0" w:space="0" w:color="auto"/>
        <w:left w:val="none" w:sz="0" w:space="0" w:color="auto"/>
        <w:bottom w:val="none" w:sz="0" w:space="0" w:color="auto"/>
        <w:right w:val="none" w:sz="0" w:space="0" w:color="auto"/>
      </w:divBdr>
    </w:div>
    <w:div w:id="1703746489">
      <w:bodyDiv w:val="1"/>
      <w:marLeft w:val="0"/>
      <w:marRight w:val="0"/>
      <w:marTop w:val="0"/>
      <w:marBottom w:val="0"/>
      <w:divBdr>
        <w:top w:val="none" w:sz="0" w:space="0" w:color="auto"/>
        <w:left w:val="none" w:sz="0" w:space="0" w:color="auto"/>
        <w:bottom w:val="none" w:sz="0" w:space="0" w:color="auto"/>
        <w:right w:val="none" w:sz="0" w:space="0" w:color="auto"/>
      </w:divBdr>
    </w:div>
    <w:div w:id="1706908941">
      <w:bodyDiv w:val="1"/>
      <w:marLeft w:val="0"/>
      <w:marRight w:val="0"/>
      <w:marTop w:val="0"/>
      <w:marBottom w:val="0"/>
      <w:divBdr>
        <w:top w:val="none" w:sz="0" w:space="0" w:color="auto"/>
        <w:left w:val="none" w:sz="0" w:space="0" w:color="auto"/>
        <w:bottom w:val="none" w:sz="0" w:space="0" w:color="auto"/>
        <w:right w:val="none" w:sz="0" w:space="0" w:color="auto"/>
      </w:divBdr>
    </w:div>
    <w:div w:id="1724283567">
      <w:bodyDiv w:val="1"/>
      <w:marLeft w:val="0"/>
      <w:marRight w:val="0"/>
      <w:marTop w:val="0"/>
      <w:marBottom w:val="0"/>
      <w:divBdr>
        <w:top w:val="none" w:sz="0" w:space="0" w:color="auto"/>
        <w:left w:val="none" w:sz="0" w:space="0" w:color="auto"/>
        <w:bottom w:val="none" w:sz="0" w:space="0" w:color="auto"/>
        <w:right w:val="none" w:sz="0" w:space="0" w:color="auto"/>
      </w:divBdr>
    </w:div>
    <w:div w:id="1749375977">
      <w:bodyDiv w:val="1"/>
      <w:marLeft w:val="0"/>
      <w:marRight w:val="0"/>
      <w:marTop w:val="0"/>
      <w:marBottom w:val="0"/>
      <w:divBdr>
        <w:top w:val="none" w:sz="0" w:space="0" w:color="auto"/>
        <w:left w:val="none" w:sz="0" w:space="0" w:color="auto"/>
        <w:bottom w:val="none" w:sz="0" w:space="0" w:color="auto"/>
        <w:right w:val="none" w:sz="0" w:space="0" w:color="auto"/>
      </w:divBdr>
    </w:div>
    <w:div w:id="1763339093">
      <w:bodyDiv w:val="1"/>
      <w:marLeft w:val="0"/>
      <w:marRight w:val="0"/>
      <w:marTop w:val="0"/>
      <w:marBottom w:val="0"/>
      <w:divBdr>
        <w:top w:val="none" w:sz="0" w:space="0" w:color="auto"/>
        <w:left w:val="none" w:sz="0" w:space="0" w:color="auto"/>
        <w:bottom w:val="none" w:sz="0" w:space="0" w:color="auto"/>
        <w:right w:val="none" w:sz="0" w:space="0" w:color="auto"/>
      </w:divBdr>
    </w:div>
    <w:div w:id="1778985969">
      <w:bodyDiv w:val="1"/>
      <w:marLeft w:val="0"/>
      <w:marRight w:val="0"/>
      <w:marTop w:val="0"/>
      <w:marBottom w:val="0"/>
      <w:divBdr>
        <w:top w:val="none" w:sz="0" w:space="0" w:color="auto"/>
        <w:left w:val="none" w:sz="0" w:space="0" w:color="auto"/>
        <w:bottom w:val="none" w:sz="0" w:space="0" w:color="auto"/>
        <w:right w:val="none" w:sz="0" w:space="0" w:color="auto"/>
      </w:divBdr>
    </w:div>
    <w:div w:id="1780681449">
      <w:bodyDiv w:val="1"/>
      <w:marLeft w:val="0"/>
      <w:marRight w:val="0"/>
      <w:marTop w:val="0"/>
      <w:marBottom w:val="0"/>
      <w:divBdr>
        <w:top w:val="none" w:sz="0" w:space="0" w:color="auto"/>
        <w:left w:val="none" w:sz="0" w:space="0" w:color="auto"/>
        <w:bottom w:val="none" w:sz="0" w:space="0" w:color="auto"/>
        <w:right w:val="none" w:sz="0" w:space="0" w:color="auto"/>
      </w:divBdr>
    </w:div>
    <w:div w:id="1792699279">
      <w:bodyDiv w:val="1"/>
      <w:marLeft w:val="0"/>
      <w:marRight w:val="0"/>
      <w:marTop w:val="0"/>
      <w:marBottom w:val="0"/>
      <w:divBdr>
        <w:top w:val="none" w:sz="0" w:space="0" w:color="auto"/>
        <w:left w:val="none" w:sz="0" w:space="0" w:color="auto"/>
        <w:bottom w:val="none" w:sz="0" w:space="0" w:color="auto"/>
        <w:right w:val="none" w:sz="0" w:space="0" w:color="auto"/>
      </w:divBdr>
    </w:div>
    <w:div w:id="1796288411">
      <w:bodyDiv w:val="1"/>
      <w:marLeft w:val="0"/>
      <w:marRight w:val="0"/>
      <w:marTop w:val="0"/>
      <w:marBottom w:val="0"/>
      <w:divBdr>
        <w:top w:val="none" w:sz="0" w:space="0" w:color="auto"/>
        <w:left w:val="none" w:sz="0" w:space="0" w:color="auto"/>
        <w:bottom w:val="none" w:sz="0" w:space="0" w:color="auto"/>
        <w:right w:val="none" w:sz="0" w:space="0" w:color="auto"/>
      </w:divBdr>
    </w:div>
    <w:div w:id="1797138325">
      <w:bodyDiv w:val="1"/>
      <w:marLeft w:val="0"/>
      <w:marRight w:val="0"/>
      <w:marTop w:val="0"/>
      <w:marBottom w:val="0"/>
      <w:divBdr>
        <w:top w:val="none" w:sz="0" w:space="0" w:color="auto"/>
        <w:left w:val="none" w:sz="0" w:space="0" w:color="auto"/>
        <w:bottom w:val="none" w:sz="0" w:space="0" w:color="auto"/>
        <w:right w:val="none" w:sz="0" w:space="0" w:color="auto"/>
      </w:divBdr>
    </w:div>
    <w:div w:id="1800027109">
      <w:bodyDiv w:val="1"/>
      <w:marLeft w:val="0"/>
      <w:marRight w:val="0"/>
      <w:marTop w:val="0"/>
      <w:marBottom w:val="0"/>
      <w:divBdr>
        <w:top w:val="none" w:sz="0" w:space="0" w:color="auto"/>
        <w:left w:val="none" w:sz="0" w:space="0" w:color="auto"/>
        <w:bottom w:val="none" w:sz="0" w:space="0" w:color="auto"/>
        <w:right w:val="none" w:sz="0" w:space="0" w:color="auto"/>
      </w:divBdr>
    </w:div>
    <w:div w:id="1803694191">
      <w:bodyDiv w:val="1"/>
      <w:marLeft w:val="0"/>
      <w:marRight w:val="0"/>
      <w:marTop w:val="0"/>
      <w:marBottom w:val="0"/>
      <w:divBdr>
        <w:top w:val="none" w:sz="0" w:space="0" w:color="auto"/>
        <w:left w:val="none" w:sz="0" w:space="0" w:color="auto"/>
        <w:bottom w:val="none" w:sz="0" w:space="0" w:color="auto"/>
        <w:right w:val="none" w:sz="0" w:space="0" w:color="auto"/>
      </w:divBdr>
    </w:div>
    <w:div w:id="1804613687">
      <w:bodyDiv w:val="1"/>
      <w:marLeft w:val="0"/>
      <w:marRight w:val="0"/>
      <w:marTop w:val="0"/>
      <w:marBottom w:val="0"/>
      <w:divBdr>
        <w:top w:val="none" w:sz="0" w:space="0" w:color="auto"/>
        <w:left w:val="none" w:sz="0" w:space="0" w:color="auto"/>
        <w:bottom w:val="none" w:sz="0" w:space="0" w:color="auto"/>
        <w:right w:val="none" w:sz="0" w:space="0" w:color="auto"/>
      </w:divBdr>
    </w:div>
    <w:div w:id="1841891662">
      <w:bodyDiv w:val="1"/>
      <w:marLeft w:val="0"/>
      <w:marRight w:val="0"/>
      <w:marTop w:val="0"/>
      <w:marBottom w:val="0"/>
      <w:divBdr>
        <w:top w:val="none" w:sz="0" w:space="0" w:color="auto"/>
        <w:left w:val="none" w:sz="0" w:space="0" w:color="auto"/>
        <w:bottom w:val="none" w:sz="0" w:space="0" w:color="auto"/>
        <w:right w:val="none" w:sz="0" w:space="0" w:color="auto"/>
      </w:divBdr>
    </w:div>
    <w:div w:id="1853183545">
      <w:bodyDiv w:val="1"/>
      <w:marLeft w:val="0"/>
      <w:marRight w:val="0"/>
      <w:marTop w:val="0"/>
      <w:marBottom w:val="0"/>
      <w:divBdr>
        <w:top w:val="none" w:sz="0" w:space="0" w:color="auto"/>
        <w:left w:val="none" w:sz="0" w:space="0" w:color="auto"/>
        <w:bottom w:val="none" w:sz="0" w:space="0" w:color="auto"/>
        <w:right w:val="none" w:sz="0" w:space="0" w:color="auto"/>
      </w:divBdr>
    </w:div>
    <w:div w:id="1860197429">
      <w:bodyDiv w:val="1"/>
      <w:marLeft w:val="0"/>
      <w:marRight w:val="0"/>
      <w:marTop w:val="0"/>
      <w:marBottom w:val="0"/>
      <w:divBdr>
        <w:top w:val="none" w:sz="0" w:space="0" w:color="auto"/>
        <w:left w:val="none" w:sz="0" w:space="0" w:color="auto"/>
        <w:bottom w:val="none" w:sz="0" w:space="0" w:color="auto"/>
        <w:right w:val="none" w:sz="0" w:space="0" w:color="auto"/>
      </w:divBdr>
    </w:div>
    <w:div w:id="1863132047">
      <w:bodyDiv w:val="1"/>
      <w:marLeft w:val="0"/>
      <w:marRight w:val="0"/>
      <w:marTop w:val="0"/>
      <w:marBottom w:val="0"/>
      <w:divBdr>
        <w:top w:val="none" w:sz="0" w:space="0" w:color="auto"/>
        <w:left w:val="none" w:sz="0" w:space="0" w:color="auto"/>
        <w:bottom w:val="none" w:sz="0" w:space="0" w:color="auto"/>
        <w:right w:val="none" w:sz="0" w:space="0" w:color="auto"/>
      </w:divBdr>
    </w:div>
    <w:div w:id="1863283190">
      <w:bodyDiv w:val="1"/>
      <w:marLeft w:val="0"/>
      <w:marRight w:val="0"/>
      <w:marTop w:val="0"/>
      <w:marBottom w:val="0"/>
      <w:divBdr>
        <w:top w:val="none" w:sz="0" w:space="0" w:color="auto"/>
        <w:left w:val="none" w:sz="0" w:space="0" w:color="auto"/>
        <w:bottom w:val="none" w:sz="0" w:space="0" w:color="auto"/>
        <w:right w:val="none" w:sz="0" w:space="0" w:color="auto"/>
      </w:divBdr>
    </w:div>
    <w:div w:id="1879704849">
      <w:bodyDiv w:val="1"/>
      <w:marLeft w:val="0"/>
      <w:marRight w:val="0"/>
      <w:marTop w:val="0"/>
      <w:marBottom w:val="0"/>
      <w:divBdr>
        <w:top w:val="none" w:sz="0" w:space="0" w:color="auto"/>
        <w:left w:val="none" w:sz="0" w:space="0" w:color="auto"/>
        <w:bottom w:val="none" w:sz="0" w:space="0" w:color="auto"/>
        <w:right w:val="none" w:sz="0" w:space="0" w:color="auto"/>
      </w:divBdr>
    </w:div>
    <w:div w:id="1885096363">
      <w:bodyDiv w:val="1"/>
      <w:marLeft w:val="0"/>
      <w:marRight w:val="0"/>
      <w:marTop w:val="0"/>
      <w:marBottom w:val="0"/>
      <w:divBdr>
        <w:top w:val="none" w:sz="0" w:space="0" w:color="auto"/>
        <w:left w:val="none" w:sz="0" w:space="0" w:color="auto"/>
        <w:bottom w:val="none" w:sz="0" w:space="0" w:color="auto"/>
        <w:right w:val="none" w:sz="0" w:space="0" w:color="auto"/>
      </w:divBdr>
    </w:div>
    <w:div w:id="1896701622">
      <w:bodyDiv w:val="1"/>
      <w:marLeft w:val="0"/>
      <w:marRight w:val="0"/>
      <w:marTop w:val="0"/>
      <w:marBottom w:val="0"/>
      <w:divBdr>
        <w:top w:val="none" w:sz="0" w:space="0" w:color="auto"/>
        <w:left w:val="none" w:sz="0" w:space="0" w:color="auto"/>
        <w:bottom w:val="none" w:sz="0" w:space="0" w:color="auto"/>
        <w:right w:val="none" w:sz="0" w:space="0" w:color="auto"/>
      </w:divBdr>
    </w:div>
    <w:div w:id="1903566397">
      <w:bodyDiv w:val="1"/>
      <w:marLeft w:val="0"/>
      <w:marRight w:val="0"/>
      <w:marTop w:val="0"/>
      <w:marBottom w:val="0"/>
      <w:divBdr>
        <w:top w:val="none" w:sz="0" w:space="0" w:color="auto"/>
        <w:left w:val="none" w:sz="0" w:space="0" w:color="auto"/>
        <w:bottom w:val="none" w:sz="0" w:space="0" w:color="auto"/>
        <w:right w:val="none" w:sz="0" w:space="0" w:color="auto"/>
      </w:divBdr>
    </w:div>
    <w:div w:id="1916821810">
      <w:bodyDiv w:val="1"/>
      <w:marLeft w:val="0"/>
      <w:marRight w:val="0"/>
      <w:marTop w:val="0"/>
      <w:marBottom w:val="0"/>
      <w:divBdr>
        <w:top w:val="none" w:sz="0" w:space="0" w:color="auto"/>
        <w:left w:val="none" w:sz="0" w:space="0" w:color="auto"/>
        <w:bottom w:val="none" w:sz="0" w:space="0" w:color="auto"/>
        <w:right w:val="none" w:sz="0" w:space="0" w:color="auto"/>
      </w:divBdr>
    </w:div>
    <w:div w:id="1942370283">
      <w:bodyDiv w:val="1"/>
      <w:marLeft w:val="0"/>
      <w:marRight w:val="0"/>
      <w:marTop w:val="0"/>
      <w:marBottom w:val="0"/>
      <w:divBdr>
        <w:top w:val="none" w:sz="0" w:space="0" w:color="auto"/>
        <w:left w:val="none" w:sz="0" w:space="0" w:color="auto"/>
        <w:bottom w:val="none" w:sz="0" w:space="0" w:color="auto"/>
        <w:right w:val="none" w:sz="0" w:space="0" w:color="auto"/>
      </w:divBdr>
    </w:div>
    <w:div w:id="1945336712">
      <w:bodyDiv w:val="1"/>
      <w:marLeft w:val="0"/>
      <w:marRight w:val="0"/>
      <w:marTop w:val="0"/>
      <w:marBottom w:val="0"/>
      <w:divBdr>
        <w:top w:val="none" w:sz="0" w:space="0" w:color="auto"/>
        <w:left w:val="none" w:sz="0" w:space="0" w:color="auto"/>
        <w:bottom w:val="none" w:sz="0" w:space="0" w:color="auto"/>
        <w:right w:val="none" w:sz="0" w:space="0" w:color="auto"/>
      </w:divBdr>
    </w:div>
    <w:div w:id="1970936443">
      <w:bodyDiv w:val="1"/>
      <w:marLeft w:val="0"/>
      <w:marRight w:val="0"/>
      <w:marTop w:val="0"/>
      <w:marBottom w:val="0"/>
      <w:divBdr>
        <w:top w:val="none" w:sz="0" w:space="0" w:color="auto"/>
        <w:left w:val="none" w:sz="0" w:space="0" w:color="auto"/>
        <w:bottom w:val="none" w:sz="0" w:space="0" w:color="auto"/>
        <w:right w:val="none" w:sz="0" w:space="0" w:color="auto"/>
      </w:divBdr>
    </w:div>
    <w:div w:id="2003777751">
      <w:bodyDiv w:val="1"/>
      <w:marLeft w:val="0"/>
      <w:marRight w:val="0"/>
      <w:marTop w:val="0"/>
      <w:marBottom w:val="0"/>
      <w:divBdr>
        <w:top w:val="none" w:sz="0" w:space="0" w:color="auto"/>
        <w:left w:val="none" w:sz="0" w:space="0" w:color="auto"/>
        <w:bottom w:val="none" w:sz="0" w:space="0" w:color="auto"/>
        <w:right w:val="none" w:sz="0" w:space="0" w:color="auto"/>
      </w:divBdr>
    </w:div>
    <w:div w:id="2049984838">
      <w:bodyDiv w:val="1"/>
      <w:marLeft w:val="0"/>
      <w:marRight w:val="0"/>
      <w:marTop w:val="0"/>
      <w:marBottom w:val="0"/>
      <w:divBdr>
        <w:top w:val="none" w:sz="0" w:space="0" w:color="auto"/>
        <w:left w:val="none" w:sz="0" w:space="0" w:color="auto"/>
        <w:bottom w:val="none" w:sz="0" w:space="0" w:color="auto"/>
        <w:right w:val="none" w:sz="0" w:space="0" w:color="auto"/>
      </w:divBdr>
    </w:div>
    <w:div w:id="2057579414">
      <w:bodyDiv w:val="1"/>
      <w:marLeft w:val="0"/>
      <w:marRight w:val="0"/>
      <w:marTop w:val="0"/>
      <w:marBottom w:val="0"/>
      <w:divBdr>
        <w:top w:val="none" w:sz="0" w:space="0" w:color="auto"/>
        <w:left w:val="none" w:sz="0" w:space="0" w:color="auto"/>
        <w:bottom w:val="none" w:sz="0" w:space="0" w:color="auto"/>
        <w:right w:val="none" w:sz="0" w:space="0" w:color="auto"/>
      </w:divBdr>
    </w:div>
    <w:div w:id="2058116296">
      <w:bodyDiv w:val="1"/>
      <w:marLeft w:val="0"/>
      <w:marRight w:val="0"/>
      <w:marTop w:val="0"/>
      <w:marBottom w:val="0"/>
      <w:divBdr>
        <w:top w:val="none" w:sz="0" w:space="0" w:color="auto"/>
        <w:left w:val="none" w:sz="0" w:space="0" w:color="auto"/>
        <w:bottom w:val="none" w:sz="0" w:space="0" w:color="auto"/>
        <w:right w:val="none" w:sz="0" w:space="0" w:color="auto"/>
      </w:divBdr>
    </w:div>
    <w:div w:id="2070690030">
      <w:bodyDiv w:val="1"/>
      <w:marLeft w:val="0"/>
      <w:marRight w:val="0"/>
      <w:marTop w:val="0"/>
      <w:marBottom w:val="0"/>
      <w:divBdr>
        <w:top w:val="none" w:sz="0" w:space="0" w:color="auto"/>
        <w:left w:val="none" w:sz="0" w:space="0" w:color="auto"/>
        <w:bottom w:val="none" w:sz="0" w:space="0" w:color="auto"/>
        <w:right w:val="none" w:sz="0" w:space="0" w:color="auto"/>
      </w:divBdr>
    </w:div>
    <w:div w:id="2077317991">
      <w:bodyDiv w:val="1"/>
      <w:marLeft w:val="0"/>
      <w:marRight w:val="0"/>
      <w:marTop w:val="0"/>
      <w:marBottom w:val="0"/>
      <w:divBdr>
        <w:top w:val="none" w:sz="0" w:space="0" w:color="auto"/>
        <w:left w:val="none" w:sz="0" w:space="0" w:color="auto"/>
        <w:bottom w:val="none" w:sz="0" w:space="0" w:color="auto"/>
        <w:right w:val="none" w:sz="0" w:space="0" w:color="auto"/>
      </w:divBdr>
    </w:div>
    <w:div w:id="2096896815">
      <w:bodyDiv w:val="1"/>
      <w:marLeft w:val="0"/>
      <w:marRight w:val="0"/>
      <w:marTop w:val="0"/>
      <w:marBottom w:val="0"/>
      <w:divBdr>
        <w:top w:val="none" w:sz="0" w:space="0" w:color="auto"/>
        <w:left w:val="none" w:sz="0" w:space="0" w:color="auto"/>
        <w:bottom w:val="none" w:sz="0" w:space="0" w:color="auto"/>
        <w:right w:val="none" w:sz="0" w:space="0" w:color="auto"/>
      </w:divBdr>
    </w:div>
    <w:div w:id="2109494987">
      <w:bodyDiv w:val="1"/>
      <w:marLeft w:val="0"/>
      <w:marRight w:val="0"/>
      <w:marTop w:val="0"/>
      <w:marBottom w:val="0"/>
      <w:divBdr>
        <w:top w:val="none" w:sz="0" w:space="0" w:color="auto"/>
        <w:left w:val="none" w:sz="0" w:space="0" w:color="auto"/>
        <w:bottom w:val="none" w:sz="0" w:space="0" w:color="auto"/>
        <w:right w:val="none" w:sz="0" w:space="0" w:color="auto"/>
      </w:divBdr>
      <w:divsChild>
        <w:div w:id="798692650">
          <w:marLeft w:val="0"/>
          <w:marRight w:val="0"/>
          <w:marTop w:val="0"/>
          <w:marBottom w:val="0"/>
          <w:divBdr>
            <w:top w:val="none" w:sz="0" w:space="0" w:color="auto"/>
            <w:left w:val="none" w:sz="0" w:space="0" w:color="auto"/>
            <w:bottom w:val="none" w:sz="0" w:space="0" w:color="auto"/>
            <w:right w:val="none" w:sz="0" w:space="0" w:color="auto"/>
          </w:divBdr>
        </w:div>
      </w:divsChild>
    </w:div>
    <w:div w:id="2136367137">
      <w:bodyDiv w:val="1"/>
      <w:marLeft w:val="0"/>
      <w:marRight w:val="0"/>
      <w:marTop w:val="0"/>
      <w:marBottom w:val="0"/>
      <w:divBdr>
        <w:top w:val="none" w:sz="0" w:space="0" w:color="auto"/>
        <w:left w:val="none" w:sz="0" w:space="0" w:color="auto"/>
        <w:bottom w:val="none" w:sz="0" w:space="0" w:color="auto"/>
        <w:right w:val="none" w:sz="0" w:space="0" w:color="auto"/>
      </w:divBdr>
    </w:div>
    <w:div w:id="2145155401">
      <w:bodyDiv w:val="1"/>
      <w:marLeft w:val="0"/>
      <w:marRight w:val="0"/>
      <w:marTop w:val="0"/>
      <w:marBottom w:val="0"/>
      <w:divBdr>
        <w:top w:val="none" w:sz="0" w:space="0" w:color="auto"/>
        <w:left w:val="none" w:sz="0" w:space="0" w:color="auto"/>
        <w:bottom w:val="none" w:sz="0" w:space="0" w:color="auto"/>
        <w:right w:val="none" w:sz="0" w:space="0" w:color="auto"/>
      </w:divBdr>
    </w:div>
    <w:div w:id="2145926420">
      <w:bodyDiv w:val="1"/>
      <w:marLeft w:val="0"/>
      <w:marRight w:val="0"/>
      <w:marTop w:val="0"/>
      <w:marBottom w:val="0"/>
      <w:divBdr>
        <w:top w:val="none" w:sz="0" w:space="0" w:color="auto"/>
        <w:left w:val="none" w:sz="0" w:space="0" w:color="auto"/>
        <w:bottom w:val="none" w:sz="0" w:space="0" w:color="auto"/>
        <w:right w:val="none" w:sz="0" w:space="0" w:color="auto"/>
      </w:divBdr>
      <w:divsChild>
        <w:div w:id="577638948">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2.xml"/><Relationship Id="rId18" Type="http://schemas.openxmlformats.org/officeDocument/2006/relationships/image" Target="media/image2.png"/><Relationship Id="rId26" Type="http://schemas.openxmlformats.org/officeDocument/2006/relationships/image" Target="media/image8.png"/><Relationship Id="rId39" Type="http://schemas.openxmlformats.org/officeDocument/2006/relationships/image" Target="media/image19.jpeg"/><Relationship Id="rId21" Type="http://schemas.openxmlformats.org/officeDocument/2006/relationships/image" Target="media/image4.png"/><Relationship Id="rId34" Type="http://schemas.openxmlformats.org/officeDocument/2006/relationships/image" Target="media/image15.png"/><Relationship Id="rId42" Type="http://schemas.openxmlformats.org/officeDocument/2006/relationships/image" Target="media/image22.png"/><Relationship Id="rId47" Type="http://schemas.openxmlformats.org/officeDocument/2006/relationships/image" Target="media/image26.jpeg"/><Relationship Id="rId50" Type="http://schemas.openxmlformats.org/officeDocument/2006/relationships/image" Target="media/image28.png"/><Relationship Id="rId55" Type="http://schemas.openxmlformats.org/officeDocument/2006/relationships/image" Target="media/image31.png"/><Relationship Id="rId63" Type="http://schemas.openxmlformats.org/officeDocument/2006/relationships/hyperlink" Target="https://doi.org/10.5281/zenodo.7861162" TargetMode="External"/><Relationship Id="rId68" Type="http://schemas.openxmlformats.org/officeDocument/2006/relationships/fontTable" Target="fontTable.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1.png"/><Relationship Id="rId29" Type="http://schemas.openxmlformats.org/officeDocument/2006/relationships/image" Target="media/image11.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s://doi.org/10.5281/zenodo.7430727" TargetMode="External"/><Relationship Id="rId24" Type="http://schemas.openxmlformats.org/officeDocument/2006/relationships/image" Target="media/image6.png"/><Relationship Id="rId32" Type="http://schemas.openxmlformats.org/officeDocument/2006/relationships/image" Target="media/image14.png"/><Relationship Id="rId37" Type="http://schemas.openxmlformats.org/officeDocument/2006/relationships/image" Target="media/image17.png"/><Relationship Id="rId40" Type="http://schemas.openxmlformats.org/officeDocument/2006/relationships/image" Target="media/image20.png"/><Relationship Id="rId45" Type="http://schemas.openxmlformats.org/officeDocument/2006/relationships/image" Target="media/image25.png"/><Relationship Id="rId53" Type="http://schemas.openxmlformats.org/officeDocument/2006/relationships/image" Target="media/image30.png"/><Relationship Id="rId58" Type="http://schemas.openxmlformats.org/officeDocument/2006/relationships/hyperlink" Target="https://doi.org/10.5281/zenodo.5706520" TargetMode="External"/><Relationship Id="rId66" Type="http://schemas.openxmlformats.org/officeDocument/2006/relationships/footer" Target="footer2.xml"/><Relationship Id="rId5" Type="http://schemas.openxmlformats.org/officeDocument/2006/relationships/numbering" Target="numbering.xml"/><Relationship Id="rId15" Type="http://schemas.openxmlformats.org/officeDocument/2006/relationships/header" Target="header3.xml"/><Relationship Id="rId23" Type="http://schemas.openxmlformats.org/officeDocument/2006/relationships/hyperlink" Target="https://doi.org/10.5281/zenodo.7861123" TargetMode="External"/><Relationship Id="rId28" Type="http://schemas.openxmlformats.org/officeDocument/2006/relationships/image" Target="media/image10.jpeg"/><Relationship Id="rId36" Type="http://schemas.openxmlformats.org/officeDocument/2006/relationships/hyperlink" Target="https://doi.org/10.5281/zenodo.7861139" TargetMode="External"/><Relationship Id="rId49" Type="http://schemas.openxmlformats.org/officeDocument/2006/relationships/image" Target="media/image27.jpeg"/><Relationship Id="rId57" Type="http://schemas.openxmlformats.org/officeDocument/2006/relationships/image" Target="media/image32.png"/><Relationship Id="rId61" Type="http://schemas.openxmlformats.org/officeDocument/2006/relationships/image" Target="media/image34.png"/><Relationship Id="rId10" Type="http://schemas.openxmlformats.org/officeDocument/2006/relationships/endnotes" Target="endnotes.xml"/><Relationship Id="rId19" Type="http://schemas.openxmlformats.org/officeDocument/2006/relationships/hyperlink" Target="https://doi.org/10.1038/s41559-017-0186" TargetMode="External"/><Relationship Id="rId31" Type="http://schemas.openxmlformats.org/officeDocument/2006/relationships/image" Target="media/image13.jpeg"/><Relationship Id="rId44" Type="http://schemas.openxmlformats.org/officeDocument/2006/relationships/image" Target="media/image24.png"/><Relationship Id="rId52" Type="http://schemas.openxmlformats.org/officeDocument/2006/relationships/hyperlink" Target="https://doi.org/10.5281/zenodo.5529309" TargetMode="External"/><Relationship Id="rId60" Type="http://schemas.openxmlformats.org/officeDocument/2006/relationships/hyperlink" Target="https://doi.org/10.5281/zenodo.5760266" TargetMode="External"/><Relationship Id="rId65" Type="http://schemas.openxmlformats.org/officeDocument/2006/relationships/header" Target="header5.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1.xml"/><Relationship Id="rId22" Type="http://schemas.openxmlformats.org/officeDocument/2006/relationships/image" Target="media/image5.png"/><Relationship Id="rId27" Type="http://schemas.openxmlformats.org/officeDocument/2006/relationships/image" Target="media/image9.png"/><Relationship Id="rId30" Type="http://schemas.openxmlformats.org/officeDocument/2006/relationships/image" Target="media/image12.png"/><Relationship Id="rId35" Type="http://schemas.openxmlformats.org/officeDocument/2006/relationships/image" Target="media/image16.png"/><Relationship Id="rId43" Type="http://schemas.openxmlformats.org/officeDocument/2006/relationships/image" Target="media/image23.png"/><Relationship Id="rId48" Type="http://schemas.openxmlformats.org/officeDocument/2006/relationships/hyperlink" Target="https://www.sciencedirect.com/topics/agricultural-and-biological-sciences/thrips-palmi" TargetMode="External"/><Relationship Id="rId56" Type="http://schemas.openxmlformats.org/officeDocument/2006/relationships/hyperlink" Target="https://doi.org/10.5281/zenodo.5529309" TargetMode="External"/><Relationship Id="rId64" Type="http://schemas.openxmlformats.org/officeDocument/2006/relationships/header" Target="header4.xml"/><Relationship Id="rId69" Type="http://schemas.openxmlformats.org/officeDocument/2006/relationships/theme" Target="theme/theme1.xml"/><Relationship Id="rId8" Type="http://schemas.openxmlformats.org/officeDocument/2006/relationships/webSettings" Target="webSettings.xml"/><Relationship Id="rId51" Type="http://schemas.openxmlformats.org/officeDocument/2006/relationships/image" Target="media/image29.png"/><Relationship Id="rId3" Type="http://schemas.openxmlformats.org/officeDocument/2006/relationships/customXml" Target="../customXml/item3.xml"/><Relationship Id="rId12" Type="http://schemas.openxmlformats.org/officeDocument/2006/relationships/header" Target="header1.xml"/><Relationship Id="rId17" Type="http://schemas.openxmlformats.org/officeDocument/2006/relationships/hyperlink" Target="https://doi.org/10.5281/zenodo.7615582" TargetMode="External"/><Relationship Id="rId25" Type="http://schemas.openxmlformats.org/officeDocument/2006/relationships/image" Target="media/image7.jpeg"/><Relationship Id="rId33" Type="http://schemas.openxmlformats.org/officeDocument/2006/relationships/hyperlink" Target="https://www.sciencedirect.com/topics/earth-and-planetary-sciences/mariculture" TargetMode="External"/><Relationship Id="rId38" Type="http://schemas.openxmlformats.org/officeDocument/2006/relationships/image" Target="media/image18.png"/><Relationship Id="rId46" Type="http://schemas.openxmlformats.org/officeDocument/2006/relationships/hyperlink" Target="https://doi.org/10.1111/cobi.13817" TargetMode="External"/><Relationship Id="rId59" Type="http://schemas.openxmlformats.org/officeDocument/2006/relationships/image" Target="media/image33.png"/><Relationship Id="rId67" Type="http://schemas.openxmlformats.org/officeDocument/2006/relationships/header" Target="header6.xml"/><Relationship Id="rId20" Type="http://schemas.openxmlformats.org/officeDocument/2006/relationships/image" Target="media/image3.png"/><Relationship Id="rId41" Type="http://schemas.openxmlformats.org/officeDocument/2006/relationships/image" Target="media/image21.png"/><Relationship Id="rId54" Type="http://schemas.openxmlformats.org/officeDocument/2006/relationships/hyperlink" Target="https://doi.org/10.5281/zenodo.5529309" TargetMode="External"/><Relationship Id="rId62" Type="http://schemas.openxmlformats.org/officeDocument/2006/relationships/image" Target="media/image35.png"/></Relationships>
</file>

<file path=word/_rels/footnotes.xml.rels><?xml version="1.0" encoding="UTF-8" standalone="yes"?>
<Relationships xmlns="http://schemas.openxmlformats.org/package/2006/relationships"><Relationship Id="rId8" Type="http://schemas.openxmlformats.org/officeDocument/2006/relationships/hyperlink" Target="https://doi.org/10.5281/zenodo.5529309" TargetMode="External"/><Relationship Id="rId3" Type="http://schemas.openxmlformats.org/officeDocument/2006/relationships/hyperlink" Target="https://doi.org/10.5281/zenodo.5529309" TargetMode="External"/><Relationship Id="rId7" Type="http://schemas.openxmlformats.org/officeDocument/2006/relationships/hyperlink" Target="https://doi.org/10.5281/zenodo.5760266" TargetMode="External"/><Relationship Id="rId12" Type="http://schemas.openxmlformats.org/officeDocument/2006/relationships/hyperlink" Target="https://doi.org/10.5281/zenodo.5760266" TargetMode="External"/><Relationship Id="rId2" Type="http://schemas.openxmlformats.org/officeDocument/2006/relationships/hyperlink" Target="https://doi.org/10.5281/zenodo.5760266" TargetMode="External"/><Relationship Id="rId1" Type="http://schemas.openxmlformats.org/officeDocument/2006/relationships/hyperlink" Target="https://doi.org/10.5281/zenodo.5529309" TargetMode="External"/><Relationship Id="rId6" Type="http://schemas.openxmlformats.org/officeDocument/2006/relationships/hyperlink" Target="https://doi.org/10.5281/zenodo.5529309" TargetMode="External"/><Relationship Id="rId11" Type="http://schemas.openxmlformats.org/officeDocument/2006/relationships/hyperlink" Target="https://doi.org/10.5281/zenodo.7861162" TargetMode="External"/><Relationship Id="rId5" Type="http://schemas.openxmlformats.org/officeDocument/2006/relationships/hyperlink" Target="https://doi.org/10.5281/zenodo.5529309" TargetMode="External"/><Relationship Id="rId10" Type="http://schemas.openxmlformats.org/officeDocument/2006/relationships/hyperlink" Target="https://doi.org/10.5281/zenodo.5706520" TargetMode="External"/><Relationship Id="rId4" Type="http://schemas.openxmlformats.org/officeDocument/2006/relationships/hyperlink" Target="https://doi.org/10.5281/zenodo.5529309" TargetMode="External"/><Relationship Id="rId9" Type="http://schemas.openxmlformats.org/officeDocument/2006/relationships/hyperlink" Target="https://doi.org/10.5281/zenodo.5706520"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EA4C5A034BE8DD47991129D4A151C97E" ma:contentTypeVersion="19" ma:contentTypeDescription="Create a new document." ma:contentTypeScope="" ma:versionID="cb68fe39243c11c465bfd131da7f4509">
  <xsd:schema xmlns:xsd="http://www.w3.org/2001/XMLSchema" xmlns:xs="http://www.w3.org/2001/XMLSchema" xmlns:p="http://schemas.microsoft.com/office/2006/metadata/properties" xmlns:ns2="ae4a642e-7f8b-4e18-9cfb-3601aa1025a5" xmlns:ns3="434407cf-833e-4317-8014-c98a4d8e11fc" targetNamespace="http://schemas.microsoft.com/office/2006/metadata/properties" ma:root="true" ma:fieldsID="c0dd19795febd5a71faa400b93a3bcf2" ns2:_="" ns3:_="">
    <xsd:import namespace="ae4a642e-7f8b-4e18-9cfb-3601aa1025a5"/>
    <xsd:import namespace="434407cf-833e-4317-8014-c98a4d8e11fc"/>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GenerationTime" minOccurs="0"/>
                <xsd:element ref="ns2:MediaServiceEventHashCode" minOccurs="0"/>
                <xsd:element ref="ns2:MediaServiceOCR" minOccurs="0"/>
                <xsd:element ref="ns2:MediaServiceAutoKeyPoints" minOccurs="0"/>
                <xsd:element ref="ns2:MediaServiceKeyPoints" minOccurs="0"/>
                <xsd:element ref="ns3:SharedWithUsers" minOccurs="0"/>
                <xsd:element ref="ns3:SharedWithDetails" minOccurs="0"/>
                <xsd:element ref="ns2:MediaLengthInSeconds" minOccurs="0"/>
                <xsd:element ref="ns2:MediaServiceLocation" minOccurs="0"/>
                <xsd:element ref="ns3:TaxCatchAll" minOccurs="0"/>
                <xsd:element ref="ns2:lcf76f155ced4ddcb4097134ff3c332f"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e4a642e-7f8b-4e18-9cfb-3601aa1025a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element name="MediaLengthInSeconds" ma:index="19" nillable="true" ma:displayName="Length (seconds)" ma:internalName="MediaLengthInSeconds" ma:readOnly="true">
      <xsd:simpleType>
        <xsd:restriction base="dms:Unknown"/>
      </xsd:simpleType>
    </xsd:element>
    <xsd:element name="MediaServiceLocation" ma:index="20" nillable="true" ma:displayName="Location" ma:internalName="MediaServiceLocation" ma:readOnly="true">
      <xsd:simpleType>
        <xsd:restriction base="dms:Text"/>
      </xsd:simpleType>
    </xsd:element>
    <xsd:element name="lcf76f155ced4ddcb4097134ff3c332f" ma:index="23" nillable="true" ma:taxonomy="true" ma:internalName="lcf76f155ced4ddcb4097134ff3c332f" ma:taxonomyFieldName="MediaServiceImageTags" ma:displayName="Image Tags" ma:readOnly="false" ma:fieldId="{5cf76f15-5ced-4ddc-b409-7134ff3c332f}" ma:taxonomyMulti="true" ma:sspId="f8ebb0a5-c57d-4c3a-bec7-8a38252dd05c"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34407cf-833e-4317-8014-c98a4d8e11fc" elementFormDefault="qualified">
    <xsd:import namespace="http://schemas.microsoft.com/office/2006/documentManagement/types"/>
    <xsd:import namespace="http://schemas.microsoft.com/office/infopath/2007/PartnerControls"/>
    <xsd:element name="SharedWithUsers" ma:index="17"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8" nillable="true" ma:displayName="Shared With Details" ma:internalName="SharedWithDetails" ma:readOnly="true">
      <xsd:simpleType>
        <xsd:restriction base="dms:Note">
          <xsd:maxLength value="255"/>
        </xsd:restriction>
      </xsd:simpleType>
    </xsd:element>
    <xsd:element name="TaxCatchAll" ma:index="21" nillable="true" ma:displayName="Taxonomy Catch All Column" ma:hidden="true" ma:list="{114964d7-ccac-422d-96f7-2645e9a334f0}" ma:internalName="TaxCatchAll" ma:showField="CatchAllData" ma:web="434407cf-833e-4317-8014-c98a4d8e11f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ae4a642e-7f8b-4e18-9cfb-3601aa1025a5">
      <Terms xmlns="http://schemas.microsoft.com/office/infopath/2007/PartnerControls"/>
    </lcf76f155ced4ddcb4097134ff3c332f>
    <TaxCatchAll xmlns="434407cf-833e-4317-8014-c98a4d8e11fc" xsi:nil="true"/>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2820FFB-9774-43BB-9082-FB887E0AB477}">
  <ds:schemaRefs>
    <ds:schemaRef ds:uri="http://schemas.microsoft.com/sharepoint/v3/contenttype/forms"/>
  </ds:schemaRefs>
</ds:datastoreItem>
</file>

<file path=customXml/itemProps2.xml><?xml version="1.0" encoding="utf-8"?>
<ds:datastoreItem xmlns:ds="http://schemas.openxmlformats.org/officeDocument/2006/customXml" ds:itemID="{E40A85E6-09BA-4E6E-9DAF-9C696488A9F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e4a642e-7f8b-4e18-9cfb-3601aa1025a5"/>
    <ds:schemaRef ds:uri="434407cf-833e-4317-8014-c98a4d8e11f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3BFCC7DC-3394-408E-8D28-92069D94DBF4}">
  <ds:schemaRefs>
    <ds:schemaRef ds:uri="http://schemas.microsoft.com/office/2006/metadata/properties"/>
    <ds:schemaRef ds:uri="http://schemas.microsoft.com/office/infopath/2007/PartnerControls"/>
    <ds:schemaRef ds:uri="ae4a642e-7f8b-4e18-9cfb-3601aa1025a5"/>
    <ds:schemaRef ds:uri="434407cf-833e-4317-8014-c98a4d8e11fc"/>
  </ds:schemaRefs>
</ds:datastoreItem>
</file>

<file path=customXml/itemProps4.xml><?xml version="1.0" encoding="utf-8"?>
<ds:datastoreItem xmlns:ds="http://schemas.openxmlformats.org/officeDocument/2006/customXml" ds:itemID="{A79627EC-BED9-418D-B9EB-C01AE399D12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102</TotalTime>
  <Pages>1</Pages>
  <Words>536098</Words>
  <Characters>3055763</Characters>
  <Application>Microsoft Office Word</Application>
  <DocSecurity>0</DocSecurity>
  <Lines>25464</Lines>
  <Paragraphs>7169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3584692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renard</dc:creator>
  <cp:keywords/>
  <dc:description/>
  <cp:lastModifiedBy>Tsu Ias</cp:lastModifiedBy>
  <cp:revision>26</cp:revision>
  <cp:lastPrinted>2024-02-19T05:06:00Z</cp:lastPrinted>
  <dcterms:created xsi:type="dcterms:W3CDTF">2023-10-24T02:04:00Z</dcterms:created>
  <dcterms:modified xsi:type="dcterms:W3CDTF">2024-02-19T05:06:00Z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0x010100665E695AF444E14CBFD68F707E853DCF</vt:lpwstr>
  </property>
  <property fmtid="{D5CDD505-2E9C-101B-9397-08002B2CF9AE}" pid="3" name="_NewReviewCycle">
    <vt:lpwstr/>
  </property>
  <property fmtid="{D5CDD505-2E9C-101B-9397-08002B2CF9AE}" pid="4" name="xd_Signature">
    <vt:bool>false</vt:bool>
  </property>
  <property fmtid="{D5CDD505-2E9C-101B-9397-08002B2CF9AE}" pid="5" name="xd_ProgID">
    <vt:lpwstr/>
  </property>
  <property fmtid="{D5CDD505-2E9C-101B-9397-08002B2CF9AE}" pid="6" name="ComplianceAssetId">
    <vt:lpwstr/>
  </property>
  <property fmtid="{D5CDD505-2E9C-101B-9397-08002B2CF9AE}" pid="7" name="TemplateUrl">
    <vt:lpwstr/>
  </property>
  <property fmtid="{D5CDD505-2E9C-101B-9397-08002B2CF9AE}" pid="8" name="_ExtendedDescription">
    <vt:lpwstr/>
  </property>
  <property fmtid="{D5CDD505-2E9C-101B-9397-08002B2CF9AE}" pid="9" name="TriggerFlowInfo">
    <vt:lpwstr/>
  </property>
  <property fmtid="{D5CDD505-2E9C-101B-9397-08002B2CF9AE}" pid="10" name="ZOTERO_PREF_2">
    <vt:lpwstr>alAbbreviations" value="true"/&gt;&lt;pref name="dontAskDelayCitationUpdates" value="true"/&gt;&lt;/prefs&gt;&lt;/data&gt;</vt:lpwstr>
  </property>
  <property fmtid="{D5CDD505-2E9C-101B-9397-08002B2CF9AE}" pid="11" name="ZOTERO_PREF_1">
    <vt:lpwstr>&lt;data data-version="3" zotero-version="6.0.30"&gt;&lt;session id="zUkrYEfa"/&gt;&lt;style id="http://www.zotero.org/styles/apa" locale="en-US" hasBibliography="1" bibliographyStyleHasBeenSet="1"/&gt;&lt;prefs&gt;&lt;pref name="fieldType" value="Field"/&gt;&lt;pref name="automaticJourn</vt:lpwstr>
  </property>
  <property fmtid="{D5CDD505-2E9C-101B-9397-08002B2CF9AE}" pid="12" name="MediaServiceImageTags">
    <vt:lpwstr/>
  </property>
</Properties>
</file>